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32873" w14:textId="0FDC3590" w:rsidR="00647C6B" w:rsidRPr="00A058B6" w:rsidRDefault="00647C6B" w:rsidP="00647C6B">
      <w:pPr>
        <w:rPr>
          <w:sz w:val="28"/>
        </w:rPr>
      </w:pPr>
      <w:r w:rsidRPr="00A058B6">
        <w:rPr>
          <w:noProof/>
          <w:lang w:eastAsia="en-AU"/>
        </w:rPr>
        <w:drawing>
          <wp:inline distT="0" distB="0" distL="0" distR="0" wp14:anchorId="21EC2F08" wp14:editId="029DA01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D3B00C" w14:textId="77777777" w:rsidR="00647C6B" w:rsidRPr="00A058B6" w:rsidRDefault="00647C6B" w:rsidP="00647C6B">
      <w:pPr>
        <w:rPr>
          <w:sz w:val="19"/>
        </w:rPr>
      </w:pPr>
    </w:p>
    <w:p w14:paraId="4C15A841" w14:textId="2B7B91F5" w:rsidR="00647C6B" w:rsidRPr="00A058B6" w:rsidRDefault="00647C6B" w:rsidP="00647C6B">
      <w:pPr>
        <w:pStyle w:val="ShortT"/>
      </w:pPr>
      <w:r w:rsidRPr="00A058B6">
        <w:t xml:space="preserve">Family Law (Superannuation) </w:t>
      </w:r>
      <w:r w:rsidR="001952B3">
        <w:t>Regulations 2</w:t>
      </w:r>
      <w:r w:rsidRPr="00A058B6">
        <w:t>02</w:t>
      </w:r>
      <w:r w:rsidR="007E7901">
        <w:t>5</w:t>
      </w:r>
    </w:p>
    <w:p w14:paraId="75E4B507" w14:textId="656D417E" w:rsidR="00647C6B" w:rsidRPr="00A058B6" w:rsidRDefault="00647C6B" w:rsidP="00647C6B">
      <w:pPr>
        <w:pStyle w:val="SignCoverPageStart"/>
        <w:spacing w:before="240"/>
        <w:rPr>
          <w:szCs w:val="22"/>
        </w:rPr>
      </w:pPr>
      <w:r w:rsidRPr="00A058B6">
        <w:rPr>
          <w:szCs w:val="22"/>
        </w:rPr>
        <w:t xml:space="preserve">I, </w:t>
      </w:r>
      <w:r w:rsidR="00D960B9">
        <w:rPr>
          <w:szCs w:val="22"/>
        </w:rPr>
        <w:t>the Honourable Sam Mostyn AC</w:t>
      </w:r>
      <w:r w:rsidR="00D960B9" w:rsidRPr="0034086C">
        <w:rPr>
          <w:szCs w:val="22"/>
        </w:rPr>
        <w:t xml:space="preserve">, </w:t>
      </w:r>
      <w:r w:rsidRPr="00A058B6">
        <w:rPr>
          <w:szCs w:val="22"/>
        </w:rPr>
        <w:t>Governor</w:t>
      </w:r>
      <w:r w:rsidR="001952B3">
        <w:rPr>
          <w:szCs w:val="22"/>
        </w:rPr>
        <w:noBreakHyphen/>
      </w:r>
      <w:r w:rsidRPr="00A058B6">
        <w:rPr>
          <w:szCs w:val="22"/>
        </w:rPr>
        <w:t>General of the Commonwealth of Australia, acting with the advice of the Federal Executive Council, make the following regulations</w:t>
      </w:r>
      <w:r w:rsidR="00D7157D">
        <w:rPr>
          <w:szCs w:val="22"/>
        </w:rPr>
        <w:t>.</w:t>
      </w:r>
    </w:p>
    <w:p w14:paraId="6201D191" w14:textId="70C5002A" w:rsidR="00647C6B" w:rsidRPr="00A058B6" w:rsidRDefault="00647C6B" w:rsidP="00647C6B">
      <w:pPr>
        <w:keepNext/>
        <w:spacing w:before="720" w:line="240" w:lineRule="atLeast"/>
        <w:ind w:right="397"/>
        <w:jc w:val="both"/>
        <w:rPr>
          <w:szCs w:val="22"/>
        </w:rPr>
      </w:pPr>
      <w:r w:rsidRPr="00A058B6">
        <w:rPr>
          <w:szCs w:val="22"/>
        </w:rPr>
        <w:t xml:space="preserve">Dated </w:t>
      </w:r>
      <w:r w:rsidR="00FF222C">
        <w:rPr>
          <w:szCs w:val="22"/>
        </w:rPr>
        <w:tab/>
      </w:r>
      <w:r w:rsidR="00B372CC">
        <w:rPr>
          <w:szCs w:val="22"/>
        </w:rPr>
        <w:t>20 February 2025</w:t>
      </w:r>
    </w:p>
    <w:p w14:paraId="7AD1839C" w14:textId="77777777" w:rsidR="00647C6B" w:rsidRPr="00A058B6" w:rsidRDefault="000D2520" w:rsidP="00647C6B">
      <w:pPr>
        <w:keepNext/>
        <w:tabs>
          <w:tab w:val="left" w:pos="3402"/>
        </w:tabs>
        <w:spacing w:before="1080" w:line="300" w:lineRule="atLeast"/>
        <w:ind w:left="397" w:right="397"/>
        <w:jc w:val="right"/>
        <w:rPr>
          <w:szCs w:val="22"/>
        </w:rPr>
      </w:pPr>
      <w:bookmarkStart w:id="0" w:name="_GoBack"/>
      <w:bookmarkEnd w:id="0"/>
      <w:r>
        <w:rPr>
          <w:szCs w:val="22"/>
        </w:rPr>
        <w:t>Sam Mostyn AC</w:t>
      </w:r>
    </w:p>
    <w:p w14:paraId="52B2F301" w14:textId="7AE6BA84" w:rsidR="00647C6B" w:rsidRPr="00A058B6" w:rsidRDefault="00647C6B" w:rsidP="00647C6B">
      <w:pPr>
        <w:keepNext/>
        <w:tabs>
          <w:tab w:val="left" w:pos="3402"/>
        </w:tabs>
        <w:spacing w:line="300" w:lineRule="atLeast"/>
        <w:ind w:left="397" w:right="397"/>
        <w:jc w:val="right"/>
        <w:rPr>
          <w:szCs w:val="22"/>
        </w:rPr>
      </w:pPr>
      <w:r w:rsidRPr="00A058B6">
        <w:rPr>
          <w:szCs w:val="22"/>
        </w:rPr>
        <w:t>Governor</w:t>
      </w:r>
      <w:r w:rsidR="001952B3">
        <w:rPr>
          <w:szCs w:val="22"/>
        </w:rPr>
        <w:noBreakHyphen/>
      </w:r>
      <w:r w:rsidRPr="00A058B6">
        <w:rPr>
          <w:szCs w:val="22"/>
        </w:rPr>
        <w:t>General</w:t>
      </w:r>
    </w:p>
    <w:p w14:paraId="3621469B" w14:textId="77777777" w:rsidR="00647C6B" w:rsidRPr="00A058B6" w:rsidRDefault="00647C6B" w:rsidP="00647C6B">
      <w:pPr>
        <w:keepNext/>
        <w:tabs>
          <w:tab w:val="left" w:pos="3402"/>
        </w:tabs>
        <w:spacing w:before="840" w:after="1080" w:line="300" w:lineRule="atLeast"/>
        <w:ind w:right="397"/>
        <w:rPr>
          <w:szCs w:val="22"/>
        </w:rPr>
      </w:pPr>
      <w:r w:rsidRPr="00A058B6">
        <w:rPr>
          <w:szCs w:val="22"/>
        </w:rPr>
        <w:t xml:space="preserve">By </w:t>
      </w:r>
      <w:r w:rsidR="005A1BE9">
        <w:rPr>
          <w:szCs w:val="22"/>
        </w:rPr>
        <w:t>Her</w:t>
      </w:r>
      <w:r w:rsidRPr="00A058B6">
        <w:rPr>
          <w:szCs w:val="22"/>
        </w:rPr>
        <w:t xml:space="preserve"> Excellency’s Command</w:t>
      </w:r>
    </w:p>
    <w:p w14:paraId="359E6899" w14:textId="16BAC387" w:rsidR="00647C6B" w:rsidRPr="00A058B6" w:rsidRDefault="00647C6B" w:rsidP="00647C6B">
      <w:pPr>
        <w:keepNext/>
        <w:tabs>
          <w:tab w:val="left" w:pos="3402"/>
        </w:tabs>
        <w:spacing w:before="480" w:line="300" w:lineRule="atLeast"/>
        <w:ind w:right="397"/>
        <w:rPr>
          <w:szCs w:val="22"/>
        </w:rPr>
      </w:pPr>
      <w:r w:rsidRPr="00A058B6">
        <w:rPr>
          <w:szCs w:val="22"/>
        </w:rPr>
        <w:t xml:space="preserve">Mark Dreyfus </w:t>
      </w:r>
      <w:r w:rsidR="00F84E08">
        <w:rPr>
          <w:szCs w:val="22"/>
        </w:rPr>
        <w:t>K</w:t>
      </w:r>
      <w:r w:rsidRPr="00A058B6">
        <w:rPr>
          <w:szCs w:val="22"/>
        </w:rPr>
        <w:t>C</w:t>
      </w:r>
    </w:p>
    <w:p w14:paraId="191F8994" w14:textId="1A14D7B1" w:rsidR="00647C6B" w:rsidRPr="00A058B6" w:rsidRDefault="00647C6B" w:rsidP="00647C6B">
      <w:pPr>
        <w:pStyle w:val="SignCoverPageEnd"/>
        <w:rPr>
          <w:szCs w:val="22"/>
        </w:rPr>
      </w:pPr>
      <w:r w:rsidRPr="00A058B6">
        <w:rPr>
          <w:szCs w:val="22"/>
        </w:rPr>
        <w:t>Attorney</w:t>
      </w:r>
      <w:r w:rsidR="001952B3">
        <w:rPr>
          <w:szCs w:val="22"/>
        </w:rPr>
        <w:noBreakHyphen/>
      </w:r>
      <w:r w:rsidRPr="00A058B6">
        <w:rPr>
          <w:szCs w:val="22"/>
        </w:rPr>
        <w:t>General</w:t>
      </w:r>
    </w:p>
    <w:p w14:paraId="69EDBDFE" w14:textId="77777777" w:rsidR="00647C6B" w:rsidRPr="00A058B6" w:rsidRDefault="00647C6B" w:rsidP="00647C6B"/>
    <w:p w14:paraId="609EA133" w14:textId="77777777" w:rsidR="00647C6B" w:rsidRPr="00A058B6" w:rsidRDefault="00647C6B" w:rsidP="00647C6B"/>
    <w:p w14:paraId="409AF8E5" w14:textId="77777777" w:rsidR="00647C6B" w:rsidRPr="00A058B6" w:rsidRDefault="00647C6B" w:rsidP="00647C6B"/>
    <w:p w14:paraId="144B3B17" w14:textId="77777777" w:rsidR="00FA26AF" w:rsidRPr="00423C34" w:rsidRDefault="00FA26AF" w:rsidP="009C0D79">
      <w:pPr>
        <w:pStyle w:val="Header"/>
        <w:tabs>
          <w:tab w:val="clear" w:pos="4150"/>
          <w:tab w:val="clear" w:pos="8307"/>
        </w:tabs>
      </w:pPr>
      <w:r w:rsidRPr="00423C34">
        <w:rPr>
          <w:rStyle w:val="CharChapNo"/>
        </w:rPr>
        <w:t xml:space="preserve"> </w:t>
      </w:r>
      <w:r w:rsidRPr="00423C34">
        <w:rPr>
          <w:rStyle w:val="CharChapText"/>
        </w:rPr>
        <w:t xml:space="preserve"> </w:t>
      </w:r>
    </w:p>
    <w:p w14:paraId="2526A94A" w14:textId="77777777" w:rsidR="00FA26AF" w:rsidRPr="00423C34" w:rsidRDefault="00FA26AF" w:rsidP="009C0D79">
      <w:pPr>
        <w:pStyle w:val="Header"/>
        <w:tabs>
          <w:tab w:val="clear" w:pos="4150"/>
          <w:tab w:val="clear" w:pos="8307"/>
        </w:tabs>
      </w:pPr>
      <w:r w:rsidRPr="00423C34">
        <w:rPr>
          <w:rStyle w:val="CharPartNo"/>
        </w:rPr>
        <w:t xml:space="preserve"> </w:t>
      </w:r>
      <w:r w:rsidRPr="00423C34">
        <w:rPr>
          <w:rStyle w:val="CharPartText"/>
        </w:rPr>
        <w:t xml:space="preserve"> </w:t>
      </w:r>
    </w:p>
    <w:p w14:paraId="57393DBE" w14:textId="77777777" w:rsidR="00FA26AF" w:rsidRPr="00423C34" w:rsidRDefault="00FA26AF" w:rsidP="009C0D79">
      <w:pPr>
        <w:pStyle w:val="Header"/>
        <w:tabs>
          <w:tab w:val="clear" w:pos="4150"/>
          <w:tab w:val="clear" w:pos="8307"/>
        </w:tabs>
      </w:pPr>
      <w:r w:rsidRPr="00423C34">
        <w:rPr>
          <w:rStyle w:val="CharDivNo"/>
        </w:rPr>
        <w:t xml:space="preserve"> </w:t>
      </w:r>
      <w:r w:rsidRPr="00423C34">
        <w:rPr>
          <w:rStyle w:val="CharDivText"/>
        </w:rPr>
        <w:t xml:space="preserve"> </w:t>
      </w:r>
    </w:p>
    <w:p w14:paraId="4A029543" w14:textId="77777777" w:rsidR="00FA26AF" w:rsidRPr="00A058B6" w:rsidRDefault="00FA26AF" w:rsidP="009C0D79">
      <w:pPr>
        <w:sectPr w:rsidR="00FA26AF" w:rsidRPr="00A058B6" w:rsidSect="00942B24">
          <w:headerReference w:type="even" r:id="rId12"/>
          <w:headerReference w:type="default" r:id="rId13"/>
          <w:footerReference w:type="even" r:id="rId14"/>
          <w:footerReference w:type="default" r:id="rId15"/>
          <w:headerReference w:type="first" r:id="rId16"/>
          <w:footerReference w:type="first" r:id="rId17"/>
          <w:pgSz w:w="11907" w:h="16839"/>
          <w:pgMar w:top="2233" w:right="1797" w:bottom="1440" w:left="1797" w:header="720" w:footer="708" w:gutter="0"/>
          <w:cols w:space="708"/>
          <w:docGrid w:linePitch="360"/>
        </w:sectPr>
      </w:pPr>
      <w:bookmarkStart w:id="1" w:name="OPCSB_CoverPageA4"/>
    </w:p>
    <w:bookmarkEnd w:id="1"/>
    <w:p w14:paraId="6025131D" w14:textId="77777777" w:rsidR="00647C6B" w:rsidRPr="00A058B6" w:rsidRDefault="00647C6B" w:rsidP="00647C6B">
      <w:pPr>
        <w:outlineLvl w:val="0"/>
        <w:rPr>
          <w:sz w:val="36"/>
        </w:rPr>
      </w:pPr>
      <w:r w:rsidRPr="00A058B6">
        <w:rPr>
          <w:sz w:val="36"/>
        </w:rPr>
        <w:lastRenderedPageBreak/>
        <w:t>Contents</w:t>
      </w:r>
    </w:p>
    <w:p w14:paraId="68F49A50" w14:textId="4EA160AD" w:rsidR="009F64E9" w:rsidRDefault="009F64E9">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_Toc188350493 \h </w:instrText>
      </w:r>
      <w:r w:rsidRPr="009F64E9">
        <w:rPr>
          <w:b w:val="0"/>
          <w:noProof/>
          <w:sz w:val="18"/>
        </w:rPr>
      </w:r>
      <w:r w:rsidRPr="009F64E9">
        <w:rPr>
          <w:b w:val="0"/>
          <w:noProof/>
          <w:sz w:val="18"/>
        </w:rPr>
        <w:fldChar w:fldCharType="separate"/>
      </w:r>
      <w:r w:rsidR="000E6B78">
        <w:rPr>
          <w:b w:val="0"/>
          <w:noProof/>
          <w:sz w:val="18"/>
        </w:rPr>
        <w:t>1</w:t>
      </w:r>
      <w:r w:rsidRPr="009F64E9">
        <w:rPr>
          <w:b w:val="0"/>
          <w:noProof/>
          <w:sz w:val="18"/>
        </w:rPr>
        <w:fldChar w:fldCharType="end"/>
      </w:r>
    </w:p>
    <w:p w14:paraId="0AD0DB56" w14:textId="3CA8236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9F64E9">
        <w:rPr>
          <w:noProof/>
        </w:rPr>
        <w:tab/>
      </w:r>
      <w:r w:rsidRPr="009F64E9">
        <w:rPr>
          <w:noProof/>
        </w:rPr>
        <w:fldChar w:fldCharType="begin"/>
      </w:r>
      <w:r w:rsidRPr="009F64E9">
        <w:rPr>
          <w:noProof/>
        </w:rPr>
        <w:instrText xml:space="preserve"> PAGEREF _Toc188350494 \h </w:instrText>
      </w:r>
      <w:r w:rsidRPr="009F64E9">
        <w:rPr>
          <w:noProof/>
        </w:rPr>
      </w:r>
      <w:r w:rsidRPr="009F64E9">
        <w:rPr>
          <w:noProof/>
        </w:rPr>
        <w:fldChar w:fldCharType="separate"/>
      </w:r>
      <w:r w:rsidR="000E6B78">
        <w:rPr>
          <w:noProof/>
        </w:rPr>
        <w:t>1</w:t>
      </w:r>
      <w:r w:rsidRPr="009F64E9">
        <w:rPr>
          <w:noProof/>
        </w:rPr>
        <w:fldChar w:fldCharType="end"/>
      </w:r>
    </w:p>
    <w:p w14:paraId="097B37C8" w14:textId="1A94493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9F64E9">
        <w:rPr>
          <w:noProof/>
        </w:rPr>
        <w:tab/>
      </w:r>
      <w:r w:rsidRPr="009F64E9">
        <w:rPr>
          <w:noProof/>
        </w:rPr>
        <w:fldChar w:fldCharType="begin"/>
      </w:r>
      <w:r w:rsidRPr="009F64E9">
        <w:rPr>
          <w:noProof/>
        </w:rPr>
        <w:instrText xml:space="preserve"> PAGEREF _Toc188350495 \h </w:instrText>
      </w:r>
      <w:r w:rsidRPr="009F64E9">
        <w:rPr>
          <w:noProof/>
        </w:rPr>
      </w:r>
      <w:r w:rsidRPr="009F64E9">
        <w:rPr>
          <w:noProof/>
        </w:rPr>
        <w:fldChar w:fldCharType="separate"/>
      </w:r>
      <w:r w:rsidR="000E6B78">
        <w:rPr>
          <w:noProof/>
        </w:rPr>
        <w:t>1</w:t>
      </w:r>
      <w:r w:rsidRPr="009F64E9">
        <w:rPr>
          <w:noProof/>
        </w:rPr>
        <w:fldChar w:fldCharType="end"/>
      </w:r>
    </w:p>
    <w:p w14:paraId="57179659" w14:textId="08A27F8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9F64E9">
        <w:rPr>
          <w:noProof/>
        </w:rPr>
        <w:tab/>
      </w:r>
      <w:r w:rsidRPr="009F64E9">
        <w:rPr>
          <w:noProof/>
        </w:rPr>
        <w:fldChar w:fldCharType="begin"/>
      </w:r>
      <w:r w:rsidRPr="009F64E9">
        <w:rPr>
          <w:noProof/>
        </w:rPr>
        <w:instrText xml:space="preserve"> PAGEREF _Toc188350496 \h </w:instrText>
      </w:r>
      <w:r w:rsidRPr="009F64E9">
        <w:rPr>
          <w:noProof/>
        </w:rPr>
      </w:r>
      <w:r w:rsidRPr="009F64E9">
        <w:rPr>
          <w:noProof/>
        </w:rPr>
        <w:fldChar w:fldCharType="separate"/>
      </w:r>
      <w:r w:rsidR="000E6B78">
        <w:rPr>
          <w:noProof/>
        </w:rPr>
        <w:t>1</w:t>
      </w:r>
      <w:r w:rsidRPr="009F64E9">
        <w:rPr>
          <w:noProof/>
        </w:rPr>
        <w:fldChar w:fldCharType="end"/>
      </w:r>
    </w:p>
    <w:p w14:paraId="3EEFB1FE" w14:textId="7B456B1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9F64E9">
        <w:rPr>
          <w:noProof/>
        </w:rPr>
        <w:tab/>
      </w:r>
      <w:r w:rsidRPr="009F64E9">
        <w:rPr>
          <w:noProof/>
        </w:rPr>
        <w:fldChar w:fldCharType="begin"/>
      </w:r>
      <w:r w:rsidRPr="009F64E9">
        <w:rPr>
          <w:noProof/>
        </w:rPr>
        <w:instrText xml:space="preserve"> PAGEREF _Toc188350497 \h </w:instrText>
      </w:r>
      <w:r w:rsidRPr="009F64E9">
        <w:rPr>
          <w:noProof/>
        </w:rPr>
      </w:r>
      <w:r w:rsidRPr="009F64E9">
        <w:rPr>
          <w:noProof/>
        </w:rPr>
        <w:fldChar w:fldCharType="separate"/>
      </w:r>
      <w:r w:rsidR="000E6B78">
        <w:rPr>
          <w:noProof/>
        </w:rPr>
        <w:t>1</w:t>
      </w:r>
      <w:r w:rsidRPr="009F64E9">
        <w:rPr>
          <w:noProof/>
        </w:rPr>
        <w:fldChar w:fldCharType="end"/>
      </w:r>
    </w:p>
    <w:p w14:paraId="0C8C3910" w14:textId="2B12585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 xml:space="preserve">Meaning of </w:t>
      </w:r>
      <w:r w:rsidRPr="006558F0">
        <w:rPr>
          <w:i/>
          <w:noProof/>
        </w:rPr>
        <w:t>component</w:t>
      </w:r>
      <w:r>
        <w:rPr>
          <w:noProof/>
        </w:rPr>
        <w:t xml:space="preserve"> of a superannuation interest</w:t>
      </w:r>
      <w:r w:rsidRPr="009F64E9">
        <w:rPr>
          <w:noProof/>
        </w:rPr>
        <w:tab/>
      </w:r>
      <w:r w:rsidRPr="009F64E9">
        <w:rPr>
          <w:noProof/>
        </w:rPr>
        <w:fldChar w:fldCharType="begin"/>
      </w:r>
      <w:r w:rsidRPr="009F64E9">
        <w:rPr>
          <w:noProof/>
        </w:rPr>
        <w:instrText xml:space="preserve"> PAGEREF _Toc188350498 \h </w:instrText>
      </w:r>
      <w:r w:rsidRPr="009F64E9">
        <w:rPr>
          <w:noProof/>
        </w:rPr>
      </w:r>
      <w:r w:rsidRPr="009F64E9">
        <w:rPr>
          <w:noProof/>
        </w:rPr>
        <w:fldChar w:fldCharType="separate"/>
      </w:r>
      <w:r w:rsidR="000E6B78">
        <w:rPr>
          <w:noProof/>
        </w:rPr>
        <w:t>5</w:t>
      </w:r>
      <w:r w:rsidRPr="009F64E9">
        <w:rPr>
          <w:noProof/>
        </w:rPr>
        <w:fldChar w:fldCharType="end"/>
      </w:r>
    </w:p>
    <w:p w14:paraId="7A75E1D7" w14:textId="3DB923D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 xml:space="preserve">Meaning of </w:t>
      </w:r>
      <w:r w:rsidRPr="006558F0">
        <w:rPr>
          <w:i/>
          <w:noProof/>
        </w:rPr>
        <w:t>defined benefit interest</w:t>
      </w:r>
      <w:r w:rsidRPr="009F64E9">
        <w:rPr>
          <w:noProof/>
        </w:rPr>
        <w:tab/>
      </w:r>
      <w:r w:rsidRPr="009F64E9">
        <w:rPr>
          <w:noProof/>
        </w:rPr>
        <w:fldChar w:fldCharType="begin"/>
      </w:r>
      <w:r w:rsidRPr="009F64E9">
        <w:rPr>
          <w:noProof/>
        </w:rPr>
        <w:instrText xml:space="preserve"> PAGEREF _Toc188350499 \h </w:instrText>
      </w:r>
      <w:r w:rsidRPr="009F64E9">
        <w:rPr>
          <w:noProof/>
        </w:rPr>
      </w:r>
      <w:r w:rsidRPr="009F64E9">
        <w:rPr>
          <w:noProof/>
        </w:rPr>
        <w:fldChar w:fldCharType="separate"/>
      </w:r>
      <w:r w:rsidR="000E6B78">
        <w:rPr>
          <w:noProof/>
        </w:rPr>
        <w:t>6</w:t>
      </w:r>
      <w:r w:rsidRPr="009F64E9">
        <w:rPr>
          <w:noProof/>
        </w:rPr>
        <w:fldChar w:fldCharType="end"/>
      </w:r>
    </w:p>
    <w:p w14:paraId="1765FCCE" w14:textId="7274021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Meaning of </w:t>
      </w:r>
      <w:r w:rsidRPr="006558F0">
        <w:rPr>
          <w:i/>
          <w:noProof/>
        </w:rPr>
        <w:t>growth phase</w:t>
      </w:r>
      <w:r>
        <w:rPr>
          <w:noProof/>
        </w:rPr>
        <w:t>—superannuation interests in regulated superannuation funds, approved deposit funds and RSAs</w:t>
      </w:r>
      <w:r w:rsidRPr="009F64E9">
        <w:rPr>
          <w:noProof/>
        </w:rPr>
        <w:tab/>
      </w:r>
      <w:r w:rsidRPr="009F64E9">
        <w:rPr>
          <w:noProof/>
        </w:rPr>
        <w:fldChar w:fldCharType="begin"/>
      </w:r>
      <w:r w:rsidRPr="009F64E9">
        <w:rPr>
          <w:noProof/>
        </w:rPr>
        <w:instrText xml:space="preserve"> PAGEREF _Toc188350500 \h </w:instrText>
      </w:r>
      <w:r w:rsidRPr="009F64E9">
        <w:rPr>
          <w:noProof/>
        </w:rPr>
      </w:r>
      <w:r w:rsidRPr="009F64E9">
        <w:rPr>
          <w:noProof/>
        </w:rPr>
        <w:fldChar w:fldCharType="separate"/>
      </w:r>
      <w:r w:rsidR="000E6B78">
        <w:rPr>
          <w:noProof/>
        </w:rPr>
        <w:t>7</w:t>
      </w:r>
      <w:r w:rsidRPr="009F64E9">
        <w:rPr>
          <w:noProof/>
        </w:rPr>
        <w:fldChar w:fldCharType="end"/>
      </w:r>
    </w:p>
    <w:p w14:paraId="3EA01C84" w14:textId="64E46C9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 xml:space="preserve">Meaning of </w:t>
      </w:r>
      <w:r w:rsidRPr="006558F0">
        <w:rPr>
          <w:i/>
          <w:noProof/>
        </w:rPr>
        <w:t>growth phase</w:t>
      </w:r>
      <w:r>
        <w:rPr>
          <w:noProof/>
        </w:rPr>
        <w:t>—superannuation interests in other eligible superannuation plans</w:t>
      </w:r>
      <w:r w:rsidRPr="009F64E9">
        <w:rPr>
          <w:noProof/>
        </w:rPr>
        <w:tab/>
      </w:r>
      <w:r w:rsidRPr="009F64E9">
        <w:rPr>
          <w:noProof/>
        </w:rPr>
        <w:fldChar w:fldCharType="begin"/>
      </w:r>
      <w:r w:rsidRPr="009F64E9">
        <w:rPr>
          <w:noProof/>
        </w:rPr>
        <w:instrText xml:space="preserve"> PAGEREF _Toc188350501 \h </w:instrText>
      </w:r>
      <w:r w:rsidRPr="009F64E9">
        <w:rPr>
          <w:noProof/>
        </w:rPr>
      </w:r>
      <w:r w:rsidRPr="009F64E9">
        <w:rPr>
          <w:noProof/>
        </w:rPr>
        <w:fldChar w:fldCharType="separate"/>
      </w:r>
      <w:r w:rsidR="000E6B78">
        <w:rPr>
          <w:noProof/>
        </w:rPr>
        <w:t>9</w:t>
      </w:r>
      <w:r w:rsidRPr="009F64E9">
        <w:rPr>
          <w:noProof/>
        </w:rPr>
        <w:fldChar w:fldCharType="end"/>
      </w:r>
    </w:p>
    <w:p w14:paraId="1F72B7D7" w14:textId="3C74EA7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 xml:space="preserve">Meaning of </w:t>
      </w:r>
      <w:r w:rsidRPr="006558F0">
        <w:rPr>
          <w:i/>
          <w:noProof/>
        </w:rPr>
        <w:t>payment phase</w:t>
      </w:r>
      <w:r w:rsidRPr="009F64E9">
        <w:rPr>
          <w:noProof/>
        </w:rPr>
        <w:tab/>
      </w:r>
      <w:r w:rsidRPr="009F64E9">
        <w:rPr>
          <w:noProof/>
        </w:rPr>
        <w:fldChar w:fldCharType="begin"/>
      </w:r>
      <w:r w:rsidRPr="009F64E9">
        <w:rPr>
          <w:noProof/>
        </w:rPr>
        <w:instrText xml:space="preserve"> PAGEREF _Toc188350502 \h </w:instrText>
      </w:r>
      <w:r w:rsidRPr="009F64E9">
        <w:rPr>
          <w:noProof/>
        </w:rPr>
      </w:r>
      <w:r w:rsidRPr="009F64E9">
        <w:rPr>
          <w:noProof/>
        </w:rPr>
        <w:fldChar w:fldCharType="separate"/>
      </w:r>
      <w:r w:rsidR="000E6B78">
        <w:rPr>
          <w:noProof/>
        </w:rPr>
        <w:t>10</w:t>
      </w:r>
      <w:r w:rsidRPr="009F64E9">
        <w:rPr>
          <w:noProof/>
        </w:rPr>
        <w:fldChar w:fldCharType="end"/>
      </w:r>
    </w:p>
    <w:p w14:paraId="0F037C50" w14:textId="3D30562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 xml:space="preserve">Meaning of </w:t>
      </w:r>
      <w:r w:rsidRPr="006558F0">
        <w:rPr>
          <w:i/>
          <w:noProof/>
        </w:rPr>
        <w:t>partially vested accumulation interest</w:t>
      </w:r>
      <w:r w:rsidRPr="009F64E9">
        <w:rPr>
          <w:noProof/>
        </w:rPr>
        <w:tab/>
      </w:r>
      <w:r w:rsidRPr="009F64E9">
        <w:rPr>
          <w:noProof/>
        </w:rPr>
        <w:fldChar w:fldCharType="begin"/>
      </w:r>
      <w:r w:rsidRPr="009F64E9">
        <w:rPr>
          <w:noProof/>
        </w:rPr>
        <w:instrText xml:space="preserve"> PAGEREF _Toc188350503 \h </w:instrText>
      </w:r>
      <w:r w:rsidRPr="009F64E9">
        <w:rPr>
          <w:noProof/>
        </w:rPr>
      </w:r>
      <w:r w:rsidRPr="009F64E9">
        <w:rPr>
          <w:noProof/>
        </w:rPr>
        <w:fldChar w:fldCharType="separate"/>
      </w:r>
      <w:r w:rsidR="000E6B78">
        <w:rPr>
          <w:noProof/>
        </w:rPr>
        <w:t>10</w:t>
      </w:r>
      <w:r w:rsidRPr="009F64E9">
        <w:rPr>
          <w:noProof/>
        </w:rPr>
        <w:fldChar w:fldCharType="end"/>
      </w:r>
    </w:p>
    <w:p w14:paraId="13C4CE4D" w14:textId="30AEDCD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 xml:space="preserve">Meaning of </w:t>
      </w:r>
      <w:r w:rsidRPr="006558F0">
        <w:rPr>
          <w:i/>
          <w:noProof/>
        </w:rPr>
        <w:t>percentage</w:t>
      </w:r>
      <w:r w:rsidRPr="006558F0">
        <w:rPr>
          <w:i/>
          <w:noProof/>
        </w:rPr>
        <w:noBreakHyphen/>
        <w:t>only interest</w:t>
      </w:r>
      <w:r w:rsidRPr="009F64E9">
        <w:rPr>
          <w:noProof/>
        </w:rPr>
        <w:tab/>
      </w:r>
      <w:r w:rsidRPr="009F64E9">
        <w:rPr>
          <w:noProof/>
        </w:rPr>
        <w:fldChar w:fldCharType="begin"/>
      </w:r>
      <w:r w:rsidRPr="009F64E9">
        <w:rPr>
          <w:noProof/>
        </w:rPr>
        <w:instrText xml:space="preserve"> PAGEREF _Toc188350504 \h </w:instrText>
      </w:r>
      <w:r w:rsidRPr="009F64E9">
        <w:rPr>
          <w:noProof/>
        </w:rPr>
      </w:r>
      <w:r w:rsidRPr="009F64E9">
        <w:rPr>
          <w:noProof/>
        </w:rPr>
        <w:fldChar w:fldCharType="separate"/>
      </w:r>
      <w:r w:rsidR="000E6B78">
        <w:rPr>
          <w:noProof/>
        </w:rPr>
        <w:t>10</w:t>
      </w:r>
      <w:r w:rsidRPr="009F64E9">
        <w:rPr>
          <w:noProof/>
        </w:rPr>
        <w:fldChar w:fldCharType="end"/>
      </w:r>
    </w:p>
    <w:p w14:paraId="002B0D29" w14:textId="002BCD6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 xml:space="preserve">Meaning of </w:t>
      </w:r>
      <w:r w:rsidRPr="006558F0">
        <w:rPr>
          <w:i/>
          <w:noProof/>
        </w:rPr>
        <w:t>trustee</w:t>
      </w:r>
      <w:r w:rsidRPr="009F64E9">
        <w:rPr>
          <w:noProof/>
        </w:rPr>
        <w:tab/>
      </w:r>
      <w:r w:rsidRPr="009F64E9">
        <w:rPr>
          <w:noProof/>
        </w:rPr>
        <w:fldChar w:fldCharType="begin"/>
      </w:r>
      <w:r w:rsidRPr="009F64E9">
        <w:rPr>
          <w:noProof/>
        </w:rPr>
        <w:instrText xml:space="preserve"> PAGEREF _Toc188350505 \h </w:instrText>
      </w:r>
      <w:r w:rsidRPr="009F64E9">
        <w:rPr>
          <w:noProof/>
        </w:rPr>
      </w:r>
      <w:r w:rsidRPr="009F64E9">
        <w:rPr>
          <w:noProof/>
        </w:rPr>
        <w:fldChar w:fldCharType="separate"/>
      </w:r>
      <w:r w:rsidR="000E6B78">
        <w:rPr>
          <w:noProof/>
        </w:rPr>
        <w:t>11</w:t>
      </w:r>
      <w:r w:rsidRPr="009F64E9">
        <w:rPr>
          <w:noProof/>
        </w:rPr>
        <w:fldChar w:fldCharType="end"/>
      </w:r>
    </w:p>
    <w:p w14:paraId="0EA47F51" w14:textId="1DF9D08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 xml:space="preserve">Meaning of </w:t>
      </w:r>
      <w:r w:rsidRPr="006558F0">
        <w:rPr>
          <w:i/>
          <w:noProof/>
        </w:rPr>
        <w:t>unflaggable interest</w:t>
      </w:r>
      <w:r w:rsidRPr="009F64E9">
        <w:rPr>
          <w:noProof/>
        </w:rPr>
        <w:tab/>
      </w:r>
      <w:r w:rsidRPr="009F64E9">
        <w:rPr>
          <w:noProof/>
        </w:rPr>
        <w:fldChar w:fldCharType="begin"/>
      </w:r>
      <w:r w:rsidRPr="009F64E9">
        <w:rPr>
          <w:noProof/>
        </w:rPr>
        <w:instrText xml:space="preserve"> PAGEREF _Toc188350506 \h </w:instrText>
      </w:r>
      <w:r w:rsidRPr="009F64E9">
        <w:rPr>
          <w:noProof/>
        </w:rPr>
      </w:r>
      <w:r w:rsidRPr="009F64E9">
        <w:rPr>
          <w:noProof/>
        </w:rPr>
        <w:fldChar w:fldCharType="separate"/>
      </w:r>
      <w:r w:rsidR="000E6B78">
        <w:rPr>
          <w:noProof/>
        </w:rPr>
        <w:t>12</w:t>
      </w:r>
      <w:r w:rsidRPr="009F64E9">
        <w:rPr>
          <w:noProof/>
        </w:rPr>
        <w:fldChar w:fldCharType="end"/>
      </w:r>
    </w:p>
    <w:p w14:paraId="57B4FA5A" w14:textId="7FC9756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 xml:space="preserve">Meaning of </w:t>
      </w:r>
      <w:r w:rsidRPr="006558F0">
        <w:rPr>
          <w:i/>
          <w:noProof/>
        </w:rPr>
        <w:t>unsplittable interest</w:t>
      </w:r>
      <w:r w:rsidRPr="009F64E9">
        <w:rPr>
          <w:noProof/>
        </w:rPr>
        <w:tab/>
      </w:r>
      <w:r w:rsidRPr="009F64E9">
        <w:rPr>
          <w:noProof/>
        </w:rPr>
        <w:fldChar w:fldCharType="begin"/>
      </w:r>
      <w:r w:rsidRPr="009F64E9">
        <w:rPr>
          <w:noProof/>
        </w:rPr>
        <w:instrText xml:space="preserve"> PAGEREF _Toc188350507 \h </w:instrText>
      </w:r>
      <w:r w:rsidRPr="009F64E9">
        <w:rPr>
          <w:noProof/>
        </w:rPr>
      </w:r>
      <w:r w:rsidRPr="009F64E9">
        <w:rPr>
          <w:noProof/>
        </w:rPr>
        <w:fldChar w:fldCharType="separate"/>
      </w:r>
      <w:r w:rsidR="000E6B78">
        <w:rPr>
          <w:noProof/>
        </w:rPr>
        <w:t>13</w:t>
      </w:r>
      <w:r w:rsidRPr="009F64E9">
        <w:rPr>
          <w:noProof/>
        </w:rPr>
        <w:fldChar w:fldCharType="end"/>
      </w:r>
    </w:p>
    <w:p w14:paraId="54F5322E" w14:textId="5EF2543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 xml:space="preserve">Meaning of </w:t>
      </w:r>
      <w:r w:rsidRPr="006558F0">
        <w:rPr>
          <w:i/>
          <w:noProof/>
        </w:rPr>
        <w:t>lifetime pension</w:t>
      </w:r>
      <w:r>
        <w:rPr>
          <w:noProof/>
        </w:rPr>
        <w:t xml:space="preserve"> etc.</w:t>
      </w:r>
      <w:r w:rsidRPr="009F64E9">
        <w:rPr>
          <w:noProof/>
        </w:rPr>
        <w:tab/>
      </w:r>
      <w:r w:rsidRPr="009F64E9">
        <w:rPr>
          <w:noProof/>
        </w:rPr>
        <w:fldChar w:fldCharType="begin"/>
      </w:r>
      <w:r w:rsidRPr="009F64E9">
        <w:rPr>
          <w:noProof/>
        </w:rPr>
        <w:instrText xml:space="preserve"> PAGEREF _Toc188350508 \h </w:instrText>
      </w:r>
      <w:r w:rsidRPr="009F64E9">
        <w:rPr>
          <w:noProof/>
        </w:rPr>
      </w:r>
      <w:r w:rsidRPr="009F64E9">
        <w:rPr>
          <w:noProof/>
        </w:rPr>
        <w:fldChar w:fldCharType="separate"/>
      </w:r>
      <w:r w:rsidR="000E6B78">
        <w:rPr>
          <w:noProof/>
        </w:rPr>
        <w:t>13</w:t>
      </w:r>
      <w:r w:rsidRPr="009F64E9">
        <w:rPr>
          <w:noProof/>
        </w:rPr>
        <w:fldChar w:fldCharType="end"/>
      </w:r>
    </w:p>
    <w:p w14:paraId="5D92F8CF" w14:textId="38D45BEB"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2—Payments that are not splittable payments: payments of a particular character, or payments after death of member spouse</w:t>
      </w:r>
      <w:r w:rsidRPr="009F64E9">
        <w:rPr>
          <w:b w:val="0"/>
          <w:noProof/>
          <w:sz w:val="18"/>
        </w:rPr>
        <w:tab/>
      </w:r>
      <w:r w:rsidRPr="009F64E9">
        <w:rPr>
          <w:b w:val="0"/>
          <w:noProof/>
          <w:sz w:val="18"/>
        </w:rPr>
        <w:fldChar w:fldCharType="begin"/>
      </w:r>
      <w:r w:rsidRPr="009F64E9">
        <w:rPr>
          <w:b w:val="0"/>
          <w:noProof/>
          <w:sz w:val="18"/>
        </w:rPr>
        <w:instrText xml:space="preserve"> PAGEREF _Toc188350509 \h </w:instrText>
      </w:r>
      <w:r w:rsidRPr="009F64E9">
        <w:rPr>
          <w:b w:val="0"/>
          <w:noProof/>
          <w:sz w:val="18"/>
        </w:rPr>
      </w:r>
      <w:r w:rsidRPr="009F64E9">
        <w:rPr>
          <w:b w:val="0"/>
          <w:noProof/>
          <w:sz w:val="18"/>
        </w:rPr>
        <w:fldChar w:fldCharType="separate"/>
      </w:r>
      <w:r w:rsidR="000E6B78">
        <w:rPr>
          <w:b w:val="0"/>
          <w:noProof/>
          <w:sz w:val="18"/>
        </w:rPr>
        <w:t>14</w:t>
      </w:r>
      <w:r w:rsidRPr="009F64E9">
        <w:rPr>
          <w:b w:val="0"/>
          <w:noProof/>
          <w:sz w:val="18"/>
        </w:rPr>
        <w:fldChar w:fldCharType="end"/>
      </w:r>
    </w:p>
    <w:p w14:paraId="6A5FFED4" w14:textId="6A9F366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Payments of a particular character that are not splittable payments</w:t>
      </w:r>
      <w:r w:rsidRPr="009F64E9">
        <w:rPr>
          <w:noProof/>
        </w:rPr>
        <w:tab/>
      </w:r>
      <w:r w:rsidRPr="009F64E9">
        <w:rPr>
          <w:noProof/>
        </w:rPr>
        <w:fldChar w:fldCharType="begin"/>
      </w:r>
      <w:r w:rsidRPr="009F64E9">
        <w:rPr>
          <w:noProof/>
        </w:rPr>
        <w:instrText xml:space="preserve"> PAGEREF _Toc188350510 \h </w:instrText>
      </w:r>
      <w:r w:rsidRPr="009F64E9">
        <w:rPr>
          <w:noProof/>
        </w:rPr>
      </w:r>
      <w:r w:rsidRPr="009F64E9">
        <w:rPr>
          <w:noProof/>
        </w:rPr>
        <w:fldChar w:fldCharType="separate"/>
      </w:r>
      <w:r w:rsidR="000E6B78">
        <w:rPr>
          <w:noProof/>
        </w:rPr>
        <w:t>14</w:t>
      </w:r>
      <w:r w:rsidRPr="009F64E9">
        <w:rPr>
          <w:noProof/>
        </w:rPr>
        <w:fldChar w:fldCharType="end"/>
      </w:r>
    </w:p>
    <w:p w14:paraId="7FBFFEDA" w14:textId="3A92CA4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Payments after death of member spouse that are not splittable payments</w:t>
      </w:r>
      <w:r w:rsidRPr="009F64E9">
        <w:rPr>
          <w:noProof/>
        </w:rPr>
        <w:tab/>
      </w:r>
      <w:r w:rsidRPr="009F64E9">
        <w:rPr>
          <w:noProof/>
        </w:rPr>
        <w:fldChar w:fldCharType="begin"/>
      </w:r>
      <w:r w:rsidRPr="009F64E9">
        <w:rPr>
          <w:noProof/>
        </w:rPr>
        <w:instrText xml:space="preserve"> PAGEREF _Toc188350511 \h </w:instrText>
      </w:r>
      <w:r w:rsidRPr="009F64E9">
        <w:rPr>
          <w:noProof/>
        </w:rPr>
      </w:r>
      <w:r w:rsidRPr="009F64E9">
        <w:rPr>
          <w:noProof/>
        </w:rPr>
        <w:fldChar w:fldCharType="separate"/>
      </w:r>
      <w:r w:rsidR="000E6B78">
        <w:rPr>
          <w:noProof/>
        </w:rPr>
        <w:t>15</w:t>
      </w:r>
      <w:r w:rsidRPr="009F64E9">
        <w:rPr>
          <w:noProof/>
        </w:rPr>
        <w:fldChar w:fldCharType="end"/>
      </w:r>
    </w:p>
    <w:p w14:paraId="03A0EA5C" w14:textId="66385714"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3—Payments that are not splittable payments: payments made in particular circumstances</w:t>
      </w:r>
      <w:r w:rsidRPr="009F64E9">
        <w:rPr>
          <w:b w:val="0"/>
          <w:noProof/>
          <w:sz w:val="18"/>
        </w:rPr>
        <w:tab/>
      </w:r>
      <w:r w:rsidRPr="009F64E9">
        <w:rPr>
          <w:b w:val="0"/>
          <w:noProof/>
          <w:sz w:val="18"/>
        </w:rPr>
        <w:fldChar w:fldCharType="begin"/>
      </w:r>
      <w:r w:rsidRPr="009F64E9">
        <w:rPr>
          <w:b w:val="0"/>
          <w:noProof/>
          <w:sz w:val="18"/>
        </w:rPr>
        <w:instrText xml:space="preserve"> PAGEREF _Toc188350512 \h </w:instrText>
      </w:r>
      <w:r w:rsidRPr="009F64E9">
        <w:rPr>
          <w:b w:val="0"/>
          <w:noProof/>
          <w:sz w:val="18"/>
        </w:rPr>
      </w:r>
      <w:r w:rsidRPr="009F64E9">
        <w:rPr>
          <w:b w:val="0"/>
          <w:noProof/>
          <w:sz w:val="18"/>
        </w:rPr>
        <w:fldChar w:fldCharType="separate"/>
      </w:r>
      <w:r w:rsidR="000E6B78">
        <w:rPr>
          <w:b w:val="0"/>
          <w:noProof/>
          <w:sz w:val="18"/>
        </w:rPr>
        <w:t>17</w:t>
      </w:r>
      <w:r w:rsidRPr="009F64E9">
        <w:rPr>
          <w:b w:val="0"/>
          <w:noProof/>
          <w:sz w:val="18"/>
        </w:rPr>
        <w:fldChar w:fldCharType="end"/>
      </w:r>
    </w:p>
    <w:p w14:paraId="4F4B73F5" w14:textId="0E0FBB04"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_Toc188350513 \h </w:instrText>
      </w:r>
      <w:r w:rsidRPr="009F64E9">
        <w:rPr>
          <w:b w:val="0"/>
          <w:noProof/>
          <w:sz w:val="18"/>
        </w:rPr>
      </w:r>
      <w:r w:rsidRPr="009F64E9">
        <w:rPr>
          <w:b w:val="0"/>
          <w:noProof/>
          <w:sz w:val="18"/>
        </w:rPr>
        <w:fldChar w:fldCharType="separate"/>
      </w:r>
      <w:r w:rsidR="000E6B78">
        <w:rPr>
          <w:b w:val="0"/>
          <w:noProof/>
          <w:sz w:val="18"/>
        </w:rPr>
        <w:t>17</w:t>
      </w:r>
      <w:r w:rsidRPr="009F64E9">
        <w:rPr>
          <w:b w:val="0"/>
          <w:noProof/>
          <w:sz w:val="18"/>
        </w:rPr>
        <w:fldChar w:fldCharType="end"/>
      </w:r>
    </w:p>
    <w:p w14:paraId="1CAC621C" w14:textId="1842424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Simplified outline of this Part</w:t>
      </w:r>
      <w:r w:rsidRPr="009F64E9">
        <w:rPr>
          <w:noProof/>
        </w:rPr>
        <w:tab/>
      </w:r>
      <w:r w:rsidRPr="009F64E9">
        <w:rPr>
          <w:noProof/>
        </w:rPr>
        <w:fldChar w:fldCharType="begin"/>
      </w:r>
      <w:r w:rsidRPr="009F64E9">
        <w:rPr>
          <w:noProof/>
        </w:rPr>
        <w:instrText xml:space="preserve"> PAGEREF _Toc188350514 \h </w:instrText>
      </w:r>
      <w:r w:rsidRPr="009F64E9">
        <w:rPr>
          <w:noProof/>
        </w:rPr>
      </w:r>
      <w:r w:rsidRPr="009F64E9">
        <w:rPr>
          <w:noProof/>
        </w:rPr>
        <w:fldChar w:fldCharType="separate"/>
      </w:r>
      <w:r w:rsidR="000E6B78">
        <w:rPr>
          <w:noProof/>
        </w:rPr>
        <w:t>17</w:t>
      </w:r>
      <w:r w:rsidRPr="009F64E9">
        <w:rPr>
          <w:noProof/>
        </w:rPr>
        <w:fldChar w:fldCharType="end"/>
      </w:r>
    </w:p>
    <w:p w14:paraId="1C3C996D" w14:textId="12FB575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Meaning of </w:t>
      </w:r>
      <w:r w:rsidRPr="006558F0">
        <w:rPr>
          <w:i/>
          <w:noProof/>
        </w:rPr>
        <w:t>relevant condition of release</w:t>
      </w:r>
      <w:r w:rsidRPr="009F64E9">
        <w:rPr>
          <w:noProof/>
        </w:rPr>
        <w:tab/>
      </w:r>
      <w:r w:rsidRPr="009F64E9">
        <w:rPr>
          <w:noProof/>
        </w:rPr>
        <w:fldChar w:fldCharType="begin"/>
      </w:r>
      <w:r w:rsidRPr="009F64E9">
        <w:rPr>
          <w:noProof/>
        </w:rPr>
        <w:instrText xml:space="preserve"> PAGEREF _Toc188350515 \h </w:instrText>
      </w:r>
      <w:r w:rsidRPr="009F64E9">
        <w:rPr>
          <w:noProof/>
        </w:rPr>
      </w:r>
      <w:r w:rsidRPr="009F64E9">
        <w:rPr>
          <w:noProof/>
        </w:rPr>
        <w:fldChar w:fldCharType="separate"/>
      </w:r>
      <w:r w:rsidR="000E6B78">
        <w:rPr>
          <w:noProof/>
        </w:rPr>
        <w:t>17</w:t>
      </w:r>
      <w:r w:rsidRPr="009F64E9">
        <w:rPr>
          <w:noProof/>
        </w:rPr>
        <w:fldChar w:fldCharType="end"/>
      </w:r>
    </w:p>
    <w:p w14:paraId="5BD6A87D" w14:textId="11A2CEC7"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2—Circumstances when payments are not splittable payments</w:t>
      </w:r>
      <w:r w:rsidRPr="009F64E9">
        <w:rPr>
          <w:b w:val="0"/>
          <w:noProof/>
          <w:sz w:val="18"/>
        </w:rPr>
        <w:tab/>
      </w:r>
      <w:r w:rsidRPr="009F64E9">
        <w:rPr>
          <w:b w:val="0"/>
          <w:noProof/>
          <w:sz w:val="18"/>
        </w:rPr>
        <w:fldChar w:fldCharType="begin"/>
      </w:r>
      <w:r w:rsidRPr="009F64E9">
        <w:rPr>
          <w:b w:val="0"/>
          <w:noProof/>
          <w:sz w:val="18"/>
        </w:rPr>
        <w:instrText xml:space="preserve"> PAGEREF _Toc188350516 \h </w:instrText>
      </w:r>
      <w:r w:rsidRPr="009F64E9">
        <w:rPr>
          <w:b w:val="0"/>
          <w:noProof/>
          <w:sz w:val="18"/>
        </w:rPr>
      </w:r>
      <w:r w:rsidRPr="009F64E9">
        <w:rPr>
          <w:b w:val="0"/>
          <w:noProof/>
          <w:sz w:val="18"/>
        </w:rPr>
        <w:fldChar w:fldCharType="separate"/>
      </w:r>
      <w:r w:rsidR="000E6B78">
        <w:rPr>
          <w:b w:val="0"/>
          <w:noProof/>
          <w:sz w:val="18"/>
        </w:rPr>
        <w:t>19</w:t>
      </w:r>
      <w:r w:rsidRPr="009F64E9">
        <w:rPr>
          <w:b w:val="0"/>
          <w:noProof/>
          <w:sz w:val="18"/>
        </w:rPr>
        <w:fldChar w:fldCharType="end"/>
      </w:r>
    </w:p>
    <w:p w14:paraId="550A9E99" w14:textId="09CAFDA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Circumstances when payments are not splittable payments</w:t>
      </w:r>
      <w:r w:rsidRPr="009F64E9">
        <w:rPr>
          <w:noProof/>
        </w:rPr>
        <w:tab/>
      </w:r>
      <w:r w:rsidRPr="009F64E9">
        <w:rPr>
          <w:noProof/>
        </w:rPr>
        <w:fldChar w:fldCharType="begin"/>
      </w:r>
      <w:r w:rsidRPr="009F64E9">
        <w:rPr>
          <w:noProof/>
        </w:rPr>
        <w:instrText xml:space="preserve"> PAGEREF _Toc188350517 \h </w:instrText>
      </w:r>
      <w:r w:rsidRPr="009F64E9">
        <w:rPr>
          <w:noProof/>
        </w:rPr>
      </w:r>
      <w:r w:rsidRPr="009F64E9">
        <w:rPr>
          <w:noProof/>
        </w:rPr>
        <w:fldChar w:fldCharType="separate"/>
      </w:r>
      <w:r w:rsidR="000E6B78">
        <w:rPr>
          <w:noProof/>
        </w:rPr>
        <w:t>19</w:t>
      </w:r>
      <w:r w:rsidRPr="009F64E9">
        <w:rPr>
          <w:noProof/>
        </w:rPr>
        <w:fldChar w:fldCharType="end"/>
      </w:r>
    </w:p>
    <w:p w14:paraId="13732F99" w14:textId="46494E1E"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3—When the payment relates to a superannuation interest that is not a percentage</w:t>
      </w:r>
      <w:r>
        <w:rPr>
          <w:noProof/>
        </w:rPr>
        <w:noBreakHyphen/>
        <w:t>only interest</w:t>
      </w:r>
      <w:r w:rsidRPr="009F64E9">
        <w:rPr>
          <w:b w:val="0"/>
          <w:noProof/>
          <w:sz w:val="18"/>
        </w:rPr>
        <w:tab/>
      </w:r>
      <w:r w:rsidRPr="009F64E9">
        <w:rPr>
          <w:b w:val="0"/>
          <w:noProof/>
          <w:sz w:val="18"/>
        </w:rPr>
        <w:fldChar w:fldCharType="begin"/>
      </w:r>
      <w:r w:rsidRPr="009F64E9">
        <w:rPr>
          <w:b w:val="0"/>
          <w:noProof/>
          <w:sz w:val="18"/>
        </w:rPr>
        <w:instrText xml:space="preserve"> PAGEREF _Toc188350518 \h </w:instrText>
      </w:r>
      <w:r w:rsidRPr="009F64E9">
        <w:rPr>
          <w:b w:val="0"/>
          <w:noProof/>
          <w:sz w:val="18"/>
        </w:rPr>
      </w:r>
      <w:r w:rsidRPr="009F64E9">
        <w:rPr>
          <w:b w:val="0"/>
          <w:noProof/>
          <w:sz w:val="18"/>
        </w:rPr>
        <w:fldChar w:fldCharType="separate"/>
      </w:r>
      <w:r w:rsidR="000E6B78">
        <w:rPr>
          <w:b w:val="0"/>
          <w:noProof/>
          <w:sz w:val="18"/>
        </w:rPr>
        <w:t>20</w:t>
      </w:r>
      <w:r w:rsidRPr="009F64E9">
        <w:rPr>
          <w:b w:val="0"/>
          <w:noProof/>
          <w:sz w:val="18"/>
        </w:rPr>
        <w:fldChar w:fldCharType="end"/>
      </w:r>
    </w:p>
    <w:p w14:paraId="44F5B628" w14:textId="0290A703"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A—New interest created, or amount transferred or rolled over or paid, under SIS Regulations or RSA Regulations, in satisfaction of the non</w:t>
      </w:r>
      <w:r>
        <w:rPr>
          <w:noProof/>
        </w:rPr>
        <w:noBreakHyphen/>
        <w:t>member spouse’s entitlement</w:t>
      </w:r>
      <w:r w:rsidRPr="009F64E9">
        <w:rPr>
          <w:b w:val="0"/>
          <w:noProof/>
          <w:sz w:val="18"/>
        </w:rPr>
        <w:tab/>
      </w:r>
      <w:r w:rsidRPr="009F64E9">
        <w:rPr>
          <w:b w:val="0"/>
          <w:noProof/>
          <w:sz w:val="18"/>
        </w:rPr>
        <w:fldChar w:fldCharType="begin"/>
      </w:r>
      <w:r w:rsidRPr="009F64E9">
        <w:rPr>
          <w:b w:val="0"/>
          <w:noProof/>
          <w:sz w:val="18"/>
        </w:rPr>
        <w:instrText xml:space="preserve"> PAGEREF _Toc188350519 \h </w:instrText>
      </w:r>
      <w:r w:rsidRPr="009F64E9">
        <w:rPr>
          <w:b w:val="0"/>
          <w:noProof/>
          <w:sz w:val="18"/>
        </w:rPr>
      </w:r>
      <w:r w:rsidRPr="009F64E9">
        <w:rPr>
          <w:b w:val="0"/>
          <w:noProof/>
          <w:sz w:val="18"/>
        </w:rPr>
        <w:fldChar w:fldCharType="separate"/>
      </w:r>
      <w:r w:rsidR="000E6B78">
        <w:rPr>
          <w:b w:val="0"/>
          <w:noProof/>
          <w:sz w:val="18"/>
        </w:rPr>
        <w:t>20</w:t>
      </w:r>
      <w:r w:rsidRPr="009F64E9">
        <w:rPr>
          <w:b w:val="0"/>
          <w:noProof/>
          <w:sz w:val="18"/>
        </w:rPr>
        <w:fldChar w:fldCharType="end"/>
      </w:r>
    </w:p>
    <w:p w14:paraId="2159F181" w14:textId="47A2996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Requirements of this Subdivision</w:t>
      </w:r>
      <w:r w:rsidRPr="009F64E9">
        <w:rPr>
          <w:noProof/>
        </w:rPr>
        <w:tab/>
      </w:r>
      <w:r w:rsidRPr="009F64E9">
        <w:rPr>
          <w:noProof/>
        </w:rPr>
        <w:fldChar w:fldCharType="begin"/>
      </w:r>
      <w:r w:rsidRPr="009F64E9">
        <w:rPr>
          <w:noProof/>
        </w:rPr>
        <w:instrText xml:space="preserve"> PAGEREF _Toc188350520 \h </w:instrText>
      </w:r>
      <w:r w:rsidRPr="009F64E9">
        <w:rPr>
          <w:noProof/>
        </w:rPr>
      </w:r>
      <w:r w:rsidRPr="009F64E9">
        <w:rPr>
          <w:noProof/>
        </w:rPr>
        <w:fldChar w:fldCharType="separate"/>
      </w:r>
      <w:r w:rsidR="000E6B78">
        <w:rPr>
          <w:noProof/>
        </w:rPr>
        <w:t>20</w:t>
      </w:r>
      <w:r w:rsidRPr="009F64E9">
        <w:rPr>
          <w:noProof/>
        </w:rPr>
        <w:fldChar w:fldCharType="end"/>
      </w:r>
    </w:p>
    <w:p w14:paraId="12929498" w14:textId="35E13370"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B—New interest otherwise created, or amount otherwise transferred or rolled over or paid, by trustee, or separate entitlement arising, in satisfaction of non</w:t>
      </w:r>
      <w:r>
        <w:rPr>
          <w:noProof/>
        </w:rPr>
        <w:noBreakHyphen/>
        <w:t>member spouse’s entitlement under agreement or order</w:t>
      </w:r>
      <w:r w:rsidRPr="009F64E9">
        <w:rPr>
          <w:b w:val="0"/>
          <w:noProof/>
          <w:sz w:val="18"/>
        </w:rPr>
        <w:tab/>
      </w:r>
      <w:r w:rsidRPr="009F64E9">
        <w:rPr>
          <w:b w:val="0"/>
          <w:noProof/>
          <w:sz w:val="18"/>
        </w:rPr>
        <w:fldChar w:fldCharType="begin"/>
      </w:r>
      <w:r w:rsidRPr="009F64E9">
        <w:rPr>
          <w:b w:val="0"/>
          <w:noProof/>
          <w:sz w:val="18"/>
        </w:rPr>
        <w:instrText xml:space="preserve"> PAGEREF _Toc188350521 \h </w:instrText>
      </w:r>
      <w:r w:rsidRPr="009F64E9">
        <w:rPr>
          <w:b w:val="0"/>
          <w:noProof/>
          <w:sz w:val="18"/>
        </w:rPr>
      </w:r>
      <w:r w:rsidRPr="009F64E9">
        <w:rPr>
          <w:b w:val="0"/>
          <w:noProof/>
          <w:sz w:val="18"/>
        </w:rPr>
        <w:fldChar w:fldCharType="separate"/>
      </w:r>
      <w:r w:rsidR="000E6B78">
        <w:rPr>
          <w:b w:val="0"/>
          <w:noProof/>
          <w:sz w:val="18"/>
        </w:rPr>
        <w:t>21</w:t>
      </w:r>
      <w:r w:rsidRPr="009F64E9">
        <w:rPr>
          <w:b w:val="0"/>
          <w:noProof/>
          <w:sz w:val="18"/>
        </w:rPr>
        <w:fldChar w:fldCharType="end"/>
      </w:r>
    </w:p>
    <w:p w14:paraId="1C5B3D93" w14:textId="77CAD8D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Requirements of this Subdivision</w:t>
      </w:r>
      <w:r w:rsidRPr="009F64E9">
        <w:rPr>
          <w:noProof/>
        </w:rPr>
        <w:tab/>
      </w:r>
      <w:r w:rsidRPr="009F64E9">
        <w:rPr>
          <w:noProof/>
        </w:rPr>
        <w:fldChar w:fldCharType="begin"/>
      </w:r>
      <w:r w:rsidRPr="009F64E9">
        <w:rPr>
          <w:noProof/>
        </w:rPr>
        <w:instrText xml:space="preserve"> PAGEREF _Toc188350522 \h </w:instrText>
      </w:r>
      <w:r w:rsidRPr="009F64E9">
        <w:rPr>
          <w:noProof/>
        </w:rPr>
      </w:r>
      <w:r w:rsidRPr="009F64E9">
        <w:rPr>
          <w:noProof/>
        </w:rPr>
        <w:fldChar w:fldCharType="separate"/>
      </w:r>
      <w:r w:rsidR="000E6B78">
        <w:rPr>
          <w:noProof/>
        </w:rPr>
        <w:t>21</w:t>
      </w:r>
      <w:r w:rsidRPr="009F64E9">
        <w:rPr>
          <w:noProof/>
        </w:rPr>
        <w:fldChar w:fldCharType="end"/>
      </w:r>
    </w:p>
    <w:p w14:paraId="7355E646" w14:textId="10FA483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Main circumstances when this Subdivision applies</w:t>
      </w:r>
      <w:r w:rsidRPr="009F64E9">
        <w:rPr>
          <w:noProof/>
        </w:rPr>
        <w:tab/>
      </w:r>
      <w:r w:rsidRPr="009F64E9">
        <w:rPr>
          <w:noProof/>
        </w:rPr>
        <w:fldChar w:fldCharType="begin"/>
      </w:r>
      <w:r w:rsidRPr="009F64E9">
        <w:rPr>
          <w:noProof/>
        </w:rPr>
        <w:instrText xml:space="preserve"> PAGEREF _Toc188350523 \h </w:instrText>
      </w:r>
      <w:r w:rsidRPr="009F64E9">
        <w:rPr>
          <w:noProof/>
        </w:rPr>
      </w:r>
      <w:r w:rsidRPr="009F64E9">
        <w:rPr>
          <w:noProof/>
        </w:rPr>
        <w:fldChar w:fldCharType="separate"/>
      </w:r>
      <w:r w:rsidR="000E6B78">
        <w:rPr>
          <w:noProof/>
        </w:rPr>
        <w:t>21</w:t>
      </w:r>
      <w:r w:rsidRPr="009F64E9">
        <w:rPr>
          <w:noProof/>
        </w:rPr>
        <w:fldChar w:fldCharType="end"/>
      </w:r>
    </w:p>
    <w:p w14:paraId="416FFC46" w14:textId="03EAFEE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Other circumstance—public sector superannuation schemes in which a separate entitlement arises for the non</w:t>
      </w:r>
      <w:r>
        <w:rPr>
          <w:noProof/>
        </w:rPr>
        <w:noBreakHyphen/>
        <w:t>member spouse</w:t>
      </w:r>
      <w:r w:rsidRPr="009F64E9">
        <w:rPr>
          <w:noProof/>
        </w:rPr>
        <w:tab/>
      </w:r>
      <w:r w:rsidRPr="009F64E9">
        <w:rPr>
          <w:noProof/>
        </w:rPr>
        <w:fldChar w:fldCharType="begin"/>
      </w:r>
      <w:r w:rsidRPr="009F64E9">
        <w:rPr>
          <w:noProof/>
        </w:rPr>
        <w:instrText xml:space="preserve"> PAGEREF _Toc188350524 \h </w:instrText>
      </w:r>
      <w:r w:rsidRPr="009F64E9">
        <w:rPr>
          <w:noProof/>
        </w:rPr>
      </w:r>
      <w:r w:rsidRPr="009F64E9">
        <w:rPr>
          <w:noProof/>
        </w:rPr>
        <w:fldChar w:fldCharType="separate"/>
      </w:r>
      <w:r w:rsidR="000E6B78">
        <w:rPr>
          <w:noProof/>
        </w:rPr>
        <w:t>23</w:t>
      </w:r>
      <w:r w:rsidRPr="009F64E9">
        <w:rPr>
          <w:noProof/>
        </w:rPr>
        <w:fldChar w:fldCharType="end"/>
      </w:r>
    </w:p>
    <w:p w14:paraId="002DD230" w14:textId="2895A65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 xml:space="preserve">Meaning of </w:t>
      </w:r>
      <w:r w:rsidRPr="006558F0">
        <w:rPr>
          <w:i/>
          <w:noProof/>
        </w:rPr>
        <w:t>value of the non</w:t>
      </w:r>
      <w:r w:rsidRPr="006558F0">
        <w:rPr>
          <w:i/>
          <w:noProof/>
        </w:rPr>
        <w:noBreakHyphen/>
        <w:t>member spouse’s entitlement</w:t>
      </w:r>
      <w:r w:rsidRPr="009F64E9">
        <w:rPr>
          <w:noProof/>
        </w:rPr>
        <w:tab/>
      </w:r>
      <w:r w:rsidRPr="009F64E9">
        <w:rPr>
          <w:noProof/>
        </w:rPr>
        <w:fldChar w:fldCharType="begin"/>
      </w:r>
      <w:r w:rsidRPr="009F64E9">
        <w:rPr>
          <w:noProof/>
        </w:rPr>
        <w:instrText xml:space="preserve"> PAGEREF _Toc188350525 \h </w:instrText>
      </w:r>
      <w:r w:rsidRPr="009F64E9">
        <w:rPr>
          <w:noProof/>
        </w:rPr>
      </w:r>
      <w:r w:rsidRPr="009F64E9">
        <w:rPr>
          <w:noProof/>
        </w:rPr>
        <w:fldChar w:fldCharType="separate"/>
      </w:r>
      <w:r w:rsidR="000E6B78">
        <w:rPr>
          <w:noProof/>
        </w:rPr>
        <w:t>23</w:t>
      </w:r>
      <w:r w:rsidRPr="009F64E9">
        <w:rPr>
          <w:noProof/>
        </w:rPr>
        <w:fldChar w:fldCharType="end"/>
      </w:r>
    </w:p>
    <w:p w14:paraId="78E53D39" w14:textId="5E27A5F5"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4—When the payment relates to a superannuation interest that is a percentage</w:t>
      </w:r>
      <w:r>
        <w:rPr>
          <w:noProof/>
        </w:rPr>
        <w:noBreakHyphen/>
        <w:t>only interest</w:t>
      </w:r>
      <w:r w:rsidRPr="009F64E9">
        <w:rPr>
          <w:b w:val="0"/>
          <w:noProof/>
          <w:sz w:val="18"/>
        </w:rPr>
        <w:tab/>
      </w:r>
      <w:r w:rsidRPr="009F64E9">
        <w:rPr>
          <w:b w:val="0"/>
          <w:noProof/>
          <w:sz w:val="18"/>
        </w:rPr>
        <w:fldChar w:fldCharType="begin"/>
      </w:r>
      <w:r w:rsidRPr="009F64E9">
        <w:rPr>
          <w:b w:val="0"/>
          <w:noProof/>
          <w:sz w:val="18"/>
        </w:rPr>
        <w:instrText xml:space="preserve"> PAGEREF _Toc188350526 \h </w:instrText>
      </w:r>
      <w:r w:rsidRPr="009F64E9">
        <w:rPr>
          <w:b w:val="0"/>
          <w:noProof/>
          <w:sz w:val="18"/>
        </w:rPr>
      </w:r>
      <w:r w:rsidRPr="009F64E9">
        <w:rPr>
          <w:b w:val="0"/>
          <w:noProof/>
          <w:sz w:val="18"/>
        </w:rPr>
        <w:fldChar w:fldCharType="separate"/>
      </w:r>
      <w:r w:rsidR="000E6B78">
        <w:rPr>
          <w:b w:val="0"/>
          <w:noProof/>
          <w:sz w:val="18"/>
        </w:rPr>
        <w:t>26</w:t>
      </w:r>
      <w:r w:rsidRPr="009F64E9">
        <w:rPr>
          <w:b w:val="0"/>
          <w:noProof/>
          <w:sz w:val="18"/>
        </w:rPr>
        <w:fldChar w:fldCharType="end"/>
      </w:r>
    </w:p>
    <w:p w14:paraId="0D6A9FFC" w14:textId="25BC3EEB"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A—New interest created, or amount transferred or rolled over or paid, by trustee, or separate entitlement arising, in satisfaction of non</w:t>
      </w:r>
      <w:r>
        <w:rPr>
          <w:noProof/>
        </w:rPr>
        <w:noBreakHyphen/>
        <w:t>member spouse’s entitlement under agreement or order</w:t>
      </w:r>
      <w:r w:rsidRPr="009F64E9">
        <w:rPr>
          <w:b w:val="0"/>
          <w:noProof/>
          <w:sz w:val="18"/>
        </w:rPr>
        <w:tab/>
      </w:r>
      <w:r w:rsidRPr="009F64E9">
        <w:rPr>
          <w:b w:val="0"/>
          <w:noProof/>
          <w:sz w:val="18"/>
        </w:rPr>
        <w:fldChar w:fldCharType="begin"/>
      </w:r>
      <w:r w:rsidRPr="009F64E9">
        <w:rPr>
          <w:b w:val="0"/>
          <w:noProof/>
          <w:sz w:val="18"/>
        </w:rPr>
        <w:instrText xml:space="preserve"> PAGEREF _Toc188350527 \h </w:instrText>
      </w:r>
      <w:r w:rsidRPr="009F64E9">
        <w:rPr>
          <w:b w:val="0"/>
          <w:noProof/>
          <w:sz w:val="18"/>
        </w:rPr>
      </w:r>
      <w:r w:rsidRPr="009F64E9">
        <w:rPr>
          <w:b w:val="0"/>
          <w:noProof/>
          <w:sz w:val="18"/>
        </w:rPr>
        <w:fldChar w:fldCharType="separate"/>
      </w:r>
      <w:r w:rsidR="000E6B78">
        <w:rPr>
          <w:b w:val="0"/>
          <w:noProof/>
          <w:sz w:val="18"/>
        </w:rPr>
        <w:t>26</w:t>
      </w:r>
      <w:r w:rsidRPr="009F64E9">
        <w:rPr>
          <w:b w:val="0"/>
          <w:noProof/>
          <w:sz w:val="18"/>
        </w:rPr>
        <w:fldChar w:fldCharType="end"/>
      </w:r>
    </w:p>
    <w:p w14:paraId="4E88342D" w14:textId="75E0FB1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Requirements of this Subdivision</w:t>
      </w:r>
      <w:r w:rsidRPr="009F64E9">
        <w:rPr>
          <w:noProof/>
        </w:rPr>
        <w:tab/>
      </w:r>
      <w:r w:rsidRPr="009F64E9">
        <w:rPr>
          <w:noProof/>
        </w:rPr>
        <w:fldChar w:fldCharType="begin"/>
      </w:r>
      <w:r w:rsidRPr="009F64E9">
        <w:rPr>
          <w:noProof/>
        </w:rPr>
        <w:instrText xml:space="preserve"> PAGEREF _Toc188350528 \h </w:instrText>
      </w:r>
      <w:r w:rsidRPr="009F64E9">
        <w:rPr>
          <w:noProof/>
        </w:rPr>
      </w:r>
      <w:r w:rsidRPr="009F64E9">
        <w:rPr>
          <w:noProof/>
        </w:rPr>
        <w:fldChar w:fldCharType="separate"/>
      </w:r>
      <w:r w:rsidR="000E6B78">
        <w:rPr>
          <w:noProof/>
        </w:rPr>
        <w:t>26</w:t>
      </w:r>
      <w:r w:rsidRPr="009F64E9">
        <w:rPr>
          <w:noProof/>
        </w:rPr>
        <w:fldChar w:fldCharType="end"/>
      </w:r>
    </w:p>
    <w:p w14:paraId="5A4693F0" w14:textId="784D89C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Main circumstances when this Subdivision applies</w:t>
      </w:r>
      <w:r w:rsidRPr="009F64E9">
        <w:rPr>
          <w:noProof/>
        </w:rPr>
        <w:tab/>
      </w:r>
      <w:r w:rsidRPr="009F64E9">
        <w:rPr>
          <w:noProof/>
        </w:rPr>
        <w:fldChar w:fldCharType="begin"/>
      </w:r>
      <w:r w:rsidRPr="009F64E9">
        <w:rPr>
          <w:noProof/>
        </w:rPr>
        <w:instrText xml:space="preserve"> PAGEREF _Toc188350529 \h </w:instrText>
      </w:r>
      <w:r w:rsidRPr="009F64E9">
        <w:rPr>
          <w:noProof/>
        </w:rPr>
      </w:r>
      <w:r w:rsidRPr="009F64E9">
        <w:rPr>
          <w:noProof/>
        </w:rPr>
        <w:fldChar w:fldCharType="separate"/>
      </w:r>
      <w:r w:rsidR="000E6B78">
        <w:rPr>
          <w:noProof/>
        </w:rPr>
        <w:t>26</w:t>
      </w:r>
      <w:r w:rsidRPr="009F64E9">
        <w:rPr>
          <w:noProof/>
        </w:rPr>
        <w:fldChar w:fldCharType="end"/>
      </w:r>
    </w:p>
    <w:p w14:paraId="60A6461D" w14:textId="1ADD338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Other circumstance—public sector superannuation schemes in which a separate entitlement arises for the non</w:t>
      </w:r>
      <w:r>
        <w:rPr>
          <w:noProof/>
        </w:rPr>
        <w:noBreakHyphen/>
        <w:t>member spouse</w:t>
      </w:r>
      <w:r w:rsidRPr="009F64E9">
        <w:rPr>
          <w:noProof/>
        </w:rPr>
        <w:tab/>
      </w:r>
      <w:r w:rsidRPr="009F64E9">
        <w:rPr>
          <w:noProof/>
        </w:rPr>
        <w:fldChar w:fldCharType="begin"/>
      </w:r>
      <w:r w:rsidRPr="009F64E9">
        <w:rPr>
          <w:noProof/>
        </w:rPr>
        <w:instrText xml:space="preserve"> PAGEREF _Toc188350530 \h </w:instrText>
      </w:r>
      <w:r w:rsidRPr="009F64E9">
        <w:rPr>
          <w:noProof/>
        </w:rPr>
      </w:r>
      <w:r w:rsidRPr="009F64E9">
        <w:rPr>
          <w:noProof/>
        </w:rPr>
        <w:fldChar w:fldCharType="separate"/>
      </w:r>
      <w:r w:rsidR="000E6B78">
        <w:rPr>
          <w:noProof/>
        </w:rPr>
        <w:t>28</w:t>
      </w:r>
      <w:r w:rsidRPr="009F64E9">
        <w:rPr>
          <w:noProof/>
        </w:rPr>
        <w:fldChar w:fldCharType="end"/>
      </w:r>
    </w:p>
    <w:p w14:paraId="65DC9DE6" w14:textId="7D8EAEC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 xml:space="preserve">Meaning of </w:t>
      </w:r>
      <w:r w:rsidRPr="006558F0">
        <w:rPr>
          <w:i/>
          <w:noProof/>
        </w:rPr>
        <w:t>value of the non</w:t>
      </w:r>
      <w:r w:rsidRPr="006558F0">
        <w:rPr>
          <w:i/>
          <w:noProof/>
        </w:rPr>
        <w:noBreakHyphen/>
        <w:t>member spouse’s entitlement</w:t>
      </w:r>
      <w:r w:rsidRPr="009F64E9">
        <w:rPr>
          <w:noProof/>
        </w:rPr>
        <w:tab/>
      </w:r>
      <w:r w:rsidRPr="009F64E9">
        <w:rPr>
          <w:noProof/>
        </w:rPr>
        <w:fldChar w:fldCharType="begin"/>
      </w:r>
      <w:r w:rsidRPr="009F64E9">
        <w:rPr>
          <w:noProof/>
        </w:rPr>
        <w:instrText xml:space="preserve"> PAGEREF _Toc188350531 \h </w:instrText>
      </w:r>
      <w:r w:rsidRPr="009F64E9">
        <w:rPr>
          <w:noProof/>
        </w:rPr>
      </w:r>
      <w:r w:rsidRPr="009F64E9">
        <w:rPr>
          <w:noProof/>
        </w:rPr>
        <w:fldChar w:fldCharType="separate"/>
      </w:r>
      <w:r w:rsidR="000E6B78">
        <w:rPr>
          <w:noProof/>
        </w:rPr>
        <w:t>28</w:t>
      </w:r>
      <w:r w:rsidRPr="009F64E9">
        <w:rPr>
          <w:noProof/>
        </w:rPr>
        <w:fldChar w:fldCharType="end"/>
      </w:r>
    </w:p>
    <w:p w14:paraId="5BA278D0" w14:textId="3ABA50A0"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B—New deferred annuity established, or amount transferred or rolled over or paid, by trustee of deferred annuity in satisfaction of non</w:t>
      </w:r>
      <w:r>
        <w:rPr>
          <w:noProof/>
        </w:rPr>
        <w:noBreakHyphen/>
        <w:t>member spouse’s entitlement under agreement or order</w:t>
      </w:r>
      <w:r w:rsidRPr="009F64E9">
        <w:rPr>
          <w:b w:val="0"/>
          <w:noProof/>
          <w:sz w:val="18"/>
        </w:rPr>
        <w:tab/>
      </w:r>
      <w:r w:rsidRPr="009F64E9">
        <w:rPr>
          <w:b w:val="0"/>
          <w:noProof/>
          <w:sz w:val="18"/>
        </w:rPr>
        <w:fldChar w:fldCharType="begin"/>
      </w:r>
      <w:r w:rsidRPr="009F64E9">
        <w:rPr>
          <w:b w:val="0"/>
          <w:noProof/>
          <w:sz w:val="18"/>
        </w:rPr>
        <w:instrText xml:space="preserve"> PAGEREF _Toc188350532 \h </w:instrText>
      </w:r>
      <w:r w:rsidRPr="009F64E9">
        <w:rPr>
          <w:b w:val="0"/>
          <w:noProof/>
          <w:sz w:val="18"/>
        </w:rPr>
      </w:r>
      <w:r w:rsidRPr="009F64E9">
        <w:rPr>
          <w:b w:val="0"/>
          <w:noProof/>
          <w:sz w:val="18"/>
        </w:rPr>
        <w:fldChar w:fldCharType="separate"/>
      </w:r>
      <w:r w:rsidR="000E6B78">
        <w:rPr>
          <w:b w:val="0"/>
          <w:noProof/>
          <w:sz w:val="18"/>
        </w:rPr>
        <w:t>29</w:t>
      </w:r>
      <w:r w:rsidRPr="009F64E9">
        <w:rPr>
          <w:b w:val="0"/>
          <w:noProof/>
          <w:sz w:val="18"/>
        </w:rPr>
        <w:fldChar w:fldCharType="end"/>
      </w:r>
    </w:p>
    <w:p w14:paraId="0301B1DC" w14:textId="45E4876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Requirements of this Subdivision</w:t>
      </w:r>
      <w:r w:rsidRPr="009F64E9">
        <w:rPr>
          <w:noProof/>
        </w:rPr>
        <w:tab/>
      </w:r>
      <w:r w:rsidRPr="009F64E9">
        <w:rPr>
          <w:noProof/>
        </w:rPr>
        <w:fldChar w:fldCharType="begin"/>
      </w:r>
      <w:r w:rsidRPr="009F64E9">
        <w:rPr>
          <w:noProof/>
        </w:rPr>
        <w:instrText xml:space="preserve"> PAGEREF _Toc188350533 \h </w:instrText>
      </w:r>
      <w:r w:rsidRPr="009F64E9">
        <w:rPr>
          <w:noProof/>
        </w:rPr>
      </w:r>
      <w:r w:rsidRPr="009F64E9">
        <w:rPr>
          <w:noProof/>
        </w:rPr>
        <w:fldChar w:fldCharType="separate"/>
      </w:r>
      <w:r w:rsidR="000E6B78">
        <w:rPr>
          <w:noProof/>
        </w:rPr>
        <w:t>29</w:t>
      </w:r>
      <w:r w:rsidRPr="009F64E9">
        <w:rPr>
          <w:noProof/>
        </w:rPr>
        <w:fldChar w:fldCharType="end"/>
      </w:r>
    </w:p>
    <w:p w14:paraId="731106C8" w14:textId="23112D0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Circumstances when this Subdivision applies</w:t>
      </w:r>
      <w:r w:rsidRPr="009F64E9">
        <w:rPr>
          <w:noProof/>
        </w:rPr>
        <w:tab/>
      </w:r>
      <w:r w:rsidRPr="009F64E9">
        <w:rPr>
          <w:noProof/>
        </w:rPr>
        <w:fldChar w:fldCharType="begin"/>
      </w:r>
      <w:r w:rsidRPr="009F64E9">
        <w:rPr>
          <w:noProof/>
        </w:rPr>
        <w:instrText xml:space="preserve"> PAGEREF _Toc188350534 \h </w:instrText>
      </w:r>
      <w:r w:rsidRPr="009F64E9">
        <w:rPr>
          <w:noProof/>
        </w:rPr>
      </w:r>
      <w:r w:rsidRPr="009F64E9">
        <w:rPr>
          <w:noProof/>
        </w:rPr>
        <w:fldChar w:fldCharType="separate"/>
      </w:r>
      <w:r w:rsidR="000E6B78">
        <w:rPr>
          <w:noProof/>
        </w:rPr>
        <w:t>29</w:t>
      </w:r>
      <w:r w:rsidRPr="009F64E9">
        <w:rPr>
          <w:noProof/>
        </w:rPr>
        <w:fldChar w:fldCharType="end"/>
      </w:r>
    </w:p>
    <w:p w14:paraId="6F3E19E5" w14:textId="64B7A51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 xml:space="preserve">Meaning of </w:t>
      </w:r>
      <w:r w:rsidRPr="006558F0">
        <w:rPr>
          <w:i/>
          <w:noProof/>
        </w:rPr>
        <w:t>value of the non</w:t>
      </w:r>
      <w:r w:rsidRPr="006558F0">
        <w:rPr>
          <w:i/>
          <w:noProof/>
        </w:rPr>
        <w:noBreakHyphen/>
        <w:t>member spouse’s entitlement</w:t>
      </w:r>
      <w:r w:rsidRPr="009F64E9">
        <w:rPr>
          <w:noProof/>
        </w:rPr>
        <w:tab/>
      </w:r>
      <w:r w:rsidRPr="009F64E9">
        <w:rPr>
          <w:noProof/>
        </w:rPr>
        <w:fldChar w:fldCharType="begin"/>
      </w:r>
      <w:r w:rsidRPr="009F64E9">
        <w:rPr>
          <w:noProof/>
        </w:rPr>
        <w:instrText xml:space="preserve"> PAGEREF _Toc188350535 \h </w:instrText>
      </w:r>
      <w:r w:rsidRPr="009F64E9">
        <w:rPr>
          <w:noProof/>
        </w:rPr>
      </w:r>
      <w:r w:rsidRPr="009F64E9">
        <w:rPr>
          <w:noProof/>
        </w:rPr>
        <w:fldChar w:fldCharType="separate"/>
      </w:r>
      <w:r w:rsidR="000E6B78">
        <w:rPr>
          <w:noProof/>
        </w:rPr>
        <w:t>31</w:t>
      </w:r>
      <w:r w:rsidRPr="009F64E9">
        <w:rPr>
          <w:noProof/>
        </w:rPr>
        <w:fldChar w:fldCharType="end"/>
      </w:r>
    </w:p>
    <w:p w14:paraId="3C74650C" w14:textId="2A0B3CF2"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C—New annuity established or amount transferred or rolled over or paid by trustee of a superannuation annuity (other than under Subdivision B) in satisfaction of non</w:t>
      </w:r>
      <w:r>
        <w:rPr>
          <w:noProof/>
        </w:rPr>
        <w:noBreakHyphen/>
        <w:t>member spouse’s entitlement under agreement or order</w:t>
      </w:r>
      <w:r w:rsidRPr="009F64E9">
        <w:rPr>
          <w:b w:val="0"/>
          <w:noProof/>
          <w:sz w:val="18"/>
        </w:rPr>
        <w:tab/>
      </w:r>
      <w:r w:rsidRPr="009F64E9">
        <w:rPr>
          <w:b w:val="0"/>
          <w:noProof/>
          <w:sz w:val="18"/>
        </w:rPr>
        <w:fldChar w:fldCharType="begin"/>
      </w:r>
      <w:r w:rsidRPr="009F64E9">
        <w:rPr>
          <w:b w:val="0"/>
          <w:noProof/>
          <w:sz w:val="18"/>
        </w:rPr>
        <w:instrText xml:space="preserve"> PAGEREF _Toc188350536 \h </w:instrText>
      </w:r>
      <w:r w:rsidRPr="009F64E9">
        <w:rPr>
          <w:b w:val="0"/>
          <w:noProof/>
          <w:sz w:val="18"/>
        </w:rPr>
      </w:r>
      <w:r w:rsidRPr="009F64E9">
        <w:rPr>
          <w:b w:val="0"/>
          <w:noProof/>
          <w:sz w:val="18"/>
        </w:rPr>
        <w:fldChar w:fldCharType="separate"/>
      </w:r>
      <w:r w:rsidR="000E6B78">
        <w:rPr>
          <w:b w:val="0"/>
          <w:noProof/>
          <w:sz w:val="18"/>
        </w:rPr>
        <w:t>31</w:t>
      </w:r>
      <w:r w:rsidRPr="009F64E9">
        <w:rPr>
          <w:b w:val="0"/>
          <w:noProof/>
          <w:sz w:val="18"/>
        </w:rPr>
        <w:fldChar w:fldCharType="end"/>
      </w:r>
    </w:p>
    <w:p w14:paraId="585544C4" w14:textId="53209FD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Requirements of this Subdivision</w:t>
      </w:r>
      <w:r w:rsidRPr="009F64E9">
        <w:rPr>
          <w:noProof/>
        </w:rPr>
        <w:tab/>
      </w:r>
      <w:r w:rsidRPr="009F64E9">
        <w:rPr>
          <w:noProof/>
        </w:rPr>
        <w:fldChar w:fldCharType="begin"/>
      </w:r>
      <w:r w:rsidRPr="009F64E9">
        <w:rPr>
          <w:noProof/>
        </w:rPr>
        <w:instrText xml:space="preserve"> PAGEREF _Toc188350537 \h </w:instrText>
      </w:r>
      <w:r w:rsidRPr="009F64E9">
        <w:rPr>
          <w:noProof/>
        </w:rPr>
      </w:r>
      <w:r w:rsidRPr="009F64E9">
        <w:rPr>
          <w:noProof/>
        </w:rPr>
        <w:fldChar w:fldCharType="separate"/>
      </w:r>
      <w:r w:rsidR="000E6B78">
        <w:rPr>
          <w:noProof/>
        </w:rPr>
        <w:t>31</w:t>
      </w:r>
      <w:r w:rsidRPr="009F64E9">
        <w:rPr>
          <w:noProof/>
        </w:rPr>
        <w:fldChar w:fldCharType="end"/>
      </w:r>
    </w:p>
    <w:p w14:paraId="5A3BF103" w14:textId="1310B4A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Circumstances when this Subdivision applies</w:t>
      </w:r>
      <w:r w:rsidRPr="009F64E9">
        <w:rPr>
          <w:noProof/>
        </w:rPr>
        <w:tab/>
      </w:r>
      <w:r w:rsidRPr="009F64E9">
        <w:rPr>
          <w:noProof/>
        </w:rPr>
        <w:fldChar w:fldCharType="begin"/>
      </w:r>
      <w:r w:rsidRPr="009F64E9">
        <w:rPr>
          <w:noProof/>
        </w:rPr>
        <w:instrText xml:space="preserve"> PAGEREF _Toc188350538 \h </w:instrText>
      </w:r>
      <w:r w:rsidRPr="009F64E9">
        <w:rPr>
          <w:noProof/>
        </w:rPr>
      </w:r>
      <w:r w:rsidRPr="009F64E9">
        <w:rPr>
          <w:noProof/>
        </w:rPr>
        <w:fldChar w:fldCharType="separate"/>
      </w:r>
      <w:r w:rsidR="000E6B78">
        <w:rPr>
          <w:noProof/>
        </w:rPr>
        <w:t>31</w:t>
      </w:r>
      <w:r w:rsidRPr="009F64E9">
        <w:rPr>
          <w:noProof/>
        </w:rPr>
        <w:fldChar w:fldCharType="end"/>
      </w:r>
    </w:p>
    <w:p w14:paraId="4899E9D0" w14:textId="4129BCD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 xml:space="preserve">Meaning of </w:t>
      </w:r>
      <w:r w:rsidRPr="006558F0">
        <w:rPr>
          <w:i/>
          <w:noProof/>
        </w:rPr>
        <w:t>value of the non</w:t>
      </w:r>
      <w:r w:rsidRPr="006558F0">
        <w:rPr>
          <w:i/>
          <w:noProof/>
        </w:rPr>
        <w:noBreakHyphen/>
        <w:t>member spouse’s entitlement</w:t>
      </w:r>
      <w:r w:rsidRPr="009F64E9">
        <w:rPr>
          <w:noProof/>
        </w:rPr>
        <w:tab/>
      </w:r>
      <w:r w:rsidRPr="009F64E9">
        <w:rPr>
          <w:noProof/>
        </w:rPr>
        <w:fldChar w:fldCharType="begin"/>
      </w:r>
      <w:r w:rsidRPr="009F64E9">
        <w:rPr>
          <w:noProof/>
        </w:rPr>
        <w:instrText xml:space="preserve"> PAGEREF _Toc188350539 \h </w:instrText>
      </w:r>
      <w:r w:rsidRPr="009F64E9">
        <w:rPr>
          <w:noProof/>
        </w:rPr>
      </w:r>
      <w:r w:rsidRPr="009F64E9">
        <w:rPr>
          <w:noProof/>
        </w:rPr>
        <w:fldChar w:fldCharType="separate"/>
      </w:r>
      <w:r w:rsidR="000E6B78">
        <w:rPr>
          <w:noProof/>
        </w:rPr>
        <w:t>33</w:t>
      </w:r>
      <w:r w:rsidRPr="009F64E9">
        <w:rPr>
          <w:noProof/>
        </w:rPr>
        <w:fldChar w:fldCharType="end"/>
      </w:r>
    </w:p>
    <w:p w14:paraId="53ABB5B7" w14:textId="69702C89"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5—When the payment by the member spouse is in satisfaction of the non</w:t>
      </w:r>
      <w:r>
        <w:rPr>
          <w:noProof/>
        </w:rPr>
        <w:noBreakHyphen/>
        <w:t>member spouse’s entitlement under agreement or order</w:t>
      </w:r>
      <w:r w:rsidRPr="009F64E9">
        <w:rPr>
          <w:b w:val="0"/>
          <w:noProof/>
          <w:sz w:val="18"/>
        </w:rPr>
        <w:tab/>
      </w:r>
      <w:r w:rsidRPr="009F64E9">
        <w:rPr>
          <w:b w:val="0"/>
          <w:noProof/>
          <w:sz w:val="18"/>
        </w:rPr>
        <w:fldChar w:fldCharType="begin"/>
      </w:r>
      <w:r w:rsidRPr="009F64E9">
        <w:rPr>
          <w:b w:val="0"/>
          <w:noProof/>
          <w:sz w:val="18"/>
        </w:rPr>
        <w:instrText xml:space="preserve"> PAGEREF _Toc188350540 \h </w:instrText>
      </w:r>
      <w:r w:rsidRPr="009F64E9">
        <w:rPr>
          <w:b w:val="0"/>
          <w:noProof/>
          <w:sz w:val="18"/>
        </w:rPr>
      </w:r>
      <w:r w:rsidRPr="009F64E9">
        <w:rPr>
          <w:b w:val="0"/>
          <w:noProof/>
          <w:sz w:val="18"/>
        </w:rPr>
        <w:fldChar w:fldCharType="separate"/>
      </w:r>
      <w:r w:rsidR="000E6B78">
        <w:rPr>
          <w:b w:val="0"/>
          <w:noProof/>
          <w:sz w:val="18"/>
        </w:rPr>
        <w:t>35</w:t>
      </w:r>
      <w:r w:rsidRPr="009F64E9">
        <w:rPr>
          <w:b w:val="0"/>
          <w:noProof/>
          <w:sz w:val="18"/>
        </w:rPr>
        <w:fldChar w:fldCharType="end"/>
      </w:r>
    </w:p>
    <w:p w14:paraId="7D670F8F" w14:textId="5991EBD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Requirements of this Division</w:t>
      </w:r>
      <w:r w:rsidRPr="009F64E9">
        <w:rPr>
          <w:noProof/>
        </w:rPr>
        <w:tab/>
      </w:r>
      <w:r w:rsidRPr="009F64E9">
        <w:rPr>
          <w:noProof/>
        </w:rPr>
        <w:fldChar w:fldCharType="begin"/>
      </w:r>
      <w:r w:rsidRPr="009F64E9">
        <w:rPr>
          <w:noProof/>
        </w:rPr>
        <w:instrText xml:space="preserve"> PAGEREF _Toc188350541 \h </w:instrText>
      </w:r>
      <w:r w:rsidRPr="009F64E9">
        <w:rPr>
          <w:noProof/>
        </w:rPr>
      </w:r>
      <w:r w:rsidRPr="009F64E9">
        <w:rPr>
          <w:noProof/>
        </w:rPr>
        <w:fldChar w:fldCharType="separate"/>
      </w:r>
      <w:r w:rsidR="000E6B78">
        <w:rPr>
          <w:noProof/>
        </w:rPr>
        <w:t>35</w:t>
      </w:r>
      <w:r w:rsidRPr="009F64E9">
        <w:rPr>
          <w:noProof/>
        </w:rPr>
        <w:fldChar w:fldCharType="end"/>
      </w:r>
    </w:p>
    <w:p w14:paraId="75CCD83B" w14:textId="77B787FA"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4—Payment splitting or flagging by agreement</w:t>
      </w:r>
      <w:r w:rsidRPr="009F64E9">
        <w:rPr>
          <w:b w:val="0"/>
          <w:noProof/>
          <w:sz w:val="18"/>
        </w:rPr>
        <w:tab/>
      </w:r>
      <w:r w:rsidRPr="009F64E9">
        <w:rPr>
          <w:b w:val="0"/>
          <w:noProof/>
          <w:sz w:val="18"/>
        </w:rPr>
        <w:fldChar w:fldCharType="begin"/>
      </w:r>
      <w:r w:rsidRPr="009F64E9">
        <w:rPr>
          <w:b w:val="0"/>
          <w:noProof/>
          <w:sz w:val="18"/>
        </w:rPr>
        <w:instrText xml:space="preserve"> PAGEREF _Toc188350542 \h </w:instrText>
      </w:r>
      <w:r w:rsidRPr="009F64E9">
        <w:rPr>
          <w:b w:val="0"/>
          <w:noProof/>
          <w:sz w:val="18"/>
        </w:rPr>
      </w:r>
      <w:r w:rsidRPr="009F64E9">
        <w:rPr>
          <w:b w:val="0"/>
          <w:noProof/>
          <w:sz w:val="18"/>
        </w:rPr>
        <w:fldChar w:fldCharType="separate"/>
      </w:r>
      <w:r w:rsidR="000E6B78">
        <w:rPr>
          <w:b w:val="0"/>
          <w:noProof/>
          <w:sz w:val="18"/>
        </w:rPr>
        <w:t>36</w:t>
      </w:r>
      <w:r w:rsidRPr="009F64E9">
        <w:rPr>
          <w:b w:val="0"/>
          <w:noProof/>
          <w:sz w:val="18"/>
        </w:rPr>
        <w:fldChar w:fldCharType="end"/>
      </w:r>
    </w:p>
    <w:p w14:paraId="4E90563B" w14:textId="2E9D8B47"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1—Superannuation interest that is not a percentage</w:t>
      </w:r>
      <w:r>
        <w:rPr>
          <w:noProof/>
        </w:rPr>
        <w:noBreakHyphen/>
        <w:t>only interest</w:t>
      </w:r>
      <w:r w:rsidRPr="009F64E9">
        <w:rPr>
          <w:b w:val="0"/>
          <w:noProof/>
          <w:sz w:val="18"/>
        </w:rPr>
        <w:tab/>
      </w:r>
      <w:r w:rsidRPr="009F64E9">
        <w:rPr>
          <w:b w:val="0"/>
          <w:noProof/>
          <w:sz w:val="18"/>
        </w:rPr>
        <w:fldChar w:fldCharType="begin"/>
      </w:r>
      <w:r w:rsidRPr="009F64E9">
        <w:rPr>
          <w:b w:val="0"/>
          <w:noProof/>
          <w:sz w:val="18"/>
        </w:rPr>
        <w:instrText xml:space="preserve"> PAGEREF _Toc188350543 \h </w:instrText>
      </w:r>
      <w:r w:rsidRPr="009F64E9">
        <w:rPr>
          <w:b w:val="0"/>
          <w:noProof/>
          <w:sz w:val="18"/>
        </w:rPr>
      </w:r>
      <w:r w:rsidRPr="009F64E9">
        <w:rPr>
          <w:b w:val="0"/>
          <w:noProof/>
          <w:sz w:val="18"/>
        </w:rPr>
        <w:fldChar w:fldCharType="separate"/>
      </w:r>
      <w:r w:rsidR="000E6B78">
        <w:rPr>
          <w:b w:val="0"/>
          <w:noProof/>
          <w:sz w:val="18"/>
        </w:rPr>
        <w:t>36</w:t>
      </w:r>
      <w:r w:rsidRPr="009F64E9">
        <w:rPr>
          <w:b w:val="0"/>
          <w:noProof/>
          <w:sz w:val="18"/>
        </w:rPr>
        <w:fldChar w:fldCharType="end"/>
      </w:r>
    </w:p>
    <w:p w14:paraId="1248E696" w14:textId="091777D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Application of this Division—agreements specifying a base amount or method for calculating a base amount</w:t>
      </w:r>
      <w:r w:rsidRPr="009F64E9">
        <w:rPr>
          <w:noProof/>
        </w:rPr>
        <w:tab/>
      </w:r>
      <w:r w:rsidRPr="009F64E9">
        <w:rPr>
          <w:noProof/>
        </w:rPr>
        <w:fldChar w:fldCharType="begin"/>
      </w:r>
      <w:r w:rsidRPr="009F64E9">
        <w:rPr>
          <w:noProof/>
        </w:rPr>
        <w:instrText xml:space="preserve"> PAGEREF _Toc188350544 \h </w:instrText>
      </w:r>
      <w:r w:rsidRPr="009F64E9">
        <w:rPr>
          <w:noProof/>
        </w:rPr>
      </w:r>
      <w:r w:rsidRPr="009F64E9">
        <w:rPr>
          <w:noProof/>
        </w:rPr>
        <w:fldChar w:fldCharType="separate"/>
      </w:r>
      <w:r w:rsidR="000E6B78">
        <w:rPr>
          <w:noProof/>
        </w:rPr>
        <w:t>36</w:t>
      </w:r>
      <w:r w:rsidRPr="009F64E9">
        <w:rPr>
          <w:noProof/>
        </w:rPr>
        <w:fldChar w:fldCharType="end"/>
      </w:r>
    </w:p>
    <w:p w14:paraId="11C2B11B" w14:textId="10853A2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Entitlement of non</w:t>
      </w:r>
      <w:r>
        <w:rPr>
          <w:noProof/>
        </w:rPr>
        <w:noBreakHyphen/>
        <w:t>member spouse under the agreement—superannuation interest not in existence or in growth phase</w:t>
      </w:r>
      <w:r w:rsidRPr="009F64E9">
        <w:rPr>
          <w:noProof/>
        </w:rPr>
        <w:tab/>
      </w:r>
      <w:r w:rsidRPr="009F64E9">
        <w:rPr>
          <w:noProof/>
        </w:rPr>
        <w:fldChar w:fldCharType="begin"/>
      </w:r>
      <w:r w:rsidRPr="009F64E9">
        <w:rPr>
          <w:noProof/>
        </w:rPr>
        <w:instrText xml:space="preserve"> PAGEREF _Toc188350545 \h </w:instrText>
      </w:r>
      <w:r w:rsidRPr="009F64E9">
        <w:rPr>
          <w:noProof/>
        </w:rPr>
      </w:r>
      <w:r w:rsidRPr="009F64E9">
        <w:rPr>
          <w:noProof/>
        </w:rPr>
        <w:fldChar w:fldCharType="separate"/>
      </w:r>
      <w:r w:rsidR="000E6B78">
        <w:rPr>
          <w:noProof/>
        </w:rPr>
        <w:t>36</w:t>
      </w:r>
      <w:r w:rsidRPr="009F64E9">
        <w:rPr>
          <w:noProof/>
        </w:rPr>
        <w:fldChar w:fldCharType="end"/>
      </w:r>
    </w:p>
    <w:p w14:paraId="75111D84" w14:textId="3A835D5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Entitlement of non</w:t>
      </w:r>
      <w:r>
        <w:rPr>
          <w:noProof/>
        </w:rPr>
        <w:noBreakHyphen/>
        <w:t>member spouse under the agreement—superannuation interest in payment phase</w:t>
      </w:r>
      <w:r w:rsidRPr="009F64E9">
        <w:rPr>
          <w:noProof/>
        </w:rPr>
        <w:tab/>
      </w:r>
      <w:r w:rsidRPr="009F64E9">
        <w:rPr>
          <w:noProof/>
        </w:rPr>
        <w:fldChar w:fldCharType="begin"/>
      </w:r>
      <w:r w:rsidRPr="009F64E9">
        <w:rPr>
          <w:noProof/>
        </w:rPr>
        <w:instrText xml:space="preserve"> PAGEREF _Toc188350546 \h </w:instrText>
      </w:r>
      <w:r w:rsidRPr="009F64E9">
        <w:rPr>
          <w:noProof/>
        </w:rPr>
      </w:r>
      <w:r w:rsidRPr="009F64E9">
        <w:rPr>
          <w:noProof/>
        </w:rPr>
        <w:fldChar w:fldCharType="separate"/>
      </w:r>
      <w:r w:rsidR="000E6B78">
        <w:rPr>
          <w:noProof/>
        </w:rPr>
        <w:t>36</w:t>
      </w:r>
      <w:r w:rsidRPr="009F64E9">
        <w:rPr>
          <w:noProof/>
        </w:rPr>
        <w:fldChar w:fldCharType="end"/>
      </w:r>
    </w:p>
    <w:p w14:paraId="2CA64073" w14:textId="0815FD22"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2—Superannuation interest that is a percentage</w:t>
      </w:r>
      <w:r>
        <w:rPr>
          <w:noProof/>
        </w:rPr>
        <w:noBreakHyphen/>
        <w:t>only interest</w:t>
      </w:r>
      <w:r w:rsidRPr="009F64E9">
        <w:rPr>
          <w:b w:val="0"/>
          <w:noProof/>
          <w:sz w:val="18"/>
        </w:rPr>
        <w:tab/>
      </w:r>
      <w:r w:rsidRPr="009F64E9">
        <w:rPr>
          <w:b w:val="0"/>
          <w:noProof/>
          <w:sz w:val="18"/>
        </w:rPr>
        <w:fldChar w:fldCharType="begin"/>
      </w:r>
      <w:r w:rsidRPr="009F64E9">
        <w:rPr>
          <w:b w:val="0"/>
          <w:noProof/>
          <w:sz w:val="18"/>
        </w:rPr>
        <w:instrText xml:space="preserve"> PAGEREF _Toc188350547 \h </w:instrText>
      </w:r>
      <w:r w:rsidRPr="009F64E9">
        <w:rPr>
          <w:b w:val="0"/>
          <w:noProof/>
          <w:sz w:val="18"/>
        </w:rPr>
      </w:r>
      <w:r w:rsidRPr="009F64E9">
        <w:rPr>
          <w:b w:val="0"/>
          <w:noProof/>
          <w:sz w:val="18"/>
        </w:rPr>
        <w:fldChar w:fldCharType="separate"/>
      </w:r>
      <w:r w:rsidR="000E6B78">
        <w:rPr>
          <w:b w:val="0"/>
          <w:noProof/>
          <w:sz w:val="18"/>
        </w:rPr>
        <w:t>37</w:t>
      </w:r>
      <w:r w:rsidRPr="009F64E9">
        <w:rPr>
          <w:b w:val="0"/>
          <w:noProof/>
          <w:sz w:val="18"/>
        </w:rPr>
        <w:fldChar w:fldCharType="end"/>
      </w:r>
    </w:p>
    <w:p w14:paraId="01033A0C" w14:textId="6D6773F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Application of this Division—agreements specifying a percentage</w:t>
      </w:r>
      <w:r w:rsidRPr="009F64E9">
        <w:rPr>
          <w:noProof/>
        </w:rPr>
        <w:tab/>
      </w:r>
      <w:r w:rsidRPr="009F64E9">
        <w:rPr>
          <w:noProof/>
        </w:rPr>
        <w:fldChar w:fldCharType="begin"/>
      </w:r>
      <w:r w:rsidRPr="009F64E9">
        <w:rPr>
          <w:noProof/>
        </w:rPr>
        <w:instrText xml:space="preserve"> PAGEREF _Toc188350548 \h </w:instrText>
      </w:r>
      <w:r w:rsidRPr="009F64E9">
        <w:rPr>
          <w:noProof/>
        </w:rPr>
      </w:r>
      <w:r w:rsidRPr="009F64E9">
        <w:rPr>
          <w:noProof/>
        </w:rPr>
        <w:fldChar w:fldCharType="separate"/>
      </w:r>
      <w:r w:rsidR="000E6B78">
        <w:rPr>
          <w:noProof/>
        </w:rPr>
        <w:t>37</w:t>
      </w:r>
      <w:r w:rsidRPr="009F64E9">
        <w:rPr>
          <w:noProof/>
        </w:rPr>
        <w:fldChar w:fldCharType="end"/>
      </w:r>
    </w:p>
    <w:p w14:paraId="73D68FA9" w14:textId="72BEAE5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Entitlement of non</w:t>
      </w:r>
      <w:r>
        <w:rPr>
          <w:noProof/>
        </w:rPr>
        <w:noBreakHyphen/>
        <w:t>member spouse under the agreement—splittable payment payable in respect of superannuation interest (other than an interest in a superannuation annuity)</w:t>
      </w:r>
      <w:r w:rsidRPr="009F64E9">
        <w:rPr>
          <w:noProof/>
        </w:rPr>
        <w:tab/>
      </w:r>
      <w:r w:rsidRPr="009F64E9">
        <w:rPr>
          <w:noProof/>
        </w:rPr>
        <w:fldChar w:fldCharType="begin"/>
      </w:r>
      <w:r w:rsidRPr="009F64E9">
        <w:rPr>
          <w:noProof/>
        </w:rPr>
        <w:instrText xml:space="preserve"> PAGEREF _Toc188350549 \h </w:instrText>
      </w:r>
      <w:r w:rsidRPr="009F64E9">
        <w:rPr>
          <w:noProof/>
        </w:rPr>
      </w:r>
      <w:r w:rsidRPr="009F64E9">
        <w:rPr>
          <w:noProof/>
        </w:rPr>
        <w:fldChar w:fldCharType="separate"/>
      </w:r>
      <w:r w:rsidR="000E6B78">
        <w:rPr>
          <w:noProof/>
        </w:rPr>
        <w:t>37</w:t>
      </w:r>
      <w:r w:rsidRPr="009F64E9">
        <w:rPr>
          <w:noProof/>
        </w:rPr>
        <w:fldChar w:fldCharType="end"/>
      </w:r>
    </w:p>
    <w:p w14:paraId="0952342B" w14:textId="185F0E4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Entitlement of non</w:t>
      </w:r>
      <w:r>
        <w:rPr>
          <w:noProof/>
        </w:rPr>
        <w:noBreakHyphen/>
        <w:t>member spouse under the agreement—splittable payment payable in respect of interest in a superannuation annuity</w:t>
      </w:r>
      <w:r w:rsidRPr="009F64E9">
        <w:rPr>
          <w:noProof/>
        </w:rPr>
        <w:tab/>
      </w:r>
      <w:r w:rsidRPr="009F64E9">
        <w:rPr>
          <w:noProof/>
        </w:rPr>
        <w:fldChar w:fldCharType="begin"/>
      </w:r>
      <w:r w:rsidRPr="009F64E9">
        <w:rPr>
          <w:noProof/>
        </w:rPr>
        <w:instrText xml:space="preserve"> PAGEREF _Toc188350550 \h </w:instrText>
      </w:r>
      <w:r w:rsidRPr="009F64E9">
        <w:rPr>
          <w:noProof/>
        </w:rPr>
      </w:r>
      <w:r w:rsidRPr="009F64E9">
        <w:rPr>
          <w:noProof/>
        </w:rPr>
        <w:fldChar w:fldCharType="separate"/>
      </w:r>
      <w:r w:rsidR="000E6B78">
        <w:rPr>
          <w:noProof/>
        </w:rPr>
        <w:t>37</w:t>
      </w:r>
      <w:r w:rsidRPr="009F64E9">
        <w:rPr>
          <w:noProof/>
        </w:rPr>
        <w:fldChar w:fldCharType="end"/>
      </w:r>
    </w:p>
    <w:p w14:paraId="31A818AF" w14:textId="4C68662B"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5—Payment splitting or flagging by court order</w:t>
      </w:r>
      <w:r w:rsidRPr="009F64E9">
        <w:rPr>
          <w:b w:val="0"/>
          <w:noProof/>
          <w:sz w:val="18"/>
        </w:rPr>
        <w:tab/>
      </w:r>
      <w:r w:rsidRPr="009F64E9">
        <w:rPr>
          <w:b w:val="0"/>
          <w:noProof/>
          <w:sz w:val="18"/>
        </w:rPr>
        <w:fldChar w:fldCharType="begin"/>
      </w:r>
      <w:r w:rsidRPr="009F64E9">
        <w:rPr>
          <w:b w:val="0"/>
          <w:noProof/>
          <w:sz w:val="18"/>
        </w:rPr>
        <w:instrText xml:space="preserve"> PAGEREF _Toc188350551 \h </w:instrText>
      </w:r>
      <w:r w:rsidRPr="009F64E9">
        <w:rPr>
          <w:b w:val="0"/>
          <w:noProof/>
          <w:sz w:val="18"/>
        </w:rPr>
      </w:r>
      <w:r w:rsidRPr="009F64E9">
        <w:rPr>
          <w:b w:val="0"/>
          <w:noProof/>
          <w:sz w:val="18"/>
        </w:rPr>
        <w:fldChar w:fldCharType="separate"/>
      </w:r>
      <w:r w:rsidR="000E6B78">
        <w:rPr>
          <w:b w:val="0"/>
          <w:noProof/>
          <w:sz w:val="18"/>
        </w:rPr>
        <w:t>39</w:t>
      </w:r>
      <w:r w:rsidRPr="009F64E9">
        <w:rPr>
          <w:b w:val="0"/>
          <w:noProof/>
          <w:sz w:val="18"/>
        </w:rPr>
        <w:fldChar w:fldCharType="end"/>
      </w:r>
    </w:p>
    <w:p w14:paraId="18C7BADB" w14:textId="77D6C910"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w:t>
      </w:r>
      <w:r w:rsidRPr="009F64E9">
        <w:rPr>
          <w:b w:val="0"/>
          <w:noProof/>
          <w:sz w:val="18"/>
        </w:rPr>
        <w:tab/>
      </w:r>
      <w:r w:rsidRPr="009F64E9">
        <w:rPr>
          <w:b w:val="0"/>
          <w:noProof/>
          <w:sz w:val="18"/>
        </w:rPr>
        <w:fldChar w:fldCharType="begin"/>
      </w:r>
      <w:r w:rsidRPr="009F64E9">
        <w:rPr>
          <w:b w:val="0"/>
          <w:noProof/>
          <w:sz w:val="18"/>
        </w:rPr>
        <w:instrText xml:space="preserve"> PAGEREF _Toc188350552 \h </w:instrText>
      </w:r>
      <w:r w:rsidRPr="009F64E9">
        <w:rPr>
          <w:b w:val="0"/>
          <w:noProof/>
          <w:sz w:val="18"/>
        </w:rPr>
      </w:r>
      <w:r w:rsidRPr="009F64E9">
        <w:rPr>
          <w:b w:val="0"/>
          <w:noProof/>
          <w:sz w:val="18"/>
        </w:rPr>
        <w:fldChar w:fldCharType="separate"/>
      </w:r>
      <w:r w:rsidR="000E6B78">
        <w:rPr>
          <w:b w:val="0"/>
          <w:noProof/>
          <w:sz w:val="18"/>
        </w:rPr>
        <w:t>39</w:t>
      </w:r>
      <w:r w:rsidRPr="009F64E9">
        <w:rPr>
          <w:b w:val="0"/>
          <w:noProof/>
          <w:sz w:val="18"/>
        </w:rPr>
        <w:fldChar w:fldCharType="end"/>
      </w:r>
    </w:p>
    <w:p w14:paraId="41582FC3" w14:textId="5B05DC7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Simplified outline of this Part</w:t>
      </w:r>
      <w:r w:rsidRPr="009F64E9">
        <w:rPr>
          <w:noProof/>
        </w:rPr>
        <w:tab/>
      </w:r>
      <w:r w:rsidRPr="009F64E9">
        <w:rPr>
          <w:noProof/>
        </w:rPr>
        <w:fldChar w:fldCharType="begin"/>
      </w:r>
      <w:r w:rsidRPr="009F64E9">
        <w:rPr>
          <w:noProof/>
        </w:rPr>
        <w:instrText xml:space="preserve"> PAGEREF _Toc188350553 \h </w:instrText>
      </w:r>
      <w:r w:rsidRPr="009F64E9">
        <w:rPr>
          <w:noProof/>
        </w:rPr>
      </w:r>
      <w:r w:rsidRPr="009F64E9">
        <w:rPr>
          <w:noProof/>
        </w:rPr>
        <w:fldChar w:fldCharType="separate"/>
      </w:r>
      <w:r w:rsidR="000E6B78">
        <w:rPr>
          <w:noProof/>
        </w:rPr>
        <w:t>39</w:t>
      </w:r>
      <w:r w:rsidRPr="009F64E9">
        <w:rPr>
          <w:noProof/>
        </w:rPr>
        <w:fldChar w:fldCharType="end"/>
      </w:r>
    </w:p>
    <w:p w14:paraId="6F2D1B43" w14:textId="4924CC28"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2—All superannuation interests</w:t>
      </w:r>
      <w:r w:rsidRPr="009F64E9">
        <w:rPr>
          <w:b w:val="0"/>
          <w:noProof/>
          <w:sz w:val="18"/>
        </w:rPr>
        <w:tab/>
      </w:r>
      <w:r w:rsidRPr="009F64E9">
        <w:rPr>
          <w:b w:val="0"/>
          <w:noProof/>
          <w:sz w:val="18"/>
        </w:rPr>
        <w:fldChar w:fldCharType="begin"/>
      </w:r>
      <w:r w:rsidRPr="009F64E9">
        <w:rPr>
          <w:b w:val="0"/>
          <w:noProof/>
          <w:sz w:val="18"/>
        </w:rPr>
        <w:instrText xml:space="preserve"> PAGEREF _Toc188350554 \h </w:instrText>
      </w:r>
      <w:r w:rsidRPr="009F64E9">
        <w:rPr>
          <w:b w:val="0"/>
          <w:noProof/>
          <w:sz w:val="18"/>
        </w:rPr>
      </w:r>
      <w:r w:rsidRPr="009F64E9">
        <w:rPr>
          <w:b w:val="0"/>
          <w:noProof/>
          <w:sz w:val="18"/>
        </w:rPr>
        <w:fldChar w:fldCharType="separate"/>
      </w:r>
      <w:r w:rsidR="000E6B78">
        <w:rPr>
          <w:b w:val="0"/>
          <w:noProof/>
          <w:sz w:val="18"/>
        </w:rPr>
        <w:t>40</w:t>
      </w:r>
      <w:r w:rsidRPr="009F64E9">
        <w:rPr>
          <w:b w:val="0"/>
          <w:noProof/>
          <w:sz w:val="18"/>
        </w:rPr>
        <w:fldChar w:fldCharType="end"/>
      </w:r>
    </w:p>
    <w:p w14:paraId="307BC7DC" w14:textId="08899D70"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A—Determining the value of the superannuation interest of the member spouse</w:t>
      </w:r>
      <w:r w:rsidRPr="009F64E9">
        <w:rPr>
          <w:b w:val="0"/>
          <w:noProof/>
          <w:sz w:val="18"/>
        </w:rPr>
        <w:tab/>
      </w:r>
      <w:r w:rsidRPr="009F64E9">
        <w:rPr>
          <w:b w:val="0"/>
          <w:noProof/>
          <w:sz w:val="18"/>
        </w:rPr>
        <w:fldChar w:fldCharType="begin"/>
      </w:r>
      <w:r w:rsidRPr="009F64E9">
        <w:rPr>
          <w:b w:val="0"/>
          <w:noProof/>
          <w:sz w:val="18"/>
        </w:rPr>
        <w:instrText xml:space="preserve"> PAGEREF _Toc188350555 \h </w:instrText>
      </w:r>
      <w:r w:rsidRPr="009F64E9">
        <w:rPr>
          <w:b w:val="0"/>
          <w:noProof/>
          <w:sz w:val="18"/>
        </w:rPr>
      </w:r>
      <w:r w:rsidRPr="009F64E9">
        <w:rPr>
          <w:b w:val="0"/>
          <w:noProof/>
          <w:sz w:val="18"/>
        </w:rPr>
        <w:fldChar w:fldCharType="separate"/>
      </w:r>
      <w:r w:rsidR="000E6B78">
        <w:rPr>
          <w:b w:val="0"/>
          <w:noProof/>
          <w:sz w:val="18"/>
        </w:rPr>
        <w:t>40</w:t>
      </w:r>
      <w:r w:rsidRPr="009F64E9">
        <w:rPr>
          <w:b w:val="0"/>
          <w:noProof/>
          <w:sz w:val="18"/>
        </w:rPr>
        <w:fldChar w:fldCharType="end"/>
      </w:r>
    </w:p>
    <w:p w14:paraId="17AF19C4" w14:textId="4711F7D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Determining the value of certain superannuation interests of member spouses</w:t>
      </w:r>
      <w:r w:rsidRPr="009F64E9">
        <w:rPr>
          <w:noProof/>
        </w:rPr>
        <w:tab/>
      </w:r>
      <w:r w:rsidRPr="009F64E9">
        <w:rPr>
          <w:noProof/>
        </w:rPr>
        <w:fldChar w:fldCharType="begin"/>
      </w:r>
      <w:r w:rsidRPr="009F64E9">
        <w:rPr>
          <w:noProof/>
        </w:rPr>
        <w:instrText xml:space="preserve"> PAGEREF _Toc188350556 \h </w:instrText>
      </w:r>
      <w:r w:rsidRPr="009F64E9">
        <w:rPr>
          <w:noProof/>
        </w:rPr>
      </w:r>
      <w:r w:rsidRPr="009F64E9">
        <w:rPr>
          <w:noProof/>
        </w:rPr>
        <w:fldChar w:fldCharType="separate"/>
      </w:r>
      <w:r w:rsidR="000E6B78">
        <w:rPr>
          <w:noProof/>
        </w:rPr>
        <w:t>40</w:t>
      </w:r>
      <w:r w:rsidRPr="009F64E9">
        <w:rPr>
          <w:noProof/>
        </w:rPr>
        <w:fldChar w:fldCharType="end"/>
      </w:r>
    </w:p>
    <w:p w14:paraId="337C3BB0" w14:textId="5FDD381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Determining the value of small superannuation accounts interests of member spouses</w:t>
      </w:r>
      <w:r w:rsidRPr="009F64E9">
        <w:rPr>
          <w:noProof/>
        </w:rPr>
        <w:tab/>
      </w:r>
      <w:r w:rsidRPr="009F64E9">
        <w:rPr>
          <w:noProof/>
        </w:rPr>
        <w:fldChar w:fldCharType="begin"/>
      </w:r>
      <w:r w:rsidRPr="009F64E9">
        <w:rPr>
          <w:noProof/>
        </w:rPr>
        <w:instrText xml:space="preserve"> PAGEREF _Toc188350557 \h </w:instrText>
      </w:r>
      <w:r w:rsidRPr="009F64E9">
        <w:rPr>
          <w:noProof/>
        </w:rPr>
      </w:r>
      <w:r w:rsidRPr="009F64E9">
        <w:rPr>
          <w:noProof/>
        </w:rPr>
        <w:fldChar w:fldCharType="separate"/>
      </w:r>
      <w:r w:rsidR="000E6B78">
        <w:rPr>
          <w:noProof/>
        </w:rPr>
        <w:t>40</w:t>
      </w:r>
      <w:r w:rsidRPr="009F64E9">
        <w:rPr>
          <w:noProof/>
        </w:rPr>
        <w:fldChar w:fldCharType="end"/>
      </w:r>
    </w:p>
    <w:p w14:paraId="400A8D5A" w14:textId="3FB1C5E4"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B—Calculating the amount the non</w:t>
      </w:r>
      <w:r>
        <w:rPr>
          <w:noProof/>
        </w:rPr>
        <w:noBreakHyphen/>
        <w:t>member spouse is entitled to be paid in respect of certain superannuation interests of the member spouse</w:t>
      </w:r>
      <w:r w:rsidRPr="009F64E9">
        <w:rPr>
          <w:b w:val="0"/>
          <w:noProof/>
          <w:sz w:val="18"/>
        </w:rPr>
        <w:tab/>
      </w:r>
      <w:r w:rsidRPr="009F64E9">
        <w:rPr>
          <w:b w:val="0"/>
          <w:noProof/>
          <w:sz w:val="18"/>
        </w:rPr>
        <w:fldChar w:fldCharType="begin"/>
      </w:r>
      <w:r w:rsidRPr="009F64E9">
        <w:rPr>
          <w:b w:val="0"/>
          <w:noProof/>
          <w:sz w:val="18"/>
        </w:rPr>
        <w:instrText xml:space="preserve"> PAGEREF _Toc188350558 \h </w:instrText>
      </w:r>
      <w:r w:rsidRPr="009F64E9">
        <w:rPr>
          <w:b w:val="0"/>
          <w:noProof/>
          <w:sz w:val="18"/>
        </w:rPr>
      </w:r>
      <w:r w:rsidRPr="009F64E9">
        <w:rPr>
          <w:b w:val="0"/>
          <w:noProof/>
          <w:sz w:val="18"/>
        </w:rPr>
        <w:fldChar w:fldCharType="separate"/>
      </w:r>
      <w:r w:rsidR="000E6B78">
        <w:rPr>
          <w:b w:val="0"/>
          <w:noProof/>
          <w:sz w:val="18"/>
        </w:rPr>
        <w:t>41</w:t>
      </w:r>
      <w:r w:rsidRPr="009F64E9">
        <w:rPr>
          <w:b w:val="0"/>
          <w:noProof/>
          <w:sz w:val="18"/>
        </w:rPr>
        <w:fldChar w:fldCharType="end"/>
      </w:r>
    </w:p>
    <w:p w14:paraId="6FDD9B4C" w14:textId="2F2891B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Entitlement of non</w:t>
      </w:r>
      <w:r>
        <w:rPr>
          <w:noProof/>
        </w:rPr>
        <w:noBreakHyphen/>
        <w:t>member spouse under a splitting order—interests other than percentage</w:t>
      </w:r>
      <w:r>
        <w:rPr>
          <w:noProof/>
        </w:rPr>
        <w:noBreakHyphen/>
        <w:t>only interests and small superannuation accounts interests</w:t>
      </w:r>
      <w:r w:rsidRPr="009F64E9">
        <w:rPr>
          <w:noProof/>
        </w:rPr>
        <w:tab/>
      </w:r>
      <w:r w:rsidRPr="009F64E9">
        <w:rPr>
          <w:noProof/>
        </w:rPr>
        <w:fldChar w:fldCharType="begin"/>
      </w:r>
      <w:r w:rsidRPr="009F64E9">
        <w:rPr>
          <w:noProof/>
        </w:rPr>
        <w:instrText xml:space="preserve"> PAGEREF _Toc188350559 \h </w:instrText>
      </w:r>
      <w:r w:rsidRPr="009F64E9">
        <w:rPr>
          <w:noProof/>
        </w:rPr>
      </w:r>
      <w:r w:rsidRPr="009F64E9">
        <w:rPr>
          <w:noProof/>
        </w:rPr>
        <w:fldChar w:fldCharType="separate"/>
      </w:r>
      <w:r w:rsidR="000E6B78">
        <w:rPr>
          <w:noProof/>
        </w:rPr>
        <w:t>41</w:t>
      </w:r>
      <w:r w:rsidRPr="009F64E9">
        <w:rPr>
          <w:noProof/>
        </w:rPr>
        <w:fldChar w:fldCharType="end"/>
      </w:r>
    </w:p>
    <w:p w14:paraId="239B9824" w14:textId="08D4DF7C"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3—Superannuation interest that is a percentage</w:t>
      </w:r>
      <w:r>
        <w:rPr>
          <w:noProof/>
        </w:rPr>
        <w:noBreakHyphen/>
        <w:t>only interest</w:t>
      </w:r>
      <w:r w:rsidRPr="009F64E9">
        <w:rPr>
          <w:b w:val="0"/>
          <w:noProof/>
          <w:sz w:val="18"/>
        </w:rPr>
        <w:tab/>
      </w:r>
      <w:r w:rsidRPr="009F64E9">
        <w:rPr>
          <w:b w:val="0"/>
          <w:noProof/>
          <w:sz w:val="18"/>
        </w:rPr>
        <w:fldChar w:fldCharType="begin"/>
      </w:r>
      <w:r w:rsidRPr="009F64E9">
        <w:rPr>
          <w:b w:val="0"/>
          <w:noProof/>
          <w:sz w:val="18"/>
        </w:rPr>
        <w:instrText xml:space="preserve"> PAGEREF _Toc188350560 \h </w:instrText>
      </w:r>
      <w:r w:rsidRPr="009F64E9">
        <w:rPr>
          <w:b w:val="0"/>
          <w:noProof/>
          <w:sz w:val="18"/>
        </w:rPr>
      </w:r>
      <w:r w:rsidRPr="009F64E9">
        <w:rPr>
          <w:b w:val="0"/>
          <w:noProof/>
          <w:sz w:val="18"/>
        </w:rPr>
        <w:fldChar w:fldCharType="separate"/>
      </w:r>
      <w:r w:rsidR="000E6B78">
        <w:rPr>
          <w:b w:val="0"/>
          <w:noProof/>
          <w:sz w:val="18"/>
        </w:rPr>
        <w:t>42</w:t>
      </w:r>
      <w:r w:rsidRPr="009F64E9">
        <w:rPr>
          <w:b w:val="0"/>
          <w:noProof/>
          <w:sz w:val="18"/>
        </w:rPr>
        <w:fldChar w:fldCharType="end"/>
      </w:r>
    </w:p>
    <w:p w14:paraId="2328555A" w14:textId="107EA1A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Application of this Division</w:t>
      </w:r>
      <w:r w:rsidRPr="009F64E9">
        <w:rPr>
          <w:noProof/>
        </w:rPr>
        <w:tab/>
      </w:r>
      <w:r w:rsidRPr="009F64E9">
        <w:rPr>
          <w:noProof/>
        </w:rPr>
        <w:fldChar w:fldCharType="begin"/>
      </w:r>
      <w:r w:rsidRPr="009F64E9">
        <w:rPr>
          <w:noProof/>
        </w:rPr>
        <w:instrText xml:space="preserve"> PAGEREF _Toc188350561 \h </w:instrText>
      </w:r>
      <w:r w:rsidRPr="009F64E9">
        <w:rPr>
          <w:noProof/>
        </w:rPr>
      </w:r>
      <w:r w:rsidRPr="009F64E9">
        <w:rPr>
          <w:noProof/>
        </w:rPr>
        <w:fldChar w:fldCharType="separate"/>
      </w:r>
      <w:r w:rsidR="000E6B78">
        <w:rPr>
          <w:noProof/>
        </w:rPr>
        <w:t>42</w:t>
      </w:r>
      <w:r w:rsidRPr="009F64E9">
        <w:rPr>
          <w:noProof/>
        </w:rPr>
        <w:fldChar w:fldCharType="end"/>
      </w:r>
    </w:p>
    <w:p w14:paraId="5D5F20FB" w14:textId="461EC8D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Entitlement of non</w:t>
      </w:r>
      <w:r>
        <w:rPr>
          <w:noProof/>
        </w:rPr>
        <w:noBreakHyphen/>
        <w:t>member spouse under the order—superannuation interest (other than an interest in a superannuation annuity)</w:t>
      </w:r>
      <w:r w:rsidRPr="009F64E9">
        <w:rPr>
          <w:noProof/>
        </w:rPr>
        <w:tab/>
      </w:r>
      <w:r w:rsidRPr="009F64E9">
        <w:rPr>
          <w:noProof/>
        </w:rPr>
        <w:fldChar w:fldCharType="begin"/>
      </w:r>
      <w:r w:rsidRPr="009F64E9">
        <w:rPr>
          <w:noProof/>
        </w:rPr>
        <w:instrText xml:space="preserve"> PAGEREF _Toc188350562 \h </w:instrText>
      </w:r>
      <w:r w:rsidRPr="009F64E9">
        <w:rPr>
          <w:noProof/>
        </w:rPr>
      </w:r>
      <w:r w:rsidRPr="009F64E9">
        <w:rPr>
          <w:noProof/>
        </w:rPr>
        <w:fldChar w:fldCharType="separate"/>
      </w:r>
      <w:r w:rsidR="000E6B78">
        <w:rPr>
          <w:noProof/>
        </w:rPr>
        <w:t>42</w:t>
      </w:r>
      <w:r w:rsidRPr="009F64E9">
        <w:rPr>
          <w:noProof/>
        </w:rPr>
        <w:fldChar w:fldCharType="end"/>
      </w:r>
    </w:p>
    <w:p w14:paraId="25811B5F" w14:textId="01270B8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Entitlement of non</w:t>
      </w:r>
      <w:r>
        <w:rPr>
          <w:noProof/>
        </w:rPr>
        <w:noBreakHyphen/>
        <w:t>member spouse under the order—superannuation interest in a superannuation annuity</w:t>
      </w:r>
      <w:r w:rsidRPr="009F64E9">
        <w:rPr>
          <w:noProof/>
        </w:rPr>
        <w:tab/>
      </w:r>
      <w:r w:rsidRPr="009F64E9">
        <w:rPr>
          <w:noProof/>
        </w:rPr>
        <w:fldChar w:fldCharType="begin"/>
      </w:r>
      <w:r w:rsidRPr="009F64E9">
        <w:rPr>
          <w:noProof/>
        </w:rPr>
        <w:instrText xml:space="preserve"> PAGEREF _Toc188350563 \h </w:instrText>
      </w:r>
      <w:r w:rsidRPr="009F64E9">
        <w:rPr>
          <w:noProof/>
        </w:rPr>
      </w:r>
      <w:r w:rsidRPr="009F64E9">
        <w:rPr>
          <w:noProof/>
        </w:rPr>
        <w:fldChar w:fldCharType="separate"/>
      </w:r>
      <w:r w:rsidR="000E6B78">
        <w:rPr>
          <w:noProof/>
        </w:rPr>
        <w:t>42</w:t>
      </w:r>
      <w:r w:rsidRPr="009F64E9">
        <w:rPr>
          <w:noProof/>
        </w:rPr>
        <w:fldChar w:fldCharType="end"/>
      </w:r>
    </w:p>
    <w:p w14:paraId="6503CB59" w14:textId="6E81CB3D"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6—Determining the value of certain superannuation interests of member spouses</w:t>
      </w:r>
      <w:r w:rsidRPr="009F64E9">
        <w:rPr>
          <w:b w:val="0"/>
          <w:noProof/>
          <w:sz w:val="18"/>
        </w:rPr>
        <w:tab/>
      </w:r>
      <w:r w:rsidRPr="009F64E9">
        <w:rPr>
          <w:b w:val="0"/>
          <w:noProof/>
          <w:sz w:val="18"/>
        </w:rPr>
        <w:fldChar w:fldCharType="begin"/>
      </w:r>
      <w:r w:rsidRPr="009F64E9">
        <w:rPr>
          <w:b w:val="0"/>
          <w:noProof/>
          <w:sz w:val="18"/>
        </w:rPr>
        <w:instrText xml:space="preserve"> PAGEREF _Toc188350564 \h </w:instrText>
      </w:r>
      <w:r w:rsidRPr="009F64E9">
        <w:rPr>
          <w:b w:val="0"/>
          <w:noProof/>
          <w:sz w:val="18"/>
        </w:rPr>
      </w:r>
      <w:r w:rsidRPr="009F64E9">
        <w:rPr>
          <w:b w:val="0"/>
          <w:noProof/>
          <w:sz w:val="18"/>
        </w:rPr>
        <w:fldChar w:fldCharType="separate"/>
      </w:r>
      <w:r w:rsidR="000E6B78">
        <w:rPr>
          <w:b w:val="0"/>
          <w:noProof/>
          <w:sz w:val="18"/>
        </w:rPr>
        <w:t>44</w:t>
      </w:r>
      <w:r w:rsidRPr="009F64E9">
        <w:rPr>
          <w:b w:val="0"/>
          <w:noProof/>
          <w:sz w:val="18"/>
        </w:rPr>
        <w:fldChar w:fldCharType="end"/>
      </w:r>
    </w:p>
    <w:p w14:paraId="5D9D0C3E" w14:textId="4362A547"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1—Determining the value of superannuation interests in the growth phase at the relevant date</w:t>
      </w:r>
      <w:r w:rsidRPr="009F64E9">
        <w:rPr>
          <w:b w:val="0"/>
          <w:noProof/>
          <w:sz w:val="18"/>
        </w:rPr>
        <w:tab/>
      </w:r>
      <w:r w:rsidRPr="009F64E9">
        <w:rPr>
          <w:b w:val="0"/>
          <w:noProof/>
          <w:sz w:val="18"/>
        </w:rPr>
        <w:fldChar w:fldCharType="begin"/>
      </w:r>
      <w:r w:rsidRPr="009F64E9">
        <w:rPr>
          <w:b w:val="0"/>
          <w:noProof/>
          <w:sz w:val="18"/>
        </w:rPr>
        <w:instrText xml:space="preserve"> PAGEREF _Toc188350565 \h </w:instrText>
      </w:r>
      <w:r w:rsidRPr="009F64E9">
        <w:rPr>
          <w:b w:val="0"/>
          <w:noProof/>
          <w:sz w:val="18"/>
        </w:rPr>
      </w:r>
      <w:r w:rsidRPr="009F64E9">
        <w:rPr>
          <w:b w:val="0"/>
          <w:noProof/>
          <w:sz w:val="18"/>
        </w:rPr>
        <w:fldChar w:fldCharType="separate"/>
      </w:r>
      <w:r w:rsidR="000E6B78">
        <w:rPr>
          <w:b w:val="0"/>
          <w:noProof/>
          <w:sz w:val="18"/>
        </w:rPr>
        <w:t>44</w:t>
      </w:r>
      <w:r w:rsidRPr="009F64E9">
        <w:rPr>
          <w:b w:val="0"/>
          <w:noProof/>
          <w:sz w:val="18"/>
        </w:rPr>
        <w:fldChar w:fldCharType="end"/>
      </w:r>
    </w:p>
    <w:p w14:paraId="6CEB8A7A" w14:textId="4871582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Simplified outline of this Division</w:t>
      </w:r>
      <w:r w:rsidRPr="009F64E9">
        <w:rPr>
          <w:noProof/>
        </w:rPr>
        <w:tab/>
      </w:r>
      <w:r w:rsidRPr="009F64E9">
        <w:rPr>
          <w:noProof/>
        </w:rPr>
        <w:fldChar w:fldCharType="begin"/>
      </w:r>
      <w:r w:rsidRPr="009F64E9">
        <w:rPr>
          <w:noProof/>
        </w:rPr>
        <w:instrText xml:space="preserve"> PAGEREF _Toc188350566 \h </w:instrText>
      </w:r>
      <w:r w:rsidRPr="009F64E9">
        <w:rPr>
          <w:noProof/>
        </w:rPr>
      </w:r>
      <w:r w:rsidRPr="009F64E9">
        <w:rPr>
          <w:noProof/>
        </w:rPr>
        <w:fldChar w:fldCharType="separate"/>
      </w:r>
      <w:r w:rsidR="000E6B78">
        <w:rPr>
          <w:noProof/>
        </w:rPr>
        <w:t>44</w:t>
      </w:r>
      <w:r w:rsidRPr="009F64E9">
        <w:rPr>
          <w:noProof/>
        </w:rPr>
        <w:fldChar w:fldCharType="end"/>
      </w:r>
    </w:p>
    <w:p w14:paraId="232C5000" w14:textId="6ACD27D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Determining the value of superannuation interests in the growth phase at the relevant date</w:t>
      </w:r>
      <w:r w:rsidRPr="009F64E9">
        <w:rPr>
          <w:noProof/>
        </w:rPr>
        <w:tab/>
      </w:r>
      <w:r w:rsidRPr="009F64E9">
        <w:rPr>
          <w:noProof/>
        </w:rPr>
        <w:fldChar w:fldCharType="begin"/>
      </w:r>
      <w:r w:rsidRPr="009F64E9">
        <w:rPr>
          <w:noProof/>
        </w:rPr>
        <w:instrText xml:space="preserve"> PAGEREF _Toc188350567 \h </w:instrText>
      </w:r>
      <w:r w:rsidRPr="009F64E9">
        <w:rPr>
          <w:noProof/>
        </w:rPr>
      </w:r>
      <w:r w:rsidRPr="009F64E9">
        <w:rPr>
          <w:noProof/>
        </w:rPr>
        <w:fldChar w:fldCharType="separate"/>
      </w:r>
      <w:r w:rsidR="000E6B78">
        <w:rPr>
          <w:noProof/>
        </w:rPr>
        <w:t>44</w:t>
      </w:r>
      <w:r w:rsidRPr="009F64E9">
        <w:rPr>
          <w:noProof/>
        </w:rPr>
        <w:fldChar w:fldCharType="end"/>
      </w:r>
    </w:p>
    <w:p w14:paraId="7605D634" w14:textId="19478FC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Gross value—most defined benefit interests</w:t>
      </w:r>
      <w:r w:rsidRPr="009F64E9">
        <w:rPr>
          <w:noProof/>
        </w:rPr>
        <w:tab/>
      </w:r>
      <w:r w:rsidRPr="009F64E9">
        <w:rPr>
          <w:noProof/>
        </w:rPr>
        <w:fldChar w:fldCharType="begin"/>
      </w:r>
      <w:r w:rsidRPr="009F64E9">
        <w:rPr>
          <w:noProof/>
        </w:rPr>
        <w:instrText xml:space="preserve"> PAGEREF _Toc188350568 \h </w:instrText>
      </w:r>
      <w:r w:rsidRPr="009F64E9">
        <w:rPr>
          <w:noProof/>
        </w:rPr>
      </w:r>
      <w:r w:rsidRPr="009F64E9">
        <w:rPr>
          <w:noProof/>
        </w:rPr>
        <w:fldChar w:fldCharType="separate"/>
      </w:r>
      <w:r w:rsidR="000E6B78">
        <w:rPr>
          <w:noProof/>
        </w:rPr>
        <w:t>46</w:t>
      </w:r>
      <w:r w:rsidRPr="009F64E9">
        <w:rPr>
          <w:noProof/>
        </w:rPr>
        <w:fldChar w:fldCharType="end"/>
      </w:r>
    </w:p>
    <w:p w14:paraId="58F790A9" w14:textId="487C1A6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Gross value—accumulation interest (other than a partially vested accumulation interest): more straight</w:t>
      </w:r>
      <w:r>
        <w:rPr>
          <w:noProof/>
        </w:rPr>
        <w:noBreakHyphen/>
        <w:t>forward cases</w:t>
      </w:r>
      <w:r w:rsidRPr="009F64E9">
        <w:rPr>
          <w:noProof/>
        </w:rPr>
        <w:tab/>
      </w:r>
      <w:r w:rsidRPr="009F64E9">
        <w:rPr>
          <w:noProof/>
        </w:rPr>
        <w:fldChar w:fldCharType="begin"/>
      </w:r>
      <w:r w:rsidRPr="009F64E9">
        <w:rPr>
          <w:noProof/>
        </w:rPr>
        <w:instrText xml:space="preserve"> PAGEREF _Toc188350569 \h </w:instrText>
      </w:r>
      <w:r w:rsidRPr="009F64E9">
        <w:rPr>
          <w:noProof/>
        </w:rPr>
      </w:r>
      <w:r w:rsidRPr="009F64E9">
        <w:rPr>
          <w:noProof/>
        </w:rPr>
        <w:fldChar w:fldCharType="separate"/>
      </w:r>
      <w:r w:rsidR="000E6B78">
        <w:rPr>
          <w:noProof/>
        </w:rPr>
        <w:t>47</w:t>
      </w:r>
      <w:r w:rsidRPr="009F64E9">
        <w:rPr>
          <w:noProof/>
        </w:rPr>
        <w:fldChar w:fldCharType="end"/>
      </w:r>
    </w:p>
    <w:p w14:paraId="2C758255" w14:textId="0642B80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Gross value—accumulation interest (other than a partially vested accumulation interest): other cases</w:t>
      </w:r>
      <w:r w:rsidRPr="009F64E9">
        <w:rPr>
          <w:noProof/>
        </w:rPr>
        <w:tab/>
      </w:r>
      <w:r w:rsidRPr="009F64E9">
        <w:rPr>
          <w:noProof/>
        </w:rPr>
        <w:fldChar w:fldCharType="begin"/>
      </w:r>
      <w:r w:rsidRPr="009F64E9">
        <w:rPr>
          <w:noProof/>
        </w:rPr>
        <w:instrText xml:space="preserve"> PAGEREF _Toc188350570 \h </w:instrText>
      </w:r>
      <w:r w:rsidRPr="009F64E9">
        <w:rPr>
          <w:noProof/>
        </w:rPr>
      </w:r>
      <w:r w:rsidRPr="009F64E9">
        <w:rPr>
          <w:noProof/>
        </w:rPr>
        <w:fldChar w:fldCharType="separate"/>
      </w:r>
      <w:r w:rsidR="000E6B78">
        <w:rPr>
          <w:noProof/>
        </w:rPr>
        <w:t>47</w:t>
      </w:r>
      <w:r w:rsidRPr="009F64E9">
        <w:rPr>
          <w:noProof/>
        </w:rPr>
        <w:fldChar w:fldCharType="end"/>
      </w:r>
    </w:p>
    <w:p w14:paraId="3315AFAD" w14:textId="6DACEAA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Gross value—partially vested accumulation interest</w:t>
      </w:r>
      <w:r w:rsidRPr="009F64E9">
        <w:rPr>
          <w:noProof/>
        </w:rPr>
        <w:tab/>
      </w:r>
      <w:r w:rsidRPr="009F64E9">
        <w:rPr>
          <w:noProof/>
        </w:rPr>
        <w:fldChar w:fldCharType="begin"/>
      </w:r>
      <w:r w:rsidRPr="009F64E9">
        <w:rPr>
          <w:noProof/>
        </w:rPr>
        <w:instrText xml:space="preserve"> PAGEREF _Toc188350571 \h </w:instrText>
      </w:r>
      <w:r w:rsidRPr="009F64E9">
        <w:rPr>
          <w:noProof/>
        </w:rPr>
      </w:r>
      <w:r w:rsidRPr="009F64E9">
        <w:rPr>
          <w:noProof/>
        </w:rPr>
        <w:fldChar w:fldCharType="separate"/>
      </w:r>
      <w:r w:rsidR="000E6B78">
        <w:rPr>
          <w:noProof/>
        </w:rPr>
        <w:t>50</w:t>
      </w:r>
      <w:r w:rsidRPr="009F64E9">
        <w:rPr>
          <w:noProof/>
        </w:rPr>
        <w:fldChar w:fldCharType="end"/>
      </w:r>
    </w:p>
    <w:p w14:paraId="62014D8C" w14:textId="726649D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Gross value—superannuation interest consists of several components</w:t>
      </w:r>
      <w:r w:rsidRPr="009F64E9">
        <w:rPr>
          <w:noProof/>
        </w:rPr>
        <w:tab/>
      </w:r>
      <w:r w:rsidRPr="009F64E9">
        <w:rPr>
          <w:noProof/>
        </w:rPr>
        <w:fldChar w:fldCharType="begin"/>
      </w:r>
      <w:r w:rsidRPr="009F64E9">
        <w:rPr>
          <w:noProof/>
        </w:rPr>
        <w:instrText xml:space="preserve"> PAGEREF _Toc188350572 \h </w:instrText>
      </w:r>
      <w:r w:rsidRPr="009F64E9">
        <w:rPr>
          <w:noProof/>
        </w:rPr>
      </w:r>
      <w:r w:rsidRPr="009F64E9">
        <w:rPr>
          <w:noProof/>
        </w:rPr>
        <w:fldChar w:fldCharType="separate"/>
      </w:r>
      <w:r w:rsidR="000E6B78">
        <w:rPr>
          <w:noProof/>
        </w:rPr>
        <w:t>51</w:t>
      </w:r>
      <w:r w:rsidRPr="009F64E9">
        <w:rPr>
          <w:noProof/>
        </w:rPr>
        <w:fldChar w:fldCharType="end"/>
      </w:r>
    </w:p>
    <w:p w14:paraId="6708DB8F" w14:textId="28EC03A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Gross value—the benefit in respect of the superannuation interest is the greater of a defined benefit interest and an accumulation interest (other than a partially vested accumulation interest)</w:t>
      </w:r>
      <w:r w:rsidRPr="009F64E9">
        <w:rPr>
          <w:noProof/>
        </w:rPr>
        <w:tab/>
      </w:r>
      <w:r w:rsidRPr="009F64E9">
        <w:rPr>
          <w:noProof/>
        </w:rPr>
        <w:fldChar w:fldCharType="begin"/>
      </w:r>
      <w:r w:rsidRPr="009F64E9">
        <w:rPr>
          <w:noProof/>
        </w:rPr>
        <w:instrText xml:space="preserve"> PAGEREF _Toc188350573 \h </w:instrText>
      </w:r>
      <w:r w:rsidRPr="009F64E9">
        <w:rPr>
          <w:noProof/>
        </w:rPr>
      </w:r>
      <w:r w:rsidRPr="009F64E9">
        <w:rPr>
          <w:noProof/>
        </w:rPr>
        <w:fldChar w:fldCharType="separate"/>
      </w:r>
      <w:r w:rsidR="000E6B78">
        <w:rPr>
          <w:noProof/>
        </w:rPr>
        <w:t>51</w:t>
      </w:r>
      <w:r w:rsidRPr="009F64E9">
        <w:rPr>
          <w:noProof/>
        </w:rPr>
        <w:fldChar w:fldCharType="end"/>
      </w:r>
    </w:p>
    <w:p w14:paraId="59DBE5C6" w14:textId="0C07F04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Gross value—the benefit in respect of the superannuation interest is the lesser of a defined benefit interest and an accumulation interest (other than a partially vested accumulation interest)</w:t>
      </w:r>
      <w:r w:rsidRPr="009F64E9">
        <w:rPr>
          <w:noProof/>
        </w:rPr>
        <w:tab/>
      </w:r>
      <w:r w:rsidRPr="009F64E9">
        <w:rPr>
          <w:noProof/>
        </w:rPr>
        <w:fldChar w:fldCharType="begin"/>
      </w:r>
      <w:r w:rsidRPr="009F64E9">
        <w:rPr>
          <w:noProof/>
        </w:rPr>
        <w:instrText xml:space="preserve"> PAGEREF _Toc188350574 \h </w:instrText>
      </w:r>
      <w:r w:rsidRPr="009F64E9">
        <w:rPr>
          <w:noProof/>
        </w:rPr>
      </w:r>
      <w:r w:rsidRPr="009F64E9">
        <w:rPr>
          <w:noProof/>
        </w:rPr>
        <w:fldChar w:fldCharType="separate"/>
      </w:r>
      <w:r w:rsidR="000E6B78">
        <w:rPr>
          <w:noProof/>
        </w:rPr>
        <w:t>51</w:t>
      </w:r>
      <w:r w:rsidRPr="009F64E9">
        <w:rPr>
          <w:noProof/>
        </w:rPr>
        <w:fldChar w:fldCharType="end"/>
      </w:r>
    </w:p>
    <w:p w14:paraId="640ABB30" w14:textId="5F5C111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Gross value—the superannuation interest is a defined benefit interest, the benefit in respect of which is a defined benefit amount less another amount</w:t>
      </w:r>
      <w:r w:rsidRPr="009F64E9">
        <w:rPr>
          <w:noProof/>
        </w:rPr>
        <w:tab/>
      </w:r>
      <w:r w:rsidRPr="009F64E9">
        <w:rPr>
          <w:noProof/>
        </w:rPr>
        <w:fldChar w:fldCharType="begin"/>
      </w:r>
      <w:r w:rsidRPr="009F64E9">
        <w:rPr>
          <w:noProof/>
        </w:rPr>
        <w:instrText xml:space="preserve"> PAGEREF _Toc188350575 \h </w:instrText>
      </w:r>
      <w:r w:rsidRPr="009F64E9">
        <w:rPr>
          <w:noProof/>
        </w:rPr>
      </w:r>
      <w:r w:rsidRPr="009F64E9">
        <w:rPr>
          <w:noProof/>
        </w:rPr>
        <w:fldChar w:fldCharType="separate"/>
      </w:r>
      <w:r w:rsidR="000E6B78">
        <w:rPr>
          <w:noProof/>
        </w:rPr>
        <w:t>52</w:t>
      </w:r>
      <w:r w:rsidRPr="009F64E9">
        <w:rPr>
          <w:noProof/>
        </w:rPr>
        <w:fldChar w:fldCharType="end"/>
      </w:r>
    </w:p>
    <w:p w14:paraId="0ABC0D9D" w14:textId="50ACBDB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Gross value—innovative superannuation interest</w:t>
      </w:r>
      <w:r w:rsidRPr="009F64E9">
        <w:rPr>
          <w:noProof/>
        </w:rPr>
        <w:tab/>
      </w:r>
      <w:r w:rsidRPr="009F64E9">
        <w:rPr>
          <w:noProof/>
        </w:rPr>
        <w:fldChar w:fldCharType="begin"/>
      </w:r>
      <w:r w:rsidRPr="009F64E9">
        <w:rPr>
          <w:noProof/>
        </w:rPr>
        <w:instrText xml:space="preserve"> PAGEREF _Toc188350576 \h </w:instrText>
      </w:r>
      <w:r w:rsidRPr="009F64E9">
        <w:rPr>
          <w:noProof/>
        </w:rPr>
      </w:r>
      <w:r w:rsidRPr="009F64E9">
        <w:rPr>
          <w:noProof/>
        </w:rPr>
        <w:fldChar w:fldCharType="separate"/>
      </w:r>
      <w:r w:rsidR="000E6B78">
        <w:rPr>
          <w:noProof/>
        </w:rPr>
        <w:t>52</w:t>
      </w:r>
      <w:r w:rsidRPr="009F64E9">
        <w:rPr>
          <w:noProof/>
        </w:rPr>
        <w:fldChar w:fldCharType="end"/>
      </w:r>
    </w:p>
    <w:p w14:paraId="6B62E619" w14:textId="4880C1A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Gross value—percentage</w:t>
      </w:r>
      <w:r>
        <w:rPr>
          <w:noProof/>
        </w:rPr>
        <w:noBreakHyphen/>
        <w:t>only superannuation interest</w:t>
      </w:r>
      <w:r w:rsidRPr="009F64E9">
        <w:rPr>
          <w:noProof/>
        </w:rPr>
        <w:tab/>
      </w:r>
      <w:r w:rsidRPr="009F64E9">
        <w:rPr>
          <w:noProof/>
        </w:rPr>
        <w:fldChar w:fldCharType="begin"/>
      </w:r>
      <w:r w:rsidRPr="009F64E9">
        <w:rPr>
          <w:noProof/>
        </w:rPr>
        <w:instrText xml:space="preserve"> PAGEREF _Toc188350577 \h </w:instrText>
      </w:r>
      <w:r w:rsidRPr="009F64E9">
        <w:rPr>
          <w:noProof/>
        </w:rPr>
      </w:r>
      <w:r w:rsidRPr="009F64E9">
        <w:rPr>
          <w:noProof/>
        </w:rPr>
        <w:fldChar w:fldCharType="separate"/>
      </w:r>
      <w:r w:rsidR="000E6B78">
        <w:rPr>
          <w:noProof/>
        </w:rPr>
        <w:t>53</w:t>
      </w:r>
      <w:r w:rsidRPr="009F64E9">
        <w:rPr>
          <w:noProof/>
        </w:rPr>
        <w:fldChar w:fldCharType="end"/>
      </w:r>
    </w:p>
    <w:p w14:paraId="4C223169" w14:textId="7651717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Approval of methods and factors for determining gross value of particular superannuation interests</w:t>
      </w:r>
      <w:r w:rsidRPr="009F64E9">
        <w:rPr>
          <w:noProof/>
        </w:rPr>
        <w:tab/>
      </w:r>
      <w:r w:rsidRPr="009F64E9">
        <w:rPr>
          <w:noProof/>
        </w:rPr>
        <w:fldChar w:fldCharType="begin"/>
      </w:r>
      <w:r w:rsidRPr="009F64E9">
        <w:rPr>
          <w:noProof/>
        </w:rPr>
        <w:instrText xml:space="preserve"> PAGEREF _Toc188350578 \h </w:instrText>
      </w:r>
      <w:r w:rsidRPr="009F64E9">
        <w:rPr>
          <w:noProof/>
        </w:rPr>
      </w:r>
      <w:r w:rsidRPr="009F64E9">
        <w:rPr>
          <w:noProof/>
        </w:rPr>
        <w:fldChar w:fldCharType="separate"/>
      </w:r>
      <w:r w:rsidR="000E6B78">
        <w:rPr>
          <w:noProof/>
        </w:rPr>
        <w:t>54</w:t>
      </w:r>
      <w:r w:rsidRPr="009F64E9">
        <w:rPr>
          <w:noProof/>
        </w:rPr>
        <w:fldChar w:fldCharType="end"/>
      </w:r>
    </w:p>
    <w:p w14:paraId="56CE6B60" w14:textId="47DE5077"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2—Determining the value of superannuation interests in the payment phase at the relevant date</w:t>
      </w:r>
      <w:r w:rsidRPr="009F64E9">
        <w:rPr>
          <w:b w:val="0"/>
          <w:noProof/>
          <w:sz w:val="18"/>
        </w:rPr>
        <w:tab/>
      </w:r>
      <w:r w:rsidRPr="009F64E9">
        <w:rPr>
          <w:b w:val="0"/>
          <w:noProof/>
          <w:sz w:val="18"/>
        </w:rPr>
        <w:fldChar w:fldCharType="begin"/>
      </w:r>
      <w:r w:rsidRPr="009F64E9">
        <w:rPr>
          <w:b w:val="0"/>
          <w:noProof/>
          <w:sz w:val="18"/>
        </w:rPr>
        <w:instrText xml:space="preserve"> PAGEREF _Toc188350579 \h </w:instrText>
      </w:r>
      <w:r w:rsidRPr="009F64E9">
        <w:rPr>
          <w:b w:val="0"/>
          <w:noProof/>
          <w:sz w:val="18"/>
        </w:rPr>
      </w:r>
      <w:r w:rsidRPr="009F64E9">
        <w:rPr>
          <w:b w:val="0"/>
          <w:noProof/>
          <w:sz w:val="18"/>
        </w:rPr>
        <w:fldChar w:fldCharType="separate"/>
      </w:r>
      <w:r w:rsidR="000E6B78">
        <w:rPr>
          <w:b w:val="0"/>
          <w:noProof/>
          <w:sz w:val="18"/>
        </w:rPr>
        <w:t>55</w:t>
      </w:r>
      <w:r w:rsidRPr="009F64E9">
        <w:rPr>
          <w:b w:val="0"/>
          <w:noProof/>
          <w:sz w:val="18"/>
        </w:rPr>
        <w:fldChar w:fldCharType="end"/>
      </w:r>
    </w:p>
    <w:p w14:paraId="47FA20BC" w14:textId="40A3D48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Simplified outline of this Division</w:t>
      </w:r>
      <w:r w:rsidRPr="009F64E9">
        <w:rPr>
          <w:noProof/>
        </w:rPr>
        <w:tab/>
      </w:r>
      <w:r w:rsidRPr="009F64E9">
        <w:rPr>
          <w:noProof/>
        </w:rPr>
        <w:fldChar w:fldCharType="begin"/>
      </w:r>
      <w:r w:rsidRPr="009F64E9">
        <w:rPr>
          <w:noProof/>
        </w:rPr>
        <w:instrText xml:space="preserve"> PAGEREF _Toc188350580 \h </w:instrText>
      </w:r>
      <w:r w:rsidRPr="009F64E9">
        <w:rPr>
          <w:noProof/>
        </w:rPr>
      </w:r>
      <w:r w:rsidRPr="009F64E9">
        <w:rPr>
          <w:noProof/>
        </w:rPr>
        <w:fldChar w:fldCharType="separate"/>
      </w:r>
      <w:r w:rsidR="000E6B78">
        <w:rPr>
          <w:noProof/>
        </w:rPr>
        <w:t>55</w:t>
      </w:r>
      <w:r w:rsidRPr="009F64E9">
        <w:rPr>
          <w:noProof/>
        </w:rPr>
        <w:fldChar w:fldCharType="end"/>
      </w:r>
    </w:p>
    <w:p w14:paraId="61C6A47C" w14:textId="455DC21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Determining the value of superannuation interests in the payment phase at the relevant date</w:t>
      </w:r>
      <w:r w:rsidRPr="009F64E9">
        <w:rPr>
          <w:noProof/>
        </w:rPr>
        <w:tab/>
      </w:r>
      <w:r w:rsidRPr="009F64E9">
        <w:rPr>
          <w:noProof/>
        </w:rPr>
        <w:fldChar w:fldCharType="begin"/>
      </w:r>
      <w:r w:rsidRPr="009F64E9">
        <w:rPr>
          <w:noProof/>
        </w:rPr>
        <w:instrText xml:space="preserve"> PAGEREF _Toc188350581 \h </w:instrText>
      </w:r>
      <w:r w:rsidRPr="009F64E9">
        <w:rPr>
          <w:noProof/>
        </w:rPr>
      </w:r>
      <w:r w:rsidRPr="009F64E9">
        <w:rPr>
          <w:noProof/>
        </w:rPr>
        <w:fldChar w:fldCharType="separate"/>
      </w:r>
      <w:r w:rsidR="000E6B78">
        <w:rPr>
          <w:noProof/>
        </w:rPr>
        <w:t>55</w:t>
      </w:r>
      <w:r w:rsidRPr="009F64E9">
        <w:rPr>
          <w:noProof/>
        </w:rPr>
        <w:fldChar w:fldCharType="end"/>
      </w:r>
    </w:p>
    <w:p w14:paraId="1CA1213C" w14:textId="2622254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Gross value—benefits payable only as one or more lump sums</w:t>
      </w:r>
      <w:r w:rsidRPr="009F64E9">
        <w:rPr>
          <w:noProof/>
        </w:rPr>
        <w:tab/>
      </w:r>
      <w:r w:rsidRPr="009F64E9">
        <w:rPr>
          <w:noProof/>
        </w:rPr>
        <w:fldChar w:fldCharType="begin"/>
      </w:r>
      <w:r w:rsidRPr="009F64E9">
        <w:rPr>
          <w:noProof/>
        </w:rPr>
        <w:instrText xml:space="preserve"> PAGEREF _Toc188350582 \h </w:instrText>
      </w:r>
      <w:r w:rsidRPr="009F64E9">
        <w:rPr>
          <w:noProof/>
        </w:rPr>
      </w:r>
      <w:r w:rsidRPr="009F64E9">
        <w:rPr>
          <w:noProof/>
        </w:rPr>
        <w:fldChar w:fldCharType="separate"/>
      </w:r>
      <w:r w:rsidR="000E6B78">
        <w:rPr>
          <w:noProof/>
        </w:rPr>
        <w:t>56</w:t>
      </w:r>
      <w:r w:rsidRPr="009F64E9">
        <w:rPr>
          <w:noProof/>
        </w:rPr>
        <w:fldChar w:fldCharType="end"/>
      </w:r>
    </w:p>
    <w:p w14:paraId="6C84BBC2" w14:textId="597CD4C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Gross value—benefits paid as pension</w:t>
      </w:r>
      <w:r w:rsidRPr="009F64E9">
        <w:rPr>
          <w:noProof/>
        </w:rPr>
        <w:tab/>
      </w:r>
      <w:r w:rsidRPr="009F64E9">
        <w:rPr>
          <w:noProof/>
        </w:rPr>
        <w:fldChar w:fldCharType="begin"/>
      </w:r>
      <w:r w:rsidRPr="009F64E9">
        <w:rPr>
          <w:noProof/>
        </w:rPr>
        <w:instrText xml:space="preserve"> PAGEREF _Toc188350583 \h </w:instrText>
      </w:r>
      <w:r w:rsidRPr="009F64E9">
        <w:rPr>
          <w:noProof/>
        </w:rPr>
      </w:r>
      <w:r w:rsidRPr="009F64E9">
        <w:rPr>
          <w:noProof/>
        </w:rPr>
        <w:fldChar w:fldCharType="separate"/>
      </w:r>
      <w:r w:rsidR="000E6B78">
        <w:rPr>
          <w:noProof/>
        </w:rPr>
        <w:t>56</w:t>
      </w:r>
      <w:r w:rsidRPr="009F64E9">
        <w:rPr>
          <w:noProof/>
        </w:rPr>
        <w:fldChar w:fldCharType="end"/>
      </w:r>
    </w:p>
    <w:p w14:paraId="3B23EDD3" w14:textId="0C020B8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Gross value—benefits paid as pension and lump sum also payable</w:t>
      </w:r>
      <w:r w:rsidRPr="009F64E9">
        <w:rPr>
          <w:noProof/>
        </w:rPr>
        <w:tab/>
      </w:r>
      <w:r w:rsidRPr="009F64E9">
        <w:rPr>
          <w:noProof/>
        </w:rPr>
        <w:fldChar w:fldCharType="begin"/>
      </w:r>
      <w:r w:rsidRPr="009F64E9">
        <w:rPr>
          <w:noProof/>
        </w:rPr>
        <w:instrText xml:space="preserve"> PAGEREF _Toc188350584 \h </w:instrText>
      </w:r>
      <w:r w:rsidRPr="009F64E9">
        <w:rPr>
          <w:noProof/>
        </w:rPr>
      </w:r>
      <w:r w:rsidRPr="009F64E9">
        <w:rPr>
          <w:noProof/>
        </w:rPr>
        <w:fldChar w:fldCharType="separate"/>
      </w:r>
      <w:r w:rsidR="000E6B78">
        <w:rPr>
          <w:noProof/>
        </w:rPr>
        <w:t>57</w:t>
      </w:r>
      <w:r w:rsidRPr="009F64E9">
        <w:rPr>
          <w:noProof/>
        </w:rPr>
        <w:fldChar w:fldCharType="end"/>
      </w:r>
    </w:p>
    <w:p w14:paraId="6C67844D" w14:textId="58172F4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Gross value—innovative superannuation interests in the payment phase</w:t>
      </w:r>
      <w:r w:rsidRPr="009F64E9">
        <w:rPr>
          <w:noProof/>
        </w:rPr>
        <w:tab/>
      </w:r>
      <w:r w:rsidRPr="009F64E9">
        <w:rPr>
          <w:noProof/>
        </w:rPr>
        <w:fldChar w:fldCharType="begin"/>
      </w:r>
      <w:r w:rsidRPr="009F64E9">
        <w:rPr>
          <w:noProof/>
        </w:rPr>
        <w:instrText xml:space="preserve"> PAGEREF _Toc188350585 \h </w:instrText>
      </w:r>
      <w:r w:rsidRPr="009F64E9">
        <w:rPr>
          <w:noProof/>
        </w:rPr>
      </w:r>
      <w:r w:rsidRPr="009F64E9">
        <w:rPr>
          <w:noProof/>
        </w:rPr>
        <w:fldChar w:fldCharType="separate"/>
      </w:r>
      <w:r w:rsidR="000E6B78">
        <w:rPr>
          <w:noProof/>
        </w:rPr>
        <w:t>57</w:t>
      </w:r>
      <w:r w:rsidRPr="009F64E9">
        <w:rPr>
          <w:noProof/>
        </w:rPr>
        <w:fldChar w:fldCharType="end"/>
      </w:r>
    </w:p>
    <w:p w14:paraId="5A4B7735" w14:textId="429F080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Gross value—percentage</w:t>
      </w:r>
      <w:r>
        <w:rPr>
          <w:noProof/>
        </w:rPr>
        <w:noBreakHyphen/>
        <w:t>only superannuation interests in the payment phase</w:t>
      </w:r>
      <w:r w:rsidRPr="009F64E9">
        <w:rPr>
          <w:noProof/>
        </w:rPr>
        <w:tab/>
      </w:r>
      <w:r w:rsidRPr="009F64E9">
        <w:rPr>
          <w:noProof/>
        </w:rPr>
        <w:fldChar w:fldCharType="begin"/>
      </w:r>
      <w:r w:rsidRPr="009F64E9">
        <w:rPr>
          <w:noProof/>
        </w:rPr>
        <w:instrText xml:space="preserve"> PAGEREF _Toc188350586 \h </w:instrText>
      </w:r>
      <w:r w:rsidRPr="009F64E9">
        <w:rPr>
          <w:noProof/>
        </w:rPr>
      </w:r>
      <w:r w:rsidRPr="009F64E9">
        <w:rPr>
          <w:noProof/>
        </w:rPr>
        <w:fldChar w:fldCharType="separate"/>
      </w:r>
      <w:r w:rsidR="000E6B78">
        <w:rPr>
          <w:noProof/>
        </w:rPr>
        <w:t>58</w:t>
      </w:r>
      <w:r w:rsidRPr="009F64E9">
        <w:rPr>
          <w:noProof/>
        </w:rPr>
        <w:fldChar w:fldCharType="end"/>
      </w:r>
    </w:p>
    <w:p w14:paraId="1C290233" w14:textId="27C7CB3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Approval of methods and factors for determining gross value of certain superannuation interests in the payment phase</w:t>
      </w:r>
      <w:r w:rsidRPr="009F64E9">
        <w:rPr>
          <w:noProof/>
        </w:rPr>
        <w:tab/>
      </w:r>
      <w:r w:rsidRPr="009F64E9">
        <w:rPr>
          <w:noProof/>
        </w:rPr>
        <w:fldChar w:fldCharType="begin"/>
      </w:r>
      <w:r w:rsidRPr="009F64E9">
        <w:rPr>
          <w:noProof/>
        </w:rPr>
        <w:instrText xml:space="preserve"> PAGEREF _Toc188350587 \h </w:instrText>
      </w:r>
      <w:r w:rsidRPr="009F64E9">
        <w:rPr>
          <w:noProof/>
        </w:rPr>
      </w:r>
      <w:r w:rsidRPr="009F64E9">
        <w:rPr>
          <w:noProof/>
        </w:rPr>
        <w:fldChar w:fldCharType="separate"/>
      </w:r>
      <w:r w:rsidR="000E6B78">
        <w:rPr>
          <w:noProof/>
        </w:rPr>
        <w:t>58</w:t>
      </w:r>
      <w:r w:rsidRPr="009F64E9">
        <w:rPr>
          <w:noProof/>
        </w:rPr>
        <w:fldChar w:fldCharType="end"/>
      </w:r>
    </w:p>
    <w:p w14:paraId="6C461F1D" w14:textId="37CB7FEB" w:rsidR="009F64E9" w:rsidRDefault="009F64E9">
      <w:pPr>
        <w:pStyle w:val="TOC2"/>
        <w:rPr>
          <w:rFonts w:asciiTheme="minorHAnsi" w:eastAsiaTheme="minorEastAsia" w:hAnsiTheme="minorHAnsi" w:cstheme="minorBidi"/>
          <w:b w:val="0"/>
          <w:noProof/>
          <w:kern w:val="2"/>
          <w:szCs w:val="24"/>
          <w14:ligatures w14:val="standardContextual"/>
        </w:rPr>
      </w:pPr>
      <w:r>
        <w:rPr>
          <w:noProof/>
        </w:rPr>
        <w:lastRenderedPageBreak/>
        <w:t>Part 7—Entitlement of non</w:t>
      </w:r>
      <w:r>
        <w:rPr>
          <w:noProof/>
        </w:rPr>
        <w:noBreakHyphen/>
        <w:t>member spouse in respect of certain superannuation interests</w:t>
      </w:r>
      <w:r w:rsidRPr="009F64E9">
        <w:rPr>
          <w:b w:val="0"/>
          <w:noProof/>
          <w:sz w:val="18"/>
        </w:rPr>
        <w:tab/>
      </w:r>
      <w:r w:rsidRPr="009F64E9">
        <w:rPr>
          <w:b w:val="0"/>
          <w:noProof/>
          <w:sz w:val="18"/>
        </w:rPr>
        <w:fldChar w:fldCharType="begin"/>
      </w:r>
      <w:r w:rsidRPr="009F64E9">
        <w:rPr>
          <w:b w:val="0"/>
          <w:noProof/>
          <w:sz w:val="18"/>
        </w:rPr>
        <w:instrText xml:space="preserve"> PAGEREF _Toc188350588 \h </w:instrText>
      </w:r>
      <w:r w:rsidRPr="009F64E9">
        <w:rPr>
          <w:b w:val="0"/>
          <w:noProof/>
          <w:sz w:val="18"/>
        </w:rPr>
      </w:r>
      <w:r w:rsidRPr="009F64E9">
        <w:rPr>
          <w:b w:val="0"/>
          <w:noProof/>
          <w:sz w:val="18"/>
        </w:rPr>
        <w:fldChar w:fldCharType="separate"/>
      </w:r>
      <w:r w:rsidR="000E6B78">
        <w:rPr>
          <w:b w:val="0"/>
          <w:noProof/>
          <w:sz w:val="18"/>
        </w:rPr>
        <w:t>59</w:t>
      </w:r>
      <w:r w:rsidRPr="009F64E9">
        <w:rPr>
          <w:b w:val="0"/>
          <w:noProof/>
          <w:sz w:val="18"/>
        </w:rPr>
        <w:fldChar w:fldCharType="end"/>
      </w:r>
    </w:p>
    <w:p w14:paraId="59248B67" w14:textId="6BCE5F73"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_Toc188350589 \h </w:instrText>
      </w:r>
      <w:r w:rsidRPr="009F64E9">
        <w:rPr>
          <w:b w:val="0"/>
          <w:noProof/>
          <w:sz w:val="18"/>
        </w:rPr>
      </w:r>
      <w:r w:rsidRPr="009F64E9">
        <w:rPr>
          <w:b w:val="0"/>
          <w:noProof/>
          <w:sz w:val="18"/>
        </w:rPr>
        <w:fldChar w:fldCharType="separate"/>
      </w:r>
      <w:r w:rsidR="000E6B78">
        <w:rPr>
          <w:b w:val="0"/>
          <w:noProof/>
          <w:sz w:val="18"/>
        </w:rPr>
        <w:t>59</w:t>
      </w:r>
      <w:r w:rsidRPr="009F64E9">
        <w:rPr>
          <w:b w:val="0"/>
          <w:noProof/>
          <w:sz w:val="18"/>
        </w:rPr>
        <w:fldChar w:fldCharType="end"/>
      </w:r>
    </w:p>
    <w:p w14:paraId="6A04CF99" w14:textId="5132F65A"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A—Simplified outline of this Part</w:t>
      </w:r>
      <w:r w:rsidRPr="009F64E9">
        <w:rPr>
          <w:b w:val="0"/>
          <w:noProof/>
          <w:sz w:val="18"/>
        </w:rPr>
        <w:tab/>
      </w:r>
      <w:r w:rsidRPr="009F64E9">
        <w:rPr>
          <w:b w:val="0"/>
          <w:noProof/>
          <w:sz w:val="18"/>
        </w:rPr>
        <w:fldChar w:fldCharType="begin"/>
      </w:r>
      <w:r w:rsidRPr="009F64E9">
        <w:rPr>
          <w:b w:val="0"/>
          <w:noProof/>
          <w:sz w:val="18"/>
        </w:rPr>
        <w:instrText xml:space="preserve"> PAGEREF _Toc188350590 \h </w:instrText>
      </w:r>
      <w:r w:rsidRPr="009F64E9">
        <w:rPr>
          <w:b w:val="0"/>
          <w:noProof/>
          <w:sz w:val="18"/>
        </w:rPr>
      </w:r>
      <w:r w:rsidRPr="009F64E9">
        <w:rPr>
          <w:b w:val="0"/>
          <w:noProof/>
          <w:sz w:val="18"/>
        </w:rPr>
        <w:fldChar w:fldCharType="separate"/>
      </w:r>
      <w:r w:rsidR="000E6B78">
        <w:rPr>
          <w:b w:val="0"/>
          <w:noProof/>
          <w:sz w:val="18"/>
        </w:rPr>
        <w:t>59</w:t>
      </w:r>
      <w:r w:rsidRPr="009F64E9">
        <w:rPr>
          <w:b w:val="0"/>
          <w:noProof/>
          <w:sz w:val="18"/>
        </w:rPr>
        <w:fldChar w:fldCharType="end"/>
      </w:r>
    </w:p>
    <w:p w14:paraId="559D10F9" w14:textId="4600E9F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Simplified outline of this Part</w:t>
      </w:r>
      <w:r w:rsidRPr="009F64E9">
        <w:rPr>
          <w:noProof/>
        </w:rPr>
        <w:tab/>
      </w:r>
      <w:r w:rsidRPr="009F64E9">
        <w:rPr>
          <w:noProof/>
        </w:rPr>
        <w:fldChar w:fldCharType="begin"/>
      </w:r>
      <w:r w:rsidRPr="009F64E9">
        <w:rPr>
          <w:noProof/>
        </w:rPr>
        <w:instrText xml:space="preserve"> PAGEREF _Toc188350591 \h </w:instrText>
      </w:r>
      <w:r w:rsidRPr="009F64E9">
        <w:rPr>
          <w:noProof/>
        </w:rPr>
      </w:r>
      <w:r w:rsidRPr="009F64E9">
        <w:rPr>
          <w:noProof/>
        </w:rPr>
        <w:fldChar w:fldCharType="separate"/>
      </w:r>
      <w:r w:rsidR="000E6B78">
        <w:rPr>
          <w:noProof/>
        </w:rPr>
        <w:t>59</w:t>
      </w:r>
      <w:r w:rsidRPr="009F64E9">
        <w:rPr>
          <w:noProof/>
        </w:rPr>
        <w:fldChar w:fldCharType="end"/>
      </w:r>
    </w:p>
    <w:p w14:paraId="05A10BFC" w14:textId="7BE1669B"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B—Definitions</w:t>
      </w:r>
      <w:r w:rsidRPr="009F64E9">
        <w:rPr>
          <w:b w:val="0"/>
          <w:noProof/>
          <w:sz w:val="18"/>
        </w:rPr>
        <w:tab/>
      </w:r>
      <w:r w:rsidRPr="009F64E9">
        <w:rPr>
          <w:b w:val="0"/>
          <w:noProof/>
          <w:sz w:val="18"/>
        </w:rPr>
        <w:fldChar w:fldCharType="begin"/>
      </w:r>
      <w:r w:rsidRPr="009F64E9">
        <w:rPr>
          <w:b w:val="0"/>
          <w:noProof/>
          <w:sz w:val="18"/>
        </w:rPr>
        <w:instrText xml:space="preserve"> PAGEREF _Toc188350592 \h </w:instrText>
      </w:r>
      <w:r w:rsidRPr="009F64E9">
        <w:rPr>
          <w:b w:val="0"/>
          <w:noProof/>
          <w:sz w:val="18"/>
        </w:rPr>
      </w:r>
      <w:r w:rsidRPr="009F64E9">
        <w:rPr>
          <w:b w:val="0"/>
          <w:noProof/>
          <w:sz w:val="18"/>
        </w:rPr>
        <w:fldChar w:fldCharType="separate"/>
      </w:r>
      <w:r w:rsidR="000E6B78">
        <w:rPr>
          <w:b w:val="0"/>
          <w:noProof/>
          <w:sz w:val="18"/>
        </w:rPr>
        <w:t>59</w:t>
      </w:r>
      <w:r w:rsidRPr="009F64E9">
        <w:rPr>
          <w:b w:val="0"/>
          <w:noProof/>
          <w:sz w:val="18"/>
        </w:rPr>
        <w:fldChar w:fldCharType="end"/>
      </w:r>
    </w:p>
    <w:p w14:paraId="0E5568C3" w14:textId="1B835A1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Definitions</w:t>
      </w:r>
      <w:r w:rsidRPr="009F64E9">
        <w:rPr>
          <w:noProof/>
        </w:rPr>
        <w:tab/>
      </w:r>
      <w:r w:rsidRPr="009F64E9">
        <w:rPr>
          <w:noProof/>
        </w:rPr>
        <w:fldChar w:fldCharType="begin"/>
      </w:r>
      <w:r w:rsidRPr="009F64E9">
        <w:rPr>
          <w:noProof/>
        </w:rPr>
        <w:instrText xml:space="preserve"> PAGEREF _Toc188350593 \h </w:instrText>
      </w:r>
      <w:r w:rsidRPr="009F64E9">
        <w:rPr>
          <w:noProof/>
        </w:rPr>
      </w:r>
      <w:r w:rsidRPr="009F64E9">
        <w:rPr>
          <w:noProof/>
        </w:rPr>
        <w:fldChar w:fldCharType="separate"/>
      </w:r>
      <w:r w:rsidR="000E6B78">
        <w:rPr>
          <w:noProof/>
        </w:rPr>
        <w:t>59</w:t>
      </w:r>
      <w:r w:rsidRPr="009F64E9">
        <w:rPr>
          <w:noProof/>
        </w:rPr>
        <w:fldChar w:fldCharType="end"/>
      </w:r>
    </w:p>
    <w:p w14:paraId="7DA0CCBD" w14:textId="6B8691E2"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C—Adjustments to the base amount for superannuation interests in the growth phase</w:t>
      </w:r>
      <w:r w:rsidRPr="009F64E9">
        <w:rPr>
          <w:b w:val="0"/>
          <w:noProof/>
          <w:sz w:val="18"/>
        </w:rPr>
        <w:tab/>
      </w:r>
      <w:r w:rsidRPr="009F64E9">
        <w:rPr>
          <w:b w:val="0"/>
          <w:noProof/>
          <w:sz w:val="18"/>
        </w:rPr>
        <w:fldChar w:fldCharType="begin"/>
      </w:r>
      <w:r w:rsidRPr="009F64E9">
        <w:rPr>
          <w:b w:val="0"/>
          <w:noProof/>
          <w:sz w:val="18"/>
        </w:rPr>
        <w:instrText xml:space="preserve"> PAGEREF _Toc188350594 \h </w:instrText>
      </w:r>
      <w:r w:rsidRPr="009F64E9">
        <w:rPr>
          <w:b w:val="0"/>
          <w:noProof/>
          <w:sz w:val="18"/>
        </w:rPr>
      </w:r>
      <w:r w:rsidRPr="009F64E9">
        <w:rPr>
          <w:b w:val="0"/>
          <w:noProof/>
          <w:sz w:val="18"/>
        </w:rPr>
        <w:fldChar w:fldCharType="separate"/>
      </w:r>
      <w:r w:rsidR="000E6B78">
        <w:rPr>
          <w:b w:val="0"/>
          <w:noProof/>
          <w:sz w:val="18"/>
        </w:rPr>
        <w:t>60</w:t>
      </w:r>
      <w:r w:rsidRPr="009F64E9">
        <w:rPr>
          <w:b w:val="0"/>
          <w:noProof/>
          <w:sz w:val="18"/>
        </w:rPr>
        <w:fldChar w:fldCharType="end"/>
      </w:r>
    </w:p>
    <w:p w14:paraId="1CDB6EF1" w14:textId="6161083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 xml:space="preserve">Meaning of </w:t>
      </w:r>
      <w:r w:rsidRPr="006558F0">
        <w:rPr>
          <w:i/>
          <w:noProof/>
        </w:rPr>
        <w:t>adjusted base amount applicable to the non</w:t>
      </w:r>
      <w:r w:rsidRPr="006558F0">
        <w:rPr>
          <w:i/>
          <w:noProof/>
        </w:rPr>
        <w:noBreakHyphen/>
        <w:t>member spouse</w:t>
      </w:r>
      <w:r w:rsidRPr="009F64E9">
        <w:rPr>
          <w:noProof/>
        </w:rPr>
        <w:tab/>
      </w:r>
      <w:r w:rsidRPr="009F64E9">
        <w:rPr>
          <w:noProof/>
        </w:rPr>
        <w:fldChar w:fldCharType="begin"/>
      </w:r>
      <w:r w:rsidRPr="009F64E9">
        <w:rPr>
          <w:noProof/>
        </w:rPr>
        <w:instrText xml:space="preserve"> PAGEREF _Toc188350595 \h </w:instrText>
      </w:r>
      <w:r w:rsidRPr="009F64E9">
        <w:rPr>
          <w:noProof/>
        </w:rPr>
      </w:r>
      <w:r w:rsidRPr="009F64E9">
        <w:rPr>
          <w:noProof/>
        </w:rPr>
        <w:fldChar w:fldCharType="separate"/>
      </w:r>
      <w:r w:rsidR="000E6B78">
        <w:rPr>
          <w:noProof/>
        </w:rPr>
        <w:t>60</w:t>
      </w:r>
      <w:r w:rsidRPr="009F64E9">
        <w:rPr>
          <w:noProof/>
        </w:rPr>
        <w:fldChar w:fldCharType="end"/>
      </w:r>
    </w:p>
    <w:p w14:paraId="293BC5D4" w14:textId="03EEF6B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Applicable adjustment periods—whole of superannuation interest is an accumulation interest</w:t>
      </w:r>
      <w:r w:rsidRPr="009F64E9">
        <w:rPr>
          <w:noProof/>
        </w:rPr>
        <w:tab/>
      </w:r>
      <w:r w:rsidRPr="009F64E9">
        <w:rPr>
          <w:noProof/>
        </w:rPr>
        <w:fldChar w:fldCharType="begin"/>
      </w:r>
      <w:r w:rsidRPr="009F64E9">
        <w:rPr>
          <w:noProof/>
        </w:rPr>
        <w:instrText xml:space="preserve"> PAGEREF _Toc188350596 \h </w:instrText>
      </w:r>
      <w:r w:rsidRPr="009F64E9">
        <w:rPr>
          <w:noProof/>
        </w:rPr>
      </w:r>
      <w:r w:rsidRPr="009F64E9">
        <w:rPr>
          <w:noProof/>
        </w:rPr>
        <w:fldChar w:fldCharType="separate"/>
      </w:r>
      <w:r w:rsidR="000E6B78">
        <w:rPr>
          <w:noProof/>
        </w:rPr>
        <w:t>61</w:t>
      </w:r>
      <w:r w:rsidRPr="009F64E9">
        <w:rPr>
          <w:noProof/>
        </w:rPr>
        <w:fldChar w:fldCharType="end"/>
      </w:r>
    </w:p>
    <w:p w14:paraId="75212B48" w14:textId="53F0039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Applicable adjustment periods—other superannuation interests</w:t>
      </w:r>
      <w:r w:rsidRPr="009F64E9">
        <w:rPr>
          <w:noProof/>
        </w:rPr>
        <w:tab/>
      </w:r>
      <w:r w:rsidRPr="009F64E9">
        <w:rPr>
          <w:noProof/>
        </w:rPr>
        <w:fldChar w:fldCharType="begin"/>
      </w:r>
      <w:r w:rsidRPr="009F64E9">
        <w:rPr>
          <w:noProof/>
        </w:rPr>
        <w:instrText xml:space="preserve"> PAGEREF _Toc188350597 \h </w:instrText>
      </w:r>
      <w:r w:rsidRPr="009F64E9">
        <w:rPr>
          <w:noProof/>
        </w:rPr>
      </w:r>
      <w:r w:rsidRPr="009F64E9">
        <w:rPr>
          <w:noProof/>
        </w:rPr>
        <w:fldChar w:fldCharType="separate"/>
      </w:r>
      <w:r w:rsidR="000E6B78">
        <w:rPr>
          <w:noProof/>
        </w:rPr>
        <w:t>62</w:t>
      </w:r>
      <w:r w:rsidRPr="009F64E9">
        <w:rPr>
          <w:noProof/>
        </w:rPr>
        <w:fldChar w:fldCharType="end"/>
      </w:r>
    </w:p>
    <w:p w14:paraId="14865E1F" w14:textId="6BCE0C9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Interest rates for adjustment of base amount</w:t>
      </w:r>
      <w:r w:rsidRPr="009F64E9">
        <w:rPr>
          <w:noProof/>
        </w:rPr>
        <w:tab/>
      </w:r>
      <w:r w:rsidRPr="009F64E9">
        <w:rPr>
          <w:noProof/>
        </w:rPr>
        <w:fldChar w:fldCharType="begin"/>
      </w:r>
      <w:r w:rsidRPr="009F64E9">
        <w:rPr>
          <w:noProof/>
        </w:rPr>
        <w:instrText xml:space="preserve"> PAGEREF _Toc188350598 \h </w:instrText>
      </w:r>
      <w:r w:rsidRPr="009F64E9">
        <w:rPr>
          <w:noProof/>
        </w:rPr>
      </w:r>
      <w:r w:rsidRPr="009F64E9">
        <w:rPr>
          <w:noProof/>
        </w:rPr>
        <w:fldChar w:fldCharType="separate"/>
      </w:r>
      <w:r w:rsidR="000E6B78">
        <w:rPr>
          <w:noProof/>
        </w:rPr>
        <w:t>63</w:t>
      </w:r>
      <w:r w:rsidRPr="009F64E9">
        <w:rPr>
          <w:noProof/>
        </w:rPr>
        <w:fldChar w:fldCharType="end"/>
      </w:r>
    </w:p>
    <w:p w14:paraId="01D59392" w14:textId="529BEF0F"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2—Superannuation interest in growth phase at date of service of agreement or date of order</w:t>
      </w:r>
      <w:r w:rsidRPr="009F64E9">
        <w:rPr>
          <w:b w:val="0"/>
          <w:noProof/>
          <w:sz w:val="18"/>
        </w:rPr>
        <w:tab/>
      </w:r>
      <w:r w:rsidRPr="009F64E9">
        <w:rPr>
          <w:b w:val="0"/>
          <w:noProof/>
          <w:sz w:val="18"/>
        </w:rPr>
        <w:fldChar w:fldCharType="begin"/>
      </w:r>
      <w:r w:rsidRPr="009F64E9">
        <w:rPr>
          <w:b w:val="0"/>
          <w:noProof/>
          <w:sz w:val="18"/>
        </w:rPr>
        <w:instrText xml:space="preserve"> PAGEREF _Toc188350599 \h </w:instrText>
      </w:r>
      <w:r w:rsidRPr="009F64E9">
        <w:rPr>
          <w:b w:val="0"/>
          <w:noProof/>
          <w:sz w:val="18"/>
        </w:rPr>
      </w:r>
      <w:r w:rsidRPr="009F64E9">
        <w:rPr>
          <w:b w:val="0"/>
          <w:noProof/>
          <w:sz w:val="18"/>
        </w:rPr>
        <w:fldChar w:fldCharType="separate"/>
      </w:r>
      <w:r w:rsidR="000E6B78">
        <w:rPr>
          <w:b w:val="0"/>
          <w:noProof/>
          <w:sz w:val="18"/>
        </w:rPr>
        <w:t>65</w:t>
      </w:r>
      <w:r w:rsidRPr="009F64E9">
        <w:rPr>
          <w:b w:val="0"/>
          <w:noProof/>
          <w:sz w:val="18"/>
        </w:rPr>
        <w:fldChar w:fldCharType="end"/>
      </w:r>
    </w:p>
    <w:p w14:paraId="798B0660" w14:textId="7A6801D6"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F64E9">
        <w:rPr>
          <w:b w:val="0"/>
          <w:noProof/>
          <w:sz w:val="18"/>
        </w:rPr>
        <w:tab/>
      </w:r>
      <w:r w:rsidRPr="009F64E9">
        <w:rPr>
          <w:b w:val="0"/>
          <w:noProof/>
          <w:sz w:val="18"/>
        </w:rPr>
        <w:fldChar w:fldCharType="begin"/>
      </w:r>
      <w:r w:rsidRPr="009F64E9">
        <w:rPr>
          <w:b w:val="0"/>
          <w:noProof/>
          <w:sz w:val="18"/>
        </w:rPr>
        <w:instrText xml:space="preserve"> PAGEREF _Toc188350600 \h </w:instrText>
      </w:r>
      <w:r w:rsidRPr="009F64E9">
        <w:rPr>
          <w:b w:val="0"/>
          <w:noProof/>
          <w:sz w:val="18"/>
        </w:rPr>
      </w:r>
      <w:r w:rsidRPr="009F64E9">
        <w:rPr>
          <w:b w:val="0"/>
          <w:noProof/>
          <w:sz w:val="18"/>
        </w:rPr>
        <w:fldChar w:fldCharType="separate"/>
      </w:r>
      <w:r w:rsidR="000E6B78">
        <w:rPr>
          <w:b w:val="0"/>
          <w:noProof/>
          <w:sz w:val="18"/>
        </w:rPr>
        <w:t>65</w:t>
      </w:r>
      <w:r w:rsidRPr="009F64E9">
        <w:rPr>
          <w:b w:val="0"/>
          <w:noProof/>
          <w:sz w:val="18"/>
        </w:rPr>
        <w:fldChar w:fldCharType="end"/>
      </w:r>
    </w:p>
    <w:p w14:paraId="658095E0" w14:textId="4CF23D7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Simplified outline of this Division</w:t>
      </w:r>
      <w:r w:rsidRPr="009F64E9">
        <w:rPr>
          <w:noProof/>
        </w:rPr>
        <w:tab/>
      </w:r>
      <w:r w:rsidRPr="009F64E9">
        <w:rPr>
          <w:noProof/>
        </w:rPr>
        <w:fldChar w:fldCharType="begin"/>
      </w:r>
      <w:r w:rsidRPr="009F64E9">
        <w:rPr>
          <w:noProof/>
        </w:rPr>
        <w:instrText xml:space="preserve"> PAGEREF _Toc188350601 \h </w:instrText>
      </w:r>
      <w:r w:rsidRPr="009F64E9">
        <w:rPr>
          <w:noProof/>
        </w:rPr>
      </w:r>
      <w:r w:rsidRPr="009F64E9">
        <w:rPr>
          <w:noProof/>
        </w:rPr>
        <w:fldChar w:fldCharType="separate"/>
      </w:r>
      <w:r w:rsidR="000E6B78">
        <w:rPr>
          <w:noProof/>
        </w:rPr>
        <w:t>65</w:t>
      </w:r>
      <w:r w:rsidRPr="009F64E9">
        <w:rPr>
          <w:noProof/>
        </w:rPr>
        <w:fldChar w:fldCharType="end"/>
      </w:r>
    </w:p>
    <w:p w14:paraId="11028CAB" w14:textId="368F755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Application of this Division</w:t>
      </w:r>
      <w:r w:rsidRPr="009F64E9">
        <w:rPr>
          <w:noProof/>
        </w:rPr>
        <w:tab/>
      </w:r>
      <w:r w:rsidRPr="009F64E9">
        <w:rPr>
          <w:noProof/>
        </w:rPr>
        <w:fldChar w:fldCharType="begin"/>
      </w:r>
      <w:r w:rsidRPr="009F64E9">
        <w:rPr>
          <w:noProof/>
        </w:rPr>
        <w:instrText xml:space="preserve"> PAGEREF _Toc188350602 \h </w:instrText>
      </w:r>
      <w:r w:rsidRPr="009F64E9">
        <w:rPr>
          <w:noProof/>
        </w:rPr>
      </w:r>
      <w:r w:rsidRPr="009F64E9">
        <w:rPr>
          <w:noProof/>
        </w:rPr>
        <w:fldChar w:fldCharType="separate"/>
      </w:r>
      <w:r w:rsidR="000E6B78">
        <w:rPr>
          <w:noProof/>
        </w:rPr>
        <w:t>65</w:t>
      </w:r>
      <w:r w:rsidRPr="009F64E9">
        <w:rPr>
          <w:noProof/>
        </w:rPr>
        <w:fldChar w:fldCharType="end"/>
      </w:r>
    </w:p>
    <w:p w14:paraId="29DB2AE1" w14:textId="4AB0400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Approval of the transition factor, or a method for determining the transition factor, to be used for determining the amount the non</w:t>
      </w:r>
      <w:r>
        <w:rPr>
          <w:noProof/>
        </w:rPr>
        <w:noBreakHyphen/>
        <w:t>member spouse is entitled to be paid</w:t>
      </w:r>
      <w:r w:rsidRPr="009F64E9">
        <w:rPr>
          <w:noProof/>
        </w:rPr>
        <w:tab/>
      </w:r>
      <w:r w:rsidRPr="009F64E9">
        <w:rPr>
          <w:noProof/>
        </w:rPr>
        <w:fldChar w:fldCharType="begin"/>
      </w:r>
      <w:r w:rsidRPr="009F64E9">
        <w:rPr>
          <w:noProof/>
        </w:rPr>
        <w:instrText xml:space="preserve"> PAGEREF _Toc188350603 \h </w:instrText>
      </w:r>
      <w:r w:rsidRPr="009F64E9">
        <w:rPr>
          <w:noProof/>
        </w:rPr>
      </w:r>
      <w:r w:rsidRPr="009F64E9">
        <w:rPr>
          <w:noProof/>
        </w:rPr>
        <w:fldChar w:fldCharType="separate"/>
      </w:r>
      <w:r w:rsidR="000E6B78">
        <w:rPr>
          <w:noProof/>
        </w:rPr>
        <w:t>65</w:t>
      </w:r>
      <w:r w:rsidRPr="009F64E9">
        <w:rPr>
          <w:noProof/>
        </w:rPr>
        <w:fldChar w:fldCharType="end"/>
      </w:r>
    </w:p>
    <w:p w14:paraId="5808BA66" w14:textId="0B153163"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B—First splittable payment that the member spouse or other person is entitled to receive is a lump sum</w:t>
      </w:r>
      <w:r w:rsidRPr="009F64E9">
        <w:rPr>
          <w:b w:val="0"/>
          <w:noProof/>
          <w:sz w:val="18"/>
        </w:rPr>
        <w:tab/>
      </w:r>
      <w:r w:rsidRPr="009F64E9">
        <w:rPr>
          <w:b w:val="0"/>
          <w:noProof/>
          <w:sz w:val="18"/>
        </w:rPr>
        <w:fldChar w:fldCharType="begin"/>
      </w:r>
      <w:r w:rsidRPr="009F64E9">
        <w:rPr>
          <w:b w:val="0"/>
          <w:noProof/>
          <w:sz w:val="18"/>
        </w:rPr>
        <w:instrText xml:space="preserve"> PAGEREF _Toc188350604 \h </w:instrText>
      </w:r>
      <w:r w:rsidRPr="009F64E9">
        <w:rPr>
          <w:b w:val="0"/>
          <w:noProof/>
          <w:sz w:val="18"/>
        </w:rPr>
      </w:r>
      <w:r w:rsidRPr="009F64E9">
        <w:rPr>
          <w:b w:val="0"/>
          <w:noProof/>
          <w:sz w:val="18"/>
        </w:rPr>
        <w:fldChar w:fldCharType="separate"/>
      </w:r>
      <w:r w:rsidR="000E6B78">
        <w:rPr>
          <w:b w:val="0"/>
          <w:noProof/>
          <w:sz w:val="18"/>
        </w:rPr>
        <w:t>66</w:t>
      </w:r>
      <w:r w:rsidRPr="009F64E9">
        <w:rPr>
          <w:b w:val="0"/>
          <w:noProof/>
          <w:sz w:val="18"/>
        </w:rPr>
        <w:fldChar w:fldCharType="end"/>
      </w:r>
    </w:p>
    <w:p w14:paraId="61E3D1E4" w14:textId="7244FEB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Amount to be paid to non</w:t>
      </w:r>
      <w:r>
        <w:rPr>
          <w:noProof/>
        </w:rPr>
        <w:noBreakHyphen/>
        <w:t>member spouse—first splittable payment payable only as lump sum that is greater than or equal to the adjusted base amount</w:t>
      </w:r>
      <w:r w:rsidRPr="009F64E9">
        <w:rPr>
          <w:noProof/>
        </w:rPr>
        <w:tab/>
      </w:r>
      <w:r w:rsidRPr="009F64E9">
        <w:rPr>
          <w:noProof/>
        </w:rPr>
        <w:fldChar w:fldCharType="begin"/>
      </w:r>
      <w:r w:rsidRPr="009F64E9">
        <w:rPr>
          <w:noProof/>
        </w:rPr>
        <w:instrText xml:space="preserve"> PAGEREF _Toc188350605 \h </w:instrText>
      </w:r>
      <w:r w:rsidRPr="009F64E9">
        <w:rPr>
          <w:noProof/>
        </w:rPr>
      </w:r>
      <w:r w:rsidRPr="009F64E9">
        <w:rPr>
          <w:noProof/>
        </w:rPr>
        <w:fldChar w:fldCharType="separate"/>
      </w:r>
      <w:r w:rsidR="000E6B78">
        <w:rPr>
          <w:noProof/>
        </w:rPr>
        <w:t>66</w:t>
      </w:r>
      <w:r w:rsidRPr="009F64E9">
        <w:rPr>
          <w:noProof/>
        </w:rPr>
        <w:fldChar w:fldCharType="end"/>
      </w:r>
    </w:p>
    <w:p w14:paraId="7BF7F4D0" w14:textId="283E33E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Amount to be paid to non</w:t>
      </w:r>
      <w:r>
        <w:rPr>
          <w:noProof/>
        </w:rPr>
        <w:noBreakHyphen/>
        <w:t>member spouse—first splittable payment payable only as lump sum that is less than adjusted base amount</w:t>
      </w:r>
      <w:r w:rsidRPr="009F64E9">
        <w:rPr>
          <w:noProof/>
        </w:rPr>
        <w:tab/>
      </w:r>
      <w:r w:rsidRPr="009F64E9">
        <w:rPr>
          <w:noProof/>
        </w:rPr>
        <w:fldChar w:fldCharType="begin"/>
      </w:r>
      <w:r w:rsidRPr="009F64E9">
        <w:rPr>
          <w:noProof/>
        </w:rPr>
        <w:instrText xml:space="preserve"> PAGEREF _Toc188350606 \h </w:instrText>
      </w:r>
      <w:r w:rsidRPr="009F64E9">
        <w:rPr>
          <w:noProof/>
        </w:rPr>
      </w:r>
      <w:r w:rsidRPr="009F64E9">
        <w:rPr>
          <w:noProof/>
        </w:rPr>
        <w:fldChar w:fldCharType="separate"/>
      </w:r>
      <w:r w:rsidR="000E6B78">
        <w:rPr>
          <w:noProof/>
        </w:rPr>
        <w:t>66</w:t>
      </w:r>
      <w:r w:rsidRPr="009F64E9">
        <w:rPr>
          <w:noProof/>
        </w:rPr>
        <w:fldChar w:fldCharType="end"/>
      </w:r>
    </w:p>
    <w:p w14:paraId="7277B95C" w14:textId="7ABF618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Amount to be paid to non</w:t>
      </w:r>
      <w:r>
        <w:rPr>
          <w:noProof/>
        </w:rPr>
        <w:noBreakHyphen/>
        <w:t>member spouse—optional lump sum from remaining benefits</w:t>
      </w:r>
      <w:r w:rsidRPr="009F64E9">
        <w:rPr>
          <w:noProof/>
        </w:rPr>
        <w:tab/>
      </w:r>
      <w:r w:rsidRPr="009F64E9">
        <w:rPr>
          <w:noProof/>
        </w:rPr>
        <w:fldChar w:fldCharType="begin"/>
      </w:r>
      <w:r w:rsidRPr="009F64E9">
        <w:rPr>
          <w:noProof/>
        </w:rPr>
        <w:instrText xml:space="preserve"> PAGEREF _Toc188350607 \h </w:instrText>
      </w:r>
      <w:r w:rsidRPr="009F64E9">
        <w:rPr>
          <w:noProof/>
        </w:rPr>
      </w:r>
      <w:r w:rsidRPr="009F64E9">
        <w:rPr>
          <w:noProof/>
        </w:rPr>
        <w:fldChar w:fldCharType="separate"/>
      </w:r>
      <w:r w:rsidR="000E6B78">
        <w:rPr>
          <w:noProof/>
        </w:rPr>
        <w:t>67</w:t>
      </w:r>
      <w:r w:rsidRPr="009F64E9">
        <w:rPr>
          <w:noProof/>
        </w:rPr>
        <w:fldChar w:fldCharType="end"/>
      </w:r>
    </w:p>
    <w:p w14:paraId="760EEA8A" w14:textId="4D6BDAFD"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C—Optional lump sum relating to the whole or part of the adjusted base amount</w:t>
      </w:r>
      <w:r w:rsidRPr="009F64E9">
        <w:rPr>
          <w:b w:val="0"/>
          <w:noProof/>
          <w:sz w:val="18"/>
        </w:rPr>
        <w:tab/>
      </w:r>
      <w:r w:rsidRPr="009F64E9">
        <w:rPr>
          <w:b w:val="0"/>
          <w:noProof/>
          <w:sz w:val="18"/>
        </w:rPr>
        <w:fldChar w:fldCharType="begin"/>
      </w:r>
      <w:r w:rsidRPr="009F64E9">
        <w:rPr>
          <w:b w:val="0"/>
          <w:noProof/>
          <w:sz w:val="18"/>
        </w:rPr>
        <w:instrText xml:space="preserve"> PAGEREF _Toc188350608 \h </w:instrText>
      </w:r>
      <w:r w:rsidRPr="009F64E9">
        <w:rPr>
          <w:b w:val="0"/>
          <w:noProof/>
          <w:sz w:val="18"/>
        </w:rPr>
      </w:r>
      <w:r w:rsidRPr="009F64E9">
        <w:rPr>
          <w:b w:val="0"/>
          <w:noProof/>
          <w:sz w:val="18"/>
        </w:rPr>
        <w:fldChar w:fldCharType="separate"/>
      </w:r>
      <w:r w:rsidR="000E6B78">
        <w:rPr>
          <w:b w:val="0"/>
          <w:noProof/>
          <w:sz w:val="18"/>
        </w:rPr>
        <w:t>71</w:t>
      </w:r>
      <w:r w:rsidRPr="009F64E9">
        <w:rPr>
          <w:b w:val="0"/>
          <w:noProof/>
          <w:sz w:val="18"/>
        </w:rPr>
        <w:fldChar w:fldCharType="end"/>
      </w:r>
    </w:p>
    <w:p w14:paraId="3548B488" w14:textId="17A21C1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Amount to be paid to non</w:t>
      </w:r>
      <w:r>
        <w:rPr>
          <w:noProof/>
        </w:rPr>
        <w:noBreakHyphen/>
        <w:t>member spouse—optional lump sum relating to the whole of the adjusted base amount</w:t>
      </w:r>
      <w:r w:rsidRPr="009F64E9">
        <w:rPr>
          <w:noProof/>
        </w:rPr>
        <w:tab/>
      </w:r>
      <w:r w:rsidRPr="009F64E9">
        <w:rPr>
          <w:noProof/>
        </w:rPr>
        <w:fldChar w:fldCharType="begin"/>
      </w:r>
      <w:r w:rsidRPr="009F64E9">
        <w:rPr>
          <w:noProof/>
        </w:rPr>
        <w:instrText xml:space="preserve"> PAGEREF _Toc188350609 \h </w:instrText>
      </w:r>
      <w:r w:rsidRPr="009F64E9">
        <w:rPr>
          <w:noProof/>
        </w:rPr>
      </w:r>
      <w:r w:rsidRPr="009F64E9">
        <w:rPr>
          <w:noProof/>
        </w:rPr>
        <w:fldChar w:fldCharType="separate"/>
      </w:r>
      <w:r w:rsidR="000E6B78">
        <w:rPr>
          <w:noProof/>
        </w:rPr>
        <w:t>71</w:t>
      </w:r>
      <w:r w:rsidRPr="009F64E9">
        <w:rPr>
          <w:noProof/>
        </w:rPr>
        <w:fldChar w:fldCharType="end"/>
      </w:r>
    </w:p>
    <w:p w14:paraId="41429DBF" w14:textId="0A64A4C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Amount to be paid to non</w:t>
      </w:r>
      <w:r>
        <w:rPr>
          <w:noProof/>
        </w:rPr>
        <w:noBreakHyphen/>
        <w:t>member spouse—optional lump sum relating to part of the adjusted base amount</w:t>
      </w:r>
      <w:r w:rsidRPr="009F64E9">
        <w:rPr>
          <w:noProof/>
        </w:rPr>
        <w:tab/>
      </w:r>
      <w:r w:rsidRPr="009F64E9">
        <w:rPr>
          <w:noProof/>
        </w:rPr>
        <w:fldChar w:fldCharType="begin"/>
      </w:r>
      <w:r w:rsidRPr="009F64E9">
        <w:rPr>
          <w:noProof/>
        </w:rPr>
        <w:instrText xml:space="preserve"> PAGEREF _Toc188350610 \h </w:instrText>
      </w:r>
      <w:r w:rsidRPr="009F64E9">
        <w:rPr>
          <w:noProof/>
        </w:rPr>
      </w:r>
      <w:r w:rsidRPr="009F64E9">
        <w:rPr>
          <w:noProof/>
        </w:rPr>
        <w:fldChar w:fldCharType="separate"/>
      </w:r>
      <w:r w:rsidR="000E6B78">
        <w:rPr>
          <w:noProof/>
        </w:rPr>
        <w:t>72</w:t>
      </w:r>
      <w:r w:rsidRPr="009F64E9">
        <w:rPr>
          <w:noProof/>
        </w:rPr>
        <w:fldChar w:fldCharType="end"/>
      </w:r>
    </w:p>
    <w:p w14:paraId="33AA8825" w14:textId="01BFB445"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D—No benefit payable only as a lump sum, or first splittable payment is not a lump sum</w:t>
      </w:r>
      <w:r w:rsidRPr="009F64E9">
        <w:rPr>
          <w:b w:val="0"/>
          <w:noProof/>
          <w:sz w:val="18"/>
        </w:rPr>
        <w:tab/>
      </w:r>
      <w:r w:rsidRPr="009F64E9">
        <w:rPr>
          <w:b w:val="0"/>
          <w:noProof/>
          <w:sz w:val="18"/>
        </w:rPr>
        <w:fldChar w:fldCharType="begin"/>
      </w:r>
      <w:r w:rsidRPr="009F64E9">
        <w:rPr>
          <w:b w:val="0"/>
          <w:noProof/>
          <w:sz w:val="18"/>
        </w:rPr>
        <w:instrText xml:space="preserve"> PAGEREF _Toc188350611 \h </w:instrText>
      </w:r>
      <w:r w:rsidRPr="009F64E9">
        <w:rPr>
          <w:b w:val="0"/>
          <w:noProof/>
          <w:sz w:val="18"/>
        </w:rPr>
      </w:r>
      <w:r w:rsidRPr="009F64E9">
        <w:rPr>
          <w:b w:val="0"/>
          <w:noProof/>
          <w:sz w:val="18"/>
        </w:rPr>
        <w:fldChar w:fldCharType="separate"/>
      </w:r>
      <w:r w:rsidR="000E6B78">
        <w:rPr>
          <w:b w:val="0"/>
          <w:noProof/>
          <w:sz w:val="18"/>
        </w:rPr>
        <w:t>75</w:t>
      </w:r>
      <w:r w:rsidRPr="009F64E9">
        <w:rPr>
          <w:b w:val="0"/>
          <w:noProof/>
          <w:sz w:val="18"/>
        </w:rPr>
        <w:fldChar w:fldCharType="end"/>
      </w:r>
    </w:p>
    <w:p w14:paraId="3035D287" w14:textId="10AF845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Amount to be paid to non</w:t>
      </w:r>
      <w:r>
        <w:rPr>
          <w:noProof/>
        </w:rPr>
        <w:noBreakHyphen/>
        <w:t>member spouse—no benefit payable only as a lump sum, or first splittable payment is not a lump sum</w:t>
      </w:r>
      <w:r w:rsidRPr="009F64E9">
        <w:rPr>
          <w:noProof/>
        </w:rPr>
        <w:tab/>
      </w:r>
      <w:r w:rsidRPr="009F64E9">
        <w:rPr>
          <w:noProof/>
        </w:rPr>
        <w:fldChar w:fldCharType="begin"/>
      </w:r>
      <w:r w:rsidRPr="009F64E9">
        <w:rPr>
          <w:noProof/>
        </w:rPr>
        <w:instrText xml:space="preserve"> PAGEREF _Toc188350612 \h </w:instrText>
      </w:r>
      <w:r w:rsidRPr="009F64E9">
        <w:rPr>
          <w:noProof/>
        </w:rPr>
      </w:r>
      <w:r w:rsidRPr="009F64E9">
        <w:rPr>
          <w:noProof/>
        </w:rPr>
        <w:fldChar w:fldCharType="separate"/>
      </w:r>
      <w:r w:rsidR="000E6B78">
        <w:rPr>
          <w:noProof/>
        </w:rPr>
        <w:t>75</w:t>
      </w:r>
      <w:r w:rsidRPr="009F64E9">
        <w:rPr>
          <w:noProof/>
        </w:rPr>
        <w:fldChar w:fldCharType="end"/>
      </w:r>
    </w:p>
    <w:p w14:paraId="1BDA4BC7" w14:textId="5506B7D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Amount to be paid to non</w:t>
      </w:r>
      <w:r>
        <w:rPr>
          <w:noProof/>
        </w:rPr>
        <w:noBreakHyphen/>
        <w:t>member spouse—benefits payable as allocated pension or market linked pension</w:t>
      </w:r>
      <w:r w:rsidRPr="009F64E9">
        <w:rPr>
          <w:noProof/>
        </w:rPr>
        <w:tab/>
      </w:r>
      <w:r w:rsidRPr="009F64E9">
        <w:rPr>
          <w:noProof/>
        </w:rPr>
        <w:fldChar w:fldCharType="begin"/>
      </w:r>
      <w:r w:rsidRPr="009F64E9">
        <w:rPr>
          <w:noProof/>
        </w:rPr>
        <w:instrText xml:space="preserve"> PAGEREF _Toc188350613 \h </w:instrText>
      </w:r>
      <w:r w:rsidRPr="009F64E9">
        <w:rPr>
          <w:noProof/>
        </w:rPr>
      </w:r>
      <w:r w:rsidRPr="009F64E9">
        <w:rPr>
          <w:noProof/>
        </w:rPr>
        <w:fldChar w:fldCharType="separate"/>
      </w:r>
      <w:r w:rsidR="000E6B78">
        <w:rPr>
          <w:noProof/>
        </w:rPr>
        <w:t>76</w:t>
      </w:r>
      <w:r w:rsidRPr="009F64E9">
        <w:rPr>
          <w:noProof/>
        </w:rPr>
        <w:fldChar w:fldCharType="end"/>
      </w:r>
    </w:p>
    <w:p w14:paraId="2099D6C1" w14:textId="683B16D4"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3—Superannuation interest in payment phase at date of service of agreement or date of order</w:t>
      </w:r>
      <w:r w:rsidRPr="009F64E9">
        <w:rPr>
          <w:b w:val="0"/>
          <w:noProof/>
          <w:sz w:val="18"/>
        </w:rPr>
        <w:tab/>
      </w:r>
      <w:r w:rsidRPr="009F64E9">
        <w:rPr>
          <w:b w:val="0"/>
          <w:noProof/>
          <w:sz w:val="18"/>
        </w:rPr>
        <w:fldChar w:fldCharType="begin"/>
      </w:r>
      <w:r w:rsidRPr="009F64E9">
        <w:rPr>
          <w:b w:val="0"/>
          <w:noProof/>
          <w:sz w:val="18"/>
        </w:rPr>
        <w:instrText xml:space="preserve"> PAGEREF _Toc188350614 \h </w:instrText>
      </w:r>
      <w:r w:rsidRPr="009F64E9">
        <w:rPr>
          <w:b w:val="0"/>
          <w:noProof/>
          <w:sz w:val="18"/>
        </w:rPr>
      </w:r>
      <w:r w:rsidRPr="009F64E9">
        <w:rPr>
          <w:b w:val="0"/>
          <w:noProof/>
          <w:sz w:val="18"/>
        </w:rPr>
        <w:fldChar w:fldCharType="separate"/>
      </w:r>
      <w:r w:rsidR="000E6B78">
        <w:rPr>
          <w:b w:val="0"/>
          <w:noProof/>
          <w:sz w:val="18"/>
        </w:rPr>
        <w:t>79</w:t>
      </w:r>
      <w:r w:rsidRPr="009F64E9">
        <w:rPr>
          <w:b w:val="0"/>
          <w:noProof/>
          <w:sz w:val="18"/>
        </w:rPr>
        <w:fldChar w:fldCharType="end"/>
      </w:r>
    </w:p>
    <w:p w14:paraId="48D06C33" w14:textId="7ED191AB"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F64E9">
        <w:rPr>
          <w:b w:val="0"/>
          <w:noProof/>
          <w:sz w:val="18"/>
        </w:rPr>
        <w:tab/>
      </w:r>
      <w:r w:rsidRPr="009F64E9">
        <w:rPr>
          <w:b w:val="0"/>
          <w:noProof/>
          <w:sz w:val="18"/>
        </w:rPr>
        <w:fldChar w:fldCharType="begin"/>
      </w:r>
      <w:r w:rsidRPr="009F64E9">
        <w:rPr>
          <w:b w:val="0"/>
          <w:noProof/>
          <w:sz w:val="18"/>
        </w:rPr>
        <w:instrText xml:space="preserve"> PAGEREF _Toc188350615 \h </w:instrText>
      </w:r>
      <w:r w:rsidRPr="009F64E9">
        <w:rPr>
          <w:b w:val="0"/>
          <w:noProof/>
          <w:sz w:val="18"/>
        </w:rPr>
      </w:r>
      <w:r w:rsidRPr="009F64E9">
        <w:rPr>
          <w:b w:val="0"/>
          <w:noProof/>
          <w:sz w:val="18"/>
        </w:rPr>
        <w:fldChar w:fldCharType="separate"/>
      </w:r>
      <w:r w:rsidR="000E6B78">
        <w:rPr>
          <w:b w:val="0"/>
          <w:noProof/>
          <w:sz w:val="18"/>
        </w:rPr>
        <w:t>79</w:t>
      </w:r>
      <w:r w:rsidRPr="009F64E9">
        <w:rPr>
          <w:b w:val="0"/>
          <w:noProof/>
          <w:sz w:val="18"/>
        </w:rPr>
        <w:fldChar w:fldCharType="end"/>
      </w:r>
    </w:p>
    <w:p w14:paraId="7ED3C24E" w14:textId="2CA4847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Simplified outline of this Division</w:t>
      </w:r>
      <w:r w:rsidRPr="009F64E9">
        <w:rPr>
          <w:noProof/>
        </w:rPr>
        <w:tab/>
      </w:r>
      <w:r w:rsidRPr="009F64E9">
        <w:rPr>
          <w:noProof/>
        </w:rPr>
        <w:fldChar w:fldCharType="begin"/>
      </w:r>
      <w:r w:rsidRPr="009F64E9">
        <w:rPr>
          <w:noProof/>
        </w:rPr>
        <w:instrText xml:space="preserve"> PAGEREF _Toc188350616 \h </w:instrText>
      </w:r>
      <w:r w:rsidRPr="009F64E9">
        <w:rPr>
          <w:noProof/>
        </w:rPr>
      </w:r>
      <w:r w:rsidRPr="009F64E9">
        <w:rPr>
          <w:noProof/>
        </w:rPr>
        <w:fldChar w:fldCharType="separate"/>
      </w:r>
      <w:r w:rsidR="000E6B78">
        <w:rPr>
          <w:noProof/>
        </w:rPr>
        <w:t>79</w:t>
      </w:r>
      <w:r w:rsidRPr="009F64E9">
        <w:rPr>
          <w:noProof/>
        </w:rPr>
        <w:fldChar w:fldCharType="end"/>
      </w:r>
    </w:p>
    <w:p w14:paraId="1CD22C1D" w14:textId="083DD11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Application of this Division</w:t>
      </w:r>
      <w:r w:rsidRPr="009F64E9">
        <w:rPr>
          <w:noProof/>
        </w:rPr>
        <w:tab/>
      </w:r>
      <w:r w:rsidRPr="009F64E9">
        <w:rPr>
          <w:noProof/>
        </w:rPr>
        <w:fldChar w:fldCharType="begin"/>
      </w:r>
      <w:r w:rsidRPr="009F64E9">
        <w:rPr>
          <w:noProof/>
        </w:rPr>
        <w:instrText xml:space="preserve"> PAGEREF _Toc188350617 \h </w:instrText>
      </w:r>
      <w:r w:rsidRPr="009F64E9">
        <w:rPr>
          <w:noProof/>
        </w:rPr>
      </w:r>
      <w:r w:rsidRPr="009F64E9">
        <w:rPr>
          <w:noProof/>
        </w:rPr>
        <w:fldChar w:fldCharType="separate"/>
      </w:r>
      <w:r w:rsidR="000E6B78">
        <w:rPr>
          <w:noProof/>
        </w:rPr>
        <w:t>79</w:t>
      </w:r>
      <w:r w:rsidRPr="009F64E9">
        <w:rPr>
          <w:noProof/>
        </w:rPr>
        <w:fldChar w:fldCharType="end"/>
      </w:r>
    </w:p>
    <w:p w14:paraId="45F31F17" w14:textId="7F9DFF22"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B—First or only payment split</w:t>
      </w:r>
      <w:r w:rsidRPr="009F64E9">
        <w:rPr>
          <w:b w:val="0"/>
          <w:noProof/>
          <w:sz w:val="18"/>
        </w:rPr>
        <w:tab/>
      </w:r>
      <w:r w:rsidRPr="009F64E9">
        <w:rPr>
          <w:b w:val="0"/>
          <w:noProof/>
          <w:sz w:val="18"/>
        </w:rPr>
        <w:fldChar w:fldCharType="begin"/>
      </w:r>
      <w:r w:rsidRPr="009F64E9">
        <w:rPr>
          <w:b w:val="0"/>
          <w:noProof/>
          <w:sz w:val="18"/>
        </w:rPr>
        <w:instrText xml:space="preserve"> PAGEREF _Toc188350618 \h </w:instrText>
      </w:r>
      <w:r w:rsidRPr="009F64E9">
        <w:rPr>
          <w:b w:val="0"/>
          <w:noProof/>
          <w:sz w:val="18"/>
        </w:rPr>
      </w:r>
      <w:r w:rsidRPr="009F64E9">
        <w:rPr>
          <w:b w:val="0"/>
          <w:noProof/>
          <w:sz w:val="18"/>
        </w:rPr>
        <w:fldChar w:fldCharType="separate"/>
      </w:r>
      <w:r w:rsidR="000E6B78">
        <w:rPr>
          <w:b w:val="0"/>
          <w:noProof/>
          <w:sz w:val="18"/>
        </w:rPr>
        <w:t>79</w:t>
      </w:r>
      <w:r w:rsidRPr="009F64E9">
        <w:rPr>
          <w:b w:val="0"/>
          <w:noProof/>
          <w:sz w:val="18"/>
        </w:rPr>
        <w:fldChar w:fldCharType="end"/>
      </w:r>
    </w:p>
    <w:p w14:paraId="1AFC84EF" w14:textId="39C5E60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Application of this Subdivision</w:t>
      </w:r>
      <w:r w:rsidRPr="009F64E9">
        <w:rPr>
          <w:noProof/>
        </w:rPr>
        <w:tab/>
      </w:r>
      <w:r w:rsidRPr="009F64E9">
        <w:rPr>
          <w:noProof/>
        </w:rPr>
        <w:fldChar w:fldCharType="begin"/>
      </w:r>
      <w:r w:rsidRPr="009F64E9">
        <w:rPr>
          <w:noProof/>
        </w:rPr>
        <w:instrText xml:space="preserve"> PAGEREF _Toc188350619 \h </w:instrText>
      </w:r>
      <w:r w:rsidRPr="009F64E9">
        <w:rPr>
          <w:noProof/>
        </w:rPr>
      </w:r>
      <w:r w:rsidRPr="009F64E9">
        <w:rPr>
          <w:noProof/>
        </w:rPr>
        <w:fldChar w:fldCharType="separate"/>
      </w:r>
      <w:r w:rsidR="000E6B78">
        <w:rPr>
          <w:noProof/>
        </w:rPr>
        <w:t>79</w:t>
      </w:r>
      <w:r w:rsidRPr="009F64E9">
        <w:rPr>
          <w:noProof/>
        </w:rPr>
        <w:fldChar w:fldCharType="end"/>
      </w:r>
    </w:p>
    <w:p w14:paraId="6484748D" w14:textId="3F6B08B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Amount to be paid to non</w:t>
      </w:r>
      <w:r>
        <w:rPr>
          <w:noProof/>
        </w:rPr>
        <w:noBreakHyphen/>
        <w:t>member spouse—first splittable payment after operative time greater than or equal to the base amount</w:t>
      </w:r>
      <w:r w:rsidRPr="009F64E9">
        <w:rPr>
          <w:noProof/>
        </w:rPr>
        <w:tab/>
      </w:r>
      <w:r w:rsidRPr="009F64E9">
        <w:rPr>
          <w:noProof/>
        </w:rPr>
        <w:fldChar w:fldCharType="begin"/>
      </w:r>
      <w:r w:rsidRPr="009F64E9">
        <w:rPr>
          <w:noProof/>
        </w:rPr>
        <w:instrText xml:space="preserve"> PAGEREF _Toc188350620 \h </w:instrText>
      </w:r>
      <w:r w:rsidRPr="009F64E9">
        <w:rPr>
          <w:noProof/>
        </w:rPr>
      </w:r>
      <w:r w:rsidRPr="009F64E9">
        <w:rPr>
          <w:noProof/>
        </w:rPr>
        <w:fldChar w:fldCharType="separate"/>
      </w:r>
      <w:r w:rsidR="000E6B78">
        <w:rPr>
          <w:noProof/>
        </w:rPr>
        <w:t>79</w:t>
      </w:r>
      <w:r w:rsidRPr="009F64E9">
        <w:rPr>
          <w:noProof/>
        </w:rPr>
        <w:fldChar w:fldCharType="end"/>
      </w:r>
    </w:p>
    <w:p w14:paraId="48783A1C" w14:textId="186360D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lastRenderedPageBreak/>
        <w:t>91</w:t>
      </w:r>
      <w:r>
        <w:rPr>
          <w:noProof/>
        </w:rPr>
        <w:tab/>
        <w:t>Amount to be paid to non</w:t>
      </w:r>
      <w:r>
        <w:rPr>
          <w:noProof/>
        </w:rPr>
        <w:noBreakHyphen/>
        <w:t>member spouse—first splittable payment after operative time is less than the base amount</w:t>
      </w:r>
      <w:r w:rsidRPr="009F64E9">
        <w:rPr>
          <w:noProof/>
        </w:rPr>
        <w:tab/>
      </w:r>
      <w:r w:rsidRPr="009F64E9">
        <w:rPr>
          <w:noProof/>
        </w:rPr>
        <w:fldChar w:fldCharType="begin"/>
      </w:r>
      <w:r w:rsidRPr="009F64E9">
        <w:rPr>
          <w:noProof/>
        </w:rPr>
        <w:instrText xml:space="preserve"> PAGEREF _Toc188350621 \h </w:instrText>
      </w:r>
      <w:r w:rsidRPr="009F64E9">
        <w:rPr>
          <w:noProof/>
        </w:rPr>
      </w:r>
      <w:r w:rsidRPr="009F64E9">
        <w:rPr>
          <w:noProof/>
        </w:rPr>
        <w:fldChar w:fldCharType="separate"/>
      </w:r>
      <w:r w:rsidR="000E6B78">
        <w:rPr>
          <w:noProof/>
        </w:rPr>
        <w:t>80</w:t>
      </w:r>
      <w:r w:rsidRPr="009F64E9">
        <w:rPr>
          <w:noProof/>
        </w:rPr>
        <w:fldChar w:fldCharType="end"/>
      </w:r>
    </w:p>
    <w:p w14:paraId="475A2BCC" w14:textId="308EC10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Amount to be paid to non</w:t>
      </w:r>
      <w:r>
        <w:rPr>
          <w:noProof/>
        </w:rPr>
        <w:noBreakHyphen/>
        <w:t>member spouse—optional lump sum from remaining benefits</w:t>
      </w:r>
      <w:r w:rsidRPr="009F64E9">
        <w:rPr>
          <w:noProof/>
        </w:rPr>
        <w:tab/>
      </w:r>
      <w:r w:rsidRPr="009F64E9">
        <w:rPr>
          <w:noProof/>
        </w:rPr>
        <w:fldChar w:fldCharType="begin"/>
      </w:r>
      <w:r w:rsidRPr="009F64E9">
        <w:rPr>
          <w:noProof/>
        </w:rPr>
        <w:instrText xml:space="preserve"> PAGEREF _Toc188350622 \h </w:instrText>
      </w:r>
      <w:r w:rsidRPr="009F64E9">
        <w:rPr>
          <w:noProof/>
        </w:rPr>
      </w:r>
      <w:r w:rsidRPr="009F64E9">
        <w:rPr>
          <w:noProof/>
        </w:rPr>
        <w:fldChar w:fldCharType="separate"/>
      </w:r>
      <w:r w:rsidR="000E6B78">
        <w:rPr>
          <w:noProof/>
        </w:rPr>
        <w:t>81</w:t>
      </w:r>
      <w:r w:rsidRPr="009F64E9">
        <w:rPr>
          <w:noProof/>
        </w:rPr>
        <w:fldChar w:fldCharType="end"/>
      </w:r>
    </w:p>
    <w:p w14:paraId="694F12F7" w14:textId="3171FFD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Amount to be paid to non</w:t>
      </w:r>
      <w:r>
        <w:rPr>
          <w:noProof/>
        </w:rPr>
        <w:noBreakHyphen/>
        <w:t>member spouse—benefits payable as allocated pension or market linked pension</w:t>
      </w:r>
      <w:r w:rsidRPr="009F64E9">
        <w:rPr>
          <w:noProof/>
        </w:rPr>
        <w:tab/>
      </w:r>
      <w:r w:rsidRPr="009F64E9">
        <w:rPr>
          <w:noProof/>
        </w:rPr>
        <w:fldChar w:fldCharType="begin"/>
      </w:r>
      <w:r w:rsidRPr="009F64E9">
        <w:rPr>
          <w:noProof/>
        </w:rPr>
        <w:instrText xml:space="preserve"> PAGEREF _Toc188350623 \h </w:instrText>
      </w:r>
      <w:r w:rsidRPr="009F64E9">
        <w:rPr>
          <w:noProof/>
        </w:rPr>
      </w:r>
      <w:r w:rsidRPr="009F64E9">
        <w:rPr>
          <w:noProof/>
        </w:rPr>
        <w:fldChar w:fldCharType="separate"/>
      </w:r>
      <w:r w:rsidR="000E6B78">
        <w:rPr>
          <w:noProof/>
        </w:rPr>
        <w:t>83</w:t>
      </w:r>
      <w:r w:rsidRPr="009F64E9">
        <w:rPr>
          <w:noProof/>
        </w:rPr>
        <w:fldChar w:fldCharType="end"/>
      </w:r>
    </w:p>
    <w:p w14:paraId="1997701D" w14:textId="58F12554"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C—Second or later payment split</w:t>
      </w:r>
      <w:r w:rsidRPr="009F64E9">
        <w:rPr>
          <w:b w:val="0"/>
          <w:noProof/>
          <w:sz w:val="18"/>
        </w:rPr>
        <w:tab/>
      </w:r>
      <w:r w:rsidRPr="009F64E9">
        <w:rPr>
          <w:b w:val="0"/>
          <w:noProof/>
          <w:sz w:val="18"/>
        </w:rPr>
        <w:fldChar w:fldCharType="begin"/>
      </w:r>
      <w:r w:rsidRPr="009F64E9">
        <w:rPr>
          <w:b w:val="0"/>
          <w:noProof/>
          <w:sz w:val="18"/>
        </w:rPr>
        <w:instrText xml:space="preserve"> PAGEREF _Toc188350624 \h </w:instrText>
      </w:r>
      <w:r w:rsidRPr="009F64E9">
        <w:rPr>
          <w:b w:val="0"/>
          <w:noProof/>
          <w:sz w:val="18"/>
        </w:rPr>
      </w:r>
      <w:r w:rsidRPr="009F64E9">
        <w:rPr>
          <w:b w:val="0"/>
          <w:noProof/>
          <w:sz w:val="18"/>
        </w:rPr>
        <w:fldChar w:fldCharType="separate"/>
      </w:r>
      <w:r w:rsidR="000E6B78">
        <w:rPr>
          <w:b w:val="0"/>
          <w:noProof/>
          <w:sz w:val="18"/>
        </w:rPr>
        <w:t>85</w:t>
      </w:r>
      <w:r w:rsidRPr="009F64E9">
        <w:rPr>
          <w:b w:val="0"/>
          <w:noProof/>
          <w:sz w:val="18"/>
        </w:rPr>
        <w:fldChar w:fldCharType="end"/>
      </w:r>
    </w:p>
    <w:p w14:paraId="61B4CEF7" w14:textId="365986C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Application of this Subdivision</w:t>
      </w:r>
      <w:r w:rsidRPr="009F64E9">
        <w:rPr>
          <w:noProof/>
        </w:rPr>
        <w:tab/>
      </w:r>
      <w:r w:rsidRPr="009F64E9">
        <w:rPr>
          <w:noProof/>
        </w:rPr>
        <w:fldChar w:fldCharType="begin"/>
      </w:r>
      <w:r w:rsidRPr="009F64E9">
        <w:rPr>
          <w:noProof/>
        </w:rPr>
        <w:instrText xml:space="preserve"> PAGEREF _Toc188350625 \h </w:instrText>
      </w:r>
      <w:r w:rsidRPr="009F64E9">
        <w:rPr>
          <w:noProof/>
        </w:rPr>
      </w:r>
      <w:r w:rsidRPr="009F64E9">
        <w:rPr>
          <w:noProof/>
        </w:rPr>
        <w:fldChar w:fldCharType="separate"/>
      </w:r>
      <w:r w:rsidR="000E6B78">
        <w:rPr>
          <w:noProof/>
        </w:rPr>
        <w:t>85</w:t>
      </w:r>
      <w:r w:rsidRPr="009F64E9">
        <w:rPr>
          <w:noProof/>
        </w:rPr>
        <w:fldChar w:fldCharType="end"/>
      </w:r>
    </w:p>
    <w:p w14:paraId="7074D00A" w14:textId="262EBDB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Amount to be paid to non</w:t>
      </w:r>
      <w:r>
        <w:rPr>
          <w:noProof/>
        </w:rPr>
        <w:noBreakHyphen/>
        <w:t xml:space="preserve">member spouse—first splittable payment after operative time </w:t>
      </w:r>
      <w:r w:rsidRPr="006558F0">
        <w:rPr>
          <w:noProof/>
          <w:color w:val="000000"/>
        </w:rPr>
        <w:t xml:space="preserve">greater than or equal to the </w:t>
      </w:r>
      <w:r>
        <w:rPr>
          <w:noProof/>
        </w:rPr>
        <w:t>amount of earlier payments plus base amount</w:t>
      </w:r>
      <w:r w:rsidRPr="009F64E9">
        <w:rPr>
          <w:noProof/>
        </w:rPr>
        <w:tab/>
      </w:r>
      <w:r w:rsidRPr="009F64E9">
        <w:rPr>
          <w:noProof/>
        </w:rPr>
        <w:fldChar w:fldCharType="begin"/>
      </w:r>
      <w:r w:rsidRPr="009F64E9">
        <w:rPr>
          <w:noProof/>
        </w:rPr>
        <w:instrText xml:space="preserve"> PAGEREF _Toc188350626 \h </w:instrText>
      </w:r>
      <w:r w:rsidRPr="009F64E9">
        <w:rPr>
          <w:noProof/>
        </w:rPr>
      </w:r>
      <w:r w:rsidRPr="009F64E9">
        <w:rPr>
          <w:noProof/>
        </w:rPr>
        <w:fldChar w:fldCharType="separate"/>
      </w:r>
      <w:r w:rsidR="000E6B78">
        <w:rPr>
          <w:noProof/>
        </w:rPr>
        <w:t>85</w:t>
      </w:r>
      <w:r w:rsidRPr="009F64E9">
        <w:rPr>
          <w:noProof/>
        </w:rPr>
        <w:fldChar w:fldCharType="end"/>
      </w:r>
    </w:p>
    <w:p w14:paraId="4C5E0891" w14:textId="56812F3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Amount to be paid to non</w:t>
      </w:r>
      <w:r>
        <w:rPr>
          <w:noProof/>
        </w:rPr>
        <w:noBreakHyphen/>
        <w:t>member spouse—first splittable payment after operative time less than amount of earlier payments plus base amount</w:t>
      </w:r>
      <w:r w:rsidRPr="009F64E9">
        <w:rPr>
          <w:noProof/>
        </w:rPr>
        <w:tab/>
      </w:r>
      <w:r w:rsidRPr="009F64E9">
        <w:rPr>
          <w:noProof/>
        </w:rPr>
        <w:fldChar w:fldCharType="begin"/>
      </w:r>
      <w:r w:rsidRPr="009F64E9">
        <w:rPr>
          <w:noProof/>
        </w:rPr>
        <w:instrText xml:space="preserve"> PAGEREF _Toc188350627 \h </w:instrText>
      </w:r>
      <w:r w:rsidRPr="009F64E9">
        <w:rPr>
          <w:noProof/>
        </w:rPr>
      </w:r>
      <w:r w:rsidRPr="009F64E9">
        <w:rPr>
          <w:noProof/>
        </w:rPr>
        <w:fldChar w:fldCharType="separate"/>
      </w:r>
      <w:r w:rsidR="000E6B78">
        <w:rPr>
          <w:noProof/>
        </w:rPr>
        <w:t>86</w:t>
      </w:r>
      <w:r w:rsidRPr="009F64E9">
        <w:rPr>
          <w:noProof/>
        </w:rPr>
        <w:fldChar w:fldCharType="end"/>
      </w:r>
    </w:p>
    <w:p w14:paraId="4E7B831C" w14:textId="4967015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Amount to be paid to non</w:t>
      </w:r>
      <w:r>
        <w:rPr>
          <w:noProof/>
        </w:rPr>
        <w:noBreakHyphen/>
        <w:t>member spouse—benefits payable as allocated pension or market linked pension</w:t>
      </w:r>
      <w:r w:rsidRPr="009F64E9">
        <w:rPr>
          <w:noProof/>
        </w:rPr>
        <w:tab/>
      </w:r>
      <w:r w:rsidRPr="009F64E9">
        <w:rPr>
          <w:noProof/>
        </w:rPr>
        <w:fldChar w:fldCharType="begin"/>
      </w:r>
      <w:r w:rsidRPr="009F64E9">
        <w:rPr>
          <w:noProof/>
        </w:rPr>
        <w:instrText xml:space="preserve"> PAGEREF _Toc188350628 \h </w:instrText>
      </w:r>
      <w:r w:rsidRPr="009F64E9">
        <w:rPr>
          <w:noProof/>
        </w:rPr>
      </w:r>
      <w:r w:rsidRPr="009F64E9">
        <w:rPr>
          <w:noProof/>
        </w:rPr>
        <w:fldChar w:fldCharType="separate"/>
      </w:r>
      <w:r w:rsidR="000E6B78">
        <w:rPr>
          <w:noProof/>
        </w:rPr>
        <w:t>87</w:t>
      </w:r>
      <w:r w:rsidRPr="009F64E9">
        <w:rPr>
          <w:noProof/>
        </w:rPr>
        <w:fldChar w:fldCharType="end"/>
      </w:r>
    </w:p>
    <w:p w14:paraId="73619A3E" w14:textId="397D93F2"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8—Fees payable to trustee and waiver of rights</w:t>
      </w:r>
      <w:r w:rsidRPr="009F64E9">
        <w:rPr>
          <w:b w:val="0"/>
          <w:noProof/>
          <w:sz w:val="18"/>
        </w:rPr>
        <w:tab/>
      </w:r>
      <w:r w:rsidRPr="009F64E9">
        <w:rPr>
          <w:b w:val="0"/>
          <w:noProof/>
          <w:sz w:val="18"/>
        </w:rPr>
        <w:fldChar w:fldCharType="begin"/>
      </w:r>
      <w:r w:rsidRPr="009F64E9">
        <w:rPr>
          <w:b w:val="0"/>
          <w:noProof/>
          <w:sz w:val="18"/>
        </w:rPr>
        <w:instrText xml:space="preserve"> PAGEREF _Toc188350629 \h </w:instrText>
      </w:r>
      <w:r w:rsidRPr="009F64E9">
        <w:rPr>
          <w:b w:val="0"/>
          <w:noProof/>
          <w:sz w:val="18"/>
        </w:rPr>
      </w:r>
      <w:r w:rsidRPr="009F64E9">
        <w:rPr>
          <w:b w:val="0"/>
          <w:noProof/>
          <w:sz w:val="18"/>
        </w:rPr>
        <w:fldChar w:fldCharType="separate"/>
      </w:r>
      <w:r w:rsidR="000E6B78">
        <w:rPr>
          <w:b w:val="0"/>
          <w:noProof/>
          <w:sz w:val="18"/>
        </w:rPr>
        <w:t>88</w:t>
      </w:r>
      <w:r w:rsidRPr="009F64E9">
        <w:rPr>
          <w:b w:val="0"/>
          <w:noProof/>
          <w:sz w:val="18"/>
        </w:rPr>
        <w:fldChar w:fldCharType="end"/>
      </w:r>
    </w:p>
    <w:p w14:paraId="02672AE6" w14:textId="4CF2EBD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Reasonable fees payable to trustee</w:t>
      </w:r>
      <w:r w:rsidRPr="009F64E9">
        <w:rPr>
          <w:noProof/>
        </w:rPr>
        <w:tab/>
      </w:r>
      <w:r w:rsidRPr="009F64E9">
        <w:rPr>
          <w:noProof/>
        </w:rPr>
        <w:fldChar w:fldCharType="begin"/>
      </w:r>
      <w:r w:rsidRPr="009F64E9">
        <w:rPr>
          <w:noProof/>
        </w:rPr>
        <w:instrText xml:space="preserve"> PAGEREF _Toc188350630 \h </w:instrText>
      </w:r>
      <w:r w:rsidRPr="009F64E9">
        <w:rPr>
          <w:noProof/>
        </w:rPr>
      </w:r>
      <w:r w:rsidRPr="009F64E9">
        <w:rPr>
          <w:noProof/>
        </w:rPr>
        <w:fldChar w:fldCharType="separate"/>
      </w:r>
      <w:r w:rsidR="000E6B78">
        <w:rPr>
          <w:noProof/>
        </w:rPr>
        <w:t>88</w:t>
      </w:r>
      <w:r w:rsidRPr="009F64E9">
        <w:rPr>
          <w:noProof/>
        </w:rPr>
        <w:fldChar w:fldCharType="end"/>
      </w:r>
    </w:p>
    <w:p w14:paraId="4AE55C19" w14:textId="3CD504B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Waiver of rights under payment split</w:t>
      </w:r>
      <w:r w:rsidRPr="009F64E9">
        <w:rPr>
          <w:noProof/>
        </w:rPr>
        <w:tab/>
      </w:r>
      <w:r w:rsidRPr="009F64E9">
        <w:rPr>
          <w:noProof/>
        </w:rPr>
        <w:fldChar w:fldCharType="begin"/>
      </w:r>
      <w:r w:rsidRPr="009F64E9">
        <w:rPr>
          <w:noProof/>
        </w:rPr>
        <w:instrText xml:space="preserve"> PAGEREF _Toc188350631 \h </w:instrText>
      </w:r>
      <w:r w:rsidRPr="009F64E9">
        <w:rPr>
          <w:noProof/>
        </w:rPr>
      </w:r>
      <w:r w:rsidRPr="009F64E9">
        <w:rPr>
          <w:noProof/>
        </w:rPr>
        <w:fldChar w:fldCharType="separate"/>
      </w:r>
      <w:r w:rsidR="000E6B78">
        <w:rPr>
          <w:noProof/>
        </w:rPr>
        <w:t>88</w:t>
      </w:r>
      <w:r w:rsidRPr="009F64E9">
        <w:rPr>
          <w:noProof/>
        </w:rPr>
        <w:fldChar w:fldCharType="end"/>
      </w:r>
    </w:p>
    <w:p w14:paraId="5C0AFACF" w14:textId="5BEF9D60"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9—Provision of information to and by trustee</w:t>
      </w:r>
      <w:r w:rsidRPr="009F64E9">
        <w:rPr>
          <w:b w:val="0"/>
          <w:noProof/>
          <w:sz w:val="18"/>
        </w:rPr>
        <w:tab/>
      </w:r>
      <w:r w:rsidRPr="009F64E9">
        <w:rPr>
          <w:b w:val="0"/>
          <w:noProof/>
          <w:sz w:val="18"/>
        </w:rPr>
        <w:fldChar w:fldCharType="begin"/>
      </w:r>
      <w:r w:rsidRPr="009F64E9">
        <w:rPr>
          <w:b w:val="0"/>
          <w:noProof/>
          <w:sz w:val="18"/>
        </w:rPr>
        <w:instrText xml:space="preserve"> PAGEREF _Toc188350632 \h </w:instrText>
      </w:r>
      <w:r w:rsidRPr="009F64E9">
        <w:rPr>
          <w:b w:val="0"/>
          <w:noProof/>
          <w:sz w:val="18"/>
        </w:rPr>
      </w:r>
      <w:r w:rsidRPr="009F64E9">
        <w:rPr>
          <w:b w:val="0"/>
          <w:noProof/>
          <w:sz w:val="18"/>
        </w:rPr>
        <w:fldChar w:fldCharType="separate"/>
      </w:r>
      <w:r w:rsidR="000E6B78">
        <w:rPr>
          <w:b w:val="0"/>
          <w:noProof/>
          <w:sz w:val="18"/>
        </w:rPr>
        <w:t>89</w:t>
      </w:r>
      <w:r w:rsidRPr="009F64E9">
        <w:rPr>
          <w:b w:val="0"/>
          <w:noProof/>
          <w:sz w:val="18"/>
        </w:rPr>
        <w:fldChar w:fldCharType="end"/>
      </w:r>
    </w:p>
    <w:p w14:paraId="2C44ABDF" w14:textId="3A78B2B4"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_Toc188350633 \h </w:instrText>
      </w:r>
      <w:r w:rsidRPr="009F64E9">
        <w:rPr>
          <w:b w:val="0"/>
          <w:noProof/>
          <w:sz w:val="18"/>
        </w:rPr>
      </w:r>
      <w:r w:rsidRPr="009F64E9">
        <w:rPr>
          <w:b w:val="0"/>
          <w:noProof/>
          <w:sz w:val="18"/>
        </w:rPr>
        <w:fldChar w:fldCharType="separate"/>
      </w:r>
      <w:r w:rsidR="000E6B78">
        <w:rPr>
          <w:b w:val="0"/>
          <w:noProof/>
          <w:sz w:val="18"/>
        </w:rPr>
        <w:t>89</w:t>
      </w:r>
      <w:r w:rsidRPr="009F64E9">
        <w:rPr>
          <w:b w:val="0"/>
          <w:noProof/>
          <w:sz w:val="18"/>
        </w:rPr>
        <w:fldChar w:fldCharType="end"/>
      </w:r>
    </w:p>
    <w:p w14:paraId="6182473A" w14:textId="30587CC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Simplified outline of this Part</w:t>
      </w:r>
      <w:r w:rsidRPr="009F64E9">
        <w:rPr>
          <w:noProof/>
        </w:rPr>
        <w:tab/>
      </w:r>
      <w:r w:rsidRPr="009F64E9">
        <w:rPr>
          <w:noProof/>
        </w:rPr>
        <w:fldChar w:fldCharType="begin"/>
      </w:r>
      <w:r w:rsidRPr="009F64E9">
        <w:rPr>
          <w:noProof/>
        </w:rPr>
        <w:instrText xml:space="preserve"> PAGEREF _Toc188350634 \h </w:instrText>
      </w:r>
      <w:r w:rsidRPr="009F64E9">
        <w:rPr>
          <w:noProof/>
        </w:rPr>
      </w:r>
      <w:r w:rsidRPr="009F64E9">
        <w:rPr>
          <w:noProof/>
        </w:rPr>
        <w:fldChar w:fldCharType="separate"/>
      </w:r>
      <w:r w:rsidR="000E6B78">
        <w:rPr>
          <w:noProof/>
        </w:rPr>
        <w:t>89</w:t>
      </w:r>
      <w:r w:rsidRPr="009F64E9">
        <w:rPr>
          <w:noProof/>
        </w:rPr>
        <w:fldChar w:fldCharType="end"/>
      </w:r>
    </w:p>
    <w:p w14:paraId="5DF36545" w14:textId="246362D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Definitions</w:t>
      </w:r>
      <w:r w:rsidRPr="009F64E9">
        <w:rPr>
          <w:noProof/>
        </w:rPr>
        <w:tab/>
      </w:r>
      <w:r w:rsidRPr="009F64E9">
        <w:rPr>
          <w:noProof/>
        </w:rPr>
        <w:fldChar w:fldCharType="begin"/>
      </w:r>
      <w:r w:rsidRPr="009F64E9">
        <w:rPr>
          <w:noProof/>
        </w:rPr>
        <w:instrText xml:space="preserve"> PAGEREF _Toc188350635 \h </w:instrText>
      </w:r>
      <w:r w:rsidRPr="009F64E9">
        <w:rPr>
          <w:noProof/>
        </w:rPr>
      </w:r>
      <w:r w:rsidRPr="009F64E9">
        <w:rPr>
          <w:noProof/>
        </w:rPr>
        <w:fldChar w:fldCharType="separate"/>
      </w:r>
      <w:r w:rsidR="000E6B78">
        <w:rPr>
          <w:noProof/>
        </w:rPr>
        <w:t>89</w:t>
      </w:r>
      <w:r w:rsidRPr="009F64E9">
        <w:rPr>
          <w:noProof/>
        </w:rPr>
        <w:fldChar w:fldCharType="end"/>
      </w:r>
    </w:p>
    <w:p w14:paraId="5D80E2CE" w14:textId="3A0AF980"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2—Declaration accompanying application for information about a superannuation interest</w:t>
      </w:r>
      <w:r w:rsidRPr="009F64E9">
        <w:rPr>
          <w:b w:val="0"/>
          <w:noProof/>
          <w:sz w:val="18"/>
        </w:rPr>
        <w:tab/>
      </w:r>
      <w:r w:rsidRPr="009F64E9">
        <w:rPr>
          <w:b w:val="0"/>
          <w:noProof/>
          <w:sz w:val="18"/>
        </w:rPr>
        <w:fldChar w:fldCharType="begin"/>
      </w:r>
      <w:r w:rsidRPr="009F64E9">
        <w:rPr>
          <w:b w:val="0"/>
          <w:noProof/>
          <w:sz w:val="18"/>
        </w:rPr>
        <w:instrText xml:space="preserve"> PAGEREF _Toc188350636 \h </w:instrText>
      </w:r>
      <w:r w:rsidRPr="009F64E9">
        <w:rPr>
          <w:b w:val="0"/>
          <w:noProof/>
          <w:sz w:val="18"/>
        </w:rPr>
      </w:r>
      <w:r w:rsidRPr="009F64E9">
        <w:rPr>
          <w:b w:val="0"/>
          <w:noProof/>
          <w:sz w:val="18"/>
        </w:rPr>
        <w:fldChar w:fldCharType="separate"/>
      </w:r>
      <w:r w:rsidR="000E6B78">
        <w:rPr>
          <w:b w:val="0"/>
          <w:noProof/>
          <w:sz w:val="18"/>
        </w:rPr>
        <w:t>91</w:t>
      </w:r>
      <w:r w:rsidRPr="009F64E9">
        <w:rPr>
          <w:b w:val="0"/>
          <w:noProof/>
          <w:sz w:val="18"/>
        </w:rPr>
        <w:fldChar w:fldCharType="end"/>
      </w:r>
    </w:p>
    <w:p w14:paraId="3489D167" w14:textId="2AC6BFA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Application to trustee for information about a superannuation interest—accompanying declaration</w:t>
      </w:r>
      <w:r w:rsidRPr="009F64E9">
        <w:rPr>
          <w:noProof/>
        </w:rPr>
        <w:tab/>
      </w:r>
      <w:r w:rsidRPr="009F64E9">
        <w:rPr>
          <w:noProof/>
        </w:rPr>
        <w:fldChar w:fldCharType="begin"/>
      </w:r>
      <w:r w:rsidRPr="009F64E9">
        <w:rPr>
          <w:noProof/>
        </w:rPr>
        <w:instrText xml:space="preserve"> PAGEREF _Toc188350637 \h </w:instrText>
      </w:r>
      <w:r w:rsidRPr="009F64E9">
        <w:rPr>
          <w:noProof/>
        </w:rPr>
      </w:r>
      <w:r w:rsidRPr="009F64E9">
        <w:rPr>
          <w:noProof/>
        </w:rPr>
        <w:fldChar w:fldCharType="separate"/>
      </w:r>
      <w:r w:rsidR="000E6B78">
        <w:rPr>
          <w:noProof/>
        </w:rPr>
        <w:t>91</w:t>
      </w:r>
      <w:r w:rsidRPr="009F64E9">
        <w:rPr>
          <w:noProof/>
        </w:rPr>
        <w:fldChar w:fldCharType="end"/>
      </w:r>
    </w:p>
    <w:p w14:paraId="26332AB8" w14:textId="3BE5ED99"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3—Information provided by trustee about superannuation interests</w:t>
      </w:r>
      <w:r w:rsidRPr="009F64E9">
        <w:rPr>
          <w:b w:val="0"/>
          <w:noProof/>
          <w:sz w:val="18"/>
        </w:rPr>
        <w:tab/>
      </w:r>
      <w:r w:rsidRPr="009F64E9">
        <w:rPr>
          <w:b w:val="0"/>
          <w:noProof/>
          <w:sz w:val="18"/>
        </w:rPr>
        <w:fldChar w:fldCharType="begin"/>
      </w:r>
      <w:r w:rsidRPr="009F64E9">
        <w:rPr>
          <w:b w:val="0"/>
          <w:noProof/>
          <w:sz w:val="18"/>
        </w:rPr>
        <w:instrText xml:space="preserve"> PAGEREF _Toc188350638 \h </w:instrText>
      </w:r>
      <w:r w:rsidRPr="009F64E9">
        <w:rPr>
          <w:b w:val="0"/>
          <w:noProof/>
          <w:sz w:val="18"/>
        </w:rPr>
      </w:r>
      <w:r w:rsidRPr="009F64E9">
        <w:rPr>
          <w:b w:val="0"/>
          <w:noProof/>
          <w:sz w:val="18"/>
        </w:rPr>
        <w:fldChar w:fldCharType="separate"/>
      </w:r>
      <w:r w:rsidR="000E6B78">
        <w:rPr>
          <w:b w:val="0"/>
          <w:noProof/>
          <w:sz w:val="18"/>
        </w:rPr>
        <w:t>92</w:t>
      </w:r>
      <w:r w:rsidRPr="009F64E9">
        <w:rPr>
          <w:b w:val="0"/>
          <w:noProof/>
          <w:sz w:val="18"/>
        </w:rPr>
        <w:fldChar w:fldCharType="end"/>
      </w:r>
    </w:p>
    <w:p w14:paraId="13FAA791" w14:textId="63094B2D"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A—Information about certain accumulation interests</w:t>
      </w:r>
      <w:r w:rsidRPr="009F64E9">
        <w:rPr>
          <w:b w:val="0"/>
          <w:noProof/>
          <w:sz w:val="18"/>
        </w:rPr>
        <w:tab/>
      </w:r>
      <w:r w:rsidRPr="009F64E9">
        <w:rPr>
          <w:b w:val="0"/>
          <w:noProof/>
          <w:sz w:val="18"/>
        </w:rPr>
        <w:fldChar w:fldCharType="begin"/>
      </w:r>
      <w:r w:rsidRPr="009F64E9">
        <w:rPr>
          <w:b w:val="0"/>
          <w:noProof/>
          <w:sz w:val="18"/>
        </w:rPr>
        <w:instrText xml:space="preserve"> PAGEREF _Toc188350639 \h </w:instrText>
      </w:r>
      <w:r w:rsidRPr="009F64E9">
        <w:rPr>
          <w:b w:val="0"/>
          <w:noProof/>
          <w:sz w:val="18"/>
        </w:rPr>
      </w:r>
      <w:r w:rsidRPr="009F64E9">
        <w:rPr>
          <w:b w:val="0"/>
          <w:noProof/>
          <w:sz w:val="18"/>
        </w:rPr>
        <w:fldChar w:fldCharType="separate"/>
      </w:r>
      <w:r w:rsidR="000E6B78">
        <w:rPr>
          <w:b w:val="0"/>
          <w:noProof/>
          <w:sz w:val="18"/>
        </w:rPr>
        <w:t>92</w:t>
      </w:r>
      <w:r w:rsidRPr="009F64E9">
        <w:rPr>
          <w:b w:val="0"/>
          <w:noProof/>
          <w:sz w:val="18"/>
        </w:rPr>
        <w:fldChar w:fldCharType="end"/>
      </w:r>
    </w:p>
    <w:p w14:paraId="11FB2D89" w14:textId="72DC5F8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Accumulation interests to which this Subdivision applies</w:t>
      </w:r>
      <w:r w:rsidRPr="009F64E9">
        <w:rPr>
          <w:noProof/>
        </w:rPr>
        <w:tab/>
      </w:r>
      <w:r w:rsidRPr="009F64E9">
        <w:rPr>
          <w:noProof/>
        </w:rPr>
        <w:fldChar w:fldCharType="begin"/>
      </w:r>
      <w:r w:rsidRPr="009F64E9">
        <w:rPr>
          <w:noProof/>
        </w:rPr>
        <w:instrText xml:space="preserve"> PAGEREF _Toc188350640 \h </w:instrText>
      </w:r>
      <w:r w:rsidRPr="009F64E9">
        <w:rPr>
          <w:noProof/>
        </w:rPr>
      </w:r>
      <w:r w:rsidRPr="009F64E9">
        <w:rPr>
          <w:noProof/>
        </w:rPr>
        <w:fldChar w:fldCharType="separate"/>
      </w:r>
      <w:r w:rsidR="000E6B78">
        <w:rPr>
          <w:noProof/>
        </w:rPr>
        <w:t>92</w:t>
      </w:r>
      <w:r w:rsidRPr="009F64E9">
        <w:rPr>
          <w:noProof/>
        </w:rPr>
        <w:fldChar w:fldCharType="end"/>
      </w:r>
    </w:p>
    <w:p w14:paraId="6C0E9BA9" w14:textId="1015517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Information the trustee must provide—overview</w:t>
      </w:r>
      <w:r w:rsidRPr="009F64E9">
        <w:rPr>
          <w:noProof/>
        </w:rPr>
        <w:tab/>
      </w:r>
      <w:r w:rsidRPr="009F64E9">
        <w:rPr>
          <w:noProof/>
        </w:rPr>
        <w:fldChar w:fldCharType="begin"/>
      </w:r>
      <w:r w:rsidRPr="009F64E9">
        <w:rPr>
          <w:noProof/>
        </w:rPr>
        <w:instrText xml:space="preserve"> PAGEREF _Toc188350641 \h </w:instrText>
      </w:r>
      <w:r w:rsidRPr="009F64E9">
        <w:rPr>
          <w:noProof/>
        </w:rPr>
      </w:r>
      <w:r w:rsidRPr="009F64E9">
        <w:rPr>
          <w:noProof/>
        </w:rPr>
        <w:fldChar w:fldCharType="separate"/>
      </w:r>
      <w:r w:rsidR="000E6B78">
        <w:rPr>
          <w:noProof/>
        </w:rPr>
        <w:t>92</w:t>
      </w:r>
      <w:r w:rsidRPr="009F64E9">
        <w:rPr>
          <w:noProof/>
        </w:rPr>
        <w:fldChar w:fldCharType="end"/>
      </w:r>
    </w:p>
    <w:p w14:paraId="077699C2" w14:textId="78F0F57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Specific information—the interest is in the payment phase</w:t>
      </w:r>
      <w:r w:rsidRPr="009F64E9">
        <w:rPr>
          <w:noProof/>
        </w:rPr>
        <w:tab/>
      </w:r>
      <w:r w:rsidRPr="009F64E9">
        <w:rPr>
          <w:noProof/>
        </w:rPr>
        <w:fldChar w:fldCharType="begin"/>
      </w:r>
      <w:r w:rsidRPr="009F64E9">
        <w:rPr>
          <w:noProof/>
        </w:rPr>
        <w:instrText xml:space="preserve"> PAGEREF _Toc188350642 \h </w:instrText>
      </w:r>
      <w:r w:rsidRPr="009F64E9">
        <w:rPr>
          <w:noProof/>
        </w:rPr>
      </w:r>
      <w:r w:rsidRPr="009F64E9">
        <w:rPr>
          <w:noProof/>
        </w:rPr>
        <w:fldChar w:fldCharType="separate"/>
      </w:r>
      <w:r w:rsidR="000E6B78">
        <w:rPr>
          <w:noProof/>
        </w:rPr>
        <w:t>93</w:t>
      </w:r>
      <w:r w:rsidRPr="009F64E9">
        <w:rPr>
          <w:noProof/>
        </w:rPr>
        <w:fldChar w:fldCharType="end"/>
      </w:r>
    </w:p>
    <w:p w14:paraId="6BF56896" w14:textId="1AB2F04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Specific information—the interest is in the growth phase, and is an accumulation interest other than a partially vested accumulation interest</w:t>
      </w:r>
      <w:r w:rsidRPr="009F64E9">
        <w:rPr>
          <w:noProof/>
        </w:rPr>
        <w:tab/>
      </w:r>
      <w:r w:rsidRPr="009F64E9">
        <w:rPr>
          <w:noProof/>
        </w:rPr>
        <w:fldChar w:fldCharType="begin"/>
      </w:r>
      <w:r w:rsidRPr="009F64E9">
        <w:rPr>
          <w:noProof/>
        </w:rPr>
        <w:instrText xml:space="preserve"> PAGEREF _Toc188350643 \h </w:instrText>
      </w:r>
      <w:r w:rsidRPr="009F64E9">
        <w:rPr>
          <w:noProof/>
        </w:rPr>
      </w:r>
      <w:r w:rsidRPr="009F64E9">
        <w:rPr>
          <w:noProof/>
        </w:rPr>
        <w:fldChar w:fldCharType="separate"/>
      </w:r>
      <w:r w:rsidR="000E6B78">
        <w:rPr>
          <w:noProof/>
        </w:rPr>
        <w:t>94</w:t>
      </w:r>
      <w:r w:rsidRPr="009F64E9">
        <w:rPr>
          <w:noProof/>
        </w:rPr>
        <w:fldChar w:fldCharType="end"/>
      </w:r>
    </w:p>
    <w:p w14:paraId="40BA3CC7" w14:textId="3CDF973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Specific information—the interest is in the growth phase, and is a partially vested accumulation interest</w:t>
      </w:r>
      <w:r w:rsidRPr="009F64E9">
        <w:rPr>
          <w:noProof/>
        </w:rPr>
        <w:tab/>
      </w:r>
      <w:r w:rsidRPr="009F64E9">
        <w:rPr>
          <w:noProof/>
        </w:rPr>
        <w:fldChar w:fldCharType="begin"/>
      </w:r>
      <w:r w:rsidRPr="009F64E9">
        <w:rPr>
          <w:noProof/>
        </w:rPr>
        <w:instrText xml:space="preserve"> PAGEREF _Toc188350644 \h </w:instrText>
      </w:r>
      <w:r w:rsidRPr="009F64E9">
        <w:rPr>
          <w:noProof/>
        </w:rPr>
      </w:r>
      <w:r w:rsidRPr="009F64E9">
        <w:rPr>
          <w:noProof/>
        </w:rPr>
        <w:fldChar w:fldCharType="separate"/>
      </w:r>
      <w:r w:rsidR="000E6B78">
        <w:rPr>
          <w:noProof/>
        </w:rPr>
        <w:t>96</w:t>
      </w:r>
      <w:r w:rsidRPr="009F64E9">
        <w:rPr>
          <w:noProof/>
        </w:rPr>
        <w:fldChar w:fldCharType="end"/>
      </w:r>
    </w:p>
    <w:p w14:paraId="43BA628E" w14:textId="1703B99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Specific information—the interest is subject to a payment split or flag</w:t>
      </w:r>
      <w:r w:rsidRPr="009F64E9">
        <w:rPr>
          <w:noProof/>
        </w:rPr>
        <w:tab/>
      </w:r>
      <w:r w:rsidRPr="009F64E9">
        <w:rPr>
          <w:noProof/>
        </w:rPr>
        <w:fldChar w:fldCharType="begin"/>
      </w:r>
      <w:r w:rsidRPr="009F64E9">
        <w:rPr>
          <w:noProof/>
        </w:rPr>
        <w:instrText xml:space="preserve"> PAGEREF _Toc188350645 \h </w:instrText>
      </w:r>
      <w:r w:rsidRPr="009F64E9">
        <w:rPr>
          <w:noProof/>
        </w:rPr>
      </w:r>
      <w:r w:rsidRPr="009F64E9">
        <w:rPr>
          <w:noProof/>
        </w:rPr>
        <w:fldChar w:fldCharType="separate"/>
      </w:r>
      <w:r w:rsidR="000E6B78">
        <w:rPr>
          <w:noProof/>
        </w:rPr>
        <w:t>99</w:t>
      </w:r>
      <w:r w:rsidRPr="009F64E9">
        <w:rPr>
          <w:noProof/>
        </w:rPr>
        <w:fldChar w:fldCharType="end"/>
      </w:r>
    </w:p>
    <w:p w14:paraId="6063A745" w14:textId="1AD4DEB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Exceptions and other kinds of required information</w:t>
      </w:r>
      <w:r w:rsidRPr="009F64E9">
        <w:rPr>
          <w:noProof/>
        </w:rPr>
        <w:tab/>
      </w:r>
      <w:r w:rsidRPr="009F64E9">
        <w:rPr>
          <w:noProof/>
        </w:rPr>
        <w:fldChar w:fldCharType="begin"/>
      </w:r>
      <w:r w:rsidRPr="009F64E9">
        <w:rPr>
          <w:noProof/>
        </w:rPr>
        <w:instrText xml:space="preserve"> PAGEREF _Toc188350646 \h </w:instrText>
      </w:r>
      <w:r w:rsidRPr="009F64E9">
        <w:rPr>
          <w:noProof/>
        </w:rPr>
      </w:r>
      <w:r w:rsidRPr="009F64E9">
        <w:rPr>
          <w:noProof/>
        </w:rPr>
        <w:fldChar w:fldCharType="separate"/>
      </w:r>
      <w:r w:rsidR="000E6B78">
        <w:rPr>
          <w:noProof/>
        </w:rPr>
        <w:t>99</w:t>
      </w:r>
      <w:r w:rsidRPr="009F64E9">
        <w:rPr>
          <w:noProof/>
        </w:rPr>
        <w:fldChar w:fldCharType="end"/>
      </w:r>
    </w:p>
    <w:p w14:paraId="6A14D90E" w14:textId="3364EBA5"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B—Information about certain defined benefit interests</w:t>
      </w:r>
      <w:r w:rsidRPr="009F64E9">
        <w:rPr>
          <w:b w:val="0"/>
          <w:noProof/>
          <w:sz w:val="18"/>
        </w:rPr>
        <w:tab/>
      </w:r>
      <w:r w:rsidRPr="009F64E9">
        <w:rPr>
          <w:b w:val="0"/>
          <w:noProof/>
          <w:sz w:val="18"/>
        </w:rPr>
        <w:fldChar w:fldCharType="begin"/>
      </w:r>
      <w:r w:rsidRPr="009F64E9">
        <w:rPr>
          <w:b w:val="0"/>
          <w:noProof/>
          <w:sz w:val="18"/>
        </w:rPr>
        <w:instrText xml:space="preserve"> PAGEREF _Toc188350647 \h </w:instrText>
      </w:r>
      <w:r w:rsidRPr="009F64E9">
        <w:rPr>
          <w:b w:val="0"/>
          <w:noProof/>
          <w:sz w:val="18"/>
        </w:rPr>
      </w:r>
      <w:r w:rsidRPr="009F64E9">
        <w:rPr>
          <w:b w:val="0"/>
          <w:noProof/>
          <w:sz w:val="18"/>
        </w:rPr>
        <w:fldChar w:fldCharType="separate"/>
      </w:r>
      <w:r w:rsidR="000E6B78">
        <w:rPr>
          <w:b w:val="0"/>
          <w:noProof/>
          <w:sz w:val="18"/>
        </w:rPr>
        <w:t>100</w:t>
      </w:r>
      <w:r w:rsidRPr="009F64E9">
        <w:rPr>
          <w:b w:val="0"/>
          <w:noProof/>
          <w:sz w:val="18"/>
        </w:rPr>
        <w:fldChar w:fldCharType="end"/>
      </w:r>
    </w:p>
    <w:p w14:paraId="3CD7E9DE" w14:textId="3C3C35E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Defined benefit interests to which this Subdivision applies</w:t>
      </w:r>
      <w:r w:rsidRPr="009F64E9">
        <w:rPr>
          <w:noProof/>
        </w:rPr>
        <w:tab/>
      </w:r>
      <w:r w:rsidRPr="009F64E9">
        <w:rPr>
          <w:noProof/>
        </w:rPr>
        <w:fldChar w:fldCharType="begin"/>
      </w:r>
      <w:r w:rsidRPr="009F64E9">
        <w:rPr>
          <w:noProof/>
        </w:rPr>
        <w:instrText xml:space="preserve"> PAGEREF _Toc188350648 \h </w:instrText>
      </w:r>
      <w:r w:rsidRPr="009F64E9">
        <w:rPr>
          <w:noProof/>
        </w:rPr>
      </w:r>
      <w:r w:rsidRPr="009F64E9">
        <w:rPr>
          <w:noProof/>
        </w:rPr>
        <w:fldChar w:fldCharType="separate"/>
      </w:r>
      <w:r w:rsidR="000E6B78">
        <w:rPr>
          <w:noProof/>
        </w:rPr>
        <w:t>100</w:t>
      </w:r>
      <w:r w:rsidRPr="009F64E9">
        <w:rPr>
          <w:noProof/>
        </w:rPr>
        <w:fldChar w:fldCharType="end"/>
      </w:r>
    </w:p>
    <w:p w14:paraId="4233C62F" w14:textId="2F92771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Information the trustee must provide—overview</w:t>
      </w:r>
      <w:r w:rsidRPr="009F64E9">
        <w:rPr>
          <w:noProof/>
        </w:rPr>
        <w:tab/>
      </w:r>
      <w:r w:rsidRPr="009F64E9">
        <w:rPr>
          <w:noProof/>
        </w:rPr>
        <w:fldChar w:fldCharType="begin"/>
      </w:r>
      <w:r w:rsidRPr="009F64E9">
        <w:rPr>
          <w:noProof/>
        </w:rPr>
        <w:instrText xml:space="preserve"> PAGEREF _Toc188350649 \h </w:instrText>
      </w:r>
      <w:r w:rsidRPr="009F64E9">
        <w:rPr>
          <w:noProof/>
        </w:rPr>
      </w:r>
      <w:r w:rsidRPr="009F64E9">
        <w:rPr>
          <w:noProof/>
        </w:rPr>
        <w:fldChar w:fldCharType="separate"/>
      </w:r>
      <w:r w:rsidR="000E6B78">
        <w:rPr>
          <w:noProof/>
        </w:rPr>
        <w:t>101</w:t>
      </w:r>
      <w:r w:rsidRPr="009F64E9">
        <w:rPr>
          <w:noProof/>
        </w:rPr>
        <w:fldChar w:fldCharType="end"/>
      </w:r>
    </w:p>
    <w:p w14:paraId="5746DF6D" w14:textId="079C754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Specific information—the interest is in the payment phase</w:t>
      </w:r>
      <w:r w:rsidRPr="009F64E9">
        <w:rPr>
          <w:noProof/>
        </w:rPr>
        <w:tab/>
      </w:r>
      <w:r w:rsidRPr="009F64E9">
        <w:rPr>
          <w:noProof/>
        </w:rPr>
        <w:fldChar w:fldCharType="begin"/>
      </w:r>
      <w:r w:rsidRPr="009F64E9">
        <w:rPr>
          <w:noProof/>
        </w:rPr>
        <w:instrText xml:space="preserve"> PAGEREF _Toc188350650 \h </w:instrText>
      </w:r>
      <w:r w:rsidRPr="009F64E9">
        <w:rPr>
          <w:noProof/>
        </w:rPr>
      </w:r>
      <w:r w:rsidRPr="009F64E9">
        <w:rPr>
          <w:noProof/>
        </w:rPr>
        <w:fldChar w:fldCharType="separate"/>
      </w:r>
      <w:r w:rsidR="000E6B78">
        <w:rPr>
          <w:noProof/>
        </w:rPr>
        <w:t>102</w:t>
      </w:r>
      <w:r w:rsidRPr="009F64E9">
        <w:rPr>
          <w:noProof/>
        </w:rPr>
        <w:fldChar w:fldCharType="end"/>
      </w:r>
    </w:p>
    <w:p w14:paraId="54F63715" w14:textId="3FA3B4B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Specific information—the interest is in the growth phase and held as a result of employment in which the member is still engaged</w:t>
      </w:r>
      <w:r w:rsidRPr="009F64E9">
        <w:rPr>
          <w:noProof/>
        </w:rPr>
        <w:tab/>
      </w:r>
      <w:r w:rsidRPr="009F64E9">
        <w:rPr>
          <w:noProof/>
        </w:rPr>
        <w:fldChar w:fldCharType="begin"/>
      </w:r>
      <w:r w:rsidRPr="009F64E9">
        <w:rPr>
          <w:noProof/>
        </w:rPr>
        <w:instrText xml:space="preserve"> PAGEREF _Toc188350651 \h </w:instrText>
      </w:r>
      <w:r w:rsidRPr="009F64E9">
        <w:rPr>
          <w:noProof/>
        </w:rPr>
      </w:r>
      <w:r w:rsidRPr="009F64E9">
        <w:rPr>
          <w:noProof/>
        </w:rPr>
        <w:fldChar w:fldCharType="separate"/>
      </w:r>
      <w:r w:rsidR="000E6B78">
        <w:rPr>
          <w:noProof/>
        </w:rPr>
        <w:t>103</w:t>
      </w:r>
      <w:r w:rsidRPr="009F64E9">
        <w:rPr>
          <w:noProof/>
        </w:rPr>
        <w:fldChar w:fldCharType="end"/>
      </w:r>
    </w:p>
    <w:p w14:paraId="04ABFC58" w14:textId="2FF60AA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Specific information—the interest is in the growth phase and held as a result of employment in which the member is no longer engaged</w:t>
      </w:r>
      <w:r w:rsidRPr="009F64E9">
        <w:rPr>
          <w:noProof/>
        </w:rPr>
        <w:tab/>
      </w:r>
      <w:r w:rsidRPr="009F64E9">
        <w:rPr>
          <w:noProof/>
        </w:rPr>
        <w:fldChar w:fldCharType="begin"/>
      </w:r>
      <w:r w:rsidRPr="009F64E9">
        <w:rPr>
          <w:noProof/>
        </w:rPr>
        <w:instrText xml:space="preserve"> PAGEREF _Toc188350652 \h </w:instrText>
      </w:r>
      <w:r w:rsidRPr="009F64E9">
        <w:rPr>
          <w:noProof/>
        </w:rPr>
      </w:r>
      <w:r w:rsidRPr="009F64E9">
        <w:rPr>
          <w:noProof/>
        </w:rPr>
        <w:fldChar w:fldCharType="separate"/>
      </w:r>
      <w:r w:rsidR="000E6B78">
        <w:rPr>
          <w:noProof/>
        </w:rPr>
        <w:t>106</w:t>
      </w:r>
      <w:r w:rsidRPr="009F64E9">
        <w:rPr>
          <w:noProof/>
        </w:rPr>
        <w:fldChar w:fldCharType="end"/>
      </w:r>
    </w:p>
    <w:p w14:paraId="54FC7C08" w14:textId="3593727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Specific information—the interest is subject to a payment split or flag</w:t>
      </w:r>
      <w:r w:rsidRPr="009F64E9">
        <w:rPr>
          <w:noProof/>
        </w:rPr>
        <w:tab/>
      </w:r>
      <w:r w:rsidRPr="009F64E9">
        <w:rPr>
          <w:noProof/>
        </w:rPr>
        <w:fldChar w:fldCharType="begin"/>
      </w:r>
      <w:r w:rsidRPr="009F64E9">
        <w:rPr>
          <w:noProof/>
        </w:rPr>
        <w:instrText xml:space="preserve"> PAGEREF _Toc188350653 \h </w:instrText>
      </w:r>
      <w:r w:rsidRPr="009F64E9">
        <w:rPr>
          <w:noProof/>
        </w:rPr>
      </w:r>
      <w:r w:rsidRPr="009F64E9">
        <w:rPr>
          <w:noProof/>
        </w:rPr>
        <w:fldChar w:fldCharType="separate"/>
      </w:r>
      <w:r w:rsidR="000E6B78">
        <w:rPr>
          <w:noProof/>
        </w:rPr>
        <w:t>107</w:t>
      </w:r>
      <w:r w:rsidRPr="009F64E9">
        <w:rPr>
          <w:noProof/>
        </w:rPr>
        <w:fldChar w:fldCharType="end"/>
      </w:r>
    </w:p>
    <w:p w14:paraId="752F245B" w14:textId="66D699C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Exceptions and other kinds of required information</w:t>
      </w:r>
      <w:r w:rsidRPr="009F64E9">
        <w:rPr>
          <w:noProof/>
        </w:rPr>
        <w:tab/>
      </w:r>
      <w:r w:rsidRPr="009F64E9">
        <w:rPr>
          <w:noProof/>
        </w:rPr>
        <w:fldChar w:fldCharType="begin"/>
      </w:r>
      <w:r w:rsidRPr="009F64E9">
        <w:rPr>
          <w:noProof/>
        </w:rPr>
        <w:instrText xml:space="preserve"> PAGEREF _Toc188350654 \h </w:instrText>
      </w:r>
      <w:r w:rsidRPr="009F64E9">
        <w:rPr>
          <w:noProof/>
        </w:rPr>
      </w:r>
      <w:r w:rsidRPr="009F64E9">
        <w:rPr>
          <w:noProof/>
        </w:rPr>
        <w:fldChar w:fldCharType="separate"/>
      </w:r>
      <w:r w:rsidR="000E6B78">
        <w:rPr>
          <w:noProof/>
        </w:rPr>
        <w:t>108</w:t>
      </w:r>
      <w:r w:rsidRPr="009F64E9">
        <w:rPr>
          <w:noProof/>
        </w:rPr>
        <w:fldChar w:fldCharType="end"/>
      </w:r>
    </w:p>
    <w:p w14:paraId="2C92B504" w14:textId="3B38F66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 xml:space="preserve">Interest is in the growth phase and held as a result of employment in which the member is still engaged—meaning of </w:t>
      </w:r>
      <w:r w:rsidRPr="006558F0">
        <w:rPr>
          <w:i/>
          <w:noProof/>
        </w:rPr>
        <w:t>accrued benefit multiple</w:t>
      </w:r>
      <w:r w:rsidRPr="009F64E9">
        <w:rPr>
          <w:noProof/>
        </w:rPr>
        <w:tab/>
      </w:r>
      <w:r w:rsidRPr="009F64E9">
        <w:rPr>
          <w:noProof/>
        </w:rPr>
        <w:fldChar w:fldCharType="begin"/>
      </w:r>
      <w:r w:rsidRPr="009F64E9">
        <w:rPr>
          <w:noProof/>
        </w:rPr>
        <w:instrText xml:space="preserve"> PAGEREF _Toc188350655 \h </w:instrText>
      </w:r>
      <w:r w:rsidRPr="009F64E9">
        <w:rPr>
          <w:noProof/>
        </w:rPr>
      </w:r>
      <w:r w:rsidRPr="009F64E9">
        <w:rPr>
          <w:noProof/>
        </w:rPr>
        <w:fldChar w:fldCharType="separate"/>
      </w:r>
      <w:r w:rsidR="000E6B78">
        <w:rPr>
          <w:noProof/>
        </w:rPr>
        <w:t>110</w:t>
      </w:r>
      <w:r w:rsidRPr="009F64E9">
        <w:rPr>
          <w:noProof/>
        </w:rPr>
        <w:fldChar w:fldCharType="end"/>
      </w:r>
    </w:p>
    <w:p w14:paraId="13371AF8" w14:textId="41A97CB2"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C—Information about certain percentage</w:t>
      </w:r>
      <w:r>
        <w:rPr>
          <w:noProof/>
        </w:rPr>
        <w:noBreakHyphen/>
        <w:t>only interests</w:t>
      </w:r>
      <w:r w:rsidRPr="009F64E9">
        <w:rPr>
          <w:b w:val="0"/>
          <w:noProof/>
          <w:sz w:val="18"/>
        </w:rPr>
        <w:tab/>
      </w:r>
      <w:r w:rsidRPr="009F64E9">
        <w:rPr>
          <w:b w:val="0"/>
          <w:noProof/>
          <w:sz w:val="18"/>
        </w:rPr>
        <w:fldChar w:fldCharType="begin"/>
      </w:r>
      <w:r w:rsidRPr="009F64E9">
        <w:rPr>
          <w:b w:val="0"/>
          <w:noProof/>
          <w:sz w:val="18"/>
        </w:rPr>
        <w:instrText xml:space="preserve"> PAGEREF _Toc188350656 \h </w:instrText>
      </w:r>
      <w:r w:rsidRPr="009F64E9">
        <w:rPr>
          <w:b w:val="0"/>
          <w:noProof/>
          <w:sz w:val="18"/>
        </w:rPr>
      </w:r>
      <w:r w:rsidRPr="009F64E9">
        <w:rPr>
          <w:b w:val="0"/>
          <w:noProof/>
          <w:sz w:val="18"/>
        </w:rPr>
        <w:fldChar w:fldCharType="separate"/>
      </w:r>
      <w:r w:rsidR="000E6B78">
        <w:rPr>
          <w:b w:val="0"/>
          <w:noProof/>
          <w:sz w:val="18"/>
        </w:rPr>
        <w:t>111</w:t>
      </w:r>
      <w:r w:rsidRPr="009F64E9">
        <w:rPr>
          <w:b w:val="0"/>
          <w:noProof/>
          <w:sz w:val="18"/>
        </w:rPr>
        <w:fldChar w:fldCharType="end"/>
      </w:r>
    </w:p>
    <w:p w14:paraId="44125EA1" w14:textId="09B6284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Percentage</w:t>
      </w:r>
      <w:r>
        <w:rPr>
          <w:noProof/>
        </w:rPr>
        <w:noBreakHyphen/>
        <w:t>only interests to which this Subdivision applies</w:t>
      </w:r>
      <w:r w:rsidRPr="009F64E9">
        <w:rPr>
          <w:noProof/>
        </w:rPr>
        <w:tab/>
      </w:r>
      <w:r w:rsidRPr="009F64E9">
        <w:rPr>
          <w:noProof/>
        </w:rPr>
        <w:fldChar w:fldCharType="begin"/>
      </w:r>
      <w:r w:rsidRPr="009F64E9">
        <w:rPr>
          <w:noProof/>
        </w:rPr>
        <w:instrText xml:space="preserve"> PAGEREF _Toc188350657 \h </w:instrText>
      </w:r>
      <w:r w:rsidRPr="009F64E9">
        <w:rPr>
          <w:noProof/>
        </w:rPr>
      </w:r>
      <w:r w:rsidRPr="009F64E9">
        <w:rPr>
          <w:noProof/>
        </w:rPr>
        <w:fldChar w:fldCharType="separate"/>
      </w:r>
      <w:r w:rsidR="000E6B78">
        <w:rPr>
          <w:noProof/>
        </w:rPr>
        <w:t>111</w:t>
      </w:r>
      <w:r w:rsidRPr="009F64E9">
        <w:rPr>
          <w:noProof/>
        </w:rPr>
        <w:fldChar w:fldCharType="end"/>
      </w:r>
    </w:p>
    <w:p w14:paraId="0FC52BB8" w14:textId="46B0ED1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Information the trustee must provide—overview</w:t>
      </w:r>
      <w:r w:rsidRPr="009F64E9">
        <w:rPr>
          <w:noProof/>
        </w:rPr>
        <w:tab/>
      </w:r>
      <w:r w:rsidRPr="009F64E9">
        <w:rPr>
          <w:noProof/>
        </w:rPr>
        <w:fldChar w:fldCharType="begin"/>
      </w:r>
      <w:r w:rsidRPr="009F64E9">
        <w:rPr>
          <w:noProof/>
        </w:rPr>
        <w:instrText xml:space="preserve"> PAGEREF _Toc188350658 \h </w:instrText>
      </w:r>
      <w:r w:rsidRPr="009F64E9">
        <w:rPr>
          <w:noProof/>
        </w:rPr>
      </w:r>
      <w:r w:rsidRPr="009F64E9">
        <w:rPr>
          <w:noProof/>
        </w:rPr>
        <w:fldChar w:fldCharType="separate"/>
      </w:r>
      <w:r w:rsidR="000E6B78">
        <w:rPr>
          <w:noProof/>
        </w:rPr>
        <w:t>111</w:t>
      </w:r>
      <w:r w:rsidRPr="009F64E9">
        <w:rPr>
          <w:noProof/>
        </w:rPr>
        <w:fldChar w:fldCharType="end"/>
      </w:r>
    </w:p>
    <w:p w14:paraId="1A2AF488" w14:textId="58460C7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lastRenderedPageBreak/>
        <w:t>120</w:t>
      </w:r>
      <w:r>
        <w:rPr>
          <w:noProof/>
        </w:rPr>
        <w:tab/>
        <w:t>Specific information—the interest is in the payment phase and the member is receiving ongoing pension payments</w:t>
      </w:r>
      <w:r w:rsidRPr="009F64E9">
        <w:rPr>
          <w:noProof/>
        </w:rPr>
        <w:tab/>
      </w:r>
      <w:r w:rsidRPr="009F64E9">
        <w:rPr>
          <w:noProof/>
        </w:rPr>
        <w:fldChar w:fldCharType="begin"/>
      </w:r>
      <w:r w:rsidRPr="009F64E9">
        <w:rPr>
          <w:noProof/>
        </w:rPr>
        <w:instrText xml:space="preserve"> PAGEREF _Toc188350659 \h </w:instrText>
      </w:r>
      <w:r w:rsidRPr="009F64E9">
        <w:rPr>
          <w:noProof/>
        </w:rPr>
      </w:r>
      <w:r w:rsidRPr="009F64E9">
        <w:rPr>
          <w:noProof/>
        </w:rPr>
        <w:fldChar w:fldCharType="separate"/>
      </w:r>
      <w:r w:rsidR="000E6B78">
        <w:rPr>
          <w:noProof/>
        </w:rPr>
        <w:t>112</w:t>
      </w:r>
      <w:r w:rsidRPr="009F64E9">
        <w:rPr>
          <w:noProof/>
        </w:rPr>
        <w:fldChar w:fldCharType="end"/>
      </w:r>
    </w:p>
    <w:p w14:paraId="7CF3D234" w14:textId="5C523C1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Specific information—the interest is a superannuation annuity in the payment phase and the member is receiving ongoing benefits</w:t>
      </w:r>
      <w:r w:rsidRPr="009F64E9">
        <w:rPr>
          <w:noProof/>
        </w:rPr>
        <w:tab/>
      </w:r>
      <w:r w:rsidRPr="009F64E9">
        <w:rPr>
          <w:noProof/>
        </w:rPr>
        <w:fldChar w:fldCharType="begin"/>
      </w:r>
      <w:r w:rsidRPr="009F64E9">
        <w:rPr>
          <w:noProof/>
        </w:rPr>
        <w:instrText xml:space="preserve"> PAGEREF _Toc188350660 \h </w:instrText>
      </w:r>
      <w:r w:rsidRPr="009F64E9">
        <w:rPr>
          <w:noProof/>
        </w:rPr>
      </w:r>
      <w:r w:rsidRPr="009F64E9">
        <w:rPr>
          <w:noProof/>
        </w:rPr>
        <w:fldChar w:fldCharType="separate"/>
      </w:r>
      <w:r w:rsidR="000E6B78">
        <w:rPr>
          <w:noProof/>
        </w:rPr>
        <w:t>113</w:t>
      </w:r>
      <w:r w:rsidRPr="009F64E9">
        <w:rPr>
          <w:noProof/>
        </w:rPr>
        <w:fldChar w:fldCharType="end"/>
      </w:r>
    </w:p>
    <w:p w14:paraId="30D41C10" w14:textId="2FBD941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Specific information—the interest is in the growth phase and is not an interest in a deferred annuity</w:t>
      </w:r>
      <w:r w:rsidRPr="009F64E9">
        <w:rPr>
          <w:noProof/>
        </w:rPr>
        <w:tab/>
      </w:r>
      <w:r w:rsidRPr="009F64E9">
        <w:rPr>
          <w:noProof/>
        </w:rPr>
        <w:fldChar w:fldCharType="begin"/>
      </w:r>
      <w:r w:rsidRPr="009F64E9">
        <w:rPr>
          <w:noProof/>
        </w:rPr>
        <w:instrText xml:space="preserve"> PAGEREF _Toc188350661 \h </w:instrText>
      </w:r>
      <w:r w:rsidRPr="009F64E9">
        <w:rPr>
          <w:noProof/>
        </w:rPr>
      </w:r>
      <w:r w:rsidRPr="009F64E9">
        <w:rPr>
          <w:noProof/>
        </w:rPr>
        <w:fldChar w:fldCharType="separate"/>
      </w:r>
      <w:r w:rsidR="000E6B78">
        <w:rPr>
          <w:noProof/>
        </w:rPr>
        <w:t>114</w:t>
      </w:r>
      <w:r w:rsidRPr="009F64E9">
        <w:rPr>
          <w:noProof/>
        </w:rPr>
        <w:fldChar w:fldCharType="end"/>
      </w:r>
    </w:p>
    <w:p w14:paraId="54455F5D" w14:textId="3A22D74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Specific information—the interest is in a deferred annuity and is in the growth phase</w:t>
      </w:r>
      <w:r w:rsidRPr="009F64E9">
        <w:rPr>
          <w:noProof/>
        </w:rPr>
        <w:tab/>
      </w:r>
      <w:r w:rsidRPr="009F64E9">
        <w:rPr>
          <w:noProof/>
        </w:rPr>
        <w:fldChar w:fldCharType="begin"/>
      </w:r>
      <w:r w:rsidRPr="009F64E9">
        <w:rPr>
          <w:noProof/>
        </w:rPr>
        <w:instrText xml:space="preserve"> PAGEREF _Toc188350662 \h </w:instrText>
      </w:r>
      <w:r w:rsidRPr="009F64E9">
        <w:rPr>
          <w:noProof/>
        </w:rPr>
      </w:r>
      <w:r w:rsidRPr="009F64E9">
        <w:rPr>
          <w:noProof/>
        </w:rPr>
        <w:fldChar w:fldCharType="separate"/>
      </w:r>
      <w:r w:rsidR="000E6B78">
        <w:rPr>
          <w:noProof/>
        </w:rPr>
        <w:t>116</w:t>
      </w:r>
      <w:r w:rsidRPr="009F64E9">
        <w:rPr>
          <w:noProof/>
        </w:rPr>
        <w:fldChar w:fldCharType="end"/>
      </w:r>
    </w:p>
    <w:p w14:paraId="04684C8E" w14:textId="583A49F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Specific information—the interest is subject to a payment split or flag</w:t>
      </w:r>
      <w:r w:rsidRPr="009F64E9">
        <w:rPr>
          <w:noProof/>
        </w:rPr>
        <w:tab/>
      </w:r>
      <w:r w:rsidRPr="009F64E9">
        <w:rPr>
          <w:noProof/>
        </w:rPr>
        <w:fldChar w:fldCharType="begin"/>
      </w:r>
      <w:r w:rsidRPr="009F64E9">
        <w:rPr>
          <w:noProof/>
        </w:rPr>
        <w:instrText xml:space="preserve"> PAGEREF _Toc188350663 \h </w:instrText>
      </w:r>
      <w:r w:rsidRPr="009F64E9">
        <w:rPr>
          <w:noProof/>
        </w:rPr>
      </w:r>
      <w:r w:rsidRPr="009F64E9">
        <w:rPr>
          <w:noProof/>
        </w:rPr>
        <w:fldChar w:fldCharType="separate"/>
      </w:r>
      <w:r w:rsidR="000E6B78">
        <w:rPr>
          <w:noProof/>
        </w:rPr>
        <w:t>116</w:t>
      </w:r>
      <w:r w:rsidRPr="009F64E9">
        <w:rPr>
          <w:noProof/>
        </w:rPr>
        <w:fldChar w:fldCharType="end"/>
      </w:r>
    </w:p>
    <w:p w14:paraId="304D87ED" w14:textId="1F83EB1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Exceptions</w:t>
      </w:r>
      <w:r w:rsidRPr="009F64E9">
        <w:rPr>
          <w:noProof/>
        </w:rPr>
        <w:tab/>
      </w:r>
      <w:r w:rsidRPr="009F64E9">
        <w:rPr>
          <w:noProof/>
        </w:rPr>
        <w:fldChar w:fldCharType="begin"/>
      </w:r>
      <w:r w:rsidRPr="009F64E9">
        <w:rPr>
          <w:noProof/>
        </w:rPr>
        <w:instrText xml:space="preserve"> PAGEREF _Toc188350664 \h </w:instrText>
      </w:r>
      <w:r w:rsidRPr="009F64E9">
        <w:rPr>
          <w:noProof/>
        </w:rPr>
      </w:r>
      <w:r w:rsidRPr="009F64E9">
        <w:rPr>
          <w:noProof/>
        </w:rPr>
        <w:fldChar w:fldCharType="separate"/>
      </w:r>
      <w:r w:rsidR="000E6B78">
        <w:rPr>
          <w:noProof/>
        </w:rPr>
        <w:t>117</w:t>
      </w:r>
      <w:r w:rsidRPr="009F64E9">
        <w:rPr>
          <w:noProof/>
        </w:rPr>
        <w:fldChar w:fldCharType="end"/>
      </w:r>
    </w:p>
    <w:p w14:paraId="29646C9C" w14:textId="7DEE846E"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D—Information about certain innovative superannuation interests</w:t>
      </w:r>
      <w:r w:rsidRPr="009F64E9">
        <w:rPr>
          <w:b w:val="0"/>
          <w:noProof/>
          <w:sz w:val="18"/>
        </w:rPr>
        <w:tab/>
      </w:r>
      <w:r w:rsidRPr="009F64E9">
        <w:rPr>
          <w:b w:val="0"/>
          <w:noProof/>
          <w:sz w:val="18"/>
        </w:rPr>
        <w:fldChar w:fldCharType="begin"/>
      </w:r>
      <w:r w:rsidRPr="009F64E9">
        <w:rPr>
          <w:b w:val="0"/>
          <w:noProof/>
          <w:sz w:val="18"/>
        </w:rPr>
        <w:instrText xml:space="preserve"> PAGEREF _Toc188350665 \h </w:instrText>
      </w:r>
      <w:r w:rsidRPr="009F64E9">
        <w:rPr>
          <w:b w:val="0"/>
          <w:noProof/>
          <w:sz w:val="18"/>
        </w:rPr>
      </w:r>
      <w:r w:rsidRPr="009F64E9">
        <w:rPr>
          <w:b w:val="0"/>
          <w:noProof/>
          <w:sz w:val="18"/>
        </w:rPr>
        <w:fldChar w:fldCharType="separate"/>
      </w:r>
      <w:r w:rsidR="000E6B78">
        <w:rPr>
          <w:b w:val="0"/>
          <w:noProof/>
          <w:sz w:val="18"/>
        </w:rPr>
        <w:t>118</w:t>
      </w:r>
      <w:r w:rsidRPr="009F64E9">
        <w:rPr>
          <w:b w:val="0"/>
          <w:noProof/>
          <w:sz w:val="18"/>
        </w:rPr>
        <w:fldChar w:fldCharType="end"/>
      </w:r>
    </w:p>
    <w:p w14:paraId="0CA76A87" w14:textId="46DFA48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Innovative superannuation interests to which this Subdivision applies</w:t>
      </w:r>
      <w:r w:rsidRPr="009F64E9">
        <w:rPr>
          <w:noProof/>
        </w:rPr>
        <w:tab/>
      </w:r>
      <w:r w:rsidRPr="009F64E9">
        <w:rPr>
          <w:noProof/>
        </w:rPr>
        <w:fldChar w:fldCharType="begin"/>
      </w:r>
      <w:r w:rsidRPr="009F64E9">
        <w:rPr>
          <w:noProof/>
        </w:rPr>
        <w:instrText xml:space="preserve"> PAGEREF _Toc188350666 \h </w:instrText>
      </w:r>
      <w:r w:rsidRPr="009F64E9">
        <w:rPr>
          <w:noProof/>
        </w:rPr>
      </w:r>
      <w:r w:rsidRPr="009F64E9">
        <w:rPr>
          <w:noProof/>
        </w:rPr>
        <w:fldChar w:fldCharType="separate"/>
      </w:r>
      <w:r w:rsidR="000E6B78">
        <w:rPr>
          <w:noProof/>
        </w:rPr>
        <w:t>118</w:t>
      </w:r>
      <w:r w:rsidRPr="009F64E9">
        <w:rPr>
          <w:noProof/>
        </w:rPr>
        <w:fldChar w:fldCharType="end"/>
      </w:r>
    </w:p>
    <w:p w14:paraId="0DAE65F5" w14:textId="123AA16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Information the trustee must provide—overview</w:t>
      </w:r>
      <w:r w:rsidRPr="009F64E9">
        <w:rPr>
          <w:noProof/>
        </w:rPr>
        <w:tab/>
      </w:r>
      <w:r w:rsidRPr="009F64E9">
        <w:rPr>
          <w:noProof/>
        </w:rPr>
        <w:fldChar w:fldCharType="begin"/>
      </w:r>
      <w:r w:rsidRPr="009F64E9">
        <w:rPr>
          <w:noProof/>
        </w:rPr>
        <w:instrText xml:space="preserve"> PAGEREF _Toc188350667 \h </w:instrText>
      </w:r>
      <w:r w:rsidRPr="009F64E9">
        <w:rPr>
          <w:noProof/>
        </w:rPr>
      </w:r>
      <w:r w:rsidRPr="009F64E9">
        <w:rPr>
          <w:noProof/>
        </w:rPr>
        <w:fldChar w:fldCharType="separate"/>
      </w:r>
      <w:r w:rsidR="000E6B78">
        <w:rPr>
          <w:noProof/>
        </w:rPr>
        <w:t>118</w:t>
      </w:r>
      <w:r w:rsidRPr="009F64E9">
        <w:rPr>
          <w:noProof/>
        </w:rPr>
        <w:fldChar w:fldCharType="end"/>
      </w:r>
    </w:p>
    <w:p w14:paraId="768A2238" w14:textId="66DAEA4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Specific information—the interest is in the payment phase</w:t>
      </w:r>
      <w:r w:rsidRPr="009F64E9">
        <w:rPr>
          <w:noProof/>
        </w:rPr>
        <w:tab/>
      </w:r>
      <w:r w:rsidRPr="009F64E9">
        <w:rPr>
          <w:noProof/>
        </w:rPr>
        <w:fldChar w:fldCharType="begin"/>
      </w:r>
      <w:r w:rsidRPr="009F64E9">
        <w:rPr>
          <w:noProof/>
        </w:rPr>
        <w:instrText xml:space="preserve"> PAGEREF _Toc188350668 \h </w:instrText>
      </w:r>
      <w:r w:rsidRPr="009F64E9">
        <w:rPr>
          <w:noProof/>
        </w:rPr>
      </w:r>
      <w:r w:rsidRPr="009F64E9">
        <w:rPr>
          <w:noProof/>
        </w:rPr>
        <w:fldChar w:fldCharType="separate"/>
      </w:r>
      <w:r w:rsidR="000E6B78">
        <w:rPr>
          <w:noProof/>
        </w:rPr>
        <w:t>119</w:t>
      </w:r>
      <w:r w:rsidRPr="009F64E9">
        <w:rPr>
          <w:noProof/>
        </w:rPr>
        <w:fldChar w:fldCharType="end"/>
      </w:r>
    </w:p>
    <w:p w14:paraId="2C4FC3B8" w14:textId="700006D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Specific information—the interest is in the growth phase</w:t>
      </w:r>
      <w:r w:rsidRPr="009F64E9">
        <w:rPr>
          <w:noProof/>
        </w:rPr>
        <w:tab/>
      </w:r>
      <w:r w:rsidRPr="009F64E9">
        <w:rPr>
          <w:noProof/>
        </w:rPr>
        <w:fldChar w:fldCharType="begin"/>
      </w:r>
      <w:r w:rsidRPr="009F64E9">
        <w:rPr>
          <w:noProof/>
        </w:rPr>
        <w:instrText xml:space="preserve"> PAGEREF _Toc188350669 \h </w:instrText>
      </w:r>
      <w:r w:rsidRPr="009F64E9">
        <w:rPr>
          <w:noProof/>
        </w:rPr>
      </w:r>
      <w:r w:rsidRPr="009F64E9">
        <w:rPr>
          <w:noProof/>
        </w:rPr>
        <w:fldChar w:fldCharType="separate"/>
      </w:r>
      <w:r w:rsidR="000E6B78">
        <w:rPr>
          <w:noProof/>
        </w:rPr>
        <w:t>120</w:t>
      </w:r>
      <w:r w:rsidRPr="009F64E9">
        <w:rPr>
          <w:noProof/>
        </w:rPr>
        <w:fldChar w:fldCharType="end"/>
      </w:r>
    </w:p>
    <w:p w14:paraId="0B14299C" w14:textId="4810E0B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Specific information—the interest is subject to a payment split or flag</w:t>
      </w:r>
      <w:r w:rsidRPr="009F64E9">
        <w:rPr>
          <w:noProof/>
        </w:rPr>
        <w:tab/>
      </w:r>
      <w:r w:rsidRPr="009F64E9">
        <w:rPr>
          <w:noProof/>
        </w:rPr>
        <w:fldChar w:fldCharType="begin"/>
      </w:r>
      <w:r w:rsidRPr="009F64E9">
        <w:rPr>
          <w:noProof/>
        </w:rPr>
        <w:instrText xml:space="preserve"> PAGEREF _Toc188350670 \h </w:instrText>
      </w:r>
      <w:r w:rsidRPr="009F64E9">
        <w:rPr>
          <w:noProof/>
        </w:rPr>
      </w:r>
      <w:r w:rsidRPr="009F64E9">
        <w:rPr>
          <w:noProof/>
        </w:rPr>
        <w:fldChar w:fldCharType="separate"/>
      </w:r>
      <w:r w:rsidR="000E6B78">
        <w:rPr>
          <w:noProof/>
        </w:rPr>
        <w:t>121</w:t>
      </w:r>
      <w:r w:rsidRPr="009F64E9">
        <w:rPr>
          <w:noProof/>
        </w:rPr>
        <w:fldChar w:fldCharType="end"/>
      </w:r>
    </w:p>
    <w:p w14:paraId="1F8D0F41" w14:textId="3A913D7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Exceptions and other kinds of required information</w:t>
      </w:r>
      <w:r w:rsidRPr="009F64E9">
        <w:rPr>
          <w:noProof/>
        </w:rPr>
        <w:tab/>
      </w:r>
      <w:r w:rsidRPr="009F64E9">
        <w:rPr>
          <w:noProof/>
        </w:rPr>
        <w:fldChar w:fldCharType="begin"/>
      </w:r>
      <w:r w:rsidRPr="009F64E9">
        <w:rPr>
          <w:noProof/>
        </w:rPr>
        <w:instrText xml:space="preserve"> PAGEREF _Toc188350671 \h </w:instrText>
      </w:r>
      <w:r w:rsidRPr="009F64E9">
        <w:rPr>
          <w:noProof/>
        </w:rPr>
      </w:r>
      <w:r w:rsidRPr="009F64E9">
        <w:rPr>
          <w:noProof/>
        </w:rPr>
        <w:fldChar w:fldCharType="separate"/>
      </w:r>
      <w:r w:rsidR="000E6B78">
        <w:rPr>
          <w:noProof/>
        </w:rPr>
        <w:t>122</w:t>
      </w:r>
      <w:r w:rsidRPr="009F64E9">
        <w:rPr>
          <w:noProof/>
        </w:rPr>
        <w:fldChar w:fldCharType="end"/>
      </w:r>
    </w:p>
    <w:p w14:paraId="018EF254" w14:textId="549BC3B4"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E—Information about interests in self managed superannuation funds</w:t>
      </w:r>
      <w:r w:rsidRPr="009F64E9">
        <w:rPr>
          <w:b w:val="0"/>
          <w:noProof/>
          <w:sz w:val="18"/>
        </w:rPr>
        <w:tab/>
      </w:r>
      <w:r w:rsidRPr="009F64E9">
        <w:rPr>
          <w:b w:val="0"/>
          <w:noProof/>
          <w:sz w:val="18"/>
        </w:rPr>
        <w:fldChar w:fldCharType="begin"/>
      </w:r>
      <w:r w:rsidRPr="009F64E9">
        <w:rPr>
          <w:b w:val="0"/>
          <w:noProof/>
          <w:sz w:val="18"/>
        </w:rPr>
        <w:instrText xml:space="preserve"> PAGEREF _Toc188350672 \h </w:instrText>
      </w:r>
      <w:r w:rsidRPr="009F64E9">
        <w:rPr>
          <w:b w:val="0"/>
          <w:noProof/>
          <w:sz w:val="18"/>
        </w:rPr>
      </w:r>
      <w:r w:rsidRPr="009F64E9">
        <w:rPr>
          <w:b w:val="0"/>
          <w:noProof/>
          <w:sz w:val="18"/>
        </w:rPr>
        <w:fldChar w:fldCharType="separate"/>
      </w:r>
      <w:r w:rsidR="000E6B78">
        <w:rPr>
          <w:b w:val="0"/>
          <w:noProof/>
          <w:sz w:val="18"/>
        </w:rPr>
        <w:t>123</w:t>
      </w:r>
      <w:r w:rsidRPr="009F64E9">
        <w:rPr>
          <w:b w:val="0"/>
          <w:noProof/>
          <w:sz w:val="18"/>
        </w:rPr>
        <w:fldChar w:fldCharType="end"/>
      </w:r>
    </w:p>
    <w:p w14:paraId="63F33F74" w14:textId="4C16EB9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Interests in self managed superannuation funds to which this Subdivision applies</w:t>
      </w:r>
      <w:r w:rsidRPr="009F64E9">
        <w:rPr>
          <w:noProof/>
        </w:rPr>
        <w:tab/>
      </w:r>
      <w:r w:rsidRPr="009F64E9">
        <w:rPr>
          <w:noProof/>
        </w:rPr>
        <w:fldChar w:fldCharType="begin"/>
      </w:r>
      <w:r w:rsidRPr="009F64E9">
        <w:rPr>
          <w:noProof/>
        </w:rPr>
        <w:instrText xml:space="preserve"> PAGEREF _Toc188350673 \h </w:instrText>
      </w:r>
      <w:r w:rsidRPr="009F64E9">
        <w:rPr>
          <w:noProof/>
        </w:rPr>
      </w:r>
      <w:r w:rsidRPr="009F64E9">
        <w:rPr>
          <w:noProof/>
        </w:rPr>
        <w:fldChar w:fldCharType="separate"/>
      </w:r>
      <w:r w:rsidR="000E6B78">
        <w:rPr>
          <w:noProof/>
        </w:rPr>
        <w:t>123</w:t>
      </w:r>
      <w:r w:rsidRPr="009F64E9">
        <w:rPr>
          <w:noProof/>
        </w:rPr>
        <w:fldChar w:fldCharType="end"/>
      </w:r>
    </w:p>
    <w:p w14:paraId="05D6352A" w14:textId="6A0F25A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Information the trustee must provide—overview</w:t>
      </w:r>
      <w:r w:rsidRPr="009F64E9">
        <w:rPr>
          <w:noProof/>
        </w:rPr>
        <w:tab/>
      </w:r>
      <w:r w:rsidRPr="009F64E9">
        <w:rPr>
          <w:noProof/>
        </w:rPr>
        <w:fldChar w:fldCharType="begin"/>
      </w:r>
      <w:r w:rsidRPr="009F64E9">
        <w:rPr>
          <w:noProof/>
        </w:rPr>
        <w:instrText xml:space="preserve"> PAGEREF _Toc188350674 \h </w:instrText>
      </w:r>
      <w:r w:rsidRPr="009F64E9">
        <w:rPr>
          <w:noProof/>
        </w:rPr>
      </w:r>
      <w:r w:rsidRPr="009F64E9">
        <w:rPr>
          <w:noProof/>
        </w:rPr>
        <w:fldChar w:fldCharType="separate"/>
      </w:r>
      <w:r w:rsidR="000E6B78">
        <w:rPr>
          <w:noProof/>
        </w:rPr>
        <w:t>123</w:t>
      </w:r>
      <w:r w:rsidRPr="009F64E9">
        <w:rPr>
          <w:noProof/>
        </w:rPr>
        <w:fldChar w:fldCharType="end"/>
      </w:r>
    </w:p>
    <w:p w14:paraId="05C23A0B" w14:textId="5319766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Specific information—the interest is in the payment phase and the member is receiving ongoing pension payments</w:t>
      </w:r>
      <w:r w:rsidRPr="009F64E9">
        <w:rPr>
          <w:noProof/>
        </w:rPr>
        <w:tab/>
      </w:r>
      <w:r w:rsidRPr="009F64E9">
        <w:rPr>
          <w:noProof/>
        </w:rPr>
        <w:fldChar w:fldCharType="begin"/>
      </w:r>
      <w:r w:rsidRPr="009F64E9">
        <w:rPr>
          <w:noProof/>
        </w:rPr>
        <w:instrText xml:space="preserve"> PAGEREF _Toc188350675 \h </w:instrText>
      </w:r>
      <w:r w:rsidRPr="009F64E9">
        <w:rPr>
          <w:noProof/>
        </w:rPr>
      </w:r>
      <w:r w:rsidRPr="009F64E9">
        <w:rPr>
          <w:noProof/>
        </w:rPr>
        <w:fldChar w:fldCharType="separate"/>
      </w:r>
      <w:r w:rsidR="000E6B78">
        <w:rPr>
          <w:noProof/>
        </w:rPr>
        <w:t>124</w:t>
      </w:r>
      <w:r w:rsidRPr="009F64E9">
        <w:rPr>
          <w:noProof/>
        </w:rPr>
        <w:fldChar w:fldCharType="end"/>
      </w:r>
    </w:p>
    <w:p w14:paraId="07396ACD" w14:textId="40EF2B5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Specific information—the interest is subject to a payment split or flag</w:t>
      </w:r>
      <w:r w:rsidRPr="009F64E9">
        <w:rPr>
          <w:noProof/>
        </w:rPr>
        <w:tab/>
      </w:r>
      <w:r w:rsidRPr="009F64E9">
        <w:rPr>
          <w:noProof/>
        </w:rPr>
        <w:fldChar w:fldCharType="begin"/>
      </w:r>
      <w:r w:rsidRPr="009F64E9">
        <w:rPr>
          <w:noProof/>
        </w:rPr>
        <w:instrText xml:space="preserve"> PAGEREF _Toc188350676 \h </w:instrText>
      </w:r>
      <w:r w:rsidRPr="009F64E9">
        <w:rPr>
          <w:noProof/>
        </w:rPr>
      </w:r>
      <w:r w:rsidRPr="009F64E9">
        <w:rPr>
          <w:noProof/>
        </w:rPr>
        <w:fldChar w:fldCharType="separate"/>
      </w:r>
      <w:r w:rsidR="000E6B78">
        <w:rPr>
          <w:noProof/>
        </w:rPr>
        <w:t>124</w:t>
      </w:r>
      <w:r w:rsidRPr="009F64E9">
        <w:rPr>
          <w:noProof/>
        </w:rPr>
        <w:fldChar w:fldCharType="end"/>
      </w:r>
    </w:p>
    <w:p w14:paraId="40C2F3CB" w14:textId="1570A36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Exceptions</w:t>
      </w:r>
      <w:r w:rsidRPr="009F64E9">
        <w:rPr>
          <w:noProof/>
        </w:rPr>
        <w:tab/>
      </w:r>
      <w:r w:rsidRPr="009F64E9">
        <w:rPr>
          <w:noProof/>
        </w:rPr>
        <w:fldChar w:fldCharType="begin"/>
      </w:r>
      <w:r w:rsidRPr="009F64E9">
        <w:rPr>
          <w:noProof/>
        </w:rPr>
        <w:instrText xml:space="preserve"> PAGEREF _Toc188350677 \h </w:instrText>
      </w:r>
      <w:r w:rsidRPr="009F64E9">
        <w:rPr>
          <w:noProof/>
        </w:rPr>
      </w:r>
      <w:r w:rsidRPr="009F64E9">
        <w:rPr>
          <w:noProof/>
        </w:rPr>
        <w:fldChar w:fldCharType="separate"/>
      </w:r>
      <w:r w:rsidR="000E6B78">
        <w:rPr>
          <w:noProof/>
        </w:rPr>
        <w:t>125</w:t>
      </w:r>
      <w:r w:rsidRPr="009F64E9">
        <w:rPr>
          <w:noProof/>
        </w:rPr>
        <w:fldChar w:fldCharType="end"/>
      </w:r>
    </w:p>
    <w:p w14:paraId="120F8ADD" w14:textId="6924728F"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F—Information about small superannuation accounts interests</w:t>
      </w:r>
      <w:r w:rsidRPr="009F64E9">
        <w:rPr>
          <w:b w:val="0"/>
          <w:noProof/>
          <w:sz w:val="18"/>
        </w:rPr>
        <w:tab/>
      </w:r>
      <w:r w:rsidRPr="009F64E9">
        <w:rPr>
          <w:b w:val="0"/>
          <w:noProof/>
          <w:sz w:val="18"/>
        </w:rPr>
        <w:fldChar w:fldCharType="begin"/>
      </w:r>
      <w:r w:rsidRPr="009F64E9">
        <w:rPr>
          <w:b w:val="0"/>
          <w:noProof/>
          <w:sz w:val="18"/>
        </w:rPr>
        <w:instrText xml:space="preserve"> PAGEREF _Toc188350678 \h </w:instrText>
      </w:r>
      <w:r w:rsidRPr="009F64E9">
        <w:rPr>
          <w:b w:val="0"/>
          <w:noProof/>
          <w:sz w:val="18"/>
        </w:rPr>
      </w:r>
      <w:r w:rsidRPr="009F64E9">
        <w:rPr>
          <w:b w:val="0"/>
          <w:noProof/>
          <w:sz w:val="18"/>
        </w:rPr>
        <w:fldChar w:fldCharType="separate"/>
      </w:r>
      <w:r w:rsidR="000E6B78">
        <w:rPr>
          <w:b w:val="0"/>
          <w:noProof/>
          <w:sz w:val="18"/>
        </w:rPr>
        <w:t>125</w:t>
      </w:r>
      <w:r w:rsidRPr="009F64E9">
        <w:rPr>
          <w:b w:val="0"/>
          <w:noProof/>
          <w:sz w:val="18"/>
        </w:rPr>
        <w:fldChar w:fldCharType="end"/>
      </w:r>
    </w:p>
    <w:p w14:paraId="794F0B23" w14:textId="12AB102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Interests in small superannuation accounts to which this Subdivision applies</w:t>
      </w:r>
      <w:r w:rsidRPr="009F64E9">
        <w:rPr>
          <w:noProof/>
        </w:rPr>
        <w:tab/>
      </w:r>
      <w:r w:rsidRPr="009F64E9">
        <w:rPr>
          <w:noProof/>
        </w:rPr>
        <w:fldChar w:fldCharType="begin"/>
      </w:r>
      <w:r w:rsidRPr="009F64E9">
        <w:rPr>
          <w:noProof/>
        </w:rPr>
        <w:instrText xml:space="preserve"> PAGEREF _Toc188350679 \h </w:instrText>
      </w:r>
      <w:r w:rsidRPr="009F64E9">
        <w:rPr>
          <w:noProof/>
        </w:rPr>
      </w:r>
      <w:r w:rsidRPr="009F64E9">
        <w:rPr>
          <w:noProof/>
        </w:rPr>
        <w:fldChar w:fldCharType="separate"/>
      </w:r>
      <w:r w:rsidR="000E6B78">
        <w:rPr>
          <w:noProof/>
        </w:rPr>
        <w:t>125</w:t>
      </w:r>
      <w:r w:rsidRPr="009F64E9">
        <w:rPr>
          <w:noProof/>
        </w:rPr>
        <w:fldChar w:fldCharType="end"/>
      </w:r>
    </w:p>
    <w:p w14:paraId="686B2929" w14:textId="05F3C3C6"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G—Information about certain interests for which an agreement or splitting order applies</w:t>
      </w:r>
      <w:r w:rsidRPr="009F64E9">
        <w:rPr>
          <w:b w:val="0"/>
          <w:noProof/>
          <w:sz w:val="18"/>
        </w:rPr>
        <w:tab/>
      </w:r>
      <w:r w:rsidRPr="009F64E9">
        <w:rPr>
          <w:b w:val="0"/>
          <w:noProof/>
          <w:sz w:val="18"/>
        </w:rPr>
        <w:fldChar w:fldCharType="begin"/>
      </w:r>
      <w:r w:rsidRPr="009F64E9">
        <w:rPr>
          <w:b w:val="0"/>
          <w:noProof/>
          <w:sz w:val="18"/>
        </w:rPr>
        <w:instrText xml:space="preserve"> PAGEREF _Toc188350680 \h </w:instrText>
      </w:r>
      <w:r w:rsidRPr="009F64E9">
        <w:rPr>
          <w:b w:val="0"/>
          <w:noProof/>
          <w:sz w:val="18"/>
        </w:rPr>
      </w:r>
      <w:r w:rsidRPr="009F64E9">
        <w:rPr>
          <w:b w:val="0"/>
          <w:noProof/>
          <w:sz w:val="18"/>
        </w:rPr>
        <w:fldChar w:fldCharType="separate"/>
      </w:r>
      <w:r w:rsidR="000E6B78">
        <w:rPr>
          <w:b w:val="0"/>
          <w:noProof/>
          <w:sz w:val="18"/>
        </w:rPr>
        <w:t>125</w:t>
      </w:r>
      <w:r w:rsidRPr="009F64E9">
        <w:rPr>
          <w:b w:val="0"/>
          <w:noProof/>
          <w:sz w:val="18"/>
        </w:rPr>
        <w:fldChar w:fldCharType="end"/>
      </w:r>
    </w:p>
    <w:p w14:paraId="7216F603" w14:textId="66D0249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Interests to which this Subdivision applies</w:t>
      </w:r>
      <w:r w:rsidRPr="009F64E9">
        <w:rPr>
          <w:noProof/>
        </w:rPr>
        <w:tab/>
      </w:r>
      <w:r w:rsidRPr="009F64E9">
        <w:rPr>
          <w:noProof/>
        </w:rPr>
        <w:fldChar w:fldCharType="begin"/>
      </w:r>
      <w:r w:rsidRPr="009F64E9">
        <w:rPr>
          <w:noProof/>
        </w:rPr>
        <w:instrText xml:space="preserve"> PAGEREF _Toc188350681 \h </w:instrText>
      </w:r>
      <w:r w:rsidRPr="009F64E9">
        <w:rPr>
          <w:noProof/>
        </w:rPr>
      </w:r>
      <w:r w:rsidRPr="009F64E9">
        <w:rPr>
          <w:noProof/>
        </w:rPr>
        <w:fldChar w:fldCharType="separate"/>
      </w:r>
      <w:r w:rsidR="000E6B78">
        <w:rPr>
          <w:noProof/>
        </w:rPr>
        <w:t>125</w:t>
      </w:r>
      <w:r w:rsidRPr="009F64E9">
        <w:rPr>
          <w:noProof/>
        </w:rPr>
        <w:fldChar w:fldCharType="end"/>
      </w:r>
    </w:p>
    <w:p w14:paraId="75E8D569" w14:textId="10711F2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Information the trustee must provide</w:t>
      </w:r>
      <w:r w:rsidRPr="009F64E9">
        <w:rPr>
          <w:noProof/>
        </w:rPr>
        <w:tab/>
      </w:r>
      <w:r w:rsidRPr="009F64E9">
        <w:rPr>
          <w:noProof/>
        </w:rPr>
        <w:fldChar w:fldCharType="begin"/>
      </w:r>
      <w:r w:rsidRPr="009F64E9">
        <w:rPr>
          <w:noProof/>
        </w:rPr>
        <w:instrText xml:space="preserve"> PAGEREF _Toc188350682 \h </w:instrText>
      </w:r>
      <w:r w:rsidRPr="009F64E9">
        <w:rPr>
          <w:noProof/>
        </w:rPr>
      </w:r>
      <w:r w:rsidRPr="009F64E9">
        <w:rPr>
          <w:noProof/>
        </w:rPr>
        <w:fldChar w:fldCharType="separate"/>
      </w:r>
      <w:r w:rsidR="000E6B78">
        <w:rPr>
          <w:noProof/>
        </w:rPr>
        <w:t>126</w:t>
      </w:r>
      <w:r w:rsidRPr="009F64E9">
        <w:rPr>
          <w:noProof/>
        </w:rPr>
        <w:fldChar w:fldCharType="end"/>
      </w:r>
    </w:p>
    <w:p w14:paraId="005014F6" w14:textId="2A0B1586"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H—How and when trustee must provide information</w:t>
      </w:r>
      <w:r w:rsidRPr="009F64E9">
        <w:rPr>
          <w:b w:val="0"/>
          <w:noProof/>
          <w:sz w:val="18"/>
        </w:rPr>
        <w:tab/>
      </w:r>
      <w:r w:rsidRPr="009F64E9">
        <w:rPr>
          <w:b w:val="0"/>
          <w:noProof/>
          <w:sz w:val="18"/>
        </w:rPr>
        <w:fldChar w:fldCharType="begin"/>
      </w:r>
      <w:r w:rsidRPr="009F64E9">
        <w:rPr>
          <w:b w:val="0"/>
          <w:noProof/>
          <w:sz w:val="18"/>
        </w:rPr>
        <w:instrText xml:space="preserve"> PAGEREF _Toc188350683 \h </w:instrText>
      </w:r>
      <w:r w:rsidRPr="009F64E9">
        <w:rPr>
          <w:b w:val="0"/>
          <w:noProof/>
          <w:sz w:val="18"/>
        </w:rPr>
      </w:r>
      <w:r w:rsidRPr="009F64E9">
        <w:rPr>
          <w:b w:val="0"/>
          <w:noProof/>
          <w:sz w:val="18"/>
        </w:rPr>
        <w:fldChar w:fldCharType="separate"/>
      </w:r>
      <w:r w:rsidR="000E6B78">
        <w:rPr>
          <w:b w:val="0"/>
          <w:noProof/>
          <w:sz w:val="18"/>
        </w:rPr>
        <w:t>126</w:t>
      </w:r>
      <w:r w:rsidRPr="009F64E9">
        <w:rPr>
          <w:b w:val="0"/>
          <w:noProof/>
          <w:sz w:val="18"/>
        </w:rPr>
        <w:fldChar w:fldCharType="end"/>
      </w:r>
    </w:p>
    <w:p w14:paraId="1B40BF91" w14:textId="333E4E6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How and when trustee must provide information</w:t>
      </w:r>
      <w:r w:rsidRPr="009F64E9">
        <w:rPr>
          <w:noProof/>
        </w:rPr>
        <w:tab/>
      </w:r>
      <w:r w:rsidRPr="009F64E9">
        <w:rPr>
          <w:noProof/>
        </w:rPr>
        <w:fldChar w:fldCharType="begin"/>
      </w:r>
      <w:r w:rsidRPr="009F64E9">
        <w:rPr>
          <w:noProof/>
        </w:rPr>
        <w:instrText xml:space="preserve"> PAGEREF _Toc188350684 \h </w:instrText>
      </w:r>
      <w:r w:rsidRPr="009F64E9">
        <w:rPr>
          <w:noProof/>
        </w:rPr>
      </w:r>
      <w:r w:rsidRPr="009F64E9">
        <w:rPr>
          <w:noProof/>
        </w:rPr>
        <w:fldChar w:fldCharType="separate"/>
      </w:r>
      <w:r w:rsidR="000E6B78">
        <w:rPr>
          <w:noProof/>
        </w:rPr>
        <w:t>126</w:t>
      </w:r>
      <w:r w:rsidRPr="009F64E9">
        <w:rPr>
          <w:noProof/>
        </w:rPr>
        <w:fldChar w:fldCharType="end"/>
      </w:r>
    </w:p>
    <w:p w14:paraId="1E01D8DF" w14:textId="19158637"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I—Certain secondary government trustees not required to provide information</w:t>
      </w:r>
      <w:r w:rsidRPr="009F64E9">
        <w:rPr>
          <w:b w:val="0"/>
          <w:noProof/>
          <w:sz w:val="18"/>
        </w:rPr>
        <w:tab/>
      </w:r>
      <w:r w:rsidRPr="009F64E9">
        <w:rPr>
          <w:b w:val="0"/>
          <w:noProof/>
          <w:sz w:val="18"/>
        </w:rPr>
        <w:fldChar w:fldCharType="begin"/>
      </w:r>
      <w:r w:rsidRPr="009F64E9">
        <w:rPr>
          <w:b w:val="0"/>
          <w:noProof/>
          <w:sz w:val="18"/>
        </w:rPr>
        <w:instrText xml:space="preserve"> PAGEREF _Toc188350685 \h </w:instrText>
      </w:r>
      <w:r w:rsidRPr="009F64E9">
        <w:rPr>
          <w:b w:val="0"/>
          <w:noProof/>
          <w:sz w:val="18"/>
        </w:rPr>
      </w:r>
      <w:r w:rsidRPr="009F64E9">
        <w:rPr>
          <w:b w:val="0"/>
          <w:noProof/>
          <w:sz w:val="18"/>
        </w:rPr>
        <w:fldChar w:fldCharType="separate"/>
      </w:r>
      <w:r w:rsidR="000E6B78">
        <w:rPr>
          <w:b w:val="0"/>
          <w:noProof/>
          <w:sz w:val="18"/>
        </w:rPr>
        <w:t>127</w:t>
      </w:r>
      <w:r w:rsidRPr="009F64E9">
        <w:rPr>
          <w:b w:val="0"/>
          <w:noProof/>
          <w:sz w:val="18"/>
        </w:rPr>
        <w:fldChar w:fldCharType="end"/>
      </w:r>
    </w:p>
    <w:p w14:paraId="47E9B7E8" w14:textId="1DDE16F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Certain secondary government trustees not required to provide information</w:t>
      </w:r>
      <w:r w:rsidRPr="009F64E9">
        <w:rPr>
          <w:noProof/>
        </w:rPr>
        <w:tab/>
      </w:r>
      <w:r w:rsidRPr="009F64E9">
        <w:rPr>
          <w:noProof/>
        </w:rPr>
        <w:fldChar w:fldCharType="begin"/>
      </w:r>
      <w:r w:rsidRPr="009F64E9">
        <w:rPr>
          <w:noProof/>
        </w:rPr>
        <w:instrText xml:space="preserve"> PAGEREF _Toc188350686 \h </w:instrText>
      </w:r>
      <w:r w:rsidRPr="009F64E9">
        <w:rPr>
          <w:noProof/>
        </w:rPr>
      </w:r>
      <w:r w:rsidRPr="009F64E9">
        <w:rPr>
          <w:noProof/>
        </w:rPr>
        <w:fldChar w:fldCharType="separate"/>
      </w:r>
      <w:r w:rsidR="000E6B78">
        <w:rPr>
          <w:noProof/>
        </w:rPr>
        <w:t>127</w:t>
      </w:r>
      <w:r w:rsidRPr="009F64E9">
        <w:rPr>
          <w:noProof/>
        </w:rPr>
        <w:fldChar w:fldCharType="end"/>
      </w:r>
    </w:p>
    <w:p w14:paraId="6C411166" w14:textId="3B73CA9E"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J—Information provided by trustee to non</w:t>
      </w:r>
      <w:r>
        <w:rPr>
          <w:noProof/>
        </w:rPr>
        <w:noBreakHyphen/>
        <w:t>member spouse</w:t>
      </w:r>
      <w:r w:rsidRPr="009F64E9">
        <w:rPr>
          <w:b w:val="0"/>
          <w:noProof/>
          <w:sz w:val="18"/>
        </w:rPr>
        <w:tab/>
      </w:r>
      <w:r w:rsidRPr="009F64E9">
        <w:rPr>
          <w:b w:val="0"/>
          <w:noProof/>
          <w:sz w:val="18"/>
        </w:rPr>
        <w:fldChar w:fldCharType="begin"/>
      </w:r>
      <w:r w:rsidRPr="009F64E9">
        <w:rPr>
          <w:b w:val="0"/>
          <w:noProof/>
          <w:sz w:val="18"/>
        </w:rPr>
        <w:instrText xml:space="preserve"> PAGEREF _Toc188350687 \h </w:instrText>
      </w:r>
      <w:r w:rsidRPr="009F64E9">
        <w:rPr>
          <w:b w:val="0"/>
          <w:noProof/>
          <w:sz w:val="18"/>
        </w:rPr>
      </w:r>
      <w:r w:rsidRPr="009F64E9">
        <w:rPr>
          <w:b w:val="0"/>
          <w:noProof/>
          <w:sz w:val="18"/>
        </w:rPr>
        <w:fldChar w:fldCharType="separate"/>
      </w:r>
      <w:r w:rsidR="000E6B78">
        <w:rPr>
          <w:b w:val="0"/>
          <w:noProof/>
          <w:sz w:val="18"/>
        </w:rPr>
        <w:t>127</w:t>
      </w:r>
      <w:r w:rsidRPr="009F64E9">
        <w:rPr>
          <w:b w:val="0"/>
          <w:noProof/>
          <w:sz w:val="18"/>
        </w:rPr>
        <w:fldChar w:fldCharType="end"/>
      </w:r>
    </w:p>
    <w:p w14:paraId="17457942" w14:textId="44BE0BD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Information to be provided to the non</w:t>
      </w:r>
      <w:r>
        <w:rPr>
          <w:noProof/>
        </w:rPr>
        <w:noBreakHyphen/>
        <w:t>member spouse by the trustee after service of agreement or order</w:t>
      </w:r>
      <w:r w:rsidRPr="009F64E9">
        <w:rPr>
          <w:noProof/>
        </w:rPr>
        <w:tab/>
      </w:r>
      <w:r w:rsidRPr="009F64E9">
        <w:rPr>
          <w:noProof/>
        </w:rPr>
        <w:fldChar w:fldCharType="begin"/>
      </w:r>
      <w:r w:rsidRPr="009F64E9">
        <w:rPr>
          <w:noProof/>
        </w:rPr>
        <w:instrText xml:space="preserve"> PAGEREF _Toc188350688 \h </w:instrText>
      </w:r>
      <w:r w:rsidRPr="009F64E9">
        <w:rPr>
          <w:noProof/>
        </w:rPr>
      </w:r>
      <w:r w:rsidRPr="009F64E9">
        <w:rPr>
          <w:noProof/>
        </w:rPr>
        <w:fldChar w:fldCharType="separate"/>
      </w:r>
      <w:r w:rsidR="000E6B78">
        <w:rPr>
          <w:noProof/>
        </w:rPr>
        <w:t>127</w:t>
      </w:r>
      <w:r w:rsidRPr="009F64E9">
        <w:rPr>
          <w:noProof/>
        </w:rPr>
        <w:fldChar w:fldCharType="end"/>
      </w:r>
    </w:p>
    <w:p w14:paraId="5F498E8C" w14:textId="1934C95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Information to be provided to non</w:t>
      </w:r>
      <w:r>
        <w:rPr>
          <w:noProof/>
        </w:rPr>
        <w:noBreakHyphen/>
        <w:t>member spouse by the trustee at end of each financial year</w:t>
      </w:r>
      <w:r w:rsidRPr="009F64E9">
        <w:rPr>
          <w:noProof/>
        </w:rPr>
        <w:tab/>
      </w:r>
      <w:r w:rsidRPr="009F64E9">
        <w:rPr>
          <w:noProof/>
        </w:rPr>
        <w:fldChar w:fldCharType="begin"/>
      </w:r>
      <w:r w:rsidRPr="009F64E9">
        <w:rPr>
          <w:noProof/>
        </w:rPr>
        <w:instrText xml:space="preserve"> PAGEREF _Toc188350689 \h </w:instrText>
      </w:r>
      <w:r w:rsidRPr="009F64E9">
        <w:rPr>
          <w:noProof/>
        </w:rPr>
      </w:r>
      <w:r w:rsidRPr="009F64E9">
        <w:rPr>
          <w:noProof/>
        </w:rPr>
        <w:fldChar w:fldCharType="separate"/>
      </w:r>
      <w:r w:rsidR="000E6B78">
        <w:rPr>
          <w:noProof/>
        </w:rPr>
        <w:t>128</w:t>
      </w:r>
      <w:r w:rsidRPr="009F64E9">
        <w:rPr>
          <w:noProof/>
        </w:rPr>
        <w:fldChar w:fldCharType="end"/>
      </w:r>
    </w:p>
    <w:p w14:paraId="23EE8C32" w14:textId="5CB8FF9F" w:rsidR="009F64E9" w:rsidRDefault="009F64E9">
      <w:pPr>
        <w:pStyle w:val="TOC4"/>
        <w:rPr>
          <w:rFonts w:asciiTheme="minorHAnsi" w:eastAsiaTheme="minorEastAsia" w:hAnsiTheme="minorHAnsi" w:cstheme="minorBidi"/>
          <w:b w:val="0"/>
          <w:noProof/>
          <w:kern w:val="2"/>
          <w:sz w:val="24"/>
          <w:szCs w:val="24"/>
          <w14:ligatures w14:val="standardContextual"/>
        </w:rPr>
      </w:pPr>
      <w:r>
        <w:rPr>
          <w:noProof/>
        </w:rPr>
        <w:t>Subdivision K—Information provided by non</w:t>
      </w:r>
      <w:r>
        <w:rPr>
          <w:noProof/>
        </w:rPr>
        <w:noBreakHyphen/>
        <w:t>member spouse to trustee</w:t>
      </w:r>
      <w:r w:rsidRPr="009F64E9">
        <w:rPr>
          <w:b w:val="0"/>
          <w:noProof/>
          <w:sz w:val="18"/>
        </w:rPr>
        <w:tab/>
      </w:r>
      <w:r w:rsidRPr="009F64E9">
        <w:rPr>
          <w:b w:val="0"/>
          <w:noProof/>
          <w:sz w:val="18"/>
        </w:rPr>
        <w:fldChar w:fldCharType="begin"/>
      </w:r>
      <w:r w:rsidRPr="009F64E9">
        <w:rPr>
          <w:b w:val="0"/>
          <w:noProof/>
          <w:sz w:val="18"/>
        </w:rPr>
        <w:instrText xml:space="preserve"> PAGEREF _Toc188350690 \h </w:instrText>
      </w:r>
      <w:r w:rsidRPr="009F64E9">
        <w:rPr>
          <w:b w:val="0"/>
          <w:noProof/>
          <w:sz w:val="18"/>
        </w:rPr>
      </w:r>
      <w:r w:rsidRPr="009F64E9">
        <w:rPr>
          <w:b w:val="0"/>
          <w:noProof/>
          <w:sz w:val="18"/>
        </w:rPr>
        <w:fldChar w:fldCharType="separate"/>
      </w:r>
      <w:r w:rsidR="000E6B78">
        <w:rPr>
          <w:b w:val="0"/>
          <w:noProof/>
          <w:sz w:val="18"/>
        </w:rPr>
        <w:t>128</w:t>
      </w:r>
      <w:r w:rsidRPr="009F64E9">
        <w:rPr>
          <w:b w:val="0"/>
          <w:noProof/>
          <w:sz w:val="18"/>
        </w:rPr>
        <w:fldChar w:fldCharType="end"/>
      </w:r>
    </w:p>
    <w:p w14:paraId="11850CE5" w14:textId="10877D7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Notice to trustee by or for non</w:t>
      </w:r>
      <w:r>
        <w:rPr>
          <w:noProof/>
        </w:rPr>
        <w:noBreakHyphen/>
        <w:t>member spouse</w:t>
      </w:r>
      <w:r w:rsidRPr="009F64E9">
        <w:rPr>
          <w:noProof/>
        </w:rPr>
        <w:tab/>
      </w:r>
      <w:r w:rsidRPr="009F64E9">
        <w:rPr>
          <w:noProof/>
        </w:rPr>
        <w:fldChar w:fldCharType="begin"/>
      </w:r>
      <w:r w:rsidRPr="009F64E9">
        <w:rPr>
          <w:noProof/>
        </w:rPr>
        <w:instrText xml:space="preserve"> PAGEREF _Toc188350691 \h </w:instrText>
      </w:r>
      <w:r w:rsidRPr="009F64E9">
        <w:rPr>
          <w:noProof/>
        </w:rPr>
      </w:r>
      <w:r w:rsidRPr="009F64E9">
        <w:rPr>
          <w:noProof/>
        </w:rPr>
        <w:fldChar w:fldCharType="separate"/>
      </w:r>
      <w:r w:rsidR="000E6B78">
        <w:rPr>
          <w:noProof/>
        </w:rPr>
        <w:t>128</w:t>
      </w:r>
      <w:r w:rsidRPr="009F64E9">
        <w:rPr>
          <w:noProof/>
        </w:rPr>
        <w:fldChar w:fldCharType="end"/>
      </w:r>
    </w:p>
    <w:p w14:paraId="384C5F8B" w14:textId="6C74169B"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10—Transitional arrangements</w:t>
      </w:r>
      <w:r w:rsidRPr="009F64E9">
        <w:rPr>
          <w:b w:val="0"/>
          <w:noProof/>
          <w:sz w:val="18"/>
        </w:rPr>
        <w:tab/>
      </w:r>
      <w:r w:rsidRPr="009F64E9">
        <w:rPr>
          <w:b w:val="0"/>
          <w:noProof/>
          <w:sz w:val="18"/>
        </w:rPr>
        <w:fldChar w:fldCharType="begin"/>
      </w:r>
      <w:r w:rsidRPr="009F64E9">
        <w:rPr>
          <w:b w:val="0"/>
          <w:noProof/>
          <w:sz w:val="18"/>
        </w:rPr>
        <w:instrText xml:space="preserve"> PAGEREF _Toc188350692 \h </w:instrText>
      </w:r>
      <w:r w:rsidRPr="009F64E9">
        <w:rPr>
          <w:b w:val="0"/>
          <w:noProof/>
          <w:sz w:val="18"/>
        </w:rPr>
      </w:r>
      <w:r w:rsidRPr="009F64E9">
        <w:rPr>
          <w:b w:val="0"/>
          <w:noProof/>
          <w:sz w:val="18"/>
        </w:rPr>
        <w:fldChar w:fldCharType="separate"/>
      </w:r>
      <w:r w:rsidR="000E6B78">
        <w:rPr>
          <w:b w:val="0"/>
          <w:noProof/>
          <w:sz w:val="18"/>
        </w:rPr>
        <w:t>130</w:t>
      </w:r>
      <w:r w:rsidRPr="009F64E9">
        <w:rPr>
          <w:b w:val="0"/>
          <w:noProof/>
          <w:sz w:val="18"/>
        </w:rPr>
        <w:fldChar w:fldCharType="end"/>
      </w:r>
    </w:p>
    <w:p w14:paraId="64FA33BB" w14:textId="1C18190C"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1—Transitional arrangements for the commencement of this instrument</w:t>
      </w:r>
      <w:r w:rsidRPr="009F64E9">
        <w:rPr>
          <w:b w:val="0"/>
          <w:noProof/>
          <w:sz w:val="18"/>
        </w:rPr>
        <w:tab/>
      </w:r>
      <w:r w:rsidRPr="009F64E9">
        <w:rPr>
          <w:b w:val="0"/>
          <w:noProof/>
          <w:sz w:val="18"/>
        </w:rPr>
        <w:fldChar w:fldCharType="begin"/>
      </w:r>
      <w:r w:rsidRPr="009F64E9">
        <w:rPr>
          <w:b w:val="0"/>
          <w:noProof/>
          <w:sz w:val="18"/>
        </w:rPr>
        <w:instrText xml:space="preserve"> PAGEREF _Toc188350693 \h </w:instrText>
      </w:r>
      <w:r w:rsidRPr="009F64E9">
        <w:rPr>
          <w:b w:val="0"/>
          <w:noProof/>
          <w:sz w:val="18"/>
        </w:rPr>
      </w:r>
      <w:r w:rsidRPr="009F64E9">
        <w:rPr>
          <w:b w:val="0"/>
          <w:noProof/>
          <w:sz w:val="18"/>
        </w:rPr>
        <w:fldChar w:fldCharType="separate"/>
      </w:r>
      <w:r w:rsidR="000E6B78">
        <w:rPr>
          <w:b w:val="0"/>
          <w:noProof/>
          <w:sz w:val="18"/>
        </w:rPr>
        <w:t>130</w:t>
      </w:r>
      <w:r w:rsidRPr="009F64E9">
        <w:rPr>
          <w:b w:val="0"/>
          <w:noProof/>
          <w:sz w:val="18"/>
        </w:rPr>
        <w:fldChar w:fldCharType="end"/>
      </w:r>
    </w:p>
    <w:p w14:paraId="6D9F7DC6" w14:textId="19DEE28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 xml:space="preserve">Things done under the </w:t>
      </w:r>
      <w:r w:rsidRPr="006558F0">
        <w:rPr>
          <w:i/>
          <w:noProof/>
        </w:rPr>
        <w:t>Family Law (Superannuation) Regulations 2001</w:t>
      </w:r>
      <w:r w:rsidRPr="009F64E9">
        <w:rPr>
          <w:noProof/>
        </w:rPr>
        <w:tab/>
      </w:r>
      <w:r w:rsidRPr="009F64E9">
        <w:rPr>
          <w:noProof/>
        </w:rPr>
        <w:fldChar w:fldCharType="begin"/>
      </w:r>
      <w:r w:rsidRPr="009F64E9">
        <w:rPr>
          <w:noProof/>
        </w:rPr>
        <w:instrText xml:space="preserve"> PAGEREF _Toc188350694 \h </w:instrText>
      </w:r>
      <w:r w:rsidRPr="009F64E9">
        <w:rPr>
          <w:noProof/>
        </w:rPr>
      </w:r>
      <w:r w:rsidRPr="009F64E9">
        <w:rPr>
          <w:noProof/>
        </w:rPr>
        <w:fldChar w:fldCharType="separate"/>
      </w:r>
      <w:r w:rsidR="000E6B78">
        <w:rPr>
          <w:noProof/>
        </w:rPr>
        <w:t>130</w:t>
      </w:r>
      <w:r w:rsidRPr="009F64E9">
        <w:rPr>
          <w:noProof/>
        </w:rPr>
        <w:fldChar w:fldCharType="end"/>
      </w:r>
    </w:p>
    <w:p w14:paraId="1AA903E7" w14:textId="04679D9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Only certain superannuation inte</w:t>
      </w:r>
      <w:r w:rsidRPr="006558F0">
        <w:rPr>
          <w:noProof/>
          <w:color w:val="000000"/>
          <w:shd w:val="clear" w:color="auto" w:fill="FFFFFF"/>
        </w:rPr>
        <w:t xml:space="preserve">rests in the scheme constituted by the </w:t>
      </w:r>
      <w:r w:rsidRPr="006558F0">
        <w:rPr>
          <w:i/>
          <w:iCs/>
          <w:noProof/>
          <w:color w:val="000000"/>
          <w:shd w:val="clear" w:color="auto" w:fill="FFFFFF"/>
        </w:rPr>
        <w:t>Parliamentary Contributory Superannuation Act 1948</w:t>
      </w:r>
      <w:r w:rsidRPr="006558F0">
        <w:rPr>
          <w:noProof/>
          <w:color w:val="000000"/>
          <w:shd w:val="clear" w:color="auto" w:fill="FFFFFF"/>
        </w:rPr>
        <w:t xml:space="preserve"> are covered by subparagraph 14(1)(b)(ii) of this instrument</w:t>
      </w:r>
      <w:r w:rsidRPr="009F64E9">
        <w:rPr>
          <w:noProof/>
        </w:rPr>
        <w:tab/>
      </w:r>
      <w:r w:rsidRPr="009F64E9">
        <w:rPr>
          <w:noProof/>
        </w:rPr>
        <w:fldChar w:fldCharType="begin"/>
      </w:r>
      <w:r w:rsidRPr="009F64E9">
        <w:rPr>
          <w:noProof/>
        </w:rPr>
        <w:instrText xml:space="preserve"> PAGEREF _Toc188350695 \h </w:instrText>
      </w:r>
      <w:r w:rsidRPr="009F64E9">
        <w:rPr>
          <w:noProof/>
        </w:rPr>
      </w:r>
      <w:r w:rsidRPr="009F64E9">
        <w:rPr>
          <w:noProof/>
        </w:rPr>
        <w:fldChar w:fldCharType="separate"/>
      </w:r>
      <w:r w:rsidR="000E6B78">
        <w:rPr>
          <w:noProof/>
        </w:rPr>
        <w:t>130</w:t>
      </w:r>
      <w:r w:rsidRPr="009F64E9">
        <w:rPr>
          <w:noProof/>
        </w:rPr>
        <w:fldChar w:fldCharType="end"/>
      </w:r>
    </w:p>
    <w:p w14:paraId="610768D7" w14:textId="32A06375"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 1—Forms</w:t>
      </w:r>
      <w:r w:rsidRPr="009F64E9">
        <w:rPr>
          <w:b w:val="0"/>
          <w:noProof/>
          <w:sz w:val="18"/>
        </w:rPr>
        <w:tab/>
      </w:r>
      <w:r w:rsidRPr="009F64E9">
        <w:rPr>
          <w:b w:val="0"/>
          <w:noProof/>
          <w:sz w:val="18"/>
        </w:rPr>
        <w:fldChar w:fldCharType="begin"/>
      </w:r>
      <w:r w:rsidRPr="009F64E9">
        <w:rPr>
          <w:b w:val="0"/>
          <w:noProof/>
          <w:sz w:val="18"/>
        </w:rPr>
        <w:instrText xml:space="preserve"> PAGEREF _Toc188350696 \h </w:instrText>
      </w:r>
      <w:r w:rsidRPr="009F64E9">
        <w:rPr>
          <w:b w:val="0"/>
          <w:noProof/>
          <w:sz w:val="18"/>
        </w:rPr>
      </w:r>
      <w:r w:rsidRPr="009F64E9">
        <w:rPr>
          <w:b w:val="0"/>
          <w:noProof/>
          <w:sz w:val="18"/>
        </w:rPr>
        <w:fldChar w:fldCharType="separate"/>
      </w:r>
      <w:r w:rsidR="000E6B78">
        <w:rPr>
          <w:b w:val="0"/>
          <w:noProof/>
          <w:sz w:val="18"/>
        </w:rPr>
        <w:t>131</w:t>
      </w:r>
      <w:r w:rsidRPr="009F64E9">
        <w:rPr>
          <w:b w:val="0"/>
          <w:noProof/>
          <w:sz w:val="18"/>
        </w:rPr>
        <w:fldChar w:fldCharType="end"/>
      </w:r>
    </w:p>
    <w:p w14:paraId="744DFB96" w14:textId="7E46F00B" w:rsidR="009F64E9" w:rsidRDefault="009F64E9">
      <w:pPr>
        <w:pStyle w:val="TOC2"/>
        <w:rPr>
          <w:rFonts w:asciiTheme="minorHAnsi" w:eastAsiaTheme="minorEastAsia" w:hAnsiTheme="minorHAnsi" w:cstheme="minorBidi"/>
          <w:b w:val="0"/>
          <w:noProof/>
          <w:kern w:val="2"/>
          <w:szCs w:val="24"/>
          <w14:ligatures w14:val="standardContextual"/>
        </w:rPr>
      </w:pPr>
      <w:r>
        <w:rPr>
          <w:noProof/>
        </w:rPr>
        <w:t>Form 1—Notice to trustee that non</w:t>
      </w:r>
      <w:r>
        <w:rPr>
          <w:noProof/>
        </w:rPr>
        <w:noBreakHyphen/>
        <w:t>member spouse’s entitlement under agreement or order satisfied</w:t>
      </w:r>
      <w:r w:rsidRPr="009F64E9">
        <w:rPr>
          <w:b w:val="0"/>
          <w:noProof/>
          <w:sz w:val="18"/>
        </w:rPr>
        <w:tab/>
      </w:r>
      <w:r w:rsidRPr="009F64E9">
        <w:rPr>
          <w:b w:val="0"/>
          <w:noProof/>
          <w:sz w:val="18"/>
        </w:rPr>
        <w:fldChar w:fldCharType="begin"/>
      </w:r>
      <w:r w:rsidRPr="009F64E9">
        <w:rPr>
          <w:b w:val="0"/>
          <w:noProof/>
          <w:sz w:val="18"/>
        </w:rPr>
        <w:instrText xml:space="preserve"> PAGEREF _Toc188350697 \h </w:instrText>
      </w:r>
      <w:r w:rsidRPr="009F64E9">
        <w:rPr>
          <w:b w:val="0"/>
          <w:noProof/>
          <w:sz w:val="18"/>
        </w:rPr>
      </w:r>
      <w:r w:rsidRPr="009F64E9">
        <w:rPr>
          <w:b w:val="0"/>
          <w:noProof/>
          <w:sz w:val="18"/>
        </w:rPr>
        <w:fldChar w:fldCharType="separate"/>
      </w:r>
      <w:r w:rsidR="000E6B78">
        <w:rPr>
          <w:b w:val="0"/>
          <w:noProof/>
          <w:sz w:val="18"/>
        </w:rPr>
        <w:t>131</w:t>
      </w:r>
      <w:r w:rsidRPr="009F64E9">
        <w:rPr>
          <w:b w:val="0"/>
          <w:noProof/>
          <w:sz w:val="18"/>
        </w:rPr>
        <w:fldChar w:fldCharType="end"/>
      </w:r>
    </w:p>
    <w:p w14:paraId="6EB99084" w14:textId="2E1BB4A9" w:rsidR="009F64E9" w:rsidRDefault="009F64E9">
      <w:pPr>
        <w:pStyle w:val="TOC2"/>
        <w:rPr>
          <w:rFonts w:asciiTheme="minorHAnsi" w:eastAsiaTheme="minorEastAsia" w:hAnsiTheme="minorHAnsi" w:cstheme="minorBidi"/>
          <w:b w:val="0"/>
          <w:noProof/>
          <w:kern w:val="2"/>
          <w:szCs w:val="24"/>
          <w14:ligatures w14:val="standardContextual"/>
        </w:rPr>
      </w:pPr>
      <w:r>
        <w:rPr>
          <w:noProof/>
        </w:rPr>
        <w:t>Form 2—Request to trustee by non</w:t>
      </w:r>
      <w:r>
        <w:rPr>
          <w:noProof/>
        </w:rPr>
        <w:noBreakHyphen/>
        <w:t>member spouse for payment, as lump sum, of all or part of remaining adjusted base amount</w:t>
      </w:r>
      <w:r w:rsidRPr="009F64E9">
        <w:rPr>
          <w:b w:val="0"/>
          <w:noProof/>
          <w:sz w:val="18"/>
        </w:rPr>
        <w:tab/>
      </w:r>
      <w:r w:rsidRPr="009F64E9">
        <w:rPr>
          <w:b w:val="0"/>
          <w:noProof/>
          <w:sz w:val="18"/>
        </w:rPr>
        <w:fldChar w:fldCharType="begin"/>
      </w:r>
      <w:r w:rsidRPr="009F64E9">
        <w:rPr>
          <w:b w:val="0"/>
          <w:noProof/>
          <w:sz w:val="18"/>
        </w:rPr>
        <w:instrText xml:space="preserve"> PAGEREF _Toc188350698 \h </w:instrText>
      </w:r>
      <w:r w:rsidRPr="009F64E9">
        <w:rPr>
          <w:b w:val="0"/>
          <w:noProof/>
          <w:sz w:val="18"/>
        </w:rPr>
      </w:r>
      <w:r w:rsidRPr="009F64E9">
        <w:rPr>
          <w:b w:val="0"/>
          <w:noProof/>
          <w:sz w:val="18"/>
        </w:rPr>
        <w:fldChar w:fldCharType="separate"/>
      </w:r>
      <w:r w:rsidR="000E6B78">
        <w:rPr>
          <w:b w:val="0"/>
          <w:noProof/>
          <w:sz w:val="18"/>
        </w:rPr>
        <w:t>133</w:t>
      </w:r>
      <w:r w:rsidRPr="009F64E9">
        <w:rPr>
          <w:b w:val="0"/>
          <w:noProof/>
          <w:sz w:val="18"/>
        </w:rPr>
        <w:fldChar w:fldCharType="end"/>
      </w:r>
    </w:p>
    <w:p w14:paraId="5FEA0EDD" w14:textId="15FEB6B5" w:rsidR="009F64E9" w:rsidRDefault="009F64E9">
      <w:pPr>
        <w:pStyle w:val="TOC2"/>
        <w:rPr>
          <w:rFonts w:asciiTheme="minorHAnsi" w:eastAsiaTheme="minorEastAsia" w:hAnsiTheme="minorHAnsi" w:cstheme="minorBidi"/>
          <w:b w:val="0"/>
          <w:noProof/>
          <w:kern w:val="2"/>
          <w:szCs w:val="24"/>
          <w14:ligatures w14:val="standardContextual"/>
        </w:rPr>
      </w:pPr>
      <w:r>
        <w:rPr>
          <w:noProof/>
        </w:rPr>
        <w:t>Form 3—Request to trustee by non</w:t>
      </w:r>
      <w:r>
        <w:rPr>
          <w:noProof/>
        </w:rPr>
        <w:noBreakHyphen/>
        <w:t>member spouse for payment, as lump sum, of all or part of adjusted base amount</w:t>
      </w:r>
      <w:r w:rsidRPr="009F64E9">
        <w:rPr>
          <w:b w:val="0"/>
          <w:noProof/>
          <w:sz w:val="18"/>
        </w:rPr>
        <w:tab/>
      </w:r>
      <w:r w:rsidRPr="009F64E9">
        <w:rPr>
          <w:b w:val="0"/>
          <w:noProof/>
          <w:sz w:val="18"/>
        </w:rPr>
        <w:fldChar w:fldCharType="begin"/>
      </w:r>
      <w:r w:rsidRPr="009F64E9">
        <w:rPr>
          <w:b w:val="0"/>
          <w:noProof/>
          <w:sz w:val="18"/>
        </w:rPr>
        <w:instrText xml:space="preserve"> PAGEREF _Toc188350699 \h </w:instrText>
      </w:r>
      <w:r w:rsidRPr="009F64E9">
        <w:rPr>
          <w:b w:val="0"/>
          <w:noProof/>
          <w:sz w:val="18"/>
        </w:rPr>
      </w:r>
      <w:r w:rsidRPr="009F64E9">
        <w:rPr>
          <w:b w:val="0"/>
          <w:noProof/>
          <w:sz w:val="18"/>
        </w:rPr>
        <w:fldChar w:fldCharType="separate"/>
      </w:r>
      <w:r w:rsidR="000E6B78">
        <w:rPr>
          <w:b w:val="0"/>
          <w:noProof/>
          <w:sz w:val="18"/>
        </w:rPr>
        <w:t>134</w:t>
      </w:r>
      <w:r w:rsidRPr="009F64E9">
        <w:rPr>
          <w:b w:val="0"/>
          <w:noProof/>
          <w:sz w:val="18"/>
        </w:rPr>
        <w:fldChar w:fldCharType="end"/>
      </w:r>
    </w:p>
    <w:p w14:paraId="31491851" w14:textId="7FBE1922" w:rsidR="009F64E9" w:rsidRDefault="009F64E9">
      <w:pPr>
        <w:pStyle w:val="TOC2"/>
        <w:rPr>
          <w:rFonts w:asciiTheme="minorHAnsi" w:eastAsiaTheme="minorEastAsia" w:hAnsiTheme="minorHAnsi" w:cstheme="minorBidi"/>
          <w:b w:val="0"/>
          <w:noProof/>
          <w:kern w:val="2"/>
          <w:szCs w:val="24"/>
          <w14:ligatures w14:val="standardContextual"/>
        </w:rPr>
      </w:pPr>
      <w:r>
        <w:rPr>
          <w:noProof/>
        </w:rPr>
        <w:t>Form 4—Request to trustee by non</w:t>
      </w:r>
      <w:r>
        <w:rPr>
          <w:noProof/>
        </w:rPr>
        <w:noBreakHyphen/>
        <w:t>member spouse for payment, as lump sum, of all or part of remaining base amount</w:t>
      </w:r>
      <w:r w:rsidRPr="009F64E9">
        <w:rPr>
          <w:b w:val="0"/>
          <w:noProof/>
          <w:sz w:val="18"/>
        </w:rPr>
        <w:tab/>
      </w:r>
      <w:r w:rsidRPr="009F64E9">
        <w:rPr>
          <w:b w:val="0"/>
          <w:noProof/>
          <w:sz w:val="18"/>
        </w:rPr>
        <w:fldChar w:fldCharType="begin"/>
      </w:r>
      <w:r w:rsidRPr="009F64E9">
        <w:rPr>
          <w:b w:val="0"/>
          <w:noProof/>
          <w:sz w:val="18"/>
        </w:rPr>
        <w:instrText xml:space="preserve"> PAGEREF _Toc188350700 \h </w:instrText>
      </w:r>
      <w:r w:rsidRPr="009F64E9">
        <w:rPr>
          <w:b w:val="0"/>
          <w:noProof/>
          <w:sz w:val="18"/>
        </w:rPr>
      </w:r>
      <w:r w:rsidRPr="009F64E9">
        <w:rPr>
          <w:b w:val="0"/>
          <w:noProof/>
          <w:sz w:val="18"/>
        </w:rPr>
        <w:fldChar w:fldCharType="separate"/>
      </w:r>
      <w:r w:rsidR="000E6B78">
        <w:rPr>
          <w:b w:val="0"/>
          <w:noProof/>
          <w:sz w:val="18"/>
        </w:rPr>
        <w:t>135</w:t>
      </w:r>
      <w:r w:rsidRPr="009F64E9">
        <w:rPr>
          <w:b w:val="0"/>
          <w:noProof/>
          <w:sz w:val="18"/>
        </w:rPr>
        <w:fldChar w:fldCharType="end"/>
      </w:r>
    </w:p>
    <w:p w14:paraId="5C36A1B5" w14:textId="6B8E373F" w:rsidR="009F64E9" w:rsidRDefault="009F64E9">
      <w:pPr>
        <w:pStyle w:val="TOC2"/>
        <w:rPr>
          <w:rFonts w:asciiTheme="minorHAnsi" w:eastAsiaTheme="minorEastAsia" w:hAnsiTheme="minorHAnsi" w:cstheme="minorBidi"/>
          <w:b w:val="0"/>
          <w:noProof/>
          <w:kern w:val="2"/>
          <w:szCs w:val="24"/>
          <w14:ligatures w14:val="standardContextual"/>
        </w:rPr>
      </w:pPr>
      <w:r>
        <w:rPr>
          <w:noProof/>
        </w:rPr>
        <w:t>Form 5—Waiver notice in respect of payment split</w:t>
      </w:r>
      <w:r w:rsidRPr="009F64E9">
        <w:rPr>
          <w:b w:val="0"/>
          <w:noProof/>
          <w:sz w:val="18"/>
        </w:rPr>
        <w:tab/>
      </w:r>
      <w:r w:rsidRPr="009F64E9">
        <w:rPr>
          <w:b w:val="0"/>
          <w:noProof/>
          <w:sz w:val="18"/>
        </w:rPr>
        <w:fldChar w:fldCharType="begin"/>
      </w:r>
      <w:r w:rsidRPr="009F64E9">
        <w:rPr>
          <w:b w:val="0"/>
          <w:noProof/>
          <w:sz w:val="18"/>
        </w:rPr>
        <w:instrText xml:space="preserve"> PAGEREF _Toc188350701 \h </w:instrText>
      </w:r>
      <w:r w:rsidRPr="009F64E9">
        <w:rPr>
          <w:b w:val="0"/>
          <w:noProof/>
          <w:sz w:val="18"/>
        </w:rPr>
      </w:r>
      <w:r w:rsidRPr="009F64E9">
        <w:rPr>
          <w:b w:val="0"/>
          <w:noProof/>
          <w:sz w:val="18"/>
        </w:rPr>
        <w:fldChar w:fldCharType="separate"/>
      </w:r>
      <w:r w:rsidR="000E6B78">
        <w:rPr>
          <w:b w:val="0"/>
          <w:noProof/>
          <w:sz w:val="18"/>
        </w:rPr>
        <w:t>136</w:t>
      </w:r>
      <w:r w:rsidRPr="009F64E9">
        <w:rPr>
          <w:b w:val="0"/>
          <w:noProof/>
          <w:sz w:val="18"/>
        </w:rPr>
        <w:fldChar w:fldCharType="end"/>
      </w:r>
    </w:p>
    <w:p w14:paraId="36E68521" w14:textId="3CF4918F" w:rsidR="009F64E9" w:rsidRDefault="009F64E9">
      <w:pPr>
        <w:pStyle w:val="TOC2"/>
        <w:rPr>
          <w:rFonts w:asciiTheme="minorHAnsi" w:eastAsiaTheme="minorEastAsia" w:hAnsiTheme="minorHAnsi" w:cstheme="minorBidi"/>
          <w:b w:val="0"/>
          <w:noProof/>
          <w:kern w:val="2"/>
          <w:szCs w:val="24"/>
          <w14:ligatures w14:val="standardContextual"/>
        </w:rPr>
      </w:pPr>
      <w:r>
        <w:rPr>
          <w:noProof/>
        </w:rPr>
        <w:t>Form 6—Declaration to accompany application to trustee for information about a superannuation interest</w:t>
      </w:r>
      <w:r w:rsidRPr="009F64E9">
        <w:rPr>
          <w:b w:val="0"/>
          <w:noProof/>
          <w:sz w:val="18"/>
        </w:rPr>
        <w:tab/>
      </w:r>
      <w:r w:rsidRPr="009F64E9">
        <w:rPr>
          <w:b w:val="0"/>
          <w:noProof/>
          <w:sz w:val="18"/>
        </w:rPr>
        <w:fldChar w:fldCharType="begin"/>
      </w:r>
      <w:r w:rsidRPr="009F64E9">
        <w:rPr>
          <w:b w:val="0"/>
          <w:noProof/>
          <w:sz w:val="18"/>
        </w:rPr>
        <w:instrText xml:space="preserve"> PAGEREF _Toc188350702 \h </w:instrText>
      </w:r>
      <w:r w:rsidRPr="009F64E9">
        <w:rPr>
          <w:b w:val="0"/>
          <w:noProof/>
          <w:sz w:val="18"/>
        </w:rPr>
      </w:r>
      <w:r w:rsidRPr="009F64E9">
        <w:rPr>
          <w:b w:val="0"/>
          <w:noProof/>
          <w:sz w:val="18"/>
        </w:rPr>
        <w:fldChar w:fldCharType="separate"/>
      </w:r>
      <w:r w:rsidR="000E6B78">
        <w:rPr>
          <w:b w:val="0"/>
          <w:noProof/>
          <w:sz w:val="18"/>
        </w:rPr>
        <w:t>137</w:t>
      </w:r>
      <w:r w:rsidRPr="009F64E9">
        <w:rPr>
          <w:b w:val="0"/>
          <w:noProof/>
          <w:sz w:val="18"/>
        </w:rPr>
        <w:fldChar w:fldCharType="end"/>
      </w:r>
    </w:p>
    <w:p w14:paraId="448E1DCD" w14:textId="27FC5264"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2—Value of non</w:t>
      </w:r>
      <w:r>
        <w:rPr>
          <w:noProof/>
        </w:rPr>
        <w:noBreakHyphen/>
        <w:t>member spouse’s entitlement for percentage</w:t>
      </w:r>
      <w:r>
        <w:rPr>
          <w:noProof/>
        </w:rPr>
        <w:noBreakHyphen/>
        <w:t>only interest in superannuation fund or approved deposit fund in payment phase</w:t>
      </w:r>
      <w:r w:rsidRPr="009F64E9">
        <w:rPr>
          <w:b w:val="0"/>
          <w:noProof/>
          <w:sz w:val="18"/>
        </w:rPr>
        <w:tab/>
      </w:r>
      <w:r w:rsidRPr="009F64E9">
        <w:rPr>
          <w:b w:val="0"/>
          <w:noProof/>
          <w:sz w:val="18"/>
        </w:rPr>
        <w:fldChar w:fldCharType="begin"/>
      </w:r>
      <w:r w:rsidRPr="009F64E9">
        <w:rPr>
          <w:b w:val="0"/>
          <w:noProof/>
          <w:sz w:val="18"/>
        </w:rPr>
        <w:instrText xml:space="preserve"> PAGEREF _Toc188350703 \h </w:instrText>
      </w:r>
      <w:r w:rsidRPr="009F64E9">
        <w:rPr>
          <w:b w:val="0"/>
          <w:noProof/>
          <w:sz w:val="18"/>
        </w:rPr>
      </w:r>
      <w:r w:rsidRPr="009F64E9">
        <w:rPr>
          <w:b w:val="0"/>
          <w:noProof/>
          <w:sz w:val="18"/>
        </w:rPr>
        <w:fldChar w:fldCharType="separate"/>
      </w:r>
      <w:r w:rsidR="000E6B78">
        <w:rPr>
          <w:b w:val="0"/>
          <w:noProof/>
          <w:sz w:val="18"/>
        </w:rPr>
        <w:t>138</w:t>
      </w:r>
      <w:r w:rsidRPr="009F64E9">
        <w:rPr>
          <w:b w:val="0"/>
          <w:noProof/>
          <w:sz w:val="18"/>
        </w:rPr>
        <w:fldChar w:fldCharType="end"/>
      </w:r>
    </w:p>
    <w:p w14:paraId="1B1A2102" w14:textId="7066D121"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_Toc188350704 \h </w:instrText>
      </w:r>
      <w:r w:rsidRPr="009F64E9">
        <w:rPr>
          <w:b w:val="0"/>
          <w:noProof/>
          <w:sz w:val="18"/>
        </w:rPr>
      </w:r>
      <w:r w:rsidRPr="009F64E9">
        <w:rPr>
          <w:b w:val="0"/>
          <w:noProof/>
          <w:sz w:val="18"/>
        </w:rPr>
        <w:fldChar w:fldCharType="separate"/>
      </w:r>
      <w:r w:rsidR="000E6B78">
        <w:rPr>
          <w:b w:val="0"/>
          <w:noProof/>
          <w:sz w:val="18"/>
        </w:rPr>
        <w:t>138</w:t>
      </w:r>
      <w:r w:rsidRPr="009F64E9">
        <w:rPr>
          <w:b w:val="0"/>
          <w:noProof/>
          <w:sz w:val="18"/>
        </w:rPr>
        <w:fldChar w:fldCharType="end"/>
      </w:r>
    </w:p>
    <w:p w14:paraId="547113E8" w14:textId="2F926EE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_Toc188350705 \h </w:instrText>
      </w:r>
      <w:r w:rsidRPr="009F64E9">
        <w:rPr>
          <w:noProof/>
        </w:rPr>
      </w:r>
      <w:r w:rsidRPr="009F64E9">
        <w:rPr>
          <w:noProof/>
        </w:rPr>
        <w:fldChar w:fldCharType="separate"/>
      </w:r>
      <w:r w:rsidR="000E6B78">
        <w:rPr>
          <w:noProof/>
        </w:rPr>
        <w:t>138</w:t>
      </w:r>
      <w:r w:rsidRPr="009F64E9">
        <w:rPr>
          <w:noProof/>
        </w:rPr>
        <w:fldChar w:fldCharType="end"/>
      </w:r>
    </w:p>
    <w:p w14:paraId="11157E61" w14:textId="01B5AD9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Definitions</w:t>
      </w:r>
      <w:r w:rsidRPr="009F64E9">
        <w:rPr>
          <w:noProof/>
        </w:rPr>
        <w:tab/>
      </w:r>
      <w:r w:rsidRPr="009F64E9">
        <w:rPr>
          <w:noProof/>
        </w:rPr>
        <w:fldChar w:fldCharType="begin"/>
      </w:r>
      <w:r w:rsidRPr="009F64E9">
        <w:rPr>
          <w:noProof/>
        </w:rPr>
        <w:instrText xml:space="preserve"> PAGEREF _Toc188350706 \h </w:instrText>
      </w:r>
      <w:r w:rsidRPr="009F64E9">
        <w:rPr>
          <w:noProof/>
        </w:rPr>
      </w:r>
      <w:r w:rsidRPr="009F64E9">
        <w:rPr>
          <w:noProof/>
        </w:rPr>
        <w:fldChar w:fldCharType="separate"/>
      </w:r>
      <w:r w:rsidR="000E6B78">
        <w:rPr>
          <w:noProof/>
        </w:rPr>
        <w:t>138</w:t>
      </w:r>
      <w:r w:rsidRPr="009F64E9">
        <w:rPr>
          <w:noProof/>
        </w:rPr>
        <w:fldChar w:fldCharType="end"/>
      </w:r>
    </w:p>
    <w:p w14:paraId="009E1394" w14:textId="5D63FDE6"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2—Method for subparagraphs 90XJ(1)(b)(i) and 90YN(1)(b)(i), and paragraphs 90XT(1)(c) and 90YY(1)(c), of the Act</w:t>
      </w:r>
      <w:r w:rsidRPr="009F64E9">
        <w:rPr>
          <w:b w:val="0"/>
          <w:noProof/>
          <w:sz w:val="18"/>
        </w:rPr>
        <w:tab/>
      </w:r>
      <w:r w:rsidRPr="009F64E9">
        <w:rPr>
          <w:b w:val="0"/>
          <w:noProof/>
          <w:sz w:val="18"/>
        </w:rPr>
        <w:fldChar w:fldCharType="begin"/>
      </w:r>
      <w:r w:rsidRPr="009F64E9">
        <w:rPr>
          <w:b w:val="0"/>
          <w:noProof/>
          <w:sz w:val="18"/>
        </w:rPr>
        <w:instrText xml:space="preserve"> PAGEREF _Toc188350707 \h </w:instrText>
      </w:r>
      <w:r w:rsidRPr="009F64E9">
        <w:rPr>
          <w:b w:val="0"/>
          <w:noProof/>
          <w:sz w:val="18"/>
        </w:rPr>
      </w:r>
      <w:r w:rsidRPr="009F64E9">
        <w:rPr>
          <w:b w:val="0"/>
          <w:noProof/>
          <w:sz w:val="18"/>
        </w:rPr>
        <w:fldChar w:fldCharType="separate"/>
      </w:r>
      <w:r w:rsidR="000E6B78">
        <w:rPr>
          <w:b w:val="0"/>
          <w:noProof/>
          <w:sz w:val="18"/>
        </w:rPr>
        <w:t>140</w:t>
      </w:r>
      <w:r w:rsidRPr="009F64E9">
        <w:rPr>
          <w:b w:val="0"/>
          <w:noProof/>
          <w:sz w:val="18"/>
        </w:rPr>
        <w:fldChar w:fldCharType="end"/>
      </w:r>
    </w:p>
    <w:p w14:paraId="4B61BB0E" w14:textId="6E09936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Method for subparagraphs 90XJ(1)(b)(i) and 90YN(1)(b)(i), and paragraphs 90XT(1)(c) and 90YY(1)(c), of the Act</w:t>
      </w:r>
      <w:r w:rsidRPr="009F64E9">
        <w:rPr>
          <w:noProof/>
        </w:rPr>
        <w:tab/>
      </w:r>
      <w:r w:rsidRPr="009F64E9">
        <w:rPr>
          <w:noProof/>
        </w:rPr>
        <w:fldChar w:fldCharType="begin"/>
      </w:r>
      <w:r w:rsidRPr="009F64E9">
        <w:rPr>
          <w:noProof/>
        </w:rPr>
        <w:instrText xml:space="preserve"> PAGEREF _Toc188350708 \h </w:instrText>
      </w:r>
      <w:r w:rsidRPr="009F64E9">
        <w:rPr>
          <w:noProof/>
        </w:rPr>
      </w:r>
      <w:r w:rsidRPr="009F64E9">
        <w:rPr>
          <w:noProof/>
        </w:rPr>
        <w:fldChar w:fldCharType="separate"/>
      </w:r>
      <w:r w:rsidR="000E6B78">
        <w:rPr>
          <w:noProof/>
        </w:rPr>
        <w:t>140</w:t>
      </w:r>
      <w:r w:rsidRPr="009F64E9">
        <w:rPr>
          <w:noProof/>
        </w:rPr>
        <w:fldChar w:fldCharType="end"/>
      </w:r>
    </w:p>
    <w:p w14:paraId="7F51DAF4" w14:textId="54CFB789"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3—Method for subparagraphs 90XJ(1)(b)(ii) and 90YN(1)(b)(ii), and paragraphs 90XT(1)(b) and 90YY(1)(b), of the Act</w:t>
      </w:r>
      <w:r w:rsidRPr="009F64E9">
        <w:rPr>
          <w:b w:val="0"/>
          <w:noProof/>
          <w:sz w:val="18"/>
        </w:rPr>
        <w:tab/>
      </w:r>
      <w:r w:rsidRPr="009F64E9">
        <w:rPr>
          <w:b w:val="0"/>
          <w:noProof/>
          <w:sz w:val="18"/>
        </w:rPr>
        <w:fldChar w:fldCharType="begin"/>
      </w:r>
      <w:r w:rsidRPr="009F64E9">
        <w:rPr>
          <w:b w:val="0"/>
          <w:noProof/>
          <w:sz w:val="18"/>
        </w:rPr>
        <w:instrText xml:space="preserve"> PAGEREF _Toc188350709 \h </w:instrText>
      </w:r>
      <w:r w:rsidRPr="009F64E9">
        <w:rPr>
          <w:b w:val="0"/>
          <w:noProof/>
          <w:sz w:val="18"/>
        </w:rPr>
      </w:r>
      <w:r w:rsidRPr="009F64E9">
        <w:rPr>
          <w:b w:val="0"/>
          <w:noProof/>
          <w:sz w:val="18"/>
        </w:rPr>
        <w:fldChar w:fldCharType="separate"/>
      </w:r>
      <w:r w:rsidR="000E6B78">
        <w:rPr>
          <w:b w:val="0"/>
          <w:noProof/>
          <w:sz w:val="18"/>
        </w:rPr>
        <w:t>141</w:t>
      </w:r>
      <w:r w:rsidRPr="009F64E9">
        <w:rPr>
          <w:b w:val="0"/>
          <w:noProof/>
          <w:sz w:val="18"/>
        </w:rPr>
        <w:fldChar w:fldCharType="end"/>
      </w:r>
    </w:p>
    <w:p w14:paraId="0249CA44" w14:textId="6893A1E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Method for subparagraphs 90XJ(1)(b)(ii) and 90YN(1)(b)(ii), and paragraphs 90XT(1)(b) and 90YY(1)(b), of the Act</w:t>
      </w:r>
      <w:r w:rsidRPr="009F64E9">
        <w:rPr>
          <w:noProof/>
        </w:rPr>
        <w:tab/>
      </w:r>
      <w:r w:rsidRPr="009F64E9">
        <w:rPr>
          <w:noProof/>
        </w:rPr>
        <w:fldChar w:fldCharType="begin"/>
      </w:r>
      <w:r w:rsidRPr="009F64E9">
        <w:rPr>
          <w:noProof/>
        </w:rPr>
        <w:instrText xml:space="preserve"> PAGEREF _Toc188350710 \h </w:instrText>
      </w:r>
      <w:r w:rsidRPr="009F64E9">
        <w:rPr>
          <w:noProof/>
        </w:rPr>
      </w:r>
      <w:r w:rsidRPr="009F64E9">
        <w:rPr>
          <w:noProof/>
        </w:rPr>
        <w:fldChar w:fldCharType="separate"/>
      </w:r>
      <w:r w:rsidR="000E6B78">
        <w:rPr>
          <w:noProof/>
        </w:rPr>
        <w:t>141</w:t>
      </w:r>
      <w:r w:rsidRPr="009F64E9">
        <w:rPr>
          <w:noProof/>
        </w:rPr>
        <w:fldChar w:fldCharType="end"/>
      </w:r>
    </w:p>
    <w:p w14:paraId="63E13D7C" w14:textId="5E5A88C5"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4—Reversion valuation factors</w:t>
      </w:r>
      <w:r w:rsidRPr="009F64E9">
        <w:rPr>
          <w:b w:val="0"/>
          <w:noProof/>
          <w:sz w:val="18"/>
        </w:rPr>
        <w:tab/>
      </w:r>
      <w:r w:rsidRPr="009F64E9">
        <w:rPr>
          <w:b w:val="0"/>
          <w:noProof/>
          <w:sz w:val="18"/>
        </w:rPr>
        <w:fldChar w:fldCharType="begin"/>
      </w:r>
      <w:r w:rsidRPr="009F64E9">
        <w:rPr>
          <w:b w:val="0"/>
          <w:noProof/>
          <w:sz w:val="18"/>
        </w:rPr>
        <w:instrText xml:space="preserve"> PAGEREF _Toc188350711 \h </w:instrText>
      </w:r>
      <w:r w:rsidRPr="009F64E9">
        <w:rPr>
          <w:b w:val="0"/>
          <w:noProof/>
          <w:sz w:val="18"/>
        </w:rPr>
      </w:r>
      <w:r w:rsidRPr="009F64E9">
        <w:rPr>
          <w:b w:val="0"/>
          <w:noProof/>
          <w:sz w:val="18"/>
        </w:rPr>
        <w:fldChar w:fldCharType="separate"/>
      </w:r>
      <w:r w:rsidR="000E6B78">
        <w:rPr>
          <w:b w:val="0"/>
          <w:noProof/>
          <w:sz w:val="18"/>
        </w:rPr>
        <w:t>142</w:t>
      </w:r>
      <w:r w:rsidRPr="009F64E9">
        <w:rPr>
          <w:b w:val="0"/>
          <w:noProof/>
          <w:sz w:val="18"/>
        </w:rPr>
        <w:fldChar w:fldCharType="end"/>
      </w:r>
    </w:p>
    <w:p w14:paraId="5300B363" w14:textId="27CCE14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Reversion valuation factors</w:t>
      </w:r>
      <w:r w:rsidRPr="009F64E9">
        <w:rPr>
          <w:noProof/>
        </w:rPr>
        <w:tab/>
      </w:r>
      <w:r w:rsidRPr="009F64E9">
        <w:rPr>
          <w:noProof/>
        </w:rPr>
        <w:fldChar w:fldCharType="begin"/>
      </w:r>
      <w:r w:rsidRPr="009F64E9">
        <w:rPr>
          <w:noProof/>
        </w:rPr>
        <w:instrText xml:space="preserve"> PAGEREF _Toc188350712 \h </w:instrText>
      </w:r>
      <w:r w:rsidRPr="009F64E9">
        <w:rPr>
          <w:noProof/>
        </w:rPr>
      </w:r>
      <w:r w:rsidRPr="009F64E9">
        <w:rPr>
          <w:noProof/>
        </w:rPr>
        <w:fldChar w:fldCharType="separate"/>
      </w:r>
      <w:r w:rsidR="000E6B78">
        <w:rPr>
          <w:noProof/>
        </w:rPr>
        <w:t>142</w:t>
      </w:r>
      <w:r w:rsidRPr="009F64E9">
        <w:rPr>
          <w:noProof/>
        </w:rPr>
        <w:fldChar w:fldCharType="end"/>
      </w:r>
    </w:p>
    <w:p w14:paraId="5CEEB8AD" w14:textId="7E1C19D6"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3—Method for determining gross value of defined benefit interest</w:t>
      </w:r>
      <w:r w:rsidRPr="009F64E9">
        <w:rPr>
          <w:b w:val="0"/>
          <w:noProof/>
          <w:sz w:val="18"/>
        </w:rPr>
        <w:tab/>
      </w:r>
      <w:r w:rsidRPr="009F64E9">
        <w:rPr>
          <w:b w:val="0"/>
          <w:noProof/>
          <w:sz w:val="18"/>
        </w:rPr>
        <w:fldChar w:fldCharType="begin"/>
      </w:r>
      <w:r w:rsidRPr="009F64E9">
        <w:rPr>
          <w:b w:val="0"/>
          <w:noProof/>
          <w:sz w:val="18"/>
        </w:rPr>
        <w:instrText xml:space="preserve"> PAGEREF _Toc188350713 \h </w:instrText>
      </w:r>
      <w:r w:rsidRPr="009F64E9">
        <w:rPr>
          <w:b w:val="0"/>
          <w:noProof/>
          <w:sz w:val="18"/>
        </w:rPr>
      </w:r>
      <w:r w:rsidRPr="009F64E9">
        <w:rPr>
          <w:b w:val="0"/>
          <w:noProof/>
          <w:sz w:val="18"/>
        </w:rPr>
        <w:fldChar w:fldCharType="separate"/>
      </w:r>
      <w:r w:rsidR="000E6B78">
        <w:rPr>
          <w:b w:val="0"/>
          <w:noProof/>
          <w:sz w:val="18"/>
        </w:rPr>
        <w:t>145</w:t>
      </w:r>
      <w:r w:rsidRPr="009F64E9">
        <w:rPr>
          <w:b w:val="0"/>
          <w:noProof/>
          <w:sz w:val="18"/>
        </w:rPr>
        <w:fldChar w:fldCharType="end"/>
      </w:r>
    </w:p>
    <w:p w14:paraId="4D2FAB46" w14:textId="13C06D7E"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_Toc188350714 \h </w:instrText>
      </w:r>
      <w:r w:rsidRPr="009F64E9">
        <w:rPr>
          <w:b w:val="0"/>
          <w:noProof/>
          <w:sz w:val="18"/>
        </w:rPr>
      </w:r>
      <w:r w:rsidRPr="009F64E9">
        <w:rPr>
          <w:b w:val="0"/>
          <w:noProof/>
          <w:sz w:val="18"/>
        </w:rPr>
        <w:fldChar w:fldCharType="separate"/>
      </w:r>
      <w:r w:rsidR="000E6B78">
        <w:rPr>
          <w:b w:val="0"/>
          <w:noProof/>
          <w:sz w:val="18"/>
        </w:rPr>
        <w:t>145</w:t>
      </w:r>
      <w:r w:rsidRPr="009F64E9">
        <w:rPr>
          <w:b w:val="0"/>
          <w:noProof/>
          <w:sz w:val="18"/>
        </w:rPr>
        <w:fldChar w:fldCharType="end"/>
      </w:r>
    </w:p>
    <w:p w14:paraId="38CA81E2" w14:textId="0D27A8C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_Toc188350715 \h </w:instrText>
      </w:r>
      <w:r w:rsidRPr="009F64E9">
        <w:rPr>
          <w:noProof/>
        </w:rPr>
      </w:r>
      <w:r w:rsidRPr="009F64E9">
        <w:rPr>
          <w:noProof/>
        </w:rPr>
        <w:fldChar w:fldCharType="separate"/>
      </w:r>
      <w:r w:rsidR="000E6B78">
        <w:rPr>
          <w:noProof/>
        </w:rPr>
        <w:t>145</w:t>
      </w:r>
      <w:r w:rsidRPr="009F64E9">
        <w:rPr>
          <w:noProof/>
        </w:rPr>
        <w:fldChar w:fldCharType="end"/>
      </w:r>
    </w:p>
    <w:p w14:paraId="4BE592B1" w14:textId="6E12B58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Method</w:t>
      </w:r>
      <w:r w:rsidRPr="009F64E9">
        <w:rPr>
          <w:noProof/>
        </w:rPr>
        <w:tab/>
      </w:r>
      <w:r w:rsidRPr="009F64E9">
        <w:rPr>
          <w:noProof/>
        </w:rPr>
        <w:fldChar w:fldCharType="begin"/>
      </w:r>
      <w:r w:rsidRPr="009F64E9">
        <w:rPr>
          <w:noProof/>
        </w:rPr>
        <w:instrText xml:space="preserve"> PAGEREF _Toc188350716 \h </w:instrText>
      </w:r>
      <w:r w:rsidRPr="009F64E9">
        <w:rPr>
          <w:noProof/>
        </w:rPr>
      </w:r>
      <w:r w:rsidRPr="009F64E9">
        <w:rPr>
          <w:noProof/>
        </w:rPr>
        <w:fldChar w:fldCharType="separate"/>
      </w:r>
      <w:r w:rsidR="000E6B78">
        <w:rPr>
          <w:noProof/>
        </w:rPr>
        <w:t>145</w:t>
      </w:r>
      <w:r w:rsidRPr="009F64E9">
        <w:rPr>
          <w:noProof/>
        </w:rPr>
        <w:fldChar w:fldCharType="end"/>
      </w:r>
    </w:p>
    <w:p w14:paraId="4139771A" w14:textId="205D7768"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2—Interest relating to current employment—benefit payable only as lump sum</w:t>
      </w:r>
      <w:r w:rsidRPr="009F64E9">
        <w:rPr>
          <w:b w:val="0"/>
          <w:noProof/>
          <w:sz w:val="18"/>
        </w:rPr>
        <w:tab/>
      </w:r>
      <w:r w:rsidRPr="009F64E9">
        <w:rPr>
          <w:b w:val="0"/>
          <w:noProof/>
          <w:sz w:val="18"/>
        </w:rPr>
        <w:fldChar w:fldCharType="begin"/>
      </w:r>
      <w:r w:rsidRPr="009F64E9">
        <w:rPr>
          <w:b w:val="0"/>
          <w:noProof/>
          <w:sz w:val="18"/>
        </w:rPr>
        <w:instrText xml:space="preserve"> PAGEREF _Toc188350717 \h </w:instrText>
      </w:r>
      <w:r w:rsidRPr="009F64E9">
        <w:rPr>
          <w:b w:val="0"/>
          <w:noProof/>
          <w:sz w:val="18"/>
        </w:rPr>
      </w:r>
      <w:r w:rsidRPr="009F64E9">
        <w:rPr>
          <w:b w:val="0"/>
          <w:noProof/>
          <w:sz w:val="18"/>
        </w:rPr>
        <w:fldChar w:fldCharType="separate"/>
      </w:r>
      <w:r w:rsidR="000E6B78">
        <w:rPr>
          <w:b w:val="0"/>
          <w:noProof/>
          <w:sz w:val="18"/>
        </w:rPr>
        <w:t>146</w:t>
      </w:r>
      <w:r w:rsidRPr="009F64E9">
        <w:rPr>
          <w:b w:val="0"/>
          <w:noProof/>
          <w:sz w:val="18"/>
        </w:rPr>
        <w:fldChar w:fldCharType="end"/>
      </w:r>
    </w:p>
    <w:p w14:paraId="549B0260" w14:textId="5F980E4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Method</w:t>
      </w:r>
      <w:r w:rsidRPr="009F64E9">
        <w:rPr>
          <w:noProof/>
        </w:rPr>
        <w:tab/>
      </w:r>
      <w:r w:rsidRPr="009F64E9">
        <w:rPr>
          <w:noProof/>
        </w:rPr>
        <w:fldChar w:fldCharType="begin"/>
      </w:r>
      <w:r w:rsidRPr="009F64E9">
        <w:rPr>
          <w:noProof/>
        </w:rPr>
        <w:instrText xml:space="preserve"> PAGEREF _Toc188350718 \h </w:instrText>
      </w:r>
      <w:r w:rsidRPr="009F64E9">
        <w:rPr>
          <w:noProof/>
        </w:rPr>
      </w:r>
      <w:r w:rsidRPr="009F64E9">
        <w:rPr>
          <w:noProof/>
        </w:rPr>
        <w:fldChar w:fldCharType="separate"/>
      </w:r>
      <w:r w:rsidR="000E6B78">
        <w:rPr>
          <w:noProof/>
        </w:rPr>
        <w:t>146</w:t>
      </w:r>
      <w:r w:rsidRPr="009F64E9">
        <w:rPr>
          <w:noProof/>
        </w:rPr>
        <w:fldChar w:fldCharType="end"/>
      </w:r>
    </w:p>
    <w:p w14:paraId="59B70639" w14:textId="415F2DF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Lump sum valuation factors</w:t>
      </w:r>
      <w:r w:rsidRPr="009F64E9">
        <w:rPr>
          <w:noProof/>
        </w:rPr>
        <w:tab/>
      </w:r>
      <w:r w:rsidRPr="009F64E9">
        <w:rPr>
          <w:noProof/>
        </w:rPr>
        <w:fldChar w:fldCharType="begin"/>
      </w:r>
      <w:r w:rsidRPr="009F64E9">
        <w:rPr>
          <w:noProof/>
        </w:rPr>
        <w:instrText xml:space="preserve"> PAGEREF _Toc188350719 \h </w:instrText>
      </w:r>
      <w:r w:rsidRPr="009F64E9">
        <w:rPr>
          <w:noProof/>
        </w:rPr>
      </w:r>
      <w:r w:rsidRPr="009F64E9">
        <w:rPr>
          <w:noProof/>
        </w:rPr>
        <w:fldChar w:fldCharType="separate"/>
      </w:r>
      <w:r w:rsidR="000E6B78">
        <w:rPr>
          <w:noProof/>
        </w:rPr>
        <w:t>147</w:t>
      </w:r>
      <w:r w:rsidRPr="009F64E9">
        <w:rPr>
          <w:noProof/>
        </w:rPr>
        <w:fldChar w:fldCharType="end"/>
      </w:r>
    </w:p>
    <w:p w14:paraId="5D76A161" w14:textId="055ED42B"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3—Interest relating to current employment—benefit payable only as pension, and member spouse’s age is 65 years or less</w:t>
      </w:r>
      <w:r w:rsidRPr="009F64E9">
        <w:rPr>
          <w:b w:val="0"/>
          <w:noProof/>
          <w:sz w:val="18"/>
        </w:rPr>
        <w:tab/>
      </w:r>
      <w:r w:rsidRPr="009F64E9">
        <w:rPr>
          <w:b w:val="0"/>
          <w:noProof/>
          <w:sz w:val="18"/>
        </w:rPr>
        <w:fldChar w:fldCharType="begin"/>
      </w:r>
      <w:r w:rsidRPr="009F64E9">
        <w:rPr>
          <w:b w:val="0"/>
          <w:noProof/>
          <w:sz w:val="18"/>
        </w:rPr>
        <w:instrText xml:space="preserve"> PAGEREF _Toc188350720 \h </w:instrText>
      </w:r>
      <w:r w:rsidRPr="009F64E9">
        <w:rPr>
          <w:b w:val="0"/>
          <w:noProof/>
          <w:sz w:val="18"/>
        </w:rPr>
      </w:r>
      <w:r w:rsidRPr="009F64E9">
        <w:rPr>
          <w:b w:val="0"/>
          <w:noProof/>
          <w:sz w:val="18"/>
        </w:rPr>
        <w:fldChar w:fldCharType="separate"/>
      </w:r>
      <w:r w:rsidR="000E6B78">
        <w:rPr>
          <w:b w:val="0"/>
          <w:noProof/>
          <w:sz w:val="18"/>
        </w:rPr>
        <w:t>150</w:t>
      </w:r>
      <w:r w:rsidRPr="009F64E9">
        <w:rPr>
          <w:b w:val="0"/>
          <w:noProof/>
          <w:sz w:val="18"/>
        </w:rPr>
        <w:fldChar w:fldCharType="end"/>
      </w:r>
    </w:p>
    <w:p w14:paraId="2B19FCED" w14:textId="2C2B506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Method</w:t>
      </w:r>
      <w:r w:rsidRPr="009F64E9">
        <w:rPr>
          <w:noProof/>
        </w:rPr>
        <w:tab/>
      </w:r>
      <w:r w:rsidRPr="009F64E9">
        <w:rPr>
          <w:noProof/>
        </w:rPr>
        <w:fldChar w:fldCharType="begin"/>
      </w:r>
      <w:r w:rsidRPr="009F64E9">
        <w:rPr>
          <w:noProof/>
        </w:rPr>
        <w:instrText xml:space="preserve"> PAGEREF _Toc188350721 \h </w:instrText>
      </w:r>
      <w:r w:rsidRPr="009F64E9">
        <w:rPr>
          <w:noProof/>
        </w:rPr>
      </w:r>
      <w:r w:rsidRPr="009F64E9">
        <w:rPr>
          <w:noProof/>
        </w:rPr>
        <w:fldChar w:fldCharType="separate"/>
      </w:r>
      <w:r w:rsidR="000E6B78">
        <w:rPr>
          <w:noProof/>
        </w:rPr>
        <w:t>150</w:t>
      </w:r>
      <w:r w:rsidRPr="009F64E9">
        <w:rPr>
          <w:noProof/>
        </w:rPr>
        <w:fldChar w:fldCharType="end"/>
      </w:r>
    </w:p>
    <w:p w14:paraId="1F08DF26" w14:textId="7472075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Valuation factors—no guarantee period—pension not indexed</w:t>
      </w:r>
      <w:r w:rsidRPr="009F64E9">
        <w:rPr>
          <w:noProof/>
        </w:rPr>
        <w:tab/>
      </w:r>
      <w:r w:rsidRPr="009F64E9">
        <w:rPr>
          <w:noProof/>
        </w:rPr>
        <w:fldChar w:fldCharType="begin"/>
      </w:r>
      <w:r w:rsidRPr="009F64E9">
        <w:rPr>
          <w:noProof/>
        </w:rPr>
        <w:instrText xml:space="preserve"> PAGEREF _Toc188350722 \h </w:instrText>
      </w:r>
      <w:r w:rsidRPr="009F64E9">
        <w:rPr>
          <w:noProof/>
        </w:rPr>
      </w:r>
      <w:r w:rsidRPr="009F64E9">
        <w:rPr>
          <w:noProof/>
        </w:rPr>
        <w:fldChar w:fldCharType="separate"/>
      </w:r>
      <w:r w:rsidR="000E6B78">
        <w:rPr>
          <w:noProof/>
        </w:rPr>
        <w:t>150</w:t>
      </w:r>
      <w:r w:rsidRPr="009F64E9">
        <w:rPr>
          <w:noProof/>
        </w:rPr>
        <w:fldChar w:fldCharType="end"/>
      </w:r>
    </w:p>
    <w:p w14:paraId="3265807C" w14:textId="018A868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lastRenderedPageBreak/>
        <w:t>7</w:t>
      </w:r>
      <w:r>
        <w:rPr>
          <w:noProof/>
        </w:rPr>
        <w:tab/>
        <w:t>Valuation factors—no guarantee period—CPI indexed pension</w:t>
      </w:r>
      <w:r w:rsidRPr="009F64E9">
        <w:rPr>
          <w:noProof/>
        </w:rPr>
        <w:tab/>
      </w:r>
      <w:r w:rsidRPr="009F64E9">
        <w:rPr>
          <w:noProof/>
        </w:rPr>
        <w:fldChar w:fldCharType="begin"/>
      </w:r>
      <w:r w:rsidRPr="009F64E9">
        <w:rPr>
          <w:noProof/>
        </w:rPr>
        <w:instrText xml:space="preserve"> PAGEREF _Toc188350723 \h </w:instrText>
      </w:r>
      <w:r w:rsidRPr="009F64E9">
        <w:rPr>
          <w:noProof/>
        </w:rPr>
      </w:r>
      <w:r w:rsidRPr="009F64E9">
        <w:rPr>
          <w:noProof/>
        </w:rPr>
        <w:fldChar w:fldCharType="separate"/>
      </w:r>
      <w:r w:rsidR="000E6B78">
        <w:rPr>
          <w:noProof/>
        </w:rPr>
        <w:t>151</w:t>
      </w:r>
      <w:r w:rsidRPr="009F64E9">
        <w:rPr>
          <w:noProof/>
        </w:rPr>
        <w:fldChar w:fldCharType="end"/>
      </w:r>
    </w:p>
    <w:p w14:paraId="7AFEDA0D" w14:textId="27A1873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Valuation factors—no guarantee period—CPI indexed pension with 5% cap</w:t>
      </w:r>
      <w:r w:rsidRPr="009F64E9">
        <w:rPr>
          <w:noProof/>
        </w:rPr>
        <w:tab/>
      </w:r>
      <w:r w:rsidRPr="009F64E9">
        <w:rPr>
          <w:noProof/>
        </w:rPr>
        <w:fldChar w:fldCharType="begin"/>
      </w:r>
      <w:r w:rsidRPr="009F64E9">
        <w:rPr>
          <w:noProof/>
        </w:rPr>
        <w:instrText xml:space="preserve"> PAGEREF _Toc188350724 \h </w:instrText>
      </w:r>
      <w:r w:rsidRPr="009F64E9">
        <w:rPr>
          <w:noProof/>
        </w:rPr>
      </w:r>
      <w:r w:rsidRPr="009F64E9">
        <w:rPr>
          <w:noProof/>
        </w:rPr>
        <w:fldChar w:fldCharType="separate"/>
      </w:r>
      <w:r w:rsidR="000E6B78">
        <w:rPr>
          <w:noProof/>
        </w:rPr>
        <w:t>152</w:t>
      </w:r>
      <w:r w:rsidRPr="009F64E9">
        <w:rPr>
          <w:noProof/>
        </w:rPr>
        <w:fldChar w:fldCharType="end"/>
      </w:r>
    </w:p>
    <w:p w14:paraId="1E003017" w14:textId="04EC578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Valuation factors—no guarantee period—CPI indexed pension plus 1%</w:t>
      </w:r>
      <w:r w:rsidRPr="009F64E9">
        <w:rPr>
          <w:noProof/>
        </w:rPr>
        <w:tab/>
      </w:r>
      <w:r w:rsidRPr="009F64E9">
        <w:rPr>
          <w:noProof/>
        </w:rPr>
        <w:fldChar w:fldCharType="begin"/>
      </w:r>
      <w:r w:rsidRPr="009F64E9">
        <w:rPr>
          <w:noProof/>
        </w:rPr>
        <w:instrText xml:space="preserve"> PAGEREF _Toc188350725 \h </w:instrText>
      </w:r>
      <w:r w:rsidRPr="009F64E9">
        <w:rPr>
          <w:noProof/>
        </w:rPr>
      </w:r>
      <w:r w:rsidRPr="009F64E9">
        <w:rPr>
          <w:noProof/>
        </w:rPr>
        <w:fldChar w:fldCharType="separate"/>
      </w:r>
      <w:r w:rsidR="000E6B78">
        <w:rPr>
          <w:noProof/>
        </w:rPr>
        <w:t>153</w:t>
      </w:r>
      <w:r w:rsidRPr="009F64E9">
        <w:rPr>
          <w:noProof/>
        </w:rPr>
        <w:fldChar w:fldCharType="end"/>
      </w:r>
    </w:p>
    <w:p w14:paraId="0841B681" w14:textId="267F8E8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Valuation factors—no guarantee period—CPI indexed pension plus 1% with 5% cap</w:t>
      </w:r>
      <w:r w:rsidRPr="009F64E9">
        <w:rPr>
          <w:noProof/>
        </w:rPr>
        <w:tab/>
      </w:r>
      <w:r w:rsidRPr="009F64E9">
        <w:rPr>
          <w:noProof/>
        </w:rPr>
        <w:fldChar w:fldCharType="begin"/>
      </w:r>
      <w:r w:rsidRPr="009F64E9">
        <w:rPr>
          <w:noProof/>
        </w:rPr>
        <w:instrText xml:space="preserve"> PAGEREF _Toc188350726 \h </w:instrText>
      </w:r>
      <w:r w:rsidRPr="009F64E9">
        <w:rPr>
          <w:noProof/>
        </w:rPr>
      </w:r>
      <w:r w:rsidRPr="009F64E9">
        <w:rPr>
          <w:noProof/>
        </w:rPr>
        <w:fldChar w:fldCharType="separate"/>
      </w:r>
      <w:r w:rsidR="000E6B78">
        <w:rPr>
          <w:noProof/>
        </w:rPr>
        <w:t>155</w:t>
      </w:r>
      <w:r w:rsidRPr="009F64E9">
        <w:rPr>
          <w:noProof/>
        </w:rPr>
        <w:fldChar w:fldCharType="end"/>
      </w:r>
    </w:p>
    <w:p w14:paraId="5C0325AA" w14:textId="34D18CA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Valuation factors—no guarantee period—pension indexed at 3%</w:t>
      </w:r>
      <w:r w:rsidRPr="009F64E9">
        <w:rPr>
          <w:noProof/>
        </w:rPr>
        <w:tab/>
      </w:r>
      <w:r w:rsidRPr="009F64E9">
        <w:rPr>
          <w:noProof/>
        </w:rPr>
        <w:fldChar w:fldCharType="begin"/>
      </w:r>
      <w:r w:rsidRPr="009F64E9">
        <w:rPr>
          <w:noProof/>
        </w:rPr>
        <w:instrText xml:space="preserve"> PAGEREF _Toc188350727 \h </w:instrText>
      </w:r>
      <w:r w:rsidRPr="009F64E9">
        <w:rPr>
          <w:noProof/>
        </w:rPr>
      </w:r>
      <w:r w:rsidRPr="009F64E9">
        <w:rPr>
          <w:noProof/>
        </w:rPr>
        <w:fldChar w:fldCharType="separate"/>
      </w:r>
      <w:r w:rsidR="000E6B78">
        <w:rPr>
          <w:noProof/>
        </w:rPr>
        <w:t>156</w:t>
      </w:r>
      <w:r w:rsidRPr="009F64E9">
        <w:rPr>
          <w:noProof/>
        </w:rPr>
        <w:fldChar w:fldCharType="end"/>
      </w:r>
    </w:p>
    <w:p w14:paraId="7FC8CA70" w14:textId="56ACF7D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Valuation factors—no guarantee period—wage indexed pension</w:t>
      </w:r>
      <w:r w:rsidRPr="009F64E9">
        <w:rPr>
          <w:noProof/>
        </w:rPr>
        <w:tab/>
      </w:r>
      <w:r w:rsidRPr="009F64E9">
        <w:rPr>
          <w:noProof/>
        </w:rPr>
        <w:fldChar w:fldCharType="begin"/>
      </w:r>
      <w:r w:rsidRPr="009F64E9">
        <w:rPr>
          <w:noProof/>
        </w:rPr>
        <w:instrText xml:space="preserve"> PAGEREF _Toc188350728 \h </w:instrText>
      </w:r>
      <w:r w:rsidRPr="009F64E9">
        <w:rPr>
          <w:noProof/>
        </w:rPr>
      </w:r>
      <w:r w:rsidRPr="009F64E9">
        <w:rPr>
          <w:noProof/>
        </w:rPr>
        <w:fldChar w:fldCharType="separate"/>
      </w:r>
      <w:r w:rsidR="000E6B78">
        <w:rPr>
          <w:noProof/>
        </w:rPr>
        <w:t>157</w:t>
      </w:r>
      <w:r w:rsidRPr="009F64E9">
        <w:rPr>
          <w:noProof/>
        </w:rPr>
        <w:fldChar w:fldCharType="end"/>
      </w:r>
    </w:p>
    <w:p w14:paraId="550B292A" w14:textId="32ACC3B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Valuation factors—no guarantee period—pension indexed at 4%</w:t>
      </w:r>
      <w:r w:rsidRPr="009F64E9">
        <w:rPr>
          <w:noProof/>
        </w:rPr>
        <w:tab/>
      </w:r>
      <w:r w:rsidRPr="009F64E9">
        <w:rPr>
          <w:noProof/>
        </w:rPr>
        <w:fldChar w:fldCharType="begin"/>
      </w:r>
      <w:r w:rsidRPr="009F64E9">
        <w:rPr>
          <w:noProof/>
        </w:rPr>
        <w:instrText xml:space="preserve"> PAGEREF _Toc188350729 \h </w:instrText>
      </w:r>
      <w:r w:rsidRPr="009F64E9">
        <w:rPr>
          <w:noProof/>
        </w:rPr>
      </w:r>
      <w:r w:rsidRPr="009F64E9">
        <w:rPr>
          <w:noProof/>
        </w:rPr>
        <w:fldChar w:fldCharType="separate"/>
      </w:r>
      <w:r w:rsidR="000E6B78">
        <w:rPr>
          <w:noProof/>
        </w:rPr>
        <w:t>158</w:t>
      </w:r>
      <w:r w:rsidRPr="009F64E9">
        <w:rPr>
          <w:noProof/>
        </w:rPr>
        <w:fldChar w:fldCharType="end"/>
      </w:r>
    </w:p>
    <w:p w14:paraId="2837217A" w14:textId="23646FF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Valuation factors—no guarantee period—pension indexed at 5%</w:t>
      </w:r>
      <w:r w:rsidRPr="009F64E9">
        <w:rPr>
          <w:noProof/>
        </w:rPr>
        <w:tab/>
      </w:r>
      <w:r w:rsidRPr="009F64E9">
        <w:rPr>
          <w:noProof/>
        </w:rPr>
        <w:fldChar w:fldCharType="begin"/>
      </w:r>
      <w:r w:rsidRPr="009F64E9">
        <w:rPr>
          <w:noProof/>
        </w:rPr>
        <w:instrText xml:space="preserve"> PAGEREF _Toc188350730 \h </w:instrText>
      </w:r>
      <w:r w:rsidRPr="009F64E9">
        <w:rPr>
          <w:noProof/>
        </w:rPr>
      </w:r>
      <w:r w:rsidRPr="009F64E9">
        <w:rPr>
          <w:noProof/>
        </w:rPr>
        <w:fldChar w:fldCharType="separate"/>
      </w:r>
      <w:r w:rsidR="000E6B78">
        <w:rPr>
          <w:noProof/>
        </w:rPr>
        <w:t>159</w:t>
      </w:r>
      <w:r w:rsidRPr="009F64E9">
        <w:rPr>
          <w:noProof/>
        </w:rPr>
        <w:fldChar w:fldCharType="end"/>
      </w:r>
    </w:p>
    <w:p w14:paraId="660C0A67" w14:textId="7E66D22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Valuation factors—5</w:t>
      </w:r>
      <w:r>
        <w:rPr>
          <w:noProof/>
        </w:rPr>
        <w:noBreakHyphen/>
        <w:t>year guarantee period—pension not indexed</w:t>
      </w:r>
      <w:r w:rsidRPr="009F64E9">
        <w:rPr>
          <w:noProof/>
        </w:rPr>
        <w:tab/>
      </w:r>
      <w:r w:rsidRPr="009F64E9">
        <w:rPr>
          <w:noProof/>
        </w:rPr>
        <w:fldChar w:fldCharType="begin"/>
      </w:r>
      <w:r w:rsidRPr="009F64E9">
        <w:rPr>
          <w:noProof/>
        </w:rPr>
        <w:instrText xml:space="preserve"> PAGEREF _Toc188350731 \h </w:instrText>
      </w:r>
      <w:r w:rsidRPr="009F64E9">
        <w:rPr>
          <w:noProof/>
        </w:rPr>
      </w:r>
      <w:r w:rsidRPr="009F64E9">
        <w:rPr>
          <w:noProof/>
        </w:rPr>
        <w:fldChar w:fldCharType="separate"/>
      </w:r>
      <w:r w:rsidR="000E6B78">
        <w:rPr>
          <w:noProof/>
        </w:rPr>
        <w:t>160</w:t>
      </w:r>
      <w:r w:rsidRPr="009F64E9">
        <w:rPr>
          <w:noProof/>
        </w:rPr>
        <w:fldChar w:fldCharType="end"/>
      </w:r>
    </w:p>
    <w:p w14:paraId="76F7FD63" w14:textId="7DC91A1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Valuation factors—5</w:t>
      </w:r>
      <w:r>
        <w:rPr>
          <w:noProof/>
        </w:rPr>
        <w:noBreakHyphen/>
        <w:t>year guarantee period—CPI indexed pension</w:t>
      </w:r>
      <w:r w:rsidRPr="009F64E9">
        <w:rPr>
          <w:noProof/>
        </w:rPr>
        <w:tab/>
      </w:r>
      <w:r w:rsidRPr="009F64E9">
        <w:rPr>
          <w:noProof/>
        </w:rPr>
        <w:fldChar w:fldCharType="begin"/>
      </w:r>
      <w:r w:rsidRPr="009F64E9">
        <w:rPr>
          <w:noProof/>
        </w:rPr>
        <w:instrText xml:space="preserve"> PAGEREF _Toc188350732 \h </w:instrText>
      </w:r>
      <w:r w:rsidRPr="009F64E9">
        <w:rPr>
          <w:noProof/>
        </w:rPr>
      </w:r>
      <w:r w:rsidRPr="009F64E9">
        <w:rPr>
          <w:noProof/>
        </w:rPr>
        <w:fldChar w:fldCharType="separate"/>
      </w:r>
      <w:r w:rsidR="000E6B78">
        <w:rPr>
          <w:noProof/>
        </w:rPr>
        <w:t>161</w:t>
      </w:r>
      <w:r w:rsidRPr="009F64E9">
        <w:rPr>
          <w:noProof/>
        </w:rPr>
        <w:fldChar w:fldCharType="end"/>
      </w:r>
    </w:p>
    <w:p w14:paraId="22C0B55B" w14:textId="0826AE2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Valuation factors—5</w:t>
      </w:r>
      <w:r>
        <w:rPr>
          <w:noProof/>
        </w:rPr>
        <w:noBreakHyphen/>
        <w:t>year guarantee period—CPI indexed pension with 5% cap</w:t>
      </w:r>
      <w:r w:rsidRPr="009F64E9">
        <w:rPr>
          <w:noProof/>
        </w:rPr>
        <w:tab/>
      </w:r>
      <w:r w:rsidRPr="009F64E9">
        <w:rPr>
          <w:noProof/>
        </w:rPr>
        <w:fldChar w:fldCharType="begin"/>
      </w:r>
      <w:r w:rsidRPr="009F64E9">
        <w:rPr>
          <w:noProof/>
        </w:rPr>
        <w:instrText xml:space="preserve"> PAGEREF _Toc188350733 \h </w:instrText>
      </w:r>
      <w:r w:rsidRPr="009F64E9">
        <w:rPr>
          <w:noProof/>
        </w:rPr>
      </w:r>
      <w:r w:rsidRPr="009F64E9">
        <w:rPr>
          <w:noProof/>
        </w:rPr>
        <w:fldChar w:fldCharType="separate"/>
      </w:r>
      <w:r w:rsidR="000E6B78">
        <w:rPr>
          <w:noProof/>
        </w:rPr>
        <w:t>162</w:t>
      </w:r>
      <w:r w:rsidRPr="009F64E9">
        <w:rPr>
          <w:noProof/>
        </w:rPr>
        <w:fldChar w:fldCharType="end"/>
      </w:r>
    </w:p>
    <w:p w14:paraId="55FA173C" w14:textId="1C94A74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Valuation factors—5</w:t>
      </w:r>
      <w:r>
        <w:rPr>
          <w:noProof/>
        </w:rPr>
        <w:noBreakHyphen/>
        <w:t>year guarantee period—CPI indexed pension plus 1%</w:t>
      </w:r>
      <w:r w:rsidRPr="009F64E9">
        <w:rPr>
          <w:noProof/>
        </w:rPr>
        <w:tab/>
      </w:r>
      <w:r w:rsidRPr="009F64E9">
        <w:rPr>
          <w:noProof/>
        </w:rPr>
        <w:fldChar w:fldCharType="begin"/>
      </w:r>
      <w:r w:rsidRPr="009F64E9">
        <w:rPr>
          <w:noProof/>
        </w:rPr>
        <w:instrText xml:space="preserve"> PAGEREF _Toc188350734 \h </w:instrText>
      </w:r>
      <w:r w:rsidRPr="009F64E9">
        <w:rPr>
          <w:noProof/>
        </w:rPr>
      </w:r>
      <w:r w:rsidRPr="009F64E9">
        <w:rPr>
          <w:noProof/>
        </w:rPr>
        <w:fldChar w:fldCharType="separate"/>
      </w:r>
      <w:r w:rsidR="000E6B78">
        <w:rPr>
          <w:noProof/>
        </w:rPr>
        <w:t>163</w:t>
      </w:r>
      <w:r w:rsidRPr="009F64E9">
        <w:rPr>
          <w:noProof/>
        </w:rPr>
        <w:fldChar w:fldCharType="end"/>
      </w:r>
    </w:p>
    <w:p w14:paraId="765A34F5" w14:textId="3A2EEA2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Valuation factors—5</w:t>
      </w:r>
      <w:r>
        <w:rPr>
          <w:noProof/>
        </w:rPr>
        <w:noBreakHyphen/>
        <w:t>year guarantee period—CPI indexed pension plus 1% with 5% cap</w:t>
      </w:r>
      <w:r w:rsidRPr="009F64E9">
        <w:rPr>
          <w:noProof/>
        </w:rPr>
        <w:tab/>
      </w:r>
      <w:r w:rsidRPr="009F64E9">
        <w:rPr>
          <w:noProof/>
        </w:rPr>
        <w:fldChar w:fldCharType="begin"/>
      </w:r>
      <w:r w:rsidRPr="009F64E9">
        <w:rPr>
          <w:noProof/>
        </w:rPr>
        <w:instrText xml:space="preserve"> PAGEREF _Toc188350735 \h </w:instrText>
      </w:r>
      <w:r w:rsidRPr="009F64E9">
        <w:rPr>
          <w:noProof/>
        </w:rPr>
      </w:r>
      <w:r w:rsidRPr="009F64E9">
        <w:rPr>
          <w:noProof/>
        </w:rPr>
        <w:fldChar w:fldCharType="separate"/>
      </w:r>
      <w:r w:rsidR="000E6B78">
        <w:rPr>
          <w:noProof/>
        </w:rPr>
        <w:t>164</w:t>
      </w:r>
      <w:r w:rsidRPr="009F64E9">
        <w:rPr>
          <w:noProof/>
        </w:rPr>
        <w:fldChar w:fldCharType="end"/>
      </w:r>
    </w:p>
    <w:p w14:paraId="7DAE84E0" w14:textId="1B6EC9D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Valuation factors—5</w:t>
      </w:r>
      <w:r>
        <w:rPr>
          <w:noProof/>
        </w:rPr>
        <w:noBreakHyphen/>
        <w:t>year guarantee period—pension indexed at 3%</w:t>
      </w:r>
      <w:r w:rsidRPr="009F64E9">
        <w:rPr>
          <w:noProof/>
        </w:rPr>
        <w:tab/>
      </w:r>
      <w:r w:rsidRPr="009F64E9">
        <w:rPr>
          <w:noProof/>
        </w:rPr>
        <w:fldChar w:fldCharType="begin"/>
      </w:r>
      <w:r w:rsidRPr="009F64E9">
        <w:rPr>
          <w:noProof/>
        </w:rPr>
        <w:instrText xml:space="preserve"> PAGEREF _Toc188350736 \h </w:instrText>
      </w:r>
      <w:r w:rsidRPr="009F64E9">
        <w:rPr>
          <w:noProof/>
        </w:rPr>
      </w:r>
      <w:r w:rsidRPr="009F64E9">
        <w:rPr>
          <w:noProof/>
        </w:rPr>
        <w:fldChar w:fldCharType="separate"/>
      </w:r>
      <w:r w:rsidR="000E6B78">
        <w:rPr>
          <w:noProof/>
        </w:rPr>
        <w:t>165</w:t>
      </w:r>
      <w:r w:rsidRPr="009F64E9">
        <w:rPr>
          <w:noProof/>
        </w:rPr>
        <w:fldChar w:fldCharType="end"/>
      </w:r>
    </w:p>
    <w:p w14:paraId="2B2C788B" w14:textId="7AC9C1C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Valuation factors—5</w:t>
      </w:r>
      <w:r>
        <w:rPr>
          <w:noProof/>
        </w:rPr>
        <w:noBreakHyphen/>
        <w:t>year guarantee period—wage indexed pension</w:t>
      </w:r>
      <w:r w:rsidRPr="009F64E9">
        <w:rPr>
          <w:noProof/>
        </w:rPr>
        <w:tab/>
      </w:r>
      <w:r w:rsidRPr="009F64E9">
        <w:rPr>
          <w:noProof/>
        </w:rPr>
        <w:fldChar w:fldCharType="begin"/>
      </w:r>
      <w:r w:rsidRPr="009F64E9">
        <w:rPr>
          <w:noProof/>
        </w:rPr>
        <w:instrText xml:space="preserve"> PAGEREF _Toc188350737 \h </w:instrText>
      </w:r>
      <w:r w:rsidRPr="009F64E9">
        <w:rPr>
          <w:noProof/>
        </w:rPr>
      </w:r>
      <w:r w:rsidRPr="009F64E9">
        <w:rPr>
          <w:noProof/>
        </w:rPr>
        <w:fldChar w:fldCharType="separate"/>
      </w:r>
      <w:r w:rsidR="000E6B78">
        <w:rPr>
          <w:noProof/>
        </w:rPr>
        <w:t>166</w:t>
      </w:r>
      <w:r w:rsidRPr="009F64E9">
        <w:rPr>
          <w:noProof/>
        </w:rPr>
        <w:fldChar w:fldCharType="end"/>
      </w:r>
    </w:p>
    <w:p w14:paraId="64192703" w14:textId="449F5C8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Valuation factors—5</w:t>
      </w:r>
      <w:r>
        <w:rPr>
          <w:noProof/>
        </w:rPr>
        <w:noBreakHyphen/>
        <w:t>year guarantee period—pension indexed at 4%</w:t>
      </w:r>
      <w:r w:rsidRPr="009F64E9">
        <w:rPr>
          <w:noProof/>
        </w:rPr>
        <w:tab/>
      </w:r>
      <w:r w:rsidRPr="009F64E9">
        <w:rPr>
          <w:noProof/>
        </w:rPr>
        <w:fldChar w:fldCharType="begin"/>
      </w:r>
      <w:r w:rsidRPr="009F64E9">
        <w:rPr>
          <w:noProof/>
        </w:rPr>
        <w:instrText xml:space="preserve"> PAGEREF _Toc188350738 \h </w:instrText>
      </w:r>
      <w:r w:rsidRPr="009F64E9">
        <w:rPr>
          <w:noProof/>
        </w:rPr>
      </w:r>
      <w:r w:rsidRPr="009F64E9">
        <w:rPr>
          <w:noProof/>
        </w:rPr>
        <w:fldChar w:fldCharType="separate"/>
      </w:r>
      <w:r w:rsidR="000E6B78">
        <w:rPr>
          <w:noProof/>
        </w:rPr>
        <w:t>167</w:t>
      </w:r>
      <w:r w:rsidRPr="009F64E9">
        <w:rPr>
          <w:noProof/>
        </w:rPr>
        <w:fldChar w:fldCharType="end"/>
      </w:r>
    </w:p>
    <w:p w14:paraId="33FA98F9" w14:textId="20385DC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Valuation factors—5</w:t>
      </w:r>
      <w:r>
        <w:rPr>
          <w:noProof/>
        </w:rPr>
        <w:noBreakHyphen/>
        <w:t>year guarantee period—pension indexed at 5%</w:t>
      </w:r>
      <w:r w:rsidRPr="009F64E9">
        <w:rPr>
          <w:noProof/>
        </w:rPr>
        <w:tab/>
      </w:r>
      <w:r w:rsidRPr="009F64E9">
        <w:rPr>
          <w:noProof/>
        </w:rPr>
        <w:fldChar w:fldCharType="begin"/>
      </w:r>
      <w:r w:rsidRPr="009F64E9">
        <w:rPr>
          <w:noProof/>
        </w:rPr>
        <w:instrText xml:space="preserve"> PAGEREF _Toc188350739 \h </w:instrText>
      </w:r>
      <w:r w:rsidRPr="009F64E9">
        <w:rPr>
          <w:noProof/>
        </w:rPr>
      </w:r>
      <w:r w:rsidRPr="009F64E9">
        <w:rPr>
          <w:noProof/>
        </w:rPr>
        <w:fldChar w:fldCharType="separate"/>
      </w:r>
      <w:r w:rsidR="000E6B78">
        <w:rPr>
          <w:noProof/>
        </w:rPr>
        <w:t>168</w:t>
      </w:r>
      <w:r w:rsidRPr="009F64E9">
        <w:rPr>
          <w:noProof/>
        </w:rPr>
        <w:fldChar w:fldCharType="end"/>
      </w:r>
    </w:p>
    <w:p w14:paraId="2FCB5E1A" w14:textId="43457B6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Valuation factors—10</w:t>
      </w:r>
      <w:r>
        <w:rPr>
          <w:noProof/>
        </w:rPr>
        <w:noBreakHyphen/>
        <w:t>year guarantee period—pension not indexed</w:t>
      </w:r>
      <w:r w:rsidRPr="009F64E9">
        <w:rPr>
          <w:noProof/>
        </w:rPr>
        <w:tab/>
      </w:r>
      <w:r w:rsidRPr="009F64E9">
        <w:rPr>
          <w:noProof/>
        </w:rPr>
        <w:fldChar w:fldCharType="begin"/>
      </w:r>
      <w:r w:rsidRPr="009F64E9">
        <w:rPr>
          <w:noProof/>
        </w:rPr>
        <w:instrText xml:space="preserve"> PAGEREF _Toc188350740 \h </w:instrText>
      </w:r>
      <w:r w:rsidRPr="009F64E9">
        <w:rPr>
          <w:noProof/>
        </w:rPr>
      </w:r>
      <w:r w:rsidRPr="009F64E9">
        <w:rPr>
          <w:noProof/>
        </w:rPr>
        <w:fldChar w:fldCharType="separate"/>
      </w:r>
      <w:r w:rsidR="000E6B78">
        <w:rPr>
          <w:noProof/>
        </w:rPr>
        <w:t>169</w:t>
      </w:r>
      <w:r w:rsidRPr="009F64E9">
        <w:rPr>
          <w:noProof/>
        </w:rPr>
        <w:fldChar w:fldCharType="end"/>
      </w:r>
    </w:p>
    <w:p w14:paraId="27E5D686" w14:textId="77A13C2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Valuation factors—10</w:t>
      </w:r>
      <w:r>
        <w:rPr>
          <w:noProof/>
        </w:rPr>
        <w:noBreakHyphen/>
        <w:t>year guarantee period—CPI indexed pension</w:t>
      </w:r>
      <w:r w:rsidRPr="009F64E9">
        <w:rPr>
          <w:noProof/>
        </w:rPr>
        <w:tab/>
      </w:r>
      <w:r w:rsidRPr="009F64E9">
        <w:rPr>
          <w:noProof/>
        </w:rPr>
        <w:fldChar w:fldCharType="begin"/>
      </w:r>
      <w:r w:rsidRPr="009F64E9">
        <w:rPr>
          <w:noProof/>
        </w:rPr>
        <w:instrText xml:space="preserve"> PAGEREF _Toc188350741 \h </w:instrText>
      </w:r>
      <w:r w:rsidRPr="009F64E9">
        <w:rPr>
          <w:noProof/>
        </w:rPr>
      </w:r>
      <w:r w:rsidRPr="009F64E9">
        <w:rPr>
          <w:noProof/>
        </w:rPr>
        <w:fldChar w:fldCharType="separate"/>
      </w:r>
      <w:r w:rsidR="000E6B78">
        <w:rPr>
          <w:noProof/>
        </w:rPr>
        <w:t>170</w:t>
      </w:r>
      <w:r w:rsidRPr="009F64E9">
        <w:rPr>
          <w:noProof/>
        </w:rPr>
        <w:fldChar w:fldCharType="end"/>
      </w:r>
    </w:p>
    <w:p w14:paraId="3763ACAB" w14:textId="1D82511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Valuation factors—10</w:t>
      </w:r>
      <w:r>
        <w:rPr>
          <w:noProof/>
        </w:rPr>
        <w:noBreakHyphen/>
        <w:t>year guarantee period—CPI indexed pension with 5% cap</w:t>
      </w:r>
      <w:r w:rsidRPr="009F64E9">
        <w:rPr>
          <w:noProof/>
        </w:rPr>
        <w:tab/>
      </w:r>
      <w:r w:rsidRPr="009F64E9">
        <w:rPr>
          <w:noProof/>
        </w:rPr>
        <w:fldChar w:fldCharType="begin"/>
      </w:r>
      <w:r w:rsidRPr="009F64E9">
        <w:rPr>
          <w:noProof/>
        </w:rPr>
        <w:instrText xml:space="preserve"> PAGEREF _Toc188350742 \h </w:instrText>
      </w:r>
      <w:r w:rsidRPr="009F64E9">
        <w:rPr>
          <w:noProof/>
        </w:rPr>
      </w:r>
      <w:r w:rsidRPr="009F64E9">
        <w:rPr>
          <w:noProof/>
        </w:rPr>
        <w:fldChar w:fldCharType="separate"/>
      </w:r>
      <w:r w:rsidR="000E6B78">
        <w:rPr>
          <w:noProof/>
        </w:rPr>
        <w:t>171</w:t>
      </w:r>
      <w:r w:rsidRPr="009F64E9">
        <w:rPr>
          <w:noProof/>
        </w:rPr>
        <w:fldChar w:fldCharType="end"/>
      </w:r>
    </w:p>
    <w:p w14:paraId="05E3FBBC" w14:textId="1000C06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Valuation factors—10</w:t>
      </w:r>
      <w:r>
        <w:rPr>
          <w:noProof/>
        </w:rPr>
        <w:noBreakHyphen/>
        <w:t>year guarantee period—CPI indexed pension plus 1%</w:t>
      </w:r>
      <w:r w:rsidRPr="009F64E9">
        <w:rPr>
          <w:noProof/>
        </w:rPr>
        <w:tab/>
      </w:r>
      <w:r w:rsidRPr="009F64E9">
        <w:rPr>
          <w:noProof/>
        </w:rPr>
        <w:fldChar w:fldCharType="begin"/>
      </w:r>
      <w:r w:rsidRPr="009F64E9">
        <w:rPr>
          <w:noProof/>
        </w:rPr>
        <w:instrText xml:space="preserve"> PAGEREF _Toc188350743 \h </w:instrText>
      </w:r>
      <w:r w:rsidRPr="009F64E9">
        <w:rPr>
          <w:noProof/>
        </w:rPr>
      </w:r>
      <w:r w:rsidRPr="009F64E9">
        <w:rPr>
          <w:noProof/>
        </w:rPr>
        <w:fldChar w:fldCharType="separate"/>
      </w:r>
      <w:r w:rsidR="000E6B78">
        <w:rPr>
          <w:noProof/>
        </w:rPr>
        <w:t>172</w:t>
      </w:r>
      <w:r w:rsidRPr="009F64E9">
        <w:rPr>
          <w:noProof/>
        </w:rPr>
        <w:fldChar w:fldCharType="end"/>
      </w:r>
    </w:p>
    <w:p w14:paraId="163D0615" w14:textId="74DA7AD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Valuation factors—10</w:t>
      </w:r>
      <w:r>
        <w:rPr>
          <w:noProof/>
        </w:rPr>
        <w:noBreakHyphen/>
        <w:t>year guarantee period—CPI indexed pension plus 1% with 5% cap</w:t>
      </w:r>
      <w:r w:rsidRPr="009F64E9">
        <w:rPr>
          <w:noProof/>
        </w:rPr>
        <w:tab/>
      </w:r>
      <w:r w:rsidRPr="009F64E9">
        <w:rPr>
          <w:noProof/>
        </w:rPr>
        <w:fldChar w:fldCharType="begin"/>
      </w:r>
      <w:r w:rsidRPr="009F64E9">
        <w:rPr>
          <w:noProof/>
        </w:rPr>
        <w:instrText xml:space="preserve"> PAGEREF _Toc188350744 \h </w:instrText>
      </w:r>
      <w:r w:rsidRPr="009F64E9">
        <w:rPr>
          <w:noProof/>
        </w:rPr>
      </w:r>
      <w:r w:rsidRPr="009F64E9">
        <w:rPr>
          <w:noProof/>
        </w:rPr>
        <w:fldChar w:fldCharType="separate"/>
      </w:r>
      <w:r w:rsidR="000E6B78">
        <w:rPr>
          <w:noProof/>
        </w:rPr>
        <w:t>173</w:t>
      </w:r>
      <w:r w:rsidRPr="009F64E9">
        <w:rPr>
          <w:noProof/>
        </w:rPr>
        <w:fldChar w:fldCharType="end"/>
      </w:r>
    </w:p>
    <w:p w14:paraId="3E1F229B" w14:textId="293F6CA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Valuation factors—10</w:t>
      </w:r>
      <w:r>
        <w:rPr>
          <w:noProof/>
        </w:rPr>
        <w:noBreakHyphen/>
        <w:t>year guarantee period—pension indexed at 3%</w:t>
      </w:r>
      <w:r w:rsidRPr="009F64E9">
        <w:rPr>
          <w:noProof/>
        </w:rPr>
        <w:tab/>
      </w:r>
      <w:r w:rsidRPr="009F64E9">
        <w:rPr>
          <w:noProof/>
        </w:rPr>
        <w:fldChar w:fldCharType="begin"/>
      </w:r>
      <w:r w:rsidRPr="009F64E9">
        <w:rPr>
          <w:noProof/>
        </w:rPr>
        <w:instrText xml:space="preserve"> PAGEREF _Toc188350745 \h </w:instrText>
      </w:r>
      <w:r w:rsidRPr="009F64E9">
        <w:rPr>
          <w:noProof/>
        </w:rPr>
      </w:r>
      <w:r w:rsidRPr="009F64E9">
        <w:rPr>
          <w:noProof/>
        </w:rPr>
        <w:fldChar w:fldCharType="separate"/>
      </w:r>
      <w:r w:rsidR="000E6B78">
        <w:rPr>
          <w:noProof/>
        </w:rPr>
        <w:t>175</w:t>
      </w:r>
      <w:r w:rsidRPr="009F64E9">
        <w:rPr>
          <w:noProof/>
        </w:rPr>
        <w:fldChar w:fldCharType="end"/>
      </w:r>
    </w:p>
    <w:p w14:paraId="4B7F5904" w14:textId="61F7E9E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Valuation factors—10</w:t>
      </w:r>
      <w:r>
        <w:rPr>
          <w:noProof/>
        </w:rPr>
        <w:noBreakHyphen/>
        <w:t>year guarantee period—wage indexed pension</w:t>
      </w:r>
      <w:r w:rsidRPr="009F64E9">
        <w:rPr>
          <w:noProof/>
        </w:rPr>
        <w:tab/>
      </w:r>
      <w:r w:rsidRPr="009F64E9">
        <w:rPr>
          <w:noProof/>
        </w:rPr>
        <w:fldChar w:fldCharType="begin"/>
      </w:r>
      <w:r w:rsidRPr="009F64E9">
        <w:rPr>
          <w:noProof/>
        </w:rPr>
        <w:instrText xml:space="preserve"> PAGEREF _Toc188350746 \h </w:instrText>
      </w:r>
      <w:r w:rsidRPr="009F64E9">
        <w:rPr>
          <w:noProof/>
        </w:rPr>
      </w:r>
      <w:r w:rsidRPr="009F64E9">
        <w:rPr>
          <w:noProof/>
        </w:rPr>
        <w:fldChar w:fldCharType="separate"/>
      </w:r>
      <w:r w:rsidR="000E6B78">
        <w:rPr>
          <w:noProof/>
        </w:rPr>
        <w:t>176</w:t>
      </w:r>
      <w:r w:rsidRPr="009F64E9">
        <w:rPr>
          <w:noProof/>
        </w:rPr>
        <w:fldChar w:fldCharType="end"/>
      </w:r>
    </w:p>
    <w:p w14:paraId="6F86DDF2" w14:textId="4845BD2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Valuation factors—10</w:t>
      </w:r>
      <w:r>
        <w:rPr>
          <w:noProof/>
        </w:rPr>
        <w:noBreakHyphen/>
        <w:t>year guarantee period—pension indexed at 4%</w:t>
      </w:r>
      <w:r w:rsidRPr="009F64E9">
        <w:rPr>
          <w:noProof/>
        </w:rPr>
        <w:tab/>
      </w:r>
      <w:r w:rsidRPr="009F64E9">
        <w:rPr>
          <w:noProof/>
        </w:rPr>
        <w:fldChar w:fldCharType="begin"/>
      </w:r>
      <w:r w:rsidRPr="009F64E9">
        <w:rPr>
          <w:noProof/>
        </w:rPr>
        <w:instrText xml:space="preserve"> PAGEREF _Toc188350747 \h </w:instrText>
      </w:r>
      <w:r w:rsidRPr="009F64E9">
        <w:rPr>
          <w:noProof/>
        </w:rPr>
      </w:r>
      <w:r w:rsidRPr="009F64E9">
        <w:rPr>
          <w:noProof/>
        </w:rPr>
        <w:fldChar w:fldCharType="separate"/>
      </w:r>
      <w:r w:rsidR="000E6B78">
        <w:rPr>
          <w:noProof/>
        </w:rPr>
        <w:t>177</w:t>
      </w:r>
      <w:r w:rsidRPr="009F64E9">
        <w:rPr>
          <w:noProof/>
        </w:rPr>
        <w:fldChar w:fldCharType="end"/>
      </w:r>
    </w:p>
    <w:p w14:paraId="23FD718B" w14:textId="4C084BA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Valuation factors—10</w:t>
      </w:r>
      <w:r>
        <w:rPr>
          <w:noProof/>
        </w:rPr>
        <w:noBreakHyphen/>
        <w:t>year guarantee period—pension indexed at 5%</w:t>
      </w:r>
      <w:r w:rsidRPr="009F64E9">
        <w:rPr>
          <w:noProof/>
        </w:rPr>
        <w:tab/>
      </w:r>
      <w:r w:rsidRPr="009F64E9">
        <w:rPr>
          <w:noProof/>
        </w:rPr>
        <w:fldChar w:fldCharType="begin"/>
      </w:r>
      <w:r w:rsidRPr="009F64E9">
        <w:rPr>
          <w:noProof/>
        </w:rPr>
        <w:instrText xml:space="preserve"> PAGEREF _Toc188350748 \h </w:instrText>
      </w:r>
      <w:r w:rsidRPr="009F64E9">
        <w:rPr>
          <w:noProof/>
        </w:rPr>
      </w:r>
      <w:r w:rsidRPr="009F64E9">
        <w:rPr>
          <w:noProof/>
        </w:rPr>
        <w:fldChar w:fldCharType="separate"/>
      </w:r>
      <w:r w:rsidR="000E6B78">
        <w:rPr>
          <w:noProof/>
        </w:rPr>
        <w:t>178</w:t>
      </w:r>
      <w:r w:rsidRPr="009F64E9">
        <w:rPr>
          <w:noProof/>
        </w:rPr>
        <w:fldChar w:fldCharType="end"/>
      </w:r>
    </w:p>
    <w:p w14:paraId="4CF9B93D" w14:textId="53DE04CF"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4—Interest relating to current employment—benefit payable only as pension, and member spouse’s age is more than 65 years</w:t>
      </w:r>
      <w:r w:rsidRPr="009F64E9">
        <w:rPr>
          <w:b w:val="0"/>
          <w:noProof/>
          <w:sz w:val="18"/>
        </w:rPr>
        <w:tab/>
      </w:r>
      <w:r w:rsidRPr="009F64E9">
        <w:rPr>
          <w:b w:val="0"/>
          <w:noProof/>
          <w:sz w:val="18"/>
        </w:rPr>
        <w:fldChar w:fldCharType="begin"/>
      </w:r>
      <w:r w:rsidRPr="009F64E9">
        <w:rPr>
          <w:b w:val="0"/>
          <w:noProof/>
          <w:sz w:val="18"/>
        </w:rPr>
        <w:instrText xml:space="preserve"> PAGEREF _Toc188350749 \h </w:instrText>
      </w:r>
      <w:r w:rsidRPr="009F64E9">
        <w:rPr>
          <w:b w:val="0"/>
          <w:noProof/>
          <w:sz w:val="18"/>
        </w:rPr>
      </w:r>
      <w:r w:rsidRPr="009F64E9">
        <w:rPr>
          <w:b w:val="0"/>
          <w:noProof/>
          <w:sz w:val="18"/>
        </w:rPr>
        <w:fldChar w:fldCharType="separate"/>
      </w:r>
      <w:r w:rsidR="000E6B78">
        <w:rPr>
          <w:b w:val="0"/>
          <w:noProof/>
          <w:sz w:val="18"/>
        </w:rPr>
        <w:t>179</w:t>
      </w:r>
      <w:r w:rsidRPr="009F64E9">
        <w:rPr>
          <w:b w:val="0"/>
          <w:noProof/>
          <w:sz w:val="18"/>
        </w:rPr>
        <w:fldChar w:fldCharType="end"/>
      </w:r>
    </w:p>
    <w:p w14:paraId="2344278A" w14:textId="3BF2F19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Method—pension has no guarantee period</w:t>
      </w:r>
      <w:r w:rsidRPr="009F64E9">
        <w:rPr>
          <w:noProof/>
        </w:rPr>
        <w:tab/>
      </w:r>
      <w:r w:rsidRPr="009F64E9">
        <w:rPr>
          <w:noProof/>
        </w:rPr>
        <w:fldChar w:fldCharType="begin"/>
      </w:r>
      <w:r w:rsidRPr="009F64E9">
        <w:rPr>
          <w:noProof/>
        </w:rPr>
        <w:instrText xml:space="preserve"> PAGEREF _Toc188350750 \h </w:instrText>
      </w:r>
      <w:r w:rsidRPr="009F64E9">
        <w:rPr>
          <w:noProof/>
        </w:rPr>
      </w:r>
      <w:r w:rsidRPr="009F64E9">
        <w:rPr>
          <w:noProof/>
        </w:rPr>
        <w:fldChar w:fldCharType="separate"/>
      </w:r>
      <w:r w:rsidR="000E6B78">
        <w:rPr>
          <w:noProof/>
        </w:rPr>
        <w:t>179</w:t>
      </w:r>
      <w:r w:rsidRPr="009F64E9">
        <w:rPr>
          <w:noProof/>
        </w:rPr>
        <w:fldChar w:fldCharType="end"/>
      </w:r>
    </w:p>
    <w:p w14:paraId="08AD8C76" w14:textId="68E3F55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Method—pension has a guarantee period</w:t>
      </w:r>
      <w:r w:rsidRPr="009F64E9">
        <w:rPr>
          <w:noProof/>
        </w:rPr>
        <w:tab/>
      </w:r>
      <w:r w:rsidRPr="009F64E9">
        <w:rPr>
          <w:noProof/>
        </w:rPr>
        <w:fldChar w:fldCharType="begin"/>
      </w:r>
      <w:r w:rsidRPr="009F64E9">
        <w:rPr>
          <w:noProof/>
        </w:rPr>
        <w:instrText xml:space="preserve"> PAGEREF _Toc188350751 \h </w:instrText>
      </w:r>
      <w:r w:rsidRPr="009F64E9">
        <w:rPr>
          <w:noProof/>
        </w:rPr>
      </w:r>
      <w:r w:rsidRPr="009F64E9">
        <w:rPr>
          <w:noProof/>
        </w:rPr>
        <w:fldChar w:fldCharType="separate"/>
      </w:r>
      <w:r w:rsidR="000E6B78">
        <w:rPr>
          <w:noProof/>
        </w:rPr>
        <w:t>179</w:t>
      </w:r>
      <w:r w:rsidRPr="009F64E9">
        <w:rPr>
          <w:noProof/>
        </w:rPr>
        <w:fldChar w:fldCharType="end"/>
      </w:r>
    </w:p>
    <w:p w14:paraId="04F24E9B" w14:textId="3C44C466"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5—Interest relating to current employment—benefit payable as combination of lump sum and pension</w:t>
      </w:r>
      <w:r w:rsidRPr="009F64E9">
        <w:rPr>
          <w:b w:val="0"/>
          <w:noProof/>
          <w:sz w:val="18"/>
        </w:rPr>
        <w:tab/>
      </w:r>
      <w:r w:rsidRPr="009F64E9">
        <w:rPr>
          <w:b w:val="0"/>
          <w:noProof/>
          <w:sz w:val="18"/>
        </w:rPr>
        <w:fldChar w:fldCharType="begin"/>
      </w:r>
      <w:r w:rsidRPr="009F64E9">
        <w:rPr>
          <w:b w:val="0"/>
          <w:noProof/>
          <w:sz w:val="18"/>
        </w:rPr>
        <w:instrText xml:space="preserve"> PAGEREF _Toc188350752 \h </w:instrText>
      </w:r>
      <w:r w:rsidRPr="009F64E9">
        <w:rPr>
          <w:b w:val="0"/>
          <w:noProof/>
          <w:sz w:val="18"/>
        </w:rPr>
      </w:r>
      <w:r w:rsidRPr="009F64E9">
        <w:rPr>
          <w:b w:val="0"/>
          <w:noProof/>
          <w:sz w:val="18"/>
        </w:rPr>
        <w:fldChar w:fldCharType="separate"/>
      </w:r>
      <w:r w:rsidR="000E6B78">
        <w:rPr>
          <w:b w:val="0"/>
          <w:noProof/>
          <w:sz w:val="18"/>
        </w:rPr>
        <w:t>180</w:t>
      </w:r>
      <w:r w:rsidRPr="009F64E9">
        <w:rPr>
          <w:b w:val="0"/>
          <w:noProof/>
          <w:sz w:val="18"/>
        </w:rPr>
        <w:fldChar w:fldCharType="end"/>
      </w:r>
    </w:p>
    <w:p w14:paraId="5EBE4B93" w14:textId="728D333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Method—no restriction on combination of lump sum and pension that may be taken</w:t>
      </w:r>
      <w:r w:rsidRPr="009F64E9">
        <w:rPr>
          <w:noProof/>
        </w:rPr>
        <w:tab/>
      </w:r>
      <w:r w:rsidRPr="009F64E9">
        <w:rPr>
          <w:noProof/>
        </w:rPr>
        <w:fldChar w:fldCharType="begin"/>
      </w:r>
      <w:r w:rsidRPr="009F64E9">
        <w:rPr>
          <w:noProof/>
        </w:rPr>
        <w:instrText xml:space="preserve"> PAGEREF _Toc188350753 \h </w:instrText>
      </w:r>
      <w:r w:rsidRPr="009F64E9">
        <w:rPr>
          <w:noProof/>
        </w:rPr>
      </w:r>
      <w:r w:rsidRPr="009F64E9">
        <w:rPr>
          <w:noProof/>
        </w:rPr>
        <w:fldChar w:fldCharType="separate"/>
      </w:r>
      <w:r w:rsidR="000E6B78">
        <w:rPr>
          <w:noProof/>
        </w:rPr>
        <w:t>180</w:t>
      </w:r>
      <w:r w:rsidRPr="009F64E9">
        <w:rPr>
          <w:noProof/>
        </w:rPr>
        <w:fldChar w:fldCharType="end"/>
      </w:r>
    </w:p>
    <w:p w14:paraId="45663A3E" w14:textId="6267595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Method—restriction on proportion of pension that may be commuted to lump sum</w:t>
      </w:r>
      <w:r w:rsidRPr="009F64E9">
        <w:rPr>
          <w:noProof/>
        </w:rPr>
        <w:tab/>
      </w:r>
      <w:r w:rsidRPr="009F64E9">
        <w:rPr>
          <w:noProof/>
        </w:rPr>
        <w:fldChar w:fldCharType="begin"/>
      </w:r>
      <w:r w:rsidRPr="009F64E9">
        <w:rPr>
          <w:noProof/>
        </w:rPr>
        <w:instrText xml:space="preserve"> PAGEREF _Toc188350754 \h </w:instrText>
      </w:r>
      <w:r w:rsidRPr="009F64E9">
        <w:rPr>
          <w:noProof/>
        </w:rPr>
      </w:r>
      <w:r w:rsidRPr="009F64E9">
        <w:rPr>
          <w:noProof/>
        </w:rPr>
        <w:fldChar w:fldCharType="separate"/>
      </w:r>
      <w:r w:rsidR="000E6B78">
        <w:rPr>
          <w:noProof/>
        </w:rPr>
        <w:t>180</w:t>
      </w:r>
      <w:r w:rsidRPr="009F64E9">
        <w:rPr>
          <w:noProof/>
        </w:rPr>
        <w:fldChar w:fldCharType="end"/>
      </w:r>
    </w:p>
    <w:p w14:paraId="7DD52F51" w14:textId="5832E02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Method—restriction on lump sum amount that may be converted to pension</w:t>
      </w:r>
      <w:r w:rsidRPr="009F64E9">
        <w:rPr>
          <w:noProof/>
        </w:rPr>
        <w:tab/>
      </w:r>
      <w:r w:rsidRPr="009F64E9">
        <w:rPr>
          <w:noProof/>
        </w:rPr>
        <w:fldChar w:fldCharType="begin"/>
      </w:r>
      <w:r w:rsidRPr="009F64E9">
        <w:rPr>
          <w:noProof/>
        </w:rPr>
        <w:instrText xml:space="preserve"> PAGEREF _Toc188350755 \h </w:instrText>
      </w:r>
      <w:r w:rsidRPr="009F64E9">
        <w:rPr>
          <w:noProof/>
        </w:rPr>
      </w:r>
      <w:r w:rsidRPr="009F64E9">
        <w:rPr>
          <w:noProof/>
        </w:rPr>
        <w:fldChar w:fldCharType="separate"/>
      </w:r>
      <w:r w:rsidR="000E6B78">
        <w:rPr>
          <w:noProof/>
        </w:rPr>
        <w:t>181</w:t>
      </w:r>
      <w:r w:rsidRPr="009F64E9">
        <w:rPr>
          <w:noProof/>
        </w:rPr>
        <w:fldChar w:fldCharType="end"/>
      </w:r>
    </w:p>
    <w:p w14:paraId="76852B9C" w14:textId="5611E57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Conversion of accrued benefit multiple</w:t>
      </w:r>
      <w:r w:rsidRPr="009F64E9">
        <w:rPr>
          <w:noProof/>
        </w:rPr>
        <w:tab/>
      </w:r>
      <w:r w:rsidRPr="009F64E9">
        <w:rPr>
          <w:noProof/>
        </w:rPr>
        <w:fldChar w:fldCharType="begin"/>
      </w:r>
      <w:r w:rsidRPr="009F64E9">
        <w:rPr>
          <w:noProof/>
        </w:rPr>
        <w:instrText xml:space="preserve"> PAGEREF _Toc188350756 \h </w:instrText>
      </w:r>
      <w:r w:rsidRPr="009F64E9">
        <w:rPr>
          <w:noProof/>
        </w:rPr>
      </w:r>
      <w:r w:rsidRPr="009F64E9">
        <w:rPr>
          <w:noProof/>
        </w:rPr>
        <w:fldChar w:fldCharType="separate"/>
      </w:r>
      <w:r w:rsidR="000E6B78">
        <w:rPr>
          <w:noProof/>
        </w:rPr>
        <w:t>181</w:t>
      </w:r>
      <w:r w:rsidRPr="009F64E9">
        <w:rPr>
          <w:noProof/>
        </w:rPr>
        <w:fldChar w:fldCharType="end"/>
      </w:r>
    </w:p>
    <w:p w14:paraId="6DE7032B" w14:textId="3D940F24"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6—Interest relating to former employment—benefit payable only as lump sum</w:t>
      </w:r>
      <w:r w:rsidRPr="009F64E9">
        <w:rPr>
          <w:b w:val="0"/>
          <w:noProof/>
          <w:sz w:val="18"/>
        </w:rPr>
        <w:tab/>
      </w:r>
      <w:r w:rsidRPr="009F64E9">
        <w:rPr>
          <w:b w:val="0"/>
          <w:noProof/>
          <w:sz w:val="18"/>
        </w:rPr>
        <w:fldChar w:fldCharType="begin"/>
      </w:r>
      <w:r w:rsidRPr="009F64E9">
        <w:rPr>
          <w:b w:val="0"/>
          <w:noProof/>
          <w:sz w:val="18"/>
        </w:rPr>
        <w:instrText xml:space="preserve"> PAGEREF _Toc188350757 \h </w:instrText>
      </w:r>
      <w:r w:rsidRPr="009F64E9">
        <w:rPr>
          <w:b w:val="0"/>
          <w:noProof/>
          <w:sz w:val="18"/>
        </w:rPr>
      </w:r>
      <w:r w:rsidRPr="009F64E9">
        <w:rPr>
          <w:b w:val="0"/>
          <w:noProof/>
          <w:sz w:val="18"/>
        </w:rPr>
        <w:fldChar w:fldCharType="separate"/>
      </w:r>
      <w:r w:rsidR="000E6B78">
        <w:rPr>
          <w:b w:val="0"/>
          <w:noProof/>
          <w:sz w:val="18"/>
        </w:rPr>
        <w:t>183</w:t>
      </w:r>
      <w:r w:rsidRPr="009F64E9">
        <w:rPr>
          <w:b w:val="0"/>
          <w:noProof/>
          <w:sz w:val="18"/>
        </w:rPr>
        <w:fldChar w:fldCharType="end"/>
      </w:r>
    </w:p>
    <w:p w14:paraId="5271806E" w14:textId="7C075C3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Method—lump sum comprising different components</w:t>
      </w:r>
      <w:r w:rsidRPr="009F64E9">
        <w:rPr>
          <w:noProof/>
        </w:rPr>
        <w:tab/>
      </w:r>
      <w:r w:rsidRPr="009F64E9">
        <w:rPr>
          <w:noProof/>
        </w:rPr>
        <w:fldChar w:fldCharType="begin"/>
      </w:r>
      <w:r w:rsidRPr="009F64E9">
        <w:rPr>
          <w:noProof/>
        </w:rPr>
        <w:instrText xml:space="preserve"> PAGEREF _Toc188350758 \h </w:instrText>
      </w:r>
      <w:r w:rsidRPr="009F64E9">
        <w:rPr>
          <w:noProof/>
        </w:rPr>
      </w:r>
      <w:r w:rsidRPr="009F64E9">
        <w:rPr>
          <w:noProof/>
        </w:rPr>
        <w:fldChar w:fldCharType="separate"/>
      </w:r>
      <w:r w:rsidR="000E6B78">
        <w:rPr>
          <w:noProof/>
        </w:rPr>
        <w:t>183</w:t>
      </w:r>
      <w:r w:rsidRPr="009F64E9">
        <w:rPr>
          <w:noProof/>
        </w:rPr>
        <w:fldChar w:fldCharType="end"/>
      </w:r>
    </w:p>
    <w:p w14:paraId="6758E6E2" w14:textId="695CC15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Discount valuation factors</w:t>
      </w:r>
      <w:r w:rsidRPr="009F64E9">
        <w:rPr>
          <w:noProof/>
        </w:rPr>
        <w:tab/>
      </w:r>
      <w:r w:rsidRPr="009F64E9">
        <w:rPr>
          <w:noProof/>
        </w:rPr>
        <w:fldChar w:fldCharType="begin"/>
      </w:r>
      <w:r w:rsidRPr="009F64E9">
        <w:rPr>
          <w:noProof/>
        </w:rPr>
        <w:instrText xml:space="preserve"> PAGEREF _Toc188350759 \h </w:instrText>
      </w:r>
      <w:r w:rsidRPr="009F64E9">
        <w:rPr>
          <w:noProof/>
        </w:rPr>
      </w:r>
      <w:r w:rsidRPr="009F64E9">
        <w:rPr>
          <w:noProof/>
        </w:rPr>
        <w:fldChar w:fldCharType="separate"/>
      </w:r>
      <w:r w:rsidR="000E6B78">
        <w:rPr>
          <w:noProof/>
        </w:rPr>
        <w:t>184</w:t>
      </w:r>
      <w:r w:rsidRPr="009F64E9">
        <w:rPr>
          <w:noProof/>
        </w:rPr>
        <w:fldChar w:fldCharType="end"/>
      </w:r>
    </w:p>
    <w:p w14:paraId="589E4DA8" w14:textId="608FE04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Method—lump sum (other than lump sum comprising different components)</w:t>
      </w:r>
      <w:r w:rsidRPr="009F64E9">
        <w:rPr>
          <w:noProof/>
        </w:rPr>
        <w:tab/>
      </w:r>
      <w:r w:rsidRPr="009F64E9">
        <w:rPr>
          <w:noProof/>
        </w:rPr>
        <w:fldChar w:fldCharType="begin"/>
      </w:r>
      <w:r w:rsidRPr="009F64E9">
        <w:rPr>
          <w:noProof/>
        </w:rPr>
        <w:instrText xml:space="preserve"> PAGEREF _Toc188350760 \h </w:instrText>
      </w:r>
      <w:r w:rsidRPr="009F64E9">
        <w:rPr>
          <w:noProof/>
        </w:rPr>
      </w:r>
      <w:r w:rsidRPr="009F64E9">
        <w:rPr>
          <w:noProof/>
        </w:rPr>
        <w:fldChar w:fldCharType="separate"/>
      </w:r>
      <w:r w:rsidR="000E6B78">
        <w:rPr>
          <w:noProof/>
        </w:rPr>
        <w:t>185</w:t>
      </w:r>
      <w:r w:rsidRPr="009F64E9">
        <w:rPr>
          <w:noProof/>
        </w:rPr>
        <w:fldChar w:fldCharType="end"/>
      </w:r>
    </w:p>
    <w:p w14:paraId="4C1612E7" w14:textId="7A1620A4"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7—Interest relating to former employment—benefit payable only as pension</w:t>
      </w:r>
      <w:r w:rsidRPr="009F64E9">
        <w:rPr>
          <w:b w:val="0"/>
          <w:noProof/>
          <w:sz w:val="18"/>
        </w:rPr>
        <w:tab/>
      </w:r>
      <w:r w:rsidRPr="009F64E9">
        <w:rPr>
          <w:b w:val="0"/>
          <w:noProof/>
          <w:sz w:val="18"/>
        </w:rPr>
        <w:fldChar w:fldCharType="begin"/>
      </w:r>
      <w:r w:rsidRPr="009F64E9">
        <w:rPr>
          <w:b w:val="0"/>
          <w:noProof/>
          <w:sz w:val="18"/>
        </w:rPr>
        <w:instrText xml:space="preserve"> PAGEREF _Toc188350761 \h </w:instrText>
      </w:r>
      <w:r w:rsidRPr="009F64E9">
        <w:rPr>
          <w:b w:val="0"/>
          <w:noProof/>
          <w:sz w:val="18"/>
        </w:rPr>
      </w:r>
      <w:r w:rsidRPr="009F64E9">
        <w:rPr>
          <w:b w:val="0"/>
          <w:noProof/>
          <w:sz w:val="18"/>
        </w:rPr>
        <w:fldChar w:fldCharType="separate"/>
      </w:r>
      <w:r w:rsidR="000E6B78">
        <w:rPr>
          <w:b w:val="0"/>
          <w:noProof/>
          <w:sz w:val="18"/>
        </w:rPr>
        <w:t>186</w:t>
      </w:r>
      <w:r w:rsidRPr="009F64E9">
        <w:rPr>
          <w:b w:val="0"/>
          <w:noProof/>
          <w:sz w:val="18"/>
        </w:rPr>
        <w:fldChar w:fldCharType="end"/>
      </w:r>
    </w:p>
    <w:p w14:paraId="05DFFED7" w14:textId="1A8E896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Method—pension payable periodically</w:t>
      </w:r>
      <w:r w:rsidRPr="009F64E9">
        <w:rPr>
          <w:noProof/>
        </w:rPr>
        <w:tab/>
      </w:r>
      <w:r w:rsidRPr="009F64E9">
        <w:rPr>
          <w:noProof/>
        </w:rPr>
        <w:fldChar w:fldCharType="begin"/>
      </w:r>
      <w:r w:rsidRPr="009F64E9">
        <w:rPr>
          <w:noProof/>
        </w:rPr>
        <w:instrText xml:space="preserve"> PAGEREF _Toc188350762 \h </w:instrText>
      </w:r>
      <w:r w:rsidRPr="009F64E9">
        <w:rPr>
          <w:noProof/>
        </w:rPr>
      </w:r>
      <w:r w:rsidRPr="009F64E9">
        <w:rPr>
          <w:noProof/>
        </w:rPr>
        <w:fldChar w:fldCharType="separate"/>
      </w:r>
      <w:r w:rsidR="000E6B78">
        <w:rPr>
          <w:noProof/>
        </w:rPr>
        <w:t>186</w:t>
      </w:r>
      <w:r w:rsidRPr="009F64E9">
        <w:rPr>
          <w:noProof/>
        </w:rPr>
        <w:fldChar w:fldCharType="end"/>
      </w:r>
    </w:p>
    <w:p w14:paraId="7D402630" w14:textId="748C5CC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lastRenderedPageBreak/>
        <w:t>43</w:t>
      </w:r>
      <w:r>
        <w:rPr>
          <w:noProof/>
        </w:rPr>
        <w:tab/>
        <w:t>Discount valuation factors</w:t>
      </w:r>
      <w:r w:rsidRPr="009F64E9">
        <w:rPr>
          <w:noProof/>
        </w:rPr>
        <w:tab/>
      </w:r>
      <w:r w:rsidRPr="009F64E9">
        <w:rPr>
          <w:noProof/>
        </w:rPr>
        <w:fldChar w:fldCharType="begin"/>
      </w:r>
      <w:r w:rsidRPr="009F64E9">
        <w:rPr>
          <w:noProof/>
        </w:rPr>
        <w:instrText xml:space="preserve"> PAGEREF _Toc188350763 \h </w:instrText>
      </w:r>
      <w:r w:rsidRPr="009F64E9">
        <w:rPr>
          <w:noProof/>
        </w:rPr>
      </w:r>
      <w:r w:rsidRPr="009F64E9">
        <w:rPr>
          <w:noProof/>
        </w:rPr>
        <w:fldChar w:fldCharType="separate"/>
      </w:r>
      <w:r w:rsidR="000E6B78">
        <w:rPr>
          <w:noProof/>
        </w:rPr>
        <w:t>187</w:t>
      </w:r>
      <w:r w:rsidRPr="009F64E9">
        <w:rPr>
          <w:noProof/>
        </w:rPr>
        <w:fldChar w:fldCharType="end"/>
      </w:r>
    </w:p>
    <w:p w14:paraId="21060676" w14:textId="13211A3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Method—conversion of lump sum to pension</w:t>
      </w:r>
      <w:r w:rsidRPr="009F64E9">
        <w:rPr>
          <w:noProof/>
        </w:rPr>
        <w:tab/>
      </w:r>
      <w:r w:rsidRPr="009F64E9">
        <w:rPr>
          <w:noProof/>
        </w:rPr>
        <w:fldChar w:fldCharType="begin"/>
      </w:r>
      <w:r w:rsidRPr="009F64E9">
        <w:rPr>
          <w:noProof/>
        </w:rPr>
        <w:instrText xml:space="preserve"> PAGEREF _Toc188350764 \h </w:instrText>
      </w:r>
      <w:r w:rsidRPr="009F64E9">
        <w:rPr>
          <w:noProof/>
        </w:rPr>
      </w:r>
      <w:r w:rsidRPr="009F64E9">
        <w:rPr>
          <w:noProof/>
        </w:rPr>
        <w:fldChar w:fldCharType="separate"/>
      </w:r>
      <w:r w:rsidR="000E6B78">
        <w:rPr>
          <w:noProof/>
        </w:rPr>
        <w:t>189</w:t>
      </w:r>
      <w:r w:rsidRPr="009F64E9">
        <w:rPr>
          <w:noProof/>
        </w:rPr>
        <w:fldChar w:fldCharType="end"/>
      </w:r>
    </w:p>
    <w:p w14:paraId="7F329CA1" w14:textId="635FAE58"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8—Interest relating to former employment—benefit payable as combination of lump sum and pension</w:t>
      </w:r>
      <w:r w:rsidRPr="009F64E9">
        <w:rPr>
          <w:b w:val="0"/>
          <w:noProof/>
          <w:sz w:val="18"/>
        </w:rPr>
        <w:tab/>
      </w:r>
      <w:r w:rsidRPr="009F64E9">
        <w:rPr>
          <w:b w:val="0"/>
          <w:noProof/>
          <w:sz w:val="18"/>
        </w:rPr>
        <w:fldChar w:fldCharType="begin"/>
      </w:r>
      <w:r w:rsidRPr="009F64E9">
        <w:rPr>
          <w:b w:val="0"/>
          <w:noProof/>
          <w:sz w:val="18"/>
        </w:rPr>
        <w:instrText xml:space="preserve"> PAGEREF _Toc188350765 \h </w:instrText>
      </w:r>
      <w:r w:rsidRPr="009F64E9">
        <w:rPr>
          <w:b w:val="0"/>
          <w:noProof/>
          <w:sz w:val="18"/>
        </w:rPr>
      </w:r>
      <w:r w:rsidRPr="009F64E9">
        <w:rPr>
          <w:b w:val="0"/>
          <w:noProof/>
          <w:sz w:val="18"/>
        </w:rPr>
        <w:fldChar w:fldCharType="separate"/>
      </w:r>
      <w:r w:rsidR="000E6B78">
        <w:rPr>
          <w:b w:val="0"/>
          <w:noProof/>
          <w:sz w:val="18"/>
        </w:rPr>
        <w:t>190</w:t>
      </w:r>
      <w:r w:rsidRPr="009F64E9">
        <w:rPr>
          <w:b w:val="0"/>
          <w:noProof/>
          <w:sz w:val="18"/>
        </w:rPr>
        <w:fldChar w:fldCharType="end"/>
      </w:r>
    </w:p>
    <w:p w14:paraId="53AFBC6E" w14:textId="512744D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Method—no restriction on combination of lump sum and pension that may be taken</w:t>
      </w:r>
      <w:r w:rsidRPr="009F64E9">
        <w:rPr>
          <w:noProof/>
        </w:rPr>
        <w:tab/>
      </w:r>
      <w:r w:rsidRPr="009F64E9">
        <w:rPr>
          <w:noProof/>
        </w:rPr>
        <w:fldChar w:fldCharType="begin"/>
      </w:r>
      <w:r w:rsidRPr="009F64E9">
        <w:rPr>
          <w:noProof/>
        </w:rPr>
        <w:instrText xml:space="preserve"> PAGEREF _Toc188350766 \h </w:instrText>
      </w:r>
      <w:r w:rsidRPr="009F64E9">
        <w:rPr>
          <w:noProof/>
        </w:rPr>
      </w:r>
      <w:r w:rsidRPr="009F64E9">
        <w:rPr>
          <w:noProof/>
        </w:rPr>
        <w:fldChar w:fldCharType="separate"/>
      </w:r>
      <w:r w:rsidR="000E6B78">
        <w:rPr>
          <w:noProof/>
        </w:rPr>
        <w:t>190</w:t>
      </w:r>
      <w:r w:rsidRPr="009F64E9">
        <w:rPr>
          <w:noProof/>
        </w:rPr>
        <w:fldChar w:fldCharType="end"/>
      </w:r>
    </w:p>
    <w:p w14:paraId="17DCB030" w14:textId="274DA5C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Method—restriction on proportion of pension that may be commuted to lump sum</w:t>
      </w:r>
      <w:r w:rsidRPr="009F64E9">
        <w:rPr>
          <w:noProof/>
        </w:rPr>
        <w:tab/>
      </w:r>
      <w:r w:rsidRPr="009F64E9">
        <w:rPr>
          <w:noProof/>
        </w:rPr>
        <w:fldChar w:fldCharType="begin"/>
      </w:r>
      <w:r w:rsidRPr="009F64E9">
        <w:rPr>
          <w:noProof/>
        </w:rPr>
        <w:instrText xml:space="preserve"> PAGEREF _Toc188350767 \h </w:instrText>
      </w:r>
      <w:r w:rsidRPr="009F64E9">
        <w:rPr>
          <w:noProof/>
        </w:rPr>
      </w:r>
      <w:r w:rsidRPr="009F64E9">
        <w:rPr>
          <w:noProof/>
        </w:rPr>
        <w:fldChar w:fldCharType="separate"/>
      </w:r>
      <w:r w:rsidR="000E6B78">
        <w:rPr>
          <w:noProof/>
        </w:rPr>
        <w:t>190</w:t>
      </w:r>
      <w:r w:rsidRPr="009F64E9">
        <w:rPr>
          <w:noProof/>
        </w:rPr>
        <w:fldChar w:fldCharType="end"/>
      </w:r>
    </w:p>
    <w:p w14:paraId="085FEE51" w14:textId="18DC334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Method—restriction on lump sum amount that may be taken as pension</w:t>
      </w:r>
      <w:r w:rsidRPr="009F64E9">
        <w:rPr>
          <w:noProof/>
        </w:rPr>
        <w:tab/>
      </w:r>
      <w:r w:rsidRPr="009F64E9">
        <w:rPr>
          <w:noProof/>
        </w:rPr>
        <w:fldChar w:fldCharType="begin"/>
      </w:r>
      <w:r w:rsidRPr="009F64E9">
        <w:rPr>
          <w:noProof/>
        </w:rPr>
        <w:instrText xml:space="preserve"> PAGEREF _Toc188350768 \h </w:instrText>
      </w:r>
      <w:r w:rsidRPr="009F64E9">
        <w:rPr>
          <w:noProof/>
        </w:rPr>
      </w:r>
      <w:r w:rsidRPr="009F64E9">
        <w:rPr>
          <w:noProof/>
        </w:rPr>
        <w:fldChar w:fldCharType="separate"/>
      </w:r>
      <w:r w:rsidR="000E6B78">
        <w:rPr>
          <w:noProof/>
        </w:rPr>
        <w:t>191</w:t>
      </w:r>
      <w:r w:rsidRPr="009F64E9">
        <w:rPr>
          <w:noProof/>
        </w:rPr>
        <w:fldChar w:fldCharType="end"/>
      </w:r>
    </w:p>
    <w:p w14:paraId="63465AD6" w14:textId="19B13CDD"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4—Method for determining gross value of partially vested accumulation interest</w:t>
      </w:r>
      <w:r w:rsidRPr="009F64E9">
        <w:rPr>
          <w:b w:val="0"/>
          <w:noProof/>
          <w:sz w:val="18"/>
        </w:rPr>
        <w:tab/>
      </w:r>
      <w:r w:rsidRPr="009F64E9">
        <w:rPr>
          <w:b w:val="0"/>
          <w:noProof/>
          <w:sz w:val="18"/>
        </w:rPr>
        <w:fldChar w:fldCharType="begin"/>
      </w:r>
      <w:r w:rsidRPr="009F64E9">
        <w:rPr>
          <w:b w:val="0"/>
          <w:noProof/>
          <w:sz w:val="18"/>
        </w:rPr>
        <w:instrText xml:space="preserve"> PAGEREF _Toc188350769 \h </w:instrText>
      </w:r>
      <w:r w:rsidRPr="009F64E9">
        <w:rPr>
          <w:b w:val="0"/>
          <w:noProof/>
          <w:sz w:val="18"/>
        </w:rPr>
      </w:r>
      <w:r w:rsidRPr="009F64E9">
        <w:rPr>
          <w:b w:val="0"/>
          <w:noProof/>
          <w:sz w:val="18"/>
        </w:rPr>
        <w:fldChar w:fldCharType="separate"/>
      </w:r>
      <w:r w:rsidR="000E6B78">
        <w:rPr>
          <w:b w:val="0"/>
          <w:noProof/>
          <w:sz w:val="18"/>
        </w:rPr>
        <w:t>192</w:t>
      </w:r>
      <w:r w:rsidRPr="009F64E9">
        <w:rPr>
          <w:b w:val="0"/>
          <w:noProof/>
          <w:sz w:val="18"/>
        </w:rPr>
        <w:fldChar w:fldCharType="end"/>
      </w:r>
    </w:p>
    <w:p w14:paraId="1D17B38A" w14:textId="103ADFA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_Toc188350770 \h </w:instrText>
      </w:r>
      <w:r w:rsidRPr="009F64E9">
        <w:rPr>
          <w:noProof/>
        </w:rPr>
      </w:r>
      <w:r w:rsidRPr="009F64E9">
        <w:rPr>
          <w:noProof/>
        </w:rPr>
        <w:fldChar w:fldCharType="separate"/>
      </w:r>
      <w:r w:rsidR="000E6B78">
        <w:rPr>
          <w:noProof/>
        </w:rPr>
        <w:t>192</w:t>
      </w:r>
      <w:r w:rsidRPr="009F64E9">
        <w:rPr>
          <w:noProof/>
        </w:rPr>
        <w:fldChar w:fldCharType="end"/>
      </w:r>
    </w:p>
    <w:p w14:paraId="314F68E9" w14:textId="447C355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Method</w:t>
      </w:r>
      <w:r w:rsidRPr="009F64E9">
        <w:rPr>
          <w:noProof/>
        </w:rPr>
        <w:tab/>
      </w:r>
      <w:r w:rsidRPr="009F64E9">
        <w:rPr>
          <w:noProof/>
        </w:rPr>
        <w:fldChar w:fldCharType="begin"/>
      </w:r>
      <w:r w:rsidRPr="009F64E9">
        <w:rPr>
          <w:noProof/>
        </w:rPr>
        <w:instrText xml:space="preserve"> PAGEREF _Toc188350771 \h </w:instrText>
      </w:r>
      <w:r w:rsidRPr="009F64E9">
        <w:rPr>
          <w:noProof/>
        </w:rPr>
      </w:r>
      <w:r w:rsidRPr="009F64E9">
        <w:rPr>
          <w:noProof/>
        </w:rPr>
        <w:fldChar w:fldCharType="separate"/>
      </w:r>
      <w:r w:rsidR="000E6B78">
        <w:rPr>
          <w:noProof/>
        </w:rPr>
        <w:t>192</w:t>
      </w:r>
      <w:r w:rsidRPr="009F64E9">
        <w:rPr>
          <w:noProof/>
        </w:rPr>
        <w:fldChar w:fldCharType="end"/>
      </w:r>
    </w:p>
    <w:p w14:paraId="4E7879D3" w14:textId="5BDEA55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Actual vested benefit</w:t>
      </w:r>
      <w:r w:rsidRPr="009F64E9">
        <w:rPr>
          <w:noProof/>
        </w:rPr>
        <w:tab/>
      </w:r>
      <w:r w:rsidRPr="009F64E9">
        <w:rPr>
          <w:noProof/>
        </w:rPr>
        <w:fldChar w:fldCharType="begin"/>
      </w:r>
      <w:r w:rsidRPr="009F64E9">
        <w:rPr>
          <w:noProof/>
        </w:rPr>
        <w:instrText xml:space="preserve"> PAGEREF _Toc188350772 \h </w:instrText>
      </w:r>
      <w:r w:rsidRPr="009F64E9">
        <w:rPr>
          <w:noProof/>
        </w:rPr>
      </w:r>
      <w:r w:rsidRPr="009F64E9">
        <w:rPr>
          <w:noProof/>
        </w:rPr>
        <w:fldChar w:fldCharType="separate"/>
      </w:r>
      <w:r w:rsidR="000E6B78">
        <w:rPr>
          <w:noProof/>
        </w:rPr>
        <w:t>193</w:t>
      </w:r>
      <w:r w:rsidRPr="009F64E9">
        <w:rPr>
          <w:noProof/>
        </w:rPr>
        <w:fldChar w:fldCharType="end"/>
      </w:r>
    </w:p>
    <w:p w14:paraId="7EE682EB" w14:textId="5442CCA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Total amount standing to credit of member spouse if benefit were fully vested at relevant date</w:t>
      </w:r>
      <w:r w:rsidRPr="009F64E9">
        <w:rPr>
          <w:noProof/>
        </w:rPr>
        <w:tab/>
      </w:r>
      <w:r w:rsidRPr="009F64E9">
        <w:rPr>
          <w:noProof/>
        </w:rPr>
        <w:fldChar w:fldCharType="begin"/>
      </w:r>
      <w:r w:rsidRPr="009F64E9">
        <w:rPr>
          <w:noProof/>
        </w:rPr>
        <w:instrText xml:space="preserve"> PAGEREF _Toc188350773 \h </w:instrText>
      </w:r>
      <w:r w:rsidRPr="009F64E9">
        <w:rPr>
          <w:noProof/>
        </w:rPr>
      </w:r>
      <w:r w:rsidRPr="009F64E9">
        <w:rPr>
          <w:noProof/>
        </w:rPr>
        <w:fldChar w:fldCharType="separate"/>
      </w:r>
      <w:r w:rsidR="000E6B78">
        <w:rPr>
          <w:noProof/>
        </w:rPr>
        <w:t>196</w:t>
      </w:r>
      <w:r w:rsidRPr="009F64E9">
        <w:rPr>
          <w:noProof/>
        </w:rPr>
        <w:fldChar w:fldCharType="end"/>
      </w:r>
    </w:p>
    <w:p w14:paraId="6C396775" w14:textId="239B103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Vesting factors</w:t>
      </w:r>
      <w:r w:rsidRPr="009F64E9">
        <w:rPr>
          <w:noProof/>
        </w:rPr>
        <w:tab/>
      </w:r>
      <w:r w:rsidRPr="009F64E9">
        <w:rPr>
          <w:noProof/>
        </w:rPr>
        <w:fldChar w:fldCharType="begin"/>
      </w:r>
      <w:r w:rsidRPr="009F64E9">
        <w:rPr>
          <w:noProof/>
        </w:rPr>
        <w:instrText xml:space="preserve"> PAGEREF _Toc188350774 \h </w:instrText>
      </w:r>
      <w:r w:rsidRPr="009F64E9">
        <w:rPr>
          <w:noProof/>
        </w:rPr>
      </w:r>
      <w:r w:rsidRPr="009F64E9">
        <w:rPr>
          <w:noProof/>
        </w:rPr>
        <w:fldChar w:fldCharType="separate"/>
      </w:r>
      <w:r w:rsidR="000E6B78">
        <w:rPr>
          <w:noProof/>
        </w:rPr>
        <w:t>198</w:t>
      </w:r>
      <w:r w:rsidRPr="009F64E9">
        <w:rPr>
          <w:noProof/>
        </w:rPr>
        <w:fldChar w:fldCharType="end"/>
      </w:r>
    </w:p>
    <w:p w14:paraId="7142D788" w14:textId="5FFD8DB6"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5—Method for determining gross value of superannuation interest payable as life pension (otherwise than due to invalidity)</w:t>
      </w:r>
      <w:r w:rsidRPr="009F64E9">
        <w:rPr>
          <w:b w:val="0"/>
          <w:noProof/>
          <w:sz w:val="18"/>
        </w:rPr>
        <w:tab/>
      </w:r>
      <w:r w:rsidRPr="009F64E9">
        <w:rPr>
          <w:b w:val="0"/>
          <w:noProof/>
          <w:sz w:val="18"/>
        </w:rPr>
        <w:fldChar w:fldCharType="begin"/>
      </w:r>
      <w:r w:rsidRPr="009F64E9">
        <w:rPr>
          <w:b w:val="0"/>
          <w:noProof/>
          <w:sz w:val="18"/>
        </w:rPr>
        <w:instrText xml:space="preserve"> PAGEREF _Toc188350775 \h </w:instrText>
      </w:r>
      <w:r w:rsidRPr="009F64E9">
        <w:rPr>
          <w:b w:val="0"/>
          <w:noProof/>
          <w:sz w:val="18"/>
        </w:rPr>
      </w:r>
      <w:r w:rsidRPr="009F64E9">
        <w:rPr>
          <w:b w:val="0"/>
          <w:noProof/>
          <w:sz w:val="18"/>
        </w:rPr>
        <w:fldChar w:fldCharType="separate"/>
      </w:r>
      <w:r w:rsidR="000E6B78">
        <w:rPr>
          <w:b w:val="0"/>
          <w:noProof/>
          <w:sz w:val="18"/>
        </w:rPr>
        <w:t>200</w:t>
      </w:r>
      <w:r w:rsidRPr="009F64E9">
        <w:rPr>
          <w:b w:val="0"/>
          <w:noProof/>
          <w:sz w:val="18"/>
        </w:rPr>
        <w:fldChar w:fldCharType="end"/>
      </w:r>
    </w:p>
    <w:p w14:paraId="2C536921" w14:textId="2FB3BEDE"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1—Preliminary</w:t>
      </w:r>
      <w:r w:rsidRPr="009F64E9">
        <w:rPr>
          <w:b w:val="0"/>
          <w:noProof/>
          <w:sz w:val="18"/>
        </w:rPr>
        <w:tab/>
      </w:r>
      <w:r w:rsidRPr="009F64E9">
        <w:rPr>
          <w:b w:val="0"/>
          <w:noProof/>
          <w:sz w:val="18"/>
        </w:rPr>
        <w:fldChar w:fldCharType="begin"/>
      </w:r>
      <w:r w:rsidRPr="009F64E9">
        <w:rPr>
          <w:b w:val="0"/>
          <w:noProof/>
          <w:sz w:val="18"/>
        </w:rPr>
        <w:instrText xml:space="preserve"> PAGEREF _Toc188350776 \h </w:instrText>
      </w:r>
      <w:r w:rsidRPr="009F64E9">
        <w:rPr>
          <w:b w:val="0"/>
          <w:noProof/>
          <w:sz w:val="18"/>
        </w:rPr>
      </w:r>
      <w:r w:rsidRPr="009F64E9">
        <w:rPr>
          <w:b w:val="0"/>
          <w:noProof/>
          <w:sz w:val="18"/>
        </w:rPr>
        <w:fldChar w:fldCharType="separate"/>
      </w:r>
      <w:r w:rsidR="000E6B78">
        <w:rPr>
          <w:b w:val="0"/>
          <w:noProof/>
          <w:sz w:val="18"/>
        </w:rPr>
        <w:t>200</w:t>
      </w:r>
      <w:r w:rsidRPr="009F64E9">
        <w:rPr>
          <w:b w:val="0"/>
          <w:noProof/>
          <w:sz w:val="18"/>
        </w:rPr>
        <w:fldChar w:fldCharType="end"/>
      </w:r>
    </w:p>
    <w:p w14:paraId="16F4E00C" w14:textId="39C3C33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_Toc188350777 \h </w:instrText>
      </w:r>
      <w:r w:rsidRPr="009F64E9">
        <w:rPr>
          <w:noProof/>
        </w:rPr>
      </w:r>
      <w:r w:rsidRPr="009F64E9">
        <w:rPr>
          <w:noProof/>
        </w:rPr>
        <w:fldChar w:fldCharType="separate"/>
      </w:r>
      <w:r w:rsidR="000E6B78">
        <w:rPr>
          <w:noProof/>
        </w:rPr>
        <w:t>200</w:t>
      </w:r>
      <w:r w:rsidRPr="009F64E9">
        <w:rPr>
          <w:noProof/>
        </w:rPr>
        <w:fldChar w:fldCharType="end"/>
      </w:r>
    </w:p>
    <w:p w14:paraId="4B43E3A8" w14:textId="7F69E482"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2—Interest has no guarantee period, or guarantee period has already ended</w:t>
      </w:r>
      <w:r w:rsidRPr="009F64E9">
        <w:rPr>
          <w:b w:val="0"/>
          <w:noProof/>
          <w:sz w:val="18"/>
        </w:rPr>
        <w:tab/>
      </w:r>
      <w:r w:rsidRPr="009F64E9">
        <w:rPr>
          <w:b w:val="0"/>
          <w:noProof/>
          <w:sz w:val="18"/>
        </w:rPr>
        <w:fldChar w:fldCharType="begin"/>
      </w:r>
      <w:r w:rsidRPr="009F64E9">
        <w:rPr>
          <w:b w:val="0"/>
          <w:noProof/>
          <w:sz w:val="18"/>
        </w:rPr>
        <w:instrText xml:space="preserve"> PAGEREF _Toc188350778 \h </w:instrText>
      </w:r>
      <w:r w:rsidRPr="009F64E9">
        <w:rPr>
          <w:b w:val="0"/>
          <w:noProof/>
          <w:sz w:val="18"/>
        </w:rPr>
      </w:r>
      <w:r w:rsidRPr="009F64E9">
        <w:rPr>
          <w:b w:val="0"/>
          <w:noProof/>
          <w:sz w:val="18"/>
        </w:rPr>
        <w:fldChar w:fldCharType="separate"/>
      </w:r>
      <w:r w:rsidR="000E6B78">
        <w:rPr>
          <w:b w:val="0"/>
          <w:noProof/>
          <w:sz w:val="18"/>
        </w:rPr>
        <w:t>201</w:t>
      </w:r>
      <w:r w:rsidRPr="009F64E9">
        <w:rPr>
          <w:b w:val="0"/>
          <w:noProof/>
          <w:sz w:val="18"/>
        </w:rPr>
        <w:fldChar w:fldCharType="end"/>
      </w:r>
    </w:p>
    <w:p w14:paraId="06817FD2" w14:textId="1AE0898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Application of this Part</w:t>
      </w:r>
      <w:r w:rsidRPr="009F64E9">
        <w:rPr>
          <w:noProof/>
        </w:rPr>
        <w:tab/>
      </w:r>
      <w:r w:rsidRPr="009F64E9">
        <w:rPr>
          <w:noProof/>
        </w:rPr>
        <w:fldChar w:fldCharType="begin"/>
      </w:r>
      <w:r w:rsidRPr="009F64E9">
        <w:rPr>
          <w:noProof/>
        </w:rPr>
        <w:instrText xml:space="preserve"> PAGEREF _Toc188350779 \h </w:instrText>
      </w:r>
      <w:r w:rsidRPr="009F64E9">
        <w:rPr>
          <w:noProof/>
        </w:rPr>
      </w:r>
      <w:r w:rsidRPr="009F64E9">
        <w:rPr>
          <w:noProof/>
        </w:rPr>
        <w:fldChar w:fldCharType="separate"/>
      </w:r>
      <w:r w:rsidR="000E6B78">
        <w:rPr>
          <w:noProof/>
        </w:rPr>
        <w:t>201</w:t>
      </w:r>
      <w:r w:rsidRPr="009F64E9">
        <w:rPr>
          <w:noProof/>
        </w:rPr>
        <w:fldChar w:fldCharType="end"/>
      </w:r>
    </w:p>
    <w:p w14:paraId="31116253" w14:textId="5017D4D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Method</w:t>
      </w:r>
      <w:r w:rsidRPr="009F64E9">
        <w:rPr>
          <w:noProof/>
        </w:rPr>
        <w:tab/>
      </w:r>
      <w:r w:rsidRPr="009F64E9">
        <w:rPr>
          <w:noProof/>
        </w:rPr>
        <w:fldChar w:fldCharType="begin"/>
      </w:r>
      <w:r w:rsidRPr="009F64E9">
        <w:rPr>
          <w:noProof/>
        </w:rPr>
        <w:instrText xml:space="preserve"> PAGEREF _Toc188350780 \h </w:instrText>
      </w:r>
      <w:r w:rsidRPr="009F64E9">
        <w:rPr>
          <w:noProof/>
        </w:rPr>
      </w:r>
      <w:r w:rsidRPr="009F64E9">
        <w:rPr>
          <w:noProof/>
        </w:rPr>
        <w:fldChar w:fldCharType="separate"/>
      </w:r>
      <w:r w:rsidR="000E6B78">
        <w:rPr>
          <w:noProof/>
        </w:rPr>
        <w:t>201</w:t>
      </w:r>
      <w:r w:rsidRPr="009F64E9">
        <w:rPr>
          <w:noProof/>
        </w:rPr>
        <w:fldChar w:fldCharType="end"/>
      </w:r>
    </w:p>
    <w:p w14:paraId="02F5C520" w14:textId="61E5579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Valuation factors—pension not indexed</w:t>
      </w:r>
      <w:r w:rsidRPr="009F64E9">
        <w:rPr>
          <w:noProof/>
        </w:rPr>
        <w:tab/>
      </w:r>
      <w:r w:rsidRPr="009F64E9">
        <w:rPr>
          <w:noProof/>
        </w:rPr>
        <w:fldChar w:fldCharType="begin"/>
      </w:r>
      <w:r w:rsidRPr="009F64E9">
        <w:rPr>
          <w:noProof/>
        </w:rPr>
        <w:instrText xml:space="preserve"> PAGEREF _Toc188350781 \h </w:instrText>
      </w:r>
      <w:r w:rsidRPr="009F64E9">
        <w:rPr>
          <w:noProof/>
        </w:rPr>
      </w:r>
      <w:r w:rsidRPr="009F64E9">
        <w:rPr>
          <w:noProof/>
        </w:rPr>
        <w:fldChar w:fldCharType="separate"/>
      </w:r>
      <w:r w:rsidR="000E6B78">
        <w:rPr>
          <w:noProof/>
        </w:rPr>
        <w:t>202</w:t>
      </w:r>
      <w:r w:rsidRPr="009F64E9">
        <w:rPr>
          <w:noProof/>
        </w:rPr>
        <w:fldChar w:fldCharType="end"/>
      </w:r>
    </w:p>
    <w:p w14:paraId="29980E3B" w14:textId="379474D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Valuation factors—CPI indexed pension</w:t>
      </w:r>
      <w:r w:rsidRPr="009F64E9">
        <w:rPr>
          <w:noProof/>
        </w:rPr>
        <w:tab/>
      </w:r>
      <w:r w:rsidRPr="009F64E9">
        <w:rPr>
          <w:noProof/>
        </w:rPr>
        <w:fldChar w:fldCharType="begin"/>
      </w:r>
      <w:r w:rsidRPr="009F64E9">
        <w:rPr>
          <w:noProof/>
        </w:rPr>
        <w:instrText xml:space="preserve"> PAGEREF _Toc188350782 \h </w:instrText>
      </w:r>
      <w:r w:rsidRPr="009F64E9">
        <w:rPr>
          <w:noProof/>
        </w:rPr>
      </w:r>
      <w:r w:rsidRPr="009F64E9">
        <w:rPr>
          <w:noProof/>
        </w:rPr>
        <w:fldChar w:fldCharType="separate"/>
      </w:r>
      <w:r w:rsidR="000E6B78">
        <w:rPr>
          <w:noProof/>
        </w:rPr>
        <w:t>204</w:t>
      </w:r>
      <w:r w:rsidRPr="009F64E9">
        <w:rPr>
          <w:noProof/>
        </w:rPr>
        <w:fldChar w:fldCharType="end"/>
      </w:r>
    </w:p>
    <w:p w14:paraId="4966AA5A" w14:textId="4C5302DB"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Valuation factors—CPI indexed pension with 5% cap</w:t>
      </w:r>
      <w:r w:rsidRPr="009F64E9">
        <w:rPr>
          <w:noProof/>
        </w:rPr>
        <w:tab/>
      </w:r>
      <w:r w:rsidRPr="009F64E9">
        <w:rPr>
          <w:noProof/>
        </w:rPr>
        <w:fldChar w:fldCharType="begin"/>
      </w:r>
      <w:r w:rsidRPr="009F64E9">
        <w:rPr>
          <w:noProof/>
        </w:rPr>
        <w:instrText xml:space="preserve"> PAGEREF _Toc188350783 \h </w:instrText>
      </w:r>
      <w:r w:rsidRPr="009F64E9">
        <w:rPr>
          <w:noProof/>
        </w:rPr>
      </w:r>
      <w:r w:rsidRPr="009F64E9">
        <w:rPr>
          <w:noProof/>
        </w:rPr>
        <w:fldChar w:fldCharType="separate"/>
      </w:r>
      <w:r w:rsidR="000E6B78">
        <w:rPr>
          <w:noProof/>
        </w:rPr>
        <w:t>207</w:t>
      </w:r>
      <w:r w:rsidRPr="009F64E9">
        <w:rPr>
          <w:noProof/>
        </w:rPr>
        <w:fldChar w:fldCharType="end"/>
      </w:r>
    </w:p>
    <w:p w14:paraId="02A22307" w14:textId="777957A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Valuation factors—CPI indexed pension plus 1%</w:t>
      </w:r>
      <w:r w:rsidRPr="009F64E9">
        <w:rPr>
          <w:noProof/>
        </w:rPr>
        <w:tab/>
      </w:r>
      <w:r w:rsidRPr="009F64E9">
        <w:rPr>
          <w:noProof/>
        </w:rPr>
        <w:fldChar w:fldCharType="begin"/>
      </w:r>
      <w:r w:rsidRPr="009F64E9">
        <w:rPr>
          <w:noProof/>
        </w:rPr>
        <w:instrText xml:space="preserve"> PAGEREF _Toc188350784 \h </w:instrText>
      </w:r>
      <w:r w:rsidRPr="009F64E9">
        <w:rPr>
          <w:noProof/>
        </w:rPr>
      </w:r>
      <w:r w:rsidRPr="009F64E9">
        <w:rPr>
          <w:noProof/>
        </w:rPr>
        <w:fldChar w:fldCharType="separate"/>
      </w:r>
      <w:r w:rsidR="000E6B78">
        <w:rPr>
          <w:noProof/>
        </w:rPr>
        <w:t>209</w:t>
      </w:r>
      <w:r w:rsidRPr="009F64E9">
        <w:rPr>
          <w:noProof/>
        </w:rPr>
        <w:fldChar w:fldCharType="end"/>
      </w:r>
    </w:p>
    <w:p w14:paraId="21267F57" w14:textId="0DD2760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Valuation factors—CPI indexed pension plus 1% with 5% cap</w:t>
      </w:r>
      <w:r w:rsidRPr="009F64E9">
        <w:rPr>
          <w:noProof/>
        </w:rPr>
        <w:tab/>
      </w:r>
      <w:r w:rsidRPr="009F64E9">
        <w:rPr>
          <w:noProof/>
        </w:rPr>
        <w:fldChar w:fldCharType="begin"/>
      </w:r>
      <w:r w:rsidRPr="009F64E9">
        <w:rPr>
          <w:noProof/>
        </w:rPr>
        <w:instrText xml:space="preserve"> PAGEREF _Toc188350785 \h </w:instrText>
      </w:r>
      <w:r w:rsidRPr="009F64E9">
        <w:rPr>
          <w:noProof/>
        </w:rPr>
      </w:r>
      <w:r w:rsidRPr="009F64E9">
        <w:rPr>
          <w:noProof/>
        </w:rPr>
        <w:fldChar w:fldCharType="separate"/>
      </w:r>
      <w:r w:rsidR="000E6B78">
        <w:rPr>
          <w:noProof/>
        </w:rPr>
        <w:t>211</w:t>
      </w:r>
      <w:r w:rsidRPr="009F64E9">
        <w:rPr>
          <w:noProof/>
        </w:rPr>
        <w:fldChar w:fldCharType="end"/>
      </w:r>
    </w:p>
    <w:p w14:paraId="5CEFDE22" w14:textId="3B7C3EE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Valuation factors—pension indexed at 3%</w:t>
      </w:r>
      <w:r w:rsidRPr="009F64E9">
        <w:rPr>
          <w:noProof/>
        </w:rPr>
        <w:tab/>
      </w:r>
      <w:r w:rsidRPr="009F64E9">
        <w:rPr>
          <w:noProof/>
        </w:rPr>
        <w:fldChar w:fldCharType="begin"/>
      </w:r>
      <w:r w:rsidRPr="009F64E9">
        <w:rPr>
          <w:noProof/>
        </w:rPr>
        <w:instrText xml:space="preserve"> PAGEREF _Toc188350786 \h </w:instrText>
      </w:r>
      <w:r w:rsidRPr="009F64E9">
        <w:rPr>
          <w:noProof/>
        </w:rPr>
      </w:r>
      <w:r w:rsidRPr="009F64E9">
        <w:rPr>
          <w:noProof/>
        </w:rPr>
        <w:fldChar w:fldCharType="separate"/>
      </w:r>
      <w:r w:rsidR="000E6B78">
        <w:rPr>
          <w:noProof/>
        </w:rPr>
        <w:t>214</w:t>
      </w:r>
      <w:r w:rsidRPr="009F64E9">
        <w:rPr>
          <w:noProof/>
        </w:rPr>
        <w:fldChar w:fldCharType="end"/>
      </w:r>
    </w:p>
    <w:p w14:paraId="7929B1AA" w14:textId="63F5ABD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Valuation factors—wage indexed pension</w:t>
      </w:r>
      <w:r w:rsidRPr="009F64E9">
        <w:rPr>
          <w:noProof/>
        </w:rPr>
        <w:tab/>
      </w:r>
      <w:r w:rsidRPr="009F64E9">
        <w:rPr>
          <w:noProof/>
        </w:rPr>
        <w:fldChar w:fldCharType="begin"/>
      </w:r>
      <w:r w:rsidRPr="009F64E9">
        <w:rPr>
          <w:noProof/>
        </w:rPr>
        <w:instrText xml:space="preserve"> PAGEREF _Toc188350787 \h </w:instrText>
      </w:r>
      <w:r w:rsidRPr="009F64E9">
        <w:rPr>
          <w:noProof/>
        </w:rPr>
      </w:r>
      <w:r w:rsidRPr="009F64E9">
        <w:rPr>
          <w:noProof/>
        </w:rPr>
        <w:fldChar w:fldCharType="separate"/>
      </w:r>
      <w:r w:rsidR="000E6B78">
        <w:rPr>
          <w:noProof/>
        </w:rPr>
        <w:t>216</w:t>
      </w:r>
      <w:r w:rsidRPr="009F64E9">
        <w:rPr>
          <w:noProof/>
        </w:rPr>
        <w:fldChar w:fldCharType="end"/>
      </w:r>
    </w:p>
    <w:p w14:paraId="4F91B580" w14:textId="3018352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Valuation factors—pension indexed at 4%</w:t>
      </w:r>
      <w:r w:rsidRPr="009F64E9">
        <w:rPr>
          <w:noProof/>
        </w:rPr>
        <w:tab/>
      </w:r>
      <w:r w:rsidRPr="009F64E9">
        <w:rPr>
          <w:noProof/>
        </w:rPr>
        <w:fldChar w:fldCharType="begin"/>
      </w:r>
      <w:r w:rsidRPr="009F64E9">
        <w:rPr>
          <w:noProof/>
        </w:rPr>
        <w:instrText xml:space="preserve"> PAGEREF _Toc188350788 \h </w:instrText>
      </w:r>
      <w:r w:rsidRPr="009F64E9">
        <w:rPr>
          <w:noProof/>
        </w:rPr>
      </w:r>
      <w:r w:rsidRPr="009F64E9">
        <w:rPr>
          <w:noProof/>
        </w:rPr>
        <w:fldChar w:fldCharType="separate"/>
      </w:r>
      <w:r w:rsidR="000E6B78">
        <w:rPr>
          <w:noProof/>
        </w:rPr>
        <w:t>219</w:t>
      </w:r>
      <w:r w:rsidRPr="009F64E9">
        <w:rPr>
          <w:noProof/>
        </w:rPr>
        <w:fldChar w:fldCharType="end"/>
      </w:r>
    </w:p>
    <w:p w14:paraId="23ECDB53" w14:textId="7D11A94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Valuation factors—pension indexed at 5%</w:t>
      </w:r>
      <w:r w:rsidRPr="009F64E9">
        <w:rPr>
          <w:noProof/>
        </w:rPr>
        <w:tab/>
      </w:r>
      <w:r w:rsidRPr="009F64E9">
        <w:rPr>
          <w:noProof/>
        </w:rPr>
        <w:fldChar w:fldCharType="begin"/>
      </w:r>
      <w:r w:rsidRPr="009F64E9">
        <w:rPr>
          <w:noProof/>
        </w:rPr>
        <w:instrText xml:space="preserve"> PAGEREF _Toc188350789 \h </w:instrText>
      </w:r>
      <w:r w:rsidRPr="009F64E9">
        <w:rPr>
          <w:noProof/>
        </w:rPr>
      </w:r>
      <w:r w:rsidRPr="009F64E9">
        <w:rPr>
          <w:noProof/>
        </w:rPr>
        <w:fldChar w:fldCharType="separate"/>
      </w:r>
      <w:r w:rsidR="000E6B78">
        <w:rPr>
          <w:noProof/>
        </w:rPr>
        <w:t>221</w:t>
      </w:r>
      <w:r w:rsidRPr="009F64E9">
        <w:rPr>
          <w:noProof/>
        </w:rPr>
        <w:fldChar w:fldCharType="end"/>
      </w:r>
    </w:p>
    <w:p w14:paraId="50A6C13D" w14:textId="3744D845" w:rsidR="009F64E9" w:rsidRDefault="009F64E9">
      <w:pPr>
        <w:pStyle w:val="TOC2"/>
        <w:rPr>
          <w:rFonts w:asciiTheme="minorHAnsi" w:eastAsiaTheme="minorEastAsia" w:hAnsiTheme="minorHAnsi" w:cstheme="minorBidi"/>
          <w:b w:val="0"/>
          <w:noProof/>
          <w:kern w:val="2"/>
          <w:szCs w:val="24"/>
          <w14:ligatures w14:val="standardContextual"/>
        </w:rPr>
      </w:pPr>
      <w:r>
        <w:rPr>
          <w:noProof/>
        </w:rPr>
        <w:t>Part 3—Interest has a guarantee period that is yet to end</w:t>
      </w:r>
      <w:r w:rsidRPr="009F64E9">
        <w:rPr>
          <w:b w:val="0"/>
          <w:noProof/>
          <w:sz w:val="18"/>
        </w:rPr>
        <w:tab/>
      </w:r>
      <w:r w:rsidRPr="009F64E9">
        <w:rPr>
          <w:b w:val="0"/>
          <w:noProof/>
          <w:sz w:val="18"/>
        </w:rPr>
        <w:fldChar w:fldCharType="begin"/>
      </w:r>
      <w:r w:rsidRPr="009F64E9">
        <w:rPr>
          <w:b w:val="0"/>
          <w:noProof/>
          <w:sz w:val="18"/>
        </w:rPr>
        <w:instrText xml:space="preserve"> PAGEREF _Toc188350790 \h </w:instrText>
      </w:r>
      <w:r w:rsidRPr="009F64E9">
        <w:rPr>
          <w:b w:val="0"/>
          <w:noProof/>
          <w:sz w:val="18"/>
        </w:rPr>
      </w:r>
      <w:r w:rsidRPr="009F64E9">
        <w:rPr>
          <w:b w:val="0"/>
          <w:noProof/>
          <w:sz w:val="18"/>
        </w:rPr>
        <w:fldChar w:fldCharType="separate"/>
      </w:r>
      <w:r w:rsidR="000E6B78">
        <w:rPr>
          <w:b w:val="0"/>
          <w:noProof/>
          <w:sz w:val="18"/>
        </w:rPr>
        <w:t>224</w:t>
      </w:r>
      <w:r w:rsidRPr="009F64E9">
        <w:rPr>
          <w:b w:val="0"/>
          <w:noProof/>
          <w:sz w:val="18"/>
        </w:rPr>
        <w:fldChar w:fldCharType="end"/>
      </w:r>
    </w:p>
    <w:p w14:paraId="285022F1" w14:textId="40566B17"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1—Application and method</w:t>
      </w:r>
      <w:r w:rsidRPr="009F64E9">
        <w:rPr>
          <w:b w:val="0"/>
          <w:noProof/>
          <w:sz w:val="18"/>
        </w:rPr>
        <w:tab/>
      </w:r>
      <w:r w:rsidRPr="009F64E9">
        <w:rPr>
          <w:b w:val="0"/>
          <w:noProof/>
          <w:sz w:val="18"/>
        </w:rPr>
        <w:fldChar w:fldCharType="begin"/>
      </w:r>
      <w:r w:rsidRPr="009F64E9">
        <w:rPr>
          <w:b w:val="0"/>
          <w:noProof/>
          <w:sz w:val="18"/>
        </w:rPr>
        <w:instrText xml:space="preserve"> PAGEREF _Toc188350791 \h </w:instrText>
      </w:r>
      <w:r w:rsidRPr="009F64E9">
        <w:rPr>
          <w:b w:val="0"/>
          <w:noProof/>
          <w:sz w:val="18"/>
        </w:rPr>
      </w:r>
      <w:r w:rsidRPr="009F64E9">
        <w:rPr>
          <w:b w:val="0"/>
          <w:noProof/>
          <w:sz w:val="18"/>
        </w:rPr>
        <w:fldChar w:fldCharType="separate"/>
      </w:r>
      <w:r w:rsidR="000E6B78">
        <w:rPr>
          <w:b w:val="0"/>
          <w:noProof/>
          <w:sz w:val="18"/>
        </w:rPr>
        <w:t>224</w:t>
      </w:r>
      <w:r w:rsidRPr="009F64E9">
        <w:rPr>
          <w:b w:val="0"/>
          <w:noProof/>
          <w:sz w:val="18"/>
        </w:rPr>
        <w:fldChar w:fldCharType="end"/>
      </w:r>
    </w:p>
    <w:p w14:paraId="255952F7" w14:textId="7E21715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Application of this Part</w:t>
      </w:r>
      <w:r w:rsidRPr="009F64E9">
        <w:rPr>
          <w:noProof/>
        </w:rPr>
        <w:tab/>
      </w:r>
      <w:r w:rsidRPr="009F64E9">
        <w:rPr>
          <w:noProof/>
        </w:rPr>
        <w:fldChar w:fldCharType="begin"/>
      </w:r>
      <w:r w:rsidRPr="009F64E9">
        <w:rPr>
          <w:noProof/>
        </w:rPr>
        <w:instrText xml:space="preserve"> PAGEREF _Toc188350792 \h </w:instrText>
      </w:r>
      <w:r w:rsidRPr="009F64E9">
        <w:rPr>
          <w:noProof/>
        </w:rPr>
      </w:r>
      <w:r w:rsidRPr="009F64E9">
        <w:rPr>
          <w:noProof/>
        </w:rPr>
        <w:fldChar w:fldCharType="separate"/>
      </w:r>
      <w:r w:rsidR="000E6B78">
        <w:rPr>
          <w:noProof/>
        </w:rPr>
        <w:t>224</w:t>
      </w:r>
      <w:r w:rsidRPr="009F64E9">
        <w:rPr>
          <w:noProof/>
        </w:rPr>
        <w:fldChar w:fldCharType="end"/>
      </w:r>
    </w:p>
    <w:p w14:paraId="6ED09848" w14:textId="793E7D9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Method</w:t>
      </w:r>
      <w:r w:rsidRPr="009F64E9">
        <w:rPr>
          <w:noProof/>
        </w:rPr>
        <w:tab/>
      </w:r>
      <w:r w:rsidRPr="009F64E9">
        <w:rPr>
          <w:noProof/>
        </w:rPr>
        <w:fldChar w:fldCharType="begin"/>
      </w:r>
      <w:r w:rsidRPr="009F64E9">
        <w:rPr>
          <w:noProof/>
        </w:rPr>
        <w:instrText xml:space="preserve"> PAGEREF _Toc188350793 \h </w:instrText>
      </w:r>
      <w:r w:rsidRPr="009F64E9">
        <w:rPr>
          <w:noProof/>
        </w:rPr>
      </w:r>
      <w:r w:rsidRPr="009F64E9">
        <w:rPr>
          <w:noProof/>
        </w:rPr>
        <w:fldChar w:fldCharType="separate"/>
      </w:r>
      <w:r w:rsidR="000E6B78">
        <w:rPr>
          <w:noProof/>
        </w:rPr>
        <w:t>224</w:t>
      </w:r>
      <w:r w:rsidRPr="009F64E9">
        <w:rPr>
          <w:noProof/>
        </w:rPr>
        <w:fldChar w:fldCharType="end"/>
      </w:r>
    </w:p>
    <w:p w14:paraId="536EF818" w14:textId="4FA8B634"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2—Present value of the pension payable for the remaining part of the guarantee period</w:t>
      </w:r>
      <w:r w:rsidRPr="009F64E9">
        <w:rPr>
          <w:b w:val="0"/>
          <w:noProof/>
          <w:sz w:val="18"/>
        </w:rPr>
        <w:tab/>
      </w:r>
      <w:r w:rsidRPr="009F64E9">
        <w:rPr>
          <w:b w:val="0"/>
          <w:noProof/>
          <w:sz w:val="18"/>
        </w:rPr>
        <w:fldChar w:fldCharType="begin"/>
      </w:r>
      <w:r w:rsidRPr="009F64E9">
        <w:rPr>
          <w:b w:val="0"/>
          <w:noProof/>
          <w:sz w:val="18"/>
        </w:rPr>
        <w:instrText xml:space="preserve"> PAGEREF _Toc188350794 \h </w:instrText>
      </w:r>
      <w:r w:rsidRPr="009F64E9">
        <w:rPr>
          <w:b w:val="0"/>
          <w:noProof/>
          <w:sz w:val="18"/>
        </w:rPr>
      </w:r>
      <w:r w:rsidRPr="009F64E9">
        <w:rPr>
          <w:b w:val="0"/>
          <w:noProof/>
          <w:sz w:val="18"/>
        </w:rPr>
        <w:fldChar w:fldCharType="separate"/>
      </w:r>
      <w:r w:rsidR="000E6B78">
        <w:rPr>
          <w:b w:val="0"/>
          <w:noProof/>
          <w:sz w:val="18"/>
        </w:rPr>
        <w:t>225</w:t>
      </w:r>
      <w:r w:rsidRPr="009F64E9">
        <w:rPr>
          <w:b w:val="0"/>
          <w:noProof/>
          <w:sz w:val="18"/>
        </w:rPr>
        <w:fldChar w:fldCharType="end"/>
      </w:r>
    </w:p>
    <w:p w14:paraId="633086F6" w14:textId="68E32E6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Present value of the pension payable for the remaining part of the guarantee period</w:t>
      </w:r>
      <w:r w:rsidRPr="009F64E9">
        <w:rPr>
          <w:noProof/>
        </w:rPr>
        <w:tab/>
      </w:r>
      <w:r w:rsidRPr="009F64E9">
        <w:rPr>
          <w:noProof/>
        </w:rPr>
        <w:fldChar w:fldCharType="begin"/>
      </w:r>
      <w:r w:rsidRPr="009F64E9">
        <w:rPr>
          <w:noProof/>
        </w:rPr>
        <w:instrText xml:space="preserve"> PAGEREF _Toc188350795 \h </w:instrText>
      </w:r>
      <w:r w:rsidRPr="009F64E9">
        <w:rPr>
          <w:noProof/>
        </w:rPr>
      </w:r>
      <w:r w:rsidRPr="009F64E9">
        <w:rPr>
          <w:noProof/>
        </w:rPr>
        <w:fldChar w:fldCharType="separate"/>
      </w:r>
      <w:r w:rsidR="000E6B78">
        <w:rPr>
          <w:noProof/>
        </w:rPr>
        <w:t>225</w:t>
      </w:r>
      <w:r w:rsidRPr="009F64E9">
        <w:rPr>
          <w:noProof/>
        </w:rPr>
        <w:fldChar w:fldCharType="end"/>
      </w:r>
    </w:p>
    <w:p w14:paraId="57B667D4" w14:textId="33735868" w:rsidR="009F64E9" w:rsidRDefault="009F64E9">
      <w:pPr>
        <w:pStyle w:val="TOC3"/>
        <w:rPr>
          <w:rFonts w:asciiTheme="minorHAnsi" w:eastAsiaTheme="minorEastAsia" w:hAnsiTheme="minorHAnsi" w:cstheme="minorBidi"/>
          <w:b w:val="0"/>
          <w:noProof/>
          <w:kern w:val="2"/>
          <w:sz w:val="24"/>
          <w:szCs w:val="24"/>
          <w14:ligatures w14:val="standardContextual"/>
        </w:rPr>
      </w:pPr>
      <w:r>
        <w:rPr>
          <w:noProof/>
        </w:rPr>
        <w:t>Division 3—Present value of the pension payable after the end of the guarantee period</w:t>
      </w:r>
      <w:r w:rsidRPr="009F64E9">
        <w:rPr>
          <w:b w:val="0"/>
          <w:noProof/>
          <w:sz w:val="18"/>
        </w:rPr>
        <w:tab/>
      </w:r>
      <w:r w:rsidRPr="009F64E9">
        <w:rPr>
          <w:b w:val="0"/>
          <w:noProof/>
          <w:sz w:val="18"/>
        </w:rPr>
        <w:fldChar w:fldCharType="begin"/>
      </w:r>
      <w:r w:rsidRPr="009F64E9">
        <w:rPr>
          <w:b w:val="0"/>
          <w:noProof/>
          <w:sz w:val="18"/>
        </w:rPr>
        <w:instrText xml:space="preserve"> PAGEREF _Toc188350796 \h </w:instrText>
      </w:r>
      <w:r w:rsidRPr="009F64E9">
        <w:rPr>
          <w:b w:val="0"/>
          <w:noProof/>
          <w:sz w:val="18"/>
        </w:rPr>
      </w:r>
      <w:r w:rsidRPr="009F64E9">
        <w:rPr>
          <w:b w:val="0"/>
          <w:noProof/>
          <w:sz w:val="18"/>
        </w:rPr>
        <w:fldChar w:fldCharType="separate"/>
      </w:r>
      <w:r w:rsidR="000E6B78">
        <w:rPr>
          <w:b w:val="0"/>
          <w:noProof/>
          <w:sz w:val="18"/>
        </w:rPr>
        <w:t>226</w:t>
      </w:r>
      <w:r w:rsidRPr="009F64E9">
        <w:rPr>
          <w:b w:val="0"/>
          <w:noProof/>
          <w:sz w:val="18"/>
        </w:rPr>
        <w:fldChar w:fldCharType="end"/>
      </w:r>
    </w:p>
    <w:p w14:paraId="0BBA0F67" w14:textId="608CA6A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Present value of the pension payable after the end of the guarantee period</w:t>
      </w:r>
      <w:r w:rsidRPr="009F64E9">
        <w:rPr>
          <w:noProof/>
        </w:rPr>
        <w:tab/>
      </w:r>
      <w:r w:rsidRPr="009F64E9">
        <w:rPr>
          <w:noProof/>
        </w:rPr>
        <w:fldChar w:fldCharType="begin"/>
      </w:r>
      <w:r w:rsidRPr="009F64E9">
        <w:rPr>
          <w:noProof/>
        </w:rPr>
        <w:instrText xml:space="preserve"> PAGEREF _Toc188350797 \h </w:instrText>
      </w:r>
      <w:r w:rsidRPr="009F64E9">
        <w:rPr>
          <w:noProof/>
        </w:rPr>
      </w:r>
      <w:r w:rsidRPr="009F64E9">
        <w:rPr>
          <w:noProof/>
        </w:rPr>
        <w:fldChar w:fldCharType="separate"/>
      </w:r>
      <w:r w:rsidR="000E6B78">
        <w:rPr>
          <w:noProof/>
        </w:rPr>
        <w:t>226</w:t>
      </w:r>
      <w:r w:rsidRPr="009F64E9">
        <w:rPr>
          <w:noProof/>
        </w:rPr>
        <w:fldChar w:fldCharType="end"/>
      </w:r>
    </w:p>
    <w:p w14:paraId="7BED9EA8" w14:textId="3B4F569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 xml:space="preserve">Meaning of </w:t>
      </w:r>
      <w:r w:rsidRPr="006558F0">
        <w:rPr>
          <w:i/>
          <w:noProof/>
        </w:rPr>
        <w:t>discount valuation factor</w:t>
      </w:r>
      <w:r w:rsidRPr="009F64E9">
        <w:rPr>
          <w:noProof/>
        </w:rPr>
        <w:tab/>
      </w:r>
      <w:r w:rsidRPr="009F64E9">
        <w:rPr>
          <w:noProof/>
        </w:rPr>
        <w:fldChar w:fldCharType="begin"/>
      </w:r>
      <w:r w:rsidRPr="009F64E9">
        <w:rPr>
          <w:noProof/>
        </w:rPr>
        <w:instrText xml:space="preserve"> PAGEREF _Toc188350798 \h </w:instrText>
      </w:r>
      <w:r w:rsidRPr="009F64E9">
        <w:rPr>
          <w:noProof/>
        </w:rPr>
      </w:r>
      <w:r w:rsidRPr="009F64E9">
        <w:rPr>
          <w:noProof/>
        </w:rPr>
        <w:fldChar w:fldCharType="separate"/>
      </w:r>
      <w:r w:rsidR="000E6B78">
        <w:rPr>
          <w:noProof/>
        </w:rPr>
        <w:t>226</w:t>
      </w:r>
      <w:r w:rsidRPr="009F64E9">
        <w:rPr>
          <w:noProof/>
        </w:rPr>
        <w:fldChar w:fldCharType="end"/>
      </w:r>
    </w:p>
    <w:p w14:paraId="65EC94BB" w14:textId="6D6153B3" w:rsidR="009F64E9" w:rsidRDefault="009F64E9">
      <w:pPr>
        <w:pStyle w:val="TOC5"/>
        <w:rPr>
          <w:rFonts w:asciiTheme="minorHAnsi" w:eastAsiaTheme="minorEastAsia" w:hAnsiTheme="minorHAnsi" w:cstheme="minorBidi"/>
          <w:noProof/>
          <w:kern w:val="2"/>
          <w:sz w:val="24"/>
          <w:szCs w:val="24"/>
          <w14:ligatures w14:val="standardContextual"/>
        </w:rPr>
      </w:pPr>
      <w:r>
        <w:rPr>
          <w:noProof/>
        </w:rPr>
        <w:lastRenderedPageBreak/>
        <w:t>18</w:t>
      </w:r>
      <w:r>
        <w:rPr>
          <w:noProof/>
        </w:rPr>
        <w:tab/>
        <w:t xml:space="preserve">Meaning of </w:t>
      </w:r>
      <w:r w:rsidRPr="006558F0">
        <w:rPr>
          <w:i/>
          <w:noProof/>
        </w:rPr>
        <w:t>survival valuation factor</w:t>
      </w:r>
      <w:r w:rsidRPr="009F64E9">
        <w:rPr>
          <w:noProof/>
        </w:rPr>
        <w:tab/>
      </w:r>
      <w:r w:rsidRPr="009F64E9">
        <w:rPr>
          <w:noProof/>
        </w:rPr>
        <w:fldChar w:fldCharType="begin"/>
      </w:r>
      <w:r w:rsidRPr="009F64E9">
        <w:rPr>
          <w:noProof/>
        </w:rPr>
        <w:instrText xml:space="preserve"> PAGEREF _Toc188350799 \h </w:instrText>
      </w:r>
      <w:r w:rsidRPr="009F64E9">
        <w:rPr>
          <w:noProof/>
        </w:rPr>
      </w:r>
      <w:r w:rsidRPr="009F64E9">
        <w:rPr>
          <w:noProof/>
        </w:rPr>
        <w:fldChar w:fldCharType="separate"/>
      </w:r>
      <w:r w:rsidR="000E6B78">
        <w:rPr>
          <w:noProof/>
        </w:rPr>
        <w:t>227</w:t>
      </w:r>
      <w:r w:rsidRPr="009F64E9">
        <w:rPr>
          <w:noProof/>
        </w:rPr>
        <w:fldChar w:fldCharType="end"/>
      </w:r>
    </w:p>
    <w:p w14:paraId="4012B3F5" w14:textId="08461591"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Meaning of </w:t>
      </w:r>
      <w:r w:rsidRPr="006558F0">
        <w:rPr>
          <w:i/>
          <w:noProof/>
        </w:rPr>
        <w:t>pension valuation factor</w:t>
      </w:r>
      <w:r w:rsidRPr="009F64E9">
        <w:rPr>
          <w:noProof/>
        </w:rPr>
        <w:tab/>
      </w:r>
      <w:r w:rsidRPr="009F64E9">
        <w:rPr>
          <w:noProof/>
        </w:rPr>
        <w:fldChar w:fldCharType="begin"/>
      </w:r>
      <w:r w:rsidRPr="009F64E9">
        <w:rPr>
          <w:noProof/>
        </w:rPr>
        <w:instrText xml:space="preserve"> PAGEREF _Toc188350800 \h </w:instrText>
      </w:r>
      <w:r w:rsidRPr="009F64E9">
        <w:rPr>
          <w:noProof/>
        </w:rPr>
      </w:r>
      <w:r w:rsidRPr="009F64E9">
        <w:rPr>
          <w:noProof/>
        </w:rPr>
        <w:fldChar w:fldCharType="separate"/>
      </w:r>
      <w:r w:rsidR="000E6B78">
        <w:rPr>
          <w:noProof/>
        </w:rPr>
        <w:t>230</w:t>
      </w:r>
      <w:r w:rsidRPr="009F64E9">
        <w:rPr>
          <w:noProof/>
        </w:rPr>
        <w:fldChar w:fldCharType="end"/>
      </w:r>
    </w:p>
    <w:p w14:paraId="288E98AB" w14:textId="7AEBB74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 xml:space="preserve">Meaning of </w:t>
      </w:r>
      <w:r w:rsidRPr="006558F0">
        <w:rPr>
          <w:i/>
          <w:noProof/>
        </w:rPr>
        <w:t>reversion valuation factor</w:t>
      </w:r>
      <w:r w:rsidRPr="009F64E9">
        <w:rPr>
          <w:noProof/>
        </w:rPr>
        <w:tab/>
      </w:r>
      <w:r w:rsidRPr="009F64E9">
        <w:rPr>
          <w:noProof/>
        </w:rPr>
        <w:fldChar w:fldCharType="begin"/>
      </w:r>
      <w:r w:rsidRPr="009F64E9">
        <w:rPr>
          <w:noProof/>
        </w:rPr>
        <w:instrText xml:space="preserve"> PAGEREF _Toc188350801 \h </w:instrText>
      </w:r>
      <w:r w:rsidRPr="009F64E9">
        <w:rPr>
          <w:noProof/>
        </w:rPr>
      </w:r>
      <w:r w:rsidRPr="009F64E9">
        <w:rPr>
          <w:noProof/>
        </w:rPr>
        <w:fldChar w:fldCharType="separate"/>
      </w:r>
      <w:r w:rsidR="000E6B78">
        <w:rPr>
          <w:noProof/>
        </w:rPr>
        <w:t>231</w:t>
      </w:r>
      <w:r w:rsidRPr="009F64E9">
        <w:rPr>
          <w:noProof/>
        </w:rPr>
        <w:fldChar w:fldCharType="end"/>
      </w:r>
    </w:p>
    <w:p w14:paraId="0183A9B9" w14:textId="03887816"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6—Method for determining value of superannuation interest in lifetime annuity</w:t>
      </w:r>
      <w:r w:rsidRPr="009F64E9">
        <w:rPr>
          <w:b w:val="0"/>
          <w:noProof/>
          <w:sz w:val="18"/>
        </w:rPr>
        <w:tab/>
      </w:r>
      <w:r w:rsidRPr="009F64E9">
        <w:rPr>
          <w:b w:val="0"/>
          <w:noProof/>
          <w:sz w:val="18"/>
        </w:rPr>
        <w:fldChar w:fldCharType="begin"/>
      </w:r>
      <w:r w:rsidRPr="009F64E9">
        <w:rPr>
          <w:b w:val="0"/>
          <w:noProof/>
          <w:sz w:val="18"/>
        </w:rPr>
        <w:instrText xml:space="preserve"> PAGEREF _Toc188350802 \h </w:instrText>
      </w:r>
      <w:r w:rsidRPr="009F64E9">
        <w:rPr>
          <w:b w:val="0"/>
          <w:noProof/>
          <w:sz w:val="18"/>
        </w:rPr>
      </w:r>
      <w:r w:rsidRPr="009F64E9">
        <w:rPr>
          <w:b w:val="0"/>
          <w:noProof/>
          <w:sz w:val="18"/>
        </w:rPr>
        <w:fldChar w:fldCharType="separate"/>
      </w:r>
      <w:r w:rsidR="000E6B78">
        <w:rPr>
          <w:b w:val="0"/>
          <w:noProof/>
          <w:sz w:val="18"/>
        </w:rPr>
        <w:t>232</w:t>
      </w:r>
      <w:r w:rsidRPr="009F64E9">
        <w:rPr>
          <w:b w:val="0"/>
          <w:noProof/>
          <w:sz w:val="18"/>
        </w:rPr>
        <w:fldChar w:fldCharType="end"/>
      </w:r>
    </w:p>
    <w:p w14:paraId="3312CA44" w14:textId="5CB7DD1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_Toc188350803 \h </w:instrText>
      </w:r>
      <w:r w:rsidRPr="009F64E9">
        <w:rPr>
          <w:noProof/>
        </w:rPr>
      </w:r>
      <w:r w:rsidRPr="009F64E9">
        <w:rPr>
          <w:noProof/>
        </w:rPr>
        <w:fldChar w:fldCharType="separate"/>
      </w:r>
      <w:r w:rsidR="000E6B78">
        <w:rPr>
          <w:noProof/>
        </w:rPr>
        <w:t>232</w:t>
      </w:r>
      <w:r w:rsidRPr="009F64E9">
        <w:rPr>
          <w:noProof/>
        </w:rPr>
        <w:fldChar w:fldCharType="end"/>
      </w:r>
    </w:p>
    <w:p w14:paraId="72E6650C" w14:textId="44AE804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Method</w:t>
      </w:r>
      <w:r w:rsidRPr="009F64E9">
        <w:rPr>
          <w:noProof/>
        </w:rPr>
        <w:tab/>
      </w:r>
      <w:r w:rsidRPr="009F64E9">
        <w:rPr>
          <w:noProof/>
        </w:rPr>
        <w:fldChar w:fldCharType="begin"/>
      </w:r>
      <w:r w:rsidRPr="009F64E9">
        <w:rPr>
          <w:noProof/>
        </w:rPr>
        <w:instrText xml:space="preserve"> PAGEREF _Toc188350804 \h </w:instrText>
      </w:r>
      <w:r w:rsidRPr="009F64E9">
        <w:rPr>
          <w:noProof/>
        </w:rPr>
      </w:r>
      <w:r w:rsidRPr="009F64E9">
        <w:rPr>
          <w:noProof/>
        </w:rPr>
        <w:fldChar w:fldCharType="separate"/>
      </w:r>
      <w:r w:rsidR="000E6B78">
        <w:rPr>
          <w:noProof/>
        </w:rPr>
        <w:t>232</w:t>
      </w:r>
      <w:r w:rsidRPr="009F64E9">
        <w:rPr>
          <w:noProof/>
        </w:rPr>
        <w:fldChar w:fldCharType="end"/>
      </w:r>
    </w:p>
    <w:p w14:paraId="0BBF7A9B" w14:textId="4FDB3B29"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7—Method for determining gross value of superannuation interest payable as life pension due to invalidity</w:t>
      </w:r>
      <w:r w:rsidRPr="009F64E9">
        <w:rPr>
          <w:b w:val="0"/>
          <w:noProof/>
          <w:sz w:val="18"/>
        </w:rPr>
        <w:tab/>
      </w:r>
      <w:r w:rsidRPr="009F64E9">
        <w:rPr>
          <w:b w:val="0"/>
          <w:noProof/>
          <w:sz w:val="18"/>
        </w:rPr>
        <w:fldChar w:fldCharType="begin"/>
      </w:r>
      <w:r w:rsidRPr="009F64E9">
        <w:rPr>
          <w:b w:val="0"/>
          <w:noProof/>
          <w:sz w:val="18"/>
        </w:rPr>
        <w:instrText xml:space="preserve"> PAGEREF _Toc188350805 \h </w:instrText>
      </w:r>
      <w:r w:rsidRPr="009F64E9">
        <w:rPr>
          <w:b w:val="0"/>
          <w:noProof/>
          <w:sz w:val="18"/>
        </w:rPr>
      </w:r>
      <w:r w:rsidRPr="009F64E9">
        <w:rPr>
          <w:b w:val="0"/>
          <w:noProof/>
          <w:sz w:val="18"/>
        </w:rPr>
        <w:fldChar w:fldCharType="separate"/>
      </w:r>
      <w:r w:rsidR="000E6B78">
        <w:rPr>
          <w:b w:val="0"/>
          <w:noProof/>
          <w:sz w:val="18"/>
        </w:rPr>
        <w:t>233</w:t>
      </w:r>
      <w:r w:rsidRPr="009F64E9">
        <w:rPr>
          <w:b w:val="0"/>
          <w:noProof/>
          <w:sz w:val="18"/>
        </w:rPr>
        <w:fldChar w:fldCharType="end"/>
      </w:r>
    </w:p>
    <w:p w14:paraId="4BCF4421" w14:textId="5750C18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_Toc188350806 \h </w:instrText>
      </w:r>
      <w:r w:rsidRPr="009F64E9">
        <w:rPr>
          <w:noProof/>
        </w:rPr>
      </w:r>
      <w:r w:rsidRPr="009F64E9">
        <w:rPr>
          <w:noProof/>
        </w:rPr>
        <w:fldChar w:fldCharType="separate"/>
      </w:r>
      <w:r w:rsidR="000E6B78">
        <w:rPr>
          <w:noProof/>
        </w:rPr>
        <w:t>233</w:t>
      </w:r>
      <w:r w:rsidRPr="009F64E9">
        <w:rPr>
          <w:noProof/>
        </w:rPr>
        <w:fldChar w:fldCharType="end"/>
      </w:r>
    </w:p>
    <w:p w14:paraId="69758C30" w14:textId="63B741EE"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Method</w:t>
      </w:r>
      <w:r w:rsidRPr="009F64E9">
        <w:rPr>
          <w:noProof/>
        </w:rPr>
        <w:tab/>
      </w:r>
      <w:r w:rsidRPr="009F64E9">
        <w:rPr>
          <w:noProof/>
        </w:rPr>
        <w:fldChar w:fldCharType="begin"/>
      </w:r>
      <w:r w:rsidRPr="009F64E9">
        <w:rPr>
          <w:noProof/>
        </w:rPr>
        <w:instrText xml:space="preserve"> PAGEREF _Toc188350807 \h </w:instrText>
      </w:r>
      <w:r w:rsidRPr="009F64E9">
        <w:rPr>
          <w:noProof/>
        </w:rPr>
      </w:r>
      <w:r w:rsidRPr="009F64E9">
        <w:rPr>
          <w:noProof/>
        </w:rPr>
        <w:fldChar w:fldCharType="separate"/>
      </w:r>
      <w:r w:rsidR="000E6B78">
        <w:rPr>
          <w:noProof/>
        </w:rPr>
        <w:t>233</w:t>
      </w:r>
      <w:r w:rsidRPr="009F64E9">
        <w:rPr>
          <w:noProof/>
        </w:rPr>
        <w:fldChar w:fldCharType="end"/>
      </w:r>
    </w:p>
    <w:p w14:paraId="5D900459" w14:textId="4673FE8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Valuation factors—pension not indexed</w:t>
      </w:r>
      <w:r w:rsidRPr="009F64E9">
        <w:rPr>
          <w:noProof/>
        </w:rPr>
        <w:tab/>
      </w:r>
      <w:r w:rsidRPr="009F64E9">
        <w:rPr>
          <w:noProof/>
        </w:rPr>
        <w:fldChar w:fldCharType="begin"/>
      </w:r>
      <w:r w:rsidRPr="009F64E9">
        <w:rPr>
          <w:noProof/>
        </w:rPr>
        <w:instrText xml:space="preserve"> PAGEREF _Toc188350808 \h </w:instrText>
      </w:r>
      <w:r w:rsidRPr="009F64E9">
        <w:rPr>
          <w:noProof/>
        </w:rPr>
      </w:r>
      <w:r w:rsidRPr="009F64E9">
        <w:rPr>
          <w:noProof/>
        </w:rPr>
        <w:fldChar w:fldCharType="separate"/>
      </w:r>
      <w:r w:rsidR="000E6B78">
        <w:rPr>
          <w:noProof/>
        </w:rPr>
        <w:t>234</w:t>
      </w:r>
      <w:r w:rsidRPr="009F64E9">
        <w:rPr>
          <w:noProof/>
        </w:rPr>
        <w:fldChar w:fldCharType="end"/>
      </w:r>
    </w:p>
    <w:p w14:paraId="7903AE49" w14:textId="4AED5310"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Valuation factors—CPI indexed pension</w:t>
      </w:r>
      <w:r w:rsidRPr="009F64E9">
        <w:rPr>
          <w:noProof/>
        </w:rPr>
        <w:tab/>
      </w:r>
      <w:r w:rsidRPr="009F64E9">
        <w:rPr>
          <w:noProof/>
        </w:rPr>
        <w:fldChar w:fldCharType="begin"/>
      </w:r>
      <w:r w:rsidRPr="009F64E9">
        <w:rPr>
          <w:noProof/>
        </w:rPr>
        <w:instrText xml:space="preserve"> PAGEREF _Toc188350809 \h </w:instrText>
      </w:r>
      <w:r w:rsidRPr="009F64E9">
        <w:rPr>
          <w:noProof/>
        </w:rPr>
      </w:r>
      <w:r w:rsidRPr="009F64E9">
        <w:rPr>
          <w:noProof/>
        </w:rPr>
        <w:fldChar w:fldCharType="separate"/>
      </w:r>
      <w:r w:rsidR="000E6B78">
        <w:rPr>
          <w:noProof/>
        </w:rPr>
        <w:t>236</w:t>
      </w:r>
      <w:r w:rsidRPr="009F64E9">
        <w:rPr>
          <w:noProof/>
        </w:rPr>
        <w:fldChar w:fldCharType="end"/>
      </w:r>
    </w:p>
    <w:p w14:paraId="1D420C33" w14:textId="2B30E022"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Valuation factors—CPI indexed pension with 5% cap</w:t>
      </w:r>
      <w:r w:rsidRPr="009F64E9">
        <w:rPr>
          <w:noProof/>
        </w:rPr>
        <w:tab/>
      </w:r>
      <w:r w:rsidRPr="009F64E9">
        <w:rPr>
          <w:noProof/>
        </w:rPr>
        <w:fldChar w:fldCharType="begin"/>
      </w:r>
      <w:r w:rsidRPr="009F64E9">
        <w:rPr>
          <w:noProof/>
        </w:rPr>
        <w:instrText xml:space="preserve"> PAGEREF _Toc188350810 \h </w:instrText>
      </w:r>
      <w:r w:rsidRPr="009F64E9">
        <w:rPr>
          <w:noProof/>
        </w:rPr>
      </w:r>
      <w:r w:rsidRPr="009F64E9">
        <w:rPr>
          <w:noProof/>
        </w:rPr>
        <w:fldChar w:fldCharType="separate"/>
      </w:r>
      <w:r w:rsidR="000E6B78">
        <w:rPr>
          <w:noProof/>
        </w:rPr>
        <w:t>239</w:t>
      </w:r>
      <w:r w:rsidRPr="009F64E9">
        <w:rPr>
          <w:noProof/>
        </w:rPr>
        <w:fldChar w:fldCharType="end"/>
      </w:r>
    </w:p>
    <w:p w14:paraId="09DAC6BD" w14:textId="384DBE9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Valuation factors—CPI indexed pension plus 1%</w:t>
      </w:r>
      <w:r w:rsidRPr="009F64E9">
        <w:rPr>
          <w:noProof/>
        </w:rPr>
        <w:tab/>
      </w:r>
      <w:r w:rsidRPr="009F64E9">
        <w:rPr>
          <w:noProof/>
        </w:rPr>
        <w:fldChar w:fldCharType="begin"/>
      </w:r>
      <w:r w:rsidRPr="009F64E9">
        <w:rPr>
          <w:noProof/>
        </w:rPr>
        <w:instrText xml:space="preserve"> PAGEREF _Toc188350811 \h </w:instrText>
      </w:r>
      <w:r w:rsidRPr="009F64E9">
        <w:rPr>
          <w:noProof/>
        </w:rPr>
      </w:r>
      <w:r w:rsidRPr="009F64E9">
        <w:rPr>
          <w:noProof/>
        </w:rPr>
        <w:fldChar w:fldCharType="separate"/>
      </w:r>
      <w:r w:rsidR="000E6B78">
        <w:rPr>
          <w:noProof/>
        </w:rPr>
        <w:t>241</w:t>
      </w:r>
      <w:r w:rsidRPr="009F64E9">
        <w:rPr>
          <w:noProof/>
        </w:rPr>
        <w:fldChar w:fldCharType="end"/>
      </w:r>
    </w:p>
    <w:p w14:paraId="2906FBB5" w14:textId="1E842D1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Valuation factors—CPI indexed pension plus 1% with 5% cap</w:t>
      </w:r>
      <w:r w:rsidRPr="009F64E9">
        <w:rPr>
          <w:noProof/>
        </w:rPr>
        <w:tab/>
      </w:r>
      <w:r w:rsidRPr="009F64E9">
        <w:rPr>
          <w:noProof/>
        </w:rPr>
        <w:fldChar w:fldCharType="begin"/>
      </w:r>
      <w:r w:rsidRPr="009F64E9">
        <w:rPr>
          <w:noProof/>
        </w:rPr>
        <w:instrText xml:space="preserve"> PAGEREF _Toc188350812 \h </w:instrText>
      </w:r>
      <w:r w:rsidRPr="009F64E9">
        <w:rPr>
          <w:noProof/>
        </w:rPr>
      </w:r>
      <w:r w:rsidRPr="009F64E9">
        <w:rPr>
          <w:noProof/>
        </w:rPr>
        <w:fldChar w:fldCharType="separate"/>
      </w:r>
      <w:r w:rsidR="000E6B78">
        <w:rPr>
          <w:noProof/>
        </w:rPr>
        <w:t>244</w:t>
      </w:r>
      <w:r w:rsidRPr="009F64E9">
        <w:rPr>
          <w:noProof/>
        </w:rPr>
        <w:fldChar w:fldCharType="end"/>
      </w:r>
    </w:p>
    <w:p w14:paraId="0BF30754" w14:textId="248E8E6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Valuation factors—pension indexed at 3%</w:t>
      </w:r>
      <w:r w:rsidRPr="009F64E9">
        <w:rPr>
          <w:noProof/>
        </w:rPr>
        <w:tab/>
      </w:r>
      <w:r w:rsidRPr="009F64E9">
        <w:rPr>
          <w:noProof/>
        </w:rPr>
        <w:fldChar w:fldCharType="begin"/>
      </w:r>
      <w:r w:rsidRPr="009F64E9">
        <w:rPr>
          <w:noProof/>
        </w:rPr>
        <w:instrText xml:space="preserve"> PAGEREF _Toc188350813 \h </w:instrText>
      </w:r>
      <w:r w:rsidRPr="009F64E9">
        <w:rPr>
          <w:noProof/>
        </w:rPr>
      </w:r>
      <w:r w:rsidRPr="009F64E9">
        <w:rPr>
          <w:noProof/>
        </w:rPr>
        <w:fldChar w:fldCharType="separate"/>
      </w:r>
      <w:r w:rsidR="000E6B78">
        <w:rPr>
          <w:noProof/>
        </w:rPr>
        <w:t>246</w:t>
      </w:r>
      <w:r w:rsidRPr="009F64E9">
        <w:rPr>
          <w:noProof/>
        </w:rPr>
        <w:fldChar w:fldCharType="end"/>
      </w:r>
    </w:p>
    <w:p w14:paraId="056CDA51" w14:textId="1D1EF30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Valuation factors—wage indexed pension</w:t>
      </w:r>
      <w:r w:rsidRPr="009F64E9">
        <w:rPr>
          <w:noProof/>
        </w:rPr>
        <w:tab/>
      </w:r>
      <w:r w:rsidRPr="009F64E9">
        <w:rPr>
          <w:noProof/>
        </w:rPr>
        <w:fldChar w:fldCharType="begin"/>
      </w:r>
      <w:r w:rsidRPr="009F64E9">
        <w:rPr>
          <w:noProof/>
        </w:rPr>
        <w:instrText xml:space="preserve"> PAGEREF _Toc188350814 \h </w:instrText>
      </w:r>
      <w:r w:rsidRPr="009F64E9">
        <w:rPr>
          <w:noProof/>
        </w:rPr>
      </w:r>
      <w:r w:rsidRPr="009F64E9">
        <w:rPr>
          <w:noProof/>
        </w:rPr>
        <w:fldChar w:fldCharType="separate"/>
      </w:r>
      <w:r w:rsidR="000E6B78">
        <w:rPr>
          <w:noProof/>
        </w:rPr>
        <w:t>248</w:t>
      </w:r>
      <w:r w:rsidRPr="009F64E9">
        <w:rPr>
          <w:noProof/>
        </w:rPr>
        <w:fldChar w:fldCharType="end"/>
      </w:r>
    </w:p>
    <w:p w14:paraId="3BFFFCC4" w14:textId="135EDDB8"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Valuation factors—pension indexed at 4%</w:t>
      </w:r>
      <w:r w:rsidRPr="009F64E9">
        <w:rPr>
          <w:noProof/>
        </w:rPr>
        <w:tab/>
      </w:r>
      <w:r w:rsidRPr="009F64E9">
        <w:rPr>
          <w:noProof/>
        </w:rPr>
        <w:fldChar w:fldCharType="begin"/>
      </w:r>
      <w:r w:rsidRPr="009F64E9">
        <w:rPr>
          <w:noProof/>
        </w:rPr>
        <w:instrText xml:space="preserve"> PAGEREF _Toc188350815 \h </w:instrText>
      </w:r>
      <w:r w:rsidRPr="009F64E9">
        <w:rPr>
          <w:noProof/>
        </w:rPr>
      </w:r>
      <w:r w:rsidRPr="009F64E9">
        <w:rPr>
          <w:noProof/>
        </w:rPr>
        <w:fldChar w:fldCharType="separate"/>
      </w:r>
      <w:r w:rsidR="000E6B78">
        <w:rPr>
          <w:noProof/>
        </w:rPr>
        <w:t>251</w:t>
      </w:r>
      <w:r w:rsidRPr="009F64E9">
        <w:rPr>
          <w:noProof/>
        </w:rPr>
        <w:fldChar w:fldCharType="end"/>
      </w:r>
    </w:p>
    <w:p w14:paraId="6690AC8A" w14:textId="16DF7627"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Valuation factors—pension indexed at 5%</w:t>
      </w:r>
      <w:r w:rsidRPr="009F64E9">
        <w:rPr>
          <w:noProof/>
        </w:rPr>
        <w:tab/>
      </w:r>
      <w:r w:rsidRPr="009F64E9">
        <w:rPr>
          <w:noProof/>
        </w:rPr>
        <w:fldChar w:fldCharType="begin"/>
      </w:r>
      <w:r w:rsidRPr="009F64E9">
        <w:rPr>
          <w:noProof/>
        </w:rPr>
        <w:instrText xml:space="preserve"> PAGEREF _Toc188350816 \h </w:instrText>
      </w:r>
      <w:r w:rsidRPr="009F64E9">
        <w:rPr>
          <w:noProof/>
        </w:rPr>
      </w:r>
      <w:r w:rsidRPr="009F64E9">
        <w:rPr>
          <w:noProof/>
        </w:rPr>
        <w:fldChar w:fldCharType="separate"/>
      </w:r>
      <w:r w:rsidR="000E6B78">
        <w:rPr>
          <w:noProof/>
        </w:rPr>
        <w:t>253</w:t>
      </w:r>
      <w:r w:rsidRPr="009F64E9">
        <w:rPr>
          <w:noProof/>
        </w:rPr>
        <w:fldChar w:fldCharType="end"/>
      </w:r>
    </w:p>
    <w:p w14:paraId="573812F5" w14:textId="29E4FE53"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8—Method for determining gross value of superannuation interest payable as fixed</w:t>
      </w:r>
      <w:r>
        <w:rPr>
          <w:noProof/>
        </w:rPr>
        <w:noBreakHyphen/>
        <w:t>term pension</w:t>
      </w:r>
      <w:r w:rsidRPr="009F64E9">
        <w:rPr>
          <w:b w:val="0"/>
          <w:noProof/>
          <w:sz w:val="18"/>
        </w:rPr>
        <w:tab/>
      </w:r>
      <w:r w:rsidRPr="009F64E9">
        <w:rPr>
          <w:b w:val="0"/>
          <w:noProof/>
          <w:sz w:val="18"/>
        </w:rPr>
        <w:fldChar w:fldCharType="begin"/>
      </w:r>
      <w:r w:rsidRPr="009F64E9">
        <w:rPr>
          <w:b w:val="0"/>
          <w:noProof/>
          <w:sz w:val="18"/>
        </w:rPr>
        <w:instrText xml:space="preserve"> PAGEREF _Toc188350817 \h </w:instrText>
      </w:r>
      <w:r w:rsidRPr="009F64E9">
        <w:rPr>
          <w:b w:val="0"/>
          <w:noProof/>
          <w:sz w:val="18"/>
        </w:rPr>
      </w:r>
      <w:r w:rsidRPr="009F64E9">
        <w:rPr>
          <w:b w:val="0"/>
          <w:noProof/>
          <w:sz w:val="18"/>
        </w:rPr>
        <w:fldChar w:fldCharType="separate"/>
      </w:r>
      <w:r w:rsidR="000E6B78">
        <w:rPr>
          <w:b w:val="0"/>
          <w:noProof/>
          <w:sz w:val="18"/>
        </w:rPr>
        <w:t>256</w:t>
      </w:r>
      <w:r w:rsidRPr="009F64E9">
        <w:rPr>
          <w:b w:val="0"/>
          <w:noProof/>
          <w:sz w:val="18"/>
        </w:rPr>
        <w:fldChar w:fldCharType="end"/>
      </w:r>
    </w:p>
    <w:p w14:paraId="1D3C1F44" w14:textId="26F1FE5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_Toc188350818 \h </w:instrText>
      </w:r>
      <w:r w:rsidRPr="009F64E9">
        <w:rPr>
          <w:noProof/>
        </w:rPr>
      </w:r>
      <w:r w:rsidRPr="009F64E9">
        <w:rPr>
          <w:noProof/>
        </w:rPr>
        <w:fldChar w:fldCharType="separate"/>
      </w:r>
      <w:r w:rsidR="000E6B78">
        <w:rPr>
          <w:noProof/>
        </w:rPr>
        <w:t>256</w:t>
      </w:r>
      <w:r w:rsidRPr="009F64E9">
        <w:rPr>
          <w:noProof/>
        </w:rPr>
        <w:fldChar w:fldCharType="end"/>
      </w:r>
    </w:p>
    <w:p w14:paraId="26883A83" w14:textId="7A953AAC"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Method</w:t>
      </w:r>
      <w:r w:rsidRPr="009F64E9">
        <w:rPr>
          <w:noProof/>
        </w:rPr>
        <w:tab/>
      </w:r>
      <w:r w:rsidRPr="009F64E9">
        <w:rPr>
          <w:noProof/>
        </w:rPr>
        <w:fldChar w:fldCharType="begin"/>
      </w:r>
      <w:r w:rsidRPr="009F64E9">
        <w:rPr>
          <w:noProof/>
        </w:rPr>
        <w:instrText xml:space="preserve"> PAGEREF _Toc188350819 \h </w:instrText>
      </w:r>
      <w:r w:rsidRPr="009F64E9">
        <w:rPr>
          <w:noProof/>
        </w:rPr>
      </w:r>
      <w:r w:rsidRPr="009F64E9">
        <w:rPr>
          <w:noProof/>
        </w:rPr>
        <w:fldChar w:fldCharType="separate"/>
      </w:r>
      <w:r w:rsidR="000E6B78">
        <w:rPr>
          <w:noProof/>
        </w:rPr>
        <w:t>256</w:t>
      </w:r>
      <w:r w:rsidRPr="009F64E9">
        <w:rPr>
          <w:noProof/>
        </w:rPr>
        <w:fldChar w:fldCharType="end"/>
      </w:r>
    </w:p>
    <w:p w14:paraId="53398004" w14:textId="6AA9292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Pension valuation factors</w:t>
      </w:r>
      <w:r w:rsidRPr="009F64E9">
        <w:rPr>
          <w:noProof/>
        </w:rPr>
        <w:tab/>
      </w:r>
      <w:r w:rsidRPr="009F64E9">
        <w:rPr>
          <w:noProof/>
        </w:rPr>
        <w:fldChar w:fldCharType="begin"/>
      </w:r>
      <w:r w:rsidRPr="009F64E9">
        <w:rPr>
          <w:noProof/>
        </w:rPr>
        <w:instrText xml:space="preserve"> PAGEREF _Toc188350820 \h </w:instrText>
      </w:r>
      <w:r w:rsidRPr="009F64E9">
        <w:rPr>
          <w:noProof/>
        </w:rPr>
      </w:r>
      <w:r w:rsidRPr="009F64E9">
        <w:rPr>
          <w:noProof/>
        </w:rPr>
        <w:fldChar w:fldCharType="separate"/>
      </w:r>
      <w:r w:rsidR="000E6B78">
        <w:rPr>
          <w:noProof/>
        </w:rPr>
        <w:t>256</w:t>
      </w:r>
      <w:r w:rsidRPr="009F64E9">
        <w:rPr>
          <w:noProof/>
        </w:rPr>
        <w:fldChar w:fldCharType="end"/>
      </w:r>
    </w:p>
    <w:p w14:paraId="5FF0FDC8" w14:textId="05DAA1BE"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9—Method for determining value of superannuation interest in fixed term annuity</w:t>
      </w:r>
      <w:r w:rsidRPr="009F64E9">
        <w:rPr>
          <w:b w:val="0"/>
          <w:noProof/>
          <w:sz w:val="18"/>
        </w:rPr>
        <w:tab/>
      </w:r>
      <w:r w:rsidRPr="009F64E9">
        <w:rPr>
          <w:b w:val="0"/>
          <w:noProof/>
          <w:sz w:val="18"/>
        </w:rPr>
        <w:fldChar w:fldCharType="begin"/>
      </w:r>
      <w:r w:rsidRPr="009F64E9">
        <w:rPr>
          <w:b w:val="0"/>
          <w:noProof/>
          <w:sz w:val="18"/>
        </w:rPr>
        <w:instrText xml:space="preserve"> PAGEREF _Toc188350821 \h </w:instrText>
      </w:r>
      <w:r w:rsidRPr="009F64E9">
        <w:rPr>
          <w:b w:val="0"/>
          <w:noProof/>
          <w:sz w:val="18"/>
        </w:rPr>
      </w:r>
      <w:r w:rsidRPr="009F64E9">
        <w:rPr>
          <w:b w:val="0"/>
          <w:noProof/>
          <w:sz w:val="18"/>
        </w:rPr>
        <w:fldChar w:fldCharType="separate"/>
      </w:r>
      <w:r w:rsidR="000E6B78">
        <w:rPr>
          <w:b w:val="0"/>
          <w:noProof/>
          <w:sz w:val="18"/>
        </w:rPr>
        <w:t>259</w:t>
      </w:r>
      <w:r w:rsidRPr="009F64E9">
        <w:rPr>
          <w:b w:val="0"/>
          <w:noProof/>
          <w:sz w:val="18"/>
        </w:rPr>
        <w:fldChar w:fldCharType="end"/>
      </w:r>
    </w:p>
    <w:p w14:paraId="3B44C3D0" w14:textId="37BA92C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_Toc188350822 \h </w:instrText>
      </w:r>
      <w:r w:rsidRPr="009F64E9">
        <w:rPr>
          <w:noProof/>
        </w:rPr>
      </w:r>
      <w:r w:rsidRPr="009F64E9">
        <w:rPr>
          <w:noProof/>
        </w:rPr>
        <w:fldChar w:fldCharType="separate"/>
      </w:r>
      <w:r w:rsidR="000E6B78">
        <w:rPr>
          <w:noProof/>
        </w:rPr>
        <w:t>259</w:t>
      </w:r>
      <w:r w:rsidRPr="009F64E9">
        <w:rPr>
          <w:noProof/>
        </w:rPr>
        <w:fldChar w:fldCharType="end"/>
      </w:r>
    </w:p>
    <w:p w14:paraId="5818DA74" w14:textId="68D807E4"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Method</w:t>
      </w:r>
      <w:r w:rsidRPr="009F64E9">
        <w:rPr>
          <w:noProof/>
        </w:rPr>
        <w:tab/>
      </w:r>
      <w:r w:rsidRPr="009F64E9">
        <w:rPr>
          <w:noProof/>
        </w:rPr>
        <w:fldChar w:fldCharType="begin"/>
      </w:r>
      <w:r w:rsidRPr="009F64E9">
        <w:rPr>
          <w:noProof/>
        </w:rPr>
        <w:instrText xml:space="preserve"> PAGEREF _Toc188350823 \h </w:instrText>
      </w:r>
      <w:r w:rsidRPr="009F64E9">
        <w:rPr>
          <w:noProof/>
        </w:rPr>
      </w:r>
      <w:r w:rsidRPr="009F64E9">
        <w:rPr>
          <w:noProof/>
        </w:rPr>
        <w:fldChar w:fldCharType="separate"/>
      </w:r>
      <w:r w:rsidR="000E6B78">
        <w:rPr>
          <w:noProof/>
        </w:rPr>
        <w:t>259</w:t>
      </w:r>
      <w:r w:rsidRPr="009F64E9">
        <w:rPr>
          <w:noProof/>
        </w:rPr>
        <w:fldChar w:fldCharType="end"/>
      </w:r>
    </w:p>
    <w:p w14:paraId="4C817074" w14:textId="010AFD39"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10—Method for determining gross value of superannuation interest payable as pension and future lump sum</w:t>
      </w:r>
      <w:r w:rsidRPr="009F64E9">
        <w:rPr>
          <w:b w:val="0"/>
          <w:noProof/>
          <w:sz w:val="18"/>
        </w:rPr>
        <w:tab/>
      </w:r>
      <w:r w:rsidRPr="009F64E9">
        <w:rPr>
          <w:b w:val="0"/>
          <w:noProof/>
          <w:sz w:val="18"/>
        </w:rPr>
        <w:fldChar w:fldCharType="begin"/>
      </w:r>
      <w:r w:rsidRPr="009F64E9">
        <w:rPr>
          <w:b w:val="0"/>
          <w:noProof/>
          <w:sz w:val="18"/>
        </w:rPr>
        <w:instrText xml:space="preserve"> PAGEREF _Toc188350824 \h </w:instrText>
      </w:r>
      <w:r w:rsidRPr="009F64E9">
        <w:rPr>
          <w:b w:val="0"/>
          <w:noProof/>
          <w:sz w:val="18"/>
        </w:rPr>
      </w:r>
      <w:r w:rsidRPr="009F64E9">
        <w:rPr>
          <w:b w:val="0"/>
          <w:noProof/>
          <w:sz w:val="18"/>
        </w:rPr>
        <w:fldChar w:fldCharType="separate"/>
      </w:r>
      <w:r w:rsidR="000E6B78">
        <w:rPr>
          <w:b w:val="0"/>
          <w:noProof/>
          <w:sz w:val="18"/>
        </w:rPr>
        <w:t>260</w:t>
      </w:r>
      <w:r w:rsidRPr="009F64E9">
        <w:rPr>
          <w:b w:val="0"/>
          <w:noProof/>
          <w:sz w:val="18"/>
        </w:rPr>
        <w:fldChar w:fldCharType="end"/>
      </w:r>
    </w:p>
    <w:p w14:paraId="1CC3E397" w14:textId="4B157FFD"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_Toc188350825 \h </w:instrText>
      </w:r>
      <w:r w:rsidRPr="009F64E9">
        <w:rPr>
          <w:noProof/>
        </w:rPr>
      </w:r>
      <w:r w:rsidRPr="009F64E9">
        <w:rPr>
          <w:noProof/>
        </w:rPr>
        <w:fldChar w:fldCharType="separate"/>
      </w:r>
      <w:r w:rsidR="000E6B78">
        <w:rPr>
          <w:noProof/>
        </w:rPr>
        <w:t>260</w:t>
      </w:r>
      <w:r w:rsidRPr="009F64E9">
        <w:rPr>
          <w:noProof/>
        </w:rPr>
        <w:fldChar w:fldCharType="end"/>
      </w:r>
    </w:p>
    <w:p w14:paraId="21FEDC58" w14:textId="1848BFDF"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Definitions</w:t>
      </w:r>
      <w:r w:rsidRPr="009F64E9">
        <w:rPr>
          <w:noProof/>
        </w:rPr>
        <w:tab/>
      </w:r>
      <w:r w:rsidRPr="009F64E9">
        <w:rPr>
          <w:noProof/>
        </w:rPr>
        <w:fldChar w:fldCharType="begin"/>
      </w:r>
      <w:r w:rsidRPr="009F64E9">
        <w:rPr>
          <w:noProof/>
        </w:rPr>
        <w:instrText xml:space="preserve"> PAGEREF _Toc188350826 \h </w:instrText>
      </w:r>
      <w:r w:rsidRPr="009F64E9">
        <w:rPr>
          <w:noProof/>
        </w:rPr>
      </w:r>
      <w:r w:rsidRPr="009F64E9">
        <w:rPr>
          <w:noProof/>
        </w:rPr>
        <w:fldChar w:fldCharType="separate"/>
      </w:r>
      <w:r w:rsidR="000E6B78">
        <w:rPr>
          <w:noProof/>
        </w:rPr>
        <w:t>260</w:t>
      </w:r>
      <w:r w:rsidRPr="009F64E9">
        <w:rPr>
          <w:noProof/>
        </w:rPr>
        <w:fldChar w:fldCharType="end"/>
      </w:r>
    </w:p>
    <w:p w14:paraId="4957D032" w14:textId="1EA2B9FA"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Method</w:t>
      </w:r>
      <w:r w:rsidRPr="009F64E9">
        <w:rPr>
          <w:noProof/>
        </w:rPr>
        <w:tab/>
      </w:r>
      <w:r w:rsidRPr="009F64E9">
        <w:rPr>
          <w:noProof/>
        </w:rPr>
        <w:fldChar w:fldCharType="begin"/>
      </w:r>
      <w:r w:rsidRPr="009F64E9">
        <w:rPr>
          <w:noProof/>
        </w:rPr>
        <w:instrText xml:space="preserve"> PAGEREF _Toc188350827 \h </w:instrText>
      </w:r>
      <w:r w:rsidRPr="009F64E9">
        <w:rPr>
          <w:noProof/>
        </w:rPr>
      </w:r>
      <w:r w:rsidRPr="009F64E9">
        <w:rPr>
          <w:noProof/>
        </w:rPr>
        <w:fldChar w:fldCharType="separate"/>
      </w:r>
      <w:r w:rsidR="000E6B78">
        <w:rPr>
          <w:noProof/>
        </w:rPr>
        <w:t>260</w:t>
      </w:r>
      <w:r w:rsidRPr="009F64E9">
        <w:rPr>
          <w:noProof/>
        </w:rPr>
        <w:fldChar w:fldCharType="end"/>
      </w:r>
    </w:p>
    <w:p w14:paraId="48DAD8CB" w14:textId="260DF679"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Discount valuation factors</w:t>
      </w:r>
      <w:r w:rsidRPr="009F64E9">
        <w:rPr>
          <w:noProof/>
        </w:rPr>
        <w:tab/>
      </w:r>
      <w:r w:rsidRPr="009F64E9">
        <w:rPr>
          <w:noProof/>
        </w:rPr>
        <w:fldChar w:fldCharType="begin"/>
      </w:r>
      <w:r w:rsidRPr="009F64E9">
        <w:rPr>
          <w:noProof/>
        </w:rPr>
        <w:instrText xml:space="preserve"> PAGEREF _Toc188350828 \h </w:instrText>
      </w:r>
      <w:r w:rsidRPr="009F64E9">
        <w:rPr>
          <w:noProof/>
        </w:rPr>
      </w:r>
      <w:r w:rsidRPr="009F64E9">
        <w:rPr>
          <w:noProof/>
        </w:rPr>
        <w:fldChar w:fldCharType="separate"/>
      </w:r>
      <w:r w:rsidR="000E6B78">
        <w:rPr>
          <w:noProof/>
        </w:rPr>
        <w:t>261</w:t>
      </w:r>
      <w:r w:rsidRPr="009F64E9">
        <w:rPr>
          <w:noProof/>
        </w:rPr>
        <w:fldChar w:fldCharType="end"/>
      </w:r>
    </w:p>
    <w:p w14:paraId="0EBBBA4B" w14:textId="454BDAEC"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11—Method for determining transition factor for calculating the amount to be paid to the non</w:t>
      </w:r>
      <w:r>
        <w:rPr>
          <w:noProof/>
        </w:rPr>
        <w:noBreakHyphen/>
        <w:t>member spouse</w:t>
      </w:r>
      <w:r w:rsidRPr="009F64E9">
        <w:rPr>
          <w:b w:val="0"/>
          <w:noProof/>
          <w:sz w:val="18"/>
        </w:rPr>
        <w:tab/>
      </w:r>
      <w:r w:rsidRPr="009F64E9">
        <w:rPr>
          <w:b w:val="0"/>
          <w:noProof/>
          <w:sz w:val="18"/>
        </w:rPr>
        <w:fldChar w:fldCharType="begin"/>
      </w:r>
      <w:r w:rsidRPr="009F64E9">
        <w:rPr>
          <w:b w:val="0"/>
          <w:noProof/>
          <w:sz w:val="18"/>
        </w:rPr>
        <w:instrText xml:space="preserve"> PAGEREF _Toc188350829 \h </w:instrText>
      </w:r>
      <w:r w:rsidRPr="009F64E9">
        <w:rPr>
          <w:b w:val="0"/>
          <w:noProof/>
          <w:sz w:val="18"/>
        </w:rPr>
      </w:r>
      <w:r w:rsidRPr="009F64E9">
        <w:rPr>
          <w:b w:val="0"/>
          <w:noProof/>
          <w:sz w:val="18"/>
        </w:rPr>
        <w:fldChar w:fldCharType="separate"/>
      </w:r>
      <w:r w:rsidR="000E6B78">
        <w:rPr>
          <w:b w:val="0"/>
          <w:noProof/>
          <w:sz w:val="18"/>
        </w:rPr>
        <w:t>263</w:t>
      </w:r>
      <w:r w:rsidRPr="009F64E9">
        <w:rPr>
          <w:b w:val="0"/>
          <w:noProof/>
          <w:sz w:val="18"/>
        </w:rPr>
        <w:fldChar w:fldCharType="end"/>
      </w:r>
    </w:p>
    <w:p w14:paraId="52E67ADB" w14:textId="3450B285"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Application of this Schedule</w:t>
      </w:r>
      <w:r w:rsidRPr="009F64E9">
        <w:rPr>
          <w:noProof/>
        </w:rPr>
        <w:tab/>
      </w:r>
      <w:r w:rsidRPr="009F64E9">
        <w:rPr>
          <w:noProof/>
        </w:rPr>
        <w:fldChar w:fldCharType="begin"/>
      </w:r>
      <w:r w:rsidRPr="009F64E9">
        <w:rPr>
          <w:noProof/>
        </w:rPr>
        <w:instrText xml:space="preserve"> PAGEREF _Toc188350830 \h </w:instrText>
      </w:r>
      <w:r w:rsidRPr="009F64E9">
        <w:rPr>
          <w:noProof/>
        </w:rPr>
      </w:r>
      <w:r w:rsidRPr="009F64E9">
        <w:rPr>
          <w:noProof/>
        </w:rPr>
        <w:fldChar w:fldCharType="separate"/>
      </w:r>
      <w:r w:rsidR="000E6B78">
        <w:rPr>
          <w:noProof/>
        </w:rPr>
        <w:t>263</w:t>
      </w:r>
      <w:r w:rsidRPr="009F64E9">
        <w:rPr>
          <w:noProof/>
        </w:rPr>
        <w:fldChar w:fldCharType="end"/>
      </w:r>
    </w:p>
    <w:p w14:paraId="6F03F275" w14:textId="467A30D6" w:rsidR="009F64E9" w:rsidRDefault="009F64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Transition factor</w:t>
      </w:r>
      <w:r w:rsidRPr="009F64E9">
        <w:rPr>
          <w:noProof/>
        </w:rPr>
        <w:tab/>
      </w:r>
      <w:r w:rsidRPr="009F64E9">
        <w:rPr>
          <w:noProof/>
        </w:rPr>
        <w:fldChar w:fldCharType="begin"/>
      </w:r>
      <w:r w:rsidRPr="009F64E9">
        <w:rPr>
          <w:noProof/>
        </w:rPr>
        <w:instrText xml:space="preserve"> PAGEREF _Toc188350831 \h </w:instrText>
      </w:r>
      <w:r w:rsidRPr="009F64E9">
        <w:rPr>
          <w:noProof/>
        </w:rPr>
      </w:r>
      <w:r w:rsidRPr="009F64E9">
        <w:rPr>
          <w:noProof/>
        </w:rPr>
        <w:fldChar w:fldCharType="separate"/>
      </w:r>
      <w:r w:rsidR="000E6B78">
        <w:rPr>
          <w:noProof/>
        </w:rPr>
        <w:t>263</w:t>
      </w:r>
      <w:r w:rsidRPr="009F64E9">
        <w:rPr>
          <w:noProof/>
        </w:rPr>
        <w:fldChar w:fldCharType="end"/>
      </w:r>
    </w:p>
    <w:p w14:paraId="0579569D" w14:textId="7F7CE2E5" w:rsidR="009F64E9" w:rsidRDefault="009F64E9">
      <w:pPr>
        <w:pStyle w:val="TOC5"/>
        <w:rPr>
          <w:rFonts w:asciiTheme="minorHAnsi" w:eastAsiaTheme="minorEastAsia" w:hAnsiTheme="minorHAnsi" w:cstheme="minorBidi"/>
          <w:noProof/>
          <w:kern w:val="2"/>
          <w:sz w:val="24"/>
          <w:szCs w:val="24"/>
          <w14:ligatures w14:val="standardContextual"/>
        </w:rPr>
      </w:pPr>
      <w:r w:rsidRPr="006558F0">
        <w:rPr>
          <w:rFonts w:eastAsiaTheme="minorEastAsia"/>
          <w:noProof/>
        </w:rPr>
        <w:t>3</w:t>
      </w:r>
      <w:r>
        <w:rPr>
          <w:rFonts w:eastAsiaTheme="minorEastAsia"/>
          <w:noProof/>
        </w:rPr>
        <w:tab/>
      </w:r>
      <w:r w:rsidRPr="006558F0">
        <w:rPr>
          <w:rFonts w:eastAsiaTheme="minorEastAsia"/>
          <w:noProof/>
        </w:rPr>
        <w:t>Relative value factors—benefits in respect of the superannuation interest are payable as a pension that has no guarantee period</w:t>
      </w:r>
      <w:r w:rsidRPr="009F64E9">
        <w:rPr>
          <w:noProof/>
        </w:rPr>
        <w:tab/>
      </w:r>
      <w:r w:rsidRPr="009F64E9">
        <w:rPr>
          <w:noProof/>
        </w:rPr>
        <w:fldChar w:fldCharType="begin"/>
      </w:r>
      <w:r w:rsidRPr="009F64E9">
        <w:rPr>
          <w:noProof/>
        </w:rPr>
        <w:instrText xml:space="preserve"> PAGEREF _Toc188350832 \h </w:instrText>
      </w:r>
      <w:r w:rsidRPr="009F64E9">
        <w:rPr>
          <w:noProof/>
        </w:rPr>
      </w:r>
      <w:r w:rsidRPr="009F64E9">
        <w:rPr>
          <w:noProof/>
        </w:rPr>
        <w:fldChar w:fldCharType="separate"/>
      </w:r>
      <w:r w:rsidR="000E6B78">
        <w:rPr>
          <w:noProof/>
        </w:rPr>
        <w:t>264</w:t>
      </w:r>
      <w:r w:rsidRPr="009F64E9">
        <w:rPr>
          <w:noProof/>
        </w:rPr>
        <w:fldChar w:fldCharType="end"/>
      </w:r>
    </w:p>
    <w:p w14:paraId="1AFC6BED" w14:textId="697C4768" w:rsidR="009F64E9" w:rsidRDefault="009F64E9">
      <w:pPr>
        <w:pStyle w:val="TOC5"/>
        <w:rPr>
          <w:rFonts w:asciiTheme="minorHAnsi" w:eastAsiaTheme="minorEastAsia" w:hAnsiTheme="minorHAnsi" w:cstheme="minorBidi"/>
          <w:noProof/>
          <w:kern w:val="2"/>
          <w:sz w:val="24"/>
          <w:szCs w:val="24"/>
          <w14:ligatures w14:val="standardContextual"/>
        </w:rPr>
      </w:pPr>
      <w:r w:rsidRPr="006558F0">
        <w:rPr>
          <w:rFonts w:eastAsiaTheme="minorEastAsia"/>
          <w:noProof/>
        </w:rPr>
        <w:lastRenderedPageBreak/>
        <w:t>4</w:t>
      </w:r>
      <w:r>
        <w:rPr>
          <w:rFonts w:eastAsiaTheme="minorEastAsia"/>
          <w:noProof/>
        </w:rPr>
        <w:tab/>
      </w:r>
      <w:r w:rsidRPr="006558F0">
        <w:rPr>
          <w:rFonts w:eastAsiaTheme="minorEastAsia"/>
          <w:noProof/>
        </w:rPr>
        <w:t>Relative value factors—benefits in respect of the superannuation interest are payable as a pension having a 5</w:t>
      </w:r>
      <w:r w:rsidRPr="006558F0">
        <w:rPr>
          <w:rFonts w:eastAsiaTheme="minorEastAsia"/>
          <w:noProof/>
        </w:rPr>
        <w:noBreakHyphen/>
        <w:t>year guarantee period</w:t>
      </w:r>
      <w:r w:rsidRPr="009F64E9">
        <w:rPr>
          <w:noProof/>
        </w:rPr>
        <w:tab/>
      </w:r>
      <w:r w:rsidRPr="009F64E9">
        <w:rPr>
          <w:noProof/>
        </w:rPr>
        <w:fldChar w:fldCharType="begin"/>
      </w:r>
      <w:r w:rsidRPr="009F64E9">
        <w:rPr>
          <w:noProof/>
        </w:rPr>
        <w:instrText xml:space="preserve"> PAGEREF _Toc188350833 \h </w:instrText>
      </w:r>
      <w:r w:rsidRPr="009F64E9">
        <w:rPr>
          <w:noProof/>
        </w:rPr>
      </w:r>
      <w:r w:rsidRPr="009F64E9">
        <w:rPr>
          <w:noProof/>
        </w:rPr>
        <w:fldChar w:fldCharType="separate"/>
      </w:r>
      <w:r w:rsidR="000E6B78">
        <w:rPr>
          <w:noProof/>
        </w:rPr>
        <w:t>264</w:t>
      </w:r>
      <w:r w:rsidRPr="009F64E9">
        <w:rPr>
          <w:noProof/>
        </w:rPr>
        <w:fldChar w:fldCharType="end"/>
      </w:r>
    </w:p>
    <w:p w14:paraId="60C520FD" w14:textId="3CA08D04" w:rsidR="009F64E9" w:rsidRDefault="009F64E9">
      <w:pPr>
        <w:pStyle w:val="TOC5"/>
        <w:rPr>
          <w:rFonts w:asciiTheme="minorHAnsi" w:eastAsiaTheme="minorEastAsia" w:hAnsiTheme="minorHAnsi" w:cstheme="minorBidi"/>
          <w:noProof/>
          <w:kern w:val="2"/>
          <w:sz w:val="24"/>
          <w:szCs w:val="24"/>
          <w14:ligatures w14:val="standardContextual"/>
        </w:rPr>
      </w:pPr>
      <w:r w:rsidRPr="006558F0">
        <w:rPr>
          <w:rFonts w:eastAsiaTheme="minorEastAsia"/>
          <w:noProof/>
        </w:rPr>
        <w:t>5</w:t>
      </w:r>
      <w:r>
        <w:rPr>
          <w:rFonts w:eastAsiaTheme="minorEastAsia"/>
          <w:noProof/>
        </w:rPr>
        <w:tab/>
      </w:r>
      <w:r w:rsidRPr="006558F0">
        <w:rPr>
          <w:rFonts w:eastAsiaTheme="minorEastAsia"/>
          <w:noProof/>
        </w:rPr>
        <w:t>Relative value factors—benefits in respect of the superannuation interest are payable as a pension having a 10</w:t>
      </w:r>
      <w:r w:rsidRPr="006558F0">
        <w:rPr>
          <w:rFonts w:eastAsiaTheme="minorEastAsia"/>
          <w:noProof/>
        </w:rPr>
        <w:noBreakHyphen/>
        <w:t>year guarantee period</w:t>
      </w:r>
      <w:r w:rsidRPr="009F64E9">
        <w:rPr>
          <w:noProof/>
        </w:rPr>
        <w:tab/>
      </w:r>
      <w:r w:rsidRPr="009F64E9">
        <w:rPr>
          <w:noProof/>
        </w:rPr>
        <w:fldChar w:fldCharType="begin"/>
      </w:r>
      <w:r w:rsidRPr="009F64E9">
        <w:rPr>
          <w:noProof/>
        </w:rPr>
        <w:instrText xml:space="preserve"> PAGEREF _Toc188350834 \h </w:instrText>
      </w:r>
      <w:r w:rsidRPr="009F64E9">
        <w:rPr>
          <w:noProof/>
        </w:rPr>
      </w:r>
      <w:r w:rsidRPr="009F64E9">
        <w:rPr>
          <w:noProof/>
        </w:rPr>
        <w:fldChar w:fldCharType="separate"/>
      </w:r>
      <w:r w:rsidR="000E6B78">
        <w:rPr>
          <w:noProof/>
        </w:rPr>
        <w:t>265</w:t>
      </w:r>
      <w:r w:rsidRPr="009F64E9">
        <w:rPr>
          <w:noProof/>
        </w:rPr>
        <w:fldChar w:fldCharType="end"/>
      </w:r>
    </w:p>
    <w:p w14:paraId="058F651A" w14:textId="41CA5B37" w:rsidR="009F64E9" w:rsidRDefault="009F64E9">
      <w:pPr>
        <w:pStyle w:val="TOC1"/>
        <w:rPr>
          <w:rFonts w:asciiTheme="minorHAnsi" w:eastAsiaTheme="minorEastAsia" w:hAnsiTheme="minorHAnsi" w:cstheme="minorBidi"/>
          <w:b w:val="0"/>
          <w:noProof/>
          <w:kern w:val="2"/>
          <w:sz w:val="24"/>
          <w:szCs w:val="24"/>
          <w14:ligatures w14:val="standardContextual"/>
        </w:rPr>
      </w:pPr>
      <w:r>
        <w:rPr>
          <w:noProof/>
        </w:rPr>
        <w:t>Schedule 12—Modifications of Division 2 of Part 7</w:t>
      </w:r>
      <w:r w:rsidRPr="009F64E9">
        <w:rPr>
          <w:b w:val="0"/>
          <w:noProof/>
          <w:sz w:val="18"/>
        </w:rPr>
        <w:tab/>
      </w:r>
      <w:r w:rsidRPr="009F64E9">
        <w:rPr>
          <w:b w:val="0"/>
          <w:noProof/>
          <w:sz w:val="18"/>
        </w:rPr>
        <w:fldChar w:fldCharType="begin"/>
      </w:r>
      <w:r w:rsidRPr="009F64E9">
        <w:rPr>
          <w:b w:val="0"/>
          <w:noProof/>
          <w:sz w:val="18"/>
        </w:rPr>
        <w:instrText xml:space="preserve"> PAGEREF _Toc188350835 \h </w:instrText>
      </w:r>
      <w:r w:rsidRPr="009F64E9">
        <w:rPr>
          <w:b w:val="0"/>
          <w:noProof/>
          <w:sz w:val="18"/>
        </w:rPr>
      </w:r>
      <w:r w:rsidRPr="009F64E9">
        <w:rPr>
          <w:b w:val="0"/>
          <w:noProof/>
          <w:sz w:val="18"/>
        </w:rPr>
        <w:fldChar w:fldCharType="separate"/>
      </w:r>
      <w:r w:rsidR="000E6B78">
        <w:rPr>
          <w:b w:val="0"/>
          <w:noProof/>
          <w:sz w:val="18"/>
        </w:rPr>
        <w:t>267</w:t>
      </w:r>
      <w:r w:rsidRPr="009F64E9">
        <w:rPr>
          <w:b w:val="0"/>
          <w:noProof/>
          <w:sz w:val="18"/>
        </w:rPr>
        <w:fldChar w:fldCharType="end"/>
      </w:r>
    </w:p>
    <w:p w14:paraId="1CEC5029" w14:textId="69264C17" w:rsidR="00647C6B" w:rsidRPr="00A058B6" w:rsidRDefault="009F64E9" w:rsidP="00647C6B">
      <w:r>
        <w:fldChar w:fldCharType="end"/>
      </w:r>
    </w:p>
    <w:p w14:paraId="30CBE8E5" w14:textId="77777777" w:rsidR="00FA26AF" w:rsidRPr="00A058B6" w:rsidRDefault="00FA26AF" w:rsidP="009C0D79">
      <w:pPr>
        <w:sectPr w:rsidR="00FA26AF" w:rsidRPr="00A058B6" w:rsidSect="00942B24">
          <w:headerReference w:type="even" r:id="rId18"/>
          <w:headerReference w:type="default" r:id="rId19"/>
          <w:footerReference w:type="even" r:id="rId20"/>
          <w:footerReference w:type="default" r:id="rId21"/>
          <w:headerReference w:type="first" r:id="rId22"/>
          <w:footerReference w:type="first" r:id="rId23"/>
          <w:pgSz w:w="11907" w:h="16839"/>
          <w:pgMar w:top="2233" w:right="1797" w:bottom="1440" w:left="1797" w:header="720" w:footer="708" w:gutter="0"/>
          <w:pgNumType w:fmt="lowerRoman" w:start="1"/>
          <w:cols w:space="708"/>
          <w:docGrid w:linePitch="360"/>
        </w:sectPr>
      </w:pPr>
    </w:p>
    <w:p w14:paraId="19B27548" w14:textId="77777777" w:rsidR="003E4640" w:rsidRPr="00A058B6" w:rsidRDefault="00881039" w:rsidP="003E4640">
      <w:pPr>
        <w:pStyle w:val="ActHead2"/>
      </w:pPr>
      <w:bookmarkStart w:id="2" w:name="_Toc188350493"/>
      <w:bookmarkStart w:id="3" w:name="OPCSB_BodyPrincipleB5"/>
      <w:r w:rsidRPr="00423C34">
        <w:rPr>
          <w:rStyle w:val="CharPartNo"/>
        </w:rPr>
        <w:lastRenderedPageBreak/>
        <w:t>Part 1</w:t>
      </w:r>
      <w:r w:rsidR="003E4640" w:rsidRPr="00A058B6">
        <w:t>—</w:t>
      </w:r>
      <w:r w:rsidR="003E4640" w:rsidRPr="00423C34">
        <w:rPr>
          <w:rStyle w:val="CharPartText"/>
        </w:rPr>
        <w:t>Preliminary</w:t>
      </w:r>
      <w:bookmarkEnd w:id="2"/>
    </w:p>
    <w:p w14:paraId="6E4A07B2" w14:textId="77777777" w:rsidR="003E4640" w:rsidRPr="00423C34" w:rsidRDefault="003E4640" w:rsidP="003E4640">
      <w:pPr>
        <w:pStyle w:val="Header"/>
      </w:pPr>
      <w:r w:rsidRPr="00423C34">
        <w:rPr>
          <w:rStyle w:val="CharDivNo"/>
        </w:rPr>
        <w:t xml:space="preserve"> </w:t>
      </w:r>
      <w:r w:rsidRPr="00423C34">
        <w:rPr>
          <w:rStyle w:val="CharDivText"/>
        </w:rPr>
        <w:t xml:space="preserve"> </w:t>
      </w:r>
    </w:p>
    <w:p w14:paraId="29162EE0" w14:textId="182A1FA1" w:rsidR="003E4640" w:rsidRPr="00A058B6" w:rsidRDefault="00485CC2" w:rsidP="003E4640">
      <w:pPr>
        <w:pStyle w:val="ActHead5"/>
      </w:pPr>
      <w:bookmarkStart w:id="4" w:name="_Toc188350494"/>
      <w:r w:rsidRPr="00423C34">
        <w:rPr>
          <w:rStyle w:val="CharSectno"/>
        </w:rPr>
        <w:t>1</w:t>
      </w:r>
      <w:r w:rsidR="003E4640" w:rsidRPr="00A058B6">
        <w:t xml:space="preserve">  Name</w:t>
      </w:r>
      <w:bookmarkEnd w:id="4"/>
    </w:p>
    <w:p w14:paraId="531120EA" w14:textId="1D9FE4D6" w:rsidR="003E4640" w:rsidRPr="00A058B6" w:rsidRDefault="003E4640" w:rsidP="003E4640">
      <w:pPr>
        <w:pStyle w:val="subsection"/>
      </w:pPr>
      <w:r w:rsidRPr="00A058B6">
        <w:tab/>
      </w:r>
      <w:r w:rsidRPr="00A058B6">
        <w:tab/>
        <w:t xml:space="preserve">This instrument is the </w:t>
      </w:r>
      <w:r w:rsidR="001952B3">
        <w:rPr>
          <w:i/>
          <w:noProof/>
        </w:rPr>
        <w:t>Family Law (Superannuation) Regulations 2025</w:t>
      </w:r>
      <w:r w:rsidR="00D7157D">
        <w:t>.</w:t>
      </w:r>
    </w:p>
    <w:p w14:paraId="53288D2B" w14:textId="3A2445CB" w:rsidR="003E4640" w:rsidRPr="00A058B6" w:rsidRDefault="00485CC2" w:rsidP="003E4640">
      <w:pPr>
        <w:pStyle w:val="ActHead5"/>
      </w:pPr>
      <w:bookmarkStart w:id="5" w:name="_Toc188350495"/>
      <w:r w:rsidRPr="00423C34">
        <w:rPr>
          <w:rStyle w:val="CharSectno"/>
        </w:rPr>
        <w:t>2</w:t>
      </w:r>
      <w:r w:rsidR="003E4640" w:rsidRPr="00A058B6">
        <w:t xml:space="preserve">  Commencement</w:t>
      </w:r>
      <w:bookmarkEnd w:id="5"/>
    </w:p>
    <w:p w14:paraId="55BC947E" w14:textId="77777777" w:rsidR="003E4640" w:rsidRPr="00A058B6" w:rsidRDefault="003E4640" w:rsidP="003E4640">
      <w:pPr>
        <w:pStyle w:val="subsection"/>
      </w:pPr>
      <w:r w:rsidRPr="00A058B6">
        <w:tab/>
        <w:t>(1)</w:t>
      </w:r>
      <w:r w:rsidRPr="00A058B6">
        <w:tab/>
        <w:t>Each provision of this instrument specified in column 1 of the table commences, or is taken to have commenced, in accordance with column 2 of the table</w:t>
      </w:r>
      <w:r w:rsidR="00D7157D">
        <w:t>.</w:t>
      </w:r>
      <w:r w:rsidRPr="00A058B6">
        <w:t xml:space="preserve"> Any other statement in column 2 has effect according to its terms</w:t>
      </w:r>
      <w:r w:rsidR="00D7157D">
        <w:t>.</w:t>
      </w:r>
    </w:p>
    <w:p w14:paraId="3E9998DD" w14:textId="77777777" w:rsidR="003E4640" w:rsidRPr="00A058B6" w:rsidRDefault="003E4640" w:rsidP="003E464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3E4640" w:rsidRPr="00A058B6" w14:paraId="41650D4C" w14:textId="77777777" w:rsidTr="003C1D9D">
        <w:trPr>
          <w:tblHeader/>
        </w:trPr>
        <w:tc>
          <w:tcPr>
            <w:tcW w:w="5000" w:type="pct"/>
            <w:gridSpan w:val="3"/>
            <w:tcBorders>
              <w:top w:val="single" w:sz="12" w:space="0" w:color="auto"/>
              <w:bottom w:val="single" w:sz="6" w:space="0" w:color="auto"/>
            </w:tcBorders>
            <w:shd w:val="clear" w:color="auto" w:fill="auto"/>
            <w:hideMark/>
          </w:tcPr>
          <w:p w14:paraId="258A3020" w14:textId="77777777" w:rsidR="003E4640" w:rsidRPr="00A058B6" w:rsidRDefault="003E4640" w:rsidP="003C1D9D">
            <w:pPr>
              <w:pStyle w:val="TableHeading"/>
            </w:pPr>
            <w:r w:rsidRPr="00A058B6">
              <w:t>Commencement information</w:t>
            </w:r>
          </w:p>
        </w:tc>
      </w:tr>
      <w:tr w:rsidR="003E4640" w:rsidRPr="00A058B6" w14:paraId="6F6202A1" w14:textId="77777777" w:rsidTr="003C1D9D">
        <w:trPr>
          <w:tblHeader/>
        </w:trPr>
        <w:tc>
          <w:tcPr>
            <w:tcW w:w="1272" w:type="pct"/>
            <w:tcBorders>
              <w:top w:val="single" w:sz="6" w:space="0" w:color="auto"/>
              <w:bottom w:val="single" w:sz="6" w:space="0" w:color="auto"/>
            </w:tcBorders>
            <w:shd w:val="clear" w:color="auto" w:fill="auto"/>
            <w:hideMark/>
          </w:tcPr>
          <w:p w14:paraId="5CBBF5FF" w14:textId="77777777" w:rsidR="003E4640" w:rsidRPr="00A058B6" w:rsidRDefault="003E4640" w:rsidP="003C1D9D">
            <w:pPr>
              <w:pStyle w:val="TableHeading"/>
            </w:pPr>
            <w:r w:rsidRPr="00A058B6">
              <w:t>Column 1</w:t>
            </w:r>
          </w:p>
        </w:tc>
        <w:tc>
          <w:tcPr>
            <w:tcW w:w="2627" w:type="pct"/>
            <w:tcBorders>
              <w:top w:val="single" w:sz="6" w:space="0" w:color="auto"/>
              <w:bottom w:val="single" w:sz="6" w:space="0" w:color="auto"/>
            </w:tcBorders>
            <w:shd w:val="clear" w:color="auto" w:fill="auto"/>
            <w:hideMark/>
          </w:tcPr>
          <w:p w14:paraId="31D92C3A" w14:textId="77777777" w:rsidR="003E4640" w:rsidRPr="00A058B6" w:rsidRDefault="003E4640" w:rsidP="003C1D9D">
            <w:pPr>
              <w:pStyle w:val="TableHeading"/>
            </w:pPr>
            <w:r w:rsidRPr="00A058B6">
              <w:t>Column 2</w:t>
            </w:r>
          </w:p>
        </w:tc>
        <w:tc>
          <w:tcPr>
            <w:tcW w:w="1102" w:type="pct"/>
            <w:tcBorders>
              <w:top w:val="single" w:sz="6" w:space="0" w:color="auto"/>
              <w:bottom w:val="single" w:sz="6" w:space="0" w:color="auto"/>
            </w:tcBorders>
            <w:shd w:val="clear" w:color="auto" w:fill="auto"/>
            <w:hideMark/>
          </w:tcPr>
          <w:p w14:paraId="738278D2" w14:textId="77777777" w:rsidR="003E4640" w:rsidRPr="00A058B6" w:rsidRDefault="003E4640" w:rsidP="003C1D9D">
            <w:pPr>
              <w:pStyle w:val="TableHeading"/>
            </w:pPr>
            <w:r w:rsidRPr="00A058B6">
              <w:t>Column 3</w:t>
            </w:r>
          </w:p>
        </w:tc>
      </w:tr>
      <w:tr w:rsidR="003E4640" w:rsidRPr="00A058B6" w14:paraId="4D69DE99" w14:textId="77777777" w:rsidTr="003C1D9D">
        <w:trPr>
          <w:tblHeader/>
        </w:trPr>
        <w:tc>
          <w:tcPr>
            <w:tcW w:w="1272" w:type="pct"/>
            <w:tcBorders>
              <w:top w:val="single" w:sz="6" w:space="0" w:color="auto"/>
              <w:bottom w:val="single" w:sz="12" w:space="0" w:color="auto"/>
            </w:tcBorders>
            <w:shd w:val="clear" w:color="auto" w:fill="auto"/>
            <w:hideMark/>
          </w:tcPr>
          <w:p w14:paraId="1E0BBB86" w14:textId="77777777" w:rsidR="003E4640" w:rsidRPr="00A058B6" w:rsidRDefault="003E4640" w:rsidP="003C1D9D">
            <w:pPr>
              <w:pStyle w:val="TableHeading"/>
            </w:pPr>
            <w:r w:rsidRPr="00A058B6">
              <w:t>Provisions</w:t>
            </w:r>
          </w:p>
        </w:tc>
        <w:tc>
          <w:tcPr>
            <w:tcW w:w="2627" w:type="pct"/>
            <w:tcBorders>
              <w:top w:val="single" w:sz="6" w:space="0" w:color="auto"/>
              <w:bottom w:val="single" w:sz="12" w:space="0" w:color="auto"/>
            </w:tcBorders>
            <w:shd w:val="clear" w:color="auto" w:fill="auto"/>
            <w:hideMark/>
          </w:tcPr>
          <w:p w14:paraId="4325BFD9" w14:textId="77777777" w:rsidR="003E4640" w:rsidRPr="00A058B6" w:rsidRDefault="003E4640" w:rsidP="003C1D9D">
            <w:pPr>
              <w:pStyle w:val="TableHeading"/>
            </w:pPr>
            <w:r w:rsidRPr="00A058B6">
              <w:t>Commencement</w:t>
            </w:r>
          </w:p>
        </w:tc>
        <w:tc>
          <w:tcPr>
            <w:tcW w:w="1102" w:type="pct"/>
            <w:tcBorders>
              <w:top w:val="single" w:sz="6" w:space="0" w:color="auto"/>
              <w:bottom w:val="single" w:sz="12" w:space="0" w:color="auto"/>
            </w:tcBorders>
            <w:shd w:val="clear" w:color="auto" w:fill="auto"/>
            <w:hideMark/>
          </w:tcPr>
          <w:p w14:paraId="1A3DBC34" w14:textId="77777777" w:rsidR="003E4640" w:rsidRPr="00A058B6" w:rsidRDefault="003E4640" w:rsidP="003C1D9D">
            <w:pPr>
              <w:pStyle w:val="TableHeading"/>
            </w:pPr>
            <w:r w:rsidRPr="00A058B6">
              <w:t>Date/Details</w:t>
            </w:r>
          </w:p>
        </w:tc>
      </w:tr>
      <w:tr w:rsidR="003E4640" w:rsidRPr="00A058B6" w14:paraId="2C845CF1" w14:textId="77777777" w:rsidTr="003C1D9D">
        <w:tc>
          <w:tcPr>
            <w:tcW w:w="1272" w:type="pct"/>
            <w:tcBorders>
              <w:top w:val="single" w:sz="12" w:space="0" w:color="auto"/>
              <w:bottom w:val="single" w:sz="12" w:space="0" w:color="auto"/>
            </w:tcBorders>
            <w:shd w:val="clear" w:color="auto" w:fill="auto"/>
            <w:hideMark/>
          </w:tcPr>
          <w:p w14:paraId="718D66E6" w14:textId="77777777" w:rsidR="003E4640" w:rsidRPr="00A058B6" w:rsidRDefault="003E4640" w:rsidP="003C1D9D">
            <w:pPr>
              <w:pStyle w:val="Tabletext"/>
            </w:pPr>
            <w:r w:rsidRPr="00A058B6">
              <w:t>1</w:t>
            </w:r>
            <w:r w:rsidR="00D7157D">
              <w:t>.</w:t>
            </w:r>
            <w:r w:rsidRPr="00A058B6">
              <w:t xml:space="preserve">  The whole of this instrument</w:t>
            </w:r>
          </w:p>
        </w:tc>
        <w:tc>
          <w:tcPr>
            <w:tcW w:w="2627" w:type="pct"/>
            <w:tcBorders>
              <w:top w:val="single" w:sz="12" w:space="0" w:color="auto"/>
              <w:bottom w:val="single" w:sz="12" w:space="0" w:color="auto"/>
            </w:tcBorders>
            <w:shd w:val="clear" w:color="auto" w:fill="auto"/>
            <w:hideMark/>
          </w:tcPr>
          <w:p w14:paraId="58B18528" w14:textId="72CB0F24" w:rsidR="003E4640" w:rsidRPr="00746077" w:rsidRDefault="00453C86" w:rsidP="003C1D9D">
            <w:pPr>
              <w:pStyle w:val="Tabletext"/>
            </w:pPr>
            <w:r>
              <w:t>1 April</w:t>
            </w:r>
            <w:r w:rsidR="00746077" w:rsidRPr="00746077">
              <w:t xml:space="preserve"> 2025</w:t>
            </w:r>
            <w:r w:rsidR="00D7157D" w:rsidRPr="00746077">
              <w:t>.</w:t>
            </w:r>
          </w:p>
        </w:tc>
        <w:tc>
          <w:tcPr>
            <w:tcW w:w="1102" w:type="pct"/>
            <w:tcBorders>
              <w:top w:val="single" w:sz="12" w:space="0" w:color="auto"/>
              <w:bottom w:val="single" w:sz="12" w:space="0" w:color="auto"/>
            </w:tcBorders>
            <w:shd w:val="clear" w:color="auto" w:fill="auto"/>
          </w:tcPr>
          <w:p w14:paraId="2D4E3642" w14:textId="6885510E" w:rsidR="003E4640" w:rsidRPr="00746077" w:rsidRDefault="00453C86" w:rsidP="003C1D9D">
            <w:pPr>
              <w:pStyle w:val="Tabletext"/>
            </w:pPr>
            <w:r>
              <w:t>1 April</w:t>
            </w:r>
            <w:r w:rsidR="00746077" w:rsidRPr="00746077">
              <w:t xml:space="preserve"> 2025</w:t>
            </w:r>
          </w:p>
        </w:tc>
      </w:tr>
    </w:tbl>
    <w:p w14:paraId="6CEE50A8" w14:textId="77777777" w:rsidR="003E4640" w:rsidRPr="00A058B6" w:rsidRDefault="003E4640" w:rsidP="003E4640">
      <w:pPr>
        <w:pStyle w:val="notetext"/>
      </w:pPr>
      <w:r w:rsidRPr="00A058B6">
        <w:rPr>
          <w:snapToGrid w:val="0"/>
          <w:lang w:eastAsia="en-US"/>
        </w:rPr>
        <w:t>Note:</w:t>
      </w:r>
      <w:r w:rsidRPr="00A058B6">
        <w:rPr>
          <w:snapToGrid w:val="0"/>
          <w:lang w:eastAsia="en-US"/>
        </w:rPr>
        <w:tab/>
        <w:t>This table relates only to the provisions of this instrument</w:t>
      </w:r>
      <w:r w:rsidRPr="00A058B6">
        <w:t xml:space="preserve"> </w:t>
      </w:r>
      <w:r w:rsidRPr="00A058B6">
        <w:rPr>
          <w:snapToGrid w:val="0"/>
          <w:lang w:eastAsia="en-US"/>
        </w:rPr>
        <w:t>as originally made</w:t>
      </w:r>
      <w:r w:rsidR="00D7157D">
        <w:rPr>
          <w:snapToGrid w:val="0"/>
          <w:lang w:eastAsia="en-US"/>
        </w:rPr>
        <w:t>.</w:t>
      </w:r>
      <w:r w:rsidRPr="00A058B6">
        <w:rPr>
          <w:snapToGrid w:val="0"/>
          <w:lang w:eastAsia="en-US"/>
        </w:rPr>
        <w:t xml:space="preserve"> It will not be amended to deal with any later amendments of this instrument</w:t>
      </w:r>
      <w:r w:rsidR="00D7157D">
        <w:rPr>
          <w:snapToGrid w:val="0"/>
          <w:lang w:eastAsia="en-US"/>
        </w:rPr>
        <w:t>.</w:t>
      </w:r>
    </w:p>
    <w:p w14:paraId="0D992556" w14:textId="77777777" w:rsidR="003E4640" w:rsidRPr="00A058B6" w:rsidRDefault="003E4640" w:rsidP="003E4640">
      <w:pPr>
        <w:pStyle w:val="subsection"/>
      </w:pPr>
      <w:r w:rsidRPr="00A058B6">
        <w:tab/>
        <w:t>(2)</w:t>
      </w:r>
      <w:r w:rsidRPr="00A058B6">
        <w:tab/>
        <w:t>Any information in column 3 of the table is not part of this instrument</w:t>
      </w:r>
      <w:r w:rsidR="00D7157D">
        <w:t>.</w:t>
      </w:r>
      <w:r w:rsidRPr="00A058B6">
        <w:t xml:space="preserve"> Information may be inserted in this column, or information in it may be edited, in any published version of this instrument</w:t>
      </w:r>
      <w:r w:rsidR="00D7157D">
        <w:t>.</w:t>
      </w:r>
    </w:p>
    <w:p w14:paraId="473A01B9" w14:textId="303E71A8" w:rsidR="003E4640" w:rsidRPr="00A058B6" w:rsidRDefault="00485CC2" w:rsidP="003E4640">
      <w:pPr>
        <w:pStyle w:val="ActHead5"/>
      </w:pPr>
      <w:bookmarkStart w:id="6" w:name="_Toc188350496"/>
      <w:r w:rsidRPr="00423C34">
        <w:rPr>
          <w:rStyle w:val="CharSectno"/>
        </w:rPr>
        <w:t>3</w:t>
      </w:r>
      <w:r w:rsidR="003E4640" w:rsidRPr="00A058B6">
        <w:t xml:space="preserve">  Authority</w:t>
      </w:r>
      <w:bookmarkEnd w:id="6"/>
    </w:p>
    <w:p w14:paraId="1760F9DD" w14:textId="77777777" w:rsidR="003E4640" w:rsidRDefault="003E4640" w:rsidP="003E4640">
      <w:pPr>
        <w:pStyle w:val="subsection"/>
      </w:pPr>
      <w:r w:rsidRPr="00A058B6">
        <w:tab/>
      </w:r>
      <w:r w:rsidRPr="00A058B6">
        <w:tab/>
        <w:t xml:space="preserve">This instrument is made under the </w:t>
      </w:r>
      <w:r w:rsidRPr="00A058B6">
        <w:rPr>
          <w:i/>
        </w:rPr>
        <w:t>Family Law Act 1975</w:t>
      </w:r>
      <w:r w:rsidR="00D7157D">
        <w:t>.</w:t>
      </w:r>
    </w:p>
    <w:p w14:paraId="052611FA" w14:textId="41144551" w:rsidR="00D930D9" w:rsidRPr="00A058B6" w:rsidRDefault="00485CC2" w:rsidP="00D930D9">
      <w:pPr>
        <w:pStyle w:val="ActHead5"/>
      </w:pPr>
      <w:bookmarkStart w:id="7" w:name="_Toc188350497"/>
      <w:r w:rsidRPr="00423C34">
        <w:rPr>
          <w:rStyle w:val="CharSectno"/>
        </w:rPr>
        <w:t>4</w:t>
      </w:r>
      <w:r w:rsidR="00D930D9" w:rsidRPr="00A058B6">
        <w:t xml:space="preserve">  Definitions</w:t>
      </w:r>
      <w:bookmarkEnd w:id="7"/>
    </w:p>
    <w:p w14:paraId="208C5666" w14:textId="49E38B96" w:rsidR="00D930D9" w:rsidRPr="00A058B6" w:rsidRDefault="00D930D9" w:rsidP="00D930D9">
      <w:pPr>
        <w:pStyle w:val="notetext"/>
      </w:pPr>
      <w:r w:rsidRPr="00A058B6">
        <w:t>Note:</w:t>
      </w:r>
      <w:r w:rsidRPr="00A058B6">
        <w:tab/>
      </w:r>
      <w:r w:rsidR="00C36D98">
        <w:t xml:space="preserve">Expressions used in this instrument have the same meaning as in the Act (see </w:t>
      </w:r>
      <w:r w:rsidR="00CB78B9">
        <w:t>paragraph 1</w:t>
      </w:r>
      <w:r w:rsidR="00C36D98">
        <w:t xml:space="preserve">3(1)(b) of the </w:t>
      </w:r>
      <w:r w:rsidR="00C36D98" w:rsidRPr="006A6C8E">
        <w:rPr>
          <w:i/>
        </w:rPr>
        <w:t>Legislation Act 2003</w:t>
      </w:r>
      <w:r w:rsidR="00C36D98">
        <w:t>)</w:t>
      </w:r>
      <w:r w:rsidR="00D7157D">
        <w:t>.</w:t>
      </w:r>
      <w:r w:rsidR="00C36D98">
        <w:t xml:space="preserve"> Some examples </w:t>
      </w:r>
      <w:r w:rsidR="0053523F">
        <w:t>are</w:t>
      </w:r>
      <w:r w:rsidR="00C36D98">
        <w:t xml:space="preserve"> the following, which are defined in </w:t>
      </w:r>
      <w:r w:rsidR="00C36D98" w:rsidRPr="00A058B6">
        <w:t>Part VIIIB or VIIIC of the Act</w:t>
      </w:r>
      <w:r w:rsidR="00C36D98">
        <w:t>:</w:t>
      </w:r>
    </w:p>
    <w:p w14:paraId="42DB51D5" w14:textId="77777777" w:rsidR="00AB569A" w:rsidRDefault="00AB569A" w:rsidP="00D930D9">
      <w:pPr>
        <w:pStyle w:val="notepara"/>
      </w:pPr>
      <w:r>
        <w:t>(a)</w:t>
      </w:r>
      <w:r>
        <w:tab/>
      </w:r>
      <w:r w:rsidR="00EF531D" w:rsidRPr="00EF531D">
        <w:t>eligible superannuation plan</w:t>
      </w:r>
      <w:r w:rsidR="00EF531D">
        <w:t>;</w:t>
      </w:r>
    </w:p>
    <w:p w14:paraId="72DF3CDB" w14:textId="77777777" w:rsidR="00D930D9" w:rsidRPr="00A058B6" w:rsidRDefault="00D930D9" w:rsidP="00D930D9">
      <w:pPr>
        <w:pStyle w:val="notepara"/>
      </w:pPr>
      <w:r w:rsidRPr="00A058B6">
        <w:t>(</w:t>
      </w:r>
      <w:r w:rsidR="00E63270">
        <w:t>b</w:t>
      </w:r>
      <w:r w:rsidRPr="00A058B6">
        <w:t>)</w:t>
      </w:r>
      <w:r w:rsidRPr="00A058B6">
        <w:tab/>
        <w:t>member spouse;</w:t>
      </w:r>
    </w:p>
    <w:p w14:paraId="792E8DA6" w14:textId="13DA0729" w:rsidR="00D930D9" w:rsidRDefault="00D930D9" w:rsidP="00D930D9">
      <w:pPr>
        <w:pStyle w:val="notepara"/>
      </w:pPr>
      <w:r w:rsidRPr="00A058B6">
        <w:t>(</w:t>
      </w:r>
      <w:r w:rsidR="00E63270">
        <w:t>c</w:t>
      </w:r>
      <w:r w:rsidRPr="00A058B6">
        <w:t>)</w:t>
      </w:r>
      <w:r w:rsidRPr="00A058B6">
        <w:tab/>
        <w:t>non</w:t>
      </w:r>
      <w:r w:rsidR="001952B3">
        <w:noBreakHyphen/>
      </w:r>
      <w:r w:rsidRPr="00A058B6">
        <w:t>member spouse;</w:t>
      </w:r>
    </w:p>
    <w:p w14:paraId="09FD0F52" w14:textId="77777777" w:rsidR="00EF531D" w:rsidRPr="00A058B6" w:rsidRDefault="00EF531D" w:rsidP="00D930D9">
      <w:pPr>
        <w:pStyle w:val="notepara"/>
      </w:pPr>
      <w:r>
        <w:t>(</w:t>
      </w:r>
      <w:r w:rsidR="00E63270">
        <w:t>d</w:t>
      </w:r>
      <w:r>
        <w:t>)</w:t>
      </w:r>
      <w:r>
        <w:tab/>
      </w:r>
      <w:r w:rsidRPr="00EF531D">
        <w:t>operative time</w:t>
      </w:r>
      <w:r>
        <w:t>;</w:t>
      </w:r>
    </w:p>
    <w:p w14:paraId="4C417390" w14:textId="77777777" w:rsidR="00D930D9" w:rsidRPr="00A058B6" w:rsidRDefault="00D930D9" w:rsidP="00D930D9">
      <w:pPr>
        <w:pStyle w:val="notepara"/>
      </w:pPr>
      <w:r w:rsidRPr="00A058B6">
        <w:t>(</w:t>
      </w:r>
      <w:r w:rsidR="00E63270">
        <w:t>e</w:t>
      </w:r>
      <w:r w:rsidRPr="00A058B6">
        <w:t>)</w:t>
      </w:r>
      <w:r w:rsidRPr="00A058B6">
        <w:tab/>
        <w:t>payment flag;</w:t>
      </w:r>
    </w:p>
    <w:p w14:paraId="05FB2CB0" w14:textId="77777777" w:rsidR="00D930D9" w:rsidRDefault="00D930D9" w:rsidP="00D930D9">
      <w:pPr>
        <w:pStyle w:val="notepara"/>
      </w:pPr>
      <w:r w:rsidRPr="00A058B6">
        <w:t>(</w:t>
      </w:r>
      <w:r w:rsidR="00E63270">
        <w:t>f</w:t>
      </w:r>
      <w:r w:rsidRPr="00A058B6">
        <w:t>)</w:t>
      </w:r>
      <w:r w:rsidRPr="00A058B6">
        <w:tab/>
        <w:t>payment split</w:t>
      </w:r>
      <w:r w:rsidR="00EF531D">
        <w:t>;</w:t>
      </w:r>
    </w:p>
    <w:p w14:paraId="0FEE1975" w14:textId="77777777" w:rsidR="00EF531D" w:rsidRDefault="00EF531D" w:rsidP="00D930D9">
      <w:pPr>
        <w:pStyle w:val="notepara"/>
      </w:pPr>
      <w:r>
        <w:t>(g)</w:t>
      </w:r>
      <w:r>
        <w:tab/>
      </w:r>
      <w:r w:rsidRPr="00EF531D">
        <w:t>superannuation interest</w:t>
      </w:r>
      <w:r w:rsidR="00D7157D">
        <w:t>.</w:t>
      </w:r>
    </w:p>
    <w:p w14:paraId="3C5355DA" w14:textId="77777777" w:rsidR="00D930D9" w:rsidRPr="00A058B6" w:rsidRDefault="00D930D9" w:rsidP="00D930D9">
      <w:pPr>
        <w:pStyle w:val="subsection"/>
      </w:pPr>
      <w:r w:rsidRPr="00A058B6">
        <w:tab/>
      </w:r>
      <w:r w:rsidRPr="00A058B6">
        <w:tab/>
        <w:t>In this instrument:</w:t>
      </w:r>
    </w:p>
    <w:p w14:paraId="64115673" w14:textId="77777777" w:rsidR="00D930D9" w:rsidRPr="00A058B6" w:rsidRDefault="00D930D9" w:rsidP="00D930D9">
      <w:pPr>
        <w:pStyle w:val="Definition"/>
      </w:pPr>
      <w:r w:rsidRPr="00A058B6">
        <w:rPr>
          <w:b/>
          <w:i/>
        </w:rPr>
        <w:t>accumulation interest</w:t>
      </w:r>
      <w:r w:rsidRPr="00A058B6">
        <w:t xml:space="preserve"> means a superannuation interest, or a component of a superannuation interest, that is not a defined benefit interest or a small superannuation accounts interest</w:t>
      </w:r>
      <w:r w:rsidR="00D7157D">
        <w:t>.</w:t>
      </w:r>
    </w:p>
    <w:p w14:paraId="082E53D8" w14:textId="77777777" w:rsidR="00D930D9" w:rsidRPr="00A058B6" w:rsidRDefault="00D930D9" w:rsidP="00D930D9">
      <w:pPr>
        <w:pStyle w:val="Definition"/>
      </w:pPr>
      <w:r w:rsidRPr="00A058B6">
        <w:rPr>
          <w:b/>
          <w:i/>
        </w:rPr>
        <w:t>Act</w:t>
      </w:r>
      <w:r w:rsidRPr="00A058B6">
        <w:rPr>
          <w:i/>
        </w:rPr>
        <w:t xml:space="preserve"> </w:t>
      </w:r>
      <w:r w:rsidRPr="00A058B6">
        <w:t xml:space="preserve">means the </w:t>
      </w:r>
      <w:r w:rsidRPr="00A058B6">
        <w:rPr>
          <w:i/>
        </w:rPr>
        <w:t>Family Law Act 1975</w:t>
      </w:r>
      <w:r w:rsidR="00D7157D">
        <w:t>.</w:t>
      </w:r>
    </w:p>
    <w:p w14:paraId="745345AE" w14:textId="07015B49" w:rsidR="00D930D9" w:rsidRPr="00A058B6" w:rsidRDefault="00D930D9" w:rsidP="00D930D9">
      <w:pPr>
        <w:pStyle w:val="Definition"/>
      </w:pPr>
      <w:r w:rsidRPr="00A058B6">
        <w:rPr>
          <w:b/>
          <w:i/>
        </w:rPr>
        <w:t>adjusted base amount applicable to the non</w:t>
      </w:r>
      <w:r w:rsidR="001952B3">
        <w:rPr>
          <w:b/>
          <w:i/>
        </w:rPr>
        <w:noBreakHyphen/>
      </w:r>
      <w:r w:rsidRPr="00A058B6">
        <w:rPr>
          <w:b/>
          <w:i/>
        </w:rPr>
        <w:t>member spouse</w:t>
      </w:r>
      <w:r w:rsidRPr="00A058B6">
        <w:t xml:space="preserve">, for a superannuation interest at a particular date, has the meaning given by </w:t>
      </w:r>
      <w:r w:rsidR="00CB78B9">
        <w:t>section 7</w:t>
      </w:r>
      <w:r w:rsidR="00485CC2">
        <w:t>3</w:t>
      </w:r>
      <w:r w:rsidR="00D7157D">
        <w:t>.</w:t>
      </w:r>
    </w:p>
    <w:p w14:paraId="39A5179A" w14:textId="77777777" w:rsidR="00D930D9" w:rsidRPr="00A058B6" w:rsidRDefault="00D930D9" w:rsidP="00D930D9">
      <w:pPr>
        <w:pStyle w:val="Definition"/>
      </w:pPr>
      <w:r w:rsidRPr="00A058B6">
        <w:rPr>
          <w:b/>
          <w:i/>
        </w:rPr>
        <w:lastRenderedPageBreak/>
        <w:t xml:space="preserve">allocated annuity </w:t>
      </w:r>
      <w:r w:rsidRPr="00A058B6">
        <w:t>means an annuity that is paid, within a range of minimum and maximum payments, from an identifiable lump sum and includes an annuity that arises under a contract that meets the standards of subregulation 1</w:t>
      </w:r>
      <w:r w:rsidR="00D7157D">
        <w:t>.</w:t>
      </w:r>
      <w:r w:rsidRPr="00A058B6">
        <w:t>05(4) of the SIS Regulations</w:t>
      </w:r>
      <w:r w:rsidR="00D7157D">
        <w:t>.</w:t>
      </w:r>
    </w:p>
    <w:p w14:paraId="0D873E4C" w14:textId="77777777" w:rsidR="00D930D9" w:rsidRPr="00A058B6" w:rsidRDefault="00D930D9" w:rsidP="00D930D9">
      <w:pPr>
        <w:pStyle w:val="Definition"/>
      </w:pPr>
      <w:r w:rsidRPr="00A058B6">
        <w:rPr>
          <w:b/>
          <w:i/>
        </w:rPr>
        <w:t>allocated pension</w:t>
      </w:r>
      <w:r w:rsidRPr="00A058B6">
        <w:t xml:space="preserve"> means a pension paid, within a range of minimum and maximum payments, from an identifiable lump sum, including:</w:t>
      </w:r>
    </w:p>
    <w:p w14:paraId="186DAACD" w14:textId="77777777" w:rsidR="00D930D9" w:rsidRPr="00A058B6" w:rsidRDefault="00D930D9" w:rsidP="00D930D9">
      <w:pPr>
        <w:pStyle w:val="paragraph"/>
      </w:pPr>
      <w:r w:rsidRPr="00A058B6">
        <w:tab/>
        <w:t>(a)</w:t>
      </w:r>
      <w:r w:rsidRPr="00A058B6">
        <w:tab/>
        <w:t>a pension provided under rules of a superannuation fund that meet the standards of subregulation 1</w:t>
      </w:r>
      <w:r w:rsidR="00D7157D">
        <w:t>.</w:t>
      </w:r>
      <w:r w:rsidRPr="00A058B6">
        <w:t>06(4) of the SIS Regulations; and</w:t>
      </w:r>
    </w:p>
    <w:p w14:paraId="423E2EFF" w14:textId="77777777" w:rsidR="00D930D9" w:rsidRPr="00A058B6" w:rsidRDefault="00D930D9" w:rsidP="00D930D9">
      <w:pPr>
        <w:pStyle w:val="paragraph"/>
      </w:pPr>
      <w:r w:rsidRPr="00A058B6">
        <w:tab/>
        <w:t>(b)</w:t>
      </w:r>
      <w:r w:rsidRPr="00A058B6">
        <w:tab/>
        <w:t>a pension provided under terms and conditions of an RSA that meet the standards of subregulation 1</w:t>
      </w:r>
      <w:r w:rsidR="00D7157D">
        <w:t>.</w:t>
      </w:r>
      <w:r w:rsidRPr="00A058B6">
        <w:t>07(2) of the RSA Regulations</w:t>
      </w:r>
      <w:r w:rsidR="00D7157D">
        <w:t>.</w:t>
      </w:r>
    </w:p>
    <w:p w14:paraId="669DD323" w14:textId="77777777" w:rsidR="00D930D9" w:rsidRPr="00A058B6" w:rsidRDefault="00D930D9" w:rsidP="00D930D9">
      <w:pPr>
        <w:pStyle w:val="Definition"/>
      </w:pPr>
      <w:r w:rsidRPr="00A058B6">
        <w:rPr>
          <w:b/>
          <w:i/>
        </w:rPr>
        <w:t>annuity provider</w:t>
      </w:r>
      <w:r w:rsidRPr="00A058B6">
        <w:t xml:space="preserve"> means a person, body or organisation that has entered into a contract to provide an annuity</w:t>
      </w:r>
      <w:r w:rsidR="00D7157D">
        <w:t>.</w:t>
      </w:r>
    </w:p>
    <w:p w14:paraId="4FB9D223" w14:textId="2A1A6D28" w:rsidR="00D930D9" w:rsidRPr="00A058B6" w:rsidRDefault="00D930D9" w:rsidP="00D930D9">
      <w:pPr>
        <w:pStyle w:val="Definition"/>
      </w:pPr>
      <w:r w:rsidRPr="00A058B6">
        <w:rPr>
          <w:b/>
          <w:i/>
        </w:rPr>
        <w:t>applicable adjustment period</w:t>
      </w:r>
      <w:r w:rsidRPr="00A058B6">
        <w:t xml:space="preserve">, for a superannuation interest, has the meaning given by </w:t>
      </w:r>
      <w:r w:rsidR="00CB78B9">
        <w:t>section 7</w:t>
      </w:r>
      <w:r w:rsidR="00485CC2">
        <w:t>4</w:t>
      </w:r>
      <w:r w:rsidRPr="00A058B6">
        <w:t xml:space="preserve"> or </w:t>
      </w:r>
      <w:r w:rsidR="00485CC2">
        <w:t>75</w:t>
      </w:r>
      <w:r w:rsidR="00D7157D">
        <w:t>.</w:t>
      </w:r>
    </w:p>
    <w:p w14:paraId="26BF5C30" w14:textId="77777777" w:rsidR="005D220B" w:rsidRPr="006450EA" w:rsidRDefault="005D220B" w:rsidP="005D220B">
      <w:pPr>
        <w:pStyle w:val="Definition"/>
      </w:pPr>
      <w:r w:rsidRPr="006450EA">
        <w:rPr>
          <w:b/>
          <w:i/>
        </w:rPr>
        <w:t>base amount</w:t>
      </w:r>
      <w:r w:rsidRPr="006450EA">
        <w:t>, for a superannuation interest, means:</w:t>
      </w:r>
    </w:p>
    <w:p w14:paraId="16405E41" w14:textId="77777777" w:rsidR="005D220B" w:rsidRPr="006450EA" w:rsidRDefault="005D220B" w:rsidP="005D220B">
      <w:pPr>
        <w:pStyle w:val="paragraph"/>
      </w:pPr>
      <w:r w:rsidRPr="006450EA">
        <w:tab/>
        <w:t>(a)</w:t>
      </w:r>
      <w:r w:rsidRPr="006450EA">
        <w:tab/>
        <w:t>if the interest is identified in a superannuation agreement or flag lifting agreement:</w:t>
      </w:r>
    </w:p>
    <w:p w14:paraId="3E6C9BA9" w14:textId="0C6B6A39" w:rsidR="005D220B" w:rsidRPr="006450EA" w:rsidRDefault="005D220B" w:rsidP="005D220B">
      <w:pPr>
        <w:pStyle w:val="paragraphsub"/>
      </w:pPr>
      <w:r w:rsidRPr="006450EA">
        <w:tab/>
        <w:t>(i)</w:t>
      </w:r>
      <w:r w:rsidRPr="006450EA">
        <w:tab/>
        <w:t xml:space="preserve">the </w:t>
      </w:r>
      <w:r w:rsidR="003E424F" w:rsidRPr="006450EA">
        <w:t>monetary</w:t>
      </w:r>
      <w:r w:rsidRPr="006450EA">
        <w:t xml:space="preserve"> amount specified in the agreement </w:t>
      </w:r>
      <w:r w:rsidR="00704BC9" w:rsidRPr="006450EA">
        <w:t>in relation to</w:t>
      </w:r>
      <w:r w:rsidRPr="006450EA">
        <w:t xml:space="preserve"> the interest for the purposes of </w:t>
      </w:r>
      <w:r w:rsidR="00FE15C4">
        <w:t>subparagraph 9</w:t>
      </w:r>
      <w:r w:rsidR="00704BC9" w:rsidRPr="006450EA">
        <w:t xml:space="preserve">0XJ(1)(c)(i) or </w:t>
      </w:r>
      <w:r w:rsidR="00917483" w:rsidRPr="006450EA">
        <w:t xml:space="preserve">90YN(1)(c)(i) of </w:t>
      </w:r>
      <w:r w:rsidRPr="006450EA">
        <w:t>the Act, rounded up or down to the nearest dollar (with 50 cents being rounded up); or</w:t>
      </w:r>
    </w:p>
    <w:p w14:paraId="679C7723" w14:textId="3C91DD01" w:rsidR="005D220B" w:rsidRPr="006450EA" w:rsidRDefault="005D220B" w:rsidP="005D220B">
      <w:pPr>
        <w:pStyle w:val="paragraphsub"/>
      </w:pPr>
      <w:r w:rsidRPr="006450EA">
        <w:tab/>
        <w:t>(ii)</w:t>
      </w:r>
      <w:r w:rsidRPr="006450EA">
        <w:tab/>
        <w:t xml:space="preserve">the </w:t>
      </w:r>
      <w:r w:rsidR="00F02D22" w:rsidRPr="006450EA">
        <w:t>monetary</w:t>
      </w:r>
      <w:r w:rsidRPr="006450EA">
        <w:t xml:space="preserve"> amount calculated using a method specified in the agreement</w:t>
      </w:r>
      <w:r w:rsidR="00F02D22" w:rsidRPr="006450EA">
        <w:t xml:space="preserve"> for the purposes of </w:t>
      </w:r>
      <w:r w:rsidR="00FE15C4">
        <w:t>subparagraph 9</w:t>
      </w:r>
      <w:r w:rsidR="00F02D22" w:rsidRPr="006450EA">
        <w:t>0XJ(1)(c)(ii) or 90YN(1)(c)(ii) of the Act</w:t>
      </w:r>
      <w:r w:rsidRPr="006450EA">
        <w:t>, rounded up or down to the nearest dollar (with 50 cents being rounded up); and</w:t>
      </w:r>
    </w:p>
    <w:p w14:paraId="78936442" w14:textId="5B48E627" w:rsidR="005D220B" w:rsidRPr="00A058B6" w:rsidRDefault="005D220B" w:rsidP="005D220B">
      <w:pPr>
        <w:pStyle w:val="paragraph"/>
      </w:pPr>
      <w:r w:rsidRPr="006450EA">
        <w:tab/>
        <w:t>(b)</w:t>
      </w:r>
      <w:r w:rsidRPr="006450EA">
        <w:tab/>
        <w:t xml:space="preserve">if a splitting order applies for the interest—the </w:t>
      </w:r>
      <w:r w:rsidR="006450EA" w:rsidRPr="006450EA">
        <w:t>monetary</w:t>
      </w:r>
      <w:r w:rsidRPr="006450EA">
        <w:t xml:space="preserve"> amount allocated to the non</w:t>
      </w:r>
      <w:r w:rsidR="001952B3">
        <w:noBreakHyphen/>
      </w:r>
      <w:r w:rsidRPr="006450EA">
        <w:t xml:space="preserve">member spouse by the court under </w:t>
      </w:r>
      <w:r w:rsidR="00FE15C4">
        <w:t>subsection 9</w:t>
      </w:r>
      <w:r w:rsidRPr="006450EA">
        <w:t>0XT(4) or 90YY(5) of the Act, rounded up or down to the nearest dollar (with 50 cents being rounded up).</w:t>
      </w:r>
    </w:p>
    <w:p w14:paraId="497A436B" w14:textId="53605C34" w:rsidR="00A64F0E" w:rsidRDefault="00D930D9" w:rsidP="00D930D9">
      <w:pPr>
        <w:pStyle w:val="Definition"/>
      </w:pPr>
      <w:r>
        <w:rPr>
          <w:b/>
          <w:bCs/>
          <w:i/>
          <w:iCs/>
          <w:szCs w:val="22"/>
        </w:rPr>
        <w:t>component</w:t>
      </w:r>
      <w:r>
        <w:rPr>
          <w:szCs w:val="22"/>
        </w:rPr>
        <w:t xml:space="preserve"> of a superannuation interest</w:t>
      </w:r>
      <w:r w:rsidR="00A64F0E">
        <w:rPr>
          <w:szCs w:val="22"/>
        </w:rPr>
        <w:t xml:space="preserve"> </w:t>
      </w:r>
      <w:r w:rsidR="00A64F0E" w:rsidRPr="00A058B6">
        <w:t xml:space="preserve">has the meaning given by </w:t>
      </w:r>
      <w:r w:rsidR="00CB78B9">
        <w:t>section 5</w:t>
      </w:r>
      <w:r w:rsidR="00A64F0E">
        <w:t>.</w:t>
      </w:r>
    </w:p>
    <w:p w14:paraId="72793B0E" w14:textId="4EAD65A4" w:rsidR="00D930D9" w:rsidRPr="00A058B6" w:rsidRDefault="00D930D9" w:rsidP="00D930D9">
      <w:pPr>
        <w:pStyle w:val="Definition"/>
      </w:pPr>
      <w:r w:rsidRPr="00A058B6">
        <w:rPr>
          <w:b/>
          <w:i/>
        </w:rPr>
        <w:t>constitutionally protected fund</w:t>
      </w:r>
      <w:r w:rsidRPr="00A058B6">
        <w:t xml:space="preserve"> has the meaning given by </w:t>
      </w:r>
      <w:r w:rsidR="00FE15C4">
        <w:t>subsection 9</w:t>
      </w:r>
      <w:r w:rsidRPr="00A058B6">
        <w:t>95</w:t>
      </w:r>
      <w:r w:rsidR="001952B3">
        <w:noBreakHyphen/>
      </w:r>
      <w:r w:rsidRPr="00A058B6">
        <w:t xml:space="preserve">1(1) of the </w:t>
      </w:r>
      <w:r w:rsidRPr="00A058B6">
        <w:rPr>
          <w:i/>
        </w:rPr>
        <w:t>Income Tax Assessment Act 1997</w:t>
      </w:r>
      <w:r w:rsidR="00D7157D">
        <w:t>.</w:t>
      </w:r>
    </w:p>
    <w:p w14:paraId="2FDB8A76" w14:textId="77777777" w:rsidR="00D930D9" w:rsidRPr="00A058B6" w:rsidRDefault="00D930D9" w:rsidP="00D930D9">
      <w:pPr>
        <w:pStyle w:val="Definition"/>
      </w:pPr>
      <w:r w:rsidRPr="00A058B6">
        <w:rPr>
          <w:b/>
          <w:i/>
        </w:rPr>
        <w:t>deferred annuity</w:t>
      </w:r>
      <w:r w:rsidRPr="00A058B6">
        <w:t xml:space="preserve"> means an annuity that is not presently payable</w:t>
      </w:r>
      <w:r w:rsidR="00D7157D">
        <w:t>.</w:t>
      </w:r>
    </w:p>
    <w:p w14:paraId="145BACCF" w14:textId="54225D81" w:rsidR="00D930D9" w:rsidRPr="00A058B6" w:rsidRDefault="00D930D9" w:rsidP="00D930D9">
      <w:pPr>
        <w:pStyle w:val="Definition"/>
      </w:pPr>
      <w:r w:rsidRPr="00A058B6">
        <w:rPr>
          <w:b/>
          <w:i/>
        </w:rPr>
        <w:t>defined benefit interest</w:t>
      </w:r>
      <w:r w:rsidRPr="00A058B6">
        <w:t xml:space="preserve"> has the meaning given by </w:t>
      </w:r>
      <w:r w:rsidR="00CB78B9">
        <w:t>section 6</w:t>
      </w:r>
      <w:r w:rsidR="00D7157D">
        <w:t>.</w:t>
      </w:r>
    </w:p>
    <w:p w14:paraId="1C012FCF" w14:textId="77777777" w:rsidR="00D930D9" w:rsidRPr="00A058B6" w:rsidRDefault="00D930D9" w:rsidP="00D930D9">
      <w:pPr>
        <w:pStyle w:val="Definition"/>
      </w:pPr>
      <w:r w:rsidRPr="00A058B6">
        <w:rPr>
          <w:b/>
          <w:i/>
        </w:rPr>
        <w:t>exempt public sector superannuation scheme</w:t>
      </w:r>
      <w:r w:rsidRPr="00A058B6">
        <w:t xml:space="preserve"> has the same meaning as in the SIS Act</w:t>
      </w:r>
      <w:r w:rsidR="00D7157D">
        <w:t>.</w:t>
      </w:r>
    </w:p>
    <w:p w14:paraId="7493CAEC" w14:textId="77777777" w:rsidR="00D930D9" w:rsidRPr="00A058B6" w:rsidRDefault="00D930D9" w:rsidP="00D930D9">
      <w:pPr>
        <w:pStyle w:val="Definition"/>
      </w:pPr>
      <w:r w:rsidRPr="00A058B6">
        <w:rPr>
          <w:b/>
          <w:i/>
        </w:rPr>
        <w:t>fixed term annuity</w:t>
      </w:r>
      <w:r w:rsidRPr="00A058B6">
        <w:t xml:space="preserve"> means an annuity that:</w:t>
      </w:r>
    </w:p>
    <w:p w14:paraId="64DCBED0" w14:textId="77777777" w:rsidR="00D930D9" w:rsidRPr="00A058B6" w:rsidRDefault="00D930D9" w:rsidP="00D930D9">
      <w:pPr>
        <w:pStyle w:val="paragraph"/>
      </w:pPr>
      <w:r w:rsidRPr="00A058B6">
        <w:tab/>
        <w:t>(a)</w:t>
      </w:r>
      <w:r w:rsidRPr="00A058B6">
        <w:tab/>
        <w:t>is not a market linked annuity; and</w:t>
      </w:r>
    </w:p>
    <w:p w14:paraId="03910DCE" w14:textId="77777777" w:rsidR="00D930D9" w:rsidRPr="00A058B6" w:rsidRDefault="00D930D9" w:rsidP="00D930D9">
      <w:pPr>
        <w:pStyle w:val="paragraph"/>
      </w:pPr>
      <w:r w:rsidRPr="00A058B6">
        <w:tab/>
        <w:t>(b)</w:t>
      </w:r>
      <w:r w:rsidRPr="00A058B6">
        <w:tab/>
        <w:t>is paid for a fixed period</w:t>
      </w:r>
      <w:r w:rsidR="00D7157D">
        <w:t>.</w:t>
      </w:r>
    </w:p>
    <w:p w14:paraId="6ECB3BF3" w14:textId="77777777" w:rsidR="00D930D9" w:rsidRPr="00A058B6" w:rsidRDefault="00D930D9" w:rsidP="00D930D9">
      <w:pPr>
        <w:pStyle w:val="Definition"/>
      </w:pPr>
      <w:r w:rsidRPr="00A058B6">
        <w:rPr>
          <w:b/>
          <w:i/>
        </w:rPr>
        <w:t>growth phase</w:t>
      </w:r>
      <w:r w:rsidRPr="00A058B6">
        <w:t xml:space="preserve"> for:</w:t>
      </w:r>
    </w:p>
    <w:p w14:paraId="05C7C840" w14:textId="77777777" w:rsidR="00D930D9" w:rsidRPr="00A058B6" w:rsidRDefault="00D930D9" w:rsidP="00D930D9">
      <w:pPr>
        <w:pStyle w:val="paragraph"/>
      </w:pPr>
      <w:r w:rsidRPr="00A058B6">
        <w:tab/>
        <w:t>(a)</w:t>
      </w:r>
      <w:r w:rsidRPr="00A058B6">
        <w:tab/>
        <w:t>a superannuation interest (other than a small superannuation accounts interest) of a member spouse; or</w:t>
      </w:r>
    </w:p>
    <w:p w14:paraId="5C59F32D" w14:textId="77777777" w:rsidR="00D930D9" w:rsidRPr="00A058B6" w:rsidRDefault="00D930D9" w:rsidP="00D930D9">
      <w:pPr>
        <w:pStyle w:val="paragraph"/>
      </w:pPr>
      <w:r w:rsidRPr="00A058B6">
        <w:lastRenderedPageBreak/>
        <w:tab/>
        <w:t>(b)</w:t>
      </w:r>
      <w:r w:rsidRPr="00A058B6">
        <w:tab/>
        <w:t>a component of such an interest;</w:t>
      </w:r>
    </w:p>
    <w:p w14:paraId="01D2DA78" w14:textId="1FDD6AF7" w:rsidR="00D930D9" w:rsidRPr="00A058B6" w:rsidRDefault="00D930D9" w:rsidP="00D930D9">
      <w:pPr>
        <w:pStyle w:val="subsection2"/>
      </w:pPr>
      <w:r w:rsidRPr="00A058B6">
        <w:t xml:space="preserve">has the meaning given by </w:t>
      </w:r>
      <w:r w:rsidR="00CB78B9">
        <w:t>section 7</w:t>
      </w:r>
      <w:r w:rsidRPr="00A058B6">
        <w:t xml:space="preserve"> or </w:t>
      </w:r>
      <w:r w:rsidR="00485CC2">
        <w:t>8</w:t>
      </w:r>
      <w:r w:rsidR="00D7157D">
        <w:t>.</w:t>
      </w:r>
    </w:p>
    <w:p w14:paraId="1113EE43" w14:textId="77777777" w:rsidR="00D930D9" w:rsidRPr="00A058B6" w:rsidRDefault="00D930D9" w:rsidP="00D930D9">
      <w:pPr>
        <w:pStyle w:val="Definition"/>
      </w:pPr>
      <w:r w:rsidRPr="00A058B6">
        <w:rPr>
          <w:b/>
          <w:i/>
        </w:rPr>
        <w:t>innovative superannuation interest</w:t>
      </w:r>
      <w:r w:rsidRPr="00A058B6">
        <w:t xml:space="preserve"> means a superannuation interest, or a component of a superannuation interest, if all benefits in respect of the interest or the component of the interest are provided under:</w:t>
      </w:r>
    </w:p>
    <w:p w14:paraId="44A82A74" w14:textId="77777777" w:rsidR="00D930D9" w:rsidRPr="00A058B6" w:rsidRDefault="00D930D9" w:rsidP="00D930D9">
      <w:pPr>
        <w:pStyle w:val="paragraph"/>
      </w:pPr>
      <w:r w:rsidRPr="00A058B6">
        <w:tab/>
        <w:t>(a)</w:t>
      </w:r>
      <w:r w:rsidRPr="00A058B6">
        <w:tab/>
        <w:t>a contract that meets the standards of subregulation 1</w:t>
      </w:r>
      <w:r w:rsidR="00D7157D">
        <w:t>.</w:t>
      </w:r>
      <w:r w:rsidRPr="00A058B6">
        <w:t>06A(2) of the SIS Regulations; or</w:t>
      </w:r>
    </w:p>
    <w:p w14:paraId="027171C5" w14:textId="77777777" w:rsidR="00D930D9" w:rsidRPr="00A058B6" w:rsidRDefault="00D930D9" w:rsidP="00D930D9">
      <w:pPr>
        <w:pStyle w:val="paragraph"/>
      </w:pPr>
      <w:r w:rsidRPr="00A058B6">
        <w:tab/>
        <w:t>(b)</w:t>
      </w:r>
      <w:r w:rsidRPr="00A058B6">
        <w:tab/>
        <w:t>the governing rules of an eligible superannuation plan where those rules meet the standards of subregulation 1</w:t>
      </w:r>
      <w:r w:rsidR="00D7157D">
        <w:t>.</w:t>
      </w:r>
      <w:r w:rsidRPr="00A058B6">
        <w:t>06A(2) of the SIS Regulations</w:t>
      </w:r>
      <w:r w:rsidR="00D7157D">
        <w:t>.</w:t>
      </w:r>
    </w:p>
    <w:p w14:paraId="55264CEF" w14:textId="77777777" w:rsidR="00D930D9" w:rsidRPr="00A058B6" w:rsidRDefault="00D930D9" w:rsidP="00D930D9">
      <w:pPr>
        <w:pStyle w:val="Definition"/>
      </w:pPr>
      <w:r w:rsidRPr="00A058B6">
        <w:rPr>
          <w:b/>
          <w:i/>
        </w:rPr>
        <w:t>Judges’ Pensions Act Scheme</w:t>
      </w:r>
      <w:r w:rsidRPr="00A058B6">
        <w:t xml:space="preserve"> means the scheme constituted by the </w:t>
      </w:r>
      <w:r w:rsidRPr="00A058B6">
        <w:rPr>
          <w:i/>
        </w:rPr>
        <w:t>Judges’ Pensions Act 1968</w:t>
      </w:r>
      <w:r w:rsidRPr="00A058B6">
        <w:t xml:space="preserve"> for the provision of retirement and other benefits to and in respect of Judges, within the meaning of that Act</w:t>
      </w:r>
      <w:r w:rsidR="00D7157D">
        <w:t>.</w:t>
      </w:r>
    </w:p>
    <w:p w14:paraId="396259C6" w14:textId="77777777" w:rsidR="00D930D9" w:rsidRPr="00A058B6" w:rsidRDefault="00D930D9" w:rsidP="00D930D9">
      <w:pPr>
        <w:pStyle w:val="Definition"/>
      </w:pPr>
      <w:r w:rsidRPr="00A058B6">
        <w:rPr>
          <w:b/>
          <w:i/>
        </w:rPr>
        <w:t>lifetime pension</w:t>
      </w:r>
      <w:r w:rsidRPr="00A058B6">
        <w:t xml:space="preserve">: a benefit in respect of a superannuation interest, or a component of a superannuation interest, of a member spouse in an eligible superannuation plan is a </w:t>
      </w:r>
      <w:r w:rsidRPr="00A058B6">
        <w:rPr>
          <w:b/>
          <w:i/>
        </w:rPr>
        <w:t>lifetime pension</w:t>
      </w:r>
      <w:r w:rsidRPr="00A058B6">
        <w:t xml:space="preserve"> of the member spouse if the benefit is payable as a pension for the life of the member spouse</w:t>
      </w:r>
      <w:r w:rsidR="00D7157D">
        <w:t>.</w:t>
      </w:r>
    </w:p>
    <w:p w14:paraId="0D1ACF75" w14:textId="79AB5ABD" w:rsidR="00D930D9" w:rsidRPr="00A058B6" w:rsidRDefault="00D930D9" w:rsidP="00D930D9">
      <w:pPr>
        <w:pStyle w:val="notetext"/>
      </w:pPr>
      <w:r w:rsidRPr="00A058B6">
        <w:t>Note:</w:t>
      </w:r>
      <w:r w:rsidRPr="00A058B6">
        <w:tab/>
        <w:t>Section </w:t>
      </w:r>
      <w:r w:rsidR="00485CC2">
        <w:t>15</w:t>
      </w:r>
      <w:r w:rsidRPr="00A058B6">
        <w:t xml:space="preserve"> also affects the meaning of </w:t>
      </w:r>
      <w:r w:rsidRPr="00A058B6">
        <w:rPr>
          <w:b/>
          <w:i/>
        </w:rPr>
        <w:t>lifetime pension</w:t>
      </w:r>
      <w:r w:rsidR="00D7157D">
        <w:t>.</w:t>
      </w:r>
    </w:p>
    <w:p w14:paraId="58957CC4" w14:textId="77777777" w:rsidR="00D930D9" w:rsidRPr="00A058B6" w:rsidRDefault="00D930D9" w:rsidP="00D930D9">
      <w:pPr>
        <w:pStyle w:val="Definition"/>
      </w:pPr>
      <w:r w:rsidRPr="00A058B6">
        <w:rPr>
          <w:b/>
          <w:i/>
        </w:rPr>
        <w:t>market linked annuity</w:t>
      </w:r>
      <w:r w:rsidRPr="00A058B6">
        <w:t xml:space="preserve"> means an annuity, other than an allocated annuity, that:</w:t>
      </w:r>
    </w:p>
    <w:p w14:paraId="79E04D0E" w14:textId="77777777" w:rsidR="00D930D9" w:rsidRPr="00A058B6" w:rsidRDefault="00D930D9" w:rsidP="00D930D9">
      <w:pPr>
        <w:pStyle w:val="paragraph"/>
      </w:pPr>
      <w:r w:rsidRPr="00A058B6">
        <w:tab/>
        <w:t>(a)</w:t>
      </w:r>
      <w:r w:rsidRPr="00A058B6">
        <w:tab/>
        <w:t>is paid from an identifiable lump sum; and</w:t>
      </w:r>
    </w:p>
    <w:p w14:paraId="2CF91AD5" w14:textId="77777777" w:rsidR="00D930D9" w:rsidRPr="00A058B6" w:rsidRDefault="00D930D9" w:rsidP="00D930D9">
      <w:pPr>
        <w:pStyle w:val="paragraph"/>
      </w:pPr>
      <w:r w:rsidRPr="00A058B6">
        <w:tab/>
        <w:t>(b)</w:t>
      </w:r>
      <w:r w:rsidRPr="00A058B6">
        <w:tab/>
        <w:t>arises under a contract that meets the standards of subregulation 1</w:t>
      </w:r>
      <w:r w:rsidR="00D7157D">
        <w:t>.</w:t>
      </w:r>
      <w:r w:rsidRPr="00A058B6">
        <w:t>05(10) of the SIS Regulations</w:t>
      </w:r>
      <w:r w:rsidR="00D7157D">
        <w:t>.</w:t>
      </w:r>
    </w:p>
    <w:p w14:paraId="6B8723E2" w14:textId="77777777" w:rsidR="00D930D9" w:rsidRPr="00A058B6" w:rsidRDefault="00D930D9" w:rsidP="00D930D9">
      <w:pPr>
        <w:pStyle w:val="Definition"/>
      </w:pPr>
      <w:r w:rsidRPr="00A058B6">
        <w:rPr>
          <w:b/>
          <w:i/>
          <w:color w:val="000000"/>
        </w:rPr>
        <w:t>market linked pension</w:t>
      </w:r>
      <w:r w:rsidRPr="00A058B6">
        <w:rPr>
          <w:color w:val="000000"/>
        </w:rPr>
        <w:t xml:space="preserve"> means a pension, other than an allocated pension, paid from an identifiable lump sum that meets the standards of subregulation 1</w:t>
      </w:r>
      <w:r w:rsidR="00D7157D">
        <w:rPr>
          <w:color w:val="000000"/>
        </w:rPr>
        <w:t>.</w:t>
      </w:r>
      <w:r w:rsidRPr="00A058B6">
        <w:rPr>
          <w:color w:val="000000"/>
        </w:rPr>
        <w:t>06(8) of the SIS Regulations or subregulation 1</w:t>
      </w:r>
      <w:r w:rsidR="00D7157D">
        <w:rPr>
          <w:color w:val="000000"/>
        </w:rPr>
        <w:t>.</w:t>
      </w:r>
      <w:r w:rsidRPr="00A058B6">
        <w:rPr>
          <w:color w:val="000000"/>
        </w:rPr>
        <w:t>07(3A) of the RSA Regulations</w:t>
      </w:r>
      <w:r w:rsidR="00D7157D">
        <w:rPr>
          <w:color w:val="000000"/>
        </w:rPr>
        <w:t>.</w:t>
      </w:r>
    </w:p>
    <w:p w14:paraId="3A789262" w14:textId="77777777" w:rsidR="00D930D9" w:rsidRPr="00A058B6" w:rsidRDefault="00D930D9" w:rsidP="00D930D9">
      <w:pPr>
        <w:pStyle w:val="Definition"/>
      </w:pPr>
      <w:r w:rsidRPr="00A058B6">
        <w:rPr>
          <w:b/>
          <w:i/>
        </w:rPr>
        <w:t>member information statement</w:t>
      </w:r>
      <w:r w:rsidRPr="00A058B6">
        <w:t>, for a member of an eligible superannuation plan, means a statement issued periodically to the member by the trustee of the plan that sets out information about the value of the member’s superannuation interest in the plan (for example, the member’s account balance, share in the plan or withdrawal benefit) at a particular date</w:t>
      </w:r>
      <w:r w:rsidR="00D7157D">
        <w:t>.</w:t>
      </w:r>
    </w:p>
    <w:p w14:paraId="3E94880D" w14:textId="77777777" w:rsidR="00D930D9" w:rsidRPr="00A058B6" w:rsidRDefault="00D930D9" w:rsidP="00D930D9">
      <w:pPr>
        <w:pStyle w:val="Definition"/>
      </w:pPr>
      <w:r w:rsidRPr="00A058B6">
        <w:rPr>
          <w:b/>
          <w:i/>
        </w:rPr>
        <w:t>member’s retirement age</w:t>
      </w:r>
      <w:r w:rsidRPr="00A058B6">
        <w:t>, for a member who has a defined benefit interest in an eligible superannuation plan, means:</w:t>
      </w:r>
    </w:p>
    <w:p w14:paraId="63343B61" w14:textId="77777777" w:rsidR="00D930D9" w:rsidRPr="00A058B6" w:rsidRDefault="00D930D9" w:rsidP="00D930D9">
      <w:pPr>
        <w:pStyle w:val="paragraph"/>
      </w:pPr>
      <w:r w:rsidRPr="00A058B6">
        <w:tab/>
        <w:t>(a)</w:t>
      </w:r>
      <w:r w:rsidRPr="00A058B6">
        <w:tab/>
        <w:t>subject to paragraphs (b) and (c), the latest retirement age for the member specified in the governing rules of the plan; or</w:t>
      </w:r>
    </w:p>
    <w:p w14:paraId="65D6DE37" w14:textId="77777777" w:rsidR="00D930D9" w:rsidRPr="00A058B6" w:rsidRDefault="00D930D9" w:rsidP="00D930D9">
      <w:pPr>
        <w:pStyle w:val="paragraph"/>
      </w:pPr>
      <w:r w:rsidRPr="00A058B6">
        <w:tab/>
        <w:t>(b)</w:t>
      </w:r>
      <w:r w:rsidRPr="00A058B6">
        <w:tab/>
        <w:t>if the latest retirement age for the member specified in the governing rules of the plan is more than 65 years, or no retirement age is specified in the governing rules of the plan—65 years; or</w:t>
      </w:r>
    </w:p>
    <w:p w14:paraId="7F17C5FC" w14:textId="4255136E" w:rsidR="00D930D9" w:rsidRPr="00A058B6" w:rsidRDefault="00D930D9" w:rsidP="00D930D9">
      <w:pPr>
        <w:pStyle w:val="paragraph"/>
      </w:pPr>
      <w:r w:rsidRPr="00A058B6">
        <w:tab/>
        <w:t>(c)</w:t>
      </w:r>
      <w:r w:rsidRPr="00A058B6">
        <w:tab/>
        <w:t xml:space="preserve">if the Minister has, under </w:t>
      </w:r>
      <w:r w:rsidR="00CB78B9">
        <w:t>section 5</w:t>
      </w:r>
      <w:r w:rsidR="00485CC2">
        <w:t>2</w:t>
      </w:r>
      <w:r w:rsidRPr="00A058B6">
        <w:t>, approved a retirement age as the retirement age for members of the plan, or an identifiable class of members of the plan that includes the member—the approved age</w:t>
      </w:r>
      <w:r w:rsidR="00D7157D">
        <w:t>.</w:t>
      </w:r>
    </w:p>
    <w:p w14:paraId="4E1344DD" w14:textId="619786E2" w:rsidR="00D930D9" w:rsidRPr="00A058B6" w:rsidRDefault="00D930D9" w:rsidP="00D930D9">
      <w:pPr>
        <w:pStyle w:val="notetext"/>
      </w:pPr>
      <w:r w:rsidRPr="00A058B6">
        <w:t>Note:</w:t>
      </w:r>
      <w:r w:rsidRPr="00A058B6">
        <w:tab/>
        <w:t>S</w:t>
      </w:r>
      <w:r w:rsidR="00E14FC7">
        <w:t>ub</w:t>
      </w:r>
      <w:r w:rsidR="00CB78B9">
        <w:t>section 5</w:t>
      </w:r>
      <w:r w:rsidR="00485CC2">
        <w:t>2</w:t>
      </w:r>
      <w:r w:rsidR="00E14FC7">
        <w:t>(5)</w:t>
      </w:r>
      <w:r w:rsidRPr="00A058B6">
        <w:t xml:space="preserve"> authorises the Minister to approve as the retirement age for members, or an identifiable class of members, who hold a defined benefit interest in an eligible superannuation plan, an age other than:</w:t>
      </w:r>
    </w:p>
    <w:p w14:paraId="5445B6EA" w14:textId="77777777" w:rsidR="00D930D9" w:rsidRPr="00A058B6" w:rsidRDefault="00D930D9" w:rsidP="00D930D9">
      <w:pPr>
        <w:pStyle w:val="notepara"/>
      </w:pPr>
      <w:r w:rsidRPr="00A058B6">
        <w:t>(a)</w:t>
      </w:r>
      <w:r w:rsidRPr="00A058B6">
        <w:tab/>
        <w:t>the retirement age specified in the governing rules of the plan; or</w:t>
      </w:r>
    </w:p>
    <w:p w14:paraId="118706AD" w14:textId="77777777" w:rsidR="00D930D9" w:rsidRPr="00A058B6" w:rsidRDefault="00D930D9" w:rsidP="00D930D9">
      <w:pPr>
        <w:pStyle w:val="notepara"/>
      </w:pPr>
      <w:r w:rsidRPr="00A058B6">
        <w:t>(b)</w:t>
      </w:r>
      <w:r w:rsidRPr="00A058B6">
        <w:tab/>
        <w:t>the age of 65 years</w:t>
      </w:r>
      <w:r w:rsidR="00D7157D">
        <w:t>.</w:t>
      </w:r>
    </w:p>
    <w:p w14:paraId="234FB56D" w14:textId="29B67BD1" w:rsidR="00D930D9" w:rsidRPr="00A058B6" w:rsidRDefault="00D930D9" w:rsidP="00D930D9">
      <w:pPr>
        <w:pStyle w:val="Definition"/>
      </w:pPr>
      <w:r w:rsidRPr="00A058B6">
        <w:rPr>
          <w:b/>
          <w:i/>
        </w:rPr>
        <w:lastRenderedPageBreak/>
        <w:t>net earnings</w:t>
      </w:r>
      <w:r w:rsidRPr="00A058B6">
        <w:t xml:space="preserve">, for a superannuation interest in a regulated superannuation fund, approved deposit fund or RSA to which the financial product disclosure provisions of the </w:t>
      </w:r>
      <w:r w:rsidRPr="00A058B6">
        <w:rPr>
          <w:i/>
        </w:rPr>
        <w:t xml:space="preserve">Corporations </w:t>
      </w:r>
      <w:r w:rsidR="001952B3">
        <w:rPr>
          <w:i/>
        </w:rPr>
        <w:t>Regulations 2</w:t>
      </w:r>
      <w:r w:rsidRPr="00A058B6">
        <w:rPr>
          <w:i/>
        </w:rPr>
        <w:t>001</w:t>
      </w:r>
      <w:r w:rsidRPr="00A058B6">
        <w:t xml:space="preserve"> (being the provisions in </w:t>
      </w:r>
      <w:r w:rsidR="00453C86">
        <w:t>Part 7</w:t>
      </w:r>
      <w:r w:rsidR="00D7157D">
        <w:t>.</w:t>
      </w:r>
      <w:r w:rsidRPr="00A058B6">
        <w:t>9 of those Regulations) apply, has the meaning given by regulation 7</w:t>
      </w:r>
      <w:r w:rsidR="00D7157D">
        <w:t>.</w:t>
      </w:r>
      <w:r w:rsidRPr="00A058B6">
        <w:t>9</w:t>
      </w:r>
      <w:r w:rsidR="00D7157D">
        <w:t>.</w:t>
      </w:r>
      <w:r w:rsidRPr="00A058B6">
        <w:t>01 of those Regulations</w:t>
      </w:r>
      <w:r w:rsidR="00D7157D">
        <w:t>.</w:t>
      </w:r>
    </w:p>
    <w:p w14:paraId="43EFD9F5" w14:textId="3CA5AA25" w:rsidR="00D930D9" w:rsidRPr="00A058B6" w:rsidRDefault="00D930D9" w:rsidP="00D930D9">
      <w:pPr>
        <w:pStyle w:val="Definition"/>
      </w:pPr>
      <w:r w:rsidRPr="00A058B6">
        <w:rPr>
          <w:b/>
          <w:i/>
        </w:rPr>
        <w:t>partially vested accumulation interest</w:t>
      </w:r>
      <w:r w:rsidRPr="00A058B6">
        <w:t xml:space="preserve"> has the meaning given by </w:t>
      </w:r>
      <w:r w:rsidR="00CB78B9">
        <w:t>section 1</w:t>
      </w:r>
      <w:r w:rsidR="00485CC2">
        <w:t>0</w:t>
      </w:r>
      <w:r w:rsidR="00D7157D">
        <w:t>.</w:t>
      </w:r>
    </w:p>
    <w:p w14:paraId="63897128" w14:textId="77777777" w:rsidR="00D930D9" w:rsidRPr="00A058B6" w:rsidRDefault="00D930D9" w:rsidP="00D930D9">
      <w:pPr>
        <w:pStyle w:val="Definition"/>
      </w:pPr>
      <w:r w:rsidRPr="00A058B6">
        <w:rPr>
          <w:b/>
          <w:i/>
        </w:rPr>
        <w:t>payment phase</w:t>
      </w:r>
      <w:r w:rsidRPr="00A058B6">
        <w:t xml:space="preserve"> for:</w:t>
      </w:r>
    </w:p>
    <w:p w14:paraId="2AC6ED9D" w14:textId="77777777" w:rsidR="00D930D9" w:rsidRPr="00A058B6" w:rsidRDefault="00D930D9" w:rsidP="00D930D9">
      <w:pPr>
        <w:pStyle w:val="paragraph"/>
      </w:pPr>
      <w:r w:rsidRPr="00A058B6">
        <w:tab/>
        <w:t>(a)</w:t>
      </w:r>
      <w:r w:rsidRPr="00A058B6">
        <w:tab/>
        <w:t>a superannuation interest (other than a small superannuation accounts interest) of a member spouse; or</w:t>
      </w:r>
    </w:p>
    <w:p w14:paraId="2C9670F6" w14:textId="77777777" w:rsidR="00D930D9" w:rsidRPr="00A058B6" w:rsidRDefault="00D930D9" w:rsidP="00D930D9">
      <w:pPr>
        <w:pStyle w:val="paragraph"/>
      </w:pPr>
      <w:r w:rsidRPr="00A058B6">
        <w:tab/>
        <w:t>(b)</w:t>
      </w:r>
      <w:r w:rsidRPr="00A058B6">
        <w:tab/>
        <w:t>a component of such an interest;</w:t>
      </w:r>
    </w:p>
    <w:p w14:paraId="22784770" w14:textId="0B10077A" w:rsidR="00D930D9" w:rsidRPr="00A058B6" w:rsidRDefault="00D930D9" w:rsidP="00D930D9">
      <w:pPr>
        <w:pStyle w:val="subsection2"/>
      </w:pPr>
      <w:r w:rsidRPr="00A058B6">
        <w:t>has the meaning given by section </w:t>
      </w:r>
      <w:r w:rsidR="00485CC2">
        <w:t>9</w:t>
      </w:r>
      <w:r w:rsidR="00D7157D">
        <w:t>.</w:t>
      </w:r>
    </w:p>
    <w:p w14:paraId="7B5964C2" w14:textId="6D339404" w:rsidR="00D930D9" w:rsidRPr="00A058B6" w:rsidRDefault="00D930D9" w:rsidP="00D930D9">
      <w:pPr>
        <w:pStyle w:val="Definition"/>
      </w:pPr>
      <w:r w:rsidRPr="00A058B6">
        <w:rPr>
          <w:b/>
          <w:i/>
        </w:rPr>
        <w:t xml:space="preserve">pension </w:t>
      </w:r>
      <w:r w:rsidRPr="00A058B6">
        <w:t xml:space="preserve">means a pension, within the meaning of </w:t>
      </w:r>
      <w:r w:rsidR="00CB78B9">
        <w:t>section 1</w:t>
      </w:r>
      <w:r w:rsidRPr="00A058B6">
        <w:t xml:space="preserve">0 of the SIS Act, payable from an eligible superannuation plan (other than an account within the meaning of the </w:t>
      </w:r>
      <w:r w:rsidRPr="00A058B6">
        <w:rPr>
          <w:i/>
        </w:rPr>
        <w:t>Small Superannuation Accounts Act 1995</w:t>
      </w:r>
      <w:r w:rsidRPr="00A058B6">
        <w:t>)</w:t>
      </w:r>
      <w:r w:rsidR="00D7157D">
        <w:t>.</w:t>
      </w:r>
    </w:p>
    <w:p w14:paraId="2F7B54D9" w14:textId="2A9E8049" w:rsidR="00D930D9" w:rsidRPr="00A058B6" w:rsidRDefault="00D930D9" w:rsidP="00D930D9">
      <w:pPr>
        <w:pStyle w:val="Definition"/>
      </w:pPr>
      <w:r w:rsidRPr="00A058B6">
        <w:rPr>
          <w:b/>
          <w:i/>
        </w:rPr>
        <w:t>percentage</w:t>
      </w:r>
      <w:r w:rsidR="001952B3">
        <w:rPr>
          <w:b/>
          <w:i/>
        </w:rPr>
        <w:noBreakHyphen/>
      </w:r>
      <w:r w:rsidRPr="00A058B6">
        <w:rPr>
          <w:b/>
          <w:i/>
        </w:rPr>
        <w:t>only interest</w:t>
      </w:r>
      <w:r w:rsidRPr="00A058B6">
        <w:t xml:space="preserve"> has the meaning given by </w:t>
      </w:r>
      <w:r w:rsidR="00CB78B9">
        <w:t>section 1</w:t>
      </w:r>
      <w:r w:rsidR="00485CC2">
        <w:t>1</w:t>
      </w:r>
      <w:r w:rsidR="00D7157D">
        <w:t>.</w:t>
      </w:r>
    </w:p>
    <w:p w14:paraId="2972D1BD" w14:textId="77777777" w:rsidR="00D930D9" w:rsidRPr="00A058B6" w:rsidRDefault="00D930D9" w:rsidP="00D930D9">
      <w:pPr>
        <w:pStyle w:val="Definition"/>
      </w:pPr>
      <w:r w:rsidRPr="00A058B6">
        <w:rPr>
          <w:b/>
          <w:i/>
        </w:rPr>
        <w:t>public sector superannuation scheme</w:t>
      </w:r>
      <w:r w:rsidRPr="00A058B6">
        <w:t xml:space="preserve"> has the same meaning as in the SIS Act</w:t>
      </w:r>
      <w:r w:rsidR="00D7157D">
        <w:t>.</w:t>
      </w:r>
    </w:p>
    <w:p w14:paraId="34E50F63" w14:textId="7C8CD3F6" w:rsidR="00D930D9" w:rsidRPr="00A058B6" w:rsidRDefault="00D930D9" w:rsidP="00D930D9">
      <w:pPr>
        <w:pStyle w:val="Definition"/>
      </w:pPr>
      <w:r w:rsidRPr="00A058B6">
        <w:rPr>
          <w:b/>
          <w:i/>
        </w:rPr>
        <w:t>relevant condition of release</w:t>
      </w:r>
      <w:r w:rsidRPr="00A058B6">
        <w:t xml:space="preserve"> has the meaning given by </w:t>
      </w:r>
      <w:r w:rsidR="00CB78B9">
        <w:t>section 1</w:t>
      </w:r>
      <w:r w:rsidR="00485CC2">
        <w:t>9</w:t>
      </w:r>
      <w:r w:rsidR="00D7157D">
        <w:t>.</w:t>
      </w:r>
    </w:p>
    <w:p w14:paraId="528C06A1" w14:textId="77777777" w:rsidR="00D930D9" w:rsidRPr="00A058B6" w:rsidRDefault="00D930D9" w:rsidP="00D930D9">
      <w:pPr>
        <w:pStyle w:val="Definition"/>
      </w:pPr>
      <w:r w:rsidRPr="00A058B6">
        <w:rPr>
          <w:b/>
          <w:i/>
        </w:rPr>
        <w:t>relevant date</w:t>
      </w:r>
      <w:r w:rsidRPr="00A058B6">
        <w:t>, for the purposes of determining under Part </w:t>
      </w:r>
      <w:r w:rsidR="00F47A4A">
        <w:t>6</w:t>
      </w:r>
      <w:r w:rsidRPr="00A058B6">
        <w:t xml:space="preserve"> an amount for a superannuation interest that is subject to a payment split, means:</w:t>
      </w:r>
    </w:p>
    <w:p w14:paraId="60E73B22" w14:textId="77777777" w:rsidR="00D930D9" w:rsidRPr="00A058B6" w:rsidRDefault="00D930D9" w:rsidP="00D930D9">
      <w:pPr>
        <w:pStyle w:val="paragraph"/>
      </w:pPr>
      <w:r w:rsidRPr="00A058B6">
        <w:tab/>
        <w:t>(a)</w:t>
      </w:r>
      <w:r w:rsidRPr="00A058B6">
        <w:tab/>
        <w:t>in relation to a payment split under a superannuation agreement or flag lifting agreement:</w:t>
      </w:r>
    </w:p>
    <w:p w14:paraId="21D46FBB" w14:textId="77777777" w:rsidR="00D930D9" w:rsidRPr="00A058B6" w:rsidRDefault="00D930D9" w:rsidP="00D930D9">
      <w:pPr>
        <w:pStyle w:val="paragraphsub"/>
      </w:pPr>
      <w:r w:rsidRPr="00A058B6">
        <w:tab/>
        <w:t>(i)</w:t>
      </w:r>
      <w:r w:rsidRPr="00A058B6">
        <w:tab/>
        <w:t>the date agreed on for that purpose by the parties to the agreement; or</w:t>
      </w:r>
    </w:p>
    <w:p w14:paraId="6DCF0D62" w14:textId="77777777" w:rsidR="00D930D9" w:rsidRPr="00A058B6" w:rsidRDefault="00D930D9" w:rsidP="00D930D9">
      <w:pPr>
        <w:pStyle w:val="paragraphsub"/>
      </w:pPr>
      <w:r w:rsidRPr="00A058B6">
        <w:tab/>
        <w:t>(ii)</w:t>
      </w:r>
      <w:r w:rsidRPr="00A058B6">
        <w:tab/>
        <w:t>if no date is agreed on by the parties to the agreement and the agreement is dated—the date shown on the agreement; or</w:t>
      </w:r>
    </w:p>
    <w:p w14:paraId="3B414823" w14:textId="77777777" w:rsidR="00D930D9" w:rsidRPr="00A058B6" w:rsidRDefault="00D930D9" w:rsidP="00D930D9">
      <w:pPr>
        <w:pStyle w:val="paragraphsub"/>
      </w:pPr>
      <w:r w:rsidRPr="00A058B6">
        <w:tab/>
        <w:t>(iii)</w:t>
      </w:r>
      <w:r w:rsidRPr="00A058B6">
        <w:tab/>
        <w:t>if no date is agreed on by the parties to the agreement and the agreement is not dated—the date when a copy of the agreement is served on the trustee of the relevant eligible superannuation plan; and</w:t>
      </w:r>
    </w:p>
    <w:p w14:paraId="527930F8" w14:textId="77777777" w:rsidR="00D930D9" w:rsidRPr="00A058B6" w:rsidRDefault="00D930D9" w:rsidP="00D930D9">
      <w:pPr>
        <w:pStyle w:val="paragraph"/>
      </w:pPr>
      <w:r w:rsidRPr="00A058B6">
        <w:tab/>
        <w:t>(b)</w:t>
      </w:r>
      <w:r w:rsidRPr="00A058B6">
        <w:tab/>
        <w:t>in relation to a payment split under a splitting order—the date determined by the court</w:t>
      </w:r>
      <w:r w:rsidR="00D7157D">
        <w:t>.</w:t>
      </w:r>
    </w:p>
    <w:p w14:paraId="0E587429" w14:textId="77777777" w:rsidR="00D930D9" w:rsidRPr="00A058B6" w:rsidRDefault="00D930D9" w:rsidP="00D930D9">
      <w:pPr>
        <w:pStyle w:val="notetext"/>
      </w:pPr>
      <w:r w:rsidRPr="00A058B6">
        <w:t>Note:</w:t>
      </w:r>
      <w:r w:rsidRPr="00A058B6">
        <w:tab/>
        <w:t>While Part </w:t>
      </w:r>
      <w:r w:rsidR="00F47A4A">
        <w:t>6</w:t>
      </w:r>
      <w:r w:rsidRPr="00A058B6">
        <w:t xml:space="preserve"> does not expressly apply to payment splits under a superannuation agreement or flag lifting agreement, the parties to the agreement may nevertheless agree to use the methods in Part </w:t>
      </w:r>
      <w:r w:rsidR="00F47A4A">
        <w:t>6</w:t>
      </w:r>
      <w:r w:rsidRPr="00A058B6">
        <w:t xml:space="preserve"> to determine an amount for the superannuation interest</w:t>
      </w:r>
      <w:r w:rsidR="00D7157D">
        <w:t>.</w:t>
      </w:r>
      <w:r w:rsidRPr="00A058B6">
        <w:t xml:space="preserve"> </w:t>
      </w:r>
      <w:r w:rsidR="00B05FD6">
        <w:t>Paragraph (</w:t>
      </w:r>
      <w:r w:rsidRPr="00A058B6">
        <w:t>a) of this definition applies for that case</w:t>
      </w:r>
      <w:r w:rsidR="00D7157D">
        <w:t>.</w:t>
      </w:r>
    </w:p>
    <w:p w14:paraId="726D091B" w14:textId="77777777" w:rsidR="00D930D9" w:rsidRPr="00A058B6" w:rsidRDefault="00D930D9" w:rsidP="00D930D9">
      <w:pPr>
        <w:pStyle w:val="Definition"/>
      </w:pPr>
      <w:r w:rsidRPr="00A058B6">
        <w:rPr>
          <w:b/>
          <w:i/>
        </w:rPr>
        <w:t>RSA Regulations</w:t>
      </w:r>
      <w:r w:rsidRPr="00A058B6">
        <w:t xml:space="preserve"> means the </w:t>
      </w:r>
      <w:r w:rsidRPr="00A058B6">
        <w:rPr>
          <w:i/>
        </w:rPr>
        <w:t>Retirement Savings Accounts Regulations 1997</w:t>
      </w:r>
      <w:r w:rsidR="00D7157D">
        <w:t>.</w:t>
      </w:r>
    </w:p>
    <w:p w14:paraId="5C034432" w14:textId="77777777" w:rsidR="00D930D9" w:rsidRPr="00A058B6" w:rsidRDefault="00D930D9" w:rsidP="00D930D9">
      <w:pPr>
        <w:pStyle w:val="Definition"/>
      </w:pPr>
      <w:r w:rsidRPr="00A058B6">
        <w:rPr>
          <w:b/>
          <w:i/>
        </w:rPr>
        <w:t>self managed superannuation fund</w:t>
      </w:r>
      <w:r w:rsidRPr="00A058B6">
        <w:t xml:space="preserve"> has the same meaning as in the SIS Act</w:t>
      </w:r>
      <w:r w:rsidR="00D7157D">
        <w:t>.</w:t>
      </w:r>
    </w:p>
    <w:p w14:paraId="045C27E1" w14:textId="77777777" w:rsidR="00D930D9" w:rsidRPr="00A058B6" w:rsidRDefault="00D930D9" w:rsidP="00D930D9">
      <w:pPr>
        <w:pStyle w:val="Definition"/>
      </w:pPr>
      <w:r w:rsidRPr="00A058B6">
        <w:rPr>
          <w:b/>
          <w:i/>
        </w:rPr>
        <w:t>SIS Regulations</w:t>
      </w:r>
      <w:r w:rsidRPr="00A058B6">
        <w:t xml:space="preserve"> means the </w:t>
      </w:r>
      <w:r w:rsidRPr="00A058B6">
        <w:rPr>
          <w:i/>
        </w:rPr>
        <w:t>Superannuation Industry (Supervision) Regulations 1994</w:t>
      </w:r>
      <w:r w:rsidR="00D7157D">
        <w:t>.</w:t>
      </w:r>
    </w:p>
    <w:p w14:paraId="5E72A3ED" w14:textId="77777777" w:rsidR="00D930D9" w:rsidRPr="00A058B6" w:rsidRDefault="00D930D9" w:rsidP="00D930D9">
      <w:pPr>
        <w:pStyle w:val="Definition"/>
      </w:pPr>
      <w:r w:rsidRPr="00A058B6">
        <w:rPr>
          <w:b/>
          <w:i/>
        </w:rPr>
        <w:t>small superannuation accounts interest</w:t>
      </w:r>
      <w:r w:rsidRPr="00A058B6">
        <w:t xml:space="preserve"> means a superannuation interest in an account within the meaning of the </w:t>
      </w:r>
      <w:r w:rsidRPr="00A058B6">
        <w:rPr>
          <w:i/>
        </w:rPr>
        <w:t>Small Superannuation Accounts Act 1995</w:t>
      </w:r>
      <w:r w:rsidR="00D7157D">
        <w:t>.</w:t>
      </w:r>
    </w:p>
    <w:p w14:paraId="6F0795FC" w14:textId="74600C18" w:rsidR="00D930D9" w:rsidRPr="00A058B6" w:rsidRDefault="00D930D9" w:rsidP="00D930D9">
      <w:pPr>
        <w:pStyle w:val="Definition"/>
      </w:pPr>
      <w:r w:rsidRPr="00A058B6">
        <w:rPr>
          <w:b/>
          <w:i/>
        </w:rPr>
        <w:t>superannuation annuity</w:t>
      </w:r>
      <w:r w:rsidRPr="00A058B6">
        <w:t xml:space="preserve"> has the meaning given by </w:t>
      </w:r>
      <w:r w:rsidR="00FE15C4">
        <w:t>subsection 9</w:t>
      </w:r>
      <w:r w:rsidRPr="00A058B6">
        <w:t>95</w:t>
      </w:r>
      <w:r w:rsidR="001952B3">
        <w:noBreakHyphen/>
      </w:r>
      <w:r w:rsidRPr="00A058B6">
        <w:t xml:space="preserve">1(1) of the </w:t>
      </w:r>
      <w:r w:rsidRPr="00A058B6">
        <w:rPr>
          <w:i/>
        </w:rPr>
        <w:t>Income Tax Assessment Act 1997</w:t>
      </w:r>
      <w:r w:rsidR="00D7157D">
        <w:t>.</w:t>
      </w:r>
    </w:p>
    <w:p w14:paraId="1111CB0D" w14:textId="77777777" w:rsidR="00D930D9" w:rsidRPr="00A058B6" w:rsidRDefault="00D930D9" w:rsidP="00D930D9">
      <w:pPr>
        <w:pStyle w:val="Definition"/>
      </w:pPr>
      <w:r w:rsidRPr="00A058B6">
        <w:rPr>
          <w:b/>
          <w:i/>
        </w:rPr>
        <w:lastRenderedPageBreak/>
        <w:t>superannuation contributions surcharge</w:t>
      </w:r>
      <w:r w:rsidRPr="00A058B6">
        <w:t xml:space="preserve"> or </w:t>
      </w:r>
      <w:r w:rsidRPr="00A058B6">
        <w:rPr>
          <w:b/>
          <w:i/>
        </w:rPr>
        <w:t>surcharge</w:t>
      </w:r>
      <w:r w:rsidRPr="00A058B6">
        <w:t xml:space="preserve"> means the tax imposed by the </w:t>
      </w:r>
      <w:r w:rsidRPr="00A058B6">
        <w:rPr>
          <w:i/>
        </w:rPr>
        <w:t>Superannuation Contributions Tax Imposition Act 1997</w:t>
      </w:r>
      <w:r w:rsidR="00D7157D">
        <w:t>.</w:t>
      </w:r>
    </w:p>
    <w:p w14:paraId="72A777C7" w14:textId="77777777" w:rsidR="00D930D9" w:rsidRPr="00A058B6" w:rsidRDefault="00D930D9" w:rsidP="00D930D9">
      <w:pPr>
        <w:pStyle w:val="Definition"/>
      </w:pPr>
      <w:r w:rsidRPr="00A058B6">
        <w:rPr>
          <w:b/>
          <w:i/>
        </w:rPr>
        <w:t>superannuation fund</w:t>
      </w:r>
      <w:r w:rsidRPr="00A058B6">
        <w:t xml:space="preserve"> has the same meaning as in the SIS Act</w:t>
      </w:r>
      <w:r w:rsidR="00D7157D">
        <w:t>.</w:t>
      </w:r>
    </w:p>
    <w:p w14:paraId="1DAB0721" w14:textId="1301DFCE" w:rsidR="00D930D9" w:rsidRPr="00A058B6" w:rsidRDefault="00D930D9" w:rsidP="00D930D9">
      <w:pPr>
        <w:pStyle w:val="Definition"/>
      </w:pPr>
      <w:r w:rsidRPr="00A058B6">
        <w:rPr>
          <w:b/>
          <w:i/>
        </w:rPr>
        <w:t>unflaggable interest</w:t>
      </w:r>
      <w:r w:rsidRPr="00A058B6">
        <w:t xml:space="preserve"> has the meaning given by </w:t>
      </w:r>
      <w:r w:rsidR="00CB78B9">
        <w:t>section 1</w:t>
      </w:r>
      <w:r w:rsidR="00485CC2">
        <w:t>3</w:t>
      </w:r>
      <w:r w:rsidR="00D7157D">
        <w:t>.</w:t>
      </w:r>
    </w:p>
    <w:p w14:paraId="453D3DF3" w14:textId="22D3374B" w:rsidR="00D930D9" w:rsidRPr="00A058B6" w:rsidRDefault="00D930D9" w:rsidP="00D930D9">
      <w:pPr>
        <w:pStyle w:val="Definition"/>
      </w:pPr>
      <w:r w:rsidRPr="00A058B6">
        <w:rPr>
          <w:b/>
          <w:i/>
        </w:rPr>
        <w:t>unsplittable interest</w:t>
      </w:r>
      <w:r w:rsidRPr="00A058B6">
        <w:t xml:space="preserve"> has the meaning given by </w:t>
      </w:r>
      <w:r w:rsidR="00CB78B9">
        <w:t>section 1</w:t>
      </w:r>
      <w:r w:rsidR="00485CC2">
        <w:t>4</w:t>
      </w:r>
      <w:r w:rsidR="00D7157D">
        <w:t>.</w:t>
      </w:r>
    </w:p>
    <w:p w14:paraId="597E7F9F" w14:textId="1FE237F4" w:rsidR="00D930D9" w:rsidRPr="00A058B6" w:rsidRDefault="00D930D9" w:rsidP="00D930D9">
      <w:pPr>
        <w:pStyle w:val="Definition"/>
      </w:pPr>
      <w:r w:rsidRPr="00A058B6">
        <w:rPr>
          <w:b/>
          <w:i/>
        </w:rPr>
        <w:t>value of the non</w:t>
      </w:r>
      <w:r w:rsidR="001952B3">
        <w:rPr>
          <w:b/>
          <w:i/>
        </w:rPr>
        <w:noBreakHyphen/>
      </w:r>
      <w:r w:rsidRPr="00A058B6">
        <w:rPr>
          <w:b/>
          <w:i/>
        </w:rPr>
        <w:t>member spouse’s entitlement</w:t>
      </w:r>
      <w:r w:rsidRPr="00A058B6">
        <w:t xml:space="preserve"> has the meaning given by:</w:t>
      </w:r>
    </w:p>
    <w:p w14:paraId="64F2E9A0" w14:textId="200140E4" w:rsidR="00D930D9" w:rsidRPr="00A058B6" w:rsidRDefault="00D930D9" w:rsidP="00D930D9">
      <w:pPr>
        <w:pStyle w:val="paragraph"/>
      </w:pPr>
      <w:r w:rsidRPr="00A058B6">
        <w:tab/>
        <w:t>(a)</w:t>
      </w:r>
      <w:r w:rsidRPr="00A058B6">
        <w:tab/>
        <w:t xml:space="preserve">in Subdivision B of </w:t>
      </w:r>
      <w:r w:rsidR="00881039">
        <w:t>Division 3</w:t>
      </w:r>
      <w:r w:rsidRPr="00A058B6">
        <w:t xml:space="preserve"> of </w:t>
      </w:r>
      <w:r w:rsidR="006211C7">
        <w:t>Part </w:t>
      </w:r>
      <w:r w:rsidR="009F5A3D">
        <w:t>3</w:t>
      </w:r>
      <w:r w:rsidRPr="00A058B6">
        <w:t>—</w:t>
      </w:r>
      <w:r w:rsidR="00CB78B9">
        <w:t>section 2</w:t>
      </w:r>
      <w:r w:rsidR="00485CC2">
        <w:t>5</w:t>
      </w:r>
      <w:r w:rsidRPr="00A058B6">
        <w:t>; or</w:t>
      </w:r>
    </w:p>
    <w:p w14:paraId="55F98A6C" w14:textId="4202D1D2" w:rsidR="00D930D9" w:rsidRPr="00A058B6" w:rsidRDefault="00D930D9" w:rsidP="00D930D9">
      <w:pPr>
        <w:pStyle w:val="paragraph"/>
      </w:pPr>
      <w:r w:rsidRPr="00A058B6">
        <w:tab/>
        <w:t>(b)</w:t>
      </w:r>
      <w:r w:rsidRPr="00A058B6">
        <w:tab/>
        <w:t xml:space="preserve">in Subdivision A of Division 4 of </w:t>
      </w:r>
      <w:r w:rsidR="006211C7">
        <w:t>Part </w:t>
      </w:r>
      <w:r w:rsidR="009F5A3D">
        <w:t>3</w:t>
      </w:r>
      <w:r w:rsidRPr="00A058B6">
        <w:t>—</w:t>
      </w:r>
      <w:r w:rsidR="00CB78B9">
        <w:t>section 2</w:t>
      </w:r>
      <w:r w:rsidR="00485CC2">
        <w:t>9</w:t>
      </w:r>
      <w:r w:rsidRPr="00A058B6">
        <w:t>; or</w:t>
      </w:r>
    </w:p>
    <w:p w14:paraId="61402F45" w14:textId="60F5FAF0" w:rsidR="00D930D9" w:rsidRPr="00A058B6" w:rsidRDefault="00D930D9" w:rsidP="00D930D9">
      <w:pPr>
        <w:pStyle w:val="paragraph"/>
      </w:pPr>
      <w:r w:rsidRPr="00A058B6">
        <w:tab/>
        <w:t>(c)</w:t>
      </w:r>
      <w:r w:rsidRPr="00A058B6">
        <w:tab/>
        <w:t xml:space="preserve">in Subdivision B of Division 4 of </w:t>
      </w:r>
      <w:r w:rsidR="006211C7">
        <w:t>Part </w:t>
      </w:r>
      <w:r w:rsidR="009F5A3D">
        <w:t>3</w:t>
      </w:r>
      <w:r w:rsidRPr="00A058B6">
        <w:t>—</w:t>
      </w:r>
      <w:r w:rsidR="00CB78B9">
        <w:t>section 3</w:t>
      </w:r>
      <w:r w:rsidR="00485CC2">
        <w:t>2</w:t>
      </w:r>
      <w:r w:rsidRPr="00A058B6">
        <w:t>; or</w:t>
      </w:r>
    </w:p>
    <w:p w14:paraId="76624254" w14:textId="7F51895F" w:rsidR="00D930D9" w:rsidRPr="00A058B6" w:rsidRDefault="00D930D9" w:rsidP="00D930D9">
      <w:pPr>
        <w:pStyle w:val="paragraph"/>
      </w:pPr>
      <w:r w:rsidRPr="00A058B6">
        <w:tab/>
        <w:t>(d)</w:t>
      </w:r>
      <w:r w:rsidRPr="00A058B6">
        <w:tab/>
        <w:t xml:space="preserve">in Subdivision C of Division 4 of </w:t>
      </w:r>
      <w:r w:rsidR="006211C7">
        <w:t>Part </w:t>
      </w:r>
      <w:r w:rsidR="009F5A3D">
        <w:t>3</w:t>
      </w:r>
      <w:r w:rsidRPr="00A058B6">
        <w:t>—</w:t>
      </w:r>
      <w:r w:rsidR="00CB78B9">
        <w:t>section 3</w:t>
      </w:r>
      <w:r w:rsidR="00485CC2">
        <w:t>5</w:t>
      </w:r>
      <w:r w:rsidR="00D7157D">
        <w:t>.</w:t>
      </w:r>
    </w:p>
    <w:p w14:paraId="32978FAC" w14:textId="77777777" w:rsidR="00D930D9" w:rsidRPr="00A058B6" w:rsidRDefault="00D930D9" w:rsidP="00D930D9">
      <w:pPr>
        <w:pStyle w:val="Definition"/>
      </w:pPr>
      <w:r w:rsidRPr="00A058B6">
        <w:rPr>
          <w:b/>
          <w:i/>
        </w:rPr>
        <w:t>withdrawal benefit</w:t>
      </w:r>
      <w:r w:rsidRPr="00A058B6">
        <w:t>:</w:t>
      </w:r>
    </w:p>
    <w:p w14:paraId="7B6F7666" w14:textId="77777777" w:rsidR="00D930D9" w:rsidRPr="00A058B6" w:rsidRDefault="00D930D9" w:rsidP="00D930D9">
      <w:pPr>
        <w:pStyle w:val="paragraph"/>
      </w:pPr>
      <w:r w:rsidRPr="00A058B6">
        <w:tab/>
        <w:t>(a)</w:t>
      </w:r>
      <w:r w:rsidRPr="00A058B6">
        <w:tab/>
        <w:t>for a member of a regulated superannuation fund, an exempt public sector superannuation scheme or an approved deposit fund, has the meaning given by subregulation 1</w:t>
      </w:r>
      <w:r w:rsidR="00D7157D">
        <w:t>.</w:t>
      </w:r>
      <w:r w:rsidRPr="00A058B6">
        <w:t>03(1) of the SIS Regulations; and</w:t>
      </w:r>
    </w:p>
    <w:p w14:paraId="7E1E1ABE" w14:textId="77777777" w:rsidR="00D930D9" w:rsidRPr="00A058B6" w:rsidRDefault="00D930D9" w:rsidP="00D930D9">
      <w:pPr>
        <w:pStyle w:val="paragraph"/>
      </w:pPr>
      <w:r w:rsidRPr="00A058B6">
        <w:tab/>
        <w:t>(b)</w:t>
      </w:r>
      <w:r w:rsidRPr="00A058B6">
        <w:tab/>
        <w:t>for a member of an RSA, has the meaning given by subregulation 1</w:t>
      </w:r>
      <w:r w:rsidR="00D7157D">
        <w:t>.</w:t>
      </w:r>
      <w:r w:rsidRPr="00A058B6">
        <w:t>03(1) of the RSA Regulations; and</w:t>
      </w:r>
    </w:p>
    <w:p w14:paraId="63F4D63E" w14:textId="77777777" w:rsidR="00D930D9" w:rsidRPr="00A058B6" w:rsidRDefault="00D930D9" w:rsidP="00D930D9">
      <w:pPr>
        <w:pStyle w:val="paragraph"/>
      </w:pPr>
      <w:r w:rsidRPr="00A058B6">
        <w:tab/>
        <w:t>(c)</w:t>
      </w:r>
      <w:r w:rsidRPr="00A058B6">
        <w:tab/>
        <w:t>for a member who has a small superannuation accounts interest, means the balance of the member’s account; and</w:t>
      </w:r>
    </w:p>
    <w:p w14:paraId="42CC0607" w14:textId="77777777" w:rsidR="00D930D9" w:rsidRPr="00A058B6" w:rsidRDefault="00D930D9" w:rsidP="00D930D9">
      <w:pPr>
        <w:pStyle w:val="paragraph"/>
      </w:pPr>
      <w:r w:rsidRPr="00A058B6">
        <w:tab/>
        <w:t>(d)</w:t>
      </w:r>
      <w:r w:rsidRPr="00A058B6">
        <w:tab/>
        <w:t>for a member of any other eligible superannuation plan, means the total amount of benefits that would be payable to the member if the member voluntarily ceased to be a member of the plan</w:t>
      </w:r>
      <w:r w:rsidR="00D7157D">
        <w:t>.</w:t>
      </w:r>
    </w:p>
    <w:p w14:paraId="0D57D4DA" w14:textId="7D79FE56" w:rsidR="003F264B" w:rsidRPr="00E62545" w:rsidRDefault="00485CC2" w:rsidP="00D930D9">
      <w:pPr>
        <w:pStyle w:val="ActHead5"/>
      </w:pPr>
      <w:bookmarkStart w:id="8" w:name="_Toc188350498"/>
      <w:r w:rsidRPr="00423C34">
        <w:rPr>
          <w:rStyle w:val="CharSectno"/>
        </w:rPr>
        <w:t>5</w:t>
      </w:r>
      <w:r w:rsidR="003F264B" w:rsidRPr="00E62545">
        <w:t xml:space="preserve">  Meaning of </w:t>
      </w:r>
      <w:r w:rsidR="003F264B" w:rsidRPr="005C54F3">
        <w:rPr>
          <w:i/>
        </w:rPr>
        <w:t>component</w:t>
      </w:r>
      <w:r w:rsidR="003F264B" w:rsidRPr="00E62545">
        <w:t xml:space="preserve"> of a superannuation interest</w:t>
      </w:r>
      <w:bookmarkEnd w:id="8"/>
    </w:p>
    <w:p w14:paraId="7D8D6FEE" w14:textId="77777777" w:rsidR="00DD4A42" w:rsidRDefault="00DD4A42" w:rsidP="00DD4A42">
      <w:pPr>
        <w:pStyle w:val="subsection"/>
      </w:pPr>
      <w:r w:rsidRPr="00823CE0">
        <w:rPr>
          <w:bCs/>
          <w:iCs/>
        </w:rPr>
        <w:tab/>
        <w:t>(1)</w:t>
      </w:r>
      <w:r w:rsidRPr="00823CE0">
        <w:rPr>
          <w:bCs/>
          <w:iCs/>
        </w:rPr>
        <w:tab/>
      </w:r>
      <w:r>
        <w:rPr>
          <w:bCs/>
          <w:iCs/>
        </w:rPr>
        <w:t xml:space="preserve">A </w:t>
      </w:r>
      <w:r>
        <w:t xml:space="preserve">part of a superannuation interest that a person has as a member of an eligible superannuation plan is a </w:t>
      </w:r>
      <w:r>
        <w:rPr>
          <w:b/>
          <w:bCs/>
          <w:i/>
          <w:iCs/>
        </w:rPr>
        <w:t>component</w:t>
      </w:r>
      <w:r>
        <w:t xml:space="preserve"> of the superannuation interest if:</w:t>
      </w:r>
    </w:p>
    <w:p w14:paraId="360BFB44" w14:textId="77777777" w:rsidR="00DD4A42" w:rsidRDefault="00DD4A42" w:rsidP="00DD4A42">
      <w:pPr>
        <w:pStyle w:val="paragraph"/>
      </w:pPr>
      <w:r>
        <w:tab/>
        <w:t>(a)</w:t>
      </w:r>
      <w:r>
        <w:tab/>
        <w:t>the part has distinct features and characteristics; and</w:t>
      </w:r>
    </w:p>
    <w:p w14:paraId="04B338A6" w14:textId="77777777" w:rsidR="00DD4A42" w:rsidRDefault="00DD4A42" w:rsidP="00DD4A42">
      <w:pPr>
        <w:pStyle w:val="paragraph"/>
      </w:pPr>
      <w:r>
        <w:tab/>
        <w:t>(b)</w:t>
      </w:r>
      <w:r>
        <w:tab/>
        <w:t>the part has requirements that must be met before a benefit in respect of the part becomes payable to the member; and</w:t>
      </w:r>
    </w:p>
    <w:p w14:paraId="6A90DCB8" w14:textId="77777777" w:rsidR="00DD4A42" w:rsidRDefault="00DD4A42" w:rsidP="00DD4A42">
      <w:pPr>
        <w:pStyle w:val="paragraph"/>
      </w:pPr>
      <w:r>
        <w:tab/>
        <w:t>(c)</w:t>
      </w:r>
      <w:r>
        <w:tab/>
        <w:t>the part does not make up the entire superannuation interest.</w:t>
      </w:r>
    </w:p>
    <w:p w14:paraId="52706352" w14:textId="4213E9E0" w:rsidR="00DD4A42" w:rsidRDefault="00DD4A42" w:rsidP="006F1B37">
      <w:pPr>
        <w:pStyle w:val="subsection"/>
      </w:pPr>
      <w:r>
        <w:tab/>
        <w:t>(2)</w:t>
      </w:r>
      <w:r>
        <w:tab/>
        <w:t xml:space="preserve">However, </w:t>
      </w:r>
      <w:r w:rsidR="006F1B37">
        <w:t>a</w:t>
      </w:r>
      <w:r>
        <w:t xml:space="preserve"> benefit payable in respect of the superannuation interest</w:t>
      </w:r>
      <w:r w:rsidR="006F1B37">
        <w:t xml:space="preserve"> or a component of </w:t>
      </w:r>
      <w:r w:rsidR="002B51CA">
        <w:t>the</w:t>
      </w:r>
      <w:r w:rsidR="006F1B37">
        <w:t xml:space="preserve"> superannuation interest is not itself a </w:t>
      </w:r>
      <w:r w:rsidR="006F1B37">
        <w:rPr>
          <w:b/>
          <w:bCs/>
          <w:i/>
          <w:iCs/>
        </w:rPr>
        <w:t>component</w:t>
      </w:r>
      <w:r w:rsidR="006F1B37">
        <w:t xml:space="preserve"> of the superannuation interest.</w:t>
      </w:r>
    </w:p>
    <w:p w14:paraId="50595432" w14:textId="05C2335B" w:rsidR="00F4489B" w:rsidRDefault="00DF1166" w:rsidP="00DF1166">
      <w:pPr>
        <w:pStyle w:val="notetext"/>
      </w:pPr>
      <w:r>
        <w:t>Note:</w:t>
      </w:r>
      <w:r>
        <w:tab/>
      </w:r>
      <w:r w:rsidR="00F4489B">
        <w:t xml:space="preserve">A component of a superannuation interest that a member has in an eligible superannuation plan is </w:t>
      </w:r>
      <w:r w:rsidR="00F4489B">
        <w:rPr>
          <w:rFonts w:eastAsia="Calibri" w:cstheme="minorHAnsi"/>
        </w:rPr>
        <w:t>a</w:t>
      </w:r>
      <w:r w:rsidR="00F4489B" w:rsidRPr="00C24F4D">
        <w:rPr>
          <w:rFonts w:eastAsia="Calibri" w:cstheme="minorHAnsi"/>
        </w:rPr>
        <w:t xml:space="preserve"> </w:t>
      </w:r>
      <w:r w:rsidR="00F4489B">
        <w:rPr>
          <w:rFonts w:eastAsia="Calibri" w:cstheme="minorHAnsi"/>
        </w:rPr>
        <w:t>constituent</w:t>
      </w:r>
      <w:r w:rsidR="00F4489B" w:rsidRPr="00C24F4D">
        <w:rPr>
          <w:rFonts w:eastAsia="Calibri" w:cstheme="minorHAnsi"/>
        </w:rPr>
        <w:t xml:space="preserve"> </w:t>
      </w:r>
      <w:r w:rsidR="00F4489B">
        <w:rPr>
          <w:rFonts w:eastAsia="Calibri" w:cstheme="minorHAnsi"/>
        </w:rPr>
        <w:t xml:space="preserve">part of the superannuation </w:t>
      </w:r>
      <w:r w:rsidR="00F4489B" w:rsidRPr="00C24F4D">
        <w:rPr>
          <w:rFonts w:eastAsia="Calibri" w:cstheme="minorHAnsi"/>
        </w:rPr>
        <w:t>interest that gives rise, or may give rise, to an entitlement to a benefit or benefits. A benefit may</w:t>
      </w:r>
      <w:r w:rsidR="00F4489B">
        <w:rPr>
          <w:rFonts w:eastAsia="Calibri" w:cstheme="minorHAnsi"/>
        </w:rPr>
        <w:t>:</w:t>
      </w:r>
    </w:p>
    <w:p w14:paraId="3D443D57" w14:textId="77777777" w:rsidR="00DF1166" w:rsidRDefault="00DF1166" w:rsidP="00DF1166">
      <w:pPr>
        <w:pStyle w:val="notepara"/>
        <w:rPr>
          <w:rFonts w:eastAsia="Calibri"/>
        </w:rPr>
      </w:pPr>
      <w:r>
        <w:rPr>
          <w:rFonts w:eastAsia="Calibri"/>
        </w:rPr>
        <w:t>(a)</w:t>
      </w:r>
      <w:r>
        <w:rPr>
          <w:rFonts w:eastAsia="Calibri"/>
        </w:rPr>
        <w:tab/>
      </w:r>
      <w:r w:rsidRPr="00C24F4D">
        <w:rPr>
          <w:rFonts w:eastAsia="Calibri"/>
        </w:rPr>
        <w:t xml:space="preserve">be paid in a range of different </w:t>
      </w:r>
      <w:r>
        <w:rPr>
          <w:rFonts w:eastAsia="Calibri"/>
        </w:rPr>
        <w:t>forms</w:t>
      </w:r>
      <w:r w:rsidRPr="00C24F4D">
        <w:rPr>
          <w:rFonts w:eastAsia="Calibri"/>
        </w:rPr>
        <w:t xml:space="preserve"> (for example, a lump sum or a pension)</w:t>
      </w:r>
      <w:r>
        <w:rPr>
          <w:rFonts w:eastAsia="Calibri"/>
        </w:rPr>
        <w:t>;</w:t>
      </w:r>
      <w:r w:rsidRPr="00C24F4D">
        <w:rPr>
          <w:rFonts w:eastAsia="Calibri"/>
        </w:rPr>
        <w:t xml:space="preserve"> and</w:t>
      </w:r>
    </w:p>
    <w:p w14:paraId="7DF1FD9B" w14:textId="77777777" w:rsidR="00DF1166" w:rsidRDefault="00DF1166" w:rsidP="00DF1166">
      <w:pPr>
        <w:pStyle w:val="notepara"/>
        <w:rPr>
          <w:rFonts w:eastAsia="Calibri"/>
        </w:rPr>
      </w:pPr>
      <w:r>
        <w:rPr>
          <w:rFonts w:eastAsia="Calibri"/>
        </w:rPr>
        <w:t>(b)</w:t>
      </w:r>
      <w:r>
        <w:rPr>
          <w:rFonts w:eastAsia="Calibri"/>
        </w:rPr>
        <w:tab/>
      </w:r>
      <w:r w:rsidRPr="00C24F4D">
        <w:rPr>
          <w:rFonts w:eastAsia="Calibri"/>
        </w:rPr>
        <w:t>become payable upon satisfying particular conditions of release (for example, retirement, resignation, invalidity or death).</w:t>
      </w:r>
    </w:p>
    <w:p w14:paraId="479B1CB1" w14:textId="4817684F" w:rsidR="00DF1166" w:rsidRDefault="004931C4" w:rsidP="004931C4">
      <w:pPr>
        <w:pStyle w:val="notetext"/>
        <w:rPr>
          <w:rFonts w:eastAsia="Calibri"/>
        </w:rPr>
      </w:pPr>
      <w:r>
        <w:tab/>
      </w:r>
      <w:r w:rsidR="00DF1166" w:rsidRPr="004931C4">
        <w:t>Each</w:t>
      </w:r>
      <w:r w:rsidR="00DF1166" w:rsidRPr="00C24F4D">
        <w:rPr>
          <w:rFonts w:eastAsia="Calibri"/>
        </w:rPr>
        <w:t xml:space="preserve"> benefit payable, or potentially payable, is not itself a component.</w:t>
      </w:r>
    </w:p>
    <w:p w14:paraId="0F29AFBC" w14:textId="33D5C26C" w:rsidR="00532844" w:rsidRPr="00872FE4" w:rsidRDefault="00532844" w:rsidP="00532844">
      <w:pPr>
        <w:pStyle w:val="notetext"/>
      </w:pPr>
      <w:r>
        <w:t>Example 1:</w:t>
      </w:r>
      <w:r>
        <w:tab/>
        <w:t>A</w:t>
      </w:r>
      <w:r w:rsidRPr="00872FE4">
        <w:t xml:space="preserve"> </w:t>
      </w:r>
      <w:r>
        <w:t>person</w:t>
      </w:r>
      <w:r w:rsidRPr="00872FE4">
        <w:t xml:space="preserve"> has </w:t>
      </w:r>
      <w:r>
        <w:t>a superannuation</w:t>
      </w:r>
      <w:r w:rsidRPr="00872FE4">
        <w:t xml:space="preserve"> interest </w:t>
      </w:r>
      <w:r>
        <w:t>as a member of</w:t>
      </w:r>
      <w:r w:rsidRPr="00872FE4">
        <w:t xml:space="preserve"> a</w:t>
      </w:r>
      <w:r w:rsidR="00283D4E">
        <w:t>n eligible</w:t>
      </w:r>
      <w:r w:rsidRPr="00872FE4">
        <w:t xml:space="preserve"> superannuation plan. </w:t>
      </w:r>
      <w:r>
        <w:t>Under the plan, i</w:t>
      </w:r>
      <w:r w:rsidRPr="00872FE4">
        <w:t>f the member permanently retires</w:t>
      </w:r>
      <w:r>
        <w:t xml:space="preserve"> </w:t>
      </w:r>
      <w:r w:rsidRPr="00872FE4">
        <w:t>the member become</w:t>
      </w:r>
      <w:r>
        <w:t>s</w:t>
      </w:r>
      <w:r w:rsidRPr="00872FE4">
        <w:t xml:space="preserve"> entitled to:</w:t>
      </w:r>
    </w:p>
    <w:p w14:paraId="4D477745" w14:textId="77777777" w:rsidR="00532844" w:rsidRDefault="00532844" w:rsidP="00532844">
      <w:pPr>
        <w:pStyle w:val="notepara"/>
      </w:pPr>
      <w:r>
        <w:t>(a)</w:t>
      </w:r>
      <w:r>
        <w:tab/>
        <w:t xml:space="preserve">in </w:t>
      </w:r>
      <w:r w:rsidR="001E7F86">
        <w:t>all cases</w:t>
      </w:r>
      <w:r>
        <w:t>—</w:t>
      </w:r>
      <w:r w:rsidR="00B811FF">
        <w:t>b</w:t>
      </w:r>
      <w:r w:rsidR="00B811FF" w:rsidRPr="00872FE4">
        <w:t>enefits bas</w:t>
      </w:r>
      <w:r w:rsidR="00B811FF" w:rsidRPr="00BE3D44">
        <w:t xml:space="preserve">ed on the member’s account balance at the time of </w:t>
      </w:r>
      <w:r w:rsidR="00B811FF">
        <w:t>retirement; and</w:t>
      </w:r>
    </w:p>
    <w:p w14:paraId="49B75FD7" w14:textId="3DC60723" w:rsidR="005354DD" w:rsidRDefault="005354DD" w:rsidP="00532844">
      <w:pPr>
        <w:pStyle w:val="notepara"/>
      </w:pPr>
      <w:r>
        <w:lastRenderedPageBreak/>
        <w:t>(</w:t>
      </w:r>
      <w:r w:rsidR="001E7F86">
        <w:t>b</w:t>
      </w:r>
      <w:r>
        <w:t>)</w:t>
      </w:r>
      <w:r>
        <w:tab/>
        <w:t>if the retirement is not due to invalidity—b</w:t>
      </w:r>
      <w:r w:rsidRPr="00872FE4">
        <w:t xml:space="preserve">enefits in the form of a lump sum, </w:t>
      </w:r>
      <w:r w:rsidR="00283D4E">
        <w:t xml:space="preserve">or payments from a lifetime pension, </w:t>
      </w:r>
      <w:r w:rsidRPr="00872FE4">
        <w:t>calculated by reference to defined benefit factors</w:t>
      </w:r>
      <w:r w:rsidR="001E7F86">
        <w:t>; and</w:t>
      </w:r>
    </w:p>
    <w:p w14:paraId="1AE4A9C7" w14:textId="77777777" w:rsidR="001E7F86" w:rsidRDefault="001E7F86" w:rsidP="001E7F86">
      <w:pPr>
        <w:pStyle w:val="notepara"/>
      </w:pPr>
      <w:r>
        <w:t>(c)</w:t>
      </w:r>
      <w:r>
        <w:tab/>
        <w:t>if the retirement is due to invalidity—b</w:t>
      </w:r>
      <w:r w:rsidRPr="00BE3D44">
        <w:t>enefits in t</w:t>
      </w:r>
      <w:r w:rsidRPr="00872FE4">
        <w:t>he form of payments from a lifetime pension, calculated by reference to defined benefit factors</w:t>
      </w:r>
      <w:r>
        <w:t>.</w:t>
      </w:r>
    </w:p>
    <w:p w14:paraId="5151F5A2" w14:textId="581A46CE" w:rsidR="004F7DD8" w:rsidRPr="00872FE4" w:rsidRDefault="004F7DD8" w:rsidP="004F7DD8">
      <w:pPr>
        <w:pStyle w:val="notetext"/>
      </w:pPr>
      <w:r>
        <w:tab/>
      </w:r>
      <w:r w:rsidRPr="00872FE4">
        <w:t xml:space="preserve">The part of the member’s </w:t>
      </w:r>
      <w:r w:rsidR="007D20C0">
        <w:t xml:space="preserve">superannuation </w:t>
      </w:r>
      <w:r w:rsidRPr="00872FE4">
        <w:t xml:space="preserve">interest </w:t>
      </w:r>
      <w:r w:rsidR="00283D4E">
        <w:t>that gives rise to their</w:t>
      </w:r>
      <w:r w:rsidRPr="00872FE4">
        <w:t xml:space="preserve"> entitlement to </w:t>
      </w:r>
      <w:r>
        <w:t xml:space="preserve">the </w:t>
      </w:r>
      <w:r w:rsidRPr="00872FE4">
        <w:t xml:space="preserve">benefits </w:t>
      </w:r>
      <w:r>
        <w:t xml:space="preserve">mentioned in </w:t>
      </w:r>
      <w:r w:rsidR="00453C86">
        <w:t>paragraph (</w:t>
      </w:r>
      <w:r>
        <w:t xml:space="preserve">a) </w:t>
      </w:r>
      <w:r w:rsidR="0092553F">
        <w:t xml:space="preserve">is </w:t>
      </w:r>
      <w:r w:rsidRPr="00872FE4">
        <w:t xml:space="preserve">one </w:t>
      </w:r>
      <w:r w:rsidRPr="00636276">
        <w:rPr>
          <w:bCs/>
          <w:iCs/>
        </w:rPr>
        <w:t>component</w:t>
      </w:r>
      <w:r w:rsidRPr="00872FE4">
        <w:t xml:space="preserve"> of the interest. The part of the member’s </w:t>
      </w:r>
      <w:r w:rsidR="007D20C0">
        <w:t xml:space="preserve">superannuation </w:t>
      </w:r>
      <w:r w:rsidRPr="00872FE4">
        <w:t xml:space="preserve">interest </w:t>
      </w:r>
      <w:r w:rsidR="00283D4E">
        <w:t>that gives rise to</w:t>
      </w:r>
      <w:r w:rsidRPr="00872FE4">
        <w:t xml:space="preserve"> their entitlement to </w:t>
      </w:r>
      <w:r w:rsidR="00351481">
        <w:t xml:space="preserve">the </w:t>
      </w:r>
      <w:r w:rsidRPr="00872FE4">
        <w:t xml:space="preserve">benefits </w:t>
      </w:r>
      <w:r w:rsidR="007D20C0">
        <w:t xml:space="preserve">mentioned in </w:t>
      </w:r>
      <w:r w:rsidR="00453C86">
        <w:t>paragraph (</w:t>
      </w:r>
      <w:r w:rsidR="007D20C0">
        <w:t xml:space="preserve">b) or (c) </w:t>
      </w:r>
      <w:r w:rsidRPr="00872FE4">
        <w:t xml:space="preserve">is another </w:t>
      </w:r>
      <w:r w:rsidRPr="00636276">
        <w:rPr>
          <w:bCs/>
          <w:iCs/>
        </w:rPr>
        <w:t>component</w:t>
      </w:r>
      <w:r w:rsidRPr="00872FE4">
        <w:t xml:space="preserve"> of the interest.</w:t>
      </w:r>
      <w:r w:rsidR="00446111">
        <w:t xml:space="preserve"> The benefits are not themselves components.</w:t>
      </w:r>
    </w:p>
    <w:p w14:paraId="5049267C" w14:textId="17347922" w:rsidR="00AB5D2F" w:rsidRPr="00872FE4" w:rsidRDefault="00AB5D2F" w:rsidP="00AB5D2F">
      <w:pPr>
        <w:pStyle w:val="notetext"/>
      </w:pPr>
      <w:bookmarkStart w:id="9" w:name="_Hlk177048319"/>
      <w:r w:rsidRPr="00872FE4">
        <w:t>Example 2:</w:t>
      </w:r>
      <w:r>
        <w:tab/>
        <w:t>A</w:t>
      </w:r>
      <w:r w:rsidRPr="00872FE4">
        <w:t xml:space="preserve"> </w:t>
      </w:r>
      <w:r>
        <w:t>person</w:t>
      </w:r>
      <w:r w:rsidRPr="00872FE4">
        <w:t xml:space="preserve"> </w:t>
      </w:r>
      <w:r w:rsidR="009A4237">
        <w:t xml:space="preserve">who </w:t>
      </w:r>
      <w:r w:rsidRPr="00872FE4">
        <w:t xml:space="preserve">has </w:t>
      </w:r>
      <w:r>
        <w:t>a superannuation</w:t>
      </w:r>
      <w:r w:rsidRPr="00872FE4">
        <w:t xml:space="preserve"> interest </w:t>
      </w:r>
      <w:r>
        <w:t>as a member of</w:t>
      </w:r>
      <w:r w:rsidRPr="00872FE4">
        <w:t xml:space="preserve"> a</w:t>
      </w:r>
      <w:r w:rsidR="00283D4E">
        <w:t>n eligible</w:t>
      </w:r>
      <w:r w:rsidRPr="00872FE4">
        <w:t xml:space="preserve"> superannuation plan</w:t>
      </w:r>
      <w:r w:rsidR="009A4237">
        <w:t xml:space="preserve"> </w:t>
      </w:r>
      <w:r w:rsidR="00FB3CF3">
        <w:t xml:space="preserve">has </w:t>
      </w:r>
      <w:r w:rsidR="009A4237">
        <w:t>retire</w:t>
      </w:r>
      <w:r w:rsidR="00FB3CF3">
        <w:t>d</w:t>
      </w:r>
      <w:r w:rsidRPr="00872FE4">
        <w:t xml:space="preserve"> permanently.</w:t>
      </w:r>
      <w:r>
        <w:t xml:space="preserve"> </w:t>
      </w:r>
      <w:r w:rsidR="006A3191">
        <w:t>As a result</w:t>
      </w:r>
      <w:r w:rsidR="00283D4E">
        <w:t>, the member is entitled t</w:t>
      </w:r>
      <w:r w:rsidR="00AE62F5">
        <w:t>o</w:t>
      </w:r>
      <w:r>
        <w:t>:</w:t>
      </w:r>
    </w:p>
    <w:p w14:paraId="3B37B921" w14:textId="358D5B33" w:rsidR="00AE62F5" w:rsidRPr="00F103BF" w:rsidRDefault="00AE62F5" w:rsidP="00AE62F5">
      <w:pPr>
        <w:pStyle w:val="notepara"/>
      </w:pPr>
      <w:r>
        <w:t>(a)</w:t>
      </w:r>
      <w:r>
        <w:tab/>
        <w:t>b</w:t>
      </w:r>
      <w:r w:rsidRPr="00872FE4">
        <w:t xml:space="preserve">enefits </w:t>
      </w:r>
      <w:r w:rsidR="00DF1166">
        <w:t>paid in the form of</w:t>
      </w:r>
      <w:r>
        <w:t xml:space="preserve"> a pension drawn from </w:t>
      </w:r>
      <w:r w:rsidR="00DF1166">
        <w:t>the member’s</w:t>
      </w:r>
      <w:r>
        <w:t xml:space="preserve"> account balance</w:t>
      </w:r>
      <w:r w:rsidR="00F4489B">
        <w:t xml:space="preserve"> and</w:t>
      </w:r>
      <w:r w:rsidRPr="00F103BF">
        <w:t xml:space="preserve"> commenc</w:t>
      </w:r>
      <w:r w:rsidR="00F4489B">
        <w:t>ing</w:t>
      </w:r>
      <w:r w:rsidRPr="00F103BF">
        <w:t xml:space="preserve"> </w:t>
      </w:r>
      <w:r w:rsidR="00F4489B" w:rsidRPr="00BE3D44">
        <w:t xml:space="preserve">at the time of </w:t>
      </w:r>
      <w:r w:rsidR="00F4489B">
        <w:t>retirement</w:t>
      </w:r>
      <w:r>
        <w:t>; and</w:t>
      </w:r>
    </w:p>
    <w:p w14:paraId="63C60266" w14:textId="49608193" w:rsidR="00AE62F5" w:rsidRPr="00872FE4" w:rsidRDefault="00AE62F5" w:rsidP="00AE62F5">
      <w:pPr>
        <w:pStyle w:val="notepara"/>
      </w:pPr>
      <w:r>
        <w:t>(b)</w:t>
      </w:r>
      <w:r>
        <w:tab/>
        <w:t>b</w:t>
      </w:r>
      <w:r w:rsidRPr="00F103BF">
        <w:t xml:space="preserve">enefits </w:t>
      </w:r>
      <w:r w:rsidRPr="00872FE4">
        <w:t xml:space="preserve">payable </w:t>
      </w:r>
      <w:r w:rsidR="00DF1166">
        <w:t>in the form of</w:t>
      </w:r>
      <w:r w:rsidRPr="00872FE4">
        <w:t xml:space="preserve"> a lifetime pension </w:t>
      </w:r>
      <w:r w:rsidR="00DF1166">
        <w:t>only if and when</w:t>
      </w:r>
      <w:r w:rsidRPr="00872FE4">
        <w:t xml:space="preserve"> the member reaches 80</w:t>
      </w:r>
      <w:r>
        <w:t xml:space="preserve"> years of age</w:t>
      </w:r>
      <w:r w:rsidRPr="00872FE4">
        <w:t>.</w:t>
      </w:r>
    </w:p>
    <w:p w14:paraId="6DE43908" w14:textId="324585B3" w:rsidR="00AB5D2F" w:rsidRPr="00872FE4" w:rsidRDefault="00AB5D2F" w:rsidP="00AB5D2F">
      <w:pPr>
        <w:pStyle w:val="notetext"/>
      </w:pPr>
      <w:r>
        <w:tab/>
      </w:r>
      <w:r w:rsidRPr="00872FE4">
        <w:t xml:space="preserve">The part of the member’s </w:t>
      </w:r>
      <w:r w:rsidR="0092553F">
        <w:t xml:space="preserve">superannuation </w:t>
      </w:r>
      <w:r w:rsidRPr="00872FE4">
        <w:t xml:space="preserve">interest </w:t>
      </w:r>
      <w:r w:rsidR="00AE62F5">
        <w:t>that gives rise to</w:t>
      </w:r>
      <w:r w:rsidRPr="00872FE4">
        <w:t xml:space="preserve"> their entitlement to the benefits </w:t>
      </w:r>
      <w:r w:rsidR="0092553F">
        <w:t xml:space="preserve">mentioned in </w:t>
      </w:r>
      <w:r w:rsidR="00453C86">
        <w:t>paragraph (</w:t>
      </w:r>
      <w:r w:rsidR="0092553F">
        <w:t>a</w:t>
      </w:r>
      <w:r w:rsidRPr="00872FE4">
        <w:t xml:space="preserve">) is one </w:t>
      </w:r>
      <w:r w:rsidRPr="00636276">
        <w:rPr>
          <w:bCs/>
          <w:iCs/>
        </w:rPr>
        <w:t>component</w:t>
      </w:r>
      <w:r w:rsidRPr="00872FE4">
        <w:t xml:space="preserve"> of </w:t>
      </w:r>
      <w:r w:rsidR="003C470C">
        <w:t xml:space="preserve">the </w:t>
      </w:r>
      <w:r w:rsidRPr="00872FE4">
        <w:t xml:space="preserve">interest. The part of the member’s </w:t>
      </w:r>
      <w:r w:rsidR="0092553F">
        <w:t xml:space="preserve">superannuation </w:t>
      </w:r>
      <w:r w:rsidRPr="00872FE4">
        <w:t xml:space="preserve">interest </w:t>
      </w:r>
      <w:r w:rsidR="00AE62F5">
        <w:t>that may give rise to</w:t>
      </w:r>
      <w:r w:rsidR="0092553F">
        <w:t xml:space="preserve"> </w:t>
      </w:r>
      <w:r w:rsidR="00351481">
        <w:t xml:space="preserve">their entitlement to </w:t>
      </w:r>
      <w:r w:rsidR="0092553F">
        <w:t>the benef</w:t>
      </w:r>
      <w:r w:rsidRPr="00872FE4">
        <w:t xml:space="preserve">its </w:t>
      </w:r>
      <w:r w:rsidR="0092553F">
        <w:t xml:space="preserve">mentioned in </w:t>
      </w:r>
      <w:r w:rsidR="00453C86">
        <w:t>paragraph (</w:t>
      </w:r>
      <w:r w:rsidR="0092553F">
        <w:t xml:space="preserve">b) </w:t>
      </w:r>
      <w:r w:rsidRPr="00872FE4">
        <w:t xml:space="preserve">is another </w:t>
      </w:r>
      <w:r w:rsidRPr="00636276">
        <w:rPr>
          <w:bCs/>
          <w:iCs/>
        </w:rPr>
        <w:t>component</w:t>
      </w:r>
      <w:r w:rsidRPr="00872FE4">
        <w:t xml:space="preserve"> of the interest.</w:t>
      </w:r>
      <w:r w:rsidR="0092553F">
        <w:t xml:space="preserve"> The benefits are not themselves components.</w:t>
      </w:r>
    </w:p>
    <w:bookmarkEnd w:id="9"/>
    <w:p w14:paraId="676CDED1" w14:textId="77777777" w:rsidR="00AB37C0" w:rsidRDefault="00AB37C0" w:rsidP="00AB37C0">
      <w:pPr>
        <w:pStyle w:val="subsection"/>
        <w:rPr>
          <w:b/>
          <w:bCs/>
          <w:i/>
          <w:iCs/>
          <w:szCs w:val="22"/>
        </w:rPr>
      </w:pPr>
      <w:r>
        <w:tab/>
        <w:t>(3)</w:t>
      </w:r>
      <w:r>
        <w:tab/>
        <w:t>Subsections (1) and (2) apply despite any other law.</w:t>
      </w:r>
    </w:p>
    <w:p w14:paraId="56ACDBF4" w14:textId="64FCB430" w:rsidR="00D930D9" w:rsidRPr="00A058B6" w:rsidRDefault="00485CC2" w:rsidP="00D930D9">
      <w:pPr>
        <w:pStyle w:val="ActHead5"/>
      </w:pPr>
      <w:bookmarkStart w:id="10" w:name="_Toc188350499"/>
      <w:r w:rsidRPr="00423C34">
        <w:rPr>
          <w:rStyle w:val="CharSectno"/>
        </w:rPr>
        <w:t>6</w:t>
      </w:r>
      <w:r w:rsidR="00D930D9" w:rsidRPr="00A058B6">
        <w:t xml:space="preserve">  Meaning of </w:t>
      </w:r>
      <w:r w:rsidR="00D930D9" w:rsidRPr="00A058B6">
        <w:rPr>
          <w:i/>
        </w:rPr>
        <w:t>defined benefit interest</w:t>
      </w:r>
      <w:bookmarkEnd w:id="10"/>
    </w:p>
    <w:p w14:paraId="407F0C49" w14:textId="77777777" w:rsidR="00D930D9" w:rsidRPr="00A058B6" w:rsidRDefault="00D930D9" w:rsidP="00D930D9">
      <w:pPr>
        <w:pStyle w:val="subsection"/>
      </w:pPr>
      <w:r w:rsidRPr="00A058B6">
        <w:tab/>
        <w:t>(1)</w:t>
      </w:r>
      <w:r w:rsidRPr="00A058B6">
        <w:tab/>
        <w:t xml:space="preserve">A </w:t>
      </w:r>
      <w:r w:rsidRPr="00A058B6">
        <w:rPr>
          <w:b/>
          <w:bCs/>
          <w:i/>
          <w:iCs/>
        </w:rPr>
        <w:t>defined benefit interest</w:t>
      </w:r>
      <w:r w:rsidRPr="00A058B6">
        <w:t xml:space="preserve"> is:</w:t>
      </w:r>
    </w:p>
    <w:p w14:paraId="650734E5" w14:textId="77777777" w:rsidR="00D930D9" w:rsidRPr="00A058B6" w:rsidRDefault="00D930D9" w:rsidP="00D930D9">
      <w:pPr>
        <w:pStyle w:val="paragraph"/>
      </w:pPr>
      <w:r w:rsidRPr="00A058B6">
        <w:tab/>
        <w:t>(a)</w:t>
      </w:r>
      <w:r w:rsidRPr="00A058B6">
        <w:tab/>
        <w:t>a superannuation interest that:</w:t>
      </w:r>
    </w:p>
    <w:p w14:paraId="60851001" w14:textId="77777777" w:rsidR="00D930D9" w:rsidRPr="00A058B6" w:rsidRDefault="00D930D9" w:rsidP="00D930D9">
      <w:pPr>
        <w:pStyle w:val="paragraphsub"/>
      </w:pPr>
      <w:r w:rsidRPr="00A058B6">
        <w:tab/>
        <w:t>(i)</w:t>
      </w:r>
      <w:r w:rsidRPr="00A058B6">
        <w:tab/>
        <w:t>a member spouse has in an eligible superannuation plan; and</w:t>
      </w:r>
    </w:p>
    <w:p w14:paraId="6BC3D5E5" w14:textId="1EE39870" w:rsidR="00D930D9" w:rsidRPr="00A058B6" w:rsidRDefault="00D930D9" w:rsidP="00D930D9">
      <w:pPr>
        <w:pStyle w:val="paragraphsub"/>
      </w:pPr>
      <w:r w:rsidRPr="00A058B6">
        <w:tab/>
        <w:t>(ii)</w:t>
      </w:r>
      <w:r w:rsidRPr="00A058B6">
        <w:tab/>
        <w:t xml:space="preserve">is an interest in respect of the whole of which the member spouse is entitled, when benefits in respect of the interest become payable, to be paid a benefit that is, or may be, defined by reference to one or more of the amounts or factors mentioned in </w:t>
      </w:r>
      <w:r w:rsidR="00A52DA5">
        <w:t>subsection (</w:t>
      </w:r>
      <w:r w:rsidRPr="00A058B6">
        <w:t>3); or</w:t>
      </w:r>
    </w:p>
    <w:p w14:paraId="52F1A2BC" w14:textId="77777777" w:rsidR="00D930D9" w:rsidRPr="00A058B6" w:rsidRDefault="00D930D9" w:rsidP="00D930D9">
      <w:pPr>
        <w:pStyle w:val="paragraph"/>
      </w:pPr>
      <w:r w:rsidRPr="00A058B6">
        <w:tab/>
        <w:t>(b)</w:t>
      </w:r>
      <w:r w:rsidRPr="00A058B6">
        <w:tab/>
        <w:t>a component of a superannuation interest that:</w:t>
      </w:r>
    </w:p>
    <w:p w14:paraId="1AFCD98B" w14:textId="77777777" w:rsidR="00D930D9" w:rsidRPr="00A058B6" w:rsidRDefault="00D930D9" w:rsidP="00D930D9">
      <w:pPr>
        <w:pStyle w:val="paragraphsub"/>
      </w:pPr>
      <w:r w:rsidRPr="00A058B6">
        <w:tab/>
        <w:t>(i)</w:t>
      </w:r>
      <w:r w:rsidRPr="00A058B6">
        <w:tab/>
        <w:t>a member spouse has in an eligible superannuation plan; and</w:t>
      </w:r>
    </w:p>
    <w:p w14:paraId="71327BC4" w14:textId="0527006B" w:rsidR="00D930D9" w:rsidRPr="00A058B6" w:rsidRDefault="00D930D9" w:rsidP="00D930D9">
      <w:pPr>
        <w:pStyle w:val="paragraphsub"/>
      </w:pPr>
      <w:r w:rsidRPr="00A058B6">
        <w:tab/>
        <w:t>(ii)</w:t>
      </w:r>
      <w:r w:rsidRPr="00A058B6">
        <w:tab/>
        <w:t xml:space="preserve">is a component in respect of which the member spouse is entitled, when benefits in respect of the interest become payable, to be paid a benefit that is, or may be, defined by reference to one or more of the amounts or factors mentioned in </w:t>
      </w:r>
      <w:r w:rsidR="00A52DA5">
        <w:t>subsection (</w:t>
      </w:r>
      <w:r w:rsidRPr="00A058B6">
        <w:t>3); or</w:t>
      </w:r>
    </w:p>
    <w:p w14:paraId="38C2F8FA" w14:textId="77777777" w:rsidR="00D930D9" w:rsidRPr="00A058B6" w:rsidRDefault="00D930D9" w:rsidP="00D930D9">
      <w:pPr>
        <w:pStyle w:val="paragraph"/>
      </w:pPr>
      <w:r w:rsidRPr="00A058B6">
        <w:tab/>
        <w:t>(c)</w:t>
      </w:r>
      <w:r w:rsidRPr="00A058B6">
        <w:tab/>
        <w:t>a superannuation interest that:</w:t>
      </w:r>
    </w:p>
    <w:p w14:paraId="2AD66284" w14:textId="77777777" w:rsidR="00D930D9" w:rsidRPr="00A058B6" w:rsidRDefault="00D930D9" w:rsidP="00D930D9">
      <w:pPr>
        <w:pStyle w:val="paragraphsub"/>
      </w:pPr>
      <w:r w:rsidRPr="00A058B6">
        <w:tab/>
        <w:t>(i)</w:t>
      </w:r>
      <w:r w:rsidRPr="00A058B6">
        <w:tab/>
        <w:t xml:space="preserve">a member spouse has in the scheme provided for by the </w:t>
      </w:r>
      <w:r w:rsidRPr="00A058B6">
        <w:rPr>
          <w:i/>
        </w:rPr>
        <w:t>Australian Defence Force Cover Act 2015</w:t>
      </w:r>
      <w:r w:rsidRPr="00A058B6">
        <w:t>; and</w:t>
      </w:r>
    </w:p>
    <w:p w14:paraId="7D8E37AB" w14:textId="77777777" w:rsidR="00D930D9" w:rsidRPr="00A058B6" w:rsidRDefault="00D930D9" w:rsidP="00D930D9">
      <w:pPr>
        <w:pStyle w:val="paragraphsub"/>
      </w:pPr>
      <w:r w:rsidRPr="00A058B6">
        <w:tab/>
        <w:t>(ii)</w:t>
      </w:r>
      <w:r w:rsidRPr="00A058B6">
        <w:tab/>
        <w:t>is in the payment phase</w:t>
      </w:r>
      <w:r w:rsidR="00D876A3">
        <w:t>; or</w:t>
      </w:r>
    </w:p>
    <w:p w14:paraId="53FA9388" w14:textId="77777777" w:rsidR="005453C1" w:rsidRPr="00A058B6" w:rsidRDefault="005453C1" w:rsidP="005453C1">
      <w:pPr>
        <w:pStyle w:val="paragraph"/>
      </w:pPr>
      <w:bookmarkStart w:id="11" w:name="_Hlk122624900"/>
      <w:bookmarkStart w:id="12" w:name="_Hlk125726382"/>
      <w:r w:rsidRPr="00A058B6">
        <w:tab/>
        <w:t>(</w:t>
      </w:r>
      <w:r w:rsidR="00D876A3">
        <w:t>d</w:t>
      </w:r>
      <w:r w:rsidRPr="00A058B6">
        <w:t>)</w:t>
      </w:r>
      <w:r w:rsidRPr="00A058B6">
        <w:tab/>
        <w:t>a superannuation interest that:</w:t>
      </w:r>
    </w:p>
    <w:p w14:paraId="4EFA9E59" w14:textId="77777777" w:rsidR="005453C1" w:rsidRPr="00A058B6" w:rsidRDefault="005453C1" w:rsidP="005453C1">
      <w:pPr>
        <w:pStyle w:val="paragraphsub"/>
      </w:pPr>
      <w:r w:rsidRPr="00A058B6">
        <w:tab/>
        <w:t>(i)</w:t>
      </w:r>
      <w:r w:rsidRPr="00A058B6">
        <w:tab/>
        <w:t xml:space="preserve">a member spouse has in the scheme provided for by </w:t>
      </w:r>
      <w:r w:rsidR="00881039">
        <w:t>Division 3</w:t>
      </w:r>
      <w:r w:rsidR="00D876A3">
        <w:t xml:space="preserve"> of </w:t>
      </w:r>
      <w:r w:rsidR="00881039">
        <w:t>Part 1</w:t>
      </w:r>
      <w:r w:rsidR="00D876A3">
        <w:t xml:space="preserve"> of </w:t>
      </w:r>
      <w:r w:rsidR="00881039">
        <w:t>Chapter 4</w:t>
      </w:r>
      <w:r w:rsidR="00D876A3">
        <w:t xml:space="preserve"> of </w:t>
      </w:r>
      <w:r w:rsidRPr="00A058B6">
        <w:t xml:space="preserve">the </w:t>
      </w:r>
      <w:r w:rsidR="00D876A3" w:rsidRPr="00D876A3">
        <w:rPr>
          <w:i/>
        </w:rPr>
        <w:t>Federal Circuit and Family Court of Australia Act 2021</w:t>
      </w:r>
      <w:r w:rsidRPr="00A058B6">
        <w:t>; and</w:t>
      </w:r>
    </w:p>
    <w:p w14:paraId="7F99A348" w14:textId="77777777" w:rsidR="005453C1" w:rsidRPr="00A058B6" w:rsidRDefault="005453C1" w:rsidP="005453C1">
      <w:pPr>
        <w:pStyle w:val="paragraphsub"/>
      </w:pPr>
      <w:r w:rsidRPr="00A058B6">
        <w:tab/>
        <w:t>(ii)</w:t>
      </w:r>
      <w:r w:rsidRPr="00A058B6">
        <w:tab/>
        <w:t>is in the payment phase</w:t>
      </w:r>
      <w:r>
        <w:t>.</w:t>
      </w:r>
    </w:p>
    <w:p w14:paraId="4419F106" w14:textId="43CA9BD4" w:rsidR="00D930D9" w:rsidRPr="00A058B6" w:rsidRDefault="00D930D9" w:rsidP="00D930D9">
      <w:pPr>
        <w:pStyle w:val="subsection"/>
      </w:pPr>
      <w:r w:rsidRPr="00A058B6">
        <w:tab/>
      </w:r>
      <w:r w:rsidRPr="00A058B6">
        <w:rPr>
          <w:lang w:eastAsia="en-US"/>
        </w:rPr>
        <w:t>(2)</w:t>
      </w:r>
      <w:r w:rsidRPr="00A058B6">
        <w:rPr>
          <w:lang w:eastAsia="en-US"/>
        </w:rPr>
        <w:tab/>
        <w:t xml:space="preserve">However, </w:t>
      </w:r>
      <w:r w:rsidRPr="00A058B6">
        <w:t xml:space="preserve">a superannuation interest, or a component of a superannuation interest, is not a </w:t>
      </w:r>
      <w:r w:rsidRPr="00A058B6">
        <w:rPr>
          <w:b/>
          <w:i/>
        </w:rPr>
        <w:t>defined benefit interest</w:t>
      </w:r>
      <w:r w:rsidRPr="00A058B6">
        <w:t xml:space="preserve"> because of </w:t>
      </w:r>
      <w:r w:rsidR="00453C86">
        <w:t>paragraph (</w:t>
      </w:r>
      <w:r w:rsidRPr="00A058B6">
        <w:t>1)(a) or (b) if:</w:t>
      </w:r>
    </w:p>
    <w:p w14:paraId="3240545D" w14:textId="0C87D13C" w:rsidR="00D930D9" w:rsidRPr="00A058B6" w:rsidRDefault="00D930D9" w:rsidP="00D930D9">
      <w:pPr>
        <w:pStyle w:val="paragraph"/>
      </w:pPr>
      <w:r w:rsidRPr="00A058B6">
        <w:lastRenderedPageBreak/>
        <w:tab/>
        <w:t>(a)</w:t>
      </w:r>
      <w:r w:rsidRPr="00A058B6">
        <w:tab/>
        <w:t xml:space="preserve">the only benefits payable in respect of the interest or component that are defined by reference to one or more of the amounts or factors mentioned in </w:t>
      </w:r>
      <w:r w:rsidR="00A52DA5">
        <w:t>subsection (</w:t>
      </w:r>
      <w:r w:rsidRPr="00A058B6">
        <w:t>3) are benefits payable on death or invalidity; and</w:t>
      </w:r>
    </w:p>
    <w:p w14:paraId="68F13DD0" w14:textId="36B5A384" w:rsidR="00D930D9" w:rsidRPr="00A058B6" w:rsidRDefault="00D930D9" w:rsidP="00D930D9">
      <w:pPr>
        <w:pStyle w:val="paragraph"/>
      </w:pPr>
      <w:r w:rsidRPr="00A058B6">
        <w:tab/>
        <w:t>(b)</w:t>
      </w:r>
      <w:r w:rsidRPr="00A058B6">
        <w:tab/>
        <w:t xml:space="preserve">there are no other circumstances in which benefits payable in respect of the interest or component are, or could have been, defined by reference to the amounts or factors mentioned in </w:t>
      </w:r>
      <w:r w:rsidR="00A52DA5">
        <w:t>subsection (</w:t>
      </w:r>
      <w:r w:rsidRPr="00A058B6">
        <w:t>3)</w:t>
      </w:r>
      <w:r w:rsidR="00D7157D">
        <w:t>.</w:t>
      </w:r>
    </w:p>
    <w:bookmarkEnd w:id="11"/>
    <w:bookmarkEnd w:id="12"/>
    <w:p w14:paraId="09DD4017" w14:textId="77777777" w:rsidR="00D930D9" w:rsidRPr="00A058B6" w:rsidRDefault="00D930D9" w:rsidP="00D930D9">
      <w:pPr>
        <w:pStyle w:val="notetext"/>
      </w:pPr>
      <w:r w:rsidRPr="00A058B6">
        <w:t>Note 1:</w:t>
      </w:r>
      <w:r w:rsidRPr="00A058B6">
        <w:tab/>
        <w:t>This subsection has the effect that paragraphs (1)(a) and (b) do not apply to a superannuation interest or component if defined benefit factors:</w:t>
      </w:r>
    </w:p>
    <w:p w14:paraId="07F05893" w14:textId="77777777" w:rsidR="00D930D9" w:rsidRPr="00A058B6" w:rsidRDefault="00D930D9" w:rsidP="00D930D9">
      <w:pPr>
        <w:pStyle w:val="notepara"/>
      </w:pPr>
      <w:r w:rsidRPr="00A058B6">
        <w:t>(a)</w:t>
      </w:r>
      <w:r w:rsidRPr="00A058B6">
        <w:tab/>
        <w:t>are only used to calculate death or invalidity benefits in respect of the interest or component; and</w:t>
      </w:r>
    </w:p>
    <w:p w14:paraId="2A82A4F1" w14:textId="77777777" w:rsidR="00D930D9" w:rsidRPr="00A058B6" w:rsidRDefault="00D930D9" w:rsidP="00D930D9">
      <w:pPr>
        <w:pStyle w:val="notepara"/>
      </w:pPr>
      <w:r w:rsidRPr="00A058B6">
        <w:t>(b)</w:t>
      </w:r>
      <w:r w:rsidRPr="00A058B6">
        <w:tab/>
        <w:t>would not be used to calculate benefits in respect of the interest or component that would become payable in other circumstances, such as on age retirement or the termination of employment</w:t>
      </w:r>
      <w:r w:rsidR="00D7157D">
        <w:t>.</w:t>
      </w:r>
    </w:p>
    <w:p w14:paraId="70FE8B76" w14:textId="2BEF073D" w:rsidR="00D930D9" w:rsidRPr="00A058B6" w:rsidRDefault="00D930D9" w:rsidP="00D930D9">
      <w:pPr>
        <w:pStyle w:val="notetext"/>
      </w:pPr>
      <w:r w:rsidRPr="00A058B6">
        <w:t>Note 2:</w:t>
      </w:r>
      <w:r w:rsidRPr="00A058B6">
        <w:tab/>
        <w:t xml:space="preserve">However, this subsection does not prevent a superannuation interest or component mentioned in </w:t>
      </w:r>
      <w:r w:rsidR="00453C86">
        <w:t>paragraph (</w:t>
      </w:r>
      <w:r w:rsidRPr="00A058B6">
        <w:t xml:space="preserve">1)(c) </w:t>
      </w:r>
      <w:r w:rsidR="00FB5649">
        <w:t xml:space="preserve">or (d) </w:t>
      </w:r>
      <w:r w:rsidRPr="00A058B6">
        <w:t xml:space="preserve">being a defined benefit interest for the purposes of </w:t>
      </w:r>
      <w:r w:rsidR="00340C2C">
        <w:t>this instrument</w:t>
      </w:r>
      <w:r w:rsidRPr="00A058B6">
        <w:t xml:space="preserve"> (even if </w:t>
      </w:r>
      <w:r w:rsidR="00453C86">
        <w:t>paragraph (</w:t>
      </w:r>
      <w:r w:rsidRPr="00A058B6">
        <w:t>1)(a) or (b) could also apply to the superannuation interest or component)</w:t>
      </w:r>
      <w:r w:rsidR="00D7157D">
        <w:t>.</w:t>
      </w:r>
    </w:p>
    <w:p w14:paraId="70392CDE" w14:textId="0EC90A96" w:rsidR="00D930D9" w:rsidRPr="00A058B6" w:rsidRDefault="00D930D9" w:rsidP="00D930D9">
      <w:pPr>
        <w:pStyle w:val="notetext"/>
      </w:pPr>
      <w:r w:rsidRPr="00A058B6">
        <w:t>Example 1:</w:t>
      </w:r>
      <w:r w:rsidRPr="00A058B6">
        <w:tab/>
        <w:t>Benefits in respect of a superannuation interest of a member spouse are payable on retirement based on the balance of the member’s account</w:t>
      </w:r>
      <w:r w:rsidR="00D7157D">
        <w:t>.</w:t>
      </w:r>
      <w:r w:rsidRPr="00A058B6">
        <w:t xml:space="preserve"> However, on death or invalidity the benefit is to be defined by reference to amounts or factors mentioned in </w:t>
      </w:r>
      <w:r w:rsidR="00A52DA5">
        <w:t>subsection (</w:t>
      </w:r>
      <w:r w:rsidRPr="00A058B6">
        <w:t>3)</w:t>
      </w:r>
      <w:r w:rsidR="00D7157D">
        <w:t>.</w:t>
      </w:r>
      <w:r w:rsidRPr="00A058B6">
        <w:t xml:space="preserve"> The member retires on invalidity and the benefits that become payable to the member are then defined by reference to those amounts or factors</w:t>
      </w:r>
      <w:r w:rsidR="00D7157D">
        <w:t>.</w:t>
      </w:r>
      <w:r w:rsidRPr="00A058B6">
        <w:t xml:space="preserve"> The superannuation interest is not a defined benefit interest because defined benefit factors only applied, and could only have applied, in the circumstance of the death or invalidity of the member spouse</w:t>
      </w:r>
      <w:r w:rsidR="00D7157D">
        <w:t>.</w:t>
      </w:r>
    </w:p>
    <w:p w14:paraId="5C7B3C5B" w14:textId="2BF6A4E2" w:rsidR="00D930D9" w:rsidRPr="00A058B6" w:rsidRDefault="00D930D9" w:rsidP="00D930D9">
      <w:pPr>
        <w:pStyle w:val="notetext"/>
      </w:pPr>
      <w:r w:rsidRPr="00A058B6">
        <w:t>Example 2:</w:t>
      </w:r>
      <w:r w:rsidRPr="00A058B6">
        <w:tab/>
        <w:t xml:space="preserve">Benefits in respect of a component of a superannuation interest of a member spouse are payable in a range of circumstances, including death, invalidity or retirement, and are to be defined by reference to amounts or factors mentioned in </w:t>
      </w:r>
      <w:r w:rsidR="00A52DA5">
        <w:t>subsection (</w:t>
      </w:r>
      <w:r w:rsidRPr="00A058B6">
        <w:t>3)</w:t>
      </w:r>
      <w:r w:rsidR="00D7157D">
        <w:t>.</w:t>
      </w:r>
      <w:r w:rsidRPr="00A058B6">
        <w:t xml:space="preserve"> The component is a defined benefit interest because death or invalidity are not the only circumstances in which defined benefit factors are, or could be, applied to calculate the benefits in respect of the interest</w:t>
      </w:r>
      <w:r w:rsidR="00D7157D">
        <w:t>.</w:t>
      </w:r>
    </w:p>
    <w:p w14:paraId="7EC744B3" w14:textId="77777777" w:rsidR="00D930D9" w:rsidRPr="00A058B6" w:rsidRDefault="00D930D9" w:rsidP="00D930D9">
      <w:pPr>
        <w:pStyle w:val="subsection"/>
      </w:pPr>
      <w:r w:rsidRPr="00A058B6">
        <w:tab/>
        <w:t>(3)</w:t>
      </w:r>
      <w:r w:rsidRPr="00A058B6">
        <w:tab/>
        <w:t>For the purposes of subsections (1) and (2), the amounts and factors are as follows:</w:t>
      </w:r>
    </w:p>
    <w:p w14:paraId="3DA37878" w14:textId="77777777" w:rsidR="00D930D9" w:rsidRPr="00A058B6" w:rsidRDefault="00D930D9" w:rsidP="00D930D9">
      <w:pPr>
        <w:pStyle w:val="paragraph"/>
      </w:pPr>
      <w:r w:rsidRPr="00A058B6">
        <w:tab/>
        <w:t>(a)</w:t>
      </w:r>
      <w:r w:rsidRPr="00A058B6">
        <w:tab/>
        <w:t>the amount of:</w:t>
      </w:r>
    </w:p>
    <w:p w14:paraId="43516DBC" w14:textId="77777777" w:rsidR="00D930D9" w:rsidRPr="00A058B6" w:rsidRDefault="00D930D9" w:rsidP="00D930D9">
      <w:pPr>
        <w:pStyle w:val="paragraphsub"/>
      </w:pPr>
      <w:r w:rsidRPr="00A058B6">
        <w:tab/>
        <w:t>(i)</w:t>
      </w:r>
      <w:r w:rsidRPr="00A058B6">
        <w:tab/>
        <w:t>the member spouse’s salary at the date of the termination of the member spouse’s employment, the date of the member spouse’s retirement, or another date; or</w:t>
      </w:r>
    </w:p>
    <w:p w14:paraId="25EB8C7B" w14:textId="77777777" w:rsidR="00D930D9" w:rsidRPr="00A058B6" w:rsidRDefault="00D930D9" w:rsidP="00D930D9">
      <w:pPr>
        <w:pStyle w:val="paragraphsub"/>
      </w:pPr>
      <w:r w:rsidRPr="00A058B6">
        <w:tab/>
        <w:t>(ii)</w:t>
      </w:r>
      <w:r w:rsidRPr="00A058B6">
        <w:tab/>
        <w:t>the member spouse’s salary averaged over a period;</w:t>
      </w:r>
    </w:p>
    <w:p w14:paraId="58791396" w14:textId="77777777" w:rsidR="00D930D9" w:rsidRPr="00A058B6" w:rsidRDefault="00D930D9" w:rsidP="00D930D9">
      <w:pPr>
        <w:pStyle w:val="paragraph"/>
      </w:pPr>
      <w:r w:rsidRPr="00A058B6">
        <w:tab/>
        <w:t>(b)</w:t>
      </w:r>
      <w:r w:rsidRPr="00A058B6">
        <w:tab/>
        <w:t>the amount of salary, or allowance in the nature of salary, payable to another person (for example, a judicial officer, a member of the Commonwealth or a State Parliament, or a member of the Legislative Assembly of a Territory);</w:t>
      </w:r>
    </w:p>
    <w:p w14:paraId="37F15794" w14:textId="77777777" w:rsidR="00D930D9" w:rsidRPr="00A058B6" w:rsidRDefault="00D930D9" w:rsidP="00D930D9">
      <w:pPr>
        <w:pStyle w:val="paragraph"/>
      </w:pPr>
      <w:r w:rsidRPr="00A058B6">
        <w:tab/>
        <w:t>(c)</w:t>
      </w:r>
      <w:r w:rsidRPr="00A058B6">
        <w:tab/>
        <w:t>a specified amount;</w:t>
      </w:r>
    </w:p>
    <w:p w14:paraId="40B9ACCC" w14:textId="77777777" w:rsidR="00D930D9" w:rsidRPr="00A058B6" w:rsidRDefault="00D930D9" w:rsidP="00D930D9">
      <w:pPr>
        <w:pStyle w:val="paragraph"/>
      </w:pPr>
      <w:r w:rsidRPr="00A058B6">
        <w:tab/>
        <w:t>(d)</w:t>
      </w:r>
      <w:r w:rsidRPr="00A058B6">
        <w:tab/>
        <w:t>specified conversion factors</w:t>
      </w:r>
      <w:r w:rsidR="00D7157D">
        <w:t>.</w:t>
      </w:r>
    </w:p>
    <w:p w14:paraId="2E26D465" w14:textId="2DFFADD0" w:rsidR="00D930D9" w:rsidRPr="00A058B6" w:rsidRDefault="00485CC2" w:rsidP="00D930D9">
      <w:pPr>
        <w:pStyle w:val="ActHead5"/>
      </w:pPr>
      <w:bookmarkStart w:id="13" w:name="_Toc188350500"/>
      <w:r w:rsidRPr="00423C34">
        <w:rPr>
          <w:rStyle w:val="CharSectno"/>
        </w:rPr>
        <w:t>7</w:t>
      </w:r>
      <w:r w:rsidR="00D930D9" w:rsidRPr="00A058B6">
        <w:t xml:space="preserve">  Meaning of </w:t>
      </w:r>
      <w:r w:rsidR="00D930D9" w:rsidRPr="00A058B6">
        <w:rPr>
          <w:i/>
        </w:rPr>
        <w:t>growth phase</w:t>
      </w:r>
      <w:r w:rsidR="00D930D9" w:rsidRPr="00A058B6">
        <w:t>—superannuation interests in regulated superannuation funds, approved deposit funds and RSAs</w:t>
      </w:r>
      <w:bookmarkEnd w:id="13"/>
    </w:p>
    <w:p w14:paraId="22AEE8B5" w14:textId="77777777" w:rsidR="00D930D9" w:rsidRPr="00A058B6" w:rsidRDefault="00D930D9" w:rsidP="00D930D9">
      <w:pPr>
        <w:pStyle w:val="subsection"/>
      </w:pPr>
      <w:r w:rsidRPr="00A058B6">
        <w:tab/>
        <w:t>(1)</w:t>
      </w:r>
      <w:r w:rsidRPr="00A058B6">
        <w:tab/>
        <w:t>This section applies to a superannuation interest of a member spouse in any of the following eligible superannuation plans:</w:t>
      </w:r>
    </w:p>
    <w:p w14:paraId="2B221C35" w14:textId="77777777" w:rsidR="00D930D9" w:rsidRPr="00A058B6" w:rsidRDefault="00D930D9" w:rsidP="00D930D9">
      <w:pPr>
        <w:pStyle w:val="paragraph"/>
      </w:pPr>
      <w:r w:rsidRPr="00A058B6">
        <w:tab/>
        <w:t>(a)</w:t>
      </w:r>
      <w:r w:rsidRPr="00A058B6">
        <w:tab/>
        <w:t>a regulated superannuation fund;</w:t>
      </w:r>
    </w:p>
    <w:p w14:paraId="56A0D66C" w14:textId="77777777" w:rsidR="00D930D9" w:rsidRPr="00A058B6" w:rsidRDefault="00D930D9" w:rsidP="00D930D9">
      <w:pPr>
        <w:pStyle w:val="paragraph"/>
      </w:pPr>
      <w:r w:rsidRPr="00A058B6">
        <w:tab/>
        <w:t>(b)</w:t>
      </w:r>
      <w:r w:rsidRPr="00A058B6">
        <w:tab/>
        <w:t>an approved deposit fund;</w:t>
      </w:r>
    </w:p>
    <w:p w14:paraId="734EDDC6" w14:textId="77777777" w:rsidR="00D930D9" w:rsidRPr="00A058B6" w:rsidRDefault="00D930D9" w:rsidP="00D930D9">
      <w:pPr>
        <w:pStyle w:val="paragraph"/>
      </w:pPr>
      <w:r w:rsidRPr="00A058B6">
        <w:lastRenderedPageBreak/>
        <w:tab/>
        <w:t>(c)</w:t>
      </w:r>
      <w:r w:rsidRPr="00A058B6">
        <w:tab/>
        <w:t>an RSA</w:t>
      </w:r>
      <w:r w:rsidR="00D7157D">
        <w:t>.</w:t>
      </w:r>
    </w:p>
    <w:p w14:paraId="339EEE64" w14:textId="5E5C78C5" w:rsidR="00D930D9" w:rsidRPr="00A058B6" w:rsidRDefault="00D930D9" w:rsidP="00D930D9">
      <w:pPr>
        <w:pStyle w:val="subsection"/>
      </w:pPr>
      <w:r w:rsidRPr="00A058B6">
        <w:tab/>
        <w:t>(2)</w:t>
      </w:r>
      <w:r w:rsidRPr="00A058B6">
        <w:tab/>
        <w:t xml:space="preserve">The superannuation interest, or a component of the interest, is in the </w:t>
      </w:r>
      <w:r w:rsidRPr="00A058B6">
        <w:rPr>
          <w:b/>
          <w:i/>
        </w:rPr>
        <w:t>growth phase</w:t>
      </w:r>
      <w:r w:rsidRPr="00A058B6">
        <w:t xml:space="preserve"> at a particular date if, at that date, the member spouse satisfies the requirements of </w:t>
      </w:r>
      <w:r w:rsidR="00A52DA5">
        <w:t>subsection (</w:t>
      </w:r>
      <w:r w:rsidRPr="00A058B6">
        <w:t>3), (4) or (5)</w:t>
      </w:r>
      <w:r w:rsidR="00D7157D">
        <w:t>.</w:t>
      </w:r>
    </w:p>
    <w:p w14:paraId="732C36BC" w14:textId="77777777" w:rsidR="00D930D9" w:rsidRPr="00A058B6" w:rsidRDefault="00D930D9" w:rsidP="00D930D9">
      <w:pPr>
        <w:pStyle w:val="subsection"/>
      </w:pPr>
      <w:r w:rsidRPr="00A058B6">
        <w:tab/>
        <w:t>(3)</w:t>
      </w:r>
      <w:r w:rsidRPr="00A058B6">
        <w:tab/>
        <w:t>A member spouse satisfies the requirements of this subsection at a particular date if, at that date, the member spouse has not satisfied a relevant condition of release for the superannuation interest or the component of the interest</w:t>
      </w:r>
      <w:r w:rsidR="00D7157D">
        <w:t>.</w:t>
      </w:r>
    </w:p>
    <w:p w14:paraId="023CC449" w14:textId="28B2EC99" w:rsidR="00D930D9" w:rsidRPr="00A058B6" w:rsidRDefault="00D930D9" w:rsidP="00D930D9">
      <w:pPr>
        <w:pStyle w:val="notetext"/>
      </w:pPr>
      <w:r w:rsidRPr="00A058B6">
        <w:t>Note:</w:t>
      </w:r>
      <w:r w:rsidRPr="00A058B6">
        <w:tab/>
        <w:t xml:space="preserve">For the meaning of </w:t>
      </w:r>
      <w:r w:rsidRPr="00A058B6">
        <w:rPr>
          <w:b/>
          <w:i/>
        </w:rPr>
        <w:t>satisfies a relevant condition of release</w:t>
      </w:r>
      <w:r w:rsidRPr="00A058B6">
        <w:t xml:space="preserve">, see </w:t>
      </w:r>
      <w:r w:rsidR="00A52DA5">
        <w:t>subsection (</w:t>
      </w:r>
      <w:r w:rsidRPr="00A058B6">
        <w:t>6)</w:t>
      </w:r>
      <w:r w:rsidR="00D7157D">
        <w:t>.</w:t>
      </w:r>
    </w:p>
    <w:p w14:paraId="7042CCE7" w14:textId="77777777" w:rsidR="00D930D9" w:rsidRPr="00A058B6" w:rsidRDefault="00D930D9" w:rsidP="00D930D9">
      <w:pPr>
        <w:pStyle w:val="subsection"/>
      </w:pPr>
      <w:r w:rsidRPr="00A058B6">
        <w:tab/>
        <w:t>(4)</w:t>
      </w:r>
      <w:r w:rsidRPr="00A058B6">
        <w:tab/>
        <w:t>A member spouse satisfies the requirements of this subsection at a particular date if, at that date:</w:t>
      </w:r>
    </w:p>
    <w:p w14:paraId="4DBBB673" w14:textId="77777777" w:rsidR="00D930D9" w:rsidRPr="00A058B6" w:rsidRDefault="00D930D9" w:rsidP="00D930D9">
      <w:pPr>
        <w:pStyle w:val="paragraph"/>
      </w:pPr>
      <w:r w:rsidRPr="00A058B6">
        <w:tab/>
        <w:t>(a)</w:t>
      </w:r>
      <w:r w:rsidRPr="00A058B6">
        <w:tab/>
        <w:t>the member spouse has satisfied a relevant condition of release for the superannuation interest or the component of the interest; but</w:t>
      </w:r>
    </w:p>
    <w:p w14:paraId="35534659" w14:textId="77777777" w:rsidR="00D930D9" w:rsidRPr="00A058B6" w:rsidRDefault="00D930D9" w:rsidP="00D930D9">
      <w:pPr>
        <w:pStyle w:val="paragraph"/>
      </w:pPr>
      <w:r w:rsidRPr="00A058B6">
        <w:tab/>
        <w:t>(b)</w:t>
      </w:r>
      <w:r w:rsidRPr="00A058B6">
        <w:tab/>
        <w:t>no benefit has been paid in respect of the superannuation interest or the component of the interest, and no action has been taken by or for the member spouse under the governing rules of the plan to cash any benefit that the member spouse is entitled to be paid as a result of satisfying the condition of release</w:t>
      </w:r>
      <w:r w:rsidR="00D7157D">
        <w:t>.</w:t>
      </w:r>
    </w:p>
    <w:p w14:paraId="56BEA5BD" w14:textId="666942E6" w:rsidR="00D930D9" w:rsidRPr="00A058B6" w:rsidRDefault="00D930D9" w:rsidP="00D930D9">
      <w:pPr>
        <w:pStyle w:val="notetext"/>
      </w:pPr>
      <w:r w:rsidRPr="00A058B6">
        <w:t>Note:</w:t>
      </w:r>
      <w:r w:rsidRPr="00A058B6">
        <w:tab/>
        <w:t xml:space="preserve">For the meaning of </w:t>
      </w:r>
      <w:r w:rsidRPr="00A058B6">
        <w:rPr>
          <w:b/>
          <w:i/>
        </w:rPr>
        <w:t>satisfies a relevant condition of release</w:t>
      </w:r>
      <w:r w:rsidRPr="00A058B6">
        <w:t xml:space="preserve">, see </w:t>
      </w:r>
      <w:r w:rsidR="00A52DA5">
        <w:t>subsection (</w:t>
      </w:r>
      <w:r w:rsidRPr="00A058B6">
        <w:t>6)</w:t>
      </w:r>
      <w:r w:rsidR="00D7157D">
        <w:t>.</w:t>
      </w:r>
    </w:p>
    <w:p w14:paraId="6AE92298" w14:textId="77777777" w:rsidR="00D930D9" w:rsidRPr="00A058B6" w:rsidRDefault="00D930D9" w:rsidP="00D930D9">
      <w:pPr>
        <w:pStyle w:val="subsection"/>
      </w:pPr>
      <w:r w:rsidRPr="00A058B6">
        <w:tab/>
        <w:t>(5)</w:t>
      </w:r>
      <w:r w:rsidRPr="00A058B6">
        <w:tab/>
        <w:t>A member spouse satisfies the requirements of this subsection at a particular date if, at that date:</w:t>
      </w:r>
    </w:p>
    <w:p w14:paraId="0CE10062" w14:textId="77777777" w:rsidR="00D930D9" w:rsidRPr="00A058B6" w:rsidRDefault="00D930D9" w:rsidP="00D930D9">
      <w:pPr>
        <w:pStyle w:val="paragraph"/>
      </w:pPr>
      <w:r w:rsidRPr="00A058B6">
        <w:tab/>
        <w:t>(a)</w:t>
      </w:r>
      <w:r w:rsidRPr="00A058B6">
        <w:tab/>
        <w:t xml:space="preserve">the member spouse has satisfied a relevant condition of release for the superannuation interest or the component of the interest; </w:t>
      </w:r>
      <w:r w:rsidR="00AE472D">
        <w:t>and</w:t>
      </w:r>
    </w:p>
    <w:p w14:paraId="2ED85717" w14:textId="77777777" w:rsidR="00D930D9" w:rsidRPr="00A058B6" w:rsidRDefault="00D930D9" w:rsidP="00D930D9">
      <w:pPr>
        <w:pStyle w:val="paragraph"/>
      </w:pPr>
      <w:r w:rsidRPr="00A058B6">
        <w:tab/>
        <w:t>(b)</w:t>
      </w:r>
      <w:r w:rsidRPr="00A058B6">
        <w:tab/>
        <w:t>a benefit (other than a benefit that is paid as a pension) has been paid in respect of the superannuation interest or the component of the interest to or for the benefit of:</w:t>
      </w:r>
    </w:p>
    <w:p w14:paraId="3C91DCA1" w14:textId="77777777" w:rsidR="00D930D9" w:rsidRPr="00A058B6" w:rsidRDefault="00D930D9" w:rsidP="00D930D9">
      <w:pPr>
        <w:pStyle w:val="paragraphsub"/>
      </w:pPr>
      <w:r w:rsidRPr="00A058B6">
        <w:tab/>
        <w:t>(i)</w:t>
      </w:r>
      <w:r w:rsidRPr="00A058B6">
        <w:tab/>
        <w:t>the member spouse; or</w:t>
      </w:r>
    </w:p>
    <w:p w14:paraId="42C9ED12" w14:textId="77777777" w:rsidR="00D930D9" w:rsidRPr="00A058B6" w:rsidRDefault="00D930D9" w:rsidP="00D930D9">
      <w:pPr>
        <w:pStyle w:val="paragraphsub"/>
      </w:pPr>
      <w:r w:rsidRPr="00A058B6">
        <w:tab/>
        <w:t>(ii)</w:t>
      </w:r>
      <w:r w:rsidRPr="00A058B6">
        <w:tab/>
        <w:t>if the member spouse has died—the member spouse’s legal personal representative;</w:t>
      </w:r>
    </w:p>
    <w:p w14:paraId="5798AA8C" w14:textId="77777777" w:rsidR="00D930D9" w:rsidRPr="00A058B6" w:rsidRDefault="00D930D9" w:rsidP="00D930D9">
      <w:pPr>
        <w:pStyle w:val="paragraph"/>
      </w:pPr>
      <w:r w:rsidRPr="00A058B6">
        <w:tab/>
      </w:r>
      <w:r w:rsidRPr="00A058B6">
        <w:tab/>
        <w:t>but no action has been taken by or for the member spouse, or that representative, under the governing rules of the plan to receive any other benefit that the member spouse, or the member spouse’s estate, is entitled to be paid as a result of satisfying the condition of release</w:t>
      </w:r>
      <w:r w:rsidR="00D7157D">
        <w:t>.</w:t>
      </w:r>
    </w:p>
    <w:p w14:paraId="16D3A2FD" w14:textId="77777777" w:rsidR="00D930D9" w:rsidRPr="00A058B6" w:rsidRDefault="00D930D9" w:rsidP="00D930D9">
      <w:pPr>
        <w:pStyle w:val="SubsectionHead"/>
      </w:pPr>
      <w:r w:rsidRPr="00A058B6">
        <w:t xml:space="preserve">Meaning of </w:t>
      </w:r>
      <w:r w:rsidRPr="00A058B6">
        <w:rPr>
          <w:b/>
        </w:rPr>
        <w:t>satisfies a relevant condition of release</w:t>
      </w:r>
    </w:p>
    <w:p w14:paraId="50208D7D" w14:textId="77777777" w:rsidR="00D930D9" w:rsidRPr="00A058B6" w:rsidRDefault="00D930D9" w:rsidP="00D930D9">
      <w:pPr>
        <w:pStyle w:val="subsection"/>
      </w:pPr>
      <w:r w:rsidRPr="00A058B6">
        <w:tab/>
        <w:t>(6)</w:t>
      </w:r>
      <w:r w:rsidRPr="00A058B6">
        <w:tab/>
        <w:t xml:space="preserve">For the purposes of this section, a member spouse </w:t>
      </w:r>
      <w:r w:rsidRPr="00A058B6">
        <w:rPr>
          <w:b/>
          <w:i/>
        </w:rPr>
        <w:t>satisfies a relevant condition of release</w:t>
      </w:r>
      <w:r w:rsidRPr="00A058B6">
        <w:t xml:space="preserve"> at a date for a superannuation interest, or a component of a superannuation interest, if at that date:</w:t>
      </w:r>
    </w:p>
    <w:p w14:paraId="0BE0DC7D" w14:textId="65F1BCBE" w:rsidR="00D930D9" w:rsidRPr="00A058B6" w:rsidRDefault="00D930D9" w:rsidP="00D930D9">
      <w:pPr>
        <w:pStyle w:val="paragraph"/>
      </w:pPr>
      <w:r w:rsidRPr="00A058B6">
        <w:tab/>
        <w:t>(a)</w:t>
      </w:r>
      <w:r w:rsidRPr="00A058B6">
        <w:tab/>
        <w:t xml:space="preserve">if the superannuation interest is in a regulated superannuation fund—a condition of release mentioned in item 101, 102, </w:t>
      </w:r>
      <w:r>
        <w:t xml:space="preserve">102A, </w:t>
      </w:r>
      <w:r w:rsidRPr="00A058B6">
        <w:t xml:space="preserve">103, 106 or 108 of </w:t>
      </w:r>
      <w:r w:rsidR="00453C86">
        <w:t>Schedule 1</w:t>
      </w:r>
      <w:r w:rsidRPr="00A058B6">
        <w:t xml:space="preserve"> to the SIS Regulations is satisfied; or</w:t>
      </w:r>
    </w:p>
    <w:p w14:paraId="4C776659" w14:textId="638D8397" w:rsidR="00D930D9" w:rsidRPr="00A058B6" w:rsidRDefault="00D930D9" w:rsidP="00D930D9">
      <w:pPr>
        <w:pStyle w:val="paragraph"/>
      </w:pPr>
      <w:r w:rsidRPr="00A058B6">
        <w:tab/>
        <w:t>(b)</w:t>
      </w:r>
      <w:r w:rsidRPr="00A058B6">
        <w:tab/>
        <w:t xml:space="preserve">if the superannuation interest is in an approved deposit fund—a condition of release mentioned in item 201, 202, </w:t>
      </w:r>
      <w:r w:rsidR="004913EE">
        <w:t xml:space="preserve">202A, </w:t>
      </w:r>
      <w:r w:rsidRPr="00A058B6">
        <w:t xml:space="preserve">203 or 206 of </w:t>
      </w:r>
      <w:r w:rsidR="00453C86">
        <w:t>Schedule 1</w:t>
      </w:r>
      <w:r w:rsidRPr="00A058B6">
        <w:t xml:space="preserve"> to the SIS Regulations is satisfied; or</w:t>
      </w:r>
    </w:p>
    <w:p w14:paraId="1B9E545A" w14:textId="77777777" w:rsidR="00D930D9" w:rsidRPr="00A058B6" w:rsidRDefault="00D930D9" w:rsidP="00D930D9">
      <w:pPr>
        <w:pStyle w:val="paragraph"/>
      </w:pPr>
      <w:r w:rsidRPr="00A058B6">
        <w:tab/>
        <w:t>(c)</w:t>
      </w:r>
      <w:r w:rsidRPr="00A058B6">
        <w:tab/>
        <w:t xml:space="preserve">if the superannuation interest is in an RSA—a condition of release mentioned in item 101, 102, </w:t>
      </w:r>
      <w:r>
        <w:t xml:space="preserve">102A, </w:t>
      </w:r>
      <w:r w:rsidRPr="00A058B6">
        <w:t>103, 106 or 107 of Schedule 2 to the RSA Regulations is satisfied</w:t>
      </w:r>
      <w:r w:rsidR="00D7157D">
        <w:t>.</w:t>
      </w:r>
    </w:p>
    <w:p w14:paraId="2416C961" w14:textId="5733DFED" w:rsidR="00D930D9" w:rsidRPr="00A058B6" w:rsidRDefault="00485CC2" w:rsidP="00D930D9">
      <w:pPr>
        <w:pStyle w:val="ActHead5"/>
      </w:pPr>
      <w:bookmarkStart w:id="14" w:name="_Toc188350501"/>
      <w:r w:rsidRPr="00423C34">
        <w:rPr>
          <w:rStyle w:val="CharSectno"/>
        </w:rPr>
        <w:lastRenderedPageBreak/>
        <w:t>8</w:t>
      </w:r>
      <w:r w:rsidR="00D930D9" w:rsidRPr="00A058B6">
        <w:t xml:space="preserve">  Meaning of </w:t>
      </w:r>
      <w:r w:rsidR="00D930D9" w:rsidRPr="00A058B6">
        <w:rPr>
          <w:i/>
        </w:rPr>
        <w:t>growth phase</w:t>
      </w:r>
      <w:r w:rsidR="00D930D9" w:rsidRPr="00A058B6">
        <w:t>—superannuation interests in other eligible superannuation plans</w:t>
      </w:r>
      <w:bookmarkEnd w:id="14"/>
    </w:p>
    <w:p w14:paraId="1938490F" w14:textId="77777777" w:rsidR="00D930D9" w:rsidRPr="00A058B6" w:rsidRDefault="00D930D9" w:rsidP="00D930D9">
      <w:pPr>
        <w:pStyle w:val="subsection"/>
      </w:pPr>
      <w:r w:rsidRPr="00A058B6">
        <w:tab/>
        <w:t>(1)</w:t>
      </w:r>
      <w:r w:rsidRPr="00A058B6">
        <w:tab/>
        <w:t>This section applies to a superannuation interest of a member spouse in any of the following eligible superannuation plans:</w:t>
      </w:r>
    </w:p>
    <w:p w14:paraId="1F578E7B" w14:textId="77777777" w:rsidR="00D930D9" w:rsidRPr="00A058B6" w:rsidRDefault="00D930D9" w:rsidP="00D930D9">
      <w:pPr>
        <w:pStyle w:val="paragraph"/>
      </w:pPr>
      <w:r w:rsidRPr="00A058B6">
        <w:tab/>
        <w:t>(a)</w:t>
      </w:r>
      <w:r w:rsidRPr="00A058B6">
        <w:tab/>
        <w:t>a superannuation annuity;</w:t>
      </w:r>
    </w:p>
    <w:p w14:paraId="7D01C9D7" w14:textId="77777777" w:rsidR="00D930D9" w:rsidRPr="00A058B6" w:rsidRDefault="00D930D9" w:rsidP="00D930D9">
      <w:pPr>
        <w:pStyle w:val="paragraph"/>
      </w:pPr>
      <w:r w:rsidRPr="00A058B6">
        <w:tab/>
        <w:t>(b)</w:t>
      </w:r>
      <w:r w:rsidRPr="00A058B6">
        <w:tab/>
        <w:t>a superannuation fund other than a regulated superannuation fund</w:t>
      </w:r>
      <w:r w:rsidR="00D7157D">
        <w:t>.</w:t>
      </w:r>
    </w:p>
    <w:p w14:paraId="48A9300C" w14:textId="77777777" w:rsidR="00D930D9" w:rsidRPr="00A058B6" w:rsidRDefault="00D930D9" w:rsidP="00D930D9">
      <w:pPr>
        <w:pStyle w:val="subsection"/>
      </w:pPr>
      <w:r w:rsidRPr="00A058B6">
        <w:tab/>
        <w:t>(2)</w:t>
      </w:r>
      <w:r w:rsidRPr="00A058B6">
        <w:tab/>
        <w:t xml:space="preserve">The superannuation interest, or a component of the interest, is in the </w:t>
      </w:r>
      <w:r w:rsidRPr="00A058B6">
        <w:rPr>
          <w:b/>
          <w:i/>
        </w:rPr>
        <w:t>growth phase</w:t>
      </w:r>
      <w:r w:rsidRPr="00A058B6">
        <w:t xml:space="preserve"> at a particular date if, at that date:</w:t>
      </w:r>
    </w:p>
    <w:p w14:paraId="1DA5086A" w14:textId="77777777" w:rsidR="00D930D9" w:rsidRPr="00A058B6" w:rsidRDefault="00D930D9" w:rsidP="00D930D9">
      <w:pPr>
        <w:pStyle w:val="paragraph"/>
      </w:pPr>
      <w:r w:rsidRPr="00A058B6">
        <w:tab/>
        <w:t>(a)</w:t>
      </w:r>
      <w:r w:rsidRPr="00A058B6">
        <w:tab/>
        <w:t>a releasing event has not occurred for the member spouse for the superannuation interest or the component of the interest; or</w:t>
      </w:r>
    </w:p>
    <w:p w14:paraId="5F408BFE" w14:textId="77777777" w:rsidR="00D930D9" w:rsidRPr="00A058B6" w:rsidRDefault="00D930D9" w:rsidP="00D930D9">
      <w:pPr>
        <w:pStyle w:val="paragraph"/>
      </w:pPr>
      <w:r w:rsidRPr="00A058B6">
        <w:tab/>
        <w:t>(b)</w:t>
      </w:r>
      <w:r w:rsidRPr="00A058B6">
        <w:tab/>
        <w:t>a releasing event has occurred for the member spouse for the superannuation interest or the component of the interest, but no action has been taken by or for the member spouse under the governing rules of the plan to receive any benefit that the member spouse is entitled to be paid as a result of the occurrence of the releasing event; or</w:t>
      </w:r>
    </w:p>
    <w:p w14:paraId="4A478609" w14:textId="6E763575" w:rsidR="00D930D9" w:rsidRPr="00A058B6" w:rsidRDefault="00D930D9" w:rsidP="00D930D9">
      <w:pPr>
        <w:pStyle w:val="paragraph"/>
      </w:pPr>
      <w:r w:rsidRPr="00A058B6">
        <w:tab/>
        <w:t>(c)</w:t>
      </w:r>
      <w:r w:rsidRPr="00A058B6">
        <w:tab/>
        <w:t>a releasing event has occurred for the member spouse for the superannuation interest or the component of the interest, and a benefit (other than a benefit that is paid as a pension) has been paid to or for the benefit of:</w:t>
      </w:r>
    </w:p>
    <w:p w14:paraId="34EDDD4A" w14:textId="77777777" w:rsidR="00D930D9" w:rsidRPr="00A058B6" w:rsidRDefault="00D930D9" w:rsidP="00D930D9">
      <w:pPr>
        <w:pStyle w:val="paragraphsub"/>
      </w:pPr>
      <w:r w:rsidRPr="00A058B6">
        <w:tab/>
        <w:t>(i)</w:t>
      </w:r>
      <w:r w:rsidRPr="00A058B6">
        <w:tab/>
        <w:t>the member spouse; or</w:t>
      </w:r>
    </w:p>
    <w:p w14:paraId="244F2771" w14:textId="77777777" w:rsidR="00D930D9" w:rsidRPr="00A058B6" w:rsidRDefault="00D930D9" w:rsidP="00D930D9">
      <w:pPr>
        <w:pStyle w:val="paragraphsub"/>
      </w:pPr>
      <w:r w:rsidRPr="00A058B6">
        <w:tab/>
        <w:t>(ii)</w:t>
      </w:r>
      <w:r w:rsidRPr="00A058B6">
        <w:tab/>
        <w:t>if the member spouse has died—the member spouse’s legal personal representative;</w:t>
      </w:r>
    </w:p>
    <w:p w14:paraId="0BA8DF70" w14:textId="77777777" w:rsidR="00D930D9" w:rsidRPr="00A058B6" w:rsidRDefault="00D930D9" w:rsidP="00D930D9">
      <w:pPr>
        <w:pStyle w:val="paragraph"/>
      </w:pPr>
      <w:r w:rsidRPr="00A058B6">
        <w:tab/>
      </w:r>
      <w:r w:rsidRPr="00A058B6">
        <w:tab/>
        <w:t>but no action has been taken by or for the member spouse, or that legal personal representative, under the governing rules of the plan to receive any other benefit that the member spouse, or the member spouse’s estate, is entitled to be paid as a result of the occurrence of the releasing event</w:t>
      </w:r>
      <w:r w:rsidR="00D7157D">
        <w:t>.</w:t>
      </w:r>
    </w:p>
    <w:p w14:paraId="689086CE" w14:textId="77777777" w:rsidR="00D930D9" w:rsidRPr="00A058B6" w:rsidRDefault="00D930D9" w:rsidP="00D930D9">
      <w:pPr>
        <w:pStyle w:val="SubsectionHead"/>
      </w:pPr>
      <w:r w:rsidRPr="00A058B6">
        <w:t xml:space="preserve">Meaning of </w:t>
      </w:r>
      <w:r w:rsidRPr="00A058B6">
        <w:rPr>
          <w:b/>
        </w:rPr>
        <w:t>releasing event</w:t>
      </w:r>
    </w:p>
    <w:p w14:paraId="0B9072BE" w14:textId="77777777" w:rsidR="00D930D9" w:rsidRPr="00A058B6" w:rsidRDefault="00D930D9" w:rsidP="00D930D9">
      <w:pPr>
        <w:pStyle w:val="subsection"/>
      </w:pPr>
      <w:r w:rsidRPr="00A058B6">
        <w:tab/>
        <w:t>(3)</w:t>
      </w:r>
      <w:r w:rsidRPr="00A058B6">
        <w:tab/>
        <w:t xml:space="preserve">For the purposes of this section, a </w:t>
      </w:r>
      <w:r w:rsidRPr="00A058B6">
        <w:rPr>
          <w:b/>
          <w:i/>
        </w:rPr>
        <w:t>releasing event</w:t>
      </w:r>
      <w:r w:rsidRPr="00A058B6">
        <w:t xml:space="preserve"> has occurred for a member spouse at a</w:t>
      </w:r>
      <w:r>
        <w:t xml:space="preserve"> particular</w:t>
      </w:r>
      <w:r w:rsidRPr="00A058B6">
        <w:t xml:space="preserve"> date for a superannuation interest, or a component of a superannuation interest, if at that date:</w:t>
      </w:r>
    </w:p>
    <w:p w14:paraId="3F8E97B3" w14:textId="77777777" w:rsidR="00D930D9" w:rsidRPr="00A058B6" w:rsidRDefault="00D930D9" w:rsidP="00D930D9">
      <w:pPr>
        <w:pStyle w:val="paragraph"/>
      </w:pPr>
      <w:r w:rsidRPr="00A058B6">
        <w:tab/>
        <w:t>(a)</w:t>
      </w:r>
      <w:r w:rsidRPr="00A058B6">
        <w:tab/>
        <w:t>the member spouse has retired; or</w:t>
      </w:r>
    </w:p>
    <w:p w14:paraId="5C5E7C1A" w14:textId="77777777" w:rsidR="00D930D9" w:rsidRDefault="00D930D9" w:rsidP="00D930D9">
      <w:pPr>
        <w:pStyle w:val="paragraph"/>
      </w:pPr>
      <w:r w:rsidRPr="00A058B6">
        <w:tab/>
        <w:t>(b)</w:t>
      </w:r>
      <w:r w:rsidRPr="00A058B6">
        <w:tab/>
        <w:t>the member spouse has died; or</w:t>
      </w:r>
    </w:p>
    <w:p w14:paraId="2FCBD5A0" w14:textId="77777777" w:rsidR="00D930D9" w:rsidRPr="00A058B6" w:rsidRDefault="00D930D9" w:rsidP="00D930D9">
      <w:pPr>
        <w:pStyle w:val="paragraph"/>
      </w:pPr>
      <w:r>
        <w:tab/>
        <w:t>(c)</w:t>
      </w:r>
      <w:r>
        <w:tab/>
        <w:t xml:space="preserve">the member spouse has a terminal medical condition (as defined in </w:t>
      </w:r>
      <w:r w:rsidR="00B05FD6">
        <w:t>regulation 6</w:t>
      </w:r>
      <w:r w:rsidR="00D7157D">
        <w:t>.</w:t>
      </w:r>
      <w:r>
        <w:t>01A of the SIS Regulations); or</w:t>
      </w:r>
    </w:p>
    <w:p w14:paraId="39CF2F58" w14:textId="77777777" w:rsidR="00D930D9" w:rsidRPr="00A058B6" w:rsidRDefault="00D930D9" w:rsidP="00D930D9">
      <w:pPr>
        <w:pStyle w:val="paragraph"/>
      </w:pPr>
      <w:r w:rsidRPr="00A058B6">
        <w:tab/>
        <w:t>(</w:t>
      </w:r>
      <w:r>
        <w:t>d</w:t>
      </w:r>
      <w:r w:rsidRPr="00A058B6">
        <w:t>)</w:t>
      </w:r>
      <w:r w:rsidRPr="00A058B6">
        <w:tab/>
        <w:t>as a result of the member spouse’s ill health (whether physical or mental), the member spouse:</w:t>
      </w:r>
    </w:p>
    <w:p w14:paraId="5C58231A" w14:textId="77777777" w:rsidR="00D930D9" w:rsidRPr="00A058B6" w:rsidRDefault="00D930D9" w:rsidP="00D930D9">
      <w:pPr>
        <w:pStyle w:val="paragraphsub"/>
      </w:pPr>
      <w:r w:rsidRPr="00A058B6">
        <w:tab/>
        <w:t>(i)</w:t>
      </w:r>
      <w:r w:rsidRPr="00A058B6">
        <w:tab/>
        <w:t>has ceased to be gainfully employed (including if the member spouse has ceased temporarily to receive any gain or reward under a continuing arrangement for the member spouse to be gainfully employed); and</w:t>
      </w:r>
    </w:p>
    <w:p w14:paraId="3C477802" w14:textId="77777777" w:rsidR="00D930D9" w:rsidRPr="00A058B6" w:rsidRDefault="00D930D9" w:rsidP="00D930D9">
      <w:pPr>
        <w:pStyle w:val="paragraphsub"/>
      </w:pPr>
      <w:r w:rsidRPr="00A058B6">
        <w:tab/>
        <w:t>(ii)</w:t>
      </w:r>
      <w:r w:rsidRPr="00A058B6">
        <w:tab/>
        <w:t>is unlikely, because of the ill health, ever again to engage in gainful employment for which the member spouse is reasonably qualified by education, training or experience; or</w:t>
      </w:r>
    </w:p>
    <w:p w14:paraId="1CD3BD38" w14:textId="77777777" w:rsidR="00D930D9" w:rsidRPr="00A058B6" w:rsidRDefault="00D930D9" w:rsidP="00D930D9">
      <w:pPr>
        <w:pStyle w:val="paragraph"/>
      </w:pPr>
      <w:r w:rsidRPr="00A058B6">
        <w:tab/>
        <w:t>(</w:t>
      </w:r>
      <w:r>
        <w:t>e</w:t>
      </w:r>
      <w:r w:rsidRPr="00A058B6">
        <w:t>)</w:t>
      </w:r>
      <w:r w:rsidRPr="00A058B6">
        <w:tab/>
        <w:t>the member spouse has turned 65 years; or</w:t>
      </w:r>
    </w:p>
    <w:p w14:paraId="020ED4AE" w14:textId="77777777" w:rsidR="00D930D9" w:rsidRPr="00A058B6" w:rsidRDefault="00D930D9" w:rsidP="00D930D9">
      <w:pPr>
        <w:pStyle w:val="paragraph"/>
      </w:pPr>
      <w:r w:rsidRPr="00A058B6">
        <w:tab/>
        <w:t>(</w:t>
      </w:r>
      <w:r>
        <w:t>f</w:t>
      </w:r>
      <w:r w:rsidRPr="00A058B6">
        <w:t>)</w:t>
      </w:r>
      <w:r w:rsidRPr="00A058B6">
        <w:tab/>
        <w:t>in the case of a member spouse for whom:</w:t>
      </w:r>
    </w:p>
    <w:p w14:paraId="0E01C7B1" w14:textId="77777777" w:rsidR="00D930D9" w:rsidRPr="00A058B6" w:rsidRDefault="00D930D9" w:rsidP="00D930D9">
      <w:pPr>
        <w:pStyle w:val="paragraphsub"/>
      </w:pPr>
      <w:r w:rsidRPr="00A058B6">
        <w:tab/>
        <w:t>(i)</w:t>
      </w:r>
      <w:r w:rsidRPr="00A058B6">
        <w:tab/>
        <w:t>the member spouse’s employer; or</w:t>
      </w:r>
    </w:p>
    <w:p w14:paraId="755698C8" w14:textId="54DCDC7C" w:rsidR="00D930D9" w:rsidRPr="00A058B6" w:rsidRDefault="00D930D9" w:rsidP="00D930D9">
      <w:pPr>
        <w:pStyle w:val="paragraphsub"/>
      </w:pPr>
      <w:r w:rsidRPr="00A058B6">
        <w:lastRenderedPageBreak/>
        <w:tab/>
        <w:t>(ii)</w:t>
      </w:r>
      <w:r w:rsidRPr="00A058B6">
        <w:tab/>
        <w:t xml:space="preserve">one or more associates (within the meaning of </w:t>
      </w:r>
      <w:r w:rsidR="00CB78B9">
        <w:t>section 1</w:t>
      </w:r>
      <w:r w:rsidRPr="00A058B6">
        <w:t>2 of the SIS Act) of the member spouse’s employer;</w:t>
      </w:r>
    </w:p>
    <w:p w14:paraId="16302C71" w14:textId="77777777" w:rsidR="00D930D9" w:rsidRPr="00A058B6" w:rsidRDefault="00D930D9" w:rsidP="00D930D9">
      <w:pPr>
        <w:pStyle w:val="paragraph"/>
      </w:pPr>
      <w:r w:rsidRPr="00A058B6">
        <w:tab/>
      </w:r>
      <w:r w:rsidRPr="00A058B6">
        <w:tab/>
        <w:t>has contributed to the member spouse’s eligible superannuation plan in relation to the superannuation interest—the member spouse has ceased the member spouse’s employment with that employer</w:t>
      </w:r>
      <w:r w:rsidR="00D7157D">
        <w:t>.</w:t>
      </w:r>
    </w:p>
    <w:p w14:paraId="2BA6EE10" w14:textId="31E0EEA1" w:rsidR="00D930D9" w:rsidRPr="00A058B6" w:rsidRDefault="00485CC2" w:rsidP="00D930D9">
      <w:pPr>
        <w:pStyle w:val="ActHead5"/>
      </w:pPr>
      <w:bookmarkStart w:id="15" w:name="_Toc188350502"/>
      <w:r w:rsidRPr="00423C34">
        <w:rPr>
          <w:rStyle w:val="CharSectno"/>
        </w:rPr>
        <w:t>9</w:t>
      </w:r>
      <w:r w:rsidR="00D930D9" w:rsidRPr="00A058B6">
        <w:t xml:space="preserve">  Meaning of </w:t>
      </w:r>
      <w:r w:rsidR="00D930D9" w:rsidRPr="00A058B6">
        <w:rPr>
          <w:i/>
        </w:rPr>
        <w:t>payment phase</w:t>
      </w:r>
      <w:bookmarkEnd w:id="15"/>
    </w:p>
    <w:p w14:paraId="3E0793EF" w14:textId="77777777" w:rsidR="00D930D9" w:rsidRPr="00A058B6" w:rsidRDefault="00D930D9" w:rsidP="00D930D9">
      <w:pPr>
        <w:pStyle w:val="subsection"/>
      </w:pPr>
      <w:r w:rsidRPr="00A058B6">
        <w:tab/>
      </w:r>
      <w:r w:rsidRPr="00A058B6">
        <w:tab/>
        <w:t>Either:</w:t>
      </w:r>
    </w:p>
    <w:p w14:paraId="43C31389" w14:textId="77777777" w:rsidR="00D930D9" w:rsidRPr="00A058B6" w:rsidRDefault="00D930D9" w:rsidP="00D930D9">
      <w:pPr>
        <w:pStyle w:val="paragraph"/>
      </w:pPr>
      <w:r w:rsidRPr="00A058B6">
        <w:tab/>
        <w:t>(a)</w:t>
      </w:r>
      <w:r w:rsidRPr="00A058B6">
        <w:tab/>
        <w:t>a superannuation interest (other than a small superannuation accounts interest) of a member spouse in an eligible superannuation plan; or</w:t>
      </w:r>
    </w:p>
    <w:p w14:paraId="2DD15533" w14:textId="77777777" w:rsidR="00D930D9" w:rsidRPr="00A058B6" w:rsidRDefault="00D930D9" w:rsidP="00D930D9">
      <w:pPr>
        <w:pStyle w:val="paragraph"/>
      </w:pPr>
      <w:r w:rsidRPr="00A058B6">
        <w:tab/>
        <w:t>(b)</w:t>
      </w:r>
      <w:r w:rsidRPr="00A058B6">
        <w:tab/>
        <w:t>a component of such a superannuation interest;</w:t>
      </w:r>
    </w:p>
    <w:p w14:paraId="52BE449E" w14:textId="77777777" w:rsidR="00D930D9" w:rsidRPr="00A058B6" w:rsidRDefault="00D930D9" w:rsidP="00D930D9">
      <w:pPr>
        <w:pStyle w:val="subsection2"/>
      </w:pPr>
      <w:r w:rsidRPr="00A058B6">
        <w:t xml:space="preserve">is in the </w:t>
      </w:r>
      <w:r w:rsidRPr="00A058B6">
        <w:rPr>
          <w:b/>
          <w:i/>
        </w:rPr>
        <w:t>payment phase</w:t>
      </w:r>
      <w:r w:rsidRPr="00A058B6">
        <w:t xml:space="preserve"> at a particular date if it is not in the growth phase at that date</w:t>
      </w:r>
      <w:r w:rsidR="00D7157D">
        <w:t>.</w:t>
      </w:r>
    </w:p>
    <w:p w14:paraId="685B38FD" w14:textId="39E1595F" w:rsidR="00D930D9" w:rsidRPr="00A058B6" w:rsidRDefault="00485CC2" w:rsidP="00D930D9">
      <w:pPr>
        <w:pStyle w:val="ActHead5"/>
      </w:pPr>
      <w:bookmarkStart w:id="16" w:name="_Toc188350503"/>
      <w:r w:rsidRPr="00423C34">
        <w:rPr>
          <w:rStyle w:val="CharSectno"/>
        </w:rPr>
        <w:t>10</w:t>
      </w:r>
      <w:r w:rsidR="00D930D9" w:rsidRPr="00A058B6">
        <w:t xml:space="preserve">  Meaning of </w:t>
      </w:r>
      <w:r w:rsidR="00D930D9" w:rsidRPr="00A058B6">
        <w:rPr>
          <w:i/>
        </w:rPr>
        <w:t>partially vested accumulation interest</w:t>
      </w:r>
      <w:bookmarkEnd w:id="16"/>
    </w:p>
    <w:p w14:paraId="0EA628B7" w14:textId="5E636B58" w:rsidR="00D930D9" w:rsidRPr="00A058B6" w:rsidRDefault="00D930D9" w:rsidP="00D930D9">
      <w:pPr>
        <w:pStyle w:val="subsection"/>
      </w:pPr>
      <w:r w:rsidRPr="00A058B6">
        <w:rPr>
          <w:color w:val="000000"/>
        </w:rPr>
        <w:tab/>
        <w:t>(1)</w:t>
      </w:r>
      <w:r w:rsidRPr="00A058B6">
        <w:rPr>
          <w:color w:val="000000"/>
        </w:rPr>
        <w:tab/>
        <w:t xml:space="preserve">An accumulation interest that a member spouse has as a member of an eligible superannuation plan is a </w:t>
      </w:r>
      <w:r w:rsidRPr="00A058B6">
        <w:rPr>
          <w:b/>
          <w:bCs/>
          <w:i/>
          <w:iCs/>
          <w:color w:val="000000"/>
        </w:rPr>
        <w:t>partially vested accumulation interest</w:t>
      </w:r>
      <w:r w:rsidRPr="00A058B6">
        <w:rPr>
          <w:color w:val="000000"/>
        </w:rPr>
        <w:t xml:space="preserve"> if </w:t>
      </w:r>
      <w:r w:rsidR="00A52DA5">
        <w:rPr>
          <w:color w:val="000000"/>
        </w:rPr>
        <w:t>subsection (</w:t>
      </w:r>
      <w:r w:rsidRPr="00A058B6">
        <w:rPr>
          <w:color w:val="000000"/>
        </w:rPr>
        <w:t>2) or (3) applies in relation to the interest</w:t>
      </w:r>
      <w:r w:rsidR="00D7157D">
        <w:rPr>
          <w:color w:val="000000"/>
        </w:rPr>
        <w:t>.</w:t>
      </w:r>
    </w:p>
    <w:p w14:paraId="1774B00D" w14:textId="77777777" w:rsidR="00D930D9" w:rsidRPr="00A058B6" w:rsidRDefault="00D930D9" w:rsidP="00D930D9">
      <w:pPr>
        <w:pStyle w:val="subsection"/>
      </w:pPr>
      <w:r w:rsidRPr="00A058B6">
        <w:rPr>
          <w:color w:val="000000"/>
        </w:rPr>
        <w:tab/>
        <w:t>(2)</w:t>
      </w:r>
      <w:r w:rsidRPr="00A058B6">
        <w:rPr>
          <w:color w:val="000000"/>
        </w:rPr>
        <w:tab/>
        <w:t>This subsection applies in relation to the superannuation interest if the withdrawal benefit in relation to the member spouse on a particular day is less than the total amount notionally or actually allocated to the member spouse on that day, except if the withdrawal benefit is less than that notional or actual amount because of any of the following reasons:</w:t>
      </w:r>
    </w:p>
    <w:p w14:paraId="7292A5B5" w14:textId="77777777" w:rsidR="00D930D9" w:rsidRPr="00A058B6" w:rsidRDefault="00D930D9" w:rsidP="00D930D9">
      <w:pPr>
        <w:pStyle w:val="paragraph"/>
      </w:pPr>
      <w:r w:rsidRPr="00A058B6">
        <w:rPr>
          <w:color w:val="000000"/>
        </w:rPr>
        <w:tab/>
        <w:t>(a)</w:t>
      </w:r>
      <w:r w:rsidRPr="00A058B6">
        <w:rPr>
          <w:color w:val="000000"/>
        </w:rPr>
        <w:tab/>
        <w:t>the trustee of the plan has been assessed to be liable to pay superannuation contributions surcharge in respect of the member spouse, and the trustee has not debited the amount notionally or actually allocated to the member spouse in respect of that liability;</w:t>
      </w:r>
    </w:p>
    <w:p w14:paraId="7EEBF96D" w14:textId="77777777" w:rsidR="00D930D9" w:rsidRPr="00A058B6" w:rsidRDefault="00D930D9" w:rsidP="00D930D9">
      <w:pPr>
        <w:pStyle w:val="paragraph"/>
      </w:pPr>
      <w:r w:rsidRPr="00A058B6">
        <w:tab/>
        <w:t>(b)</w:t>
      </w:r>
      <w:r w:rsidRPr="00A058B6">
        <w:tab/>
        <w:t>insurance costs have been charged against the member spouse’s benefits in the plan;</w:t>
      </w:r>
    </w:p>
    <w:p w14:paraId="3DCCC15C" w14:textId="77777777" w:rsidR="00D930D9" w:rsidRPr="00A058B6" w:rsidRDefault="00D930D9" w:rsidP="00D930D9">
      <w:pPr>
        <w:pStyle w:val="paragraph"/>
      </w:pPr>
      <w:r w:rsidRPr="00A058B6">
        <w:tab/>
        <w:t>(c)</w:t>
      </w:r>
      <w:r w:rsidRPr="00A058B6">
        <w:tab/>
        <w:t>any other fees, taxes or charges will be charged against the member spouse’s benefits when the member spouse ceases to be a member of the plan</w:t>
      </w:r>
      <w:r w:rsidR="00D7157D">
        <w:t>.</w:t>
      </w:r>
    </w:p>
    <w:p w14:paraId="7322BC83" w14:textId="77777777" w:rsidR="00D930D9" w:rsidRPr="00A058B6" w:rsidRDefault="00D930D9" w:rsidP="00D930D9">
      <w:pPr>
        <w:pStyle w:val="subsection"/>
      </w:pPr>
      <w:r w:rsidRPr="00A058B6">
        <w:rPr>
          <w:color w:val="000000"/>
        </w:rPr>
        <w:tab/>
        <w:t>(3)</w:t>
      </w:r>
      <w:r w:rsidRPr="00A058B6">
        <w:rPr>
          <w:color w:val="000000"/>
        </w:rPr>
        <w:tab/>
        <w:t>This subsection applies in relation to the superannuation interest if the benefits to which the member spouse is or may be entitled, on voluntarily ceasing to be a member of the eligible superannuation plan, may include an additional benefit that is calculated by reference to the amount that has been credited, under the governing rules of the plan, to the member spouse in respect of contributions that have been made by, or in respect of, the member spouse</w:t>
      </w:r>
      <w:r w:rsidR="00D7157D">
        <w:rPr>
          <w:color w:val="000000"/>
        </w:rPr>
        <w:t>.</w:t>
      </w:r>
    </w:p>
    <w:p w14:paraId="16A6E27B" w14:textId="62F074EB" w:rsidR="00D930D9" w:rsidRPr="00A058B6" w:rsidRDefault="00485CC2" w:rsidP="00D930D9">
      <w:pPr>
        <w:pStyle w:val="ActHead5"/>
      </w:pPr>
      <w:bookmarkStart w:id="17" w:name="_Toc188350504"/>
      <w:r w:rsidRPr="00423C34">
        <w:rPr>
          <w:rStyle w:val="CharSectno"/>
        </w:rPr>
        <w:t>11</w:t>
      </w:r>
      <w:r w:rsidR="00D930D9" w:rsidRPr="00A058B6">
        <w:t xml:space="preserve">  Meaning of </w:t>
      </w:r>
      <w:r w:rsidR="00D930D9" w:rsidRPr="00A058B6">
        <w:rPr>
          <w:i/>
        </w:rPr>
        <w:t>percentage</w:t>
      </w:r>
      <w:r w:rsidR="001952B3">
        <w:rPr>
          <w:i/>
        </w:rPr>
        <w:noBreakHyphen/>
      </w:r>
      <w:r w:rsidR="00D930D9" w:rsidRPr="00A058B6">
        <w:rPr>
          <w:i/>
        </w:rPr>
        <w:t>only interest</w:t>
      </w:r>
      <w:bookmarkEnd w:id="17"/>
    </w:p>
    <w:p w14:paraId="1B4B49F3" w14:textId="618B273D" w:rsidR="00D930D9" w:rsidRPr="00A058B6" w:rsidRDefault="00D930D9" w:rsidP="00D930D9">
      <w:pPr>
        <w:pStyle w:val="subsection"/>
      </w:pPr>
      <w:r w:rsidRPr="00A058B6">
        <w:tab/>
        <w:t>(1)</w:t>
      </w:r>
      <w:r w:rsidRPr="00A058B6">
        <w:tab/>
        <w:t xml:space="preserve">For the purposes of the definitions of </w:t>
      </w:r>
      <w:r w:rsidRPr="00A058B6">
        <w:rPr>
          <w:b/>
          <w:i/>
        </w:rPr>
        <w:t>percentage</w:t>
      </w:r>
      <w:r w:rsidR="001952B3">
        <w:rPr>
          <w:b/>
          <w:i/>
        </w:rPr>
        <w:noBreakHyphen/>
      </w:r>
      <w:r w:rsidRPr="00A058B6">
        <w:rPr>
          <w:b/>
          <w:i/>
        </w:rPr>
        <w:t>only interest</w:t>
      </w:r>
      <w:r w:rsidRPr="00A058B6">
        <w:t xml:space="preserve"> in sections 90XD and 90YD of the Act, each of the following superannuation interests is prescribed:</w:t>
      </w:r>
    </w:p>
    <w:p w14:paraId="3260AAC6" w14:textId="77777777" w:rsidR="00D930D9" w:rsidRPr="00A058B6" w:rsidRDefault="00EA1B6E" w:rsidP="00D930D9">
      <w:pPr>
        <w:pStyle w:val="paragraph"/>
      </w:pPr>
      <w:r>
        <w:tab/>
        <w:t>(a)</w:t>
      </w:r>
      <w:r>
        <w:tab/>
      </w:r>
      <w:r w:rsidR="00D930D9" w:rsidRPr="00A058B6">
        <w:t xml:space="preserve">a superannuation interest in the scheme constituted by the </w:t>
      </w:r>
      <w:r w:rsidR="00D930D9" w:rsidRPr="00A058B6">
        <w:rPr>
          <w:i/>
          <w:iCs/>
        </w:rPr>
        <w:t>Judges’ Pensions Act 1953</w:t>
      </w:r>
      <w:r w:rsidR="00D930D9" w:rsidRPr="00A058B6">
        <w:t xml:space="preserve"> (NSW);</w:t>
      </w:r>
    </w:p>
    <w:p w14:paraId="418429F3" w14:textId="77777777" w:rsidR="00D930D9" w:rsidRPr="00A058B6" w:rsidRDefault="00EA1B6E" w:rsidP="00D930D9">
      <w:pPr>
        <w:pStyle w:val="paragraph"/>
      </w:pPr>
      <w:r>
        <w:lastRenderedPageBreak/>
        <w:tab/>
        <w:t>(</w:t>
      </w:r>
      <w:r w:rsidR="00A35D57">
        <w:t>b</w:t>
      </w:r>
      <w:r>
        <w:t>)</w:t>
      </w:r>
      <w:r>
        <w:tab/>
      </w:r>
      <w:r w:rsidR="00D930D9" w:rsidRPr="00A058B6">
        <w:t xml:space="preserve">a superannuation interest in the scheme constituted by the </w:t>
      </w:r>
      <w:r w:rsidR="00D930D9" w:rsidRPr="00A058B6">
        <w:rPr>
          <w:i/>
        </w:rPr>
        <w:t xml:space="preserve">Judges (Pensions and Long Leave) Act 1957 </w:t>
      </w:r>
      <w:r w:rsidR="00D930D9" w:rsidRPr="00A058B6">
        <w:t>(Qld);</w:t>
      </w:r>
    </w:p>
    <w:p w14:paraId="064A15B7" w14:textId="77777777" w:rsidR="00D930D9" w:rsidRPr="00A058B6" w:rsidRDefault="00EA1B6E" w:rsidP="00D930D9">
      <w:pPr>
        <w:pStyle w:val="paragraph"/>
      </w:pPr>
      <w:r>
        <w:tab/>
        <w:t>(</w:t>
      </w:r>
      <w:r w:rsidR="00A35D57">
        <w:t>c</w:t>
      </w:r>
      <w:r>
        <w:t>)</w:t>
      </w:r>
      <w:r>
        <w:tab/>
      </w:r>
      <w:r w:rsidR="00D930D9" w:rsidRPr="00A058B6">
        <w:t xml:space="preserve">a superannuation interest in the scheme constituted by the </w:t>
      </w:r>
      <w:r w:rsidR="00D930D9" w:rsidRPr="00A058B6">
        <w:rPr>
          <w:i/>
        </w:rPr>
        <w:t>Governors (Salary and Pensions) Act 2003</w:t>
      </w:r>
      <w:r w:rsidR="00D930D9" w:rsidRPr="00A058B6">
        <w:t xml:space="preserve"> (Qld);</w:t>
      </w:r>
    </w:p>
    <w:p w14:paraId="632FB710" w14:textId="77777777" w:rsidR="00D930D9" w:rsidRPr="00A058B6" w:rsidRDefault="00EA1B6E" w:rsidP="00D930D9">
      <w:pPr>
        <w:pStyle w:val="paragraph"/>
      </w:pPr>
      <w:r>
        <w:tab/>
        <w:t>(</w:t>
      </w:r>
      <w:r w:rsidR="00A35D57">
        <w:t>d</w:t>
      </w:r>
      <w:r>
        <w:t>)</w:t>
      </w:r>
      <w:r>
        <w:tab/>
      </w:r>
      <w:r w:rsidR="00D930D9" w:rsidRPr="00A058B6">
        <w:t xml:space="preserve">a superannuation interest in the scheme constituted by the </w:t>
      </w:r>
      <w:r w:rsidR="00D930D9" w:rsidRPr="00A058B6">
        <w:rPr>
          <w:i/>
        </w:rPr>
        <w:t xml:space="preserve">Judges’ Contributory Pensions Act 1968 </w:t>
      </w:r>
      <w:r w:rsidR="00D930D9" w:rsidRPr="00A058B6">
        <w:t>(Tas);</w:t>
      </w:r>
    </w:p>
    <w:p w14:paraId="388ED9BF" w14:textId="77777777" w:rsidR="00D930D9" w:rsidRPr="00A058B6" w:rsidRDefault="00EA1B6E" w:rsidP="00D930D9">
      <w:pPr>
        <w:pStyle w:val="paragraph"/>
      </w:pPr>
      <w:r>
        <w:tab/>
        <w:t>(</w:t>
      </w:r>
      <w:r w:rsidR="00A35D57">
        <w:t>e</w:t>
      </w:r>
      <w:r>
        <w:t>)</w:t>
      </w:r>
      <w:r>
        <w:tab/>
      </w:r>
      <w:r w:rsidR="00D930D9" w:rsidRPr="00A058B6">
        <w:t>a superannuation interest in a superannuation annuity</w:t>
      </w:r>
      <w:r w:rsidR="00D7157D">
        <w:t>.</w:t>
      </w:r>
    </w:p>
    <w:p w14:paraId="5B4454AB" w14:textId="25D55C9B" w:rsidR="00D930D9" w:rsidRPr="00A058B6" w:rsidRDefault="00D930D9" w:rsidP="00D930D9">
      <w:pPr>
        <w:pStyle w:val="subsection"/>
      </w:pPr>
      <w:r w:rsidRPr="00A058B6">
        <w:tab/>
        <w:t>(2)</w:t>
      </w:r>
      <w:r w:rsidRPr="00A058B6">
        <w:tab/>
        <w:t xml:space="preserve">However, the superannuation interest is not prescribed as a </w:t>
      </w:r>
      <w:r w:rsidRPr="00A058B6">
        <w:rPr>
          <w:b/>
          <w:i/>
        </w:rPr>
        <w:t>percentage</w:t>
      </w:r>
      <w:r w:rsidR="001952B3">
        <w:rPr>
          <w:b/>
          <w:i/>
        </w:rPr>
        <w:noBreakHyphen/>
      </w:r>
      <w:r w:rsidRPr="00A058B6">
        <w:rPr>
          <w:b/>
          <w:i/>
        </w:rPr>
        <w:t>only interest</w:t>
      </w:r>
      <w:r w:rsidRPr="00A058B6">
        <w:t xml:space="preserve"> if it is covered by an item of the following table and immediately before the relevant day mentioned in that item:</w:t>
      </w:r>
    </w:p>
    <w:p w14:paraId="67710D9E" w14:textId="77777777" w:rsidR="00D930D9" w:rsidRPr="00A058B6" w:rsidRDefault="00EA1B6E" w:rsidP="00D930D9">
      <w:pPr>
        <w:pStyle w:val="paragraph"/>
      </w:pPr>
      <w:r>
        <w:tab/>
        <w:t>(a)</w:t>
      </w:r>
      <w:r>
        <w:tab/>
      </w:r>
      <w:r w:rsidR="00D930D9" w:rsidRPr="00A058B6">
        <w:t>either:</w:t>
      </w:r>
    </w:p>
    <w:p w14:paraId="77245D02" w14:textId="77777777" w:rsidR="00D930D9" w:rsidRPr="00A058B6" w:rsidRDefault="00D930D9" w:rsidP="00D930D9">
      <w:pPr>
        <w:pStyle w:val="paragraphsub"/>
      </w:pPr>
      <w:r w:rsidRPr="00A058B6">
        <w:tab/>
        <w:t>(i)</w:t>
      </w:r>
      <w:r w:rsidRPr="00A058B6">
        <w:tab/>
        <w:t>the interest is covered by a superannuation agreement or a flag lifting agreement that is in force and provides for a payment split; or</w:t>
      </w:r>
    </w:p>
    <w:p w14:paraId="4911042C" w14:textId="1DF413AA" w:rsidR="00D930D9" w:rsidRPr="00A058B6" w:rsidRDefault="00D930D9" w:rsidP="00D930D9">
      <w:pPr>
        <w:pStyle w:val="paragraphsub"/>
      </w:pPr>
      <w:r w:rsidRPr="00A058B6">
        <w:tab/>
        <w:t>(ii)</w:t>
      </w:r>
      <w:r w:rsidRPr="00A058B6">
        <w:tab/>
        <w:t xml:space="preserve">the interest is an interest to which </w:t>
      </w:r>
      <w:r w:rsidR="00FE15C4">
        <w:t>subsection 9</w:t>
      </w:r>
      <w:r w:rsidRPr="00A058B6">
        <w:t>0XJ(5) or 90YN(5) of the Act applies; or</w:t>
      </w:r>
    </w:p>
    <w:p w14:paraId="2CD9DBEF" w14:textId="77777777" w:rsidR="00D930D9" w:rsidRPr="00A058B6" w:rsidRDefault="00EA1B6E" w:rsidP="00D930D9">
      <w:pPr>
        <w:pStyle w:val="paragraph"/>
      </w:pPr>
      <w:r>
        <w:tab/>
        <w:t>(b)</w:t>
      </w:r>
      <w:r>
        <w:tab/>
      </w:r>
      <w:r w:rsidR="00D930D9" w:rsidRPr="00A058B6">
        <w:t>the interest is covered by a splitting order; or</w:t>
      </w:r>
    </w:p>
    <w:p w14:paraId="3CD73265" w14:textId="2E2FB3A5" w:rsidR="00D930D9" w:rsidRPr="00A058B6" w:rsidRDefault="00EA1B6E" w:rsidP="00D930D9">
      <w:pPr>
        <w:pStyle w:val="paragraph"/>
      </w:pPr>
      <w:r>
        <w:tab/>
        <w:t>(c)</w:t>
      </w:r>
      <w:r>
        <w:tab/>
      </w:r>
      <w:r w:rsidR="00D930D9" w:rsidRPr="00A058B6">
        <w:t>the non</w:t>
      </w:r>
      <w:r w:rsidR="001952B3">
        <w:noBreakHyphen/>
      </w:r>
      <w:r w:rsidR="00D930D9" w:rsidRPr="00A058B6">
        <w:t xml:space="preserve">member spouse has served a waiver notice on the trustee under </w:t>
      </w:r>
      <w:r w:rsidR="00AF1E4E">
        <w:t>section 9</w:t>
      </w:r>
      <w:r w:rsidR="00D930D9" w:rsidRPr="00A058B6">
        <w:t>0XZA or 90YZQ of the Act in respect of the interest</w:t>
      </w:r>
      <w:r w:rsidR="00D7157D">
        <w:t>.</w:t>
      </w:r>
    </w:p>
    <w:p w14:paraId="26B52CFA" w14:textId="77777777" w:rsidR="00D930D9" w:rsidRPr="00A058B6" w:rsidRDefault="00D930D9" w:rsidP="00D930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4102"/>
        <w:gridCol w:w="3498"/>
      </w:tblGrid>
      <w:tr w:rsidR="00D930D9" w:rsidRPr="00A058B6" w14:paraId="6AA1C840" w14:textId="77777777" w:rsidTr="0010262E">
        <w:trPr>
          <w:tblHeader/>
        </w:trPr>
        <w:tc>
          <w:tcPr>
            <w:tcW w:w="5000" w:type="pct"/>
            <w:gridSpan w:val="3"/>
            <w:tcBorders>
              <w:top w:val="single" w:sz="12" w:space="0" w:color="auto"/>
              <w:bottom w:val="single" w:sz="6" w:space="0" w:color="auto"/>
            </w:tcBorders>
            <w:shd w:val="clear" w:color="auto" w:fill="auto"/>
          </w:tcPr>
          <w:p w14:paraId="0F8B35F6" w14:textId="0FE24300" w:rsidR="00D930D9" w:rsidRPr="00A058B6" w:rsidRDefault="00D930D9" w:rsidP="00445157">
            <w:pPr>
              <w:pStyle w:val="TableHeading"/>
            </w:pPr>
            <w:r w:rsidRPr="00A058B6">
              <w:t xml:space="preserve">When the superannuation interest is not a </w:t>
            </w:r>
            <w:r w:rsidRPr="00A058B6">
              <w:rPr>
                <w:i/>
              </w:rPr>
              <w:t>percentage</w:t>
            </w:r>
            <w:r w:rsidR="001952B3">
              <w:rPr>
                <w:i/>
              </w:rPr>
              <w:noBreakHyphen/>
            </w:r>
            <w:r w:rsidRPr="00A058B6">
              <w:rPr>
                <w:i/>
              </w:rPr>
              <w:t>only interest</w:t>
            </w:r>
          </w:p>
        </w:tc>
      </w:tr>
      <w:tr w:rsidR="00D930D9" w:rsidRPr="00A058B6" w14:paraId="6072D8CF" w14:textId="77777777" w:rsidTr="0010262E">
        <w:trPr>
          <w:tblHeader/>
        </w:trPr>
        <w:tc>
          <w:tcPr>
            <w:tcW w:w="429" w:type="pct"/>
            <w:tcBorders>
              <w:top w:val="single" w:sz="6" w:space="0" w:color="auto"/>
              <w:bottom w:val="single" w:sz="12" w:space="0" w:color="auto"/>
            </w:tcBorders>
            <w:shd w:val="clear" w:color="auto" w:fill="auto"/>
          </w:tcPr>
          <w:p w14:paraId="5B8C2DB1" w14:textId="77777777" w:rsidR="00D930D9" w:rsidRPr="00A058B6" w:rsidRDefault="00D930D9" w:rsidP="00445157">
            <w:pPr>
              <w:pStyle w:val="TableHeading"/>
            </w:pPr>
            <w:r w:rsidRPr="00A058B6">
              <w:t>Item</w:t>
            </w:r>
          </w:p>
        </w:tc>
        <w:tc>
          <w:tcPr>
            <w:tcW w:w="2467" w:type="pct"/>
            <w:tcBorders>
              <w:top w:val="single" w:sz="6" w:space="0" w:color="auto"/>
              <w:bottom w:val="single" w:sz="12" w:space="0" w:color="auto"/>
            </w:tcBorders>
            <w:shd w:val="clear" w:color="auto" w:fill="auto"/>
          </w:tcPr>
          <w:p w14:paraId="2BC1D577" w14:textId="77777777" w:rsidR="00D930D9" w:rsidRPr="00A058B6" w:rsidRDefault="00D930D9" w:rsidP="00445157">
            <w:pPr>
              <w:pStyle w:val="TableHeading"/>
            </w:pPr>
            <w:r w:rsidRPr="00A058B6">
              <w:t>If the superannuation interest is covered by:</w:t>
            </w:r>
          </w:p>
        </w:tc>
        <w:tc>
          <w:tcPr>
            <w:tcW w:w="2104" w:type="pct"/>
            <w:tcBorders>
              <w:top w:val="single" w:sz="6" w:space="0" w:color="auto"/>
              <w:bottom w:val="single" w:sz="12" w:space="0" w:color="auto"/>
            </w:tcBorders>
            <w:shd w:val="clear" w:color="auto" w:fill="auto"/>
          </w:tcPr>
          <w:p w14:paraId="4626FADD" w14:textId="77777777" w:rsidR="00D930D9" w:rsidRPr="00A058B6" w:rsidRDefault="00D930D9" w:rsidP="00445157">
            <w:pPr>
              <w:pStyle w:val="TableHeading"/>
            </w:pPr>
            <w:r w:rsidRPr="00A058B6">
              <w:t>the relevant day is:</w:t>
            </w:r>
          </w:p>
        </w:tc>
      </w:tr>
      <w:tr w:rsidR="00D930D9" w:rsidRPr="00A058B6" w14:paraId="74831725" w14:textId="77777777" w:rsidTr="0010262E">
        <w:tc>
          <w:tcPr>
            <w:tcW w:w="429" w:type="pct"/>
            <w:tcBorders>
              <w:top w:val="single" w:sz="12" w:space="0" w:color="auto"/>
              <w:bottom w:val="single" w:sz="2" w:space="0" w:color="auto"/>
            </w:tcBorders>
            <w:shd w:val="clear" w:color="auto" w:fill="auto"/>
          </w:tcPr>
          <w:p w14:paraId="30F465F3" w14:textId="77777777" w:rsidR="00D930D9" w:rsidRPr="00A058B6" w:rsidRDefault="00D930D9" w:rsidP="00445157">
            <w:pPr>
              <w:pStyle w:val="Tabletext"/>
            </w:pPr>
            <w:r w:rsidRPr="00A058B6">
              <w:t>1</w:t>
            </w:r>
          </w:p>
        </w:tc>
        <w:tc>
          <w:tcPr>
            <w:tcW w:w="2467" w:type="pct"/>
            <w:tcBorders>
              <w:top w:val="single" w:sz="12" w:space="0" w:color="auto"/>
              <w:bottom w:val="single" w:sz="2" w:space="0" w:color="auto"/>
            </w:tcBorders>
            <w:shd w:val="clear" w:color="auto" w:fill="auto"/>
          </w:tcPr>
          <w:p w14:paraId="2AF7F292" w14:textId="5581A67D" w:rsidR="00D930D9" w:rsidRPr="00A058B6" w:rsidRDefault="00453C86" w:rsidP="00445157">
            <w:pPr>
              <w:pStyle w:val="Tabletext"/>
            </w:pPr>
            <w:r>
              <w:t>paragraph (</w:t>
            </w:r>
            <w:r w:rsidR="00D930D9" w:rsidRPr="00A058B6">
              <w:t>1)(</w:t>
            </w:r>
            <w:r w:rsidR="009214F4">
              <w:t>b</w:t>
            </w:r>
            <w:r w:rsidR="00D930D9" w:rsidRPr="00A058B6">
              <w:t>) of this section</w:t>
            </w:r>
          </w:p>
        </w:tc>
        <w:tc>
          <w:tcPr>
            <w:tcW w:w="2104" w:type="pct"/>
            <w:tcBorders>
              <w:top w:val="single" w:sz="12" w:space="0" w:color="auto"/>
              <w:bottom w:val="single" w:sz="2" w:space="0" w:color="auto"/>
            </w:tcBorders>
            <w:shd w:val="clear" w:color="auto" w:fill="auto"/>
          </w:tcPr>
          <w:p w14:paraId="052195F9" w14:textId="77777777" w:rsidR="00D930D9" w:rsidRPr="00A058B6" w:rsidRDefault="00D930D9" w:rsidP="00445157">
            <w:pPr>
              <w:pStyle w:val="Tabletext"/>
            </w:pPr>
            <w:r w:rsidRPr="00A058B6">
              <w:t>3 September 2003</w:t>
            </w:r>
          </w:p>
        </w:tc>
      </w:tr>
      <w:tr w:rsidR="00D930D9" w:rsidRPr="00A058B6" w14:paraId="1993A6B5" w14:textId="77777777" w:rsidTr="0010262E">
        <w:tc>
          <w:tcPr>
            <w:tcW w:w="429" w:type="pct"/>
            <w:tcBorders>
              <w:top w:val="single" w:sz="2" w:space="0" w:color="auto"/>
              <w:bottom w:val="single" w:sz="12" w:space="0" w:color="auto"/>
            </w:tcBorders>
            <w:shd w:val="clear" w:color="auto" w:fill="auto"/>
          </w:tcPr>
          <w:p w14:paraId="641BCE4A" w14:textId="77777777" w:rsidR="00D930D9" w:rsidRPr="00A058B6" w:rsidRDefault="00D930D9" w:rsidP="00445157">
            <w:pPr>
              <w:pStyle w:val="Tabletext"/>
            </w:pPr>
            <w:r w:rsidRPr="00A058B6">
              <w:t>2</w:t>
            </w:r>
          </w:p>
        </w:tc>
        <w:tc>
          <w:tcPr>
            <w:tcW w:w="2467" w:type="pct"/>
            <w:tcBorders>
              <w:top w:val="single" w:sz="2" w:space="0" w:color="auto"/>
              <w:bottom w:val="single" w:sz="12" w:space="0" w:color="auto"/>
            </w:tcBorders>
            <w:shd w:val="clear" w:color="auto" w:fill="auto"/>
          </w:tcPr>
          <w:p w14:paraId="19C5E3CC" w14:textId="5C542569" w:rsidR="00D930D9" w:rsidRPr="00A058B6" w:rsidRDefault="00453C86" w:rsidP="00445157">
            <w:pPr>
              <w:pStyle w:val="Tabletext"/>
            </w:pPr>
            <w:r>
              <w:t>paragraph (</w:t>
            </w:r>
            <w:r w:rsidR="00D930D9" w:rsidRPr="00A058B6">
              <w:t>1)(</w:t>
            </w:r>
            <w:r w:rsidR="00A35D57">
              <w:t>d</w:t>
            </w:r>
            <w:r w:rsidR="00D930D9" w:rsidRPr="00A058B6">
              <w:t>) of this section</w:t>
            </w:r>
          </w:p>
        </w:tc>
        <w:tc>
          <w:tcPr>
            <w:tcW w:w="2104" w:type="pct"/>
            <w:tcBorders>
              <w:top w:val="single" w:sz="2" w:space="0" w:color="auto"/>
              <w:bottom w:val="single" w:sz="12" w:space="0" w:color="auto"/>
            </w:tcBorders>
            <w:shd w:val="clear" w:color="auto" w:fill="auto"/>
          </w:tcPr>
          <w:p w14:paraId="57C0C6B3" w14:textId="77777777" w:rsidR="00D930D9" w:rsidRPr="00A058B6" w:rsidRDefault="00D930D9" w:rsidP="00445157">
            <w:pPr>
              <w:pStyle w:val="Tabletext"/>
            </w:pPr>
            <w:r w:rsidRPr="00A058B6">
              <w:t>2 May 2003</w:t>
            </w:r>
          </w:p>
        </w:tc>
      </w:tr>
    </w:tbl>
    <w:p w14:paraId="506F33E3" w14:textId="77777777" w:rsidR="00D930D9" w:rsidRDefault="00D930D9" w:rsidP="00D930D9">
      <w:pPr>
        <w:pStyle w:val="subsection"/>
      </w:pPr>
      <w:r w:rsidRPr="00A058B6">
        <w:tab/>
        <w:t>(3)</w:t>
      </w:r>
      <w:r w:rsidRPr="00A058B6">
        <w:tab/>
        <w:t>Subsection (2) applies only in relation to the agreement, order or notice</w:t>
      </w:r>
      <w:r w:rsidR="00D7157D">
        <w:t>.</w:t>
      </w:r>
    </w:p>
    <w:p w14:paraId="552665E7" w14:textId="29E80925" w:rsidR="00DC07DD" w:rsidRPr="00C96CF8" w:rsidRDefault="00DC07DD" w:rsidP="00D930D9">
      <w:pPr>
        <w:pStyle w:val="subsection"/>
      </w:pPr>
      <w:r>
        <w:tab/>
        <w:t>(4)</w:t>
      </w:r>
      <w:r>
        <w:tab/>
        <w:t xml:space="preserve">A reference in </w:t>
      </w:r>
      <w:r w:rsidR="00A52DA5">
        <w:t>subsection (</w:t>
      </w:r>
      <w:r>
        <w:t>1)</w:t>
      </w:r>
      <w:r w:rsidR="00C035B8">
        <w:t xml:space="preserve"> to an Act</w:t>
      </w:r>
      <w:r w:rsidR="00736F82">
        <w:t xml:space="preserve"> </w:t>
      </w:r>
      <w:r w:rsidR="00C035B8">
        <w:t xml:space="preserve">of a State or Territory is a reference to that Act as in force </w:t>
      </w:r>
      <w:r w:rsidR="00C96CF8">
        <w:t xml:space="preserve">on </w:t>
      </w:r>
      <w:r w:rsidR="00453C86">
        <w:t>1 April</w:t>
      </w:r>
      <w:r w:rsidR="00601671">
        <w:t xml:space="preserve"> 2025</w:t>
      </w:r>
      <w:r w:rsidR="00D7157D">
        <w:t>.</w:t>
      </w:r>
    </w:p>
    <w:p w14:paraId="3D2031F9" w14:textId="6892521D" w:rsidR="00D930D9" w:rsidRPr="00A058B6" w:rsidRDefault="00485CC2" w:rsidP="00D930D9">
      <w:pPr>
        <w:pStyle w:val="ActHead5"/>
      </w:pPr>
      <w:bookmarkStart w:id="18" w:name="_Toc188350505"/>
      <w:r w:rsidRPr="00423C34">
        <w:rPr>
          <w:rStyle w:val="CharSectno"/>
        </w:rPr>
        <w:t>12</w:t>
      </w:r>
      <w:r w:rsidR="00D930D9" w:rsidRPr="00A058B6">
        <w:t xml:space="preserve">  Meaning of </w:t>
      </w:r>
      <w:r w:rsidR="00D930D9" w:rsidRPr="00A058B6">
        <w:rPr>
          <w:i/>
        </w:rPr>
        <w:t>trustee</w:t>
      </w:r>
      <w:bookmarkEnd w:id="18"/>
    </w:p>
    <w:p w14:paraId="1729FC3E" w14:textId="6AE3E56A" w:rsidR="00D930D9" w:rsidRPr="00A058B6" w:rsidRDefault="00D930D9" w:rsidP="00D930D9">
      <w:pPr>
        <w:pStyle w:val="subsection"/>
      </w:pPr>
      <w:r w:rsidRPr="00A058B6">
        <w:tab/>
        <w:t>(1)</w:t>
      </w:r>
      <w:r w:rsidRPr="00A058B6">
        <w:tab/>
        <w:t xml:space="preserve">For the purposes of </w:t>
      </w:r>
      <w:r w:rsidR="00453C86">
        <w:t>paragraph (</w:t>
      </w:r>
      <w:r w:rsidRPr="00A058B6">
        <w:t xml:space="preserve">b) of the definitions of </w:t>
      </w:r>
      <w:r w:rsidRPr="00A058B6">
        <w:rPr>
          <w:b/>
          <w:i/>
        </w:rPr>
        <w:t>trustee</w:t>
      </w:r>
      <w:r w:rsidRPr="00A058B6">
        <w:t xml:space="preserve"> in sections 90XD and 90YD of the Act, each of the persons mentioned in an item of the following table is identified as a trustee of the eligible superannuation plan mentioned in that item</w:t>
      </w:r>
      <w:r w:rsidR="00D7157D">
        <w:t>.</w:t>
      </w:r>
    </w:p>
    <w:p w14:paraId="40BEA7BF" w14:textId="77777777" w:rsidR="00D930D9" w:rsidRPr="00A058B6" w:rsidRDefault="00D930D9" w:rsidP="00D930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4527"/>
        <w:gridCol w:w="3072"/>
      </w:tblGrid>
      <w:tr w:rsidR="00D930D9" w:rsidRPr="00A058B6" w14:paraId="50831D77" w14:textId="77777777" w:rsidTr="00445157">
        <w:trPr>
          <w:tblHeader/>
        </w:trPr>
        <w:tc>
          <w:tcPr>
            <w:tcW w:w="5000" w:type="pct"/>
            <w:gridSpan w:val="3"/>
            <w:tcBorders>
              <w:top w:val="single" w:sz="12" w:space="0" w:color="auto"/>
              <w:bottom w:val="single" w:sz="6" w:space="0" w:color="auto"/>
            </w:tcBorders>
            <w:shd w:val="clear" w:color="auto" w:fill="auto"/>
          </w:tcPr>
          <w:p w14:paraId="6D362054" w14:textId="77777777" w:rsidR="00D930D9" w:rsidRPr="00A058B6" w:rsidRDefault="00D930D9" w:rsidP="00445157">
            <w:pPr>
              <w:pStyle w:val="TableHeading"/>
            </w:pPr>
            <w:r w:rsidRPr="00A058B6">
              <w:t>Persons identified as a trustee of an eligible superannuation plan</w:t>
            </w:r>
          </w:p>
        </w:tc>
      </w:tr>
      <w:tr w:rsidR="00D930D9" w:rsidRPr="00A058B6" w14:paraId="66551FF8" w14:textId="77777777" w:rsidTr="00445157">
        <w:trPr>
          <w:tblHeader/>
        </w:trPr>
        <w:tc>
          <w:tcPr>
            <w:tcW w:w="429" w:type="pct"/>
            <w:tcBorders>
              <w:top w:val="single" w:sz="6" w:space="0" w:color="auto"/>
              <w:bottom w:val="single" w:sz="12" w:space="0" w:color="auto"/>
            </w:tcBorders>
            <w:shd w:val="clear" w:color="auto" w:fill="auto"/>
          </w:tcPr>
          <w:p w14:paraId="510E4E3F" w14:textId="77777777" w:rsidR="00D930D9" w:rsidRPr="00A058B6" w:rsidRDefault="00D930D9" w:rsidP="00445157">
            <w:pPr>
              <w:pStyle w:val="TableHeading"/>
            </w:pPr>
            <w:r w:rsidRPr="00A058B6">
              <w:t>Item</w:t>
            </w:r>
          </w:p>
        </w:tc>
        <w:tc>
          <w:tcPr>
            <w:tcW w:w="2723" w:type="pct"/>
            <w:tcBorders>
              <w:top w:val="single" w:sz="6" w:space="0" w:color="auto"/>
              <w:bottom w:val="single" w:sz="12" w:space="0" w:color="auto"/>
            </w:tcBorders>
            <w:shd w:val="clear" w:color="auto" w:fill="auto"/>
          </w:tcPr>
          <w:p w14:paraId="2CDCB5EF" w14:textId="77777777" w:rsidR="00D930D9" w:rsidRPr="00A058B6" w:rsidRDefault="00D930D9" w:rsidP="00445157">
            <w:pPr>
              <w:pStyle w:val="TableHeading"/>
            </w:pPr>
            <w:r w:rsidRPr="00A058B6">
              <w:t>Each of these persons is identified as a trustee:</w:t>
            </w:r>
          </w:p>
        </w:tc>
        <w:tc>
          <w:tcPr>
            <w:tcW w:w="1848" w:type="pct"/>
            <w:tcBorders>
              <w:top w:val="single" w:sz="6" w:space="0" w:color="auto"/>
              <w:bottom w:val="single" w:sz="12" w:space="0" w:color="auto"/>
            </w:tcBorders>
            <w:shd w:val="clear" w:color="auto" w:fill="auto"/>
          </w:tcPr>
          <w:p w14:paraId="2A3C4CA5" w14:textId="77777777" w:rsidR="00D930D9" w:rsidRPr="00A058B6" w:rsidRDefault="00D930D9" w:rsidP="00445157">
            <w:pPr>
              <w:pStyle w:val="TableHeading"/>
            </w:pPr>
            <w:r w:rsidRPr="00A058B6">
              <w:t>of this plan:</w:t>
            </w:r>
          </w:p>
        </w:tc>
      </w:tr>
      <w:tr w:rsidR="00D930D9" w:rsidRPr="00A058B6" w14:paraId="1783E106" w14:textId="77777777" w:rsidTr="00445157">
        <w:tc>
          <w:tcPr>
            <w:tcW w:w="429" w:type="pct"/>
            <w:tcBorders>
              <w:top w:val="single" w:sz="12" w:space="0" w:color="auto"/>
            </w:tcBorders>
            <w:shd w:val="clear" w:color="auto" w:fill="auto"/>
          </w:tcPr>
          <w:p w14:paraId="6AB8589D" w14:textId="77777777" w:rsidR="00D930D9" w:rsidRPr="00A058B6" w:rsidRDefault="00D930D9" w:rsidP="00445157">
            <w:pPr>
              <w:pStyle w:val="Tabletext"/>
            </w:pPr>
            <w:r w:rsidRPr="00A058B6">
              <w:t>1</w:t>
            </w:r>
          </w:p>
        </w:tc>
        <w:tc>
          <w:tcPr>
            <w:tcW w:w="2723" w:type="pct"/>
            <w:tcBorders>
              <w:top w:val="single" w:sz="12" w:space="0" w:color="auto"/>
            </w:tcBorders>
            <w:shd w:val="clear" w:color="auto" w:fill="auto"/>
          </w:tcPr>
          <w:p w14:paraId="3D2C71FA" w14:textId="77777777" w:rsidR="00D930D9" w:rsidRPr="00A058B6" w:rsidRDefault="00D930D9" w:rsidP="00445157">
            <w:pPr>
              <w:pStyle w:val="Tablea"/>
            </w:pPr>
            <w:r w:rsidRPr="00A058B6">
              <w:t>(a) the General Manager of Fair Work Australia, for a member of the Scheme who is:</w:t>
            </w:r>
          </w:p>
          <w:p w14:paraId="6D1D4FB8" w14:textId="77777777" w:rsidR="00D930D9" w:rsidRPr="00A058B6" w:rsidRDefault="00D930D9" w:rsidP="00445157">
            <w:pPr>
              <w:pStyle w:val="Tablei"/>
            </w:pPr>
            <w:r w:rsidRPr="00A058B6">
              <w:t>(i) the President (or a former President) of Fair Work Australia; or</w:t>
            </w:r>
          </w:p>
          <w:p w14:paraId="18884620" w14:textId="77777777" w:rsidR="00D930D9" w:rsidRPr="00A058B6" w:rsidRDefault="00D930D9" w:rsidP="00445157">
            <w:pPr>
              <w:pStyle w:val="Tablei"/>
            </w:pPr>
            <w:r w:rsidRPr="00A058B6">
              <w:t>(ii) a Deputy President (or a former Deputy President) of Fair Work Australia who was a Presidential Member of the Australian Industrial Relations Commission; or</w:t>
            </w:r>
          </w:p>
          <w:p w14:paraId="3EF6EBE7" w14:textId="77777777" w:rsidR="00D930D9" w:rsidRPr="00A058B6" w:rsidRDefault="00D930D9" w:rsidP="00445157">
            <w:pPr>
              <w:pStyle w:val="Tablei"/>
            </w:pPr>
            <w:r w:rsidRPr="00A058B6">
              <w:lastRenderedPageBreak/>
              <w:t>(iii)</w:t>
            </w:r>
            <w:r>
              <w:t xml:space="preserve"> </w:t>
            </w:r>
            <w:r w:rsidRPr="00A058B6">
              <w:t>a former Presidential Member of the Australian Industrial Relations Commission; or</w:t>
            </w:r>
          </w:p>
          <w:p w14:paraId="21C4D230" w14:textId="4520EB13" w:rsidR="00D930D9" w:rsidRPr="00A058B6" w:rsidRDefault="00D930D9" w:rsidP="00445157">
            <w:pPr>
              <w:pStyle w:val="Tablei"/>
            </w:pPr>
            <w:r w:rsidRPr="00A058B6">
              <w:t>(iv)</w:t>
            </w:r>
            <w:r>
              <w:t xml:space="preserve"> </w:t>
            </w:r>
            <w:r w:rsidRPr="00A058B6">
              <w:t>a spouse of a person mentioned in sub</w:t>
            </w:r>
            <w:r w:rsidR="00453C86">
              <w:t>paragraph (</w:t>
            </w:r>
            <w:r w:rsidRPr="00A058B6">
              <w:t>i), (ii), or (iii);</w:t>
            </w:r>
          </w:p>
          <w:p w14:paraId="16C04A0A" w14:textId="77777777" w:rsidR="00D930D9" w:rsidRPr="00A058B6" w:rsidRDefault="00D930D9" w:rsidP="00445157">
            <w:pPr>
              <w:pStyle w:val="Tablea"/>
            </w:pPr>
            <w:r w:rsidRPr="00A058B6">
              <w:t>(b) for any other member of the Scheme—the Secretary of the Department of Finance</w:t>
            </w:r>
          </w:p>
        </w:tc>
        <w:tc>
          <w:tcPr>
            <w:tcW w:w="1848" w:type="pct"/>
            <w:tcBorders>
              <w:top w:val="single" w:sz="12" w:space="0" w:color="auto"/>
            </w:tcBorders>
            <w:shd w:val="clear" w:color="auto" w:fill="auto"/>
          </w:tcPr>
          <w:p w14:paraId="69E529DD" w14:textId="77777777" w:rsidR="00D930D9" w:rsidRPr="00A058B6" w:rsidRDefault="00D930D9" w:rsidP="00445157">
            <w:pPr>
              <w:pStyle w:val="Tabletext"/>
            </w:pPr>
            <w:r w:rsidRPr="00A058B6">
              <w:lastRenderedPageBreak/>
              <w:t>the Judges’ Pensions Act Scheme</w:t>
            </w:r>
            <w:r w:rsidR="00D7157D">
              <w:t>.</w:t>
            </w:r>
          </w:p>
        </w:tc>
      </w:tr>
      <w:tr w:rsidR="00D930D9" w:rsidRPr="00A058B6" w14:paraId="6D9F7502" w14:textId="77777777" w:rsidTr="00445157">
        <w:tc>
          <w:tcPr>
            <w:tcW w:w="429" w:type="pct"/>
            <w:shd w:val="clear" w:color="auto" w:fill="auto"/>
          </w:tcPr>
          <w:p w14:paraId="395C5F93" w14:textId="77777777" w:rsidR="00D930D9" w:rsidRPr="00A058B6" w:rsidRDefault="00D930D9" w:rsidP="00445157">
            <w:pPr>
              <w:pStyle w:val="Tabletext"/>
            </w:pPr>
            <w:r w:rsidRPr="00A058B6">
              <w:t>2</w:t>
            </w:r>
          </w:p>
        </w:tc>
        <w:tc>
          <w:tcPr>
            <w:tcW w:w="2723" w:type="pct"/>
            <w:shd w:val="clear" w:color="auto" w:fill="auto"/>
          </w:tcPr>
          <w:p w14:paraId="27CB4D51" w14:textId="77777777" w:rsidR="00D930D9" w:rsidRPr="0043469D" w:rsidRDefault="00D930D9" w:rsidP="00445157">
            <w:pPr>
              <w:pStyle w:val="Tabletext"/>
            </w:pPr>
            <w:r w:rsidRPr="00A058B6">
              <w:t xml:space="preserve">the Parliamentary Retiring Allowances Trust established under the </w:t>
            </w:r>
            <w:r w:rsidRPr="00A058B6">
              <w:rPr>
                <w:i/>
              </w:rPr>
              <w:t>Parliamentary Contributory Superannuation Act 1948</w:t>
            </w:r>
          </w:p>
        </w:tc>
        <w:tc>
          <w:tcPr>
            <w:tcW w:w="1848" w:type="pct"/>
            <w:shd w:val="clear" w:color="auto" w:fill="auto"/>
          </w:tcPr>
          <w:p w14:paraId="3D61D7C5" w14:textId="77777777" w:rsidR="00D930D9" w:rsidRPr="00A058B6" w:rsidRDefault="00D930D9" w:rsidP="00445157">
            <w:pPr>
              <w:pStyle w:val="Tabletext"/>
            </w:pPr>
            <w:r w:rsidRPr="00A058B6">
              <w:t xml:space="preserve">the scheme constituted by the </w:t>
            </w:r>
            <w:r w:rsidRPr="00A058B6">
              <w:rPr>
                <w:i/>
              </w:rPr>
              <w:t>Parliamentary Contributory Superannuation Act 1948</w:t>
            </w:r>
            <w:r w:rsidR="00D7157D">
              <w:t>.</w:t>
            </w:r>
          </w:p>
        </w:tc>
      </w:tr>
      <w:tr w:rsidR="00D930D9" w:rsidRPr="00A058B6" w14:paraId="0A1756F9" w14:textId="77777777" w:rsidTr="00445157">
        <w:tc>
          <w:tcPr>
            <w:tcW w:w="429" w:type="pct"/>
            <w:shd w:val="clear" w:color="auto" w:fill="auto"/>
          </w:tcPr>
          <w:p w14:paraId="1958C2C4" w14:textId="77777777" w:rsidR="00D930D9" w:rsidRPr="00A058B6" w:rsidRDefault="00D930D9" w:rsidP="00445157">
            <w:pPr>
              <w:pStyle w:val="Tabletext"/>
            </w:pPr>
            <w:r w:rsidRPr="00A058B6">
              <w:t>3</w:t>
            </w:r>
          </w:p>
        </w:tc>
        <w:tc>
          <w:tcPr>
            <w:tcW w:w="2723" w:type="pct"/>
            <w:shd w:val="clear" w:color="auto" w:fill="auto"/>
          </w:tcPr>
          <w:p w14:paraId="7D34A88C" w14:textId="77777777" w:rsidR="00D930D9" w:rsidRPr="00A058B6" w:rsidRDefault="00D930D9" w:rsidP="00445157">
            <w:pPr>
              <w:pStyle w:val="Tabletext"/>
            </w:pPr>
            <w:r w:rsidRPr="00A058B6">
              <w:t xml:space="preserve">an RSA provider (within the meaning of the </w:t>
            </w:r>
            <w:r w:rsidRPr="00A058B6">
              <w:rPr>
                <w:i/>
              </w:rPr>
              <w:t>Retirement Savings Accounts Act 1997</w:t>
            </w:r>
            <w:r w:rsidRPr="00A058B6">
              <w:t>) that has accepted contributions to an RSA</w:t>
            </w:r>
          </w:p>
        </w:tc>
        <w:tc>
          <w:tcPr>
            <w:tcW w:w="1848" w:type="pct"/>
            <w:shd w:val="clear" w:color="auto" w:fill="auto"/>
          </w:tcPr>
          <w:p w14:paraId="683310C5" w14:textId="77777777" w:rsidR="00D930D9" w:rsidRPr="00A058B6" w:rsidRDefault="00D930D9" w:rsidP="00445157">
            <w:pPr>
              <w:pStyle w:val="Tabletext"/>
            </w:pPr>
            <w:r w:rsidRPr="00A058B6">
              <w:t>that RSA</w:t>
            </w:r>
            <w:r w:rsidR="00D7157D">
              <w:t>.</w:t>
            </w:r>
          </w:p>
        </w:tc>
      </w:tr>
      <w:tr w:rsidR="00D930D9" w:rsidRPr="00A058B6" w14:paraId="3E110D6F" w14:textId="77777777" w:rsidTr="00445157">
        <w:tc>
          <w:tcPr>
            <w:tcW w:w="429" w:type="pct"/>
            <w:shd w:val="clear" w:color="auto" w:fill="auto"/>
          </w:tcPr>
          <w:p w14:paraId="3C70362B" w14:textId="77777777" w:rsidR="00D930D9" w:rsidRPr="00A058B6" w:rsidRDefault="00D930D9" w:rsidP="00445157">
            <w:pPr>
              <w:pStyle w:val="Tabletext"/>
            </w:pPr>
            <w:r w:rsidRPr="00A058B6">
              <w:t>4</w:t>
            </w:r>
          </w:p>
        </w:tc>
        <w:tc>
          <w:tcPr>
            <w:tcW w:w="2723" w:type="pct"/>
            <w:shd w:val="clear" w:color="auto" w:fill="auto"/>
          </w:tcPr>
          <w:p w14:paraId="37DAF3CD" w14:textId="77777777" w:rsidR="00D930D9" w:rsidRPr="00A058B6" w:rsidRDefault="00D930D9" w:rsidP="00445157">
            <w:pPr>
              <w:pStyle w:val="Tabletext"/>
            </w:pPr>
            <w:r w:rsidRPr="00A058B6">
              <w:t>the Commissioner of Taxation</w:t>
            </w:r>
          </w:p>
        </w:tc>
        <w:tc>
          <w:tcPr>
            <w:tcW w:w="1848" w:type="pct"/>
            <w:shd w:val="clear" w:color="auto" w:fill="auto"/>
          </w:tcPr>
          <w:p w14:paraId="65C7D3B1" w14:textId="77777777" w:rsidR="00D930D9" w:rsidRPr="00A058B6" w:rsidRDefault="00D930D9" w:rsidP="00445157">
            <w:pPr>
              <w:pStyle w:val="Tabletext"/>
            </w:pPr>
            <w:r w:rsidRPr="00A058B6">
              <w:t xml:space="preserve">an account (within the meaning of the </w:t>
            </w:r>
            <w:r w:rsidRPr="00A058B6">
              <w:rPr>
                <w:i/>
              </w:rPr>
              <w:t>Small Superannuation Accounts Act 1995</w:t>
            </w:r>
            <w:r w:rsidRPr="00A058B6">
              <w:t>)</w:t>
            </w:r>
            <w:r w:rsidR="00D7157D">
              <w:t>.</w:t>
            </w:r>
          </w:p>
        </w:tc>
      </w:tr>
      <w:tr w:rsidR="00D930D9" w:rsidRPr="00A058B6" w14:paraId="29614A16" w14:textId="77777777" w:rsidTr="00445157">
        <w:tc>
          <w:tcPr>
            <w:tcW w:w="429" w:type="pct"/>
            <w:tcBorders>
              <w:bottom w:val="single" w:sz="2" w:space="0" w:color="auto"/>
            </w:tcBorders>
            <w:shd w:val="clear" w:color="auto" w:fill="auto"/>
          </w:tcPr>
          <w:p w14:paraId="2F3D36E3" w14:textId="77777777" w:rsidR="00D930D9" w:rsidRPr="00A058B6" w:rsidRDefault="00D930D9" w:rsidP="00445157">
            <w:pPr>
              <w:pStyle w:val="Tabletext"/>
            </w:pPr>
            <w:r w:rsidRPr="00A058B6">
              <w:t>5</w:t>
            </w:r>
          </w:p>
        </w:tc>
        <w:tc>
          <w:tcPr>
            <w:tcW w:w="2723" w:type="pct"/>
            <w:tcBorders>
              <w:bottom w:val="single" w:sz="2" w:space="0" w:color="auto"/>
            </w:tcBorders>
            <w:shd w:val="clear" w:color="auto" w:fill="auto"/>
          </w:tcPr>
          <w:p w14:paraId="5A6F7AF4" w14:textId="77777777" w:rsidR="00D930D9" w:rsidRPr="00A058B6" w:rsidRDefault="00D930D9" w:rsidP="00445157">
            <w:pPr>
              <w:pStyle w:val="Tabletext"/>
            </w:pPr>
            <w:r w:rsidRPr="00A058B6">
              <w:t>an annuity provider that has entered into a contract with a person to provide a superannuation annuity to that person</w:t>
            </w:r>
          </w:p>
        </w:tc>
        <w:tc>
          <w:tcPr>
            <w:tcW w:w="1848" w:type="pct"/>
            <w:tcBorders>
              <w:bottom w:val="single" w:sz="2" w:space="0" w:color="auto"/>
            </w:tcBorders>
            <w:shd w:val="clear" w:color="auto" w:fill="auto"/>
          </w:tcPr>
          <w:p w14:paraId="01CCD057" w14:textId="77777777" w:rsidR="00D930D9" w:rsidRPr="00A058B6" w:rsidRDefault="00D930D9" w:rsidP="00445157">
            <w:pPr>
              <w:pStyle w:val="Tabletext"/>
            </w:pPr>
            <w:r w:rsidRPr="00A058B6">
              <w:t>that superannuation annuity</w:t>
            </w:r>
            <w:r w:rsidR="00D7157D">
              <w:t>.</w:t>
            </w:r>
          </w:p>
        </w:tc>
      </w:tr>
      <w:tr w:rsidR="00D930D9" w:rsidRPr="00A058B6" w14:paraId="69370584" w14:textId="77777777" w:rsidTr="00445157">
        <w:tc>
          <w:tcPr>
            <w:tcW w:w="429" w:type="pct"/>
            <w:tcBorders>
              <w:top w:val="single" w:sz="2" w:space="0" w:color="auto"/>
              <w:bottom w:val="single" w:sz="2" w:space="0" w:color="auto"/>
            </w:tcBorders>
            <w:shd w:val="clear" w:color="auto" w:fill="auto"/>
          </w:tcPr>
          <w:p w14:paraId="1463F57B" w14:textId="77777777" w:rsidR="00D930D9" w:rsidRPr="00A058B6" w:rsidRDefault="00D930D9" w:rsidP="00445157">
            <w:pPr>
              <w:pStyle w:val="Tabletext"/>
            </w:pPr>
            <w:r w:rsidRPr="00A058B6">
              <w:t>6</w:t>
            </w:r>
          </w:p>
        </w:tc>
        <w:tc>
          <w:tcPr>
            <w:tcW w:w="2723" w:type="pct"/>
            <w:tcBorders>
              <w:top w:val="single" w:sz="2" w:space="0" w:color="auto"/>
              <w:bottom w:val="single" w:sz="2" w:space="0" w:color="auto"/>
            </w:tcBorders>
            <w:shd w:val="clear" w:color="auto" w:fill="auto"/>
          </w:tcPr>
          <w:p w14:paraId="59CD1EBD" w14:textId="77777777" w:rsidR="00D930D9" w:rsidRPr="00A058B6" w:rsidRDefault="00D930D9" w:rsidP="00445157">
            <w:pPr>
              <w:pStyle w:val="Tabletext"/>
            </w:pPr>
            <w:r w:rsidRPr="00A058B6">
              <w:t xml:space="preserve">CSC (within the meaning of the </w:t>
            </w:r>
            <w:r w:rsidRPr="00A058B6">
              <w:rPr>
                <w:i/>
              </w:rPr>
              <w:t>Governance of</w:t>
            </w:r>
            <w:r w:rsidRPr="00A058B6">
              <w:t xml:space="preserve"> </w:t>
            </w:r>
            <w:r w:rsidRPr="00A058B6">
              <w:rPr>
                <w:i/>
              </w:rPr>
              <w:t>Australian Government Superannuation Schemes Act 2011</w:t>
            </w:r>
            <w:r w:rsidRPr="00A058B6">
              <w:t>)</w:t>
            </w:r>
          </w:p>
        </w:tc>
        <w:tc>
          <w:tcPr>
            <w:tcW w:w="1848" w:type="pct"/>
            <w:tcBorders>
              <w:top w:val="single" w:sz="2" w:space="0" w:color="auto"/>
              <w:bottom w:val="single" w:sz="2" w:space="0" w:color="auto"/>
            </w:tcBorders>
            <w:shd w:val="clear" w:color="auto" w:fill="auto"/>
          </w:tcPr>
          <w:p w14:paraId="2D211533" w14:textId="5CA04F83" w:rsidR="00D930D9" w:rsidRPr="00A058B6" w:rsidRDefault="00D930D9" w:rsidP="00445157">
            <w:pPr>
              <w:pStyle w:val="Tabletext"/>
            </w:pPr>
            <w:r w:rsidRPr="00A058B6">
              <w:t xml:space="preserve">the scheme constituted by the </w:t>
            </w:r>
            <w:r w:rsidRPr="00A058B6">
              <w:rPr>
                <w:i/>
              </w:rPr>
              <w:t>Defence Force (Superannuation) (Productivity Benefit) Determination 1988</w:t>
            </w:r>
            <w:r w:rsidRPr="00A058B6">
              <w:t xml:space="preserve"> made under </w:t>
            </w:r>
            <w:r w:rsidR="00CB78B9">
              <w:t>subsection 5</w:t>
            </w:r>
            <w:r w:rsidRPr="00A058B6">
              <w:t xml:space="preserve">2(1) of the </w:t>
            </w:r>
            <w:r w:rsidRPr="00A058B6">
              <w:rPr>
                <w:i/>
              </w:rPr>
              <w:t>Defence Act 1903</w:t>
            </w:r>
            <w:r w:rsidR="00D7157D">
              <w:t>.</w:t>
            </w:r>
          </w:p>
        </w:tc>
      </w:tr>
      <w:tr w:rsidR="00D930D9" w:rsidRPr="00A058B6" w14:paraId="5E80DC4E" w14:textId="77777777" w:rsidTr="00445157">
        <w:tc>
          <w:tcPr>
            <w:tcW w:w="429" w:type="pct"/>
            <w:tcBorders>
              <w:top w:val="single" w:sz="2" w:space="0" w:color="auto"/>
              <w:bottom w:val="single" w:sz="12" w:space="0" w:color="auto"/>
            </w:tcBorders>
            <w:shd w:val="clear" w:color="auto" w:fill="auto"/>
          </w:tcPr>
          <w:p w14:paraId="7EDB776F" w14:textId="77777777" w:rsidR="00D930D9" w:rsidRPr="00A058B6" w:rsidRDefault="00D930D9" w:rsidP="00445157">
            <w:pPr>
              <w:pStyle w:val="Tabletext"/>
            </w:pPr>
            <w:r>
              <w:t>7</w:t>
            </w:r>
          </w:p>
        </w:tc>
        <w:tc>
          <w:tcPr>
            <w:tcW w:w="2723" w:type="pct"/>
            <w:tcBorders>
              <w:top w:val="single" w:sz="2" w:space="0" w:color="auto"/>
              <w:bottom w:val="single" w:sz="12" w:space="0" w:color="auto"/>
            </w:tcBorders>
            <w:shd w:val="clear" w:color="auto" w:fill="auto"/>
          </w:tcPr>
          <w:p w14:paraId="4481DF66" w14:textId="77777777" w:rsidR="00D930D9" w:rsidRPr="00A058B6" w:rsidRDefault="00D930D9" w:rsidP="00445157">
            <w:pPr>
              <w:pStyle w:val="Tabletext"/>
            </w:pPr>
            <w:r w:rsidRPr="00A058B6">
              <w:t>the Secretary of the Department of Finance</w:t>
            </w:r>
          </w:p>
        </w:tc>
        <w:tc>
          <w:tcPr>
            <w:tcW w:w="1848" w:type="pct"/>
            <w:tcBorders>
              <w:top w:val="single" w:sz="2" w:space="0" w:color="auto"/>
              <w:bottom w:val="single" w:sz="12" w:space="0" w:color="auto"/>
            </w:tcBorders>
            <w:shd w:val="clear" w:color="auto" w:fill="auto"/>
          </w:tcPr>
          <w:p w14:paraId="4564327B" w14:textId="530CB4C0" w:rsidR="00D930D9" w:rsidRDefault="00365E8F" w:rsidP="00365E8F">
            <w:pPr>
              <w:pStyle w:val="Tablea"/>
              <w:rPr>
                <w:iCs/>
              </w:rPr>
            </w:pPr>
            <w:r>
              <w:t xml:space="preserve">(a) </w:t>
            </w:r>
            <w:r w:rsidR="00D930D9">
              <w:t xml:space="preserve">the scheme constituted by the </w:t>
            </w:r>
            <w:r w:rsidR="00D930D9" w:rsidRPr="002641CA">
              <w:rPr>
                <w:i/>
                <w:iCs/>
              </w:rPr>
              <w:t>Governor</w:t>
            </w:r>
            <w:r w:rsidR="001952B3">
              <w:rPr>
                <w:i/>
                <w:iCs/>
              </w:rPr>
              <w:noBreakHyphen/>
            </w:r>
            <w:r w:rsidR="00D930D9" w:rsidRPr="002641CA">
              <w:rPr>
                <w:i/>
                <w:iCs/>
              </w:rPr>
              <w:t>General Act 1974</w:t>
            </w:r>
            <w:r>
              <w:rPr>
                <w:iCs/>
              </w:rPr>
              <w:t>; or</w:t>
            </w:r>
          </w:p>
          <w:p w14:paraId="2FF17E23" w14:textId="77777777" w:rsidR="00365E8F" w:rsidRPr="00365E8F" w:rsidRDefault="00365E8F" w:rsidP="00365E8F">
            <w:pPr>
              <w:pStyle w:val="Tablea"/>
            </w:pPr>
            <w:r>
              <w:t xml:space="preserve">(b) </w:t>
            </w:r>
            <w:r w:rsidRPr="00A058B6">
              <w:t xml:space="preserve">the scheme provided for by </w:t>
            </w:r>
            <w:r>
              <w:t xml:space="preserve">Division 3 of Part 1 of Chapter 4 of </w:t>
            </w:r>
            <w:r w:rsidRPr="00A058B6">
              <w:t xml:space="preserve">the </w:t>
            </w:r>
            <w:r w:rsidRPr="00D876A3">
              <w:rPr>
                <w:i/>
              </w:rPr>
              <w:t>Federal Circuit and Family Court of Australia Act 2021</w:t>
            </w:r>
            <w:r w:rsidRPr="004B02BC">
              <w:t>.</w:t>
            </w:r>
          </w:p>
        </w:tc>
      </w:tr>
    </w:tbl>
    <w:p w14:paraId="10908324" w14:textId="77777777" w:rsidR="00D930D9" w:rsidRPr="00A058B6" w:rsidRDefault="00D930D9" w:rsidP="00D930D9">
      <w:pPr>
        <w:pStyle w:val="subsection"/>
      </w:pPr>
      <w:r w:rsidRPr="00A058B6">
        <w:tab/>
        <w:t>(2)</w:t>
      </w:r>
      <w:r w:rsidRPr="00A058B6">
        <w:tab/>
        <w:t>In this section:</w:t>
      </w:r>
    </w:p>
    <w:p w14:paraId="1303B7A6" w14:textId="77777777" w:rsidR="00D930D9" w:rsidRPr="00A058B6" w:rsidRDefault="00D930D9" w:rsidP="00D930D9">
      <w:pPr>
        <w:pStyle w:val="Definition"/>
      </w:pPr>
      <w:r w:rsidRPr="00A058B6">
        <w:rPr>
          <w:b/>
          <w:i/>
        </w:rPr>
        <w:t>Department of Finance</w:t>
      </w:r>
      <w:r w:rsidRPr="00A058B6">
        <w:t xml:space="preserve"> means the Department administered by the Minister administering the </w:t>
      </w:r>
      <w:r w:rsidRPr="00A058B6">
        <w:rPr>
          <w:i/>
        </w:rPr>
        <w:t>Public Governance, Performance and Accountability Act 2013</w:t>
      </w:r>
      <w:r w:rsidR="00D7157D">
        <w:t>.</w:t>
      </w:r>
    </w:p>
    <w:p w14:paraId="10A91E4B" w14:textId="77777777" w:rsidR="00D930D9" w:rsidRPr="00A058B6" w:rsidRDefault="00D930D9" w:rsidP="00D930D9">
      <w:pPr>
        <w:pStyle w:val="Definition"/>
      </w:pPr>
      <w:r w:rsidRPr="00A058B6">
        <w:rPr>
          <w:b/>
          <w:i/>
        </w:rPr>
        <w:t>Presidential Member</w:t>
      </w:r>
      <w:r w:rsidRPr="00A058B6">
        <w:t xml:space="preserve"> means </w:t>
      </w:r>
      <w:r w:rsidRPr="00A058B6">
        <w:rPr>
          <w:color w:val="000000"/>
          <w:szCs w:val="22"/>
          <w:shd w:val="clear" w:color="auto" w:fill="FFFFFF"/>
        </w:rPr>
        <w:t xml:space="preserve">the President, a Vice President, a Senior Deputy President or a Deputy President of the </w:t>
      </w:r>
      <w:r w:rsidRPr="00A058B6">
        <w:t>Australian Industrial Relations Commission</w:t>
      </w:r>
      <w:r w:rsidR="00D7157D">
        <w:t>.</w:t>
      </w:r>
    </w:p>
    <w:p w14:paraId="42FBE58F" w14:textId="03CA843F" w:rsidR="00D930D9" w:rsidRPr="00A058B6" w:rsidRDefault="00485CC2" w:rsidP="00D930D9">
      <w:pPr>
        <w:pStyle w:val="ActHead5"/>
      </w:pPr>
      <w:bookmarkStart w:id="19" w:name="_Toc188350506"/>
      <w:r w:rsidRPr="00423C34">
        <w:rPr>
          <w:rStyle w:val="CharSectno"/>
        </w:rPr>
        <w:t>13</w:t>
      </w:r>
      <w:r w:rsidR="00D930D9" w:rsidRPr="00A058B6">
        <w:t xml:space="preserve">  Meaning of </w:t>
      </w:r>
      <w:r w:rsidR="00D930D9" w:rsidRPr="00A058B6">
        <w:rPr>
          <w:i/>
        </w:rPr>
        <w:t>unflaggable interest</w:t>
      </w:r>
      <w:bookmarkEnd w:id="19"/>
    </w:p>
    <w:p w14:paraId="54A26F45" w14:textId="77777777" w:rsidR="00D930D9" w:rsidRPr="00A058B6" w:rsidRDefault="00D930D9" w:rsidP="00D930D9">
      <w:pPr>
        <w:pStyle w:val="subsection"/>
      </w:pPr>
      <w:r w:rsidRPr="00A058B6">
        <w:tab/>
      </w:r>
      <w:r w:rsidRPr="00A058B6">
        <w:tab/>
        <w:t xml:space="preserve">For the purposes of the definitions of </w:t>
      </w:r>
      <w:r w:rsidRPr="00A058B6">
        <w:rPr>
          <w:b/>
          <w:i/>
        </w:rPr>
        <w:t>unflaggable interest</w:t>
      </w:r>
      <w:r w:rsidRPr="00A058B6">
        <w:t xml:space="preserve"> in sections 90XD and 90YD of the Act, a superannuation interest of a member spouse that is in the payment phase is prescribed</w:t>
      </w:r>
      <w:r w:rsidR="00D7157D">
        <w:t>.</w:t>
      </w:r>
    </w:p>
    <w:p w14:paraId="76939F7A" w14:textId="602FAB21" w:rsidR="00D930D9" w:rsidRPr="00A058B6" w:rsidRDefault="00485CC2" w:rsidP="00D930D9">
      <w:pPr>
        <w:pStyle w:val="ActHead5"/>
      </w:pPr>
      <w:bookmarkStart w:id="20" w:name="_Toc188350507"/>
      <w:r w:rsidRPr="00423C34">
        <w:rPr>
          <w:rStyle w:val="CharSectno"/>
        </w:rPr>
        <w:lastRenderedPageBreak/>
        <w:t>14</w:t>
      </w:r>
      <w:r w:rsidR="00D930D9" w:rsidRPr="00A058B6">
        <w:t xml:space="preserve">  Meaning of </w:t>
      </w:r>
      <w:r w:rsidR="00D930D9" w:rsidRPr="00A058B6">
        <w:rPr>
          <w:i/>
        </w:rPr>
        <w:t>unsplittable interest</w:t>
      </w:r>
      <w:bookmarkEnd w:id="20"/>
    </w:p>
    <w:p w14:paraId="1859FD5D" w14:textId="77777777" w:rsidR="00D930D9" w:rsidRPr="00A058B6" w:rsidRDefault="00D930D9" w:rsidP="00D930D9">
      <w:pPr>
        <w:pStyle w:val="subsection"/>
      </w:pPr>
      <w:r w:rsidRPr="00A058B6">
        <w:tab/>
        <w:t>(1)</w:t>
      </w:r>
      <w:r w:rsidRPr="00A058B6">
        <w:tab/>
        <w:t xml:space="preserve">For the purposes of the definitions of </w:t>
      </w:r>
      <w:r w:rsidRPr="00A058B6">
        <w:rPr>
          <w:b/>
          <w:i/>
        </w:rPr>
        <w:t>unsplittable interest</w:t>
      </w:r>
      <w:r w:rsidRPr="00A058B6">
        <w:t xml:space="preserve"> in sections 90XD and 90YD of the Act, a superannuation interest of a member spouse is prescribed if the superannuation interest:</w:t>
      </w:r>
    </w:p>
    <w:p w14:paraId="4F599DF2" w14:textId="184221B6" w:rsidR="00D930D9" w:rsidRPr="00A058B6" w:rsidRDefault="00D930D9" w:rsidP="00D930D9">
      <w:pPr>
        <w:pStyle w:val="paragraph"/>
      </w:pPr>
      <w:r w:rsidRPr="00A058B6">
        <w:tab/>
        <w:t>(a)</w:t>
      </w:r>
      <w:r w:rsidRPr="00A058B6">
        <w:tab/>
        <w:t xml:space="preserve">is covered by </w:t>
      </w:r>
      <w:r w:rsidR="00A52DA5">
        <w:t>subsection (</w:t>
      </w:r>
      <w:r w:rsidRPr="00A058B6">
        <w:t>2) or (3) of this section; and</w:t>
      </w:r>
    </w:p>
    <w:p w14:paraId="3C0D197E" w14:textId="77777777" w:rsidR="00D930D9" w:rsidRDefault="00D930D9" w:rsidP="00D930D9">
      <w:pPr>
        <w:pStyle w:val="paragraph"/>
      </w:pPr>
      <w:r>
        <w:tab/>
        <w:t>(b)</w:t>
      </w:r>
      <w:r>
        <w:tab/>
        <w:t>is none of the following:</w:t>
      </w:r>
    </w:p>
    <w:p w14:paraId="5D97C2AD" w14:textId="4E6FF72C" w:rsidR="00D930D9" w:rsidRPr="006A05C8" w:rsidRDefault="00D930D9" w:rsidP="00D930D9">
      <w:pPr>
        <w:pStyle w:val="paragraphsub"/>
      </w:pPr>
      <w:r w:rsidRPr="00A058B6">
        <w:tab/>
        <w:t>(</w:t>
      </w:r>
      <w:r>
        <w:t>i</w:t>
      </w:r>
      <w:r w:rsidRPr="00A058B6">
        <w:t>)</w:t>
      </w:r>
      <w:r w:rsidRPr="00A058B6">
        <w:tab/>
        <w:t>a superannua</w:t>
      </w:r>
      <w:r w:rsidRPr="004B2917">
        <w:t xml:space="preserve">tion interest in the scheme provided under the </w:t>
      </w:r>
      <w:r w:rsidRPr="00523F6C">
        <w:rPr>
          <w:i/>
        </w:rPr>
        <w:t>Judges’ Pensions Act 1971</w:t>
      </w:r>
      <w:r w:rsidRPr="004B2917">
        <w:t xml:space="preserve"> (SA)</w:t>
      </w:r>
      <w:r w:rsidR="006A05C8">
        <w:t xml:space="preserve"> as in force on </w:t>
      </w:r>
      <w:r w:rsidR="00453C86">
        <w:t>1 April</w:t>
      </w:r>
      <w:r w:rsidR="00E54C87">
        <w:t xml:space="preserve"> 2025</w:t>
      </w:r>
      <w:r w:rsidR="006A05C8">
        <w:t>;</w:t>
      </w:r>
    </w:p>
    <w:p w14:paraId="221440C4" w14:textId="77777777" w:rsidR="00D930D9" w:rsidRDefault="00D930D9" w:rsidP="00D930D9">
      <w:pPr>
        <w:pStyle w:val="paragraphsub"/>
      </w:pPr>
      <w:r>
        <w:tab/>
      </w:r>
      <w:r w:rsidRPr="0011397F">
        <w:t>(ii)</w:t>
      </w:r>
      <w:r w:rsidRPr="0011397F">
        <w:tab/>
        <w:t>a superannuation inte</w:t>
      </w:r>
      <w:r w:rsidRPr="0011397F">
        <w:rPr>
          <w:color w:val="000000"/>
          <w:szCs w:val="22"/>
          <w:shd w:val="clear" w:color="auto" w:fill="FFFFFF"/>
        </w:rPr>
        <w:t xml:space="preserve">rest in the scheme constituted by the </w:t>
      </w:r>
      <w:r w:rsidRPr="0011397F">
        <w:rPr>
          <w:i/>
          <w:iCs/>
          <w:color w:val="000000"/>
          <w:szCs w:val="22"/>
          <w:shd w:val="clear" w:color="auto" w:fill="FFFFFF"/>
        </w:rPr>
        <w:t>Parliamentary Contributory Superannuation Act 1948</w:t>
      </w:r>
      <w:r w:rsidR="00D7157D" w:rsidRPr="0011397F">
        <w:rPr>
          <w:color w:val="000000"/>
          <w:szCs w:val="22"/>
          <w:shd w:val="clear" w:color="auto" w:fill="FFFFFF"/>
        </w:rPr>
        <w:t>.</w:t>
      </w:r>
    </w:p>
    <w:p w14:paraId="7E05517A" w14:textId="77777777" w:rsidR="00D930D9" w:rsidRPr="00A058B6" w:rsidRDefault="00D930D9" w:rsidP="00D930D9">
      <w:pPr>
        <w:pStyle w:val="notetext"/>
      </w:pPr>
      <w:r w:rsidRPr="00A058B6">
        <w:t>Note:</w:t>
      </w:r>
      <w:r w:rsidRPr="00A058B6">
        <w:tab/>
        <w:t>Prescribing these superannuation interests makes them unsplittable interests</w:t>
      </w:r>
      <w:r w:rsidR="00D7157D">
        <w:t>.</w:t>
      </w:r>
      <w:r w:rsidRPr="00A058B6">
        <w:t xml:space="preserve"> An unsplittable interest cannot be the subject of a payment split under a superannuation agreement, flag lifting agreement or splitting order (see Part VIIIB or VIIIC of the Act)</w:t>
      </w:r>
      <w:r w:rsidR="00D7157D">
        <w:t>.</w:t>
      </w:r>
    </w:p>
    <w:p w14:paraId="2D13B0F4" w14:textId="77777777" w:rsidR="00D930D9" w:rsidRPr="00A058B6" w:rsidRDefault="00D930D9" w:rsidP="00D930D9">
      <w:pPr>
        <w:pStyle w:val="subsection"/>
      </w:pPr>
      <w:r w:rsidRPr="00A058B6">
        <w:tab/>
        <w:t>(2)</w:t>
      </w:r>
      <w:r w:rsidRPr="00A058B6">
        <w:tab/>
        <w:t>This subsection covers a superannuation interest of a member spouse that is an interest in respect of which:</w:t>
      </w:r>
    </w:p>
    <w:p w14:paraId="67784F63" w14:textId="77777777" w:rsidR="00D930D9" w:rsidRPr="00A058B6" w:rsidRDefault="00D930D9" w:rsidP="00D930D9">
      <w:pPr>
        <w:pStyle w:val="paragraph"/>
      </w:pPr>
      <w:r w:rsidRPr="00A058B6">
        <w:tab/>
        <w:t>(a)</w:t>
      </w:r>
      <w:r w:rsidRPr="00A058B6">
        <w:tab/>
        <w:t>the whole or remaining part of the benefits are being paid to the member spouse as:</w:t>
      </w:r>
    </w:p>
    <w:p w14:paraId="0D8A8580" w14:textId="08970B15" w:rsidR="00D930D9" w:rsidRPr="00A058B6" w:rsidRDefault="00D930D9" w:rsidP="00D930D9">
      <w:pPr>
        <w:pStyle w:val="paragraphsub"/>
      </w:pPr>
      <w:r w:rsidRPr="00A058B6">
        <w:tab/>
        <w:t>(i)</w:t>
      </w:r>
      <w:r w:rsidRPr="00A058B6">
        <w:tab/>
        <w:t>a lifetime pension or fixed</w:t>
      </w:r>
      <w:r w:rsidR="001952B3">
        <w:noBreakHyphen/>
      </w:r>
      <w:r w:rsidRPr="00A058B6">
        <w:t>term pension that the member is no longer entitled to commute; or</w:t>
      </w:r>
    </w:p>
    <w:p w14:paraId="16302EA2" w14:textId="57FB7CEE" w:rsidR="00D930D9" w:rsidRPr="00A058B6" w:rsidRDefault="00D930D9" w:rsidP="00D930D9">
      <w:pPr>
        <w:pStyle w:val="paragraphsub"/>
      </w:pPr>
      <w:r w:rsidRPr="00A058B6">
        <w:tab/>
        <w:t>(ii)</w:t>
      </w:r>
      <w:r w:rsidRPr="00A058B6">
        <w:tab/>
        <w:t>a lifetime annuity or fixed</w:t>
      </w:r>
      <w:r w:rsidR="0014222D">
        <w:t xml:space="preserve"> </w:t>
      </w:r>
      <w:r w:rsidRPr="00A058B6">
        <w:t>term annuity; and</w:t>
      </w:r>
    </w:p>
    <w:p w14:paraId="5179B9FE" w14:textId="77777777" w:rsidR="00D930D9" w:rsidRPr="00A058B6" w:rsidRDefault="00D930D9" w:rsidP="00D930D9">
      <w:pPr>
        <w:pStyle w:val="paragraph"/>
      </w:pPr>
      <w:r w:rsidRPr="00A058B6">
        <w:tab/>
        <w:t>(b)</w:t>
      </w:r>
      <w:r w:rsidRPr="00A058B6">
        <w:tab/>
        <w:t>the amount of the annual benefit payable to the member is less than $</w:t>
      </w:r>
      <w:r w:rsidR="00D9328C">
        <w:t>4</w:t>
      </w:r>
      <w:r w:rsidRPr="00A058B6">
        <w:t>,000</w:t>
      </w:r>
      <w:r w:rsidR="00D7157D">
        <w:t>.</w:t>
      </w:r>
    </w:p>
    <w:p w14:paraId="45E12781" w14:textId="77777777" w:rsidR="00D930D9" w:rsidRPr="00A058B6" w:rsidRDefault="00D930D9" w:rsidP="00D930D9">
      <w:pPr>
        <w:pStyle w:val="subsection"/>
      </w:pPr>
      <w:r w:rsidRPr="00A058B6">
        <w:tab/>
        <w:t>(3)</w:t>
      </w:r>
      <w:r w:rsidRPr="00A058B6">
        <w:tab/>
        <w:t>This subsection covers a superannuation interest of a member spouse that:</w:t>
      </w:r>
    </w:p>
    <w:p w14:paraId="69B55EB8" w14:textId="2EBD0AE5" w:rsidR="00D930D9" w:rsidRPr="00A058B6" w:rsidRDefault="00D930D9" w:rsidP="00D930D9">
      <w:pPr>
        <w:pStyle w:val="paragraph"/>
      </w:pPr>
      <w:r w:rsidRPr="00A058B6">
        <w:tab/>
        <w:t>(a)</w:t>
      </w:r>
      <w:r w:rsidRPr="00A058B6">
        <w:tab/>
        <w:t xml:space="preserve">is not an interest to which </w:t>
      </w:r>
      <w:r w:rsidR="00453C86">
        <w:t>paragraph (</w:t>
      </w:r>
      <w:r w:rsidRPr="00A058B6">
        <w:t>2)(a) applies; and</w:t>
      </w:r>
    </w:p>
    <w:p w14:paraId="6DFFB765" w14:textId="77777777" w:rsidR="00D930D9" w:rsidRPr="00A058B6" w:rsidRDefault="00D930D9" w:rsidP="00D930D9">
      <w:pPr>
        <w:pStyle w:val="paragraph"/>
      </w:pPr>
      <w:r w:rsidRPr="00A058B6">
        <w:tab/>
        <w:t>(b)</w:t>
      </w:r>
      <w:r w:rsidRPr="00A058B6">
        <w:tab/>
        <w:t>is an interest with a withdrawal benefit in relation to the member spouse of less than $</w:t>
      </w:r>
      <w:r w:rsidR="00FD2347">
        <w:t>10</w:t>
      </w:r>
      <w:r w:rsidRPr="00A058B6">
        <w:t>,000</w:t>
      </w:r>
      <w:r w:rsidR="00D7157D">
        <w:t>.</w:t>
      </w:r>
    </w:p>
    <w:p w14:paraId="062B95E1" w14:textId="77777777" w:rsidR="00D930D9" w:rsidRPr="00A058B6" w:rsidRDefault="00D930D9" w:rsidP="00D930D9">
      <w:pPr>
        <w:pStyle w:val="subsection"/>
      </w:pPr>
      <w:r w:rsidRPr="00A058B6">
        <w:rPr>
          <w:lang w:eastAsia="en-US"/>
        </w:rPr>
        <w:tab/>
        <w:t>(4)</w:t>
      </w:r>
      <w:r w:rsidRPr="00A058B6">
        <w:rPr>
          <w:lang w:eastAsia="en-US"/>
        </w:rPr>
        <w:tab/>
      </w:r>
      <w:r w:rsidRPr="00A058B6">
        <w:t>To avoid doubt, a superannuation interest not covered by this section is not an unsplittable interest only because payments in respect of the interest are not splittable payments</w:t>
      </w:r>
      <w:r w:rsidR="00D7157D">
        <w:t>.</w:t>
      </w:r>
    </w:p>
    <w:p w14:paraId="512199B3" w14:textId="6A075B1A" w:rsidR="00D930D9" w:rsidRPr="00A058B6" w:rsidRDefault="00485CC2" w:rsidP="00D930D9">
      <w:pPr>
        <w:pStyle w:val="ActHead5"/>
      </w:pPr>
      <w:bookmarkStart w:id="21" w:name="_Toc188350508"/>
      <w:r w:rsidRPr="00423C34">
        <w:rPr>
          <w:rStyle w:val="CharSectno"/>
        </w:rPr>
        <w:t>15</w:t>
      </w:r>
      <w:r w:rsidR="00D930D9" w:rsidRPr="00A058B6">
        <w:t xml:space="preserve">  Meaning of </w:t>
      </w:r>
      <w:r w:rsidR="00D930D9" w:rsidRPr="00A058B6">
        <w:rPr>
          <w:i/>
        </w:rPr>
        <w:t>lifetime pension</w:t>
      </w:r>
      <w:r w:rsidR="00D930D9" w:rsidRPr="00A058B6">
        <w:t xml:space="preserve"> etc</w:t>
      </w:r>
      <w:r w:rsidR="00D7157D">
        <w:t>.</w:t>
      </w:r>
      <w:bookmarkEnd w:id="21"/>
    </w:p>
    <w:p w14:paraId="11125460" w14:textId="77777777" w:rsidR="00D930D9" w:rsidRPr="00A058B6" w:rsidRDefault="00D930D9" w:rsidP="00D930D9">
      <w:pPr>
        <w:pStyle w:val="subsection"/>
      </w:pPr>
      <w:r w:rsidRPr="00A058B6">
        <w:tab/>
      </w:r>
      <w:r w:rsidRPr="00A058B6">
        <w:tab/>
        <w:t xml:space="preserve">To avoid doubt, a benefit in respect of a superannuation interest, or a component of a superannuation interest, of a member spouse in an eligible superannuation plan that is paid as a pension is not prevented from being a </w:t>
      </w:r>
      <w:r w:rsidRPr="00A058B6">
        <w:rPr>
          <w:b/>
          <w:i/>
        </w:rPr>
        <w:t>lifetime pension</w:t>
      </w:r>
      <w:r w:rsidRPr="00A058B6">
        <w:t xml:space="preserve"> of the member spouse, or a pension payable for the life of a member spouse, merely because:</w:t>
      </w:r>
    </w:p>
    <w:p w14:paraId="073BB361" w14:textId="77777777" w:rsidR="00D930D9" w:rsidRPr="00A058B6" w:rsidRDefault="00D930D9" w:rsidP="00D930D9">
      <w:pPr>
        <w:pStyle w:val="paragraph"/>
      </w:pPr>
      <w:r w:rsidRPr="00A058B6">
        <w:tab/>
        <w:t>(a)</w:t>
      </w:r>
      <w:r w:rsidRPr="00A058B6">
        <w:tab/>
        <w:t>the benefit is paid upon the retirement of the member spouse (including retirement on the basis of invalidity); and</w:t>
      </w:r>
    </w:p>
    <w:p w14:paraId="185D552D" w14:textId="77777777" w:rsidR="00D930D9" w:rsidRPr="00A058B6" w:rsidRDefault="00D930D9" w:rsidP="00D930D9">
      <w:pPr>
        <w:pStyle w:val="paragraph"/>
      </w:pPr>
      <w:r w:rsidRPr="00A058B6">
        <w:tab/>
        <w:t>(b)</w:t>
      </w:r>
      <w:r w:rsidRPr="00A058B6">
        <w:tab/>
        <w:t>under the governing rules of the plan, the payments may be varied (including by being reduced to nil), suspended or cancelled</w:t>
      </w:r>
      <w:r w:rsidR="00D7157D">
        <w:t>.</w:t>
      </w:r>
    </w:p>
    <w:p w14:paraId="4F995705" w14:textId="4386D91F" w:rsidR="00D930D9" w:rsidRPr="00A058B6" w:rsidRDefault="00AB0143" w:rsidP="00D930D9">
      <w:pPr>
        <w:pStyle w:val="ActHead2"/>
        <w:pageBreakBefore/>
      </w:pPr>
      <w:bookmarkStart w:id="22" w:name="_Toc188350509"/>
      <w:r w:rsidRPr="00423C34">
        <w:rPr>
          <w:rStyle w:val="CharPartNo"/>
        </w:rPr>
        <w:lastRenderedPageBreak/>
        <w:t>Part 2</w:t>
      </w:r>
      <w:r w:rsidR="00D930D9" w:rsidRPr="00A058B6">
        <w:t>—</w:t>
      </w:r>
      <w:r w:rsidR="00D930D9" w:rsidRPr="00423C34">
        <w:rPr>
          <w:rStyle w:val="CharPartText"/>
        </w:rPr>
        <w:t>Payments that are not splittable payments: payments of a particular character, or payments after death of member spouse</w:t>
      </w:r>
      <w:bookmarkEnd w:id="22"/>
    </w:p>
    <w:p w14:paraId="48AC3315" w14:textId="77777777" w:rsidR="00D930D9" w:rsidRPr="00423C34" w:rsidRDefault="00D930D9" w:rsidP="00D930D9">
      <w:pPr>
        <w:pStyle w:val="Header"/>
      </w:pPr>
      <w:r w:rsidRPr="00423C34">
        <w:rPr>
          <w:rStyle w:val="CharDivNo"/>
        </w:rPr>
        <w:t xml:space="preserve"> </w:t>
      </w:r>
      <w:r w:rsidRPr="00423C34">
        <w:rPr>
          <w:rStyle w:val="CharDivText"/>
        </w:rPr>
        <w:t xml:space="preserve"> </w:t>
      </w:r>
    </w:p>
    <w:p w14:paraId="1130856C" w14:textId="680CA91B" w:rsidR="00D930D9" w:rsidRPr="00A058B6" w:rsidRDefault="00485CC2" w:rsidP="00D930D9">
      <w:pPr>
        <w:pStyle w:val="ActHead5"/>
      </w:pPr>
      <w:bookmarkStart w:id="23" w:name="_Toc188350510"/>
      <w:r w:rsidRPr="00423C34">
        <w:rPr>
          <w:rStyle w:val="CharSectno"/>
        </w:rPr>
        <w:t>16</w:t>
      </w:r>
      <w:r w:rsidR="00D930D9" w:rsidRPr="00A058B6">
        <w:t xml:space="preserve">  Payments of a particular character that are not splittable payments</w:t>
      </w:r>
      <w:bookmarkEnd w:id="23"/>
    </w:p>
    <w:p w14:paraId="0D7B3D14" w14:textId="661E68EC" w:rsidR="00D930D9" w:rsidRPr="00A058B6" w:rsidRDefault="00D930D9" w:rsidP="00D930D9">
      <w:pPr>
        <w:pStyle w:val="subsection"/>
      </w:pPr>
      <w:r w:rsidRPr="00A058B6">
        <w:tab/>
        <w:t>(1)</w:t>
      </w:r>
      <w:r w:rsidRPr="00A058B6">
        <w:tab/>
        <w:t xml:space="preserve">Each of the payments mentioned in </w:t>
      </w:r>
      <w:r w:rsidR="00A52DA5">
        <w:t>subsection (</w:t>
      </w:r>
      <w:r w:rsidRPr="00A058B6">
        <w:t>2) in respect of a superannuation interest of the member spouse:</w:t>
      </w:r>
    </w:p>
    <w:p w14:paraId="4BE2EE9F" w14:textId="09992D73" w:rsidR="00D930D9" w:rsidRPr="00A058B6" w:rsidRDefault="00D930D9" w:rsidP="00D930D9">
      <w:pPr>
        <w:pStyle w:val="paragraph"/>
      </w:pPr>
      <w:r w:rsidRPr="00A058B6">
        <w:tab/>
        <w:t>(a)</w:t>
      </w:r>
      <w:r w:rsidRPr="00A058B6">
        <w:tab/>
        <w:t xml:space="preserve">is prescribed for the purposes of </w:t>
      </w:r>
      <w:r w:rsidR="00FE15C4">
        <w:t>subsection 9</w:t>
      </w:r>
      <w:r w:rsidRPr="00A058B6">
        <w:t>0XE(2) and 90YG(2) of the Act; and</w:t>
      </w:r>
    </w:p>
    <w:p w14:paraId="5BE9391B" w14:textId="77777777" w:rsidR="00D930D9" w:rsidRPr="00A058B6" w:rsidRDefault="00D930D9" w:rsidP="00D930D9">
      <w:pPr>
        <w:pStyle w:val="paragraph"/>
      </w:pPr>
      <w:r w:rsidRPr="00A058B6">
        <w:tab/>
        <w:t>(b)</w:t>
      </w:r>
      <w:r w:rsidRPr="00A058B6">
        <w:tab/>
        <w:t>as a result, is not a splittable payment for the purposes of all payment splits in respect of the superannuation interest</w:t>
      </w:r>
      <w:r w:rsidR="00D7157D">
        <w:t>.</w:t>
      </w:r>
    </w:p>
    <w:p w14:paraId="1D409781" w14:textId="1B439C63" w:rsidR="00D930D9" w:rsidRPr="00A058B6" w:rsidRDefault="00D930D9" w:rsidP="00D930D9">
      <w:pPr>
        <w:pStyle w:val="notetext"/>
      </w:pPr>
      <w:r w:rsidRPr="00A058B6">
        <w:t>Note:</w:t>
      </w:r>
      <w:r w:rsidRPr="00A058B6">
        <w:tab/>
        <w:t xml:space="preserve">The payment will not be a splittable payment generally, rather than only not being a splittable payment for a particular payment split (see </w:t>
      </w:r>
      <w:r w:rsidR="00FE15C4">
        <w:t>subsection 9</w:t>
      </w:r>
      <w:r w:rsidRPr="00A058B6">
        <w:t>0XE(2) or 90YG(2) of the Act)</w:t>
      </w:r>
      <w:r w:rsidR="00D7157D">
        <w:t>.</w:t>
      </w:r>
    </w:p>
    <w:p w14:paraId="5200E968" w14:textId="77777777" w:rsidR="00D930D9" w:rsidRPr="00A058B6" w:rsidRDefault="00D930D9" w:rsidP="00D930D9">
      <w:pPr>
        <w:pStyle w:val="subsection"/>
      </w:pPr>
      <w:r w:rsidRPr="00A058B6">
        <w:tab/>
        <w:t>(2)</w:t>
      </w:r>
      <w:r w:rsidRPr="00A058B6">
        <w:tab/>
        <w:t>The payments are as follows:</w:t>
      </w:r>
    </w:p>
    <w:p w14:paraId="080727CE" w14:textId="77777777" w:rsidR="00D930D9" w:rsidRPr="00A058B6" w:rsidRDefault="00695A91" w:rsidP="00D930D9">
      <w:pPr>
        <w:pStyle w:val="paragraph"/>
      </w:pPr>
      <w:r>
        <w:tab/>
        <w:t>(a)</w:t>
      </w:r>
      <w:r>
        <w:tab/>
      </w:r>
      <w:r w:rsidR="00D930D9" w:rsidRPr="00A058B6">
        <w:t>a payment of benefits to the member spouse that is made following a determination, under sub</w:t>
      </w:r>
      <w:r w:rsidR="00B05FD6">
        <w:t>regulation 6</w:t>
      </w:r>
      <w:r w:rsidR="00D7157D">
        <w:t>.</w:t>
      </w:r>
      <w:r w:rsidR="00D930D9" w:rsidRPr="00A058B6">
        <w:t>19A(1) of the SIS Regulations or subregulation 4</w:t>
      </w:r>
      <w:r w:rsidR="00D7157D">
        <w:t>.</w:t>
      </w:r>
      <w:r w:rsidR="00D930D9" w:rsidRPr="00A058B6">
        <w:t>22A(1) of the RSA Regulations, that a condition of release of the benefits on a compassionate ground has been satisfied;</w:t>
      </w:r>
    </w:p>
    <w:p w14:paraId="158EC854" w14:textId="77777777" w:rsidR="00D930D9" w:rsidRPr="00A058B6" w:rsidRDefault="00695A91" w:rsidP="00D930D9">
      <w:pPr>
        <w:pStyle w:val="paragraph"/>
      </w:pPr>
      <w:r>
        <w:tab/>
        <w:t>(b)</w:t>
      </w:r>
      <w:r>
        <w:tab/>
      </w:r>
      <w:r w:rsidR="00D930D9" w:rsidRPr="00A058B6">
        <w:t>a payment to the member spouse that is made because the member spouse is taken to be in severe financial hardship;</w:t>
      </w:r>
    </w:p>
    <w:p w14:paraId="21A804BA" w14:textId="77777777" w:rsidR="00D930D9" w:rsidRPr="00A058B6" w:rsidRDefault="00695A91" w:rsidP="00D930D9">
      <w:pPr>
        <w:pStyle w:val="paragraph"/>
      </w:pPr>
      <w:r>
        <w:tab/>
        <w:t>(c)</w:t>
      </w:r>
      <w:r>
        <w:tab/>
      </w:r>
      <w:r w:rsidR="00D930D9" w:rsidRPr="00A058B6">
        <w:t xml:space="preserve">a pension payment to the member spouse that is paid on the basis of temporary incapacity (within the meaning of </w:t>
      </w:r>
      <w:r w:rsidR="00B05FD6">
        <w:t>regulation 6</w:t>
      </w:r>
      <w:r w:rsidR="00D7157D">
        <w:t>.</w:t>
      </w:r>
      <w:r w:rsidR="00D930D9" w:rsidRPr="00A058B6">
        <w:t>01 of the SIS Regulations), other than a payment that is:</w:t>
      </w:r>
    </w:p>
    <w:p w14:paraId="45CA0E9D" w14:textId="77777777" w:rsidR="00D930D9" w:rsidRPr="00A058B6" w:rsidRDefault="00D930D9" w:rsidP="00D930D9">
      <w:pPr>
        <w:pStyle w:val="paragraphsub"/>
      </w:pPr>
      <w:r w:rsidRPr="00A058B6">
        <w:tab/>
        <w:t>(i)</w:t>
      </w:r>
      <w:r w:rsidRPr="00A058B6">
        <w:tab/>
        <w:t>one of a series of payments of that kind that have been paid to the member spouse for a period of at least 2 years and is made more than 2 years after the first such payment of that series; or</w:t>
      </w:r>
    </w:p>
    <w:p w14:paraId="739F7BF7" w14:textId="30AA0863" w:rsidR="00D930D9" w:rsidRPr="00A058B6" w:rsidRDefault="00D930D9" w:rsidP="00D930D9">
      <w:pPr>
        <w:pStyle w:val="paragraphsub"/>
      </w:pPr>
      <w:r w:rsidRPr="00A058B6">
        <w:tab/>
        <w:t>(ii)</w:t>
      </w:r>
      <w:r w:rsidRPr="00A058B6">
        <w:tab/>
        <w:t xml:space="preserve">a payment to which </w:t>
      </w:r>
      <w:r w:rsidR="00453C86">
        <w:t>paragraph (</w:t>
      </w:r>
      <w:r w:rsidR="00225944">
        <w:t>g</w:t>
      </w:r>
      <w:r w:rsidRPr="00A058B6">
        <w:t xml:space="preserve">) </w:t>
      </w:r>
      <w:r>
        <w:t xml:space="preserve">of this subsection </w:t>
      </w:r>
      <w:r w:rsidRPr="00A058B6">
        <w:t>applies; or</w:t>
      </w:r>
    </w:p>
    <w:p w14:paraId="4863B841" w14:textId="77777777" w:rsidR="00D930D9" w:rsidRPr="00A058B6" w:rsidRDefault="00D930D9" w:rsidP="00D930D9">
      <w:pPr>
        <w:pStyle w:val="paragraphsub"/>
      </w:pPr>
      <w:r w:rsidRPr="00A058B6">
        <w:tab/>
        <w:t>(iii)</w:t>
      </w:r>
      <w:r w:rsidRPr="00A058B6">
        <w:tab/>
        <w:t>a payment from a lifetime pension;</w:t>
      </w:r>
    </w:p>
    <w:p w14:paraId="34A06377" w14:textId="77777777" w:rsidR="00D930D9" w:rsidRPr="00A058B6" w:rsidRDefault="00695A91" w:rsidP="00D930D9">
      <w:pPr>
        <w:pStyle w:val="paragraph"/>
      </w:pPr>
      <w:r>
        <w:tab/>
        <w:t>(d)</w:t>
      </w:r>
      <w:r>
        <w:tab/>
      </w:r>
      <w:r w:rsidR="00D930D9" w:rsidRPr="00A058B6">
        <w:t>if the superannuation interest is in a superannuation fund that is not a regulated superannuation fund—a payment to the member spouse that is made on compassionate grounds as provided by the governing rules of the plan;</w:t>
      </w:r>
    </w:p>
    <w:p w14:paraId="08149B82" w14:textId="77777777" w:rsidR="00D930D9" w:rsidRPr="00A058B6" w:rsidRDefault="00695A91" w:rsidP="00D930D9">
      <w:pPr>
        <w:pStyle w:val="paragraph"/>
        <w:keepNext/>
        <w:keepLines/>
      </w:pPr>
      <w:r>
        <w:tab/>
        <w:t>(e)</w:t>
      </w:r>
      <w:r>
        <w:tab/>
      </w:r>
      <w:r w:rsidR="00D930D9" w:rsidRPr="00A058B6">
        <w:t>if the superannuation interest is in a superannuation annuity that is a deferred annuity—a payment to the member spouse that is made on compassionate grounds under a term of the annuity;</w:t>
      </w:r>
    </w:p>
    <w:p w14:paraId="199E8473" w14:textId="77777777" w:rsidR="00D930D9" w:rsidRPr="00A058B6" w:rsidRDefault="00695A91" w:rsidP="00D930D9">
      <w:pPr>
        <w:pStyle w:val="paragraph"/>
      </w:pPr>
      <w:r>
        <w:tab/>
        <w:t>(f)</w:t>
      </w:r>
      <w:r>
        <w:tab/>
      </w:r>
      <w:r w:rsidR="00D930D9" w:rsidRPr="00A058B6">
        <w:t xml:space="preserve">if the superannuation interest is in the superannuation scheme constituted by the </w:t>
      </w:r>
      <w:r w:rsidR="00D930D9" w:rsidRPr="00A058B6">
        <w:rPr>
          <w:i/>
        </w:rPr>
        <w:t>Superannuation Act 1976</w:t>
      </w:r>
      <w:r w:rsidR="00D930D9" w:rsidRPr="00A058B6">
        <w:t xml:space="preserve"> or the </w:t>
      </w:r>
      <w:r w:rsidR="00D930D9" w:rsidRPr="00A058B6">
        <w:rPr>
          <w:i/>
        </w:rPr>
        <w:t>Superannuation Act 1990</w:t>
      </w:r>
      <w:r w:rsidR="00D930D9" w:rsidRPr="00A058B6">
        <w:t>—a payment to the member spouse that is made:</w:t>
      </w:r>
    </w:p>
    <w:p w14:paraId="714BE86C" w14:textId="77777777" w:rsidR="00D930D9" w:rsidRPr="00A058B6" w:rsidRDefault="00D930D9" w:rsidP="00D930D9">
      <w:pPr>
        <w:pStyle w:val="paragraphsub"/>
      </w:pPr>
      <w:r w:rsidRPr="00A058B6">
        <w:tab/>
        <w:t>(i)</w:t>
      </w:r>
      <w:r w:rsidRPr="00A058B6">
        <w:tab/>
        <w:t>during any period in which the member spouse’s health is being assessed for the purpose of determining the member spouse’s eligibility for payment on the ground that the member spouse is totally and permanently incapacitated; or</w:t>
      </w:r>
    </w:p>
    <w:p w14:paraId="08205D5E" w14:textId="77777777" w:rsidR="00D930D9" w:rsidRPr="00A058B6" w:rsidRDefault="00D930D9" w:rsidP="00D930D9">
      <w:pPr>
        <w:pStyle w:val="paragraphsub"/>
      </w:pPr>
      <w:r w:rsidRPr="00A058B6">
        <w:tab/>
        <w:t>(ii)</w:t>
      </w:r>
      <w:r w:rsidRPr="00A058B6">
        <w:tab/>
        <w:t>because the member spouse’s salary or other remuneration, or hours of employment, have been reduced because of ill health;</w:t>
      </w:r>
    </w:p>
    <w:p w14:paraId="5CAA8270" w14:textId="77777777" w:rsidR="00D930D9" w:rsidRPr="00A058B6" w:rsidRDefault="00695A91" w:rsidP="00D930D9">
      <w:pPr>
        <w:pStyle w:val="paragraph"/>
      </w:pPr>
      <w:r>
        <w:lastRenderedPageBreak/>
        <w:tab/>
        <w:t>(g)</w:t>
      </w:r>
      <w:r>
        <w:tab/>
      </w:r>
      <w:r w:rsidR="00D930D9" w:rsidRPr="00A058B6">
        <w:t xml:space="preserve">if the superannuation interest is in the superannuation scheme continued in existence by the </w:t>
      </w:r>
      <w:r w:rsidR="00D930D9" w:rsidRPr="00A058B6">
        <w:rPr>
          <w:i/>
        </w:rPr>
        <w:t>Superannuation (State Public Sector) Act 1990</w:t>
      </w:r>
      <w:r w:rsidR="00D930D9" w:rsidRPr="00A058B6">
        <w:t xml:space="preserve"> (Qld)—a pension payment to the member spouse that is:</w:t>
      </w:r>
    </w:p>
    <w:p w14:paraId="145AF1BC" w14:textId="38BEA1C0" w:rsidR="00D930D9" w:rsidRPr="00A058B6" w:rsidRDefault="00D930D9" w:rsidP="00D930D9">
      <w:pPr>
        <w:pStyle w:val="paragraphsub"/>
      </w:pPr>
      <w:r w:rsidRPr="00A058B6">
        <w:tab/>
        <w:t>(i)</w:t>
      </w:r>
      <w:r w:rsidRPr="00A058B6">
        <w:tab/>
        <w:t xml:space="preserve">an income protection benefit paid under </w:t>
      </w:r>
      <w:r w:rsidR="00CB78B9">
        <w:t>section 5</w:t>
      </w:r>
      <w:r w:rsidRPr="00A058B6">
        <w:t>0 of the Participation Schedule; or</w:t>
      </w:r>
    </w:p>
    <w:p w14:paraId="7FF8741D" w14:textId="6A25D73D" w:rsidR="00D930D9" w:rsidRPr="00A058B6" w:rsidRDefault="00D930D9" w:rsidP="00D930D9">
      <w:pPr>
        <w:pStyle w:val="paragraphsub"/>
      </w:pPr>
      <w:r w:rsidRPr="00A058B6">
        <w:tab/>
        <w:t>(ii)</w:t>
      </w:r>
      <w:r w:rsidRPr="00A058B6">
        <w:tab/>
        <w:t xml:space="preserve">an incapacity benefit to which the member spouse is entitled under </w:t>
      </w:r>
      <w:r w:rsidR="00CB78B9">
        <w:t>paragraph 1</w:t>
      </w:r>
      <w:r w:rsidRPr="00A058B6">
        <w:t>36(b) of the Participation Schedule; or</w:t>
      </w:r>
    </w:p>
    <w:p w14:paraId="798B6CED" w14:textId="6A733587" w:rsidR="00D930D9" w:rsidRPr="00A058B6" w:rsidRDefault="00D930D9" w:rsidP="00D930D9">
      <w:pPr>
        <w:pStyle w:val="paragraphsub"/>
      </w:pPr>
      <w:r w:rsidRPr="00A058B6">
        <w:tab/>
        <w:t>(iii)</w:t>
      </w:r>
      <w:r w:rsidRPr="00A058B6">
        <w:tab/>
        <w:t xml:space="preserve">an incapacity pension to which the member spouse is entitled under </w:t>
      </w:r>
      <w:r w:rsidR="00CB78B9">
        <w:t>paragraph 1</w:t>
      </w:r>
      <w:r w:rsidRPr="00A058B6">
        <w:t>99(b) of the Participation Schedule;</w:t>
      </w:r>
    </w:p>
    <w:p w14:paraId="74DEAB9E" w14:textId="3129400D" w:rsidR="00D930D9" w:rsidRPr="00A058B6" w:rsidRDefault="00D930D9" w:rsidP="00D930D9">
      <w:pPr>
        <w:pStyle w:val="noteToPara"/>
      </w:pPr>
      <w:r w:rsidRPr="00A058B6">
        <w:t>Note:</w:t>
      </w:r>
      <w:r w:rsidRPr="00A058B6">
        <w:tab/>
        <w:t xml:space="preserve">In </w:t>
      </w:r>
      <w:r w:rsidR="00114E6D">
        <w:t>2025</w:t>
      </w:r>
      <w:r w:rsidRPr="00A058B6">
        <w:t xml:space="preserve">, the scheme continued in existence by the </w:t>
      </w:r>
      <w:r w:rsidRPr="00A058B6">
        <w:rPr>
          <w:i/>
        </w:rPr>
        <w:t>Superannuation (State Public Sector) Act 1990</w:t>
      </w:r>
      <w:r w:rsidRPr="00A058B6">
        <w:t xml:space="preserve"> (Qld) was known as the Australian Retirement Trust</w:t>
      </w:r>
      <w:r w:rsidR="00D7157D">
        <w:t>.</w:t>
      </w:r>
    </w:p>
    <w:p w14:paraId="1D6ABF6A" w14:textId="77777777" w:rsidR="00D930D9" w:rsidRPr="00A058B6" w:rsidRDefault="00695A91" w:rsidP="00D930D9">
      <w:pPr>
        <w:pStyle w:val="paragraph"/>
      </w:pPr>
      <w:r>
        <w:tab/>
        <w:t>(h)</w:t>
      </w:r>
      <w:r>
        <w:tab/>
      </w:r>
      <w:r w:rsidR="00D930D9" w:rsidRPr="00A058B6">
        <w:t xml:space="preserve">if the superannuation interest is in an account (within the meaning of the </w:t>
      </w:r>
      <w:r w:rsidR="00D930D9" w:rsidRPr="00A058B6">
        <w:rPr>
          <w:i/>
        </w:rPr>
        <w:t>Small Superannuation Accounts Act 1995</w:t>
      </w:r>
      <w:r w:rsidR="00D930D9" w:rsidRPr="00A058B6">
        <w:t>)—a payment to the member spouse from the account, if:</w:t>
      </w:r>
    </w:p>
    <w:p w14:paraId="233E1875" w14:textId="4257831E" w:rsidR="00D930D9" w:rsidRPr="00A058B6" w:rsidRDefault="00D930D9" w:rsidP="00D930D9">
      <w:pPr>
        <w:pStyle w:val="paragraphsub"/>
      </w:pPr>
      <w:r w:rsidRPr="00A058B6">
        <w:tab/>
        <w:t>(i)</w:t>
      </w:r>
      <w:r w:rsidRPr="00A058B6">
        <w:tab/>
        <w:t xml:space="preserve">in accordance with a superannuation agreement, flag lifting agreement or splitting order that has been served on the trustee of the account, the trustee has opened a separate account under the </w:t>
      </w:r>
      <w:r w:rsidRPr="00A058B6">
        <w:rPr>
          <w:i/>
        </w:rPr>
        <w:t>Small Superannuation Accounts Act 1995</w:t>
      </w:r>
      <w:r w:rsidRPr="00A058B6">
        <w:t xml:space="preserve"> for the non</w:t>
      </w:r>
      <w:r w:rsidR="001952B3">
        <w:noBreakHyphen/>
      </w:r>
      <w:r w:rsidRPr="00A058B6">
        <w:t>member spouse, and has transferred an amount from the member spouse’s account to that separate account; and</w:t>
      </w:r>
    </w:p>
    <w:p w14:paraId="203CF6E7" w14:textId="716C08EB" w:rsidR="00D930D9" w:rsidRPr="00A058B6" w:rsidRDefault="00D930D9" w:rsidP="00D930D9">
      <w:pPr>
        <w:pStyle w:val="paragraphsub"/>
      </w:pPr>
      <w:r w:rsidRPr="00A058B6">
        <w:tab/>
        <w:t>(ii)</w:t>
      </w:r>
      <w:r w:rsidRPr="00A058B6">
        <w:tab/>
        <w:t>but for the operation of this paragraph, the non</w:t>
      </w:r>
      <w:r w:rsidR="001952B3">
        <w:noBreakHyphen/>
      </w:r>
      <w:r w:rsidRPr="00A058B6">
        <w:t>member spouse would have been entitled to be paid an amount in respect of the payment</w:t>
      </w:r>
      <w:r w:rsidR="00D7157D">
        <w:t>.</w:t>
      </w:r>
    </w:p>
    <w:p w14:paraId="5DD8D0CF" w14:textId="77777777" w:rsidR="00D930D9" w:rsidRPr="00A058B6" w:rsidRDefault="00D930D9" w:rsidP="00D930D9">
      <w:pPr>
        <w:pStyle w:val="subsection"/>
      </w:pPr>
      <w:r w:rsidRPr="00A058B6">
        <w:tab/>
        <w:t>(3)</w:t>
      </w:r>
      <w:r w:rsidRPr="00A058B6">
        <w:tab/>
        <w:t>In this section:</w:t>
      </w:r>
    </w:p>
    <w:p w14:paraId="61CF8DAF" w14:textId="77777777" w:rsidR="00D930D9" w:rsidRPr="00A058B6" w:rsidRDefault="00D930D9" w:rsidP="00D930D9">
      <w:pPr>
        <w:pStyle w:val="Definition"/>
      </w:pPr>
      <w:r w:rsidRPr="00A058B6">
        <w:rPr>
          <w:b/>
          <w:i/>
        </w:rPr>
        <w:t>Government Division Rules</w:t>
      </w:r>
      <w:r w:rsidRPr="00A058B6">
        <w:t xml:space="preserve"> means the Division Rules:</w:t>
      </w:r>
    </w:p>
    <w:p w14:paraId="727B4F68" w14:textId="10152227" w:rsidR="00D930D9" w:rsidRPr="00A058B6" w:rsidRDefault="00695A91" w:rsidP="00D930D9">
      <w:pPr>
        <w:pStyle w:val="paragraph"/>
      </w:pPr>
      <w:r>
        <w:tab/>
        <w:t>(a)</w:t>
      </w:r>
      <w:r>
        <w:tab/>
      </w:r>
      <w:r w:rsidR="00D930D9" w:rsidRPr="00A058B6">
        <w:t xml:space="preserve">within the meaning of the trust deed, as existing on </w:t>
      </w:r>
      <w:r w:rsidR="00453C86">
        <w:t>1 April</w:t>
      </w:r>
      <w:r w:rsidR="00E54C87">
        <w:t xml:space="preserve"> 2025</w:t>
      </w:r>
      <w:r w:rsidR="00D930D9" w:rsidRPr="00A058B6">
        <w:t xml:space="preserve">, that governs the scheme continued in existence under </w:t>
      </w:r>
      <w:r w:rsidR="00CB78B9">
        <w:t>section 5</w:t>
      </w:r>
      <w:r w:rsidR="00D930D9" w:rsidRPr="00A058B6">
        <w:t xml:space="preserve"> of the </w:t>
      </w:r>
      <w:r w:rsidR="00D930D9" w:rsidRPr="00A058B6">
        <w:rPr>
          <w:i/>
        </w:rPr>
        <w:t>Superannuation (State Public Sector) Act 1990</w:t>
      </w:r>
      <w:r w:rsidR="00D930D9" w:rsidRPr="00A058B6">
        <w:t xml:space="preserve"> (Qld); and</w:t>
      </w:r>
    </w:p>
    <w:p w14:paraId="7FA24B01" w14:textId="5F2AD503" w:rsidR="00D930D9" w:rsidRPr="00A058B6" w:rsidRDefault="00695A91" w:rsidP="00D930D9">
      <w:pPr>
        <w:pStyle w:val="paragraph"/>
      </w:pPr>
      <w:r>
        <w:tab/>
        <w:t>(b)</w:t>
      </w:r>
      <w:r>
        <w:tab/>
      </w:r>
      <w:r w:rsidR="00D930D9" w:rsidRPr="00A058B6">
        <w:t xml:space="preserve">as </w:t>
      </w:r>
      <w:r w:rsidR="00A35E72">
        <w:t>in force</w:t>
      </w:r>
      <w:r w:rsidR="00D930D9" w:rsidRPr="00A058B6">
        <w:t xml:space="preserve"> on</w:t>
      </w:r>
      <w:r w:rsidR="00E54C87">
        <w:t xml:space="preserve"> </w:t>
      </w:r>
      <w:r w:rsidR="00453C86">
        <w:t>1 April</w:t>
      </w:r>
      <w:r w:rsidR="00E54C87">
        <w:t xml:space="preserve"> 2025</w:t>
      </w:r>
      <w:r w:rsidR="00D930D9" w:rsidRPr="00A058B6">
        <w:t>;</w:t>
      </w:r>
    </w:p>
    <w:p w14:paraId="102459E1" w14:textId="77777777" w:rsidR="00D930D9" w:rsidRPr="00A058B6" w:rsidRDefault="00D930D9" w:rsidP="00D930D9">
      <w:pPr>
        <w:pStyle w:val="subsection2"/>
      </w:pPr>
      <w:r w:rsidRPr="00A058B6">
        <w:t>that relate to the Government Division referred to in clause 2</w:t>
      </w:r>
      <w:r w:rsidR="00D7157D">
        <w:t>.</w:t>
      </w:r>
      <w:r w:rsidRPr="00A058B6">
        <w:t>1 of that deed</w:t>
      </w:r>
      <w:r w:rsidR="00D7157D">
        <w:t>.</w:t>
      </w:r>
    </w:p>
    <w:p w14:paraId="5D98D199" w14:textId="77777777" w:rsidR="00D930D9" w:rsidRPr="00A058B6" w:rsidRDefault="00D930D9" w:rsidP="00D930D9">
      <w:pPr>
        <w:pStyle w:val="Definition"/>
      </w:pPr>
      <w:r w:rsidRPr="00A058B6">
        <w:rPr>
          <w:b/>
          <w:i/>
        </w:rPr>
        <w:t>Participation Schedule</w:t>
      </w:r>
      <w:r w:rsidRPr="00A058B6">
        <w:t xml:space="preserve"> means the part of the Government Division Rules known as the Participation Schedule</w:t>
      </w:r>
      <w:r w:rsidR="00D7157D">
        <w:t>.</w:t>
      </w:r>
    </w:p>
    <w:p w14:paraId="4AADB1A6" w14:textId="77777777" w:rsidR="00D930D9" w:rsidRPr="00A058B6" w:rsidRDefault="00D930D9" w:rsidP="00D930D9">
      <w:pPr>
        <w:pStyle w:val="Definition"/>
      </w:pPr>
      <w:r w:rsidRPr="00A058B6">
        <w:rPr>
          <w:b/>
          <w:i/>
        </w:rPr>
        <w:t>severe financial hardship</w:t>
      </w:r>
      <w:r w:rsidRPr="00A058B6">
        <w:t xml:space="preserve"> has the meaning given by sub</w:t>
      </w:r>
      <w:r w:rsidR="00B05FD6">
        <w:t>regulation 6</w:t>
      </w:r>
      <w:r w:rsidR="00D7157D">
        <w:t>.</w:t>
      </w:r>
      <w:r w:rsidRPr="00A058B6">
        <w:t>01(5) of the SIS Regulations</w:t>
      </w:r>
      <w:r w:rsidR="00D7157D">
        <w:t>.</w:t>
      </w:r>
    </w:p>
    <w:p w14:paraId="7ED1A3B6" w14:textId="25A90CB7" w:rsidR="00D930D9" w:rsidRPr="00A058B6" w:rsidRDefault="00485CC2" w:rsidP="00D930D9">
      <w:pPr>
        <w:pStyle w:val="ActHead5"/>
      </w:pPr>
      <w:bookmarkStart w:id="24" w:name="_Toc188350511"/>
      <w:r w:rsidRPr="00423C34">
        <w:rPr>
          <w:rStyle w:val="CharSectno"/>
        </w:rPr>
        <w:t>17</w:t>
      </w:r>
      <w:r w:rsidR="00D930D9" w:rsidRPr="00A058B6">
        <w:t xml:space="preserve">  Payments after death of member spouse that are not splittable payments</w:t>
      </w:r>
      <w:bookmarkEnd w:id="24"/>
    </w:p>
    <w:p w14:paraId="4B828A35" w14:textId="5EB1A277" w:rsidR="00D930D9" w:rsidRPr="00A058B6" w:rsidRDefault="00D930D9" w:rsidP="00D930D9">
      <w:pPr>
        <w:pStyle w:val="subsection"/>
      </w:pPr>
      <w:r w:rsidRPr="00A058B6">
        <w:tab/>
        <w:t>(1)</w:t>
      </w:r>
      <w:r w:rsidRPr="00A058B6">
        <w:tab/>
        <w:t xml:space="preserve">Each of the payments mentioned in </w:t>
      </w:r>
      <w:r w:rsidR="00A52DA5">
        <w:t>subsection (</w:t>
      </w:r>
      <w:r w:rsidRPr="00A058B6">
        <w:t>2) made after the death of a member spouse in respect of a superannuation interest of the member spouse:</w:t>
      </w:r>
    </w:p>
    <w:p w14:paraId="69FCEE4A" w14:textId="446A970C" w:rsidR="00D930D9" w:rsidRPr="00A058B6" w:rsidRDefault="00D930D9" w:rsidP="00D930D9">
      <w:pPr>
        <w:pStyle w:val="paragraph"/>
      </w:pPr>
      <w:r w:rsidRPr="00A058B6">
        <w:tab/>
        <w:t>(a)</w:t>
      </w:r>
      <w:r w:rsidRPr="00A058B6">
        <w:tab/>
        <w:t xml:space="preserve">is prescribed for the purposes of </w:t>
      </w:r>
      <w:r w:rsidR="00FE15C4">
        <w:t>subsection 9</w:t>
      </w:r>
      <w:r w:rsidRPr="00A058B6">
        <w:t>0XE(2) and 90YG(2) of the Act; and</w:t>
      </w:r>
    </w:p>
    <w:p w14:paraId="274E8153" w14:textId="77777777" w:rsidR="00D930D9" w:rsidRPr="00A058B6" w:rsidRDefault="00D930D9" w:rsidP="00D930D9">
      <w:pPr>
        <w:pStyle w:val="paragraph"/>
      </w:pPr>
      <w:r w:rsidRPr="00A058B6">
        <w:tab/>
        <w:t>(b)</w:t>
      </w:r>
      <w:r w:rsidRPr="00A058B6">
        <w:tab/>
        <w:t>as a result, is not a splittable payment for the purposes of all payment splits in respect of the superannuation interest</w:t>
      </w:r>
      <w:r w:rsidR="00D7157D">
        <w:t>.</w:t>
      </w:r>
    </w:p>
    <w:p w14:paraId="09C40AF9" w14:textId="2B8FF1B9" w:rsidR="00D930D9" w:rsidRPr="00A058B6" w:rsidRDefault="00D930D9" w:rsidP="00D930D9">
      <w:pPr>
        <w:pStyle w:val="notetext"/>
      </w:pPr>
      <w:r w:rsidRPr="00A058B6">
        <w:t>Note:</w:t>
      </w:r>
      <w:r w:rsidRPr="00A058B6">
        <w:tab/>
        <w:t xml:space="preserve">The payment will not be a splittable payment generally, rather than only not being a splittable payment for a particular payment split (see </w:t>
      </w:r>
      <w:r w:rsidR="00FE15C4">
        <w:t>subsection 9</w:t>
      </w:r>
      <w:r w:rsidRPr="00A058B6">
        <w:t>0XE(2) or 90YG(2) of the Act)</w:t>
      </w:r>
      <w:r w:rsidR="00D7157D">
        <w:t>.</w:t>
      </w:r>
    </w:p>
    <w:p w14:paraId="40E5A050" w14:textId="77777777" w:rsidR="00D930D9" w:rsidRPr="00A058B6" w:rsidRDefault="00D930D9" w:rsidP="00D930D9">
      <w:pPr>
        <w:pStyle w:val="subsection"/>
      </w:pPr>
      <w:r w:rsidRPr="00A058B6">
        <w:tab/>
        <w:t>(2)</w:t>
      </w:r>
      <w:r w:rsidRPr="00A058B6">
        <w:tab/>
        <w:t>The payments are as follows:</w:t>
      </w:r>
    </w:p>
    <w:p w14:paraId="4443FD32" w14:textId="77777777" w:rsidR="00D930D9" w:rsidRPr="00A058B6" w:rsidRDefault="00D930D9" w:rsidP="00D930D9">
      <w:pPr>
        <w:pStyle w:val="paragraph"/>
      </w:pPr>
      <w:r w:rsidRPr="00A058B6">
        <w:lastRenderedPageBreak/>
        <w:tab/>
        <w:t>(a)</w:t>
      </w:r>
      <w:r w:rsidRPr="00A058B6">
        <w:tab/>
        <w:t>a payment to a reversionary beneficiary who is a child in relation to the member spouse if, at the date of the payment, the child has not turned 18;</w:t>
      </w:r>
    </w:p>
    <w:p w14:paraId="7F5542B9" w14:textId="77777777" w:rsidR="00D930D9" w:rsidRPr="00A058B6" w:rsidRDefault="00D930D9" w:rsidP="00D930D9">
      <w:pPr>
        <w:pStyle w:val="paragraph"/>
      </w:pPr>
      <w:r w:rsidRPr="00A058B6">
        <w:tab/>
        <w:t>(b)</w:t>
      </w:r>
      <w:r w:rsidRPr="00A058B6">
        <w:tab/>
        <w:t>a payment to a reversionary beneficiary who is a child in relation to the member spouse if:</w:t>
      </w:r>
    </w:p>
    <w:p w14:paraId="04EDB211" w14:textId="77777777" w:rsidR="00D930D9" w:rsidRPr="00A058B6" w:rsidRDefault="00D930D9" w:rsidP="00D930D9">
      <w:pPr>
        <w:pStyle w:val="paragraphsub"/>
      </w:pPr>
      <w:r w:rsidRPr="00A058B6">
        <w:tab/>
        <w:t>(i)</w:t>
      </w:r>
      <w:r w:rsidRPr="00A058B6">
        <w:tab/>
        <w:t>immediately before the death of the member spouse, the child was dependent on the member spouse; and</w:t>
      </w:r>
    </w:p>
    <w:p w14:paraId="2DD4D738" w14:textId="77777777" w:rsidR="00D930D9" w:rsidRPr="00A058B6" w:rsidRDefault="00D930D9" w:rsidP="00D930D9">
      <w:pPr>
        <w:pStyle w:val="paragraphsub"/>
      </w:pPr>
      <w:r w:rsidRPr="00A058B6">
        <w:tab/>
        <w:t>(ii)</w:t>
      </w:r>
      <w:r w:rsidRPr="00A058B6">
        <w:tab/>
        <w:t>at the date of the payment, the child has turned 18; and</w:t>
      </w:r>
    </w:p>
    <w:p w14:paraId="59515D27" w14:textId="77777777" w:rsidR="00D930D9" w:rsidRPr="00A058B6" w:rsidRDefault="00D930D9" w:rsidP="00D930D9">
      <w:pPr>
        <w:pStyle w:val="paragraphsub"/>
      </w:pPr>
      <w:r w:rsidRPr="00A058B6">
        <w:tab/>
        <w:t>(iii)</w:t>
      </w:r>
      <w:r w:rsidRPr="00A058B6">
        <w:tab/>
        <w:t>the payment is made to enable the child to complete the child’s education or, if the child has special needs because of a physical or intellectual disability, to provide maintenance and meet expenses in respect of those needs;</w:t>
      </w:r>
    </w:p>
    <w:p w14:paraId="216F8AE5" w14:textId="42FEC9A4" w:rsidR="00D930D9" w:rsidRPr="00A058B6" w:rsidRDefault="00D930D9" w:rsidP="00D930D9">
      <w:pPr>
        <w:pStyle w:val="paragraph"/>
      </w:pPr>
      <w:r w:rsidRPr="00A058B6">
        <w:tab/>
        <w:t>(c)</w:t>
      </w:r>
      <w:r w:rsidRPr="00A058B6">
        <w:tab/>
        <w:t xml:space="preserve">a payment to a reversionary beneficiary for the benefit of a child in relation to the member spouse, if the requirements of </w:t>
      </w:r>
      <w:r w:rsidR="00453C86">
        <w:t>paragraph (</w:t>
      </w:r>
      <w:r w:rsidRPr="00A058B6">
        <w:t>a) or (b) are satisfied in relation to the child and the payment</w:t>
      </w:r>
      <w:r w:rsidR="00D7157D">
        <w:t>.</w:t>
      </w:r>
    </w:p>
    <w:p w14:paraId="4F3031FB" w14:textId="77777777" w:rsidR="00D930D9" w:rsidRPr="00A058B6" w:rsidRDefault="00D930D9" w:rsidP="00D930D9">
      <w:pPr>
        <w:pStyle w:val="subsection"/>
      </w:pPr>
      <w:r w:rsidRPr="00A058B6">
        <w:tab/>
        <w:t>(3)</w:t>
      </w:r>
      <w:r w:rsidRPr="00A058B6">
        <w:tab/>
        <w:t>In this section:</w:t>
      </w:r>
    </w:p>
    <w:p w14:paraId="06FA4C45" w14:textId="77777777" w:rsidR="00D930D9" w:rsidRPr="00A058B6" w:rsidRDefault="00D930D9" w:rsidP="00D930D9">
      <w:pPr>
        <w:pStyle w:val="Definition"/>
      </w:pPr>
      <w:r w:rsidRPr="00A058B6">
        <w:rPr>
          <w:b/>
          <w:i/>
        </w:rPr>
        <w:t>child</w:t>
      </w:r>
      <w:r w:rsidRPr="00A058B6">
        <w:t>, in relation to a member spouse who has a superannuation interest in an eligible superannuation plan, means:</w:t>
      </w:r>
    </w:p>
    <w:p w14:paraId="4B4C9DA0" w14:textId="10E57CD0" w:rsidR="00D930D9" w:rsidRPr="00A058B6" w:rsidRDefault="00D930D9" w:rsidP="00D930D9">
      <w:pPr>
        <w:pStyle w:val="paragraph"/>
      </w:pPr>
      <w:r w:rsidRPr="00A058B6">
        <w:tab/>
        <w:t>(a)</w:t>
      </w:r>
      <w:r w:rsidRPr="00A058B6">
        <w:tab/>
        <w:t xml:space="preserve">a child of the member spouse, within the meaning of </w:t>
      </w:r>
      <w:r w:rsidR="00CB78B9">
        <w:t>section 6</w:t>
      </w:r>
      <w:r w:rsidRPr="00A058B6">
        <w:t>0F of the Act; or</w:t>
      </w:r>
    </w:p>
    <w:p w14:paraId="5547E38F" w14:textId="77777777" w:rsidR="00D930D9" w:rsidRPr="00A058B6" w:rsidRDefault="00D930D9" w:rsidP="00D930D9">
      <w:pPr>
        <w:pStyle w:val="paragraph"/>
      </w:pPr>
      <w:r w:rsidRPr="00A058B6">
        <w:tab/>
        <w:t>(b)</w:t>
      </w:r>
      <w:r w:rsidRPr="00A058B6">
        <w:tab/>
        <w:t>a child of the member spouse under the governing rules of the plan; or</w:t>
      </w:r>
    </w:p>
    <w:p w14:paraId="41F1B606" w14:textId="77777777" w:rsidR="00D930D9" w:rsidRPr="00A058B6" w:rsidRDefault="00D930D9" w:rsidP="00D930D9">
      <w:pPr>
        <w:pStyle w:val="paragraph"/>
      </w:pPr>
      <w:r w:rsidRPr="00A058B6">
        <w:tab/>
        <w:t>(c)</w:t>
      </w:r>
      <w:r w:rsidRPr="00A058B6">
        <w:tab/>
        <w:t>a child who has been determined by the trustee of the plan, under the governing rules of the plan, to be a child of the member spouse; or</w:t>
      </w:r>
    </w:p>
    <w:p w14:paraId="70E0CC2F" w14:textId="12FA9198" w:rsidR="00D930D9" w:rsidRPr="00A058B6" w:rsidRDefault="00D930D9" w:rsidP="00D930D9">
      <w:pPr>
        <w:pStyle w:val="paragraph"/>
      </w:pPr>
      <w:r w:rsidRPr="00A058B6">
        <w:tab/>
        <w:t>(d)</w:t>
      </w:r>
      <w:r w:rsidRPr="00A058B6">
        <w:tab/>
        <w:t>a child for whom the member spouse had, at the time of the member spouse’s death, responsibility for the day</w:t>
      </w:r>
      <w:r w:rsidR="001952B3">
        <w:noBreakHyphen/>
      </w:r>
      <w:r w:rsidRPr="00A058B6">
        <w:t>to</w:t>
      </w:r>
      <w:r w:rsidR="001952B3">
        <w:noBreakHyphen/>
      </w:r>
      <w:r w:rsidRPr="00A058B6">
        <w:t>day care, welfare and development under:</w:t>
      </w:r>
    </w:p>
    <w:p w14:paraId="7B061644" w14:textId="77777777" w:rsidR="00D930D9" w:rsidRPr="00A058B6" w:rsidRDefault="00D930D9" w:rsidP="00D930D9">
      <w:pPr>
        <w:pStyle w:val="paragraphsub"/>
      </w:pPr>
      <w:r w:rsidRPr="00A058B6">
        <w:tab/>
        <w:t>(i)</w:t>
      </w:r>
      <w:r w:rsidRPr="00A058B6">
        <w:tab/>
        <w:t>an order under Part VII of the Act; or</w:t>
      </w:r>
    </w:p>
    <w:p w14:paraId="33911DD3" w14:textId="2B9C9038" w:rsidR="00D930D9" w:rsidRPr="00A058B6" w:rsidRDefault="00D930D9" w:rsidP="00D930D9">
      <w:pPr>
        <w:pStyle w:val="paragraphsub"/>
      </w:pPr>
      <w:r w:rsidRPr="00A058B6">
        <w:tab/>
        <w:t>(ii)</w:t>
      </w:r>
      <w:r w:rsidRPr="00A058B6">
        <w:tab/>
        <w:t xml:space="preserve">an order under Part 5 of the </w:t>
      </w:r>
      <w:r w:rsidRPr="00A058B6">
        <w:rPr>
          <w:i/>
        </w:rPr>
        <w:t>Family Court Act 1997</w:t>
      </w:r>
      <w:r w:rsidRPr="00A058B6">
        <w:t xml:space="preserve"> (WA)</w:t>
      </w:r>
      <w:r w:rsidR="00F448D0">
        <w:t xml:space="preserve"> as in force on</w:t>
      </w:r>
      <w:r w:rsidR="00E54C87">
        <w:t xml:space="preserve"> </w:t>
      </w:r>
      <w:r w:rsidR="00453C86">
        <w:t>1 April</w:t>
      </w:r>
      <w:r w:rsidR="00E54C87">
        <w:t xml:space="preserve"> 2025</w:t>
      </w:r>
      <w:r w:rsidRPr="00A058B6">
        <w:t>; or</w:t>
      </w:r>
    </w:p>
    <w:p w14:paraId="6131E983" w14:textId="77777777" w:rsidR="00D930D9" w:rsidRPr="00A058B6" w:rsidRDefault="00D930D9" w:rsidP="00D930D9">
      <w:pPr>
        <w:pStyle w:val="paragraphsub"/>
      </w:pPr>
      <w:r w:rsidRPr="00A058B6">
        <w:tab/>
        <w:t>(iii)</w:t>
      </w:r>
      <w:r w:rsidRPr="00A058B6">
        <w:tab/>
        <w:t>an order under a corresponding law of a foreign country</w:t>
      </w:r>
      <w:r w:rsidR="00D7157D">
        <w:t>.</w:t>
      </w:r>
    </w:p>
    <w:p w14:paraId="52D839D4" w14:textId="77777777" w:rsidR="00D930D9" w:rsidRPr="00A058B6" w:rsidRDefault="006211C7" w:rsidP="00D930D9">
      <w:pPr>
        <w:pStyle w:val="ActHead2"/>
        <w:pageBreakBefore/>
      </w:pPr>
      <w:bookmarkStart w:id="25" w:name="_Toc188350512"/>
      <w:r w:rsidRPr="00423C34">
        <w:rPr>
          <w:rStyle w:val="CharPartNo"/>
        </w:rPr>
        <w:lastRenderedPageBreak/>
        <w:t>Part </w:t>
      </w:r>
      <w:r w:rsidR="009F5A3D" w:rsidRPr="00423C34">
        <w:rPr>
          <w:rStyle w:val="CharPartNo"/>
        </w:rPr>
        <w:t>3</w:t>
      </w:r>
      <w:r w:rsidR="00D930D9" w:rsidRPr="00A058B6">
        <w:t>—</w:t>
      </w:r>
      <w:r w:rsidR="00D930D9" w:rsidRPr="00423C34">
        <w:rPr>
          <w:rStyle w:val="CharPartText"/>
        </w:rPr>
        <w:t>Payments that are not splittable payments: payments made in particular circumstances</w:t>
      </w:r>
      <w:bookmarkEnd w:id="25"/>
    </w:p>
    <w:p w14:paraId="4C2F61CA" w14:textId="77777777" w:rsidR="00D930D9" w:rsidRPr="00A058B6" w:rsidRDefault="00B05FD6" w:rsidP="00D930D9">
      <w:pPr>
        <w:pStyle w:val="ActHead3"/>
      </w:pPr>
      <w:bookmarkStart w:id="26" w:name="_Toc188350513"/>
      <w:r w:rsidRPr="00423C34">
        <w:rPr>
          <w:rStyle w:val="CharDivNo"/>
        </w:rPr>
        <w:t>Division 1</w:t>
      </w:r>
      <w:r w:rsidR="00D930D9" w:rsidRPr="00A058B6">
        <w:t>—</w:t>
      </w:r>
      <w:r w:rsidR="00D930D9" w:rsidRPr="00423C34">
        <w:rPr>
          <w:rStyle w:val="CharDivText"/>
        </w:rPr>
        <w:t>Preliminary</w:t>
      </w:r>
      <w:bookmarkEnd w:id="26"/>
    </w:p>
    <w:p w14:paraId="50C7722D" w14:textId="0E52E21E" w:rsidR="00D930D9" w:rsidRPr="00A058B6" w:rsidRDefault="00485CC2" w:rsidP="00D930D9">
      <w:pPr>
        <w:pStyle w:val="ActHead5"/>
      </w:pPr>
      <w:bookmarkStart w:id="27" w:name="_Toc188350514"/>
      <w:r w:rsidRPr="00423C34">
        <w:rPr>
          <w:rStyle w:val="CharSectno"/>
        </w:rPr>
        <w:t>18</w:t>
      </w:r>
      <w:r w:rsidR="00D930D9" w:rsidRPr="00A058B6">
        <w:t xml:space="preserve">  Simplified outline of this Part</w:t>
      </w:r>
      <w:bookmarkEnd w:id="27"/>
    </w:p>
    <w:p w14:paraId="0E74027D" w14:textId="4D125058" w:rsidR="00D930D9" w:rsidRPr="00A058B6" w:rsidRDefault="00453C86" w:rsidP="00D930D9">
      <w:pPr>
        <w:pStyle w:val="SOText"/>
        <w:rPr>
          <w:snapToGrid w:val="0"/>
        </w:rPr>
      </w:pPr>
      <w:r>
        <w:t>Division 2</w:t>
      </w:r>
      <w:r w:rsidR="00D930D9" w:rsidRPr="00A058B6">
        <w:t xml:space="preserve"> provides that a payment in respect of a superannuation interest of a member spouse is not a splittable payment for the purposes of applying </w:t>
      </w:r>
      <w:r w:rsidR="00D930D9" w:rsidRPr="00A058B6">
        <w:rPr>
          <w:snapToGrid w:val="0"/>
        </w:rPr>
        <w:t>Part VIIIB or VIIIC of the Act to a superannuation agreement, flag lifting agreement or splitting order if:</w:t>
      </w:r>
    </w:p>
    <w:p w14:paraId="13903C98" w14:textId="511D24BC" w:rsidR="00D930D9" w:rsidRPr="00A058B6" w:rsidRDefault="00D930D9" w:rsidP="00D930D9">
      <w:pPr>
        <w:pStyle w:val="SOPara"/>
      </w:pPr>
      <w:r w:rsidRPr="00A058B6">
        <w:tab/>
        <w:t>(a)</w:t>
      </w:r>
      <w:r w:rsidRPr="00A058B6">
        <w:tab/>
      </w:r>
      <w:r>
        <w:t xml:space="preserve">where the interest </w:t>
      </w:r>
      <w:r w:rsidRPr="00A058B6">
        <w:t>is not a percentage</w:t>
      </w:r>
      <w:r w:rsidR="001952B3">
        <w:noBreakHyphen/>
      </w:r>
      <w:r w:rsidRPr="00A058B6">
        <w:t>only interest</w:t>
      </w:r>
      <w:r>
        <w:t>—</w:t>
      </w:r>
      <w:r w:rsidRPr="00A058B6">
        <w:t xml:space="preserve">the requirements of a Subdivision of </w:t>
      </w:r>
      <w:r w:rsidR="00881039">
        <w:t>Division 3</w:t>
      </w:r>
      <w:r w:rsidRPr="00A058B6">
        <w:t xml:space="preserve"> are met; or</w:t>
      </w:r>
    </w:p>
    <w:p w14:paraId="1F715C20" w14:textId="22B3BB76" w:rsidR="00D930D9" w:rsidRDefault="00D930D9" w:rsidP="00D930D9">
      <w:pPr>
        <w:pStyle w:val="SOPara"/>
      </w:pPr>
      <w:r w:rsidRPr="00A058B6">
        <w:tab/>
        <w:t>(b)</w:t>
      </w:r>
      <w:r w:rsidRPr="00A058B6">
        <w:tab/>
      </w:r>
      <w:r>
        <w:t xml:space="preserve">where the interest </w:t>
      </w:r>
      <w:r w:rsidRPr="00A058B6">
        <w:t>is a percentage</w:t>
      </w:r>
      <w:r w:rsidR="001952B3">
        <w:noBreakHyphen/>
      </w:r>
      <w:r w:rsidRPr="00A058B6">
        <w:t>only</w:t>
      </w:r>
      <w:r w:rsidR="0064076C">
        <w:t xml:space="preserve"> </w:t>
      </w:r>
      <w:r w:rsidRPr="00A058B6">
        <w:t>interest</w:t>
      </w:r>
      <w:r>
        <w:t>—</w:t>
      </w:r>
      <w:r w:rsidRPr="00A058B6">
        <w:t>the requirements of a Subdivision of Division 4 are met</w:t>
      </w:r>
      <w:r>
        <w:t>; or</w:t>
      </w:r>
    </w:p>
    <w:p w14:paraId="5AE80759" w14:textId="709F6350" w:rsidR="00D930D9" w:rsidRPr="00A058B6" w:rsidRDefault="00D930D9" w:rsidP="00D930D9">
      <w:pPr>
        <w:pStyle w:val="SOPara"/>
      </w:pPr>
      <w:r>
        <w:tab/>
        <w:t>(c)</w:t>
      </w:r>
      <w:r>
        <w:tab/>
        <w:t xml:space="preserve">the requirements of </w:t>
      </w:r>
      <w:r w:rsidR="00B05FD6">
        <w:t>Division 5</w:t>
      </w:r>
      <w:r>
        <w:t xml:space="preserve"> are met for a payment by the member spouse in satisfaction of the non</w:t>
      </w:r>
      <w:r w:rsidR="001952B3">
        <w:noBreakHyphen/>
      </w:r>
      <w:r>
        <w:t>member spouse’s entitlement under the agreement or order</w:t>
      </w:r>
      <w:r w:rsidR="00D7157D">
        <w:t>.</w:t>
      </w:r>
    </w:p>
    <w:p w14:paraId="3E964711" w14:textId="4C038C21" w:rsidR="00D930D9" w:rsidRPr="00A058B6" w:rsidRDefault="00485CC2" w:rsidP="00D930D9">
      <w:pPr>
        <w:pStyle w:val="ActHead5"/>
      </w:pPr>
      <w:bookmarkStart w:id="28" w:name="_Toc188350515"/>
      <w:r w:rsidRPr="00423C34">
        <w:rPr>
          <w:rStyle w:val="CharSectno"/>
        </w:rPr>
        <w:t>19</w:t>
      </w:r>
      <w:r w:rsidR="00D930D9" w:rsidRPr="00A058B6">
        <w:t xml:space="preserve">  Meaning of </w:t>
      </w:r>
      <w:r w:rsidR="00D930D9" w:rsidRPr="00A058B6">
        <w:rPr>
          <w:i/>
        </w:rPr>
        <w:t>relevant condition of release</w:t>
      </w:r>
      <w:bookmarkEnd w:id="28"/>
    </w:p>
    <w:p w14:paraId="26313F8E" w14:textId="77777777" w:rsidR="00D930D9" w:rsidRPr="00A058B6" w:rsidRDefault="00D930D9" w:rsidP="00D930D9">
      <w:pPr>
        <w:pStyle w:val="subsection"/>
      </w:pPr>
      <w:r w:rsidRPr="00A058B6">
        <w:tab/>
        <w:t>(1)</w:t>
      </w:r>
      <w:r w:rsidRPr="00A058B6">
        <w:tab/>
        <w:t xml:space="preserve">A </w:t>
      </w:r>
      <w:r w:rsidRPr="00A058B6">
        <w:rPr>
          <w:b/>
          <w:i/>
        </w:rPr>
        <w:t>relevant condition of release</w:t>
      </w:r>
      <w:r w:rsidRPr="00A058B6">
        <w:t>, for a superannuation interest, is:</w:t>
      </w:r>
    </w:p>
    <w:p w14:paraId="4A5FDF09" w14:textId="20327AB6" w:rsidR="00D930D9" w:rsidRPr="00A058B6" w:rsidRDefault="00D930D9" w:rsidP="00D930D9">
      <w:pPr>
        <w:pStyle w:val="paragraph"/>
      </w:pPr>
      <w:r w:rsidRPr="00A058B6">
        <w:tab/>
        <w:t>(a)</w:t>
      </w:r>
      <w:r w:rsidRPr="00A058B6">
        <w:tab/>
        <w:t xml:space="preserve">if the superannuation interest is in a regulated superannuation fund or an exempt public sector superannuation scheme—a condition of release mentioned in item 101, 102, </w:t>
      </w:r>
      <w:r w:rsidR="00DE7F17">
        <w:t xml:space="preserve">102A, </w:t>
      </w:r>
      <w:r w:rsidRPr="00A058B6">
        <w:t xml:space="preserve">103 or 106 of </w:t>
      </w:r>
      <w:r w:rsidR="00453C86">
        <w:t>Schedule 1</w:t>
      </w:r>
      <w:r w:rsidRPr="00A058B6">
        <w:t xml:space="preserve"> to the SIS Regulations; and</w:t>
      </w:r>
    </w:p>
    <w:p w14:paraId="5AFC3BCD" w14:textId="7CC27050" w:rsidR="00D930D9" w:rsidRPr="00A058B6" w:rsidRDefault="00D930D9" w:rsidP="00D930D9">
      <w:pPr>
        <w:pStyle w:val="paragraph"/>
      </w:pPr>
      <w:r w:rsidRPr="00A058B6">
        <w:tab/>
        <w:t>(b)</w:t>
      </w:r>
      <w:r w:rsidRPr="00A058B6">
        <w:tab/>
        <w:t xml:space="preserve">if the superannuation interest is in an approved deposit fund—a condition of release mentioned in item 201, 202, </w:t>
      </w:r>
      <w:r w:rsidR="000D09F0">
        <w:t xml:space="preserve">202A, </w:t>
      </w:r>
      <w:r w:rsidRPr="00A058B6">
        <w:t xml:space="preserve">203 or 206 of </w:t>
      </w:r>
      <w:r w:rsidR="00453C86">
        <w:t>Schedule 1</w:t>
      </w:r>
      <w:r w:rsidRPr="00A058B6">
        <w:t xml:space="preserve"> to the SIS Regulations; and</w:t>
      </w:r>
    </w:p>
    <w:p w14:paraId="198F1805" w14:textId="77777777" w:rsidR="00D930D9" w:rsidRPr="00A058B6" w:rsidRDefault="00D930D9" w:rsidP="00D930D9">
      <w:pPr>
        <w:pStyle w:val="paragraph"/>
      </w:pPr>
      <w:r w:rsidRPr="00A058B6">
        <w:tab/>
        <w:t>(c)</w:t>
      </w:r>
      <w:r w:rsidRPr="00A058B6">
        <w:tab/>
        <w:t xml:space="preserve">if the superannuation interest is in an RSA—a condition of release mentioned in item 101, 102, </w:t>
      </w:r>
      <w:r w:rsidR="000D09F0">
        <w:t xml:space="preserve">102A, </w:t>
      </w:r>
      <w:r w:rsidRPr="00A058B6">
        <w:t>103 or 106 of Schedule 2 to the RSA Regulations; and</w:t>
      </w:r>
    </w:p>
    <w:p w14:paraId="2199248D" w14:textId="3ABF53B1" w:rsidR="00D930D9" w:rsidRPr="00A058B6" w:rsidRDefault="00D930D9" w:rsidP="00D930D9">
      <w:pPr>
        <w:pStyle w:val="paragraph"/>
      </w:pPr>
      <w:r w:rsidRPr="00A058B6">
        <w:tab/>
        <w:t>(d)</w:t>
      </w:r>
      <w:r w:rsidRPr="00A058B6">
        <w:tab/>
        <w:t xml:space="preserve">if the superannuation interest is in a superannuation annuity—a condition of release mentioned in item 201, 202, </w:t>
      </w:r>
      <w:r w:rsidR="000D09F0">
        <w:t xml:space="preserve">202A, </w:t>
      </w:r>
      <w:r w:rsidRPr="00A058B6">
        <w:t xml:space="preserve">203 or 206 of </w:t>
      </w:r>
      <w:r w:rsidR="00453C86">
        <w:t>Schedule 1</w:t>
      </w:r>
      <w:r w:rsidRPr="00A058B6">
        <w:t xml:space="preserve"> to the SIS Regulations</w:t>
      </w:r>
      <w:r w:rsidR="00D7157D">
        <w:t>.</w:t>
      </w:r>
    </w:p>
    <w:p w14:paraId="0B1BF990" w14:textId="48D47121" w:rsidR="00D930D9" w:rsidRPr="00A058B6" w:rsidRDefault="00D930D9" w:rsidP="00D930D9">
      <w:pPr>
        <w:pStyle w:val="subsection"/>
      </w:pPr>
      <w:r w:rsidRPr="00A058B6">
        <w:tab/>
        <w:t>(2)</w:t>
      </w:r>
      <w:r w:rsidRPr="00A058B6">
        <w:tab/>
        <w:t>For the purposes of this instrument, a non</w:t>
      </w:r>
      <w:r w:rsidR="001952B3">
        <w:noBreakHyphen/>
      </w:r>
      <w:r w:rsidRPr="00A058B6">
        <w:t>member spouse is taken to satisfy a relevant condition of release if the event specified in the condition has occurred in relation to the non</w:t>
      </w:r>
      <w:r w:rsidR="001952B3">
        <w:noBreakHyphen/>
      </w:r>
      <w:r w:rsidRPr="00A058B6">
        <w:t>member spouse</w:t>
      </w:r>
      <w:r w:rsidR="00D7157D">
        <w:t>.</w:t>
      </w:r>
    </w:p>
    <w:p w14:paraId="4B41AF9A" w14:textId="6D1B4ADD" w:rsidR="00D930D9" w:rsidRPr="00A058B6" w:rsidRDefault="00D930D9" w:rsidP="00D930D9">
      <w:pPr>
        <w:pStyle w:val="subsection"/>
      </w:pPr>
      <w:r w:rsidRPr="00A058B6">
        <w:tab/>
        <w:t>(3)</w:t>
      </w:r>
      <w:r w:rsidRPr="00A058B6">
        <w:tab/>
        <w:t xml:space="preserve">For the purposes of this instrument, when applying item 101, 103, 201 or 203 of </w:t>
      </w:r>
      <w:r w:rsidR="00453C86">
        <w:t>Schedule 1</w:t>
      </w:r>
      <w:r w:rsidRPr="00A058B6">
        <w:t xml:space="preserve"> to the SIS Regulations to a non</w:t>
      </w:r>
      <w:r w:rsidR="001952B3">
        <w:noBreakHyphen/>
      </w:r>
      <w:r w:rsidRPr="00A058B6">
        <w:t>member spouse, a reference in:</w:t>
      </w:r>
    </w:p>
    <w:p w14:paraId="31FA79D1" w14:textId="77777777" w:rsidR="00D930D9" w:rsidRPr="00A058B6" w:rsidRDefault="00D930D9" w:rsidP="00D930D9">
      <w:pPr>
        <w:pStyle w:val="paragraph"/>
      </w:pPr>
      <w:r w:rsidRPr="00A058B6">
        <w:tab/>
        <w:t>(</w:t>
      </w:r>
      <w:r>
        <w:t>a</w:t>
      </w:r>
      <w:r w:rsidRPr="00A058B6">
        <w:t>)</w:t>
      </w:r>
      <w:r w:rsidRPr="00A058B6">
        <w:tab/>
        <w:t xml:space="preserve">the definition of </w:t>
      </w:r>
      <w:r w:rsidRPr="00A058B6">
        <w:rPr>
          <w:b/>
          <w:i/>
        </w:rPr>
        <w:t>permanent incapacity</w:t>
      </w:r>
      <w:r w:rsidRPr="00A058B6">
        <w:t xml:space="preserve"> in regulation </w:t>
      </w:r>
      <w:r>
        <w:t>1</w:t>
      </w:r>
      <w:r w:rsidR="00D7157D">
        <w:t>.</w:t>
      </w:r>
      <w:r>
        <w:t>03C</w:t>
      </w:r>
      <w:r w:rsidRPr="00A058B6">
        <w:t xml:space="preserve"> of the SIS Regulations; and</w:t>
      </w:r>
    </w:p>
    <w:p w14:paraId="71201CB7" w14:textId="77777777" w:rsidR="00D930D9" w:rsidRPr="00A058B6" w:rsidRDefault="00D930D9" w:rsidP="00D930D9">
      <w:pPr>
        <w:pStyle w:val="paragraph"/>
      </w:pPr>
      <w:r w:rsidRPr="00A058B6">
        <w:tab/>
        <w:t>(</w:t>
      </w:r>
      <w:r>
        <w:t>b</w:t>
      </w:r>
      <w:r w:rsidRPr="00A058B6">
        <w:t>)</w:t>
      </w:r>
      <w:r w:rsidRPr="00A058B6">
        <w:tab/>
        <w:t>sub</w:t>
      </w:r>
      <w:r w:rsidR="00B05FD6">
        <w:t>regulation 6</w:t>
      </w:r>
      <w:r w:rsidR="00D7157D">
        <w:t>.</w:t>
      </w:r>
      <w:r w:rsidRPr="00A058B6">
        <w:t>01(7) of the SIS Regulations;</w:t>
      </w:r>
    </w:p>
    <w:p w14:paraId="77FA97DB" w14:textId="54F9E00E" w:rsidR="00D930D9" w:rsidRPr="00A058B6" w:rsidRDefault="00D930D9" w:rsidP="00D930D9">
      <w:pPr>
        <w:pStyle w:val="subsection2"/>
      </w:pPr>
      <w:r w:rsidRPr="00A058B6">
        <w:t>to a member is taken to be a reference to the non</w:t>
      </w:r>
      <w:r w:rsidR="001952B3">
        <w:noBreakHyphen/>
      </w:r>
      <w:r w:rsidRPr="00A058B6">
        <w:t>member spouse</w:t>
      </w:r>
      <w:r w:rsidR="00D7157D">
        <w:t>.</w:t>
      </w:r>
    </w:p>
    <w:p w14:paraId="63A0A4AB" w14:textId="7D5F9A22" w:rsidR="00D930D9" w:rsidRPr="00A058B6" w:rsidRDefault="00D930D9" w:rsidP="00D930D9">
      <w:pPr>
        <w:pStyle w:val="subsection"/>
      </w:pPr>
      <w:r w:rsidRPr="00A058B6">
        <w:tab/>
        <w:t>(4)</w:t>
      </w:r>
      <w:r w:rsidRPr="00A058B6">
        <w:tab/>
        <w:t>For the purposes of this instrument, when applying item 101 or 103 of Schedule 2 to the RSA Regulations to a non</w:t>
      </w:r>
      <w:r w:rsidR="001952B3">
        <w:noBreakHyphen/>
      </w:r>
      <w:r w:rsidRPr="00A058B6">
        <w:t>member spouse, a reference in:</w:t>
      </w:r>
    </w:p>
    <w:p w14:paraId="24DA148E" w14:textId="77777777" w:rsidR="00D930D9" w:rsidRPr="00A058B6" w:rsidRDefault="00D930D9" w:rsidP="00D930D9">
      <w:pPr>
        <w:pStyle w:val="paragraph"/>
      </w:pPr>
      <w:r w:rsidRPr="00A058B6">
        <w:lastRenderedPageBreak/>
        <w:tab/>
        <w:t>(a)</w:t>
      </w:r>
      <w:r w:rsidRPr="00A058B6">
        <w:tab/>
        <w:t xml:space="preserve">the definition of </w:t>
      </w:r>
      <w:r w:rsidRPr="00A058B6">
        <w:rPr>
          <w:b/>
          <w:i/>
        </w:rPr>
        <w:t>permanent incapacity</w:t>
      </w:r>
      <w:r w:rsidRPr="00A058B6">
        <w:t xml:space="preserve"> in subregulation 4</w:t>
      </w:r>
      <w:r w:rsidR="00D7157D">
        <w:t>.</w:t>
      </w:r>
      <w:r w:rsidRPr="00A058B6">
        <w:t>01(2) of the RSA Regulations; and</w:t>
      </w:r>
    </w:p>
    <w:p w14:paraId="5D535CA8" w14:textId="77777777" w:rsidR="00D930D9" w:rsidRPr="00A058B6" w:rsidRDefault="00D930D9" w:rsidP="00D930D9">
      <w:pPr>
        <w:pStyle w:val="paragraph"/>
      </w:pPr>
      <w:r w:rsidRPr="00A058B6">
        <w:tab/>
        <w:t>(b)</w:t>
      </w:r>
      <w:r w:rsidRPr="00A058B6">
        <w:tab/>
        <w:t>subregulation 4</w:t>
      </w:r>
      <w:r w:rsidR="00D7157D">
        <w:t>.</w:t>
      </w:r>
      <w:r w:rsidRPr="00A058B6">
        <w:t>01(4) of the RSA Regulations;</w:t>
      </w:r>
    </w:p>
    <w:p w14:paraId="62168766" w14:textId="09772D3D" w:rsidR="00D930D9" w:rsidRPr="00A058B6" w:rsidRDefault="00D930D9" w:rsidP="00D930D9">
      <w:pPr>
        <w:pStyle w:val="subsection2"/>
      </w:pPr>
      <w:r w:rsidRPr="00A058B6">
        <w:t>to an RSA holder is taken to be a reference to the non</w:t>
      </w:r>
      <w:r w:rsidR="001952B3">
        <w:noBreakHyphen/>
      </w:r>
      <w:r w:rsidRPr="00A058B6">
        <w:t>member spouse</w:t>
      </w:r>
      <w:r w:rsidR="00D7157D">
        <w:t>.</w:t>
      </w:r>
    </w:p>
    <w:p w14:paraId="15554340" w14:textId="4FDD4DB6" w:rsidR="00D930D9" w:rsidRPr="00A058B6" w:rsidRDefault="00453C86" w:rsidP="00D930D9">
      <w:pPr>
        <w:pStyle w:val="ActHead3"/>
        <w:pageBreakBefore/>
      </w:pPr>
      <w:bookmarkStart w:id="29" w:name="_Toc188350516"/>
      <w:r w:rsidRPr="00423C34">
        <w:rPr>
          <w:rStyle w:val="CharDivNo"/>
        </w:rPr>
        <w:lastRenderedPageBreak/>
        <w:t>Division 2</w:t>
      </w:r>
      <w:r w:rsidR="00D930D9" w:rsidRPr="00A058B6">
        <w:t>—</w:t>
      </w:r>
      <w:r w:rsidR="00D930D9" w:rsidRPr="00423C34">
        <w:rPr>
          <w:rStyle w:val="CharDivText"/>
        </w:rPr>
        <w:t>Circumstances when payments are not splittable payments</w:t>
      </w:r>
      <w:bookmarkEnd w:id="29"/>
    </w:p>
    <w:p w14:paraId="0301B702" w14:textId="6D573634" w:rsidR="00D930D9" w:rsidRPr="00A058B6" w:rsidRDefault="00485CC2" w:rsidP="00D930D9">
      <w:pPr>
        <w:pStyle w:val="ActHead5"/>
      </w:pPr>
      <w:bookmarkStart w:id="30" w:name="_Toc188350517"/>
      <w:r w:rsidRPr="00423C34">
        <w:rPr>
          <w:rStyle w:val="CharSectno"/>
        </w:rPr>
        <w:t>20</w:t>
      </w:r>
      <w:r w:rsidR="00D930D9" w:rsidRPr="00A058B6">
        <w:t xml:space="preserve">  Circumstances when payments are not splittable payments</w:t>
      </w:r>
      <w:bookmarkEnd w:id="30"/>
    </w:p>
    <w:p w14:paraId="73D68983" w14:textId="77777777" w:rsidR="00D930D9" w:rsidRPr="00A058B6" w:rsidRDefault="00D930D9" w:rsidP="00D930D9">
      <w:pPr>
        <w:pStyle w:val="subsection"/>
      </w:pPr>
      <w:r w:rsidRPr="00A058B6">
        <w:tab/>
        <w:t>(1)</w:t>
      </w:r>
      <w:r w:rsidRPr="00A058B6">
        <w:tab/>
        <w:t xml:space="preserve">Subsection (2) applies to a payment in </w:t>
      </w:r>
      <w:r w:rsidRPr="00A058B6">
        <w:rPr>
          <w:snapToGrid w:val="0"/>
        </w:rPr>
        <w:t>respect of a superannuation interest of a member spouse if</w:t>
      </w:r>
      <w:r w:rsidRPr="00A058B6">
        <w:t>:</w:t>
      </w:r>
    </w:p>
    <w:p w14:paraId="086652DE" w14:textId="77777777" w:rsidR="00D930D9" w:rsidRPr="00A058B6" w:rsidRDefault="00D930D9" w:rsidP="00D930D9">
      <w:pPr>
        <w:pStyle w:val="paragraph"/>
        <w:rPr>
          <w:snapToGrid w:val="0"/>
        </w:rPr>
      </w:pPr>
      <w:r w:rsidRPr="00A058B6">
        <w:tab/>
        <w:t>(a)</w:t>
      </w:r>
      <w:r w:rsidRPr="00A058B6">
        <w:tab/>
      </w:r>
      <w:r w:rsidRPr="00A058B6">
        <w:rPr>
          <w:snapToGrid w:val="0"/>
        </w:rPr>
        <w:t>a superannuation agreement, flag lifting agreement or splitting order applies to the superannuation interest; and</w:t>
      </w:r>
    </w:p>
    <w:p w14:paraId="5885C4D2" w14:textId="77777777" w:rsidR="00D930D9" w:rsidRDefault="00D930D9" w:rsidP="00D930D9">
      <w:pPr>
        <w:pStyle w:val="paragraph"/>
      </w:pPr>
      <w:r w:rsidRPr="00A058B6">
        <w:tab/>
        <w:t>(b)</w:t>
      </w:r>
      <w:r w:rsidRPr="00A058B6">
        <w:tab/>
        <w:t>the payment is made after the requirements of</w:t>
      </w:r>
      <w:r>
        <w:t>:</w:t>
      </w:r>
    </w:p>
    <w:p w14:paraId="1EDC92A5" w14:textId="77777777" w:rsidR="00D930D9" w:rsidRDefault="00D930D9" w:rsidP="00D930D9">
      <w:pPr>
        <w:pStyle w:val="paragraphsub"/>
      </w:pPr>
      <w:r>
        <w:tab/>
        <w:t>(i)</w:t>
      </w:r>
      <w:r>
        <w:tab/>
      </w:r>
      <w:r w:rsidRPr="00A058B6">
        <w:t xml:space="preserve">a Subdivision of </w:t>
      </w:r>
      <w:r w:rsidR="00881039">
        <w:t>Division 3</w:t>
      </w:r>
      <w:r w:rsidRPr="00A058B6">
        <w:t xml:space="preserve"> or 4</w:t>
      </w:r>
      <w:r>
        <w:t>; or</w:t>
      </w:r>
    </w:p>
    <w:p w14:paraId="0EF27C11" w14:textId="77777777" w:rsidR="00D930D9" w:rsidRDefault="00D930D9" w:rsidP="00D930D9">
      <w:pPr>
        <w:pStyle w:val="paragraphsub"/>
      </w:pPr>
      <w:r>
        <w:tab/>
        <w:t>(ii)</w:t>
      </w:r>
      <w:r>
        <w:tab/>
      </w:r>
      <w:r w:rsidR="00B05FD6">
        <w:t>Division 5</w:t>
      </w:r>
      <w:r>
        <w:t>;</w:t>
      </w:r>
    </w:p>
    <w:p w14:paraId="078E4D87" w14:textId="2D53D431" w:rsidR="00D930D9" w:rsidRPr="00A058B6" w:rsidRDefault="00D930D9" w:rsidP="00D930D9">
      <w:pPr>
        <w:pStyle w:val="paragraph"/>
      </w:pPr>
      <w:r>
        <w:tab/>
      </w:r>
      <w:r>
        <w:tab/>
      </w:r>
      <w:r w:rsidRPr="00A058B6">
        <w:t>are met</w:t>
      </w:r>
      <w:r w:rsidRPr="00A058B6">
        <w:rPr>
          <w:snapToGrid w:val="0"/>
        </w:rPr>
        <w:t xml:space="preserve"> for the non</w:t>
      </w:r>
      <w:r w:rsidR="001952B3">
        <w:rPr>
          <w:snapToGrid w:val="0"/>
        </w:rPr>
        <w:noBreakHyphen/>
      </w:r>
      <w:r w:rsidRPr="00A058B6">
        <w:rPr>
          <w:snapToGrid w:val="0"/>
        </w:rPr>
        <w:t>member spouse’s entitlement under that agreement or order in respect of the interest</w:t>
      </w:r>
      <w:r w:rsidR="00D7157D">
        <w:t>.</w:t>
      </w:r>
    </w:p>
    <w:p w14:paraId="7940F41A" w14:textId="42C3A9BE" w:rsidR="00D930D9" w:rsidRPr="00A058B6" w:rsidRDefault="00D930D9" w:rsidP="00D930D9">
      <w:pPr>
        <w:pStyle w:val="subsection"/>
        <w:rPr>
          <w:snapToGrid w:val="0"/>
        </w:rPr>
      </w:pPr>
      <w:r w:rsidRPr="00A058B6">
        <w:tab/>
        <w:t>(2)</w:t>
      </w:r>
      <w:r w:rsidRPr="00A058B6">
        <w:tab/>
        <w:t xml:space="preserve">For the purposes of </w:t>
      </w:r>
      <w:r w:rsidR="00FE15C4">
        <w:t>subsection 9</w:t>
      </w:r>
      <w:r w:rsidRPr="00A058B6">
        <w:t xml:space="preserve">0XE(2) or 90YG(2) of the Act, the payment is prescribed for the purposes of applying </w:t>
      </w:r>
      <w:r w:rsidRPr="00A058B6">
        <w:rPr>
          <w:snapToGrid w:val="0"/>
        </w:rPr>
        <w:t>Part VIIIB or VIIIC of the Act to that agreement or order</w:t>
      </w:r>
      <w:r w:rsidR="00D7157D">
        <w:rPr>
          <w:snapToGrid w:val="0"/>
        </w:rPr>
        <w:t>.</w:t>
      </w:r>
    </w:p>
    <w:p w14:paraId="4BE19543" w14:textId="77777777" w:rsidR="00D930D9" w:rsidRPr="00A058B6" w:rsidRDefault="00D930D9" w:rsidP="00D930D9">
      <w:pPr>
        <w:pStyle w:val="notetext"/>
      </w:pPr>
      <w:r w:rsidRPr="00A058B6">
        <w:rPr>
          <w:snapToGrid w:val="0"/>
        </w:rPr>
        <w:t>Note:</w:t>
      </w:r>
      <w:r w:rsidRPr="00A058B6">
        <w:rPr>
          <w:snapToGrid w:val="0"/>
        </w:rPr>
        <w:tab/>
        <w:t xml:space="preserve">This means the payment is </w:t>
      </w:r>
      <w:r w:rsidRPr="00A058B6">
        <w:t>not a splittable payment for those purposes</w:t>
      </w:r>
      <w:r w:rsidR="00D7157D">
        <w:t>.</w:t>
      </w:r>
    </w:p>
    <w:p w14:paraId="28280315" w14:textId="1398AE79" w:rsidR="00D930D9" w:rsidRPr="00A058B6" w:rsidRDefault="00881039" w:rsidP="00D930D9">
      <w:pPr>
        <w:pStyle w:val="ActHead3"/>
        <w:pageBreakBefore/>
      </w:pPr>
      <w:bookmarkStart w:id="31" w:name="_Toc188350518"/>
      <w:r w:rsidRPr="00423C34">
        <w:rPr>
          <w:rStyle w:val="CharDivNo"/>
        </w:rPr>
        <w:lastRenderedPageBreak/>
        <w:t>Division 3</w:t>
      </w:r>
      <w:r w:rsidR="00D930D9" w:rsidRPr="00A058B6">
        <w:t>—</w:t>
      </w:r>
      <w:r w:rsidR="00D930D9" w:rsidRPr="00423C34">
        <w:rPr>
          <w:rStyle w:val="CharDivText"/>
        </w:rPr>
        <w:t>When the payment relates to a superannuation interest that is not a percentage</w:t>
      </w:r>
      <w:r w:rsidR="001952B3" w:rsidRPr="00423C34">
        <w:rPr>
          <w:rStyle w:val="CharDivText"/>
        </w:rPr>
        <w:noBreakHyphen/>
      </w:r>
      <w:r w:rsidR="00D930D9" w:rsidRPr="00423C34">
        <w:rPr>
          <w:rStyle w:val="CharDivText"/>
        </w:rPr>
        <w:t>only interest</w:t>
      </w:r>
      <w:bookmarkEnd w:id="31"/>
    </w:p>
    <w:p w14:paraId="220B0B02" w14:textId="788CF8BD" w:rsidR="00D930D9" w:rsidRPr="00A058B6" w:rsidRDefault="00D930D9" w:rsidP="00D930D9">
      <w:pPr>
        <w:pStyle w:val="ActHead4"/>
      </w:pPr>
      <w:bookmarkStart w:id="32" w:name="_Toc188350519"/>
      <w:r w:rsidRPr="00423C34">
        <w:rPr>
          <w:rStyle w:val="CharSubdNo"/>
        </w:rPr>
        <w:t>Subdivision A</w:t>
      </w:r>
      <w:r w:rsidRPr="00A058B6">
        <w:t>—</w:t>
      </w:r>
      <w:r w:rsidRPr="00423C34">
        <w:rPr>
          <w:rStyle w:val="CharSubdText"/>
        </w:rPr>
        <w:t>New interest created, or amount transferred or rolled over or paid, under SIS Regulations or RSA Regulations, in satisfaction of the non</w:t>
      </w:r>
      <w:r w:rsidR="001952B3" w:rsidRPr="00423C34">
        <w:rPr>
          <w:rStyle w:val="CharSubdText"/>
        </w:rPr>
        <w:noBreakHyphen/>
      </w:r>
      <w:r w:rsidRPr="00423C34">
        <w:rPr>
          <w:rStyle w:val="CharSubdText"/>
        </w:rPr>
        <w:t>member spouse’s entitlement</w:t>
      </w:r>
      <w:bookmarkEnd w:id="32"/>
    </w:p>
    <w:p w14:paraId="1CB1FF0E" w14:textId="7ACEA04D" w:rsidR="00D930D9" w:rsidRPr="00A058B6" w:rsidRDefault="00485CC2" w:rsidP="00D930D9">
      <w:pPr>
        <w:pStyle w:val="ActHead5"/>
      </w:pPr>
      <w:bookmarkStart w:id="33" w:name="_Toc188350520"/>
      <w:r w:rsidRPr="00423C34">
        <w:rPr>
          <w:rStyle w:val="CharSectno"/>
        </w:rPr>
        <w:t>21</w:t>
      </w:r>
      <w:r w:rsidR="00D930D9" w:rsidRPr="00A058B6">
        <w:t xml:space="preserve">  Requirements of this Subdivision</w:t>
      </w:r>
      <w:bookmarkEnd w:id="33"/>
    </w:p>
    <w:p w14:paraId="73927FD1" w14:textId="5E2EC5EE" w:rsidR="00D930D9" w:rsidRPr="00A058B6" w:rsidRDefault="00D930D9" w:rsidP="00D930D9">
      <w:pPr>
        <w:pStyle w:val="subsection"/>
        <w:rPr>
          <w:snapToGrid w:val="0"/>
        </w:rPr>
      </w:pPr>
      <w:r w:rsidRPr="00A058B6">
        <w:tab/>
        <w:t>(1)</w:t>
      </w:r>
      <w:r w:rsidRPr="00A058B6">
        <w:tab/>
        <w:t>The requirements of this Subdivision are met for a non</w:t>
      </w:r>
      <w:r w:rsidR="001952B3">
        <w:noBreakHyphen/>
      </w:r>
      <w:r w:rsidRPr="00A058B6">
        <w:t xml:space="preserve">member spouse’s entitlement </w:t>
      </w:r>
      <w:r w:rsidRPr="00A058B6">
        <w:rPr>
          <w:snapToGrid w:val="0"/>
        </w:rPr>
        <w:t>under a particular superannuation agreement, flag lifting agreement or splitting order in respect of a superannuation interest if:</w:t>
      </w:r>
    </w:p>
    <w:p w14:paraId="563E7CEB" w14:textId="24771CC7" w:rsidR="00D930D9" w:rsidRPr="00A058B6" w:rsidRDefault="00D930D9" w:rsidP="00D930D9">
      <w:pPr>
        <w:pStyle w:val="paragraph"/>
      </w:pPr>
      <w:r w:rsidRPr="00A058B6">
        <w:tab/>
        <w:t>(a)</w:t>
      </w:r>
      <w:r w:rsidRPr="00A058B6">
        <w:tab/>
        <w:t>the interest is not a percentage</w:t>
      </w:r>
      <w:r w:rsidR="001952B3">
        <w:noBreakHyphen/>
      </w:r>
      <w:r w:rsidRPr="00A058B6">
        <w:t>only interest; and</w:t>
      </w:r>
    </w:p>
    <w:p w14:paraId="364B3749" w14:textId="6363199E" w:rsidR="00D930D9" w:rsidRPr="00A058B6" w:rsidRDefault="00D930D9" w:rsidP="00D930D9">
      <w:pPr>
        <w:pStyle w:val="paragraph"/>
        <w:rPr>
          <w:snapToGrid w:val="0"/>
        </w:rPr>
      </w:pPr>
      <w:r w:rsidRPr="00A058B6">
        <w:rPr>
          <w:snapToGrid w:val="0"/>
        </w:rPr>
        <w:tab/>
        <w:t>(b)</w:t>
      </w:r>
      <w:r w:rsidRPr="00A058B6">
        <w:rPr>
          <w:snapToGrid w:val="0"/>
        </w:rPr>
        <w:tab/>
      </w:r>
      <w:r w:rsidR="00A52DA5">
        <w:rPr>
          <w:snapToGrid w:val="0"/>
        </w:rPr>
        <w:t>subsection (</w:t>
      </w:r>
      <w:r w:rsidRPr="00A058B6">
        <w:rPr>
          <w:snapToGrid w:val="0"/>
        </w:rPr>
        <w:t>2) or (3) applies for the interest</w:t>
      </w:r>
      <w:r w:rsidR="00D7157D">
        <w:rPr>
          <w:snapToGrid w:val="0"/>
        </w:rPr>
        <w:t>.</w:t>
      </w:r>
    </w:p>
    <w:p w14:paraId="7E94C548" w14:textId="77777777" w:rsidR="00D930D9" w:rsidRPr="00A058B6" w:rsidRDefault="00D930D9" w:rsidP="00D930D9">
      <w:pPr>
        <w:pStyle w:val="subsection"/>
      </w:pPr>
      <w:r w:rsidRPr="00A058B6">
        <w:tab/>
        <w:t>(2)</w:t>
      </w:r>
      <w:r w:rsidRPr="00A058B6">
        <w:tab/>
        <w:t>This subsection applies for the superannuation interest if the trustee of the relevant eligible superannuation plan has, under the payment split provisions of the SIS Regulations, done any of the following things:</w:t>
      </w:r>
    </w:p>
    <w:p w14:paraId="2C614C39" w14:textId="3F187DE7" w:rsidR="00D930D9" w:rsidRPr="00A058B6" w:rsidRDefault="00D930D9" w:rsidP="00D930D9">
      <w:pPr>
        <w:pStyle w:val="paragraph"/>
      </w:pPr>
      <w:r w:rsidRPr="00A058B6">
        <w:tab/>
        <w:t>(a)</w:t>
      </w:r>
      <w:r w:rsidRPr="00A058B6">
        <w:tab/>
        <w:t>created a new interest in the plan for the non</w:t>
      </w:r>
      <w:r w:rsidR="001952B3">
        <w:noBreakHyphen/>
      </w:r>
      <w:r w:rsidRPr="00A058B6">
        <w:t>member spouse;</w:t>
      </w:r>
    </w:p>
    <w:p w14:paraId="2BB6044B" w14:textId="6CD102CC" w:rsidR="00D930D9" w:rsidRPr="00A058B6" w:rsidRDefault="00D930D9" w:rsidP="00D930D9">
      <w:pPr>
        <w:pStyle w:val="paragraph"/>
      </w:pPr>
      <w:r w:rsidRPr="00A058B6">
        <w:tab/>
        <w:t>(b)</w:t>
      </w:r>
      <w:r w:rsidRPr="00A058B6">
        <w:tab/>
        <w:t>transferred or rolled over an amount equal to the value of the benefit that the non</w:t>
      </w:r>
      <w:r w:rsidR="001952B3">
        <w:noBreakHyphen/>
      </w:r>
      <w:r w:rsidRPr="00A058B6">
        <w:t>member spouse would be required to have if a new interest had been created for the non</w:t>
      </w:r>
      <w:r w:rsidR="001952B3">
        <w:noBreakHyphen/>
      </w:r>
      <w:r w:rsidRPr="00A058B6">
        <w:t>member spouse under the payment split provisions of the SIS Regulations;</w:t>
      </w:r>
    </w:p>
    <w:p w14:paraId="00CF8612" w14:textId="7F9310F1" w:rsidR="00D930D9" w:rsidRPr="00A058B6" w:rsidRDefault="00D930D9" w:rsidP="00D930D9">
      <w:pPr>
        <w:pStyle w:val="paragraph"/>
      </w:pPr>
      <w:r w:rsidRPr="00A058B6">
        <w:tab/>
        <w:t>(c)</w:t>
      </w:r>
      <w:r w:rsidRPr="00A058B6">
        <w:tab/>
        <w:t>paid to the non</w:t>
      </w:r>
      <w:r w:rsidR="001952B3">
        <w:noBreakHyphen/>
      </w:r>
      <w:r w:rsidRPr="00A058B6">
        <w:t>member spouse the amount that the non</w:t>
      </w:r>
      <w:r w:rsidR="001952B3">
        <w:noBreakHyphen/>
      </w:r>
      <w:r w:rsidRPr="00A058B6">
        <w:t>member spouse is entitled in respect of the superannuation interest at the time of the payment</w:t>
      </w:r>
      <w:r w:rsidR="00D7157D">
        <w:t>.</w:t>
      </w:r>
    </w:p>
    <w:p w14:paraId="34570554" w14:textId="77777777" w:rsidR="00D930D9" w:rsidRPr="00A058B6" w:rsidRDefault="00D930D9" w:rsidP="00D930D9">
      <w:pPr>
        <w:pStyle w:val="subsection"/>
      </w:pPr>
      <w:r w:rsidRPr="00A058B6">
        <w:tab/>
        <w:t>(3)</w:t>
      </w:r>
      <w:r w:rsidRPr="00A058B6">
        <w:tab/>
        <w:t>This subsection applies for the superannuation interest if the trustee of the relevant eligible superannuation plan has, under the payment split provisions of the RSA Regulations, done any of the following things:</w:t>
      </w:r>
    </w:p>
    <w:p w14:paraId="0974487A" w14:textId="7121531B" w:rsidR="00D930D9" w:rsidRPr="00A058B6" w:rsidRDefault="00D930D9" w:rsidP="00D930D9">
      <w:pPr>
        <w:pStyle w:val="paragraph"/>
      </w:pPr>
      <w:r w:rsidRPr="00A058B6">
        <w:tab/>
        <w:t>(a)</w:t>
      </w:r>
      <w:r w:rsidRPr="00A058B6">
        <w:tab/>
        <w:t>opened a new RSA for the non</w:t>
      </w:r>
      <w:r w:rsidR="001952B3">
        <w:noBreakHyphen/>
      </w:r>
      <w:r w:rsidRPr="00A058B6">
        <w:t>member spouse;</w:t>
      </w:r>
    </w:p>
    <w:p w14:paraId="4D0D30F2" w14:textId="054A63F5" w:rsidR="00D930D9" w:rsidRPr="00A058B6" w:rsidRDefault="00D930D9" w:rsidP="00D930D9">
      <w:pPr>
        <w:pStyle w:val="paragraph"/>
      </w:pPr>
      <w:r w:rsidRPr="00A058B6">
        <w:tab/>
        <w:t>(b)</w:t>
      </w:r>
      <w:r w:rsidRPr="00A058B6">
        <w:tab/>
        <w:t>transferred or rolled over an amount equal to the value that the non</w:t>
      </w:r>
      <w:r w:rsidR="001952B3">
        <w:noBreakHyphen/>
      </w:r>
      <w:r w:rsidRPr="00A058B6">
        <w:t>member spouse would be required to have if a new RSA had been opened for the non</w:t>
      </w:r>
      <w:r w:rsidR="001952B3">
        <w:noBreakHyphen/>
      </w:r>
      <w:r w:rsidRPr="00A058B6">
        <w:t>member spouse under the payment split provisions of the RSA Regulations;</w:t>
      </w:r>
    </w:p>
    <w:p w14:paraId="0E1B9417" w14:textId="6472981B" w:rsidR="00D930D9" w:rsidRPr="00A058B6" w:rsidRDefault="00D930D9" w:rsidP="00D930D9">
      <w:pPr>
        <w:pStyle w:val="paragraph"/>
      </w:pPr>
      <w:r w:rsidRPr="00A058B6">
        <w:tab/>
        <w:t>(c)</w:t>
      </w:r>
      <w:r w:rsidRPr="00A058B6">
        <w:tab/>
        <w:t>paid to the non</w:t>
      </w:r>
      <w:r w:rsidR="001952B3">
        <w:noBreakHyphen/>
      </w:r>
      <w:r w:rsidRPr="00A058B6">
        <w:t>member spouse an amount that is at least the amount to which the non</w:t>
      </w:r>
      <w:r w:rsidR="001952B3">
        <w:noBreakHyphen/>
      </w:r>
      <w:r w:rsidRPr="00A058B6">
        <w:t>member spouse is entitled in respect of the superannuation interest at the time of the payment</w:t>
      </w:r>
      <w:r w:rsidR="00D7157D">
        <w:t>.</w:t>
      </w:r>
    </w:p>
    <w:p w14:paraId="530CDBD2" w14:textId="77777777" w:rsidR="00D930D9" w:rsidRPr="00A058B6" w:rsidRDefault="00D930D9" w:rsidP="00D930D9">
      <w:pPr>
        <w:pStyle w:val="subsection"/>
      </w:pPr>
      <w:r w:rsidRPr="00A058B6">
        <w:rPr>
          <w:color w:val="000000"/>
        </w:rPr>
        <w:tab/>
        <w:t>(4)</w:t>
      </w:r>
      <w:r w:rsidRPr="00A058B6">
        <w:rPr>
          <w:color w:val="000000"/>
        </w:rPr>
        <w:tab/>
        <w:t>In this section:</w:t>
      </w:r>
    </w:p>
    <w:p w14:paraId="2F59DA3C" w14:textId="77777777" w:rsidR="00D930D9" w:rsidRPr="00A058B6" w:rsidRDefault="00D930D9" w:rsidP="00D930D9">
      <w:pPr>
        <w:pStyle w:val="Definition"/>
      </w:pPr>
      <w:r w:rsidRPr="00A058B6">
        <w:rPr>
          <w:b/>
          <w:bCs/>
          <w:i/>
          <w:iCs/>
          <w:color w:val="000000"/>
        </w:rPr>
        <w:t>payment split provisions of the RSA Regulations</w:t>
      </w:r>
      <w:r w:rsidRPr="00A058B6">
        <w:rPr>
          <w:color w:val="000000"/>
        </w:rPr>
        <w:t xml:space="preserve"> means the provisions of the RSA Regulations (other than Division 4A</w:t>
      </w:r>
      <w:r w:rsidR="00D7157D">
        <w:rPr>
          <w:color w:val="000000"/>
        </w:rPr>
        <w:t>.</w:t>
      </w:r>
      <w:r w:rsidRPr="00A058B6">
        <w:rPr>
          <w:color w:val="000000"/>
        </w:rPr>
        <w:t>4) dealing with superannuation interests that are subject to a payment split</w:t>
      </w:r>
      <w:r w:rsidR="00D7157D">
        <w:rPr>
          <w:color w:val="000000"/>
        </w:rPr>
        <w:t>.</w:t>
      </w:r>
    </w:p>
    <w:p w14:paraId="25160C8F" w14:textId="77777777" w:rsidR="00D930D9" w:rsidRPr="00A058B6" w:rsidRDefault="00D930D9" w:rsidP="00D930D9">
      <w:pPr>
        <w:pStyle w:val="Definition"/>
      </w:pPr>
      <w:r w:rsidRPr="00A058B6">
        <w:rPr>
          <w:b/>
          <w:bCs/>
          <w:i/>
          <w:iCs/>
        </w:rPr>
        <w:t>payment split provisions of the SIS Regulations</w:t>
      </w:r>
      <w:r w:rsidRPr="00A058B6">
        <w:t xml:space="preserve"> means the provisions of the SIS Regulations (other than Division 7A</w:t>
      </w:r>
      <w:r w:rsidR="00D7157D">
        <w:t>.</w:t>
      </w:r>
      <w:r w:rsidRPr="00A058B6">
        <w:t>3) dealing with superannuation interests that are subject to a payment split</w:t>
      </w:r>
      <w:r w:rsidR="00D7157D">
        <w:t>.</w:t>
      </w:r>
    </w:p>
    <w:p w14:paraId="59EC9ED7" w14:textId="5657EE5C" w:rsidR="00D930D9" w:rsidRPr="00A058B6" w:rsidRDefault="00D930D9" w:rsidP="00D930D9">
      <w:pPr>
        <w:pStyle w:val="ActHead4"/>
      </w:pPr>
      <w:bookmarkStart w:id="34" w:name="_Toc188350521"/>
      <w:r w:rsidRPr="00423C34">
        <w:rPr>
          <w:rStyle w:val="CharSubdNo"/>
        </w:rPr>
        <w:lastRenderedPageBreak/>
        <w:t>Subdivision B</w:t>
      </w:r>
      <w:r w:rsidRPr="00A058B6">
        <w:t>—</w:t>
      </w:r>
      <w:r w:rsidRPr="00423C34">
        <w:rPr>
          <w:rStyle w:val="CharSubdText"/>
        </w:rPr>
        <w:t>New interest otherwise created, or amount otherwise transferred or rolled over or paid, by trustee, or separate entitlement arising, in satisfaction of non</w:t>
      </w:r>
      <w:r w:rsidR="001952B3" w:rsidRPr="00423C34">
        <w:rPr>
          <w:rStyle w:val="CharSubdText"/>
        </w:rPr>
        <w:noBreakHyphen/>
      </w:r>
      <w:r w:rsidRPr="00423C34">
        <w:rPr>
          <w:rStyle w:val="CharSubdText"/>
        </w:rPr>
        <w:t>member spouse’s entitlement under agreement or order</w:t>
      </w:r>
      <w:bookmarkEnd w:id="34"/>
    </w:p>
    <w:p w14:paraId="65969697" w14:textId="022CCFC2" w:rsidR="00D930D9" w:rsidRPr="00A058B6" w:rsidRDefault="00485CC2" w:rsidP="00D930D9">
      <w:pPr>
        <w:pStyle w:val="ActHead5"/>
      </w:pPr>
      <w:bookmarkStart w:id="35" w:name="_Toc188350522"/>
      <w:r w:rsidRPr="00423C34">
        <w:rPr>
          <w:rStyle w:val="CharSectno"/>
        </w:rPr>
        <w:t>22</w:t>
      </w:r>
      <w:r w:rsidR="00D930D9" w:rsidRPr="00A058B6">
        <w:t xml:space="preserve">  Requirements of this Subdivision</w:t>
      </w:r>
      <w:bookmarkEnd w:id="35"/>
    </w:p>
    <w:p w14:paraId="5D1BFBB1" w14:textId="2F4B95CC" w:rsidR="00D930D9" w:rsidRPr="00A058B6" w:rsidRDefault="00D930D9" w:rsidP="00D930D9">
      <w:pPr>
        <w:pStyle w:val="subsection"/>
        <w:rPr>
          <w:snapToGrid w:val="0"/>
        </w:rPr>
      </w:pPr>
      <w:r w:rsidRPr="00A058B6">
        <w:tab/>
        <w:t>(1)</w:t>
      </w:r>
      <w:r w:rsidRPr="00A058B6">
        <w:tab/>
        <w:t>The requirements of this Subdivision are met for a non</w:t>
      </w:r>
      <w:r w:rsidR="001952B3">
        <w:noBreakHyphen/>
      </w:r>
      <w:r w:rsidRPr="00A058B6">
        <w:t xml:space="preserve">member spouse’s entitlement </w:t>
      </w:r>
      <w:r w:rsidRPr="00A058B6">
        <w:rPr>
          <w:snapToGrid w:val="0"/>
        </w:rPr>
        <w:t>under a particular superannuation agreement, flag lifting agreement or splitting order in respect of a superannuation interest if:</w:t>
      </w:r>
    </w:p>
    <w:p w14:paraId="1593912A" w14:textId="77777777" w:rsidR="00D930D9" w:rsidRPr="00A058B6" w:rsidRDefault="00D930D9" w:rsidP="00D930D9">
      <w:pPr>
        <w:pStyle w:val="paragraph"/>
      </w:pPr>
      <w:r w:rsidRPr="00A058B6">
        <w:tab/>
        <w:t>(a)</w:t>
      </w:r>
      <w:r w:rsidRPr="00A058B6">
        <w:tab/>
        <w:t>the interest:</w:t>
      </w:r>
    </w:p>
    <w:p w14:paraId="5934C642" w14:textId="05FB7A69" w:rsidR="00D930D9" w:rsidRPr="00A058B6" w:rsidRDefault="00D930D9" w:rsidP="00D930D9">
      <w:pPr>
        <w:pStyle w:val="paragraphsub"/>
      </w:pPr>
      <w:r w:rsidRPr="00A058B6">
        <w:tab/>
        <w:t>(i)</w:t>
      </w:r>
      <w:r w:rsidRPr="00A058B6">
        <w:tab/>
        <w:t>is not a percentage</w:t>
      </w:r>
      <w:r w:rsidR="001952B3">
        <w:noBreakHyphen/>
      </w:r>
      <w:r w:rsidRPr="00A058B6">
        <w:t>only interest; and</w:t>
      </w:r>
    </w:p>
    <w:p w14:paraId="58A6AF30" w14:textId="77777777" w:rsidR="00D930D9" w:rsidRPr="00A058B6" w:rsidRDefault="00D930D9" w:rsidP="00D930D9">
      <w:pPr>
        <w:pStyle w:val="paragraphsub"/>
      </w:pPr>
      <w:r w:rsidRPr="00A058B6">
        <w:tab/>
        <w:t>(ii)</w:t>
      </w:r>
      <w:r w:rsidRPr="00A058B6">
        <w:tab/>
        <w:t>is in a superannuation fund or an approved deposit fund; and</w:t>
      </w:r>
    </w:p>
    <w:p w14:paraId="0D9B9CC8" w14:textId="77777777" w:rsidR="00D930D9" w:rsidRPr="00A058B6" w:rsidRDefault="00D930D9" w:rsidP="00D930D9">
      <w:pPr>
        <w:pStyle w:val="paragraph"/>
      </w:pPr>
      <w:r w:rsidRPr="00A058B6">
        <w:tab/>
        <w:t>(b)</w:t>
      </w:r>
      <w:r w:rsidRPr="00A058B6">
        <w:tab/>
        <w:t>either of the following sections applies for the interest:</w:t>
      </w:r>
    </w:p>
    <w:p w14:paraId="25DA5E0E" w14:textId="65BDE7F4" w:rsidR="00D930D9" w:rsidRPr="00A058B6" w:rsidRDefault="00D930D9" w:rsidP="00D930D9">
      <w:pPr>
        <w:pStyle w:val="paragraphsub"/>
      </w:pPr>
      <w:r w:rsidRPr="00A058B6">
        <w:tab/>
        <w:t>(i)</w:t>
      </w:r>
      <w:r w:rsidRPr="00A058B6">
        <w:tab/>
      </w:r>
      <w:r w:rsidR="00CB78B9">
        <w:t>section 2</w:t>
      </w:r>
      <w:r w:rsidR="00485CC2">
        <w:t>3</w:t>
      </w:r>
      <w:r w:rsidRPr="00A058B6">
        <w:t xml:space="preserve"> (main circumstances);</w:t>
      </w:r>
    </w:p>
    <w:p w14:paraId="4556F7CF" w14:textId="0EA2F77E" w:rsidR="00D930D9" w:rsidRPr="00A058B6" w:rsidRDefault="00D930D9" w:rsidP="00D930D9">
      <w:pPr>
        <w:pStyle w:val="paragraphsub"/>
      </w:pPr>
      <w:r w:rsidRPr="00A058B6">
        <w:tab/>
        <w:t>(ii)</w:t>
      </w:r>
      <w:r w:rsidRPr="00A058B6">
        <w:tab/>
      </w:r>
      <w:r w:rsidR="00CB78B9">
        <w:t>section 2</w:t>
      </w:r>
      <w:r w:rsidR="00485CC2">
        <w:t>4</w:t>
      </w:r>
      <w:r w:rsidRPr="00A058B6">
        <w:t xml:space="preserve"> (public sector superannuation schemes in which a separate entitlement arises for the non</w:t>
      </w:r>
      <w:r w:rsidR="001952B3">
        <w:noBreakHyphen/>
      </w:r>
      <w:r w:rsidRPr="00A058B6">
        <w:t>member spouse)</w:t>
      </w:r>
      <w:r w:rsidR="00D7157D">
        <w:t>.</w:t>
      </w:r>
    </w:p>
    <w:p w14:paraId="68DE4448" w14:textId="46441C44" w:rsidR="00D930D9" w:rsidRPr="00A058B6" w:rsidRDefault="00D930D9" w:rsidP="00D930D9">
      <w:pPr>
        <w:pStyle w:val="notetext"/>
      </w:pPr>
      <w:r w:rsidRPr="00A058B6">
        <w:t>Note:</w:t>
      </w:r>
      <w:r w:rsidRPr="00A058B6">
        <w:tab/>
      </w:r>
      <w:r w:rsidR="00CB78B9">
        <w:t>Section 2</w:t>
      </w:r>
      <w:r w:rsidR="00485CC2">
        <w:t>3</w:t>
      </w:r>
      <w:r w:rsidRPr="00A058B6">
        <w:t xml:space="preserve"> will apply if any of its subsections applies for the interest</w:t>
      </w:r>
      <w:r w:rsidR="00D7157D">
        <w:t>.</w:t>
      </w:r>
    </w:p>
    <w:p w14:paraId="31EE669C" w14:textId="2A4F4EC4" w:rsidR="00D930D9" w:rsidRPr="00A058B6" w:rsidRDefault="00D930D9" w:rsidP="00D930D9">
      <w:pPr>
        <w:pStyle w:val="subsection"/>
      </w:pPr>
      <w:r w:rsidRPr="00A058B6">
        <w:tab/>
        <w:t>(2)</w:t>
      </w:r>
      <w:r w:rsidRPr="00A058B6">
        <w:tab/>
        <w:t>However, for the purposes of sub</w:t>
      </w:r>
      <w:r w:rsidR="00453C86">
        <w:t>paragraph (</w:t>
      </w:r>
      <w:r w:rsidRPr="00A058B6">
        <w:t xml:space="preserve">1)(b)(i), </w:t>
      </w:r>
      <w:r w:rsidR="00CB78B9">
        <w:t>section 2</w:t>
      </w:r>
      <w:r w:rsidR="00485CC2">
        <w:t>3</w:t>
      </w:r>
      <w:r w:rsidRPr="00A058B6">
        <w:t xml:space="preserve"> will not apply for the superannuation interest if:</w:t>
      </w:r>
    </w:p>
    <w:p w14:paraId="21E32A18" w14:textId="77777777" w:rsidR="00D930D9" w:rsidRPr="00A058B6" w:rsidRDefault="00D930D9" w:rsidP="00D930D9">
      <w:pPr>
        <w:pStyle w:val="paragraph"/>
      </w:pPr>
      <w:r w:rsidRPr="00A058B6">
        <w:tab/>
        <w:t>(a)</w:t>
      </w:r>
      <w:r w:rsidRPr="00A058B6">
        <w:tab/>
        <w:t>the interest is a defined benefit interest; and</w:t>
      </w:r>
    </w:p>
    <w:p w14:paraId="22D28FC5" w14:textId="77777777" w:rsidR="00D930D9" w:rsidRPr="00A058B6" w:rsidRDefault="00D930D9" w:rsidP="00D930D9">
      <w:pPr>
        <w:pStyle w:val="paragraph"/>
      </w:pPr>
      <w:r w:rsidRPr="00A058B6">
        <w:tab/>
        <w:t>(b)</w:t>
      </w:r>
      <w:r w:rsidRPr="00A058B6">
        <w:tab/>
        <w:t>the governing rules of the relevant eligible superannuation plan provide for the reduction of the benefit payable to any other member of the plan (other than the member spouse or a reversionary beneficiary of the member spouse) as a result of:</w:t>
      </w:r>
    </w:p>
    <w:p w14:paraId="02E24320" w14:textId="3B8279EE" w:rsidR="00D930D9" w:rsidRPr="00A058B6" w:rsidRDefault="00D930D9" w:rsidP="00D930D9">
      <w:pPr>
        <w:pStyle w:val="paragraphsub"/>
      </w:pPr>
      <w:r w:rsidRPr="00A058B6">
        <w:tab/>
        <w:t>(i)</w:t>
      </w:r>
      <w:r w:rsidRPr="00A058B6">
        <w:tab/>
        <w:t>the creation of a new interest for the non</w:t>
      </w:r>
      <w:r w:rsidR="001952B3">
        <w:noBreakHyphen/>
      </w:r>
      <w:r w:rsidRPr="00A058B6">
        <w:t>member spouse; or</w:t>
      </w:r>
    </w:p>
    <w:p w14:paraId="3D35CBD6" w14:textId="00DE9A27" w:rsidR="00D930D9" w:rsidRPr="00A058B6" w:rsidRDefault="00D930D9" w:rsidP="00D930D9">
      <w:pPr>
        <w:pStyle w:val="paragraphsub"/>
      </w:pPr>
      <w:r w:rsidRPr="00A058B6">
        <w:tab/>
        <w:t>(ii)</w:t>
      </w:r>
      <w:r w:rsidRPr="00A058B6">
        <w:tab/>
        <w:t>the transfer or rollover of an amount to be held for the benefit of the non</w:t>
      </w:r>
      <w:r w:rsidR="001952B3">
        <w:noBreakHyphen/>
      </w:r>
      <w:r w:rsidRPr="00A058B6">
        <w:t>member spouse; or</w:t>
      </w:r>
    </w:p>
    <w:p w14:paraId="53D9A6D6" w14:textId="1EA3AD1E" w:rsidR="00D930D9" w:rsidRPr="00A058B6" w:rsidRDefault="00D930D9" w:rsidP="00D930D9">
      <w:pPr>
        <w:pStyle w:val="paragraphsub"/>
      </w:pPr>
      <w:r w:rsidRPr="00A058B6">
        <w:tab/>
        <w:t>(iii)</w:t>
      </w:r>
      <w:r w:rsidRPr="00A058B6">
        <w:tab/>
        <w:t>the payment of an amount to the non</w:t>
      </w:r>
      <w:r w:rsidR="001952B3">
        <w:noBreakHyphen/>
      </w:r>
      <w:r w:rsidRPr="00A058B6">
        <w:t>member spouse</w:t>
      </w:r>
      <w:r w:rsidR="00D7157D">
        <w:t>.</w:t>
      </w:r>
    </w:p>
    <w:p w14:paraId="350A4ACE" w14:textId="76296CE0" w:rsidR="00D930D9" w:rsidRPr="00A058B6" w:rsidRDefault="00485CC2" w:rsidP="00D930D9">
      <w:pPr>
        <w:pStyle w:val="ActHead5"/>
      </w:pPr>
      <w:bookmarkStart w:id="36" w:name="_Toc188350523"/>
      <w:r w:rsidRPr="00423C34">
        <w:rPr>
          <w:rStyle w:val="CharSectno"/>
        </w:rPr>
        <w:t>23</w:t>
      </w:r>
      <w:r w:rsidR="00D930D9" w:rsidRPr="00A058B6">
        <w:t xml:space="preserve">  Main circumstances when this Subdivision applies</w:t>
      </w:r>
      <w:bookmarkEnd w:id="36"/>
    </w:p>
    <w:p w14:paraId="66E4A324" w14:textId="76586FAA" w:rsidR="00D930D9" w:rsidRPr="00A058B6" w:rsidRDefault="00D930D9" w:rsidP="00D930D9">
      <w:pPr>
        <w:pStyle w:val="SubsectionHead"/>
      </w:pPr>
      <w:r w:rsidRPr="00A058B6">
        <w:t>Not a defined benefit interest in a SMSF—trustee creates new interest, or transfers or rolls over an amount, with a value at least as much as the non</w:t>
      </w:r>
      <w:r w:rsidR="001952B3">
        <w:noBreakHyphen/>
      </w:r>
      <w:r w:rsidRPr="00A058B6">
        <w:t>member spouse’s entitlement</w:t>
      </w:r>
    </w:p>
    <w:p w14:paraId="6C5381E7" w14:textId="77777777" w:rsidR="00D930D9" w:rsidRPr="00A058B6" w:rsidRDefault="00D930D9" w:rsidP="00D930D9">
      <w:pPr>
        <w:pStyle w:val="subsection"/>
      </w:pPr>
      <w:r w:rsidRPr="00A058B6">
        <w:tab/>
        <w:t>(1)</w:t>
      </w:r>
      <w:r w:rsidRPr="00A058B6">
        <w:tab/>
        <w:t>This section applies for the superannuation interest if:</w:t>
      </w:r>
    </w:p>
    <w:p w14:paraId="5AAB7559" w14:textId="77777777" w:rsidR="00D930D9" w:rsidRPr="00A058B6" w:rsidRDefault="00D930D9" w:rsidP="00D930D9">
      <w:pPr>
        <w:pStyle w:val="paragraph"/>
      </w:pPr>
      <w:r w:rsidRPr="00A058B6">
        <w:tab/>
        <w:t>(a)</w:t>
      </w:r>
      <w:r w:rsidRPr="00A058B6">
        <w:tab/>
        <w:t>the interest is not a defined benefit interest in a self managed superannuation fund; and</w:t>
      </w:r>
    </w:p>
    <w:p w14:paraId="7EC1D00A" w14:textId="332ADAA2" w:rsidR="00D930D9" w:rsidRPr="00A058B6" w:rsidRDefault="00D930D9" w:rsidP="00D930D9">
      <w:pPr>
        <w:pStyle w:val="paragraph"/>
      </w:pPr>
      <w:r w:rsidRPr="00A058B6">
        <w:tab/>
        <w:t>(b)</w:t>
      </w:r>
      <w:r w:rsidRPr="00A058B6">
        <w:tab/>
        <w:t>the trustee of the relevant eligible superannuation plan has, in respect of the non</w:t>
      </w:r>
      <w:r w:rsidR="001952B3">
        <w:noBreakHyphen/>
      </w:r>
      <w:r w:rsidRPr="00A058B6">
        <w:t>member spouse’s entitlement under the agreement or order and under the governing rules of the plan, done either of the following things:</w:t>
      </w:r>
    </w:p>
    <w:p w14:paraId="6C57015F" w14:textId="4743D758" w:rsidR="00D930D9" w:rsidRPr="00A058B6" w:rsidRDefault="00D930D9" w:rsidP="00D930D9">
      <w:pPr>
        <w:pStyle w:val="paragraphsub"/>
      </w:pPr>
      <w:r w:rsidRPr="00A058B6">
        <w:tab/>
        <w:t>(i)</w:t>
      </w:r>
      <w:r w:rsidRPr="00A058B6">
        <w:tab/>
        <w:t>created a new interest in the plan for the non</w:t>
      </w:r>
      <w:r w:rsidR="001952B3">
        <w:noBreakHyphen/>
      </w:r>
      <w:r w:rsidRPr="00A058B6">
        <w:t>member spouse with a value of at least the value of the non</w:t>
      </w:r>
      <w:r w:rsidR="001952B3">
        <w:noBreakHyphen/>
      </w:r>
      <w:r w:rsidRPr="00A058B6">
        <w:t>member spouse’s entitlement for the superannuation interest at the time the new interest is created;</w:t>
      </w:r>
    </w:p>
    <w:p w14:paraId="60DC8F86" w14:textId="74A7D5BE" w:rsidR="00D930D9" w:rsidRPr="00A058B6" w:rsidRDefault="00D930D9" w:rsidP="00D930D9">
      <w:pPr>
        <w:pStyle w:val="paragraphsub"/>
      </w:pPr>
      <w:r w:rsidRPr="00A058B6">
        <w:tab/>
        <w:t>(ii)</w:t>
      </w:r>
      <w:r w:rsidRPr="00A058B6">
        <w:tab/>
        <w:t>transferred or rolled over to another superannuation fund or an RSA an amount, to be held for the benefit of the non</w:t>
      </w:r>
      <w:r w:rsidR="001952B3">
        <w:noBreakHyphen/>
      </w:r>
      <w:r w:rsidRPr="00A058B6">
        <w:t>member spouse, with a value of at least the value of the non</w:t>
      </w:r>
      <w:r w:rsidR="001952B3">
        <w:noBreakHyphen/>
      </w:r>
      <w:r w:rsidRPr="00A058B6">
        <w:t xml:space="preserve">member spouse’s entitlement </w:t>
      </w:r>
      <w:r w:rsidRPr="00A058B6">
        <w:lastRenderedPageBreak/>
        <w:t>for the superannuation interest at the time the amount is transferred or rolled over</w:t>
      </w:r>
      <w:r w:rsidR="00D7157D">
        <w:t>.</w:t>
      </w:r>
    </w:p>
    <w:p w14:paraId="087AE4D2" w14:textId="0988D2D3" w:rsidR="00D930D9" w:rsidRPr="00A058B6" w:rsidRDefault="00D930D9" w:rsidP="00D930D9">
      <w:pPr>
        <w:pStyle w:val="SubsectionHead"/>
      </w:pPr>
      <w:r w:rsidRPr="00A058B6">
        <w:t>Defined benefit interest in a SMSF—trustee transfers or rolls over an amount, with a value at least as much as the non</w:t>
      </w:r>
      <w:r w:rsidR="001952B3">
        <w:noBreakHyphen/>
      </w:r>
      <w:r w:rsidRPr="00A058B6">
        <w:t>member spouse’s entitlement</w:t>
      </w:r>
    </w:p>
    <w:p w14:paraId="6DA8F74C" w14:textId="77777777" w:rsidR="00D930D9" w:rsidRPr="00A058B6" w:rsidRDefault="00D930D9" w:rsidP="00D930D9">
      <w:pPr>
        <w:pStyle w:val="subsection"/>
      </w:pPr>
      <w:r w:rsidRPr="00A058B6">
        <w:tab/>
        <w:t>(2)</w:t>
      </w:r>
      <w:r w:rsidRPr="00A058B6">
        <w:tab/>
        <w:t>This section applies for the superannuation interest if:</w:t>
      </w:r>
    </w:p>
    <w:p w14:paraId="0624027E" w14:textId="77777777" w:rsidR="00D930D9" w:rsidRPr="00A058B6" w:rsidRDefault="00D930D9" w:rsidP="00D930D9">
      <w:pPr>
        <w:pStyle w:val="paragraph"/>
      </w:pPr>
      <w:r w:rsidRPr="00A058B6">
        <w:tab/>
        <w:t>(a)</w:t>
      </w:r>
      <w:r w:rsidRPr="00A058B6">
        <w:tab/>
        <w:t>the interest is a defined benefit interest in a self managed superannuation fund; and</w:t>
      </w:r>
    </w:p>
    <w:p w14:paraId="2E805432" w14:textId="3C558995" w:rsidR="00D930D9" w:rsidRPr="00A058B6" w:rsidRDefault="00D930D9" w:rsidP="00D930D9">
      <w:pPr>
        <w:pStyle w:val="paragraph"/>
      </w:pPr>
      <w:r w:rsidRPr="00A058B6">
        <w:tab/>
        <w:t>(b)</w:t>
      </w:r>
      <w:r w:rsidRPr="00A058B6">
        <w:tab/>
        <w:t>the trustee of the relevant eligible superannuation plan has, in respect of the non</w:t>
      </w:r>
      <w:r w:rsidR="001952B3">
        <w:noBreakHyphen/>
      </w:r>
      <w:r w:rsidRPr="00A058B6">
        <w:t>member spouse’s entitlement under the agreement or order and under the governing rules of the plan, transferred or rolled over to another superannuation fund or an RSA an amount:</w:t>
      </w:r>
    </w:p>
    <w:p w14:paraId="0C2AD364" w14:textId="6B9BC9C6" w:rsidR="00D930D9" w:rsidRPr="00A058B6" w:rsidRDefault="00D930D9" w:rsidP="00D930D9">
      <w:pPr>
        <w:pStyle w:val="paragraphsub"/>
      </w:pPr>
      <w:r w:rsidRPr="00A058B6">
        <w:tab/>
        <w:t>(i)</w:t>
      </w:r>
      <w:r w:rsidRPr="00A058B6">
        <w:tab/>
        <w:t>to be held for the benefit of the non</w:t>
      </w:r>
      <w:r w:rsidR="001952B3">
        <w:noBreakHyphen/>
      </w:r>
      <w:r w:rsidRPr="00A058B6">
        <w:t>member spouse; and</w:t>
      </w:r>
    </w:p>
    <w:p w14:paraId="61FC52E8" w14:textId="42E5044F" w:rsidR="00D930D9" w:rsidRPr="00A058B6" w:rsidRDefault="00D930D9" w:rsidP="00D930D9">
      <w:pPr>
        <w:pStyle w:val="paragraphsub"/>
      </w:pPr>
      <w:r w:rsidRPr="00A058B6">
        <w:tab/>
        <w:t>(ii)</w:t>
      </w:r>
      <w:r w:rsidRPr="00A058B6">
        <w:tab/>
        <w:t>with a value of at least the value of the non</w:t>
      </w:r>
      <w:r w:rsidR="001952B3">
        <w:noBreakHyphen/>
      </w:r>
      <w:r w:rsidRPr="00A058B6">
        <w:t>member spouse’s entitlement for the superannuation interest at the time the amount is transferred or rolled over</w:t>
      </w:r>
      <w:r w:rsidR="00D7157D">
        <w:t>.</w:t>
      </w:r>
    </w:p>
    <w:p w14:paraId="2805753C" w14:textId="57C161DF" w:rsidR="00D930D9" w:rsidRPr="00A058B6" w:rsidRDefault="00D930D9" w:rsidP="00D930D9">
      <w:pPr>
        <w:pStyle w:val="SubsectionHead"/>
      </w:pPr>
      <w:r w:rsidRPr="00A058B6">
        <w:t>Non</w:t>
      </w:r>
      <w:r w:rsidR="001952B3">
        <w:noBreakHyphen/>
      </w:r>
      <w:r w:rsidRPr="00A058B6">
        <w:t>member spouse satisfies relevant condition of release and trustee pays that spouse an amount equal to the non</w:t>
      </w:r>
      <w:r w:rsidR="001952B3">
        <w:noBreakHyphen/>
      </w:r>
      <w:r w:rsidRPr="00A058B6">
        <w:t>member spouse’s entitlement</w:t>
      </w:r>
    </w:p>
    <w:p w14:paraId="746F484C" w14:textId="77777777" w:rsidR="00D930D9" w:rsidRPr="00A058B6" w:rsidRDefault="00D930D9" w:rsidP="00D930D9">
      <w:pPr>
        <w:pStyle w:val="subsection"/>
      </w:pPr>
      <w:r w:rsidRPr="00A058B6">
        <w:tab/>
        <w:t>(3)</w:t>
      </w:r>
      <w:r w:rsidRPr="00A058B6">
        <w:tab/>
        <w:t>This section applies for the superannuation interest if:</w:t>
      </w:r>
    </w:p>
    <w:p w14:paraId="6C359314" w14:textId="77777777" w:rsidR="00D930D9" w:rsidRPr="00A058B6" w:rsidRDefault="00D930D9" w:rsidP="00D930D9">
      <w:pPr>
        <w:pStyle w:val="paragraph"/>
      </w:pPr>
      <w:r w:rsidRPr="00A058B6">
        <w:tab/>
        <w:t>(a)</w:t>
      </w:r>
      <w:r w:rsidRPr="00A058B6">
        <w:tab/>
        <w:t>the interest is in a regulated superannuation fund, an exempt public sector superannuation scheme or an approved deposit fund; and</w:t>
      </w:r>
    </w:p>
    <w:p w14:paraId="5E584FB0" w14:textId="63EAF557" w:rsidR="00D930D9" w:rsidRPr="00A058B6" w:rsidRDefault="00D930D9" w:rsidP="00D930D9">
      <w:pPr>
        <w:pStyle w:val="paragraph"/>
      </w:pPr>
      <w:r w:rsidRPr="00A058B6">
        <w:tab/>
        <w:t>(b)</w:t>
      </w:r>
      <w:r w:rsidRPr="00A058B6">
        <w:tab/>
        <w:t>the non</w:t>
      </w:r>
      <w:r w:rsidR="001952B3">
        <w:noBreakHyphen/>
      </w:r>
      <w:r w:rsidRPr="00A058B6">
        <w:t>member spouse has satisfied a relevant condition of release in relation to the interest; and</w:t>
      </w:r>
    </w:p>
    <w:p w14:paraId="7CF602A7" w14:textId="0D0836E6" w:rsidR="00D930D9" w:rsidRPr="00A058B6" w:rsidRDefault="00D930D9" w:rsidP="00D930D9">
      <w:pPr>
        <w:pStyle w:val="paragraph"/>
      </w:pPr>
      <w:r w:rsidRPr="00A058B6">
        <w:tab/>
        <w:t>(c)</w:t>
      </w:r>
      <w:r w:rsidRPr="00A058B6">
        <w:tab/>
        <w:t>the trustee of the relevant eligible superannuation plan has, in respect of the non</w:t>
      </w:r>
      <w:r w:rsidR="001952B3">
        <w:noBreakHyphen/>
      </w:r>
      <w:r w:rsidRPr="00A058B6">
        <w:t>member spouse’s entitlement under the agreement or order, paid to the non</w:t>
      </w:r>
      <w:r w:rsidR="001952B3">
        <w:noBreakHyphen/>
      </w:r>
      <w:r w:rsidRPr="00A058B6">
        <w:t>member spouse an amount equal to the value of the non</w:t>
      </w:r>
      <w:r w:rsidR="001952B3">
        <w:noBreakHyphen/>
      </w:r>
      <w:r w:rsidRPr="00A058B6">
        <w:t>member spouse’s entitlement for the superannuation interest at the time of the payment</w:t>
      </w:r>
      <w:r w:rsidR="00D7157D">
        <w:t>.</w:t>
      </w:r>
    </w:p>
    <w:p w14:paraId="04D0BA35" w14:textId="3638403E" w:rsidR="00D930D9" w:rsidRPr="00A058B6" w:rsidRDefault="00D930D9" w:rsidP="00D930D9">
      <w:pPr>
        <w:pStyle w:val="SubsectionHead"/>
      </w:pPr>
      <w:r w:rsidRPr="00A058B6">
        <w:t>Member spouse being paid a pension and trustee pays the non</w:t>
      </w:r>
      <w:r w:rsidR="001952B3">
        <w:noBreakHyphen/>
      </w:r>
      <w:r w:rsidRPr="00A058B6">
        <w:t>member spouse an amount equal to the non</w:t>
      </w:r>
      <w:r w:rsidR="001952B3">
        <w:noBreakHyphen/>
      </w:r>
      <w:r w:rsidRPr="00A058B6">
        <w:t>member spouse’s entitlement</w:t>
      </w:r>
    </w:p>
    <w:p w14:paraId="56842858" w14:textId="77777777" w:rsidR="00D930D9" w:rsidRPr="00A058B6" w:rsidRDefault="00D930D9" w:rsidP="00D930D9">
      <w:pPr>
        <w:pStyle w:val="subsection"/>
      </w:pPr>
      <w:r w:rsidRPr="00A058B6">
        <w:tab/>
        <w:t>(4)</w:t>
      </w:r>
      <w:r w:rsidRPr="00A058B6">
        <w:tab/>
        <w:t>This section applies for the superannuation interest if:</w:t>
      </w:r>
    </w:p>
    <w:p w14:paraId="270C8E70" w14:textId="77777777" w:rsidR="00D930D9" w:rsidRPr="00A058B6" w:rsidRDefault="00D930D9" w:rsidP="00D930D9">
      <w:pPr>
        <w:pStyle w:val="paragraph"/>
      </w:pPr>
      <w:r w:rsidRPr="00A058B6">
        <w:tab/>
        <w:t>(a)</w:t>
      </w:r>
      <w:r w:rsidRPr="00A058B6">
        <w:tab/>
        <w:t>the interest is in a regulated superannuation fund, an exempt public sector superannuation scheme or an approved deposit fund; and</w:t>
      </w:r>
    </w:p>
    <w:p w14:paraId="27C129B1" w14:textId="77777777" w:rsidR="00D930D9" w:rsidRPr="00A058B6" w:rsidRDefault="00D930D9" w:rsidP="00D930D9">
      <w:pPr>
        <w:pStyle w:val="paragraph"/>
      </w:pPr>
      <w:r w:rsidRPr="00A058B6">
        <w:tab/>
        <w:t>(b)</w:t>
      </w:r>
      <w:r w:rsidRPr="00A058B6">
        <w:tab/>
        <w:t>at the operative time in relation to the agreement or order, the member spouse was being paid a pension in respect of the interest; and</w:t>
      </w:r>
    </w:p>
    <w:p w14:paraId="38693E52" w14:textId="2E9BB19E" w:rsidR="00D930D9" w:rsidRPr="00A058B6" w:rsidRDefault="00D930D9" w:rsidP="00D930D9">
      <w:pPr>
        <w:pStyle w:val="paragraph"/>
      </w:pPr>
      <w:r w:rsidRPr="00A058B6">
        <w:tab/>
        <w:t>(c)</w:t>
      </w:r>
      <w:r w:rsidRPr="00A058B6">
        <w:tab/>
        <w:t>the trustee of the relevant eligible superannuation plan has, in respect of the non</w:t>
      </w:r>
      <w:r w:rsidR="001952B3">
        <w:noBreakHyphen/>
      </w:r>
      <w:r w:rsidRPr="00A058B6">
        <w:t>member spouse’s entitlement under the agreement or order, paid to the non</w:t>
      </w:r>
      <w:r w:rsidR="001952B3">
        <w:noBreakHyphen/>
      </w:r>
      <w:r w:rsidRPr="00A058B6">
        <w:t>member spouse an amount equal to the value of the non</w:t>
      </w:r>
      <w:r w:rsidR="001952B3">
        <w:noBreakHyphen/>
      </w:r>
      <w:r w:rsidRPr="00A058B6">
        <w:t>member spouse’s entitlement for the superannuation interest at the time of the payment</w:t>
      </w:r>
      <w:r w:rsidR="00D7157D">
        <w:t>.</w:t>
      </w:r>
    </w:p>
    <w:p w14:paraId="3888B385" w14:textId="0723499B" w:rsidR="00D930D9" w:rsidRPr="00A058B6" w:rsidRDefault="00D930D9" w:rsidP="00D930D9">
      <w:pPr>
        <w:pStyle w:val="SubsectionHead"/>
      </w:pPr>
      <w:r w:rsidRPr="00A058B6">
        <w:t>Trustee pays the non</w:t>
      </w:r>
      <w:r w:rsidR="001952B3">
        <w:noBreakHyphen/>
      </w:r>
      <w:r w:rsidRPr="00A058B6">
        <w:t>member spouse an amount equal to the non</w:t>
      </w:r>
      <w:r w:rsidR="001952B3">
        <w:noBreakHyphen/>
      </w:r>
      <w:r w:rsidRPr="00A058B6">
        <w:t>member spouse’s entitlement</w:t>
      </w:r>
    </w:p>
    <w:p w14:paraId="6F5BC616" w14:textId="77777777" w:rsidR="00D930D9" w:rsidRPr="00A058B6" w:rsidRDefault="00D930D9" w:rsidP="00D930D9">
      <w:pPr>
        <w:pStyle w:val="subsection"/>
      </w:pPr>
      <w:r w:rsidRPr="00A058B6">
        <w:tab/>
        <w:t>(5)</w:t>
      </w:r>
      <w:r w:rsidRPr="00A058B6">
        <w:tab/>
        <w:t>This section applies for the superannuation interest if:</w:t>
      </w:r>
    </w:p>
    <w:p w14:paraId="2ECB32DA" w14:textId="77777777" w:rsidR="00D930D9" w:rsidRPr="00A058B6" w:rsidRDefault="00D930D9" w:rsidP="00D930D9">
      <w:pPr>
        <w:pStyle w:val="paragraph"/>
      </w:pPr>
      <w:r w:rsidRPr="00A058B6">
        <w:lastRenderedPageBreak/>
        <w:tab/>
        <w:t>(a)</w:t>
      </w:r>
      <w:r w:rsidRPr="00A058B6">
        <w:tab/>
        <w:t>the interest is in a superannuation fund that is neither a regulated superannuation fund nor an exempt public sector superannuation scheme; and</w:t>
      </w:r>
    </w:p>
    <w:p w14:paraId="446AAE96" w14:textId="29447488" w:rsidR="00D930D9" w:rsidRPr="00A058B6" w:rsidRDefault="00D930D9" w:rsidP="00D930D9">
      <w:pPr>
        <w:pStyle w:val="paragraph"/>
      </w:pPr>
      <w:r w:rsidRPr="00A058B6">
        <w:tab/>
        <w:t>(b)</w:t>
      </w:r>
      <w:r w:rsidRPr="00A058B6">
        <w:tab/>
        <w:t>the trustee of the relevant eligible superannuation plan has, in respect of the non</w:t>
      </w:r>
      <w:r w:rsidR="001952B3">
        <w:noBreakHyphen/>
      </w:r>
      <w:r w:rsidRPr="00A058B6">
        <w:t>member spouse’s entitlement under the agreement or order, paid to the non</w:t>
      </w:r>
      <w:r w:rsidR="001952B3">
        <w:noBreakHyphen/>
      </w:r>
      <w:r w:rsidRPr="00A058B6">
        <w:t>member spouse an amount equal to the value of the non</w:t>
      </w:r>
      <w:r w:rsidR="001952B3">
        <w:noBreakHyphen/>
      </w:r>
      <w:r w:rsidRPr="00A058B6">
        <w:t>member spouse’s entitlement for the superannuation interest at the time of the payment</w:t>
      </w:r>
      <w:r w:rsidR="00D7157D">
        <w:t>.</w:t>
      </w:r>
    </w:p>
    <w:p w14:paraId="4BB87EB8" w14:textId="77777777" w:rsidR="00D930D9" w:rsidRPr="00A058B6" w:rsidRDefault="00D930D9" w:rsidP="00D930D9">
      <w:pPr>
        <w:pStyle w:val="SubsectionHead"/>
      </w:pPr>
      <w:r w:rsidRPr="00A058B6">
        <w:t>Trustee need not have done anything mentioned in this section</w:t>
      </w:r>
    </w:p>
    <w:p w14:paraId="7FE22498" w14:textId="77777777" w:rsidR="00D930D9" w:rsidRPr="00A058B6" w:rsidRDefault="00D930D9" w:rsidP="00D930D9">
      <w:pPr>
        <w:pStyle w:val="subsection"/>
      </w:pPr>
      <w:r w:rsidRPr="00A058B6">
        <w:tab/>
        <w:t>(6)</w:t>
      </w:r>
      <w:r w:rsidRPr="00A058B6">
        <w:tab/>
        <w:t>To avoid doubt, nothing in a subsection of this section requires the trustee of the relevant eligible superannuation plan to do something mentioned in that subsection</w:t>
      </w:r>
      <w:r w:rsidR="00D7157D">
        <w:t>.</w:t>
      </w:r>
    </w:p>
    <w:p w14:paraId="21A2CD90" w14:textId="6064F008" w:rsidR="00D930D9" w:rsidRPr="00A058B6" w:rsidRDefault="00485CC2" w:rsidP="00D930D9">
      <w:pPr>
        <w:pStyle w:val="ActHead5"/>
      </w:pPr>
      <w:bookmarkStart w:id="37" w:name="_Toc188350524"/>
      <w:r w:rsidRPr="00423C34">
        <w:rPr>
          <w:rStyle w:val="CharSectno"/>
        </w:rPr>
        <w:t>24</w:t>
      </w:r>
      <w:r w:rsidR="00D930D9" w:rsidRPr="00A058B6">
        <w:t xml:space="preserve">  Other circumstance—public sector superannuation schemes </w:t>
      </w:r>
      <w:r w:rsidR="00D930D9">
        <w:t>in which</w:t>
      </w:r>
      <w:r w:rsidR="00D930D9" w:rsidRPr="00A058B6">
        <w:t xml:space="preserve"> a separate entitlement arises for the non</w:t>
      </w:r>
      <w:r w:rsidR="001952B3">
        <w:noBreakHyphen/>
      </w:r>
      <w:r w:rsidR="00D930D9" w:rsidRPr="00A058B6">
        <w:t>member spouse</w:t>
      </w:r>
      <w:bookmarkEnd w:id="37"/>
    </w:p>
    <w:p w14:paraId="7DB4C7FA" w14:textId="77777777" w:rsidR="00D930D9" w:rsidRPr="00A058B6" w:rsidRDefault="00D930D9" w:rsidP="00D930D9">
      <w:pPr>
        <w:pStyle w:val="subsection"/>
      </w:pPr>
      <w:r w:rsidRPr="00A058B6">
        <w:tab/>
      </w:r>
      <w:r w:rsidRPr="00A058B6">
        <w:tab/>
        <w:t>This section applies for the superannuation interest if:</w:t>
      </w:r>
    </w:p>
    <w:p w14:paraId="1B68CAA4" w14:textId="77777777" w:rsidR="00D930D9" w:rsidRPr="00A058B6" w:rsidRDefault="00D930D9" w:rsidP="00D930D9">
      <w:pPr>
        <w:pStyle w:val="paragraph"/>
      </w:pPr>
      <w:r w:rsidRPr="00A058B6">
        <w:tab/>
        <w:t>(a)</w:t>
      </w:r>
      <w:r w:rsidRPr="00A058B6">
        <w:tab/>
        <w:t xml:space="preserve">the interest is in a public sector superannuation scheme (the </w:t>
      </w:r>
      <w:r w:rsidRPr="00A058B6">
        <w:rPr>
          <w:b/>
          <w:i/>
        </w:rPr>
        <w:t>original scheme</w:t>
      </w:r>
      <w:r w:rsidRPr="00A058B6">
        <w:t>); and</w:t>
      </w:r>
    </w:p>
    <w:p w14:paraId="1E32C322" w14:textId="4D72EF68" w:rsidR="00D930D9" w:rsidRPr="00A058B6" w:rsidRDefault="00D930D9" w:rsidP="00D930D9">
      <w:pPr>
        <w:pStyle w:val="paragraph"/>
      </w:pPr>
      <w:r w:rsidRPr="00A058B6">
        <w:tab/>
        <w:t>(b)</w:t>
      </w:r>
      <w:r w:rsidRPr="00A058B6">
        <w:tab/>
        <w:t>at or after the operative time in relation to the agreement or order, and under the governing rules of the original scheme or under the governing rules of another public sector superannuation scheme, a separate entitlement to benefits has arisen for the non</w:t>
      </w:r>
      <w:r w:rsidR="001952B3">
        <w:noBreakHyphen/>
      </w:r>
      <w:r w:rsidRPr="00A058B6">
        <w:t>member spouse:</w:t>
      </w:r>
    </w:p>
    <w:p w14:paraId="1C74A2C1" w14:textId="28083AE9" w:rsidR="00D930D9" w:rsidRPr="00A058B6" w:rsidRDefault="00D930D9" w:rsidP="00D930D9">
      <w:pPr>
        <w:pStyle w:val="paragraphsub"/>
      </w:pPr>
      <w:r w:rsidRPr="00A058B6">
        <w:tab/>
        <w:t>(i)</w:t>
      </w:r>
      <w:r w:rsidRPr="00A058B6">
        <w:tab/>
        <w:t>in respect of the non</w:t>
      </w:r>
      <w:r w:rsidR="001952B3">
        <w:noBreakHyphen/>
      </w:r>
      <w:r w:rsidRPr="00A058B6">
        <w:t>member spouse’s entitlement under the agreement or order; and</w:t>
      </w:r>
    </w:p>
    <w:p w14:paraId="419490D1" w14:textId="5569B7CD" w:rsidR="00D930D9" w:rsidRPr="00A058B6" w:rsidRDefault="00D930D9" w:rsidP="00D930D9">
      <w:pPr>
        <w:pStyle w:val="paragraphsub"/>
      </w:pPr>
      <w:r w:rsidRPr="00A058B6">
        <w:tab/>
        <w:t>(ii)</w:t>
      </w:r>
      <w:r w:rsidRPr="00A058B6">
        <w:tab/>
        <w:t>with a value of at least the value of the non</w:t>
      </w:r>
      <w:r w:rsidR="001952B3">
        <w:noBreakHyphen/>
      </w:r>
      <w:r w:rsidRPr="00A058B6">
        <w:t>member spouse’s entitlement for the superannuation interest at the time the separate entitlement arose; and</w:t>
      </w:r>
    </w:p>
    <w:p w14:paraId="7B847F6F" w14:textId="191E8BEF" w:rsidR="00D930D9" w:rsidRPr="00A058B6" w:rsidRDefault="00D930D9" w:rsidP="00D930D9">
      <w:pPr>
        <w:pStyle w:val="paragraph"/>
      </w:pPr>
      <w:r w:rsidRPr="00A058B6">
        <w:tab/>
        <w:t>(c)</w:t>
      </w:r>
      <w:r w:rsidRPr="00A058B6">
        <w:tab/>
        <w:t>where the interest is a defined benefit interest—the governing rules of the original scheme do not provide for the reduction of the benefit payable to any other member of the scheme (other than the member spouse or a reversionary beneficiary of the member spouse) as a result of the non</w:t>
      </w:r>
      <w:r w:rsidR="001952B3">
        <w:noBreakHyphen/>
      </w:r>
      <w:r w:rsidRPr="00A058B6">
        <w:t>member spouse’s separate entitlement</w:t>
      </w:r>
      <w:r w:rsidR="00D7157D">
        <w:t>.</w:t>
      </w:r>
    </w:p>
    <w:p w14:paraId="149F003D" w14:textId="294C59C2" w:rsidR="00D930D9" w:rsidRPr="00A058B6" w:rsidRDefault="00485CC2" w:rsidP="00D930D9">
      <w:pPr>
        <w:pStyle w:val="ActHead5"/>
      </w:pPr>
      <w:bookmarkStart w:id="38" w:name="_Toc188350525"/>
      <w:r w:rsidRPr="00423C34">
        <w:rPr>
          <w:rStyle w:val="CharSectno"/>
        </w:rPr>
        <w:t>25</w:t>
      </w:r>
      <w:r w:rsidR="00D930D9" w:rsidRPr="00A058B6">
        <w:t xml:space="preserve">  Meaning of </w:t>
      </w:r>
      <w:r w:rsidR="00D930D9" w:rsidRPr="00A058B6">
        <w:rPr>
          <w:i/>
        </w:rPr>
        <w:t>value of the non</w:t>
      </w:r>
      <w:r w:rsidR="001952B3">
        <w:rPr>
          <w:i/>
        </w:rPr>
        <w:noBreakHyphen/>
      </w:r>
      <w:r w:rsidR="00D930D9" w:rsidRPr="00A058B6">
        <w:rPr>
          <w:i/>
        </w:rPr>
        <w:t>member spouse’s entitlement</w:t>
      </w:r>
      <w:bookmarkEnd w:id="38"/>
    </w:p>
    <w:p w14:paraId="32D8D8B0" w14:textId="11BB0F4F" w:rsidR="00D930D9" w:rsidRPr="00A058B6" w:rsidRDefault="00D930D9" w:rsidP="00D930D9">
      <w:pPr>
        <w:pStyle w:val="subsection"/>
      </w:pPr>
      <w:r w:rsidRPr="00A058B6">
        <w:tab/>
        <w:t>(1)</w:t>
      </w:r>
      <w:r w:rsidRPr="00A058B6">
        <w:tab/>
        <w:t xml:space="preserve">In this Subdivision, the </w:t>
      </w:r>
      <w:r w:rsidRPr="00A058B6">
        <w:rPr>
          <w:b/>
          <w:i/>
        </w:rPr>
        <w:t>value of the non</w:t>
      </w:r>
      <w:r w:rsidR="001952B3">
        <w:rPr>
          <w:b/>
          <w:i/>
        </w:rPr>
        <w:noBreakHyphen/>
      </w:r>
      <w:r w:rsidRPr="00A058B6">
        <w:rPr>
          <w:b/>
          <w:i/>
        </w:rPr>
        <w:t>member spouse’s entitlement</w:t>
      </w:r>
      <w:r w:rsidRPr="00A058B6">
        <w:t xml:space="preserve"> for the superannuation interest at the time (the </w:t>
      </w:r>
      <w:r w:rsidRPr="00A058B6">
        <w:rPr>
          <w:b/>
          <w:i/>
        </w:rPr>
        <w:t>termination time</w:t>
      </w:r>
      <w:r w:rsidRPr="00A058B6">
        <w:t xml:space="preserve">) when the trustee carries out an action described in </w:t>
      </w:r>
      <w:r w:rsidR="00CB78B9">
        <w:t>section 2</w:t>
      </w:r>
      <w:r w:rsidR="00485CC2">
        <w:t>3</w:t>
      </w:r>
      <w:r w:rsidRPr="00A058B6">
        <w:t>, or when a separate entitlement arises for the non</w:t>
      </w:r>
      <w:r w:rsidR="001952B3">
        <w:noBreakHyphen/>
      </w:r>
      <w:r w:rsidRPr="00A058B6">
        <w:t xml:space="preserve">member spouse as described in </w:t>
      </w:r>
      <w:r w:rsidR="00CB78B9">
        <w:t>section 2</w:t>
      </w:r>
      <w:r w:rsidR="00485CC2">
        <w:t>4</w:t>
      </w:r>
      <w:r w:rsidRPr="00A058B6">
        <w:t>, is:</w:t>
      </w:r>
    </w:p>
    <w:p w14:paraId="43FD9814" w14:textId="3F494392" w:rsidR="00D930D9" w:rsidRPr="00A058B6" w:rsidRDefault="00D930D9" w:rsidP="00D930D9">
      <w:pPr>
        <w:pStyle w:val="paragraph"/>
      </w:pPr>
      <w:r w:rsidRPr="00A058B6">
        <w:tab/>
        <w:t>(a)</w:t>
      </w:r>
      <w:r w:rsidRPr="00A058B6">
        <w:tab/>
        <w:t xml:space="preserve">if a base amount applies in relation to the interest—the value calculated under </w:t>
      </w:r>
      <w:r w:rsidR="00A52DA5">
        <w:t>subsection (</w:t>
      </w:r>
      <w:r w:rsidRPr="00A058B6">
        <w:t>2) or (3) of this section; or</w:t>
      </w:r>
    </w:p>
    <w:p w14:paraId="72BFFD52" w14:textId="618A403D" w:rsidR="00D930D9" w:rsidRPr="00A058B6" w:rsidRDefault="00D930D9" w:rsidP="00D930D9">
      <w:pPr>
        <w:pStyle w:val="paragraph"/>
      </w:pPr>
      <w:r w:rsidRPr="00A058B6">
        <w:tab/>
        <w:t>(b)</w:t>
      </w:r>
      <w:r w:rsidRPr="00A058B6">
        <w:tab/>
        <w:t xml:space="preserve">if, under </w:t>
      </w:r>
      <w:r w:rsidR="00FE15C4">
        <w:t>subparagraph 9</w:t>
      </w:r>
      <w:r w:rsidRPr="00A058B6">
        <w:t xml:space="preserve">0XJ(1)(c)(iii) or 90YN(1)(c)(iii), or </w:t>
      </w:r>
      <w:r w:rsidR="00FE15C4">
        <w:t>paragraph 9</w:t>
      </w:r>
      <w:r w:rsidRPr="00A058B6">
        <w:t xml:space="preserve">0XT(1)(b) or 90YY(1)(b), of the Act, a specified percentage is to apply to all splittable payments in respect of the interest—the value calculated under </w:t>
      </w:r>
      <w:r w:rsidR="00A52DA5">
        <w:t>subsection (</w:t>
      </w:r>
      <w:r w:rsidRPr="00A058B6">
        <w:t>4) of this section</w:t>
      </w:r>
      <w:r w:rsidR="00D7157D">
        <w:t>.</w:t>
      </w:r>
    </w:p>
    <w:p w14:paraId="4A662C9F" w14:textId="77777777" w:rsidR="00D930D9" w:rsidRPr="00A058B6" w:rsidRDefault="00D930D9" w:rsidP="00D930D9">
      <w:pPr>
        <w:pStyle w:val="SubsectionHead"/>
      </w:pPr>
      <w:r w:rsidRPr="00A058B6">
        <w:lastRenderedPageBreak/>
        <w:t>Value—if a base amount applies in relation to the interest</w:t>
      </w:r>
    </w:p>
    <w:p w14:paraId="4CCAB716" w14:textId="4124E184" w:rsidR="00D930D9" w:rsidRPr="00A058B6" w:rsidRDefault="00D930D9" w:rsidP="00D930D9">
      <w:pPr>
        <w:pStyle w:val="subsection"/>
      </w:pPr>
      <w:r w:rsidRPr="00A058B6">
        <w:tab/>
        <w:t>(2)</w:t>
      </w:r>
      <w:r w:rsidRPr="00A058B6">
        <w:tab/>
        <w:t xml:space="preserve">For the purposes of </w:t>
      </w:r>
      <w:r w:rsidR="00453C86">
        <w:t>paragraph (</w:t>
      </w:r>
      <w:r w:rsidRPr="00A058B6">
        <w:t>1)(a), if:</w:t>
      </w:r>
    </w:p>
    <w:p w14:paraId="17DEB357" w14:textId="77777777" w:rsidR="00D930D9" w:rsidRPr="00A058B6" w:rsidRDefault="00D930D9" w:rsidP="00D930D9">
      <w:pPr>
        <w:pStyle w:val="paragraph"/>
      </w:pPr>
      <w:r w:rsidRPr="00A058B6">
        <w:tab/>
        <w:t>(a)</w:t>
      </w:r>
      <w:r w:rsidRPr="00A058B6">
        <w:tab/>
        <w:t>the termination time occurs before the first payment, that apart from this section would be a splittable payment, becomes payable in respect of the superannuation interest; or</w:t>
      </w:r>
    </w:p>
    <w:p w14:paraId="5592DD1B" w14:textId="77777777" w:rsidR="00D930D9" w:rsidRPr="00A058B6" w:rsidRDefault="00D930D9" w:rsidP="00D930D9">
      <w:pPr>
        <w:pStyle w:val="paragraph"/>
      </w:pPr>
      <w:r w:rsidRPr="00A058B6">
        <w:tab/>
        <w:t>(b)</w:t>
      </w:r>
      <w:r w:rsidRPr="00A058B6">
        <w:tab/>
        <w:t>one or more payments, that apart from this section would be splittable payments, become payable in respect of the superannuation interest after the termination time, and the amount of the first such payment exceeds:</w:t>
      </w:r>
    </w:p>
    <w:p w14:paraId="7E39401A" w14:textId="3910FE08" w:rsidR="00D930D9" w:rsidRPr="00A058B6" w:rsidRDefault="00D930D9" w:rsidP="00D930D9">
      <w:pPr>
        <w:pStyle w:val="paragraphsub"/>
      </w:pPr>
      <w:r w:rsidRPr="00A058B6">
        <w:tab/>
        <w:t>(i)</w:t>
      </w:r>
      <w:r w:rsidRPr="00A058B6">
        <w:tab/>
        <w:t>if there is an adjusted base amount applicable to the non</w:t>
      </w:r>
      <w:r w:rsidR="001952B3">
        <w:noBreakHyphen/>
      </w:r>
      <w:r w:rsidRPr="00A058B6">
        <w:t>member spouse at the termination time—the sum of the adjusted base amount and the amount of any fees payable by the non</w:t>
      </w:r>
      <w:r w:rsidR="001952B3">
        <w:noBreakHyphen/>
      </w:r>
      <w:r w:rsidRPr="00A058B6">
        <w:t>member spouse under section </w:t>
      </w:r>
      <w:r w:rsidR="00485CC2">
        <w:t>98</w:t>
      </w:r>
      <w:r w:rsidRPr="00A058B6">
        <w:t>; or</w:t>
      </w:r>
    </w:p>
    <w:p w14:paraId="755D29D7" w14:textId="47A2EDB8" w:rsidR="00D930D9" w:rsidRPr="00A058B6" w:rsidRDefault="00D930D9" w:rsidP="00D930D9">
      <w:pPr>
        <w:pStyle w:val="paragraphsub"/>
      </w:pPr>
      <w:r w:rsidRPr="00A058B6">
        <w:tab/>
        <w:t>(ii)</w:t>
      </w:r>
      <w:r w:rsidRPr="00A058B6">
        <w:tab/>
        <w:t>otherwise—the sum of the base amount applicable to the non</w:t>
      </w:r>
      <w:r w:rsidR="001952B3">
        <w:noBreakHyphen/>
      </w:r>
      <w:r w:rsidRPr="00A058B6">
        <w:t>member spouse at the termination time and the amount of any fees payable by the non</w:t>
      </w:r>
      <w:r w:rsidR="001952B3">
        <w:noBreakHyphen/>
      </w:r>
      <w:r w:rsidRPr="00A058B6">
        <w:t>member spouse under section </w:t>
      </w:r>
      <w:r w:rsidR="00485CC2">
        <w:t>98</w:t>
      </w:r>
      <w:r w:rsidRPr="00A058B6">
        <w:t>;</w:t>
      </w:r>
    </w:p>
    <w:p w14:paraId="121B1BD0" w14:textId="52816ABB" w:rsidR="00D930D9" w:rsidRPr="00A058B6" w:rsidRDefault="00D930D9" w:rsidP="00D930D9">
      <w:pPr>
        <w:pStyle w:val="subsection2"/>
      </w:pPr>
      <w:r w:rsidRPr="00A058B6">
        <w:t xml:space="preserve">the </w:t>
      </w:r>
      <w:r w:rsidRPr="00A058B6">
        <w:rPr>
          <w:b/>
          <w:i/>
        </w:rPr>
        <w:t>value of the non</w:t>
      </w:r>
      <w:r w:rsidR="001952B3">
        <w:rPr>
          <w:b/>
          <w:i/>
        </w:rPr>
        <w:noBreakHyphen/>
      </w:r>
      <w:r w:rsidRPr="00A058B6">
        <w:rPr>
          <w:b/>
          <w:i/>
        </w:rPr>
        <w:t>member spouse’s entitlement</w:t>
      </w:r>
      <w:r w:rsidRPr="00A058B6">
        <w:t xml:space="preserve"> for the interest at the termination time is, as the case requires:</w:t>
      </w:r>
    </w:p>
    <w:p w14:paraId="3506B409" w14:textId="77777777" w:rsidR="00D930D9" w:rsidRPr="00A058B6" w:rsidRDefault="00D930D9" w:rsidP="00D930D9">
      <w:pPr>
        <w:pStyle w:val="paragraph"/>
      </w:pPr>
      <w:r w:rsidRPr="00A058B6">
        <w:tab/>
        <w:t>(c)</w:t>
      </w:r>
      <w:r w:rsidRPr="00A058B6">
        <w:tab/>
        <w:t>the base amount specified by, or calculated in accordance with a method specified by, the relevant agreement or order; or</w:t>
      </w:r>
    </w:p>
    <w:p w14:paraId="5D357CF5" w14:textId="7318794E" w:rsidR="00D930D9" w:rsidRPr="00A058B6" w:rsidRDefault="00D930D9" w:rsidP="00D930D9">
      <w:pPr>
        <w:pStyle w:val="paragraph"/>
      </w:pPr>
      <w:r w:rsidRPr="00A058B6">
        <w:tab/>
        <w:t>(d)</w:t>
      </w:r>
      <w:r w:rsidRPr="00A058B6">
        <w:tab/>
        <w:t>the base amount allocated to the non</w:t>
      </w:r>
      <w:r w:rsidR="001952B3">
        <w:noBreakHyphen/>
      </w:r>
      <w:r w:rsidRPr="00A058B6">
        <w:t xml:space="preserve">member spouse under </w:t>
      </w:r>
      <w:r w:rsidR="00FE15C4">
        <w:t>subsection 9</w:t>
      </w:r>
      <w:r w:rsidRPr="00A058B6">
        <w:t>0XT(4) or 90YY(5) of the Act; or</w:t>
      </w:r>
    </w:p>
    <w:p w14:paraId="6807ABFA" w14:textId="5346F692" w:rsidR="00D930D9" w:rsidRPr="00A058B6" w:rsidRDefault="00D930D9" w:rsidP="00D930D9">
      <w:pPr>
        <w:pStyle w:val="paragraph"/>
      </w:pPr>
      <w:r w:rsidRPr="00A058B6">
        <w:tab/>
        <w:t>(e)</w:t>
      </w:r>
      <w:r w:rsidRPr="00A058B6">
        <w:tab/>
        <w:t>the adjusted base amount applicable to the non</w:t>
      </w:r>
      <w:r w:rsidR="001952B3">
        <w:noBreakHyphen/>
      </w:r>
      <w:r w:rsidRPr="00A058B6">
        <w:t>member spouse at the termination time</w:t>
      </w:r>
      <w:r w:rsidR="00D7157D">
        <w:t>.</w:t>
      </w:r>
    </w:p>
    <w:p w14:paraId="095D8205" w14:textId="6E24E843" w:rsidR="00D930D9" w:rsidRPr="00A058B6" w:rsidRDefault="00D930D9" w:rsidP="00D930D9">
      <w:pPr>
        <w:pStyle w:val="subsection"/>
      </w:pPr>
      <w:r w:rsidRPr="00A058B6">
        <w:tab/>
        <w:t>(3)</w:t>
      </w:r>
      <w:r w:rsidRPr="00A058B6">
        <w:tab/>
        <w:t xml:space="preserve">For the purposes of </w:t>
      </w:r>
      <w:r w:rsidR="00453C86">
        <w:t>paragraph (</w:t>
      </w:r>
      <w:r w:rsidRPr="00A058B6">
        <w:t xml:space="preserve">1)(a), if neither </w:t>
      </w:r>
      <w:r w:rsidR="00453C86">
        <w:t>paragraph (</w:t>
      </w:r>
      <w:r w:rsidRPr="00A058B6">
        <w:t xml:space="preserve">2)(a) nor (b) applies for the superannuation interest, the </w:t>
      </w:r>
      <w:r w:rsidRPr="00A058B6">
        <w:rPr>
          <w:b/>
          <w:i/>
        </w:rPr>
        <w:t>value of the non</w:t>
      </w:r>
      <w:r w:rsidR="001952B3">
        <w:rPr>
          <w:b/>
          <w:i/>
        </w:rPr>
        <w:noBreakHyphen/>
      </w:r>
      <w:r w:rsidRPr="00A058B6">
        <w:rPr>
          <w:b/>
          <w:i/>
        </w:rPr>
        <w:t>member spouse’s entitlement</w:t>
      </w:r>
      <w:r w:rsidRPr="00A058B6">
        <w:t xml:space="preserve"> for the interest at the termination time is:</w:t>
      </w:r>
    </w:p>
    <w:p w14:paraId="6351B861" w14:textId="2FE58C03" w:rsidR="00D930D9" w:rsidRPr="00A058B6" w:rsidRDefault="00F9124D" w:rsidP="00D930D9">
      <w:pPr>
        <w:pStyle w:val="subsection2"/>
      </w:pPr>
      <w:r w:rsidRPr="00A058B6">
        <w:rPr>
          <w:position w:val="-24"/>
        </w:rPr>
        <w:object w:dxaOrig="4380" w:dyaOrig="580" w14:anchorId="16A89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open bracket Proportion of splittable payments times Value close bracket minus Fees end formula" style="width:220.6pt;height:28.45pt" o:ole="">
            <v:imagedata r:id="rId24" o:title=""/>
          </v:shape>
          <o:OLEObject Type="Embed" ProgID="Equation.DSMT4" ShapeID="_x0000_i1025" DrawAspect="Content" ObjectID="_1801634254" r:id="rId25"/>
        </w:object>
      </w:r>
    </w:p>
    <w:p w14:paraId="511B54C7" w14:textId="77777777" w:rsidR="00D930D9" w:rsidRPr="00A058B6" w:rsidRDefault="00D930D9" w:rsidP="00D930D9">
      <w:pPr>
        <w:pStyle w:val="subsection2"/>
      </w:pPr>
      <w:r w:rsidRPr="00A058B6">
        <w:t>where:</w:t>
      </w:r>
    </w:p>
    <w:p w14:paraId="20903395" w14:textId="2E69E540" w:rsidR="008612CD" w:rsidRPr="00A058B6" w:rsidRDefault="008612CD" w:rsidP="008612CD">
      <w:pPr>
        <w:pStyle w:val="Definition"/>
      </w:pPr>
      <w:r w:rsidRPr="00A058B6">
        <w:rPr>
          <w:b/>
          <w:i/>
        </w:rPr>
        <w:t>proportion of splittable payments</w:t>
      </w:r>
      <w:r w:rsidRPr="00A058B6">
        <w:t xml:space="preserve"> </w:t>
      </w:r>
      <w:r w:rsidR="009E49BA">
        <w:t>means</w:t>
      </w:r>
      <w:r w:rsidRPr="00A058B6">
        <w:t xml:space="preserve"> the proportion of each second and subsequent splittable payment that the non</w:t>
      </w:r>
      <w:r w:rsidR="001952B3">
        <w:noBreakHyphen/>
      </w:r>
      <w:r w:rsidRPr="00A058B6">
        <w:t xml:space="preserve">member spouse would be entitled to be paid under </w:t>
      </w:r>
      <w:r w:rsidR="00453C86">
        <w:t>Part 7</w:t>
      </w:r>
      <w:r w:rsidR="00D7157D">
        <w:t>.</w:t>
      </w:r>
    </w:p>
    <w:p w14:paraId="57179413" w14:textId="77777777" w:rsidR="008612CD" w:rsidRPr="00A058B6" w:rsidRDefault="008612CD" w:rsidP="008612CD">
      <w:pPr>
        <w:pStyle w:val="Definition"/>
        <w:rPr>
          <w:b/>
          <w:bCs/>
          <w:i/>
          <w:iCs/>
        </w:rPr>
      </w:pPr>
      <w:r w:rsidRPr="00A058B6">
        <w:rPr>
          <w:b/>
          <w:bCs/>
          <w:i/>
          <w:iCs/>
        </w:rPr>
        <w:t>value</w:t>
      </w:r>
      <w:r w:rsidRPr="00A058B6">
        <w:t xml:space="preserve"> </w:t>
      </w:r>
      <w:r w:rsidR="009E49BA">
        <w:rPr>
          <w:bCs/>
          <w:iCs/>
        </w:rPr>
        <w:t>means</w:t>
      </w:r>
      <w:r w:rsidRPr="00A058B6">
        <w:rPr>
          <w:bCs/>
          <w:iCs/>
        </w:rPr>
        <w:t>:</w:t>
      </w:r>
    </w:p>
    <w:p w14:paraId="3E98788A" w14:textId="78BB38B9" w:rsidR="008612CD" w:rsidRPr="00A058B6" w:rsidRDefault="008612CD" w:rsidP="008612CD">
      <w:pPr>
        <w:pStyle w:val="paragraph"/>
      </w:pPr>
      <w:r w:rsidRPr="00A058B6">
        <w:tab/>
        <w:t>(a)</w:t>
      </w:r>
      <w:r w:rsidRPr="00A058B6">
        <w:tab/>
        <w:t xml:space="preserve">for a superannuation interest in a self managed superannuation fund—the value of the interest at the termination time, determined by the method the court would consider appropriate if it were determining the value of the interest under </w:t>
      </w:r>
      <w:r w:rsidR="00FE15C4">
        <w:t>paragraph 9</w:t>
      </w:r>
      <w:r w:rsidRPr="00A058B6">
        <w:t xml:space="preserve">0XT(2)(b) or 90YY(2)(b) of the Act; </w:t>
      </w:r>
      <w:r w:rsidR="00CF6009">
        <w:t>or</w:t>
      </w:r>
    </w:p>
    <w:p w14:paraId="7A552597" w14:textId="7874AF9A" w:rsidR="008612CD" w:rsidRPr="00A058B6" w:rsidRDefault="008612CD" w:rsidP="008612CD">
      <w:pPr>
        <w:pStyle w:val="paragraph"/>
      </w:pPr>
      <w:r w:rsidRPr="00A058B6">
        <w:tab/>
        <w:t>(b)</w:t>
      </w:r>
      <w:r w:rsidRPr="00A058B6">
        <w:tab/>
        <w:t xml:space="preserve">otherwise—the value of the superannuation interest, being the amount in relation to the interest at the termination time, calculated under </w:t>
      </w:r>
      <w:r w:rsidR="00453C86">
        <w:t>Division 2</w:t>
      </w:r>
      <w:r w:rsidRPr="00A058B6">
        <w:t xml:space="preserve"> of Part </w:t>
      </w:r>
      <w:r w:rsidR="00F47A4A">
        <w:t>6</w:t>
      </w:r>
      <w:r w:rsidRPr="00A058B6">
        <w:t xml:space="preserve"> of this instrument as if references in that Division to </w:t>
      </w:r>
      <w:r w:rsidR="004B02BC">
        <w:t>“</w:t>
      </w:r>
      <w:r w:rsidRPr="00A058B6">
        <w:t>the relevant date</w:t>
      </w:r>
      <w:r w:rsidR="004B02BC">
        <w:t>”</w:t>
      </w:r>
      <w:r w:rsidRPr="00A058B6">
        <w:t xml:space="preserve"> were references to </w:t>
      </w:r>
      <w:r w:rsidR="004B02BC">
        <w:t>“</w:t>
      </w:r>
      <w:r w:rsidRPr="00A058B6">
        <w:t>the termination time</w:t>
      </w:r>
      <w:r w:rsidR="004B02BC">
        <w:t>”</w:t>
      </w:r>
      <w:r w:rsidR="00D7157D">
        <w:t>.</w:t>
      </w:r>
    </w:p>
    <w:p w14:paraId="2F8FFB6E" w14:textId="3E505F44" w:rsidR="00D930D9" w:rsidRDefault="00D930D9" w:rsidP="00D930D9">
      <w:pPr>
        <w:pStyle w:val="Definition"/>
      </w:pPr>
      <w:r w:rsidRPr="00A058B6">
        <w:rPr>
          <w:b/>
          <w:i/>
        </w:rPr>
        <w:t>fees</w:t>
      </w:r>
      <w:r w:rsidRPr="00A058B6">
        <w:rPr>
          <w:i/>
        </w:rPr>
        <w:t xml:space="preserve"> </w:t>
      </w:r>
      <w:r w:rsidR="009E49BA">
        <w:t>means</w:t>
      </w:r>
      <w:r w:rsidRPr="00A058B6">
        <w:t xml:space="preserve"> the amount of any fees payable by the non</w:t>
      </w:r>
      <w:r w:rsidR="001952B3">
        <w:noBreakHyphen/>
      </w:r>
      <w:r w:rsidRPr="00A058B6">
        <w:t>member spouse under section </w:t>
      </w:r>
      <w:r w:rsidR="00485CC2">
        <w:t>98</w:t>
      </w:r>
      <w:r w:rsidR="00D7157D">
        <w:t>.</w:t>
      </w:r>
    </w:p>
    <w:p w14:paraId="41AD8241" w14:textId="179E046F" w:rsidR="00D930D9" w:rsidRPr="00A058B6" w:rsidRDefault="00D930D9" w:rsidP="00D930D9">
      <w:pPr>
        <w:pStyle w:val="SubsectionHead"/>
      </w:pPr>
      <w:r w:rsidRPr="00A058B6">
        <w:lastRenderedPageBreak/>
        <w:t>Value—specified percentage is to apply to all splittable payments in respect of the interest</w:t>
      </w:r>
    </w:p>
    <w:p w14:paraId="386AC28B" w14:textId="7FE6D9EF" w:rsidR="00D930D9" w:rsidRPr="00A058B6" w:rsidRDefault="00D930D9" w:rsidP="00D930D9">
      <w:pPr>
        <w:pStyle w:val="subsection"/>
      </w:pPr>
      <w:r w:rsidRPr="00A058B6">
        <w:tab/>
        <w:t>(4)</w:t>
      </w:r>
      <w:r w:rsidRPr="00A058B6">
        <w:tab/>
        <w:t xml:space="preserve">For the purposes of </w:t>
      </w:r>
      <w:r w:rsidR="00453C86">
        <w:t>paragraph (</w:t>
      </w:r>
      <w:r w:rsidRPr="00A058B6">
        <w:t xml:space="preserve">1)(b), the </w:t>
      </w:r>
      <w:r w:rsidRPr="00A058B6">
        <w:rPr>
          <w:b/>
          <w:i/>
        </w:rPr>
        <w:t>value of the non</w:t>
      </w:r>
      <w:r w:rsidR="001952B3">
        <w:rPr>
          <w:b/>
          <w:i/>
        </w:rPr>
        <w:noBreakHyphen/>
      </w:r>
      <w:r w:rsidRPr="00A058B6">
        <w:rPr>
          <w:b/>
          <w:i/>
        </w:rPr>
        <w:t>member spouse’s entitlement</w:t>
      </w:r>
      <w:r w:rsidRPr="00A058B6">
        <w:t xml:space="preserve"> for the interest at the termination time is equal to:</w:t>
      </w:r>
    </w:p>
    <w:p w14:paraId="72B61A8C" w14:textId="20BB7DD9" w:rsidR="00D930D9" w:rsidRPr="00A058B6" w:rsidRDefault="00D2689D" w:rsidP="00D930D9">
      <w:pPr>
        <w:pStyle w:val="subsection2"/>
      </w:pPr>
      <w:r w:rsidRPr="00A058B6">
        <w:rPr>
          <w:position w:val="-20"/>
        </w:rPr>
        <w:object w:dxaOrig="6640" w:dyaOrig="620" w14:anchorId="5D2E0C0D">
          <v:shape id="_x0000_i1026" type="#_x0000_t75" alt="Start formula Default amount times Specified percentage open bracket see paragraph open bracket 1 close bracket open bracket b close bracket close bracket minus Any fees payable by the non-member spouse under section 98 end formula" style="width:330.2pt;height:31.65pt" o:ole="">
            <v:imagedata r:id="rId26" o:title=""/>
          </v:shape>
          <o:OLEObject Type="Embed" ProgID="Equation.DSMT4" ShapeID="_x0000_i1026" DrawAspect="Content" ObjectID="_1801634255" r:id="rId27"/>
        </w:object>
      </w:r>
    </w:p>
    <w:p w14:paraId="4F2554B6" w14:textId="77777777" w:rsidR="00D930D9" w:rsidRPr="00A058B6" w:rsidRDefault="00D930D9" w:rsidP="00D930D9">
      <w:pPr>
        <w:pStyle w:val="subsection2"/>
      </w:pPr>
      <w:r w:rsidRPr="00A058B6">
        <w:t>where:</w:t>
      </w:r>
    </w:p>
    <w:p w14:paraId="662F9AAA" w14:textId="77777777" w:rsidR="00D930D9" w:rsidRPr="00A058B6" w:rsidRDefault="00D930D9" w:rsidP="00D930D9">
      <w:pPr>
        <w:pStyle w:val="Definition"/>
      </w:pPr>
      <w:r w:rsidRPr="00A058B6">
        <w:rPr>
          <w:b/>
          <w:i/>
        </w:rPr>
        <w:t>default amount</w:t>
      </w:r>
      <w:r w:rsidRPr="00A058B6">
        <w:t xml:space="preserve"> means:</w:t>
      </w:r>
    </w:p>
    <w:p w14:paraId="4B4D4FB6" w14:textId="77777777" w:rsidR="00D930D9" w:rsidRPr="00A058B6" w:rsidRDefault="00D930D9" w:rsidP="00D930D9">
      <w:pPr>
        <w:pStyle w:val="paragraph"/>
      </w:pPr>
      <w:r w:rsidRPr="00A058B6">
        <w:tab/>
        <w:t>(a)</w:t>
      </w:r>
      <w:r w:rsidRPr="00A058B6">
        <w:tab/>
        <w:t>if the entitlement is in respect of an interest that is neither:</w:t>
      </w:r>
    </w:p>
    <w:p w14:paraId="6FF7DECB" w14:textId="77777777" w:rsidR="00D930D9" w:rsidRPr="00A058B6" w:rsidRDefault="00D930D9" w:rsidP="00D930D9">
      <w:pPr>
        <w:pStyle w:val="paragraphsub"/>
      </w:pPr>
      <w:r w:rsidRPr="00A058B6">
        <w:tab/>
        <w:t>(i)</w:t>
      </w:r>
      <w:r w:rsidRPr="00A058B6">
        <w:tab/>
        <w:t>an accumulation interest (other than a partially vested accumulation interest); nor</w:t>
      </w:r>
    </w:p>
    <w:p w14:paraId="132AFE3F" w14:textId="77777777" w:rsidR="00D930D9" w:rsidRPr="00A058B6" w:rsidRDefault="00D930D9" w:rsidP="00D930D9">
      <w:pPr>
        <w:pStyle w:val="paragraphsub"/>
      </w:pPr>
      <w:r w:rsidRPr="00A058B6">
        <w:tab/>
        <w:t>(ii)</w:t>
      </w:r>
      <w:r w:rsidRPr="00A058B6">
        <w:tab/>
        <w:t>an interest in a self managed superannuation fund;</w:t>
      </w:r>
    </w:p>
    <w:p w14:paraId="73686AF6" w14:textId="77777777" w:rsidR="00D930D9" w:rsidRPr="00A058B6" w:rsidRDefault="00D930D9" w:rsidP="00D930D9">
      <w:pPr>
        <w:pStyle w:val="paragraph"/>
      </w:pPr>
      <w:r w:rsidRPr="00A058B6">
        <w:tab/>
      </w:r>
      <w:r w:rsidRPr="00A058B6">
        <w:tab/>
        <w:t>the amount in relation to the interest at the termination time that a court would determine under Part </w:t>
      </w:r>
      <w:r w:rsidR="00F47A4A">
        <w:t>6</w:t>
      </w:r>
      <w:r w:rsidRPr="00A058B6">
        <w:t>; or</w:t>
      </w:r>
    </w:p>
    <w:p w14:paraId="07DC426D" w14:textId="77777777" w:rsidR="00D930D9" w:rsidRPr="00A058B6" w:rsidRDefault="00D930D9" w:rsidP="00D930D9">
      <w:pPr>
        <w:pStyle w:val="paragraph"/>
      </w:pPr>
      <w:r w:rsidRPr="00A058B6">
        <w:tab/>
        <w:t>(b)</w:t>
      </w:r>
      <w:r w:rsidRPr="00A058B6">
        <w:tab/>
        <w:t>if the entitlement is in respect of an accumulation interest other than:</w:t>
      </w:r>
    </w:p>
    <w:p w14:paraId="27ED082C" w14:textId="77777777" w:rsidR="00D930D9" w:rsidRPr="00A058B6" w:rsidRDefault="00D930D9" w:rsidP="00D930D9">
      <w:pPr>
        <w:pStyle w:val="paragraphsub"/>
      </w:pPr>
      <w:r w:rsidRPr="00A058B6">
        <w:tab/>
        <w:t>(i)</w:t>
      </w:r>
      <w:r w:rsidRPr="00A058B6">
        <w:tab/>
        <w:t>a partially vested accumulation interest; or</w:t>
      </w:r>
    </w:p>
    <w:p w14:paraId="4B5F38C8" w14:textId="77777777" w:rsidR="00D930D9" w:rsidRPr="00A058B6" w:rsidRDefault="00D930D9" w:rsidP="00D930D9">
      <w:pPr>
        <w:pStyle w:val="paragraphsub"/>
      </w:pPr>
      <w:r w:rsidRPr="00A058B6">
        <w:tab/>
        <w:t>(ii)</w:t>
      </w:r>
      <w:r w:rsidRPr="00A058B6">
        <w:tab/>
        <w:t>an interest in a self managed superannuation fund;</w:t>
      </w:r>
    </w:p>
    <w:p w14:paraId="1F121E5C" w14:textId="5003651C" w:rsidR="00D930D9" w:rsidRPr="00A058B6" w:rsidRDefault="00D930D9" w:rsidP="00D930D9">
      <w:pPr>
        <w:pStyle w:val="paragraph"/>
      </w:pPr>
      <w:r w:rsidRPr="00A058B6">
        <w:tab/>
      </w:r>
      <w:r w:rsidRPr="00A058B6">
        <w:tab/>
        <w:t>the amount in relation to the interest at the termination time that a court would determine under Part </w:t>
      </w:r>
      <w:r w:rsidR="00F47A4A">
        <w:t>6</w:t>
      </w:r>
      <w:r w:rsidRPr="00A058B6">
        <w:t xml:space="preserve"> if item 3 of the table in </w:t>
      </w:r>
      <w:r w:rsidR="00CB78B9">
        <w:t>section 5</w:t>
      </w:r>
      <w:r w:rsidR="00485CC2">
        <w:t>1</w:t>
      </w:r>
      <w:r w:rsidRPr="00A058B6">
        <w:t xml:space="preserve">, and </w:t>
      </w:r>
      <w:r w:rsidR="00CB78B9">
        <w:t>subsection 5</w:t>
      </w:r>
      <w:r w:rsidR="00485CC2">
        <w:t>3</w:t>
      </w:r>
      <w:r w:rsidRPr="00A058B6">
        <w:t>(2), applied for the interest; or</w:t>
      </w:r>
    </w:p>
    <w:p w14:paraId="152370C3" w14:textId="4E2DCC7B" w:rsidR="00D930D9" w:rsidRPr="00A058B6" w:rsidRDefault="00D930D9" w:rsidP="00D930D9">
      <w:pPr>
        <w:pStyle w:val="paragraph"/>
      </w:pPr>
      <w:r w:rsidRPr="00A058B6">
        <w:tab/>
        <w:t>(c)</w:t>
      </w:r>
      <w:r w:rsidRPr="00A058B6">
        <w:tab/>
        <w:t xml:space="preserve">if the entitlement is in respect of an interest in a self managed superannuation fund—the value of the interest at the termination time, determined by the method that the court would consider appropriate if it were determining the value of the interest under </w:t>
      </w:r>
      <w:r w:rsidR="00FE15C4">
        <w:t>paragraph 9</w:t>
      </w:r>
      <w:r w:rsidRPr="00A058B6">
        <w:t>0XT(2)(b) or 90YY(2)(b) of the Act</w:t>
      </w:r>
      <w:r w:rsidR="00D7157D">
        <w:t>.</w:t>
      </w:r>
    </w:p>
    <w:p w14:paraId="0BA9AB4E" w14:textId="7D8FBD7D" w:rsidR="00D930D9" w:rsidRPr="00A058B6" w:rsidRDefault="00D930D9" w:rsidP="00D930D9">
      <w:pPr>
        <w:pStyle w:val="ActHead3"/>
        <w:pageBreakBefore/>
      </w:pPr>
      <w:bookmarkStart w:id="39" w:name="_Toc188350526"/>
      <w:r w:rsidRPr="00423C34">
        <w:rPr>
          <w:rStyle w:val="CharDivNo"/>
        </w:rPr>
        <w:lastRenderedPageBreak/>
        <w:t>Division 4</w:t>
      </w:r>
      <w:r w:rsidRPr="00A058B6">
        <w:t>—</w:t>
      </w:r>
      <w:r w:rsidRPr="00423C34">
        <w:rPr>
          <w:rStyle w:val="CharDivText"/>
        </w:rPr>
        <w:t>When the payment relates to a superannuation interest that is a percentage</w:t>
      </w:r>
      <w:r w:rsidR="001952B3" w:rsidRPr="00423C34">
        <w:rPr>
          <w:rStyle w:val="CharDivText"/>
        </w:rPr>
        <w:noBreakHyphen/>
      </w:r>
      <w:r w:rsidRPr="00423C34">
        <w:rPr>
          <w:rStyle w:val="CharDivText"/>
        </w:rPr>
        <w:t>only interest</w:t>
      </w:r>
      <w:bookmarkEnd w:id="39"/>
    </w:p>
    <w:p w14:paraId="071D873C" w14:textId="62CECCFC" w:rsidR="00D930D9" w:rsidRPr="00A058B6" w:rsidRDefault="00D930D9" w:rsidP="00D930D9">
      <w:pPr>
        <w:pStyle w:val="ActHead4"/>
      </w:pPr>
      <w:bookmarkStart w:id="40" w:name="_Toc188350527"/>
      <w:r w:rsidRPr="00423C34">
        <w:rPr>
          <w:rStyle w:val="CharSubdNo"/>
        </w:rPr>
        <w:t>Subdivision A</w:t>
      </w:r>
      <w:r w:rsidRPr="00A058B6">
        <w:t>—</w:t>
      </w:r>
      <w:r w:rsidRPr="00423C34">
        <w:rPr>
          <w:rStyle w:val="CharSubdText"/>
        </w:rPr>
        <w:t>New interest created, or amount transferred or rolled over or paid, by trustee, or separate entitlement arising, in satisfaction of non</w:t>
      </w:r>
      <w:r w:rsidR="001952B3" w:rsidRPr="00423C34">
        <w:rPr>
          <w:rStyle w:val="CharSubdText"/>
        </w:rPr>
        <w:noBreakHyphen/>
      </w:r>
      <w:r w:rsidRPr="00423C34">
        <w:rPr>
          <w:rStyle w:val="CharSubdText"/>
        </w:rPr>
        <w:t>member spouse’s entitlement under agreement or order</w:t>
      </w:r>
      <w:bookmarkEnd w:id="40"/>
    </w:p>
    <w:p w14:paraId="12D9CF9B" w14:textId="7B4F6D21" w:rsidR="00D930D9" w:rsidRPr="00A058B6" w:rsidRDefault="00485CC2" w:rsidP="00D930D9">
      <w:pPr>
        <w:pStyle w:val="ActHead5"/>
      </w:pPr>
      <w:bookmarkStart w:id="41" w:name="_Toc188350528"/>
      <w:r w:rsidRPr="00423C34">
        <w:rPr>
          <w:rStyle w:val="CharSectno"/>
        </w:rPr>
        <w:t>26</w:t>
      </w:r>
      <w:r w:rsidR="00D930D9" w:rsidRPr="00A058B6">
        <w:t xml:space="preserve">  Requirements of this Subdivision</w:t>
      </w:r>
      <w:bookmarkEnd w:id="41"/>
    </w:p>
    <w:p w14:paraId="48FE39BC" w14:textId="776A5E3E" w:rsidR="00D930D9" w:rsidRPr="00A058B6" w:rsidRDefault="00D930D9" w:rsidP="00D930D9">
      <w:pPr>
        <w:pStyle w:val="subsection"/>
        <w:rPr>
          <w:snapToGrid w:val="0"/>
        </w:rPr>
      </w:pPr>
      <w:r w:rsidRPr="00A058B6">
        <w:tab/>
        <w:t>(1)</w:t>
      </w:r>
      <w:r w:rsidRPr="00A058B6">
        <w:tab/>
        <w:t>The requirements of this Subdivision are met for a non</w:t>
      </w:r>
      <w:r w:rsidR="001952B3">
        <w:noBreakHyphen/>
      </w:r>
      <w:r w:rsidRPr="00A058B6">
        <w:t xml:space="preserve">member spouse’s entitlement </w:t>
      </w:r>
      <w:r w:rsidRPr="00A058B6">
        <w:rPr>
          <w:snapToGrid w:val="0"/>
        </w:rPr>
        <w:t>under a particular superannuation agreement, flag lifting agreement or splitting order in respect of a superannuation interest if:</w:t>
      </w:r>
    </w:p>
    <w:p w14:paraId="5BF9C5A0" w14:textId="77777777" w:rsidR="00D930D9" w:rsidRPr="00A058B6" w:rsidRDefault="00D930D9" w:rsidP="00D930D9">
      <w:pPr>
        <w:pStyle w:val="paragraph"/>
      </w:pPr>
      <w:r w:rsidRPr="00A058B6">
        <w:tab/>
        <w:t>(a)</w:t>
      </w:r>
      <w:r w:rsidRPr="00A058B6">
        <w:tab/>
        <w:t>the interest:</w:t>
      </w:r>
    </w:p>
    <w:p w14:paraId="181F6D49" w14:textId="2BAED22F" w:rsidR="00D930D9" w:rsidRPr="00A058B6" w:rsidRDefault="00D930D9" w:rsidP="00D930D9">
      <w:pPr>
        <w:pStyle w:val="paragraphsub"/>
      </w:pPr>
      <w:r w:rsidRPr="00A058B6">
        <w:tab/>
        <w:t>(i)</w:t>
      </w:r>
      <w:r w:rsidRPr="00A058B6">
        <w:tab/>
        <w:t>is a percentage</w:t>
      </w:r>
      <w:r w:rsidR="001952B3">
        <w:noBreakHyphen/>
      </w:r>
      <w:r w:rsidRPr="00A058B6">
        <w:t>only interest; and</w:t>
      </w:r>
    </w:p>
    <w:p w14:paraId="08B03B0D" w14:textId="77777777" w:rsidR="00D930D9" w:rsidRPr="00A058B6" w:rsidRDefault="00D930D9" w:rsidP="00D930D9">
      <w:pPr>
        <w:pStyle w:val="paragraphsub"/>
      </w:pPr>
      <w:r w:rsidRPr="00A058B6">
        <w:tab/>
        <w:t>(ii)</w:t>
      </w:r>
      <w:r w:rsidRPr="00A058B6">
        <w:tab/>
        <w:t>is in a superannuation fund or an approved deposit fund; and</w:t>
      </w:r>
    </w:p>
    <w:p w14:paraId="6BD617AB" w14:textId="77777777" w:rsidR="00D930D9" w:rsidRPr="00A058B6" w:rsidRDefault="00D930D9" w:rsidP="00D930D9">
      <w:pPr>
        <w:pStyle w:val="paragraph"/>
      </w:pPr>
      <w:r w:rsidRPr="00A058B6">
        <w:tab/>
        <w:t>(b)</w:t>
      </w:r>
      <w:r w:rsidRPr="00A058B6">
        <w:tab/>
        <w:t>either of the following sections applies for the interest:</w:t>
      </w:r>
    </w:p>
    <w:p w14:paraId="0F56F2EF" w14:textId="4F290004" w:rsidR="00D930D9" w:rsidRPr="00A058B6" w:rsidRDefault="00D930D9" w:rsidP="00D930D9">
      <w:pPr>
        <w:pStyle w:val="paragraphsub"/>
      </w:pPr>
      <w:r w:rsidRPr="00A058B6">
        <w:tab/>
        <w:t>(i)</w:t>
      </w:r>
      <w:r w:rsidRPr="00A058B6">
        <w:tab/>
      </w:r>
      <w:r w:rsidR="00CB78B9">
        <w:t>section 2</w:t>
      </w:r>
      <w:r w:rsidR="00485CC2">
        <w:t>7</w:t>
      </w:r>
      <w:r w:rsidRPr="00A058B6">
        <w:t xml:space="preserve"> (main circumstances);</w:t>
      </w:r>
    </w:p>
    <w:p w14:paraId="15B27F63" w14:textId="70E7B4AB" w:rsidR="00D930D9" w:rsidRPr="00A058B6" w:rsidRDefault="00D930D9" w:rsidP="00D930D9">
      <w:pPr>
        <w:pStyle w:val="paragraphsub"/>
      </w:pPr>
      <w:r w:rsidRPr="00A058B6">
        <w:tab/>
        <w:t>(ii)</w:t>
      </w:r>
      <w:r w:rsidRPr="00A058B6">
        <w:tab/>
      </w:r>
      <w:r w:rsidR="00CB78B9">
        <w:t>section 2</w:t>
      </w:r>
      <w:r w:rsidR="00485CC2">
        <w:t>8</w:t>
      </w:r>
      <w:r w:rsidRPr="00A058B6">
        <w:t xml:space="preserve"> (public sector superannuation schemes in which a separate entitlement arises for the non</w:t>
      </w:r>
      <w:r w:rsidR="001952B3">
        <w:noBreakHyphen/>
      </w:r>
      <w:r w:rsidRPr="00A058B6">
        <w:t>member spouse)</w:t>
      </w:r>
      <w:r w:rsidR="00D7157D">
        <w:t>.</w:t>
      </w:r>
    </w:p>
    <w:p w14:paraId="7BCDB428" w14:textId="35AF4958" w:rsidR="00D930D9" w:rsidRPr="00A058B6" w:rsidRDefault="00D930D9" w:rsidP="00D930D9">
      <w:pPr>
        <w:pStyle w:val="notetext"/>
      </w:pPr>
      <w:r w:rsidRPr="00A058B6">
        <w:t>Note:</w:t>
      </w:r>
      <w:r w:rsidRPr="00A058B6">
        <w:tab/>
      </w:r>
      <w:r w:rsidR="00CB78B9">
        <w:t>Section 2</w:t>
      </w:r>
      <w:r w:rsidR="00485CC2">
        <w:t>7</w:t>
      </w:r>
      <w:r w:rsidRPr="00A058B6">
        <w:t xml:space="preserve"> will apply if any of its subsections applies for the interest</w:t>
      </w:r>
      <w:r w:rsidR="00D7157D">
        <w:t>.</w:t>
      </w:r>
    </w:p>
    <w:p w14:paraId="1D854F68" w14:textId="02971BA0" w:rsidR="00D930D9" w:rsidRPr="00A058B6" w:rsidRDefault="00D930D9" w:rsidP="00D930D9">
      <w:pPr>
        <w:pStyle w:val="subsection"/>
      </w:pPr>
      <w:r w:rsidRPr="00A058B6">
        <w:tab/>
        <w:t>(2)</w:t>
      </w:r>
      <w:r w:rsidRPr="00A058B6">
        <w:tab/>
        <w:t>However, for the purposes of sub</w:t>
      </w:r>
      <w:r w:rsidR="00453C86">
        <w:t>paragraph (</w:t>
      </w:r>
      <w:r w:rsidRPr="00A058B6">
        <w:t xml:space="preserve">1)(b)(i), </w:t>
      </w:r>
      <w:r w:rsidR="00CB78B9">
        <w:t>section 2</w:t>
      </w:r>
      <w:r w:rsidR="00485CC2">
        <w:t>7</w:t>
      </w:r>
      <w:r w:rsidRPr="00A058B6">
        <w:t xml:space="preserve"> will not apply for the superannuation interest if:</w:t>
      </w:r>
    </w:p>
    <w:p w14:paraId="1E43F969" w14:textId="77777777" w:rsidR="00D930D9" w:rsidRPr="00A058B6" w:rsidRDefault="00D930D9" w:rsidP="00D930D9">
      <w:pPr>
        <w:pStyle w:val="paragraph"/>
      </w:pPr>
      <w:r w:rsidRPr="00A058B6">
        <w:tab/>
        <w:t>(a)</w:t>
      </w:r>
      <w:r w:rsidRPr="00A058B6">
        <w:tab/>
        <w:t>the interest is a defined benefit interest; and</w:t>
      </w:r>
    </w:p>
    <w:p w14:paraId="30C40690" w14:textId="77777777" w:rsidR="00D930D9" w:rsidRPr="00A058B6" w:rsidRDefault="00D930D9" w:rsidP="00D930D9">
      <w:pPr>
        <w:pStyle w:val="paragraph"/>
      </w:pPr>
      <w:r w:rsidRPr="00A058B6">
        <w:tab/>
        <w:t>(b)</w:t>
      </w:r>
      <w:r w:rsidRPr="00A058B6">
        <w:tab/>
        <w:t>the governing rules of the relevant eligible superannuation plan provide for the reduction of the benefit payable to any other member of the plan (other than the member spouse or a reversionary beneficiary of the member spouse) as a result of:</w:t>
      </w:r>
    </w:p>
    <w:p w14:paraId="6B3C9ED9" w14:textId="33BD8C67" w:rsidR="00D930D9" w:rsidRPr="00A058B6" w:rsidRDefault="00D930D9" w:rsidP="00D930D9">
      <w:pPr>
        <w:pStyle w:val="paragraphsub"/>
      </w:pPr>
      <w:r w:rsidRPr="00A058B6">
        <w:tab/>
        <w:t>(i)</w:t>
      </w:r>
      <w:r w:rsidRPr="00A058B6">
        <w:tab/>
        <w:t>the creation of a new interest for the non</w:t>
      </w:r>
      <w:r w:rsidR="001952B3">
        <w:noBreakHyphen/>
      </w:r>
      <w:r w:rsidRPr="00A058B6">
        <w:t>member spouse; or</w:t>
      </w:r>
    </w:p>
    <w:p w14:paraId="0FA6D130" w14:textId="2A960FD5" w:rsidR="00D930D9" w:rsidRPr="00A058B6" w:rsidRDefault="00D930D9" w:rsidP="00D930D9">
      <w:pPr>
        <w:pStyle w:val="paragraphsub"/>
      </w:pPr>
      <w:r w:rsidRPr="00A058B6">
        <w:tab/>
        <w:t>(ii)</w:t>
      </w:r>
      <w:r w:rsidRPr="00A058B6">
        <w:tab/>
        <w:t>the transfer or rollover of an amount to be held for the benefit of the non</w:t>
      </w:r>
      <w:r w:rsidR="001952B3">
        <w:noBreakHyphen/>
      </w:r>
      <w:r w:rsidRPr="00A058B6">
        <w:t>member spouse; or</w:t>
      </w:r>
    </w:p>
    <w:p w14:paraId="0DB3D6B6" w14:textId="0745477F" w:rsidR="00D930D9" w:rsidRPr="00A058B6" w:rsidRDefault="00D930D9" w:rsidP="00D930D9">
      <w:pPr>
        <w:pStyle w:val="paragraphsub"/>
      </w:pPr>
      <w:r w:rsidRPr="00A058B6">
        <w:tab/>
        <w:t>(iii)</w:t>
      </w:r>
      <w:r w:rsidRPr="00A058B6">
        <w:tab/>
        <w:t>the payment of an amount to the non</w:t>
      </w:r>
      <w:r w:rsidR="001952B3">
        <w:noBreakHyphen/>
      </w:r>
      <w:r w:rsidRPr="00A058B6">
        <w:t>member spouse</w:t>
      </w:r>
      <w:r w:rsidR="00D7157D">
        <w:t>.</w:t>
      </w:r>
    </w:p>
    <w:p w14:paraId="65A13225" w14:textId="68728B46" w:rsidR="00D930D9" w:rsidRPr="00A058B6" w:rsidRDefault="00485CC2" w:rsidP="00D930D9">
      <w:pPr>
        <w:pStyle w:val="ActHead5"/>
      </w:pPr>
      <w:bookmarkStart w:id="42" w:name="_Toc188350529"/>
      <w:r w:rsidRPr="00423C34">
        <w:rPr>
          <w:rStyle w:val="CharSectno"/>
        </w:rPr>
        <w:t>27</w:t>
      </w:r>
      <w:r w:rsidR="00D930D9" w:rsidRPr="00A058B6">
        <w:t xml:space="preserve">  Main circumstances when this Subdivision applies</w:t>
      </w:r>
      <w:bookmarkEnd w:id="42"/>
    </w:p>
    <w:p w14:paraId="740DAC5A" w14:textId="001A5CC1" w:rsidR="00D930D9" w:rsidRPr="00A058B6" w:rsidRDefault="00D930D9" w:rsidP="00D930D9">
      <w:pPr>
        <w:pStyle w:val="SubsectionHead"/>
      </w:pPr>
      <w:r w:rsidRPr="00A058B6">
        <w:t>Trustee creates new interest, or transfers or rolls over an amount, with a value at least as much as the non</w:t>
      </w:r>
      <w:r w:rsidR="001952B3">
        <w:noBreakHyphen/>
      </w:r>
      <w:r w:rsidRPr="00A058B6">
        <w:t>member spouse’s entitlement</w:t>
      </w:r>
    </w:p>
    <w:p w14:paraId="4B99DCA6" w14:textId="77777777" w:rsidR="00D930D9" w:rsidRPr="00A058B6" w:rsidRDefault="00D930D9" w:rsidP="00D930D9">
      <w:pPr>
        <w:pStyle w:val="subsection"/>
      </w:pPr>
      <w:r w:rsidRPr="00A058B6">
        <w:tab/>
        <w:t>(1)</w:t>
      </w:r>
      <w:r w:rsidRPr="00A058B6">
        <w:tab/>
        <w:t>This section applies for the superannuation interest if:</w:t>
      </w:r>
    </w:p>
    <w:p w14:paraId="68B2B221" w14:textId="53D9A448" w:rsidR="00D930D9" w:rsidRPr="00A058B6" w:rsidRDefault="00D930D9" w:rsidP="00D930D9">
      <w:pPr>
        <w:pStyle w:val="paragraph"/>
      </w:pPr>
      <w:r w:rsidRPr="00A058B6">
        <w:tab/>
        <w:t>(a)</w:t>
      </w:r>
      <w:r w:rsidRPr="00A058B6">
        <w:tab/>
        <w:t>the trustee of the relevant eligible superannuation plan has, in respect of the non</w:t>
      </w:r>
      <w:r w:rsidR="001952B3">
        <w:noBreakHyphen/>
      </w:r>
      <w:r w:rsidRPr="00A058B6">
        <w:t>member spouse’s entitlement under the agreement or order and under the governing rules of the plan, done either of the following things:</w:t>
      </w:r>
    </w:p>
    <w:p w14:paraId="2A68966C" w14:textId="0F1B5BB8" w:rsidR="00D930D9" w:rsidRPr="00A058B6" w:rsidRDefault="00D930D9" w:rsidP="00D930D9">
      <w:pPr>
        <w:pStyle w:val="paragraphsub"/>
      </w:pPr>
      <w:r w:rsidRPr="00A058B6">
        <w:tab/>
        <w:t>(i)</w:t>
      </w:r>
      <w:r w:rsidRPr="00A058B6">
        <w:tab/>
        <w:t>created a new interest in the plan for the non</w:t>
      </w:r>
      <w:r w:rsidR="001952B3">
        <w:noBreakHyphen/>
      </w:r>
      <w:r w:rsidRPr="00A058B6">
        <w:t>member spouse with a value of at least the value of the non</w:t>
      </w:r>
      <w:r w:rsidR="001952B3">
        <w:noBreakHyphen/>
      </w:r>
      <w:r w:rsidRPr="00A058B6">
        <w:t>member spouse’s entitlement for the superannuation interest at the time the new interest is created;</w:t>
      </w:r>
    </w:p>
    <w:p w14:paraId="095F7F6F" w14:textId="2C57CA84" w:rsidR="00D930D9" w:rsidRPr="00A058B6" w:rsidRDefault="00D930D9" w:rsidP="00D930D9">
      <w:pPr>
        <w:pStyle w:val="paragraphsub"/>
      </w:pPr>
      <w:r w:rsidRPr="00A058B6">
        <w:tab/>
        <w:t>(ii)</w:t>
      </w:r>
      <w:r w:rsidRPr="00A058B6">
        <w:tab/>
        <w:t>transferred or rolled over to another superannuation fund or an RSA an amount, to be held for the benefit of the non</w:t>
      </w:r>
      <w:r w:rsidR="001952B3">
        <w:noBreakHyphen/>
      </w:r>
      <w:r w:rsidRPr="00A058B6">
        <w:t xml:space="preserve">member spouse, with </w:t>
      </w:r>
      <w:r w:rsidRPr="00A058B6">
        <w:lastRenderedPageBreak/>
        <w:t>a value of at least the value of the non</w:t>
      </w:r>
      <w:r w:rsidR="001952B3">
        <w:noBreakHyphen/>
      </w:r>
      <w:r w:rsidRPr="00A058B6">
        <w:t>member spouse’s entitlement for the superannuation interest at the time the amount is transferred or rolled over; and</w:t>
      </w:r>
    </w:p>
    <w:p w14:paraId="2FA882C4" w14:textId="77777777" w:rsidR="00D930D9" w:rsidRPr="00A058B6" w:rsidRDefault="00D930D9" w:rsidP="00D930D9">
      <w:pPr>
        <w:pStyle w:val="paragraph"/>
      </w:pPr>
      <w:r w:rsidRPr="00A058B6">
        <w:tab/>
        <w:t>(b)</w:t>
      </w:r>
      <w:r w:rsidRPr="00A058B6">
        <w:tab/>
        <w:t>the interest was in the payment phase at the time the thing was done</w:t>
      </w:r>
      <w:r w:rsidR="00D7157D">
        <w:t>.</w:t>
      </w:r>
    </w:p>
    <w:p w14:paraId="6EAD70F1" w14:textId="2AB9C14B" w:rsidR="00D930D9" w:rsidRPr="00A058B6" w:rsidRDefault="00D930D9" w:rsidP="00D930D9">
      <w:pPr>
        <w:pStyle w:val="SubsectionHead"/>
      </w:pPr>
      <w:r w:rsidRPr="00A058B6">
        <w:t>Non</w:t>
      </w:r>
      <w:r w:rsidR="001952B3">
        <w:noBreakHyphen/>
      </w:r>
      <w:r w:rsidRPr="00A058B6">
        <w:t>member spouse satisfies relevant condition of release and trustee pays that spouse an amount at least equal to the non</w:t>
      </w:r>
      <w:r w:rsidR="001952B3">
        <w:noBreakHyphen/>
      </w:r>
      <w:r w:rsidRPr="00A058B6">
        <w:t>member spouse’s entitlement</w:t>
      </w:r>
    </w:p>
    <w:p w14:paraId="0ED2C24B" w14:textId="77777777" w:rsidR="00D930D9" w:rsidRPr="00A058B6" w:rsidRDefault="00D930D9" w:rsidP="00D930D9">
      <w:pPr>
        <w:pStyle w:val="subsection"/>
      </w:pPr>
      <w:r w:rsidRPr="00A058B6">
        <w:tab/>
        <w:t>(2)</w:t>
      </w:r>
      <w:r w:rsidRPr="00A058B6">
        <w:tab/>
        <w:t>This section applies for the superannuation interest if:</w:t>
      </w:r>
    </w:p>
    <w:p w14:paraId="46746AB9" w14:textId="77777777" w:rsidR="00D930D9" w:rsidRPr="00A058B6" w:rsidRDefault="00D930D9" w:rsidP="00D930D9">
      <w:pPr>
        <w:pStyle w:val="paragraph"/>
      </w:pPr>
      <w:r w:rsidRPr="00A058B6">
        <w:tab/>
        <w:t>(a)</w:t>
      </w:r>
      <w:r w:rsidRPr="00A058B6">
        <w:tab/>
        <w:t>the interest is in a regulated superannuation fund, an exempt public sector superannuation scheme or an approved deposit fund; and</w:t>
      </w:r>
    </w:p>
    <w:p w14:paraId="7B2F0CE0" w14:textId="34ACC05F" w:rsidR="00D930D9" w:rsidRPr="00A058B6" w:rsidRDefault="00D930D9" w:rsidP="00D930D9">
      <w:pPr>
        <w:pStyle w:val="paragraph"/>
      </w:pPr>
      <w:r w:rsidRPr="00A058B6">
        <w:tab/>
        <w:t>(b)</w:t>
      </w:r>
      <w:r w:rsidRPr="00A058B6">
        <w:tab/>
        <w:t>the non</w:t>
      </w:r>
      <w:r w:rsidR="001952B3">
        <w:noBreakHyphen/>
      </w:r>
      <w:r w:rsidRPr="00A058B6">
        <w:t>member spouse has satisfied a relevant condition of release in relation to the interest; and</w:t>
      </w:r>
    </w:p>
    <w:p w14:paraId="570DED20" w14:textId="3450FE71" w:rsidR="00D930D9" w:rsidRPr="00A058B6" w:rsidRDefault="00D930D9" w:rsidP="00D930D9">
      <w:pPr>
        <w:pStyle w:val="paragraph"/>
      </w:pPr>
      <w:r w:rsidRPr="00A058B6">
        <w:tab/>
        <w:t>(c)</w:t>
      </w:r>
      <w:r w:rsidRPr="00A058B6">
        <w:tab/>
        <w:t>the trustee of the relevant eligible superannuation plan has, in respect of the non</w:t>
      </w:r>
      <w:r w:rsidR="001952B3">
        <w:noBreakHyphen/>
      </w:r>
      <w:r w:rsidRPr="00A058B6">
        <w:t>member spouse’s entitlement under the agreement or order, paid to the non</w:t>
      </w:r>
      <w:r w:rsidR="001952B3">
        <w:noBreakHyphen/>
      </w:r>
      <w:r w:rsidRPr="00A058B6">
        <w:t>member spouse an amount with a value of at least the value of the non</w:t>
      </w:r>
      <w:r w:rsidR="001952B3">
        <w:noBreakHyphen/>
      </w:r>
      <w:r w:rsidRPr="00A058B6">
        <w:t>member spouse’s entitlement for the superannuation interest at the time of the payment; and</w:t>
      </w:r>
    </w:p>
    <w:p w14:paraId="4C4ED94A" w14:textId="77777777" w:rsidR="00D930D9" w:rsidRPr="00A058B6" w:rsidRDefault="00D930D9" w:rsidP="00D930D9">
      <w:pPr>
        <w:pStyle w:val="paragraph"/>
      </w:pPr>
      <w:r w:rsidRPr="00A058B6">
        <w:tab/>
        <w:t>(d)</w:t>
      </w:r>
      <w:r w:rsidRPr="00A058B6">
        <w:tab/>
        <w:t>the interest was in the payment phase at the time of the payment</w:t>
      </w:r>
      <w:r w:rsidR="00D7157D">
        <w:t>.</w:t>
      </w:r>
    </w:p>
    <w:p w14:paraId="07F2BE9B" w14:textId="2E4F49B4" w:rsidR="00D930D9" w:rsidRPr="00A058B6" w:rsidRDefault="00D930D9" w:rsidP="00D930D9">
      <w:pPr>
        <w:pStyle w:val="SubsectionHead"/>
      </w:pPr>
      <w:r w:rsidRPr="00A058B6">
        <w:t>Member spouse being paid a pension and trustee pays the non</w:t>
      </w:r>
      <w:r w:rsidR="001952B3">
        <w:noBreakHyphen/>
      </w:r>
      <w:r w:rsidRPr="00A058B6">
        <w:t>member spouse an amount at least equal to the non</w:t>
      </w:r>
      <w:r w:rsidR="001952B3">
        <w:noBreakHyphen/>
      </w:r>
      <w:r w:rsidRPr="00A058B6">
        <w:t>member spouse’s entitlement</w:t>
      </w:r>
    </w:p>
    <w:p w14:paraId="0687082B" w14:textId="77777777" w:rsidR="00D930D9" w:rsidRPr="00A058B6" w:rsidRDefault="00D930D9" w:rsidP="00D930D9">
      <w:pPr>
        <w:pStyle w:val="subsection"/>
      </w:pPr>
      <w:r w:rsidRPr="00A058B6">
        <w:tab/>
        <w:t>(3)</w:t>
      </w:r>
      <w:r w:rsidRPr="00A058B6">
        <w:tab/>
        <w:t>This section applies for the superannuation interest if:</w:t>
      </w:r>
    </w:p>
    <w:p w14:paraId="05511485" w14:textId="77777777" w:rsidR="00D930D9" w:rsidRPr="00A058B6" w:rsidRDefault="00D930D9" w:rsidP="00D930D9">
      <w:pPr>
        <w:pStyle w:val="paragraph"/>
      </w:pPr>
      <w:r w:rsidRPr="00A058B6">
        <w:tab/>
        <w:t>(a)</w:t>
      </w:r>
      <w:r w:rsidRPr="00A058B6">
        <w:tab/>
        <w:t>the interest is in a regulated superannuation fund, an exempt public sector superannuation scheme or an approved deposit fund; and</w:t>
      </w:r>
    </w:p>
    <w:p w14:paraId="128CDCF4" w14:textId="77777777" w:rsidR="00D930D9" w:rsidRPr="00A058B6" w:rsidRDefault="00D930D9" w:rsidP="00D930D9">
      <w:pPr>
        <w:pStyle w:val="paragraph"/>
      </w:pPr>
      <w:r w:rsidRPr="00A058B6">
        <w:tab/>
        <w:t>(b)</w:t>
      </w:r>
      <w:r w:rsidRPr="00A058B6">
        <w:tab/>
        <w:t>at the operative time in relation to the agreement or order, the member spouse was being paid a pension in respect of the interest; and</w:t>
      </w:r>
    </w:p>
    <w:p w14:paraId="41053DAE" w14:textId="57835A8F" w:rsidR="00D930D9" w:rsidRPr="00A058B6" w:rsidRDefault="00D930D9" w:rsidP="00D930D9">
      <w:pPr>
        <w:pStyle w:val="paragraph"/>
      </w:pPr>
      <w:r w:rsidRPr="00A058B6">
        <w:tab/>
        <w:t>(c)</w:t>
      </w:r>
      <w:r w:rsidRPr="00A058B6">
        <w:tab/>
        <w:t>the trustee of the relevant eligible superannuation plan has, in respect of the non</w:t>
      </w:r>
      <w:r w:rsidR="001952B3">
        <w:noBreakHyphen/>
      </w:r>
      <w:r w:rsidRPr="00A058B6">
        <w:t>member spouse’s entitlement under the agreement or order, paid to the non</w:t>
      </w:r>
      <w:r w:rsidR="001952B3">
        <w:noBreakHyphen/>
      </w:r>
      <w:r w:rsidRPr="00A058B6">
        <w:t>member spouse an amount with a value of at least the value of the non</w:t>
      </w:r>
      <w:r w:rsidR="001952B3">
        <w:noBreakHyphen/>
      </w:r>
      <w:r w:rsidRPr="00A058B6">
        <w:t>member spouse’s entitlement for the superannuation interest at the time of the payment</w:t>
      </w:r>
      <w:r w:rsidR="00D7157D">
        <w:t>.</w:t>
      </w:r>
    </w:p>
    <w:p w14:paraId="011C092B" w14:textId="6AFE74BA" w:rsidR="00D930D9" w:rsidRPr="00A058B6" w:rsidRDefault="00D930D9" w:rsidP="00D930D9">
      <w:pPr>
        <w:pStyle w:val="SubsectionHead"/>
      </w:pPr>
      <w:r w:rsidRPr="00A058B6">
        <w:t>Trustee pays the non</w:t>
      </w:r>
      <w:r w:rsidR="001952B3">
        <w:noBreakHyphen/>
      </w:r>
      <w:r w:rsidRPr="00A058B6">
        <w:t>member spouse an amount equal to the non</w:t>
      </w:r>
      <w:r w:rsidR="001952B3">
        <w:noBreakHyphen/>
      </w:r>
      <w:r w:rsidRPr="00A058B6">
        <w:t>member spouse’s entitlement</w:t>
      </w:r>
    </w:p>
    <w:p w14:paraId="2B9858A4" w14:textId="77777777" w:rsidR="00D930D9" w:rsidRPr="00A058B6" w:rsidRDefault="00D930D9" w:rsidP="00D930D9">
      <w:pPr>
        <w:pStyle w:val="subsection"/>
      </w:pPr>
      <w:r w:rsidRPr="00A058B6">
        <w:tab/>
        <w:t>(4)</w:t>
      </w:r>
      <w:r w:rsidRPr="00A058B6">
        <w:tab/>
        <w:t>This section applies for the superannuation interest if:</w:t>
      </w:r>
    </w:p>
    <w:p w14:paraId="0E8D50E4" w14:textId="77777777" w:rsidR="00D930D9" w:rsidRPr="00A058B6" w:rsidRDefault="00D930D9" w:rsidP="00D930D9">
      <w:pPr>
        <w:pStyle w:val="paragraph"/>
      </w:pPr>
      <w:r w:rsidRPr="00A058B6">
        <w:tab/>
        <w:t>(a)</w:t>
      </w:r>
      <w:r w:rsidRPr="00A058B6">
        <w:tab/>
        <w:t>the interest is in a superannuation fund that is neither a regulated superannuation fund nor an exempt public sector superannuation scheme; and</w:t>
      </w:r>
    </w:p>
    <w:p w14:paraId="5E64FA7A" w14:textId="73CD40B4" w:rsidR="00D930D9" w:rsidRPr="00A058B6" w:rsidRDefault="00D930D9" w:rsidP="00D930D9">
      <w:pPr>
        <w:pStyle w:val="paragraph"/>
      </w:pPr>
      <w:r w:rsidRPr="00A058B6">
        <w:tab/>
        <w:t>(b)</w:t>
      </w:r>
      <w:r w:rsidRPr="00A058B6">
        <w:tab/>
        <w:t>the trustee of the relevant eligible superannuation plan has, in respect of the non</w:t>
      </w:r>
      <w:r w:rsidR="001952B3">
        <w:noBreakHyphen/>
      </w:r>
      <w:r w:rsidRPr="00A058B6">
        <w:t>member spouse’s entitlement under the agreement or order, paid to the non</w:t>
      </w:r>
      <w:r w:rsidR="001952B3">
        <w:noBreakHyphen/>
      </w:r>
      <w:r w:rsidRPr="00A058B6">
        <w:t>member spouse an amount with a value of at least the value of the non</w:t>
      </w:r>
      <w:r w:rsidR="001952B3">
        <w:noBreakHyphen/>
      </w:r>
      <w:r w:rsidRPr="00A058B6">
        <w:t>member spouse’s entitlement for the superannuation interest at the time of the payment; and</w:t>
      </w:r>
    </w:p>
    <w:p w14:paraId="62EA12FE" w14:textId="77777777" w:rsidR="00D930D9" w:rsidRPr="00A058B6" w:rsidRDefault="00D930D9" w:rsidP="00D930D9">
      <w:pPr>
        <w:pStyle w:val="paragraph"/>
      </w:pPr>
      <w:r w:rsidRPr="00A058B6">
        <w:tab/>
        <w:t>(c)</w:t>
      </w:r>
      <w:r w:rsidRPr="00A058B6">
        <w:tab/>
        <w:t>the interest was in the payment phase at the time of the payment</w:t>
      </w:r>
      <w:r w:rsidR="00D7157D">
        <w:t>.</w:t>
      </w:r>
    </w:p>
    <w:p w14:paraId="48E77563" w14:textId="77777777" w:rsidR="00D930D9" w:rsidRPr="00A058B6" w:rsidRDefault="00D930D9" w:rsidP="00D930D9">
      <w:pPr>
        <w:pStyle w:val="SubsectionHead"/>
      </w:pPr>
      <w:r w:rsidRPr="00A058B6">
        <w:lastRenderedPageBreak/>
        <w:t>Trustee need not have done anything mentioned in this section</w:t>
      </w:r>
    </w:p>
    <w:p w14:paraId="728F2C01" w14:textId="77777777" w:rsidR="00D930D9" w:rsidRPr="00A058B6" w:rsidRDefault="00D930D9" w:rsidP="00D930D9">
      <w:pPr>
        <w:pStyle w:val="subsection"/>
      </w:pPr>
      <w:r w:rsidRPr="00A058B6">
        <w:tab/>
        <w:t>(5)</w:t>
      </w:r>
      <w:r w:rsidRPr="00A058B6">
        <w:tab/>
        <w:t>To avoid doubt, nothing in a subsection of this section requires the trustee of the relevant eligible superannuation plan to do something mentioned in that subsection</w:t>
      </w:r>
      <w:r w:rsidR="00D7157D">
        <w:t>.</w:t>
      </w:r>
    </w:p>
    <w:p w14:paraId="799828C8" w14:textId="191DCF64" w:rsidR="00D930D9" w:rsidRPr="00A058B6" w:rsidRDefault="00485CC2" w:rsidP="00D930D9">
      <w:pPr>
        <w:pStyle w:val="ActHead5"/>
      </w:pPr>
      <w:bookmarkStart w:id="43" w:name="_Toc188350530"/>
      <w:r w:rsidRPr="00423C34">
        <w:rPr>
          <w:rStyle w:val="CharSectno"/>
        </w:rPr>
        <w:t>28</w:t>
      </w:r>
      <w:r w:rsidR="00D930D9" w:rsidRPr="00A058B6">
        <w:t xml:space="preserve">  Other circumstance—public sector superannuation schemes </w:t>
      </w:r>
      <w:r w:rsidR="00D930D9">
        <w:t>in which</w:t>
      </w:r>
      <w:r w:rsidR="00D930D9" w:rsidRPr="00A058B6">
        <w:t xml:space="preserve"> a separate entitlement arises for the non</w:t>
      </w:r>
      <w:r w:rsidR="001952B3">
        <w:noBreakHyphen/>
      </w:r>
      <w:r w:rsidR="00D930D9" w:rsidRPr="00A058B6">
        <w:t>member spouse</w:t>
      </w:r>
      <w:bookmarkEnd w:id="43"/>
    </w:p>
    <w:p w14:paraId="5D617BC3" w14:textId="77777777" w:rsidR="00D930D9" w:rsidRPr="00A058B6" w:rsidRDefault="00D930D9" w:rsidP="00D930D9">
      <w:pPr>
        <w:pStyle w:val="subsection"/>
      </w:pPr>
      <w:r w:rsidRPr="00A058B6">
        <w:tab/>
      </w:r>
      <w:r w:rsidRPr="00A058B6">
        <w:tab/>
        <w:t>This section applies for the superannuation interest if:</w:t>
      </w:r>
    </w:p>
    <w:p w14:paraId="7FD5D276" w14:textId="77777777" w:rsidR="00D930D9" w:rsidRPr="00A058B6" w:rsidRDefault="00D930D9" w:rsidP="00D930D9">
      <w:pPr>
        <w:pStyle w:val="paragraph"/>
      </w:pPr>
      <w:r w:rsidRPr="00A058B6">
        <w:tab/>
        <w:t>(a)</w:t>
      </w:r>
      <w:r w:rsidRPr="00A058B6">
        <w:tab/>
        <w:t xml:space="preserve">the interest is in a public sector superannuation scheme (the </w:t>
      </w:r>
      <w:r w:rsidRPr="00A058B6">
        <w:rPr>
          <w:b/>
          <w:i/>
        </w:rPr>
        <w:t>original scheme</w:t>
      </w:r>
      <w:r w:rsidRPr="00A058B6">
        <w:t>); and</w:t>
      </w:r>
    </w:p>
    <w:p w14:paraId="48F7E4EA" w14:textId="3A57F70E" w:rsidR="00D930D9" w:rsidRPr="00A058B6" w:rsidRDefault="00D930D9" w:rsidP="00D930D9">
      <w:pPr>
        <w:pStyle w:val="paragraph"/>
      </w:pPr>
      <w:r w:rsidRPr="00A058B6">
        <w:tab/>
        <w:t>(b)</w:t>
      </w:r>
      <w:r w:rsidRPr="00A058B6">
        <w:tab/>
        <w:t>at or after the operative time in relation to the agreement or order, and under the governing rules of the original scheme or under the governing rules of another public sector superannuation scheme, a separate entitlement to benefits has arisen for the non</w:t>
      </w:r>
      <w:r w:rsidR="001952B3">
        <w:noBreakHyphen/>
      </w:r>
      <w:r w:rsidRPr="00A058B6">
        <w:t>member spouse:</w:t>
      </w:r>
    </w:p>
    <w:p w14:paraId="6915BC26" w14:textId="2D8F35F5" w:rsidR="00D930D9" w:rsidRPr="00A058B6" w:rsidRDefault="00D930D9" w:rsidP="00D930D9">
      <w:pPr>
        <w:pStyle w:val="paragraphsub"/>
      </w:pPr>
      <w:r w:rsidRPr="00A058B6">
        <w:tab/>
        <w:t>(i)</w:t>
      </w:r>
      <w:r w:rsidRPr="00A058B6">
        <w:tab/>
        <w:t>in respect of the non</w:t>
      </w:r>
      <w:r w:rsidR="001952B3">
        <w:noBreakHyphen/>
      </w:r>
      <w:r w:rsidRPr="00A058B6">
        <w:t>member spouse’s entitlement under the agreement or order; and</w:t>
      </w:r>
    </w:p>
    <w:p w14:paraId="01DFE12A" w14:textId="5F76DBCA" w:rsidR="00D930D9" w:rsidRPr="00A058B6" w:rsidRDefault="00D930D9" w:rsidP="00D930D9">
      <w:pPr>
        <w:pStyle w:val="paragraphsub"/>
      </w:pPr>
      <w:r w:rsidRPr="00A058B6">
        <w:tab/>
        <w:t>(ii)</w:t>
      </w:r>
      <w:r w:rsidRPr="00A058B6">
        <w:tab/>
        <w:t>with a value of at least the value of the non</w:t>
      </w:r>
      <w:r w:rsidR="001952B3">
        <w:noBreakHyphen/>
      </w:r>
      <w:r w:rsidRPr="00A058B6">
        <w:t>member spouse’s entitlement for the superannuation interest at the time the separate entitlement arose; and</w:t>
      </w:r>
    </w:p>
    <w:p w14:paraId="04CDB631" w14:textId="77777777" w:rsidR="00D930D9" w:rsidRPr="00A058B6" w:rsidRDefault="00D930D9" w:rsidP="00D930D9">
      <w:pPr>
        <w:pStyle w:val="paragraph"/>
      </w:pPr>
      <w:r w:rsidRPr="00A058B6">
        <w:tab/>
        <w:t>(c)</w:t>
      </w:r>
      <w:r w:rsidRPr="00A058B6">
        <w:tab/>
        <w:t>the interest was in the payment phase at the time the separate entitlement arose; and</w:t>
      </w:r>
    </w:p>
    <w:p w14:paraId="62D3368A" w14:textId="7BECD4C3" w:rsidR="00D930D9" w:rsidRPr="00A058B6" w:rsidRDefault="00D930D9" w:rsidP="00D930D9">
      <w:pPr>
        <w:pStyle w:val="paragraph"/>
      </w:pPr>
      <w:r w:rsidRPr="00A058B6">
        <w:tab/>
        <w:t>(d)</w:t>
      </w:r>
      <w:r w:rsidRPr="00A058B6">
        <w:tab/>
        <w:t>where the interest is a defined benefit interest—the governing rules of the original scheme do not provide for the reduction of the benefit payable to any other member of the scheme (other than the member spouse or a reversionary beneficiary of the member spouse) as a result of the non</w:t>
      </w:r>
      <w:r w:rsidR="001952B3">
        <w:noBreakHyphen/>
      </w:r>
      <w:r w:rsidRPr="00A058B6">
        <w:t>member spouse’s separate entitlement</w:t>
      </w:r>
      <w:r w:rsidR="00D7157D">
        <w:t>.</w:t>
      </w:r>
    </w:p>
    <w:p w14:paraId="0E7C1120" w14:textId="0BD0C919" w:rsidR="00D930D9" w:rsidRPr="00A058B6" w:rsidRDefault="00485CC2" w:rsidP="00D930D9">
      <w:pPr>
        <w:pStyle w:val="ActHead5"/>
      </w:pPr>
      <w:bookmarkStart w:id="44" w:name="_Toc188350531"/>
      <w:r w:rsidRPr="00423C34">
        <w:rPr>
          <w:rStyle w:val="CharSectno"/>
        </w:rPr>
        <w:t>29</w:t>
      </w:r>
      <w:r w:rsidR="00D930D9" w:rsidRPr="00A058B6">
        <w:t xml:space="preserve">  Meaning of </w:t>
      </w:r>
      <w:r w:rsidR="00D930D9" w:rsidRPr="00A058B6">
        <w:rPr>
          <w:i/>
        </w:rPr>
        <w:t>value of the non</w:t>
      </w:r>
      <w:r w:rsidR="001952B3">
        <w:rPr>
          <w:i/>
        </w:rPr>
        <w:noBreakHyphen/>
      </w:r>
      <w:r w:rsidR="00D930D9" w:rsidRPr="00A058B6">
        <w:rPr>
          <w:i/>
        </w:rPr>
        <w:t>member spouse’s entitlement</w:t>
      </w:r>
      <w:bookmarkEnd w:id="44"/>
    </w:p>
    <w:p w14:paraId="48A9B77D" w14:textId="418BAF71" w:rsidR="00D930D9" w:rsidRPr="00A058B6" w:rsidRDefault="00D930D9" w:rsidP="00D930D9">
      <w:pPr>
        <w:pStyle w:val="subsection"/>
      </w:pPr>
      <w:r w:rsidRPr="00A058B6">
        <w:tab/>
        <w:t>(1)</w:t>
      </w:r>
      <w:r w:rsidRPr="00A058B6">
        <w:tab/>
        <w:t xml:space="preserve">In this Subdivision, the </w:t>
      </w:r>
      <w:r w:rsidRPr="00A058B6">
        <w:rPr>
          <w:b/>
          <w:i/>
        </w:rPr>
        <w:t>value of the non</w:t>
      </w:r>
      <w:r w:rsidR="001952B3">
        <w:rPr>
          <w:b/>
          <w:i/>
        </w:rPr>
        <w:noBreakHyphen/>
      </w:r>
      <w:r w:rsidRPr="00A058B6">
        <w:rPr>
          <w:b/>
          <w:i/>
        </w:rPr>
        <w:t>member spouse’s entitlement</w:t>
      </w:r>
      <w:r w:rsidRPr="00A058B6">
        <w:t xml:space="preserve"> for the superannuation interest at a particular time is:</w:t>
      </w:r>
    </w:p>
    <w:p w14:paraId="31F11F76" w14:textId="3954FC34" w:rsidR="00D930D9" w:rsidRPr="00A058B6" w:rsidRDefault="00D930D9" w:rsidP="00D930D9">
      <w:pPr>
        <w:pStyle w:val="paragraph"/>
      </w:pPr>
      <w:r w:rsidRPr="00A058B6">
        <w:tab/>
        <w:t>(a)</w:t>
      </w:r>
      <w:r w:rsidRPr="00A058B6">
        <w:tab/>
        <w:t xml:space="preserve">the value at that time calculated in accordance with </w:t>
      </w:r>
      <w:r w:rsidR="00AB0143">
        <w:t>Part 2</w:t>
      </w:r>
      <w:r w:rsidRPr="00A058B6">
        <w:t xml:space="preserve"> of Schedule </w:t>
      </w:r>
      <w:r w:rsidR="00843545">
        <w:t>2</w:t>
      </w:r>
      <w:r w:rsidRPr="00A058B6">
        <w:t>, if:</w:t>
      </w:r>
    </w:p>
    <w:p w14:paraId="0A50BEAC" w14:textId="3A73DEC7" w:rsidR="00D930D9" w:rsidRPr="00A058B6" w:rsidRDefault="00D930D9" w:rsidP="00D930D9">
      <w:pPr>
        <w:pStyle w:val="paragraphsub"/>
      </w:pPr>
      <w:r w:rsidRPr="00A058B6">
        <w:tab/>
        <w:t>(i)</w:t>
      </w:r>
      <w:r w:rsidRPr="00A058B6">
        <w:tab/>
        <w:t xml:space="preserve">the superannuation agreement or flag lifting agreement identified the percentage that was to apply for the purposes of </w:t>
      </w:r>
      <w:r w:rsidR="00FE15C4">
        <w:t>subparagraph 9</w:t>
      </w:r>
      <w:r w:rsidRPr="00A058B6">
        <w:t>0XJ(1)(b)(i) or 90YN(1)(b)(i) of the Act; and</w:t>
      </w:r>
    </w:p>
    <w:p w14:paraId="56AF86ED" w14:textId="28AC7B4E" w:rsidR="00D930D9" w:rsidRPr="00A058B6" w:rsidRDefault="00D930D9" w:rsidP="00D930D9">
      <w:pPr>
        <w:pStyle w:val="paragraphsub"/>
      </w:pPr>
      <w:r w:rsidRPr="00A058B6">
        <w:tab/>
        <w:t>(ii)</w:t>
      </w:r>
      <w:r w:rsidRPr="00A058B6">
        <w:tab/>
        <w:t xml:space="preserve">the splitting order was made under </w:t>
      </w:r>
      <w:r w:rsidR="00FE15C4">
        <w:t>paragraph 9</w:t>
      </w:r>
      <w:r w:rsidRPr="00A058B6">
        <w:t>0XT(1)(c) or 90YY(1)(c) of the Act; or</w:t>
      </w:r>
    </w:p>
    <w:p w14:paraId="26D82603" w14:textId="77777777" w:rsidR="00D930D9" w:rsidRPr="00A058B6" w:rsidRDefault="00D930D9" w:rsidP="00D930D9">
      <w:pPr>
        <w:pStyle w:val="paragraph"/>
      </w:pPr>
      <w:r w:rsidRPr="00A058B6">
        <w:tab/>
        <w:t>(b)</w:t>
      </w:r>
      <w:r w:rsidRPr="00A058B6">
        <w:tab/>
        <w:t xml:space="preserve">the value at that time calculated in accordance with </w:t>
      </w:r>
      <w:r w:rsidR="006211C7">
        <w:t>Part 3</w:t>
      </w:r>
      <w:r w:rsidRPr="00A058B6">
        <w:t xml:space="preserve"> of Schedule </w:t>
      </w:r>
      <w:r w:rsidR="00843545">
        <w:t>2</w:t>
      </w:r>
      <w:r w:rsidRPr="00A058B6">
        <w:t>, if:</w:t>
      </w:r>
    </w:p>
    <w:p w14:paraId="4D371ADA" w14:textId="6286622D" w:rsidR="00D930D9" w:rsidRPr="00A058B6" w:rsidRDefault="00D930D9" w:rsidP="00D930D9">
      <w:pPr>
        <w:pStyle w:val="paragraphsub"/>
      </w:pPr>
      <w:r w:rsidRPr="00A058B6">
        <w:tab/>
        <w:t>(i)</w:t>
      </w:r>
      <w:r w:rsidRPr="00A058B6">
        <w:tab/>
        <w:t xml:space="preserve">the superannuation agreement or flag lifting agreement identified a percentage that was to apply for the purposes of </w:t>
      </w:r>
      <w:r w:rsidR="00FE15C4">
        <w:t>subparagraph 9</w:t>
      </w:r>
      <w:r w:rsidRPr="00A058B6">
        <w:t>0XJ(1)(b)(ii) or 90YN(1)(b)(ii) of the Act; and</w:t>
      </w:r>
    </w:p>
    <w:p w14:paraId="560E0E43" w14:textId="0CE751F6" w:rsidR="00D930D9" w:rsidRPr="00A058B6" w:rsidRDefault="00D930D9" w:rsidP="00D930D9">
      <w:pPr>
        <w:pStyle w:val="paragraphsub"/>
      </w:pPr>
      <w:r w:rsidRPr="00A058B6">
        <w:tab/>
        <w:t>(ii)</w:t>
      </w:r>
      <w:r w:rsidRPr="00A058B6">
        <w:tab/>
        <w:t xml:space="preserve">the splitting order was made under </w:t>
      </w:r>
      <w:r w:rsidR="00FE15C4">
        <w:t>paragraph 9</w:t>
      </w:r>
      <w:r w:rsidRPr="00A058B6">
        <w:t>0XT(1)(b) or 90YY(1)(b) of the Act</w:t>
      </w:r>
      <w:r w:rsidR="00D7157D">
        <w:t>.</w:t>
      </w:r>
    </w:p>
    <w:p w14:paraId="7445FDD9" w14:textId="0A30D8C0" w:rsidR="00D930D9" w:rsidRPr="00A058B6" w:rsidRDefault="00D930D9" w:rsidP="00D930D9">
      <w:pPr>
        <w:pStyle w:val="ActHead4"/>
      </w:pPr>
      <w:bookmarkStart w:id="45" w:name="_Toc188350532"/>
      <w:r w:rsidRPr="00423C34">
        <w:rPr>
          <w:rStyle w:val="CharSubdNo"/>
        </w:rPr>
        <w:lastRenderedPageBreak/>
        <w:t>Subdivision B</w:t>
      </w:r>
      <w:r w:rsidRPr="00A058B6">
        <w:t>—</w:t>
      </w:r>
      <w:r w:rsidRPr="00423C34">
        <w:rPr>
          <w:rStyle w:val="CharSubdText"/>
        </w:rPr>
        <w:t>New deferred annuity established, or amount transferred or rolled over or paid, by trustee of deferred annuity in satisfaction of non</w:t>
      </w:r>
      <w:r w:rsidR="001952B3" w:rsidRPr="00423C34">
        <w:rPr>
          <w:rStyle w:val="CharSubdText"/>
        </w:rPr>
        <w:noBreakHyphen/>
      </w:r>
      <w:r w:rsidRPr="00423C34">
        <w:rPr>
          <w:rStyle w:val="CharSubdText"/>
        </w:rPr>
        <w:t>member spouse’s entitlement under agreement or order</w:t>
      </w:r>
      <w:bookmarkEnd w:id="45"/>
    </w:p>
    <w:p w14:paraId="3C28620C" w14:textId="38034F9F" w:rsidR="00D930D9" w:rsidRPr="00A058B6" w:rsidRDefault="00485CC2" w:rsidP="00D930D9">
      <w:pPr>
        <w:pStyle w:val="ActHead5"/>
      </w:pPr>
      <w:bookmarkStart w:id="46" w:name="_Toc188350533"/>
      <w:r w:rsidRPr="00423C34">
        <w:rPr>
          <w:rStyle w:val="CharSectno"/>
        </w:rPr>
        <w:t>30</w:t>
      </w:r>
      <w:r w:rsidR="00D930D9" w:rsidRPr="00A058B6">
        <w:t xml:space="preserve">  Requirements of this Subdivision</w:t>
      </w:r>
      <w:bookmarkEnd w:id="46"/>
    </w:p>
    <w:p w14:paraId="744635B5" w14:textId="5B4C9474" w:rsidR="00D930D9" w:rsidRPr="00A058B6" w:rsidRDefault="00D930D9" w:rsidP="00D930D9">
      <w:pPr>
        <w:pStyle w:val="subsection"/>
        <w:rPr>
          <w:snapToGrid w:val="0"/>
        </w:rPr>
      </w:pPr>
      <w:r w:rsidRPr="00A058B6">
        <w:tab/>
      </w:r>
      <w:r w:rsidRPr="00A058B6">
        <w:tab/>
        <w:t>The requirements of this Subdivision are met for a non</w:t>
      </w:r>
      <w:r w:rsidR="001952B3">
        <w:noBreakHyphen/>
      </w:r>
      <w:r w:rsidRPr="00A058B6">
        <w:t xml:space="preserve">member spouse’s entitlement </w:t>
      </w:r>
      <w:r w:rsidRPr="00A058B6">
        <w:rPr>
          <w:snapToGrid w:val="0"/>
        </w:rPr>
        <w:t>under a particular superannuation agreement, flag lifting agreement or splitting order in respect of a superannuation interest if:</w:t>
      </w:r>
    </w:p>
    <w:p w14:paraId="4487484E" w14:textId="77777777" w:rsidR="00D930D9" w:rsidRPr="00A058B6" w:rsidRDefault="00D930D9" w:rsidP="00D930D9">
      <w:pPr>
        <w:pStyle w:val="paragraph"/>
      </w:pPr>
      <w:r w:rsidRPr="00A058B6">
        <w:tab/>
        <w:t>(a)</w:t>
      </w:r>
      <w:r w:rsidRPr="00A058B6">
        <w:tab/>
        <w:t>the interest:</w:t>
      </w:r>
    </w:p>
    <w:p w14:paraId="14EDB360" w14:textId="182E5C85" w:rsidR="00D930D9" w:rsidRPr="00A058B6" w:rsidRDefault="00D930D9" w:rsidP="00D930D9">
      <w:pPr>
        <w:pStyle w:val="paragraphsub"/>
      </w:pPr>
      <w:r w:rsidRPr="00A058B6">
        <w:tab/>
        <w:t>(i)</w:t>
      </w:r>
      <w:r w:rsidRPr="00A058B6">
        <w:tab/>
        <w:t>is a percentage</w:t>
      </w:r>
      <w:r w:rsidR="001952B3">
        <w:noBreakHyphen/>
      </w:r>
      <w:r w:rsidRPr="00A058B6">
        <w:t>only interest; and</w:t>
      </w:r>
    </w:p>
    <w:p w14:paraId="7E0737F2" w14:textId="77777777" w:rsidR="00D930D9" w:rsidRPr="00A058B6" w:rsidRDefault="00D930D9" w:rsidP="00D930D9">
      <w:pPr>
        <w:pStyle w:val="paragraphsub"/>
      </w:pPr>
      <w:r w:rsidRPr="00A058B6">
        <w:tab/>
        <w:t>(ii)</w:t>
      </w:r>
      <w:r w:rsidRPr="00A058B6">
        <w:tab/>
        <w:t>is in a superannuation annuity that is a deferred annuity; and</w:t>
      </w:r>
    </w:p>
    <w:p w14:paraId="75FA4974" w14:textId="5CA91779" w:rsidR="00D930D9" w:rsidRPr="00A058B6" w:rsidRDefault="00D930D9" w:rsidP="00D930D9">
      <w:pPr>
        <w:pStyle w:val="paragraph"/>
      </w:pPr>
      <w:r w:rsidRPr="00A058B6">
        <w:tab/>
        <w:t>(b)</w:t>
      </w:r>
      <w:r w:rsidRPr="00A058B6">
        <w:tab/>
      </w:r>
      <w:r w:rsidR="00CB78B9">
        <w:t>section 3</w:t>
      </w:r>
      <w:r w:rsidR="00485CC2">
        <w:t>1</w:t>
      </w:r>
      <w:r w:rsidRPr="00A058B6">
        <w:t xml:space="preserve"> applies for the interest</w:t>
      </w:r>
      <w:r w:rsidR="00D7157D">
        <w:t>.</w:t>
      </w:r>
    </w:p>
    <w:p w14:paraId="1DE0E1CD" w14:textId="3CF466C3" w:rsidR="00D930D9" w:rsidRPr="00A058B6" w:rsidRDefault="00D930D9" w:rsidP="00D930D9">
      <w:pPr>
        <w:pStyle w:val="notetext"/>
      </w:pPr>
      <w:r w:rsidRPr="00A058B6">
        <w:t>Note:</w:t>
      </w:r>
      <w:r w:rsidRPr="00A058B6">
        <w:tab/>
        <w:t xml:space="preserve">To see if </w:t>
      </w:r>
      <w:r w:rsidR="00CB78B9">
        <w:t>section 3</w:t>
      </w:r>
      <w:r w:rsidR="00485CC2">
        <w:t>1</w:t>
      </w:r>
      <w:r w:rsidRPr="00A058B6">
        <w:t xml:space="preserve"> applies, see </w:t>
      </w:r>
      <w:r w:rsidR="00CB78B9">
        <w:t>subsection 3</w:t>
      </w:r>
      <w:r w:rsidR="00485CC2">
        <w:t>1</w:t>
      </w:r>
      <w:r w:rsidRPr="00A058B6">
        <w:t>(1), (2), (3) or (5)</w:t>
      </w:r>
      <w:r w:rsidR="00D7157D">
        <w:t>.</w:t>
      </w:r>
    </w:p>
    <w:p w14:paraId="48866CEE" w14:textId="29702230" w:rsidR="00D930D9" w:rsidRPr="00A058B6" w:rsidRDefault="00485CC2" w:rsidP="00D930D9">
      <w:pPr>
        <w:pStyle w:val="ActHead5"/>
      </w:pPr>
      <w:bookmarkStart w:id="47" w:name="_Toc188350534"/>
      <w:r w:rsidRPr="00423C34">
        <w:rPr>
          <w:rStyle w:val="CharSectno"/>
        </w:rPr>
        <w:t>31</w:t>
      </w:r>
      <w:r w:rsidR="00D930D9" w:rsidRPr="00A058B6">
        <w:t xml:space="preserve">  Circumstances when this Subdivision applies</w:t>
      </w:r>
      <w:bookmarkEnd w:id="47"/>
    </w:p>
    <w:p w14:paraId="680DBB34" w14:textId="29C204F6" w:rsidR="00D930D9" w:rsidRPr="00A058B6" w:rsidRDefault="00D930D9" w:rsidP="00D930D9">
      <w:pPr>
        <w:pStyle w:val="SubsectionHead"/>
      </w:pPr>
      <w:r w:rsidRPr="00A058B6">
        <w:t>Non</w:t>
      </w:r>
      <w:r w:rsidR="001952B3">
        <w:noBreakHyphen/>
      </w:r>
      <w:r w:rsidRPr="00A058B6">
        <w:t>member spouse satisfies relevant condition of release and trustee pays that spouse an amount equal to that spouse’s entitlement</w:t>
      </w:r>
    </w:p>
    <w:p w14:paraId="71D3A470" w14:textId="77777777" w:rsidR="00D930D9" w:rsidRPr="00A058B6" w:rsidRDefault="00D930D9" w:rsidP="00D930D9">
      <w:pPr>
        <w:pStyle w:val="subsection"/>
      </w:pPr>
      <w:r w:rsidRPr="00A058B6">
        <w:tab/>
        <w:t>(1)</w:t>
      </w:r>
      <w:r w:rsidRPr="00A058B6">
        <w:tab/>
        <w:t>This section applies for the superannuation interest if:</w:t>
      </w:r>
    </w:p>
    <w:p w14:paraId="5F5841C4" w14:textId="5CA363F0" w:rsidR="00D930D9" w:rsidRPr="00A058B6" w:rsidRDefault="00D930D9" w:rsidP="00D930D9">
      <w:pPr>
        <w:pStyle w:val="paragraph"/>
      </w:pPr>
      <w:r w:rsidRPr="00A058B6">
        <w:tab/>
        <w:t>(a)</w:t>
      </w:r>
      <w:r w:rsidRPr="00A058B6">
        <w:tab/>
        <w:t>the non</w:t>
      </w:r>
      <w:r w:rsidR="001952B3">
        <w:noBreakHyphen/>
      </w:r>
      <w:r w:rsidRPr="00A058B6">
        <w:t>member spouse has satisfied a relevant condition of release in relation to the interest; and</w:t>
      </w:r>
    </w:p>
    <w:p w14:paraId="57DFD764" w14:textId="6E0ED373" w:rsidR="00D930D9" w:rsidRPr="00A058B6" w:rsidRDefault="00D930D9" w:rsidP="00D930D9">
      <w:pPr>
        <w:pStyle w:val="paragraph"/>
      </w:pPr>
      <w:r w:rsidRPr="00A058B6">
        <w:tab/>
        <w:t>(b)</w:t>
      </w:r>
      <w:r w:rsidRPr="00A058B6">
        <w:tab/>
        <w:t>the trustee of the superannuation annuity has, in respect of the non</w:t>
      </w:r>
      <w:r w:rsidR="001952B3">
        <w:noBreakHyphen/>
      </w:r>
      <w:r w:rsidRPr="00A058B6">
        <w:t>member spouse’s entitlement under the agreement or order, paid to the non</w:t>
      </w:r>
      <w:r w:rsidR="001952B3">
        <w:noBreakHyphen/>
      </w:r>
      <w:r w:rsidRPr="00A058B6">
        <w:t>member spouse an amount equal to the value of the non</w:t>
      </w:r>
      <w:r w:rsidR="001952B3">
        <w:noBreakHyphen/>
      </w:r>
      <w:r w:rsidRPr="00A058B6">
        <w:t>member spouse’s entitlement for the superannuation interest at the time of the payment; and</w:t>
      </w:r>
    </w:p>
    <w:p w14:paraId="4156F357" w14:textId="77777777" w:rsidR="00D930D9" w:rsidRPr="00A058B6" w:rsidRDefault="00D930D9" w:rsidP="00D930D9">
      <w:pPr>
        <w:pStyle w:val="paragraph"/>
      </w:pPr>
      <w:r w:rsidRPr="00A058B6">
        <w:tab/>
        <w:t>(c)</w:t>
      </w:r>
      <w:r w:rsidRPr="00A058B6">
        <w:tab/>
        <w:t>the interest is in the growth phase at the time of the payment</w:t>
      </w:r>
      <w:r w:rsidR="00D7157D">
        <w:t>.</w:t>
      </w:r>
    </w:p>
    <w:p w14:paraId="3FC22C8B" w14:textId="37D3D457" w:rsidR="00D930D9" w:rsidRPr="00A058B6" w:rsidRDefault="00D930D9" w:rsidP="00D930D9">
      <w:pPr>
        <w:pStyle w:val="SubsectionHead"/>
      </w:pPr>
      <w:r w:rsidRPr="00A058B6">
        <w:t>Trustee transfers or rolls over an amount with a value equal to the non</w:t>
      </w:r>
      <w:r w:rsidR="001952B3">
        <w:noBreakHyphen/>
      </w:r>
      <w:r w:rsidRPr="00A058B6">
        <w:t>member spouse’s entitlement</w:t>
      </w:r>
    </w:p>
    <w:p w14:paraId="1733A578" w14:textId="77777777" w:rsidR="00D930D9" w:rsidRPr="00A058B6" w:rsidRDefault="00D930D9" w:rsidP="00D930D9">
      <w:pPr>
        <w:pStyle w:val="subsection"/>
      </w:pPr>
      <w:r w:rsidRPr="00A058B6">
        <w:tab/>
        <w:t>(2)</w:t>
      </w:r>
      <w:r w:rsidRPr="00A058B6">
        <w:tab/>
        <w:t>This section applies for the superannuation interest if:</w:t>
      </w:r>
    </w:p>
    <w:p w14:paraId="335F9F52" w14:textId="303DAFE3" w:rsidR="00D930D9" w:rsidRPr="00A058B6" w:rsidRDefault="00D930D9" w:rsidP="00D930D9">
      <w:pPr>
        <w:pStyle w:val="paragraph"/>
      </w:pPr>
      <w:r w:rsidRPr="00A058B6">
        <w:tab/>
        <w:t>(a)</w:t>
      </w:r>
      <w:r w:rsidRPr="00A058B6">
        <w:tab/>
        <w:t>the trustee of the superannuation annuity has, in respect of the non</w:t>
      </w:r>
      <w:r w:rsidR="001952B3">
        <w:noBreakHyphen/>
      </w:r>
      <w:r w:rsidRPr="00A058B6">
        <w:t>member spouse’s entitlement under the agreement or order, transferred or rolled over to a superannuation fund or an RSA an amount:</w:t>
      </w:r>
    </w:p>
    <w:p w14:paraId="766FE580" w14:textId="6CA32445" w:rsidR="00D930D9" w:rsidRPr="00A058B6" w:rsidRDefault="00D930D9" w:rsidP="00D930D9">
      <w:pPr>
        <w:pStyle w:val="paragraphsub"/>
      </w:pPr>
      <w:r w:rsidRPr="00A058B6">
        <w:tab/>
        <w:t>(i)</w:t>
      </w:r>
      <w:r w:rsidRPr="00A058B6">
        <w:tab/>
        <w:t>to be held for the benefit of the non</w:t>
      </w:r>
      <w:r w:rsidR="001952B3">
        <w:noBreakHyphen/>
      </w:r>
      <w:r w:rsidRPr="00A058B6">
        <w:t>member spouse; and</w:t>
      </w:r>
    </w:p>
    <w:p w14:paraId="3DC4621A" w14:textId="039162F5" w:rsidR="00D930D9" w:rsidRPr="00A058B6" w:rsidRDefault="00D930D9" w:rsidP="00D930D9">
      <w:pPr>
        <w:pStyle w:val="paragraphsub"/>
      </w:pPr>
      <w:r w:rsidRPr="00A058B6">
        <w:tab/>
        <w:t>(ii)</w:t>
      </w:r>
      <w:r w:rsidRPr="00A058B6">
        <w:tab/>
        <w:t>with a value equal to the value of the non</w:t>
      </w:r>
      <w:r w:rsidR="001952B3">
        <w:noBreakHyphen/>
      </w:r>
      <w:r w:rsidRPr="00A058B6">
        <w:t>member spouse’s entitlement for the superannuation interest at the time the amount is transferred or rolled over; and</w:t>
      </w:r>
    </w:p>
    <w:p w14:paraId="31F44A00" w14:textId="77777777" w:rsidR="00D930D9" w:rsidRPr="00A058B6" w:rsidRDefault="00D930D9" w:rsidP="00D930D9">
      <w:pPr>
        <w:pStyle w:val="paragraph"/>
      </w:pPr>
      <w:r w:rsidRPr="00A058B6">
        <w:tab/>
        <w:t>(b)</w:t>
      </w:r>
      <w:r w:rsidRPr="00A058B6">
        <w:tab/>
        <w:t>the interest is in the growth phase at the time the amount is transferred or rolled over</w:t>
      </w:r>
      <w:r w:rsidR="00D7157D">
        <w:t>.</w:t>
      </w:r>
    </w:p>
    <w:p w14:paraId="03C7B194" w14:textId="1262D374" w:rsidR="00D930D9" w:rsidRPr="00A058B6" w:rsidRDefault="00D930D9" w:rsidP="00D930D9">
      <w:pPr>
        <w:pStyle w:val="SubsectionHead"/>
      </w:pPr>
      <w:r w:rsidRPr="00A058B6">
        <w:t>Trustee establishes new deferred annuity with a value equal to the non</w:t>
      </w:r>
      <w:r w:rsidR="001952B3">
        <w:noBreakHyphen/>
      </w:r>
      <w:r w:rsidRPr="00A058B6">
        <w:t>member spouse’s entitlement</w:t>
      </w:r>
    </w:p>
    <w:p w14:paraId="1EF42A7F" w14:textId="77777777" w:rsidR="00D930D9" w:rsidRPr="00A058B6" w:rsidRDefault="00D930D9" w:rsidP="00D930D9">
      <w:pPr>
        <w:pStyle w:val="subsection"/>
      </w:pPr>
      <w:r w:rsidRPr="00A058B6">
        <w:tab/>
        <w:t>(3)</w:t>
      </w:r>
      <w:r w:rsidRPr="00A058B6">
        <w:tab/>
        <w:t>This section applies for the superannuation interest if:</w:t>
      </w:r>
    </w:p>
    <w:p w14:paraId="180F18AA" w14:textId="3FED7B4B" w:rsidR="00D930D9" w:rsidRPr="00A058B6" w:rsidRDefault="00D930D9" w:rsidP="00D930D9">
      <w:pPr>
        <w:pStyle w:val="paragraph"/>
      </w:pPr>
      <w:r w:rsidRPr="00A058B6">
        <w:lastRenderedPageBreak/>
        <w:tab/>
        <w:t>(a)</w:t>
      </w:r>
      <w:r w:rsidRPr="00A058B6">
        <w:tab/>
        <w:t>the trustee of the superannuation annuity has, in respect of the non</w:t>
      </w:r>
      <w:r w:rsidR="001952B3">
        <w:noBreakHyphen/>
      </w:r>
      <w:r w:rsidRPr="00A058B6">
        <w:t>member spouse’s entitlement under the agreement or order, established a new deferred annuity that:</w:t>
      </w:r>
    </w:p>
    <w:p w14:paraId="1631F306" w14:textId="4FD2936C" w:rsidR="00D930D9" w:rsidRPr="00A058B6" w:rsidRDefault="00D930D9" w:rsidP="00D930D9">
      <w:pPr>
        <w:pStyle w:val="paragraphsub"/>
      </w:pPr>
      <w:r w:rsidRPr="00A058B6">
        <w:tab/>
        <w:t>(i)</w:t>
      </w:r>
      <w:r w:rsidRPr="00A058B6">
        <w:tab/>
        <w:t>provides for the payment of benefits to the non</w:t>
      </w:r>
      <w:r w:rsidR="001952B3">
        <w:noBreakHyphen/>
      </w:r>
      <w:r w:rsidRPr="00A058B6">
        <w:t>member spouse; and</w:t>
      </w:r>
    </w:p>
    <w:p w14:paraId="1544E8AD" w14:textId="77777777" w:rsidR="00D930D9" w:rsidRPr="00A058B6" w:rsidRDefault="00D930D9" w:rsidP="00D930D9">
      <w:pPr>
        <w:pStyle w:val="paragraphsub"/>
      </w:pPr>
      <w:r w:rsidRPr="00A058B6">
        <w:tab/>
        <w:t>(ii)</w:t>
      </w:r>
      <w:r w:rsidRPr="00A058B6">
        <w:tab/>
        <w:t>commences no earlier than the time when, if the new deferred annuity were taken to be an approved deposit fund for the purposes of Part 6 of the SIS Regulations, that Part would permit or require the payment of benefits from the approved deposit fund; and</w:t>
      </w:r>
    </w:p>
    <w:p w14:paraId="0F9EF0DE" w14:textId="164C7DDE" w:rsidR="00D930D9" w:rsidRPr="00A058B6" w:rsidRDefault="00D930D9" w:rsidP="00D930D9">
      <w:pPr>
        <w:pStyle w:val="paragraphsub"/>
      </w:pPr>
      <w:r w:rsidRPr="00A058B6">
        <w:tab/>
        <w:t>(iii)</w:t>
      </w:r>
      <w:r w:rsidRPr="00A058B6">
        <w:tab/>
        <w:t>has a value equal to the value of the non</w:t>
      </w:r>
      <w:r w:rsidR="001952B3">
        <w:noBreakHyphen/>
      </w:r>
      <w:r w:rsidRPr="00A058B6">
        <w:t>member spouse’s entitlement for the superannuation interest at the time the new deferred annuity is established; and</w:t>
      </w:r>
    </w:p>
    <w:p w14:paraId="5F8B3B14" w14:textId="77777777" w:rsidR="00D930D9" w:rsidRPr="00A058B6" w:rsidRDefault="00D930D9" w:rsidP="00D930D9">
      <w:pPr>
        <w:pStyle w:val="paragraph"/>
      </w:pPr>
      <w:r w:rsidRPr="00A058B6">
        <w:tab/>
        <w:t>(b)</w:t>
      </w:r>
      <w:r w:rsidRPr="00A058B6">
        <w:tab/>
        <w:t>the interest is in the growth phase at the time the new deferred annuity is established</w:t>
      </w:r>
      <w:r w:rsidR="00D7157D">
        <w:t>.</w:t>
      </w:r>
    </w:p>
    <w:p w14:paraId="7B666493" w14:textId="1D704D54" w:rsidR="00D930D9" w:rsidRPr="00A058B6" w:rsidRDefault="00D930D9" w:rsidP="00D930D9">
      <w:pPr>
        <w:pStyle w:val="subsection"/>
      </w:pPr>
      <w:r w:rsidRPr="00A058B6">
        <w:tab/>
        <w:t>(4)</w:t>
      </w:r>
      <w:r w:rsidRPr="00A058B6">
        <w:tab/>
        <w:t xml:space="preserve">For the purposes of (but without limiting) </w:t>
      </w:r>
      <w:r w:rsidR="00A52DA5">
        <w:t>subsection (</w:t>
      </w:r>
      <w:r w:rsidRPr="00A058B6">
        <w:t>3):</w:t>
      </w:r>
    </w:p>
    <w:p w14:paraId="222D5457" w14:textId="2FAD30E5" w:rsidR="00D930D9" w:rsidRPr="00A058B6" w:rsidRDefault="00D930D9" w:rsidP="00D930D9">
      <w:pPr>
        <w:pStyle w:val="paragraph"/>
      </w:pPr>
      <w:r w:rsidRPr="00A058B6">
        <w:tab/>
        <w:t>(a)</w:t>
      </w:r>
      <w:r w:rsidRPr="00A058B6">
        <w:tab/>
        <w:t>the trustee of the superannuation annuity is taken to have established a new deferred annuity for the benefit of the non</w:t>
      </w:r>
      <w:r w:rsidR="001952B3">
        <w:noBreakHyphen/>
      </w:r>
      <w:r w:rsidRPr="00A058B6">
        <w:t>member spouse if the trustee has entered into an agreement with the non</w:t>
      </w:r>
      <w:r w:rsidR="001952B3">
        <w:noBreakHyphen/>
      </w:r>
      <w:r w:rsidRPr="00A058B6">
        <w:t>member spouse to provide such an annuity for the non</w:t>
      </w:r>
      <w:r w:rsidR="001952B3">
        <w:noBreakHyphen/>
      </w:r>
      <w:r w:rsidRPr="00A058B6">
        <w:t>member spouse’s benefit; and</w:t>
      </w:r>
    </w:p>
    <w:p w14:paraId="400947AD" w14:textId="77777777" w:rsidR="00D930D9" w:rsidRPr="00A058B6" w:rsidRDefault="00D930D9" w:rsidP="00D930D9">
      <w:pPr>
        <w:pStyle w:val="paragraph"/>
      </w:pPr>
      <w:r w:rsidRPr="00A058B6">
        <w:tab/>
        <w:t>(b)</w:t>
      </w:r>
      <w:r w:rsidRPr="00A058B6">
        <w:tab/>
        <w:t>the new deferred annuity is taken to have been established on the date that agreement is entered into</w:t>
      </w:r>
      <w:r w:rsidR="00D7157D">
        <w:t>.</w:t>
      </w:r>
    </w:p>
    <w:p w14:paraId="3F0F88EC" w14:textId="2E1B4388" w:rsidR="00D930D9" w:rsidRPr="00A058B6" w:rsidRDefault="00D930D9" w:rsidP="00D930D9">
      <w:pPr>
        <w:pStyle w:val="SubsectionHead"/>
      </w:pPr>
      <w:r w:rsidRPr="00A058B6">
        <w:t>Trustee establishes new annuity, that is a non</w:t>
      </w:r>
      <w:r w:rsidR="001952B3">
        <w:noBreakHyphen/>
      </w:r>
      <w:r w:rsidRPr="00A058B6">
        <w:t>commutable income stream, with a value equal to the non</w:t>
      </w:r>
      <w:r w:rsidR="001952B3">
        <w:noBreakHyphen/>
      </w:r>
      <w:r w:rsidRPr="00A058B6">
        <w:t>member spouse’s entitlement</w:t>
      </w:r>
    </w:p>
    <w:p w14:paraId="52048DBD" w14:textId="77777777" w:rsidR="00D930D9" w:rsidRPr="00A058B6" w:rsidRDefault="00D930D9" w:rsidP="00D930D9">
      <w:pPr>
        <w:pStyle w:val="subsection"/>
      </w:pPr>
      <w:r w:rsidRPr="00A058B6">
        <w:tab/>
        <w:t>(5)</w:t>
      </w:r>
      <w:r w:rsidRPr="00A058B6">
        <w:tab/>
        <w:t>This section applies for the superannuation interest if:</w:t>
      </w:r>
    </w:p>
    <w:p w14:paraId="13BE7ADB" w14:textId="141356E8" w:rsidR="00D930D9" w:rsidRPr="00A058B6" w:rsidRDefault="00D930D9" w:rsidP="00D930D9">
      <w:pPr>
        <w:pStyle w:val="paragraph"/>
      </w:pPr>
      <w:r w:rsidRPr="00A058B6">
        <w:tab/>
        <w:t>(a)</w:t>
      </w:r>
      <w:r w:rsidRPr="00A058B6">
        <w:tab/>
        <w:t>the trustee of the superannuation annuity has, in respect of the non</w:t>
      </w:r>
      <w:r w:rsidR="001952B3">
        <w:noBreakHyphen/>
      </w:r>
      <w:r w:rsidRPr="00A058B6">
        <w:t>member spouse’s entitlement under the agreement or order, established a new annuity for the benefit of the non</w:t>
      </w:r>
      <w:r w:rsidR="001952B3">
        <w:noBreakHyphen/>
      </w:r>
      <w:r w:rsidRPr="00A058B6">
        <w:t>member spouse that:</w:t>
      </w:r>
    </w:p>
    <w:p w14:paraId="0D7BEC51" w14:textId="3D6AC65F" w:rsidR="00D930D9" w:rsidRPr="00A058B6" w:rsidRDefault="00D930D9" w:rsidP="00D930D9">
      <w:pPr>
        <w:pStyle w:val="paragraphsub"/>
      </w:pPr>
      <w:r w:rsidRPr="00A058B6">
        <w:tab/>
        <w:t>(i)</w:t>
      </w:r>
      <w:r w:rsidRPr="00A058B6">
        <w:tab/>
        <w:t>is a non</w:t>
      </w:r>
      <w:r w:rsidR="001952B3">
        <w:noBreakHyphen/>
      </w:r>
      <w:r w:rsidRPr="00A058B6">
        <w:t>commutable income stream (within the meaning of the SIS Regulations); and</w:t>
      </w:r>
    </w:p>
    <w:p w14:paraId="6625A136" w14:textId="3CE5E8A6" w:rsidR="00D930D9" w:rsidRPr="00A058B6" w:rsidRDefault="00D930D9" w:rsidP="00D930D9">
      <w:pPr>
        <w:pStyle w:val="paragraphsub"/>
      </w:pPr>
      <w:r w:rsidRPr="00A058B6">
        <w:tab/>
        <w:t>(ii)</w:t>
      </w:r>
      <w:r w:rsidRPr="00A058B6">
        <w:tab/>
        <w:t>has a value equal to the value of the non</w:t>
      </w:r>
      <w:r w:rsidR="001952B3">
        <w:noBreakHyphen/>
      </w:r>
      <w:r w:rsidRPr="00A058B6">
        <w:t>member spouse’s entitlement for the superannuation interest at the time the new annuity is established; and</w:t>
      </w:r>
    </w:p>
    <w:p w14:paraId="4CA680E3" w14:textId="77777777" w:rsidR="00D930D9" w:rsidRPr="00A058B6" w:rsidRDefault="00D930D9" w:rsidP="00D930D9">
      <w:pPr>
        <w:pStyle w:val="paragraph"/>
      </w:pPr>
      <w:r w:rsidRPr="00A058B6">
        <w:tab/>
        <w:t>(b)</w:t>
      </w:r>
      <w:r w:rsidRPr="00A058B6">
        <w:tab/>
        <w:t>the interest is in the growth phase at the time the new annuity is established</w:t>
      </w:r>
      <w:r w:rsidR="00D7157D">
        <w:t>.</w:t>
      </w:r>
    </w:p>
    <w:p w14:paraId="2AAB705D" w14:textId="2F8281D3" w:rsidR="00D930D9" w:rsidRPr="00A058B6" w:rsidRDefault="00D930D9" w:rsidP="00D930D9">
      <w:pPr>
        <w:pStyle w:val="subsection"/>
      </w:pPr>
      <w:r w:rsidRPr="00A058B6">
        <w:tab/>
        <w:t>(6)</w:t>
      </w:r>
      <w:r w:rsidRPr="00A058B6">
        <w:tab/>
        <w:t xml:space="preserve">For the purposes of (but without limiting) </w:t>
      </w:r>
      <w:r w:rsidR="00A52DA5">
        <w:t>subsection (</w:t>
      </w:r>
      <w:r w:rsidRPr="00A058B6">
        <w:t>5):</w:t>
      </w:r>
    </w:p>
    <w:p w14:paraId="0E0268D8" w14:textId="4D15B805" w:rsidR="00D930D9" w:rsidRPr="00A058B6" w:rsidRDefault="00D930D9" w:rsidP="00D930D9">
      <w:pPr>
        <w:pStyle w:val="paragraph"/>
      </w:pPr>
      <w:r w:rsidRPr="00A058B6">
        <w:tab/>
        <w:t>(a)</w:t>
      </w:r>
      <w:r w:rsidRPr="00A058B6">
        <w:tab/>
        <w:t>the trustee of the superannuation annuity is taken to have established a new annuity (being an annuity that is a non</w:t>
      </w:r>
      <w:r w:rsidR="001952B3">
        <w:noBreakHyphen/>
      </w:r>
      <w:r w:rsidRPr="00A058B6">
        <w:t>commutable income stream) for the benefit of the non</w:t>
      </w:r>
      <w:r w:rsidR="001952B3">
        <w:noBreakHyphen/>
      </w:r>
      <w:r w:rsidRPr="00A058B6">
        <w:t>member spouse if:</w:t>
      </w:r>
    </w:p>
    <w:p w14:paraId="0D7CDDC5" w14:textId="679477E6" w:rsidR="00D930D9" w:rsidRPr="00A058B6" w:rsidRDefault="00D930D9" w:rsidP="00D930D9">
      <w:pPr>
        <w:pStyle w:val="paragraphsub"/>
      </w:pPr>
      <w:r w:rsidRPr="00A058B6">
        <w:tab/>
        <w:t>(i)</w:t>
      </w:r>
      <w:r w:rsidRPr="00A058B6">
        <w:tab/>
        <w:t>the trustee has entered into an agreement with the non</w:t>
      </w:r>
      <w:r w:rsidR="001952B3">
        <w:noBreakHyphen/>
      </w:r>
      <w:r w:rsidRPr="00A058B6">
        <w:t>member spouse to provide such an annuity for the non</w:t>
      </w:r>
      <w:r w:rsidR="001952B3">
        <w:noBreakHyphen/>
      </w:r>
      <w:r w:rsidRPr="00A058B6">
        <w:t>member spouse’s benefit; or</w:t>
      </w:r>
    </w:p>
    <w:p w14:paraId="0A5483FE" w14:textId="4FEE20CC" w:rsidR="00D930D9" w:rsidRPr="00A058B6" w:rsidRDefault="00D930D9" w:rsidP="00D930D9">
      <w:pPr>
        <w:pStyle w:val="paragraphsub"/>
      </w:pPr>
      <w:r w:rsidRPr="00A058B6">
        <w:tab/>
        <w:t>(ii)</w:t>
      </w:r>
      <w:r w:rsidRPr="00A058B6">
        <w:tab/>
        <w:t>the trustee has paid to another annuity provider an amount equal to the value of the non</w:t>
      </w:r>
      <w:r w:rsidR="001952B3">
        <w:noBreakHyphen/>
      </w:r>
      <w:r w:rsidRPr="00A058B6">
        <w:t>member spouse’s entitlement for the superannuation interest at the time the payment is made, for the purpose of that annuity provider providing such an annuity for the non</w:t>
      </w:r>
      <w:r w:rsidR="001952B3">
        <w:noBreakHyphen/>
      </w:r>
      <w:r w:rsidRPr="00A058B6">
        <w:t>member spouse’s benefit; and</w:t>
      </w:r>
    </w:p>
    <w:p w14:paraId="67586E4E" w14:textId="77777777" w:rsidR="00D930D9" w:rsidRPr="00A058B6" w:rsidRDefault="00D930D9" w:rsidP="00D930D9">
      <w:pPr>
        <w:pStyle w:val="paragraph"/>
      </w:pPr>
      <w:r w:rsidRPr="00A058B6">
        <w:tab/>
        <w:t>(b)</w:t>
      </w:r>
      <w:r w:rsidRPr="00A058B6">
        <w:tab/>
        <w:t>the new annuity is taken to have been established:</w:t>
      </w:r>
    </w:p>
    <w:p w14:paraId="468C87AB" w14:textId="5E4A5A19" w:rsidR="00D930D9" w:rsidRPr="00A058B6" w:rsidRDefault="00D930D9" w:rsidP="00D930D9">
      <w:pPr>
        <w:pStyle w:val="paragraphsub"/>
      </w:pPr>
      <w:r w:rsidRPr="00A058B6">
        <w:lastRenderedPageBreak/>
        <w:tab/>
        <w:t>(i)</w:t>
      </w:r>
      <w:r w:rsidRPr="00A058B6">
        <w:tab/>
        <w:t>if sub</w:t>
      </w:r>
      <w:r w:rsidR="00453C86">
        <w:t>paragraph (</w:t>
      </w:r>
      <w:r w:rsidRPr="00A058B6">
        <w:t>a)(i) applies—on the date the agreement between the trustee and the non</w:t>
      </w:r>
      <w:r w:rsidR="001952B3">
        <w:noBreakHyphen/>
      </w:r>
      <w:r w:rsidRPr="00A058B6">
        <w:t>member spouse is entered into; or</w:t>
      </w:r>
    </w:p>
    <w:p w14:paraId="183D8317" w14:textId="3E37B548" w:rsidR="00D930D9" w:rsidRPr="00A058B6" w:rsidRDefault="00D930D9" w:rsidP="00D930D9">
      <w:pPr>
        <w:pStyle w:val="paragraphsub"/>
      </w:pPr>
      <w:r w:rsidRPr="00A058B6">
        <w:tab/>
        <w:t>(ii)</w:t>
      </w:r>
      <w:r w:rsidRPr="00A058B6">
        <w:tab/>
        <w:t>if sub</w:t>
      </w:r>
      <w:r w:rsidR="00453C86">
        <w:t>paragraph (</w:t>
      </w:r>
      <w:r w:rsidRPr="00A058B6">
        <w:t>a)(ii) applies—on the date the amount mentioned in that subparagraph is paid to the annuity provider by the trustee</w:t>
      </w:r>
      <w:r w:rsidR="00D7157D">
        <w:t>.</w:t>
      </w:r>
    </w:p>
    <w:p w14:paraId="0ADAC647" w14:textId="77777777" w:rsidR="00D930D9" w:rsidRPr="00A058B6" w:rsidRDefault="00D930D9" w:rsidP="00D930D9">
      <w:pPr>
        <w:pStyle w:val="SubsectionHead"/>
      </w:pPr>
      <w:r w:rsidRPr="00A058B6">
        <w:t>Trustee need not have done anything mentioned in this section</w:t>
      </w:r>
    </w:p>
    <w:p w14:paraId="05F538C2" w14:textId="77777777" w:rsidR="00D930D9" w:rsidRPr="00A058B6" w:rsidRDefault="00D930D9" w:rsidP="00D930D9">
      <w:pPr>
        <w:pStyle w:val="subsection"/>
      </w:pPr>
      <w:r w:rsidRPr="00A058B6">
        <w:tab/>
        <w:t>(7)</w:t>
      </w:r>
      <w:r w:rsidRPr="00A058B6">
        <w:tab/>
        <w:t>To avoid doubt, nothing in a subsection of this section requires the trustee of a superannuation annuity to do something mentioned in that subsection</w:t>
      </w:r>
      <w:r w:rsidR="00D7157D">
        <w:t>.</w:t>
      </w:r>
    </w:p>
    <w:p w14:paraId="2B8F2F56" w14:textId="7DA4E2D8" w:rsidR="00D930D9" w:rsidRPr="00A058B6" w:rsidRDefault="00485CC2" w:rsidP="00D930D9">
      <w:pPr>
        <w:pStyle w:val="ActHead5"/>
      </w:pPr>
      <w:bookmarkStart w:id="48" w:name="_Toc188350535"/>
      <w:r w:rsidRPr="00423C34">
        <w:rPr>
          <w:rStyle w:val="CharSectno"/>
        </w:rPr>
        <w:t>32</w:t>
      </w:r>
      <w:r w:rsidR="00D930D9" w:rsidRPr="00A058B6">
        <w:t xml:space="preserve">  Meaning of </w:t>
      </w:r>
      <w:r w:rsidR="00D930D9" w:rsidRPr="00A058B6">
        <w:rPr>
          <w:i/>
        </w:rPr>
        <w:t>value of the non</w:t>
      </w:r>
      <w:r w:rsidR="001952B3">
        <w:rPr>
          <w:i/>
        </w:rPr>
        <w:noBreakHyphen/>
      </w:r>
      <w:r w:rsidR="00D930D9" w:rsidRPr="00A058B6">
        <w:rPr>
          <w:i/>
        </w:rPr>
        <w:t>member spouse’s entitlement</w:t>
      </w:r>
      <w:bookmarkEnd w:id="48"/>
    </w:p>
    <w:p w14:paraId="2F17CD4F" w14:textId="37B6DB48" w:rsidR="00D930D9" w:rsidRPr="00A058B6" w:rsidRDefault="00D930D9" w:rsidP="00D930D9">
      <w:pPr>
        <w:pStyle w:val="subsection"/>
      </w:pPr>
      <w:r w:rsidRPr="00A058B6">
        <w:tab/>
      </w:r>
      <w:r w:rsidRPr="00A058B6">
        <w:tab/>
        <w:t xml:space="preserve">In this Subdivision, the </w:t>
      </w:r>
      <w:r w:rsidRPr="00A058B6">
        <w:rPr>
          <w:b/>
          <w:i/>
        </w:rPr>
        <w:t>value of the non</w:t>
      </w:r>
      <w:r w:rsidR="001952B3">
        <w:rPr>
          <w:b/>
          <w:i/>
        </w:rPr>
        <w:noBreakHyphen/>
      </w:r>
      <w:r w:rsidRPr="00A058B6">
        <w:rPr>
          <w:b/>
          <w:i/>
        </w:rPr>
        <w:t>member spouse’s entitlement</w:t>
      </w:r>
      <w:r w:rsidRPr="00A058B6">
        <w:t xml:space="preserve"> for the superannuation interest at the time (the </w:t>
      </w:r>
      <w:r w:rsidRPr="00A058B6">
        <w:rPr>
          <w:b/>
          <w:i/>
        </w:rPr>
        <w:t>termination time</w:t>
      </w:r>
      <w:r w:rsidRPr="00A058B6">
        <w:t xml:space="preserve">) when the trustee carries out an action described in </w:t>
      </w:r>
      <w:r w:rsidR="00CB78B9">
        <w:t>subsection 3</w:t>
      </w:r>
      <w:r w:rsidR="00485CC2">
        <w:t>1</w:t>
      </w:r>
      <w:r w:rsidRPr="00A058B6">
        <w:t>(1), (2), (3) or (5) is equal to:</w:t>
      </w:r>
    </w:p>
    <w:p w14:paraId="3F2C2C16" w14:textId="7C4D9289" w:rsidR="00D930D9" w:rsidRPr="00A058B6" w:rsidRDefault="00774F38" w:rsidP="00D930D9">
      <w:pPr>
        <w:pStyle w:val="subsection2"/>
      </w:pPr>
      <w:r w:rsidRPr="00A058B6">
        <w:rPr>
          <w:position w:val="-30"/>
        </w:rPr>
        <w:object w:dxaOrig="6560" w:dyaOrig="820" w14:anchorId="4A9138AC">
          <v:shape id="_x0000_i1027" type="#_x0000_t75" alt="Start formula Account balance of the superannuation annuity at the termination time times Specified percentage minus Any fees payable by the non-member spouse under section 98 end formula" style="width:326.5pt;height:40.35pt" o:ole="">
            <v:imagedata r:id="rId28" o:title=""/>
          </v:shape>
          <o:OLEObject Type="Embed" ProgID="Equation.DSMT4" ShapeID="_x0000_i1027" DrawAspect="Content" ObjectID="_1801634256" r:id="rId29"/>
        </w:object>
      </w:r>
    </w:p>
    <w:p w14:paraId="375E8231" w14:textId="16E621B4" w:rsidR="00D930D9" w:rsidRPr="00A058B6" w:rsidRDefault="00D930D9" w:rsidP="00D930D9">
      <w:pPr>
        <w:pStyle w:val="ActHead4"/>
      </w:pPr>
      <w:bookmarkStart w:id="49" w:name="_Toc188350536"/>
      <w:r w:rsidRPr="00423C34">
        <w:rPr>
          <w:rStyle w:val="CharSubdNo"/>
        </w:rPr>
        <w:t>Subdivision C</w:t>
      </w:r>
      <w:r w:rsidRPr="00A058B6">
        <w:t>—</w:t>
      </w:r>
      <w:r w:rsidRPr="00423C34">
        <w:rPr>
          <w:rStyle w:val="CharSubdText"/>
        </w:rPr>
        <w:t>New annuity established or amount transferred or rolled over or paid by trustee of a superannuation annuity (other than under Subdivision B) in satisfaction of non</w:t>
      </w:r>
      <w:r w:rsidR="001952B3" w:rsidRPr="00423C34">
        <w:rPr>
          <w:rStyle w:val="CharSubdText"/>
        </w:rPr>
        <w:noBreakHyphen/>
      </w:r>
      <w:r w:rsidRPr="00423C34">
        <w:rPr>
          <w:rStyle w:val="CharSubdText"/>
        </w:rPr>
        <w:t>member spouse’s entitlement under agreement or order</w:t>
      </w:r>
      <w:bookmarkEnd w:id="49"/>
    </w:p>
    <w:p w14:paraId="3FB558E8" w14:textId="512D559D" w:rsidR="00D930D9" w:rsidRPr="00A058B6" w:rsidRDefault="00485CC2" w:rsidP="00D930D9">
      <w:pPr>
        <w:pStyle w:val="ActHead5"/>
      </w:pPr>
      <w:bookmarkStart w:id="50" w:name="_Toc188350537"/>
      <w:r w:rsidRPr="00423C34">
        <w:rPr>
          <w:rStyle w:val="CharSectno"/>
        </w:rPr>
        <w:t>33</w:t>
      </w:r>
      <w:r w:rsidR="00D930D9" w:rsidRPr="00A058B6">
        <w:t xml:space="preserve">  Requirements of this Subdivision</w:t>
      </w:r>
      <w:bookmarkEnd w:id="50"/>
    </w:p>
    <w:p w14:paraId="2B20A495" w14:textId="5ADF0A52" w:rsidR="00D930D9" w:rsidRPr="00A058B6" w:rsidRDefault="00D930D9" w:rsidP="00D930D9">
      <w:pPr>
        <w:pStyle w:val="subsection"/>
        <w:rPr>
          <w:snapToGrid w:val="0"/>
        </w:rPr>
      </w:pPr>
      <w:r w:rsidRPr="00A058B6">
        <w:tab/>
      </w:r>
      <w:r w:rsidRPr="00A058B6">
        <w:tab/>
        <w:t>The requirements of this Subdivision are met for a non</w:t>
      </w:r>
      <w:r w:rsidR="001952B3">
        <w:noBreakHyphen/>
      </w:r>
      <w:r w:rsidRPr="00A058B6">
        <w:t xml:space="preserve">member spouse’s entitlement </w:t>
      </w:r>
      <w:r w:rsidRPr="00A058B6">
        <w:rPr>
          <w:snapToGrid w:val="0"/>
        </w:rPr>
        <w:t>under a particular superannuation agreement, flag lifting agreement or splitting order in respect of a superannuation interest if:</w:t>
      </w:r>
    </w:p>
    <w:p w14:paraId="1E56BBFA" w14:textId="2A8EA56B" w:rsidR="00D930D9" w:rsidRPr="00A058B6" w:rsidRDefault="00D930D9" w:rsidP="00D930D9">
      <w:pPr>
        <w:pStyle w:val="paragraph"/>
      </w:pPr>
      <w:r w:rsidRPr="00A058B6">
        <w:tab/>
        <w:t>(a)</w:t>
      </w:r>
      <w:r w:rsidRPr="00A058B6">
        <w:tab/>
        <w:t>the interest is a percentage</w:t>
      </w:r>
      <w:r w:rsidR="001952B3">
        <w:noBreakHyphen/>
      </w:r>
      <w:r w:rsidRPr="00A058B6">
        <w:t>only interest and the interest is in a superannuation annuity that is one of the following:</w:t>
      </w:r>
    </w:p>
    <w:p w14:paraId="0076231E" w14:textId="77777777" w:rsidR="00D930D9" w:rsidRPr="00A058B6" w:rsidRDefault="00D930D9" w:rsidP="00D930D9">
      <w:pPr>
        <w:pStyle w:val="paragraphsub"/>
      </w:pPr>
      <w:r w:rsidRPr="00A058B6">
        <w:tab/>
        <w:t>(i)</w:t>
      </w:r>
      <w:r w:rsidRPr="00A058B6">
        <w:tab/>
        <w:t>an allocated annuity;</w:t>
      </w:r>
    </w:p>
    <w:p w14:paraId="4F2DD957" w14:textId="77777777" w:rsidR="00D930D9" w:rsidRPr="00A058B6" w:rsidRDefault="00D930D9" w:rsidP="00D930D9">
      <w:pPr>
        <w:pStyle w:val="paragraphsub"/>
      </w:pPr>
      <w:r w:rsidRPr="00A058B6">
        <w:tab/>
        <w:t>(ii)</w:t>
      </w:r>
      <w:r w:rsidRPr="00A058B6">
        <w:tab/>
        <w:t>a market linked annuity;</w:t>
      </w:r>
    </w:p>
    <w:p w14:paraId="2CF7B53A" w14:textId="77777777" w:rsidR="00D930D9" w:rsidRPr="00A058B6" w:rsidRDefault="00D930D9" w:rsidP="00D930D9">
      <w:pPr>
        <w:pStyle w:val="paragraphsub"/>
      </w:pPr>
      <w:r w:rsidRPr="00A058B6">
        <w:tab/>
        <w:t>(iii)</w:t>
      </w:r>
      <w:r w:rsidRPr="00A058B6">
        <w:tab/>
        <w:t>a fixed term annuity;</w:t>
      </w:r>
    </w:p>
    <w:p w14:paraId="35F0301D" w14:textId="77777777" w:rsidR="00D930D9" w:rsidRPr="00A058B6" w:rsidRDefault="00D930D9" w:rsidP="00D930D9">
      <w:pPr>
        <w:pStyle w:val="paragraphsub"/>
      </w:pPr>
      <w:r w:rsidRPr="00A058B6">
        <w:tab/>
        <w:t>(iv)</w:t>
      </w:r>
      <w:r w:rsidRPr="00A058B6">
        <w:tab/>
        <w:t>a lifetime annuity, including a lifetime annuity that is payable for the lives of more than one person; and</w:t>
      </w:r>
    </w:p>
    <w:p w14:paraId="5A728B4C" w14:textId="0E1893D8" w:rsidR="00D930D9" w:rsidRPr="00A058B6" w:rsidRDefault="00D930D9" w:rsidP="00D930D9">
      <w:pPr>
        <w:pStyle w:val="paragraph"/>
      </w:pPr>
      <w:r w:rsidRPr="00A058B6">
        <w:tab/>
        <w:t>(b)</w:t>
      </w:r>
      <w:r w:rsidRPr="00A058B6">
        <w:tab/>
      </w:r>
      <w:r w:rsidR="00CB78B9">
        <w:t>section 3</w:t>
      </w:r>
      <w:r w:rsidR="00485CC2">
        <w:t>4</w:t>
      </w:r>
      <w:r w:rsidRPr="00A058B6">
        <w:t xml:space="preserve"> applies for the interest</w:t>
      </w:r>
      <w:r w:rsidR="00D7157D">
        <w:t>.</w:t>
      </w:r>
    </w:p>
    <w:p w14:paraId="7756B660" w14:textId="33DBD096" w:rsidR="00D930D9" w:rsidRPr="00A058B6" w:rsidRDefault="00D930D9" w:rsidP="00D930D9">
      <w:pPr>
        <w:pStyle w:val="notetext"/>
      </w:pPr>
      <w:r w:rsidRPr="00A058B6">
        <w:t>Note:</w:t>
      </w:r>
      <w:r w:rsidRPr="00A058B6">
        <w:tab/>
        <w:t xml:space="preserve">To see if </w:t>
      </w:r>
      <w:r w:rsidR="00CB78B9">
        <w:t>section 3</w:t>
      </w:r>
      <w:r w:rsidR="00485CC2">
        <w:t>4</w:t>
      </w:r>
      <w:r w:rsidRPr="00A058B6">
        <w:t xml:space="preserve"> applies, see </w:t>
      </w:r>
      <w:r w:rsidR="00CB78B9">
        <w:t>subsection 3</w:t>
      </w:r>
      <w:r w:rsidR="00485CC2">
        <w:t>4</w:t>
      </w:r>
      <w:r w:rsidRPr="00A058B6">
        <w:t>(1), (2) or (3)</w:t>
      </w:r>
      <w:r w:rsidR="00D7157D">
        <w:t>.</w:t>
      </w:r>
    </w:p>
    <w:p w14:paraId="0694E91A" w14:textId="7AB692F7" w:rsidR="00D930D9" w:rsidRPr="00A058B6" w:rsidRDefault="00485CC2" w:rsidP="00D930D9">
      <w:pPr>
        <w:pStyle w:val="ActHead5"/>
      </w:pPr>
      <w:bookmarkStart w:id="51" w:name="_Toc188350538"/>
      <w:r w:rsidRPr="00423C34">
        <w:rPr>
          <w:rStyle w:val="CharSectno"/>
        </w:rPr>
        <w:t>34</w:t>
      </w:r>
      <w:r w:rsidR="00D930D9" w:rsidRPr="00A058B6">
        <w:t xml:space="preserve">  Circumstances when this Subdivision applies</w:t>
      </w:r>
      <w:bookmarkEnd w:id="51"/>
    </w:p>
    <w:p w14:paraId="19BF414C" w14:textId="58024389" w:rsidR="00D930D9" w:rsidRPr="00A058B6" w:rsidRDefault="00D930D9" w:rsidP="00D930D9">
      <w:pPr>
        <w:pStyle w:val="SubsectionHead"/>
      </w:pPr>
      <w:r w:rsidRPr="00A058B6">
        <w:t>Trustee pays non</w:t>
      </w:r>
      <w:r w:rsidR="001952B3">
        <w:noBreakHyphen/>
      </w:r>
      <w:r w:rsidRPr="00A058B6">
        <w:t>member spouse an amount equal to the value of the non</w:t>
      </w:r>
      <w:r w:rsidR="001952B3">
        <w:noBreakHyphen/>
      </w:r>
      <w:r w:rsidRPr="00A058B6">
        <w:t>member spouse’s entitlement</w:t>
      </w:r>
    </w:p>
    <w:p w14:paraId="5938B296" w14:textId="77777777" w:rsidR="00D930D9" w:rsidRPr="00A058B6" w:rsidRDefault="00D930D9" w:rsidP="00D930D9">
      <w:pPr>
        <w:pStyle w:val="subsection"/>
      </w:pPr>
      <w:r w:rsidRPr="00A058B6">
        <w:tab/>
        <w:t>(1)</w:t>
      </w:r>
      <w:r w:rsidRPr="00A058B6">
        <w:tab/>
        <w:t>This section applies for the superannuation interest if:</w:t>
      </w:r>
    </w:p>
    <w:p w14:paraId="6F28043F" w14:textId="2551D598" w:rsidR="00D930D9" w:rsidRPr="00A058B6" w:rsidRDefault="00D930D9" w:rsidP="00D930D9">
      <w:pPr>
        <w:pStyle w:val="paragraph"/>
      </w:pPr>
      <w:r w:rsidRPr="00A058B6">
        <w:tab/>
        <w:t>(a)</w:t>
      </w:r>
      <w:r w:rsidRPr="00A058B6">
        <w:tab/>
        <w:t>the trustee of the superannuation annuity has, in respect of the non</w:t>
      </w:r>
      <w:r w:rsidR="001952B3">
        <w:noBreakHyphen/>
      </w:r>
      <w:r w:rsidRPr="00A058B6">
        <w:t>member spouse’s entitlement under the agreement or order, paid to the non</w:t>
      </w:r>
      <w:r w:rsidR="001952B3">
        <w:noBreakHyphen/>
      </w:r>
      <w:r w:rsidRPr="00A058B6">
        <w:t>member spouse an amount equal to the value of the non</w:t>
      </w:r>
      <w:r w:rsidR="001952B3">
        <w:noBreakHyphen/>
      </w:r>
      <w:r w:rsidRPr="00A058B6">
        <w:t>member spouse’s entitlement for the superannuation interest at the time of the payment; and</w:t>
      </w:r>
    </w:p>
    <w:p w14:paraId="6D37EA55" w14:textId="77777777" w:rsidR="00D930D9" w:rsidRPr="00A058B6" w:rsidRDefault="00D930D9" w:rsidP="00D930D9">
      <w:pPr>
        <w:pStyle w:val="paragraph"/>
      </w:pPr>
      <w:r w:rsidRPr="00A058B6">
        <w:tab/>
        <w:t>(b)</w:t>
      </w:r>
      <w:r w:rsidRPr="00A058B6">
        <w:tab/>
        <w:t>the interest:</w:t>
      </w:r>
    </w:p>
    <w:p w14:paraId="1525AC0D" w14:textId="77777777" w:rsidR="00D930D9" w:rsidRPr="00A058B6" w:rsidRDefault="00D930D9" w:rsidP="00D930D9">
      <w:pPr>
        <w:pStyle w:val="paragraphsub"/>
      </w:pPr>
      <w:r w:rsidRPr="00A058B6">
        <w:lastRenderedPageBreak/>
        <w:tab/>
        <w:t>(i)</w:t>
      </w:r>
      <w:r w:rsidRPr="00A058B6">
        <w:tab/>
        <w:t>was in the payment phase at the operative time in relation to the agreement or order; and</w:t>
      </w:r>
    </w:p>
    <w:p w14:paraId="61463B39" w14:textId="77777777" w:rsidR="00D930D9" w:rsidRPr="00A058B6" w:rsidRDefault="00D930D9" w:rsidP="00D930D9">
      <w:pPr>
        <w:pStyle w:val="paragraphsub"/>
      </w:pPr>
      <w:r w:rsidRPr="00A058B6">
        <w:tab/>
        <w:t>(ii)</w:t>
      </w:r>
      <w:r w:rsidRPr="00A058B6">
        <w:tab/>
        <w:t>is in the payment phase at the time of the payment</w:t>
      </w:r>
      <w:r w:rsidR="00D7157D">
        <w:t>.</w:t>
      </w:r>
    </w:p>
    <w:p w14:paraId="5E5AE501" w14:textId="60BBB567" w:rsidR="00D930D9" w:rsidRPr="00A058B6" w:rsidRDefault="00D930D9" w:rsidP="00D930D9">
      <w:pPr>
        <w:pStyle w:val="SubsectionHead"/>
      </w:pPr>
      <w:r w:rsidRPr="00A058B6">
        <w:t>Trustee transfers or rolls over an amount with a value equal to the non</w:t>
      </w:r>
      <w:r w:rsidR="001952B3">
        <w:noBreakHyphen/>
      </w:r>
      <w:r w:rsidRPr="00A058B6">
        <w:t>member spouse’s entitlement</w:t>
      </w:r>
    </w:p>
    <w:p w14:paraId="60103566" w14:textId="77777777" w:rsidR="00D930D9" w:rsidRPr="00A058B6" w:rsidRDefault="00D930D9" w:rsidP="00D930D9">
      <w:pPr>
        <w:pStyle w:val="subsection"/>
      </w:pPr>
      <w:r w:rsidRPr="00A058B6">
        <w:tab/>
        <w:t>(2)</w:t>
      </w:r>
      <w:r w:rsidRPr="00A058B6">
        <w:tab/>
        <w:t>This section applies for the superannuation interest if:</w:t>
      </w:r>
    </w:p>
    <w:p w14:paraId="68DD6251" w14:textId="2297A833" w:rsidR="00D930D9" w:rsidRPr="00A058B6" w:rsidRDefault="00D930D9" w:rsidP="00D930D9">
      <w:pPr>
        <w:pStyle w:val="paragraph"/>
      </w:pPr>
      <w:r w:rsidRPr="00A058B6">
        <w:tab/>
        <w:t>(a)</w:t>
      </w:r>
      <w:r w:rsidRPr="00A058B6">
        <w:tab/>
        <w:t>the trustee of the superannuation annuity has, in respect of the non</w:t>
      </w:r>
      <w:r w:rsidR="001952B3">
        <w:noBreakHyphen/>
      </w:r>
      <w:r w:rsidRPr="00A058B6">
        <w:t>member spouse’s entitlement under the agreement or order, transferred or rolled over to a superannuation fund or an RSA an amount to be held for the benefit of the non</w:t>
      </w:r>
      <w:r w:rsidR="001952B3">
        <w:noBreakHyphen/>
      </w:r>
      <w:r w:rsidRPr="00A058B6">
        <w:t>member spouse; and</w:t>
      </w:r>
    </w:p>
    <w:p w14:paraId="1011BC95" w14:textId="726D2C10" w:rsidR="00D930D9" w:rsidRPr="00A058B6" w:rsidRDefault="00D930D9" w:rsidP="00D930D9">
      <w:pPr>
        <w:pStyle w:val="paragraph"/>
      </w:pPr>
      <w:r w:rsidRPr="00A058B6">
        <w:tab/>
        <w:t>(b)</w:t>
      </w:r>
      <w:r w:rsidRPr="00A058B6">
        <w:tab/>
        <w:t>the value of that amount is equal to the value of the non</w:t>
      </w:r>
      <w:r w:rsidR="001952B3">
        <w:noBreakHyphen/>
      </w:r>
      <w:r w:rsidRPr="00A058B6">
        <w:t>member spouse’s entitlement for the superannuation interest at the time that amount is transferred or rolled over; and</w:t>
      </w:r>
    </w:p>
    <w:p w14:paraId="137C5CF9" w14:textId="77777777" w:rsidR="00D930D9" w:rsidRPr="00A058B6" w:rsidRDefault="00D930D9" w:rsidP="00D930D9">
      <w:pPr>
        <w:pStyle w:val="paragraph"/>
      </w:pPr>
      <w:r w:rsidRPr="00A058B6">
        <w:tab/>
        <w:t>(c)</w:t>
      </w:r>
      <w:r w:rsidRPr="00A058B6">
        <w:tab/>
        <w:t>the interest is in the payment phase at the time that amount is transferred or rolled over</w:t>
      </w:r>
      <w:r w:rsidR="00D7157D">
        <w:t>.</w:t>
      </w:r>
    </w:p>
    <w:p w14:paraId="250782D1" w14:textId="7AE968A2" w:rsidR="00D930D9" w:rsidRPr="00A058B6" w:rsidRDefault="00D930D9" w:rsidP="00D930D9">
      <w:pPr>
        <w:pStyle w:val="SubsectionHead"/>
      </w:pPr>
      <w:r w:rsidRPr="00A058B6">
        <w:t>Trustee establishes new annuity with a value equal to the non</w:t>
      </w:r>
      <w:r w:rsidR="001952B3">
        <w:noBreakHyphen/>
      </w:r>
      <w:r w:rsidRPr="00A058B6">
        <w:t>member spouse’s entitlement</w:t>
      </w:r>
    </w:p>
    <w:p w14:paraId="2C3254E8" w14:textId="77777777" w:rsidR="00D930D9" w:rsidRPr="00A058B6" w:rsidRDefault="00D930D9" w:rsidP="00D930D9">
      <w:pPr>
        <w:pStyle w:val="subsection"/>
      </w:pPr>
      <w:r w:rsidRPr="00A058B6">
        <w:tab/>
        <w:t>(3)</w:t>
      </w:r>
      <w:r w:rsidRPr="00A058B6">
        <w:tab/>
        <w:t>This section applies for the superannuation interest if:</w:t>
      </w:r>
    </w:p>
    <w:p w14:paraId="21F01EFA" w14:textId="59D6DDB6" w:rsidR="00D930D9" w:rsidRPr="00A058B6" w:rsidRDefault="00D930D9" w:rsidP="00D930D9">
      <w:pPr>
        <w:pStyle w:val="paragraph"/>
      </w:pPr>
      <w:r w:rsidRPr="00A058B6">
        <w:tab/>
        <w:t>(a)</w:t>
      </w:r>
      <w:r w:rsidRPr="00A058B6">
        <w:tab/>
        <w:t>the trustee of the superannuation annuity has, in respect of the non</w:t>
      </w:r>
      <w:r w:rsidR="001952B3">
        <w:noBreakHyphen/>
      </w:r>
      <w:r w:rsidRPr="00A058B6">
        <w:t xml:space="preserve">member spouse’s entitlement under the agreement or order, established any of the following new annuities (an </w:t>
      </w:r>
      <w:r w:rsidRPr="00A058B6">
        <w:rPr>
          <w:b/>
          <w:i/>
        </w:rPr>
        <w:t>eligible annuity</w:t>
      </w:r>
      <w:r w:rsidRPr="00A058B6">
        <w:t>) for the benefit of the non</w:t>
      </w:r>
      <w:r w:rsidR="001952B3">
        <w:noBreakHyphen/>
      </w:r>
      <w:r w:rsidRPr="00A058B6">
        <w:t>member spouse:</w:t>
      </w:r>
    </w:p>
    <w:p w14:paraId="13E1165E" w14:textId="77777777" w:rsidR="00D930D9" w:rsidRPr="00A058B6" w:rsidRDefault="00D930D9" w:rsidP="00D930D9">
      <w:pPr>
        <w:pStyle w:val="paragraphsub"/>
      </w:pPr>
      <w:r w:rsidRPr="00A058B6">
        <w:tab/>
        <w:t>(i)</w:t>
      </w:r>
      <w:r w:rsidRPr="00A058B6">
        <w:tab/>
        <w:t>an allocated annuity;</w:t>
      </w:r>
    </w:p>
    <w:p w14:paraId="3D23DACE" w14:textId="77777777" w:rsidR="00D930D9" w:rsidRPr="00A058B6" w:rsidRDefault="00D930D9" w:rsidP="00D930D9">
      <w:pPr>
        <w:pStyle w:val="paragraphsub"/>
      </w:pPr>
      <w:r w:rsidRPr="00A058B6">
        <w:tab/>
        <w:t>(ii)</w:t>
      </w:r>
      <w:r w:rsidRPr="00A058B6">
        <w:tab/>
        <w:t>a market linked annuity;</w:t>
      </w:r>
    </w:p>
    <w:p w14:paraId="238DF5B1" w14:textId="77777777" w:rsidR="00D930D9" w:rsidRPr="00A058B6" w:rsidRDefault="00D930D9" w:rsidP="00D930D9">
      <w:pPr>
        <w:pStyle w:val="paragraphsub"/>
      </w:pPr>
      <w:r w:rsidRPr="00A058B6">
        <w:tab/>
        <w:t>(iii)</w:t>
      </w:r>
      <w:r w:rsidRPr="00A058B6">
        <w:tab/>
        <w:t>a fixed term annuity;</w:t>
      </w:r>
    </w:p>
    <w:p w14:paraId="18174D83" w14:textId="77777777" w:rsidR="00D930D9" w:rsidRPr="00A058B6" w:rsidRDefault="00D930D9" w:rsidP="00D930D9">
      <w:pPr>
        <w:pStyle w:val="paragraphsub"/>
      </w:pPr>
      <w:r w:rsidRPr="00A058B6">
        <w:tab/>
        <w:t>(iv)</w:t>
      </w:r>
      <w:r w:rsidRPr="00A058B6">
        <w:tab/>
        <w:t>a lifetime annuity; and</w:t>
      </w:r>
    </w:p>
    <w:p w14:paraId="510555A2" w14:textId="7CC7FED3" w:rsidR="00D930D9" w:rsidRPr="00A058B6" w:rsidRDefault="00D930D9" w:rsidP="00D930D9">
      <w:pPr>
        <w:pStyle w:val="paragraph"/>
      </w:pPr>
      <w:r w:rsidRPr="00A058B6">
        <w:tab/>
        <w:t>(b)</w:t>
      </w:r>
      <w:r w:rsidRPr="00A058B6">
        <w:tab/>
        <w:t>the new annuity has a value equal to the value of the non</w:t>
      </w:r>
      <w:r w:rsidR="001952B3">
        <w:noBreakHyphen/>
      </w:r>
      <w:r w:rsidRPr="00A058B6">
        <w:t>member spouse’s entitlement for the superannuation interest at the time the new annuity is established; and</w:t>
      </w:r>
    </w:p>
    <w:p w14:paraId="54B306C9" w14:textId="77777777" w:rsidR="00D930D9" w:rsidRPr="00A058B6" w:rsidRDefault="00D930D9" w:rsidP="00D930D9">
      <w:pPr>
        <w:pStyle w:val="paragraph"/>
      </w:pPr>
      <w:r w:rsidRPr="00A058B6">
        <w:tab/>
        <w:t>(c)</w:t>
      </w:r>
      <w:r w:rsidRPr="00A058B6">
        <w:tab/>
        <w:t>the interest is in the payment phase at the time the new annuity is established</w:t>
      </w:r>
      <w:r w:rsidR="00D7157D">
        <w:t>.</w:t>
      </w:r>
    </w:p>
    <w:p w14:paraId="73182C2D" w14:textId="75B54384" w:rsidR="00D930D9" w:rsidRPr="00A058B6" w:rsidRDefault="00D930D9" w:rsidP="00D930D9">
      <w:pPr>
        <w:pStyle w:val="subsection"/>
      </w:pPr>
      <w:r w:rsidRPr="00A058B6">
        <w:tab/>
        <w:t>(4)</w:t>
      </w:r>
      <w:r w:rsidRPr="00A058B6">
        <w:tab/>
        <w:t xml:space="preserve">For the purposes of (but without limiting) </w:t>
      </w:r>
      <w:r w:rsidR="00A52DA5">
        <w:t>subsection (</w:t>
      </w:r>
      <w:r w:rsidRPr="00A058B6">
        <w:t>3):</w:t>
      </w:r>
    </w:p>
    <w:p w14:paraId="0163AE6A" w14:textId="3C54EC71" w:rsidR="00D930D9" w:rsidRPr="00A058B6" w:rsidRDefault="00D930D9" w:rsidP="00D930D9">
      <w:pPr>
        <w:pStyle w:val="paragraph"/>
      </w:pPr>
      <w:r w:rsidRPr="00A058B6">
        <w:tab/>
        <w:t>(a)</w:t>
      </w:r>
      <w:r w:rsidRPr="00A058B6">
        <w:tab/>
        <w:t>the trustee of the superannuation annuity is taken to have established an eligible annuity for the benefit of the non</w:t>
      </w:r>
      <w:r w:rsidR="001952B3">
        <w:noBreakHyphen/>
      </w:r>
      <w:r w:rsidRPr="00A058B6">
        <w:t>member spouse if either of the following things have occurred:</w:t>
      </w:r>
    </w:p>
    <w:p w14:paraId="6826D9EB" w14:textId="4A447343" w:rsidR="00D930D9" w:rsidRPr="00A058B6" w:rsidRDefault="00D930D9" w:rsidP="00D930D9">
      <w:pPr>
        <w:pStyle w:val="paragraphsub"/>
      </w:pPr>
      <w:r w:rsidRPr="00A058B6">
        <w:tab/>
        <w:t>(i)</w:t>
      </w:r>
      <w:r w:rsidRPr="00A058B6">
        <w:tab/>
        <w:t>the trustee has entered into an agreement with the non</w:t>
      </w:r>
      <w:r w:rsidR="001952B3">
        <w:noBreakHyphen/>
      </w:r>
      <w:r w:rsidRPr="00A058B6">
        <w:t>member spouse to provide an eligible annuity for the benefit of the non</w:t>
      </w:r>
      <w:r w:rsidR="001952B3">
        <w:noBreakHyphen/>
      </w:r>
      <w:r w:rsidRPr="00A058B6">
        <w:t>member spouse;</w:t>
      </w:r>
    </w:p>
    <w:p w14:paraId="3582FC2B" w14:textId="5C801957" w:rsidR="00D930D9" w:rsidRPr="00A058B6" w:rsidRDefault="00D930D9" w:rsidP="00D930D9">
      <w:pPr>
        <w:pStyle w:val="paragraphsub"/>
      </w:pPr>
      <w:r w:rsidRPr="00A058B6">
        <w:tab/>
        <w:t>(ii)</w:t>
      </w:r>
      <w:r w:rsidRPr="00A058B6">
        <w:tab/>
        <w:t>the trustee has paid to another annuity provider an amount equal to the value of the non</w:t>
      </w:r>
      <w:r w:rsidR="001952B3">
        <w:noBreakHyphen/>
      </w:r>
      <w:r w:rsidRPr="00A058B6">
        <w:t>member spouse’s entitlement for the superannuation interest at the time the payment is made, for the purpose of that annuity provider providing an eligible annuity for the benefit of the non</w:t>
      </w:r>
      <w:r w:rsidR="001952B3">
        <w:noBreakHyphen/>
      </w:r>
      <w:r w:rsidRPr="00A058B6">
        <w:t>member spouse; and</w:t>
      </w:r>
    </w:p>
    <w:p w14:paraId="7D10BCDB" w14:textId="77777777" w:rsidR="00D930D9" w:rsidRPr="00A058B6" w:rsidRDefault="00D930D9" w:rsidP="00D930D9">
      <w:pPr>
        <w:pStyle w:val="paragraph"/>
      </w:pPr>
      <w:r w:rsidRPr="00A058B6">
        <w:tab/>
        <w:t>(b)</w:t>
      </w:r>
      <w:r w:rsidRPr="00A058B6">
        <w:tab/>
        <w:t>the eligible annuity is taken to have been established:</w:t>
      </w:r>
    </w:p>
    <w:p w14:paraId="062A2974" w14:textId="27FA7FA9" w:rsidR="00D930D9" w:rsidRPr="00A058B6" w:rsidRDefault="00D930D9" w:rsidP="00D930D9">
      <w:pPr>
        <w:pStyle w:val="paragraphsub"/>
      </w:pPr>
      <w:r w:rsidRPr="00A058B6">
        <w:lastRenderedPageBreak/>
        <w:tab/>
        <w:t>(i)</w:t>
      </w:r>
      <w:r w:rsidRPr="00A058B6">
        <w:tab/>
        <w:t>if sub</w:t>
      </w:r>
      <w:r w:rsidR="00453C86">
        <w:t>paragraph (</w:t>
      </w:r>
      <w:r w:rsidRPr="00A058B6">
        <w:t>a)(i) applies—on the date the agreement between the trustee and the non</w:t>
      </w:r>
      <w:r w:rsidR="001952B3">
        <w:noBreakHyphen/>
      </w:r>
      <w:r w:rsidRPr="00A058B6">
        <w:t>member spouse is entered into; or</w:t>
      </w:r>
    </w:p>
    <w:p w14:paraId="1A84FF6A" w14:textId="4E7F41D2" w:rsidR="00D930D9" w:rsidRPr="00A058B6" w:rsidRDefault="00D930D9" w:rsidP="00D930D9">
      <w:pPr>
        <w:pStyle w:val="paragraphsub"/>
      </w:pPr>
      <w:r w:rsidRPr="00A058B6">
        <w:tab/>
        <w:t>(ii)</w:t>
      </w:r>
      <w:r w:rsidRPr="00A058B6">
        <w:tab/>
        <w:t>if sub</w:t>
      </w:r>
      <w:r w:rsidR="00453C86">
        <w:t>paragraph (</w:t>
      </w:r>
      <w:r w:rsidRPr="00A058B6">
        <w:t>a)(ii) applies—on the date the amount mentioned in sub</w:t>
      </w:r>
      <w:r w:rsidR="00453C86">
        <w:t>paragraph (</w:t>
      </w:r>
      <w:r w:rsidRPr="00A058B6">
        <w:t>a)(ii) is paid to the annuity provider by the trustee</w:t>
      </w:r>
      <w:r w:rsidR="00D7157D">
        <w:t>.</w:t>
      </w:r>
    </w:p>
    <w:p w14:paraId="7B4748CA" w14:textId="77777777" w:rsidR="00D930D9" w:rsidRPr="00A058B6" w:rsidRDefault="00D930D9" w:rsidP="00D930D9">
      <w:pPr>
        <w:pStyle w:val="SubsectionHead"/>
      </w:pPr>
      <w:r w:rsidRPr="00A058B6">
        <w:t>Trustee need not have done anything mentioned in this section</w:t>
      </w:r>
    </w:p>
    <w:p w14:paraId="78C071EE" w14:textId="77777777" w:rsidR="00D930D9" w:rsidRPr="00A058B6" w:rsidRDefault="00D930D9" w:rsidP="00D930D9">
      <w:pPr>
        <w:pStyle w:val="subsection"/>
      </w:pPr>
      <w:r w:rsidRPr="00A058B6">
        <w:tab/>
        <w:t>(5)</w:t>
      </w:r>
      <w:r w:rsidRPr="00A058B6">
        <w:tab/>
        <w:t>To avoid doubt, nothing in a subsection of this section requires the trustee of a superannuation annuity to do something mentioned in that subsection</w:t>
      </w:r>
      <w:r w:rsidR="00D7157D">
        <w:t>.</w:t>
      </w:r>
    </w:p>
    <w:p w14:paraId="62B33340" w14:textId="3669471A" w:rsidR="00D930D9" w:rsidRPr="00A058B6" w:rsidRDefault="00485CC2" w:rsidP="00D930D9">
      <w:pPr>
        <w:pStyle w:val="ActHead5"/>
      </w:pPr>
      <w:bookmarkStart w:id="52" w:name="_Toc188350539"/>
      <w:r w:rsidRPr="00423C34">
        <w:rPr>
          <w:rStyle w:val="CharSectno"/>
        </w:rPr>
        <w:t>35</w:t>
      </w:r>
      <w:r w:rsidR="00D930D9" w:rsidRPr="00A058B6">
        <w:t xml:space="preserve">  Meaning of </w:t>
      </w:r>
      <w:r w:rsidR="00D930D9" w:rsidRPr="00A058B6">
        <w:rPr>
          <w:i/>
        </w:rPr>
        <w:t>value of the non</w:t>
      </w:r>
      <w:r w:rsidR="001952B3">
        <w:rPr>
          <w:i/>
        </w:rPr>
        <w:noBreakHyphen/>
      </w:r>
      <w:r w:rsidR="00D930D9" w:rsidRPr="00A058B6">
        <w:rPr>
          <w:i/>
        </w:rPr>
        <w:t>member spouse’s entitlement</w:t>
      </w:r>
      <w:bookmarkEnd w:id="52"/>
    </w:p>
    <w:p w14:paraId="0FC2050E" w14:textId="53BB30CF" w:rsidR="00D930D9" w:rsidRDefault="00D930D9" w:rsidP="00D930D9">
      <w:pPr>
        <w:pStyle w:val="subsection"/>
      </w:pPr>
      <w:r w:rsidRPr="00A058B6">
        <w:tab/>
      </w:r>
      <w:r>
        <w:t>(1)</w:t>
      </w:r>
      <w:r w:rsidRPr="00A058B6">
        <w:tab/>
        <w:t xml:space="preserve">In this Subdivision, the </w:t>
      </w:r>
      <w:r w:rsidRPr="00A058B6">
        <w:rPr>
          <w:b/>
          <w:i/>
        </w:rPr>
        <w:t>value of the non</w:t>
      </w:r>
      <w:r w:rsidR="001952B3">
        <w:rPr>
          <w:b/>
          <w:i/>
        </w:rPr>
        <w:noBreakHyphen/>
      </w:r>
      <w:r w:rsidRPr="00A058B6">
        <w:rPr>
          <w:b/>
          <w:i/>
        </w:rPr>
        <w:t>member spouse’s entitlement</w:t>
      </w:r>
      <w:r w:rsidRPr="00A058B6">
        <w:t xml:space="preserve"> </w:t>
      </w:r>
      <w:r>
        <w:t xml:space="preserve">for a superannuation interest </w:t>
      </w:r>
      <w:r w:rsidRPr="00A058B6">
        <w:t xml:space="preserve">at the time (the </w:t>
      </w:r>
      <w:r w:rsidRPr="00A058B6">
        <w:rPr>
          <w:b/>
          <w:i/>
        </w:rPr>
        <w:t>termination time</w:t>
      </w:r>
      <w:r w:rsidRPr="00A058B6">
        <w:t>) when the trustee carries out an action described in subsections </w:t>
      </w:r>
      <w:r w:rsidR="00485CC2">
        <w:t>34</w:t>
      </w:r>
      <w:r w:rsidRPr="00A058B6">
        <w:t xml:space="preserve">(1), (2) or (3) is </w:t>
      </w:r>
      <w:r>
        <w:t xml:space="preserve">as described in </w:t>
      </w:r>
      <w:r w:rsidR="00A52DA5">
        <w:t>subsection (</w:t>
      </w:r>
      <w:r w:rsidRPr="00E67FB9">
        <w:t>2), (3) or (4)</w:t>
      </w:r>
      <w:r>
        <w:t xml:space="preserve"> of this section</w:t>
      </w:r>
      <w:r w:rsidR="00D7157D">
        <w:t>.</w:t>
      </w:r>
    </w:p>
    <w:p w14:paraId="2148A5A8" w14:textId="77777777" w:rsidR="00D930D9" w:rsidRPr="007B148A" w:rsidRDefault="00D930D9" w:rsidP="00D930D9">
      <w:pPr>
        <w:pStyle w:val="SubsectionHead"/>
      </w:pPr>
      <w:r>
        <w:t xml:space="preserve">Superannuation interest is in </w:t>
      </w:r>
      <w:r w:rsidRPr="00A058B6">
        <w:t>an allocated annuity</w:t>
      </w:r>
      <w:r>
        <w:t xml:space="preserve"> or </w:t>
      </w:r>
      <w:r w:rsidRPr="00A058B6">
        <w:t>market linked annuity</w:t>
      </w:r>
    </w:p>
    <w:p w14:paraId="7B07E104" w14:textId="3DCBC0F1" w:rsidR="00D930D9" w:rsidRPr="00A058B6" w:rsidRDefault="00D930D9" w:rsidP="00D930D9">
      <w:pPr>
        <w:pStyle w:val="subsection"/>
      </w:pPr>
      <w:r>
        <w:tab/>
        <w:t>(2)</w:t>
      </w:r>
      <w:r>
        <w:tab/>
        <w:t>If th</w:t>
      </w:r>
      <w:r w:rsidRPr="00A058B6">
        <w:t>e superannuation interest is in a superannuation annuity that is</w:t>
      </w:r>
      <w:r>
        <w:t xml:space="preserve"> </w:t>
      </w:r>
      <w:r w:rsidRPr="00A058B6">
        <w:t>an allocated annuity</w:t>
      </w:r>
      <w:r>
        <w:t xml:space="preserve"> or </w:t>
      </w:r>
      <w:r w:rsidRPr="00A058B6">
        <w:t>a market linked annuity</w:t>
      </w:r>
      <w:r>
        <w:t xml:space="preserve">, </w:t>
      </w:r>
      <w:r w:rsidRPr="00A058B6">
        <w:t xml:space="preserve">the </w:t>
      </w:r>
      <w:r w:rsidRPr="00A058B6">
        <w:rPr>
          <w:b/>
          <w:i/>
        </w:rPr>
        <w:t>value of the non</w:t>
      </w:r>
      <w:r w:rsidR="001952B3">
        <w:rPr>
          <w:b/>
          <w:i/>
        </w:rPr>
        <w:noBreakHyphen/>
      </w:r>
      <w:r w:rsidRPr="00A058B6">
        <w:rPr>
          <w:b/>
          <w:i/>
        </w:rPr>
        <w:t>member spouse’s entitlement</w:t>
      </w:r>
      <w:r w:rsidRPr="00A058B6">
        <w:t xml:space="preserve"> for the interest at the </w:t>
      </w:r>
      <w:r>
        <w:t xml:space="preserve">termination </w:t>
      </w:r>
      <w:r w:rsidRPr="00A058B6">
        <w:t>time is equal to:</w:t>
      </w:r>
    </w:p>
    <w:p w14:paraId="78503F20" w14:textId="0CF88DD2" w:rsidR="00D930D9" w:rsidRPr="00A058B6" w:rsidRDefault="00110694" w:rsidP="00D930D9">
      <w:pPr>
        <w:pStyle w:val="subsection2"/>
      </w:pPr>
      <w:r w:rsidRPr="00A058B6">
        <w:rPr>
          <w:position w:val="-30"/>
        </w:rPr>
        <w:object w:dxaOrig="5940" w:dyaOrig="820" w14:anchorId="4037F22E">
          <v:shape id="_x0000_i1028" type="#_x0000_t75" alt="Start formula Account balance of the annuity at the termination time times Specified percentage minus Any fees payable by the non-member spouse under section 98 end formula" style="width:298.1pt;height:40.35pt" o:ole="">
            <v:imagedata r:id="rId30" o:title=""/>
          </v:shape>
          <o:OLEObject Type="Embed" ProgID="Equation.DSMT4" ShapeID="_x0000_i1028" DrawAspect="Content" ObjectID="_1801634257" r:id="rId31"/>
        </w:object>
      </w:r>
    </w:p>
    <w:p w14:paraId="1312A4C8" w14:textId="22420D24" w:rsidR="000509E7" w:rsidRPr="007B148A" w:rsidRDefault="000509E7" w:rsidP="000509E7">
      <w:pPr>
        <w:pStyle w:val="SubsectionHead"/>
      </w:pPr>
      <w:r>
        <w:t xml:space="preserve">Superannuation interest is in a </w:t>
      </w:r>
      <w:r w:rsidR="00831E26" w:rsidRPr="0061041E">
        <w:t>fixed</w:t>
      </w:r>
      <w:r w:rsidR="00831E26" w:rsidRPr="00A058B6">
        <w:t xml:space="preserve"> term annuity</w:t>
      </w:r>
      <w:r w:rsidR="00831E26">
        <w:t xml:space="preserve"> or </w:t>
      </w:r>
      <w:r w:rsidR="00831E26" w:rsidRPr="00A058B6">
        <w:t>a lifeti</w:t>
      </w:r>
      <w:r w:rsidR="00831E26" w:rsidRPr="0061041E">
        <w:t>me annuity</w:t>
      </w:r>
      <w:r>
        <w:t xml:space="preserve">, and the </w:t>
      </w:r>
      <w:r w:rsidRPr="00380E4F">
        <w:t>Minister has not approved a method or factors for the interest</w:t>
      </w:r>
    </w:p>
    <w:p w14:paraId="4D48576F" w14:textId="77777777" w:rsidR="000509E7" w:rsidRDefault="000509E7" w:rsidP="000509E7">
      <w:pPr>
        <w:pStyle w:val="subsection"/>
      </w:pPr>
      <w:r>
        <w:tab/>
        <w:t>(3)</w:t>
      </w:r>
      <w:r>
        <w:tab/>
        <w:t>If:</w:t>
      </w:r>
    </w:p>
    <w:p w14:paraId="6CD2B29A" w14:textId="77777777" w:rsidR="00831E26" w:rsidRPr="00E57555" w:rsidRDefault="00831E26" w:rsidP="00831E26">
      <w:pPr>
        <w:pStyle w:val="paragraph"/>
      </w:pPr>
      <w:r>
        <w:tab/>
        <w:t>(a)</w:t>
      </w:r>
      <w:r>
        <w:tab/>
      </w:r>
      <w:r w:rsidRPr="00A058B6">
        <w:t>the super</w:t>
      </w:r>
      <w:r w:rsidRPr="00E57555">
        <w:t xml:space="preserve">annuation interest is in a superannuation annuity that is a </w:t>
      </w:r>
      <w:r w:rsidRPr="0061041E">
        <w:t>fixed</w:t>
      </w:r>
      <w:r w:rsidRPr="00A058B6">
        <w:t xml:space="preserve"> term annuity</w:t>
      </w:r>
      <w:r>
        <w:t xml:space="preserve"> or a </w:t>
      </w:r>
      <w:r w:rsidRPr="00E57555">
        <w:t>lifetime annuity; and</w:t>
      </w:r>
    </w:p>
    <w:p w14:paraId="55D0A590" w14:textId="7368BC11" w:rsidR="000509E7" w:rsidRDefault="000509E7" w:rsidP="000509E7">
      <w:pPr>
        <w:pStyle w:val="paragraph"/>
        <w:rPr>
          <w:snapToGrid w:val="0"/>
        </w:rPr>
      </w:pPr>
      <w:r w:rsidRPr="00E57555">
        <w:tab/>
        <w:t>(</w:t>
      </w:r>
      <w:r>
        <w:t>b</w:t>
      </w:r>
      <w:r w:rsidRPr="00E57555">
        <w:t>)</w:t>
      </w:r>
      <w:r w:rsidRPr="00E57555">
        <w:tab/>
        <w:t>the non</w:t>
      </w:r>
      <w:r w:rsidR="001952B3">
        <w:noBreakHyphen/>
      </w:r>
      <w:r w:rsidRPr="00E57555">
        <w:t>m</w:t>
      </w:r>
      <w:r w:rsidRPr="00A058B6">
        <w:t xml:space="preserve">ember spouse’s entitlement </w:t>
      </w:r>
      <w:r>
        <w:t xml:space="preserve">arises </w:t>
      </w:r>
      <w:r w:rsidRPr="00A058B6">
        <w:rPr>
          <w:snapToGrid w:val="0"/>
        </w:rPr>
        <w:t>under a superannuation agreement</w:t>
      </w:r>
      <w:r w:rsidR="00E67FB9">
        <w:rPr>
          <w:snapToGrid w:val="0"/>
        </w:rPr>
        <w:t xml:space="preserve">, a </w:t>
      </w:r>
      <w:r w:rsidRPr="00A058B6">
        <w:rPr>
          <w:snapToGrid w:val="0"/>
        </w:rPr>
        <w:t>flag lifting agreement</w:t>
      </w:r>
      <w:r w:rsidR="00E67FB9">
        <w:rPr>
          <w:snapToGrid w:val="0"/>
        </w:rPr>
        <w:t xml:space="preserve"> or </w:t>
      </w:r>
      <w:r w:rsidR="00E67FB9" w:rsidRPr="00A058B6">
        <w:rPr>
          <w:snapToGrid w:val="0"/>
        </w:rPr>
        <w:t xml:space="preserve">a </w:t>
      </w:r>
      <w:r w:rsidR="00E67FB9">
        <w:rPr>
          <w:snapToGrid w:val="0"/>
        </w:rPr>
        <w:t>splitting order</w:t>
      </w:r>
      <w:r>
        <w:rPr>
          <w:snapToGrid w:val="0"/>
        </w:rPr>
        <w:t>; and</w:t>
      </w:r>
    </w:p>
    <w:p w14:paraId="6963E1F0" w14:textId="6FF271B7" w:rsidR="00380E4F" w:rsidRDefault="00380E4F" w:rsidP="00380E4F">
      <w:pPr>
        <w:pStyle w:val="paragraph"/>
        <w:rPr>
          <w:snapToGrid w:val="0"/>
        </w:rPr>
      </w:pPr>
      <w:r>
        <w:rPr>
          <w:snapToGrid w:val="0"/>
        </w:rPr>
        <w:tab/>
        <w:t>(c)</w:t>
      </w:r>
      <w:r>
        <w:rPr>
          <w:snapToGrid w:val="0"/>
        </w:rPr>
        <w:tab/>
      </w:r>
      <w:r>
        <w:t xml:space="preserve">the Minister </w:t>
      </w:r>
      <w:r w:rsidRPr="00CD2453">
        <w:t xml:space="preserve">has </w:t>
      </w:r>
      <w:r>
        <w:t xml:space="preserve">not </w:t>
      </w:r>
      <w:r w:rsidRPr="00CD2453">
        <w:t>approved</w:t>
      </w:r>
      <w:r>
        <w:t xml:space="preserve">, under </w:t>
      </w:r>
      <w:r w:rsidR="00CB78B9">
        <w:t>section 7</w:t>
      </w:r>
      <w:r w:rsidR="00485CC2">
        <w:t>0</w:t>
      </w:r>
      <w:r>
        <w:t>,</w:t>
      </w:r>
      <w:r w:rsidRPr="00CD2453">
        <w:t xml:space="preserve"> </w:t>
      </w:r>
      <w:r>
        <w:t>a</w:t>
      </w:r>
      <w:r w:rsidRPr="00CD2453">
        <w:t xml:space="preserve"> method or factors </w:t>
      </w:r>
      <w:r>
        <w:t>for</w:t>
      </w:r>
      <w:r w:rsidRPr="00CD2453">
        <w:t xml:space="preserve"> determin</w:t>
      </w:r>
      <w:r>
        <w:t>ing</w:t>
      </w:r>
      <w:r w:rsidRPr="00CD2453">
        <w:t xml:space="preserve"> the gross value of the superannuation interest</w:t>
      </w:r>
      <w:r>
        <w:t>;</w:t>
      </w:r>
    </w:p>
    <w:p w14:paraId="406C7B53" w14:textId="6E3B44E7" w:rsidR="000509E7" w:rsidRDefault="000509E7" w:rsidP="000509E7">
      <w:pPr>
        <w:pStyle w:val="subsection2"/>
      </w:pPr>
      <w:r w:rsidRPr="00A058B6">
        <w:t xml:space="preserve">the </w:t>
      </w:r>
      <w:r w:rsidRPr="00A058B6">
        <w:rPr>
          <w:b/>
          <w:i/>
        </w:rPr>
        <w:t>value of the non</w:t>
      </w:r>
      <w:r w:rsidR="001952B3">
        <w:rPr>
          <w:b/>
          <w:i/>
        </w:rPr>
        <w:noBreakHyphen/>
      </w:r>
      <w:r w:rsidRPr="00A058B6">
        <w:rPr>
          <w:b/>
          <w:i/>
        </w:rPr>
        <w:t>member spouse’s entitlement</w:t>
      </w:r>
      <w:r w:rsidRPr="00A058B6">
        <w:t xml:space="preserve"> for the interest at the </w:t>
      </w:r>
      <w:r>
        <w:t xml:space="preserve">termination </w:t>
      </w:r>
      <w:r w:rsidRPr="00A058B6">
        <w:t>time is equal to:</w:t>
      </w:r>
    </w:p>
    <w:p w14:paraId="68D7F477" w14:textId="5DF8F0BF" w:rsidR="000509E7" w:rsidRPr="00831E26" w:rsidRDefault="00AA0B64" w:rsidP="00831E26">
      <w:pPr>
        <w:pStyle w:val="subsection2"/>
      </w:pPr>
      <w:r w:rsidRPr="00831E26">
        <w:rPr>
          <w:position w:val="-30"/>
        </w:rPr>
        <w:object w:dxaOrig="6039" w:dyaOrig="820" w14:anchorId="1C4CC24F">
          <v:shape id="_x0000_i1029" type="#_x0000_t75" alt="Start formula Value of the interest calculated under the applicable Schedule at the termination time times Specified percentage minus Any fees payable by the non-member spouse under section 98 end formula" style="width:302.7pt;height:40.35pt" o:ole="">
            <v:imagedata r:id="rId32" o:title=""/>
          </v:shape>
          <o:OLEObject Type="Embed" ProgID="Equation.DSMT4" ShapeID="_x0000_i1029" DrawAspect="Content" ObjectID="_1801634258" r:id="rId33"/>
        </w:object>
      </w:r>
    </w:p>
    <w:p w14:paraId="61D4B6AF" w14:textId="0B595F33" w:rsidR="00831E26" w:rsidRDefault="00831E26" w:rsidP="00831E26">
      <w:pPr>
        <w:pStyle w:val="subsection2"/>
      </w:pPr>
      <w:r>
        <w:t>where:</w:t>
      </w:r>
    </w:p>
    <w:p w14:paraId="3AEC7141" w14:textId="760F412B" w:rsidR="00831E26" w:rsidRDefault="00831E26" w:rsidP="00831E26">
      <w:pPr>
        <w:pStyle w:val="Definition"/>
      </w:pPr>
      <w:r w:rsidRPr="00831E26">
        <w:rPr>
          <w:b/>
          <w:bCs/>
          <w:i/>
          <w:iCs/>
        </w:rPr>
        <w:t>applicable Schedule</w:t>
      </w:r>
      <w:r>
        <w:t xml:space="preserve"> means:</w:t>
      </w:r>
    </w:p>
    <w:p w14:paraId="45FCBD5D" w14:textId="594BBBB8" w:rsidR="00831E26" w:rsidRDefault="00831E26" w:rsidP="00831E26">
      <w:pPr>
        <w:pStyle w:val="paragraph"/>
      </w:pPr>
      <w:r>
        <w:tab/>
        <w:t>(a)</w:t>
      </w:r>
      <w:r>
        <w:tab/>
        <w:t>for a fixed term annuity—</w:t>
      </w:r>
      <w:r w:rsidR="00453C86">
        <w:t>Schedule 9</w:t>
      </w:r>
      <w:r>
        <w:t>; or</w:t>
      </w:r>
    </w:p>
    <w:p w14:paraId="6F835E98" w14:textId="3C2D29C0" w:rsidR="00831E26" w:rsidRPr="00831E26" w:rsidRDefault="00831E26" w:rsidP="00831E26">
      <w:pPr>
        <w:pStyle w:val="paragraph"/>
      </w:pPr>
      <w:r>
        <w:tab/>
        <w:t>(b)</w:t>
      </w:r>
      <w:r>
        <w:tab/>
        <w:t>for a lifetime annuity—</w:t>
      </w:r>
      <w:r w:rsidR="00453C86">
        <w:t>Schedule 6</w:t>
      </w:r>
      <w:r>
        <w:t>.</w:t>
      </w:r>
    </w:p>
    <w:p w14:paraId="5A326EFE" w14:textId="0F96BFF8" w:rsidR="00AC7B97" w:rsidRPr="007B148A" w:rsidRDefault="00AC7B97" w:rsidP="00AC7B97">
      <w:pPr>
        <w:pStyle w:val="SubsectionHead"/>
      </w:pPr>
      <w:r>
        <w:t xml:space="preserve">Superannuation interest is in a </w:t>
      </w:r>
      <w:r w:rsidRPr="0061041E">
        <w:t>fixed</w:t>
      </w:r>
      <w:r w:rsidRPr="00A058B6">
        <w:t xml:space="preserve"> term annuity</w:t>
      </w:r>
      <w:r>
        <w:t xml:space="preserve"> or </w:t>
      </w:r>
      <w:r w:rsidRPr="00A058B6">
        <w:t>a lifeti</w:t>
      </w:r>
      <w:r w:rsidRPr="0061041E">
        <w:t>me annuity</w:t>
      </w:r>
      <w:r>
        <w:t xml:space="preserve">, and the </w:t>
      </w:r>
      <w:r w:rsidRPr="00380E4F">
        <w:t>Minister has approved a method or factors for the interest</w:t>
      </w:r>
    </w:p>
    <w:p w14:paraId="5BD8F0BF" w14:textId="4C31086B" w:rsidR="00AC7B97" w:rsidRDefault="00AC7B97" w:rsidP="00AC7B97">
      <w:pPr>
        <w:pStyle w:val="subsection"/>
      </w:pPr>
      <w:r>
        <w:tab/>
        <w:t>(</w:t>
      </w:r>
      <w:r w:rsidR="00E67FB9">
        <w:t>4</w:t>
      </w:r>
      <w:r>
        <w:t>)</w:t>
      </w:r>
      <w:r>
        <w:tab/>
        <w:t>If:</w:t>
      </w:r>
    </w:p>
    <w:p w14:paraId="2C98AD80" w14:textId="77777777" w:rsidR="00AC7B97" w:rsidRPr="00E57555" w:rsidRDefault="00AC7B97" w:rsidP="00AC7B97">
      <w:pPr>
        <w:pStyle w:val="paragraph"/>
      </w:pPr>
      <w:r>
        <w:lastRenderedPageBreak/>
        <w:tab/>
        <w:t>(a)</w:t>
      </w:r>
      <w:r>
        <w:tab/>
      </w:r>
      <w:r w:rsidRPr="00A058B6">
        <w:t>the super</w:t>
      </w:r>
      <w:r w:rsidRPr="00E57555">
        <w:t xml:space="preserve">annuation interest is in a superannuation annuity that is a </w:t>
      </w:r>
      <w:r w:rsidRPr="0061041E">
        <w:t>fixed</w:t>
      </w:r>
      <w:r w:rsidRPr="00A058B6">
        <w:t xml:space="preserve"> term annuity</w:t>
      </w:r>
      <w:r>
        <w:t xml:space="preserve"> or a </w:t>
      </w:r>
      <w:r w:rsidRPr="00E57555">
        <w:t>lifetime annuity; and</w:t>
      </w:r>
    </w:p>
    <w:p w14:paraId="7844C05E" w14:textId="1474B91F" w:rsidR="00AC7B97" w:rsidRDefault="00AC7B97" w:rsidP="00AC7B97">
      <w:pPr>
        <w:pStyle w:val="paragraph"/>
        <w:rPr>
          <w:snapToGrid w:val="0"/>
        </w:rPr>
      </w:pPr>
      <w:r w:rsidRPr="00E57555">
        <w:tab/>
        <w:t>(</w:t>
      </w:r>
      <w:r>
        <w:t>b</w:t>
      </w:r>
      <w:r w:rsidRPr="00E57555">
        <w:t>)</w:t>
      </w:r>
      <w:r w:rsidRPr="00E57555">
        <w:tab/>
        <w:t>the non</w:t>
      </w:r>
      <w:r w:rsidR="001952B3">
        <w:noBreakHyphen/>
      </w:r>
      <w:r w:rsidRPr="00E57555">
        <w:t>m</w:t>
      </w:r>
      <w:r w:rsidRPr="00A058B6">
        <w:t xml:space="preserve">ember spouse’s entitlement </w:t>
      </w:r>
      <w:r>
        <w:t xml:space="preserve">arises </w:t>
      </w:r>
      <w:r w:rsidRPr="00A058B6">
        <w:rPr>
          <w:snapToGrid w:val="0"/>
        </w:rPr>
        <w:t>under a superannuation agreement</w:t>
      </w:r>
      <w:r w:rsidR="00E67FB9">
        <w:rPr>
          <w:snapToGrid w:val="0"/>
        </w:rPr>
        <w:t>, a</w:t>
      </w:r>
      <w:r w:rsidRPr="00A058B6">
        <w:rPr>
          <w:snapToGrid w:val="0"/>
        </w:rPr>
        <w:t xml:space="preserve"> flag lifting agreement</w:t>
      </w:r>
      <w:r w:rsidR="00E67FB9">
        <w:rPr>
          <w:snapToGrid w:val="0"/>
        </w:rPr>
        <w:t xml:space="preserve"> or </w:t>
      </w:r>
      <w:r w:rsidR="00E67FB9" w:rsidRPr="00A058B6">
        <w:rPr>
          <w:snapToGrid w:val="0"/>
        </w:rPr>
        <w:t xml:space="preserve">a </w:t>
      </w:r>
      <w:r w:rsidR="00E67FB9">
        <w:rPr>
          <w:snapToGrid w:val="0"/>
        </w:rPr>
        <w:t>splitting order</w:t>
      </w:r>
      <w:r>
        <w:rPr>
          <w:snapToGrid w:val="0"/>
        </w:rPr>
        <w:t>; and</w:t>
      </w:r>
    </w:p>
    <w:p w14:paraId="72F1A158" w14:textId="29AECB72" w:rsidR="00B72798" w:rsidRDefault="00AC7B97" w:rsidP="00AC7B97">
      <w:pPr>
        <w:pStyle w:val="paragraph"/>
        <w:rPr>
          <w:snapToGrid w:val="0"/>
        </w:rPr>
      </w:pPr>
      <w:r>
        <w:rPr>
          <w:snapToGrid w:val="0"/>
        </w:rPr>
        <w:tab/>
        <w:t>(c)</w:t>
      </w:r>
      <w:r>
        <w:rPr>
          <w:snapToGrid w:val="0"/>
        </w:rPr>
        <w:tab/>
      </w:r>
      <w:r w:rsidR="00B72798">
        <w:t xml:space="preserve">the Minister </w:t>
      </w:r>
      <w:r w:rsidR="00B72798" w:rsidRPr="00CD2453">
        <w:t>has approved</w:t>
      </w:r>
      <w:r w:rsidR="000B4255">
        <w:t xml:space="preserve">, under </w:t>
      </w:r>
      <w:r w:rsidR="00CB78B9">
        <w:t>section 7</w:t>
      </w:r>
      <w:r w:rsidR="00485CC2">
        <w:t>0</w:t>
      </w:r>
      <w:r w:rsidR="000B4255">
        <w:t>,</w:t>
      </w:r>
      <w:r w:rsidR="00B72798" w:rsidRPr="00CD2453">
        <w:t xml:space="preserve"> </w:t>
      </w:r>
      <w:r w:rsidR="000B4255">
        <w:t>a</w:t>
      </w:r>
      <w:r w:rsidR="00B72798" w:rsidRPr="00CD2453">
        <w:t xml:space="preserve"> method or factors </w:t>
      </w:r>
      <w:r w:rsidR="000B4255">
        <w:t>for</w:t>
      </w:r>
      <w:r w:rsidR="00B72798" w:rsidRPr="00CD2453">
        <w:t xml:space="preserve"> determin</w:t>
      </w:r>
      <w:r w:rsidR="000B4255">
        <w:t>ing</w:t>
      </w:r>
      <w:r w:rsidR="00B72798" w:rsidRPr="00CD2453">
        <w:t xml:space="preserve"> the gross value of the superannuation interest</w:t>
      </w:r>
      <w:r w:rsidR="00B72798">
        <w:t>;</w:t>
      </w:r>
    </w:p>
    <w:p w14:paraId="6829B570" w14:textId="47335829" w:rsidR="00AC7B97" w:rsidRDefault="00AC7B97" w:rsidP="00AC7B97">
      <w:pPr>
        <w:pStyle w:val="subsection2"/>
      </w:pPr>
      <w:r w:rsidRPr="00A058B6">
        <w:t xml:space="preserve">the </w:t>
      </w:r>
      <w:r w:rsidRPr="00A058B6">
        <w:rPr>
          <w:b/>
          <w:i/>
        </w:rPr>
        <w:t>value of the non</w:t>
      </w:r>
      <w:r w:rsidR="001952B3">
        <w:rPr>
          <w:b/>
          <w:i/>
        </w:rPr>
        <w:noBreakHyphen/>
      </w:r>
      <w:r w:rsidRPr="00A058B6">
        <w:rPr>
          <w:b/>
          <w:i/>
        </w:rPr>
        <w:t>member spouse’s entitlement</w:t>
      </w:r>
      <w:r w:rsidRPr="00A058B6">
        <w:t xml:space="preserve"> for the interest at the </w:t>
      </w:r>
      <w:r>
        <w:t xml:space="preserve">termination </w:t>
      </w:r>
      <w:r w:rsidRPr="00A058B6">
        <w:t>time is equal to:</w:t>
      </w:r>
    </w:p>
    <w:p w14:paraId="07975941" w14:textId="33C23170" w:rsidR="00E67FB9" w:rsidRPr="00E67FB9" w:rsidRDefault="003A1845" w:rsidP="00E67FB9">
      <w:pPr>
        <w:pStyle w:val="subsection2"/>
      </w:pPr>
      <w:r w:rsidRPr="00E67FB9">
        <w:rPr>
          <w:position w:val="-30"/>
        </w:rPr>
        <w:object w:dxaOrig="5920" w:dyaOrig="820" w14:anchorId="0C84DAF4">
          <v:shape id="_x0000_i1030" type="#_x0000_t75" alt="Start formula Value of the interest calculated using the approved method or factors at the termination time times Specified percentage minus Any fees payable by the non-member spouse under section 98 end formula" style="width:296.7pt;height:41.25pt" o:ole="">
            <v:imagedata r:id="rId34" o:title=""/>
          </v:shape>
          <o:OLEObject Type="Embed" ProgID="Equation.DSMT4" ShapeID="_x0000_i1030" DrawAspect="Content" ObjectID="_1801634259" r:id="rId35"/>
        </w:object>
      </w:r>
    </w:p>
    <w:p w14:paraId="0694B73A" w14:textId="38453067" w:rsidR="00D930D9" w:rsidRPr="00A058B6" w:rsidRDefault="00B05FD6" w:rsidP="00D930D9">
      <w:pPr>
        <w:pStyle w:val="ActHead3"/>
        <w:pageBreakBefore/>
      </w:pPr>
      <w:bookmarkStart w:id="53" w:name="_Toc188350540"/>
      <w:r w:rsidRPr="00423C34">
        <w:rPr>
          <w:rStyle w:val="CharDivNo"/>
        </w:rPr>
        <w:lastRenderedPageBreak/>
        <w:t>Division 5</w:t>
      </w:r>
      <w:r w:rsidR="00D930D9" w:rsidRPr="00A058B6">
        <w:t>—</w:t>
      </w:r>
      <w:r w:rsidR="00D930D9" w:rsidRPr="00423C34">
        <w:rPr>
          <w:rStyle w:val="CharDivText"/>
        </w:rPr>
        <w:t>When the payment by the member spouse is in satisfaction of the non</w:t>
      </w:r>
      <w:r w:rsidR="001952B3" w:rsidRPr="00423C34">
        <w:rPr>
          <w:rStyle w:val="CharDivText"/>
        </w:rPr>
        <w:noBreakHyphen/>
      </w:r>
      <w:r w:rsidR="00D930D9" w:rsidRPr="00423C34">
        <w:rPr>
          <w:rStyle w:val="CharDivText"/>
        </w:rPr>
        <w:t>member spouse’s entitlement under agreement or order</w:t>
      </w:r>
      <w:bookmarkEnd w:id="53"/>
    </w:p>
    <w:p w14:paraId="1245F0A2" w14:textId="2EF2EAD7" w:rsidR="00D930D9" w:rsidRPr="00A058B6" w:rsidRDefault="00485CC2" w:rsidP="00D930D9">
      <w:pPr>
        <w:pStyle w:val="ActHead5"/>
      </w:pPr>
      <w:bookmarkStart w:id="54" w:name="_Toc188350541"/>
      <w:r w:rsidRPr="00423C34">
        <w:rPr>
          <w:rStyle w:val="CharSectno"/>
        </w:rPr>
        <w:t>36</w:t>
      </w:r>
      <w:r w:rsidR="00D930D9" w:rsidRPr="00A058B6">
        <w:t xml:space="preserve">  Requirements of this </w:t>
      </w:r>
      <w:r w:rsidR="00D930D9">
        <w:t>D</w:t>
      </w:r>
      <w:r w:rsidR="00D930D9" w:rsidRPr="00A058B6">
        <w:t>ivision</w:t>
      </w:r>
      <w:bookmarkEnd w:id="54"/>
    </w:p>
    <w:p w14:paraId="202D320C" w14:textId="39BC6D3C" w:rsidR="00D930D9" w:rsidRPr="00A058B6" w:rsidRDefault="00D930D9" w:rsidP="00D930D9">
      <w:pPr>
        <w:pStyle w:val="subsection"/>
        <w:rPr>
          <w:snapToGrid w:val="0"/>
        </w:rPr>
      </w:pPr>
      <w:r w:rsidRPr="00A058B6">
        <w:tab/>
        <w:t>(1)</w:t>
      </w:r>
      <w:r w:rsidRPr="00A058B6">
        <w:tab/>
        <w:t xml:space="preserve">The requirements of this </w:t>
      </w:r>
      <w:r>
        <w:t>D</w:t>
      </w:r>
      <w:r w:rsidRPr="00A058B6">
        <w:t>ivision are met for a non</w:t>
      </w:r>
      <w:r w:rsidR="001952B3">
        <w:noBreakHyphen/>
      </w:r>
      <w:r w:rsidRPr="00A058B6">
        <w:t xml:space="preserve">member spouse’s entitlement </w:t>
      </w:r>
      <w:r w:rsidRPr="00A058B6">
        <w:rPr>
          <w:snapToGrid w:val="0"/>
        </w:rPr>
        <w:t xml:space="preserve">under a particular superannuation agreement, flag lifting agreement or splitting order in respect of a superannuation interest if </w:t>
      </w:r>
      <w:r w:rsidR="00A52DA5">
        <w:rPr>
          <w:snapToGrid w:val="0"/>
        </w:rPr>
        <w:t>subsection (</w:t>
      </w:r>
      <w:r w:rsidRPr="00A058B6">
        <w:rPr>
          <w:snapToGrid w:val="0"/>
        </w:rPr>
        <w:t>2) or (3) applies for the interest</w:t>
      </w:r>
      <w:r w:rsidR="00D7157D">
        <w:rPr>
          <w:snapToGrid w:val="0"/>
        </w:rPr>
        <w:t>.</w:t>
      </w:r>
    </w:p>
    <w:p w14:paraId="00E5BCDF" w14:textId="77777777" w:rsidR="00D930D9" w:rsidRPr="00A058B6" w:rsidRDefault="00D930D9" w:rsidP="00D930D9">
      <w:pPr>
        <w:pStyle w:val="subsection"/>
      </w:pPr>
      <w:r w:rsidRPr="00A058B6">
        <w:tab/>
        <w:t>(2)</w:t>
      </w:r>
      <w:r w:rsidRPr="00A058B6">
        <w:tab/>
        <w:t>This subsection applies for the superannuation interest if:</w:t>
      </w:r>
    </w:p>
    <w:p w14:paraId="088B6792" w14:textId="77777777" w:rsidR="00D930D9" w:rsidRPr="00A058B6" w:rsidRDefault="00D930D9" w:rsidP="00D930D9">
      <w:pPr>
        <w:pStyle w:val="paragraph"/>
      </w:pPr>
      <w:r w:rsidRPr="00A058B6">
        <w:tab/>
        <w:t>(a)</w:t>
      </w:r>
      <w:r w:rsidRPr="00A058B6">
        <w:tab/>
        <w:t>the interest is in a regulated superannuation fund, an exempt public sector superannuation scheme, an approved deposit fund, an RSA or a superannuation annuity; and</w:t>
      </w:r>
    </w:p>
    <w:p w14:paraId="6710F420" w14:textId="77777777" w:rsidR="00D930D9" w:rsidRPr="00A058B6" w:rsidRDefault="00D930D9" w:rsidP="00D930D9">
      <w:pPr>
        <w:pStyle w:val="paragraph"/>
      </w:pPr>
      <w:r w:rsidRPr="00A058B6">
        <w:tab/>
        <w:t>(b)</w:t>
      </w:r>
      <w:r w:rsidRPr="00A058B6">
        <w:tab/>
        <w:t>either of the following has happened:</w:t>
      </w:r>
    </w:p>
    <w:p w14:paraId="10725BCA" w14:textId="05EDA541" w:rsidR="00D930D9" w:rsidRPr="00A058B6" w:rsidRDefault="00D930D9" w:rsidP="00D930D9">
      <w:pPr>
        <w:pStyle w:val="paragraphsub"/>
      </w:pPr>
      <w:r w:rsidRPr="00A058B6">
        <w:tab/>
        <w:t>(i)</w:t>
      </w:r>
      <w:r w:rsidRPr="00A058B6">
        <w:tab/>
        <w:t>if the non</w:t>
      </w:r>
      <w:r w:rsidR="001952B3">
        <w:noBreakHyphen/>
      </w:r>
      <w:r w:rsidRPr="00A058B6">
        <w:t>member spouse has satisfied a relevant condition of release in relation to the interest—the member spouse has paid to the non</w:t>
      </w:r>
      <w:r w:rsidR="001952B3">
        <w:noBreakHyphen/>
      </w:r>
      <w:r w:rsidRPr="00A058B6">
        <w:t>member spouse an amount in satisfaction of the non</w:t>
      </w:r>
      <w:r w:rsidR="001952B3">
        <w:noBreakHyphen/>
      </w:r>
      <w:r w:rsidRPr="00A058B6">
        <w:t>member spouse’s entitlement in respect of the interest;</w:t>
      </w:r>
    </w:p>
    <w:p w14:paraId="0E37FC3F" w14:textId="3400C5DA" w:rsidR="00D930D9" w:rsidRPr="00A058B6" w:rsidRDefault="00D930D9" w:rsidP="00D930D9">
      <w:pPr>
        <w:pStyle w:val="paragraphsub"/>
      </w:pPr>
      <w:r w:rsidRPr="00A058B6">
        <w:tab/>
        <w:t>(ii)</w:t>
      </w:r>
      <w:r w:rsidRPr="00A058B6">
        <w:tab/>
        <w:t>otherwise—the member spouse has paid to another regulated superannuation fund, exempt public sector superannuation scheme or an RSA, an amount, to be held for the benefit of the non</w:t>
      </w:r>
      <w:r w:rsidR="001952B3">
        <w:noBreakHyphen/>
      </w:r>
      <w:r w:rsidRPr="00A058B6">
        <w:t>member spouse, in satisfaction of the non</w:t>
      </w:r>
      <w:r w:rsidR="001952B3">
        <w:noBreakHyphen/>
      </w:r>
      <w:r w:rsidRPr="00A058B6">
        <w:t>member spouse’s entitlement in respect of the interest; and</w:t>
      </w:r>
    </w:p>
    <w:p w14:paraId="14D4C8A4" w14:textId="77777777" w:rsidR="00D930D9" w:rsidRPr="00A058B6" w:rsidRDefault="00D930D9" w:rsidP="00D930D9">
      <w:pPr>
        <w:pStyle w:val="paragraph"/>
      </w:pPr>
      <w:r w:rsidRPr="00A058B6">
        <w:tab/>
        <w:t>(c)</w:t>
      </w:r>
      <w:r w:rsidRPr="00A058B6">
        <w:tab/>
        <w:t>the interest was in the growth phase at the time of the payment; and</w:t>
      </w:r>
    </w:p>
    <w:p w14:paraId="4222078E" w14:textId="192579B3" w:rsidR="00D930D9" w:rsidRPr="00A058B6" w:rsidRDefault="00D930D9" w:rsidP="00D930D9">
      <w:pPr>
        <w:pStyle w:val="paragraph"/>
      </w:pPr>
      <w:r w:rsidRPr="00A058B6">
        <w:tab/>
        <w:t>(d)</w:t>
      </w:r>
      <w:r w:rsidRPr="00A058B6">
        <w:tab/>
        <w:t xml:space="preserve">after the payment mentioned in </w:t>
      </w:r>
      <w:r w:rsidR="00453C86">
        <w:t>paragraph (</w:t>
      </w:r>
      <w:r w:rsidRPr="00A058B6">
        <w:t xml:space="preserve">b), a notice in accordance with Form 1 in </w:t>
      </w:r>
      <w:r w:rsidR="00453C86">
        <w:t>Schedule 1</w:t>
      </w:r>
      <w:r w:rsidRPr="00A058B6">
        <w:t>, signed by the non</w:t>
      </w:r>
      <w:r w:rsidR="001952B3">
        <w:noBreakHyphen/>
      </w:r>
      <w:r w:rsidRPr="00A058B6">
        <w:t>member spouse in respect of the interest, has been served on the trustee of the plan</w:t>
      </w:r>
      <w:r w:rsidR="00D7157D">
        <w:t>.</w:t>
      </w:r>
    </w:p>
    <w:p w14:paraId="2E88B378" w14:textId="77777777" w:rsidR="00D930D9" w:rsidRPr="00A058B6" w:rsidRDefault="00D930D9" w:rsidP="00D930D9">
      <w:pPr>
        <w:pStyle w:val="subsection"/>
      </w:pPr>
      <w:r w:rsidRPr="00A058B6">
        <w:tab/>
        <w:t>(3)</w:t>
      </w:r>
      <w:r w:rsidRPr="00A058B6">
        <w:tab/>
        <w:t>This subsection applies for the superannuation interest if:</w:t>
      </w:r>
    </w:p>
    <w:p w14:paraId="4D59D71D" w14:textId="77777777" w:rsidR="00D930D9" w:rsidRPr="00A058B6" w:rsidRDefault="00D930D9" w:rsidP="00D930D9">
      <w:pPr>
        <w:pStyle w:val="paragraph"/>
      </w:pPr>
      <w:r w:rsidRPr="00A058B6">
        <w:tab/>
        <w:t>(a)</w:t>
      </w:r>
      <w:r w:rsidRPr="00A058B6">
        <w:tab/>
        <w:t>the interest is in a superannuation fund that is neither a regulated superannuation fund nor an exempt public sector superannuation scheme; and</w:t>
      </w:r>
    </w:p>
    <w:p w14:paraId="0A9E492F" w14:textId="17DB6F9C" w:rsidR="00D930D9" w:rsidRPr="00A058B6" w:rsidRDefault="00D930D9" w:rsidP="00D930D9">
      <w:pPr>
        <w:pStyle w:val="paragraph"/>
      </w:pPr>
      <w:r w:rsidRPr="00A058B6">
        <w:tab/>
        <w:t>(b)</w:t>
      </w:r>
      <w:r w:rsidRPr="00A058B6">
        <w:tab/>
        <w:t>the member spouse has paid to the non</w:t>
      </w:r>
      <w:r w:rsidR="001952B3">
        <w:noBreakHyphen/>
      </w:r>
      <w:r w:rsidRPr="00A058B6">
        <w:t>member spouse an amount in satisfaction of the non</w:t>
      </w:r>
      <w:r w:rsidR="001952B3">
        <w:noBreakHyphen/>
      </w:r>
      <w:r w:rsidRPr="00A058B6">
        <w:t>member spouse’s entitlement in respect of the interest; and</w:t>
      </w:r>
    </w:p>
    <w:p w14:paraId="756A34C9" w14:textId="77777777" w:rsidR="00D930D9" w:rsidRPr="00A058B6" w:rsidRDefault="00D930D9" w:rsidP="00D930D9">
      <w:pPr>
        <w:pStyle w:val="paragraph"/>
      </w:pPr>
      <w:r w:rsidRPr="00A058B6">
        <w:tab/>
        <w:t>(c)</w:t>
      </w:r>
      <w:r w:rsidRPr="00A058B6">
        <w:tab/>
        <w:t>the interest was in the growth phase at the time of the payment; and</w:t>
      </w:r>
    </w:p>
    <w:p w14:paraId="06780360" w14:textId="63DAFB01" w:rsidR="00D930D9" w:rsidRPr="00A058B6" w:rsidRDefault="00D930D9" w:rsidP="00D930D9">
      <w:pPr>
        <w:pStyle w:val="paragraph"/>
      </w:pPr>
      <w:r w:rsidRPr="00A058B6">
        <w:tab/>
        <w:t>(d)</w:t>
      </w:r>
      <w:r w:rsidRPr="00A058B6">
        <w:tab/>
        <w:t xml:space="preserve">after the payment, a notice in accordance with Form 1 in </w:t>
      </w:r>
      <w:r w:rsidR="00453C86">
        <w:t>Schedule 1</w:t>
      </w:r>
      <w:r w:rsidRPr="00A058B6">
        <w:t>, signed by the non</w:t>
      </w:r>
      <w:r w:rsidR="001952B3">
        <w:noBreakHyphen/>
      </w:r>
      <w:r w:rsidRPr="00A058B6">
        <w:t>member spouse in respect of the interest, has been served on the trustee of the plan</w:t>
      </w:r>
      <w:r w:rsidR="00D7157D">
        <w:t>.</w:t>
      </w:r>
    </w:p>
    <w:p w14:paraId="45263332" w14:textId="77777777" w:rsidR="00D930D9" w:rsidRPr="00A058B6" w:rsidRDefault="00E84409" w:rsidP="00D930D9">
      <w:pPr>
        <w:pStyle w:val="ActHead2"/>
        <w:pageBreakBefore/>
      </w:pPr>
      <w:bookmarkStart w:id="55" w:name="_Toc188350542"/>
      <w:r w:rsidRPr="00423C34">
        <w:rPr>
          <w:rStyle w:val="CharPartNo"/>
        </w:rPr>
        <w:lastRenderedPageBreak/>
        <w:t>Part 4</w:t>
      </w:r>
      <w:r w:rsidR="00D930D9" w:rsidRPr="00A058B6">
        <w:t>—</w:t>
      </w:r>
      <w:r w:rsidR="00D930D9" w:rsidRPr="00423C34">
        <w:rPr>
          <w:rStyle w:val="CharPartText"/>
        </w:rPr>
        <w:t>Payment splitting or flagging by agreement</w:t>
      </w:r>
      <w:bookmarkEnd w:id="55"/>
    </w:p>
    <w:p w14:paraId="6586DD47" w14:textId="3564A00B" w:rsidR="00D930D9" w:rsidRPr="00A058B6" w:rsidRDefault="00B05FD6" w:rsidP="00D930D9">
      <w:pPr>
        <w:pStyle w:val="ActHead3"/>
      </w:pPr>
      <w:bookmarkStart w:id="56" w:name="_Toc188350543"/>
      <w:r w:rsidRPr="00423C34">
        <w:rPr>
          <w:rStyle w:val="CharDivNo"/>
        </w:rPr>
        <w:t>Division 1</w:t>
      </w:r>
      <w:r w:rsidR="00D930D9" w:rsidRPr="00A058B6">
        <w:t>—</w:t>
      </w:r>
      <w:r w:rsidR="00D930D9" w:rsidRPr="00423C34">
        <w:rPr>
          <w:rStyle w:val="CharDivText"/>
        </w:rPr>
        <w:t>Superannuation interest that is not a percentage</w:t>
      </w:r>
      <w:r w:rsidR="001952B3" w:rsidRPr="00423C34">
        <w:rPr>
          <w:rStyle w:val="CharDivText"/>
        </w:rPr>
        <w:noBreakHyphen/>
      </w:r>
      <w:r w:rsidR="00D930D9" w:rsidRPr="00423C34">
        <w:rPr>
          <w:rStyle w:val="CharDivText"/>
        </w:rPr>
        <w:t>only interest</w:t>
      </w:r>
      <w:bookmarkEnd w:id="56"/>
    </w:p>
    <w:p w14:paraId="01E3DE04" w14:textId="173479D6" w:rsidR="00D930D9" w:rsidRPr="00A058B6" w:rsidRDefault="00485CC2" w:rsidP="00D930D9">
      <w:pPr>
        <w:pStyle w:val="ActHead5"/>
      </w:pPr>
      <w:bookmarkStart w:id="57" w:name="_Toc188350544"/>
      <w:r w:rsidRPr="00423C34">
        <w:rPr>
          <w:rStyle w:val="CharSectno"/>
        </w:rPr>
        <w:t>37</w:t>
      </w:r>
      <w:r w:rsidR="00D930D9" w:rsidRPr="00A058B6">
        <w:t xml:space="preserve">  Application of this Division—agreements specifying a base amount or method for calculating a base amount</w:t>
      </w:r>
      <w:bookmarkEnd w:id="57"/>
    </w:p>
    <w:p w14:paraId="1DC8DE2D" w14:textId="77777777" w:rsidR="00D930D9" w:rsidRPr="00A058B6" w:rsidRDefault="00D930D9" w:rsidP="00D930D9">
      <w:pPr>
        <w:pStyle w:val="subsection"/>
      </w:pPr>
      <w:r w:rsidRPr="00A058B6">
        <w:tab/>
        <w:t>(1)</w:t>
      </w:r>
      <w:r w:rsidRPr="00A058B6">
        <w:tab/>
        <w:t>This Division applies to a payment split under a superannuation agreement or flag lifting agreement in relation to a superannuation interest of a member spouse if:</w:t>
      </w:r>
    </w:p>
    <w:p w14:paraId="3E0029F5" w14:textId="2CFC5FF3" w:rsidR="00D930D9" w:rsidRPr="00A058B6" w:rsidRDefault="00D930D9" w:rsidP="00D930D9">
      <w:pPr>
        <w:pStyle w:val="paragraph"/>
      </w:pPr>
      <w:r w:rsidRPr="00A058B6">
        <w:tab/>
        <w:t>(a)</w:t>
      </w:r>
      <w:r w:rsidRPr="00A058B6">
        <w:tab/>
        <w:t>the interest is not a percentage</w:t>
      </w:r>
      <w:r w:rsidR="001952B3">
        <w:noBreakHyphen/>
      </w:r>
      <w:r w:rsidRPr="00A058B6">
        <w:t>only interest; and</w:t>
      </w:r>
    </w:p>
    <w:p w14:paraId="27568308" w14:textId="0A90A240" w:rsidR="00D930D9" w:rsidRPr="00A058B6" w:rsidRDefault="00D930D9" w:rsidP="00D930D9">
      <w:pPr>
        <w:pStyle w:val="paragraph"/>
      </w:pPr>
      <w:r w:rsidRPr="00A058B6">
        <w:tab/>
        <w:t>(b)</w:t>
      </w:r>
      <w:r w:rsidRPr="00A058B6">
        <w:tab/>
        <w:t xml:space="preserve">the agreement specifies an amount or a method in accordance with </w:t>
      </w:r>
      <w:r w:rsidR="00FE15C4">
        <w:t>subparagraph 9</w:t>
      </w:r>
      <w:r w:rsidRPr="00A058B6">
        <w:t>0XJ(1)(c)(i) or (ii), or 90YN(1)(c)(i) or (ii), of the Act</w:t>
      </w:r>
      <w:r w:rsidR="00D7157D">
        <w:t>.</w:t>
      </w:r>
    </w:p>
    <w:p w14:paraId="3CED9A61" w14:textId="77777777" w:rsidR="00D930D9" w:rsidRPr="00A058B6" w:rsidRDefault="00D930D9" w:rsidP="00D930D9">
      <w:pPr>
        <w:pStyle w:val="notetext"/>
      </w:pPr>
      <w:r w:rsidRPr="00A058B6">
        <w:t>Note:</w:t>
      </w:r>
      <w:r w:rsidRPr="00A058B6">
        <w:tab/>
      </w:r>
      <w:r w:rsidR="00B05FD6">
        <w:t>Paragraph (</w:t>
      </w:r>
      <w:r w:rsidRPr="00A058B6">
        <w:t>b) means the agreement is specifying a base amount, or method for calculating a base amount, in relation to the interest</w:t>
      </w:r>
      <w:r w:rsidR="00D7157D">
        <w:t>.</w:t>
      </w:r>
    </w:p>
    <w:p w14:paraId="0248583A" w14:textId="4F2534EB" w:rsidR="00D930D9" w:rsidRPr="00A058B6" w:rsidRDefault="00D930D9" w:rsidP="00D930D9">
      <w:pPr>
        <w:pStyle w:val="subsection"/>
      </w:pPr>
      <w:r w:rsidRPr="00A058B6">
        <w:tab/>
        <w:t>(2)</w:t>
      </w:r>
      <w:r w:rsidRPr="00A058B6">
        <w:tab/>
        <w:t xml:space="preserve">For the purposes of </w:t>
      </w:r>
      <w:r w:rsidR="00FE15C4">
        <w:t>paragraph 9</w:t>
      </w:r>
      <w:r w:rsidRPr="00A058B6">
        <w:t>0XJ(4)(b) or 90YN(4)(b) of the Act, this Division enables the calculation of the amount that the non</w:t>
      </w:r>
      <w:r w:rsidR="001952B3">
        <w:noBreakHyphen/>
      </w:r>
      <w:r w:rsidRPr="00A058B6">
        <w:t xml:space="preserve">member spouse is entitled to be paid in respect of </w:t>
      </w:r>
      <w:r>
        <w:t>each</w:t>
      </w:r>
      <w:r w:rsidRPr="00A058B6">
        <w:t xml:space="preserve"> splittable payment that becomes payable in respect of the interest</w:t>
      </w:r>
      <w:r w:rsidR="00D7157D">
        <w:t>.</w:t>
      </w:r>
    </w:p>
    <w:p w14:paraId="2C6D6C82" w14:textId="05EA2773" w:rsidR="00D930D9" w:rsidRPr="00A058B6" w:rsidRDefault="00485CC2" w:rsidP="00D930D9">
      <w:pPr>
        <w:pStyle w:val="ActHead5"/>
      </w:pPr>
      <w:bookmarkStart w:id="58" w:name="_Toc188350545"/>
      <w:r w:rsidRPr="00423C34">
        <w:rPr>
          <w:rStyle w:val="CharSectno"/>
        </w:rPr>
        <w:t>38</w:t>
      </w:r>
      <w:r w:rsidR="00D930D9" w:rsidRPr="00A058B6">
        <w:t xml:space="preserve">  Entitlement of non</w:t>
      </w:r>
      <w:r w:rsidR="001952B3">
        <w:noBreakHyphen/>
      </w:r>
      <w:r w:rsidR="00D930D9" w:rsidRPr="00A058B6">
        <w:t>member spouse under the agreement—superannuation interest not in existence or in growth phase</w:t>
      </w:r>
      <w:bookmarkEnd w:id="58"/>
    </w:p>
    <w:p w14:paraId="7CE87CFC" w14:textId="77777777" w:rsidR="00D930D9" w:rsidRPr="00A058B6" w:rsidRDefault="00D930D9" w:rsidP="00D930D9">
      <w:pPr>
        <w:pStyle w:val="subsection"/>
      </w:pPr>
      <w:r w:rsidRPr="00A058B6">
        <w:tab/>
        <w:t>(1)</w:t>
      </w:r>
      <w:r w:rsidRPr="00A058B6">
        <w:tab/>
        <w:t>This section applies if the superannuation interest:</w:t>
      </w:r>
    </w:p>
    <w:p w14:paraId="7E0FC482" w14:textId="77777777" w:rsidR="00D930D9" w:rsidRPr="00A058B6" w:rsidRDefault="00D930D9" w:rsidP="00D930D9">
      <w:pPr>
        <w:pStyle w:val="paragraph"/>
      </w:pPr>
      <w:r w:rsidRPr="00A058B6">
        <w:tab/>
        <w:t>(a)</w:t>
      </w:r>
      <w:r w:rsidRPr="00A058B6">
        <w:tab/>
        <w:t>is not a small superannuation accounts interest; and</w:t>
      </w:r>
    </w:p>
    <w:p w14:paraId="3DF29DE5" w14:textId="77777777" w:rsidR="00D930D9" w:rsidRPr="00A058B6" w:rsidRDefault="00D930D9" w:rsidP="00D930D9">
      <w:pPr>
        <w:pStyle w:val="paragraph"/>
      </w:pPr>
      <w:r w:rsidRPr="00A058B6">
        <w:tab/>
        <w:t>(b)</w:t>
      </w:r>
      <w:r w:rsidRPr="00A058B6">
        <w:tab/>
        <w:t xml:space="preserve">is not in existence at the date of the agreement, or is in the growth phase at the date of the agreement and is not in the payment phase at the date when the agreement is served on the trustee under </w:t>
      </w:r>
      <w:r w:rsidR="00AF1E4E">
        <w:t>section 9</w:t>
      </w:r>
      <w:r w:rsidRPr="00A058B6">
        <w:t>0XI or 90YM of the Act</w:t>
      </w:r>
      <w:r w:rsidR="00D7157D">
        <w:t>.</w:t>
      </w:r>
    </w:p>
    <w:p w14:paraId="1FA03EF9" w14:textId="00EC1A1F" w:rsidR="00D930D9" w:rsidRDefault="00D930D9" w:rsidP="00D930D9">
      <w:pPr>
        <w:pStyle w:val="subsection"/>
      </w:pPr>
      <w:r w:rsidRPr="00A058B6">
        <w:tab/>
        <w:t>(2)</w:t>
      </w:r>
      <w:r w:rsidRPr="00A058B6">
        <w:tab/>
        <w:t>The amount (if any) that the non</w:t>
      </w:r>
      <w:r w:rsidR="001952B3">
        <w:noBreakHyphen/>
      </w:r>
      <w:r w:rsidRPr="00A058B6">
        <w:t xml:space="preserve">member spouse is entitled to be paid in respect of the splittable payment is the amount calculated under </w:t>
      </w:r>
      <w:r w:rsidR="00453C86">
        <w:t>Division 2</w:t>
      </w:r>
      <w:r w:rsidRPr="00A058B6">
        <w:t xml:space="preserve"> of </w:t>
      </w:r>
      <w:r w:rsidR="00453C86">
        <w:t>Part 7</w:t>
      </w:r>
      <w:r w:rsidR="00D7157D">
        <w:t>.</w:t>
      </w:r>
    </w:p>
    <w:p w14:paraId="619C95B2" w14:textId="6FDF76EF" w:rsidR="00D930D9" w:rsidRPr="00A058B6" w:rsidRDefault="00485CC2" w:rsidP="00D930D9">
      <w:pPr>
        <w:pStyle w:val="ActHead5"/>
      </w:pPr>
      <w:bookmarkStart w:id="59" w:name="_Toc188350546"/>
      <w:r w:rsidRPr="00423C34">
        <w:rPr>
          <w:rStyle w:val="CharSectno"/>
        </w:rPr>
        <w:t>39</w:t>
      </w:r>
      <w:r w:rsidR="00D930D9" w:rsidRPr="00A058B6">
        <w:t xml:space="preserve">  Entitlement of non</w:t>
      </w:r>
      <w:r w:rsidR="001952B3">
        <w:noBreakHyphen/>
      </w:r>
      <w:r w:rsidR="00D930D9" w:rsidRPr="00A058B6">
        <w:t>member spouse under the agreement—superannuation interest in payment phase</w:t>
      </w:r>
      <w:bookmarkEnd w:id="59"/>
    </w:p>
    <w:p w14:paraId="4F27B331" w14:textId="77777777" w:rsidR="00D930D9" w:rsidRPr="00A058B6" w:rsidRDefault="00D930D9" w:rsidP="00D930D9">
      <w:pPr>
        <w:pStyle w:val="subsection"/>
      </w:pPr>
      <w:r w:rsidRPr="00A058B6">
        <w:tab/>
        <w:t>(1)</w:t>
      </w:r>
      <w:r w:rsidRPr="00A058B6">
        <w:tab/>
        <w:t>This section applies if the superannuation interest:</w:t>
      </w:r>
    </w:p>
    <w:p w14:paraId="41123D5C" w14:textId="77777777" w:rsidR="00D930D9" w:rsidRPr="00A058B6" w:rsidRDefault="00D930D9" w:rsidP="00D930D9">
      <w:pPr>
        <w:pStyle w:val="paragraph"/>
        <w:keepNext/>
        <w:keepLines/>
      </w:pPr>
      <w:r w:rsidRPr="00A058B6">
        <w:tab/>
        <w:t>(a)</w:t>
      </w:r>
      <w:r w:rsidRPr="00A058B6">
        <w:tab/>
        <w:t>is not a small superannuation accounts interest; and</w:t>
      </w:r>
    </w:p>
    <w:p w14:paraId="73C8D519" w14:textId="77777777" w:rsidR="00D930D9" w:rsidRPr="00A058B6" w:rsidRDefault="00D930D9" w:rsidP="00D930D9">
      <w:pPr>
        <w:pStyle w:val="paragraph"/>
        <w:keepNext/>
        <w:keepLines/>
      </w:pPr>
      <w:r w:rsidRPr="00A058B6">
        <w:tab/>
        <w:t>(b)</w:t>
      </w:r>
      <w:r w:rsidRPr="00A058B6">
        <w:tab/>
        <w:t xml:space="preserve">is in the payment phase at the date of the agreement or the date when the agreement is served on the trustee under </w:t>
      </w:r>
      <w:r w:rsidR="00AF1E4E">
        <w:t>section 9</w:t>
      </w:r>
      <w:r w:rsidRPr="00A058B6">
        <w:t>0XI or 90YM of the Act</w:t>
      </w:r>
      <w:r w:rsidR="00D7157D">
        <w:t>.</w:t>
      </w:r>
    </w:p>
    <w:p w14:paraId="7AA428BF" w14:textId="12A410D9" w:rsidR="00D930D9" w:rsidRPr="00A058B6" w:rsidRDefault="00D930D9" w:rsidP="00D930D9">
      <w:pPr>
        <w:pStyle w:val="subsection"/>
      </w:pPr>
      <w:r w:rsidRPr="00A058B6">
        <w:tab/>
        <w:t>(2)</w:t>
      </w:r>
      <w:r w:rsidRPr="00A058B6">
        <w:tab/>
        <w:t>The amount that the non</w:t>
      </w:r>
      <w:r w:rsidR="001952B3">
        <w:noBreakHyphen/>
      </w:r>
      <w:r w:rsidRPr="00A058B6">
        <w:t xml:space="preserve">member spouse is entitled to be paid in respect of the splittable payment is the amount calculated under </w:t>
      </w:r>
      <w:r w:rsidR="00881039">
        <w:t>Division 3</w:t>
      </w:r>
      <w:r w:rsidRPr="00A058B6">
        <w:t xml:space="preserve"> of </w:t>
      </w:r>
      <w:r w:rsidR="00453C86">
        <w:t>Part 7</w:t>
      </w:r>
      <w:r w:rsidR="00D7157D">
        <w:t>.</w:t>
      </w:r>
    </w:p>
    <w:p w14:paraId="06BC3395" w14:textId="65A9F705" w:rsidR="00D930D9" w:rsidRPr="00A058B6" w:rsidRDefault="00453C86" w:rsidP="00D930D9">
      <w:pPr>
        <w:pStyle w:val="ActHead3"/>
      </w:pPr>
      <w:bookmarkStart w:id="60" w:name="_Toc188350547"/>
      <w:r w:rsidRPr="00423C34">
        <w:rPr>
          <w:rStyle w:val="CharDivNo"/>
        </w:rPr>
        <w:lastRenderedPageBreak/>
        <w:t>Division 2</w:t>
      </w:r>
      <w:r w:rsidR="00D930D9" w:rsidRPr="00A058B6">
        <w:t>—</w:t>
      </w:r>
      <w:r w:rsidR="00D930D9" w:rsidRPr="00423C34">
        <w:rPr>
          <w:rStyle w:val="CharDivText"/>
        </w:rPr>
        <w:t>Superannuation interest that is a percentage</w:t>
      </w:r>
      <w:r w:rsidR="001952B3" w:rsidRPr="00423C34">
        <w:rPr>
          <w:rStyle w:val="CharDivText"/>
        </w:rPr>
        <w:noBreakHyphen/>
      </w:r>
      <w:r w:rsidR="00D930D9" w:rsidRPr="00423C34">
        <w:rPr>
          <w:rStyle w:val="CharDivText"/>
        </w:rPr>
        <w:t>only interest</w:t>
      </w:r>
      <w:bookmarkEnd w:id="60"/>
    </w:p>
    <w:p w14:paraId="7D1388E8" w14:textId="643174B5" w:rsidR="00D930D9" w:rsidRPr="00A058B6" w:rsidRDefault="00485CC2" w:rsidP="00D930D9">
      <w:pPr>
        <w:pStyle w:val="ActHead5"/>
      </w:pPr>
      <w:bookmarkStart w:id="61" w:name="_Toc188350548"/>
      <w:r w:rsidRPr="00423C34">
        <w:rPr>
          <w:rStyle w:val="CharSectno"/>
        </w:rPr>
        <w:t>40</w:t>
      </w:r>
      <w:r w:rsidR="00D930D9" w:rsidRPr="00A058B6">
        <w:t xml:space="preserve">  Application of this Division—agreements specifying a percentage</w:t>
      </w:r>
      <w:bookmarkEnd w:id="61"/>
    </w:p>
    <w:p w14:paraId="71782BCE" w14:textId="77777777" w:rsidR="00D930D9" w:rsidRPr="00A058B6" w:rsidRDefault="00D930D9" w:rsidP="00D930D9">
      <w:pPr>
        <w:pStyle w:val="subsection"/>
      </w:pPr>
      <w:r w:rsidRPr="00A058B6">
        <w:tab/>
        <w:t>(1)</w:t>
      </w:r>
      <w:r w:rsidRPr="00A058B6">
        <w:tab/>
        <w:t>This Division applies to a payment split under a superannuation agreement or flag lifting agreement in relation to a superannuation interest of a member spouse if:</w:t>
      </w:r>
    </w:p>
    <w:p w14:paraId="2A358409" w14:textId="0FF884E3" w:rsidR="00D930D9" w:rsidRPr="00A058B6" w:rsidRDefault="00D930D9" w:rsidP="00D930D9">
      <w:pPr>
        <w:pStyle w:val="paragraph"/>
      </w:pPr>
      <w:r w:rsidRPr="00A058B6">
        <w:tab/>
        <w:t>(a)</w:t>
      </w:r>
      <w:r w:rsidRPr="00A058B6">
        <w:tab/>
        <w:t>the interest is a percentage</w:t>
      </w:r>
      <w:r w:rsidR="001952B3">
        <w:noBreakHyphen/>
      </w:r>
      <w:r w:rsidRPr="00A058B6">
        <w:t>only interest; and</w:t>
      </w:r>
    </w:p>
    <w:p w14:paraId="62170D08" w14:textId="32330792" w:rsidR="00D930D9" w:rsidRPr="00A058B6" w:rsidRDefault="00D930D9" w:rsidP="00D930D9">
      <w:pPr>
        <w:pStyle w:val="paragraph"/>
      </w:pPr>
      <w:r w:rsidRPr="00A058B6">
        <w:tab/>
        <w:t>(b)</w:t>
      </w:r>
      <w:r w:rsidRPr="00A058B6">
        <w:tab/>
        <w:t xml:space="preserve">the agreement specifies a percentage that is to apply for the purposes of </w:t>
      </w:r>
      <w:r w:rsidR="00FE15C4">
        <w:t>subparagraph 9</w:t>
      </w:r>
      <w:r w:rsidRPr="00A058B6">
        <w:t>0XJ(1)(b)(i) or 90YN(1)(b)(i) of the Act</w:t>
      </w:r>
      <w:r w:rsidR="00D7157D">
        <w:t>.</w:t>
      </w:r>
    </w:p>
    <w:p w14:paraId="295BDBDA" w14:textId="6D95E3CD" w:rsidR="00D930D9" w:rsidRPr="00A058B6" w:rsidRDefault="00D930D9" w:rsidP="00D930D9">
      <w:pPr>
        <w:pStyle w:val="subsection"/>
      </w:pPr>
      <w:r w:rsidRPr="00A058B6">
        <w:tab/>
        <w:t>(2)</w:t>
      </w:r>
      <w:r w:rsidRPr="00A058B6">
        <w:tab/>
        <w:t xml:space="preserve">For the purposes of </w:t>
      </w:r>
      <w:r w:rsidR="00FE15C4">
        <w:t>paragraph 9</w:t>
      </w:r>
      <w:r w:rsidRPr="00A058B6">
        <w:t>0XJ(4)(b) or 90YN(4)(b) of the Act, this Division enables the calculation of the amount that the non</w:t>
      </w:r>
      <w:r w:rsidR="001952B3">
        <w:noBreakHyphen/>
      </w:r>
      <w:r w:rsidRPr="00A058B6">
        <w:t>member spouse is entitled to be paid in respect of a splittable payment that becomes payable in respect of the interest</w:t>
      </w:r>
      <w:r w:rsidR="00D7157D">
        <w:t>.</w:t>
      </w:r>
    </w:p>
    <w:p w14:paraId="440DFBE8" w14:textId="0634A1E5" w:rsidR="00D930D9" w:rsidRPr="00A058B6" w:rsidRDefault="00485CC2" w:rsidP="00D930D9">
      <w:pPr>
        <w:pStyle w:val="ActHead5"/>
      </w:pPr>
      <w:bookmarkStart w:id="62" w:name="_Toc188350549"/>
      <w:r w:rsidRPr="00423C34">
        <w:rPr>
          <w:rStyle w:val="CharSectno"/>
        </w:rPr>
        <w:t>41</w:t>
      </w:r>
      <w:r w:rsidR="00D930D9" w:rsidRPr="00A058B6">
        <w:t xml:space="preserve">  Entitlement of non</w:t>
      </w:r>
      <w:r w:rsidR="001952B3">
        <w:noBreakHyphen/>
      </w:r>
      <w:r w:rsidR="00D930D9" w:rsidRPr="00A058B6">
        <w:t>member spouse under the agreement—splittable payment payable in respect of superannuation interest (other than an interest in a superannuation annuity)</w:t>
      </w:r>
      <w:bookmarkEnd w:id="62"/>
    </w:p>
    <w:p w14:paraId="6785D895" w14:textId="4D504252" w:rsidR="00D930D9" w:rsidRPr="00A058B6" w:rsidRDefault="00D930D9" w:rsidP="00D930D9">
      <w:pPr>
        <w:pStyle w:val="subsection"/>
      </w:pPr>
      <w:r w:rsidRPr="00A058B6">
        <w:tab/>
      </w:r>
      <w:r w:rsidRPr="00A058B6">
        <w:tab/>
        <w:t>If the superannuation interest is not an interest in a superannuation annuity, the amount that the non</w:t>
      </w:r>
      <w:r w:rsidR="001952B3">
        <w:noBreakHyphen/>
      </w:r>
      <w:r w:rsidRPr="00A058B6">
        <w:t>member spouse is entitled to be paid in respect of the splittable payment is:</w:t>
      </w:r>
    </w:p>
    <w:p w14:paraId="14D2BC26" w14:textId="6F0D89A8" w:rsidR="00D930D9" w:rsidRPr="00A058B6" w:rsidRDefault="003A3F0E" w:rsidP="00D930D9">
      <w:pPr>
        <w:pStyle w:val="subsection2"/>
        <w:rPr>
          <w:lang w:eastAsia="en-US"/>
        </w:rPr>
      </w:pPr>
      <w:r w:rsidRPr="00A058B6">
        <w:rPr>
          <w:position w:val="-38"/>
        </w:rPr>
        <w:object w:dxaOrig="5580" w:dyaOrig="859" w14:anchorId="3D52A46E">
          <v:shape id="_x0000_i1031" type="#_x0000_t75" alt="Start formula open bracket start fraction Accrued benefit multiple at separation over Accrued benefit multiple at payment end fraction times Agreement percentage close bracket times Splittable payment end formula" style="width:277pt;height:42.65pt" o:ole="">
            <v:imagedata r:id="rId36" o:title=""/>
          </v:shape>
          <o:OLEObject Type="Embed" ProgID="Equation.DSMT4" ShapeID="_x0000_i1031" DrawAspect="Content" ObjectID="_1801634260" r:id="rId37"/>
        </w:object>
      </w:r>
    </w:p>
    <w:p w14:paraId="7388C67B" w14:textId="77777777" w:rsidR="00D930D9" w:rsidRPr="00A058B6" w:rsidRDefault="00D930D9" w:rsidP="00D930D9">
      <w:pPr>
        <w:pStyle w:val="subsection2"/>
        <w:spacing w:before="120"/>
      </w:pPr>
      <w:r w:rsidRPr="00A058B6">
        <w:t>where:</w:t>
      </w:r>
    </w:p>
    <w:p w14:paraId="6133643A" w14:textId="626A0D52" w:rsidR="008612CD" w:rsidRPr="00A058B6" w:rsidRDefault="008612CD" w:rsidP="008612CD">
      <w:pPr>
        <w:pStyle w:val="Definition"/>
      </w:pPr>
      <w:r w:rsidRPr="00A058B6">
        <w:rPr>
          <w:b/>
          <w:i/>
        </w:rPr>
        <w:t>accrued benefit multiple at separation</w:t>
      </w:r>
      <w:r w:rsidRPr="00A058B6">
        <w:t xml:space="preserve"> </w:t>
      </w:r>
      <w:r w:rsidR="009A5BE8">
        <w:t>means</w:t>
      </w:r>
      <w:r w:rsidRPr="00A058B6">
        <w:t xml:space="preserve"> the member spouse’s accrued benefit multiple, as defined in the governing rules of the eligible superannuation plan in which the superannuation interest is held, at the date when the member spouse and non</w:t>
      </w:r>
      <w:r w:rsidR="001952B3">
        <w:noBreakHyphen/>
      </w:r>
      <w:r w:rsidRPr="00A058B6">
        <w:t>member spouse separated or, if there have been 2 or more separations, at the date of the most recent separation</w:t>
      </w:r>
      <w:r w:rsidR="00D7157D">
        <w:t>.</w:t>
      </w:r>
    </w:p>
    <w:p w14:paraId="0B98F58B" w14:textId="77777777" w:rsidR="00D930D9" w:rsidRPr="00A058B6" w:rsidRDefault="00D930D9" w:rsidP="00D930D9">
      <w:pPr>
        <w:pStyle w:val="Definition"/>
      </w:pPr>
      <w:r w:rsidRPr="00A058B6">
        <w:rPr>
          <w:b/>
          <w:i/>
        </w:rPr>
        <w:t>accrued benefit multiple at payment</w:t>
      </w:r>
      <w:r w:rsidRPr="00A058B6">
        <w:t xml:space="preserve"> </w:t>
      </w:r>
      <w:r w:rsidR="009A5BE8">
        <w:t>means</w:t>
      </w:r>
      <w:r w:rsidRPr="00A058B6">
        <w:t xml:space="preserve"> the member spouse’s accrued benefit multiple, as defined in the governing rules of the eligible superannuation plan in which the superannuation interest is held, at the date when the splittable payment becomes payable in respect of the superannuation interest</w:t>
      </w:r>
      <w:r w:rsidR="00D7157D">
        <w:t>.</w:t>
      </w:r>
    </w:p>
    <w:p w14:paraId="06107B44" w14:textId="77777777" w:rsidR="00D930D9" w:rsidRPr="00A058B6" w:rsidRDefault="00D930D9" w:rsidP="00D930D9">
      <w:pPr>
        <w:pStyle w:val="Definition"/>
      </w:pPr>
      <w:r w:rsidRPr="00A058B6">
        <w:rPr>
          <w:b/>
          <w:i/>
        </w:rPr>
        <w:t>agreement percentage</w:t>
      </w:r>
      <w:r w:rsidRPr="00A058B6">
        <w:t xml:space="preserve"> </w:t>
      </w:r>
      <w:r w:rsidR="009A5BE8">
        <w:t>means</w:t>
      </w:r>
      <w:r w:rsidRPr="00A058B6">
        <w:t xml:space="preserve"> the percentage specified in the agreement</w:t>
      </w:r>
      <w:r w:rsidR="00D7157D">
        <w:t>.</w:t>
      </w:r>
    </w:p>
    <w:p w14:paraId="415581CC" w14:textId="77777777" w:rsidR="00D930D9" w:rsidRPr="00A058B6" w:rsidRDefault="00D930D9" w:rsidP="00D930D9">
      <w:pPr>
        <w:pStyle w:val="Definition"/>
      </w:pPr>
      <w:r w:rsidRPr="00A058B6">
        <w:rPr>
          <w:b/>
          <w:i/>
        </w:rPr>
        <w:t>splittable payment</w:t>
      </w:r>
      <w:r w:rsidRPr="00A058B6">
        <w:t xml:space="preserve"> </w:t>
      </w:r>
      <w:r w:rsidR="009A5BE8">
        <w:t>means</w:t>
      </w:r>
      <w:r w:rsidRPr="00A058B6">
        <w:t xml:space="preserve"> the amount of the splittable payment</w:t>
      </w:r>
      <w:r w:rsidR="00D7157D">
        <w:t>.</w:t>
      </w:r>
    </w:p>
    <w:p w14:paraId="08613B64" w14:textId="752D1D70" w:rsidR="00D930D9" w:rsidRPr="00A058B6" w:rsidRDefault="00485CC2" w:rsidP="00D930D9">
      <w:pPr>
        <w:pStyle w:val="ActHead5"/>
      </w:pPr>
      <w:bookmarkStart w:id="63" w:name="_Toc188350550"/>
      <w:r w:rsidRPr="00423C34">
        <w:rPr>
          <w:rStyle w:val="CharSectno"/>
        </w:rPr>
        <w:t>42</w:t>
      </w:r>
      <w:r w:rsidR="00D930D9" w:rsidRPr="00A058B6">
        <w:t xml:space="preserve">  Entitlement of non</w:t>
      </w:r>
      <w:r w:rsidR="001952B3">
        <w:noBreakHyphen/>
      </w:r>
      <w:r w:rsidR="00D930D9" w:rsidRPr="00A058B6">
        <w:t>member spouse under the agreement—splittable payment payable in respect of interest in a superannuation annuity</w:t>
      </w:r>
      <w:bookmarkEnd w:id="63"/>
    </w:p>
    <w:p w14:paraId="15301B5C" w14:textId="516E9632" w:rsidR="00D930D9" w:rsidRPr="00A058B6" w:rsidRDefault="00D930D9" w:rsidP="00D930D9">
      <w:pPr>
        <w:pStyle w:val="subsection"/>
      </w:pPr>
      <w:r w:rsidRPr="00A058B6">
        <w:tab/>
      </w:r>
      <w:r w:rsidRPr="00A058B6">
        <w:tab/>
        <w:t>If the superannuation interest is an interest in a superannuation annuity, the amount that the non</w:t>
      </w:r>
      <w:r w:rsidR="001952B3">
        <w:noBreakHyphen/>
      </w:r>
      <w:r w:rsidRPr="00A058B6">
        <w:t>member spouse is entitled to be paid in respect of the splittable payment is:</w:t>
      </w:r>
    </w:p>
    <w:p w14:paraId="71965C74" w14:textId="15C66C5B" w:rsidR="00D930D9" w:rsidRPr="00A058B6" w:rsidRDefault="00AA0B64" w:rsidP="00D930D9">
      <w:pPr>
        <w:pStyle w:val="subsection2"/>
      </w:pPr>
      <w:r w:rsidRPr="00A058B6">
        <w:object w:dxaOrig="3660" w:dyaOrig="420" w14:anchorId="267AE202">
          <v:shape id="_x0000_i1032" type="#_x0000_t75" alt="Start formula Agreement percentage times Splittable payment end formula" style="width:184.35pt;height:22pt" o:ole="">
            <v:imagedata r:id="rId38" o:title=""/>
          </v:shape>
          <o:OLEObject Type="Embed" ProgID="Equation.DSMT4" ShapeID="_x0000_i1032" DrawAspect="Content" ObjectID="_1801634261" r:id="rId39"/>
        </w:object>
      </w:r>
    </w:p>
    <w:p w14:paraId="3065CBA6" w14:textId="77777777" w:rsidR="00D930D9" w:rsidRPr="00A058B6" w:rsidRDefault="00D930D9" w:rsidP="00D930D9">
      <w:pPr>
        <w:pStyle w:val="subsection2"/>
        <w:spacing w:before="120"/>
      </w:pPr>
      <w:r w:rsidRPr="00A058B6">
        <w:t>where:</w:t>
      </w:r>
    </w:p>
    <w:p w14:paraId="4C425C5F" w14:textId="77777777" w:rsidR="00D930D9" w:rsidRPr="00A058B6" w:rsidRDefault="00D930D9" w:rsidP="00D930D9">
      <w:pPr>
        <w:pStyle w:val="Definition"/>
      </w:pPr>
      <w:r w:rsidRPr="00A058B6">
        <w:rPr>
          <w:b/>
          <w:i/>
        </w:rPr>
        <w:t>agreement percentage</w:t>
      </w:r>
      <w:r w:rsidRPr="00A058B6">
        <w:t xml:space="preserve"> </w:t>
      </w:r>
      <w:r w:rsidR="009A5BE8">
        <w:t>means</w:t>
      </w:r>
      <w:r w:rsidRPr="00A058B6">
        <w:t xml:space="preserve"> the percentage specified in the agreement</w:t>
      </w:r>
      <w:r w:rsidR="00D7157D">
        <w:t>.</w:t>
      </w:r>
    </w:p>
    <w:p w14:paraId="28DE83C7" w14:textId="77777777" w:rsidR="00D930D9" w:rsidRPr="00A058B6" w:rsidRDefault="00D930D9" w:rsidP="00D930D9">
      <w:pPr>
        <w:pStyle w:val="Definition"/>
      </w:pPr>
      <w:r w:rsidRPr="00A058B6">
        <w:rPr>
          <w:b/>
          <w:i/>
        </w:rPr>
        <w:t>splittable payment</w:t>
      </w:r>
      <w:r w:rsidRPr="00A058B6">
        <w:t xml:space="preserve"> </w:t>
      </w:r>
      <w:r w:rsidR="009A5BE8">
        <w:t>means</w:t>
      </w:r>
      <w:r w:rsidRPr="00A058B6">
        <w:t xml:space="preserve"> the amount of the splittable payment</w:t>
      </w:r>
      <w:r w:rsidR="00D7157D">
        <w:t>.</w:t>
      </w:r>
    </w:p>
    <w:p w14:paraId="79E1CADD" w14:textId="77777777" w:rsidR="00D930D9" w:rsidRPr="00A058B6" w:rsidRDefault="00D930D9" w:rsidP="00BD046A">
      <w:pPr>
        <w:pStyle w:val="ActHead2"/>
        <w:pageBreakBefore/>
      </w:pPr>
      <w:bookmarkStart w:id="64" w:name="_Toc188350551"/>
      <w:r w:rsidRPr="00423C34">
        <w:rPr>
          <w:rStyle w:val="CharPartNo"/>
        </w:rPr>
        <w:lastRenderedPageBreak/>
        <w:t>Part </w:t>
      </w:r>
      <w:r w:rsidR="00E60B30" w:rsidRPr="00423C34">
        <w:rPr>
          <w:rStyle w:val="CharPartNo"/>
        </w:rPr>
        <w:t>5</w:t>
      </w:r>
      <w:r w:rsidRPr="00A058B6">
        <w:t>—</w:t>
      </w:r>
      <w:r w:rsidRPr="00423C34">
        <w:rPr>
          <w:rStyle w:val="CharPartText"/>
        </w:rPr>
        <w:t>Payment splitting or flagging by court order</w:t>
      </w:r>
      <w:bookmarkEnd w:id="64"/>
    </w:p>
    <w:p w14:paraId="66308162" w14:textId="77777777" w:rsidR="00D930D9" w:rsidRPr="00A058B6" w:rsidRDefault="00B05FD6" w:rsidP="00D930D9">
      <w:pPr>
        <w:pStyle w:val="ActHead3"/>
      </w:pPr>
      <w:bookmarkStart w:id="65" w:name="_Toc188350552"/>
      <w:r w:rsidRPr="00423C34">
        <w:rPr>
          <w:rStyle w:val="CharDivNo"/>
        </w:rPr>
        <w:t>Division 1</w:t>
      </w:r>
      <w:r w:rsidR="00D930D9" w:rsidRPr="00A058B6">
        <w:t>—</w:t>
      </w:r>
      <w:r w:rsidR="00D930D9" w:rsidRPr="00423C34">
        <w:rPr>
          <w:rStyle w:val="CharDivText"/>
        </w:rPr>
        <w:t>Simplified outline</w:t>
      </w:r>
      <w:bookmarkEnd w:id="65"/>
    </w:p>
    <w:p w14:paraId="6DE08B9A" w14:textId="2AD4B093" w:rsidR="00D930D9" w:rsidRPr="00A058B6" w:rsidRDefault="00485CC2" w:rsidP="00D930D9">
      <w:pPr>
        <w:pStyle w:val="ActHead5"/>
      </w:pPr>
      <w:bookmarkStart w:id="66" w:name="_Toc188350553"/>
      <w:r w:rsidRPr="00423C34">
        <w:rPr>
          <w:rStyle w:val="CharSectno"/>
        </w:rPr>
        <w:t>43</w:t>
      </w:r>
      <w:r w:rsidR="00D930D9" w:rsidRPr="00A058B6">
        <w:t xml:space="preserve">  Simplified outline of this Part</w:t>
      </w:r>
      <w:bookmarkEnd w:id="66"/>
    </w:p>
    <w:p w14:paraId="5A588E93" w14:textId="77777777" w:rsidR="00D930D9" w:rsidRPr="00A058B6" w:rsidRDefault="00D930D9" w:rsidP="00D930D9">
      <w:pPr>
        <w:pStyle w:val="SOText"/>
      </w:pPr>
      <w:r w:rsidRPr="00A058B6">
        <w:t>Before making a splitting order in relation to a superannuation interest of the member spouse, the court must make a determination about the value of the interest</w:t>
      </w:r>
      <w:r w:rsidR="00D7157D">
        <w:t>.</w:t>
      </w:r>
    </w:p>
    <w:p w14:paraId="12629285" w14:textId="31423B68" w:rsidR="00E8277D" w:rsidRDefault="00C55AE2" w:rsidP="00DB0CEE">
      <w:pPr>
        <w:pStyle w:val="SOText"/>
      </w:pPr>
      <w:r w:rsidRPr="00A058B6">
        <w:t xml:space="preserve">Subdivision A of </w:t>
      </w:r>
      <w:r w:rsidR="00453C86">
        <w:t>Division 2</w:t>
      </w:r>
      <w:r w:rsidRPr="00A058B6">
        <w:t xml:space="preserve"> of this Part </w:t>
      </w:r>
      <w:r w:rsidR="00650B0C">
        <w:t>either</w:t>
      </w:r>
      <w:r w:rsidR="00E8277D">
        <w:t>:</w:t>
      </w:r>
    </w:p>
    <w:p w14:paraId="6A9BA81E" w14:textId="718E6AB9" w:rsidR="00C55AE2" w:rsidRDefault="00CC3B05" w:rsidP="00E8277D">
      <w:pPr>
        <w:pStyle w:val="SOPara"/>
      </w:pPr>
      <w:r>
        <w:tab/>
        <w:t>(a)</w:t>
      </w:r>
      <w:r>
        <w:tab/>
        <w:t xml:space="preserve">unless </w:t>
      </w:r>
      <w:r w:rsidR="00453C86">
        <w:t>paragraph (</w:t>
      </w:r>
      <w:r>
        <w:t>b) applies—</w:t>
      </w:r>
      <w:r w:rsidR="00650B0C">
        <w:t xml:space="preserve">explains </w:t>
      </w:r>
      <w:r w:rsidR="00C55AE2" w:rsidRPr="00A058B6">
        <w:t>which Division of Part </w:t>
      </w:r>
      <w:r w:rsidR="00C55AE2">
        <w:t>6</w:t>
      </w:r>
      <w:r w:rsidR="00C55AE2" w:rsidRPr="00A058B6">
        <w:t xml:space="preserve"> is used to determine that value, depending on whether the interest is in the growth phase or the payment phase</w:t>
      </w:r>
      <w:r>
        <w:t>; or</w:t>
      </w:r>
    </w:p>
    <w:p w14:paraId="708D82C1" w14:textId="77777777" w:rsidR="0082574B" w:rsidRDefault="00CC3B05" w:rsidP="00CC3B05">
      <w:pPr>
        <w:pStyle w:val="SOPara"/>
      </w:pPr>
      <w:r>
        <w:tab/>
        <w:t>(b)</w:t>
      </w:r>
      <w:r>
        <w:tab/>
      </w:r>
      <w:r w:rsidR="009276A8">
        <w:t>i</w:t>
      </w:r>
      <w:r w:rsidR="0082574B" w:rsidRPr="00A058B6">
        <w:t>f the interest is a small superannuation accounts interest</w:t>
      </w:r>
      <w:r w:rsidR="00FF6DF3">
        <w:t>—</w:t>
      </w:r>
      <w:r w:rsidR="00E6616C">
        <w:t>explains</w:t>
      </w:r>
      <w:r w:rsidR="00E778D9">
        <w:t xml:space="preserve"> how to </w:t>
      </w:r>
      <w:r w:rsidR="00650B0C">
        <w:t>determine that</w:t>
      </w:r>
      <w:r w:rsidR="00D62E43">
        <w:t xml:space="preserve"> value</w:t>
      </w:r>
      <w:r w:rsidR="0082574B">
        <w:t>.</w:t>
      </w:r>
    </w:p>
    <w:p w14:paraId="7FDE099D" w14:textId="73C2652A" w:rsidR="00691EDE" w:rsidRDefault="00734F1F" w:rsidP="0082574B">
      <w:pPr>
        <w:pStyle w:val="SOText"/>
      </w:pPr>
      <w:r>
        <w:t>T</w:t>
      </w:r>
      <w:r w:rsidR="00691EDE">
        <w:t xml:space="preserve">o calculate the </w:t>
      </w:r>
      <w:r w:rsidR="00E74C57" w:rsidRPr="00A058B6">
        <w:t>amount the non</w:t>
      </w:r>
      <w:r w:rsidR="001952B3">
        <w:noBreakHyphen/>
      </w:r>
      <w:r w:rsidR="00E74C57" w:rsidRPr="00A058B6">
        <w:t xml:space="preserve">member spouse is entitled to be paid under </w:t>
      </w:r>
      <w:r w:rsidR="00E74C57">
        <w:t>the</w:t>
      </w:r>
      <w:r w:rsidR="00E74C57" w:rsidRPr="00A058B6">
        <w:t xml:space="preserve"> splitting order</w:t>
      </w:r>
      <w:r w:rsidR="00E74C57">
        <w:t>:</w:t>
      </w:r>
    </w:p>
    <w:p w14:paraId="0423D4A2" w14:textId="74726ED2" w:rsidR="00E74C57" w:rsidRDefault="00E74C57" w:rsidP="00E74C57">
      <w:pPr>
        <w:pStyle w:val="SOPara"/>
      </w:pPr>
      <w:r w:rsidRPr="00A058B6">
        <w:tab/>
        <w:t>(</w:t>
      </w:r>
      <w:r>
        <w:t>a</w:t>
      </w:r>
      <w:r w:rsidRPr="00A058B6">
        <w:t>)</w:t>
      </w:r>
      <w:r w:rsidRPr="00A058B6">
        <w:tab/>
      </w:r>
      <w:r>
        <w:t xml:space="preserve">if the splitting order is made </w:t>
      </w:r>
      <w:r w:rsidRPr="00A058B6">
        <w:t xml:space="preserve">under </w:t>
      </w:r>
      <w:r w:rsidR="00FE15C4">
        <w:t>paragraph 9</w:t>
      </w:r>
      <w:r w:rsidRPr="00A058B6">
        <w:t>0XT(1)(a) or 90YY(1)(a) of the Act</w:t>
      </w:r>
      <w:r>
        <w:t>—</w:t>
      </w:r>
      <w:r w:rsidRPr="00A058B6">
        <w:t xml:space="preserve">Subdivision B of </w:t>
      </w:r>
      <w:r w:rsidR="00453C86">
        <w:t>Division 2</w:t>
      </w:r>
      <w:r w:rsidRPr="00A058B6">
        <w:t xml:space="preserve"> of this Part explains which Division of </w:t>
      </w:r>
      <w:r w:rsidR="00453C86">
        <w:t>Part 7</w:t>
      </w:r>
      <w:r w:rsidRPr="00A058B6">
        <w:t xml:space="preserve"> </w:t>
      </w:r>
      <w:r w:rsidR="008222E7">
        <w:t xml:space="preserve">of this instrument </w:t>
      </w:r>
      <w:r w:rsidRPr="00A058B6">
        <w:t>is used to calculate th</w:t>
      </w:r>
      <w:r w:rsidR="00D469DB">
        <w:t>at</w:t>
      </w:r>
      <w:r w:rsidRPr="00A058B6">
        <w:t xml:space="preserve"> amount</w:t>
      </w:r>
      <w:r w:rsidR="00D469DB">
        <w:t>; or</w:t>
      </w:r>
    </w:p>
    <w:p w14:paraId="6DA1036C" w14:textId="0EE889E6" w:rsidR="00B95903" w:rsidRDefault="00B95903" w:rsidP="00E74C57">
      <w:pPr>
        <w:pStyle w:val="SOPara"/>
      </w:pPr>
      <w:r>
        <w:tab/>
        <w:t>(b)</w:t>
      </w:r>
      <w:r>
        <w:tab/>
        <w:t xml:space="preserve">if the </w:t>
      </w:r>
      <w:r w:rsidRPr="00FF7176">
        <w:t xml:space="preserve">splitting order </w:t>
      </w:r>
      <w:r w:rsidR="00E50C41">
        <w:t xml:space="preserve">is </w:t>
      </w:r>
      <w:r w:rsidRPr="00FF7176">
        <w:t xml:space="preserve">made under </w:t>
      </w:r>
      <w:r w:rsidR="00FE15C4">
        <w:t>paragraph 9</w:t>
      </w:r>
      <w:r w:rsidRPr="00FF7176">
        <w:t xml:space="preserve">0XT(1)(c) or 90YY(1)(c) of the Act </w:t>
      </w:r>
      <w:r w:rsidR="00A913FD">
        <w:t>(</w:t>
      </w:r>
      <w:r w:rsidRPr="00FF7176">
        <w:t xml:space="preserve">in relation to </w:t>
      </w:r>
      <w:r>
        <w:t>a percentage</w:t>
      </w:r>
      <w:r w:rsidR="001952B3">
        <w:noBreakHyphen/>
      </w:r>
      <w:r>
        <w:t>only</w:t>
      </w:r>
      <w:r w:rsidRPr="00FF7176">
        <w:t xml:space="preserve"> interest</w:t>
      </w:r>
      <w:r w:rsidR="00A913FD">
        <w:t>)</w:t>
      </w:r>
      <w:r w:rsidR="00E50C41">
        <w:t>—</w:t>
      </w:r>
      <w:r w:rsidR="00881039">
        <w:t>Division 3</w:t>
      </w:r>
      <w:r w:rsidR="00A913FD" w:rsidRPr="00FF7176">
        <w:t xml:space="preserve"> of this Part explains how to calculate th</w:t>
      </w:r>
      <w:r w:rsidR="00A913FD">
        <w:t>at</w:t>
      </w:r>
      <w:r w:rsidR="00A913FD" w:rsidRPr="00FF7176">
        <w:t xml:space="preserve"> amount</w:t>
      </w:r>
      <w:r w:rsidR="00A913FD">
        <w:t>.</w:t>
      </w:r>
    </w:p>
    <w:p w14:paraId="550D2564" w14:textId="4B23FD4C" w:rsidR="00E74C57" w:rsidRDefault="00DD041A" w:rsidP="0082574B">
      <w:pPr>
        <w:pStyle w:val="SOText"/>
      </w:pPr>
      <w:r w:rsidRPr="00A058B6">
        <w:t xml:space="preserve">Subdivision B of </w:t>
      </w:r>
      <w:r w:rsidR="00453C86">
        <w:t>Division 2</w:t>
      </w:r>
      <w:r w:rsidRPr="00A058B6">
        <w:t xml:space="preserve"> of this Part </w:t>
      </w:r>
      <w:r>
        <w:t xml:space="preserve">does not apply to </w:t>
      </w:r>
      <w:r w:rsidRPr="00A058B6">
        <w:t>small superannuation accounts interest</w:t>
      </w:r>
      <w:r>
        <w:t>s.</w:t>
      </w:r>
    </w:p>
    <w:p w14:paraId="7460618A" w14:textId="5DC5F550" w:rsidR="00D930D9" w:rsidRPr="00A058B6" w:rsidRDefault="00453C86" w:rsidP="00BD046A">
      <w:pPr>
        <w:pStyle w:val="ActHead3"/>
        <w:pageBreakBefore/>
      </w:pPr>
      <w:bookmarkStart w:id="67" w:name="_Toc188350554"/>
      <w:r w:rsidRPr="00423C34">
        <w:rPr>
          <w:rStyle w:val="CharDivNo"/>
        </w:rPr>
        <w:lastRenderedPageBreak/>
        <w:t>Division 2</w:t>
      </w:r>
      <w:r w:rsidR="00D930D9" w:rsidRPr="00A058B6">
        <w:t>—</w:t>
      </w:r>
      <w:r w:rsidR="00FF7176" w:rsidRPr="00423C34">
        <w:rPr>
          <w:rStyle w:val="CharDivText"/>
        </w:rPr>
        <w:t>All s</w:t>
      </w:r>
      <w:r w:rsidR="00D930D9" w:rsidRPr="00423C34">
        <w:rPr>
          <w:rStyle w:val="CharDivText"/>
        </w:rPr>
        <w:t>uperannuation interest</w:t>
      </w:r>
      <w:r w:rsidR="00FF7176" w:rsidRPr="00423C34">
        <w:rPr>
          <w:rStyle w:val="CharDivText"/>
        </w:rPr>
        <w:t>s</w:t>
      </w:r>
      <w:bookmarkEnd w:id="67"/>
    </w:p>
    <w:p w14:paraId="308AE0C6" w14:textId="77777777" w:rsidR="00D930D9" w:rsidRPr="00A058B6" w:rsidRDefault="00D930D9" w:rsidP="00D930D9">
      <w:pPr>
        <w:pStyle w:val="ActHead4"/>
      </w:pPr>
      <w:bookmarkStart w:id="68" w:name="_Toc188350555"/>
      <w:r w:rsidRPr="00423C34">
        <w:rPr>
          <w:rStyle w:val="CharSubdNo"/>
        </w:rPr>
        <w:t>Subdivision A</w:t>
      </w:r>
      <w:r w:rsidRPr="00A058B6">
        <w:t>—</w:t>
      </w:r>
      <w:r w:rsidRPr="00423C34">
        <w:rPr>
          <w:rStyle w:val="CharSubdText"/>
        </w:rPr>
        <w:t>Determining the value of the superannuation interest of the member spouse</w:t>
      </w:r>
      <w:bookmarkEnd w:id="68"/>
    </w:p>
    <w:p w14:paraId="5ADDC64C" w14:textId="3D259AE1" w:rsidR="00D930D9" w:rsidRPr="00A058B6" w:rsidRDefault="00485CC2" w:rsidP="00D930D9">
      <w:pPr>
        <w:pStyle w:val="ActHead5"/>
      </w:pPr>
      <w:bookmarkStart w:id="69" w:name="_Toc188350556"/>
      <w:r w:rsidRPr="00423C34">
        <w:rPr>
          <w:rStyle w:val="CharSectno"/>
        </w:rPr>
        <w:t>44</w:t>
      </w:r>
      <w:r w:rsidR="00D930D9" w:rsidRPr="00A058B6">
        <w:t xml:space="preserve">  Determining the value of certain superannuation interests of member spouses</w:t>
      </w:r>
      <w:bookmarkEnd w:id="69"/>
    </w:p>
    <w:p w14:paraId="090D3E8F" w14:textId="00E4F40D" w:rsidR="00D930D9" w:rsidRPr="00A058B6" w:rsidRDefault="00D930D9" w:rsidP="00D930D9">
      <w:pPr>
        <w:pStyle w:val="subsection"/>
      </w:pPr>
      <w:r w:rsidRPr="00A058B6">
        <w:tab/>
        <w:t>(1)</w:t>
      </w:r>
      <w:r w:rsidRPr="00A058B6">
        <w:tab/>
        <w:t xml:space="preserve">For the purposes of </w:t>
      </w:r>
      <w:r w:rsidR="00FE15C4">
        <w:t>paragraph 9</w:t>
      </w:r>
      <w:r w:rsidRPr="00A058B6">
        <w:t>0XT(2)(a) or 90YY(2)(a) of the Act, the court must determine an amount in relation to a superannuation interest of the member spouse:</w:t>
      </w:r>
    </w:p>
    <w:p w14:paraId="5C25AB78" w14:textId="77777777" w:rsidR="00D930D9" w:rsidRPr="00A058B6" w:rsidRDefault="00D930D9" w:rsidP="00D930D9">
      <w:pPr>
        <w:pStyle w:val="paragraph"/>
      </w:pPr>
      <w:r w:rsidRPr="00A058B6">
        <w:tab/>
        <w:t>(a)</w:t>
      </w:r>
      <w:r w:rsidRPr="00A058B6">
        <w:tab/>
        <w:t xml:space="preserve">if the interest is in the growth phase at the relevant date—under </w:t>
      </w:r>
      <w:r w:rsidR="00B05FD6">
        <w:t>Division 1</w:t>
      </w:r>
      <w:r w:rsidRPr="00A058B6">
        <w:t xml:space="preserve"> of Part </w:t>
      </w:r>
      <w:r w:rsidR="00F47A4A">
        <w:t>6</w:t>
      </w:r>
      <w:r w:rsidRPr="00A058B6">
        <w:t xml:space="preserve"> of this instrument; and</w:t>
      </w:r>
    </w:p>
    <w:p w14:paraId="2C300B4A" w14:textId="36FF2B4B" w:rsidR="00D930D9" w:rsidRPr="00A058B6" w:rsidRDefault="00D930D9" w:rsidP="00D930D9">
      <w:pPr>
        <w:pStyle w:val="paragraph"/>
      </w:pPr>
      <w:r w:rsidRPr="00A058B6">
        <w:tab/>
        <w:t>(b)</w:t>
      </w:r>
      <w:r w:rsidRPr="00A058B6">
        <w:tab/>
        <w:t xml:space="preserve">if the interest is in the payment phase at the relevant date—under </w:t>
      </w:r>
      <w:r w:rsidR="00453C86">
        <w:t>Division 2</w:t>
      </w:r>
      <w:r w:rsidRPr="00A058B6">
        <w:t xml:space="preserve"> of Part </w:t>
      </w:r>
      <w:r w:rsidR="00F47A4A">
        <w:t>6</w:t>
      </w:r>
      <w:r w:rsidRPr="00A058B6">
        <w:t xml:space="preserve"> of this instrument</w:t>
      </w:r>
      <w:r w:rsidR="00D7157D">
        <w:t>.</w:t>
      </w:r>
    </w:p>
    <w:p w14:paraId="4A2DD08D" w14:textId="5E070A1A" w:rsidR="00D930D9" w:rsidRPr="00A058B6" w:rsidRDefault="00D930D9" w:rsidP="00D930D9">
      <w:pPr>
        <w:pStyle w:val="subsection"/>
      </w:pPr>
      <w:r w:rsidRPr="00A058B6">
        <w:tab/>
        <w:t>(2)</w:t>
      </w:r>
      <w:r w:rsidRPr="00A058B6">
        <w:tab/>
        <w:t xml:space="preserve">However, </w:t>
      </w:r>
      <w:r w:rsidR="00A52DA5">
        <w:t>subsection (</w:t>
      </w:r>
      <w:r w:rsidRPr="00A058B6">
        <w:t>1) does not apply if the superannuation interest is:</w:t>
      </w:r>
    </w:p>
    <w:p w14:paraId="5AA693AD" w14:textId="77777777" w:rsidR="00D930D9" w:rsidRPr="00A058B6" w:rsidRDefault="00D930D9" w:rsidP="00D930D9">
      <w:pPr>
        <w:pStyle w:val="paragraph"/>
      </w:pPr>
      <w:r w:rsidRPr="00A058B6">
        <w:tab/>
        <w:t>(a)</w:t>
      </w:r>
      <w:r w:rsidRPr="00A058B6">
        <w:tab/>
        <w:t>a small superannuation accounts interest; or</w:t>
      </w:r>
    </w:p>
    <w:p w14:paraId="437C479D" w14:textId="77777777" w:rsidR="00D930D9" w:rsidRPr="00A058B6" w:rsidRDefault="00D930D9" w:rsidP="00D930D9">
      <w:pPr>
        <w:pStyle w:val="paragraph"/>
      </w:pPr>
      <w:r w:rsidRPr="00A058B6">
        <w:tab/>
        <w:t>(b)</w:t>
      </w:r>
      <w:r w:rsidRPr="00A058B6">
        <w:tab/>
        <w:t>an interest in a self managed superannuation fund; or</w:t>
      </w:r>
    </w:p>
    <w:p w14:paraId="11D41DDE" w14:textId="4534D3D1" w:rsidR="00D930D9" w:rsidRPr="00A058B6" w:rsidRDefault="00D930D9" w:rsidP="00D930D9">
      <w:pPr>
        <w:pStyle w:val="paragraph"/>
      </w:pPr>
      <w:r w:rsidRPr="00A058B6">
        <w:tab/>
        <w:t>(c)</w:t>
      </w:r>
      <w:r w:rsidRPr="00A058B6">
        <w:tab/>
        <w:t xml:space="preserve">an interest in a regulated superannuation fund in relation to which the trustee of the fund has, under </w:t>
      </w:r>
      <w:r w:rsidR="00CB78B9">
        <w:t>section 1</w:t>
      </w:r>
      <w:r w:rsidRPr="00A058B6">
        <w:t xml:space="preserve">017B of the </w:t>
      </w:r>
      <w:r w:rsidRPr="00A058B6">
        <w:rPr>
          <w:i/>
        </w:rPr>
        <w:t xml:space="preserve">Corporations Act 2001 </w:t>
      </w:r>
      <w:r w:rsidRPr="00A058B6">
        <w:t xml:space="preserve">(as modified, if necessary, as set out in </w:t>
      </w:r>
      <w:r w:rsidR="00881039">
        <w:t>Part 1</w:t>
      </w:r>
      <w:r w:rsidRPr="00A058B6">
        <w:t xml:space="preserve">0 of </w:t>
      </w:r>
      <w:r w:rsidR="00453C86">
        <w:t>Schedule 1</w:t>
      </w:r>
      <w:r w:rsidRPr="00A058B6">
        <w:t xml:space="preserve">0A to the </w:t>
      </w:r>
      <w:r w:rsidRPr="00A058B6">
        <w:rPr>
          <w:i/>
        </w:rPr>
        <w:t xml:space="preserve">Corporations </w:t>
      </w:r>
      <w:r w:rsidR="001952B3">
        <w:rPr>
          <w:i/>
        </w:rPr>
        <w:t>Regulations 2</w:t>
      </w:r>
      <w:r w:rsidRPr="00A058B6">
        <w:rPr>
          <w:i/>
        </w:rPr>
        <w:t>001</w:t>
      </w:r>
      <w:r w:rsidRPr="00A058B6">
        <w:t>), given notice to each member of the fund that the fund is to be reconstructed or terminated</w:t>
      </w:r>
      <w:r w:rsidR="00D7157D">
        <w:t>.</w:t>
      </w:r>
    </w:p>
    <w:p w14:paraId="118A7A3C" w14:textId="16703BE1" w:rsidR="00D930D9" w:rsidRPr="00A058B6" w:rsidRDefault="00D930D9" w:rsidP="00D930D9">
      <w:pPr>
        <w:pStyle w:val="notetext"/>
      </w:pPr>
      <w:r w:rsidRPr="00A058B6">
        <w:t>Note 1:</w:t>
      </w:r>
      <w:r w:rsidRPr="00A058B6">
        <w:tab/>
        <w:t xml:space="preserve">The determination mentioned in </w:t>
      </w:r>
      <w:r w:rsidR="00A52DA5">
        <w:t>subsection (</w:t>
      </w:r>
      <w:r w:rsidRPr="00A058B6">
        <w:t xml:space="preserve">1) is taken to be the value of the superannuation interest of the member spouse (see </w:t>
      </w:r>
      <w:r w:rsidR="00FE15C4">
        <w:t>subsection 9</w:t>
      </w:r>
      <w:r w:rsidRPr="00A058B6">
        <w:t>0XT(2A) or 90YY(3) of the Act)</w:t>
      </w:r>
      <w:r w:rsidR="00D7157D">
        <w:t>.</w:t>
      </w:r>
      <w:r w:rsidRPr="00A058B6">
        <w:t xml:space="preserve"> The determination must be made before the court makes an order under </w:t>
      </w:r>
      <w:r w:rsidR="00FE15C4">
        <w:t>subsection 9</w:t>
      </w:r>
      <w:r w:rsidRPr="00A058B6">
        <w:t>0XT(1) or 90YY(1) of the Act (about splitting orders) for the benefit of the non</w:t>
      </w:r>
      <w:r w:rsidR="001952B3">
        <w:noBreakHyphen/>
      </w:r>
      <w:r w:rsidRPr="00A058B6">
        <w:t>member spouse in relation to the superannuation interest</w:t>
      </w:r>
      <w:r w:rsidR="00D7157D">
        <w:t>.</w:t>
      </w:r>
    </w:p>
    <w:p w14:paraId="08800633" w14:textId="6E5D70E8" w:rsidR="00D930D9" w:rsidRPr="00A058B6" w:rsidRDefault="00D930D9" w:rsidP="00D930D9">
      <w:pPr>
        <w:pStyle w:val="notetext"/>
        <w:rPr>
          <w:iCs/>
        </w:rPr>
      </w:pPr>
      <w:r w:rsidRPr="00A058B6">
        <w:rPr>
          <w:iCs/>
        </w:rPr>
        <w:t>Note 2:</w:t>
      </w:r>
      <w:r w:rsidRPr="00A058B6">
        <w:rPr>
          <w:iCs/>
        </w:rPr>
        <w:tab/>
        <w:t xml:space="preserve">For a determination of the value of a </w:t>
      </w:r>
      <w:r w:rsidRPr="00A058B6">
        <w:t xml:space="preserve">small superannuation accounts interest, see </w:t>
      </w:r>
      <w:r w:rsidR="00CB78B9">
        <w:t>section 4</w:t>
      </w:r>
      <w:r w:rsidR="00485CC2">
        <w:t>5</w:t>
      </w:r>
      <w:r w:rsidR="00D7157D">
        <w:t>.</w:t>
      </w:r>
    </w:p>
    <w:p w14:paraId="327A810F" w14:textId="6828F49D" w:rsidR="00D930D9" w:rsidRPr="00A058B6" w:rsidRDefault="00D930D9" w:rsidP="00D930D9">
      <w:pPr>
        <w:pStyle w:val="notetext"/>
      </w:pPr>
      <w:r w:rsidRPr="00A058B6">
        <w:rPr>
          <w:iCs/>
        </w:rPr>
        <w:t>Note 3:</w:t>
      </w:r>
      <w:r w:rsidRPr="00A058B6">
        <w:rPr>
          <w:iCs/>
        </w:rPr>
        <w:tab/>
      </w:r>
      <w:r w:rsidRPr="00A058B6">
        <w:t xml:space="preserve">For a superannuation interest mentioned in </w:t>
      </w:r>
      <w:r w:rsidR="00453C86">
        <w:t>paragraph (</w:t>
      </w:r>
      <w:r w:rsidRPr="00A058B6">
        <w:t>2)(b) or (c), the court will not determine the value of the member spouse’s superannuation interest under this instrument</w:t>
      </w:r>
      <w:r w:rsidR="00D7157D">
        <w:t>.</w:t>
      </w:r>
      <w:r w:rsidRPr="00A058B6">
        <w:t xml:space="preserve"> Instead, the court will do so by such method as the court considers appropriate (see </w:t>
      </w:r>
      <w:r w:rsidR="00FE15C4">
        <w:t>paragraph 9</w:t>
      </w:r>
      <w:r w:rsidRPr="00A058B6">
        <w:t>0XT(2)(b) or 90YY(2)(b) of the Act)</w:t>
      </w:r>
      <w:r w:rsidR="00D7157D">
        <w:t>.</w:t>
      </w:r>
    </w:p>
    <w:p w14:paraId="20B5EE93" w14:textId="2EC6818F" w:rsidR="00D930D9" w:rsidRPr="00A058B6" w:rsidRDefault="00485CC2" w:rsidP="00D930D9">
      <w:pPr>
        <w:pStyle w:val="ActHead5"/>
      </w:pPr>
      <w:bookmarkStart w:id="70" w:name="_Toc188350557"/>
      <w:r w:rsidRPr="00423C34">
        <w:rPr>
          <w:rStyle w:val="CharSectno"/>
        </w:rPr>
        <w:t>45</w:t>
      </w:r>
      <w:r w:rsidR="00D930D9" w:rsidRPr="00A058B6">
        <w:t xml:space="preserve">  Determining the value of small superannuation accounts interests of member spouses</w:t>
      </w:r>
      <w:bookmarkEnd w:id="70"/>
    </w:p>
    <w:p w14:paraId="7E8E33DF" w14:textId="77777777" w:rsidR="00D930D9" w:rsidRPr="00A058B6" w:rsidRDefault="00D930D9" w:rsidP="0063034D">
      <w:pPr>
        <w:pStyle w:val="subsection"/>
      </w:pPr>
      <w:r w:rsidRPr="00A058B6">
        <w:tab/>
        <w:t>(1)</w:t>
      </w:r>
      <w:r w:rsidRPr="00A058B6">
        <w:tab/>
        <w:t>This section applies in relation to a superannuation interest of the member spouse that</w:t>
      </w:r>
      <w:r w:rsidR="0063034D">
        <w:t xml:space="preserve"> </w:t>
      </w:r>
      <w:r w:rsidRPr="00A058B6">
        <w:t>is a small superannuation accounts interest</w:t>
      </w:r>
      <w:r w:rsidR="00D7157D">
        <w:t>.</w:t>
      </w:r>
    </w:p>
    <w:p w14:paraId="3068F43D" w14:textId="7CF511FF" w:rsidR="00D930D9" w:rsidRPr="00A058B6" w:rsidRDefault="00D930D9" w:rsidP="00D930D9">
      <w:pPr>
        <w:pStyle w:val="subsection"/>
      </w:pPr>
      <w:r w:rsidRPr="00A058B6">
        <w:tab/>
        <w:t>(2)</w:t>
      </w:r>
      <w:r w:rsidRPr="00A058B6">
        <w:tab/>
        <w:t xml:space="preserve">For the purposes of </w:t>
      </w:r>
      <w:r w:rsidR="00FE15C4">
        <w:t>paragraph 9</w:t>
      </w:r>
      <w:r w:rsidRPr="00A058B6">
        <w:t>0XT(2)(a) or 90YY(2)(a) of the Act, the court must determine an amount in relation to the interest that is the account balance at the relevant date that the Commissioner of Taxation would be required to transfer to:</w:t>
      </w:r>
    </w:p>
    <w:p w14:paraId="456E964F" w14:textId="77777777" w:rsidR="00D930D9" w:rsidRPr="00A058B6" w:rsidRDefault="00D930D9" w:rsidP="00D930D9">
      <w:pPr>
        <w:pStyle w:val="paragraph"/>
      </w:pPr>
      <w:r w:rsidRPr="00A058B6">
        <w:tab/>
        <w:t>(a)</w:t>
      </w:r>
      <w:r w:rsidRPr="00A058B6">
        <w:tab/>
        <w:t>a specified RSA, for the benefit of the member spouse; or</w:t>
      </w:r>
    </w:p>
    <w:p w14:paraId="3E893FD9" w14:textId="77777777" w:rsidR="00D930D9" w:rsidRPr="00A058B6" w:rsidRDefault="00D930D9" w:rsidP="00D930D9">
      <w:pPr>
        <w:pStyle w:val="paragraph"/>
      </w:pPr>
      <w:r w:rsidRPr="00A058B6">
        <w:tab/>
        <w:t>(b)</w:t>
      </w:r>
      <w:r w:rsidRPr="00A058B6">
        <w:tab/>
        <w:t>the trustee of a complying fund, for the benefit of the member spouse;</w:t>
      </w:r>
    </w:p>
    <w:p w14:paraId="326337EE" w14:textId="3037A2CD" w:rsidR="00D930D9" w:rsidRPr="00A058B6" w:rsidRDefault="00D930D9" w:rsidP="00D930D9">
      <w:pPr>
        <w:pStyle w:val="subsection2"/>
      </w:pPr>
      <w:r w:rsidRPr="00A058B6">
        <w:t xml:space="preserve">if the Commissioner had received a transfer request from the member spouse under </w:t>
      </w:r>
      <w:r w:rsidR="00CB78B9">
        <w:t>section 6</w:t>
      </w:r>
      <w:r w:rsidRPr="00A058B6">
        <w:t xml:space="preserve">1 of the </w:t>
      </w:r>
      <w:r w:rsidRPr="00A058B6">
        <w:rPr>
          <w:i/>
        </w:rPr>
        <w:t>Small Superannuation Accounts Act 1995</w:t>
      </w:r>
      <w:r w:rsidR="00D7157D">
        <w:t>.</w:t>
      </w:r>
    </w:p>
    <w:p w14:paraId="236585F8" w14:textId="6036027C" w:rsidR="00D930D9" w:rsidRPr="00A058B6" w:rsidRDefault="00D930D9" w:rsidP="00D930D9">
      <w:pPr>
        <w:pStyle w:val="notetext"/>
      </w:pPr>
      <w:r w:rsidRPr="00A058B6">
        <w:t>Note:</w:t>
      </w:r>
      <w:r w:rsidRPr="00A058B6">
        <w:tab/>
        <w:t xml:space="preserve">The determination is taken to be the value of the superannuation interest of the member spouse (see </w:t>
      </w:r>
      <w:r w:rsidR="00FE15C4">
        <w:t>subsection 9</w:t>
      </w:r>
      <w:r w:rsidRPr="00A058B6">
        <w:t>0XT(2A) or 90YY(3) of the Act)</w:t>
      </w:r>
      <w:r w:rsidR="00D7157D">
        <w:t>.</w:t>
      </w:r>
      <w:r w:rsidRPr="00A058B6">
        <w:t xml:space="preserve"> The court must make the </w:t>
      </w:r>
      <w:r w:rsidRPr="00A058B6">
        <w:lastRenderedPageBreak/>
        <w:t>determination before making a splitting order for the benefit of the non</w:t>
      </w:r>
      <w:r w:rsidR="001952B3">
        <w:noBreakHyphen/>
      </w:r>
      <w:r w:rsidRPr="00A058B6">
        <w:t>member spouse in relation to the superannuation interest</w:t>
      </w:r>
      <w:r w:rsidR="00D7157D">
        <w:t>.</w:t>
      </w:r>
    </w:p>
    <w:p w14:paraId="08D15323" w14:textId="77777777" w:rsidR="00D930D9" w:rsidRPr="00A058B6" w:rsidRDefault="00D930D9" w:rsidP="00D930D9">
      <w:pPr>
        <w:pStyle w:val="subsection"/>
      </w:pPr>
      <w:r w:rsidRPr="00A058B6">
        <w:tab/>
        <w:t>(3)</w:t>
      </w:r>
      <w:r w:rsidRPr="00A058B6">
        <w:tab/>
        <w:t>In this section:</w:t>
      </w:r>
    </w:p>
    <w:p w14:paraId="616F2999" w14:textId="72A7D9E7" w:rsidR="00D930D9" w:rsidRPr="00A058B6" w:rsidRDefault="00D930D9" w:rsidP="00D930D9">
      <w:pPr>
        <w:pStyle w:val="Definition"/>
      </w:pPr>
      <w:r w:rsidRPr="00A058B6">
        <w:rPr>
          <w:b/>
          <w:i/>
        </w:rPr>
        <w:t>complying fund</w:t>
      </w:r>
      <w:r w:rsidRPr="00A058B6">
        <w:t xml:space="preserve"> means a fund that passes the compliance test in </w:t>
      </w:r>
      <w:r w:rsidR="00CB78B9">
        <w:t>subsection 6</w:t>
      </w:r>
      <w:r w:rsidRPr="00A058B6">
        <w:t xml:space="preserve">1(2) of the </w:t>
      </w:r>
      <w:r w:rsidRPr="00A058B6">
        <w:rPr>
          <w:i/>
        </w:rPr>
        <w:t>Small Superannuation Accounts Act 1995</w:t>
      </w:r>
      <w:r w:rsidR="00D7157D">
        <w:t>.</w:t>
      </w:r>
    </w:p>
    <w:p w14:paraId="009BC228" w14:textId="0861F78B" w:rsidR="00D930D9" w:rsidRPr="00A058B6" w:rsidRDefault="00D930D9" w:rsidP="00D930D9">
      <w:pPr>
        <w:pStyle w:val="ActHead4"/>
      </w:pPr>
      <w:bookmarkStart w:id="71" w:name="_Toc188350558"/>
      <w:r w:rsidRPr="00423C34">
        <w:rPr>
          <w:rStyle w:val="CharSubdNo"/>
        </w:rPr>
        <w:t>Subdivision B</w:t>
      </w:r>
      <w:r w:rsidRPr="00A058B6">
        <w:t>—</w:t>
      </w:r>
      <w:r w:rsidRPr="00423C34">
        <w:rPr>
          <w:rStyle w:val="CharSubdText"/>
        </w:rPr>
        <w:t>Calculating the amount the non</w:t>
      </w:r>
      <w:r w:rsidR="001952B3" w:rsidRPr="00423C34">
        <w:rPr>
          <w:rStyle w:val="CharSubdText"/>
        </w:rPr>
        <w:noBreakHyphen/>
      </w:r>
      <w:r w:rsidRPr="00423C34">
        <w:rPr>
          <w:rStyle w:val="CharSubdText"/>
        </w:rPr>
        <w:t>member spouse is entitled to be paid in respect of certain superannuation interests of the member spouse</w:t>
      </w:r>
      <w:bookmarkEnd w:id="71"/>
    </w:p>
    <w:p w14:paraId="72741766" w14:textId="4D73D763" w:rsidR="00D930D9" w:rsidRPr="00A058B6" w:rsidRDefault="00485CC2" w:rsidP="00D930D9">
      <w:pPr>
        <w:pStyle w:val="ActHead5"/>
      </w:pPr>
      <w:bookmarkStart w:id="72" w:name="_Toc188350559"/>
      <w:r w:rsidRPr="00423C34">
        <w:rPr>
          <w:rStyle w:val="CharSectno"/>
        </w:rPr>
        <w:t>46</w:t>
      </w:r>
      <w:r w:rsidR="00D930D9" w:rsidRPr="00A058B6">
        <w:t xml:space="preserve">  Entitlement of non</w:t>
      </w:r>
      <w:r w:rsidR="001952B3">
        <w:noBreakHyphen/>
      </w:r>
      <w:r w:rsidR="00D930D9" w:rsidRPr="00A058B6">
        <w:t xml:space="preserve">member spouse under a splitting order—interests other than </w:t>
      </w:r>
      <w:r w:rsidR="00527939">
        <w:t>percentage</w:t>
      </w:r>
      <w:r w:rsidR="001952B3">
        <w:noBreakHyphen/>
      </w:r>
      <w:r w:rsidR="00527939">
        <w:t xml:space="preserve">only interests and </w:t>
      </w:r>
      <w:r w:rsidR="00D930D9" w:rsidRPr="00A058B6">
        <w:t>small superannuation accounts interests</w:t>
      </w:r>
      <w:bookmarkEnd w:id="72"/>
    </w:p>
    <w:p w14:paraId="6AB29DF6" w14:textId="1E28AFA2" w:rsidR="00D930D9" w:rsidRPr="00A058B6" w:rsidRDefault="00D930D9" w:rsidP="00D930D9">
      <w:pPr>
        <w:pStyle w:val="subsection"/>
      </w:pPr>
      <w:r w:rsidRPr="00A058B6">
        <w:tab/>
      </w:r>
      <w:r w:rsidRPr="00A058B6">
        <w:tab/>
        <w:t xml:space="preserve">For the purposes of </w:t>
      </w:r>
      <w:r w:rsidR="00FE15C4">
        <w:t>subparagraph 9</w:t>
      </w:r>
      <w:r w:rsidRPr="00A058B6">
        <w:t xml:space="preserve">0XT(1)(a)(i) or 90YY(1)(a)(i) of the Act for a superannuation interest that </w:t>
      </w:r>
      <w:r w:rsidRPr="009C02F5">
        <w:t>is not a percentage</w:t>
      </w:r>
      <w:r w:rsidR="001952B3">
        <w:noBreakHyphen/>
      </w:r>
      <w:r w:rsidRPr="009C02F5">
        <w:t>only interest and</w:t>
      </w:r>
      <w:r w:rsidRPr="00A058B6">
        <w:t xml:space="preserve"> is not a small superannuation accounts interest, the amount that the non</w:t>
      </w:r>
      <w:r w:rsidR="001952B3">
        <w:noBreakHyphen/>
      </w:r>
      <w:r w:rsidRPr="00A058B6">
        <w:t>member spouse is entitled to be paid under a splitting order whenever a splittable payment becomes payable in respect of the interest is:</w:t>
      </w:r>
    </w:p>
    <w:p w14:paraId="6162E020" w14:textId="14BB3F37" w:rsidR="00D930D9" w:rsidRPr="00A058B6" w:rsidRDefault="00D930D9" w:rsidP="00D930D9">
      <w:pPr>
        <w:pStyle w:val="paragraph"/>
      </w:pPr>
      <w:r w:rsidRPr="00A058B6">
        <w:tab/>
        <w:t>(a)</w:t>
      </w:r>
      <w:r w:rsidRPr="00A058B6">
        <w:tab/>
        <w:t xml:space="preserve">if the interest is in the growth phase at the date of the splitting order—the amount calculated under </w:t>
      </w:r>
      <w:r w:rsidR="00453C86">
        <w:t>Division 2</w:t>
      </w:r>
      <w:r w:rsidRPr="00A058B6">
        <w:t xml:space="preserve"> of </w:t>
      </w:r>
      <w:r w:rsidR="00453C86">
        <w:t>Part 7</w:t>
      </w:r>
      <w:r w:rsidRPr="00A058B6">
        <w:t xml:space="preserve"> of this instrument; and</w:t>
      </w:r>
    </w:p>
    <w:p w14:paraId="293D0BD6" w14:textId="1454CF2D" w:rsidR="00D930D9" w:rsidRPr="00A058B6" w:rsidRDefault="00D930D9" w:rsidP="00D930D9">
      <w:pPr>
        <w:pStyle w:val="paragraph"/>
      </w:pPr>
      <w:r w:rsidRPr="00A058B6">
        <w:tab/>
        <w:t>(b)</w:t>
      </w:r>
      <w:r w:rsidRPr="00A058B6">
        <w:tab/>
        <w:t xml:space="preserve">if the interest is in the payment phase at the date of the splitting order—the amount calculated under </w:t>
      </w:r>
      <w:r w:rsidR="00881039">
        <w:t>Division 3</w:t>
      </w:r>
      <w:r w:rsidRPr="00A058B6">
        <w:t xml:space="preserve"> of </w:t>
      </w:r>
      <w:r w:rsidR="00453C86">
        <w:t>Part 7</w:t>
      </w:r>
      <w:r w:rsidRPr="00A058B6">
        <w:t xml:space="preserve"> of this instrument</w:t>
      </w:r>
      <w:r w:rsidR="00D7157D">
        <w:t>.</w:t>
      </w:r>
    </w:p>
    <w:p w14:paraId="25FBCCE9" w14:textId="41B3A88B" w:rsidR="00D930D9" w:rsidRPr="00A058B6" w:rsidRDefault="00881039" w:rsidP="00BD046A">
      <w:pPr>
        <w:pStyle w:val="ActHead3"/>
        <w:pageBreakBefore/>
      </w:pPr>
      <w:bookmarkStart w:id="73" w:name="_Toc188350560"/>
      <w:r w:rsidRPr="00423C34">
        <w:rPr>
          <w:rStyle w:val="CharDivNo"/>
        </w:rPr>
        <w:lastRenderedPageBreak/>
        <w:t>Division 3</w:t>
      </w:r>
      <w:r w:rsidR="00D930D9" w:rsidRPr="00A058B6">
        <w:t>—</w:t>
      </w:r>
      <w:r w:rsidR="00D930D9" w:rsidRPr="00423C34">
        <w:rPr>
          <w:rStyle w:val="CharDivText"/>
        </w:rPr>
        <w:t>Superannuation interest that is a percentage</w:t>
      </w:r>
      <w:r w:rsidR="001952B3" w:rsidRPr="00423C34">
        <w:rPr>
          <w:rStyle w:val="CharDivText"/>
        </w:rPr>
        <w:noBreakHyphen/>
      </w:r>
      <w:r w:rsidR="00D930D9" w:rsidRPr="00423C34">
        <w:rPr>
          <w:rStyle w:val="CharDivText"/>
        </w:rPr>
        <w:t>only interest</w:t>
      </w:r>
      <w:bookmarkEnd w:id="73"/>
    </w:p>
    <w:p w14:paraId="47F0DB03" w14:textId="73815E20" w:rsidR="00D930D9" w:rsidRPr="00A058B6" w:rsidRDefault="00485CC2" w:rsidP="00D930D9">
      <w:pPr>
        <w:pStyle w:val="ActHead5"/>
      </w:pPr>
      <w:bookmarkStart w:id="74" w:name="_Toc188350561"/>
      <w:r w:rsidRPr="00423C34">
        <w:rPr>
          <w:rStyle w:val="CharSectno"/>
        </w:rPr>
        <w:t>47</w:t>
      </w:r>
      <w:r w:rsidR="00D930D9" w:rsidRPr="00A058B6">
        <w:t xml:space="preserve">  Application of this Division</w:t>
      </w:r>
      <w:bookmarkEnd w:id="74"/>
    </w:p>
    <w:p w14:paraId="7E0EF028" w14:textId="69A4F4CA" w:rsidR="00D930D9" w:rsidRDefault="00D930D9" w:rsidP="00D930D9">
      <w:pPr>
        <w:pStyle w:val="subsection"/>
      </w:pPr>
      <w:r w:rsidRPr="00A058B6">
        <w:tab/>
      </w:r>
      <w:r w:rsidRPr="00A058B6">
        <w:tab/>
        <w:t xml:space="preserve">For the purposes of </w:t>
      </w:r>
      <w:r w:rsidR="00FE15C4">
        <w:t>subparagraph 9</w:t>
      </w:r>
      <w:r w:rsidRPr="00A058B6">
        <w:t>0XT(1)(c)(i) or 90YY(1)(c)(i) of the Act for a superannuation interest that is a percentage</w:t>
      </w:r>
      <w:r w:rsidR="001952B3">
        <w:noBreakHyphen/>
      </w:r>
      <w:r w:rsidRPr="00A058B6">
        <w:t>only interest, this Division sets out how to calculate the amount that the non</w:t>
      </w:r>
      <w:r w:rsidR="001952B3">
        <w:noBreakHyphen/>
      </w:r>
      <w:r w:rsidRPr="00A058B6">
        <w:t xml:space="preserve">member spouse is entitled to be paid under a splitting order </w:t>
      </w:r>
      <w:r>
        <w:t>for each</w:t>
      </w:r>
      <w:r w:rsidRPr="00A058B6">
        <w:t xml:space="preserve"> splittable payment </w:t>
      </w:r>
      <w:r>
        <w:t xml:space="preserve">that </w:t>
      </w:r>
      <w:r w:rsidRPr="00A058B6">
        <w:t>becomes payable in respect of the interest</w:t>
      </w:r>
      <w:r w:rsidR="00D7157D">
        <w:t>.</w:t>
      </w:r>
    </w:p>
    <w:p w14:paraId="1E202838" w14:textId="2A488D9E" w:rsidR="005F37E5" w:rsidRPr="005F37E5" w:rsidRDefault="005F37E5" w:rsidP="005F37E5">
      <w:pPr>
        <w:pStyle w:val="notetext"/>
      </w:pPr>
      <w:r>
        <w:t>Note:</w:t>
      </w:r>
      <w:r>
        <w:tab/>
      </w:r>
      <w:r w:rsidR="00F715F7">
        <w:t>A percentage</w:t>
      </w:r>
      <w:r w:rsidR="001952B3">
        <w:noBreakHyphen/>
      </w:r>
      <w:r w:rsidR="008C1DE5">
        <w:t xml:space="preserve">only interest is defined in </w:t>
      </w:r>
      <w:r w:rsidR="00CB78B9">
        <w:t>section 1</w:t>
      </w:r>
      <w:r w:rsidR="00485CC2">
        <w:t>1</w:t>
      </w:r>
      <w:r w:rsidR="008C1DE5">
        <w:t xml:space="preserve"> of this instrument, and includes a superannuation interest in a superannuation annuity.</w:t>
      </w:r>
    </w:p>
    <w:p w14:paraId="52B39F38" w14:textId="574CCEA9" w:rsidR="00D930D9" w:rsidRPr="00A058B6" w:rsidRDefault="00485CC2" w:rsidP="00D930D9">
      <w:pPr>
        <w:pStyle w:val="ActHead5"/>
      </w:pPr>
      <w:bookmarkStart w:id="75" w:name="_Toc188350562"/>
      <w:r w:rsidRPr="00423C34">
        <w:rPr>
          <w:rStyle w:val="CharSectno"/>
        </w:rPr>
        <w:t>48</w:t>
      </w:r>
      <w:r w:rsidR="00D930D9" w:rsidRPr="00A058B6">
        <w:t xml:space="preserve">  Entitlement of non</w:t>
      </w:r>
      <w:r w:rsidR="001952B3">
        <w:noBreakHyphen/>
      </w:r>
      <w:r w:rsidR="00D930D9" w:rsidRPr="00A058B6">
        <w:t>member spouse under the order—superannuation interest (other than an interest in a superannuation annuity)</w:t>
      </w:r>
      <w:bookmarkEnd w:id="75"/>
    </w:p>
    <w:p w14:paraId="4FF00DFF" w14:textId="178C7DDD" w:rsidR="00D930D9" w:rsidRPr="00A058B6" w:rsidRDefault="00D930D9" w:rsidP="00D930D9">
      <w:pPr>
        <w:pStyle w:val="subsection"/>
      </w:pPr>
      <w:r w:rsidRPr="00A058B6">
        <w:tab/>
      </w:r>
      <w:r w:rsidRPr="00A058B6">
        <w:tab/>
        <w:t>If the superannuation interest is not an interest in a superannuation annuity, the amount that the non</w:t>
      </w:r>
      <w:r w:rsidR="001952B3">
        <w:noBreakHyphen/>
      </w:r>
      <w:r w:rsidRPr="00A058B6">
        <w:t>member spouse is entitled to be paid in respect of the splittable payment is:</w:t>
      </w:r>
    </w:p>
    <w:p w14:paraId="4755C3A2" w14:textId="741FF854" w:rsidR="00D930D9" w:rsidRPr="00A058B6" w:rsidRDefault="00472507" w:rsidP="00D930D9">
      <w:pPr>
        <w:pStyle w:val="subsection2"/>
      </w:pPr>
      <w:r w:rsidRPr="00A058B6">
        <w:rPr>
          <w:position w:val="-38"/>
        </w:rPr>
        <w:object w:dxaOrig="6600" w:dyaOrig="859" w14:anchorId="533D3C98">
          <v:shape id="_x0000_i1033" type="#_x0000_t75" alt="Start formula open bracket start fraction Accrued benefit multiple at separation over Accrued benefit multiple at payment end fraction times Splitting order percentage close bracket times Splittable payment end formula" style="width:331.55pt;height:42.65pt" o:ole="">
            <v:imagedata r:id="rId40" o:title=""/>
          </v:shape>
          <o:OLEObject Type="Embed" ProgID="Equation.DSMT4" ShapeID="_x0000_i1033" DrawAspect="Content" ObjectID="_1801634262" r:id="rId41"/>
        </w:object>
      </w:r>
    </w:p>
    <w:p w14:paraId="403EE914" w14:textId="77777777" w:rsidR="00D930D9" w:rsidRPr="00A058B6" w:rsidRDefault="00D930D9" w:rsidP="00D930D9">
      <w:pPr>
        <w:pStyle w:val="subsection2"/>
        <w:spacing w:before="120"/>
      </w:pPr>
      <w:r w:rsidRPr="00A058B6">
        <w:t>where:</w:t>
      </w:r>
    </w:p>
    <w:p w14:paraId="48808C31" w14:textId="41E78B71" w:rsidR="003E6DB9" w:rsidRPr="00A058B6" w:rsidRDefault="003E6DB9" w:rsidP="003E6DB9">
      <w:pPr>
        <w:pStyle w:val="Definition"/>
      </w:pPr>
      <w:r w:rsidRPr="00A058B6">
        <w:rPr>
          <w:b/>
          <w:i/>
        </w:rPr>
        <w:t>accrued benefit multiple at separation</w:t>
      </w:r>
      <w:r w:rsidRPr="00A058B6">
        <w:t xml:space="preserve"> </w:t>
      </w:r>
      <w:r w:rsidR="009A5BE8">
        <w:t>means</w:t>
      </w:r>
      <w:r w:rsidRPr="00A058B6">
        <w:t xml:space="preserve"> the member spouse’s accrued benefit multiple, as defined in the governing rules of the eligible superannuation plan in which the superannuation interest is held, at the date when the member spouse and non</w:t>
      </w:r>
      <w:r w:rsidR="001952B3">
        <w:noBreakHyphen/>
      </w:r>
      <w:r w:rsidRPr="00A058B6">
        <w:t>member spouse separated or, if there have been 2 or more separations, at the date of the most recent separation</w:t>
      </w:r>
      <w:r w:rsidR="00D7157D">
        <w:t>.</w:t>
      </w:r>
    </w:p>
    <w:p w14:paraId="068F0B2C" w14:textId="77777777" w:rsidR="00D930D9" w:rsidRPr="00A058B6" w:rsidRDefault="00D930D9" w:rsidP="00D930D9">
      <w:pPr>
        <w:pStyle w:val="Definition"/>
      </w:pPr>
      <w:r w:rsidRPr="00A058B6">
        <w:rPr>
          <w:b/>
          <w:i/>
        </w:rPr>
        <w:t>accrued benefit multiple at payment</w:t>
      </w:r>
      <w:r w:rsidRPr="00A058B6">
        <w:t xml:space="preserve"> </w:t>
      </w:r>
      <w:r w:rsidR="009A5BE8">
        <w:t>means</w:t>
      </w:r>
      <w:r w:rsidRPr="00A058B6">
        <w:t xml:space="preserve"> the member spouse’s accrued benefit multiple, as defined in the governing rules of the eligible superannuation plan in which the superannuation interest is held, at the date when the splittable payment becomes payable in respect of the superannuation interest</w:t>
      </w:r>
      <w:r w:rsidR="00D7157D">
        <w:t>.</w:t>
      </w:r>
    </w:p>
    <w:p w14:paraId="38AC4285" w14:textId="77777777" w:rsidR="00D930D9" w:rsidRPr="00A058B6" w:rsidRDefault="00D930D9" w:rsidP="00D930D9">
      <w:pPr>
        <w:pStyle w:val="Definition"/>
      </w:pPr>
      <w:r w:rsidRPr="00A058B6">
        <w:rPr>
          <w:b/>
          <w:i/>
        </w:rPr>
        <w:t>splitting order percentage</w:t>
      </w:r>
      <w:r w:rsidRPr="00A058B6">
        <w:t xml:space="preserve"> </w:t>
      </w:r>
      <w:r w:rsidR="009A5BE8">
        <w:t>means</w:t>
      </w:r>
      <w:r w:rsidRPr="00A058B6">
        <w:t xml:space="preserve"> the percentage specified in the splitting order</w:t>
      </w:r>
      <w:r w:rsidR="00D7157D">
        <w:t>.</w:t>
      </w:r>
    </w:p>
    <w:p w14:paraId="4380B03F" w14:textId="77777777" w:rsidR="003E6DB9" w:rsidRPr="00A058B6" w:rsidRDefault="003E6DB9" w:rsidP="003E6DB9">
      <w:pPr>
        <w:pStyle w:val="Definition"/>
      </w:pPr>
      <w:r w:rsidRPr="00A058B6">
        <w:rPr>
          <w:b/>
          <w:i/>
        </w:rPr>
        <w:t>splittable payment</w:t>
      </w:r>
      <w:r w:rsidRPr="00A058B6">
        <w:t xml:space="preserve"> </w:t>
      </w:r>
      <w:r w:rsidR="009A5BE8">
        <w:t>means</w:t>
      </w:r>
      <w:r w:rsidRPr="00A058B6">
        <w:t xml:space="preserve"> the amount of the splittable payment</w:t>
      </w:r>
      <w:r w:rsidR="00D7157D">
        <w:t>.</w:t>
      </w:r>
    </w:p>
    <w:p w14:paraId="3AF6491D" w14:textId="4502142D" w:rsidR="00D930D9" w:rsidRPr="00A058B6" w:rsidRDefault="00485CC2" w:rsidP="00D930D9">
      <w:pPr>
        <w:pStyle w:val="ActHead5"/>
      </w:pPr>
      <w:bookmarkStart w:id="76" w:name="_Toc188350563"/>
      <w:r w:rsidRPr="00423C34">
        <w:rPr>
          <w:rStyle w:val="CharSectno"/>
        </w:rPr>
        <w:t>49</w:t>
      </w:r>
      <w:r w:rsidR="00D930D9" w:rsidRPr="00A058B6">
        <w:t xml:space="preserve">  Entitlement of non</w:t>
      </w:r>
      <w:r w:rsidR="001952B3">
        <w:noBreakHyphen/>
      </w:r>
      <w:r w:rsidR="00D930D9" w:rsidRPr="00A058B6">
        <w:t>member spouse under the order—superannuation interest in a superannuation annuity</w:t>
      </w:r>
      <w:bookmarkEnd w:id="76"/>
    </w:p>
    <w:p w14:paraId="155FAA6A" w14:textId="7A5F0F2E" w:rsidR="00D930D9" w:rsidRPr="00A058B6" w:rsidRDefault="00D930D9" w:rsidP="00D930D9">
      <w:pPr>
        <w:pStyle w:val="subsection"/>
      </w:pPr>
      <w:r w:rsidRPr="00A058B6">
        <w:tab/>
      </w:r>
      <w:r w:rsidRPr="00A058B6">
        <w:tab/>
        <w:t>If the superannuation interest is an interest in a superannuation annuity, the amount that the non</w:t>
      </w:r>
      <w:r w:rsidR="001952B3">
        <w:noBreakHyphen/>
      </w:r>
      <w:r w:rsidRPr="00A058B6">
        <w:t>member spouse is entitled to be paid in respect of the splittable payment is:</w:t>
      </w:r>
    </w:p>
    <w:p w14:paraId="121965EC" w14:textId="7EF6D290" w:rsidR="00D930D9" w:rsidRPr="00A058B6" w:rsidRDefault="00AA0B64" w:rsidP="00D930D9">
      <w:pPr>
        <w:pStyle w:val="subsection2"/>
      </w:pPr>
      <w:r w:rsidRPr="00A058B6">
        <w:rPr>
          <w:position w:val="-10"/>
        </w:rPr>
        <w:object w:dxaOrig="3920" w:dyaOrig="420" w14:anchorId="6F4A7333">
          <v:shape id="_x0000_i1034" type="#_x0000_t75" alt="Start formula Splitting order percentage times Splittable payment end formula" style="width:197.65pt;height:22pt" o:ole="">
            <v:imagedata r:id="rId42" o:title=""/>
          </v:shape>
          <o:OLEObject Type="Embed" ProgID="Equation.DSMT4" ShapeID="_x0000_i1034" DrawAspect="Content" ObjectID="_1801634263" r:id="rId43"/>
        </w:object>
      </w:r>
    </w:p>
    <w:p w14:paraId="7367D829" w14:textId="77777777" w:rsidR="00D930D9" w:rsidRPr="00A058B6" w:rsidRDefault="00D930D9" w:rsidP="00D930D9">
      <w:pPr>
        <w:pStyle w:val="subsection2"/>
        <w:spacing w:before="120"/>
      </w:pPr>
      <w:r w:rsidRPr="00A058B6">
        <w:t>where:</w:t>
      </w:r>
    </w:p>
    <w:p w14:paraId="71DC9D65" w14:textId="77777777" w:rsidR="003E6DB9" w:rsidRPr="00A058B6" w:rsidRDefault="003E6DB9" w:rsidP="003E6DB9">
      <w:pPr>
        <w:pStyle w:val="Definition"/>
      </w:pPr>
      <w:r w:rsidRPr="00A058B6">
        <w:rPr>
          <w:b/>
          <w:i/>
        </w:rPr>
        <w:t>splitting order percentage</w:t>
      </w:r>
      <w:r w:rsidRPr="00A058B6">
        <w:t xml:space="preserve"> is the percentage specified in the splitting order</w:t>
      </w:r>
      <w:r w:rsidR="00D7157D">
        <w:t>.</w:t>
      </w:r>
    </w:p>
    <w:p w14:paraId="378F1950" w14:textId="77777777" w:rsidR="00D930D9" w:rsidRPr="00A058B6" w:rsidRDefault="00D930D9" w:rsidP="00D930D9">
      <w:pPr>
        <w:pStyle w:val="Definition"/>
      </w:pPr>
      <w:r w:rsidRPr="00A058B6">
        <w:rPr>
          <w:b/>
          <w:i/>
        </w:rPr>
        <w:lastRenderedPageBreak/>
        <w:t>splittable payment</w:t>
      </w:r>
      <w:r w:rsidRPr="00A058B6">
        <w:t xml:space="preserve"> is the amount of the splittable payment</w:t>
      </w:r>
      <w:r w:rsidR="00D7157D">
        <w:t>.</w:t>
      </w:r>
    </w:p>
    <w:p w14:paraId="07CAE204" w14:textId="77777777" w:rsidR="00D930D9" w:rsidRPr="00A058B6" w:rsidRDefault="00D930D9" w:rsidP="00D930D9">
      <w:pPr>
        <w:pStyle w:val="ActHead2"/>
        <w:pageBreakBefore/>
      </w:pPr>
      <w:bookmarkStart w:id="77" w:name="_Toc188350564"/>
      <w:r w:rsidRPr="00423C34">
        <w:rPr>
          <w:rStyle w:val="CharPartNo"/>
        </w:rPr>
        <w:lastRenderedPageBreak/>
        <w:t>Part </w:t>
      </w:r>
      <w:r w:rsidR="00F47A4A" w:rsidRPr="00423C34">
        <w:rPr>
          <w:rStyle w:val="CharPartNo"/>
        </w:rPr>
        <w:t>6</w:t>
      </w:r>
      <w:r w:rsidRPr="00A058B6">
        <w:t>—</w:t>
      </w:r>
      <w:r w:rsidRPr="00423C34">
        <w:rPr>
          <w:rStyle w:val="CharPartText"/>
        </w:rPr>
        <w:t>Determining the value of certain superannuation interests of member spouses</w:t>
      </w:r>
      <w:bookmarkEnd w:id="77"/>
    </w:p>
    <w:p w14:paraId="0D4D5FAA" w14:textId="77777777" w:rsidR="00D930D9" w:rsidRPr="00A058B6" w:rsidRDefault="00B05FD6" w:rsidP="00D930D9">
      <w:pPr>
        <w:pStyle w:val="ActHead3"/>
      </w:pPr>
      <w:bookmarkStart w:id="78" w:name="_Toc188350565"/>
      <w:r w:rsidRPr="00423C34">
        <w:rPr>
          <w:rStyle w:val="CharDivNo"/>
        </w:rPr>
        <w:t>Division 1</w:t>
      </w:r>
      <w:r w:rsidR="00D930D9" w:rsidRPr="00A058B6">
        <w:t>—</w:t>
      </w:r>
      <w:r w:rsidR="00D930D9" w:rsidRPr="00423C34">
        <w:rPr>
          <w:rStyle w:val="CharDivText"/>
        </w:rPr>
        <w:t>Determining the value of superannuation interests in the growth phase at the relevant date</w:t>
      </w:r>
      <w:bookmarkEnd w:id="78"/>
    </w:p>
    <w:p w14:paraId="6C5BB6AD" w14:textId="6FFE1C8A" w:rsidR="00D930D9" w:rsidRPr="00A058B6" w:rsidRDefault="00485CC2" w:rsidP="00D930D9">
      <w:pPr>
        <w:pStyle w:val="ActHead5"/>
      </w:pPr>
      <w:bookmarkStart w:id="79" w:name="_Toc188350566"/>
      <w:r w:rsidRPr="00423C34">
        <w:rPr>
          <w:rStyle w:val="CharSectno"/>
        </w:rPr>
        <w:t>50</w:t>
      </w:r>
      <w:r w:rsidR="00D930D9" w:rsidRPr="00A058B6">
        <w:t xml:space="preserve">  Simplified outline of this Division</w:t>
      </w:r>
      <w:bookmarkEnd w:id="79"/>
    </w:p>
    <w:p w14:paraId="157BF45A" w14:textId="5FD463B2" w:rsidR="00D930D9" w:rsidRPr="00A058B6" w:rsidRDefault="00CB78B9" w:rsidP="00D930D9">
      <w:pPr>
        <w:pStyle w:val="SOText"/>
      </w:pPr>
      <w:r>
        <w:t>Section 5</w:t>
      </w:r>
      <w:r w:rsidR="00485CC2">
        <w:t>1</w:t>
      </w:r>
      <w:r w:rsidR="00D930D9" w:rsidRPr="00A058B6">
        <w:t xml:space="preserve"> uses a formula to calculate the value of a superannuation interest of the member spouse that is in the growth phase</w:t>
      </w:r>
      <w:r w:rsidR="00D7157D">
        <w:t>.</w:t>
      </w:r>
      <w:r w:rsidR="00D930D9" w:rsidRPr="00A058B6">
        <w:t xml:space="preserve"> This value is needed for </w:t>
      </w:r>
      <w:r>
        <w:t>paragraph 4</w:t>
      </w:r>
      <w:r w:rsidR="00485CC2">
        <w:t>4</w:t>
      </w:r>
      <w:r w:rsidR="00D930D9" w:rsidRPr="00A058B6">
        <w:t>(1)(a)</w:t>
      </w:r>
      <w:r w:rsidR="00D7157D">
        <w:t>.</w:t>
      </w:r>
    </w:p>
    <w:p w14:paraId="4F59CA94" w14:textId="321E34F2" w:rsidR="00D930D9" w:rsidRPr="00A058B6" w:rsidRDefault="00D930D9" w:rsidP="00D930D9">
      <w:pPr>
        <w:pStyle w:val="SOText"/>
      </w:pPr>
      <w:r w:rsidRPr="00A058B6">
        <w:t xml:space="preserve">The formula in </w:t>
      </w:r>
      <w:r w:rsidR="00CB78B9">
        <w:t>section 5</w:t>
      </w:r>
      <w:r w:rsidR="00485CC2">
        <w:t>1</w:t>
      </w:r>
      <w:r w:rsidRPr="00A058B6">
        <w:t xml:space="preserve"> has a term called the gross value of the superannuation interest at the relevant date</w:t>
      </w:r>
      <w:r w:rsidR="00D7157D">
        <w:t>.</w:t>
      </w:r>
      <w:r w:rsidRPr="00A058B6">
        <w:t xml:space="preserve"> The remaining sections in this Division calculate that gross value</w:t>
      </w:r>
      <w:r w:rsidR="00D7157D">
        <w:t>.</w:t>
      </w:r>
    </w:p>
    <w:p w14:paraId="42BD7E36" w14:textId="4428B40C" w:rsidR="00D930D9" w:rsidRPr="00A058B6" w:rsidRDefault="00D930D9" w:rsidP="00D930D9">
      <w:pPr>
        <w:pStyle w:val="notetext"/>
      </w:pPr>
      <w:r w:rsidRPr="00A058B6">
        <w:t>Note:</w:t>
      </w:r>
      <w:r w:rsidRPr="00A058B6">
        <w:tab/>
        <w:t>This Division does not apply to certain kinds of superannuation interests</w:t>
      </w:r>
      <w:r>
        <w:t>, including interests covered by</w:t>
      </w:r>
      <w:r w:rsidRPr="00A058B6">
        <w:t xml:space="preserve"> </w:t>
      </w:r>
      <w:r w:rsidR="00CB78B9">
        <w:t>subsection 4</w:t>
      </w:r>
      <w:r w:rsidR="00485CC2">
        <w:t>4</w:t>
      </w:r>
      <w:r w:rsidRPr="00A058B6">
        <w:t>(2)</w:t>
      </w:r>
      <w:r w:rsidR="00D7157D">
        <w:t>.</w:t>
      </w:r>
    </w:p>
    <w:p w14:paraId="7A9FAD6A" w14:textId="7F6E8EBD" w:rsidR="00D930D9" w:rsidRPr="00A058B6" w:rsidRDefault="00485CC2" w:rsidP="00D930D9">
      <w:pPr>
        <w:pStyle w:val="ActHead5"/>
      </w:pPr>
      <w:bookmarkStart w:id="80" w:name="_Toc188350567"/>
      <w:r w:rsidRPr="00423C34">
        <w:rPr>
          <w:rStyle w:val="CharSectno"/>
        </w:rPr>
        <w:t>51</w:t>
      </w:r>
      <w:r w:rsidR="00D930D9" w:rsidRPr="00A058B6">
        <w:t xml:space="preserve">  Determining the value of superannuation interests in the growth phase at the relevant date</w:t>
      </w:r>
      <w:bookmarkEnd w:id="80"/>
    </w:p>
    <w:p w14:paraId="5ACCA681" w14:textId="409FB3DC" w:rsidR="00D930D9" w:rsidRPr="00A058B6" w:rsidRDefault="00D930D9" w:rsidP="00DC38FD">
      <w:pPr>
        <w:pStyle w:val="subsection"/>
      </w:pPr>
      <w:r w:rsidRPr="00A058B6">
        <w:tab/>
      </w:r>
      <w:r w:rsidRPr="00A058B6">
        <w:tab/>
        <w:t xml:space="preserve">For the purposes of </w:t>
      </w:r>
      <w:r w:rsidR="00CB78B9">
        <w:t>paragraph 4</w:t>
      </w:r>
      <w:r w:rsidR="00485CC2">
        <w:t>4</w:t>
      </w:r>
      <w:r w:rsidRPr="00A058B6">
        <w:t>(1)(a), the amount to be determined by the court in relation to a superannuation interest of the member spouse that</w:t>
      </w:r>
      <w:r w:rsidR="00DC38FD">
        <w:t xml:space="preserve"> </w:t>
      </w:r>
      <w:r w:rsidRPr="00A058B6">
        <w:t>is in the growth phase at the relevant date</w:t>
      </w:r>
      <w:r w:rsidR="00DC38FD">
        <w:t xml:space="preserve"> </w:t>
      </w:r>
      <w:r w:rsidRPr="00A058B6">
        <w:t>is calculated as follows:</w:t>
      </w:r>
    </w:p>
    <w:p w14:paraId="781C8B63" w14:textId="11D1317B" w:rsidR="00D930D9" w:rsidRPr="00A058B6" w:rsidRDefault="00472507" w:rsidP="00D930D9">
      <w:pPr>
        <w:pStyle w:val="subsection2"/>
      </w:pPr>
      <w:r w:rsidRPr="00975454">
        <w:rPr>
          <w:position w:val="-30"/>
        </w:rPr>
        <w:object w:dxaOrig="6160" w:dyaOrig="820" w14:anchorId="16325F85">
          <v:shape id="_x0000_i1035" type="#_x0000_t75" alt="Start formula Gross value of the superannuation interest at the relevant date minus Each earlier relevant amount payable in respect of the superannuation interest minus Any applicable surcharge debt end formula" style="width:306.35pt;height:41.25pt;mso-position-vertical:absolute" o:ole="">
            <v:imagedata r:id="rId44" o:title=""/>
          </v:shape>
          <o:OLEObject Type="Embed" ProgID="Equation.DSMT4" ShapeID="_x0000_i1035" DrawAspect="Content" ObjectID="_1801634264" r:id="rId45"/>
        </w:object>
      </w:r>
    </w:p>
    <w:p w14:paraId="7A1C3DB6" w14:textId="77777777" w:rsidR="00D930D9" w:rsidRPr="00A058B6" w:rsidRDefault="00D930D9" w:rsidP="00D930D9">
      <w:pPr>
        <w:pStyle w:val="subsection2"/>
      </w:pPr>
      <w:r w:rsidRPr="00A058B6">
        <w:t>where:</w:t>
      </w:r>
    </w:p>
    <w:p w14:paraId="28786CEC" w14:textId="77777777" w:rsidR="002E16EE" w:rsidRDefault="003E6DB9" w:rsidP="003E6DB9">
      <w:pPr>
        <w:pStyle w:val="Definition"/>
      </w:pPr>
      <w:r w:rsidRPr="00A058B6">
        <w:rPr>
          <w:b/>
          <w:i/>
        </w:rPr>
        <w:t>gross value of the superannuation interest at the relevant date</w:t>
      </w:r>
      <w:r w:rsidRPr="00A058B6">
        <w:t xml:space="preserve"> means the gross value of the superannuation interest calculated</w:t>
      </w:r>
      <w:r w:rsidR="002E16EE">
        <w:t>:</w:t>
      </w:r>
    </w:p>
    <w:p w14:paraId="2EF772AD" w14:textId="56DB1611" w:rsidR="00486077" w:rsidRDefault="00C60F28" w:rsidP="00C60F28">
      <w:pPr>
        <w:pStyle w:val="paragraph"/>
      </w:pPr>
      <w:r>
        <w:tab/>
        <w:t>(a)</w:t>
      </w:r>
      <w:r>
        <w:tab/>
        <w:t>if the whole of the interest is a percentage</w:t>
      </w:r>
      <w:r w:rsidR="001952B3">
        <w:noBreakHyphen/>
      </w:r>
      <w:r>
        <w:t xml:space="preserve">only interest—under </w:t>
      </w:r>
      <w:r w:rsidR="00CB78B9">
        <w:t>section 6</w:t>
      </w:r>
      <w:r w:rsidR="00485CC2">
        <w:t>1</w:t>
      </w:r>
      <w:r w:rsidR="00486077">
        <w:t>; or</w:t>
      </w:r>
    </w:p>
    <w:p w14:paraId="65F721A0" w14:textId="162546F2" w:rsidR="00D73414" w:rsidRDefault="00486077" w:rsidP="00C60F28">
      <w:pPr>
        <w:pStyle w:val="paragraph"/>
      </w:pPr>
      <w:r>
        <w:tab/>
        <w:t>(b)</w:t>
      </w:r>
      <w:r>
        <w:tab/>
        <w:t xml:space="preserve">if the whole of the interest </w:t>
      </w:r>
      <w:r w:rsidR="00D73414">
        <w:t xml:space="preserve">is an </w:t>
      </w:r>
      <w:r w:rsidR="00D73414" w:rsidRPr="00A058B6">
        <w:t>innovative superannuation interest</w:t>
      </w:r>
      <w:r w:rsidR="003E6DB9" w:rsidRPr="00A058B6">
        <w:t xml:space="preserve"> </w:t>
      </w:r>
      <w:r w:rsidR="005475DA">
        <w:t>that is</w:t>
      </w:r>
      <w:r w:rsidR="00D73414">
        <w:t xml:space="preserve"> not a percentage</w:t>
      </w:r>
      <w:r w:rsidR="001952B3">
        <w:noBreakHyphen/>
      </w:r>
      <w:r w:rsidR="00D73414">
        <w:t xml:space="preserve">only interest—under </w:t>
      </w:r>
      <w:r w:rsidR="00CB78B9">
        <w:t>section 6</w:t>
      </w:r>
      <w:r w:rsidR="00485CC2">
        <w:t>0</w:t>
      </w:r>
      <w:r w:rsidR="00D73414">
        <w:t>; or</w:t>
      </w:r>
    </w:p>
    <w:p w14:paraId="54D1DB9A" w14:textId="19EE84D9" w:rsidR="003E6DB9" w:rsidRPr="00A058B6" w:rsidRDefault="00D73414" w:rsidP="00C60F28">
      <w:pPr>
        <w:pStyle w:val="paragraph"/>
      </w:pPr>
      <w:r>
        <w:tab/>
        <w:t>(c)</w:t>
      </w:r>
      <w:r>
        <w:tab/>
      </w:r>
      <w:r w:rsidR="000E612A">
        <w:t xml:space="preserve">if neither </w:t>
      </w:r>
      <w:r w:rsidR="00453C86">
        <w:t>paragraph (</w:t>
      </w:r>
      <w:r w:rsidR="000E612A">
        <w:t>a) nor (b) applies to the interest—</w:t>
      </w:r>
      <w:r w:rsidR="003E6DB9" w:rsidRPr="00A058B6">
        <w:t>under the table</w:t>
      </w:r>
      <w:r w:rsidR="009E5A38">
        <w:t xml:space="preserve"> at the end of this section</w:t>
      </w:r>
      <w:r w:rsidR="00D7157D">
        <w:t>.</w:t>
      </w:r>
    </w:p>
    <w:p w14:paraId="11E2930B" w14:textId="77777777" w:rsidR="003E6DB9" w:rsidRPr="00A058B6" w:rsidRDefault="003E6DB9" w:rsidP="003E6DB9">
      <w:pPr>
        <w:pStyle w:val="Definition"/>
      </w:pPr>
      <w:r w:rsidRPr="00A058B6">
        <w:rPr>
          <w:b/>
          <w:i/>
        </w:rPr>
        <w:t>each earlier relevant amount payable in respect of the superannuation interest</w:t>
      </w:r>
      <w:r w:rsidRPr="00A058B6">
        <w:t xml:space="preserve"> means each amount (if any) payable under a payment split:</w:t>
      </w:r>
    </w:p>
    <w:p w14:paraId="3C2FB648" w14:textId="77777777" w:rsidR="003E6DB9" w:rsidRPr="00A058B6" w:rsidRDefault="003E6DB9" w:rsidP="003E6DB9">
      <w:pPr>
        <w:pStyle w:val="paragraph"/>
      </w:pPr>
      <w:r w:rsidRPr="00A058B6">
        <w:tab/>
        <w:t>(a)</w:t>
      </w:r>
      <w:r w:rsidRPr="00A058B6">
        <w:tab/>
        <w:t>applying in relation to a splittable payment in respect of the superannuation interest; and</w:t>
      </w:r>
    </w:p>
    <w:p w14:paraId="0D70C538" w14:textId="77777777" w:rsidR="003E6DB9" w:rsidRPr="00A058B6" w:rsidRDefault="003E6DB9" w:rsidP="003E6DB9">
      <w:pPr>
        <w:pStyle w:val="paragraph"/>
      </w:pPr>
      <w:r w:rsidRPr="00A058B6">
        <w:tab/>
        <w:t>(b)</w:t>
      </w:r>
      <w:r w:rsidRPr="00A058B6">
        <w:tab/>
        <w:t>having an operative time before the relevant date</w:t>
      </w:r>
      <w:r w:rsidR="00D7157D">
        <w:t>.</w:t>
      </w:r>
    </w:p>
    <w:p w14:paraId="3A4ABFC0" w14:textId="77777777" w:rsidR="00D930D9" w:rsidRPr="00A058B6" w:rsidRDefault="00D930D9" w:rsidP="00D930D9">
      <w:pPr>
        <w:pStyle w:val="Definition"/>
      </w:pPr>
      <w:r w:rsidRPr="00A058B6">
        <w:rPr>
          <w:b/>
          <w:i/>
        </w:rPr>
        <w:t xml:space="preserve">any applicable </w:t>
      </w:r>
      <w:r w:rsidR="005D136F">
        <w:rPr>
          <w:b/>
          <w:i/>
        </w:rPr>
        <w:t>surcharge</w:t>
      </w:r>
      <w:r w:rsidRPr="00A058B6">
        <w:rPr>
          <w:b/>
          <w:i/>
        </w:rPr>
        <w:t xml:space="preserve"> debt</w:t>
      </w:r>
      <w:r w:rsidRPr="00A058B6">
        <w:t xml:space="preserve"> means:</w:t>
      </w:r>
    </w:p>
    <w:p w14:paraId="60AAEA63" w14:textId="77777777" w:rsidR="00D930D9" w:rsidRPr="00A058B6" w:rsidRDefault="00D930D9" w:rsidP="00D930D9">
      <w:pPr>
        <w:pStyle w:val="paragraph"/>
      </w:pPr>
      <w:r w:rsidRPr="00A058B6">
        <w:tab/>
        <w:t>(a)</w:t>
      </w:r>
      <w:r w:rsidRPr="00A058B6">
        <w:tab/>
        <w:t xml:space="preserve">if the superannuation interest is a defined benefit interest in a superannuation fund that is not a constitutionally protected fund—the amount of any surcharge debt of the member spouse as stated in the most </w:t>
      </w:r>
      <w:r w:rsidRPr="00A058B6">
        <w:lastRenderedPageBreak/>
        <w:t xml:space="preserve">recent member information statement </w:t>
      </w:r>
      <w:r w:rsidR="000142D1">
        <w:t xml:space="preserve">for the member spouse </w:t>
      </w:r>
      <w:r w:rsidRPr="00A058B6">
        <w:t>provided by the fund before the relevant date;</w:t>
      </w:r>
      <w:r w:rsidR="00AB2673">
        <w:t xml:space="preserve"> or</w:t>
      </w:r>
    </w:p>
    <w:p w14:paraId="17EEB64D" w14:textId="77777777" w:rsidR="00D930D9" w:rsidRDefault="00D930D9" w:rsidP="00D930D9">
      <w:pPr>
        <w:pStyle w:val="paragraph"/>
      </w:pPr>
      <w:r w:rsidRPr="00A058B6">
        <w:tab/>
        <w:t>(b)</w:t>
      </w:r>
      <w:r w:rsidRPr="00A058B6">
        <w:tab/>
        <w:t xml:space="preserve">if the superannuation interest is in a superannuation fund that is a constitutionally protected fund—the amount stated in </w:t>
      </w:r>
      <w:r>
        <w:t>any</w:t>
      </w:r>
      <w:r w:rsidRPr="00A058B6">
        <w:t xml:space="preserve"> surcharge debt account maintained for the member spouse by the Commissioner of Taxation at the relevant date</w:t>
      </w:r>
      <w:r w:rsidR="00D7157D">
        <w:t>.</w:t>
      </w:r>
    </w:p>
    <w:p w14:paraId="3BD475C0" w14:textId="77777777" w:rsidR="00D930D9" w:rsidRPr="00A058B6" w:rsidRDefault="00D930D9" w:rsidP="00D930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241"/>
        <w:gridCol w:w="2359"/>
      </w:tblGrid>
      <w:tr w:rsidR="00D930D9" w:rsidRPr="00A058B6" w14:paraId="436C70CA" w14:textId="77777777" w:rsidTr="00AD2F5C">
        <w:trPr>
          <w:tblHeader/>
        </w:trPr>
        <w:tc>
          <w:tcPr>
            <w:tcW w:w="5000" w:type="pct"/>
            <w:gridSpan w:val="3"/>
            <w:tcBorders>
              <w:top w:val="single" w:sz="12" w:space="0" w:color="auto"/>
              <w:bottom w:val="single" w:sz="6" w:space="0" w:color="auto"/>
            </w:tcBorders>
            <w:shd w:val="clear" w:color="auto" w:fill="auto"/>
          </w:tcPr>
          <w:p w14:paraId="60B60F0E" w14:textId="77777777" w:rsidR="00D930D9" w:rsidRPr="00A058B6" w:rsidRDefault="00D930D9" w:rsidP="00445157">
            <w:pPr>
              <w:pStyle w:val="TableHeading"/>
            </w:pPr>
            <w:r w:rsidRPr="00A058B6">
              <w:t>Working out the gross value of the superannuation interest at the relevant date</w:t>
            </w:r>
          </w:p>
        </w:tc>
      </w:tr>
      <w:tr w:rsidR="00D930D9" w:rsidRPr="00A058B6" w14:paraId="760FDCC3" w14:textId="77777777" w:rsidTr="00AD2F5C">
        <w:trPr>
          <w:tblHeader/>
        </w:trPr>
        <w:tc>
          <w:tcPr>
            <w:tcW w:w="429" w:type="pct"/>
            <w:tcBorders>
              <w:top w:val="single" w:sz="6" w:space="0" w:color="auto"/>
              <w:bottom w:val="single" w:sz="12" w:space="0" w:color="auto"/>
            </w:tcBorders>
            <w:shd w:val="clear" w:color="auto" w:fill="auto"/>
          </w:tcPr>
          <w:p w14:paraId="322FD405" w14:textId="77777777" w:rsidR="00D930D9" w:rsidRPr="00A058B6" w:rsidRDefault="00D930D9" w:rsidP="00445157">
            <w:pPr>
              <w:pStyle w:val="TableHeading"/>
            </w:pPr>
            <w:r w:rsidRPr="00A058B6">
              <w:t>Item</w:t>
            </w:r>
          </w:p>
        </w:tc>
        <w:tc>
          <w:tcPr>
            <w:tcW w:w="3152" w:type="pct"/>
            <w:tcBorders>
              <w:top w:val="single" w:sz="6" w:space="0" w:color="auto"/>
              <w:bottom w:val="single" w:sz="12" w:space="0" w:color="auto"/>
            </w:tcBorders>
            <w:shd w:val="clear" w:color="auto" w:fill="auto"/>
          </w:tcPr>
          <w:p w14:paraId="6FE58719" w14:textId="77777777" w:rsidR="00D930D9" w:rsidRPr="00A058B6" w:rsidRDefault="00D930D9" w:rsidP="00445157">
            <w:pPr>
              <w:pStyle w:val="TableHeading"/>
            </w:pPr>
            <w:r w:rsidRPr="00A058B6">
              <w:t>If:</w:t>
            </w:r>
          </w:p>
        </w:tc>
        <w:tc>
          <w:tcPr>
            <w:tcW w:w="1419" w:type="pct"/>
            <w:tcBorders>
              <w:top w:val="single" w:sz="6" w:space="0" w:color="auto"/>
              <w:bottom w:val="single" w:sz="12" w:space="0" w:color="auto"/>
            </w:tcBorders>
            <w:shd w:val="clear" w:color="auto" w:fill="auto"/>
          </w:tcPr>
          <w:p w14:paraId="537CCEA1" w14:textId="77777777" w:rsidR="00D930D9" w:rsidRPr="00A058B6" w:rsidRDefault="00D930D9" w:rsidP="00445157">
            <w:pPr>
              <w:pStyle w:val="TableHeading"/>
            </w:pPr>
            <w:r w:rsidRPr="00A058B6">
              <w:t>the interest’s gross value is calculated under:</w:t>
            </w:r>
          </w:p>
        </w:tc>
      </w:tr>
      <w:tr w:rsidR="00D930D9" w:rsidRPr="00A058B6" w14:paraId="40DAD688" w14:textId="77777777" w:rsidTr="00AD2F5C">
        <w:tc>
          <w:tcPr>
            <w:tcW w:w="429" w:type="pct"/>
            <w:tcBorders>
              <w:top w:val="single" w:sz="12" w:space="0" w:color="auto"/>
            </w:tcBorders>
            <w:shd w:val="clear" w:color="auto" w:fill="auto"/>
          </w:tcPr>
          <w:p w14:paraId="599522B8" w14:textId="77777777" w:rsidR="00D930D9" w:rsidRPr="00A058B6" w:rsidRDefault="00D930D9" w:rsidP="00445157">
            <w:pPr>
              <w:pStyle w:val="Tabletext"/>
            </w:pPr>
            <w:r w:rsidRPr="00A058B6">
              <w:t>1</w:t>
            </w:r>
          </w:p>
        </w:tc>
        <w:tc>
          <w:tcPr>
            <w:tcW w:w="3152" w:type="pct"/>
            <w:tcBorders>
              <w:top w:val="single" w:sz="12" w:space="0" w:color="auto"/>
            </w:tcBorders>
            <w:shd w:val="clear" w:color="auto" w:fill="auto"/>
          </w:tcPr>
          <w:p w14:paraId="5EBB08BE" w14:textId="77777777" w:rsidR="003E04B6" w:rsidRDefault="003E04B6" w:rsidP="003E04B6">
            <w:pPr>
              <w:pStyle w:val="Tablea"/>
            </w:pPr>
            <w:r>
              <w:t xml:space="preserve">(a) </w:t>
            </w:r>
            <w:r w:rsidR="00D930D9" w:rsidRPr="00A058B6">
              <w:t>the whole of the superannuation interest is a defined benefit interest</w:t>
            </w:r>
            <w:r>
              <w:t>; and</w:t>
            </w:r>
          </w:p>
          <w:p w14:paraId="4961CCAD" w14:textId="40BC7E47" w:rsidR="00D930D9" w:rsidRPr="00A058B6" w:rsidRDefault="003E04B6" w:rsidP="003E04B6">
            <w:pPr>
              <w:pStyle w:val="Tablea"/>
            </w:pPr>
            <w:r>
              <w:t>(b)</w:t>
            </w:r>
            <w:r w:rsidR="00D930D9" w:rsidRPr="00A058B6">
              <w:t xml:space="preserve"> the benefit in respect of </w:t>
            </w:r>
            <w:r w:rsidRPr="00A058B6">
              <w:t xml:space="preserve">the superannuation interest </w:t>
            </w:r>
            <w:r w:rsidR="00D930D9" w:rsidRPr="00A058B6">
              <w:t>is not as described in item 2</w:t>
            </w:r>
          </w:p>
        </w:tc>
        <w:tc>
          <w:tcPr>
            <w:tcW w:w="1419" w:type="pct"/>
            <w:tcBorders>
              <w:top w:val="single" w:sz="12" w:space="0" w:color="auto"/>
            </w:tcBorders>
            <w:shd w:val="clear" w:color="auto" w:fill="auto"/>
          </w:tcPr>
          <w:p w14:paraId="47F5EEE6" w14:textId="38E89518" w:rsidR="00D930D9" w:rsidRPr="00A058B6" w:rsidRDefault="00CB78B9" w:rsidP="00445157">
            <w:pPr>
              <w:pStyle w:val="Tabletext"/>
            </w:pPr>
            <w:r>
              <w:t>section 5</w:t>
            </w:r>
            <w:r w:rsidR="00485CC2">
              <w:t>2</w:t>
            </w:r>
            <w:r w:rsidR="00D7157D">
              <w:t>.</w:t>
            </w:r>
          </w:p>
        </w:tc>
      </w:tr>
      <w:tr w:rsidR="00D930D9" w:rsidRPr="00A058B6" w14:paraId="49492628" w14:textId="77777777" w:rsidTr="00AD2F5C">
        <w:tc>
          <w:tcPr>
            <w:tcW w:w="429" w:type="pct"/>
            <w:shd w:val="clear" w:color="auto" w:fill="auto"/>
          </w:tcPr>
          <w:p w14:paraId="2664E53E" w14:textId="77777777" w:rsidR="00D930D9" w:rsidRPr="00A058B6" w:rsidRDefault="00D930D9" w:rsidP="00445157">
            <w:pPr>
              <w:pStyle w:val="Tabletext"/>
            </w:pPr>
            <w:r w:rsidRPr="00A058B6">
              <w:t>2</w:t>
            </w:r>
          </w:p>
        </w:tc>
        <w:tc>
          <w:tcPr>
            <w:tcW w:w="3152" w:type="pct"/>
            <w:shd w:val="clear" w:color="auto" w:fill="auto"/>
          </w:tcPr>
          <w:p w14:paraId="0A0AAA3F" w14:textId="77777777" w:rsidR="003E04B6" w:rsidRDefault="003E04B6" w:rsidP="003E04B6">
            <w:pPr>
              <w:pStyle w:val="Tablea"/>
            </w:pPr>
            <w:r>
              <w:t xml:space="preserve">(a) </w:t>
            </w:r>
            <w:r w:rsidR="00D930D9" w:rsidRPr="00A058B6">
              <w:t>the whole of the superannuation interest is a defined benefit interest</w:t>
            </w:r>
            <w:r>
              <w:t>; and</w:t>
            </w:r>
          </w:p>
          <w:p w14:paraId="07BB3A18" w14:textId="7138E403" w:rsidR="00D930D9" w:rsidRPr="00A058B6" w:rsidRDefault="003E04B6" w:rsidP="003E04B6">
            <w:pPr>
              <w:pStyle w:val="Tablea"/>
            </w:pPr>
            <w:r>
              <w:t>(b)</w:t>
            </w:r>
            <w:r w:rsidR="00D930D9" w:rsidRPr="00A058B6">
              <w:t xml:space="preserve"> the benefit in respect of </w:t>
            </w:r>
            <w:r w:rsidRPr="00A058B6">
              <w:t xml:space="preserve">the superannuation interest </w:t>
            </w:r>
            <w:r w:rsidR="00D930D9" w:rsidRPr="00A058B6">
              <w:t>is the difference between:</w:t>
            </w:r>
          </w:p>
          <w:p w14:paraId="34B05188" w14:textId="01E9882A" w:rsidR="00D930D9" w:rsidRPr="003E04B6" w:rsidRDefault="00D930D9" w:rsidP="003E04B6">
            <w:pPr>
              <w:pStyle w:val="Tablei"/>
            </w:pPr>
            <w:r w:rsidRPr="003E04B6">
              <w:t>(</w:t>
            </w:r>
            <w:r w:rsidR="003E04B6">
              <w:t>i</w:t>
            </w:r>
            <w:r w:rsidRPr="003E04B6">
              <w:t>) the amount of a defined benefit; and</w:t>
            </w:r>
          </w:p>
          <w:p w14:paraId="6B34ABB1" w14:textId="09444232" w:rsidR="00D930D9" w:rsidRPr="00A058B6" w:rsidRDefault="00D930D9" w:rsidP="003E04B6">
            <w:pPr>
              <w:pStyle w:val="Tablei"/>
            </w:pPr>
            <w:r w:rsidRPr="003E04B6">
              <w:t>(</w:t>
            </w:r>
            <w:r w:rsidR="003E04B6">
              <w:t>ii</w:t>
            </w:r>
            <w:r w:rsidRPr="003E04B6">
              <w:t>) any oth</w:t>
            </w:r>
            <w:r w:rsidRPr="00A058B6">
              <w:t>er amount (other than any surcharge that the trustee is liable to pay in respect of the interest);</w:t>
            </w:r>
          </w:p>
          <w:p w14:paraId="5EAB849C" w14:textId="52112444" w:rsidR="00D930D9" w:rsidRPr="00A058B6" w:rsidRDefault="003E04B6" w:rsidP="003E04B6">
            <w:pPr>
              <w:pStyle w:val="Tablea"/>
            </w:pPr>
            <w:r>
              <w:tab/>
            </w:r>
            <w:r w:rsidR="00D930D9" w:rsidRPr="00A058B6">
              <w:t xml:space="preserve">as </w:t>
            </w:r>
            <w:r w:rsidR="00D930D9" w:rsidRPr="003E04B6">
              <w:t>calculated</w:t>
            </w:r>
            <w:r w:rsidR="00D930D9" w:rsidRPr="00A058B6">
              <w:t xml:space="preserve"> under the governing rules of the eligible superannuation plan in which the interest is held</w:t>
            </w:r>
          </w:p>
        </w:tc>
        <w:tc>
          <w:tcPr>
            <w:tcW w:w="1419" w:type="pct"/>
            <w:shd w:val="clear" w:color="auto" w:fill="auto"/>
          </w:tcPr>
          <w:p w14:paraId="750B304E" w14:textId="7226D54A" w:rsidR="00D930D9" w:rsidRPr="00A058B6" w:rsidRDefault="00CB78B9" w:rsidP="00445157">
            <w:pPr>
              <w:pStyle w:val="Tabletext"/>
            </w:pPr>
            <w:r>
              <w:t>section 5</w:t>
            </w:r>
            <w:r w:rsidR="00485CC2">
              <w:t>9</w:t>
            </w:r>
            <w:r w:rsidR="00D7157D">
              <w:t>.</w:t>
            </w:r>
          </w:p>
        </w:tc>
      </w:tr>
      <w:tr w:rsidR="00D930D9" w:rsidRPr="00A058B6" w14:paraId="1F171E72" w14:textId="77777777" w:rsidTr="00AD2F5C">
        <w:tc>
          <w:tcPr>
            <w:tcW w:w="429" w:type="pct"/>
            <w:shd w:val="clear" w:color="auto" w:fill="auto"/>
          </w:tcPr>
          <w:p w14:paraId="1649B642" w14:textId="77777777" w:rsidR="00D930D9" w:rsidRPr="00A058B6" w:rsidRDefault="00D930D9" w:rsidP="00445157">
            <w:pPr>
              <w:pStyle w:val="Tabletext"/>
            </w:pPr>
            <w:r w:rsidRPr="00A058B6">
              <w:t>3</w:t>
            </w:r>
          </w:p>
        </w:tc>
        <w:tc>
          <w:tcPr>
            <w:tcW w:w="3152" w:type="pct"/>
            <w:shd w:val="clear" w:color="auto" w:fill="auto"/>
          </w:tcPr>
          <w:p w14:paraId="24E1C0C5" w14:textId="77777777" w:rsidR="00D930D9" w:rsidRPr="00A058B6" w:rsidRDefault="00D930D9" w:rsidP="00445157">
            <w:pPr>
              <w:pStyle w:val="Tabletext"/>
            </w:pPr>
            <w:r w:rsidRPr="00A058B6">
              <w:t>the whole of the superannuation interest is an accumulation interest (other than a partially vested accumulation interest)</w:t>
            </w:r>
          </w:p>
        </w:tc>
        <w:tc>
          <w:tcPr>
            <w:tcW w:w="1419" w:type="pct"/>
            <w:shd w:val="clear" w:color="auto" w:fill="auto"/>
          </w:tcPr>
          <w:p w14:paraId="03AD014A" w14:textId="3AA2D0A4" w:rsidR="00D930D9" w:rsidRPr="00A058B6" w:rsidRDefault="00CB78B9" w:rsidP="00445157">
            <w:pPr>
              <w:pStyle w:val="Tabletext"/>
            </w:pPr>
            <w:r>
              <w:t>section 5</w:t>
            </w:r>
            <w:r w:rsidR="00485CC2">
              <w:t>3</w:t>
            </w:r>
            <w:r w:rsidR="00D930D9" w:rsidRPr="00A058B6">
              <w:t xml:space="preserve"> or </w:t>
            </w:r>
            <w:r w:rsidR="00485CC2">
              <w:t>54</w:t>
            </w:r>
            <w:r w:rsidR="00D7157D">
              <w:t>.</w:t>
            </w:r>
          </w:p>
        </w:tc>
      </w:tr>
      <w:tr w:rsidR="00D930D9" w:rsidRPr="00A058B6" w14:paraId="77CD57E5" w14:textId="77777777" w:rsidTr="00AD2F5C">
        <w:tc>
          <w:tcPr>
            <w:tcW w:w="429" w:type="pct"/>
            <w:shd w:val="clear" w:color="auto" w:fill="auto"/>
          </w:tcPr>
          <w:p w14:paraId="54F7B57C" w14:textId="77777777" w:rsidR="00D930D9" w:rsidRPr="00A058B6" w:rsidRDefault="00D930D9" w:rsidP="00445157">
            <w:pPr>
              <w:pStyle w:val="Tabletext"/>
            </w:pPr>
            <w:r w:rsidRPr="00A058B6">
              <w:t>4</w:t>
            </w:r>
          </w:p>
        </w:tc>
        <w:tc>
          <w:tcPr>
            <w:tcW w:w="3152" w:type="pct"/>
            <w:shd w:val="clear" w:color="auto" w:fill="auto"/>
          </w:tcPr>
          <w:p w14:paraId="3DFA271F" w14:textId="77777777" w:rsidR="00D930D9" w:rsidRPr="00A058B6" w:rsidRDefault="00D930D9" w:rsidP="00445157">
            <w:pPr>
              <w:pStyle w:val="Tabletext"/>
            </w:pPr>
            <w:r w:rsidRPr="00A058B6">
              <w:t>the whole of the superannuation interest is a partially vested accumulation interest</w:t>
            </w:r>
          </w:p>
        </w:tc>
        <w:tc>
          <w:tcPr>
            <w:tcW w:w="1419" w:type="pct"/>
            <w:shd w:val="clear" w:color="auto" w:fill="auto"/>
          </w:tcPr>
          <w:p w14:paraId="40BB9845" w14:textId="707D03BE" w:rsidR="00D930D9" w:rsidRPr="00A058B6" w:rsidRDefault="00CB78B9" w:rsidP="00445157">
            <w:pPr>
              <w:pStyle w:val="Tabletext"/>
            </w:pPr>
            <w:r>
              <w:t>section 5</w:t>
            </w:r>
            <w:r w:rsidR="00485CC2">
              <w:t>5</w:t>
            </w:r>
            <w:r w:rsidR="00D7157D">
              <w:t>.</w:t>
            </w:r>
          </w:p>
        </w:tc>
      </w:tr>
      <w:tr w:rsidR="00D930D9" w:rsidRPr="00A058B6" w14:paraId="07E13B36" w14:textId="77777777" w:rsidTr="00AD2F5C">
        <w:tc>
          <w:tcPr>
            <w:tcW w:w="429" w:type="pct"/>
            <w:shd w:val="clear" w:color="auto" w:fill="auto"/>
          </w:tcPr>
          <w:p w14:paraId="1BB1DB50" w14:textId="77777777" w:rsidR="00D930D9" w:rsidRPr="00A058B6" w:rsidRDefault="00D930D9" w:rsidP="00445157">
            <w:pPr>
              <w:pStyle w:val="Tabletext"/>
            </w:pPr>
            <w:r w:rsidRPr="00A058B6">
              <w:t>5</w:t>
            </w:r>
          </w:p>
        </w:tc>
        <w:tc>
          <w:tcPr>
            <w:tcW w:w="3152" w:type="pct"/>
            <w:shd w:val="clear" w:color="auto" w:fill="auto"/>
          </w:tcPr>
          <w:p w14:paraId="11374DED" w14:textId="77777777" w:rsidR="00D930D9" w:rsidRPr="00A058B6" w:rsidRDefault="00D930D9" w:rsidP="00445157">
            <w:pPr>
              <w:pStyle w:val="Tabletext"/>
            </w:pPr>
            <w:r w:rsidRPr="00A058B6">
              <w:t>the superannuation interest consists of 2 or more components and either:</w:t>
            </w:r>
          </w:p>
          <w:p w14:paraId="11B549FA" w14:textId="4D7FA45B" w:rsidR="00D930D9" w:rsidRPr="00A058B6" w:rsidRDefault="00D930D9" w:rsidP="00445157">
            <w:pPr>
              <w:pStyle w:val="Tablea"/>
            </w:pPr>
            <w:r w:rsidRPr="00A058B6">
              <w:t xml:space="preserve">(a) </w:t>
            </w:r>
            <w:r>
              <w:t>one or more</w:t>
            </w:r>
            <w:r w:rsidRPr="00A058B6">
              <w:t xml:space="preserve"> method</w:t>
            </w:r>
            <w:r>
              <w:t>s</w:t>
            </w:r>
            <w:r w:rsidRPr="00A058B6">
              <w:t xml:space="preserve"> or factor</w:t>
            </w:r>
            <w:r>
              <w:t>s</w:t>
            </w:r>
            <w:r w:rsidRPr="00A058B6">
              <w:t xml:space="preserve"> ha</w:t>
            </w:r>
            <w:r>
              <w:t>ve</w:t>
            </w:r>
            <w:r w:rsidRPr="00A058B6">
              <w:t xml:space="preserve"> been approved under </w:t>
            </w:r>
            <w:r w:rsidR="00CB78B9">
              <w:t>section 6</w:t>
            </w:r>
            <w:r w:rsidR="00485CC2">
              <w:t>2</w:t>
            </w:r>
            <w:r w:rsidRPr="00A058B6">
              <w:t xml:space="preserve"> for the superannuation interest; or</w:t>
            </w:r>
          </w:p>
          <w:p w14:paraId="72E3BD3B" w14:textId="77777777" w:rsidR="00D930D9" w:rsidRPr="00A058B6" w:rsidRDefault="00D930D9" w:rsidP="00445157">
            <w:pPr>
              <w:pStyle w:val="Tablea"/>
            </w:pPr>
            <w:r w:rsidRPr="00A058B6">
              <w:t>(b) the gross value of each component would be capable of being determined under this Division if the component were the whole of the superannuation interest</w:t>
            </w:r>
          </w:p>
        </w:tc>
        <w:tc>
          <w:tcPr>
            <w:tcW w:w="1419" w:type="pct"/>
            <w:shd w:val="clear" w:color="auto" w:fill="auto"/>
          </w:tcPr>
          <w:p w14:paraId="25DF703B" w14:textId="79F6C433" w:rsidR="00D930D9" w:rsidRPr="00A058B6" w:rsidRDefault="00CB78B9" w:rsidP="00445157">
            <w:pPr>
              <w:pStyle w:val="Tabletext"/>
            </w:pPr>
            <w:r>
              <w:t>section 5</w:t>
            </w:r>
            <w:r w:rsidR="00485CC2">
              <w:t>6</w:t>
            </w:r>
            <w:r w:rsidR="00D7157D">
              <w:t>.</w:t>
            </w:r>
          </w:p>
        </w:tc>
      </w:tr>
      <w:tr w:rsidR="00D930D9" w:rsidRPr="00A058B6" w14:paraId="2411F991" w14:textId="77777777" w:rsidTr="00AD2F5C">
        <w:tc>
          <w:tcPr>
            <w:tcW w:w="429" w:type="pct"/>
            <w:tcBorders>
              <w:bottom w:val="single" w:sz="2" w:space="0" w:color="auto"/>
            </w:tcBorders>
            <w:shd w:val="clear" w:color="auto" w:fill="auto"/>
          </w:tcPr>
          <w:p w14:paraId="66A94DCC" w14:textId="77777777" w:rsidR="00D930D9" w:rsidRPr="00A058B6" w:rsidRDefault="00D930D9" w:rsidP="00445157">
            <w:pPr>
              <w:pStyle w:val="Tabletext"/>
            </w:pPr>
            <w:r w:rsidRPr="00A058B6">
              <w:t>6</w:t>
            </w:r>
          </w:p>
        </w:tc>
        <w:tc>
          <w:tcPr>
            <w:tcW w:w="3152" w:type="pct"/>
            <w:tcBorders>
              <w:bottom w:val="single" w:sz="2" w:space="0" w:color="auto"/>
            </w:tcBorders>
            <w:shd w:val="clear" w:color="auto" w:fill="auto"/>
          </w:tcPr>
          <w:p w14:paraId="081A7A62" w14:textId="4D878DC4" w:rsidR="00D930D9" w:rsidRPr="00A058B6" w:rsidRDefault="003E04B6" w:rsidP="00445157">
            <w:pPr>
              <w:pStyle w:val="Tabletext"/>
            </w:pPr>
            <w:r w:rsidRPr="00A058B6">
              <w:t xml:space="preserve">the benefit in respect of </w:t>
            </w:r>
            <w:r w:rsidR="00D930D9" w:rsidRPr="00A058B6">
              <w:t>the superannuation interest is the greater of:</w:t>
            </w:r>
          </w:p>
          <w:p w14:paraId="7AD5AAF5" w14:textId="77777777" w:rsidR="00D930D9" w:rsidRPr="00A058B6" w:rsidRDefault="00D930D9" w:rsidP="00445157">
            <w:pPr>
              <w:pStyle w:val="Tablea"/>
            </w:pPr>
            <w:r w:rsidRPr="00A058B6">
              <w:t>(a) a defined benefit interest; and</w:t>
            </w:r>
          </w:p>
          <w:p w14:paraId="720C8365" w14:textId="77777777" w:rsidR="00D930D9" w:rsidRPr="00A058B6" w:rsidRDefault="00D930D9" w:rsidP="00445157">
            <w:pPr>
              <w:pStyle w:val="Tablea"/>
            </w:pPr>
            <w:r w:rsidRPr="00A058B6">
              <w:t>(b) an accumulation interest (other than a partially vested accumulation interest)</w:t>
            </w:r>
          </w:p>
        </w:tc>
        <w:tc>
          <w:tcPr>
            <w:tcW w:w="1419" w:type="pct"/>
            <w:tcBorders>
              <w:bottom w:val="single" w:sz="2" w:space="0" w:color="auto"/>
            </w:tcBorders>
            <w:shd w:val="clear" w:color="auto" w:fill="auto"/>
          </w:tcPr>
          <w:p w14:paraId="6519A669" w14:textId="2C861183" w:rsidR="00D930D9" w:rsidRPr="00A058B6" w:rsidRDefault="00CB78B9" w:rsidP="00445157">
            <w:pPr>
              <w:pStyle w:val="Tabletext"/>
            </w:pPr>
            <w:r>
              <w:t>section 5</w:t>
            </w:r>
            <w:r w:rsidR="00485CC2">
              <w:t>7</w:t>
            </w:r>
            <w:r w:rsidR="00D7157D">
              <w:t>.</w:t>
            </w:r>
          </w:p>
        </w:tc>
      </w:tr>
      <w:tr w:rsidR="00D930D9" w:rsidRPr="00A058B6" w14:paraId="74161835" w14:textId="77777777" w:rsidTr="00AD2F5C">
        <w:tc>
          <w:tcPr>
            <w:tcW w:w="429" w:type="pct"/>
            <w:tcBorders>
              <w:top w:val="single" w:sz="2" w:space="0" w:color="auto"/>
              <w:bottom w:val="single" w:sz="12" w:space="0" w:color="auto"/>
            </w:tcBorders>
            <w:shd w:val="clear" w:color="auto" w:fill="auto"/>
          </w:tcPr>
          <w:p w14:paraId="609FE6F9" w14:textId="77777777" w:rsidR="00D930D9" w:rsidRPr="00A058B6" w:rsidRDefault="00D930D9" w:rsidP="00445157">
            <w:pPr>
              <w:pStyle w:val="Tabletext"/>
            </w:pPr>
            <w:r w:rsidRPr="00A058B6">
              <w:t>7</w:t>
            </w:r>
          </w:p>
        </w:tc>
        <w:tc>
          <w:tcPr>
            <w:tcW w:w="3152" w:type="pct"/>
            <w:tcBorders>
              <w:top w:val="single" w:sz="2" w:space="0" w:color="auto"/>
              <w:bottom w:val="single" w:sz="12" w:space="0" w:color="auto"/>
            </w:tcBorders>
            <w:shd w:val="clear" w:color="auto" w:fill="auto"/>
          </w:tcPr>
          <w:p w14:paraId="716CBA3E" w14:textId="13F35E1A" w:rsidR="00D930D9" w:rsidRPr="00A058B6" w:rsidRDefault="003E04B6" w:rsidP="00445157">
            <w:pPr>
              <w:pStyle w:val="Tabletext"/>
            </w:pPr>
            <w:r w:rsidRPr="00A058B6">
              <w:t xml:space="preserve">the benefit in respect of </w:t>
            </w:r>
            <w:r w:rsidR="00D930D9" w:rsidRPr="00A058B6">
              <w:t>the superannuation interest is the lesser of:</w:t>
            </w:r>
          </w:p>
          <w:p w14:paraId="7331C9EA" w14:textId="77777777" w:rsidR="00D930D9" w:rsidRPr="00A058B6" w:rsidRDefault="00D930D9" w:rsidP="00445157">
            <w:pPr>
              <w:pStyle w:val="Tablea"/>
            </w:pPr>
            <w:r w:rsidRPr="00A058B6">
              <w:t>(a) a defined benefit interest; and</w:t>
            </w:r>
          </w:p>
          <w:p w14:paraId="581C1DB4" w14:textId="77777777" w:rsidR="00D930D9" w:rsidRPr="00A058B6" w:rsidRDefault="00D930D9" w:rsidP="00445157">
            <w:pPr>
              <w:pStyle w:val="Tablea"/>
            </w:pPr>
            <w:r w:rsidRPr="00A058B6">
              <w:t>(b) an accumulation interest (other than a partially vested accumulation interest)</w:t>
            </w:r>
          </w:p>
        </w:tc>
        <w:tc>
          <w:tcPr>
            <w:tcW w:w="1419" w:type="pct"/>
            <w:tcBorders>
              <w:top w:val="single" w:sz="2" w:space="0" w:color="auto"/>
              <w:bottom w:val="single" w:sz="12" w:space="0" w:color="auto"/>
            </w:tcBorders>
            <w:shd w:val="clear" w:color="auto" w:fill="auto"/>
          </w:tcPr>
          <w:p w14:paraId="49AC5A6E" w14:textId="63789E1C" w:rsidR="00D930D9" w:rsidRPr="00A058B6" w:rsidRDefault="00CB78B9" w:rsidP="00445157">
            <w:pPr>
              <w:pStyle w:val="Tabletext"/>
            </w:pPr>
            <w:r>
              <w:t>section 5</w:t>
            </w:r>
            <w:r w:rsidR="00485CC2">
              <w:t>8</w:t>
            </w:r>
            <w:r w:rsidR="00D7157D">
              <w:t>.</w:t>
            </w:r>
          </w:p>
        </w:tc>
      </w:tr>
    </w:tbl>
    <w:p w14:paraId="0EAB98D3" w14:textId="77777777" w:rsidR="00F3309D" w:rsidRDefault="00AD2F5C" w:rsidP="00AD2F5C">
      <w:pPr>
        <w:pStyle w:val="notetext"/>
      </w:pPr>
      <w:r>
        <w:t>Note:</w:t>
      </w:r>
      <w:r>
        <w:tab/>
      </w:r>
      <w:r w:rsidR="00782205">
        <w:t xml:space="preserve">The above definition of </w:t>
      </w:r>
      <w:r w:rsidR="00782205" w:rsidRPr="00A058B6">
        <w:rPr>
          <w:b/>
          <w:i/>
        </w:rPr>
        <w:t>gross value of the superannuation interest at the relevant date</w:t>
      </w:r>
      <w:r w:rsidR="00782205">
        <w:t xml:space="preserve"> provides that</w:t>
      </w:r>
      <w:r w:rsidR="00F3309D">
        <w:t xml:space="preserve"> if the superannuation interest:</w:t>
      </w:r>
    </w:p>
    <w:p w14:paraId="68129BF5" w14:textId="61EEE598" w:rsidR="00AD2F5C" w:rsidRDefault="00F3309D" w:rsidP="00F3309D">
      <w:pPr>
        <w:pStyle w:val="notepara"/>
      </w:pPr>
      <w:r>
        <w:t>(a)</w:t>
      </w:r>
      <w:r>
        <w:tab/>
        <w:t>is a</w:t>
      </w:r>
      <w:r w:rsidR="00AD2F5C">
        <w:t xml:space="preserve"> </w:t>
      </w:r>
      <w:r w:rsidR="00D83CB9">
        <w:t>percentage</w:t>
      </w:r>
      <w:r w:rsidR="001952B3">
        <w:noBreakHyphen/>
      </w:r>
      <w:r w:rsidR="00D83CB9">
        <w:t>only interest,</w:t>
      </w:r>
      <w:r w:rsidR="00153F87">
        <w:t xml:space="preserve"> then</w:t>
      </w:r>
      <w:r w:rsidR="00D83CB9">
        <w:t xml:space="preserve"> </w:t>
      </w:r>
      <w:r w:rsidR="00F006E0">
        <w:t xml:space="preserve">only </w:t>
      </w:r>
      <w:r w:rsidR="00CE321A">
        <w:t>look at</w:t>
      </w:r>
      <w:r w:rsidR="00D83CB9">
        <w:t xml:space="preserve"> </w:t>
      </w:r>
      <w:r w:rsidR="00CB78B9">
        <w:t>section 6</w:t>
      </w:r>
      <w:r w:rsidR="00485CC2">
        <w:t>1</w:t>
      </w:r>
      <w:r>
        <w:t xml:space="preserve">; </w:t>
      </w:r>
      <w:r w:rsidR="00153F87">
        <w:t>or</w:t>
      </w:r>
    </w:p>
    <w:p w14:paraId="2CF606E2" w14:textId="62385C36" w:rsidR="00D83CB9" w:rsidRPr="00AD2F5C" w:rsidRDefault="00F3309D" w:rsidP="00F3309D">
      <w:pPr>
        <w:pStyle w:val="notepara"/>
      </w:pPr>
      <w:r>
        <w:t>(b)</w:t>
      </w:r>
      <w:r>
        <w:tab/>
      </w:r>
      <w:r w:rsidR="00153F87">
        <w:t>is</w:t>
      </w:r>
      <w:r w:rsidR="00D83CB9">
        <w:t xml:space="preserve"> </w:t>
      </w:r>
      <w:r w:rsidR="00782205">
        <w:t xml:space="preserve">an </w:t>
      </w:r>
      <w:r w:rsidR="00782205" w:rsidRPr="00A058B6">
        <w:t xml:space="preserve">innovative superannuation interest </w:t>
      </w:r>
      <w:r>
        <w:t>that is</w:t>
      </w:r>
      <w:r w:rsidR="00782205">
        <w:t xml:space="preserve"> not a percentage</w:t>
      </w:r>
      <w:r w:rsidR="001952B3">
        <w:noBreakHyphen/>
      </w:r>
      <w:r w:rsidR="00782205">
        <w:t>only interest</w:t>
      </w:r>
      <w:r>
        <w:t xml:space="preserve">, </w:t>
      </w:r>
      <w:r w:rsidR="00153F87">
        <w:t xml:space="preserve">then </w:t>
      </w:r>
      <w:r w:rsidR="00CE321A">
        <w:t>only look at</w:t>
      </w:r>
      <w:r w:rsidR="00782205">
        <w:t xml:space="preserve"> </w:t>
      </w:r>
      <w:r w:rsidR="00CB78B9">
        <w:t>section 6</w:t>
      </w:r>
      <w:r w:rsidR="00485CC2">
        <w:t>0</w:t>
      </w:r>
      <w:r>
        <w:t>.</w:t>
      </w:r>
    </w:p>
    <w:p w14:paraId="50994681" w14:textId="6313376D" w:rsidR="00D930D9" w:rsidRPr="00A058B6" w:rsidRDefault="00485CC2" w:rsidP="00D930D9">
      <w:pPr>
        <w:pStyle w:val="ActHead5"/>
      </w:pPr>
      <w:bookmarkStart w:id="81" w:name="_Toc188350568"/>
      <w:r w:rsidRPr="00423C34">
        <w:rPr>
          <w:rStyle w:val="CharSectno"/>
        </w:rPr>
        <w:lastRenderedPageBreak/>
        <w:t>52</w:t>
      </w:r>
      <w:r w:rsidR="00D930D9" w:rsidRPr="00A058B6">
        <w:t xml:space="preserve">  Gross value—most defined benefit interests</w:t>
      </w:r>
      <w:bookmarkEnd w:id="81"/>
    </w:p>
    <w:p w14:paraId="2332949D" w14:textId="03E46649" w:rsidR="00D930D9" w:rsidRPr="00A058B6" w:rsidRDefault="00D930D9" w:rsidP="00D930D9">
      <w:pPr>
        <w:pStyle w:val="subsection"/>
      </w:pPr>
      <w:r w:rsidRPr="00A058B6">
        <w:tab/>
        <w:t>(1)</w:t>
      </w:r>
      <w:r w:rsidRPr="00A058B6">
        <w:tab/>
        <w:t xml:space="preserve">This section applies for the superannuation interest if item 1 of the table in </w:t>
      </w:r>
      <w:r w:rsidR="00CB78B9">
        <w:t>section 5</w:t>
      </w:r>
      <w:r w:rsidR="00485CC2">
        <w:t>1</w:t>
      </w:r>
      <w:r w:rsidRPr="00A058B6">
        <w:t xml:space="preserve"> applies for the interest</w:t>
      </w:r>
      <w:r w:rsidR="00D7157D">
        <w:t>.</w:t>
      </w:r>
    </w:p>
    <w:p w14:paraId="667C0507" w14:textId="77777777" w:rsidR="00D930D9" w:rsidRPr="00A058B6" w:rsidRDefault="00D930D9" w:rsidP="00D930D9">
      <w:pPr>
        <w:pStyle w:val="SubsectionHead"/>
      </w:pPr>
      <w:r w:rsidRPr="00A058B6">
        <w:t xml:space="preserve">Minister has approved </w:t>
      </w:r>
      <w:r>
        <w:t xml:space="preserve">one or more </w:t>
      </w:r>
      <w:r w:rsidRPr="00A058B6">
        <w:t>method</w:t>
      </w:r>
      <w:r>
        <w:t>s</w:t>
      </w:r>
      <w:r w:rsidRPr="00A058B6">
        <w:t xml:space="preserve"> or factors, and there is evidence that the trustee has used th</w:t>
      </w:r>
      <w:r>
        <w:t>ose</w:t>
      </w:r>
      <w:r w:rsidRPr="00A058B6">
        <w:t xml:space="preserve"> method</w:t>
      </w:r>
      <w:r>
        <w:t>s</w:t>
      </w:r>
      <w:r w:rsidRPr="00A058B6">
        <w:t xml:space="preserve"> or factors</w:t>
      </w:r>
    </w:p>
    <w:p w14:paraId="3ED9CE03" w14:textId="77777777" w:rsidR="00D930D9" w:rsidRPr="00A058B6" w:rsidRDefault="00D930D9" w:rsidP="00D930D9">
      <w:pPr>
        <w:pStyle w:val="subsection"/>
      </w:pPr>
      <w:r w:rsidRPr="00A058B6">
        <w:tab/>
        <w:t>(2)</w:t>
      </w:r>
      <w:r w:rsidRPr="00A058B6">
        <w:tab/>
        <w:t>If:</w:t>
      </w:r>
    </w:p>
    <w:p w14:paraId="44C11538" w14:textId="30E02DD8" w:rsidR="00D930D9" w:rsidRPr="00A058B6" w:rsidRDefault="00D930D9" w:rsidP="00D930D9">
      <w:pPr>
        <w:pStyle w:val="paragraph"/>
      </w:pPr>
      <w:r w:rsidRPr="00A058B6">
        <w:tab/>
        <w:t>(a)</w:t>
      </w:r>
      <w:r w:rsidRPr="00A058B6">
        <w:tab/>
        <w:t xml:space="preserve">under </w:t>
      </w:r>
      <w:r w:rsidR="00CB78B9">
        <w:t>section 6</w:t>
      </w:r>
      <w:r w:rsidR="00485CC2">
        <w:t>2</w:t>
      </w:r>
      <w:r w:rsidRPr="00A058B6">
        <w:t xml:space="preserve">, the Minister has approved </w:t>
      </w:r>
      <w:r>
        <w:t>one or more</w:t>
      </w:r>
      <w:r w:rsidRPr="00A058B6">
        <w:t xml:space="preserve"> method</w:t>
      </w:r>
      <w:r>
        <w:t>s</w:t>
      </w:r>
      <w:r w:rsidRPr="00A058B6">
        <w:t xml:space="preserve"> or factors to be used to determine the gross value of the superannuation interest; and</w:t>
      </w:r>
    </w:p>
    <w:p w14:paraId="3E57CDCD" w14:textId="77777777" w:rsidR="00D930D9" w:rsidRPr="00A058B6" w:rsidRDefault="00D930D9" w:rsidP="00D930D9">
      <w:pPr>
        <w:pStyle w:val="paragraph"/>
      </w:pPr>
      <w:r w:rsidRPr="00A058B6">
        <w:tab/>
        <w:t>(b)</w:t>
      </w:r>
      <w:r w:rsidRPr="00A058B6">
        <w:tab/>
        <w:t>evidence before the court includes the contents of a statement that:</w:t>
      </w:r>
    </w:p>
    <w:p w14:paraId="497EFDC0" w14:textId="77777777" w:rsidR="00D930D9" w:rsidRPr="00A058B6" w:rsidRDefault="00D930D9" w:rsidP="00D930D9">
      <w:pPr>
        <w:pStyle w:val="paragraphsub"/>
      </w:pPr>
      <w:r w:rsidRPr="00A058B6">
        <w:tab/>
        <w:t>(i)</w:t>
      </w:r>
      <w:r w:rsidRPr="00A058B6">
        <w:tab/>
        <w:t>was issued by the trustee of the plan in which the interest is held; and</w:t>
      </w:r>
    </w:p>
    <w:p w14:paraId="27D98525" w14:textId="77777777" w:rsidR="00D930D9" w:rsidRPr="00A058B6" w:rsidRDefault="00D930D9" w:rsidP="00D930D9">
      <w:pPr>
        <w:pStyle w:val="paragraphsub"/>
      </w:pPr>
      <w:r w:rsidRPr="00A058B6">
        <w:tab/>
        <w:t>(ii)</w:t>
      </w:r>
      <w:r w:rsidRPr="00A058B6">
        <w:tab/>
        <w:t>sets out the gross value of the interest as determined using the approved method</w:t>
      </w:r>
      <w:r>
        <w:t>s</w:t>
      </w:r>
      <w:r w:rsidRPr="00A058B6">
        <w:t xml:space="preserve"> or factors;</w:t>
      </w:r>
    </w:p>
    <w:p w14:paraId="5ED5A07A"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as set out in the statement</w:t>
      </w:r>
      <w:r w:rsidR="00D7157D">
        <w:t>.</w:t>
      </w:r>
    </w:p>
    <w:p w14:paraId="447A3F76" w14:textId="77777777" w:rsidR="00D930D9" w:rsidRPr="00A058B6" w:rsidRDefault="00D930D9" w:rsidP="00D930D9">
      <w:pPr>
        <w:pStyle w:val="SubsectionHead"/>
      </w:pPr>
      <w:r w:rsidRPr="00A058B6">
        <w:t>Minister has not approved a</w:t>
      </w:r>
      <w:r>
        <w:t>ny</w:t>
      </w:r>
      <w:r w:rsidRPr="00A058B6">
        <w:t xml:space="preserve"> method</w:t>
      </w:r>
      <w:r>
        <w:t>s</w:t>
      </w:r>
      <w:r w:rsidRPr="00A058B6">
        <w:t xml:space="preserve"> or factors, and there is evidence that the trustee has used the method in Schedule </w:t>
      </w:r>
      <w:r w:rsidR="003B6616">
        <w:t>3</w:t>
      </w:r>
    </w:p>
    <w:p w14:paraId="20E17539" w14:textId="77777777" w:rsidR="00D930D9" w:rsidRPr="00A058B6" w:rsidRDefault="00D930D9" w:rsidP="00D930D9">
      <w:pPr>
        <w:pStyle w:val="subsection"/>
      </w:pPr>
      <w:r w:rsidRPr="00A058B6">
        <w:tab/>
        <w:t>(3)</w:t>
      </w:r>
      <w:r w:rsidRPr="00A058B6">
        <w:tab/>
        <w:t>If:</w:t>
      </w:r>
    </w:p>
    <w:p w14:paraId="045AE001" w14:textId="1B1CF2E0" w:rsidR="00D930D9" w:rsidRPr="00A058B6" w:rsidRDefault="00D930D9" w:rsidP="00D930D9">
      <w:pPr>
        <w:pStyle w:val="paragraph"/>
      </w:pPr>
      <w:r w:rsidRPr="00A058B6">
        <w:tab/>
        <w:t>(a)</w:t>
      </w:r>
      <w:r w:rsidRPr="00A058B6">
        <w:tab/>
      </w:r>
      <w:r w:rsidR="00453C86">
        <w:t>paragraph (</w:t>
      </w:r>
      <w:r w:rsidRPr="00A058B6">
        <w:t>2)(a) does not apply; and</w:t>
      </w:r>
    </w:p>
    <w:p w14:paraId="2D50471A" w14:textId="77777777" w:rsidR="00D930D9" w:rsidRPr="00A058B6" w:rsidRDefault="00D930D9" w:rsidP="00D930D9">
      <w:pPr>
        <w:pStyle w:val="paragraph"/>
      </w:pPr>
      <w:r w:rsidRPr="00A058B6">
        <w:tab/>
        <w:t>(b)</w:t>
      </w:r>
      <w:r w:rsidRPr="00A058B6">
        <w:tab/>
        <w:t>evidence before the court includes the contents of a statement that:</w:t>
      </w:r>
    </w:p>
    <w:p w14:paraId="7BC487E2" w14:textId="77777777" w:rsidR="00D930D9" w:rsidRPr="00A058B6" w:rsidRDefault="00D930D9" w:rsidP="00D930D9">
      <w:pPr>
        <w:pStyle w:val="paragraphsub"/>
      </w:pPr>
      <w:r w:rsidRPr="00A058B6">
        <w:tab/>
        <w:t>(i)</w:t>
      </w:r>
      <w:r w:rsidRPr="00A058B6">
        <w:tab/>
        <w:t>was issued by the trustee of the plan in which the superannuation interest is held; and</w:t>
      </w:r>
    </w:p>
    <w:p w14:paraId="3D9DE855" w14:textId="77777777" w:rsidR="00D930D9" w:rsidRPr="00A058B6" w:rsidRDefault="00D930D9" w:rsidP="00D930D9">
      <w:pPr>
        <w:pStyle w:val="paragraphsub"/>
      </w:pPr>
      <w:r w:rsidRPr="00A058B6">
        <w:tab/>
        <w:t>(ii)</w:t>
      </w:r>
      <w:r w:rsidRPr="00A058B6">
        <w:tab/>
        <w:t>sets out the gross value of the interest as determined using the method set out in Schedule </w:t>
      </w:r>
      <w:r w:rsidR="003B6616">
        <w:t>3</w:t>
      </w:r>
      <w:r w:rsidRPr="00A058B6">
        <w:t>;</w:t>
      </w:r>
    </w:p>
    <w:p w14:paraId="6DE6C8D6"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as set out in the statement</w:t>
      </w:r>
      <w:r w:rsidR="00D7157D">
        <w:t>.</w:t>
      </w:r>
    </w:p>
    <w:p w14:paraId="49B3B047" w14:textId="0EAC1C0D" w:rsidR="00D930D9" w:rsidRPr="00A058B6" w:rsidRDefault="00D930D9" w:rsidP="00D930D9">
      <w:pPr>
        <w:pStyle w:val="SubsectionHead"/>
      </w:pPr>
      <w:r>
        <w:t>There is no evidence before the court of the contents of a statement referred to in</w:t>
      </w:r>
      <w:r w:rsidRPr="00A058B6">
        <w:t xml:space="preserve"> </w:t>
      </w:r>
      <w:r w:rsidR="00453C86">
        <w:t>paragraph (</w:t>
      </w:r>
      <w:r w:rsidRPr="00A058B6">
        <w:t>2)(b) or (3)(b)</w:t>
      </w:r>
    </w:p>
    <w:p w14:paraId="0D7E7B6C" w14:textId="19623777" w:rsidR="00D930D9" w:rsidRPr="00A058B6" w:rsidRDefault="00D930D9" w:rsidP="00D930D9">
      <w:pPr>
        <w:pStyle w:val="subsection"/>
      </w:pPr>
      <w:r w:rsidRPr="00A058B6">
        <w:tab/>
        <w:t>(4)</w:t>
      </w:r>
      <w:r w:rsidRPr="00A058B6">
        <w:tab/>
        <w:t xml:space="preserve">If neither </w:t>
      </w:r>
      <w:r w:rsidR="00453C86">
        <w:t>paragraph (</w:t>
      </w:r>
      <w:r w:rsidRPr="00A058B6">
        <w:t xml:space="preserve">2)(b) nor (3)(b) applies, the </w:t>
      </w:r>
      <w:r w:rsidRPr="00A058B6">
        <w:rPr>
          <w:b/>
          <w:i/>
        </w:rPr>
        <w:t>gross value of the superannuation interest at the relevant date</w:t>
      </w:r>
      <w:r w:rsidRPr="00A058B6">
        <w:t xml:space="preserve"> is to be determined using:</w:t>
      </w:r>
    </w:p>
    <w:p w14:paraId="485199BA" w14:textId="21A59CD1" w:rsidR="00D930D9" w:rsidRPr="00A058B6" w:rsidRDefault="00D930D9" w:rsidP="00D930D9">
      <w:pPr>
        <w:pStyle w:val="paragraph"/>
      </w:pPr>
      <w:r w:rsidRPr="00A058B6">
        <w:tab/>
        <w:t>(a)</w:t>
      </w:r>
      <w:r w:rsidRPr="00A058B6">
        <w:tab/>
        <w:t xml:space="preserve">if, under </w:t>
      </w:r>
      <w:r w:rsidR="00CB78B9">
        <w:t>section 6</w:t>
      </w:r>
      <w:r w:rsidR="00485CC2">
        <w:t>2</w:t>
      </w:r>
      <w:r w:rsidRPr="00A058B6">
        <w:t xml:space="preserve">, the Minister has approved </w:t>
      </w:r>
      <w:r>
        <w:t xml:space="preserve">one or more </w:t>
      </w:r>
      <w:r w:rsidRPr="00A058B6">
        <w:t>method</w:t>
      </w:r>
      <w:r>
        <w:t>s</w:t>
      </w:r>
      <w:r w:rsidRPr="00A058B6">
        <w:t xml:space="preserve"> or factors to be used to determine the gross value of the interest—the approved method</w:t>
      </w:r>
      <w:r>
        <w:t>s</w:t>
      </w:r>
      <w:r w:rsidRPr="00A058B6">
        <w:t xml:space="preserve"> or factors; or</w:t>
      </w:r>
    </w:p>
    <w:p w14:paraId="7D8356F3" w14:textId="77777777" w:rsidR="00D930D9" w:rsidRPr="00A058B6" w:rsidRDefault="00D930D9" w:rsidP="00D930D9">
      <w:pPr>
        <w:pStyle w:val="paragraph"/>
      </w:pPr>
      <w:r w:rsidRPr="00A058B6">
        <w:tab/>
        <w:t>(b)</w:t>
      </w:r>
      <w:r w:rsidRPr="00A058B6">
        <w:tab/>
        <w:t>otherwise—the method set out in Schedule </w:t>
      </w:r>
      <w:r w:rsidR="003B6616">
        <w:t>3</w:t>
      </w:r>
      <w:r w:rsidR="00D7157D">
        <w:t>.</w:t>
      </w:r>
    </w:p>
    <w:p w14:paraId="32AB9513" w14:textId="77777777" w:rsidR="00D930D9" w:rsidRPr="00A058B6" w:rsidRDefault="00D930D9" w:rsidP="00D930D9">
      <w:pPr>
        <w:pStyle w:val="SubsectionHead"/>
      </w:pPr>
      <w:r w:rsidRPr="00A058B6">
        <w:t xml:space="preserve">Approval of </w:t>
      </w:r>
      <w:r w:rsidRPr="00695C21">
        <w:t>retirement age</w:t>
      </w:r>
    </w:p>
    <w:p w14:paraId="7B82C9D9" w14:textId="2B7CEEE0" w:rsidR="00D930D9" w:rsidRPr="00A058B6" w:rsidRDefault="00D930D9" w:rsidP="00D930D9">
      <w:pPr>
        <w:pStyle w:val="subsection"/>
      </w:pPr>
      <w:r w:rsidRPr="00A058B6">
        <w:tab/>
        <w:t>(5)</w:t>
      </w:r>
      <w:r w:rsidRPr="00A058B6">
        <w:tab/>
        <w:t xml:space="preserve">For the purposes of </w:t>
      </w:r>
      <w:r w:rsidR="00A52DA5">
        <w:t>subsection (</w:t>
      </w:r>
      <w:r w:rsidRPr="00A058B6">
        <w:t>2), (3) or (4), the Minister may, by legislative instrument, approve, as the retirement age for all members of a specified eligible superannuation plan in which a defined benefit interest is held, or an identifiable class of members of the plan, an age other than:</w:t>
      </w:r>
    </w:p>
    <w:p w14:paraId="638682C4" w14:textId="77777777" w:rsidR="00D930D9" w:rsidRPr="00A058B6" w:rsidRDefault="00D930D9" w:rsidP="00D930D9">
      <w:pPr>
        <w:pStyle w:val="paragraph"/>
      </w:pPr>
      <w:r w:rsidRPr="00A058B6">
        <w:tab/>
        <w:t>(a)</w:t>
      </w:r>
      <w:r w:rsidRPr="00A058B6">
        <w:tab/>
        <w:t>the retirement age specified in the governing rules of the plan; or</w:t>
      </w:r>
    </w:p>
    <w:p w14:paraId="3A5379A3" w14:textId="77777777" w:rsidR="00D930D9" w:rsidRPr="00A058B6" w:rsidRDefault="00D930D9" w:rsidP="00D930D9">
      <w:pPr>
        <w:pStyle w:val="paragraph"/>
      </w:pPr>
      <w:r w:rsidRPr="00A058B6">
        <w:tab/>
        <w:t>(b)</w:t>
      </w:r>
      <w:r w:rsidRPr="00A058B6">
        <w:tab/>
        <w:t>the age of 65 years</w:t>
      </w:r>
      <w:r w:rsidR="00D7157D">
        <w:t>.</w:t>
      </w:r>
    </w:p>
    <w:p w14:paraId="2F6E334A" w14:textId="238E3652" w:rsidR="00D930D9" w:rsidRPr="00A058B6" w:rsidRDefault="00D930D9" w:rsidP="00D930D9">
      <w:pPr>
        <w:pStyle w:val="notetext"/>
      </w:pPr>
      <w:r w:rsidRPr="00A058B6">
        <w:t>Note:</w:t>
      </w:r>
      <w:r w:rsidRPr="00A058B6">
        <w:tab/>
        <w:t xml:space="preserve">Eligible superannuation plans may be specified by class (see </w:t>
      </w:r>
      <w:r w:rsidR="00CB78B9">
        <w:t>subsection 1</w:t>
      </w:r>
      <w:r w:rsidRPr="00A058B6">
        <w:t xml:space="preserve">3(3) of the </w:t>
      </w:r>
      <w:r w:rsidRPr="00A058B6">
        <w:rPr>
          <w:i/>
        </w:rPr>
        <w:t>Legislation Act 2003</w:t>
      </w:r>
      <w:r w:rsidRPr="00A058B6">
        <w:t>)</w:t>
      </w:r>
      <w:r w:rsidR="00D7157D">
        <w:t>.</w:t>
      </w:r>
    </w:p>
    <w:p w14:paraId="23FBA4A9" w14:textId="6D7AEE5A" w:rsidR="00D930D9" w:rsidRPr="00A058B6" w:rsidRDefault="00485CC2" w:rsidP="00D930D9">
      <w:pPr>
        <w:pStyle w:val="ActHead5"/>
      </w:pPr>
      <w:bookmarkStart w:id="82" w:name="_Toc188350569"/>
      <w:r w:rsidRPr="00423C34">
        <w:rPr>
          <w:rStyle w:val="CharSectno"/>
        </w:rPr>
        <w:lastRenderedPageBreak/>
        <w:t>53</w:t>
      </w:r>
      <w:r w:rsidR="00D930D9" w:rsidRPr="00A058B6">
        <w:t xml:space="preserve">  Gross value—accumulation interest (other than a partially vested accumulation interest): more straight</w:t>
      </w:r>
      <w:r w:rsidR="001952B3">
        <w:noBreakHyphen/>
      </w:r>
      <w:r w:rsidR="00D930D9" w:rsidRPr="00A058B6">
        <w:t>forward cases</w:t>
      </w:r>
      <w:bookmarkEnd w:id="82"/>
    </w:p>
    <w:p w14:paraId="07E8B027" w14:textId="3EB6DD20" w:rsidR="00D930D9" w:rsidRPr="00A058B6" w:rsidRDefault="00D930D9" w:rsidP="00D930D9">
      <w:pPr>
        <w:pStyle w:val="subsection"/>
      </w:pPr>
      <w:r w:rsidRPr="00A058B6">
        <w:tab/>
        <w:t>(1)</w:t>
      </w:r>
      <w:r w:rsidRPr="00A058B6">
        <w:tab/>
        <w:t xml:space="preserve">This section applies for the superannuation interest if item 3 of the table in </w:t>
      </w:r>
      <w:r w:rsidR="00CB78B9">
        <w:t>section 5</w:t>
      </w:r>
      <w:r w:rsidR="00485CC2">
        <w:t>1</w:t>
      </w:r>
      <w:r w:rsidRPr="00A058B6">
        <w:t xml:space="preserve"> applies for the interest</w:t>
      </w:r>
      <w:r w:rsidR="00D7157D">
        <w:t>.</w:t>
      </w:r>
    </w:p>
    <w:p w14:paraId="04BA89F5" w14:textId="77777777" w:rsidR="00D930D9" w:rsidRPr="00A058B6" w:rsidRDefault="00D930D9" w:rsidP="00D930D9">
      <w:pPr>
        <w:pStyle w:val="SubsectionHead"/>
      </w:pPr>
      <w:r w:rsidRPr="00A058B6">
        <w:t>There is evidence from the trustee of the value of gross benefits that would be payable if the member spouse were to cease being a member at the relevant date</w:t>
      </w:r>
    </w:p>
    <w:p w14:paraId="034B41EB" w14:textId="77777777" w:rsidR="00D930D9" w:rsidRPr="00A058B6" w:rsidRDefault="00D930D9" w:rsidP="00D930D9">
      <w:pPr>
        <w:pStyle w:val="subsection"/>
      </w:pPr>
      <w:r w:rsidRPr="00A058B6">
        <w:tab/>
        <w:t>(2)</w:t>
      </w:r>
      <w:r w:rsidRPr="00A058B6">
        <w:tab/>
        <w:t>If:</w:t>
      </w:r>
    </w:p>
    <w:p w14:paraId="792C738A" w14:textId="77777777" w:rsidR="00D930D9" w:rsidRPr="00A058B6" w:rsidRDefault="00D930D9" w:rsidP="00D930D9">
      <w:pPr>
        <w:pStyle w:val="paragraph"/>
      </w:pPr>
      <w:r w:rsidRPr="00A058B6">
        <w:tab/>
        <w:t>(a)</w:t>
      </w:r>
      <w:r w:rsidRPr="00A058B6">
        <w:tab/>
        <w:t>evidence before the court includes a statement issued by the trustee of the plan in which the superannuation interest is held; and</w:t>
      </w:r>
    </w:p>
    <w:p w14:paraId="3959648E" w14:textId="77777777" w:rsidR="00D930D9" w:rsidRPr="00A058B6" w:rsidRDefault="00D930D9" w:rsidP="00D930D9">
      <w:pPr>
        <w:pStyle w:val="paragraph"/>
      </w:pPr>
      <w:r w:rsidRPr="00A058B6">
        <w:tab/>
        <w:t>(b)</w:t>
      </w:r>
      <w:r w:rsidRPr="00A058B6">
        <w:tab/>
        <w:t>that statement sets out the value of the benefits (before any taxes or other charges have been deducted) that would have been payable in respect of the interest at the relevant date if the member spouse had voluntarily ceased to be a member of the plan at that date;</w:t>
      </w:r>
    </w:p>
    <w:p w14:paraId="357369E3"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that value set out in the statement</w:t>
      </w:r>
      <w:r w:rsidR="00D7157D">
        <w:t>.</w:t>
      </w:r>
    </w:p>
    <w:p w14:paraId="27B1FC30" w14:textId="77777777" w:rsidR="00D930D9" w:rsidRPr="00A058B6" w:rsidRDefault="00D930D9" w:rsidP="00D930D9">
      <w:pPr>
        <w:pStyle w:val="SubsectionHead"/>
      </w:pPr>
      <w:r w:rsidRPr="00A058B6">
        <w:t>There is evidence of a member statement setting out the value of the superannuation interest at the relevant date</w:t>
      </w:r>
    </w:p>
    <w:p w14:paraId="7224854A" w14:textId="77777777" w:rsidR="00D930D9" w:rsidRPr="00A058B6" w:rsidRDefault="00D930D9" w:rsidP="00D930D9">
      <w:pPr>
        <w:pStyle w:val="subsection"/>
      </w:pPr>
      <w:r w:rsidRPr="00A058B6">
        <w:tab/>
        <w:t>(3)</w:t>
      </w:r>
      <w:r w:rsidRPr="00A058B6">
        <w:tab/>
        <w:t>If:</w:t>
      </w:r>
    </w:p>
    <w:p w14:paraId="7E1A6F80" w14:textId="77777777" w:rsidR="00D930D9" w:rsidRPr="00A058B6" w:rsidRDefault="00D930D9" w:rsidP="00D930D9">
      <w:pPr>
        <w:pStyle w:val="paragraph"/>
      </w:pPr>
      <w:r w:rsidRPr="00A058B6">
        <w:tab/>
        <w:t>(a)</w:t>
      </w:r>
      <w:r w:rsidRPr="00A058B6">
        <w:tab/>
        <w:t>evidence before the court includes a member information statement for the member spouse setting out the value of the superannuation interest at the relevant date; and</w:t>
      </w:r>
    </w:p>
    <w:p w14:paraId="57347902" w14:textId="77777777" w:rsidR="00D930D9" w:rsidRPr="00A058B6" w:rsidRDefault="00D930D9" w:rsidP="00D930D9">
      <w:pPr>
        <w:pStyle w:val="paragraph"/>
      </w:pPr>
      <w:r w:rsidRPr="00A058B6">
        <w:tab/>
        <w:t>(b)</w:t>
      </w:r>
      <w:r w:rsidRPr="00A058B6">
        <w:tab/>
        <w:t>that statement (or that value set out in the statement) has been provided to the member spouse; and</w:t>
      </w:r>
    </w:p>
    <w:p w14:paraId="13133724" w14:textId="4FCF219A" w:rsidR="00D930D9" w:rsidRPr="00A058B6" w:rsidRDefault="00D930D9" w:rsidP="00D930D9">
      <w:pPr>
        <w:pStyle w:val="paragraph"/>
      </w:pPr>
      <w:r w:rsidRPr="00A058B6">
        <w:tab/>
        <w:t>(c)</w:t>
      </w:r>
      <w:r w:rsidRPr="00A058B6">
        <w:tab/>
      </w:r>
      <w:r w:rsidR="00A52DA5">
        <w:t>subsection (</w:t>
      </w:r>
      <w:r w:rsidRPr="00A058B6">
        <w:t>2) does not apply;</w:t>
      </w:r>
    </w:p>
    <w:p w14:paraId="63372BC1"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that value set out in the statement</w:t>
      </w:r>
      <w:r w:rsidR="00D7157D">
        <w:t>.</w:t>
      </w:r>
    </w:p>
    <w:p w14:paraId="5696767C" w14:textId="07194F66" w:rsidR="00D930D9" w:rsidRPr="00A058B6" w:rsidRDefault="00485CC2" w:rsidP="00D930D9">
      <w:pPr>
        <w:pStyle w:val="ActHead5"/>
      </w:pPr>
      <w:bookmarkStart w:id="83" w:name="_Toc188350570"/>
      <w:r w:rsidRPr="00423C34">
        <w:rPr>
          <w:rStyle w:val="CharSectno"/>
        </w:rPr>
        <w:t>54</w:t>
      </w:r>
      <w:r w:rsidR="00D930D9" w:rsidRPr="00A058B6">
        <w:t xml:space="preserve">  Gross value—accumulation interest (other than a partially vested accumulation interest): other cases</w:t>
      </w:r>
      <w:bookmarkEnd w:id="83"/>
    </w:p>
    <w:p w14:paraId="654C580C" w14:textId="77777777" w:rsidR="00D930D9" w:rsidRPr="00A058B6" w:rsidRDefault="00D930D9" w:rsidP="00D930D9">
      <w:pPr>
        <w:pStyle w:val="subsection"/>
      </w:pPr>
      <w:r w:rsidRPr="00A058B6">
        <w:tab/>
        <w:t>(1)</w:t>
      </w:r>
      <w:r w:rsidRPr="00A058B6">
        <w:tab/>
        <w:t>This section applies for the superannuation interest if:</w:t>
      </w:r>
    </w:p>
    <w:p w14:paraId="3CDABEDE" w14:textId="3032635F" w:rsidR="00D930D9" w:rsidRPr="00A058B6" w:rsidRDefault="00D930D9" w:rsidP="00D930D9">
      <w:pPr>
        <w:pStyle w:val="paragraph"/>
      </w:pPr>
      <w:r w:rsidRPr="00A058B6">
        <w:tab/>
        <w:t>(a)</w:t>
      </w:r>
      <w:r w:rsidRPr="00A058B6">
        <w:tab/>
        <w:t xml:space="preserve">item 3 of the table in </w:t>
      </w:r>
      <w:r w:rsidR="00CB78B9">
        <w:t>section 5</w:t>
      </w:r>
      <w:r w:rsidR="00485CC2">
        <w:t>1</w:t>
      </w:r>
      <w:r w:rsidRPr="00A058B6">
        <w:t xml:space="preserve"> applies for the interest; and</w:t>
      </w:r>
    </w:p>
    <w:p w14:paraId="2ED923D1" w14:textId="2AEB039A" w:rsidR="00D930D9" w:rsidRPr="00A058B6" w:rsidRDefault="00D930D9" w:rsidP="00D930D9">
      <w:pPr>
        <w:pStyle w:val="paragraph"/>
      </w:pPr>
      <w:r w:rsidRPr="00A058B6">
        <w:tab/>
        <w:t>(b)</w:t>
      </w:r>
      <w:r w:rsidRPr="00A058B6">
        <w:tab/>
        <w:t xml:space="preserve">neither </w:t>
      </w:r>
      <w:r w:rsidR="00CB78B9">
        <w:t>subsection 5</w:t>
      </w:r>
      <w:r w:rsidR="00485CC2">
        <w:t>3</w:t>
      </w:r>
      <w:r w:rsidRPr="00A058B6">
        <w:t>(2) nor (3) applies for the interest</w:t>
      </w:r>
      <w:r w:rsidR="00D7157D">
        <w:t>.</w:t>
      </w:r>
    </w:p>
    <w:p w14:paraId="5B3FC23F" w14:textId="02A2D8D5" w:rsidR="00D930D9" w:rsidRPr="00A058B6" w:rsidRDefault="00D930D9" w:rsidP="00D930D9">
      <w:pPr>
        <w:pStyle w:val="subsection"/>
      </w:pPr>
      <w:r w:rsidRPr="00A058B6">
        <w:tab/>
        <w:t>(2)</w:t>
      </w:r>
      <w:r w:rsidRPr="00A058B6">
        <w:tab/>
        <w:t xml:space="preserve">The gross value of the superannuation interest at the relevant date is calculated using the formula in </w:t>
      </w:r>
      <w:r w:rsidR="00A52DA5">
        <w:t>subsection (</w:t>
      </w:r>
      <w:r w:rsidRPr="00A058B6">
        <w:t>3)</w:t>
      </w:r>
      <w:r w:rsidR="00D7157D">
        <w:t>.</w:t>
      </w:r>
      <w:r w:rsidRPr="00A058B6">
        <w:t xml:space="preserve"> The inputs for that formula will depend on whether the evidence before the court:</w:t>
      </w:r>
    </w:p>
    <w:p w14:paraId="380BC301" w14:textId="77777777" w:rsidR="00D930D9" w:rsidRPr="00A058B6" w:rsidRDefault="00D930D9" w:rsidP="00D930D9">
      <w:pPr>
        <w:pStyle w:val="paragraph"/>
      </w:pPr>
      <w:r w:rsidRPr="00A058B6">
        <w:tab/>
        <w:t>(a)</w:t>
      </w:r>
      <w:r w:rsidRPr="00A058B6">
        <w:tab/>
        <w:t xml:space="preserve">includes the contents of only 1 member information statement (an </w:t>
      </w:r>
      <w:r w:rsidRPr="00A058B6">
        <w:rPr>
          <w:b/>
          <w:i/>
        </w:rPr>
        <w:t>early statement</w:t>
      </w:r>
      <w:r w:rsidRPr="00A058B6">
        <w:t>) for the member spouse and relating to the interest, and the relevant date is after the valuation date stated in that statement; or</w:t>
      </w:r>
    </w:p>
    <w:p w14:paraId="3644C838" w14:textId="77777777" w:rsidR="00D930D9" w:rsidRPr="00A058B6" w:rsidRDefault="00D930D9" w:rsidP="00D930D9">
      <w:pPr>
        <w:pStyle w:val="paragraph"/>
      </w:pPr>
      <w:r w:rsidRPr="00A058B6">
        <w:tab/>
        <w:t>(b)</w:t>
      </w:r>
      <w:r w:rsidRPr="00A058B6">
        <w:tab/>
        <w:t xml:space="preserve">includes the contents of 2 member information statements for the member spouse and relating to the interest, and the relevant date is between the valuation date stated in one of those statements (the </w:t>
      </w:r>
      <w:r w:rsidRPr="00A058B6">
        <w:rPr>
          <w:b/>
          <w:i/>
        </w:rPr>
        <w:t>first statement</w:t>
      </w:r>
      <w:r w:rsidRPr="00A058B6">
        <w:t xml:space="preserve">) and the valuation date stated in the other statement (the </w:t>
      </w:r>
      <w:r w:rsidRPr="00A058B6">
        <w:rPr>
          <w:b/>
          <w:i/>
        </w:rPr>
        <w:t>second statement</w:t>
      </w:r>
      <w:r w:rsidRPr="00A058B6">
        <w:t>); or</w:t>
      </w:r>
    </w:p>
    <w:p w14:paraId="07C1D16E" w14:textId="77777777" w:rsidR="00D930D9" w:rsidRPr="00A058B6" w:rsidRDefault="00D930D9" w:rsidP="00D930D9">
      <w:pPr>
        <w:pStyle w:val="paragraph"/>
      </w:pPr>
      <w:r w:rsidRPr="00A058B6">
        <w:lastRenderedPageBreak/>
        <w:tab/>
        <w:t>(c)</w:t>
      </w:r>
      <w:r w:rsidRPr="00A058B6">
        <w:tab/>
        <w:t xml:space="preserve">includes the contents of only 1 member information statement (a </w:t>
      </w:r>
      <w:r w:rsidRPr="00A058B6">
        <w:rPr>
          <w:b/>
          <w:i/>
        </w:rPr>
        <w:t>late statement</w:t>
      </w:r>
      <w:r w:rsidRPr="00A058B6">
        <w:t>) for the member spouse and relating to the interest, and the relevant date is before the valuation date stated in that statement; or</w:t>
      </w:r>
    </w:p>
    <w:p w14:paraId="318C2E92" w14:textId="77777777" w:rsidR="00D930D9" w:rsidRPr="00A058B6" w:rsidRDefault="00D930D9" w:rsidP="00D930D9">
      <w:pPr>
        <w:pStyle w:val="paragraph"/>
      </w:pPr>
      <w:r w:rsidRPr="00A058B6">
        <w:tab/>
        <w:t>(d)</w:t>
      </w:r>
      <w:r w:rsidRPr="00A058B6">
        <w:tab/>
        <w:t>does not include the contents of any such member information statement</w:t>
      </w:r>
      <w:r w:rsidR="00D7157D">
        <w:t>.</w:t>
      </w:r>
    </w:p>
    <w:p w14:paraId="69E3670F" w14:textId="77777777" w:rsidR="00D930D9" w:rsidRPr="00A058B6" w:rsidRDefault="00D930D9" w:rsidP="00D930D9">
      <w:pPr>
        <w:pStyle w:val="subsection"/>
      </w:pPr>
      <w:r w:rsidRPr="00A058B6">
        <w:tab/>
        <w:t>(3)</w:t>
      </w:r>
      <w:r w:rsidRPr="00A058B6">
        <w:tab/>
        <w:t xml:space="preserve">The </w:t>
      </w:r>
      <w:r w:rsidRPr="00A058B6">
        <w:rPr>
          <w:b/>
          <w:i/>
        </w:rPr>
        <w:t>gross value of the superannuation interest at the relevant date</w:t>
      </w:r>
      <w:r w:rsidRPr="00A058B6">
        <w:t xml:space="preserve"> is equal to:</w:t>
      </w:r>
    </w:p>
    <w:p w14:paraId="53F5AA5A" w14:textId="4FAA427D" w:rsidR="00D930D9" w:rsidRPr="00A058B6" w:rsidRDefault="00A975A9" w:rsidP="00D930D9">
      <w:pPr>
        <w:pStyle w:val="subsection"/>
      </w:pPr>
      <w:r w:rsidRPr="00A058B6">
        <w:rPr>
          <w:position w:val="-54"/>
        </w:rPr>
        <w:object w:dxaOrig="8080" w:dyaOrig="1540" w14:anchorId="25872BB0">
          <v:shape id="_x0000_i1036" type="#_x0000_t75" alt="Start formula Values for first valuation date plus start fraction open bracket Values for second valuation date minus Values for first valuation date close bracket times Number of days between the first valuation date and the relevant date open bracket excluding both of those dates close bracket over Number of days in the period starting on the day after the first valuation date and ending on the second valuation date end fraction end formula" style="width:403.55pt;height:75.2pt;mso-position-horizontal:absolute" o:ole="">
            <v:imagedata r:id="rId46" o:title=""/>
          </v:shape>
          <o:OLEObject Type="Embed" ProgID="Equation.DSMT4" ShapeID="_x0000_i1036" DrawAspect="Content" ObjectID="_1801634265" r:id="rId47"/>
        </w:object>
      </w:r>
    </w:p>
    <w:p w14:paraId="12951ADC" w14:textId="77777777" w:rsidR="00D930D9" w:rsidRPr="00A058B6" w:rsidRDefault="00D930D9" w:rsidP="00D930D9">
      <w:pPr>
        <w:pStyle w:val="subsection2"/>
      </w:pPr>
      <w:r w:rsidRPr="00A058B6">
        <w:t>where:</w:t>
      </w:r>
    </w:p>
    <w:p w14:paraId="7D342D6E" w14:textId="77777777" w:rsidR="00D930D9" w:rsidRPr="00A058B6" w:rsidRDefault="00D930D9" w:rsidP="00D930D9">
      <w:pPr>
        <w:pStyle w:val="Definition"/>
      </w:pPr>
      <w:r w:rsidRPr="00A058B6">
        <w:rPr>
          <w:b/>
          <w:i/>
        </w:rPr>
        <w:t>values for first valuation date</w:t>
      </w:r>
      <w:r w:rsidRPr="00A058B6">
        <w:t xml:space="preserve"> </w:t>
      </w:r>
      <w:r w:rsidR="006E5B4B">
        <w:t>means</w:t>
      </w:r>
      <w:r w:rsidRPr="00A058B6">
        <w:t xml:space="preserve"> the sum of:</w:t>
      </w:r>
    </w:p>
    <w:p w14:paraId="55BFC80D" w14:textId="77777777" w:rsidR="00D930D9" w:rsidRPr="00A058B6" w:rsidRDefault="00D930D9" w:rsidP="00D930D9">
      <w:pPr>
        <w:pStyle w:val="paragraph"/>
      </w:pPr>
      <w:r w:rsidRPr="00A058B6">
        <w:tab/>
        <w:t>(a)</w:t>
      </w:r>
      <w:r w:rsidRPr="00A058B6">
        <w:tab/>
        <w:t>the value of the superannuation interest at the first valuation date; and</w:t>
      </w:r>
    </w:p>
    <w:p w14:paraId="396A7490" w14:textId="77777777" w:rsidR="00D930D9" w:rsidRPr="00A058B6" w:rsidRDefault="00D930D9" w:rsidP="00D930D9">
      <w:pPr>
        <w:pStyle w:val="paragraph"/>
      </w:pPr>
      <w:r w:rsidRPr="00A058B6">
        <w:tab/>
        <w:t>(b)</w:t>
      </w:r>
      <w:r w:rsidRPr="00A058B6">
        <w:tab/>
        <w:t>the value of any benefits rolled over, or transferred, by the member spouse to the plan in which the interest is held (other than regular contributions made by or for the member spouse to the plan) in the period:</w:t>
      </w:r>
    </w:p>
    <w:p w14:paraId="440689FC" w14:textId="77777777" w:rsidR="00D930D9" w:rsidRPr="00A058B6" w:rsidRDefault="00D930D9" w:rsidP="00D930D9">
      <w:pPr>
        <w:pStyle w:val="paragraphsub"/>
      </w:pPr>
      <w:r w:rsidRPr="00A058B6">
        <w:tab/>
        <w:t>(i)</w:t>
      </w:r>
      <w:r w:rsidRPr="00A058B6">
        <w:tab/>
        <w:t>starting on the day after the first valuation date; and</w:t>
      </w:r>
    </w:p>
    <w:p w14:paraId="49E861F0" w14:textId="77777777" w:rsidR="00D930D9" w:rsidRPr="00A058B6" w:rsidRDefault="00D930D9" w:rsidP="00D930D9">
      <w:pPr>
        <w:pStyle w:val="paragraphsub"/>
      </w:pPr>
      <w:r w:rsidRPr="00A058B6">
        <w:tab/>
        <w:t>(ii)</w:t>
      </w:r>
      <w:r w:rsidRPr="00A058B6">
        <w:tab/>
        <w:t>ending on the day before the relevant date;</w:t>
      </w:r>
    </w:p>
    <w:p w14:paraId="73020269" w14:textId="77777777" w:rsidR="00D930D9" w:rsidRPr="00A058B6" w:rsidRDefault="00D930D9" w:rsidP="00D930D9">
      <w:pPr>
        <w:pStyle w:val="paragraph"/>
      </w:pPr>
      <w:r w:rsidRPr="00A058B6">
        <w:tab/>
      </w:r>
      <w:r w:rsidRPr="00A058B6">
        <w:tab/>
        <w:t>less the value of any partial payment of benefits to the member spouse made in that period</w:t>
      </w:r>
      <w:r w:rsidR="00D7157D">
        <w:t>.</w:t>
      </w:r>
    </w:p>
    <w:p w14:paraId="2F236843" w14:textId="563DAAAC" w:rsidR="00D930D9" w:rsidRPr="00A058B6" w:rsidRDefault="00D930D9" w:rsidP="00D930D9">
      <w:pPr>
        <w:pStyle w:val="notetext"/>
      </w:pPr>
      <w:r w:rsidRPr="00A058B6">
        <w:t>Note:</w:t>
      </w:r>
      <w:r w:rsidRPr="00A058B6">
        <w:tab/>
        <w:t xml:space="preserve">Some of the terms in this definition are defined in </w:t>
      </w:r>
      <w:r w:rsidR="00A52DA5">
        <w:t>subsection (</w:t>
      </w:r>
      <w:r w:rsidRPr="00A058B6">
        <w:t>4)</w:t>
      </w:r>
      <w:r w:rsidR="00D7157D">
        <w:t>.</w:t>
      </w:r>
      <w:r w:rsidRPr="00A058B6">
        <w:t xml:space="preserve"> See also </w:t>
      </w:r>
      <w:r w:rsidR="00A52DA5">
        <w:t>subsection (</w:t>
      </w:r>
      <w:r w:rsidRPr="00A058B6">
        <w:t>5)</w:t>
      </w:r>
      <w:r w:rsidR="00D7157D">
        <w:t>.</w:t>
      </w:r>
    </w:p>
    <w:p w14:paraId="7C639E64" w14:textId="77777777" w:rsidR="00D930D9" w:rsidRPr="00A058B6" w:rsidRDefault="00D930D9" w:rsidP="00D930D9">
      <w:pPr>
        <w:pStyle w:val="Definition"/>
      </w:pPr>
      <w:r w:rsidRPr="00A058B6">
        <w:rPr>
          <w:b/>
          <w:i/>
        </w:rPr>
        <w:t>values for second valuation date</w:t>
      </w:r>
      <w:r w:rsidRPr="00A058B6">
        <w:t xml:space="preserve"> </w:t>
      </w:r>
      <w:r w:rsidR="006E5B4B">
        <w:t>means</w:t>
      </w:r>
      <w:r w:rsidRPr="00A058B6">
        <w:t xml:space="preserve"> the sum of:</w:t>
      </w:r>
    </w:p>
    <w:p w14:paraId="14C04A2F" w14:textId="77777777" w:rsidR="00D930D9" w:rsidRPr="00A058B6" w:rsidRDefault="00D930D9" w:rsidP="00D930D9">
      <w:pPr>
        <w:pStyle w:val="paragraph"/>
      </w:pPr>
      <w:r w:rsidRPr="00A058B6">
        <w:tab/>
        <w:t>(a)</w:t>
      </w:r>
      <w:r w:rsidRPr="00A058B6">
        <w:tab/>
        <w:t>the value of the superannuation interest at the second valuation date; and</w:t>
      </w:r>
    </w:p>
    <w:p w14:paraId="2FEA9743" w14:textId="77777777" w:rsidR="00D930D9" w:rsidRPr="00A058B6" w:rsidRDefault="00D930D9" w:rsidP="00D930D9">
      <w:pPr>
        <w:pStyle w:val="paragraph"/>
      </w:pPr>
      <w:r w:rsidRPr="00A058B6">
        <w:tab/>
        <w:t>(b)</w:t>
      </w:r>
      <w:r w:rsidRPr="00A058B6">
        <w:tab/>
        <w:t>the value of any partial payment of benefits made to the member spouse in the period starting on the day after the relevant date and ending on the second valuation date, less:</w:t>
      </w:r>
    </w:p>
    <w:p w14:paraId="55B9A2EE" w14:textId="77777777" w:rsidR="00D930D9" w:rsidRPr="00A058B6" w:rsidRDefault="00D930D9" w:rsidP="00D930D9">
      <w:pPr>
        <w:pStyle w:val="paragraphsub"/>
      </w:pPr>
      <w:r w:rsidRPr="00A058B6">
        <w:tab/>
        <w:t>(i)</w:t>
      </w:r>
      <w:r w:rsidRPr="00A058B6">
        <w:tab/>
        <w:t>the value of any benefits rolled over, or transferred, by the member spouse in that period to the plan in which the interest is held (other than regular contributions made by or for the member spouse to the plan); and</w:t>
      </w:r>
    </w:p>
    <w:p w14:paraId="4DAC6A23" w14:textId="77777777" w:rsidR="00D930D9" w:rsidRPr="00A058B6" w:rsidRDefault="00D930D9" w:rsidP="00D930D9">
      <w:pPr>
        <w:pStyle w:val="paragraphsub"/>
      </w:pPr>
      <w:r w:rsidRPr="00A058B6">
        <w:tab/>
        <w:t>(ii)</w:t>
      </w:r>
      <w:r w:rsidRPr="00A058B6">
        <w:tab/>
        <w:t>any interest earned on those benefits in that period</w:t>
      </w:r>
      <w:r w:rsidR="00D7157D">
        <w:t>.</w:t>
      </w:r>
    </w:p>
    <w:p w14:paraId="6A70AD35" w14:textId="59DD4C2E" w:rsidR="00D930D9" w:rsidRPr="00A058B6" w:rsidRDefault="00D930D9" w:rsidP="00D930D9">
      <w:pPr>
        <w:pStyle w:val="notetext"/>
      </w:pPr>
      <w:r w:rsidRPr="00A058B6">
        <w:t>Note:</w:t>
      </w:r>
      <w:r w:rsidRPr="00A058B6">
        <w:tab/>
        <w:t xml:space="preserve">Some of the terms in this definition are defined in </w:t>
      </w:r>
      <w:r w:rsidR="00A52DA5">
        <w:t>subsection (</w:t>
      </w:r>
      <w:r w:rsidRPr="00A058B6">
        <w:t>4)</w:t>
      </w:r>
      <w:r w:rsidR="00D7157D">
        <w:t>.</w:t>
      </w:r>
      <w:r w:rsidRPr="00A058B6">
        <w:t xml:space="preserve"> See also </w:t>
      </w:r>
      <w:r w:rsidR="00A52DA5">
        <w:t>subsection (</w:t>
      </w:r>
      <w:r w:rsidRPr="00A058B6">
        <w:t>5)</w:t>
      </w:r>
      <w:r w:rsidR="00D7157D">
        <w:t>.</w:t>
      </w:r>
    </w:p>
    <w:p w14:paraId="7FB1CB0D" w14:textId="036FE41F" w:rsidR="00D930D9" w:rsidRPr="00A058B6" w:rsidRDefault="00D930D9" w:rsidP="00D930D9">
      <w:pPr>
        <w:pStyle w:val="subsection"/>
      </w:pPr>
      <w:r w:rsidRPr="00A058B6">
        <w:tab/>
        <w:t>(4)</w:t>
      </w:r>
      <w:r w:rsidRPr="00A058B6">
        <w:tab/>
        <w:t xml:space="preserve">The meanings of some of the terms used in </w:t>
      </w:r>
      <w:r w:rsidR="00A52DA5">
        <w:t>subsection (</w:t>
      </w:r>
      <w:r w:rsidRPr="00A058B6">
        <w:t>3) are as follows</w:t>
      </w:r>
      <w:r>
        <w:t>,</w:t>
      </w:r>
      <w:r w:rsidRPr="00A058B6">
        <w:t xml:space="preserve"> depending on what evidence is before the court</w:t>
      </w:r>
      <w:r w:rsidR="00D7157D">
        <w:t>.</w:t>
      </w:r>
      <w:r w:rsidRPr="00A058B6">
        <w:t xml:space="preserve"> If that evidence:</w:t>
      </w:r>
    </w:p>
    <w:p w14:paraId="62C7BB24" w14:textId="7807BE56" w:rsidR="00D930D9" w:rsidRPr="00A058B6" w:rsidRDefault="00D930D9" w:rsidP="00D930D9">
      <w:pPr>
        <w:pStyle w:val="paragraph"/>
      </w:pPr>
      <w:r w:rsidRPr="00A058B6">
        <w:tab/>
        <w:t>(a)</w:t>
      </w:r>
      <w:r w:rsidRPr="00A058B6">
        <w:tab/>
        <w:t xml:space="preserve">is the contents of an early statement (see </w:t>
      </w:r>
      <w:r w:rsidR="00453C86">
        <w:t>paragraph (</w:t>
      </w:r>
      <w:r w:rsidRPr="00A058B6">
        <w:t>2)(a)), then:</w:t>
      </w:r>
    </w:p>
    <w:p w14:paraId="23633304" w14:textId="77777777" w:rsidR="00D930D9" w:rsidRPr="00A058B6" w:rsidRDefault="00D930D9" w:rsidP="00D930D9">
      <w:pPr>
        <w:pStyle w:val="paragraphsub"/>
      </w:pPr>
      <w:r w:rsidRPr="00A058B6">
        <w:tab/>
        <w:t>(i)</w:t>
      </w:r>
      <w:r w:rsidRPr="00A058B6">
        <w:tab/>
        <w:t xml:space="preserve">the </w:t>
      </w:r>
      <w:r w:rsidRPr="00A058B6">
        <w:rPr>
          <w:b/>
          <w:i/>
        </w:rPr>
        <w:t>first valuation date</w:t>
      </w:r>
      <w:r w:rsidRPr="00A058B6">
        <w:t xml:space="preserve"> is the valuation date stated in that statement; and</w:t>
      </w:r>
    </w:p>
    <w:p w14:paraId="2FA8D940" w14:textId="6FAE0991" w:rsidR="00D930D9" w:rsidRPr="00A058B6" w:rsidRDefault="00D930D9" w:rsidP="00D930D9">
      <w:pPr>
        <w:pStyle w:val="paragraphsub"/>
      </w:pPr>
      <w:r w:rsidRPr="00A058B6">
        <w:tab/>
        <w:t>(ii)</w:t>
      </w:r>
      <w:r w:rsidRPr="00A058B6">
        <w:tab/>
        <w:t xml:space="preserve">the </w:t>
      </w:r>
      <w:r w:rsidRPr="00A058B6">
        <w:rPr>
          <w:b/>
          <w:i/>
        </w:rPr>
        <w:t>value of the interest at the first valuation date</w:t>
      </w:r>
      <w:r w:rsidRPr="00A058B6">
        <w:t xml:space="preserve"> is the value of the interest stated in that statement (see </w:t>
      </w:r>
      <w:r w:rsidR="00A52DA5">
        <w:t>subsection (</w:t>
      </w:r>
      <w:r w:rsidRPr="00A058B6">
        <w:t>5)); and</w:t>
      </w:r>
    </w:p>
    <w:p w14:paraId="7BA339F3" w14:textId="77777777" w:rsidR="00D930D9" w:rsidRPr="00A058B6" w:rsidRDefault="00D930D9" w:rsidP="00D930D9">
      <w:pPr>
        <w:pStyle w:val="paragraphsub"/>
      </w:pPr>
      <w:r w:rsidRPr="00A058B6">
        <w:tab/>
        <w:t>(iii)</w:t>
      </w:r>
      <w:r w:rsidRPr="00A058B6">
        <w:tab/>
        <w:t xml:space="preserve">the </w:t>
      </w:r>
      <w:r w:rsidRPr="00A058B6">
        <w:rPr>
          <w:b/>
          <w:i/>
        </w:rPr>
        <w:t>second valuation date</w:t>
      </w:r>
      <w:r w:rsidRPr="00A058B6">
        <w:t xml:space="preserve"> is a date after the relevant date that is within 28 days before the date when the valuation of the interest is being carried out; and</w:t>
      </w:r>
    </w:p>
    <w:p w14:paraId="3FF306FA" w14:textId="0230A6CC" w:rsidR="00D930D9" w:rsidRPr="00A058B6" w:rsidRDefault="00D930D9" w:rsidP="00D930D9">
      <w:pPr>
        <w:pStyle w:val="paragraphsub"/>
      </w:pPr>
      <w:r w:rsidRPr="00A058B6">
        <w:lastRenderedPageBreak/>
        <w:tab/>
        <w:t>(iv)</w:t>
      </w:r>
      <w:r w:rsidRPr="00A058B6">
        <w:tab/>
        <w:t xml:space="preserve">the </w:t>
      </w:r>
      <w:r w:rsidRPr="00A058B6">
        <w:rPr>
          <w:b/>
          <w:i/>
        </w:rPr>
        <w:t>value of the interest at the second valuation date</w:t>
      </w:r>
      <w:r w:rsidRPr="00A058B6">
        <w:t xml:space="preserve"> is the value of the interest</w:t>
      </w:r>
      <w:r>
        <w:t>,</w:t>
      </w:r>
      <w:r w:rsidRPr="00A058B6">
        <w:t xml:space="preserve"> </w:t>
      </w:r>
      <w:r>
        <w:t xml:space="preserve">including all related valuation amounts (see </w:t>
      </w:r>
      <w:r w:rsidR="00A52DA5">
        <w:t>subsection (</w:t>
      </w:r>
      <w:r>
        <w:t xml:space="preserve">5)) for the interest, </w:t>
      </w:r>
      <w:r w:rsidRPr="00A058B6">
        <w:t>at that date; or</w:t>
      </w:r>
    </w:p>
    <w:p w14:paraId="695F8DA5" w14:textId="0052A608" w:rsidR="00D930D9" w:rsidRPr="00A058B6" w:rsidRDefault="00D930D9" w:rsidP="00D930D9">
      <w:pPr>
        <w:pStyle w:val="paragraph"/>
      </w:pPr>
      <w:r w:rsidRPr="00A058B6">
        <w:tab/>
        <w:t>(b)</w:t>
      </w:r>
      <w:r w:rsidRPr="00A058B6">
        <w:tab/>
        <w:t xml:space="preserve">is the content of 2 statements (see </w:t>
      </w:r>
      <w:r w:rsidR="00453C86">
        <w:t>paragraph (</w:t>
      </w:r>
      <w:r w:rsidRPr="00A058B6">
        <w:t>2)(b)), then:</w:t>
      </w:r>
    </w:p>
    <w:p w14:paraId="11C9D134" w14:textId="77777777" w:rsidR="00D930D9" w:rsidRPr="00A058B6" w:rsidRDefault="00D930D9" w:rsidP="00D930D9">
      <w:pPr>
        <w:pStyle w:val="paragraphsub"/>
      </w:pPr>
      <w:r w:rsidRPr="00A058B6">
        <w:tab/>
        <w:t>(i)</w:t>
      </w:r>
      <w:r w:rsidRPr="00A058B6">
        <w:tab/>
        <w:t xml:space="preserve">the </w:t>
      </w:r>
      <w:r w:rsidRPr="00A058B6">
        <w:rPr>
          <w:b/>
          <w:i/>
        </w:rPr>
        <w:t>first valuation date</w:t>
      </w:r>
      <w:r w:rsidRPr="00A058B6">
        <w:t xml:space="preserve"> is the valuation date stated in the first statement mentioned in that paragraph; and</w:t>
      </w:r>
    </w:p>
    <w:p w14:paraId="066B7EB4" w14:textId="65664CCE" w:rsidR="00D930D9" w:rsidRPr="00A058B6" w:rsidRDefault="00D930D9" w:rsidP="00D930D9">
      <w:pPr>
        <w:pStyle w:val="paragraphsub"/>
      </w:pPr>
      <w:r w:rsidRPr="00A058B6">
        <w:tab/>
        <w:t>(ii)</w:t>
      </w:r>
      <w:r w:rsidRPr="00A058B6">
        <w:tab/>
        <w:t xml:space="preserve">the </w:t>
      </w:r>
      <w:r w:rsidRPr="00A058B6">
        <w:rPr>
          <w:b/>
          <w:i/>
        </w:rPr>
        <w:t>value of the interest at the first valuation date</w:t>
      </w:r>
      <w:r w:rsidRPr="00A058B6">
        <w:t xml:space="preserve"> is the value of the interest stated in the first statement (see </w:t>
      </w:r>
      <w:r w:rsidR="00A52DA5">
        <w:t>subsection (</w:t>
      </w:r>
      <w:r>
        <w:t>5</w:t>
      </w:r>
      <w:r w:rsidRPr="00A058B6">
        <w:t>)); and</w:t>
      </w:r>
    </w:p>
    <w:p w14:paraId="64E86574" w14:textId="77777777" w:rsidR="00D930D9" w:rsidRPr="00A058B6" w:rsidRDefault="00D930D9" w:rsidP="00D930D9">
      <w:pPr>
        <w:pStyle w:val="paragraphsub"/>
      </w:pPr>
      <w:r w:rsidRPr="00A058B6">
        <w:tab/>
        <w:t>(iii)</w:t>
      </w:r>
      <w:r w:rsidRPr="00A058B6">
        <w:tab/>
        <w:t xml:space="preserve">the </w:t>
      </w:r>
      <w:r w:rsidRPr="00A058B6">
        <w:rPr>
          <w:b/>
          <w:i/>
        </w:rPr>
        <w:t>second valuation date</w:t>
      </w:r>
      <w:r w:rsidRPr="00A058B6">
        <w:t xml:space="preserve"> is the valuation date stated in the second statement mentioned in that paragraph; and</w:t>
      </w:r>
    </w:p>
    <w:p w14:paraId="4288F778" w14:textId="4FBD7766" w:rsidR="00D930D9" w:rsidRPr="00A058B6" w:rsidRDefault="00D930D9" w:rsidP="00D930D9">
      <w:pPr>
        <w:pStyle w:val="paragraphsub"/>
      </w:pPr>
      <w:r w:rsidRPr="00A058B6">
        <w:tab/>
        <w:t>(iv)</w:t>
      </w:r>
      <w:r w:rsidRPr="00A058B6">
        <w:tab/>
        <w:t xml:space="preserve">the </w:t>
      </w:r>
      <w:r w:rsidRPr="00A058B6">
        <w:rPr>
          <w:b/>
          <w:i/>
        </w:rPr>
        <w:t>value of the interest at the second valuation date</w:t>
      </w:r>
      <w:r w:rsidRPr="00A058B6">
        <w:t xml:space="preserve"> is the value of the interest stated in the second statement (see </w:t>
      </w:r>
      <w:r w:rsidR="00A52DA5">
        <w:t>subsection (</w:t>
      </w:r>
      <w:r>
        <w:t>5</w:t>
      </w:r>
      <w:r w:rsidRPr="00A058B6">
        <w:t>)); or</w:t>
      </w:r>
    </w:p>
    <w:p w14:paraId="1B8A98C1" w14:textId="1CC19C2B" w:rsidR="00D930D9" w:rsidRPr="00A058B6" w:rsidRDefault="00D930D9" w:rsidP="00D930D9">
      <w:pPr>
        <w:pStyle w:val="paragraph"/>
      </w:pPr>
      <w:r w:rsidRPr="00A058B6">
        <w:tab/>
        <w:t>(c)</w:t>
      </w:r>
      <w:r w:rsidRPr="00A058B6">
        <w:tab/>
        <w:t xml:space="preserve">is the contents of a late statement (see </w:t>
      </w:r>
      <w:r w:rsidR="00453C86">
        <w:t>paragraph (</w:t>
      </w:r>
      <w:r w:rsidRPr="00A058B6">
        <w:t>2)(c)), then:</w:t>
      </w:r>
    </w:p>
    <w:p w14:paraId="2F12D5A4" w14:textId="77777777" w:rsidR="00D930D9" w:rsidRPr="00A058B6" w:rsidRDefault="00D930D9" w:rsidP="00D930D9">
      <w:pPr>
        <w:pStyle w:val="paragraphsub"/>
      </w:pPr>
      <w:r w:rsidRPr="00A058B6">
        <w:tab/>
        <w:t>(i)</w:t>
      </w:r>
      <w:r w:rsidRPr="00A058B6">
        <w:tab/>
        <w:t xml:space="preserve">the </w:t>
      </w:r>
      <w:r w:rsidRPr="00A058B6">
        <w:rPr>
          <w:b/>
          <w:i/>
        </w:rPr>
        <w:t>first valuation date</w:t>
      </w:r>
      <w:r w:rsidRPr="00A058B6">
        <w:t xml:space="preserve"> is the date when the interest was acquired by the member spouse; and</w:t>
      </w:r>
    </w:p>
    <w:p w14:paraId="009AD0E5" w14:textId="77777777" w:rsidR="00D930D9" w:rsidRPr="00A058B6" w:rsidRDefault="00D930D9" w:rsidP="00D930D9">
      <w:pPr>
        <w:pStyle w:val="paragraphsub"/>
      </w:pPr>
      <w:r w:rsidRPr="00A058B6">
        <w:tab/>
        <w:t>(ii)</w:t>
      </w:r>
      <w:r w:rsidRPr="00A058B6">
        <w:tab/>
        <w:t xml:space="preserve">the </w:t>
      </w:r>
      <w:r w:rsidRPr="00A058B6">
        <w:rPr>
          <w:b/>
          <w:i/>
        </w:rPr>
        <w:t>value of the interest at the first valuation date</w:t>
      </w:r>
      <w:r w:rsidRPr="00A058B6">
        <w:t xml:space="preserve"> is the value of the interest at that date; and</w:t>
      </w:r>
    </w:p>
    <w:p w14:paraId="4E4C8C46" w14:textId="77777777" w:rsidR="00D930D9" w:rsidRPr="00A058B6" w:rsidRDefault="00D930D9" w:rsidP="00D930D9">
      <w:pPr>
        <w:pStyle w:val="paragraphsub"/>
      </w:pPr>
      <w:r w:rsidRPr="00A058B6">
        <w:tab/>
        <w:t>(iii)</w:t>
      </w:r>
      <w:r w:rsidRPr="00A058B6">
        <w:tab/>
        <w:t xml:space="preserve">the </w:t>
      </w:r>
      <w:r w:rsidRPr="00A058B6">
        <w:rPr>
          <w:b/>
          <w:i/>
        </w:rPr>
        <w:t>second valuation date</w:t>
      </w:r>
      <w:r w:rsidRPr="00A058B6">
        <w:t xml:space="preserve"> is the valuation date stated in the statement; and</w:t>
      </w:r>
    </w:p>
    <w:p w14:paraId="69AE4447" w14:textId="65A0FC6A" w:rsidR="00D930D9" w:rsidRPr="00A058B6" w:rsidRDefault="00D930D9" w:rsidP="00D930D9">
      <w:pPr>
        <w:pStyle w:val="paragraphsub"/>
      </w:pPr>
      <w:r w:rsidRPr="00A058B6">
        <w:tab/>
        <w:t>(iv)</w:t>
      </w:r>
      <w:r w:rsidRPr="00A058B6">
        <w:tab/>
        <w:t xml:space="preserve">the </w:t>
      </w:r>
      <w:r w:rsidRPr="00A058B6">
        <w:rPr>
          <w:b/>
          <w:i/>
        </w:rPr>
        <w:t>value of the interest at the second valuation date</w:t>
      </w:r>
      <w:r w:rsidRPr="00A058B6">
        <w:t xml:space="preserve"> is the value of the interest stated in the statement (see </w:t>
      </w:r>
      <w:r w:rsidR="00A52DA5">
        <w:t>subsection (</w:t>
      </w:r>
      <w:r>
        <w:t>5</w:t>
      </w:r>
      <w:r w:rsidRPr="00A058B6">
        <w:t>)); or</w:t>
      </w:r>
    </w:p>
    <w:p w14:paraId="5D7E3DD8" w14:textId="32E024AA" w:rsidR="00D930D9" w:rsidRPr="00A058B6" w:rsidRDefault="00D930D9" w:rsidP="00D930D9">
      <w:pPr>
        <w:pStyle w:val="paragraph"/>
      </w:pPr>
      <w:r w:rsidRPr="00A058B6">
        <w:tab/>
        <w:t>(d)</w:t>
      </w:r>
      <w:r w:rsidRPr="00A058B6">
        <w:tab/>
        <w:t xml:space="preserve">does not include contents of any such statement (see </w:t>
      </w:r>
      <w:r w:rsidR="00453C86">
        <w:t>paragraph (</w:t>
      </w:r>
      <w:r w:rsidRPr="00A058B6">
        <w:t>2)(d)), then:</w:t>
      </w:r>
    </w:p>
    <w:p w14:paraId="4F177071" w14:textId="77777777" w:rsidR="00D930D9" w:rsidRPr="00A058B6" w:rsidRDefault="00D930D9" w:rsidP="00D930D9">
      <w:pPr>
        <w:pStyle w:val="paragraphsub"/>
      </w:pPr>
      <w:r w:rsidRPr="00A058B6">
        <w:tab/>
        <w:t>(i)</w:t>
      </w:r>
      <w:r w:rsidRPr="00A058B6">
        <w:tab/>
        <w:t xml:space="preserve">the </w:t>
      </w:r>
      <w:r w:rsidRPr="00A058B6">
        <w:rPr>
          <w:b/>
          <w:i/>
        </w:rPr>
        <w:t>first valuation date</w:t>
      </w:r>
      <w:r w:rsidRPr="00A058B6">
        <w:t xml:space="preserve"> is the date when the interest was acquired by the member spouse; and</w:t>
      </w:r>
    </w:p>
    <w:p w14:paraId="51418B3F" w14:textId="77777777" w:rsidR="00D930D9" w:rsidRPr="00A058B6" w:rsidRDefault="00D930D9" w:rsidP="00D930D9">
      <w:pPr>
        <w:pStyle w:val="paragraphsub"/>
      </w:pPr>
      <w:r w:rsidRPr="00A058B6">
        <w:tab/>
        <w:t>(ii)</w:t>
      </w:r>
      <w:r w:rsidRPr="00A058B6">
        <w:tab/>
        <w:t xml:space="preserve">the </w:t>
      </w:r>
      <w:r w:rsidRPr="00A058B6">
        <w:rPr>
          <w:b/>
          <w:i/>
        </w:rPr>
        <w:t>value of the interest at the first valuation date</w:t>
      </w:r>
      <w:r w:rsidRPr="00A058B6">
        <w:t xml:space="preserve"> is the value of the interest at that date; and</w:t>
      </w:r>
    </w:p>
    <w:p w14:paraId="5A87D4D0" w14:textId="77777777" w:rsidR="00D930D9" w:rsidRPr="00A058B6" w:rsidRDefault="00D930D9" w:rsidP="00D930D9">
      <w:pPr>
        <w:pStyle w:val="paragraphsub"/>
      </w:pPr>
      <w:r w:rsidRPr="00A058B6">
        <w:tab/>
        <w:t>(iii)</w:t>
      </w:r>
      <w:r w:rsidRPr="00A058B6">
        <w:tab/>
        <w:t xml:space="preserve">the </w:t>
      </w:r>
      <w:r w:rsidRPr="00A058B6">
        <w:rPr>
          <w:b/>
          <w:i/>
        </w:rPr>
        <w:t>second valuation date</w:t>
      </w:r>
      <w:r w:rsidRPr="00A058B6">
        <w:t xml:space="preserve"> is a date after the relevant date that is within 28 days before the date when the valuation of the interest is being carried out; and</w:t>
      </w:r>
    </w:p>
    <w:p w14:paraId="27FC231B" w14:textId="6622DF1E" w:rsidR="00D930D9" w:rsidRPr="00A058B6" w:rsidRDefault="00D930D9" w:rsidP="00D930D9">
      <w:pPr>
        <w:pStyle w:val="paragraphsub"/>
      </w:pPr>
      <w:r w:rsidRPr="00A058B6">
        <w:tab/>
        <w:t>(iv)</w:t>
      </w:r>
      <w:r w:rsidRPr="00A058B6">
        <w:tab/>
        <w:t xml:space="preserve">the </w:t>
      </w:r>
      <w:r w:rsidRPr="00A058B6">
        <w:rPr>
          <w:b/>
          <w:i/>
        </w:rPr>
        <w:t>value of the interest at the second valuation date</w:t>
      </w:r>
      <w:r w:rsidRPr="00A058B6">
        <w:t xml:space="preserve"> is the value of the interest</w:t>
      </w:r>
      <w:r>
        <w:t>,</w:t>
      </w:r>
      <w:r w:rsidRPr="00A058B6">
        <w:t xml:space="preserve"> </w:t>
      </w:r>
      <w:r>
        <w:t xml:space="preserve">including all related valuation amounts (see </w:t>
      </w:r>
      <w:r w:rsidR="00A52DA5">
        <w:t>subsection (</w:t>
      </w:r>
      <w:r>
        <w:t xml:space="preserve">5)) for the interest, </w:t>
      </w:r>
      <w:r w:rsidRPr="00A058B6">
        <w:t>at that date</w:t>
      </w:r>
      <w:r w:rsidR="00D7157D">
        <w:t>.</w:t>
      </w:r>
    </w:p>
    <w:p w14:paraId="0EDB79BC" w14:textId="77777777" w:rsidR="00D930D9" w:rsidRPr="00A058B6" w:rsidRDefault="00D930D9" w:rsidP="00D930D9">
      <w:pPr>
        <w:pStyle w:val="subsection"/>
      </w:pPr>
      <w:r>
        <w:tab/>
        <w:t>(5)</w:t>
      </w:r>
      <w:r>
        <w:tab/>
      </w:r>
      <w:r w:rsidRPr="00A058B6">
        <w:t>In this section:</w:t>
      </w:r>
    </w:p>
    <w:p w14:paraId="14D9DA3F" w14:textId="77777777" w:rsidR="00D930D9" w:rsidRPr="00344BA9" w:rsidRDefault="00D930D9" w:rsidP="00D930D9">
      <w:pPr>
        <w:pStyle w:val="Definition"/>
      </w:pPr>
      <w:r>
        <w:rPr>
          <w:b/>
          <w:i/>
        </w:rPr>
        <w:t xml:space="preserve">related </w:t>
      </w:r>
      <w:r w:rsidRPr="00344BA9">
        <w:rPr>
          <w:b/>
          <w:i/>
        </w:rPr>
        <w:t xml:space="preserve">valuation </w:t>
      </w:r>
      <w:r>
        <w:rPr>
          <w:b/>
          <w:i/>
        </w:rPr>
        <w:t>amount</w:t>
      </w:r>
      <w:r>
        <w:t>, for a superannuation interest at a particular date, means:</w:t>
      </w:r>
    </w:p>
    <w:p w14:paraId="0496582A" w14:textId="77777777" w:rsidR="00D930D9" w:rsidRPr="001B2BA4" w:rsidRDefault="00D930D9" w:rsidP="00D930D9">
      <w:pPr>
        <w:pStyle w:val="paragraph"/>
      </w:pPr>
      <w:r w:rsidRPr="001B2BA4">
        <w:tab/>
        <w:t>(a)</w:t>
      </w:r>
      <w:r w:rsidRPr="001B2BA4">
        <w:tab/>
        <w:t>an</w:t>
      </w:r>
      <w:r>
        <w:t>y</w:t>
      </w:r>
      <w:r w:rsidRPr="001B2BA4">
        <w:t xml:space="preserve"> amount payable under an earlier payment split that applies in respect of the interest; </w:t>
      </w:r>
      <w:r>
        <w:t>or</w:t>
      </w:r>
    </w:p>
    <w:p w14:paraId="16C0FC5B" w14:textId="77777777" w:rsidR="00D930D9" w:rsidRPr="001B2BA4" w:rsidRDefault="00D930D9" w:rsidP="00D930D9">
      <w:pPr>
        <w:pStyle w:val="paragraph"/>
      </w:pPr>
      <w:r w:rsidRPr="001B2BA4">
        <w:tab/>
        <w:t>(b)</w:t>
      </w:r>
      <w:r w:rsidRPr="001B2BA4">
        <w:tab/>
        <w:t>the amount of any surcharge debt</w:t>
      </w:r>
      <w:r>
        <w:t>, at that date,</w:t>
      </w:r>
      <w:r w:rsidRPr="001B2BA4">
        <w:t xml:space="preserve"> of the member spouse in respect of the interest</w:t>
      </w:r>
      <w:r w:rsidR="00D7157D">
        <w:t>.</w:t>
      </w:r>
    </w:p>
    <w:p w14:paraId="049DF246" w14:textId="77777777" w:rsidR="00D930D9" w:rsidRPr="00A058B6" w:rsidRDefault="00D930D9" w:rsidP="00D930D9">
      <w:pPr>
        <w:pStyle w:val="Definition"/>
      </w:pPr>
      <w:r w:rsidRPr="00A058B6">
        <w:rPr>
          <w:b/>
          <w:i/>
        </w:rPr>
        <w:t>valuation date</w:t>
      </w:r>
      <w:r w:rsidRPr="00A058B6">
        <w:t xml:space="preserve">, </w:t>
      </w:r>
      <w:r>
        <w:t>for</w:t>
      </w:r>
      <w:r w:rsidRPr="00A058B6">
        <w:t xml:space="preserve"> a superannuation interest to which a member information statement for the member spouse applies, means the date as at which the value of the interest is stated in the statement</w:t>
      </w:r>
      <w:r w:rsidR="00D7157D">
        <w:t>.</w:t>
      </w:r>
    </w:p>
    <w:p w14:paraId="3A641849" w14:textId="77777777" w:rsidR="00D930D9" w:rsidRPr="00A058B6" w:rsidRDefault="00D930D9" w:rsidP="00D930D9">
      <w:pPr>
        <w:pStyle w:val="Definition"/>
      </w:pPr>
      <w:r w:rsidRPr="00A058B6">
        <w:rPr>
          <w:b/>
          <w:i/>
        </w:rPr>
        <w:t>value</w:t>
      </w:r>
      <w:r w:rsidRPr="00A058B6">
        <w:t>, of a superannuation interest stated in a member information statement for the member spouse, means:</w:t>
      </w:r>
    </w:p>
    <w:p w14:paraId="2D046C7B" w14:textId="77777777" w:rsidR="00D930D9" w:rsidRPr="00A058B6" w:rsidRDefault="00D930D9" w:rsidP="00D930D9">
      <w:pPr>
        <w:pStyle w:val="paragraph"/>
      </w:pPr>
      <w:r w:rsidRPr="00A058B6">
        <w:tab/>
        <w:t>(a)</w:t>
      </w:r>
      <w:r w:rsidRPr="00A058B6">
        <w:tab/>
        <w:t>the value stated in the statement (however that value is described); or</w:t>
      </w:r>
    </w:p>
    <w:p w14:paraId="1DC27ADC" w14:textId="77777777" w:rsidR="00D930D9" w:rsidRPr="00A058B6" w:rsidRDefault="00D930D9" w:rsidP="00D930D9">
      <w:pPr>
        <w:pStyle w:val="paragraph"/>
      </w:pPr>
      <w:r w:rsidRPr="00A058B6">
        <w:lastRenderedPageBreak/>
        <w:tab/>
        <w:t>(b)</w:t>
      </w:r>
      <w:r w:rsidRPr="00A058B6">
        <w:tab/>
        <w:t>if 2 or more such values are stated in the statement—the value of the benefits (before any taxes or other charges have been deducted) that would have been payable in respect of the interest if the member spouse had voluntarily ceased to be a member of the plan at the date at which the value is stated</w:t>
      </w:r>
      <w:r w:rsidR="00D7157D">
        <w:t>.</w:t>
      </w:r>
    </w:p>
    <w:p w14:paraId="48F00B09" w14:textId="77777777" w:rsidR="00D930D9" w:rsidRPr="00A058B6" w:rsidRDefault="00D930D9" w:rsidP="00D930D9">
      <w:pPr>
        <w:pStyle w:val="notetext"/>
      </w:pPr>
      <w:r w:rsidRPr="00A058B6">
        <w:t>Note:</w:t>
      </w:r>
      <w:r w:rsidRPr="00A058B6">
        <w:tab/>
        <w:t>A value could be described, for example, as the member’s account balance, the member’s share in the plan, or the member’s withdrawal benefit</w:t>
      </w:r>
      <w:r w:rsidR="00D7157D">
        <w:t>.</w:t>
      </w:r>
    </w:p>
    <w:p w14:paraId="3BE42C31" w14:textId="7FA985D9" w:rsidR="00D930D9" w:rsidRPr="00A058B6" w:rsidRDefault="00485CC2" w:rsidP="00D930D9">
      <w:pPr>
        <w:pStyle w:val="ActHead5"/>
      </w:pPr>
      <w:bookmarkStart w:id="84" w:name="_Toc188350571"/>
      <w:r w:rsidRPr="00423C34">
        <w:rPr>
          <w:rStyle w:val="CharSectno"/>
        </w:rPr>
        <w:t>55</w:t>
      </w:r>
      <w:r w:rsidR="00D930D9" w:rsidRPr="00A058B6">
        <w:t xml:space="preserve">  Gross value—partially vested accumulation interest</w:t>
      </w:r>
      <w:bookmarkEnd w:id="84"/>
    </w:p>
    <w:p w14:paraId="3B801810" w14:textId="708A0BD9" w:rsidR="00D930D9" w:rsidRPr="00A058B6" w:rsidRDefault="00D930D9" w:rsidP="00D930D9">
      <w:pPr>
        <w:pStyle w:val="subsection"/>
      </w:pPr>
      <w:r w:rsidRPr="00A058B6">
        <w:tab/>
        <w:t>(1)</w:t>
      </w:r>
      <w:r w:rsidRPr="00A058B6">
        <w:tab/>
        <w:t xml:space="preserve">This section applies for the superannuation interest if item 4 of the table in </w:t>
      </w:r>
      <w:r w:rsidR="00CB78B9">
        <w:t>section 5</w:t>
      </w:r>
      <w:r w:rsidR="00485CC2">
        <w:t>1</w:t>
      </w:r>
      <w:r w:rsidRPr="00A058B6">
        <w:t xml:space="preserve"> applies for the interest</w:t>
      </w:r>
      <w:r w:rsidR="00D7157D">
        <w:t>.</w:t>
      </w:r>
    </w:p>
    <w:p w14:paraId="3C27E37F" w14:textId="77777777" w:rsidR="00D930D9" w:rsidRPr="00A058B6" w:rsidRDefault="00D930D9" w:rsidP="00D930D9">
      <w:pPr>
        <w:pStyle w:val="SubsectionHead"/>
      </w:pPr>
      <w:r w:rsidRPr="00A058B6">
        <w:t xml:space="preserve">Minister has approved </w:t>
      </w:r>
      <w:r>
        <w:t>one or more</w:t>
      </w:r>
      <w:r w:rsidRPr="00A058B6">
        <w:t xml:space="preserve"> method</w:t>
      </w:r>
      <w:r>
        <w:t>s</w:t>
      </w:r>
      <w:r w:rsidRPr="00A058B6">
        <w:t xml:space="preserve"> or factors, and there is evidence that the trustee has used </w:t>
      </w:r>
      <w:r>
        <w:t>those</w:t>
      </w:r>
      <w:r w:rsidRPr="00A058B6">
        <w:t xml:space="preserve"> method</w:t>
      </w:r>
      <w:r>
        <w:t>s</w:t>
      </w:r>
      <w:r w:rsidRPr="00A058B6">
        <w:t xml:space="preserve"> or factors</w:t>
      </w:r>
    </w:p>
    <w:p w14:paraId="614F5620" w14:textId="77777777" w:rsidR="00D930D9" w:rsidRPr="00A058B6" w:rsidRDefault="00D930D9" w:rsidP="00D930D9">
      <w:pPr>
        <w:pStyle w:val="subsection"/>
      </w:pPr>
      <w:r w:rsidRPr="00A058B6">
        <w:tab/>
        <w:t>(2)</w:t>
      </w:r>
      <w:r w:rsidRPr="00A058B6">
        <w:tab/>
        <w:t>If:</w:t>
      </w:r>
    </w:p>
    <w:p w14:paraId="3BA80568" w14:textId="1A5E3C4D" w:rsidR="00D930D9" w:rsidRPr="00A058B6" w:rsidRDefault="00D930D9" w:rsidP="00D930D9">
      <w:pPr>
        <w:pStyle w:val="paragraph"/>
      </w:pPr>
      <w:r w:rsidRPr="00A058B6">
        <w:tab/>
        <w:t>(a)</w:t>
      </w:r>
      <w:r w:rsidRPr="00A058B6">
        <w:tab/>
        <w:t xml:space="preserve">under </w:t>
      </w:r>
      <w:r w:rsidR="00CB78B9">
        <w:t>section 6</w:t>
      </w:r>
      <w:r w:rsidR="00485CC2">
        <w:t>2</w:t>
      </w:r>
      <w:r w:rsidRPr="00A058B6">
        <w:t xml:space="preserve">, the Minister has approved </w:t>
      </w:r>
      <w:r>
        <w:t>one or more</w:t>
      </w:r>
      <w:r w:rsidRPr="00A058B6">
        <w:t xml:space="preserve"> method</w:t>
      </w:r>
      <w:r>
        <w:t>s</w:t>
      </w:r>
      <w:r w:rsidRPr="00A058B6">
        <w:t xml:space="preserve"> or factors to be used to determine the gross value of the superannuation interest; and</w:t>
      </w:r>
    </w:p>
    <w:p w14:paraId="37E44352" w14:textId="77777777" w:rsidR="00D930D9" w:rsidRPr="00A058B6" w:rsidRDefault="00D930D9" w:rsidP="00D930D9">
      <w:pPr>
        <w:pStyle w:val="paragraph"/>
      </w:pPr>
      <w:r w:rsidRPr="00A058B6">
        <w:tab/>
        <w:t>(b)</w:t>
      </w:r>
      <w:r w:rsidRPr="00A058B6">
        <w:tab/>
        <w:t>evidence before the court includes the contents of a statement that:</w:t>
      </w:r>
    </w:p>
    <w:p w14:paraId="4AF760C7" w14:textId="77777777" w:rsidR="00D930D9" w:rsidRPr="00A058B6" w:rsidRDefault="00D930D9" w:rsidP="00D930D9">
      <w:pPr>
        <w:pStyle w:val="paragraphsub"/>
      </w:pPr>
      <w:r w:rsidRPr="00A058B6">
        <w:tab/>
        <w:t>(i)</w:t>
      </w:r>
      <w:r w:rsidRPr="00A058B6">
        <w:tab/>
        <w:t>was issued by the trustee of the plan in which the interest is held; and</w:t>
      </w:r>
    </w:p>
    <w:p w14:paraId="0F4890C8" w14:textId="77777777" w:rsidR="00D930D9" w:rsidRPr="00A058B6" w:rsidRDefault="00D930D9" w:rsidP="00D930D9">
      <w:pPr>
        <w:pStyle w:val="paragraphsub"/>
      </w:pPr>
      <w:r w:rsidRPr="00A058B6">
        <w:tab/>
        <w:t>(ii)</w:t>
      </w:r>
      <w:r w:rsidRPr="00A058B6">
        <w:tab/>
        <w:t>sets out the gross value of the interest as determined using the approved method or factors;</w:t>
      </w:r>
    </w:p>
    <w:p w14:paraId="6DE6FE01"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as set out in the statement</w:t>
      </w:r>
      <w:r w:rsidR="00D7157D">
        <w:t>.</w:t>
      </w:r>
    </w:p>
    <w:p w14:paraId="51AB52CA" w14:textId="77777777" w:rsidR="00D930D9" w:rsidRPr="00A058B6" w:rsidRDefault="00D930D9" w:rsidP="00D930D9">
      <w:pPr>
        <w:pStyle w:val="SubsectionHead"/>
      </w:pPr>
      <w:r w:rsidRPr="00A058B6">
        <w:t>Minister has not approved a</w:t>
      </w:r>
      <w:r>
        <w:t>ny</w:t>
      </w:r>
      <w:r w:rsidRPr="00A058B6">
        <w:t xml:space="preserve"> method</w:t>
      </w:r>
      <w:r>
        <w:t>s</w:t>
      </w:r>
      <w:r w:rsidRPr="00A058B6">
        <w:t xml:space="preserve"> or factors, and there is evidence that the trustee has used the method </w:t>
      </w:r>
      <w:r>
        <w:t xml:space="preserve">set out </w:t>
      </w:r>
      <w:r w:rsidRPr="00A058B6">
        <w:t>in Schedule </w:t>
      </w:r>
      <w:r w:rsidR="00D741D6">
        <w:t>4</w:t>
      </w:r>
    </w:p>
    <w:p w14:paraId="3493F4E9" w14:textId="77777777" w:rsidR="00D930D9" w:rsidRPr="00A058B6" w:rsidRDefault="00D930D9" w:rsidP="00D930D9">
      <w:pPr>
        <w:pStyle w:val="subsection"/>
      </w:pPr>
      <w:r w:rsidRPr="00A058B6">
        <w:tab/>
        <w:t>(3)</w:t>
      </w:r>
      <w:r w:rsidRPr="00A058B6">
        <w:tab/>
        <w:t>If:</w:t>
      </w:r>
    </w:p>
    <w:p w14:paraId="2B276D35" w14:textId="71CCA06C" w:rsidR="00D930D9" w:rsidRPr="00A058B6" w:rsidRDefault="00D930D9" w:rsidP="00D930D9">
      <w:pPr>
        <w:pStyle w:val="paragraph"/>
      </w:pPr>
      <w:r w:rsidRPr="00A058B6">
        <w:tab/>
        <w:t>(a)</w:t>
      </w:r>
      <w:r w:rsidRPr="00A058B6">
        <w:tab/>
      </w:r>
      <w:r w:rsidR="00453C86">
        <w:t>paragraph (</w:t>
      </w:r>
      <w:r w:rsidRPr="00A058B6">
        <w:t>2)(a) does not apply; and</w:t>
      </w:r>
    </w:p>
    <w:p w14:paraId="22954693" w14:textId="77777777" w:rsidR="00D930D9" w:rsidRPr="00A058B6" w:rsidRDefault="00D930D9" w:rsidP="00D930D9">
      <w:pPr>
        <w:pStyle w:val="paragraph"/>
      </w:pPr>
      <w:r w:rsidRPr="00A058B6">
        <w:tab/>
        <w:t>(b)</w:t>
      </w:r>
      <w:r w:rsidRPr="00A058B6">
        <w:tab/>
        <w:t>evidence before the court includes the contents of a statement that:</w:t>
      </w:r>
    </w:p>
    <w:p w14:paraId="53C13158" w14:textId="77777777" w:rsidR="00D930D9" w:rsidRPr="00A058B6" w:rsidRDefault="00D930D9" w:rsidP="00D930D9">
      <w:pPr>
        <w:pStyle w:val="paragraphsub"/>
      </w:pPr>
      <w:r w:rsidRPr="00A058B6">
        <w:tab/>
        <w:t>(i)</w:t>
      </w:r>
      <w:r w:rsidRPr="00A058B6">
        <w:tab/>
        <w:t>was issued by the trustee of the plan in which the superannuation interest is held; and</w:t>
      </w:r>
    </w:p>
    <w:p w14:paraId="358EE2CC" w14:textId="77777777" w:rsidR="00D930D9" w:rsidRPr="00A058B6" w:rsidRDefault="00D930D9" w:rsidP="00D930D9">
      <w:pPr>
        <w:pStyle w:val="paragraphsub"/>
      </w:pPr>
      <w:r w:rsidRPr="00A058B6">
        <w:tab/>
        <w:t>(ii)</w:t>
      </w:r>
      <w:r w:rsidRPr="00A058B6">
        <w:tab/>
        <w:t>sets out the gross value of the interest as determined using the method set out in Schedule </w:t>
      </w:r>
      <w:r w:rsidR="00C77148">
        <w:t>4</w:t>
      </w:r>
      <w:r w:rsidRPr="00A058B6">
        <w:t>;</w:t>
      </w:r>
    </w:p>
    <w:p w14:paraId="459F802E"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as set out in the statement</w:t>
      </w:r>
      <w:r w:rsidR="00D7157D">
        <w:t>.</w:t>
      </w:r>
    </w:p>
    <w:p w14:paraId="130536E9" w14:textId="14789914" w:rsidR="00D930D9" w:rsidRPr="00A058B6" w:rsidRDefault="00D930D9" w:rsidP="00D930D9">
      <w:pPr>
        <w:pStyle w:val="SubsectionHead"/>
      </w:pPr>
      <w:r>
        <w:t>There is no evidence before the court of the contents of a statement referred to in</w:t>
      </w:r>
      <w:r w:rsidRPr="00A058B6">
        <w:t xml:space="preserve"> </w:t>
      </w:r>
      <w:r w:rsidR="00453C86">
        <w:t>paragraph (</w:t>
      </w:r>
      <w:r w:rsidRPr="00A058B6">
        <w:t>2)(b) or (3)(b)</w:t>
      </w:r>
    </w:p>
    <w:p w14:paraId="4A184616" w14:textId="05FF806F" w:rsidR="00D930D9" w:rsidRPr="00A058B6" w:rsidRDefault="00D930D9" w:rsidP="00D930D9">
      <w:pPr>
        <w:pStyle w:val="subsection"/>
      </w:pPr>
      <w:r w:rsidRPr="00A058B6">
        <w:tab/>
        <w:t>(4)</w:t>
      </w:r>
      <w:r w:rsidRPr="00A058B6">
        <w:tab/>
        <w:t xml:space="preserve">If neither </w:t>
      </w:r>
      <w:r w:rsidR="00453C86">
        <w:t>paragraph (</w:t>
      </w:r>
      <w:r w:rsidRPr="00A058B6">
        <w:t xml:space="preserve">2)(b) nor (3)(b) applies, the </w:t>
      </w:r>
      <w:r w:rsidRPr="00A058B6">
        <w:rPr>
          <w:b/>
          <w:i/>
        </w:rPr>
        <w:t>gross value of the superannuation interest at the relevant date</w:t>
      </w:r>
      <w:r w:rsidRPr="00A058B6">
        <w:t xml:space="preserve"> is to be determined using:</w:t>
      </w:r>
    </w:p>
    <w:p w14:paraId="204591BC" w14:textId="19E3C8AE" w:rsidR="00D930D9" w:rsidRPr="00A058B6" w:rsidRDefault="00D930D9" w:rsidP="00D930D9">
      <w:pPr>
        <w:pStyle w:val="paragraph"/>
      </w:pPr>
      <w:r w:rsidRPr="00A058B6">
        <w:tab/>
        <w:t>(a)</w:t>
      </w:r>
      <w:r w:rsidRPr="00A058B6">
        <w:tab/>
        <w:t xml:space="preserve">if, under </w:t>
      </w:r>
      <w:r w:rsidR="00CB78B9">
        <w:t>section 6</w:t>
      </w:r>
      <w:r w:rsidR="00485CC2">
        <w:t>2</w:t>
      </w:r>
      <w:r w:rsidRPr="00A058B6">
        <w:t xml:space="preserve">, the Minister has approved </w:t>
      </w:r>
      <w:r>
        <w:t>one or more</w:t>
      </w:r>
      <w:r w:rsidRPr="00A058B6">
        <w:t xml:space="preserve"> method</w:t>
      </w:r>
      <w:r>
        <w:t>s</w:t>
      </w:r>
      <w:r w:rsidRPr="00A058B6">
        <w:t xml:space="preserve"> or factors to be used to determine the gross value of the interest—the approved method or factors; or</w:t>
      </w:r>
    </w:p>
    <w:p w14:paraId="27F4A7AC" w14:textId="77777777" w:rsidR="00D930D9" w:rsidRPr="00A058B6" w:rsidRDefault="00D930D9" w:rsidP="00D930D9">
      <w:pPr>
        <w:pStyle w:val="paragraph"/>
      </w:pPr>
      <w:r w:rsidRPr="00A058B6">
        <w:tab/>
        <w:t>(b)</w:t>
      </w:r>
      <w:r w:rsidRPr="00A058B6">
        <w:tab/>
        <w:t>otherwise—the method set out in Schedule </w:t>
      </w:r>
      <w:r w:rsidR="00C77148">
        <w:t>4</w:t>
      </w:r>
      <w:r w:rsidR="00D7157D">
        <w:t>.</w:t>
      </w:r>
    </w:p>
    <w:p w14:paraId="6FD14B2C" w14:textId="5B777C78" w:rsidR="00D930D9" w:rsidRPr="00A058B6" w:rsidRDefault="00485CC2" w:rsidP="00D930D9">
      <w:pPr>
        <w:pStyle w:val="ActHead5"/>
      </w:pPr>
      <w:bookmarkStart w:id="85" w:name="_Toc188350572"/>
      <w:r w:rsidRPr="00423C34">
        <w:rPr>
          <w:rStyle w:val="CharSectno"/>
        </w:rPr>
        <w:lastRenderedPageBreak/>
        <w:t>56</w:t>
      </w:r>
      <w:r w:rsidR="00D930D9" w:rsidRPr="00A058B6">
        <w:t xml:space="preserve">  Gross value—superannuation interest consists of several components</w:t>
      </w:r>
      <w:bookmarkEnd w:id="85"/>
    </w:p>
    <w:p w14:paraId="4B3DC115" w14:textId="365BB017" w:rsidR="00D930D9" w:rsidRPr="00A058B6" w:rsidRDefault="00D930D9" w:rsidP="00D930D9">
      <w:pPr>
        <w:pStyle w:val="subsection"/>
      </w:pPr>
      <w:r w:rsidRPr="00A058B6">
        <w:tab/>
        <w:t>(1)</w:t>
      </w:r>
      <w:r w:rsidRPr="00A058B6">
        <w:tab/>
        <w:t xml:space="preserve">This section applies for the superannuation interest if item 5 of the table in </w:t>
      </w:r>
      <w:r w:rsidR="00CB78B9">
        <w:t>section 5</w:t>
      </w:r>
      <w:r w:rsidR="00485CC2">
        <w:t>1</w:t>
      </w:r>
      <w:r w:rsidRPr="00A058B6">
        <w:t xml:space="preserve"> applies for the interest</w:t>
      </w:r>
      <w:r w:rsidR="00D7157D">
        <w:t>.</w:t>
      </w:r>
    </w:p>
    <w:p w14:paraId="1B252443" w14:textId="77777777" w:rsidR="00D930D9" w:rsidRPr="00A058B6" w:rsidRDefault="00D930D9" w:rsidP="00D930D9">
      <w:pPr>
        <w:pStyle w:val="SubsectionHead"/>
      </w:pPr>
      <w:r w:rsidRPr="00A058B6">
        <w:t xml:space="preserve">Minister has approved </w:t>
      </w:r>
      <w:r>
        <w:t>one or more</w:t>
      </w:r>
      <w:r w:rsidRPr="00A058B6">
        <w:t xml:space="preserve"> method</w:t>
      </w:r>
      <w:r>
        <w:t>s</w:t>
      </w:r>
      <w:r w:rsidRPr="00A058B6">
        <w:t xml:space="preserve"> or factors, and there is evidence that the trustee has used th</w:t>
      </w:r>
      <w:r>
        <w:t>ose</w:t>
      </w:r>
      <w:r w:rsidRPr="00A058B6">
        <w:t xml:space="preserve"> method</w:t>
      </w:r>
      <w:r>
        <w:t>s</w:t>
      </w:r>
      <w:r w:rsidRPr="00A058B6">
        <w:t xml:space="preserve"> or factors</w:t>
      </w:r>
    </w:p>
    <w:p w14:paraId="7AECEBD0" w14:textId="77777777" w:rsidR="00D930D9" w:rsidRPr="00A058B6" w:rsidRDefault="00D930D9" w:rsidP="00D930D9">
      <w:pPr>
        <w:pStyle w:val="subsection"/>
      </w:pPr>
      <w:r w:rsidRPr="00A058B6">
        <w:tab/>
        <w:t>(2)</w:t>
      </w:r>
      <w:r w:rsidRPr="00A058B6">
        <w:tab/>
        <w:t>If:</w:t>
      </w:r>
    </w:p>
    <w:p w14:paraId="6E1F83B8" w14:textId="71CD7456" w:rsidR="00D930D9" w:rsidRPr="00A058B6" w:rsidRDefault="00D930D9" w:rsidP="00D930D9">
      <w:pPr>
        <w:pStyle w:val="paragraph"/>
      </w:pPr>
      <w:r w:rsidRPr="00A058B6">
        <w:tab/>
        <w:t>(a)</w:t>
      </w:r>
      <w:r w:rsidRPr="00A058B6">
        <w:tab/>
        <w:t xml:space="preserve">under </w:t>
      </w:r>
      <w:r w:rsidR="00CB78B9">
        <w:t>section 6</w:t>
      </w:r>
      <w:r w:rsidR="00485CC2">
        <w:t>2</w:t>
      </w:r>
      <w:r w:rsidRPr="00A058B6">
        <w:t xml:space="preserve">, the Minister has approved </w:t>
      </w:r>
      <w:r>
        <w:t>one or more</w:t>
      </w:r>
      <w:r w:rsidRPr="00A058B6">
        <w:t xml:space="preserve"> method</w:t>
      </w:r>
      <w:r>
        <w:t>s</w:t>
      </w:r>
      <w:r w:rsidRPr="00A058B6">
        <w:t xml:space="preserve"> or factors to be used to determine the gross value of the superannuation interest; and</w:t>
      </w:r>
    </w:p>
    <w:p w14:paraId="4A0D1F1B" w14:textId="77777777" w:rsidR="00D930D9" w:rsidRPr="00A058B6" w:rsidRDefault="00D930D9" w:rsidP="00D930D9">
      <w:pPr>
        <w:pStyle w:val="paragraph"/>
      </w:pPr>
      <w:r w:rsidRPr="00A058B6">
        <w:tab/>
        <w:t>(b)</w:t>
      </w:r>
      <w:r w:rsidRPr="00A058B6">
        <w:tab/>
        <w:t>evidence before the court includes the contents of a statement that:</w:t>
      </w:r>
    </w:p>
    <w:p w14:paraId="746F32FC" w14:textId="77777777" w:rsidR="00D930D9" w:rsidRPr="00A058B6" w:rsidRDefault="00D930D9" w:rsidP="00D930D9">
      <w:pPr>
        <w:pStyle w:val="paragraphsub"/>
      </w:pPr>
      <w:r w:rsidRPr="00A058B6">
        <w:tab/>
        <w:t>(i)</w:t>
      </w:r>
      <w:r w:rsidRPr="00A058B6">
        <w:tab/>
        <w:t>was issued by the trustee of the plan in which the interest is held; and</w:t>
      </w:r>
    </w:p>
    <w:p w14:paraId="6903E821" w14:textId="77777777" w:rsidR="00D930D9" w:rsidRPr="00A058B6" w:rsidRDefault="00D930D9" w:rsidP="00D930D9">
      <w:pPr>
        <w:pStyle w:val="paragraphsub"/>
      </w:pPr>
      <w:r w:rsidRPr="00A058B6">
        <w:tab/>
        <w:t>(ii)</w:t>
      </w:r>
      <w:r w:rsidRPr="00A058B6">
        <w:tab/>
        <w:t>sets out the gross value of the interest as determined using the approved method or factors;</w:t>
      </w:r>
    </w:p>
    <w:p w14:paraId="55ED1A1F" w14:textId="77777777" w:rsidR="00D930D9" w:rsidRPr="00A058B6" w:rsidRDefault="00D930D9" w:rsidP="00D930D9">
      <w:pPr>
        <w:pStyle w:val="subsection2"/>
      </w:pPr>
      <w:r w:rsidRPr="00A058B6">
        <w:t xml:space="preserve">the </w:t>
      </w:r>
      <w:r w:rsidRPr="00A058B6">
        <w:rPr>
          <w:b/>
          <w:i/>
        </w:rPr>
        <w:t>gross value of the superannuation interest at the relevant date</w:t>
      </w:r>
      <w:r w:rsidRPr="00A058B6">
        <w:t xml:space="preserve"> is as set out in the statement</w:t>
      </w:r>
      <w:r w:rsidR="00D7157D">
        <w:t>.</w:t>
      </w:r>
    </w:p>
    <w:p w14:paraId="040FF2D4" w14:textId="77777777" w:rsidR="00D930D9" w:rsidRPr="00A058B6" w:rsidRDefault="00D930D9" w:rsidP="00D930D9">
      <w:pPr>
        <w:pStyle w:val="SubsectionHead"/>
      </w:pPr>
      <w:r w:rsidRPr="00A058B6">
        <w:t>Otherwise</w:t>
      </w:r>
    </w:p>
    <w:p w14:paraId="72E36124" w14:textId="2602F15B" w:rsidR="00D930D9" w:rsidRPr="00A058B6" w:rsidRDefault="00D930D9" w:rsidP="00D930D9">
      <w:pPr>
        <w:pStyle w:val="subsection"/>
      </w:pPr>
      <w:r w:rsidRPr="00A058B6">
        <w:tab/>
        <w:t>(3)</w:t>
      </w:r>
      <w:r w:rsidRPr="00A058B6">
        <w:tab/>
        <w:t xml:space="preserve">If </w:t>
      </w:r>
      <w:r w:rsidR="00453C86">
        <w:t>paragraph (</w:t>
      </w:r>
      <w:r w:rsidRPr="00A058B6">
        <w:t xml:space="preserve">2)(a) does not apply, the </w:t>
      </w:r>
      <w:r w:rsidRPr="00A058B6">
        <w:rPr>
          <w:b/>
          <w:i/>
        </w:rPr>
        <w:t>gross value of the superannuation interest at the relevant date</w:t>
      </w:r>
      <w:r w:rsidRPr="00A058B6">
        <w:t xml:space="preserve"> is the sum of the gross value of each component of the superannuation interest:</w:t>
      </w:r>
    </w:p>
    <w:p w14:paraId="18128FC7" w14:textId="77777777" w:rsidR="00D930D9" w:rsidRPr="00A058B6" w:rsidRDefault="00D930D9" w:rsidP="00D930D9">
      <w:pPr>
        <w:pStyle w:val="paragraph"/>
      </w:pPr>
      <w:r w:rsidRPr="00A058B6">
        <w:tab/>
        <w:t>(a)</w:t>
      </w:r>
      <w:r w:rsidRPr="00A058B6">
        <w:tab/>
        <w:t>at the relevant date; and</w:t>
      </w:r>
    </w:p>
    <w:p w14:paraId="1B2275C6" w14:textId="77777777" w:rsidR="00D930D9" w:rsidRPr="00A058B6" w:rsidRDefault="00D930D9" w:rsidP="00D930D9">
      <w:pPr>
        <w:pStyle w:val="paragraph"/>
      </w:pPr>
      <w:r w:rsidRPr="00A058B6">
        <w:tab/>
        <w:t>(b)</w:t>
      </w:r>
      <w:r w:rsidRPr="00A058B6">
        <w:tab/>
        <w:t>as determined under the provision of this Division that would apply if the component were the whole of the superannuation interest</w:t>
      </w:r>
      <w:r w:rsidR="00D7157D">
        <w:t>.</w:t>
      </w:r>
    </w:p>
    <w:p w14:paraId="140CF46A" w14:textId="16303200" w:rsidR="00D930D9" w:rsidRPr="00A058B6" w:rsidRDefault="00485CC2" w:rsidP="00D930D9">
      <w:pPr>
        <w:pStyle w:val="ActHead5"/>
      </w:pPr>
      <w:bookmarkStart w:id="86" w:name="_Toc188350573"/>
      <w:r w:rsidRPr="00423C34">
        <w:rPr>
          <w:rStyle w:val="CharSectno"/>
        </w:rPr>
        <w:t>57</w:t>
      </w:r>
      <w:r w:rsidR="00D930D9" w:rsidRPr="00A058B6">
        <w:t xml:space="preserve">  Gross value—</w:t>
      </w:r>
      <w:r w:rsidR="000A1EB6">
        <w:t xml:space="preserve">the benefit in respect of the superannuation </w:t>
      </w:r>
      <w:r w:rsidR="00D930D9" w:rsidRPr="00A058B6">
        <w:t>interest is the greater of a defined benefit interest and an accumulation interest (other than a partially vested accumulation interest)</w:t>
      </w:r>
      <w:bookmarkEnd w:id="86"/>
    </w:p>
    <w:p w14:paraId="500944EC" w14:textId="067AC6C7" w:rsidR="00D930D9" w:rsidRPr="00A058B6" w:rsidRDefault="00D930D9" w:rsidP="00D930D9">
      <w:pPr>
        <w:pStyle w:val="subsection"/>
      </w:pPr>
      <w:r w:rsidRPr="00A058B6">
        <w:tab/>
        <w:t>(1)</w:t>
      </w:r>
      <w:r w:rsidRPr="00A058B6">
        <w:tab/>
        <w:t xml:space="preserve">This section applies for the superannuation interest if item 6 of the table in </w:t>
      </w:r>
      <w:r w:rsidR="00CB78B9">
        <w:t>section 5</w:t>
      </w:r>
      <w:r w:rsidR="00485CC2">
        <w:t>1</w:t>
      </w:r>
      <w:r w:rsidRPr="00A058B6">
        <w:t xml:space="preserve"> applies for the interest</w:t>
      </w:r>
      <w:r w:rsidR="00D7157D">
        <w:t>.</w:t>
      </w:r>
    </w:p>
    <w:p w14:paraId="0EA5F757" w14:textId="77777777" w:rsidR="00D930D9" w:rsidRPr="00A058B6" w:rsidRDefault="00D930D9" w:rsidP="00D930D9">
      <w:pPr>
        <w:pStyle w:val="subsection"/>
      </w:pPr>
      <w:r w:rsidRPr="00A058B6">
        <w:tab/>
        <w:t>(2)</w:t>
      </w:r>
      <w:r w:rsidRPr="00A058B6">
        <w:tab/>
        <w:t xml:space="preserve">The </w:t>
      </w:r>
      <w:r w:rsidRPr="00A058B6">
        <w:rPr>
          <w:b/>
          <w:i/>
        </w:rPr>
        <w:t>gross value of the superannuation interest at the relevant date</w:t>
      </w:r>
      <w:r w:rsidRPr="00A058B6">
        <w:t xml:space="preserve"> is the greater of:</w:t>
      </w:r>
    </w:p>
    <w:p w14:paraId="100E83C6" w14:textId="3BF43500" w:rsidR="00D930D9" w:rsidRPr="00A058B6" w:rsidRDefault="00D930D9" w:rsidP="00D930D9">
      <w:pPr>
        <w:pStyle w:val="paragraph"/>
      </w:pPr>
      <w:r w:rsidRPr="00A058B6">
        <w:tab/>
        <w:t>(a)</w:t>
      </w:r>
      <w:r w:rsidRPr="00A058B6">
        <w:tab/>
        <w:t xml:space="preserve">the gross value of the defined benefit interest at the relevant date, as determined under </w:t>
      </w:r>
      <w:r w:rsidR="00CB78B9">
        <w:t>section 5</w:t>
      </w:r>
      <w:r w:rsidR="00485CC2">
        <w:t>2</w:t>
      </w:r>
      <w:r w:rsidRPr="00A058B6">
        <w:t>; and</w:t>
      </w:r>
    </w:p>
    <w:p w14:paraId="17E1FB21" w14:textId="3F5142C3" w:rsidR="00D930D9" w:rsidRPr="00A058B6" w:rsidRDefault="00D930D9" w:rsidP="00D930D9">
      <w:pPr>
        <w:pStyle w:val="paragraph"/>
      </w:pPr>
      <w:r w:rsidRPr="00A058B6">
        <w:tab/>
        <w:t>(b)</w:t>
      </w:r>
      <w:r w:rsidRPr="00A058B6">
        <w:tab/>
        <w:t xml:space="preserve">the gross value of the accumulation interest at the relevant date, as determined under </w:t>
      </w:r>
      <w:r w:rsidR="00CB78B9">
        <w:t>section 5</w:t>
      </w:r>
      <w:r w:rsidR="00485CC2">
        <w:t>3</w:t>
      </w:r>
      <w:r w:rsidRPr="00A058B6">
        <w:t xml:space="preserve"> or </w:t>
      </w:r>
      <w:r w:rsidR="00485CC2">
        <w:t>54</w:t>
      </w:r>
      <w:r w:rsidR="00D7157D">
        <w:t>.</w:t>
      </w:r>
    </w:p>
    <w:p w14:paraId="536BDD4E" w14:textId="4999197E" w:rsidR="00D930D9" w:rsidRPr="00A058B6" w:rsidRDefault="00485CC2" w:rsidP="00D930D9">
      <w:pPr>
        <w:pStyle w:val="ActHead5"/>
      </w:pPr>
      <w:bookmarkStart w:id="87" w:name="_Toc188350574"/>
      <w:r w:rsidRPr="00423C34">
        <w:rPr>
          <w:rStyle w:val="CharSectno"/>
        </w:rPr>
        <w:t>58</w:t>
      </w:r>
      <w:r w:rsidR="00D930D9" w:rsidRPr="00A058B6">
        <w:t xml:space="preserve">  Gross value—</w:t>
      </w:r>
      <w:r w:rsidR="000A1EB6">
        <w:t xml:space="preserve">the benefit in respect of the superannuation </w:t>
      </w:r>
      <w:r w:rsidR="000A1EB6" w:rsidRPr="00A058B6">
        <w:t xml:space="preserve">interest is </w:t>
      </w:r>
      <w:r w:rsidR="00D930D9" w:rsidRPr="00A058B6">
        <w:t>the lesser of a defined benefit interest and an accumulation interest (other than a partially vested accumulation interest)</w:t>
      </w:r>
      <w:bookmarkEnd w:id="87"/>
    </w:p>
    <w:p w14:paraId="6C15DBA4" w14:textId="296BCEDA" w:rsidR="00D930D9" w:rsidRPr="00A058B6" w:rsidRDefault="00D930D9" w:rsidP="00D930D9">
      <w:pPr>
        <w:pStyle w:val="subsection"/>
      </w:pPr>
      <w:r w:rsidRPr="00A058B6">
        <w:tab/>
        <w:t>(1)</w:t>
      </w:r>
      <w:r w:rsidRPr="00A058B6">
        <w:tab/>
        <w:t xml:space="preserve">This section applies for the superannuation interest if item 7 of the table in </w:t>
      </w:r>
      <w:r w:rsidR="00CB78B9">
        <w:t>section 5</w:t>
      </w:r>
      <w:r w:rsidR="00485CC2">
        <w:t>1</w:t>
      </w:r>
      <w:r w:rsidRPr="00A058B6">
        <w:t xml:space="preserve"> applies for the interest</w:t>
      </w:r>
      <w:r w:rsidR="00D7157D">
        <w:t>.</w:t>
      </w:r>
    </w:p>
    <w:p w14:paraId="1D980868" w14:textId="77777777" w:rsidR="00D930D9" w:rsidRPr="00A058B6" w:rsidRDefault="00D930D9" w:rsidP="00D930D9">
      <w:pPr>
        <w:pStyle w:val="subsection"/>
      </w:pPr>
      <w:r w:rsidRPr="00A058B6">
        <w:tab/>
        <w:t>(2)</w:t>
      </w:r>
      <w:r w:rsidRPr="00A058B6">
        <w:tab/>
        <w:t xml:space="preserve">The </w:t>
      </w:r>
      <w:r w:rsidRPr="00A058B6">
        <w:rPr>
          <w:b/>
          <w:i/>
        </w:rPr>
        <w:t>gross value of the superannuation interest at the relevant date</w:t>
      </w:r>
      <w:r w:rsidRPr="00A058B6">
        <w:t xml:space="preserve"> is the lesser of:</w:t>
      </w:r>
    </w:p>
    <w:p w14:paraId="6C8751EC" w14:textId="08B4951A" w:rsidR="00D930D9" w:rsidRPr="00A058B6" w:rsidRDefault="00D930D9" w:rsidP="00D930D9">
      <w:pPr>
        <w:pStyle w:val="paragraph"/>
      </w:pPr>
      <w:r w:rsidRPr="00A058B6">
        <w:lastRenderedPageBreak/>
        <w:tab/>
        <w:t>(a)</w:t>
      </w:r>
      <w:r w:rsidRPr="00A058B6">
        <w:tab/>
        <w:t xml:space="preserve">the gross value of the defined benefit interest at the relevant date, as determined under </w:t>
      </w:r>
      <w:r w:rsidR="00CB78B9">
        <w:t>section 5</w:t>
      </w:r>
      <w:r w:rsidR="00485CC2">
        <w:t>2</w:t>
      </w:r>
      <w:r w:rsidRPr="00A058B6">
        <w:t>; and</w:t>
      </w:r>
    </w:p>
    <w:p w14:paraId="1E5ECA44" w14:textId="3CB64032" w:rsidR="00D930D9" w:rsidRPr="00A058B6" w:rsidRDefault="00D930D9" w:rsidP="00D930D9">
      <w:pPr>
        <w:pStyle w:val="paragraph"/>
      </w:pPr>
      <w:r w:rsidRPr="00A058B6">
        <w:tab/>
        <w:t>(b)</w:t>
      </w:r>
      <w:r w:rsidRPr="00A058B6">
        <w:tab/>
        <w:t xml:space="preserve">the gross value of the accumulation interest at the relevant date, as determined under </w:t>
      </w:r>
      <w:r w:rsidR="00CB78B9">
        <w:t>section 5</w:t>
      </w:r>
      <w:r w:rsidR="00485CC2">
        <w:t>3</w:t>
      </w:r>
      <w:r w:rsidRPr="00A058B6">
        <w:t xml:space="preserve"> or </w:t>
      </w:r>
      <w:r w:rsidR="00485CC2">
        <w:t>54</w:t>
      </w:r>
      <w:r w:rsidR="00D7157D">
        <w:t>.</w:t>
      </w:r>
    </w:p>
    <w:p w14:paraId="35824C2D" w14:textId="0AC88E84" w:rsidR="00D930D9" w:rsidRPr="00A058B6" w:rsidRDefault="00485CC2" w:rsidP="00D930D9">
      <w:pPr>
        <w:pStyle w:val="ActHead5"/>
      </w:pPr>
      <w:bookmarkStart w:id="88" w:name="_Toc188350575"/>
      <w:r w:rsidRPr="00423C34">
        <w:rPr>
          <w:rStyle w:val="CharSectno"/>
        </w:rPr>
        <w:t>59</w:t>
      </w:r>
      <w:r w:rsidR="00D930D9" w:rsidRPr="00A058B6">
        <w:t xml:space="preserve">  Gross value—</w:t>
      </w:r>
      <w:r w:rsidR="000A1EB6">
        <w:t xml:space="preserve">the superannuation </w:t>
      </w:r>
      <w:r w:rsidR="00D930D9" w:rsidRPr="00A058B6">
        <w:t xml:space="preserve">interest is a defined benefit interest, the benefit </w:t>
      </w:r>
      <w:r w:rsidR="000A1EB6">
        <w:t xml:space="preserve">in respect </w:t>
      </w:r>
      <w:r w:rsidR="00D930D9" w:rsidRPr="00A058B6">
        <w:t>of which is a defined benefit amount less another amount</w:t>
      </w:r>
      <w:bookmarkEnd w:id="88"/>
    </w:p>
    <w:p w14:paraId="62B11A09" w14:textId="6E54F5FB" w:rsidR="00D930D9" w:rsidRPr="00A058B6" w:rsidRDefault="00D930D9" w:rsidP="00D930D9">
      <w:pPr>
        <w:pStyle w:val="subsection"/>
      </w:pPr>
      <w:r w:rsidRPr="00A058B6">
        <w:tab/>
        <w:t>(1)</w:t>
      </w:r>
      <w:r w:rsidRPr="00A058B6">
        <w:tab/>
        <w:t xml:space="preserve">This section applies for the superannuation interest if item 2 of the table in </w:t>
      </w:r>
      <w:r w:rsidR="00CB78B9">
        <w:t>section 5</w:t>
      </w:r>
      <w:r w:rsidR="00485CC2">
        <w:t>1</w:t>
      </w:r>
      <w:r w:rsidRPr="00A058B6">
        <w:t xml:space="preserve"> applies for the interest</w:t>
      </w:r>
      <w:r w:rsidR="00D7157D">
        <w:t>.</w:t>
      </w:r>
    </w:p>
    <w:p w14:paraId="3F40B43F" w14:textId="77777777" w:rsidR="00D930D9" w:rsidRPr="00A058B6" w:rsidRDefault="00D930D9" w:rsidP="00D930D9">
      <w:pPr>
        <w:pStyle w:val="subsection"/>
      </w:pPr>
      <w:r w:rsidRPr="00A058B6">
        <w:tab/>
        <w:t>(2)</w:t>
      </w:r>
      <w:r w:rsidRPr="00A058B6">
        <w:tab/>
        <w:t xml:space="preserve">The </w:t>
      </w:r>
      <w:r w:rsidRPr="00A058B6">
        <w:rPr>
          <w:b/>
          <w:i/>
        </w:rPr>
        <w:t>gross value of the superannuation interest at the relevant date</w:t>
      </w:r>
      <w:r w:rsidRPr="00A058B6">
        <w:t xml:space="preserve"> is the difference between:</w:t>
      </w:r>
    </w:p>
    <w:p w14:paraId="304F9AB9" w14:textId="23FA925F" w:rsidR="00D930D9" w:rsidRPr="00A058B6" w:rsidRDefault="00D930D9" w:rsidP="00D930D9">
      <w:pPr>
        <w:pStyle w:val="paragraph"/>
      </w:pPr>
      <w:r w:rsidRPr="00A058B6">
        <w:tab/>
        <w:t>(a)</w:t>
      </w:r>
      <w:r w:rsidRPr="00A058B6">
        <w:tab/>
        <w:t xml:space="preserve">the gross value of the defined benefit interest at the relevant date, as determined under </w:t>
      </w:r>
      <w:r w:rsidR="00CB78B9">
        <w:t>section 5</w:t>
      </w:r>
      <w:r w:rsidR="00485CC2">
        <w:t>2</w:t>
      </w:r>
      <w:r w:rsidRPr="00A058B6">
        <w:t>; and</w:t>
      </w:r>
    </w:p>
    <w:p w14:paraId="78EF69C5" w14:textId="1F32CE21" w:rsidR="00D930D9" w:rsidRPr="00A058B6" w:rsidRDefault="00D930D9" w:rsidP="00D930D9">
      <w:pPr>
        <w:pStyle w:val="paragraph"/>
      </w:pPr>
      <w:r w:rsidRPr="00A058B6">
        <w:tab/>
        <w:t>(b)</w:t>
      </w:r>
      <w:r w:rsidRPr="00A058B6">
        <w:tab/>
        <w:t xml:space="preserve">the value at the relevant date of the other amount (see item 2 of the table in </w:t>
      </w:r>
      <w:r w:rsidR="00CB78B9">
        <w:t>section 5</w:t>
      </w:r>
      <w:r w:rsidR="00485CC2">
        <w:t>1</w:t>
      </w:r>
      <w:r w:rsidRPr="00A058B6">
        <w:t>)</w:t>
      </w:r>
      <w:r w:rsidR="00D7157D">
        <w:t>.</w:t>
      </w:r>
    </w:p>
    <w:p w14:paraId="13B99E1C" w14:textId="308786DF" w:rsidR="00D930D9" w:rsidRPr="00A058B6" w:rsidRDefault="00D930D9" w:rsidP="00D930D9">
      <w:pPr>
        <w:pStyle w:val="subsection"/>
      </w:pPr>
      <w:r w:rsidRPr="00A058B6">
        <w:tab/>
        <w:t>(3)</w:t>
      </w:r>
      <w:r w:rsidRPr="00A058B6">
        <w:tab/>
        <w:t xml:space="preserve">For the purposes of </w:t>
      </w:r>
      <w:r w:rsidR="00453C86">
        <w:t>paragraph (</w:t>
      </w:r>
      <w:r w:rsidRPr="00A058B6">
        <w:t>2)(b), if:</w:t>
      </w:r>
    </w:p>
    <w:p w14:paraId="52F34F3E" w14:textId="77777777" w:rsidR="00D930D9" w:rsidRPr="00A058B6" w:rsidRDefault="00D930D9" w:rsidP="00D930D9">
      <w:pPr>
        <w:pStyle w:val="paragraph"/>
      </w:pPr>
      <w:r w:rsidRPr="00A058B6">
        <w:tab/>
        <w:t>(a)</w:t>
      </w:r>
      <w:r w:rsidRPr="00A058B6">
        <w:tab/>
        <w:t>the other amount is in respect of a superannuation interest; and</w:t>
      </w:r>
    </w:p>
    <w:p w14:paraId="5B33EAC4" w14:textId="77777777" w:rsidR="00D930D9" w:rsidRPr="00A058B6" w:rsidRDefault="00D930D9" w:rsidP="00D930D9">
      <w:pPr>
        <w:pStyle w:val="paragraph"/>
      </w:pPr>
      <w:r w:rsidRPr="00A058B6">
        <w:tab/>
        <w:t>(b)</w:t>
      </w:r>
      <w:r w:rsidRPr="00A058B6">
        <w:tab/>
        <w:t>this Division provides a method for determining an amount in relation to that kind of interest;</w:t>
      </w:r>
    </w:p>
    <w:p w14:paraId="71C25AF5" w14:textId="77777777" w:rsidR="00D930D9" w:rsidRPr="00A058B6" w:rsidRDefault="00D930D9" w:rsidP="00D930D9">
      <w:pPr>
        <w:pStyle w:val="subsection2"/>
      </w:pPr>
      <w:r w:rsidRPr="00A058B6">
        <w:t>the value of the other amount at the relevant date is to be determined in accordance with that method</w:t>
      </w:r>
      <w:r w:rsidR="00D7157D">
        <w:t>.</w:t>
      </w:r>
    </w:p>
    <w:p w14:paraId="48286F93" w14:textId="30990CB1" w:rsidR="00D930D9" w:rsidRPr="00A058B6" w:rsidRDefault="00485CC2" w:rsidP="00D930D9">
      <w:pPr>
        <w:pStyle w:val="ActHead5"/>
      </w:pPr>
      <w:bookmarkStart w:id="89" w:name="_Toc188350576"/>
      <w:r w:rsidRPr="00423C34">
        <w:rPr>
          <w:rStyle w:val="CharSectno"/>
        </w:rPr>
        <w:t>60</w:t>
      </w:r>
      <w:r w:rsidR="00D930D9" w:rsidRPr="00A058B6">
        <w:t xml:space="preserve">  Gross value—innovative superannuation interest</w:t>
      </w:r>
      <w:bookmarkEnd w:id="89"/>
    </w:p>
    <w:p w14:paraId="524D3CEF" w14:textId="29ADE7AF" w:rsidR="00D930D9" w:rsidRDefault="00D930D9" w:rsidP="00D930D9">
      <w:pPr>
        <w:pStyle w:val="subsection"/>
      </w:pPr>
      <w:r w:rsidRPr="00A058B6">
        <w:tab/>
        <w:t>(1)</w:t>
      </w:r>
      <w:r w:rsidRPr="00A058B6">
        <w:tab/>
        <w:t xml:space="preserve">This section applies for the superannuation interest if </w:t>
      </w:r>
      <w:r w:rsidR="001A1830">
        <w:t xml:space="preserve">the whole of the interest </w:t>
      </w:r>
      <w:r w:rsidR="005475DA">
        <w:t xml:space="preserve">is an </w:t>
      </w:r>
      <w:r w:rsidR="005475DA" w:rsidRPr="00A058B6">
        <w:t xml:space="preserve">innovative superannuation interest </w:t>
      </w:r>
      <w:r w:rsidR="005475DA">
        <w:t>that is not a percentage</w:t>
      </w:r>
      <w:r w:rsidR="001952B3">
        <w:noBreakHyphen/>
      </w:r>
      <w:r w:rsidR="005475DA">
        <w:t>only interest</w:t>
      </w:r>
      <w:r w:rsidR="00D7157D">
        <w:t>.</w:t>
      </w:r>
    </w:p>
    <w:p w14:paraId="78277131" w14:textId="36B54E0A" w:rsidR="00777C9B" w:rsidRPr="00777C9B" w:rsidRDefault="00777C9B" w:rsidP="00777C9B">
      <w:pPr>
        <w:pStyle w:val="notetext"/>
      </w:pPr>
      <w:r>
        <w:t>Note:</w:t>
      </w:r>
      <w:r>
        <w:tab/>
      </w:r>
      <w:r w:rsidR="00F7274E">
        <w:t xml:space="preserve">Innovative </w:t>
      </w:r>
      <w:r w:rsidR="00D35743">
        <w:t>superannuation interests that are annuities are percentage</w:t>
      </w:r>
      <w:r w:rsidR="001952B3">
        <w:noBreakHyphen/>
      </w:r>
      <w:r w:rsidR="00D35743">
        <w:t xml:space="preserve">only interests, and so are dealt with by </w:t>
      </w:r>
      <w:r w:rsidR="00CB78B9">
        <w:t>section 6</w:t>
      </w:r>
      <w:r w:rsidR="00485CC2">
        <w:t>1</w:t>
      </w:r>
      <w:r w:rsidR="00BF6136">
        <w:t>.</w:t>
      </w:r>
    </w:p>
    <w:p w14:paraId="1A3F5762" w14:textId="77777777" w:rsidR="00AB66DA" w:rsidRPr="00A058B6" w:rsidRDefault="00AB66DA" w:rsidP="00AB66DA">
      <w:pPr>
        <w:pStyle w:val="SubsectionHead"/>
      </w:pPr>
      <w:r w:rsidRPr="00A058B6">
        <w:t xml:space="preserve">Minister has approved </w:t>
      </w:r>
      <w:r>
        <w:t xml:space="preserve">one or more </w:t>
      </w:r>
      <w:r w:rsidRPr="00A058B6">
        <w:t>method</w:t>
      </w:r>
      <w:r>
        <w:t>s</w:t>
      </w:r>
      <w:r w:rsidRPr="00A058B6">
        <w:t xml:space="preserve"> or factors, and there is evidence that the trustee has used th</w:t>
      </w:r>
      <w:r>
        <w:t>ose</w:t>
      </w:r>
      <w:r w:rsidRPr="00A058B6">
        <w:t xml:space="preserve"> method</w:t>
      </w:r>
      <w:r>
        <w:t>s</w:t>
      </w:r>
      <w:r w:rsidRPr="00A058B6">
        <w:t xml:space="preserve"> or factors</w:t>
      </w:r>
    </w:p>
    <w:p w14:paraId="0B0811DD" w14:textId="77777777" w:rsidR="00AB66DA" w:rsidRPr="00A058B6" w:rsidRDefault="00AB66DA" w:rsidP="00AB66DA">
      <w:pPr>
        <w:pStyle w:val="subsection"/>
      </w:pPr>
      <w:r w:rsidRPr="00A058B6">
        <w:tab/>
        <w:t>(2)</w:t>
      </w:r>
      <w:r w:rsidRPr="00A058B6">
        <w:tab/>
        <w:t>If:</w:t>
      </w:r>
    </w:p>
    <w:p w14:paraId="4FA1F4CB" w14:textId="379E52A8" w:rsidR="00AB66DA" w:rsidRPr="00A058B6" w:rsidRDefault="00AB66DA" w:rsidP="00AB66DA">
      <w:pPr>
        <w:pStyle w:val="paragraph"/>
      </w:pPr>
      <w:r w:rsidRPr="00A058B6">
        <w:tab/>
        <w:t>(a)</w:t>
      </w:r>
      <w:r w:rsidRPr="00A058B6">
        <w:tab/>
        <w:t xml:space="preserve">under </w:t>
      </w:r>
      <w:r w:rsidR="00CB78B9">
        <w:t>section 6</w:t>
      </w:r>
      <w:r w:rsidR="00485CC2">
        <w:t>2</w:t>
      </w:r>
      <w:r w:rsidRPr="00A058B6">
        <w:t xml:space="preserve">, the Minister has approved </w:t>
      </w:r>
      <w:r>
        <w:t>one or more</w:t>
      </w:r>
      <w:r w:rsidRPr="00A058B6">
        <w:t xml:space="preserve"> method</w:t>
      </w:r>
      <w:r>
        <w:t>s</w:t>
      </w:r>
      <w:r w:rsidRPr="00A058B6">
        <w:t xml:space="preserve"> or factors to be used to determine the gross value of the superannuation interest; and</w:t>
      </w:r>
    </w:p>
    <w:p w14:paraId="133901B7" w14:textId="77777777" w:rsidR="00AB66DA" w:rsidRPr="00A058B6" w:rsidRDefault="00AB66DA" w:rsidP="00AB66DA">
      <w:pPr>
        <w:pStyle w:val="paragraph"/>
      </w:pPr>
      <w:r w:rsidRPr="00A058B6">
        <w:tab/>
        <w:t>(b)</w:t>
      </w:r>
      <w:r w:rsidRPr="00A058B6">
        <w:tab/>
        <w:t>evidence before the court includes the contents of a statement that:</w:t>
      </w:r>
    </w:p>
    <w:p w14:paraId="0D038786" w14:textId="77777777" w:rsidR="00AB66DA" w:rsidRPr="00A058B6" w:rsidRDefault="00AB66DA" w:rsidP="00AB66DA">
      <w:pPr>
        <w:pStyle w:val="paragraphsub"/>
      </w:pPr>
      <w:r w:rsidRPr="00A058B6">
        <w:tab/>
        <w:t>(i)</w:t>
      </w:r>
      <w:r w:rsidRPr="00A058B6">
        <w:tab/>
        <w:t>was issued by the trustee of the plan in which the interest is held; and</w:t>
      </w:r>
    </w:p>
    <w:p w14:paraId="5B72E270" w14:textId="77777777" w:rsidR="00AB66DA" w:rsidRPr="00A058B6" w:rsidRDefault="00AB66DA" w:rsidP="00AB66DA">
      <w:pPr>
        <w:pStyle w:val="paragraphsub"/>
      </w:pPr>
      <w:r w:rsidRPr="00A058B6">
        <w:tab/>
        <w:t>(ii)</w:t>
      </w:r>
      <w:r w:rsidRPr="00A058B6">
        <w:tab/>
        <w:t>sets out the gross value of the interest as determined using the approved method</w:t>
      </w:r>
      <w:r>
        <w:t>s</w:t>
      </w:r>
      <w:r w:rsidRPr="00A058B6">
        <w:t xml:space="preserve"> or factors;</w:t>
      </w:r>
    </w:p>
    <w:p w14:paraId="6165DCD2" w14:textId="77777777" w:rsidR="00AB66DA" w:rsidRPr="00A058B6" w:rsidRDefault="00AB66DA" w:rsidP="00AB66DA">
      <w:pPr>
        <w:pStyle w:val="subsection2"/>
      </w:pPr>
      <w:r w:rsidRPr="00A058B6">
        <w:t xml:space="preserve">the </w:t>
      </w:r>
      <w:r w:rsidRPr="00A058B6">
        <w:rPr>
          <w:b/>
          <w:i/>
        </w:rPr>
        <w:t>gross value of the superannuation interest at the relevant date</w:t>
      </w:r>
      <w:r w:rsidRPr="00A058B6">
        <w:t xml:space="preserve"> is as set out in the statement</w:t>
      </w:r>
      <w:r>
        <w:t>.</w:t>
      </w:r>
    </w:p>
    <w:p w14:paraId="1BD540FA" w14:textId="77777777" w:rsidR="00AB66DA" w:rsidRPr="00A058B6" w:rsidRDefault="00AB66DA" w:rsidP="00AB66DA">
      <w:pPr>
        <w:pStyle w:val="SubsectionHead"/>
      </w:pPr>
      <w:r w:rsidRPr="00A058B6">
        <w:t>Minister has not approved a</w:t>
      </w:r>
      <w:r>
        <w:t>ny</w:t>
      </w:r>
      <w:r w:rsidRPr="00A058B6">
        <w:t xml:space="preserve"> method</w:t>
      </w:r>
      <w:r>
        <w:t>s</w:t>
      </w:r>
      <w:r w:rsidRPr="00A058B6">
        <w:t xml:space="preserve"> or factors, and there is evidence that the trustee has used the method in Schedule </w:t>
      </w:r>
      <w:r>
        <w:t>3</w:t>
      </w:r>
    </w:p>
    <w:p w14:paraId="5F2A84BF" w14:textId="77777777" w:rsidR="00AB66DA" w:rsidRPr="00A058B6" w:rsidRDefault="00AB66DA" w:rsidP="00AB66DA">
      <w:pPr>
        <w:pStyle w:val="subsection"/>
      </w:pPr>
      <w:r w:rsidRPr="00A058B6">
        <w:tab/>
        <w:t>(3)</w:t>
      </w:r>
      <w:r w:rsidRPr="00A058B6">
        <w:tab/>
        <w:t>If:</w:t>
      </w:r>
    </w:p>
    <w:p w14:paraId="7D3369A0" w14:textId="7BA3E447" w:rsidR="00AB66DA" w:rsidRPr="00A058B6" w:rsidRDefault="00AB66DA" w:rsidP="00AB66DA">
      <w:pPr>
        <w:pStyle w:val="paragraph"/>
      </w:pPr>
      <w:r w:rsidRPr="00A058B6">
        <w:tab/>
        <w:t>(a)</w:t>
      </w:r>
      <w:r w:rsidRPr="00A058B6">
        <w:tab/>
      </w:r>
      <w:r w:rsidR="00453C86">
        <w:t>paragraph (</w:t>
      </w:r>
      <w:r w:rsidRPr="00A058B6">
        <w:t>2)(a) does not apply; and</w:t>
      </w:r>
    </w:p>
    <w:p w14:paraId="386821F3" w14:textId="77777777" w:rsidR="00AB66DA" w:rsidRPr="00A058B6" w:rsidRDefault="00AB66DA" w:rsidP="00AB66DA">
      <w:pPr>
        <w:pStyle w:val="paragraph"/>
      </w:pPr>
      <w:r w:rsidRPr="00A058B6">
        <w:lastRenderedPageBreak/>
        <w:tab/>
        <w:t>(b)</w:t>
      </w:r>
      <w:r w:rsidRPr="00A058B6">
        <w:tab/>
        <w:t>evidence before the court includes the contents of a statement that:</w:t>
      </w:r>
    </w:p>
    <w:p w14:paraId="0DEB46D0" w14:textId="77777777" w:rsidR="00AB66DA" w:rsidRPr="00A058B6" w:rsidRDefault="00AB66DA" w:rsidP="00AB66DA">
      <w:pPr>
        <w:pStyle w:val="paragraphsub"/>
      </w:pPr>
      <w:r w:rsidRPr="00A058B6">
        <w:tab/>
        <w:t>(i)</w:t>
      </w:r>
      <w:r w:rsidRPr="00A058B6">
        <w:tab/>
        <w:t>was issued by the trustee of the plan in which the superannuation interest is held; and</w:t>
      </w:r>
    </w:p>
    <w:p w14:paraId="160863BF" w14:textId="23F271C3" w:rsidR="00AB66DA" w:rsidRPr="00A058B6" w:rsidRDefault="00AB66DA" w:rsidP="00AB66DA">
      <w:pPr>
        <w:pStyle w:val="paragraphsub"/>
      </w:pPr>
      <w:r w:rsidRPr="00A058B6">
        <w:tab/>
        <w:t>(ii)</w:t>
      </w:r>
      <w:r w:rsidRPr="00A058B6">
        <w:tab/>
        <w:t>sets out the gross value of the interest as determined using the method set out in Schedule </w:t>
      </w:r>
      <w:r>
        <w:t>3</w:t>
      </w:r>
      <w:r w:rsidR="00290393">
        <w:t xml:space="preserve"> as if the interest were a defined benefit interest</w:t>
      </w:r>
      <w:r w:rsidRPr="00A058B6">
        <w:t>;</w:t>
      </w:r>
    </w:p>
    <w:p w14:paraId="5AE7431E" w14:textId="77777777" w:rsidR="00AB66DA" w:rsidRPr="00A058B6" w:rsidRDefault="00AB66DA" w:rsidP="00AB66DA">
      <w:pPr>
        <w:pStyle w:val="subsection2"/>
      </w:pPr>
      <w:r w:rsidRPr="00A058B6">
        <w:t xml:space="preserve">the </w:t>
      </w:r>
      <w:r w:rsidRPr="00A058B6">
        <w:rPr>
          <w:b/>
          <w:i/>
        </w:rPr>
        <w:t>gross value of the superannuation interest at the relevant date</w:t>
      </w:r>
      <w:r w:rsidRPr="00A058B6">
        <w:t xml:space="preserve"> is as set out in the statement</w:t>
      </w:r>
      <w:r>
        <w:t>.</w:t>
      </w:r>
    </w:p>
    <w:p w14:paraId="7506C098" w14:textId="23118DFE" w:rsidR="00AB66DA" w:rsidRPr="00A058B6" w:rsidRDefault="00AB66DA" w:rsidP="00AB66DA">
      <w:pPr>
        <w:pStyle w:val="SubsectionHead"/>
      </w:pPr>
      <w:r>
        <w:t>There is no evidence before the court of the contents of a statement referred to in</w:t>
      </w:r>
      <w:r w:rsidRPr="00A058B6">
        <w:t xml:space="preserve"> </w:t>
      </w:r>
      <w:r w:rsidR="00453C86">
        <w:t>paragraph (</w:t>
      </w:r>
      <w:r w:rsidRPr="00A058B6">
        <w:t>2)(b) or (3)(b)</w:t>
      </w:r>
    </w:p>
    <w:p w14:paraId="1F177A3C" w14:textId="364D84D8" w:rsidR="00AB66DA" w:rsidRPr="00A058B6" w:rsidRDefault="00AB66DA" w:rsidP="00AB66DA">
      <w:pPr>
        <w:pStyle w:val="subsection"/>
      </w:pPr>
      <w:r w:rsidRPr="00A058B6">
        <w:tab/>
        <w:t>(4)</w:t>
      </w:r>
      <w:r w:rsidRPr="00A058B6">
        <w:tab/>
        <w:t xml:space="preserve">If neither </w:t>
      </w:r>
      <w:r w:rsidR="00453C86">
        <w:t>paragraph (</w:t>
      </w:r>
      <w:r w:rsidRPr="00A058B6">
        <w:t xml:space="preserve">2)(b) nor (3)(b) applies, the </w:t>
      </w:r>
      <w:r w:rsidRPr="00A058B6">
        <w:rPr>
          <w:b/>
          <w:i/>
        </w:rPr>
        <w:t>gross value of the superannuation interest at the relevant date</w:t>
      </w:r>
      <w:r w:rsidRPr="00A058B6">
        <w:t xml:space="preserve"> is to be determined using:</w:t>
      </w:r>
    </w:p>
    <w:p w14:paraId="62B922BE" w14:textId="551D3653" w:rsidR="00AB66DA" w:rsidRPr="00A058B6" w:rsidRDefault="00AB66DA" w:rsidP="00AB66DA">
      <w:pPr>
        <w:pStyle w:val="paragraph"/>
      </w:pPr>
      <w:r w:rsidRPr="00A058B6">
        <w:tab/>
        <w:t>(a)</w:t>
      </w:r>
      <w:r w:rsidRPr="00A058B6">
        <w:tab/>
        <w:t xml:space="preserve">if, under </w:t>
      </w:r>
      <w:r w:rsidR="00CB78B9">
        <w:t>section 6</w:t>
      </w:r>
      <w:r w:rsidR="00485CC2">
        <w:t>2</w:t>
      </w:r>
      <w:r w:rsidRPr="00A058B6">
        <w:t xml:space="preserve">, the Minister has approved </w:t>
      </w:r>
      <w:r>
        <w:t xml:space="preserve">one or more </w:t>
      </w:r>
      <w:r w:rsidRPr="00A058B6">
        <w:t>method</w:t>
      </w:r>
      <w:r>
        <w:t>s</w:t>
      </w:r>
      <w:r w:rsidRPr="00A058B6">
        <w:t xml:space="preserve"> or factors to be used to determine the gross value of the interest—the approved method</w:t>
      </w:r>
      <w:r>
        <w:t>s</w:t>
      </w:r>
      <w:r w:rsidRPr="00A058B6">
        <w:t xml:space="preserve"> or factors; or</w:t>
      </w:r>
    </w:p>
    <w:p w14:paraId="7376AFC8" w14:textId="568C7592" w:rsidR="00AB66DA" w:rsidRPr="00A058B6" w:rsidRDefault="00AB66DA" w:rsidP="00AB66DA">
      <w:pPr>
        <w:pStyle w:val="paragraph"/>
      </w:pPr>
      <w:r w:rsidRPr="00A058B6">
        <w:tab/>
        <w:t>(b)</w:t>
      </w:r>
      <w:r w:rsidRPr="00A058B6">
        <w:tab/>
        <w:t>otherwise—the method set out in Schedule </w:t>
      </w:r>
      <w:r>
        <w:t>3</w:t>
      </w:r>
      <w:r w:rsidR="00290393">
        <w:t xml:space="preserve"> as if the interest were a defined benefit interest</w:t>
      </w:r>
      <w:r>
        <w:t>.</w:t>
      </w:r>
    </w:p>
    <w:p w14:paraId="3A74543D" w14:textId="11DA625D" w:rsidR="003127BF" w:rsidRPr="00CD2453" w:rsidRDefault="00485CC2" w:rsidP="003127BF">
      <w:pPr>
        <w:pStyle w:val="ActHead5"/>
      </w:pPr>
      <w:bookmarkStart w:id="90" w:name="_Toc188350577"/>
      <w:r w:rsidRPr="00423C34">
        <w:rPr>
          <w:rStyle w:val="CharSectno"/>
        </w:rPr>
        <w:t>61</w:t>
      </w:r>
      <w:r w:rsidR="003127BF" w:rsidRPr="00CD2453">
        <w:t xml:space="preserve">  Gross value—percentage</w:t>
      </w:r>
      <w:r w:rsidR="001952B3">
        <w:noBreakHyphen/>
      </w:r>
      <w:r w:rsidR="003127BF" w:rsidRPr="00CD2453">
        <w:t>only superannuation interest</w:t>
      </w:r>
      <w:bookmarkEnd w:id="90"/>
    </w:p>
    <w:p w14:paraId="1BD069BA" w14:textId="475387A8" w:rsidR="003127BF" w:rsidRPr="00CD2453" w:rsidRDefault="003127BF" w:rsidP="003127BF">
      <w:pPr>
        <w:pStyle w:val="subsection"/>
      </w:pPr>
      <w:r w:rsidRPr="00CD2453">
        <w:tab/>
        <w:t>(1)</w:t>
      </w:r>
      <w:r w:rsidRPr="00CD2453">
        <w:tab/>
        <w:t xml:space="preserve">This section applies for the superannuation interest if </w:t>
      </w:r>
      <w:r w:rsidR="008B2ADB">
        <w:t>the whole of the interest is a percentage</w:t>
      </w:r>
      <w:r w:rsidR="001952B3">
        <w:noBreakHyphen/>
      </w:r>
      <w:r w:rsidR="008B2ADB">
        <w:t>only interest</w:t>
      </w:r>
      <w:r w:rsidRPr="00CD2453">
        <w:t>.</w:t>
      </w:r>
    </w:p>
    <w:p w14:paraId="2574C3F6" w14:textId="7EDAFAF0" w:rsidR="00CC093B" w:rsidRPr="005F37E5" w:rsidRDefault="00CC093B" w:rsidP="00CC093B">
      <w:pPr>
        <w:pStyle w:val="notetext"/>
      </w:pPr>
      <w:r>
        <w:t>Note:</w:t>
      </w:r>
      <w:r>
        <w:tab/>
        <w:t>A percentage</w:t>
      </w:r>
      <w:r w:rsidR="001952B3">
        <w:noBreakHyphen/>
      </w:r>
      <w:r>
        <w:t xml:space="preserve">only interest is defined in </w:t>
      </w:r>
      <w:r w:rsidR="00CB78B9">
        <w:t>section 1</w:t>
      </w:r>
      <w:r w:rsidR="00485CC2">
        <w:t>1</w:t>
      </w:r>
      <w:r>
        <w:t xml:space="preserve"> of this instrument, and includes a superannuation interest in a superannuation annuity.</w:t>
      </w:r>
    </w:p>
    <w:p w14:paraId="0B8E8179" w14:textId="77777777" w:rsidR="00220BD9" w:rsidRPr="00CD2453" w:rsidRDefault="00220BD9" w:rsidP="00220BD9">
      <w:pPr>
        <w:pStyle w:val="SubsectionHead"/>
      </w:pPr>
      <w:r w:rsidRPr="00CD2453">
        <w:t>Minister has approved one or more methods or factors, and there is evidence that the trustee has used those methods or factors</w:t>
      </w:r>
    </w:p>
    <w:p w14:paraId="7509AEE9" w14:textId="77777777" w:rsidR="00220BD9" w:rsidRPr="00CD2453" w:rsidRDefault="00220BD9" w:rsidP="00220BD9">
      <w:pPr>
        <w:pStyle w:val="subsection"/>
      </w:pPr>
      <w:r w:rsidRPr="00CD2453">
        <w:tab/>
        <w:t>(2)</w:t>
      </w:r>
      <w:r w:rsidRPr="00CD2453">
        <w:tab/>
        <w:t>If:</w:t>
      </w:r>
    </w:p>
    <w:p w14:paraId="0F880414" w14:textId="6658A6AA" w:rsidR="00220BD9" w:rsidRPr="00CD2453" w:rsidRDefault="00220BD9" w:rsidP="00220BD9">
      <w:pPr>
        <w:pStyle w:val="paragraph"/>
      </w:pPr>
      <w:r w:rsidRPr="00CD2453">
        <w:tab/>
        <w:t>(a)</w:t>
      </w:r>
      <w:r w:rsidRPr="00CD2453">
        <w:tab/>
        <w:t xml:space="preserve">under </w:t>
      </w:r>
      <w:r w:rsidR="00CB78B9">
        <w:t>section 6</w:t>
      </w:r>
      <w:r w:rsidR="00485CC2">
        <w:t>2</w:t>
      </w:r>
      <w:r w:rsidRPr="00CD2453">
        <w:t>, the Minister has approved one or more methods or factors to be used to determine the gross value of the superannuation interest; and</w:t>
      </w:r>
    </w:p>
    <w:p w14:paraId="7011283D" w14:textId="77777777" w:rsidR="00220BD9" w:rsidRPr="00CD2453" w:rsidRDefault="00220BD9" w:rsidP="00220BD9">
      <w:pPr>
        <w:pStyle w:val="paragraph"/>
      </w:pPr>
      <w:r w:rsidRPr="00CD2453">
        <w:tab/>
        <w:t>(b)</w:t>
      </w:r>
      <w:r w:rsidRPr="00CD2453">
        <w:tab/>
        <w:t>evidence before the court includes the contents of a statement that:</w:t>
      </w:r>
    </w:p>
    <w:p w14:paraId="5D41961B" w14:textId="77777777" w:rsidR="00220BD9" w:rsidRPr="00CD2453" w:rsidRDefault="00220BD9" w:rsidP="00220BD9">
      <w:pPr>
        <w:pStyle w:val="paragraphsub"/>
      </w:pPr>
      <w:r w:rsidRPr="00CD2453">
        <w:tab/>
        <w:t>(i)</w:t>
      </w:r>
      <w:r w:rsidRPr="00CD2453">
        <w:tab/>
        <w:t>was issued by the trustee of the plan in which the interest is held; and</w:t>
      </w:r>
    </w:p>
    <w:p w14:paraId="38288404" w14:textId="77777777" w:rsidR="00220BD9" w:rsidRPr="00CD2453" w:rsidRDefault="00220BD9" w:rsidP="00220BD9">
      <w:pPr>
        <w:pStyle w:val="paragraphsub"/>
      </w:pPr>
      <w:r w:rsidRPr="00CD2453">
        <w:tab/>
        <w:t>(ii)</w:t>
      </w:r>
      <w:r w:rsidRPr="00CD2453">
        <w:tab/>
        <w:t>sets out the gross value of the interest as determined using the approved methods or factors;</w:t>
      </w:r>
    </w:p>
    <w:p w14:paraId="055D711D" w14:textId="77777777" w:rsidR="00220BD9" w:rsidRPr="00CD2453" w:rsidRDefault="00220BD9" w:rsidP="00220BD9">
      <w:pPr>
        <w:pStyle w:val="subsection2"/>
      </w:pPr>
      <w:r w:rsidRPr="00CD2453">
        <w:t xml:space="preserve">the </w:t>
      </w:r>
      <w:r w:rsidRPr="00CD2453">
        <w:rPr>
          <w:b/>
          <w:i/>
        </w:rPr>
        <w:t>gross value of the superannuation interest at the relevant date</w:t>
      </w:r>
      <w:r w:rsidRPr="00CD2453">
        <w:t xml:space="preserve"> is as set out in the statement.</w:t>
      </w:r>
    </w:p>
    <w:p w14:paraId="6CC908F9" w14:textId="0B2398FE" w:rsidR="005D292F" w:rsidRPr="00CD2453" w:rsidRDefault="005D292F" w:rsidP="005D292F">
      <w:pPr>
        <w:pStyle w:val="SubsectionHead"/>
      </w:pPr>
      <w:r w:rsidRPr="00CD2453">
        <w:t xml:space="preserve">There is no evidence before the court of the contents of a statement referred to in </w:t>
      </w:r>
      <w:r w:rsidR="00453C86">
        <w:t>paragraph (</w:t>
      </w:r>
      <w:r w:rsidRPr="00CD2453">
        <w:t>2)(b)</w:t>
      </w:r>
    </w:p>
    <w:p w14:paraId="776A356F" w14:textId="05500C04" w:rsidR="005D292F" w:rsidRPr="00A058B6" w:rsidRDefault="005D292F" w:rsidP="00550112">
      <w:pPr>
        <w:pStyle w:val="subsection"/>
      </w:pPr>
      <w:r w:rsidRPr="00CD2453">
        <w:tab/>
        <w:t>(</w:t>
      </w:r>
      <w:r w:rsidR="00601B2A">
        <w:t>3</w:t>
      </w:r>
      <w:r w:rsidRPr="00CD2453">
        <w:t>)</w:t>
      </w:r>
      <w:r w:rsidRPr="00CD2453">
        <w:tab/>
        <w:t xml:space="preserve">If </w:t>
      </w:r>
      <w:r w:rsidR="00453C86">
        <w:t>paragraph (</w:t>
      </w:r>
      <w:r w:rsidR="00550112" w:rsidRPr="00CD2453">
        <w:t xml:space="preserve">2)(a) applies but </w:t>
      </w:r>
      <w:r w:rsidR="00453C86">
        <w:t>paragraph (</w:t>
      </w:r>
      <w:r w:rsidRPr="00CD2453">
        <w:t xml:space="preserve">2)(b) does not apply, the </w:t>
      </w:r>
      <w:r w:rsidRPr="00CD2453">
        <w:rPr>
          <w:b/>
          <w:i/>
        </w:rPr>
        <w:t>gross value of the superannuation interest at the relevant date</w:t>
      </w:r>
      <w:r w:rsidRPr="00CD2453">
        <w:t xml:space="preserve"> is to be determined using</w:t>
      </w:r>
      <w:r w:rsidR="00550112" w:rsidRPr="00CD2453">
        <w:t xml:space="preserve"> </w:t>
      </w:r>
      <w:r w:rsidRPr="00CD2453">
        <w:t>the approved methods or factors</w:t>
      </w:r>
      <w:r w:rsidR="00550112" w:rsidRPr="00CD2453">
        <w:t xml:space="preserve"> referred to in </w:t>
      </w:r>
      <w:r w:rsidR="00453C86">
        <w:t>paragraph (</w:t>
      </w:r>
      <w:r w:rsidR="00550112" w:rsidRPr="00CD2453">
        <w:t>2)(a).</w:t>
      </w:r>
    </w:p>
    <w:p w14:paraId="4090E2A1" w14:textId="51A3EF94" w:rsidR="00054CC4" w:rsidRPr="009D1BF4" w:rsidRDefault="00054CC4" w:rsidP="00054CC4">
      <w:pPr>
        <w:pStyle w:val="notetext"/>
      </w:pPr>
      <w:r>
        <w:t>Note:</w:t>
      </w:r>
      <w:r>
        <w:tab/>
        <w:t xml:space="preserve">This section (and this Part and </w:t>
      </w:r>
      <w:r w:rsidR="00CB78B9">
        <w:t>subsection 4</w:t>
      </w:r>
      <w:r w:rsidR="00485CC2">
        <w:t>4</w:t>
      </w:r>
      <w:r>
        <w:t xml:space="preserve">(1)) does not apply for the superannuation interest if no such </w:t>
      </w:r>
      <w:r w:rsidRPr="00A058B6">
        <w:t>method</w:t>
      </w:r>
      <w:r>
        <w:t>s</w:t>
      </w:r>
      <w:r w:rsidRPr="00A058B6">
        <w:t xml:space="preserve"> or factors </w:t>
      </w:r>
      <w:r>
        <w:t xml:space="preserve">are </w:t>
      </w:r>
      <w:r w:rsidRPr="00A058B6">
        <w:t xml:space="preserve">approved under </w:t>
      </w:r>
      <w:r w:rsidR="00CB78B9">
        <w:t>section 6</w:t>
      </w:r>
      <w:r w:rsidR="00485CC2">
        <w:t>2</w:t>
      </w:r>
      <w:r>
        <w:t xml:space="preserve">. In that case, </w:t>
      </w:r>
      <w:r w:rsidR="00FE15C4">
        <w:t>paragraph 9</w:t>
      </w:r>
      <w:r w:rsidRPr="00A058B6">
        <w:t>0XT(2)(</w:t>
      </w:r>
      <w:r>
        <w:t>b</w:t>
      </w:r>
      <w:r w:rsidRPr="00A058B6">
        <w:t>) or 90YY(2)(</w:t>
      </w:r>
      <w:r>
        <w:t>b</w:t>
      </w:r>
      <w:r w:rsidRPr="00A058B6">
        <w:t>) of the Act</w:t>
      </w:r>
      <w:r>
        <w:t xml:space="preserve"> applies to the court in relation to the superannuation interest.</w:t>
      </w:r>
    </w:p>
    <w:p w14:paraId="11530558" w14:textId="53C32FA6" w:rsidR="00D930D9" w:rsidRPr="00A058B6" w:rsidRDefault="00485CC2" w:rsidP="00D930D9">
      <w:pPr>
        <w:pStyle w:val="ActHead5"/>
      </w:pPr>
      <w:bookmarkStart w:id="91" w:name="_Toc188350578"/>
      <w:r w:rsidRPr="00423C34">
        <w:rPr>
          <w:rStyle w:val="CharSectno"/>
        </w:rPr>
        <w:lastRenderedPageBreak/>
        <w:t>62</w:t>
      </w:r>
      <w:r w:rsidR="00D930D9" w:rsidRPr="00A058B6">
        <w:t xml:space="preserve">  Approval of methods and factors for determining gross value of particular superannuation interests</w:t>
      </w:r>
      <w:bookmarkEnd w:id="91"/>
    </w:p>
    <w:p w14:paraId="3900C60E" w14:textId="77777777" w:rsidR="00D50BE9" w:rsidRPr="00A058B6" w:rsidRDefault="00D50BE9" w:rsidP="00D50BE9">
      <w:pPr>
        <w:pStyle w:val="subsection"/>
      </w:pPr>
      <w:r w:rsidRPr="00A058B6">
        <w:tab/>
        <w:t>(1)</w:t>
      </w:r>
      <w:r w:rsidRPr="00A058B6">
        <w:tab/>
        <w:t>The Minister may, by legislative instrument, approve methods or factors that are to be used to determine the gross value o</w:t>
      </w:r>
      <w:r w:rsidR="004E3358">
        <w:t>f</w:t>
      </w:r>
      <w:r w:rsidRPr="00A058B6">
        <w:t>:</w:t>
      </w:r>
    </w:p>
    <w:p w14:paraId="6DBACCB1" w14:textId="41B1B965" w:rsidR="00D50BE9" w:rsidRPr="00A058B6" w:rsidRDefault="00D50BE9" w:rsidP="00D50BE9">
      <w:pPr>
        <w:pStyle w:val="paragraph"/>
      </w:pPr>
      <w:r w:rsidRPr="00A058B6">
        <w:tab/>
        <w:t>(a)</w:t>
      </w:r>
      <w:r w:rsidRPr="00A058B6">
        <w:tab/>
        <w:t xml:space="preserve">a superannuation interest </w:t>
      </w:r>
      <w:r w:rsidR="00570DC0">
        <w:t xml:space="preserve">for which </w:t>
      </w:r>
      <w:r w:rsidR="00CB78B9">
        <w:t>section 5</w:t>
      </w:r>
      <w:r w:rsidR="00485CC2">
        <w:t>2</w:t>
      </w:r>
      <w:r w:rsidR="00570DC0">
        <w:t xml:space="preserve"> applies (about most </w:t>
      </w:r>
      <w:r w:rsidRPr="00A058B6">
        <w:t>defined benefit interest</w:t>
      </w:r>
      <w:r w:rsidR="00570DC0">
        <w:t>s)</w:t>
      </w:r>
      <w:r w:rsidRPr="00A058B6">
        <w:t>;</w:t>
      </w:r>
      <w:r w:rsidR="00C10C08">
        <w:t xml:space="preserve"> or</w:t>
      </w:r>
    </w:p>
    <w:p w14:paraId="324B98B0" w14:textId="6C320751" w:rsidR="00D50BE9" w:rsidRPr="00A058B6" w:rsidRDefault="00D50BE9" w:rsidP="00D50BE9">
      <w:pPr>
        <w:pStyle w:val="paragraph"/>
      </w:pPr>
      <w:r w:rsidRPr="00A058B6">
        <w:tab/>
        <w:t>(b)</w:t>
      </w:r>
      <w:r w:rsidRPr="00A058B6">
        <w:tab/>
      </w:r>
      <w:r w:rsidR="00570DC0" w:rsidRPr="00A058B6">
        <w:t xml:space="preserve">a superannuation interest </w:t>
      </w:r>
      <w:r w:rsidR="00570DC0">
        <w:t xml:space="preserve">for which </w:t>
      </w:r>
      <w:r w:rsidR="00CB78B9">
        <w:t>section 5</w:t>
      </w:r>
      <w:r w:rsidR="00485CC2">
        <w:t>5</w:t>
      </w:r>
      <w:r w:rsidR="00570DC0">
        <w:t xml:space="preserve"> applies (about</w:t>
      </w:r>
      <w:r w:rsidRPr="00A058B6">
        <w:t xml:space="preserve"> partially vested accumulation interest</w:t>
      </w:r>
      <w:r w:rsidR="005740C3">
        <w:t>s</w:t>
      </w:r>
      <w:r w:rsidR="00A448D2">
        <w:t>)</w:t>
      </w:r>
      <w:r w:rsidRPr="00A058B6">
        <w:t>;</w:t>
      </w:r>
      <w:r w:rsidR="00C10C08">
        <w:t xml:space="preserve"> or</w:t>
      </w:r>
    </w:p>
    <w:p w14:paraId="192D717B" w14:textId="49F0E7FA" w:rsidR="00D50BE9" w:rsidRPr="00A058B6" w:rsidRDefault="00D50BE9" w:rsidP="00D50BE9">
      <w:pPr>
        <w:pStyle w:val="paragraph"/>
      </w:pPr>
      <w:r w:rsidRPr="00A058B6">
        <w:tab/>
      </w:r>
      <w:r w:rsidR="007E1307">
        <w:t>(c</w:t>
      </w:r>
      <w:r w:rsidRPr="00A058B6">
        <w:t>)</w:t>
      </w:r>
      <w:r w:rsidRPr="00A058B6">
        <w:tab/>
        <w:t xml:space="preserve">a superannuation interest </w:t>
      </w:r>
      <w:r w:rsidR="00385976">
        <w:t xml:space="preserve">for which </w:t>
      </w:r>
      <w:r w:rsidR="00CB78B9">
        <w:t>section 5</w:t>
      </w:r>
      <w:r w:rsidR="00485CC2">
        <w:t>6</w:t>
      </w:r>
      <w:r w:rsidR="00A448D2">
        <w:t xml:space="preserve"> applies (about interests </w:t>
      </w:r>
      <w:r w:rsidRPr="00A058B6">
        <w:t>consisting of 2 or more components);</w:t>
      </w:r>
      <w:r w:rsidR="00C10C08">
        <w:t xml:space="preserve"> or</w:t>
      </w:r>
    </w:p>
    <w:p w14:paraId="7F67317B" w14:textId="35BB770B" w:rsidR="00D50BE9" w:rsidRDefault="00D50BE9" w:rsidP="00D50BE9">
      <w:pPr>
        <w:pStyle w:val="paragraph"/>
      </w:pPr>
      <w:r w:rsidRPr="00A058B6">
        <w:tab/>
        <w:t>(</w:t>
      </w:r>
      <w:r w:rsidR="00776010">
        <w:t>d</w:t>
      </w:r>
      <w:r w:rsidRPr="00A058B6">
        <w:t>)</w:t>
      </w:r>
      <w:r w:rsidRPr="00A058B6">
        <w:tab/>
      </w:r>
      <w:r w:rsidR="00A448D2">
        <w:t xml:space="preserve">a superannuation interest </w:t>
      </w:r>
      <w:r w:rsidR="00776010">
        <w:t xml:space="preserve">for which </w:t>
      </w:r>
      <w:r w:rsidR="00CB78B9">
        <w:t>section 5</w:t>
      </w:r>
      <w:r w:rsidR="00485CC2">
        <w:t>7</w:t>
      </w:r>
      <w:r w:rsidR="00776010" w:rsidRPr="00A058B6">
        <w:t xml:space="preserve">, </w:t>
      </w:r>
      <w:r w:rsidR="00485CC2">
        <w:t>58</w:t>
      </w:r>
      <w:r w:rsidR="00776010" w:rsidRPr="00A058B6">
        <w:t xml:space="preserve"> or </w:t>
      </w:r>
      <w:r w:rsidR="00485CC2">
        <w:t>59</w:t>
      </w:r>
      <w:r w:rsidR="00776010">
        <w:t xml:space="preserve"> applies (about other </w:t>
      </w:r>
      <w:r w:rsidRPr="00A058B6">
        <w:t>defined benefit interest</w:t>
      </w:r>
      <w:r w:rsidR="00776010">
        <w:t>s);</w:t>
      </w:r>
      <w:r w:rsidR="00C10C08">
        <w:t xml:space="preserve"> or</w:t>
      </w:r>
    </w:p>
    <w:p w14:paraId="34E2258F" w14:textId="1EB79F76" w:rsidR="007E1307" w:rsidRPr="00A058B6" w:rsidRDefault="007E1307" w:rsidP="007E1307">
      <w:pPr>
        <w:pStyle w:val="paragraph"/>
      </w:pPr>
      <w:r w:rsidRPr="00A058B6">
        <w:tab/>
        <w:t>(</w:t>
      </w:r>
      <w:r w:rsidR="00776010">
        <w:t>e</w:t>
      </w:r>
      <w:r w:rsidRPr="00A058B6">
        <w:t>)</w:t>
      </w:r>
      <w:r w:rsidRPr="00A058B6">
        <w:tab/>
        <w:t xml:space="preserve">a superannuation interest </w:t>
      </w:r>
      <w:r>
        <w:t xml:space="preserve">for which </w:t>
      </w:r>
      <w:r w:rsidR="00CB78B9">
        <w:t>section 6</w:t>
      </w:r>
      <w:r w:rsidR="00485CC2">
        <w:t>0</w:t>
      </w:r>
      <w:r>
        <w:t xml:space="preserve"> applies (about</w:t>
      </w:r>
      <w:r w:rsidRPr="00A058B6">
        <w:t xml:space="preserve"> innovative superannuation interest</w:t>
      </w:r>
      <w:r>
        <w:t>s</w:t>
      </w:r>
      <w:r w:rsidRPr="00A058B6">
        <w:t>);</w:t>
      </w:r>
      <w:r w:rsidR="00C10C08">
        <w:t xml:space="preserve"> or</w:t>
      </w:r>
    </w:p>
    <w:p w14:paraId="62C7ABC0" w14:textId="0886304E" w:rsidR="007E1307" w:rsidRPr="00A058B6" w:rsidRDefault="007E1307" w:rsidP="007E1307">
      <w:pPr>
        <w:pStyle w:val="paragraph"/>
      </w:pPr>
      <w:r w:rsidRPr="00A058B6">
        <w:tab/>
      </w:r>
      <w:r w:rsidRPr="00B01806">
        <w:t>(</w:t>
      </w:r>
      <w:r w:rsidR="00776010">
        <w:t>f</w:t>
      </w:r>
      <w:r w:rsidRPr="00B01806">
        <w:t>)</w:t>
      </w:r>
      <w:r w:rsidRPr="00B01806">
        <w:tab/>
        <w:t xml:space="preserve">a superannuation interest </w:t>
      </w:r>
      <w:r>
        <w:t xml:space="preserve">for which </w:t>
      </w:r>
      <w:r w:rsidR="00485CC2">
        <w:t>61</w:t>
      </w:r>
      <w:r>
        <w:t xml:space="preserve"> applies (about</w:t>
      </w:r>
      <w:r w:rsidRPr="00B01806">
        <w:t xml:space="preserve"> percentage</w:t>
      </w:r>
      <w:r w:rsidR="001952B3">
        <w:noBreakHyphen/>
      </w:r>
      <w:r w:rsidRPr="00B01806">
        <w:t>only interest</w:t>
      </w:r>
      <w:r>
        <w:t>s</w:t>
      </w:r>
      <w:r w:rsidRPr="00B01806">
        <w:t>)</w:t>
      </w:r>
      <w:r>
        <w:t>.</w:t>
      </w:r>
    </w:p>
    <w:p w14:paraId="2114C58F" w14:textId="733A393C" w:rsidR="006075A5" w:rsidRDefault="00DE775A" w:rsidP="00942113">
      <w:pPr>
        <w:pStyle w:val="notetext"/>
      </w:pPr>
      <w:r>
        <w:t>Note:</w:t>
      </w:r>
      <w:r>
        <w:tab/>
      </w:r>
      <w:r w:rsidR="00942113">
        <w:t xml:space="preserve">A consequence of the definition of </w:t>
      </w:r>
      <w:r w:rsidR="00942113" w:rsidRPr="00A058B6">
        <w:rPr>
          <w:b/>
          <w:i/>
        </w:rPr>
        <w:t>gross value of the superannuation interest at the relevant date</w:t>
      </w:r>
      <w:r w:rsidR="00942113">
        <w:t xml:space="preserve"> in </w:t>
      </w:r>
      <w:r w:rsidR="00CB78B9">
        <w:t>section 5</w:t>
      </w:r>
      <w:r w:rsidR="00485CC2">
        <w:t>1</w:t>
      </w:r>
      <w:r w:rsidR="00942113">
        <w:t xml:space="preserve"> is that</w:t>
      </w:r>
      <w:r w:rsidR="006075A5">
        <w:t>:</w:t>
      </w:r>
    </w:p>
    <w:p w14:paraId="34EBCC80" w14:textId="2717E69F" w:rsidR="006075A5" w:rsidRDefault="006075A5" w:rsidP="006075A5">
      <w:pPr>
        <w:pStyle w:val="notepara"/>
      </w:pPr>
      <w:r>
        <w:t>(a)</w:t>
      </w:r>
      <w:r>
        <w:tab/>
      </w:r>
      <w:r w:rsidR="00CB78B9">
        <w:t>section 6</w:t>
      </w:r>
      <w:r w:rsidR="00485CC2">
        <w:t>1</w:t>
      </w:r>
      <w:r>
        <w:t xml:space="preserve"> is the only relevant provision for percentage</w:t>
      </w:r>
      <w:r w:rsidR="001952B3">
        <w:noBreakHyphen/>
      </w:r>
      <w:r>
        <w:t>only interests; and</w:t>
      </w:r>
    </w:p>
    <w:p w14:paraId="55112443" w14:textId="56329D18" w:rsidR="00942113" w:rsidRDefault="006075A5" w:rsidP="006075A5">
      <w:pPr>
        <w:pStyle w:val="notepara"/>
      </w:pPr>
      <w:r>
        <w:t>(b)</w:t>
      </w:r>
      <w:r>
        <w:tab/>
      </w:r>
      <w:r w:rsidR="00CB78B9">
        <w:t>section 6</w:t>
      </w:r>
      <w:r w:rsidR="00485CC2">
        <w:t>0</w:t>
      </w:r>
      <w:r w:rsidR="00612BEE">
        <w:t xml:space="preserve"> is the only relevant provision for innovative superannuation interests that are not percentage</w:t>
      </w:r>
      <w:r w:rsidR="001952B3">
        <w:noBreakHyphen/>
      </w:r>
      <w:r w:rsidR="00612BEE">
        <w:t>only interests.</w:t>
      </w:r>
    </w:p>
    <w:p w14:paraId="0DA90F69" w14:textId="56BD99FC" w:rsidR="00D930D9" w:rsidRPr="00A058B6" w:rsidRDefault="00D930D9" w:rsidP="00D930D9">
      <w:pPr>
        <w:pStyle w:val="subsection"/>
      </w:pPr>
      <w:r w:rsidRPr="00A058B6">
        <w:tab/>
        <w:t>(2)</w:t>
      </w:r>
      <w:r w:rsidRPr="00A058B6">
        <w:tab/>
        <w:t xml:space="preserve">A method or factors approved by the Minister under </w:t>
      </w:r>
      <w:r w:rsidR="00A52DA5">
        <w:t>subsection (</w:t>
      </w:r>
      <w:r w:rsidRPr="00A058B6">
        <w:t>1) may relate to any of the following:</w:t>
      </w:r>
    </w:p>
    <w:p w14:paraId="29C0E64B" w14:textId="77777777" w:rsidR="00D930D9" w:rsidRPr="00A058B6" w:rsidRDefault="00D930D9" w:rsidP="00D930D9">
      <w:pPr>
        <w:pStyle w:val="paragraph"/>
      </w:pPr>
      <w:r w:rsidRPr="00A058B6">
        <w:tab/>
        <w:t>(a)</w:t>
      </w:r>
      <w:r w:rsidRPr="00A058B6">
        <w:tab/>
        <w:t>the gross value of a superannuation interest, or a component of a superannuation interest, in a particular eligible superannuation plan;</w:t>
      </w:r>
    </w:p>
    <w:p w14:paraId="684F9918" w14:textId="77777777" w:rsidR="00D930D9" w:rsidRPr="00A058B6" w:rsidRDefault="00D930D9" w:rsidP="00D930D9">
      <w:pPr>
        <w:pStyle w:val="paragraph"/>
      </w:pPr>
      <w:r w:rsidRPr="00A058B6">
        <w:tab/>
        <w:t>(b)</w:t>
      </w:r>
      <w:r w:rsidRPr="00A058B6">
        <w:tab/>
        <w:t>the gross value of a superannuation interest, or a component of a superannuation interest, in a particular category of superannuation interests in a particular eligible superannuation plan;</w:t>
      </w:r>
    </w:p>
    <w:p w14:paraId="50B1235B" w14:textId="77777777" w:rsidR="00D930D9" w:rsidRDefault="00D930D9" w:rsidP="00D930D9">
      <w:pPr>
        <w:pStyle w:val="paragraph"/>
      </w:pPr>
      <w:r w:rsidRPr="00A058B6">
        <w:tab/>
        <w:t>(c)</w:t>
      </w:r>
      <w:r w:rsidRPr="00A058B6">
        <w:tab/>
        <w:t>the gross value, in particular circumstances, of</w:t>
      </w:r>
      <w:r>
        <w:t xml:space="preserve"> any of the following:</w:t>
      </w:r>
    </w:p>
    <w:p w14:paraId="36A63AA4" w14:textId="77777777" w:rsidR="00D930D9" w:rsidRDefault="00D930D9" w:rsidP="00D930D9">
      <w:pPr>
        <w:pStyle w:val="paragraphsub"/>
      </w:pPr>
      <w:r>
        <w:tab/>
        <w:t>(i)</w:t>
      </w:r>
      <w:r>
        <w:tab/>
      </w:r>
      <w:r w:rsidRPr="00A058B6">
        <w:t>a superannuation interest</w:t>
      </w:r>
      <w:r>
        <w:t>,</w:t>
      </w:r>
      <w:r w:rsidRPr="00A058B6">
        <w:t xml:space="preserve"> or a component of a superannuation interest</w:t>
      </w:r>
      <w:r>
        <w:t xml:space="preserve">, </w:t>
      </w:r>
      <w:r w:rsidRPr="00A058B6">
        <w:t>in a particular eligible superannuation plan</w:t>
      </w:r>
      <w:r>
        <w:t>;</w:t>
      </w:r>
    </w:p>
    <w:p w14:paraId="22248497" w14:textId="77777777" w:rsidR="00D930D9" w:rsidRPr="00A058B6" w:rsidRDefault="00D930D9" w:rsidP="00D930D9">
      <w:pPr>
        <w:pStyle w:val="paragraphsub"/>
      </w:pPr>
      <w:r>
        <w:tab/>
        <w:t>(ii)</w:t>
      </w:r>
      <w:r>
        <w:tab/>
      </w:r>
      <w:r w:rsidRPr="00A058B6">
        <w:t>a superannuation interest</w:t>
      </w:r>
      <w:r>
        <w:t>,</w:t>
      </w:r>
      <w:r w:rsidRPr="00A058B6">
        <w:t xml:space="preserve"> or a component of a superannuation interest</w:t>
      </w:r>
      <w:r>
        <w:t>,</w:t>
      </w:r>
      <w:r w:rsidRPr="00A058B6">
        <w:t xml:space="preserve"> in a particular category of superannuation interests, in a particular eligible superannuation plan;</w:t>
      </w:r>
    </w:p>
    <w:p w14:paraId="6DFF549E" w14:textId="77777777" w:rsidR="00D930D9" w:rsidRPr="00A058B6" w:rsidRDefault="00D930D9" w:rsidP="00D930D9">
      <w:pPr>
        <w:pStyle w:val="paragraph"/>
      </w:pPr>
      <w:r w:rsidRPr="00A058B6">
        <w:tab/>
        <w:t>(d)</w:t>
      </w:r>
      <w:r w:rsidRPr="00A058B6">
        <w:tab/>
        <w:t xml:space="preserve">the gross value, in particular circumstances, of a particular </w:t>
      </w:r>
      <w:r>
        <w:t xml:space="preserve">element of the scheme design of </w:t>
      </w:r>
      <w:r w:rsidRPr="00A058B6">
        <w:t>a superannuation interest in a particular eligible superannuation plan</w:t>
      </w:r>
      <w:r w:rsidR="00D7157D">
        <w:t>.</w:t>
      </w:r>
    </w:p>
    <w:p w14:paraId="4B5AAD85" w14:textId="3B3D1609" w:rsidR="00342697" w:rsidRDefault="00342697" w:rsidP="00342697">
      <w:pPr>
        <w:pStyle w:val="subsection"/>
      </w:pPr>
      <w:r>
        <w:tab/>
        <w:t>(3)</w:t>
      </w:r>
      <w:r>
        <w:tab/>
        <w:t xml:space="preserve">An instrument under </w:t>
      </w:r>
      <w:r w:rsidR="00A52DA5">
        <w:t>subsection (</w:t>
      </w:r>
      <w:r>
        <w:t>1) is made for the purposes of either or both of the following:</w:t>
      </w:r>
    </w:p>
    <w:p w14:paraId="70BF99A9" w14:textId="23AC6565" w:rsidR="00342697" w:rsidRDefault="00342697" w:rsidP="00342697">
      <w:pPr>
        <w:pStyle w:val="paragraph"/>
      </w:pPr>
      <w:r>
        <w:tab/>
        <w:t>(a)</w:t>
      </w:r>
      <w:r>
        <w:tab/>
      </w:r>
      <w:r w:rsidR="00FE15C4">
        <w:t>subsection 9</w:t>
      </w:r>
      <w:r>
        <w:t xml:space="preserve">0XT(3) and </w:t>
      </w:r>
      <w:r w:rsidR="00FE15C4">
        <w:t>paragraph 9</w:t>
      </w:r>
      <w:r>
        <w:t>0XT(2)(a) of the Act;</w:t>
      </w:r>
    </w:p>
    <w:p w14:paraId="0176DA24" w14:textId="3DC2E18C" w:rsidR="00342697" w:rsidRPr="00690F8E" w:rsidRDefault="00342697" w:rsidP="00342697">
      <w:pPr>
        <w:pStyle w:val="paragraph"/>
      </w:pPr>
      <w:r>
        <w:tab/>
        <w:t>(b)</w:t>
      </w:r>
      <w:r>
        <w:tab/>
      </w:r>
      <w:r w:rsidR="00FE15C4">
        <w:t>subsection 9</w:t>
      </w:r>
      <w:r>
        <w:t xml:space="preserve">0YY(4) and </w:t>
      </w:r>
      <w:r w:rsidR="00FE15C4">
        <w:t>paragraph 9</w:t>
      </w:r>
      <w:r>
        <w:t>0YY(2)(a) of the Act.</w:t>
      </w:r>
    </w:p>
    <w:p w14:paraId="6C923B55" w14:textId="224478F6" w:rsidR="00D930D9" w:rsidRPr="00A058B6" w:rsidRDefault="00453C86" w:rsidP="00BD046A">
      <w:pPr>
        <w:pStyle w:val="ActHead3"/>
        <w:pageBreakBefore/>
      </w:pPr>
      <w:bookmarkStart w:id="92" w:name="_Toc188350579"/>
      <w:r w:rsidRPr="00423C34">
        <w:rPr>
          <w:rStyle w:val="CharDivNo"/>
        </w:rPr>
        <w:lastRenderedPageBreak/>
        <w:t>Division 2</w:t>
      </w:r>
      <w:r w:rsidR="00D930D9" w:rsidRPr="00A058B6">
        <w:t>—</w:t>
      </w:r>
      <w:r w:rsidR="00D930D9" w:rsidRPr="00423C34">
        <w:rPr>
          <w:rStyle w:val="CharDivText"/>
        </w:rPr>
        <w:t>Determining the value of superannuation interests in the payment phase at the relevant date</w:t>
      </w:r>
      <w:bookmarkEnd w:id="92"/>
    </w:p>
    <w:p w14:paraId="40FB1E85" w14:textId="4F756503" w:rsidR="00D930D9" w:rsidRPr="00A058B6" w:rsidRDefault="00485CC2" w:rsidP="00D930D9">
      <w:pPr>
        <w:pStyle w:val="ActHead5"/>
      </w:pPr>
      <w:bookmarkStart w:id="93" w:name="_Toc188350580"/>
      <w:r w:rsidRPr="00423C34">
        <w:rPr>
          <w:rStyle w:val="CharSectno"/>
        </w:rPr>
        <w:t>63</w:t>
      </w:r>
      <w:r w:rsidR="00D930D9" w:rsidRPr="00A058B6">
        <w:t xml:space="preserve">  Simplified outline of this Division</w:t>
      </w:r>
      <w:bookmarkEnd w:id="93"/>
    </w:p>
    <w:p w14:paraId="7CCEAADB" w14:textId="014F7212" w:rsidR="00D930D9" w:rsidRPr="00A058B6" w:rsidRDefault="00CB78B9" w:rsidP="00D930D9">
      <w:pPr>
        <w:pStyle w:val="SOText"/>
      </w:pPr>
      <w:r>
        <w:t>Section 6</w:t>
      </w:r>
      <w:r w:rsidR="00485CC2">
        <w:t>4</w:t>
      </w:r>
      <w:r w:rsidR="00D930D9" w:rsidRPr="00A058B6">
        <w:t xml:space="preserve"> uses a formula to calculate the value of a superannuation interest of the member spouse that is in the payment phase</w:t>
      </w:r>
      <w:r w:rsidR="00D7157D">
        <w:t>.</w:t>
      </w:r>
      <w:r w:rsidR="00D930D9" w:rsidRPr="00A058B6">
        <w:t xml:space="preserve"> This value is needed for </w:t>
      </w:r>
      <w:r>
        <w:t>paragraph 4</w:t>
      </w:r>
      <w:r w:rsidR="00485CC2">
        <w:t>4</w:t>
      </w:r>
      <w:r w:rsidR="00D930D9" w:rsidRPr="00A058B6">
        <w:t>(1)(b)</w:t>
      </w:r>
      <w:r w:rsidR="00D7157D">
        <w:t>.</w:t>
      </w:r>
    </w:p>
    <w:p w14:paraId="1F7D8BE5" w14:textId="76DD5AF8" w:rsidR="00D930D9" w:rsidRPr="00A058B6" w:rsidRDefault="00D930D9" w:rsidP="00D930D9">
      <w:pPr>
        <w:pStyle w:val="SOText"/>
      </w:pPr>
      <w:r w:rsidRPr="00A058B6">
        <w:t xml:space="preserve">The formula in </w:t>
      </w:r>
      <w:r w:rsidR="00CB78B9">
        <w:t>section 6</w:t>
      </w:r>
      <w:r w:rsidR="00485CC2">
        <w:t>4</w:t>
      </w:r>
      <w:r w:rsidRPr="00A058B6">
        <w:t xml:space="preserve"> has a term called the gross value of the superannuation interest at the relevant date</w:t>
      </w:r>
      <w:r w:rsidR="00D7157D">
        <w:t>.</w:t>
      </w:r>
      <w:r w:rsidRPr="00A058B6">
        <w:t xml:space="preserve"> The remaining sections in this Division calculate that gross value</w:t>
      </w:r>
      <w:r w:rsidR="00D7157D">
        <w:t>.</w:t>
      </w:r>
    </w:p>
    <w:p w14:paraId="2E6C9F3E" w14:textId="3489475A" w:rsidR="00D930D9" w:rsidRPr="00A058B6" w:rsidRDefault="00D930D9" w:rsidP="00D930D9">
      <w:pPr>
        <w:pStyle w:val="notetext"/>
      </w:pPr>
      <w:r w:rsidRPr="00A058B6">
        <w:t>Note:</w:t>
      </w:r>
      <w:r w:rsidRPr="00A058B6">
        <w:tab/>
        <w:t>This Division does not apply to certain kinds of superannuation interests</w:t>
      </w:r>
      <w:r>
        <w:t>, including interests covered by</w:t>
      </w:r>
      <w:r w:rsidRPr="00A058B6">
        <w:t xml:space="preserve"> </w:t>
      </w:r>
      <w:r w:rsidR="00CB78B9">
        <w:t>subsection 4</w:t>
      </w:r>
      <w:r w:rsidR="00485CC2">
        <w:t>4</w:t>
      </w:r>
      <w:r w:rsidRPr="00A058B6">
        <w:t>(2)</w:t>
      </w:r>
      <w:r w:rsidR="00D7157D">
        <w:t>.</w:t>
      </w:r>
    </w:p>
    <w:p w14:paraId="1825D934" w14:textId="67D73C8D" w:rsidR="00D930D9" w:rsidRPr="00A058B6" w:rsidRDefault="00485CC2" w:rsidP="00D930D9">
      <w:pPr>
        <w:pStyle w:val="ActHead5"/>
      </w:pPr>
      <w:bookmarkStart w:id="94" w:name="_Toc188350581"/>
      <w:r w:rsidRPr="00423C34">
        <w:rPr>
          <w:rStyle w:val="CharSectno"/>
        </w:rPr>
        <w:t>64</w:t>
      </w:r>
      <w:r w:rsidR="00D930D9" w:rsidRPr="00A058B6">
        <w:t xml:space="preserve">  Determining the value of superannuation interests in the payment phase at the relevant date</w:t>
      </w:r>
      <w:bookmarkEnd w:id="94"/>
    </w:p>
    <w:p w14:paraId="7F0A64E5" w14:textId="1511CF7D" w:rsidR="00D930D9" w:rsidRPr="00A058B6" w:rsidRDefault="00D930D9" w:rsidP="00DC38FD">
      <w:pPr>
        <w:pStyle w:val="subsection"/>
      </w:pPr>
      <w:r w:rsidRPr="00A058B6">
        <w:tab/>
      </w:r>
      <w:r w:rsidRPr="00A058B6">
        <w:tab/>
        <w:t xml:space="preserve">For the purposes of </w:t>
      </w:r>
      <w:r w:rsidR="00CB78B9">
        <w:t>paragraph 4</w:t>
      </w:r>
      <w:r w:rsidR="00485CC2">
        <w:t>4</w:t>
      </w:r>
      <w:r w:rsidRPr="00A058B6">
        <w:t>(1)(b), the amount to be determined by the court in relation to a superannuation interest of the member spouse that</w:t>
      </w:r>
      <w:r w:rsidR="00DC38FD">
        <w:t xml:space="preserve"> </w:t>
      </w:r>
      <w:r w:rsidRPr="00A058B6">
        <w:t>is in the payment phase at the relevant date</w:t>
      </w:r>
      <w:r w:rsidR="00DC38FD">
        <w:t xml:space="preserve"> </w:t>
      </w:r>
      <w:r w:rsidRPr="00A058B6">
        <w:t>is calculated as follows:</w:t>
      </w:r>
    </w:p>
    <w:p w14:paraId="4CCDB08F" w14:textId="368E0FFA" w:rsidR="00D930D9" w:rsidRPr="00A058B6" w:rsidRDefault="00213514" w:rsidP="00D930D9">
      <w:pPr>
        <w:pStyle w:val="subsection2"/>
        <w:rPr>
          <w:lang w:eastAsia="en-US"/>
        </w:rPr>
      </w:pPr>
      <w:r w:rsidRPr="00A058B6">
        <w:rPr>
          <w:position w:val="-20"/>
        </w:rPr>
        <w:object w:dxaOrig="7119" w:dyaOrig="620" w14:anchorId="4DA3C585">
          <v:shape id="_x0000_i1037" type="#_x0000_t75" alt="Start formula Gross value of the superannuation interest at the relevant date minus Each earlier relevant amount payable in respect of the superannuation interest end formula" style="width:357.25pt;height:31.65pt" o:ole="">
            <v:imagedata r:id="rId48" o:title=""/>
          </v:shape>
          <o:OLEObject Type="Embed" ProgID="Equation.DSMT4" ShapeID="_x0000_i1037" DrawAspect="Content" ObjectID="_1801634266" r:id="rId49"/>
        </w:object>
      </w:r>
    </w:p>
    <w:p w14:paraId="09FB3219" w14:textId="77777777" w:rsidR="00D930D9" w:rsidRPr="00A058B6" w:rsidRDefault="00D930D9" w:rsidP="00D930D9">
      <w:pPr>
        <w:pStyle w:val="subsection2"/>
      </w:pPr>
      <w:r w:rsidRPr="00A058B6">
        <w:t>where:</w:t>
      </w:r>
    </w:p>
    <w:p w14:paraId="04BD9BE3" w14:textId="77777777" w:rsidR="00C901DA" w:rsidRDefault="00D91E56" w:rsidP="00D91E56">
      <w:pPr>
        <w:pStyle w:val="Definition"/>
      </w:pPr>
      <w:r w:rsidRPr="00A058B6">
        <w:rPr>
          <w:b/>
          <w:i/>
        </w:rPr>
        <w:t>gross value of the superannuation interest at the relevant date</w:t>
      </w:r>
      <w:r w:rsidRPr="00A058B6">
        <w:t xml:space="preserve"> means the gross value of the superannuation interest calculated</w:t>
      </w:r>
      <w:r w:rsidR="00C901DA">
        <w:t>:</w:t>
      </w:r>
    </w:p>
    <w:p w14:paraId="79120CC8" w14:textId="1331A625" w:rsidR="006475DD" w:rsidRDefault="006475DD" w:rsidP="006475DD">
      <w:pPr>
        <w:pStyle w:val="paragraph"/>
      </w:pPr>
      <w:r>
        <w:tab/>
        <w:t>(a)</w:t>
      </w:r>
      <w:r>
        <w:tab/>
        <w:t>if the whole of the interest is a percentage</w:t>
      </w:r>
      <w:r w:rsidR="001952B3">
        <w:noBreakHyphen/>
      </w:r>
      <w:r>
        <w:t xml:space="preserve">only interest—under </w:t>
      </w:r>
      <w:r w:rsidR="00CB78B9">
        <w:t>section 6</w:t>
      </w:r>
      <w:r w:rsidR="00485CC2">
        <w:t>9</w:t>
      </w:r>
      <w:r>
        <w:t>; or</w:t>
      </w:r>
    </w:p>
    <w:p w14:paraId="44815323" w14:textId="3BAA4CBB" w:rsidR="006475DD" w:rsidRDefault="006475DD" w:rsidP="006475DD">
      <w:pPr>
        <w:pStyle w:val="paragraph"/>
      </w:pPr>
      <w:r>
        <w:tab/>
        <w:t>(b)</w:t>
      </w:r>
      <w:r>
        <w:tab/>
        <w:t xml:space="preserve">if the whole of the interest is an </w:t>
      </w:r>
      <w:r w:rsidRPr="00A058B6">
        <w:t xml:space="preserve">innovative superannuation interest </w:t>
      </w:r>
      <w:r>
        <w:t>that is not a percentage</w:t>
      </w:r>
      <w:r w:rsidR="001952B3">
        <w:noBreakHyphen/>
      </w:r>
      <w:r>
        <w:t xml:space="preserve">only interest—under </w:t>
      </w:r>
      <w:r w:rsidR="00CB78B9">
        <w:t>section 6</w:t>
      </w:r>
      <w:r w:rsidR="00485CC2">
        <w:t>8</w:t>
      </w:r>
      <w:r>
        <w:t>; or</w:t>
      </w:r>
    </w:p>
    <w:p w14:paraId="305F3092" w14:textId="6E6B409C" w:rsidR="00A55FD4" w:rsidRPr="00A058B6" w:rsidRDefault="00A55FD4" w:rsidP="00A55FD4">
      <w:pPr>
        <w:pStyle w:val="paragraph"/>
      </w:pPr>
      <w:r>
        <w:tab/>
        <w:t>(c)</w:t>
      </w:r>
      <w:r>
        <w:tab/>
        <w:t xml:space="preserve">if neither </w:t>
      </w:r>
      <w:r w:rsidR="00453C86">
        <w:t>paragraph (</w:t>
      </w:r>
      <w:r>
        <w:t>a) nor (b) applies to the interest—</w:t>
      </w:r>
      <w:r w:rsidRPr="00A058B6">
        <w:t>under the table</w:t>
      </w:r>
      <w:r>
        <w:t xml:space="preserve"> at the end of this section.</w:t>
      </w:r>
    </w:p>
    <w:p w14:paraId="4ED7161F" w14:textId="77777777" w:rsidR="00D930D9" w:rsidRPr="00A058B6" w:rsidRDefault="00D930D9" w:rsidP="00D930D9">
      <w:pPr>
        <w:pStyle w:val="Definition"/>
      </w:pPr>
      <w:r w:rsidRPr="00A058B6">
        <w:rPr>
          <w:b/>
          <w:i/>
        </w:rPr>
        <w:t>each earlier relevant amount payable in respect of the superannuation interest</w:t>
      </w:r>
      <w:r w:rsidRPr="00A058B6">
        <w:t xml:space="preserve"> means each amount (if any) payable under a payment split:</w:t>
      </w:r>
    </w:p>
    <w:p w14:paraId="2C788F3C" w14:textId="77777777" w:rsidR="00D930D9" w:rsidRPr="00A058B6" w:rsidRDefault="00D930D9" w:rsidP="00D930D9">
      <w:pPr>
        <w:pStyle w:val="paragraph"/>
      </w:pPr>
      <w:r w:rsidRPr="00A058B6">
        <w:tab/>
        <w:t>(a)</w:t>
      </w:r>
      <w:r w:rsidRPr="00A058B6">
        <w:tab/>
        <w:t>applying in relation to a splittable payment in respect of the superannuation interest; and</w:t>
      </w:r>
    </w:p>
    <w:p w14:paraId="281BC0D2" w14:textId="77777777" w:rsidR="00D930D9" w:rsidRPr="00A058B6" w:rsidRDefault="00D930D9" w:rsidP="00D930D9">
      <w:pPr>
        <w:pStyle w:val="paragraph"/>
      </w:pPr>
      <w:r w:rsidRPr="00A058B6">
        <w:tab/>
        <w:t>(b)</w:t>
      </w:r>
      <w:r w:rsidRPr="00A058B6">
        <w:tab/>
        <w:t>having an operative time before the relevant date</w:t>
      </w:r>
      <w:r w:rsidR="00D7157D">
        <w:t>.</w:t>
      </w:r>
    </w:p>
    <w:p w14:paraId="4BC111D4" w14:textId="77777777" w:rsidR="00D930D9" w:rsidRPr="00A058B6" w:rsidRDefault="00D930D9" w:rsidP="00D930D9">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3"/>
        <w:gridCol w:w="5099"/>
        <w:gridCol w:w="2501"/>
      </w:tblGrid>
      <w:tr w:rsidR="00D930D9" w:rsidRPr="00A058B6" w14:paraId="4D537E39" w14:textId="77777777" w:rsidTr="0001009F">
        <w:trPr>
          <w:tblHeader/>
        </w:trPr>
        <w:tc>
          <w:tcPr>
            <w:tcW w:w="5000" w:type="pct"/>
            <w:gridSpan w:val="3"/>
            <w:tcBorders>
              <w:top w:val="single" w:sz="12" w:space="0" w:color="auto"/>
              <w:bottom w:val="single" w:sz="6" w:space="0" w:color="auto"/>
            </w:tcBorders>
            <w:shd w:val="clear" w:color="auto" w:fill="auto"/>
          </w:tcPr>
          <w:p w14:paraId="48D5CE2D" w14:textId="77777777" w:rsidR="00D930D9" w:rsidRPr="00A058B6" w:rsidRDefault="00D930D9" w:rsidP="00445157">
            <w:pPr>
              <w:pStyle w:val="TableHeading"/>
            </w:pPr>
            <w:r w:rsidRPr="00A058B6">
              <w:t>Working out the gross value of the superannuation interest at the relevant date</w:t>
            </w:r>
          </w:p>
        </w:tc>
      </w:tr>
      <w:tr w:rsidR="00D930D9" w:rsidRPr="00A058B6" w14:paraId="3B3A9D00" w14:textId="77777777" w:rsidTr="0001009F">
        <w:trPr>
          <w:tblHeader/>
        </w:trPr>
        <w:tc>
          <w:tcPr>
            <w:tcW w:w="429" w:type="pct"/>
            <w:tcBorders>
              <w:top w:val="single" w:sz="6" w:space="0" w:color="auto"/>
              <w:bottom w:val="single" w:sz="12" w:space="0" w:color="auto"/>
            </w:tcBorders>
            <w:shd w:val="clear" w:color="auto" w:fill="auto"/>
          </w:tcPr>
          <w:p w14:paraId="171E1D70" w14:textId="77777777" w:rsidR="00D930D9" w:rsidRPr="00A058B6" w:rsidRDefault="00D930D9" w:rsidP="00445157">
            <w:pPr>
              <w:pStyle w:val="TableHeading"/>
            </w:pPr>
            <w:r w:rsidRPr="00A058B6">
              <w:t>Item</w:t>
            </w:r>
          </w:p>
        </w:tc>
        <w:tc>
          <w:tcPr>
            <w:tcW w:w="3067" w:type="pct"/>
            <w:tcBorders>
              <w:top w:val="single" w:sz="6" w:space="0" w:color="auto"/>
              <w:bottom w:val="single" w:sz="12" w:space="0" w:color="auto"/>
            </w:tcBorders>
            <w:shd w:val="clear" w:color="auto" w:fill="auto"/>
          </w:tcPr>
          <w:p w14:paraId="795C0529" w14:textId="77777777" w:rsidR="00D930D9" w:rsidRPr="00A058B6" w:rsidRDefault="00D930D9" w:rsidP="00445157">
            <w:pPr>
              <w:pStyle w:val="TableHeading"/>
            </w:pPr>
            <w:r w:rsidRPr="00A058B6">
              <w:t>If:</w:t>
            </w:r>
          </w:p>
        </w:tc>
        <w:tc>
          <w:tcPr>
            <w:tcW w:w="1504" w:type="pct"/>
            <w:tcBorders>
              <w:top w:val="single" w:sz="6" w:space="0" w:color="auto"/>
              <w:bottom w:val="single" w:sz="12" w:space="0" w:color="auto"/>
            </w:tcBorders>
            <w:shd w:val="clear" w:color="auto" w:fill="auto"/>
          </w:tcPr>
          <w:p w14:paraId="5A3EEDEE" w14:textId="77777777" w:rsidR="00D930D9" w:rsidRPr="00A058B6" w:rsidRDefault="00D930D9" w:rsidP="00445157">
            <w:pPr>
              <w:pStyle w:val="TableHeading"/>
            </w:pPr>
            <w:r w:rsidRPr="00A058B6">
              <w:t>the interest’s gross value is calculated under:</w:t>
            </w:r>
          </w:p>
        </w:tc>
      </w:tr>
      <w:tr w:rsidR="00D930D9" w:rsidRPr="00A058B6" w14:paraId="7E155815" w14:textId="77777777" w:rsidTr="0001009F">
        <w:tc>
          <w:tcPr>
            <w:tcW w:w="429" w:type="pct"/>
            <w:tcBorders>
              <w:top w:val="single" w:sz="12" w:space="0" w:color="auto"/>
            </w:tcBorders>
            <w:shd w:val="clear" w:color="auto" w:fill="auto"/>
          </w:tcPr>
          <w:p w14:paraId="52A5E529" w14:textId="77777777" w:rsidR="00D930D9" w:rsidRPr="00A058B6" w:rsidRDefault="00D930D9" w:rsidP="00445157">
            <w:pPr>
              <w:pStyle w:val="Tabletext"/>
            </w:pPr>
            <w:r w:rsidRPr="00A058B6">
              <w:t>1</w:t>
            </w:r>
          </w:p>
        </w:tc>
        <w:tc>
          <w:tcPr>
            <w:tcW w:w="3067" w:type="pct"/>
            <w:tcBorders>
              <w:top w:val="single" w:sz="12" w:space="0" w:color="auto"/>
            </w:tcBorders>
            <w:shd w:val="clear" w:color="auto" w:fill="auto"/>
          </w:tcPr>
          <w:p w14:paraId="41553FC5" w14:textId="77777777" w:rsidR="00676F76" w:rsidRPr="00A058B6" w:rsidRDefault="00D930D9" w:rsidP="0001009F">
            <w:pPr>
              <w:pStyle w:val="Tabletext"/>
            </w:pPr>
            <w:r w:rsidRPr="00A058B6">
              <w:t>the whole, or the remaining part, of the benefits in respect of the superannuation interest is payable only as one or more lump sums</w:t>
            </w:r>
          </w:p>
        </w:tc>
        <w:tc>
          <w:tcPr>
            <w:tcW w:w="1504" w:type="pct"/>
            <w:tcBorders>
              <w:top w:val="single" w:sz="12" w:space="0" w:color="auto"/>
            </w:tcBorders>
            <w:shd w:val="clear" w:color="auto" w:fill="auto"/>
          </w:tcPr>
          <w:p w14:paraId="7E7C354A" w14:textId="584AACB7" w:rsidR="00D930D9" w:rsidRPr="00A058B6" w:rsidRDefault="00CB78B9" w:rsidP="00445157">
            <w:pPr>
              <w:pStyle w:val="Tabletext"/>
            </w:pPr>
            <w:r>
              <w:t>section 6</w:t>
            </w:r>
            <w:r w:rsidR="00485CC2">
              <w:t>5</w:t>
            </w:r>
            <w:r w:rsidR="00D7157D">
              <w:t>.</w:t>
            </w:r>
          </w:p>
        </w:tc>
      </w:tr>
      <w:tr w:rsidR="00D930D9" w:rsidRPr="00A058B6" w14:paraId="3584CCC1" w14:textId="77777777" w:rsidTr="0001009F">
        <w:tc>
          <w:tcPr>
            <w:tcW w:w="429" w:type="pct"/>
            <w:tcBorders>
              <w:bottom w:val="single" w:sz="2" w:space="0" w:color="auto"/>
            </w:tcBorders>
            <w:shd w:val="clear" w:color="auto" w:fill="auto"/>
          </w:tcPr>
          <w:p w14:paraId="13E115BE" w14:textId="77777777" w:rsidR="00D930D9" w:rsidRPr="00A058B6" w:rsidRDefault="00D930D9" w:rsidP="00445157">
            <w:pPr>
              <w:pStyle w:val="Tabletext"/>
            </w:pPr>
            <w:r w:rsidRPr="00A058B6">
              <w:t>2</w:t>
            </w:r>
          </w:p>
        </w:tc>
        <w:tc>
          <w:tcPr>
            <w:tcW w:w="3067" w:type="pct"/>
            <w:tcBorders>
              <w:bottom w:val="single" w:sz="2" w:space="0" w:color="auto"/>
            </w:tcBorders>
            <w:shd w:val="clear" w:color="auto" w:fill="auto"/>
          </w:tcPr>
          <w:p w14:paraId="3D0BD418" w14:textId="77777777" w:rsidR="00676F76" w:rsidRPr="00A058B6" w:rsidRDefault="00D930D9" w:rsidP="0001009F">
            <w:pPr>
              <w:pStyle w:val="Tabletext"/>
            </w:pPr>
            <w:r w:rsidRPr="00A058B6">
              <w:t>the benefits in respect of the superannuation interest are being paid as a pension at the relevant date</w:t>
            </w:r>
          </w:p>
        </w:tc>
        <w:tc>
          <w:tcPr>
            <w:tcW w:w="1504" w:type="pct"/>
            <w:tcBorders>
              <w:bottom w:val="single" w:sz="2" w:space="0" w:color="auto"/>
            </w:tcBorders>
            <w:shd w:val="clear" w:color="auto" w:fill="auto"/>
          </w:tcPr>
          <w:p w14:paraId="09D46DCB" w14:textId="3B14B174" w:rsidR="00D930D9" w:rsidRPr="00A058B6" w:rsidRDefault="00CB78B9" w:rsidP="00445157">
            <w:pPr>
              <w:pStyle w:val="Tabletext"/>
            </w:pPr>
            <w:r>
              <w:t>section 6</w:t>
            </w:r>
            <w:r w:rsidR="00485CC2">
              <w:t>6</w:t>
            </w:r>
            <w:r w:rsidR="00D7157D">
              <w:t>.</w:t>
            </w:r>
          </w:p>
        </w:tc>
      </w:tr>
      <w:tr w:rsidR="00D930D9" w:rsidRPr="00A058B6" w14:paraId="0DBBB9E2" w14:textId="77777777" w:rsidTr="0001009F">
        <w:tc>
          <w:tcPr>
            <w:tcW w:w="429" w:type="pct"/>
            <w:tcBorders>
              <w:top w:val="single" w:sz="2" w:space="0" w:color="auto"/>
              <w:bottom w:val="single" w:sz="12" w:space="0" w:color="auto"/>
            </w:tcBorders>
            <w:shd w:val="clear" w:color="auto" w:fill="auto"/>
          </w:tcPr>
          <w:p w14:paraId="42AFD0F2" w14:textId="77777777" w:rsidR="00D930D9" w:rsidRPr="00A058B6" w:rsidRDefault="00D930D9" w:rsidP="00445157">
            <w:pPr>
              <w:pStyle w:val="Tabletext"/>
            </w:pPr>
            <w:r w:rsidRPr="00A058B6">
              <w:lastRenderedPageBreak/>
              <w:t>3</w:t>
            </w:r>
          </w:p>
        </w:tc>
        <w:tc>
          <w:tcPr>
            <w:tcW w:w="3067" w:type="pct"/>
            <w:tcBorders>
              <w:top w:val="single" w:sz="2" w:space="0" w:color="auto"/>
              <w:bottom w:val="single" w:sz="12" w:space="0" w:color="auto"/>
            </w:tcBorders>
            <w:shd w:val="clear" w:color="auto" w:fill="auto"/>
          </w:tcPr>
          <w:p w14:paraId="6DEF9CAB" w14:textId="77777777" w:rsidR="00D930D9" w:rsidRPr="00A058B6" w:rsidRDefault="00D930D9" w:rsidP="00445157">
            <w:pPr>
              <w:pStyle w:val="Tablea"/>
            </w:pPr>
            <w:r w:rsidRPr="00A058B6">
              <w:t>(a) part of the benefits in respect of the superannuation interest is being paid as a pension at the relevant date; and</w:t>
            </w:r>
          </w:p>
          <w:p w14:paraId="1C5A3446" w14:textId="77777777" w:rsidR="00A60F23" w:rsidRPr="00A058B6" w:rsidRDefault="00D930D9" w:rsidP="00445157">
            <w:pPr>
              <w:pStyle w:val="Tablea"/>
            </w:pPr>
            <w:r w:rsidRPr="00A058B6">
              <w:t>(b) the remaining part of the benefits is payable as a lump sum (either at the relevant date or at any time after that date) that is not a commutation of the pension</w:t>
            </w:r>
          </w:p>
        </w:tc>
        <w:tc>
          <w:tcPr>
            <w:tcW w:w="1504" w:type="pct"/>
            <w:tcBorders>
              <w:top w:val="single" w:sz="2" w:space="0" w:color="auto"/>
              <w:bottom w:val="single" w:sz="12" w:space="0" w:color="auto"/>
            </w:tcBorders>
            <w:shd w:val="clear" w:color="auto" w:fill="auto"/>
          </w:tcPr>
          <w:p w14:paraId="4B94277D" w14:textId="28E4CD7D" w:rsidR="00D930D9" w:rsidRPr="00A058B6" w:rsidRDefault="00CB78B9" w:rsidP="00445157">
            <w:pPr>
              <w:pStyle w:val="Tabletext"/>
            </w:pPr>
            <w:r>
              <w:t>section 6</w:t>
            </w:r>
            <w:r w:rsidR="00485CC2">
              <w:t>7</w:t>
            </w:r>
            <w:r w:rsidR="00D7157D">
              <w:t>.</w:t>
            </w:r>
          </w:p>
        </w:tc>
      </w:tr>
    </w:tbl>
    <w:p w14:paraId="75D6D3E9" w14:textId="77777777" w:rsidR="0001009F" w:rsidRDefault="0001009F" w:rsidP="0001009F">
      <w:pPr>
        <w:pStyle w:val="notetext"/>
      </w:pPr>
      <w:r>
        <w:t>Note:</w:t>
      </w:r>
      <w:r>
        <w:tab/>
        <w:t xml:space="preserve">The above definition of </w:t>
      </w:r>
      <w:r w:rsidRPr="00A058B6">
        <w:rPr>
          <w:b/>
          <w:i/>
        </w:rPr>
        <w:t>gross value of the superannuation interest at the relevant date</w:t>
      </w:r>
      <w:r>
        <w:t xml:space="preserve"> provides that if the superannuation interest:</w:t>
      </w:r>
    </w:p>
    <w:p w14:paraId="4D8C966B" w14:textId="4FC43A0D" w:rsidR="0001009F" w:rsidRDefault="0001009F" w:rsidP="0001009F">
      <w:pPr>
        <w:pStyle w:val="notepara"/>
      </w:pPr>
      <w:r>
        <w:t>(a)</w:t>
      </w:r>
      <w:r>
        <w:tab/>
        <w:t>is a percentage</w:t>
      </w:r>
      <w:r w:rsidR="001952B3">
        <w:noBreakHyphen/>
      </w:r>
      <w:r>
        <w:t xml:space="preserve">only interest, then only look at </w:t>
      </w:r>
      <w:r w:rsidR="00CB78B9">
        <w:t>section 6</w:t>
      </w:r>
      <w:r w:rsidR="00485CC2">
        <w:t>9</w:t>
      </w:r>
      <w:r>
        <w:t>; or</w:t>
      </w:r>
    </w:p>
    <w:p w14:paraId="25735B9E" w14:textId="6899C161" w:rsidR="0001009F" w:rsidRPr="00AD2F5C" w:rsidRDefault="0001009F" w:rsidP="0001009F">
      <w:pPr>
        <w:pStyle w:val="notepara"/>
      </w:pPr>
      <w:r>
        <w:t>(b)</w:t>
      </w:r>
      <w:r>
        <w:tab/>
        <w:t xml:space="preserve">is an </w:t>
      </w:r>
      <w:r w:rsidRPr="00A058B6">
        <w:t xml:space="preserve">innovative superannuation interest </w:t>
      </w:r>
      <w:r>
        <w:t>that is not a percentage</w:t>
      </w:r>
      <w:r w:rsidR="001952B3">
        <w:noBreakHyphen/>
      </w:r>
      <w:r>
        <w:t xml:space="preserve">only interest, then only look at </w:t>
      </w:r>
      <w:r w:rsidR="00CB78B9">
        <w:t>section 6</w:t>
      </w:r>
      <w:r w:rsidR="00485CC2">
        <w:t>8</w:t>
      </w:r>
      <w:r>
        <w:t>.</w:t>
      </w:r>
    </w:p>
    <w:p w14:paraId="558E8095" w14:textId="22B2B863" w:rsidR="00D930D9" w:rsidRPr="00A058B6" w:rsidRDefault="00485CC2" w:rsidP="00D930D9">
      <w:pPr>
        <w:pStyle w:val="ActHead5"/>
      </w:pPr>
      <w:bookmarkStart w:id="95" w:name="_Toc188350582"/>
      <w:r w:rsidRPr="00423C34">
        <w:rPr>
          <w:rStyle w:val="CharSectno"/>
        </w:rPr>
        <w:t>65</w:t>
      </w:r>
      <w:r w:rsidR="00D930D9" w:rsidRPr="00A058B6">
        <w:t xml:space="preserve">  Gross value—benefits payable only as one or more lump sums</w:t>
      </w:r>
      <w:bookmarkEnd w:id="95"/>
    </w:p>
    <w:p w14:paraId="56E7B935" w14:textId="725DF9A7" w:rsidR="00D930D9" w:rsidRPr="00A058B6" w:rsidRDefault="00D930D9" w:rsidP="00D930D9">
      <w:pPr>
        <w:pStyle w:val="subsection"/>
      </w:pPr>
      <w:r w:rsidRPr="00A058B6">
        <w:tab/>
      </w:r>
      <w:r w:rsidRPr="00A058B6">
        <w:tab/>
        <w:t xml:space="preserve">If item 1 of the table in </w:t>
      </w:r>
      <w:r w:rsidR="00CB78B9">
        <w:t>section 6</w:t>
      </w:r>
      <w:r w:rsidR="00485CC2">
        <w:t>4</w:t>
      </w:r>
      <w:r w:rsidRPr="00A058B6">
        <w:t xml:space="preserve"> applies for the superannuation interest, the </w:t>
      </w:r>
      <w:r w:rsidRPr="00A058B6">
        <w:rPr>
          <w:b/>
          <w:i/>
        </w:rPr>
        <w:t>gross value of the superannuation interest at the relevant date</w:t>
      </w:r>
      <w:r w:rsidRPr="00A058B6">
        <w:t xml:space="preserve"> is the withdrawal benefit in relation to the member spouse at that date</w:t>
      </w:r>
      <w:r w:rsidR="00D7157D">
        <w:t>.</w:t>
      </w:r>
    </w:p>
    <w:p w14:paraId="12B9015F" w14:textId="7016FDF2" w:rsidR="00D930D9" w:rsidRPr="00A058B6" w:rsidRDefault="00485CC2" w:rsidP="00D930D9">
      <w:pPr>
        <w:pStyle w:val="ActHead5"/>
      </w:pPr>
      <w:bookmarkStart w:id="96" w:name="_Toc188350583"/>
      <w:r w:rsidRPr="00423C34">
        <w:rPr>
          <w:rStyle w:val="CharSectno"/>
        </w:rPr>
        <w:t>66</w:t>
      </w:r>
      <w:r w:rsidR="00D930D9" w:rsidRPr="00A058B6">
        <w:t xml:space="preserve">  Gross value—benefits paid as pension</w:t>
      </w:r>
      <w:bookmarkEnd w:id="96"/>
    </w:p>
    <w:p w14:paraId="5E764831" w14:textId="0F2CBB06" w:rsidR="00D930D9" w:rsidRPr="00A058B6" w:rsidRDefault="00D930D9" w:rsidP="00D930D9">
      <w:pPr>
        <w:pStyle w:val="subsection"/>
      </w:pPr>
      <w:r w:rsidRPr="00A058B6">
        <w:tab/>
        <w:t>(1)</w:t>
      </w:r>
      <w:r w:rsidRPr="00A058B6">
        <w:tab/>
        <w:t xml:space="preserve">This section applies for the superannuation interest if item 2 of the table in </w:t>
      </w:r>
      <w:r w:rsidR="00CB78B9">
        <w:t>section 6</w:t>
      </w:r>
      <w:r w:rsidR="00485CC2">
        <w:t>4</w:t>
      </w:r>
      <w:r w:rsidRPr="00A058B6">
        <w:t xml:space="preserve"> applies for the interest</w:t>
      </w:r>
      <w:r w:rsidR="00D7157D">
        <w:t>.</w:t>
      </w:r>
    </w:p>
    <w:p w14:paraId="7ABC5FDB" w14:textId="77777777" w:rsidR="00D930D9" w:rsidRPr="00A058B6" w:rsidRDefault="00D930D9" w:rsidP="00D930D9">
      <w:pPr>
        <w:pStyle w:val="SubsectionHead"/>
      </w:pPr>
      <w:r w:rsidRPr="00A058B6">
        <w:t>Pension payable for the life of the member spouse</w:t>
      </w:r>
    </w:p>
    <w:p w14:paraId="27B64F85" w14:textId="77777777" w:rsidR="00D930D9" w:rsidRPr="00A058B6" w:rsidRDefault="00D930D9" w:rsidP="00D930D9">
      <w:pPr>
        <w:pStyle w:val="subsection"/>
      </w:pPr>
      <w:r w:rsidRPr="00A058B6">
        <w:tab/>
        <w:t>(2)</w:t>
      </w:r>
      <w:r w:rsidRPr="00A058B6">
        <w:tab/>
        <w:t xml:space="preserve">If the pension is payable for the life of the member spouse, the </w:t>
      </w:r>
      <w:r w:rsidRPr="00A058B6">
        <w:rPr>
          <w:b/>
          <w:i/>
        </w:rPr>
        <w:t>gross value of the superannuation interest at the relevant date</w:t>
      </w:r>
      <w:r w:rsidRPr="00A058B6">
        <w:t xml:space="preserve"> is to be determined using:</w:t>
      </w:r>
    </w:p>
    <w:p w14:paraId="181557A4" w14:textId="1E25CC79" w:rsidR="00D930D9" w:rsidRPr="00A058B6" w:rsidRDefault="00D930D9" w:rsidP="00D930D9">
      <w:pPr>
        <w:pStyle w:val="paragraph"/>
      </w:pPr>
      <w:r w:rsidRPr="00A058B6">
        <w:tab/>
        <w:t>(a)</w:t>
      </w:r>
      <w:r w:rsidRPr="00A058B6">
        <w:tab/>
        <w:t xml:space="preserve">if, under </w:t>
      </w:r>
      <w:r w:rsidR="00CB78B9">
        <w:t>section 7</w:t>
      </w:r>
      <w:r w:rsidR="00485CC2">
        <w:t>0</w:t>
      </w:r>
      <w:r w:rsidRPr="00A058B6">
        <w:t>, the Minister has approved a method or factors to be used to determine the gross value of the interest—the approved method or factors; or</w:t>
      </w:r>
    </w:p>
    <w:p w14:paraId="05CFFC82" w14:textId="0DE52C0D" w:rsidR="00D930D9" w:rsidRDefault="00D930D9" w:rsidP="00D930D9">
      <w:pPr>
        <w:pStyle w:val="paragraph"/>
      </w:pPr>
      <w:r w:rsidRPr="00A058B6">
        <w:tab/>
        <w:t>(b)</w:t>
      </w:r>
      <w:r w:rsidRPr="00A058B6">
        <w:tab/>
      </w:r>
      <w:r>
        <w:t xml:space="preserve">if </w:t>
      </w:r>
      <w:r w:rsidR="00453C86">
        <w:t>paragraph (</w:t>
      </w:r>
      <w:r>
        <w:t>a) does not apply and the pension is payable due to the member spouse’s invalidity</w:t>
      </w:r>
      <w:r w:rsidRPr="00A058B6">
        <w:t xml:space="preserve">—the method set out in </w:t>
      </w:r>
      <w:r w:rsidR="00453C86">
        <w:t>Schedule 7</w:t>
      </w:r>
      <w:r>
        <w:t>; or</w:t>
      </w:r>
    </w:p>
    <w:p w14:paraId="1716B71C" w14:textId="086B27BD" w:rsidR="00D930D9" w:rsidRDefault="00D930D9" w:rsidP="00D930D9">
      <w:pPr>
        <w:pStyle w:val="paragraph"/>
      </w:pPr>
      <w:r>
        <w:tab/>
        <w:t>(c)</w:t>
      </w:r>
      <w:r>
        <w:tab/>
        <w:t xml:space="preserve">if neither </w:t>
      </w:r>
      <w:r w:rsidR="00453C86">
        <w:t>paragraph (</w:t>
      </w:r>
      <w:r>
        <w:t>a) nor (b) applies—</w:t>
      </w:r>
      <w:r w:rsidRPr="00A058B6">
        <w:t xml:space="preserve">the method set out in </w:t>
      </w:r>
      <w:r w:rsidR="006211C7">
        <w:t>Schedule </w:t>
      </w:r>
      <w:r w:rsidR="00DA26B0">
        <w:t>5</w:t>
      </w:r>
      <w:r w:rsidR="00D7157D">
        <w:t>.</w:t>
      </w:r>
    </w:p>
    <w:p w14:paraId="5D7B6345" w14:textId="77777777" w:rsidR="00D930D9" w:rsidRPr="00A058B6" w:rsidRDefault="00D930D9" w:rsidP="00D930D9">
      <w:pPr>
        <w:pStyle w:val="SubsectionHead"/>
      </w:pPr>
      <w:r w:rsidRPr="00A058B6">
        <w:t>Pension payable for fixed term (other than market linked pension)</w:t>
      </w:r>
    </w:p>
    <w:p w14:paraId="619C2D73" w14:textId="77777777" w:rsidR="00A43870" w:rsidRPr="00A058B6" w:rsidRDefault="00A43870" w:rsidP="00A43870">
      <w:pPr>
        <w:pStyle w:val="subsection"/>
      </w:pPr>
      <w:r w:rsidRPr="00A058B6">
        <w:tab/>
        <w:t>(</w:t>
      </w:r>
      <w:r>
        <w:t>3</w:t>
      </w:r>
      <w:r w:rsidRPr="00A058B6">
        <w:t>)</w:t>
      </w:r>
      <w:r w:rsidRPr="00A058B6">
        <w:tab/>
      </w:r>
      <w:r w:rsidR="007817E0" w:rsidRPr="00A058B6">
        <w:rPr>
          <w:color w:val="000000"/>
        </w:rPr>
        <w:t>If the pension is payable for a fixed term only and the pension is not a market linked pension,</w:t>
      </w:r>
      <w:r w:rsidR="007817E0" w:rsidRPr="00A058B6">
        <w:t xml:space="preserve"> the </w:t>
      </w:r>
      <w:r w:rsidR="007817E0" w:rsidRPr="00A058B6">
        <w:rPr>
          <w:b/>
          <w:i/>
        </w:rPr>
        <w:t>gross value of the superannuation interest at the relevant date</w:t>
      </w:r>
      <w:r w:rsidR="007817E0" w:rsidRPr="00A058B6">
        <w:t xml:space="preserve"> is to be determined using</w:t>
      </w:r>
      <w:r w:rsidRPr="00A058B6">
        <w:t>:</w:t>
      </w:r>
    </w:p>
    <w:p w14:paraId="3F887762" w14:textId="534E7D6E" w:rsidR="00A43870" w:rsidRPr="00A058B6" w:rsidRDefault="00A43870" w:rsidP="00A43870">
      <w:pPr>
        <w:pStyle w:val="paragraph"/>
      </w:pPr>
      <w:r w:rsidRPr="00A058B6">
        <w:tab/>
        <w:t>(a)</w:t>
      </w:r>
      <w:r w:rsidRPr="00A058B6">
        <w:tab/>
        <w:t xml:space="preserve">if, under </w:t>
      </w:r>
      <w:r w:rsidR="00CB78B9">
        <w:t>section 7</w:t>
      </w:r>
      <w:r w:rsidR="00485CC2">
        <w:t>0</w:t>
      </w:r>
      <w:r w:rsidRPr="00A058B6">
        <w:t>, the Minister has approved a method or factors to be used to determine the gross value of the interest—the approved method or factors; or</w:t>
      </w:r>
    </w:p>
    <w:p w14:paraId="7158C5F0" w14:textId="63E339B1" w:rsidR="00A43870" w:rsidRDefault="00A43870" w:rsidP="00A43870">
      <w:pPr>
        <w:pStyle w:val="paragraph"/>
      </w:pPr>
      <w:r w:rsidRPr="00A058B6">
        <w:tab/>
        <w:t>(b)</w:t>
      </w:r>
      <w:r w:rsidRPr="00A058B6">
        <w:tab/>
      </w:r>
      <w:r>
        <w:t xml:space="preserve">if </w:t>
      </w:r>
      <w:r w:rsidR="00453C86">
        <w:t>paragraph (</w:t>
      </w:r>
      <w:r>
        <w:t>a) does not apply—</w:t>
      </w:r>
      <w:r w:rsidRPr="00A058B6">
        <w:t xml:space="preserve">the method set out in </w:t>
      </w:r>
      <w:r w:rsidR="00453C86">
        <w:t>Schedule 8</w:t>
      </w:r>
      <w:r>
        <w:t>.</w:t>
      </w:r>
    </w:p>
    <w:p w14:paraId="75AE7222" w14:textId="77777777" w:rsidR="00D930D9" w:rsidRPr="00A058B6" w:rsidRDefault="00D930D9" w:rsidP="00D930D9">
      <w:pPr>
        <w:pStyle w:val="SubsectionHead"/>
      </w:pPr>
      <w:r w:rsidRPr="00A058B6">
        <w:t>Allocated pension</w:t>
      </w:r>
    </w:p>
    <w:p w14:paraId="405D7C8F" w14:textId="77777777" w:rsidR="00D930D9" w:rsidRPr="00A058B6" w:rsidRDefault="00D930D9" w:rsidP="00D930D9">
      <w:pPr>
        <w:pStyle w:val="subsection"/>
      </w:pPr>
      <w:r w:rsidRPr="00A058B6">
        <w:tab/>
        <w:t>(4)</w:t>
      </w:r>
      <w:r w:rsidRPr="00A058B6">
        <w:tab/>
        <w:t xml:space="preserve">If the pension is an allocated pension, the </w:t>
      </w:r>
      <w:r w:rsidRPr="00A058B6">
        <w:rPr>
          <w:b/>
          <w:i/>
        </w:rPr>
        <w:t>gross value of the superannuation interest at the relevant date</w:t>
      </w:r>
      <w:r w:rsidRPr="00A058B6">
        <w:t xml:space="preserve"> is to be the withdrawal benefit in relation to the member spouse at that date</w:t>
      </w:r>
      <w:r w:rsidR="00D7157D">
        <w:t>.</w:t>
      </w:r>
    </w:p>
    <w:p w14:paraId="5D805DAD" w14:textId="77777777" w:rsidR="00D930D9" w:rsidRPr="00A058B6" w:rsidRDefault="00D930D9" w:rsidP="00D930D9">
      <w:pPr>
        <w:pStyle w:val="SubsectionHead"/>
      </w:pPr>
      <w:r w:rsidRPr="00A058B6">
        <w:lastRenderedPageBreak/>
        <w:t>Market linked pension</w:t>
      </w:r>
    </w:p>
    <w:p w14:paraId="2096ACFC" w14:textId="77777777" w:rsidR="00D930D9" w:rsidRPr="00A058B6" w:rsidRDefault="00D930D9" w:rsidP="00D930D9">
      <w:pPr>
        <w:pStyle w:val="subsection"/>
        <w:rPr>
          <w:color w:val="000000"/>
        </w:rPr>
      </w:pPr>
      <w:r w:rsidRPr="00A058B6">
        <w:rPr>
          <w:color w:val="000000"/>
        </w:rPr>
        <w:tab/>
        <w:t>(5)</w:t>
      </w:r>
      <w:r w:rsidRPr="00A058B6">
        <w:rPr>
          <w:color w:val="000000"/>
        </w:rPr>
        <w:tab/>
        <w:t xml:space="preserve">If the pension is a market linked pension, the </w:t>
      </w:r>
      <w:r w:rsidRPr="00A058B6">
        <w:rPr>
          <w:b/>
          <w:i/>
        </w:rPr>
        <w:t>gross value of the superannuation interest at the relevant date</w:t>
      </w:r>
      <w:r w:rsidRPr="00A058B6">
        <w:t xml:space="preserve"> </w:t>
      </w:r>
      <w:r w:rsidRPr="00A058B6">
        <w:rPr>
          <w:color w:val="000000"/>
        </w:rPr>
        <w:t>is the market linked pension account balance at that date</w:t>
      </w:r>
      <w:r w:rsidR="00D7157D">
        <w:rPr>
          <w:color w:val="000000"/>
        </w:rPr>
        <w:t>.</w:t>
      </w:r>
    </w:p>
    <w:p w14:paraId="4F77120B" w14:textId="36777026" w:rsidR="00D930D9" w:rsidRPr="00A058B6" w:rsidRDefault="00485CC2" w:rsidP="00D930D9">
      <w:pPr>
        <w:pStyle w:val="ActHead5"/>
      </w:pPr>
      <w:bookmarkStart w:id="97" w:name="_Toc188350584"/>
      <w:r w:rsidRPr="00423C34">
        <w:rPr>
          <w:rStyle w:val="CharSectno"/>
        </w:rPr>
        <w:t>67</w:t>
      </w:r>
      <w:r w:rsidR="00D930D9" w:rsidRPr="00A058B6">
        <w:t xml:space="preserve">  Gross value—benefits paid as pension and lump sum also payable</w:t>
      </w:r>
      <w:bookmarkEnd w:id="97"/>
    </w:p>
    <w:p w14:paraId="25FC0950" w14:textId="681750EB" w:rsidR="00D930D9" w:rsidRPr="00A058B6" w:rsidRDefault="00D930D9" w:rsidP="00D930D9">
      <w:pPr>
        <w:pStyle w:val="subsection"/>
      </w:pPr>
      <w:r w:rsidRPr="00A058B6">
        <w:tab/>
        <w:t>(1)</w:t>
      </w:r>
      <w:r w:rsidRPr="00A058B6">
        <w:tab/>
        <w:t xml:space="preserve">This section applies for the superannuation interest if item 3 of the table in </w:t>
      </w:r>
      <w:r w:rsidR="00CB78B9">
        <w:t>section 6</w:t>
      </w:r>
      <w:r w:rsidR="00485CC2">
        <w:t>4</w:t>
      </w:r>
      <w:r w:rsidRPr="00A058B6">
        <w:t xml:space="preserve"> applies for the interest</w:t>
      </w:r>
      <w:r w:rsidR="00D7157D">
        <w:t>.</w:t>
      </w:r>
    </w:p>
    <w:p w14:paraId="50FE0952" w14:textId="77777777" w:rsidR="00D930D9" w:rsidRPr="00A058B6" w:rsidRDefault="00D930D9" w:rsidP="00D930D9">
      <w:pPr>
        <w:pStyle w:val="subsection"/>
      </w:pPr>
      <w:r w:rsidRPr="00A058B6">
        <w:tab/>
        <w:t>(2)</w:t>
      </w:r>
      <w:r w:rsidRPr="00A058B6">
        <w:tab/>
        <w:t xml:space="preserve">If the lump sum is payable at the relevant date, the </w:t>
      </w:r>
      <w:r w:rsidRPr="00A058B6">
        <w:rPr>
          <w:b/>
          <w:i/>
        </w:rPr>
        <w:t>gross value of the superannuation interest at the relevant date</w:t>
      </w:r>
      <w:r w:rsidRPr="00A058B6">
        <w:t xml:space="preserve"> is the sum of:</w:t>
      </w:r>
    </w:p>
    <w:p w14:paraId="3CB85EAA" w14:textId="412966DD" w:rsidR="00D930D9" w:rsidRPr="00A058B6" w:rsidRDefault="00D930D9" w:rsidP="00D930D9">
      <w:pPr>
        <w:pStyle w:val="paragraph"/>
      </w:pPr>
      <w:r w:rsidRPr="00A058B6">
        <w:tab/>
        <w:t>(a)</w:t>
      </w:r>
      <w:r w:rsidRPr="00A058B6">
        <w:tab/>
        <w:t xml:space="preserve">the gross value of the pension at the relevant date, as determined under </w:t>
      </w:r>
      <w:r w:rsidR="00CB78B9">
        <w:t>section 6</w:t>
      </w:r>
      <w:r w:rsidR="00485CC2">
        <w:t>6</w:t>
      </w:r>
      <w:r w:rsidRPr="00A058B6">
        <w:t>; and</w:t>
      </w:r>
    </w:p>
    <w:p w14:paraId="08146B5D" w14:textId="77777777" w:rsidR="00D930D9" w:rsidRPr="00A058B6" w:rsidRDefault="00D930D9" w:rsidP="00D930D9">
      <w:pPr>
        <w:pStyle w:val="paragraph"/>
      </w:pPr>
      <w:r w:rsidRPr="00A058B6">
        <w:tab/>
        <w:t>(b)</w:t>
      </w:r>
      <w:r w:rsidRPr="00A058B6">
        <w:tab/>
        <w:t>the amount of the lump sum</w:t>
      </w:r>
      <w:r w:rsidR="00D7157D">
        <w:t>.</w:t>
      </w:r>
    </w:p>
    <w:p w14:paraId="12678CD4" w14:textId="16925535" w:rsidR="00D930D9" w:rsidRPr="00A058B6" w:rsidRDefault="00D930D9" w:rsidP="00D930D9">
      <w:pPr>
        <w:pStyle w:val="subsection"/>
      </w:pPr>
      <w:r w:rsidRPr="00A058B6">
        <w:tab/>
        <w:t>(3)</w:t>
      </w:r>
      <w:r w:rsidRPr="00A058B6">
        <w:tab/>
        <w:t xml:space="preserve">If the lump sum is payable at any time after the relevant date, the </w:t>
      </w:r>
      <w:r w:rsidRPr="00A058B6">
        <w:rPr>
          <w:b/>
          <w:i/>
        </w:rPr>
        <w:t>gross value of the superannuation interest at the relevant date</w:t>
      </w:r>
      <w:r w:rsidRPr="00A058B6">
        <w:t xml:space="preserve"> is to be determined using the method set out in </w:t>
      </w:r>
      <w:r w:rsidR="00453C86">
        <w:t>Schedule 1</w:t>
      </w:r>
      <w:r w:rsidR="00366F59">
        <w:t>0</w:t>
      </w:r>
      <w:r w:rsidR="00D7157D">
        <w:t>.</w:t>
      </w:r>
    </w:p>
    <w:p w14:paraId="299263C7" w14:textId="100DF0D4" w:rsidR="00460BFF" w:rsidRPr="00A058B6" w:rsidRDefault="00485CC2" w:rsidP="00460BFF">
      <w:pPr>
        <w:pStyle w:val="ActHead5"/>
      </w:pPr>
      <w:bookmarkStart w:id="98" w:name="_Toc188350585"/>
      <w:r w:rsidRPr="00423C34">
        <w:rPr>
          <w:rStyle w:val="CharSectno"/>
        </w:rPr>
        <w:t>68</w:t>
      </w:r>
      <w:r w:rsidR="00460BFF" w:rsidRPr="00A058B6">
        <w:t xml:space="preserve">  Gross value—innovative superannuation interest</w:t>
      </w:r>
      <w:r w:rsidR="00F12667">
        <w:t>s in the payment phase</w:t>
      </w:r>
      <w:bookmarkEnd w:id="98"/>
    </w:p>
    <w:p w14:paraId="700A9D0F" w14:textId="28F2C50B" w:rsidR="00460BFF" w:rsidRPr="00A058B6" w:rsidRDefault="00460BFF" w:rsidP="00460BFF">
      <w:pPr>
        <w:pStyle w:val="subsection"/>
      </w:pPr>
      <w:r w:rsidRPr="00A058B6">
        <w:tab/>
        <w:t>(1)</w:t>
      </w:r>
      <w:r w:rsidRPr="00A058B6">
        <w:tab/>
        <w:t xml:space="preserve">This section applies for the superannuation interest if </w:t>
      </w:r>
      <w:r>
        <w:t xml:space="preserve">the whole of the interest is an </w:t>
      </w:r>
      <w:r w:rsidRPr="00A058B6">
        <w:t xml:space="preserve">innovative superannuation interest </w:t>
      </w:r>
      <w:r>
        <w:t>that is not a percentage</w:t>
      </w:r>
      <w:r w:rsidR="001952B3">
        <w:noBreakHyphen/>
      </w:r>
      <w:r>
        <w:t>only interest.</w:t>
      </w:r>
    </w:p>
    <w:p w14:paraId="62384B7F" w14:textId="6E39EE62" w:rsidR="00BF6136" w:rsidRPr="00777C9B" w:rsidRDefault="00BF6136" w:rsidP="00BF6136">
      <w:pPr>
        <w:pStyle w:val="notetext"/>
      </w:pPr>
      <w:r>
        <w:t>Note:</w:t>
      </w:r>
      <w:r>
        <w:tab/>
        <w:t>Innovative superannuation interests that are annuities are percentage</w:t>
      </w:r>
      <w:r w:rsidR="001952B3">
        <w:noBreakHyphen/>
      </w:r>
      <w:r>
        <w:t xml:space="preserve">only interests, and so are dealt with by </w:t>
      </w:r>
      <w:r w:rsidR="00CB78B9">
        <w:t>section 6</w:t>
      </w:r>
      <w:r w:rsidR="00485CC2">
        <w:t>9</w:t>
      </w:r>
      <w:r>
        <w:t>.</w:t>
      </w:r>
    </w:p>
    <w:p w14:paraId="612E33DD" w14:textId="77777777" w:rsidR="00AB66DA" w:rsidRPr="00A058B6" w:rsidRDefault="00AB66DA" w:rsidP="00AB66DA">
      <w:pPr>
        <w:pStyle w:val="SubsectionHead"/>
      </w:pPr>
      <w:r w:rsidRPr="00A058B6">
        <w:t>Pension payable for the life of the member spouse</w:t>
      </w:r>
    </w:p>
    <w:p w14:paraId="44889AFF" w14:textId="390BEBE5" w:rsidR="00AB66DA" w:rsidRPr="00A058B6" w:rsidRDefault="00AB66DA" w:rsidP="00AB66DA">
      <w:pPr>
        <w:pStyle w:val="subsection"/>
      </w:pPr>
      <w:r w:rsidRPr="00A058B6">
        <w:tab/>
        <w:t>(2)</w:t>
      </w:r>
      <w:r w:rsidRPr="00A058B6">
        <w:tab/>
        <w:t xml:space="preserve">If the </w:t>
      </w:r>
      <w:r w:rsidR="009A5B90">
        <w:t>benefits in respect of the interest are</w:t>
      </w:r>
      <w:r w:rsidRPr="00A058B6">
        <w:t xml:space="preserve"> </w:t>
      </w:r>
      <w:r w:rsidR="009A5B90">
        <w:t>payable</w:t>
      </w:r>
      <w:r w:rsidRPr="00A058B6">
        <w:t xml:space="preserve"> </w:t>
      </w:r>
      <w:r w:rsidR="009A5B90">
        <w:t xml:space="preserve">as a pension </w:t>
      </w:r>
      <w:r w:rsidRPr="00A058B6">
        <w:t xml:space="preserve">for the life of the member spouse, the </w:t>
      </w:r>
      <w:r w:rsidRPr="00A058B6">
        <w:rPr>
          <w:b/>
          <w:i/>
        </w:rPr>
        <w:t>gross value of the superannuation interest at the relevant date</w:t>
      </w:r>
      <w:r w:rsidRPr="00A058B6">
        <w:t xml:space="preserve"> is to be determined using:</w:t>
      </w:r>
    </w:p>
    <w:p w14:paraId="47AF1030" w14:textId="6FECD287" w:rsidR="00AB66DA" w:rsidRPr="00A058B6" w:rsidRDefault="00AB66DA" w:rsidP="00AB66DA">
      <w:pPr>
        <w:pStyle w:val="paragraph"/>
      </w:pPr>
      <w:r w:rsidRPr="00A058B6">
        <w:tab/>
        <w:t>(a)</w:t>
      </w:r>
      <w:r w:rsidRPr="00A058B6">
        <w:tab/>
        <w:t xml:space="preserve">if, under </w:t>
      </w:r>
      <w:r w:rsidR="00CB78B9">
        <w:t>section 7</w:t>
      </w:r>
      <w:r w:rsidR="00485CC2">
        <w:t>0</w:t>
      </w:r>
      <w:r w:rsidRPr="00A058B6">
        <w:t>, the Minister has approved a method or factors to be used to determine the gross value of the interest—the approved method or factors; or</w:t>
      </w:r>
    </w:p>
    <w:p w14:paraId="220CDC54" w14:textId="08110140" w:rsidR="00AB66DA" w:rsidRDefault="00AB66DA" w:rsidP="00AB66DA">
      <w:pPr>
        <w:pStyle w:val="paragraph"/>
      </w:pPr>
      <w:r w:rsidRPr="00A058B6">
        <w:tab/>
        <w:t>(b)</w:t>
      </w:r>
      <w:r w:rsidRPr="00A058B6">
        <w:tab/>
      </w:r>
      <w:r>
        <w:t xml:space="preserve">if </w:t>
      </w:r>
      <w:r w:rsidR="00453C86">
        <w:t>paragraph (</w:t>
      </w:r>
      <w:r>
        <w:t>a) does not apply and the pension is payable due to the member spouse’s invalidity</w:t>
      </w:r>
      <w:r w:rsidRPr="00A058B6">
        <w:t xml:space="preserve">—the method set out in </w:t>
      </w:r>
      <w:r w:rsidR="00453C86">
        <w:t>Schedule 7</w:t>
      </w:r>
      <w:r>
        <w:t>; or</w:t>
      </w:r>
    </w:p>
    <w:p w14:paraId="626D42A7" w14:textId="65094895" w:rsidR="00AB66DA" w:rsidRDefault="00AB66DA" w:rsidP="00AB66DA">
      <w:pPr>
        <w:pStyle w:val="paragraph"/>
      </w:pPr>
      <w:r>
        <w:tab/>
        <w:t>(c)</w:t>
      </w:r>
      <w:r>
        <w:tab/>
        <w:t xml:space="preserve">if neither </w:t>
      </w:r>
      <w:r w:rsidR="00453C86">
        <w:t>paragraph (</w:t>
      </w:r>
      <w:r>
        <w:t>a) nor (b) applies—</w:t>
      </w:r>
      <w:r w:rsidRPr="00A058B6">
        <w:t xml:space="preserve">the method set out in </w:t>
      </w:r>
      <w:r>
        <w:t>Schedule 5.</w:t>
      </w:r>
    </w:p>
    <w:p w14:paraId="14A2ED18" w14:textId="77777777" w:rsidR="00AB66DA" w:rsidRPr="00A058B6" w:rsidRDefault="00AB66DA" w:rsidP="00AB66DA">
      <w:pPr>
        <w:pStyle w:val="SubsectionHead"/>
      </w:pPr>
      <w:r w:rsidRPr="00A058B6">
        <w:t>Pension payable for fixed term (other than market linked pension)</w:t>
      </w:r>
    </w:p>
    <w:p w14:paraId="496E5ED3" w14:textId="47A8E223" w:rsidR="00AB66DA" w:rsidRPr="00A058B6" w:rsidRDefault="00AB66DA" w:rsidP="00AB66DA">
      <w:pPr>
        <w:pStyle w:val="subsection"/>
      </w:pPr>
      <w:r w:rsidRPr="00A058B6">
        <w:tab/>
        <w:t>(</w:t>
      </w:r>
      <w:r>
        <w:t>3</w:t>
      </w:r>
      <w:r w:rsidRPr="00A058B6">
        <w:t>)</w:t>
      </w:r>
      <w:r w:rsidRPr="00A058B6">
        <w:tab/>
      </w:r>
      <w:r w:rsidRPr="00A058B6">
        <w:rPr>
          <w:color w:val="000000"/>
        </w:rPr>
        <w:t xml:space="preserve">If </w:t>
      </w:r>
      <w:r w:rsidR="009A5B90" w:rsidRPr="00A058B6">
        <w:t xml:space="preserve">the </w:t>
      </w:r>
      <w:r w:rsidR="009A5B90">
        <w:t>benefits in respect of the interest are</w:t>
      </w:r>
      <w:r w:rsidR="009A5B90" w:rsidRPr="00A058B6">
        <w:t xml:space="preserve"> </w:t>
      </w:r>
      <w:r w:rsidR="009A5B90">
        <w:t>payable</w:t>
      </w:r>
      <w:r w:rsidR="009A5B90" w:rsidRPr="00A058B6">
        <w:t xml:space="preserve"> </w:t>
      </w:r>
      <w:r w:rsidR="009A5B90">
        <w:t xml:space="preserve">as a pension </w:t>
      </w:r>
      <w:r w:rsidRPr="00A058B6">
        <w:rPr>
          <w:color w:val="000000"/>
        </w:rPr>
        <w:t>for a fixed term only and the pension is not a market linked pension,</w:t>
      </w:r>
      <w:r w:rsidRPr="00A058B6">
        <w:t xml:space="preserve"> the </w:t>
      </w:r>
      <w:r w:rsidRPr="00A058B6">
        <w:rPr>
          <w:b/>
          <w:i/>
        </w:rPr>
        <w:t>gross value of the superannuation interest at the relevant date</w:t>
      </w:r>
      <w:r w:rsidRPr="00A058B6">
        <w:t xml:space="preserve"> is to be determined using:</w:t>
      </w:r>
    </w:p>
    <w:p w14:paraId="2A38ABD5" w14:textId="4761DC30" w:rsidR="00AB66DA" w:rsidRPr="00A058B6" w:rsidRDefault="00AB66DA" w:rsidP="00AB66DA">
      <w:pPr>
        <w:pStyle w:val="paragraph"/>
      </w:pPr>
      <w:r w:rsidRPr="00A058B6">
        <w:tab/>
        <w:t>(a)</w:t>
      </w:r>
      <w:r w:rsidRPr="00A058B6">
        <w:tab/>
        <w:t xml:space="preserve">if, under </w:t>
      </w:r>
      <w:r w:rsidR="00CB78B9">
        <w:t>section 7</w:t>
      </w:r>
      <w:r w:rsidR="00485CC2">
        <w:t>0</w:t>
      </w:r>
      <w:r w:rsidRPr="00A058B6">
        <w:t>, the Minister has approved a method or factors to be used to determine the gross value of the interest—the approved method or factors; or</w:t>
      </w:r>
    </w:p>
    <w:p w14:paraId="5B24C26D" w14:textId="19E4710E" w:rsidR="00AB66DA" w:rsidRDefault="00AB66DA" w:rsidP="00AB66DA">
      <w:pPr>
        <w:pStyle w:val="paragraph"/>
      </w:pPr>
      <w:r w:rsidRPr="00A058B6">
        <w:tab/>
        <w:t>(b)</w:t>
      </w:r>
      <w:r w:rsidRPr="00A058B6">
        <w:tab/>
      </w:r>
      <w:r>
        <w:t xml:space="preserve">if </w:t>
      </w:r>
      <w:r w:rsidR="00453C86">
        <w:t>paragraph (</w:t>
      </w:r>
      <w:r>
        <w:t>a) does not apply—</w:t>
      </w:r>
      <w:r w:rsidRPr="00A058B6">
        <w:t xml:space="preserve">the method set out in </w:t>
      </w:r>
      <w:r w:rsidR="00453C86">
        <w:t>Schedule 8</w:t>
      </w:r>
      <w:r>
        <w:t>.</w:t>
      </w:r>
    </w:p>
    <w:p w14:paraId="5B487075" w14:textId="723DE364" w:rsidR="008E3611" w:rsidRPr="00CD2453" w:rsidRDefault="00485CC2" w:rsidP="008E3611">
      <w:pPr>
        <w:pStyle w:val="ActHead5"/>
      </w:pPr>
      <w:bookmarkStart w:id="99" w:name="_Toc188350586"/>
      <w:r w:rsidRPr="00423C34">
        <w:rPr>
          <w:rStyle w:val="CharSectno"/>
        </w:rPr>
        <w:lastRenderedPageBreak/>
        <w:t>69</w:t>
      </w:r>
      <w:r w:rsidR="008E3611" w:rsidRPr="00CD2453">
        <w:t xml:space="preserve">  Gross value—percentage</w:t>
      </w:r>
      <w:r w:rsidR="001952B3">
        <w:noBreakHyphen/>
      </w:r>
      <w:r w:rsidR="008E3611" w:rsidRPr="00CD2453">
        <w:t>only superannuation interest</w:t>
      </w:r>
      <w:r w:rsidR="00F12667">
        <w:t>s</w:t>
      </w:r>
      <w:r w:rsidR="00D02ADD">
        <w:t xml:space="preserve"> in the payment phase</w:t>
      </w:r>
      <w:bookmarkEnd w:id="99"/>
    </w:p>
    <w:p w14:paraId="050F1844" w14:textId="5A01EFAD" w:rsidR="008E3611" w:rsidRPr="00CD2453" w:rsidRDefault="008E3611" w:rsidP="008E3611">
      <w:pPr>
        <w:pStyle w:val="subsection"/>
      </w:pPr>
      <w:r w:rsidRPr="00CD2453">
        <w:tab/>
        <w:t>(1)</w:t>
      </w:r>
      <w:r w:rsidRPr="00CD2453">
        <w:tab/>
        <w:t xml:space="preserve">This section applies for the superannuation interest if </w:t>
      </w:r>
      <w:r w:rsidR="00D635A5">
        <w:t>the whole of the interest is a percentage</w:t>
      </w:r>
      <w:r w:rsidR="001952B3">
        <w:noBreakHyphen/>
      </w:r>
      <w:r w:rsidR="00D635A5">
        <w:t>only interest</w:t>
      </w:r>
      <w:r w:rsidRPr="00CD2453">
        <w:t>.</w:t>
      </w:r>
    </w:p>
    <w:p w14:paraId="2F22A16D" w14:textId="5A20B204" w:rsidR="00996FBB" w:rsidRPr="00A058B6" w:rsidRDefault="00996FBB" w:rsidP="00996FBB">
      <w:pPr>
        <w:pStyle w:val="subsection"/>
      </w:pPr>
      <w:r w:rsidRPr="00A058B6">
        <w:tab/>
        <w:t>(</w:t>
      </w:r>
      <w:r w:rsidR="005278EF">
        <w:t>2</w:t>
      </w:r>
      <w:r w:rsidRPr="00A058B6">
        <w:t>)</w:t>
      </w:r>
      <w:r w:rsidRPr="00A058B6">
        <w:tab/>
      </w:r>
      <w:r w:rsidR="00A60F23">
        <w:t>I</w:t>
      </w:r>
      <w:r w:rsidR="00216C98">
        <w:t xml:space="preserve">f under </w:t>
      </w:r>
      <w:r w:rsidR="00CB78B9">
        <w:t>section 7</w:t>
      </w:r>
      <w:r w:rsidR="00485CC2">
        <w:t>0</w:t>
      </w:r>
      <w:r w:rsidR="00216C98">
        <w:t xml:space="preserve"> the Minister </w:t>
      </w:r>
      <w:r w:rsidR="00216C98" w:rsidRPr="00CD2453">
        <w:t>has approved one or more methods or factors to be used to determine the gross value of the superannuation interest</w:t>
      </w:r>
      <w:r w:rsidR="00A45015">
        <w:t xml:space="preserve">, </w:t>
      </w:r>
      <w:r w:rsidRPr="00A058B6">
        <w:t xml:space="preserve">the </w:t>
      </w:r>
      <w:r w:rsidRPr="00A058B6">
        <w:rPr>
          <w:b/>
          <w:i/>
        </w:rPr>
        <w:t>gross value of the superannuation interest at the relevant date</w:t>
      </w:r>
      <w:r w:rsidRPr="00A058B6">
        <w:t xml:space="preserve"> is to be determined using </w:t>
      </w:r>
      <w:r w:rsidR="00895A3A">
        <w:t>that</w:t>
      </w:r>
      <w:r w:rsidR="00A45015">
        <w:t xml:space="preserve"> </w:t>
      </w:r>
      <w:r w:rsidRPr="00A058B6">
        <w:t>method or factors</w:t>
      </w:r>
      <w:r>
        <w:t>.</w:t>
      </w:r>
    </w:p>
    <w:p w14:paraId="5E979954" w14:textId="6EC9F504" w:rsidR="00060CC6" w:rsidRPr="009D1BF4" w:rsidRDefault="00060CC6" w:rsidP="00060CC6">
      <w:pPr>
        <w:pStyle w:val="notetext"/>
      </w:pPr>
      <w:r>
        <w:t>Note:</w:t>
      </w:r>
      <w:r>
        <w:tab/>
        <w:t xml:space="preserve">This section (and this Part and </w:t>
      </w:r>
      <w:r w:rsidR="00CB78B9">
        <w:t>subsection 4</w:t>
      </w:r>
      <w:r w:rsidR="00485CC2">
        <w:t>4</w:t>
      </w:r>
      <w:r>
        <w:t xml:space="preserve">(1)) does not apply for the superannuation interest if no such </w:t>
      </w:r>
      <w:r w:rsidRPr="00A058B6">
        <w:t>method</w:t>
      </w:r>
      <w:r>
        <w:t>s</w:t>
      </w:r>
      <w:r w:rsidRPr="00A058B6">
        <w:t xml:space="preserve"> or factors </w:t>
      </w:r>
      <w:r>
        <w:t xml:space="preserve">are </w:t>
      </w:r>
      <w:r w:rsidRPr="00A058B6">
        <w:t xml:space="preserve">approved under </w:t>
      </w:r>
      <w:r w:rsidR="00CB78B9">
        <w:t>section 7</w:t>
      </w:r>
      <w:r w:rsidR="00485CC2">
        <w:t>0</w:t>
      </w:r>
      <w:r>
        <w:t xml:space="preserve">. In that case, </w:t>
      </w:r>
      <w:r w:rsidR="00FE15C4">
        <w:t>paragraph 9</w:t>
      </w:r>
      <w:r w:rsidRPr="00A058B6">
        <w:t>0XT(2)(</w:t>
      </w:r>
      <w:r>
        <w:t>b</w:t>
      </w:r>
      <w:r w:rsidRPr="00A058B6">
        <w:t>) or 90YY(2)(</w:t>
      </w:r>
      <w:r>
        <w:t>b</w:t>
      </w:r>
      <w:r w:rsidRPr="00A058B6">
        <w:t>) of the Act</w:t>
      </w:r>
      <w:r>
        <w:t xml:space="preserve"> applies to the court in relation to the superannuation interest.</w:t>
      </w:r>
    </w:p>
    <w:p w14:paraId="78E21756" w14:textId="19F97A9D" w:rsidR="00D930D9" w:rsidRPr="00A058B6" w:rsidRDefault="00485CC2" w:rsidP="00D930D9">
      <w:pPr>
        <w:pStyle w:val="ActHead5"/>
      </w:pPr>
      <w:bookmarkStart w:id="100" w:name="_Toc188350587"/>
      <w:r w:rsidRPr="00423C34">
        <w:rPr>
          <w:rStyle w:val="CharSectno"/>
        </w:rPr>
        <w:t>70</w:t>
      </w:r>
      <w:r w:rsidR="00D930D9" w:rsidRPr="00A058B6">
        <w:t xml:space="preserve">  Approval of methods and factors for determining gross value of certain superannuation interests </w:t>
      </w:r>
      <w:r w:rsidR="00F12667">
        <w:t>in the payment phase</w:t>
      </w:r>
      <w:bookmarkEnd w:id="100"/>
    </w:p>
    <w:p w14:paraId="14A626B2" w14:textId="52002A2C" w:rsidR="00D930D9" w:rsidRPr="00A058B6" w:rsidRDefault="00D930D9" w:rsidP="00D930D9">
      <w:pPr>
        <w:pStyle w:val="subsection"/>
      </w:pPr>
      <w:r w:rsidRPr="00A058B6">
        <w:tab/>
      </w:r>
      <w:r w:rsidR="00342697">
        <w:t>(1)</w:t>
      </w:r>
      <w:r w:rsidRPr="00A058B6">
        <w:tab/>
        <w:t>The Minister may, by legislative instrument, approve methods or factors that are to be used to determine the gross value of:</w:t>
      </w:r>
    </w:p>
    <w:p w14:paraId="4527363B" w14:textId="63F8A7A2" w:rsidR="00D930D9" w:rsidRPr="00A058B6" w:rsidRDefault="00D930D9" w:rsidP="00D930D9">
      <w:pPr>
        <w:pStyle w:val="paragraph"/>
      </w:pPr>
      <w:r w:rsidRPr="00A058B6">
        <w:tab/>
        <w:t>(a)</w:t>
      </w:r>
      <w:r w:rsidRPr="00A058B6">
        <w:tab/>
        <w:t xml:space="preserve">a superannuation interest </w:t>
      </w:r>
      <w:r w:rsidR="00C10C08">
        <w:t xml:space="preserve">for which </w:t>
      </w:r>
      <w:r w:rsidR="00CB78B9">
        <w:t>subsection 6</w:t>
      </w:r>
      <w:r w:rsidR="00485CC2">
        <w:t>6</w:t>
      </w:r>
      <w:r w:rsidR="00232507">
        <w:t>(2)</w:t>
      </w:r>
      <w:r w:rsidR="00C10C08">
        <w:t xml:space="preserve"> applies (about</w:t>
      </w:r>
      <w:r w:rsidRPr="00A058B6">
        <w:t xml:space="preserve"> pension</w:t>
      </w:r>
      <w:r w:rsidR="00180DA2">
        <w:t>s</w:t>
      </w:r>
      <w:r w:rsidRPr="00A058B6">
        <w:t xml:space="preserve"> payable for the life of the member spouse</w:t>
      </w:r>
      <w:r w:rsidR="008B5178">
        <w:t>)</w:t>
      </w:r>
      <w:r w:rsidRPr="00A058B6">
        <w:t>; or</w:t>
      </w:r>
    </w:p>
    <w:p w14:paraId="0C585EC9" w14:textId="232E6B65" w:rsidR="00344DC9" w:rsidRPr="00A058B6" w:rsidRDefault="00344DC9" w:rsidP="00344DC9">
      <w:pPr>
        <w:pStyle w:val="paragraph"/>
      </w:pPr>
      <w:r w:rsidRPr="00A058B6">
        <w:tab/>
        <w:t>(</w:t>
      </w:r>
      <w:r>
        <w:t>b</w:t>
      </w:r>
      <w:r w:rsidRPr="00A058B6">
        <w:t>)</w:t>
      </w:r>
      <w:r w:rsidRPr="00A058B6">
        <w:tab/>
        <w:t xml:space="preserve">a superannuation interest </w:t>
      </w:r>
      <w:r>
        <w:t xml:space="preserve">for which </w:t>
      </w:r>
      <w:r w:rsidR="00CB78B9">
        <w:t>subsection 6</w:t>
      </w:r>
      <w:r w:rsidR="00485CC2">
        <w:t>6</w:t>
      </w:r>
      <w:r>
        <w:t>(3) applies (about</w:t>
      </w:r>
      <w:r w:rsidRPr="00A058B6">
        <w:t xml:space="preserve"> </w:t>
      </w:r>
      <w:r>
        <w:t>fixed</w:t>
      </w:r>
      <w:r w:rsidR="001952B3">
        <w:noBreakHyphen/>
      </w:r>
      <w:r w:rsidR="00577F35">
        <w:t xml:space="preserve">term </w:t>
      </w:r>
      <w:r w:rsidRPr="00A058B6">
        <w:t>pension</w:t>
      </w:r>
      <w:r>
        <w:t>s)</w:t>
      </w:r>
      <w:r w:rsidRPr="00A058B6">
        <w:t>; or</w:t>
      </w:r>
    </w:p>
    <w:p w14:paraId="35390755" w14:textId="4F29F679" w:rsidR="00D930D9" w:rsidRPr="00A058B6" w:rsidRDefault="00D930D9" w:rsidP="00D930D9">
      <w:pPr>
        <w:pStyle w:val="paragraph"/>
      </w:pPr>
      <w:r w:rsidRPr="00A058B6">
        <w:tab/>
        <w:t>(</w:t>
      </w:r>
      <w:r w:rsidR="00344DC9">
        <w:t>c</w:t>
      </w:r>
      <w:r w:rsidRPr="00A058B6">
        <w:t>)</w:t>
      </w:r>
      <w:r w:rsidRPr="00A058B6">
        <w:tab/>
      </w:r>
      <w:r w:rsidR="00232507">
        <w:t xml:space="preserve">a superannuation interest for which </w:t>
      </w:r>
      <w:r w:rsidR="00CB78B9">
        <w:t>section 6</w:t>
      </w:r>
      <w:r w:rsidR="00485CC2">
        <w:t>8</w:t>
      </w:r>
      <w:r w:rsidR="004D6938">
        <w:t xml:space="preserve"> applies </w:t>
      </w:r>
      <w:r w:rsidR="00232507">
        <w:t xml:space="preserve">(about </w:t>
      </w:r>
      <w:r w:rsidRPr="00A058B6">
        <w:t>innovative superannuation interest</w:t>
      </w:r>
      <w:r w:rsidR="00180DA2">
        <w:t>s</w:t>
      </w:r>
      <w:r w:rsidR="00313823">
        <w:t>)</w:t>
      </w:r>
      <w:r w:rsidR="00394981">
        <w:t>; or</w:t>
      </w:r>
    </w:p>
    <w:p w14:paraId="67DB1833" w14:textId="54EE2489" w:rsidR="00394981" w:rsidRPr="00A058B6" w:rsidRDefault="00394981" w:rsidP="00394981">
      <w:pPr>
        <w:pStyle w:val="paragraph"/>
      </w:pPr>
      <w:r w:rsidRPr="00A058B6">
        <w:tab/>
        <w:t>(</w:t>
      </w:r>
      <w:r w:rsidR="00344DC9">
        <w:t>d</w:t>
      </w:r>
      <w:r w:rsidRPr="00A058B6">
        <w:t>)</w:t>
      </w:r>
      <w:r w:rsidRPr="00A058B6">
        <w:tab/>
      </w:r>
      <w:r w:rsidR="005D173E">
        <w:t xml:space="preserve">a superannuation interest </w:t>
      </w:r>
      <w:r w:rsidR="00313823">
        <w:t xml:space="preserve">for which </w:t>
      </w:r>
      <w:r w:rsidR="00CB78B9">
        <w:t>section 6</w:t>
      </w:r>
      <w:r w:rsidR="00485CC2">
        <w:t>9</w:t>
      </w:r>
      <w:r w:rsidR="00313823">
        <w:t xml:space="preserve"> applies (about </w:t>
      </w:r>
      <w:r w:rsidR="005D173E" w:rsidRPr="009B7E54">
        <w:t>percentage</w:t>
      </w:r>
      <w:r w:rsidR="001952B3">
        <w:noBreakHyphen/>
      </w:r>
      <w:r w:rsidR="005D173E" w:rsidRPr="009B7E54">
        <w:t>only interest</w:t>
      </w:r>
      <w:r w:rsidR="00180DA2">
        <w:t>s)</w:t>
      </w:r>
      <w:r>
        <w:t>.</w:t>
      </w:r>
    </w:p>
    <w:p w14:paraId="5B3C51F0" w14:textId="7260B2B8" w:rsidR="00D930D9" w:rsidRPr="00A058B6" w:rsidRDefault="00D930D9" w:rsidP="00D930D9">
      <w:pPr>
        <w:pStyle w:val="notetext"/>
      </w:pPr>
      <w:r w:rsidRPr="00A058B6">
        <w:t>Note</w:t>
      </w:r>
      <w:r w:rsidR="00FF4C64">
        <w:t xml:space="preserve"> 1</w:t>
      </w:r>
      <w:r w:rsidRPr="00A058B6">
        <w:t>:</w:t>
      </w:r>
      <w:r w:rsidRPr="00A058B6">
        <w:tab/>
        <w:t xml:space="preserve">If the Minister approves a method or factors to be used to determine the gross value of a superannuation interest covered by </w:t>
      </w:r>
      <w:r w:rsidR="00453C86">
        <w:t>paragraph (</w:t>
      </w:r>
      <w:r w:rsidRPr="00A058B6">
        <w:t xml:space="preserve">a), the approved method or factors are to be used to determine the gross value of the interest instead of the method set out in </w:t>
      </w:r>
      <w:r w:rsidR="006211C7">
        <w:t>Schedule </w:t>
      </w:r>
      <w:r w:rsidR="00DA26B0">
        <w:t>5</w:t>
      </w:r>
      <w:r>
        <w:t xml:space="preserve"> or </w:t>
      </w:r>
      <w:r w:rsidR="00E32F32">
        <w:t>7</w:t>
      </w:r>
      <w:r w:rsidRPr="00A058B6">
        <w:t xml:space="preserve"> (see </w:t>
      </w:r>
      <w:r w:rsidR="00CB78B9">
        <w:t>subsection 6</w:t>
      </w:r>
      <w:r w:rsidR="00485CC2">
        <w:t>6</w:t>
      </w:r>
      <w:r w:rsidRPr="00A058B6">
        <w:t>(2))</w:t>
      </w:r>
      <w:r w:rsidR="00D7157D">
        <w:t>.</w:t>
      </w:r>
    </w:p>
    <w:p w14:paraId="3420563B" w14:textId="7B3386DD" w:rsidR="000D6EA0" w:rsidRPr="00A058B6" w:rsidRDefault="000D6EA0" w:rsidP="000D6EA0">
      <w:pPr>
        <w:pStyle w:val="notetext"/>
      </w:pPr>
      <w:r w:rsidRPr="00A058B6">
        <w:t>Note</w:t>
      </w:r>
      <w:r>
        <w:t xml:space="preserve"> </w:t>
      </w:r>
      <w:r w:rsidR="0043186F">
        <w:t>2</w:t>
      </w:r>
      <w:r w:rsidRPr="00A058B6">
        <w:t>:</w:t>
      </w:r>
      <w:r w:rsidRPr="00A058B6">
        <w:tab/>
        <w:t xml:space="preserve">If the Minister approves a method or factors to be used to determine the gross value of a superannuation interest covered by </w:t>
      </w:r>
      <w:r w:rsidR="00453C86">
        <w:t>paragraph (</w:t>
      </w:r>
      <w:r w:rsidR="00BD5CBC">
        <w:t>b</w:t>
      </w:r>
      <w:r w:rsidRPr="00A058B6">
        <w:t xml:space="preserve">), the approved method or factors are to be used to determine the gross value of the interest instead of the method set out in </w:t>
      </w:r>
      <w:r w:rsidR="00453C86">
        <w:t>Schedule 8</w:t>
      </w:r>
      <w:r w:rsidRPr="00A058B6">
        <w:t xml:space="preserve"> (see </w:t>
      </w:r>
      <w:r w:rsidR="00CB78B9">
        <w:t>subsection 6</w:t>
      </w:r>
      <w:r w:rsidR="00485CC2">
        <w:t>6</w:t>
      </w:r>
      <w:r w:rsidRPr="00A058B6">
        <w:t>(</w:t>
      </w:r>
      <w:r w:rsidR="00BD5CBC">
        <w:t>3</w:t>
      </w:r>
      <w:r w:rsidRPr="00A058B6">
        <w:t>))</w:t>
      </w:r>
      <w:r>
        <w:t>.</w:t>
      </w:r>
    </w:p>
    <w:p w14:paraId="5798DA71" w14:textId="6888A7CE" w:rsidR="00FF4C64" w:rsidRDefault="00FF4C64" w:rsidP="00FF4C64">
      <w:pPr>
        <w:pStyle w:val="notetext"/>
      </w:pPr>
      <w:r>
        <w:t xml:space="preserve">Note </w:t>
      </w:r>
      <w:r w:rsidR="0043186F">
        <w:t>3</w:t>
      </w:r>
      <w:r>
        <w:t>:</w:t>
      </w:r>
      <w:r>
        <w:tab/>
        <w:t xml:space="preserve">A consequence of the definition of </w:t>
      </w:r>
      <w:r w:rsidRPr="00A058B6">
        <w:rPr>
          <w:b/>
          <w:i/>
        </w:rPr>
        <w:t>gross value of the superannuation interest at the relevant date</w:t>
      </w:r>
      <w:r>
        <w:t xml:space="preserve"> in </w:t>
      </w:r>
      <w:r w:rsidR="00CB78B9">
        <w:t>section 6</w:t>
      </w:r>
      <w:r w:rsidR="00485CC2">
        <w:t>4</w:t>
      </w:r>
      <w:r>
        <w:t xml:space="preserve"> is that:</w:t>
      </w:r>
    </w:p>
    <w:p w14:paraId="1E01060E" w14:textId="4663D167" w:rsidR="00FF4C64" w:rsidRDefault="00FF4C64" w:rsidP="00FF4C64">
      <w:pPr>
        <w:pStyle w:val="notepara"/>
      </w:pPr>
      <w:r>
        <w:t>(a)</w:t>
      </w:r>
      <w:r>
        <w:tab/>
      </w:r>
      <w:r w:rsidR="00CB78B9">
        <w:t>section 6</w:t>
      </w:r>
      <w:r w:rsidR="00485CC2">
        <w:t>9</w:t>
      </w:r>
      <w:r>
        <w:t xml:space="preserve"> is the only relevant provision for percentage</w:t>
      </w:r>
      <w:r w:rsidR="001952B3">
        <w:noBreakHyphen/>
      </w:r>
      <w:r>
        <w:t>only interests; and</w:t>
      </w:r>
    </w:p>
    <w:p w14:paraId="28521B3B" w14:textId="0E0A1AB1" w:rsidR="00FF4C64" w:rsidRDefault="00FF4C64" w:rsidP="00FF4C64">
      <w:pPr>
        <w:pStyle w:val="notepara"/>
      </w:pPr>
      <w:r>
        <w:t>(b)</w:t>
      </w:r>
      <w:r>
        <w:tab/>
      </w:r>
      <w:r w:rsidR="00CB78B9">
        <w:t>section 6</w:t>
      </w:r>
      <w:r w:rsidR="00485CC2">
        <w:t>8</w:t>
      </w:r>
      <w:r>
        <w:t xml:space="preserve"> is the only relevant provision for innovative superannuation interests that are not percentage</w:t>
      </w:r>
      <w:r w:rsidR="001952B3">
        <w:noBreakHyphen/>
      </w:r>
      <w:r>
        <w:t>only interests.</w:t>
      </w:r>
    </w:p>
    <w:p w14:paraId="419F52E9" w14:textId="0EEEE8A5" w:rsidR="00342697" w:rsidRDefault="00342697" w:rsidP="00342697">
      <w:pPr>
        <w:pStyle w:val="subsection"/>
      </w:pPr>
      <w:r>
        <w:tab/>
        <w:t>(2)</w:t>
      </w:r>
      <w:r>
        <w:tab/>
        <w:t xml:space="preserve">An instrument under </w:t>
      </w:r>
      <w:r w:rsidR="00A52DA5">
        <w:t>subsection (</w:t>
      </w:r>
      <w:r>
        <w:t>1) is made for the purposes of either or both of the following:</w:t>
      </w:r>
    </w:p>
    <w:p w14:paraId="183C869E" w14:textId="44C4D92F" w:rsidR="00342697" w:rsidRDefault="00342697" w:rsidP="00342697">
      <w:pPr>
        <w:pStyle w:val="paragraph"/>
      </w:pPr>
      <w:r>
        <w:tab/>
        <w:t>(a)</w:t>
      </w:r>
      <w:r>
        <w:tab/>
      </w:r>
      <w:r w:rsidR="00FE15C4">
        <w:t>subsection 9</w:t>
      </w:r>
      <w:r>
        <w:t xml:space="preserve">0XT(3) and </w:t>
      </w:r>
      <w:r w:rsidR="00FE15C4">
        <w:t>paragraph 9</w:t>
      </w:r>
      <w:r>
        <w:t>0XT(2)(a) of the Act;</w:t>
      </w:r>
    </w:p>
    <w:p w14:paraId="65052A4C" w14:textId="1E3BE0BC" w:rsidR="00342697" w:rsidRPr="00690F8E" w:rsidRDefault="00342697" w:rsidP="00342697">
      <w:pPr>
        <w:pStyle w:val="paragraph"/>
      </w:pPr>
      <w:r>
        <w:tab/>
        <w:t>(b)</w:t>
      </w:r>
      <w:r>
        <w:tab/>
      </w:r>
      <w:r w:rsidR="00FE15C4">
        <w:t>subsection 9</w:t>
      </w:r>
      <w:r>
        <w:t xml:space="preserve">0YY(4) and </w:t>
      </w:r>
      <w:r w:rsidR="00FE15C4">
        <w:t>paragraph 9</w:t>
      </w:r>
      <w:r>
        <w:t>0YY(2)(a) of the Act.</w:t>
      </w:r>
    </w:p>
    <w:p w14:paraId="70EB7F98" w14:textId="2D7C31E5" w:rsidR="00D930D9" w:rsidRPr="00A058B6" w:rsidRDefault="00453C86" w:rsidP="00D930D9">
      <w:pPr>
        <w:pStyle w:val="ActHead2"/>
        <w:pageBreakBefore/>
      </w:pPr>
      <w:bookmarkStart w:id="101" w:name="_Toc188350588"/>
      <w:r w:rsidRPr="00423C34">
        <w:rPr>
          <w:rStyle w:val="CharPartNo"/>
        </w:rPr>
        <w:lastRenderedPageBreak/>
        <w:t>Part 7</w:t>
      </w:r>
      <w:r w:rsidR="00D930D9" w:rsidRPr="00A058B6">
        <w:t>—</w:t>
      </w:r>
      <w:r w:rsidR="00D930D9" w:rsidRPr="00423C34">
        <w:rPr>
          <w:rStyle w:val="CharPartText"/>
        </w:rPr>
        <w:t>Entitlement of non</w:t>
      </w:r>
      <w:r w:rsidR="001952B3" w:rsidRPr="00423C34">
        <w:rPr>
          <w:rStyle w:val="CharPartText"/>
        </w:rPr>
        <w:noBreakHyphen/>
      </w:r>
      <w:r w:rsidR="00D930D9" w:rsidRPr="00423C34">
        <w:rPr>
          <w:rStyle w:val="CharPartText"/>
        </w:rPr>
        <w:t>member spouse in respect of certain superannuation interests</w:t>
      </w:r>
      <w:bookmarkEnd w:id="101"/>
    </w:p>
    <w:p w14:paraId="158AF045" w14:textId="77777777" w:rsidR="00D930D9" w:rsidRPr="00A058B6" w:rsidRDefault="00B05FD6" w:rsidP="00D930D9">
      <w:pPr>
        <w:pStyle w:val="ActHead3"/>
      </w:pPr>
      <w:bookmarkStart w:id="102" w:name="_Toc188350589"/>
      <w:r w:rsidRPr="00423C34">
        <w:rPr>
          <w:rStyle w:val="CharDivNo"/>
        </w:rPr>
        <w:t>Division 1</w:t>
      </w:r>
      <w:r w:rsidR="00D930D9" w:rsidRPr="00A058B6">
        <w:t>—</w:t>
      </w:r>
      <w:r w:rsidR="00D930D9" w:rsidRPr="00423C34">
        <w:rPr>
          <w:rStyle w:val="CharDivText"/>
        </w:rPr>
        <w:t>Preliminary</w:t>
      </w:r>
      <w:bookmarkEnd w:id="102"/>
    </w:p>
    <w:p w14:paraId="0E3038E6" w14:textId="77777777" w:rsidR="00D930D9" w:rsidRPr="00A058B6" w:rsidRDefault="00D930D9" w:rsidP="00D930D9">
      <w:pPr>
        <w:pStyle w:val="ActHead4"/>
      </w:pPr>
      <w:bookmarkStart w:id="103" w:name="_Toc188350590"/>
      <w:r w:rsidRPr="00423C34">
        <w:rPr>
          <w:rStyle w:val="CharSubdNo"/>
        </w:rPr>
        <w:t>Subdivision A</w:t>
      </w:r>
      <w:r w:rsidRPr="00A058B6">
        <w:t>—</w:t>
      </w:r>
      <w:r w:rsidRPr="00423C34">
        <w:rPr>
          <w:rStyle w:val="CharSubdText"/>
        </w:rPr>
        <w:t>Simplified outline of this Part</w:t>
      </w:r>
      <w:bookmarkEnd w:id="103"/>
    </w:p>
    <w:p w14:paraId="6B037B03" w14:textId="135BD429" w:rsidR="00D930D9" w:rsidRPr="00A058B6" w:rsidRDefault="00485CC2" w:rsidP="00D930D9">
      <w:pPr>
        <w:pStyle w:val="ActHead5"/>
      </w:pPr>
      <w:bookmarkStart w:id="104" w:name="_Toc188350591"/>
      <w:r w:rsidRPr="00423C34">
        <w:rPr>
          <w:rStyle w:val="CharSectno"/>
        </w:rPr>
        <w:t>71</w:t>
      </w:r>
      <w:r w:rsidR="00D930D9" w:rsidRPr="00A058B6">
        <w:t xml:space="preserve">  Simplified outline of this Part</w:t>
      </w:r>
      <w:bookmarkEnd w:id="104"/>
    </w:p>
    <w:p w14:paraId="7F93096A" w14:textId="70286940" w:rsidR="00D930D9" w:rsidRPr="00A058B6" w:rsidRDefault="00D930D9" w:rsidP="00D930D9">
      <w:pPr>
        <w:pStyle w:val="SOText"/>
      </w:pPr>
      <w:r w:rsidRPr="00A058B6">
        <w:t xml:space="preserve">This </w:t>
      </w:r>
      <w:r w:rsidR="00BE7A79">
        <w:t>Part i</w:t>
      </w:r>
      <w:r w:rsidRPr="00A058B6">
        <w:t>s used to calculate the amount the non</w:t>
      </w:r>
      <w:r w:rsidR="001952B3">
        <w:noBreakHyphen/>
      </w:r>
      <w:r w:rsidRPr="00A058B6">
        <w:t>member spouse is entitled to be paid in relation to a splittable payment for a superannuation interest of the member spouse covered by:</w:t>
      </w:r>
    </w:p>
    <w:p w14:paraId="46DD13EE" w14:textId="77777777" w:rsidR="00D930D9" w:rsidRPr="00A058B6" w:rsidRDefault="00D930D9" w:rsidP="00D930D9">
      <w:pPr>
        <w:pStyle w:val="SOPara"/>
      </w:pPr>
      <w:r w:rsidRPr="00A058B6">
        <w:tab/>
        <w:t>(a)</w:t>
      </w:r>
      <w:r w:rsidRPr="00A058B6">
        <w:tab/>
        <w:t>a superannuation agreement or a flag lifting agreement; or</w:t>
      </w:r>
    </w:p>
    <w:p w14:paraId="2A526502" w14:textId="77777777" w:rsidR="00D930D9" w:rsidRPr="00A058B6" w:rsidRDefault="00D930D9" w:rsidP="00D930D9">
      <w:pPr>
        <w:pStyle w:val="SOPara"/>
      </w:pPr>
      <w:r w:rsidRPr="00A058B6">
        <w:tab/>
        <w:t>(b)</w:t>
      </w:r>
      <w:r w:rsidRPr="00A058B6">
        <w:tab/>
        <w:t>a splitting order</w:t>
      </w:r>
      <w:r w:rsidR="00D7157D">
        <w:t>.</w:t>
      </w:r>
    </w:p>
    <w:p w14:paraId="35F9C582" w14:textId="586C4427" w:rsidR="00D930D9" w:rsidRPr="00A058B6" w:rsidRDefault="00453C86" w:rsidP="00D930D9">
      <w:pPr>
        <w:pStyle w:val="SOText"/>
      </w:pPr>
      <w:r>
        <w:t>Division 2</w:t>
      </w:r>
      <w:r w:rsidR="00D930D9" w:rsidRPr="00A058B6">
        <w:t xml:space="preserve"> is used to calculate the amount if the interest is in the growth phase</w:t>
      </w:r>
      <w:r w:rsidR="00971923">
        <w:t xml:space="preserve"> </w:t>
      </w:r>
      <w:r w:rsidR="00971923" w:rsidRPr="00A058B6">
        <w:t xml:space="preserve">either at the date the agreement is served on the trustee under </w:t>
      </w:r>
      <w:r w:rsidR="00971923">
        <w:t>section 9</w:t>
      </w:r>
      <w:r w:rsidR="00971923" w:rsidRPr="00A058B6">
        <w:t>0XI or 90YM of the Act, or at the date of the splitting order (as applicable)</w:t>
      </w:r>
      <w:r w:rsidR="00D7157D">
        <w:t>.</w:t>
      </w:r>
    </w:p>
    <w:p w14:paraId="4A1AE684" w14:textId="0D6DCFF1" w:rsidR="00D930D9" w:rsidRPr="00A058B6" w:rsidRDefault="00881039" w:rsidP="00D930D9">
      <w:pPr>
        <w:pStyle w:val="SOText"/>
      </w:pPr>
      <w:r>
        <w:t>Division 3</w:t>
      </w:r>
      <w:r w:rsidR="00D930D9" w:rsidRPr="00A058B6">
        <w:t xml:space="preserve"> is used to calculate the amount if the interest is in the payment phase</w:t>
      </w:r>
      <w:r w:rsidR="00971923">
        <w:t xml:space="preserve"> </w:t>
      </w:r>
      <w:r w:rsidR="00971923" w:rsidRPr="00A058B6">
        <w:t xml:space="preserve">either at the date the agreement is served on the trustee under </w:t>
      </w:r>
      <w:r w:rsidR="00971923">
        <w:t>section 9</w:t>
      </w:r>
      <w:r w:rsidR="00971923" w:rsidRPr="00A058B6">
        <w:t>0XI or 90YM of the Act, or at the date of the splitting order (as applicable)</w:t>
      </w:r>
      <w:r w:rsidR="00971923">
        <w:t>.</w:t>
      </w:r>
    </w:p>
    <w:p w14:paraId="050A2B13" w14:textId="4D36EDC0" w:rsidR="00D930D9" w:rsidRPr="00A058B6" w:rsidRDefault="00D930D9" w:rsidP="00D930D9">
      <w:pPr>
        <w:pStyle w:val="ActHead4"/>
      </w:pPr>
      <w:bookmarkStart w:id="105" w:name="_Toc188350592"/>
      <w:r w:rsidRPr="00423C34">
        <w:rPr>
          <w:rStyle w:val="CharSubdNo"/>
        </w:rPr>
        <w:t>Subdivision B</w:t>
      </w:r>
      <w:r w:rsidRPr="00A058B6">
        <w:t>—</w:t>
      </w:r>
      <w:r w:rsidR="00114E6D" w:rsidRPr="00423C34">
        <w:rPr>
          <w:rStyle w:val="CharSubdText"/>
        </w:rPr>
        <w:t>Definitions</w:t>
      </w:r>
      <w:bookmarkEnd w:id="105"/>
    </w:p>
    <w:p w14:paraId="72233890" w14:textId="75A676E9" w:rsidR="00D930D9" w:rsidRPr="00A058B6" w:rsidRDefault="00485CC2" w:rsidP="00D930D9">
      <w:pPr>
        <w:pStyle w:val="ActHead5"/>
      </w:pPr>
      <w:bookmarkStart w:id="106" w:name="_Toc188350593"/>
      <w:r w:rsidRPr="00423C34">
        <w:rPr>
          <w:rStyle w:val="CharSectno"/>
        </w:rPr>
        <w:t>72</w:t>
      </w:r>
      <w:r w:rsidR="00D930D9" w:rsidRPr="00A058B6">
        <w:t xml:space="preserve">  Definitions</w:t>
      </w:r>
      <w:bookmarkEnd w:id="106"/>
    </w:p>
    <w:p w14:paraId="4C3DE326" w14:textId="77777777" w:rsidR="00D930D9" w:rsidRPr="00A058B6" w:rsidRDefault="00D930D9" w:rsidP="00D930D9">
      <w:pPr>
        <w:pStyle w:val="subsection"/>
      </w:pPr>
      <w:r w:rsidRPr="00A058B6">
        <w:tab/>
      </w:r>
      <w:r w:rsidRPr="00A058B6">
        <w:tab/>
        <w:t>In this Part:</w:t>
      </w:r>
    </w:p>
    <w:p w14:paraId="7D4005F0" w14:textId="06339FF7" w:rsidR="006C0016" w:rsidRDefault="006C0016" w:rsidP="006C0016">
      <w:pPr>
        <w:pStyle w:val="Definition"/>
      </w:pPr>
      <w:r w:rsidRPr="00A058B6">
        <w:rPr>
          <w:b/>
          <w:i/>
        </w:rPr>
        <w:t>base amount allocated to the non</w:t>
      </w:r>
      <w:r w:rsidR="001952B3">
        <w:rPr>
          <w:b/>
          <w:i/>
        </w:rPr>
        <w:noBreakHyphen/>
      </w:r>
      <w:r w:rsidRPr="00A058B6">
        <w:rPr>
          <w:b/>
          <w:i/>
        </w:rPr>
        <w:t>member spouse</w:t>
      </w:r>
      <w:r w:rsidRPr="00A058B6">
        <w:t>, for a superannuation interest, means the base amount for the interest</w:t>
      </w:r>
      <w:r w:rsidR="00D7157D">
        <w:t>.</w:t>
      </w:r>
    </w:p>
    <w:p w14:paraId="1C30BFED" w14:textId="77777777" w:rsidR="00D930D9" w:rsidRPr="00A058B6" w:rsidRDefault="00D930D9" w:rsidP="00D930D9">
      <w:pPr>
        <w:pStyle w:val="Definition"/>
      </w:pPr>
      <w:r w:rsidRPr="00A058B6">
        <w:rPr>
          <w:b/>
          <w:i/>
        </w:rPr>
        <w:t>commutation factor</w:t>
      </w:r>
      <w:r w:rsidRPr="00A058B6">
        <w:t>, for a superannuation interest, means the commutation factor for converting to a lump sum, under the governing rules of the relevant eligible superannuation plan in respect of the superannuation interest, a pension payable to the member spouse or other person, if the pension were to be converted to a lump sum at:</w:t>
      </w:r>
    </w:p>
    <w:p w14:paraId="153FA4C4" w14:textId="77777777" w:rsidR="00D930D9" w:rsidRPr="00A058B6" w:rsidRDefault="00D930D9" w:rsidP="00D930D9">
      <w:pPr>
        <w:pStyle w:val="paragraph"/>
      </w:pPr>
      <w:r w:rsidRPr="00A058B6">
        <w:tab/>
        <w:t>(a)</w:t>
      </w:r>
      <w:r w:rsidRPr="00A058B6">
        <w:tab/>
        <w:t>if the relevant splittable payment in respect of the superannuation interest is payable to the member spouse—the date of the first splittable payment to the member spouse in respect of the superannuation interest after the operative time; or</w:t>
      </w:r>
    </w:p>
    <w:p w14:paraId="45A0B97C" w14:textId="77777777" w:rsidR="00D930D9" w:rsidRPr="00A058B6" w:rsidRDefault="00D930D9" w:rsidP="00D930D9">
      <w:pPr>
        <w:pStyle w:val="paragraph"/>
      </w:pPr>
      <w:r w:rsidRPr="00A058B6">
        <w:tab/>
        <w:t>(b)</w:t>
      </w:r>
      <w:r w:rsidRPr="00A058B6">
        <w:tab/>
        <w:t>if the relevant splittable payment in respect of the superannuation interest is payable to another person for the benefit of the member spouse—the earliest date when the pension could be commuted to a lump sum; or</w:t>
      </w:r>
    </w:p>
    <w:p w14:paraId="41F8B26C" w14:textId="77777777" w:rsidR="00D930D9" w:rsidRPr="00A058B6" w:rsidRDefault="00D930D9" w:rsidP="00D930D9">
      <w:pPr>
        <w:pStyle w:val="paragraph"/>
      </w:pPr>
      <w:r w:rsidRPr="00A058B6">
        <w:tab/>
        <w:t>(c)</w:t>
      </w:r>
      <w:r w:rsidRPr="00A058B6">
        <w:tab/>
        <w:t>if the relevant splittable payment in respect of the superannuation interest is payable to a reversionary beneficiary after the death of the member spouse—the date of the member spouse’s death; or</w:t>
      </w:r>
    </w:p>
    <w:p w14:paraId="7CE1B40B" w14:textId="77777777" w:rsidR="00D930D9" w:rsidRPr="00A058B6" w:rsidRDefault="00D930D9" w:rsidP="00D930D9">
      <w:pPr>
        <w:pStyle w:val="paragraph"/>
      </w:pPr>
      <w:r w:rsidRPr="00A058B6">
        <w:tab/>
        <w:t>(d)</w:t>
      </w:r>
      <w:r w:rsidRPr="00A058B6">
        <w:tab/>
        <w:t>if the relevant splittable payment in respect of the superannuation interest is payable to:</w:t>
      </w:r>
    </w:p>
    <w:p w14:paraId="79C50FE4" w14:textId="77777777" w:rsidR="00D930D9" w:rsidRPr="00A058B6" w:rsidRDefault="00D930D9" w:rsidP="00D930D9">
      <w:pPr>
        <w:pStyle w:val="paragraphsub"/>
      </w:pPr>
      <w:r w:rsidRPr="00A058B6">
        <w:tab/>
        <w:t>(i)</w:t>
      </w:r>
      <w:r w:rsidRPr="00A058B6">
        <w:tab/>
        <w:t>the legal personal representative of the member spouse after the death of the member spouse; or</w:t>
      </w:r>
    </w:p>
    <w:p w14:paraId="17FF8E73" w14:textId="78519910" w:rsidR="00D930D9" w:rsidRPr="00A058B6" w:rsidRDefault="00D930D9" w:rsidP="00D930D9">
      <w:pPr>
        <w:pStyle w:val="paragraphsub"/>
      </w:pPr>
      <w:r w:rsidRPr="00A058B6">
        <w:tab/>
        <w:t>(ii)</w:t>
      </w:r>
      <w:r w:rsidRPr="00A058B6">
        <w:tab/>
        <w:t xml:space="preserve">the legal personal representative of a reversionary beneficiary covered by </w:t>
      </w:r>
      <w:r w:rsidR="00FE15C4">
        <w:t>paragraph 9</w:t>
      </w:r>
      <w:r w:rsidRPr="00A058B6">
        <w:t>0XE(1)(d) or 90YD(1)(d) of the Act after the death of th</w:t>
      </w:r>
      <w:r>
        <w:t>e</w:t>
      </w:r>
      <w:r w:rsidRPr="00A058B6">
        <w:t xml:space="preserve"> reversionary beneficiary;</w:t>
      </w:r>
    </w:p>
    <w:p w14:paraId="4208858E" w14:textId="77777777" w:rsidR="00D930D9" w:rsidRDefault="00D930D9" w:rsidP="00D930D9">
      <w:pPr>
        <w:pStyle w:val="paragraph"/>
      </w:pPr>
      <w:r w:rsidRPr="00A058B6">
        <w:tab/>
      </w:r>
      <w:r w:rsidRPr="00A058B6">
        <w:tab/>
        <w:t>the earliest date at which the legal personal representative could choose to take the remaining benefits in respect of the interest as a lump sum</w:t>
      </w:r>
      <w:r w:rsidR="00D7157D">
        <w:t>.</w:t>
      </w:r>
    </w:p>
    <w:p w14:paraId="5BF85FC4" w14:textId="4B4A5AC0" w:rsidR="00D930D9" w:rsidRPr="00CC0337" w:rsidRDefault="00D930D9" w:rsidP="00D930D9">
      <w:pPr>
        <w:pStyle w:val="notetext"/>
      </w:pPr>
      <w:r>
        <w:t>Note:</w:t>
      </w:r>
      <w:r>
        <w:tab/>
        <w:t xml:space="preserve">For a superannuation interest covered by Subdivision B or F of </w:t>
      </w:r>
      <w:r w:rsidR="00881039">
        <w:t>Division 3</w:t>
      </w:r>
      <w:r>
        <w:t xml:space="preserve"> of </w:t>
      </w:r>
      <w:r w:rsidR="00B05FD6">
        <w:t>Part </w:t>
      </w:r>
      <w:r w:rsidR="006A5A4D">
        <w:t>9</w:t>
      </w:r>
      <w:r>
        <w:t xml:space="preserve">, the commutation factor must be provided by the trustee of the plan in response to an application covered by </w:t>
      </w:r>
      <w:r w:rsidR="00FE15C4">
        <w:t>subsection 9</w:t>
      </w:r>
      <w:r w:rsidRPr="001E1336">
        <w:t>0XZB(3) or 90YZR(3) of the Act</w:t>
      </w:r>
      <w:r w:rsidR="00D7157D">
        <w:t>.</w:t>
      </w:r>
    </w:p>
    <w:p w14:paraId="627ED178" w14:textId="77777777" w:rsidR="00D930D9" w:rsidRPr="00A058B6" w:rsidRDefault="00D930D9" w:rsidP="00D930D9">
      <w:pPr>
        <w:pStyle w:val="Definition"/>
      </w:pPr>
      <w:r w:rsidRPr="00A058B6">
        <w:rPr>
          <w:b/>
          <w:i/>
        </w:rPr>
        <w:t>lump sum</w:t>
      </w:r>
      <w:r w:rsidRPr="00A058B6">
        <w:t xml:space="preserve"> means any amount (other than an amount of a pension payment) that is paid to a member in respect of a superannuation interest</w:t>
      </w:r>
      <w:r w:rsidR="00D7157D">
        <w:t>.</w:t>
      </w:r>
    </w:p>
    <w:p w14:paraId="3636DEAF" w14:textId="77777777" w:rsidR="00D930D9" w:rsidRPr="00A058B6" w:rsidRDefault="00D930D9" w:rsidP="00D930D9">
      <w:pPr>
        <w:pStyle w:val="notetext"/>
      </w:pPr>
      <w:r w:rsidRPr="00A058B6">
        <w:t>Note:</w:t>
      </w:r>
      <w:r w:rsidRPr="00A058B6">
        <w:tab/>
        <w:t>Examples are a transfer of money, or a rollover of benefits under the SIS Act</w:t>
      </w:r>
      <w:r w:rsidR="00D7157D">
        <w:t>.</w:t>
      </w:r>
    </w:p>
    <w:p w14:paraId="72099D3D" w14:textId="77777777" w:rsidR="00D930D9" w:rsidRPr="00A058B6" w:rsidRDefault="00D930D9" w:rsidP="00D930D9">
      <w:pPr>
        <w:pStyle w:val="Definition"/>
      </w:pPr>
      <w:r w:rsidRPr="00A058B6">
        <w:rPr>
          <w:b/>
          <w:i/>
        </w:rPr>
        <w:t>pension valuation factor</w:t>
      </w:r>
      <w:r w:rsidRPr="00A058B6">
        <w:t xml:space="preserve">, for a superannuation interest, </w:t>
      </w:r>
      <w:r w:rsidR="006E5B4B">
        <w:t>means</w:t>
      </w:r>
      <w:r w:rsidRPr="00A058B6">
        <w:t xml:space="preserve"> the pension valuation factor that applies to the particular pension payable to the member spouse or other person at the date that applies for the commutation factor for the superannuation interest, being:</w:t>
      </w:r>
    </w:p>
    <w:p w14:paraId="75E219CE" w14:textId="3AF7E2DC" w:rsidR="00D930D9" w:rsidRPr="00A058B6" w:rsidRDefault="00D930D9" w:rsidP="00D930D9">
      <w:pPr>
        <w:pStyle w:val="paragraph"/>
      </w:pPr>
      <w:r w:rsidRPr="00A058B6">
        <w:tab/>
        <w:t>(a)</w:t>
      </w:r>
      <w:r w:rsidRPr="00A058B6">
        <w:tab/>
        <w:t xml:space="preserve">if, under </w:t>
      </w:r>
      <w:r w:rsidR="00CB78B9">
        <w:t>section 7</w:t>
      </w:r>
      <w:r w:rsidR="00485CC2">
        <w:t>0</w:t>
      </w:r>
      <w:r w:rsidRPr="00A058B6">
        <w:t>, the Minister has approved a method or factors to be used to determine the gross value of a superannuation interest the benefits in respect of which are being paid as a pension that is payable for the life of the member spouse—the approved factor or the factor that applies under the approved method; or</w:t>
      </w:r>
    </w:p>
    <w:p w14:paraId="7E04DC5C" w14:textId="6D22830D" w:rsidR="00D930D9" w:rsidRPr="00A058B6" w:rsidRDefault="00D930D9" w:rsidP="00D930D9">
      <w:pPr>
        <w:pStyle w:val="paragraph"/>
      </w:pPr>
      <w:r w:rsidRPr="00A058B6">
        <w:tab/>
        <w:t>(b)</w:t>
      </w:r>
      <w:r w:rsidRPr="00A058B6">
        <w:tab/>
        <w:t xml:space="preserve">otherwise—the pension valuation factor under </w:t>
      </w:r>
      <w:r w:rsidR="006211C7">
        <w:t>Schedule </w:t>
      </w:r>
      <w:r w:rsidR="00DA26B0">
        <w:t>5</w:t>
      </w:r>
      <w:r>
        <w:t xml:space="preserve">, </w:t>
      </w:r>
      <w:r w:rsidR="00777AC2">
        <w:t>7</w:t>
      </w:r>
      <w:r w:rsidRPr="00A058B6">
        <w:t xml:space="preserve"> or</w:t>
      </w:r>
      <w:r w:rsidR="006423A2">
        <w:t xml:space="preserve"> </w:t>
      </w:r>
      <w:r w:rsidR="00777AC2">
        <w:t>8</w:t>
      </w:r>
      <w:r w:rsidR="00D7157D">
        <w:t>.</w:t>
      </w:r>
    </w:p>
    <w:p w14:paraId="1B869E40" w14:textId="77777777" w:rsidR="00D930D9" w:rsidRPr="00A058B6" w:rsidRDefault="00D930D9" w:rsidP="00D930D9">
      <w:pPr>
        <w:pStyle w:val="ActHead4"/>
      </w:pPr>
      <w:bookmarkStart w:id="107" w:name="_Toc188350594"/>
      <w:r w:rsidRPr="00423C34">
        <w:rPr>
          <w:rStyle w:val="CharSubdNo"/>
        </w:rPr>
        <w:t>Subdivision C</w:t>
      </w:r>
      <w:r w:rsidRPr="00A058B6">
        <w:t>—</w:t>
      </w:r>
      <w:r w:rsidRPr="00423C34">
        <w:rPr>
          <w:rStyle w:val="CharSubdText"/>
        </w:rPr>
        <w:t>Adjustments to the base amount for superannuation interests in the growth phase</w:t>
      </w:r>
      <w:bookmarkEnd w:id="107"/>
    </w:p>
    <w:p w14:paraId="1671B539" w14:textId="78224178" w:rsidR="00D930D9" w:rsidRPr="00A058B6" w:rsidRDefault="00485CC2" w:rsidP="00D930D9">
      <w:pPr>
        <w:pStyle w:val="ActHead5"/>
      </w:pPr>
      <w:bookmarkStart w:id="108" w:name="_Toc188350595"/>
      <w:r w:rsidRPr="00423C34">
        <w:rPr>
          <w:rStyle w:val="CharSectno"/>
        </w:rPr>
        <w:t>73</w:t>
      </w:r>
      <w:r w:rsidR="00D930D9" w:rsidRPr="00A058B6">
        <w:t xml:space="preserve">  Meaning of </w:t>
      </w:r>
      <w:r w:rsidR="00D930D9" w:rsidRPr="00A058B6">
        <w:rPr>
          <w:i/>
        </w:rPr>
        <w:t>adjusted base amount applicable to the non</w:t>
      </w:r>
      <w:r w:rsidR="001952B3">
        <w:rPr>
          <w:i/>
        </w:rPr>
        <w:noBreakHyphen/>
      </w:r>
      <w:r w:rsidR="00D930D9" w:rsidRPr="00A058B6">
        <w:rPr>
          <w:i/>
        </w:rPr>
        <w:t>member spouse</w:t>
      </w:r>
      <w:bookmarkEnd w:id="108"/>
    </w:p>
    <w:p w14:paraId="2342197C" w14:textId="2729A2F8" w:rsidR="00D930D9" w:rsidRPr="00A058B6" w:rsidRDefault="00D930D9" w:rsidP="00D930D9">
      <w:pPr>
        <w:pStyle w:val="subsection"/>
      </w:pPr>
      <w:r w:rsidRPr="00A058B6">
        <w:tab/>
        <w:t>(1)</w:t>
      </w:r>
      <w:r w:rsidRPr="00A058B6">
        <w:tab/>
        <w:t>Working out the adjusted base amount applicable to the non</w:t>
      </w:r>
      <w:r w:rsidR="001952B3">
        <w:noBreakHyphen/>
      </w:r>
      <w:r w:rsidRPr="00A058B6">
        <w:t xml:space="preserve">member spouse, for a superannuation interest at a date, first involves identifying the number of applicable adjustment periods (the </w:t>
      </w:r>
      <w:r w:rsidRPr="00A058B6">
        <w:rPr>
          <w:b/>
          <w:i/>
        </w:rPr>
        <w:t>relevant periods</w:t>
      </w:r>
      <w:r w:rsidRPr="00A058B6">
        <w:t>) for the interest that have ended before that date</w:t>
      </w:r>
      <w:r w:rsidR="00D7157D">
        <w:t>.</w:t>
      </w:r>
    </w:p>
    <w:p w14:paraId="39D8725A" w14:textId="4D59B955" w:rsidR="00D930D9" w:rsidRPr="00A058B6" w:rsidRDefault="00D930D9" w:rsidP="00D930D9">
      <w:pPr>
        <w:pStyle w:val="notetext"/>
        <w:rPr>
          <w:iCs/>
        </w:rPr>
      </w:pPr>
      <w:r w:rsidRPr="00A058B6">
        <w:rPr>
          <w:iCs/>
        </w:rPr>
        <w:t>Note 1:</w:t>
      </w:r>
      <w:r w:rsidRPr="00A058B6">
        <w:rPr>
          <w:iCs/>
        </w:rPr>
        <w:tab/>
        <w:t xml:space="preserve">This amount only needs to be calculated for </w:t>
      </w:r>
      <w:r w:rsidR="00453C86">
        <w:rPr>
          <w:iCs/>
        </w:rPr>
        <w:t>Division 2</w:t>
      </w:r>
      <w:r w:rsidRPr="00A058B6">
        <w:rPr>
          <w:iCs/>
        </w:rPr>
        <w:t xml:space="preserve"> (that is, for a superannuation interest in the growth phase</w:t>
      </w:r>
      <w:r w:rsidR="00243EFE">
        <w:rPr>
          <w:iCs/>
        </w:rPr>
        <w:t xml:space="preserve"> </w:t>
      </w:r>
      <w:r w:rsidR="00243EFE" w:rsidRPr="00A058B6">
        <w:t xml:space="preserve">either at the date the agreement is served on the trustee under </w:t>
      </w:r>
      <w:r w:rsidR="00243EFE">
        <w:t>section 9</w:t>
      </w:r>
      <w:r w:rsidR="00243EFE" w:rsidRPr="00A058B6">
        <w:t>0XI or 90YM of the Act, or at the date of the splitting order (as applicable</w:t>
      </w:r>
      <w:r w:rsidRPr="00A058B6">
        <w:rPr>
          <w:iCs/>
        </w:rPr>
        <w:t>)</w:t>
      </w:r>
      <w:r w:rsidR="00243EFE">
        <w:rPr>
          <w:iCs/>
        </w:rPr>
        <w:t>)</w:t>
      </w:r>
      <w:r w:rsidR="00D7157D">
        <w:rPr>
          <w:iCs/>
        </w:rPr>
        <w:t>.</w:t>
      </w:r>
    </w:p>
    <w:p w14:paraId="3FA7CB66" w14:textId="31FF4427" w:rsidR="00D930D9" w:rsidRPr="00A058B6" w:rsidRDefault="00D930D9" w:rsidP="00D930D9">
      <w:pPr>
        <w:pStyle w:val="notetext"/>
        <w:rPr>
          <w:iCs/>
        </w:rPr>
      </w:pPr>
      <w:r w:rsidRPr="00A058B6">
        <w:rPr>
          <w:iCs/>
        </w:rPr>
        <w:t>Note 2:</w:t>
      </w:r>
      <w:r w:rsidRPr="00A058B6">
        <w:rPr>
          <w:iCs/>
        </w:rPr>
        <w:tab/>
        <w:t xml:space="preserve">To calculate the applicable adjustment periods, see </w:t>
      </w:r>
      <w:r w:rsidR="00CB78B9">
        <w:rPr>
          <w:iCs/>
        </w:rPr>
        <w:t>section 7</w:t>
      </w:r>
      <w:r w:rsidR="00485CC2">
        <w:rPr>
          <w:iCs/>
        </w:rPr>
        <w:t>4</w:t>
      </w:r>
      <w:r w:rsidRPr="00A058B6">
        <w:rPr>
          <w:iCs/>
        </w:rPr>
        <w:t xml:space="preserve"> or </w:t>
      </w:r>
      <w:r w:rsidR="00485CC2">
        <w:rPr>
          <w:iCs/>
        </w:rPr>
        <w:t>75</w:t>
      </w:r>
      <w:r w:rsidR="00D7157D">
        <w:rPr>
          <w:iCs/>
        </w:rPr>
        <w:t>.</w:t>
      </w:r>
    </w:p>
    <w:p w14:paraId="2332E6B1" w14:textId="406EAA26" w:rsidR="00D930D9" w:rsidRPr="00A058B6" w:rsidRDefault="00D930D9" w:rsidP="00D930D9">
      <w:pPr>
        <w:pStyle w:val="subsection"/>
      </w:pPr>
      <w:r w:rsidRPr="00A058B6">
        <w:tab/>
        <w:t>(2)</w:t>
      </w:r>
      <w:r w:rsidRPr="00A058B6">
        <w:tab/>
        <w:t xml:space="preserve">If there are no relevant periods, the </w:t>
      </w:r>
      <w:r w:rsidRPr="00A058B6">
        <w:rPr>
          <w:b/>
          <w:i/>
        </w:rPr>
        <w:t>adjusted base amount applicable to the non</w:t>
      </w:r>
      <w:r w:rsidR="001952B3">
        <w:rPr>
          <w:b/>
          <w:i/>
        </w:rPr>
        <w:noBreakHyphen/>
      </w:r>
      <w:r w:rsidRPr="00A058B6">
        <w:rPr>
          <w:b/>
          <w:i/>
        </w:rPr>
        <w:t>member spouse</w:t>
      </w:r>
      <w:r w:rsidRPr="00A058B6">
        <w:t>, for the superannuation interest at that date, is the base amount for the interest</w:t>
      </w:r>
      <w:r w:rsidR="00D7157D">
        <w:t>.</w:t>
      </w:r>
    </w:p>
    <w:p w14:paraId="72C8D795" w14:textId="4EBC0936" w:rsidR="00D930D9" w:rsidRPr="00A058B6" w:rsidRDefault="00D930D9" w:rsidP="00D930D9">
      <w:pPr>
        <w:pStyle w:val="subsection"/>
      </w:pPr>
      <w:r w:rsidRPr="00A058B6">
        <w:tab/>
        <w:t>(3)</w:t>
      </w:r>
      <w:r w:rsidRPr="00A058B6">
        <w:tab/>
        <w:t xml:space="preserve">Otherwise, the </w:t>
      </w:r>
      <w:r w:rsidRPr="00A058B6">
        <w:rPr>
          <w:b/>
          <w:i/>
        </w:rPr>
        <w:t>adjusted base amount applicable to the non</w:t>
      </w:r>
      <w:r w:rsidR="001952B3">
        <w:rPr>
          <w:b/>
          <w:i/>
        </w:rPr>
        <w:noBreakHyphen/>
      </w:r>
      <w:r w:rsidRPr="00A058B6">
        <w:rPr>
          <w:b/>
          <w:i/>
        </w:rPr>
        <w:t>member spouse</w:t>
      </w:r>
      <w:r w:rsidRPr="00A058B6">
        <w:t>, for the superannuation interest at that date, is:</w:t>
      </w:r>
    </w:p>
    <w:p w14:paraId="1E0373AE" w14:textId="2A90A4A4" w:rsidR="00D930D9" w:rsidRPr="00A058B6" w:rsidRDefault="00D930D9" w:rsidP="00D930D9">
      <w:pPr>
        <w:pStyle w:val="paragraph"/>
      </w:pPr>
      <w:r w:rsidRPr="00A058B6">
        <w:tab/>
        <w:t>(a)</w:t>
      </w:r>
      <w:r w:rsidRPr="00A058B6">
        <w:tab/>
        <w:t xml:space="preserve">if there is 1 relevant period—the amount calculated by adjusting, under </w:t>
      </w:r>
      <w:r w:rsidR="00CB78B9">
        <w:t>section 7</w:t>
      </w:r>
      <w:r w:rsidR="00485CC2">
        <w:t>6</w:t>
      </w:r>
      <w:r w:rsidRPr="00A058B6">
        <w:t xml:space="preserve"> after that period, the base amount for the interest; and</w:t>
      </w:r>
    </w:p>
    <w:p w14:paraId="05799A21" w14:textId="77777777" w:rsidR="00D930D9" w:rsidRPr="00A058B6" w:rsidRDefault="00D930D9" w:rsidP="00D930D9">
      <w:pPr>
        <w:pStyle w:val="paragraph"/>
      </w:pPr>
      <w:r w:rsidRPr="00A058B6">
        <w:tab/>
        <w:t>(b)</w:t>
      </w:r>
      <w:r w:rsidRPr="00A058B6">
        <w:tab/>
        <w:t>if there are 2 or more relevant periods—the final amount calculated under this paragraph after:</w:t>
      </w:r>
    </w:p>
    <w:p w14:paraId="251A9525" w14:textId="13E795CF" w:rsidR="00D930D9" w:rsidRPr="00A058B6" w:rsidRDefault="00D930D9" w:rsidP="00D930D9">
      <w:pPr>
        <w:pStyle w:val="paragraphsub"/>
      </w:pPr>
      <w:r w:rsidRPr="00A058B6">
        <w:tab/>
        <w:t>(i)</w:t>
      </w:r>
      <w:r w:rsidRPr="00A058B6">
        <w:tab/>
        <w:t xml:space="preserve">adjusting, under </w:t>
      </w:r>
      <w:r w:rsidR="00CB78B9">
        <w:t>section 7</w:t>
      </w:r>
      <w:r w:rsidR="00485CC2">
        <w:t>6</w:t>
      </w:r>
      <w:r w:rsidRPr="00A058B6">
        <w:t xml:space="preserve"> after the second relevant period, the result of </w:t>
      </w:r>
      <w:r w:rsidR="00453C86">
        <w:t>paragraph (</w:t>
      </w:r>
      <w:r w:rsidRPr="00A058B6">
        <w:t>a)</w:t>
      </w:r>
      <w:r>
        <w:t xml:space="preserve"> of this subsection</w:t>
      </w:r>
      <w:r w:rsidRPr="00A058B6">
        <w:t>; and</w:t>
      </w:r>
    </w:p>
    <w:p w14:paraId="07D865EA" w14:textId="3CE58B3E" w:rsidR="00D930D9" w:rsidRPr="00A058B6" w:rsidRDefault="00D930D9" w:rsidP="00D930D9">
      <w:pPr>
        <w:pStyle w:val="paragraphsub"/>
      </w:pPr>
      <w:r w:rsidRPr="00A058B6">
        <w:tab/>
        <w:t>(ii)</w:t>
      </w:r>
      <w:r w:rsidRPr="00A058B6">
        <w:tab/>
        <w:t xml:space="preserve">adjusting, under </w:t>
      </w:r>
      <w:r w:rsidR="00CB78B9">
        <w:t>section 7</w:t>
      </w:r>
      <w:r w:rsidR="00485CC2">
        <w:t>6</w:t>
      </w:r>
      <w:r w:rsidRPr="00A058B6">
        <w:t xml:space="preserve"> after each later relevant period (if any), the result of the previous application of this paragraph for the previous relevant period</w:t>
      </w:r>
      <w:r w:rsidR="00D7157D">
        <w:t>.</w:t>
      </w:r>
    </w:p>
    <w:p w14:paraId="13CA81B3" w14:textId="77777777" w:rsidR="00D930D9" w:rsidRPr="00A058B6" w:rsidRDefault="00D930D9" w:rsidP="00D930D9">
      <w:pPr>
        <w:pStyle w:val="notetext"/>
      </w:pPr>
      <w:r w:rsidRPr="00A058B6">
        <w:rPr>
          <w:iCs/>
        </w:rPr>
        <w:t>Note 1:</w:t>
      </w:r>
      <w:r w:rsidRPr="00A058B6">
        <w:rPr>
          <w:iCs/>
        </w:rPr>
        <w:tab/>
      </w:r>
      <w:r w:rsidRPr="00A058B6">
        <w:t>Depending on the rate of interest that applies to the interest for a relevant period, the base amount (or result) may be adjusted by a positive amount or a negative amount or, if the rate was nil, not adjusted</w:t>
      </w:r>
      <w:r w:rsidR="00D7157D">
        <w:t>.</w:t>
      </w:r>
    </w:p>
    <w:p w14:paraId="5ADE72A3" w14:textId="77777777" w:rsidR="00D930D9" w:rsidRDefault="00D930D9" w:rsidP="00D930D9">
      <w:pPr>
        <w:pStyle w:val="notetext"/>
      </w:pPr>
      <w:r w:rsidRPr="00A058B6">
        <w:t>Note 2:</w:t>
      </w:r>
      <w:r w:rsidRPr="00A058B6">
        <w:tab/>
        <w:t>These adjustments will need to be made by the trustee of the eligible superannuation plan in which the interest is held</w:t>
      </w:r>
      <w:r w:rsidR="00D7157D">
        <w:t>.</w:t>
      </w:r>
    </w:p>
    <w:p w14:paraId="23B57813" w14:textId="4307F345" w:rsidR="00D930D9" w:rsidRPr="00A058B6" w:rsidRDefault="00485CC2" w:rsidP="00D930D9">
      <w:pPr>
        <w:pStyle w:val="ActHead5"/>
      </w:pPr>
      <w:bookmarkStart w:id="109" w:name="_Toc188350596"/>
      <w:r w:rsidRPr="00423C34">
        <w:rPr>
          <w:rStyle w:val="CharSectno"/>
        </w:rPr>
        <w:t>74</w:t>
      </w:r>
      <w:r w:rsidR="00D930D9" w:rsidRPr="00A058B6">
        <w:t xml:space="preserve">  Applicable adjustment periods—whole of superannuation interest is an accumulation interest</w:t>
      </w:r>
      <w:bookmarkEnd w:id="109"/>
    </w:p>
    <w:p w14:paraId="03CC3E15" w14:textId="77777777" w:rsidR="00D930D9" w:rsidRPr="00A058B6" w:rsidRDefault="00D930D9" w:rsidP="00D930D9">
      <w:pPr>
        <w:pStyle w:val="subsection"/>
      </w:pPr>
      <w:r w:rsidRPr="00A058B6">
        <w:tab/>
        <w:t>(1)</w:t>
      </w:r>
      <w:r w:rsidRPr="00A058B6">
        <w:tab/>
        <w:t xml:space="preserve">If the whole of a superannuation interest is an accumulation interest in a regulated superannuation fund (other than a self managed superannuation fund), an approved deposit fund or an RSA, the </w:t>
      </w:r>
      <w:r w:rsidRPr="00A058B6">
        <w:rPr>
          <w:b/>
          <w:i/>
        </w:rPr>
        <w:t>applicable adjustment periods</w:t>
      </w:r>
      <w:r w:rsidRPr="00A058B6">
        <w:t xml:space="preserve"> for the interest are:</w:t>
      </w:r>
    </w:p>
    <w:p w14:paraId="4D76628D" w14:textId="77777777" w:rsidR="00D930D9" w:rsidRPr="00A058B6" w:rsidRDefault="00D930D9" w:rsidP="00D930D9">
      <w:pPr>
        <w:pStyle w:val="paragraph"/>
      </w:pPr>
      <w:r w:rsidRPr="00A058B6">
        <w:tab/>
        <w:t>(a)</w:t>
      </w:r>
      <w:r w:rsidRPr="00A058B6">
        <w:tab/>
        <w:t>if a splittable payment becomes payable, or a terminating action occurs, for the interest before the end of the first allotment period—the period:</w:t>
      </w:r>
    </w:p>
    <w:p w14:paraId="51AF9A88" w14:textId="77777777" w:rsidR="00D930D9" w:rsidRPr="00A058B6" w:rsidRDefault="00D930D9" w:rsidP="00D930D9">
      <w:pPr>
        <w:pStyle w:val="paragraphsub"/>
      </w:pPr>
      <w:r w:rsidRPr="00A058B6">
        <w:tab/>
        <w:t>(i)</w:t>
      </w:r>
      <w:r w:rsidRPr="00A058B6">
        <w:tab/>
        <w:t>beginning at the operative time; and</w:t>
      </w:r>
    </w:p>
    <w:p w14:paraId="58C82F0B" w14:textId="77777777" w:rsidR="00D930D9" w:rsidRPr="00A058B6" w:rsidRDefault="00D930D9" w:rsidP="00D930D9">
      <w:pPr>
        <w:pStyle w:val="paragraphsub"/>
      </w:pPr>
      <w:r w:rsidRPr="00A058B6">
        <w:tab/>
        <w:t>(ii)</w:t>
      </w:r>
      <w:r w:rsidRPr="00A058B6">
        <w:tab/>
        <w:t>ending at the end of the period for which the plan would allot net earnings to the member spouse if the member spouse voluntarily ceased to be a member of the plan on the day when the splittable payment becomes payable or the terminating action occurs; and</w:t>
      </w:r>
    </w:p>
    <w:p w14:paraId="12C19875" w14:textId="37556BD7" w:rsidR="00D930D9" w:rsidRPr="00A058B6" w:rsidRDefault="00D930D9" w:rsidP="00D930D9">
      <w:pPr>
        <w:pStyle w:val="paragraph"/>
      </w:pPr>
      <w:r w:rsidRPr="00A058B6">
        <w:tab/>
        <w:t>(b)</w:t>
      </w:r>
      <w:r w:rsidRPr="00A058B6">
        <w:tab/>
        <w:t xml:space="preserve">otherwise—the periods set out in </w:t>
      </w:r>
      <w:r w:rsidR="00A52DA5">
        <w:t>subsection (</w:t>
      </w:r>
      <w:r w:rsidRPr="00A058B6">
        <w:t>2)</w:t>
      </w:r>
      <w:r w:rsidR="00D7157D">
        <w:t>.</w:t>
      </w:r>
    </w:p>
    <w:p w14:paraId="280283B7" w14:textId="5E9C7E9A" w:rsidR="00D930D9" w:rsidRPr="00A058B6" w:rsidRDefault="00D930D9" w:rsidP="00D930D9">
      <w:pPr>
        <w:pStyle w:val="notetext"/>
      </w:pPr>
      <w:r w:rsidRPr="00A058B6">
        <w:t>Note:</w:t>
      </w:r>
      <w:r w:rsidRPr="00A058B6">
        <w:tab/>
        <w:t xml:space="preserve">If </w:t>
      </w:r>
      <w:r w:rsidR="00453C86">
        <w:t>paragraph (</w:t>
      </w:r>
      <w:r w:rsidRPr="00A058B6">
        <w:t>a) applies, that period is the first (and only) applicable adjustment period for the interest</w:t>
      </w:r>
      <w:r w:rsidR="00D7157D">
        <w:t>.</w:t>
      </w:r>
    </w:p>
    <w:p w14:paraId="0383DAB3" w14:textId="244489E9" w:rsidR="00D930D9" w:rsidRPr="00A058B6" w:rsidRDefault="00D930D9" w:rsidP="00D930D9">
      <w:pPr>
        <w:pStyle w:val="subsection"/>
      </w:pPr>
      <w:r w:rsidRPr="00A058B6">
        <w:tab/>
        <w:t>(2)</w:t>
      </w:r>
      <w:r w:rsidRPr="00A058B6">
        <w:tab/>
        <w:t xml:space="preserve">For the purposes of </w:t>
      </w:r>
      <w:r w:rsidR="00453C86">
        <w:t>paragraph (</w:t>
      </w:r>
      <w:r w:rsidRPr="00A058B6">
        <w:t>1)(b), the periods are as follows:</w:t>
      </w:r>
    </w:p>
    <w:p w14:paraId="7469C8FC" w14:textId="77777777" w:rsidR="00D930D9" w:rsidRPr="00A058B6" w:rsidRDefault="00D930D9" w:rsidP="00D930D9">
      <w:pPr>
        <w:pStyle w:val="paragraph"/>
      </w:pPr>
      <w:r w:rsidRPr="00A058B6">
        <w:tab/>
        <w:t>(a)</w:t>
      </w:r>
      <w:r w:rsidRPr="00A058B6">
        <w:tab/>
        <w:t>the period beginning at the operative time and ending at the end of the first allotment period for the interest;</w:t>
      </w:r>
    </w:p>
    <w:p w14:paraId="19506216" w14:textId="77777777" w:rsidR="00D930D9" w:rsidRPr="00A058B6" w:rsidRDefault="00D930D9" w:rsidP="00D930D9">
      <w:pPr>
        <w:pStyle w:val="paragraph"/>
      </w:pPr>
      <w:r w:rsidRPr="00A058B6">
        <w:tab/>
        <w:t>(b)</w:t>
      </w:r>
      <w:r w:rsidRPr="00A058B6">
        <w:tab/>
        <w:t>after the first allotment period, each whole allotment period (if any) for the interest ending before a splittable payment becomes payable, or a terminating action occurs, for the interest;</w:t>
      </w:r>
    </w:p>
    <w:p w14:paraId="3BCFA741" w14:textId="77777777" w:rsidR="00D930D9" w:rsidRPr="00A058B6" w:rsidRDefault="00D930D9" w:rsidP="00D930D9">
      <w:pPr>
        <w:pStyle w:val="paragraph"/>
      </w:pPr>
      <w:r w:rsidRPr="00A058B6">
        <w:tab/>
        <w:t>(c)</w:t>
      </w:r>
      <w:r w:rsidRPr="00A058B6">
        <w:tab/>
        <w:t>in the allotment period in which a splittable payment becomes payable, or a terminating action occurs, for the interest—the period:</w:t>
      </w:r>
    </w:p>
    <w:p w14:paraId="28504A79" w14:textId="77777777" w:rsidR="00D930D9" w:rsidRPr="00A058B6" w:rsidRDefault="00D930D9" w:rsidP="00D930D9">
      <w:pPr>
        <w:pStyle w:val="paragraphsub"/>
      </w:pPr>
      <w:r w:rsidRPr="00A058B6">
        <w:tab/>
        <w:t>(i)</w:t>
      </w:r>
      <w:r w:rsidRPr="00A058B6">
        <w:tab/>
        <w:t>beginning at the beginning of that allotment period; and</w:t>
      </w:r>
    </w:p>
    <w:p w14:paraId="2B45BFFA" w14:textId="77777777" w:rsidR="00D930D9" w:rsidRPr="00A058B6" w:rsidRDefault="00D930D9" w:rsidP="00D930D9">
      <w:pPr>
        <w:pStyle w:val="paragraphsub"/>
      </w:pPr>
      <w:r w:rsidRPr="00A058B6">
        <w:tab/>
        <w:t>(ii)</w:t>
      </w:r>
      <w:r w:rsidRPr="00A058B6">
        <w:tab/>
        <w:t>ending at the end of the period for which the plan would allot net earnings to the member spouse if the member spouse voluntarily ceased to be a member of the plan on the day when the splittable payment becomes payable or the terminating action occurs</w:t>
      </w:r>
      <w:r w:rsidR="00D7157D">
        <w:t>.</w:t>
      </w:r>
    </w:p>
    <w:p w14:paraId="2DE2A041" w14:textId="77777777" w:rsidR="00D930D9" w:rsidRPr="00A058B6" w:rsidRDefault="00D930D9" w:rsidP="00D930D9">
      <w:pPr>
        <w:pStyle w:val="subsection"/>
      </w:pPr>
      <w:r w:rsidRPr="00A058B6">
        <w:tab/>
        <w:t>(3)</w:t>
      </w:r>
      <w:r w:rsidRPr="00A058B6">
        <w:tab/>
        <w:t>In this section:</w:t>
      </w:r>
    </w:p>
    <w:p w14:paraId="6A2AAD8F" w14:textId="77777777" w:rsidR="00D930D9" w:rsidRPr="00A058B6" w:rsidRDefault="00D930D9" w:rsidP="00D930D9">
      <w:pPr>
        <w:pStyle w:val="Definition"/>
      </w:pPr>
      <w:r w:rsidRPr="00A058B6">
        <w:rPr>
          <w:b/>
          <w:i/>
        </w:rPr>
        <w:t>allotment period</w:t>
      </w:r>
      <w:r w:rsidRPr="00A058B6">
        <w:t>, for a superannuation interest, means the period used by the plan in which the interest is held to allot net earnings of the plan to the member who has the interest</w:t>
      </w:r>
      <w:r w:rsidR="00D7157D">
        <w:t>.</w:t>
      </w:r>
    </w:p>
    <w:p w14:paraId="02513FE3" w14:textId="77777777" w:rsidR="00D930D9" w:rsidRPr="00A058B6" w:rsidRDefault="00D930D9" w:rsidP="00D930D9">
      <w:pPr>
        <w:pStyle w:val="Definition"/>
      </w:pPr>
      <w:r w:rsidRPr="00A058B6">
        <w:rPr>
          <w:b/>
          <w:i/>
        </w:rPr>
        <w:t>first allotment period</w:t>
      </w:r>
      <w:r w:rsidRPr="00A058B6">
        <w:t>, for a superannuation interest, means the allotment period in which the operative time in relation to the relevant payment split occurs</w:t>
      </w:r>
      <w:r w:rsidR="00D7157D">
        <w:t>.</w:t>
      </w:r>
    </w:p>
    <w:p w14:paraId="020CA163" w14:textId="6B06DE4F" w:rsidR="00D930D9" w:rsidRPr="00A058B6" w:rsidRDefault="00D930D9" w:rsidP="00D930D9">
      <w:pPr>
        <w:pStyle w:val="Definition"/>
      </w:pPr>
      <w:r w:rsidRPr="00A058B6">
        <w:rPr>
          <w:b/>
          <w:i/>
        </w:rPr>
        <w:t>terminating action</w:t>
      </w:r>
      <w:r w:rsidRPr="00A058B6">
        <w:t>, for a superannuation interest, means any of the following actions, in respect of the non</w:t>
      </w:r>
      <w:r w:rsidR="001952B3">
        <w:noBreakHyphen/>
      </w:r>
      <w:r w:rsidRPr="00A058B6">
        <w:t>member spouse’s entitlement under a superannuation agreement, flag lifting agreement or splitting order, by the trustee of the plan in which the interest is held:</w:t>
      </w:r>
    </w:p>
    <w:p w14:paraId="3998161B" w14:textId="5C695C83" w:rsidR="00D930D9" w:rsidRPr="00A058B6" w:rsidRDefault="00D930D9" w:rsidP="00D930D9">
      <w:pPr>
        <w:pStyle w:val="paragraph"/>
      </w:pPr>
      <w:r w:rsidRPr="00A058B6">
        <w:tab/>
        <w:t>(a)</w:t>
      </w:r>
      <w:r w:rsidRPr="00A058B6">
        <w:tab/>
        <w:t>the creation, under the payment split provisions of the SIS Regulations, of a new interest in the plan for the non</w:t>
      </w:r>
      <w:r w:rsidR="001952B3">
        <w:noBreakHyphen/>
      </w:r>
      <w:r w:rsidRPr="00A058B6">
        <w:t>member spouse;</w:t>
      </w:r>
    </w:p>
    <w:p w14:paraId="1A94CAB2" w14:textId="466F05F7" w:rsidR="00D930D9" w:rsidRPr="00A058B6" w:rsidRDefault="00D930D9" w:rsidP="00D930D9">
      <w:pPr>
        <w:pStyle w:val="paragraph"/>
      </w:pPr>
      <w:r w:rsidRPr="00A058B6">
        <w:tab/>
        <w:t>(b)</w:t>
      </w:r>
      <w:r w:rsidRPr="00A058B6">
        <w:tab/>
        <w:t>the opening of a new RSA for the non</w:t>
      </w:r>
      <w:r w:rsidR="001952B3">
        <w:noBreakHyphen/>
      </w:r>
      <w:r w:rsidRPr="00A058B6">
        <w:t>member spouse under the payment split provisions of the RSA Regulations;</w:t>
      </w:r>
    </w:p>
    <w:p w14:paraId="5930C609" w14:textId="6079F943" w:rsidR="00D930D9" w:rsidRPr="00A058B6" w:rsidRDefault="00D930D9" w:rsidP="00D930D9">
      <w:pPr>
        <w:pStyle w:val="paragraph"/>
      </w:pPr>
      <w:r w:rsidRPr="00A058B6">
        <w:tab/>
        <w:t>(c)</w:t>
      </w:r>
      <w:r w:rsidRPr="00A058B6">
        <w:tab/>
        <w:t>the transfer or rollover, under the payment split provisions of the SIS Regulations or the RSA Regulations, to another superannuation fund or an RSA of an amount to be held for the benefit of the non</w:t>
      </w:r>
      <w:r w:rsidR="001952B3">
        <w:noBreakHyphen/>
      </w:r>
      <w:r w:rsidRPr="00A058B6">
        <w:t>member spouse;</w:t>
      </w:r>
    </w:p>
    <w:p w14:paraId="3F2A2A07" w14:textId="4F3F5638" w:rsidR="00D930D9" w:rsidRPr="00A058B6" w:rsidRDefault="00D930D9" w:rsidP="00D930D9">
      <w:pPr>
        <w:pStyle w:val="paragraph"/>
        <w:keepNext/>
        <w:keepLines/>
      </w:pPr>
      <w:r w:rsidRPr="00A058B6">
        <w:tab/>
        <w:t>(d)</w:t>
      </w:r>
      <w:r w:rsidRPr="00A058B6">
        <w:tab/>
        <w:t>if the non</w:t>
      </w:r>
      <w:r w:rsidR="001952B3">
        <w:noBreakHyphen/>
      </w:r>
      <w:r w:rsidRPr="00A058B6">
        <w:t>member spouse has satisfied a relevant condition of release—the payment, under the payment split provisions of the SIS Regulations or the RSA Regulations, of an amount to the non</w:t>
      </w:r>
      <w:r w:rsidR="001952B3">
        <w:noBreakHyphen/>
      </w:r>
      <w:r w:rsidRPr="00A058B6">
        <w:t>member spouse</w:t>
      </w:r>
      <w:r w:rsidR="00D7157D">
        <w:t>.</w:t>
      </w:r>
    </w:p>
    <w:p w14:paraId="4F9B1174" w14:textId="13F5BCD2" w:rsidR="00D930D9" w:rsidRPr="00A058B6" w:rsidRDefault="00D930D9" w:rsidP="00D930D9">
      <w:pPr>
        <w:pStyle w:val="notetext"/>
      </w:pPr>
      <w:r w:rsidRPr="00A058B6">
        <w:t>Note:</w:t>
      </w:r>
      <w:r w:rsidRPr="00A058B6">
        <w:tab/>
        <w:t xml:space="preserve">For the meaning of </w:t>
      </w:r>
      <w:r w:rsidRPr="00A058B6">
        <w:rPr>
          <w:b/>
          <w:i/>
        </w:rPr>
        <w:t>relevant condition of release</w:t>
      </w:r>
      <w:r w:rsidRPr="00A058B6">
        <w:t xml:space="preserve">, see </w:t>
      </w:r>
      <w:r w:rsidR="00CB78B9">
        <w:t>section 1</w:t>
      </w:r>
      <w:r w:rsidR="00485CC2">
        <w:t>9</w:t>
      </w:r>
      <w:r w:rsidR="00D7157D">
        <w:t>.</w:t>
      </w:r>
    </w:p>
    <w:p w14:paraId="0AF970DA" w14:textId="2ED8E8D4" w:rsidR="00D930D9" w:rsidRPr="00A058B6" w:rsidRDefault="00485CC2" w:rsidP="00D930D9">
      <w:pPr>
        <w:pStyle w:val="ActHead5"/>
      </w:pPr>
      <w:bookmarkStart w:id="110" w:name="_Toc188350597"/>
      <w:r w:rsidRPr="00423C34">
        <w:rPr>
          <w:rStyle w:val="CharSectno"/>
        </w:rPr>
        <w:t>75</w:t>
      </w:r>
      <w:r w:rsidR="00D930D9" w:rsidRPr="00A058B6">
        <w:t xml:space="preserve">  Applicable adjustment periods—other superannuation interests</w:t>
      </w:r>
      <w:bookmarkEnd w:id="110"/>
    </w:p>
    <w:p w14:paraId="1E6B0947" w14:textId="38FDB0F5" w:rsidR="00D930D9" w:rsidRPr="00A058B6" w:rsidRDefault="00D930D9" w:rsidP="00D930D9">
      <w:pPr>
        <w:pStyle w:val="subsection"/>
      </w:pPr>
      <w:r w:rsidRPr="00A058B6">
        <w:tab/>
        <w:t>(1)</w:t>
      </w:r>
      <w:r w:rsidRPr="00A058B6">
        <w:tab/>
        <w:t xml:space="preserve">If a superannuation interest is not an interest to which </w:t>
      </w:r>
      <w:r w:rsidR="00CB78B9">
        <w:t>section 7</w:t>
      </w:r>
      <w:r w:rsidR="00485CC2">
        <w:t>4</w:t>
      </w:r>
      <w:r w:rsidRPr="00A058B6">
        <w:t xml:space="preserve"> applies, the </w:t>
      </w:r>
      <w:r w:rsidRPr="00A058B6">
        <w:rPr>
          <w:b/>
          <w:i/>
        </w:rPr>
        <w:t>applicable adjustment periods</w:t>
      </w:r>
      <w:r w:rsidRPr="00A058B6">
        <w:t xml:space="preserve"> for the interest are:</w:t>
      </w:r>
    </w:p>
    <w:p w14:paraId="0B4FB779" w14:textId="77777777" w:rsidR="00D930D9" w:rsidRPr="00A058B6" w:rsidRDefault="00D930D9" w:rsidP="00D930D9">
      <w:pPr>
        <w:pStyle w:val="paragraph"/>
      </w:pPr>
      <w:r w:rsidRPr="00A058B6">
        <w:tab/>
        <w:t>(a)</w:t>
      </w:r>
      <w:r w:rsidRPr="00A058B6">
        <w:tab/>
        <w:t>if a splittable payment becomes payable, or a terminating action occurs, for the interest before the end of the first year—the period beginning at the operative time and ending at on the day before the payment becomes payable or the terminating action occurs; and</w:t>
      </w:r>
    </w:p>
    <w:p w14:paraId="0C3E45CC" w14:textId="77777777" w:rsidR="00D930D9" w:rsidRPr="00A058B6" w:rsidRDefault="00D930D9" w:rsidP="00D930D9">
      <w:pPr>
        <w:pStyle w:val="paragraph"/>
      </w:pPr>
      <w:r w:rsidRPr="00A058B6">
        <w:tab/>
        <w:t>(b)</w:t>
      </w:r>
      <w:r w:rsidRPr="00A058B6">
        <w:tab/>
        <w:t>otherwise—the following periods:</w:t>
      </w:r>
    </w:p>
    <w:p w14:paraId="4C08565C" w14:textId="77777777" w:rsidR="00D930D9" w:rsidRPr="00A058B6" w:rsidRDefault="00D930D9" w:rsidP="00D930D9">
      <w:pPr>
        <w:pStyle w:val="paragraphsub"/>
      </w:pPr>
      <w:r w:rsidRPr="00A058B6">
        <w:tab/>
        <w:t>(i)</w:t>
      </w:r>
      <w:r w:rsidRPr="00A058B6">
        <w:tab/>
        <w:t>the period beginning at the operative time and ending at the end of the first year;</w:t>
      </w:r>
    </w:p>
    <w:p w14:paraId="76E5EA8D" w14:textId="77777777" w:rsidR="00D930D9" w:rsidRPr="00A058B6" w:rsidRDefault="00D930D9" w:rsidP="00D930D9">
      <w:pPr>
        <w:pStyle w:val="paragraphsub"/>
      </w:pPr>
      <w:r w:rsidRPr="00A058B6">
        <w:tab/>
        <w:t>(ii)</w:t>
      </w:r>
      <w:r w:rsidRPr="00A058B6">
        <w:tab/>
        <w:t>after the first year, each whole year (if any) for the interest ending before a splittable payment becomes payable, or a terminating action occurs, for the interest;</w:t>
      </w:r>
    </w:p>
    <w:p w14:paraId="6D6408F9" w14:textId="77777777" w:rsidR="00D930D9" w:rsidRPr="00A058B6" w:rsidRDefault="00D930D9" w:rsidP="00D930D9">
      <w:pPr>
        <w:pStyle w:val="paragraphsub"/>
      </w:pPr>
      <w:r w:rsidRPr="00A058B6">
        <w:tab/>
        <w:t>(iii)</w:t>
      </w:r>
      <w:r w:rsidRPr="00A058B6">
        <w:tab/>
        <w:t>in the year in which a splittable payment becomes payable, or a terminating action occurs, for the interest—the period beginning at the beginning of that year and ending on the day before the payment becomes payable or the terminating action occurs</w:t>
      </w:r>
      <w:r w:rsidR="00D7157D">
        <w:t>.</w:t>
      </w:r>
    </w:p>
    <w:p w14:paraId="31B92C13" w14:textId="77777777" w:rsidR="00D930D9" w:rsidRPr="00A058B6" w:rsidRDefault="00D930D9" w:rsidP="00D930D9">
      <w:pPr>
        <w:pStyle w:val="subsection"/>
      </w:pPr>
      <w:r w:rsidRPr="00A058B6">
        <w:tab/>
        <w:t>(2)</w:t>
      </w:r>
      <w:r w:rsidRPr="00A058B6">
        <w:tab/>
        <w:t>In this section:</w:t>
      </w:r>
    </w:p>
    <w:p w14:paraId="27DC92DF" w14:textId="77777777" w:rsidR="00D930D9" w:rsidRPr="00A058B6" w:rsidRDefault="00D930D9" w:rsidP="00D930D9">
      <w:pPr>
        <w:pStyle w:val="Definition"/>
      </w:pPr>
      <w:r w:rsidRPr="00A058B6">
        <w:rPr>
          <w:b/>
          <w:i/>
        </w:rPr>
        <w:t>first year</w:t>
      </w:r>
      <w:r w:rsidRPr="00A66083">
        <w:t xml:space="preserve"> </w:t>
      </w:r>
      <w:r w:rsidRPr="00A058B6">
        <w:t>means the year in which the operative time in relation to the relevant payment split occurs</w:t>
      </w:r>
      <w:r w:rsidR="00D7157D">
        <w:t>.</w:t>
      </w:r>
    </w:p>
    <w:p w14:paraId="53FB30CE" w14:textId="3EE1811E" w:rsidR="00D930D9" w:rsidRPr="00A058B6" w:rsidRDefault="00D930D9" w:rsidP="00D930D9">
      <w:pPr>
        <w:pStyle w:val="Definition"/>
      </w:pPr>
      <w:r w:rsidRPr="00A058B6">
        <w:rPr>
          <w:b/>
          <w:i/>
        </w:rPr>
        <w:t>terminating action</w:t>
      </w:r>
      <w:r w:rsidRPr="00A058B6">
        <w:t>, for a superannuation interest, means any of the following actions, in respect of the non</w:t>
      </w:r>
      <w:r w:rsidR="001952B3">
        <w:noBreakHyphen/>
      </w:r>
      <w:r w:rsidRPr="00A058B6">
        <w:t>member spouse’s entitlement under a superannuation agreement, flag lifting agreement or splitting order, by the trustee of the plan in which the interest is held:</w:t>
      </w:r>
    </w:p>
    <w:p w14:paraId="668C26BA" w14:textId="1BCEDC7C" w:rsidR="00D930D9" w:rsidRPr="00A058B6" w:rsidRDefault="00D930D9" w:rsidP="00D930D9">
      <w:pPr>
        <w:pStyle w:val="paragraph"/>
      </w:pPr>
      <w:r w:rsidRPr="00A058B6">
        <w:tab/>
        <w:t>(a)</w:t>
      </w:r>
      <w:r w:rsidRPr="00A058B6">
        <w:tab/>
        <w:t>the creation, under the governing rules of the plan, of a new interest in the plan for the non</w:t>
      </w:r>
      <w:r w:rsidR="001952B3">
        <w:noBreakHyphen/>
      </w:r>
      <w:r w:rsidRPr="00A058B6">
        <w:t>member spouse;</w:t>
      </w:r>
    </w:p>
    <w:p w14:paraId="29B689E2" w14:textId="4D46BBDE" w:rsidR="00D930D9" w:rsidRPr="00A058B6" w:rsidRDefault="00D930D9" w:rsidP="00D930D9">
      <w:pPr>
        <w:pStyle w:val="paragraph"/>
      </w:pPr>
      <w:r w:rsidRPr="00A058B6">
        <w:tab/>
        <w:t>(b)</w:t>
      </w:r>
      <w:r w:rsidRPr="00A058B6">
        <w:tab/>
        <w:t>the transfer or rollover, under the governing rules of the plan, to another superannuation fund or an RSA of an amount to be held for the benefit of the non</w:t>
      </w:r>
      <w:r w:rsidR="001952B3">
        <w:noBreakHyphen/>
      </w:r>
      <w:r w:rsidRPr="00A058B6">
        <w:t>member spouse;</w:t>
      </w:r>
    </w:p>
    <w:p w14:paraId="5AD4748C" w14:textId="06594296" w:rsidR="00D930D9" w:rsidRPr="00A058B6" w:rsidRDefault="00D930D9" w:rsidP="00D930D9">
      <w:pPr>
        <w:pStyle w:val="paragraph"/>
      </w:pPr>
      <w:r w:rsidRPr="00A058B6">
        <w:tab/>
        <w:t>(c)</w:t>
      </w:r>
      <w:r w:rsidRPr="00A058B6">
        <w:tab/>
        <w:t>if the non</w:t>
      </w:r>
      <w:r w:rsidR="001952B3">
        <w:noBreakHyphen/>
      </w:r>
      <w:r w:rsidRPr="00A058B6">
        <w:t>member spouse has satisfied a relevant condition of release—the payment of an amount to the non</w:t>
      </w:r>
      <w:r w:rsidR="001952B3">
        <w:noBreakHyphen/>
      </w:r>
      <w:r w:rsidRPr="00A058B6">
        <w:t>member spouse</w:t>
      </w:r>
      <w:r w:rsidR="00D7157D">
        <w:t>.</w:t>
      </w:r>
    </w:p>
    <w:p w14:paraId="238809B6" w14:textId="637FB571" w:rsidR="00D930D9" w:rsidRPr="00A058B6" w:rsidRDefault="00D930D9" w:rsidP="00D930D9">
      <w:pPr>
        <w:pStyle w:val="notetext"/>
      </w:pPr>
      <w:r w:rsidRPr="00A058B6">
        <w:t>Note:</w:t>
      </w:r>
      <w:r w:rsidRPr="00A058B6">
        <w:tab/>
        <w:t xml:space="preserve">For the meaning of </w:t>
      </w:r>
      <w:r w:rsidRPr="00A058B6">
        <w:rPr>
          <w:b/>
          <w:i/>
        </w:rPr>
        <w:t>relevant condition of release</w:t>
      </w:r>
      <w:r w:rsidRPr="00A058B6">
        <w:t xml:space="preserve">, see </w:t>
      </w:r>
      <w:r w:rsidR="00CB78B9">
        <w:t>section 1</w:t>
      </w:r>
      <w:r w:rsidR="00485CC2">
        <w:t>9</w:t>
      </w:r>
      <w:r w:rsidR="00D7157D">
        <w:t>.</w:t>
      </w:r>
    </w:p>
    <w:p w14:paraId="34E93F58" w14:textId="77777777" w:rsidR="00D930D9" w:rsidRPr="00A058B6" w:rsidRDefault="00D930D9" w:rsidP="00D930D9">
      <w:pPr>
        <w:pStyle w:val="Definition"/>
      </w:pPr>
      <w:r w:rsidRPr="00A058B6">
        <w:rPr>
          <w:b/>
          <w:bCs/>
          <w:i/>
          <w:iCs/>
        </w:rPr>
        <w:t>year</w:t>
      </w:r>
      <w:r w:rsidRPr="00A058B6">
        <w:rPr>
          <w:bCs/>
          <w:iCs/>
        </w:rPr>
        <w:t xml:space="preserve">, for a superannuation interest, </w:t>
      </w:r>
      <w:r w:rsidRPr="00A058B6">
        <w:t>means:</w:t>
      </w:r>
    </w:p>
    <w:p w14:paraId="732FDD98" w14:textId="5FD41C9C" w:rsidR="00D930D9" w:rsidRPr="00A058B6" w:rsidRDefault="00D930D9" w:rsidP="00D930D9">
      <w:pPr>
        <w:pStyle w:val="paragraph"/>
      </w:pPr>
      <w:r w:rsidRPr="00A058B6">
        <w:tab/>
        <w:t>(a)</w:t>
      </w:r>
      <w:r w:rsidRPr="00A058B6">
        <w:tab/>
        <w:t xml:space="preserve">if the interest is in a regulated superannuation fund that has a year of income within the meaning of </w:t>
      </w:r>
      <w:r w:rsidR="00CB78B9">
        <w:t>subsection 1</w:t>
      </w:r>
      <w:r w:rsidRPr="00A058B6">
        <w:t>0(1) of the SIS Act—a year of income; or</w:t>
      </w:r>
    </w:p>
    <w:p w14:paraId="0E550D21" w14:textId="77777777" w:rsidR="00D930D9" w:rsidRPr="00A058B6" w:rsidRDefault="00D930D9" w:rsidP="00D930D9">
      <w:pPr>
        <w:pStyle w:val="paragraph"/>
      </w:pPr>
      <w:r w:rsidRPr="00A058B6">
        <w:tab/>
        <w:t>(b)</w:t>
      </w:r>
      <w:r w:rsidRPr="00A058B6">
        <w:tab/>
        <w:t>otherwise—a financial year</w:t>
      </w:r>
      <w:r w:rsidR="00D7157D">
        <w:t>.</w:t>
      </w:r>
    </w:p>
    <w:p w14:paraId="6FE556AB" w14:textId="5EC1FC67" w:rsidR="00D930D9" w:rsidRPr="00A058B6" w:rsidRDefault="00485CC2" w:rsidP="00D930D9">
      <w:pPr>
        <w:pStyle w:val="ActHead5"/>
      </w:pPr>
      <w:bookmarkStart w:id="111" w:name="_Toc188350598"/>
      <w:r w:rsidRPr="00423C34">
        <w:rPr>
          <w:rStyle w:val="CharSectno"/>
        </w:rPr>
        <w:t>76</w:t>
      </w:r>
      <w:r w:rsidR="00D930D9" w:rsidRPr="00A058B6">
        <w:t xml:space="preserve">  Interest rates for adjustment of base amount</w:t>
      </w:r>
      <w:bookmarkEnd w:id="111"/>
    </w:p>
    <w:p w14:paraId="4C3ADA5A" w14:textId="77777777" w:rsidR="00D930D9" w:rsidRPr="00A058B6" w:rsidRDefault="00D930D9" w:rsidP="00D930D9">
      <w:pPr>
        <w:pStyle w:val="subsection"/>
      </w:pPr>
      <w:r w:rsidRPr="00A058B6">
        <w:tab/>
        <w:t>(1)</w:t>
      </w:r>
      <w:r w:rsidRPr="00A058B6">
        <w:tab/>
        <w:t>An amount for a superannuation interest is adjusted:</w:t>
      </w:r>
    </w:p>
    <w:p w14:paraId="08D78ED5" w14:textId="77777777" w:rsidR="00D930D9" w:rsidRPr="00A058B6" w:rsidRDefault="00D930D9" w:rsidP="00D930D9">
      <w:pPr>
        <w:pStyle w:val="paragraph"/>
      </w:pPr>
      <w:r w:rsidRPr="00A058B6">
        <w:tab/>
        <w:t>(a)</w:t>
      </w:r>
      <w:r w:rsidRPr="00A058B6">
        <w:tab/>
        <w:t>under this section; and</w:t>
      </w:r>
    </w:p>
    <w:p w14:paraId="508F3694" w14:textId="77777777" w:rsidR="00D930D9" w:rsidRPr="00A058B6" w:rsidRDefault="00D930D9" w:rsidP="00D930D9">
      <w:pPr>
        <w:pStyle w:val="paragraph"/>
      </w:pPr>
      <w:r w:rsidRPr="00A058B6">
        <w:tab/>
        <w:t>(b)</w:t>
      </w:r>
      <w:r w:rsidRPr="00A058B6">
        <w:tab/>
        <w:t>for an applicable adjustment period for the superannuation interest;</w:t>
      </w:r>
    </w:p>
    <w:p w14:paraId="212DA442" w14:textId="77777777" w:rsidR="00D930D9" w:rsidRPr="00A058B6" w:rsidRDefault="00D930D9" w:rsidP="00D930D9">
      <w:pPr>
        <w:pStyle w:val="subsection2"/>
      </w:pPr>
      <w:r w:rsidRPr="00A058B6">
        <w:t>by applying an interest rate to that amount after that period</w:t>
      </w:r>
      <w:r w:rsidR="00D7157D">
        <w:t>.</w:t>
      </w:r>
      <w:r w:rsidRPr="00A058B6">
        <w:t xml:space="preserve"> The interest rate will depend on the superannuation interest</w:t>
      </w:r>
      <w:r w:rsidR="00D7157D">
        <w:t>.</w:t>
      </w:r>
    </w:p>
    <w:p w14:paraId="6F033F4E" w14:textId="77777777" w:rsidR="00D930D9" w:rsidRPr="00A058B6" w:rsidRDefault="00D930D9" w:rsidP="00D930D9">
      <w:pPr>
        <w:pStyle w:val="SubsectionHead"/>
      </w:pPr>
      <w:r w:rsidRPr="00A058B6">
        <w:t>Superannuation interest is wholly an accumulation interest (other than an interest in a self managed superannuation fund)</w:t>
      </w:r>
    </w:p>
    <w:p w14:paraId="6AA0908A" w14:textId="77777777" w:rsidR="00D930D9" w:rsidRPr="00A058B6" w:rsidRDefault="00D930D9" w:rsidP="00D930D9">
      <w:pPr>
        <w:pStyle w:val="subsection"/>
      </w:pPr>
      <w:r w:rsidRPr="00A058B6">
        <w:tab/>
        <w:t>(2)</w:t>
      </w:r>
      <w:r w:rsidRPr="00A058B6">
        <w:tab/>
        <w:t>If the whole of the superannuation interest is an accumulation interest (other than an interest in a self managed superannuation fund), the interest rate for the applicable adjustment period for the interest is:</w:t>
      </w:r>
    </w:p>
    <w:p w14:paraId="2CD5EC0E" w14:textId="77777777" w:rsidR="00D930D9" w:rsidRPr="00A058B6" w:rsidRDefault="00D930D9" w:rsidP="00D930D9">
      <w:pPr>
        <w:pStyle w:val="paragraph"/>
      </w:pPr>
      <w:r w:rsidRPr="00A058B6">
        <w:tab/>
        <w:t>(a)</w:t>
      </w:r>
      <w:r w:rsidRPr="00A058B6">
        <w:tab/>
        <w:t>if the interest is in a regulated superannuation fund, an approved deposit fund or is an RSA:</w:t>
      </w:r>
    </w:p>
    <w:p w14:paraId="25CD9A79" w14:textId="77777777" w:rsidR="00D930D9" w:rsidRPr="00A058B6" w:rsidRDefault="00D930D9" w:rsidP="00D930D9">
      <w:pPr>
        <w:pStyle w:val="paragraphsub"/>
      </w:pPr>
      <w:r w:rsidRPr="00A058B6">
        <w:tab/>
        <w:t>(i)</w:t>
      </w:r>
      <w:r w:rsidRPr="00A058B6">
        <w:tab/>
        <w:t>where there has been an allotment (whether of a positive, negative or nil amount) to the member spouse of net earnings of the eligible superannuation plan for the adjustment period—the rate of that allotment; or</w:t>
      </w:r>
    </w:p>
    <w:p w14:paraId="5BABCF13" w14:textId="3049402E" w:rsidR="00D930D9" w:rsidRPr="00A058B6" w:rsidRDefault="00D930D9" w:rsidP="00D930D9">
      <w:pPr>
        <w:pStyle w:val="paragraphsub"/>
      </w:pPr>
      <w:r w:rsidRPr="00A058B6">
        <w:tab/>
        <w:t>(ii)</w:t>
      </w:r>
      <w:r w:rsidRPr="00A058B6">
        <w:tab/>
        <w:t>otherwise—the rate at which net earnings of the plan would be allotted to the member spouse if the member spouse voluntarily ceased to be a member of the plan on the day the relevant splittable payment becomes payable or the terminating action (as defined in sub</w:t>
      </w:r>
      <w:r w:rsidR="00CB78B9">
        <w:t>section 7</w:t>
      </w:r>
      <w:r w:rsidR="00485CC2">
        <w:t>4</w:t>
      </w:r>
      <w:r w:rsidRPr="00A058B6">
        <w:t>(3)) occurs; and</w:t>
      </w:r>
    </w:p>
    <w:p w14:paraId="6933F1CD" w14:textId="77777777" w:rsidR="00D930D9" w:rsidRPr="00A058B6" w:rsidRDefault="00D930D9" w:rsidP="00D930D9">
      <w:pPr>
        <w:pStyle w:val="paragraph"/>
      </w:pPr>
      <w:r w:rsidRPr="00A058B6">
        <w:tab/>
        <w:t>(b)</w:t>
      </w:r>
      <w:r w:rsidRPr="00A058B6">
        <w:tab/>
        <w:t>if the interest is in an exempt public sector superannuation scheme or a superannuation fund that is not a regulated superannuation fund:</w:t>
      </w:r>
    </w:p>
    <w:p w14:paraId="08D046E1" w14:textId="77777777" w:rsidR="00D930D9" w:rsidRPr="00A058B6" w:rsidRDefault="00D930D9" w:rsidP="00D930D9">
      <w:pPr>
        <w:pStyle w:val="paragraphsub"/>
      </w:pPr>
      <w:r w:rsidRPr="00A058B6">
        <w:tab/>
        <w:t>(i)</w:t>
      </w:r>
      <w:r w:rsidRPr="00A058B6">
        <w:tab/>
        <w:t>where there has been an allocation (whether of a positive, negative or nil amount) to the member spouse of investment earnings (however described) of the eligible superannuation plan for the adjustment period—the rate of that allocation; or</w:t>
      </w:r>
    </w:p>
    <w:p w14:paraId="393BCD73" w14:textId="77777777" w:rsidR="00D930D9" w:rsidRPr="00A058B6" w:rsidRDefault="00D930D9" w:rsidP="00D930D9">
      <w:pPr>
        <w:pStyle w:val="paragraphsub"/>
      </w:pPr>
      <w:r w:rsidRPr="00A058B6">
        <w:tab/>
        <w:t>(ii)</w:t>
      </w:r>
      <w:r w:rsidRPr="00A058B6">
        <w:tab/>
        <w:t>otherwise—the rate at which those investment earnings would be allocated to the member spouse if the member spouse voluntarily ceased to be a member of the plan on the day before the relevant splittable payment becomes payable</w:t>
      </w:r>
      <w:r w:rsidR="00D7157D">
        <w:t>.</w:t>
      </w:r>
    </w:p>
    <w:p w14:paraId="464598F5" w14:textId="77777777" w:rsidR="00D930D9" w:rsidRPr="00A058B6" w:rsidRDefault="00D930D9" w:rsidP="00D930D9">
      <w:pPr>
        <w:pStyle w:val="SubsectionHead"/>
      </w:pPr>
      <w:r w:rsidRPr="00A058B6">
        <w:t>Superannuation interest is wholly or partly a defined benefit interest, or is in a self managed superannuation fund</w:t>
      </w:r>
    </w:p>
    <w:p w14:paraId="7709C338" w14:textId="77777777" w:rsidR="00D930D9" w:rsidRPr="00A058B6" w:rsidRDefault="00D930D9" w:rsidP="00D930D9">
      <w:pPr>
        <w:pStyle w:val="subsection"/>
      </w:pPr>
      <w:r w:rsidRPr="00A058B6">
        <w:tab/>
        <w:t>(3)</w:t>
      </w:r>
      <w:r w:rsidRPr="00A058B6">
        <w:tab/>
        <w:t>If:</w:t>
      </w:r>
    </w:p>
    <w:p w14:paraId="4C9341D7" w14:textId="77777777" w:rsidR="00D930D9" w:rsidRPr="00A058B6" w:rsidRDefault="00D930D9" w:rsidP="00D930D9">
      <w:pPr>
        <w:pStyle w:val="paragraph"/>
      </w:pPr>
      <w:r w:rsidRPr="00A058B6">
        <w:tab/>
        <w:t>(a)</w:t>
      </w:r>
      <w:r w:rsidRPr="00A058B6">
        <w:tab/>
        <w:t>the whole, or any component, of the superannuation interest is a defined benefit interest, or the superannuation interest is in a self managed superannuation fund; and</w:t>
      </w:r>
    </w:p>
    <w:p w14:paraId="4851B0BE" w14:textId="77777777" w:rsidR="00D930D9" w:rsidRPr="00A058B6" w:rsidRDefault="00D930D9" w:rsidP="00D930D9">
      <w:pPr>
        <w:pStyle w:val="paragraph"/>
      </w:pPr>
      <w:r w:rsidRPr="00A058B6">
        <w:tab/>
        <w:t>(b)</w:t>
      </w:r>
      <w:r w:rsidRPr="00A058B6">
        <w:tab/>
        <w:t>the applicable adjustment period for the interest is covered by column 1 of an item of the following table;</w:t>
      </w:r>
    </w:p>
    <w:p w14:paraId="00F6487C" w14:textId="77777777" w:rsidR="00D930D9" w:rsidRPr="00A058B6" w:rsidRDefault="00D930D9" w:rsidP="00D930D9">
      <w:pPr>
        <w:pStyle w:val="subsection2"/>
      </w:pPr>
      <w:r w:rsidRPr="00A058B6">
        <w:t>the interest rate for the adjustment period for the interest is declared or calculated under column 2 of that item</w:t>
      </w:r>
      <w:r w:rsidR="00D7157D">
        <w:t>.</w:t>
      </w:r>
    </w:p>
    <w:p w14:paraId="03478043" w14:textId="77777777" w:rsidR="00D930D9" w:rsidRPr="00A058B6" w:rsidRDefault="00D930D9" w:rsidP="00D930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3398"/>
        <w:gridCol w:w="4201"/>
      </w:tblGrid>
      <w:tr w:rsidR="00D930D9" w:rsidRPr="00A058B6" w14:paraId="2EBBBCA0" w14:textId="77777777" w:rsidTr="00445157">
        <w:trPr>
          <w:tblHeader/>
        </w:trPr>
        <w:tc>
          <w:tcPr>
            <w:tcW w:w="5000" w:type="pct"/>
            <w:gridSpan w:val="3"/>
            <w:tcBorders>
              <w:top w:val="single" w:sz="12" w:space="0" w:color="auto"/>
              <w:bottom w:val="single" w:sz="6" w:space="0" w:color="auto"/>
            </w:tcBorders>
            <w:shd w:val="clear" w:color="auto" w:fill="auto"/>
          </w:tcPr>
          <w:p w14:paraId="69103B31" w14:textId="77777777" w:rsidR="00D930D9" w:rsidRPr="00A058B6" w:rsidRDefault="00D930D9" w:rsidP="00445157">
            <w:pPr>
              <w:pStyle w:val="TableHeading"/>
            </w:pPr>
            <w:r w:rsidRPr="00A058B6">
              <w:t>Interest rate for the adjustment period for the superannuation interest</w:t>
            </w:r>
          </w:p>
        </w:tc>
      </w:tr>
      <w:tr w:rsidR="00D930D9" w:rsidRPr="00A058B6" w14:paraId="2D18214C" w14:textId="77777777" w:rsidTr="000162C7">
        <w:trPr>
          <w:tblHeader/>
        </w:trPr>
        <w:tc>
          <w:tcPr>
            <w:tcW w:w="429" w:type="pct"/>
            <w:tcBorders>
              <w:top w:val="single" w:sz="6" w:space="0" w:color="auto"/>
              <w:bottom w:val="single" w:sz="12" w:space="0" w:color="auto"/>
            </w:tcBorders>
            <w:shd w:val="clear" w:color="auto" w:fill="auto"/>
          </w:tcPr>
          <w:p w14:paraId="73400DFA" w14:textId="77777777" w:rsidR="00D930D9" w:rsidRPr="00A058B6" w:rsidRDefault="00D930D9" w:rsidP="00445157">
            <w:pPr>
              <w:pStyle w:val="TableHeading"/>
            </w:pPr>
            <w:r w:rsidRPr="00A058B6">
              <w:t>Item</w:t>
            </w:r>
          </w:p>
        </w:tc>
        <w:tc>
          <w:tcPr>
            <w:tcW w:w="2044" w:type="pct"/>
            <w:tcBorders>
              <w:top w:val="single" w:sz="6" w:space="0" w:color="auto"/>
              <w:bottom w:val="single" w:sz="12" w:space="0" w:color="auto"/>
            </w:tcBorders>
            <w:shd w:val="clear" w:color="auto" w:fill="auto"/>
          </w:tcPr>
          <w:p w14:paraId="7B653770" w14:textId="77777777" w:rsidR="00D930D9" w:rsidRPr="00A058B6" w:rsidRDefault="00D930D9" w:rsidP="00445157">
            <w:pPr>
              <w:pStyle w:val="TableHeading"/>
            </w:pPr>
            <w:r w:rsidRPr="00A058B6">
              <w:t>Column 1</w:t>
            </w:r>
          </w:p>
          <w:p w14:paraId="750CBB32" w14:textId="77777777" w:rsidR="00D930D9" w:rsidRPr="00A058B6" w:rsidRDefault="00D930D9" w:rsidP="00445157">
            <w:pPr>
              <w:pStyle w:val="TableHeading"/>
            </w:pPr>
            <w:r w:rsidRPr="00A058B6">
              <w:t>If the applicable adjustment period:</w:t>
            </w:r>
          </w:p>
        </w:tc>
        <w:tc>
          <w:tcPr>
            <w:tcW w:w="2527" w:type="pct"/>
            <w:tcBorders>
              <w:top w:val="single" w:sz="6" w:space="0" w:color="auto"/>
              <w:bottom w:val="single" w:sz="12" w:space="0" w:color="auto"/>
            </w:tcBorders>
            <w:shd w:val="clear" w:color="auto" w:fill="auto"/>
          </w:tcPr>
          <w:p w14:paraId="04766295" w14:textId="77777777" w:rsidR="00D930D9" w:rsidRPr="00A058B6" w:rsidRDefault="00D930D9" w:rsidP="00445157">
            <w:pPr>
              <w:pStyle w:val="TableHeading"/>
            </w:pPr>
            <w:r w:rsidRPr="00A058B6">
              <w:t>Column 2</w:t>
            </w:r>
          </w:p>
          <w:p w14:paraId="4CB09385" w14:textId="77777777" w:rsidR="00D930D9" w:rsidRPr="00A058B6" w:rsidRDefault="00D930D9" w:rsidP="00445157">
            <w:pPr>
              <w:pStyle w:val="TableHeading"/>
            </w:pPr>
            <w:r w:rsidRPr="00A058B6">
              <w:t>then the interest rate for that period is:</w:t>
            </w:r>
          </w:p>
        </w:tc>
      </w:tr>
      <w:tr w:rsidR="00D930D9" w:rsidRPr="00A058B6" w14:paraId="1AD04318" w14:textId="77777777" w:rsidTr="000162C7">
        <w:tc>
          <w:tcPr>
            <w:tcW w:w="429" w:type="pct"/>
            <w:tcBorders>
              <w:top w:val="single" w:sz="12" w:space="0" w:color="auto"/>
            </w:tcBorders>
            <w:shd w:val="clear" w:color="auto" w:fill="auto"/>
          </w:tcPr>
          <w:p w14:paraId="11C21B22" w14:textId="77777777" w:rsidR="00D930D9" w:rsidRPr="00A058B6" w:rsidRDefault="00D930D9" w:rsidP="00445157">
            <w:pPr>
              <w:pStyle w:val="Tabletext"/>
            </w:pPr>
            <w:r w:rsidRPr="00A058B6">
              <w:t>1</w:t>
            </w:r>
          </w:p>
        </w:tc>
        <w:tc>
          <w:tcPr>
            <w:tcW w:w="2044" w:type="pct"/>
            <w:tcBorders>
              <w:top w:val="single" w:sz="12" w:space="0" w:color="auto"/>
            </w:tcBorders>
            <w:shd w:val="clear" w:color="auto" w:fill="auto"/>
          </w:tcPr>
          <w:p w14:paraId="5E979581" w14:textId="77777777" w:rsidR="00D930D9" w:rsidRPr="00A058B6" w:rsidRDefault="00D930D9" w:rsidP="00445157">
            <w:pPr>
              <w:pStyle w:val="Tabletext"/>
            </w:pPr>
            <w:r>
              <w:t xml:space="preserve">is </w:t>
            </w:r>
            <w:r w:rsidRPr="00A058B6">
              <w:t>a financial year</w:t>
            </w:r>
          </w:p>
        </w:tc>
        <w:tc>
          <w:tcPr>
            <w:tcW w:w="2527" w:type="pct"/>
            <w:tcBorders>
              <w:top w:val="single" w:sz="12" w:space="0" w:color="auto"/>
            </w:tcBorders>
            <w:shd w:val="clear" w:color="auto" w:fill="auto"/>
          </w:tcPr>
          <w:p w14:paraId="784F71DE" w14:textId="7F68E523" w:rsidR="00D930D9" w:rsidRPr="00A058B6" w:rsidRDefault="00D930D9" w:rsidP="00445157">
            <w:pPr>
              <w:pStyle w:val="Tabletext"/>
            </w:pPr>
            <w:r w:rsidRPr="00A058B6">
              <w:t xml:space="preserve">the rate </w:t>
            </w:r>
            <w:r>
              <w:t>determined</w:t>
            </w:r>
            <w:r w:rsidRPr="00A058B6">
              <w:t xml:space="preserve">, as described in </w:t>
            </w:r>
            <w:r w:rsidR="00453C86">
              <w:t>paragraph (</w:t>
            </w:r>
            <w:r w:rsidRPr="00A058B6">
              <w:t xml:space="preserve">4)(a), under </w:t>
            </w:r>
            <w:r w:rsidR="00A52DA5">
              <w:t>subsection (</w:t>
            </w:r>
            <w:r w:rsidRPr="00A058B6">
              <w:t>4) for the financial year</w:t>
            </w:r>
            <w:r w:rsidR="00D7157D">
              <w:t>.</w:t>
            </w:r>
          </w:p>
        </w:tc>
      </w:tr>
      <w:tr w:rsidR="00D930D9" w:rsidRPr="00A058B6" w14:paraId="5A68BC63" w14:textId="77777777" w:rsidTr="000162C7">
        <w:tc>
          <w:tcPr>
            <w:tcW w:w="429" w:type="pct"/>
            <w:tcBorders>
              <w:bottom w:val="single" w:sz="2" w:space="0" w:color="auto"/>
            </w:tcBorders>
            <w:shd w:val="clear" w:color="auto" w:fill="auto"/>
          </w:tcPr>
          <w:p w14:paraId="42AAA37F" w14:textId="77777777" w:rsidR="00D930D9" w:rsidRPr="00A058B6" w:rsidRDefault="00D930D9" w:rsidP="00445157">
            <w:pPr>
              <w:pStyle w:val="Tabletext"/>
            </w:pPr>
            <w:r w:rsidRPr="00A058B6">
              <w:t>2</w:t>
            </w:r>
          </w:p>
        </w:tc>
        <w:tc>
          <w:tcPr>
            <w:tcW w:w="2044" w:type="pct"/>
            <w:tcBorders>
              <w:bottom w:val="single" w:sz="2" w:space="0" w:color="auto"/>
            </w:tcBorders>
            <w:shd w:val="clear" w:color="auto" w:fill="auto"/>
          </w:tcPr>
          <w:p w14:paraId="274F0652" w14:textId="77777777" w:rsidR="00D930D9" w:rsidRPr="00A058B6" w:rsidRDefault="00D930D9" w:rsidP="00445157">
            <w:pPr>
              <w:pStyle w:val="Tabletext"/>
            </w:pPr>
            <w:r>
              <w:t xml:space="preserve">is </w:t>
            </w:r>
            <w:r w:rsidRPr="00A058B6">
              <w:t>a period of less than 12 months that is within a single financial year</w:t>
            </w:r>
          </w:p>
        </w:tc>
        <w:tc>
          <w:tcPr>
            <w:tcW w:w="2527" w:type="pct"/>
            <w:tcBorders>
              <w:bottom w:val="single" w:sz="2" w:space="0" w:color="auto"/>
            </w:tcBorders>
            <w:shd w:val="clear" w:color="auto" w:fill="auto"/>
          </w:tcPr>
          <w:p w14:paraId="1DB240B2" w14:textId="7C968EEC" w:rsidR="00D930D9" w:rsidRPr="00A058B6" w:rsidRDefault="00D930D9" w:rsidP="00445157">
            <w:pPr>
              <w:pStyle w:val="Tabletext"/>
            </w:pPr>
            <w:r w:rsidRPr="00A058B6">
              <w:t xml:space="preserve">the rate calculated using the method </w:t>
            </w:r>
            <w:r>
              <w:t>determined</w:t>
            </w:r>
            <w:r w:rsidRPr="00A058B6">
              <w:t xml:space="preserve">, as described in </w:t>
            </w:r>
            <w:r w:rsidR="00453C86">
              <w:t>paragraph (</w:t>
            </w:r>
            <w:r w:rsidRPr="00A058B6">
              <w:t xml:space="preserve">4)(b), under </w:t>
            </w:r>
            <w:r w:rsidR="00A52DA5">
              <w:t>subsection (</w:t>
            </w:r>
            <w:r w:rsidRPr="00A058B6">
              <w:t>4) for the financial year</w:t>
            </w:r>
            <w:r w:rsidR="00D7157D">
              <w:t>.</w:t>
            </w:r>
          </w:p>
        </w:tc>
      </w:tr>
      <w:tr w:rsidR="00D930D9" w:rsidRPr="00A058B6" w14:paraId="419071F1" w14:textId="77777777" w:rsidTr="000162C7">
        <w:tc>
          <w:tcPr>
            <w:tcW w:w="429" w:type="pct"/>
            <w:tcBorders>
              <w:top w:val="single" w:sz="2" w:space="0" w:color="auto"/>
              <w:bottom w:val="single" w:sz="12" w:space="0" w:color="auto"/>
            </w:tcBorders>
            <w:shd w:val="clear" w:color="auto" w:fill="auto"/>
          </w:tcPr>
          <w:p w14:paraId="7F1005FE" w14:textId="77777777" w:rsidR="00D930D9" w:rsidRPr="00A058B6" w:rsidRDefault="00D930D9" w:rsidP="00445157">
            <w:pPr>
              <w:pStyle w:val="Tabletext"/>
            </w:pPr>
            <w:r w:rsidRPr="00A058B6">
              <w:t>3</w:t>
            </w:r>
          </w:p>
        </w:tc>
        <w:tc>
          <w:tcPr>
            <w:tcW w:w="2044" w:type="pct"/>
            <w:tcBorders>
              <w:top w:val="single" w:sz="2" w:space="0" w:color="auto"/>
              <w:bottom w:val="single" w:sz="12" w:space="0" w:color="auto"/>
            </w:tcBorders>
            <w:shd w:val="clear" w:color="auto" w:fill="auto"/>
          </w:tcPr>
          <w:p w14:paraId="24C2CDEC" w14:textId="77777777" w:rsidR="00D930D9" w:rsidRPr="00A058B6" w:rsidRDefault="00D930D9" w:rsidP="00445157">
            <w:pPr>
              <w:pStyle w:val="Tabletext"/>
            </w:pPr>
            <w:r w:rsidRPr="00A058B6">
              <w:t xml:space="preserve">commences in a financial year and ends during the following financial year (the </w:t>
            </w:r>
            <w:r w:rsidRPr="00A058B6">
              <w:rPr>
                <w:b/>
                <w:i/>
              </w:rPr>
              <w:t>second financial year</w:t>
            </w:r>
            <w:r w:rsidRPr="00A058B6">
              <w:t>)</w:t>
            </w:r>
          </w:p>
        </w:tc>
        <w:tc>
          <w:tcPr>
            <w:tcW w:w="2527" w:type="pct"/>
            <w:tcBorders>
              <w:top w:val="single" w:sz="2" w:space="0" w:color="auto"/>
              <w:bottom w:val="single" w:sz="12" w:space="0" w:color="auto"/>
            </w:tcBorders>
            <w:shd w:val="clear" w:color="auto" w:fill="auto"/>
          </w:tcPr>
          <w:p w14:paraId="606298E5" w14:textId="15D841B6" w:rsidR="00D930D9" w:rsidRPr="00A058B6" w:rsidRDefault="00D930D9" w:rsidP="00445157">
            <w:pPr>
              <w:pStyle w:val="Tabletext"/>
            </w:pPr>
            <w:r w:rsidRPr="00A058B6">
              <w:t xml:space="preserve">the rate calculated using the method </w:t>
            </w:r>
            <w:r>
              <w:t>determined</w:t>
            </w:r>
            <w:r w:rsidRPr="00A058B6">
              <w:t xml:space="preserve">, as described in </w:t>
            </w:r>
            <w:r w:rsidR="00453C86">
              <w:t>paragraph (</w:t>
            </w:r>
            <w:r w:rsidRPr="00A058B6">
              <w:t xml:space="preserve">4)(c), under </w:t>
            </w:r>
            <w:r w:rsidR="00A52DA5">
              <w:t>subsection (</w:t>
            </w:r>
            <w:r w:rsidRPr="00A058B6">
              <w:t>4) for the second financial year</w:t>
            </w:r>
            <w:r w:rsidR="00D7157D">
              <w:t>.</w:t>
            </w:r>
          </w:p>
        </w:tc>
      </w:tr>
    </w:tbl>
    <w:p w14:paraId="5D7001D7" w14:textId="77777777" w:rsidR="00D930D9" w:rsidRPr="00A058B6" w:rsidRDefault="00D930D9" w:rsidP="00D930D9">
      <w:pPr>
        <w:pStyle w:val="subsection"/>
      </w:pPr>
      <w:r w:rsidRPr="00A058B6">
        <w:tab/>
        <w:t>(4)</w:t>
      </w:r>
      <w:r w:rsidRPr="00A058B6">
        <w:tab/>
        <w:t xml:space="preserve">The Australian Government Actuary may, by </w:t>
      </w:r>
      <w:r w:rsidR="0045354A">
        <w:t>legislative</w:t>
      </w:r>
      <w:r w:rsidRPr="00A058B6">
        <w:t xml:space="preserve"> instrument, </w:t>
      </w:r>
      <w:r>
        <w:t>determine</w:t>
      </w:r>
      <w:r w:rsidRPr="00A058B6">
        <w:t xml:space="preserve"> one or more of the following rates or methods for a financial year:</w:t>
      </w:r>
    </w:p>
    <w:p w14:paraId="2D038666" w14:textId="4D767DC9" w:rsidR="00D930D9" w:rsidRPr="00A058B6" w:rsidRDefault="00D930D9" w:rsidP="00D930D9">
      <w:pPr>
        <w:pStyle w:val="paragraph"/>
      </w:pPr>
      <w:r w:rsidRPr="00A058B6">
        <w:tab/>
        <w:t>(a)</w:t>
      </w:r>
      <w:r w:rsidRPr="00A058B6">
        <w:tab/>
        <w:t>a rate that is</w:t>
      </w:r>
      <w:r w:rsidR="006165F2">
        <w:t xml:space="preserve"> 2</w:t>
      </w:r>
      <w:r w:rsidR="00D7157D">
        <w:t>.</w:t>
      </w:r>
      <w:r w:rsidR="006165F2">
        <w:t>25</w:t>
      </w:r>
      <w:r w:rsidRPr="00A058B6">
        <w:t xml:space="preserve"> percentage points above the percentage change in the original estimate of full</w:t>
      </w:r>
      <w:r w:rsidR="001952B3">
        <w:noBreakHyphen/>
      </w:r>
      <w:r w:rsidRPr="00A058B6">
        <w:t>time adult ordinary time earnings for all persons in Australia, as published by the Australian Bureau of Statistics, for the 12 months ending with the November quarter of the previous financial year;</w:t>
      </w:r>
    </w:p>
    <w:p w14:paraId="7B47C31B" w14:textId="520925D2" w:rsidR="00D930D9" w:rsidRPr="00A058B6" w:rsidRDefault="00D930D9" w:rsidP="00D930D9">
      <w:pPr>
        <w:pStyle w:val="paragraph"/>
      </w:pPr>
      <w:r w:rsidRPr="00A058B6">
        <w:tab/>
        <w:t>(b)</w:t>
      </w:r>
      <w:r w:rsidRPr="00A058B6">
        <w:tab/>
        <w:t xml:space="preserve">a method that provides for the calculation of a rate for the financial year by reference to the rate described in </w:t>
      </w:r>
      <w:r w:rsidR="00453C86">
        <w:t>paragraph (</w:t>
      </w:r>
      <w:r w:rsidRPr="00A058B6">
        <w:t>a) for the financial year;</w:t>
      </w:r>
    </w:p>
    <w:p w14:paraId="0B14CAAA" w14:textId="77777777" w:rsidR="00D930D9" w:rsidRPr="00A058B6" w:rsidRDefault="00D930D9" w:rsidP="00D930D9">
      <w:pPr>
        <w:pStyle w:val="paragraph"/>
      </w:pPr>
      <w:r w:rsidRPr="00A058B6">
        <w:tab/>
        <w:t>(c)</w:t>
      </w:r>
      <w:r w:rsidRPr="00A058B6">
        <w:tab/>
        <w:t>a method that provides for the calculation of a rate for the financial year by reference to the following rates:</w:t>
      </w:r>
    </w:p>
    <w:p w14:paraId="37AF85F1" w14:textId="512A4DEE" w:rsidR="00D930D9" w:rsidRPr="00A058B6" w:rsidRDefault="00D930D9" w:rsidP="00D930D9">
      <w:pPr>
        <w:pStyle w:val="paragraphsub"/>
      </w:pPr>
      <w:r w:rsidRPr="00A058B6">
        <w:tab/>
        <w:t>(i)</w:t>
      </w:r>
      <w:r w:rsidRPr="00A058B6">
        <w:tab/>
        <w:t xml:space="preserve">the rate described in </w:t>
      </w:r>
      <w:r w:rsidR="00453C86">
        <w:t>paragraph (</w:t>
      </w:r>
      <w:r w:rsidRPr="00A058B6">
        <w:t>a) for the previous financial year;</w:t>
      </w:r>
    </w:p>
    <w:p w14:paraId="63B25281" w14:textId="17572509" w:rsidR="00D930D9" w:rsidRPr="00A058B6" w:rsidRDefault="00D930D9" w:rsidP="00D930D9">
      <w:pPr>
        <w:pStyle w:val="paragraphsub"/>
      </w:pPr>
      <w:r w:rsidRPr="00A058B6">
        <w:tab/>
        <w:t>(ii)</w:t>
      </w:r>
      <w:r w:rsidRPr="00A058B6">
        <w:tab/>
        <w:t xml:space="preserve">the rate described in </w:t>
      </w:r>
      <w:r w:rsidR="00453C86">
        <w:t>paragraph (</w:t>
      </w:r>
      <w:r w:rsidRPr="00A058B6">
        <w:t>a) for the financial year;</w:t>
      </w:r>
    </w:p>
    <w:p w14:paraId="4B14048A" w14:textId="12ACEC26" w:rsidR="00D930D9" w:rsidRPr="00A058B6" w:rsidRDefault="00D930D9" w:rsidP="00D930D9">
      <w:pPr>
        <w:pStyle w:val="notetext"/>
      </w:pPr>
      <w:r w:rsidRPr="00A058B6">
        <w:t>Note:</w:t>
      </w:r>
      <w:r w:rsidRPr="00A058B6">
        <w:tab/>
        <w:t>Assume a rate is needed for an adjustment period straddling 2 financial years: 202</w:t>
      </w:r>
      <w:r w:rsidR="0088400C">
        <w:t>4</w:t>
      </w:r>
      <w:r w:rsidR="001952B3">
        <w:noBreakHyphen/>
      </w:r>
      <w:r w:rsidRPr="00A058B6">
        <w:t>2</w:t>
      </w:r>
      <w:r w:rsidR="0088400C">
        <w:t>5</w:t>
      </w:r>
      <w:r w:rsidRPr="00A058B6">
        <w:t xml:space="preserve"> and 202</w:t>
      </w:r>
      <w:r w:rsidR="0088400C">
        <w:t>5</w:t>
      </w:r>
      <w:r w:rsidR="001952B3">
        <w:noBreakHyphen/>
      </w:r>
      <w:r w:rsidRPr="00A058B6">
        <w:t>2</w:t>
      </w:r>
      <w:r w:rsidR="0088400C">
        <w:t>6</w:t>
      </w:r>
      <w:r w:rsidR="00D7157D">
        <w:t>.</w:t>
      </w:r>
      <w:r w:rsidRPr="00A058B6">
        <w:t xml:space="preserve"> The rate is calculated using a method </w:t>
      </w:r>
      <w:r>
        <w:t>determined</w:t>
      </w:r>
      <w:r w:rsidRPr="00A058B6">
        <w:t xml:space="preserve"> for </w:t>
      </w:r>
      <w:r w:rsidR="00453C86">
        <w:t>paragraph (</w:t>
      </w:r>
      <w:r w:rsidRPr="00A058B6">
        <w:t>c) of this subsection</w:t>
      </w:r>
      <w:r w:rsidR="00D7157D">
        <w:t>.</w:t>
      </w:r>
      <w:r w:rsidRPr="00A058B6">
        <w:t xml:space="preserve"> The rate referred to in sub</w:t>
      </w:r>
      <w:r w:rsidR="00453C86">
        <w:t>paragraph (</w:t>
      </w:r>
      <w:r w:rsidRPr="00A058B6">
        <w:t>c)(i) is based on the percentage change in the 12 months ending with the November quarter of 202</w:t>
      </w:r>
      <w:r w:rsidR="0088400C">
        <w:t>3</w:t>
      </w:r>
      <w:r w:rsidR="001952B3">
        <w:noBreakHyphen/>
      </w:r>
      <w:r w:rsidRPr="00A058B6">
        <w:t>2</w:t>
      </w:r>
      <w:r w:rsidR="0088400C">
        <w:t>4</w:t>
      </w:r>
      <w:r w:rsidR="00D7157D">
        <w:t>.</w:t>
      </w:r>
      <w:r w:rsidRPr="00A058B6">
        <w:t xml:space="preserve"> The rate referred to in sub</w:t>
      </w:r>
      <w:r w:rsidR="00453C86">
        <w:t>paragraph (</w:t>
      </w:r>
      <w:r w:rsidRPr="00A058B6">
        <w:t>c)(ii) is based on the percentage change in the 12 months ending with the November quarter of 202</w:t>
      </w:r>
      <w:r w:rsidR="0088400C">
        <w:t>4</w:t>
      </w:r>
      <w:r w:rsidR="001952B3">
        <w:noBreakHyphen/>
      </w:r>
      <w:r w:rsidRPr="00A058B6">
        <w:t>2</w:t>
      </w:r>
      <w:r w:rsidR="0088400C">
        <w:t>5</w:t>
      </w:r>
      <w:r w:rsidR="00D7157D">
        <w:t>.</w:t>
      </w:r>
    </w:p>
    <w:p w14:paraId="59FF0EA1" w14:textId="3E32755D" w:rsidR="00D930D9" w:rsidRPr="00A058B6" w:rsidRDefault="00453C86" w:rsidP="00D930D9">
      <w:pPr>
        <w:pStyle w:val="ActHead3"/>
        <w:pageBreakBefore/>
      </w:pPr>
      <w:bookmarkStart w:id="112" w:name="_Toc188350599"/>
      <w:r w:rsidRPr="00423C34">
        <w:rPr>
          <w:rStyle w:val="CharDivNo"/>
        </w:rPr>
        <w:t>Division 2</w:t>
      </w:r>
      <w:r w:rsidR="00D930D9" w:rsidRPr="00A058B6">
        <w:t>—</w:t>
      </w:r>
      <w:r w:rsidR="00D930D9" w:rsidRPr="00423C34">
        <w:rPr>
          <w:rStyle w:val="CharDivText"/>
        </w:rPr>
        <w:t>Superannuation interest in growth phase at date of service of agreement or date of order</w:t>
      </w:r>
      <w:bookmarkEnd w:id="112"/>
    </w:p>
    <w:p w14:paraId="28E110EE" w14:textId="77777777" w:rsidR="00D930D9" w:rsidRPr="00A058B6" w:rsidRDefault="00D930D9" w:rsidP="00D930D9">
      <w:pPr>
        <w:pStyle w:val="ActHead4"/>
      </w:pPr>
      <w:bookmarkStart w:id="113" w:name="_Toc188350600"/>
      <w:r w:rsidRPr="00423C34">
        <w:rPr>
          <w:rStyle w:val="CharSubdNo"/>
        </w:rPr>
        <w:t>Subdivision A</w:t>
      </w:r>
      <w:r w:rsidRPr="00A058B6">
        <w:t>—</w:t>
      </w:r>
      <w:r w:rsidRPr="00423C34">
        <w:rPr>
          <w:rStyle w:val="CharSubdText"/>
        </w:rPr>
        <w:t>Preliminary</w:t>
      </w:r>
      <w:bookmarkEnd w:id="113"/>
    </w:p>
    <w:p w14:paraId="5D533727" w14:textId="1A1FF892" w:rsidR="00D930D9" w:rsidRPr="00A058B6" w:rsidRDefault="00485CC2" w:rsidP="00D930D9">
      <w:pPr>
        <w:pStyle w:val="ActHead5"/>
      </w:pPr>
      <w:bookmarkStart w:id="114" w:name="_Toc188350601"/>
      <w:r w:rsidRPr="00423C34">
        <w:rPr>
          <w:rStyle w:val="CharSectno"/>
        </w:rPr>
        <w:t>77</w:t>
      </w:r>
      <w:r w:rsidR="00D930D9" w:rsidRPr="00A058B6">
        <w:t xml:space="preserve">  Simplified outline of this Division</w:t>
      </w:r>
      <w:bookmarkEnd w:id="114"/>
    </w:p>
    <w:p w14:paraId="5C77B1F3" w14:textId="16A577B9" w:rsidR="00D930D9" w:rsidRPr="00A058B6" w:rsidRDefault="00D930D9" w:rsidP="00D930D9">
      <w:pPr>
        <w:pStyle w:val="SOText"/>
      </w:pPr>
      <w:r w:rsidRPr="00A058B6">
        <w:t>This Division works out the amount the non</w:t>
      </w:r>
      <w:r w:rsidR="001952B3">
        <w:noBreakHyphen/>
      </w:r>
      <w:r w:rsidRPr="00A058B6">
        <w:t>member spouse is entitled to be paid under a payment split for a splittable payment for a superannuation interest of the member spouse if the superannuation interest:</w:t>
      </w:r>
    </w:p>
    <w:p w14:paraId="76F2AEDC" w14:textId="77777777" w:rsidR="00D930D9" w:rsidRPr="00A058B6" w:rsidRDefault="00D930D9" w:rsidP="00D930D9">
      <w:pPr>
        <w:pStyle w:val="SOPara"/>
      </w:pPr>
      <w:r w:rsidRPr="00A058B6">
        <w:tab/>
        <w:t>(a)</w:t>
      </w:r>
      <w:r w:rsidRPr="00A058B6">
        <w:tab/>
        <w:t>is covered by a superannuation agreement, flag lifting agreement or splitting order; and</w:t>
      </w:r>
    </w:p>
    <w:p w14:paraId="572B2A3A" w14:textId="77777777" w:rsidR="00D930D9" w:rsidRPr="00A058B6" w:rsidRDefault="00D930D9" w:rsidP="00D930D9">
      <w:pPr>
        <w:pStyle w:val="SOPara"/>
      </w:pPr>
      <w:r w:rsidRPr="00A058B6">
        <w:tab/>
        <w:t>(b)</w:t>
      </w:r>
      <w:r w:rsidRPr="00A058B6">
        <w:tab/>
        <w:t xml:space="preserve">is in the growth phase either at the date the agreement is served on the trustee under </w:t>
      </w:r>
      <w:r w:rsidR="00AF1E4E">
        <w:t>section 9</w:t>
      </w:r>
      <w:r w:rsidRPr="00A058B6">
        <w:t>0XI or 90YM of the Act, or at the date of the splitting order (as applicable)</w:t>
      </w:r>
      <w:r w:rsidR="00D7157D">
        <w:t>.</w:t>
      </w:r>
    </w:p>
    <w:p w14:paraId="2DFFDA19" w14:textId="77777777" w:rsidR="00D930D9" w:rsidRPr="00A058B6" w:rsidRDefault="00D930D9" w:rsidP="00D930D9">
      <w:pPr>
        <w:pStyle w:val="SOText"/>
      </w:pPr>
      <w:r w:rsidRPr="00A058B6">
        <w:t xml:space="preserve">Different approaches apply for working out this amount </w:t>
      </w:r>
      <w:r>
        <w:t>depending on whether</w:t>
      </w:r>
      <w:r w:rsidRPr="00A058B6">
        <w:t xml:space="preserve"> the benefits for the superannuation interest are payable only as a lump sum, involve an optional lump sum or do not involve a lump sum</w:t>
      </w:r>
      <w:r w:rsidR="00D7157D">
        <w:t>.</w:t>
      </w:r>
    </w:p>
    <w:p w14:paraId="4B5EC18E" w14:textId="1060C7FD" w:rsidR="00D930D9" w:rsidRPr="00A058B6" w:rsidRDefault="00485CC2" w:rsidP="00D930D9">
      <w:pPr>
        <w:pStyle w:val="ActHead5"/>
      </w:pPr>
      <w:bookmarkStart w:id="115" w:name="_Toc188350602"/>
      <w:r w:rsidRPr="00423C34">
        <w:rPr>
          <w:rStyle w:val="CharSectno"/>
        </w:rPr>
        <w:t>78</w:t>
      </w:r>
      <w:r w:rsidR="00D930D9" w:rsidRPr="00A058B6">
        <w:t xml:space="preserve">  Application of this Division</w:t>
      </w:r>
      <w:bookmarkEnd w:id="115"/>
    </w:p>
    <w:p w14:paraId="0D344193" w14:textId="40AB3F6C" w:rsidR="00D930D9" w:rsidRPr="00A058B6" w:rsidRDefault="00D930D9" w:rsidP="00D930D9">
      <w:pPr>
        <w:pStyle w:val="subsection"/>
      </w:pPr>
      <w:r w:rsidRPr="00A058B6">
        <w:tab/>
        <w:t>(1)</w:t>
      </w:r>
      <w:r w:rsidRPr="00A058B6">
        <w:tab/>
        <w:t xml:space="preserve">This Division applies to a superannuation interest for the purposes of </w:t>
      </w:r>
      <w:r w:rsidR="00CB78B9">
        <w:t>subsection 3</w:t>
      </w:r>
      <w:r w:rsidR="00485CC2">
        <w:t>8</w:t>
      </w:r>
      <w:r w:rsidRPr="00A058B6">
        <w:t xml:space="preserve">(2) or </w:t>
      </w:r>
      <w:r w:rsidR="00CB78B9">
        <w:t>paragraph 4</w:t>
      </w:r>
      <w:r w:rsidR="00485CC2">
        <w:t>6</w:t>
      </w:r>
      <w:r w:rsidRPr="00A058B6">
        <w:t>(a)</w:t>
      </w:r>
      <w:r w:rsidR="00D7157D">
        <w:t>.</w:t>
      </w:r>
    </w:p>
    <w:p w14:paraId="28C467D7" w14:textId="10D0F605" w:rsidR="00D930D9" w:rsidRPr="00A058B6" w:rsidRDefault="00D930D9" w:rsidP="00D930D9">
      <w:pPr>
        <w:pStyle w:val="notetext"/>
      </w:pPr>
      <w:r w:rsidRPr="00A058B6">
        <w:t>Note:</w:t>
      </w:r>
      <w:r w:rsidRPr="00A058B6">
        <w:tab/>
        <w:t xml:space="preserve">This Division does not apply to a payment split in respect of a small superannuation accounts interest (see </w:t>
      </w:r>
      <w:r w:rsidR="00CB78B9">
        <w:t>paragraph 3</w:t>
      </w:r>
      <w:r w:rsidR="00485CC2">
        <w:t>8</w:t>
      </w:r>
      <w:r w:rsidRPr="00A058B6">
        <w:t xml:space="preserve">(1)(a) or </w:t>
      </w:r>
      <w:r w:rsidR="00CB78B9">
        <w:t>section 4</w:t>
      </w:r>
      <w:r w:rsidR="00485CC2">
        <w:t>6</w:t>
      </w:r>
      <w:r w:rsidRPr="00A058B6">
        <w:t>)</w:t>
      </w:r>
      <w:r w:rsidR="00D7157D">
        <w:t>.</w:t>
      </w:r>
    </w:p>
    <w:p w14:paraId="11D068DE" w14:textId="2D9AD4A2" w:rsidR="00D930D9" w:rsidRPr="00A058B6" w:rsidRDefault="00D930D9" w:rsidP="00D930D9">
      <w:pPr>
        <w:pStyle w:val="subsection"/>
      </w:pPr>
      <w:r w:rsidRPr="00A058B6">
        <w:tab/>
        <w:t>(2)</w:t>
      </w:r>
      <w:r w:rsidRPr="00A058B6">
        <w:tab/>
        <w:t xml:space="preserve">If a payment split is a second or later payment split applicable to a splittable payment for the superannuation interest, this Division applies as if it were modified as described in </w:t>
      </w:r>
      <w:r w:rsidR="00453C86">
        <w:t>Schedule 1</w:t>
      </w:r>
      <w:r w:rsidR="00366F59">
        <w:t>2</w:t>
      </w:r>
      <w:r w:rsidR="00D7157D">
        <w:t>.</w:t>
      </w:r>
    </w:p>
    <w:p w14:paraId="0353C440" w14:textId="77777777" w:rsidR="00D930D9" w:rsidRPr="00A058B6" w:rsidRDefault="00D930D9" w:rsidP="00D930D9">
      <w:pPr>
        <w:pStyle w:val="notetext"/>
      </w:pPr>
      <w:r w:rsidRPr="00A058B6">
        <w:t>Note:</w:t>
      </w:r>
      <w:r w:rsidRPr="00A058B6">
        <w:tab/>
        <w:t>Sections 90XX and 90YZN of the Act provide for the order in which multiple payment splits that apply to the same splittable payment are to be calculated</w:t>
      </w:r>
      <w:r w:rsidR="00D7157D">
        <w:t>.</w:t>
      </w:r>
    </w:p>
    <w:p w14:paraId="67AF01C8" w14:textId="357255EA" w:rsidR="007E184E" w:rsidRPr="00A058B6" w:rsidRDefault="00485CC2" w:rsidP="007E184E">
      <w:pPr>
        <w:pStyle w:val="ActHead5"/>
      </w:pPr>
      <w:bookmarkStart w:id="116" w:name="_Toc188350603"/>
      <w:bookmarkStart w:id="117" w:name="_Hlk187762838"/>
      <w:r w:rsidRPr="00423C34">
        <w:rPr>
          <w:rStyle w:val="CharSectno"/>
        </w:rPr>
        <w:t>79</w:t>
      </w:r>
      <w:r w:rsidR="007E184E" w:rsidRPr="00A058B6">
        <w:t xml:space="preserve">  Approval of</w:t>
      </w:r>
      <w:r w:rsidR="005B0CB4">
        <w:t xml:space="preserve"> the transition factor, or</w:t>
      </w:r>
      <w:r w:rsidR="007E184E">
        <w:t xml:space="preserve"> a</w:t>
      </w:r>
      <w:r w:rsidR="007E184E" w:rsidRPr="00A058B6">
        <w:t xml:space="preserve"> method </w:t>
      </w:r>
      <w:r w:rsidR="007E184E">
        <w:t xml:space="preserve">for determining </w:t>
      </w:r>
      <w:r w:rsidR="00F307E4">
        <w:t>the transition</w:t>
      </w:r>
      <w:r w:rsidR="007E184E">
        <w:t xml:space="preserve"> factor</w:t>
      </w:r>
      <w:r w:rsidR="005B0CB4">
        <w:t>,</w:t>
      </w:r>
      <w:r w:rsidR="007E184E">
        <w:t xml:space="preserve"> to be used </w:t>
      </w:r>
      <w:r w:rsidR="007E184E" w:rsidRPr="00A058B6">
        <w:t xml:space="preserve">for determining </w:t>
      </w:r>
      <w:r w:rsidR="007E184E">
        <w:t>the amount the non</w:t>
      </w:r>
      <w:r w:rsidR="001952B3">
        <w:noBreakHyphen/>
      </w:r>
      <w:r w:rsidR="007E184E">
        <w:t>member spouse is entitled to be paid</w:t>
      </w:r>
      <w:bookmarkEnd w:id="116"/>
    </w:p>
    <w:p w14:paraId="47F45DD6" w14:textId="639A8CB5" w:rsidR="00F307E4" w:rsidRPr="00A058B6" w:rsidRDefault="00F307E4" w:rsidP="00F307E4">
      <w:pPr>
        <w:pStyle w:val="subsection"/>
      </w:pPr>
      <w:r w:rsidRPr="00A058B6">
        <w:tab/>
      </w:r>
      <w:r w:rsidRPr="00744C3A">
        <w:t>(1)</w:t>
      </w:r>
      <w:r w:rsidRPr="00744C3A">
        <w:tab/>
        <w:t xml:space="preserve">The Minister may, by legislative instrument, approve the transition factor, or </w:t>
      </w:r>
      <w:r w:rsidR="00CD531E" w:rsidRPr="00744C3A">
        <w:t>one or more</w:t>
      </w:r>
      <w:r w:rsidRPr="00744C3A">
        <w:t xml:space="preserve"> method</w:t>
      </w:r>
      <w:r w:rsidR="00CD531E" w:rsidRPr="00744C3A">
        <w:t>s</w:t>
      </w:r>
      <w:r w:rsidRPr="00744C3A">
        <w:t xml:space="preserve"> for determining the transition factor, that is to be used to determine the amount a non</w:t>
      </w:r>
      <w:r w:rsidR="001952B3">
        <w:noBreakHyphen/>
      </w:r>
      <w:r w:rsidRPr="00744C3A">
        <w:t>member spouse is entitled to be paid in relation to a superannuation interest for which:</w:t>
      </w:r>
    </w:p>
    <w:p w14:paraId="32B68D83" w14:textId="7F1D3FAD" w:rsidR="007E184E" w:rsidRDefault="007E184E" w:rsidP="007E184E">
      <w:pPr>
        <w:pStyle w:val="paragraph"/>
      </w:pPr>
      <w:r>
        <w:tab/>
        <w:t>(a)</w:t>
      </w:r>
      <w:r>
        <w:tab/>
      </w:r>
      <w:r w:rsidRPr="0008080D">
        <w:t>under</w:t>
      </w:r>
      <w:r>
        <w:t xml:space="preserve"> </w:t>
      </w:r>
      <w:r w:rsidR="00CB78B9">
        <w:t>section 6</w:t>
      </w:r>
      <w:r w:rsidR="00485CC2">
        <w:t>2</w:t>
      </w:r>
      <w:r>
        <w:t xml:space="preserve"> or </w:t>
      </w:r>
      <w:r w:rsidR="00485CC2">
        <w:t>70</w:t>
      </w:r>
      <w:r>
        <w:t xml:space="preserve">, the Minister has approved one or more methods or factors to be used </w:t>
      </w:r>
      <w:r w:rsidRPr="00CD2453">
        <w:t>to determine the gross value of the superannuation</w:t>
      </w:r>
      <w:r>
        <w:t xml:space="preserve"> interest; and</w:t>
      </w:r>
    </w:p>
    <w:p w14:paraId="205FB422" w14:textId="06DF3E67" w:rsidR="007E184E" w:rsidRDefault="007E184E" w:rsidP="007E184E">
      <w:pPr>
        <w:pStyle w:val="paragraph"/>
      </w:pPr>
      <w:r w:rsidRPr="00A058B6">
        <w:tab/>
        <w:t>(</w:t>
      </w:r>
      <w:r>
        <w:t>b</w:t>
      </w:r>
      <w:r w:rsidRPr="00A058B6">
        <w:t>)</w:t>
      </w:r>
      <w:r w:rsidRPr="00A058B6">
        <w:tab/>
      </w:r>
      <w:r w:rsidR="00CB78B9">
        <w:t>subsection 8</w:t>
      </w:r>
      <w:r w:rsidR="00485CC2">
        <w:t>1</w:t>
      </w:r>
      <w:r>
        <w:t xml:space="preserve">(3), </w:t>
      </w:r>
      <w:r w:rsidR="00485CC2">
        <w:t>82</w:t>
      </w:r>
      <w:r>
        <w:t xml:space="preserve">(3), (5), (6) or (7), </w:t>
      </w:r>
      <w:r w:rsidR="00485CC2">
        <w:t>83</w:t>
      </w:r>
      <w:r>
        <w:t xml:space="preserve">(2), </w:t>
      </w:r>
      <w:r w:rsidR="00485CC2">
        <w:t>84</w:t>
      </w:r>
      <w:r>
        <w:t xml:space="preserve">(2) or (4) or </w:t>
      </w:r>
      <w:r w:rsidR="00485CC2">
        <w:t>85</w:t>
      </w:r>
      <w:r>
        <w:t>(2) applies.</w:t>
      </w:r>
    </w:p>
    <w:bookmarkEnd w:id="117"/>
    <w:p w14:paraId="45BA9405" w14:textId="130736A9" w:rsidR="00744C3A" w:rsidRPr="00744C3A" w:rsidRDefault="000B4255" w:rsidP="00744C3A">
      <w:pPr>
        <w:pStyle w:val="notetext"/>
      </w:pPr>
      <w:r>
        <w:t>Example</w:t>
      </w:r>
      <w:r w:rsidR="00744C3A">
        <w:t>:</w:t>
      </w:r>
      <w:r w:rsidR="00744C3A">
        <w:tab/>
        <w:t xml:space="preserve">The instrument could approve the transition factors, or methods for determining the transition factors, </w:t>
      </w:r>
      <w:r w:rsidR="005B0CB4">
        <w:t>in relation to</w:t>
      </w:r>
      <w:r w:rsidR="00744C3A">
        <w:t xml:space="preserve"> </w:t>
      </w:r>
      <w:r w:rsidR="005B0CB4">
        <w:t xml:space="preserve">one or more classes of superannuation interests (see </w:t>
      </w:r>
      <w:r w:rsidR="00CB78B9">
        <w:t>subsection 1</w:t>
      </w:r>
      <w:r w:rsidR="005B0CB4">
        <w:t xml:space="preserve">3(3) of the </w:t>
      </w:r>
      <w:r w:rsidR="005B0CB4" w:rsidRPr="005B0CB4">
        <w:rPr>
          <w:i/>
          <w:iCs/>
        </w:rPr>
        <w:t>Legislation Act 2003</w:t>
      </w:r>
      <w:r w:rsidR="005B0CB4">
        <w:t>).</w:t>
      </w:r>
    </w:p>
    <w:p w14:paraId="1EB895F0" w14:textId="376F5F7C" w:rsidR="00342697" w:rsidRDefault="00342697" w:rsidP="00342697">
      <w:pPr>
        <w:pStyle w:val="subsection"/>
      </w:pPr>
      <w:r>
        <w:tab/>
        <w:t>(2)</w:t>
      </w:r>
      <w:r>
        <w:tab/>
        <w:t xml:space="preserve">An instrument under </w:t>
      </w:r>
      <w:r w:rsidR="00A52DA5">
        <w:t>subsection (</w:t>
      </w:r>
      <w:r>
        <w:t>1) is made for the purposes of either or both of the following:</w:t>
      </w:r>
    </w:p>
    <w:p w14:paraId="7426C5AD" w14:textId="41A8B7E2" w:rsidR="007E184E" w:rsidRDefault="007E184E" w:rsidP="007E184E">
      <w:pPr>
        <w:pStyle w:val="paragraph"/>
      </w:pPr>
      <w:r>
        <w:tab/>
        <w:t>(a)</w:t>
      </w:r>
      <w:r>
        <w:tab/>
      </w:r>
      <w:r w:rsidR="00FE15C4">
        <w:t>subsection 9</w:t>
      </w:r>
      <w:r>
        <w:t xml:space="preserve">0XT(3) and </w:t>
      </w:r>
      <w:r w:rsidR="00FE15C4">
        <w:t>subparagraph 9</w:t>
      </w:r>
      <w:r>
        <w:t>0XT(1)(a)(i) of the Act;</w:t>
      </w:r>
    </w:p>
    <w:p w14:paraId="0E7A70F1" w14:textId="11B4E468" w:rsidR="007E184E" w:rsidRPr="00690F8E" w:rsidRDefault="007E184E" w:rsidP="007E184E">
      <w:pPr>
        <w:pStyle w:val="paragraph"/>
      </w:pPr>
      <w:r>
        <w:tab/>
        <w:t>(b)</w:t>
      </w:r>
      <w:r>
        <w:tab/>
      </w:r>
      <w:r w:rsidR="00FE15C4">
        <w:t>subsection 9</w:t>
      </w:r>
      <w:r>
        <w:t xml:space="preserve">0YY(4) and </w:t>
      </w:r>
      <w:r w:rsidR="00FE15C4">
        <w:t>subparagraph 9</w:t>
      </w:r>
      <w:r>
        <w:t>0YY(1)(a)(i) of the Act.</w:t>
      </w:r>
    </w:p>
    <w:p w14:paraId="5362AF13" w14:textId="658D9318" w:rsidR="00AD2A79" w:rsidRDefault="00D930D9" w:rsidP="00D930D9">
      <w:pPr>
        <w:pStyle w:val="ActHead4"/>
      </w:pPr>
      <w:bookmarkStart w:id="118" w:name="_Toc188350604"/>
      <w:r w:rsidRPr="00423C34">
        <w:rPr>
          <w:rStyle w:val="CharSubdNo"/>
        </w:rPr>
        <w:t>Subdivision B</w:t>
      </w:r>
      <w:r w:rsidRPr="00A058B6">
        <w:t>—</w:t>
      </w:r>
      <w:r w:rsidR="00AD2A79" w:rsidRPr="00423C34">
        <w:rPr>
          <w:rStyle w:val="CharSubdText"/>
        </w:rPr>
        <w:t>First splittable payment that the member spouse or other person is entitled to receive is a lump sum</w:t>
      </w:r>
      <w:bookmarkEnd w:id="118"/>
    </w:p>
    <w:p w14:paraId="706EC5FC" w14:textId="2D46CC5F" w:rsidR="00D930D9" w:rsidRPr="00A058B6" w:rsidRDefault="00485CC2" w:rsidP="00D930D9">
      <w:pPr>
        <w:pStyle w:val="ActHead5"/>
      </w:pPr>
      <w:bookmarkStart w:id="119" w:name="_Toc188350605"/>
      <w:r w:rsidRPr="00423C34">
        <w:rPr>
          <w:rStyle w:val="CharSectno"/>
        </w:rPr>
        <w:t>80</w:t>
      </w:r>
      <w:r w:rsidR="00D930D9" w:rsidRPr="00A058B6">
        <w:t xml:space="preserve">  Amount to be paid to non</w:t>
      </w:r>
      <w:r w:rsidR="001952B3">
        <w:noBreakHyphen/>
      </w:r>
      <w:r w:rsidR="00D930D9" w:rsidRPr="00A058B6">
        <w:t>member spouse—</w:t>
      </w:r>
      <w:r w:rsidR="0089217F" w:rsidRPr="00AB0143">
        <w:t xml:space="preserve">first splittable payment </w:t>
      </w:r>
      <w:r w:rsidR="00D930D9" w:rsidRPr="00A058B6">
        <w:t>payable only as lump sum that is greater than or equal to the adjusted base amount</w:t>
      </w:r>
      <w:bookmarkEnd w:id="119"/>
    </w:p>
    <w:p w14:paraId="64AE4E61" w14:textId="77777777" w:rsidR="00D930D9" w:rsidRPr="00A058B6" w:rsidRDefault="00D930D9" w:rsidP="00D930D9">
      <w:pPr>
        <w:pStyle w:val="subsection"/>
      </w:pPr>
      <w:r w:rsidRPr="00A058B6">
        <w:tab/>
        <w:t>(1)</w:t>
      </w:r>
      <w:r w:rsidRPr="00A058B6">
        <w:tab/>
        <w:t>This section applies for the superannuation interest if:</w:t>
      </w:r>
    </w:p>
    <w:p w14:paraId="0E01C691" w14:textId="77777777" w:rsidR="00D930D9" w:rsidRPr="004674FC" w:rsidRDefault="00D930D9" w:rsidP="00D930D9">
      <w:pPr>
        <w:pStyle w:val="paragraph"/>
      </w:pPr>
      <w:r w:rsidRPr="00A058B6">
        <w:tab/>
        <w:t>(a)</w:t>
      </w:r>
      <w:r w:rsidRPr="00A058B6">
        <w:tab/>
        <w:t xml:space="preserve">the first splittable payment that the member spouse </w:t>
      </w:r>
      <w:r w:rsidRPr="004674FC">
        <w:t>or other person is entitled to receive is a lump sum; and</w:t>
      </w:r>
    </w:p>
    <w:p w14:paraId="752B6EA8" w14:textId="77777777" w:rsidR="00D930D9" w:rsidRPr="00A058B6" w:rsidRDefault="00D930D9" w:rsidP="00D930D9">
      <w:pPr>
        <w:pStyle w:val="paragraph"/>
      </w:pPr>
      <w:r w:rsidRPr="004674FC">
        <w:tab/>
        <w:t>(b)</w:t>
      </w:r>
      <w:r w:rsidRPr="004674FC">
        <w:tab/>
        <w:t>the lump sum is not one that the member spouse or other person may be entitled to receive because the member spouse or other person may</w:t>
      </w:r>
      <w:r w:rsidRPr="00A058B6">
        <w:t xml:space="preserve"> choose, by way of a commutation of a pension</w:t>
      </w:r>
      <w:r>
        <w:t xml:space="preserve"> or otherwise</w:t>
      </w:r>
      <w:r w:rsidRPr="00A058B6">
        <w:t>, to take the whole, or a part, of the benefits in respect of the interest as a lump sum; and</w:t>
      </w:r>
    </w:p>
    <w:p w14:paraId="1E4115E6" w14:textId="79AA6EF1" w:rsidR="00D930D9" w:rsidRPr="00A058B6" w:rsidRDefault="00D930D9" w:rsidP="00D930D9">
      <w:pPr>
        <w:pStyle w:val="paragraph"/>
      </w:pPr>
      <w:r w:rsidRPr="00A058B6">
        <w:tab/>
        <w:t>(c)</w:t>
      </w:r>
      <w:r w:rsidRPr="00A058B6">
        <w:tab/>
        <w:t>the lump sum is greater than or equal to the adjusted base amount applicable to the non</w:t>
      </w:r>
      <w:r w:rsidR="001952B3">
        <w:noBreakHyphen/>
      </w:r>
      <w:r w:rsidRPr="00A058B6">
        <w:t>member spouse for the interest at the date the splittable payment becomes payable</w:t>
      </w:r>
      <w:r w:rsidR="00D7157D">
        <w:t>.</w:t>
      </w:r>
    </w:p>
    <w:p w14:paraId="41F1DD90" w14:textId="6863C9B2"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from the lump sum is equal to the adjusted base amount applicable to the non</w:t>
      </w:r>
      <w:r w:rsidR="001952B3">
        <w:noBreakHyphen/>
      </w:r>
      <w:r w:rsidRPr="00A058B6">
        <w:t>member spouse at that date</w:t>
      </w:r>
      <w:r w:rsidR="00D7157D">
        <w:t>.</w:t>
      </w:r>
    </w:p>
    <w:p w14:paraId="76CDC250" w14:textId="727EDE9B" w:rsidR="00D930D9" w:rsidRPr="00A058B6" w:rsidRDefault="00D930D9" w:rsidP="00D930D9">
      <w:pPr>
        <w:pStyle w:val="subsection"/>
      </w:pPr>
      <w:r w:rsidRPr="00A058B6">
        <w:tab/>
        <w:t>(3)</w:t>
      </w:r>
      <w:r w:rsidRPr="00A058B6">
        <w:tab/>
        <w:t>The non</w:t>
      </w:r>
      <w:r w:rsidR="001952B3">
        <w:noBreakHyphen/>
      </w:r>
      <w:r w:rsidRPr="00A058B6">
        <w:t>member spouse is not entitled to be paid any amount from any other splittable payment in respect of the superannuation interest</w:t>
      </w:r>
      <w:r w:rsidR="00D7157D">
        <w:t>.</w:t>
      </w:r>
    </w:p>
    <w:p w14:paraId="15A5C748" w14:textId="076B0A4E" w:rsidR="00D930D9" w:rsidRPr="00A058B6" w:rsidRDefault="00485CC2" w:rsidP="00D930D9">
      <w:pPr>
        <w:pStyle w:val="ActHead5"/>
      </w:pPr>
      <w:bookmarkStart w:id="120" w:name="_Toc188350606"/>
      <w:r w:rsidRPr="00423C34">
        <w:rPr>
          <w:rStyle w:val="CharSectno"/>
        </w:rPr>
        <w:t>81</w:t>
      </w:r>
      <w:r w:rsidR="00D930D9" w:rsidRPr="00A058B6">
        <w:t xml:space="preserve">  Amount to be paid to non</w:t>
      </w:r>
      <w:r w:rsidR="001952B3">
        <w:noBreakHyphen/>
      </w:r>
      <w:r w:rsidR="00D930D9" w:rsidRPr="00A058B6">
        <w:t>member spouse—</w:t>
      </w:r>
      <w:r w:rsidR="0089217F" w:rsidRPr="00AB0143">
        <w:t xml:space="preserve">first splittable payment </w:t>
      </w:r>
      <w:r w:rsidR="00D930D9" w:rsidRPr="00A058B6">
        <w:t>payable only as lump sum that is less than adjusted base amount</w:t>
      </w:r>
      <w:bookmarkEnd w:id="120"/>
    </w:p>
    <w:p w14:paraId="13DAD573" w14:textId="77777777" w:rsidR="00D930D9" w:rsidRPr="00A058B6" w:rsidRDefault="00D930D9" w:rsidP="00D930D9">
      <w:pPr>
        <w:pStyle w:val="subsection"/>
      </w:pPr>
      <w:r w:rsidRPr="00A058B6">
        <w:tab/>
        <w:t>(1)</w:t>
      </w:r>
      <w:r w:rsidRPr="00A058B6">
        <w:tab/>
        <w:t>This section applies for the superannuation interest if:</w:t>
      </w:r>
    </w:p>
    <w:p w14:paraId="4D3B4A68" w14:textId="77777777" w:rsidR="00D930D9" w:rsidRPr="00A058B6" w:rsidRDefault="00D930D9" w:rsidP="00D930D9">
      <w:pPr>
        <w:pStyle w:val="paragraph"/>
      </w:pPr>
      <w:r w:rsidRPr="00A058B6">
        <w:tab/>
        <w:t>(a)</w:t>
      </w:r>
      <w:r w:rsidRPr="00A058B6">
        <w:tab/>
        <w:t>the first splittable payment that the member spouse or other person is entitled to receive is a lump sum; and</w:t>
      </w:r>
    </w:p>
    <w:p w14:paraId="76A2695F" w14:textId="77777777" w:rsidR="00D930D9" w:rsidRPr="00A058B6" w:rsidRDefault="00D930D9" w:rsidP="00D930D9">
      <w:pPr>
        <w:pStyle w:val="paragraph"/>
      </w:pPr>
      <w:r w:rsidRPr="00A058B6">
        <w:tab/>
        <w:t>(b)</w:t>
      </w:r>
      <w:r w:rsidRPr="00A058B6">
        <w:tab/>
        <w:t xml:space="preserve">the lump sum is not one that the member spouse or other person may be entitled to receive because the member spouse or other person may choose, by way of a commutation of a pension </w:t>
      </w:r>
      <w:r>
        <w:t xml:space="preserve">or otherwise, </w:t>
      </w:r>
      <w:r w:rsidRPr="00A058B6">
        <w:t>to take the whole or a part of the benefits in respect of the interest as a lump sum; and</w:t>
      </w:r>
    </w:p>
    <w:p w14:paraId="4FB14970" w14:textId="6340560C" w:rsidR="00D930D9" w:rsidRPr="00A058B6" w:rsidRDefault="00D930D9" w:rsidP="00D930D9">
      <w:pPr>
        <w:pStyle w:val="paragraph"/>
      </w:pPr>
      <w:r w:rsidRPr="00A058B6">
        <w:tab/>
        <w:t>(c)</w:t>
      </w:r>
      <w:r w:rsidRPr="00A058B6">
        <w:tab/>
        <w:t>the lump sum is less than the adjusted base amount applicable to the non</w:t>
      </w:r>
      <w:r w:rsidR="001952B3">
        <w:noBreakHyphen/>
      </w:r>
      <w:r w:rsidRPr="00A058B6">
        <w:t>member spouse for the interest at the date the splittable payment becomes payable</w:t>
      </w:r>
      <w:r w:rsidR="00D7157D">
        <w:t>.</w:t>
      </w:r>
    </w:p>
    <w:p w14:paraId="5F5B2521" w14:textId="38396E95"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in respect of the superannuation interest is:</w:t>
      </w:r>
    </w:p>
    <w:p w14:paraId="46AC3BDA" w14:textId="77777777" w:rsidR="00D930D9" w:rsidRPr="00A058B6" w:rsidRDefault="00D930D9" w:rsidP="00D930D9">
      <w:pPr>
        <w:pStyle w:val="paragraph"/>
      </w:pPr>
      <w:r w:rsidRPr="00A058B6">
        <w:tab/>
        <w:t>(a)</w:t>
      </w:r>
      <w:r w:rsidRPr="00A058B6">
        <w:tab/>
        <w:t>the amount of the lump sum; and</w:t>
      </w:r>
    </w:p>
    <w:p w14:paraId="5881045E" w14:textId="3E0BCA89" w:rsidR="00D930D9" w:rsidRPr="00A058B6" w:rsidRDefault="00D930D9" w:rsidP="00D930D9">
      <w:pPr>
        <w:pStyle w:val="paragraph"/>
      </w:pPr>
      <w:r w:rsidRPr="00A058B6">
        <w:tab/>
        <w:t>(b)</w:t>
      </w:r>
      <w:r w:rsidRPr="00A058B6">
        <w:tab/>
        <w:t>unless section </w:t>
      </w:r>
      <w:r w:rsidR="00485CC2">
        <w:t>82</w:t>
      </w:r>
      <w:r w:rsidRPr="00A058B6">
        <w:t xml:space="preserve"> applies in relation to the interest—the amount, calculated under </w:t>
      </w:r>
      <w:r w:rsidR="00A52DA5">
        <w:t>subsection (</w:t>
      </w:r>
      <w:r w:rsidRPr="00A058B6">
        <w:t>3)</w:t>
      </w:r>
      <w:r>
        <w:t xml:space="preserve"> of this section</w:t>
      </w:r>
      <w:r w:rsidRPr="00A058B6">
        <w:t>, from each other splittable payment that becomes payable in respect of the interest</w:t>
      </w:r>
      <w:r w:rsidR="00D7157D">
        <w:t>.</w:t>
      </w:r>
    </w:p>
    <w:p w14:paraId="689172BF" w14:textId="49E3F612" w:rsidR="00D930D9" w:rsidRPr="00A058B6" w:rsidRDefault="00D930D9" w:rsidP="00D930D9">
      <w:pPr>
        <w:pStyle w:val="subsection"/>
      </w:pPr>
      <w:r w:rsidRPr="00A058B6">
        <w:tab/>
        <w:t>(3)</w:t>
      </w:r>
      <w:r w:rsidRPr="00A058B6">
        <w:tab/>
        <w:t xml:space="preserve">For the purposes of </w:t>
      </w:r>
      <w:r w:rsidR="00453C86">
        <w:t>paragraph (</w:t>
      </w:r>
      <w:r w:rsidRPr="00A058B6">
        <w:t>2)(b), the amount to be paid to the non</w:t>
      </w:r>
      <w:r w:rsidR="001952B3">
        <w:noBreakHyphen/>
      </w:r>
      <w:r w:rsidRPr="00A058B6">
        <w:t>member spouse from each other splittable payment that becomes payable in respect of the superannuation interest is equal to:</w:t>
      </w:r>
    </w:p>
    <w:p w14:paraId="2EEBF91B" w14:textId="593E072B" w:rsidR="00D930D9" w:rsidRPr="00A058B6" w:rsidRDefault="00FC01AD" w:rsidP="00D930D9">
      <w:pPr>
        <w:pStyle w:val="subsection2"/>
      </w:pPr>
      <w:r w:rsidRPr="00A058B6">
        <w:rPr>
          <w:position w:val="-54"/>
        </w:rPr>
        <w:object w:dxaOrig="5319" w:dyaOrig="1460" w14:anchorId="1EDD5D34">
          <v:shape id="_x0000_i1038" type="#_x0000_t75" alt="Start formula start fraction open bracket Adjusted base amount minus Initial lump sum close bracket times Splittable payment amount times Transition factor over Deemed value of the interest were it in payment phase at adjusted date minus Initial lump sum end fraction end formula" style="width:265.05pt;height:75.65pt" o:ole="">
            <v:imagedata r:id="rId50" o:title=""/>
          </v:shape>
          <o:OLEObject Type="Embed" ProgID="Equation.DSMT4" ShapeID="_x0000_i1038" DrawAspect="Content" ObjectID="_1801634267" r:id="rId51"/>
        </w:object>
      </w:r>
    </w:p>
    <w:p w14:paraId="2DC053FB" w14:textId="77777777" w:rsidR="00D930D9" w:rsidRPr="00A058B6" w:rsidRDefault="00D930D9" w:rsidP="00D930D9">
      <w:pPr>
        <w:pStyle w:val="subsection2"/>
      </w:pPr>
      <w:r w:rsidRPr="00A058B6">
        <w:t>where:</w:t>
      </w:r>
    </w:p>
    <w:p w14:paraId="46628F7D" w14:textId="1AF22817" w:rsidR="00D930D9" w:rsidRPr="00A058B6" w:rsidRDefault="00D930D9" w:rsidP="00D930D9">
      <w:pPr>
        <w:pStyle w:val="Definition"/>
      </w:pPr>
      <w:r w:rsidRPr="00A058B6">
        <w:rPr>
          <w:b/>
          <w:i/>
        </w:rPr>
        <w:t>adjusted base amount</w:t>
      </w:r>
      <w:r w:rsidRPr="00A058B6">
        <w:t xml:space="preserve"> </w:t>
      </w:r>
      <w:r w:rsidR="001F386F">
        <w:t>means</w:t>
      </w:r>
      <w:r w:rsidRPr="00A058B6">
        <w:t xml:space="preserve"> the adjusted base amount applicable to the non</w:t>
      </w:r>
      <w:r w:rsidR="001952B3">
        <w:noBreakHyphen/>
      </w:r>
      <w:r w:rsidRPr="00A058B6">
        <w:t>member spouse for the interest at the date the first splittable payment became payable in respect of the superannuation interest</w:t>
      </w:r>
      <w:r w:rsidR="00D7157D">
        <w:t>.</w:t>
      </w:r>
    </w:p>
    <w:p w14:paraId="4E2776F1" w14:textId="212E0824" w:rsidR="00D930D9" w:rsidRPr="00A058B6" w:rsidRDefault="00D930D9" w:rsidP="00D930D9">
      <w:pPr>
        <w:pStyle w:val="Definition"/>
      </w:pPr>
      <w:r w:rsidRPr="00A058B6">
        <w:rPr>
          <w:b/>
          <w:i/>
        </w:rPr>
        <w:t>initial lump sum</w:t>
      </w:r>
      <w:r w:rsidRPr="00A058B6">
        <w:t xml:space="preserve"> </w:t>
      </w:r>
      <w:r w:rsidR="001F386F">
        <w:t>means</w:t>
      </w:r>
      <w:r w:rsidRPr="00A058B6">
        <w:t xml:space="preserve"> the amount of the lump sum paid to the non</w:t>
      </w:r>
      <w:r w:rsidR="001952B3">
        <w:noBreakHyphen/>
      </w:r>
      <w:r w:rsidRPr="00A058B6">
        <w:t xml:space="preserve">member spouse under </w:t>
      </w:r>
      <w:r w:rsidR="00453C86">
        <w:t>paragraph (</w:t>
      </w:r>
      <w:r w:rsidRPr="00A058B6">
        <w:t>2)(a)</w:t>
      </w:r>
      <w:r w:rsidR="00D7157D">
        <w:t>.</w:t>
      </w:r>
    </w:p>
    <w:p w14:paraId="5B0ACECB" w14:textId="77777777" w:rsidR="00D930D9" w:rsidRDefault="00D930D9" w:rsidP="00D930D9">
      <w:pPr>
        <w:pStyle w:val="Definition"/>
      </w:pPr>
      <w:r w:rsidRPr="00A058B6">
        <w:rPr>
          <w:b/>
          <w:i/>
        </w:rPr>
        <w:t>splittable payment amount</w:t>
      </w:r>
      <w:r w:rsidRPr="00A058B6">
        <w:t xml:space="preserve"> </w:t>
      </w:r>
      <w:r w:rsidR="001F386F">
        <w:t>means</w:t>
      </w:r>
      <w:r w:rsidRPr="00A058B6">
        <w:t xml:space="preserve"> the amount of the relevant splittable payment</w:t>
      </w:r>
      <w:r w:rsidR="00D7157D">
        <w:t>.</w:t>
      </w:r>
    </w:p>
    <w:p w14:paraId="3989A513" w14:textId="3B78B437" w:rsidR="00FB0FA8" w:rsidRDefault="00FB0FA8" w:rsidP="00D930D9">
      <w:pPr>
        <w:pStyle w:val="Definition"/>
        <w:rPr>
          <w:bCs/>
          <w:iCs/>
        </w:rPr>
      </w:pPr>
      <w:bookmarkStart w:id="121" w:name="_Hlk187762855"/>
      <w:r>
        <w:rPr>
          <w:b/>
          <w:i/>
        </w:rPr>
        <w:t>transition factor</w:t>
      </w:r>
      <w:r>
        <w:rPr>
          <w:bCs/>
          <w:iCs/>
        </w:rPr>
        <w:t xml:space="preserve"> means:</w:t>
      </w:r>
    </w:p>
    <w:p w14:paraId="384CC3F6" w14:textId="60D3C575" w:rsidR="009D218B" w:rsidRDefault="009D218B" w:rsidP="009D218B">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w:t>
      </w:r>
      <w:r w:rsidR="00AF13B5">
        <w:t>, or determined</w:t>
      </w:r>
      <w:r>
        <w:t xml:space="preserve"> using </w:t>
      </w:r>
      <w:r w:rsidR="00C73122">
        <w:t>a</w:t>
      </w:r>
      <w:r>
        <w:t xml:space="preserve"> method </w:t>
      </w:r>
      <w:r w:rsidR="00C34B2F">
        <w:t>approved under</w:t>
      </w:r>
      <w:r w:rsidR="00AF13B5">
        <w:t>,</w:t>
      </w:r>
      <w:r>
        <w:t xml:space="preserve"> </w:t>
      </w:r>
      <w:r w:rsidR="00CB78B9">
        <w:t>section 7</w:t>
      </w:r>
      <w:r>
        <w:t>9 for the superannuation interest and this subsection; or</w:t>
      </w:r>
    </w:p>
    <w:p w14:paraId="13FD1200" w14:textId="13F85E47" w:rsidR="005A0F0A" w:rsidRDefault="005A0F0A" w:rsidP="005A0F0A">
      <w:pPr>
        <w:pStyle w:val="paragraph"/>
      </w:pPr>
      <w:r>
        <w:tab/>
        <w:t>(b)</w:t>
      </w:r>
      <w:r>
        <w:tab/>
        <w:t xml:space="preserve">if </w:t>
      </w:r>
      <w:r w:rsidR="00453C86">
        <w:t>paragraph (</w:t>
      </w:r>
      <w:r w:rsidR="00196C06">
        <w:t xml:space="preserve">a) does not apply and </w:t>
      </w:r>
      <w:r>
        <w:t>one or more benefits in respect of the superannuation interest</w:t>
      </w:r>
      <w:r w:rsidR="00196C06">
        <w:t xml:space="preserve"> are payable</w:t>
      </w:r>
      <w:r>
        <w:t>:</w:t>
      </w:r>
    </w:p>
    <w:p w14:paraId="6EA84D5C" w14:textId="49EEE7E8" w:rsidR="005A0F0A" w:rsidRDefault="005A0F0A" w:rsidP="005A0F0A">
      <w:pPr>
        <w:pStyle w:val="paragraphsub"/>
      </w:pPr>
      <w:r>
        <w:tab/>
        <w:t>(i)</w:t>
      </w:r>
      <w:r>
        <w:tab/>
        <w:t>as a pension for the life of the member spouse; but</w:t>
      </w:r>
    </w:p>
    <w:p w14:paraId="49ACA793" w14:textId="5BF5B1BC" w:rsidR="005A0F0A" w:rsidRPr="00B636FD" w:rsidRDefault="005A0F0A" w:rsidP="005A0F0A">
      <w:pPr>
        <w:pStyle w:val="paragraphsub"/>
      </w:pPr>
      <w:r>
        <w:tab/>
        <w:t>(ii)</w:t>
      </w:r>
      <w:r>
        <w:tab/>
        <w:t>not due to the member spouse’s invalidity;</w:t>
      </w:r>
    </w:p>
    <w:p w14:paraId="7FA594A1" w14:textId="4358CD65" w:rsidR="005A0F0A" w:rsidRDefault="005A0F0A" w:rsidP="005A0F0A">
      <w:pPr>
        <w:pStyle w:val="paragraph"/>
      </w:pPr>
      <w:r>
        <w:tab/>
      </w:r>
      <w:r>
        <w:tab/>
        <w:t xml:space="preserve">the factor determined using the method set out in </w:t>
      </w:r>
      <w:r w:rsidR="00453C86">
        <w:t>Schedule 1</w:t>
      </w:r>
      <w:r w:rsidR="00366F59">
        <w:t>1</w:t>
      </w:r>
      <w:r>
        <w:t xml:space="preserve"> for the superannuation interest; or</w:t>
      </w:r>
    </w:p>
    <w:p w14:paraId="7E5B349B" w14:textId="157F21C7" w:rsidR="00B636FD" w:rsidRDefault="00B636FD" w:rsidP="0008080D">
      <w:pPr>
        <w:pStyle w:val="paragraph"/>
      </w:pPr>
      <w:r>
        <w:tab/>
        <w:t>(c)</w:t>
      </w:r>
      <w:r>
        <w:tab/>
      </w:r>
      <w:r w:rsidR="00D63B87">
        <w:t xml:space="preserve">if neither </w:t>
      </w:r>
      <w:r w:rsidR="00453C86">
        <w:t>paragraph (</w:t>
      </w:r>
      <w:r w:rsidR="00D63B87">
        <w:t>a) nor (b) applies</w:t>
      </w:r>
      <w:r>
        <w:t>—1.</w:t>
      </w:r>
    </w:p>
    <w:bookmarkEnd w:id="121"/>
    <w:p w14:paraId="48AC3A61" w14:textId="78741C7E" w:rsidR="007239C8" w:rsidRDefault="007239C8" w:rsidP="007239C8">
      <w:pPr>
        <w:pStyle w:val="Definition"/>
      </w:pPr>
      <w:r w:rsidRPr="00A058B6">
        <w:rPr>
          <w:b/>
          <w:bCs/>
          <w:i/>
          <w:iCs/>
        </w:rPr>
        <w:t>deemed value of the interest were it in payment phase at adjusted date</w:t>
      </w:r>
      <w:r w:rsidRPr="00A058B6">
        <w:t xml:space="preserve"> </w:t>
      </w:r>
      <w:r w:rsidR="001F386F">
        <w:t>means</w:t>
      </w:r>
      <w:r w:rsidRPr="00A058B6">
        <w:t xml:space="preserve"> the </w:t>
      </w:r>
      <w:r w:rsidR="001E5B5B" w:rsidRPr="00A058B6">
        <w:t xml:space="preserve">amount </w:t>
      </w:r>
      <w:r w:rsidR="00640C08">
        <w:t xml:space="preserve">that would be </w:t>
      </w:r>
      <w:r w:rsidR="001E5B5B" w:rsidRPr="00A058B6">
        <w:t xml:space="preserve">calculated under </w:t>
      </w:r>
      <w:r w:rsidR="00CB78B9">
        <w:t>section 6</w:t>
      </w:r>
      <w:r w:rsidR="00485CC2">
        <w:t>4</w:t>
      </w:r>
      <w:r w:rsidR="001E5B5B" w:rsidRPr="00A058B6">
        <w:t xml:space="preserve"> for the</w:t>
      </w:r>
      <w:r w:rsidR="001E5B5B">
        <w:t xml:space="preserve"> superannuation</w:t>
      </w:r>
      <w:r w:rsidR="001E5B5B" w:rsidRPr="00A058B6">
        <w:t xml:space="preserve"> interest if references in </w:t>
      </w:r>
      <w:r w:rsidR="00453C86">
        <w:t>Division 2</w:t>
      </w:r>
      <w:r w:rsidR="001E5B5B" w:rsidRPr="00A058B6">
        <w:t xml:space="preserve"> of Part </w:t>
      </w:r>
      <w:r w:rsidR="00F47A4A">
        <w:t>6</w:t>
      </w:r>
      <w:r w:rsidR="001E5B5B" w:rsidRPr="00A058B6">
        <w:t xml:space="preserve"> to the relevant date were references to </w:t>
      </w:r>
      <w:r w:rsidRPr="00A058B6">
        <w:t>the date the first splittable payment became payable in respect of the superannuation interest</w:t>
      </w:r>
      <w:r w:rsidR="00D7157D">
        <w:t>.</w:t>
      </w:r>
    </w:p>
    <w:p w14:paraId="12488604" w14:textId="263940BF" w:rsidR="00D930D9" w:rsidRPr="00A058B6" w:rsidRDefault="00485CC2" w:rsidP="00D930D9">
      <w:pPr>
        <w:pStyle w:val="ActHead5"/>
      </w:pPr>
      <w:bookmarkStart w:id="122" w:name="_Toc188350607"/>
      <w:r w:rsidRPr="00423C34">
        <w:rPr>
          <w:rStyle w:val="CharSectno"/>
        </w:rPr>
        <w:t>82</w:t>
      </w:r>
      <w:r w:rsidR="00D930D9" w:rsidRPr="00A058B6">
        <w:t xml:space="preserve">  Amount to be paid to non</w:t>
      </w:r>
      <w:r w:rsidR="001952B3">
        <w:noBreakHyphen/>
      </w:r>
      <w:r w:rsidR="00D930D9" w:rsidRPr="00A058B6">
        <w:t>member spouse—optional lump sum from remaining benefits</w:t>
      </w:r>
      <w:bookmarkEnd w:id="122"/>
    </w:p>
    <w:p w14:paraId="0349F4B7" w14:textId="77777777" w:rsidR="00D930D9" w:rsidRPr="00A058B6" w:rsidRDefault="00D930D9" w:rsidP="00D930D9">
      <w:pPr>
        <w:pStyle w:val="subsection"/>
      </w:pPr>
      <w:r w:rsidRPr="00A058B6">
        <w:tab/>
        <w:t>(1)</w:t>
      </w:r>
      <w:r w:rsidRPr="00A058B6">
        <w:tab/>
        <w:t>This section applies for the superannuation interest if:</w:t>
      </w:r>
    </w:p>
    <w:p w14:paraId="473DB8DE" w14:textId="22D4F6DB" w:rsidR="00D930D9" w:rsidRPr="00A058B6" w:rsidRDefault="00D930D9" w:rsidP="00D930D9">
      <w:pPr>
        <w:pStyle w:val="paragraph"/>
      </w:pPr>
      <w:r w:rsidRPr="00A058B6">
        <w:tab/>
        <w:t>(a)</w:t>
      </w:r>
      <w:r w:rsidRPr="00A058B6">
        <w:tab/>
        <w:t>the non</w:t>
      </w:r>
      <w:r w:rsidR="001952B3">
        <w:noBreakHyphen/>
      </w:r>
      <w:r w:rsidRPr="00A058B6">
        <w:t>member spouse is entitled to be paid the amount of a lump sum under paragraph </w:t>
      </w:r>
      <w:r w:rsidR="00485CC2">
        <w:t>81</w:t>
      </w:r>
      <w:r w:rsidRPr="00A058B6">
        <w:t>(2)(a) in respect of the interest; and</w:t>
      </w:r>
    </w:p>
    <w:p w14:paraId="25E9F2D2" w14:textId="77777777" w:rsidR="00D930D9" w:rsidRPr="00A058B6" w:rsidRDefault="00D930D9" w:rsidP="00D930D9">
      <w:pPr>
        <w:pStyle w:val="paragraph"/>
      </w:pPr>
      <w:r w:rsidRPr="00A058B6">
        <w:tab/>
        <w:t>(b)</w:t>
      </w:r>
      <w:r w:rsidRPr="00A058B6">
        <w:tab/>
        <w:t>the member spouse or other person may, under the governing rules of the relevant eligible superannuation plan, choose (by way of a commutation of a pension</w:t>
      </w:r>
      <w:r>
        <w:t xml:space="preserve"> or otherwise</w:t>
      </w:r>
      <w:r w:rsidRPr="00A058B6">
        <w:t>) to take the whole or a part of the remaining benefits in respect of the interest as a lump sum; and</w:t>
      </w:r>
    </w:p>
    <w:p w14:paraId="1B15286D" w14:textId="5B8A0686" w:rsidR="00D930D9" w:rsidRDefault="00D930D9" w:rsidP="00D930D9">
      <w:pPr>
        <w:pStyle w:val="paragraph"/>
      </w:pPr>
      <w:r w:rsidRPr="00A058B6">
        <w:tab/>
        <w:t>(c)</w:t>
      </w:r>
      <w:r w:rsidRPr="00A058B6">
        <w:tab/>
        <w:t>the non</w:t>
      </w:r>
      <w:r w:rsidR="001952B3">
        <w:noBreakHyphen/>
      </w:r>
      <w:r w:rsidRPr="00A058B6">
        <w:t>member spouse has served a request</w:t>
      </w:r>
      <w:r>
        <w:t>:</w:t>
      </w:r>
    </w:p>
    <w:p w14:paraId="15BC91AD" w14:textId="7FBFC8D3" w:rsidR="00D930D9" w:rsidRDefault="00D930D9" w:rsidP="00D930D9">
      <w:pPr>
        <w:pStyle w:val="paragraphsub"/>
      </w:pPr>
      <w:r>
        <w:tab/>
        <w:t>(i)</w:t>
      </w:r>
      <w:r>
        <w:tab/>
      </w:r>
      <w:r w:rsidRPr="00A058B6">
        <w:t xml:space="preserve">in accordance with Form 2 in </w:t>
      </w:r>
      <w:r w:rsidR="00453C86">
        <w:t>Schedule 1</w:t>
      </w:r>
      <w:r>
        <w:t>; and</w:t>
      </w:r>
    </w:p>
    <w:p w14:paraId="7E2D5689" w14:textId="77777777" w:rsidR="00D930D9" w:rsidRDefault="00D930D9" w:rsidP="00D930D9">
      <w:pPr>
        <w:pStyle w:val="paragraphsub"/>
      </w:pPr>
      <w:r>
        <w:tab/>
        <w:t>(ii)</w:t>
      </w:r>
      <w:r>
        <w:tab/>
      </w:r>
      <w:r w:rsidRPr="00A058B6">
        <w:t>on the trustee of the plan</w:t>
      </w:r>
      <w:r>
        <w:t>;</w:t>
      </w:r>
    </w:p>
    <w:p w14:paraId="2C5DCAEB" w14:textId="5AAC2880" w:rsidR="00D930D9" w:rsidRPr="00A058B6" w:rsidRDefault="00D930D9" w:rsidP="00D930D9">
      <w:pPr>
        <w:pStyle w:val="paragraph"/>
      </w:pPr>
      <w:r>
        <w:tab/>
      </w:r>
      <w:r>
        <w:tab/>
        <w:t>for</w:t>
      </w:r>
      <w:r w:rsidRPr="00A058B6">
        <w:t xml:space="preserve"> the non</w:t>
      </w:r>
      <w:r w:rsidR="001952B3">
        <w:noBreakHyphen/>
      </w:r>
      <w:r w:rsidRPr="00A058B6">
        <w:t xml:space="preserve">member spouse </w:t>
      </w:r>
      <w:r>
        <w:t xml:space="preserve">to </w:t>
      </w:r>
      <w:r w:rsidRPr="00A058B6">
        <w:t>be paid, as a lump sum, the whole</w:t>
      </w:r>
      <w:r>
        <w:t xml:space="preserve"> </w:t>
      </w:r>
      <w:r w:rsidRPr="00A058B6">
        <w:t>or a proportion of the remaining adjusted base amount applicable to the non</w:t>
      </w:r>
      <w:r w:rsidR="001952B3">
        <w:noBreakHyphen/>
      </w:r>
      <w:r w:rsidRPr="00A058B6">
        <w:t xml:space="preserve">member spouse for the interest at the </w:t>
      </w:r>
      <w:r w:rsidRPr="001E04F3">
        <w:t>date the splittable payment became payable</w:t>
      </w:r>
      <w:r w:rsidRPr="00A058B6">
        <w:t>; and</w:t>
      </w:r>
    </w:p>
    <w:p w14:paraId="253E6AAC" w14:textId="5CB98795" w:rsidR="00D930D9" w:rsidRPr="00A058B6" w:rsidRDefault="00D930D9" w:rsidP="00D930D9">
      <w:pPr>
        <w:pStyle w:val="paragraph"/>
      </w:pPr>
      <w:r w:rsidRPr="00A058B6">
        <w:tab/>
        <w:t>(d)</w:t>
      </w:r>
      <w:r w:rsidRPr="00A058B6">
        <w:tab/>
        <w:t>any choice by the member spouse or other person to be paid the amount requested by the non</w:t>
      </w:r>
      <w:r w:rsidR="001952B3">
        <w:noBreakHyphen/>
      </w:r>
      <w:r w:rsidRPr="00A058B6">
        <w:t>member spouse will not cause the member spouse or other person to lose the right to take the remaining part of the benefits in respect of the interest as a pension</w:t>
      </w:r>
      <w:r w:rsidR="00D7157D">
        <w:t>.</w:t>
      </w:r>
    </w:p>
    <w:p w14:paraId="668EFF08" w14:textId="30F17D44" w:rsidR="00D930D9" w:rsidRPr="00A058B6" w:rsidRDefault="00D930D9" w:rsidP="00D930D9">
      <w:pPr>
        <w:pStyle w:val="SubsectionHead"/>
      </w:pPr>
      <w:r w:rsidRPr="00A058B6">
        <w:t>Non</w:t>
      </w:r>
      <w:r w:rsidR="001952B3">
        <w:noBreakHyphen/>
      </w:r>
      <w:r w:rsidRPr="00A058B6">
        <w:t>member spouse requests whole of remaining adjusted base amount to be paid as a lump sum</w:t>
      </w:r>
    </w:p>
    <w:p w14:paraId="16DAB8BD" w14:textId="2D8F4C52" w:rsidR="00D930D9" w:rsidRPr="00A058B6" w:rsidRDefault="00D930D9" w:rsidP="00D930D9">
      <w:pPr>
        <w:pStyle w:val="subsection"/>
      </w:pPr>
      <w:r w:rsidRPr="00A058B6">
        <w:tab/>
        <w:t>(2)</w:t>
      </w:r>
      <w:r w:rsidRPr="00A058B6">
        <w:tab/>
        <w:t xml:space="preserve">If the request under </w:t>
      </w:r>
      <w:r w:rsidR="00453C86">
        <w:t>paragraph (</w:t>
      </w:r>
      <w:r w:rsidRPr="00A058B6">
        <w:t>1)(c) is for the non</w:t>
      </w:r>
      <w:r w:rsidR="001952B3">
        <w:noBreakHyphen/>
      </w:r>
      <w:r w:rsidRPr="00A058B6">
        <w:t>member spouse to be paid, as a lump sum, the whole of the remaining adjusted base amount applicable to the non</w:t>
      </w:r>
      <w:r w:rsidR="001952B3">
        <w:noBreakHyphen/>
      </w:r>
      <w:r w:rsidRPr="00A058B6">
        <w:t>member spouse for the interest</w:t>
      </w:r>
      <w:r>
        <w:t xml:space="preserve"> </w:t>
      </w:r>
      <w:r w:rsidRPr="00A058B6">
        <w:t xml:space="preserve">at the </w:t>
      </w:r>
      <w:r w:rsidRPr="001E04F3">
        <w:t>date the splittable payment became payable</w:t>
      </w:r>
      <w:r w:rsidRPr="00A058B6">
        <w:t>:</w:t>
      </w:r>
    </w:p>
    <w:p w14:paraId="5FEDF48A" w14:textId="66354DCA" w:rsidR="00D930D9" w:rsidRPr="00A058B6" w:rsidRDefault="00D930D9" w:rsidP="00D930D9">
      <w:pPr>
        <w:pStyle w:val="paragraph"/>
      </w:pPr>
      <w:r w:rsidRPr="00A058B6">
        <w:tab/>
        <w:t>(a)</w:t>
      </w:r>
      <w:r w:rsidRPr="00A058B6">
        <w:tab/>
        <w:t xml:space="preserve">the member spouse or other person must choose to be paid, as a lump sum, an amount that is at least the amount calculated under </w:t>
      </w:r>
      <w:r w:rsidR="00A52DA5">
        <w:t>subsection (</w:t>
      </w:r>
      <w:r w:rsidRPr="00A058B6">
        <w:t>3); and</w:t>
      </w:r>
    </w:p>
    <w:p w14:paraId="46CB2FB8" w14:textId="713FEA5E" w:rsidR="00D930D9" w:rsidRPr="00A058B6" w:rsidRDefault="00D930D9" w:rsidP="00D930D9">
      <w:pPr>
        <w:pStyle w:val="paragraph"/>
      </w:pPr>
      <w:r w:rsidRPr="00A058B6">
        <w:tab/>
        <w:t>(b)</w:t>
      </w:r>
      <w:r w:rsidRPr="00A058B6">
        <w:tab/>
        <w:t>the non</w:t>
      </w:r>
      <w:r w:rsidR="001952B3">
        <w:noBreakHyphen/>
      </w:r>
      <w:r w:rsidRPr="00A058B6">
        <w:t>member spouse is entitled to be paid that amount; and</w:t>
      </w:r>
    </w:p>
    <w:p w14:paraId="7BF27AA9" w14:textId="27E7204F" w:rsidR="00D930D9" w:rsidRPr="00A058B6" w:rsidRDefault="00D930D9" w:rsidP="00D930D9">
      <w:pPr>
        <w:pStyle w:val="paragraph"/>
      </w:pPr>
      <w:r w:rsidRPr="00A058B6">
        <w:tab/>
        <w:t>(c)</w:t>
      </w:r>
      <w:r w:rsidRPr="00A058B6">
        <w:tab/>
        <w:t>the non</w:t>
      </w:r>
      <w:r w:rsidR="001952B3">
        <w:noBreakHyphen/>
      </w:r>
      <w:r w:rsidRPr="00A058B6">
        <w:t>member spouse is not entitled to be paid any amount from any other splittable payment in respect of the superannuation interest</w:t>
      </w:r>
      <w:r w:rsidR="00D7157D">
        <w:t>.</w:t>
      </w:r>
    </w:p>
    <w:p w14:paraId="205896EA" w14:textId="700D317B" w:rsidR="00D930D9" w:rsidRPr="00A058B6" w:rsidRDefault="00D930D9" w:rsidP="00D930D9">
      <w:pPr>
        <w:pStyle w:val="subsection"/>
      </w:pPr>
      <w:r w:rsidRPr="00A058B6">
        <w:tab/>
        <w:t>(3)</w:t>
      </w:r>
      <w:r w:rsidRPr="00A058B6">
        <w:tab/>
        <w:t xml:space="preserve">For the purposes of </w:t>
      </w:r>
      <w:r w:rsidR="00453C86">
        <w:t>paragraph (</w:t>
      </w:r>
      <w:r w:rsidRPr="00A058B6">
        <w:t>2)(a), the amount is:</w:t>
      </w:r>
    </w:p>
    <w:p w14:paraId="01A249AE" w14:textId="7FBE35C7" w:rsidR="00D930D9" w:rsidRPr="00A058B6" w:rsidRDefault="00FC01AD" w:rsidP="00D930D9">
      <w:pPr>
        <w:pStyle w:val="subsection2"/>
      </w:pPr>
      <w:r w:rsidRPr="00A058B6">
        <w:rPr>
          <w:position w:val="-32"/>
        </w:rPr>
        <w:object w:dxaOrig="5460" w:dyaOrig="1240" w14:anchorId="2D4D5E39">
          <v:shape id="_x0000_i1039" type="#_x0000_t75" alt="Start formula start fraction open bracket Adjusted base amount minus Initial lump sum close bracket times Commutation factor for the interest times Transition factor over Pension valuation factor for the interest end fraction end formula" style="width:271.5pt;height:62.85pt" o:ole="">
            <v:imagedata r:id="rId52" o:title=""/>
          </v:shape>
          <o:OLEObject Type="Embed" ProgID="Equation.DSMT4" ShapeID="_x0000_i1039" DrawAspect="Content" ObjectID="_1801634268" r:id="rId53"/>
        </w:object>
      </w:r>
    </w:p>
    <w:p w14:paraId="49F1544E" w14:textId="77777777" w:rsidR="00D930D9" w:rsidRPr="00A058B6" w:rsidRDefault="00D930D9" w:rsidP="00D930D9">
      <w:pPr>
        <w:pStyle w:val="subsection2"/>
      </w:pPr>
      <w:r w:rsidRPr="00A058B6">
        <w:t>where:</w:t>
      </w:r>
    </w:p>
    <w:p w14:paraId="4A3C01BD" w14:textId="7254C6B1" w:rsidR="00D930D9" w:rsidRPr="00A058B6" w:rsidRDefault="00D930D9" w:rsidP="00D930D9">
      <w:pPr>
        <w:pStyle w:val="Definition"/>
      </w:pPr>
      <w:r w:rsidRPr="00A058B6">
        <w:rPr>
          <w:b/>
          <w:i/>
        </w:rPr>
        <w:t>adjusted base amount</w:t>
      </w:r>
      <w:r w:rsidRPr="00A058B6">
        <w:t xml:space="preserve"> </w:t>
      </w:r>
      <w:r w:rsidR="001F386F">
        <w:t>means</w:t>
      </w:r>
      <w:r w:rsidRPr="00A058B6">
        <w:t xml:space="preserve"> the adjusted base amount applicable to the non</w:t>
      </w:r>
      <w:r w:rsidR="001952B3">
        <w:noBreakHyphen/>
      </w:r>
      <w:r w:rsidRPr="00A058B6">
        <w:t xml:space="preserve">member spouse for the interest at the </w:t>
      </w:r>
      <w:r w:rsidRPr="001B2BA4">
        <w:t xml:space="preserve">date </w:t>
      </w:r>
      <w:r>
        <w:t xml:space="preserve">the </w:t>
      </w:r>
      <w:r w:rsidRPr="001B2BA4">
        <w:t>first splittable payment became payable in respect of the superannuation interest</w:t>
      </w:r>
      <w:r w:rsidR="00D7157D">
        <w:t>.</w:t>
      </w:r>
    </w:p>
    <w:p w14:paraId="7B1B86F3" w14:textId="6B202A67" w:rsidR="00D930D9" w:rsidRPr="00A058B6" w:rsidRDefault="00D930D9" w:rsidP="00D930D9">
      <w:pPr>
        <w:pStyle w:val="Definition"/>
      </w:pPr>
      <w:r w:rsidRPr="00A058B6">
        <w:rPr>
          <w:b/>
          <w:i/>
        </w:rPr>
        <w:t>initial lump sum</w:t>
      </w:r>
      <w:r w:rsidRPr="00A058B6">
        <w:t xml:space="preserve"> </w:t>
      </w:r>
      <w:r w:rsidR="001F386F">
        <w:t>means</w:t>
      </w:r>
      <w:r w:rsidRPr="00A058B6">
        <w:t xml:space="preserve"> the amount of the lump sum paid to the non</w:t>
      </w:r>
      <w:r w:rsidR="001952B3">
        <w:noBreakHyphen/>
      </w:r>
      <w:r w:rsidRPr="00A058B6">
        <w:t>member spouse under paragraph </w:t>
      </w:r>
      <w:r w:rsidR="00485CC2">
        <w:t>81</w:t>
      </w:r>
      <w:r w:rsidRPr="00A058B6">
        <w:t>(2)(a)</w:t>
      </w:r>
      <w:r w:rsidR="00D7157D">
        <w:t>.</w:t>
      </w:r>
    </w:p>
    <w:p w14:paraId="507D8E93" w14:textId="77777777" w:rsidR="00D63B87" w:rsidRDefault="00D63B87" w:rsidP="00D63B87">
      <w:pPr>
        <w:pStyle w:val="Definition"/>
        <w:rPr>
          <w:bCs/>
          <w:iCs/>
        </w:rPr>
      </w:pPr>
      <w:r>
        <w:rPr>
          <w:b/>
          <w:i/>
        </w:rPr>
        <w:t>transition factor</w:t>
      </w:r>
      <w:r>
        <w:rPr>
          <w:bCs/>
          <w:iCs/>
        </w:rPr>
        <w:t xml:space="preserve"> means:</w:t>
      </w:r>
    </w:p>
    <w:p w14:paraId="669D421A" w14:textId="5D3A4D39"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7AE2D392" w14:textId="6733FCAD"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6ADB87A4" w14:textId="77777777" w:rsidR="00D63B87" w:rsidRDefault="00D63B87" w:rsidP="00D63B87">
      <w:pPr>
        <w:pStyle w:val="paragraphsub"/>
      </w:pPr>
      <w:r>
        <w:tab/>
        <w:t>(i)</w:t>
      </w:r>
      <w:r>
        <w:tab/>
        <w:t>as a pension for the life of the member spouse; but</w:t>
      </w:r>
    </w:p>
    <w:p w14:paraId="02EF854F" w14:textId="77777777" w:rsidR="00D63B87" w:rsidRPr="00B636FD" w:rsidRDefault="00D63B87" w:rsidP="00D63B87">
      <w:pPr>
        <w:pStyle w:val="paragraphsub"/>
      </w:pPr>
      <w:r>
        <w:tab/>
        <w:t>(ii)</w:t>
      </w:r>
      <w:r>
        <w:tab/>
        <w:t>not due to the member spouse’s invalidity;</w:t>
      </w:r>
    </w:p>
    <w:p w14:paraId="39D9DC60" w14:textId="340508E6"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75E81CF3" w14:textId="26F3D64F" w:rsidR="00D63B87" w:rsidRDefault="00D63B87" w:rsidP="00D63B87">
      <w:pPr>
        <w:pStyle w:val="paragraph"/>
      </w:pPr>
      <w:r>
        <w:tab/>
        <w:t>(c)</w:t>
      </w:r>
      <w:r>
        <w:tab/>
        <w:t xml:space="preserve">if neither </w:t>
      </w:r>
      <w:r w:rsidR="00453C86">
        <w:t>paragraph (</w:t>
      </w:r>
      <w:r>
        <w:t>a) nor (b) applies—1.</w:t>
      </w:r>
    </w:p>
    <w:p w14:paraId="6A150991" w14:textId="4249DA44"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441CF217" w14:textId="5D869A79" w:rsidR="00D930D9" w:rsidRPr="00A058B6" w:rsidRDefault="00D930D9" w:rsidP="00D930D9">
      <w:pPr>
        <w:pStyle w:val="SubsectionHead"/>
      </w:pPr>
      <w:r w:rsidRPr="00A058B6">
        <w:t>Non</w:t>
      </w:r>
      <w:r w:rsidR="001952B3">
        <w:noBreakHyphen/>
      </w:r>
      <w:r w:rsidRPr="00A058B6">
        <w:t>member spouse requests proportion of remaining adjusted base amount to be paid as a lump sum</w:t>
      </w:r>
    </w:p>
    <w:p w14:paraId="25804435" w14:textId="4CE1E6A6" w:rsidR="00D930D9" w:rsidRPr="00A058B6" w:rsidRDefault="00D930D9" w:rsidP="00D930D9">
      <w:pPr>
        <w:pStyle w:val="subsection"/>
      </w:pPr>
      <w:r w:rsidRPr="00A058B6">
        <w:tab/>
        <w:t>(4)</w:t>
      </w:r>
      <w:r w:rsidRPr="00A058B6">
        <w:tab/>
        <w:t xml:space="preserve">If the request under </w:t>
      </w:r>
      <w:r w:rsidR="00453C86">
        <w:t>paragraph (</w:t>
      </w:r>
      <w:r w:rsidRPr="00A058B6">
        <w:t>1)(c) is for the non</w:t>
      </w:r>
      <w:r w:rsidR="001952B3">
        <w:noBreakHyphen/>
      </w:r>
      <w:r w:rsidRPr="00A058B6">
        <w:t>member spouse to be paid, as a lump sum, a proportion of the remaining adjusted base amount applicable to the non</w:t>
      </w:r>
      <w:r w:rsidR="001952B3">
        <w:noBreakHyphen/>
      </w:r>
      <w:r w:rsidRPr="00A058B6">
        <w:t>member spouse</w:t>
      </w:r>
      <w:r>
        <w:t xml:space="preserve"> </w:t>
      </w:r>
      <w:r w:rsidRPr="00A058B6">
        <w:t xml:space="preserve">at the </w:t>
      </w:r>
      <w:r w:rsidRPr="001E04F3">
        <w:t>date the splittable payment became payable</w:t>
      </w:r>
      <w:r w:rsidRPr="00A058B6">
        <w:t>:</w:t>
      </w:r>
    </w:p>
    <w:p w14:paraId="44C575A7" w14:textId="6D2BB2F4" w:rsidR="00D930D9" w:rsidRPr="00A058B6" w:rsidRDefault="00D930D9" w:rsidP="00D930D9">
      <w:pPr>
        <w:pStyle w:val="paragraph"/>
      </w:pPr>
      <w:r w:rsidRPr="00A058B6">
        <w:tab/>
        <w:t>(a)</w:t>
      </w:r>
      <w:r w:rsidRPr="00A058B6">
        <w:tab/>
        <w:t xml:space="preserve">the member spouse or other person must choose to be paid, as a lump sum, an amount (the </w:t>
      </w:r>
      <w:r w:rsidRPr="00A058B6">
        <w:rPr>
          <w:b/>
          <w:i/>
        </w:rPr>
        <w:t>member’s lump sum</w:t>
      </w:r>
      <w:r w:rsidRPr="00A058B6">
        <w:t xml:space="preserve">) that is at least the amount calculated under </w:t>
      </w:r>
      <w:r w:rsidR="00A52DA5">
        <w:t>subsection (</w:t>
      </w:r>
      <w:r w:rsidRPr="00A058B6">
        <w:t xml:space="preserve">5) (the </w:t>
      </w:r>
      <w:r w:rsidRPr="00A058B6">
        <w:rPr>
          <w:b/>
          <w:i/>
        </w:rPr>
        <w:t>minimum lump sum</w:t>
      </w:r>
      <w:r w:rsidRPr="00A058B6">
        <w:t>); and</w:t>
      </w:r>
    </w:p>
    <w:p w14:paraId="663F5DAF" w14:textId="504F1C73" w:rsidR="00D930D9" w:rsidRPr="00A058B6" w:rsidRDefault="00D930D9" w:rsidP="00D930D9">
      <w:pPr>
        <w:pStyle w:val="paragraph"/>
      </w:pPr>
      <w:r w:rsidRPr="00A058B6">
        <w:tab/>
        <w:t>(b)</w:t>
      </w:r>
      <w:r w:rsidRPr="00A058B6">
        <w:tab/>
        <w:t>the non</w:t>
      </w:r>
      <w:r w:rsidR="001952B3">
        <w:noBreakHyphen/>
      </w:r>
      <w:r w:rsidRPr="00A058B6">
        <w:t xml:space="preserve">member spouse is entitled to be paid an amount equal to the </w:t>
      </w:r>
      <w:r w:rsidRPr="00E641D4">
        <w:t>minimum lump sum</w:t>
      </w:r>
      <w:r w:rsidRPr="00A058B6">
        <w:t>; and</w:t>
      </w:r>
    </w:p>
    <w:p w14:paraId="27F9F07F" w14:textId="44C589E8" w:rsidR="00D930D9" w:rsidRPr="00A058B6" w:rsidRDefault="00D930D9" w:rsidP="00D930D9">
      <w:pPr>
        <w:pStyle w:val="paragraph"/>
      </w:pPr>
      <w:r w:rsidRPr="00A058B6">
        <w:tab/>
        <w:t>(c)</w:t>
      </w:r>
      <w:r w:rsidRPr="00A058B6">
        <w:tab/>
        <w:t>the non</w:t>
      </w:r>
      <w:r w:rsidR="001952B3">
        <w:noBreakHyphen/>
      </w:r>
      <w:r w:rsidRPr="00A058B6">
        <w:t xml:space="preserve">member spouse is also entitled to be paid an amount, calculated under </w:t>
      </w:r>
      <w:r w:rsidR="00A52DA5">
        <w:t>subsection (</w:t>
      </w:r>
      <w:r w:rsidRPr="00A058B6">
        <w:t>6), from:</w:t>
      </w:r>
    </w:p>
    <w:p w14:paraId="3A8BFD85" w14:textId="77777777" w:rsidR="00D930D9" w:rsidRPr="00A058B6" w:rsidRDefault="00D930D9" w:rsidP="00D930D9">
      <w:pPr>
        <w:pStyle w:val="paragraphsub"/>
      </w:pPr>
      <w:r w:rsidRPr="00A058B6">
        <w:tab/>
        <w:t>(i)</w:t>
      </w:r>
      <w:r w:rsidRPr="00A058B6">
        <w:tab/>
        <w:t>if the member’s lump sum exceeds the minimum lump sum—the amount of the excess; and</w:t>
      </w:r>
    </w:p>
    <w:p w14:paraId="2789B8CD" w14:textId="77777777" w:rsidR="00D930D9" w:rsidRPr="00A058B6" w:rsidRDefault="00D930D9" w:rsidP="00D930D9">
      <w:pPr>
        <w:pStyle w:val="paragraphsub"/>
      </w:pPr>
      <w:r w:rsidRPr="00A058B6">
        <w:tab/>
        <w:t>(ii)</w:t>
      </w:r>
      <w:r w:rsidRPr="00A058B6">
        <w:tab/>
        <w:t>each other splittable payment that becomes payable in respect of the superannuation interest</w:t>
      </w:r>
      <w:r w:rsidR="00D7157D">
        <w:t>.</w:t>
      </w:r>
    </w:p>
    <w:p w14:paraId="69835002" w14:textId="0B0258FB" w:rsidR="00D930D9" w:rsidRPr="00A058B6" w:rsidRDefault="00D930D9" w:rsidP="00D930D9">
      <w:pPr>
        <w:pStyle w:val="subsection"/>
      </w:pPr>
      <w:r w:rsidRPr="00A058B6">
        <w:tab/>
        <w:t>(5)</w:t>
      </w:r>
      <w:r w:rsidRPr="00A058B6">
        <w:tab/>
        <w:t xml:space="preserve">For the purposes of </w:t>
      </w:r>
      <w:r w:rsidR="00453C86">
        <w:t>paragraph (</w:t>
      </w:r>
      <w:r w:rsidRPr="00A058B6">
        <w:t>4)(a), the minimum lump sum is:</w:t>
      </w:r>
    </w:p>
    <w:p w14:paraId="6DA15E20" w14:textId="5E61ADFF" w:rsidR="00D930D9" w:rsidRPr="00A058B6" w:rsidRDefault="00FE4AAA" w:rsidP="00D930D9">
      <w:pPr>
        <w:pStyle w:val="subsection2"/>
      </w:pPr>
      <w:r w:rsidRPr="00A058B6">
        <w:rPr>
          <w:position w:val="-32"/>
        </w:rPr>
        <w:object w:dxaOrig="6800" w:dyaOrig="1260" w14:anchorId="0C246B61">
          <v:shape id="_x0000_i1040" type="#_x0000_t75" alt="Start formula start fraction open bracket open bracket Adjusted base amount minus Initial lump sum close bracket times Proportion close bracket times Commutation factor for the interest times Transition factor over Pension valuation factor for the interest end fraction end formula" style="width:340.3pt;height:63.3pt;mso-position-horizontal:absolute" o:ole="">
            <v:imagedata r:id="rId54" o:title=""/>
          </v:shape>
          <o:OLEObject Type="Embed" ProgID="Equation.DSMT4" ShapeID="_x0000_i1040" DrawAspect="Content" ObjectID="_1801634269" r:id="rId55"/>
        </w:object>
      </w:r>
    </w:p>
    <w:p w14:paraId="62A4E610" w14:textId="77777777" w:rsidR="00D930D9" w:rsidRPr="00A058B6" w:rsidRDefault="00D930D9" w:rsidP="00D930D9">
      <w:pPr>
        <w:pStyle w:val="subsection2"/>
      </w:pPr>
      <w:r w:rsidRPr="00A058B6">
        <w:t>where:</w:t>
      </w:r>
    </w:p>
    <w:p w14:paraId="6B1AD824" w14:textId="1BD56DFE" w:rsidR="00D930D9" w:rsidRPr="00A058B6" w:rsidRDefault="00D930D9" w:rsidP="00D930D9">
      <w:pPr>
        <w:pStyle w:val="Definition"/>
      </w:pPr>
      <w:r w:rsidRPr="00A058B6">
        <w:rPr>
          <w:b/>
          <w:i/>
        </w:rPr>
        <w:t>adjusted base amount</w:t>
      </w:r>
      <w:r w:rsidRPr="00A058B6">
        <w:t xml:space="preserve"> </w:t>
      </w:r>
      <w:r w:rsidR="001F386F">
        <w:t>means</w:t>
      </w:r>
      <w:r w:rsidRPr="00A058B6">
        <w:t xml:space="preserve"> the amount of the adjusted base amount applicable to the non</w:t>
      </w:r>
      <w:r w:rsidR="001952B3">
        <w:noBreakHyphen/>
      </w:r>
      <w:r w:rsidRPr="00A058B6">
        <w:t>member spouse for the interest at the date the first splittable payment became payable in respect of the superannuation interest</w:t>
      </w:r>
      <w:r w:rsidR="00D7157D">
        <w:t>.</w:t>
      </w:r>
    </w:p>
    <w:p w14:paraId="7FE2BF3B" w14:textId="4735C54A" w:rsidR="00D930D9" w:rsidRPr="00A058B6" w:rsidRDefault="00D930D9" w:rsidP="00D930D9">
      <w:pPr>
        <w:pStyle w:val="Definition"/>
      </w:pPr>
      <w:r w:rsidRPr="00A058B6">
        <w:rPr>
          <w:b/>
          <w:i/>
        </w:rPr>
        <w:t>initial lump sum</w:t>
      </w:r>
      <w:r w:rsidRPr="00A058B6">
        <w:t xml:space="preserve"> </w:t>
      </w:r>
      <w:r w:rsidR="001F386F">
        <w:t>means</w:t>
      </w:r>
      <w:r w:rsidRPr="00A058B6">
        <w:t xml:space="preserve"> the amount of the lump sum paid to the non</w:t>
      </w:r>
      <w:r w:rsidR="001952B3">
        <w:noBreakHyphen/>
      </w:r>
      <w:r w:rsidRPr="00A058B6">
        <w:t>member spouse under paragraph </w:t>
      </w:r>
      <w:r w:rsidR="00485CC2">
        <w:t>81</w:t>
      </w:r>
      <w:r w:rsidRPr="00A058B6">
        <w:t>(2)(a)</w:t>
      </w:r>
      <w:r w:rsidR="00D7157D">
        <w:t>.</w:t>
      </w:r>
    </w:p>
    <w:p w14:paraId="38CF38D7" w14:textId="461997D3" w:rsidR="00D930D9" w:rsidRPr="00A058B6" w:rsidRDefault="00D930D9" w:rsidP="00D930D9">
      <w:pPr>
        <w:pStyle w:val="Definition"/>
      </w:pPr>
      <w:r w:rsidRPr="00A058B6">
        <w:rPr>
          <w:b/>
          <w:i/>
        </w:rPr>
        <w:t>proportion</w:t>
      </w:r>
      <w:r w:rsidRPr="00A058B6">
        <w:t xml:space="preserve"> </w:t>
      </w:r>
      <w:r w:rsidR="001F386F">
        <w:t>means</w:t>
      </w:r>
      <w:r w:rsidRPr="00A058B6">
        <w:t xml:space="preserve"> the proportion of the adjusted base amount that the non</w:t>
      </w:r>
      <w:r w:rsidR="001952B3">
        <w:noBreakHyphen/>
      </w:r>
      <w:r w:rsidRPr="00A058B6">
        <w:t xml:space="preserve">member spouse has requested under </w:t>
      </w:r>
      <w:r w:rsidR="00453C86">
        <w:t>paragraph (</w:t>
      </w:r>
      <w:r w:rsidRPr="00A058B6">
        <w:t>1)(c) to be paid, as a lump sum, to the non</w:t>
      </w:r>
      <w:r w:rsidR="001952B3">
        <w:noBreakHyphen/>
      </w:r>
      <w:r w:rsidRPr="00A058B6">
        <w:t>member spouse</w:t>
      </w:r>
      <w:r w:rsidR="00D7157D">
        <w:t>.</w:t>
      </w:r>
    </w:p>
    <w:p w14:paraId="64AB9175" w14:textId="77777777" w:rsidR="00D63B87" w:rsidRDefault="00D63B87" w:rsidP="00D63B87">
      <w:pPr>
        <w:pStyle w:val="Definition"/>
        <w:rPr>
          <w:bCs/>
          <w:iCs/>
        </w:rPr>
      </w:pPr>
      <w:r>
        <w:rPr>
          <w:b/>
          <w:i/>
        </w:rPr>
        <w:t>transition factor</w:t>
      </w:r>
      <w:r>
        <w:rPr>
          <w:bCs/>
          <w:iCs/>
        </w:rPr>
        <w:t xml:space="preserve"> means:</w:t>
      </w:r>
    </w:p>
    <w:p w14:paraId="39FDD289" w14:textId="528C10EE"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5EFDCBC6" w14:textId="06BBF6D5"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497F466B" w14:textId="77777777" w:rsidR="00D63B87" w:rsidRDefault="00D63B87" w:rsidP="00D63B87">
      <w:pPr>
        <w:pStyle w:val="paragraphsub"/>
      </w:pPr>
      <w:r>
        <w:tab/>
        <w:t>(i)</w:t>
      </w:r>
      <w:r>
        <w:tab/>
        <w:t>as a pension for the life of the member spouse; but</w:t>
      </w:r>
    </w:p>
    <w:p w14:paraId="32BD4865" w14:textId="77777777" w:rsidR="00D63B87" w:rsidRPr="00B636FD" w:rsidRDefault="00D63B87" w:rsidP="00D63B87">
      <w:pPr>
        <w:pStyle w:val="paragraphsub"/>
      </w:pPr>
      <w:r>
        <w:tab/>
        <w:t>(ii)</w:t>
      </w:r>
      <w:r>
        <w:tab/>
        <w:t>not due to the member spouse’s invalidity;</w:t>
      </w:r>
    </w:p>
    <w:p w14:paraId="228F1625" w14:textId="062840A5"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66515FE8" w14:textId="319ED404" w:rsidR="00D63B87" w:rsidRDefault="00D63B87" w:rsidP="00D63B87">
      <w:pPr>
        <w:pStyle w:val="paragraph"/>
      </w:pPr>
      <w:r>
        <w:tab/>
        <w:t>(c)</w:t>
      </w:r>
      <w:r>
        <w:tab/>
        <w:t xml:space="preserve">if neither </w:t>
      </w:r>
      <w:r w:rsidR="00453C86">
        <w:t>paragraph (</w:t>
      </w:r>
      <w:r>
        <w:t>a) nor (b) applies—1.</w:t>
      </w:r>
    </w:p>
    <w:p w14:paraId="00C45412" w14:textId="073F50DD"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06D9E05A" w14:textId="52118C3F" w:rsidR="00D930D9" w:rsidRPr="00A058B6" w:rsidRDefault="00D930D9" w:rsidP="00D930D9">
      <w:pPr>
        <w:pStyle w:val="subsection"/>
      </w:pPr>
      <w:r w:rsidRPr="00A058B6">
        <w:tab/>
        <w:t>(6)</w:t>
      </w:r>
      <w:r w:rsidRPr="00A058B6">
        <w:tab/>
        <w:t xml:space="preserve">For the purposes of </w:t>
      </w:r>
      <w:r w:rsidR="00453C86">
        <w:t>paragraph (</w:t>
      </w:r>
      <w:r w:rsidRPr="00A058B6">
        <w:t>4)(c), the amount is equal to:</w:t>
      </w:r>
    </w:p>
    <w:p w14:paraId="6F809DCE" w14:textId="752F5ABD" w:rsidR="00D930D9" w:rsidRPr="00A058B6" w:rsidRDefault="00140DA4" w:rsidP="00D930D9">
      <w:pPr>
        <w:pStyle w:val="subsection2"/>
      </w:pPr>
      <w:r w:rsidRPr="00A058B6">
        <w:rPr>
          <w:position w:val="-36"/>
        </w:rPr>
        <w:object w:dxaOrig="6640" w:dyaOrig="1380" w14:anchorId="6C382454">
          <v:shape id="_x0000_i1041" type="#_x0000_t75" alt="Start formula start fraction open bracket open bracket Adjusted base amount minus Initial lump sum close bracket times open bracket 1 minus Proportion close bracket close bracket times Splittable payment amount times Transition factor over Remaining value of the superannuation interest end fraction end formula" style="width:333.85pt;height:67.4pt;mso-position-horizontal:absolute" o:ole="">
            <v:imagedata r:id="rId56" o:title=""/>
          </v:shape>
          <o:OLEObject Type="Embed" ProgID="Equation.DSMT4" ShapeID="_x0000_i1041" DrawAspect="Content" ObjectID="_1801634270" r:id="rId57"/>
        </w:object>
      </w:r>
    </w:p>
    <w:p w14:paraId="3432ED9F" w14:textId="77777777" w:rsidR="00D930D9" w:rsidRPr="00A058B6" w:rsidRDefault="00D930D9" w:rsidP="00D930D9">
      <w:pPr>
        <w:pStyle w:val="subsection2"/>
      </w:pPr>
      <w:r w:rsidRPr="00A058B6">
        <w:t>where:</w:t>
      </w:r>
    </w:p>
    <w:p w14:paraId="20D2BFB6" w14:textId="2E44BC71" w:rsidR="00D930D9" w:rsidRPr="00A058B6" w:rsidRDefault="00D930D9" w:rsidP="00D930D9">
      <w:pPr>
        <w:pStyle w:val="Definition"/>
      </w:pPr>
      <w:r w:rsidRPr="00A058B6">
        <w:rPr>
          <w:b/>
          <w:i/>
        </w:rPr>
        <w:t>adjusted base amount</w:t>
      </w:r>
      <w:r w:rsidRPr="00A058B6">
        <w:t xml:space="preserve"> </w:t>
      </w:r>
      <w:r w:rsidR="001F386F">
        <w:t>means</w:t>
      </w:r>
      <w:r w:rsidRPr="00A058B6">
        <w:t xml:space="preserve"> the amount of the adjusted base amount applicable to the non</w:t>
      </w:r>
      <w:r w:rsidR="001952B3">
        <w:noBreakHyphen/>
      </w:r>
      <w:r w:rsidRPr="00A058B6">
        <w:t>member spouse for the interest at the date the first splittable payment became payable in respect of the superannuation interest</w:t>
      </w:r>
      <w:r w:rsidR="00D7157D">
        <w:t>.</w:t>
      </w:r>
    </w:p>
    <w:p w14:paraId="50115F84" w14:textId="37D5FC1B" w:rsidR="00D930D9" w:rsidRPr="00A058B6" w:rsidRDefault="00D930D9" w:rsidP="00D930D9">
      <w:pPr>
        <w:pStyle w:val="Definition"/>
      </w:pPr>
      <w:r w:rsidRPr="00A058B6">
        <w:rPr>
          <w:b/>
          <w:i/>
        </w:rPr>
        <w:t>initial lump sum</w:t>
      </w:r>
      <w:r w:rsidRPr="00A058B6">
        <w:t xml:space="preserve"> </w:t>
      </w:r>
      <w:r w:rsidR="001F386F">
        <w:t>means</w:t>
      </w:r>
      <w:r w:rsidRPr="00A058B6">
        <w:t xml:space="preserve"> the amount of the lump sum paid to the non</w:t>
      </w:r>
      <w:r w:rsidR="001952B3">
        <w:noBreakHyphen/>
      </w:r>
      <w:r w:rsidRPr="00A058B6">
        <w:t>member spouse under paragraph </w:t>
      </w:r>
      <w:r w:rsidR="00485CC2">
        <w:t>81</w:t>
      </w:r>
      <w:r w:rsidRPr="00A058B6">
        <w:t>(2)(a)</w:t>
      </w:r>
      <w:r w:rsidR="00D7157D">
        <w:t>.</w:t>
      </w:r>
    </w:p>
    <w:p w14:paraId="458A1FD9" w14:textId="6D799EE6" w:rsidR="00D930D9" w:rsidRPr="00A058B6" w:rsidRDefault="00D930D9" w:rsidP="00D930D9">
      <w:pPr>
        <w:pStyle w:val="Definition"/>
      </w:pPr>
      <w:r w:rsidRPr="00A058B6">
        <w:rPr>
          <w:b/>
          <w:i/>
        </w:rPr>
        <w:t>proportion</w:t>
      </w:r>
      <w:r w:rsidRPr="00A058B6">
        <w:t xml:space="preserve"> </w:t>
      </w:r>
      <w:r w:rsidR="001F386F">
        <w:t>means</w:t>
      </w:r>
      <w:r w:rsidRPr="00A058B6">
        <w:t xml:space="preserve"> the proportion of the adjusted base amount that the non</w:t>
      </w:r>
      <w:r w:rsidR="001952B3">
        <w:noBreakHyphen/>
      </w:r>
      <w:r w:rsidRPr="00A058B6">
        <w:t xml:space="preserve">member spouse has requested under </w:t>
      </w:r>
      <w:r w:rsidR="00453C86">
        <w:t>paragraph (</w:t>
      </w:r>
      <w:r w:rsidRPr="00A058B6">
        <w:t>1)(c) to be paid, as a lump sum, to the non</w:t>
      </w:r>
      <w:r w:rsidR="001952B3">
        <w:noBreakHyphen/>
      </w:r>
      <w:r w:rsidRPr="00A058B6">
        <w:t>member spouse</w:t>
      </w:r>
      <w:r w:rsidR="00D7157D">
        <w:t>.</w:t>
      </w:r>
    </w:p>
    <w:p w14:paraId="5EF499F4" w14:textId="77777777" w:rsidR="00D930D9" w:rsidRPr="00A058B6" w:rsidRDefault="00D930D9" w:rsidP="00D930D9">
      <w:pPr>
        <w:pStyle w:val="Definition"/>
      </w:pPr>
      <w:r w:rsidRPr="00A058B6">
        <w:rPr>
          <w:b/>
          <w:i/>
        </w:rPr>
        <w:t>splittable payment amount</w:t>
      </w:r>
      <w:r w:rsidRPr="00A058B6">
        <w:t xml:space="preserve"> </w:t>
      </w:r>
      <w:r w:rsidR="001F386F">
        <w:t>means</w:t>
      </w:r>
      <w:r w:rsidRPr="00A058B6">
        <w:t>:</w:t>
      </w:r>
    </w:p>
    <w:p w14:paraId="68C3027A" w14:textId="2306C520" w:rsidR="00D930D9" w:rsidRPr="00A058B6" w:rsidRDefault="00D930D9" w:rsidP="00D930D9">
      <w:pPr>
        <w:pStyle w:val="paragraph"/>
      </w:pPr>
      <w:r w:rsidRPr="00A058B6">
        <w:tab/>
        <w:t>(a)</w:t>
      </w:r>
      <w:r w:rsidRPr="00A058B6">
        <w:tab/>
        <w:t>if under sub</w:t>
      </w:r>
      <w:r w:rsidR="00453C86">
        <w:t>paragraph (</w:t>
      </w:r>
      <w:r w:rsidRPr="00A058B6">
        <w:t>4)(c)(i) the member’s lump sum exceeds the minimum lump sum—the amount of the excess; or</w:t>
      </w:r>
    </w:p>
    <w:p w14:paraId="1C42DE2F" w14:textId="05C7F2F2" w:rsidR="00D930D9" w:rsidRPr="00A058B6" w:rsidRDefault="00D930D9" w:rsidP="00D930D9">
      <w:pPr>
        <w:pStyle w:val="paragraph"/>
      </w:pPr>
      <w:r w:rsidRPr="00A058B6">
        <w:tab/>
        <w:t>(b)</w:t>
      </w:r>
      <w:r w:rsidRPr="00A058B6">
        <w:tab/>
        <w:t>the amount of the other splittable payment (see sub</w:t>
      </w:r>
      <w:r w:rsidR="00453C86">
        <w:t>paragraph (</w:t>
      </w:r>
      <w:r w:rsidRPr="00A058B6">
        <w:t>4)(c)(ii))</w:t>
      </w:r>
      <w:r w:rsidR="00D7157D">
        <w:t>.</w:t>
      </w:r>
    </w:p>
    <w:p w14:paraId="5AD938A5" w14:textId="77777777" w:rsidR="00D63B87" w:rsidRDefault="00D63B87" w:rsidP="00D63B87">
      <w:pPr>
        <w:pStyle w:val="Definition"/>
        <w:rPr>
          <w:bCs/>
          <w:iCs/>
        </w:rPr>
      </w:pPr>
      <w:r>
        <w:rPr>
          <w:b/>
          <w:i/>
        </w:rPr>
        <w:t>transition factor</w:t>
      </w:r>
      <w:r>
        <w:rPr>
          <w:bCs/>
          <w:iCs/>
        </w:rPr>
        <w:t xml:space="preserve"> means:</w:t>
      </w:r>
    </w:p>
    <w:p w14:paraId="5982AB9B" w14:textId="5A7A18B7"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0B4252E3" w14:textId="7789BBBD"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0A7278E1" w14:textId="77777777" w:rsidR="00D63B87" w:rsidRDefault="00D63B87" w:rsidP="00D63B87">
      <w:pPr>
        <w:pStyle w:val="paragraphsub"/>
      </w:pPr>
      <w:r>
        <w:tab/>
        <w:t>(i)</w:t>
      </w:r>
      <w:r>
        <w:tab/>
        <w:t>as a pension for the life of the member spouse; but</w:t>
      </w:r>
    </w:p>
    <w:p w14:paraId="6493FBDF" w14:textId="77777777" w:rsidR="00D63B87" w:rsidRPr="00B636FD" w:rsidRDefault="00D63B87" w:rsidP="00D63B87">
      <w:pPr>
        <w:pStyle w:val="paragraphsub"/>
      </w:pPr>
      <w:r>
        <w:tab/>
        <w:t>(ii)</w:t>
      </w:r>
      <w:r>
        <w:tab/>
        <w:t>not due to the member spouse’s invalidity;</w:t>
      </w:r>
    </w:p>
    <w:p w14:paraId="1C327354" w14:textId="549ADE13"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567F24C5" w14:textId="269BBA8E" w:rsidR="00D63B87" w:rsidRDefault="00D63B87" w:rsidP="00D63B87">
      <w:pPr>
        <w:pStyle w:val="paragraph"/>
      </w:pPr>
      <w:r>
        <w:tab/>
        <w:t>(c)</w:t>
      </w:r>
      <w:r>
        <w:tab/>
        <w:t xml:space="preserve">if neither </w:t>
      </w:r>
      <w:r w:rsidR="00453C86">
        <w:t>paragraph (</w:t>
      </w:r>
      <w:r>
        <w:t>a) nor (b) applies—1.</w:t>
      </w:r>
    </w:p>
    <w:p w14:paraId="4C527F13" w14:textId="264F3792" w:rsidR="00D930D9" w:rsidRPr="00A058B6" w:rsidRDefault="00D930D9" w:rsidP="00D930D9">
      <w:pPr>
        <w:pStyle w:val="Definition"/>
      </w:pPr>
      <w:r w:rsidRPr="00A058B6">
        <w:rPr>
          <w:b/>
          <w:i/>
        </w:rPr>
        <w:t>remaining value of the superannuation interest</w:t>
      </w:r>
      <w:r w:rsidRPr="00A058B6">
        <w:t xml:space="preserve"> </w:t>
      </w:r>
      <w:r w:rsidR="001F386F">
        <w:t>means</w:t>
      </w:r>
      <w:r w:rsidRPr="00A058B6">
        <w:t xml:space="preserve"> the remaining value of the superannuation interest after the payment of the lump sums to the non</w:t>
      </w:r>
      <w:r w:rsidR="001952B3">
        <w:noBreakHyphen/>
      </w:r>
      <w:r w:rsidRPr="00A058B6">
        <w:t>member spouse under paragraph </w:t>
      </w:r>
      <w:r w:rsidR="00485CC2">
        <w:t>81</w:t>
      </w:r>
      <w:r w:rsidRPr="00A058B6">
        <w:t xml:space="preserve">(2)(a) and </w:t>
      </w:r>
      <w:r w:rsidR="00453C86">
        <w:t>paragraph (</w:t>
      </w:r>
      <w:r w:rsidRPr="00A058B6">
        <w:t xml:space="preserve">4)(c) of this section, calculated under </w:t>
      </w:r>
      <w:r w:rsidR="00A52DA5">
        <w:t>subsection (</w:t>
      </w:r>
      <w:r w:rsidRPr="00A058B6">
        <w:t>7)</w:t>
      </w:r>
      <w:r>
        <w:t xml:space="preserve"> of this section</w:t>
      </w:r>
      <w:r w:rsidR="00D7157D">
        <w:t>.</w:t>
      </w:r>
    </w:p>
    <w:p w14:paraId="13E1D91E" w14:textId="35DC59EE" w:rsidR="00D930D9" w:rsidRDefault="00D930D9" w:rsidP="00D930D9">
      <w:pPr>
        <w:pStyle w:val="subsection"/>
      </w:pPr>
      <w:r w:rsidRPr="00A058B6">
        <w:tab/>
        <w:t>(7)</w:t>
      </w:r>
      <w:r w:rsidRPr="00A058B6">
        <w:tab/>
        <w:t xml:space="preserve">For the purposes of </w:t>
      </w:r>
      <w:r w:rsidR="00A52DA5">
        <w:t>subsection (</w:t>
      </w:r>
      <w:r w:rsidRPr="00A058B6">
        <w:t>6), the remaining value of the superannuation interest after the payment of the lump sums to the non</w:t>
      </w:r>
      <w:r w:rsidR="001952B3">
        <w:noBreakHyphen/>
      </w:r>
      <w:r w:rsidRPr="00A058B6">
        <w:t>member spouse under paragraph </w:t>
      </w:r>
      <w:r w:rsidR="00485CC2">
        <w:t>81</w:t>
      </w:r>
      <w:r w:rsidRPr="00A058B6">
        <w:t xml:space="preserve">(2)(a) and </w:t>
      </w:r>
      <w:r w:rsidR="00453C86">
        <w:t>paragraph (</w:t>
      </w:r>
      <w:r w:rsidRPr="00A058B6">
        <w:t>4)(c) of this section is the amount equal to:</w:t>
      </w:r>
    </w:p>
    <w:p w14:paraId="5D887F0E" w14:textId="1503727A" w:rsidR="00EC1100" w:rsidRPr="0055576B" w:rsidRDefault="00140DA4" w:rsidP="0055576B">
      <w:pPr>
        <w:pStyle w:val="subsection2"/>
      </w:pPr>
      <w:r w:rsidRPr="00496898">
        <w:rPr>
          <w:position w:val="-68"/>
        </w:rPr>
        <w:object w:dxaOrig="5820" w:dyaOrig="1460" w14:anchorId="7E3DB9BC">
          <v:shape id="_x0000_i1042" type="#_x0000_t75" alt="Start formula Deemed value of the interest were it in payment phase at adjusted date minus Initial lump sum minus open bracket start fraction Other lump sum times Pension valuation factor for the interest over Commutation factor for the interest times Transition factor end fraction close bracket end formula" style="width:291.65pt;height:72.9pt" o:ole="">
            <v:imagedata r:id="rId58" o:title=""/>
          </v:shape>
          <o:OLEObject Type="Embed" ProgID="Equation.DSMT4" ShapeID="_x0000_i1042" DrawAspect="Content" ObjectID="_1801634271" r:id="rId59"/>
        </w:object>
      </w:r>
    </w:p>
    <w:p w14:paraId="3E154222" w14:textId="77777777" w:rsidR="00D930D9" w:rsidRPr="00A058B6" w:rsidRDefault="00D930D9" w:rsidP="00D930D9">
      <w:pPr>
        <w:pStyle w:val="subsection2"/>
      </w:pPr>
      <w:r w:rsidRPr="00A058B6">
        <w:t>where:</w:t>
      </w:r>
    </w:p>
    <w:p w14:paraId="5096F16F" w14:textId="0C765624" w:rsidR="00293BD8" w:rsidRPr="00A058B6" w:rsidRDefault="00293BD8" w:rsidP="00293BD8">
      <w:pPr>
        <w:pStyle w:val="Definition"/>
      </w:pPr>
      <w:r w:rsidRPr="00A058B6">
        <w:rPr>
          <w:b/>
          <w:bCs/>
          <w:i/>
          <w:iCs/>
        </w:rPr>
        <w:t>deemed value of the interest were it in payment phase at adjusted date</w:t>
      </w:r>
      <w:r w:rsidRPr="00A058B6">
        <w:t xml:space="preserve"> </w:t>
      </w:r>
      <w:r w:rsidR="006568FD">
        <w:t>means</w:t>
      </w:r>
      <w:r w:rsidRPr="00A058B6">
        <w:t xml:space="preserve"> the amount </w:t>
      </w:r>
      <w:r>
        <w:t xml:space="preserve">that would be </w:t>
      </w:r>
      <w:r w:rsidRPr="00A058B6">
        <w:t xml:space="preserve">calculated under </w:t>
      </w:r>
      <w:r w:rsidR="00CB78B9">
        <w:t>section 6</w:t>
      </w:r>
      <w:r w:rsidR="00485CC2">
        <w:t>4</w:t>
      </w:r>
      <w:r w:rsidRPr="00A058B6">
        <w:t xml:space="preserve"> for the</w:t>
      </w:r>
      <w:r>
        <w:t xml:space="preserve"> superannuation</w:t>
      </w:r>
      <w:r w:rsidRPr="00A058B6">
        <w:t xml:space="preserve"> interest if references in </w:t>
      </w:r>
      <w:r w:rsidR="00453C86">
        <w:t>Division 2</w:t>
      </w:r>
      <w:r w:rsidRPr="00A058B6">
        <w:t xml:space="preserve"> of Part </w:t>
      </w:r>
      <w:r w:rsidR="00F47A4A">
        <w:t>6</w:t>
      </w:r>
      <w:r w:rsidRPr="00A058B6">
        <w:t xml:space="preserve"> to the relevant date were references to the date the first splittable payment became payable in respect of the superannuation interest</w:t>
      </w:r>
      <w:r w:rsidR="00D7157D">
        <w:t>.</w:t>
      </w:r>
    </w:p>
    <w:p w14:paraId="49B91C6B" w14:textId="0D54F8AB" w:rsidR="00D930D9" w:rsidRPr="00A058B6" w:rsidRDefault="00D930D9" w:rsidP="00D930D9">
      <w:pPr>
        <w:pStyle w:val="Definition"/>
      </w:pPr>
      <w:r w:rsidRPr="00A058B6">
        <w:rPr>
          <w:b/>
          <w:i/>
        </w:rPr>
        <w:t>initial lump sum</w:t>
      </w:r>
      <w:r w:rsidRPr="00A058B6">
        <w:t xml:space="preserve"> </w:t>
      </w:r>
      <w:r w:rsidR="00137B28">
        <w:t>means</w:t>
      </w:r>
      <w:r w:rsidRPr="00A058B6">
        <w:t xml:space="preserve"> the amount of the lump sum paid to the non</w:t>
      </w:r>
      <w:r w:rsidR="001952B3">
        <w:noBreakHyphen/>
      </w:r>
      <w:r w:rsidRPr="00A058B6">
        <w:t>member spouse under paragraph </w:t>
      </w:r>
      <w:r w:rsidR="00485CC2">
        <w:t>81</w:t>
      </w:r>
      <w:r w:rsidRPr="00A058B6">
        <w:t>(2)(a)</w:t>
      </w:r>
      <w:r w:rsidR="00D7157D">
        <w:t>.</w:t>
      </w:r>
    </w:p>
    <w:p w14:paraId="5D8420B1" w14:textId="612B3588" w:rsidR="00D930D9" w:rsidRPr="00A058B6" w:rsidRDefault="00D930D9" w:rsidP="00D930D9">
      <w:pPr>
        <w:pStyle w:val="Definition"/>
      </w:pPr>
      <w:r w:rsidRPr="00A058B6">
        <w:rPr>
          <w:b/>
          <w:i/>
        </w:rPr>
        <w:t>other lump sum</w:t>
      </w:r>
      <w:r w:rsidRPr="00A058B6">
        <w:t xml:space="preserve"> </w:t>
      </w:r>
      <w:r w:rsidR="00137B28">
        <w:t>means</w:t>
      </w:r>
      <w:r w:rsidRPr="00A058B6">
        <w:t xml:space="preserve"> the amount of the lump sum paid to the non</w:t>
      </w:r>
      <w:r w:rsidR="001952B3">
        <w:noBreakHyphen/>
      </w:r>
      <w:r w:rsidRPr="00A058B6">
        <w:t xml:space="preserve">member spouse under </w:t>
      </w:r>
      <w:r w:rsidR="00453C86">
        <w:t>paragraph (</w:t>
      </w:r>
      <w:r w:rsidRPr="00A058B6">
        <w:t>4)(b)</w:t>
      </w:r>
      <w:r w:rsidR="00D7157D">
        <w:t>.</w:t>
      </w:r>
    </w:p>
    <w:p w14:paraId="66B28FCD" w14:textId="77777777" w:rsidR="00D63B87" w:rsidRDefault="00D63B87" w:rsidP="00D63B87">
      <w:pPr>
        <w:pStyle w:val="Definition"/>
        <w:rPr>
          <w:bCs/>
          <w:iCs/>
        </w:rPr>
      </w:pPr>
      <w:r>
        <w:rPr>
          <w:b/>
          <w:i/>
        </w:rPr>
        <w:t>transition factor</w:t>
      </w:r>
      <w:r>
        <w:rPr>
          <w:bCs/>
          <w:iCs/>
        </w:rPr>
        <w:t xml:space="preserve"> means:</w:t>
      </w:r>
    </w:p>
    <w:p w14:paraId="04FE5159" w14:textId="70AF3720"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1BFBB618" w14:textId="45F5E0B4"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2285797B" w14:textId="77777777" w:rsidR="00D63B87" w:rsidRDefault="00D63B87" w:rsidP="00D63B87">
      <w:pPr>
        <w:pStyle w:val="paragraphsub"/>
      </w:pPr>
      <w:r>
        <w:tab/>
        <w:t>(i)</w:t>
      </w:r>
      <w:r>
        <w:tab/>
        <w:t>as a pension for the life of the member spouse; but</w:t>
      </w:r>
    </w:p>
    <w:p w14:paraId="75923773" w14:textId="77777777" w:rsidR="00D63B87" w:rsidRPr="00B636FD" w:rsidRDefault="00D63B87" w:rsidP="00D63B87">
      <w:pPr>
        <w:pStyle w:val="paragraphsub"/>
      </w:pPr>
      <w:r>
        <w:tab/>
        <w:t>(ii)</w:t>
      </w:r>
      <w:r>
        <w:tab/>
        <w:t>not due to the member spouse’s invalidity;</w:t>
      </w:r>
    </w:p>
    <w:p w14:paraId="056639D5" w14:textId="2AAD385A"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3DC54804" w14:textId="7737E57F" w:rsidR="00D63B87" w:rsidRDefault="00D63B87" w:rsidP="00D63B87">
      <w:pPr>
        <w:pStyle w:val="paragraph"/>
      </w:pPr>
      <w:r>
        <w:tab/>
        <w:t>(c)</w:t>
      </w:r>
      <w:r>
        <w:tab/>
        <w:t xml:space="preserve">if neither </w:t>
      </w:r>
      <w:r w:rsidR="00453C86">
        <w:t>paragraph (</w:t>
      </w:r>
      <w:r>
        <w:t>a) nor (b) applies—1.</w:t>
      </w:r>
    </w:p>
    <w:p w14:paraId="30E70EC1" w14:textId="0367A21C"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2B2DBD88" w14:textId="77777777" w:rsidR="00D930D9" w:rsidRPr="00A058B6" w:rsidRDefault="00D930D9" w:rsidP="00D930D9">
      <w:pPr>
        <w:pStyle w:val="ActHead4"/>
      </w:pPr>
      <w:bookmarkStart w:id="123" w:name="_Toc188350608"/>
      <w:r w:rsidRPr="00423C34">
        <w:rPr>
          <w:rStyle w:val="CharSubdNo"/>
        </w:rPr>
        <w:t>Subdivision C</w:t>
      </w:r>
      <w:r w:rsidRPr="00A058B6">
        <w:t>—</w:t>
      </w:r>
      <w:r w:rsidRPr="00423C34">
        <w:rPr>
          <w:rStyle w:val="CharSubdText"/>
        </w:rPr>
        <w:t>Optional lump sum relating to the whole or part of the adjusted base amount</w:t>
      </w:r>
      <w:bookmarkEnd w:id="123"/>
    </w:p>
    <w:p w14:paraId="14CCE5D2" w14:textId="22D57918" w:rsidR="00D930D9" w:rsidRPr="00A058B6" w:rsidRDefault="00485CC2" w:rsidP="00D930D9">
      <w:pPr>
        <w:pStyle w:val="ActHead5"/>
      </w:pPr>
      <w:bookmarkStart w:id="124" w:name="_Toc188350609"/>
      <w:r w:rsidRPr="00423C34">
        <w:rPr>
          <w:rStyle w:val="CharSectno"/>
        </w:rPr>
        <w:t>83</w:t>
      </w:r>
      <w:r w:rsidR="00D930D9" w:rsidRPr="00A058B6">
        <w:t xml:space="preserve">  Amount to be paid to non</w:t>
      </w:r>
      <w:r w:rsidR="001952B3">
        <w:noBreakHyphen/>
      </w:r>
      <w:r w:rsidR="00D930D9" w:rsidRPr="00A058B6">
        <w:t>member spouse—optional lump sum relating to the whole of the adjusted base amount</w:t>
      </w:r>
      <w:bookmarkEnd w:id="124"/>
    </w:p>
    <w:p w14:paraId="139973D9" w14:textId="77777777" w:rsidR="00D930D9" w:rsidRPr="00A058B6" w:rsidRDefault="00D930D9" w:rsidP="00D930D9">
      <w:pPr>
        <w:pStyle w:val="subsection"/>
      </w:pPr>
      <w:r w:rsidRPr="00A058B6">
        <w:tab/>
        <w:t>(1)</w:t>
      </w:r>
      <w:r w:rsidRPr="00A058B6">
        <w:tab/>
        <w:t>This section applies for the superannuation interest if:</w:t>
      </w:r>
    </w:p>
    <w:p w14:paraId="00FDF50C" w14:textId="77777777" w:rsidR="00D930D9" w:rsidRPr="00A058B6" w:rsidRDefault="00D930D9" w:rsidP="00D930D9">
      <w:pPr>
        <w:pStyle w:val="paragraph"/>
      </w:pPr>
      <w:r w:rsidRPr="00A058B6">
        <w:tab/>
        <w:t>(a)</w:t>
      </w:r>
      <w:r w:rsidRPr="00A058B6">
        <w:tab/>
        <w:t xml:space="preserve">benefits in respect of the interest are not payable as </w:t>
      </w:r>
      <w:r w:rsidRPr="00A058B6">
        <w:rPr>
          <w:color w:val="000000"/>
        </w:rPr>
        <w:t>an allocated pension or a market linked pension;</w:t>
      </w:r>
      <w:r w:rsidRPr="00A058B6">
        <w:t xml:space="preserve"> and</w:t>
      </w:r>
    </w:p>
    <w:p w14:paraId="29AE7D17" w14:textId="77777777" w:rsidR="00D930D9" w:rsidRPr="00331ED3" w:rsidRDefault="00D930D9" w:rsidP="00D930D9">
      <w:pPr>
        <w:pStyle w:val="paragraph"/>
      </w:pPr>
      <w:r w:rsidRPr="00A058B6">
        <w:tab/>
        <w:t>(b)</w:t>
      </w:r>
      <w:r w:rsidRPr="00A058B6">
        <w:tab/>
        <w:t>the member spouse or other person may, under the governing rules of the relevant eligible superannuation plan, choose (by way of a commutation of a pensio</w:t>
      </w:r>
      <w:r w:rsidRPr="00331ED3">
        <w:t>n or otherwise) to take a lump sum:</w:t>
      </w:r>
    </w:p>
    <w:p w14:paraId="2601A9E2" w14:textId="171EE27E" w:rsidR="00D930D9" w:rsidRPr="00A058B6" w:rsidRDefault="00D930D9" w:rsidP="00D930D9">
      <w:pPr>
        <w:pStyle w:val="paragraphsub"/>
      </w:pPr>
      <w:r w:rsidRPr="00331ED3">
        <w:tab/>
        <w:t>(i)</w:t>
      </w:r>
      <w:r w:rsidRPr="00331ED3">
        <w:tab/>
        <w:t>of an amount that is at least the adjusted base amount applicable to the non</w:t>
      </w:r>
      <w:r w:rsidR="001952B3">
        <w:noBreakHyphen/>
      </w:r>
      <w:r w:rsidRPr="00331ED3">
        <w:t>member spouse for the interest at the date the splittable payment becomes payable; a</w:t>
      </w:r>
      <w:r w:rsidRPr="00A058B6">
        <w:t>nd</w:t>
      </w:r>
    </w:p>
    <w:p w14:paraId="28DF0FDE" w14:textId="77777777" w:rsidR="00D930D9" w:rsidRPr="00A058B6" w:rsidRDefault="00D930D9" w:rsidP="00D930D9">
      <w:pPr>
        <w:pStyle w:val="paragraphsub"/>
      </w:pPr>
      <w:r w:rsidRPr="00A058B6">
        <w:tab/>
        <w:t>(ii)</w:t>
      </w:r>
      <w:r w:rsidRPr="00A058B6">
        <w:tab/>
        <w:t>without losing the right to take the remaining part of the benefits in respect of the interest as a pension; and</w:t>
      </w:r>
    </w:p>
    <w:p w14:paraId="107081CB" w14:textId="3C199137" w:rsidR="00D930D9" w:rsidRPr="00A058B6" w:rsidRDefault="00D930D9" w:rsidP="00D930D9">
      <w:pPr>
        <w:pStyle w:val="paragraph"/>
      </w:pPr>
      <w:r w:rsidRPr="00A058B6">
        <w:tab/>
        <w:t>(c)</w:t>
      </w:r>
      <w:r w:rsidRPr="00A058B6">
        <w:tab/>
        <w:t>the non</w:t>
      </w:r>
      <w:r w:rsidR="001952B3">
        <w:noBreakHyphen/>
      </w:r>
      <w:r w:rsidRPr="00A058B6">
        <w:t xml:space="preserve">member spouse has served a request, in accordance with Form 3 in </w:t>
      </w:r>
      <w:r w:rsidR="00453C86">
        <w:t>Schedule 1</w:t>
      </w:r>
      <w:r w:rsidRPr="00A058B6">
        <w:t>, on the trustee of the plan requesting that the non</w:t>
      </w:r>
      <w:r w:rsidR="001952B3">
        <w:noBreakHyphen/>
      </w:r>
      <w:r w:rsidRPr="00A058B6">
        <w:t>member spouse be paid, as a lump sum, the whole of that adjusted base amount</w:t>
      </w:r>
      <w:r w:rsidR="00D7157D">
        <w:t>.</w:t>
      </w:r>
    </w:p>
    <w:p w14:paraId="4730052D" w14:textId="77777777" w:rsidR="00D930D9" w:rsidRPr="00A058B6" w:rsidRDefault="00D930D9" w:rsidP="00D930D9">
      <w:pPr>
        <w:pStyle w:val="subsection"/>
      </w:pPr>
      <w:r w:rsidRPr="00A058B6">
        <w:tab/>
        <w:t>(2)</w:t>
      </w:r>
      <w:r w:rsidRPr="00A058B6">
        <w:tab/>
        <w:t>The member spouse must choose to be paid, as a lump sum, an amount equal to:</w:t>
      </w:r>
    </w:p>
    <w:p w14:paraId="184368ED" w14:textId="3B748C18" w:rsidR="00D930D9" w:rsidRPr="00A058B6" w:rsidRDefault="0098338C" w:rsidP="00D930D9">
      <w:pPr>
        <w:pStyle w:val="subsection2"/>
      </w:pPr>
      <w:r w:rsidRPr="00A058B6">
        <w:rPr>
          <w:position w:val="-32"/>
        </w:rPr>
        <w:object w:dxaOrig="6640" w:dyaOrig="760" w14:anchorId="0482FC10">
          <v:shape id="_x0000_i1043" type="#_x0000_t75" alt="Start formula start fraction Adjusted base amount times Commutation factor for the interest times Transition factor over Pension valuation factor for the interest end fraction end formula" style="width:337.05pt;height:35.75pt" o:ole="">
            <v:imagedata r:id="rId60" o:title=""/>
          </v:shape>
          <o:OLEObject Type="Embed" ProgID="Equation.DSMT4" ShapeID="_x0000_i1043" DrawAspect="Content" ObjectID="_1801634272" r:id="rId61"/>
        </w:object>
      </w:r>
    </w:p>
    <w:p w14:paraId="6D1D1886" w14:textId="77777777" w:rsidR="00D930D9" w:rsidRPr="00A058B6" w:rsidRDefault="00D930D9" w:rsidP="00D930D9">
      <w:pPr>
        <w:pStyle w:val="subsection2"/>
      </w:pPr>
      <w:r w:rsidRPr="00A058B6">
        <w:t>where:</w:t>
      </w:r>
    </w:p>
    <w:p w14:paraId="1042B103" w14:textId="51D5842B" w:rsidR="00D930D9" w:rsidRPr="00A058B6" w:rsidRDefault="00D930D9" w:rsidP="00D930D9">
      <w:pPr>
        <w:pStyle w:val="Definition"/>
      </w:pPr>
      <w:r w:rsidRPr="00A058B6">
        <w:rPr>
          <w:b/>
          <w:i/>
        </w:rPr>
        <w:t>adjusted base amount</w:t>
      </w:r>
      <w:r w:rsidRPr="00A058B6">
        <w:t xml:space="preserve"> </w:t>
      </w:r>
      <w:r w:rsidR="00137B28">
        <w:t>means</w:t>
      </w:r>
      <w:r w:rsidRPr="00A058B6">
        <w:t xml:space="preserve"> the amount of the adjusted base amount applicable to the non</w:t>
      </w:r>
      <w:r w:rsidR="001952B3">
        <w:noBreakHyphen/>
      </w:r>
      <w:r w:rsidRPr="00A058B6">
        <w:t>member spouse for the interest at the date the first splittable payment became payable in respect of the superannuation interest</w:t>
      </w:r>
      <w:r w:rsidR="00D7157D">
        <w:t>.</w:t>
      </w:r>
    </w:p>
    <w:p w14:paraId="54689EAA" w14:textId="77777777" w:rsidR="00D63B87" w:rsidRDefault="00D63B87" w:rsidP="00D63B87">
      <w:pPr>
        <w:pStyle w:val="Definition"/>
        <w:rPr>
          <w:bCs/>
          <w:iCs/>
        </w:rPr>
      </w:pPr>
      <w:r>
        <w:rPr>
          <w:b/>
          <w:i/>
        </w:rPr>
        <w:t>transition factor</w:t>
      </w:r>
      <w:r>
        <w:rPr>
          <w:bCs/>
          <w:iCs/>
        </w:rPr>
        <w:t xml:space="preserve"> means:</w:t>
      </w:r>
    </w:p>
    <w:p w14:paraId="2B83765C" w14:textId="72432CB9"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0CF276D8" w14:textId="71E90474"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4CC5F530" w14:textId="77777777" w:rsidR="00D63B87" w:rsidRDefault="00D63B87" w:rsidP="00D63B87">
      <w:pPr>
        <w:pStyle w:val="paragraphsub"/>
      </w:pPr>
      <w:r>
        <w:tab/>
        <w:t>(i)</w:t>
      </w:r>
      <w:r>
        <w:tab/>
        <w:t>as a pension for the life of the member spouse; but</w:t>
      </w:r>
    </w:p>
    <w:p w14:paraId="615C1F88" w14:textId="77777777" w:rsidR="00D63B87" w:rsidRPr="00B636FD" w:rsidRDefault="00D63B87" w:rsidP="00D63B87">
      <w:pPr>
        <w:pStyle w:val="paragraphsub"/>
      </w:pPr>
      <w:r>
        <w:tab/>
        <w:t>(ii)</w:t>
      </w:r>
      <w:r>
        <w:tab/>
        <w:t>not due to the member spouse’s invalidity;</w:t>
      </w:r>
    </w:p>
    <w:p w14:paraId="2632903B" w14:textId="3AC08D6B"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7CD3E984" w14:textId="677E8EFE" w:rsidR="00D63B87" w:rsidRDefault="00D63B87" w:rsidP="00D63B87">
      <w:pPr>
        <w:pStyle w:val="paragraph"/>
      </w:pPr>
      <w:r>
        <w:tab/>
        <w:t>(c)</w:t>
      </w:r>
      <w:r>
        <w:tab/>
        <w:t xml:space="preserve">if neither </w:t>
      </w:r>
      <w:r w:rsidR="00453C86">
        <w:t>paragraph (</w:t>
      </w:r>
      <w:r>
        <w:t>a) nor (b) applies—1.</w:t>
      </w:r>
    </w:p>
    <w:p w14:paraId="698D7BF5" w14:textId="268D1752"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73D944DC" w14:textId="2E3019F8" w:rsidR="00D930D9" w:rsidRPr="00A058B6" w:rsidRDefault="00D930D9" w:rsidP="00D930D9">
      <w:pPr>
        <w:pStyle w:val="subsection"/>
      </w:pPr>
      <w:r w:rsidRPr="00A058B6">
        <w:tab/>
        <w:t>(3)</w:t>
      </w:r>
      <w:r w:rsidRPr="00A058B6">
        <w:tab/>
        <w:t>The amount that the non</w:t>
      </w:r>
      <w:r w:rsidR="001952B3">
        <w:noBreakHyphen/>
      </w:r>
      <w:r w:rsidRPr="00A058B6">
        <w:t xml:space="preserve">member spouse is entitled to be paid in respect of the superannuation interest is the same as the amount calculated under </w:t>
      </w:r>
      <w:r w:rsidR="00A52DA5">
        <w:t>subsection (</w:t>
      </w:r>
      <w:r w:rsidRPr="00A058B6">
        <w:t>2)</w:t>
      </w:r>
      <w:r w:rsidR="00D7157D">
        <w:t>.</w:t>
      </w:r>
    </w:p>
    <w:p w14:paraId="7133AA79" w14:textId="563FD7E9" w:rsidR="00D930D9" w:rsidRPr="00A058B6" w:rsidRDefault="00D930D9" w:rsidP="00D930D9">
      <w:pPr>
        <w:pStyle w:val="subsection"/>
      </w:pPr>
      <w:r w:rsidRPr="00A058B6">
        <w:tab/>
        <w:t>(4)</w:t>
      </w:r>
      <w:r w:rsidRPr="00A058B6">
        <w:tab/>
        <w:t>The non</w:t>
      </w:r>
      <w:r w:rsidR="001952B3">
        <w:noBreakHyphen/>
      </w:r>
      <w:r w:rsidRPr="00A058B6">
        <w:t>member spouse is not entitled to be paid any amount from any other splittable payment in respect of the superannuation interest</w:t>
      </w:r>
      <w:r w:rsidR="00D7157D">
        <w:t>.</w:t>
      </w:r>
    </w:p>
    <w:p w14:paraId="661FDC37" w14:textId="5480B453" w:rsidR="00D930D9" w:rsidRPr="00A058B6" w:rsidRDefault="00485CC2" w:rsidP="00D930D9">
      <w:pPr>
        <w:pStyle w:val="ActHead5"/>
      </w:pPr>
      <w:bookmarkStart w:id="125" w:name="_Toc188350610"/>
      <w:r w:rsidRPr="00423C34">
        <w:rPr>
          <w:rStyle w:val="CharSectno"/>
        </w:rPr>
        <w:t>84</w:t>
      </w:r>
      <w:r w:rsidR="00D930D9" w:rsidRPr="00A058B6">
        <w:t xml:space="preserve">  Amount to be paid to non</w:t>
      </w:r>
      <w:r w:rsidR="001952B3">
        <w:noBreakHyphen/>
      </w:r>
      <w:r w:rsidR="00D930D9" w:rsidRPr="00A058B6">
        <w:t>member spouse—optional lump sum relating to part of the adjusted base amount</w:t>
      </w:r>
      <w:bookmarkEnd w:id="125"/>
    </w:p>
    <w:p w14:paraId="6F501859" w14:textId="77777777" w:rsidR="00D930D9" w:rsidRPr="00A058B6" w:rsidRDefault="00D930D9" w:rsidP="00D930D9">
      <w:pPr>
        <w:pStyle w:val="subsection"/>
      </w:pPr>
      <w:r w:rsidRPr="00A058B6">
        <w:tab/>
        <w:t>(1)</w:t>
      </w:r>
      <w:r w:rsidRPr="00A058B6">
        <w:tab/>
        <w:t>This section applies for the superannuation interest if:</w:t>
      </w:r>
    </w:p>
    <w:p w14:paraId="6EC2FD86" w14:textId="77777777" w:rsidR="00D930D9" w:rsidRPr="00A058B6" w:rsidRDefault="00D930D9" w:rsidP="00D930D9">
      <w:pPr>
        <w:pStyle w:val="paragraph"/>
        <w:keepNext/>
        <w:keepLines/>
      </w:pPr>
      <w:r w:rsidRPr="00A058B6">
        <w:tab/>
        <w:t>(a)</w:t>
      </w:r>
      <w:r w:rsidRPr="00A058B6">
        <w:tab/>
        <w:t xml:space="preserve">benefits in respect of the interest are not payable as </w:t>
      </w:r>
      <w:r w:rsidRPr="00A058B6">
        <w:rPr>
          <w:color w:val="000000"/>
        </w:rPr>
        <w:t>an allocated pension or a market linked pension;</w:t>
      </w:r>
      <w:r w:rsidRPr="00A058B6">
        <w:t xml:space="preserve"> and</w:t>
      </w:r>
    </w:p>
    <w:p w14:paraId="4984ECCC" w14:textId="77777777" w:rsidR="00D930D9" w:rsidRPr="006C2AC3" w:rsidRDefault="00D930D9" w:rsidP="00D930D9">
      <w:pPr>
        <w:pStyle w:val="paragraph"/>
      </w:pPr>
      <w:r w:rsidRPr="00A058B6">
        <w:tab/>
        <w:t>(b)</w:t>
      </w:r>
      <w:r w:rsidRPr="00A058B6">
        <w:tab/>
        <w:t xml:space="preserve">the member spouse or other person may, under the governing rules of the relevant eligible superannuation plan, choose (by way of a commutation of </w:t>
      </w:r>
      <w:r w:rsidRPr="006C2AC3">
        <w:t>a pension or otherwise) to take a lump sum:</w:t>
      </w:r>
    </w:p>
    <w:p w14:paraId="0B7D3657" w14:textId="5CFEC865" w:rsidR="00D930D9" w:rsidRPr="00A058B6" w:rsidRDefault="00D930D9" w:rsidP="00D930D9">
      <w:pPr>
        <w:pStyle w:val="paragraphsub"/>
      </w:pPr>
      <w:r w:rsidRPr="006C2AC3">
        <w:tab/>
        <w:t>(i)</w:t>
      </w:r>
      <w:r w:rsidRPr="006C2AC3">
        <w:tab/>
        <w:t>of an amount that is at least the adjusted base amount applicable to the non</w:t>
      </w:r>
      <w:r w:rsidR="001952B3">
        <w:noBreakHyphen/>
      </w:r>
      <w:r w:rsidRPr="006C2AC3">
        <w:t>member spouse for the interest at the date the splittable payment becomes payable; and</w:t>
      </w:r>
    </w:p>
    <w:p w14:paraId="5D9A4E1E" w14:textId="77777777" w:rsidR="00D930D9" w:rsidRPr="00A058B6" w:rsidRDefault="00D930D9" w:rsidP="00D930D9">
      <w:pPr>
        <w:pStyle w:val="paragraphsub"/>
      </w:pPr>
      <w:r w:rsidRPr="00A058B6">
        <w:tab/>
        <w:t>(ii)</w:t>
      </w:r>
      <w:r w:rsidRPr="00A058B6">
        <w:tab/>
        <w:t>without losing the right to take the remaining part of the benefits in respect of the interest as a pension; and</w:t>
      </w:r>
    </w:p>
    <w:p w14:paraId="03B3BCAE" w14:textId="3C0662F5" w:rsidR="00D930D9" w:rsidRPr="00A058B6" w:rsidRDefault="00D930D9" w:rsidP="00D930D9">
      <w:pPr>
        <w:pStyle w:val="paragraph"/>
      </w:pPr>
      <w:r w:rsidRPr="00A058B6">
        <w:tab/>
        <w:t>(c)</w:t>
      </w:r>
      <w:r w:rsidRPr="00A058B6">
        <w:tab/>
        <w:t>the non</w:t>
      </w:r>
      <w:r w:rsidR="001952B3">
        <w:noBreakHyphen/>
      </w:r>
      <w:r w:rsidRPr="00A058B6">
        <w:t xml:space="preserve">member spouse has served a request, in accordance with Form 3 in </w:t>
      </w:r>
      <w:r w:rsidR="00453C86">
        <w:t>Schedule 1</w:t>
      </w:r>
      <w:r w:rsidRPr="00A058B6">
        <w:t>, on the trustee of the plan requesting that the non</w:t>
      </w:r>
      <w:r w:rsidR="001952B3">
        <w:noBreakHyphen/>
      </w:r>
      <w:r w:rsidRPr="00A058B6">
        <w:t>member spouse be paid, as a lump sum, a proportion of that adjusted base amount</w:t>
      </w:r>
      <w:r w:rsidR="00D7157D">
        <w:t>.</w:t>
      </w:r>
    </w:p>
    <w:p w14:paraId="215A0248" w14:textId="77777777" w:rsidR="00D930D9" w:rsidRPr="00A058B6" w:rsidRDefault="00D930D9" w:rsidP="00D930D9">
      <w:pPr>
        <w:pStyle w:val="subsection"/>
      </w:pPr>
      <w:r w:rsidRPr="00A058B6">
        <w:tab/>
        <w:t>(2)</w:t>
      </w:r>
      <w:r w:rsidRPr="00A058B6">
        <w:tab/>
        <w:t xml:space="preserve">The member spouse must choose to be paid, as a lump sum, an amount (the </w:t>
      </w:r>
      <w:r w:rsidRPr="00A058B6">
        <w:rPr>
          <w:b/>
          <w:i/>
        </w:rPr>
        <w:t>member’s lump sum</w:t>
      </w:r>
      <w:r w:rsidRPr="00A058B6">
        <w:t xml:space="preserve">) that is at least the following amount (the </w:t>
      </w:r>
      <w:r w:rsidRPr="00A058B6">
        <w:rPr>
          <w:b/>
          <w:i/>
        </w:rPr>
        <w:t>minimum lump sum</w:t>
      </w:r>
      <w:r w:rsidRPr="00A058B6">
        <w:t>):</w:t>
      </w:r>
    </w:p>
    <w:p w14:paraId="151637EF" w14:textId="0EAC0F83" w:rsidR="00D930D9" w:rsidRPr="00A058B6" w:rsidRDefault="007F344F" w:rsidP="00D930D9">
      <w:pPr>
        <w:pStyle w:val="subsection2"/>
      </w:pPr>
      <w:r w:rsidRPr="00A058B6">
        <w:rPr>
          <w:position w:val="-32"/>
        </w:rPr>
        <w:object w:dxaOrig="6280" w:dyaOrig="1120" w14:anchorId="300CA55D">
          <v:shape id="_x0000_i1044" type="#_x0000_t75" alt="Start formula start fraction open bracket Adjusted base amount times Proportion close bracket times Commutation factor for the interest times Transition factor over Pension valuation factor for the interest end fraction end formula" style="width:314.6pt;height:53.65pt" o:ole="">
            <v:imagedata r:id="rId62" o:title=""/>
          </v:shape>
          <o:OLEObject Type="Embed" ProgID="Equation.DSMT4" ShapeID="_x0000_i1044" DrawAspect="Content" ObjectID="_1801634273" r:id="rId63"/>
        </w:object>
      </w:r>
    </w:p>
    <w:p w14:paraId="106C9302" w14:textId="77777777" w:rsidR="00D930D9" w:rsidRPr="00A058B6" w:rsidRDefault="00D930D9" w:rsidP="00D930D9">
      <w:pPr>
        <w:pStyle w:val="subsection2"/>
      </w:pPr>
      <w:r w:rsidRPr="00A058B6">
        <w:t>where:</w:t>
      </w:r>
    </w:p>
    <w:p w14:paraId="30507CA2" w14:textId="4E91FF21" w:rsidR="00D930D9" w:rsidRPr="00A058B6" w:rsidRDefault="00D930D9" w:rsidP="00D930D9">
      <w:pPr>
        <w:pStyle w:val="Definition"/>
      </w:pPr>
      <w:r w:rsidRPr="00A058B6">
        <w:rPr>
          <w:b/>
          <w:i/>
        </w:rPr>
        <w:t>adjusted base amount</w:t>
      </w:r>
      <w:r w:rsidRPr="00A058B6">
        <w:t xml:space="preserve"> </w:t>
      </w:r>
      <w:r w:rsidR="00137B28">
        <w:t>means</w:t>
      </w:r>
      <w:r w:rsidRPr="00A058B6">
        <w:t xml:space="preserve"> the amount of the adjusted base amount applicable to the non</w:t>
      </w:r>
      <w:r w:rsidR="001952B3">
        <w:noBreakHyphen/>
      </w:r>
      <w:r w:rsidRPr="00A058B6">
        <w:t>member spouse for the interest at the date the first splittable payment became payable in respect of the superannuation interest</w:t>
      </w:r>
      <w:r w:rsidR="00D7157D">
        <w:t>.</w:t>
      </w:r>
    </w:p>
    <w:p w14:paraId="1ACA2294" w14:textId="4465AA38" w:rsidR="00D930D9" w:rsidRPr="00A058B6" w:rsidRDefault="00D930D9" w:rsidP="00D930D9">
      <w:pPr>
        <w:pStyle w:val="Definition"/>
      </w:pPr>
      <w:r w:rsidRPr="00A058B6">
        <w:rPr>
          <w:b/>
          <w:i/>
        </w:rPr>
        <w:t>proportion</w:t>
      </w:r>
      <w:r w:rsidRPr="00A058B6">
        <w:t xml:space="preserve"> </w:t>
      </w:r>
      <w:r w:rsidR="00137B28">
        <w:t>means</w:t>
      </w:r>
      <w:r w:rsidRPr="00A058B6">
        <w:t xml:space="preserve"> the proportion of the adjusted base amount that the non</w:t>
      </w:r>
      <w:r w:rsidR="001952B3">
        <w:noBreakHyphen/>
      </w:r>
      <w:r w:rsidRPr="00A058B6">
        <w:t xml:space="preserve">member spouse has requested under </w:t>
      </w:r>
      <w:r w:rsidR="00453C86">
        <w:t>paragraph (</w:t>
      </w:r>
      <w:r w:rsidRPr="00A058B6">
        <w:t>1)(c) to be paid, as a lump sum, to the non</w:t>
      </w:r>
      <w:r w:rsidR="001952B3">
        <w:noBreakHyphen/>
      </w:r>
      <w:r w:rsidRPr="00A058B6">
        <w:t>member spouse</w:t>
      </w:r>
      <w:r w:rsidR="00D7157D">
        <w:t>.</w:t>
      </w:r>
    </w:p>
    <w:p w14:paraId="68B27518" w14:textId="77777777" w:rsidR="00D63B87" w:rsidRDefault="00D63B87" w:rsidP="00D63B87">
      <w:pPr>
        <w:pStyle w:val="Definition"/>
        <w:rPr>
          <w:bCs/>
          <w:iCs/>
        </w:rPr>
      </w:pPr>
      <w:r>
        <w:rPr>
          <w:b/>
          <w:i/>
        </w:rPr>
        <w:t>transition factor</w:t>
      </w:r>
      <w:r>
        <w:rPr>
          <w:bCs/>
          <w:iCs/>
        </w:rPr>
        <w:t xml:space="preserve"> means:</w:t>
      </w:r>
    </w:p>
    <w:p w14:paraId="6D6075A5" w14:textId="260A754E"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26858190" w14:textId="52FE2E3B"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6AC83CC3" w14:textId="77777777" w:rsidR="00D63B87" w:rsidRDefault="00D63B87" w:rsidP="00D63B87">
      <w:pPr>
        <w:pStyle w:val="paragraphsub"/>
      </w:pPr>
      <w:r>
        <w:tab/>
        <w:t>(i)</w:t>
      </w:r>
      <w:r>
        <w:tab/>
        <w:t>as a pension for the life of the member spouse; but</w:t>
      </w:r>
    </w:p>
    <w:p w14:paraId="1ED001AC" w14:textId="77777777" w:rsidR="00D63B87" w:rsidRPr="00B636FD" w:rsidRDefault="00D63B87" w:rsidP="00D63B87">
      <w:pPr>
        <w:pStyle w:val="paragraphsub"/>
      </w:pPr>
      <w:r>
        <w:tab/>
        <w:t>(ii)</w:t>
      </w:r>
      <w:r>
        <w:tab/>
        <w:t>not due to the member spouse’s invalidity;</w:t>
      </w:r>
    </w:p>
    <w:p w14:paraId="2CDCEEA4" w14:textId="7A825F7B"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32BBC42C" w14:textId="4ECF2E34" w:rsidR="00D63B87" w:rsidRDefault="00D63B87" w:rsidP="00D63B87">
      <w:pPr>
        <w:pStyle w:val="paragraph"/>
      </w:pPr>
      <w:r>
        <w:tab/>
        <w:t>(c)</w:t>
      </w:r>
      <w:r>
        <w:tab/>
        <w:t xml:space="preserve">if neither </w:t>
      </w:r>
      <w:r w:rsidR="00453C86">
        <w:t>paragraph (</w:t>
      </w:r>
      <w:r>
        <w:t>a) nor (b) applies—1.</w:t>
      </w:r>
    </w:p>
    <w:p w14:paraId="579D456E" w14:textId="02D74CEA"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477D799B" w14:textId="3367A4D2" w:rsidR="00D930D9" w:rsidRPr="00A058B6" w:rsidRDefault="00D930D9" w:rsidP="00D930D9">
      <w:pPr>
        <w:pStyle w:val="subsection"/>
      </w:pPr>
      <w:r w:rsidRPr="00A058B6">
        <w:tab/>
        <w:t>(3)</w:t>
      </w:r>
      <w:r w:rsidRPr="00A058B6">
        <w:tab/>
        <w:t>The amount that the non</w:t>
      </w:r>
      <w:r w:rsidR="001952B3">
        <w:noBreakHyphen/>
      </w:r>
      <w:r w:rsidRPr="00A058B6">
        <w:t>member spouse is entitled to be paid in respect of the superannuation interest is:</w:t>
      </w:r>
    </w:p>
    <w:p w14:paraId="33AF17AF" w14:textId="77777777" w:rsidR="00D930D9" w:rsidRPr="00A058B6" w:rsidRDefault="00D930D9" w:rsidP="00D930D9">
      <w:pPr>
        <w:pStyle w:val="paragraph"/>
      </w:pPr>
      <w:r w:rsidRPr="00A058B6">
        <w:tab/>
        <w:t>(a)</w:t>
      </w:r>
      <w:r w:rsidRPr="00A058B6">
        <w:tab/>
        <w:t>an amount equal to the minimum lump sum; and</w:t>
      </w:r>
    </w:p>
    <w:p w14:paraId="5F2C6F63" w14:textId="697C3D14" w:rsidR="00D930D9" w:rsidRPr="00A058B6" w:rsidRDefault="00D930D9" w:rsidP="00D930D9">
      <w:pPr>
        <w:pStyle w:val="paragraph"/>
      </w:pPr>
      <w:r w:rsidRPr="00A058B6">
        <w:tab/>
        <w:t>(b)</w:t>
      </w:r>
      <w:r w:rsidRPr="00A058B6">
        <w:tab/>
        <w:t xml:space="preserve">an amount, calculated under </w:t>
      </w:r>
      <w:r w:rsidR="00A52DA5">
        <w:t>subsection (</w:t>
      </w:r>
      <w:r w:rsidRPr="00A058B6">
        <w:t>4), from:</w:t>
      </w:r>
    </w:p>
    <w:p w14:paraId="46BA0880" w14:textId="77777777" w:rsidR="00D930D9" w:rsidRPr="00A058B6" w:rsidRDefault="00D930D9" w:rsidP="00D930D9">
      <w:pPr>
        <w:pStyle w:val="paragraphsub"/>
      </w:pPr>
      <w:r w:rsidRPr="00A058B6">
        <w:tab/>
        <w:t>(i)</w:t>
      </w:r>
      <w:r w:rsidRPr="00A058B6">
        <w:tab/>
        <w:t>if the member’s lump sum exceeds the minimum lump sum—the amount of the excess; and</w:t>
      </w:r>
    </w:p>
    <w:p w14:paraId="69E4E0AD" w14:textId="77777777" w:rsidR="00D930D9" w:rsidRPr="00A058B6" w:rsidRDefault="00D930D9" w:rsidP="00D930D9">
      <w:pPr>
        <w:pStyle w:val="paragraphsub"/>
      </w:pPr>
      <w:r w:rsidRPr="00A058B6">
        <w:tab/>
        <w:t>(ii)</w:t>
      </w:r>
      <w:r w:rsidRPr="00A058B6">
        <w:tab/>
        <w:t>each other splittable payment that becomes payable in respect of the superannuation interest</w:t>
      </w:r>
      <w:r w:rsidR="00D7157D">
        <w:t>.</w:t>
      </w:r>
    </w:p>
    <w:p w14:paraId="0C8C464F" w14:textId="2A42825D" w:rsidR="00D930D9" w:rsidRPr="00A058B6" w:rsidRDefault="00D930D9" w:rsidP="00D930D9">
      <w:pPr>
        <w:pStyle w:val="subsection"/>
      </w:pPr>
      <w:r w:rsidRPr="00A058B6">
        <w:tab/>
        <w:t>(4)</w:t>
      </w:r>
      <w:r w:rsidRPr="00A058B6">
        <w:tab/>
        <w:t xml:space="preserve">For the purposes of </w:t>
      </w:r>
      <w:r w:rsidR="00453C86">
        <w:t>paragraph (</w:t>
      </w:r>
      <w:r w:rsidRPr="00A058B6">
        <w:t>3)(b), the amount is equal to:</w:t>
      </w:r>
    </w:p>
    <w:p w14:paraId="7C720908" w14:textId="36EE93DE" w:rsidR="00D930D9" w:rsidRPr="00A058B6" w:rsidRDefault="00140DA4" w:rsidP="00D930D9">
      <w:pPr>
        <w:pStyle w:val="subsection2"/>
      </w:pPr>
      <w:r w:rsidRPr="00500786">
        <w:rPr>
          <w:position w:val="-138"/>
        </w:rPr>
        <w:object w:dxaOrig="6900" w:dyaOrig="2299" w14:anchorId="7030B96C">
          <v:shape id="_x0000_i1045" type="#_x0000_t75" alt="Start formula start fraction open bracket Adjusted base amount times open bracket 1 minus Proportion close bracket close bracket times Splittable payment amount times Transition factor over Deemed value of the interest were it in payment phase at adjusted date minus open bracket start fraction Initial lump sum times Pension valuation factor for the interest over Commutation factor for the interest times Transition factor end fraction close bracket end fraction end formula" style="width:347.15pt;height:115.55pt" o:ole="">
            <v:imagedata r:id="rId64" o:title=""/>
          </v:shape>
          <o:OLEObject Type="Embed" ProgID="Equation.DSMT4" ShapeID="_x0000_i1045" DrawAspect="Content" ObjectID="_1801634274" r:id="rId65"/>
        </w:object>
      </w:r>
    </w:p>
    <w:p w14:paraId="3DD16AEC" w14:textId="77777777" w:rsidR="00D930D9" w:rsidRPr="00A058B6" w:rsidRDefault="00D930D9" w:rsidP="00D930D9">
      <w:pPr>
        <w:pStyle w:val="subsection2"/>
      </w:pPr>
      <w:r w:rsidRPr="00A058B6">
        <w:t>where:</w:t>
      </w:r>
    </w:p>
    <w:p w14:paraId="25FFB2AF" w14:textId="4B74EA08" w:rsidR="00D930D9" w:rsidRPr="00A058B6" w:rsidRDefault="00D930D9" w:rsidP="00D930D9">
      <w:pPr>
        <w:pStyle w:val="Definition"/>
      </w:pPr>
      <w:r w:rsidRPr="00A058B6">
        <w:rPr>
          <w:b/>
          <w:i/>
        </w:rPr>
        <w:t>adjusted base amount</w:t>
      </w:r>
      <w:r w:rsidRPr="00A058B6">
        <w:t xml:space="preserve"> </w:t>
      </w:r>
      <w:r w:rsidR="00137B28">
        <w:t>means</w:t>
      </w:r>
      <w:r w:rsidRPr="00A058B6">
        <w:t xml:space="preserve"> the amount of the adjusted base amount applicable to the non</w:t>
      </w:r>
      <w:r w:rsidR="001952B3">
        <w:noBreakHyphen/>
      </w:r>
      <w:r w:rsidRPr="00A058B6">
        <w:t>member spouse for the interest at the date the first splittable payment became payable in respect of the superannuation interest</w:t>
      </w:r>
      <w:r w:rsidR="00D7157D">
        <w:t>.</w:t>
      </w:r>
    </w:p>
    <w:p w14:paraId="5D7699F8" w14:textId="6312A909" w:rsidR="00D930D9" w:rsidRPr="00A058B6" w:rsidRDefault="00D930D9" w:rsidP="00D930D9">
      <w:pPr>
        <w:pStyle w:val="Definition"/>
      </w:pPr>
      <w:r w:rsidRPr="00A058B6">
        <w:rPr>
          <w:b/>
          <w:i/>
        </w:rPr>
        <w:t>proportion</w:t>
      </w:r>
      <w:r w:rsidRPr="00A058B6">
        <w:t xml:space="preserve"> </w:t>
      </w:r>
      <w:r w:rsidR="00137B28">
        <w:t>means</w:t>
      </w:r>
      <w:r w:rsidRPr="00A058B6">
        <w:t xml:space="preserve"> the proportion of the adjusted base amount that the non</w:t>
      </w:r>
      <w:r w:rsidR="001952B3">
        <w:noBreakHyphen/>
      </w:r>
      <w:r w:rsidRPr="00A058B6">
        <w:t xml:space="preserve">member spouse has requested under </w:t>
      </w:r>
      <w:r w:rsidR="00453C86">
        <w:t>paragraph (</w:t>
      </w:r>
      <w:r w:rsidRPr="00A058B6">
        <w:t>1)(c) to be paid, as a lump sum, to the non</w:t>
      </w:r>
      <w:r w:rsidR="001952B3">
        <w:noBreakHyphen/>
      </w:r>
      <w:r w:rsidRPr="00A058B6">
        <w:t>member spouse</w:t>
      </w:r>
      <w:r w:rsidR="00D7157D">
        <w:t>.</w:t>
      </w:r>
    </w:p>
    <w:p w14:paraId="29FDBA5A" w14:textId="77777777" w:rsidR="00D930D9" w:rsidRPr="00A058B6" w:rsidRDefault="00D930D9" w:rsidP="00D930D9">
      <w:pPr>
        <w:pStyle w:val="Definition"/>
      </w:pPr>
      <w:r w:rsidRPr="00A058B6">
        <w:rPr>
          <w:b/>
          <w:i/>
        </w:rPr>
        <w:t>splittable payment amount</w:t>
      </w:r>
      <w:r w:rsidRPr="00A058B6">
        <w:t xml:space="preserve"> </w:t>
      </w:r>
      <w:r w:rsidR="00137B28">
        <w:t>means</w:t>
      </w:r>
      <w:r w:rsidRPr="00A058B6">
        <w:t>:</w:t>
      </w:r>
    </w:p>
    <w:p w14:paraId="05E2E0D2" w14:textId="2622BE75" w:rsidR="00D930D9" w:rsidRPr="00A058B6" w:rsidRDefault="00D930D9" w:rsidP="00D930D9">
      <w:pPr>
        <w:pStyle w:val="paragraph"/>
      </w:pPr>
      <w:r w:rsidRPr="00A058B6">
        <w:tab/>
        <w:t>(a)</w:t>
      </w:r>
      <w:r w:rsidRPr="00A058B6">
        <w:tab/>
        <w:t>if under sub</w:t>
      </w:r>
      <w:r w:rsidR="00453C86">
        <w:t>paragraph (</w:t>
      </w:r>
      <w:r w:rsidRPr="00A058B6">
        <w:t>3)(b)(i) the member’s lump sum exceeds the minimum lump sum—the amount of the excess; or</w:t>
      </w:r>
    </w:p>
    <w:p w14:paraId="6BD78EC2" w14:textId="4C298418" w:rsidR="00D930D9" w:rsidRPr="00A058B6" w:rsidRDefault="00D930D9" w:rsidP="00D930D9">
      <w:pPr>
        <w:pStyle w:val="paragraph"/>
      </w:pPr>
      <w:r w:rsidRPr="00A058B6">
        <w:tab/>
        <w:t>(b)</w:t>
      </w:r>
      <w:r w:rsidRPr="00A058B6">
        <w:tab/>
        <w:t>the amount of the other splittable payment (see sub</w:t>
      </w:r>
      <w:r w:rsidR="00453C86">
        <w:t>paragraph (</w:t>
      </w:r>
      <w:r w:rsidRPr="00A058B6">
        <w:t>3)(b)(ii))</w:t>
      </w:r>
      <w:r w:rsidR="00D7157D">
        <w:t>.</w:t>
      </w:r>
    </w:p>
    <w:p w14:paraId="124AE04C" w14:textId="77777777" w:rsidR="0017660B" w:rsidRDefault="0017660B" w:rsidP="0017660B">
      <w:pPr>
        <w:pStyle w:val="Definition"/>
        <w:rPr>
          <w:bCs/>
          <w:iCs/>
        </w:rPr>
      </w:pPr>
      <w:r>
        <w:rPr>
          <w:b/>
          <w:i/>
        </w:rPr>
        <w:t>transition factor</w:t>
      </w:r>
      <w:r>
        <w:rPr>
          <w:bCs/>
          <w:iCs/>
        </w:rPr>
        <w:t xml:space="preserve"> means:</w:t>
      </w:r>
    </w:p>
    <w:p w14:paraId="288E2D0F" w14:textId="76DA487E"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492826E4" w14:textId="77777777" w:rsidR="0017660B" w:rsidRDefault="0017660B" w:rsidP="0017660B">
      <w:pPr>
        <w:pStyle w:val="paragraph"/>
      </w:pPr>
      <w:r>
        <w:tab/>
        <w:t>(b)</w:t>
      </w:r>
      <w:r>
        <w:tab/>
        <w:t>if paragraph (a) does not apply and one or more benefits in respect of the superannuation interest are payable:</w:t>
      </w:r>
    </w:p>
    <w:p w14:paraId="2468CB2D" w14:textId="77777777" w:rsidR="0017660B" w:rsidRDefault="0017660B" w:rsidP="0017660B">
      <w:pPr>
        <w:pStyle w:val="paragraphsub"/>
      </w:pPr>
      <w:r>
        <w:tab/>
        <w:t>(i)</w:t>
      </w:r>
      <w:r>
        <w:tab/>
        <w:t>as a pension for the life of the member spouse; but</w:t>
      </w:r>
    </w:p>
    <w:p w14:paraId="634748B9" w14:textId="77777777" w:rsidR="0017660B" w:rsidRPr="00B636FD" w:rsidRDefault="0017660B" w:rsidP="0017660B">
      <w:pPr>
        <w:pStyle w:val="paragraphsub"/>
      </w:pPr>
      <w:r>
        <w:tab/>
        <w:t>(ii)</w:t>
      </w:r>
      <w:r>
        <w:tab/>
        <w:t>not due to the member spouse’s invalidity;</w:t>
      </w:r>
    </w:p>
    <w:p w14:paraId="40BDD712" w14:textId="77777777" w:rsidR="0017660B" w:rsidRDefault="0017660B" w:rsidP="0017660B">
      <w:pPr>
        <w:pStyle w:val="paragraph"/>
      </w:pPr>
      <w:r>
        <w:tab/>
      </w:r>
      <w:r>
        <w:tab/>
        <w:t>the factor determined using the method set out in Schedule 11 for the superannuation interest; or</w:t>
      </w:r>
    </w:p>
    <w:p w14:paraId="4DF09CAA" w14:textId="77777777" w:rsidR="0017660B" w:rsidRDefault="0017660B" w:rsidP="0017660B">
      <w:pPr>
        <w:pStyle w:val="paragraph"/>
      </w:pPr>
      <w:r>
        <w:tab/>
        <w:t>(c)</w:t>
      </w:r>
      <w:r>
        <w:tab/>
        <w:t>if neither paragraph (a) nor (b) applies—1.</w:t>
      </w:r>
    </w:p>
    <w:p w14:paraId="478CAAB4" w14:textId="6297C37A" w:rsidR="00293BD8" w:rsidRPr="00A058B6" w:rsidRDefault="00293BD8" w:rsidP="00293BD8">
      <w:pPr>
        <w:pStyle w:val="Definition"/>
      </w:pPr>
      <w:r w:rsidRPr="00A058B6">
        <w:rPr>
          <w:b/>
          <w:bCs/>
          <w:i/>
          <w:iCs/>
        </w:rPr>
        <w:t>deemed value of the interest were it in payment phase at adjusted date</w:t>
      </w:r>
      <w:r w:rsidRPr="00A058B6">
        <w:t xml:space="preserve"> </w:t>
      </w:r>
      <w:r w:rsidR="00137B28">
        <w:t>means</w:t>
      </w:r>
      <w:r w:rsidRPr="00A058B6">
        <w:t xml:space="preserve"> the amount </w:t>
      </w:r>
      <w:r>
        <w:t xml:space="preserve">that would be </w:t>
      </w:r>
      <w:r w:rsidRPr="00A058B6">
        <w:t xml:space="preserve">calculated under </w:t>
      </w:r>
      <w:r w:rsidR="00CB78B9">
        <w:t>section 6</w:t>
      </w:r>
      <w:r w:rsidR="00485CC2">
        <w:t>4</w:t>
      </w:r>
      <w:r w:rsidRPr="00A058B6">
        <w:t xml:space="preserve"> for the</w:t>
      </w:r>
      <w:r>
        <w:t xml:space="preserve"> superannuation</w:t>
      </w:r>
      <w:r w:rsidRPr="00A058B6">
        <w:t xml:space="preserve"> interest if references in </w:t>
      </w:r>
      <w:r w:rsidR="00453C86">
        <w:t>Division 2</w:t>
      </w:r>
      <w:r w:rsidRPr="00A058B6">
        <w:t xml:space="preserve"> of Part </w:t>
      </w:r>
      <w:r w:rsidR="00F47A4A">
        <w:t>6</w:t>
      </w:r>
      <w:r w:rsidRPr="00A058B6">
        <w:t xml:space="preserve"> to the relevant date were references to the date the first splittable payment became payable in respect of the superannuation interest</w:t>
      </w:r>
      <w:r w:rsidR="00D7157D">
        <w:t>.</w:t>
      </w:r>
    </w:p>
    <w:p w14:paraId="7A7D898A" w14:textId="32961794" w:rsidR="00D930D9" w:rsidRPr="00A058B6" w:rsidRDefault="00D930D9" w:rsidP="00D930D9">
      <w:pPr>
        <w:pStyle w:val="Definition"/>
      </w:pPr>
      <w:r w:rsidRPr="00A058B6">
        <w:rPr>
          <w:b/>
          <w:i/>
        </w:rPr>
        <w:t>initial lump sum</w:t>
      </w:r>
      <w:r w:rsidRPr="00A058B6">
        <w:t xml:space="preserve"> </w:t>
      </w:r>
      <w:r w:rsidR="00137B28">
        <w:t>means</w:t>
      </w:r>
      <w:r w:rsidRPr="00A058B6">
        <w:t xml:space="preserve"> the amount of the lump sum paid to the non</w:t>
      </w:r>
      <w:r w:rsidR="001952B3">
        <w:noBreakHyphen/>
      </w:r>
      <w:r w:rsidRPr="00A058B6">
        <w:t xml:space="preserve">member spouse under </w:t>
      </w:r>
      <w:r w:rsidR="00453C86">
        <w:t>paragraph (</w:t>
      </w:r>
      <w:r w:rsidRPr="00A058B6">
        <w:t>3)(a)</w:t>
      </w:r>
      <w:r w:rsidR="00D7157D">
        <w:t>.</w:t>
      </w:r>
    </w:p>
    <w:p w14:paraId="3D125E48" w14:textId="3277AB0F"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04B7C069" w14:textId="77777777" w:rsidR="00D930D9" w:rsidRPr="00A058B6" w:rsidRDefault="00D930D9" w:rsidP="00D930D9">
      <w:pPr>
        <w:pStyle w:val="ActHead4"/>
      </w:pPr>
      <w:bookmarkStart w:id="126" w:name="_Toc188350611"/>
      <w:r w:rsidRPr="00423C34">
        <w:rPr>
          <w:rStyle w:val="CharSubdNo"/>
        </w:rPr>
        <w:t>Subdivision D</w:t>
      </w:r>
      <w:r w:rsidRPr="00A058B6">
        <w:t>—</w:t>
      </w:r>
      <w:r w:rsidRPr="00423C34">
        <w:rPr>
          <w:rStyle w:val="CharSubdText"/>
        </w:rPr>
        <w:t>No benefit payable only as a lump sum, or first splittable payment is not a lump sum</w:t>
      </w:r>
      <w:bookmarkEnd w:id="126"/>
    </w:p>
    <w:p w14:paraId="185D1DDD" w14:textId="56876AD6" w:rsidR="00D930D9" w:rsidRPr="00A058B6" w:rsidRDefault="00485CC2" w:rsidP="00D930D9">
      <w:pPr>
        <w:pStyle w:val="ActHead5"/>
      </w:pPr>
      <w:bookmarkStart w:id="127" w:name="_Toc188350612"/>
      <w:r w:rsidRPr="00423C34">
        <w:rPr>
          <w:rStyle w:val="CharSectno"/>
        </w:rPr>
        <w:t>85</w:t>
      </w:r>
      <w:r w:rsidR="00D930D9" w:rsidRPr="00A058B6">
        <w:t xml:space="preserve">  Amount to be paid to non</w:t>
      </w:r>
      <w:r w:rsidR="001952B3">
        <w:noBreakHyphen/>
      </w:r>
      <w:r w:rsidR="00D930D9" w:rsidRPr="00A058B6">
        <w:t>member spouse—no benefit payable only as a lump sum, or first splittable payment is not a lump sum</w:t>
      </w:r>
      <w:bookmarkEnd w:id="127"/>
    </w:p>
    <w:p w14:paraId="474F7715" w14:textId="77777777" w:rsidR="00D930D9" w:rsidRPr="00A058B6" w:rsidRDefault="00D930D9" w:rsidP="00D930D9">
      <w:pPr>
        <w:pStyle w:val="subsection"/>
      </w:pPr>
      <w:r w:rsidRPr="00A058B6">
        <w:tab/>
        <w:t>(1)</w:t>
      </w:r>
      <w:r w:rsidRPr="00A058B6">
        <w:tab/>
        <w:t>This section applies for the superannuation interest if:</w:t>
      </w:r>
    </w:p>
    <w:p w14:paraId="4E984BA0" w14:textId="77777777" w:rsidR="00D930D9" w:rsidRPr="00A058B6" w:rsidRDefault="00D930D9" w:rsidP="00D930D9">
      <w:pPr>
        <w:pStyle w:val="paragraph"/>
      </w:pPr>
      <w:r w:rsidRPr="00A058B6">
        <w:tab/>
        <w:t>(a)</w:t>
      </w:r>
      <w:r w:rsidRPr="00A058B6">
        <w:tab/>
        <w:t>both:</w:t>
      </w:r>
    </w:p>
    <w:p w14:paraId="439A21A6" w14:textId="77777777" w:rsidR="00D930D9" w:rsidRPr="00A058B6" w:rsidRDefault="00D930D9" w:rsidP="00D930D9">
      <w:pPr>
        <w:pStyle w:val="paragraphsub"/>
      </w:pPr>
      <w:r w:rsidRPr="00A058B6">
        <w:tab/>
        <w:t>(i)</w:t>
      </w:r>
      <w:r w:rsidRPr="00A058B6">
        <w:tab/>
        <w:t xml:space="preserve">benefits in respect of the interest are not payable as </w:t>
      </w:r>
      <w:r w:rsidRPr="00A058B6">
        <w:rPr>
          <w:color w:val="000000"/>
        </w:rPr>
        <w:t>an allocated pension or a market linked pension;</w:t>
      </w:r>
      <w:r w:rsidRPr="00A058B6">
        <w:t xml:space="preserve"> and</w:t>
      </w:r>
    </w:p>
    <w:p w14:paraId="0B09C60F" w14:textId="77777777" w:rsidR="00D930D9" w:rsidRPr="00A058B6" w:rsidRDefault="00D930D9" w:rsidP="00D930D9">
      <w:pPr>
        <w:pStyle w:val="paragraphsub"/>
      </w:pPr>
      <w:r w:rsidRPr="00A058B6">
        <w:tab/>
        <w:t>(ii)</w:t>
      </w:r>
      <w:r w:rsidRPr="00A058B6">
        <w:tab/>
        <w:t>no benefit is payable to the member spouse or other person as a lump sum (including a lump sum that the member spouse or other person may choose to take, by way of a commutation of a pension, in respect of the whole, or a part, of the benefits in respect of the interest); or</w:t>
      </w:r>
    </w:p>
    <w:p w14:paraId="10FFDE61" w14:textId="77777777" w:rsidR="00D930D9" w:rsidRPr="00A058B6" w:rsidRDefault="00D930D9" w:rsidP="00D930D9">
      <w:pPr>
        <w:pStyle w:val="paragraph"/>
      </w:pPr>
      <w:r w:rsidRPr="00A058B6">
        <w:tab/>
        <w:t>(b)</w:t>
      </w:r>
      <w:r w:rsidRPr="00A058B6">
        <w:tab/>
        <w:t>the first splittable payment that the member spouse or other person is entitled to receive is not a lump sum, but a lump sum is payable in respect of the interest at a later time</w:t>
      </w:r>
      <w:r w:rsidR="00D7157D">
        <w:t>.</w:t>
      </w:r>
    </w:p>
    <w:p w14:paraId="4302FA2B" w14:textId="2862F6D7"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in respect of each splittable payment that becomes payable in respect of the superannuation interest is equal to:</w:t>
      </w:r>
    </w:p>
    <w:p w14:paraId="64440FAC" w14:textId="024CE1C8" w:rsidR="00D930D9" w:rsidRPr="00A058B6" w:rsidRDefault="001004CA" w:rsidP="00D930D9">
      <w:pPr>
        <w:pStyle w:val="subsection2"/>
      </w:pPr>
      <w:r w:rsidRPr="00A058B6">
        <w:rPr>
          <w:position w:val="-36"/>
        </w:rPr>
        <w:object w:dxaOrig="5960" w:dyaOrig="800" w14:anchorId="18465FDE">
          <v:shape id="_x0000_i1046" type="#_x0000_t75" alt="Start formula start fraction Adjusted base amount times Splittable payment amount times Transition factor over Deemed value of the interest were it in payment phase at adjusted date end fraction end formula" style="width:299.9pt;height:41.75pt" o:ole="">
            <v:imagedata r:id="rId66" o:title=""/>
          </v:shape>
          <o:OLEObject Type="Embed" ProgID="Equation.DSMT4" ShapeID="_x0000_i1046" DrawAspect="Content" ObjectID="_1801634275" r:id="rId67"/>
        </w:object>
      </w:r>
    </w:p>
    <w:p w14:paraId="221A2156" w14:textId="77777777" w:rsidR="00D930D9" w:rsidRPr="00A058B6" w:rsidRDefault="00D930D9" w:rsidP="00D930D9">
      <w:pPr>
        <w:pStyle w:val="subsection2"/>
      </w:pPr>
      <w:r w:rsidRPr="00A058B6">
        <w:t>where:</w:t>
      </w:r>
    </w:p>
    <w:p w14:paraId="5F7DB0A3" w14:textId="79399629" w:rsidR="00D930D9" w:rsidRPr="00A058B6" w:rsidRDefault="00D930D9" w:rsidP="00D930D9">
      <w:pPr>
        <w:pStyle w:val="Definition"/>
      </w:pPr>
      <w:r w:rsidRPr="00A058B6">
        <w:rPr>
          <w:b/>
          <w:i/>
        </w:rPr>
        <w:t>adjusted base amount</w:t>
      </w:r>
      <w:r w:rsidRPr="00A058B6">
        <w:t xml:space="preserve"> </w:t>
      </w:r>
      <w:r w:rsidR="00137B28">
        <w:t>means</w:t>
      </w:r>
      <w:r w:rsidRPr="00A058B6">
        <w:t xml:space="preserve"> the adjusted base amount applicable to the non</w:t>
      </w:r>
      <w:r w:rsidR="001952B3">
        <w:noBreakHyphen/>
      </w:r>
      <w:r w:rsidRPr="00A058B6">
        <w:t>member spouse for the interest at the date the first splittable payment becomes payable in respect of the superannuation interest</w:t>
      </w:r>
      <w:r w:rsidR="00D7157D">
        <w:t>.</w:t>
      </w:r>
    </w:p>
    <w:p w14:paraId="73EE5998" w14:textId="77777777" w:rsidR="00D930D9" w:rsidRPr="00A058B6" w:rsidRDefault="00D930D9" w:rsidP="00D930D9">
      <w:pPr>
        <w:pStyle w:val="Definition"/>
      </w:pPr>
      <w:r w:rsidRPr="00A058B6">
        <w:rPr>
          <w:b/>
          <w:i/>
        </w:rPr>
        <w:t>splittable payment amount</w:t>
      </w:r>
      <w:r w:rsidRPr="00A058B6">
        <w:t xml:space="preserve"> </w:t>
      </w:r>
      <w:r w:rsidR="00137B28">
        <w:t>means</w:t>
      </w:r>
      <w:r w:rsidRPr="00A058B6">
        <w:t xml:space="preserve"> the amount of the relevant splittable payment</w:t>
      </w:r>
      <w:r w:rsidR="00D7157D">
        <w:t>.</w:t>
      </w:r>
    </w:p>
    <w:p w14:paraId="376A3952" w14:textId="77777777" w:rsidR="00D63B87" w:rsidRDefault="00D63B87" w:rsidP="00D63B87">
      <w:pPr>
        <w:pStyle w:val="Definition"/>
        <w:rPr>
          <w:bCs/>
          <w:iCs/>
        </w:rPr>
      </w:pPr>
      <w:r>
        <w:rPr>
          <w:b/>
          <w:i/>
        </w:rPr>
        <w:t>transition factor</w:t>
      </w:r>
      <w:r>
        <w:rPr>
          <w:bCs/>
          <w:iCs/>
        </w:rPr>
        <w:t xml:space="preserve"> means:</w:t>
      </w:r>
    </w:p>
    <w:p w14:paraId="71636480" w14:textId="0A199731" w:rsidR="00875326" w:rsidRDefault="00875326" w:rsidP="00875326">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22FA556A" w14:textId="4DBC0CC3" w:rsidR="00D63B87" w:rsidRDefault="00D63B87" w:rsidP="00D63B87">
      <w:pPr>
        <w:pStyle w:val="paragraph"/>
      </w:pPr>
      <w:r>
        <w:tab/>
        <w:t>(b)</w:t>
      </w:r>
      <w:r>
        <w:tab/>
        <w:t xml:space="preserve">if </w:t>
      </w:r>
      <w:r w:rsidR="00453C86">
        <w:t>paragraph (</w:t>
      </w:r>
      <w:r>
        <w:t>a) does not apply and one or more benefits in respect of the superannuation interest are payable:</w:t>
      </w:r>
    </w:p>
    <w:p w14:paraId="78AB83CB" w14:textId="77777777" w:rsidR="00D63B87" w:rsidRDefault="00D63B87" w:rsidP="00D63B87">
      <w:pPr>
        <w:pStyle w:val="paragraphsub"/>
      </w:pPr>
      <w:r>
        <w:tab/>
        <w:t>(i)</w:t>
      </w:r>
      <w:r>
        <w:tab/>
        <w:t>as a pension for the life of the member spouse; but</w:t>
      </w:r>
    </w:p>
    <w:p w14:paraId="66EC089A" w14:textId="77777777" w:rsidR="00D63B87" w:rsidRPr="00B636FD" w:rsidRDefault="00D63B87" w:rsidP="00D63B87">
      <w:pPr>
        <w:pStyle w:val="paragraphsub"/>
      </w:pPr>
      <w:r>
        <w:tab/>
        <w:t>(ii)</w:t>
      </w:r>
      <w:r>
        <w:tab/>
        <w:t>not due to the member spouse’s invalidity;</w:t>
      </w:r>
    </w:p>
    <w:p w14:paraId="0812FC4D" w14:textId="586FF9A2" w:rsidR="00D63B87" w:rsidRDefault="00D63B87" w:rsidP="00D63B87">
      <w:pPr>
        <w:pStyle w:val="paragraph"/>
      </w:pPr>
      <w:r>
        <w:tab/>
      </w:r>
      <w:r>
        <w:tab/>
        <w:t xml:space="preserve">the factor determined using the method set out in </w:t>
      </w:r>
      <w:r w:rsidR="00453C86">
        <w:t>Schedule 1</w:t>
      </w:r>
      <w:r w:rsidR="00366F59">
        <w:t>1</w:t>
      </w:r>
      <w:r>
        <w:t xml:space="preserve"> for the superannuation interest; or</w:t>
      </w:r>
    </w:p>
    <w:p w14:paraId="5B65CF37" w14:textId="0A495320" w:rsidR="00D63B87" w:rsidRDefault="00D63B87" w:rsidP="00D63B87">
      <w:pPr>
        <w:pStyle w:val="paragraph"/>
      </w:pPr>
      <w:r>
        <w:tab/>
        <w:t>(c)</w:t>
      </w:r>
      <w:r>
        <w:tab/>
        <w:t xml:space="preserve">if neither </w:t>
      </w:r>
      <w:r w:rsidR="00453C86">
        <w:t>paragraph (</w:t>
      </w:r>
      <w:r>
        <w:t>a) nor (b) applies—1.</w:t>
      </w:r>
    </w:p>
    <w:p w14:paraId="19F00A24" w14:textId="695CE364" w:rsidR="00A64702" w:rsidRPr="00A058B6" w:rsidRDefault="00A64702" w:rsidP="00A64702">
      <w:pPr>
        <w:pStyle w:val="Definition"/>
      </w:pPr>
      <w:r w:rsidRPr="00A058B6">
        <w:rPr>
          <w:b/>
          <w:bCs/>
          <w:i/>
          <w:iCs/>
        </w:rPr>
        <w:t>deemed value of the interest were it in payment phase at adjusted date</w:t>
      </w:r>
      <w:r w:rsidRPr="00A058B6">
        <w:t xml:space="preserve"> </w:t>
      </w:r>
      <w:r w:rsidR="00137B28">
        <w:t>means</w:t>
      </w:r>
      <w:r w:rsidRPr="00A058B6">
        <w:t xml:space="preserve"> the amount </w:t>
      </w:r>
      <w:r>
        <w:t xml:space="preserve">that would be </w:t>
      </w:r>
      <w:r w:rsidRPr="00A058B6">
        <w:t xml:space="preserve">calculated under </w:t>
      </w:r>
      <w:r w:rsidR="00CB78B9">
        <w:t>section 6</w:t>
      </w:r>
      <w:r w:rsidR="00485CC2">
        <w:t>4</w:t>
      </w:r>
      <w:r w:rsidRPr="00A058B6">
        <w:t xml:space="preserve"> for the</w:t>
      </w:r>
      <w:r>
        <w:t xml:space="preserve"> superannuation</w:t>
      </w:r>
      <w:r w:rsidRPr="00A058B6">
        <w:t xml:space="preserve"> interest if references in </w:t>
      </w:r>
      <w:r w:rsidR="00453C86">
        <w:t>Division 2</w:t>
      </w:r>
      <w:r w:rsidRPr="00A058B6">
        <w:t xml:space="preserve"> of Part </w:t>
      </w:r>
      <w:r w:rsidR="00F47A4A">
        <w:t>6</w:t>
      </w:r>
      <w:r w:rsidRPr="00A058B6">
        <w:t xml:space="preserve"> to the relevant date were references to the date the first splittable payment became payable in respect of the superannuation interest</w:t>
      </w:r>
      <w:r w:rsidR="00D7157D">
        <w:t>.</w:t>
      </w:r>
    </w:p>
    <w:p w14:paraId="28C1CC8A" w14:textId="660475FB" w:rsidR="00D930D9" w:rsidRPr="00A058B6" w:rsidRDefault="00485CC2" w:rsidP="00D930D9">
      <w:pPr>
        <w:pStyle w:val="ActHead5"/>
      </w:pPr>
      <w:bookmarkStart w:id="128" w:name="_Toc188350613"/>
      <w:r w:rsidRPr="00423C34">
        <w:rPr>
          <w:rStyle w:val="CharSectno"/>
        </w:rPr>
        <w:t>86</w:t>
      </w:r>
      <w:r w:rsidR="00D930D9" w:rsidRPr="00A058B6">
        <w:t xml:space="preserve">  Amount to be paid to non</w:t>
      </w:r>
      <w:r w:rsidR="001952B3">
        <w:noBreakHyphen/>
      </w:r>
      <w:r w:rsidR="00D930D9" w:rsidRPr="00A058B6">
        <w:t>member spouse—benefits payable as allocated pension or market linked pension</w:t>
      </w:r>
      <w:bookmarkEnd w:id="128"/>
    </w:p>
    <w:p w14:paraId="2DD08C39" w14:textId="77777777" w:rsidR="00D930D9" w:rsidRPr="00A058B6" w:rsidRDefault="00166432" w:rsidP="00D930D9">
      <w:pPr>
        <w:pStyle w:val="subsection"/>
      </w:pPr>
      <w:r>
        <w:rPr>
          <w:color w:val="000000"/>
        </w:rPr>
        <w:tab/>
        <w:t>(1)</w:t>
      </w:r>
      <w:r>
        <w:rPr>
          <w:color w:val="000000"/>
        </w:rPr>
        <w:tab/>
      </w:r>
      <w:r w:rsidR="00D930D9" w:rsidRPr="00A058B6">
        <w:rPr>
          <w:color w:val="000000"/>
        </w:rPr>
        <w:t>This section applies for the superannuation interest if:</w:t>
      </w:r>
    </w:p>
    <w:p w14:paraId="34A02220" w14:textId="77777777" w:rsidR="00D930D9" w:rsidRPr="00A058B6" w:rsidRDefault="00D930D9" w:rsidP="00D930D9">
      <w:pPr>
        <w:pStyle w:val="paragraph"/>
      </w:pPr>
      <w:r w:rsidRPr="00A058B6">
        <w:rPr>
          <w:color w:val="000000"/>
        </w:rPr>
        <w:tab/>
        <w:t>(a)</w:t>
      </w:r>
      <w:r w:rsidRPr="00A058B6">
        <w:rPr>
          <w:color w:val="000000"/>
        </w:rPr>
        <w:tab/>
        <w:t>the whole, or a part, of the benefits in respect of the interest are payable as an allocated pension or a market linked pension; and</w:t>
      </w:r>
    </w:p>
    <w:p w14:paraId="7E4A0109" w14:textId="790FA9FE" w:rsidR="00D930D9" w:rsidRPr="00A058B6" w:rsidRDefault="00D930D9" w:rsidP="00D930D9">
      <w:pPr>
        <w:pStyle w:val="paragraph"/>
      </w:pPr>
      <w:r w:rsidRPr="00A058B6">
        <w:tab/>
        <w:t>(b)</w:t>
      </w:r>
      <w:r w:rsidRPr="00A058B6">
        <w:tab/>
        <w:t>section </w:t>
      </w:r>
      <w:r w:rsidR="00485CC2">
        <w:t>80</w:t>
      </w:r>
      <w:r w:rsidRPr="00A058B6">
        <w:t xml:space="preserve"> does not apply for the interest</w:t>
      </w:r>
      <w:r w:rsidR="00D7157D">
        <w:t>.</w:t>
      </w:r>
    </w:p>
    <w:p w14:paraId="7816A72F" w14:textId="77777777" w:rsidR="00D930D9" w:rsidRPr="00A058B6" w:rsidRDefault="00D930D9" w:rsidP="00D930D9">
      <w:pPr>
        <w:pStyle w:val="SubsectionHead"/>
      </w:pPr>
      <w:r w:rsidRPr="00A058B6">
        <w:t>Benefits for the interest are payable as an allocated pension and not as a market linked pension</w:t>
      </w:r>
    </w:p>
    <w:p w14:paraId="1818AC17" w14:textId="77777777" w:rsidR="00D930D9" w:rsidRPr="00A058B6" w:rsidRDefault="00166432" w:rsidP="00D930D9">
      <w:pPr>
        <w:pStyle w:val="subsection"/>
        <w:rPr>
          <w:color w:val="000000"/>
        </w:rPr>
      </w:pPr>
      <w:r>
        <w:rPr>
          <w:color w:val="000000"/>
        </w:rPr>
        <w:tab/>
        <w:t>(2)</w:t>
      </w:r>
      <w:r>
        <w:rPr>
          <w:color w:val="000000"/>
        </w:rPr>
        <w:tab/>
      </w:r>
      <w:r w:rsidR="00D930D9" w:rsidRPr="00A058B6">
        <w:rPr>
          <w:color w:val="000000"/>
        </w:rPr>
        <w:t>If:</w:t>
      </w:r>
    </w:p>
    <w:p w14:paraId="058EA522" w14:textId="77777777" w:rsidR="00D930D9" w:rsidRPr="00A058B6" w:rsidRDefault="00D930D9" w:rsidP="00D930D9">
      <w:pPr>
        <w:pStyle w:val="paragraph"/>
        <w:rPr>
          <w:color w:val="000000"/>
        </w:rPr>
      </w:pPr>
      <w:r w:rsidRPr="00A058B6">
        <w:tab/>
        <w:t>(a)</w:t>
      </w:r>
      <w:r w:rsidRPr="00A058B6">
        <w:tab/>
      </w:r>
      <w:r w:rsidRPr="00A058B6">
        <w:rPr>
          <w:color w:val="000000"/>
        </w:rPr>
        <w:t>a splittable payment becomes payable in respect of the superannuation interest at a particular date; and</w:t>
      </w:r>
    </w:p>
    <w:p w14:paraId="4C61B45C" w14:textId="77777777" w:rsidR="00D930D9" w:rsidRPr="00A058B6" w:rsidRDefault="00D930D9" w:rsidP="00D930D9">
      <w:pPr>
        <w:pStyle w:val="paragraph"/>
        <w:rPr>
          <w:color w:val="000000"/>
        </w:rPr>
      </w:pPr>
      <w:r w:rsidRPr="00A058B6">
        <w:rPr>
          <w:color w:val="000000"/>
        </w:rPr>
        <w:tab/>
        <w:t>(b)</w:t>
      </w:r>
      <w:r w:rsidRPr="00A058B6">
        <w:rPr>
          <w:color w:val="000000"/>
        </w:rPr>
        <w:tab/>
        <w:t>the whole, or a part, of the benefits for the interest are payable as an allocated pension and not as a market linked pension;</w:t>
      </w:r>
    </w:p>
    <w:p w14:paraId="5B51114D" w14:textId="2992379C" w:rsidR="00D930D9" w:rsidRPr="00A058B6" w:rsidRDefault="00D930D9" w:rsidP="00D930D9">
      <w:pPr>
        <w:pStyle w:val="subsection2"/>
      </w:pPr>
      <w:r w:rsidRPr="00A058B6">
        <w:t>the non</w:t>
      </w:r>
      <w:r w:rsidR="001952B3">
        <w:noBreakHyphen/>
      </w:r>
      <w:r w:rsidRPr="00A058B6">
        <w:t>member spouse is entitled to be paid, from the lump sum from which the allocated pension is payable, an amount equal to the adjusted base amount applicable to the non</w:t>
      </w:r>
      <w:r w:rsidR="001952B3">
        <w:noBreakHyphen/>
      </w:r>
      <w:r w:rsidRPr="00A058B6">
        <w:t>member spouse for the interest at that date</w:t>
      </w:r>
      <w:r w:rsidR="00D7157D">
        <w:t>.</w:t>
      </w:r>
    </w:p>
    <w:p w14:paraId="501195AE" w14:textId="77777777" w:rsidR="00D930D9" w:rsidRPr="00A058B6" w:rsidRDefault="00D930D9" w:rsidP="00D930D9">
      <w:pPr>
        <w:pStyle w:val="SubsectionHead"/>
      </w:pPr>
      <w:r w:rsidRPr="00A058B6">
        <w:t>Benefits for the interest are payable as a market linked pension and not as an allocated pension</w:t>
      </w:r>
    </w:p>
    <w:p w14:paraId="4DA824D4" w14:textId="77777777" w:rsidR="00D930D9" w:rsidRPr="00A058B6" w:rsidRDefault="00166432" w:rsidP="00D930D9">
      <w:pPr>
        <w:pStyle w:val="subsection"/>
      </w:pPr>
      <w:r>
        <w:tab/>
        <w:t>(3)</w:t>
      </w:r>
      <w:r>
        <w:tab/>
      </w:r>
      <w:r w:rsidR="00D930D9" w:rsidRPr="00A058B6">
        <w:t>If:</w:t>
      </w:r>
    </w:p>
    <w:p w14:paraId="4699B314" w14:textId="77777777" w:rsidR="00D930D9" w:rsidRPr="00A058B6" w:rsidRDefault="00D930D9" w:rsidP="00D930D9">
      <w:pPr>
        <w:pStyle w:val="paragraph"/>
      </w:pPr>
      <w:r w:rsidRPr="00A058B6">
        <w:tab/>
        <w:t>(a)</w:t>
      </w:r>
      <w:r w:rsidRPr="00A058B6">
        <w:tab/>
        <w:t>a splittable payment becomes payable in respect of the superannuation interest at a particular date; and</w:t>
      </w:r>
    </w:p>
    <w:p w14:paraId="1177ECD8" w14:textId="77777777" w:rsidR="00D930D9" w:rsidRPr="00A058B6" w:rsidRDefault="00D930D9" w:rsidP="00D930D9">
      <w:pPr>
        <w:pStyle w:val="paragraph"/>
      </w:pPr>
      <w:r w:rsidRPr="00A058B6">
        <w:tab/>
        <w:t>(b)</w:t>
      </w:r>
      <w:r w:rsidRPr="00A058B6">
        <w:tab/>
        <w:t>the whole, or a part, of the benefits for the interest are payable as a market linked pension and not as an allocated pension;</w:t>
      </w:r>
    </w:p>
    <w:p w14:paraId="40C5E77F" w14:textId="1F2AEF71" w:rsidR="00D930D9" w:rsidRPr="00A058B6" w:rsidRDefault="00D930D9" w:rsidP="00D930D9">
      <w:pPr>
        <w:pStyle w:val="subsection2"/>
      </w:pPr>
      <w:r w:rsidRPr="00A058B6">
        <w:t>the non</w:t>
      </w:r>
      <w:r w:rsidR="001952B3">
        <w:noBreakHyphen/>
      </w:r>
      <w:r w:rsidRPr="00A058B6">
        <w:t>member spouse is entitled to be paid, from the lump sum from which the market linked pension is payable, an amount equal to the adjusted base amount applicable to the non</w:t>
      </w:r>
      <w:r w:rsidR="001952B3">
        <w:noBreakHyphen/>
      </w:r>
      <w:r w:rsidRPr="00A058B6">
        <w:t>member spouse for the interest at that date</w:t>
      </w:r>
      <w:r w:rsidR="00D7157D">
        <w:t>.</w:t>
      </w:r>
    </w:p>
    <w:p w14:paraId="034EC27D" w14:textId="77777777" w:rsidR="00D930D9" w:rsidRPr="00A058B6" w:rsidRDefault="00D930D9" w:rsidP="00D930D9">
      <w:pPr>
        <w:pStyle w:val="SubsectionHead"/>
      </w:pPr>
      <w:r w:rsidRPr="00A058B6">
        <w:t>Benefits for the interest are payable as both an allocated pension and a market linked pension—lump sum for allocated pension is greater than or equal to the adjusted base amount</w:t>
      </w:r>
    </w:p>
    <w:p w14:paraId="7F87F698" w14:textId="77777777" w:rsidR="00D930D9" w:rsidRPr="00A058B6" w:rsidRDefault="00166432" w:rsidP="00D930D9">
      <w:pPr>
        <w:pStyle w:val="subsection"/>
      </w:pPr>
      <w:r>
        <w:tab/>
        <w:t>(4)</w:t>
      </w:r>
      <w:r>
        <w:tab/>
      </w:r>
      <w:r w:rsidR="00D930D9" w:rsidRPr="00A058B6">
        <w:t>If:</w:t>
      </w:r>
    </w:p>
    <w:p w14:paraId="1E0C267A" w14:textId="77777777" w:rsidR="00D930D9" w:rsidRPr="00A058B6" w:rsidRDefault="00D930D9" w:rsidP="00D930D9">
      <w:pPr>
        <w:pStyle w:val="paragraph"/>
      </w:pPr>
      <w:r w:rsidRPr="00A058B6">
        <w:tab/>
        <w:t>(a)</w:t>
      </w:r>
      <w:r w:rsidRPr="00A058B6">
        <w:tab/>
        <w:t>a splittable payment becomes payable in respect of the superannuation interest at a particular date; and</w:t>
      </w:r>
    </w:p>
    <w:p w14:paraId="532CC719" w14:textId="77777777" w:rsidR="00D930D9" w:rsidRPr="00A058B6" w:rsidRDefault="00D930D9" w:rsidP="00D930D9">
      <w:pPr>
        <w:pStyle w:val="paragraph"/>
      </w:pPr>
      <w:r w:rsidRPr="00A058B6">
        <w:tab/>
        <w:t>(b)</w:t>
      </w:r>
      <w:r w:rsidRPr="00A058B6">
        <w:tab/>
        <w:t xml:space="preserve">one part of the benefits for the interest is payable as an allocated pension and another </w:t>
      </w:r>
      <w:r w:rsidR="00B05FD6">
        <w:t>part i</w:t>
      </w:r>
      <w:r w:rsidRPr="00A058B6">
        <w:t>s payable as a market linked pension; and</w:t>
      </w:r>
    </w:p>
    <w:p w14:paraId="77DEED6F" w14:textId="56983389" w:rsidR="00D930D9" w:rsidRPr="00A058B6" w:rsidRDefault="00D930D9" w:rsidP="00D930D9">
      <w:pPr>
        <w:pStyle w:val="paragraph"/>
      </w:pPr>
      <w:r w:rsidRPr="00A058B6">
        <w:tab/>
        <w:t>(c)</w:t>
      </w:r>
      <w:r w:rsidRPr="00A058B6">
        <w:tab/>
      </w:r>
      <w:r w:rsidRPr="00A058B6">
        <w:rPr>
          <w:color w:val="000000"/>
        </w:rPr>
        <w:t>the amount of the lump sum from which the allocated pension is payable is greater than or equal to the adjusted base amount applicable to the non</w:t>
      </w:r>
      <w:r w:rsidR="001952B3">
        <w:rPr>
          <w:color w:val="000000"/>
        </w:rPr>
        <w:noBreakHyphen/>
      </w:r>
      <w:r w:rsidRPr="00A058B6">
        <w:rPr>
          <w:color w:val="000000"/>
        </w:rPr>
        <w:t>member spouse for the interest at that date;</w:t>
      </w:r>
    </w:p>
    <w:p w14:paraId="3E47B5FB" w14:textId="51CBE61D" w:rsidR="00D930D9" w:rsidRPr="00A058B6" w:rsidRDefault="00D930D9" w:rsidP="00D930D9">
      <w:pPr>
        <w:pStyle w:val="subsection2"/>
      </w:pPr>
      <w:r w:rsidRPr="00A058B6">
        <w:t>the non</w:t>
      </w:r>
      <w:r w:rsidR="001952B3">
        <w:noBreakHyphen/>
      </w:r>
      <w:r w:rsidRPr="00A058B6">
        <w:t xml:space="preserve">member spouse is entitled to be paid, </w:t>
      </w:r>
      <w:r w:rsidRPr="00A058B6">
        <w:rPr>
          <w:color w:val="000000"/>
        </w:rPr>
        <w:t>from that lump sum, an amount equal to that adjusted base amount</w:t>
      </w:r>
      <w:r w:rsidR="00D7157D">
        <w:rPr>
          <w:color w:val="000000"/>
        </w:rPr>
        <w:t>.</w:t>
      </w:r>
    </w:p>
    <w:p w14:paraId="601D455C" w14:textId="77777777" w:rsidR="00D930D9" w:rsidRPr="00A058B6" w:rsidRDefault="00D930D9" w:rsidP="00D930D9">
      <w:pPr>
        <w:pStyle w:val="SubsectionHead"/>
      </w:pPr>
      <w:r w:rsidRPr="00A058B6">
        <w:t>Benefits for the interest are payable as both an allocated pension and a market linked pension—lump sum for allocated pension is less than the adjusted base amount</w:t>
      </w:r>
    </w:p>
    <w:p w14:paraId="5DFAB8D4" w14:textId="77777777" w:rsidR="00D930D9" w:rsidRPr="00A058B6" w:rsidRDefault="00166432" w:rsidP="00D930D9">
      <w:pPr>
        <w:pStyle w:val="subsection"/>
      </w:pPr>
      <w:r>
        <w:tab/>
        <w:t>(5)</w:t>
      </w:r>
      <w:r>
        <w:tab/>
      </w:r>
      <w:r w:rsidR="00D930D9" w:rsidRPr="00A058B6">
        <w:t>If:</w:t>
      </w:r>
    </w:p>
    <w:p w14:paraId="7691981F" w14:textId="77777777" w:rsidR="00D930D9" w:rsidRPr="00A058B6" w:rsidRDefault="00D930D9" w:rsidP="00D930D9">
      <w:pPr>
        <w:pStyle w:val="paragraph"/>
      </w:pPr>
      <w:r w:rsidRPr="00A058B6">
        <w:tab/>
        <w:t>(a)</w:t>
      </w:r>
      <w:r w:rsidRPr="00A058B6">
        <w:tab/>
        <w:t>a splittable payment becomes payable in respect of the superannuation interest at a particular date; and</w:t>
      </w:r>
    </w:p>
    <w:p w14:paraId="4A85C7CF" w14:textId="77777777" w:rsidR="00D930D9" w:rsidRPr="00A058B6" w:rsidRDefault="00D930D9" w:rsidP="00D930D9">
      <w:pPr>
        <w:pStyle w:val="paragraph"/>
      </w:pPr>
      <w:r w:rsidRPr="00A058B6">
        <w:tab/>
        <w:t>(b)</w:t>
      </w:r>
      <w:r w:rsidRPr="00A058B6">
        <w:tab/>
        <w:t xml:space="preserve">one part of the benefits for the interest is payable as an allocated pension and another </w:t>
      </w:r>
      <w:r w:rsidR="00B05FD6">
        <w:t>part i</w:t>
      </w:r>
      <w:r w:rsidRPr="00A058B6">
        <w:t>s payable as a market linked pension; and</w:t>
      </w:r>
    </w:p>
    <w:p w14:paraId="094F356E" w14:textId="58502432" w:rsidR="00D930D9" w:rsidRPr="00A058B6" w:rsidRDefault="00D930D9" w:rsidP="00D930D9">
      <w:pPr>
        <w:pStyle w:val="paragraph"/>
      </w:pPr>
      <w:r w:rsidRPr="00A058B6">
        <w:tab/>
        <w:t>(c)</w:t>
      </w:r>
      <w:r w:rsidRPr="00A058B6">
        <w:tab/>
        <w:t>the amount of the lump sum from which the allocated pension is payable falls short of the amount of the adjusted base amount applicable to the non</w:t>
      </w:r>
      <w:r w:rsidR="001952B3">
        <w:noBreakHyphen/>
      </w:r>
      <w:r w:rsidRPr="00A058B6">
        <w:t>member spouse for the interest at that date;</w:t>
      </w:r>
    </w:p>
    <w:p w14:paraId="3EC17FA6" w14:textId="53ED14F1" w:rsidR="00D930D9" w:rsidRPr="00A058B6" w:rsidRDefault="00D930D9" w:rsidP="00D930D9">
      <w:pPr>
        <w:pStyle w:val="subsection2"/>
      </w:pPr>
      <w:r w:rsidRPr="00A058B6">
        <w:t>the non</w:t>
      </w:r>
      <w:r w:rsidR="001952B3">
        <w:noBreakHyphen/>
      </w:r>
      <w:r w:rsidRPr="00A058B6">
        <w:t>member spouse is entitled to be paid:</w:t>
      </w:r>
    </w:p>
    <w:p w14:paraId="204AD01C" w14:textId="77777777" w:rsidR="00D930D9" w:rsidRPr="00A058B6" w:rsidRDefault="00D930D9" w:rsidP="00D930D9">
      <w:pPr>
        <w:pStyle w:val="paragraph"/>
      </w:pPr>
      <w:r w:rsidRPr="00A058B6">
        <w:tab/>
        <w:t>(d)</w:t>
      </w:r>
      <w:r w:rsidRPr="00A058B6">
        <w:tab/>
        <w:t>the amount of that lump sum; and</w:t>
      </w:r>
    </w:p>
    <w:p w14:paraId="711E7C9D" w14:textId="77777777" w:rsidR="00D930D9" w:rsidRPr="00A058B6" w:rsidRDefault="00D930D9" w:rsidP="00D930D9">
      <w:pPr>
        <w:pStyle w:val="paragraph"/>
      </w:pPr>
      <w:r w:rsidRPr="00A058B6">
        <w:tab/>
        <w:t>(e)</w:t>
      </w:r>
      <w:r w:rsidRPr="00A058B6">
        <w:tab/>
        <w:t>so much of the amount of the lump sum from which the market linked pension is payable as is needed to pay that shortfall</w:t>
      </w:r>
      <w:r w:rsidR="00D7157D">
        <w:t>.</w:t>
      </w:r>
    </w:p>
    <w:p w14:paraId="399F86F3" w14:textId="17F9EE34" w:rsidR="00D930D9" w:rsidRPr="00A058B6" w:rsidRDefault="00D930D9" w:rsidP="00D930D9">
      <w:pPr>
        <w:pStyle w:val="SubsectionHead"/>
      </w:pPr>
      <w:r w:rsidRPr="00A058B6">
        <w:t>Entitlement of non</w:t>
      </w:r>
      <w:r w:rsidR="001952B3">
        <w:noBreakHyphen/>
      </w:r>
      <w:r w:rsidRPr="00A058B6">
        <w:t>member spouse for any other splittable payments</w:t>
      </w:r>
    </w:p>
    <w:p w14:paraId="3808F21E" w14:textId="67C7D995" w:rsidR="00D930D9" w:rsidRPr="00A058B6" w:rsidRDefault="00166432" w:rsidP="00D930D9">
      <w:pPr>
        <w:pStyle w:val="subsection"/>
      </w:pPr>
      <w:r>
        <w:rPr>
          <w:color w:val="000000"/>
        </w:rPr>
        <w:tab/>
        <w:t>(6)</w:t>
      </w:r>
      <w:r>
        <w:rPr>
          <w:color w:val="000000"/>
        </w:rPr>
        <w:tab/>
      </w:r>
      <w:r w:rsidR="00D930D9" w:rsidRPr="00A058B6">
        <w:rPr>
          <w:color w:val="000000"/>
        </w:rPr>
        <w:t>The non</w:t>
      </w:r>
      <w:r w:rsidR="001952B3">
        <w:rPr>
          <w:color w:val="000000"/>
        </w:rPr>
        <w:noBreakHyphen/>
      </w:r>
      <w:r w:rsidR="00D930D9" w:rsidRPr="00A058B6">
        <w:rPr>
          <w:color w:val="000000"/>
        </w:rPr>
        <w:t>member spouse is not entitled to be paid any amount from any other splittable payment in respect of the superannuation interest</w:t>
      </w:r>
      <w:r w:rsidR="00D7157D">
        <w:rPr>
          <w:color w:val="000000"/>
        </w:rPr>
        <w:t>.</w:t>
      </w:r>
    </w:p>
    <w:p w14:paraId="4A3D3A92" w14:textId="2D23F1B5" w:rsidR="00D930D9" w:rsidRPr="00A058B6" w:rsidRDefault="00166432" w:rsidP="00D930D9">
      <w:pPr>
        <w:pStyle w:val="subsection"/>
      </w:pPr>
      <w:r>
        <w:tab/>
        <w:t>(7)</w:t>
      </w:r>
      <w:r>
        <w:tab/>
      </w:r>
      <w:r w:rsidR="00D930D9" w:rsidRPr="00A058B6">
        <w:t xml:space="preserve">However, if the lump sum mentioned in </w:t>
      </w:r>
      <w:r w:rsidR="00A52DA5">
        <w:t>subsection (</w:t>
      </w:r>
      <w:r w:rsidR="00D930D9" w:rsidRPr="00A058B6">
        <w:t>2) or (3), or the total of the lump sums mentioned in paragraphs (</w:t>
      </w:r>
      <w:r>
        <w:t>5</w:t>
      </w:r>
      <w:r w:rsidR="00D930D9" w:rsidRPr="00A058B6">
        <w:t>)(d) and (e), is less than the adjusted base amount applicable to the non</w:t>
      </w:r>
      <w:r w:rsidR="001952B3">
        <w:noBreakHyphen/>
      </w:r>
      <w:r w:rsidR="00D930D9" w:rsidRPr="00A058B6">
        <w:t>member spouse for the interest at the date the splittable payment becomes payable, the non</w:t>
      </w:r>
      <w:r w:rsidR="001952B3">
        <w:noBreakHyphen/>
      </w:r>
      <w:r w:rsidR="00D930D9" w:rsidRPr="00A058B6">
        <w:t>member spouse is entitled to be paid:</w:t>
      </w:r>
    </w:p>
    <w:p w14:paraId="29FCCC6E" w14:textId="77777777" w:rsidR="00D930D9" w:rsidRPr="00A058B6" w:rsidRDefault="00D930D9" w:rsidP="00D930D9">
      <w:pPr>
        <w:pStyle w:val="paragraph"/>
      </w:pPr>
      <w:r w:rsidRPr="00A058B6">
        <w:rPr>
          <w:color w:val="000000"/>
        </w:rPr>
        <w:tab/>
        <w:t>(a)</w:t>
      </w:r>
      <w:r w:rsidRPr="00A058B6">
        <w:rPr>
          <w:color w:val="000000"/>
        </w:rPr>
        <w:tab/>
        <w:t>the amount of the lump sum, or lump sums, as applicable; and</w:t>
      </w:r>
    </w:p>
    <w:p w14:paraId="623B662F" w14:textId="0307A304" w:rsidR="00D930D9" w:rsidRPr="00A058B6" w:rsidRDefault="00D930D9" w:rsidP="00D930D9">
      <w:pPr>
        <w:pStyle w:val="paragraph"/>
      </w:pPr>
      <w:r w:rsidRPr="00A058B6">
        <w:tab/>
        <w:t>(b)</w:t>
      </w:r>
      <w:r w:rsidRPr="00A058B6">
        <w:tab/>
        <w:t xml:space="preserve">from each other splittable payment that becomes payable in respect of the superannuation interest, the amount calculated under </w:t>
      </w:r>
      <w:r w:rsidR="00A52DA5">
        <w:t>subsection (</w:t>
      </w:r>
      <w:r w:rsidR="00201DCF">
        <w:t>8</w:t>
      </w:r>
      <w:r w:rsidRPr="00A058B6">
        <w:t>)</w:t>
      </w:r>
      <w:r w:rsidR="00D7157D">
        <w:t>.</w:t>
      </w:r>
    </w:p>
    <w:p w14:paraId="1BCC0B31" w14:textId="2F3E212A" w:rsidR="00D930D9" w:rsidRPr="00A058B6" w:rsidRDefault="00166432" w:rsidP="00D930D9">
      <w:pPr>
        <w:pStyle w:val="subsection"/>
      </w:pPr>
      <w:r>
        <w:tab/>
        <w:t>(8)</w:t>
      </w:r>
      <w:r>
        <w:tab/>
      </w:r>
      <w:r w:rsidR="00D930D9" w:rsidRPr="00A058B6">
        <w:t xml:space="preserve">For the purposes of </w:t>
      </w:r>
      <w:r w:rsidR="00453C86">
        <w:t>paragraph (</w:t>
      </w:r>
      <w:r w:rsidR="00201DCF">
        <w:t>7</w:t>
      </w:r>
      <w:r w:rsidR="00D930D9" w:rsidRPr="00A058B6">
        <w:t>)(b), the amount is equal to:</w:t>
      </w:r>
    </w:p>
    <w:p w14:paraId="7DD622C6" w14:textId="09364576" w:rsidR="00D930D9" w:rsidRPr="00A058B6" w:rsidRDefault="00AA0B64" w:rsidP="00D930D9">
      <w:pPr>
        <w:pStyle w:val="subsection2"/>
      </w:pPr>
      <w:r w:rsidRPr="00A058B6">
        <w:rPr>
          <w:position w:val="-56"/>
        </w:rPr>
        <w:object w:dxaOrig="5700" w:dyaOrig="1359" w14:anchorId="5ED89666">
          <v:shape id="_x0000_i1047" type="#_x0000_t75" alt="Start formula start fraction open bracket Adjusted base amount minus Initial lump sum or sums close bracket times Splittable payment amount over Deemed value of the interest were it in payment phase at adjusted date minus Initial lump sum or sums end fraction end formula" style="width:286.15pt;height:68.8pt" o:ole="">
            <v:imagedata r:id="rId68" o:title=""/>
          </v:shape>
          <o:OLEObject Type="Embed" ProgID="Equation.DSMT4" ShapeID="_x0000_i1047" DrawAspect="Content" ObjectID="_1801634276" r:id="rId69"/>
        </w:object>
      </w:r>
    </w:p>
    <w:p w14:paraId="1B010D2E" w14:textId="77777777" w:rsidR="00D930D9" w:rsidRPr="00A058B6" w:rsidRDefault="00D930D9" w:rsidP="00D930D9">
      <w:pPr>
        <w:pStyle w:val="subsection2"/>
      </w:pPr>
      <w:r w:rsidRPr="00A058B6">
        <w:t>where:</w:t>
      </w:r>
    </w:p>
    <w:p w14:paraId="12634BF2" w14:textId="308AC97A" w:rsidR="00D930D9" w:rsidRPr="00A058B6" w:rsidRDefault="00D930D9" w:rsidP="00D930D9">
      <w:pPr>
        <w:pStyle w:val="Definition"/>
        <w:spacing w:before="120"/>
      </w:pPr>
      <w:r w:rsidRPr="00A058B6">
        <w:rPr>
          <w:b/>
          <w:bCs/>
          <w:i/>
          <w:iCs/>
          <w:color w:val="000000"/>
        </w:rPr>
        <w:t>adjusted base amount</w:t>
      </w:r>
      <w:r w:rsidRPr="00A058B6">
        <w:rPr>
          <w:color w:val="000000"/>
        </w:rPr>
        <w:t xml:space="preserve"> </w:t>
      </w:r>
      <w:r w:rsidR="00137B28">
        <w:rPr>
          <w:color w:val="000000"/>
        </w:rPr>
        <w:t>means</w:t>
      </w:r>
      <w:r w:rsidRPr="00A058B6">
        <w:rPr>
          <w:color w:val="000000"/>
        </w:rPr>
        <w:t xml:space="preserve"> the adjusted base amount applicable to the non</w:t>
      </w:r>
      <w:r w:rsidR="001952B3">
        <w:rPr>
          <w:color w:val="000000"/>
        </w:rPr>
        <w:noBreakHyphen/>
      </w:r>
      <w:r w:rsidRPr="00A058B6">
        <w:rPr>
          <w:color w:val="000000"/>
        </w:rPr>
        <w:t>member spouse for the interest at the date the first splittable payment becomes payable in respect of the superannuation interest</w:t>
      </w:r>
      <w:r w:rsidR="00D7157D">
        <w:rPr>
          <w:color w:val="000000"/>
        </w:rPr>
        <w:t>.</w:t>
      </w:r>
    </w:p>
    <w:p w14:paraId="0665392A" w14:textId="1F945884" w:rsidR="00D930D9" w:rsidRPr="00A058B6" w:rsidRDefault="00D930D9" w:rsidP="00D930D9">
      <w:pPr>
        <w:pStyle w:val="Definition"/>
      </w:pPr>
      <w:r w:rsidRPr="00A058B6">
        <w:rPr>
          <w:b/>
          <w:bCs/>
          <w:i/>
          <w:iCs/>
        </w:rPr>
        <w:t>initial lump sum(s)</w:t>
      </w:r>
      <w:r w:rsidRPr="00A058B6">
        <w:t xml:space="preserve"> </w:t>
      </w:r>
      <w:r w:rsidR="00137B28">
        <w:t>means</w:t>
      </w:r>
      <w:r w:rsidRPr="00A058B6">
        <w:t xml:space="preserve"> the amount of the lump sum, or lump sums, paid to the non</w:t>
      </w:r>
      <w:r w:rsidR="001952B3">
        <w:noBreakHyphen/>
      </w:r>
      <w:r w:rsidRPr="00A058B6">
        <w:t xml:space="preserve">member spouse under </w:t>
      </w:r>
      <w:r w:rsidR="00453C86">
        <w:t>paragraph (</w:t>
      </w:r>
      <w:r w:rsidR="00201DCF">
        <w:t>7</w:t>
      </w:r>
      <w:r w:rsidRPr="00A058B6">
        <w:t>)(a)</w:t>
      </w:r>
      <w:r w:rsidR="00D7157D">
        <w:t>.</w:t>
      </w:r>
    </w:p>
    <w:p w14:paraId="744EC736" w14:textId="77777777" w:rsidR="00D930D9" w:rsidRPr="00A058B6" w:rsidRDefault="00D930D9" w:rsidP="00D930D9">
      <w:pPr>
        <w:pStyle w:val="Definition"/>
      </w:pPr>
      <w:r w:rsidRPr="00A058B6">
        <w:rPr>
          <w:b/>
          <w:bCs/>
          <w:i/>
          <w:iCs/>
        </w:rPr>
        <w:t>splittable payment amount</w:t>
      </w:r>
      <w:r w:rsidRPr="00A058B6">
        <w:t xml:space="preserve"> </w:t>
      </w:r>
      <w:r w:rsidR="00137B28">
        <w:t>means</w:t>
      </w:r>
      <w:r w:rsidRPr="00A058B6">
        <w:t xml:space="preserve"> the amount of the relevant splittable payment</w:t>
      </w:r>
      <w:r w:rsidR="00D7157D">
        <w:t>.</w:t>
      </w:r>
    </w:p>
    <w:p w14:paraId="0D3D6359" w14:textId="4278E546" w:rsidR="00A64702" w:rsidRPr="00A058B6" w:rsidRDefault="00A64702" w:rsidP="00A64702">
      <w:pPr>
        <w:pStyle w:val="Definition"/>
      </w:pPr>
      <w:r w:rsidRPr="00A058B6">
        <w:rPr>
          <w:b/>
          <w:bCs/>
          <w:i/>
          <w:iCs/>
        </w:rPr>
        <w:t>deemed value of the interest were it in payment phase at adjusted date</w:t>
      </w:r>
      <w:r w:rsidRPr="00A058B6">
        <w:t xml:space="preserve"> </w:t>
      </w:r>
      <w:r w:rsidR="00137B28">
        <w:t>means</w:t>
      </w:r>
      <w:r w:rsidRPr="00A058B6">
        <w:t xml:space="preserve"> the amount </w:t>
      </w:r>
      <w:r>
        <w:t xml:space="preserve">that would be </w:t>
      </w:r>
      <w:r w:rsidRPr="00A058B6">
        <w:t xml:space="preserve">calculated under </w:t>
      </w:r>
      <w:r w:rsidR="00CB78B9">
        <w:t>section 6</w:t>
      </w:r>
      <w:r w:rsidR="00485CC2">
        <w:t>4</w:t>
      </w:r>
      <w:r w:rsidRPr="00A058B6">
        <w:t xml:space="preserve"> for the</w:t>
      </w:r>
      <w:r>
        <w:t xml:space="preserve"> superannuation</w:t>
      </w:r>
      <w:r w:rsidRPr="00A058B6">
        <w:t xml:space="preserve"> interest if references in </w:t>
      </w:r>
      <w:r w:rsidR="00453C86">
        <w:t>Division 2</w:t>
      </w:r>
      <w:r w:rsidRPr="00A058B6">
        <w:t xml:space="preserve"> of Part </w:t>
      </w:r>
      <w:r w:rsidR="00934E66">
        <w:t>6</w:t>
      </w:r>
      <w:r w:rsidRPr="00A058B6">
        <w:t xml:space="preserve"> to the relevant date were references to the date the first splittable payment became payable in respect of the superannuation interest</w:t>
      </w:r>
      <w:r w:rsidR="00D7157D">
        <w:t>.</w:t>
      </w:r>
    </w:p>
    <w:p w14:paraId="07190336" w14:textId="77777777" w:rsidR="00D930D9" w:rsidRPr="00A058B6" w:rsidRDefault="00881039" w:rsidP="00D930D9">
      <w:pPr>
        <w:pStyle w:val="ActHead3"/>
        <w:pageBreakBefore/>
      </w:pPr>
      <w:bookmarkStart w:id="129" w:name="_Toc188350614"/>
      <w:r w:rsidRPr="00423C34">
        <w:rPr>
          <w:rStyle w:val="CharDivNo"/>
        </w:rPr>
        <w:t>Division 3</w:t>
      </w:r>
      <w:r w:rsidR="00D930D9" w:rsidRPr="00A058B6">
        <w:t>—</w:t>
      </w:r>
      <w:r w:rsidR="00D930D9" w:rsidRPr="00423C34">
        <w:rPr>
          <w:rStyle w:val="CharDivText"/>
        </w:rPr>
        <w:t>Superannuation interest in payment phase at date of service of agreement or date of order</w:t>
      </w:r>
      <w:bookmarkEnd w:id="129"/>
    </w:p>
    <w:p w14:paraId="659CD2BB" w14:textId="77777777" w:rsidR="00D930D9" w:rsidRPr="00A058B6" w:rsidRDefault="00D930D9" w:rsidP="00D930D9">
      <w:pPr>
        <w:pStyle w:val="ActHead4"/>
      </w:pPr>
      <w:bookmarkStart w:id="130" w:name="_Toc188350615"/>
      <w:r w:rsidRPr="00423C34">
        <w:rPr>
          <w:rStyle w:val="CharSubdNo"/>
        </w:rPr>
        <w:t>Subdivision A</w:t>
      </w:r>
      <w:r w:rsidRPr="00A058B6">
        <w:t>—</w:t>
      </w:r>
      <w:r w:rsidRPr="00423C34">
        <w:rPr>
          <w:rStyle w:val="CharSubdText"/>
        </w:rPr>
        <w:t>Preliminary</w:t>
      </w:r>
      <w:bookmarkEnd w:id="130"/>
    </w:p>
    <w:p w14:paraId="4C4D3EE7" w14:textId="4311729B" w:rsidR="00D930D9" w:rsidRPr="00A058B6" w:rsidRDefault="00485CC2" w:rsidP="00D930D9">
      <w:pPr>
        <w:pStyle w:val="ActHead5"/>
      </w:pPr>
      <w:bookmarkStart w:id="131" w:name="_Toc188350616"/>
      <w:r w:rsidRPr="00423C34">
        <w:rPr>
          <w:rStyle w:val="CharSectno"/>
        </w:rPr>
        <w:t>87</w:t>
      </w:r>
      <w:r w:rsidR="00D930D9" w:rsidRPr="00A058B6">
        <w:t xml:space="preserve">  Simplified outline of this Division</w:t>
      </w:r>
      <w:bookmarkEnd w:id="131"/>
    </w:p>
    <w:p w14:paraId="4A72FE22" w14:textId="434EF598" w:rsidR="00D930D9" w:rsidRPr="00A058B6" w:rsidRDefault="00D930D9" w:rsidP="00D930D9">
      <w:pPr>
        <w:pStyle w:val="SOText"/>
      </w:pPr>
      <w:r w:rsidRPr="00A058B6">
        <w:t>This Division works out the amount the non</w:t>
      </w:r>
      <w:r w:rsidR="001952B3">
        <w:noBreakHyphen/>
      </w:r>
      <w:r w:rsidRPr="00A058B6">
        <w:t>member spouse is entitled to be paid under a payment split for a splittable payment for a superannuation interest of the member spouse if the superannuation interest:</w:t>
      </w:r>
    </w:p>
    <w:p w14:paraId="388C2C81" w14:textId="30F69D6A" w:rsidR="00D930D9" w:rsidRDefault="00D930D9" w:rsidP="00D930D9">
      <w:pPr>
        <w:pStyle w:val="SOPara"/>
      </w:pPr>
      <w:r>
        <w:tab/>
        <w:t>(a)</w:t>
      </w:r>
      <w:r>
        <w:tab/>
      </w:r>
      <w:r w:rsidRPr="00A058B6">
        <w:t>is not a percentage</w:t>
      </w:r>
      <w:r w:rsidR="001952B3">
        <w:noBreakHyphen/>
      </w:r>
      <w:r w:rsidRPr="00A058B6">
        <w:t>only interest</w:t>
      </w:r>
      <w:r>
        <w:t>; and</w:t>
      </w:r>
    </w:p>
    <w:p w14:paraId="749415A5" w14:textId="77777777" w:rsidR="00D930D9" w:rsidRPr="00A058B6" w:rsidRDefault="00D930D9" w:rsidP="00D930D9">
      <w:pPr>
        <w:pStyle w:val="SOPara"/>
      </w:pPr>
      <w:r w:rsidRPr="00A058B6">
        <w:tab/>
        <w:t>(</w:t>
      </w:r>
      <w:r>
        <w:t>b</w:t>
      </w:r>
      <w:r w:rsidRPr="00A058B6">
        <w:t>)</w:t>
      </w:r>
      <w:r w:rsidRPr="00A058B6">
        <w:tab/>
        <w:t>is covered by a superannuation agreement, flag lifting agreement or splitting order; and</w:t>
      </w:r>
    </w:p>
    <w:p w14:paraId="700F5167" w14:textId="77777777" w:rsidR="00D930D9" w:rsidRPr="00A058B6" w:rsidRDefault="00D930D9" w:rsidP="00D930D9">
      <w:pPr>
        <w:pStyle w:val="SOPara"/>
      </w:pPr>
      <w:r w:rsidRPr="00A058B6">
        <w:tab/>
        <w:t>(</w:t>
      </w:r>
      <w:r>
        <w:t>c</w:t>
      </w:r>
      <w:r w:rsidRPr="00A058B6">
        <w:t>)</w:t>
      </w:r>
      <w:r w:rsidRPr="00A058B6">
        <w:tab/>
        <w:t xml:space="preserve">is in the payment phase either at the date the agreement is served on the trustee under </w:t>
      </w:r>
      <w:r w:rsidR="00AF1E4E">
        <w:t>section 9</w:t>
      </w:r>
      <w:r w:rsidRPr="00A058B6">
        <w:t>0XI or 90YM of the Act, or at the date of the splitting order (as applicable)</w:t>
      </w:r>
      <w:r w:rsidR="00D7157D">
        <w:t>.</w:t>
      </w:r>
    </w:p>
    <w:p w14:paraId="16B2BD01" w14:textId="77777777" w:rsidR="00D930D9" w:rsidRPr="00A058B6" w:rsidRDefault="00D930D9" w:rsidP="00D930D9">
      <w:pPr>
        <w:pStyle w:val="SOText"/>
      </w:pPr>
      <w:r w:rsidRPr="00A058B6">
        <w:t xml:space="preserve">Different approaches apply for working out this amount </w:t>
      </w:r>
      <w:r>
        <w:t>depending on whether</w:t>
      </w:r>
      <w:r w:rsidRPr="00A058B6">
        <w:t xml:space="preserve"> the payment split is the first or only payment split applicable to the splittable payment, or is the second or a later payment split</w:t>
      </w:r>
      <w:r w:rsidR="00D7157D">
        <w:t>.</w:t>
      </w:r>
    </w:p>
    <w:p w14:paraId="62098815" w14:textId="1F6C9559" w:rsidR="00D930D9" w:rsidRPr="00A058B6" w:rsidRDefault="00485CC2" w:rsidP="00D930D9">
      <w:pPr>
        <w:pStyle w:val="ActHead5"/>
      </w:pPr>
      <w:bookmarkStart w:id="132" w:name="_Toc188350617"/>
      <w:r w:rsidRPr="00423C34">
        <w:rPr>
          <w:rStyle w:val="CharSectno"/>
        </w:rPr>
        <w:t>88</w:t>
      </w:r>
      <w:r w:rsidR="00D930D9" w:rsidRPr="00A058B6">
        <w:t xml:space="preserve">  Application of this Division</w:t>
      </w:r>
      <w:bookmarkEnd w:id="132"/>
    </w:p>
    <w:p w14:paraId="22B67ABA" w14:textId="77777777" w:rsidR="00D930D9" w:rsidRDefault="00D930D9" w:rsidP="00D930D9">
      <w:pPr>
        <w:pStyle w:val="subsection"/>
      </w:pPr>
      <w:r w:rsidRPr="00A058B6">
        <w:tab/>
      </w:r>
      <w:r w:rsidRPr="00A058B6">
        <w:tab/>
        <w:t>This Division applies to</w:t>
      </w:r>
      <w:r>
        <w:t xml:space="preserve"> each of the following:</w:t>
      </w:r>
    </w:p>
    <w:p w14:paraId="4D8EF707" w14:textId="723D6D19" w:rsidR="00D930D9" w:rsidRDefault="00D930D9" w:rsidP="00D930D9">
      <w:pPr>
        <w:pStyle w:val="paragraph"/>
      </w:pPr>
      <w:r>
        <w:tab/>
        <w:t>(a)</w:t>
      </w:r>
      <w:r>
        <w:tab/>
      </w:r>
      <w:r w:rsidRPr="00A058B6">
        <w:t xml:space="preserve">a superannuation interest for the purposes of </w:t>
      </w:r>
      <w:r w:rsidR="00CB78B9">
        <w:t>subsection 3</w:t>
      </w:r>
      <w:r w:rsidR="00485CC2">
        <w:t>9</w:t>
      </w:r>
      <w:r w:rsidRPr="00A058B6">
        <w:t xml:space="preserve">(2) </w:t>
      </w:r>
      <w:r>
        <w:t xml:space="preserve">if the agreement referred to in </w:t>
      </w:r>
      <w:r w:rsidR="00CB78B9">
        <w:t>paragraph 3</w:t>
      </w:r>
      <w:r w:rsidR="00485CC2">
        <w:t>9</w:t>
      </w:r>
      <w:r>
        <w:t xml:space="preserve">(1)(b) </w:t>
      </w:r>
      <w:r w:rsidRPr="00862259">
        <w:t>states</w:t>
      </w:r>
      <w:r>
        <w:t>, or has the effect,</w:t>
      </w:r>
      <w:r w:rsidRPr="00862259">
        <w:t xml:space="preserve"> that the base amount is a total amount that relates to the whole of the superannuation interest;</w:t>
      </w:r>
    </w:p>
    <w:p w14:paraId="00A7AFFF" w14:textId="7A05F9C5" w:rsidR="00D930D9" w:rsidRPr="00A058B6" w:rsidRDefault="00D930D9" w:rsidP="00D930D9">
      <w:pPr>
        <w:pStyle w:val="paragraph"/>
      </w:pPr>
      <w:r>
        <w:tab/>
        <w:t>(b)</w:t>
      </w:r>
      <w:r>
        <w:tab/>
      </w:r>
      <w:r w:rsidRPr="00A058B6">
        <w:t xml:space="preserve">a superannuation interest for the purposes of </w:t>
      </w:r>
      <w:r w:rsidR="00CB78B9">
        <w:t>paragraph 4</w:t>
      </w:r>
      <w:r w:rsidR="00485CC2">
        <w:t>6</w:t>
      </w:r>
      <w:r w:rsidRPr="00A058B6">
        <w:t>(b)</w:t>
      </w:r>
      <w:r w:rsidR="00D7157D">
        <w:t>.</w:t>
      </w:r>
    </w:p>
    <w:p w14:paraId="3C17850E" w14:textId="5CB25363" w:rsidR="00D930D9" w:rsidRPr="00A058B6" w:rsidRDefault="00D930D9" w:rsidP="00D930D9">
      <w:pPr>
        <w:pStyle w:val="notetext"/>
      </w:pPr>
      <w:r>
        <w:t>Note:</w:t>
      </w:r>
      <w:r>
        <w:tab/>
        <w:t>This Division does not apply to percentage</w:t>
      </w:r>
      <w:r w:rsidR="001952B3">
        <w:noBreakHyphen/>
      </w:r>
      <w:r>
        <w:t xml:space="preserve">only interests (see </w:t>
      </w:r>
      <w:r w:rsidR="00CB78B9">
        <w:t>subsection 3</w:t>
      </w:r>
      <w:r w:rsidR="00485CC2">
        <w:t>7</w:t>
      </w:r>
      <w:r>
        <w:t xml:space="preserve">(1) or </w:t>
      </w:r>
      <w:r w:rsidR="00CB78B9">
        <w:t>section 4</w:t>
      </w:r>
      <w:r w:rsidR="00485CC2">
        <w:t>6</w:t>
      </w:r>
      <w:r>
        <w:t xml:space="preserve">), and </w:t>
      </w:r>
      <w:r w:rsidRPr="00A058B6">
        <w:t xml:space="preserve">does not apply to a payment split in respect of a small superannuation accounts interest (see </w:t>
      </w:r>
      <w:r w:rsidR="00CB78B9">
        <w:t>paragraph 3</w:t>
      </w:r>
      <w:r w:rsidR="00485CC2">
        <w:t>9</w:t>
      </w:r>
      <w:r w:rsidRPr="00A058B6">
        <w:t xml:space="preserve">(1)(a) or </w:t>
      </w:r>
      <w:r w:rsidR="00CB78B9">
        <w:t>section 4</w:t>
      </w:r>
      <w:r w:rsidR="00485CC2">
        <w:t>6</w:t>
      </w:r>
      <w:r w:rsidRPr="00A058B6">
        <w:t>)</w:t>
      </w:r>
      <w:r w:rsidR="00D7157D">
        <w:t>.</w:t>
      </w:r>
    </w:p>
    <w:p w14:paraId="6D58457F" w14:textId="77777777" w:rsidR="00D930D9" w:rsidRPr="00A058B6" w:rsidRDefault="00D930D9" w:rsidP="00D930D9">
      <w:pPr>
        <w:pStyle w:val="ActHead4"/>
      </w:pPr>
      <w:bookmarkStart w:id="133" w:name="_Toc188350618"/>
      <w:r w:rsidRPr="00423C34">
        <w:rPr>
          <w:rStyle w:val="CharSubdNo"/>
        </w:rPr>
        <w:t>Subdivision B</w:t>
      </w:r>
      <w:r w:rsidRPr="00A058B6">
        <w:t>—</w:t>
      </w:r>
      <w:r w:rsidRPr="00423C34">
        <w:rPr>
          <w:rStyle w:val="CharSubdText"/>
        </w:rPr>
        <w:t>First or only payment split</w:t>
      </w:r>
      <w:bookmarkEnd w:id="133"/>
    </w:p>
    <w:p w14:paraId="6E6F1584" w14:textId="7FA06D7E" w:rsidR="00D930D9" w:rsidRPr="00A058B6" w:rsidRDefault="00485CC2" w:rsidP="00D930D9">
      <w:pPr>
        <w:pStyle w:val="ActHead5"/>
      </w:pPr>
      <w:bookmarkStart w:id="134" w:name="_Toc188350619"/>
      <w:r w:rsidRPr="00423C34">
        <w:rPr>
          <w:rStyle w:val="CharSectno"/>
        </w:rPr>
        <w:t>89</w:t>
      </w:r>
      <w:r w:rsidR="00D930D9" w:rsidRPr="00A058B6">
        <w:t xml:space="preserve">  Application of this Subdivision</w:t>
      </w:r>
      <w:bookmarkEnd w:id="134"/>
    </w:p>
    <w:p w14:paraId="369956E0" w14:textId="6BEEC2D5" w:rsidR="00D930D9" w:rsidRPr="00A058B6" w:rsidRDefault="00D930D9" w:rsidP="00D930D9">
      <w:pPr>
        <w:pStyle w:val="subsection"/>
      </w:pPr>
      <w:r w:rsidRPr="00A058B6">
        <w:tab/>
      </w:r>
      <w:r w:rsidRPr="00A058B6">
        <w:tab/>
        <w:t>This Subdivision sets out how to calculate the non</w:t>
      </w:r>
      <w:r w:rsidR="001952B3">
        <w:noBreakHyphen/>
      </w:r>
      <w:r w:rsidRPr="00A058B6">
        <w:t>member spouse’s entitlement under a payment split if the payment split is the first or only payment split for a splittable payment for the superannuation interest</w:t>
      </w:r>
      <w:r w:rsidR="00D7157D">
        <w:t>.</w:t>
      </w:r>
    </w:p>
    <w:p w14:paraId="33A694D6" w14:textId="66D03942" w:rsidR="00D930D9" w:rsidRPr="00A058B6" w:rsidRDefault="00485CC2" w:rsidP="00D930D9">
      <w:pPr>
        <w:pStyle w:val="ActHead5"/>
      </w:pPr>
      <w:bookmarkStart w:id="135" w:name="_Toc188350620"/>
      <w:r w:rsidRPr="00423C34">
        <w:rPr>
          <w:rStyle w:val="CharSectno"/>
        </w:rPr>
        <w:t>90</w:t>
      </w:r>
      <w:r w:rsidR="00D930D9" w:rsidRPr="00A058B6">
        <w:t xml:space="preserve">  Amount to be paid to non</w:t>
      </w:r>
      <w:r w:rsidR="001952B3">
        <w:noBreakHyphen/>
      </w:r>
      <w:r w:rsidR="00D930D9" w:rsidRPr="00A058B6">
        <w:t>member spouse—first splittable payment after operative time greater than or equal to the base amount</w:t>
      </w:r>
      <w:bookmarkEnd w:id="135"/>
    </w:p>
    <w:p w14:paraId="18A897D5" w14:textId="77777777" w:rsidR="00D930D9" w:rsidRPr="00A058B6" w:rsidRDefault="00D930D9" w:rsidP="00D930D9">
      <w:pPr>
        <w:pStyle w:val="subsection"/>
      </w:pPr>
      <w:r w:rsidRPr="00A058B6">
        <w:tab/>
        <w:t>(1)</w:t>
      </w:r>
      <w:r w:rsidRPr="00A058B6">
        <w:tab/>
        <w:t>This section applies for the superannuation interest if:</w:t>
      </w:r>
    </w:p>
    <w:p w14:paraId="16D581CD" w14:textId="77777777" w:rsidR="00D930D9" w:rsidRPr="00A058B6" w:rsidRDefault="00D930D9" w:rsidP="00D930D9">
      <w:pPr>
        <w:pStyle w:val="paragraph"/>
      </w:pPr>
      <w:r w:rsidRPr="00A058B6">
        <w:tab/>
        <w:t>(a)</w:t>
      </w:r>
      <w:r w:rsidRPr="00A058B6">
        <w:tab/>
        <w:t xml:space="preserve">the first splittable payment that becomes payable in respect of the interest after the operative time for the payment split is not a payment in respect of </w:t>
      </w:r>
      <w:r w:rsidRPr="00A058B6">
        <w:rPr>
          <w:color w:val="000000"/>
        </w:rPr>
        <w:t>an allocated pension or a market linked pension;</w:t>
      </w:r>
      <w:r w:rsidRPr="00A058B6">
        <w:t xml:space="preserve"> and</w:t>
      </w:r>
    </w:p>
    <w:p w14:paraId="17E14A86" w14:textId="4D39ABA8" w:rsidR="00D930D9" w:rsidRPr="00A058B6" w:rsidRDefault="00D930D9" w:rsidP="00D930D9">
      <w:pPr>
        <w:pStyle w:val="paragraph"/>
      </w:pPr>
      <w:r w:rsidRPr="00A058B6">
        <w:tab/>
        <w:t>(b)</w:t>
      </w:r>
      <w:r w:rsidRPr="00A058B6">
        <w:tab/>
        <w:t>the amount of that payment is greater than or equal to the amount of the base amount allocated to the non</w:t>
      </w:r>
      <w:r w:rsidR="001952B3">
        <w:noBreakHyphen/>
      </w:r>
      <w:r w:rsidRPr="00A058B6">
        <w:t>member spouse for the interest</w:t>
      </w:r>
      <w:r w:rsidR="00D7157D">
        <w:t>.</w:t>
      </w:r>
    </w:p>
    <w:p w14:paraId="38F4C13C" w14:textId="4D80A817"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from the first splittable payment is equal to the base amount allocated to the non</w:t>
      </w:r>
      <w:r w:rsidR="001952B3">
        <w:noBreakHyphen/>
      </w:r>
      <w:r w:rsidRPr="00A058B6">
        <w:t>member spouse for the superannuation interest</w:t>
      </w:r>
      <w:r w:rsidR="00D7157D">
        <w:t>.</w:t>
      </w:r>
    </w:p>
    <w:p w14:paraId="20A5EA5F" w14:textId="08D83967" w:rsidR="00D930D9" w:rsidRPr="00A058B6" w:rsidRDefault="00D930D9" w:rsidP="00D930D9">
      <w:pPr>
        <w:pStyle w:val="subsection"/>
      </w:pPr>
      <w:r w:rsidRPr="00A058B6">
        <w:tab/>
        <w:t>(3)</w:t>
      </w:r>
      <w:r w:rsidRPr="00A058B6">
        <w:tab/>
        <w:t>The non</w:t>
      </w:r>
      <w:r w:rsidR="001952B3">
        <w:noBreakHyphen/>
      </w:r>
      <w:r w:rsidRPr="00A058B6">
        <w:t>member spouse is not entitled to be paid any amount from any other splittable payment in respect of the superannuation interest</w:t>
      </w:r>
      <w:r w:rsidR="00D7157D">
        <w:t>.</w:t>
      </w:r>
    </w:p>
    <w:p w14:paraId="181D149B" w14:textId="3A0B77DC" w:rsidR="00D930D9" w:rsidRPr="00A058B6" w:rsidRDefault="00485CC2" w:rsidP="00D930D9">
      <w:pPr>
        <w:pStyle w:val="ActHead5"/>
      </w:pPr>
      <w:bookmarkStart w:id="136" w:name="_Toc188350621"/>
      <w:r w:rsidRPr="00423C34">
        <w:rPr>
          <w:rStyle w:val="CharSectno"/>
        </w:rPr>
        <w:t>91</w:t>
      </w:r>
      <w:r w:rsidR="00D930D9" w:rsidRPr="00A058B6">
        <w:t xml:space="preserve">  Amount to be paid to non</w:t>
      </w:r>
      <w:r w:rsidR="001952B3">
        <w:noBreakHyphen/>
      </w:r>
      <w:r w:rsidR="00D930D9" w:rsidRPr="00A058B6">
        <w:t>member spouse—first splittable payment after operative time is less than the base amount</w:t>
      </w:r>
      <w:bookmarkEnd w:id="136"/>
    </w:p>
    <w:p w14:paraId="2EAC4CD6" w14:textId="77777777" w:rsidR="00D930D9" w:rsidRPr="00A058B6" w:rsidRDefault="00D930D9" w:rsidP="00D930D9">
      <w:pPr>
        <w:pStyle w:val="subsection"/>
      </w:pPr>
      <w:r w:rsidRPr="00A058B6">
        <w:tab/>
        <w:t>(1)</w:t>
      </w:r>
      <w:r w:rsidRPr="00A058B6">
        <w:tab/>
        <w:t>This section applies for the superannuation interest if:</w:t>
      </w:r>
    </w:p>
    <w:p w14:paraId="230C6F02" w14:textId="77777777" w:rsidR="00D930D9" w:rsidRPr="00A058B6" w:rsidRDefault="00D930D9" w:rsidP="00D930D9">
      <w:pPr>
        <w:pStyle w:val="paragraph"/>
      </w:pPr>
      <w:r w:rsidRPr="00A058B6">
        <w:tab/>
        <w:t>(a)</w:t>
      </w:r>
      <w:r w:rsidRPr="00A058B6">
        <w:tab/>
        <w:t xml:space="preserve">the first splittable payment that becomes payable in respect of the interest after the operative time for the payment split is not a payment in respect of </w:t>
      </w:r>
      <w:r w:rsidRPr="00A058B6">
        <w:rPr>
          <w:color w:val="000000"/>
        </w:rPr>
        <w:t>an allocated pension or a market linked pension;</w:t>
      </w:r>
      <w:r w:rsidRPr="00A058B6">
        <w:t xml:space="preserve"> and</w:t>
      </w:r>
    </w:p>
    <w:p w14:paraId="2F0B5B39" w14:textId="18466252" w:rsidR="00D930D9" w:rsidRPr="00A058B6" w:rsidRDefault="00D930D9" w:rsidP="00D930D9">
      <w:pPr>
        <w:pStyle w:val="paragraph"/>
      </w:pPr>
      <w:r w:rsidRPr="00A058B6">
        <w:tab/>
        <w:t>(b)</w:t>
      </w:r>
      <w:r w:rsidRPr="00A058B6">
        <w:tab/>
        <w:t>the amount of that payment is less than the base amount allocated to the non</w:t>
      </w:r>
      <w:r w:rsidR="001952B3">
        <w:noBreakHyphen/>
      </w:r>
      <w:r w:rsidRPr="00A058B6">
        <w:t>member spouse for the interest</w:t>
      </w:r>
      <w:r w:rsidR="00D7157D">
        <w:t>.</w:t>
      </w:r>
    </w:p>
    <w:p w14:paraId="61B755B9" w14:textId="4CD177D0"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in respect of the superannuation interest is:</w:t>
      </w:r>
    </w:p>
    <w:p w14:paraId="51608701" w14:textId="77777777" w:rsidR="00D930D9" w:rsidRPr="00A058B6" w:rsidRDefault="00D930D9" w:rsidP="00D930D9">
      <w:pPr>
        <w:pStyle w:val="paragraph"/>
      </w:pPr>
      <w:r w:rsidRPr="00A058B6">
        <w:tab/>
        <w:t>(a)</w:t>
      </w:r>
      <w:r w:rsidRPr="00A058B6">
        <w:tab/>
        <w:t>the amount of the first splittable payment; and</w:t>
      </w:r>
    </w:p>
    <w:p w14:paraId="7F28014F" w14:textId="6E8B2FB8" w:rsidR="00D930D9" w:rsidRPr="00A058B6" w:rsidRDefault="00D930D9" w:rsidP="00D930D9">
      <w:pPr>
        <w:pStyle w:val="paragraph"/>
      </w:pPr>
      <w:r w:rsidRPr="00A058B6">
        <w:tab/>
        <w:t>(b)</w:t>
      </w:r>
      <w:r w:rsidRPr="00A058B6">
        <w:tab/>
        <w:t>unless section </w:t>
      </w:r>
      <w:r w:rsidR="00485CC2">
        <w:t>92</w:t>
      </w:r>
      <w:r w:rsidRPr="00A058B6">
        <w:t xml:space="preserve"> applies in relation to the interest—the amount, calculated under </w:t>
      </w:r>
      <w:r w:rsidR="00A52DA5">
        <w:t>subsection (</w:t>
      </w:r>
      <w:r w:rsidRPr="00A058B6">
        <w:t>3) of this section, from each other splittable payment that becomes payable in respect of the interest</w:t>
      </w:r>
      <w:r w:rsidR="00D7157D">
        <w:t>.</w:t>
      </w:r>
    </w:p>
    <w:p w14:paraId="3CC72CA2" w14:textId="4348C8A6" w:rsidR="00D930D9" w:rsidRPr="00A058B6" w:rsidRDefault="00D930D9" w:rsidP="00D930D9">
      <w:pPr>
        <w:pStyle w:val="subsection"/>
      </w:pPr>
      <w:r w:rsidRPr="00A058B6">
        <w:tab/>
        <w:t>(3)</w:t>
      </w:r>
      <w:r w:rsidRPr="00A058B6">
        <w:tab/>
        <w:t xml:space="preserve">For the purposes of </w:t>
      </w:r>
      <w:r w:rsidR="00453C86">
        <w:t>paragraph (</w:t>
      </w:r>
      <w:r w:rsidRPr="00A058B6">
        <w:t>2)(b), the amount to be paid to the non</w:t>
      </w:r>
      <w:r w:rsidR="001952B3">
        <w:noBreakHyphen/>
      </w:r>
      <w:r w:rsidRPr="00A058B6">
        <w:t>member spouse from each other splittable payment that becomes payable in respect of the superannuation interest is equal to:</w:t>
      </w:r>
    </w:p>
    <w:p w14:paraId="40082349" w14:textId="16BBE304" w:rsidR="00D930D9" w:rsidRPr="00A058B6" w:rsidRDefault="002E55F8" w:rsidP="00D930D9">
      <w:pPr>
        <w:pStyle w:val="subsection2"/>
      </w:pPr>
      <w:r w:rsidRPr="0049006C">
        <w:rPr>
          <w:position w:val="-36"/>
        </w:rPr>
        <w:object w:dxaOrig="6619" w:dyaOrig="1080" w14:anchorId="360E9D39">
          <v:shape id="_x0000_i1048" type="#_x0000_t75" alt="Start formula start fraction open bracket Base amount minus First splittable payment amount close bracket times Splittable payment amount over Deemed value of the interest minus First splittable payment amount end fraction end formula" style="width:329.75pt;height:55.5pt;mso-position-vertical:absolute" o:ole="">
            <v:imagedata r:id="rId70" o:title=""/>
          </v:shape>
          <o:OLEObject Type="Embed" ProgID="Equation.DSMT4" ShapeID="_x0000_i1048" DrawAspect="Content" ObjectID="_1801634277" r:id="rId71"/>
        </w:object>
      </w:r>
    </w:p>
    <w:p w14:paraId="133E7898" w14:textId="77777777" w:rsidR="00D930D9" w:rsidRPr="00A058B6" w:rsidRDefault="00D930D9" w:rsidP="00D930D9">
      <w:pPr>
        <w:pStyle w:val="subsection2"/>
      </w:pPr>
      <w:r w:rsidRPr="00A058B6">
        <w:t>where:</w:t>
      </w:r>
    </w:p>
    <w:p w14:paraId="5EA52739" w14:textId="57612BEF" w:rsidR="00D930D9" w:rsidRPr="00A058B6" w:rsidRDefault="00D930D9" w:rsidP="00D930D9">
      <w:pPr>
        <w:pStyle w:val="Definition"/>
      </w:pPr>
      <w:r w:rsidRPr="00A058B6">
        <w:rPr>
          <w:b/>
          <w:i/>
        </w:rPr>
        <w:t>base amount</w:t>
      </w:r>
      <w:r w:rsidRPr="00A058B6">
        <w:t xml:space="preserve"> </w:t>
      </w:r>
      <w:r w:rsidR="00137B28">
        <w:t>means</w:t>
      </w:r>
      <w:r w:rsidRPr="00A058B6">
        <w:t xml:space="preserve"> the base amount allocated to the non</w:t>
      </w:r>
      <w:r w:rsidR="001952B3">
        <w:noBreakHyphen/>
      </w:r>
      <w:r w:rsidRPr="00A058B6">
        <w:t>member spouse for the superannuation interest</w:t>
      </w:r>
      <w:r w:rsidR="00D7157D">
        <w:t>.</w:t>
      </w:r>
    </w:p>
    <w:p w14:paraId="00DEA4E8" w14:textId="23BA9DAE" w:rsidR="00D930D9" w:rsidRPr="00A058B6" w:rsidRDefault="00D930D9" w:rsidP="00D930D9">
      <w:pPr>
        <w:pStyle w:val="Definition"/>
      </w:pPr>
      <w:r w:rsidRPr="00A058B6">
        <w:rPr>
          <w:b/>
          <w:i/>
        </w:rPr>
        <w:t>first splittable payment amount</w:t>
      </w:r>
      <w:r w:rsidRPr="00A058B6">
        <w:t xml:space="preserve"> </w:t>
      </w:r>
      <w:r w:rsidR="00137B28">
        <w:t>means</w:t>
      </w:r>
      <w:r w:rsidRPr="00A058B6">
        <w:t xml:space="preserve"> the amount of the first splittable payment paid to the non</w:t>
      </w:r>
      <w:r w:rsidR="001952B3">
        <w:noBreakHyphen/>
      </w:r>
      <w:r w:rsidRPr="00A058B6">
        <w:t xml:space="preserve">member spouse under </w:t>
      </w:r>
      <w:r w:rsidR="00453C86">
        <w:t>paragraph (</w:t>
      </w:r>
      <w:r w:rsidRPr="00A058B6">
        <w:t>2)(a)</w:t>
      </w:r>
      <w:r w:rsidR="00D7157D">
        <w:t>.</w:t>
      </w:r>
    </w:p>
    <w:p w14:paraId="7868FAAC" w14:textId="77777777" w:rsidR="00D930D9" w:rsidRPr="00A058B6" w:rsidRDefault="00D930D9" w:rsidP="00D930D9">
      <w:pPr>
        <w:pStyle w:val="Definition"/>
      </w:pPr>
      <w:r w:rsidRPr="00A058B6">
        <w:rPr>
          <w:b/>
          <w:i/>
        </w:rPr>
        <w:t>splittable payment amount</w:t>
      </w:r>
      <w:r w:rsidRPr="00A058B6">
        <w:t xml:space="preserve"> </w:t>
      </w:r>
      <w:r w:rsidR="00137B28">
        <w:t>means</w:t>
      </w:r>
      <w:r w:rsidRPr="00A058B6">
        <w:t xml:space="preserve"> the amount of the relevant splittable payment</w:t>
      </w:r>
      <w:r w:rsidR="00D7157D">
        <w:t>.</w:t>
      </w:r>
    </w:p>
    <w:p w14:paraId="6E6580A2" w14:textId="35B51989" w:rsidR="00D930D9" w:rsidRPr="00A058B6" w:rsidRDefault="00A64702" w:rsidP="008966A2">
      <w:pPr>
        <w:pStyle w:val="Definition"/>
      </w:pPr>
      <w:r w:rsidRPr="00A058B6">
        <w:rPr>
          <w:b/>
          <w:bCs/>
          <w:i/>
          <w:iCs/>
        </w:rPr>
        <w:t>deemed value of the interest</w:t>
      </w:r>
      <w:r w:rsidR="009541B8">
        <w:t xml:space="preserve"> </w:t>
      </w:r>
      <w:r w:rsidR="00137B28">
        <w:t>means</w:t>
      </w:r>
      <w:r w:rsidRPr="00A058B6">
        <w:t xml:space="preserve"> the amount </w:t>
      </w:r>
      <w:r>
        <w:t xml:space="preserve">that would be </w:t>
      </w:r>
      <w:r w:rsidRPr="00A058B6">
        <w:t xml:space="preserve">calculated under </w:t>
      </w:r>
      <w:r w:rsidR="00CB78B9">
        <w:t>section 6</w:t>
      </w:r>
      <w:r w:rsidR="00485CC2">
        <w:t>4</w:t>
      </w:r>
      <w:r w:rsidRPr="00A058B6">
        <w:t xml:space="preserve"> for the</w:t>
      </w:r>
      <w:r>
        <w:t xml:space="preserve"> superannuation</w:t>
      </w:r>
      <w:r w:rsidRPr="00A058B6">
        <w:t xml:space="preserve"> interest if references in </w:t>
      </w:r>
      <w:r w:rsidR="00453C86">
        <w:t>Division 2</w:t>
      </w:r>
      <w:r w:rsidRPr="00A058B6">
        <w:t xml:space="preserve"> of Part </w:t>
      </w:r>
      <w:r w:rsidR="00934E66">
        <w:t>6</w:t>
      </w:r>
      <w:r w:rsidRPr="00A058B6">
        <w:t xml:space="preserve"> to the relevant date were references to the date the first splittable payment became payable in respect of the superannuation interest</w:t>
      </w:r>
      <w:r w:rsidR="008966A2">
        <w:t xml:space="preserve"> </w:t>
      </w:r>
      <w:r w:rsidR="00D930D9" w:rsidRPr="00A058B6">
        <w:t>after the operative time for the payment split</w:t>
      </w:r>
      <w:r w:rsidR="00D7157D">
        <w:t>.</w:t>
      </w:r>
    </w:p>
    <w:p w14:paraId="4704BEA9" w14:textId="326DE953" w:rsidR="00D930D9" w:rsidRPr="00A058B6" w:rsidRDefault="00485CC2" w:rsidP="00D930D9">
      <w:pPr>
        <w:pStyle w:val="ActHead5"/>
      </w:pPr>
      <w:bookmarkStart w:id="137" w:name="_Toc188350622"/>
      <w:r w:rsidRPr="00423C34">
        <w:rPr>
          <w:rStyle w:val="CharSectno"/>
        </w:rPr>
        <w:t>92</w:t>
      </w:r>
      <w:r w:rsidR="00D930D9" w:rsidRPr="00A058B6">
        <w:t xml:space="preserve">  Amount to be paid to non</w:t>
      </w:r>
      <w:r w:rsidR="001952B3">
        <w:noBreakHyphen/>
      </w:r>
      <w:r w:rsidR="00D930D9" w:rsidRPr="00A058B6">
        <w:t>member spouse—optional lump sum from remaining benefits</w:t>
      </w:r>
      <w:bookmarkEnd w:id="137"/>
    </w:p>
    <w:p w14:paraId="1C134452" w14:textId="77777777" w:rsidR="00D930D9" w:rsidRPr="00A058B6" w:rsidRDefault="00D930D9" w:rsidP="00D930D9">
      <w:pPr>
        <w:pStyle w:val="subsection"/>
      </w:pPr>
      <w:r w:rsidRPr="00A058B6">
        <w:tab/>
        <w:t>(1)</w:t>
      </w:r>
      <w:r w:rsidRPr="00A058B6">
        <w:tab/>
        <w:t>This section applies for the superannuation interest if:</w:t>
      </w:r>
    </w:p>
    <w:p w14:paraId="2A30B8FC" w14:textId="44A3E4D2" w:rsidR="00D930D9" w:rsidRPr="00A058B6" w:rsidRDefault="00D930D9" w:rsidP="00D930D9">
      <w:pPr>
        <w:pStyle w:val="paragraph"/>
        <w:keepNext/>
        <w:keepLines/>
      </w:pPr>
      <w:r w:rsidRPr="00A058B6">
        <w:tab/>
        <w:t>(a)</w:t>
      </w:r>
      <w:r w:rsidRPr="00A058B6">
        <w:tab/>
        <w:t>the non</w:t>
      </w:r>
      <w:r w:rsidR="001952B3">
        <w:noBreakHyphen/>
      </w:r>
      <w:r w:rsidRPr="00A058B6">
        <w:t>member spouse is entitled under paragraph </w:t>
      </w:r>
      <w:r w:rsidR="00485CC2">
        <w:t>91</w:t>
      </w:r>
      <w:r w:rsidRPr="00A058B6">
        <w:t>(2)(a) to be paid the amount of the first splittable payment in respect of the interest after the operative time for the payment split; and</w:t>
      </w:r>
    </w:p>
    <w:p w14:paraId="2A35620E" w14:textId="77777777" w:rsidR="00D930D9" w:rsidRPr="00A058B6" w:rsidRDefault="00D930D9" w:rsidP="00D930D9">
      <w:pPr>
        <w:pStyle w:val="paragraph"/>
      </w:pPr>
      <w:r w:rsidRPr="00A058B6">
        <w:tab/>
        <w:t>(b)</w:t>
      </w:r>
      <w:r w:rsidRPr="00A058B6">
        <w:tab/>
        <w:t>the member spouse may, under the governing rules of the relevant eligible superannuation plan, choose (by way of a commutation of a pension payable to the member spouse, or otherwise) to take the whole, or a part, of the remaining benefits in respect of the interest as a lump sum; and</w:t>
      </w:r>
    </w:p>
    <w:p w14:paraId="5CFF8A00" w14:textId="4450C613" w:rsidR="00D930D9" w:rsidRPr="00A058B6" w:rsidRDefault="00D930D9" w:rsidP="00D930D9">
      <w:pPr>
        <w:pStyle w:val="paragraph"/>
      </w:pPr>
      <w:r w:rsidRPr="00A058B6">
        <w:tab/>
        <w:t>(c)</w:t>
      </w:r>
      <w:r w:rsidRPr="00A058B6">
        <w:tab/>
        <w:t>the non</w:t>
      </w:r>
      <w:r w:rsidR="001952B3">
        <w:noBreakHyphen/>
      </w:r>
      <w:r w:rsidRPr="00A058B6">
        <w:t xml:space="preserve">member spouse has served a request, in accordance with Form 4 in </w:t>
      </w:r>
      <w:r w:rsidR="00453C86">
        <w:t>Schedule 1</w:t>
      </w:r>
      <w:r w:rsidRPr="00A058B6">
        <w:t>, on the trustee of the plan requesting that the non</w:t>
      </w:r>
      <w:r w:rsidR="001952B3">
        <w:noBreakHyphen/>
      </w:r>
      <w:r w:rsidRPr="00A058B6">
        <w:t>member spouse be paid, as a lump sum, the whole, or a proportion, of the remaining base amount allocated to the non</w:t>
      </w:r>
      <w:r w:rsidR="001952B3">
        <w:noBreakHyphen/>
      </w:r>
      <w:r w:rsidRPr="00A058B6">
        <w:t>member spouse for the interest; and</w:t>
      </w:r>
    </w:p>
    <w:p w14:paraId="525E16D0" w14:textId="44B16162" w:rsidR="00D930D9" w:rsidRPr="00A058B6" w:rsidRDefault="00D930D9" w:rsidP="00D930D9">
      <w:pPr>
        <w:pStyle w:val="paragraph"/>
      </w:pPr>
      <w:r w:rsidRPr="00A058B6">
        <w:tab/>
        <w:t>(d)</w:t>
      </w:r>
      <w:r w:rsidRPr="00A058B6">
        <w:tab/>
        <w:t>any choice by the member spouse to be paid the amount requested by the non</w:t>
      </w:r>
      <w:r w:rsidR="001952B3">
        <w:noBreakHyphen/>
      </w:r>
      <w:r w:rsidRPr="00A058B6">
        <w:t>member spouse will not cause the member spouse to lose the right to take the remaining part of the benefits in respect of the interest as a pension</w:t>
      </w:r>
      <w:r w:rsidR="00D7157D">
        <w:t>.</w:t>
      </w:r>
    </w:p>
    <w:p w14:paraId="7E9E0A37" w14:textId="77777777" w:rsidR="00D930D9" w:rsidRPr="00A058B6" w:rsidRDefault="00D930D9" w:rsidP="00D930D9">
      <w:pPr>
        <w:pStyle w:val="SubsectionHead"/>
      </w:pPr>
      <w:r w:rsidRPr="00A058B6">
        <w:t>Request for whole of remaining base amount to be paid as a lump sum</w:t>
      </w:r>
    </w:p>
    <w:p w14:paraId="0FFAEC53" w14:textId="34D21E2B" w:rsidR="00D930D9" w:rsidRPr="00A058B6" w:rsidRDefault="00D930D9" w:rsidP="00D930D9">
      <w:pPr>
        <w:pStyle w:val="subsection"/>
      </w:pPr>
      <w:r w:rsidRPr="00A058B6">
        <w:tab/>
        <w:t>(2)</w:t>
      </w:r>
      <w:r w:rsidRPr="00A058B6">
        <w:tab/>
        <w:t xml:space="preserve">If the request under </w:t>
      </w:r>
      <w:r w:rsidR="00453C86">
        <w:t>paragraph (</w:t>
      </w:r>
      <w:r w:rsidRPr="00A058B6">
        <w:t>1)(c) is for the non</w:t>
      </w:r>
      <w:r w:rsidR="001952B3">
        <w:noBreakHyphen/>
      </w:r>
      <w:r w:rsidRPr="00A058B6">
        <w:t>member spouse to be paid, as a lump sum, the whole of the remaining base amount allocated to the non</w:t>
      </w:r>
      <w:r w:rsidR="001952B3">
        <w:noBreakHyphen/>
      </w:r>
      <w:r w:rsidRPr="00A058B6">
        <w:t>member spouse for the interest:</w:t>
      </w:r>
    </w:p>
    <w:p w14:paraId="2848E7DF" w14:textId="6D17B9FF" w:rsidR="00D930D9" w:rsidRPr="00A058B6" w:rsidRDefault="00D930D9" w:rsidP="00D930D9">
      <w:pPr>
        <w:pStyle w:val="paragraph"/>
      </w:pPr>
      <w:r w:rsidRPr="00A058B6">
        <w:tab/>
        <w:t>(a)</w:t>
      </w:r>
      <w:r w:rsidRPr="00A058B6">
        <w:tab/>
        <w:t xml:space="preserve">the member spouse must choose to be paid, as a lump sum, an amount that is at least the amount calculated under </w:t>
      </w:r>
      <w:r w:rsidR="00A52DA5">
        <w:t>subsection (</w:t>
      </w:r>
      <w:r w:rsidRPr="00A058B6">
        <w:t>3); and</w:t>
      </w:r>
    </w:p>
    <w:p w14:paraId="0FF426F0" w14:textId="47A7A174" w:rsidR="00D930D9" w:rsidRPr="00A058B6" w:rsidRDefault="00D930D9" w:rsidP="00D930D9">
      <w:pPr>
        <w:pStyle w:val="paragraph"/>
      </w:pPr>
      <w:r w:rsidRPr="00A058B6">
        <w:tab/>
        <w:t>(b)</w:t>
      </w:r>
      <w:r w:rsidRPr="00A058B6">
        <w:tab/>
        <w:t>the non</w:t>
      </w:r>
      <w:r w:rsidR="001952B3">
        <w:noBreakHyphen/>
      </w:r>
      <w:r w:rsidRPr="00A058B6">
        <w:t>member spouse is entitled to be paid that amount; and</w:t>
      </w:r>
    </w:p>
    <w:p w14:paraId="24867F42" w14:textId="187823AE" w:rsidR="00D930D9" w:rsidRPr="00A058B6" w:rsidRDefault="00D930D9" w:rsidP="00D930D9">
      <w:pPr>
        <w:pStyle w:val="paragraph"/>
      </w:pPr>
      <w:r w:rsidRPr="00A058B6">
        <w:tab/>
        <w:t>(c)</w:t>
      </w:r>
      <w:r w:rsidRPr="00A058B6">
        <w:tab/>
        <w:t>the non</w:t>
      </w:r>
      <w:r w:rsidR="001952B3">
        <w:noBreakHyphen/>
      </w:r>
      <w:r w:rsidRPr="00A058B6">
        <w:t>member spouse is not entitled to be paid any amount from any other splittable payment in respect of the superannuation interest</w:t>
      </w:r>
      <w:r w:rsidR="00D7157D">
        <w:t>.</w:t>
      </w:r>
    </w:p>
    <w:p w14:paraId="56CCD80C" w14:textId="3F380AF9" w:rsidR="00D930D9" w:rsidRPr="00A058B6" w:rsidRDefault="00D930D9" w:rsidP="00D930D9">
      <w:pPr>
        <w:pStyle w:val="subsection"/>
      </w:pPr>
      <w:r w:rsidRPr="00A058B6">
        <w:tab/>
        <w:t>(3)</w:t>
      </w:r>
      <w:r w:rsidRPr="00A058B6">
        <w:tab/>
        <w:t xml:space="preserve">For the purposes of </w:t>
      </w:r>
      <w:r w:rsidR="00453C86">
        <w:t>paragraph (</w:t>
      </w:r>
      <w:r w:rsidRPr="00A058B6">
        <w:t>2)(a), the amount is:</w:t>
      </w:r>
    </w:p>
    <w:p w14:paraId="0B8932BB" w14:textId="06186C43" w:rsidR="00D930D9" w:rsidRPr="00A058B6" w:rsidRDefault="00144FD5" w:rsidP="00D930D9">
      <w:pPr>
        <w:pStyle w:val="subsection2"/>
      </w:pPr>
      <w:r w:rsidRPr="00A058B6">
        <w:rPr>
          <w:position w:val="-32"/>
        </w:rPr>
        <w:object w:dxaOrig="6100" w:dyaOrig="1120" w14:anchorId="69B26933">
          <v:shape id="_x0000_i1049" type="#_x0000_t75" alt="Start formula start fraction open bracket Base amount minus First splittable payment amount close bracket times Commutation factor for the interest over Pension valuation factor for the interest end fraction end formula" style="width:304.5pt;height:55.5pt" o:ole="">
            <v:imagedata r:id="rId72" o:title=""/>
          </v:shape>
          <o:OLEObject Type="Embed" ProgID="Equation.DSMT4" ShapeID="_x0000_i1049" DrawAspect="Content" ObjectID="_1801634278" r:id="rId73"/>
        </w:object>
      </w:r>
    </w:p>
    <w:p w14:paraId="296BF8C4" w14:textId="77777777" w:rsidR="00D930D9" w:rsidRPr="00A058B6" w:rsidRDefault="00D930D9" w:rsidP="00D930D9">
      <w:pPr>
        <w:pStyle w:val="subsection2"/>
      </w:pPr>
      <w:r w:rsidRPr="00A058B6">
        <w:t>where:</w:t>
      </w:r>
    </w:p>
    <w:p w14:paraId="2E333FF6" w14:textId="433827A8" w:rsidR="00D930D9" w:rsidRPr="00A058B6" w:rsidRDefault="00D930D9" w:rsidP="00D930D9">
      <w:pPr>
        <w:pStyle w:val="Definition"/>
      </w:pPr>
      <w:r w:rsidRPr="00A058B6">
        <w:rPr>
          <w:b/>
          <w:i/>
        </w:rPr>
        <w:t>base amount</w:t>
      </w:r>
      <w:r w:rsidRPr="00A058B6">
        <w:t xml:space="preserve"> </w:t>
      </w:r>
      <w:r w:rsidR="00B33790">
        <w:t>means</w:t>
      </w:r>
      <w:r w:rsidRPr="00A058B6">
        <w:t xml:space="preserve"> the base amount allocated to the non</w:t>
      </w:r>
      <w:r w:rsidR="001952B3">
        <w:noBreakHyphen/>
      </w:r>
      <w:r w:rsidRPr="00A058B6">
        <w:t>member spouse for the superannuation interest</w:t>
      </w:r>
      <w:r w:rsidR="00D7157D">
        <w:t>.</w:t>
      </w:r>
    </w:p>
    <w:p w14:paraId="7F298227" w14:textId="6FD59FED" w:rsidR="00D930D9" w:rsidRPr="00A058B6" w:rsidRDefault="00D930D9" w:rsidP="00D930D9">
      <w:pPr>
        <w:pStyle w:val="Definition"/>
      </w:pPr>
      <w:r w:rsidRPr="00A058B6">
        <w:rPr>
          <w:b/>
          <w:i/>
        </w:rPr>
        <w:t>first splittable payment amount</w:t>
      </w:r>
      <w:r w:rsidRPr="00A058B6">
        <w:t xml:space="preserve"> </w:t>
      </w:r>
      <w:r w:rsidR="00B33790">
        <w:t>means</w:t>
      </w:r>
      <w:r w:rsidRPr="00A058B6">
        <w:t xml:space="preserve"> the amount of the first splittable payment paid to the non</w:t>
      </w:r>
      <w:r w:rsidR="001952B3">
        <w:noBreakHyphen/>
      </w:r>
      <w:r w:rsidRPr="00A058B6">
        <w:t>member spouse under paragraph </w:t>
      </w:r>
      <w:r w:rsidR="00485CC2">
        <w:t>91</w:t>
      </w:r>
      <w:r w:rsidRPr="00A058B6">
        <w:t>(2)(a)</w:t>
      </w:r>
      <w:r w:rsidR="00D7157D">
        <w:t>.</w:t>
      </w:r>
    </w:p>
    <w:p w14:paraId="7672FE70" w14:textId="61AFF874"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3497FAA9" w14:textId="77777777" w:rsidR="00D930D9" w:rsidRPr="00A058B6" w:rsidRDefault="00D930D9" w:rsidP="00D930D9">
      <w:pPr>
        <w:pStyle w:val="SubsectionHead"/>
      </w:pPr>
      <w:r w:rsidRPr="00A058B6">
        <w:t>Request for proportion of remaining base amount to be paid as a lump sum</w:t>
      </w:r>
    </w:p>
    <w:p w14:paraId="4577F57E" w14:textId="73EE3A4E" w:rsidR="00D930D9" w:rsidRPr="00A058B6" w:rsidRDefault="00D930D9" w:rsidP="00D930D9">
      <w:pPr>
        <w:pStyle w:val="subsection"/>
      </w:pPr>
      <w:r w:rsidRPr="00A058B6">
        <w:tab/>
        <w:t>(4)</w:t>
      </w:r>
      <w:r w:rsidRPr="00A058B6">
        <w:tab/>
        <w:t xml:space="preserve">If the request under </w:t>
      </w:r>
      <w:r w:rsidR="00453C86">
        <w:t>paragraph (</w:t>
      </w:r>
      <w:r w:rsidRPr="00A058B6">
        <w:t>1)(c) is for the non</w:t>
      </w:r>
      <w:r w:rsidR="001952B3">
        <w:noBreakHyphen/>
      </w:r>
      <w:r w:rsidRPr="00A058B6">
        <w:t>member spouse to be paid, as a lump sum, a proportion of the remaining base amount allocated to the non</w:t>
      </w:r>
      <w:r w:rsidR="001952B3">
        <w:noBreakHyphen/>
      </w:r>
      <w:r w:rsidRPr="00A058B6">
        <w:t>member spouse for the interest:</w:t>
      </w:r>
    </w:p>
    <w:p w14:paraId="2611C348" w14:textId="44FBEE14" w:rsidR="00D930D9" w:rsidRPr="00A058B6" w:rsidRDefault="00D930D9" w:rsidP="00D930D9">
      <w:pPr>
        <w:pStyle w:val="paragraph"/>
      </w:pPr>
      <w:r w:rsidRPr="00A058B6">
        <w:tab/>
        <w:t>(a)</w:t>
      </w:r>
      <w:r w:rsidRPr="00A058B6">
        <w:tab/>
        <w:t xml:space="preserve">the member spouse must choose to be paid, as a lump sum, an amount (the </w:t>
      </w:r>
      <w:r w:rsidRPr="00A058B6">
        <w:rPr>
          <w:b/>
          <w:i/>
        </w:rPr>
        <w:t>member’s lump sum</w:t>
      </w:r>
      <w:r w:rsidRPr="00A058B6">
        <w:t xml:space="preserve">) that is at least the amount calculated under </w:t>
      </w:r>
      <w:r w:rsidR="00A52DA5">
        <w:t>subsection (</w:t>
      </w:r>
      <w:r w:rsidRPr="00A058B6">
        <w:t xml:space="preserve">5) (the </w:t>
      </w:r>
      <w:r w:rsidRPr="00A058B6">
        <w:rPr>
          <w:b/>
          <w:i/>
        </w:rPr>
        <w:t>minimum lump sum</w:t>
      </w:r>
      <w:r w:rsidRPr="00A058B6">
        <w:t>); and</w:t>
      </w:r>
    </w:p>
    <w:p w14:paraId="127D7933" w14:textId="484B0E92" w:rsidR="00D930D9" w:rsidRPr="00A058B6" w:rsidRDefault="00D930D9" w:rsidP="00D930D9">
      <w:pPr>
        <w:pStyle w:val="paragraph"/>
      </w:pPr>
      <w:r w:rsidRPr="00A058B6">
        <w:tab/>
        <w:t>(b)</w:t>
      </w:r>
      <w:r w:rsidRPr="00A058B6">
        <w:tab/>
        <w:t>the non</w:t>
      </w:r>
      <w:r w:rsidR="001952B3">
        <w:noBreakHyphen/>
      </w:r>
      <w:r w:rsidRPr="00A058B6">
        <w:t>member spouse is entitled to be paid an amount equal to the minimum lump sum; and</w:t>
      </w:r>
    </w:p>
    <w:p w14:paraId="729F5D69" w14:textId="3EBA21BE" w:rsidR="00D930D9" w:rsidRPr="00A058B6" w:rsidRDefault="00D930D9" w:rsidP="00D930D9">
      <w:pPr>
        <w:pStyle w:val="paragraph"/>
      </w:pPr>
      <w:r w:rsidRPr="00A058B6">
        <w:tab/>
        <w:t>(c)</w:t>
      </w:r>
      <w:r w:rsidRPr="00A058B6">
        <w:tab/>
        <w:t>the non</w:t>
      </w:r>
      <w:r w:rsidR="001952B3">
        <w:noBreakHyphen/>
      </w:r>
      <w:r w:rsidRPr="00A058B6">
        <w:t xml:space="preserve">member spouse is also entitled to be paid an amount, calculated under </w:t>
      </w:r>
      <w:r w:rsidR="00A52DA5">
        <w:t>subsection (</w:t>
      </w:r>
      <w:r w:rsidRPr="00A058B6">
        <w:t>6), from:</w:t>
      </w:r>
    </w:p>
    <w:p w14:paraId="66CF74B6" w14:textId="77777777" w:rsidR="00D930D9" w:rsidRPr="00A058B6" w:rsidRDefault="00D930D9" w:rsidP="00D930D9">
      <w:pPr>
        <w:pStyle w:val="paragraphsub"/>
      </w:pPr>
      <w:r w:rsidRPr="00A058B6">
        <w:tab/>
        <w:t>(i)</w:t>
      </w:r>
      <w:r w:rsidRPr="00A058B6">
        <w:tab/>
        <w:t>if the member’s lump sum exceeds the minimum lump sum—the amount of the excess; and</w:t>
      </w:r>
    </w:p>
    <w:p w14:paraId="3FBD55CA" w14:textId="77777777" w:rsidR="00D930D9" w:rsidRPr="00A058B6" w:rsidRDefault="00D930D9" w:rsidP="00D930D9">
      <w:pPr>
        <w:pStyle w:val="paragraphsub"/>
      </w:pPr>
      <w:r w:rsidRPr="00A058B6">
        <w:tab/>
        <w:t>(ii)</w:t>
      </w:r>
      <w:r w:rsidRPr="00A058B6">
        <w:tab/>
        <w:t>each other splittable payment that becomes payable in respect of the superannuation interest</w:t>
      </w:r>
      <w:r w:rsidR="00D7157D">
        <w:t>.</w:t>
      </w:r>
    </w:p>
    <w:p w14:paraId="5D9100E5" w14:textId="13956C7F" w:rsidR="00D930D9" w:rsidRPr="00A058B6" w:rsidRDefault="00D930D9" w:rsidP="00D930D9">
      <w:pPr>
        <w:pStyle w:val="subsection"/>
      </w:pPr>
      <w:r w:rsidRPr="00A058B6">
        <w:tab/>
        <w:t>(5)</w:t>
      </w:r>
      <w:r w:rsidRPr="00A058B6">
        <w:tab/>
        <w:t xml:space="preserve">For the purposes of </w:t>
      </w:r>
      <w:r w:rsidR="00453C86">
        <w:t>paragraph (</w:t>
      </w:r>
      <w:r w:rsidRPr="00A058B6">
        <w:t>4)(a), the minimum lump sum is:</w:t>
      </w:r>
    </w:p>
    <w:p w14:paraId="1EDC3B38" w14:textId="016BC68E" w:rsidR="00D930D9" w:rsidRPr="00A058B6" w:rsidRDefault="009932D1" w:rsidP="00D930D9">
      <w:pPr>
        <w:pStyle w:val="subsection2"/>
      </w:pPr>
      <w:r w:rsidRPr="00A058B6">
        <w:rPr>
          <w:position w:val="-32"/>
        </w:rPr>
        <w:object w:dxaOrig="6259" w:dyaOrig="1260" w14:anchorId="7C7AAD07">
          <v:shape id="_x0000_i1050" type="#_x0000_t75" alt="Start formula start fraction open bracket open bracket Base amount minus First splittable payment amount close bracket times Proportion close bracket times Commutation factor for the interest over Pension valuation factor for the interest end fraction end formula" style="width:312.75pt;height:63.3pt" o:ole="">
            <v:imagedata r:id="rId74" o:title=""/>
          </v:shape>
          <o:OLEObject Type="Embed" ProgID="Equation.DSMT4" ShapeID="_x0000_i1050" DrawAspect="Content" ObjectID="_1801634279" r:id="rId75"/>
        </w:object>
      </w:r>
    </w:p>
    <w:p w14:paraId="01D887A6" w14:textId="77777777" w:rsidR="00D930D9" w:rsidRPr="00A058B6" w:rsidRDefault="00D930D9" w:rsidP="00D930D9">
      <w:pPr>
        <w:pStyle w:val="subsection2"/>
      </w:pPr>
      <w:r w:rsidRPr="00A058B6">
        <w:t>where:</w:t>
      </w:r>
    </w:p>
    <w:p w14:paraId="6AD89689" w14:textId="66C3841A" w:rsidR="00D930D9" w:rsidRPr="00A058B6" w:rsidRDefault="00D930D9" w:rsidP="00D930D9">
      <w:pPr>
        <w:pStyle w:val="Definition"/>
      </w:pPr>
      <w:r w:rsidRPr="00A058B6">
        <w:rPr>
          <w:b/>
          <w:i/>
        </w:rPr>
        <w:t>base amount</w:t>
      </w:r>
      <w:r w:rsidRPr="00A058B6">
        <w:t xml:space="preserve"> </w:t>
      </w:r>
      <w:r w:rsidR="00B33790">
        <w:t>means</w:t>
      </w:r>
      <w:r w:rsidRPr="00A058B6">
        <w:t xml:space="preserve"> the base amount allocated to the non</w:t>
      </w:r>
      <w:r w:rsidR="001952B3">
        <w:noBreakHyphen/>
      </w:r>
      <w:r w:rsidRPr="00A058B6">
        <w:t>member spouse for the superannuation interest</w:t>
      </w:r>
      <w:r w:rsidR="00D7157D">
        <w:t>.</w:t>
      </w:r>
    </w:p>
    <w:p w14:paraId="1213FE8F" w14:textId="73ED619D" w:rsidR="00D930D9" w:rsidRPr="00A058B6" w:rsidRDefault="00D930D9" w:rsidP="00D930D9">
      <w:pPr>
        <w:pStyle w:val="Definition"/>
      </w:pPr>
      <w:r w:rsidRPr="00A058B6">
        <w:rPr>
          <w:b/>
          <w:i/>
        </w:rPr>
        <w:t>first splittable payment amount</w:t>
      </w:r>
      <w:r w:rsidRPr="00A058B6">
        <w:t xml:space="preserve"> </w:t>
      </w:r>
      <w:r w:rsidR="00B33790">
        <w:t>means</w:t>
      </w:r>
      <w:r w:rsidRPr="00A058B6">
        <w:t xml:space="preserve"> the amount of the first splittable payment paid to the non</w:t>
      </w:r>
      <w:r w:rsidR="001952B3">
        <w:noBreakHyphen/>
      </w:r>
      <w:r w:rsidRPr="00A058B6">
        <w:t>member spouse under paragraph </w:t>
      </w:r>
      <w:r w:rsidR="00485CC2">
        <w:t>91</w:t>
      </w:r>
      <w:r w:rsidRPr="00A058B6">
        <w:t>(2)(a)</w:t>
      </w:r>
      <w:r w:rsidR="00D7157D">
        <w:t>.</w:t>
      </w:r>
    </w:p>
    <w:p w14:paraId="24197703" w14:textId="51D7436F" w:rsidR="00D930D9" w:rsidRPr="00A058B6" w:rsidRDefault="00D930D9" w:rsidP="00D930D9">
      <w:pPr>
        <w:pStyle w:val="Definition"/>
      </w:pPr>
      <w:r w:rsidRPr="00A058B6">
        <w:rPr>
          <w:b/>
          <w:i/>
        </w:rPr>
        <w:t>proportion</w:t>
      </w:r>
      <w:r w:rsidRPr="00A058B6">
        <w:t xml:space="preserve"> </w:t>
      </w:r>
      <w:r w:rsidR="00B33790">
        <w:t>means</w:t>
      </w:r>
      <w:r w:rsidRPr="00A058B6">
        <w:t xml:space="preserve"> the proportion of the remaining base amount allocated to the non</w:t>
      </w:r>
      <w:r w:rsidR="001952B3">
        <w:noBreakHyphen/>
      </w:r>
      <w:r w:rsidRPr="00A058B6">
        <w:t>member spouse for the interest that the non</w:t>
      </w:r>
      <w:r w:rsidR="001952B3">
        <w:noBreakHyphen/>
      </w:r>
      <w:r w:rsidRPr="00A058B6">
        <w:t xml:space="preserve">member spouse has requested under </w:t>
      </w:r>
      <w:r w:rsidR="00453C86">
        <w:t>paragraph (</w:t>
      </w:r>
      <w:r w:rsidRPr="00A058B6">
        <w:t>1)(c) to be paid, as a lump sum, to the non</w:t>
      </w:r>
      <w:r w:rsidR="001952B3">
        <w:noBreakHyphen/>
      </w:r>
      <w:r w:rsidRPr="00A058B6">
        <w:t>member spouse</w:t>
      </w:r>
      <w:r w:rsidR="00D7157D">
        <w:t>.</w:t>
      </w:r>
    </w:p>
    <w:p w14:paraId="7FF7775E" w14:textId="1A818FB5"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53AB43B7" w14:textId="0F27257C" w:rsidR="00D930D9" w:rsidRPr="00A058B6" w:rsidRDefault="00D930D9" w:rsidP="00D930D9">
      <w:pPr>
        <w:pStyle w:val="subsection"/>
      </w:pPr>
      <w:r w:rsidRPr="00A058B6">
        <w:tab/>
        <w:t>(6)</w:t>
      </w:r>
      <w:r w:rsidRPr="00A058B6">
        <w:tab/>
        <w:t xml:space="preserve">For the purposes of </w:t>
      </w:r>
      <w:r w:rsidR="00453C86">
        <w:t>paragraph (</w:t>
      </w:r>
      <w:r w:rsidRPr="00A058B6">
        <w:t>4)(c), the amount is equal to:</w:t>
      </w:r>
    </w:p>
    <w:p w14:paraId="6C5192FA" w14:textId="164EE13D" w:rsidR="00D930D9" w:rsidRPr="00A058B6" w:rsidRDefault="00534258" w:rsidP="00D930D9">
      <w:pPr>
        <w:pStyle w:val="subsection2"/>
      </w:pPr>
      <w:r w:rsidRPr="00A058B6">
        <w:rPr>
          <w:position w:val="-36"/>
        </w:rPr>
        <w:object w:dxaOrig="6540" w:dyaOrig="1300" w14:anchorId="094CEE24">
          <v:shape id="_x0000_i1051" type="#_x0000_t75" alt="Start formula start fraction open bracket open bracket Base amount minus First splittable payment amount close bracket times open bracket 1 minus Proportion close bracket close bracket times Splittable payment amount over Remaining value of the superannuation interest end fraction end formula" style="width:325.15pt;height:62.85pt" o:ole="">
            <v:imagedata r:id="rId76" o:title=""/>
          </v:shape>
          <o:OLEObject Type="Embed" ProgID="Equation.DSMT4" ShapeID="_x0000_i1051" DrawAspect="Content" ObjectID="_1801634280" r:id="rId77"/>
        </w:object>
      </w:r>
    </w:p>
    <w:p w14:paraId="10807650" w14:textId="77777777" w:rsidR="00D930D9" w:rsidRPr="00A058B6" w:rsidRDefault="00D930D9" w:rsidP="00D930D9">
      <w:pPr>
        <w:pStyle w:val="subsection2"/>
      </w:pPr>
      <w:r w:rsidRPr="00A058B6">
        <w:t>where:</w:t>
      </w:r>
    </w:p>
    <w:p w14:paraId="2B478759" w14:textId="0374A3DC" w:rsidR="00D930D9" w:rsidRPr="00A058B6" w:rsidRDefault="00D930D9" w:rsidP="00D930D9">
      <w:pPr>
        <w:pStyle w:val="Definition"/>
      </w:pPr>
      <w:r w:rsidRPr="00A058B6">
        <w:rPr>
          <w:b/>
          <w:i/>
        </w:rPr>
        <w:t>base amount</w:t>
      </w:r>
      <w:r w:rsidRPr="00A058B6">
        <w:t xml:space="preserve"> </w:t>
      </w:r>
      <w:r w:rsidR="00B33790">
        <w:t>means</w:t>
      </w:r>
      <w:r w:rsidRPr="00A058B6">
        <w:t xml:space="preserve"> the base amount allocated to the non</w:t>
      </w:r>
      <w:r w:rsidR="001952B3">
        <w:noBreakHyphen/>
      </w:r>
      <w:r w:rsidRPr="00A058B6">
        <w:t>member spouse in relation to the superannuation interest</w:t>
      </w:r>
      <w:r w:rsidR="00D7157D">
        <w:t>.</w:t>
      </w:r>
    </w:p>
    <w:p w14:paraId="72202238" w14:textId="33FFDDB5" w:rsidR="00D930D9" w:rsidRPr="00A058B6" w:rsidRDefault="00D930D9" w:rsidP="00D930D9">
      <w:pPr>
        <w:pStyle w:val="Definition"/>
      </w:pPr>
      <w:r w:rsidRPr="00A058B6">
        <w:rPr>
          <w:b/>
          <w:i/>
        </w:rPr>
        <w:t>first splittable payment amount</w:t>
      </w:r>
      <w:r w:rsidRPr="00A058B6">
        <w:t xml:space="preserve"> </w:t>
      </w:r>
      <w:r w:rsidR="00B33790">
        <w:t>means</w:t>
      </w:r>
      <w:r w:rsidR="00B33790" w:rsidRPr="00A058B6">
        <w:t xml:space="preserve"> </w:t>
      </w:r>
      <w:r w:rsidRPr="00A058B6">
        <w:t>the amount of the first splittable payment paid to the non</w:t>
      </w:r>
      <w:r w:rsidR="001952B3">
        <w:noBreakHyphen/>
      </w:r>
      <w:r w:rsidRPr="00A058B6">
        <w:t>member spouse under paragraph </w:t>
      </w:r>
      <w:r w:rsidR="00485CC2">
        <w:t>91</w:t>
      </w:r>
      <w:r w:rsidRPr="00A058B6">
        <w:t>(2)(a)</w:t>
      </w:r>
      <w:r w:rsidR="00D7157D">
        <w:t>.</w:t>
      </w:r>
    </w:p>
    <w:p w14:paraId="55CDA3B9" w14:textId="2DF5167E" w:rsidR="00D930D9" w:rsidRPr="00A058B6" w:rsidRDefault="00D930D9" w:rsidP="00D930D9">
      <w:pPr>
        <w:pStyle w:val="Definition"/>
      </w:pPr>
      <w:r w:rsidRPr="00A058B6">
        <w:rPr>
          <w:b/>
          <w:i/>
        </w:rPr>
        <w:t>proportion</w:t>
      </w:r>
      <w:r w:rsidRPr="00A058B6">
        <w:t xml:space="preserve"> </w:t>
      </w:r>
      <w:r w:rsidR="00B33790">
        <w:t>means</w:t>
      </w:r>
      <w:r w:rsidR="00B33790" w:rsidRPr="00A058B6">
        <w:t xml:space="preserve"> </w:t>
      </w:r>
      <w:r w:rsidRPr="00A058B6">
        <w:t>the proportion of the remaining base amount allocated to the non</w:t>
      </w:r>
      <w:r w:rsidR="001952B3">
        <w:noBreakHyphen/>
      </w:r>
      <w:r w:rsidRPr="00A058B6">
        <w:t>member spouse for the interest that the non</w:t>
      </w:r>
      <w:r w:rsidR="001952B3">
        <w:noBreakHyphen/>
      </w:r>
      <w:r w:rsidRPr="00A058B6">
        <w:t xml:space="preserve">member spouse has requested under </w:t>
      </w:r>
      <w:r w:rsidR="00453C86">
        <w:t>paragraph (</w:t>
      </w:r>
      <w:r w:rsidRPr="00A058B6">
        <w:t>1)(c) to be paid, as a lump sum, to the non</w:t>
      </w:r>
      <w:r w:rsidR="001952B3">
        <w:noBreakHyphen/>
      </w:r>
      <w:r w:rsidRPr="00A058B6">
        <w:t>member spouse</w:t>
      </w:r>
      <w:r w:rsidR="00D7157D">
        <w:t>.</w:t>
      </w:r>
    </w:p>
    <w:p w14:paraId="4D0EC0E8" w14:textId="77777777" w:rsidR="00D930D9" w:rsidRPr="00A058B6" w:rsidRDefault="00D930D9" w:rsidP="00D930D9">
      <w:pPr>
        <w:pStyle w:val="Definition"/>
      </w:pPr>
      <w:r w:rsidRPr="00A058B6">
        <w:rPr>
          <w:b/>
          <w:i/>
        </w:rPr>
        <w:t>splittable payment amount</w:t>
      </w:r>
      <w:r w:rsidRPr="00A058B6">
        <w:t xml:space="preserve"> </w:t>
      </w:r>
      <w:r w:rsidR="00B33790">
        <w:t>means</w:t>
      </w:r>
      <w:r w:rsidRPr="00A058B6">
        <w:t>:</w:t>
      </w:r>
    </w:p>
    <w:p w14:paraId="4A0B4FCF" w14:textId="411C1479" w:rsidR="00D930D9" w:rsidRPr="00A058B6" w:rsidRDefault="00D930D9" w:rsidP="00D930D9">
      <w:pPr>
        <w:pStyle w:val="paragraph"/>
      </w:pPr>
      <w:r w:rsidRPr="00A058B6">
        <w:tab/>
        <w:t>(a)</w:t>
      </w:r>
      <w:r w:rsidRPr="00A058B6">
        <w:tab/>
        <w:t>if under sub</w:t>
      </w:r>
      <w:r w:rsidR="00453C86">
        <w:t>paragraph (</w:t>
      </w:r>
      <w:r w:rsidRPr="00A058B6">
        <w:t>4)(c)(i) the member’s lump sum exceeds the minimum lump sum—the amount of the excess; or</w:t>
      </w:r>
    </w:p>
    <w:p w14:paraId="2F0195A3" w14:textId="51E364C9" w:rsidR="00D930D9" w:rsidRPr="00A058B6" w:rsidRDefault="00D930D9" w:rsidP="00D930D9">
      <w:pPr>
        <w:pStyle w:val="paragraph"/>
      </w:pPr>
      <w:r w:rsidRPr="00A058B6">
        <w:tab/>
        <w:t>(b)</w:t>
      </w:r>
      <w:r w:rsidRPr="00A058B6">
        <w:tab/>
      </w:r>
      <w:r>
        <w:t>otherwise—</w:t>
      </w:r>
      <w:r w:rsidRPr="00A058B6">
        <w:t>the amount of the other splittable payment (see sub</w:t>
      </w:r>
      <w:r w:rsidR="00453C86">
        <w:t>paragraph (</w:t>
      </w:r>
      <w:r w:rsidRPr="00A058B6">
        <w:t>4)(c)(ii))</w:t>
      </w:r>
      <w:r w:rsidR="00D7157D">
        <w:t>.</w:t>
      </w:r>
    </w:p>
    <w:p w14:paraId="6AD65518" w14:textId="1A4222EB" w:rsidR="00D930D9" w:rsidRPr="00A058B6" w:rsidRDefault="00D930D9" w:rsidP="00D930D9">
      <w:pPr>
        <w:pStyle w:val="Definition"/>
      </w:pPr>
      <w:r w:rsidRPr="00A058B6">
        <w:rPr>
          <w:b/>
          <w:i/>
        </w:rPr>
        <w:t>remaining value of the superannuation interest</w:t>
      </w:r>
      <w:r w:rsidRPr="00A058B6">
        <w:t xml:space="preserve"> </w:t>
      </w:r>
      <w:r w:rsidR="00B33790">
        <w:t>means</w:t>
      </w:r>
      <w:r w:rsidR="00B33790" w:rsidRPr="00A058B6">
        <w:t xml:space="preserve"> </w:t>
      </w:r>
      <w:r w:rsidRPr="00A058B6">
        <w:t>the remaining value of the superannuation interest after the payment of the lump sums to the non</w:t>
      </w:r>
      <w:r w:rsidR="001952B3">
        <w:noBreakHyphen/>
      </w:r>
      <w:r w:rsidRPr="00A058B6">
        <w:t>member spouse under paragraph </w:t>
      </w:r>
      <w:r w:rsidR="00485CC2">
        <w:t>91</w:t>
      </w:r>
      <w:r w:rsidRPr="00A058B6">
        <w:t xml:space="preserve">(2)(a) and </w:t>
      </w:r>
      <w:r w:rsidR="00453C86">
        <w:t>paragraph (</w:t>
      </w:r>
      <w:r w:rsidRPr="00A058B6">
        <w:t xml:space="preserve">4)(c) of this section, calculated under </w:t>
      </w:r>
      <w:r w:rsidR="00A52DA5">
        <w:t>subsection (</w:t>
      </w:r>
      <w:r w:rsidRPr="00A058B6">
        <w:t>7)</w:t>
      </w:r>
      <w:r>
        <w:t xml:space="preserve"> of this section</w:t>
      </w:r>
      <w:r w:rsidR="00D7157D">
        <w:t>.</w:t>
      </w:r>
    </w:p>
    <w:p w14:paraId="3B8B737A" w14:textId="6AD32269" w:rsidR="00D930D9" w:rsidRPr="00A058B6" w:rsidRDefault="00D930D9" w:rsidP="00D930D9">
      <w:pPr>
        <w:pStyle w:val="subsection"/>
      </w:pPr>
      <w:r w:rsidRPr="00A058B6">
        <w:tab/>
        <w:t>(7)</w:t>
      </w:r>
      <w:r w:rsidRPr="00A058B6">
        <w:tab/>
        <w:t xml:space="preserve">For the purposes of </w:t>
      </w:r>
      <w:r w:rsidR="00A52DA5">
        <w:t>subsection (</w:t>
      </w:r>
      <w:r w:rsidRPr="00A058B6">
        <w:t>6), the remaining value of the superannuation interest after the payment of the lump sums to the non</w:t>
      </w:r>
      <w:r w:rsidR="001952B3">
        <w:noBreakHyphen/>
      </w:r>
      <w:r w:rsidRPr="00A058B6">
        <w:t>member spouse under paragraph </w:t>
      </w:r>
      <w:r w:rsidR="00485CC2">
        <w:t>91</w:t>
      </w:r>
      <w:r w:rsidRPr="00A058B6">
        <w:t xml:space="preserve">(2)(a) and </w:t>
      </w:r>
      <w:r w:rsidR="00453C86">
        <w:t>paragraph (</w:t>
      </w:r>
      <w:r w:rsidRPr="00A058B6">
        <w:t>4)(c) of this section is:</w:t>
      </w:r>
    </w:p>
    <w:p w14:paraId="6FD9EF9A" w14:textId="26E987BF" w:rsidR="00D930D9" w:rsidRPr="00A058B6" w:rsidRDefault="00534258" w:rsidP="00D930D9">
      <w:pPr>
        <w:pStyle w:val="subsection2"/>
      </w:pPr>
      <w:r w:rsidRPr="00A058B6">
        <w:rPr>
          <w:position w:val="-56"/>
        </w:rPr>
        <w:object w:dxaOrig="6940" w:dyaOrig="1219" w14:anchorId="675893A6">
          <v:shape id="_x0000_i1052" type="#_x0000_t75" alt="Start formula Deemed value of the interest minus First splittable payment amount minus open bracket start fraction Initial lump sum times Pension valuation factor for the interest over Commutation factor for the interest end fraction close bracket end formula" style="width:348.1pt;height:61pt" o:ole="">
            <v:imagedata r:id="rId78" o:title=""/>
          </v:shape>
          <o:OLEObject Type="Embed" ProgID="Equation.DSMT4" ShapeID="_x0000_i1052" DrawAspect="Content" ObjectID="_1801634281" r:id="rId79"/>
        </w:object>
      </w:r>
    </w:p>
    <w:p w14:paraId="16C9D072" w14:textId="77777777" w:rsidR="00D930D9" w:rsidRPr="00A058B6" w:rsidRDefault="00D930D9" w:rsidP="00D930D9">
      <w:pPr>
        <w:pStyle w:val="subsection2"/>
      </w:pPr>
      <w:r w:rsidRPr="00A058B6">
        <w:t>where:</w:t>
      </w:r>
    </w:p>
    <w:p w14:paraId="574E75A9" w14:textId="6C3F7F28" w:rsidR="00D930D9" w:rsidRPr="00A058B6" w:rsidRDefault="00EF593E" w:rsidP="00D930D9">
      <w:pPr>
        <w:pStyle w:val="Definition"/>
      </w:pPr>
      <w:r w:rsidRPr="00A058B6">
        <w:rPr>
          <w:b/>
          <w:bCs/>
          <w:i/>
          <w:iCs/>
        </w:rPr>
        <w:t>deemed value of the interest</w:t>
      </w:r>
      <w:r>
        <w:rPr>
          <w:bCs/>
          <w:iCs/>
        </w:rPr>
        <w:t xml:space="preserve"> </w:t>
      </w:r>
      <w:r w:rsidR="00B33790">
        <w:t>means</w:t>
      </w:r>
      <w:r w:rsidR="00B33790" w:rsidRPr="00A058B6">
        <w:t xml:space="preserve"> </w:t>
      </w:r>
      <w:r w:rsidRPr="00A058B6">
        <w:t xml:space="preserve">the amount </w:t>
      </w:r>
      <w:r>
        <w:t xml:space="preserve">that would be </w:t>
      </w:r>
      <w:r w:rsidRPr="00A058B6">
        <w:t xml:space="preserve">calculated under </w:t>
      </w:r>
      <w:r w:rsidR="00CB78B9">
        <w:t>section 6</w:t>
      </w:r>
      <w:r w:rsidR="00485CC2">
        <w:t>4</w:t>
      </w:r>
      <w:r w:rsidRPr="00A058B6">
        <w:t xml:space="preserve"> for the</w:t>
      </w:r>
      <w:r>
        <w:t xml:space="preserve"> superannuation</w:t>
      </w:r>
      <w:r w:rsidRPr="00A058B6">
        <w:t xml:space="preserve"> interest if references in </w:t>
      </w:r>
      <w:r w:rsidR="00453C86">
        <w:t>Division 2</w:t>
      </w:r>
      <w:r w:rsidRPr="00A058B6">
        <w:t xml:space="preserve"> of Part </w:t>
      </w:r>
      <w:r w:rsidR="00934E66">
        <w:t>6</w:t>
      </w:r>
      <w:r w:rsidRPr="00A058B6">
        <w:t xml:space="preserve"> to the relevant date were references to the date the first splittable payment became payable in respect of the superannuation interest</w:t>
      </w:r>
      <w:r>
        <w:t xml:space="preserve"> </w:t>
      </w:r>
      <w:r w:rsidR="00D930D9" w:rsidRPr="00A058B6">
        <w:t>after the operative time for the payment split</w:t>
      </w:r>
      <w:r w:rsidR="00D7157D">
        <w:t>.</w:t>
      </w:r>
    </w:p>
    <w:p w14:paraId="7804C2D6" w14:textId="54863AC5" w:rsidR="00D930D9" w:rsidRPr="00A058B6" w:rsidRDefault="00D930D9" w:rsidP="00D930D9">
      <w:pPr>
        <w:pStyle w:val="Definition"/>
      </w:pPr>
      <w:r w:rsidRPr="00A058B6">
        <w:rPr>
          <w:b/>
          <w:i/>
        </w:rPr>
        <w:t>first splittable payment amount</w:t>
      </w:r>
      <w:r w:rsidRPr="00A058B6">
        <w:t xml:space="preserve"> </w:t>
      </w:r>
      <w:r w:rsidR="00B33790">
        <w:t>means</w:t>
      </w:r>
      <w:r w:rsidR="00B33790" w:rsidRPr="00A058B6">
        <w:t xml:space="preserve"> </w:t>
      </w:r>
      <w:r w:rsidRPr="00A058B6">
        <w:t>the amount of the lump sum paid to the non</w:t>
      </w:r>
      <w:r w:rsidR="001952B3">
        <w:noBreakHyphen/>
      </w:r>
      <w:r w:rsidRPr="00A058B6">
        <w:t>member spouse under paragraph </w:t>
      </w:r>
      <w:r w:rsidR="00485CC2">
        <w:t>91</w:t>
      </w:r>
      <w:r w:rsidRPr="00A058B6">
        <w:t>(2)(a)</w:t>
      </w:r>
      <w:r w:rsidR="00D7157D">
        <w:t>.</w:t>
      </w:r>
    </w:p>
    <w:p w14:paraId="69B381E7" w14:textId="01DE7CCA" w:rsidR="00D930D9" w:rsidRPr="00A058B6" w:rsidRDefault="00D930D9" w:rsidP="00D930D9">
      <w:pPr>
        <w:pStyle w:val="Definition"/>
      </w:pPr>
      <w:r w:rsidRPr="00A058B6">
        <w:rPr>
          <w:b/>
          <w:i/>
        </w:rPr>
        <w:t>initial lump sum</w:t>
      </w:r>
      <w:r w:rsidRPr="00A058B6">
        <w:t xml:space="preserve"> </w:t>
      </w:r>
      <w:r w:rsidR="00B33790">
        <w:t>means</w:t>
      </w:r>
      <w:r w:rsidR="00B33790" w:rsidRPr="00A058B6">
        <w:t xml:space="preserve"> </w:t>
      </w:r>
      <w:r w:rsidRPr="00A058B6">
        <w:t>the amount of the lump sum paid to the non</w:t>
      </w:r>
      <w:r w:rsidR="001952B3">
        <w:noBreakHyphen/>
      </w:r>
      <w:r w:rsidRPr="00A058B6">
        <w:t xml:space="preserve">member spouse under </w:t>
      </w:r>
      <w:r w:rsidR="00453C86">
        <w:t>paragraph (</w:t>
      </w:r>
      <w:r w:rsidRPr="00A058B6">
        <w:t>4)(b)</w:t>
      </w:r>
      <w:r w:rsidR="00D7157D">
        <w:t>.</w:t>
      </w:r>
    </w:p>
    <w:p w14:paraId="268B65FE" w14:textId="0AE36352" w:rsidR="00D930D9" w:rsidRPr="00A058B6" w:rsidRDefault="00D930D9" w:rsidP="00D930D9">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4CD48A67" w14:textId="19BB07BE" w:rsidR="00D930D9" w:rsidRPr="00A058B6" w:rsidRDefault="00485CC2" w:rsidP="00D930D9">
      <w:pPr>
        <w:pStyle w:val="ActHead5"/>
      </w:pPr>
      <w:bookmarkStart w:id="138" w:name="_Toc188350623"/>
      <w:r w:rsidRPr="00423C34">
        <w:rPr>
          <w:rStyle w:val="CharSectno"/>
        </w:rPr>
        <w:t>93</w:t>
      </w:r>
      <w:r w:rsidR="00D930D9" w:rsidRPr="00A058B6">
        <w:t xml:space="preserve">  Amount to be paid to non</w:t>
      </w:r>
      <w:r w:rsidR="001952B3">
        <w:noBreakHyphen/>
      </w:r>
      <w:r w:rsidR="00D930D9" w:rsidRPr="00A058B6">
        <w:t>member spouse—benefits payable as allocated pension or market linked pension</w:t>
      </w:r>
      <w:bookmarkEnd w:id="138"/>
    </w:p>
    <w:p w14:paraId="10CE760D" w14:textId="77777777" w:rsidR="00D930D9" w:rsidRPr="00A058B6" w:rsidRDefault="00B3440B" w:rsidP="00D930D9">
      <w:pPr>
        <w:pStyle w:val="subsection"/>
      </w:pPr>
      <w:r>
        <w:rPr>
          <w:color w:val="000000"/>
        </w:rPr>
        <w:tab/>
        <w:t>(1)</w:t>
      </w:r>
      <w:r>
        <w:rPr>
          <w:color w:val="000000"/>
        </w:rPr>
        <w:tab/>
      </w:r>
      <w:r w:rsidR="00D930D9" w:rsidRPr="00A058B6">
        <w:rPr>
          <w:color w:val="000000"/>
        </w:rPr>
        <w:t>This section applies for the superannuation interest if the first splittable payment that becomes payable in respect of the interest after the operative time for the payment split is a payment in respect of an allocated pension or a market linked pension</w:t>
      </w:r>
      <w:r w:rsidR="00D7157D">
        <w:rPr>
          <w:color w:val="000000"/>
        </w:rPr>
        <w:t>.</w:t>
      </w:r>
    </w:p>
    <w:p w14:paraId="5B938206" w14:textId="77777777" w:rsidR="00D930D9" w:rsidRPr="00A058B6" w:rsidRDefault="00D930D9" w:rsidP="00D930D9">
      <w:pPr>
        <w:pStyle w:val="SubsectionHead"/>
      </w:pPr>
      <w:r w:rsidRPr="00A058B6">
        <w:t>Benefits for the interest are payable as an allocated pension and not as a market linked pension</w:t>
      </w:r>
    </w:p>
    <w:p w14:paraId="44F00DF3" w14:textId="77777777" w:rsidR="00D930D9" w:rsidRPr="00A058B6" w:rsidRDefault="00B3440B" w:rsidP="00D930D9">
      <w:pPr>
        <w:pStyle w:val="subsection"/>
        <w:rPr>
          <w:color w:val="000000"/>
        </w:rPr>
      </w:pPr>
      <w:r>
        <w:rPr>
          <w:color w:val="000000"/>
        </w:rPr>
        <w:tab/>
        <w:t>(2)</w:t>
      </w:r>
      <w:r>
        <w:rPr>
          <w:color w:val="000000"/>
        </w:rPr>
        <w:tab/>
      </w:r>
      <w:r w:rsidR="00D930D9" w:rsidRPr="00A058B6">
        <w:rPr>
          <w:color w:val="000000"/>
        </w:rPr>
        <w:t>If:</w:t>
      </w:r>
    </w:p>
    <w:p w14:paraId="48540116" w14:textId="77777777" w:rsidR="00D930D9" w:rsidRPr="00A058B6" w:rsidRDefault="00D930D9" w:rsidP="00D930D9">
      <w:pPr>
        <w:pStyle w:val="paragraph"/>
        <w:rPr>
          <w:color w:val="000000"/>
        </w:rPr>
      </w:pPr>
      <w:r w:rsidRPr="00A058B6">
        <w:tab/>
        <w:t>(a)</w:t>
      </w:r>
      <w:r w:rsidRPr="00A058B6">
        <w:tab/>
      </w:r>
      <w:r w:rsidRPr="00A058B6">
        <w:rPr>
          <w:color w:val="000000"/>
        </w:rPr>
        <w:t>a splittable payment becomes payable in respect of the superannuation interest; and</w:t>
      </w:r>
    </w:p>
    <w:p w14:paraId="59BA92B7" w14:textId="77777777" w:rsidR="00D930D9" w:rsidRPr="00A058B6" w:rsidRDefault="00D930D9" w:rsidP="00D930D9">
      <w:pPr>
        <w:pStyle w:val="paragraph"/>
        <w:rPr>
          <w:color w:val="000000"/>
        </w:rPr>
      </w:pPr>
      <w:r w:rsidRPr="00A058B6">
        <w:rPr>
          <w:color w:val="000000"/>
        </w:rPr>
        <w:tab/>
        <w:t>(b)</w:t>
      </w:r>
      <w:r w:rsidRPr="00A058B6">
        <w:rPr>
          <w:color w:val="000000"/>
        </w:rPr>
        <w:tab/>
        <w:t>the whole, or a part, of the benefits for the interest are payable as an allocated pension and not as a market linked pension;</w:t>
      </w:r>
    </w:p>
    <w:p w14:paraId="659B5BA2" w14:textId="33EE5E1E" w:rsidR="00D930D9" w:rsidRPr="00A058B6" w:rsidRDefault="00D930D9" w:rsidP="00D930D9">
      <w:pPr>
        <w:pStyle w:val="subsection2"/>
      </w:pPr>
      <w:r w:rsidRPr="00A058B6">
        <w:t>the non</w:t>
      </w:r>
      <w:r w:rsidR="001952B3">
        <w:noBreakHyphen/>
      </w:r>
      <w:r w:rsidRPr="00A058B6">
        <w:t>member spouse is entitled to be paid, from the lump sum from which the allocated pension is payable, an amount equal to the base amount allocated to the non</w:t>
      </w:r>
      <w:r w:rsidR="001952B3">
        <w:noBreakHyphen/>
      </w:r>
      <w:r w:rsidRPr="00A058B6">
        <w:t>member spouse for the interest</w:t>
      </w:r>
      <w:r w:rsidR="00D7157D">
        <w:t>.</w:t>
      </w:r>
    </w:p>
    <w:p w14:paraId="141737F0" w14:textId="77777777" w:rsidR="00D930D9" w:rsidRPr="00A058B6" w:rsidRDefault="00D930D9" w:rsidP="00D930D9">
      <w:pPr>
        <w:pStyle w:val="SubsectionHead"/>
      </w:pPr>
      <w:r w:rsidRPr="00A058B6">
        <w:t>Benefits for the interest are payable as a market linked pension and not as an allocated pension</w:t>
      </w:r>
    </w:p>
    <w:p w14:paraId="59C99CBF" w14:textId="77777777" w:rsidR="00D930D9" w:rsidRPr="00A058B6" w:rsidRDefault="00B3440B" w:rsidP="00D930D9">
      <w:pPr>
        <w:pStyle w:val="subsection"/>
      </w:pPr>
      <w:r>
        <w:tab/>
        <w:t>(3)</w:t>
      </w:r>
      <w:r>
        <w:tab/>
      </w:r>
      <w:r w:rsidR="00D930D9" w:rsidRPr="00A058B6">
        <w:t>If:</w:t>
      </w:r>
    </w:p>
    <w:p w14:paraId="268F2BD2" w14:textId="77777777" w:rsidR="00D930D9" w:rsidRPr="00A058B6" w:rsidRDefault="00D930D9" w:rsidP="00D930D9">
      <w:pPr>
        <w:pStyle w:val="paragraph"/>
      </w:pPr>
      <w:r w:rsidRPr="00A058B6">
        <w:tab/>
        <w:t>(a)</w:t>
      </w:r>
      <w:r w:rsidRPr="00A058B6">
        <w:tab/>
        <w:t>a splittable payment becomes payable in respect of the superannuation interest; and</w:t>
      </w:r>
    </w:p>
    <w:p w14:paraId="5D90E85C" w14:textId="77777777" w:rsidR="00D930D9" w:rsidRPr="00A058B6" w:rsidRDefault="00D930D9" w:rsidP="00D930D9">
      <w:pPr>
        <w:pStyle w:val="paragraph"/>
      </w:pPr>
      <w:r w:rsidRPr="00A058B6">
        <w:tab/>
        <w:t>(b)</w:t>
      </w:r>
      <w:r w:rsidRPr="00A058B6">
        <w:tab/>
        <w:t>the whole, or a part, of the benefits for the interest are payable as a market linked pension and not as an allocated pension;</w:t>
      </w:r>
    </w:p>
    <w:p w14:paraId="1B2EFFCB" w14:textId="0C2BAFD7" w:rsidR="00D930D9" w:rsidRPr="00A058B6" w:rsidRDefault="00D930D9" w:rsidP="00D930D9">
      <w:pPr>
        <w:pStyle w:val="subsection2"/>
      </w:pPr>
      <w:r w:rsidRPr="00A058B6">
        <w:t>the non</w:t>
      </w:r>
      <w:r w:rsidR="001952B3">
        <w:noBreakHyphen/>
      </w:r>
      <w:r w:rsidRPr="00A058B6">
        <w:t>member spouse is entitled to be paid, from the lump sum from which the market linked pension is payable, an amount equal to the base amount allocated to the non</w:t>
      </w:r>
      <w:r w:rsidR="001952B3">
        <w:noBreakHyphen/>
      </w:r>
      <w:r w:rsidRPr="00A058B6">
        <w:t>member spouse for the interest</w:t>
      </w:r>
      <w:r w:rsidR="00D7157D">
        <w:t>.</w:t>
      </w:r>
    </w:p>
    <w:p w14:paraId="7517D793" w14:textId="77777777" w:rsidR="00D930D9" w:rsidRPr="00A058B6" w:rsidRDefault="00D930D9" w:rsidP="00D930D9">
      <w:pPr>
        <w:pStyle w:val="SubsectionHead"/>
      </w:pPr>
      <w:r w:rsidRPr="00A058B6">
        <w:t>Benefits for the interest are payable as both an allocated pension and a market linked pension—lump sum for allocated pension is greater than or equal to the base amount</w:t>
      </w:r>
    </w:p>
    <w:p w14:paraId="2EB61186" w14:textId="77777777" w:rsidR="00D930D9" w:rsidRPr="00A058B6" w:rsidRDefault="00B3440B" w:rsidP="00D930D9">
      <w:pPr>
        <w:pStyle w:val="subsection"/>
      </w:pPr>
      <w:r>
        <w:tab/>
        <w:t>(4)</w:t>
      </w:r>
      <w:r>
        <w:tab/>
      </w:r>
      <w:r w:rsidR="00D930D9" w:rsidRPr="00A058B6">
        <w:t>If:</w:t>
      </w:r>
    </w:p>
    <w:p w14:paraId="19CB038B" w14:textId="77777777" w:rsidR="00D930D9" w:rsidRPr="00A058B6" w:rsidRDefault="00D930D9" w:rsidP="00D930D9">
      <w:pPr>
        <w:pStyle w:val="paragraph"/>
      </w:pPr>
      <w:r w:rsidRPr="00A058B6">
        <w:tab/>
        <w:t>(a)</w:t>
      </w:r>
      <w:r w:rsidRPr="00A058B6">
        <w:tab/>
        <w:t>a splittable payment becomes payable in respect of the superannuation interest; and</w:t>
      </w:r>
    </w:p>
    <w:p w14:paraId="1C53B860" w14:textId="77777777" w:rsidR="00D930D9" w:rsidRPr="00A058B6" w:rsidRDefault="00D930D9" w:rsidP="00D930D9">
      <w:pPr>
        <w:pStyle w:val="paragraph"/>
      </w:pPr>
      <w:r w:rsidRPr="00A058B6">
        <w:tab/>
        <w:t>(b)</w:t>
      </w:r>
      <w:r w:rsidRPr="00A058B6">
        <w:tab/>
        <w:t xml:space="preserve">one part of the benefits for the interest is payable as an allocated pension and another </w:t>
      </w:r>
      <w:r w:rsidR="00B05FD6">
        <w:t>part i</w:t>
      </w:r>
      <w:r w:rsidRPr="00A058B6">
        <w:t>s payable as a market linked pension; and</w:t>
      </w:r>
    </w:p>
    <w:p w14:paraId="52D4FC49" w14:textId="0320FF76" w:rsidR="00D930D9" w:rsidRPr="00A058B6" w:rsidRDefault="00D930D9" w:rsidP="00D930D9">
      <w:pPr>
        <w:pStyle w:val="paragraph"/>
      </w:pPr>
      <w:r w:rsidRPr="00A058B6">
        <w:tab/>
        <w:t>(c)</w:t>
      </w:r>
      <w:r w:rsidRPr="00A058B6">
        <w:tab/>
      </w:r>
      <w:r w:rsidRPr="00A058B6">
        <w:rPr>
          <w:color w:val="000000"/>
        </w:rPr>
        <w:t>the amount of the lump sum from which the allocated pension is payable is greater than or equal to the base amount allocated</w:t>
      </w:r>
      <w:r w:rsidRPr="00A058B6">
        <w:t xml:space="preserve"> </w:t>
      </w:r>
      <w:r w:rsidRPr="00A058B6">
        <w:rPr>
          <w:color w:val="000000"/>
        </w:rPr>
        <w:t>to the non</w:t>
      </w:r>
      <w:r w:rsidR="001952B3">
        <w:rPr>
          <w:color w:val="000000"/>
        </w:rPr>
        <w:noBreakHyphen/>
      </w:r>
      <w:r w:rsidRPr="00A058B6">
        <w:rPr>
          <w:color w:val="000000"/>
        </w:rPr>
        <w:t>member spouse for the interest;</w:t>
      </w:r>
    </w:p>
    <w:p w14:paraId="4FDF6C50" w14:textId="0BAC94B1" w:rsidR="00D930D9" w:rsidRPr="00A058B6" w:rsidRDefault="00D930D9" w:rsidP="00D930D9">
      <w:pPr>
        <w:pStyle w:val="subsection2"/>
      </w:pPr>
      <w:r w:rsidRPr="00A058B6">
        <w:t>the non</w:t>
      </w:r>
      <w:r w:rsidR="001952B3">
        <w:noBreakHyphen/>
      </w:r>
      <w:r w:rsidRPr="00A058B6">
        <w:t xml:space="preserve">member spouse is entitled to be paid, </w:t>
      </w:r>
      <w:r w:rsidRPr="00A058B6">
        <w:rPr>
          <w:color w:val="000000"/>
        </w:rPr>
        <w:t>from that lump sum, an amount equal to that base amount</w:t>
      </w:r>
      <w:r w:rsidR="00D7157D">
        <w:rPr>
          <w:color w:val="000000"/>
        </w:rPr>
        <w:t>.</w:t>
      </w:r>
    </w:p>
    <w:p w14:paraId="494B1333" w14:textId="77777777" w:rsidR="00D930D9" w:rsidRPr="00A058B6" w:rsidRDefault="00D930D9" w:rsidP="00D930D9">
      <w:pPr>
        <w:pStyle w:val="SubsectionHead"/>
      </w:pPr>
      <w:r w:rsidRPr="00A058B6">
        <w:t>Benefits for the interest are payable as both an allocated pension and a market linked pension—lump sum for allocated pension is less than the base amount</w:t>
      </w:r>
    </w:p>
    <w:p w14:paraId="602C7912" w14:textId="77777777" w:rsidR="00D930D9" w:rsidRPr="00A058B6" w:rsidRDefault="00B3440B" w:rsidP="00D930D9">
      <w:pPr>
        <w:pStyle w:val="subsection"/>
      </w:pPr>
      <w:r>
        <w:tab/>
        <w:t>(5)</w:t>
      </w:r>
      <w:r>
        <w:tab/>
      </w:r>
      <w:r w:rsidR="00D930D9" w:rsidRPr="00A058B6">
        <w:t>If:</w:t>
      </w:r>
    </w:p>
    <w:p w14:paraId="252D96CF" w14:textId="77777777" w:rsidR="00D930D9" w:rsidRPr="00A058B6" w:rsidRDefault="00D930D9" w:rsidP="00D930D9">
      <w:pPr>
        <w:pStyle w:val="paragraph"/>
      </w:pPr>
      <w:r w:rsidRPr="00A058B6">
        <w:tab/>
        <w:t>(a)</w:t>
      </w:r>
      <w:r w:rsidRPr="00A058B6">
        <w:tab/>
        <w:t>a splittable payment becomes payable in respect of the superannuation interest; and</w:t>
      </w:r>
    </w:p>
    <w:p w14:paraId="60FF52EC" w14:textId="77777777" w:rsidR="00D930D9" w:rsidRPr="00A058B6" w:rsidRDefault="00D930D9" w:rsidP="00D930D9">
      <w:pPr>
        <w:pStyle w:val="paragraph"/>
      </w:pPr>
      <w:r w:rsidRPr="00A058B6">
        <w:tab/>
        <w:t>(b)</w:t>
      </w:r>
      <w:r w:rsidRPr="00A058B6">
        <w:tab/>
        <w:t xml:space="preserve">one part of the benefits for the interest is payable as an allocated pension and another </w:t>
      </w:r>
      <w:r w:rsidR="00B05FD6">
        <w:t>part i</w:t>
      </w:r>
      <w:r w:rsidRPr="00A058B6">
        <w:t>s payable as a market linked pension; and</w:t>
      </w:r>
    </w:p>
    <w:p w14:paraId="3E1D0BC4" w14:textId="4B81E302" w:rsidR="00D930D9" w:rsidRPr="00A058B6" w:rsidRDefault="00D930D9" w:rsidP="00D930D9">
      <w:pPr>
        <w:pStyle w:val="paragraph"/>
      </w:pPr>
      <w:r w:rsidRPr="00A058B6">
        <w:tab/>
        <w:t>(c)</w:t>
      </w:r>
      <w:r w:rsidRPr="00A058B6">
        <w:tab/>
        <w:t>the amount of the lump sum from which the allocated pension is payable falls short of the amount of the base amount allocated to the non</w:t>
      </w:r>
      <w:r w:rsidR="001952B3">
        <w:noBreakHyphen/>
      </w:r>
      <w:r w:rsidRPr="00A058B6">
        <w:t>member spouse for the interest;</w:t>
      </w:r>
    </w:p>
    <w:p w14:paraId="7B59247C" w14:textId="6B81A7F8" w:rsidR="00D930D9" w:rsidRPr="00A058B6" w:rsidRDefault="00D930D9" w:rsidP="00D930D9">
      <w:pPr>
        <w:pStyle w:val="subsection2"/>
      </w:pPr>
      <w:r w:rsidRPr="00A058B6">
        <w:t>the non</w:t>
      </w:r>
      <w:r w:rsidR="001952B3">
        <w:noBreakHyphen/>
      </w:r>
      <w:r w:rsidRPr="00A058B6">
        <w:t>member spouse is entitled to be paid:</w:t>
      </w:r>
    </w:p>
    <w:p w14:paraId="25D9916D" w14:textId="77777777" w:rsidR="00D930D9" w:rsidRPr="00A058B6" w:rsidRDefault="00D930D9" w:rsidP="00D930D9">
      <w:pPr>
        <w:pStyle w:val="paragraph"/>
      </w:pPr>
      <w:r w:rsidRPr="00A058B6">
        <w:tab/>
        <w:t>(d)</w:t>
      </w:r>
      <w:r w:rsidRPr="00A058B6">
        <w:tab/>
        <w:t>the amount of that lump sum; and</w:t>
      </w:r>
    </w:p>
    <w:p w14:paraId="26ACB720" w14:textId="77777777" w:rsidR="00D930D9" w:rsidRPr="00A058B6" w:rsidRDefault="00D930D9" w:rsidP="00D930D9">
      <w:pPr>
        <w:pStyle w:val="paragraph"/>
      </w:pPr>
      <w:r w:rsidRPr="00A058B6">
        <w:tab/>
        <w:t>(e)</w:t>
      </w:r>
      <w:r w:rsidRPr="00A058B6">
        <w:tab/>
        <w:t>so much of the amount of the lump sum from which the market linked pension is payable as is needed to pay that shortfall</w:t>
      </w:r>
      <w:r w:rsidR="00D7157D">
        <w:t>.</w:t>
      </w:r>
    </w:p>
    <w:p w14:paraId="4AFA06C3" w14:textId="77777777" w:rsidR="00D930D9" w:rsidRPr="00A058B6" w:rsidRDefault="00D930D9" w:rsidP="00D930D9">
      <w:pPr>
        <w:pStyle w:val="SubsectionHead"/>
      </w:pPr>
      <w:r w:rsidRPr="00A058B6">
        <w:t xml:space="preserve">Other </w:t>
      </w:r>
      <w:r w:rsidRPr="00A058B6">
        <w:rPr>
          <w:color w:val="000000"/>
        </w:rPr>
        <w:t>splittable payments in respect of the superannuation interest</w:t>
      </w:r>
    </w:p>
    <w:p w14:paraId="74E25342" w14:textId="25857A50" w:rsidR="00D930D9" w:rsidRPr="00A058B6" w:rsidRDefault="00B3440B" w:rsidP="00D930D9">
      <w:pPr>
        <w:pStyle w:val="subsection"/>
      </w:pPr>
      <w:r>
        <w:rPr>
          <w:color w:val="000000"/>
        </w:rPr>
        <w:tab/>
        <w:t>(6)</w:t>
      </w:r>
      <w:r>
        <w:rPr>
          <w:color w:val="000000"/>
        </w:rPr>
        <w:tab/>
      </w:r>
      <w:r w:rsidR="00D930D9" w:rsidRPr="00A058B6">
        <w:rPr>
          <w:color w:val="000000"/>
        </w:rPr>
        <w:t>The non</w:t>
      </w:r>
      <w:r w:rsidR="001952B3">
        <w:rPr>
          <w:color w:val="000000"/>
        </w:rPr>
        <w:noBreakHyphen/>
      </w:r>
      <w:r w:rsidR="00D930D9" w:rsidRPr="00A058B6">
        <w:rPr>
          <w:color w:val="000000"/>
        </w:rPr>
        <w:t>member spouse is not entitled to be paid any amount from any other splittable payment in respect of the superannuation interest</w:t>
      </w:r>
      <w:r w:rsidR="00D7157D">
        <w:rPr>
          <w:color w:val="000000"/>
        </w:rPr>
        <w:t>.</w:t>
      </w:r>
    </w:p>
    <w:p w14:paraId="29A104D0" w14:textId="6F726BBD" w:rsidR="00D930D9" w:rsidRPr="00A058B6" w:rsidRDefault="00B3440B" w:rsidP="00D930D9">
      <w:pPr>
        <w:pStyle w:val="subsection"/>
      </w:pPr>
      <w:r>
        <w:tab/>
        <w:t>(7)</w:t>
      </w:r>
      <w:r>
        <w:tab/>
      </w:r>
      <w:r w:rsidR="00D930D9" w:rsidRPr="00A058B6">
        <w:t xml:space="preserve">However, if the lump sum mentioned in </w:t>
      </w:r>
      <w:r w:rsidR="00A52DA5">
        <w:t>subsection (</w:t>
      </w:r>
      <w:r w:rsidR="00D930D9" w:rsidRPr="00A058B6">
        <w:t>2) or (3), or the total of the lump sums mentioned in paragraphs (</w:t>
      </w:r>
      <w:r>
        <w:t>5</w:t>
      </w:r>
      <w:r w:rsidR="00D930D9" w:rsidRPr="00A058B6">
        <w:t>)(d) and (e), is less than the base amount applicable to the non</w:t>
      </w:r>
      <w:r w:rsidR="001952B3">
        <w:noBreakHyphen/>
      </w:r>
      <w:r w:rsidR="00D930D9" w:rsidRPr="00A058B6">
        <w:t>member spouse for the interest, the non</w:t>
      </w:r>
      <w:r w:rsidR="001952B3">
        <w:noBreakHyphen/>
      </w:r>
      <w:r w:rsidR="00D930D9" w:rsidRPr="00A058B6">
        <w:t>member spouse is entitled to be paid:</w:t>
      </w:r>
    </w:p>
    <w:p w14:paraId="21426087" w14:textId="77777777" w:rsidR="00D930D9" w:rsidRPr="00A058B6" w:rsidRDefault="00D930D9" w:rsidP="00D930D9">
      <w:pPr>
        <w:pStyle w:val="paragraph"/>
      </w:pPr>
      <w:r w:rsidRPr="00A058B6">
        <w:rPr>
          <w:color w:val="000000"/>
        </w:rPr>
        <w:tab/>
        <w:t>(a)</w:t>
      </w:r>
      <w:r w:rsidRPr="00A058B6">
        <w:rPr>
          <w:color w:val="000000"/>
        </w:rPr>
        <w:tab/>
        <w:t>the amount of the lump sum, or lump sums, as applicable; and</w:t>
      </w:r>
    </w:p>
    <w:p w14:paraId="0A7DE108" w14:textId="344973BB" w:rsidR="00D930D9" w:rsidRPr="00A058B6" w:rsidRDefault="00D930D9" w:rsidP="00D930D9">
      <w:pPr>
        <w:pStyle w:val="paragraph"/>
      </w:pPr>
      <w:r w:rsidRPr="00A058B6">
        <w:tab/>
        <w:t>(b)</w:t>
      </w:r>
      <w:r w:rsidRPr="00A058B6">
        <w:tab/>
        <w:t xml:space="preserve">from each other splittable payment that becomes payable in respect of the superannuation interest, the amount calculated under </w:t>
      </w:r>
      <w:r w:rsidR="00A52DA5">
        <w:t>subsection (</w:t>
      </w:r>
      <w:r w:rsidR="00B3440B">
        <w:t>8</w:t>
      </w:r>
      <w:r w:rsidRPr="00A058B6">
        <w:t>)</w:t>
      </w:r>
      <w:r w:rsidR="00D7157D">
        <w:t>.</w:t>
      </w:r>
    </w:p>
    <w:p w14:paraId="1A2E960C" w14:textId="3AF2A6D6" w:rsidR="00D930D9" w:rsidRPr="00A058B6" w:rsidRDefault="00B3440B" w:rsidP="00D930D9">
      <w:pPr>
        <w:pStyle w:val="subsection"/>
        <w:rPr>
          <w:color w:val="000000"/>
        </w:rPr>
      </w:pPr>
      <w:r>
        <w:rPr>
          <w:color w:val="000000"/>
        </w:rPr>
        <w:tab/>
        <w:t>(8)</w:t>
      </w:r>
      <w:r>
        <w:rPr>
          <w:color w:val="000000"/>
        </w:rPr>
        <w:tab/>
      </w:r>
      <w:r w:rsidR="00D930D9" w:rsidRPr="00A058B6">
        <w:rPr>
          <w:color w:val="000000"/>
        </w:rPr>
        <w:t xml:space="preserve">For the purposes of </w:t>
      </w:r>
      <w:r w:rsidR="00453C86">
        <w:rPr>
          <w:color w:val="000000"/>
        </w:rPr>
        <w:t>paragraph (</w:t>
      </w:r>
      <w:r>
        <w:rPr>
          <w:color w:val="000000"/>
        </w:rPr>
        <w:t>7</w:t>
      </w:r>
      <w:r w:rsidR="00D930D9" w:rsidRPr="00A058B6">
        <w:rPr>
          <w:color w:val="000000"/>
        </w:rPr>
        <w:t>)(b), the amount is equal to:</w:t>
      </w:r>
    </w:p>
    <w:p w14:paraId="083F0F4C" w14:textId="095DF5EB" w:rsidR="00D930D9" w:rsidRPr="00A058B6" w:rsidRDefault="001644C5" w:rsidP="00D930D9">
      <w:pPr>
        <w:pStyle w:val="subsection2"/>
      </w:pPr>
      <w:r w:rsidRPr="00A058B6">
        <w:rPr>
          <w:position w:val="-54"/>
        </w:rPr>
        <w:object w:dxaOrig="5620" w:dyaOrig="1140" w14:anchorId="4C252677">
          <v:shape id="_x0000_i1053" type="#_x0000_t75" alt="Start formula start fraction open bracket Base amount minus Initial lump sum or sums close bracket times Splittable payment amount over Deemed value of the interest at date first splittable payment became payable minus Initial lump sum or sums end fraction end formula" style="width:279.75pt;height:55.5pt" o:ole="">
            <v:imagedata r:id="rId80" o:title=""/>
          </v:shape>
          <o:OLEObject Type="Embed" ProgID="Equation.DSMT4" ShapeID="_x0000_i1053" DrawAspect="Content" ObjectID="_1801634282" r:id="rId81"/>
        </w:object>
      </w:r>
    </w:p>
    <w:p w14:paraId="763A8E47" w14:textId="77777777" w:rsidR="00D930D9" w:rsidRPr="00A058B6" w:rsidRDefault="00D930D9" w:rsidP="00D930D9">
      <w:pPr>
        <w:pStyle w:val="subsection2"/>
      </w:pPr>
      <w:r w:rsidRPr="00A058B6">
        <w:t>where:</w:t>
      </w:r>
    </w:p>
    <w:p w14:paraId="3F71386C" w14:textId="6A9C182B" w:rsidR="00D930D9" w:rsidRPr="00A058B6" w:rsidRDefault="00D930D9" w:rsidP="00D930D9">
      <w:pPr>
        <w:pStyle w:val="Definition"/>
      </w:pPr>
      <w:r w:rsidRPr="00A058B6">
        <w:rPr>
          <w:b/>
          <w:bCs/>
          <w:i/>
          <w:iCs/>
          <w:color w:val="000000"/>
        </w:rPr>
        <w:t>base amount</w:t>
      </w:r>
      <w:r w:rsidRPr="00A058B6">
        <w:rPr>
          <w:color w:val="000000"/>
        </w:rPr>
        <w:t xml:space="preserve"> </w:t>
      </w:r>
      <w:r w:rsidR="00953B0C">
        <w:t>means</w:t>
      </w:r>
      <w:r w:rsidR="00953B0C" w:rsidRPr="00A058B6">
        <w:t xml:space="preserve"> </w:t>
      </w:r>
      <w:r w:rsidRPr="00A058B6">
        <w:rPr>
          <w:color w:val="000000"/>
        </w:rPr>
        <w:t>the base amount allocated to the non</w:t>
      </w:r>
      <w:r w:rsidR="001952B3">
        <w:rPr>
          <w:color w:val="000000"/>
        </w:rPr>
        <w:noBreakHyphen/>
      </w:r>
      <w:r w:rsidRPr="00A058B6">
        <w:rPr>
          <w:color w:val="000000"/>
        </w:rPr>
        <w:t>member spouse for the superannuation interest</w:t>
      </w:r>
      <w:r w:rsidR="00D7157D">
        <w:rPr>
          <w:color w:val="000000"/>
        </w:rPr>
        <w:t>.</w:t>
      </w:r>
    </w:p>
    <w:p w14:paraId="758E602C" w14:textId="2E5D746C" w:rsidR="00D930D9" w:rsidRPr="00A058B6" w:rsidRDefault="00D930D9" w:rsidP="00D930D9">
      <w:pPr>
        <w:pStyle w:val="Definition"/>
      </w:pPr>
      <w:r w:rsidRPr="00A058B6">
        <w:rPr>
          <w:b/>
          <w:bCs/>
          <w:i/>
          <w:iCs/>
        </w:rPr>
        <w:t>initial lump sum(s)</w:t>
      </w:r>
      <w:r w:rsidRPr="00A058B6">
        <w:t xml:space="preserve"> </w:t>
      </w:r>
      <w:r w:rsidR="00953B0C">
        <w:t>means</w:t>
      </w:r>
      <w:r w:rsidR="00953B0C" w:rsidRPr="00A058B6">
        <w:t xml:space="preserve"> </w:t>
      </w:r>
      <w:r w:rsidRPr="00A058B6">
        <w:t>the amount of the lump sum, or lump sums, paid to the non</w:t>
      </w:r>
      <w:r w:rsidR="001952B3">
        <w:noBreakHyphen/>
      </w:r>
      <w:r w:rsidRPr="00A058B6">
        <w:t xml:space="preserve">member spouse under </w:t>
      </w:r>
      <w:r w:rsidR="00453C86">
        <w:t>paragraph (</w:t>
      </w:r>
      <w:r w:rsidR="00B3440B">
        <w:t>7</w:t>
      </w:r>
      <w:r w:rsidRPr="00A058B6">
        <w:t>)(a)</w:t>
      </w:r>
      <w:r w:rsidR="00D7157D">
        <w:t>.</w:t>
      </w:r>
    </w:p>
    <w:p w14:paraId="720C6920" w14:textId="77777777" w:rsidR="00D930D9" w:rsidRPr="00A058B6" w:rsidRDefault="00D930D9" w:rsidP="00D930D9">
      <w:pPr>
        <w:pStyle w:val="Definition"/>
      </w:pPr>
      <w:r w:rsidRPr="00A058B6">
        <w:rPr>
          <w:b/>
          <w:bCs/>
          <w:i/>
          <w:iCs/>
        </w:rPr>
        <w:t>splittable payment amount</w:t>
      </w:r>
      <w:r w:rsidRPr="00A058B6">
        <w:t xml:space="preserve"> </w:t>
      </w:r>
      <w:r w:rsidR="00953B0C">
        <w:t>means</w:t>
      </w:r>
      <w:r w:rsidR="00953B0C" w:rsidRPr="00A058B6">
        <w:t xml:space="preserve"> </w:t>
      </w:r>
      <w:r w:rsidRPr="00A058B6">
        <w:t>the amount of the relevant splittable payment</w:t>
      </w:r>
      <w:r w:rsidR="00D7157D">
        <w:t>.</w:t>
      </w:r>
    </w:p>
    <w:p w14:paraId="6129D541" w14:textId="61A90352" w:rsidR="00056DEF" w:rsidRPr="00A058B6" w:rsidRDefault="00D930D9" w:rsidP="00056DEF">
      <w:pPr>
        <w:pStyle w:val="Definition"/>
      </w:pPr>
      <w:r w:rsidRPr="00A058B6">
        <w:rPr>
          <w:b/>
          <w:bCs/>
          <w:i/>
          <w:iCs/>
        </w:rPr>
        <w:t xml:space="preserve">deemed value of the interest at date </w:t>
      </w:r>
      <w:r w:rsidRPr="00A058B6">
        <w:rPr>
          <w:b/>
          <w:i/>
        </w:rPr>
        <w:t>first splittable payment became payable</w:t>
      </w:r>
      <w:r w:rsidRPr="00A058B6">
        <w:t xml:space="preserve"> </w:t>
      </w:r>
      <w:r w:rsidR="00953B0C">
        <w:t>means</w:t>
      </w:r>
      <w:r w:rsidR="00953B0C" w:rsidRPr="00A058B6">
        <w:t xml:space="preserve"> </w:t>
      </w:r>
      <w:r w:rsidR="00056DEF" w:rsidRPr="00A058B6">
        <w:t xml:space="preserve">the amount </w:t>
      </w:r>
      <w:r w:rsidR="00056DEF">
        <w:t xml:space="preserve">that would be </w:t>
      </w:r>
      <w:r w:rsidR="00056DEF" w:rsidRPr="00A058B6">
        <w:t xml:space="preserve">calculated under </w:t>
      </w:r>
      <w:r w:rsidR="00CB78B9">
        <w:t>section 6</w:t>
      </w:r>
      <w:r w:rsidR="00485CC2">
        <w:t>4</w:t>
      </w:r>
      <w:r w:rsidR="00056DEF" w:rsidRPr="00A058B6">
        <w:t xml:space="preserve"> for the</w:t>
      </w:r>
      <w:r w:rsidR="00056DEF">
        <w:t xml:space="preserve"> superannuation</w:t>
      </w:r>
      <w:r w:rsidR="00056DEF" w:rsidRPr="00A058B6">
        <w:t xml:space="preserve"> interest if references in </w:t>
      </w:r>
      <w:r w:rsidR="00453C86">
        <w:t>Division 2</w:t>
      </w:r>
      <w:r w:rsidR="00056DEF" w:rsidRPr="00A058B6">
        <w:t xml:space="preserve"> of Part </w:t>
      </w:r>
      <w:r w:rsidR="00934E66">
        <w:t>6</w:t>
      </w:r>
      <w:r w:rsidR="00056DEF" w:rsidRPr="00A058B6">
        <w:t xml:space="preserve"> to the relevant date were references to </w:t>
      </w:r>
      <w:r w:rsidR="008D4B24" w:rsidRPr="00A058B6">
        <w:t>the date the first splittable payment became payable in respect of the superannuation interest after the operative time for the payment split</w:t>
      </w:r>
      <w:r w:rsidR="00D7157D">
        <w:t>.</w:t>
      </w:r>
    </w:p>
    <w:p w14:paraId="1CE6F65B" w14:textId="77777777" w:rsidR="00D930D9" w:rsidRPr="00A058B6" w:rsidRDefault="00D930D9" w:rsidP="00D930D9">
      <w:pPr>
        <w:pStyle w:val="ActHead4"/>
      </w:pPr>
      <w:bookmarkStart w:id="139" w:name="_Toc188350624"/>
      <w:r w:rsidRPr="00423C34">
        <w:rPr>
          <w:rStyle w:val="CharSubdNo"/>
        </w:rPr>
        <w:t>Subdivision C</w:t>
      </w:r>
      <w:r w:rsidRPr="00A058B6">
        <w:t>—</w:t>
      </w:r>
      <w:r w:rsidRPr="00423C34">
        <w:rPr>
          <w:rStyle w:val="CharSubdText"/>
        </w:rPr>
        <w:t>Second or later payment split</w:t>
      </w:r>
      <w:bookmarkEnd w:id="139"/>
    </w:p>
    <w:p w14:paraId="6385CF6F" w14:textId="32E92EAF" w:rsidR="00D930D9" w:rsidRPr="00A058B6" w:rsidRDefault="00485CC2" w:rsidP="00D930D9">
      <w:pPr>
        <w:pStyle w:val="ActHead5"/>
      </w:pPr>
      <w:bookmarkStart w:id="140" w:name="_Toc188350625"/>
      <w:r w:rsidRPr="00423C34">
        <w:rPr>
          <w:rStyle w:val="CharSectno"/>
        </w:rPr>
        <w:t>94</w:t>
      </w:r>
      <w:r w:rsidR="00D930D9" w:rsidRPr="00A058B6">
        <w:t xml:space="preserve">  Application of this Subdivision</w:t>
      </w:r>
      <w:bookmarkEnd w:id="140"/>
    </w:p>
    <w:p w14:paraId="1F73AF04" w14:textId="319221A5" w:rsidR="00D930D9" w:rsidRPr="00A058B6" w:rsidRDefault="00D930D9" w:rsidP="00D930D9">
      <w:pPr>
        <w:pStyle w:val="subsection"/>
      </w:pPr>
      <w:r w:rsidRPr="00A058B6">
        <w:tab/>
      </w:r>
      <w:r w:rsidRPr="00A058B6">
        <w:tab/>
        <w:t>This Subdivision sets out how to calculate the non</w:t>
      </w:r>
      <w:r w:rsidR="001952B3">
        <w:noBreakHyphen/>
      </w:r>
      <w:r w:rsidRPr="00A058B6">
        <w:t>member spouse’s entitlement under a payment split if the payment split is a second or later payment split for a splittable payment for the superannuation interest</w:t>
      </w:r>
      <w:r w:rsidR="00D7157D">
        <w:t>.</w:t>
      </w:r>
    </w:p>
    <w:p w14:paraId="340DF030" w14:textId="752163D7" w:rsidR="00D930D9" w:rsidRPr="00A058B6" w:rsidRDefault="00485CC2" w:rsidP="00D930D9">
      <w:pPr>
        <w:pStyle w:val="ActHead5"/>
      </w:pPr>
      <w:bookmarkStart w:id="141" w:name="_Toc188350626"/>
      <w:r w:rsidRPr="00423C34">
        <w:rPr>
          <w:rStyle w:val="CharSectno"/>
        </w:rPr>
        <w:t>95</w:t>
      </w:r>
      <w:r w:rsidR="00D930D9" w:rsidRPr="00A058B6">
        <w:t xml:space="preserve">  Amount to be paid to non</w:t>
      </w:r>
      <w:r w:rsidR="001952B3">
        <w:noBreakHyphen/>
      </w:r>
      <w:r w:rsidR="00D930D9" w:rsidRPr="00A058B6">
        <w:t xml:space="preserve">member spouse—first splittable payment after operative time </w:t>
      </w:r>
      <w:r w:rsidR="00D930D9" w:rsidRPr="00A058B6">
        <w:rPr>
          <w:color w:val="000000"/>
        </w:rPr>
        <w:t xml:space="preserve">greater than or equal to the </w:t>
      </w:r>
      <w:r w:rsidR="00D930D9" w:rsidRPr="00A058B6">
        <w:t>amount of earlier payments plus base amount</w:t>
      </w:r>
      <w:bookmarkEnd w:id="141"/>
    </w:p>
    <w:p w14:paraId="15C44312" w14:textId="77777777" w:rsidR="00D930D9" w:rsidRPr="00A058B6" w:rsidRDefault="00D930D9" w:rsidP="00D930D9">
      <w:pPr>
        <w:pStyle w:val="subsection"/>
      </w:pPr>
      <w:r w:rsidRPr="00A058B6">
        <w:tab/>
        <w:t>(1)</w:t>
      </w:r>
      <w:r w:rsidRPr="00A058B6">
        <w:tab/>
        <w:t>This section applies for the superannuation interest if:</w:t>
      </w:r>
    </w:p>
    <w:p w14:paraId="254DD704" w14:textId="77777777" w:rsidR="00D930D9" w:rsidRPr="00A058B6" w:rsidRDefault="00D930D9" w:rsidP="00D930D9">
      <w:pPr>
        <w:pStyle w:val="paragraph"/>
        <w:keepNext/>
        <w:keepLines/>
      </w:pPr>
      <w:r w:rsidRPr="00A058B6">
        <w:tab/>
        <w:t>(a)</w:t>
      </w:r>
      <w:r w:rsidRPr="00A058B6">
        <w:tab/>
        <w:t xml:space="preserve">the first splittable payment that becomes payable in respect of the interest after the operative time for the payment split is not a payment in respect of </w:t>
      </w:r>
      <w:r w:rsidRPr="00A058B6">
        <w:rPr>
          <w:color w:val="000000"/>
        </w:rPr>
        <w:t>an allocated pension or a market linked pension;</w:t>
      </w:r>
      <w:r w:rsidRPr="00A058B6">
        <w:t xml:space="preserve"> and</w:t>
      </w:r>
    </w:p>
    <w:p w14:paraId="363E8740" w14:textId="77777777" w:rsidR="00D930D9" w:rsidRPr="00A058B6" w:rsidRDefault="00D930D9" w:rsidP="00D930D9">
      <w:pPr>
        <w:pStyle w:val="paragraph"/>
      </w:pPr>
      <w:r w:rsidRPr="00A058B6">
        <w:tab/>
        <w:t>(b)</w:t>
      </w:r>
      <w:r w:rsidRPr="00A058B6">
        <w:tab/>
        <w:t>the amount of that payment is greater than or equal to the sum of:</w:t>
      </w:r>
    </w:p>
    <w:p w14:paraId="17D77114" w14:textId="67E1DBBF" w:rsidR="00D930D9" w:rsidRPr="00A058B6" w:rsidRDefault="00D930D9" w:rsidP="00D930D9">
      <w:pPr>
        <w:pStyle w:val="paragraphsub"/>
      </w:pPr>
      <w:r w:rsidRPr="00A058B6">
        <w:tab/>
        <w:t>(i)</w:t>
      </w:r>
      <w:r w:rsidRPr="00A058B6">
        <w:tab/>
        <w:t xml:space="preserve">the amount payable under </w:t>
      </w:r>
      <w:r w:rsidR="00CB78B9">
        <w:t>subsection 8</w:t>
      </w:r>
      <w:r w:rsidR="00485CC2">
        <w:t>1</w:t>
      </w:r>
      <w:r w:rsidRPr="00A058B6">
        <w:t xml:space="preserve">(3), </w:t>
      </w:r>
      <w:r w:rsidR="00485CC2">
        <w:t>82</w:t>
      </w:r>
      <w:r w:rsidRPr="00A058B6">
        <w:t xml:space="preserve">(6), </w:t>
      </w:r>
      <w:r w:rsidR="00485CC2">
        <w:t>84</w:t>
      </w:r>
      <w:r w:rsidRPr="00A058B6">
        <w:t xml:space="preserve">(4), </w:t>
      </w:r>
      <w:r w:rsidR="00485CC2">
        <w:t>85</w:t>
      </w:r>
      <w:r w:rsidRPr="00A058B6">
        <w:t xml:space="preserve">(2), </w:t>
      </w:r>
      <w:r w:rsidR="00485CC2">
        <w:t>91</w:t>
      </w:r>
      <w:r w:rsidRPr="00A058B6">
        <w:t xml:space="preserve">(3) or </w:t>
      </w:r>
      <w:r w:rsidR="00485CC2">
        <w:t>92</w:t>
      </w:r>
      <w:r w:rsidRPr="00A058B6">
        <w:t>(6) or this section to each other person under a payment split with an earlier operative time for the interest; and</w:t>
      </w:r>
    </w:p>
    <w:p w14:paraId="3F19C30A" w14:textId="2818BE6C" w:rsidR="00D930D9" w:rsidRPr="00A058B6" w:rsidRDefault="00D930D9" w:rsidP="00D930D9">
      <w:pPr>
        <w:pStyle w:val="paragraphsub"/>
      </w:pPr>
      <w:r w:rsidRPr="00A058B6">
        <w:tab/>
        <w:t>(ii)</w:t>
      </w:r>
      <w:r w:rsidRPr="00A058B6">
        <w:tab/>
        <w:t>the base amount allocated to the non</w:t>
      </w:r>
      <w:r w:rsidR="001952B3">
        <w:noBreakHyphen/>
      </w:r>
      <w:r w:rsidRPr="00A058B6">
        <w:t>member spouse for the interest</w:t>
      </w:r>
      <w:r w:rsidR="00D7157D">
        <w:t>.</w:t>
      </w:r>
    </w:p>
    <w:p w14:paraId="5A5C2801" w14:textId="4077F932"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in respect of the first splittable payment is that base amount</w:t>
      </w:r>
      <w:r w:rsidR="00D7157D">
        <w:t>.</w:t>
      </w:r>
    </w:p>
    <w:p w14:paraId="1C77923F" w14:textId="6BB6F17E" w:rsidR="00D930D9" w:rsidRPr="00A058B6" w:rsidRDefault="00D930D9" w:rsidP="00D930D9">
      <w:pPr>
        <w:pStyle w:val="subsection"/>
      </w:pPr>
      <w:r w:rsidRPr="00A058B6">
        <w:tab/>
        <w:t>(3)</w:t>
      </w:r>
      <w:r w:rsidRPr="00A058B6">
        <w:tab/>
        <w:t>The non</w:t>
      </w:r>
      <w:r w:rsidR="001952B3">
        <w:noBreakHyphen/>
      </w:r>
      <w:r w:rsidRPr="00A058B6">
        <w:t>member spouse is not entitled to be paid any amount from any other splittable payment in respect of the superannuation interest</w:t>
      </w:r>
      <w:r w:rsidR="00D7157D">
        <w:t>.</w:t>
      </w:r>
    </w:p>
    <w:p w14:paraId="3232333C" w14:textId="227561E1" w:rsidR="00D930D9" w:rsidRPr="00A058B6" w:rsidRDefault="00485CC2" w:rsidP="00D930D9">
      <w:pPr>
        <w:pStyle w:val="ActHead5"/>
      </w:pPr>
      <w:bookmarkStart w:id="142" w:name="_Toc188350627"/>
      <w:r w:rsidRPr="00423C34">
        <w:rPr>
          <w:rStyle w:val="CharSectno"/>
        </w:rPr>
        <w:t>96</w:t>
      </w:r>
      <w:r w:rsidR="00D930D9" w:rsidRPr="00A058B6">
        <w:t xml:space="preserve">  Amount to be paid to non</w:t>
      </w:r>
      <w:r w:rsidR="001952B3">
        <w:noBreakHyphen/>
      </w:r>
      <w:r w:rsidR="00D930D9" w:rsidRPr="00A058B6">
        <w:t>member spouse—first splittable payment after operative time less than amount of earlier payments plus base amount</w:t>
      </w:r>
      <w:bookmarkEnd w:id="142"/>
    </w:p>
    <w:p w14:paraId="4AE44F0D" w14:textId="77777777" w:rsidR="00D930D9" w:rsidRPr="00A058B6" w:rsidRDefault="00D930D9" w:rsidP="00D930D9">
      <w:pPr>
        <w:pStyle w:val="subsection"/>
      </w:pPr>
      <w:r w:rsidRPr="00A058B6">
        <w:tab/>
        <w:t>(1)</w:t>
      </w:r>
      <w:r w:rsidRPr="00A058B6">
        <w:tab/>
        <w:t>This section applies for the superannuation interest if:</w:t>
      </w:r>
    </w:p>
    <w:p w14:paraId="33B97FCA" w14:textId="77777777" w:rsidR="00D930D9" w:rsidRPr="00A058B6" w:rsidRDefault="00D930D9" w:rsidP="00D930D9">
      <w:pPr>
        <w:pStyle w:val="paragraph"/>
        <w:keepNext/>
        <w:keepLines/>
      </w:pPr>
      <w:r w:rsidRPr="00A058B6">
        <w:tab/>
        <w:t>(a)</w:t>
      </w:r>
      <w:r w:rsidRPr="00A058B6">
        <w:tab/>
        <w:t>the first splittable payment that becomes payable in respect of the interest after the operative time for the payment s</w:t>
      </w:r>
      <w:r>
        <w:t>p</w:t>
      </w:r>
      <w:r w:rsidRPr="00A058B6">
        <w:t xml:space="preserve">lit is not a payment in respect of </w:t>
      </w:r>
      <w:r w:rsidRPr="00A058B6">
        <w:rPr>
          <w:color w:val="000000"/>
        </w:rPr>
        <w:t>an allocated pension or a market linked pension;</w:t>
      </w:r>
      <w:r w:rsidRPr="00A058B6">
        <w:t xml:space="preserve"> and</w:t>
      </w:r>
    </w:p>
    <w:p w14:paraId="6E682898" w14:textId="77777777" w:rsidR="00D930D9" w:rsidRPr="00A058B6" w:rsidRDefault="00D930D9" w:rsidP="00D930D9">
      <w:pPr>
        <w:pStyle w:val="paragraph"/>
      </w:pPr>
      <w:r w:rsidRPr="00A058B6">
        <w:tab/>
        <w:t>(b)</w:t>
      </w:r>
      <w:r w:rsidRPr="00A058B6">
        <w:tab/>
        <w:t>the amount of that payment is less than the sum of:</w:t>
      </w:r>
    </w:p>
    <w:p w14:paraId="2CEA429C" w14:textId="5902FDFF" w:rsidR="00D930D9" w:rsidRPr="00A058B6" w:rsidRDefault="00D930D9" w:rsidP="00D930D9">
      <w:pPr>
        <w:pStyle w:val="paragraphsub"/>
      </w:pPr>
      <w:r w:rsidRPr="00A058B6">
        <w:tab/>
        <w:t>(i)</w:t>
      </w:r>
      <w:r w:rsidRPr="00A058B6">
        <w:tab/>
        <w:t xml:space="preserve">the amount payable under </w:t>
      </w:r>
      <w:r w:rsidR="00CB78B9">
        <w:t>subsection 8</w:t>
      </w:r>
      <w:r w:rsidR="00485CC2">
        <w:t>1</w:t>
      </w:r>
      <w:r w:rsidRPr="00A058B6">
        <w:t xml:space="preserve">(3), </w:t>
      </w:r>
      <w:r w:rsidR="00485CC2">
        <w:t>82</w:t>
      </w:r>
      <w:r w:rsidRPr="00A058B6">
        <w:t xml:space="preserve">(6), </w:t>
      </w:r>
      <w:r w:rsidR="00485CC2">
        <w:t>84</w:t>
      </w:r>
      <w:r w:rsidRPr="00A058B6">
        <w:t xml:space="preserve">(4), </w:t>
      </w:r>
      <w:r w:rsidR="00485CC2">
        <w:t>85</w:t>
      </w:r>
      <w:r w:rsidRPr="00A058B6">
        <w:t xml:space="preserve">(2), </w:t>
      </w:r>
      <w:r w:rsidR="00485CC2">
        <w:t>91</w:t>
      </w:r>
      <w:r w:rsidRPr="00A058B6">
        <w:t xml:space="preserve">(3) or </w:t>
      </w:r>
      <w:r w:rsidR="00485CC2">
        <w:t>92</w:t>
      </w:r>
      <w:r w:rsidRPr="00A058B6">
        <w:t>(6) or this section to each other person under a payment split with an earlier operative time for the interest; and</w:t>
      </w:r>
    </w:p>
    <w:p w14:paraId="320A2A06" w14:textId="74D0B531" w:rsidR="00D930D9" w:rsidRPr="00A058B6" w:rsidRDefault="00D930D9" w:rsidP="00D930D9">
      <w:pPr>
        <w:pStyle w:val="paragraphsub"/>
      </w:pPr>
      <w:r w:rsidRPr="00A058B6">
        <w:tab/>
        <w:t>(ii)</w:t>
      </w:r>
      <w:r w:rsidRPr="00A058B6">
        <w:tab/>
        <w:t>the base amount allocated to the non</w:t>
      </w:r>
      <w:r w:rsidR="001952B3">
        <w:noBreakHyphen/>
      </w:r>
      <w:r w:rsidRPr="00A058B6">
        <w:t>member spouse for the interest</w:t>
      </w:r>
      <w:r w:rsidR="00D7157D">
        <w:t>.</w:t>
      </w:r>
    </w:p>
    <w:p w14:paraId="4AFAE95E" w14:textId="4EB27087" w:rsidR="00D930D9" w:rsidRPr="00A058B6" w:rsidRDefault="00D930D9" w:rsidP="00D930D9">
      <w:pPr>
        <w:pStyle w:val="subsection"/>
      </w:pPr>
      <w:r w:rsidRPr="00A058B6">
        <w:tab/>
        <w:t>(2)</w:t>
      </w:r>
      <w:r w:rsidRPr="00A058B6">
        <w:tab/>
        <w:t>The amount that the non</w:t>
      </w:r>
      <w:r w:rsidR="001952B3">
        <w:noBreakHyphen/>
      </w:r>
      <w:r w:rsidRPr="00A058B6">
        <w:t>member spouse is entitled to be paid in respect of the superannuation interest is equal to the sum of:</w:t>
      </w:r>
    </w:p>
    <w:p w14:paraId="16D7960A" w14:textId="77777777" w:rsidR="00D930D9" w:rsidRPr="00A058B6" w:rsidRDefault="00D930D9" w:rsidP="00D930D9">
      <w:pPr>
        <w:pStyle w:val="paragraph"/>
      </w:pPr>
      <w:r w:rsidRPr="00A058B6">
        <w:tab/>
        <w:t>(a)</w:t>
      </w:r>
      <w:r w:rsidRPr="00A058B6">
        <w:tab/>
        <w:t>the amount of the first splittable payment; and</w:t>
      </w:r>
    </w:p>
    <w:p w14:paraId="67A3BDC5" w14:textId="1B825034" w:rsidR="00D930D9" w:rsidRPr="00A058B6" w:rsidRDefault="00D930D9" w:rsidP="00D930D9">
      <w:pPr>
        <w:pStyle w:val="paragraph"/>
      </w:pPr>
      <w:r w:rsidRPr="00A058B6">
        <w:tab/>
        <w:t>(b)</w:t>
      </w:r>
      <w:r w:rsidRPr="00A058B6">
        <w:tab/>
        <w:t xml:space="preserve">from each other splittable payment that becomes payable in respect of the interest, the amount calculated under </w:t>
      </w:r>
      <w:r w:rsidR="00A52DA5">
        <w:t>subsection (</w:t>
      </w:r>
      <w:r w:rsidRPr="00A058B6">
        <w:t>3)</w:t>
      </w:r>
      <w:r w:rsidR="00D7157D">
        <w:t>.</w:t>
      </w:r>
    </w:p>
    <w:p w14:paraId="0FB41AFE" w14:textId="7B258942" w:rsidR="00D930D9" w:rsidRPr="00A058B6" w:rsidRDefault="00D930D9" w:rsidP="00D930D9">
      <w:pPr>
        <w:pStyle w:val="notetext"/>
      </w:pPr>
      <w:r w:rsidRPr="00A058B6">
        <w:t>Note:</w:t>
      </w:r>
      <w:r w:rsidRPr="00A058B6">
        <w:tab/>
        <w:t xml:space="preserve">Because of the operation of subsections 90XX(3) and 90YZN(3) of the Act, the amount under </w:t>
      </w:r>
      <w:r w:rsidR="00453C86">
        <w:t>paragraph (</w:t>
      </w:r>
      <w:r w:rsidRPr="00A058B6">
        <w:t xml:space="preserve">a) </w:t>
      </w:r>
      <w:r>
        <w:t xml:space="preserve">of this subsection </w:t>
      </w:r>
      <w:r w:rsidRPr="00A058B6">
        <w:t>will be the amount of the first splittable payment as reduced by the amount to which another person is entitled under each payment split with an earlier operative time</w:t>
      </w:r>
      <w:r w:rsidR="00D7157D">
        <w:t>.</w:t>
      </w:r>
    </w:p>
    <w:p w14:paraId="0B7C2F62" w14:textId="77416B37" w:rsidR="00D930D9" w:rsidRPr="00A058B6" w:rsidRDefault="00D930D9" w:rsidP="00D930D9">
      <w:pPr>
        <w:pStyle w:val="subsection"/>
      </w:pPr>
      <w:r w:rsidRPr="00A058B6">
        <w:tab/>
        <w:t>(3)</w:t>
      </w:r>
      <w:r w:rsidRPr="00A058B6">
        <w:tab/>
        <w:t xml:space="preserve">For the purposes of </w:t>
      </w:r>
      <w:r w:rsidR="00453C86">
        <w:t>paragraph (</w:t>
      </w:r>
      <w:r w:rsidRPr="00A058B6">
        <w:t>2)(b), the amount is:</w:t>
      </w:r>
    </w:p>
    <w:p w14:paraId="3632836A" w14:textId="3910CB4C" w:rsidR="00D930D9" w:rsidRPr="00A058B6" w:rsidRDefault="005D60F4" w:rsidP="00D930D9">
      <w:pPr>
        <w:pStyle w:val="subsection2"/>
      </w:pPr>
      <w:r w:rsidRPr="00C04D99">
        <w:rPr>
          <w:position w:val="-36"/>
        </w:rPr>
        <w:object w:dxaOrig="6619" w:dyaOrig="960" w14:anchorId="484170EE">
          <v:shape id="_x0000_i1054" type="#_x0000_t75" alt="Start formula start fraction open bracket Base amount minus First splittable payment amount close bracket times Splittable payment amount over Deemed value of the interest minus First splittable payment amount end fraction end formula" style="width:329.75pt;height:48.15pt" o:ole="">
            <v:imagedata r:id="rId82" o:title=""/>
          </v:shape>
          <o:OLEObject Type="Embed" ProgID="Equation.DSMT4" ShapeID="_x0000_i1054" DrawAspect="Content" ObjectID="_1801634283" r:id="rId83"/>
        </w:object>
      </w:r>
    </w:p>
    <w:p w14:paraId="4AE857EB" w14:textId="77777777" w:rsidR="00D930D9" w:rsidRPr="00A058B6" w:rsidRDefault="00D930D9" w:rsidP="00D930D9">
      <w:pPr>
        <w:pStyle w:val="subsection2"/>
      </w:pPr>
      <w:r w:rsidRPr="00A058B6">
        <w:t>where:</w:t>
      </w:r>
    </w:p>
    <w:p w14:paraId="4E81A71D" w14:textId="75510B24" w:rsidR="00D930D9" w:rsidRPr="00A058B6" w:rsidRDefault="00D930D9" w:rsidP="00D930D9">
      <w:pPr>
        <w:pStyle w:val="Definition"/>
      </w:pPr>
      <w:r w:rsidRPr="00A058B6">
        <w:rPr>
          <w:b/>
          <w:i/>
        </w:rPr>
        <w:t>base amount</w:t>
      </w:r>
      <w:r w:rsidRPr="00A058B6">
        <w:t xml:space="preserve"> </w:t>
      </w:r>
      <w:r w:rsidR="00953B0C">
        <w:t>means</w:t>
      </w:r>
      <w:r w:rsidR="00953B0C" w:rsidRPr="00A058B6">
        <w:t xml:space="preserve"> </w:t>
      </w:r>
      <w:r w:rsidRPr="00A058B6">
        <w:t>the base amount allocated to the non</w:t>
      </w:r>
      <w:r w:rsidR="001952B3">
        <w:noBreakHyphen/>
      </w:r>
      <w:r w:rsidRPr="00A058B6">
        <w:t>member spouse for the superannuation interest</w:t>
      </w:r>
      <w:r w:rsidR="00D7157D">
        <w:t>.</w:t>
      </w:r>
    </w:p>
    <w:p w14:paraId="5EF4EE15" w14:textId="59D4A2FE" w:rsidR="00D930D9" w:rsidRPr="00A058B6" w:rsidRDefault="00D930D9" w:rsidP="00D930D9">
      <w:pPr>
        <w:pStyle w:val="Definition"/>
      </w:pPr>
      <w:r w:rsidRPr="00A058B6">
        <w:rPr>
          <w:b/>
          <w:i/>
        </w:rPr>
        <w:t>first splittable payment amount</w:t>
      </w:r>
      <w:r w:rsidRPr="00A058B6">
        <w:t xml:space="preserve"> </w:t>
      </w:r>
      <w:r w:rsidR="00953B0C">
        <w:t>means</w:t>
      </w:r>
      <w:r w:rsidR="00953B0C" w:rsidRPr="00A058B6">
        <w:t xml:space="preserve"> </w:t>
      </w:r>
      <w:r w:rsidRPr="00A058B6">
        <w:t xml:space="preserve">the amount of the first splittable payment (see </w:t>
      </w:r>
      <w:r w:rsidR="00453C86">
        <w:t>paragraph (</w:t>
      </w:r>
      <w:r w:rsidRPr="00A058B6">
        <w:t>2)(a))</w:t>
      </w:r>
      <w:r w:rsidR="00D7157D">
        <w:t>.</w:t>
      </w:r>
    </w:p>
    <w:p w14:paraId="755E80B4" w14:textId="77777777" w:rsidR="00D930D9" w:rsidRPr="00A058B6" w:rsidRDefault="00D930D9" w:rsidP="00D930D9">
      <w:pPr>
        <w:pStyle w:val="Definition"/>
      </w:pPr>
      <w:r w:rsidRPr="00A058B6">
        <w:rPr>
          <w:b/>
          <w:i/>
        </w:rPr>
        <w:t>splittable payment amount</w:t>
      </w:r>
      <w:r w:rsidRPr="00A058B6">
        <w:t xml:space="preserve"> </w:t>
      </w:r>
      <w:r w:rsidR="00953B0C">
        <w:t>means</w:t>
      </w:r>
      <w:r w:rsidR="00953B0C" w:rsidRPr="00A058B6">
        <w:t xml:space="preserve"> </w:t>
      </w:r>
      <w:r w:rsidRPr="00A058B6">
        <w:t>the amount of the relevant splittable payment</w:t>
      </w:r>
      <w:r w:rsidR="00D7157D">
        <w:t>.</w:t>
      </w:r>
    </w:p>
    <w:p w14:paraId="457C7ADE" w14:textId="60A5212F" w:rsidR="00D930D9" w:rsidRPr="00A058B6" w:rsidRDefault="00D930D9" w:rsidP="00D930D9">
      <w:pPr>
        <w:pStyle w:val="Definition"/>
      </w:pPr>
      <w:r w:rsidRPr="00A058B6">
        <w:rPr>
          <w:b/>
          <w:bCs/>
          <w:i/>
          <w:iCs/>
        </w:rPr>
        <w:t>deemed value of the interest</w:t>
      </w:r>
      <w:r>
        <w:rPr>
          <w:bCs/>
          <w:iCs/>
        </w:rPr>
        <w:t xml:space="preserve"> </w:t>
      </w:r>
      <w:r w:rsidR="00953B0C">
        <w:t>means</w:t>
      </w:r>
      <w:r w:rsidR="00953B0C" w:rsidRPr="00A058B6">
        <w:t xml:space="preserve"> </w:t>
      </w:r>
      <w:r w:rsidR="006237D7" w:rsidRPr="00A058B6">
        <w:t xml:space="preserve">the amount </w:t>
      </w:r>
      <w:r w:rsidR="006237D7">
        <w:t xml:space="preserve">that would be </w:t>
      </w:r>
      <w:r w:rsidR="006237D7" w:rsidRPr="00A058B6">
        <w:t xml:space="preserve">calculated under </w:t>
      </w:r>
      <w:r w:rsidR="00CB78B9">
        <w:t>section 6</w:t>
      </w:r>
      <w:r w:rsidR="00485CC2">
        <w:t>4</w:t>
      </w:r>
      <w:r w:rsidR="006237D7" w:rsidRPr="00A058B6">
        <w:t xml:space="preserve"> for the</w:t>
      </w:r>
      <w:r w:rsidR="006237D7">
        <w:t xml:space="preserve"> superannuation</w:t>
      </w:r>
      <w:r w:rsidR="006237D7" w:rsidRPr="00A058B6">
        <w:t xml:space="preserve"> interest if references in </w:t>
      </w:r>
      <w:r w:rsidR="00453C86">
        <w:t>Division 2</w:t>
      </w:r>
      <w:r w:rsidR="006237D7" w:rsidRPr="00A058B6">
        <w:t xml:space="preserve"> of Part </w:t>
      </w:r>
      <w:r w:rsidR="00934E66">
        <w:t>6</w:t>
      </w:r>
      <w:r w:rsidR="006237D7" w:rsidRPr="00A058B6">
        <w:t xml:space="preserve"> to the relevant date were references to </w:t>
      </w:r>
      <w:r w:rsidRPr="00A058B6">
        <w:t>the date the first splittable payment became payable in respect of the superannuation interest after the operative time for the payment split</w:t>
      </w:r>
      <w:r w:rsidR="00D7157D">
        <w:t>.</w:t>
      </w:r>
    </w:p>
    <w:p w14:paraId="53826BB1" w14:textId="5328C875" w:rsidR="00D930D9" w:rsidRPr="00A058B6" w:rsidRDefault="00485CC2" w:rsidP="00D930D9">
      <w:pPr>
        <w:pStyle w:val="ActHead5"/>
      </w:pPr>
      <w:bookmarkStart w:id="143" w:name="_Toc188350628"/>
      <w:r w:rsidRPr="00423C34">
        <w:rPr>
          <w:rStyle w:val="CharSectno"/>
        </w:rPr>
        <w:t>97</w:t>
      </w:r>
      <w:r w:rsidR="00D930D9" w:rsidRPr="00A058B6">
        <w:t xml:space="preserve">  Amount to be paid to non</w:t>
      </w:r>
      <w:r w:rsidR="001952B3">
        <w:noBreakHyphen/>
      </w:r>
      <w:r w:rsidR="00D930D9" w:rsidRPr="00A058B6">
        <w:t>member spouse—benefits payable as allocated pension or market linked pension</w:t>
      </w:r>
      <w:bookmarkEnd w:id="143"/>
    </w:p>
    <w:p w14:paraId="4D6A455C" w14:textId="77777777" w:rsidR="00D930D9" w:rsidRPr="00A058B6" w:rsidRDefault="00D930D9" w:rsidP="00D930D9">
      <w:pPr>
        <w:pStyle w:val="subsection"/>
      </w:pPr>
      <w:r w:rsidRPr="00A058B6">
        <w:rPr>
          <w:color w:val="000000"/>
        </w:rPr>
        <w:tab/>
        <w:t>(1)</w:t>
      </w:r>
      <w:r w:rsidRPr="00A058B6">
        <w:rPr>
          <w:color w:val="000000"/>
        </w:rPr>
        <w:tab/>
        <w:t>This section applies for the superannuation interest if the first splittable payment that becomes payable in respect of the interest after the operative time for the payment split is:</w:t>
      </w:r>
    </w:p>
    <w:p w14:paraId="00F3AF05" w14:textId="77777777" w:rsidR="00D930D9" w:rsidRPr="00A058B6" w:rsidRDefault="00D930D9" w:rsidP="00D930D9">
      <w:pPr>
        <w:pStyle w:val="paragraph"/>
      </w:pPr>
      <w:r w:rsidRPr="00A058B6">
        <w:rPr>
          <w:color w:val="000000"/>
        </w:rPr>
        <w:tab/>
        <w:t>(a)</w:t>
      </w:r>
      <w:r w:rsidRPr="00A058B6">
        <w:rPr>
          <w:color w:val="000000"/>
        </w:rPr>
        <w:tab/>
        <w:t>a payment in respect of an allocated pension; or</w:t>
      </w:r>
    </w:p>
    <w:p w14:paraId="1F8E0911" w14:textId="77777777" w:rsidR="00D930D9" w:rsidRPr="00A058B6" w:rsidRDefault="00D930D9" w:rsidP="00D930D9">
      <w:pPr>
        <w:pStyle w:val="paragraph"/>
      </w:pPr>
      <w:r w:rsidRPr="00A058B6">
        <w:tab/>
        <w:t>(b)</w:t>
      </w:r>
      <w:r w:rsidRPr="00A058B6">
        <w:tab/>
        <w:t>a payment in respect of a market linked pension</w:t>
      </w:r>
      <w:r w:rsidR="00D7157D">
        <w:t>.</w:t>
      </w:r>
    </w:p>
    <w:p w14:paraId="26FE9823" w14:textId="15964C91" w:rsidR="00D930D9" w:rsidRPr="00A058B6" w:rsidRDefault="00D930D9" w:rsidP="00D930D9">
      <w:pPr>
        <w:pStyle w:val="subsection"/>
        <w:rPr>
          <w:color w:val="000000"/>
        </w:rPr>
      </w:pPr>
      <w:r w:rsidRPr="00A058B6">
        <w:rPr>
          <w:color w:val="000000"/>
        </w:rPr>
        <w:tab/>
        <w:t>(2)</w:t>
      </w:r>
      <w:r w:rsidRPr="00A058B6">
        <w:rPr>
          <w:color w:val="000000"/>
        </w:rPr>
        <w:tab/>
        <w:t>The non</w:t>
      </w:r>
      <w:r w:rsidR="001952B3">
        <w:rPr>
          <w:color w:val="000000"/>
        </w:rPr>
        <w:noBreakHyphen/>
      </w:r>
      <w:r w:rsidRPr="00A058B6">
        <w:rPr>
          <w:color w:val="000000"/>
        </w:rPr>
        <w:t>member spouse is entitled to be paid the amounts calculated under section </w:t>
      </w:r>
      <w:r w:rsidR="00485CC2">
        <w:rPr>
          <w:color w:val="000000"/>
        </w:rPr>
        <w:t>93</w:t>
      </w:r>
      <w:r w:rsidRPr="00A058B6">
        <w:rPr>
          <w:color w:val="000000"/>
        </w:rPr>
        <w:t xml:space="preserve"> </w:t>
      </w:r>
      <w:r w:rsidRPr="00646381">
        <w:rPr>
          <w:color w:val="000000"/>
        </w:rPr>
        <w:t>as if the payment split were the first payment split for the splittable payment for the interest</w:t>
      </w:r>
      <w:r w:rsidR="00D7157D">
        <w:rPr>
          <w:color w:val="000000"/>
        </w:rPr>
        <w:t>.</w:t>
      </w:r>
    </w:p>
    <w:p w14:paraId="101F3638" w14:textId="77777777" w:rsidR="00D930D9" w:rsidRPr="00A058B6" w:rsidRDefault="00B05FD6" w:rsidP="00D930D9">
      <w:pPr>
        <w:pStyle w:val="ActHead2"/>
        <w:pageBreakBefore/>
      </w:pPr>
      <w:bookmarkStart w:id="144" w:name="_Toc188350629"/>
      <w:r w:rsidRPr="00423C34">
        <w:rPr>
          <w:rStyle w:val="CharPartNo"/>
        </w:rPr>
        <w:t>Part </w:t>
      </w:r>
      <w:r w:rsidR="006A5A4D" w:rsidRPr="00423C34">
        <w:rPr>
          <w:rStyle w:val="CharPartNo"/>
        </w:rPr>
        <w:t>8</w:t>
      </w:r>
      <w:r w:rsidR="00D930D9" w:rsidRPr="00A058B6">
        <w:t>—</w:t>
      </w:r>
      <w:r w:rsidR="00D930D9" w:rsidRPr="00423C34">
        <w:rPr>
          <w:rStyle w:val="CharPartText"/>
        </w:rPr>
        <w:t>Fees payable to trustee and waiver of rights</w:t>
      </w:r>
      <w:bookmarkEnd w:id="144"/>
    </w:p>
    <w:p w14:paraId="186FC6B8" w14:textId="77777777" w:rsidR="00D930D9" w:rsidRPr="00423C34" w:rsidRDefault="00D930D9" w:rsidP="00D930D9">
      <w:pPr>
        <w:pStyle w:val="Header"/>
      </w:pPr>
      <w:r w:rsidRPr="00423C34">
        <w:rPr>
          <w:rStyle w:val="CharDivNo"/>
        </w:rPr>
        <w:t xml:space="preserve"> </w:t>
      </w:r>
      <w:r w:rsidRPr="00423C34">
        <w:rPr>
          <w:rStyle w:val="CharDivText"/>
        </w:rPr>
        <w:t xml:space="preserve"> </w:t>
      </w:r>
    </w:p>
    <w:p w14:paraId="13273DCD" w14:textId="427C16F2" w:rsidR="00D930D9" w:rsidRPr="00A058B6" w:rsidRDefault="00485CC2" w:rsidP="00D930D9">
      <w:pPr>
        <w:pStyle w:val="ActHead5"/>
      </w:pPr>
      <w:bookmarkStart w:id="145" w:name="_Toc188350630"/>
      <w:r w:rsidRPr="00423C34">
        <w:rPr>
          <w:rStyle w:val="CharSectno"/>
        </w:rPr>
        <w:t>98</w:t>
      </w:r>
      <w:r w:rsidR="00D930D9" w:rsidRPr="00A058B6">
        <w:t xml:space="preserve">  Reasonable fees payable to trustee</w:t>
      </w:r>
      <w:bookmarkEnd w:id="145"/>
    </w:p>
    <w:p w14:paraId="637A9F19" w14:textId="5B9313DB" w:rsidR="00D930D9" w:rsidRPr="00A058B6" w:rsidRDefault="00D930D9" w:rsidP="00D930D9">
      <w:pPr>
        <w:pStyle w:val="subsection"/>
      </w:pPr>
      <w:r w:rsidRPr="00A058B6">
        <w:tab/>
        <w:t>(1)</w:t>
      </w:r>
      <w:r w:rsidRPr="00A058B6">
        <w:tab/>
        <w:t xml:space="preserve">For the purposes of </w:t>
      </w:r>
      <w:r w:rsidR="00FE15C4">
        <w:t>subsection 9</w:t>
      </w:r>
      <w:r w:rsidRPr="00A058B6">
        <w:t xml:space="preserve">0XY(1) or 90YZO(1) of the Act, the trustee of an eligible superannuation plan </w:t>
      </w:r>
      <w:r>
        <w:t xml:space="preserve">may charge reasonable fees for providing services </w:t>
      </w:r>
      <w:r w:rsidRPr="00A058B6">
        <w:t>in respect of any of the following matters:</w:t>
      </w:r>
    </w:p>
    <w:p w14:paraId="72367E6C" w14:textId="77777777" w:rsidR="00D930D9" w:rsidRPr="00A058B6" w:rsidRDefault="00D930D9" w:rsidP="00D930D9">
      <w:pPr>
        <w:pStyle w:val="paragraph"/>
      </w:pPr>
      <w:r w:rsidRPr="00A058B6">
        <w:tab/>
        <w:t>(a)</w:t>
      </w:r>
      <w:r w:rsidRPr="00A058B6">
        <w:tab/>
        <w:t>a payment split;</w:t>
      </w:r>
    </w:p>
    <w:p w14:paraId="2F9CF2D1" w14:textId="77777777" w:rsidR="00D930D9" w:rsidRPr="00A058B6" w:rsidRDefault="00D930D9" w:rsidP="00D930D9">
      <w:pPr>
        <w:pStyle w:val="paragraph"/>
      </w:pPr>
      <w:r w:rsidRPr="00A058B6">
        <w:tab/>
        <w:t>(b)</w:t>
      </w:r>
      <w:r w:rsidRPr="00A058B6">
        <w:tab/>
        <w:t>a payment flag;</w:t>
      </w:r>
    </w:p>
    <w:p w14:paraId="331BFFE3" w14:textId="77777777" w:rsidR="00D930D9" w:rsidRPr="00A058B6" w:rsidRDefault="00D930D9" w:rsidP="00D930D9">
      <w:pPr>
        <w:pStyle w:val="paragraph"/>
      </w:pPr>
      <w:r w:rsidRPr="00A058B6">
        <w:tab/>
        <w:t>(c)</w:t>
      </w:r>
      <w:r w:rsidRPr="00A058B6">
        <w:tab/>
        <w:t>flag lifting under a flag lifting agreement that does not provide for a payment split;</w:t>
      </w:r>
    </w:p>
    <w:p w14:paraId="543477A3" w14:textId="77777777" w:rsidR="00D930D9" w:rsidRPr="00A058B6" w:rsidRDefault="00D930D9" w:rsidP="00D930D9">
      <w:pPr>
        <w:pStyle w:val="paragraph"/>
      </w:pPr>
      <w:r w:rsidRPr="00A058B6">
        <w:tab/>
        <w:t>(d)</w:t>
      </w:r>
      <w:r w:rsidRPr="00A058B6">
        <w:tab/>
        <w:t xml:space="preserve">an order under </w:t>
      </w:r>
      <w:r w:rsidR="00AF1E4E">
        <w:t>section 9</w:t>
      </w:r>
      <w:r w:rsidRPr="00A058B6">
        <w:t>0XM or 90YR of the Act terminating the operation of a payment flag;</w:t>
      </w:r>
    </w:p>
    <w:p w14:paraId="7BDE8FB0" w14:textId="77777777" w:rsidR="00D930D9" w:rsidRPr="00A058B6" w:rsidRDefault="00D930D9" w:rsidP="00D930D9">
      <w:pPr>
        <w:pStyle w:val="paragraph"/>
      </w:pPr>
      <w:r w:rsidRPr="00A058B6">
        <w:tab/>
        <w:t>(e)</w:t>
      </w:r>
      <w:r w:rsidRPr="00A058B6">
        <w:tab/>
        <w:t xml:space="preserve">an application under </w:t>
      </w:r>
      <w:r w:rsidR="00AF1E4E">
        <w:t>section 9</w:t>
      </w:r>
      <w:r w:rsidRPr="00A058B6">
        <w:t>0XZB or 90YZR of the Act for information about a superannuation interest;</w:t>
      </w:r>
    </w:p>
    <w:p w14:paraId="243B4D39" w14:textId="77777777" w:rsidR="00D930D9" w:rsidRPr="00A058B6" w:rsidRDefault="00D930D9" w:rsidP="00D930D9">
      <w:pPr>
        <w:pStyle w:val="paragraph"/>
      </w:pPr>
      <w:r w:rsidRPr="00A058B6">
        <w:tab/>
        <w:t>(f)</w:t>
      </w:r>
      <w:r w:rsidRPr="00A058B6">
        <w:tab/>
        <w:t>any other thing done by the trustee in relation to a superannuation interest covered by a superannuation agreement, flag lifting agreement or splitting order</w:t>
      </w:r>
      <w:r w:rsidR="00D7157D">
        <w:t>.</w:t>
      </w:r>
    </w:p>
    <w:p w14:paraId="120E47F8" w14:textId="6FD8DBAD" w:rsidR="00D930D9" w:rsidRPr="00A058B6" w:rsidRDefault="00D930D9" w:rsidP="00D930D9">
      <w:pPr>
        <w:pStyle w:val="subsection"/>
      </w:pPr>
      <w:r w:rsidRPr="00A058B6">
        <w:tab/>
        <w:t>(2)</w:t>
      </w:r>
      <w:r w:rsidRPr="00A058B6">
        <w:tab/>
        <w:t xml:space="preserve">A fee payable in respect of a matter mentioned in </w:t>
      </w:r>
      <w:r w:rsidR="00453C86">
        <w:t>paragraph (</w:t>
      </w:r>
      <w:r w:rsidRPr="00A058B6">
        <w:t>1)(a), (b), (c), (d) or (f) is payable:</w:t>
      </w:r>
    </w:p>
    <w:p w14:paraId="48EBBAC7" w14:textId="32539154" w:rsidR="00D930D9" w:rsidRPr="00A058B6" w:rsidRDefault="00D930D9" w:rsidP="00D930D9">
      <w:pPr>
        <w:pStyle w:val="paragraph"/>
      </w:pPr>
      <w:r w:rsidRPr="00A058B6">
        <w:tab/>
        <w:t>(a)</w:t>
      </w:r>
      <w:r w:rsidRPr="00A058B6">
        <w:tab/>
        <w:t xml:space="preserve">unless </w:t>
      </w:r>
      <w:r w:rsidR="00453C86">
        <w:t>paragraph (</w:t>
      </w:r>
      <w:r w:rsidRPr="00A058B6">
        <w:t xml:space="preserve">b) </w:t>
      </w:r>
      <w:r>
        <w:t xml:space="preserve">of this subsection </w:t>
      </w:r>
      <w:r w:rsidRPr="00A058B6">
        <w:t>applies—by the member spouse and the non</w:t>
      </w:r>
      <w:r w:rsidR="001952B3">
        <w:noBreakHyphen/>
      </w:r>
      <w:r w:rsidRPr="00A058B6">
        <w:t>member spouse in equal parts; or</w:t>
      </w:r>
    </w:p>
    <w:p w14:paraId="16693B4A" w14:textId="39F392EE" w:rsidR="00D930D9" w:rsidRPr="00A058B6" w:rsidRDefault="00D930D9" w:rsidP="00D930D9">
      <w:pPr>
        <w:pStyle w:val="paragraph"/>
      </w:pPr>
      <w:r w:rsidRPr="00A058B6">
        <w:tab/>
        <w:t>(b)</w:t>
      </w:r>
      <w:r w:rsidRPr="00A058B6">
        <w:tab/>
        <w:t>if the fee is in respect of a payment split under which the non</w:t>
      </w:r>
      <w:r w:rsidR="001952B3">
        <w:noBreakHyphen/>
      </w:r>
      <w:r w:rsidRPr="00A058B6">
        <w:t>member spouse is entitled to be paid the whole of the amount of each splittable payment that becomes payable—by the non</w:t>
      </w:r>
      <w:r w:rsidR="001952B3">
        <w:noBreakHyphen/>
      </w:r>
      <w:r w:rsidRPr="00A058B6">
        <w:t>member spouse</w:t>
      </w:r>
      <w:r w:rsidR="00D7157D">
        <w:t>.</w:t>
      </w:r>
    </w:p>
    <w:p w14:paraId="5E1434F0" w14:textId="223077BF" w:rsidR="00D930D9" w:rsidRPr="00A058B6" w:rsidRDefault="00D930D9" w:rsidP="00D930D9">
      <w:pPr>
        <w:pStyle w:val="subsection"/>
      </w:pPr>
      <w:r w:rsidRPr="00A058B6">
        <w:tab/>
        <w:t>(3)</w:t>
      </w:r>
      <w:r w:rsidRPr="00A058B6">
        <w:tab/>
        <w:t xml:space="preserve">A fee payable in respect of an application mentioned in </w:t>
      </w:r>
      <w:r w:rsidR="00453C86">
        <w:t>paragraph (</w:t>
      </w:r>
      <w:r w:rsidRPr="00A058B6">
        <w:t>1)(e) is payable by the applicant</w:t>
      </w:r>
      <w:r w:rsidR="00D7157D">
        <w:t>.</w:t>
      </w:r>
    </w:p>
    <w:p w14:paraId="483FB7B9" w14:textId="1404830E" w:rsidR="00D930D9" w:rsidRPr="00A058B6" w:rsidRDefault="00485CC2" w:rsidP="00D930D9">
      <w:pPr>
        <w:pStyle w:val="ActHead5"/>
      </w:pPr>
      <w:bookmarkStart w:id="146" w:name="_Toc188350631"/>
      <w:r w:rsidRPr="00423C34">
        <w:rPr>
          <w:rStyle w:val="CharSectno"/>
        </w:rPr>
        <w:t>99</w:t>
      </w:r>
      <w:r w:rsidR="00D930D9" w:rsidRPr="00A058B6">
        <w:t xml:space="preserve">  Waiver of rights under payment split</w:t>
      </w:r>
      <w:bookmarkEnd w:id="146"/>
    </w:p>
    <w:p w14:paraId="4F781A8F" w14:textId="674C3DE1" w:rsidR="00D930D9" w:rsidRPr="00A058B6" w:rsidRDefault="00D930D9" w:rsidP="00D930D9">
      <w:pPr>
        <w:pStyle w:val="subsection"/>
      </w:pPr>
      <w:r w:rsidRPr="00A058B6">
        <w:tab/>
        <w:t>(1)</w:t>
      </w:r>
      <w:r w:rsidRPr="00A058B6">
        <w:tab/>
        <w:t xml:space="preserve">For the purposes of </w:t>
      </w:r>
      <w:r w:rsidR="00FE15C4">
        <w:t>subsection 9</w:t>
      </w:r>
      <w:r w:rsidRPr="00A058B6">
        <w:t xml:space="preserve">0XZA(2) or 90YZQ(2) of the Act, a waiver notice must be in accordance with Form 5 in </w:t>
      </w:r>
      <w:r w:rsidR="00453C86">
        <w:t>Schedule 1</w:t>
      </w:r>
      <w:r w:rsidRPr="00A058B6">
        <w:t xml:space="preserve"> </w:t>
      </w:r>
      <w:r>
        <w:t>to</w:t>
      </w:r>
      <w:r w:rsidRPr="00A058B6">
        <w:t xml:space="preserve"> this instrument</w:t>
      </w:r>
      <w:r w:rsidR="00D7157D">
        <w:t>.</w:t>
      </w:r>
    </w:p>
    <w:p w14:paraId="4D9FBE6F" w14:textId="6C07EDD2" w:rsidR="00D930D9" w:rsidRPr="00A058B6" w:rsidRDefault="00D930D9" w:rsidP="00D930D9">
      <w:pPr>
        <w:pStyle w:val="subsection"/>
      </w:pPr>
      <w:r w:rsidRPr="00A058B6">
        <w:tab/>
        <w:t>(2)</w:t>
      </w:r>
      <w:r w:rsidRPr="00A058B6">
        <w:tab/>
        <w:t xml:space="preserve">For the purposes of </w:t>
      </w:r>
      <w:r w:rsidR="00FE15C4">
        <w:t>paragraph 9</w:t>
      </w:r>
      <w:r w:rsidRPr="00A058B6">
        <w:t>0XZA(2)(a) or 90YZQ(2)(a) of the Act, each of the following persons is a prescribed financial adviser:</w:t>
      </w:r>
    </w:p>
    <w:p w14:paraId="0459840A" w14:textId="0F4A0E90" w:rsidR="00D930D9" w:rsidRPr="00A058B6" w:rsidRDefault="00D930D9" w:rsidP="00D930D9">
      <w:pPr>
        <w:pStyle w:val="paragraph"/>
      </w:pPr>
      <w:r w:rsidRPr="00A058B6">
        <w:tab/>
        <w:t>(a)</w:t>
      </w:r>
      <w:r w:rsidRPr="00A058B6">
        <w:tab/>
        <w:t xml:space="preserve">a person who holds an Australian financial services licence (within the meaning of the </w:t>
      </w:r>
      <w:r w:rsidRPr="00A058B6">
        <w:rPr>
          <w:i/>
        </w:rPr>
        <w:t>Corporations Act 2001</w:t>
      </w:r>
      <w:r w:rsidRPr="00A058B6">
        <w:t xml:space="preserve">) covering the provision of advice of the kind mentioned in </w:t>
      </w:r>
      <w:r w:rsidR="00FE15C4">
        <w:t>paragraph 9</w:t>
      </w:r>
      <w:r w:rsidRPr="00A058B6">
        <w:t>0XZA(2)(a) or 90YZQ(2)(a), as applicable, of the Act;</w:t>
      </w:r>
    </w:p>
    <w:p w14:paraId="792B33B1" w14:textId="77777777" w:rsidR="00D930D9" w:rsidRPr="00A058B6" w:rsidRDefault="00D930D9" w:rsidP="00D930D9">
      <w:pPr>
        <w:pStyle w:val="paragraph"/>
      </w:pPr>
      <w:r w:rsidRPr="00A058B6">
        <w:tab/>
        <w:t>(b)</w:t>
      </w:r>
      <w:r w:rsidRPr="00A058B6">
        <w:tab/>
        <w:t xml:space="preserve">a person who complies with </w:t>
      </w:r>
      <w:r w:rsidR="00AF1E4E">
        <w:t>section 9</w:t>
      </w:r>
      <w:r w:rsidRPr="00A058B6">
        <w:t xml:space="preserve">11B of the </w:t>
      </w:r>
      <w:r w:rsidRPr="00A058B6">
        <w:rPr>
          <w:i/>
        </w:rPr>
        <w:t>Corporations Act 2001</w:t>
      </w:r>
      <w:r w:rsidRPr="00A058B6">
        <w:t xml:space="preserve"> when providing a financial service (within the meaning of that Act):</w:t>
      </w:r>
    </w:p>
    <w:p w14:paraId="096B191F" w14:textId="2F0264C5" w:rsidR="00D930D9" w:rsidRPr="00A058B6" w:rsidRDefault="00D930D9" w:rsidP="00D930D9">
      <w:pPr>
        <w:pStyle w:val="paragraphsub"/>
      </w:pPr>
      <w:r w:rsidRPr="00A058B6">
        <w:tab/>
        <w:t>(i)</w:t>
      </w:r>
      <w:r w:rsidRPr="00A058B6">
        <w:tab/>
        <w:t xml:space="preserve">that includes providing advice of the kind mentioned in </w:t>
      </w:r>
      <w:r w:rsidR="00FE15C4">
        <w:t>paragraph 9</w:t>
      </w:r>
      <w:r w:rsidRPr="00A058B6">
        <w:t>0XZA(2)(a) or 90YZQ(2)(a), as applicable, of the Act; and</w:t>
      </w:r>
    </w:p>
    <w:p w14:paraId="6CAF6BA3" w14:textId="77777777" w:rsidR="00D930D9" w:rsidRPr="00A058B6" w:rsidRDefault="00D930D9" w:rsidP="00D930D9">
      <w:pPr>
        <w:pStyle w:val="paragraphsub"/>
      </w:pPr>
      <w:r w:rsidRPr="00A058B6">
        <w:tab/>
        <w:t>(ii)</w:t>
      </w:r>
      <w:r w:rsidRPr="00A058B6">
        <w:tab/>
        <w:t xml:space="preserve">on behalf of a person who holds an Australian financial services licence (within the meaning of the </w:t>
      </w:r>
      <w:r w:rsidRPr="00A058B6">
        <w:rPr>
          <w:i/>
        </w:rPr>
        <w:t>Corporations Act 2001</w:t>
      </w:r>
      <w:r w:rsidRPr="00A058B6">
        <w:t>) covering the provision of that financial service</w:t>
      </w:r>
      <w:r w:rsidR="00D7157D">
        <w:t>.</w:t>
      </w:r>
    </w:p>
    <w:p w14:paraId="20C140F5" w14:textId="77777777" w:rsidR="00D930D9" w:rsidRPr="00A058B6" w:rsidRDefault="00B05FD6" w:rsidP="00D930D9">
      <w:pPr>
        <w:pStyle w:val="ActHead2"/>
        <w:pageBreakBefore/>
      </w:pPr>
      <w:bookmarkStart w:id="147" w:name="_Toc188350632"/>
      <w:r w:rsidRPr="00423C34">
        <w:rPr>
          <w:rStyle w:val="CharPartNo"/>
        </w:rPr>
        <w:t>Part </w:t>
      </w:r>
      <w:r w:rsidR="006A5A4D" w:rsidRPr="00423C34">
        <w:rPr>
          <w:rStyle w:val="CharPartNo"/>
        </w:rPr>
        <w:t>9</w:t>
      </w:r>
      <w:r w:rsidR="00D930D9" w:rsidRPr="00A058B6">
        <w:t>—</w:t>
      </w:r>
      <w:r w:rsidR="00D930D9" w:rsidRPr="00423C34">
        <w:rPr>
          <w:rStyle w:val="CharPartText"/>
        </w:rPr>
        <w:t>Provision of information to and by trustee</w:t>
      </w:r>
      <w:bookmarkEnd w:id="147"/>
    </w:p>
    <w:p w14:paraId="30E5AA7B" w14:textId="77777777" w:rsidR="00D930D9" w:rsidRPr="00A058B6" w:rsidRDefault="00B05FD6" w:rsidP="00D930D9">
      <w:pPr>
        <w:pStyle w:val="ActHead3"/>
      </w:pPr>
      <w:bookmarkStart w:id="148" w:name="_Toc188350633"/>
      <w:r w:rsidRPr="00423C34">
        <w:rPr>
          <w:rStyle w:val="CharDivNo"/>
        </w:rPr>
        <w:t>Division 1</w:t>
      </w:r>
      <w:r w:rsidR="00D930D9" w:rsidRPr="00A058B6">
        <w:t>—</w:t>
      </w:r>
      <w:r w:rsidR="00D930D9" w:rsidRPr="00423C34">
        <w:rPr>
          <w:rStyle w:val="CharDivText"/>
        </w:rPr>
        <w:t>Preliminary</w:t>
      </w:r>
      <w:bookmarkEnd w:id="148"/>
    </w:p>
    <w:p w14:paraId="75CA025A" w14:textId="101AD86C" w:rsidR="00D930D9" w:rsidRPr="00A058B6" w:rsidRDefault="00485CC2" w:rsidP="00D930D9">
      <w:pPr>
        <w:pStyle w:val="ActHead5"/>
      </w:pPr>
      <w:bookmarkStart w:id="149" w:name="_Toc188350634"/>
      <w:r w:rsidRPr="00423C34">
        <w:rPr>
          <w:rStyle w:val="CharSectno"/>
        </w:rPr>
        <w:t>100</w:t>
      </w:r>
      <w:r w:rsidR="00D930D9" w:rsidRPr="00A058B6">
        <w:t xml:space="preserve">  Simplified outline of this Part</w:t>
      </w:r>
      <w:bookmarkEnd w:id="149"/>
    </w:p>
    <w:p w14:paraId="61C93672" w14:textId="425DE630" w:rsidR="00D930D9" w:rsidRPr="00A058B6" w:rsidRDefault="00453C86" w:rsidP="00D930D9">
      <w:pPr>
        <w:pStyle w:val="SOText"/>
      </w:pPr>
      <w:r>
        <w:t>Division 2</w:t>
      </w:r>
      <w:r w:rsidR="00D930D9" w:rsidRPr="00A058B6">
        <w:t xml:space="preserve"> prescribes the form for declarations by applicants seeking information, about a superannuation interest of a member of an eligible superannuation plan, from the trustee of the plan under </w:t>
      </w:r>
      <w:r w:rsidR="00AF1E4E">
        <w:t>section 9</w:t>
      </w:r>
      <w:r w:rsidR="00D930D9" w:rsidRPr="00A058B6">
        <w:t>0XZB or 90YZR of the Act</w:t>
      </w:r>
      <w:r w:rsidR="00D7157D">
        <w:t>.</w:t>
      </w:r>
    </w:p>
    <w:p w14:paraId="7F3AA813" w14:textId="77777777" w:rsidR="00D930D9" w:rsidRDefault="00881039" w:rsidP="00D930D9">
      <w:pPr>
        <w:pStyle w:val="SOText"/>
      </w:pPr>
      <w:r>
        <w:t>Division 3</w:t>
      </w:r>
      <w:r w:rsidR="00D930D9" w:rsidRPr="00A058B6">
        <w:t xml:space="preserve"> sets out the kinds of information about the superannuation interest that the trustee must provide to the applicant</w:t>
      </w:r>
      <w:r w:rsidR="00D7157D">
        <w:t>.</w:t>
      </w:r>
      <w:r w:rsidR="00D930D9" w:rsidRPr="00A058B6">
        <w:t xml:space="preserve"> The Subdivisions of </w:t>
      </w:r>
      <w:r>
        <w:t>Division 3</w:t>
      </w:r>
      <w:r w:rsidR="00D930D9" w:rsidRPr="00A058B6">
        <w:t xml:space="preserve"> set out </w:t>
      </w:r>
      <w:r w:rsidR="00447D15">
        <w:t>the</w:t>
      </w:r>
      <w:r w:rsidR="00D930D9" w:rsidRPr="00A058B6">
        <w:t xml:space="preserve"> kinds of information </w:t>
      </w:r>
      <w:r w:rsidR="00630FE5">
        <w:t xml:space="preserve">that must be provided </w:t>
      </w:r>
      <w:r w:rsidR="00D930D9" w:rsidRPr="00A058B6">
        <w:t xml:space="preserve">for </w:t>
      </w:r>
      <w:r w:rsidR="00C33982">
        <w:t>the following</w:t>
      </w:r>
      <w:r w:rsidR="00D930D9" w:rsidRPr="00A058B6">
        <w:t xml:space="preserve"> kinds of superannuation interests</w:t>
      </w:r>
      <w:r w:rsidR="00A42830">
        <w:t>:</w:t>
      </w:r>
    </w:p>
    <w:p w14:paraId="084ED9FD" w14:textId="77777777" w:rsidR="00A42830" w:rsidRDefault="00A42830" w:rsidP="00A42830">
      <w:pPr>
        <w:pStyle w:val="SOPara"/>
        <w:rPr>
          <w:noProof/>
        </w:rPr>
      </w:pPr>
      <w:r>
        <w:tab/>
        <w:t>(a)</w:t>
      </w:r>
      <w:r>
        <w:tab/>
        <w:t>Subdivision A—</w:t>
      </w:r>
      <w:r w:rsidR="00C33982">
        <w:rPr>
          <w:noProof/>
        </w:rPr>
        <w:t>certain accumulation interests;</w:t>
      </w:r>
    </w:p>
    <w:p w14:paraId="540D86C4" w14:textId="77777777" w:rsidR="00C33982" w:rsidRDefault="00C33982" w:rsidP="00C33982">
      <w:pPr>
        <w:pStyle w:val="SOPara"/>
        <w:rPr>
          <w:noProof/>
        </w:rPr>
      </w:pPr>
      <w:r>
        <w:tab/>
        <w:t>(b)</w:t>
      </w:r>
      <w:r>
        <w:tab/>
        <w:t>Subdivision B—</w:t>
      </w:r>
      <w:r>
        <w:rPr>
          <w:noProof/>
        </w:rPr>
        <w:t>certain defined benefit interests;</w:t>
      </w:r>
    </w:p>
    <w:p w14:paraId="25F7EE76" w14:textId="717764B6" w:rsidR="00C33982" w:rsidRDefault="00C33982" w:rsidP="00C33982">
      <w:pPr>
        <w:pStyle w:val="SOPara"/>
        <w:rPr>
          <w:noProof/>
        </w:rPr>
      </w:pPr>
      <w:r>
        <w:tab/>
        <w:t>(c)</w:t>
      </w:r>
      <w:r>
        <w:tab/>
        <w:t>Subdivision C—</w:t>
      </w:r>
      <w:r>
        <w:rPr>
          <w:noProof/>
        </w:rPr>
        <w:t>certain percentage</w:t>
      </w:r>
      <w:r w:rsidR="001952B3">
        <w:rPr>
          <w:noProof/>
        </w:rPr>
        <w:noBreakHyphen/>
      </w:r>
      <w:r>
        <w:rPr>
          <w:noProof/>
        </w:rPr>
        <w:t>only interests;</w:t>
      </w:r>
    </w:p>
    <w:p w14:paraId="3383F5DE" w14:textId="77777777" w:rsidR="00C33982" w:rsidRDefault="00C33982" w:rsidP="00C33982">
      <w:pPr>
        <w:pStyle w:val="SOPara"/>
        <w:rPr>
          <w:noProof/>
        </w:rPr>
      </w:pPr>
      <w:r>
        <w:tab/>
        <w:t>(d)</w:t>
      </w:r>
      <w:r>
        <w:tab/>
        <w:t>Subdivision D—</w:t>
      </w:r>
      <w:r>
        <w:rPr>
          <w:noProof/>
        </w:rPr>
        <w:t>certain innovative superannuation interests;</w:t>
      </w:r>
    </w:p>
    <w:p w14:paraId="687C06AF" w14:textId="77777777" w:rsidR="00C33982" w:rsidRDefault="00C33982" w:rsidP="00C33982">
      <w:pPr>
        <w:pStyle w:val="SOPara"/>
        <w:rPr>
          <w:noProof/>
        </w:rPr>
      </w:pPr>
      <w:r>
        <w:tab/>
        <w:t>(e)</w:t>
      </w:r>
      <w:r>
        <w:tab/>
        <w:t>Subdivision E—</w:t>
      </w:r>
      <w:r>
        <w:rPr>
          <w:noProof/>
        </w:rPr>
        <w:t>interests in self managed superannuation funds;</w:t>
      </w:r>
    </w:p>
    <w:p w14:paraId="79195AE3" w14:textId="77777777" w:rsidR="00C33982" w:rsidRDefault="00C33982" w:rsidP="00C33982">
      <w:pPr>
        <w:pStyle w:val="SOPara"/>
        <w:rPr>
          <w:noProof/>
        </w:rPr>
      </w:pPr>
      <w:r>
        <w:tab/>
        <w:t>(f)</w:t>
      </w:r>
      <w:r>
        <w:tab/>
        <w:t>Subdivision F—</w:t>
      </w:r>
      <w:r>
        <w:rPr>
          <w:noProof/>
        </w:rPr>
        <w:t>small superannuation accounts interests;</w:t>
      </w:r>
    </w:p>
    <w:p w14:paraId="5CC0A535" w14:textId="77777777" w:rsidR="00C33982" w:rsidRDefault="00C33982" w:rsidP="00C33982">
      <w:pPr>
        <w:pStyle w:val="SOPara"/>
        <w:rPr>
          <w:noProof/>
        </w:rPr>
      </w:pPr>
      <w:r>
        <w:tab/>
        <w:t>(g)</w:t>
      </w:r>
      <w:r>
        <w:tab/>
        <w:t>Subdivision G—</w:t>
      </w:r>
      <w:r>
        <w:rPr>
          <w:noProof/>
        </w:rPr>
        <w:t>certain interests for which an agreement or splitting order applies.</w:t>
      </w:r>
    </w:p>
    <w:p w14:paraId="658ECE13" w14:textId="77777777" w:rsidR="00815D66" w:rsidRPr="00815D66" w:rsidRDefault="00815D66" w:rsidP="00815D66">
      <w:pPr>
        <w:pStyle w:val="SOText"/>
      </w:pPr>
      <w:r>
        <w:rPr>
          <w:noProof/>
        </w:rPr>
        <w:t>Each of these Subdivisions clarifies which superannuation interests it applies to, gives an overview of the kinds of information that must be provided, and then describes those kinds of information in more detail as well as any exceptions.</w:t>
      </w:r>
    </w:p>
    <w:p w14:paraId="3284975B" w14:textId="77777777" w:rsidR="00C33982" w:rsidRPr="00C33982" w:rsidRDefault="00C33982" w:rsidP="00C33982">
      <w:pPr>
        <w:pStyle w:val="SOText"/>
      </w:pPr>
      <w:r>
        <w:t xml:space="preserve">Subdivision H of </w:t>
      </w:r>
      <w:r w:rsidR="00881039">
        <w:t>Division 3</w:t>
      </w:r>
      <w:r>
        <w:t xml:space="preserve"> sets out how and when the trustee must provide this information</w:t>
      </w:r>
      <w:r w:rsidR="00F1109A">
        <w:t xml:space="preserve"> to the applicant</w:t>
      </w:r>
      <w:r>
        <w:t>.</w:t>
      </w:r>
    </w:p>
    <w:p w14:paraId="23AF397B" w14:textId="465A7F75" w:rsidR="00D930D9" w:rsidRPr="00A058B6" w:rsidRDefault="00D930D9" w:rsidP="00D930D9">
      <w:pPr>
        <w:pStyle w:val="SOText"/>
      </w:pPr>
      <w:r w:rsidRPr="00A058B6">
        <w:t>The trustee is also required to provide some information about the superannuation interest to the non</w:t>
      </w:r>
      <w:r w:rsidR="001952B3">
        <w:noBreakHyphen/>
      </w:r>
      <w:r w:rsidRPr="00A058B6">
        <w:t xml:space="preserve">member spouse after the operative time for a payment split (see Subdivision </w:t>
      </w:r>
      <w:r w:rsidR="00F66A96">
        <w:t>J</w:t>
      </w:r>
      <w:r w:rsidRPr="00A058B6">
        <w:t xml:space="preserve"> of </w:t>
      </w:r>
      <w:r w:rsidR="00881039">
        <w:t>Division 3</w:t>
      </w:r>
      <w:r w:rsidRPr="00A058B6">
        <w:t>)</w:t>
      </w:r>
      <w:r w:rsidR="00D7157D">
        <w:t>.</w:t>
      </w:r>
    </w:p>
    <w:p w14:paraId="143CD8BC" w14:textId="77777777" w:rsidR="00D930D9" w:rsidRPr="00A058B6" w:rsidRDefault="00D930D9" w:rsidP="00D930D9">
      <w:pPr>
        <w:pStyle w:val="notetext"/>
      </w:pPr>
      <w:r w:rsidRPr="00A058B6">
        <w:t>Note 1:</w:t>
      </w:r>
      <w:r w:rsidRPr="00A058B6">
        <w:tab/>
        <w:t xml:space="preserve">An order relating to the superannuation interest can be expressed to bind the trustee at the time the order takes effect only if the trustee has first been accorded procedural fairness (see </w:t>
      </w:r>
      <w:r w:rsidR="00AF1E4E">
        <w:t>section 9</w:t>
      </w:r>
      <w:r w:rsidRPr="00A058B6">
        <w:t>0XZD or 90YZT of the Act)</w:t>
      </w:r>
      <w:r w:rsidR="00D7157D">
        <w:t>.</w:t>
      </w:r>
    </w:p>
    <w:p w14:paraId="7D536ED9" w14:textId="77777777" w:rsidR="00D930D9" w:rsidRPr="00A058B6" w:rsidRDefault="00D930D9" w:rsidP="00D930D9">
      <w:pPr>
        <w:pStyle w:val="notetext"/>
      </w:pPr>
      <w:r w:rsidRPr="00A058B6">
        <w:t>Note 2:</w:t>
      </w:r>
      <w:r w:rsidRPr="00A058B6">
        <w:tab/>
        <w:t xml:space="preserve">Ways for serving documents on the trustee include ways under the relevant Rules of Court (see </w:t>
      </w:r>
      <w:r w:rsidR="00AF1E4E">
        <w:t>section 9</w:t>
      </w:r>
      <w:r w:rsidRPr="00A058B6">
        <w:t>0XZF or 90YZV of the Act)</w:t>
      </w:r>
      <w:r w:rsidR="00D7157D">
        <w:t>.</w:t>
      </w:r>
      <w:r>
        <w:t xml:space="preserve"> The Rules of Court also set out time periods for doing so</w:t>
      </w:r>
      <w:r w:rsidR="00D7157D">
        <w:t>.</w:t>
      </w:r>
    </w:p>
    <w:p w14:paraId="04D070C6" w14:textId="3E7A38B6" w:rsidR="00D930D9" w:rsidRPr="00A058B6" w:rsidRDefault="00485CC2" w:rsidP="00D930D9">
      <w:pPr>
        <w:pStyle w:val="ActHead5"/>
      </w:pPr>
      <w:bookmarkStart w:id="150" w:name="_Toc188350635"/>
      <w:r w:rsidRPr="00423C34">
        <w:rPr>
          <w:rStyle w:val="CharSectno"/>
        </w:rPr>
        <w:t>101</w:t>
      </w:r>
      <w:r w:rsidR="00D930D9" w:rsidRPr="00A058B6">
        <w:t xml:space="preserve">  Definitions</w:t>
      </w:r>
      <w:bookmarkEnd w:id="150"/>
    </w:p>
    <w:p w14:paraId="4B830BCF" w14:textId="77777777" w:rsidR="00D930D9" w:rsidRPr="00A058B6" w:rsidRDefault="00D930D9" w:rsidP="00D930D9">
      <w:pPr>
        <w:pStyle w:val="subsection"/>
      </w:pPr>
      <w:r w:rsidRPr="00A058B6">
        <w:tab/>
      </w:r>
      <w:r w:rsidRPr="00A058B6">
        <w:tab/>
        <w:t>In this Part:</w:t>
      </w:r>
    </w:p>
    <w:p w14:paraId="7D68E0A8" w14:textId="77777777" w:rsidR="00D930D9" w:rsidRPr="00A058B6" w:rsidRDefault="00D930D9" w:rsidP="00D930D9">
      <w:pPr>
        <w:pStyle w:val="Definition"/>
      </w:pPr>
      <w:r w:rsidRPr="00A058B6">
        <w:rPr>
          <w:b/>
          <w:i/>
        </w:rPr>
        <w:t>appropriate date</w:t>
      </w:r>
      <w:r w:rsidRPr="00A058B6">
        <w:t>, in relation to the information that must be provided by the trustee of an eligible superannuation plan to an applicant, means:</w:t>
      </w:r>
    </w:p>
    <w:p w14:paraId="3B7F92C7" w14:textId="77777777" w:rsidR="00D930D9" w:rsidRPr="00A058B6" w:rsidRDefault="00D930D9" w:rsidP="00D930D9">
      <w:pPr>
        <w:pStyle w:val="paragraph"/>
      </w:pPr>
      <w:r w:rsidRPr="00A058B6">
        <w:tab/>
        <w:t>(a)</w:t>
      </w:r>
      <w:r w:rsidRPr="00A058B6">
        <w:tab/>
        <w:t>the date when the application for the information is received by the trustee; or</w:t>
      </w:r>
    </w:p>
    <w:p w14:paraId="282EBEFA" w14:textId="77777777" w:rsidR="00D930D9" w:rsidRPr="00A058B6" w:rsidRDefault="00D930D9" w:rsidP="00D930D9">
      <w:pPr>
        <w:pStyle w:val="paragraph"/>
      </w:pPr>
      <w:r w:rsidRPr="00A058B6">
        <w:tab/>
        <w:t>(b)</w:t>
      </w:r>
      <w:r w:rsidRPr="00A058B6">
        <w:tab/>
        <w:t>if an earlier date is specified in the application—that date</w:t>
      </w:r>
      <w:r w:rsidR="00D7157D">
        <w:t>.</w:t>
      </w:r>
    </w:p>
    <w:p w14:paraId="246138C4" w14:textId="77777777" w:rsidR="00D930D9" w:rsidRPr="00A058B6" w:rsidRDefault="00D930D9" w:rsidP="00D930D9">
      <w:pPr>
        <w:pStyle w:val="Definition"/>
      </w:pPr>
      <w:r w:rsidRPr="00A058B6">
        <w:rPr>
          <w:b/>
          <w:i/>
        </w:rPr>
        <w:t>preserved benefits</w:t>
      </w:r>
      <w:r w:rsidRPr="00A058B6">
        <w:t xml:space="preserve"> means:</w:t>
      </w:r>
    </w:p>
    <w:p w14:paraId="40CB76AB" w14:textId="77777777" w:rsidR="00D930D9" w:rsidRPr="00A058B6" w:rsidRDefault="00D930D9" w:rsidP="00D930D9">
      <w:pPr>
        <w:pStyle w:val="paragraph"/>
      </w:pPr>
      <w:r w:rsidRPr="00A058B6">
        <w:tab/>
        <w:t>(a)</w:t>
      </w:r>
      <w:r w:rsidRPr="00A058B6">
        <w:tab/>
        <w:t>for a member of a regulated superannuation fund or an approved deposit fund—preserved benefits in relation to the member under Subdivision 6</w:t>
      </w:r>
      <w:r w:rsidR="00D7157D">
        <w:t>.</w:t>
      </w:r>
      <w:r w:rsidRPr="00A058B6">
        <w:t>1</w:t>
      </w:r>
      <w:r w:rsidR="00D7157D">
        <w:t>.</w:t>
      </w:r>
      <w:r w:rsidRPr="00A058B6">
        <w:t>2 of the SIS Regulations; or</w:t>
      </w:r>
    </w:p>
    <w:p w14:paraId="58945231" w14:textId="77777777" w:rsidR="00D930D9" w:rsidRPr="00A058B6" w:rsidRDefault="00D930D9" w:rsidP="00D930D9">
      <w:pPr>
        <w:pStyle w:val="paragraph"/>
      </w:pPr>
      <w:r w:rsidRPr="00A058B6">
        <w:tab/>
        <w:t>(b)</w:t>
      </w:r>
      <w:r w:rsidRPr="00A058B6">
        <w:tab/>
        <w:t>for a member of an RSA—preserved benefits in relation to the member under Subdivision 4</w:t>
      </w:r>
      <w:r w:rsidR="00D7157D">
        <w:t>.</w:t>
      </w:r>
      <w:r w:rsidRPr="00A058B6">
        <w:t>1</w:t>
      </w:r>
      <w:r w:rsidR="00D7157D">
        <w:t>.</w:t>
      </w:r>
      <w:r w:rsidRPr="00A058B6">
        <w:t>2 of the RSA Regulations</w:t>
      </w:r>
      <w:r w:rsidR="00D7157D">
        <w:t>.</w:t>
      </w:r>
    </w:p>
    <w:p w14:paraId="4D21F3FF" w14:textId="4366CAD3" w:rsidR="00D930D9" w:rsidRPr="00A058B6" w:rsidRDefault="00D930D9" w:rsidP="00D930D9">
      <w:pPr>
        <w:pStyle w:val="Definition"/>
      </w:pPr>
      <w:r w:rsidRPr="00A058B6">
        <w:rPr>
          <w:b/>
          <w:i/>
        </w:rPr>
        <w:t>restricted non</w:t>
      </w:r>
      <w:r w:rsidR="001952B3">
        <w:rPr>
          <w:b/>
          <w:i/>
        </w:rPr>
        <w:noBreakHyphen/>
      </w:r>
      <w:r w:rsidRPr="00A058B6">
        <w:rPr>
          <w:b/>
          <w:i/>
        </w:rPr>
        <w:t>preserved benefits</w:t>
      </w:r>
      <w:r w:rsidRPr="00A058B6">
        <w:t xml:space="preserve"> means:</w:t>
      </w:r>
    </w:p>
    <w:p w14:paraId="2A9A6171" w14:textId="195E0067" w:rsidR="00D930D9" w:rsidRPr="00A058B6" w:rsidRDefault="00D930D9" w:rsidP="00D930D9">
      <w:pPr>
        <w:pStyle w:val="paragraph"/>
      </w:pPr>
      <w:r w:rsidRPr="00A058B6">
        <w:tab/>
        <w:t>(a)</w:t>
      </w:r>
      <w:r w:rsidRPr="00A058B6">
        <w:tab/>
        <w:t>for a member of a regulated superannuation fund—restricted non</w:t>
      </w:r>
      <w:r w:rsidR="001952B3">
        <w:noBreakHyphen/>
      </w:r>
      <w:r w:rsidRPr="00A058B6">
        <w:t>preserved benefits in relation to the member under Subdivision 6</w:t>
      </w:r>
      <w:r w:rsidR="00D7157D">
        <w:t>.</w:t>
      </w:r>
      <w:r w:rsidRPr="00A058B6">
        <w:t>1</w:t>
      </w:r>
      <w:r w:rsidR="00D7157D">
        <w:t>.</w:t>
      </w:r>
      <w:r w:rsidRPr="00A058B6">
        <w:t>3 of the SIS Regulations; or</w:t>
      </w:r>
    </w:p>
    <w:p w14:paraId="7F9903CA" w14:textId="76D927F7" w:rsidR="00D930D9" w:rsidRPr="00A058B6" w:rsidRDefault="00D930D9" w:rsidP="00D930D9">
      <w:pPr>
        <w:pStyle w:val="paragraph"/>
      </w:pPr>
      <w:r w:rsidRPr="00A058B6">
        <w:tab/>
        <w:t>(b)</w:t>
      </w:r>
      <w:r w:rsidRPr="00A058B6">
        <w:tab/>
        <w:t>for a member of an RSA—restricted non</w:t>
      </w:r>
      <w:r w:rsidR="001952B3">
        <w:noBreakHyphen/>
      </w:r>
      <w:r w:rsidRPr="00A058B6">
        <w:t>preserved benefits in relation to the member under Subdivision 4</w:t>
      </w:r>
      <w:r w:rsidR="00D7157D">
        <w:t>.</w:t>
      </w:r>
      <w:r w:rsidRPr="00A058B6">
        <w:t>1</w:t>
      </w:r>
      <w:r w:rsidR="00D7157D">
        <w:t>.</w:t>
      </w:r>
      <w:r w:rsidRPr="00A058B6">
        <w:t>3 of the RSA Regulations</w:t>
      </w:r>
      <w:r w:rsidR="00D7157D">
        <w:t>.</w:t>
      </w:r>
    </w:p>
    <w:p w14:paraId="2C33511F" w14:textId="523F5D68" w:rsidR="00AD2431" w:rsidRPr="00AD2431" w:rsidRDefault="00AD2431" w:rsidP="003432FE">
      <w:pPr>
        <w:pStyle w:val="Definition"/>
      </w:pPr>
      <w:r w:rsidRPr="00AD2431">
        <w:rPr>
          <w:b/>
          <w:i/>
        </w:rPr>
        <w:t>underlying valuation information</w:t>
      </w:r>
      <w:r w:rsidRPr="00AD2431">
        <w:t xml:space="preserve">, for a superannuation interest </w:t>
      </w:r>
      <w:r w:rsidR="003432FE">
        <w:t>where</w:t>
      </w:r>
      <w:r w:rsidRPr="00AD2431">
        <w:t xml:space="preserve"> the gross value of the interest </w:t>
      </w:r>
      <w:r w:rsidR="002D36C4">
        <w:t>is</w:t>
      </w:r>
      <w:r w:rsidRPr="00AD2431">
        <w:t xml:space="preserve"> determined in accordance with a method or factors approved by the Minister under </w:t>
      </w:r>
      <w:r w:rsidR="00CB78B9">
        <w:t>section 6</w:t>
      </w:r>
      <w:r w:rsidR="00485CC2">
        <w:t>2</w:t>
      </w:r>
      <w:r w:rsidRPr="00AD2431">
        <w:t xml:space="preserve"> or </w:t>
      </w:r>
      <w:r w:rsidR="00485CC2">
        <w:t>70</w:t>
      </w:r>
      <w:r w:rsidR="002D36C4">
        <w:t>, means:</w:t>
      </w:r>
    </w:p>
    <w:p w14:paraId="47BBEC1A" w14:textId="2B7244CA" w:rsidR="00AD2431" w:rsidRPr="00722274" w:rsidRDefault="00AD2431" w:rsidP="00722274">
      <w:pPr>
        <w:pStyle w:val="paragraph"/>
      </w:pPr>
      <w:r w:rsidRPr="00AD2431">
        <w:tab/>
        <w:t>(</w:t>
      </w:r>
      <w:r w:rsidR="001E22A1">
        <w:t>a</w:t>
      </w:r>
      <w:r w:rsidRPr="00AD2431">
        <w:t>)</w:t>
      </w:r>
      <w:r w:rsidRPr="00AD2431">
        <w:tab/>
        <w:t>if a determi</w:t>
      </w:r>
      <w:r w:rsidRPr="00722274">
        <w:t xml:space="preserve">nation under </w:t>
      </w:r>
      <w:r w:rsidR="00CB78B9">
        <w:t>subsection 1</w:t>
      </w:r>
      <w:r w:rsidR="00485CC2">
        <w:t>16</w:t>
      </w:r>
      <w:r w:rsidRPr="00722274">
        <w:t xml:space="preserve">(2), (3), (4) or (5) </w:t>
      </w:r>
      <w:r w:rsidR="00AE5C5C">
        <w:t xml:space="preserve">(about defined benefit interests) </w:t>
      </w:r>
      <w:r w:rsidRPr="00722274">
        <w:t>is in effect for the interest—information required to be provided under the determination; or</w:t>
      </w:r>
    </w:p>
    <w:p w14:paraId="0F5D731F" w14:textId="2465F528" w:rsidR="009D1468" w:rsidRPr="00722274" w:rsidRDefault="009D1468" w:rsidP="009D1468">
      <w:pPr>
        <w:pStyle w:val="paragraph"/>
      </w:pPr>
      <w:r w:rsidRPr="00AD2431">
        <w:tab/>
        <w:t>(</w:t>
      </w:r>
      <w:r>
        <w:t>b</w:t>
      </w:r>
      <w:r w:rsidRPr="00AD2431">
        <w:t>)</w:t>
      </w:r>
      <w:r w:rsidRPr="00AD2431">
        <w:tab/>
        <w:t>if a determi</w:t>
      </w:r>
      <w:r w:rsidRPr="00722274">
        <w:t xml:space="preserve">nation under </w:t>
      </w:r>
      <w:r w:rsidR="00CB78B9">
        <w:t>subsection 1</w:t>
      </w:r>
      <w:r w:rsidR="00485CC2">
        <w:t>25</w:t>
      </w:r>
      <w:r w:rsidRPr="00722274">
        <w:t>(2)</w:t>
      </w:r>
      <w:r>
        <w:t xml:space="preserve"> or</w:t>
      </w:r>
      <w:r w:rsidRPr="00722274">
        <w:t xml:space="preserve"> (3)</w:t>
      </w:r>
      <w:r>
        <w:t xml:space="preserve"> (about </w:t>
      </w:r>
      <w:r w:rsidR="003B4755">
        <w:t>percentage</w:t>
      </w:r>
      <w:r w:rsidR="001952B3">
        <w:noBreakHyphen/>
      </w:r>
      <w:r w:rsidR="003B4755">
        <w:t>only</w:t>
      </w:r>
      <w:r>
        <w:t xml:space="preserve"> interests) </w:t>
      </w:r>
      <w:r w:rsidRPr="00722274">
        <w:t>is in effect for the interest—information required to be provided under the determination; or</w:t>
      </w:r>
    </w:p>
    <w:p w14:paraId="0F161F4B" w14:textId="018266DA" w:rsidR="001E22A1" w:rsidRPr="00722274" w:rsidRDefault="001E22A1" w:rsidP="001E22A1">
      <w:pPr>
        <w:pStyle w:val="paragraph"/>
      </w:pPr>
      <w:r w:rsidRPr="00AD2431">
        <w:tab/>
        <w:t>(</w:t>
      </w:r>
      <w:r w:rsidR="009D1468">
        <w:t>c</w:t>
      </w:r>
      <w:r w:rsidRPr="00AD2431">
        <w:t>)</w:t>
      </w:r>
      <w:r w:rsidRPr="00AD2431">
        <w:tab/>
        <w:t>if a determi</w:t>
      </w:r>
      <w:r w:rsidRPr="00722274">
        <w:t xml:space="preserve">nation under </w:t>
      </w:r>
      <w:r w:rsidR="00CB78B9">
        <w:t>subsection 1</w:t>
      </w:r>
      <w:r w:rsidR="00485CC2">
        <w:t>31</w:t>
      </w:r>
      <w:r w:rsidRPr="00722274">
        <w:t>(2)</w:t>
      </w:r>
      <w:r w:rsidR="000C7E52">
        <w:t xml:space="preserve"> or</w:t>
      </w:r>
      <w:r w:rsidRPr="00722274">
        <w:t xml:space="preserve"> (3)</w:t>
      </w:r>
      <w:r w:rsidR="000C7E52">
        <w:t xml:space="preserve"> </w:t>
      </w:r>
      <w:r w:rsidR="00AE5C5C">
        <w:t xml:space="preserve">(about innovative superannuation interests) </w:t>
      </w:r>
      <w:r w:rsidRPr="00722274">
        <w:t>is in effect for the interest—information required to be provided under the determination; or</w:t>
      </w:r>
    </w:p>
    <w:p w14:paraId="5EBB281B" w14:textId="77777777" w:rsidR="00AD2431" w:rsidRPr="00A058B6" w:rsidRDefault="00AD2431" w:rsidP="00722274">
      <w:pPr>
        <w:pStyle w:val="paragraph"/>
      </w:pPr>
      <w:r w:rsidRPr="00722274">
        <w:tab/>
        <w:t>(</w:t>
      </w:r>
      <w:r w:rsidR="009D1468">
        <w:t>d</w:t>
      </w:r>
      <w:r w:rsidRPr="00722274">
        <w:t>)</w:t>
      </w:r>
      <w:r w:rsidRPr="00722274">
        <w:tab/>
        <w:t>in any oth</w:t>
      </w:r>
      <w:r w:rsidRPr="00AD2431">
        <w:t>er case—information that will enable the applicant to check whether the gross value of the interest has been correctly determined in accordance with the approved method or factors.</w:t>
      </w:r>
    </w:p>
    <w:p w14:paraId="5B64A113" w14:textId="5ECA2786" w:rsidR="00D930D9" w:rsidRPr="00A058B6" w:rsidRDefault="00D930D9" w:rsidP="00D930D9">
      <w:pPr>
        <w:pStyle w:val="Definition"/>
      </w:pPr>
      <w:r w:rsidRPr="00A058B6">
        <w:rPr>
          <w:b/>
          <w:i/>
        </w:rPr>
        <w:t>unrestricted non</w:t>
      </w:r>
      <w:r w:rsidR="001952B3">
        <w:rPr>
          <w:b/>
          <w:i/>
        </w:rPr>
        <w:noBreakHyphen/>
      </w:r>
      <w:r w:rsidRPr="00A058B6">
        <w:rPr>
          <w:b/>
          <w:i/>
        </w:rPr>
        <w:t>preserved benefits</w:t>
      </w:r>
      <w:r w:rsidRPr="00A058B6">
        <w:t xml:space="preserve"> means:</w:t>
      </w:r>
    </w:p>
    <w:p w14:paraId="3E8436C9" w14:textId="1EF1895A" w:rsidR="00D930D9" w:rsidRPr="00A058B6" w:rsidRDefault="00D930D9" w:rsidP="00D930D9">
      <w:pPr>
        <w:pStyle w:val="paragraph"/>
      </w:pPr>
      <w:r w:rsidRPr="00A058B6">
        <w:tab/>
        <w:t>(a)</w:t>
      </w:r>
      <w:r w:rsidRPr="00A058B6">
        <w:tab/>
        <w:t>for a member of a regulated superannuation fund or an approved deposit fund—unrestricted non</w:t>
      </w:r>
      <w:r w:rsidR="001952B3">
        <w:noBreakHyphen/>
      </w:r>
      <w:r w:rsidRPr="00A058B6">
        <w:t>preserved benefits in relation to the member under Subdivision 6</w:t>
      </w:r>
      <w:r w:rsidR="00D7157D">
        <w:t>.</w:t>
      </w:r>
      <w:r w:rsidRPr="00A058B6">
        <w:t>1</w:t>
      </w:r>
      <w:r w:rsidR="00D7157D">
        <w:t>.</w:t>
      </w:r>
      <w:r w:rsidRPr="00A058B6">
        <w:t>4 of the SIS Regulations; or</w:t>
      </w:r>
    </w:p>
    <w:p w14:paraId="71369189" w14:textId="2D57D573" w:rsidR="00D930D9" w:rsidRPr="00A058B6" w:rsidRDefault="00D930D9" w:rsidP="00D930D9">
      <w:pPr>
        <w:pStyle w:val="paragraph"/>
      </w:pPr>
      <w:r w:rsidRPr="00A058B6">
        <w:tab/>
        <w:t>(b)</w:t>
      </w:r>
      <w:r w:rsidRPr="00A058B6">
        <w:tab/>
        <w:t>for a member of an RSA—unrestricted non</w:t>
      </w:r>
      <w:r w:rsidR="001952B3">
        <w:noBreakHyphen/>
      </w:r>
      <w:r w:rsidRPr="00A058B6">
        <w:t>preserved benefits in relation to the member under Subdivision 4</w:t>
      </w:r>
      <w:r w:rsidR="00D7157D">
        <w:t>.</w:t>
      </w:r>
      <w:r w:rsidRPr="00A058B6">
        <w:t>1</w:t>
      </w:r>
      <w:r w:rsidR="00D7157D">
        <w:t>.</w:t>
      </w:r>
      <w:r w:rsidRPr="00A058B6">
        <w:t>4 of the RSA Regulations</w:t>
      </w:r>
      <w:r w:rsidR="00D7157D">
        <w:t>.</w:t>
      </w:r>
    </w:p>
    <w:p w14:paraId="557A30C6" w14:textId="73720B7F" w:rsidR="00D930D9" w:rsidRPr="00A058B6" w:rsidRDefault="00453C86" w:rsidP="00D930D9">
      <w:pPr>
        <w:pStyle w:val="ActHead3"/>
        <w:pageBreakBefore/>
      </w:pPr>
      <w:bookmarkStart w:id="151" w:name="_Toc188350636"/>
      <w:r w:rsidRPr="00423C34">
        <w:rPr>
          <w:rStyle w:val="CharDivNo"/>
        </w:rPr>
        <w:t>Division 2</w:t>
      </w:r>
      <w:r w:rsidR="00D930D9" w:rsidRPr="00A058B6">
        <w:t>—</w:t>
      </w:r>
      <w:r w:rsidR="00D930D9" w:rsidRPr="00423C34">
        <w:rPr>
          <w:rStyle w:val="CharDivText"/>
        </w:rPr>
        <w:t>Declaration accompanying application for information about a superannuation interest</w:t>
      </w:r>
      <w:bookmarkEnd w:id="151"/>
    </w:p>
    <w:p w14:paraId="4BAE0D72" w14:textId="6188165D" w:rsidR="00D930D9" w:rsidRPr="00A058B6" w:rsidRDefault="00485CC2" w:rsidP="00D930D9">
      <w:pPr>
        <w:pStyle w:val="ActHead5"/>
      </w:pPr>
      <w:bookmarkStart w:id="152" w:name="_Toc188350637"/>
      <w:r w:rsidRPr="00423C34">
        <w:rPr>
          <w:rStyle w:val="CharSectno"/>
        </w:rPr>
        <w:t>102</w:t>
      </w:r>
      <w:r w:rsidR="00D930D9" w:rsidRPr="00A058B6">
        <w:t xml:space="preserve">  Application to trustee for information about a superannuation interest—accompanying declaration</w:t>
      </w:r>
      <w:bookmarkEnd w:id="152"/>
    </w:p>
    <w:p w14:paraId="6F46AF5E" w14:textId="509196B9" w:rsidR="00D930D9" w:rsidRPr="00A058B6" w:rsidRDefault="00D930D9" w:rsidP="00D930D9">
      <w:pPr>
        <w:pStyle w:val="subsection"/>
      </w:pPr>
      <w:r w:rsidRPr="00A058B6">
        <w:tab/>
      </w:r>
      <w:r w:rsidRPr="00A058B6">
        <w:tab/>
        <w:t xml:space="preserve">For the purposes of </w:t>
      </w:r>
      <w:r w:rsidR="00FE15C4">
        <w:t>paragraph 9</w:t>
      </w:r>
      <w:r w:rsidRPr="00A058B6">
        <w:t xml:space="preserve">0XZB(2)(a) or 90YZR(2)(a) of the Act, the declaration accompanying an application by an eligible person, under </w:t>
      </w:r>
      <w:r w:rsidR="00AF1E4E">
        <w:t>section 9</w:t>
      </w:r>
      <w:r w:rsidRPr="00A058B6">
        <w:t xml:space="preserve">0XZB or 90YZR of the Act, must be in accordance with Form 6 in </w:t>
      </w:r>
      <w:r w:rsidR="00453C86">
        <w:t>Schedule 1</w:t>
      </w:r>
      <w:r>
        <w:t xml:space="preserve"> to this instrument</w:t>
      </w:r>
      <w:r w:rsidR="00D7157D">
        <w:t>.</w:t>
      </w:r>
    </w:p>
    <w:p w14:paraId="05C2AB01" w14:textId="77777777" w:rsidR="00D930D9" w:rsidRPr="00A058B6" w:rsidRDefault="00881039" w:rsidP="00D930D9">
      <w:pPr>
        <w:pStyle w:val="ActHead3"/>
        <w:pageBreakBefore/>
      </w:pPr>
      <w:bookmarkStart w:id="153" w:name="_Toc188350638"/>
      <w:r w:rsidRPr="00423C34">
        <w:rPr>
          <w:rStyle w:val="CharDivNo"/>
        </w:rPr>
        <w:t>Division 3</w:t>
      </w:r>
      <w:r w:rsidR="00D930D9" w:rsidRPr="00A058B6">
        <w:t>—</w:t>
      </w:r>
      <w:r w:rsidR="00D930D9" w:rsidRPr="00423C34">
        <w:rPr>
          <w:rStyle w:val="CharDivText"/>
        </w:rPr>
        <w:t>Information provided by trustee about superannuation interests</w:t>
      </w:r>
      <w:bookmarkEnd w:id="153"/>
    </w:p>
    <w:p w14:paraId="1826F09A" w14:textId="77777777" w:rsidR="00D930D9" w:rsidRPr="00A058B6" w:rsidRDefault="00D930D9" w:rsidP="00D930D9">
      <w:pPr>
        <w:pStyle w:val="ActHead4"/>
      </w:pPr>
      <w:bookmarkStart w:id="154" w:name="_Toc188350639"/>
      <w:r w:rsidRPr="00423C34">
        <w:rPr>
          <w:rStyle w:val="CharSubdNo"/>
        </w:rPr>
        <w:t>Subdivision A</w:t>
      </w:r>
      <w:r w:rsidRPr="00A058B6">
        <w:t>—</w:t>
      </w:r>
      <w:r w:rsidRPr="00423C34">
        <w:rPr>
          <w:rStyle w:val="CharSubdText"/>
        </w:rPr>
        <w:t>Information about certain accumulation interests</w:t>
      </w:r>
      <w:bookmarkEnd w:id="154"/>
    </w:p>
    <w:p w14:paraId="0B4C28B7" w14:textId="46D632DA" w:rsidR="00D930D9" w:rsidRPr="00A058B6" w:rsidRDefault="00485CC2" w:rsidP="00D930D9">
      <w:pPr>
        <w:pStyle w:val="ActHead5"/>
      </w:pPr>
      <w:bookmarkStart w:id="155" w:name="_Toc188350640"/>
      <w:r w:rsidRPr="00423C34">
        <w:rPr>
          <w:rStyle w:val="CharSectno"/>
        </w:rPr>
        <w:t>103</w:t>
      </w:r>
      <w:r w:rsidR="00D930D9" w:rsidRPr="00A058B6">
        <w:t xml:space="preserve">  Accumulation interests to which this Subdivision applies</w:t>
      </w:r>
      <w:bookmarkEnd w:id="155"/>
    </w:p>
    <w:p w14:paraId="03C29980" w14:textId="77777777" w:rsidR="00D930D9" w:rsidRPr="00A058B6" w:rsidRDefault="00D930D9" w:rsidP="00D930D9">
      <w:pPr>
        <w:pStyle w:val="subsection"/>
      </w:pPr>
      <w:r w:rsidRPr="00A058B6">
        <w:tab/>
        <w:t>(1)</w:t>
      </w:r>
      <w:r w:rsidRPr="00A058B6">
        <w:tab/>
        <w:t>This Subdivision applies for a superannuation interest of a member of an eligible superannuation plan if:</w:t>
      </w:r>
    </w:p>
    <w:p w14:paraId="5B876CA2" w14:textId="77777777" w:rsidR="00D930D9" w:rsidRPr="00A058B6" w:rsidRDefault="00D930D9" w:rsidP="00D930D9">
      <w:pPr>
        <w:pStyle w:val="paragraph"/>
      </w:pPr>
      <w:r w:rsidRPr="00A058B6">
        <w:tab/>
        <w:t>(a)</w:t>
      </w:r>
      <w:r w:rsidRPr="00A058B6">
        <w:tab/>
        <w:t>the superannuation interest, or a component of the superannuation interest, is an accumulation interest; and</w:t>
      </w:r>
    </w:p>
    <w:p w14:paraId="755F7856" w14:textId="45C9C6B7" w:rsidR="00D930D9" w:rsidRPr="00A058B6" w:rsidRDefault="00D930D9" w:rsidP="00D930D9">
      <w:pPr>
        <w:pStyle w:val="paragraph"/>
      </w:pPr>
      <w:r w:rsidRPr="00A058B6">
        <w:tab/>
        <w:t>(b)</w:t>
      </w:r>
      <w:r w:rsidRPr="00A058B6">
        <w:tab/>
        <w:t>the superannuation interest is neither a percentage</w:t>
      </w:r>
      <w:r w:rsidR="001952B3">
        <w:noBreakHyphen/>
      </w:r>
      <w:r w:rsidRPr="00A058B6">
        <w:t>only interest nor an interest in a self managed superannuation fund; and</w:t>
      </w:r>
    </w:p>
    <w:p w14:paraId="6A987440" w14:textId="77777777" w:rsidR="00D930D9" w:rsidRPr="00A058B6" w:rsidRDefault="00D930D9" w:rsidP="00D930D9">
      <w:pPr>
        <w:pStyle w:val="paragraph"/>
      </w:pPr>
      <w:r w:rsidRPr="00A058B6">
        <w:tab/>
        <w:t>(c)</w:t>
      </w:r>
      <w:r w:rsidRPr="00A058B6">
        <w:tab/>
        <w:t xml:space="preserve">Subdivision </w:t>
      </w:r>
      <w:r w:rsidR="00F66A96">
        <w:t xml:space="preserve">G </w:t>
      </w:r>
      <w:r w:rsidRPr="00A058B6">
        <w:t>does not apply for the superannuation interest</w:t>
      </w:r>
      <w:r w:rsidR="00D7157D">
        <w:t>.</w:t>
      </w:r>
    </w:p>
    <w:p w14:paraId="75B0A293" w14:textId="77777777" w:rsidR="00D930D9" w:rsidRPr="00A058B6" w:rsidRDefault="00D930D9" w:rsidP="00D930D9">
      <w:pPr>
        <w:pStyle w:val="subsection"/>
      </w:pPr>
      <w:r w:rsidRPr="00A058B6">
        <w:tab/>
        <w:t>(2)</w:t>
      </w:r>
      <w:r w:rsidRPr="00A058B6">
        <w:tab/>
        <w:t>In this Subdivision:</w:t>
      </w:r>
    </w:p>
    <w:p w14:paraId="1459CDC0" w14:textId="77777777" w:rsidR="00D930D9" w:rsidRPr="00A058B6" w:rsidRDefault="00D930D9" w:rsidP="00D930D9">
      <w:pPr>
        <w:pStyle w:val="Definition"/>
      </w:pPr>
      <w:r w:rsidRPr="00A058B6">
        <w:rPr>
          <w:b/>
          <w:bCs/>
          <w:i/>
          <w:iCs/>
        </w:rPr>
        <w:t>total member credit</w:t>
      </w:r>
      <w:r w:rsidRPr="00A058B6">
        <w:rPr>
          <w:bCs/>
          <w:iCs/>
        </w:rPr>
        <w:t xml:space="preserve">, for a superannuation interest of a member and a date, means the total </w:t>
      </w:r>
      <w:r w:rsidRPr="00A058B6">
        <w:t>amount that would be standing to the credit of the member in respect of the interest if the benefit in respect of the interest were fully vested at that date</w:t>
      </w:r>
      <w:r w:rsidR="00D7157D">
        <w:t>.</w:t>
      </w:r>
    </w:p>
    <w:p w14:paraId="54370B67" w14:textId="77777777" w:rsidR="00D930D9" w:rsidRPr="00A058B6" w:rsidRDefault="00D930D9" w:rsidP="00D930D9">
      <w:pPr>
        <w:pStyle w:val="Definition"/>
      </w:pPr>
      <w:r w:rsidRPr="00A058B6">
        <w:rPr>
          <w:b/>
          <w:i/>
        </w:rPr>
        <w:t>valuation date</w:t>
      </w:r>
      <w:r w:rsidRPr="00A058B6">
        <w:t>, for a superannuation interest to which a member information statement for the member spouse applies, means the date as at which the value of the interest, or the total member credit, is stated in the statement</w:t>
      </w:r>
      <w:r w:rsidR="00D7157D">
        <w:t>.</w:t>
      </w:r>
    </w:p>
    <w:p w14:paraId="5EBD414A" w14:textId="77777777" w:rsidR="00D930D9" w:rsidRPr="00A058B6" w:rsidRDefault="00D930D9" w:rsidP="00D930D9">
      <w:pPr>
        <w:pStyle w:val="Definition"/>
      </w:pPr>
      <w:r w:rsidRPr="00A058B6">
        <w:rPr>
          <w:b/>
          <w:i/>
        </w:rPr>
        <w:t>value</w:t>
      </w:r>
      <w:r w:rsidRPr="00A058B6">
        <w:t>, of a superannuation interest stated in a statement, means:</w:t>
      </w:r>
    </w:p>
    <w:p w14:paraId="1D7E89AE" w14:textId="77777777" w:rsidR="00D930D9" w:rsidRPr="00A058B6" w:rsidRDefault="00D930D9" w:rsidP="00D930D9">
      <w:pPr>
        <w:pStyle w:val="paragraph"/>
      </w:pPr>
      <w:r w:rsidRPr="00A058B6">
        <w:tab/>
        <w:t>(a)</w:t>
      </w:r>
      <w:r w:rsidRPr="00A058B6">
        <w:tab/>
        <w:t xml:space="preserve">the value of the interest stated in the statement, however described (for example, the member’s account balance, share in the plan, withdrawal benefit); </w:t>
      </w:r>
      <w:r w:rsidR="003A2E89">
        <w:t>or</w:t>
      </w:r>
    </w:p>
    <w:p w14:paraId="1A748ADD" w14:textId="77777777" w:rsidR="00D930D9" w:rsidRPr="00A058B6" w:rsidRDefault="00D930D9" w:rsidP="00D930D9">
      <w:pPr>
        <w:pStyle w:val="paragraph"/>
      </w:pPr>
      <w:r w:rsidRPr="00A058B6">
        <w:tab/>
        <w:t>(b)</w:t>
      </w:r>
      <w:r w:rsidRPr="00A058B6">
        <w:tab/>
        <w:t>if 2 or more values of the interest are stated in the statement—the value of the benefits (before any taxes or other charges have been deducted) that would have been payable in respect of the interest if the member spouse had voluntarily ceased to be a member of the plan at the date at which the value is stated</w:t>
      </w:r>
      <w:r w:rsidR="00D7157D">
        <w:t>.</w:t>
      </w:r>
    </w:p>
    <w:p w14:paraId="255E03CF" w14:textId="08D57BB3" w:rsidR="00D930D9" w:rsidRPr="00A058B6" w:rsidRDefault="00485CC2" w:rsidP="00D930D9">
      <w:pPr>
        <w:pStyle w:val="ActHead5"/>
      </w:pPr>
      <w:bookmarkStart w:id="156" w:name="_Toc188350641"/>
      <w:r w:rsidRPr="00423C34">
        <w:rPr>
          <w:rStyle w:val="CharSectno"/>
        </w:rPr>
        <w:t>104</w:t>
      </w:r>
      <w:r w:rsidR="00D930D9" w:rsidRPr="00A058B6">
        <w:t xml:space="preserve">  Information the trustee must provide—overview</w:t>
      </w:r>
      <w:bookmarkEnd w:id="156"/>
    </w:p>
    <w:p w14:paraId="22C4E854" w14:textId="65200610"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w:t>
      </w:r>
      <w:r w:rsidRPr="00A058B6">
        <w:rPr>
          <w:color w:val="000000"/>
        </w:rPr>
        <w:t>,</w:t>
      </w:r>
      <w:r w:rsidRPr="00A058B6">
        <w:t xml:space="preserve"> the information about the accumulation interest that must be provided by the trustee of the plan in response to an application referred to in that subsection is as follows:</w:t>
      </w:r>
    </w:p>
    <w:p w14:paraId="7711A6F8" w14:textId="77777777" w:rsidR="00D930D9" w:rsidRPr="00A058B6" w:rsidRDefault="005765C4" w:rsidP="00D930D9">
      <w:pPr>
        <w:pStyle w:val="paragraph"/>
      </w:pPr>
      <w:r>
        <w:tab/>
        <w:t>(a)</w:t>
      </w:r>
      <w:r>
        <w:tab/>
      </w:r>
      <w:r w:rsidR="00D930D9" w:rsidRPr="00A058B6">
        <w:t>if the interest is an unsplittable interest—a statement to that effect;</w:t>
      </w:r>
    </w:p>
    <w:p w14:paraId="7B3F6ABB" w14:textId="77777777" w:rsidR="00D930D9" w:rsidRPr="00A058B6" w:rsidRDefault="005765C4" w:rsidP="00D930D9">
      <w:pPr>
        <w:pStyle w:val="paragraph"/>
      </w:pPr>
      <w:r>
        <w:tab/>
        <w:t>(b)</w:t>
      </w:r>
      <w:r>
        <w:tab/>
      </w:r>
      <w:r w:rsidR="00D930D9" w:rsidRPr="00A058B6">
        <w:t>a statement indicating whether the interest is subject to a payment split or payment flag;</w:t>
      </w:r>
    </w:p>
    <w:p w14:paraId="4AEE84D7" w14:textId="6D4C1B65" w:rsidR="00D930D9" w:rsidRPr="00A058B6" w:rsidRDefault="005765C4" w:rsidP="00D930D9">
      <w:pPr>
        <w:pStyle w:val="paragraph"/>
      </w:pPr>
      <w:r>
        <w:tab/>
        <w:t>(c)</w:t>
      </w:r>
      <w:r>
        <w:tab/>
      </w:r>
      <w:r w:rsidR="00D930D9" w:rsidRPr="00A058B6">
        <w:t xml:space="preserve">if the interest is subject to a payment split </w:t>
      </w:r>
      <w:r w:rsidR="00D930D9" w:rsidRPr="00A058B6">
        <w:rPr>
          <w:snapToGrid w:val="0"/>
        </w:rPr>
        <w:t>(other than under a superannuation agreement, flag lifting agreement or splitting order for which the non</w:t>
      </w:r>
      <w:r w:rsidR="001952B3">
        <w:rPr>
          <w:snapToGrid w:val="0"/>
        </w:rPr>
        <w:noBreakHyphen/>
      </w:r>
      <w:r w:rsidR="00D930D9" w:rsidRPr="00A058B6">
        <w:rPr>
          <w:snapToGrid w:val="0"/>
        </w:rPr>
        <w:t xml:space="preserve">member spouse’s entitlement has been satisfied as required by </w:t>
      </w:r>
      <w:r w:rsidR="00453C86">
        <w:rPr>
          <w:snapToGrid w:val="0"/>
        </w:rPr>
        <w:t>Division 2</w:t>
      </w:r>
      <w:r w:rsidR="00D930D9" w:rsidRPr="00A058B6">
        <w:rPr>
          <w:snapToGrid w:val="0"/>
        </w:rPr>
        <w:t xml:space="preserve"> of </w:t>
      </w:r>
      <w:r w:rsidR="006211C7">
        <w:rPr>
          <w:snapToGrid w:val="0"/>
        </w:rPr>
        <w:t>Part </w:t>
      </w:r>
      <w:r w:rsidR="009F5A3D">
        <w:rPr>
          <w:snapToGrid w:val="0"/>
        </w:rPr>
        <w:t>3</w:t>
      </w:r>
      <w:r w:rsidR="00D930D9" w:rsidRPr="00A058B6">
        <w:rPr>
          <w:snapToGrid w:val="0"/>
        </w:rPr>
        <w:t>)—</w:t>
      </w:r>
      <w:r w:rsidR="00D930D9" w:rsidRPr="00A058B6">
        <w:t xml:space="preserve">the information mentioned in </w:t>
      </w:r>
      <w:r w:rsidR="00CB78B9">
        <w:t>section 1</w:t>
      </w:r>
      <w:r w:rsidR="00485CC2">
        <w:t>08</w:t>
      </w:r>
      <w:r w:rsidR="00D930D9" w:rsidRPr="00A058B6">
        <w:t>;</w:t>
      </w:r>
    </w:p>
    <w:p w14:paraId="3B6AFE27" w14:textId="77777777" w:rsidR="00D930D9" w:rsidRPr="00A058B6" w:rsidRDefault="005765C4" w:rsidP="00D930D9">
      <w:pPr>
        <w:pStyle w:val="paragraph"/>
      </w:pPr>
      <w:r>
        <w:tab/>
        <w:t>(d)</w:t>
      </w:r>
      <w:r>
        <w:tab/>
      </w:r>
      <w:r w:rsidR="00D930D9" w:rsidRPr="00A058B6">
        <w:t xml:space="preserve">the date of commencement of the member’s service period (within the meaning of the </w:t>
      </w:r>
      <w:r w:rsidR="00D930D9" w:rsidRPr="00A058B6">
        <w:rPr>
          <w:i/>
        </w:rPr>
        <w:t>Income Tax Assessment Act 1997</w:t>
      </w:r>
      <w:r w:rsidR="00D930D9" w:rsidRPr="00A058B6">
        <w:t>), if any;</w:t>
      </w:r>
    </w:p>
    <w:p w14:paraId="12A4F40A" w14:textId="77777777" w:rsidR="00D930D9" w:rsidRPr="00A058B6" w:rsidRDefault="005765C4" w:rsidP="00D930D9">
      <w:pPr>
        <w:pStyle w:val="paragraph"/>
      </w:pPr>
      <w:r>
        <w:tab/>
        <w:t>(e)</w:t>
      </w:r>
      <w:r>
        <w:tab/>
      </w:r>
      <w:r w:rsidR="00D930D9" w:rsidRPr="00A058B6">
        <w:t>the date when the member first became a member of the plan;</w:t>
      </w:r>
    </w:p>
    <w:p w14:paraId="5D32DD40" w14:textId="6B25EE42" w:rsidR="00D930D9" w:rsidRPr="00A058B6" w:rsidRDefault="005765C4" w:rsidP="00D930D9">
      <w:pPr>
        <w:pStyle w:val="paragraph"/>
      </w:pPr>
      <w:r>
        <w:tab/>
        <w:t>(f)</w:t>
      </w:r>
      <w:r>
        <w:tab/>
      </w:r>
      <w:r w:rsidR="00D930D9" w:rsidRPr="00A058B6">
        <w:t xml:space="preserve">if the interest was in the payment phase at the appropriate date—the payment phase information mentioned in </w:t>
      </w:r>
      <w:r w:rsidR="00CB78B9">
        <w:t>section 1</w:t>
      </w:r>
      <w:r w:rsidR="00485CC2">
        <w:t>05</w:t>
      </w:r>
      <w:r w:rsidR="00D930D9" w:rsidRPr="00A058B6">
        <w:t xml:space="preserve"> for the interest;</w:t>
      </w:r>
    </w:p>
    <w:p w14:paraId="035ED43E" w14:textId="77777777" w:rsidR="00D930D9" w:rsidRPr="00A058B6" w:rsidRDefault="005765C4" w:rsidP="00D930D9">
      <w:pPr>
        <w:pStyle w:val="paragraph"/>
      </w:pPr>
      <w:r>
        <w:tab/>
        <w:t>(g)</w:t>
      </w:r>
      <w:r>
        <w:tab/>
      </w:r>
      <w:r w:rsidR="00D930D9" w:rsidRPr="00A058B6">
        <w:t>if the interest was in the growth phase at the appropriate date:</w:t>
      </w:r>
    </w:p>
    <w:p w14:paraId="680108E4" w14:textId="0B13AFF6" w:rsidR="00D930D9" w:rsidRPr="00A058B6" w:rsidRDefault="00D930D9" w:rsidP="00D930D9">
      <w:pPr>
        <w:pStyle w:val="paragraphsub"/>
      </w:pPr>
      <w:r w:rsidRPr="00A058B6">
        <w:tab/>
        <w:t>(i)</w:t>
      </w:r>
      <w:r w:rsidRPr="00A058B6">
        <w:tab/>
        <w:t xml:space="preserve">for an accumulation interest other than a partially vested accumulation interest—the growth phase information mentioned in </w:t>
      </w:r>
      <w:r w:rsidR="00CB78B9">
        <w:t>section 1</w:t>
      </w:r>
      <w:r w:rsidR="00485CC2">
        <w:t>06</w:t>
      </w:r>
      <w:r w:rsidRPr="00A058B6">
        <w:t xml:space="preserve"> for the interest; and</w:t>
      </w:r>
    </w:p>
    <w:p w14:paraId="0ABEFFC7" w14:textId="25832CA1" w:rsidR="00D930D9" w:rsidRPr="00A058B6" w:rsidRDefault="00D930D9" w:rsidP="00D930D9">
      <w:pPr>
        <w:pStyle w:val="paragraphsub"/>
      </w:pPr>
      <w:r w:rsidRPr="00A058B6">
        <w:tab/>
        <w:t>(ii)</w:t>
      </w:r>
      <w:r w:rsidRPr="00A058B6">
        <w:tab/>
        <w:t xml:space="preserve">for a partially vested accumulation interest—the growth phase information mentioned in </w:t>
      </w:r>
      <w:r w:rsidR="00CB78B9">
        <w:t>section 1</w:t>
      </w:r>
      <w:r w:rsidR="00485CC2">
        <w:t>07</w:t>
      </w:r>
      <w:r w:rsidRPr="00A058B6">
        <w:t xml:space="preserve"> for the interest;</w:t>
      </w:r>
    </w:p>
    <w:p w14:paraId="5C672CD0" w14:textId="77777777" w:rsidR="00D930D9" w:rsidRPr="00A058B6" w:rsidRDefault="005765C4" w:rsidP="00D930D9">
      <w:pPr>
        <w:pStyle w:val="paragraph"/>
      </w:pPr>
      <w:r>
        <w:tab/>
        <w:t>(h)</w:t>
      </w:r>
      <w:r>
        <w:tab/>
      </w:r>
      <w:r w:rsidR="00D930D9" w:rsidRPr="00A058B6">
        <w:t>if the application specifically requests the trustee to provide information about the withdrawal benefit for the member—the withdrawal benefit for the member at the date when the information is provided;</w:t>
      </w:r>
    </w:p>
    <w:p w14:paraId="7D2F1840" w14:textId="796C5201" w:rsidR="00D930D9" w:rsidRDefault="005765C4" w:rsidP="00D930D9">
      <w:pPr>
        <w:pStyle w:val="paragraph"/>
      </w:pPr>
      <w:r>
        <w:tab/>
        <w:t>(i)</w:t>
      </w:r>
      <w:r>
        <w:tab/>
      </w:r>
      <w:r w:rsidR="00D930D9" w:rsidRPr="00A058B6">
        <w:t>details of any fees that may be charged by the trustee under paragraph </w:t>
      </w:r>
      <w:r w:rsidR="00485CC2">
        <w:t>98</w:t>
      </w:r>
      <w:r w:rsidR="00D930D9" w:rsidRPr="00A058B6">
        <w:t>(1)(a), (b), (c), (d) or (f)</w:t>
      </w:r>
      <w:r w:rsidR="00945414">
        <w:t>;</w:t>
      </w:r>
    </w:p>
    <w:p w14:paraId="12C256A6" w14:textId="77777777" w:rsidR="00945414" w:rsidRPr="00A058B6" w:rsidRDefault="00945414" w:rsidP="00D930D9">
      <w:pPr>
        <w:pStyle w:val="paragraph"/>
      </w:pPr>
      <w:r>
        <w:tab/>
        <w:t>(j)</w:t>
      </w:r>
      <w:r>
        <w:tab/>
        <w:t>if known, the member’s date of birth.</w:t>
      </w:r>
    </w:p>
    <w:p w14:paraId="4482DA79" w14:textId="13ECE864" w:rsidR="00D930D9" w:rsidRPr="00A058B6" w:rsidRDefault="00D930D9" w:rsidP="00D930D9">
      <w:pPr>
        <w:pStyle w:val="subsection"/>
      </w:pPr>
      <w:r w:rsidRPr="00A058B6">
        <w:tab/>
        <w:t>(2)</w:t>
      </w:r>
      <w:r w:rsidRPr="00A058B6">
        <w:tab/>
        <w:t xml:space="preserve">Subsection (1) has effect subject to </w:t>
      </w:r>
      <w:r w:rsidR="00CB78B9">
        <w:t>section 1</w:t>
      </w:r>
      <w:r w:rsidR="00485CC2">
        <w:t>09</w:t>
      </w:r>
      <w:r w:rsidRPr="00A058B6">
        <w:t xml:space="preserve"> (about exceptions)</w:t>
      </w:r>
      <w:r w:rsidR="00D7157D">
        <w:t>.</w:t>
      </w:r>
    </w:p>
    <w:p w14:paraId="6B042853" w14:textId="0DB7C5A8" w:rsidR="00D930D9" w:rsidRPr="00A058B6" w:rsidRDefault="00D930D9" w:rsidP="00D930D9">
      <w:pPr>
        <w:pStyle w:val="notetext"/>
      </w:pPr>
      <w:r w:rsidRPr="00A058B6">
        <w:t>Example:</w:t>
      </w:r>
      <w:r w:rsidRPr="00A058B6">
        <w:tab/>
        <w:t xml:space="preserve">If the application specifically requests the information mentioned in </w:t>
      </w:r>
      <w:r w:rsidR="00453C86">
        <w:t>paragraph (</w:t>
      </w:r>
      <w:r w:rsidRPr="00A058B6">
        <w:t>1)(</w:t>
      </w:r>
      <w:r w:rsidR="005765C4">
        <w:t>h</w:t>
      </w:r>
      <w:r w:rsidRPr="00A058B6">
        <w:t>), the trustee is required to provide only the information mentioned in that paragraph to the applicant</w:t>
      </w:r>
      <w:r w:rsidR="00D7157D">
        <w:t>.</w:t>
      </w:r>
      <w:r w:rsidRPr="00A058B6">
        <w:t xml:space="preserve"> The trustee is not required to provide any other information to the applicant under this Subdivision (see </w:t>
      </w:r>
      <w:r w:rsidR="00CB78B9">
        <w:t>paragraph 1</w:t>
      </w:r>
      <w:r w:rsidR="00485CC2">
        <w:t>09</w:t>
      </w:r>
      <w:r w:rsidRPr="00A058B6">
        <w:t>(1)(a))</w:t>
      </w:r>
      <w:r w:rsidR="00D7157D">
        <w:t>.</w:t>
      </w:r>
    </w:p>
    <w:p w14:paraId="270BEC1B" w14:textId="2AA06FE1" w:rsidR="00D930D9" w:rsidRPr="00A058B6" w:rsidRDefault="00485CC2" w:rsidP="00D930D9">
      <w:pPr>
        <w:pStyle w:val="ActHead5"/>
      </w:pPr>
      <w:bookmarkStart w:id="157" w:name="_Toc188350642"/>
      <w:r w:rsidRPr="00423C34">
        <w:rPr>
          <w:rStyle w:val="CharSectno"/>
        </w:rPr>
        <w:t>105</w:t>
      </w:r>
      <w:r w:rsidR="00D930D9" w:rsidRPr="00A058B6">
        <w:t xml:space="preserve">  Specific information—the interest is in the payment phase</w:t>
      </w:r>
      <w:bookmarkEnd w:id="157"/>
    </w:p>
    <w:p w14:paraId="0F6D81A8" w14:textId="026D6A75" w:rsidR="00D930D9" w:rsidRPr="00A058B6" w:rsidRDefault="00D930D9" w:rsidP="00D930D9">
      <w:pPr>
        <w:pStyle w:val="subsection"/>
      </w:pPr>
      <w:r w:rsidRPr="00A058B6">
        <w:tab/>
      </w:r>
      <w:r w:rsidRPr="00A058B6">
        <w:tab/>
        <w:t xml:space="preserve">For the purposes of </w:t>
      </w:r>
      <w:r w:rsidR="00CB78B9">
        <w:t>paragraph 1</w:t>
      </w:r>
      <w:r w:rsidR="00485CC2">
        <w:t>04</w:t>
      </w:r>
      <w:r w:rsidRPr="00A058B6">
        <w:t>(1)(</w:t>
      </w:r>
      <w:r w:rsidR="00F91340">
        <w:t>f</w:t>
      </w:r>
      <w:r w:rsidRPr="00A058B6">
        <w:t>), the payment phase information for the superannuation interest is:</w:t>
      </w:r>
    </w:p>
    <w:p w14:paraId="7713C632" w14:textId="77777777" w:rsidR="00D930D9" w:rsidRPr="00A058B6" w:rsidRDefault="000A3118" w:rsidP="00D930D9">
      <w:pPr>
        <w:pStyle w:val="paragraph"/>
      </w:pPr>
      <w:r>
        <w:tab/>
        <w:t>(a)</w:t>
      </w:r>
      <w:r>
        <w:tab/>
      </w:r>
      <w:r w:rsidR="00D930D9" w:rsidRPr="00A058B6">
        <w:t>if the member is receiving ongoing pension payments in respect of an allocated pension—the withdrawal benefit for the member at the appropriate date; and</w:t>
      </w:r>
    </w:p>
    <w:p w14:paraId="4CA766E5" w14:textId="77777777" w:rsidR="00D930D9" w:rsidRPr="00A058B6" w:rsidRDefault="000A3118" w:rsidP="00D930D9">
      <w:pPr>
        <w:pStyle w:val="paragraph"/>
        <w:rPr>
          <w:color w:val="000000"/>
        </w:rPr>
      </w:pPr>
      <w:r>
        <w:rPr>
          <w:color w:val="000000"/>
        </w:rPr>
        <w:tab/>
        <w:t>(b)</w:t>
      </w:r>
      <w:r>
        <w:rPr>
          <w:color w:val="000000"/>
        </w:rPr>
        <w:tab/>
      </w:r>
      <w:r w:rsidR="00D930D9" w:rsidRPr="00A058B6">
        <w:rPr>
          <w:color w:val="000000"/>
        </w:rPr>
        <w:t>if the member is receiving ongoing pension payments in respect of a market linked pension—the market linked pension account balance at the appropriate date; and</w:t>
      </w:r>
    </w:p>
    <w:p w14:paraId="4D234D69" w14:textId="77777777" w:rsidR="00D930D9" w:rsidRPr="00A058B6" w:rsidRDefault="000A3118" w:rsidP="00D930D9">
      <w:pPr>
        <w:pStyle w:val="paragraph"/>
      </w:pPr>
      <w:r>
        <w:tab/>
        <w:t>(c)</w:t>
      </w:r>
      <w:r>
        <w:tab/>
      </w:r>
      <w:r w:rsidR="00D930D9" w:rsidRPr="00A058B6">
        <w:t xml:space="preserve">if the member is receiving ongoing pension payments in respect of a pension other than </w:t>
      </w:r>
      <w:r w:rsidR="00D930D9" w:rsidRPr="00A058B6">
        <w:rPr>
          <w:color w:val="000000"/>
        </w:rPr>
        <w:t>an allocated pension or a market linked pension:</w:t>
      </w:r>
    </w:p>
    <w:p w14:paraId="5E5D9666" w14:textId="77777777" w:rsidR="00D930D9" w:rsidRPr="00A058B6" w:rsidRDefault="00D930D9" w:rsidP="00D930D9">
      <w:pPr>
        <w:pStyle w:val="paragraphsub"/>
      </w:pPr>
      <w:r w:rsidRPr="00A058B6">
        <w:tab/>
        <w:t>(i)</w:t>
      </w:r>
      <w:r w:rsidRPr="00A058B6">
        <w:tab/>
        <w:t>the amount of annual pension benefit payable to the member at the appropriate date; and</w:t>
      </w:r>
    </w:p>
    <w:p w14:paraId="475FBE6A" w14:textId="427DA57B" w:rsidR="00D930D9" w:rsidRPr="00A058B6" w:rsidRDefault="00D930D9" w:rsidP="00D930D9">
      <w:pPr>
        <w:pStyle w:val="paragraphsub"/>
      </w:pPr>
      <w:r w:rsidRPr="00A058B6">
        <w:tab/>
        <w:t>(ii)</w:t>
      </w:r>
      <w:r w:rsidRPr="00A058B6">
        <w:tab/>
        <w:t>a statement indicating whether the pension benefit is a lifetime pension or a fixed</w:t>
      </w:r>
      <w:r w:rsidR="001952B3">
        <w:noBreakHyphen/>
      </w:r>
      <w:r w:rsidRPr="00A058B6">
        <w:t>term pension; and</w:t>
      </w:r>
    </w:p>
    <w:p w14:paraId="3F18CFE9" w14:textId="2A979305" w:rsidR="00D930D9" w:rsidRPr="00A058B6" w:rsidRDefault="00D930D9" w:rsidP="00D930D9">
      <w:pPr>
        <w:pStyle w:val="paragraphsub"/>
      </w:pPr>
      <w:r w:rsidRPr="00A058B6">
        <w:tab/>
        <w:t>(iii)</w:t>
      </w:r>
      <w:r w:rsidRPr="00A058B6">
        <w:tab/>
        <w:t>if the pension is a fixed</w:t>
      </w:r>
      <w:r w:rsidR="001952B3">
        <w:noBreakHyphen/>
      </w:r>
      <w:r w:rsidRPr="00A058B6">
        <w:t>term pension—the date when the pension payments commenced, and the length of the fixed term; and</w:t>
      </w:r>
    </w:p>
    <w:p w14:paraId="35ECEA99" w14:textId="77777777" w:rsidR="00D930D9" w:rsidRPr="00A058B6" w:rsidRDefault="00D930D9" w:rsidP="00D930D9">
      <w:pPr>
        <w:pStyle w:val="paragraphsub"/>
      </w:pPr>
      <w:r w:rsidRPr="00A058B6">
        <w:tab/>
        <w:t>(iv)</w:t>
      </w:r>
      <w:r w:rsidRPr="00A058B6">
        <w:tab/>
        <w:t>a statement indicating whether the pension benefit is indexed and, if so, the method of indexation; and</w:t>
      </w:r>
    </w:p>
    <w:p w14:paraId="5CF0B7F6" w14:textId="774DB61C" w:rsidR="00D930D9" w:rsidRPr="00A058B6" w:rsidRDefault="00D930D9" w:rsidP="00D930D9">
      <w:pPr>
        <w:pStyle w:val="paragraphsub"/>
      </w:pPr>
      <w:r w:rsidRPr="00A058B6">
        <w:tab/>
        <w:t>(v)</w:t>
      </w:r>
      <w:r w:rsidRPr="00A058B6">
        <w:tab/>
        <w:t>a statement indicating whether there is any reversionary beneficiary who is a non</w:t>
      </w:r>
      <w:r w:rsidR="001952B3">
        <w:noBreakHyphen/>
      </w:r>
      <w:r w:rsidRPr="00A058B6">
        <w:t>member spouse in relation to the pension benefit and, if so, the proportion of the ongoing pension payments that would be payable to the reversionary beneficiary on the death of the member; and</w:t>
      </w:r>
    </w:p>
    <w:p w14:paraId="19CE440B" w14:textId="77777777" w:rsidR="00D930D9" w:rsidRPr="00A058B6" w:rsidRDefault="000A3118" w:rsidP="00D930D9">
      <w:pPr>
        <w:pStyle w:val="paragraph"/>
      </w:pPr>
      <w:r>
        <w:tab/>
        <w:t>(d)</w:t>
      </w:r>
      <w:r>
        <w:tab/>
      </w:r>
      <w:r w:rsidR="00D930D9" w:rsidRPr="00A058B6">
        <w:t>if a lump sum is payable to the member in respect of the interest at the date when the information is provided or at any later date, and the amount of the lump sum is known—the amount of the lump sum; and</w:t>
      </w:r>
    </w:p>
    <w:p w14:paraId="19150E26" w14:textId="77777777" w:rsidR="00D930D9" w:rsidRPr="00A058B6" w:rsidRDefault="000A3118" w:rsidP="00D930D9">
      <w:pPr>
        <w:pStyle w:val="paragraph"/>
      </w:pPr>
      <w:r>
        <w:tab/>
        <w:t>(e)</w:t>
      </w:r>
      <w:r>
        <w:tab/>
      </w:r>
      <w:r w:rsidR="00D930D9" w:rsidRPr="00A058B6">
        <w:t xml:space="preserve">if a lump sum (a </w:t>
      </w:r>
      <w:r w:rsidR="00D930D9" w:rsidRPr="00A058B6">
        <w:rPr>
          <w:b/>
          <w:i/>
        </w:rPr>
        <w:t>future lump sum</w:t>
      </w:r>
      <w:r w:rsidR="00D930D9" w:rsidRPr="00A058B6">
        <w:t>) is payable to the member in respect of the interest at a date after the date when the information is provided, and the amount of the lump sum is not known:</w:t>
      </w:r>
    </w:p>
    <w:p w14:paraId="57CC8B77" w14:textId="77777777" w:rsidR="00D930D9" w:rsidRPr="00A058B6" w:rsidRDefault="00D930D9" w:rsidP="00D930D9">
      <w:pPr>
        <w:pStyle w:val="paragraphsub"/>
      </w:pPr>
      <w:r w:rsidRPr="00A058B6">
        <w:tab/>
        <w:t>(i)</w:t>
      </w:r>
      <w:r w:rsidRPr="00A058B6">
        <w:tab/>
        <w:t xml:space="preserve">the amount of the lump sum that would have been paid at the date when the information is provided if a lump sum were payable at that date (the </w:t>
      </w:r>
      <w:r w:rsidRPr="00A058B6">
        <w:rPr>
          <w:b/>
          <w:i/>
        </w:rPr>
        <w:t>nominal lump sum</w:t>
      </w:r>
      <w:r w:rsidRPr="00A058B6">
        <w:t>); and</w:t>
      </w:r>
    </w:p>
    <w:p w14:paraId="5D0F2EE4" w14:textId="77777777" w:rsidR="00D930D9" w:rsidRPr="00A058B6" w:rsidRDefault="00D930D9" w:rsidP="00D930D9">
      <w:pPr>
        <w:pStyle w:val="paragraphsub"/>
      </w:pPr>
      <w:r w:rsidRPr="00A058B6">
        <w:tab/>
        <w:t>(ii)</w:t>
      </w:r>
      <w:r w:rsidRPr="00A058B6">
        <w:tab/>
        <w:t>the method that is to be used to index the nominal lump sum to determine the amount of the future lump sum; and</w:t>
      </w:r>
    </w:p>
    <w:p w14:paraId="2A86D8CA" w14:textId="77777777" w:rsidR="00D930D9" w:rsidRPr="00A058B6" w:rsidRDefault="000A3118" w:rsidP="00D930D9">
      <w:pPr>
        <w:pStyle w:val="paragraph"/>
      </w:pPr>
      <w:r>
        <w:tab/>
        <w:t>(f)</w:t>
      </w:r>
      <w:r>
        <w:tab/>
      </w:r>
      <w:r w:rsidR="00D930D9" w:rsidRPr="00A058B6">
        <w:t xml:space="preserve">if a lump sum payment that would have been a superannuation lump sum (within the meaning of the </w:t>
      </w:r>
      <w:r w:rsidR="00D930D9" w:rsidRPr="00A058B6">
        <w:rPr>
          <w:i/>
        </w:rPr>
        <w:t>Income Tax Assessment Act 1997</w:t>
      </w:r>
      <w:r w:rsidR="00D930D9" w:rsidRPr="00A058B6">
        <w:t>)</w:t>
      </w:r>
      <w:r w:rsidR="00D930D9" w:rsidRPr="00A058B6">
        <w:rPr>
          <w:i/>
        </w:rPr>
        <w:t xml:space="preserve"> </w:t>
      </w:r>
      <w:r w:rsidR="00D930D9" w:rsidRPr="00A058B6">
        <w:t>had been made in respect of the interest at the date when the information is provided:</w:t>
      </w:r>
    </w:p>
    <w:p w14:paraId="12378FCF" w14:textId="77777777" w:rsidR="00D930D9" w:rsidRPr="00A058B6" w:rsidRDefault="00D930D9" w:rsidP="00D930D9">
      <w:pPr>
        <w:pStyle w:val="paragraphsub"/>
      </w:pPr>
      <w:r w:rsidRPr="00A058B6">
        <w:tab/>
        <w:t>(i)</w:t>
      </w:r>
      <w:r w:rsidRPr="00A058B6">
        <w:tab/>
        <w:t>the amount of the payment; and</w:t>
      </w:r>
    </w:p>
    <w:p w14:paraId="7894A42E" w14:textId="4FE3CA2E" w:rsidR="00D930D9" w:rsidRPr="00A058B6" w:rsidRDefault="00D930D9" w:rsidP="00D930D9">
      <w:pPr>
        <w:pStyle w:val="paragraphsub"/>
      </w:pPr>
      <w:r w:rsidRPr="00A058B6">
        <w:tab/>
        <w:t>(ii)</w:t>
      </w:r>
      <w:r w:rsidRPr="00A058B6">
        <w:tab/>
        <w:t xml:space="preserve">the value that </w:t>
      </w:r>
      <w:r w:rsidR="00445D4B">
        <w:t xml:space="preserve">each of </w:t>
      </w:r>
      <w:r w:rsidRPr="00A058B6">
        <w:t xml:space="preserve">the components of the superannuation lump sum would have had under </w:t>
      </w:r>
      <w:r w:rsidR="00E62545">
        <w:t>Subdivision 3</w:t>
      </w:r>
      <w:r w:rsidRPr="00A058B6">
        <w:t>07</w:t>
      </w:r>
      <w:r w:rsidR="001952B3">
        <w:noBreakHyphen/>
      </w:r>
      <w:r w:rsidRPr="00A058B6">
        <w:t>C of that Act; and</w:t>
      </w:r>
    </w:p>
    <w:p w14:paraId="796B6A73" w14:textId="7CED8256" w:rsidR="001667CC" w:rsidRPr="00A058B6" w:rsidRDefault="001667CC" w:rsidP="001667CC">
      <w:pPr>
        <w:pStyle w:val="paragraphsub"/>
      </w:pPr>
      <w:r>
        <w:tab/>
        <w:t>(i</w:t>
      </w:r>
      <w:r w:rsidR="00445D4B">
        <w:t>ii</w:t>
      </w:r>
      <w:r>
        <w:t>)</w:t>
      </w:r>
      <w:r>
        <w:tab/>
      </w:r>
      <w:r w:rsidR="00445D4B">
        <w:t xml:space="preserve">the value </w:t>
      </w:r>
      <w:r>
        <w:t xml:space="preserve">that each of the elements of the taxable component would have had under </w:t>
      </w:r>
      <w:r w:rsidR="00E62545">
        <w:t>Subdivision 3</w:t>
      </w:r>
      <w:r>
        <w:t>07</w:t>
      </w:r>
      <w:r w:rsidR="001952B3">
        <w:noBreakHyphen/>
      </w:r>
      <w:r>
        <w:t>E of that Act (if applicable);</w:t>
      </w:r>
      <w:r w:rsidR="00445D4B">
        <w:t xml:space="preserve"> and</w:t>
      </w:r>
    </w:p>
    <w:p w14:paraId="28DFB3CB" w14:textId="77777777" w:rsidR="00D930D9" w:rsidRPr="00A058B6" w:rsidRDefault="000A3118" w:rsidP="00D930D9">
      <w:pPr>
        <w:pStyle w:val="paragraph"/>
      </w:pPr>
      <w:r>
        <w:tab/>
        <w:t>(g)</w:t>
      </w:r>
      <w:r>
        <w:tab/>
      </w:r>
      <w:r w:rsidR="00D930D9" w:rsidRPr="00A058B6">
        <w:t>a statement:</w:t>
      </w:r>
    </w:p>
    <w:p w14:paraId="29012985" w14:textId="758901A5" w:rsidR="00D930D9" w:rsidRPr="00A058B6" w:rsidRDefault="00D930D9" w:rsidP="00D930D9">
      <w:pPr>
        <w:pStyle w:val="paragraphsub"/>
      </w:pPr>
      <w:r w:rsidRPr="00A058B6">
        <w:tab/>
        <w:t>(i)</w:t>
      </w:r>
      <w:r w:rsidRPr="00A058B6">
        <w:tab/>
        <w:t xml:space="preserve">indicating whether the Minister has approved, under </w:t>
      </w:r>
      <w:r w:rsidR="00CB78B9">
        <w:t>section 7</w:t>
      </w:r>
      <w:r w:rsidR="00485CC2">
        <w:t>0</w:t>
      </w:r>
      <w:r w:rsidRPr="00A058B6">
        <w:t>, a method or factors for determining the gross value of the interest; and</w:t>
      </w:r>
    </w:p>
    <w:p w14:paraId="2CA2A4B1" w14:textId="77777777" w:rsidR="00D930D9" w:rsidRPr="00A058B6" w:rsidRDefault="00D930D9" w:rsidP="00D930D9">
      <w:pPr>
        <w:pStyle w:val="paragraphsub"/>
      </w:pPr>
      <w:r w:rsidRPr="00A058B6">
        <w:tab/>
        <w:t>(ii)</w:t>
      </w:r>
      <w:r w:rsidRPr="00A058B6">
        <w:tab/>
        <w:t>giving details of any method or factors so approved; and</w:t>
      </w:r>
    </w:p>
    <w:p w14:paraId="7694D7D0" w14:textId="77777777" w:rsidR="00D930D9" w:rsidRPr="00A058B6" w:rsidRDefault="000A3118" w:rsidP="00D930D9">
      <w:pPr>
        <w:pStyle w:val="paragraph"/>
      </w:pPr>
      <w:r>
        <w:tab/>
        <w:t>(h)</w:t>
      </w:r>
      <w:r>
        <w:tab/>
      </w:r>
      <w:r w:rsidR="00D930D9" w:rsidRPr="00A058B6">
        <w:t>if the application for information specifically requests the trustee to provide it and the trustee chooses to do so—the gross value of the interest at the appropriate date, determined in accordance with:</w:t>
      </w:r>
    </w:p>
    <w:p w14:paraId="47284BA3" w14:textId="4797323F" w:rsidR="00D930D9" w:rsidRPr="00A058B6" w:rsidRDefault="00D930D9" w:rsidP="00D930D9">
      <w:pPr>
        <w:pStyle w:val="paragraphsub"/>
      </w:pPr>
      <w:r w:rsidRPr="00A058B6">
        <w:tab/>
        <w:t>(i)</w:t>
      </w:r>
      <w:r w:rsidRPr="00A058B6">
        <w:tab/>
        <w:t xml:space="preserve">whichever of the methods in </w:t>
      </w:r>
      <w:r w:rsidR="00453C86">
        <w:t>Division 2</w:t>
      </w:r>
      <w:r w:rsidRPr="00A058B6">
        <w:t xml:space="preserve"> of Part </w:t>
      </w:r>
      <w:r w:rsidR="00934E66">
        <w:t>6</w:t>
      </w:r>
      <w:r w:rsidRPr="00A058B6">
        <w:t xml:space="preserve"> that applies to the interest; or</w:t>
      </w:r>
    </w:p>
    <w:p w14:paraId="6FEA7677" w14:textId="3BB51A97" w:rsidR="00D930D9" w:rsidRPr="00A058B6" w:rsidRDefault="00D930D9" w:rsidP="00D930D9">
      <w:pPr>
        <w:pStyle w:val="paragraphsub"/>
      </w:pPr>
      <w:r w:rsidRPr="00A058B6">
        <w:tab/>
        <w:t>(ii)</w:t>
      </w:r>
      <w:r w:rsidRPr="00A058B6">
        <w:tab/>
        <w:t xml:space="preserve">a method or factors approved by the Minister under </w:t>
      </w:r>
      <w:r w:rsidR="00CB78B9">
        <w:t>section 7</w:t>
      </w:r>
      <w:r w:rsidR="00485CC2">
        <w:t>0</w:t>
      </w:r>
      <w:r w:rsidR="00D7157D">
        <w:t>.</w:t>
      </w:r>
    </w:p>
    <w:p w14:paraId="10CFB3A9" w14:textId="3598E930" w:rsidR="00D930D9" w:rsidRPr="00A058B6" w:rsidRDefault="00D930D9" w:rsidP="00D930D9">
      <w:pPr>
        <w:pStyle w:val="notetext"/>
      </w:pPr>
      <w:r w:rsidRPr="00A058B6">
        <w:t>Note:</w:t>
      </w:r>
      <w:r w:rsidRPr="00A058B6">
        <w:tab/>
        <w:t xml:space="preserve">The trustee is not required to provide the information mentioned in </w:t>
      </w:r>
      <w:r w:rsidR="00453C86">
        <w:t>paragraph (</w:t>
      </w:r>
      <w:r w:rsidRPr="00A058B6">
        <w:t>a) or sub</w:t>
      </w:r>
      <w:r w:rsidR="00453C86">
        <w:t>paragraph (</w:t>
      </w:r>
      <w:r w:rsidR="000A3118">
        <w:t>c</w:t>
      </w:r>
      <w:r w:rsidRPr="00A058B6">
        <w:t xml:space="preserve">)(i) unless a record of it is in the trustee’s possession, power or control (see </w:t>
      </w:r>
      <w:r w:rsidR="00CB78B9">
        <w:t>paragraph 1</w:t>
      </w:r>
      <w:r w:rsidR="00485CC2">
        <w:t>09</w:t>
      </w:r>
      <w:r w:rsidRPr="00A058B6">
        <w:t>(1)(b))</w:t>
      </w:r>
      <w:r w:rsidR="00D7157D">
        <w:t>.</w:t>
      </w:r>
    </w:p>
    <w:p w14:paraId="360B5F71" w14:textId="253955E5" w:rsidR="00D930D9" w:rsidRPr="00A058B6" w:rsidRDefault="00485CC2" w:rsidP="00D930D9">
      <w:pPr>
        <w:pStyle w:val="ActHead5"/>
      </w:pPr>
      <w:bookmarkStart w:id="158" w:name="_Toc188350643"/>
      <w:r w:rsidRPr="00423C34">
        <w:rPr>
          <w:rStyle w:val="CharSectno"/>
        </w:rPr>
        <w:t>106</w:t>
      </w:r>
      <w:r w:rsidR="00D930D9" w:rsidRPr="00A058B6">
        <w:t xml:space="preserve">  Specific information—the interest is in the growth phase, and is an accumulation interest other than a partially vested accumulation interest</w:t>
      </w:r>
      <w:bookmarkEnd w:id="158"/>
    </w:p>
    <w:p w14:paraId="6D593928" w14:textId="15E2AF63" w:rsidR="00D930D9" w:rsidRPr="00A058B6" w:rsidRDefault="00D930D9" w:rsidP="00D930D9">
      <w:pPr>
        <w:pStyle w:val="subsection"/>
      </w:pPr>
      <w:r w:rsidRPr="00A058B6">
        <w:tab/>
      </w:r>
      <w:r w:rsidRPr="00A058B6">
        <w:tab/>
        <w:t xml:space="preserve">For the purposes of </w:t>
      </w:r>
      <w:r w:rsidR="00CB78B9">
        <w:t>subparagraph 1</w:t>
      </w:r>
      <w:r w:rsidR="00485CC2">
        <w:t>04</w:t>
      </w:r>
      <w:r w:rsidRPr="00A058B6">
        <w:t>(1)(</w:t>
      </w:r>
      <w:r w:rsidR="0070730A">
        <w:t>g</w:t>
      </w:r>
      <w:r w:rsidRPr="00A058B6">
        <w:t>)(i), the growth phase information for the superannuation interest is as follows:</w:t>
      </w:r>
    </w:p>
    <w:p w14:paraId="12F29BD6" w14:textId="77777777" w:rsidR="00D930D9" w:rsidRPr="00A058B6" w:rsidRDefault="00D421C7" w:rsidP="00D930D9">
      <w:pPr>
        <w:pStyle w:val="paragraph"/>
      </w:pPr>
      <w:r>
        <w:tab/>
        <w:t>(a)</w:t>
      </w:r>
      <w:r>
        <w:tab/>
      </w:r>
      <w:r w:rsidR="00D930D9" w:rsidRPr="00A058B6">
        <w:t>the value of the benefits (before any taxes or other charges have been deducted) that would have been payable in respect of the interest at the appropriate date if the member spouse had voluntarily ceased to be a member of the plan at that date;</w:t>
      </w:r>
    </w:p>
    <w:p w14:paraId="00510E3A" w14:textId="77777777" w:rsidR="00D930D9" w:rsidRPr="00A058B6" w:rsidRDefault="00D421C7" w:rsidP="00D930D9">
      <w:pPr>
        <w:pStyle w:val="paragraph"/>
      </w:pPr>
      <w:r>
        <w:tab/>
        <w:t>(b)</w:t>
      </w:r>
      <w:r>
        <w:tab/>
      </w:r>
      <w:r w:rsidR="00D930D9" w:rsidRPr="00A058B6">
        <w:t xml:space="preserve">if 2 or more member information statements for the member spouse and the interest have been provided to the member, and the appropriate date is between the valuation date stated in one statement (the </w:t>
      </w:r>
      <w:r w:rsidR="00D930D9" w:rsidRPr="00A058B6">
        <w:rPr>
          <w:b/>
          <w:i/>
        </w:rPr>
        <w:t>earlier statement</w:t>
      </w:r>
      <w:r w:rsidR="00D930D9" w:rsidRPr="00A058B6">
        <w:t xml:space="preserve">) and the valuation date stated in the next statement (the </w:t>
      </w:r>
      <w:r w:rsidR="00D930D9" w:rsidRPr="00A058B6">
        <w:rPr>
          <w:b/>
          <w:i/>
        </w:rPr>
        <w:t>next statement</w:t>
      </w:r>
      <w:r w:rsidR="00D930D9" w:rsidRPr="00A058B6">
        <w:t>):</w:t>
      </w:r>
    </w:p>
    <w:p w14:paraId="409B845D" w14:textId="77777777" w:rsidR="00D930D9" w:rsidRPr="00A058B6" w:rsidRDefault="00D930D9" w:rsidP="00D930D9">
      <w:pPr>
        <w:pStyle w:val="paragraphsub"/>
      </w:pPr>
      <w:r w:rsidRPr="00A058B6">
        <w:tab/>
        <w:t>(i)</w:t>
      </w:r>
      <w:r w:rsidRPr="00A058B6">
        <w:tab/>
        <w:t>the value of the interest, as stated in the earlier statement; and</w:t>
      </w:r>
    </w:p>
    <w:p w14:paraId="2931AD98" w14:textId="77777777" w:rsidR="00D930D9" w:rsidRPr="00A058B6" w:rsidRDefault="00D930D9" w:rsidP="00D930D9">
      <w:pPr>
        <w:pStyle w:val="paragraphsub"/>
      </w:pPr>
      <w:r w:rsidRPr="00A058B6">
        <w:tab/>
        <w:t>(ii)</w:t>
      </w:r>
      <w:r w:rsidRPr="00A058B6">
        <w:tab/>
        <w:t>the value of the interest, as stated in the next statement; and</w:t>
      </w:r>
    </w:p>
    <w:p w14:paraId="71DD5EDB" w14:textId="77777777" w:rsidR="00D930D9" w:rsidRPr="00A058B6" w:rsidRDefault="00D930D9" w:rsidP="00D930D9">
      <w:pPr>
        <w:pStyle w:val="paragraphsub"/>
      </w:pPr>
      <w:r w:rsidRPr="00A058B6">
        <w:tab/>
        <w:t>(iii)</w:t>
      </w:r>
      <w:r w:rsidRPr="00A058B6">
        <w:tab/>
        <w:t>the amount, and the date, of any rollover or transfer by the member, or partial payment to the member, in the period beginning on the day after the valuation date stated in the earlier statement and ending at the end of the valuation date stated in the next statement;</w:t>
      </w:r>
    </w:p>
    <w:p w14:paraId="548CF211" w14:textId="77777777" w:rsidR="00D930D9" w:rsidRPr="00A058B6" w:rsidRDefault="00D421C7" w:rsidP="00D930D9">
      <w:pPr>
        <w:pStyle w:val="paragraph"/>
      </w:pPr>
      <w:r>
        <w:tab/>
        <w:t>(c)</w:t>
      </w:r>
      <w:r>
        <w:tab/>
      </w:r>
      <w:r w:rsidR="00D930D9" w:rsidRPr="00A058B6">
        <w:t xml:space="preserve">if at least one member information statement for the member spouse and the interest has been provided to the member, and the appropriate date is before the valuation date stated in the first member information statement provided to the member (the </w:t>
      </w:r>
      <w:r w:rsidR="00D930D9" w:rsidRPr="00A058B6">
        <w:rPr>
          <w:b/>
          <w:i/>
        </w:rPr>
        <w:t>first statement</w:t>
      </w:r>
      <w:r w:rsidR="00D930D9" w:rsidRPr="00A058B6">
        <w:t>):</w:t>
      </w:r>
    </w:p>
    <w:p w14:paraId="3E2F4F6A" w14:textId="77777777" w:rsidR="00D930D9" w:rsidRPr="00A058B6" w:rsidRDefault="00D930D9" w:rsidP="00D930D9">
      <w:pPr>
        <w:pStyle w:val="paragraphsub"/>
      </w:pPr>
      <w:r w:rsidRPr="00A058B6">
        <w:tab/>
        <w:t>(i)</w:t>
      </w:r>
      <w:r w:rsidRPr="00A058B6">
        <w:tab/>
        <w:t>the value of the interest, as stated in the first statement; and</w:t>
      </w:r>
    </w:p>
    <w:p w14:paraId="38067C29" w14:textId="77777777" w:rsidR="00D930D9" w:rsidRPr="00A058B6" w:rsidRDefault="00D930D9" w:rsidP="00D930D9">
      <w:pPr>
        <w:pStyle w:val="paragraphsub"/>
      </w:pPr>
      <w:r w:rsidRPr="00A058B6">
        <w:tab/>
        <w:t>(ii)</w:t>
      </w:r>
      <w:r w:rsidRPr="00A058B6">
        <w:tab/>
        <w:t>the value of the interest at the date when the interest was acquired; and</w:t>
      </w:r>
    </w:p>
    <w:p w14:paraId="6BD604E3" w14:textId="77777777" w:rsidR="00D930D9" w:rsidRPr="00A058B6" w:rsidRDefault="00D930D9" w:rsidP="00D930D9">
      <w:pPr>
        <w:pStyle w:val="paragraphsub"/>
      </w:pPr>
      <w:r w:rsidRPr="00A058B6">
        <w:tab/>
        <w:t>(iii)</w:t>
      </w:r>
      <w:r w:rsidRPr="00A058B6">
        <w:tab/>
        <w:t>the amount, and the date, of any rollover or transfer by the member, or partial payment to the member, in the period beginning on the date when the interest was acquired and ending at the end of the valuation date stated in the first statement;</w:t>
      </w:r>
    </w:p>
    <w:p w14:paraId="0C866A0F" w14:textId="77777777" w:rsidR="00D930D9" w:rsidRPr="00A058B6" w:rsidRDefault="00D421C7" w:rsidP="00D930D9">
      <w:pPr>
        <w:pStyle w:val="paragraph"/>
      </w:pPr>
      <w:r>
        <w:tab/>
        <w:t>(d)</w:t>
      </w:r>
      <w:r>
        <w:tab/>
      </w:r>
      <w:r w:rsidR="00D930D9" w:rsidRPr="00A058B6">
        <w:t>if at least one member information statement for the member spouse and the interest has been provided to the member, and the appropriate date is after the valuation date stated in the most recent statement:</w:t>
      </w:r>
    </w:p>
    <w:p w14:paraId="1B9F8304" w14:textId="77777777" w:rsidR="00D930D9" w:rsidRPr="00A058B6" w:rsidRDefault="00D930D9" w:rsidP="00D930D9">
      <w:pPr>
        <w:pStyle w:val="paragraphsub"/>
      </w:pPr>
      <w:r w:rsidRPr="00A058B6">
        <w:tab/>
        <w:t>(i)</w:t>
      </w:r>
      <w:r w:rsidRPr="00A058B6">
        <w:tab/>
        <w:t>the value of the interest, as stated in the most recent statement; and</w:t>
      </w:r>
    </w:p>
    <w:p w14:paraId="5171E175" w14:textId="77777777" w:rsidR="00D930D9" w:rsidRPr="00A058B6" w:rsidRDefault="00D930D9" w:rsidP="00D930D9">
      <w:pPr>
        <w:pStyle w:val="paragraphsub"/>
      </w:pPr>
      <w:r w:rsidRPr="00A058B6">
        <w:tab/>
        <w:t>(ii)</w:t>
      </w:r>
      <w:r w:rsidRPr="00A058B6">
        <w:tab/>
        <w:t>the value of the interest at the date when the information is provided; and</w:t>
      </w:r>
    </w:p>
    <w:p w14:paraId="18E31767" w14:textId="77777777" w:rsidR="00D930D9" w:rsidRPr="00A058B6" w:rsidRDefault="00D930D9" w:rsidP="00D930D9">
      <w:pPr>
        <w:pStyle w:val="paragraphsub"/>
      </w:pPr>
      <w:r w:rsidRPr="00A058B6">
        <w:tab/>
        <w:t>(iii)</w:t>
      </w:r>
      <w:r w:rsidRPr="00A058B6">
        <w:tab/>
        <w:t>the amount, and the date, of any rollover or transfer by the member, or partial payment to the member, in the period beginning on the day after the valuation date stated in the most recent statement and ending at the end of the day when the information is provided;</w:t>
      </w:r>
    </w:p>
    <w:p w14:paraId="5B059259" w14:textId="77777777" w:rsidR="00D930D9" w:rsidRPr="00A058B6" w:rsidRDefault="00D421C7" w:rsidP="00D930D9">
      <w:pPr>
        <w:pStyle w:val="paragraph"/>
      </w:pPr>
      <w:r>
        <w:tab/>
        <w:t>(e)</w:t>
      </w:r>
      <w:r>
        <w:tab/>
      </w:r>
      <w:r w:rsidR="00D930D9" w:rsidRPr="00A058B6">
        <w:t>if no member information statement for the member spouse and the interest has been provided to the member:</w:t>
      </w:r>
    </w:p>
    <w:p w14:paraId="7FCC488E" w14:textId="77777777" w:rsidR="00D930D9" w:rsidRPr="00A058B6" w:rsidRDefault="00D930D9" w:rsidP="00D930D9">
      <w:pPr>
        <w:pStyle w:val="paragraphsub"/>
      </w:pPr>
      <w:r w:rsidRPr="00A058B6">
        <w:tab/>
        <w:t>(i)</w:t>
      </w:r>
      <w:r w:rsidRPr="00A058B6">
        <w:tab/>
        <w:t>the value of the interest at the date when the interest was acquired; and</w:t>
      </w:r>
    </w:p>
    <w:p w14:paraId="5B0862D3" w14:textId="77777777" w:rsidR="00D930D9" w:rsidRPr="00A058B6" w:rsidRDefault="00D930D9" w:rsidP="00D930D9">
      <w:pPr>
        <w:pStyle w:val="paragraphsub"/>
      </w:pPr>
      <w:r w:rsidRPr="00A058B6">
        <w:tab/>
        <w:t>(ii)</w:t>
      </w:r>
      <w:r w:rsidRPr="00A058B6">
        <w:tab/>
        <w:t>the value of the interest at the date when the information is provided; and</w:t>
      </w:r>
    </w:p>
    <w:p w14:paraId="6BC42093" w14:textId="77777777" w:rsidR="00D930D9" w:rsidRPr="00A058B6" w:rsidRDefault="00D930D9" w:rsidP="00D930D9">
      <w:pPr>
        <w:pStyle w:val="paragraphsub"/>
      </w:pPr>
      <w:r w:rsidRPr="00A058B6">
        <w:tab/>
        <w:t>(iii)</w:t>
      </w:r>
      <w:r w:rsidRPr="00A058B6">
        <w:tab/>
        <w:t>the amount, and the date, of any rollover or transfer by the member, or any partial payment to the member, in the period beginning on the day after the date when the interest was acquired and ending at the end of the day when the information is provided;</w:t>
      </w:r>
    </w:p>
    <w:p w14:paraId="5E22A521" w14:textId="77777777" w:rsidR="00D930D9" w:rsidRPr="00A058B6" w:rsidRDefault="00D421C7" w:rsidP="00D930D9">
      <w:pPr>
        <w:pStyle w:val="paragraph"/>
      </w:pPr>
      <w:r>
        <w:tab/>
        <w:t>(f)</w:t>
      </w:r>
      <w:r>
        <w:tab/>
      </w:r>
      <w:r w:rsidR="00D930D9" w:rsidRPr="00A058B6">
        <w:t>if the interest is in a regulated superannuation fund or an RSA:</w:t>
      </w:r>
    </w:p>
    <w:p w14:paraId="7225DB65" w14:textId="3A10E020" w:rsidR="00D930D9" w:rsidRPr="00A058B6" w:rsidRDefault="00D930D9" w:rsidP="00D930D9">
      <w:pPr>
        <w:pStyle w:val="paragraphsub"/>
      </w:pPr>
      <w:r w:rsidRPr="00A058B6">
        <w:tab/>
        <w:t>(i)</w:t>
      </w:r>
      <w:r w:rsidRPr="00A058B6">
        <w:tab/>
        <w:t>the amount of restricted non</w:t>
      </w:r>
      <w:r w:rsidR="001952B3">
        <w:noBreakHyphen/>
      </w:r>
      <w:r w:rsidRPr="00A058B6">
        <w:t>preserved benefits that had accrued to the member, and would be payable to the member, if the member were to resign from the member’s employment on the date when the information is provided; and</w:t>
      </w:r>
    </w:p>
    <w:p w14:paraId="315EADEC" w14:textId="3AC821DC" w:rsidR="00D930D9" w:rsidRPr="00A058B6" w:rsidRDefault="00D930D9" w:rsidP="00D930D9">
      <w:pPr>
        <w:pStyle w:val="paragraphsub"/>
      </w:pPr>
      <w:r w:rsidRPr="00A058B6">
        <w:tab/>
        <w:t>(ii)</w:t>
      </w:r>
      <w:r w:rsidRPr="00A058B6">
        <w:tab/>
        <w:t>the amount (if any) of the member’s unrestricted non</w:t>
      </w:r>
      <w:r w:rsidR="001952B3">
        <w:noBreakHyphen/>
      </w:r>
      <w:r w:rsidRPr="00A058B6">
        <w:t>preserved benefits;</w:t>
      </w:r>
    </w:p>
    <w:p w14:paraId="184316DF" w14:textId="4FD22F50" w:rsidR="00D930D9" w:rsidRPr="00A058B6" w:rsidRDefault="00D421C7" w:rsidP="00D930D9">
      <w:pPr>
        <w:pStyle w:val="paragraph"/>
      </w:pPr>
      <w:r>
        <w:tab/>
        <w:t>(g)</w:t>
      </w:r>
      <w:r>
        <w:tab/>
      </w:r>
      <w:r w:rsidR="00D930D9" w:rsidRPr="00A058B6">
        <w:t>if the interest is in an approved deposit fund—the amount, at the date when the information is provided, of the member’s unrestricted non</w:t>
      </w:r>
      <w:r w:rsidR="001952B3">
        <w:noBreakHyphen/>
      </w:r>
      <w:r w:rsidR="00D930D9" w:rsidRPr="00A058B6">
        <w:t>preserved benefits;</w:t>
      </w:r>
    </w:p>
    <w:p w14:paraId="60D11E36" w14:textId="77777777" w:rsidR="00D930D9" w:rsidRPr="00A058B6" w:rsidRDefault="00D421C7" w:rsidP="00D930D9">
      <w:pPr>
        <w:pStyle w:val="paragraph"/>
      </w:pPr>
      <w:r>
        <w:tab/>
        <w:t>(h)</w:t>
      </w:r>
      <w:r>
        <w:tab/>
      </w:r>
      <w:r w:rsidR="00D930D9" w:rsidRPr="00A058B6">
        <w:t>if:</w:t>
      </w:r>
    </w:p>
    <w:p w14:paraId="5180D61B" w14:textId="77777777" w:rsidR="00D930D9" w:rsidRPr="00A058B6" w:rsidRDefault="00D930D9" w:rsidP="00D930D9">
      <w:pPr>
        <w:pStyle w:val="paragraphsub"/>
      </w:pPr>
      <w:r w:rsidRPr="00A058B6">
        <w:tab/>
        <w:t>(i)</w:t>
      </w:r>
      <w:r w:rsidRPr="00A058B6">
        <w:tab/>
        <w:t xml:space="preserve">a payment that would have been a superannuation lump sum (within the meaning of the </w:t>
      </w:r>
      <w:r w:rsidRPr="00A058B6">
        <w:rPr>
          <w:i/>
        </w:rPr>
        <w:t>Income Tax Assessment Act 1997</w:t>
      </w:r>
      <w:r w:rsidRPr="00A058B6">
        <w:t>) had been made in respect of the interest at the date when the information is provided; and</w:t>
      </w:r>
    </w:p>
    <w:p w14:paraId="56A2B781" w14:textId="77777777" w:rsidR="00D930D9" w:rsidRPr="00A058B6" w:rsidRDefault="00D930D9" w:rsidP="00D930D9">
      <w:pPr>
        <w:pStyle w:val="paragraphsub"/>
      </w:pPr>
      <w:r w:rsidRPr="00A058B6">
        <w:tab/>
        <w:t>(ii)</w:t>
      </w:r>
      <w:r w:rsidRPr="00A058B6">
        <w:tab/>
        <w:t>the amount of the payment had been the amount payable to the member if the member had voluntarily ceased to be a member of the plan;</w:t>
      </w:r>
    </w:p>
    <w:p w14:paraId="3B66A6B5" w14:textId="77777777" w:rsidR="00677449" w:rsidRDefault="00677449" w:rsidP="00677449">
      <w:pPr>
        <w:pStyle w:val="paragraph"/>
      </w:pPr>
      <w:r w:rsidRPr="00A058B6">
        <w:tab/>
      </w:r>
      <w:r w:rsidRPr="00A058B6">
        <w:tab/>
      </w:r>
      <w:r>
        <w:t>the value:</w:t>
      </w:r>
    </w:p>
    <w:p w14:paraId="6C16353C" w14:textId="0AFB4861" w:rsidR="00677449" w:rsidRDefault="00677449" w:rsidP="00677449">
      <w:pPr>
        <w:pStyle w:val="paragraphsub"/>
      </w:pPr>
      <w:r>
        <w:tab/>
        <w:t>(iii)</w:t>
      </w:r>
      <w:r>
        <w:tab/>
        <w:t xml:space="preserve">that each of </w:t>
      </w:r>
      <w:r w:rsidRPr="00A058B6">
        <w:t xml:space="preserve">the components of the superannuation lump sum would have had under </w:t>
      </w:r>
      <w:r w:rsidR="00E62545">
        <w:t>Subdivision 3</w:t>
      </w:r>
      <w:r w:rsidRPr="00A058B6">
        <w:t>07</w:t>
      </w:r>
      <w:r w:rsidR="001952B3">
        <w:noBreakHyphen/>
      </w:r>
      <w:r w:rsidRPr="00A058B6">
        <w:t>C of that Act;</w:t>
      </w:r>
      <w:r>
        <w:t xml:space="preserve"> and</w:t>
      </w:r>
    </w:p>
    <w:p w14:paraId="2B052394" w14:textId="5CD85616" w:rsidR="00677449" w:rsidRPr="00A058B6" w:rsidRDefault="00677449" w:rsidP="00677449">
      <w:pPr>
        <w:pStyle w:val="paragraphsub"/>
      </w:pPr>
      <w:r>
        <w:tab/>
        <w:t>(iv)</w:t>
      </w:r>
      <w:r>
        <w:tab/>
        <w:t xml:space="preserve">that each of the elements of the taxable component would have had under </w:t>
      </w:r>
      <w:r w:rsidR="00E62545">
        <w:t>Subdivision 3</w:t>
      </w:r>
      <w:r>
        <w:t>07</w:t>
      </w:r>
      <w:r w:rsidR="001952B3">
        <w:noBreakHyphen/>
      </w:r>
      <w:r>
        <w:t>E of that Act (if applicable);</w:t>
      </w:r>
    </w:p>
    <w:p w14:paraId="7F32A414" w14:textId="631D696A" w:rsidR="00D930D9" w:rsidRPr="00A058B6" w:rsidRDefault="00D421C7" w:rsidP="00D930D9">
      <w:pPr>
        <w:pStyle w:val="paragraph"/>
      </w:pPr>
      <w:r>
        <w:tab/>
        <w:t>(i)</w:t>
      </w:r>
      <w:r>
        <w:tab/>
      </w:r>
      <w:r w:rsidR="00D930D9" w:rsidRPr="00A058B6">
        <w:t xml:space="preserve">if the trustee has given information under </w:t>
      </w:r>
      <w:r w:rsidR="00453C86">
        <w:t>Division 2</w:t>
      </w:r>
      <w:r w:rsidR="00D7157D">
        <w:t>.</w:t>
      </w:r>
      <w:r w:rsidR="00D930D9" w:rsidRPr="00A058B6">
        <w:t>5 of the SIS Regulations to each member of the plan that the plan is to be reconstructed or terminated—a statement to this effect</w:t>
      </w:r>
      <w:r w:rsidR="00D7157D">
        <w:t>.</w:t>
      </w:r>
    </w:p>
    <w:p w14:paraId="54CD7FC3" w14:textId="6FCC5329" w:rsidR="00D930D9" w:rsidRPr="00A058B6" w:rsidRDefault="00D930D9" w:rsidP="00D930D9">
      <w:pPr>
        <w:pStyle w:val="notetext"/>
      </w:pPr>
      <w:r w:rsidRPr="00A058B6">
        <w:t>Note 1:</w:t>
      </w:r>
      <w:r w:rsidRPr="00A058B6">
        <w:tab/>
        <w:t xml:space="preserve">For </w:t>
      </w:r>
      <w:r w:rsidR="00453C86">
        <w:t>paragraph (</w:t>
      </w:r>
      <w:r w:rsidRPr="00A058B6">
        <w:t xml:space="preserve">a), the trustee is not required to provide this information unless a record of it is in the trustee’s possession, power or control (see </w:t>
      </w:r>
      <w:r w:rsidR="00CB78B9">
        <w:t>paragraph 1</w:t>
      </w:r>
      <w:r w:rsidR="00485CC2">
        <w:t>09</w:t>
      </w:r>
      <w:r w:rsidRPr="00A058B6">
        <w:t>(1)(c))</w:t>
      </w:r>
      <w:r w:rsidR="00D7157D">
        <w:t>.</w:t>
      </w:r>
    </w:p>
    <w:p w14:paraId="6AAB3647" w14:textId="531AF0BA" w:rsidR="00D930D9" w:rsidRPr="00A058B6" w:rsidRDefault="00D930D9" w:rsidP="00D930D9">
      <w:pPr>
        <w:pStyle w:val="notetext"/>
      </w:pPr>
      <w:r w:rsidRPr="00A058B6">
        <w:t>Note 2:</w:t>
      </w:r>
      <w:r w:rsidRPr="00A058B6">
        <w:tab/>
        <w:t xml:space="preserve">For </w:t>
      </w:r>
      <w:r w:rsidR="00453C86">
        <w:t>paragraph (</w:t>
      </w:r>
      <w:r w:rsidR="008E33C5">
        <w:t>b</w:t>
      </w:r>
      <w:r w:rsidRPr="00A058B6">
        <w:t>), (</w:t>
      </w:r>
      <w:r w:rsidR="008E33C5">
        <w:t>c</w:t>
      </w:r>
      <w:r w:rsidRPr="00A058B6">
        <w:t>), (</w:t>
      </w:r>
      <w:r w:rsidR="008E33C5">
        <w:t>d</w:t>
      </w:r>
      <w:r w:rsidRPr="00A058B6">
        <w:t>) or (</w:t>
      </w:r>
      <w:r w:rsidR="008E33C5">
        <w:t>e</w:t>
      </w:r>
      <w:r w:rsidRPr="00A058B6">
        <w:t xml:space="preserve">), the trustee is required to provide the information mentioned in these paragraphs in certain circumstances only (see </w:t>
      </w:r>
      <w:r w:rsidR="00CB78B9">
        <w:t>paragraph 1</w:t>
      </w:r>
      <w:r w:rsidR="00485CC2">
        <w:t>09</w:t>
      </w:r>
      <w:r w:rsidRPr="00A058B6">
        <w:t>(1)(d))</w:t>
      </w:r>
      <w:r w:rsidR="00D7157D">
        <w:t>.</w:t>
      </w:r>
    </w:p>
    <w:p w14:paraId="61E8779D" w14:textId="7299BA2D" w:rsidR="00D930D9" w:rsidRPr="00A058B6" w:rsidRDefault="00485CC2" w:rsidP="00D930D9">
      <w:pPr>
        <w:pStyle w:val="ActHead5"/>
      </w:pPr>
      <w:bookmarkStart w:id="159" w:name="_Toc188350644"/>
      <w:r w:rsidRPr="00423C34">
        <w:rPr>
          <w:rStyle w:val="CharSectno"/>
        </w:rPr>
        <w:t>107</w:t>
      </w:r>
      <w:r w:rsidR="00D930D9" w:rsidRPr="00A058B6">
        <w:t xml:space="preserve">  Specific information—the interest is in the growth phase, and is a partially vested accumulation interest</w:t>
      </w:r>
      <w:bookmarkEnd w:id="159"/>
    </w:p>
    <w:p w14:paraId="2E41B99F" w14:textId="280CF0EB" w:rsidR="00D930D9" w:rsidRPr="00A058B6" w:rsidRDefault="00D930D9" w:rsidP="00D930D9">
      <w:pPr>
        <w:pStyle w:val="subsection"/>
      </w:pPr>
      <w:r w:rsidRPr="00A058B6">
        <w:tab/>
        <w:t>(1)</w:t>
      </w:r>
      <w:r w:rsidRPr="00A058B6">
        <w:tab/>
        <w:t xml:space="preserve">For the purposes of </w:t>
      </w:r>
      <w:r w:rsidR="00CB78B9">
        <w:t>subparagraph 1</w:t>
      </w:r>
      <w:r w:rsidR="00485CC2">
        <w:t>04</w:t>
      </w:r>
      <w:r w:rsidRPr="00A058B6">
        <w:t>(1)(</w:t>
      </w:r>
      <w:r w:rsidR="0070730A">
        <w:t>g</w:t>
      </w:r>
      <w:r w:rsidRPr="00A058B6">
        <w:t>)(ii), the growth phase information for the superannuation interest is as follows:</w:t>
      </w:r>
    </w:p>
    <w:p w14:paraId="2A7ADEB5" w14:textId="77777777" w:rsidR="00D930D9" w:rsidRPr="00A058B6" w:rsidRDefault="005C6E33" w:rsidP="00D930D9">
      <w:pPr>
        <w:pStyle w:val="paragraph"/>
      </w:pPr>
      <w:r>
        <w:tab/>
        <w:t>(a)</w:t>
      </w:r>
      <w:r>
        <w:tab/>
      </w:r>
      <w:r w:rsidR="00D930D9" w:rsidRPr="00A058B6">
        <w:t>the value of the benefits (before any taxes or other charges have been deducted) that would have been payable in respect of the interest at the appropriate date if the member spouse had voluntarily ceased to be a member of the plan at that date;</w:t>
      </w:r>
    </w:p>
    <w:p w14:paraId="46BE8658" w14:textId="77777777" w:rsidR="00D930D9" w:rsidRPr="00A058B6" w:rsidRDefault="005C6E33" w:rsidP="00D930D9">
      <w:pPr>
        <w:pStyle w:val="paragraph"/>
      </w:pPr>
      <w:r>
        <w:tab/>
        <w:t>(b)</w:t>
      </w:r>
      <w:r>
        <w:tab/>
      </w:r>
      <w:r w:rsidR="00D930D9" w:rsidRPr="00A058B6">
        <w:t>a statement:</w:t>
      </w:r>
    </w:p>
    <w:p w14:paraId="1634A77A" w14:textId="6E5B7AE7" w:rsidR="00D930D9" w:rsidRPr="00A058B6" w:rsidRDefault="00D930D9" w:rsidP="00D930D9">
      <w:pPr>
        <w:pStyle w:val="paragraphsub"/>
      </w:pPr>
      <w:r w:rsidRPr="00A058B6">
        <w:tab/>
        <w:t>(i)</w:t>
      </w:r>
      <w:r w:rsidRPr="00A058B6">
        <w:tab/>
        <w:t xml:space="preserve">indicating whether the Minister has approved, under </w:t>
      </w:r>
      <w:r w:rsidR="00CB78B9">
        <w:t>section 6</w:t>
      </w:r>
      <w:r w:rsidR="00485CC2">
        <w:t>2</w:t>
      </w:r>
      <w:r w:rsidRPr="00A058B6">
        <w:t>, a method or factors for determining the gross value of the interest; and</w:t>
      </w:r>
    </w:p>
    <w:p w14:paraId="7D09AE10" w14:textId="77777777" w:rsidR="00D930D9" w:rsidRPr="00A058B6" w:rsidRDefault="00D930D9" w:rsidP="00D930D9">
      <w:pPr>
        <w:pStyle w:val="paragraphsub"/>
      </w:pPr>
      <w:r w:rsidRPr="00A058B6">
        <w:tab/>
        <w:t>(ii)</w:t>
      </w:r>
      <w:r w:rsidRPr="00A058B6">
        <w:tab/>
        <w:t>giving details of any method or factors so approved;</w:t>
      </w:r>
    </w:p>
    <w:p w14:paraId="7767853C" w14:textId="77777777" w:rsidR="00D930D9" w:rsidRPr="00A058B6" w:rsidRDefault="005C6E33" w:rsidP="00D930D9">
      <w:pPr>
        <w:pStyle w:val="paragraph"/>
      </w:pPr>
      <w:r>
        <w:tab/>
        <w:t>(c)</w:t>
      </w:r>
      <w:r>
        <w:tab/>
      </w:r>
      <w:r w:rsidR="00D930D9" w:rsidRPr="00A058B6">
        <w:t>if the application for information specifically requests the trustee to provide it and the trustee chooses to do so—the gross value of the interest at the appropriate date</w:t>
      </w:r>
      <w:r w:rsidR="00D930D9">
        <w:t xml:space="preserve"> </w:t>
      </w:r>
      <w:r w:rsidR="00D930D9" w:rsidRPr="00A058B6">
        <w:t>determined in accordance with:</w:t>
      </w:r>
    </w:p>
    <w:p w14:paraId="596F3E84" w14:textId="77777777" w:rsidR="00D930D9" w:rsidRPr="00A058B6" w:rsidRDefault="00D930D9" w:rsidP="00D930D9">
      <w:pPr>
        <w:pStyle w:val="paragraphsub"/>
      </w:pPr>
      <w:r w:rsidRPr="00A058B6">
        <w:tab/>
        <w:t>(i)</w:t>
      </w:r>
      <w:r w:rsidRPr="00A058B6">
        <w:tab/>
        <w:t>Schedule </w:t>
      </w:r>
      <w:r w:rsidR="00C77148">
        <w:t>4</w:t>
      </w:r>
      <w:r w:rsidRPr="00A058B6">
        <w:t>; or</w:t>
      </w:r>
    </w:p>
    <w:p w14:paraId="1BBE2133" w14:textId="3DBA34D8" w:rsidR="00D930D9" w:rsidRPr="00A058B6" w:rsidRDefault="00D930D9" w:rsidP="00D930D9">
      <w:pPr>
        <w:pStyle w:val="paragraphsub"/>
      </w:pPr>
      <w:r w:rsidRPr="00A058B6">
        <w:tab/>
        <w:t>(ii)</w:t>
      </w:r>
      <w:r w:rsidRPr="00A058B6">
        <w:tab/>
        <w:t xml:space="preserve">a method or factors approved by the Minister under </w:t>
      </w:r>
      <w:r w:rsidR="00CB78B9">
        <w:t>section 6</w:t>
      </w:r>
      <w:r w:rsidR="00485CC2">
        <w:t>2</w:t>
      </w:r>
      <w:r>
        <w:t>;</w:t>
      </w:r>
    </w:p>
    <w:p w14:paraId="680C73CC" w14:textId="77777777" w:rsidR="00D930D9" w:rsidRPr="00A058B6" w:rsidRDefault="005C6E33" w:rsidP="00D930D9">
      <w:pPr>
        <w:pStyle w:val="paragraph"/>
      </w:pPr>
      <w:r>
        <w:tab/>
        <w:t>(d)</w:t>
      </w:r>
      <w:r>
        <w:tab/>
      </w:r>
      <w:r w:rsidR="00D930D9" w:rsidRPr="00A058B6">
        <w:t xml:space="preserve">if 2 or more member information statements for the member spouse and the interest have been provided to the member, and the appropriate date is between the valuation date stated in one statement (the </w:t>
      </w:r>
      <w:r w:rsidR="00D930D9" w:rsidRPr="00A058B6">
        <w:rPr>
          <w:b/>
          <w:bCs/>
          <w:i/>
          <w:iCs/>
        </w:rPr>
        <w:t>earlier statement</w:t>
      </w:r>
      <w:r w:rsidR="00D930D9" w:rsidRPr="00A058B6">
        <w:t xml:space="preserve">) and the valuation date stated in the next statement (the </w:t>
      </w:r>
      <w:r w:rsidR="00D930D9" w:rsidRPr="00A058B6">
        <w:rPr>
          <w:b/>
          <w:bCs/>
          <w:i/>
          <w:iCs/>
        </w:rPr>
        <w:t>next statement</w:t>
      </w:r>
      <w:r w:rsidR="00D930D9" w:rsidRPr="00A058B6">
        <w:t>):</w:t>
      </w:r>
    </w:p>
    <w:p w14:paraId="40C343E2" w14:textId="77777777" w:rsidR="00D930D9" w:rsidRPr="00A058B6" w:rsidRDefault="00D930D9" w:rsidP="00D930D9">
      <w:pPr>
        <w:pStyle w:val="paragraphsub"/>
      </w:pPr>
      <w:r w:rsidRPr="00A058B6">
        <w:tab/>
        <w:t>(i)</w:t>
      </w:r>
      <w:r w:rsidRPr="00A058B6">
        <w:tab/>
        <w:t>the value of the actual vested benefit in respect of the interest, as stated in the earlier statement; and</w:t>
      </w:r>
    </w:p>
    <w:p w14:paraId="1E1008B9" w14:textId="77777777" w:rsidR="00D930D9" w:rsidRPr="00A058B6" w:rsidRDefault="00D930D9" w:rsidP="00D930D9">
      <w:pPr>
        <w:pStyle w:val="paragraphsub"/>
      </w:pPr>
      <w:r w:rsidRPr="00A058B6">
        <w:tab/>
        <w:t>(ii)</w:t>
      </w:r>
      <w:r w:rsidRPr="00A058B6">
        <w:tab/>
        <w:t xml:space="preserve">if stated in the earlier statement, the </w:t>
      </w:r>
      <w:r w:rsidRPr="00A058B6">
        <w:rPr>
          <w:bCs/>
          <w:iCs/>
        </w:rPr>
        <w:t xml:space="preserve">total member credit </w:t>
      </w:r>
      <w:r w:rsidRPr="00A058B6">
        <w:t>at the valuation date stated in that statement; and</w:t>
      </w:r>
    </w:p>
    <w:p w14:paraId="682B6FF4" w14:textId="77777777" w:rsidR="00D930D9" w:rsidRPr="00A058B6" w:rsidRDefault="00D930D9" w:rsidP="00D930D9">
      <w:pPr>
        <w:pStyle w:val="paragraphsub"/>
      </w:pPr>
      <w:r w:rsidRPr="00A058B6">
        <w:tab/>
        <w:t>(iii)</w:t>
      </w:r>
      <w:r w:rsidRPr="00A058B6">
        <w:tab/>
        <w:t>the value of the actual vested benefit in respect of the interest, as stated in the next statement; and</w:t>
      </w:r>
    </w:p>
    <w:p w14:paraId="6572E02B" w14:textId="77777777" w:rsidR="00D930D9" w:rsidRPr="00A058B6" w:rsidRDefault="00D930D9" w:rsidP="00D930D9">
      <w:pPr>
        <w:pStyle w:val="paragraphsub"/>
      </w:pPr>
      <w:r w:rsidRPr="00A058B6">
        <w:tab/>
        <w:t>(iv)</w:t>
      </w:r>
      <w:r w:rsidRPr="00A058B6">
        <w:tab/>
        <w:t xml:space="preserve">if stated in the next statement, the </w:t>
      </w:r>
      <w:r w:rsidRPr="00A058B6">
        <w:rPr>
          <w:bCs/>
          <w:iCs/>
        </w:rPr>
        <w:t xml:space="preserve">total member credit </w:t>
      </w:r>
      <w:r w:rsidRPr="00A058B6">
        <w:t>at the valuation date stated in that statement; and</w:t>
      </w:r>
    </w:p>
    <w:p w14:paraId="030ECD7B" w14:textId="77777777" w:rsidR="00D930D9" w:rsidRPr="00A058B6" w:rsidRDefault="00D930D9" w:rsidP="00D930D9">
      <w:pPr>
        <w:pStyle w:val="paragraphsub"/>
      </w:pPr>
      <w:r w:rsidRPr="00A058B6">
        <w:tab/>
        <w:t>(v)</w:t>
      </w:r>
      <w:r w:rsidRPr="00A058B6">
        <w:tab/>
        <w:t>the amount, and the date, of any rollover or transfer by the member, or partial payment to the member, in the period beginning on the day after the valuation date stated in the earlier statement and ending at the end of the valuation date stated in the next statement;</w:t>
      </w:r>
    </w:p>
    <w:p w14:paraId="69EDA4D3" w14:textId="77777777" w:rsidR="00D930D9" w:rsidRPr="00A058B6" w:rsidRDefault="005C6E33" w:rsidP="00D930D9">
      <w:pPr>
        <w:pStyle w:val="paragraph"/>
      </w:pPr>
      <w:r>
        <w:tab/>
        <w:t>(e)</w:t>
      </w:r>
      <w:r>
        <w:tab/>
      </w:r>
      <w:r w:rsidR="00D930D9" w:rsidRPr="00A058B6">
        <w:t xml:space="preserve">if at least one member information statement for the member spouse and the interest has been provided to the member, and the appropriate date is before the valuation date stated in the first member information statement provided to the member (the </w:t>
      </w:r>
      <w:r w:rsidR="00D930D9" w:rsidRPr="00A058B6">
        <w:rPr>
          <w:b/>
          <w:i/>
        </w:rPr>
        <w:t>first statement</w:t>
      </w:r>
      <w:r w:rsidR="00D930D9" w:rsidRPr="00A058B6">
        <w:t>):</w:t>
      </w:r>
    </w:p>
    <w:p w14:paraId="5CD914E2" w14:textId="77777777" w:rsidR="00D930D9" w:rsidRPr="00A058B6" w:rsidRDefault="00D930D9" w:rsidP="00D930D9">
      <w:pPr>
        <w:pStyle w:val="paragraphsub"/>
      </w:pPr>
      <w:r w:rsidRPr="00A058B6">
        <w:tab/>
        <w:t>(i)</w:t>
      </w:r>
      <w:r w:rsidRPr="00A058B6">
        <w:tab/>
        <w:t>the value of the actual vested benefit in respect of the interest, as stated in the first statement; and</w:t>
      </w:r>
    </w:p>
    <w:p w14:paraId="0F0317F8" w14:textId="77777777" w:rsidR="00D930D9" w:rsidRPr="00A058B6" w:rsidRDefault="00D930D9" w:rsidP="00D930D9">
      <w:pPr>
        <w:pStyle w:val="paragraphsub"/>
      </w:pPr>
      <w:r w:rsidRPr="00A058B6">
        <w:tab/>
        <w:t>(ii)</w:t>
      </w:r>
      <w:r w:rsidRPr="00A058B6">
        <w:tab/>
        <w:t xml:space="preserve">if stated in the first statement, the </w:t>
      </w:r>
      <w:r w:rsidRPr="00A058B6">
        <w:rPr>
          <w:bCs/>
          <w:iCs/>
        </w:rPr>
        <w:t xml:space="preserve">total member credit </w:t>
      </w:r>
      <w:r w:rsidRPr="00A058B6">
        <w:t>at the valuation date stated in that statement; and</w:t>
      </w:r>
    </w:p>
    <w:p w14:paraId="04BB2DDC" w14:textId="77777777" w:rsidR="00D930D9" w:rsidRPr="00A058B6" w:rsidRDefault="00D930D9" w:rsidP="00D930D9">
      <w:pPr>
        <w:pStyle w:val="paragraphsub"/>
      </w:pPr>
      <w:r w:rsidRPr="00A058B6">
        <w:tab/>
        <w:t>(iii)</w:t>
      </w:r>
      <w:r w:rsidRPr="00A058B6">
        <w:tab/>
        <w:t>the value of the actual vested benefit in respect of the interest at the date when the interest was acquired; and</w:t>
      </w:r>
    </w:p>
    <w:p w14:paraId="1BDAFD35" w14:textId="77777777" w:rsidR="00D930D9" w:rsidRPr="00A058B6" w:rsidRDefault="00D930D9" w:rsidP="00D930D9">
      <w:pPr>
        <w:pStyle w:val="paragraphsub"/>
      </w:pPr>
      <w:r w:rsidRPr="00A058B6">
        <w:tab/>
        <w:t>(iv)</w:t>
      </w:r>
      <w:r w:rsidRPr="00A058B6">
        <w:tab/>
        <w:t xml:space="preserve">the </w:t>
      </w:r>
      <w:r w:rsidRPr="00A058B6">
        <w:rPr>
          <w:bCs/>
          <w:iCs/>
        </w:rPr>
        <w:t xml:space="preserve">total member credit </w:t>
      </w:r>
      <w:r w:rsidRPr="00A058B6">
        <w:t>at the date when the interest was acquired; and</w:t>
      </w:r>
    </w:p>
    <w:p w14:paraId="3B309B24" w14:textId="77777777" w:rsidR="00D930D9" w:rsidRPr="00A058B6" w:rsidRDefault="00D930D9" w:rsidP="00D930D9">
      <w:pPr>
        <w:pStyle w:val="paragraphsub"/>
      </w:pPr>
      <w:r w:rsidRPr="00A058B6">
        <w:tab/>
        <w:t>(v)</w:t>
      </w:r>
      <w:r w:rsidRPr="00A058B6">
        <w:tab/>
        <w:t>the amount, and the date, of any rollover or transfer by the member, or partial payment to the member, in the period beginning on the date when the interest was acquired and ending at the end of the valuation date stated in the first statement;</w:t>
      </w:r>
    </w:p>
    <w:p w14:paraId="52BC9975" w14:textId="77777777" w:rsidR="00D930D9" w:rsidRPr="00A058B6" w:rsidRDefault="005C6E33" w:rsidP="00D930D9">
      <w:pPr>
        <w:pStyle w:val="paragraph"/>
      </w:pPr>
      <w:r>
        <w:tab/>
        <w:t>(f)</w:t>
      </w:r>
      <w:r>
        <w:tab/>
      </w:r>
      <w:r w:rsidR="00D930D9" w:rsidRPr="00A058B6">
        <w:t>if at least one member information statement for the member spouse and the interest has been provided to the member, and the appropriate date is after the valuation date stated in the most recent statement:</w:t>
      </w:r>
    </w:p>
    <w:p w14:paraId="2857EE21" w14:textId="77777777" w:rsidR="00D930D9" w:rsidRPr="00A058B6" w:rsidRDefault="00D930D9" w:rsidP="00D930D9">
      <w:pPr>
        <w:pStyle w:val="paragraphsub"/>
      </w:pPr>
      <w:r w:rsidRPr="00A058B6">
        <w:tab/>
        <w:t>(i)</w:t>
      </w:r>
      <w:r w:rsidRPr="00A058B6">
        <w:tab/>
        <w:t>the value of the actual vested benefit in respect of the interest, as stated in the most recent statement; and</w:t>
      </w:r>
    </w:p>
    <w:p w14:paraId="50572C8C" w14:textId="77777777" w:rsidR="00D930D9" w:rsidRPr="00A058B6" w:rsidRDefault="00D930D9" w:rsidP="00D930D9">
      <w:pPr>
        <w:pStyle w:val="paragraphsub"/>
      </w:pPr>
      <w:r w:rsidRPr="00A058B6">
        <w:tab/>
        <w:t>(ii)</w:t>
      </w:r>
      <w:r w:rsidRPr="00A058B6">
        <w:tab/>
        <w:t xml:space="preserve">if stated in the most recent statement, the </w:t>
      </w:r>
      <w:r w:rsidRPr="00A058B6">
        <w:rPr>
          <w:bCs/>
          <w:iCs/>
        </w:rPr>
        <w:t xml:space="preserve">total member credit </w:t>
      </w:r>
      <w:r w:rsidRPr="00A058B6">
        <w:t>at the valuation date stated in that statement; and</w:t>
      </w:r>
    </w:p>
    <w:p w14:paraId="3B54D86B" w14:textId="77777777" w:rsidR="00D930D9" w:rsidRPr="00A058B6" w:rsidRDefault="00D930D9" w:rsidP="00D930D9">
      <w:pPr>
        <w:pStyle w:val="paragraphsub"/>
      </w:pPr>
      <w:r w:rsidRPr="00A058B6">
        <w:tab/>
        <w:t>(iii)</w:t>
      </w:r>
      <w:r w:rsidRPr="00A058B6">
        <w:tab/>
        <w:t>the value of the actual vested benefit in respect of the interest at the date when the information is provided; and</w:t>
      </w:r>
    </w:p>
    <w:p w14:paraId="40FF4761" w14:textId="77777777" w:rsidR="00D930D9" w:rsidRPr="00A058B6" w:rsidRDefault="00D930D9" w:rsidP="00D930D9">
      <w:pPr>
        <w:pStyle w:val="paragraphsub"/>
      </w:pPr>
      <w:r w:rsidRPr="00A058B6">
        <w:tab/>
        <w:t>(iv)</w:t>
      </w:r>
      <w:r w:rsidRPr="00A058B6">
        <w:tab/>
        <w:t xml:space="preserve">the </w:t>
      </w:r>
      <w:r w:rsidRPr="00A058B6">
        <w:rPr>
          <w:bCs/>
          <w:iCs/>
        </w:rPr>
        <w:t xml:space="preserve">total member credit </w:t>
      </w:r>
      <w:r w:rsidRPr="00A058B6">
        <w:t>at the date when the information is provided; and</w:t>
      </w:r>
    </w:p>
    <w:p w14:paraId="1C622B28" w14:textId="77777777" w:rsidR="00D930D9" w:rsidRPr="00A058B6" w:rsidRDefault="00D930D9" w:rsidP="00D930D9">
      <w:pPr>
        <w:pStyle w:val="paragraphsub"/>
      </w:pPr>
      <w:r w:rsidRPr="00A058B6">
        <w:tab/>
        <w:t>(v)</w:t>
      </w:r>
      <w:r w:rsidRPr="00A058B6">
        <w:tab/>
        <w:t>the amount, and the date, of any rollover or transfer by the member, or partial payment to the member, in the period beginning on the day after the valuation date stated in the most recent statement and ending at the end of the day when the information is provided;</w:t>
      </w:r>
    </w:p>
    <w:p w14:paraId="7D1E6BFA" w14:textId="77777777" w:rsidR="00D930D9" w:rsidRPr="00A058B6" w:rsidRDefault="005C6E33" w:rsidP="00D930D9">
      <w:pPr>
        <w:pStyle w:val="paragraph"/>
      </w:pPr>
      <w:r>
        <w:tab/>
        <w:t>(g)</w:t>
      </w:r>
      <w:r>
        <w:tab/>
      </w:r>
      <w:r w:rsidR="00D930D9" w:rsidRPr="00A058B6">
        <w:t>if no member information statement for the member spouse and the interest has been provided to the member:</w:t>
      </w:r>
    </w:p>
    <w:p w14:paraId="13215CD8" w14:textId="77777777" w:rsidR="00D930D9" w:rsidRPr="00A058B6" w:rsidRDefault="00D930D9" w:rsidP="00D930D9">
      <w:pPr>
        <w:pStyle w:val="paragraphsub"/>
      </w:pPr>
      <w:r w:rsidRPr="00A058B6">
        <w:tab/>
        <w:t>(i)</w:t>
      </w:r>
      <w:r w:rsidRPr="00A058B6">
        <w:tab/>
        <w:t>the value of the actual vested benefit in respect of the interest at the date when the interest was acquired; and</w:t>
      </w:r>
    </w:p>
    <w:p w14:paraId="01F38A3D" w14:textId="77777777" w:rsidR="00D930D9" w:rsidRPr="00A058B6" w:rsidRDefault="00D930D9" w:rsidP="00D930D9">
      <w:pPr>
        <w:pStyle w:val="paragraphsub"/>
      </w:pPr>
      <w:r w:rsidRPr="00A058B6">
        <w:tab/>
        <w:t>(ii)</w:t>
      </w:r>
      <w:r w:rsidRPr="00A058B6">
        <w:tab/>
        <w:t xml:space="preserve">the </w:t>
      </w:r>
      <w:r w:rsidRPr="00A058B6">
        <w:rPr>
          <w:bCs/>
          <w:iCs/>
        </w:rPr>
        <w:t xml:space="preserve">total member credit </w:t>
      </w:r>
      <w:r w:rsidRPr="00A058B6">
        <w:t>at the date when the interest was acquired; and</w:t>
      </w:r>
    </w:p>
    <w:p w14:paraId="770AE960" w14:textId="77777777" w:rsidR="00D930D9" w:rsidRPr="00A058B6" w:rsidRDefault="00D930D9" w:rsidP="00D930D9">
      <w:pPr>
        <w:pStyle w:val="paragraphsub"/>
      </w:pPr>
      <w:r w:rsidRPr="00A058B6">
        <w:tab/>
        <w:t>(iii)</w:t>
      </w:r>
      <w:r w:rsidRPr="00A058B6">
        <w:tab/>
        <w:t>the value of the actual vested benefit in respect of the interest at the date when the information is provided; and</w:t>
      </w:r>
    </w:p>
    <w:p w14:paraId="78A7EFF3" w14:textId="77777777" w:rsidR="00D930D9" w:rsidRPr="00A058B6" w:rsidRDefault="00D930D9" w:rsidP="00D930D9">
      <w:pPr>
        <w:pStyle w:val="paragraphsub"/>
      </w:pPr>
      <w:r w:rsidRPr="00A058B6">
        <w:tab/>
        <w:t>(iv)</w:t>
      </w:r>
      <w:r w:rsidRPr="00A058B6">
        <w:tab/>
        <w:t xml:space="preserve">the </w:t>
      </w:r>
      <w:r w:rsidRPr="00A058B6">
        <w:rPr>
          <w:bCs/>
          <w:iCs/>
        </w:rPr>
        <w:t xml:space="preserve">total member credit </w:t>
      </w:r>
      <w:r w:rsidRPr="00A058B6">
        <w:t>at the date when the information is provided; and</w:t>
      </w:r>
    </w:p>
    <w:p w14:paraId="5DAD3995" w14:textId="77777777" w:rsidR="00D930D9" w:rsidRPr="00A058B6" w:rsidRDefault="00D930D9" w:rsidP="00D930D9">
      <w:pPr>
        <w:pStyle w:val="paragraphsub"/>
      </w:pPr>
      <w:r w:rsidRPr="00A058B6">
        <w:tab/>
        <w:t>(v)</w:t>
      </w:r>
      <w:r w:rsidRPr="00A058B6">
        <w:tab/>
        <w:t>the amount, and the date, of any rollover or transfer by the member, or any partial payment to the member, in the period beginning on the day after the date when the interest was acquired and ending at the end of the day when the information is provided;</w:t>
      </w:r>
    </w:p>
    <w:p w14:paraId="5986F027" w14:textId="77777777" w:rsidR="00D930D9" w:rsidRPr="00A058B6" w:rsidRDefault="005C6E33" w:rsidP="00D930D9">
      <w:pPr>
        <w:pStyle w:val="paragraph"/>
      </w:pPr>
      <w:r>
        <w:tab/>
        <w:t>(h)</w:t>
      </w:r>
      <w:r>
        <w:tab/>
      </w:r>
      <w:r w:rsidR="00D930D9" w:rsidRPr="00A058B6">
        <w:t>the vesting term that applies to the interest;</w:t>
      </w:r>
    </w:p>
    <w:p w14:paraId="28B7FF02" w14:textId="77777777" w:rsidR="00D930D9" w:rsidRPr="00A058B6" w:rsidRDefault="005C6E33" w:rsidP="00D930D9">
      <w:pPr>
        <w:pStyle w:val="paragraph"/>
      </w:pPr>
      <w:r>
        <w:tab/>
        <w:t>(i)</w:t>
      </w:r>
      <w:r>
        <w:tab/>
      </w:r>
      <w:r w:rsidR="00D930D9" w:rsidRPr="00A058B6">
        <w:t>the date when the vesting term commenced;</w:t>
      </w:r>
    </w:p>
    <w:p w14:paraId="35BEA65A" w14:textId="77777777" w:rsidR="00D930D9" w:rsidRPr="00A058B6" w:rsidRDefault="005C6E33" w:rsidP="00D930D9">
      <w:pPr>
        <w:pStyle w:val="paragraph"/>
      </w:pPr>
      <w:r>
        <w:tab/>
        <w:t>(j)</w:t>
      </w:r>
      <w:r>
        <w:tab/>
      </w:r>
      <w:r w:rsidR="00D930D9" w:rsidRPr="00A058B6">
        <w:t>if a member information statement for the member spouse and the interest that has been provided to the member does not include the total member credit at the valuation date stated in the statement—that information;</w:t>
      </w:r>
    </w:p>
    <w:p w14:paraId="6E008E21" w14:textId="77777777" w:rsidR="00D930D9" w:rsidRPr="00A058B6" w:rsidRDefault="005C6E33" w:rsidP="00D930D9">
      <w:pPr>
        <w:pStyle w:val="paragraph"/>
      </w:pPr>
      <w:r>
        <w:tab/>
        <w:t>(k)</w:t>
      </w:r>
      <w:r>
        <w:tab/>
      </w:r>
      <w:r w:rsidR="00D930D9" w:rsidRPr="00A058B6">
        <w:t>if the interest is in a regulated superannuation fund or an RSA:</w:t>
      </w:r>
    </w:p>
    <w:p w14:paraId="2659741D" w14:textId="20C7272D" w:rsidR="00D930D9" w:rsidRPr="00A058B6" w:rsidRDefault="00D930D9" w:rsidP="00D930D9">
      <w:pPr>
        <w:pStyle w:val="paragraphsub"/>
      </w:pPr>
      <w:r w:rsidRPr="00A058B6">
        <w:tab/>
        <w:t>(i)</w:t>
      </w:r>
      <w:r w:rsidRPr="00A058B6">
        <w:tab/>
        <w:t>the amount of restricted non</w:t>
      </w:r>
      <w:r w:rsidR="001952B3">
        <w:noBreakHyphen/>
      </w:r>
      <w:r w:rsidRPr="00A058B6">
        <w:t>preserved benefits that had accrued to the member, and would be payable to the member, if the member were to resign from the member’s employment on the date when the information is provided; and</w:t>
      </w:r>
    </w:p>
    <w:p w14:paraId="50C83435" w14:textId="35472CFE" w:rsidR="00D930D9" w:rsidRPr="00A058B6" w:rsidRDefault="00D930D9" w:rsidP="00D930D9">
      <w:pPr>
        <w:pStyle w:val="paragraphsub"/>
      </w:pPr>
      <w:r w:rsidRPr="00A058B6">
        <w:tab/>
        <w:t>(ii)</w:t>
      </w:r>
      <w:r w:rsidRPr="00A058B6">
        <w:tab/>
        <w:t>the amount (if any) of the member’s unrestricted non</w:t>
      </w:r>
      <w:r w:rsidR="001952B3">
        <w:noBreakHyphen/>
      </w:r>
      <w:r w:rsidRPr="00A058B6">
        <w:t>preserved benefits;</w:t>
      </w:r>
    </w:p>
    <w:p w14:paraId="2B87AD85" w14:textId="3DC6CDEF" w:rsidR="00D930D9" w:rsidRPr="00A058B6" w:rsidRDefault="005C6E33" w:rsidP="00D930D9">
      <w:pPr>
        <w:pStyle w:val="paragraph"/>
      </w:pPr>
      <w:r>
        <w:tab/>
        <w:t>(l)</w:t>
      </w:r>
      <w:r>
        <w:tab/>
      </w:r>
      <w:r w:rsidR="00D930D9" w:rsidRPr="00A058B6">
        <w:t>if the interest is in an approved deposit fund—the amount, at the date when the information is provided, of the member’s unrestricted non</w:t>
      </w:r>
      <w:r w:rsidR="001952B3">
        <w:noBreakHyphen/>
      </w:r>
      <w:r w:rsidR="00D930D9" w:rsidRPr="00A058B6">
        <w:t>preserved benefits;</w:t>
      </w:r>
    </w:p>
    <w:p w14:paraId="0F18A01C" w14:textId="77777777" w:rsidR="00D930D9" w:rsidRPr="00A058B6" w:rsidRDefault="005C6E33" w:rsidP="00D930D9">
      <w:pPr>
        <w:pStyle w:val="paragraph"/>
      </w:pPr>
      <w:r>
        <w:tab/>
        <w:t>(m)</w:t>
      </w:r>
      <w:r>
        <w:tab/>
      </w:r>
      <w:r w:rsidR="00D930D9" w:rsidRPr="00A058B6">
        <w:t>if:</w:t>
      </w:r>
    </w:p>
    <w:p w14:paraId="3EC30F04" w14:textId="77777777" w:rsidR="00D930D9" w:rsidRPr="00A058B6" w:rsidRDefault="00D930D9" w:rsidP="00D930D9">
      <w:pPr>
        <w:pStyle w:val="paragraphsub"/>
      </w:pPr>
      <w:r w:rsidRPr="00A058B6">
        <w:tab/>
        <w:t>(i)</w:t>
      </w:r>
      <w:r w:rsidRPr="00A058B6">
        <w:tab/>
        <w:t xml:space="preserve">a payment that would have been a superannuation lump sum (within the meaning of the </w:t>
      </w:r>
      <w:r w:rsidRPr="00A058B6">
        <w:rPr>
          <w:i/>
        </w:rPr>
        <w:t>Income Tax Assessment Act 1997</w:t>
      </w:r>
      <w:r w:rsidRPr="00A058B6">
        <w:t>)</w:t>
      </w:r>
      <w:r w:rsidRPr="00A058B6">
        <w:rPr>
          <w:i/>
        </w:rPr>
        <w:t xml:space="preserve"> </w:t>
      </w:r>
      <w:r w:rsidRPr="00A058B6">
        <w:t>had been made in respect of the interest at the date when the information is provided; and</w:t>
      </w:r>
    </w:p>
    <w:p w14:paraId="5C23D2CF" w14:textId="77777777" w:rsidR="00D930D9" w:rsidRPr="00A058B6" w:rsidRDefault="00D930D9" w:rsidP="00D930D9">
      <w:pPr>
        <w:pStyle w:val="paragraphsub"/>
      </w:pPr>
      <w:r w:rsidRPr="00A058B6">
        <w:tab/>
        <w:t>(ii)</w:t>
      </w:r>
      <w:r w:rsidRPr="00A058B6">
        <w:tab/>
        <w:t>the amount of the payment had been the amount payable to the member if the member had voluntarily ceased to be a member of the plan;</w:t>
      </w:r>
    </w:p>
    <w:p w14:paraId="655B3E8A" w14:textId="77777777" w:rsidR="00D15BED" w:rsidRDefault="00D15BED" w:rsidP="00D15BED">
      <w:pPr>
        <w:pStyle w:val="paragraph"/>
      </w:pPr>
      <w:r w:rsidRPr="00A058B6">
        <w:tab/>
      </w:r>
      <w:r w:rsidRPr="00A058B6">
        <w:tab/>
      </w:r>
      <w:r>
        <w:t>the value:</w:t>
      </w:r>
    </w:p>
    <w:p w14:paraId="787B312F" w14:textId="6EB3C019" w:rsidR="00D15BED" w:rsidRDefault="00D15BED" w:rsidP="00D15BED">
      <w:pPr>
        <w:pStyle w:val="paragraphsub"/>
      </w:pPr>
      <w:r>
        <w:tab/>
        <w:t>(iii)</w:t>
      </w:r>
      <w:r>
        <w:tab/>
        <w:t xml:space="preserve">that each of </w:t>
      </w:r>
      <w:r w:rsidRPr="00A058B6">
        <w:t xml:space="preserve">the components of the superannuation lump sum would have had under </w:t>
      </w:r>
      <w:r w:rsidR="00E62545">
        <w:t>Subdivision 3</w:t>
      </w:r>
      <w:r w:rsidRPr="00A058B6">
        <w:t>07</w:t>
      </w:r>
      <w:r w:rsidR="001952B3">
        <w:noBreakHyphen/>
      </w:r>
      <w:r w:rsidRPr="00A058B6">
        <w:t>C of that Act;</w:t>
      </w:r>
      <w:r>
        <w:t xml:space="preserve"> and</w:t>
      </w:r>
    </w:p>
    <w:p w14:paraId="291ADE59" w14:textId="4CB961A5" w:rsidR="00D15BED" w:rsidRPr="00A058B6" w:rsidRDefault="00D15BED" w:rsidP="00D15BED">
      <w:pPr>
        <w:pStyle w:val="paragraphsub"/>
      </w:pPr>
      <w:r>
        <w:tab/>
        <w:t>(iv)</w:t>
      </w:r>
      <w:r>
        <w:tab/>
        <w:t xml:space="preserve">that each of the elements of the taxable component would have had under </w:t>
      </w:r>
      <w:r w:rsidR="00E62545">
        <w:t>Subdivision 3</w:t>
      </w:r>
      <w:r>
        <w:t>07</w:t>
      </w:r>
      <w:r w:rsidR="001952B3">
        <w:noBreakHyphen/>
      </w:r>
      <w:r>
        <w:t>E of that Act (if applicable);</w:t>
      </w:r>
    </w:p>
    <w:p w14:paraId="06D0C2FE" w14:textId="1C58F39B" w:rsidR="00D930D9" w:rsidRPr="00A058B6" w:rsidRDefault="005C6E33" w:rsidP="00D930D9">
      <w:pPr>
        <w:pStyle w:val="paragraph"/>
      </w:pPr>
      <w:r>
        <w:tab/>
        <w:t>(n)</w:t>
      </w:r>
      <w:r>
        <w:tab/>
      </w:r>
      <w:r w:rsidR="00D930D9" w:rsidRPr="00A058B6">
        <w:t xml:space="preserve">if the trustee has given information under </w:t>
      </w:r>
      <w:r w:rsidR="00453C86">
        <w:t>Division 2</w:t>
      </w:r>
      <w:r w:rsidR="00D7157D">
        <w:t>.</w:t>
      </w:r>
      <w:r w:rsidR="00D930D9" w:rsidRPr="00A058B6">
        <w:t>5 of the SIS Regulations to each member of the plan that the plan is to be reconstructed or terminated—a statement to this effect</w:t>
      </w:r>
      <w:r w:rsidR="00D7157D">
        <w:t>.</w:t>
      </w:r>
    </w:p>
    <w:p w14:paraId="11D548C4" w14:textId="51510DCD" w:rsidR="00D930D9" w:rsidRPr="00A058B6" w:rsidRDefault="00D930D9" w:rsidP="00D930D9">
      <w:pPr>
        <w:pStyle w:val="notetext"/>
      </w:pPr>
      <w:r w:rsidRPr="00A058B6">
        <w:t>Note 1:</w:t>
      </w:r>
      <w:r w:rsidRPr="00A058B6">
        <w:tab/>
        <w:t xml:space="preserve">For </w:t>
      </w:r>
      <w:r w:rsidR="00453C86">
        <w:t>paragraph (</w:t>
      </w:r>
      <w:r w:rsidRPr="00A058B6">
        <w:t xml:space="preserve">a), the trustee is not required to provide this information unless a record of it is in the trustee’s possession, power or control (see </w:t>
      </w:r>
      <w:r w:rsidR="00CB78B9">
        <w:t>paragraph 1</w:t>
      </w:r>
      <w:r w:rsidR="00485CC2">
        <w:t>09</w:t>
      </w:r>
      <w:r w:rsidRPr="00A058B6">
        <w:t>(1)(c))</w:t>
      </w:r>
      <w:r w:rsidR="00D7157D">
        <w:t>.</w:t>
      </w:r>
    </w:p>
    <w:p w14:paraId="3E554D69" w14:textId="57308711" w:rsidR="00D930D9" w:rsidRPr="00A058B6" w:rsidRDefault="00D930D9" w:rsidP="00D930D9">
      <w:pPr>
        <w:pStyle w:val="notetext"/>
      </w:pPr>
      <w:r w:rsidRPr="00A058B6">
        <w:t>Note 2:</w:t>
      </w:r>
      <w:r w:rsidRPr="00A058B6">
        <w:tab/>
        <w:t xml:space="preserve">For </w:t>
      </w:r>
      <w:r w:rsidR="00453C86">
        <w:t>paragraph (</w:t>
      </w:r>
      <w:r w:rsidR="007C4318">
        <w:t>d</w:t>
      </w:r>
      <w:r w:rsidRPr="00A058B6">
        <w:t>), (</w:t>
      </w:r>
      <w:r w:rsidR="00275095">
        <w:t>e</w:t>
      </w:r>
      <w:r w:rsidRPr="00A058B6">
        <w:t>), (</w:t>
      </w:r>
      <w:r w:rsidR="00275095">
        <w:t>f</w:t>
      </w:r>
      <w:r w:rsidRPr="00A058B6">
        <w:t>) or (</w:t>
      </w:r>
      <w:r w:rsidR="00275095">
        <w:t>g</w:t>
      </w:r>
      <w:r w:rsidRPr="00A058B6">
        <w:t xml:space="preserve">), the trustee is required to provide the information mentioned in these paragraphs in certain circumstances only (see </w:t>
      </w:r>
      <w:r w:rsidR="00CB78B9">
        <w:t>paragraph 1</w:t>
      </w:r>
      <w:r w:rsidR="00485CC2">
        <w:t>09</w:t>
      </w:r>
      <w:r w:rsidRPr="00A058B6">
        <w:t>(1)(d))</w:t>
      </w:r>
      <w:r w:rsidR="00D7157D">
        <w:t>.</w:t>
      </w:r>
    </w:p>
    <w:p w14:paraId="44578B00" w14:textId="77777777" w:rsidR="00D930D9" w:rsidRPr="00A058B6" w:rsidRDefault="00D930D9" w:rsidP="00D930D9">
      <w:pPr>
        <w:pStyle w:val="subsection"/>
      </w:pPr>
      <w:r w:rsidRPr="00A058B6">
        <w:tab/>
        <w:t>(2)</w:t>
      </w:r>
      <w:r w:rsidRPr="00A058B6">
        <w:tab/>
        <w:t>If:</w:t>
      </w:r>
    </w:p>
    <w:p w14:paraId="6D7C66B3" w14:textId="77777777" w:rsidR="00D930D9" w:rsidRPr="00A058B6" w:rsidRDefault="005C6E33" w:rsidP="00D930D9">
      <w:pPr>
        <w:pStyle w:val="paragraph"/>
      </w:pPr>
      <w:r>
        <w:tab/>
        <w:t>(a)</w:t>
      </w:r>
      <w:r>
        <w:tab/>
      </w:r>
      <w:r w:rsidR="00D930D9" w:rsidRPr="00A058B6">
        <w:t>the trustee, in response to the application:</w:t>
      </w:r>
    </w:p>
    <w:p w14:paraId="587CC9DA" w14:textId="6D21EC39" w:rsidR="00D930D9" w:rsidRPr="00A058B6" w:rsidRDefault="00D930D9" w:rsidP="00D930D9">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6</w:t>
      </w:r>
      <w:r w:rsidR="00485CC2">
        <w:t>2</w:t>
      </w:r>
      <w:r w:rsidRPr="00A058B6">
        <w:t xml:space="preserve"> (see sub</w:t>
      </w:r>
      <w:r w:rsidR="00453C86">
        <w:t>paragraph (</w:t>
      </w:r>
      <w:r w:rsidRPr="00A058B6">
        <w:t>1)(</w:t>
      </w:r>
      <w:r w:rsidR="00275095">
        <w:t>c</w:t>
      </w:r>
      <w:r w:rsidRPr="00A058B6">
        <w:t>)(ii) of this section); but</w:t>
      </w:r>
    </w:p>
    <w:p w14:paraId="46588E88" w14:textId="77777777" w:rsidR="00D930D9" w:rsidRPr="00A058B6" w:rsidRDefault="00D930D9" w:rsidP="00D930D9">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4E60C52E" w14:textId="383A8A3A" w:rsidR="00D930D9" w:rsidRPr="00A058B6" w:rsidRDefault="005C6E33" w:rsidP="00D930D9">
      <w:pPr>
        <w:pStyle w:val="paragraph"/>
      </w:pPr>
      <w:r>
        <w:tab/>
        <w:t>(b)</w:t>
      </w:r>
      <w:r>
        <w:tab/>
      </w:r>
      <w:r w:rsidR="00D930D9" w:rsidRPr="00A058B6">
        <w:t xml:space="preserve">the applicant makes a further application </w:t>
      </w:r>
      <w:r w:rsidR="00A124A7">
        <w:t>that complies with</w:t>
      </w:r>
      <w:r w:rsidR="00D930D9">
        <w:t xml:space="preserve"> </w:t>
      </w:r>
      <w:r w:rsidR="00FE15C4">
        <w:t>subsection 9</w:t>
      </w:r>
      <w:r w:rsidR="00D930D9">
        <w:t>0XZB(3)</w:t>
      </w:r>
      <w:r w:rsidR="00D930D9" w:rsidRPr="00A058B6">
        <w:t xml:space="preserve"> or 90YZR(3) of the Act for further information that will enable the applicant to do so;</w:t>
      </w:r>
    </w:p>
    <w:p w14:paraId="71796461" w14:textId="78CD1303" w:rsidR="00D930D9" w:rsidRPr="00A058B6" w:rsidRDefault="00D930D9" w:rsidP="00D930D9">
      <w:pPr>
        <w:pStyle w:val="subsection2"/>
      </w:pPr>
      <w:r w:rsidRPr="00A058B6">
        <w:t xml:space="preserve">then, for the purposes of </w:t>
      </w:r>
      <w:r w:rsidR="00FE15C4">
        <w:t>subsection 9</w:t>
      </w:r>
      <w:r w:rsidRPr="00A058B6">
        <w:t>0XZB(3) or 90YZR(3) of the Act, that further information is information that must be provided by the trustee in response to the further application within a reasonable time</w:t>
      </w:r>
      <w:r w:rsidR="00D7157D">
        <w:t>.</w:t>
      </w:r>
    </w:p>
    <w:p w14:paraId="590CC1F1" w14:textId="4368A9A0" w:rsidR="00D930D9" w:rsidRPr="00A058B6" w:rsidRDefault="00D930D9" w:rsidP="00D930D9">
      <w:pPr>
        <w:pStyle w:val="notetext"/>
      </w:pPr>
      <w:r w:rsidRPr="00A058B6">
        <w:t>Note</w:t>
      </w:r>
      <w:r w:rsidR="00F3433B">
        <w:t xml:space="preserve"> 1</w:t>
      </w:r>
      <w:r w:rsidRPr="00A058B6">
        <w:t>:</w:t>
      </w:r>
      <w:r w:rsidRPr="00A058B6">
        <w:tab/>
        <w:t xml:space="preserve">This subsection applies to an interest if a determination has not been made under </w:t>
      </w:r>
      <w:r w:rsidR="00CB78B9">
        <w:t>subsection 1</w:t>
      </w:r>
      <w:r w:rsidR="00485CC2">
        <w:t>09</w:t>
      </w:r>
      <w:r w:rsidRPr="00A058B6">
        <w:t>(2) requiring the trustee to give information, not otherwise required under this section, which would enable the applicant to check if the gross value of the interest was correctly determined</w:t>
      </w:r>
      <w:r w:rsidR="00D7157D">
        <w:t>.</w:t>
      </w:r>
    </w:p>
    <w:p w14:paraId="5979192F" w14:textId="0DFB0180" w:rsidR="00A124A7" w:rsidRDefault="00A124A7" w:rsidP="00A124A7">
      <w:pPr>
        <w:pStyle w:val="notetext"/>
      </w:pPr>
      <w:r>
        <w:t>Note</w:t>
      </w:r>
      <w:r w:rsidR="00F3433B">
        <w:t xml:space="preserve"> 2</w:t>
      </w:r>
      <w:r>
        <w:t>:</w:t>
      </w:r>
      <w:r>
        <w:tab/>
        <w:t xml:space="preserve">For </w:t>
      </w:r>
      <w:r w:rsidR="00453C86">
        <w:t>paragraph (</w:t>
      </w:r>
      <w:r w:rsidR="00F3433B">
        <w:t>b</w:t>
      </w:r>
      <w:r>
        <w:t xml:space="preserve">), </w:t>
      </w:r>
      <w:r w:rsidR="00AF1E4E">
        <w:t>section 9</w:t>
      </w:r>
      <w:r>
        <w:t>0XZB or 90YZR of the Act does not prevent the applicant from making further applications, that comply with that section, for information about the superannuation interest</w:t>
      </w:r>
      <w:r w:rsidR="00D7157D">
        <w:t>.</w:t>
      </w:r>
    </w:p>
    <w:p w14:paraId="15C809BA" w14:textId="6A4A565D" w:rsidR="00D930D9" w:rsidRPr="00A058B6" w:rsidRDefault="00D930D9" w:rsidP="00D930D9">
      <w:pPr>
        <w:pStyle w:val="subsection"/>
      </w:pPr>
      <w:r w:rsidRPr="00A058B6">
        <w:tab/>
        <w:t>(3)</w:t>
      </w:r>
      <w:r w:rsidRPr="00A058B6">
        <w:tab/>
        <w:t>Sub</w:t>
      </w:r>
      <w:r w:rsidR="00CB78B9">
        <w:t>section 1</w:t>
      </w:r>
      <w:r w:rsidR="00485CC2">
        <w:t>40</w:t>
      </w:r>
      <w:r w:rsidRPr="00A058B6">
        <w:t xml:space="preserve">(2) applies to further information provided by the trustee to the applicant under </w:t>
      </w:r>
      <w:r w:rsidR="00A52DA5">
        <w:t>subsection (</w:t>
      </w:r>
      <w:r w:rsidRPr="00A058B6">
        <w:t>2) of this section</w:t>
      </w:r>
      <w:r w:rsidR="00D7157D">
        <w:t>.</w:t>
      </w:r>
    </w:p>
    <w:p w14:paraId="7EF8CE87" w14:textId="36F494CA" w:rsidR="00D930D9" w:rsidRPr="00A058B6" w:rsidRDefault="00485CC2" w:rsidP="00D930D9">
      <w:pPr>
        <w:pStyle w:val="ActHead5"/>
      </w:pPr>
      <w:bookmarkStart w:id="160" w:name="_Toc188350645"/>
      <w:r w:rsidRPr="00423C34">
        <w:rPr>
          <w:rStyle w:val="CharSectno"/>
        </w:rPr>
        <w:t>108</w:t>
      </w:r>
      <w:r w:rsidR="00D930D9" w:rsidRPr="00A058B6">
        <w:t xml:space="preserve">  Specific information—the interest is subject to a payment split or flag</w:t>
      </w:r>
      <w:bookmarkEnd w:id="160"/>
    </w:p>
    <w:p w14:paraId="2A1807F5" w14:textId="39CDE0CA" w:rsidR="00D930D9" w:rsidRPr="00A058B6" w:rsidRDefault="00D930D9" w:rsidP="00D930D9">
      <w:pPr>
        <w:pStyle w:val="subsection"/>
      </w:pPr>
      <w:r w:rsidRPr="00A058B6">
        <w:tab/>
      </w:r>
      <w:r w:rsidRPr="00A058B6">
        <w:tab/>
        <w:t xml:space="preserve">For the purposes of </w:t>
      </w:r>
      <w:r w:rsidR="00CB78B9">
        <w:t>paragraph 1</w:t>
      </w:r>
      <w:r w:rsidR="00485CC2">
        <w:t>04</w:t>
      </w:r>
      <w:r w:rsidRPr="00A058B6">
        <w:t>(1)(</w:t>
      </w:r>
      <w:r w:rsidR="0070730A">
        <w:t>c</w:t>
      </w:r>
      <w:r w:rsidRPr="00A058B6">
        <w:t>), the information that must be provided in relation to each payment split to which the superannuation interest is subject is as follows:</w:t>
      </w:r>
    </w:p>
    <w:p w14:paraId="76F5FFAB" w14:textId="77777777" w:rsidR="00D930D9" w:rsidRPr="00A058B6" w:rsidRDefault="00D930D9" w:rsidP="00D930D9">
      <w:pPr>
        <w:pStyle w:val="paragraph"/>
      </w:pPr>
      <w:r w:rsidRPr="00A058B6">
        <w:tab/>
        <w:t>(a)</w:t>
      </w:r>
      <w:r w:rsidRPr="00A058B6">
        <w:tab/>
        <w:t>the operative time for the payment split;</w:t>
      </w:r>
    </w:p>
    <w:p w14:paraId="565E2FC4" w14:textId="77777777" w:rsidR="00D930D9" w:rsidRPr="00A058B6" w:rsidRDefault="00D930D9" w:rsidP="00D930D9">
      <w:pPr>
        <w:pStyle w:val="paragraph"/>
      </w:pPr>
      <w:r w:rsidRPr="00A058B6">
        <w:tab/>
        <w:t>(b)</w:t>
      </w:r>
      <w:r w:rsidRPr="00A058B6">
        <w:tab/>
        <w:t>if:</w:t>
      </w:r>
    </w:p>
    <w:p w14:paraId="765B5ABA" w14:textId="31CDF6B8" w:rsidR="00D930D9" w:rsidRPr="00A058B6" w:rsidRDefault="00D930D9" w:rsidP="00D930D9">
      <w:pPr>
        <w:pStyle w:val="paragraphsub"/>
      </w:pPr>
      <w:r w:rsidRPr="00A058B6">
        <w:tab/>
        <w:t>(i)</w:t>
      </w:r>
      <w:r w:rsidRPr="00A058B6">
        <w:tab/>
        <w:t xml:space="preserve">the payment split is under </w:t>
      </w:r>
      <w:r w:rsidR="00FE15C4">
        <w:t>subparagraph 9</w:t>
      </w:r>
      <w:r w:rsidRPr="00A058B6">
        <w:t xml:space="preserve">0XJ(1)(c)(i) or (ii) or 90YN(1)(c)(i) or (ii) of the Act, or under a splitting order made under </w:t>
      </w:r>
      <w:r w:rsidR="00FE15C4">
        <w:t>paragraph 9</w:t>
      </w:r>
      <w:r w:rsidRPr="00A058B6">
        <w:t>0XT(1)(a) or 90YY(1)(a) of the Act; and</w:t>
      </w:r>
    </w:p>
    <w:p w14:paraId="29B47A52" w14:textId="77777777" w:rsidR="00D930D9" w:rsidRPr="00A058B6" w:rsidRDefault="00D930D9" w:rsidP="00D930D9">
      <w:pPr>
        <w:pStyle w:val="paragraphsub"/>
      </w:pPr>
      <w:r w:rsidRPr="00A058B6">
        <w:tab/>
        <w:t>(ii)</w:t>
      </w:r>
      <w:r w:rsidRPr="00A058B6">
        <w:tab/>
        <w:t>the interest was in the payment phase at the appropriate date;</w:t>
      </w:r>
    </w:p>
    <w:p w14:paraId="0BC5733C" w14:textId="5BD20F5C" w:rsidR="00D930D9" w:rsidRPr="00A058B6" w:rsidRDefault="00D930D9" w:rsidP="00D930D9">
      <w:pPr>
        <w:pStyle w:val="paragraph"/>
      </w:pPr>
      <w:r w:rsidRPr="00A058B6">
        <w:tab/>
      </w:r>
      <w:r w:rsidRPr="00A058B6">
        <w:tab/>
        <w:t>the amount that, under subsection </w:t>
      </w:r>
      <w:r w:rsidR="00485CC2">
        <w:t>92</w:t>
      </w:r>
      <w:r w:rsidRPr="00A058B6">
        <w:t xml:space="preserve">(6) or </w:t>
      </w:r>
      <w:r w:rsidR="00485CC2">
        <w:t>96</w:t>
      </w:r>
      <w:r w:rsidRPr="00A058B6">
        <w:t>(3) of this instrument, a person is entitled to be paid from each splittable payment that becomes payable in respect of the interest;</w:t>
      </w:r>
    </w:p>
    <w:p w14:paraId="30E2774D" w14:textId="2B803544" w:rsidR="00D930D9" w:rsidRPr="00A058B6" w:rsidRDefault="00D930D9" w:rsidP="00D930D9">
      <w:pPr>
        <w:pStyle w:val="paragraph"/>
      </w:pPr>
      <w:r w:rsidRPr="00A058B6">
        <w:tab/>
        <w:t>(c)</w:t>
      </w:r>
      <w:r w:rsidRPr="00A058B6">
        <w:tab/>
        <w:t xml:space="preserve">if the payment split is under </w:t>
      </w:r>
      <w:r w:rsidR="00FE15C4">
        <w:t>subparagraph 9</w:t>
      </w:r>
      <w:r w:rsidRPr="00A058B6">
        <w:t xml:space="preserve">0XJ(1)(c)(i) or 90YN(1)(c)(i) of the Act, or under a splitting order made under </w:t>
      </w:r>
      <w:r w:rsidR="00FE15C4">
        <w:t>paragraph 9</w:t>
      </w:r>
      <w:r w:rsidRPr="00A058B6">
        <w:t>0XT(1)(a) or 90YY(1)(a) of the Act, and the interest was in the growth phase at the appropriate date:</w:t>
      </w:r>
    </w:p>
    <w:p w14:paraId="7B0788C8" w14:textId="77777777" w:rsidR="00D930D9" w:rsidRPr="00A058B6" w:rsidRDefault="00D930D9" w:rsidP="00D930D9">
      <w:pPr>
        <w:pStyle w:val="paragraphsub"/>
      </w:pPr>
      <w:r w:rsidRPr="00A058B6">
        <w:tab/>
        <w:t>(i)</w:t>
      </w:r>
      <w:r w:rsidRPr="00A058B6">
        <w:tab/>
        <w:t>the base amount specified in the relevant superannuation agreement or flag lifting agreement in relation to the interest; and</w:t>
      </w:r>
    </w:p>
    <w:p w14:paraId="6B174941" w14:textId="05BBFB10"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77623254" w14:textId="35C17C73" w:rsidR="00D930D9" w:rsidRPr="00A058B6" w:rsidRDefault="00D930D9" w:rsidP="00D930D9">
      <w:pPr>
        <w:pStyle w:val="paragraph"/>
      </w:pPr>
      <w:r w:rsidRPr="00A058B6">
        <w:tab/>
        <w:t>(d)</w:t>
      </w:r>
      <w:r w:rsidRPr="00A058B6">
        <w:tab/>
        <w:t xml:space="preserve">if the payment split is under </w:t>
      </w:r>
      <w:r w:rsidR="00FE15C4">
        <w:t>subparagraph 9</w:t>
      </w:r>
      <w:r w:rsidRPr="00A058B6">
        <w:t>0XJ(1)(c)(ii) or 90YN(1)(c)(ii) of the Act and the interest was in the growth phase at the appropriate date:</w:t>
      </w:r>
    </w:p>
    <w:p w14:paraId="0D31BA21" w14:textId="0A10C113" w:rsidR="00D930D9" w:rsidRPr="00A058B6" w:rsidRDefault="00D930D9" w:rsidP="00D930D9">
      <w:pPr>
        <w:pStyle w:val="paragraphsub"/>
      </w:pPr>
      <w:r w:rsidRPr="00A058B6">
        <w:tab/>
        <w:t>(i)</w:t>
      </w:r>
      <w:r w:rsidRPr="00A058B6">
        <w:tab/>
        <w:t xml:space="preserve">the amount set out in the document served on the trustee under </w:t>
      </w:r>
      <w:r w:rsidR="00FE15C4">
        <w:t>paragraph 9</w:t>
      </w:r>
      <w:r w:rsidRPr="00A058B6">
        <w:t>0XI(1)(b) or 90YM(1)(b) of the Act; and</w:t>
      </w:r>
    </w:p>
    <w:p w14:paraId="47BE2FF9" w14:textId="3A6D9959"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66432ED5" w14:textId="79C9A88E" w:rsidR="00D930D9" w:rsidRDefault="00D930D9" w:rsidP="00D930D9">
      <w:pPr>
        <w:pStyle w:val="paragraph"/>
      </w:pPr>
      <w:r w:rsidRPr="00A058B6">
        <w:tab/>
        <w:t>(e)</w:t>
      </w:r>
      <w:r w:rsidRPr="00A058B6">
        <w:tab/>
        <w:t xml:space="preserve">if the payment split is under </w:t>
      </w:r>
      <w:r w:rsidR="00FE15C4">
        <w:t>subparagraph 9</w:t>
      </w:r>
      <w:r w:rsidRPr="00A058B6">
        <w:t xml:space="preserve">0XJ(1)(c)(iii) or 90YN(1)(c)(iii) of the Act or under a splitting order made under </w:t>
      </w:r>
      <w:r w:rsidR="00FE15C4">
        <w:t>paragraph 9</w:t>
      </w:r>
      <w:r w:rsidRPr="00A058B6">
        <w:t>0XT(1)(b) or 90YY(1)(b) of the Act—the specified percentage that is to apply to any splittable payment that becomes payable in respect of the interest</w:t>
      </w:r>
      <w:r w:rsidR="00D7157D">
        <w:t>.</w:t>
      </w:r>
    </w:p>
    <w:p w14:paraId="3A68973E" w14:textId="49682742" w:rsidR="00D930D9" w:rsidRPr="00A058B6" w:rsidRDefault="00D930D9" w:rsidP="00D930D9">
      <w:pPr>
        <w:pStyle w:val="notetext"/>
      </w:pPr>
      <w:r>
        <w:t>Note:</w:t>
      </w:r>
      <w:r>
        <w:tab/>
      </w:r>
      <w:r w:rsidR="00B05FD6">
        <w:t>Subparagraphs (</w:t>
      </w:r>
      <w:r>
        <w:t>c)(ii) and (d)(ii) are referring to the person who is the non</w:t>
      </w:r>
      <w:r w:rsidR="001952B3">
        <w:noBreakHyphen/>
      </w:r>
      <w:r>
        <w:t>member spouse for the purposes of the payment split</w:t>
      </w:r>
      <w:r w:rsidR="00D7157D">
        <w:t>.</w:t>
      </w:r>
    </w:p>
    <w:p w14:paraId="767C56F3" w14:textId="24A41BA8" w:rsidR="00D930D9" w:rsidRPr="00A058B6" w:rsidRDefault="00485CC2" w:rsidP="00D930D9">
      <w:pPr>
        <w:pStyle w:val="ActHead5"/>
      </w:pPr>
      <w:bookmarkStart w:id="161" w:name="_Toc188350646"/>
      <w:r w:rsidRPr="00423C34">
        <w:rPr>
          <w:rStyle w:val="CharSectno"/>
        </w:rPr>
        <w:t>109</w:t>
      </w:r>
      <w:r w:rsidR="00D930D9" w:rsidRPr="00A058B6">
        <w:t xml:space="preserve">  Exceptions and other kinds of required information</w:t>
      </w:r>
      <w:bookmarkEnd w:id="161"/>
    </w:p>
    <w:p w14:paraId="1B208F88" w14:textId="6E3DCF09" w:rsidR="00D930D9" w:rsidRPr="00A058B6" w:rsidRDefault="00D930D9" w:rsidP="00D930D9">
      <w:pPr>
        <w:pStyle w:val="subsection"/>
      </w:pPr>
      <w:r w:rsidRPr="00A058B6">
        <w:tab/>
        <w:t>(1)</w:t>
      </w:r>
      <w:r w:rsidRPr="00A058B6">
        <w:tab/>
        <w:t xml:space="preserve">The trustee is not required to provide information in response to an application referred to in </w:t>
      </w:r>
      <w:r w:rsidR="00CB78B9">
        <w:t>section 1</w:t>
      </w:r>
      <w:r w:rsidR="00485CC2">
        <w:t>04</w:t>
      </w:r>
      <w:r w:rsidRPr="00A058B6">
        <w:t xml:space="preserve"> in any of the following circumstances:</w:t>
      </w:r>
    </w:p>
    <w:p w14:paraId="4B2F1392" w14:textId="627272F6" w:rsidR="00D930D9" w:rsidRPr="00A058B6" w:rsidRDefault="00D930D9" w:rsidP="00D930D9">
      <w:pPr>
        <w:pStyle w:val="paragraph"/>
      </w:pPr>
      <w:r w:rsidRPr="00A058B6">
        <w:tab/>
        <w:t>(a)</w:t>
      </w:r>
      <w:r w:rsidRPr="00A058B6">
        <w:tab/>
        <w:t xml:space="preserve">if the application specifically requests the trustee to provide the information mentioned in </w:t>
      </w:r>
      <w:r w:rsidR="00CB78B9">
        <w:t>paragraph 1</w:t>
      </w:r>
      <w:r w:rsidR="00485CC2">
        <w:t>04</w:t>
      </w:r>
      <w:r>
        <w:t>(1)</w:t>
      </w:r>
      <w:r w:rsidRPr="00A058B6">
        <w:t>(</w:t>
      </w:r>
      <w:r w:rsidR="00934528">
        <w:t>h</w:t>
      </w:r>
      <w:r w:rsidRPr="00A058B6">
        <w:t>) to the applicant, the trustee is not required to provide any other information mentioned in this Subdivision to the applicant;</w:t>
      </w:r>
    </w:p>
    <w:p w14:paraId="680EA699" w14:textId="2CCB6D67" w:rsidR="00D930D9" w:rsidRPr="00A058B6" w:rsidRDefault="00D930D9" w:rsidP="00D930D9">
      <w:pPr>
        <w:pStyle w:val="paragraph"/>
      </w:pPr>
      <w:r w:rsidRPr="00A058B6">
        <w:tab/>
        <w:t>(b)</w:t>
      </w:r>
      <w:r w:rsidRPr="00A058B6">
        <w:tab/>
        <w:t xml:space="preserve">the trustee is not required to provide the information mentioned in </w:t>
      </w:r>
      <w:r w:rsidR="00CB78B9">
        <w:t>paragraph 1</w:t>
      </w:r>
      <w:r w:rsidR="00485CC2">
        <w:t>05</w:t>
      </w:r>
      <w:r w:rsidRPr="00A058B6">
        <w:t xml:space="preserve">(a) or </w:t>
      </w:r>
      <w:r w:rsidR="00CB78B9">
        <w:t>subparagraph 1</w:t>
      </w:r>
      <w:r w:rsidR="00485CC2">
        <w:t>05</w:t>
      </w:r>
      <w:r w:rsidRPr="00A058B6">
        <w:t>(</w:t>
      </w:r>
      <w:r w:rsidR="00976F41">
        <w:t>c</w:t>
      </w:r>
      <w:r w:rsidRPr="00A058B6">
        <w:t>)(i) to the applicant unless a record of that information is in the trustee’s possession, power or control;</w:t>
      </w:r>
    </w:p>
    <w:p w14:paraId="151A1E44" w14:textId="35FCCC71" w:rsidR="00D930D9" w:rsidRPr="00A058B6" w:rsidRDefault="00D930D9" w:rsidP="00D930D9">
      <w:pPr>
        <w:pStyle w:val="paragraph"/>
      </w:pPr>
      <w:r w:rsidRPr="00A058B6">
        <w:tab/>
        <w:t>(c)</w:t>
      </w:r>
      <w:r w:rsidRPr="00A058B6">
        <w:tab/>
        <w:t xml:space="preserve">the trustee is not required to provide the information mentioned in </w:t>
      </w:r>
      <w:r w:rsidR="00CB78B9">
        <w:t>paragraph 1</w:t>
      </w:r>
      <w:r w:rsidR="00485CC2">
        <w:t>06</w:t>
      </w:r>
      <w:r w:rsidRPr="00A058B6">
        <w:t xml:space="preserve">(a) or </w:t>
      </w:r>
      <w:r w:rsidR="00485CC2">
        <w:t>107</w:t>
      </w:r>
      <w:r w:rsidRPr="00A058B6">
        <w:t>(1)(a), as applicable, to the applicant unless a record of that information is in the trustee’s possession, power or control;</w:t>
      </w:r>
    </w:p>
    <w:p w14:paraId="2607D2A6" w14:textId="1A05594C" w:rsidR="00D930D9" w:rsidRPr="00A058B6" w:rsidRDefault="00D930D9" w:rsidP="00D930D9">
      <w:pPr>
        <w:pStyle w:val="paragraph"/>
      </w:pPr>
      <w:r w:rsidRPr="00A058B6">
        <w:tab/>
        <w:t>(d)</w:t>
      </w:r>
      <w:r w:rsidRPr="00A058B6">
        <w:tab/>
        <w:t xml:space="preserve">the trustee is not required to provide the information mentioned in </w:t>
      </w:r>
      <w:r w:rsidR="00CB78B9">
        <w:t>paragraph 1</w:t>
      </w:r>
      <w:r w:rsidR="00485CC2">
        <w:t>06</w:t>
      </w:r>
      <w:r w:rsidRPr="00A058B6">
        <w:t>(</w:t>
      </w:r>
      <w:r w:rsidR="00927DA9">
        <w:t>b</w:t>
      </w:r>
      <w:r w:rsidRPr="00A058B6">
        <w:t>), (</w:t>
      </w:r>
      <w:r w:rsidR="00927DA9">
        <w:t>c</w:t>
      </w:r>
      <w:r w:rsidRPr="00A058B6">
        <w:t>), (</w:t>
      </w:r>
      <w:r w:rsidR="00927DA9">
        <w:t>d</w:t>
      </w:r>
      <w:r w:rsidRPr="00A058B6">
        <w:t>) or (</w:t>
      </w:r>
      <w:r w:rsidR="00927DA9">
        <w:t>e</w:t>
      </w:r>
      <w:r w:rsidRPr="00A058B6">
        <w:t xml:space="preserve">) or </w:t>
      </w:r>
      <w:r w:rsidR="00485CC2">
        <w:t>107</w:t>
      </w:r>
      <w:r w:rsidRPr="00A058B6">
        <w:t>(1)(</w:t>
      </w:r>
      <w:r w:rsidR="002B605A">
        <w:t>d</w:t>
      </w:r>
      <w:r w:rsidRPr="00A058B6">
        <w:t>), (</w:t>
      </w:r>
      <w:r w:rsidR="002B605A">
        <w:t>e</w:t>
      </w:r>
      <w:r w:rsidRPr="00A058B6">
        <w:t>), (</w:t>
      </w:r>
      <w:r w:rsidR="002B605A">
        <w:t>f</w:t>
      </w:r>
      <w:r w:rsidRPr="00A058B6">
        <w:t>) or (</w:t>
      </w:r>
      <w:r w:rsidR="002B605A">
        <w:t>g</w:t>
      </w:r>
      <w:r w:rsidRPr="00A058B6">
        <w:t>), as applicable, to the applicant unless:</w:t>
      </w:r>
    </w:p>
    <w:p w14:paraId="1528E9C6" w14:textId="77777777" w:rsidR="00D930D9" w:rsidRPr="00A058B6" w:rsidRDefault="00D930D9" w:rsidP="00D930D9">
      <w:pPr>
        <w:pStyle w:val="paragraphsub"/>
      </w:pPr>
      <w:r w:rsidRPr="00A058B6">
        <w:tab/>
        <w:t>(i)</w:t>
      </w:r>
      <w:r w:rsidRPr="00A058B6">
        <w:tab/>
        <w:t>the application for information specifically requests the trustee to provide this information; and</w:t>
      </w:r>
    </w:p>
    <w:p w14:paraId="5D9CFEA2" w14:textId="77777777" w:rsidR="00D930D9" w:rsidRPr="00A058B6" w:rsidRDefault="00D930D9" w:rsidP="00D930D9">
      <w:pPr>
        <w:pStyle w:val="paragraphsub"/>
      </w:pPr>
      <w:r w:rsidRPr="00A058B6">
        <w:tab/>
        <w:t>(ii)</w:t>
      </w:r>
      <w:r w:rsidRPr="00A058B6">
        <w:tab/>
        <w:t>a record of the information is in the trustee’s possession, power or control; and</w:t>
      </w:r>
    </w:p>
    <w:p w14:paraId="6AE18569" w14:textId="4FD18644" w:rsidR="00D930D9" w:rsidRPr="00A058B6" w:rsidRDefault="00D930D9" w:rsidP="00D930D9">
      <w:pPr>
        <w:pStyle w:val="paragraphsub"/>
      </w:pPr>
      <w:r w:rsidRPr="00A058B6">
        <w:tab/>
        <w:t>(iii)</w:t>
      </w:r>
      <w:r w:rsidRPr="00A058B6">
        <w:tab/>
        <w:t xml:space="preserve">a record of the information mentioned in </w:t>
      </w:r>
      <w:r w:rsidR="00CB78B9">
        <w:t>paragraph 1</w:t>
      </w:r>
      <w:r w:rsidR="00485CC2">
        <w:t>06</w:t>
      </w:r>
      <w:r w:rsidRPr="00A058B6">
        <w:t xml:space="preserve">(a) or </w:t>
      </w:r>
      <w:r w:rsidR="00485CC2">
        <w:t>107</w:t>
      </w:r>
      <w:r w:rsidRPr="00A058B6">
        <w:t>(1)(a), as applicable, is not in the trustee’s possession, power or control</w:t>
      </w:r>
      <w:r w:rsidR="00D7157D">
        <w:t>.</w:t>
      </w:r>
    </w:p>
    <w:p w14:paraId="68C7F0F2" w14:textId="77777777" w:rsidR="00D930D9" w:rsidRPr="00A058B6" w:rsidRDefault="00D930D9" w:rsidP="00D930D9">
      <w:pPr>
        <w:pStyle w:val="subsection"/>
      </w:pPr>
      <w:r w:rsidRPr="00A058B6">
        <w:rPr>
          <w:color w:val="000000"/>
        </w:rPr>
        <w:tab/>
        <w:t>(2)</w:t>
      </w:r>
      <w:r w:rsidRPr="00A058B6">
        <w:rPr>
          <w:color w:val="000000"/>
        </w:rPr>
        <w:tab/>
        <w:t>If:</w:t>
      </w:r>
    </w:p>
    <w:p w14:paraId="59737204" w14:textId="77777777" w:rsidR="00D930D9" w:rsidRPr="00A058B6" w:rsidRDefault="00D930D9" w:rsidP="00D930D9">
      <w:pPr>
        <w:pStyle w:val="paragraph"/>
      </w:pPr>
      <w:r w:rsidRPr="00A058B6">
        <w:rPr>
          <w:color w:val="000000"/>
        </w:rPr>
        <w:tab/>
        <w:t>(a)</w:t>
      </w:r>
      <w:r w:rsidRPr="00A058B6">
        <w:rPr>
          <w:color w:val="000000"/>
        </w:rPr>
        <w:tab/>
        <w:t>the superannuation interest, or a component of the superannuation interest, is a partially vested accumulation interest; and</w:t>
      </w:r>
    </w:p>
    <w:p w14:paraId="3CE9F831" w14:textId="6EE23DEA" w:rsidR="00D930D9" w:rsidRPr="00A058B6" w:rsidRDefault="00D930D9" w:rsidP="00D930D9">
      <w:pPr>
        <w:pStyle w:val="paragraph"/>
      </w:pPr>
      <w:r w:rsidRPr="00A058B6">
        <w:tab/>
        <w:t>(b)</w:t>
      </w:r>
      <w:r w:rsidRPr="00A058B6">
        <w:tab/>
        <w:t xml:space="preserve">under </w:t>
      </w:r>
      <w:r w:rsidR="00CB78B9">
        <w:t>section 6</w:t>
      </w:r>
      <w:r w:rsidR="00485CC2">
        <w:t>2</w:t>
      </w:r>
      <w:r w:rsidRPr="00A058B6">
        <w:t>, the Minister has approved a method or factors to be used to determine the gross value of the superannuation interest or the component of the interest;</w:t>
      </w:r>
    </w:p>
    <w:p w14:paraId="76E3497D" w14:textId="77777777" w:rsidR="00D930D9" w:rsidRPr="00A058B6" w:rsidRDefault="00D930D9" w:rsidP="00D930D9">
      <w:pPr>
        <w:pStyle w:val="subsection2"/>
      </w:pPr>
      <w:r w:rsidRPr="00A058B6">
        <w:rPr>
          <w:color w:val="000000"/>
        </w:rPr>
        <w:t xml:space="preserve">the Minister may, by legislative instrument, determine </w:t>
      </w:r>
      <w:r>
        <w:rPr>
          <w:color w:val="000000"/>
        </w:rPr>
        <w:t>either or both of the following</w:t>
      </w:r>
      <w:r w:rsidRPr="00A058B6">
        <w:rPr>
          <w:color w:val="000000"/>
        </w:rPr>
        <w:t>:</w:t>
      </w:r>
    </w:p>
    <w:p w14:paraId="08872A83" w14:textId="3886DE7C" w:rsidR="00D930D9" w:rsidRPr="00A058B6" w:rsidRDefault="00D930D9" w:rsidP="00D930D9">
      <w:pPr>
        <w:pStyle w:val="paragraph"/>
      </w:pPr>
      <w:r w:rsidRPr="00A058B6">
        <w:rPr>
          <w:color w:val="000000"/>
        </w:rPr>
        <w:tab/>
        <w:t>(c)</w:t>
      </w:r>
      <w:r w:rsidRPr="00A058B6">
        <w:rPr>
          <w:color w:val="000000"/>
        </w:rPr>
        <w:tab/>
        <w:t xml:space="preserve">that the trustee is not required to provide one or more specified kinds of information mentioned in </w:t>
      </w:r>
      <w:r w:rsidR="00CB78B9">
        <w:rPr>
          <w:color w:val="000000"/>
        </w:rPr>
        <w:t>subsection 1</w:t>
      </w:r>
      <w:r w:rsidR="00485CC2">
        <w:rPr>
          <w:color w:val="000000"/>
        </w:rPr>
        <w:t>07</w:t>
      </w:r>
      <w:r w:rsidRPr="00A058B6">
        <w:rPr>
          <w:color w:val="000000"/>
        </w:rPr>
        <w:t>(1) about the interest, or the component of the interest;</w:t>
      </w:r>
    </w:p>
    <w:p w14:paraId="44769EDC" w14:textId="77777777" w:rsidR="00D930D9" w:rsidRPr="00A058B6" w:rsidRDefault="00D930D9" w:rsidP="00D930D9">
      <w:pPr>
        <w:pStyle w:val="paragraph"/>
      </w:pPr>
      <w:r w:rsidRPr="00A058B6">
        <w:tab/>
        <w:t>(d)</w:t>
      </w:r>
      <w:r w:rsidRPr="00A058B6">
        <w:tab/>
      </w:r>
      <w:r w:rsidRPr="00A058B6">
        <w:rPr>
          <w:color w:val="000000"/>
        </w:rPr>
        <w:t>that the trustee</w:t>
      </w:r>
      <w:r w:rsidRPr="00A058B6">
        <w:t xml:space="preserve"> must provide other specified kinds of information about the interest or the component of the interest</w:t>
      </w:r>
      <w:r w:rsidR="00D7157D">
        <w:t>.</w:t>
      </w:r>
    </w:p>
    <w:p w14:paraId="15B92B67" w14:textId="3511AB47" w:rsidR="00D930D9" w:rsidRPr="00A058B6" w:rsidRDefault="00D930D9" w:rsidP="00D930D9">
      <w:pPr>
        <w:pStyle w:val="subsection"/>
      </w:pPr>
      <w:r w:rsidRPr="00A058B6">
        <w:rPr>
          <w:color w:val="000000"/>
        </w:rPr>
        <w:tab/>
        <w:t>(3)</w:t>
      </w:r>
      <w:r w:rsidRPr="00A058B6">
        <w:rPr>
          <w:color w:val="000000"/>
        </w:rPr>
        <w:tab/>
        <w:t xml:space="preserve">If, under </w:t>
      </w:r>
      <w:r w:rsidR="00CB78B9">
        <w:rPr>
          <w:color w:val="000000"/>
        </w:rPr>
        <w:t>section 7</w:t>
      </w:r>
      <w:r w:rsidR="00485CC2">
        <w:rPr>
          <w:color w:val="000000"/>
        </w:rPr>
        <w:t>0</w:t>
      </w:r>
      <w:r w:rsidRPr="00A058B6">
        <w:rPr>
          <w:color w:val="000000"/>
        </w:rPr>
        <w:t>, the Minister has approved a method or factors to be used to determine the gross value of the superannuation interest, the Minister may, by legislative instrument, determine either or both of the following:</w:t>
      </w:r>
    </w:p>
    <w:p w14:paraId="7BC2BAD9" w14:textId="275A9C69" w:rsidR="00D930D9" w:rsidRPr="00A058B6" w:rsidRDefault="00D930D9" w:rsidP="00D930D9">
      <w:pPr>
        <w:pStyle w:val="paragraph"/>
      </w:pPr>
      <w:r w:rsidRPr="00A058B6">
        <w:rPr>
          <w:color w:val="000000"/>
        </w:rPr>
        <w:tab/>
        <w:t>(a)</w:t>
      </w:r>
      <w:r w:rsidRPr="00A058B6">
        <w:rPr>
          <w:color w:val="000000"/>
        </w:rPr>
        <w:tab/>
        <w:t xml:space="preserve">that the trustee is not required to provide one or more specified kinds of information mentioned in </w:t>
      </w:r>
      <w:r w:rsidR="00CB78B9">
        <w:rPr>
          <w:color w:val="000000"/>
        </w:rPr>
        <w:t>section 1</w:t>
      </w:r>
      <w:r w:rsidR="00485CC2">
        <w:rPr>
          <w:color w:val="000000"/>
        </w:rPr>
        <w:t>04</w:t>
      </w:r>
      <w:r w:rsidRPr="00A058B6">
        <w:rPr>
          <w:color w:val="000000"/>
        </w:rPr>
        <w:t xml:space="preserve"> or </w:t>
      </w:r>
      <w:r w:rsidR="00485CC2">
        <w:rPr>
          <w:color w:val="000000"/>
        </w:rPr>
        <w:t>105</w:t>
      </w:r>
      <w:r w:rsidRPr="00A058B6">
        <w:rPr>
          <w:color w:val="000000"/>
        </w:rPr>
        <w:t xml:space="preserve"> about the interest;</w:t>
      </w:r>
    </w:p>
    <w:p w14:paraId="78870C04" w14:textId="77777777" w:rsidR="00D930D9" w:rsidRPr="00A058B6" w:rsidRDefault="00D930D9" w:rsidP="00D930D9">
      <w:pPr>
        <w:pStyle w:val="paragraph"/>
      </w:pPr>
      <w:r w:rsidRPr="00A058B6">
        <w:tab/>
        <w:t>(b)</w:t>
      </w:r>
      <w:r w:rsidRPr="00A058B6">
        <w:tab/>
        <w:t>that the trustee must provide one or more other specified kinds of information about the interest</w:t>
      </w:r>
      <w:r w:rsidR="00D7157D">
        <w:t>.</w:t>
      </w:r>
    </w:p>
    <w:p w14:paraId="3E2F7A17" w14:textId="77777777" w:rsidR="00D930D9" w:rsidRPr="00A058B6" w:rsidRDefault="00D930D9" w:rsidP="00D930D9">
      <w:pPr>
        <w:pStyle w:val="ActHead4"/>
      </w:pPr>
      <w:bookmarkStart w:id="162" w:name="_Toc188350647"/>
      <w:r w:rsidRPr="00423C34">
        <w:rPr>
          <w:rStyle w:val="CharSubdNo"/>
        </w:rPr>
        <w:t>Subdivision B</w:t>
      </w:r>
      <w:r w:rsidRPr="00A058B6">
        <w:t>—</w:t>
      </w:r>
      <w:r w:rsidRPr="00423C34">
        <w:rPr>
          <w:rStyle w:val="CharSubdText"/>
        </w:rPr>
        <w:t>Information about certain defined benefit interests</w:t>
      </w:r>
      <w:bookmarkEnd w:id="162"/>
    </w:p>
    <w:p w14:paraId="3E705A91" w14:textId="69A75F13" w:rsidR="00D930D9" w:rsidRPr="00A058B6" w:rsidRDefault="00485CC2" w:rsidP="00D930D9">
      <w:pPr>
        <w:pStyle w:val="ActHead5"/>
      </w:pPr>
      <w:bookmarkStart w:id="163" w:name="_Toc188350648"/>
      <w:r w:rsidRPr="00423C34">
        <w:rPr>
          <w:rStyle w:val="CharSectno"/>
        </w:rPr>
        <w:t>110</w:t>
      </w:r>
      <w:r w:rsidR="00D930D9" w:rsidRPr="00A058B6">
        <w:t xml:space="preserve">  Defined benefit interests to which this Subdivision applies</w:t>
      </w:r>
      <w:bookmarkEnd w:id="163"/>
    </w:p>
    <w:p w14:paraId="774F332E" w14:textId="77777777" w:rsidR="00D930D9" w:rsidRPr="00A058B6" w:rsidRDefault="00D930D9" w:rsidP="00D930D9">
      <w:pPr>
        <w:pStyle w:val="subsection"/>
      </w:pPr>
      <w:r w:rsidRPr="00A058B6">
        <w:tab/>
      </w:r>
      <w:r w:rsidRPr="00A058B6">
        <w:tab/>
        <w:t>This Subdivision applies for a superannuation interest of a member of an eligible superannuation plan if:</w:t>
      </w:r>
    </w:p>
    <w:p w14:paraId="346B68FE" w14:textId="77777777" w:rsidR="00D930D9" w:rsidRPr="00A058B6" w:rsidRDefault="00D930D9" w:rsidP="00D930D9">
      <w:pPr>
        <w:pStyle w:val="paragraph"/>
      </w:pPr>
      <w:r w:rsidRPr="00A058B6">
        <w:tab/>
        <w:t>(a)</w:t>
      </w:r>
      <w:r w:rsidRPr="00A058B6">
        <w:tab/>
        <w:t>the superannuation interest, or a component of the superannuation interest, is a defined benefit interest; and</w:t>
      </w:r>
    </w:p>
    <w:p w14:paraId="17A7A6BA" w14:textId="725673DF" w:rsidR="00D930D9" w:rsidRPr="00A058B6" w:rsidRDefault="00D930D9" w:rsidP="00D930D9">
      <w:pPr>
        <w:pStyle w:val="paragraph"/>
      </w:pPr>
      <w:r w:rsidRPr="00A058B6">
        <w:tab/>
        <w:t>(b)</w:t>
      </w:r>
      <w:r w:rsidRPr="00A058B6">
        <w:tab/>
        <w:t>the superannuation interest is neither a percentage</w:t>
      </w:r>
      <w:r w:rsidR="001952B3">
        <w:noBreakHyphen/>
      </w:r>
      <w:r w:rsidRPr="00A058B6">
        <w:t>only interest nor an interest in a self managed superannuation fund; and</w:t>
      </w:r>
    </w:p>
    <w:p w14:paraId="15B3E7DE" w14:textId="77777777" w:rsidR="00D930D9" w:rsidRPr="00A058B6" w:rsidRDefault="00D930D9" w:rsidP="00D930D9">
      <w:pPr>
        <w:pStyle w:val="paragraph"/>
      </w:pPr>
      <w:r w:rsidRPr="00A058B6">
        <w:tab/>
        <w:t>(c)</w:t>
      </w:r>
      <w:r w:rsidRPr="00A058B6">
        <w:tab/>
        <w:t xml:space="preserve">Subdivision </w:t>
      </w:r>
      <w:r w:rsidR="0037051F">
        <w:t>G</w:t>
      </w:r>
      <w:r w:rsidRPr="00A058B6">
        <w:t xml:space="preserve"> does not apply for the superannuation interest</w:t>
      </w:r>
      <w:r w:rsidR="00D7157D">
        <w:t>.</w:t>
      </w:r>
    </w:p>
    <w:p w14:paraId="0431BF5A" w14:textId="7567A1AC" w:rsidR="00D930D9" w:rsidRPr="00A058B6" w:rsidRDefault="00485CC2" w:rsidP="00D930D9">
      <w:pPr>
        <w:pStyle w:val="ActHead5"/>
      </w:pPr>
      <w:bookmarkStart w:id="164" w:name="_Toc188350649"/>
      <w:r w:rsidRPr="00423C34">
        <w:rPr>
          <w:rStyle w:val="CharSectno"/>
        </w:rPr>
        <w:t>111</w:t>
      </w:r>
      <w:r w:rsidR="00D930D9" w:rsidRPr="00A058B6">
        <w:t xml:space="preserve">  Information the trustee must provide—overview</w:t>
      </w:r>
      <w:bookmarkEnd w:id="164"/>
    </w:p>
    <w:p w14:paraId="0386834A" w14:textId="58B37C9D"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w:t>
      </w:r>
      <w:r w:rsidRPr="00A058B6">
        <w:rPr>
          <w:color w:val="000000"/>
        </w:rPr>
        <w:t>,</w:t>
      </w:r>
      <w:r w:rsidRPr="00A058B6">
        <w:t xml:space="preserve"> the information about the defined benefit interest that must be provided by the trustee of the plan in response to an application referred to in that subsection is as follows:</w:t>
      </w:r>
    </w:p>
    <w:p w14:paraId="5A676C12" w14:textId="77777777" w:rsidR="00D930D9" w:rsidRPr="00A058B6" w:rsidRDefault="00F45CFE" w:rsidP="00D930D9">
      <w:pPr>
        <w:pStyle w:val="paragraph"/>
      </w:pPr>
      <w:r>
        <w:tab/>
        <w:t>(a)</w:t>
      </w:r>
      <w:r>
        <w:tab/>
      </w:r>
      <w:r w:rsidR="00D930D9" w:rsidRPr="00A058B6">
        <w:t>if the interest is an unsplittable interest, a statement to that effect;</w:t>
      </w:r>
    </w:p>
    <w:p w14:paraId="4CA9E59A" w14:textId="77777777" w:rsidR="00D930D9" w:rsidRPr="00A058B6" w:rsidRDefault="00F45CFE" w:rsidP="00D930D9">
      <w:pPr>
        <w:pStyle w:val="paragraph"/>
      </w:pPr>
      <w:r>
        <w:tab/>
        <w:t>(b)</w:t>
      </w:r>
      <w:r>
        <w:tab/>
      </w:r>
      <w:r w:rsidR="00D930D9" w:rsidRPr="00A058B6">
        <w:t>a statement indicating whether the interest is subject to a payment split or payment flag;</w:t>
      </w:r>
    </w:p>
    <w:p w14:paraId="2CDA1079" w14:textId="43D202C8" w:rsidR="00D930D9" w:rsidRPr="00A058B6" w:rsidRDefault="00F45CFE" w:rsidP="00D930D9">
      <w:pPr>
        <w:pStyle w:val="paragraph"/>
      </w:pPr>
      <w:r>
        <w:tab/>
        <w:t>(c)</w:t>
      </w:r>
      <w:r>
        <w:tab/>
      </w:r>
      <w:r w:rsidR="00D930D9" w:rsidRPr="00A058B6">
        <w:t xml:space="preserve">if the interest is subject to a payment split </w:t>
      </w:r>
      <w:r w:rsidR="00D930D9" w:rsidRPr="00A058B6">
        <w:rPr>
          <w:snapToGrid w:val="0"/>
        </w:rPr>
        <w:t>(other than under a superannuation agreement, flag lifting agreement or splitting order for which the non</w:t>
      </w:r>
      <w:r w:rsidR="001952B3">
        <w:rPr>
          <w:snapToGrid w:val="0"/>
        </w:rPr>
        <w:noBreakHyphen/>
      </w:r>
      <w:r w:rsidR="00D930D9" w:rsidRPr="00A058B6">
        <w:rPr>
          <w:snapToGrid w:val="0"/>
        </w:rPr>
        <w:t xml:space="preserve">member spouse’s entitlement has been satisfied as required by </w:t>
      </w:r>
      <w:r w:rsidR="00453C86">
        <w:rPr>
          <w:snapToGrid w:val="0"/>
        </w:rPr>
        <w:t>Division 2</w:t>
      </w:r>
      <w:r w:rsidR="00D930D9" w:rsidRPr="00A058B6">
        <w:rPr>
          <w:snapToGrid w:val="0"/>
        </w:rPr>
        <w:t xml:space="preserve"> of </w:t>
      </w:r>
      <w:r w:rsidR="006211C7">
        <w:rPr>
          <w:snapToGrid w:val="0"/>
        </w:rPr>
        <w:t>Part </w:t>
      </w:r>
      <w:r w:rsidR="009F5A3D">
        <w:rPr>
          <w:snapToGrid w:val="0"/>
        </w:rPr>
        <w:t>3</w:t>
      </w:r>
      <w:r w:rsidR="00D930D9" w:rsidRPr="00A058B6">
        <w:rPr>
          <w:snapToGrid w:val="0"/>
        </w:rPr>
        <w:t>)—</w:t>
      </w:r>
      <w:r w:rsidR="00D930D9" w:rsidRPr="00A058B6">
        <w:t xml:space="preserve">the information mentioned in </w:t>
      </w:r>
      <w:r w:rsidR="00CB78B9">
        <w:t>section 1</w:t>
      </w:r>
      <w:r w:rsidR="00485CC2">
        <w:t>15</w:t>
      </w:r>
      <w:r w:rsidR="00D930D9" w:rsidRPr="00A058B6">
        <w:t>;</w:t>
      </w:r>
    </w:p>
    <w:p w14:paraId="44B6CF65" w14:textId="77777777" w:rsidR="00D930D9" w:rsidRPr="00A058B6" w:rsidRDefault="00F45CFE" w:rsidP="00D930D9">
      <w:pPr>
        <w:pStyle w:val="paragraph"/>
      </w:pPr>
      <w:r>
        <w:tab/>
        <w:t>(d)</w:t>
      </w:r>
      <w:r>
        <w:tab/>
      </w:r>
      <w:r w:rsidR="00D930D9" w:rsidRPr="00A058B6">
        <w:t xml:space="preserve">the date of commencement of the member’s service period (within the meaning of the </w:t>
      </w:r>
      <w:r w:rsidR="00D930D9" w:rsidRPr="00A058B6">
        <w:rPr>
          <w:i/>
        </w:rPr>
        <w:t>Income Tax Assessment Act 1997</w:t>
      </w:r>
      <w:r w:rsidR="00D930D9" w:rsidRPr="00A058B6">
        <w:t>), if any;</w:t>
      </w:r>
    </w:p>
    <w:p w14:paraId="343F1C93" w14:textId="77777777" w:rsidR="005175FC" w:rsidRPr="00A058B6" w:rsidRDefault="005175FC" w:rsidP="005175FC">
      <w:pPr>
        <w:pStyle w:val="paragraph"/>
      </w:pPr>
      <w:r>
        <w:tab/>
        <w:t>(e)</w:t>
      </w:r>
      <w:r>
        <w:tab/>
      </w:r>
      <w:r w:rsidRPr="00A058B6">
        <w:t>the date when the member first became a member of the plan;</w:t>
      </w:r>
    </w:p>
    <w:p w14:paraId="743806CB" w14:textId="6E81BA7A" w:rsidR="00D930D9" w:rsidRPr="00A058B6" w:rsidRDefault="00F45CFE" w:rsidP="00D930D9">
      <w:pPr>
        <w:pStyle w:val="paragraph"/>
      </w:pPr>
      <w:r>
        <w:tab/>
        <w:t>(f)</w:t>
      </w:r>
      <w:r>
        <w:tab/>
      </w:r>
      <w:r w:rsidR="00D930D9" w:rsidRPr="00A058B6">
        <w:t xml:space="preserve">if the interest was in the payment phase at the appropriate date—the payment phase information mentioned in </w:t>
      </w:r>
      <w:r w:rsidR="00CB78B9">
        <w:t>section 1</w:t>
      </w:r>
      <w:r w:rsidR="00485CC2">
        <w:t>12</w:t>
      </w:r>
      <w:r w:rsidR="00D930D9" w:rsidRPr="00A058B6">
        <w:t xml:space="preserve"> for the interest;</w:t>
      </w:r>
    </w:p>
    <w:p w14:paraId="2469A052" w14:textId="77777777" w:rsidR="00D930D9" w:rsidRPr="00A058B6" w:rsidRDefault="00F45CFE" w:rsidP="00D930D9">
      <w:pPr>
        <w:pStyle w:val="paragraph"/>
        <w:rPr>
          <w:color w:val="000000"/>
        </w:rPr>
      </w:pPr>
      <w:r>
        <w:rPr>
          <w:color w:val="000000"/>
        </w:rPr>
        <w:tab/>
        <w:t>(g)</w:t>
      </w:r>
      <w:r>
        <w:rPr>
          <w:color w:val="000000"/>
        </w:rPr>
        <w:tab/>
      </w:r>
      <w:r w:rsidR="00D930D9" w:rsidRPr="00A058B6">
        <w:rPr>
          <w:color w:val="000000"/>
        </w:rPr>
        <w:t>if:</w:t>
      </w:r>
    </w:p>
    <w:p w14:paraId="033825F6" w14:textId="77777777" w:rsidR="00D930D9" w:rsidRPr="00A058B6" w:rsidRDefault="00D930D9" w:rsidP="00D930D9">
      <w:pPr>
        <w:pStyle w:val="paragraphsub"/>
      </w:pPr>
      <w:r w:rsidRPr="00A058B6">
        <w:tab/>
        <w:t>(i)</w:t>
      </w:r>
      <w:r w:rsidRPr="00A058B6">
        <w:tab/>
        <w:t>the interest was in the growth phase at the appropriate date; and</w:t>
      </w:r>
    </w:p>
    <w:p w14:paraId="1C14FC60" w14:textId="77777777" w:rsidR="00D930D9" w:rsidRPr="00A058B6" w:rsidRDefault="00D930D9" w:rsidP="00D930D9">
      <w:pPr>
        <w:pStyle w:val="paragraphsub"/>
      </w:pPr>
      <w:r w:rsidRPr="00A058B6">
        <w:tab/>
        <w:t>(ii)</w:t>
      </w:r>
      <w:r w:rsidRPr="00A058B6">
        <w:tab/>
        <w:t>the interest is held by a member as a result of employment in which the member is or was still engaged at the appropriate date;</w:t>
      </w:r>
    </w:p>
    <w:p w14:paraId="6C22B695" w14:textId="697DC275" w:rsidR="00D930D9" w:rsidRPr="00A058B6" w:rsidRDefault="00D930D9" w:rsidP="00D930D9">
      <w:pPr>
        <w:pStyle w:val="paragraph"/>
      </w:pPr>
      <w:r w:rsidRPr="00A058B6">
        <w:tab/>
      </w:r>
      <w:r w:rsidRPr="00A058B6">
        <w:tab/>
        <w:t xml:space="preserve">the growth phase information mentioned in </w:t>
      </w:r>
      <w:r w:rsidR="00CB78B9">
        <w:t>section 1</w:t>
      </w:r>
      <w:r w:rsidR="00485CC2">
        <w:t>13</w:t>
      </w:r>
      <w:r w:rsidRPr="00A058B6">
        <w:t xml:space="preserve"> for the interest;</w:t>
      </w:r>
    </w:p>
    <w:p w14:paraId="0AC35C75" w14:textId="77777777" w:rsidR="00D930D9" w:rsidRPr="00A058B6" w:rsidRDefault="00F45CFE" w:rsidP="00D930D9">
      <w:pPr>
        <w:pStyle w:val="paragraph"/>
        <w:rPr>
          <w:color w:val="000000"/>
        </w:rPr>
      </w:pPr>
      <w:r>
        <w:rPr>
          <w:color w:val="000000"/>
        </w:rPr>
        <w:tab/>
        <w:t>(h)</w:t>
      </w:r>
      <w:r>
        <w:rPr>
          <w:color w:val="000000"/>
        </w:rPr>
        <w:tab/>
      </w:r>
      <w:r w:rsidR="00D930D9" w:rsidRPr="00A058B6">
        <w:rPr>
          <w:color w:val="000000"/>
        </w:rPr>
        <w:t>if:</w:t>
      </w:r>
    </w:p>
    <w:p w14:paraId="03BE9E65" w14:textId="77777777" w:rsidR="00D930D9" w:rsidRPr="00A058B6" w:rsidRDefault="00D930D9" w:rsidP="00D930D9">
      <w:pPr>
        <w:pStyle w:val="paragraphsub"/>
      </w:pPr>
      <w:r w:rsidRPr="00A058B6">
        <w:rPr>
          <w:color w:val="000000"/>
        </w:rPr>
        <w:tab/>
        <w:t>(i)</w:t>
      </w:r>
      <w:r w:rsidRPr="00A058B6">
        <w:rPr>
          <w:color w:val="000000"/>
        </w:rPr>
        <w:tab/>
        <w:t>the interest was in the growth phase at the appropriate date; and</w:t>
      </w:r>
    </w:p>
    <w:p w14:paraId="42CF2A69" w14:textId="77777777" w:rsidR="00D930D9" w:rsidRPr="00A058B6" w:rsidRDefault="00D930D9" w:rsidP="00D930D9">
      <w:pPr>
        <w:pStyle w:val="paragraphsub"/>
      </w:pPr>
      <w:r w:rsidRPr="00A058B6">
        <w:tab/>
        <w:t>(ii)</w:t>
      </w:r>
      <w:r w:rsidRPr="00A058B6">
        <w:tab/>
        <w:t>the interest is held by a member as a result of employment in which the member is or was no longer engaged at the appropriate date; and</w:t>
      </w:r>
    </w:p>
    <w:p w14:paraId="209ACDF2" w14:textId="77777777" w:rsidR="00D930D9" w:rsidRPr="00A058B6" w:rsidRDefault="00D930D9" w:rsidP="00D930D9">
      <w:pPr>
        <w:pStyle w:val="paragraphsub"/>
      </w:pPr>
      <w:r w:rsidRPr="00A058B6">
        <w:tab/>
        <w:t>(iii)</w:t>
      </w:r>
      <w:r w:rsidRPr="00A058B6">
        <w:tab/>
        <w:t>under the governing rules of the plan, the benefit in respect of the interest is payable after the date when the information is provided;</w:t>
      </w:r>
    </w:p>
    <w:p w14:paraId="6DDB818C" w14:textId="653BFB63" w:rsidR="00D930D9" w:rsidRPr="00A058B6" w:rsidRDefault="00D930D9" w:rsidP="00D930D9">
      <w:pPr>
        <w:pStyle w:val="paragraph"/>
      </w:pPr>
      <w:r w:rsidRPr="00A058B6">
        <w:rPr>
          <w:color w:val="000000"/>
        </w:rPr>
        <w:tab/>
      </w:r>
      <w:r w:rsidRPr="00A058B6">
        <w:rPr>
          <w:color w:val="000000"/>
        </w:rPr>
        <w:tab/>
        <w:t xml:space="preserve">the growth phase information mentioned in </w:t>
      </w:r>
      <w:r w:rsidR="00CB78B9">
        <w:rPr>
          <w:color w:val="000000"/>
        </w:rPr>
        <w:t>section 1</w:t>
      </w:r>
      <w:r w:rsidR="00485CC2">
        <w:rPr>
          <w:color w:val="000000"/>
        </w:rPr>
        <w:t>14</w:t>
      </w:r>
      <w:r w:rsidRPr="00A058B6">
        <w:rPr>
          <w:color w:val="000000"/>
        </w:rPr>
        <w:t xml:space="preserve"> for the interest;</w:t>
      </w:r>
    </w:p>
    <w:p w14:paraId="1905C063" w14:textId="77777777" w:rsidR="00D930D9" w:rsidRPr="00A058B6" w:rsidRDefault="00F45CFE" w:rsidP="00D930D9">
      <w:pPr>
        <w:pStyle w:val="paragraph"/>
      </w:pPr>
      <w:r>
        <w:tab/>
        <w:t>(i)</w:t>
      </w:r>
      <w:r>
        <w:tab/>
      </w:r>
      <w:r w:rsidR="00D930D9" w:rsidRPr="00A058B6">
        <w:t>if the application for information specifically requests the trustee to provide information about the withdrawal benefit for the member—the withdrawal benefit for the member at the date when the information is provided;</w:t>
      </w:r>
    </w:p>
    <w:p w14:paraId="0CB2586E" w14:textId="3A975ED7" w:rsidR="00D930D9" w:rsidRDefault="00F45CFE" w:rsidP="00D930D9">
      <w:pPr>
        <w:pStyle w:val="paragraph"/>
      </w:pPr>
      <w:r>
        <w:tab/>
        <w:t>(j)</w:t>
      </w:r>
      <w:r>
        <w:tab/>
      </w:r>
      <w:r w:rsidR="00D930D9" w:rsidRPr="00A058B6">
        <w:t>details of any fees that may be charged by the trustee under paragraph </w:t>
      </w:r>
      <w:r w:rsidR="00485CC2">
        <w:t>98</w:t>
      </w:r>
      <w:r w:rsidR="00D930D9" w:rsidRPr="00A058B6">
        <w:t>(1)(a), (b), (c), (d) or (f)</w:t>
      </w:r>
      <w:r w:rsidR="00945414">
        <w:t>;</w:t>
      </w:r>
    </w:p>
    <w:p w14:paraId="30F72BDC" w14:textId="77777777" w:rsidR="00945414" w:rsidRPr="00A058B6" w:rsidRDefault="00945414" w:rsidP="00D930D9">
      <w:pPr>
        <w:pStyle w:val="paragraph"/>
      </w:pPr>
      <w:r>
        <w:tab/>
        <w:t>(k)</w:t>
      </w:r>
      <w:r>
        <w:tab/>
        <w:t>if known, the member’s date of birth.</w:t>
      </w:r>
    </w:p>
    <w:p w14:paraId="155A5DBB" w14:textId="1C643670" w:rsidR="00D930D9" w:rsidRPr="00A058B6" w:rsidRDefault="00D930D9" w:rsidP="00D930D9">
      <w:pPr>
        <w:pStyle w:val="subsection"/>
      </w:pPr>
      <w:r w:rsidRPr="00A058B6">
        <w:tab/>
        <w:t>(2)</w:t>
      </w:r>
      <w:r w:rsidRPr="00A058B6">
        <w:tab/>
        <w:t xml:space="preserve">Subsection (1) has effect subject to </w:t>
      </w:r>
      <w:r w:rsidR="00CB78B9">
        <w:t>section 1</w:t>
      </w:r>
      <w:r w:rsidR="00485CC2">
        <w:t>16</w:t>
      </w:r>
      <w:r w:rsidRPr="00A058B6">
        <w:t xml:space="preserve"> (about exceptions)</w:t>
      </w:r>
      <w:r w:rsidR="00D7157D">
        <w:t>.</w:t>
      </w:r>
    </w:p>
    <w:p w14:paraId="46CA9B5C" w14:textId="32B48672" w:rsidR="00D930D9" w:rsidRPr="00A058B6" w:rsidRDefault="00D930D9" w:rsidP="00D930D9">
      <w:pPr>
        <w:pStyle w:val="notetext"/>
      </w:pPr>
      <w:r w:rsidRPr="00A058B6">
        <w:t>Example:</w:t>
      </w:r>
      <w:r w:rsidRPr="00A058B6">
        <w:tab/>
        <w:t xml:space="preserve">If the application specifically requests the information mentioned in </w:t>
      </w:r>
      <w:r w:rsidR="00453C86">
        <w:t>paragraph (</w:t>
      </w:r>
      <w:r w:rsidRPr="00A058B6">
        <w:t>1)(</w:t>
      </w:r>
      <w:r w:rsidR="001145F0">
        <w:t>i</w:t>
      </w:r>
      <w:r w:rsidRPr="00A058B6">
        <w:t>), the trustee is required to provide only the information mentioned in that paragraph to the applicant</w:t>
      </w:r>
      <w:r w:rsidR="00D7157D">
        <w:t>.</w:t>
      </w:r>
      <w:r w:rsidRPr="00A058B6">
        <w:t xml:space="preserve"> The trustee is not required to provide any other information to the applicant under this Subdivision (see </w:t>
      </w:r>
      <w:r w:rsidR="00CB78B9">
        <w:t>paragraph 1</w:t>
      </w:r>
      <w:r w:rsidR="00485CC2">
        <w:t>16</w:t>
      </w:r>
      <w:r w:rsidRPr="00A058B6">
        <w:t>(1)(a))</w:t>
      </w:r>
      <w:r w:rsidR="00D7157D">
        <w:t>.</w:t>
      </w:r>
    </w:p>
    <w:p w14:paraId="65B6FCC0" w14:textId="67BD37E8" w:rsidR="00D930D9" w:rsidRPr="00A058B6" w:rsidRDefault="00D930D9" w:rsidP="00D930D9">
      <w:pPr>
        <w:pStyle w:val="notetext"/>
      </w:pPr>
      <w:r w:rsidRPr="00A058B6">
        <w:t>Note:</w:t>
      </w:r>
      <w:r w:rsidRPr="00A058B6">
        <w:tab/>
        <w:t xml:space="preserve">This information may not have to be provided by a secondary government trustee (see </w:t>
      </w:r>
      <w:r w:rsidR="00CB78B9">
        <w:t>section 1</w:t>
      </w:r>
      <w:r w:rsidR="00485CC2">
        <w:t>41</w:t>
      </w:r>
      <w:r w:rsidRPr="00A058B6">
        <w:t>)</w:t>
      </w:r>
      <w:r w:rsidR="00D7157D">
        <w:t>.</w:t>
      </w:r>
    </w:p>
    <w:p w14:paraId="20D3232D" w14:textId="3A53744E" w:rsidR="00D930D9" w:rsidRPr="00A058B6" w:rsidRDefault="00485CC2" w:rsidP="00D930D9">
      <w:pPr>
        <w:pStyle w:val="ActHead5"/>
      </w:pPr>
      <w:bookmarkStart w:id="165" w:name="_Toc188350650"/>
      <w:r w:rsidRPr="00423C34">
        <w:rPr>
          <w:rStyle w:val="CharSectno"/>
        </w:rPr>
        <w:t>112</w:t>
      </w:r>
      <w:r w:rsidR="00D930D9" w:rsidRPr="00A058B6">
        <w:t xml:space="preserve">  Specific information—the interest is in the payment phase</w:t>
      </w:r>
      <w:bookmarkEnd w:id="165"/>
    </w:p>
    <w:p w14:paraId="5EF92B4B" w14:textId="76526156" w:rsidR="00D930D9" w:rsidRPr="00A058B6" w:rsidRDefault="00D930D9" w:rsidP="00D930D9">
      <w:pPr>
        <w:pStyle w:val="subsection"/>
      </w:pPr>
      <w:r w:rsidRPr="00A058B6">
        <w:tab/>
        <w:t>(1)</w:t>
      </w:r>
      <w:r w:rsidRPr="00A058B6">
        <w:tab/>
        <w:t xml:space="preserve">For the purposes of </w:t>
      </w:r>
      <w:r w:rsidR="00CB78B9">
        <w:t>paragraph 1</w:t>
      </w:r>
      <w:r w:rsidR="00485CC2">
        <w:t>11</w:t>
      </w:r>
      <w:r w:rsidRPr="00A058B6">
        <w:t>(1)(</w:t>
      </w:r>
      <w:r w:rsidR="00AF39A3">
        <w:t>f</w:t>
      </w:r>
      <w:r w:rsidRPr="00A058B6">
        <w:t>), the payment phase information for the superannuation interest is:</w:t>
      </w:r>
    </w:p>
    <w:p w14:paraId="17FED40F" w14:textId="77777777" w:rsidR="00D930D9" w:rsidRPr="00A058B6" w:rsidRDefault="00921ECD" w:rsidP="00D930D9">
      <w:pPr>
        <w:pStyle w:val="paragraph"/>
      </w:pPr>
      <w:r>
        <w:tab/>
        <w:t>(a)</w:t>
      </w:r>
      <w:r>
        <w:tab/>
      </w:r>
      <w:r w:rsidR="00D930D9" w:rsidRPr="00A058B6">
        <w:t>if the member is receiving ongoing pension payments in respect of an allocated pension—the withdrawal benefit for the member at the appropriate date; and</w:t>
      </w:r>
    </w:p>
    <w:p w14:paraId="261A07F0" w14:textId="77777777" w:rsidR="00D930D9" w:rsidRPr="00A058B6" w:rsidRDefault="00921ECD" w:rsidP="00D930D9">
      <w:pPr>
        <w:pStyle w:val="paragraph"/>
        <w:rPr>
          <w:color w:val="000000"/>
        </w:rPr>
      </w:pPr>
      <w:r>
        <w:rPr>
          <w:color w:val="000000"/>
        </w:rPr>
        <w:tab/>
        <w:t>(b)</w:t>
      </w:r>
      <w:r>
        <w:rPr>
          <w:color w:val="000000"/>
        </w:rPr>
        <w:tab/>
      </w:r>
      <w:r w:rsidR="00D930D9" w:rsidRPr="00A058B6">
        <w:rPr>
          <w:color w:val="000000"/>
        </w:rPr>
        <w:t>if the member is receiving ongoing pension payments in respect of a market linked pension—the market linked pension account balance at the appropriate date; and</w:t>
      </w:r>
    </w:p>
    <w:p w14:paraId="4FAF3669" w14:textId="77777777" w:rsidR="00D930D9" w:rsidRPr="00A058B6" w:rsidRDefault="00921ECD" w:rsidP="00D930D9">
      <w:pPr>
        <w:pStyle w:val="paragraph"/>
      </w:pPr>
      <w:r>
        <w:tab/>
        <w:t>(c)</w:t>
      </w:r>
      <w:r>
        <w:tab/>
      </w:r>
      <w:r w:rsidR="00D930D9" w:rsidRPr="00A058B6">
        <w:t xml:space="preserve">if the member is receiving ongoing pension payments in respect of a pension other than </w:t>
      </w:r>
      <w:r w:rsidR="00D930D9" w:rsidRPr="00A058B6">
        <w:rPr>
          <w:color w:val="000000"/>
        </w:rPr>
        <w:t>an allocated pension or a market linked pension:</w:t>
      </w:r>
    </w:p>
    <w:p w14:paraId="0FC74B24" w14:textId="77777777" w:rsidR="00D930D9" w:rsidRPr="00A058B6" w:rsidRDefault="00D930D9" w:rsidP="00D930D9">
      <w:pPr>
        <w:pStyle w:val="paragraphsub"/>
      </w:pPr>
      <w:r w:rsidRPr="00A058B6">
        <w:tab/>
        <w:t>(i)</w:t>
      </w:r>
      <w:r w:rsidRPr="00A058B6">
        <w:tab/>
        <w:t>the amount of annual pension benefit payable to the member at the appropriate date; and</w:t>
      </w:r>
    </w:p>
    <w:p w14:paraId="6B9A5441" w14:textId="1C718A3F" w:rsidR="00D930D9" w:rsidRPr="00A058B6" w:rsidRDefault="00D930D9" w:rsidP="00D930D9">
      <w:pPr>
        <w:pStyle w:val="paragraphsub"/>
      </w:pPr>
      <w:r w:rsidRPr="00A058B6">
        <w:tab/>
        <w:t>(ii)</w:t>
      </w:r>
      <w:r w:rsidRPr="00A058B6">
        <w:tab/>
        <w:t>a statement indicating whether the pension benefit is a lifetime pension or a fixed</w:t>
      </w:r>
      <w:r w:rsidR="001952B3">
        <w:noBreakHyphen/>
      </w:r>
      <w:r w:rsidRPr="00A058B6">
        <w:t>term pension; and</w:t>
      </w:r>
    </w:p>
    <w:p w14:paraId="1A9F39F3" w14:textId="594BB20B" w:rsidR="00D930D9" w:rsidRPr="00A058B6" w:rsidRDefault="00D930D9" w:rsidP="00D930D9">
      <w:pPr>
        <w:pStyle w:val="paragraphsub"/>
      </w:pPr>
      <w:r w:rsidRPr="00A058B6">
        <w:tab/>
        <w:t>(iii)</w:t>
      </w:r>
      <w:r w:rsidRPr="00A058B6">
        <w:tab/>
        <w:t>if the pension is a fixed</w:t>
      </w:r>
      <w:r w:rsidR="001952B3">
        <w:noBreakHyphen/>
      </w:r>
      <w:r w:rsidRPr="00A058B6">
        <w:t>term pension—the date when the pension payments commenced, and the length of the fixed term; and</w:t>
      </w:r>
    </w:p>
    <w:p w14:paraId="697EEE53" w14:textId="77777777" w:rsidR="00D930D9" w:rsidRPr="00A058B6" w:rsidRDefault="00D930D9" w:rsidP="00D930D9">
      <w:pPr>
        <w:pStyle w:val="paragraphsub"/>
      </w:pPr>
      <w:r w:rsidRPr="00A058B6">
        <w:tab/>
        <w:t>(iv)</w:t>
      </w:r>
      <w:r w:rsidRPr="00A058B6">
        <w:tab/>
        <w:t>a statement indicating whether the pension benefit is indexed and, if so, the method of indexation; and</w:t>
      </w:r>
    </w:p>
    <w:p w14:paraId="4589D831" w14:textId="63ECFF5C" w:rsidR="00D930D9" w:rsidRPr="00A058B6" w:rsidRDefault="00D930D9" w:rsidP="00D930D9">
      <w:pPr>
        <w:pStyle w:val="paragraphsub"/>
      </w:pPr>
      <w:r w:rsidRPr="00A058B6">
        <w:tab/>
        <w:t>(v)</w:t>
      </w:r>
      <w:r w:rsidRPr="00A058B6">
        <w:tab/>
        <w:t>a statement indicating whether there is any reversionary beneficiary who is a non</w:t>
      </w:r>
      <w:r w:rsidR="001952B3">
        <w:noBreakHyphen/>
      </w:r>
      <w:r w:rsidRPr="00A058B6">
        <w:t>member spouse in relation to the pension benefit and, if so, the proportion of the ongoing pension payments that would be payable to the reversionary beneficiary on the death of the member; and</w:t>
      </w:r>
    </w:p>
    <w:p w14:paraId="5437BB2C" w14:textId="77777777" w:rsidR="00D930D9" w:rsidRPr="00A058B6" w:rsidRDefault="00921ECD" w:rsidP="00D930D9">
      <w:pPr>
        <w:pStyle w:val="paragraph"/>
      </w:pPr>
      <w:r>
        <w:tab/>
        <w:t>(d)</w:t>
      </w:r>
      <w:r>
        <w:tab/>
      </w:r>
      <w:r w:rsidR="00D930D9" w:rsidRPr="00A058B6">
        <w:t>if a lump sum is payable to the member in respect of the interest at the date when the information is provided or at any later date, and the amount of the lump sum is known—the amount of the lump sum; and</w:t>
      </w:r>
    </w:p>
    <w:p w14:paraId="79146BFC" w14:textId="77777777" w:rsidR="00D930D9" w:rsidRPr="00A058B6" w:rsidRDefault="00921ECD" w:rsidP="00D930D9">
      <w:pPr>
        <w:pStyle w:val="paragraph"/>
      </w:pPr>
      <w:r>
        <w:tab/>
        <w:t>(e)</w:t>
      </w:r>
      <w:r>
        <w:tab/>
      </w:r>
      <w:r w:rsidR="00D930D9" w:rsidRPr="00A058B6">
        <w:t xml:space="preserve">if a lump sum (a </w:t>
      </w:r>
      <w:r w:rsidR="00D930D9" w:rsidRPr="00A058B6">
        <w:rPr>
          <w:b/>
          <w:i/>
        </w:rPr>
        <w:t>future lump sum</w:t>
      </w:r>
      <w:r w:rsidR="00D930D9" w:rsidRPr="00A058B6">
        <w:t>) is payable to the member in respect of the interest at a date after the date when the information is provided, and the amount of the lump sum is not known:</w:t>
      </w:r>
    </w:p>
    <w:p w14:paraId="1F7F9D0F" w14:textId="77777777" w:rsidR="00D930D9" w:rsidRPr="00A058B6" w:rsidRDefault="00D930D9" w:rsidP="00D930D9">
      <w:pPr>
        <w:pStyle w:val="paragraphsub"/>
      </w:pPr>
      <w:r w:rsidRPr="00A058B6">
        <w:tab/>
        <w:t>(i)</w:t>
      </w:r>
      <w:r w:rsidRPr="00A058B6">
        <w:tab/>
        <w:t xml:space="preserve">the amount of the lump sum that would have been paid at the date when the information is provided if a lump sum were payable at that date (the </w:t>
      </w:r>
      <w:r w:rsidRPr="00A058B6">
        <w:rPr>
          <w:b/>
          <w:i/>
        </w:rPr>
        <w:t>nominal lump sum</w:t>
      </w:r>
      <w:r w:rsidRPr="00A058B6">
        <w:t>); and</w:t>
      </w:r>
    </w:p>
    <w:p w14:paraId="7DB8FB52" w14:textId="77777777" w:rsidR="00D930D9" w:rsidRPr="00A058B6" w:rsidRDefault="00D930D9" w:rsidP="00D930D9">
      <w:pPr>
        <w:pStyle w:val="paragraphsub"/>
      </w:pPr>
      <w:r w:rsidRPr="00A058B6">
        <w:tab/>
        <w:t>(ii)</w:t>
      </w:r>
      <w:r w:rsidRPr="00A058B6">
        <w:tab/>
        <w:t>the method that is to be used to index the nominal lump sum to determine the amount of the future lump sum; and</w:t>
      </w:r>
    </w:p>
    <w:p w14:paraId="3C8E85CE" w14:textId="77777777" w:rsidR="00D930D9" w:rsidRPr="00A058B6" w:rsidRDefault="00921ECD" w:rsidP="00D930D9">
      <w:pPr>
        <w:pStyle w:val="paragraph"/>
      </w:pPr>
      <w:r>
        <w:tab/>
        <w:t>(f)</w:t>
      </w:r>
      <w:r>
        <w:tab/>
      </w:r>
      <w:r w:rsidR="00D930D9" w:rsidRPr="00A058B6">
        <w:t xml:space="preserve">if a lump sum payment that would have been a superannuation lump sum (within the meaning of the </w:t>
      </w:r>
      <w:r w:rsidR="00D930D9" w:rsidRPr="00A058B6">
        <w:rPr>
          <w:i/>
        </w:rPr>
        <w:t>Income Tax Assessment Act 1997</w:t>
      </w:r>
      <w:r w:rsidR="00D930D9" w:rsidRPr="00A058B6">
        <w:t>) had been made in respect of the interest at the date when the information is provided:</w:t>
      </w:r>
    </w:p>
    <w:p w14:paraId="42B003FB" w14:textId="77777777" w:rsidR="00D930D9" w:rsidRPr="00A058B6" w:rsidRDefault="00D930D9" w:rsidP="00D930D9">
      <w:pPr>
        <w:pStyle w:val="paragraphsub"/>
      </w:pPr>
      <w:r w:rsidRPr="00A058B6">
        <w:tab/>
        <w:t>(i)</w:t>
      </w:r>
      <w:r w:rsidRPr="00A058B6">
        <w:tab/>
        <w:t>the amount of the payment; and</w:t>
      </w:r>
    </w:p>
    <w:p w14:paraId="75958D58" w14:textId="18FF2AFA" w:rsidR="00D930D9" w:rsidRPr="00A058B6" w:rsidRDefault="00D930D9" w:rsidP="00D930D9">
      <w:pPr>
        <w:pStyle w:val="paragraphsub"/>
      </w:pPr>
      <w:r w:rsidRPr="00A058B6">
        <w:tab/>
        <w:t>(ii)</w:t>
      </w:r>
      <w:r w:rsidRPr="00A058B6">
        <w:tab/>
        <w:t xml:space="preserve">the value that </w:t>
      </w:r>
      <w:r w:rsidR="00BC1EB4">
        <w:t xml:space="preserve">each of </w:t>
      </w:r>
      <w:r w:rsidRPr="00A058B6">
        <w:t xml:space="preserve">the components of the superannuation lump sum would have had under </w:t>
      </w:r>
      <w:r w:rsidR="00E62545">
        <w:t>Subdivision 3</w:t>
      </w:r>
      <w:r w:rsidRPr="00A058B6">
        <w:t>07</w:t>
      </w:r>
      <w:r w:rsidR="001952B3">
        <w:noBreakHyphen/>
      </w:r>
      <w:r w:rsidRPr="00A058B6">
        <w:t>C of that Act; and</w:t>
      </w:r>
    </w:p>
    <w:p w14:paraId="055C6F05" w14:textId="48182393" w:rsidR="00A64856" w:rsidRPr="00A058B6" w:rsidRDefault="00A64856" w:rsidP="00A64856">
      <w:pPr>
        <w:pStyle w:val="paragraphsub"/>
      </w:pPr>
      <w:r>
        <w:tab/>
        <w:t>(i</w:t>
      </w:r>
      <w:r w:rsidR="00BC1EB4">
        <w:t>ii</w:t>
      </w:r>
      <w:r>
        <w:t>)</w:t>
      </w:r>
      <w:r>
        <w:tab/>
      </w:r>
      <w:r w:rsidR="00BC1EB4" w:rsidRPr="00A058B6">
        <w:t xml:space="preserve">the value </w:t>
      </w:r>
      <w:r>
        <w:t xml:space="preserve">that each of the elements of the taxable component would have had under </w:t>
      </w:r>
      <w:r w:rsidR="00E62545">
        <w:t>Subdivision 3</w:t>
      </w:r>
      <w:r>
        <w:t>07</w:t>
      </w:r>
      <w:r w:rsidR="001952B3">
        <w:noBreakHyphen/>
      </w:r>
      <w:r>
        <w:t>E of that Act (if applicable); and</w:t>
      </w:r>
    </w:p>
    <w:p w14:paraId="461BC4A5" w14:textId="77777777" w:rsidR="00D930D9" w:rsidRPr="00A058B6" w:rsidRDefault="00921ECD" w:rsidP="00D930D9">
      <w:pPr>
        <w:pStyle w:val="paragraph"/>
      </w:pPr>
      <w:r>
        <w:tab/>
        <w:t>(g)</w:t>
      </w:r>
      <w:r>
        <w:tab/>
      </w:r>
      <w:r w:rsidR="00D930D9" w:rsidRPr="00A058B6">
        <w:t>a statement:</w:t>
      </w:r>
    </w:p>
    <w:p w14:paraId="3253BFC4" w14:textId="3AB2E084" w:rsidR="00D930D9" w:rsidRPr="00A058B6" w:rsidRDefault="00D930D9" w:rsidP="00D930D9">
      <w:pPr>
        <w:pStyle w:val="paragraphsub"/>
      </w:pPr>
      <w:r w:rsidRPr="00A058B6">
        <w:tab/>
        <w:t>(i)</w:t>
      </w:r>
      <w:r w:rsidRPr="00A058B6">
        <w:tab/>
        <w:t xml:space="preserve">indicating whether the Minister has approved, under </w:t>
      </w:r>
      <w:r w:rsidR="00CB78B9">
        <w:t>section 7</w:t>
      </w:r>
      <w:r w:rsidR="00485CC2">
        <w:t>0</w:t>
      </w:r>
      <w:r w:rsidRPr="00A058B6">
        <w:t>, a method or factors for determining the gross value of the interest; and</w:t>
      </w:r>
    </w:p>
    <w:p w14:paraId="51F0832A" w14:textId="77777777" w:rsidR="00D930D9" w:rsidRPr="00A058B6" w:rsidRDefault="00D930D9" w:rsidP="00D930D9">
      <w:pPr>
        <w:pStyle w:val="paragraphsub"/>
      </w:pPr>
      <w:r w:rsidRPr="00A058B6">
        <w:tab/>
        <w:t>(ii)</w:t>
      </w:r>
      <w:r w:rsidRPr="00A058B6">
        <w:tab/>
        <w:t>giving details of any method or factors so approved; and</w:t>
      </w:r>
    </w:p>
    <w:p w14:paraId="12E4CE9B" w14:textId="77777777" w:rsidR="00D930D9" w:rsidRPr="00A058B6" w:rsidRDefault="00921ECD" w:rsidP="00D930D9">
      <w:pPr>
        <w:pStyle w:val="paragraph"/>
      </w:pPr>
      <w:r>
        <w:tab/>
        <w:t>(h)</w:t>
      </w:r>
      <w:r>
        <w:tab/>
      </w:r>
      <w:r w:rsidR="00D930D9" w:rsidRPr="00A058B6">
        <w:t>if the application for information specifically requests the trustee to provide it and the trustee chooses to do so—the gross value of the interest at the appropriate date, determined in accordance with:</w:t>
      </w:r>
    </w:p>
    <w:p w14:paraId="6ED6DCCF" w14:textId="578CC6A9" w:rsidR="00D930D9" w:rsidRPr="00A058B6" w:rsidRDefault="00D930D9" w:rsidP="00D930D9">
      <w:pPr>
        <w:pStyle w:val="paragraphsub"/>
      </w:pPr>
      <w:r w:rsidRPr="00A058B6">
        <w:tab/>
        <w:t>(i)</w:t>
      </w:r>
      <w:r w:rsidRPr="00A058B6">
        <w:tab/>
        <w:t xml:space="preserve">whichever of the methods in </w:t>
      </w:r>
      <w:r w:rsidR="00453C86">
        <w:t>Division 2</w:t>
      </w:r>
      <w:r w:rsidRPr="00A058B6">
        <w:t xml:space="preserve"> of Part </w:t>
      </w:r>
      <w:r w:rsidR="00934E66">
        <w:t>6</w:t>
      </w:r>
      <w:r w:rsidRPr="00A058B6">
        <w:t xml:space="preserve"> applies to the interest; or</w:t>
      </w:r>
    </w:p>
    <w:p w14:paraId="43E1DC7F" w14:textId="11C6A80E" w:rsidR="00D930D9" w:rsidRPr="00A058B6" w:rsidRDefault="00D930D9" w:rsidP="00D930D9">
      <w:pPr>
        <w:pStyle w:val="paragraphsub"/>
      </w:pPr>
      <w:r w:rsidRPr="00A058B6">
        <w:tab/>
        <w:t>(ii)</w:t>
      </w:r>
      <w:r w:rsidRPr="00A058B6">
        <w:tab/>
        <w:t xml:space="preserve">a method or factors approved by the Minister under </w:t>
      </w:r>
      <w:r w:rsidR="00CB78B9">
        <w:t>section 7</w:t>
      </w:r>
      <w:r w:rsidR="00485CC2">
        <w:t>0</w:t>
      </w:r>
      <w:r w:rsidR="00D7157D">
        <w:t>.</w:t>
      </w:r>
    </w:p>
    <w:p w14:paraId="4AD4D22C" w14:textId="5FAE27C0" w:rsidR="00D930D9" w:rsidRPr="00A058B6" w:rsidRDefault="00D930D9" w:rsidP="00D930D9">
      <w:pPr>
        <w:pStyle w:val="notetext"/>
      </w:pPr>
      <w:r w:rsidRPr="00A058B6">
        <w:t>Note:</w:t>
      </w:r>
      <w:r w:rsidRPr="00A058B6">
        <w:tab/>
        <w:t xml:space="preserve">The trustee is not required to provide the information mentioned in </w:t>
      </w:r>
      <w:r w:rsidR="00453C86">
        <w:t>paragraph (</w:t>
      </w:r>
      <w:r w:rsidRPr="00A058B6">
        <w:t>a) or sub</w:t>
      </w:r>
      <w:r w:rsidR="00453C86">
        <w:t>paragraph (</w:t>
      </w:r>
      <w:r w:rsidR="00921ECD">
        <w:t>c</w:t>
      </w:r>
      <w:r w:rsidRPr="00A058B6">
        <w:t xml:space="preserve">)(i) unless a record of it is in the trustee’s possession, power or control (see </w:t>
      </w:r>
      <w:r w:rsidR="00CB78B9">
        <w:t>paragraph 1</w:t>
      </w:r>
      <w:r w:rsidR="00485CC2">
        <w:t>16</w:t>
      </w:r>
      <w:r w:rsidRPr="00A058B6">
        <w:t>(1)(b))</w:t>
      </w:r>
      <w:r w:rsidR="00D7157D">
        <w:t>.</w:t>
      </w:r>
    </w:p>
    <w:p w14:paraId="61E9020A" w14:textId="77777777" w:rsidR="00D930D9" w:rsidRPr="00A058B6" w:rsidRDefault="00D930D9" w:rsidP="00D930D9">
      <w:pPr>
        <w:pStyle w:val="subsection"/>
      </w:pPr>
      <w:r w:rsidRPr="00A058B6">
        <w:tab/>
        <w:t>(2)</w:t>
      </w:r>
      <w:r w:rsidRPr="00A058B6">
        <w:tab/>
        <w:t>If:</w:t>
      </w:r>
    </w:p>
    <w:p w14:paraId="43001CD7" w14:textId="31D35CAE" w:rsidR="00D930D9" w:rsidRPr="00A058B6" w:rsidRDefault="00921ECD" w:rsidP="00D930D9">
      <w:pPr>
        <w:pStyle w:val="paragraph"/>
      </w:pPr>
      <w:r>
        <w:tab/>
        <w:t>(a)</w:t>
      </w:r>
      <w:r>
        <w:tab/>
      </w:r>
      <w:r w:rsidR="00453C86">
        <w:t>paragraph (</w:t>
      </w:r>
      <w:r w:rsidR="00D930D9" w:rsidRPr="00A058B6">
        <w:t>1)(</w:t>
      </w:r>
      <w:r w:rsidR="009E20BA">
        <w:t>h</w:t>
      </w:r>
      <w:r w:rsidR="00D930D9" w:rsidRPr="00A058B6">
        <w:t>) applies to the application for information about the superannuation interest; and</w:t>
      </w:r>
    </w:p>
    <w:p w14:paraId="765F2A76" w14:textId="77777777" w:rsidR="00D930D9" w:rsidRPr="00A058B6" w:rsidRDefault="00921ECD" w:rsidP="00D930D9">
      <w:pPr>
        <w:pStyle w:val="paragraph"/>
      </w:pPr>
      <w:r>
        <w:tab/>
        <w:t>(b)</w:t>
      </w:r>
      <w:r>
        <w:tab/>
      </w:r>
      <w:r w:rsidR="00D930D9" w:rsidRPr="00A058B6">
        <w:t>the trustee, in response to the application:</w:t>
      </w:r>
    </w:p>
    <w:p w14:paraId="3BECE036" w14:textId="1BFCC542" w:rsidR="00D930D9" w:rsidRPr="00A058B6" w:rsidRDefault="00D930D9" w:rsidP="00D930D9">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7</w:t>
      </w:r>
      <w:r w:rsidR="00485CC2">
        <w:t>0</w:t>
      </w:r>
      <w:r w:rsidRPr="00A058B6">
        <w:t>; but</w:t>
      </w:r>
    </w:p>
    <w:p w14:paraId="09624E76" w14:textId="77777777" w:rsidR="00D930D9" w:rsidRPr="00A058B6" w:rsidRDefault="00D930D9" w:rsidP="00D930D9">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1B68CC5A" w14:textId="0A768F88" w:rsidR="00D930D9" w:rsidRPr="00A058B6" w:rsidRDefault="00921ECD" w:rsidP="00D930D9">
      <w:pPr>
        <w:pStyle w:val="paragraph"/>
      </w:pPr>
      <w:r>
        <w:tab/>
        <w:t>(c)</w:t>
      </w:r>
      <w:r>
        <w:tab/>
      </w:r>
      <w:r w:rsidR="00D930D9" w:rsidRPr="00A058B6">
        <w:t xml:space="preserve">the applicant makes a further application </w:t>
      </w:r>
      <w:r w:rsidR="00967655">
        <w:t xml:space="preserve">that complies with </w:t>
      </w:r>
      <w:r w:rsidR="00FE15C4">
        <w:t>subsection 9</w:t>
      </w:r>
      <w:r w:rsidR="00D930D9" w:rsidRPr="00A058B6">
        <w:t>0XZB(3) or 90YZR(3) of the Act for specific underlying valuation information for the interest;</w:t>
      </w:r>
    </w:p>
    <w:p w14:paraId="1E74571D" w14:textId="4F69B40C" w:rsidR="00D930D9" w:rsidRDefault="00D930D9" w:rsidP="00D930D9">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rsidR="00D7157D">
        <w:t>.</w:t>
      </w:r>
    </w:p>
    <w:p w14:paraId="703EB2C6" w14:textId="0B79EDD5" w:rsidR="00DA33A2" w:rsidRDefault="00805FB6" w:rsidP="00805FB6">
      <w:pPr>
        <w:pStyle w:val="notetext"/>
      </w:pPr>
      <w:r>
        <w:t>Note</w:t>
      </w:r>
      <w:r w:rsidR="002D1B6E">
        <w:t>:</w:t>
      </w:r>
      <w:r w:rsidR="002D1B6E">
        <w:tab/>
        <w:t xml:space="preserve">For </w:t>
      </w:r>
      <w:r w:rsidR="00453C86">
        <w:t>paragraph (</w:t>
      </w:r>
      <w:r w:rsidR="002D1B6E">
        <w:t xml:space="preserve">c), </w:t>
      </w:r>
      <w:r w:rsidR="00AF1E4E">
        <w:t>section 9</w:t>
      </w:r>
      <w:r w:rsidR="0097597D">
        <w:t xml:space="preserve">0XZB or 90YZR </w:t>
      </w:r>
      <w:r w:rsidR="00DA33A2">
        <w:t xml:space="preserve">of the Act </w:t>
      </w:r>
      <w:r w:rsidR="0097597D">
        <w:t xml:space="preserve">does not prevent </w:t>
      </w:r>
      <w:r w:rsidR="002D1B6E">
        <w:t xml:space="preserve">the applicant </w:t>
      </w:r>
      <w:r w:rsidR="0097597D">
        <w:t>from making</w:t>
      </w:r>
      <w:r w:rsidR="002D1B6E">
        <w:t xml:space="preserve"> further applications</w:t>
      </w:r>
      <w:r w:rsidR="00DA33A2">
        <w:t>,</w:t>
      </w:r>
      <w:r w:rsidR="002D1B6E">
        <w:t xml:space="preserve"> that comply with </w:t>
      </w:r>
      <w:r w:rsidR="00DA33A2">
        <w:t>that section, for information about the superannuation interest</w:t>
      </w:r>
      <w:r w:rsidR="00D7157D">
        <w:t>.</w:t>
      </w:r>
    </w:p>
    <w:p w14:paraId="305D3B75" w14:textId="3FF95283" w:rsidR="00D930D9" w:rsidRPr="00A058B6" w:rsidRDefault="00D930D9" w:rsidP="00D930D9">
      <w:pPr>
        <w:pStyle w:val="subsection"/>
      </w:pPr>
      <w:r w:rsidRPr="00A058B6">
        <w:tab/>
        <w:t>(3)</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rsidR="00D7157D">
        <w:t>.</w:t>
      </w:r>
    </w:p>
    <w:p w14:paraId="4B29E65D" w14:textId="787F4E5A" w:rsidR="00D930D9" w:rsidRPr="00A058B6" w:rsidRDefault="00485CC2" w:rsidP="00D930D9">
      <w:pPr>
        <w:pStyle w:val="ActHead5"/>
      </w:pPr>
      <w:bookmarkStart w:id="166" w:name="_Toc188350651"/>
      <w:r w:rsidRPr="00423C34">
        <w:rPr>
          <w:rStyle w:val="CharSectno"/>
        </w:rPr>
        <w:t>113</w:t>
      </w:r>
      <w:r w:rsidR="00D930D9" w:rsidRPr="00A058B6">
        <w:t xml:space="preserve">  Specific information—the interest is in the growth phase and held as a result of employment in which the member is still engaged</w:t>
      </w:r>
      <w:bookmarkEnd w:id="166"/>
    </w:p>
    <w:p w14:paraId="21775BF9" w14:textId="73C5649E" w:rsidR="00D930D9" w:rsidRPr="00A058B6" w:rsidRDefault="00D930D9" w:rsidP="00D930D9">
      <w:pPr>
        <w:pStyle w:val="subsection"/>
      </w:pPr>
      <w:r w:rsidRPr="00A058B6">
        <w:tab/>
        <w:t>(1)</w:t>
      </w:r>
      <w:r w:rsidRPr="00A058B6">
        <w:tab/>
        <w:t xml:space="preserve">For the purposes of </w:t>
      </w:r>
      <w:r w:rsidR="00CB78B9">
        <w:t>paragraph 1</w:t>
      </w:r>
      <w:r w:rsidR="00485CC2">
        <w:t>11</w:t>
      </w:r>
      <w:r w:rsidRPr="00A058B6">
        <w:t>(1)(</w:t>
      </w:r>
      <w:r w:rsidR="00FA3B01">
        <w:t>g</w:t>
      </w:r>
      <w:r w:rsidRPr="00A058B6">
        <w:t>), the growth phase information for the superannuation interest is as follows:</w:t>
      </w:r>
    </w:p>
    <w:p w14:paraId="7B101F4B" w14:textId="77777777" w:rsidR="00D930D9" w:rsidRPr="00A058B6" w:rsidRDefault="009E20BA" w:rsidP="00D930D9">
      <w:pPr>
        <w:pStyle w:val="paragraph"/>
      </w:pPr>
      <w:r>
        <w:tab/>
        <w:t>(a)</w:t>
      </w:r>
      <w:r>
        <w:tab/>
      </w:r>
      <w:r w:rsidR="00D930D9" w:rsidRPr="00A058B6">
        <w:t>the member’s retirement age;</w:t>
      </w:r>
    </w:p>
    <w:p w14:paraId="348D7729" w14:textId="44268B3C" w:rsidR="00D930D9" w:rsidRPr="00A058B6" w:rsidRDefault="009E20BA" w:rsidP="00D930D9">
      <w:pPr>
        <w:pStyle w:val="paragraph"/>
      </w:pPr>
      <w:r>
        <w:tab/>
        <w:t>(b)</w:t>
      </w:r>
      <w:r>
        <w:tab/>
      </w:r>
      <w:r w:rsidR="00D930D9" w:rsidRPr="00A058B6">
        <w:t xml:space="preserve">the member spouse’s accrued benefit multiple (within the meaning given by </w:t>
      </w:r>
      <w:r w:rsidR="00CB78B9">
        <w:t>section 1</w:t>
      </w:r>
      <w:r w:rsidR="00485CC2">
        <w:t>17</w:t>
      </w:r>
      <w:r w:rsidR="00D930D9" w:rsidRPr="00A058B6">
        <w:t>) for any lump sum, or pension, payable in respect of the interest;</w:t>
      </w:r>
    </w:p>
    <w:p w14:paraId="32211D90" w14:textId="77777777" w:rsidR="00D930D9" w:rsidRPr="00A058B6" w:rsidRDefault="009E20BA" w:rsidP="00D930D9">
      <w:pPr>
        <w:pStyle w:val="paragraph"/>
      </w:pPr>
      <w:r>
        <w:tab/>
        <w:t>(c)</w:t>
      </w:r>
      <w:r>
        <w:tab/>
      </w:r>
      <w:r w:rsidR="00D930D9" w:rsidRPr="00A058B6">
        <w:t>the salary figure, on which any benefit payable in respect of the interest would be based, assuming that the member were eligible to retire at the appropriate date;</w:t>
      </w:r>
    </w:p>
    <w:p w14:paraId="3B77E399" w14:textId="77777777" w:rsidR="00D930D9" w:rsidRPr="00A058B6" w:rsidRDefault="009E20BA" w:rsidP="00D930D9">
      <w:pPr>
        <w:pStyle w:val="paragraph"/>
        <w:rPr>
          <w:color w:val="000000"/>
        </w:rPr>
      </w:pPr>
      <w:r>
        <w:rPr>
          <w:color w:val="000000"/>
        </w:rPr>
        <w:tab/>
        <w:t>(d)</w:t>
      </w:r>
      <w:r>
        <w:rPr>
          <w:color w:val="000000"/>
        </w:rPr>
        <w:tab/>
      </w:r>
      <w:r w:rsidR="00D930D9" w:rsidRPr="00A058B6">
        <w:rPr>
          <w:color w:val="000000"/>
        </w:rPr>
        <w:t>if:</w:t>
      </w:r>
    </w:p>
    <w:p w14:paraId="01632699" w14:textId="77777777" w:rsidR="00D930D9" w:rsidRPr="00A058B6" w:rsidRDefault="00D930D9" w:rsidP="00D930D9">
      <w:pPr>
        <w:pStyle w:val="paragraphsub"/>
      </w:pPr>
      <w:r w:rsidRPr="00A058B6">
        <w:tab/>
        <w:t>(i)</w:t>
      </w:r>
      <w:r w:rsidRPr="00A058B6">
        <w:tab/>
        <w:t>the benefit in respect of the interest is payable as a combination of a lump sum and a pension; and</w:t>
      </w:r>
    </w:p>
    <w:p w14:paraId="53CC7008" w14:textId="77777777" w:rsidR="00D930D9" w:rsidRPr="00A058B6" w:rsidRDefault="00D930D9" w:rsidP="00D930D9">
      <w:pPr>
        <w:pStyle w:val="paragraphsub"/>
      </w:pPr>
      <w:r w:rsidRPr="00A058B6">
        <w:tab/>
        <w:t>(ii)</w:t>
      </w:r>
      <w:r w:rsidRPr="00A058B6">
        <w:tab/>
        <w:t>the governing rules of the plan restrict the proportion of the pension that may be commuted to a lump sum;</w:t>
      </w:r>
    </w:p>
    <w:p w14:paraId="64F2C270" w14:textId="77777777" w:rsidR="00D930D9" w:rsidRPr="00A058B6" w:rsidRDefault="00D930D9" w:rsidP="00D930D9">
      <w:pPr>
        <w:pStyle w:val="paragraph"/>
      </w:pPr>
      <w:r w:rsidRPr="00A058B6">
        <w:tab/>
      </w:r>
      <w:r w:rsidRPr="00A058B6">
        <w:tab/>
        <w:t>the maximum amount of pension that may be commuted to a lump sum, expressed as a percentage of the amount of the pension that would be payable if the whole benefit were to be taken as a pension;</w:t>
      </w:r>
    </w:p>
    <w:p w14:paraId="501A3EB1" w14:textId="77777777" w:rsidR="00D930D9" w:rsidRPr="00A058B6" w:rsidRDefault="009E20BA" w:rsidP="00D930D9">
      <w:pPr>
        <w:pStyle w:val="paragraph"/>
      </w:pPr>
      <w:r>
        <w:tab/>
        <w:t>(e)</w:t>
      </w:r>
      <w:r>
        <w:tab/>
      </w:r>
      <w:r w:rsidR="00D930D9" w:rsidRPr="00A058B6">
        <w:t>if:</w:t>
      </w:r>
    </w:p>
    <w:p w14:paraId="19E3FDBF" w14:textId="77777777" w:rsidR="00D930D9" w:rsidRPr="00A058B6" w:rsidRDefault="00D930D9" w:rsidP="00D930D9">
      <w:pPr>
        <w:pStyle w:val="paragraphsub"/>
      </w:pPr>
      <w:r w:rsidRPr="00A058B6">
        <w:tab/>
        <w:t>(i)</w:t>
      </w:r>
      <w:r w:rsidRPr="00A058B6">
        <w:tab/>
        <w:t>the benefit in respect of the interest is payable as a combination of a lump sum and a pension; and</w:t>
      </w:r>
    </w:p>
    <w:p w14:paraId="5A8A3C03" w14:textId="77777777" w:rsidR="00D930D9" w:rsidRPr="00A058B6" w:rsidRDefault="00D930D9" w:rsidP="00D930D9">
      <w:pPr>
        <w:pStyle w:val="paragraphsub"/>
      </w:pPr>
      <w:r w:rsidRPr="00A058B6">
        <w:tab/>
        <w:t>(ii)</w:t>
      </w:r>
      <w:r w:rsidRPr="00A058B6">
        <w:tab/>
        <w:t>the governing rules of the plan restrict the proportion of the lump sum that may be converted to a pension;</w:t>
      </w:r>
    </w:p>
    <w:p w14:paraId="042D1EB4" w14:textId="77777777" w:rsidR="00D930D9" w:rsidRPr="00A058B6" w:rsidRDefault="00D930D9" w:rsidP="00D930D9">
      <w:pPr>
        <w:pStyle w:val="paragraph"/>
      </w:pPr>
      <w:r w:rsidRPr="00A058B6">
        <w:tab/>
      </w:r>
      <w:r w:rsidRPr="00A058B6">
        <w:tab/>
        <w:t>the maximum amount of the lump sum that may be converted to a pension, expressed as a percentage of the amount of the lump sum that would be payable if the whole benefit were to be taken as a lump sum;</w:t>
      </w:r>
    </w:p>
    <w:p w14:paraId="51FF8A2D" w14:textId="77777777" w:rsidR="00D930D9" w:rsidRPr="00A058B6" w:rsidRDefault="009E20BA" w:rsidP="00D930D9">
      <w:pPr>
        <w:pStyle w:val="paragraph"/>
      </w:pPr>
      <w:r>
        <w:tab/>
        <w:t>(f)</w:t>
      </w:r>
      <w:r>
        <w:tab/>
      </w:r>
      <w:r w:rsidR="00D930D9" w:rsidRPr="00A058B6">
        <w:t>if any pension payable in respect of the interest is indexed and, if so, the method of indexation;</w:t>
      </w:r>
    </w:p>
    <w:p w14:paraId="5364AF52" w14:textId="77777777" w:rsidR="00D930D9" w:rsidRPr="00A058B6" w:rsidRDefault="009E20BA" w:rsidP="00D930D9">
      <w:pPr>
        <w:pStyle w:val="paragraph"/>
      </w:pPr>
      <w:r>
        <w:tab/>
        <w:t>(g)</w:t>
      </w:r>
      <w:r>
        <w:tab/>
      </w:r>
      <w:r w:rsidR="00D930D9" w:rsidRPr="00A058B6">
        <w:t>if any pension payable in respect of the interest has a guarantee period and, if so, the length of the guarantee period;</w:t>
      </w:r>
    </w:p>
    <w:p w14:paraId="58A6C7DC" w14:textId="77777777" w:rsidR="00D930D9" w:rsidRPr="00A058B6" w:rsidRDefault="009E20BA" w:rsidP="00D930D9">
      <w:pPr>
        <w:pStyle w:val="paragraph"/>
      </w:pPr>
      <w:r>
        <w:tab/>
        <w:t>(h)</w:t>
      </w:r>
      <w:r>
        <w:tab/>
      </w:r>
      <w:r w:rsidR="00D930D9" w:rsidRPr="00A058B6">
        <w:t>the conversion factor for converting a lump sum to a pension that will apply at the member’s retirement age;</w:t>
      </w:r>
    </w:p>
    <w:p w14:paraId="114E326B" w14:textId="77777777" w:rsidR="00D930D9" w:rsidRPr="00A058B6" w:rsidRDefault="009E20BA" w:rsidP="00D930D9">
      <w:pPr>
        <w:pStyle w:val="paragraph"/>
      </w:pPr>
      <w:r>
        <w:tab/>
        <w:t>(i)</w:t>
      </w:r>
      <w:r>
        <w:tab/>
      </w:r>
      <w:r w:rsidR="00D930D9" w:rsidRPr="00A058B6">
        <w:t>the commutation factor for commuting a pension to a lump sum that will apply at the member’s retirement age;</w:t>
      </w:r>
    </w:p>
    <w:p w14:paraId="7FF0F122" w14:textId="7CE7BB71" w:rsidR="00D930D9" w:rsidRPr="00A058B6" w:rsidRDefault="009E20BA" w:rsidP="00D930D9">
      <w:pPr>
        <w:pStyle w:val="paragraph"/>
      </w:pPr>
      <w:r>
        <w:tab/>
        <w:t>(j)</w:t>
      </w:r>
      <w:r>
        <w:tab/>
      </w:r>
      <w:r w:rsidR="00D930D9" w:rsidRPr="00A058B6">
        <w:t>if benefits in respect of the interest may be payable to a reversionary beneficiary who is a non</w:t>
      </w:r>
      <w:r w:rsidR="001952B3">
        <w:noBreakHyphen/>
      </w:r>
      <w:r w:rsidR="00D930D9" w:rsidRPr="00A058B6">
        <w:t>member spouse—the proportion of payment in respect of the interest that the non</w:t>
      </w:r>
      <w:r w:rsidR="001952B3">
        <w:noBreakHyphen/>
      </w:r>
      <w:r w:rsidR="00D930D9" w:rsidRPr="00A058B6">
        <w:t>member spouse would receive, as a reversionary beneficiary, on the death of the member;</w:t>
      </w:r>
    </w:p>
    <w:p w14:paraId="595FA361" w14:textId="77777777" w:rsidR="00D930D9" w:rsidRPr="00A058B6" w:rsidRDefault="009E20BA" w:rsidP="00D930D9">
      <w:pPr>
        <w:pStyle w:val="paragraph"/>
      </w:pPr>
      <w:r>
        <w:tab/>
        <w:t>(k)</w:t>
      </w:r>
      <w:r>
        <w:tab/>
      </w:r>
      <w:r w:rsidR="00D930D9" w:rsidRPr="00A058B6">
        <w:t>unless the interest is in a constitutionally protected fund—the amount (if any) that was stated to be the surcharge debt of the member in the most recent member information statement for the member spouse and the interest that was provided to the member before the appropriate date;</w:t>
      </w:r>
    </w:p>
    <w:p w14:paraId="450BAE28" w14:textId="77777777" w:rsidR="00D930D9" w:rsidRPr="00A058B6" w:rsidRDefault="009E20BA" w:rsidP="00D930D9">
      <w:pPr>
        <w:pStyle w:val="paragraph"/>
      </w:pPr>
      <w:r>
        <w:tab/>
        <w:t>(l)</w:t>
      </w:r>
      <w:r>
        <w:tab/>
      </w:r>
      <w:r w:rsidR="00D930D9" w:rsidRPr="00A058B6">
        <w:t>if the interest is in a regulated superannuation fund or an RSA:</w:t>
      </w:r>
    </w:p>
    <w:p w14:paraId="6C252047" w14:textId="14821D91" w:rsidR="00D930D9" w:rsidRPr="00A058B6" w:rsidRDefault="00D930D9" w:rsidP="00D930D9">
      <w:pPr>
        <w:pStyle w:val="paragraphsub"/>
      </w:pPr>
      <w:r w:rsidRPr="00A058B6">
        <w:tab/>
        <w:t>(i)</w:t>
      </w:r>
      <w:r w:rsidRPr="00A058B6">
        <w:tab/>
        <w:t>the amount of restricted non</w:t>
      </w:r>
      <w:r w:rsidR="001952B3">
        <w:noBreakHyphen/>
      </w:r>
      <w:r w:rsidRPr="00A058B6">
        <w:t>preserved benefits that had accrued to the member, and would be payable to the member, if the member were to resign from the member’s employment on the date when the information is provided; and</w:t>
      </w:r>
    </w:p>
    <w:p w14:paraId="67542546" w14:textId="61CD6A11" w:rsidR="00D930D9" w:rsidRPr="00A058B6" w:rsidRDefault="00D930D9" w:rsidP="00D930D9">
      <w:pPr>
        <w:pStyle w:val="paragraphsub"/>
      </w:pPr>
      <w:r w:rsidRPr="00A058B6">
        <w:tab/>
        <w:t>(ii)</w:t>
      </w:r>
      <w:r w:rsidRPr="00A058B6">
        <w:tab/>
        <w:t>the amount (if any) of the member’s unrestricted non</w:t>
      </w:r>
      <w:r w:rsidR="001952B3">
        <w:noBreakHyphen/>
      </w:r>
      <w:r w:rsidRPr="00A058B6">
        <w:t>preserved benefits;</w:t>
      </w:r>
    </w:p>
    <w:p w14:paraId="2226D469" w14:textId="44A66156" w:rsidR="00D930D9" w:rsidRPr="00A058B6" w:rsidRDefault="009E20BA" w:rsidP="00D930D9">
      <w:pPr>
        <w:pStyle w:val="paragraph"/>
      </w:pPr>
      <w:r>
        <w:tab/>
        <w:t>(m)</w:t>
      </w:r>
      <w:r>
        <w:tab/>
      </w:r>
      <w:r w:rsidR="00D930D9" w:rsidRPr="00A058B6">
        <w:t>if the interest is in an approved deposit fund—the amount, at the date when the information is provided, of the member’s unrestricted non</w:t>
      </w:r>
      <w:r w:rsidR="001952B3">
        <w:noBreakHyphen/>
      </w:r>
      <w:r w:rsidR="00D930D9" w:rsidRPr="00A058B6">
        <w:t>preserved benefits;</w:t>
      </w:r>
    </w:p>
    <w:p w14:paraId="46AF7BCA" w14:textId="77777777" w:rsidR="00D930D9" w:rsidRPr="00A058B6" w:rsidRDefault="009E20BA" w:rsidP="00D930D9">
      <w:pPr>
        <w:pStyle w:val="paragraph"/>
      </w:pPr>
      <w:r>
        <w:tab/>
        <w:t>(n)</w:t>
      </w:r>
      <w:r>
        <w:tab/>
      </w:r>
      <w:r w:rsidR="00D930D9" w:rsidRPr="00A058B6">
        <w:t>if:</w:t>
      </w:r>
    </w:p>
    <w:p w14:paraId="552CBE56" w14:textId="77777777" w:rsidR="00D930D9" w:rsidRPr="00A058B6" w:rsidRDefault="00D930D9" w:rsidP="00D930D9">
      <w:pPr>
        <w:pStyle w:val="paragraphsub"/>
      </w:pPr>
      <w:r w:rsidRPr="00A058B6">
        <w:tab/>
        <w:t>(i)</w:t>
      </w:r>
      <w:r w:rsidRPr="00A058B6">
        <w:tab/>
        <w:t xml:space="preserve">a payment that would have been a superannuation lump sum (within the meaning of the </w:t>
      </w:r>
      <w:r w:rsidRPr="00A058B6">
        <w:rPr>
          <w:i/>
        </w:rPr>
        <w:t>Income Tax Assessment Act 1997</w:t>
      </w:r>
      <w:r w:rsidRPr="00A058B6">
        <w:t>)</w:t>
      </w:r>
      <w:r w:rsidRPr="00A058B6">
        <w:rPr>
          <w:i/>
        </w:rPr>
        <w:t xml:space="preserve"> </w:t>
      </w:r>
      <w:r w:rsidRPr="00A058B6">
        <w:t>had been made in respect of the interest at the date when the information is provided; and</w:t>
      </w:r>
    </w:p>
    <w:p w14:paraId="308ECDCC" w14:textId="77777777" w:rsidR="00D930D9" w:rsidRPr="00A058B6" w:rsidRDefault="00D930D9" w:rsidP="00D930D9">
      <w:pPr>
        <w:pStyle w:val="paragraphsub"/>
      </w:pPr>
      <w:r w:rsidRPr="00A058B6">
        <w:tab/>
        <w:t>(ii)</w:t>
      </w:r>
      <w:r w:rsidRPr="00A058B6">
        <w:tab/>
        <w:t>the amount of the payment had been the amount payable to the member if the member had voluntarily ceased to be a member of the plan;</w:t>
      </w:r>
    </w:p>
    <w:p w14:paraId="7179DBCE" w14:textId="77777777" w:rsidR="00BC1EB4" w:rsidRDefault="00BC1EB4" w:rsidP="00BC1EB4">
      <w:pPr>
        <w:pStyle w:val="paragraph"/>
      </w:pPr>
      <w:r w:rsidRPr="00A058B6">
        <w:tab/>
      </w:r>
      <w:r w:rsidRPr="00A058B6">
        <w:tab/>
      </w:r>
      <w:r>
        <w:t>the value:</w:t>
      </w:r>
    </w:p>
    <w:p w14:paraId="6AF25FBA" w14:textId="5E9781BE" w:rsidR="00BC1EB4" w:rsidRDefault="00BC1EB4" w:rsidP="00BC1EB4">
      <w:pPr>
        <w:pStyle w:val="paragraphsub"/>
      </w:pPr>
      <w:r>
        <w:tab/>
        <w:t>(iii)</w:t>
      </w:r>
      <w:r>
        <w:tab/>
        <w:t xml:space="preserve">that each of </w:t>
      </w:r>
      <w:r w:rsidRPr="00A058B6">
        <w:t xml:space="preserve">the components of the superannuation lump sum would have had under </w:t>
      </w:r>
      <w:r w:rsidR="00E62545">
        <w:t>Subdivision 3</w:t>
      </w:r>
      <w:r w:rsidRPr="00A058B6">
        <w:t>07</w:t>
      </w:r>
      <w:r w:rsidR="001952B3">
        <w:noBreakHyphen/>
      </w:r>
      <w:r w:rsidRPr="00A058B6">
        <w:t>C of that Act;</w:t>
      </w:r>
      <w:r>
        <w:t xml:space="preserve"> and</w:t>
      </w:r>
    </w:p>
    <w:p w14:paraId="6F4F4001" w14:textId="7B3A4FAF" w:rsidR="00BC1EB4" w:rsidRPr="00A058B6" w:rsidRDefault="00BC1EB4" w:rsidP="00BC1EB4">
      <w:pPr>
        <w:pStyle w:val="paragraphsub"/>
      </w:pPr>
      <w:r>
        <w:tab/>
        <w:t>(iv)</w:t>
      </w:r>
      <w:r>
        <w:tab/>
        <w:t xml:space="preserve">that each of the elements of the taxable component would have had under </w:t>
      </w:r>
      <w:r w:rsidR="00E62545">
        <w:t>Subdivision 3</w:t>
      </w:r>
      <w:r>
        <w:t>07</w:t>
      </w:r>
      <w:r w:rsidR="001952B3">
        <w:noBreakHyphen/>
      </w:r>
      <w:r>
        <w:t>E of that Act (if applicable);</w:t>
      </w:r>
    </w:p>
    <w:p w14:paraId="4E5753AF" w14:textId="77777777" w:rsidR="00D930D9" w:rsidRPr="00A058B6" w:rsidRDefault="009E20BA" w:rsidP="00D930D9">
      <w:pPr>
        <w:pStyle w:val="paragraph"/>
      </w:pPr>
      <w:r>
        <w:tab/>
        <w:t>(o)</w:t>
      </w:r>
      <w:r>
        <w:tab/>
      </w:r>
      <w:r w:rsidR="00D930D9" w:rsidRPr="00A058B6">
        <w:t>a statement:</w:t>
      </w:r>
    </w:p>
    <w:p w14:paraId="07323B04" w14:textId="36DEA566" w:rsidR="00D930D9" w:rsidRPr="00A058B6" w:rsidRDefault="00D930D9" w:rsidP="00D930D9">
      <w:pPr>
        <w:pStyle w:val="paragraphsub"/>
      </w:pPr>
      <w:r w:rsidRPr="00A058B6">
        <w:tab/>
        <w:t>(i)</w:t>
      </w:r>
      <w:r w:rsidRPr="00A058B6">
        <w:tab/>
        <w:t xml:space="preserve">indicating whether the Minister has approved, under </w:t>
      </w:r>
      <w:r w:rsidR="00CB78B9">
        <w:t>section 6</w:t>
      </w:r>
      <w:r w:rsidR="00485CC2">
        <w:t>2</w:t>
      </w:r>
      <w:r w:rsidRPr="00A058B6">
        <w:t>, a method or factors for determining the gross value of the interest; and</w:t>
      </w:r>
    </w:p>
    <w:p w14:paraId="2D0EC526" w14:textId="77777777" w:rsidR="00D930D9" w:rsidRPr="00A058B6" w:rsidRDefault="00D930D9" w:rsidP="00D930D9">
      <w:pPr>
        <w:pStyle w:val="paragraphsub"/>
      </w:pPr>
      <w:r w:rsidRPr="00A058B6">
        <w:tab/>
        <w:t>(ii)</w:t>
      </w:r>
      <w:r w:rsidRPr="00A058B6">
        <w:tab/>
        <w:t>giving details of any method or factors so approved;</w:t>
      </w:r>
    </w:p>
    <w:p w14:paraId="2AADFB3A" w14:textId="07662956" w:rsidR="00D930D9" w:rsidRPr="00A058B6" w:rsidRDefault="009E20BA" w:rsidP="00D930D9">
      <w:pPr>
        <w:pStyle w:val="paragraph"/>
      </w:pPr>
      <w:r>
        <w:tab/>
        <w:t>(p)</w:t>
      </w:r>
      <w:r>
        <w:tab/>
      </w:r>
      <w:r w:rsidR="00D930D9" w:rsidRPr="00A058B6">
        <w:t xml:space="preserve">if the trustee has given information under </w:t>
      </w:r>
      <w:r w:rsidR="00453C86">
        <w:t>Division 2</w:t>
      </w:r>
      <w:r w:rsidR="00D7157D">
        <w:t>.</w:t>
      </w:r>
      <w:r w:rsidR="00D930D9" w:rsidRPr="00A058B6">
        <w:t>5 of the SIS Regulations to each member of the plan that the plan is to be reconstructed or terminated—a statement to this effect;</w:t>
      </w:r>
    </w:p>
    <w:p w14:paraId="6F8BB14A" w14:textId="77777777" w:rsidR="00D930D9" w:rsidRPr="00A058B6" w:rsidRDefault="009E20BA" w:rsidP="00D930D9">
      <w:pPr>
        <w:pStyle w:val="paragraph"/>
      </w:pPr>
      <w:r>
        <w:tab/>
        <w:t>(q)</w:t>
      </w:r>
      <w:r>
        <w:tab/>
      </w:r>
      <w:r w:rsidR="00D930D9" w:rsidRPr="00A058B6">
        <w:t>if the application for information specifically requests the trustee to provide it and the trustee chooses to do so—the gross value of the interest at the appropriate date, determined in accordance with:</w:t>
      </w:r>
    </w:p>
    <w:p w14:paraId="5D1D6030" w14:textId="77777777" w:rsidR="00D930D9" w:rsidRPr="00A058B6" w:rsidRDefault="00D930D9" w:rsidP="00D930D9">
      <w:pPr>
        <w:pStyle w:val="paragraphsub"/>
      </w:pPr>
      <w:r w:rsidRPr="00A058B6">
        <w:tab/>
        <w:t>(i)</w:t>
      </w:r>
      <w:r w:rsidRPr="00A058B6">
        <w:tab/>
        <w:t>Schedule </w:t>
      </w:r>
      <w:r w:rsidR="00E01083">
        <w:t>3</w:t>
      </w:r>
      <w:r w:rsidRPr="00A058B6">
        <w:t>; or</w:t>
      </w:r>
    </w:p>
    <w:p w14:paraId="4AFFF877" w14:textId="2EEC22B2" w:rsidR="00D930D9" w:rsidRPr="00A058B6" w:rsidRDefault="00D930D9" w:rsidP="00D930D9">
      <w:pPr>
        <w:pStyle w:val="paragraphsub"/>
      </w:pPr>
      <w:r w:rsidRPr="00A058B6">
        <w:tab/>
        <w:t>(ii)</w:t>
      </w:r>
      <w:r w:rsidRPr="00A058B6">
        <w:tab/>
        <w:t xml:space="preserve">a method or factors approved by the Minister under </w:t>
      </w:r>
      <w:r w:rsidR="00CB78B9">
        <w:t>section 6</w:t>
      </w:r>
      <w:r w:rsidR="00485CC2">
        <w:t>2</w:t>
      </w:r>
      <w:r w:rsidR="00D7157D">
        <w:t>.</w:t>
      </w:r>
    </w:p>
    <w:p w14:paraId="58EBBDB4" w14:textId="24A9B17E" w:rsidR="00D930D9" w:rsidRPr="00A058B6" w:rsidRDefault="00D930D9" w:rsidP="00D930D9">
      <w:pPr>
        <w:pStyle w:val="notetext"/>
      </w:pPr>
      <w:r w:rsidRPr="00A058B6">
        <w:rPr>
          <w:iCs/>
        </w:rPr>
        <w:t>Note 1:</w:t>
      </w:r>
      <w:r w:rsidRPr="00A058B6">
        <w:rPr>
          <w:iCs/>
        </w:rPr>
        <w:tab/>
      </w:r>
      <w:r w:rsidRPr="00A058B6">
        <w:t xml:space="preserve">The trustee is not required to provide the information mentioned in </w:t>
      </w:r>
      <w:r w:rsidR="00453C86">
        <w:t>paragraph (</w:t>
      </w:r>
      <w:r w:rsidRPr="00A058B6">
        <w:t>b), (c) or (</w:t>
      </w:r>
      <w:r w:rsidR="00F44F01">
        <w:t>k</w:t>
      </w:r>
      <w:r w:rsidRPr="00A058B6">
        <w:t xml:space="preserve">) to the applicant in certain circumstances (see </w:t>
      </w:r>
      <w:r w:rsidR="00CB78B9">
        <w:t>paragraph 1</w:t>
      </w:r>
      <w:r w:rsidR="00485CC2">
        <w:t>16</w:t>
      </w:r>
      <w:r w:rsidRPr="00A058B6">
        <w:t>(1)(</w:t>
      </w:r>
      <w:r w:rsidR="008D7D73">
        <w:t>c</w:t>
      </w:r>
      <w:r w:rsidRPr="00A058B6">
        <w:t>))</w:t>
      </w:r>
      <w:r w:rsidR="00D7157D">
        <w:t>.</w:t>
      </w:r>
    </w:p>
    <w:p w14:paraId="66D97F60" w14:textId="3797A6E6" w:rsidR="00D930D9" w:rsidRPr="00A058B6" w:rsidRDefault="00D930D9" w:rsidP="00D930D9">
      <w:pPr>
        <w:pStyle w:val="notetext"/>
      </w:pPr>
      <w:r w:rsidRPr="00A058B6">
        <w:t>Note 2:</w:t>
      </w:r>
      <w:r w:rsidRPr="00A058B6">
        <w:tab/>
        <w:t xml:space="preserve">For </w:t>
      </w:r>
      <w:r w:rsidR="00453C86">
        <w:t>paragraph (</w:t>
      </w:r>
      <w:r w:rsidRPr="00A058B6">
        <w:t>c), if for example the benefit payable in respect of the member’s</w:t>
      </w:r>
      <w:r w:rsidRPr="00A058B6">
        <w:rPr>
          <w:lang w:eastAsia="en-US"/>
        </w:rPr>
        <w:t xml:space="preserve"> superannuation interest</w:t>
      </w:r>
      <w:r w:rsidRPr="00A058B6">
        <w:t xml:space="preserve"> relates to the member’s final average salary, the salary figure for that paragraph would be the member’s final average salary</w:t>
      </w:r>
      <w:r w:rsidR="00D7157D">
        <w:t>.</w:t>
      </w:r>
    </w:p>
    <w:p w14:paraId="15E1059C" w14:textId="77777777" w:rsidR="00D930D9" w:rsidRPr="00A058B6" w:rsidRDefault="00D930D9" w:rsidP="00D930D9">
      <w:pPr>
        <w:pStyle w:val="subsection"/>
      </w:pPr>
      <w:r w:rsidRPr="00A058B6">
        <w:tab/>
        <w:t>(2)</w:t>
      </w:r>
      <w:r w:rsidRPr="00A058B6">
        <w:tab/>
        <w:t>If:</w:t>
      </w:r>
    </w:p>
    <w:p w14:paraId="74A0E944" w14:textId="74EF2E82" w:rsidR="00D930D9" w:rsidRPr="00A058B6" w:rsidRDefault="009E20BA" w:rsidP="00D930D9">
      <w:pPr>
        <w:pStyle w:val="paragraph"/>
      </w:pPr>
      <w:r>
        <w:tab/>
        <w:t>(a)</w:t>
      </w:r>
      <w:r>
        <w:tab/>
      </w:r>
      <w:r w:rsidR="00453C86">
        <w:t>paragraph (</w:t>
      </w:r>
      <w:r w:rsidR="00D930D9" w:rsidRPr="00A058B6">
        <w:t>1)(</w:t>
      </w:r>
      <w:r w:rsidR="00F44F01">
        <w:t>q</w:t>
      </w:r>
      <w:r w:rsidR="00D930D9" w:rsidRPr="00A058B6">
        <w:t>) applies to the application for information about the superannuation interest; and</w:t>
      </w:r>
    </w:p>
    <w:p w14:paraId="5C21CD5D" w14:textId="77777777" w:rsidR="00D930D9" w:rsidRPr="00A058B6" w:rsidRDefault="009E20BA" w:rsidP="00D930D9">
      <w:pPr>
        <w:pStyle w:val="paragraph"/>
      </w:pPr>
      <w:r>
        <w:tab/>
        <w:t>(b)</w:t>
      </w:r>
      <w:r>
        <w:tab/>
      </w:r>
      <w:r w:rsidR="00D930D9" w:rsidRPr="00A058B6">
        <w:t>the trustee, in response to the application:</w:t>
      </w:r>
    </w:p>
    <w:p w14:paraId="17D045C6" w14:textId="5EA76024" w:rsidR="00D930D9" w:rsidRPr="00A058B6" w:rsidRDefault="00D930D9" w:rsidP="00D930D9">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6</w:t>
      </w:r>
      <w:r w:rsidR="00485CC2">
        <w:t>2</w:t>
      </w:r>
      <w:r w:rsidRPr="00A058B6">
        <w:t>; but</w:t>
      </w:r>
    </w:p>
    <w:p w14:paraId="2C11805E" w14:textId="77777777" w:rsidR="00D930D9" w:rsidRPr="00A058B6" w:rsidRDefault="00D930D9" w:rsidP="00D930D9">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36765BE8" w14:textId="4E3D4906" w:rsidR="00D930D9" w:rsidRPr="00A058B6" w:rsidRDefault="009E20BA" w:rsidP="00D930D9">
      <w:pPr>
        <w:pStyle w:val="paragraph"/>
      </w:pPr>
      <w:r>
        <w:tab/>
        <w:t>(c)</w:t>
      </w:r>
      <w:r>
        <w:tab/>
      </w:r>
      <w:r w:rsidR="00D930D9" w:rsidRPr="00A058B6">
        <w:t xml:space="preserve">the applicant makes a further application </w:t>
      </w:r>
      <w:r w:rsidR="009C7844">
        <w:t xml:space="preserve">that complies with </w:t>
      </w:r>
      <w:r w:rsidR="00FE15C4">
        <w:t>subsection 9</w:t>
      </w:r>
      <w:r w:rsidR="00D930D9">
        <w:t>0XZB(3)</w:t>
      </w:r>
      <w:r w:rsidR="00D930D9" w:rsidRPr="00A058B6">
        <w:t xml:space="preserve"> or 90YZR(3) of the Act for specific underlying valuation information for the interest;</w:t>
      </w:r>
    </w:p>
    <w:p w14:paraId="75B0B13D" w14:textId="1B8D19A4" w:rsidR="00D930D9" w:rsidRPr="00A058B6" w:rsidRDefault="00D930D9" w:rsidP="00D930D9">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rsidR="00D7157D">
        <w:t>.</w:t>
      </w:r>
    </w:p>
    <w:p w14:paraId="168C68D3" w14:textId="002C2C6F" w:rsidR="00A124A7" w:rsidRDefault="00A124A7" w:rsidP="00A124A7">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r w:rsidR="00D7157D">
        <w:t>.</w:t>
      </w:r>
    </w:p>
    <w:p w14:paraId="239E1D47" w14:textId="52E7D1BF" w:rsidR="00D930D9" w:rsidRPr="00A058B6" w:rsidRDefault="00D930D9" w:rsidP="00D930D9">
      <w:pPr>
        <w:pStyle w:val="subsection"/>
      </w:pPr>
      <w:r w:rsidRPr="00A058B6">
        <w:tab/>
        <w:t>(3)</w:t>
      </w:r>
      <w:r w:rsidRPr="00A058B6">
        <w:tab/>
        <w:t xml:space="preserve">However, </w:t>
      </w:r>
      <w:r w:rsidR="00A52DA5">
        <w:t>subsection (</w:t>
      </w:r>
      <w:r w:rsidRPr="00A058B6">
        <w:t xml:space="preserve">2) does not apply to any specific underlying valuation information of the kind mentioned in </w:t>
      </w:r>
      <w:r w:rsidR="00453C86">
        <w:t>paragraph (</w:t>
      </w:r>
      <w:r w:rsidRPr="00A058B6">
        <w:t>1)(b) or (c) unless a record of that information is in the trustee’s possession, power or control</w:t>
      </w:r>
      <w:r w:rsidR="00D7157D">
        <w:t>.</w:t>
      </w:r>
    </w:p>
    <w:p w14:paraId="03D5F03C" w14:textId="5B28852A" w:rsidR="00D930D9" w:rsidRPr="00A058B6" w:rsidRDefault="00D930D9" w:rsidP="00D930D9">
      <w:pPr>
        <w:pStyle w:val="subsection"/>
      </w:pPr>
      <w:r w:rsidRPr="00A058B6">
        <w:tab/>
        <w:t>(4)</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rsidR="00D7157D">
        <w:t>.</w:t>
      </w:r>
    </w:p>
    <w:p w14:paraId="2C65AEC3" w14:textId="73991A26" w:rsidR="00D930D9" w:rsidRPr="00A058B6" w:rsidRDefault="00485CC2" w:rsidP="00D930D9">
      <w:pPr>
        <w:pStyle w:val="ActHead5"/>
      </w:pPr>
      <w:bookmarkStart w:id="167" w:name="_Toc188350652"/>
      <w:r w:rsidRPr="00423C34">
        <w:rPr>
          <w:rStyle w:val="CharSectno"/>
        </w:rPr>
        <w:t>114</w:t>
      </w:r>
      <w:r w:rsidR="00D930D9" w:rsidRPr="00A058B6">
        <w:t xml:space="preserve">  Specific information—the interest is in the growth phase and held as a result of employment in which the member is no longer engaged</w:t>
      </w:r>
      <w:bookmarkEnd w:id="167"/>
    </w:p>
    <w:p w14:paraId="53EE4023" w14:textId="47906C29" w:rsidR="00D930D9" w:rsidRPr="00A058B6" w:rsidRDefault="00D930D9" w:rsidP="00D930D9">
      <w:pPr>
        <w:pStyle w:val="subsection"/>
        <w:rPr>
          <w:color w:val="000000"/>
        </w:rPr>
      </w:pPr>
      <w:r w:rsidRPr="00A058B6">
        <w:rPr>
          <w:color w:val="000000"/>
        </w:rPr>
        <w:tab/>
        <w:t>(1)</w:t>
      </w:r>
      <w:r w:rsidRPr="00A058B6">
        <w:rPr>
          <w:color w:val="000000"/>
        </w:rPr>
        <w:tab/>
        <w:t xml:space="preserve">For the purposes of </w:t>
      </w:r>
      <w:r w:rsidR="00CB78B9">
        <w:rPr>
          <w:color w:val="000000"/>
        </w:rPr>
        <w:t>paragraph 1</w:t>
      </w:r>
      <w:r w:rsidR="00485CC2">
        <w:rPr>
          <w:color w:val="000000"/>
        </w:rPr>
        <w:t>11</w:t>
      </w:r>
      <w:r w:rsidRPr="00A058B6">
        <w:rPr>
          <w:color w:val="000000"/>
        </w:rPr>
        <w:t>(1)(</w:t>
      </w:r>
      <w:r w:rsidR="00FA3B01">
        <w:rPr>
          <w:color w:val="000000"/>
        </w:rPr>
        <w:t>h</w:t>
      </w:r>
      <w:r w:rsidRPr="00A058B6">
        <w:rPr>
          <w:color w:val="000000"/>
        </w:rPr>
        <w:t>), the growth phase information for the superannuation interest is set out in this section</w:t>
      </w:r>
      <w:r w:rsidR="00D7157D">
        <w:rPr>
          <w:color w:val="000000"/>
        </w:rPr>
        <w:t>.</w:t>
      </w:r>
    </w:p>
    <w:p w14:paraId="761F5B9F" w14:textId="77777777" w:rsidR="00D930D9" w:rsidRPr="00A058B6" w:rsidRDefault="00D930D9" w:rsidP="00D930D9">
      <w:pPr>
        <w:pStyle w:val="subsection"/>
      </w:pPr>
      <w:r w:rsidRPr="00A058B6">
        <w:rPr>
          <w:color w:val="000000"/>
        </w:rPr>
        <w:tab/>
        <w:t>(2)</w:t>
      </w:r>
      <w:r w:rsidRPr="00A058B6">
        <w:rPr>
          <w:color w:val="000000"/>
        </w:rPr>
        <w:tab/>
        <w:t>If the benefit in respect of the superannuation interest is payable only as a lump sum, the growth phase information includes:</w:t>
      </w:r>
    </w:p>
    <w:p w14:paraId="2C0AEBF5" w14:textId="77777777" w:rsidR="00D930D9" w:rsidRPr="00A058B6" w:rsidRDefault="00D930D9" w:rsidP="00D930D9">
      <w:pPr>
        <w:pStyle w:val="paragraph"/>
      </w:pPr>
      <w:r w:rsidRPr="00A058B6">
        <w:tab/>
        <w:t>(a)</w:t>
      </w:r>
      <w:r w:rsidRPr="00A058B6">
        <w:tab/>
        <w:t>if the member were able to take, and did take, the benefit in respect of the interest at the appropriate date, either:</w:t>
      </w:r>
    </w:p>
    <w:p w14:paraId="3A0ADFF5" w14:textId="77777777" w:rsidR="00D930D9" w:rsidRPr="00A058B6" w:rsidRDefault="00D930D9" w:rsidP="00D930D9">
      <w:pPr>
        <w:pStyle w:val="paragraphsub"/>
      </w:pPr>
      <w:r w:rsidRPr="00A058B6">
        <w:tab/>
        <w:t>(i)</w:t>
      </w:r>
      <w:r w:rsidRPr="00A058B6">
        <w:tab/>
        <w:t>the amount of the lump sum that would be payable at the appropriate date; or</w:t>
      </w:r>
    </w:p>
    <w:p w14:paraId="4E3E9E8F" w14:textId="77777777" w:rsidR="00D930D9" w:rsidRPr="00A058B6" w:rsidRDefault="00D930D9" w:rsidP="00D930D9">
      <w:pPr>
        <w:pStyle w:val="paragraphsub"/>
      </w:pPr>
      <w:r w:rsidRPr="00A058B6">
        <w:tab/>
        <w:t>(ii)</w:t>
      </w:r>
      <w:r w:rsidRPr="00A058B6">
        <w:tab/>
        <w:t>if that amount is calculated by reference to the indexation of 2 or more specified lump sums—the amount of each lump sum at the appropriate date;</w:t>
      </w:r>
    </w:p>
    <w:p w14:paraId="5355A4A5" w14:textId="77777777" w:rsidR="00D930D9" w:rsidRPr="00A058B6" w:rsidRDefault="00D930D9" w:rsidP="00D930D9">
      <w:pPr>
        <w:pStyle w:val="paragraph"/>
      </w:pPr>
      <w:r w:rsidRPr="00A058B6">
        <w:tab/>
      </w:r>
      <w:r w:rsidRPr="00A058B6">
        <w:tab/>
        <w:t>(excluding any superannuation contributions surcharge payable in respect of the interest); and</w:t>
      </w:r>
    </w:p>
    <w:p w14:paraId="179A3FD6" w14:textId="77777777" w:rsidR="00D930D9" w:rsidRPr="00A058B6" w:rsidRDefault="00D930D9" w:rsidP="00D930D9">
      <w:pPr>
        <w:pStyle w:val="paragraph"/>
      </w:pPr>
      <w:r w:rsidRPr="00A058B6">
        <w:tab/>
        <w:t>(b)</w:t>
      </w:r>
      <w:r w:rsidRPr="00A058B6">
        <w:tab/>
        <w:t>if the amount of the lump sum is calculated by reference to the indexation of the amount of one or more specified lump sums—the method of indexation in respect of each lump sum; and</w:t>
      </w:r>
    </w:p>
    <w:p w14:paraId="138FABD1" w14:textId="77777777" w:rsidR="00D930D9" w:rsidRPr="00A058B6" w:rsidRDefault="00D930D9" w:rsidP="00D930D9">
      <w:pPr>
        <w:pStyle w:val="paragraph"/>
      </w:pPr>
      <w:r w:rsidRPr="00A058B6">
        <w:tab/>
        <w:t>(c)</w:t>
      </w:r>
      <w:r w:rsidRPr="00A058B6">
        <w:tab/>
        <w:t>the earliest date when the benefit may be paid to the member (other than for death or disability)</w:t>
      </w:r>
      <w:r w:rsidR="00D7157D">
        <w:t>.</w:t>
      </w:r>
    </w:p>
    <w:p w14:paraId="09BF37D0" w14:textId="77777777" w:rsidR="00D930D9" w:rsidRPr="00A058B6" w:rsidRDefault="00D930D9" w:rsidP="00D930D9">
      <w:pPr>
        <w:pStyle w:val="subsection"/>
      </w:pPr>
      <w:r w:rsidRPr="00A058B6">
        <w:tab/>
        <w:t>(3)</w:t>
      </w:r>
      <w:r w:rsidRPr="00A058B6">
        <w:tab/>
      </w:r>
      <w:r w:rsidRPr="00A058B6">
        <w:rPr>
          <w:color w:val="000000"/>
        </w:rPr>
        <w:t>If the benefit in respect of the superannuation interest is payable only as a pension, the growth phase information includes:</w:t>
      </w:r>
    </w:p>
    <w:p w14:paraId="07CCD399" w14:textId="77777777" w:rsidR="00D930D9" w:rsidRPr="00A058B6" w:rsidRDefault="00D930D9" w:rsidP="00D930D9">
      <w:pPr>
        <w:pStyle w:val="paragraph"/>
      </w:pPr>
      <w:r w:rsidRPr="00A058B6">
        <w:tab/>
        <w:t>(a)</w:t>
      </w:r>
      <w:r w:rsidRPr="00A058B6">
        <w:tab/>
        <w:t>if the amount of the pension payable is calculated by reference to the conversion of a lump sum amount when the pension begins to be paid:</w:t>
      </w:r>
    </w:p>
    <w:p w14:paraId="57DE4E6D" w14:textId="77777777" w:rsidR="00D930D9" w:rsidRPr="00A058B6" w:rsidRDefault="00D930D9" w:rsidP="00D930D9">
      <w:pPr>
        <w:pStyle w:val="paragraphsub"/>
      </w:pPr>
      <w:r w:rsidRPr="00A058B6">
        <w:tab/>
        <w:t>(i)</w:t>
      </w:r>
      <w:r w:rsidRPr="00A058B6">
        <w:tab/>
        <w:t>the amount of the lump sum at the appropriate date (excluding any superannuation contributions surcharge payable in respect of the interest), if the member were able to take, and did take, the benefit in respect of the interest at that date; and</w:t>
      </w:r>
    </w:p>
    <w:p w14:paraId="06738E22" w14:textId="77777777" w:rsidR="00D930D9" w:rsidRPr="00A058B6" w:rsidRDefault="00D930D9" w:rsidP="00D930D9">
      <w:pPr>
        <w:pStyle w:val="paragraphsub"/>
      </w:pPr>
      <w:r w:rsidRPr="00A058B6">
        <w:tab/>
        <w:t>(ii)</w:t>
      </w:r>
      <w:r w:rsidRPr="00A058B6">
        <w:tab/>
        <w:t>if the amount of the lump sum is calculated by reference to the indexation of the lump sum—the method of indexation; and</w:t>
      </w:r>
    </w:p>
    <w:p w14:paraId="1A205C5C" w14:textId="77777777" w:rsidR="00D930D9" w:rsidRPr="00A058B6" w:rsidRDefault="00D930D9" w:rsidP="00D930D9">
      <w:pPr>
        <w:pStyle w:val="paragraphsub"/>
      </w:pPr>
      <w:r w:rsidRPr="00A058B6">
        <w:tab/>
        <w:t>(iii)</w:t>
      </w:r>
      <w:r w:rsidRPr="00A058B6">
        <w:tab/>
        <w:t>the factor for converting the lump sum to a pension that will apply at the earliest date when the benefit may be paid to the member (other than for death or disability); and</w:t>
      </w:r>
    </w:p>
    <w:p w14:paraId="6683FD20" w14:textId="4253185D" w:rsidR="00D930D9" w:rsidRPr="00A058B6" w:rsidRDefault="00D930D9" w:rsidP="00D930D9">
      <w:pPr>
        <w:pStyle w:val="paragraph"/>
      </w:pPr>
      <w:r w:rsidRPr="00A058B6">
        <w:tab/>
        <w:t>(b)</w:t>
      </w:r>
      <w:r w:rsidRPr="00A058B6">
        <w:tab/>
        <w:t xml:space="preserve">if </w:t>
      </w:r>
      <w:r w:rsidR="00453C86">
        <w:t>paragraph (</w:t>
      </w:r>
      <w:r w:rsidRPr="00A058B6">
        <w:t>a) does not apply:</w:t>
      </w:r>
    </w:p>
    <w:p w14:paraId="7092AE4E" w14:textId="77777777" w:rsidR="00D930D9" w:rsidRPr="00A058B6" w:rsidRDefault="00D930D9" w:rsidP="00D930D9">
      <w:pPr>
        <w:pStyle w:val="paragraphsub"/>
      </w:pPr>
      <w:r w:rsidRPr="00A058B6">
        <w:tab/>
        <w:t>(i)</w:t>
      </w:r>
      <w:r w:rsidRPr="00A058B6">
        <w:tab/>
        <w:t>the amount of the pension at the appropriate date (excluding any superannuation contributions surcharge payable in respect of the interest), if the member were able to take, and did take, the benefit in respect of the interest at that date; and</w:t>
      </w:r>
    </w:p>
    <w:p w14:paraId="4635E5F0" w14:textId="77777777" w:rsidR="00D930D9" w:rsidRPr="00A058B6" w:rsidRDefault="00D930D9" w:rsidP="00D930D9">
      <w:pPr>
        <w:pStyle w:val="paragraphsub"/>
      </w:pPr>
      <w:r w:rsidRPr="00A058B6">
        <w:tab/>
        <w:t>(ii)</w:t>
      </w:r>
      <w:r w:rsidRPr="00A058B6">
        <w:tab/>
        <w:t>if the amount of the pension is determined by increasing a fixed amount in accordance with an index until the earliest date when the benefit may be paid to the member (other than for death or disability)—details about the method used to increase the amount of the pension; and</w:t>
      </w:r>
    </w:p>
    <w:p w14:paraId="1CC30EEB" w14:textId="77777777" w:rsidR="00D930D9" w:rsidRPr="00A058B6" w:rsidRDefault="00D930D9" w:rsidP="00D930D9">
      <w:pPr>
        <w:pStyle w:val="paragraph"/>
      </w:pPr>
      <w:r w:rsidRPr="00A058B6">
        <w:tab/>
        <w:t>(c)</w:t>
      </w:r>
      <w:r w:rsidRPr="00A058B6">
        <w:tab/>
        <w:t>if the pension is indexed when it begins to be paid—the method of indexation; and</w:t>
      </w:r>
    </w:p>
    <w:p w14:paraId="022001FA" w14:textId="08E46114" w:rsidR="00D930D9" w:rsidRPr="00A058B6" w:rsidRDefault="00D930D9" w:rsidP="00D930D9">
      <w:pPr>
        <w:pStyle w:val="paragraph"/>
      </w:pPr>
      <w:r w:rsidRPr="00A058B6">
        <w:tab/>
        <w:t>(d)</w:t>
      </w:r>
      <w:r w:rsidRPr="00A058B6">
        <w:tab/>
        <w:t>a statement about whether there is any reversionary beneficiary who is a non</w:t>
      </w:r>
      <w:r w:rsidR="001952B3">
        <w:noBreakHyphen/>
      </w:r>
      <w:r w:rsidRPr="00A058B6">
        <w:t>member spouse in relation to the pension benefit and, if so, the proportion of the ongoing pension payments that would be payable to the reversionary beneficiary on the death of the member; and</w:t>
      </w:r>
    </w:p>
    <w:p w14:paraId="20F87491" w14:textId="77777777" w:rsidR="00D930D9" w:rsidRPr="00A058B6" w:rsidRDefault="00D930D9" w:rsidP="00D930D9">
      <w:pPr>
        <w:pStyle w:val="paragraph"/>
      </w:pPr>
      <w:r w:rsidRPr="00A058B6">
        <w:tab/>
        <w:t>(e)</w:t>
      </w:r>
      <w:r w:rsidRPr="00A058B6">
        <w:tab/>
        <w:t>the earliest date when the benefit may be paid to the member (other than for death or disability)</w:t>
      </w:r>
      <w:r w:rsidR="00D7157D">
        <w:t>.</w:t>
      </w:r>
    </w:p>
    <w:p w14:paraId="769CA09D" w14:textId="77777777" w:rsidR="00D930D9" w:rsidRPr="00A058B6" w:rsidRDefault="00D930D9" w:rsidP="00D930D9">
      <w:pPr>
        <w:pStyle w:val="subsection"/>
        <w:rPr>
          <w:color w:val="000000"/>
        </w:rPr>
      </w:pPr>
      <w:r w:rsidRPr="00A058B6">
        <w:tab/>
        <w:t>(4)</w:t>
      </w:r>
      <w:r w:rsidRPr="00A058B6">
        <w:tab/>
      </w:r>
      <w:r w:rsidRPr="00A058B6">
        <w:rPr>
          <w:color w:val="000000"/>
        </w:rPr>
        <w:t>If the benefit in respect of the superannuation interest is payable as a lump sum, a pension, or a combination of a lump sum and a pension, the growth phase information includes:</w:t>
      </w:r>
    </w:p>
    <w:p w14:paraId="71CA91E1" w14:textId="0D4DCA11" w:rsidR="00D930D9" w:rsidRPr="00A058B6" w:rsidRDefault="00D930D9" w:rsidP="00D930D9">
      <w:pPr>
        <w:pStyle w:val="paragraph"/>
      </w:pPr>
      <w:r w:rsidRPr="00A058B6">
        <w:tab/>
        <w:t>(a)</w:t>
      </w:r>
      <w:r w:rsidRPr="00A058B6">
        <w:tab/>
        <w:t>the information mentioned in paragraphs </w:t>
      </w:r>
      <w:r w:rsidR="00485CC2">
        <w:t>113</w:t>
      </w:r>
      <w:r w:rsidRPr="00A058B6">
        <w:t>(1)(d) and (</w:t>
      </w:r>
      <w:r w:rsidR="00FE3992">
        <w:t>e</w:t>
      </w:r>
      <w:r w:rsidRPr="00A058B6">
        <w:t>); and</w:t>
      </w:r>
    </w:p>
    <w:p w14:paraId="034B65D8" w14:textId="77777777" w:rsidR="00D930D9" w:rsidRPr="00A058B6" w:rsidRDefault="00D930D9" w:rsidP="00D930D9">
      <w:pPr>
        <w:pStyle w:val="paragraph"/>
      </w:pPr>
      <w:r w:rsidRPr="00A058B6">
        <w:tab/>
        <w:t>(b)</w:t>
      </w:r>
      <w:r w:rsidRPr="00A058B6">
        <w:tab/>
        <w:t>the information mentioned in subsections (2) and (3) of this section</w:t>
      </w:r>
      <w:r w:rsidR="00D7157D">
        <w:t>.</w:t>
      </w:r>
    </w:p>
    <w:p w14:paraId="7E8EC1BE" w14:textId="77777777" w:rsidR="00D930D9" w:rsidRPr="00A058B6" w:rsidRDefault="00D930D9" w:rsidP="00D930D9">
      <w:pPr>
        <w:pStyle w:val="subsection"/>
      </w:pPr>
      <w:r w:rsidRPr="00A058B6">
        <w:tab/>
        <w:t>(5)</w:t>
      </w:r>
      <w:r w:rsidRPr="00A058B6">
        <w:tab/>
        <w:t xml:space="preserve">In any case, the </w:t>
      </w:r>
      <w:r w:rsidRPr="00A058B6">
        <w:rPr>
          <w:color w:val="000000"/>
        </w:rPr>
        <w:t>growth phase information includes:</w:t>
      </w:r>
    </w:p>
    <w:p w14:paraId="45AB91A8" w14:textId="3A613BC2" w:rsidR="00D930D9" w:rsidRPr="00A058B6" w:rsidRDefault="00D930D9" w:rsidP="00D930D9">
      <w:pPr>
        <w:pStyle w:val="paragraph"/>
      </w:pPr>
      <w:r w:rsidRPr="00A058B6">
        <w:tab/>
        <w:t>(a)</w:t>
      </w:r>
      <w:r w:rsidRPr="00A058B6">
        <w:tab/>
        <w:t>the amount (if any) of the member’s unrestricted non</w:t>
      </w:r>
      <w:r w:rsidR="001952B3">
        <w:noBreakHyphen/>
      </w:r>
      <w:r w:rsidRPr="00A058B6">
        <w:t>preserved benefits at the date when the information is provided;</w:t>
      </w:r>
      <w:r>
        <w:t xml:space="preserve"> and</w:t>
      </w:r>
    </w:p>
    <w:p w14:paraId="61FFBFB5" w14:textId="7C4D9A74" w:rsidR="00D930D9" w:rsidRPr="00A058B6" w:rsidRDefault="00D930D9" w:rsidP="00D930D9">
      <w:pPr>
        <w:pStyle w:val="paragraph"/>
      </w:pPr>
      <w:r w:rsidRPr="00A058B6">
        <w:tab/>
        <w:t>(b)</w:t>
      </w:r>
      <w:r w:rsidRPr="00A058B6">
        <w:tab/>
        <w:t>the information mentioned in paragraphs </w:t>
      </w:r>
      <w:r w:rsidR="00485CC2">
        <w:t>113</w:t>
      </w:r>
      <w:r w:rsidRPr="00A058B6">
        <w:t>(1)(</w:t>
      </w:r>
      <w:r w:rsidR="00FE3992">
        <w:t>k</w:t>
      </w:r>
      <w:r w:rsidRPr="00A058B6">
        <w:t>), (</w:t>
      </w:r>
      <w:r w:rsidR="00FE3992">
        <w:t>n</w:t>
      </w:r>
      <w:r w:rsidRPr="00A058B6">
        <w:t>), (</w:t>
      </w:r>
      <w:r w:rsidR="00FE3992">
        <w:t>o</w:t>
      </w:r>
      <w:r w:rsidRPr="00A058B6">
        <w:t>), (</w:t>
      </w:r>
      <w:r w:rsidR="00FE3992">
        <w:t>p</w:t>
      </w:r>
      <w:r w:rsidRPr="00A058B6">
        <w:t>) and (</w:t>
      </w:r>
      <w:r w:rsidR="00FE3992">
        <w:t>q</w:t>
      </w:r>
      <w:r w:rsidRPr="00A058B6">
        <w:t>)</w:t>
      </w:r>
      <w:r w:rsidR="00D7157D">
        <w:t>.</w:t>
      </w:r>
    </w:p>
    <w:p w14:paraId="2B6A6F40" w14:textId="0C6469CB" w:rsidR="00D930D9" w:rsidRPr="00A058B6" w:rsidRDefault="00D930D9" w:rsidP="00D930D9">
      <w:pPr>
        <w:pStyle w:val="notetext"/>
      </w:pPr>
      <w:r w:rsidRPr="00A058B6">
        <w:t>Note:</w:t>
      </w:r>
      <w:r w:rsidRPr="00A058B6">
        <w:tab/>
        <w:t xml:space="preserve">The trustee is not required to provide the information mentioned in </w:t>
      </w:r>
      <w:r w:rsidR="00CB78B9">
        <w:t>paragraph 1</w:t>
      </w:r>
      <w:r w:rsidR="00485CC2">
        <w:t>13</w:t>
      </w:r>
      <w:r w:rsidRPr="00A058B6">
        <w:t>(1)(</w:t>
      </w:r>
      <w:r w:rsidR="00FE3992">
        <w:t>k</w:t>
      </w:r>
      <w:r w:rsidRPr="00A058B6">
        <w:t xml:space="preserve">) to the applicant in certain circumstances (see </w:t>
      </w:r>
      <w:r w:rsidR="00CB78B9">
        <w:t>paragraph 1</w:t>
      </w:r>
      <w:r w:rsidR="00485CC2">
        <w:t>16</w:t>
      </w:r>
      <w:r w:rsidRPr="00A058B6">
        <w:t>(1)(</w:t>
      </w:r>
      <w:r w:rsidR="00687C94">
        <w:t>c</w:t>
      </w:r>
      <w:r w:rsidRPr="00A058B6">
        <w:t>))</w:t>
      </w:r>
      <w:r w:rsidR="00D7157D">
        <w:t>.</w:t>
      </w:r>
    </w:p>
    <w:p w14:paraId="2D3AC4B1" w14:textId="126D5F20" w:rsidR="00FE5BA4" w:rsidRPr="006328A4" w:rsidRDefault="00C6137A" w:rsidP="006328A4">
      <w:pPr>
        <w:pStyle w:val="SubsectionHead"/>
      </w:pPr>
      <w:r>
        <w:t xml:space="preserve">Further requirements for information mentioned in </w:t>
      </w:r>
      <w:r w:rsidR="00CB78B9">
        <w:t>paragraph 1</w:t>
      </w:r>
      <w:r w:rsidR="00485CC2">
        <w:t>13</w:t>
      </w:r>
      <w:r>
        <w:t>(1)(q)</w:t>
      </w:r>
    </w:p>
    <w:p w14:paraId="429876FE" w14:textId="77777777" w:rsidR="00FE5BA4" w:rsidRPr="00A058B6" w:rsidRDefault="00FE5BA4" w:rsidP="00FE5BA4">
      <w:pPr>
        <w:pStyle w:val="subsection"/>
      </w:pPr>
      <w:r w:rsidRPr="00A058B6">
        <w:tab/>
        <w:t>(</w:t>
      </w:r>
      <w:r w:rsidR="001A7ACF">
        <w:t>6</w:t>
      </w:r>
      <w:r w:rsidRPr="00A058B6">
        <w:t>)</w:t>
      </w:r>
      <w:r w:rsidRPr="00A058B6">
        <w:tab/>
        <w:t>If:</w:t>
      </w:r>
    </w:p>
    <w:p w14:paraId="6E19CD0E" w14:textId="22A1789A" w:rsidR="00FE5BA4" w:rsidRPr="00A058B6" w:rsidRDefault="00FE5BA4" w:rsidP="00FE5BA4">
      <w:pPr>
        <w:pStyle w:val="paragraph"/>
      </w:pPr>
      <w:r>
        <w:tab/>
        <w:t>(a)</w:t>
      </w:r>
      <w:r>
        <w:tab/>
      </w:r>
      <w:r w:rsidR="001A7ACF">
        <w:t xml:space="preserve">as a result of </w:t>
      </w:r>
      <w:r w:rsidR="00453C86">
        <w:t>paragraph (</w:t>
      </w:r>
      <w:r w:rsidR="001A7ACF">
        <w:t xml:space="preserve">5)(b), </w:t>
      </w:r>
      <w:r w:rsidR="00CB78B9">
        <w:t>paragraph 1</w:t>
      </w:r>
      <w:r w:rsidR="00485CC2">
        <w:t>13</w:t>
      </w:r>
      <w:r>
        <w:t>(</w:t>
      </w:r>
      <w:r w:rsidRPr="00A058B6">
        <w:t>1)(</w:t>
      </w:r>
      <w:r>
        <w:t>q</w:t>
      </w:r>
      <w:r w:rsidRPr="00A058B6">
        <w:t>) applies to the application for information about the superannuation interest; and</w:t>
      </w:r>
    </w:p>
    <w:p w14:paraId="6EDC89AB" w14:textId="77777777" w:rsidR="00FE5BA4" w:rsidRPr="00A058B6" w:rsidRDefault="00FE5BA4" w:rsidP="00FE5BA4">
      <w:pPr>
        <w:pStyle w:val="paragraph"/>
      </w:pPr>
      <w:r>
        <w:tab/>
        <w:t>(b)</w:t>
      </w:r>
      <w:r>
        <w:tab/>
      </w:r>
      <w:r w:rsidRPr="00A058B6">
        <w:t>the trustee, in response to the application:</w:t>
      </w:r>
    </w:p>
    <w:p w14:paraId="1D9A616E" w14:textId="2ACA5DF9" w:rsidR="00FE5BA4" w:rsidRPr="00A058B6" w:rsidRDefault="00FE5BA4" w:rsidP="00FE5BA4">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6</w:t>
      </w:r>
      <w:r w:rsidR="00485CC2">
        <w:t>2</w:t>
      </w:r>
      <w:r w:rsidRPr="00A058B6">
        <w:t>; but</w:t>
      </w:r>
    </w:p>
    <w:p w14:paraId="469879A0" w14:textId="77777777" w:rsidR="00FE5BA4" w:rsidRPr="00A058B6" w:rsidRDefault="00FE5BA4" w:rsidP="00FE5BA4">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627EBF99" w14:textId="75A06866" w:rsidR="00FE5BA4" w:rsidRPr="00A058B6" w:rsidRDefault="00FE5BA4" w:rsidP="00FE5BA4">
      <w:pPr>
        <w:pStyle w:val="paragraph"/>
      </w:pPr>
      <w:r>
        <w:tab/>
        <w:t>(c)</w:t>
      </w:r>
      <w:r>
        <w:tab/>
      </w:r>
      <w:r w:rsidRPr="00A058B6">
        <w:t xml:space="preserve">the applicant makes a further application </w:t>
      </w:r>
      <w:r>
        <w:t xml:space="preserve">that complies with </w:t>
      </w:r>
      <w:r w:rsidR="00FE15C4">
        <w:t>subsection 9</w:t>
      </w:r>
      <w:r>
        <w:t>0XZB(3)</w:t>
      </w:r>
      <w:r w:rsidRPr="00A058B6">
        <w:t xml:space="preserve"> or 90YZR(3) of the Act for specific underlying valuation information for the interest;</w:t>
      </w:r>
    </w:p>
    <w:p w14:paraId="33892D92" w14:textId="074BBE62" w:rsidR="00FE5BA4" w:rsidRPr="00A058B6" w:rsidRDefault="00FE5BA4" w:rsidP="00FE5BA4">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30A5FD7A" w14:textId="6CFB69CA" w:rsidR="00FE5BA4" w:rsidRDefault="00FE5BA4" w:rsidP="00FE5BA4">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6AF9F714" w14:textId="7FBB37CE" w:rsidR="00FE5BA4" w:rsidRPr="00A058B6" w:rsidRDefault="00FE5BA4" w:rsidP="00FE5BA4">
      <w:pPr>
        <w:pStyle w:val="subsection"/>
      </w:pPr>
      <w:r w:rsidRPr="00A058B6">
        <w:tab/>
        <w:t>(</w:t>
      </w:r>
      <w:r w:rsidR="00F00DAB">
        <w:t>7</w:t>
      </w:r>
      <w:r w:rsidRPr="00A058B6">
        <w:t>)</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00F00DAB">
        <w:t>6</w:t>
      </w:r>
      <w:r w:rsidRPr="00A058B6">
        <w:t>) of this section</w:t>
      </w:r>
      <w:r>
        <w:t>.</w:t>
      </w:r>
    </w:p>
    <w:p w14:paraId="1D44BA85" w14:textId="7E9CA64C" w:rsidR="00D930D9" w:rsidRPr="00A058B6" w:rsidRDefault="00485CC2" w:rsidP="00D930D9">
      <w:pPr>
        <w:pStyle w:val="ActHead5"/>
      </w:pPr>
      <w:bookmarkStart w:id="168" w:name="_Toc188350653"/>
      <w:r w:rsidRPr="00423C34">
        <w:rPr>
          <w:rStyle w:val="CharSectno"/>
        </w:rPr>
        <w:t>115</w:t>
      </w:r>
      <w:r w:rsidR="00D930D9" w:rsidRPr="00A058B6">
        <w:t xml:space="preserve">  Specific information—the interest is subject to a payment split or flag</w:t>
      </w:r>
      <w:bookmarkEnd w:id="168"/>
    </w:p>
    <w:p w14:paraId="70B444CC" w14:textId="39F92AE0" w:rsidR="00D930D9" w:rsidRPr="00A058B6" w:rsidRDefault="00D930D9" w:rsidP="00D930D9">
      <w:pPr>
        <w:pStyle w:val="subsection"/>
      </w:pPr>
      <w:r w:rsidRPr="00A058B6">
        <w:tab/>
      </w:r>
      <w:r w:rsidRPr="00A058B6">
        <w:tab/>
        <w:t xml:space="preserve">For the purposes of </w:t>
      </w:r>
      <w:r w:rsidR="00CB78B9">
        <w:t>paragraph 1</w:t>
      </w:r>
      <w:r w:rsidR="00485CC2">
        <w:t>11</w:t>
      </w:r>
      <w:r w:rsidRPr="00A058B6">
        <w:t>(1)(</w:t>
      </w:r>
      <w:r w:rsidR="00FA3B01">
        <w:t>c</w:t>
      </w:r>
      <w:r w:rsidRPr="00A058B6">
        <w:t>), the information that must be provided in relation to each payment split to which the superannuation interest is subject is as follows:</w:t>
      </w:r>
    </w:p>
    <w:p w14:paraId="4EC0470F" w14:textId="77777777" w:rsidR="00D930D9" w:rsidRPr="00A058B6" w:rsidRDefault="00D930D9" w:rsidP="00D930D9">
      <w:pPr>
        <w:pStyle w:val="paragraph"/>
      </w:pPr>
      <w:r w:rsidRPr="00A058B6">
        <w:tab/>
        <w:t>(a)</w:t>
      </w:r>
      <w:r w:rsidRPr="00A058B6">
        <w:tab/>
        <w:t>the operative time for the payment split;</w:t>
      </w:r>
    </w:p>
    <w:p w14:paraId="4172FB84" w14:textId="77777777" w:rsidR="00D930D9" w:rsidRPr="00A058B6" w:rsidRDefault="00D930D9" w:rsidP="00D930D9">
      <w:pPr>
        <w:pStyle w:val="paragraph"/>
      </w:pPr>
      <w:r w:rsidRPr="00A058B6">
        <w:tab/>
        <w:t>(b)</w:t>
      </w:r>
      <w:r w:rsidRPr="00A058B6">
        <w:tab/>
        <w:t>if:</w:t>
      </w:r>
    </w:p>
    <w:p w14:paraId="7327D476" w14:textId="652F8E02" w:rsidR="00D930D9" w:rsidRPr="00A058B6" w:rsidRDefault="00D930D9" w:rsidP="00D930D9">
      <w:pPr>
        <w:pStyle w:val="paragraphsub"/>
      </w:pPr>
      <w:r w:rsidRPr="00A058B6">
        <w:tab/>
        <w:t>(i)</w:t>
      </w:r>
      <w:r w:rsidRPr="00A058B6">
        <w:tab/>
        <w:t xml:space="preserve">the payment split is under </w:t>
      </w:r>
      <w:r w:rsidR="00FE15C4">
        <w:t>subparagraph 9</w:t>
      </w:r>
      <w:r w:rsidRPr="00A058B6">
        <w:t xml:space="preserve">0XJ(1)(c)(i) or (ii) or 90YN(1)(c)(i) or (ii) of the Act, or under a splitting order made under </w:t>
      </w:r>
      <w:r w:rsidR="00FE15C4">
        <w:t>paragraph 9</w:t>
      </w:r>
      <w:r w:rsidRPr="00A058B6">
        <w:t>0XT(1)(a) or 90YY(1)(a) of the Act; and</w:t>
      </w:r>
    </w:p>
    <w:p w14:paraId="5A0EA714" w14:textId="77777777" w:rsidR="00D930D9" w:rsidRPr="00A058B6" w:rsidRDefault="00D930D9" w:rsidP="00D930D9">
      <w:pPr>
        <w:pStyle w:val="paragraphsub"/>
      </w:pPr>
      <w:r w:rsidRPr="00A058B6">
        <w:tab/>
        <w:t>(ii)</w:t>
      </w:r>
      <w:r w:rsidRPr="00A058B6">
        <w:tab/>
        <w:t>the interest was in the payment phase at the appropriate date;</w:t>
      </w:r>
    </w:p>
    <w:p w14:paraId="7F2C9FF9" w14:textId="13AB817B" w:rsidR="00D930D9" w:rsidRPr="00A058B6" w:rsidRDefault="00D930D9" w:rsidP="00D930D9">
      <w:pPr>
        <w:pStyle w:val="paragraph"/>
      </w:pPr>
      <w:r w:rsidRPr="00A058B6">
        <w:tab/>
      </w:r>
      <w:r w:rsidRPr="00A058B6">
        <w:tab/>
        <w:t>the amount that, under subsection </w:t>
      </w:r>
      <w:r w:rsidR="00485CC2">
        <w:t>92</w:t>
      </w:r>
      <w:r w:rsidRPr="00A058B6">
        <w:t xml:space="preserve">(6) or </w:t>
      </w:r>
      <w:r w:rsidR="00485CC2">
        <w:t>96</w:t>
      </w:r>
      <w:r w:rsidRPr="00A058B6">
        <w:t>(3) of this instrument, a person is entitled to be paid from each splittable payment that becomes payable in respect of the interest;</w:t>
      </w:r>
    </w:p>
    <w:p w14:paraId="6E02215E" w14:textId="64FB9E5A" w:rsidR="00D930D9" w:rsidRPr="00A058B6" w:rsidRDefault="00D930D9" w:rsidP="00D930D9">
      <w:pPr>
        <w:pStyle w:val="paragraph"/>
      </w:pPr>
      <w:r w:rsidRPr="00A058B6">
        <w:tab/>
        <w:t>(c)</w:t>
      </w:r>
      <w:r w:rsidRPr="00A058B6">
        <w:tab/>
        <w:t xml:space="preserve">if the payment split is under </w:t>
      </w:r>
      <w:r w:rsidR="00FE15C4">
        <w:t>subparagraph 9</w:t>
      </w:r>
      <w:r w:rsidRPr="00A058B6">
        <w:t xml:space="preserve">0XJ(1)(c)(i) or 90YN(1)(c)(i) of the Act, or under a splitting order made under </w:t>
      </w:r>
      <w:r w:rsidR="00FE15C4">
        <w:t>paragraph 9</w:t>
      </w:r>
      <w:r w:rsidRPr="00A058B6">
        <w:t>0XT(1)(a) or 90YY(1)(a) of the Act, and the interest was in the growth phase at the appropriate date:</w:t>
      </w:r>
    </w:p>
    <w:p w14:paraId="62C7148C" w14:textId="77777777" w:rsidR="00D930D9" w:rsidRPr="00A058B6" w:rsidRDefault="00D930D9" w:rsidP="00D930D9">
      <w:pPr>
        <w:pStyle w:val="paragraphsub"/>
      </w:pPr>
      <w:r w:rsidRPr="00A058B6">
        <w:tab/>
        <w:t>(i)</w:t>
      </w:r>
      <w:r w:rsidRPr="00A058B6">
        <w:tab/>
        <w:t>the base amount specified in the relevant superannuation agreement or flag lifting agreement in relation to the interest; and</w:t>
      </w:r>
    </w:p>
    <w:p w14:paraId="0A6C3360" w14:textId="52AD0D5A"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73FBAEA8" w14:textId="4DF60B0F" w:rsidR="00D930D9" w:rsidRPr="00A058B6" w:rsidRDefault="00D930D9" w:rsidP="00D930D9">
      <w:pPr>
        <w:pStyle w:val="paragraph"/>
      </w:pPr>
      <w:r w:rsidRPr="00A058B6">
        <w:tab/>
        <w:t>(d)</w:t>
      </w:r>
      <w:r w:rsidRPr="00A058B6">
        <w:tab/>
        <w:t xml:space="preserve">if the payment split is under </w:t>
      </w:r>
      <w:r w:rsidR="00FE15C4">
        <w:t>subparagraph 9</w:t>
      </w:r>
      <w:r w:rsidRPr="00A058B6">
        <w:t>0XJ(1)(c)(ii) or 90YN(1)(c)(ii) of the Act and the interest was in the growth phase at the appropriate date:</w:t>
      </w:r>
    </w:p>
    <w:p w14:paraId="1968597F" w14:textId="22C17E34" w:rsidR="00D930D9" w:rsidRPr="00A058B6" w:rsidRDefault="00D930D9" w:rsidP="00D930D9">
      <w:pPr>
        <w:pStyle w:val="paragraphsub"/>
      </w:pPr>
      <w:r w:rsidRPr="00A058B6">
        <w:tab/>
        <w:t>(i)</w:t>
      </w:r>
      <w:r w:rsidRPr="00A058B6">
        <w:tab/>
        <w:t xml:space="preserve">the amount set out in the document served on the trustee under </w:t>
      </w:r>
      <w:r w:rsidR="00FE15C4">
        <w:t>paragraph 9</w:t>
      </w:r>
      <w:r w:rsidRPr="00A058B6">
        <w:t>0XI(1)(b) or 90YM(1)(b) of the Act; and</w:t>
      </w:r>
    </w:p>
    <w:p w14:paraId="533E175B" w14:textId="3D675B80"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1012DD12" w14:textId="3F04DBA4" w:rsidR="00D930D9" w:rsidRPr="00A058B6" w:rsidRDefault="00D930D9" w:rsidP="00D930D9">
      <w:pPr>
        <w:pStyle w:val="paragraph"/>
      </w:pPr>
      <w:r w:rsidRPr="00A058B6">
        <w:tab/>
        <w:t>(e)</w:t>
      </w:r>
      <w:r w:rsidRPr="00A058B6">
        <w:tab/>
        <w:t xml:space="preserve">if the payment split is under </w:t>
      </w:r>
      <w:r w:rsidR="00FE15C4">
        <w:t>subparagraph 9</w:t>
      </w:r>
      <w:r w:rsidRPr="00A058B6">
        <w:t xml:space="preserve">0XJ(1)(c)(iii) or 90YN(1)(c)(iii) of the Act or under a splitting order made under </w:t>
      </w:r>
      <w:r w:rsidR="00FE15C4">
        <w:t>paragraph 9</w:t>
      </w:r>
      <w:r w:rsidRPr="00A058B6">
        <w:t>0XT(1)(b) or 90YY(1)(b) of the Act—the specified percentage that is to apply to any splittable payment that becomes payable in respect of the interest</w:t>
      </w:r>
      <w:r w:rsidR="00D7157D">
        <w:t>.</w:t>
      </w:r>
    </w:p>
    <w:p w14:paraId="3EB7BB4E" w14:textId="1FC69BD7" w:rsidR="00D930D9" w:rsidRPr="00A058B6" w:rsidRDefault="00D930D9" w:rsidP="00D930D9">
      <w:pPr>
        <w:pStyle w:val="notetext"/>
      </w:pPr>
      <w:r>
        <w:t>Note:</w:t>
      </w:r>
      <w:r>
        <w:tab/>
      </w:r>
      <w:r w:rsidR="00B05FD6">
        <w:t>Subparagraphs (</w:t>
      </w:r>
      <w:r>
        <w:t>c)(ii) and (d)(ii) are referring to the person who is the non</w:t>
      </w:r>
      <w:r w:rsidR="001952B3">
        <w:noBreakHyphen/>
      </w:r>
      <w:r>
        <w:t>member spouse for the purposes of the payment split</w:t>
      </w:r>
      <w:r w:rsidR="00D7157D">
        <w:t>.</w:t>
      </w:r>
    </w:p>
    <w:p w14:paraId="7D5AC114" w14:textId="359318B6" w:rsidR="00D930D9" w:rsidRPr="00A058B6" w:rsidRDefault="00485CC2" w:rsidP="00D930D9">
      <w:pPr>
        <w:pStyle w:val="ActHead5"/>
      </w:pPr>
      <w:bookmarkStart w:id="169" w:name="_Toc188350654"/>
      <w:r w:rsidRPr="00423C34">
        <w:rPr>
          <w:rStyle w:val="CharSectno"/>
        </w:rPr>
        <w:t>116</w:t>
      </w:r>
      <w:r w:rsidR="00D930D9" w:rsidRPr="00A058B6">
        <w:t xml:space="preserve">  Exceptions and other kinds of required information</w:t>
      </w:r>
      <w:bookmarkEnd w:id="169"/>
    </w:p>
    <w:p w14:paraId="1DAE27EF" w14:textId="77777777" w:rsidR="004B79DB" w:rsidRPr="004B79DB" w:rsidRDefault="004B79DB" w:rsidP="004B79DB">
      <w:pPr>
        <w:pStyle w:val="SubsectionHead"/>
      </w:pPr>
      <w:r>
        <w:t xml:space="preserve">General </w:t>
      </w:r>
      <w:r w:rsidR="000564E0">
        <w:t>exceptions</w:t>
      </w:r>
    </w:p>
    <w:p w14:paraId="3D3EC57B" w14:textId="04DD23F9" w:rsidR="00D930D9" w:rsidRPr="00A058B6" w:rsidRDefault="00D930D9" w:rsidP="00D930D9">
      <w:pPr>
        <w:pStyle w:val="subsection"/>
      </w:pPr>
      <w:r w:rsidRPr="00A058B6">
        <w:tab/>
        <w:t>(1)</w:t>
      </w:r>
      <w:r w:rsidRPr="00A058B6">
        <w:tab/>
        <w:t xml:space="preserve">The trustee is not required to provide information in response to an application referred to in </w:t>
      </w:r>
      <w:r w:rsidR="00CB78B9">
        <w:t>section 1</w:t>
      </w:r>
      <w:r w:rsidR="00485CC2">
        <w:t>11</w:t>
      </w:r>
      <w:r w:rsidRPr="00A058B6">
        <w:t xml:space="preserve"> in any of the following circumstances:</w:t>
      </w:r>
    </w:p>
    <w:p w14:paraId="2C2AC85E" w14:textId="2B41A222" w:rsidR="00D930D9" w:rsidRPr="00A058B6" w:rsidRDefault="00D930D9" w:rsidP="00D930D9">
      <w:pPr>
        <w:pStyle w:val="paragraph"/>
      </w:pPr>
      <w:r w:rsidRPr="00A058B6">
        <w:tab/>
        <w:t>(a)</w:t>
      </w:r>
      <w:r w:rsidRPr="00A058B6">
        <w:tab/>
        <w:t xml:space="preserve">if the application specifically requests the trustee to provide the information mentioned in </w:t>
      </w:r>
      <w:r w:rsidR="00CB78B9">
        <w:t>paragraph 1</w:t>
      </w:r>
      <w:r w:rsidR="00485CC2">
        <w:t>11</w:t>
      </w:r>
      <w:r w:rsidRPr="00A058B6">
        <w:t>(1)(</w:t>
      </w:r>
      <w:r w:rsidR="00C353E2">
        <w:t>i</w:t>
      </w:r>
      <w:r w:rsidRPr="00A058B6">
        <w:t>) to the applicant</w:t>
      </w:r>
      <w:r w:rsidR="00445157">
        <w:t>—</w:t>
      </w:r>
      <w:r w:rsidRPr="00A058B6">
        <w:t>the trustee is not required to provide any other information mentioned in this Subdivision to the applicant;</w:t>
      </w:r>
    </w:p>
    <w:p w14:paraId="005578F9" w14:textId="54CC7680" w:rsidR="00D930D9" w:rsidRPr="00A058B6" w:rsidRDefault="00D930D9" w:rsidP="00D930D9">
      <w:pPr>
        <w:pStyle w:val="paragraph"/>
      </w:pPr>
      <w:r w:rsidRPr="00A058B6">
        <w:tab/>
        <w:t>(b)</w:t>
      </w:r>
      <w:r w:rsidRPr="00A058B6">
        <w:tab/>
        <w:t xml:space="preserve">the trustee is not required to provide the information mentioned in </w:t>
      </w:r>
      <w:r w:rsidR="00CB78B9">
        <w:t>paragraph 1</w:t>
      </w:r>
      <w:r w:rsidR="00485CC2">
        <w:t>12</w:t>
      </w:r>
      <w:r w:rsidRPr="00A058B6">
        <w:t xml:space="preserve">(1)(a) or </w:t>
      </w:r>
      <w:r w:rsidR="00CB78B9">
        <w:t>subparagraph 1</w:t>
      </w:r>
      <w:r w:rsidR="00485CC2">
        <w:t>12</w:t>
      </w:r>
      <w:r w:rsidRPr="00A058B6">
        <w:t>(1)(</w:t>
      </w:r>
      <w:r w:rsidR="009E20BA">
        <w:t>c</w:t>
      </w:r>
      <w:r w:rsidRPr="00A058B6">
        <w:t>)(i) to the applicant unless a record of that information is in the trustee’s possession, power or control;</w:t>
      </w:r>
    </w:p>
    <w:p w14:paraId="6A0E8C1F" w14:textId="5A684A11" w:rsidR="00D930D9" w:rsidRPr="00A058B6" w:rsidRDefault="00D930D9" w:rsidP="00D930D9">
      <w:pPr>
        <w:pStyle w:val="paragraph"/>
      </w:pPr>
      <w:r w:rsidRPr="00A058B6">
        <w:tab/>
        <w:t>(</w:t>
      </w:r>
      <w:r w:rsidR="008D7D73">
        <w:t>c</w:t>
      </w:r>
      <w:r w:rsidRPr="00A058B6">
        <w:t>)</w:t>
      </w:r>
      <w:r w:rsidRPr="00A058B6">
        <w:tab/>
        <w:t xml:space="preserve">the trustee is not required to provide the information mentioned in </w:t>
      </w:r>
      <w:r w:rsidR="00CB78B9">
        <w:t>paragraph 1</w:t>
      </w:r>
      <w:r w:rsidR="00485CC2">
        <w:t>13</w:t>
      </w:r>
      <w:r w:rsidRPr="00A058B6">
        <w:t>(1)(b), (c) or (</w:t>
      </w:r>
      <w:r w:rsidR="00FE3992">
        <w:t>k</w:t>
      </w:r>
      <w:r w:rsidRPr="00A058B6">
        <w:t>) to the applicant unless a record of that information is in the trustee’s possession, power or control</w:t>
      </w:r>
      <w:r w:rsidR="00D7157D">
        <w:t>.</w:t>
      </w:r>
    </w:p>
    <w:p w14:paraId="4B226CC9" w14:textId="4FFFC8F4" w:rsidR="00D930D9" w:rsidRPr="00A058B6" w:rsidRDefault="00D930D9" w:rsidP="00D930D9">
      <w:pPr>
        <w:pStyle w:val="subsection"/>
      </w:pPr>
      <w:r w:rsidRPr="00A058B6">
        <w:tab/>
        <w:t>(2)</w:t>
      </w:r>
      <w:r w:rsidRPr="00A058B6">
        <w:tab/>
        <w:t xml:space="preserve">If, under </w:t>
      </w:r>
      <w:r w:rsidR="00CB78B9">
        <w:t>section 6</w:t>
      </w:r>
      <w:r w:rsidR="00485CC2">
        <w:t>2</w:t>
      </w:r>
      <w:r w:rsidRPr="00A058B6">
        <w:t>, the Minister has approved a method or factors to be used to determine the gross value of the superannuation interest, or a component of the superannuation interest that is a defined benefit interest, the Minister may, by legislative instrument, determine either or both of the following</w:t>
      </w:r>
      <w:r w:rsidRPr="00A058B6">
        <w:rPr>
          <w:color w:val="000000"/>
        </w:rPr>
        <w:t>:</w:t>
      </w:r>
    </w:p>
    <w:p w14:paraId="02B435FD" w14:textId="1BA6C497" w:rsidR="00D930D9" w:rsidRPr="00A058B6" w:rsidRDefault="00D930D9" w:rsidP="00D930D9">
      <w:pPr>
        <w:pStyle w:val="paragraph"/>
      </w:pPr>
      <w:r w:rsidRPr="00A058B6">
        <w:tab/>
        <w:t>(a)</w:t>
      </w:r>
      <w:r w:rsidRPr="00A058B6">
        <w:tab/>
        <w:t xml:space="preserve">that the trustee is not required to provide one or more specified kinds of information mentioned in </w:t>
      </w:r>
      <w:r w:rsidR="00CB78B9">
        <w:t>section 1</w:t>
      </w:r>
      <w:r w:rsidR="00485CC2">
        <w:t>13</w:t>
      </w:r>
      <w:r w:rsidRPr="00A058B6">
        <w:t xml:space="preserve"> or </w:t>
      </w:r>
      <w:r w:rsidR="00485CC2">
        <w:t>114</w:t>
      </w:r>
      <w:r w:rsidRPr="00A058B6">
        <w:t xml:space="preserve"> about the interest or the component of the interest;</w:t>
      </w:r>
    </w:p>
    <w:p w14:paraId="5687CBA7" w14:textId="77777777" w:rsidR="00D930D9" w:rsidRPr="00A058B6" w:rsidRDefault="00D930D9" w:rsidP="00D930D9">
      <w:pPr>
        <w:pStyle w:val="paragraph"/>
      </w:pPr>
      <w:r w:rsidRPr="00A058B6">
        <w:tab/>
        <w:t>(b)</w:t>
      </w:r>
      <w:r w:rsidRPr="00A058B6">
        <w:tab/>
        <w:t>that the trustee must provide other specified kinds of information about the interest or the component of the interest</w:t>
      </w:r>
      <w:r w:rsidR="00D7157D">
        <w:t>.</w:t>
      </w:r>
    </w:p>
    <w:p w14:paraId="329CADF9" w14:textId="77777777" w:rsidR="00673BDA" w:rsidRPr="000564E0" w:rsidRDefault="00673BDA" w:rsidP="00673BDA">
      <w:pPr>
        <w:pStyle w:val="SubsectionHead"/>
      </w:pPr>
      <w:r>
        <w:t xml:space="preserve">Superannuation interest </w:t>
      </w:r>
      <w:r w:rsidR="007B64CF">
        <w:t>made up of</w:t>
      </w:r>
      <w:r w:rsidR="00B074ED">
        <w:t xml:space="preserve"> </w:t>
      </w:r>
      <w:r>
        <w:t>a defined benefit interest</w:t>
      </w:r>
      <w:r w:rsidR="00B074ED">
        <w:t xml:space="preserve"> component and a</w:t>
      </w:r>
      <w:r w:rsidR="00C62677">
        <w:t>n</w:t>
      </w:r>
      <w:r w:rsidR="00B074ED">
        <w:t xml:space="preserve"> </w:t>
      </w:r>
      <w:r w:rsidR="00B074ED" w:rsidRPr="00B074ED">
        <w:t xml:space="preserve">accumulation interest </w:t>
      </w:r>
      <w:r w:rsidR="00C62677">
        <w:t xml:space="preserve">component </w:t>
      </w:r>
      <w:r w:rsidR="00B074ED" w:rsidRPr="00B074ED">
        <w:t>(other than a partially vested accumulation interest)</w:t>
      </w:r>
    </w:p>
    <w:p w14:paraId="3FCAEDF1" w14:textId="3341A837" w:rsidR="00D930D9" w:rsidRPr="00A058B6" w:rsidRDefault="00D930D9" w:rsidP="00D930D9">
      <w:pPr>
        <w:pStyle w:val="subsection"/>
      </w:pPr>
      <w:r w:rsidRPr="00A058B6">
        <w:tab/>
        <w:t>(3)</w:t>
      </w:r>
      <w:r w:rsidRPr="00A058B6">
        <w:tab/>
        <w:t>If the superannuation interest is made up of components, one of which is an accumulation interest</w:t>
      </w:r>
      <w:r w:rsidR="00D05E34">
        <w:t xml:space="preserve"> </w:t>
      </w:r>
      <w:r w:rsidR="00D05E34" w:rsidRPr="00D05E34">
        <w:t>(other than a partially vested accumulation interest)</w:t>
      </w:r>
      <w:r w:rsidRPr="00A058B6">
        <w:t xml:space="preserve">, and under </w:t>
      </w:r>
      <w:r w:rsidR="00CB78B9">
        <w:t>section 6</w:t>
      </w:r>
      <w:r w:rsidR="00485CC2">
        <w:t>2</w:t>
      </w:r>
      <w:r w:rsidRPr="00A058B6">
        <w:t xml:space="preserve"> the Minister has approved a method or factors to be used to determine the gross value of the superannuation interest, the Minister may, by legislative instrument, determine one or more of the following:</w:t>
      </w:r>
    </w:p>
    <w:p w14:paraId="67171123" w14:textId="4A802335" w:rsidR="00D930D9" w:rsidRPr="00A058B6" w:rsidRDefault="00D930D9" w:rsidP="00D930D9">
      <w:pPr>
        <w:pStyle w:val="paragraph"/>
      </w:pPr>
      <w:r w:rsidRPr="00A058B6">
        <w:tab/>
        <w:t>(a)</w:t>
      </w:r>
      <w:r w:rsidRPr="00A058B6">
        <w:tab/>
        <w:t xml:space="preserve">that the trustee is not required to provide one or more specified kinds of information mentioned in </w:t>
      </w:r>
      <w:r w:rsidR="00CB78B9">
        <w:t>section 1</w:t>
      </w:r>
      <w:r w:rsidR="00485CC2">
        <w:t>13</w:t>
      </w:r>
      <w:r w:rsidRPr="00A058B6">
        <w:t xml:space="preserve"> about the component of the superannuation interest that is a defined benefit interest;</w:t>
      </w:r>
    </w:p>
    <w:p w14:paraId="7AF95CB4" w14:textId="3F29ADC2" w:rsidR="00D930D9" w:rsidRPr="00A058B6" w:rsidRDefault="00D930D9" w:rsidP="00110F32">
      <w:pPr>
        <w:pStyle w:val="paragraph"/>
      </w:pPr>
      <w:r w:rsidRPr="00A058B6">
        <w:tab/>
        <w:t>(b)</w:t>
      </w:r>
      <w:r w:rsidRPr="00A058B6">
        <w:tab/>
        <w:t>that the trustee is not required to provide</w:t>
      </w:r>
      <w:r w:rsidR="00110F32">
        <w:t xml:space="preserve"> </w:t>
      </w:r>
      <w:r w:rsidRPr="00A058B6">
        <w:t xml:space="preserve">one or more specified kinds of information mentioned in </w:t>
      </w:r>
      <w:r w:rsidR="00CB78B9">
        <w:t>section 1</w:t>
      </w:r>
      <w:r w:rsidR="00485CC2">
        <w:t>06</w:t>
      </w:r>
      <w:r w:rsidRPr="00A058B6">
        <w:t xml:space="preserve"> about the component of the superannuation interest that is an accumulation interest;</w:t>
      </w:r>
    </w:p>
    <w:p w14:paraId="4B66624C" w14:textId="77777777" w:rsidR="00D930D9" w:rsidRPr="00A058B6" w:rsidRDefault="00D930D9" w:rsidP="00D930D9">
      <w:pPr>
        <w:pStyle w:val="paragraph"/>
      </w:pPr>
      <w:r w:rsidRPr="00A058B6">
        <w:tab/>
        <w:t>(c)</w:t>
      </w:r>
      <w:r w:rsidRPr="00A058B6">
        <w:tab/>
        <w:t>that the trustee must provide other specified kinds of information about the superannuation interest or a component of the superannuation interest</w:t>
      </w:r>
      <w:r w:rsidR="00D7157D">
        <w:t>.</w:t>
      </w:r>
    </w:p>
    <w:p w14:paraId="31D5CFA8" w14:textId="22E4598E" w:rsidR="00D930D9" w:rsidRPr="00A058B6" w:rsidRDefault="00D930D9" w:rsidP="00D930D9">
      <w:pPr>
        <w:pStyle w:val="notetext"/>
      </w:pPr>
      <w:r w:rsidRPr="00A058B6">
        <w:t>Note:</w:t>
      </w:r>
      <w:r w:rsidRPr="00A058B6">
        <w:tab/>
        <w:t xml:space="preserve">If the superannuation interest is made up of components, this Subdivision only applies to the superannuation interest if one of the components is a defined benefit interest (see </w:t>
      </w:r>
      <w:r w:rsidR="00CB78B9">
        <w:t>section 1</w:t>
      </w:r>
      <w:r w:rsidR="00485CC2">
        <w:t>10</w:t>
      </w:r>
      <w:r w:rsidRPr="00A058B6">
        <w:t>)</w:t>
      </w:r>
      <w:r w:rsidR="00D7157D">
        <w:t>.</w:t>
      </w:r>
    </w:p>
    <w:p w14:paraId="728C35E5" w14:textId="77777777" w:rsidR="00C62677" w:rsidRPr="000564E0" w:rsidRDefault="00C62677" w:rsidP="00C62677">
      <w:pPr>
        <w:pStyle w:val="SubsectionHead"/>
      </w:pPr>
      <w:r>
        <w:t xml:space="preserve">Superannuation interest made up of a defined benefit interest component and </w:t>
      </w:r>
      <w:r w:rsidRPr="00B074ED">
        <w:t>a partially vested accumulation interest</w:t>
      </w:r>
      <w:r w:rsidR="00D05E34">
        <w:t xml:space="preserve"> component</w:t>
      </w:r>
    </w:p>
    <w:p w14:paraId="07FC988B" w14:textId="20B26589" w:rsidR="00C62677" w:rsidRPr="00A058B6" w:rsidRDefault="00C62677" w:rsidP="00C62677">
      <w:pPr>
        <w:pStyle w:val="subsection"/>
      </w:pPr>
      <w:r w:rsidRPr="00A058B6">
        <w:tab/>
        <w:t>(</w:t>
      </w:r>
      <w:r w:rsidR="00A66FC8">
        <w:t>4</w:t>
      </w:r>
      <w:r w:rsidRPr="00A058B6">
        <w:t>)</w:t>
      </w:r>
      <w:r w:rsidRPr="00A058B6">
        <w:tab/>
        <w:t xml:space="preserve">If the superannuation interest is made up of components, one of which is </w:t>
      </w:r>
      <w:r w:rsidR="006F7CCD" w:rsidRPr="00A058B6">
        <w:t>a partially vested accumulation interest</w:t>
      </w:r>
      <w:r w:rsidRPr="00A058B6">
        <w:t xml:space="preserve">, and under </w:t>
      </w:r>
      <w:r w:rsidR="00CB78B9">
        <w:t>section 6</w:t>
      </w:r>
      <w:r w:rsidR="00485CC2">
        <w:t>2</w:t>
      </w:r>
      <w:r w:rsidRPr="00A058B6">
        <w:t xml:space="preserve"> the Minister has approved a method or factors to be used to determine the gross value of the superannuation interest, the Minister may, by legislative instrument, determine one or more of the following:</w:t>
      </w:r>
    </w:p>
    <w:p w14:paraId="0074B3D6" w14:textId="66ECC1D9" w:rsidR="00C62677" w:rsidRPr="00A058B6" w:rsidRDefault="00C62677" w:rsidP="00C62677">
      <w:pPr>
        <w:pStyle w:val="paragraph"/>
      </w:pPr>
      <w:r w:rsidRPr="00A058B6">
        <w:tab/>
        <w:t>(a)</w:t>
      </w:r>
      <w:r w:rsidRPr="00A058B6">
        <w:tab/>
        <w:t xml:space="preserve">that the trustee is not required to provide one or more specified kinds of information mentioned in </w:t>
      </w:r>
      <w:r w:rsidR="00CB78B9">
        <w:t>section 1</w:t>
      </w:r>
      <w:r w:rsidR="00485CC2">
        <w:t>13</w:t>
      </w:r>
      <w:r w:rsidRPr="00A058B6">
        <w:t xml:space="preserve"> about the component of the superannuation interest that is a defined benefit interest;</w:t>
      </w:r>
    </w:p>
    <w:p w14:paraId="1823DA15" w14:textId="542676EB" w:rsidR="00C62677" w:rsidRPr="00A058B6" w:rsidRDefault="00C62677" w:rsidP="006F7CCD">
      <w:pPr>
        <w:pStyle w:val="paragraph"/>
      </w:pPr>
      <w:r w:rsidRPr="00A058B6">
        <w:tab/>
        <w:t>(b)</w:t>
      </w:r>
      <w:r w:rsidRPr="00A058B6">
        <w:tab/>
        <w:t>that the trustee is not required to provide</w:t>
      </w:r>
      <w:r w:rsidR="006F7CCD">
        <w:t xml:space="preserve"> </w:t>
      </w:r>
      <w:r w:rsidRPr="00A058B6">
        <w:t xml:space="preserve">one or more specified kinds of information mentioned in </w:t>
      </w:r>
      <w:r w:rsidR="00CB78B9">
        <w:t>section 1</w:t>
      </w:r>
      <w:r w:rsidR="00485CC2">
        <w:t>07</w:t>
      </w:r>
      <w:r w:rsidRPr="00A058B6">
        <w:t xml:space="preserve"> about </w:t>
      </w:r>
      <w:r w:rsidR="002614EB" w:rsidRPr="002614EB">
        <w:t>the component</w:t>
      </w:r>
      <w:r w:rsidR="002614EB">
        <w:t xml:space="preserve"> of the superannuation interest</w:t>
      </w:r>
      <w:r w:rsidR="002614EB" w:rsidRPr="002614EB">
        <w:t xml:space="preserve"> that is a partially vested accumulation interest</w:t>
      </w:r>
      <w:r w:rsidRPr="00A058B6">
        <w:t>;</w:t>
      </w:r>
    </w:p>
    <w:p w14:paraId="32721A18" w14:textId="77777777" w:rsidR="00C62677" w:rsidRPr="00A058B6" w:rsidRDefault="00C62677" w:rsidP="00C62677">
      <w:pPr>
        <w:pStyle w:val="paragraph"/>
      </w:pPr>
      <w:r w:rsidRPr="00A058B6">
        <w:tab/>
        <w:t>(c)</w:t>
      </w:r>
      <w:r w:rsidRPr="00A058B6">
        <w:tab/>
        <w:t>that the trustee must provide other specified kinds of information about the superannuation interest or a component of the superannuation interest</w:t>
      </w:r>
      <w:r w:rsidR="00D7157D">
        <w:t>.</w:t>
      </w:r>
    </w:p>
    <w:p w14:paraId="5E5FCE1D" w14:textId="1EEBE198" w:rsidR="00C62677" w:rsidRPr="00A058B6" w:rsidRDefault="00C62677" w:rsidP="00C62677">
      <w:pPr>
        <w:pStyle w:val="notetext"/>
      </w:pPr>
      <w:r w:rsidRPr="00A058B6">
        <w:t>Note:</w:t>
      </w:r>
      <w:r w:rsidRPr="00A058B6">
        <w:tab/>
        <w:t xml:space="preserve">If the superannuation interest is made up of components, this Subdivision only applies to the superannuation interest if one of the components is a defined benefit interest (see </w:t>
      </w:r>
      <w:r w:rsidR="00CB78B9">
        <w:t>section 1</w:t>
      </w:r>
      <w:r w:rsidR="00485CC2">
        <w:t>10</w:t>
      </w:r>
      <w:r w:rsidRPr="00A058B6">
        <w:t>)</w:t>
      </w:r>
      <w:r w:rsidR="00D7157D">
        <w:t>.</w:t>
      </w:r>
    </w:p>
    <w:p w14:paraId="1C732A5B" w14:textId="77777777" w:rsidR="00544EB7" w:rsidRPr="000564E0" w:rsidRDefault="00544EB7" w:rsidP="00544EB7">
      <w:pPr>
        <w:pStyle w:val="SubsectionHead"/>
      </w:pPr>
      <w:r>
        <w:t>Superannuation interest in the payment phase</w:t>
      </w:r>
    </w:p>
    <w:p w14:paraId="092CB1F0" w14:textId="6167DBFF" w:rsidR="00D930D9" w:rsidRPr="00A058B6" w:rsidRDefault="00D930D9" w:rsidP="00D930D9">
      <w:pPr>
        <w:pStyle w:val="subsection"/>
      </w:pPr>
      <w:r w:rsidRPr="00A058B6">
        <w:rPr>
          <w:color w:val="000000"/>
        </w:rPr>
        <w:tab/>
        <w:t>(</w:t>
      </w:r>
      <w:r w:rsidR="00A66FC8">
        <w:rPr>
          <w:color w:val="000000"/>
        </w:rPr>
        <w:t>5</w:t>
      </w:r>
      <w:r w:rsidRPr="00A058B6">
        <w:rPr>
          <w:color w:val="000000"/>
        </w:rPr>
        <w:t>)</w:t>
      </w:r>
      <w:r w:rsidRPr="00A058B6">
        <w:rPr>
          <w:color w:val="000000"/>
        </w:rPr>
        <w:tab/>
        <w:t xml:space="preserve">If, under </w:t>
      </w:r>
      <w:r w:rsidR="00CB78B9">
        <w:rPr>
          <w:color w:val="000000"/>
        </w:rPr>
        <w:t>section 7</w:t>
      </w:r>
      <w:r w:rsidR="00485CC2">
        <w:rPr>
          <w:color w:val="000000"/>
        </w:rPr>
        <w:t>0</w:t>
      </w:r>
      <w:r w:rsidRPr="00A058B6">
        <w:rPr>
          <w:color w:val="000000"/>
        </w:rPr>
        <w:t>, the Minister has approved a method or factors to be used to determine the gross value of the superannuation interest, the Minister may, by legislative instrument, determine either or both of the following:</w:t>
      </w:r>
    </w:p>
    <w:p w14:paraId="12B3059A" w14:textId="08B93F58" w:rsidR="00D930D9" w:rsidRPr="00A058B6" w:rsidRDefault="00D930D9" w:rsidP="00D930D9">
      <w:pPr>
        <w:pStyle w:val="paragraph"/>
      </w:pPr>
      <w:r w:rsidRPr="00A058B6">
        <w:rPr>
          <w:color w:val="000000"/>
        </w:rPr>
        <w:tab/>
        <w:t>(a)</w:t>
      </w:r>
      <w:r w:rsidRPr="00A058B6">
        <w:rPr>
          <w:color w:val="000000"/>
        </w:rPr>
        <w:tab/>
        <w:t xml:space="preserve">that the trustee is not required to provide one or more specified kinds of information mentioned in </w:t>
      </w:r>
      <w:r w:rsidR="00CB78B9">
        <w:rPr>
          <w:color w:val="000000"/>
        </w:rPr>
        <w:t>section 1</w:t>
      </w:r>
      <w:r w:rsidR="00485CC2">
        <w:rPr>
          <w:color w:val="000000"/>
        </w:rPr>
        <w:t>11</w:t>
      </w:r>
      <w:r w:rsidRPr="00A058B6">
        <w:rPr>
          <w:color w:val="000000"/>
        </w:rPr>
        <w:t xml:space="preserve"> or </w:t>
      </w:r>
      <w:r w:rsidR="00485CC2">
        <w:rPr>
          <w:color w:val="000000"/>
        </w:rPr>
        <w:t>112</w:t>
      </w:r>
      <w:r w:rsidRPr="00A058B6">
        <w:rPr>
          <w:color w:val="000000"/>
        </w:rPr>
        <w:t xml:space="preserve"> about the interest;</w:t>
      </w:r>
    </w:p>
    <w:p w14:paraId="78EAAE5F" w14:textId="77777777" w:rsidR="00D930D9" w:rsidRPr="00A058B6" w:rsidRDefault="00D930D9" w:rsidP="00D930D9">
      <w:pPr>
        <w:pStyle w:val="paragraph"/>
      </w:pPr>
      <w:r w:rsidRPr="00A058B6">
        <w:tab/>
        <w:t>(b)</w:t>
      </w:r>
      <w:r w:rsidRPr="00A058B6">
        <w:tab/>
        <w:t>that the trustee must provide one or more other specified kinds of information about the interest</w:t>
      </w:r>
      <w:r w:rsidR="00D7157D">
        <w:t>.</w:t>
      </w:r>
    </w:p>
    <w:p w14:paraId="03B927B7" w14:textId="106A1BEA" w:rsidR="00D930D9" w:rsidRPr="00A058B6" w:rsidRDefault="00485CC2" w:rsidP="00D930D9">
      <w:pPr>
        <w:pStyle w:val="ActHead5"/>
      </w:pPr>
      <w:bookmarkStart w:id="170" w:name="_Toc188350655"/>
      <w:r w:rsidRPr="00423C34">
        <w:rPr>
          <w:rStyle w:val="CharSectno"/>
        </w:rPr>
        <w:t>117</w:t>
      </w:r>
      <w:r w:rsidR="00D930D9" w:rsidRPr="00A058B6">
        <w:t xml:space="preserve">  Interest is in the growth phase and held as a result of employment in which the member is still engaged—meaning of </w:t>
      </w:r>
      <w:r w:rsidR="00D930D9" w:rsidRPr="00A058B6">
        <w:rPr>
          <w:i/>
        </w:rPr>
        <w:t>accrued benefit multiple</w:t>
      </w:r>
      <w:bookmarkEnd w:id="170"/>
    </w:p>
    <w:p w14:paraId="713540FD" w14:textId="68FA4256" w:rsidR="00D930D9" w:rsidRPr="00A058B6" w:rsidRDefault="00D930D9" w:rsidP="00D930D9">
      <w:pPr>
        <w:pStyle w:val="subsection"/>
      </w:pPr>
      <w:r w:rsidRPr="00A058B6">
        <w:tab/>
        <w:t>(1)</w:t>
      </w:r>
      <w:r w:rsidRPr="00A058B6">
        <w:tab/>
        <w:t xml:space="preserve">This section applies for the purposes of </w:t>
      </w:r>
      <w:r w:rsidR="00CB78B9">
        <w:t>paragraph 1</w:t>
      </w:r>
      <w:r w:rsidR="00485CC2">
        <w:t>13</w:t>
      </w:r>
      <w:r w:rsidRPr="00A058B6">
        <w:t xml:space="preserve">(1)(b) for a lump sum, or pension, payable in respect of a superannuation interest of a member in an eligible superannuation plan (the </w:t>
      </w:r>
      <w:r w:rsidRPr="00A058B6">
        <w:rPr>
          <w:b/>
          <w:i/>
        </w:rPr>
        <w:t>relevant plan</w:t>
      </w:r>
      <w:r w:rsidRPr="00A058B6">
        <w:t>)</w:t>
      </w:r>
      <w:r w:rsidR="00D7157D">
        <w:t>.</w:t>
      </w:r>
    </w:p>
    <w:p w14:paraId="230B1BE1" w14:textId="77777777" w:rsidR="00D930D9" w:rsidRPr="00A058B6" w:rsidRDefault="00D930D9" w:rsidP="00D930D9">
      <w:pPr>
        <w:pStyle w:val="subsection"/>
      </w:pPr>
      <w:r w:rsidRPr="00A058B6">
        <w:tab/>
        <w:t>(2)</w:t>
      </w:r>
      <w:r w:rsidRPr="00A058B6">
        <w:tab/>
        <w:t xml:space="preserve">If an accrued benefit multiple is defined under the governing rules of the relevant plan, the </w:t>
      </w:r>
      <w:r w:rsidRPr="00A058B6">
        <w:rPr>
          <w:b/>
          <w:i/>
        </w:rPr>
        <w:t>accrued benefit multiple</w:t>
      </w:r>
      <w:r w:rsidRPr="00A058B6">
        <w:t xml:space="preserve"> is th</w:t>
      </w:r>
      <w:r>
        <w:t>at</w:t>
      </w:r>
      <w:r w:rsidRPr="00A058B6">
        <w:t xml:space="preserve"> multiple</w:t>
      </w:r>
      <w:r w:rsidR="00D7157D">
        <w:t>.</w:t>
      </w:r>
    </w:p>
    <w:p w14:paraId="7C3944DA" w14:textId="45BC2A4E" w:rsidR="00D930D9" w:rsidRPr="00A058B6" w:rsidRDefault="00D930D9" w:rsidP="00D930D9">
      <w:pPr>
        <w:pStyle w:val="subsection"/>
      </w:pPr>
      <w:r w:rsidRPr="00A058B6">
        <w:tab/>
        <w:t>(3)</w:t>
      </w:r>
      <w:r w:rsidRPr="00A058B6">
        <w:tab/>
        <w:t xml:space="preserve">If </w:t>
      </w:r>
      <w:r w:rsidR="00A52DA5">
        <w:t>subsection (</w:t>
      </w:r>
      <w:r w:rsidRPr="00A058B6">
        <w:t xml:space="preserve">2) does not apply, but a multiple is, under the governing rules of the relevant plan, used to define the benefit payable to the member at the appropriate date, the </w:t>
      </w:r>
      <w:r w:rsidRPr="00A058B6">
        <w:rPr>
          <w:b/>
          <w:i/>
        </w:rPr>
        <w:t>accrued benefit multiple</w:t>
      </w:r>
      <w:r w:rsidRPr="00A058B6">
        <w:t xml:space="preserve"> is that multiple</w:t>
      </w:r>
      <w:r w:rsidR="00D7157D">
        <w:t>.</w:t>
      </w:r>
    </w:p>
    <w:p w14:paraId="3C134F4A" w14:textId="183BB767" w:rsidR="00D930D9" w:rsidRPr="00A058B6" w:rsidRDefault="00D930D9" w:rsidP="00D930D9">
      <w:pPr>
        <w:pStyle w:val="subsection"/>
      </w:pPr>
      <w:r w:rsidRPr="00A058B6">
        <w:tab/>
        <w:t>(4)</w:t>
      </w:r>
      <w:r w:rsidRPr="00A058B6">
        <w:tab/>
        <w:t xml:space="preserve">If neither </w:t>
      </w:r>
      <w:r w:rsidR="00A52DA5">
        <w:t>subsection (</w:t>
      </w:r>
      <w:r w:rsidRPr="00A058B6">
        <w:t xml:space="preserve">2) nor (3) applies, the </w:t>
      </w:r>
      <w:r w:rsidRPr="00A058B6">
        <w:rPr>
          <w:b/>
          <w:i/>
        </w:rPr>
        <w:t>accrued benefit multiple</w:t>
      </w:r>
      <w:r w:rsidRPr="00A058B6">
        <w:t xml:space="preserve"> is:</w:t>
      </w:r>
    </w:p>
    <w:p w14:paraId="4BD59988" w14:textId="5D918A63" w:rsidR="00D930D9" w:rsidRPr="00A058B6" w:rsidRDefault="00092E65" w:rsidP="00D930D9">
      <w:pPr>
        <w:pStyle w:val="subsection2"/>
      </w:pPr>
      <w:r w:rsidRPr="00A058B6">
        <w:rPr>
          <w:position w:val="-36"/>
        </w:rPr>
        <w:object w:dxaOrig="4459" w:dyaOrig="800" w14:anchorId="1196422A">
          <v:shape id="_x0000_i1055" type="#_x0000_t75" alt="Start formula start fraction Multiple to calculate retirement benefit times First period over Second period end fraction end formula" style="width:222.4pt;height:41.75pt;mso-position-vertical:absolute" o:ole="">
            <v:imagedata r:id="rId84" o:title=""/>
          </v:shape>
          <o:OLEObject Type="Embed" ProgID="Equation.DSMT4" ShapeID="_x0000_i1055" DrawAspect="Content" ObjectID="_1801634284" r:id="rId85"/>
        </w:object>
      </w:r>
    </w:p>
    <w:p w14:paraId="5C6FD377" w14:textId="77777777" w:rsidR="00D930D9" w:rsidRPr="00A058B6" w:rsidRDefault="00D930D9" w:rsidP="00D930D9">
      <w:pPr>
        <w:pStyle w:val="subsection2"/>
      </w:pPr>
      <w:r w:rsidRPr="00A058B6">
        <w:t>where:</w:t>
      </w:r>
    </w:p>
    <w:p w14:paraId="49106CFF" w14:textId="77777777" w:rsidR="008B77FA" w:rsidRPr="00A058B6" w:rsidRDefault="008B77FA" w:rsidP="008B77FA">
      <w:pPr>
        <w:pStyle w:val="Definition"/>
      </w:pPr>
      <w:r w:rsidRPr="00A058B6">
        <w:rPr>
          <w:b/>
          <w:i/>
        </w:rPr>
        <w:t>multiple to calculate retirement benefit</w:t>
      </w:r>
      <w:r w:rsidRPr="00A058B6">
        <w:t xml:space="preserve"> </w:t>
      </w:r>
      <w:r w:rsidR="00480422">
        <w:t>means</w:t>
      </w:r>
      <w:r w:rsidRPr="00A058B6">
        <w:t>:</w:t>
      </w:r>
    </w:p>
    <w:p w14:paraId="16325AA4" w14:textId="77777777" w:rsidR="008B77FA" w:rsidRPr="00A058B6" w:rsidRDefault="008B77FA" w:rsidP="008B77FA">
      <w:pPr>
        <w:pStyle w:val="paragraph"/>
      </w:pPr>
      <w:r w:rsidRPr="00A058B6">
        <w:tab/>
        <w:t>(a)</w:t>
      </w:r>
      <w:r w:rsidRPr="00A058B6">
        <w:tab/>
        <w:t>if the benefit in respect of the interest is payable as a lump sum—the multiple that will be applied to the member’s salary figure at the member’s earliest retirement date to calculate the lump sum retirement benefit that will be payable to the member at that date; or</w:t>
      </w:r>
    </w:p>
    <w:p w14:paraId="24CBFD8D" w14:textId="77777777" w:rsidR="008B77FA" w:rsidRPr="00A058B6" w:rsidRDefault="008B77FA" w:rsidP="008B77FA">
      <w:pPr>
        <w:pStyle w:val="paragraph"/>
      </w:pPr>
      <w:r w:rsidRPr="00A058B6">
        <w:tab/>
        <w:t>(b)</w:t>
      </w:r>
      <w:r w:rsidRPr="00A058B6">
        <w:tab/>
        <w:t>if the benefit in respect of the interest is payable as a pension—the multiple that will be applied to the member’s salary figure at the member’s earliest retirement date to calculate the pension benefit that will be payable to the member at that date</w:t>
      </w:r>
      <w:r w:rsidR="00D7157D">
        <w:t>.</w:t>
      </w:r>
    </w:p>
    <w:p w14:paraId="40CAD800" w14:textId="77777777" w:rsidR="00D930D9" w:rsidRPr="00A058B6" w:rsidRDefault="00D930D9" w:rsidP="00D930D9">
      <w:pPr>
        <w:pStyle w:val="Definition"/>
      </w:pPr>
      <w:r w:rsidRPr="00A058B6">
        <w:rPr>
          <w:b/>
          <w:i/>
        </w:rPr>
        <w:t>first period</w:t>
      </w:r>
      <w:r w:rsidRPr="00A058B6">
        <w:t xml:space="preserve"> </w:t>
      </w:r>
      <w:r w:rsidR="00480422">
        <w:t>means</w:t>
      </w:r>
      <w:r w:rsidR="00480422" w:rsidRPr="00A058B6">
        <w:t xml:space="preserve"> </w:t>
      </w:r>
      <w:r w:rsidRPr="00A058B6">
        <w:t>the period:</w:t>
      </w:r>
    </w:p>
    <w:p w14:paraId="40CD404E" w14:textId="77777777" w:rsidR="00D930D9" w:rsidRPr="00A058B6" w:rsidRDefault="00D930D9" w:rsidP="00D930D9">
      <w:pPr>
        <w:pStyle w:val="paragraph"/>
      </w:pPr>
      <w:r w:rsidRPr="00A058B6">
        <w:tab/>
        <w:t>(a)</w:t>
      </w:r>
      <w:r w:rsidRPr="00A058B6">
        <w:tab/>
        <w:t>starting on the earlier of:</w:t>
      </w:r>
    </w:p>
    <w:p w14:paraId="1D28D50B" w14:textId="77777777" w:rsidR="00D930D9" w:rsidRPr="00A058B6" w:rsidRDefault="00D930D9" w:rsidP="00D930D9">
      <w:pPr>
        <w:pStyle w:val="paragraphsub"/>
      </w:pPr>
      <w:r w:rsidRPr="00A058B6">
        <w:tab/>
        <w:t>(i)</w:t>
      </w:r>
      <w:r w:rsidRPr="00A058B6">
        <w:tab/>
        <w:t>the day the member first became a member of the relevant plan; and</w:t>
      </w:r>
    </w:p>
    <w:p w14:paraId="4281BF44" w14:textId="77777777" w:rsidR="00D930D9" w:rsidRPr="00A058B6" w:rsidRDefault="00D930D9" w:rsidP="00D930D9">
      <w:pPr>
        <w:pStyle w:val="paragraphsub"/>
      </w:pPr>
      <w:r w:rsidRPr="00A058B6">
        <w:tab/>
        <w:t>(ii)</w:t>
      </w:r>
      <w:r w:rsidRPr="00A058B6">
        <w:tab/>
        <w:t>the day a benefit began to accrue to the member in respect of the superannuation interest; and</w:t>
      </w:r>
    </w:p>
    <w:p w14:paraId="06937D5B" w14:textId="77777777" w:rsidR="00D930D9" w:rsidRPr="00A058B6" w:rsidRDefault="00D930D9" w:rsidP="00D930D9">
      <w:pPr>
        <w:pStyle w:val="paragraph"/>
      </w:pPr>
      <w:r w:rsidRPr="00A058B6">
        <w:tab/>
        <w:t>(b)</w:t>
      </w:r>
      <w:r w:rsidRPr="00A058B6">
        <w:tab/>
        <w:t>ending on the day before the appropriate date</w:t>
      </w:r>
      <w:r w:rsidR="00D7157D">
        <w:t>.</w:t>
      </w:r>
    </w:p>
    <w:p w14:paraId="633CC3E1" w14:textId="77777777" w:rsidR="00D930D9" w:rsidRPr="00A058B6" w:rsidRDefault="00D930D9" w:rsidP="00D930D9">
      <w:pPr>
        <w:pStyle w:val="Definition"/>
      </w:pPr>
      <w:r w:rsidRPr="00A058B6">
        <w:rPr>
          <w:b/>
          <w:i/>
        </w:rPr>
        <w:t>second period</w:t>
      </w:r>
      <w:r w:rsidRPr="00A058B6">
        <w:t xml:space="preserve"> </w:t>
      </w:r>
      <w:r w:rsidR="00480422">
        <w:t>means</w:t>
      </w:r>
      <w:r w:rsidR="00480422" w:rsidRPr="00A058B6">
        <w:t xml:space="preserve"> </w:t>
      </w:r>
      <w:r w:rsidRPr="00A058B6">
        <w:t>the period:</w:t>
      </w:r>
    </w:p>
    <w:p w14:paraId="2D3374F1" w14:textId="77777777" w:rsidR="00D930D9" w:rsidRPr="00A058B6" w:rsidRDefault="00D930D9" w:rsidP="00D930D9">
      <w:pPr>
        <w:pStyle w:val="paragraph"/>
      </w:pPr>
      <w:r w:rsidRPr="00A058B6">
        <w:tab/>
        <w:t>(a)</w:t>
      </w:r>
      <w:r w:rsidRPr="00A058B6">
        <w:tab/>
        <w:t>starting on the earlier of:</w:t>
      </w:r>
    </w:p>
    <w:p w14:paraId="2A1A121A" w14:textId="77777777" w:rsidR="00D930D9" w:rsidRPr="00A058B6" w:rsidRDefault="00D930D9" w:rsidP="00D930D9">
      <w:pPr>
        <w:pStyle w:val="paragraphsub"/>
      </w:pPr>
      <w:r w:rsidRPr="00A058B6">
        <w:tab/>
        <w:t>(i)</w:t>
      </w:r>
      <w:r w:rsidRPr="00A058B6">
        <w:tab/>
        <w:t>the day the member first became a member of the relevant plan; and</w:t>
      </w:r>
    </w:p>
    <w:p w14:paraId="45352D09" w14:textId="77777777" w:rsidR="00D930D9" w:rsidRPr="00A058B6" w:rsidRDefault="00D930D9" w:rsidP="00D930D9">
      <w:pPr>
        <w:pStyle w:val="paragraphsub"/>
      </w:pPr>
      <w:r w:rsidRPr="00A058B6">
        <w:tab/>
        <w:t>(ii)</w:t>
      </w:r>
      <w:r w:rsidRPr="00A058B6">
        <w:tab/>
        <w:t>the day a benefit began to accrue to the member in respect of the superannuation interest; and</w:t>
      </w:r>
    </w:p>
    <w:p w14:paraId="240D97F3" w14:textId="77777777" w:rsidR="00D930D9" w:rsidRPr="00A058B6" w:rsidRDefault="00D930D9" w:rsidP="00D930D9">
      <w:pPr>
        <w:pStyle w:val="paragraph"/>
      </w:pPr>
      <w:r w:rsidRPr="00A058B6">
        <w:tab/>
        <w:t>(b)</w:t>
      </w:r>
      <w:r w:rsidRPr="00A058B6">
        <w:tab/>
        <w:t>ending on the day before the member’s earliest retirement date</w:t>
      </w:r>
      <w:r w:rsidR="00D7157D">
        <w:t>.</w:t>
      </w:r>
    </w:p>
    <w:p w14:paraId="388B0B69" w14:textId="77777777" w:rsidR="00E14BB2" w:rsidRPr="00A058B6" w:rsidRDefault="00E14BB2" w:rsidP="00E14BB2">
      <w:pPr>
        <w:pStyle w:val="Definition"/>
      </w:pPr>
      <w:r w:rsidRPr="00A058B6">
        <w:rPr>
          <w:b/>
          <w:i/>
        </w:rPr>
        <w:t>member’s earliest retirement date</w:t>
      </w:r>
      <w:r w:rsidRPr="00A058B6">
        <w:t xml:space="preserve"> means the first date when the member could retire and become eligible, under the governing rules of the relevant plan, to be paid a retirement benefit in respect of the member’s superannuation interest in the relevant plan</w:t>
      </w:r>
      <w:r w:rsidR="00D7157D">
        <w:t>.</w:t>
      </w:r>
    </w:p>
    <w:p w14:paraId="49419595" w14:textId="49FACEA3" w:rsidR="00D930D9" w:rsidRPr="00A058B6" w:rsidRDefault="00D930D9" w:rsidP="00D930D9">
      <w:pPr>
        <w:pStyle w:val="subsection"/>
      </w:pPr>
      <w:r w:rsidRPr="00A058B6">
        <w:tab/>
        <w:t>(5)</w:t>
      </w:r>
      <w:r w:rsidRPr="00A058B6">
        <w:tab/>
        <w:t xml:space="preserve">For the purposes of </w:t>
      </w:r>
      <w:r w:rsidR="00A52DA5">
        <w:t>subsection (</w:t>
      </w:r>
      <w:r w:rsidRPr="00A058B6">
        <w:t>4), if the member’s benefit in respect of the superannuation interest will, under the governing rules of the relevant plan, depend on the amount of contributions made by the member to the plan and no particular rate of contributions is required under the governing rules of the plan, assume that:</w:t>
      </w:r>
    </w:p>
    <w:p w14:paraId="7414582E" w14:textId="77777777" w:rsidR="00D930D9" w:rsidRPr="00A058B6" w:rsidRDefault="00D930D9" w:rsidP="00D930D9">
      <w:pPr>
        <w:pStyle w:val="paragraph"/>
      </w:pPr>
      <w:r w:rsidRPr="00A058B6">
        <w:tab/>
        <w:t>(a)</w:t>
      </w:r>
      <w:r w:rsidRPr="00A058B6">
        <w:tab/>
        <w:t>the member has contributed to the plan at the rate that, under the governing rules of the plan, is the standard rate of contributions, unless the member has exercised any election under those rules to contribute at a different rate; or</w:t>
      </w:r>
    </w:p>
    <w:p w14:paraId="4B87E1DC" w14:textId="61332F94" w:rsidR="00D930D9" w:rsidRPr="00A058B6" w:rsidRDefault="00D930D9" w:rsidP="00D930D9">
      <w:pPr>
        <w:pStyle w:val="paragraph"/>
      </w:pPr>
      <w:r w:rsidRPr="00A058B6">
        <w:tab/>
        <w:t>(b)</w:t>
      </w:r>
      <w:r w:rsidRPr="00A058B6">
        <w:tab/>
        <w:t>if, under the governing rules of the plan, a range of contribution rates is available to the member—the member has contributed to the plan at the mid</w:t>
      </w:r>
      <w:r w:rsidR="001952B3">
        <w:noBreakHyphen/>
      </w:r>
      <w:r w:rsidRPr="00A058B6">
        <w:t>point of that range, unless the member has exercised any election under the governing rules of the plan to contribute at a different rate</w:t>
      </w:r>
      <w:r w:rsidR="00D7157D">
        <w:t>.</w:t>
      </w:r>
    </w:p>
    <w:p w14:paraId="36F08638" w14:textId="59203792" w:rsidR="00D930D9" w:rsidRPr="00A058B6" w:rsidRDefault="00D930D9" w:rsidP="00D930D9">
      <w:pPr>
        <w:pStyle w:val="ActHead4"/>
      </w:pPr>
      <w:bookmarkStart w:id="171" w:name="_Toc188350656"/>
      <w:r w:rsidRPr="00423C34">
        <w:rPr>
          <w:rStyle w:val="CharSubdNo"/>
        </w:rPr>
        <w:t>Subdivision C</w:t>
      </w:r>
      <w:r w:rsidRPr="00A058B6">
        <w:t>—</w:t>
      </w:r>
      <w:r w:rsidRPr="00423C34">
        <w:rPr>
          <w:rStyle w:val="CharSubdText"/>
        </w:rPr>
        <w:t>Information about certain percentage</w:t>
      </w:r>
      <w:r w:rsidR="001952B3" w:rsidRPr="00423C34">
        <w:rPr>
          <w:rStyle w:val="CharSubdText"/>
        </w:rPr>
        <w:noBreakHyphen/>
      </w:r>
      <w:r w:rsidRPr="00423C34">
        <w:rPr>
          <w:rStyle w:val="CharSubdText"/>
        </w:rPr>
        <w:t>only interests</w:t>
      </w:r>
      <w:bookmarkEnd w:id="171"/>
    </w:p>
    <w:p w14:paraId="493C7372" w14:textId="6AC9E4D9" w:rsidR="00D930D9" w:rsidRPr="00A058B6" w:rsidRDefault="00485CC2" w:rsidP="00D930D9">
      <w:pPr>
        <w:pStyle w:val="ActHead5"/>
      </w:pPr>
      <w:bookmarkStart w:id="172" w:name="_Toc188350657"/>
      <w:r w:rsidRPr="00423C34">
        <w:rPr>
          <w:rStyle w:val="CharSectno"/>
        </w:rPr>
        <w:t>118</w:t>
      </w:r>
      <w:r w:rsidR="00D930D9" w:rsidRPr="00A058B6">
        <w:t xml:space="preserve">  Percentage</w:t>
      </w:r>
      <w:r w:rsidR="001952B3">
        <w:noBreakHyphen/>
      </w:r>
      <w:r w:rsidR="00D930D9" w:rsidRPr="00A058B6">
        <w:t>only interests to which this Subdivision applies</w:t>
      </w:r>
      <w:bookmarkEnd w:id="172"/>
    </w:p>
    <w:p w14:paraId="2F25A64B" w14:textId="77777777" w:rsidR="00D930D9" w:rsidRPr="00A058B6" w:rsidRDefault="00D930D9" w:rsidP="00D930D9">
      <w:pPr>
        <w:pStyle w:val="subsection"/>
      </w:pPr>
      <w:r w:rsidRPr="00A058B6">
        <w:tab/>
      </w:r>
      <w:r w:rsidRPr="00A058B6">
        <w:tab/>
        <w:t>This Subdivision applies for a superannuation interest of a member of an eligible superannuation plan if:</w:t>
      </w:r>
    </w:p>
    <w:p w14:paraId="526968D5" w14:textId="3A8D09B7" w:rsidR="00D930D9" w:rsidRPr="00A058B6" w:rsidRDefault="00D930D9" w:rsidP="00D930D9">
      <w:pPr>
        <w:pStyle w:val="paragraph"/>
      </w:pPr>
      <w:r w:rsidRPr="00A058B6">
        <w:tab/>
        <w:t>(a)</w:t>
      </w:r>
      <w:r w:rsidRPr="00A058B6">
        <w:tab/>
        <w:t>the superannuation interest is a percentage</w:t>
      </w:r>
      <w:r w:rsidR="001952B3">
        <w:noBreakHyphen/>
      </w:r>
      <w:r w:rsidRPr="00A058B6">
        <w:t>only interest; and</w:t>
      </w:r>
    </w:p>
    <w:p w14:paraId="30E78833" w14:textId="77777777" w:rsidR="00D930D9" w:rsidRPr="00A058B6" w:rsidRDefault="00D930D9" w:rsidP="00D930D9">
      <w:pPr>
        <w:pStyle w:val="paragraph"/>
      </w:pPr>
      <w:r w:rsidRPr="00A058B6">
        <w:tab/>
        <w:t>(b)</w:t>
      </w:r>
      <w:r w:rsidRPr="00A058B6">
        <w:tab/>
        <w:t>the superannuation interest is not an interest in a self managed superannuation fund; and</w:t>
      </w:r>
    </w:p>
    <w:p w14:paraId="3D60D7AE" w14:textId="77777777" w:rsidR="00D930D9" w:rsidRPr="00A058B6" w:rsidRDefault="00D930D9" w:rsidP="00D930D9">
      <w:pPr>
        <w:pStyle w:val="paragraph"/>
      </w:pPr>
      <w:r w:rsidRPr="00A058B6">
        <w:tab/>
        <w:t>(c)</w:t>
      </w:r>
      <w:r w:rsidRPr="00A058B6">
        <w:tab/>
        <w:t xml:space="preserve">Subdivision </w:t>
      </w:r>
      <w:r w:rsidR="0037051F">
        <w:t>G</w:t>
      </w:r>
      <w:r w:rsidRPr="00A058B6">
        <w:t xml:space="preserve"> does not apply for the superannuation interest</w:t>
      </w:r>
      <w:r w:rsidR="00D7157D">
        <w:t>.</w:t>
      </w:r>
    </w:p>
    <w:p w14:paraId="5935C01B" w14:textId="423276CC" w:rsidR="00D930D9" w:rsidRPr="00A058B6" w:rsidRDefault="00485CC2" w:rsidP="00D930D9">
      <w:pPr>
        <w:pStyle w:val="ActHead5"/>
      </w:pPr>
      <w:bookmarkStart w:id="173" w:name="_Toc188350658"/>
      <w:r w:rsidRPr="00423C34">
        <w:rPr>
          <w:rStyle w:val="CharSectno"/>
        </w:rPr>
        <w:t>119</w:t>
      </w:r>
      <w:r w:rsidR="00D930D9" w:rsidRPr="00A058B6">
        <w:t xml:space="preserve">  Information the trustee must provide—overview</w:t>
      </w:r>
      <w:bookmarkEnd w:id="173"/>
    </w:p>
    <w:p w14:paraId="7E17C3B1" w14:textId="6EFF7894"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 the information about the superannuation interest that must be provided by the trustee of the plan in response to an application referred to in that subsection is as follows:</w:t>
      </w:r>
    </w:p>
    <w:p w14:paraId="70BB4F1D" w14:textId="77777777" w:rsidR="00D930D9" w:rsidRPr="00A058B6" w:rsidRDefault="00C70ED7" w:rsidP="00D930D9">
      <w:pPr>
        <w:pStyle w:val="paragraph"/>
      </w:pPr>
      <w:r>
        <w:tab/>
        <w:t>(a)</w:t>
      </w:r>
      <w:r>
        <w:tab/>
      </w:r>
      <w:r w:rsidR="00D930D9" w:rsidRPr="00A058B6">
        <w:t>if the interest is an unsplittable interest, a statement to that effect;</w:t>
      </w:r>
    </w:p>
    <w:p w14:paraId="5CD70870" w14:textId="77777777" w:rsidR="00D930D9" w:rsidRPr="00A058B6" w:rsidRDefault="00C70ED7" w:rsidP="00D930D9">
      <w:pPr>
        <w:pStyle w:val="paragraph"/>
      </w:pPr>
      <w:r>
        <w:tab/>
        <w:t>(b)</w:t>
      </w:r>
      <w:r>
        <w:tab/>
      </w:r>
      <w:r w:rsidR="00D930D9" w:rsidRPr="00A058B6">
        <w:t>a statement indicating whether the interest is subject to a payment split or payment flag;</w:t>
      </w:r>
    </w:p>
    <w:p w14:paraId="406BA919" w14:textId="40B0CF48" w:rsidR="00D930D9" w:rsidRPr="00A058B6" w:rsidRDefault="00C70ED7" w:rsidP="00D930D9">
      <w:pPr>
        <w:pStyle w:val="paragraph"/>
      </w:pPr>
      <w:r>
        <w:tab/>
        <w:t>(c)</w:t>
      </w:r>
      <w:r>
        <w:tab/>
      </w:r>
      <w:r w:rsidR="00D930D9" w:rsidRPr="00A058B6">
        <w:t xml:space="preserve">if the interest is subject to a payment split </w:t>
      </w:r>
      <w:r w:rsidR="00D930D9" w:rsidRPr="00A058B6">
        <w:rPr>
          <w:snapToGrid w:val="0"/>
        </w:rPr>
        <w:t>(other than under a superannuation agreement, flag lifting agreement or splitting order for which the non</w:t>
      </w:r>
      <w:r w:rsidR="001952B3">
        <w:rPr>
          <w:snapToGrid w:val="0"/>
        </w:rPr>
        <w:noBreakHyphen/>
      </w:r>
      <w:r w:rsidR="00D930D9" w:rsidRPr="00A058B6">
        <w:rPr>
          <w:snapToGrid w:val="0"/>
        </w:rPr>
        <w:t xml:space="preserve">member spouse’s entitlement has been satisfied as required by </w:t>
      </w:r>
      <w:r w:rsidR="00453C86">
        <w:rPr>
          <w:snapToGrid w:val="0"/>
        </w:rPr>
        <w:t>Division 2</w:t>
      </w:r>
      <w:r w:rsidR="00D930D9" w:rsidRPr="00A058B6">
        <w:rPr>
          <w:snapToGrid w:val="0"/>
        </w:rPr>
        <w:t xml:space="preserve"> of </w:t>
      </w:r>
      <w:r w:rsidR="006211C7">
        <w:rPr>
          <w:snapToGrid w:val="0"/>
        </w:rPr>
        <w:t>Part </w:t>
      </w:r>
      <w:r w:rsidR="009F5A3D">
        <w:rPr>
          <w:snapToGrid w:val="0"/>
        </w:rPr>
        <w:t>3</w:t>
      </w:r>
      <w:r w:rsidR="00D930D9" w:rsidRPr="00A058B6">
        <w:rPr>
          <w:snapToGrid w:val="0"/>
        </w:rPr>
        <w:t>)—</w:t>
      </w:r>
      <w:r w:rsidR="00D930D9" w:rsidRPr="00A058B6">
        <w:t xml:space="preserve">the information mentioned in </w:t>
      </w:r>
      <w:r w:rsidR="00CB78B9">
        <w:t>section 1</w:t>
      </w:r>
      <w:r w:rsidR="00485CC2">
        <w:t>24</w:t>
      </w:r>
      <w:r w:rsidR="00D930D9" w:rsidRPr="00A058B6">
        <w:t>;</w:t>
      </w:r>
    </w:p>
    <w:p w14:paraId="7D42F9F2" w14:textId="77777777" w:rsidR="00D930D9" w:rsidRPr="00A058B6" w:rsidRDefault="00C70ED7" w:rsidP="00D930D9">
      <w:pPr>
        <w:pStyle w:val="paragraph"/>
      </w:pPr>
      <w:r>
        <w:tab/>
        <w:t>(d)</w:t>
      </w:r>
      <w:r>
        <w:tab/>
      </w:r>
      <w:r w:rsidR="00D930D9" w:rsidRPr="00A058B6">
        <w:t xml:space="preserve">the date of commencement of the member’s service period (within the meaning of the </w:t>
      </w:r>
      <w:r w:rsidR="00D930D9" w:rsidRPr="00A058B6">
        <w:rPr>
          <w:i/>
        </w:rPr>
        <w:t>Income Tax Assessment Act 1997</w:t>
      </w:r>
      <w:r w:rsidR="00D930D9" w:rsidRPr="00A058B6">
        <w:t>), if any;</w:t>
      </w:r>
    </w:p>
    <w:p w14:paraId="0D7BBF44" w14:textId="77777777" w:rsidR="00D14046" w:rsidRPr="00A058B6" w:rsidRDefault="00D14046" w:rsidP="00D14046">
      <w:pPr>
        <w:pStyle w:val="paragraph"/>
      </w:pPr>
      <w:r>
        <w:tab/>
        <w:t>(e)</w:t>
      </w:r>
      <w:r>
        <w:tab/>
      </w:r>
      <w:r w:rsidRPr="00A058B6">
        <w:t>the date when the member first became a member of the plan;</w:t>
      </w:r>
    </w:p>
    <w:p w14:paraId="5F653B0A" w14:textId="0B6EC4FE" w:rsidR="00D930D9" w:rsidRPr="00A058B6" w:rsidRDefault="00C70ED7" w:rsidP="00D930D9">
      <w:pPr>
        <w:pStyle w:val="paragraph"/>
      </w:pPr>
      <w:r>
        <w:tab/>
        <w:t>(f)</w:t>
      </w:r>
      <w:r>
        <w:tab/>
      </w:r>
      <w:r w:rsidR="00D930D9" w:rsidRPr="00A058B6">
        <w:t xml:space="preserve">if the interest was in the payment phase at the appropriate date and the member is receiving ongoing pension payments—the payment phase information mentioned in </w:t>
      </w:r>
      <w:r w:rsidR="00CB78B9">
        <w:t>section 1</w:t>
      </w:r>
      <w:r w:rsidR="00485CC2">
        <w:t>20</w:t>
      </w:r>
      <w:r w:rsidR="00D930D9" w:rsidRPr="00A058B6">
        <w:t xml:space="preserve"> for the interest;</w:t>
      </w:r>
    </w:p>
    <w:p w14:paraId="4996D655" w14:textId="77777777" w:rsidR="00D930D9" w:rsidRPr="00A058B6" w:rsidRDefault="00C70ED7" w:rsidP="00D930D9">
      <w:pPr>
        <w:pStyle w:val="paragraph"/>
      </w:pPr>
      <w:r>
        <w:tab/>
        <w:t>(g)</w:t>
      </w:r>
      <w:r>
        <w:tab/>
      </w:r>
      <w:r w:rsidR="00D930D9" w:rsidRPr="00A058B6">
        <w:t>if:</w:t>
      </w:r>
    </w:p>
    <w:p w14:paraId="3AA963B4" w14:textId="77777777" w:rsidR="00D930D9" w:rsidRPr="00A058B6" w:rsidRDefault="00D930D9" w:rsidP="00D930D9">
      <w:pPr>
        <w:pStyle w:val="paragraphsub"/>
      </w:pPr>
      <w:r w:rsidRPr="00A058B6">
        <w:tab/>
        <w:t>(i)</w:t>
      </w:r>
      <w:r w:rsidRPr="00A058B6">
        <w:tab/>
        <w:t>the interest is in a superannuation annuity and was in the payment phase at the appropriate date; and</w:t>
      </w:r>
    </w:p>
    <w:p w14:paraId="0F62CEA7" w14:textId="77777777" w:rsidR="00D930D9" w:rsidRPr="00A058B6" w:rsidRDefault="00D930D9" w:rsidP="00D930D9">
      <w:pPr>
        <w:pStyle w:val="paragraphsub"/>
      </w:pPr>
      <w:r w:rsidRPr="00A058B6">
        <w:tab/>
        <w:t>(ii)</w:t>
      </w:r>
      <w:r w:rsidRPr="00A058B6">
        <w:tab/>
        <w:t>the member is receiving ongoing payments of benefits (</w:t>
      </w:r>
      <w:r w:rsidRPr="00A058B6">
        <w:rPr>
          <w:b/>
          <w:i/>
        </w:rPr>
        <w:t>ongoing benefits</w:t>
      </w:r>
      <w:r w:rsidRPr="00A058B6">
        <w:t>) under the annuity;</w:t>
      </w:r>
    </w:p>
    <w:p w14:paraId="5C9EA379" w14:textId="0235728E" w:rsidR="00D930D9" w:rsidRPr="00A058B6" w:rsidRDefault="00D930D9" w:rsidP="00D930D9">
      <w:pPr>
        <w:pStyle w:val="paragraph"/>
      </w:pPr>
      <w:r w:rsidRPr="00A058B6">
        <w:tab/>
      </w:r>
      <w:r w:rsidRPr="00A058B6">
        <w:tab/>
        <w:t xml:space="preserve">the payment phase information mentioned in </w:t>
      </w:r>
      <w:r w:rsidR="00CB78B9">
        <w:t>section 1</w:t>
      </w:r>
      <w:r w:rsidR="00485CC2">
        <w:t>21</w:t>
      </w:r>
      <w:r w:rsidRPr="00A058B6">
        <w:t xml:space="preserve"> for the interest;</w:t>
      </w:r>
    </w:p>
    <w:p w14:paraId="4CF24BBF" w14:textId="4156C226" w:rsidR="00D930D9" w:rsidRPr="00A058B6" w:rsidRDefault="00C70ED7" w:rsidP="00D930D9">
      <w:pPr>
        <w:pStyle w:val="paragraph"/>
      </w:pPr>
      <w:r>
        <w:tab/>
        <w:t>(h)</w:t>
      </w:r>
      <w:r>
        <w:tab/>
      </w:r>
      <w:r w:rsidR="00D930D9" w:rsidRPr="00A058B6">
        <w:t xml:space="preserve">if the interest (other than an interest in a deferred annuity) was in the growth phase at the appropriate date—the growth phase information mentioned in </w:t>
      </w:r>
      <w:r w:rsidR="00CB78B9">
        <w:t>section 1</w:t>
      </w:r>
      <w:r w:rsidR="00485CC2">
        <w:t>22</w:t>
      </w:r>
      <w:r w:rsidR="00D930D9" w:rsidRPr="00A058B6">
        <w:t xml:space="preserve"> for the interest;</w:t>
      </w:r>
    </w:p>
    <w:p w14:paraId="0650C2B8" w14:textId="4BB98725" w:rsidR="00D930D9" w:rsidRPr="00A058B6" w:rsidRDefault="00C70ED7" w:rsidP="00D930D9">
      <w:pPr>
        <w:pStyle w:val="paragraph"/>
      </w:pPr>
      <w:r>
        <w:tab/>
        <w:t>(i)</w:t>
      </w:r>
      <w:r>
        <w:tab/>
      </w:r>
      <w:r w:rsidR="00D930D9" w:rsidRPr="00A058B6">
        <w:t xml:space="preserve">if the interest is in a deferred annuity and was in the growth phase at the appropriate date—the growth phase information mentioned in </w:t>
      </w:r>
      <w:r w:rsidR="00CB78B9">
        <w:t>section 1</w:t>
      </w:r>
      <w:r w:rsidR="00485CC2">
        <w:t>23</w:t>
      </w:r>
      <w:r w:rsidR="00D930D9" w:rsidRPr="00A058B6">
        <w:t xml:space="preserve"> for the interest;</w:t>
      </w:r>
    </w:p>
    <w:p w14:paraId="634AC8A2" w14:textId="77777777" w:rsidR="00D930D9" w:rsidRPr="00A058B6" w:rsidRDefault="00C70ED7" w:rsidP="00D930D9">
      <w:pPr>
        <w:pStyle w:val="paragraph"/>
      </w:pPr>
      <w:r>
        <w:tab/>
        <w:t>(j)</w:t>
      </w:r>
      <w:r>
        <w:tab/>
      </w:r>
      <w:r w:rsidR="00D930D9" w:rsidRPr="00A058B6">
        <w:t>if the application for information specifically requests the trustee to provide information about the withdrawal benefit for the member—the withdrawal benefit for the member at the date when the information is provided;</w:t>
      </w:r>
    </w:p>
    <w:p w14:paraId="46FFED1B" w14:textId="30AFCDC6" w:rsidR="00D930D9" w:rsidRPr="00A058B6" w:rsidRDefault="00C70ED7" w:rsidP="00D930D9">
      <w:pPr>
        <w:pStyle w:val="paragraph"/>
      </w:pPr>
      <w:r>
        <w:tab/>
        <w:t>(k)</w:t>
      </w:r>
      <w:r>
        <w:tab/>
      </w:r>
      <w:r w:rsidR="00D930D9" w:rsidRPr="00A058B6">
        <w:t>details of any fees that may be charged by the trustee under paragraph </w:t>
      </w:r>
      <w:r w:rsidR="00485CC2">
        <w:t>98</w:t>
      </w:r>
      <w:r w:rsidR="00D930D9" w:rsidRPr="00A058B6">
        <w:t>(1)(a), (b), (c), (d) or (f)</w:t>
      </w:r>
      <w:r w:rsidR="00945414">
        <w:t>;</w:t>
      </w:r>
    </w:p>
    <w:p w14:paraId="6338011E" w14:textId="77777777" w:rsidR="00945414" w:rsidRPr="00A058B6" w:rsidRDefault="00945414" w:rsidP="00945414">
      <w:pPr>
        <w:pStyle w:val="paragraph"/>
      </w:pPr>
      <w:r>
        <w:tab/>
        <w:t>(l)</w:t>
      </w:r>
      <w:r>
        <w:tab/>
        <w:t>if known, the member’s date of birth.</w:t>
      </w:r>
    </w:p>
    <w:p w14:paraId="768FD3B5" w14:textId="5300417B" w:rsidR="00D930D9" w:rsidRPr="00A058B6" w:rsidRDefault="00D930D9" w:rsidP="00D930D9">
      <w:pPr>
        <w:pStyle w:val="subsection"/>
      </w:pPr>
      <w:r w:rsidRPr="00A058B6">
        <w:tab/>
        <w:t>(2)</w:t>
      </w:r>
      <w:r w:rsidRPr="00A058B6">
        <w:tab/>
        <w:t xml:space="preserve">Subsection (1) has effect subject to </w:t>
      </w:r>
      <w:r w:rsidR="00CB78B9">
        <w:t>section 1</w:t>
      </w:r>
      <w:r w:rsidR="00485CC2">
        <w:t>25</w:t>
      </w:r>
      <w:r w:rsidRPr="00A058B6">
        <w:t xml:space="preserve"> (about exceptions)</w:t>
      </w:r>
      <w:r w:rsidR="00D7157D">
        <w:t>.</w:t>
      </w:r>
    </w:p>
    <w:p w14:paraId="06B9B19B" w14:textId="37D9B6D0" w:rsidR="00D930D9" w:rsidRPr="00A058B6" w:rsidRDefault="00D930D9" w:rsidP="00D930D9">
      <w:pPr>
        <w:pStyle w:val="notetext"/>
      </w:pPr>
      <w:r w:rsidRPr="00A058B6">
        <w:t>Example:</w:t>
      </w:r>
      <w:r w:rsidRPr="00A058B6">
        <w:tab/>
        <w:t xml:space="preserve">If an application for information specifically requests the information mentioned in </w:t>
      </w:r>
      <w:r w:rsidR="00453C86">
        <w:t>paragraph (</w:t>
      </w:r>
      <w:r w:rsidRPr="00A058B6">
        <w:t>1)(</w:t>
      </w:r>
      <w:r w:rsidR="00C70ED7">
        <w:t>j</w:t>
      </w:r>
      <w:r w:rsidRPr="00A058B6">
        <w:t>) to be provided, the trustee is required to provide only the information mentioned in that paragraph and paragraphs </w:t>
      </w:r>
      <w:r w:rsidR="00485CC2">
        <w:t>122</w:t>
      </w:r>
      <w:r w:rsidR="00FA0C08">
        <w:t>(1)</w:t>
      </w:r>
      <w:r w:rsidRPr="00A058B6">
        <w:t xml:space="preserve">(d) and (e) to the applicant (see </w:t>
      </w:r>
      <w:r w:rsidR="00CB78B9">
        <w:t>paragraph 1</w:t>
      </w:r>
      <w:r w:rsidR="00485CC2">
        <w:t>25</w:t>
      </w:r>
      <w:r w:rsidR="00E53592">
        <w:t>(1)</w:t>
      </w:r>
      <w:r w:rsidRPr="00A058B6">
        <w:t>(a))</w:t>
      </w:r>
      <w:r w:rsidR="00D7157D">
        <w:t>.</w:t>
      </w:r>
    </w:p>
    <w:p w14:paraId="3B018124" w14:textId="594F30D7" w:rsidR="00D930D9" w:rsidRPr="00A058B6" w:rsidRDefault="00485CC2" w:rsidP="00D930D9">
      <w:pPr>
        <w:pStyle w:val="ActHead5"/>
      </w:pPr>
      <w:bookmarkStart w:id="174" w:name="_Toc188350659"/>
      <w:r w:rsidRPr="00423C34">
        <w:rPr>
          <w:rStyle w:val="CharSectno"/>
        </w:rPr>
        <w:t>120</w:t>
      </w:r>
      <w:r w:rsidR="00D930D9" w:rsidRPr="00A058B6">
        <w:t xml:space="preserve">  Specific information—the interest is in the payment phase and the member is receiving ongoing pension payments</w:t>
      </w:r>
      <w:bookmarkEnd w:id="174"/>
    </w:p>
    <w:p w14:paraId="43C41061" w14:textId="5FB35448" w:rsidR="00D930D9" w:rsidRPr="00A058B6" w:rsidRDefault="00D930D9" w:rsidP="00D930D9">
      <w:pPr>
        <w:pStyle w:val="subsection"/>
      </w:pPr>
      <w:r w:rsidRPr="00A058B6">
        <w:tab/>
      </w:r>
      <w:r w:rsidR="00A30E02">
        <w:t>(1)</w:t>
      </w:r>
      <w:r w:rsidRPr="00A058B6">
        <w:tab/>
        <w:t xml:space="preserve">For the purposes of </w:t>
      </w:r>
      <w:r w:rsidR="00CB78B9">
        <w:t>paragraph 1</w:t>
      </w:r>
      <w:r w:rsidR="00485CC2">
        <w:t>19</w:t>
      </w:r>
      <w:r w:rsidRPr="00A058B6">
        <w:t>(1)(</w:t>
      </w:r>
      <w:r w:rsidR="005E31EE">
        <w:t>f</w:t>
      </w:r>
      <w:r w:rsidRPr="00A058B6">
        <w:t>), the payment phase information for the superannuation interest is:</w:t>
      </w:r>
    </w:p>
    <w:p w14:paraId="53B52BF5" w14:textId="77777777" w:rsidR="00D930D9" w:rsidRPr="00A058B6" w:rsidRDefault="003D74A0" w:rsidP="00D930D9">
      <w:pPr>
        <w:pStyle w:val="paragraph"/>
      </w:pPr>
      <w:r>
        <w:tab/>
        <w:t>(a)</w:t>
      </w:r>
      <w:r>
        <w:tab/>
      </w:r>
      <w:r w:rsidR="00D930D9" w:rsidRPr="00A058B6">
        <w:t>if the ongoing pension payments in respect of the interest are in respect of an allocated pension—the withdrawal benefit for the member at the appropriate date; and</w:t>
      </w:r>
    </w:p>
    <w:p w14:paraId="68644439" w14:textId="77777777" w:rsidR="00D930D9" w:rsidRPr="00A058B6" w:rsidRDefault="003D74A0" w:rsidP="00D930D9">
      <w:pPr>
        <w:pStyle w:val="paragraph"/>
        <w:rPr>
          <w:color w:val="000000"/>
        </w:rPr>
      </w:pPr>
      <w:r>
        <w:rPr>
          <w:color w:val="000000"/>
        </w:rPr>
        <w:tab/>
        <w:t>(b)</w:t>
      </w:r>
      <w:r>
        <w:rPr>
          <w:color w:val="000000"/>
        </w:rPr>
        <w:tab/>
      </w:r>
      <w:r w:rsidR="00D930D9" w:rsidRPr="00A058B6">
        <w:rPr>
          <w:color w:val="000000"/>
        </w:rPr>
        <w:t>if the ongoing pension payments are in respect of a market linked pension—the market linked pension account balance at the appropriate date; and</w:t>
      </w:r>
    </w:p>
    <w:p w14:paraId="699A1FF6" w14:textId="77777777" w:rsidR="00D930D9" w:rsidRPr="00A058B6" w:rsidRDefault="003D74A0" w:rsidP="00D930D9">
      <w:pPr>
        <w:pStyle w:val="paragraph"/>
      </w:pPr>
      <w:r>
        <w:tab/>
        <w:t>(c)</w:t>
      </w:r>
      <w:r>
        <w:tab/>
      </w:r>
      <w:r w:rsidR="00D930D9" w:rsidRPr="00A058B6">
        <w:t>in any other case:</w:t>
      </w:r>
    </w:p>
    <w:p w14:paraId="58C917BA" w14:textId="77777777" w:rsidR="00D930D9" w:rsidRPr="00A058B6" w:rsidRDefault="00D930D9" w:rsidP="00D930D9">
      <w:pPr>
        <w:pStyle w:val="paragraphsub"/>
      </w:pPr>
      <w:r w:rsidRPr="00A058B6">
        <w:tab/>
        <w:t>(i)</w:t>
      </w:r>
      <w:r w:rsidRPr="00A058B6">
        <w:tab/>
        <w:t>the amount of annual pension benefit payable to the member at the appropriate date; and</w:t>
      </w:r>
    </w:p>
    <w:p w14:paraId="35A021F9" w14:textId="3B41938F" w:rsidR="00D930D9" w:rsidRPr="00A058B6" w:rsidRDefault="00D930D9" w:rsidP="00D930D9">
      <w:pPr>
        <w:pStyle w:val="paragraphsub"/>
      </w:pPr>
      <w:r w:rsidRPr="00A058B6">
        <w:tab/>
        <w:t>(ii)</w:t>
      </w:r>
      <w:r w:rsidRPr="00A058B6">
        <w:tab/>
        <w:t>a statement indicating whether the pension benefit is a lifetime pension or a fixed</w:t>
      </w:r>
      <w:r w:rsidR="001952B3">
        <w:noBreakHyphen/>
      </w:r>
      <w:r w:rsidRPr="00A058B6">
        <w:t>term pension; and</w:t>
      </w:r>
    </w:p>
    <w:p w14:paraId="5B441A68" w14:textId="26CB13FC" w:rsidR="00D930D9" w:rsidRPr="00A058B6" w:rsidRDefault="00D930D9" w:rsidP="00D930D9">
      <w:pPr>
        <w:pStyle w:val="paragraphsub"/>
      </w:pPr>
      <w:r w:rsidRPr="00A058B6">
        <w:tab/>
        <w:t>(iii)</w:t>
      </w:r>
      <w:r w:rsidRPr="00A058B6">
        <w:tab/>
        <w:t>if the pension is a fixed</w:t>
      </w:r>
      <w:r w:rsidR="001952B3">
        <w:noBreakHyphen/>
      </w:r>
      <w:r w:rsidRPr="00A058B6">
        <w:t>term pension—the date when the pension payments commenced, and the length of the fixed term; and</w:t>
      </w:r>
    </w:p>
    <w:p w14:paraId="5EB5F686" w14:textId="77777777" w:rsidR="00D930D9" w:rsidRPr="00A058B6" w:rsidRDefault="00D930D9" w:rsidP="00D930D9">
      <w:pPr>
        <w:pStyle w:val="paragraphsub"/>
      </w:pPr>
      <w:r w:rsidRPr="00A058B6">
        <w:tab/>
        <w:t>(iv)</w:t>
      </w:r>
      <w:r w:rsidRPr="00A058B6">
        <w:tab/>
        <w:t>a statement indicating whether the pension benefit is indexed and, if so, the method of indexation; and</w:t>
      </w:r>
    </w:p>
    <w:p w14:paraId="05BF5E5B" w14:textId="0B602884" w:rsidR="00D930D9" w:rsidRPr="00A058B6" w:rsidRDefault="00D930D9" w:rsidP="00D930D9">
      <w:pPr>
        <w:pStyle w:val="paragraphsub"/>
      </w:pPr>
      <w:r w:rsidRPr="00A058B6">
        <w:tab/>
        <w:t>(v)</w:t>
      </w:r>
      <w:r w:rsidRPr="00A058B6">
        <w:tab/>
        <w:t>a statement indicating whether there is any reversionary beneficiary who is a non</w:t>
      </w:r>
      <w:r w:rsidR="001952B3">
        <w:noBreakHyphen/>
      </w:r>
      <w:r w:rsidRPr="00A058B6">
        <w:t>member spouse in relation to the pension benefit and, if so, the proportion of the ongoing pension payments that would be payable to the reversionary beneficiary on the death of the member</w:t>
      </w:r>
      <w:r w:rsidR="00A30E02">
        <w:t>; and</w:t>
      </w:r>
    </w:p>
    <w:p w14:paraId="19937D36" w14:textId="2081B7C0" w:rsidR="00A30E02" w:rsidRPr="00A058B6" w:rsidRDefault="00A30E02" w:rsidP="00A30E02">
      <w:pPr>
        <w:pStyle w:val="paragraph"/>
      </w:pPr>
      <w:r>
        <w:tab/>
        <w:t>(d)</w:t>
      </w:r>
      <w:r>
        <w:tab/>
      </w:r>
      <w:r w:rsidRPr="00A058B6">
        <w:t>if the application for information specifically requests the trustee to provide it and the trustee chooses to do so—the gross value of the interest at the appropriate date, determined in accordance with</w:t>
      </w:r>
      <w:bookmarkStart w:id="175" w:name="_Hlk176249150"/>
      <w:r>
        <w:t xml:space="preserve"> </w:t>
      </w:r>
      <w:r w:rsidRPr="00A058B6">
        <w:t xml:space="preserve">a method or factors approved by the Minister under </w:t>
      </w:r>
      <w:bookmarkEnd w:id="175"/>
      <w:r w:rsidR="00CB78B9">
        <w:t>section 7</w:t>
      </w:r>
      <w:r w:rsidR="00485CC2">
        <w:t>0</w:t>
      </w:r>
      <w:r>
        <w:t>.</w:t>
      </w:r>
    </w:p>
    <w:p w14:paraId="4A374447" w14:textId="2C221869" w:rsidR="00D930D9" w:rsidRPr="00A058B6" w:rsidRDefault="00D930D9" w:rsidP="00D930D9">
      <w:pPr>
        <w:pStyle w:val="notetext"/>
      </w:pPr>
      <w:r w:rsidRPr="00A058B6">
        <w:t>Note:</w:t>
      </w:r>
      <w:r w:rsidRPr="00A058B6">
        <w:tab/>
        <w:t xml:space="preserve">The trustee is not required to provide the information mentioned in </w:t>
      </w:r>
      <w:r w:rsidR="00453C86">
        <w:t>paragraph (</w:t>
      </w:r>
      <w:r w:rsidRPr="00A058B6">
        <w:t>a) or sub</w:t>
      </w:r>
      <w:r w:rsidR="00453C86">
        <w:t>paragraph (</w:t>
      </w:r>
      <w:r w:rsidR="003D74A0">
        <w:t>c</w:t>
      </w:r>
      <w:r w:rsidRPr="00A058B6">
        <w:t xml:space="preserve">)(i) unless a record of it is in the trustee’s possession, power or control (see </w:t>
      </w:r>
      <w:r w:rsidR="00CB78B9">
        <w:t>paragraph 1</w:t>
      </w:r>
      <w:r w:rsidR="00485CC2">
        <w:t>25</w:t>
      </w:r>
      <w:r w:rsidR="00E53592">
        <w:t>(1)</w:t>
      </w:r>
      <w:r w:rsidRPr="00A058B6">
        <w:t>(b))</w:t>
      </w:r>
      <w:r w:rsidR="00D7157D">
        <w:t>.</w:t>
      </w:r>
    </w:p>
    <w:p w14:paraId="45433275" w14:textId="77777777" w:rsidR="00A30E02" w:rsidRPr="00A058B6" w:rsidRDefault="00A30E02" w:rsidP="00A30E02">
      <w:pPr>
        <w:pStyle w:val="subsection"/>
      </w:pPr>
      <w:bookmarkStart w:id="176" w:name="_Hlk176249185"/>
      <w:r w:rsidRPr="00A058B6">
        <w:tab/>
        <w:t>(2)</w:t>
      </w:r>
      <w:r w:rsidRPr="00A058B6">
        <w:tab/>
        <w:t>If:</w:t>
      </w:r>
    </w:p>
    <w:p w14:paraId="3DF3841A" w14:textId="67951F3D" w:rsidR="00A30E02" w:rsidRPr="00A058B6" w:rsidRDefault="00A30E02" w:rsidP="00A30E02">
      <w:pPr>
        <w:pStyle w:val="paragraph"/>
      </w:pPr>
      <w:r>
        <w:tab/>
        <w:t>(a)</w:t>
      </w:r>
      <w:r>
        <w:tab/>
      </w:r>
      <w:r w:rsidR="00453C86">
        <w:t>paragraph (</w:t>
      </w:r>
      <w:r w:rsidRPr="00A058B6">
        <w:t>1)(</w:t>
      </w:r>
      <w:r>
        <w:t>d</w:t>
      </w:r>
      <w:r w:rsidRPr="00A058B6">
        <w:t>) applies to the application for information about the superannuation interest; and</w:t>
      </w:r>
    </w:p>
    <w:p w14:paraId="421FABDE" w14:textId="77777777" w:rsidR="00A30E02" w:rsidRPr="00A058B6" w:rsidRDefault="00A30E02" w:rsidP="00A30E02">
      <w:pPr>
        <w:pStyle w:val="paragraph"/>
      </w:pPr>
      <w:r>
        <w:tab/>
        <w:t>(b)</w:t>
      </w:r>
      <w:r>
        <w:tab/>
      </w:r>
      <w:r w:rsidRPr="00A058B6">
        <w:t>the trustee, in response to the application:</w:t>
      </w:r>
    </w:p>
    <w:p w14:paraId="541135FE" w14:textId="745AE360" w:rsidR="00A30E02" w:rsidRPr="00A058B6" w:rsidRDefault="00A30E02" w:rsidP="00A30E02">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7</w:t>
      </w:r>
      <w:r w:rsidR="00485CC2">
        <w:t>0</w:t>
      </w:r>
      <w:r w:rsidRPr="00A058B6">
        <w:t>; but</w:t>
      </w:r>
    </w:p>
    <w:p w14:paraId="33514304" w14:textId="77777777" w:rsidR="00A30E02" w:rsidRPr="00A058B6" w:rsidRDefault="00A30E02" w:rsidP="00A30E02">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4F84BFF4" w14:textId="778FE6F6" w:rsidR="00A30E02" w:rsidRPr="00A058B6" w:rsidRDefault="00A30E02" w:rsidP="00A30E02">
      <w:pPr>
        <w:pStyle w:val="paragraph"/>
      </w:pPr>
      <w:r>
        <w:tab/>
        <w:t>(c)</w:t>
      </w:r>
      <w:r>
        <w:tab/>
      </w:r>
      <w:r w:rsidRPr="00A058B6">
        <w:t xml:space="preserve">the applicant makes a further application </w:t>
      </w:r>
      <w:r>
        <w:t xml:space="preserve">that complies with </w:t>
      </w:r>
      <w:r w:rsidR="00FE15C4">
        <w:t>subsection 9</w:t>
      </w:r>
      <w:r w:rsidRPr="00A058B6">
        <w:t>0XZB(3) or 90YZR(3) of the Act for specific underlying valuation information for the interest;</w:t>
      </w:r>
    </w:p>
    <w:p w14:paraId="32C4C2C4" w14:textId="1916FA61" w:rsidR="00A30E02" w:rsidRDefault="00A30E02" w:rsidP="00A30E02">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4170ABD9" w14:textId="42F2CBF5" w:rsidR="00A30E02" w:rsidRDefault="00A30E02" w:rsidP="00A30E02">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1A7D8B16" w14:textId="76A2BD3A" w:rsidR="00A30E02" w:rsidRPr="00A058B6" w:rsidRDefault="00A30E02" w:rsidP="00A30E02">
      <w:pPr>
        <w:pStyle w:val="subsection"/>
      </w:pPr>
      <w:r w:rsidRPr="00A058B6">
        <w:tab/>
        <w:t>(3)</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t>.</w:t>
      </w:r>
    </w:p>
    <w:p w14:paraId="02B43F5A" w14:textId="67E4AF69" w:rsidR="00D930D9" w:rsidRPr="00A058B6" w:rsidRDefault="00485CC2" w:rsidP="00D930D9">
      <w:pPr>
        <w:pStyle w:val="ActHead5"/>
      </w:pPr>
      <w:bookmarkStart w:id="177" w:name="_Toc188350660"/>
      <w:bookmarkEnd w:id="176"/>
      <w:r w:rsidRPr="00423C34">
        <w:rPr>
          <w:rStyle w:val="CharSectno"/>
        </w:rPr>
        <w:t>121</w:t>
      </w:r>
      <w:r w:rsidR="00D930D9" w:rsidRPr="00A058B6">
        <w:t xml:space="preserve">  Specific information—the interest is a superannuation annuity in the payment phase and the member is receiving ongoing benefits</w:t>
      </w:r>
      <w:bookmarkEnd w:id="177"/>
    </w:p>
    <w:p w14:paraId="57EF2441" w14:textId="6B2A257F" w:rsidR="00D930D9" w:rsidRPr="00A058B6" w:rsidRDefault="00D930D9" w:rsidP="00D930D9">
      <w:pPr>
        <w:pStyle w:val="subsection"/>
      </w:pPr>
      <w:r w:rsidRPr="00A058B6">
        <w:tab/>
      </w:r>
      <w:r w:rsidR="00543C23">
        <w:t>(1)</w:t>
      </w:r>
      <w:r w:rsidRPr="00A058B6">
        <w:tab/>
        <w:t xml:space="preserve">For the purposes of </w:t>
      </w:r>
      <w:r w:rsidR="00CB78B9">
        <w:t>paragraph 1</w:t>
      </w:r>
      <w:r w:rsidR="00485CC2">
        <w:t>19</w:t>
      </w:r>
      <w:r w:rsidRPr="00A058B6">
        <w:t>(1)(</w:t>
      </w:r>
      <w:r w:rsidR="005E31EE">
        <w:t>g</w:t>
      </w:r>
      <w:r w:rsidRPr="00A058B6">
        <w:t>), the payment phase information in relation to the superannuation interest is:</w:t>
      </w:r>
    </w:p>
    <w:p w14:paraId="0C4EB32D" w14:textId="77777777" w:rsidR="00D930D9" w:rsidRPr="00A058B6" w:rsidRDefault="00D930D9" w:rsidP="00D930D9">
      <w:pPr>
        <w:pStyle w:val="paragraph"/>
      </w:pPr>
      <w:r w:rsidRPr="00A058B6">
        <w:tab/>
        <w:t>(a)</w:t>
      </w:r>
      <w:r w:rsidRPr="00A058B6">
        <w:tab/>
        <w:t>if the ongoing benefits are paid in respect of a superannuation annuity that is an allocated annuity—the withdrawal benefit for the member at the appropriate date; and</w:t>
      </w:r>
    </w:p>
    <w:p w14:paraId="423C7C7F" w14:textId="77777777" w:rsidR="00D930D9" w:rsidRPr="00A058B6" w:rsidRDefault="00D930D9" w:rsidP="00D930D9">
      <w:pPr>
        <w:pStyle w:val="paragraph"/>
      </w:pPr>
      <w:r w:rsidRPr="00A058B6">
        <w:tab/>
        <w:t>(b)</w:t>
      </w:r>
      <w:r w:rsidRPr="00A058B6">
        <w:tab/>
        <w:t>if the ongoing benefits are paid in respect of a superannuation annuity that is a market linked annuity—the market linked annuity account balance at the appropriate date; and</w:t>
      </w:r>
    </w:p>
    <w:p w14:paraId="2580E1FD" w14:textId="77777777" w:rsidR="00D930D9" w:rsidRPr="00A058B6" w:rsidRDefault="00D930D9" w:rsidP="00D930D9">
      <w:pPr>
        <w:pStyle w:val="paragraph"/>
      </w:pPr>
      <w:r w:rsidRPr="00A058B6">
        <w:tab/>
        <w:t>(c)</w:t>
      </w:r>
      <w:r w:rsidRPr="00A058B6">
        <w:tab/>
        <w:t>in any other case:</w:t>
      </w:r>
    </w:p>
    <w:p w14:paraId="5C6A762F" w14:textId="77777777" w:rsidR="00D930D9" w:rsidRPr="00A058B6" w:rsidRDefault="00D930D9" w:rsidP="00D930D9">
      <w:pPr>
        <w:pStyle w:val="paragraphsub"/>
      </w:pPr>
      <w:r w:rsidRPr="00A058B6">
        <w:tab/>
        <w:t>(i)</w:t>
      </w:r>
      <w:r w:rsidRPr="00A058B6">
        <w:tab/>
        <w:t>the amount of ongoing benefits payable to the member at the appropriate date; and</w:t>
      </w:r>
    </w:p>
    <w:p w14:paraId="7B44C9A7" w14:textId="72566B62" w:rsidR="00D930D9" w:rsidRPr="00A058B6" w:rsidRDefault="00D930D9" w:rsidP="00D930D9">
      <w:pPr>
        <w:pStyle w:val="paragraphsub"/>
      </w:pPr>
      <w:r w:rsidRPr="00A058B6">
        <w:tab/>
        <w:t>(ii)</w:t>
      </w:r>
      <w:r w:rsidRPr="00A058B6">
        <w:tab/>
        <w:t>a statement indicating whether the superannuation annuity is a lifetime annuity or a fixed</w:t>
      </w:r>
      <w:r w:rsidR="0014222D">
        <w:t xml:space="preserve"> </w:t>
      </w:r>
      <w:r w:rsidRPr="00A058B6">
        <w:t>term annuity; and</w:t>
      </w:r>
    </w:p>
    <w:p w14:paraId="18F9110B" w14:textId="76BFD595" w:rsidR="00D930D9" w:rsidRPr="00A058B6" w:rsidRDefault="00D930D9" w:rsidP="00D930D9">
      <w:pPr>
        <w:pStyle w:val="paragraphsub"/>
      </w:pPr>
      <w:r w:rsidRPr="00A058B6">
        <w:tab/>
        <w:t>(iii)</w:t>
      </w:r>
      <w:r w:rsidRPr="00A058B6">
        <w:tab/>
        <w:t>if the superannuation annuity is a fixed</w:t>
      </w:r>
      <w:r w:rsidR="0014222D">
        <w:t xml:space="preserve"> </w:t>
      </w:r>
      <w:r w:rsidRPr="00A058B6">
        <w:t>term annuity—the date when the payment of ongoing benefits commenced, and the length of the fixed term; and</w:t>
      </w:r>
    </w:p>
    <w:p w14:paraId="260F92C3" w14:textId="77777777" w:rsidR="00D930D9" w:rsidRPr="00A058B6" w:rsidRDefault="00D930D9" w:rsidP="00D930D9">
      <w:pPr>
        <w:pStyle w:val="paragraphsub"/>
      </w:pPr>
      <w:r w:rsidRPr="00A058B6">
        <w:tab/>
        <w:t>(iv)</w:t>
      </w:r>
      <w:r w:rsidRPr="00A058B6">
        <w:tab/>
        <w:t>a statement indicating whether the superannuation annuity is indexed and, if so, the method of indexation</w:t>
      </w:r>
      <w:r w:rsidR="000E3220">
        <w:t>; and</w:t>
      </w:r>
    </w:p>
    <w:p w14:paraId="3E7E0C6B" w14:textId="6E05D620" w:rsidR="000E3220" w:rsidRPr="00A058B6" w:rsidRDefault="000E3220" w:rsidP="000E3220">
      <w:pPr>
        <w:pStyle w:val="paragraph"/>
      </w:pPr>
      <w:r>
        <w:tab/>
        <w:t>(d)</w:t>
      </w:r>
      <w:r>
        <w:tab/>
      </w:r>
      <w:r w:rsidRPr="00A058B6">
        <w:t>if the application for information specifically requests the trustee to provide it and the trustee chooses to do so—the gross value of the interest at the appropriate date, determined in accordance with</w:t>
      </w:r>
      <w:r>
        <w:t xml:space="preserve"> </w:t>
      </w:r>
      <w:r w:rsidRPr="00A058B6">
        <w:t xml:space="preserve">a method or factors approved by the Minister under </w:t>
      </w:r>
      <w:r w:rsidR="00CB78B9">
        <w:t>section 7</w:t>
      </w:r>
      <w:r w:rsidR="00485CC2">
        <w:t>0</w:t>
      </w:r>
      <w:r>
        <w:t>.</w:t>
      </w:r>
    </w:p>
    <w:p w14:paraId="04AF4CF3" w14:textId="0F723D1A" w:rsidR="00D930D9" w:rsidRPr="00A058B6" w:rsidRDefault="00D930D9" w:rsidP="00D930D9">
      <w:pPr>
        <w:pStyle w:val="notetext"/>
      </w:pPr>
      <w:r w:rsidRPr="00A058B6">
        <w:t>Note:</w:t>
      </w:r>
      <w:r w:rsidRPr="00A058B6">
        <w:tab/>
        <w:t xml:space="preserve">The trustee is not required to provide the information mentioned in </w:t>
      </w:r>
      <w:r w:rsidR="00453C86">
        <w:t>paragraph (</w:t>
      </w:r>
      <w:r w:rsidRPr="00A058B6">
        <w:t>a) or sub</w:t>
      </w:r>
      <w:r w:rsidR="00453C86">
        <w:t>paragraph (</w:t>
      </w:r>
      <w:r w:rsidRPr="00A058B6">
        <w:t xml:space="preserve">c)(i) unless a record of it is in the trustee’s possession, power or control (see </w:t>
      </w:r>
      <w:r w:rsidR="00CB78B9">
        <w:t>paragraph 1</w:t>
      </w:r>
      <w:r w:rsidR="00485CC2">
        <w:t>25</w:t>
      </w:r>
      <w:r w:rsidR="00E53592">
        <w:t>(1)</w:t>
      </w:r>
      <w:r w:rsidRPr="00A058B6">
        <w:t>(b))</w:t>
      </w:r>
      <w:r w:rsidR="00D7157D">
        <w:t>.</w:t>
      </w:r>
    </w:p>
    <w:p w14:paraId="5427C537" w14:textId="77777777" w:rsidR="000E3220" w:rsidRPr="00A058B6" w:rsidRDefault="000E3220" w:rsidP="000E3220">
      <w:pPr>
        <w:pStyle w:val="subsection"/>
      </w:pPr>
      <w:r w:rsidRPr="00A058B6">
        <w:tab/>
        <w:t>(2)</w:t>
      </w:r>
      <w:r w:rsidRPr="00A058B6">
        <w:tab/>
        <w:t>If:</w:t>
      </w:r>
    </w:p>
    <w:p w14:paraId="14C5BF00" w14:textId="20F8011F" w:rsidR="000E3220" w:rsidRPr="00A058B6" w:rsidRDefault="000E3220" w:rsidP="000E3220">
      <w:pPr>
        <w:pStyle w:val="paragraph"/>
      </w:pPr>
      <w:r>
        <w:tab/>
        <w:t>(a)</w:t>
      </w:r>
      <w:r>
        <w:tab/>
      </w:r>
      <w:r w:rsidR="00453C86">
        <w:t>paragraph (</w:t>
      </w:r>
      <w:r w:rsidRPr="00A058B6">
        <w:t>1)(</w:t>
      </w:r>
      <w:r>
        <w:t>d</w:t>
      </w:r>
      <w:r w:rsidRPr="00A058B6">
        <w:t>) applies to the application for information about the superannuation interest; and</w:t>
      </w:r>
    </w:p>
    <w:p w14:paraId="013D2BAF" w14:textId="77777777" w:rsidR="000E3220" w:rsidRPr="00A058B6" w:rsidRDefault="000E3220" w:rsidP="000E3220">
      <w:pPr>
        <w:pStyle w:val="paragraph"/>
      </w:pPr>
      <w:r>
        <w:tab/>
        <w:t>(b)</w:t>
      </w:r>
      <w:r>
        <w:tab/>
      </w:r>
      <w:r w:rsidRPr="00A058B6">
        <w:t>the trustee, in response to the application:</w:t>
      </w:r>
    </w:p>
    <w:p w14:paraId="22C19365" w14:textId="6F66E6A0" w:rsidR="000E3220" w:rsidRPr="00A058B6" w:rsidRDefault="000E3220" w:rsidP="000E3220">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7</w:t>
      </w:r>
      <w:r w:rsidR="00485CC2">
        <w:t>0</w:t>
      </w:r>
      <w:r w:rsidRPr="00A058B6">
        <w:t>; but</w:t>
      </w:r>
    </w:p>
    <w:p w14:paraId="774053B8" w14:textId="77777777" w:rsidR="000E3220" w:rsidRPr="00A058B6" w:rsidRDefault="000E3220" w:rsidP="000E3220">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79D8B0DD" w14:textId="4CEBDF28" w:rsidR="000E3220" w:rsidRPr="00A058B6" w:rsidRDefault="000E3220" w:rsidP="000E3220">
      <w:pPr>
        <w:pStyle w:val="paragraph"/>
      </w:pPr>
      <w:r>
        <w:tab/>
        <w:t>(c)</w:t>
      </w:r>
      <w:r>
        <w:tab/>
      </w:r>
      <w:r w:rsidRPr="00A058B6">
        <w:t xml:space="preserve">the applicant makes a further application </w:t>
      </w:r>
      <w:r>
        <w:t xml:space="preserve">that complies with </w:t>
      </w:r>
      <w:r w:rsidR="00FE15C4">
        <w:t>subsection 9</w:t>
      </w:r>
      <w:r w:rsidRPr="00A058B6">
        <w:t>0XZB(3) or 90YZR(3) of the Act for specific underlying valuation information for the interest;</w:t>
      </w:r>
    </w:p>
    <w:p w14:paraId="09060FFD" w14:textId="24A53689" w:rsidR="000E3220" w:rsidRDefault="000E3220" w:rsidP="000E3220">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48A02092" w14:textId="420F5663" w:rsidR="000E3220" w:rsidRDefault="000E3220" w:rsidP="000E3220">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420E5BB4" w14:textId="3732017A" w:rsidR="000E3220" w:rsidRPr="00A058B6" w:rsidRDefault="000E3220" w:rsidP="000E3220">
      <w:pPr>
        <w:pStyle w:val="subsection"/>
      </w:pPr>
      <w:r w:rsidRPr="00A058B6">
        <w:tab/>
        <w:t>(3)</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t>.</w:t>
      </w:r>
    </w:p>
    <w:p w14:paraId="3C179155" w14:textId="5855B941" w:rsidR="00D930D9" w:rsidRPr="00A058B6" w:rsidRDefault="00485CC2" w:rsidP="00D930D9">
      <w:pPr>
        <w:pStyle w:val="ActHead5"/>
      </w:pPr>
      <w:bookmarkStart w:id="178" w:name="_Toc188350661"/>
      <w:r w:rsidRPr="00423C34">
        <w:rPr>
          <w:rStyle w:val="CharSectno"/>
        </w:rPr>
        <w:t>122</w:t>
      </w:r>
      <w:r w:rsidR="00D930D9" w:rsidRPr="00A058B6">
        <w:t xml:space="preserve">  Specific information—the interest is in the growth phase and is not an interest in a deferred annuity</w:t>
      </w:r>
      <w:bookmarkEnd w:id="178"/>
    </w:p>
    <w:p w14:paraId="6F2F3C39" w14:textId="63739608" w:rsidR="00D930D9" w:rsidRPr="00A058B6" w:rsidRDefault="00D930D9" w:rsidP="00D930D9">
      <w:pPr>
        <w:pStyle w:val="subsection"/>
      </w:pPr>
      <w:r w:rsidRPr="00A058B6">
        <w:tab/>
      </w:r>
      <w:r w:rsidR="002D1F24">
        <w:t>(1)</w:t>
      </w:r>
      <w:r w:rsidRPr="00A058B6">
        <w:tab/>
        <w:t xml:space="preserve">For the purposes of </w:t>
      </w:r>
      <w:r w:rsidR="00CB78B9">
        <w:t>paragraph 1</w:t>
      </w:r>
      <w:r w:rsidR="00485CC2">
        <w:t>19</w:t>
      </w:r>
      <w:r w:rsidRPr="00A058B6">
        <w:t>(1)(</w:t>
      </w:r>
      <w:r w:rsidR="00F87343">
        <w:t>h</w:t>
      </w:r>
      <w:r w:rsidRPr="00A058B6">
        <w:t>), the growth phase information for the superannuation interest is as follows:</w:t>
      </w:r>
    </w:p>
    <w:p w14:paraId="02264874" w14:textId="77777777" w:rsidR="00D930D9" w:rsidRPr="00A058B6" w:rsidRDefault="00D930D9" w:rsidP="00D930D9">
      <w:pPr>
        <w:pStyle w:val="paragraph"/>
      </w:pPr>
      <w:r w:rsidRPr="00A058B6">
        <w:tab/>
        <w:t>(a)</w:t>
      </w:r>
      <w:r w:rsidRPr="00A058B6">
        <w:tab/>
        <w:t>the member’s accrued benefit multiple, as defined in the governing rules of the plan, at the appropriate date;</w:t>
      </w:r>
    </w:p>
    <w:p w14:paraId="11B6336E" w14:textId="77777777" w:rsidR="00D930D9" w:rsidRPr="00A058B6" w:rsidRDefault="00D930D9" w:rsidP="00D930D9">
      <w:pPr>
        <w:pStyle w:val="paragraph"/>
      </w:pPr>
      <w:r w:rsidRPr="00A058B6">
        <w:tab/>
        <w:t>(b)</w:t>
      </w:r>
      <w:r w:rsidRPr="00A058B6">
        <w:tab/>
        <w:t>the salary figure on which any benefit payable in respect of the interest would be based, at the appropriate date;</w:t>
      </w:r>
    </w:p>
    <w:p w14:paraId="15DFB9AA" w14:textId="77777777" w:rsidR="00D930D9" w:rsidRPr="00A058B6" w:rsidRDefault="00D930D9" w:rsidP="00D930D9">
      <w:pPr>
        <w:pStyle w:val="paragraph"/>
      </w:pPr>
      <w:r w:rsidRPr="00A058B6">
        <w:tab/>
        <w:t>(c)</w:t>
      </w:r>
      <w:r w:rsidRPr="00A058B6">
        <w:tab/>
        <w:t>unless the interest is in a constitutionally protected fund—the amount (if any) that was stated to be the surcharge debt of the member in the most recent member information statement for the member spouse provided to the member before the appropriate date;</w:t>
      </w:r>
    </w:p>
    <w:p w14:paraId="42E269CD" w14:textId="77777777" w:rsidR="00D930D9" w:rsidRPr="00A058B6" w:rsidRDefault="00D930D9" w:rsidP="00D930D9">
      <w:pPr>
        <w:pStyle w:val="paragraph"/>
      </w:pPr>
      <w:r w:rsidRPr="00A058B6">
        <w:tab/>
        <w:t>(d)</w:t>
      </w:r>
      <w:r w:rsidRPr="00A058B6">
        <w:tab/>
        <w:t>if the interest is in a regulated superannuation fund or an RSA:</w:t>
      </w:r>
    </w:p>
    <w:p w14:paraId="0301BC69" w14:textId="0DB7732D" w:rsidR="00D930D9" w:rsidRPr="00A058B6" w:rsidRDefault="00D930D9" w:rsidP="00D930D9">
      <w:pPr>
        <w:pStyle w:val="paragraphsub"/>
      </w:pPr>
      <w:r w:rsidRPr="00A058B6">
        <w:tab/>
        <w:t>(i)</w:t>
      </w:r>
      <w:r w:rsidRPr="00A058B6">
        <w:tab/>
        <w:t>the amount of restricted non</w:t>
      </w:r>
      <w:r w:rsidR="001952B3">
        <w:noBreakHyphen/>
      </w:r>
      <w:r w:rsidRPr="00A058B6">
        <w:t>preserved benefits that had accrued to the member, and would be payable to the member, if the member were to resign from the member’s employment on the date when the information is provided; and</w:t>
      </w:r>
    </w:p>
    <w:p w14:paraId="74A5C0F0" w14:textId="58BE9F20" w:rsidR="00D930D9" w:rsidRPr="00A058B6" w:rsidRDefault="00D930D9" w:rsidP="00D930D9">
      <w:pPr>
        <w:pStyle w:val="paragraphsub"/>
      </w:pPr>
      <w:r w:rsidRPr="00A058B6">
        <w:tab/>
        <w:t>(ii)</w:t>
      </w:r>
      <w:r w:rsidRPr="00A058B6">
        <w:tab/>
        <w:t>the amount (if any) of the member’s unrestricted non</w:t>
      </w:r>
      <w:r w:rsidR="001952B3">
        <w:noBreakHyphen/>
      </w:r>
      <w:r w:rsidRPr="00A058B6">
        <w:t>preserved benefits;</w:t>
      </w:r>
    </w:p>
    <w:p w14:paraId="15E7AB42" w14:textId="77777777" w:rsidR="00A86D56" w:rsidRPr="00A058B6" w:rsidRDefault="00A86D56" w:rsidP="00A86D56">
      <w:pPr>
        <w:pStyle w:val="paragraph"/>
      </w:pPr>
      <w:r w:rsidRPr="00A058B6">
        <w:tab/>
        <w:t>(e)</w:t>
      </w:r>
      <w:r w:rsidRPr="00A058B6">
        <w:tab/>
        <w:t>if:</w:t>
      </w:r>
    </w:p>
    <w:p w14:paraId="73A1B4F3" w14:textId="77777777" w:rsidR="00A86D56" w:rsidRPr="00A058B6" w:rsidRDefault="00A86D56" w:rsidP="00A86D56">
      <w:pPr>
        <w:pStyle w:val="paragraphsub"/>
      </w:pPr>
      <w:r w:rsidRPr="00A058B6">
        <w:tab/>
        <w:t>(i)</w:t>
      </w:r>
      <w:r w:rsidRPr="00A058B6">
        <w:tab/>
        <w:t xml:space="preserve">a payment that would have been a superannuation lump sum (within the meaning of the </w:t>
      </w:r>
      <w:r w:rsidRPr="00A058B6">
        <w:rPr>
          <w:i/>
        </w:rPr>
        <w:t>Income Tax Assessment Act 1997</w:t>
      </w:r>
      <w:r w:rsidRPr="00A058B6">
        <w:t>) had been made in respect of the interest at the date when the information is provided; and</w:t>
      </w:r>
    </w:p>
    <w:p w14:paraId="1DA7D467" w14:textId="77777777" w:rsidR="00A86D56" w:rsidRPr="00A058B6" w:rsidRDefault="00A86D56" w:rsidP="00A86D56">
      <w:pPr>
        <w:pStyle w:val="paragraphsub"/>
      </w:pPr>
      <w:r w:rsidRPr="00A058B6">
        <w:tab/>
        <w:t>(ii)</w:t>
      </w:r>
      <w:r w:rsidRPr="00A058B6">
        <w:tab/>
        <w:t>the amount of the payment had been the amount payable to the member if the member had voluntarily ceased to be a member of the plan;</w:t>
      </w:r>
    </w:p>
    <w:p w14:paraId="4A8C2C4A" w14:textId="77777777" w:rsidR="00675233" w:rsidRDefault="00A86D56" w:rsidP="00A86D56">
      <w:pPr>
        <w:pStyle w:val="paragraph"/>
      </w:pPr>
      <w:r w:rsidRPr="00A058B6">
        <w:tab/>
      </w:r>
      <w:r w:rsidRPr="00A058B6">
        <w:tab/>
      </w:r>
      <w:r w:rsidR="00E307B0">
        <w:t>the value</w:t>
      </w:r>
      <w:r w:rsidR="00675233">
        <w:t>:</w:t>
      </w:r>
    </w:p>
    <w:p w14:paraId="7E8BE78C" w14:textId="19192EA5" w:rsidR="00A86D56" w:rsidRDefault="00675233" w:rsidP="00675233">
      <w:pPr>
        <w:pStyle w:val="paragraphsub"/>
      </w:pPr>
      <w:r>
        <w:tab/>
        <w:t>(i</w:t>
      </w:r>
      <w:r w:rsidR="00D15BED">
        <w:t>ii</w:t>
      </w:r>
      <w:r>
        <w:t>)</w:t>
      </w:r>
      <w:r>
        <w:tab/>
      </w:r>
      <w:r w:rsidR="00E46ADC">
        <w:t xml:space="preserve">that </w:t>
      </w:r>
      <w:r w:rsidR="00D31812">
        <w:t xml:space="preserve">each of </w:t>
      </w:r>
      <w:r w:rsidR="00A86D56" w:rsidRPr="00A058B6">
        <w:t xml:space="preserve">the components of the superannuation lump sum would have had under </w:t>
      </w:r>
      <w:r w:rsidR="00E62545">
        <w:t>Subdivision 3</w:t>
      </w:r>
      <w:r w:rsidR="00A86D56" w:rsidRPr="00A058B6">
        <w:t>07</w:t>
      </w:r>
      <w:r w:rsidR="001952B3">
        <w:noBreakHyphen/>
      </w:r>
      <w:r w:rsidR="00A86D56" w:rsidRPr="00A058B6">
        <w:t>C of that Act;</w:t>
      </w:r>
      <w:r w:rsidR="00D31812">
        <w:t xml:space="preserve"> and</w:t>
      </w:r>
    </w:p>
    <w:p w14:paraId="583EEFCD" w14:textId="2810DE55" w:rsidR="00D31812" w:rsidRPr="00A058B6" w:rsidRDefault="00D31812" w:rsidP="00675233">
      <w:pPr>
        <w:pStyle w:val="paragraphsub"/>
      </w:pPr>
      <w:r>
        <w:tab/>
        <w:t>(i</w:t>
      </w:r>
      <w:r w:rsidR="00D15BED">
        <w:t>v</w:t>
      </w:r>
      <w:r>
        <w:t>)</w:t>
      </w:r>
      <w:r>
        <w:tab/>
      </w:r>
      <w:r w:rsidR="00E46ADC">
        <w:t xml:space="preserve">that </w:t>
      </w:r>
      <w:r>
        <w:t xml:space="preserve">each of the elements </w:t>
      </w:r>
      <w:r w:rsidR="00E307B0">
        <w:t>of</w:t>
      </w:r>
      <w:r w:rsidR="007C6FBD">
        <w:t xml:space="preserve"> th</w:t>
      </w:r>
      <w:r w:rsidR="009B7E0C">
        <w:t>e</w:t>
      </w:r>
      <w:r w:rsidR="007C6FBD">
        <w:t xml:space="preserve"> taxable component would have had under </w:t>
      </w:r>
      <w:r w:rsidR="00E62545">
        <w:t>Subdivision 3</w:t>
      </w:r>
      <w:r w:rsidR="007C6FBD">
        <w:t>07</w:t>
      </w:r>
      <w:r w:rsidR="001952B3">
        <w:noBreakHyphen/>
      </w:r>
      <w:r w:rsidR="007C6FBD">
        <w:t>E of that Act (if applicable</w:t>
      </w:r>
      <w:r w:rsidR="00E307B0">
        <w:t>);</w:t>
      </w:r>
    </w:p>
    <w:p w14:paraId="018274C0" w14:textId="0DC5476A" w:rsidR="00D930D9" w:rsidRPr="00A058B6" w:rsidRDefault="00D930D9" w:rsidP="00D930D9">
      <w:pPr>
        <w:pStyle w:val="paragraph"/>
      </w:pPr>
      <w:r w:rsidRPr="00A058B6">
        <w:tab/>
        <w:t>(f)</w:t>
      </w:r>
      <w:r w:rsidRPr="00A058B6">
        <w:tab/>
        <w:t xml:space="preserve">if the trustee has given information under </w:t>
      </w:r>
      <w:r w:rsidR="00453C86">
        <w:t>Division 2</w:t>
      </w:r>
      <w:r w:rsidR="00D7157D">
        <w:t>.</w:t>
      </w:r>
      <w:r w:rsidRPr="00A058B6">
        <w:t>5 of the SIS Regulations to each member of the plan that the plan is to be reconstructed or terminated—a statement to this effect</w:t>
      </w:r>
      <w:r w:rsidR="002D1F24">
        <w:t>;</w:t>
      </w:r>
    </w:p>
    <w:p w14:paraId="04C5A519" w14:textId="22D7642E" w:rsidR="002D1F24" w:rsidRPr="00A058B6" w:rsidRDefault="002D1F24" w:rsidP="002D1F24">
      <w:pPr>
        <w:pStyle w:val="paragraph"/>
      </w:pPr>
      <w:r>
        <w:tab/>
        <w:t>(g)</w:t>
      </w:r>
      <w:r>
        <w:tab/>
      </w:r>
      <w:r w:rsidRPr="00A058B6">
        <w:t>if the application for information specifically requests the trustee to provide it and the trustee chooses to do so—the gross value of the interest at the appropriate date, determined in accordance with</w:t>
      </w:r>
      <w:bookmarkStart w:id="179" w:name="_Hlk176249654"/>
      <w:r>
        <w:t xml:space="preserve"> </w:t>
      </w:r>
      <w:r w:rsidRPr="00A058B6">
        <w:t xml:space="preserve">a method or factors approved by the Minister under </w:t>
      </w:r>
      <w:bookmarkEnd w:id="179"/>
      <w:r w:rsidR="00CB78B9">
        <w:t>section 6</w:t>
      </w:r>
      <w:r w:rsidR="00485CC2">
        <w:t>2</w:t>
      </w:r>
      <w:r>
        <w:t>.</w:t>
      </w:r>
    </w:p>
    <w:p w14:paraId="2D5B5E2A" w14:textId="5CDD9849" w:rsidR="00D930D9" w:rsidRPr="00A058B6" w:rsidRDefault="00D930D9" w:rsidP="00D930D9">
      <w:pPr>
        <w:pStyle w:val="notetext"/>
      </w:pPr>
      <w:r w:rsidRPr="00A058B6">
        <w:t>Note:</w:t>
      </w:r>
      <w:r w:rsidRPr="00A058B6">
        <w:tab/>
        <w:t xml:space="preserve">The trustee is not required to provide the information mentioned in </w:t>
      </w:r>
      <w:r w:rsidR="00453C86">
        <w:t>paragraph (</w:t>
      </w:r>
      <w:r w:rsidRPr="00A058B6">
        <w:t xml:space="preserve">c) unless a record of it is in the trustee’s possession, power or control (see </w:t>
      </w:r>
      <w:r w:rsidR="00CB78B9">
        <w:t>paragraph 1</w:t>
      </w:r>
      <w:r w:rsidR="00485CC2">
        <w:t>25</w:t>
      </w:r>
      <w:r w:rsidR="00E53592">
        <w:t>(1)</w:t>
      </w:r>
      <w:r w:rsidRPr="00A058B6">
        <w:t>(b))</w:t>
      </w:r>
      <w:r w:rsidR="00D7157D">
        <w:t>.</w:t>
      </w:r>
    </w:p>
    <w:p w14:paraId="25384B6E" w14:textId="77777777" w:rsidR="001756B2" w:rsidRPr="00A058B6" w:rsidRDefault="001756B2" w:rsidP="001756B2">
      <w:pPr>
        <w:pStyle w:val="subsection"/>
      </w:pPr>
      <w:r w:rsidRPr="00A058B6">
        <w:tab/>
        <w:t>(2)</w:t>
      </w:r>
      <w:r w:rsidRPr="00A058B6">
        <w:tab/>
        <w:t>If:</w:t>
      </w:r>
    </w:p>
    <w:p w14:paraId="7BB2912A" w14:textId="5E14E004" w:rsidR="001756B2" w:rsidRPr="00A058B6" w:rsidRDefault="001756B2" w:rsidP="001756B2">
      <w:pPr>
        <w:pStyle w:val="paragraph"/>
      </w:pPr>
      <w:r>
        <w:tab/>
        <w:t>(a)</w:t>
      </w:r>
      <w:r>
        <w:tab/>
      </w:r>
      <w:r w:rsidR="00453C86">
        <w:t>paragraph (</w:t>
      </w:r>
      <w:r w:rsidRPr="00A058B6">
        <w:t>1)(</w:t>
      </w:r>
      <w:r w:rsidR="00B60B55">
        <w:t>g</w:t>
      </w:r>
      <w:r w:rsidRPr="00A058B6">
        <w:t>) applies to the application for information about the superannuation interest; and</w:t>
      </w:r>
    </w:p>
    <w:p w14:paraId="0C77E46C" w14:textId="77777777" w:rsidR="001756B2" w:rsidRPr="00A058B6" w:rsidRDefault="001756B2" w:rsidP="001756B2">
      <w:pPr>
        <w:pStyle w:val="paragraph"/>
      </w:pPr>
      <w:r>
        <w:tab/>
        <w:t>(b)</w:t>
      </w:r>
      <w:r>
        <w:tab/>
      </w:r>
      <w:r w:rsidRPr="00A058B6">
        <w:t>the trustee, in response to the application:</w:t>
      </w:r>
    </w:p>
    <w:p w14:paraId="6E82AB2B" w14:textId="5626B9EF" w:rsidR="001756B2" w:rsidRPr="00A058B6" w:rsidRDefault="001756B2" w:rsidP="001756B2">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6</w:t>
      </w:r>
      <w:r w:rsidR="00485CC2">
        <w:t>2</w:t>
      </w:r>
      <w:r w:rsidRPr="00A058B6">
        <w:t>; but</w:t>
      </w:r>
    </w:p>
    <w:p w14:paraId="25ED89B5" w14:textId="77777777" w:rsidR="001756B2" w:rsidRPr="00A058B6" w:rsidRDefault="001756B2" w:rsidP="001756B2">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24C8AC9D" w14:textId="6DBF54B6" w:rsidR="001756B2" w:rsidRPr="00A058B6" w:rsidRDefault="001756B2" w:rsidP="001756B2">
      <w:pPr>
        <w:pStyle w:val="paragraph"/>
      </w:pPr>
      <w:r>
        <w:tab/>
        <w:t>(c)</w:t>
      </w:r>
      <w:r>
        <w:tab/>
      </w:r>
      <w:r w:rsidRPr="00A058B6">
        <w:t xml:space="preserve">the applicant makes a further application </w:t>
      </w:r>
      <w:r>
        <w:t xml:space="preserve">that complies with </w:t>
      </w:r>
      <w:r w:rsidR="00FE15C4">
        <w:t>subsection 9</w:t>
      </w:r>
      <w:r>
        <w:t>0XZB(3)</w:t>
      </w:r>
      <w:r w:rsidRPr="00A058B6">
        <w:t xml:space="preserve"> or 90YZR(3) of the Act for specific underlying valuation information for the interest;</w:t>
      </w:r>
    </w:p>
    <w:p w14:paraId="4192BDEE" w14:textId="0933965F" w:rsidR="001756B2" w:rsidRPr="00A058B6" w:rsidRDefault="001756B2" w:rsidP="001756B2">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358D2476" w14:textId="55499BFF" w:rsidR="001756B2" w:rsidRDefault="001756B2" w:rsidP="001756B2">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02BC83E9" w14:textId="70C6430E" w:rsidR="001756B2" w:rsidRPr="00A058B6" w:rsidRDefault="001756B2" w:rsidP="001756B2">
      <w:pPr>
        <w:pStyle w:val="subsection"/>
      </w:pPr>
      <w:r w:rsidRPr="00A058B6">
        <w:tab/>
        <w:t>(3)</w:t>
      </w:r>
      <w:r w:rsidRPr="00A058B6">
        <w:tab/>
        <w:t xml:space="preserve">However, </w:t>
      </w:r>
      <w:r w:rsidR="00A52DA5">
        <w:t>subsection (</w:t>
      </w:r>
      <w:r w:rsidRPr="00A058B6">
        <w:t xml:space="preserve">2) does not apply to any specific underlying valuation information of the kind mentioned in </w:t>
      </w:r>
      <w:r w:rsidR="00453C86">
        <w:t>paragraph (</w:t>
      </w:r>
      <w:r w:rsidRPr="00A058B6">
        <w:t>1)(</w:t>
      </w:r>
      <w:r w:rsidR="00B60B55">
        <w:t>a</w:t>
      </w:r>
      <w:r w:rsidRPr="00A058B6">
        <w:t>) or (</w:t>
      </w:r>
      <w:r w:rsidR="00B60B55">
        <w:t>b</w:t>
      </w:r>
      <w:r w:rsidRPr="00A058B6">
        <w:t>) unless a record of that information is in the trustee’s possession, power or control</w:t>
      </w:r>
      <w:r>
        <w:t>.</w:t>
      </w:r>
    </w:p>
    <w:p w14:paraId="151D283C" w14:textId="1382642D" w:rsidR="001756B2" w:rsidRPr="00A058B6" w:rsidRDefault="001756B2" w:rsidP="001756B2">
      <w:pPr>
        <w:pStyle w:val="subsection"/>
      </w:pPr>
      <w:r w:rsidRPr="00A058B6">
        <w:tab/>
        <w:t>(4)</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t>.</w:t>
      </w:r>
    </w:p>
    <w:p w14:paraId="1FCD1706" w14:textId="5D482842" w:rsidR="00D930D9" w:rsidRPr="00A058B6" w:rsidRDefault="00485CC2" w:rsidP="00D930D9">
      <w:pPr>
        <w:pStyle w:val="ActHead5"/>
      </w:pPr>
      <w:bookmarkStart w:id="180" w:name="_Toc188350662"/>
      <w:r w:rsidRPr="00423C34">
        <w:rPr>
          <w:rStyle w:val="CharSectno"/>
        </w:rPr>
        <w:t>123</w:t>
      </w:r>
      <w:r w:rsidR="00D930D9" w:rsidRPr="00A058B6">
        <w:t xml:space="preserve">  Specific information—the interest is in a deferred annuity and is in the growth phase</w:t>
      </w:r>
      <w:bookmarkEnd w:id="180"/>
    </w:p>
    <w:p w14:paraId="19F912A1" w14:textId="6A42034D" w:rsidR="00D930D9" w:rsidRPr="00A058B6" w:rsidRDefault="00D930D9" w:rsidP="00D930D9">
      <w:pPr>
        <w:pStyle w:val="subsection"/>
      </w:pPr>
      <w:r w:rsidRPr="00A058B6">
        <w:tab/>
      </w:r>
      <w:r w:rsidR="00571B2A">
        <w:t>(1)</w:t>
      </w:r>
      <w:r w:rsidRPr="00A058B6">
        <w:tab/>
        <w:t xml:space="preserve">For the purposes of </w:t>
      </w:r>
      <w:r w:rsidR="00CB78B9">
        <w:t>paragraph 1</w:t>
      </w:r>
      <w:r w:rsidR="00485CC2">
        <w:t>19</w:t>
      </w:r>
      <w:r w:rsidRPr="00A058B6">
        <w:t>(1)(</w:t>
      </w:r>
      <w:r w:rsidR="00F87343">
        <w:t>i</w:t>
      </w:r>
      <w:r w:rsidRPr="00A058B6">
        <w:t>), the growth phase information for the superannuation interest is as follows:</w:t>
      </w:r>
    </w:p>
    <w:p w14:paraId="034C6EFA" w14:textId="77777777" w:rsidR="00D930D9" w:rsidRPr="00A058B6" w:rsidRDefault="00D930D9" w:rsidP="00D930D9">
      <w:pPr>
        <w:pStyle w:val="paragraph"/>
      </w:pPr>
      <w:r w:rsidRPr="00A058B6">
        <w:tab/>
        <w:t>(a)</w:t>
      </w:r>
      <w:r w:rsidRPr="00A058B6">
        <w:tab/>
        <w:t>the account balance of the deferred annuity at the appropriate date;</w:t>
      </w:r>
    </w:p>
    <w:p w14:paraId="264A210C" w14:textId="60021F1E" w:rsidR="00D930D9" w:rsidRPr="00A058B6" w:rsidRDefault="00D930D9" w:rsidP="00D930D9">
      <w:pPr>
        <w:pStyle w:val="paragraph"/>
      </w:pPr>
      <w:r w:rsidRPr="00A058B6">
        <w:tab/>
        <w:t>(b)</w:t>
      </w:r>
      <w:r w:rsidRPr="00A058B6">
        <w:tab/>
        <w:t>the information mentioned in subparagraphs </w:t>
      </w:r>
      <w:r w:rsidR="00485CC2">
        <w:t>122</w:t>
      </w:r>
      <w:r w:rsidR="00571B2A">
        <w:t>(1)</w:t>
      </w:r>
      <w:r w:rsidRPr="00A058B6">
        <w:t>(d)(i) and (ii) and paragraph</w:t>
      </w:r>
      <w:r w:rsidR="00FD4AE2">
        <w:t>s</w:t>
      </w:r>
      <w:r w:rsidRPr="00A058B6">
        <w:t> </w:t>
      </w:r>
      <w:r w:rsidR="00485CC2">
        <w:t>122</w:t>
      </w:r>
      <w:r w:rsidR="00571B2A">
        <w:t>(1)</w:t>
      </w:r>
      <w:r w:rsidRPr="00A058B6">
        <w:t>(e)</w:t>
      </w:r>
      <w:r w:rsidR="00571B2A">
        <w:t xml:space="preserve"> and (g)</w:t>
      </w:r>
      <w:r w:rsidR="00D7157D">
        <w:t>.</w:t>
      </w:r>
    </w:p>
    <w:p w14:paraId="4A806C2C" w14:textId="7C65C575" w:rsidR="0074464E" w:rsidRPr="00A058B6" w:rsidRDefault="0074464E" w:rsidP="0074464E">
      <w:pPr>
        <w:pStyle w:val="notetext"/>
      </w:pPr>
      <w:r w:rsidRPr="00A058B6">
        <w:t>Note:</w:t>
      </w:r>
      <w:r w:rsidRPr="00A058B6">
        <w:tab/>
        <w:t xml:space="preserve">The trustee is not required to provide the information mentioned in </w:t>
      </w:r>
      <w:r>
        <w:t>paragraph (</w:t>
      </w:r>
      <w:r w:rsidRPr="00A058B6">
        <w:t xml:space="preserve">a) unless a record of it is in the trustee’s possession, power or control (see </w:t>
      </w:r>
      <w:r w:rsidR="00CB78B9">
        <w:t>paragraph 1</w:t>
      </w:r>
      <w:r>
        <w:t>25(1)</w:t>
      </w:r>
      <w:r w:rsidRPr="00A058B6">
        <w:t>(b))</w:t>
      </w:r>
      <w:r>
        <w:t>.</w:t>
      </w:r>
    </w:p>
    <w:p w14:paraId="04E293FF" w14:textId="77777777" w:rsidR="00571B2A" w:rsidRPr="00A058B6" w:rsidRDefault="00571B2A" w:rsidP="00571B2A">
      <w:pPr>
        <w:pStyle w:val="subsection"/>
      </w:pPr>
      <w:r w:rsidRPr="00A058B6">
        <w:tab/>
        <w:t>(</w:t>
      </w:r>
      <w:r>
        <w:t>2</w:t>
      </w:r>
      <w:r w:rsidRPr="00A058B6">
        <w:t>)</w:t>
      </w:r>
      <w:r w:rsidRPr="00A058B6">
        <w:tab/>
        <w:t>If:</w:t>
      </w:r>
    </w:p>
    <w:p w14:paraId="03543E76" w14:textId="48745EB2" w:rsidR="00571B2A" w:rsidRPr="00A058B6" w:rsidRDefault="00571B2A" w:rsidP="00571B2A">
      <w:pPr>
        <w:pStyle w:val="paragraph"/>
      </w:pPr>
      <w:r>
        <w:tab/>
        <w:t>(a)</w:t>
      </w:r>
      <w:r>
        <w:tab/>
        <w:t xml:space="preserve">as a result of </w:t>
      </w:r>
      <w:r w:rsidR="00453C86">
        <w:t>paragraph (</w:t>
      </w:r>
      <w:r w:rsidR="0064629F">
        <w:t>1</w:t>
      </w:r>
      <w:r>
        <w:t xml:space="preserve">)(b), </w:t>
      </w:r>
      <w:r w:rsidR="00CB78B9">
        <w:t>paragraph 1</w:t>
      </w:r>
      <w:r w:rsidR="00485CC2">
        <w:t>22</w:t>
      </w:r>
      <w:r>
        <w:t>(</w:t>
      </w:r>
      <w:r w:rsidRPr="00A058B6">
        <w:t>1)(</w:t>
      </w:r>
      <w:r w:rsidR="0064629F">
        <w:t>g</w:t>
      </w:r>
      <w:r w:rsidRPr="00A058B6">
        <w:t>) applies to the application for information about the superannuation interest; and</w:t>
      </w:r>
    </w:p>
    <w:p w14:paraId="51ECD769" w14:textId="77777777" w:rsidR="00571B2A" w:rsidRPr="00A058B6" w:rsidRDefault="00571B2A" w:rsidP="00571B2A">
      <w:pPr>
        <w:pStyle w:val="paragraph"/>
      </w:pPr>
      <w:r>
        <w:tab/>
        <w:t>(b)</w:t>
      </w:r>
      <w:r>
        <w:tab/>
      </w:r>
      <w:r w:rsidRPr="00A058B6">
        <w:t>the trustee, in response to the application:</w:t>
      </w:r>
    </w:p>
    <w:p w14:paraId="0610A6E0" w14:textId="7B05E0A5" w:rsidR="00571B2A" w:rsidRPr="00A058B6" w:rsidRDefault="00571B2A" w:rsidP="00571B2A">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6</w:t>
      </w:r>
      <w:r w:rsidR="00485CC2">
        <w:t>2</w:t>
      </w:r>
      <w:r w:rsidRPr="00A058B6">
        <w:t>; but</w:t>
      </w:r>
    </w:p>
    <w:p w14:paraId="47DE8DAE" w14:textId="77777777" w:rsidR="00571B2A" w:rsidRPr="00A058B6" w:rsidRDefault="00571B2A" w:rsidP="00571B2A">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3FEE2FCA" w14:textId="2B86822A" w:rsidR="00571B2A" w:rsidRPr="00A058B6" w:rsidRDefault="00571B2A" w:rsidP="00571B2A">
      <w:pPr>
        <w:pStyle w:val="paragraph"/>
      </w:pPr>
      <w:r>
        <w:tab/>
        <w:t>(c)</w:t>
      </w:r>
      <w:r>
        <w:tab/>
      </w:r>
      <w:r w:rsidRPr="00A058B6">
        <w:t xml:space="preserve">the applicant makes a further application </w:t>
      </w:r>
      <w:r>
        <w:t xml:space="preserve">that complies with </w:t>
      </w:r>
      <w:r w:rsidR="00FE15C4">
        <w:t>subsection 9</w:t>
      </w:r>
      <w:r>
        <w:t>0XZB(3)</w:t>
      </w:r>
      <w:r w:rsidRPr="00A058B6">
        <w:t xml:space="preserve"> or 90YZR(3) of the Act for specific underlying valuation information for the interest;</w:t>
      </w:r>
    </w:p>
    <w:p w14:paraId="2FAC4195" w14:textId="3CE32440" w:rsidR="00571B2A" w:rsidRPr="00A058B6" w:rsidRDefault="00571B2A" w:rsidP="00571B2A">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7E5CCBDD" w14:textId="415EE853" w:rsidR="00571B2A" w:rsidRDefault="00571B2A" w:rsidP="00571B2A">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4905DC37" w14:textId="040C0EC7" w:rsidR="00571B2A" w:rsidRPr="00A058B6" w:rsidRDefault="00571B2A" w:rsidP="00571B2A">
      <w:pPr>
        <w:pStyle w:val="subsection"/>
      </w:pPr>
      <w:r w:rsidRPr="00A058B6">
        <w:tab/>
        <w:t>(</w:t>
      </w:r>
      <w:r w:rsidR="0064629F">
        <w:t>3</w:t>
      </w:r>
      <w:r w:rsidRPr="00A058B6">
        <w:t>)</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0064629F">
        <w:t>2</w:t>
      </w:r>
      <w:r w:rsidRPr="00A058B6">
        <w:t>) of this section</w:t>
      </w:r>
      <w:r>
        <w:t>.</w:t>
      </w:r>
    </w:p>
    <w:p w14:paraId="5E90749E" w14:textId="6AEFB4BB" w:rsidR="00D930D9" w:rsidRPr="00A058B6" w:rsidRDefault="00485CC2" w:rsidP="00D930D9">
      <w:pPr>
        <w:pStyle w:val="ActHead5"/>
      </w:pPr>
      <w:bookmarkStart w:id="181" w:name="_Toc188350663"/>
      <w:r w:rsidRPr="00423C34">
        <w:rPr>
          <w:rStyle w:val="CharSectno"/>
        </w:rPr>
        <w:t>124</w:t>
      </w:r>
      <w:r w:rsidR="00D930D9" w:rsidRPr="00A058B6">
        <w:t xml:space="preserve">  Specific information—the interest is subject to a payment split or flag</w:t>
      </w:r>
      <w:bookmarkEnd w:id="181"/>
    </w:p>
    <w:p w14:paraId="66D6B760" w14:textId="44E18582" w:rsidR="00D930D9" w:rsidRPr="00A058B6" w:rsidRDefault="00D930D9" w:rsidP="00D930D9">
      <w:pPr>
        <w:pStyle w:val="subsection"/>
      </w:pPr>
      <w:r w:rsidRPr="00A058B6">
        <w:tab/>
      </w:r>
      <w:r w:rsidRPr="00A058B6">
        <w:tab/>
        <w:t xml:space="preserve">For the purposes of </w:t>
      </w:r>
      <w:r w:rsidR="00CB78B9">
        <w:t>paragraph 1</w:t>
      </w:r>
      <w:r w:rsidR="00485CC2">
        <w:t>19</w:t>
      </w:r>
      <w:r w:rsidRPr="00A058B6">
        <w:t>(1)(</w:t>
      </w:r>
      <w:r w:rsidR="003818EF">
        <w:t>c</w:t>
      </w:r>
      <w:r w:rsidRPr="00A058B6">
        <w:t>), the information that must be provided in relation to each payment split to which the superannuation interest is subject is as follows:</w:t>
      </w:r>
    </w:p>
    <w:p w14:paraId="5645CB58" w14:textId="77777777" w:rsidR="00D930D9" w:rsidRPr="00A058B6" w:rsidRDefault="00D930D9" w:rsidP="00D930D9">
      <w:pPr>
        <w:pStyle w:val="paragraph"/>
      </w:pPr>
      <w:r w:rsidRPr="00A058B6">
        <w:tab/>
        <w:t>(a)</w:t>
      </w:r>
      <w:r w:rsidRPr="00A058B6">
        <w:tab/>
        <w:t>the operative time for the payment split;</w:t>
      </w:r>
    </w:p>
    <w:p w14:paraId="4E96D745" w14:textId="780464BD" w:rsidR="00D930D9" w:rsidRPr="00A058B6" w:rsidRDefault="00D930D9" w:rsidP="00D930D9">
      <w:pPr>
        <w:pStyle w:val="paragraph"/>
      </w:pPr>
      <w:r w:rsidRPr="00A058B6">
        <w:tab/>
        <w:t>(b)</w:t>
      </w:r>
      <w:r w:rsidRPr="00A058B6">
        <w:tab/>
        <w:t xml:space="preserve">if the payment split is under </w:t>
      </w:r>
      <w:r w:rsidR="00FE15C4">
        <w:t>paragraph 9</w:t>
      </w:r>
      <w:r w:rsidRPr="00A058B6">
        <w:t>0XJ(1)(b) or 90YN(1)(b) of the Act:</w:t>
      </w:r>
    </w:p>
    <w:p w14:paraId="0BCD45EA" w14:textId="77777777" w:rsidR="00D930D9" w:rsidRPr="00A058B6" w:rsidRDefault="00D930D9" w:rsidP="00D930D9">
      <w:pPr>
        <w:pStyle w:val="paragraphsub"/>
      </w:pPr>
      <w:r w:rsidRPr="00A058B6">
        <w:tab/>
        <w:t>(i)</w:t>
      </w:r>
      <w:r w:rsidRPr="00A058B6">
        <w:tab/>
        <w:t>the percentage specified in the relevant superannuation agreement or flag lifting agreement; and</w:t>
      </w:r>
    </w:p>
    <w:p w14:paraId="5CFFDF4C" w14:textId="47B754BA" w:rsidR="00D930D9" w:rsidRPr="00A058B6" w:rsidRDefault="00D930D9" w:rsidP="00D930D9">
      <w:pPr>
        <w:pStyle w:val="paragraphsub"/>
      </w:pPr>
      <w:r w:rsidRPr="00A058B6">
        <w:tab/>
        <w:t>(ii)</w:t>
      </w:r>
      <w:r w:rsidRPr="00A058B6">
        <w:tab/>
        <w:t xml:space="preserve">whether that percentage is to apply for the purposes of </w:t>
      </w:r>
      <w:r w:rsidR="00FE15C4">
        <w:t>subparagraph 9</w:t>
      </w:r>
      <w:r w:rsidRPr="00A058B6">
        <w:t xml:space="preserve">0XJ(1)(b)(i) or 90YN(1)(b)(i) (as the case may be) of the Act and, if so, the member’s accrued benefit multiple at separation (within the meaning of </w:t>
      </w:r>
      <w:r w:rsidR="00CB78B9">
        <w:t>section 4</w:t>
      </w:r>
      <w:r w:rsidR="00485CC2">
        <w:t>1</w:t>
      </w:r>
      <w:r>
        <w:t xml:space="preserve"> of this instrument</w:t>
      </w:r>
      <w:r w:rsidRPr="00A058B6">
        <w:t>) for the non</w:t>
      </w:r>
      <w:r w:rsidR="001952B3">
        <w:noBreakHyphen/>
      </w:r>
      <w:r w:rsidRPr="00A058B6">
        <w:t>member spouse who has an entitlement under the payment split;</w:t>
      </w:r>
    </w:p>
    <w:p w14:paraId="5F2656C7" w14:textId="42DA5BF9" w:rsidR="00D930D9" w:rsidRPr="00A058B6" w:rsidRDefault="00D930D9" w:rsidP="00D930D9">
      <w:pPr>
        <w:pStyle w:val="paragraph"/>
      </w:pPr>
      <w:r w:rsidRPr="00A058B6">
        <w:tab/>
        <w:t>(c)</w:t>
      </w:r>
      <w:r w:rsidRPr="00A058B6">
        <w:tab/>
        <w:t xml:space="preserve">if the payment split is under a splitting order made under </w:t>
      </w:r>
      <w:r w:rsidR="00FE15C4">
        <w:t>paragraph 9</w:t>
      </w:r>
      <w:r w:rsidRPr="00A058B6">
        <w:t>0XT(1)(b) or 90YY(1)(b) of the Act:</w:t>
      </w:r>
    </w:p>
    <w:p w14:paraId="5CDBE6E9" w14:textId="77777777" w:rsidR="00D930D9" w:rsidRPr="00A058B6" w:rsidRDefault="00D930D9" w:rsidP="00D930D9">
      <w:pPr>
        <w:pStyle w:val="paragraphsub"/>
      </w:pPr>
      <w:r w:rsidRPr="00A058B6">
        <w:tab/>
        <w:t>(i)</w:t>
      </w:r>
      <w:r w:rsidRPr="00A058B6">
        <w:tab/>
        <w:t>a statement indicating that the splitting order is made under that provision of the Act; and</w:t>
      </w:r>
    </w:p>
    <w:p w14:paraId="7B365195" w14:textId="77777777" w:rsidR="00D930D9" w:rsidRPr="00A058B6" w:rsidRDefault="00D930D9" w:rsidP="00D930D9">
      <w:pPr>
        <w:pStyle w:val="paragraphsub"/>
      </w:pPr>
      <w:r w:rsidRPr="00A058B6">
        <w:tab/>
        <w:t>(ii)</w:t>
      </w:r>
      <w:r w:rsidRPr="00A058B6">
        <w:tab/>
        <w:t>the specified percentage that is to apply to any splittable payment that becomes payable in respect of the interest;</w:t>
      </w:r>
    </w:p>
    <w:p w14:paraId="6DE4B245" w14:textId="06F4415D" w:rsidR="00D930D9" w:rsidRPr="00A058B6" w:rsidRDefault="00D930D9" w:rsidP="00D930D9">
      <w:pPr>
        <w:pStyle w:val="paragraph"/>
      </w:pPr>
      <w:r w:rsidRPr="00A058B6">
        <w:tab/>
        <w:t>(d)</w:t>
      </w:r>
      <w:r w:rsidRPr="00A058B6">
        <w:tab/>
        <w:t xml:space="preserve">if the payment split is under a splitting order made under </w:t>
      </w:r>
      <w:r w:rsidR="00FE15C4">
        <w:t>paragraph 9</w:t>
      </w:r>
      <w:r w:rsidRPr="00A058B6">
        <w:t>0XT(1)(c) or 90YY(1)(c) of the Act:</w:t>
      </w:r>
    </w:p>
    <w:p w14:paraId="7997E5B1" w14:textId="77777777" w:rsidR="00D930D9" w:rsidRPr="00A058B6" w:rsidRDefault="00D930D9" w:rsidP="00D930D9">
      <w:pPr>
        <w:pStyle w:val="paragraphsub"/>
      </w:pPr>
      <w:r w:rsidRPr="00A058B6">
        <w:tab/>
        <w:t>(i)</w:t>
      </w:r>
      <w:r w:rsidRPr="00A058B6">
        <w:tab/>
        <w:t>a statement indicating that the splitting order is made under that provision of the Act; and</w:t>
      </w:r>
    </w:p>
    <w:p w14:paraId="5353B567" w14:textId="77777777" w:rsidR="00D930D9" w:rsidRPr="00A058B6" w:rsidRDefault="00D930D9" w:rsidP="00D930D9">
      <w:pPr>
        <w:pStyle w:val="paragraphsub"/>
      </w:pPr>
      <w:r w:rsidRPr="00A058B6">
        <w:tab/>
        <w:t>(ii)</w:t>
      </w:r>
      <w:r w:rsidRPr="00A058B6">
        <w:tab/>
        <w:t>the percentage specified in the order; and</w:t>
      </w:r>
    </w:p>
    <w:p w14:paraId="4D63253B" w14:textId="58B4726B" w:rsidR="00D930D9" w:rsidRPr="00A058B6" w:rsidRDefault="00D930D9" w:rsidP="00D930D9">
      <w:pPr>
        <w:pStyle w:val="paragraphsub"/>
      </w:pPr>
      <w:r w:rsidRPr="00A058B6">
        <w:tab/>
        <w:t>(iii)</w:t>
      </w:r>
      <w:r w:rsidRPr="00A058B6">
        <w:tab/>
        <w:t xml:space="preserve">if the superannuation interest is in an eligible superannuation plan other than a superannuation annuity—the member’s accrued benefit multiple at separation (within the meaning of </w:t>
      </w:r>
      <w:r w:rsidR="00CB78B9">
        <w:t>section 4</w:t>
      </w:r>
      <w:r w:rsidR="00485CC2">
        <w:t>8</w:t>
      </w:r>
      <w:r>
        <w:t xml:space="preserve"> of this instrument</w:t>
      </w:r>
      <w:r w:rsidRPr="00A058B6">
        <w:t>) for the non</w:t>
      </w:r>
      <w:r w:rsidR="001952B3">
        <w:noBreakHyphen/>
      </w:r>
      <w:r w:rsidRPr="00A058B6">
        <w:t>member spouse who has an entitlement under the payment split</w:t>
      </w:r>
      <w:r w:rsidR="00D7157D">
        <w:t>.</w:t>
      </w:r>
    </w:p>
    <w:p w14:paraId="3B6D3D55" w14:textId="6A1BD5A3" w:rsidR="00D930D9" w:rsidRPr="00A058B6" w:rsidRDefault="00485CC2" w:rsidP="00D930D9">
      <w:pPr>
        <w:pStyle w:val="ActHead5"/>
      </w:pPr>
      <w:bookmarkStart w:id="182" w:name="_Toc188350664"/>
      <w:r w:rsidRPr="00423C34">
        <w:rPr>
          <w:rStyle w:val="CharSectno"/>
        </w:rPr>
        <w:t>125</w:t>
      </w:r>
      <w:r w:rsidR="00D930D9" w:rsidRPr="00A058B6">
        <w:t xml:space="preserve">  Exceptions</w:t>
      </w:r>
      <w:bookmarkEnd w:id="182"/>
    </w:p>
    <w:p w14:paraId="68D6C7F5" w14:textId="50135BA2" w:rsidR="00D930D9" w:rsidRPr="00A058B6" w:rsidRDefault="00D930D9" w:rsidP="00D930D9">
      <w:pPr>
        <w:pStyle w:val="subsection"/>
      </w:pPr>
      <w:r w:rsidRPr="00A058B6">
        <w:tab/>
      </w:r>
      <w:r w:rsidR="008659B6">
        <w:t>(1)</w:t>
      </w:r>
      <w:r w:rsidRPr="00A058B6">
        <w:tab/>
        <w:t xml:space="preserve">The trustee is not required to provide information in response to an application referred to in </w:t>
      </w:r>
      <w:r w:rsidR="00CB78B9">
        <w:t>section 1</w:t>
      </w:r>
      <w:r w:rsidR="00485CC2">
        <w:t>19</w:t>
      </w:r>
      <w:r w:rsidRPr="00A058B6">
        <w:t xml:space="preserve"> in any of the following circumstances:</w:t>
      </w:r>
    </w:p>
    <w:p w14:paraId="12C1F94B" w14:textId="14522D76" w:rsidR="00D930D9" w:rsidRPr="00A058B6" w:rsidRDefault="00D930D9" w:rsidP="00D930D9">
      <w:pPr>
        <w:pStyle w:val="paragraph"/>
      </w:pPr>
      <w:r w:rsidRPr="00A058B6">
        <w:tab/>
        <w:t>(a)</w:t>
      </w:r>
      <w:r w:rsidRPr="00A058B6">
        <w:tab/>
        <w:t xml:space="preserve">if the application specifically requests the trustee to provide the information mentioned in </w:t>
      </w:r>
      <w:r w:rsidR="00CB78B9">
        <w:t>paragraph 1</w:t>
      </w:r>
      <w:r w:rsidR="00485CC2">
        <w:t>19</w:t>
      </w:r>
      <w:r w:rsidRPr="00A058B6">
        <w:t>(1)(</w:t>
      </w:r>
      <w:r w:rsidR="003818EF">
        <w:t>j</w:t>
      </w:r>
      <w:r w:rsidRPr="00A058B6">
        <w:t>) to the applicant:</w:t>
      </w:r>
    </w:p>
    <w:p w14:paraId="36856C51" w14:textId="0816177E" w:rsidR="00D930D9" w:rsidRPr="00A058B6" w:rsidRDefault="00D930D9" w:rsidP="00D930D9">
      <w:pPr>
        <w:pStyle w:val="paragraphsub"/>
      </w:pPr>
      <w:r w:rsidRPr="00A058B6">
        <w:tab/>
        <w:t>(i)</w:t>
      </w:r>
      <w:r w:rsidRPr="00A058B6">
        <w:tab/>
        <w:t>the trustee is required to provide the applicant only with the information mentioned in that paragraph and paragraphs </w:t>
      </w:r>
      <w:r w:rsidR="00485CC2">
        <w:t>122</w:t>
      </w:r>
      <w:r w:rsidR="00FA0C08">
        <w:t>(1)</w:t>
      </w:r>
      <w:r w:rsidRPr="00A058B6">
        <w:t>(d) and (e); and</w:t>
      </w:r>
    </w:p>
    <w:p w14:paraId="37993080" w14:textId="77777777" w:rsidR="00D930D9" w:rsidRPr="00A058B6" w:rsidRDefault="00D930D9" w:rsidP="00D930D9">
      <w:pPr>
        <w:pStyle w:val="paragraphsub"/>
      </w:pPr>
      <w:r w:rsidRPr="00A058B6">
        <w:tab/>
        <w:t>(ii)</w:t>
      </w:r>
      <w:r w:rsidRPr="00A058B6">
        <w:tab/>
        <w:t>the trustee is not required to provide the applicant with any other information mentioned in this Subdivision;</w:t>
      </w:r>
    </w:p>
    <w:p w14:paraId="0AE66682" w14:textId="77777777" w:rsidR="00D930D9" w:rsidRPr="00A058B6" w:rsidRDefault="00D930D9" w:rsidP="00D930D9">
      <w:pPr>
        <w:pStyle w:val="paragraph"/>
      </w:pPr>
      <w:r w:rsidRPr="00A058B6">
        <w:tab/>
        <w:t>(b)</w:t>
      </w:r>
      <w:r w:rsidRPr="00A058B6">
        <w:tab/>
        <w:t>the trustee is not required to provide the applicant with information mentioned in any of the following provisions unless a record of that information is in the trustee’s possession, power or control:</w:t>
      </w:r>
    </w:p>
    <w:p w14:paraId="43F7520F" w14:textId="28F56196" w:rsidR="00D930D9" w:rsidRPr="00EC18F1" w:rsidRDefault="00D930D9" w:rsidP="00D930D9">
      <w:pPr>
        <w:pStyle w:val="paragraphsub"/>
        <w:rPr>
          <w:lang w:val="pt-BR"/>
        </w:rPr>
      </w:pPr>
      <w:r w:rsidRPr="00A058B6">
        <w:tab/>
      </w:r>
      <w:r w:rsidRPr="00EC18F1">
        <w:rPr>
          <w:lang w:val="pt-BR"/>
        </w:rPr>
        <w:t>(i)</w:t>
      </w:r>
      <w:r w:rsidRPr="00EC18F1">
        <w:rPr>
          <w:lang w:val="pt-BR"/>
        </w:rPr>
        <w:tab/>
      </w:r>
      <w:r w:rsidR="00CB78B9">
        <w:rPr>
          <w:lang w:val="pt-BR"/>
        </w:rPr>
        <w:t>paragraph 1</w:t>
      </w:r>
      <w:r w:rsidR="00485CC2">
        <w:rPr>
          <w:lang w:val="pt-BR"/>
        </w:rPr>
        <w:t>20</w:t>
      </w:r>
      <w:r w:rsidR="001F7B2F" w:rsidRPr="00EC18F1">
        <w:rPr>
          <w:lang w:val="pt-BR"/>
        </w:rPr>
        <w:t>(1)</w:t>
      </w:r>
      <w:r w:rsidRPr="00EC18F1">
        <w:rPr>
          <w:lang w:val="pt-BR"/>
        </w:rPr>
        <w:t>(a);</w:t>
      </w:r>
    </w:p>
    <w:p w14:paraId="0213D235" w14:textId="4C7E9C24" w:rsidR="00D930D9" w:rsidRPr="00EC18F1" w:rsidRDefault="00D930D9" w:rsidP="00D930D9">
      <w:pPr>
        <w:pStyle w:val="paragraphsub"/>
        <w:rPr>
          <w:lang w:val="pt-BR"/>
        </w:rPr>
      </w:pPr>
      <w:r w:rsidRPr="00EC18F1">
        <w:rPr>
          <w:lang w:val="pt-BR"/>
        </w:rPr>
        <w:tab/>
        <w:t>(ii)</w:t>
      </w:r>
      <w:r w:rsidRPr="00EC18F1">
        <w:rPr>
          <w:lang w:val="pt-BR"/>
        </w:rPr>
        <w:tab/>
      </w:r>
      <w:r w:rsidR="00CB78B9">
        <w:rPr>
          <w:lang w:val="pt-BR"/>
        </w:rPr>
        <w:t>subparagraph 1</w:t>
      </w:r>
      <w:r w:rsidR="00485CC2">
        <w:rPr>
          <w:lang w:val="pt-BR"/>
        </w:rPr>
        <w:t>20</w:t>
      </w:r>
      <w:r w:rsidR="001F7B2F" w:rsidRPr="00EC18F1">
        <w:rPr>
          <w:lang w:val="pt-BR"/>
        </w:rPr>
        <w:t>(1)</w:t>
      </w:r>
      <w:r w:rsidRPr="00EC18F1">
        <w:rPr>
          <w:lang w:val="pt-BR"/>
        </w:rPr>
        <w:t>(</w:t>
      </w:r>
      <w:r w:rsidR="00CA79C9" w:rsidRPr="00EC18F1">
        <w:rPr>
          <w:lang w:val="pt-BR"/>
        </w:rPr>
        <w:t>c</w:t>
      </w:r>
      <w:r w:rsidRPr="00EC18F1">
        <w:rPr>
          <w:lang w:val="pt-BR"/>
        </w:rPr>
        <w:t>)(i);</w:t>
      </w:r>
    </w:p>
    <w:p w14:paraId="4D73FD0A" w14:textId="0DC7C8BC" w:rsidR="00D930D9" w:rsidRPr="00EC18F1" w:rsidRDefault="00D930D9" w:rsidP="00D930D9">
      <w:pPr>
        <w:pStyle w:val="paragraphsub"/>
        <w:rPr>
          <w:lang w:val="pt-BR"/>
        </w:rPr>
      </w:pPr>
      <w:r w:rsidRPr="00EC18F1">
        <w:rPr>
          <w:lang w:val="pt-BR"/>
        </w:rPr>
        <w:tab/>
        <w:t>(iii)</w:t>
      </w:r>
      <w:r w:rsidRPr="00EC18F1">
        <w:rPr>
          <w:lang w:val="pt-BR"/>
        </w:rPr>
        <w:tab/>
      </w:r>
      <w:r w:rsidR="00CB78B9">
        <w:rPr>
          <w:lang w:val="pt-BR"/>
        </w:rPr>
        <w:t>paragraph 1</w:t>
      </w:r>
      <w:r w:rsidR="00485CC2">
        <w:rPr>
          <w:lang w:val="pt-BR"/>
        </w:rPr>
        <w:t>21</w:t>
      </w:r>
      <w:r w:rsidR="001F7B2F" w:rsidRPr="00EC18F1">
        <w:rPr>
          <w:lang w:val="pt-BR"/>
        </w:rPr>
        <w:t>(1)</w:t>
      </w:r>
      <w:r w:rsidRPr="00EC18F1">
        <w:rPr>
          <w:lang w:val="pt-BR"/>
        </w:rPr>
        <w:t>(a);</w:t>
      </w:r>
    </w:p>
    <w:p w14:paraId="75BF54E7" w14:textId="15760A11" w:rsidR="00D930D9" w:rsidRPr="00EC18F1" w:rsidRDefault="00D930D9" w:rsidP="00D930D9">
      <w:pPr>
        <w:pStyle w:val="paragraphsub"/>
        <w:rPr>
          <w:lang w:val="pt-BR"/>
        </w:rPr>
      </w:pPr>
      <w:r w:rsidRPr="00EC18F1">
        <w:rPr>
          <w:lang w:val="pt-BR"/>
        </w:rPr>
        <w:tab/>
        <w:t>(iv)</w:t>
      </w:r>
      <w:r w:rsidRPr="00EC18F1">
        <w:rPr>
          <w:lang w:val="pt-BR"/>
        </w:rPr>
        <w:tab/>
      </w:r>
      <w:r w:rsidR="00CB78B9">
        <w:rPr>
          <w:lang w:val="pt-BR"/>
        </w:rPr>
        <w:t>subparagraph 1</w:t>
      </w:r>
      <w:r w:rsidR="00485CC2">
        <w:rPr>
          <w:lang w:val="pt-BR"/>
        </w:rPr>
        <w:t>21</w:t>
      </w:r>
      <w:r w:rsidR="001F7B2F" w:rsidRPr="00EC18F1">
        <w:rPr>
          <w:lang w:val="pt-BR"/>
        </w:rPr>
        <w:t>(1)</w:t>
      </w:r>
      <w:r w:rsidRPr="00EC18F1">
        <w:rPr>
          <w:lang w:val="pt-BR"/>
        </w:rPr>
        <w:t>(c)(i);</w:t>
      </w:r>
    </w:p>
    <w:p w14:paraId="482924D1" w14:textId="3F126C5E" w:rsidR="00D930D9" w:rsidRPr="00A058B6" w:rsidRDefault="00D930D9" w:rsidP="00D930D9">
      <w:pPr>
        <w:pStyle w:val="paragraphsub"/>
      </w:pPr>
      <w:r w:rsidRPr="00EC18F1">
        <w:rPr>
          <w:lang w:val="pt-BR"/>
        </w:rPr>
        <w:tab/>
      </w:r>
      <w:r w:rsidRPr="00A058B6">
        <w:t>(v)</w:t>
      </w:r>
      <w:r w:rsidRPr="00A058B6">
        <w:tab/>
      </w:r>
      <w:r w:rsidR="00CB78B9">
        <w:t>paragraph 1</w:t>
      </w:r>
      <w:r w:rsidR="00485CC2">
        <w:t>22</w:t>
      </w:r>
      <w:r w:rsidR="001F7B2F">
        <w:t>(1)</w:t>
      </w:r>
      <w:r w:rsidRPr="00A058B6">
        <w:t>(c);</w:t>
      </w:r>
    </w:p>
    <w:p w14:paraId="6D764C5A" w14:textId="24949282" w:rsidR="00D930D9" w:rsidRPr="00A058B6" w:rsidRDefault="00D930D9" w:rsidP="00D930D9">
      <w:pPr>
        <w:pStyle w:val="paragraphsub"/>
      </w:pPr>
      <w:r w:rsidRPr="00A058B6">
        <w:tab/>
        <w:t>(vi)</w:t>
      </w:r>
      <w:r w:rsidRPr="00A058B6">
        <w:tab/>
      </w:r>
      <w:r w:rsidR="00CB78B9">
        <w:t>paragraph 1</w:t>
      </w:r>
      <w:r w:rsidR="00485CC2">
        <w:t>23</w:t>
      </w:r>
      <w:r w:rsidR="001F7B2F">
        <w:t>(1)</w:t>
      </w:r>
      <w:r w:rsidRPr="00A058B6">
        <w:t>(a)</w:t>
      </w:r>
      <w:r w:rsidR="00D7157D">
        <w:t>.</w:t>
      </w:r>
    </w:p>
    <w:p w14:paraId="6E5BFE25" w14:textId="1F2651C7" w:rsidR="008659B6" w:rsidRPr="00A058B6" w:rsidRDefault="008659B6" w:rsidP="008659B6">
      <w:pPr>
        <w:pStyle w:val="subsection"/>
      </w:pPr>
      <w:r w:rsidRPr="00A058B6">
        <w:tab/>
        <w:t>(2)</w:t>
      </w:r>
      <w:r w:rsidRPr="00A058B6">
        <w:tab/>
        <w:t xml:space="preserve">If, under </w:t>
      </w:r>
      <w:r w:rsidR="00CB78B9">
        <w:t>section 6</w:t>
      </w:r>
      <w:r w:rsidR="00485CC2">
        <w:t>2</w:t>
      </w:r>
      <w:r w:rsidRPr="00A058B6">
        <w:t>, the Minister has approved a method or factors to be used to determine the gross value of the superannuation interest</w:t>
      </w:r>
      <w:r w:rsidR="008222E7">
        <w:t>,</w:t>
      </w:r>
      <w:r w:rsidR="003B6BF7">
        <w:t xml:space="preserve"> </w:t>
      </w:r>
      <w:r w:rsidRPr="00A058B6">
        <w:t xml:space="preserve">the Minister may, by legislative instrument, </w:t>
      </w:r>
      <w:r w:rsidRPr="00A058B6">
        <w:rPr>
          <w:color w:val="000000"/>
        </w:rPr>
        <w:t>determine either or both of the following:</w:t>
      </w:r>
    </w:p>
    <w:p w14:paraId="5A31CF8B" w14:textId="09CDDF14" w:rsidR="008659B6" w:rsidRPr="00A058B6" w:rsidRDefault="008659B6" w:rsidP="008659B6">
      <w:pPr>
        <w:pStyle w:val="paragraph"/>
      </w:pPr>
      <w:r w:rsidRPr="00A058B6">
        <w:tab/>
        <w:t>(a)</w:t>
      </w:r>
      <w:r w:rsidRPr="00A058B6">
        <w:tab/>
        <w:t xml:space="preserve">that the trustee is not required to provide one or more specified kinds of information mentioned in </w:t>
      </w:r>
      <w:r w:rsidR="00CB78B9">
        <w:t>section 1</w:t>
      </w:r>
      <w:r w:rsidR="00485CC2">
        <w:t>22</w:t>
      </w:r>
      <w:r w:rsidR="00F50161">
        <w:t xml:space="preserve"> or </w:t>
      </w:r>
      <w:r w:rsidR="00485CC2">
        <w:t>123</w:t>
      </w:r>
      <w:r w:rsidRPr="00A058B6">
        <w:t xml:space="preserve"> about the interest;</w:t>
      </w:r>
    </w:p>
    <w:p w14:paraId="43F3FC4F" w14:textId="5DD06FE9" w:rsidR="008659B6" w:rsidRPr="00A058B6" w:rsidRDefault="008659B6" w:rsidP="008659B6">
      <w:pPr>
        <w:pStyle w:val="paragraph"/>
      </w:pPr>
      <w:r w:rsidRPr="00A058B6">
        <w:tab/>
        <w:t>(b)</w:t>
      </w:r>
      <w:r w:rsidRPr="00A058B6">
        <w:tab/>
        <w:t xml:space="preserve">that the trustee must provide </w:t>
      </w:r>
      <w:r w:rsidR="008222E7" w:rsidRPr="00A058B6">
        <w:t xml:space="preserve">one or more </w:t>
      </w:r>
      <w:r w:rsidRPr="00A058B6">
        <w:t>other specified kinds of information about the interest</w:t>
      </w:r>
      <w:r>
        <w:t>.</w:t>
      </w:r>
    </w:p>
    <w:p w14:paraId="0223435C" w14:textId="799C858B" w:rsidR="008659B6" w:rsidRPr="00A058B6" w:rsidRDefault="008659B6" w:rsidP="008659B6">
      <w:pPr>
        <w:pStyle w:val="subsection"/>
      </w:pPr>
      <w:r w:rsidRPr="00A058B6">
        <w:rPr>
          <w:color w:val="000000"/>
        </w:rPr>
        <w:tab/>
        <w:t>(3)</w:t>
      </w:r>
      <w:r w:rsidRPr="00A058B6">
        <w:rPr>
          <w:color w:val="000000"/>
        </w:rPr>
        <w:tab/>
        <w:t xml:space="preserve">If, under </w:t>
      </w:r>
      <w:r w:rsidR="00CB78B9">
        <w:rPr>
          <w:color w:val="000000"/>
        </w:rPr>
        <w:t>section 7</w:t>
      </w:r>
      <w:r w:rsidR="00485CC2">
        <w:rPr>
          <w:color w:val="000000"/>
        </w:rPr>
        <w:t>0</w:t>
      </w:r>
      <w:r w:rsidRPr="00A058B6">
        <w:rPr>
          <w:color w:val="000000"/>
        </w:rPr>
        <w:t>, the Minister has approved a method or factors to be used to determine the gross value of the superannuation interest, the Minister may, by legislative instrument, determine either or both of the following:</w:t>
      </w:r>
    </w:p>
    <w:p w14:paraId="1DDBE00A" w14:textId="562B44B6" w:rsidR="008659B6" w:rsidRPr="00A058B6" w:rsidRDefault="008659B6" w:rsidP="008659B6">
      <w:pPr>
        <w:pStyle w:val="paragraph"/>
      </w:pPr>
      <w:r w:rsidRPr="00A058B6">
        <w:tab/>
        <w:t>(a)</w:t>
      </w:r>
      <w:r w:rsidRPr="00A058B6">
        <w:tab/>
        <w:t xml:space="preserve">that the trustee is not required to provide one or more specified kinds of information mentioned in </w:t>
      </w:r>
      <w:r w:rsidR="00CB78B9">
        <w:t>section 1</w:t>
      </w:r>
      <w:r w:rsidR="00485CC2">
        <w:t>20</w:t>
      </w:r>
      <w:r w:rsidRPr="00A058B6">
        <w:t xml:space="preserve"> or </w:t>
      </w:r>
      <w:r w:rsidR="00485CC2">
        <w:t>121</w:t>
      </w:r>
      <w:r w:rsidRPr="00A058B6">
        <w:t xml:space="preserve"> about the interest;</w:t>
      </w:r>
    </w:p>
    <w:p w14:paraId="172E9B48" w14:textId="77777777" w:rsidR="008659B6" w:rsidRPr="00A058B6" w:rsidRDefault="008659B6" w:rsidP="008659B6">
      <w:pPr>
        <w:pStyle w:val="paragraph"/>
      </w:pPr>
      <w:r w:rsidRPr="00A058B6">
        <w:tab/>
        <w:t>(b)</w:t>
      </w:r>
      <w:r w:rsidRPr="00A058B6">
        <w:tab/>
        <w:t xml:space="preserve">that the trustee must provide </w:t>
      </w:r>
      <w:bookmarkStart w:id="183" w:name="_Hlk187941567"/>
      <w:r w:rsidRPr="00A058B6">
        <w:t xml:space="preserve">one or more </w:t>
      </w:r>
      <w:bookmarkEnd w:id="183"/>
      <w:r w:rsidRPr="00A058B6">
        <w:t>other specified kinds of information about the interest</w:t>
      </w:r>
      <w:r>
        <w:t>.</w:t>
      </w:r>
    </w:p>
    <w:p w14:paraId="7207D3BF" w14:textId="77777777" w:rsidR="00D930D9" w:rsidRPr="00A058B6" w:rsidRDefault="00D930D9" w:rsidP="00D930D9">
      <w:pPr>
        <w:pStyle w:val="ActHead4"/>
      </w:pPr>
      <w:bookmarkStart w:id="184" w:name="_Toc188350665"/>
      <w:r w:rsidRPr="00423C34">
        <w:rPr>
          <w:rStyle w:val="CharSubdNo"/>
        </w:rPr>
        <w:t xml:space="preserve">Subdivision </w:t>
      </w:r>
      <w:r w:rsidR="0037051F" w:rsidRPr="00423C34">
        <w:rPr>
          <w:rStyle w:val="CharSubdNo"/>
        </w:rPr>
        <w:t>D</w:t>
      </w:r>
      <w:r w:rsidRPr="00A058B6">
        <w:t>—</w:t>
      </w:r>
      <w:r w:rsidRPr="00423C34">
        <w:rPr>
          <w:rStyle w:val="CharSubdText"/>
        </w:rPr>
        <w:t>Information about certain innovative superannuation interests</w:t>
      </w:r>
      <w:bookmarkEnd w:id="184"/>
    </w:p>
    <w:p w14:paraId="553DE2E6" w14:textId="2A083ED4" w:rsidR="00D930D9" w:rsidRPr="00A058B6" w:rsidRDefault="00485CC2" w:rsidP="00D930D9">
      <w:pPr>
        <w:pStyle w:val="ActHead5"/>
      </w:pPr>
      <w:bookmarkStart w:id="185" w:name="_Toc188350666"/>
      <w:r w:rsidRPr="00423C34">
        <w:rPr>
          <w:rStyle w:val="CharSectno"/>
        </w:rPr>
        <w:t>126</w:t>
      </w:r>
      <w:r w:rsidR="00D930D9" w:rsidRPr="00A058B6">
        <w:t xml:space="preserve">  Innovative superannuation interests to which this Subdivision applies</w:t>
      </w:r>
      <w:bookmarkEnd w:id="185"/>
    </w:p>
    <w:p w14:paraId="4236834C" w14:textId="77777777" w:rsidR="00D930D9" w:rsidRPr="00A058B6" w:rsidRDefault="00D930D9" w:rsidP="00D930D9">
      <w:pPr>
        <w:pStyle w:val="subsection"/>
      </w:pPr>
      <w:r w:rsidRPr="00A058B6">
        <w:tab/>
      </w:r>
      <w:r w:rsidRPr="00A058B6">
        <w:tab/>
        <w:t>This Subdivision applies for a superannuation interest of a member of an eligible superannuation plan if:</w:t>
      </w:r>
    </w:p>
    <w:p w14:paraId="4057CA1C" w14:textId="77777777" w:rsidR="00D930D9" w:rsidRPr="00A058B6" w:rsidRDefault="00D930D9" w:rsidP="00D930D9">
      <w:pPr>
        <w:pStyle w:val="paragraph"/>
      </w:pPr>
      <w:r w:rsidRPr="00A058B6">
        <w:tab/>
        <w:t>(a)</w:t>
      </w:r>
      <w:r w:rsidRPr="00A058B6">
        <w:tab/>
        <w:t>the superannuation interest, or a component of the superannuation interest, is an innovative superannuation interest; and</w:t>
      </w:r>
    </w:p>
    <w:p w14:paraId="02F1634D" w14:textId="2BF81D8C" w:rsidR="00D930D9" w:rsidRPr="00A058B6" w:rsidRDefault="00D930D9" w:rsidP="00D930D9">
      <w:pPr>
        <w:pStyle w:val="paragraph"/>
      </w:pPr>
      <w:r w:rsidRPr="00A058B6">
        <w:tab/>
        <w:t>(b)</w:t>
      </w:r>
      <w:r w:rsidRPr="00A058B6">
        <w:tab/>
        <w:t>the superannuation interest is neither a percentage</w:t>
      </w:r>
      <w:r w:rsidR="001952B3">
        <w:noBreakHyphen/>
      </w:r>
      <w:r w:rsidRPr="00A058B6">
        <w:t>only interest nor an interest in a self managed superannuation fund; and</w:t>
      </w:r>
    </w:p>
    <w:p w14:paraId="017B2D42" w14:textId="77777777" w:rsidR="00D930D9" w:rsidRPr="00A058B6" w:rsidRDefault="00D930D9" w:rsidP="00D930D9">
      <w:pPr>
        <w:pStyle w:val="paragraph"/>
      </w:pPr>
      <w:r w:rsidRPr="00A058B6">
        <w:tab/>
        <w:t>(c)</w:t>
      </w:r>
      <w:r w:rsidRPr="00A058B6">
        <w:tab/>
        <w:t xml:space="preserve">Subdivision </w:t>
      </w:r>
      <w:r w:rsidR="0037051F">
        <w:t>G</w:t>
      </w:r>
      <w:r w:rsidRPr="00A058B6">
        <w:t xml:space="preserve"> does not apply for the superannuation interest</w:t>
      </w:r>
      <w:r w:rsidR="00D7157D">
        <w:t>.</w:t>
      </w:r>
    </w:p>
    <w:p w14:paraId="6D83FDDD" w14:textId="25AC125E" w:rsidR="00D930D9" w:rsidRPr="00A058B6" w:rsidRDefault="00485CC2" w:rsidP="00D930D9">
      <w:pPr>
        <w:pStyle w:val="ActHead5"/>
      </w:pPr>
      <w:bookmarkStart w:id="186" w:name="_Toc188350667"/>
      <w:r w:rsidRPr="00423C34">
        <w:rPr>
          <w:rStyle w:val="CharSectno"/>
        </w:rPr>
        <w:t>127</w:t>
      </w:r>
      <w:r w:rsidR="00D930D9" w:rsidRPr="00A058B6">
        <w:t xml:space="preserve">  Information the trustee must provide—overview</w:t>
      </w:r>
      <w:bookmarkEnd w:id="186"/>
    </w:p>
    <w:p w14:paraId="7BAF03A8" w14:textId="2478230E"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w:t>
      </w:r>
      <w:r w:rsidRPr="00A058B6">
        <w:rPr>
          <w:color w:val="000000"/>
        </w:rPr>
        <w:t>,</w:t>
      </w:r>
      <w:r w:rsidRPr="00A058B6">
        <w:t xml:space="preserve"> the information about the innovative superannuation interest that must be provided by the trustee of the plan in response to an application referred to in that subsection is as follows:</w:t>
      </w:r>
    </w:p>
    <w:p w14:paraId="042C4549" w14:textId="77777777" w:rsidR="00D930D9" w:rsidRPr="00A058B6" w:rsidRDefault="00303D63" w:rsidP="00D930D9">
      <w:pPr>
        <w:pStyle w:val="paragraph"/>
      </w:pPr>
      <w:r>
        <w:tab/>
        <w:t>(a)</w:t>
      </w:r>
      <w:r>
        <w:tab/>
      </w:r>
      <w:r w:rsidR="00D930D9" w:rsidRPr="00A058B6">
        <w:t>if the interest is an unsplittable interest, a statement to that effect;</w:t>
      </w:r>
    </w:p>
    <w:p w14:paraId="316AC1BC" w14:textId="77777777" w:rsidR="00D930D9" w:rsidRPr="00A058B6" w:rsidRDefault="00303D63" w:rsidP="00D930D9">
      <w:pPr>
        <w:pStyle w:val="paragraph"/>
      </w:pPr>
      <w:r>
        <w:tab/>
        <w:t>(b)</w:t>
      </w:r>
      <w:r>
        <w:tab/>
      </w:r>
      <w:r w:rsidR="00D930D9" w:rsidRPr="00A058B6">
        <w:t>a statement indicating whether the interest is subject to a payment split or payment flag;</w:t>
      </w:r>
    </w:p>
    <w:p w14:paraId="67971652" w14:textId="4F52CE08" w:rsidR="00D930D9" w:rsidRPr="00A058B6" w:rsidRDefault="00303D63" w:rsidP="00D930D9">
      <w:pPr>
        <w:pStyle w:val="paragraph"/>
      </w:pPr>
      <w:r>
        <w:tab/>
        <w:t>(c)</w:t>
      </w:r>
      <w:r>
        <w:tab/>
      </w:r>
      <w:r w:rsidR="00D930D9" w:rsidRPr="00A058B6">
        <w:t xml:space="preserve">if the interest is subject to a payment split </w:t>
      </w:r>
      <w:r w:rsidR="00D930D9" w:rsidRPr="00A058B6">
        <w:rPr>
          <w:snapToGrid w:val="0"/>
        </w:rPr>
        <w:t>(other than under a superannuation agreement, flag lifting agreement or splitting order in relation to which the non</w:t>
      </w:r>
      <w:r w:rsidR="001952B3">
        <w:rPr>
          <w:snapToGrid w:val="0"/>
        </w:rPr>
        <w:noBreakHyphen/>
      </w:r>
      <w:r w:rsidR="00D930D9" w:rsidRPr="00A058B6">
        <w:rPr>
          <w:snapToGrid w:val="0"/>
        </w:rPr>
        <w:t xml:space="preserve">member spouse’s entitlement has been satisfied as required by </w:t>
      </w:r>
      <w:r w:rsidR="00453C86">
        <w:rPr>
          <w:snapToGrid w:val="0"/>
        </w:rPr>
        <w:t>Division 2</w:t>
      </w:r>
      <w:r w:rsidR="00D930D9" w:rsidRPr="00A058B6">
        <w:rPr>
          <w:snapToGrid w:val="0"/>
        </w:rPr>
        <w:t xml:space="preserve"> of </w:t>
      </w:r>
      <w:r w:rsidR="006211C7">
        <w:rPr>
          <w:snapToGrid w:val="0"/>
        </w:rPr>
        <w:t>Part </w:t>
      </w:r>
      <w:r w:rsidR="009F5A3D">
        <w:rPr>
          <w:snapToGrid w:val="0"/>
        </w:rPr>
        <w:t>3</w:t>
      </w:r>
      <w:r w:rsidR="00D930D9" w:rsidRPr="00A058B6">
        <w:rPr>
          <w:snapToGrid w:val="0"/>
        </w:rPr>
        <w:t>)—</w:t>
      </w:r>
      <w:r w:rsidR="00D930D9" w:rsidRPr="00A058B6">
        <w:t xml:space="preserve">the information mentioned in </w:t>
      </w:r>
      <w:r w:rsidR="00CB78B9">
        <w:t>section 1</w:t>
      </w:r>
      <w:r w:rsidR="00485CC2">
        <w:t>30</w:t>
      </w:r>
      <w:r w:rsidR="00D930D9" w:rsidRPr="00A058B6">
        <w:t>;</w:t>
      </w:r>
    </w:p>
    <w:p w14:paraId="2A403D81" w14:textId="77777777" w:rsidR="00D930D9" w:rsidRPr="00A058B6" w:rsidRDefault="00303D63" w:rsidP="00D930D9">
      <w:pPr>
        <w:pStyle w:val="paragraph"/>
      </w:pPr>
      <w:r>
        <w:tab/>
        <w:t>(d)</w:t>
      </w:r>
      <w:r>
        <w:tab/>
      </w:r>
      <w:r w:rsidR="00D930D9" w:rsidRPr="00A058B6">
        <w:t xml:space="preserve">the date of commencement of the member’s service period (within the meaning of the </w:t>
      </w:r>
      <w:r w:rsidR="00D930D9" w:rsidRPr="00A058B6">
        <w:rPr>
          <w:i/>
        </w:rPr>
        <w:t>Income Tax Assessment Act 1997</w:t>
      </w:r>
      <w:r w:rsidR="00D930D9" w:rsidRPr="00A058B6">
        <w:t>), if any;</w:t>
      </w:r>
    </w:p>
    <w:p w14:paraId="7D843F0C" w14:textId="77777777" w:rsidR="00D14046" w:rsidRPr="00A058B6" w:rsidRDefault="00D14046" w:rsidP="00D14046">
      <w:pPr>
        <w:pStyle w:val="paragraph"/>
      </w:pPr>
      <w:r>
        <w:tab/>
        <w:t>(e)</w:t>
      </w:r>
      <w:r>
        <w:tab/>
      </w:r>
      <w:r w:rsidRPr="00A058B6">
        <w:t>the date when the member first became a member of the plan;</w:t>
      </w:r>
    </w:p>
    <w:p w14:paraId="5573B09C" w14:textId="0828DADB" w:rsidR="00D930D9" w:rsidRPr="00A058B6" w:rsidRDefault="00303D63" w:rsidP="00D930D9">
      <w:pPr>
        <w:pStyle w:val="paragraph"/>
      </w:pPr>
      <w:r>
        <w:tab/>
        <w:t>(f)</w:t>
      </w:r>
      <w:r>
        <w:tab/>
      </w:r>
      <w:r w:rsidR="00D930D9" w:rsidRPr="00A058B6">
        <w:t xml:space="preserve">if the interest was in the payment phase at the appropriate date—the payment phase information mentioned in </w:t>
      </w:r>
      <w:r w:rsidR="00CB78B9">
        <w:t>section 1</w:t>
      </w:r>
      <w:r w:rsidR="00485CC2">
        <w:t>28</w:t>
      </w:r>
      <w:r w:rsidR="00D930D9" w:rsidRPr="00A058B6">
        <w:t xml:space="preserve"> for the interest;</w:t>
      </w:r>
    </w:p>
    <w:p w14:paraId="524B373F" w14:textId="725231D6" w:rsidR="00D930D9" w:rsidRPr="00A058B6" w:rsidRDefault="00303D63" w:rsidP="00D930D9">
      <w:pPr>
        <w:pStyle w:val="paragraph"/>
        <w:rPr>
          <w:color w:val="000000"/>
        </w:rPr>
      </w:pPr>
      <w:r>
        <w:rPr>
          <w:color w:val="000000"/>
        </w:rPr>
        <w:tab/>
        <w:t>(g)</w:t>
      </w:r>
      <w:r>
        <w:rPr>
          <w:color w:val="000000"/>
        </w:rPr>
        <w:tab/>
      </w:r>
      <w:r w:rsidR="00D930D9" w:rsidRPr="00A058B6">
        <w:rPr>
          <w:color w:val="000000"/>
        </w:rPr>
        <w:t xml:space="preserve">if the interest was in the growth phase at the appropriate date—the growth phase information mentioned in </w:t>
      </w:r>
      <w:r w:rsidR="00CB78B9">
        <w:rPr>
          <w:color w:val="000000"/>
        </w:rPr>
        <w:t>section 1</w:t>
      </w:r>
      <w:r w:rsidR="00485CC2">
        <w:rPr>
          <w:color w:val="000000"/>
        </w:rPr>
        <w:t>29</w:t>
      </w:r>
      <w:r w:rsidR="00D930D9" w:rsidRPr="00A058B6">
        <w:rPr>
          <w:color w:val="000000"/>
        </w:rPr>
        <w:t xml:space="preserve"> for the interest;</w:t>
      </w:r>
    </w:p>
    <w:p w14:paraId="2A935F47" w14:textId="77777777" w:rsidR="00D930D9" w:rsidRPr="00A058B6" w:rsidRDefault="00303D63" w:rsidP="00D930D9">
      <w:pPr>
        <w:pStyle w:val="paragraph"/>
      </w:pPr>
      <w:r>
        <w:tab/>
        <w:t>(h)</w:t>
      </w:r>
      <w:r>
        <w:tab/>
      </w:r>
      <w:r w:rsidR="00D930D9" w:rsidRPr="00A058B6">
        <w:t>if the application for information specifically requests the trustee to provide information about the withdrawal benefit for the member—the withdrawal benefit for the member at the date when the information is provided;</w:t>
      </w:r>
    </w:p>
    <w:p w14:paraId="72BAF624" w14:textId="50274932" w:rsidR="00D930D9" w:rsidRPr="00A058B6" w:rsidRDefault="00303D63" w:rsidP="00D930D9">
      <w:pPr>
        <w:pStyle w:val="paragraph"/>
      </w:pPr>
      <w:r>
        <w:tab/>
        <w:t>(i)</w:t>
      </w:r>
      <w:r>
        <w:tab/>
      </w:r>
      <w:r w:rsidR="00D930D9" w:rsidRPr="00A058B6">
        <w:t>details of any fees that may be charged by the trustee under paragraph </w:t>
      </w:r>
      <w:r w:rsidR="00485CC2">
        <w:t>98</w:t>
      </w:r>
      <w:r w:rsidR="00D930D9" w:rsidRPr="00A058B6">
        <w:t>(1)(a), (b), (c), (d) or (f)</w:t>
      </w:r>
      <w:r w:rsidR="00E6102C">
        <w:t>;</w:t>
      </w:r>
    </w:p>
    <w:p w14:paraId="0981AAA2" w14:textId="77777777" w:rsidR="00E6102C" w:rsidRPr="00A058B6" w:rsidRDefault="00E6102C" w:rsidP="00E6102C">
      <w:pPr>
        <w:pStyle w:val="paragraph"/>
      </w:pPr>
      <w:r>
        <w:tab/>
        <w:t>(j)</w:t>
      </w:r>
      <w:r>
        <w:tab/>
        <w:t>if known, the member’s date of birth.</w:t>
      </w:r>
    </w:p>
    <w:p w14:paraId="4E7BBD87" w14:textId="2A0E0433" w:rsidR="00D930D9" w:rsidRPr="00A058B6" w:rsidRDefault="00D930D9" w:rsidP="00D930D9">
      <w:pPr>
        <w:pStyle w:val="subsection"/>
      </w:pPr>
      <w:r w:rsidRPr="00A058B6">
        <w:tab/>
        <w:t>(2)</w:t>
      </w:r>
      <w:r w:rsidRPr="00A058B6">
        <w:tab/>
        <w:t xml:space="preserve">Subsection (1) has effect subject to </w:t>
      </w:r>
      <w:r w:rsidR="00CB78B9">
        <w:t>section 1</w:t>
      </w:r>
      <w:r w:rsidR="00485CC2">
        <w:t>31</w:t>
      </w:r>
      <w:r w:rsidRPr="00A058B6">
        <w:t xml:space="preserve"> (about exceptions)</w:t>
      </w:r>
      <w:r w:rsidR="00D7157D">
        <w:t>.</w:t>
      </w:r>
    </w:p>
    <w:p w14:paraId="7C22B21D" w14:textId="1810CA08" w:rsidR="00D930D9" w:rsidRPr="00A058B6" w:rsidRDefault="00D930D9" w:rsidP="00D930D9">
      <w:pPr>
        <w:pStyle w:val="notetext"/>
      </w:pPr>
      <w:r w:rsidRPr="00A058B6">
        <w:t>Example:</w:t>
      </w:r>
      <w:r w:rsidRPr="00A058B6">
        <w:tab/>
        <w:t xml:space="preserve">If the application specifically requests the information mentioned in </w:t>
      </w:r>
      <w:r w:rsidR="00453C86">
        <w:t>paragraph (</w:t>
      </w:r>
      <w:r w:rsidRPr="00A058B6">
        <w:t>1)(</w:t>
      </w:r>
      <w:r w:rsidR="00303D63">
        <w:t>h</w:t>
      </w:r>
      <w:r w:rsidRPr="00A058B6">
        <w:t>), the trustee is required to provide only the information mentioned in that paragraph to the applicant</w:t>
      </w:r>
      <w:r w:rsidR="00D7157D">
        <w:t>.</w:t>
      </w:r>
      <w:r w:rsidRPr="00A058B6">
        <w:t xml:space="preserve"> The trustee is not required to provide any other information to the applicant under this Subdivision (see </w:t>
      </w:r>
      <w:r w:rsidR="00CB78B9">
        <w:t>paragraph 1</w:t>
      </w:r>
      <w:r w:rsidR="00485CC2">
        <w:t>31</w:t>
      </w:r>
      <w:r w:rsidRPr="00A058B6">
        <w:t>(1)(a))</w:t>
      </w:r>
      <w:r w:rsidR="00D7157D">
        <w:t>.</w:t>
      </w:r>
    </w:p>
    <w:p w14:paraId="5A180D14" w14:textId="51F462D6" w:rsidR="00D930D9" w:rsidRPr="00A058B6" w:rsidRDefault="00D930D9" w:rsidP="00D930D9">
      <w:pPr>
        <w:pStyle w:val="notetext"/>
      </w:pPr>
      <w:r w:rsidRPr="00A058B6">
        <w:t>Note:</w:t>
      </w:r>
      <w:r w:rsidRPr="00A058B6">
        <w:tab/>
        <w:t xml:space="preserve">This information may not have to be provided by a secondary government trustee—see </w:t>
      </w:r>
      <w:r w:rsidR="00CB78B9">
        <w:t>section 1</w:t>
      </w:r>
      <w:r w:rsidR="00485CC2">
        <w:t>41</w:t>
      </w:r>
      <w:r w:rsidR="00D7157D">
        <w:t>.</w:t>
      </w:r>
    </w:p>
    <w:p w14:paraId="67BA8C8F" w14:textId="4936FD2C" w:rsidR="00D930D9" w:rsidRPr="00A058B6" w:rsidRDefault="00485CC2" w:rsidP="00D930D9">
      <w:pPr>
        <w:pStyle w:val="ActHead5"/>
      </w:pPr>
      <w:bookmarkStart w:id="187" w:name="_Toc188350668"/>
      <w:r w:rsidRPr="00423C34">
        <w:rPr>
          <w:rStyle w:val="CharSectno"/>
        </w:rPr>
        <w:t>128</w:t>
      </w:r>
      <w:r w:rsidR="00D930D9" w:rsidRPr="00A058B6">
        <w:t xml:space="preserve">  Specific information—the interest is in the payment phase</w:t>
      </w:r>
      <w:bookmarkEnd w:id="187"/>
    </w:p>
    <w:p w14:paraId="7AAF310C" w14:textId="03290069" w:rsidR="00D930D9" w:rsidRPr="00A058B6" w:rsidRDefault="00D930D9" w:rsidP="00D930D9">
      <w:pPr>
        <w:pStyle w:val="subsection"/>
      </w:pPr>
      <w:r w:rsidRPr="00A058B6">
        <w:tab/>
      </w:r>
      <w:r w:rsidR="00826381">
        <w:t>(1)</w:t>
      </w:r>
      <w:r w:rsidRPr="00A058B6">
        <w:tab/>
        <w:t xml:space="preserve">For the purposes of </w:t>
      </w:r>
      <w:r w:rsidR="00CB78B9">
        <w:t>paragraph 1</w:t>
      </w:r>
      <w:r w:rsidR="00485CC2">
        <w:t>27</w:t>
      </w:r>
      <w:r w:rsidRPr="00A058B6">
        <w:t>(1)(</w:t>
      </w:r>
      <w:r w:rsidR="00F24EC0">
        <w:t>f</w:t>
      </w:r>
      <w:r w:rsidRPr="00A058B6">
        <w:t>), the payment phase information for the superannuation interest is:</w:t>
      </w:r>
    </w:p>
    <w:p w14:paraId="2DF9972A" w14:textId="77777777" w:rsidR="00D930D9" w:rsidRPr="00A058B6" w:rsidRDefault="005330FD" w:rsidP="00D930D9">
      <w:pPr>
        <w:pStyle w:val="paragraph"/>
        <w:rPr>
          <w:color w:val="000000"/>
        </w:rPr>
      </w:pPr>
      <w:r>
        <w:tab/>
        <w:t>(a)</w:t>
      </w:r>
      <w:r>
        <w:tab/>
      </w:r>
      <w:r w:rsidR="00D930D9" w:rsidRPr="00A058B6">
        <w:t>a statement indicating that the member is receiving ongoing pension payments in respect of the interest; and</w:t>
      </w:r>
    </w:p>
    <w:p w14:paraId="5B28FF32" w14:textId="77777777" w:rsidR="00D930D9" w:rsidRPr="00A058B6" w:rsidRDefault="005330FD" w:rsidP="00D930D9">
      <w:pPr>
        <w:pStyle w:val="paragraph"/>
      </w:pPr>
      <w:r>
        <w:tab/>
        <w:t>(b)</w:t>
      </w:r>
      <w:r>
        <w:tab/>
      </w:r>
      <w:r w:rsidR="00D930D9" w:rsidRPr="00A058B6">
        <w:t>the amount of annual pension benefit payable to the member at the appropriate date; and</w:t>
      </w:r>
    </w:p>
    <w:p w14:paraId="4ED3124E" w14:textId="77777777" w:rsidR="00D930D9" w:rsidRPr="00A058B6" w:rsidRDefault="005330FD" w:rsidP="00D930D9">
      <w:pPr>
        <w:pStyle w:val="paragraph"/>
      </w:pPr>
      <w:r>
        <w:tab/>
        <w:t>(c)</w:t>
      </w:r>
      <w:r>
        <w:tab/>
      </w:r>
      <w:r w:rsidR="00D930D9" w:rsidRPr="00A058B6">
        <w:t>a statement indicating whether the pension benefit is indexed and, if so, the method of indexation; and</w:t>
      </w:r>
    </w:p>
    <w:p w14:paraId="12721ED1" w14:textId="203F9568" w:rsidR="00D930D9" w:rsidRPr="00A058B6" w:rsidRDefault="005330FD" w:rsidP="00D930D9">
      <w:pPr>
        <w:pStyle w:val="paragraph"/>
      </w:pPr>
      <w:r>
        <w:tab/>
        <w:t>(d)</w:t>
      </w:r>
      <w:r>
        <w:tab/>
      </w:r>
      <w:r w:rsidR="00D930D9" w:rsidRPr="00A058B6">
        <w:t>a statement indicating whether there is any reversionary beneficiary who is a non</w:t>
      </w:r>
      <w:r w:rsidR="001952B3">
        <w:noBreakHyphen/>
      </w:r>
      <w:r w:rsidR="00D930D9" w:rsidRPr="00A058B6">
        <w:t>member spouse in relation to the pension benefit and, if so, the proportion of the ongoing pension payments that would be payable to the reversionary beneficiary on the death of the member; and</w:t>
      </w:r>
    </w:p>
    <w:p w14:paraId="3F1501A8" w14:textId="77777777" w:rsidR="00440565" w:rsidRPr="00A058B6" w:rsidRDefault="00440565" w:rsidP="00440565">
      <w:pPr>
        <w:pStyle w:val="paragraph"/>
      </w:pPr>
      <w:r>
        <w:tab/>
        <w:t>(e)</w:t>
      </w:r>
      <w:r>
        <w:tab/>
      </w:r>
      <w:r w:rsidRPr="00A058B6">
        <w:t xml:space="preserve">if a lump sum payment that would have been a superannuation lump sum (within the meaning of the </w:t>
      </w:r>
      <w:r w:rsidRPr="00A058B6">
        <w:rPr>
          <w:i/>
        </w:rPr>
        <w:t>Income Tax Assessment Act 1997</w:t>
      </w:r>
      <w:r w:rsidRPr="00A058B6">
        <w:t>) had been made in respect of the interest at the date when the information is provided:</w:t>
      </w:r>
    </w:p>
    <w:p w14:paraId="23ED59AF" w14:textId="77777777" w:rsidR="00440565" w:rsidRPr="00A058B6" w:rsidRDefault="00440565" w:rsidP="00440565">
      <w:pPr>
        <w:pStyle w:val="paragraphsub"/>
      </w:pPr>
      <w:r w:rsidRPr="00A058B6">
        <w:tab/>
        <w:t>(i)</w:t>
      </w:r>
      <w:r w:rsidRPr="00A058B6">
        <w:tab/>
        <w:t>the amount of the payment; and</w:t>
      </w:r>
    </w:p>
    <w:p w14:paraId="63964545" w14:textId="1878D11D" w:rsidR="00440565" w:rsidRPr="00A058B6" w:rsidRDefault="00440565" w:rsidP="00440565">
      <w:pPr>
        <w:pStyle w:val="paragraphsub"/>
      </w:pPr>
      <w:r w:rsidRPr="00A058B6">
        <w:tab/>
        <w:t>(ii)</w:t>
      </w:r>
      <w:r w:rsidRPr="00A058B6">
        <w:tab/>
        <w:t xml:space="preserve">the value that </w:t>
      </w:r>
      <w:r>
        <w:t xml:space="preserve">each of </w:t>
      </w:r>
      <w:r w:rsidRPr="00A058B6">
        <w:t xml:space="preserve">the components of the superannuation lump sum would have had under </w:t>
      </w:r>
      <w:r w:rsidR="00E62545">
        <w:t>Subdivision 3</w:t>
      </w:r>
      <w:r w:rsidRPr="00A058B6">
        <w:t>07</w:t>
      </w:r>
      <w:r w:rsidR="001952B3">
        <w:noBreakHyphen/>
      </w:r>
      <w:r w:rsidRPr="00A058B6">
        <w:t>C of that Act; and</w:t>
      </w:r>
    </w:p>
    <w:p w14:paraId="16EC58D6" w14:textId="500D3B50" w:rsidR="00440565" w:rsidRPr="00A058B6" w:rsidRDefault="00440565" w:rsidP="00440565">
      <w:pPr>
        <w:pStyle w:val="paragraphsub"/>
      </w:pPr>
      <w:r>
        <w:tab/>
        <w:t>(iii)</w:t>
      </w:r>
      <w:r>
        <w:tab/>
      </w:r>
      <w:r w:rsidRPr="00A058B6">
        <w:t xml:space="preserve">the value </w:t>
      </w:r>
      <w:r>
        <w:t xml:space="preserve">that each of the elements of the taxable component would have had under </w:t>
      </w:r>
      <w:r w:rsidR="00E62545">
        <w:t>Subdivision 3</w:t>
      </w:r>
      <w:r>
        <w:t>07</w:t>
      </w:r>
      <w:r w:rsidR="001952B3">
        <w:noBreakHyphen/>
      </w:r>
      <w:r>
        <w:t>E of that Act (if applicable); and</w:t>
      </w:r>
    </w:p>
    <w:p w14:paraId="0418CB62" w14:textId="77777777" w:rsidR="00D930D9" w:rsidRPr="00A058B6" w:rsidRDefault="005330FD" w:rsidP="00D930D9">
      <w:pPr>
        <w:pStyle w:val="paragraph"/>
      </w:pPr>
      <w:r>
        <w:tab/>
        <w:t>(</w:t>
      </w:r>
      <w:r w:rsidR="00440565">
        <w:t>f</w:t>
      </w:r>
      <w:r>
        <w:t>)</w:t>
      </w:r>
      <w:r>
        <w:tab/>
      </w:r>
      <w:r w:rsidR="00D930D9" w:rsidRPr="00A058B6">
        <w:t>a statement:</w:t>
      </w:r>
    </w:p>
    <w:p w14:paraId="463F2693" w14:textId="3DB4DBBE" w:rsidR="00D930D9" w:rsidRPr="00A058B6" w:rsidRDefault="00D930D9" w:rsidP="00D930D9">
      <w:pPr>
        <w:pStyle w:val="paragraphsub"/>
      </w:pPr>
      <w:r w:rsidRPr="00A058B6">
        <w:tab/>
        <w:t>(i)</w:t>
      </w:r>
      <w:r w:rsidRPr="00A058B6">
        <w:tab/>
        <w:t xml:space="preserve">indicating whether the Minister has approved, under </w:t>
      </w:r>
      <w:r w:rsidR="00CB78B9">
        <w:t>section 7</w:t>
      </w:r>
      <w:r w:rsidR="00485CC2">
        <w:t>0</w:t>
      </w:r>
      <w:r w:rsidRPr="00A058B6">
        <w:t>, a method or factors for determining the gross value of the interest; and</w:t>
      </w:r>
    </w:p>
    <w:p w14:paraId="7FB7A32D" w14:textId="77777777" w:rsidR="00D930D9" w:rsidRPr="00A058B6" w:rsidRDefault="00D930D9" w:rsidP="00D930D9">
      <w:pPr>
        <w:pStyle w:val="paragraphsub"/>
      </w:pPr>
      <w:r w:rsidRPr="00A058B6">
        <w:tab/>
        <w:t>(ii)</w:t>
      </w:r>
      <w:r w:rsidRPr="00A058B6">
        <w:tab/>
        <w:t>giving details of any method or factors so approved; and</w:t>
      </w:r>
    </w:p>
    <w:p w14:paraId="42FBE404" w14:textId="77777777" w:rsidR="00D930D9" w:rsidRPr="00A058B6" w:rsidRDefault="00D930D9" w:rsidP="00D930D9">
      <w:pPr>
        <w:pStyle w:val="paragraphsub"/>
      </w:pPr>
      <w:r w:rsidRPr="00A058B6">
        <w:tab/>
        <w:t>(iii)</w:t>
      </w:r>
      <w:r w:rsidRPr="00A058B6">
        <w:tab/>
        <w:t>giving details of any other information necessary for determining the gross value of the interest; and</w:t>
      </w:r>
    </w:p>
    <w:p w14:paraId="5467523B" w14:textId="780BD877" w:rsidR="00D930D9" w:rsidRPr="00A058B6" w:rsidRDefault="005330FD" w:rsidP="00D930D9">
      <w:pPr>
        <w:pStyle w:val="paragraph"/>
      </w:pPr>
      <w:r>
        <w:tab/>
        <w:t>(</w:t>
      </w:r>
      <w:r w:rsidR="00440565">
        <w:t>g</w:t>
      </w:r>
      <w:r>
        <w:t>)</w:t>
      </w:r>
      <w:r>
        <w:tab/>
      </w:r>
      <w:r w:rsidR="00D930D9" w:rsidRPr="00A058B6">
        <w:t xml:space="preserve">if the application for information specifically requests the trustee to provide it and the trustee chooses to do so—the gross value of the interest at the appropriate date, determined in accordance with </w:t>
      </w:r>
      <w:r w:rsidR="00730E28" w:rsidRPr="00A058B6">
        <w:t xml:space="preserve">a method or factors approved by the Minister under </w:t>
      </w:r>
      <w:r w:rsidR="00CB78B9">
        <w:t>section 7</w:t>
      </w:r>
      <w:r w:rsidR="00485CC2">
        <w:t>0</w:t>
      </w:r>
      <w:r w:rsidR="00D7157D">
        <w:t>.</w:t>
      </w:r>
    </w:p>
    <w:p w14:paraId="1ACA870A" w14:textId="77777777" w:rsidR="00826381" w:rsidRPr="00A058B6" w:rsidRDefault="00826381" w:rsidP="00826381">
      <w:pPr>
        <w:pStyle w:val="subsection"/>
      </w:pPr>
      <w:r w:rsidRPr="00A058B6">
        <w:tab/>
        <w:t>(2)</w:t>
      </w:r>
      <w:r w:rsidRPr="00A058B6">
        <w:tab/>
        <w:t>If:</w:t>
      </w:r>
    </w:p>
    <w:p w14:paraId="66AB49CC" w14:textId="1DC94EF7" w:rsidR="00826381" w:rsidRPr="00A058B6" w:rsidRDefault="00826381" w:rsidP="00826381">
      <w:pPr>
        <w:pStyle w:val="paragraph"/>
      </w:pPr>
      <w:r>
        <w:tab/>
        <w:t>(a)</w:t>
      </w:r>
      <w:r>
        <w:tab/>
      </w:r>
      <w:r w:rsidR="00453C86">
        <w:t>paragraph (</w:t>
      </w:r>
      <w:r w:rsidRPr="00A058B6">
        <w:t>1)(</w:t>
      </w:r>
      <w:r>
        <w:t>g</w:t>
      </w:r>
      <w:r w:rsidRPr="00A058B6">
        <w:t>) applies to the application for information about the superannuation interest; and</w:t>
      </w:r>
    </w:p>
    <w:p w14:paraId="543AF5AB" w14:textId="77777777" w:rsidR="00826381" w:rsidRPr="00A058B6" w:rsidRDefault="00826381" w:rsidP="00826381">
      <w:pPr>
        <w:pStyle w:val="paragraph"/>
      </w:pPr>
      <w:r>
        <w:tab/>
        <w:t>(b)</w:t>
      </w:r>
      <w:r>
        <w:tab/>
      </w:r>
      <w:r w:rsidRPr="00A058B6">
        <w:t>the trustee, in response to the application:</w:t>
      </w:r>
    </w:p>
    <w:p w14:paraId="74EF83CC" w14:textId="2E1B6ADF" w:rsidR="00826381" w:rsidRPr="00A058B6" w:rsidRDefault="00826381" w:rsidP="00826381">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7</w:t>
      </w:r>
      <w:r w:rsidR="00485CC2">
        <w:t>0</w:t>
      </w:r>
      <w:r w:rsidRPr="00A058B6">
        <w:t>; but</w:t>
      </w:r>
    </w:p>
    <w:p w14:paraId="23A031C8" w14:textId="77777777" w:rsidR="00826381" w:rsidRPr="00A058B6" w:rsidRDefault="00826381" w:rsidP="00826381">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53A2851F" w14:textId="134B391C" w:rsidR="00826381" w:rsidRPr="00A058B6" w:rsidRDefault="00826381" w:rsidP="00826381">
      <w:pPr>
        <w:pStyle w:val="paragraph"/>
      </w:pPr>
      <w:r>
        <w:tab/>
        <w:t>(c)</w:t>
      </w:r>
      <w:r>
        <w:tab/>
      </w:r>
      <w:r w:rsidRPr="00A058B6">
        <w:t xml:space="preserve">the applicant makes a further application </w:t>
      </w:r>
      <w:r>
        <w:t xml:space="preserve">that complies with </w:t>
      </w:r>
      <w:r w:rsidR="00FE15C4">
        <w:t>subsection 9</w:t>
      </w:r>
      <w:r w:rsidRPr="00A058B6">
        <w:t>0XZB(3) or 90YZR(3) of the Act for specific underlying valuation information for the interest;</w:t>
      </w:r>
    </w:p>
    <w:p w14:paraId="1CD9CA55" w14:textId="2712B37F" w:rsidR="00826381" w:rsidRDefault="00826381" w:rsidP="00826381">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6A33F113" w14:textId="110F3AA3" w:rsidR="00826381" w:rsidRDefault="00826381" w:rsidP="00826381">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65B449B4" w14:textId="06DC8A76" w:rsidR="00826381" w:rsidRPr="00A058B6" w:rsidRDefault="00826381" w:rsidP="00826381">
      <w:pPr>
        <w:pStyle w:val="subsection"/>
      </w:pPr>
      <w:r w:rsidRPr="00A058B6">
        <w:tab/>
        <w:t>(3)</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t>.</w:t>
      </w:r>
    </w:p>
    <w:p w14:paraId="507C7C7F" w14:textId="5489ADD2" w:rsidR="00D930D9" w:rsidRPr="00A058B6" w:rsidRDefault="00485CC2" w:rsidP="00D930D9">
      <w:pPr>
        <w:pStyle w:val="ActHead5"/>
      </w:pPr>
      <w:bookmarkStart w:id="188" w:name="_Toc188350669"/>
      <w:r w:rsidRPr="00423C34">
        <w:rPr>
          <w:rStyle w:val="CharSectno"/>
        </w:rPr>
        <w:t>129</w:t>
      </w:r>
      <w:r w:rsidR="00D930D9" w:rsidRPr="00A058B6">
        <w:t xml:space="preserve">  Specific information—the interest is in the growth phase</w:t>
      </w:r>
      <w:bookmarkEnd w:id="188"/>
    </w:p>
    <w:p w14:paraId="52C0E283" w14:textId="6D633597" w:rsidR="00D930D9" w:rsidRPr="00A058B6" w:rsidRDefault="00D930D9" w:rsidP="00D930D9">
      <w:pPr>
        <w:pStyle w:val="subsection"/>
      </w:pPr>
      <w:r w:rsidRPr="00A058B6">
        <w:tab/>
      </w:r>
      <w:r w:rsidR="00995185">
        <w:t>(1)</w:t>
      </w:r>
      <w:r w:rsidRPr="00A058B6">
        <w:tab/>
        <w:t xml:space="preserve">For the purposes of </w:t>
      </w:r>
      <w:r w:rsidR="00CB78B9">
        <w:t>paragraph 1</w:t>
      </w:r>
      <w:r w:rsidR="00485CC2">
        <w:t>27</w:t>
      </w:r>
      <w:r w:rsidRPr="00A058B6">
        <w:t>(1)(</w:t>
      </w:r>
      <w:r w:rsidR="00F24EC0">
        <w:t>g</w:t>
      </w:r>
      <w:r w:rsidRPr="00A058B6">
        <w:t>), the growth phase information for the superannuation interest is as follows:</w:t>
      </w:r>
    </w:p>
    <w:p w14:paraId="4CBE9547" w14:textId="77777777" w:rsidR="00D930D9" w:rsidRPr="00A058B6" w:rsidRDefault="00A52C6F" w:rsidP="00D930D9">
      <w:pPr>
        <w:pStyle w:val="paragraph"/>
      </w:pPr>
      <w:r>
        <w:tab/>
        <w:t>(a)</w:t>
      </w:r>
      <w:r>
        <w:tab/>
      </w:r>
      <w:r w:rsidR="00D930D9" w:rsidRPr="00A058B6">
        <w:t>if any pension payable in respect of the interest is indexed and, if so, the method of indexation;</w:t>
      </w:r>
    </w:p>
    <w:p w14:paraId="4671AEE4" w14:textId="77777777" w:rsidR="00D930D9" w:rsidRPr="00A058B6" w:rsidRDefault="00A52C6F" w:rsidP="00D930D9">
      <w:pPr>
        <w:pStyle w:val="paragraph"/>
      </w:pPr>
      <w:r>
        <w:tab/>
        <w:t>(b)</w:t>
      </w:r>
      <w:r>
        <w:tab/>
      </w:r>
      <w:r w:rsidR="00D930D9" w:rsidRPr="00A058B6">
        <w:t>if any pension payable in respect of the interest has a guarantee period and, if so, the length of the guarantee period;</w:t>
      </w:r>
    </w:p>
    <w:p w14:paraId="124F4276" w14:textId="226A2E50" w:rsidR="00D930D9" w:rsidRPr="00A058B6" w:rsidRDefault="00A52C6F" w:rsidP="00D930D9">
      <w:pPr>
        <w:pStyle w:val="paragraph"/>
      </w:pPr>
      <w:r>
        <w:tab/>
        <w:t>(c)</w:t>
      </w:r>
      <w:r>
        <w:tab/>
      </w:r>
      <w:r w:rsidR="00D930D9" w:rsidRPr="00A058B6">
        <w:t>if benefits in respect of the interest may be payable to a reversionary beneficiary who is a non</w:t>
      </w:r>
      <w:r w:rsidR="001952B3">
        <w:noBreakHyphen/>
      </w:r>
      <w:r w:rsidR="00D930D9" w:rsidRPr="00A058B6">
        <w:t>member spouse—the proportion of payment in respect of the interest that the non</w:t>
      </w:r>
      <w:r w:rsidR="001952B3">
        <w:noBreakHyphen/>
      </w:r>
      <w:r w:rsidR="00D930D9" w:rsidRPr="00A058B6">
        <w:t>member spouse would receive, as a reversionary beneficiary, on the death of the member;</w:t>
      </w:r>
    </w:p>
    <w:p w14:paraId="05B57659" w14:textId="77777777" w:rsidR="00D930D9" w:rsidRPr="00A058B6" w:rsidRDefault="00A52C6F" w:rsidP="00D930D9">
      <w:pPr>
        <w:pStyle w:val="paragraph"/>
      </w:pPr>
      <w:r>
        <w:tab/>
        <w:t>(d)</w:t>
      </w:r>
      <w:r>
        <w:tab/>
      </w:r>
      <w:r w:rsidR="00D930D9" w:rsidRPr="00A058B6">
        <w:t>unless the interest is in a constitutionally protected fund—the amount (if any) that was stated to be the surcharge debt of the member in the most recent member information statement for the member spouse and the interest that was provided to the member before the appropriate date;</w:t>
      </w:r>
    </w:p>
    <w:p w14:paraId="1D89E0C4" w14:textId="77777777" w:rsidR="00AC5E18" w:rsidRPr="00A058B6" w:rsidRDefault="00AC5E18" w:rsidP="00AC5E18">
      <w:pPr>
        <w:pStyle w:val="paragraph"/>
      </w:pPr>
      <w:r>
        <w:tab/>
        <w:t>(</w:t>
      </w:r>
      <w:r w:rsidR="002E0867">
        <w:t>e</w:t>
      </w:r>
      <w:r>
        <w:t>)</w:t>
      </w:r>
      <w:r>
        <w:tab/>
      </w:r>
      <w:r w:rsidRPr="00A058B6">
        <w:t>if:</w:t>
      </w:r>
    </w:p>
    <w:p w14:paraId="4D808E07" w14:textId="77777777" w:rsidR="00AC5E18" w:rsidRPr="00A058B6" w:rsidRDefault="00AC5E18" w:rsidP="00AC5E18">
      <w:pPr>
        <w:pStyle w:val="paragraphsub"/>
      </w:pPr>
      <w:r w:rsidRPr="00A058B6">
        <w:tab/>
        <w:t>(i)</w:t>
      </w:r>
      <w:r w:rsidRPr="00A058B6">
        <w:tab/>
        <w:t xml:space="preserve">a payment that would have been a superannuation lump sum (within the meaning of the </w:t>
      </w:r>
      <w:r w:rsidRPr="00A058B6">
        <w:rPr>
          <w:i/>
        </w:rPr>
        <w:t>Income Tax Assessment Act 1997</w:t>
      </w:r>
      <w:r w:rsidRPr="00A058B6">
        <w:t>)</w:t>
      </w:r>
      <w:r w:rsidRPr="00A058B6">
        <w:rPr>
          <w:i/>
        </w:rPr>
        <w:t xml:space="preserve"> </w:t>
      </w:r>
      <w:r w:rsidRPr="00A058B6">
        <w:t>had been made in respect of the interest at the date when the information is provided; and</w:t>
      </w:r>
    </w:p>
    <w:p w14:paraId="57D57FAD" w14:textId="77777777" w:rsidR="00AC5E18" w:rsidRPr="00A058B6" w:rsidRDefault="00AC5E18" w:rsidP="00AC5E18">
      <w:pPr>
        <w:pStyle w:val="paragraphsub"/>
      </w:pPr>
      <w:r w:rsidRPr="00A058B6">
        <w:tab/>
        <w:t>(ii)</w:t>
      </w:r>
      <w:r w:rsidRPr="00A058B6">
        <w:tab/>
        <w:t>the amount of the payment had been the amount payable to the member if the member had voluntarily ceased to be a member of the plan;</w:t>
      </w:r>
    </w:p>
    <w:p w14:paraId="34900796" w14:textId="77777777" w:rsidR="00AC5E18" w:rsidRDefault="00AC5E18" w:rsidP="00AC5E18">
      <w:pPr>
        <w:pStyle w:val="paragraph"/>
      </w:pPr>
      <w:r w:rsidRPr="00A058B6">
        <w:tab/>
      </w:r>
      <w:r w:rsidRPr="00A058B6">
        <w:tab/>
      </w:r>
      <w:r>
        <w:t>the value:</w:t>
      </w:r>
    </w:p>
    <w:p w14:paraId="147FC303" w14:textId="5AEEF263" w:rsidR="00AC5E18" w:rsidRDefault="00AC5E18" w:rsidP="00AC5E18">
      <w:pPr>
        <w:pStyle w:val="paragraphsub"/>
      </w:pPr>
      <w:r>
        <w:tab/>
        <w:t>(iii)</w:t>
      </w:r>
      <w:r>
        <w:tab/>
        <w:t xml:space="preserve">that each of </w:t>
      </w:r>
      <w:r w:rsidRPr="00A058B6">
        <w:t xml:space="preserve">the components of the superannuation lump sum would have had under </w:t>
      </w:r>
      <w:r w:rsidR="00E62545">
        <w:t>Subdivision 3</w:t>
      </w:r>
      <w:r w:rsidRPr="00A058B6">
        <w:t>07</w:t>
      </w:r>
      <w:r w:rsidR="001952B3">
        <w:noBreakHyphen/>
      </w:r>
      <w:r w:rsidRPr="00A058B6">
        <w:t>C of that Act;</w:t>
      </w:r>
      <w:r>
        <w:t xml:space="preserve"> and</w:t>
      </w:r>
    </w:p>
    <w:p w14:paraId="04690271" w14:textId="6DB67748" w:rsidR="00AC5E18" w:rsidRPr="00A058B6" w:rsidRDefault="00AC5E18" w:rsidP="00AC5E18">
      <w:pPr>
        <w:pStyle w:val="paragraphsub"/>
      </w:pPr>
      <w:r>
        <w:tab/>
        <w:t>(iv)</w:t>
      </w:r>
      <w:r>
        <w:tab/>
        <w:t xml:space="preserve">that each of the elements of the taxable component would have had under </w:t>
      </w:r>
      <w:r w:rsidR="00E62545">
        <w:t>Subdivision 3</w:t>
      </w:r>
      <w:r>
        <w:t>07</w:t>
      </w:r>
      <w:r w:rsidR="001952B3">
        <w:noBreakHyphen/>
      </w:r>
      <w:r>
        <w:t>E of that Act (if applicable);</w:t>
      </w:r>
    </w:p>
    <w:p w14:paraId="4B8F4CF1" w14:textId="77777777" w:rsidR="00D930D9" w:rsidRPr="00A058B6" w:rsidRDefault="00A52C6F" w:rsidP="00D930D9">
      <w:pPr>
        <w:pStyle w:val="paragraph"/>
      </w:pPr>
      <w:r>
        <w:tab/>
        <w:t>(</w:t>
      </w:r>
      <w:r w:rsidR="00777C14">
        <w:t>f</w:t>
      </w:r>
      <w:r>
        <w:t>)</w:t>
      </w:r>
      <w:r>
        <w:tab/>
      </w:r>
      <w:r w:rsidR="00D930D9" w:rsidRPr="00A058B6">
        <w:t>a statement:</w:t>
      </w:r>
    </w:p>
    <w:p w14:paraId="5387939D" w14:textId="7911CC28" w:rsidR="00D930D9" w:rsidRPr="00A058B6" w:rsidRDefault="00D930D9" w:rsidP="00D930D9">
      <w:pPr>
        <w:pStyle w:val="paragraphsub"/>
        <w:tabs>
          <w:tab w:val="left" w:pos="4678"/>
        </w:tabs>
      </w:pPr>
      <w:r w:rsidRPr="00A058B6">
        <w:tab/>
        <w:t>(i)</w:t>
      </w:r>
      <w:r w:rsidRPr="00A058B6">
        <w:tab/>
        <w:t xml:space="preserve">indicating whether the Minister has approved, under </w:t>
      </w:r>
      <w:r w:rsidR="00CB78B9">
        <w:t>section 6</w:t>
      </w:r>
      <w:r w:rsidR="00485CC2">
        <w:t>2</w:t>
      </w:r>
      <w:r w:rsidRPr="00A058B6">
        <w:t>, a method or factors for determining the gross value of the interest; and</w:t>
      </w:r>
    </w:p>
    <w:p w14:paraId="1336D49D" w14:textId="77777777" w:rsidR="00D930D9" w:rsidRPr="00A058B6" w:rsidRDefault="00D930D9" w:rsidP="00D930D9">
      <w:pPr>
        <w:pStyle w:val="paragraphsub"/>
      </w:pPr>
      <w:r w:rsidRPr="00A058B6">
        <w:tab/>
        <w:t>(ii)</w:t>
      </w:r>
      <w:r w:rsidRPr="00A058B6">
        <w:tab/>
        <w:t>giving details of any method or factors so approved; and</w:t>
      </w:r>
    </w:p>
    <w:p w14:paraId="39875810" w14:textId="77777777" w:rsidR="00D930D9" w:rsidRPr="00A058B6" w:rsidRDefault="00D930D9" w:rsidP="00D930D9">
      <w:pPr>
        <w:pStyle w:val="paragraphsub"/>
      </w:pPr>
      <w:r w:rsidRPr="00A058B6">
        <w:tab/>
        <w:t>(iii)</w:t>
      </w:r>
      <w:r w:rsidRPr="00A058B6">
        <w:tab/>
        <w:t>giving details of any other information necessary for determining the gross value of the interest;</w:t>
      </w:r>
    </w:p>
    <w:p w14:paraId="184A2D2A" w14:textId="29C2290A" w:rsidR="00D930D9" w:rsidRPr="00A058B6" w:rsidRDefault="00A52C6F" w:rsidP="00D930D9">
      <w:pPr>
        <w:pStyle w:val="paragraph"/>
      </w:pPr>
      <w:r>
        <w:tab/>
        <w:t>(</w:t>
      </w:r>
      <w:r w:rsidR="00777C14">
        <w:t>g</w:t>
      </w:r>
      <w:r>
        <w:t>)</w:t>
      </w:r>
      <w:r>
        <w:tab/>
      </w:r>
      <w:r w:rsidR="00D930D9" w:rsidRPr="00A058B6">
        <w:t xml:space="preserve">if the trustee has given information under </w:t>
      </w:r>
      <w:r w:rsidR="00453C86">
        <w:t>Division 2</w:t>
      </w:r>
      <w:r w:rsidR="00D7157D">
        <w:t>.</w:t>
      </w:r>
      <w:r w:rsidR="00D930D9" w:rsidRPr="00A058B6">
        <w:t>5 of the SIS Regulations to each member of the plan that the plan is to be reconstructed or terminated—a statement to this effect; and</w:t>
      </w:r>
    </w:p>
    <w:p w14:paraId="70B36571" w14:textId="2658F280" w:rsidR="00D930D9" w:rsidRPr="00A058B6" w:rsidRDefault="00A52C6F" w:rsidP="00D930D9">
      <w:pPr>
        <w:pStyle w:val="paragraph"/>
      </w:pPr>
      <w:r>
        <w:tab/>
        <w:t>(</w:t>
      </w:r>
      <w:r w:rsidR="00777C14">
        <w:t>h</w:t>
      </w:r>
      <w:r>
        <w:t>)</w:t>
      </w:r>
      <w:r>
        <w:tab/>
      </w:r>
      <w:r w:rsidR="00D930D9" w:rsidRPr="00A058B6">
        <w:t xml:space="preserve">if the application for information specifically requests the trustee to provide it and the trustee chooses to do so—the gross value of the interest at the appropriate date, determined in accordance with </w:t>
      </w:r>
      <w:r w:rsidR="009A714C" w:rsidRPr="00A058B6">
        <w:t xml:space="preserve">a method or factors approved by the Minister under </w:t>
      </w:r>
      <w:r w:rsidR="00CB78B9">
        <w:t>section 6</w:t>
      </w:r>
      <w:r w:rsidR="00485CC2">
        <w:t>2</w:t>
      </w:r>
      <w:r w:rsidR="00D7157D">
        <w:t>.</w:t>
      </w:r>
    </w:p>
    <w:p w14:paraId="2D47A14E" w14:textId="6876FE9C" w:rsidR="00D930D9" w:rsidRPr="00A058B6" w:rsidRDefault="00D930D9" w:rsidP="00D930D9">
      <w:pPr>
        <w:pStyle w:val="notetext"/>
      </w:pPr>
      <w:r w:rsidRPr="00A058B6">
        <w:rPr>
          <w:iCs/>
        </w:rPr>
        <w:t>Note:</w:t>
      </w:r>
      <w:r w:rsidRPr="00A058B6">
        <w:rPr>
          <w:iCs/>
        </w:rPr>
        <w:tab/>
      </w:r>
      <w:r w:rsidRPr="00A058B6">
        <w:t xml:space="preserve">The trustee is not required to provide the information mentioned in </w:t>
      </w:r>
      <w:r w:rsidR="00453C86">
        <w:t>paragraph (</w:t>
      </w:r>
      <w:r w:rsidR="00A52C6F">
        <w:t>d</w:t>
      </w:r>
      <w:r w:rsidRPr="00A058B6">
        <w:t xml:space="preserve">) to the applicant in certain circumstances (see </w:t>
      </w:r>
      <w:r w:rsidR="00CB78B9">
        <w:t>paragraph 1</w:t>
      </w:r>
      <w:r w:rsidR="00485CC2">
        <w:t>31</w:t>
      </w:r>
      <w:r w:rsidRPr="00A058B6">
        <w:t>(1)(</w:t>
      </w:r>
      <w:r w:rsidR="00DE17C1">
        <w:t>b</w:t>
      </w:r>
      <w:r w:rsidRPr="00A058B6">
        <w:t>))</w:t>
      </w:r>
      <w:r w:rsidR="00D7157D">
        <w:t>.</w:t>
      </w:r>
    </w:p>
    <w:p w14:paraId="3003ED8D" w14:textId="77777777" w:rsidR="00995185" w:rsidRPr="00A058B6" w:rsidRDefault="00995185" w:rsidP="00995185">
      <w:pPr>
        <w:pStyle w:val="subsection"/>
      </w:pPr>
      <w:bookmarkStart w:id="189" w:name="_Hlk176248425"/>
      <w:r w:rsidRPr="00A058B6">
        <w:tab/>
        <w:t>(2)</w:t>
      </w:r>
      <w:r w:rsidRPr="00A058B6">
        <w:tab/>
        <w:t>If:</w:t>
      </w:r>
    </w:p>
    <w:p w14:paraId="21BD0740" w14:textId="59FAB822" w:rsidR="00995185" w:rsidRPr="00A058B6" w:rsidRDefault="00995185" w:rsidP="00995185">
      <w:pPr>
        <w:pStyle w:val="paragraph"/>
      </w:pPr>
      <w:r>
        <w:tab/>
        <w:t>(a)</w:t>
      </w:r>
      <w:r>
        <w:tab/>
      </w:r>
      <w:r w:rsidR="00453C86">
        <w:t>paragraph (</w:t>
      </w:r>
      <w:r w:rsidRPr="00A058B6">
        <w:t>1)(</w:t>
      </w:r>
      <w:r>
        <w:t>h</w:t>
      </w:r>
      <w:r w:rsidRPr="00A058B6">
        <w:t>) applies to the application for information about the superannuation interest; and</w:t>
      </w:r>
    </w:p>
    <w:p w14:paraId="6BCBF199" w14:textId="77777777" w:rsidR="00995185" w:rsidRPr="00A058B6" w:rsidRDefault="00995185" w:rsidP="00995185">
      <w:pPr>
        <w:pStyle w:val="paragraph"/>
      </w:pPr>
      <w:r>
        <w:tab/>
        <w:t>(b)</w:t>
      </w:r>
      <w:r>
        <w:tab/>
      </w:r>
      <w:r w:rsidRPr="00A058B6">
        <w:t>the trustee, in response to the application:</w:t>
      </w:r>
    </w:p>
    <w:p w14:paraId="0A006223" w14:textId="0986FB23" w:rsidR="00995185" w:rsidRPr="00A058B6" w:rsidRDefault="00995185" w:rsidP="00995185">
      <w:pPr>
        <w:pStyle w:val="paragraphsub"/>
      </w:pPr>
      <w:r w:rsidRPr="00A058B6">
        <w:tab/>
        <w:t>(i)</w:t>
      </w:r>
      <w:r w:rsidRPr="00A058B6">
        <w:tab/>
        <w:t xml:space="preserve">provides the gross value of the interest at the appropriate date, determined in accordance with a method or factors approved by the Minister under </w:t>
      </w:r>
      <w:r w:rsidR="00CB78B9">
        <w:t>section 6</w:t>
      </w:r>
      <w:r w:rsidR="00485CC2">
        <w:t>2</w:t>
      </w:r>
      <w:r w:rsidRPr="00A058B6">
        <w:t>; but</w:t>
      </w:r>
    </w:p>
    <w:p w14:paraId="4BC18D64" w14:textId="77777777" w:rsidR="00995185" w:rsidRPr="00A058B6" w:rsidRDefault="00995185" w:rsidP="00995185">
      <w:pPr>
        <w:pStyle w:val="paragraphsub"/>
      </w:pPr>
      <w:r w:rsidRPr="00A058B6">
        <w:tab/>
        <w:t>(ii)</w:t>
      </w:r>
      <w:r w:rsidRPr="00A058B6">
        <w:tab/>
        <w:t>does not provide sufficient information to enable the applicant to check whether that gross value of the interest has been correctly determined in accordance with the approved method or factors; and</w:t>
      </w:r>
    </w:p>
    <w:p w14:paraId="5B5A0367" w14:textId="39505883" w:rsidR="00995185" w:rsidRPr="00A058B6" w:rsidRDefault="00995185" w:rsidP="00995185">
      <w:pPr>
        <w:pStyle w:val="paragraph"/>
      </w:pPr>
      <w:r>
        <w:tab/>
        <w:t>(c)</w:t>
      </w:r>
      <w:r>
        <w:tab/>
      </w:r>
      <w:r w:rsidRPr="00A058B6">
        <w:t xml:space="preserve">the applicant makes a further application </w:t>
      </w:r>
      <w:r>
        <w:t xml:space="preserve">that complies with </w:t>
      </w:r>
      <w:r w:rsidR="00FE15C4">
        <w:t>subsection 9</w:t>
      </w:r>
      <w:r>
        <w:t>0XZB(3)</w:t>
      </w:r>
      <w:r w:rsidRPr="00A058B6">
        <w:t xml:space="preserve"> or 90YZR(3) of the Act for specific underlying valuation information for the interest;</w:t>
      </w:r>
    </w:p>
    <w:p w14:paraId="27416A99" w14:textId="3F33ABE9" w:rsidR="00995185" w:rsidRPr="00A058B6" w:rsidRDefault="00995185" w:rsidP="00995185">
      <w:pPr>
        <w:pStyle w:val="subsection2"/>
      </w:pPr>
      <w:r w:rsidRPr="00A058B6">
        <w:t xml:space="preserve">then, for the purposes of </w:t>
      </w:r>
      <w:r w:rsidR="00FE15C4">
        <w:t>subsection 9</w:t>
      </w:r>
      <w:r w:rsidRPr="00A058B6">
        <w:t>0XZB(3) or 90YZR(3) of the Act</w:t>
      </w:r>
      <w:r w:rsidRPr="00A058B6">
        <w:rPr>
          <w:color w:val="000000"/>
        </w:rPr>
        <w:t>,</w:t>
      </w:r>
      <w:r w:rsidRPr="00A058B6">
        <w:t xml:space="preserve"> that specific underlying valuation information is information that must be provided by the trustee in response to the further application within a reasonable time</w:t>
      </w:r>
      <w:r>
        <w:t>.</w:t>
      </w:r>
    </w:p>
    <w:p w14:paraId="13A343CE" w14:textId="26145EFD" w:rsidR="00995185" w:rsidRDefault="00995185" w:rsidP="00995185">
      <w:pPr>
        <w:pStyle w:val="notetext"/>
      </w:pPr>
      <w:r>
        <w:t>Note:</w:t>
      </w:r>
      <w:r>
        <w:tab/>
        <w:t xml:space="preserve">For </w:t>
      </w:r>
      <w:r w:rsidR="00453C86">
        <w:t>paragraph (</w:t>
      </w:r>
      <w:r>
        <w:t xml:space="preserve">c), </w:t>
      </w:r>
      <w:r w:rsidR="00AF1E4E">
        <w:t>section 9</w:t>
      </w:r>
      <w:r>
        <w:t>0XZB or 90YZR of the Act does not prevent the applicant from making further applications, that comply with that section, for information about the superannuation interest.</w:t>
      </w:r>
    </w:p>
    <w:p w14:paraId="796CEF9A" w14:textId="248BA0B1" w:rsidR="00995185" w:rsidRPr="00A058B6" w:rsidRDefault="00995185" w:rsidP="00995185">
      <w:pPr>
        <w:pStyle w:val="subsection"/>
      </w:pPr>
      <w:r w:rsidRPr="00A058B6">
        <w:tab/>
        <w:t>(3)</w:t>
      </w:r>
      <w:r w:rsidRPr="00A058B6">
        <w:tab/>
        <w:t>Sub</w:t>
      </w:r>
      <w:r w:rsidR="00CB78B9">
        <w:t>section 1</w:t>
      </w:r>
      <w:r w:rsidR="00485CC2">
        <w:t>40</w:t>
      </w:r>
      <w:r w:rsidRPr="00A058B6">
        <w:t xml:space="preserve">(2) applies to specific underlying valuation information provided by the trustee to the applicant under </w:t>
      </w:r>
      <w:r w:rsidR="00A52DA5">
        <w:t>subsection (</w:t>
      </w:r>
      <w:r w:rsidRPr="00A058B6">
        <w:t>2) of this section</w:t>
      </w:r>
      <w:r>
        <w:t>.</w:t>
      </w:r>
    </w:p>
    <w:p w14:paraId="6330E8DF" w14:textId="69DB9353" w:rsidR="00D930D9" w:rsidRPr="00A058B6" w:rsidRDefault="00485CC2" w:rsidP="00D930D9">
      <w:pPr>
        <w:pStyle w:val="ActHead5"/>
      </w:pPr>
      <w:bookmarkStart w:id="190" w:name="_Toc188350670"/>
      <w:bookmarkEnd w:id="189"/>
      <w:r w:rsidRPr="00423C34">
        <w:rPr>
          <w:rStyle w:val="CharSectno"/>
        </w:rPr>
        <w:t>130</w:t>
      </w:r>
      <w:r w:rsidR="00D930D9" w:rsidRPr="00A058B6">
        <w:t xml:space="preserve">  Specific information—the interest is subject to a payment split or flag</w:t>
      </w:r>
      <w:bookmarkEnd w:id="190"/>
    </w:p>
    <w:p w14:paraId="66628BA6" w14:textId="3E95D12D" w:rsidR="00D930D9" w:rsidRPr="00A058B6" w:rsidRDefault="00D930D9" w:rsidP="00D930D9">
      <w:pPr>
        <w:pStyle w:val="subsection"/>
      </w:pPr>
      <w:r w:rsidRPr="00A058B6">
        <w:tab/>
      </w:r>
      <w:r w:rsidRPr="00A058B6">
        <w:tab/>
        <w:t xml:space="preserve">For the purposes of </w:t>
      </w:r>
      <w:r w:rsidR="00CB78B9">
        <w:t>paragraph 1</w:t>
      </w:r>
      <w:r w:rsidR="00485CC2">
        <w:t>27</w:t>
      </w:r>
      <w:r w:rsidRPr="00A058B6">
        <w:t>(1)(</w:t>
      </w:r>
      <w:r w:rsidR="00A72477">
        <w:t>c</w:t>
      </w:r>
      <w:r w:rsidRPr="00A058B6">
        <w:t>), the information that must be provided in relation to each payment split to which the superannuation interest is subject</w:t>
      </w:r>
      <w:r w:rsidRPr="00A058B6">
        <w:rPr>
          <w:snapToGrid w:val="0"/>
        </w:rPr>
        <w:t xml:space="preserve"> </w:t>
      </w:r>
      <w:r w:rsidRPr="00A058B6">
        <w:t>is as follows:</w:t>
      </w:r>
    </w:p>
    <w:p w14:paraId="6D945AEF" w14:textId="77777777" w:rsidR="00D930D9" w:rsidRPr="00A058B6" w:rsidRDefault="00D930D9" w:rsidP="00D930D9">
      <w:pPr>
        <w:pStyle w:val="paragraph"/>
      </w:pPr>
      <w:r w:rsidRPr="00A058B6">
        <w:tab/>
        <w:t>(a)</w:t>
      </w:r>
      <w:r w:rsidRPr="00A058B6">
        <w:tab/>
        <w:t>the operative time for the payment split;</w:t>
      </w:r>
    </w:p>
    <w:p w14:paraId="6F7177C9" w14:textId="77777777" w:rsidR="00D930D9" w:rsidRPr="00A058B6" w:rsidRDefault="00D930D9" w:rsidP="00D930D9">
      <w:pPr>
        <w:pStyle w:val="paragraph"/>
      </w:pPr>
      <w:r w:rsidRPr="00A058B6">
        <w:tab/>
        <w:t>(b)</w:t>
      </w:r>
      <w:r w:rsidRPr="00A058B6">
        <w:tab/>
        <w:t>if:</w:t>
      </w:r>
    </w:p>
    <w:p w14:paraId="6F0D48B0" w14:textId="7759B807" w:rsidR="00D930D9" w:rsidRPr="00A058B6" w:rsidRDefault="00D930D9" w:rsidP="00D930D9">
      <w:pPr>
        <w:pStyle w:val="paragraphsub"/>
      </w:pPr>
      <w:r w:rsidRPr="00A058B6">
        <w:tab/>
        <w:t>(i)</w:t>
      </w:r>
      <w:r w:rsidRPr="00A058B6">
        <w:tab/>
        <w:t xml:space="preserve">the payment split is under </w:t>
      </w:r>
      <w:r w:rsidR="00FE15C4">
        <w:t>subparagraph 9</w:t>
      </w:r>
      <w:r w:rsidRPr="00A058B6">
        <w:t xml:space="preserve">0XJ(1)(c)(i) or (ii) or 90YN(1)(c)(i) or (ii) of the Act, or under a splitting order made under </w:t>
      </w:r>
      <w:r w:rsidR="00FE15C4">
        <w:t>paragraph 9</w:t>
      </w:r>
      <w:r w:rsidRPr="00A058B6">
        <w:t>0XT(1)(a) or 90YY(1)(a) of the Act; and</w:t>
      </w:r>
    </w:p>
    <w:p w14:paraId="6BAA6CB7" w14:textId="77777777" w:rsidR="00D930D9" w:rsidRPr="00A058B6" w:rsidRDefault="00D930D9" w:rsidP="00D930D9">
      <w:pPr>
        <w:pStyle w:val="paragraphsub"/>
      </w:pPr>
      <w:r w:rsidRPr="00A058B6">
        <w:tab/>
        <w:t>(ii)</w:t>
      </w:r>
      <w:r w:rsidRPr="00A058B6">
        <w:tab/>
        <w:t>the interest was in the payment phase at the appropriate date;</w:t>
      </w:r>
    </w:p>
    <w:p w14:paraId="04198E2A" w14:textId="2DBED104" w:rsidR="00D930D9" w:rsidRPr="00A058B6" w:rsidRDefault="00D930D9" w:rsidP="00D930D9">
      <w:pPr>
        <w:pStyle w:val="paragraph"/>
      </w:pPr>
      <w:r w:rsidRPr="00A058B6">
        <w:tab/>
      </w:r>
      <w:r w:rsidRPr="00A058B6">
        <w:tab/>
        <w:t>the amount that, under subsection </w:t>
      </w:r>
      <w:r w:rsidR="00485CC2">
        <w:t>92</w:t>
      </w:r>
      <w:r w:rsidRPr="00A058B6">
        <w:t xml:space="preserve">(6) or </w:t>
      </w:r>
      <w:r w:rsidR="00485CC2">
        <w:t>96</w:t>
      </w:r>
      <w:r w:rsidRPr="00A058B6">
        <w:t>(3) of this instrument, a person is entitled to be paid from each splittable payment that becomes payable in respect of the interest;</w:t>
      </w:r>
    </w:p>
    <w:p w14:paraId="636F811A" w14:textId="409A1672" w:rsidR="00D930D9" w:rsidRPr="00A058B6" w:rsidRDefault="00D930D9" w:rsidP="00D930D9">
      <w:pPr>
        <w:pStyle w:val="paragraph"/>
      </w:pPr>
      <w:r w:rsidRPr="00A058B6">
        <w:tab/>
        <w:t>(c)</w:t>
      </w:r>
      <w:r w:rsidRPr="00A058B6">
        <w:tab/>
        <w:t xml:space="preserve">if the payment split is under </w:t>
      </w:r>
      <w:r w:rsidR="00FE15C4">
        <w:t>subparagraph 9</w:t>
      </w:r>
      <w:r w:rsidRPr="00A058B6">
        <w:t xml:space="preserve">0XJ(1)(c)(i) or 90YN(1)(c)(i) of the Act, or under a splitting order made under </w:t>
      </w:r>
      <w:r w:rsidR="00FE15C4">
        <w:t>paragraph 9</w:t>
      </w:r>
      <w:r w:rsidRPr="00A058B6">
        <w:t>0XT(1)(a) or 90YY(1)(a) of the Act, and the interest was in the growth phase at the appropriate date:</w:t>
      </w:r>
    </w:p>
    <w:p w14:paraId="47B8A3DA" w14:textId="77777777" w:rsidR="00D930D9" w:rsidRPr="00A058B6" w:rsidRDefault="00D930D9" w:rsidP="00D930D9">
      <w:pPr>
        <w:pStyle w:val="paragraphsub"/>
      </w:pPr>
      <w:r w:rsidRPr="00A058B6">
        <w:tab/>
        <w:t>(i)</w:t>
      </w:r>
      <w:r w:rsidRPr="00A058B6">
        <w:tab/>
        <w:t>the base amount specified in the relevant superannuation agreement or flag lifting agreement in relation to the interest; and</w:t>
      </w:r>
    </w:p>
    <w:p w14:paraId="1172C122" w14:textId="1916A301"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7A67EE25" w14:textId="4ACC523E" w:rsidR="00D930D9" w:rsidRPr="00A058B6" w:rsidRDefault="00D930D9" w:rsidP="00D930D9">
      <w:pPr>
        <w:pStyle w:val="paragraph"/>
      </w:pPr>
      <w:r w:rsidRPr="00A058B6">
        <w:tab/>
        <w:t>(d)</w:t>
      </w:r>
      <w:r w:rsidRPr="00A058B6">
        <w:tab/>
        <w:t xml:space="preserve">if the payment split is under </w:t>
      </w:r>
      <w:r w:rsidR="00FE15C4">
        <w:t>subparagraph 9</w:t>
      </w:r>
      <w:r w:rsidRPr="00A058B6">
        <w:t>0XJ(1)(c)(ii) or 90YN(1)(c)(ii) of the Act and the interest was in the growth phase at the appropriate date:</w:t>
      </w:r>
    </w:p>
    <w:p w14:paraId="0027F582" w14:textId="4906651C" w:rsidR="00D930D9" w:rsidRPr="00A058B6" w:rsidRDefault="00D930D9" w:rsidP="00D930D9">
      <w:pPr>
        <w:pStyle w:val="paragraphsub"/>
      </w:pPr>
      <w:r w:rsidRPr="00A058B6">
        <w:tab/>
        <w:t>(i)</w:t>
      </w:r>
      <w:r w:rsidRPr="00A058B6">
        <w:tab/>
        <w:t xml:space="preserve">the amount set out in the document served on the trustee under </w:t>
      </w:r>
      <w:r w:rsidR="00FE15C4">
        <w:t>paragraph 9</w:t>
      </w:r>
      <w:r w:rsidRPr="00A058B6">
        <w:t>0XI(1)(b) or 90YM(1)(b) of the Act; and</w:t>
      </w:r>
    </w:p>
    <w:p w14:paraId="18023DA4" w14:textId="6149CA50"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29038603" w14:textId="7DF56620" w:rsidR="00D930D9" w:rsidRPr="00A058B6" w:rsidRDefault="00D930D9" w:rsidP="00D930D9">
      <w:pPr>
        <w:pStyle w:val="paragraph"/>
      </w:pPr>
      <w:r w:rsidRPr="00A058B6">
        <w:tab/>
        <w:t>(e)</w:t>
      </w:r>
      <w:r w:rsidRPr="00A058B6">
        <w:tab/>
        <w:t xml:space="preserve">if the payment split is under </w:t>
      </w:r>
      <w:r w:rsidR="00FE15C4">
        <w:t>subparagraph 9</w:t>
      </w:r>
      <w:r w:rsidRPr="00A058B6">
        <w:t xml:space="preserve">0XJ(1)(c)(iii) or 90YN(1)(c)(iii) of the Act or under a splitting order made under </w:t>
      </w:r>
      <w:r w:rsidR="00FE15C4">
        <w:t>paragraph 9</w:t>
      </w:r>
      <w:r w:rsidRPr="00A058B6">
        <w:t>0XT(1)(b) or 90YY(1)(b) of the Act—the specified percentage that is to apply to any splittable payment that becomes payable in respect of the interest</w:t>
      </w:r>
      <w:r w:rsidR="00D7157D">
        <w:t>.</w:t>
      </w:r>
    </w:p>
    <w:p w14:paraId="0738E33D" w14:textId="39498237" w:rsidR="00D930D9" w:rsidRPr="00A058B6" w:rsidRDefault="00D930D9" w:rsidP="00D930D9">
      <w:pPr>
        <w:pStyle w:val="notetext"/>
      </w:pPr>
      <w:r>
        <w:t>Note:</w:t>
      </w:r>
      <w:r>
        <w:tab/>
      </w:r>
      <w:r w:rsidR="00B05FD6">
        <w:t>Subparagraphs (</w:t>
      </w:r>
      <w:r>
        <w:t>c)(ii) and (d)(ii) are referring to the person who is the non</w:t>
      </w:r>
      <w:r w:rsidR="001952B3">
        <w:noBreakHyphen/>
      </w:r>
      <w:r>
        <w:t>member spouse for the purposes of the payment split</w:t>
      </w:r>
      <w:r w:rsidR="00D7157D">
        <w:t>.</w:t>
      </w:r>
    </w:p>
    <w:p w14:paraId="2C723F0D" w14:textId="0C65622B" w:rsidR="00D930D9" w:rsidRPr="00A058B6" w:rsidRDefault="00485CC2" w:rsidP="00D930D9">
      <w:pPr>
        <w:pStyle w:val="ActHead5"/>
      </w:pPr>
      <w:bookmarkStart w:id="191" w:name="_Toc188350671"/>
      <w:r w:rsidRPr="00423C34">
        <w:rPr>
          <w:rStyle w:val="CharSectno"/>
        </w:rPr>
        <w:t>131</w:t>
      </w:r>
      <w:r w:rsidR="00D930D9" w:rsidRPr="00A058B6">
        <w:t xml:space="preserve">  Exceptions and other kinds of required information</w:t>
      </w:r>
      <w:bookmarkEnd w:id="191"/>
    </w:p>
    <w:p w14:paraId="35E9AFCA" w14:textId="3B3BEDBC" w:rsidR="00D930D9" w:rsidRPr="00A058B6" w:rsidRDefault="00D930D9" w:rsidP="00D930D9">
      <w:pPr>
        <w:pStyle w:val="subsection"/>
      </w:pPr>
      <w:r w:rsidRPr="00A058B6">
        <w:tab/>
        <w:t>(1)</w:t>
      </w:r>
      <w:r w:rsidRPr="00A058B6">
        <w:tab/>
        <w:t xml:space="preserve">The trustee is not required to provide information in response to an application referred to in </w:t>
      </w:r>
      <w:r w:rsidR="00CB78B9">
        <w:t>section 1</w:t>
      </w:r>
      <w:r w:rsidR="00485CC2">
        <w:t>27</w:t>
      </w:r>
      <w:r w:rsidRPr="00A058B6">
        <w:t xml:space="preserve"> in any of the following circumstances:</w:t>
      </w:r>
    </w:p>
    <w:p w14:paraId="61099898" w14:textId="083D2DC7" w:rsidR="00D930D9" w:rsidRPr="00A058B6" w:rsidRDefault="00D930D9" w:rsidP="00D930D9">
      <w:pPr>
        <w:pStyle w:val="paragraph"/>
      </w:pPr>
      <w:r w:rsidRPr="00A058B6">
        <w:tab/>
        <w:t>(a)</w:t>
      </w:r>
      <w:r w:rsidRPr="00A058B6">
        <w:tab/>
        <w:t xml:space="preserve">if the application for information specifically requests the trustee to provide the information mentioned in </w:t>
      </w:r>
      <w:r w:rsidR="00CB78B9">
        <w:t>paragraph 1</w:t>
      </w:r>
      <w:r w:rsidR="00485CC2">
        <w:t>27</w:t>
      </w:r>
      <w:r w:rsidRPr="00A058B6">
        <w:t>(1)(</w:t>
      </w:r>
      <w:r w:rsidR="00A72477">
        <w:t>h</w:t>
      </w:r>
      <w:r w:rsidRPr="00A058B6">
        <w:t xml:space="preserve">) to the applicant—the trustee is not required to provide any other information mentioned in this </w:t>
      </w:r>
      <w:r>
        <w:t>Subdivision</w:t>
      </w:r>
      <w:r w:rsidRPr="00A058B6">
        <w:t xml:space="preserve"> to the applicant;</w:t>
      </w:r>
    </w:p>
    <w:p w14:paraId="482FF29C" w14:textId="7D06AF78" w:rsidR="00D930D9" w:rsidRPr="00A058B6" w:rsidRDefault="00D930D9" w:rsidP="00D930D9">
      <w:pPr>
        <w:pStyle w:val="paragraph"/>
      </w:pPr>
      <w:r w:rsidRPr="00A058B6">
        <w:tab/>
        <w:t>(</w:t>
      </w:r>
      <w:r w:rsidR="00DE17C1">
        <w:t>b</w:t>
      </w:r>
      <w:r w:rsidRPr="00A058B6">
        <w:t>)</w:t>
      </w:r>
      <w:r w:rsidRPr="00A058B6">
        <w:tab/>
        <w:t xml:space="preserve">the trustee is not required to provide the information mentioned in </w:t>
      </w:r>
      <w:r w:rsidR="00CB78B9">
        <w:t>paragraph 1</w:t>
      </w:r>
      <w:r w:rsidR="00485CC2">
        <w:t>29</w:t>
      </w:r>
      <w:r w:rsidR="00B17BB3">
        <w:t>(1)</w:t>
      </w:r>
      <w:r w:rsidRPr="00A058B6">
        <w:t>(</w:t>
      </w:r>
      <w:r w:rsidR="00A52C6F">
        <w:t>d</w:t>
      </w:r>
      <w:r w:rsidRPr="00A058B6">
        <w:t>) to the applicant unless a record of that information is in the trustee’s possession, power or control</w:t>
      </w:r>
      <w:r w:rsidR="00D7157D">
        <w:t>.</w:t>
      </w:r>
    </w:p>
    <w:p w14:paraId="727B1A05" w14:textId="59349FA4" w:rsidR="00D930D9" w:rsidRPr="00A058B6" w:rsidRDefault="00D930D9" w:rsidP="00D930D9">
      <w:pPr>
        <w:pStyle w:val="subsection"/>
      </w:pPr>
      <w:r w:rsidRPr="00A058B6">
        <w:tab/>
        <w:t>(2)</w:t>
      </w:r>
      <w:r w:rsidRPr="00A058B6">
        <w:tab/>
        <w:t xml:space="preserve">If, under </w:t>
      </w:r>
      <w:r w:rsidR="00CB78B9">
        <w:t>section 6</w:t>
      </w:r>
      <w:r w:rsidR="00485CC2">
        <w:t>2</w:t>
      </w:r>
      <w:r w:rsidRPr="00A058B6">
        <w:t>, the Minister has approved a method or factors to be used to determine the gross value of the superannuation interest</w:t>
      </w:r>
      <w:r w:rsidR="008222E7">
        <w:t>,</w:t>
      </w:r>
      <w:r w:rsidR="0046491D">
        <w:t xml:space="preserve"> </w:t>
      </w:r>
      <w:r w:rsidRPr="00A058B6">
        <w:t xml:space="preserve">the Minister may, by legislative instrument, </w:t>
      </w:r>
      <w:r w:rsidRPr="00A058B6">
        <w:rPr>
          <w:color w:val="000000"/>
        </w:rPr>
        <w:t>determine either or both of the following:</w:t>
      </w:r>
    </w:p>
    <w:p w14:paraId="77A2195D" w14:textId="22E07385" w:rsidR="00D930D9" w:rsidRPr="00A058B6" w:rsidRDefault="00D930D9" w:rsidP="00D930D9">
      <w:pPr>
        <w:pStyle w:val="paragraph"/>
      </w:pPr>
      <w:r w:rsidRPr="00A058B6">
        <w:tab/>
        <w:t>(a)</w:t>
      </w:r>
      <w:r w:rsidRPr="00A058B6">
        <w:tab/>
        <w:t xml:space="preserve">that the trustee is not required to provide one or more specified kinds of information mentioned in </w:t>
      </w:r>
      <w:r w:rsidR="00CB78B9">
        <w:t>section 1</w:t>
      </w:r>
      <w:r w:rsidR="00485CC2">
        <w:t>29</w:t>
      </w:r>
      <w:r w:rsidRPr="00A058B6">
        <w:t xml:space="preserve"> about the interest;</w:t>
      </w:r>
    </w:p>
    <w:p w14:paraId="20B40630" w14:textId="4FA88D78" w:rsidR="00D930D9" w:rsidRPr="00A058B6" w:rsidRDefault="00D930D9" w:rsidP="00D930D9">
      <w:pPr>
        <w:pStyle w:val="paragraph"/>
      </w:pPr>
      <w:r w:rsidRPr="00A058B6">
        <w:tab/>
        <w:t>(b)</w:t>
      </w:r>
      <w:r w:rsidRPr="00A058B6">
        <w:tab/>
        <w:t xml:space="preserve">that the trustee must provide </w:t>
      </w:r>
      <w:r w:rsidR="008222E7">
        <w:t xml:space="preserve">one or more </w:t>
      </w:r>
      <w:r w:rsidRPr="00A058B6">
        <w:t>other specified kinds of information about the interest</w:t>
      </w:r>
      <w:r w:rsidR="00D7157D">
        <w:t>.</w:t>
      </w:r>
    </w:p>
    <w:p w14:paraId="355E2D97" w14:textId="5EBCF7CC" w:rsidR="00D930D9" w:rsidRPr="00A058B6" w:rsidRDefault="00D930D9" w:rsidP="00D930D9">
      <w:pPr>
        <w:pStyle w:val="subsection"/>
      </w:pPr>
      <w:r w:rsidRPr="00A058B6">
        <w:rPr>
          <w:color w:val="000000"/>
        </w:rPr>
        <w:tab/>
        <w:t>(3)</w:t>
      </w:r>
      <w:r w:rsidRPr="00A058B6">
        <w:rPr>
          <w:color w:val="000000"/>
        </w:rPr>
        <w:tab/>
        <w:t xml:space="preserve">If, under </w:t>
      </w:r>
      <w:r w:rsidR="00CB78B9">
        <w:rPr>
          <w:color w:val="000000"/>
        </w:rPr>
        <w:t>section 7</w:t>
      </w:r>
      <w:r w:rsidR="00485CC2">
        <w:rPr>
          <w:color w:val="000000"/>
        </w:rPr>
        <w:t>0</w:t>
      </w:r>
      <w:r w:rsidRPr="00A058B6">
        <w:rPr>
          <w:color w:val="000000"/>
        </w:rPr>
        <w:t>, the Minister has approved a method or factors to be used to determine the gross value of the superannuation interest, the Minister may, by legislative instrument, determine either or both of the following:</w:t>
      </w:r>
    </w:p>
    <w:p w14:paraId="7907BEA3" w14:textId="3299DF15" w:rsidR="00D930D9" w:rsidRPr="00A058B6" w:rsidRDefault="00D930D9" w:rsidP="00D930D9">
      <w:pPr>
        <w:pStyle w:val="paragraph"/>
      </w:pPr>
      <w:r w:rsidRPr="00A058B6">
        <w:tab/>
        <w:t>(a)</w:t>
      </w:r>
      <w:r w:rsidRPr="00A058B6">
        <w:tab/>
        <w:t xml:space="preserve">that the trustee is not required to provide one or more specified kinds of information mentioned in </w:t>
      </w:r>
      <w:r w:rsidR="00CB78B9">
        <w:t>section 1</w:t>
      </w:r>
      <w:r w:rsidR="00485CC2">
        <w:t>27</w:t>
      </w:r>
      <w:r w:rsidRPr="00A058B6">
        <w:t xml:space="preserve"> or </w:t>
      </w:r>
      <w:r w:rsidR="00485CC2">
        <w:t>128</w:t>
      </w:r>
      <w:r w:rsidRPr="00A058B6">
        <w:t xml:space="preserve"> about the interest;</w:t>
      </w:r>
    </w:p>
    <w:p w14:paraId="392969AD" w14:textId="77777777" w:rsidR="00D930D9" w:rsidRPr="00A058B6" w:rsidRDefault="00D930D9" w:rsidP="00D930D9">
      <w:pPr>
        <w:pStyle w:val="paragraph"/>
      </w:pPr>
      <w:r w:rsidRPr="00A058B6">
        <w:tab/>
        <w:t>(b)</w:t>
      </w:r>
      <w:r w:rsidRPr="00A058B6">
        <w:tab/>
        <w:t>that the trustee must provide one or more other specified kinds of information about the interest</w:t>
      </w:r>
      <w:r w:rsidR="00D7157D">
        <w:t>.</w:t>
      </w:r>
    </w:p>
    <w:p w14:paraId="04C7F26F" w14:textId="77777777" w:rsidR="00D930D9" w:rsidRPr="00A058B6" w:rsidRDefault="00D930D9" w:rsidP="00D930D9">
      <w:pPr>
        <w:pStyle w:val="ActHead4"/>
      </w:pPr>
      <w:bookmarkStart w:id="192" w:name="_Toc188350672"/>
      <w:r w:rsidRPr="00423C34">
        <w:rPr>
          <w:rStyle w:val="CharSubdNo"/>
        </w:rPr>
        <w:t xml:space="preserve">Subdivision </w:t>
      </w:r>
      <w:r w:rsidR="0037051F" w:rsidRPr="00423C34">
        <w:rPr>
          <w:rStyle w:val="CharSubdNo"/>
        </w:rPr>
        <w:t>E</w:t>
      </w:r>
      <w:r w:rsidRPr="00A058B6">
        <w:t>—</w:t>
      </w:r>
      <w:r w:rsidRPr="00423C34">
        <w:rPr>
          <w:rStyle w:val="CharSubdText"/>
        </w:rPr>
        <w:t>Information about interests in self managed superannuation funds</w:t>
      </w:r>
      <w:bookmarkEnd w:id="192"/>
    </w:p>
    <w:p w14:paraId="3CDEC439" w14:textId="6449845A" w:rsidR="00D930D9" w:rsidRPr="00A058B6" w:rsidRDefault="00485CC2" w:rsidP="00D930D9">
      <w:pPr>
        <w:pStyle w:val="ActHead5"/>
      </w:pPr>
      <w:bookmarkStart w:id="193" w:name="_Toc188350673"/>
      <w:r w:rsidRPr="00423C34">
        <w:rPr>
          <w:rStyle w:val="CharSectno"/>
        </w:rPr>
        <w:t>132</w:t>
      </w:r>
      <w:r w:rsidR="00D930D9" w:rsidRPr="00A058B6">
        <w:t xml:space="preserve">  Interests in self managed superannuation funds to which this Subdivision applies</w:t>
      </w:r>
      <w:bookmarkEnd w:id="193"/>
    </w:p>
    <w:p w14:paraId="491A8849" w14:textId="77777777" w:rsidR="00D930D9" w:rsidRPr="00A058B6" w:rsidRDefault="00D930D9" w:rsidP="00D930D9">
      <w:pPr>
        <w:pStyle w:val="subsection"/>
      </w:pPr>
      <w:r w:rsidRPr="00A058B6">
        <w:tab/>
      </w:r>
      <w:r w:rsidRPr="00A058B6">
        <w:tab/>
        <w:t>This Subdivision applies for a superannuation interest of a member of an eligible superannuation plan if:</w:t>
      </w:r>
    </w:p>
    <w:p w14:paraId="19EB4099" w14:textId="77777777" w:rsidR="00D930D9" w:rsidRPr="00A058B6" w:rsidRDefault="00D930D9" w:rsidP="00D930D9">
      <w:pPr>
        <w:pStyle w:val="paragraph"/>
      </w:pPr>
      <w:r w:rsidRPr="00A058B6">
        <w:tab/>
        <w:t>(a)</w:t>
      </w:r>
      <w:r w:rsidRPr="00A058B6">
        <w:tab/>
        <w:t>the plan is a self managed superannuation fund; and</w:t>
      </w:r>
    </w:p>
    <w:p w14:paraId="7119EC85" w14:textId="77777777" w:rsidR="00D930D9" w:rsidRPr="00A058B6" w:rsidRDefault="00D930D9" w:rsidP="00D930D9">
      <w:pPr>
        <w:pStyle w:val="paragraph"/>
      </w:pPr>
      <w:r w:rsidRPr="00A058B6">
        <w:tab/>
        <w:t>(b)</w:t>
      </w:r>
      <w:r w:rsidRPr="00A058B6">
        <w:tab/>
        <w:t xml:space="preserve">Subdivision </w:t>
      </w:r>
      <w:r w:rsidR="00AF1E2C">
        <w:t>G</w:t>
      </w:r>
      <w:r w:rsidRPr="00A058B6">
        <w:t xml:space="preserve"> does not apply for the superannuation interest</w:t>
      </w:r>
      <w:r w:rsidR="00D7157D">
        <w:t>.</w:t>
      </w:r>
    </w:p>
    <w:p w14:paraId="5B949DFF" w14:textId="669AA2C8" w:rsidR="00D930D9" w:rsidRPr="00A058B6" w:rsidRDefault="00485CC2" w:rsidP="00D930D9">
      <w:pPr>
        <w:pStyle w:val="ActHead5"/>
      </w:pPr>
      <w:bookmarkStart w:id="194" w:name="_Toc188350674"/>
      <w:r w:rsidRPr="00423C34">
        <w:rPr>
          <w:rStyle w:val="CharSectno"/>
        </w:rPr>
        <w:t>133</w:t>
      </w:r>
      <w:r w:rsidR="00D930D9" w:rsidRPr="00A058B6">
        <w:t xml:space="preserve">  Information the trustee must provide—overview</w:t>
      </w:r>
      <w:bookmarkEnd w:id="194"/>
    </w:p>
    <w:p w14:paraId="6F7E27C9" w14:textId="7299720E"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 the information about the superannuation interest that must be provided by the trustee of the plan in response to an application referred to in that subsection is as follows:</w:t>
      </w:r>
    </w:p>
    <w:p w14:paraId="55C9364A" w14:textId="77777777" w:rsidR="00D930D9" w:rsidRPr="00A058B6" w:rsidRDefault="0007416A" w:rsidP="00D930D9">
      <w:pPr>
        <w:pStyle w:val="paragraph"/>
      </w:pPr>
      <w:r>
        <w:tab/>
        <w:t>(a)</w:t>
      </w:r>
      <w:r>
        <w:tab/>
      </w:r>
      <w:r w:rsidR="00D930D9" w:rsidRPr="00A058B6">
        <w:t>if the interest is an unsplittable interest, a statement to that effect;</w:t>
      </w:r>
    </w:p>
    <w:p w14:paraId="2334A0DB" w14:textId="77777777" w:rsidR="00D930D9" w:rsidRPr="00A058B6" w:rsidRDefault="0007416A" w:rsidP="00D930D9">
      <w:pPr>
        <w:pStyle w:val="paragraph"/>
      </w:pPr>
      <w:r>
        <w:tab/>
        <w:t>(b)</w:t>
      </w:r>
      <w:r>
        <w:tab/>
      </w:r>
      <w:r w:rsidR="00D930D9" w:rsidRPr="00A058B6">
        <w:t>a statement indicating whether the interest is subject to a payment split or payment flag;</w:t>
      </w:r>
    </w:p>
    <w:p w14:paraId="350BC195" w14:textId="509D5AB6" w:rsidR="00D930D9" w:rsidRPr="00A058B6" w:rsidRDefault="0007416A" w:rsidP="00D930D9">
      <w:pPr>
        <w:pStyle w:val="paragraph"/>
      </w:pPr>
      <w:r>
        <w:tab/>
        <w:t>(c)</w:t>
      </w:r>
      <w:r>
        <w:tab/>
      </w:r>
      <w:r w:rsidR="00D930D9" w:rsidRPr="00A058B6">
        <w:t xml:space="preserve">if the interest is subject to a payment split </w:t>
      </w:r>
      <w:r w:rsidR="00D930D9" w:rsidRPr="00A058B6">
        <w:rPr>
          <w:snapToGrid w:val="0"/>
        </w:rPr>
        <w:t>(other than under a superannuation agreement, flag lifting agreement or splitting order in relation to which the non</w:t>
      </w:r>
      <w:r w:rsidR="001952B3">
        <w:rPr>
          <w:snapToGrid w:val="0"/>
        </w:rPr>
        <w:noBreakHyphen/>
      </w:r>
      <w:r w:rsidR="00D930D9" w:rsidRPr="00A058B6">
        <w:rPr>
          <w:snapToGrid w:val="0"/>
        </w:rPr>
        <w:t xml:space="preserve">member spouse’s entitlement has been satisfied as required by </w:t>
      </w:r>
      <w:r w:rsidR="00453C86">
        <w:rPr>
          <w:snapToGrid w:val="0"/>
        </w:rPr>
        <w:t>Division 2</w:t>
      </w:r>
      <w:r w:rsidR="00D930D9" w:rsidRPr="00A058B6">
        <w:rPr>
          <w:snapToGrid w:val="0"/>
        </w:rPr>
        <w:t xml:space="preserve"> of </w:t>
      </w:r>
      <w:r w:rsidR="006211C7">
        <w:rPr>
          <w:snapToGrid w:val="0"/>
        </w:rPr>
        <w:t>Part </w:t>
      </w:r>
      <w:r w:rsidR="009F5A3D">
        <w:rPr>
          <w:snapToGrid w:val="0"/>
        </w:rPr>
        <w:t>3</w:t>
      </w:r>
      <w:r w:rsidR="00D930D9" w:rsidRPr="00A058B6">
        <w:rPr>
          <w:snapToGrid w:val="0"/>
        </w:rPr>
        <w:t>)—</w:t>
      </w:r>
      <w:r w:rsidR="00D930D9" w:rsidRPr="00A058B6">
        <w:t xml:space="preserve">the information mentioned in </w:t>
      </w:r>
      <w:r w:rsidR="00CB78B9">
        <w:t>section 1</w:t>
      </w:r>
      <w:r w:rsidR="00485CC2">
        <w:t>35</w:t>
      </w:r>
      <w:r w:rsidR="00D930D9" w:rsidRPr="00A058B6">
        <w:t>;</w:t>
      </w:r>
    </w:p>
    <w:p w14:paraId="1F0E4AAC" w14:textId="77777777" w:rsidR="00D930D9" w:rsidRPr="00A058B6" w:rsidRDefault="0007416A" w:rsidP="00D930D9">
      <w:pPr>
        <w:pStyle w:val="paragraph"/>
      </w:pPr>
      <w:r>
        <w:tab/>
        <w:t>(d)</w:t>
      </w:r>
      <w:r>
        <w:tab/>
      </w:r>
      <w:r w:rsidR="00D930D9" w:rsidRPr="00A058B6">
        <w:t xml:space="preserve">the date of commencement of the member’s service period (within the meaning of the </w:t>
      </w:r>
      <w:r w:rsidR="00D930D9" w:rsidRPr="00A058B6">
        <w:rPr>
          <w:i/>
        </w:rPr>
        <w:t>Income Tax Assessment Act 1997</w:t>
      </w:r>
      <w:r w:rsidR="00D930D9" w:rsidRPr="00A058B6">
        <w:t>), if any;</w:t>
      </w:r>
    </w:p>
    <w:p w14:paraId="02535E49" w14:textId="77777777" w:rsidR="000666FF" w:rsidRPr="00A058B6" w:rsidRDefault="000666FF" w:rsidP="000666FF">
      <w:pPr>
        <w:pStyle w:val="paragraph"/>
      </w:pPr>
      <w:r>
        <w:tab/>
        <w:t>(e)</w:t>
      </w:r>
      <w:r>
        <w:tab/>
      </w:r>
      <w:r w:rsidRPr="00A058B6">
        <w:t>the date when the member first became a member of the plan;</w:t>
      </w:r>
    </w:p>
    <w:p w14:paraId="5354DA07" w14:textId="544ADB5A" w:rsidR="00D930D9" w:rsidRPr="00A058B6" w:rsidRDefault="0007416A" w:rsidP="00D930D9">
      <w:pPr>
        <w:pStyle w:val="paragraph"/>
      </w:pPr>
      <w:r>
        <w:tab/>
        <w:t>(f)</w:t>
      </w:r>
      <w:r>
        <w:tab/>
      </w:r>
      <w:r w:rsidR="00D930D9" w:rsidRPr="00A058B6">
        <w:t xml:space="preserve">if the interest was in the payment phase at the appropriate date and the member is receiving ongoing pension payments—the payment phase information mentioned in </w:t>
      </w:r>
      <w:r w:rsidR="00CB78B9">
        <w:t>section 1</w:t>
      </w:r>
      <w:r w:rsidR="00485CC2">
        <w:t>34</w:t>
      </w:r>
      <w:r w:rsidR="00D930D9" w:rsidRPr="00A058B6">
        <w:t xml:space="preserve"> for the interest;</w:t>
      </w:r>
    </w:p>
    <w:p w14:paraId="793D31A2" w14:textId="5C1D44D9" w:rsidR="00D930D9" w:rsidRPr="00A058B6" w:rsidRDefault="0007416A" w:rsidP="00D930D9">
      <w:pPr>
        <w:pStyle w:val="paragraph"/>
      </w:pPr>
      <w:r>
        <w:tab/>
        <w:t>(g)</w:t>
      </w:r>
      <w:r>
        <w:tab/>
      </w:r>
      <w:r w:rsidR="00D930D9" w:rsidRPr="00A058B6">
        <w:t xml:space="preserve">if the interest was in the growth phase at the appropriate date and the trustee has given information, under </w:t>
      </w:r>
      <w:r w:rsidR="00453C86">
        <w:t>Division 2</w:t>
      </w:r>
      <w:r w:rsidR="00D7157D">
        <w:t>.</w:t>
      </w:r>
      <w:r w:rsidR="00D930D9" w:rsidRPr="00A058B6">
        <w:t>5 of the SIS Regulations, to each member of the plan that the plan is to be reconstructed or terminated—a statement to this effect;</w:t>
      </w:r>
    </w:p>
    <w:p w14:paraId="3BA604B2" w14:textId="77777777" w:rsidR="00D930D9" w:rsidRPr="00A058B6" w:rsidRDefault="0007416A" w:rsidP="00D930D9">
      <w:pPr>
        <w:pStyle w:val="paragraph"/>
      </w:pPr>
      <w:r>
        <w:tab/>
        <w:t>(h)</w:t>
      </w:r>
      <w:r>
        <w:tab/>
      </w:r>
      <w:r w:rsidR="00D930D9" w:rsidRPr="00A058B6">
        <w:t>if the application for information specifically requests the trustee to provide information about the withdrawal benefit for the member—the withdrawal benefit for the member at the date when the information is provided;</w:t>
      </w:r>
    </w:p>
    <w:p w14:paraId="6B0EE96B" w14:textId="77777777" w:rsidR="00D930D9" w:rsidRPr="00A058B6" w:rsidRDefault="0007416A" w:rsidP="00D930D9">
      <w:pPr>
        <w:pStyle w:val="paragraph"/>
      </w:pPr>
      <w:r>
        <w:tab/>
        <w:t>(i)</w:t>
      </w:r>
      <w:r>
        <w:tab/>
      </w:r>
      <w:r w:rsidR="00D930D9" w:rsidRPr="00A058B6">
        <w:t>if requested by the applicant—a copy of the governing rules of the plan;</w:t>
      </w:r>
    </w:p>
    <w:p w14:paraId="361D9606" w14:textId="4D9230E4" w:rsidR="00D930D9" w:rsidRPr="00A058B6" w:rsidRDefault="0007416A" w:rsidP="00D930D9">
      <w:pPr>
        <w:pStyle w:val="paragraph"/>
      </w:pPr>
      <w:r>
        <w:tab/>
        <w:t>(j)</w:t>
      </w:r>
      <w:r>
        <w:tab/>
      </w:r>
      <w:r w:rsidR="00D930D9" w:rsidRPr="00A058B6">
        <w:t>details of any fees that may be charged by the trustee under paragraph </w:t>
      </w:r>
      <w:r w:rsidR="00485CC2">
        <w:t>98</w:t>
      </w:r>
      <w:r w:rsidR="00D930D9" w:rsidRPr="00A058B6">
        <w:t>(1)(a), (b), (c), (d) or (f)</w:t>
      </w:r>
      <w:r w:rsidR="00E6102C">
        <w:t>;</w:t>
      </w:r>
    </w:p>
    <w:p w14:paraId="28112A3D" w14:textId="77777777" w:rsidR="00E6102C" w:rsidRPr="00A058B6" w:rsidRDefault="00E6102C" w:rsidP="00E6102C">
      <w:pPr>
        <w:pStyle w:val="paragraph"/>
      </w:pPr>
      <w:r>
        <w:tab/>
        <w:t>(k)</w:t>
      </w:r>
      <w:r>
        <w:tab/>
        <w:t>if known, the member’s date of birth.</w:t>
      </w:r>
    </w:p>
    <w:p w14:paraId="358E39A2" w14:textId="373B844B" w:rsidR="00D930D9" w:rsidRPr="00A058B6" w:rsidRDefault="00D930D9" w:rsidP="00D930D9">
      <w:pPr>
        <w:pStyle w:val="subsection"/>
      </w:pPr>
      <w:r w:rsidRPr="00A058B6">
        <w:tab/>
        <w:t>(2)</w:t>
      </w:r>
      <w:r w:rsidRPr="00A058B6">
        <w:tab/>
        <w:t xml:space="preserve">Subsection (1) has effect subject to </w:t>
      </w:r>
      <w:r w:rsidR="00CB78B9">
        <w:t>section 1</w:t>
      </w:r>
      <w:r w:rsidR="00485CC2">
        <w:t>36</w:t>
      </w:r>
      <w:r w:rsidRPr="00A058B6">
        <w:t xml:space="preserve"> (about exceptions)</w:t>
      </w:r>
      <w:r w:rsidR="00D7157D">
        <w:t>.</w:t>
      </w:r>
    </w:p>
    <w:p w14:paraId="2C45BCAB" w14:textId="39E750DC" w:rsidR="00D930D9" w:rsidRPr="00A058B6" w:rsidRDefault="00D930D9" w:rsidP="00D930D9">
      <w:pPr>
        <w:pStyle w:val="notetext"/>
      </w:pPr>
      <w:r w:rsidRPr="00A058B6">
        <w:t>Note:</w:t>
      </w:r>
      <w:r w:rsidRPr="00A058B6">
        <w:tab/>
        <w:t xml:space="preserve">If an application for information specifically requests the information mentioned in </w:t>
      </w:r>
      <w:r w:rsidR="00453C86">
        <w:t>paragraph (</w:t>
      </w:r>
      <w:r w:rsidRPr="00A058B6">
        <w:t>1)(</w:t>
      </w:r>
      <w:r w:rsidR="0007416A">
        <w:t>h</w:t>
      </w:r>
      <w:r w:rsidRPr="00A058B6">
        <w:t xml:space="preserve">) to be provided, the trustee is not required to provide any other information to the applicant under this Subdivision (see </w:t>
      </w:r>
      <w:r w:rsidR="00CB78B9">
        <w:t>paragraph 1</w:t>
      </w:r>
      <w:r w:rsidR="00485CC2">
        <w:t>36</w:t>
      </w:r>
      <w:r w:rsidRPr="00A058B6">
        <w:t>(a))</w:t>
      </w:r>
      <w:r w:rsidR="00D7157D">
        <w:t>.</w:t>
      </w:r>
    </w:p>
    <w:p w14:paraId="2B9DDA5E" w14:textId="5844E054" w:rsidR="00D930D9" w:rsidRPr="00A058B6" w:rsidRDefault="00485CC2" w:rsidP="00D930D9">
      <w:pPr>
        <w:pStyle w:val="ActHead5"/>
      </w:pPr>
      <w:bookmarkStart w:id="195" w:name="_Toc188350675"/>
      <w:r w:rsidRPr="00423C34">
        <w:rPr>
          <w:rStyle w:val="CharSectno"/>
        </w:rPr>
        <w:t>134</w:t>
      </w:r>
      <w:r w:rsidR="00D930D9" w:rsidRPr="00A058B6">
        <w:t xml:space="preserve">  Specific information—the interest is in the payment phase and the member is receiving ongoing pension payments</w:t>
      </w:r>
      <w:bookmarkEnd w:id="195"/>
    </w:p>
    <w:p w14:paraId="61CF0C55" w14:textId="32130394" w:rsidR="00D930D9" w:rsidRPr="00A058B6" w:rsidRDefault="00D930D9" w:rsidP="00D930D9">
      <w:pPr>
        <w:pStyle w:val="subsection"/>
      </w:pPr>
      <w:r w:rsidRPr="00A058B6">
        <w:tab/>
      </w:r>
      <w:r w:rsidRPr="00A058B6">
        <w:tab/>
        <w:t xml:space="preserve">For the purposes of </w:t>
      </w:r>
      <w:r w:rsidR="00CB78B9">
        <w:t>paragraph 1</w:t>
      </w:r>
      <w:r w:rsidR="00485CC2">
        <w:t>33</w:t>
      </w:r>
      <w:r w:rsidRPr="00A058B6">
        <w:t>(1)(</w:t>
      </w:r>
      <w:r w:rsidR="0007416A">
        <w:t>f</w:t>
      </w:r>
      <w:r w:rsidRPr="00A058B6">
        <w:t>), the payment phase information for the superannuation interest is:</w:t>
      </w:r>
    </w:p>
    <w:p w14:paraId="5F18FDF5" w14:textId="77777777" w:rsidR="00D930D9" w:rsidRPr="00A058B6" w:rsidRDefault="004D098A" w:rsidP="00D930D9">
      <w:pPr>
        <w:pStyle w:val="paragraph"/>
      </w:pPr>
      <w:r>
        <w:tab/>
        <w:t>(a)</w:t>
      </w:r>
      <w:r>
        <w:tab/>
      </w:r>
      <w:r w:rsidR="00D930D9" w:rsidRPr="00A058B6">
        <w:t>if the ongoing pension payments in respect of the interest are in respect of an allocated pension—the withdrawal benefit for the member at the appropriate date; and</w:t>
      </w:r>
    </w:p>
    <w:p w14:paraId="5CD37B1E" w14:textId="77777777" w:rsidR="00D930D9" w:rsidRPr="00A058B6" w:rsidRDefault="004D098A" w:rsidP="00D930D9">
      <w:pPr>
        <w:pStyle w:val="paragraph"/>
        <w:rPr>
          <w:color w:val="000000"/>
        </w:rPr>
      </w:pPr>
      <w:r>
        <w:rPr>
          <w:color w:val="000000"/>
        </w:rPr>
        <w:tab/>
        <w:t>(b)</w:t>
      </w:r>
      <w:r>
        <w:rPr>
          <w:color w:val="000000"/>
        </w:rPr>
        <w:tab/>
      </w:r>
      <w:r w:rsidR="00D930D9" w:rsidRPr="00A058B6">
        <w:rPr>
          <w:color w:val="000000"/>
        </w:rPr>
        <w:t>if the ongoing pension payments are in respect of a market linked pension—the market linked pension account balance at the appropriate date; and</w:t>
      </w:r>
    </w:p>
    <w:p w14:paraId="382702F1" w14:textId="77777777" w:rsidR="00D930D9" w:rsidRPr="00A058B6" w:rsidRDefault="004D098A" w:rsidP="00D930D9">
      <w:pPr>
        <w:pStyle w:val="paragraph"/>
      </w:pPr>
      <w:r>
        <w:tab/>
        <w:t>(c)</w:t>
      </w:r>
      <w:r>
        <w:tab/>
      </w:r>
      <w:r w:rsidR="00D930D9" w:rsidRPr="00A058B6">
        <w:t>in any other case:</w:t>
      </w:r>
    </w:p>
    <w:p w14:paraId="4BA8B79C" w14:textId="77777777" w:rsidR="00D930D9" w:rsidRPr="00A058B6" w:rsidRDefault="00D930D9" w:rsidP="00D930D9">
      <w:pPr>
        <w:pStyle w:val="paragraphsub"/>
      </w:pPr>
      <w:r w:rsidRPr="00A058B6">
        <w:tab/>
        <w:t>(i)</w:t>
      </w:r>
      <w:r w:rsidRPr="00A058B6">
        <w:tab/>
        <w:t>the amount of annual pension benefit payable to the member at the appropriate date; and</w:t>
      </w:r>
    </w:p>
    <w:p w14:paraId="2298B045" w14:textId="0AF4CED3" w:rsidR="00D930D9" w:rsidRPr="00A058B6" w:rsidRDefault="00D930D9" w:rsidP="00D930D9">
      <w:pPr>
        <w:pStyle w:val="paragraphsub"/>
      </w:pPr>
      <w:r w:rsidRPr="00A058B6">
        <w:tab/>
        <w:t>(ii)</w:t>
      </w:r>
      <w:r w:rsidRPr="00A058B6">
        <w:tab/>
        <w:t>a statement indicating whether the pension benefit is a lifetime pension or a fixed</w:t>
      </w:r>
      <w:r w:rsidR="001952B3">
        <w:noBreakHyphen/>
      </w:r>
      <w:r w:rsidRPr="00A058B6">
        <w:t>term pension; and</w:t>
      </w:r>
    </w:p>
    <w:p w14:paraId="56AEFD50" w14:textId="18555822" w:rsidR="00D930D9" w:rsidRPr="00A058B6" w:rsidRDefault="00D930D9" w:rsidP="00D930D9">
      <w:pPr>
        <w:pStyle w:val="paragraphsub"/>
      </w:pPr>
      <w:r w:rsidRPr="00A058B6">
        <w:tab/>
        <w:t>(iii)</w:t>
      </w:r>
      <w:r w:rsidRPr="00A058B6">
        <w:tab/>
        <w:t>if the pension is a fixed</w:t>
      </w:r>
      <w:r w:rsidR="001952B3">
        <w:noBreakHyphen/>
      </w:r>
      <w:r w:rsidRPr="00A058B6">
        <w:t>term pension—the date when the pension payments commenced, and the length of the fixed term; and</w:t>
      </w:r>
    </w:p>
    <w:p w14:paraId="1238D363" w14:textId="77777777" w:rsidR="00D930D9" w:rsidRPr="00A058B6" w:rsidRDefault="00D930D9" w:rsidP="00D930D9">
      <w:pPr>
        <w:pStyle w:val="paragraphsub"/>
      </w:pPr>
      <w:r w:rsidRPr="00A058B6">
        <w:tab/>
        <w:t>(iv)</w:t>
      </w:r>
      <w:r w:rsidRPr="00A058B6">
        <w:tab/>
        <w:t>a statement indicating whether the pension benefit is indexed and, if so, the method of indexation</w:t>
      </w:r>
      <w:r w:rsidR="00D7157D">
        <w:t>.</w:t>
      </w:r>
    </w:p>
    <w:p w14:paraId="291230F8" w14:textId="3D06E048" w:rsidR="00D930D9" w:rsidRPr="00A058B6" w:rsidRDefault="00D930D9" w:rsidP="00D930D9">
      <w:pPr>
        <w:pStyle w:val="notetext"/>
      </w:pPr>
      <w:r w:rsidRPr="00A058B6">
        <w:t>Note:</w:t>
      </w:r>
      <w:r w:rsidRPr="00A058B6">
        <w:tab/>
        <w:t xml:space="preserve">The trustee is not required to provide the information mentioned in </w:t>
      </w:r>
      <w:r w:rsidR="00453C86">
        <w:t>paragraph (</w:t>
      </w:r>
      <w:r w:rsidRPr="00A058B6">
        <w:t>a) or sub</w:t>
      </w:r>
      <w:r w:rsidR="00453C86">
        <w:t>paragraph (</w:t>
      </w:r>
      <w:r w:rsidR="004D098A">
        <w:t>c</w:t>
      </w:r>
      <w:r w:rsidRPr="00A058B6">
        <w:t xml:space="preserve">)(i) unless a record of it is in the trustee’s possession, power or control (see </w:t>
      </w:r>
      <w:r w:rsidR="00CB78B9">
        <w:t>paragraph 1</w:t>
      </w:r>
      <w:r w:rsidR="00485CC2">
        <w:t>36</w:t>
      </w:r>
      <w:r w:rsidRPr="00A058B6">
        <w:t>(b))</w:t>
      </w:r>
      <w:r w:rsidR="00D7157D">
        <w:t>.</w:t>
      </w:r>
    </w:p>
    <w:p w14:paraId="601BE7D4" w14:textId="037F1292" w:rsidR="00D930D9" w:rsidRPr="00A058B6" w:rsidRDefault="00485CC2" w:rsidP="00D930D9">
      <w:pPr>
        <w:pStyle w:val="ActHead5"/>
      </w:pPr>
      <w:bookmarkStart w:id="196" w:name="_Toc188350676"/>
      <w:r w:rsidRPr="00423C34">
        <w:rPr>
          <w:rStyle w:val="CharSectno"/>
        </w:rPr>
        <w:t>135</w:t>
      </w:r>
      <w:r w:rsidR="00D930D9" w:rsidRPr="00A058B6">
        <w:t xml:space="preserve">  Specific information—the interest is subject to a payment split or flag</w:t>
      </w:r>
      <w:bookmarkEnd w:id="196"/>
    </w:p>
    <w:p w14:paraId="2999A73A" w14:textId="0F90C40A" w:rsidR="00D930D9" w:rsidRPr="00A058B6" w:rsidRDefault="00D930D9" w:rsidP="00D930D9">
      <w:pPr>
        <w:pStyle w:val="subsection"/>
      </w:pPr>
      <w:r w:rsidRPr="00A058B6">
        <w:tab/>
      </w:r>
      <w:r w:rsidRPr="00A058B6">
        <w:tab/>
        <w:t xml:space="preserve">For the purposes of </w:t>
      </w:r>
      <w:r w:rsidR="00CB78B9">
        <w:t>paragraph 1</w:t>
      </w:r>
      <w:r w:rsidR="00485CC2">
        <w:t>33</w:t>
      </w:r>
      <w:r w:rsidRPr="00A058B6">
        <w:t>(1)(</w:t>
      </w:r>
      <w:r w:rsidR="0007416A">
        <w:t>c</w:t>
      </w:r>
      <w:r w:rsidRPr="00A058B6">
        <w:t>), the information that must be provided in relation to each payment split to which the superannuation interest is subject is as follows:</w:t>
      </w:r>
    </w:p>
    <w:p w14:paraId="06B1358A" w14:textId="77777777" w:rsidR="00D930D9" w:rsidRPr="00A058B6" w:rsidRDefault="00D930D9" w:rsidP="00D930D9">
      <w:pPr>
        <w:pStyle w:val="paragraph"/>
      </w:pPr>
      <w:r w:rsidRPr="00A058B6">
        <w:tab/>
        <w:t>(a)</w:t>
      </w:r>
      <w:r w:rsidRPr="00A058B6">
        <w:tab/>
        <w:t>the operative time for the payment split;</w:t>
      </w:r>
    </w:p>
    <w:p w14:paraId="575F9DF6" w14:textId="77777777" w:rsidR="00D930D9" w:rsidRPr="00A058B6" w:rsidRDefault="00D930D9" w:rsidP="00D930D9">
      <w:pPr>
        <w:pStyle w:val="paragraph"/>
      </w:pPr>
      <w:r w:rsidRPr="00A058B6">
        <w:tab/>
        <w:t>(b)</w:t>
      </w:r>
      <w:r w:rsidRPr="00A058B6">
        <w:tab/>
        <w:t>if:</w:t>
      </w:r>
    </w:p>
    <w:p w14:paraId="0A3BD45E" w14:textId="3E6A86AA" w:rsidR="00D930D9" w:rsidRPr="00A058B6" w:rsidRDefault="00D930D9" w:rsidP="00D930D9">
      <w:pPr>
        <w:pStyle w:val="paragraphsub"/>
      </w:pPr>
      <w:r w:rsidRPr="00A058B6">
        <w:tab/>
        <w:t>(i)</w:t>
      </w:r>
      <w:r w:rsidRPr="00A058B6">
        <w:tab/>
        <w:t xml:space="preserve">the payment split is under </w:t>
      </w:r>
      <w:r w:rsidR="00FE15C4">
        <w:t>subparagraph 9</w:t>
      </w:r>
      <w:r w:rsidRPr="00A058B6">
        <w:t xml:space="preserve">0XJ(1)(c)(i) or (ii) or 90YN(1)(c)(i) or (ii) of the Act, or under a splitting order made under </w:t>
      </w:r>
      <w:r w:rsidR="00FE15C4">
        <w:t>paragraph 9</w:t>
      </w:r>
      <w:r w:rsidRPr="00A058B6">
        <w:t>0XT(1)(a) or 90YY(1)(a) of the Act; and</w:t>
      </w:r>
    </w:p>
    <w:p w14:paraId="344EC023" w14:textId="77777777" w:rsidR="00D930D9" w:rsidRPr="00A058B6" w:rsidRDefault="00D930D9" w:rsidP="00D930D9">
      <w:pPr>
        <w:pStyle w:val="paragraphsub"/>
      </w:pPr>
      <w:r w:rsidRPr="00A058B6">
        <w:tab/>
        <w:t>(ii)</w:t>
      </w:r>
      <w:r w:rsidRPr="00A058B6">
        <w:tab/>
        <w:t>the interest was in the payment phase at the appropriate date;</w:t>
      </w:r>
    </w:p>
    <w:p w14:paraId="4C2DDC13" w14:textId="737A4A9D" w:rsidR="00D930D9" w:rsidRPr="00A058B6" w:rsidRDefault="00D930D9" w:rsidP="00D930D9">
      <w:pPr>
        <w:pStyle w:val="paragraph"/>
      </w:pPr>
      <w:r w:rsidRPr="00A058B6">
        <w:tab/>
      </w:r>
      <w:r w:rsidRPr="00A058B6">
        <w:tab/>
        <w:t>the amount that, under subsection </w:t>
      </w:r>
      <w:r w:rsidR="00485CC2">
        <w:t>92</w:t>
      </w:r>
      <w:r w:rsidRPr="00A058B6">
        <w:t xml:space="preserve">(6) or </w:t>
      </w:r>
      <w:r w:rsidR="00485CC2">
        <w:t>96</w:t>
      </w:r>
      <w:r w:rsidRPr="00A058B6">
        <w:t>(3), a person is entitled to be paid from each splittable payment that becomes payable in respect of the interest;</w:t>
      </w:r>
    </w:p>
    <w:p w14:paraId="1660AB2F" w14:textId="46275C75" w:rsidR="00D930D9" w:rsidRPr="00A058B6" w:rsidRDefault="00D930D9" w:rsidP="00D930D9">
      <w:pPr>
        <w:pStyle w:val="paragraph"/>
      </w:pPr>
      <w:r w:rsidRPr="00A058B6">
        <w:tab/>
        <w:t>(c)</w:t>
      </w:r>
      <w:r w:rsidRPr="00A058B6">
        <w:tab/>
        <w:t xml:space="preserve">if the payment split is under </w:t>
      </w:r>
      <w:r w:rsidR="00FE15C4">
        <w:t>subparagraph 9</w:t>
      </w:r>
      <w:r w:rsidRPr="00A058B6">
        <w:t xml:space="preserve">0XJ(1)(c)(i) or 90YN(1)(c)(i) of the Act, or under a splitting order made under </w:t>
      </w:r>
      <w:r w:rsidR="00FE15C4">
        <w:t>paragraph 9</w:t>
      </w:r>
      <w:r w:rsidRPr="00A058B6">
        <w:t>0XT(1)(a) or 90YY(1)(a) of the Act, and the interest was in the growth phase at the appropriate date:</w:t>
      </w:r>
    </w:p>
    <w:p w14:paraId="1593DB3B" w14:textId="77777777" w:rsidR="00D930D9" w:rsidRPr="00A058B6" w:rsidRDefault="00D930D9" w:rsidP="00D930D9">
      <w:pPr>
        <w:pStyle w:val="paragraphsub"/>
      </w:pPr>
      <w:r w:rsidRPr="00A058B6">
        <w:tab/>
        <w:t>(i)</w:t>
      </w:r>
      <w:r w:rsidRPr="00A058B6">
        <w:tab/>
        <w:t>the base amount specified in the relevant superannuation agreement or flag lifting agreement in relation to the interest; and</w:t>
      </w:r>
    </w:p>
    <w:p w14:paraId="644E1FE7" w14:textId="5E2BFABB"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242AC6F9" w14:textId="3DFEC91A" w:rsidR="00D930D9" w:rsidRPr="00A058B6" w:rsidRDefault="00D930D9" w:rsidP="00D930D9">
      <w:pPr>
        <w:pStyle w:val="paragraph"/>
      </w:pPr>
      <w:r w:rsidRPr="00A058B6">
        <w:tab/>
        <w:t>(d)</w:t>
      </w:r>
      <w:r w:rsidRPr="00A058B6">
        <w:tab/>
        <w:t xml:space="preserve">if the payment split is under </w:t>
      </w:r>
      <w:r w:rsidR="00FE15C4">
        <w:t>subparagraph 9</w:t>
      </w:r>
      <w:r w:rsidRPr="00A058B6">
        <w:t>0XJ(1)(c)(ii) or 90YN(1)(c)(ii) of the Act and the interest was in the growth phase at the appropriate date:</w:t>
      </w:r>
    </w:p>
    <w:p w14:paraId="18200112" w14:textId="27416E3C" w:rsidR="00D930D9" w:rsidRPr="00A058B6" w:rsidRDefault="00D930D9" w:rsidP="00D930D9">
      <w:pPr>
        <w:pStyle w:val="paragraphsub"/>
      </w:pPr>
      <w:r w:rsidRPr="00A058B6">
        <w:tab/>
        <w:t>(i)</w:t>
      </w:r>
      <w:r w:rsidRPr="00A058B6">
        <w:tab/>
        <w:t xml:space="preserve">the amount set out in the document served on the trustee under </w:t>
      </w:r>
      <w:r w:rsidR="00FE15C4">
        <w:t>paragraph 9</w:t>
      </w:r>
      <w:r w:rsidRPr="00A058B6">
        <w:t>0XI(1)(b) or 90YM(1)(b) of the Act; and</w:t>
      </w:r>
    </w:p>
    <w:p w14:paraId="1ED5D560" w14:textId="7C081EA1" w:rsidR="00D930D9" w:rsidRPr="00A058B6" w:rsidRDefault="00D930D9" w:rsidP="00D930D9">
      <w:pPr>
        <w:pStyle w:val="paragraphsub"/>
      </w:pPr>
      <w:r w:rsidRPr="00A058B6">
        <w:tab/>
        <w:t>(ii)</w:t>
      </w:r>
      <w:r w:rsidRPr="00A058B6">
        <w:tab/>
        <w:t>if applicable, the adjusted base amount applicable to the non</w:t>
      </w:r>
      <w:r w:rsidR="001952B3">
        <w:noBreakHyphen/>
      </w:r>
      <w:r w:rsidRPr="00A058B6">
        <w:t>member spouse at the appropriate date;</w:t>
      </w:r>
    </w:p>
    <w:p w14:paraId="0C678272" w14:textId="280C97D1" w:rsidR="00D930D9" w:rsidRPr="00A058B6" w:rsidRDefault="00D930D9" w:rsidP="00D930D9">
      <w:pPr>
        <w:pStyle w:val="paragraph"/>
      </w:pPr>
      <w:r w:rsidRPr="00A058B6">
        <w:tab/>
        <w:t>(e)</w:t>
      </w:r>
      <w:r w:rsidRPr="00A058B6">
        <w:tab/>
        <w:t xml:space="preserve">if the payment split is under </w:t>
      </w:r>
      <w:r w:rsidR="00FE15C4">
        <w:t>subparagraph 9</w:t>
      </w:r>
      <w:r w:rsidRPr="00A058B6">
        <w:t xml:space="preserve">0XJ(1)(c)(iii) or 90YN(1)(c)(iii) of the Act or under a splitting order made under </w:t>
      </w:r>
      <w:r w:rsidR="00FE15C4">
        <w:t>paragraph 9</w:t>
      </w:r>
      <w:r w:rsidRPr="00A058B6">
        <w:t>0XT(1)(b) or 90YY(1)(b) of the Act—the specified percentage that is to apply to any splittable payment that becomes payable in respect of the interest</w:t>
      </w:r>
      <w:r w:rsidR="00D7157D">
        <w:t>.</w:t>
      </w:r>
    </w:p>
    <w:p w14:paraId="7A03F639" w14:textId="39D5E97C" w:rsidR="00D930D9" w:rsidRPr="00A058B6" w:rsidRDefault="00D930D9" w:rsidP="00D930D9">
      <w:pPr>
        <w:pStyle w:val="notetext"/>
      </w:pPr>
      <w:r>
        <w:t>Note:</w:t>
      </w:r>
      <w:r>
        <w:tab/>
      </w:r>
      <w:r w:rsidR="00B05FD6">
        <w:t>Subparagraphs (</w:t>
      </w:r>
      <w:r>
        <w:t>c)(ii) and (d)(ii) are referring to the person who is the non</w:t>
      </w:r>
      <w:r w:rsidR="001952B3">
        <w:noBreakHyphen/>
      </w:r>
      <w:r>
        <w:t>member spouse for the purposes of the payment split</w:t>
      </w:r>
      <w:r w:rsidR="00D7157D">
        <w:t>.</w:t>
      </w:r>
    </w:p>
    <w:p w14:paraId="68BD3E71" w14:textId="358D6378" w:rsidR="00D930D9" w:rsidRPr="00A058B6" w:rsidRDefault="00485CC2" w:rsidP="00D930D9">
      <w:pPr>
        <w:pStyle w:val="ActHead5"/>
      </w:pPr>
      <w:bookmarkStart w:id="197" w:name="_Toc188350677"/>
      <w:r w:rsidRPr="00423C34">
        <w:rPr>
          <w:rStyle w:val="CharSectno"/>
        </w:rPr>
        <w:t>136</w:t>
      </w:r>
      <w:r w:rsidR="00D930D9" w:rsidRPr="00A058B6">
        <w:t xml:space="preserve">  Exceptions</w:t>
      </w:r>
      <w:bookmarkEnd w:id="197"/>
    </w:p>
    <w:p w14:paraId="3F1157A8" w14:textId="4C612B17" w:rsidR="00D930D9" w:rsidRPr="00A058B6" w:rsidRDefault="00D930D9" w:rsidP="00D930D9">
      <w:pPr>
        <w:pStyle w:val="subsection"/>
      </w:pPr>
      <w:r w:rsidRPr="00A058B6">
        <w:tab/>
      </w:r>
      <w:r w:rsidRPr="00A058B6">
        <w:tab/>
        <w:t xml:space="preserve">The trustee is not required to provide information in response to an application referred to in </w:t>
      </w:r>
      <w:r w:rsidR="00CB78B9">
        <w:t>section 1</w:t>
      </w:r>
      <w:r w:rsidR="00485CC2">
        <w:t>33</w:t>
      </w:r>
      <w:r w:rsidRPr="00A058B6">
        <w:t xml:space="preserve"> in any of the following circumstances:</w:t>
      </w:r>
    </w:p>
    <w:p w14:paraId="175CA35F" w14:textId="63038DFE" w:rsidR="00D930D9" w:rsidRPr="00A058B6" w:rsidRDefault="00D930D9" w:rsidP="00D930D9">
      <w:pPr>
        <w:pStyle w:val="paragraph"/>
      </w:pPr>
      <w:r w:rsidRPr="00A058B6">
        <w:tab/>
        <w:t>(a)</w:t>
      </w:r>
      <w:r w:rsidRPr="00A058B6">
        <w:tab/>
        <w:t xml:space="preserve">if the application specifically requests the trustee to provide the information mentioned in </w:t>
      </w:r>
      <w:r w:rsidR="00CB78B9">
        <w:t>paragraph 1</w:t>
      </w:r>
      <w:r w:rsidR="00485CC2">
        <w:t>33</w:t>
      </w:r>
      <w:r w:rsidRPr="00A058B6">
        <w:t>(1)(</w:t>
      </w:r>
      <w:r w:rsidR="0007416A">
        <w:t>h</w:t>
      </w:r>
      <w:r w:rsidRPr="00A058B6">
        <w:t>) to the applicant—the trustee is not required to provide the applicant with any other information mentioned in this Subdivision;</w:t>
      </w:r>
    </w:p>
    <w:p w14:paraId="57F43719" w14:textId="2B864DE6" w:rsidR="00D930D9" w:rsidRPr="00A058B6" w:rsidRDefault="00D930D9" w:rsidP="00D930D9">
      <w:pPr>
        <w:pStyle w:val="paragraph"/>
      </w:pPr>
      <w:r w:rsidRPr="00A058B6">
        <w:tab/>
        <w:t>(b)</w:t>
      </w:r>
      <w:r w:rsidRPr="00A058B6">
        <w:tab/>
        <w:t xml:space="preserve">the trustee is not required to provide the applicant with the information mentioned in </w:t>
      </w:r>
      <w:r w:rsidR="00CB78B9">
        <w:t>paragraph 1</w:t>
      </w:r>
      <w:r w:rsidR="00485CC2">
        <w:t>34</w:t>
      </w:r>
      <w:r w:rsidRPr="00A058B6">
        <w:t xml:space="preserve">(a) or </w:t>
      </w:r>
      <w:r w:rsidR="00CB78B9">
        <w:t>subparagraph 1</w:t>
      </w:r>
      <w:r w:rsidR="00485CC2">
        <w:t>34</w:t>
      </w:r>
      <w:r w:rsidRPr="00A058B6">
        <w:t>(</w:t>
      </w:r>
      <w:r w:rsidR="004D098A">
        <w:t>c</w:t>
      </w:r>
      <w:r w:rsidRPr="00A058B6">
        <w:t>)(i) unless a record of that information is in the trustee’s possession, power or control</w:t>
      </w:r>
      <w:r w:rsidR="00D7157D">
        <w:t>.</w:t>
      </w:r>
    </w:p>
    <w:p w14:paraId="4EF28DC7" w14:textId="77777777" w:rsidR="00D930D9" w:rsidRPr="00A058B6" w:rsidRDefault="00D930D9" w:rsidP="00D930D9">
      <w:pPr>
        <w:pStyle w:val="ActHead4"/>
      </w:pPr>
      <w:bookmarkStart w:id="198" w:name="_Toc188350678"/>
      <w:r w:rsidRPr="00423C34">
        <w:rPr>
          <w:rStyle w:val="CharSubdNo"/>
        </w:rPr>
        <w:t xml:space="preserve">Subdivision </w:t>
      </w:r>
      <w:r w:rsidR="00AF1E2C" w:rsidRPr="00423C34">
        <w:rPr>
          <w:rStyle w:val="CharSubdNo"/>
        </w:rPr>
        <w:t>F</w:t>
      </w:r>
      <w:r w:rsidRPr="00A058B6">
        <w:t>—</w:t>
      </w:r>
      <w:r w:rsidRPr="00423C34">
        <w:rPr>
          <w:rStyle w:val="CharSubdText"/>
        </w:rPr>
        <w:t>Information about small superannuation accounts interests</w:t>
      </w:r>
      <w:bookmarkEnd w:id="198"/>
    </w:p>
    <w:p w14:paraId="4A35E103" w14:textId="2828A734" w:rsidR="00D930D9" w:rsidRPr="00A058B6" w:rsidRDefault="00485CC2" w:rsidP="00D930D9">
      <w:pPr>
        <w:pStyle w:val="ActHead5"/>
      </w:pPr>
      <w:bookmarkStart w:id="199" w:name="_Toc188350679"/>
      <w:r w:rsidRPr="00423C34">
        <w:rPr>
          <w:rStyle w:val="CharSectno"/>
        </w:rPr>
        <w:t>137</w:t>
      </w:r>
      <w:r w:rsidR="00D930D9" w:rsidRPr="00A058B6">
        <w:t xml:space="preserve">  Interests in small superannuation accounts to which this Subdivision applies</w:t>
      </w:r>
      <w:bookmarkEnd w:id="199"/>
    </w:p>
    <w:p w14:paraId="10060224" w14:textId="77777777" w:rsidR="00D930D9" w:rsidRPr="00A058B6" w:rsidRDefault="00D930D9" w:rsidP="00D930D9">
      <w:pPr>
        <w:pStyle w:val="subsection"/>
      </w:pPr>
      <w:r w:rsidRPr="00A058B6">
        <w:tab/>
        <w:t>(1)</w:t>
      </w:r>
      <w:r w:rsidRPr="00A058B6">
        <w:tab/>
        <w:t xml:space="preserve">This Subdivision applies for a superannuation interest of a member of an eligible superannuation plan if the plan is an account within the meaning of the </w:t>
      </w:r>
      <w:r w:rsidRPr="00A058B6">
        <w:rPr>
          <w:i/>
        </w:rPr>
        <w:t>Small Superannuation Accounts Act 1995</w:t>
      </w:r>
      <w:r w:rsidR="00D7157D">
        <w:t>.</w:t>
      </w:r>
    </w:p>
    <w:p w14:paraId="518CCE95" w14:textId="7EC3617E" w:rsidR="00326BAB" w:rsidRDefault="00326BAB" w:rsidP="00326BAB">
      <w:pPr>
        <w:pStyle w:val="subsection"/>
      </w:pPr>
      <w:r w:rsidRPr="00A058B6">
        <w:tab/>
        <w:t>(2)</w:t>
      </w:r>
      <w:r w:rsidRPr="00A058B6">
        <w:tab/>
        <w:t xml:space="preserve">For the purposes of </w:t>
      </w:r>
      <w:r w:rsidR="00FE15C4">
        <w:t>subsection 9</w:t>
      </w:r>
      <w:r w:rsidRPr="00A058B6">
        <w:t>0XZB(3) or 90YZR(3) of the Act, the information about the superannuation interest that must be provided by the trustee of the plan in response to an application referred to in that subsection is</w:t>
      </w:r>
      <w:r>
        <w:t>:</w:t>
      </w:r>
    </w:p>
    <w:p w14:paraId="21DE0A1D" w14:textId="77777777" w:rsidR="00326BAB" w:rsidRDefault="00326BAB" w:rsidP="00326BAB">
      <w:pPr>
        <w:pStyle w:val="paragraph"/>
      </w:pPr>
      <w:r>
        <w:tab/>
        <w:t>(a)</w:t>
      </w:r>
      <w:r>
        <w:tab/>
      </w:r>
      <w:r w:rsidRPr="00A058B6">
        <w:t>a statement setting out the amount of the account balance of the member’s account at the date when the application is received by the trustee</w:t>
      </w:r>
      <w:r>
        <w:t>; and</w:t>
      </w:r>
    </w:p>
    <w:p w14:paraId="5E36C829" w14:textId="77777777" w:rsidR="00326BAB" w:rsidRPr="00A058B6" w:rsidRDefault="00326BAB" w:rsidP="00326BAB">
      <w:pPr>
        <w:pStyle w:val="paragraph"/>
      </w:pPr>
      <w:r>
        <w:tab/>
        <w:t>(b)</w:t>
      </w:r>
      <w:r>
        <w:tab/>
        <w:t>if known, the member’s date of birth.</w:t>
      </w:r>
    </w:p>
    <w:p w14:paraId="76A9ADA0" w14:textId="77777777" w:rsidR="00D930D9" w:rsidRPr="00A058B6" w:rsidRDefault="00D930D9" w:rsidP="00D930D9">
      <w:pPr>
        <w:pStyle w:val="ActHead4"/>
      </w:pPr>
      <w:bookmarkStart w:id="200" w:name="_Toc188350680"/>
      <w:r w:rsidRPr="00423C34">
        <w:rPr>
          <w:rStyle w:val="CharSubdNo"/>
        </w:rPr>
        <w:t xml:space="preserve">Subdivision </w:t>
      </w:r>
      <w:r w:rsidR="00AF1E2C" w:rsidRPr="00423C34">
        <w:rPr>
          <w:rStyle w:val="CharSubdNo"/>
        </w:rPr>
        <w:t>G</w:t>
      </w:r>
      <w:r w:rsidRPr="00A058B6">
        <w:t>—</w:t>
      </w:r>
      <w:r w:rsidRPr="00423C34">
        <w:rPr>
          <w:rStyle w:val="CharSubdText"/>
        </w:rPr>
        <w:t>Information about certain interests for which an agreement or splitting order applies</w:t>
      </w:r>
      <w:bookmarkEnd w:id="200"/>
    </w:p>
    <w:p w14:paraId="6676C012" w14:textId="641FE8AA" w:rsidR="00D930D9" w:rsidRPr="00A058B6" w:rsidRDefault="00485CC2" w:rsidP="00D930D9">
      <w:pPr>
        <w:pStyle w:val="ActHead5"/>
      </w:pPr>
      <w:bookmarkStart w:id="201" w:name="_Toc188350681"/>
      <w:r w:rsidRPr="00423C34">
        <w:rPr>
          <w:rStyle w:val="CharSectno"/>
        </w:rPr>
        <w:t>138</w:t>
      </w:r>
      <w:r w:rsidR="00D930D9" w:rsidRPr="00A058B6">
        <w:t xml:space="preserve">  Interests to which this Subdivision applies</w:t>
      </w:r>
      <w:bookmarkEnd w:id="201"/>
    </w:p>
    <w:p w14:paraId="74B35092" w14:textId="1C939B9D" w:rsidR="00D930D9" w:rsidRPr="00A058B6" w:rsidRDefault="00D930D9" w:rsidP="00D930D9">
      <w:pPr>
        <w:pStyle w:val="subsection"/>
      </w:pPr>
      <w:r w:rsidRPr="00A058B6">
        <w:tab/>
        <w:t>(1)</w:t>
      </w:r>
      <w:r w:rsidRPr="00A058B6">
        <w:tab/>
        <w:t xml:space="preserve">This Subdivision applies for a superannuation interest of a member of an eligible superannuation plan if </w:t>
      </w:r>
      <w:r w:rsidR="00A52DA5">
        <w:t>subsection (</w:t>
      </w:r>
      <w:r w:rsidRPr="00A058B6">
        <w:t>2) or (3) applies for the interest</w:t>
      </w:r>
      <w:r w:rsidR="00D7157D">
        <w:t>.</w:t>
      </w:r>
    </w:p>
    <w:p w14:paraId="1E26EFAC" w14:textId="77777777" w:rsidR="00D930D9" w:rsidRPr="00A058B6" w:rsidRDefault="00D930D9" w:rsidP="00D930D9">
      <w:pPr>
        <w:pStyle w:val="subsection"/>
      </w:pPr>
      <w:r w:rsidRPr="00A058B6">
        <w:tab/>
        <w:t>(2)</w:t>
      </w:r>
      <w:r w:rsidRPr="00A058B6">
        <w:tab/>
        <w:t>This subsection applies for a superannuation interest of a member of an eligible superannuation plan if:</w:t>
      </w:r>
    </w:p>
    <w:p w14:paraId="56C54C0F" w14:textId="77777777" w:rsidR="00D930D9" w:rsidRPr="00A058B6" w:rsidRDefault="00D930D9" w:rsidP="00D930D9">
      <w:pPr>
        <w:pStyle w:val="paragraph"/>
      </w:pPr>
      <w:r w:rsidRPr="00A058B6">
        <w:tab/>
        <w:t>(a)</w:t>
      </w:r>
      <w:r w:rsidRPr="00A058B6">
        <w:tab/>
        <w:t>the interest is identified in a superannuation agreement or flag lifting agreement; and</w:t>
      </w:r>
    </w:p>
    <w:p w14:paraId="6A03CC97" w14:textId="77777777" w:rsidR="00D930D9" w:rsidRPr="00A058B6" w:rsidRDefault="00D930D9" w:rsidP="00D930D9">
      <w:pPr>
        <w:pStyle w:val="paragraph"/>
      </w:pPr>
      <w:r w:rsidRPr="00A058B6">
        <w:tab/>
        <w:t>(b)</w:t>
      </w:r>
      <w:r w:rsidRPr="00A058B6">
        <w:tab/>
        <w:t>the agreement specifies:</w:t>
      </w:r>
    </w:p>
    <w:p w14:paraId="2ECCA156" w14:textId="6E82640C" w:rsidR="00D930D9" w:rsidRPr="00A058B6" w:rsidRDefault="00D930D9" w:rsidP="00D930D9">
      <w:pPr>
        <w:pStyle w:val="paragraphsub"/>
      </w:pPr>
      <w:r w:rsidRPr="00A058B6">
        <w:tab/>
        <w:t>(i)</w:t>
      </w:r>
      <w:r w:rsidRPr="00A058B6">
        <w:tab/>
        <w:t xml:space="preserve">under </w:t>
      </w:r>
      <w:r w:rsidR="00FE15C4">
        <w:t>subparagraph 9</w:t>
      </w:r>
      <w:r w:rsidRPr="00A058B6">
        <w:t>0XJ(1)(c)(i) or 90YN(1)(c)(i) of the Act, an amount as a base amount; or</w:t>
      </w:r>
    </w:p>
    <w:p w14:paraId="7B5629F8" w14:textId="41E2F565" w:rsidR="00D930D9" w:rsidRPr="00A058B6" w:rsidRDefault="00D930D9" w:rsidP="00D930D9">
      <w:pPr>
        <w:pStyle w:val="paragraphsub"/>
      </w:pPr>
      <w:r w:rsidRPr="00A058B6">
        <w:tab/>
        <w:t>(ii)</w:t>
      </w:r>
      <w:r w:rsidRPr="00A058B6">
        <w:tab/>
        <w:t xml:space="preserve">under </w:t>
      </w:r>
      <w:r w:rsidR="00FE15C4">
        <w:t>subparagraph 9</w:t>
      </w:r>
      <w:r w:rsidRPr="00A058B6">
        <w:t>0XJ(1)(c)(ii) or 90YN(1)(c)(ii) of the Act, a method by which such a base amount can be calculated; and</w:t>
      </w:r>
    </w:p>
    <w:p w14:paraId="3395051B" w14:textId="77777777" w:rsidR="00D930D9" w:rsidRPr="00A058B6" w:rsidRDefault="00D930D9" w:rsidP="00D930D9">
      <w:pPr>
        <w:pStyle w:val="paragraph"/>
      </w:pPr>
      <w:r w:rsidRPr="00A058B6">
        <w:tab/>
        <w:t>(c)</w:t>
      </w:r>
      <w:r w:rsidRPr="00A058B6">
        <w:tab/>
        <w:t xml:space="preserve">the agreement has been served on the trustee of the plan in accordance with </w:t>
      </w:r>
      <w:r w:rsidR="00AF1E4E">
        <w:t>section 9</w:t>
      </w:r>
      <w:r w:rsidRPr="00A058B6">
        <w:t>0XI or 90YM of the Act; and</w:t>
      </w:r>
    </w:p>
    <w:p w14:paraId="76F1B9F1" w14:textId="77777777" w:rsidR="00D930D9" w:rsidRPr="00A058B6" w:rsidRDefault="00D930D9" w:rsidP="00D930D9">
      <w:pPr>
        <w:pStyle w:val="paragraph"/>
      </w:pPr>
      <w:r w:rsidRPr="00A058B6">
        <w:tab/>
        <w:t>(d)</w:t>
      </w:r>
      <w:r w:rsidRPr="00A058B6">
        <w:tab/>
        <w:t>the agreement does not relate to an earlier marriage or de facto relationship of the member spouse; and</w:t>
      </w:r>
    </w:p>
    <w:p w14:paraId="32774A4A" w14:textId="77777777" w:rsidR="00D930D9" w:rsidRPr="00A058B6" w:rsidRDefault="00D930D9" w:rsidP="00D930D9">
      <w:pPr>
        <w:pStyle w:val="paragraph"/>
      </w:pPr>
      <w:r w:rsidRPr="00A058B6">
        <w:tab/>
        <w:t>(e)</w:t>
      </w:r>
      <w:r w:rsidRPr="00A058B6">
        <w:tab/>
        <w:t>the agreement has not been terminated or set aside</w:t>
      </w:r>
      <w:r w:rsidR="00D7157D">
        <w:t>.</w:t>
      </w:r>
    </w:p>
    <w:p w14:paraId="2569B68D" w14:textId="77777777" w:rsidR="00D930D9" w:rsidRPr="00A058B6" w:rsidRDefault="00D930D9" w:rsidP="00D930D9">
      <w:pPr>
        <w:pStyle w:val="subsection"/>
      </w:pPr>
      <w:r w:rsidRPr="00A058B6">
        <w:tab/>
        <w:t>(3)</w:t>
      </w:r>
      <w:r w:rsidRPr="00A058B6">
        <w:tab/>
        <w:t>This subsection applies for a superannuation interest of a member of an eligible superannuation plan if:</w:t>
      </w:r>
    </w:p>
    <w:p w14:paraId="638D0581" w14:textId="4B35CB76" w:rsidR="00D930D9" w:rsidRPr="00A058B6" w:rsidRDefault="00D930D9" w:rsidP="00D930D9">
      <w:pPr>
        <w:pStyle w:val="paragraph"/>
      </w:pPr>
      <w:r w:rsidRPr="00A058B6">
        <w:tab/>
        <w:t>(a)</w:t>
      </w:r>
      <w:r w:rsidRPr="00A058B6">
        <w:tab/>
        <w:t xml:space="preserve">a splitting order in relation to the interest has been made under </w:t>
      </w:r>
      <w:r w:rsidR="00FE15C4">
        <w:t>paragraph 9</w:t>
      </w:r>
      <w:r w:rsidRPr="00A058B6">
        <w:t>0XT(1)(a) or 90YY(1)(a) of the Act; and</w:t>
      </w:r>
    </w:p>
    <w:p w14:paraId="34190E3D" w14:textId="77777777" w:rsidR="00D930D9" w:rsidRPr="00A058B6" w:rsidRDefault="00D930D9" w:rsidP="00D930D9">
      <w:pPr>
        <w:pStyle w:val="paragraph"/>
      </w:pPr>
      <w:r w:rsidRPr="00A058B6">
        <w:tab/>
        <w:t>(b)</w:t>
      </w:r>
      <w:r w:rsidRPr="00A058B6">
        <w:tab/>
        <w:t>the order does not relate to an earlier marriage or de facto relationship of the member spouse; and</w:t>
      </w:r>
    </w:p>
    <w:p w14:paraId="404414F9" w14:textId="77777777" w:rsidR="00D930D9" w:rsidRPr="00A058B6" w:rsidRDefault="00D930D9" w:rsidP="00D930D9">
      <w:pPr>
        <w:pStyle w:val="paragraph"/>
      </w:pPr>
      <w:r w:rsidRPr="00A058B6">
        <w:tab/>
        <w:t>(c)</w:t>
      </w:r>
      <w:r w:rsidRPr="00A058B6">
        <w:tab/>
        <w:t>the order has not been set aside</w:t>
      </w:r>
      <w:r w:rsidR="00D7157D">
        <w:t>.</w:t>
      </w:r>
    </w:p>
    <w:p w14:paraId="0EE573FE" w14:textId="1A0C96A9" w:rsidR="00D930D9" w:rsidRPr="00A058B6" w:rsidRDefault="00485CC2" w:rsidP="00D930D9">
      <w:pPr>
        <w:pStyle w:val="ActHead5"/>
      </w:pPr>
      <w:bookmarkStart w:id="202" w:name="_Toc188350682"/>
      <w:r w:rsidRPr="00423C34">
        <w:rPr>
          <w:rStyle w:val="CharSectno"/>
        </w:rPr>
        <w:t>139</w:t>
      </w:r>
      <w:r w:rsidR="00D930D9" w:rsidRPr="00A058B6">
        <w:t xml:space="preserve">  Information the trustee must provide</w:t>
      </w:r>
      <w:bookmarkEnd w:id="202"/>
    </w:p>
    <w:p w14:paraId="139FA175" w14:textId="53E3E927" w:rsidR="00D930D9" w:rsidRPr="00A058B6" w:rsidRDefault="00D930D9" w:rsidP="00D930D9">
      <w:pPr>
        <w:pStyle w:val="subsection"/>
      </w:pPr>
      <w:r w:rsidRPr="00A058B6">
        <w:tab/>
      </w:r>
      <w:r w:rsidRPr="00A058B6">
        <w:tab/>
        <w:t xml:space="preserve">For the purposes of </w:t>
      </w:r>
      <w:r w:rsidR="00FE15C4">
        <w:t>subsection 9</w:t>
      </w:r>
      <w:r w:rsidRPr="00A058B6">
        <w:t>0XZB(3) or 90YZR(3) of the Act, the information about the superannuation interest that must be provided by the trustee of the plan in response to an application:</w:t>
      </w:r>
    </w:p>
    <w:p w14:paraId="6E01B23C" w14:textId="77777777" w:rsidR="00D930D9" w:rsidRPr="00A058B6" w:rsidRDefault="00D930D9" w:rsidP="00D930D9">
      <w:pPr>
        <w:pStyle w:val="paragraph"/>
      </w:pPr>
      <w:r w:rsidRPr="00A058B6">
        <w:tab/>
        <w:t>(a)</w:t>
      </w:r>
      <w:r w:rsidRPr="00A058B6">
        <w:tab/>
        <w:t>referred to in that subsection; and</w:t>
      </w:r>
    </w:p>
    <w:p w14:paraId="521F927E" w14:textId="77777777" w:rsidR="00D930D9" w:rsidRPr="00A058B6" w:rsidRDefault="00D930D9" w:rsidP="00D930D9">
      <w:pPr>
        <w:pStyle w:val="paragraph"/>
      </w:pPr>
      <w:r w:rsidRPr="00A058B6">
        <w:tab/>
        <w:t>(b)</w:t>
      </w:r>
      <w:r w:rsidRPr="00A058B6">
        <w:tab/>
        <w:t>by a person who is entitled to be paid an amount whenever a splittable payment becomes payable in respect of the interest;</w:t>
      </w:r>
    </w:p>
    <w:p w14:paraId="2043DECA" w14:textId="77777777" w:rsidR="00D930D9" w:rsidRPr="00A058B6" w:rsidRDefault="00D930D9" w:rsidP="00D930D9">
      <w:pPr>
        <w:pStyle w:val="subsection2"/>
      </w:pPr>
      <w:r w:rsidRPr="00A058B6">
        <w:t>is the applicable commutation factor, at the date when the application is received by the trustee and at the next 2 anniversaries of that date, for converting any pension benefit payable in respect of the interest to a lump sum</w:t>
      </w:r>
      <w:r w:rsidR="00D7157D">
        <w:t>.</w:t>
      </w:r>
    </w:p>
    <w:p w14:paraId="66C6BE40" w14:textId="77777777" w:rsidR="00D930D9" w:rsidRPr="00A058B6" w:rsidRDefault="00D930D9" w:rsidP="00D930D9">
      <w:pPr>
        <w:pStyle w:val="ActHead4"/>
      </w:pPr>
      <w:bookmarkStart w:id="203" w:name="_Toc188350683"/>
      <w:r w:rsidRPr="00423C34">
        <w:rPr>
          <w:rStyle w:val="CharSubdNo"/>
        </w:rPr>
        <w:t xml:space="preserve">Subdivision </w:t>
      </w:r>
      <w:r w:rsidR="00AF1E2C" w:rsidRPr="00423C34">
        <w:rPr>
          <w:rStyle w:val="CharSubdNo"/>
        </w:rPr>
        <w:t>H</w:t>
      </w:r>
      <w:r w:rsidRPr="00A058B6">
        <w:t>—</w:t>
      </w:r>
      <w:r w:rsidRPr="00423C34">
        <w:rPr>
          <w:rStyle w:val="CharSubdText"/>
        </w:rPr>
        <w:t>How and when trustee must provide information</w:t>
      </w:r>
      <w:bookmarkEnd w:id="203"/>
    </w:p>
    <w:p w14:paraId="717D9967" w14:textId="592A7BD8" w:rsidR="00D930D9" w:rsidRPr="00A058B6" w:rsidRDefault="00485CC2" w:rsidP="00D930D9">
      <w:pPr>
        <w:pStyle w:val="ActHead5"/>
      </w:pPr>
      <w:bookmarkStart w:id="204" w:name="_Toc188350684"/>
      <w:r w:rsidRPr="00423C34">
        <w:rPr>
          <w:rStyle w:val="CharSectno"/>
        </w:rPr>
        <w:t>140</w:t>
      </w:r>
      <w:r w:rsidR="00D930D9" w:rsidRPr="00A058B6">
        <w:t xml:space="preserve">  How and when trustee must provide information</w:t>
      </w:r>
      <w:bookmarkEnd w:id="204"/>
    </w:p>
    <w:p w14:paraId="7A7303CB" w14:textId="315FC0B3"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 information mentioned in this Division that must be provided by a trustee in response to an application referred to in that subsection is to be provided:</w:t>
      </w:r>
    </w:p>
    <w:p w14:paraId="29657ADC" w14:textId="77777777" w:rsidR="00D930D9" w:rsidRPr="00A058B6" w:rsidRDefault="00D930D9" w:rsidP="00D930D9">
      <w:pPr>
        <w:pStyle w:val="paragraph"/>
      </w:pPr>
      <w:r w:rsidRPr="00A058B6">
        <w:tab/>
        <w:t>(a)</w:t>
      </w:r>
      <w:r w:rsidRPr="00A058B6">
        <w:tab/>
        <w:t xml:space="preserve">in a document addressed to the </w:t>
      </w:r>
      <w:r w:rsidR="00C61BD2">
        <w:t>applicant</w:t>
      </w:r>
      <w:r w:rsidRPr="00A058B6">
        <w:t>; and</w:t>
      </w:r>
    </w:p>
    <w:p w14:paraId="352703FE" w14:textId="77777777" w:rsidR="00D930D9" w:rsidRPr="00A058B6" w:rsidRDefault="00D930D9" w:rsidP="00D930D9">
      <w:pPr>
        <w:pStyle w:val="paragraph"/>
      </w:pPr>
      <w:r w:rsidRPr="00A058B6">
        <w:tab/>
        <w:t>(b)</w:t>
      </w:r>
      <w:r w:rsidRPr="00A058B6">
        <w:tab/>
        <w:t xml:space="preserve">by giving that document to the </w:t>
      </w:r>
      <w:r w:rsidR="00C61BD2">
        <w:t>applicant</w:t>
      </w:r>
      <w:r w:rsidRPr="00A058B6">
        <w:t xml:space="preserve"> within a reasonable time after the application is received by the trustee</w:t>
      </w:r>
      <w:r w:rsidR="00D7157D">
        <w:t>.</w:t>
      </w:r>
    </w:p>
    <w:p w14:paraId="34D0F859" w14:textId="27615E7B" w:rsidR="00D930D9" w:rsidRPr="00A058B6" w:rsidRDefault="00D930D9" w:rsidP="00D930D9">
      <w:pPr>
        <w:pStyle w:val="notetext"/>
      </w:pPr>
      <w:r w:rsidRPr="00A058B6">
        <w:t>Note:</w:t>
      </w:r>
      <w:r w:rsidRPr="00A058B6">
        <w:tab/>
      </w:r>
      <w:r w:rsidRPr="00A058B6">
        <w:rPr>
          <w:b/>
          <w:i/>
        </w:rPr>
        <w:t>Document</w:t>
      </w:r>
      <w:r w:rsidRPr="00A058B6">
        <w:t xml:space="preserve"> is defined in </w:t>
      </w:r>
      <w:r w:rsidR="00CB78B9">
        <w:t>section 2</w:t>
      </w:r>
      <w:r w:rsidRPr="00A058B6">
        <w:t xml:space="preserve">B of the </w:t>
      </w:r>
      <w:r w:rsidRPr="00A058B6">
        <w:rPr>
          <w:i/>
        </w:rPr>
        <w:t>Acts Interpretation Act 1901</w:t>
      </w:r>
      <w:r w:rsidR="00D7157D">
        <w:t>.</w:t>
      </w:r>
      <w:r w:rsidRPr="00A058B6">
        <w:t xml:space="preserve"> See also sections 28A and 29 of that Act for ways of giving a document to a person</w:t>
      </w:r>
      <w:r w:rsidR="00D7157D">
        <w:t>.</w:t>
      </w:r>
    </w:p>
    <w:p w14:paraId="4FD43656" w14:textId="77777777" w:rsidR="00D930D9" w:rsidRPr="00A058B6" w:rsidRDefault="00D930D9" w:rsidP="00D930D9">
      <w:pPr>
        <w:pStyle w:val="subsection"/>
      </w:pPr>
      <w:r w:rsidRPr="00A058B6">
        <w:tab/>
        <w:t>(2)</w:t>
      </w:r>
      <w:r w:rsidRPr="00A058B6">
        <w:tab/>
        <w:t xml:space="preserve">Such a document is </w:t>
      </w:r>
      <w:r w:rsidRPr="00DD150B">
        <w:t>prima facie</w:t>
      </w:r>
      <w:r w:rsidRPr="00A058B6">
        <w:t xml:space="preserve"> evidence:</w:t>
      </w:r>
    </w:p>
    <w:p w14:paraId="1B357070" w14:textId="77777777" w:rsidR="00D930D9" w:rsidRPr="00A058B6" w:rsidRDefault="00D930D9" w:rsidP="00D930D9">
      <w:pPr>
        <w:pStyle w:val="paragraph"/>
      </w:pPr>
      <w:r w:rsidRPr="00A058B6">
        <w:tab/>
        <w:t>(a)</w:t>
      </w:r>
      <w:r w:rsidRPr="00A058B6">
        <w:tab/>
        <w:t>of the information stated in it; and</w:t>
      </w:r>
    </w:p>
    <w:p w14:paraId="6C274171" w14:textId="77777777" w:rsidR="00D930D9" w:rsidRPr="00A058B6" w:rsidRDefault="00D930D9" w:rsidP="00D930D9">
      <w:pPr>
        <w:pStyle w:val="paragraph"/>
      </w:pPr>
      <w:r w:rsidRPr="00A058B6">
        <w:tab/>
        <w:t>(b)</w:t>
      </w:r>
      <w:r w:rsidRPr="00A058B6">
        <w:tab/>
        <w:t xml:space="preserve">that the document was provided to the </w:t>
      </w:r>
      <w:r w:rsidR="00626143">
        <w:t>applicant</w:t>
      </w:r>
      <w:r w:rsidR="00D7157D">
        <w:t>.</w:t>
      </w:r>
    </w:p>
    <w:p w14:paraId="47A4B4F3" w14:textId="77777777" w:rsidR="00D930D9" w:rsidRPr="00A058B6" w:rsidRDefault="00D930D9" w:rsidP="00D930D9">
      <w:pPr>
        <w:pStyle w:val="ActHead4"/>
      </w:pPr>
      <w:bookmarkStart w:id="205" w:name="_Toc188350685"/>
      <w:r w:rsidRPr="00423C34">
        <w:rPr>
          <w:rStyle w:val="CharSubdNo"/>
        </w:rPr>
        <w:t xml:space="preserve">Subdivision </w:t>
      </w:r>
      <w:r w:rsidR="00AF1E2C" w:rsidRPr="00423C34">
        <w:rPr>
          <w:rStyle w:val="CharSubdNo"/>
        </w:rPr>
        <w:t>I</w:t>
      </w:r>
      <w:r w:rsidRPr="00A058B6">
        <w:t>—</w:t>
      </w:r>
      <w:r w:rsidRPr="00423C34">
        <w:rPr>
          <w:rStyle w:val="CharSubdText"/>
        </w:rPr>
        <w:t>Certain secondary government trustees not required to provide information</w:t>
      </w:r>
      <w:bookmarkEnd w:id="205"/>
    </w:p>
    <w:p w14:paraId="14BEA1C0" w14:textId="23480867" w:rsidR="00D930D9" w:rsidRPr="00A058B6" w:rsidRDefault="00485CC2" w:rsidP="00D930D9">
      <w:pPr>
        <w:pStyle w:val="ActHead5"/>
      </w:pPr>
      <w:bookmarkStart w:id="206" w:name="_Toc188350686"/>
      <w:r w:rsidRPr="00423C34">
        <w:rPr>
          <w:rStyle w:val="CharSectno"/>
        </w:rPr>
        <w:t>141</w:t>
      </w:r>
      <w:r w:rsidR="00D930D9" w:rsidRPr="00A058B6">
        <w:t xml:space="preserve">  Certain secondary government trustees not required to provide information</w:t>
      </w:r>
      <w:bookmarkEnd w:id="206"/>
    </w:p>
    <w:p w14:paraId="7050038F" w14:textId="0E02555F" w:rsidR="00D930D9" w:rsidRPr="00A058B6" w:rsidRDefault="00D930D9" w:rsidP="00D930D9">
      <w:pPr>
        <w:pStyle w:val="subsection"/>
      </w:pPr>
      <w:r w:rsidRPr="00A058B6">
        <w:tab/>
        <w:t>(1)</w:t>
      </w:r>
      <w:r w:rsidRPr="00A058B6">
        <w:tab/>
        <w:t xml:space="preserve">For the purposes of </w:t>
      </w:r>
      <w:r w:rsidR="00FE15C4">
        <w:t>subsection 9</w:t>
      </w:r>
      <w:r w:rsidRPr="00A058B6">
        <w:t>0XZB(3) or 90YZR(3) of the Act, despite any other Subdivision of this Division, a secondary government trustee of an eligible superannuation plan is not required to provide any information:</w:t>
      </w:r>
    </w:p>
    <w:p w14:paraId="48A589B9" w14:textId="77777777" w:rsidR="00D930D9" w:rsidRPr="00A058B6" w:rsidRDefault="00D930D9" w:rsidP="00D930D9">
      <w:pPr>
        <w:pStyle w:val="paragraph"/>
      </w:pPr>
      <w:r w:rsidRPr="00A058B6">
        <w:tab/>
        <w:t>(a)</w:t>
      </w:r>
      <w:r w:rsidRPr="00A058B6">
        <w:tab/>
        <w:t>in response to an application referred to in that subsection; and</w:t>
      </w:r>
    </w:p>
    <w:p w14:paraId="11A152F4" w14:textId="77777777" w:rsidR="00D930D9" w:rsidRPr="00A058B6" w:rsidRDefault="00D930D9" w:rsidP="00D930D9">
      <w:pPr>
        <w:pStyle w:val="paragraph"/>
      </w:pPr>
      <w:r w:rsidRPr="00A058B6">
        <w:tab/>
        <w:t>(b)</w:t>
      </w:r>
      <w:r w:rsidRPr="00A058B6">
        <w:tab/>
        <w:t>about a superannuation interest of a member of the plan</w:t>
      </w:r>
      <w:r w:rsidR="00D7157D">
        <w:t>.</w:t>
      </w:r>
    </w:p>
    <w:p w14:paraId="74F81ED3" w14:textId="77777777" w:rsidR="00D930D9" w:rsidRPr="00A058B6" w:rsidRDefault="00D930D9" w:rsidP="00D930D9">
      <w:pPr>
        <w:pStyle w:val="subsection"/>
      </w:pPr>
      <w:r w:rsidRPr="00A058B6">
        <w:tab/>
        <w:t>(2)</w:t>
      </w:r>
      <w:r w:rsidRPr="00A058B6">
        <w:tab/>
        <w:t xml:space="preserve">Subsection (1) does not apply to a secondary government trustee of the scheme constituted by the </w:t>
      </w:r>
      <w:r w:rsidRPr="00A058B6">
        <w:rPr>
          <w:i/>
        </w:rPr>
        <w:t>Parliamentary Contributory Superannuation Act 1948</w:t>
      </w:r>
      <w:r w:rsidR="00D7157D">
        <w:t>.</w:t>
      </w:r>
    </w:p>
    <w:p w14:paraId="6DC369BA" w14:textId="4A9F3764" w:rsidR="00D930D9" w:rsidRPr="00A058B6" w:rsidRDefault="00D930D9" w:rsidP="00D930D9">
      <w:pPr>
        <w:pStyle w:val="ActHead4"/>
      </w:pPr>
      <w:bookmarkStart w:id="207" w:name="_Toc188350687"/>
      <w:r w:rsidRPr="00423C34">
        <w:rPr>
          <w:rStyle w:val="CharSubdNo"/>
        </w:rPr>
        <w:t xml:space="preserve">Subdivision </w:t>
      </w:r>
      <w:r w:rsidR="00AF1E2C" w:rsidRPr="00423C34">
        <w:rPr>
          <w:rStyle w:val="CharSubdNo"/>
        </w:rPr>
        <w:t>J</w:t>
      </w:r>
      <w:r w:rsidRPr="00A058B6">
        <w:t>—</w:t>
      </w:r>
      <w:r w:rsidRPr="00423C34">
        <w:rPr>
          <w:rStyle w:val="CharSubdText"/>
        </w:rPr>
        <w:t>Information provided by trustee to non</w:t>
      </w:r>
      <w:r w:rsidR="001952B3" w:rsidRPr="00423C34">
        <w:rPr>
          <w:rStyle w:val="CharSubdText"/>
        </w:rPr>
        <w:noBreakHyphen/>
      </w:r>
      <w:r w:rsidRPr="00423C34">
        <w:rPr>
          <w:rStyle w:val="CharSubdText"/>
        </w:rPr>
        <w:t>member spouse</w:t>
      </w:r>
      <w:bookmarkEnd w:id="207"/>
    </w:p>
    <w:p w14:paraId="7CBC061E" w14:textId="40635DDF" w:rsidR="00D930D9" w:rsidRPr="00A058B6" w:rsidRDefault="00485CC2" w:rsidP="00D930D9">
      <w:pPr>
        <w:pStyle w:val="ActHead5"/>
      </w:pPr>
      <w:bookmarkStart w:id="208" w:name="_Toc188350688"/>
      <w:bookmarkStart w:id="209" w:name="_Hlk187245963"/>
      <w:r w:rsidRPr="00423C34">
        <w:rPr>
          <w:rStyle w:val="CharSectno"/>
        </w:rPr>
        <w:t>142</w:t>
      </w:r>
      <w:r w:rsidR="00D930D9" w:rsidRPr="00A058B6">
        <w:t xml:space="preserve">  Information to be provided to the non</w:t>
      </w:r>
      <w:r w:rsidR="001952B3">
        <w:noBreakHyphen/>
      </w:r>
      <w:r w:rsidR="00D930D9" w:rsidRPr="00A058B6">
        <w:t>member spouse by the trustee after service of agreement or order</w:t>
      </w:r>
      <w:bookmarkEnd w:id="208"/>
    </w:p>
    <w:p w14:paraId="5443AF59" w14:textId="179DE4FD" w:rsidR="00D930D9" w:rsidRPr="00A058B6" w:rsidRDefault="00D930D9" w:rsidP="00D930D9">
      <w:pPr>
        <w:pStyle w:val="subsection"/>
      </w:pPr>
      <w:r w:rsidRPr="00A058B6">
        <w:tab/>
        <w:t>(1)</w:t>
      </w:r>
      <w:r w:rsidRPr="00A058B6">
        <w:tab/>
        <w:t xml:space="preserve">For the purposes of </w:t>
      </w:r>
      <w:r w:rsidR="00FE15C4">
        <w:t>subsection 9</w:t>
      </w:r>
      <w:r w:rsidRPr="00A058B6">
        <w:t>0XZB(7) or 90YZR(7) of the Act, a person contravenes this subsection if:</w:t>
      </w:r>
    </w:p>
    <w:p w14:paraId="43AACC50" w14:textId="77777777" w:rsidR="00D930D9" w:rsidRPr="00A058B6" w:rsidRDefault="00D930D9" w:rsidP="00D930D9">
      <w:pPr>
        <w:pStyle w:val="paragraph"/>
      </w:pPr>
      <w:r w:rsidRPr="00A058B6">
        <w:tab/>
        <w:t>(a)</w:t>
      </w:r>
      <w:r w:rsidRPr="00A058B6">
        <w:tab/>
        <w:t>the person is the trustee of an eligible superannuation plan, other than:</w:t>
      </w:r>
    </w:p>
    <w:p w14:paraId="0A6CF0E2" w14:textId="77777777" w:rsidR="00D930D9" w:rsidRPr="00A058B6" w:rsidRDefault="00D930D9" w:rsidP="00D930D9">
      <w:pPr>
        <w:pStyle w:val="paragraphsub"/>
      </w:pPr>
      <w:r w:rsidRPr="00A058B6">
        <w:tab/>
        <w:t>(i)</w:t>
      </w:r>
      <w:r w:rsidRPr="00A058B6">
        <w:tab/>
        <w:t>a regulated superannuation fund; or</w:t>
      </w:r>
    </w:p>
    <w:p w14:paraId="1061BD16" w14:textId="77777777" w:rsidR="00D930D9" w:rsidRPr="00A058B6" w:rsidRDefault="00D930D9" w:rsidP="00D930D9">
      <w:pPr>
        <w:pStyle w:val="paragraphsub"/>
      </w:pPr>
      <w:r w:rsidRPr="00A058B6">
        <w:tab/>
        <w:t>(ii)</w:t>
      </w:r>
      <w:r w:rsidRPr="00A058B6">
        <w:tab/>
        <w:t>an approved deposit fund; or</w:t>
      </w:r>
    </w:p>
    <w:p w14:paraId="109FA433" w14:textId="77777777" w:rsidR="00D930D9" w:rsidRPr="00A058B6" w:rsidRDefault="00D930D9" w:rsidP="00D930D9">
      <w:pPr>
        <w:pStyle w:val="paragraphsub"/>
      </w:pPr>
      <w:r w:rsidRPr="00A058B6">
        <w:tab/>
        <w:t>(iii)</w:t>
      </w:r>
      <w:r w:rsidRPr="00A058B6">
        <w:tab/>
        <w:t>an RSA; or</w:t>
      </w:r>
    </w:p>
    <w:p w14:paraId="576AFCA3" w14:textId="77777777" w:rsidR="00D930D9" w:rsidRPr="00A058B6" w:rsidRDefault="00D930D9" w:rsidP="00D930D9">
      <w:pPr>
        <w:pStyle w:val="paragraphsub"/>
      </w:pPr>
      <w:r w:rsidRPr="00A058B6">
        <w:tab/>
        <w:t>(iv)</w:t>
      </w:r>
      <w:r w:rsidRPr="00A058B6">
        <w:tab/>
        <w:t xml:space="preserve">an account within the meaning of the </w:t>
      </w:r>
      <w:r w:rsidRPr="00A058B6">
        <w:rPr>
          <w:i/>
        </w:rPr>
        <w:t>Small Superannuation Accounts Act 1995</w:t>
      </w:r>
      <w:r w:rsidRPr="00A058B6">
        <w:t>; and</w:t>
      </w:r>
    </w:p>
    <w:p w14:paraId="3E6AD753" w14:textId="77777777" w:rsidR="00D930D9" w:rsidRPr="00A058B6" w:rsidRDefault="00D930D9" w:rsidP="00D930D9">
      <w:pPr>
        <w:pStyle w:val="paragraph"/>
      </w:pPr>
      <w:r w:rsidRPr="00A058B6">
        <w:tab/>
        <w:t>(b)</w:t>
      </w:r>
      <w:r w:rsidRPr="00A058B6">
        <w:tab/>
        <w:t>the person is served with a copy of a superannuation agreement, or of a flag lifting agreement or splitting order, that deals with a member spouse’s superannuation interest in the plan; and</w:t>
      </w:r>
    </w:p>
    <w:p w14:paraId="23D36A63" w14:textId="274B0427" w:rsidR="00D930D9" w:rsidRPr="00A058B6" w:rsidRDefault="00D930D9" w:rsidP="00D930D9">
      <w:pPr>
        <w:pStyle w:val="paragraph"/>
      </w:pPr>
      <w:r w:rsidRPr="00A058B6">
        <w:tab/>
        <w:t>(c)</w:t>
      </w:r>
      <w:r w:rsidRPr="00A058B6">
        <w:tab/>
        <w:t>the person fails to, as soon as practicable after the operative time for the payment split under the agreement or order, give to the non</w:t>
      </w:r>
      <w:r w:rsidR="001952B3">
        <w:noBreakHyphen/>
      </w:r>
      <w:r w:rsidRPr="00A058B6">
        <w:t xml:space="preserve">member spouse for the superannuation interest a written notice stating the information mentioned in </w:t>
      </w:r>
      <w:r w:rsidR="00A52DA5">
        <w:t>subsection (</w:t>
      </w:r>
      <w:r w:rsidRPr="00A058B6">
        <w:t>2)</w:t>
      </w:r>
      <w:r w:rsidR="00D7157D">
        <w:t>.</w:t>
      </w:r>
    </w:p>
    <w:p w14:paraId="00A52CA3" w14:textId="3F7A1581" w:rsidR="00D930D9" w:rsidRPr="00A058B6" w:rsidRDefault="00D930D9" w:rsidP="00D930D9">
      <w:pPr>
        <w:pStyle w:val="subsection"/>
      </w:pPr>
      <w:r w:rsidRPr="00A058B6">
        <w:tab/>
        <w:t>(2)</w:t>
      </w:r>
      <w:r w:rsidRPr="00A058B6">
        <w:tab/>
        <w:t xml:space="preserve">For the purposes of </w:t>
      </w:r>
      <w:r w:rsidR="00453C86">
        <w:t>paragraph (</w:t>
      </w:r>
      <w:r w:rsidRPr="00A058B6">
        <w:t>1)(c), the information is as follows:</w:t>
      </w:r>
    </w:p>
    <w:p w14:paraId="5BAE266E" w14:textId="77777777" w:rsidR="00D930D9" w:rsidRPr="00A058B6" w:rsidRDefault="00D930D9" w:rsidP="00D930D9">
      <w:pPr>
        <w:pStyle w:val="paragraph"/>
      </w:pPr>
      <w:r w:rsidRPr="00A058B6">
        <w:tab/>
        <w:t>(a)</w:t>
      </w:r>
      <w:r w:rsidRPr="00A058B6">
        <w:tab/>
        <w:t>the contact details for the plan;</w:t>
      </w:r>
    </w:p>
    <w:p w14:paraId="43053329" w14:textId="6AEDBCA2" w:rsidR="00D930D9" w:rsidRPr="00A058B6" w:rsidRDefault="00D930D9" w:rsidP="00D930D9">
      <w:pPr>
        <w:pStyle w:val="paragraph"/>
      </w:pPr>
      <w:r w:rsidRPr="00A058B6">
        <w:tab/>
        <w:t>(b)</w:t>
      </w:r>
      <w:r w:rsidRPr="00A058B6">
        <w:tab/>
        <w:t>if the interest is not a percentage</w:t>
      </w:r>
      <w:r w:rsidR="001952B3">
        <w:noBreakHyphen/>
      </w:r>
      <w:r w:rsidRPr="00A058B6">
        <w:t>only interest:</w:t>
      </w:r>
    </w:p>
    <w:p w14:paraId="39889219" w14:textId="3CEBAE02" w:rsidR="00D930D9" w:rsidRPr="00A058B6" w:rsidRDefault="00D930D9" w:rsidP="00D930D9">
      <w:pPr>
        <w:pStyle w:val="paragraphsub"/>
      </w:pPr>
      <w:r w:rsidRPr="00A058B6">
        <w:tab/>
        <w:t>(i)</w:t>
      </w:r>
      <w:r w:rsidRPr="00A058B6">
        <w:tab/>
        <w:t>the base amount (if any) allocated to the non</w:t>
      </w:r>
      <w:r w:rsidR="001952B3">
        <w:noBreakHyphen/>
      </w:r>
      <w:r w:rsidRPr="00A058B6">
        <w:t>member spouse under the agreement or order; and</w:t>
      </w:r>
    </w:p>
    <w:p w14:paraId="475999A1" w14:textId="77777777" w:rsidR="00D930D9" w:rsidRPr="00A058B6" w:rsidRDefault="00D930D9" w:rsidP="00D930D9">
      <w:pPr>
        <w:pStyle w:val="paragraphsub"/>
      </w:pPr>
      <w:r w:rsidRPr="00A058B6">
        <w:tab/>
        <w:t>(ii)</w:t>
      </w:r>
      <w:r w:rsidRPr="00A058B6">
        <w:tab/>
        <w:t>the method by which the base amount (if any) will be adjusted on an ongoing basis; and</w:t>
      </w:r>
    </w:p>
    <w:p w14:paraId="53679971" w14:textId="77777777" w:rsidR="00D930D9" w:rsidRPr="00A058B6" w:rsidRDefault="00D930D9" w:rsidP="00D930D9">
      <w:pPr>
        <w:pStyle w:val="paragraphsub"/>
      </w:pPr>
      <w:r w:rsidRPr="00A058B6">
        <w:tab/>
        <w:t>(iii)</w:t>
      </w:r>
      <w:r w:rsidRPr="00A058B6">
        <w:tab/>
        <w:t>the percentage (if any) specified in the agreement or order that is to apply to all splittable payments in respect of the interest;</w:t>
      </w:r>
    </w:p>
    <w:p w14:paraId="487669BA" w14:textId="085420C2" w:rsidR="00D930D9" w:rsidRPr="00A058B6" w:rsidRDefault="00D930D9" w:rsidP="00D930D9">
      <w:pPr>
        <w:pStyle w:val="paragraph"/>
      </w:pPr>
      <w:r w:rsidRPr="00A058B6">
        <w:tab/>
        <w:t>(c)</w:t>
      </w:r>
      <w:r w:rsidRPr="00A058B6">
        <w:tab/>
        <w:t>if the interest is a percentage</w:t>
      </w:r>
      <w:r w:rsidR="001952B3">
        <w:noBreakHyphen/>
      </w:r>
      <w:r w:rsidRPr="00A058B6">
        <w:t>only interest:</w:t>
      </w:r>
    </w:p>
    <w:p w14:paraId="01C2F112" w14:textId="77777777" w:rsidR="00D930D9" w:rsidRPr="00A058B6" w:rsidRDefault="00D930D9" w:rsidP="00D930D9">
      <w:pPr>
        <w:pStyle w:val="paragraphsub"/>
      </w:pPr>
      <w:r w:rsidRPr="00A058B6">
        <w:tab/>
        <w:t>(i)</w:t>
      </w:r>
      <w:r w:rsidRPr="00A058B6">
        <w:tab/>
        <w:t>the percentage specified in the agreement or order; and</w:t>
      </w:r>
    </w:p>
    <w:p w14:paraId="2EA6F39E" w14:textId="2DD31E18" w:rsidR="00D930D9" w:rsidRPr="00A058B6" w:rsidRDefault="00D930D9" w:rsidP="00D930D9">
      <w:pPr>
        <w:pStyle w:val="paragraphsub"/>
      </w:pPr>
      <w:r w:rsidRPr="00A058B6">
        <w:tab/>
        <w:t>(ii)</w:t>
      </w:r>
      <w:r w:rsidRPr="00A058B6">
        <w:tab/>
        <w:t xml:space="preserve">if the payment split is under a superannuation agreement or flag lifting agreement—whether the percentage is to apply for the purposes of </w:t>
      </w:r>
      <w:r w:rsidR="00FE15C4">
        <w:t>subparagraph 9</w:t>
      </w:r>
      <w:r w:rsidRPr="00A058B6">
        <w:t>0XJ(1)(b)(i) or 90YN(1)(b)(i) (as the case may be) of the Act; and</w:t>
      </w:r>
    </w:p>
    <w:p w14:paraId="55DCB117" w14:textId="4FDAE9C4" w:rsidR="00D930D9" w:rsidRPr="00A058B6" w:rsidRDefault="00D930D9" w:rsidP="00D930D9">
      <w:pPr>
        <w:pStyle w:val="paragraphsub"/>
      </w:pPr>
      <w:r w:rsidRPr="00A058B6">
        <w:tab/>
        <w:t>(iii)</w:t>
      </w:r>
      <w:r w:rsidRPr="00A058B6">
        <w:tab/>
        <w:t xml:space="preserve">if the payment split is under a splitting order—whether the order is made under </w:t>
      </w:r>
      <w:r w:rsidR="00FE15C4">
        <w:t>paragraph 9</w:t>
      </w:r>
      <w:r w:rsidRPr="00A058B6">
        <w:t>0XT(1)(c) or 90YY(1)(c) (as the case may be) of the Act;</w:t>
      </w:r>
    </w:p>
    <w:p w14:paraId="0E82B525" w14:textId="321DF541" w:rsidR="00D930D9" w:rsidRPr="00A058B6" w:rsidRDefault="00D930D9" w:rsidP="00D930D9">
      <w:pPr>
        <w:pStyle w:val="paragraph"/>
      </w:pPr>
      <w:r w:rsidRPr="00A058B6">
        <w:tab/>
        <w:t>(d)</w:t>
      </w:r>
      <w:r w:rsidRPr="00A058B6">
        <w:tab/>
        <w:t>the circumstances in which the entitlement of the non</w:t>
      </w:r>
      <w:r w:rsidR="001952B3">
        <w:noBreakHyphen/>
      </w:r>
      <w:r w:rsidRPr="00A058B6">
        <w:t>member spouse will become payable;</w:t>
      </w:r>
    </w:p>
    <w:p w14:paraId="476C1499" w14:textId="0CD62654" w:rsidR="00D930D9" w:rsidRPr="00A058B6" w:rsidRDefault="00D930D9" w:rsidP="00D930D9">
      <w:pPr>
        <w:pStyle w:val="paragraph"/>
      </w:pPr>
      <w:r w:rsidRPr="00A058B6">
        <w:tab/>
        <w:t>(e)</w:t>
      </w:r>
      <w:r w:rsidRPr="00A058B6">
        <w:tab/>
        <w:t>details of any fee payable by the non</w:t>
      </w:r>
      <w:r w:rsidR="001952B3">
        <w:noBreakHyphen/>
      </w:r>
      <w:r w:rsidRPr="00A058B6">
        <w:t>member spouse under section </w:t>
      </w:r>
      <w:r w:rsidR="00485CC2">
        <w:t>98</w:t>
      </w:r>
      <w:r w:rsidRPr="00A058B6">
        <w:t>, and arrangements for the payment of any such fee</w:t>
      </w:r>
      <w:r w:rsidR="00D7157D">
        <w:t>.</w:t>
      </w:r>
    </w:p>
    <w:p w14:paraId="10D02536" w14:textId="3C789C4D" w:rsidR="00D930D9" w:rsidRPr="00A058B6" w:rsidRDefault="00485CC2" w:rsidP="00D930D9">
      <w:pPr>
        <w:pStyle w:val="ActHead5"/>
      </w:pPr>
      <w:bookmarkStart w:id="210" w:name="_Toc188350689"/>
      <w:bookmarkStart w:id="211" w:name="_Hlk187246031"/>
      <w:bookmarkEnd w:id="209"/>
      <w:r w:rsidRPr="00423C34">
        <w:rPr>
          <w:rStyle w:val="CharSectno"/>
        </w:rPr>
        <w:t>143</w:t>
      </w:r>
      <w:r w:rsidR="00D930D9" w:rsidRPr="00A058B6">
        <w:t xml:space="preserve">  Information to be provided to non</w:t>
      </w:r>
      <w:r w:rsidR="001952B3">
        <w:noBreakHyphen/>
      </w:r>
      <w:r w:rsidR="00D930D9" w:rsidRPr="00A058B6">
        <w:t xml:space="preserve">member spouse by the trustee at end of </w:t>
      </w:r>
      <w:r w:rsidR="00334FBA">
        <w:t xml:space="preserve">each </w:t>
      </w:r>
      <w:r w:rsidR="00D930D9" w:rsidRPr="00A058B6">
        <w:t>financial year</w:t>
      </w:r>
      <w:bookmarkEnd w:id="210"/>
    </w:p>
    <w:p w14:paraId="1C304B28" w14:textId="3B06F2E2" w:rsidR="00D930D9" w:rsidRPr="00A058B6" w:rsidRDefault="00D930D9" w:rsidP="00D930D9">
      <w:pPr>
        <w:pStyle w:val="subsection"/>
      </w:pPr>
      <w:r w:rsidRPr="00A058B6">
        <w:tab/>
        <w:t>(1)</w:t>
      </w:r>
      <w:r w:rsidRPr="00A058B6">
        <w:tab/>
        <w:t xml:space="preserve">For the purposes of </w:t>
      </w:r>
      <w:r w:rsidR="00FE15C4">
        <w:t>subsection 9</w:t>
      </w:r>
      <w:r w:rsidRPr="00A058B6">
        <w:t>0XZB(7) or 90YZR(7) of the Act, a person contravenes this subsection if:</w:t>
      </w:r>
    </w:p>
    <w:p w14:paraId="03BFFC66" w14:textId="77777777" w:rsidR="00D930D9" w:rsidRPr="00A058B6" w:rsidRDefault="00D930D9" w:rsidP="00D930D9">
      <w:pPr>
        <w:pStyle w:val="paragraph"/>
      </w:pPr>
      <w:r w:rsidRPr="00A058B6">
        <w:tab/>
        <w:t>(a)</w:t>
      </w:r>
      <w:r w:rsidRPr="00A058B6">
        <w:tab/>
        <w:t>the person is the trustee of an eligible superannuation plan; and</w:t>
      </w:r>
    </w:p>
    <w:p w14:paraId="774297BD" w14:textId="77777777" w:rsidR="00D930D9" w:rsidRPr="00A058B6" w:rsidRDefault="00D930D9" w:rsidP="00D930D9">
      <w:pPr>
        <w:pStyle w:val="paragraph"/>
      </w:pPr>
      <w:r w:rsidRPr="00A058B6">
        <w:tab/>
        <w:t>(b)</w:t>
      </w:r>
      <w:r w:rsidRPr="00A058B6">
        <w:tab/>
        <w:t>the plan is a superannuation fund that is not a regulated superannuation fund; and</w:t>
      </w:r>
    </w:p>
    <w:p w14:paraId="50C420D3" w14:textId="77777777" w:rsidR="00D930D9" w:rsidRPr="00A058B6" w:rsidRDefault="00D930D9" w:rsidP="00D930D9">
      <w:pPr>
        <w:pStyle w:val="paragraph"/>
      </w:pPr>
      <w:r w:rsidRPr="00A058B6">
        <w:tab/>
        <w:t>(c)</w:t>
      </w:r>
      <w:r w:rsidRPr="00A058B6">
        <w:tab/>
        <w:t>a member spouse’s superannuation interest in the plan:</w:t>
      </w:r>
    </w:p>
    <w:p w14:paraId="0F2C1F8A" w14:textId="7870B492" w:rsidR="00D930D9" w:rsidRPr="00A058B6" w:rsidRDefault="00D930D9" w:rsidP="00D930D9">
      <w:pPr>
        <w:pStyle w:val="paragraphsub"/>
      </w:pPr>
      <w:r w:rsidRPr="00A058B6">
        <w:tab/>
        <w:t>(i)</w:t>
      </w:r>
      <w:r w:rsidRPr="00A058B6">
        <w:tab/>
        <w:t>is not a percentage</w:t>
      </w:r>
      <w:r w:rsidR="001952B3">
        <w:noBreakHyphen/>
      </w:r>
      <w:r w:rsidRPr="00A058B6">
        <w:t>only interest; and</w:t>
      </w:r>
    </w:p>
    <w:p w14:paraId="2AC29F4A" w14:textId="169209EF" w:rsidR="00D930D9" w:rsidRPr="00A058B6" w:rsidRDefault="00D930D9" w:rsidP="00D930D9">
      <w:pPr>
        <w:pStyle w:val="paragraphsub"/>
      </w:pPr>
      <w:r w:rsidRPr="00A058B6">
        <w:tab/>
        <w:t>(ii)</w:t>
      </w:r>
      <w:r w:rsidRPr="00A058B6">
        <w:tab/>
        <w:t xml:space="preserve">is subject to a payment split under </w:t>
      </w:r>
      <w:r w:rsidR="00FE15C4">
        <w:t>subparagraph 9</w:t>
      </w:r>
      <w:r w:rsidRPr="00A058B6">
        <w:t xml:space="preserve">0XJ(1)(c)(i) or (ii) or 90YN(1)(c)(i) or (ii) of the Act or under a splitting order made under </w:t>
      </w:r>
      <w:r w:rsidR="00FE15C4">
        <w:t>paragraph 9</w:t>
      </w:r>
      <w:r w:rsidRPr="00A058B6">
        <w:t>0XT(1)(a) or 90YY(1)(a) of the Act; and</w:t>
      </w:r>
    </w:p>
    <w:p w14:paraId="0765AF88" w14:textId="77777777" w:rsidR="00D930D9" w:rsidRPr="00A058B6" w:rsidRDefault="00D930D9" w:rsidP="00D930D9">
      <w:pPr>
        <w:pStyle w:val="paragraphsub"/>
      </w:pPr>
      <w:r w:rsidRPr="00A058B6">
        <w:tab/>
        <w:t>(i</w:t>
      </w:r>
      <w:r w:rsidR="00BC42F9">
        <w:t>i</w:t>
      </w:r>
      <w:r w:rsidRPr="00A058B6">
        <w:t>i)</w:t>
      </w:r>
      <w:r w:rsidRPr="00A058B6">
        <w:tab/>
        <w:t>is in the growth phase during a particular financial year; and</w:t>
      </w:r>
    </w:p>
    <w:p w14:paraId="630B991F" w14:textId="368BE1A2" w:rsidR="00D930D9" w:rsidRPr="00A058B6" w:rsidRDefault="00D930D9" w:rsidP="00D930D9">
      <w:pPr>
        <w:pStyle w:val="paragraph"/>
      </w:pPr>
      <w:r w:rsidRPr="00A058B6">
        <w:tab/>
        <w:t>(d)</w:t>
      </w:r>
      <w:r w:rsidRPr="00A058B6">
        <w:tab/>
        <w:t>the payment split is not under a superannuation agreement, or flag lifting agreement or splitting order, for which the non</w:t>
      </w:r>
      <w:r w:rsidR="001952B3">
        <w:noBreakHyphen/>
      </w:r>
      <w:r w:rsidRPr="00A058B6">
        <w:t xml:space="preserve">member spouse’s entitlement has been satisfied as required by </w:t>
      </w:r>
      <w:r w:rsidR="00453C86">
        <w:t>Division 2</w:t>
      </w:r>
      <w:r w:rsidRPr="00A058B6">
        <w:t xml:space="preserve"> of </w:t>
      </w:r>
      <w:r w:rsidR="006211C7">
        <w:t>Part </w:t>
      </w:r>
      <w:r w:rsidR="009B6E57">
        <w:t>3</w:t>
      </w:r>
      <w:r w:rsidRPr="00A058B6">
        <w:t xml:space="preserve"> of this instrument; and</w:t>
      </w:r>
    </w:p>
    <w:p w14:paraId="4EFE1440" w14:textId="4409F480" w:rsidR="00D930D9" w:rsidRPr="00A058B6" w:rsidRDefault="00D930D9" w:rsidP="00D930D9">
      <w:pPr>
        <w:pStyle w:val="paragraph"/>
      </w:pPr>
      <w:r w:rsidRPr="00A058B6">
        <w:tab/>
        <w:t>(e)</w:t>
      </w:r>
      <w:r w:rsidRPr="00A058B6">
        <w:tab/>
        <w:t>the person fails to, before the end of the 6</w:t>
      </w:r>
      <w:r w:rsidR="001952B3">
        <w:noBreakHyphen/>
      </w:r>
      <w:r w:rsidRPr="00A058B6">
        <w:t>month period starting at the end of the financial year, give to the non</w:t>
      </w:r>
      <w:r w:rsidR="001952B3">
        <w:noBreakHyphen/>
      </w:r>
      <w:r w:rsidRPr="00A058B6">
        <w:t xml:space="preserve">member spouse for the superannuation interest a written notice stating the information mentioned in </w:t>
      </w:r>
      <w:r w:rsidR="00A52DA5">
        <w:t>subsection (</w:t>
      </w:r>
      <w:r w:rsidRPr="00A058B6">
        <w:t>2)</w:t>
      </w:r>
      <w:r>
        <w:t xml:space="preserve"> of this section</w:t>
      </w:r>
      <w:r w:rsidR="00D7157D">
        <w:t>.</w:t>
      </w:r>
    </w:p>
    <w:p w14:paraId="045BBADD" w14:textId="77777777" w:rsidR="00D930D9" w:rsidRPr="00A058B6" w:rsidRDefault="00D930D9" w:rsidP="00D930D9">
      <w:pPr>
        <w:pStyle w:val="Penalty"/>
      </w:pPr>
      <w:r w:rsidRPr="00A058B6">
        <w:t>Penalty:</w:t>
      </w:r>
      <w:r w:rsidRPr="00A058B6">
        <w:tab/>
        <w:t>1 penalty unit</w:t>
      </w:r>
      <w:r w:rsidR="00D7157D">
        <w:t>.</w:t>
      </w:r>
    </w:p>
    <w:p w14:paraId="4E1C5B12" w14:textId="6063F9EC" w:rsidR="00D930D9" w:rsidRPr="00A058B6" w:rsidRDefault="00D930D9" w:rsidP="00D930D9">
      <w:pPr>
        <w:pStyle w:val="subsection"/>
      </w:pPr>
      <w:r w:rsidRPr="00A058B6">
        <w:tab/>
        <w:t>(2)</w:t>
      </w:r>
      <w:r w:rsidRPr="00A058B6">
        <w:tab/>
        <w:t xml:space="preserve">For the purposes of </w:t>
      </w:r>
      <w:r w:rsidR="00453C86">
        <w:t>paragraph (</w:t>
      </w:r>
      <w:r w:rsidRPr="00A058B6">
        <w:t>1)(e), the information is as follows:</w:t>
      </w:r>
    </w:p>
    <w:p w14:paraId="30DE9084" w14:textId="0A345C83" w:rsidR="00D930D9" w:rsidRPr="00A058B6" w:rsidRDefault="00D930D9" w:rsidP="00D930D9">
      <w:pPr>
        <w:pStyle w:val="paragraph"/>
      </w:pPr>
      <w:r w:rsidRPr="00A058B6">
        <w:tab/>
        <w:t>(a)</w:t>
      </w:r>
      <w:r w:rsidRPr="00A058B6">
        <w:tab/>
        <w:t>the value of the adjusted base amount applicable to the non</w:t>
      </w:r>
      <w:r w:rsidR="001952B3">
        <w:noBreakHyphen/>
      </w:r>
      <w:r w:rsidRPr="00A058B6">
        <w:t>member spouse at the end of the financial year;</w:t>
      </w:r>
    </w:p>
    <w:p w14:paraId="655ADCA9" w14:textId="77777777" w:rsidR="00D930D9" w:rsidRPr="00A058B6" w:rsidRDefault="00D930D9" w:rsidP="00D930D9">
      <w:pPr>
        <w:pStyle w:val="paragraph"/>
      </w:pPr>
      <w:r w:rsidRPr="00A058B6">
        <w:tab/>
        <w:t>(b)</w:t>
      </w:r>
      <w:r w:rsidRPr="00A058B6">
        <w:tab/>
        <w:t>the amount of the adjustment in the financial year;</w:t>
      </w:r>
    </w:p>
    <w:p w14:paraId="69D02EE3" w14:textId="1DCAD953" w:rsidR="00D930D9" w:rsidRPr="00A058B6" w:rsidRDefault="00D930D9" w:rsidP="00D930D9">
      <w:pPr>
        <w:pStyle w:val="paragraph"/>
      </w:pPr>
      <w:r w:rsidRPr="00A058B6">
        <w:tab/>
        <w:t>(c)</w:t>
      </w:r>
      <w:r w:rsidRPr="00A058B6">
        <w:tab/>
        <w:t xml:space="preserve">the interest rate that applied, under </w:t>
      </w:r>
      <w:r w:rsidR="00CB78B9">
        <w:t>section 7</w:t>
      </w:r>
      <w:r w:rsidR="00485CC2">
        <w:t>6</w:t>
      </w:r>
      <w:r w:rsidRPr="00A058B6">
        <w:t>, to the superannuation interest for the financial year</w:t>
      </w:r>
      <w:r w:rsidR="00D7157D">
        <w:t>.</w:t>
      </w:r>
    </w:p>
    <w:p w14:paraId="508F2485" w14:textId="10076B46" w:rsidR="006707A0" w:rsidRPr="00A058B6" w:rsidRDefault="006707A0" w:rsidP="006707A0">
      <w:pPr>
        <w:pStyle w:val="ActHead4"/>
      </w:pPr>
      <w:bookmarkStart w:id="212" w:name="_Toc188350690"/>
      <w:bookmarkEnd w:id="211"/>
      <w:r w:rsidRPr="00423C34">
        <w:rPr>
          <w:rStyle w:val="CharSubdNo"/>
        </w:rPr>
        <w:t>Subdivision K</w:t>
      </w:r>
      <w:r w:rsidRPr="00A058B6">
        <w:t>—</w:t>
      </w:r>
      <w:r w:rsidRPr="00423C34">
        <w:rPr>
          <w:rStyle w:val="CharSubdText"/>
        </w:rPr>
        <w:t>Information provided by non</w:t>
      </w:r>
      <w:r w:rsidR="001952B3" w:rsidRPr="00423C34">
        <w:rPr>
          <w:rStyle w:val="CharSubdText"/>
        </w:rPr>
        <w:noBreakHyphen/>
      </w:r>
      <w:r w:rsidRPr="00423C34">
        <w:rPr>
          <w:rStyle w:val="CharSubdText"/>
        </w:rPr>
        <w:t>member spouse</w:t>
      </w:r>
      <w:r w:rsidR="00B30632" w:rsidRPr="00423C34">
        <w:rPr>
          <w:rStyle w:val="CharSubdText"/>
        </w:rPr>
        <w:t xml:space="preserve"> to trustee</w:t>
      </w:r>
      <w:bookmarkEnd w:id="212"/>
    </w:p>
    <w:p w14:paraId="1E78EE11" w14:textId="4C2E7F2E" w:rsidR="00D930D9" w:rsidRPr="00A058B6" w:rsidRDefault="00485CC2" w:rsidP="00D930D9">
      <w:pPr>
        <w:pStyle w:val="ActHead5"/>
      </w:pPr>
      <w:bookmarkStart w:id="213" w:name="_Toc188350691"/>
      <w:r w:rsidRPr="00423C34">
        <w:rPr>
          <w:rStyle w:val="CharSectno"/>
        </w:rPr>
        <w:t>144</w:t>
      </w:r>
      <w:r w:rsidR="00D930D9" w:rsidRPr="00A058B6">
        <w:t xml:space="preserve">  Notice to trustee by or for non</w:t>
      </w:r>
      <w:r w:rsidR="001952B3">
        <w:noBreakHyphen/>
      </w:r>
      <w:r w:rsidR="00D930D9" w:rsidRPr="00A058B6">
        <w:t>member spouse</w:t>
      </w:r>
      <w:bookmarkEnd w:id="213"/>
    </w:p>
    <w:p w14:paraId="2051BD4C" w14:textId="4672FCA0" w:rsidR="00D930D9" w:rsidRPr="00A058B6" w:rsidRDefault="00D930D9" w:rsidP="00D930D9">
      <w:pPr>
        <w:pStyle w:val="subsection"/>
      </w:pPr>
      <w:r w:rsidRPr="00A058B6">
        <w:tab/>
        <w:t>(1)</w:t>
      </w:r>
      <w:r w:rsidRPr="00A058B6">
        <w:tab/>
        <w:t>The non</w:t>
      </w:r>
      <w:r w:rsidR="001952B3">
        <w:noBreakHyphen/>
      </w:r>
      <w:r w:rsidRPr="00A058B6">
        <w:t>member spouse for a superannuation interest that:</w:t>
      </w:r>
    </w:p>
    <w:p w14:paraId="7AD7CC25" w14:textId="77777777" w:rsidR="00D930D9" w:rsidRPr="00A058B6" w:rsidRDefault="00D930D9" w:rsidP="00D930D9">
      <w:pPr>
        <w:pStyle w:val="paragraph"/>
      </w:pPr>
      <w:r w:rsidRPr="00A058B6">
        <w:tab/>
        <w:t>(a)</w:t>
      </w:r>
      <w:r w:rsidRPr="00A058B6">
        <w:tab/>
        <w:t>is held in an eligible superannuation plan; and</w:t>
      </w:r>
    </w:p>
    <w:p w14:paraId="43BFA8D8" w14:textId="77777777" w:rsidR="00D930D9" w:rsidRPr="00A058B6" w:rsidRDefault="00D930D9" w:rsidP="00D930D9">
      <w:pPr>
        <w:pStyle w:val="paragraph"/>
      </w:pPr>
      <w:r w:rsidRPr="00A058B6">
        <w:tab/>
        <w:t>(b)</w:t>
      </w:r>
      <w:r w:rsidRPr="00A058B6">
        <w:tab/>
        <w:t>is subject to a payment split or payment flag;</w:t>
      </w:r>
    </w:p>
    <w:p w14:paraId="2ABD349F" w14:textId="271E7991" w:rsidR="00D930D9" w:rsidRPr="00A058B6" w:rsidRDefault="00D930D9" w:rsidP="00D930D9">
      <w:pPr>
        <w:pStyle w:val="subsection2"/>
      </w:pPr>
      <w:r w:rsidRPr="00A058B6">
        <w:t>must ensure the trustee of that plan is given a written notice, for the non</w:t>
      </w:r>
      <w:r w:rsidR="001952B3">
        <w:noBreakHyphen/>
      </w:r>
      <w:r w:rsidRPr="00A058B6">
        <w:t xml:space="preserve">member spouse, of the information mentioned in </w:t>
      </w:r>
      <w:r w:rsidR="00A52DA5">
        <w:t>subsection (</w:t>
      </w:r>
      <w:r w:rsidRPr="00A058B6">
        <w:t>2)</w:t>
      </w:r>
      <w:r w:rsidR="00D7157D">
        <w:t>.</w:t>
      </w:r>
    </w:p>
    <w:p w14:paraId="37987C8C" w14:textId="77777777" w:rsidR="00D930D9" w:rsidRPr="00A058B6" w:rsidRDefault="00D930D9" w:rsidP="00D930D9">
      <w:pPr>
        <w:pStyle w:val="subsection"/>
      </w:pPr>
      <w:r w:rsidRPr="00A058B6">
        <w:tab/>
        <w:t>(2)</w:t>
      </w:r>
      <w:r w:rsidRPr="00A058B6">
        <w:tab/>
        <w:t>The information is:</w:t>
      </w:r>
    </w:p>
    <w:p w14:paraId="6FEED6F5" w14:textId="15A8419A" w:rsidR="00D930D9" w:rsidRPr="00A058B6" w:rsidRDefault="00D930D9" w:rsidP="00D930D9">
      <w:pPr>
        <w:pStyle w:val="paragraph"/>
      </w:pPr>
      <w:r w:rsidRPr="00A058B6">
        <w:tab/>
        <w:t>(a)</w:t>
      </w:r>
      <w:r w:rsidRPr="00A058B6">
        <w:tab/>
        <w:t>the full name of the non</w:t>
      </w:r>
      <w:r w:rsidR="001952B3">
        <w:noBreakHyphen/>
      </w:r>
      <w:r w:rsidRPr="00A058B6">
        <w:t>member spouse; and</w:t>
      </w:r>
    </w:p>
    <w:p w14:paraId="38B95583" w14:textId="0161D685" w:rsidR="00D930D9" w:rsidRPr="00A058B6" w:rsidRDefault="00D930D9" w:rsidP="00D930D9">
      <w:pPr>
        <w:pStyle w:val="paragraph"/>
      </w:pPr>
      <w:r w:rsidRPr="00A058B6">
        <w:tab/>
        <w:t>(b)</w:t>
      </w:r>
      <w:r w:rsidRPr="00A058B6">
        <w:tab/>
        <w:t>if the non</w:t>
      </w:r>
      <w:r w:rsidR="001952B3">
        <w:noBreakHyphen/>
      </w:r>
      <w:r w:rsidRPr="00A058B6">
        <w:t>member spouse chooses to be represented by a legal representative, support worker or other person or organisation—the full name of that representative; and</w:t>
      </w:r>
    </w:p>
    <w:p w14:paraId="39125AA2" w14:textId="77777777" w:rsidR="00D930D9" w:rsidRPr="00A058B6" w:rsidRDefault="00D930D9" w:rsidP="00D930D9">
      <w:pPr>
        <w:pStyle w:val="paragraph"/>
      </w:pPr>
      <w:r w:rsidRPr="00A058B6">
        <w:tab/>
        <w:t>(c)</w:t>
      </w:r>
      <w:r w:rsidRPr="00A058B6">
        <w:tab/>
        <w:t>a postal or email address of:</w:t>
      </w:r>
    </w:p>
    <w:p w14:paraId="102BBCBD" w14:textId="4745113B" w:rsidR="00D930D9" w:rsidRPr="00A058B6" w:rsidRDefault="00D930D9" w:rsidP="00D930D9">
      <w:pPr>
        <w:pStyle w:val="paragraphsub"/>
      </w:pPr>
      <w:r w:rsidRPr="00A058B6">
        <w:tab/>
        <w:t>(i)</w:t>
      </w:r>
      <w:r w:rsidRPr="00A058B6">
        <w:tab/>
        <w:t>the non</w:t>
      </w:r>
      <w:r w:rsidR="001952B3">
        <w:noBreakHyphen/>
      </w:r>
      <w:r w:rsidRPr="00A058B6">
        <w:t>member spouse; or</w:t>
      </w:r>
    </w:p>
    <w:p w14:paraId="78F467DD" w14:textId="6B4EF09A" w:rsidR="00D930D9" w:rsidRPr="00A058B6" w:rsidRDefault="00D930D9" w:rsidP="00D930D9">
      <w:pPr>
        <w:pStyle w:val="paragraphsub"/>
      </w:pPr>
      <w:r w:rsidRPr="00A058B6">
        <w:tab/>
        <w:t>(ii)</w:t>
      </w:r>
      <w:r w:rsidRPr="00A058B6">
        <w:tab/>
        <w:t xml:space="preserve">if a representative has been chosen under </w:t>
      </w:r>
      <w:r w:rsidR="00453C86">
        <w:t>paragraph (</w:t>
      </w:r>
      <w:r w:rsidRPr="00A058B6">
        <w:t>b)—that representative; and</w:t>
      </w:r>
    </w:p>
    <w:p w14:paraId="534174E2" w14:textId="77777777" w:rsidR="00D930D9" w:rsidRPr="00A058B6" w:rsidRDefault="00D930D9" w:rsidP="00D930D9">
      <w:pPr>
        <w:pStyle w:val="paragraph"/>
      </w:pPr>
      <w:r w:rsidRPr="00A058B6">
        <w:tab/>
        <w:t>(d)</w:t>
      </w:r>
      <w:r w:rsidRPr="00A058B6">
        <w:tab/>
        <w:t>if the interest is subject to a payment split:</w:t>
      </w:r>
    </w:p>
    <w:p w14:paraId="112DD5A6" w14:textId="4D7A3464" w:rsidR="00D930D9" w:rsidRPr="00A058B6" w:rsidRDefault="00D930D9" w:rsidP="00D930D9">
      <w:pPr>
        <w:pStyle w:val="paragraphsub"/>
      </w:pPr>
      <w:r w:rsidRPr="00A058B6">
        <w:tab/>
        <w:t>(i)</w:t>
      </w:r>
      <w:r w:rsidRPr="00A058B6">
        <w:tab/>
        <w:t>the non</w:t>
      </w:r>
      <w:r w:rsidR="001952B3">
        <w:noBreakHyphen/>
      </w:r>
      <w:r w:rsidRPr="00A058B6">
        <w:t>member spouse’s date of birth; and</w:t>
      </w:r>
    </w:p>
    <w:p w14:paraId="266A0916" w14:textId="70420A2B" w:rsidR="00D930D9" w:rsidRDefault="00D930D9" w:rsidP="00D930D9">
      <w:pPr>
        <w:pStyle w:val="paragraphsub"/>
      </w:pPr>
      <w:r w:rsidRPr="00A058B6">
        <w:tab/>
        <w:t>(ii)</w:t>
      </w:r>
      <w:r w:rsidRPr="00A058B6">
        <w:tab/>
        <w:t>whether the non</w:t>
      </w:r>
      <w:r w:rsidR="001952B3">
        <w:noBreakHyphen/>
      </w:r>
      <w:r w:rsidRPr="00A058B6">
        <w:t>member spouse is a member of that plan</w:t>
      </w:r>
      <w:r w:rsidR="0038396A">
        <w:t>, if known</w:t>
      </w:r>
      <w:r w:rsidRPr="00A058B6">
        <w:t>; and</w:t>
      </w:r>
    </w:p>
    <w:p w14:paraId="4CEB6B48" w14:textId="0372C6A9" w:rsidR="003A327A" w:rsidRPr="00A058B6" w:rsidRDefault="00500249" w:rsidP="00D930D9">
      <w:pPr>
        <w:pStyle w:val="paragraphsub"/>
      </w:pPr>
      <w:r>
        <w:tab/>
        <w:t>(iii)</w:t>
      </w:r>
      <w:r>
        <w:tab/>
      </w:r>
      <w:r w:rsidR="00FC144D">
        <w:t>where</w:t>
      </w:r>
      <w:r w:rsidR="00A53E3F">
        <w:t xml:space="preserve"> the non</w:t>
      </w:r>
      <w:r w:rsidR="001952B3">
        <w:noBreakHyphen/>
      </w:r>
      <w:r w:rsidR="00A53E3F">
        <w:t>member spouse is</w:t>
      </w:r>
      <w:r w:rsidR="002B0071">
        <w:t xml:space="preserve"> such</w:t>
      </w:r>
      <w:r w:rsidR="00A53E3F">
        <w:t xml:space="preserve"> a member—the non</w:t>
      </w:r>
      <w:r w:rsidR="001952B3">
        <w:noBreakHyphen/>
      </w:r>
      <w:r w:rsidR="00A53E3F">
        <w:t>member spouse’s membership number of that plan, if known; and</w:t>
      </w:r>
    </w:p>
    <w:p w14:paraId="7E7F7E45" w14:textId="77777777" w:rsidR="00D930D9" w:rsidRPr="00A058B6" w:rsidRDefault="00D930D9" w:rsidP="00D930D9">
      <w:pPr>
        <w:pStyle w:val="paragraph"/>
      </w:pPr>
      <w:r w:rsidRPr="00A058B6">
        <w:tab/>
        <w:t>(e)</w:t>
      </w:r>
      <w:r w:rsidRPr="00A058B6">
        <w:tab/>
        <w:t>the date the notice is given to the trustee of that plan</w:t>
      </w:r>
      <w:r w:rsidR="00D7157D">
        <w:t>.</w:t>
      </w:r>
    </w:p>
    <w:p w14:paraId="7C1C2A74" w14:textId="77777777" w:rsidR="00D930D9" w:rsidRPr="00A058B6" w:rsidRDefault="00D930D9" w:rsidP="00D930D9">
      <w:pPr>
        <w:pStyle w:val="subsection"/>
      </w:pPr>
      <w:r w:rsidRPr="00A058B6">
        <w:tab/>
        <w:t>(3)</w:t>
      </w:r>
      <w:r w:rsidRPr="00A058B6">
        <w:tab/>
        <w:t>The information is to be given to the trustee as soon as practicable after:</w:t>
      </w:r>
    </w:p>
    <w:p w14:paraId="5F959B0D" w14:textId="77777777" w:rsidR="00D930D9" w:rsidRPr="00A058B6" w:rsidRDefault="00D930D9" w:rsidP="00D930D9">
      <w:pPr>
        <w:pStyle w:val="paragraph"/>
      </w:pPr>
      <w:r w:rsidRPr="00A058B6">
        <w:tab/>
        <w:t>(a)</w:t>
      </w:r>
      <w:r w:rsidRPr="00A058B6">
        <w:tab/>
        <w:t>the day the copy of the relevant superannuation agreement, flag lifting agreement or payment flag is served on the trustee; or</w:t>
      </w:r>
    </w:p>
    <w:p w14:paraId="096A25C1" w14:textId="77777777" w:rsidR="00D930D9" w:rsidRPr="00A058B6" w:rsidRDefault="00D930D9" w:rsidP="00D930D9">
      <w:pPr>
        <w:pStyle w:val="paragraph"/>
      </w:pPr>
      <w:r w:rsidRPr="00A058B6">
        <w:tab/>
        <w:t>(b)</w:t>
      </w:r>
      <w:r w:rsidRPr="00A058B6">
        <w:tab/>
        <w:t>the day the splitting order is made</w:t>
      </w:r>
      <w:r w:rsidR="00D7157D">
        <w:t>.</w:t>
      </w:r>
    </w:p>
    <w:p w14:paraId="48372365" w14:textId="4A6FA6B0" w:rsidR="00E511D4" w:rsidRDefault="007936F5" w:rsidP="007936F5">
      <w:pPr>
        <w:pStyle w:val="subsection"/>
      </w:pPr>
      <w:r w:rsidRPr="00A058B6">
        <w:tab/>
        <w:t>(4)</w:t>
      </w:r>
      <w:r w:rsidRPr="00A058B6">
        <w:tab/>
        <w:t>If any of the information changes after it is given to the trustee, the non</w:t>
      </w:r>
      <w:r w:rsidR="001952B3">
        <w:noBreakHyphen/>
      </w:r>
      <w:r w:rsidRPr="00A058B6">
        <w:t xml:space="preserve">member spouse must </w:t>
      </w:r>
      <w:r w:rsidR="00E511D4">
        <w:t>notify</w:t>
      </w:r>
      <w:r w:rsidRPr="00A058B6">
        <w:t xml:space="preserve"> the trustee of the changed information</w:t>
      </w:r>
      <w:r w:rsidR="00E511D4">
        <w:t>:</w:t>
      </w:r>
    </w:p>
    <w:p w14:paraId="0655C212" w14:textId="77777777" w:rsidR="007936F5" w:rsidRDefault="00E511D4" w:rsidP="00E511D4">
      <w:pPr>
        <w:pStyle w:val="paragraph"/>
      </w:pPr>
      <w:r>
        <w:tab/>
        <w:t>(a)</w:t>
      </w:r>
      <w:r>
        <w:tab/>
      </w:r>
      <w:r w:rsidR="007936F5" w:rsidRPr="00A058B6">
        <w:t>as soon as practicable</w:t>
      </w:r>
      <w:r w:rsidR="00BA78F6">
        <w:t xml:space="preserve"> after the change occurs</w:t>
      </w:r>
      <w:r>
        <w:t>; and</w:t>
      </w:r>
    </w:p>
    <w:p w14:paraId="2302E0FE" w14:textId="77777777" w:rsidR="00E511D4" w:rsidRDefault="00E511D4" w:rsidP="00E511D4">
      <w:pPr>
        <w:pStyle w:val="paragraph"/>
      </w:pPr>
      <w:r>
        <w:tab/>
        <w:t>(b)</w:t>
      </w:r>
      <w:r>
        <w:tab/>
        <w:t>in writing or in some other way acceptable to the trustee.</w:t>
      </w:r>
    </w:p>
    <w:p w14:paraId="4308C498" w14:textId="77777777" w:rsidR="003E4640" w:rsidRPr="00A058B6" w:rsidRDefault="00881039" w:rsidP="003E4640">
      <w:pPr>
        <w:pStyle w:val="ActHead2"/>
        <w:pageBreakBefore/>
      </w:pPr>
      <w:bookmarkStart w:id="214" w:name="_Toc188350692"/>
      <w:r w:rsidRPr="00423C34">
        <w:rPr>
          <w:rStyle w:val="CharPartNo"/>
        </w:rPr>
        <w:t>Part 1</w:t>
      </w:r>
      <w:r w:rsidR="0057586F" w:rsidRPr="00423C34">
        <w:rPr>
          <w:rStyle w:val="CharPartNo"/>
        </w:rPr>
        <w:t>0</w:t>
      </w:r>
      <w:r w:rsidR="003E4640" w:rsidRPr="00A058B6">
        <w:t>—</w:t>
      </w:r>
      <w:r w:rsidR="003E4640" w:rsidRPr="00423C34">
        <w:rPr>
          <w:rStyle w:val="CharPartText"/>
        </w:rPr>
        <w:t>Transitional arrangements</w:t>
      </w:r>
      <w:bookmarkEnd w:id="214"/>
    </w:p>
    <w:p w14:paraId="426ACE50" w14:textId="77777777" w:rsidR="003E4640" w:rsidRPr="00A058B6" w:rsidRDefault="00B05FD6" w:rsidP="003E4640">
      <w:pPr>
        <w:pStyle w:val="ActHead3"/>
      </w:pPr>
      <w:bookmarkStart w:id="215" w:name="_Toc188350693"/>
      <w:r w:rsidRPr="00423C34">
        <w:rPr>
          <w:rStyle w:val="CharDivNo"/>
        </w:rPr>
        <w:t>Division 1</w:t>
      </w:r>
      <w:r w:rsidR="003E4640" w:rsidRPr="00A058B6">
        <w:t>—</w:t>
      </w:r>
      <w:r w:rsidR="003E4640" w:rsidRPr="00423C34">
        <w:rPr>
          <w:rStyle w:val="CharDivText"/>
        </w:rPr>
        <w:t>Transitional arrangements for the commencement of this instrument</w:t>
      </w:r>
      <w:bookmarkEnd w:id="215"/>
    </w:p>
    <w:p w14:paraId="1679BDC3" w14:textId="77777777" w:rsidR="00610DDD" w:rsidRDefault="00610DDD" w:rsidP="00617E02">
      <w:pPr>
        <w:pStyle w:val="notetext"/>
      </w:pPr>
      <w:r>
        <w:t>Note:</w:t>
      </w:r>
      <w:r>
        <w:tab/>
        <w:t>A reference in any legislative instrument or notifiable instrument to:</w:t>
      </w:r>
    </w:p>
    <w:p w14:paraId="5771AE7E" w14:textId="4C3196DE" w:rsidR="00610DDD" w:rsidRDefault="00617E02" w:rsidP="00617E02">
      <w:pPr>
        <w:pStyle w:val="notepara"/>
      </w:pPr>
      <w:r>
        <w:t>(a)</w:t>
      </w:r>
      <w:r>
        <w:tab/>
        <w:t xml:space="preserve">the </w:t>
      </w:r>
      <w:r w:rsidRPr="00A058B6">
        <w:rPr>
          <w:i/>
        </w:rPr>
        <w:t xml:space="preserve">Family Law (Superannuation) </w:t>
      </w:r>
      <w:r w:rsidR="001952B3">
        <w:rPr>
          <w:i/>
        </w:rPr>
        <w:t>Regulations 2</w:t>
      </w:r>
      <w:r w:rsidRPr="00A058B6">
        <w:rPr>
          <w:i/>
        </w:rPr>
        <w:t>001</w:t>
      </w:r>
      <w:r>
        <w:t xml:space="preserve"> is treated as if it were a reference to this instrument; or</w:t>
      </w:r>
    </w:p>
    <w:p w14:paraId="3F3FEAA5" w14:textId="2A0A2FB7" w:rsidR="00617E02" w:rsidRDefault="00617E02" w:rsidP="00617E02">
      <w:pPr>
        <w:pStyle w:val="notepara"/>
      </w:pPr>
      <w:r>
        <w:t>(b)</w:t>
      </w:r>
      <w:r>
        <w:tab/>
        <w:t xml:space="preserve">a provision of the </w:t>
      </w:r>
      <w:r w:rsidRPr="00A058B6">
        <w:rPr>
          <w:i/>
        </w:rPr>
        <w:t xml:space="preserve">Family Law (Superannuation) </w:t>
      </w:r>
      <w:r w:rsidR="001952B3">
        <w:rPr>
          <w:i/>
        </w:rPr>
        <w:t>Regulations 2</w:t>
      </w:r>
      <w:r w:rsidRPr="00A058B6">
        <w:rPr>
          <w:i/>
        </w:rPr>
        <w:t>001</w:t>
      </w:r>
      <w:r>
        <w:t xml:space="preserve"> is treated as if it were a reference to </w:t>
      </w:r>
      <w:r w:rsidR="000F6BC3">
        <w:t>the corresponding provision of this instrument</w:t>
      </w:r>
      <w:r w:rsidR="00A71679">
        <w:t>.</w:t>
      </w:r>
    </w:p>
    <w:p w14:paraId="121991BD" w14:textId="0AD8D940" w:rsidR="000F6BC3" w:rsidRPr="00617E02" w:rsidRDefault="00A71679" w:rsidP="00A71679">
      <w:pPr>
        <w:pStyle w:val="notetext"/>
      </w:pPr>
      <w:r>
        <w:tab/>
      </w:r>
      <w:r w:rsidR="000F6BC3">
        <w:t>(</w:t>
      </w:r>
      <w:r>
        <w:t>This is the effect of</w:t>
      </w:r>
      <w:r w:rsidR="000F6BC3">
        <w:t xml:space="preserve"> </w:t>
      </w:r>
      <w:r w:rsidR="002E5664">
        <w:t>paragraphs</w:t>
      </w:r>
      <w:r w:rsidR="000F6BC3">
        <w:t xml:space="preserve"> 10</w:t>
      </w:r>
      <w:r w:rsidR="002E5664">
        <w:t>(</w:t>
      </w:r>
      <w:r>
        <w:t>b) and (c)</w:t>
      </w:r>
      <w:r w:rsidR="000F6BC3">
        <w:t xml:space="preserve"> of the </w:t>
      </w:r>
      <w:r w:rsidRPr="00A71679">
        <w:rPr>
          <w:i/>
        </w:rPr>
        <w:t>Acts Interpretation Act 1901</w:t>
      </w:r>
      <w:r w:rsidR="000F6BC3">
        <w:t xml:space="preserve"> and </w:t>
      </w:r>
      <w:r w:rsidR="00CB78B9">
        <w:t>paragraph 1</w:t>
      </w:r>
      <w:r w:rsidR="000F6BC3">
        <w:t xml:space="preserve">3(1)(a) of the </w:t>
      </w:r>
      <w:r w:rsidR="000F6BC3" w:rsidRPr="002E5664">
        <w:rPr>
          <w:i/>
        </w:rPr>
        <w:t>Legislation Act 2003</w:t>
      </w:r>
      <w:r w:rsidR="000F6BC3">
        <w:t>).</w:t>
      </w:r>
    </w:p>
    <w:p w14:paraId="79F8B24F" w14:textId="09971E90" w:rsidR="003E4640" w:rsidRPr="00A058B6" w:rsidRDefault="00485CC2" w:rsidP="003E4640">
      <w:pPr>
        <w:pStyle w:val="ActHead5"/>
      </w:pPr>
      <w:bookmarkStart w:id="216" w:name="_Toc188350694"/>
      <w:r w:rsidRPr="00423C34">
        <w:rPr>
          <w:rStyle w:val="CharSectno"/>
        </w:rPr>
        <w:t>145</w:t>
      </w:r>
      <w:r w:rsidR="003E4640" w:rsidRPr="00A058B6">
        <w:t xml:space="preserve">  Things done under the </w:t>
      </w:r>
      <w:r w:rsidR="003E4640" w:rsidRPr="00A058B6">
        <w:rPr>
          <w:i/>
        </w:rPr>
        <w:t xml:space="preserve">Family Law (Superannuation) </w:t>
      </w:r>
      <w:r w:rsidR="001952B3">
        <w:rPr>
          <w:i/>
        </w:rPr>
        <w:t>Regulations 2</w:t>
      </w:r>
      <w:r w:rsidR="003E4640" w:rsidRPr="00A058B6">
        <w:rPr>
          <w:i/>
        </w:rPr>
        <w:t>001</w:t>
      </w:r>
      <w:bookmarkEnd w:id="216"/>
    </w:p>
    <w:p w14:paraId="54DD78CF" w14:textId="77777777" w:rsidR="003E4640" w:rsidRPr="00A058B6" w:rsidRDefault="003E4640" w:rsidP="003E4640">
      <w:pPr>
        <w:pStyle w:val="subsection"/>
      </w:pPr>
      <w:r w:rsidRPr="00A058B6">
        <w:tab/>
        <w:t>(1)</w:t>
      </w:r>
      <w:r w:rsidRPr="00A058B6">
        <w:tab/>
        <w:t>If:</w:t>
      </w:r>
    </w:p>
    <w:p w14:paraId="4F707DA2" w14:textId="0637E41B" w:rsidR="003E4640" w:rsidRPr="00A058B6" w:rsidRDefault="003E4640" w:rsidP="003E4640">
      <w:pPr>
        <w:pStyle w:val="paragraph"/>
      </w:pPr>
      <w:r w:rsidRPr="00A058B6">
        <w:tab/>
        <w:t>(a)</w:t>
      </w:r>
      <w:r w:rsidRPr="00A058B6">
        <w:tab/>
        <w:t xml:space="preserve">a thing was done for a particular purpose under the </w:t>
      </w:r>
      <w:r w:rsidRPr="00A058B6">
        <w:rPr>
          <w:i/>
        </w:rPr>
        <w:t xml:space="preserve">Family Law (Superannuation) </w:t>
      </w:r>
      <w:r w:rsidR="001952B3">
        <w:rPr>
          <w:i/>
        </w:rPr>
        <w:t>Regulations 2</w:t>
      </w:r>
      <w:r w:rsidRPr="00A058B6">
        <w:rPr>
          <w:i/>
        </w:rPr>
        <w:t>001</w:t>
      </w:r>
      <w:r>
        <w:t xml:space="preserve"> </w:t>
      </w:r>
      <w:r w:rsidRPr="00A058B6">
        <w:t>as in force immediately before those Regulations were repealed; and</w:t>
      </w:r>
    </w:p>
    <w:p w14:paraId="299080ED" w14:textId="77777777" w:rsidR="003E4640" w:rsidRPr="00A058B6" w:rsidRDefault="003E4640" w:rsidP="003E4640">
      <w:pPr>
        <w:pStyle w:val="paragraph"/>
      </w:pPr>
      <w:r w:rsidRPr="00A058B6">
        <w:tab/>
        <w:t>(b)</w:t>
      </w:r>
      <w:r w:rsidRPr="00A058B6">
        <w:tab/>
        <w:t>the thing could be done for that purpose under this instrument;</w:t>
      </w:r>
    </w:p>
    <w:p w14:paraId="27AECC1B" w14:textId="77777777" w:rsidR="003E4640" w:rsidRPr="00A058B6" w:rsidRDefault="003E4640" w:rsidP="003E4640">
      <w:pPr>
        <w:pStyle w:val="subsection2"/>
      </w:pPr>
      <w:r w:rsidRPr="00A058B6">
        <w:t>the thing has effect for the purposes of this instrument as if it had been done under this instrument</w:t>
      </w:r>
      <w:r w:rsidR="00D7157D">
        <w:t>.</w:t>
      </w:r>
    </w:p>
    <w:p w14:paraId="77D8F0A3" w14:textId="2B205F90" w:rsidR="003E4640" w:rsidRPr="00A058B6" w:rsidRDefault="003E4640" w:rsidP="003E4640">
      <w:pPr>
        <w:pStyle w:val="subsection"/>
      </w:pPr>
      <w:r w:rsidRPr="00A058B6">
        <w:tab/>
        <w:t>(2)</w:t>
      </w:r>
      <w:r w:rsidRPr="00A058B6">
        <w:tab/>
        <w:t xml:space="preserve">Without limiting </w:t>
      </w:r>
      <w:r w:rsidR="00A52DA5">
        <w:t>subsection (</w:t>
      </w:r>
      <w:r w:rsidRPr="00A058B6">
        <w:t>1), a reference in that subsection to a thing being done includes a reference to an approval, notice, application or other instrument being made or given</w:t>
      </w:r>
      <w:r w:rsidR="00D7157D">
        <w:t>.</w:t>
      </w:r>
    </w:p>
    <w:p w14:paraId="58948C55" w14:textId="2BA9611E" w:rsidR="003E4640" w:rsidRDefault="003E4640" w:rsidP="003E4640">
      <w:pPr>
        <w:pStyle w:val="notetext"/>
      </w:pPr>
      <w:r w:rsidRPr="00A058B6">
        <w:t>Note:</w:t>
      </w:r>
      <w:r w:rsidRPr="00A058B6">
        <w:tab/>
        <w:t xml:space="preserve">This section continues in existence, for example, an approval by the Minister under </w:t>
      </w:r>
      <w:r w:rsidR="00CB78B9">
        <w:t>section 3</w:t>
      </w:r>
      <w:r w:rsidRPr="00A058B6">
        <w:t xml:space="preserve">8 of the </w:t>
      </w:r>
      <w:r w:rsidRPr="00A058B6">
        <w:rPr>
          <w:i/>
        </w:rPr>
        <w:t xml:space="preserve">Family Law (Superannuation) </w:t>
      </w:r>
      <w:r w:rsidR="001952B3">
        <w:rPr>
          <w:i/>
        </w:rPr>
        <w:t>Regulations 2</w:t>
      </w:r>
      <w:r w:rsidRPr="00A058B6">
        <w:rPr>
          <w:i/>
        </w:rPr>
        <w:t>001</w:t>
      </w:r>
      <w:r w:rsidR="00D7157D">
        <w:t>.</w:t>
      </w:r>
    </w:p>
    <w:p w14:paraId="55D8811A" w14:textId="432B8994" w:rsidR="00AA0046" w:rsidRPr="00684BA9" w:rsidRDefault="00485CC2" w:rsidP="000B02DA">
      <w:pPr>
        <w:pStyle w:val="ActHead5"/>
        <w:rPr>
          <w:color w:val="000000"/>
          <w:szCs w:val="22"/>
          <w:shd w:val="clear" w:color="auto" w:fill="FFFFFF"/>
        </w:rPr>
      </w:pPr>
      <w:bookmarkStart w:id="217" w:name="_Toc188350695"/>
      <w:r w:rsidRPr="00423C34">
        <w:rPr>
          <w:rStyle w:val="CharSectno"/>
        </w:rPr>
        <w:t>146</w:t>
      </w:r>
      <w:r w:rsidR="005635E5">
        <w:t xml:space="preserve">  </w:t>
      </w:r>
      <w:r w:rsidR="00810F17">
        <w:t xml:space="preserve">Only </w:t>
      </w:r>
      <w:r w:rsidR="00810F17" w:rsidRPr="00AA0046">
        <w:t>certain superannuation inte</w:t>
      </w:r>
      <w:r w:rsidR="00810F17" w:rsidRPr="00AA0046">
        <w:rPr>
          <w:color w:val="000000"/>
          <w:szCs w:val="22"/>
          <w:shd w:val="clear" w:color="auto" w:fill="FFFFFF"/>
        </w:rPr>
        <w:t xml:space="preserve">rests in the scheme constituted by the </w:t>
      </w:r>
      <w:r w:rsidR="00810F17" w:rsidRPr="00AA0046">
        <w:rPr>
          <w:i/>
          <w:iCs/>
          <w:color w:val="000000"/>
          <w:szCs w:val="22"/>
          <w:shd w:val="clear" w:color="auto" w:fill="FFFFFF"/>
        </w:rPr>
        <w:t>Parliamentary Contributory Superannuation Act 1948</w:t>
      </w:r>
      <w:r w:rsidR="00AA0046" w:rsidRPr="00AA0046">
        <w:rPr>
          <w:color w:val="000000"/>
          <w:szCs w:val="22"/>
          <w:shd w:val="clear" w:color="auto" w:fill="FFFFFF"/>
        </w:rPr>
        <w:t xml:space="preserve"> are covered by </w:t>
      </w:r>
      <w:r w:rsidR="00CB78B9">
        <w:rPr>
          <w:color w:val="000000"/>
          <w:szCs w:val="22"/>
          <w:shd w:val="clear" w:color="auto" w:fill="FFFFFF"/>
        </w:rPr>
        <w:t>subparagraph 1</w:t>
      </w:r>
      <w:r>
        <w:rPr>
          <w:color w:val="000000"/>
          <w:szCs w:val="22"/>
          <w:shd w:val="clear" w:color="auto" w:fill="FFFFFF"/>
        </w:rPr>
        <w:t>4</w:t>
      </w:r>
      <w:r w:rsidR="00AA0046" w:rsidRPr="00AA0046">
        <w:rPr>
          <w:color w:val="000000"/>
          <w:szCs w:val="22"/>
          <w:shd w:val="clear" w:color="auto" w:fill="FFFFFF"/>
        </w:rPr>
        <w:t>(1)(b)(ii) of this instrumen</w:t>
      </w:r>
      <w:r w:rsidR="00AA0046" w:rsidRPr="00684BA9">
        <w:rPr>
          <w:color w:val="000000"/>
          <w:szCs w:val="22"/>
          <w:shd w:val="clear" w:color="auto" w:fill="FFFFFF"/>
        </w:rPr>
        <w:t>t</w:t>
      </w:r>
      <w:bookmarkEnd w:id="217"/>
    </w:p>
    <w:p w14:paraId="6DDDB5AF" w14:textId="71FF145A" w:rsidR="005635E5" w:rsidRDefault="005635E5" w:rsidP="000B02DA">
      <w:pPr>
        <w:pStyle w:val="subsection"/>
      </w:pPr>
      <w:r>
        <w:tab/>
      </w:r>
      <w:r>
        <w:tab/>
      </w:r>
      <w:r w:rsidR="000B02DA">
        <w:t>Sub</w:t>
      </w:r>
      <w:r w:rsidR="00CB78B9">
        <w:t>paragraph 1</w:t>
      </w:r>
      <w:r w:rsidR="00485CC2">
        <w:t>4</w:t>
      </w:r>
      <w:r w:rsidR="000B02DA">
        <w:t>(1)</w:t>
      </w:r>
      <w:r>
        <w:t>(</w:t>
      </w:r>
      <w:r w:rsidR="000B02DA">
        <w:t>b</w:t>
      </w:r>
      <w:r>
        <w:t>)(</w:t>
      </w:r>
      <w:r w:rsidR="000B02DA">
        <w:t>ii</w:t>
      </w:r>
      <w:r>
        <w:t>)</w:t>
      </w:r>
      <w:r w:rsidR="000B02DA">
        <w:t xml:space="preserve"> </w:t>
      </w:r>
      <w:r>
        <w:t>applies in relation to a superannuation interest identified in an agreement or a court order under Part VIIIB or VIIIC of the Act that:</w:t>
      </w:r>
    </w:p>
    <w:p w14:paraId="6D8FE259" w14:textId="77777777" w:rsidR="005635E5" w:rsidRPr="00846B3A" w:rsidRDefault="005635E5" w:rsidP="00846B3A">
      <w:pPr>
        <w:pStyle w:val="paragraph"/>
      </w:pPr>
      <w:r>
        <w:tab/>
        <w:t>(a)</w:t>
      </w:r>
      <w:r>
        <w:tab/>
        <w:t>provide</w:t>
      </w:r>
      <w:r w:rsidRPr="00846B3A">
        <w:t>s for a payment split in respect of that interest; and</w:t>
      </w:r>
    </w:p>
    <w:p w14:paraId="43EB6033" w14:textId="77777777" w:rsidR="005635E5" w:rsidRDefault="005635E5" w:rsidP="00846B3A">
      <w:pPr>
        <w:pStyle w:val="paragraph"/>
      </w:pPr>
      <w:r w:rsidRPr="00846B3A">
        <w:tab/>
        <w:t>(b)</w:t>
      </w:r>
      <w:r w:rsidRPr="00846B3A">
        <w:tab/>
        <w:t xml:space="preserve">is made </w:t>
      </w:r>
      <w:r>
        <w:t xml:space="preserve">on or after </w:t>
      </w:r>
      <w:r w:rsidR="00E9124B">
        <w:t>18 October</w:t>
      </w:r>
      <w:r w:rsidR="006A1AC7">
        <w:t xml:space="preserve"> 2023.</w:t>
      </w:r>
    </w:p>
    <w:p w14:paraId="37D665B6" w14:textId="6BC391E5" w:rsidR="00EF52FF" w:rsidRDefault="00EF52FF" w:rsidP="00EF52FF">
      <w:pPr>
        <w:pStyle w:val="notetext"/>
      </w:pPr>
      <w:r>
        <w:t>Note:</w:t>
      </w:r>
      <w:r>
        <w:tab/>
      </w:r>
      <w:r w:rsidR="00E9124B">
        <w:t>18 October</w:t>
      </w:r>
      <w:r>
        <w:t xml:space="preserve"> 2023 is the day the </w:t>
      </w:r>
      <w:r w:rsidRPr="00810F17">
        <w:rPr>
          <w:i/>
        </w:rPr>
        <w:t xml:space="preserve">Family Law (Superannuation) Amendment (Unsplittable Interests) </w:t>
      </w:r>
      <w:r w:rsidR="001952B3">
        <w:rPr>
          <w:i/>
        </w:rPr>
        <w:t>Regulations 2</w:t>
      </w:r>
      <w:r w:rsidRPr="00810F17">
        <w:rPr>
          <w:i/>
        </w:rPr>
        <w:t>023</w:t>
      </w:r>
      <w:r>
        <w:t xml:space="preserve"> commenced, which inserted an equivalent provision to </w:t>
      </w:r>
      <w:r w:rsidR="00CB78B9">
        <w:t>subparagraph 1</w:t>
      </w:r>
      <w:r w:rsidR="00485CC2">
        <w:t>4</w:t>
      </w:r>
      <w:r w:rsidR="00810F17">
        <w:t xml:space="preserve">(1)(b)(ii) into the </w:t>
      </w:r>
      <w:r w:rsidR="00810F17" w:rsidRPr="00A058B6">
        <w:rPr>
          <w:i/>
        </w:rPr>
        <w:t xml:space="preserve">Family Law (Superannuation) </w:t>
      </w:r>
      <w:r w:rsidR="001952B3">
        <w:rPr>
          <w:i/>
        </w:rPr>
        <w:t>Regulations 2</w:t>
      </w:r>
      <w:r w:rsidR="00810F17" w:rsidRPr="00A058B6">
        <w:rPr>
          <w:i/>
        </w:rPr>
        <w:t>001</w:t>
      </w:r>
      <w:r w:rsidR="00810F17">
        <w:t>.</w:t>
      </w:r>
    </w:p>
    <w:p w14:paraId="3708C126" w14:textId="77777777" w:rsidR="00FA26AF" w:rsidRPr="00A058B6" w:rsidRDefault="00FA26AF" w:rsidP="009C0D79">
      <w:pPr>
        <w:sectPr w:rsidR="00FA26AF" w:rsidRPr="00A058B6" w:rsidSect="00942B24">
          <w:headerReference w:type="even" r:id="rId86"/>
          <w:headerReference w:type="default" r:id="rId87"/>
          <w:footerReference w:type="even" r:id="rId88"/>
          <w:footerReference w:type="default" r:id="rId89"/>
          <w:headerReference w:type="first" r:id="rId90"/>
          <w:footerReference w:type="first" r:id="rId91"/>
          <w:pgSz w:w="11907" w:h="16839" w:code="9"/>
          <w:pgMar w:top="2233" w:right="1797" w:bottom="1440" w:left="1797" w:header="720" w:footer="708" w:gutter="0"/>
          <w:pgNumType w:start="1"/>
          <w:cols w:space="708"/>
          <w:docGrid w:linePitch="360"/>
        </w:sectPr>
      </w:pPr>
    </w:p>
    <w:p w14:paraId="65E693F6" w14:textId="27ECBC8C" w:rsidR="00647C6B" w:rsidRPr="00A058B6" w:rsidRDefault="00453C86" w:rsidP="00647C6B">
      <w:pPr>
        <w:pStyle w:val="ActHead1"/>
      </w:pPr>
      <w:bookmarkStart w:id="218" w:name="_Toc188350696"/>
      <w:bookmarkEnd w:id="3"/>
      <w:r w:rsidRPr="00423C34">
        <w:rPr>
          <w:rStyle w:val="CharChapNo"/>
        </w:rPr>
        <w:t>Schedule 1</w:t>
      </w:r>
      <w:r w:rsidR="00647C6B" w:rsidRPr="00A058B6">
        <w:t>—</w:t>
      </w:r>
      <w:r w:rsidR="00647C6B" w:rsidRPr="00423C34">
        <w:rPr>
          <w:rStyle w:val="CharChapText"/>
        </w:rPr>
        <w:t>Forms</w:t>
      </w:r>
      <w:bookmarkEnd w:id="218"/>
    </w:p>
    <w:p w14:paraId="59C7374E" w14:textId="72D35A08" w:rsidR="00647C6B" w:rsidRPr="00A058B6" w:rsidRDefault="00647C6B" w:rsidP="00647C6B">
      <w:pPr>
        <w:pStyle w:val="ActHead2"/>
      </w:pPr>
      <w:bookmarkStart w:id="219" w:name="_Toc188350697"/>
      <w:r w:rsidRPr="00423C34">
        <w:rPr>
          <w:rStyle w:val="CharPartNo"/>
        </w:rPr>
        <w:t>Form 1</w:t>
      </w:r>
      <w:r w:rsidRPr="00A058B6">
        <w:t>—</w:t>
      </w:r>
      <w:r w:rsidRPr="00423C34">
        <w:rPr>
          <w:rStyle w:val="CharPartText"/>
        </w:rPr>
        <w:t>Notice to trustee that non</w:t>
      </w:r>
      <w:r w:rsidR="001952B3" w:rsidRPr="00423C34">
        <w:rPr>
          <w:rStyle w:val="CharPartText"/>
        </w:rPr>
        <w:noBreakHyphen/>
      </w:r>
      <w:r w:rsidRPr="00423C34">
        <w:rPr>
          <w:rStyle w:val="CharPartText"/>
        </w:rPr>
        <w:t>member spouse’s entitlement under agreement or order satisfied</w:t>
      </w:r>
      <w:bookmarkEnd w:id="219"/>
    </w:p>
    <w:p w14:paraId="4AA19D9A" w14:textId="77777777" w:rsidR="00647C6B" w:rsidRPr="00423C34" w:rsidRDefault="00647C6B" w:rsidP="00647C6B">
      <w:pPr>
        <w:pStyle w:val="Header"/>
      </w:pPr>
      <w:r w:rsidRPr="00423C34">
        <w:rPr>
          <w:rStyle w:val="CharDivNo"/>
        </w:rPr>
        <w:t xml:space="preserve"> </w:t>
      </w:r>
      <w:r w:rsidRPr="00423C34">
        <w:rPr>
          <w:rStyle w:val="CharDivText"/>
        </w:rPr>
        <w:t xml:space="preserve"> </w:t>
      </w:r>
    </w:p>
    <w:p w14:paraId="3527F6DC" w14:textId="482A22BD" w:rsidR="00647C6B" w:rsidRPr="00A058B6" w:rsidRDefault="00647C6B" w:rsidP="00647C6B">
      <w:pPr>
        <w:pStyle w:val="notemargin"/>
      </w:pPr>
      <w:r w:rsidRPr="00A058B6">
        <w:t>(</w:t>
      </w:r>
      <w:r w:rsidR="00CB78B9">
        <w:t>section 3</w:t>
      </w:r>
      <w:r w:rsidR="00485CC2">
        <w:t>6</w:t>
      </w:r>
      <w:r w:rsidRPr="00A058B6">
        <w:t>)</w:t>
      </w:r>
    </w:p>
    <w:p w14:paraId="59362E90" w14:textId="36D3522D" w:rsidR="00647C6B" w:rsidRPr="00A058B6" w:rsidRDefault="00647C6B" w:rsidP="00647C6B">
      <w:pPr>
        <w:spacing w:before="360"/>
        <w:rPr>
          <w:b/>
          <w:sz w:val="24"/>
          <w:szCs w:val="24"/>
        </w:rPr>
      </w:pPr>
      <w:r w:rsidRPr="00A058B6">
        <w:rPr>
          <w:b/>
          <w:sz w:val="24"/>
          <w:szCs w:val="24"/>
        </w:rPr>
        <w:t>NOTICE TO TRUSTEE THAT NON</w:t>
      </w:r>
      <w:r w:rsidR="001952B3">
        <w:rPr>
          <w:b/>
          <w:sz w:val="24"/>
          <w:szCs w:val="24"/>
        </w:rPr>
        <w:noBreakHyphen/>
      </w:r>
      <w:r w:rsidRPr="00A058B6">
        <w:rPr>
          <w:b/>
          <w:sz w:val="24"/>
          <w:szCs w:val="24"/>
        </w:rPr>
        <w:t>MEMBER SPOUSE’S ENTITLEMENT IS SATISFIED IN RESPECT OF PARTICULAR PAYMENT SPLIT</w:t>
      </w:r>
    </w:p>
    <w:p w14:paraId="0EA51F96" w14:textId="77777777" w:rsidR="00647C6B" w:rsidRPr="00A058B6" w:rsidRDefault="00647C6B" w:rsidP="00647C6B">
      <w:pPr>
        <w:keepNext/>
        <w:spacing w:before="180"/>
        <w:jc w:val="both"/>
        <w:rPr>
          <w:szCs w:val="22"/>
        </w:rPr>
      </w:pPr>
      <w:r w:rsidRPr="00A058B6">
        <w:rPr>
          <w:szCs w:val="22"/>
        </w:rPr>
        <w:t>TO the trustee of [</w:t>
      </w:r>
      <w:r w:rsidRPr="00A058B6">
        <w:rPr>
          <w:i/>
          <w:iCs/>
          <w:szCs w:val="22"/>
        </w:rPr>
        <w:t>name of eligible superannuation plan</w:t>
      </w:r>
      <w:r w:rsidRPr="00A058B6">
        <w:rPr>
          <w:szCs w:val="22"/>
        </w:rPr>
        <w:t>]:</w:t>
      </w:r>
    </w:p>
    <w:p w14:paraId="6FB965BA" w14:textId="77777777" w:rsidR="00647C6B" w:rsidRPr="00A058B6" w:rsidRDefault="00647C6B" w:rsidP="00647C6B">
      <w:pPr>
        <w:spacing w:before="180"/>
        <w:rPr>
          <w:szCs w:val="22"/>
        </w:rPr>
      </w:pPr>
      <w:r w:rsidRPr="00A058B6">
        <w:rPr>
          <w:szCs w:val="22"/>
        </w:rPr>
        <w:t>IN RELATION TO the payment split, of which you were notified on [</w:t>
      </w:r>
      <w:r w:rsidRPr="00A058B6">
        <w:rPr>
          <w:i/>
          <w:iCs/>
          <w:szCs w:val="22"/>
        </w:rPr>
        <w:t>date when superannuation agreement, flag lifting agreement or splitting order was served on the trustee</w:t>
      </w:r>
      <w:r w:rsidRPr="00A058B6">
        <w:rPr>
          <w:szCs w:val="22"/>
        </w:rPr>
        <w:t>], in respect of the superannuation interest of [</w:t>
      </w:r>
      <w:r w:rsidRPr="00A058B6">
        <w:rPr>
          <w:i/>
          <w:iCs/>
          <w:szCs w:val="22"/>
        </w:rPr>
        <w:t>name of member spouse</w:t>
      </w:r>
      <w:r w:rsidRPr="00A058B6">
        <w:rPr>
          <w:szCs w:val="22"/>
        </w:rPr>
        <w:t>], date of birth [</w:t>
      </w:r>
      <w:r w:rsidRPr="00A058B6">
        <w:rPr>
          <w:i/>
          <w:iCs/>
          <w:szCs w:val="22"/>
        </w:rPr>
        <w:t>date of birth of member spouse</w:t>
      </w:r>
      <w:r w:rsidRPr="00A058B6">
        <w:rPr>
          <w:szCs w:val="22"/>
        </w:rPr>
        <w:t>]</w:t>
      </w:r>
    </w:p>
    <w:p w14:paraId="36807F2A" w14:textId="77777777" w:rsidR="00647C6B" w:rsidRPr="00A058B6" w:rsidRDefault="00647C6B" w:rsidP="00647C6B">
      <w:pPr>
        <w:spacing w:before="240"/>
        <w:rPr>
          <w:rFonts w:ascii="Arial" w:hAnsi="Arial" w:cs="Arial"/>
          <w:b/>
          <w:bCs/>
          <w:szCs w:val="22"/>
        </w:rPr>
      </w:pPr>
      <w:r w:rsidRPr="00A058B6">
        <w:rPr>
          <w:rFonts w:ascii="Arial" w:hAnsi="Arial" w:cs="Arial"/>
          <w:b/>
          <w:bCs/>
          <w:szCs w:val="22"/>
        </w:rPr>
        <w:t>Part A—Superannuation interest in a regulated superannuation fund, exempt public sector superannuation scheme, approved deposit fund, RSA or superannuation annuity</w:t>
      </w:r>
    </w:p>
    <w:p w14:paraId="7A9B4BFD" w14:textId="77777777" w:rsidR="00647C6B" w:rsidRPr="00A058B6" w:rsidRDefault="00647C6B" w:rsidP="00647C6B">
      <w:pPr>
        <w:spacing w:before="180" w:line="240" w:lineRule="exact"/>
        <w:rPr>
          <w:szCs w:val="22"/>
        </w:rPr>
      </w:pPr>
      <w:r w:rsidRPr="00A058B6">
        <w:rPr>
          <w:szCs w:val="22"/>
        </w:rPr>
        <w:t>[</w:t>
      </w:r>
      <w:r w:rsidRPr="00A058B6">
        <w:rPr>
          <w:i/>
          <w:iCs/>
          <w:szCs w:val="22"/>
        </w:rPr>
        <w:t>Complete Part A if the superannuation interest is in a regulated superannuation fund, exempt public sector superannuation scheme, approved deposit fund, RSA or superannuation annuity</w:t>
      </w:r>
      <w:r w:rsidRPr="00A058B6">
        <w:rPr>
          <w:szCs w:val="22"/>
        </w:rPr>
        <w:t>]</w:t>
      </w:r>
    </w:p>
    <w:p w14:paraId="32BF3208" w14:textId="1377884F" w:rsidR="00647C6B" w:rsidRPr="00A058B6" w:rsidRDefault="00647C6B" w:rsidP="00647C6B">
      <w:pPr>
        <w:keepNext/>
        <w:spacing w:before="180" w:line="240" w:lineRule="exact"/>
        <w:rPr>
          <w:szCs w:val="22"/>
        </w:rPr>
      </w:pPr>
      <w:r w:rsidRPr="00A058B6">
        <w:rPr>
          <w:szCs w:val="22"/>
        </w:rPr>
        <w:t>I, [</w:t>
      </w:r>
      <w:r w:rsidRPr="00A058B6">
        <w:rPr>
          <w:i/>
          <w:iCs/>
          <w:szCs w:val="22"/>
        </w:rPr>
        <w:t>name</w:t>
      </w:r>
      <w:r w:rsidRPr="00A058B6">
        <w:rPr>
          <w:szCs w:val="22"/>
        </w:rPr>
        <w:t>], the non</w:t>
      </w:r>
      <w:r w:rsidR="001952B3">
        <w:rPr>
          <w:szCs w:val="22"/>
        </w:rPr>
        <w:noBreakHyphen/>
      </w:r>
      <w:r w:rsidRPr="00A058B6">
        <w:rPr>
          <w:szCs w:val="22"/>
        </w:rPr>
        <w:t>member spouse in relation to the above superannuation interest, of [</w:t>
      </w:r>
      <w:r w:rsidRPr="00A058B6">
        <w:rPr>
          <w:i/>
          <w:iCs/>
          <w:szCs w:val="22"/>
        </w:rPr>
        <w:t>postal address</w:t>
      </w:r>
      <w:r w:rsidRPr="00A058B6">
        <w:rPr>
          <w:szCs w:val="22"/>
        </w:rPr>
        <w:t>], born on [</w:t>
      </w:r>
      <w:r w:rsidRPr="00A058B6">
        <w:rPr>
          <w:i/>
          <w:iCs/>
          <w:szCs w:val="22"/>
        </w:rPr>
        <w:t>date of birth</w:t>
      </w:r>
      <w:r w:rsidRPr="00A058B6">
        <w:rPr>
          <w:szCs w:val="22"/>
        </w:rPr>
        <w:t>], give notice that:</w:t>
      </w:r>
    </w:p>
    <w:p w14:paraId="6BEF1FF7" w14:textId="04DD22A3" w:rsidR="00647C6B" w:rsidRPr="00A058B6" w:rsidRDefault="001952B3" w:rsidP="00647C6B">
      <w:pPr>
        <w:spacing w:before="180" w:line="240" w:lineRule="exact"/>
        <w:ind w:left="567" w:hanging="567"/>
        <w:rPr>
          <w:rFonts w:eastAsia="Times New Roman"/>
          <w:szCs w:val="22"/>
        </w:rPr>
      </w:pPr>
      <w:r w:rsidRPr="001952B3">
        <w:rPr>
          <w:rFonts w:eastAsia="Times New Roman"/>
          <w:position w:val="6"/>
          <w:sz w:val="16"/>
          <w:szCs w:val="22"/>
        </w:rPr>
        <w:t>*</w:t>
      </w:r>
      <w:r w:rsidR="00647C6B" w:rsidRPr="00A058B6">
        <w:rPr>
          <w:rFonts w:eastAsia="Times New Roman"/>
          <w:szCs w:val="22"/>
        </w:rPr>
        <w:t>1</w:t>
      </w:r>
      <w:r w:rsidR="00D7157D">
        <w:rPr>
          <w:rFonts w:eastAsia="Times New Roman"/>
          <w:szCs w:val="22"/>
        </w:rPr>
        <w:t>.</w:t>
      </w:r>
      <w:r w:rsidR="00647C6B" w:rsidRPr="00A058B6">
        <w:rPr>
          <w:rFonts w:eastAsia="Times New Roman"/>
          <w:szCs w:val="22"/>
        </w:rPr>
        <w:tab/>
        <w:t>I have received from [</w:t>
      </w:r>
      <w:r w:rsidR="00647C6B" w:rsidRPr="00A058B6">
        <w:rPr>
          <w:rFonts w:eastAsia="Times New Roman"/>
          <w:i/>
          <w:iCs/>
          <w:szCs w:val="22"/>
        </w:rPr>
        <w:t>name of member spouse</w:t>
      </w:r>
      <w:r w:rsidR="00647C6B" w:rsidRPr="00A058B6">
        <w:rPr>
          <w:rFonts w:eastAsia="Times New Roman"/>
          <w:szCs w:val="22"/>
        </w:rPr>
        <w:t>] the amount of [</w:t>
      </w:r>
      <w:r w:rsidR="00647C6B" w:rsidRPr="00A058B6">
        <w:rPr>
          <w:rFonts w:eastAsia="Times New Roman"/>
          <w:i/>
          <w:iCs/>
          <w:szCs w:val="22"/>
        </w:rPr>
        <w:t>amount</w:t>
      </w:r>
      <w:r w:rsidR="00647C6B" w:rsidRPr="00A058B6">
        <w:rPr>
          <w:rFonts w:eastAsia="Times New Roman"/>
          <w:szCs w:val="22"/>
        </w:rPr>
        <w:t>] in satisfaction of my entitlement in respect of the payment split</w:t>
      </w:r>
      <w:r w:rsidR="00D7157D">
        <w:rPr>
          <w:rFonts w:eastAsia="Times New Roman"/>
          <w:szCs w:val="22"/>
        </w:rPr>
        <w:t>.</w:t>
      </w:r>
    </w:p>
    <w:p w14:paraId="4FAA365F" w14:textId="77777777" w:rsidR="00647C6B" w:rsidRPr="00A058B6" w:rsidRDefault="00647C6B" w:rsidP="00647C6B">
      <w:pPr>
        <w:spacing w:before="180" w:line="240" w:lineRule="exact"/>
        <w:ind w:left="567" w:hanging="567"/>
        <w:rPr>
          <w:rFonts w:eastAsia="Times New Roman"/>
          <w:szCs w:val="22"/>
        </w:rPr>
      </w:pPr>
      <w:r w:rsidRPr="00A058B6">
        <w:rPr>
          <w:rFonts w:eastAsia="Times New Roman"/>
          <w:szCs w:val="22"/>
        </w:rPr>
        <w:tab/>
        <w:t>OR</w:t>
      </w:r>
    </w:p>
    <w:p w14:paraId="4FF4CD3A" w14:textId="6B4333CD" w:rsidR="00647C6B" w:rsidRPr="00A058B6" w:rsidRDefault="001952B3" w:rsidP="00647C6B">
      <w:pPr>
        <w:spacing w:before="180" w:line="240" w:lineRule="exact"/>
        <w:ind w:left="567" w:hanging="567"/>
        <w:rPr>
          <w:rFonts w:eastAsia="Times New Roman"/>
          <w:szCs w:val="22"/>
        </w:rPr>
      </w:pPr>
      <w:r w:rsidRPr="001952B3">
        <w:rPr>
          <w:rFonts w:eastAsia="Times New Roman"/>
          <w:position w:val="6"/>
          <w:sz w:val="16"/>
          <w:szCs w:val="22"/>
        </w:rPr>
        <w:t>*</w:t>
      </w:r>
      <w:r w:rsidR="00647C6B" w:rsidRPr="00A058B6">
        <w:rPr>
          <w:rFonts w:eastAsia="Times New Roman"/>
          <w:szCs w:val="22"/>
        </w:rPr>
        <w:t>1</w:t>
      </w:r>
      <w:r w:rsidR="00D7157D">
        <w:rPr>
          <w:rFonts w:eastAsia="Times New Roman"/>
          <w:szCs w:val="22"/>
        </w:rPr>
        <w:t>.</w:t>
      </w:r>
      <w:r w:rsidR="00647C6B" w:rsidRPr="00A058B6">
        <w:rPr>
          <w:rFonts w:eastAsia="Times New Roman"/>
          <w:szCs w:val="22"/>
        </w:rPr>
        <w:tab/>
        <w:t>[</w:t>
      </w:r>
      <w:r w:rsidR="00647C6B" w:rsidRPr="00A058B6">
        <w:rPr>
          <w:rFonts w:eastAsia="Times New Roman"/>
          <w:i/>
          <w:iCs/>
          <w:szCs w:val="22"/>
        </w:rPr>
        <w:t>Name of member spouse</w:t>
      </w:r>
      <w:r w:rsidR="00647C6B" w:rsidRPr="00A058B6">
        <w:rPr>
          <w:rFonts w:eastAsia="Times New Roman"/>
          <w:szCs w:val="22"/>
        </w:rPr>
        <w:t>] has paid the amount of [</w:t>
      </w:r>
      <w:r w:rsidR="00647C6B" w:rsidRPr="00A058B6">
        <w:rPr>
          <w:rFonts w:eastAsia="Times New Roman"/>
          <w:i/>
          <w:iCs/>
          <w:szCs w:val="22"/>
        </w:rPr>
        <w:t>amount</w:t>
      </w:r>
      <w:r w:rsidR="00647C6B" w:rsidRPr="00A058B6">
        <w:rPr>
          <w:rFonts w:eastAsia="Times New Roman"/>
          <w:szCs w:val="22"/>
        </w:rPr>
        <w:t>] to a regulated superannuation fund or an RSA, to be held for my benefit, in satisfaction of my entitlement in respect of the payment split</w:t>
      </w:r>
      <w:r w:rsidR="00D7157D">
        <w:rPr>
          <w:rFonts w:eastAsia="Times New Roman"/>
          <w:szCs w:val="22"/>
        </w:rPr>
        <w:t>.</w:t>
      </w:r>
    </w:p>
    <w:p w14:paraId="7D72076D" w14:textId="77777777" w:rsidR="00647C6B" w:rsidRPr="00A058B6" w:rsidRDefault="00647C6B" w:rsidP="00647C6B">
      <w:pPr>
        <w:keepNext/>
        <w:spacing w:before="180" w:line="260" w:lineRule="exact"/>
        <w:ind w:left="567" w:hanging="567"/>
        <w:rPr>
          <w:rFonts w:eastAsia="Times New Roman"/>
          <w:szCs w:val="22"/>
        </w:rPr>
      </w:pPr>
      <w:r w:rsidRPr="00A058B6">
        <w:rPr>
          <w:rFonts w:eastAsia="Times New Roman"/>
          <w:szCs w:val="22"/>
        </w:rPr>
        <w:t>2</w:t>
      </w:r>
      <w:r w:rsidR="00D7157D">
        <w:rPr>
          <w:rFonts w:eastAsia="Times New Roman"/>
          <w:szCs w:val="22"/>
        </w:rPr>
        <w:t>.</w:t>
      </w:r>
      <w:r w:rsidRPr="00A058B6">
        <w:rPr>
          <w:rFonts w:eastAsia="Times New Roman"/>
          <w:szCs w:val="22"/>
        </w:rPr>
        <w:tab/>
        <w:t>I received independent legal advice from a legal practitioner explaining that the payment to me is in substitution for:</w:t>
      </w:r>
    </w:p>
    <w:p w14:paraId="1A93ED3E" w14:textId="77777777" w:rsidR="00647C6B" w:rsidRPr="00A058B6" w:rsidRDefault="00647C6B" w:rsidP="00647C6B">
      <w:pPr>
        <w:tabs>
          <w:tab w:val="right" w:pos="1191"/>
        </w:tabs>
        <w:spacing w:before="60" w:line="240" w:lineRule="exact"/>
        <w:ind w:left="1134" w:hanging="567"/>
        <w:rPr>
          <w:rFonts w:eastAsia="Times New Roman"/>
          <w:szCs w:val="22"/>
        </w:rPr>
      </w:pPr>
      <w:r w:rsidRPr="00A058B6">
        <w:rPr>
          <w:rFonts w:eastAsia="Times New Roman"/>
          <w:szCs w:val="22"/>
        </w:rPr>
        <w:t>(a)</w:t>
      </w:r>
      <w:r w:rsidRPr="00A058B6">
        <w:rPr>
          <w:rFonts w:eastAsia="Times New Roman"/>
          <w:szCs w:val="22"/>
        </w:rPr>
        <w:tab/>
        <w:t>any entitlement I have to receive an amount of money from a splittable payment that becomes payable in respect of the superannuation interest; or</w:t>
      </w:r>
    </w:p>
    <w:p w14:paraId="380114C1" w14:textId="77777777" w:rsidR="00647C6B" w:rsidRPr="00A058B6" w:rsidRDefault="00647C6B" w:rsidP="00647C6B">
      <w:pPr>
        <w:tabs>
          <w:tab w:val="right" w:pos="1191"/>
        </w:tabs>
        <w:spacing w:before="60" w:line="240" w:lineRule="exact"/>
        <w:ind w:left="1134" w:hanging="567"/>
        <w:rPr>
          <w:rFonts w:eastAsia="Times New Roman"/>
          <w:szCs w:val="22"/>
        </w:rPr>
      </w:pPr>
      <w:r w:rsidRPr="00A058B6">
        <w:rPr>
          <w:rFonts w:eastAsia="Times New Roman"/>
          <w:szCs w:val="22"/>
        </w:rPr>
        <w:t>(b)</w:t>
      </w:r>
      <w:r w:rsidRPr="00A058B6">
        <w:rPr>
          <w:rFonts w:eastAsia="Times New Roman"/>
          <w:szCs w:val="22"/>
        </w:rPr>
        <w:tab/>
        <w:t xml:space="preserve">any right I have to make a request under the payment split provisions of the </w:t>
      </w:r>
      <w:r w:rsidRPr="00A058B6">
        <w:rPr>
          <w:rFonts w:eastAsia="Times New Roman"/>
          <w:i/>
          <w:iCs/>
          <w:szCs w:val="22"/>
        </w:rPr>
        <w:t>Superannuation Industry (Supervision) Regulations 1994</w:t>
      </w:r>
      <w:r w:rsidRPr="00A058B6">
        <w:rPr>
          <w:rFonts w:eastAsia="Times New Roman"/>
          <w:szCs w:val="22"/>
        </w:rPr>
        <w:t xml:space="preserve"> to have a new interest created in the eligible superannuation plan in which the member spouse has the superannuation interest, or to request the trustee of that plan to transfer an amount to another eligible superannuation plan to be held for my benefit</w:t>
      </w:r>
      <w:r w:rsidR="00D7157D">
        <w:rPr>
          <w:rFonts w:eastAsia="Times New Roman"/>
          <w:szCs w:val="22"/>
        </w:rPr>
        <w:t>.</w:t>
      </w:r>
    </w:p>
    <w:p w14:paraId="1C85F08E" w14:textId="77777777" w:rsidR="00647C6B" w:rsidRPr="00A058B6" w:rsidRDefault="00647C6B" w:rsidP="009B14FD">
      <w:pPr>
        <w:pageBreakBefore/>
        <w:spacing w:before="240" w:line="240" w:lineRule="auto"/>
        <w:rPr>
          <w:rFonts w:ascii="Arial" w:eastAsia="Times New Roman" w:hAnsi="Arial" w:cs="Arial"/>
          <w:b/>
          <w:bCs/>
          <w:szCs w:val="22"/>
          <w:lang w:eastAsia="en-AU"/>
        </w:rPr>
      </w:pPr>
      <w:r w:rsidRPr="00A058B6">
        <w:rPr>
          <w:rFonts w:ascii="Arial" w:eastAsia="Times New Roman" w:hAnsi="Arial" w:cs="Arial"/>
          <w:b/>
          <w:bCs/>
          <w:szCs w:val="22"/>
          <w:lang w:eastAsia="en-AU"/>
        </w:rPr>
        <w:t>Part B—Superannuation interest in a superannuation fund other than an interest in a regulated superannuation fund or an exempt public sector superannuation scheme</w:t>
      </w:r>
    </w:p>
    <w:p w14:paraId="596A3327" w14:textId="77777777" w:rsidR="00647C6B" w:rsidRPr="00A058B6" w:rsidRDefault="00647C6B" w:rsidP="00647C6B">
      <w:pPr>
        <w:spacing w:before="180" w:line="240" w:lineRule="exact"/>
        <w:rPr>
          <w:rFonts w:eastAsia="Times New Roman"/>
          <w:szCs w:val="22"/>
          <w:lang w:eastAsia="en-AU"/>
        </w:rPr>
      </w:pPr>
      <w:r w:rsidRPr="00A058B6">
        <w:rPr>
          <w:rFonts w:eastAsia="Times New Roman"/>
          <w:szCs w:val="22"/>
          <w:lang w:eastAsia="en-AU"/>
        </w:rPr>
        <w:t>[</w:t>
      </w:r>
      <w:r w:rsidRPr="00A058B6">
        <w:rPr>
          <w:rFonts w:eastAsia="Times New Roman"/>
          <w:i/>
          <w:iCs/>
          <w:szCs w:val="22"/>
          <w:lang w:eastAsia="en-AU"/>
        </w:rPr>
        <w:t>Complete Part B if the superannuation interest is in a superannuation fund that is not a regulated superannuation fund or exempt public sector superannuation scheme</w:t>
      </w:r>
      <w:r w:rsidRPr="00A058B6">
        <w:rPr>
          <w:rFonts w:eastAsia="Times New Roman"/>
          <w:szCs w:val="22"/>
          <w:lang w:eastAsia="en-AU"/>
        </w:rPr>
        <w:t>]</w:t>
      </w:r>
    </w:p>
    <w:p w14:paraId="5A394884" w14:textId="16F802D1" w:rsidR="00647C6B" w:rsidRPr="00A058B6" w:rsidRDefault="00647C6B" w:rsidP="00647C6B">
      <w:pPr>
        <w:keepNext/>
        <w:spacing w:before="180" w:line="240" w:lineRule="exact"/>
        <w:rPr>
          <w:rFonts w:eastAsia="Times New Roman"/>
          <w:szCs w:val="22"/>
          <w:lang w:eastAsia="en-AU"/>
        </w:rPr>
      </w:pPr>
      <w:r w:rsidRPr="00A058B6">
        <w:rPr>
          <w:rFonts w:eastAsia="Times New Roman"/>
          <w:szCs w:val="22"/>
          <w:lang w:eastAsia="en-AU"/>
        </w:rPr>
        <w:t>I, [</w:t>
      </w:r>
      <w:r w:rsidRPr="00A058B6">
        <w:rPr>
          <w:rFonts w:eastAsia="Times New Roman"/>
          <w:i/>
          <w:iCs/>
          <w:szCs w:val="22"/>
          <w:lang w:eastAsia="en-AU"/>
        </w:rPr>
        <w:t>name</w:t>
      </w:r>
      <w:r w:rsidRPr="00A058B6">
        <w:rPr>
          <w:rFonts w:eastAsia="Times New Roman"/>
          <w:szCs w:val="22"/>
          <w:lang w:eastAsia="en-AU"/>
        </w:rPr>
        <w:t>], the non</w:t>
      </w:r>
      <w:r w:rsidR="001952B3">
        <w:rPr>
          <w:rFonts w:eastAsia="Times New Roman"/>
          <w:szCs w:val="22"/>
          <w:lang w:eastAsia="en-AU"/>
        </w:rPr>
        <w:noBreakHyphen/>
      </w:r>
      <w:r w:rsidRPr="00A058B6">
        <w:rPr>
          <w:rFonts w:eastAsia="Times New Roman"/>
          <w:szCs w:val="22"/>
          <w:lang w:eastAsia="en-AU"/>
        </w:rPr>
        <w:t>member spouse in relation to the above superannuation interest, of [</w:t>
      </w:r>
      <w:r w:rsidRPr="00A058B6">
        <w:rPr>
          <w:rFonts w:eastAsia="Times New Roman"/>
          <w:i/>
          <w:iCs/>
          <w:szCs w:val="22"/>
          <w:lang w:eastAsia="en-AU"/>
        </w:rPr>
        <w:t>postal address</w:t>
      </w:r>
      <w:r w:rsidRPr="00A058B6">
        <w:rPr>
          <w:rFonts w:eastAsia="Times New Roman"/>
          <w:szCs w:val="22"/>
          <w:lang w:eastAsia="en-AU"/>
        </w:rPr>
        <w:t>], born on [</w:t>
      </w:r>
      <w:r w:rsidRPr="00A058B6">
        <w:rPr>
          <w:rFonts w:eastAsia="Times New Roman"/>
          <w:i/>
          <w:iCs/>
          <w:szCs w:val="22"/>
          <w:lang w:eastAsia="en-AU"/>
        </w:rPr>
        <w:t>date of birth</w:t>
      </w:r>
      <w:r w:rsidRPr="00A058B6">
        <w:rPr>
          <w:rFonts w:eastAsia="Times New Roman"/>
          <w:szCs w:val="22"/>
          <w:lang w:eastAsia="en-AU"/>
        </w:rPr>
        <w:t>], give notice that:</w:t>
      </w:r>
    </w:p>
    <w:p w14:paraId="629FD8A0" w14:textId="77777777" w:rsidR="00647C6B" w:rsidRPr="00A058B6" w:rsidRDefault="00647C6B" w:rsidP="00647C6B">
      <w:pPr>
        <w:keepNext/>
        <w:spacing w:before="180" w:line="240" w:lineRule="exact"/>
        <w:ind w:left="567" w:hanging="567"/>
        <w:rPr>
          <w:rFonts w:eastAsia="Times New Roman"/>
          <w:szCs w:val="22"/>
        </w:rPr>
      </w:pPr>
      <w:r w:rsidRPr="00A058B6">
        <w:rPr>
          <w:rFonts w:eastAsia="Times New Roman"/>
          <w:szCs w:val="22"/>
        </w:rPr>
        <w:t>1</w:t>
      </w:r>
      <w:r w:rsidR="00D7157D">
        <w:rPr>
          <w:rFonts w:eastAsia="Times New Roman"/>
          <w:szCs w:val="22"/>
        </w:rPr>
        <w:t>.</w:t>
      </w:r>
      <w:r w:rsidRPr="00A058B6">
        <w:rPr>
          <w:rFonts w:eastAsia="Times New Roman"/>
          <w:szCs w:val="22"/>
        </w:rPr>
        <w:tab/>
        <w:t>I have received from [</w:t>
      </w:r>
      <w:r w:rsidRPr="00A058B6">
        <w:rPr>
          <w:rFonts w:eastAsia="Times New Roman"/>
          <w:i/>
          <w:iCs/>
          <w:szCs w:val="22"/>
        </w:rPr>
        <w:t>name of member spouse</w:t>
      </w:r>
      <w:r w:rsidRPr="00A058B6">
        <w:rPr>
          <w:rFonts w:eastAsia="Times New Roman"/>
          <w:szCs w:val="22"/>
        </w:rPr>
        <w:t>] the amount of [</w:t>
      </w:r>
      <w:r w:rsidRPr="00A058B6">
        <w:rPr>
          <w:rFonts w:eastAsia="Times New Roman"/>
          <w:i/>
          <w:iCs/>
          <w:szCs w:val="22"/>
        </w:rPr>
        <w:t>amount</w:t>
      </w:r>
      <w:r w:rsidRPr="00A058B6">
        <w:rPr>
          <w:rFonts w:eastAsia="Times New Roman"/>
          <w:szCs w:val="22"/>
        </w:rPr>
        <w:t>] in satisfaction of my entitlement in respect of the payment split</w:t>
      </w:r>
      <w:r w:rsidR="00D7157D">
        <w:rPr>
          <w:rFonts w:eastAsia="Times New Roman"/>
          <w:szCs w:val="22"/>
        </w:rPr>
        <w:t>.</w:t>
      </w:r>
    </w:p>
    <w:p w14:paraId="294668D0" w14:textId="77777777" w:rsidR="00647C6B" w:rsidRPr="00A058B6" w:rsidRDefault="00647C6B" w:rsidP="00647C6B">
      <w:pPr>
        <w:keepNext/>
        <w:spacing w:before="180" w:line="240" w:lineRule="exact"/>
        <w:ind w:left="567" w:hanging="567"/>
        <w:rPr>
          <w:rFonts w:eastAsia="Times New Roman"/>
          <w:szCs w:val="22"/>
        </w:rPr>
      </w:pPr>
      <w:r w:rsidRPr="00A058B6">
        <w:rPr>
          <w:rFonts w:eastAsia="Times New Roman"/>
          <w:szCs w:val="22"/>
        </w:rPr>
        <w:t>2</w:t>
      </w:r>
      <w:r w:rsidR="00D7157D">
        <w:rPr>
          <w:rFonts w:eastAsia="Times New Roman"/>
          <w:szCs w:val="22"/>
        </w:rPr>
        <w:t>.</w:t>
      </w:r>
      <w:r w:rsidRPr="00A058B6">
        <w:rPr>
          <w:rFonts w:eastAsia="Times New Roman"/>
          <w:szCs w:val="22"/>
        </w:rPr>
        <w:tab/>
        <w:t>I received independent legal advice from a legal practitioner explaining that the payment to me is in substitution for any entitlement I have to receive an amount of money from a splittable payment that becomes payable in respect of the superannuation interest</w:t>
      </w:r>
      <w:r w:rsidR="00D7157D">
        <w:rPr>
          <w:rFonts w:eastAsia="Times New Roman"/>
          <w:szCs w:val="22"/>
        </w:rPr>
        <w:t>.</w:t>
      </w:r>
    </w:p>
    <w:p w14:paraId="0D2FC29E" w14:textId="77777777" w:rsidR="00647C6B" w:rsidRPr="00A058B6" w:rsidRDefault="00647C6B" w:rsidP="00647C6B">
      <w:pPr>
        <w:spacing w:before="240" w:line="240" w:lineRule="auto"/>
        <w:jc w:val="both"/>
        <w:rPr>
          <w:rFonts w:eastAsia="Times New Roman"/>
          <w:szCs w:val="22"/>
          <w:lang w:eastAsia="en-AU"/>
        </w:rPr>
      </w:pPr>
      <w:r w:rsidRPr="00A058B6">
        <w:rPr>
          <w:rFonts w:eastAsia="Times New Roman"/>
          <w:szCs w:val="22"/>
          <w:lang w:eastAsia="en-AU"/>
        </w:rPr>
        <w:t>DATED:</w:t>
      </w:r>
    </w:p>
    <w:p w14:paraId="7C49CCB6" w14:textId="24C0906F" w:rsidR="00647C6B" w:rsidRPr="00A058B6" w:rsidRDefault="00647C6B" w:rsidP="00647C6B">
      <w:pPr>
        <w:spacing w:before="180" w:line="240" w:lineRule="auto"/>
        <w:jc w:val="right"/>
        <w:rPr>
          <w:rFonts w:eastAsia="Times New Roman"/>
          <w:szCs w:val="22"/>
          <w:lang w:eastAsia="en-AU"/>
        </w:rPr>
      </w:pPr>
      <w:r w:rsidRPr="00A058B6">
        <w:rPr>
          <w:rFonts w:eastAsia="Times New Roman"/>
          <w:szCs w:val="22"/>
          <w:lang w:eastAsia="en-AU"/>
        </w:rPr>
        <w:t>[</w:t>
      </w:r>
      <w:r w:rsidRPr="00A058B6">
        <w:rPr>
          <w:rFonts w:eastAsia="Times New Roman"/>
          <w:i/>
          <w:iCs/>
          <w:szCs w:val="22"/>
          <w:lang w:eastAsia="en-AU"/>
        </w:rPr>
        <w:t>signature of non</w:t>
      </w:r>
      <w:r w:rsidR="001952B3">
        <w:rPr>
          <w:rFonts w:eastAsia="Times New Roman"/>
          <w:i/>
          <w:iCs/>
          <w:szCs w:val="22"/>
          <w:lang w:eastAsia="en-AU"/>
        </w:rPr>
        <w:noBreakHyphen/>
      </w:r>
      <w:r w:rsidRPr="00A058B6">
        <w:rPr>
          <w:rFonts w:eastAsia="Times New Roman"/>
          <w:i/>
          <w:iCs/>
          <w:szCs w:val="22"/>
          <w:lang w:eastAsia="en-AU"/>
        </w:rPr>
        <w:t>member spouse</w:t>
      </w:r>
      <w:r w:rsidRPr="00A058B6">
        <w:rPr>
          <w:rFonts w:eastAsia="Times New Roman"/>
          <w:szCs w:val="22"/>
          <w:lang w:eastAsia="en-AU"/>
        </w:rPr>
        <w:t>]</w:t>
      </w:r>
    </w:p>
    <w:p w14:paraId="363F4D7E" w14:textId="53E319B9" w:rsidR="00647C6B" w:rsidRPr="00A058B6" w:rsidRDefault="001952B3" w:rsidP="00647C6B">
      <w:pPr>
        <w:spacing w:before="180" w:line="240" w:lineRule="auto"/>
        <w:rPr>
          <w:rFonts w:eastAsia="Times New Roman"/>
          <w:sz w:val="20"/>
          <w:lang w:eastAsia="en-AU"/>
        </w:rPr>
      </w:pPr>
      <w:r w:rsidRPr="001952B3">
        <w:rPr>
          <w:rFonts w:eastAsia="Times New Roman"/>
          <w:position w:val="6"/>
          <w:sz w:val="16"/>
          <w:lang w:eastAsia="en-AU"/>
        </w:rPr>
        <w:t>*</w:t>
      </w:r>
      <w:r w:rsidR="00647C6B" w:rsidRPr="00A058B6">
        <w:rPr>
          <w:rFonts w:eastAsia="Times New Roman"/>
          <w:sz w:val="20"/>
          <w:lang w:eastAsia="en-AU"/>
        </w:rPr>
        <w:t xml:space="preserve">   </w:t>
      </w:r>
      <w:r w:rsidR="00647C6B" w:rsidRPr="00A058B6">
        <w:rPr>
          <w:rFonts w:eastAsia="Times New Roman"/>
          <w:i/>
          <w:iCs/>
          <w:sz w:val="20"/>
          <w:lang w:eastAsia="en-AU"/>
        </w:rPr>
        <w:t>Omit if not applicable</w:t>
      </w:r>
    </w:p>
    <w:p w14:paraId="358C997D" w14:textId="48BE0F6F" w:rsidR="00647C6B" w:rsidRPr="00A058B6" w:rsidRDefault="00647C6B" w:rsidP="00647C6B">
      <w:pPr>
        <w:pStyle w:val="ActHead2"/>
        <w:pageBreakBefore/>
      </w:pPr>
      <w:bookmarkStart w:id="220" w:name="_Toc188350698"/>
      <w:r w:rsidRPr="00423C34">
        <w:rPr>
          <w:rStyle w:val="CharPartNo"/>
        </w:rPr>
        <w:t>Form 2</w:t>
      </w:r>
      <w:r w:rsidRPr="00A058B6">
        <w:t>—</w:t>
      </w:r>
      <w:r w:rsidRPr="00423C34">
        <w:rPr>
          <w:rStyle w:val="CharPartText"/>
        </w:rPr>
        <w:t>Request to trustee by non</w:t>
      </w:r>
      <w:r w:rsidR="001952B3" w:rsidRPr="00423C34">
        <w:rPr>
          <w:rStyle w:val="CharPartText"/>
        </w:rPr>
        <w:noBreakHyphen/>
      </w:r>
      <w:r w:rsidRPr="00423C34">
        <w:rPr>
          <w:rStyle w:val="CharPartText"/>
        </w:rPr>
        <w:t>member spouse for payment, as lump sum, of all or part of remaining adjusted base amount</w:t>
      </w:r>
      <w:bookmarkEnd w:id="220"/>
    </w:p>
    <w:p w14:paraId="6DE92B85" w14:textId="00253E50" w:rsidR="00647C6B" w:rsidRPr="00A058B6" w:rsidRDefault="00647C6B" w:rsidP="00647C6B">
      <w:pPr>
        <w:pStyle w:val="notemargin"/>
      </w:pPr>
      <w:r w:rsidRPr="00A058B6">
        <w:t>(section </w:t>
      </w:r>
      <w:r w:rsidR="00485CC2">
        <w:t>82</w:t>
      </w:r>
      <w:r w:rsidRPr="00A058B6">
        <w:t>)</w:t>
      </w:r>
    </w:p>
    <w:p w14:paraId="253788BA" w14:textId="77777777" w:rsidR="00300E0A" w:rsidRPr="00423C34" w:rsidRDefault="00300E0A" w:rsidP="00300E0A">
      <w:pPr>
        <w:pStyle w:val="Header"/>
      </w:pPr>
      <w:r w:rsidRPr="00423C34">
        <w:rPr>
          <w:rStyle w:val="CharDivNo"/>
        </w:rPr>
        <w:t xml:space="preserve"> </w:t>
      </w:r>
      <w:r w:rsidRPr="00423C34">
        <w:rPr>
          <w:rStyle w:val="CharDivText"/>
        </w:rPr>
        <w:t xml:space="preserve"> </w:t>
      </w:r>
    </w:p>
    <w:p w14:paraId="5E850157" w14:textId="76E8241B" w:rsidR="00647C6B" w:rsidRPr="00A058B6" w:rsidRDefault="00647C6B" w:rsidP="00647C6B">
      <w:pPr>
        <w:spacing w:before="360"/>
        <w:rPr>
          <w:b/>
          <w:sz w:val="24"/>
          <w:szCs w:val="24"/>
        </w:rPr>
      </w:pPr>
      <w:r w:rsidRPr="00A058B6">
        <w:rPr>
          <w:b/>
          <w:sz w:val="24"/>
          <w:szCs w:val="24"/>
        </w:rPr>
        <w:t>REQUEST TO TRUSTEE BY NON</w:t>
      </w:r>
      <w:r w:rsidR="001952B3">
        <w:rPr>
          <w:b/>
          <w:sz w:val="24"/>
          <w:szCs w:val="24"/>
        </w:rPr>
        <w:noBreakHyphen/>
      </w:r>
      <w:r w:rsidRPr="00A058B6">
        <w:rPr>
          <w:b/>
          <w:sz w:val="24"/>
          <w:szCs w:val="24"/>
        </w:rPr>
        <w:t>MEMBER SPOUSE FOR PAYMENT, AS LUMP SUM, OF ALL OR PART OF REMAINING ADJUSTED BASE AMOUNT</w:t>
      </w:r>
    </w:p>
    <w:p w14:paraId="2F91422B" w14:textId="77777777" w:rsidR="00647C6B" w:rsidRPr="00A058B6" w:rsidRDefault="00647C6B" w:rsidP="00647C6B">
      <w:pPr>
        <w:spacing w:before="180"/>
        <w:jc w:val="both"/>
      </w:pPr>
      <w:r w:rsidRPr="00A058B6">
        <w:t>TO the trustee of [</w:t>
      </w:r>
      <w:r w:rsidRPr="00A058B6">
        <w:rPr>
          <w:i/>
        </w:rPr>
        <w:t>name of eligible superannuation plan</w:t>
      </w:r>
      <w:r w:rsidRPr="00A058B6">
        <w:t>]:</w:t>
      </w:r>
    </w:p>
    <w:p w14:paraId="72A4441C" w14:textId="77777777" w:rsidR="00647C6B" w:rsidRPr="00A058B6" w:rsidRDefault="00647C6B" w:rsidP="00647C6B">
      <w:pPr>
        <w:spacing w:before="180"/>
      </w:pPr>
      <w:r w:rsidRPr="00A058B6">
        <w:t>IN RELATION TO the payment split, of which you were notified on [</w:t>
      </w:r>
      <w:r w:rsidRPr="00A058B6">
        <w:rPr>
          <w:i/>
        </w:rPr>
        <w:t>date when superannuation agreement, flag lifting agreement or splitting order was served on the trustee</w:t>
      </w:r>
      <w:r w:rsidRPr="00A058B6">
        <w:t>], in respect of the superannuation interest of [</w:t>
      </w:r>
      <w:r w:rsidRPr="00A058B6">
        <w:rPr>
          <w:i/>
        </w:rPr>
        <w:t>name of member spouse</w:t>
      </w:r>
      <w:r w:rsidRPr="00A058B6">
        <w:t>], date of birth [</w:t>
      </w:r>
      <w:r w:rsidRPr="00A058B6">
        <w:rPr>
          <w:i/>
        </w:rPr>
        <w:t>date of birth of member spouse</w:t>
      </w:r>
      <w:r w:rsidRPr="00A058B6">
        <w:t>]</w:t>
      </w:r>
    </w:p>
    <w:p w14:paraId="22D5D3DE" w14:textId="17946CEC" w:rsidR="00647C6B" w:rsidRPr="00A058B6" w:rsidRDefault="00647C6B" w:rsidP="00647C6B">
      <w:pPr>
        <w:spacing w:before="180"/>
      </w:pPr>
      <w:r w:rsidRPr="00A058B6">
        <w:t>I, [</w:t>
      </w:r>
      <w:r w:rsidRPr="00A058B6">
        <w:rPr>
          <w:i/>
        </w:rPr>
        <w:t>name</w:t>
      </w:r>
      <w:r w:rsidRPr="00A058B6">
        <w:t>], the non</w:t>
      </w:r>
      <w:r w:rsidR="001952B3">
        <w:noBreakHyphen/>
      </w:r>
      <w:r w:rsidRPr="00A058B6">
        <w:t>member spouse in relation to the above superannuation interest, of [</w:t>
      </w:r>
      <w:r w:rsidRPr="00A058B6">
        <w:rPr>
          <w:i/>
        </w:rPr>
        <w:t>postal address</w:t>
      </w:r>
      <w:r w:rsidRPr="00A058B6">
        <w:t>], born on [</w:t>
      </w:r>
      <w:r w:rsidRPr="00A058B6">
        <w:rPr>
          <w:i/>
        </w:rPr>
        <w:t>date of birth</w:t>
      </w:r>
      <w:r w:rsidRPr="00A058B6">
        <w:t>], being entitled to be paid, as a lump sum, an amount under paragraph </w:t>
      </w:r>
      <w:r w:rsidR="00485CC2">
        <w:t>81</w:t>
      </w:r>
      <w:r w:rsidRPr="00A058B6">
        <w:t xml:space="preserve">(2)(a) of the </w:t>
      </w:r>
      <w:r w:rsidRPr="00A058B6">
        <w:rPr>
          <w:i/>
        </w:rPr>
        <w:t xml:space="preserve">Family Law (Superannuation) </w:t>
      </w:r>
      <w:r w:rsidR="001952B3">
        <w:rPr>
          <w:i/>
        </w:rPr>
        <w:t>Regulations 2</w:t>
      </w:r>
      <w:r w:rsidR="00114E6D">
        <w:rPr>
          <w:i/>
        </w:rPr>
        <w:t>025</w:t>
      </w:r>
      <w:r w:rsidRPr="00A058B6">
        <w:t xml:space="preserve">, request that I be paid, as a further lump sum, </w:t>
      </w:r>
      <w:r w:rsidR="001952B3" w:rsidRPr="001952B3">
        <w:rPr>
          <w:position w:val="6"/>
          <w:sz w:val="16"/>
        </w:rPr>
        <w:t>*</w:t>
      </w:r>
      <w:r w:rsidRPr="00A058B6">
        <w:t>the whole/</w:t>
      </w:r>
      <w:r w:rsidR="001952B3" w:rsidRPr="001952B3">
        <w:rPr>
          <w:position w:val="6"/>
          <w:sz w:val="16"/>
        </w:rPr>
        <w:t>*</w:t>
      </w:r>
      <w:r w:rsidRPr="00A058B6">
        <w:t>a specified proportion, being [</w:t>
      </w:r>
      <w:r w:rsidRPr="00A058B6">
        <w:rPr>
          <w:i/>
        </w:rPr>
        <w:t>specify the proportion that is to be paid as a lump sum</w:t>
      </w:r>
      <w:r w:rsidRPr="00A058B6">
        <w:t>], of the remaining amount of the adjusted base amount applicable to me</w:t>
      </w:r>
      <w:r w:rsidR="00D7157D">
        <w:t>.</w:t>
      </w:r>
    </w:p>
    <w:p w14:paraId="002DC27F" w14:textId="77777777" w:rsidR="00647C6B" w:rsidRPr="00A058B6" w:rsidRDefault="00647C6B" w:rsidP="00647C6B">
      <w:pPr>
        <w:spacing w:before="240"/>
        <w:jc w:val="both"/>
      </w:pPr>
      <w:r w:rsidRPr="00A058B6">
        <w:t>DATED:</w:t>
      </w:r>
    </w:p>
    <w:p w14:paraId="768B2341" w14:textId="68F87CEA" w:rsidR="00647C6B" w:rsidRPr="00A058B6" w:rsidRDefault="00647C6B" w:rsidP="00647C6B">
      <w:pPr>
        <w:spacing w:before="180"/>
        <w:ind w:left="794"/>
        <w:jc w:val="right"/>
      </w:pPr>
      <w:r w:rsidRPr="00A058B6">
        <w:t>[</w:t>
      </w:r>
      <w:r w:rsidRPr="00A058B6">
        <w:rPr>
          <w:i/>
        </w:rPr>
        <w:t>signature of non</w:t>
      </w:r>
      <w:r w:rsidR="001952B3">
        <w:rPr>
          <w:i/>
        </w:rPr>
        <w:noBreakHyphen/>
      </w:r>
      <w:r w:rsidRPr="00A058B6">
        <w:rPr>
          <w:i/>
        </w:rPr>
        <w:t>member spouse</w:t>
      </w:r>
      <w:r w:rsidRPr="00A058B6">
        <w:t>]</w:t>
      </w:r>
    </w:p>
    <w:p w14:paraId="52D45964" w14:textId="3BD06120" w:rsidR="00647C6B" w:rsidRPr="00A058B6" w:rsidRDefault="001952B3" w:rsidP="00647C6B">
      <w:pPr>
        <w:spacing w:before="180"/>
        <w:rPr>
          <w:sz w:val="20"/>
        </w:rPr>
      </w:pPr>
      <w:r w:rsidRPr="001952B3">
        <w:rPr>
          <w:position w:val="6"/>
          <w:sz w:val="16"/>
        </w:rPr>
        <w:t>*</w:t>
      </w:r>
      <w:r w:rsidR="00647C6B" w:rsidRPr="00A058B6">
        <w:rPr>
          <w:sz w:val="20"/>
        </w:rPr>
        <w:t xml:space="preserve">   </w:t>
      </w:r>
      <w:r w:rsidR="00647C6B" w:rsidRPr="00A058B6">
        <w:rPr>
          <w:i/>
          <w:sz w:val="20"/>
        </w:rPr>
        <w:t>Omit if not applicable</w:t>
      </w:r>
    </w:p>
    <w:p w14:paraId="37764565" w14:textId="7BF688FE" w:rsidR="00647C6B" w:rsidRPr="00A058B6" w:rsidRDefault="00647C6B" w:rsidP="00647C6B">
      <w:pPr>
        <w:pStyle w:val="ActHead2"/>
        <w:pageBreakBefore/>
      </w:pPr>
      <w:bookmarkStart w:id="221" w:name="_Toc188350699"/>
      <w:r w:rsidRPr="00423C34">
        <w:rPr>
          <w:rStyle w:val="CharPartNo"/>
        </w:rPr>
        <w:t>Form 3</w:t>
      </w:r>
      <w:r w:rsidRPr="00A058B6">
        <w:t>—</w:t>
      </w:r>
      <w:r w:rsidRPr="00423C34">
        <w:rPr>
          <w:rStyle w:val="CharPartText"/>
        </w:rPr>
        <w:t>Request to trustee by non</w:t>
      </w:r>
      <w:r w:rsidR="001952B3" w:rsidRPr="00423C34">
        <w:rPr>
          <w:rStyle w:val="CharPartText"/>
        </w:rPr>
        <w:noBreakHyphen/>
      </w:r>
      <w:r w:rsidRPr="00423C34">
        <w:rPr>
          <w:rStyle w:val="CharPartText"/>
        </w:rPr>
        <w:t>member spouse for payment, as lump sum, of all or part of adjusted base amount</w:t>
      </w:r>
      <w:bookmarkEnd w:id="221"/>
    </w:p>
    <w:p w14:paraId="4F50F507" w14:textId="484EC777" w:rsidR="00647C6B" w:rsidRPr="00A058B6" w:rsidRDefault="00647C6B" w:rsidP="00647C6B">
      <w:pPr>
        <w:pStyle w:val="notemargin"/>
      </w:pPr>
      <w:r w:rsidRPr="00A058B6">
        <w:t>(section </w:t>
      </w:r>
      <w:r w:rsidR="00485CC2">
        <w:t>83</w:t>
      </w:r>
      <w:r w:rsidRPr="00A058B6">
        <w:t xml:space="preserve"> </w:t>
      </w:r>
      <w:r w:rsidR="0052656F">
        <w:t>or</w:t>
      </w:r>
      <w:r w:rsidRPr="00A058B6">
        <w:t xml:space="preserve"> </w:t>
      </w:r>
      <w:r w:rsidR="00485CC2">
        <w:t>84</w:t>
      </w:r>
      <w:r w:rsidRPr="00A058B6">
        <w:t>)</w:t>
      </w:r>
    </w:p>
    <w:p w14:paraId="6FD4F65D" w14:textId="77777777" w:rsidR="00300E0A" w:rsidRPr="00423C34" w:rsidRDefault="00300E0A" w:rsidP="00300E0A">
      <w:pPr>
        <w:pStyle w:val="Header"/>
      </w:pPr>
      <w:r w:rsidRPr="00423C34">
        <w:rPr>
          <w:rStyle w:val="CharDivNo"/>
        </w:rPr>
        <w:t xml:space="preserve"> </w:t>
      </w:r>
      <w:r w:rsidRPr="00423C34">
        <w:rPr>
          <w:rStyle w:val="CharDivText"/>
        </w:rPr>
        <w:t xml:space="preserve"> </w:t>
      </w:r>
    </w:p>
    <w:p w14:paraId="57FC5268" w14:textId="7818EE9B" w:rsidR="00647C6B" w:rsidRPr="00A058B6" w:rsidRDefault="00647C6B" w:rsidP="00647C6B">
      <w:pPr>
        <w:spacing w:before="360"/>
        <w:rPr>
          <w:b/>
          <w:sz w:val="24"/>
          <w:szCs w:val="24"/>
        </w:rPr>
      </w:pPr>
      <w:r w:rsidRPr="00A058B6">
        <w:rPr>
          <w:b/>
          <w:sz w:val="24"/>
          <w:szCs w:val="24"/>
        </w:rPr>
        <w:t>REQUEST TO TRUSTEE BY NON</w:t>
      </w:r>
      <w:r w:rsidR="001952B3">
        <w:rPr>
          <w:b/>
          <w:sz w:val="24"/>
          <w:szCs w:val="24"/>
        </w:rPr>
        <w:noBreakHyphen/>
      </w:r>
      <w:r w:rsidRPr="00A058B6">
        <w:rPr>
          <w:b/>
          <w:sz w:val="24"/>
          <w:szCs w:val="24"/>
        </w:rPr>
        <w:t>MEMBER SPOUSE FOR PAYMENT, AS LUMP SUM, OF ALL OR PART OF ADJUSTED BASE AMOUNT</w:t>
      </w:r>
    </w:p>
    <w:p w14:paraId="05F24D1B" w14:textId="77777777" w:rsidR="00647C6B" w:rsidRPr="00A058B6" w:rsidRDefault="00647C6B" w:rsidP="00647C6B">
      <w:pPr>
        <w:spacing w:before="180"/>
        <w:jc w:val="both"/>
      </w:pPr>
      <w:r w:rsidRPr="00A058B6">
        <w:t>TO the trustee of [</w:t>
      </w:r>
      <w:r w:rsidRPr="00A058B6">
        <w:rPr>
          <w:i/>
        </w:rPr>
        <w:t>name of eligible superannuation plan</w:t>
      </w:r>
      <w:r w:rsidRPr="00A058B6">
        <w:t>]:</w:t>
      </w:r>
    </w:p>
    <w:p w14:paraId="3B84B8CF" w14:textId="77777777" w:rsidR="00647C6B" w:rsidRPr="00A058B6" w:rsidRDefault="00647C6B" w:rsidP="00647C6B">
      <w:pPr>
        <w:spacing w:before="180"/>
      </w:pPr>
      <w:r w:rsidRPr="00A058B6">
        <w:t>IN RELATION TO the payment split, of which you were notified on [</w:t>
      </w:r>
      <w:r w:rsidRPr="00A058B6">
        <w:rPr>
          <w:i/>
        </w:rPr>
        <w:t>date when superannuation agreement, flag lifting agreement or splitting order was served on the trustee</w:t>
      </w:r>
      <w:r w:rsidRPr="00A058B6">
        <w:t>], in respect of the superannuation interest of [</w:t>
      </w:r>
      <w:r w:rsidRPr="00A058B6">
        <w:rPr>
          <w:i/>
        </w:rPr>
        <w:t>name of member spouse</w:t>
      </w:r>
      <w:r w:rsidRPr="00A058B6">
        <w:t>], date of birth [</w:t>
      </w:r>
      <w:r w:rsidRPr="00A058B6">
        <w:rPr>
          <w:i/>
        </w:rPr>
        <w:t>date of birth of member spouse</w:t>
      </w:r>
      <w:r w:rsidRPr="00A058B6">
        <w:t>]</w:t>
      </w:r>
    </w:p>
    <w:p w14:paraId="6DB2B949" w14:textId="22C30BAB" w:rsidR="00647C6B" w:rsidRPr="00A058B6" w:rsidRDefault="00647C6B" w:rsidP="00647C6B">
      <w:pPr>
        <w:spacing w:before="180"/>
      </w:pPr>
      <w:r w:rsidRPr="00A058B6">
        <w:t>I, [</w:t>
      </w:r>
      <w:r w:rsidRPr="00A058B6">
        <w:rPr>
          <w:i/>
        </w:rPr>
        <w:t>name</w:t>
      </w:r>
      <w:r w:rsidRPr="00A058B6">
        <w:t>], the non</w:t>
      </w:r>
      <w:r w:rsidR="001952B3">
        <w:noBreakHyphen/>
      </w:r>
      <w:r w:rsidRPr="00A058B6">
        <w:t>member spouse in relation to the above superannuation interest, of [</w:t>
      </w:r>
      <w:r w:rsidRPr="00A058B6">
        <w:rPr>
          <w:i/>
        </w:rPr>
        <w:t>postal address</w:t>
      </w:r>
      <w:r w:rsidRPr="00A058B6">
        <w:t>], born on [</w:t>
      </w:r>
      <w:r w:rsidRPr="00A058B6">
        <w:rPr>
          <w:i/>
        </w:rPr>
        <w:t>date of birth</w:t>
      </w:r>
      <w:r w:rsidRPr="00A058B6">
        <w:t xml:space="preserve">], request that I be paid, as a lump sum, </w:t>
      </w:r>
      <w:r w:rsidR="001952B3" w:rsidRPr="001952B3">
        <w:rPr>
          <w:position w:val="6"/>
          <w:sz w:val="16"/>
        </w:rPr>
        <w:t>*</w:t>
      </w:r>
      <w:r w:rsidRPr="00A058B6">
        <w:t>the whole/</w:t>
      </w:r>
      <w:r w:rsidR="001952B3" w:rsidRPr="001952B3">
        <w:rPr>
          <w:position w:val="6"/>
          <w:sz w:val="16"/>
        </w:rPr>
        <w:t>*</w:t>
      </w:r>
      <w:r w:rsidRPr="00A058B6">
        <w:t>a specified proportion, being [</w:t>
      </w:r>
      <w:r w:rsidRPr="00A058B6">
        <w:rPr>
          <w:i/>
        </w:rPr>
        <w:t>specify the proportion that is to be paid as a lump sum</w:t>
      </w:r>
      <w:r w:rsidRPr="00A058B6">
        <w:t>], of the amount of the adjusted base amount applicable to me</w:t>
      </w:r>
      <w:r w:rsidR="00D7157D">
        <w:t>.</w:t>
      </w:r>
    </w:p>
    <w:p w14:paraId="7C7B086C" w14:textId="77777777" w:rsidR="00647C6B" w:rsidRPr="00A058B6" w:rsidRDefault="00647C6B" w:rsidP="00647C6B">
      <w:pPr>
        <w:spacing w:before="240"/>
        <w:jc w:val="both"/>
      </w:pPr>
      <w:r w:rsidRPr="00A058B6">
        <w:t>DATED:</w:t>
      </w:r>
    </w:p>
    <w:p w14:paraId="16FF0E73" w14:textId="307F9726" w:rsidR="00647C6B" w:rsidRPr="00A058B6" w:rsidRDefault="00647C6B" w:rsidP="00647C6B">
      <w:pPr>
        <w:spacing w:before="180"/>
        <w:jc w:val="right"/>
      </w:pPr>
      <w:r w:rsidRPr="00A058B6">
        <w:t>[</w:t>
      </w:r>
      <w:r w:rsidRPr="00A058B6">
        <w:rPr>
          <w:i/>
        </w:rPr>
        <w:t>signature of non</w:t>
      </w:r>
      <w:r w:rsidR="001952B3">
        <w:rPr>
          <w:i/>
        </w:rPr>
        <w:noBreakHyphen/>
      </w:r>
      <w:r w:rsidRPr="00A058B6">
        <w:rPr>
          <w:i/>
        </w:rPr>
        <w:t>member spouse</w:t>
      </w:r>
      <w:r w:rsidRPr="00A058B6">
        <w:t>]</w:t>
      </w:r>
    </w:p>
    <w:p w14:paraId="51DA04F4" w14:textId="2ADD8424" w:rsidR="00647C6B" w:rsidRPr="00A058B6" w:rsidRDefault="001952B3" w:rsidP="00647C6B">
      <w:pPr>
        <w:spacing w:before="180"/>
        <w:rPr>
          <w:sz w:val="20"/>
        </w:rPr>
      </w:pPr>
      <w:r w:rsidRPr="001952B3">
        <w:rPr>
          <w:position w:val="6"/>
          <w:sz w:val="16"/>
        </w:rPr>
        <w:t>*</w:t>
      </w:r>
      <w:r w:rsidR="00647C6B" w:rsidRPr="00A058B6">
        <w:rPr>
          <w:sz w:val="20"/>
        </w:rPr>
        <w:t xml:space="preserve">   </w:t>
      </w:r>
      <w:r w:rsidR="00647C6B" w:rsidRPr="00A058B6">
        <w:rPr>
          <w:i/>
          <w:sz w:val="20"/>
        </w:rPr>
        <w:t>Omit if not applicable</w:t>
      </w:r>
    </w:p>
    <w:p w14:paraId="33FCE0CE" w14:textId="1CD14BCB" w:rsidR="00647C6B" w:rsidRPr="00A058B6" w:rsidRDefault="00647C6B" w:rsidP="00647C6B">
      <w:pPr>
        <w:pStyle w:val="ActHead2"/>
        <w:pageBreakBefore/>
      </w:pPr>
      <w:bookmarkStart w:id="222" w:name="_Toc188350700"/>
      <w:r w:rsidRPr="00423C34">
        <w:rPr>
          <w:rStyle w:val="CharPartNo"/>
        </w:rPr>
        <w:t>Form 4</w:t>
      </w:r>
      <w:r w:rsidRPr="00A058B6">
        <w:t>—</w:t>
      </w:r>
      <w:r w:rsidRPr="00423C34">
        <w:rPr>
          <w:rStyle w:val="CharPartText"/>
        </w:rPr>
        <w:t>Request to trustee by non</w:t>
      </w:r>
      <w:r w:rsidR="001952B3" w:rsidRPr="00423C34">
        <w:rPr>
          <w:rStyle w:val="CharPartText"/>
        </w:rPr>
        <w:noBreakHyphen/>
      </w:r>
      <w:r w:rsidRPr="00423C34">
        <w:rPr>
          <w:rStyle w:val="CharPartText"/>
        </w:rPr>
        <w:t>member spouse for payment, as lump sum, of all or part of remaining base amount</w:t>
      </w:r>
      <w:bookmarkEnd w:id="222"/>
    </w:p>
    <w:p w14:paraId="0749025A" w14:textId="7CBECC62" w:rsidR="00647C6B" w:rsidRPr="00A058B6" w:rsidRDefault="00647C6B" w:rsidP="00647C6B">
      <w:pPr>
        <w:pStyle w:val="notemargin"/>
      </w:pPr>
      <w:r w:rsidRPr="00A058B6">
        <w:t>(section </w:t>
      </w:r>
      <w:r w:rsidR="00485CC2">
        <w:t>92</w:t>
      </w:r>
      <w:r w:rsidRPr="00A058B6">
        <w:t>)</w:t>
      </w:r>
    </w:p>
    <w:p w14:paraId="16EBDD10" w14:textId="77777777" w:rsidR="00FB3AF8" w:rsidRPr="00423C34" w:rsidRDefault="00FB3AF8" w:rsidP="00FB3AF8">
      <w:pPr>
        <w:pStyle w:val="Header"/>
      </w:pPr>
      <w:r w:rsidRPr="00423C34">
        <w:rPr>
          <w:rStyle w:val="CharDivNo"/>
        </w:rPr>
        <w:t xml:space="preserve"> </w:t>
      </w:r>
      <w:r w:rsidRPr="00423C34">
        <w:rPr>
          <w:rStyle w:val="CharDivText"/>
        </w:rPr>
        <w:t xml:space="preserve"> </w:t>
      </w:r>
    </w:p>
    <w:p w14:paraId="718C6249" w14:textId="655F5094" w:rsidR="00647C6B" w:rsidRPr="00A058B6" w:rsidRDefault="00647C6B" w:rsidP="00647C6B">
      <w:pPr>
        <w:spacing w:before="360"/>
        <w:rPr>
          <w:b/>
          <w:sz w:val="24"/>
          <w:szCs w:val="24"/>
        </w:rPr>
      </w:pPr>
      <w:r w:rsidRPr="00A058B6">
        <w:rPr>
          <w:b/>
          <w:sz w:val="24"/>
          <w:szCs w:val="24"/>
        </w:rPr>
        <w:t>REQUEST TO TRUSTEE BY NON</w:t>
      </w:r>
      <w:r w:rsidR="001952B3">
        <w:rPr>
          <w:b/>
          <w:sz w:val="24"/>
          <w:szCs w:val="24"/>
        </w:rPr>
        <w:noBreakHyphen/>
      </w:r>
      <w:r w:rsidRPr="00A058B6">
        <w:rPr>
          <w:b/>
          <w:sz w:val="24"/>
          <w:szCs w:val="24"/>
        </w:rPr>
        <w:t>MEMBER SPOUSE FOR PAYMENT, AS LUMP SUM, OF ALL OR PART OF REMAINING BASE AMOUNT</w:t>
      </w:r>
    </w:p>
    <w:p w14:paraId="31A3828E" w14:textId="77777777" w:rsidR="00647C6B" w:rsidRPr="00A058B6" w:rsidRDefault="00647C6B" w:rsidP="00647C6B">
      <w:pPr>
        <w:spacing w:before="180"/>
        <w:jc w:val="both"/>
      </w:pPr>
      <w:r w:rsidRPr="00A058B6">
        <w:t>TO the trustee of [</w:t>
      </w:r>
      <w:r w:rsidRPr="00A058B6">
        <w:rPr>
          <w:i/>
        </w:rPr>
        <w:t>name of eligible superannuation plan</w:t>
      </w:r>
      <w:r w:rsidRPr="00A058B6">
        <w:t>]:</w:t>
      </w:r>
    </w:p>
    <w:p w14:paraId="68D45B20" w14:textId="77777777" w:rsidR="00647C6B" w:rsidRPr="00A058B6" w:rsidRDefault="00647C6B" w:rsidP="00647C6B">
      <w:pPr>
        <w:spacing w:before="180"/>
      </w:pPr>
      <w:r w:rsidRPr="00A058B6">
        <w:t>IN RELATION TO the payment split, of which you were notified on [</w:t>
      </w:r>
      <w:r w:rsidRPr="00A058B6">
        <w:rPr>
          <w:i/>
        </w:rPr>
        <w:t>date when superannuation agreement, flag lifting agreement or splitting order was served on the trustee</w:t>
      </w:r>
      <w:r w:rsidRPr="00A058B6">
        <w:t>], in respect of the superannuation interest of [</w:t>
      </w:r>
      <w:r w:rsidRPr="00A058B6">
        <w:rPr>
          <w:i/>
        </w:rPr>
        <w:t>name of member spouse</w:t>
      </w:r>
      <w:r w:rsidRPr="00A058B6">
        <w:t>], date of birth [</w:t>
      </w:r>
      <w:r w:rsidRPr="00A058B6">
        <w:rPr>
          <w:i/>
        </w:rPr>
        <w:t>date of birth of member spouse</w:t>
      </w:r>
      <w:r w:rsidRPr="00A058B6">
        <w:t>]</w:t>
      </w:r>
    </w:p>
    <w:p w14:paraId="35B8B6CA" w14:textId="4C583FA1" w:rsidR="00647C6B" w:rsidRPr="00A058B6" w:rsidRDefault="00647C6B" w:rsidP="00647C6B">
      <w:pPr>
        <w:spacing w:before="180"/>
      </w:pPr>
      <w:r w:rsidRPr="00A058B6">
        <w:t>I, [</w:t>
      </w:r>
      <w:r w:rsidRPr="00A058B6">
        <w:rPr>
          <w:i/>
        </w:rPr>
        <w:t>name</w:t>
      </w:r>
      <w:r w:rsidRPr="00A058B6">
        <w:t>], the non</w:t>
      </w:r>
      <w:r w:rsidR="001952B3">
        <w:noBreakHyphen/>
      </w:r>
      <w:r w:rsidRPr="00A058B6">
        <w:t>member spouse in relation to the above superannuation interest, of [</w:t>
      </w:r>
      <w:r w:rsidRPr="00A058B6">
        <w:rPr>
          <w:i/>
        </w:rPr>
        <w:t>postal address</w:t>
      </w:r>
      <w:r w:rsidRPr="00A058B6">
        <w:t>], born on [</w:t>
      </w:r>
      <w:r w:rsidRPr="00A058B6">
        <w:rPr>
          <w:i/>
        </w:rPr>
        <w:t>date of birth</w:t>
      </w:r>
      <w:r w:rsidRPr="00A058B6">
        <w:t>], being entitled to be paid an amount under paragraph </w:t>
      </w:r>
      <w:r w:rsidR="00485CC2">
        <w:t>91</w:t>
      </w:r>
      <w:r w:rsidRPr="00A058B6">
        <w:t xml:space="preserve">(2)(a) of the </w:t>
      </w:r>
      <w:r w:rsidRPr="00A058B6">
        <w:rPr>
          <w:i/>
        </w:rPr>
        <w:t xml:space="preserve">Family Law (Superannuation) </w:t>
      </w:r>
      <w:r w:rsidR="001952B3">
        <w:rPr>
          <w:i/>
        </w:rPr>
        <w:t>Regulations 2</w:t>
      </w:r>
      <w:r w:rsidR="00114E6D">
        <w:rPr>
          <w:i/>
        </w:rPr>
        <w:t>025</w:t>
      </w:r>
      <w:r w:rsidRPr="00A058B6">
        <w:t xml:space="preserve">, request that I be paid, as a further lump sum, </w:t>
      </w:r>
      <w:r w:rsidR="001952B3" w:rsidRPr="001952B3">
        <w:rPr>
          <w:position w:val="6"/>
          <w:sz w:val="16"/>
        </w:rPr>
        <w:t>*</w:t>
      </w:r>
      <w:r w:rsidRPr="00A058B6">
        <w:t>the whole/</w:t>
      </w:r>
      <w:r w:rsidR="001952B3" w:rsidRPr="001952B3">
        <w:rPr>
          <w:position w:val="6"/>
          <w:sz w:val="16"/>
        </w:rPr>
        <w:t>*</w:t>
      </w:r>
      <w:r w:rsidRPr="00A058B6">
        <w:t>a specified proportion, being [</w:t>
      </w:r>
      <w:r w:rsidRPr="00A058B6">
        <w:rPr>
          <w:i/>
        </w:rPr>
        <w:t>specify the proportion that is to be paid as a lump sum</w:t>
      </w:r>
      <w:r w:rsidRPr="00A058B6">
        <w:t>], of the remaining base amount allocated to me in relation to the superannuation interest</w:t>
      </w:r>
      <w:r w:rsidR="00D7157D">
        <w:t>.</w:t>
      </w:r>
    </w:p>
    <w:p w14:paraId="0A4926E6" w14:textId="77777777" w:rsidR="00647C6B" w:rsidRPr="00A058B6" w:rsidRDefault="00647C6B" w:rsidP="00647C6B">
      <w:pPr>
        <w:spacing w:before="240"/>
        <w:jc w:val="both"/>
      </w:pPr>
      <w:r w:rsidRPr="00A058B6">
        <w:t>DATED:</w:t>
      </w:r>
    </w:p>
    <w:p w14:paraId="3365EBEB" w14:textId="3764260E" w:rsidR="00647C6B" w:rsidRPr="00A058B6" w:rsidRDefault="00647C6B" w:rsidP="00647C6B">
      <w:pPr>
        <w:spacing w:before="180"/>
        <w:ind w:left="794"/>
        <w:jc w:val="right"/>
      </w:pPr>
      <w:r w:rsidRPr="00A058B6">
        <w:t>[</w:t>
      </w:r>
      <w:r w:rsidRPr="00A058B6">
        <w:rPr>
          <w:i/>
        </w:rPr>
        <w:t>signature of non</w:t>
      </w:r>
      <w:r w:rsidR="001952B3">
        <w:rPr>
          <w:i/>
        </w:rPr>
        <w:noBreakHyphen/>
      </w:r>
      <w:r w:rsidRPr="00A058B6">
        <w:rPr>
          <w:i/>
        </w:rPr>
        <w:t>member spouse</w:t>
      </w:r>
      <w:r w:rsidRPr="00A058B6">
        <w:t>]</w:t>
      </w:r>
    </w:p>
    <w:p w14:paraId="68187035" w14:textId="1CE607E4" w:rsidR="00647C6B" w:rsidRPr="00A058B6" w:rsidRDefault="001952B3" w:rsidP="00647C6B">
      <w:pPr>
        <w:spacing w:before="180"/>
        <w:rPr>
          <w:i/>
          <w:sz w:val="20"/>
        </w:rPr>
      </w:pPr>
      <w:r w:rsidRPr="001952B3">
        <w:rPr>
          <w:position w:val="6"/>
          <w:sz w:val="16"/>
        </w:rPr>
        <w:t>*</w:t>
      </w:r>
      <w:r w:rsidR="00647C6B" w:rsidRPr="00A058B6">
        <w:rPr>
          <w:sz w:val="20"/>
        </w:rPr>
        <w:t xml:space="preserve">   </w:t>
      </w:r>
      <w:r w:rsidR="00647C6B" w:rsidRPr="00A058B6">
        <w:rPr>
          <w:i/>
          <w:sz w:val="20"/>
        </w:rPr>
        <w:t>Omit if not applicable</w:t>
      </w:r>
    </w:p>
    <w:p w14:paraId="0C95994B" w14:textId="77777777" w:rsidR="00647C6B" w:rsidRPr="00A058B6" w:rsidRDefault="00647C6B" w:rsidP="00647C6B">
      <w:pPr>
        <w:pStyle w:val="ActHead2"/>
        <w:pageBreakBefore/>
      </w:pPr>
      <w:bookmarkStart w:id="223" w:name="_Toc188350701"/>
      <w:r w:rsidRPr="00423C34">
        <w:rPr>
          <w:rStyle w:val="CharPartNo"/>
        </w:rPr>
        <w:t>Form 5</w:t>
      </w:r>
      <w:r w:rsidRPr="00A058B6">
        <w:t>—</w:t>
      </w:r>
      <w:r w:rsidRPr="00423C34">
        <w:rPr>
          <w:rStyle w:val="CharPartText"/>
        </w:rPr>
        <w:t>Waiver notice in respect of payment split</w:t>
      </w:r>
      <w:bookmarkEnd w:id="223"/>
    </w:p>
    <w:p w14:paraId="62268545" w14:textId="13874509" w:rsidR="00647C6B" w:rsidRPr="00A058B6" w:rsidRDefault="00647C6B" w:rsidP="00647C6B">
      <w:pPr>
        <w:pStyle w:val="notemargin"/>
      </w:pPr>
      <w:r w:rsidRPr="00A058B6">
        <w:t>(section </w:t>
      </w:r>
      <w:r w:rsidR="00485CC2">
        <w:t>99</w:t>
      </w:r>
      <w:r w:rsidRPr="00A058B6">
        <w:t>)</w:t>
      </w:r>
    </w:p>
    <w:p w14:paraId="7AD39CA7" w14:textId="77777777" w:rsidR="00A541F8" w:rsidRPr="00423C34" w:rsidRDefault="00A541F8" w:rsidP="00A541F8">
      <w:pPr>
        <w:pStyle w:val="Header"/>
      </w:pPr>
      <w:r w:rsidRPr="00423C34">
        <w:rPr>
          <w:rStyle w:val="CharDivNo"/>
        </w:rPr>
        <w:t xml:space="preserve"> </w:t>
      </w:r>
      <w:r w:rsidRPr="00423C34">
        <w:rPr>
          <w:rStyle w:val="CharDivText"/>
        </w:rPr>
        <w:t xml:space="preserve"> </w:t>
      </w:r>
    </w:p>
    <w:p w14:paraId="232DA4C9" w14:textId="5C44E4EB" w:rsidR="00647C6B" w:rsidRPr="00A058B6" w:rsidRDefault="00647C6B" w:rsidP="00647C6B">
      <w:pPr>
        <w:pStyle w:val="subsection"/>
      </w:pPr>
      <w:r w:rsidRPr="00A058B6">
        <w:rPr>
          <w:i/>
        </w:rPr>
        <w:t xml:space="preserve">Family Law Act 1975 </w:t>
      </w:r>
      <w:r w:rsidR="00FE15C4">
        <w:rPr>
          <w:i/>
        </w:rPr>
        <w:t>subsection 9</w:t>
      </w:r>
      <w:r w:rsidRPr="00A058B6">
        <w:rPr>
          <w:i/>
        </w:rPr>
        <w:t>0XZA(2) or 90YZQ(2)</w:t>
      </w:r>
    </w:p>
    <w:p w14:paraId="29177F13" w14:textId="77777777" w:rsidR="00647C6B" w:rsidRPr="00A058B6" w:rsidRDefault="00647C6B" w:rsidP="00647C6B">
      <w:pPr>
        <w:spacing w:before="360"/>
        <w:rPr>
          <w:b/>
          <w:sz w:val="24"/>
          <w:szCs w:val="24"/>
        </w:rPr>
      </w:pPr>
      <w:r w:rsidRPr="00A058B6">
        <w:rPr>
          <w:b/>
          <w:sz w:val="24"/>
          <w:szCs w:val="24"/>
        </w:rPr>
        <w:t>WAIVER NOTICE</w:t>
      </w:r>
    </w:p>
    <w:p w14:paraId="0572BD65" w14:textId="77777777" w:rsidR="00647C6B" w:rsidRPr="00A058B6" w:rsidRDefault="00647C6B" w:rsidP="00647C6B">
      <w:pPr>
        <w:spacing w:before="180"/>
        <w:jc w:val="both"/>
      </w:pPr>
      <w:r w:rsidRPr="00A058B6">
        <w:t>TO the trustee of [</w:t>
      </w:r>
      <w:r w:rsidRPr="00A058B6">
        <w:rPr>
          <w:i/>
        </w:rPr>
        <w:t>name of eligible superannuation plan</w:t>
      </w:r>
      <w:r w:rsidRPr="00A058B6">
        <w:t>]:</w:t>
      </w:r>
    </w:p>
    <w:p w14:paraId="1DD875BB" w14:textId="77777777" w:rsidR="00647C6B" w:rsidRPr="00A058B6" w:rsidRDefault="00647C6B" w:rsidP="00647C6B">
      <w:pPr>
        <w:spacing w:before="180"/>
      </w:pPr>
      <w:r w:rsidRPr="00A058B6">
        <w:t>IN RELATION TO the payment split, of which you were notified on [</w:t>
      </w:r>
      <w:r w:rsidRPr="00A058B6">
        <w:rPr>
          <w:i/>
        </w:rPr>
        <w:t>date when superannuation agreement, flag lifting agreement or splitting order was served on the trustee</w:t>
      </w:r>
      <w:r w:rsidRPr="00A058B6">
        <w:t>], in respect of the superannuation interest of [</w:t>
      </w:r>
      <w:r w:rsidRPr="00A058B6">
        <w:rPr>
          <w:i/>
        </w:rPr>
        <w:t>name of member spouse</w:t>
      </w:r>
      <w:r w:rsidRPr="00A058B6">
        <w:t>], date of birth [</w:t>
      </w:r>
      <w:r w:rsidRPr="00A058B6">
        <w:rPr>
          <w:i/>
        </w:rPr>
        <w:t>date of birth of member spouse</w:t>
      </w:r>
      <w:r w:rsidRPr="00A058B6">
        <w:t>]</w:t>
      </w:r>
    </w:p>
    <w:p w14:paraId="14293697" w14:textId="77777777" w:rsidR="00647C6B" w:rsidRPr="00A058B6" w:rsidRDefault="00647C6B" w:rsidP="00647C6B">
      <w:pPr>
        <w:spacing w:before="180"/>
      </w:pPr>
      <w:r w:rsidRPr="00A058B6">
        <w:t>I, [</w:t>
      </w:r>
      <w:r w:rsidRPr="00A058B6">
        <w:rPr>
          <w:i/>
        </w:rPr>
        <w:t>name</w:t>
      </w:r>
      <w:r w:rsidRPr="00A058B6">
        <w:t>], of [</w:t>
      </w:r>
      <w:r w:rsidRPr="00A058B6">
        <w:rPr>
          <w:i/>
        </w:rPr>
        <w:t>postal address</w:t>
      </w:r>
      <w:r w:rsidRPr="00A058B6">
        <w:t>], born on [</w:t>
      </w:r>
      <w:r w:rsidRPr="00A058B6">
        <w:rPr>
          <w:i/>
        </w:rPr>
        <w:t>date of birth</w:t>
      </w:r>
      <w:r w:rsidRPr="00A058B6">
        <w:t>], give notice that I waive my entitlement to future payments under that payment split</w:t>
      </w:r>
      <w:r w:rsidR="00D7157D">
        <w:t>.</w:t>
      </w:r>
    </w:p>
    <w:p w14:paraId="0C20066A" w14:textId="77777777" w:rsidR="00647C6B" w:rsidRPr="00A058B6" w:rsidRDefault="00647C6B" w:rsidP="00647C6B">
      <w:pPr>
        <w:spacing w:before="240"/>
        <w:jc w:val="both"/>
      </w:pPr>
      <w:r w:rsidRPr="00A058B6">
        <w:t>DATED:</w:t>
      </w:r>
    </w:p>
    <w:p w14:paraId="43A2D5E4" w14:textId="6B18455C" w:rsidR="00647C6B" w:rsidRPr="00A058B6" w:rsidRDefault="00647C6B" w:rsidP="00647C6B">
      <w:pPr>
        <w:spacing w:before="180"/>
        <w:jc w:val="right"/>
      </w:pPr>
      <w:r w:rsidRPr="00A058B6">
        <w:t>[</w:t>
      </w:r>
      <w:r w:rsidRPr="00A058B6">
        <w:rPr>
          <w:i/>
        </w:rPr>
        <w:t>signature of non</w:t>
      </w:r>
      <w:r w:rsidR="001952B3">
        <w:rPr>
          <w:i/>
        </w:rPr>
        <w:noBreakHyphen/>
      </w:r>
      <w:r w:rsidRPr="00A058B6">
        <w:rPr>
          <w:i/>
        </w:rPr>
        <w:t>member spouse</w:t>
      </w:r>
      <w:r w:rsidRPr="00A058B6">
        <w:t>]</w:t>
      </w:r>
    </w:p>
    <w:p w14:paraId="58F46D4F" w14:textId="77777777" w:rsidR="00647C6B" w:rsidRPr="00A058B6" w:rsidRDefault="00647C6B" w:rsidP="00647C6B">
      <w:pPr>
        <w:pStyle w:val="ActHead2"/>
        <w:pageBreakBefore/>
      </w:pPr>
      <w:bookmarkStart w:id="224" w:name="_Toc188350702"/>
      <w:r w:rsidRPr="00423C34">
        <w:rPr>
          <w:rStyle w:val="CharPartNo"/>
        </w:rPr>
        <w:t>Form 6</w:t>
      </w:r>
      <w:r w:rsidRPr="00A058B6">
        <w:t>—</w:t>
      </w:r>
      <w:r w:rsidRPr="00423C34">
        <w:rPr>
          <w:rStyle w:val="CharPartText"/>
        </w:rPr>
        <w:t>Declaration to accompany application to trustee for information about a superannuation interest</w:t>
      </w:r>
      <w:bookmarkEnd w:id="224"/>
    </w:p>
    <w:p w14:paraId="3412559A" w14:textId="11990887" w:rsidR="00647C6B" w:rsidRPr="00A058B6" w:rsidRDefault="00647C6B" w:rsidP="00647C6B">
      <w:pPr>
        <w:pStyle w:val="notemargin"/>
      </w:pPr>
      <w:r w:rsidRPr="00A058B6">
        <w:t>(</w:t>
      </w:r>
      <w:r w:rsidR="00CB78B9">
        <w:t>section 1</w:t>
      </w:r>
      <w:r w:rsidR="00485CC2">
        <w:t>02</w:t>
      </w:r>
      <w:r w:rsidRPr="00A058B6">
        <w:t>)</w:t>
      </w:r>
    </w:p>
    <w:p w14:paraId="3E6ACFFC" w14:textId="77777777" w:rsidR="00125F92" w:rsidRPr="00423C34" w:rsidRDefault="00125F92" w:rsidP="00125F92">
      <w:pPr>
        <w:pStyle w:val="Header"/>
      </w:pPr>
      <w:r w:rsidRPr="00423C34">
        <w:rPr>
          <w:rStyle w:val="CharDivNo"/>
        </w:rPr>
        <w:t xml:space="preserve"> </w:t>
      </w:r>
      <w:r w:rsidRPr="00423C34">
        <w:rPr>
          <w:rStyle w:val="CharDivText"/>
        </w:rPr>
        <w:t xml:space="preserve"> </w:t>
      </w:r>
    </w:p>
    <w:p w14:paraId="22B9C4A0" w14:textId="0A6A840C" w:rsidR="00647C6B" w:rsidRPr="00A058B6" w:rsidRDefault="00647C6B" w:rsidP="00647C6B">
      <w:pPr>
        <w:pStyle w:val="subsection"/>
      </w:pPr>
      <w:r w:rsidRPr="00A058B6">
        <w:rPr>
          <w:i/>
        </w:rPr>
        <w:t xml:space="preserve">Family Law Act 1975 </w:t>
      </w:r>
      <w:r w:rsidR="00FE15C4">
        <w:rPr>
          <w:i/>
        </w:rPr>
        <w:t>subsection 9</w:t>
      </w:r>
      <w:r w:rsidRPr="00A058B6">
        <w:rPr>
          <w:i/>
        </w:rPr>
        <w:t>0XZB(2) or 90YZR(2)</w:t>
      </w:r>
    </w:p>
    <w:p w14:paraId="4BB8EBF1" w14:textId="77777777" w:rsidR="00647C6B" w:rsidRPr="00A058B6" w:rsidRDefault="00647C6B" w:rsidP="00647C6B">
      <w:pPr>
        <w:spacing w:before="360"/>
        <w:rPr>
          <w:b/>
          <w:sz w:val="24"/>
          <w:szCs w:val="24"/>
        </w:rPr>
      </w:pPr>
      <w:r w:rsidRPr="00A058B6">
        <w:rPr>
          <w:b/>
          <w:sz w:val="24"/>
          <w:szCs w:val="24"/>
        </w:rPr>
        <w:t>DECLARATION BY APPLICANT FOR INFORMATION ABOUT A SUPERANNUATION INTEREST</w:t>
      </w:r>
    </w:p>
    <w:p w14:paraId="104050C6" w14:textId="77777777" w:rsidR="00647C6B" w:rsidRPr="00A058B6" w:rsidRDefault="00647C6B" w:rsidP="00647C6B">
      <w:pPr>
        <w:spacing w:before="180" w:line="240" w:lineRule="atLeast"/>
      </w:pPr>
      <w:r w:rsidRPr="00A058B6">
        <w:t>I, [</w:t>
      </w:r>
      <w:r w:rsidRPr="00A058B6">
        <w:rPr>
          <w:i/>
        </w:rPr>
        <w:t>name</w:t>
      </w:r>
      <w:r w:rsidRPr="00A058B6">
        <w:t>], of [</w:t>
      </w:r>
      <w:r w:rsidRPr="00A058B6">
        <w:rPr>
          <w:i/>
        </w:rPr>
        <w:t>postal address</w:t>
      </w:r>
      <w:r w:rsidRPr="00A058B6">
        <w:t>], born on [</w:t>
      </w:r>
      <w:r w:rsidRPr="00A058B6">
        <w:rPr>
          <w:i/>
        </w:rPr>
        <w:t>date of birth</w:t>
      </w:r>
      <w:r w:rsidRPr="00A058B6">
        <w:t>], make the following declaration in support of my application to the trustee of [</w:t>
      </w:r>
      <w:r w:rsidRPr="00A058B6">
        <w:rPr>
          <w:i/>
        </w:rPr>
        <w:t>name of eligible superannuation plan from which information is sought</w:t>
      </w:r>
      <w:r w:rsidRPr="00A058B6">
        <w:t xml:space="preserve">] (the </w:t>
      </w:r>
      <w:r w:rsidRPr="00A058B6">
        <w:rPr>
          <w:b/>
          <w:i/>
        </w:rPr>
        <w:t>plan</w:t>
      </w:r>
      <w:r w:rsidRPr="00A058B6">
        <w:t>) for information about:</w:t>
      </w:r>
    </w:p>
    <w:p w14:paraId="0E6775B4" w14:textId="2DA5BDD4" w:rsidR="00647C6B" w:rsidRPr="00114E6D" w:rsidRDefault="00114E6D" w:rsidP="00114E6D">
      <w:pPr>
        <w:pStyle w:val="paragraph"/>
      </w:pPr>
      <w:r>
        <w:rPr>
          <w:position w:val="6"/>
          <w:sz w:val="16"/>
        </w:rPr>
        <w:tab/>
      </w:r>
      <w:r w:rsidR="001952B3" w:rsidRPr="001952B3">
        <w:rPr>
          <w:position w:val="6"/>
          <w:sz w:val="16"/>
        </w:rPr>
        <w:t>*</w:t>
      </w:r>
      <w:r w:rsidR="00647C6B" w:rsidRPr="00A058B6">
        <w:t>(a)</w:t>
      </w:r>
      <w:r w:rsidR="00647C6B" w:rsidRPr="00A058B6">
        <w:tab/>
      </w:r>
      <w:r w:rsidR="00647C6B" w:rsidRPr="00114E6D">
        <w:t>my superannuation interest</w:t>
      </w:r>
      <w:r w:rsidR="00D7157D" w:rsidRPr="00114E6D">
        <w:t>.</w:t>
      </w:r>
    </w:p>
    <w:p w14:paraId="321B2F97" w14:textId="4CD57885" w:rsidR="00647C6B" w:rsidRPr="00A058B6" w:rsidRDefault="00114E6D" w:rsidP="00114E6D">
      <w:pPr>
        <w:pStyle w:val="paragraph"/>
      </w:pPr>
      <w:r>
        <w:tab/>
      </w:r>
      <w:r w:rsidR="001952B3" w:rsidRPr="001952B3">
        <w:rPr>
          <w:position w:val="6"/>
          <w:sz w:val="16"/>
        </w:rPr>
        <w:t>*</w:t>
      </w:r>
      <w:r w:rsidR="00647C6B" w:rsidRPr="00114E6D">
        <w:t>(b)</w:t>
      </w:r>
      <w:r w:rsidR="00647C6B" w:rsidRPr="00114E6D">
        <w:tab/>
        <w:t>a superannuation interest of [full name of member], born on [date of birth of</w:t>
      </w:r>
      <w:r w:rsidR="00647C6B" w:rsidRPr="00A058B6">
        <w:rPr>
          <w:i/>
        </w:rPr>
        <w:t xml:space="preserve"> member</w:t>
      </w:r>
      <w:r w:rsidR="00647C6B" w:rsidRPr="00A058B6">
        <w:t>], who is a member of the plan</w:t>
      </w:r>
      <w:r w:rsidR="00D7157D">
        <w:t>.</w:t>
      </w:r>
    </w:p>
    <w:p w14:paraId="57FD8C58" w14:textId="2FD0725C" w:rsidR="00647C6B" w:rsidRPr="00A058B6" w:rsidRDefault="00647C6B" w:rsidP="00647C6B">
      <w:pPr>
        <w:pStyle w:val="subsection"/>
      </w:pPr>
      <w:r w:rsidRPr="00A058B6">
        <w:t>1</w:t>
      </w:r>
      <w:r w:rsidR="00D7157D">
        <w:t>.</w:t>
      </w:r>
      <w:r w:rsidRPr="00A058B6">
        <w:tab/>
      </w:r>
      <w:r w:rsidR="00114E6D">
        <w:tab/>
      </w:r>
      <w:r w:rsidRPr="00A058B6">
        <w:t>I am:</w:t>
      </w:r>
    </w:p>
    <w:p w14:paraId="34FDF9AA" w14:textId="49884893" w:rsidR="00647C6B" w:rsidRPr="00114E6D" w:rsidRDefault="00114E6D" w:rsidP="00114E6D">
      <w:pPr>
        <w:pStyle w:val="paragraph"/>
      </w:pPr>
      <w:r>
        <w:rPr>
          <w:position w:val="6"/>
          <w:sz w:val="16"/>
        </w:rPr>
        <w:tab/>
      </w:r>
      <w:r w:rsidR="001952B3" w:rsidRPr="001952B3">
        <w:rPr>
          <w:position w:val="6"/>
          <w:sz w:val="16"/>
        </w:rPr>
        <w:t>*</w:t>
      </w:r>
      <w:r w:rsidR="00647C6B" w:rsidRPr="00A058B6">
        <w:t>(a)</w:t>
      </w:r>
      <w:r w:rsidR="00647C6B" w:rsidRPr="00A058B6">
        <w:tab/>
        <w:t xml:space="preserve">a </w:t>
      </w:r>
      <w:r w:rsidR="00647C6B" w:rsidRPr="00114E6D">
        <w:t>member of the plan</w:t>
      </w:r>
      <w:r w:rsidR="00D7157D" w:rsidRPr="00114E6D">
        <w:t>.</w:t>
      </w:r>
    </w:p>
    <w:p w14:paraId="0E5FC59A" w14:textId="334DD859" w:rsidR="00647C6B" w:rsidRPr="00114E6D" w:rsidRDefault="00114E6D" w:rsidP="00114E6D">
      <w:pPr>
        <w:pStyle w:val="paragraph"/>
      </w:pPr>
      <w:r>
        <w:tab/>
      </w:r>
      <w:r w:rsidR="001952B3" w:rsidRPr="001952B3">
        <w:rPr>
          <w:position w:val="6"/>
          <w:sz w:val="16"/>
        </w:rPr>
        <w:t>*</w:t>
      </w:r>
      <w:r w:rsidR="00647C6B" w:rsidRPr="00114E6D">
        <w:t>(b)</w:t>
      </w:r>
      <w:r w:rsidR="00647C6B" w:rsidRPr="00114E6D">
        <w:tab/>
        <w:t>the spouse of [name], who is a member of the plan</w:t>
      </w:r>
      <w:r w:rsidR="00D7157D" w:rsidRPr="00114E6D">
        <w:t>.</w:t>
      </w:r>
    </w:p>
    <w:p w14:paraId="0B2C6C6E" w14:textId="3ACCC584" w:rsidR="00647C6B" w:rsidRPr="00A058B6" w:rsidRDefault="00114E6D" w:rsidP="00114E6D">
      <w:pPr>
        <w:pStyle w:val="paragraph"/>
      </w:pPr>
      <w:r>
        <w:tab/>
      </w:r>
      <w:r w:rsidR="001952B3" w:rsidRPr="001952B3">
        <w:rPr>
          <w:position w:val="6"/>
          <w:sz w:val="16"/>
        </w:rPr>
        <w:t>*</w:t>
      </w:r>
      <w:r w:rsidR="00647C6B" w:rsidRPr="00114E6D">
        <w:t>(c)</w:t>
      </w:r>
      <w:r w:rsidR="00647C6B" w:rsidRPr="00114E6D">
        <w:tab/>
        <w:t>intending to enter into a superannuation agreement under [</w:t>
      </w:r>
      <w:r w:rsidR="00B53ED4" w:rsidRPr="00114E6D">
        <w:t>Part</w:t>
      </w:r>
      <w:r w:rsidR="00B53ED4" w:rsidRPr="00A058B6">
        <w:rPr>
          <w:i/>
        </w:rPr>
        <w:t> </w:t>
      </w:r>
      <w:r w:rsidR="00B53ED4" w:rsidRPr="00F51337">
        <w:rPr>
          <w:iCs/>
        </w:rPr>
        <w:t>V</w:t>
      </w:r>
      <w:r w:rsidR="00647C6B" w:rsidRPr="00F51337">
        <w:rPr>
          <w:iCs/>
        </w:rPr>
        <w:t>IIIB/</w:t>
      </w:r>
      <w:r w:rsidR="00B53ED4" w:rsidRPr="00F51337">
        <w:rPr>
          <w:iCs/>
        </w:rPr>
        <w:t>Part V</w:t>
      </w:r>
      <w:r w:rsidR="00647C6B" w:rsidRPr="00F51337">
        <w:rPr>
          <w:iCs/>
        </w:rPr>
        <w:t>IIIC</w:t>
      </w:r>
      <w:r w:rsidR="00647C6B" w:rsidRPr="00A058B6">
        <w:t xml:space="preserve">] of the </w:t>
      </w:r>
      <w:r w:rsidR="00647C6B" w:rsidRPr="00A058B6">
        <w:rPr>
          <w:i/>
        </w:rPr>
        <w:t>Family Law Act 1975</w:t>
      </w:r>
      <w:r w:rsidR="00647C6B" w:rsidRPr="00A058B6">
        <w:t xml:space="preserve"> with [</w:t>
      </w:r>
      <w:r w:rsidR="00647C6B" w:rsidRPr="00A058B6">
        <w:rPr>
          <w:i/>
        </w:rPr>
        <w:t>name</w:t>
      </w:r>
      <w:r w:rsidR="00647C6B" w:rsidRPr="00A058B6">
        <w:t>], who is a member of the plan</w:t>
      </w:r>
      <w:r w:rsidR="00D7157D">
        <w:t>.</w:t>
      </w:r>
    </w:p>
    <w:p w14:paraId="42487660" w14:textId="54F5AB19" w:rsidR="00647C6B" w:rsidRPr="00A058B6" w:rsidRDefault="00647C6B" w:rsidP="00114E6D">
      <w:pPr>
        <w:pStyle w:val="subsection"/>
      </w:pPr>
      <w:r w:rsidRPr="00A058B6">
        <w:t>2</w:t>
      </w:r>
      <w:r w:rsidR="00D7157D">
        <w:t>.</w:t>
      </w:r>
      <w:r w:rsidRPr="00A058B6">
        <w:tab/>
      </w:r>
      <w:r w:rsidR="00114E6D">
        <w:tab/>
      </w:r>
      <w:r w:rsidRPr="00A058B6">
        <w:t>I require the information to:</w:t>
      </w:r>
    </w:p>
    <w:p w14:paraId="70F2267A" w14:textId="21824327" w:rsidR="00647C6B" w:rsidRPr="00114E6D" w:rsidRDefault="00114E6D" w:rsidP="00114E6D">
      <w:pPr>
        <w:pStyle w:val="paragraph"/>
      </w:pPr>
      <w:r>
        <w:rPr>
          <w:position w:val="6"/>
          <w:sz w:val="16"/>
        </w:rPr>
        <w:tab/>
      </w:r>
      <w:r w:rsidR="001952B3" w:rsidRPr="001952B3">
        <w:rPr>
          <w:position w:val="6"/>
          <w:sz w:val="16"/>
        </w:rPr>
        <w:t>*</w:t>
      </w:r>
      <w:r w:rsidR="00647C6B" w:rsidRPr="00A058B6">
        <w:t>(a)</w:t>
      </w:r>
      <w:r w:rsidR="00647C6B" w:rsidRPr="00A058B6">
        <w:tab/>
      </w:r>
      <w:r w:rsidR="00647C6B" w:rsidRPr="00114E6D">
        <w:t>assist me to properly negotiate a superannuation agreement</w:t>
      </w:r>
      <w:r w:rsidR="00D7157D" w:rsidRPr="00114E6D">
        <w:t>.</w:t>
      </w:r>
    </w:p>
    <w:p w14:paraId="14BAFBDA" w14:textId="2BCE2842" w:rsidR="00647C6B" w:rsidRPr="00A058B6" w:rsidRDefault="00114E6D" w:rsidP="00114E6D">
      <w:pPr>
        <w:pStyle w:val="paragraph"/>
      </w:pPr>
      <w:r>
        <w:tab/>
      </w:r>
      <w:r w:rsidR="001952B3" w:rsidRPr="001952B3">
        <w:rPr>
          <w:position w:val="6"/>
          <w:sz w:val="16"/>
        </w:rPr>
        <w:t>*</w:t>
      </w:r>
      <w:r w:rsidR="00647C6B" w:rsidRPr="00114E6D">
        <w:t>(b)</w:t>
      </w:r>
      <w:r w:rsidR="00647C6B" w:rsidRPr="00114E6D">
        <w:tab/>
        <w:t>assist me in connection with the operation of [</w:t>
      </w:r>
      <w:r w:rsidR="00B53ED4" w:rsidRPr="00114E6D">
        <w:t>Part V</w:t>
      </w:r>
      <w:r w:rsidR="00647C6B" w:rsidRPr="00114E6D">
        <w:t>IIIB/</w:t>
      </w:r>
      <w:r w:rsidR="00B53ED4" w:rsidRPr="00114E6D">
        <w:t>Part V</w:t>
      </w:r>
      <w:r w:rsidR="00647C6B" w:rsidRPr="00114E6D">
        <w:t xml:space="preserve">IIIC] of the </w:t>
      </w:r>
      <w:r w:rsidR="00647C6B" w:rsidRPr="004931C4">
        <w:rPr>
          <w:i/>
          <w:iCs/>
        </w:rPr>
        <w:t>Famil</w:t>
      </w:r>
      <w:r w:rsidR="00647C6B" w:rsidRPr="00A058B6">
        <w:rPr>
          <w:i/>
        </w:rPr>
        <w:t>y Law Act 1975</w:t>
      </w:r>
      <w:r w:rsidR="00D7157D">
        <w:t>.</w:t>
      </w:r>
    </w:p>
    <w:p w14:paraId="645C9277" w14:textId="77777777" w:rsidR="00647C6B" w:rsidRPr="00A058B6" w:rsidRDefault="00647C6B" w:rsidP="00647C6B">
      <w:pPr>
        <w:spacing w:before="240"/>
        <w:jc w:val="both"/>
      </w:pPr>
      <w:r w:rsidRPr="00A058B6">
        <w:t>DATED:</w:t>
      </w:r>
    </w:p>
    <w:p w14:paraId="4E6BC8E1" w14:textId="77777777" w:rsidR="00647C6B" w:rsidRPr="00A058B6" w:rsidRDefault="00647C6B" w:rsidP="00647C6B">
      <w:pPr>
        <w:spacing w:before="180"/>
        <w:jc w:val="right"/>
      </w:pPr>
      <w:r w:rsidRPr="00A058B6">
        <w:t>[</w:t>
      </w:r>
      <w:r w:rsidRPr="00A058B6">
        <w:rPr>
          <w:i/>
        </w:rPr>
        <w:t>signature of person making declaration</w:t>
      </w:r>
      <w:r w:rsidRPr="00A058B6">
        <w:t>]</w:t>
      </w:r>
    </w:p>
    <w:p w14:paraId="18063DED" w14:textId="409AAEDA" w:rsidR="00647C6B" w:rsidRPr="00A058B6" w:rsidRDefault="001952B3" w:rsidP="00647C6B">
      <w:pPr>
        <w:spacing w:before="180"/>
        <w:rPr>
          <w:i/>
          <w:sz w:val="20"/>
        </w:rPr>
      </w:pPr>
      <w:r w:rsidRPr="001952B3">
        <w:rPr>
          <w:position w:val="6"/>
          <w:sz w:val="16"/>
        </w:rPr>
        <w:t>*</w:t>
      </w:r>
      <w:r w:rsidR="00647C6B" w:rsidRPr="00A058B6">
        <w:rPr>
          <w:sz w:val="20"/>
        </w:rPr>
        <w:t xml:space="preserve">   </w:t>
      </w:r>
      <w:r w:rsidR="00647C6B" w:rsidRPr="00A058B6">
        <w:rPr>
          <w:i/>
          <w:sz w:val="20"/>
        </w:rPr>
        <w:t>Omit if not applicable</w:t>
      </w:r>
    </w:p>
    <w:p w14:paraId="42826CF0" w14:textId="77777777" w:rsidR="00F803F3" w:rsidRPr="00A058B6" w:rsidRDefault="00F803F3" w:rsidP="00F803F3">
      <w:pPr>
        <w:sectPr w:rsidR="00F803F3" w:rsidRPr="00A058B6" w:rsidSect="00942B24">
          <w:headerReference w:type="even" r:id="rId92"/>
          <w:headerReference w:type="default" r:id="rId93"/>
          <w:footerReference w:type="even" r:id="rId94"/>
          <w:footerReference w:type="default" r:id="rId95"/>
          <w:headerReference w:type="first" r:id="rId96"/>
          <w:footerReference w:type="first" r:id="rId97"/>
          <w:pgSz w:w="11907" w:h="16839" w:code="9"/>
          <w:pgMar w:top="2233" w:right="1797" w:bottom="1440" w:left="1797" w:header="720" w:footer="709" w:gutter="0"/>
          <w:cols w:space="708"/>
          <w:docGrid w:linePitch="360"/>
        </w:sectPr>
      </w:pPr>
    </w:p>
    <w:p w14:paraId="209A03BD" w14:textId="0F9CD8BD" w:rsidR="00647C6B" w:rsidRPr="00A058B6" w:rsidRDefault="00647C6B" w:rsidP="00647C6B">
      <w:pPr>
        <w:pStyle w:val="ActHead1"/>
        <w:pageBreakBefore/>
      </w:pPr>
      <w:bookmarkStart w:id="225" w:name="_Toc188350703"/>
      <w:r w:rsidRPr="00423C34">
        <w:rPr>
          <w:rStyle w:val="CharChapNo"/>
        </w:rPr>
        <w:t>Schedule </w:t>
      </w:r>
      <w:r w:rsidR="00843545" w:rsidRPr="00423C34">
        <w:rPr>
          <w:rStyle w:val="CharChapNo"/>
        </w:rPr>
        <w:t>2</w:t>
      </w:r>
      <w:r w:rsidRPr="00A058B6">
        <w:t>—</w:t>
      </w:r>
      <w:r w:rsidRPr="00423C34">
        <w:rPr>
          <w:rStyle w:val="CharChapText"/>
        </w:rPr>
        <w:t>Value of non</w:t>
      </w:r>
      <w:r w:rsidR="001952B3" w:rsidRPr="00423C34">
        <w:rPr>
          <w:rStyle w:val="CharChapText"/>
        </w:rPr>
        <w:noBreakHyphen/>
      </w:r>
      <w:r w:rsidRPr="00423C34">
        <w:rPr>
          <w:rStyle w:val="CharChapText"/>
        </w:rPr>
        <w:t>member spouse’s entitlement for percentage</w:t>
      </w:r>
      <w:r w:rsidR="001952B3" w:rsidRPr="00423C34">
        <w:rPr>
          <w:rStyle w:val="CharChapText"/>
        </w:rPr>
        <w:noBreakHyphen/>
      </w:r>
      <w:r w:rsidRPr="00423C34">
        <w:rPr>
          <w:rStyle w:val="CharChapText"/>
        </w:rPr>
        <w:t>only interest in superannuation fund or approved deposit fund in payment phase</w:t>
      </w:r>
      <w:bookmarkEnd w:id="225"/>
    </w:p>
    <w:p w14:paraId="4F8E2740" w14:textId="029C1AEF" w:rsidR="00647C6B" w:rsidRPr="00A058B6" w:rsidRDefault="00647C6B" w:rsidP="00647C6B">
      <w:pPr>
        <w:pStyle w:val="notemargin"/>
      </w:pPr>
      <w:r w:rsidRPr="00A058B6">
        <w:t>(</w:t>
      </w:r>
      <w:r w:rsidR="00CB78B9">
        <w:t>section 2</w:t>
      </w:r>
      <w:r w:rsidR="00485CC2">
        <w:t>9</w:t>
      </w:r>
      <w:r w:rsidRPr="00A058B6">
        <w:t>)</w:t>
      </w:r>
    </w:p>
    <w:p w14:paraId="1B84A7EE" w14:textId="77777777" w:rsidR="00647C6B" w:rsidRPr="00A058B6" w:rsidRDefault="00881039" w:rsidP="00647C6B">
      <w:pPr>
        <w:pStyle w:val="ActHead2"/>
      </w:pPr>
      <w:bookmarkStart w:id="226" w:name="_Toc188350704"/>
      <w:r w:rsidRPr="00423C34">
        <w:rPr>
          <w:rStyle w:val="CharPartNo"/>
        </w:rPr>
        <w:t>Part 1</w:t>
      </w:r>
      <w:r w:rsidR="00647C6B" w:rsidRPr="00A058B6">
        <w:t>—</w:t>
      </w:r>
      <w:r w:rsidR="00647C6B" w:rsidRPr="00423C34">
        <w:rPr>
          <w:rStyle w:val="CharPartText"/>
        </w:rPr>
        <w:t>Preliminary</w:t>
      </w:r>
      <w:bookmarkEnd w:id="226"/>
    </w:p>
    <w:p w14:paraId="4B2B1B98" w14:textId="77777777" w:rsidR="00125F92" w:rsidRPr="00423C34" w:rsidRDefault="00125F92" w:rsidP="00125F92">
      <w:pPr>
        <w:pStyle w:val="Header"/>
      </w:pPr>
      <w:r w:rsidRPr="00423C34">
        <w:rPr>
          <w:rStyle w:val="CharDivNo"/>
        </w:rPr>
        <w:t xml:space="preserve"> </w:t>
      </w:r>
      <w:r w:rsidRPr="00423C34">
        <w:rPr>
          <w:rStyle w:val="CharDivText"/>
        </w:rPr>
        <w:t xml:space="preserve"> </w:t>
      </w:r>
    </w:p>
    <w:p w14:paraId="4FCE70A8" w14:textId="77777777" w:rsidR="00647C6B" w:rsidRPr="00A058B6" w:rsidRDefault="00647C6B" w:rsidP="00647C6B">
      <w:pPr>
        <w:pStyle w:val="ActHead5"/>
      </w:pPr>
      <w:bookmarkStart w:id="227" w:name="_Toc188350705"/>
      <w:r w:rsidRPr="00423C34">
        <w:rPr>
          <w:rStyle w:val="CharSectno"/>
        </w:rPr>
        <w:t>1</w:t>
      </w:r>
      <w:r w:rsidRPr="00A058B6">
        <w:t xml:space="preserve">  Application of </w:t>
      </w:r>
      <w:r w:rsidR="00272C0F">
        <w:t xml:space="preserve">this </w:t>
      </w:r>
      <w:r w:rsidRPr="00A058B6">
        <w:t>Schedule</w:t>
      </w:r>
      <w:bookmarkEnd w:id="227"/>
    </w:p>
    <w:p w14:paraId="3DC4C016" w14:textId="7F597B97" w:rsidR="00647C6B" w:rsidRPr="00A058B6" w:rsidRDefault="00647C6B" w:rsidP="00647C6B">
      <w:pPr>
        <w:pStyle w:val="subsection"/>
      </w:pPr>
      <w:r w:rsidRPr="00A058B6">
        <w:tab/>
      </w:r>
      <w:r w:rsidRPr="00A058B6">
        <w:tab/>
        <w:t>This Schedule sets out the method for working out the value at a particular time of a non</w:t>
      </w:r>
      <w:r w:rsidR="001952B3">
        <w:noBreakHyphen/>
      </w:r>
      <w:r w:rsidRPr="00A058B6">
        <w:t>member spouse’s entitlement for a percentage</w:t>
      </w:r>
      <w:r w:rsidR="001952B3">
        <w:noBreakHyphen/>
      </w:r>
      <w:r w:rsidRPr="00A058B6">
        <w:t>only interest in a superannuation fund or an approved deposit fund in the payment phase</w:t>
      </w:r>
      <w:r w:rsidR="00D7157D">
        <w:t>.</w:t>
      </w:r>
    </w:p>
    <w:p w14:paraId="4009EAC7" w14:textId="77777777" w:rsidR="00647C6B" w:rsidRPr="00A058B6" w:rsidRDefault="00647C6B" w:rsidP="00647C6B">
      <w:pPr>
        <w:pStyle w:val="ActHead5"/>
      </w:pPr>
      <w:bookmarkStart w:id="228" w:name="_Toc188350706"/>
      <w:r w:rsidRPr="00423C34">
        <w:rPr>
          <w:rStyle w:val="CharSectno"/>
        </w:rPr>
        <w:t>2</w:t>
      </w:r>
      <w:r w:rsidRPr="00A058B6">
        <w:t xml:space="preserve">  Definitions</w:t>
      </w:r>
      <w:bookmarkEnd w:id="228"/>
    </w:p>
    <w:p w14:paraId="5780A584" w14:textId="77777777" w:rsidR="00647C6B" w:rsidRPr="00A058B6" w:rsidRDefault="00647C6B" w:rsidP="00647C6B">
      <w:pPr>
        <w:pStyle w:val="subsection"/>
      </w:pPr>
      <w:r w:rsidRPr="00A058B6">
        <w:tab/>
      </w:r>
      <w:r w:rsidRPr="00A058B6">
        <w:tab/>
        <w:t>In this Schedule:</w:t>
      </w:r>
    </w:p>
    <w:p w14:paraId="7D5A8EE4" w14:textId="2EC1FAB0" w:rsidR="00647C6B" w:rsidRPr="00A058B6" w:rsidRDefault="00647C6B" w:rsidP="00647C6B">
      <w:pPr>
        <w:pStyle w:val="Definition"/>
      </w:pPr>
      <w:r w:rsidRPr="00A058B6">
        <w:rPr>
          <w:b/>
          <w:i/>
        </w:rPr>
        <w:t>accrued benefit multiple at payment</w:t>
      </w:r>
      <w:r w:rsidRPr="00A058B6">
        <w:t xml:space="preserve"> means the member spouse’s accrued benefit multiple, as defined in the governing rules of the eligible superannuation plan in which the superannuation interest is held, at the date when the new interest is created, or the amount is transferred or rolled over or paid to the non</w:t>
      </w:r>
      <w:r w:rsidR="001952B3">
        <w:noBreakHyphen/>
      </w:r>
      <w:r w:rsidRPr="00A058B6">
        <w:t>member spouse, or a separate entitlement for the non</w:t>
      </w:r>
      <w:r w:rsidR="001952B3">
        <w:noBreakHyphen/>
      </w:r>
      <w:r w:rsidRPr="00A058B6">
        <w:t>member spouse arose</w:t>
      </w:r>
      <w:r w:rsidR="00D7157D">
        <w:t>.</w:t>
      </w:r>
    </w:p>
    <w:p w14:paraId="1628CE25" w14:textId="3B7511D6" w:rsidR="00647C6B" w:rsidRPr="00A058B6" w:rsidRDefault="00647C6B" w:rsidP="00647C6B">
      <w:pPr>
        <w:pStyle w:val="Definition"/>
      </w:pPr>
      <w:r w:rsidRPr="00A058B6">
        <w:rPr>
          <w:b/>
          <w:i/>
        </w:rPr>
        <w:t>accrued benefit multiple at separation</w:t>
      </w:r>
      <w:r w:rsidRPr="00A058B6">
        <w:t xml:space="preserve"> means the member spouse’s accrued benefit multiple, as defined in the governing rules of the eligible superannuation plan in which the superannuation interest is held, at the date when the member spouse and non</w:t>
      </w:r>
      <w:r w:rsidR="001952B3">
        <w:noBreakHyphen/>
      </w:r>
      <w:r w:rsidRPr="00A058B6">
        <w:t>member spouse separated or, if there have been 2 or more separations, at the date of the most recent separation</w:t>
      </w:r>
      <w:r w:rsidR="00D7157D">
        <w:t>.</w:t>
      </w:r>
    </w:p>
    <w:p w14:paraId="36792B19" w14:textId="72C4E72A" w:rsidR="00647C6B" w:rsidRPr="00A058B6" w:rsidRDefault="00647C6B" w:rsidP="00647C6B">
      <w:pPr>
        <w:pStyle w:val="Definition"/>
      </w:pPr>
      <w:r w:rsidRPr="00A058B6">
        <w:rPr>
          <w:b/>
          <w:i/>
        </w:rPr>
        <w:t>F</w:t>
      </w:r>
      <w:r w:rsidRPr="00A058B6">
        <w:t xml:space="preserve"> means the amount of any fees payable by the non</w:t>
      </w:r>
      <w:r w:rsidR="001952B3">
        <w:noBreakHyphen/>
      </w:r>
      <w:r w:rsidRPr="00A058B6">
        <w:t>member spouse under section </w:t>
      </w:r>
      <w:r w:rsidR="00485CC2">
        <w:t>98</w:t>
      </w:r>
      <w:r w:rsidR="00D7157D">
        <w:t>.</w:t>
      </w:r>
    </w:p>
    <w:p w14:paraId="617726C3" w14:textId="77777777" w:rsidR="00647C6B" w:rsidRPr="00A058B6" w:rsidRDefault="00647C6B" w:rsidP="00647C6B">
      <w:pPr>
        <w:pStyle w:val="Definition"/>
      </w:pPr>
      <w:r w:rsidRPr="00A058B6">
        <w:rPr>
          <w:b/>
          <w:i/>
        </w:rPr>
        <w:t>m</w:t>
      </w:r>
      <w:r w:rsidRPr="00A058B6">
        <w:t xml:space="preserve"> means the number of completed months of the member spouse’s age that are not included in the completed years at the date mentioned in the definition of the factor </w:t>
      </w:r>
      <w:r w:rsidRPr="00A058B6">
        <w:rPr>
          <w:b/>
          <w:i/>
        </w:rPr>
        <w:t>R</w:t>
      </w:r>
      <w:r w:rsidRPr="00A058B6">
        <w:rPr>
          <w:b/>
          <w:i/>
          <w:vertAlign w:val="subscript"/>
        </w:rPr>
        <w:t>y</w:t>
      </w:r>
      <w:r w:rsidR="00D7157D">
        <w:t>.</w:t>
      </w:r>
    </w:p>
    <w:p w14:paraId="3316E806" w14:textId="2AC1A6A3" w:rsidR="00647C6B" w:rsidRPr="00A058B6" w:rsidRDefault="00647C6B" w:rsidP="00647C6B">
      <w:pPr>
        <w:pStyle w:val="Definition"/>
      </w:pPr>
      <w:r w:rsidRPr="00A058B6">
        <w:rPr>
          <w:b/>
          <w:i/>
        </w:rPr>
        <w:t>OB</w:t>
      </w:r>
      <w:r w:rsidRPr="00A058B6">
        <w:t xml:space="preserve"> means the amount of the other benefit payable to the member spouse in relation to the interest multiplied by the relevant discount valuation factor that applies under clause 4 of </w:t>
      </w:r>
      <w:r w:rsidR="00453C86">
        <w:t>Schedule 1</w:t>
      </w:r>
      <w:r w:rsidR="00366F59">
        <w:t>0</w:t>
      </w:r>
      <w:r w:rsidR="00D7157D">
        <w:t>.</w:t>
      </w:r>
    </w:p>
    <w:p w14:paraId="10CFF836" w14:textId="365FDF93" w:rsidR="00647C6B" w:rsidRPr="00A058B6" w:rsidRDefault="00647C6B" w:rsidP="00647C6B">
      <w:pPr>
        <w:pStyle w:val="Definition"/>
      </w:pPr>
      <w:r w:rsidRPr="00A058B6">
        <w:rPr>
          <w:b/>
          <w:i/>
        </w:rPr>
        <w:t>P</w:t>
      </w:r>
      <w:r w:rsidRPr="00A058B6">
        <w:rPr>
          <w:b/>
          <w:i/>
          <w:vertAlign w:val="subscript"/>
        </w:rPr>
        <w:t>y+m</w:t>
      </w:r>
      <w:r w:rsidRPr="00A058B6">
        <w:t xml:space="preserve"> means the pension valuation factor under </w:t>
      </w:r>
      <w:r w:rsidR="006211C7">
        <w:t>Schedule </w:t>
      </w:r>
      <w:r w:rsidR="00E5068A">
        <w:t>5</w:t>
      </w:r>
      <w:r w:rsidRPr="00A058B6">
        <w:t xml:space="preserve"> </w:t>
      </w:r>
      <w:r w:rsidR="00FD6FDC">
        <w:t xml:space="preserve">or </w:t>
      </w:r>
      <w:r w:rsidR="009F57CA">
        <w:t>7</w:t>
      </w:r>
      <w:r w:rsidR="00FD6FDC">
        <w:t xml:space="preserve"> </w:t>
      </w:r>
      <w:r w:rsidRPr="00A058B6">
        <w:t>that applies to the particular pension payable to the member spouse at the member spouse’s age at the date when the new interest is created, or the amount is transferred or rolled over or paid to the non</w:t>
      </w:r>
      <w:r w:rsidR="001952B3">
        <w:noBreakHyphen/>
      </w:r>
      <w:r w:rsidRPr="00A058B6">
        <w:t>member spouse, or a separate entitlement for the non</w:t>
      </w:r>
      <w:r w:rsidR="001952B3">
        <w:noBreakHyphen/>
      </w:r>
      <w:r w:rsidRPr="00A058B6">
        <w:t>member spouse arose</w:t>
      </w:r>
      <w:r w:rsidR="00D7157D">
        <w:t>.</w:t>
      </w:r>
    </w:p>
    <w:p w14:paraId="1571F4C7" w14:textId="77777777" w:rsidR="00647C6B" w:rsidRPr="00A058B6" w:rsidRDefault="00647C6B" w:rsidP="00647C6B">
      <w:pPr>
        <w:pStyle w:val="Definition"/>
      </w:pPr>
      <w:r w:rsidRPr="00A058B6">
        <w:rPr>
          <w:b/>
          <w:i/>
        </w:rPr>
        <w:t>r</w:t>
      </w:r>
      <w:r w:rsidRPr="00A058B6">
        <w:t xml:space="preserve"> means:</w:t>
      </w:r>
    </w:p>
    <w:p w14:paraId="4FC842DE" w14:textId="387C94C7" w:rsidR="00647C6B" w:rsidRPr="00A058B6" w:rsidRDefault="00647C6B" w:rsidP="00647C6B">
      <w:pPr>
        <w:pStyle w:val="paragraph"/>
      </w:pPr>
      <w:r w:rsidRPr="00A058B6">
        <w:tab/>
        <w:t>(a)</w:t>
      </w:r>
      <w:r w:rsidRPr="00A058B6">
        <w:tab/>
        <w:t>if there is a surviving spouse of the member spouse—the reversionary percentage that would be payable to the surviving spouse if the member spouse had died on the day when the new interest is created, or the amount is transferred or rolled over or paid to the non</w:t>
      </w:r>
      <w:r w:rsidR="001952B3">
        <w:noBreakHyphen/>
      </w:r>
      <w:r w:rsidRPr="00A058B6">
        <w:t>member spouse, or a separate entitlement for the non</w:t>
      </w:r>
      <w:r w:rsidR="001952B3">
        <w:noBreakHyphen/>
      </w:r>
      <w:r w:rsidRPr="00A058B6">
        <w:t xml:space="preserve">member spouse arose; </w:t>
      </w:r>
      <w:r w:rsidR="003A2E89">
        <w:t>or</w:t>
      </w:r>
    </w:p>
    <w:p w14:paraId="50BA30EA" w14:textId="77777777" w:rsidR="00647C6B" w:rsidRPr="00A058B6" w:rsidRDefault="00647C6B" w:rsidP="00647C6B">
      <w:pPr>
        <w:pStyle w:val="paragraph"/>
      </w:pPr>
      <w:r w:rsidRPr="00A058B6">
        <w:tab/>
        <w:t>(b)</w:t>
      </w:r>
      <w:r w:rsidRPr="00A058B6">
        <w:tab/>
        <w:t>in any other case—zero</w:t>
      </w:r>
      <w:r w:rsidR="00D7157D">
        <w:t>.</w:t>
      </w:r>
    </w:p>
    <w:p w14:paraId="11F35AED" w14:textId="4D80D2EB" w:rsidR="00647C6B" w:rsidRPr="00A058B6" w:rsidRDefault="00647C6B" w:rsidP="00647C6B">
      <w:pPr>
        <w:pStyle w:val="Definition"/>
      </w:pPr>
      <w:r w:rsidRPr="00A058B6">
        <w:rPr>
          <w:b/>
          <w:i/>
        </w:rPr>
        <w:t>R</w:t>
      </w:r>
      <w:r w:rsidRPr="00A058B6">
        <w:rPr>
          <w:b/>
          <w:i/>
          <w:vertAlign w:val="subscript"/>
        </w:rPr>
        <w:t>y</w:t>
      </w:r>
      <w:r w:rsidRPr="00A058B6">
        <w:t xml:space="preserve"> means the reversion valuation factor mentioned in clause 5 of this Schedule that applies to the pension and the member spouse’s age in completed years at the date when the new interest is created, or the amount is transferred or rolled over or paid to the non</w:t>
      </w:r>
      <w:r w:rsidR="001952B3">
        <w:noBreakHyphen/>
      </w:r>
      <w:r w:rsidRPr="00A058B6">
        <w:t>member spouse, or a separate entitlement for the non</w:t>
      </w:r>
      <w:r w:rsidR="001952B3">
        <w:noBreakHyphen/>
      </w:r>
      <w:r w:rsidRPr="00A058B6">
        <w:t>member spouse arose</w:t>
      </w:r>
      <w:r w:rsidR="00D7157D">
        <w:t>.</w:t>
      </w:r>
    </w:p>
    <w:p w14:paraId="3FF3E860" w14:textId="77777777" w:rsidR="00647C6B" w:rsidRPr="00A058B6" w:rsidRDefault="00647C6B" w:rsidP="00647C6B">
      <w:pPr>
        <w:pStyle w:val="Definition"/>
      </w:pPr>
      <w:r w:rsidRPr="00A058B6">
        <w:rPr>
          <w:b/>
          <w:i/>
        </w:rPr>
        <w:t>R</w:t>
      </w:r>
      <w:r w:rsidRPr="00A058B6">
        <w:rPr>
          <w:b/>
          <w:i/>
          <w:vertAlign w:val="subscript"/>
        </w:rPr>
        <w:t>y+1</w:t>
      </w:r>
      <w:r w:rsidRPr="00A058B6">
        <w:t xml:space="preserve"> means the reversion valuation factor mentioned in clause 5 of this Schedule that applies to the pension and the member spouse’s age at the completion of the next year after the year mentioned in the definition of the factor </w:t>
      </w:r>
      <w:r w:rsidRPr="00A058B6">
        <w:rPr>
          <w:b/>
          <w:i/>
        </w:rPr>
        <w:t>R</w:t>
      </w:r>
      <w:r w:rsidRPr="00A058B6">
        <w:rPr>
          <w:b/>
          <w:i/>
          <w:vertAlign w:val="subscript"/>
        </w:rPr>
        <w:t>y</w:t>
      </w:r>
      <w:r w:rsidR="00D7157D">
        <w:t>.</w:t>
      </w:r>
    </w:p>
    <w:p w14:paraId="0B268026" w14:textId="77777777" w:rsidR="00647C6B" w:rsidRPr="00A058B6" w:rsidRDefault="00647C6B" w:rsidP="00647C6B">
      <w:pPr>
        <w:pStyle w:val="Definition"/>
        <w:keepNext/>
        <w:keepLines/>
      </w:pPr>
      <w:r w:rsidRPr="00A058B6">
        <w:rPr>
          <w:b/>
          <w:i/>
        </w:rPr>
        <w:t>X</w:t>
      </w:r>
      <w:r w:rsidRPr="00A058B6">
        <w:t xml:space="preserve"> means the percentage specified in the relevant superannuation agreement, flag lifting agreement or splitting order</w:t>
      </w:r>
      <w:r w:rsidR="00D7157D">
        <w:t>.</w:t>
      </w:r>
    </w:p>
    <w:p w14:paraId="5F0EDA0A" w14:textId="77777777" w:rsidR="00647C6B" w:rsidRPr="00A058B6" w:rsidRDefault="00647C6B" w:rsidP="00647C6B">
      <w:pPr>
        <w:pStyle w:val="Definition"/>
      </w:pPr>
      <w:r w:rsidRPr="00A058B6">
        <w:rPr>
          <w:b/>
          <w:i/>
        </w:rPr>
        <w:t>YP</w:t>
      </w:r>
      <w:r w:rsidRPr="00A058B6">
        <w:t xml:space="preserve"> means the amount of pension payable each year to the member spouse</w:t>
      </w:r>
      <w:r w:rsidR="00D7157D">
        <w:t>.</w:t>
      </w:r>
    </w:p>
    <w:p w14:paraId="57CFA03A" w14:textId="16B9CF18" w:rsidR="00647C6B" w:rsidRPr="00A058B6" w:rsidRDefault="00AB0143" w:rsidP="00125F92">
      <w:pPr>
        <w:pStyle w:val="ActHead2"/>
        <w:pageBreakBefore/>
      </w:pPr>
      <w:bookmarkStart w:id="229" w:name="_Toc188350707"/>
      <w:r w:rsidRPr="00423C34">
        <w:rPr>
          <w:rStyle w:val="CharPartNo"/>
        </w:rPr>
        <w:t>Part 2</w:t>
      </w:r>
      <w:r w:rsidR="00647C6B" w:rsidRPr="00A058B6">
        <w:t>—</w:t>
      </w:r>
      <w:r w:rsidR="00647C6B" w:rsidRPr="00423C34">
        <w:rPr>
          <w:rStyle w:val="CharPartText"/>
        </w:rPr>
        <w:t>Method for subparagraphs 90XJ(1)(b)(i) and 90YN(1)(b)(i), and paragraphs 90XT(1)(c) and 90YY(1)(c), of the Act</w:t>
      </w:r>
      <w:bookmarkEnd w:id="229"/>
    </w:p>
    <w:p w14:paraId="5342AECE" w14:textId="77777777" w:rsidR="00125F92" w:rsidRPr="00423C34" w:rsidRDefault="00125F92" w:rsidP="00125F92">
      <w:pPr>
        <w:pStyle w:val="Header"/>
      </w:pPr>
      <w:r w:rsidRPr="00423C34">
        <w:rPr>
          <w:rStyle w:val="CharDivNo"/>
        </w:rPr>
        <w:t xml:space="preserve"> </w:t>
      </w:r>
      <w:r w:rsidRPr="00423C34">
        <w:rPr>
          <w:rStyle w:val="CharDivText"/>
        </w:rPr>
        <w:t xml:space="preserve"> </w:t>
      </w:r>
    </w:p>
    <w:p w14:paraId="4038F797" w14:textId="77777777" w:rsidR="00647C6B" w:rsidRPr="00A058B6" w:rsidRDefault="00647C6B" w:rsidP="00647C6B">
      <w:pPr>
        <w:pStyle w:val="ActHead5"/>
      </w:pPr>
      <w:bookmarkStart w:id="230" w:name="_Toc188350708"/>
      <w:r w:rsidRPr="00423C34">
        <w:rPr>
          <w:rStyle w:val="CharSectno"/>
        </w:rPr>
        <w:t>3</w:t>
      </w:r>
      <w:r w:rsidRPr="00A058B6">
        <w:t xml:space="preserve">  Method for subparagraphs 90XJ(1)(b)(i) and 90YN(1)(b)(i), and paragraphs 90XT(1)(c) and 90YY(1)(c), of the Act</w:t>
      </w:r>
      <w:bookmarkEnd w:id="230"/>
    </w:p>
    <w:p w14:paraId="647F4521" w14:textId="41DE112D" w:rsidR="00647C6B" w:rsidRDefault="00647C6B" w:rsidP="00647C6B">
      <w:pPr>
        <w:pStyle w:val="subsection"/>
      </w:pPr>
      <w:r w:rsidRPr="00A058B6">
        <w:tab/>
        <w:t>(1)</w:t>
      </w:r>
      <w:r w:rsidRPr="00A058B6">
        <w:tab/>
        <w:t>If no benefit other than a pension is payable to the member spouse in relation to the interest, the value at a particular time of the non</w:t>
      </w:r>
      <w:r w:rsidR="001952B3">
        <w:noBreakHyphen/>
      </w:r>
      <w:r w:rsidRPr="00A058B6">
        <w:t>member spouse’s entitlement in relation to the interest is</w:t>
      </w:r>
      <w:r w:rsidR="00125F92">
        <w:t>:</w:t>
      </w:r>
    </w:p>
    <w:p w14:paraId="018BE4B3" w14:textId="408D7DF8" w:rsidR="000E212C" w:rsidRPr="00E85E55" w:rsidRDefault="00902749" w:rsidP="00E85E55">
      <w:pPr>
        <w:pStyle w:val="subsection2"/>
        <w:rPr>
          <w:position w:val="-32"/>
        </w:rPr>
      </w:pPr>
      <w:r w:rsidRPr="00E85E55">
        <w:rPr>
          <w:position w:val="-68"/>
        </w:rPr>
        <w:object w:dxaOrig="6120" w:dyaOrig="1579" w14:anchorId="4C7507B8">
          <v:shape id="_x0000_i1056" type="#_x0000_t75" alt="Start formula open bracket open bracket start fraction Accrued benefit multiple at separation over Accrued benefit multiple at payment end fraction close bracket times X times open bracket YP times open bracket P subscript y subscript plus subscript m plus r times R subscript y subscript plus subscript m close bracket close bracket close bracket minus F end formula" style="width:297.65pt;height:77.5pt" o:ole="">
            <v:imagedata r:id="rId98" o:title=""/>
          </v:shape>
          <o:OLEObject Type="Embed" ProgID="Equation.DSMT4" ShapeID="_x0000_i1056" DrawAspect="Content" ObjectID="_1801634285" r:id="rId99"/>
        </w:object>
      </w:r>
    </w:p>
    <w:p w14:paraId="6ED1551B" w14:textId="33206ECF" w:rsidR="00647C6B" w:rsidRPr="00A058B6" w:rsidRDefault="00647C6B" w:rsidP="00647C6B">
      <w:pPr>
        <w:pStyle w:val="subsection"/>
      </w:pPr>
      <w:r w:rsidRPr="00A058B6">
        <w:tab/>
        <w:t>(2)</w:t>
      </w:r>
      <w:r w:rsidRPr="00A058B6">
        <w:tab/>
        <w:t>If another benefit, in addition to a pension, is payable to the member spouse in relation to the interest, the value at a particular time of the non</w:t>
      </w:r>
      <w:r w:rsidR="001952B3">
        <w:noBreakHyphen/>
      </w:r>
      <w:r w:rsidRPr="00A058B6">
        <w:t>member spouse’s entitlement in relation to the interest is:</w:t>
      </w:r>
    </w:p>
    <w:p w14:paraId="6FBAE1D8" w14:textId="27F89A15" w:rsidR="00FC678A" w:rsidRPr="00E85E55" w:rsidRDefault="00902749" w:rsidP="00E85E55">
      <w:pPr>
        <w:pStyle w:val="subsection2"/>
        <w:rPr>
          <w:position w:val="-32"/>
        </w:rPr>
      </w:pPr>
      <w:r w:rsidRPr="00EB112C">
        <w:rPr>
          <w:position w:val="-68"/>
        </w:rPr>
        <w:object w:dxaOrig="6720" w:dyaOrig="1579" w14:anchorId="40B5FC1B">
          <v:shape id="_x0000_i1057" type="#_x0000_t75" alt="Start formula open bracket open bracket start fraction Accrued benefit multiple at separation over Accrued benefit multiple at payment end fraction close bracket times X times open bracket YP times open bracket P subscript y subscript plus subscript m plus r times R subscript y subscript plus subscript m close bracket plus OB close bracket close bracket minus F end formula" style="width:328.8pt;height:77.5pt" o:ole="">
            <v:imagedata r:id="rId100" o:title=""/>
          </v:shape>
          <o:OLEObject Type="Embed" ProgID="Equation.DSMT4" ShapeID="_x0000_i1057" DrawAspect="Content" ObjectID="_1801634286" r:id="rId101"/>
        </w:object>
      </w:r>
    </w:p>
    <w:p w14:paraId="6F771C91" w14:textId="77777777" w:rsidR="00647C6B" w:rsidRPr="00A058B6" w:rsidRDefault="00647C6B" w:rsidP="00647C6B">
      <w:pPr>
        <w:pStyle w:val="subsection"/>
      </w:pPr>
      <w:r w:rsidRPr="00A058B6">
        <w:tab/>
        <w:t>(3)</w:t>
      </w:r>
      <w:r w:rsidRPr="00A058B6">
        <w:tab/>
        <w:t>For the purposes of subclauses (1) and (2), the reversion valuation factor (</w:t>
      </w:r>
      <w:r w:rsidRPr="00A058B6">
        <w:rPr>
          <w:b/>
          <w:i/>
        </w:rPr>
        <w:t>R</w:t>
      </w:r>
      <w:r w:rsidRPr="00A058B6">
        <w:rPr>
          <w:b/>
          <w:i/>
          <w:vertAlign w:val="subscript"/>
        </w:rPr>
        <w:t>y+m</w:t>
      </w:r>
      <w:r w:rsidRPr="00A058B6">
        <w:t>) at the particular time is:</w:t>
      </w:r>
    </w:p>
    <w:p w14:paraId="478FE5AE" w14:textId="556D2688" w:rsidR="00903AFC" w:rsidRPr="00A058B6" w:rsidRDefault="001A2944" w:rsidP="00CD2EF1">
      <w:pPr>
        <w:pStyle w:val="subsection2"/>
      </w:pPr>
      <w:r w:rsidRPr="00221805">
        <w:rPr>
          <w:position w:val="-32"/>
        </w:rPr>
        <w:object w:dxaOrig="3000" w:dyaOrig="1060" w14:anchorId="20955E9E">
          <v:shape id="_x0000_i1058" type="#_x0000_t75" alt="Start formula start fraction open bracket R subscript y times open bracket 12 minus m close bracket close bracket plus open bracket R subscript y subscript plus subscript 1 times m close bracket over 12 end fraction end formula" style="width:149.5pt;height:53.65pt" o:ole="">
            <v:imagedata r:id="rId102" o:title=""/>
          </v:shape>
          <o:OLEObject Type="Embed" ProgID="Equation.DSMT4" ShapeID="_x0000_i1058" DrawAspect="Content" ObjectID="_1801634287" r:id="rId103"/>
        </w:object>
      </w:r>
    </w:p>
    <w:p w14:paraId="766B198D" w14:textId="4015898D" w:rsidR="00647C6B" w:rsidRPr="00A058B6" w:rsidRDefault="00647C6B" w:rsidP="00647C6B">
      <w:pPr>
        <w:pStyle w:val="subsection"/>
      </w:pPr>
      <w:r w:rsidRPr="00A058B6">
        <w:tab/>
        <w:t>(4)</w:t>
      </w:r>
      <w:r w:rsidRPr="00A058B6">
        <w:tab/>
        <w:t xml:space="preserve">In applying the factor </w:t>
      </w:r>
      <w:r w:rsidRPr="00A058B6">
        <w:rPr>
          <w:b/>
          <w:i/>
        </w:rPr>
        <w:t>P</w:t>
      </w:r>
      <w:r w:rsidRPr="00A058B6">
        <w:rPr>
          <w:b/>
          <w:i/>
          <w:vertAlign w:val="subscript"/>
        </w:rPr>
        <w:t>y+m</w:t>
      </w:r>
      <w:r w:rsidRPr="00A058B6">
        <w:t xml:space="preserve"> in the formula in subclauses (1) and (2), a reference in </w:t>
      </w:r>
      <w:r w:rsidR="006211C7">
        <w:t>Schedule </w:t>
      </w:r>
      <w:r w:rsidR="00E5068A">
        <w:t>5</w:t>
      </w:r>
      <w:r w:rsidRPr="00A058B6">
        <w:t xml:space="preserve"> </w:t>
      </w:r>
      <w:r w:rsidR="00A37762">
        <w:t xml:space="preserve">or </w:t>
      </w:r>
      <w:r w:rsidR="00D359B8">
        <w:t>7</w:t>
      </w:r>
      <w:r w:rsidR="00A37762">
        <w:t xml:space="preserve"> </w:t>
      </w:r>
      <w:r w:rsidRPr="00A058B6">
        <w:t xml:space="preserve">to </w:t>
      </w:r>
      <w:r w:rsidR="004B02BC">
        <w:t>“</w:t>
      </w:r>
      <w:r w:rsidRPr="00A058B6">
        <w:t>the relevant date</w:t>
      </w:r>
      <w:r w:rsidR="004B02BC">
        <w:t>”</w:t>
      </w:r>
      <w:r w:rsidRPr="00A058B6">
        <w:t xml:space="preserve"> is to be read as if it were a reference to </w:t>
      </w:r>
      <w:r w:rsidR="004B02BC">
        <w:t>“</w:t>
      </w:r>
      <w:r w:rsidRPr="00A058B6">
        <w:t>the date when the new interest was created, or the amount was transferred or rolled over or paid to the non</w:t>
      </w:r>
      <w:r w:rsidR="001952B3">
        <w:noBreakHyphen/>
      </w:r>
      <w:r w:rsidRPr="00A058B6">
        <w:t>member spouse, or a separate entitlement for the non</w:t>
      </w:r>
      <w:r w:rsidR="001952B3">
        <w:noBreakHyphen/>
      </w:r>
      <w:r w:rsidRPr="00A058B6">
        <w:t>member spouse arose</w:t>
      </w:r>
      <w:r w:rsidR="004B02BC">
        <w:t>”</w:t>
      </w:r>
      <w:r w:rsidR="00D7157D">
        <w:t>.</w:t>
      </w:r>
    </w:p>
    <w:p w14:paraId="05C03228" w14:textId="77777777" w:rsidR="00647C6B" w:rsidRPr="00A058B6" w:rsidRDefault="00647C6B" w:rsidP="00647C6B">
      <w:pPr>
        <w:pStyle w:val="subsection"/>
      </w:pPr>
      <w:r w:rsidRPr="00A058B6">
        <w:tab/>
        <w:t>(5)</w:t>
      </w:r>
      <w:r w:rsidRPr="00A058B6">
        <w:tab/>
        <w:t xml:space="preserve">In applying the factor </w:t>
      </w:r>
      <w:r w:rsidRPr="00A058B6">
        <w:rPr>
          <w:b/>
          <w:i/>
        </w:rPr>
        <w:t>OB</w:t>
      </w:r>
      <w:r w:rsidRPr="00A058B6">
        <w:t xml:space="preserve"> in the formula in </w:t>
      </w:r>
      <w:r w:rsidR="00B05FD6">
        <w:t>subclause (</w:t>
      </w:r>
      <w:r w:rsidRPr="00A058B6">
        <w:t>2):</w:t>
      </w:r>
    </w:p>
    <w:p w14:paraId="3950ECCB" w14:textId="63F9690A" w:rsidR="00647C6B" w:rsidRPr="00A058B6" w:rsidRDefault="00647C6B" w:rsidP="00647C6B">
      <w:pPr>
        <w:pStyle w:val="paragraph"/>
      </w:pPr>
      <w:r w:rsidRPr="00A058B6">
        <w:tab/>
        <w:t>(a)</w:t>
      </w:r>
      <w:r w:rsidRPr="00A058B6">
        <w:tab/>
        <w:t xml:space="preserve">a reference in clause 4 of </w:t>
      </w:r>
      <w:r w:rsidR="00453C86">
        <w:t>Schedule 1</w:t>
      </w:r>
      <w:r w:rsidR="00366F59">
        <w:t>0</w:t>
      </w:r>
      <w:r w:rsidRPr="00A058B6">
        <w:t xml:space="preserve"> to </w:t>
      </w:r>
      <w:r w:rsidR="004B02BC">
        <w:t>“</w:t>
      </w:r>
      <w:r w:rsidRPr="00A058B6">
        <w:t>the lump sum</w:t>
      </w:r>
      <w:r w:rsidR="004B02BC">
        <w:t>”</w:t>
      </w:r>
      <w:r w:rsidRPr="00A058B6">
        <w:t xml:space="preserve"> or </w:t>
      </w:r>
      <w:r w:rsidR="004B02BC">
        <w:t>“</w:t>
      </w:r>
      <w:r w:rsidRPr="00A058B6">
        <w:t>a lump sum</w:t>
      </w:r>
      <w:r w:rsidR="004B02BC">
        <w:t>”</w:t>
      </w:r>
      <w:r w:rsidRPr="00A058B6">
        <w:t xml:space="preserve"> is to be read as if it were a reference to </w:t>
      </w:r>
      <w:r w:rsidR="004B02BC">
        <w:t>“</w:t>
      </w:r>
      <w:r w:rsidRPr="00A058B6">
        <w:t>the other benefit payable to the member spouse in relation to the superannuation interest</w:t>
      </w:r>
      <w:r w:rsidR="004B02BC">
        <w:t>”</w:t>
      </w:r>
      <w:r w:rsidRPr="00A058B6">
        <w:t>; and</w:t>
      </w:r>
    </w:p>
    <w:p w14:paraId="7098ED6D" w14:textId="77777777" w:rsidR="00647C6B" w:rsidRPr="00A058B6" w:rsidRDefault="00647C6B" w:rsidP="00647C6B">
      <w:pPr>
        <w:pStyle w:val="paragraph"/>
      </w:pPr>
      <w:r w:rsidRPr="00A058B6">
        <w:tab/>
        <w:t>(b)</w:t>
      </w:r>
      <w:r w:rsidRPr="00A058B6">
        <w:tab/>
        <w:t>the minimum deferral period, in relation to the other benefit payable to the member spouse in relation to the superannuation interest, is the minimum period of time until the other benefit is payable</w:t>
      </w:r>
      <w:r w:rsidR="00D7157D">
        <w:t>.</w:t>
      </w:r>
    </w:p>
    <w:p w14:paraId="35D96BF4" w14:textId="77777777" w:rsidR="00647C6B" w:rsidRPr="00A058B6" w:rsidRDefault="006211C7" w:rsidP="00647C6B">
      <w:pPr>
        <w:pStyle w:val="ActHead2"/>
        <w:pageBreakBefore/>
      </w:pPr>
      <w:bookmarkStart w:id="231" w:name="_Toc188350709"/>
      <w:r w:rsidRPr="00423C34">
        <w:rPr>
          <w:rStyle w:val="CharPartNo"/>
        </w:rPr>
        <w:t>Part 3</w:t>
      </w:r>
      <w:r w:rsidR="00647C6B" w:rsidRPr="00A058B6">
        <w:t>—</w:t>
      </w:r>
      <w:r w:rsidR="00647C6B" w:rsidRPr="00423C34">
        <w:rPr>
          <w:rStyle w:val="CharPartText"/>
        </w:rPr>
        <w:t>Method for subparagraphs 90XJ(1)(b)(ii) and 90YN(1)(b)(ii), and paragraphs 90XT(1)(b) and 90YY(1)(b), of the Act</w:t>
      </w:r>
      <w:bookmarkEnd w:id="231"/>
    </w:p>
    <w:p w14:paraId="710F4522" w14:textId="77777777" w:rsidR="00A730DD" w:rsidRPr="00423C34" w:rsidRDefault="00A730DD" w:rsidP="00A730DD">
      <w:pPr>
        <w:pStyle w:val="Header"/>
      </w:pPr>
      <w:r w:rsidRPr="00423C34">
        <w:rPr>
          <w:rStyle w:val="CharDivNo"/>
        </w:rPr>
        <w:t xml:space="preserve"> </w:t>
      </w:r>
      <w:r w:rsidRPr="00423C34">
        <w:rPr>
          <w:rStyle w:val="CharDivText"/>
        </w:rPr>
        <w:t xml:space="preserve"> </w:t>
      </w:r>
    </w:p>
    <w:p w14:paraId="71DC0CDB" w14:textId="77777777" w:rsidR="00647C6B" w:rsidRPr="00A058B6" w:rsidRDefault="00647C6B" w:rsidP="00647C6B">
      <w:pPr>
        <w:pStyle w:val="ActHead5"/>
      </w:pPr>
      <w:bookmarkStart w:id="232" w:name="_Toc188350710"/>
      <w:r w:rsidRPr="00423C34">
        <w:rPr>
          <w:rStyle w:val="CharSectno"/>
        </w:rPr>
        <w:t>4</w:t>
      </w:r>
      <w:r w:rsidRPr="00A058B6">
        <w:t xml:space="preserve">  Method for subparagraphs 90XJ(1)(b)(ii) and 90YN(1)(b)(ii), and paragraphs 90XT(1)(b) and 90YY(1)(b), of the Act</w:t>
      </w:r>
      <w:bookmarkEnd w:id="232"/>
    </w:p>
    <w:p w14:paraId="21E60FCB" w14:textId="6F04BF80" w:rsidR="00647C6B" w:rsidRPr="00A058B6" w:rsidRDefault="00647C6B" w:rsidP="00647C6B">
      <w:pPr>
        <w:pStyle w:val="subsection"/>
      </w:pPr>
      <w:r w:rsidRPr="00A058B6">
        <w:tab/>
        <w:t>(1)</w:t>
      </w:r>
      <w:r w:rsidRPr="00A058B6">
        <w:tab/>
        <w:t>If no benefit other than a pension is payable to the member spouse in relation to the interest, the value at a particular time of the non</w:t>
      </w:r>
      <w:r w:rsidR="001952B3">
        <w:noBreakHyphen/>
      </w:r>
      <w:r w:rsidRPr="00A058B6">
        <w:t>member spouse’s entitlement in relation to the interest is:</w:t>
      </w:r>
    </w:p>
    <w:p w14:paraId="11F89752" w14:textId="71130C95" w:rsidR="00046454" w:rsidRPr="00A058B6" w:rsidRDefault="00092E65" w:rsidP="00354C1C">
      <w:pPr>
        <w:pStyle w:val="subsection2"/>
      </w:pPr>
      <w:r w:rsidRPr="00F0425E">
        <w:rPr>
          <w:position w:val="-26"/>
        </w:rPr>
        <w:object w:dxaOrig="3360" w:dyaOrig="720" w14:anchorId="1D5B9FD4">
          <v:shape id="_x0000_i1059" type="#_x0000_t75" alt="Start formula X times open bracket YP times open bracket P subscript y subscript plus subscript m plus r times R subscript y subscript plus subscript m close bracket close bracket minus F end formula" style="width:167.85pt;height:37.15pt" o:ole="">
            <v:imagedata r:id="rId104" o:title=""/>
          </v:shape>
          <o:OLEObject Type="Embed" ProgID="Equation.DSMT4" ShapeID="_x0000_i1059" DrawAspect="Content" ObjectID="_1801634288" r:id="rId105"/>
        </w:object>
      </w:r>
    </w:p>
    <w:p w14:paraId="08D1DD97" w14:textId="67640F6A" w:rsidR="00647C6B" w:rsidRPr="00A058B6" w:rsidRDefault="00647C6B" w:rsidP="00647C6B">
      <w:pPr>
        <w:pStyle w:val="subsection"/>
      </w:pPr>
      <w:r w:rsidRPr="00A058B6">
        <w:tab/>
        <w:t>(2)</w:t>
      </w:r>
      <w:r w:rsidRPr="00A058B6">
        <w:tab/>
        <w:t>If another benefit, in addition to a pension, is payable to the member spouse in relation to the interest, the value at a particular time of the non</w:t>
      </w:r>
      <w:r w:rsidR="001952B3">
        <w:noBreakHyphen/>
      </w:r>
      <w:r w:rsidRPr="00A058B6">
        <w:t>member spouse’s entitlement in relation to the interest is:</w:t>
      </w:r>
    </w:p>
    <w:p w14:paraId="762E9131" w14:textId="3F845BB6" w:rsidR="00FD34A4" w:rsidRPr="00A058B6" w:rsidRDefault="00092E65" w:rsidP="00FD34A4">
      <w:pPr>
        <w:pStyle w:val="subsection2"/>
      </w:pPr>
      <w:r w:rsidRPr="00F0425E">
        <w:rPr>
          <w:position w:val="-26"/>
        </w:rPr>
        <w:object w:dxaOrig="3940" w:dyaOrig="720" w14:anchorId="5F0F45FB">
          <v:shape id="_x0000_i1060" type="#_x0000_t75" alt="Start formula X times open bracket YP times open bracket P subscript y subscript plus subscript m plus r times R subscript y subscript plus subscript m close bracket plus OB close bracket minus F end formula" style="width:197.65pt;height:37.15pt" o:ole="">
            <v:imagedata r:id="rId106" o:title=""/>
          </v:shape>
          <o:OLEObject Type="Embed" ProgID="Equation.DSMT4" ShapeID="_x0000_i1060" DrawAspect="Content" ObjectID="_1801634289" r:id="rId107"/>
        </w:object>
      </w:r>
    </w:p>
    <w:p w14:paraId="7384EC80" w14:textId="77777777" w:rsidR="00647C6B" w:rsidRPr="00A058B6" w:rsidRDefault="00647C6B" w:rsidP="00647C6B">
      <w:pPr>
        <w:pStyle w:val="subsection"/>
      </w:pPr>
      <w:r w:rsidRPr="00A058B6">
        <w:tab/>
        <w:t>(3)</w:t>
      </w:r>
      <w:r w:rsidRPr="00A058B6">
        <w:tab/>
        <w:t>For the purposes of subclauses (1) and (2), the reversion valuation factor (</w:t>
      </w:r>
      <w:r w:rsidRPr="00A058B6">
        <w:rPr>
          <w:b/>
          <w:i/>
        </w:rPr>
        <w:t>R</w:t>
      </w:r>
      <w:r w:rsidRPr="00A058B6">
        <w:rPr>
          <w:b/>
          <w:i/>
          <w:vertAlign w:val="subscript"/>
        </w:rPr>
        <w:t>y+m</w:t>
      </w:r>
      <w:r w:rsidRPr="00A058B6">
        <w:t>) at the particular time is:</w:t>
      </w:r>
    </w:p>
    <w:p w14:paraId="4D71D353" w14:textId="4ACC5CF4" w:rsidR="00E51EF2" w:rsidRPr="00A058B6" w:rsidRDefault="002F484B" w:rsidP="00E51EF2">
      <w:pPr>
        <w:pStyle w:val="subsection2"/>
      </w:pPr>
      <w:r w:rsidRPr="00B20B85">
        <w:rPr>
          <w:position w:val="-44"/>
        </w:rPr>
        <w:object w:dxaOrig="3040" w:dyaOrig="1180" w14:anchorId="67FC9056">
          <v:shape id="_x0000_i1061" type="#_x0000_t75" alt="Start formula start fraction open bracket R subscript y times open bracket 12 minus m close bracket close bracket plus open bracket R subscript y subscript plus subscript 1 times m close bracket over 12 end fraction end formula" style="width:153.15pt;height:61pt" o:ole="">
            <v:imagedata r:id="rId108" o:title=""/>
          </v:shape>
          <o:OLEObject Type="Embed" ProgID="Equation.DSMT4" ShapeID="_x0000_i1061" DrawAspect="Content" ObjectID="_1801634290" r:id="rId109"/>
        </w:object>
      </w:r>
    </w:p>
    <w:p w14:paraId="22C4F57D" w14:textId="1B2BD4DC" w:rsidR="00647C6B" w:rsidRPr="00A058B6" w:rsidRDefault="00647C6B" w:rsidP="00647C6B">
      <w:pPr>
        <w:pStyle w:val="subsection"/>
      </w:pPr>
      <w:r w:rsidRPr="00A058B6">
        <w:tab/>
        <w:t>(4)</w:t>
      </w:r>
      <w:r w:rsidRPr="00A058B6">
        <w:tab/>
        <w:t xml:space="preserve">In applying the factor </w:t>
      </w:r>
      <w:r w:rsidRPr="00A058B6">
        <w:rPr>
          <w:b/>
          <w:i/>
        </w:rPr>
        <w:t>P</w:t>
      </w:r>
      <w:r w:rsidRPr="00A058B6">
        <w:rPr>
          <w:b/>
          <w:i/>
          <w:vertAlign w:val="subscript"/>
        </w:rPr>
        <w:t>y+m</w:t>
      </w:r>
      <w:r w:rsidRPr="00A058B6">
        <w:t xml:space="preserve"> in the formula in subclauses (1) and (2), a reference in </w:t>
      </w:r>
      <w:r w:rsidR="006211C7">
        <w:t>Schedule </w:t>
      </w:r>
      <w:r w:rsidR="00E5068A">
        <w:t>5</w:t>
      </w:r>
      <w:r w:rsidR="00A37762">
        <w:t xml:space="preserve"> or </w:t>
      </w:r>
      <w:r w:rsidR="00D359B8">
        <w:t>7</w:t>
      </w:r>
      <w:r w:rsidRPr="00A058B6">
        <w:t xml:space="preserve"> to </w:t>
      </w:r>
      <w:r w:rsidR="004B02BC">
        <w:t>“</w:t>
      </w:r>
      <w:r w:rsidRPr="00A058B6">
        <w:t>the relevant date</w:t>
      </w:r>
      <w:r w:rsidR="004B02BC">
        <w:t>”</w:t>
      </w:r>
      <w:r w:rsidRPr="00A058B6">
        <w:t xml:space="preserve"> is to be read as if it were a reference to </w:t>
      </w:r>
      <w:r w:rsidR="004B02BC">
        <w:t>“</w:t>
      </w:r>
      <w:r w:rsidRPr="00A058B6">
        <w:t>the date when the new interest was created, or the amount was transferred or rolled over or paid to the non</w:t>
      </w:r>
      <w:r w:rsidR="001952B3">
        <w:noBreakHyphen/>
      </w:r>
      <w:r w:rsidRPr="00A058B6">
        <w:t>member spouse, or a separate entitlement for the non</w:t>
      </w:r>
      <w:r w:rsidR="001952B3">
        <w:noBreakHyphen/>
      </w:r>
      <w:r w:rsidRPr="00A058B6">
        <w:t>member spouse arose</w:t>
      </w:r>
      <w:r w:rsidR="004B02BC">
        <w:t>”</w:t>
      </w:r>
      <w:r w:rsidR="00D7157D">
        <w:t>.</w:t>
      </w:r>
    </w:p>
    <w:p w14:paraId="790A8A2F" w14:textId="77777777" w:rsidR="00647C6B" w:rsidRPr="00A058B6" w:rsidRDefault="00647C6B" w:rsidP="00647C6B">
      <w:pPr>
        <w:pStyle w:val="subsection"/>
      </w:pPr>
      <w:r w:rsidRPr="00A058B6">
        <w:tab/>
        <w:t>(5)</w:t>
      </w:r>
      <w:r w:rsidRPr="00A058B6">
        <w:tab/>
        <w:t xml:space="preserve">In applying the factor </w:t>
      </w:r>
      <w:r w:rsidRPr="00A058B6">
        <w:rPr>
          <w:b/>
          <w:i/>
        </w:rPr>
        <w:t>OB</w:t>
      </w:r>
      <w:r w:rsidRPr="00A058B6">
        <w:t xml:space="preserve"> in the formula in </w:t>
      </w:r>
      <w:r w:rsidR="00B05FD6">
        <w:t>subclause (</w:t>
      </w:r>
      <w:r w:rsidRPr="00A058B6">
        <w:t>2):</w:t>
      </w:r>
    </w:p>
    <w:p w14:paraId="24641BBF" w14:textId="0D19A923" w:rsidR="00647C6B" w:rsidRPr="00A058B6" w:rsidRDefault="00647C6B" w:rsidP="00647C6B">
      <w:pPr>
        <w:pStyle w:val="paragraph"/>
      </w:pPr>
      <w:r w:rsidRPr="00A058B6">
        <w:tab/>
        <w:t>(a)</w:t>
      </w:r>
      <w:r w:rsidRPr="00A058B6">
        <w:tab/>
        <w:t xml:space="preserve">a reference in clause 4 of </w:t>
      </w:r>
      <w:r w:rsidR="00453C86">
        <w:t>Schedule 1</w:t>
      </w:r>
      <w:r w:rsidR="00366F59">
        <w:t>0</w:t>
      </w:r>
      <w:r w:rsidRPr="00A058B6">
        <w:t xml:space="preserve"> to </w:t>
      </w:r>
      <w:r w:rsidR="004B02BC">
        <w:t>“</w:t>
      </w:r>
      <w:r w:rsidRPr="00A058B6">
        <w:t>the lump sum</w:t>
      </w:r>
      <w:r w:rsidR="004B02BC">
        <w:t>”</w:t>
      </w:r>
      <w:r w:rsidRPr="00A058B6">
        <w:t xml:space="preserve"> or </w:t>
      </w:r>
      <w:r w:rsidR="004B02BC">
        <w:t>“</w:t>
      </w:r>
      <w:r w:rsidRPr="00A058B6">
        <w:t>a lump sum</w:t>
      </w:r>
      <w:r w:rsidR="004B02BC">
        <w:t>”</w:t>
      </w:r>
      <w:r w:rsidRPr="00A058B6">
        <w:t xml:space="preserve"> is to be read as if it were a reference to </w:t>
      </w:r>
      <w:r w:rsidR="004B02BC">
        <w:t>“</w:t>
      </w:r>
      <w:r w:rsidRPr="00A058B6">
        <w:t>the other benefit payable to the member spouse in relation to the superannuation interest</w:t>
      </w:r>
      <w:r w:rsidR="004B02BC">
        <w:t>”</w:t>
      </w:r>
      <w:r w:rsidRPr="00A058B6">
        <w:t>; and</w:t>
      </w:r>
    </w:p>
    <w:p w14:paraId="2F892CCE" w14:textId="77777777" w:rsidR="00647C6B" w:rsidRPr="00A058B6" w:rsidRDefault="00647C6B" w:rsidP="00647C6B">
      <w:pPr>
        <w:pStyle w:val="paragraph"/>
      </w:pPr>
      <w:r w:rsidRPr="00A058B6">
        <w:tab/>
        <w:t>(b)</w:t>
      </w:r>
      <w:r w:rsidRPr="00A058B6">
        <w:tab/>
        <w:t>the minimum deferral period, in relation to the other benefit payable to the member spouse in relation to the superannuation interest, is the minimum period of time until the other benefit is payable</w:t>
      </w:r>
      <w:r w:rsidR="00D7157D">
        <w:t>.</w:t>
      </w:r>
    </w:p>
    <w:p w14:paraId="3C889A13" w14:textId="77777777" w:rsidR="00647C6B" w:rsidRPr="00A058B6" w:rsidRDefault="00E84409" w:rsidP="00647C6B">
      <w:pPr>
        <w:pStyle w:val="ActHead2"/>
        <w:pageBreakBefore/>
      </w:pPr>
      <w:bookmarkStart w:id="233" w:name="_Toc188350711"/>
      <w:r w:rsidRPr="00423C34">
        <w:rPr>
          <w:rStyle w:val="CharPartNo"/>
        </w:rPr>
        <w:t>Part 4</w:t>
      </w:r>
      <w:r w:rsidR="00647C6B" w:rsidRPr="00A058B6">
        <w:t>—</w:t>
      </w:r>
      <w:r w:rsidR="00647C6B" w:rsidRPr="00423C34">
        <w:rPr>
          <w:rStyle w:val="CharPartText"/>
        </w:rPr>
        <w:t>Reversion valuation factors</w:t>
      </w:r>
      <w:bookmarkEnd w:id="233"/>
    </w:p>
    <w:p w14:paraId="5F8BB06E" w14:textId="77777777" w:rsidR="00A730DD" w:rsidRPr="00423C34" w:rsidRDefault="00A730DD" w:rsidP="00A730DD">
      <w:pPr>
        <w:pStyle w:val="Header"/>
      </w:pPr>
      <w:r w:rsidRPr="00423C34">
        <w:rPr>
          <w:rStyle w:val="CharDivNo"/>
        </w:rPr>
        <w:t xml:space="preserve"> </w:t>
      </w:r>
      <w:r w:rsidRPr="00423C34">
        <w:rPr>
          <w:rStyle w:val="CharDivText"/>
        </w:rPr>
        <w:t xml:space="preserve"> </w:t>
      </w:r>
    </w:p>
    <w:p w14:paraId="0CFC4A86" w14:textId="77777777" w:rsidR="00647C6B" w:rsidRPr="00A058B6" w:rsidRDefault="00647C6B" w:rsidP="00647C6B">
      <w:pPr>
        <w:pStyle w:val="ActHead5"/>
      </w:pPr>
      <w:bookmarkStart w:id="234" w:name="_Toc188350712"/>
      <w:r w:rsidRPr="00423C34">
        <w:rPr>
          <w:rStyle w:val="CharSectno"/>
        </w:rPr>
        <w:t>5</w:t>
      </w:r>
      <w:r w:rsidRPr="00A058B6">
        <w:t xml:space="preserve">  Reversion valuation factors</w:t>
      </w:r>
      <w:bookmarkEnd w:id="234"/>
    </w:p>
    <w:p w14:paraId="45C3B2FF" w14:textId="77777777" w:rsidR="00647C6B" w:rsidRPr="00A058B6" w:rsidRDefault="00647C6B" w:rsidP="00647C6B">
      <w:pPr>
        <w:pStyle w:val="subsection"/>
      </w:pPr>
      <w:r w:rsidRPr="00A058B6">
        <w:tab/>
        <w:t>(1)</w:t>
      </w:r>
      <w:r w:rsidRPr="00A058B6">
        <w:tab/>
        <w:t>The table in this clause sets out the reversion valuation factors</w:t>
      </w:r>
      <w:r w:rsidR="00D7157D">
        <w:t>.</w:t>
      </w:r>
    </w:p>
    <w:p w14:paraId="7FB6C2F0" w14:textId="77777777" w:rsidR="00647C6B" w:rsidRPr="00A058B6" w:rsidRDefault="00647C6B" w:rsidP="00647C6B">
      <w:pPr>
        <w:pStyle w:val="subsection"/>
      </w:pPr>
      <w:r w:rsidRPr="00A058B6">
        <w:tab/>
        <w:t>(2)</w:t>
      </w:r>
      <w:r w:rsidRPr="00A058B6">
        <w:tab/>
        <w:t>The factors in columns 2 and 3 apply if the pension is indexed in accordance with the consumer price index</w:t>
      </w:r>
      <w:r w:rsidR="00D7157D">
        <w:t>.</w:t>
      </w:r>
    </w:p>
    <w:p w14:paraId="21617D61" w14:textId="77777777" w:rsidR="00647C6B" w:rsidRPr="00A058B6" w:rsidRDefault="00647C6B" w:rsidP="00647C6B">
      <w:pPr>
        <w:pStyle w:val="subsection"/>
      </w:pPr>
      <w:r w:rsidRPr="00A058B6">
        <w:tab/>
        <w:t>(3)</w:t>
      </w:r>
      <w:r w:rsidRPr="00A058B6">
        <w:tab/>
        <w:t>The factors in columns 4 and 5 apply if the pension is indexed in accordance with a general wage index (for example, average weekly earnings, or average weekly ordinary time earnings, published by the Australian Bureau of Statistics)</w:t>
      </w:r>
      <w:r w:rsidR="00D7157D">
        <w:t>.</w:t>
      </w:r>
    </w:p>
    <w:p w14:paraId="3413C662" w14:textId="77777777" w:rsidR="00647C6B" w:rsidRPr="00A058B6" w:rsidRDefault="00647C6B" w:rsidP="00647C6B">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1503"/>
        <w:gridCol w:w="1503"/>
        <w:gridCol w:w="1503"/>
        <w:gridCol w:w="1506"/>
      </w:tblGrid>
      <w:tr w:rsidR="00647C6B" w:rsidRPr="00EB112C" w14:paraId="7BD408A7" w14:textId="77777777" w:rsidTr="00FA26AF">
        <w:trPr>
          <w:trHeight w:val="30"/>
          <w:tblHeader/>
        </w:trPr>
        <w:tc>
          <w:tcPr>
            <w:tcW w:w="1382" w:type="pct"/>
            <w:vMerge w:val="restart"/>
            <w:tcBorders>
              <w:top w:val="single" w:sz="12" w:space="0" w:color="auto"/>
              <w:left w:val="nil"/>
              <w:bottom w:val="single" w:sz="12" w:space="0" w:color="auto"/>
              <w:right w:val="nil"/>
            </w:tcBorders>
          </w:tcPr>
          <w:p w14:paraId="75AE76C3" w14:textId="77777777" w:rsidR="00647C6B" w:rsidRPr="00EB112C" w:rsidRDefault="00647C6B" w:rsidP="00EB112C">
            <w:pPr>
              <w:pStyle w:val="TableHeading"/>
            </w:pPr>
            <w:r w:rsidRPr="00EB112C">
              <w:t>Age at particular time (in completed years)</w:t>
            </w:r>
          </w:p>
        </w:tc>
        <w:tc>
          <w:tcPr>
            <w:tcW w:w="3618" w:type="pct"/>
            <w:gridSpan w:val="4"/>
            <w:tcBorders>
              <w:top w:val="single" w:sz="12" w:space="0" w:color="auto"/>
              <w:left w:val="nil"/>
              <w:right w:val="nil"/>
            </w:tcBorders>
          </w:tcPr>
          <w:p w14:paraId="410F1CE3" w14:textId="77777777" w:rsidR="00647C6B" w:rsidRPr="00EB112C" w:rsidRDefault="00647C6B" w:rsidP="00EB112C">
            <w:pPr>
              <w:pStyle w:val="TableHeading"/>
            </w:pPr>
            <w:r w:rsidRPr="00EB112C">
              <w:t>Reversion valuation factors</w:t>
            </w:r>
          </w:p>
        </w:tc>
      </w:tr>
      <w:tr w:rsidR="00647C6B" w:rsidRPr="00EB112C" w14:paraId="37839843" w14:textId="77777777" w:rsidTr="00FA26AF">
        <w:trPr>
          <w:trHeight w:val="30"/>
          <w:tblHeader/>
        </w:trPr>
        <w:tc>
          <w:tcPr>
            <w:tcW w:w="1382" w:type="pct"/>
            <w:vMerge/>
            <w:tcBorders>
              <w:left w:val="nil"/>
              <w:bottom w:val="single" w:sz="12" w:space="0" w:color="auto"/>
              <w:right w:val="nil"/>
            </w:tcBorders>
          </w:tcPr>
          <w:p w14:paraId="105CE6DB" w14:textId="77777777" w:rsidR="00647C6B" w:rsidRPr="00EB112C" w:rsidRDefault="00647C6B" w:rsidP="00EB112C">
            <w:pPr>
              <w:pStyle w:val="TableHeading"/>
            </w:pPr>
          </w:p>
        </w:tc>
        <w:tc>
          <w:tcPr>
            <w:tcW w:w="1808" w:type="pct"/>
            <w:gridSpan w:val="2"/>
            <w:tcBorders>
              <w:left w:val="nil"/>
              <w:bottom w:val="single" w:sz="4" w:space="0" w:color="auto"/>
              <w:right w:val="nil"/>
            </w:tcBorders>
          </w:tcPr>
          <w:p w14:paraId="57112085" w14:textId="77777777" w:rsidR="00647C6B" w:rsidRPr="00EB112C" w:rsidRDefault="00647C6B" w:rsidP="00EB112C">
            <w:pPr>
              <w:pStyle w:val="TableHeading"/>
            </w:pPr>
            <w:r w:rsidRPr="00EB112C">
              <w:t>CPI indexed pension</w:t>
            </w:r>
          </w:p>
        </w:tc>
        <w:tc>
          <w:tcPr>
            <w:tcW w:w="1810" w:type="pct"/>
            <w:gridSpan w:val="2"/>
            <w:tcBorders>
              <w:left w:val="nil"/>
              <w:bottom w:val="single" w:sz="4" w:space="0" w:color="auto"/>
              <w:right w:val="nil"/>
            </w:tcBorders>
          </w:tcPr>
          <w:p w14:paraId="47197AAA" w14:textId="77777777" w:rsidR="00647C6B" w:rsidRPr="00EB112C" w:rsidRDefault="00647C6B" w:rsidP="00EB112C">
            <w:pPr>
              <w:pStyle w:val="TableHeading"/>
            </w:pPr>
            <w:r w:rsidRPr="00EB112C">
              <w:t>Wage indexed pension</w:t>
            </w:r>
          </w:p>
        </w:tc>
      </w:tr>
      <w:tr w:rsidR="00647C6B" w:rsidRPr="00EB112C" w14:paraId="4AD6BC79" w14:textId="77777777" w:rsidTr="00FA26AF">
        <w:trPr>
          <w:trHeight w:val="30"/>
          <w:tblHeader/>
        </w:trPr>
        <w:tc>
          <w:tcPr>
            <w:tcW w:w="1382" w:type="pct"/>
            <w:vMerge/>
            <w:tcBorders>
              <w:left w:val="nil"/>
              <w:bottom w:val="single" w:sz="12" w:space="0" w:color="auto"/>
              <w:right w:val="nil"/>
            </w:tcBorders>
          </w:tcPr>
          <w:p w14:paraId="4E750746" w14:textId="77777777" w:rsidR="00647C6B" w:rsidRPr="00EB112C" w:rsidRDefault="00647C6B" w:rsidP="00EB112C">
            <w:pPr>
              <w:pStyle w:val="TableHeading"/>
            </w:pPr>
          </w:p>
        </w:tc>
        <w:tc>
          <w:tcPr>
            <w:tcW w:w="904" w:type="pct"/>
            <w:tcBorders>
              <w:left w:val="nil"/>
              <w:bottom w:val="single" w:sz="12" w:space="0" w:color="auto"/>
              <w:right w:val="nil"/>
            </w:tcBorders>
          </w:tcPr>
          <w:p w14:paraId="7AA4E676" w14:textId="77777777" w:rsidR="00647C6B" w:rsidRPr="00EB112C" w:rsidRDefault="00647C6B" w:rsidP="00EB112C">
            <w:pPr>
              <w:pStyle w:val="TableHeading"/>
            </w:pPr>
            <w:r w:rsidRPr="00EB112C">
              <w:t>Males</w:t>
            </w:r>
          </w:p>
        </w:tc>
        <w:tc>
          <w:tcPr>
            <w:tcW w:w="904" w:type="pct"/>
            <w:tcBorders>
              <w:left w:val="nil"/>
              <w:bottom w:val="single" w:sz="12" w:space="0" w:color="auto"/>
              <w:right w:val="nil"/>
            </w:tcBorders>
          </w:tcPr>
          <w:p w14:paraId="232A3B80" w14:textId="77777777" w:rsidR="00647C6B" w:rsidRPr="00EB112C" w:rsidRDefault="00647C6B" w:rsidP="00EB112C">
            <w:pPr>
              <w:pStyle w:val="TableHeading"/>
            </w:pPr>
            <w:r w:rsidRPr="00EB112C">
              <w:t>Females</w:t>
            </w:r>
          </w:p>
        </w:tc>
        <w:tc>
          <w:tcPr>
            <w:tcW w:w="904" w:type="pct"/>
            <w:tcBorders>
              <w:left w:val="nil"/>
              <w:bottom w:val="single" w:sz="12" w:space="0" w:color="auto"/>
              <w:right w:val="nil"/>
            </w:tcBorders>
          </w:tcPr>
          <w:p w14:paraId="26395014" w14:textId="77777777" w:rsidR="00647C6B" w:rsidRPr="00EB112C" w:rsidRDefault="00647C6B" w:rsidP="00EB112C">
            <w:pPr>
              <w:pStyle w:val="TableHeading"/>
            </w:pPr>
            <w:r w:rsidRPr="00EB112C">
              <w:t>Males</w:t>
            </w:r>
          </w:p>
        </w:tc>
        <w:tc>
          <w:tcPr>
            <w:tcW w:w="906" w:type="pct"/>
            <w:tcBorders>
              <w:left w:val="nil"/>
              <w:bottom w:val="single" w:sz="12" w:space="0" w:color="auto"/>
              <w:right w:val="nil"/>
            </w:tcBorders>
          </w:tcPr>
          <w:p w14:paraId="7FC1DA0A" w14:textId="77777777" w:rsidR="00647C6B" w:rsidRPr="00EB112C" w:rsidRDefault="00647C6B" w:rsidP="00EB112C">
            <w:pPr>
              <w:pStyle w:val="TableHeading"/>
            </w:pPr>
            <w:r w:rsidRPr="00EB112C">
              <w:t>Females</w:t>
            </w:r>
          </w:p>
        </w:tc>
      </w:tr>
      <w:tr w:rsidR="00302534" w:rsidRPr="00A058B6" w14:paraId="655F1EFC" w14:textId="77777777" w:rsidTr="00FA26AF">
        <w:tc>
          <w:tcPr>
            <w:tcW w:w="1382" w:type="pct"/>
            <w:tcBorders>
              <w:top w:val="single" w:sz="12" w:space="0" w:color="auto"/>
              <w:left w:val="nil"/>
              <w:right w:val="nil"/>
            </w:tcBorders>
          </w:tcPr>
          <w:p w14:paraId="2B095E20" w14:textId="77777777" w:rsidR="00302534" w:rsidRPr="00A058B6" w:rsidRDefault="00302534" w:rsidP="00302534">
            <w:pPr>
              <w:pStyle w:val="Tabletext"/>
              <w:rPr>
                <w:snapToGrid w:val="0"/>
              </w:rPr>
            </w:pPr>
            <w:r w:rsidRPr="00A058B6">
              <w:rPr>
                <w:snapToGrid w:val="0"/>
              </w:rPr>
              <w:t>18</w:t>
            </w:r>
          </w:p>
        </w:tc>
        <w:tc>
          <w:tcPr>
            <w:tcW w:w="904" w:type="pct"/>
            <w:tcBorders>
              <w:top w:val="single" w:sz="12" w:space="0" w:color="auto"/>
              <w:left w:val="nil"/>
              <w:bottom w:val="single" w:sz="2" w:space="0" w:color="auto"/>
              <w:right w:val="nil"/>
            </w:tcBorders>
            <w:shd w:val="clear" w:color="auto" w:fill="auto"/>
            <w:vAlign w:val="bottom"/>
          </w:tcPr>
          <w:p w14:paraId="216CC83F" w14:textId="77777777" w:rsidR="00302534" w:rsidRPr="00A058B6" w:rsidRDefault="00302534" w:rsidP="00302534">
            <w:pPr>
              <w:pStyle w:val="Tabletext"/>
            </w:pPr>
            <w:r w:rsidRPr="00A058B6">
              <w:t>0</w:t>
            </w:r>
            <w:r w:rsidR="00D7157D">
              <w:t>.</w:t>
            </w:r>
            <w:r w:rsidRPr="00A058B6">
              <w:t>9943</w:t>
            </w:r>
          </w:p>
        </w:tc>
        <w:tc>
          <w:tcPr>
            <w:tcW w:w="904" w:type="pct"/>
            <w:tcBorders>
              <w:top w:val="single" w:sz="12" w:space="0" w:color="auto"/>
              <w:left w:val="nil"/>
              <w:bottom w:val="single" w:sz="2" w:space="0" w:color="auto"/>
              <w:right w:val="nil"/>
            </w:tcBorders>
            <w:shd w:val="clear" w:color="auto" w:fill="auto"/>
            <w:vAlign w:val="bottom"/>
          </w:tcPr>
          <w:p w14:paraId="654ACB76" w14:textId="77777777" w:rsidR="00302534" w:rsidRPr="00A058B6" w:rsidRDefault="00302534" w:rsidP="00302534">
            <w:pPr>
              <w:pStyle w:val="Tabletext"/>
            </w:pPr>
            <w:r w:rsidRPr="00A058B6">
              <w:t>0</w:t>
            </w:r>
            <w:r w:rsidR="00D7157D">
              <w:t>.</w:t>
            </w:r>
            <w:r w:rsidRPr="00A058B6">
              <w:t>4768</w:t>
            </w:r>
          </w:p>
        </w:tc>
        <w:tc>
          <w:tcPr>
            <w:tcW w:w="904" w:type="pct"/>
            <w:tcBorders>
              <w:top w:val="single" w:sz="12" w:space="0" w:color="auto"/>
              <w:left w:val="nil"/>
              <w:bottom w:val="single" w:sz="2" w:space="0" w:color="auto"/>
              <w:right w:val="nil"/>
            </w:tcBorders>
            <w:shd w:val="clear" w:color="auto" w:fill="auto"/>
            <w:vAlign w:val="bottom"/>
          </w:tcPr>
          <w:p w14:paraId="016C5F03"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2294</w:t>
            </w:r>
          </w:p>
        </w:tc>
        <w:tc>
          <w:tcPr>
            <w:tcW w:w="906" w:type="pct"/>
            <w:tcBorders>
              <w:top w:val="single" w:sz="12" w:space="0" w:color="auto"/>
              <w:left w:val="nil"/>
              <w:bottom w:val="single" w:sz="2" w:space="0" w:color="auto"/>
              <w:right w:val="nil"/>
            </w:tcBorders>
            <w:shd w:val="clear" w:color="auto" w:fill="auto"/>
            <w:vAlign w:val="bottom"/>
          </w:tcPr>
          <w:p w14:paraId="3585B435"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0703</w:t>
            </w:r>
          </w:p>
        </w:tc>
      </w:tr>
      <w:tr w:rsidR="00302534" w:rsidRPr="00A058B6" w14:paraId="668ABD10" w14:textId="77777777" w:rsidTr="00FA26AF">
        <w:tc>
          <w:tcPr>
            <w:tcW w:w="1382" w:type="pct"/>
            <w:tcBorders>
              <w:left w:val="nil"/>
              <w:right w:val="nil"/>
            </w:tcBorders>
          </w:tcPr>
          <w:p w14:paraId="0D3484AA" w14:textId="77777777" w:rsidR="00302534" w:rsidRPr="00A058B6" w:rsidRDefault="00302534" w:rsidP="00302534">
            <w:pPr>
              <w:pStyle w:val="Tabletext"/>
            </w:pPr>
            <w:r w:rsidRPr="00A058B6">
              <w:t>19</w:t>
            </w:r>
          </w:p>
        </w:tc>
        <w:tc>
          <w:tcPr>
            <w:tcW w:w="904" w:type="pct"/>
            <w:tcBorders>
              <w:top w:val="single" w:sz="2" w:space="0" w:color="auto"/>
              <w:left w:val="nil"/>
              <w:bottom w:val="single" w:sz="2" w:space="0" w:color="auto"/>
              <w:right w:val="nil"/>
            </w:tcBorders>
            <w:shd w:val="clear" w:color="auto" w:fill="auto"/>
            <w:vAlign w:val="bottom"/>
          </w:tcPr>
          <w:p w14:paraId="32D21C70" w14:textId="77777777" w:rsidR="00302534" w:rsidRPr="00A058B6" w:rsidRDefault="00302534" w:rsidP="00302534">
            <w:pPr>
              <w:pStyle w:val="Tabletext"/>
            </w:pPr>
            <w:r w:rsidRPr="00A058B6">
              <w:t>1</w:t>
            </w:r>
            <w:r w:rsidR="00D7157D">
              <w:t>.</w:t>
            </w:r>
            <w:r w:rsidRPr="00A058B6">
              <w:t>0277</w:t>
            </w:r>
          </w:p>
        </w:tc>
        <w:tc>
          <w:tcPr>
            <w:tcW w:w="904" w:type="pct"/>
            <w:tcBorders>
              <w:top w:val="single" w:sz="2" w:space="0" w:color="auto"/>
              <w:left w:val="nil"/>
              <w:bottom w:val="single" w:sz="2" w:space="0" w:color="auto"/>
              <w:right w:val="nil"/>
            </w:tcBorders>
            <w:shd w:val="clear" w:color="auto" w:fill="auto"/>
            <w:vAlign w:val="bottom"/>
          </w:tcPr>
          <w:p w14:paraId="4199D4BF" w14:textId="77777777" w:rsidR="00302534" w:rsidRPr="00A058B6" w:rsidRDefault="00302534" w:rsidP="00302534">
            <w:pPr>
              <w:pStyle w:val="Tabletext"/>
            </w:pPr>
            <w:r w:rsidRPr="00A058B6">
              <w:t>0</w:t>
            </w:r>
            <w:r w:rsidR="00D7157D">
              <w:t>.</w:t>
            </w:r>
            <w:r w:rsidRPr="00A058B6">
              <w:t>4940</w:t>
            </w:r>
          </w:p>
        </w:tc>
        <w:tc>
          <w:tcPr>
            <w:tcW w:w="904" w:type="pct"/>
            <w:tcBorders>
              <w:top w:val="single" w:sz="2" w:space="0" w:color="auto"/>
              <w:left w:val="nil"/>
              <w:bottom w:val="single" w:sz="2" w:space="0" w:color="auto"/>
              <w:right w:val="nil"/>
            </w:tcBorders>
            <w:shd w:val="clear" w:color="auto" w:fill="auto"/>
            <w:vAlign w:val="bottom"/>
          </w:tcPr>
          <w:p w14:paraId="458377FB"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2794</w:t>
            </w:r>
          </w:p>
        </w:tc>
        <w:tc>
          <w:tcPr>
            <w:tcW w:w="906" w:type="pct"/>
            <w:tcBorders>
              <w:top w:val="single" w:sz="2" w:space="0" w:color="auto"/>
              <w:left w:val="nil"/>
              <w:bottom w:val="single" w:sz="2" w:space="0" w:color="auto"/>
              <w:right w:val="nil"/>
            </w:tcBorders>
            <w:shd w:val="clear" w:color="auto" w:fill="auto"/>
            <w:vAlign w:val="bottom"/>
          </w:tcPr>
          <w:p w14:paraId="5F9EB4CB"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0961</w:t>
            </w:r>
          </w:p>
        </w:tc>
      </w:tr>
      <w:tr w:rsidR="00302534" w:rsidRPr="00A058B6" w14:paraId="0074F056" w14:textId="77777777" w:rsidTr="00FA26AF">
        <w:tc>
          <w:tcPr>
            <w:tcW w:w="1382" w:type="pct"/>
            <w:tcBorders>
              <w:left w:val="nil"/>
              <w:right w:val="nil"/>
            </w:tcBorders>
          </w:tcPr>
          <w:p w14:paraId="73840F89" w14:textId="77777777" w:rsidR="00302534" w:rsidRPr="00A058B6" w:rsidRDefault="00302534" w:rsidP="00302534">
            <w:pPr>
              <w:pStyle w:val="Tabletext"/>
            </w:pPr>
            <w:r w:rsidRPr="00A058B6">
              <w:t>20</w:t>
            </w:r>
          </w:p>
        </w:tc>
        <w:tc>
          <w:tcPr>
            <w:tcW w:w="904" w:type="pct"/>
            <w:tcBorders>
              <w:top w:val="single" w:sz="2" w:space="0" w:color="auto"/>
              <w:left w:val="nil"/>
              <w:bottom w:val="single" w:sz="2" w:space="0" w:color="auto"/>
              <w:right w:val="nil"/>
            </w:tcBorders>
            <w:shd w:val="clear" w:color="auto" w:fill="auto"/>
            <w:vAlign w:val="bottom"/>
          </w:tcPr>
          <w:p w14:paraId="2C54FD39" w14:textId="77777777" w:rsidR="00302534" w:rsidRPr="00A058B6" w:rsidRDefault="00302534" w:rsidP="00302534">
            <w:pPr>
              <w:pStyle w:val="Tabletext"/>
            </w:pPr>
            <w:r w:rsidRPr="00A058B6">
              <w:t>1</w:t>
            </w:r>
            <w:r w:rsidR="00D7157D">
              <w:t>.</w:t>
            </w:r>
            <w:r w:rsidRPr="00A058B6">
              <w:t>0619</w:t>
            </w:r>
          </w:p>
        </w:tc>
        <w:tc>
          <w:tcPr>
            <w:tcW w:w="904" w:type="pct"/>
            <w:tcBorders>
              <w:top w:val="single" w:sz="2" w:space="0" w:color="auto"/>
              <w:left w:val="nil"/>
              <w:bottom w:val="single" w:sz="2" w:space="0" w:color="auto"/>
              <w:right w:val="nil"/>
            </w:tcBorders>
            <w:shd w:val="clear" w:color="auto" w:fill="auto"/>
            <w:vAlign w:val="bottom"/>
          </w:tcPr>
          <w:p w14:paraId="53833053" w14:textId="77777777" w:rsidR="00302534" w:rsidRPr="00A058B6" w:rsidRDefault="00302534" w:rsidP="00302534">
            <w:pPr>
              <w:pStyle w:val="Tabletext"/>
            </w:pPr>
            <w:r w:rsidRPr="00A058B6">
              <w:t>0</w:t>
            </w:r>
            <w:r w:rsidR="00D7157D">
              <w:t>.</w:t>
            </w:r>
            <w:r w:rsidRPr="00A058B6">
              <w:t>5119</w:t>
            </w:r>
          </w:p>
        </w:tc>
        <w:tc>
          <w:tcPr>
            <w:tcW w:w="904" w:type="pct"/>
            <w:tcBorders>
              <w:top w:val="single" w:sz="2" w:space="0" w:color="auto"/>
              <w:left w:val="nil"/>
              <w:bottom w:val="single" w:sz="2" w:space="0" w:color="auto"/>
              <w:right w:val="nil"/>
            </w:tcBorders>
            <w:shd w:val="clear" w:color="auto" w:fill="auto"/>
            <w:vAlign w:val="bottom"/>
          </w:tcPr>
          <w:p w14:paraId="6AE1B7F7"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3300</w:t>
            </w:r>
          </w:p>
        </w:tc>
        <w:tc>
          <w:tcPr>
            <w:tcW w:w="906" w:type="pct"/>
            <w:tcBorders>
              <w:top w:val="single" w:sz="2" w:space="0" w:color="auto"/>
              <w:left w:val="nil"/>
              <w:bottom w:val="single" w:sz="2" w:space="0" w:color="auto"/>
              <w:right w:val="nil"/>
            </w:tcBorders>
            <w:shd w:val="clear" w:color="auto" w:fill="auto"/>
            <w:vAlign w:val="bottom"/>
          </w:tcPr>
          <w:p w14:paraId="705B7A6F"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1227</w:t>
            </w:r>
          </w:p>
        </w:tc>
      </w:tr>
      <w:tr w:rsidR="00302534" w:rsidRPr="00A058B6" w14:paraId="179789A6" w14:textId="77777777" w:rsidTr="00FA26AF">
        <w:tc>
          <w:tcPr>
            <w:tcW w:w="1382" w:type="pct"/>
            <w:tcBorders>
              <w:left w:val="nil"/>
              <w:right w:val="nil"/>
            </w:tcBorders>
          </w:tcPr>
          <w:p w14:paraId="2134B809" w14:textId="77777777" w:rsidR="00302534" w:rsidRPr="00A058B6" w:rsidRDefault="00302534" w:rsidP="00302534">
            <w:pPr>
              <w:pStyle w:val="Tabletext"/>
            </w:pPr>
            <w:r w:rsidRPr="00A058B6">
              <w:t>21</w:t>
            </w:r>
          </w:p>
        </w:tc>
        <w:tc>
          <w:tcPr>
            <w:tcW w:w="904" w:type="pct"/>
            <w:tcBorders>
              <w:top w:val="single" w:sz="2" w:space="0" w:color="auto"/>
              <w:left w:val="nil"/>
              <w:bottom w:val="single" w:sz="2" w:space="0" w:color="auto"/>
              <w:right w:val="nil"/>
            </w:tcBorders>
            <w:shd w:val="clear" w:color="auto" w:fill="auto"/>
            <w:vAlign w:val="bottom"/>
          </w:tcPr>
          <w:p w14:paraId="7E84EBDC" w14:textId="77777777" w:rsidR="00302534" w:rsidRPr="00A058B6" w:rsidRDefault="00302534" w:rsidP="00302534">
            <w:pPr>
              <w:pStyle w:val="Tabletext"/>
            </w:pPr>
            <w:r w:rsidRPr="00A058B6">
              <w:t>1</w:t>
            </w:r>
            <w:r w:rsidR="00D7157D">
              <w:t>.</w:t>
            </w:r>
            <w:r w:rsidRPr="00A058B6">
              <w:t>0974</w:t>
            </w:r>
          </w:p>
        </w:tc>
        <w:tc>
          <w:tcPr>
            <w:tcW w:w="904" w:type="pct"/>
            <w:tcBorders>
              <w:top w:val="single" w:sz="2" w:space="0" w:color="auto"/>
              <w:left w:val="nil"/>
              <w:bottom w:val="single" w:sz="2" w:space="0" w:color="auto"/>
              <w:right w:val="nil"/>
            </w:tcBorders>
            <w:shd w:val="clear" w:color="auto" w:fill="auto"/>
            <w:vAlign w:val="bottom"/>
          </w:tcPr>
          <w:p w14:paraId="4C596446" w14:textId="77777777" w:rsidR="00302534" w:rsidRPr="00A058B6" w:rsidRDefault="00302534" w:rsidP="00302534">
            <w:pPr>
              <w:pStyle w:val="Tabletext"/>
            </w:pPr>
            <w:r w:rsidRPr="00A058B6">
              <w:t>0</w:t>
            </w:r>
            <w:r w:rsidR="00D7157D">
              <w:t>.</w:t>
            </w:r>
            <w:r w:rsidRPr="00A058B6">
              <w:t>5305</w:t>
            </w:r>
          </w:p>
        </w:tc>
        <w:tc>
          <w:tcPr>
            <w:tcW w:w="904" w:type="pct"/>
            <w:tcBorders>
              <w:top w:val="single" w:sz="2" w:space="0" w:color="auto"/>
              <w:left w:val="nil"/>
              <w:bottom w:val="single" w:sz="2" w:space="0" w:color="auto"/>
              <w:right w:val="nil"/>
            </w:tcBorders>
            <w:shd w:val="clear" w:color="auto" w:fill="auto"/>
            <w:vAlign w:val="bottom"/>
          </w:tcPr>
          <w:p w14:paraId="1C68B1B7"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3819</w:t>
            </w:r>
          </w:p>
        </w:tc>
        <w:tc>
          <w:tcPr>
            <w:tcW w:w="906" w:type="pct"/>
            <w:tcBorders>
              <w:top w:val="single" w:sz="2" w:space="0" w:color="auto"/>
              <w:left w:val="nil"/>
              <w:bottom w:val="single" w:sz="2" w:space="0" w:color="auto"/>
              <w:right w:val="nil"/>
            </w:tcBorders>
            <w:shd w:val="clear" w:color="auto" w:fill="auto"/>
            <w:vAlign w:val="bottom"/>
          </w:tcPr>
          <w:p w14:paraId="77767C9D"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1499</w:t>
            </w:r>
          </w:p>
        </w:tc>
      </w:tr>
      <w:tr w:rsidR="00302534" w:rsidRPr="00A058B6" w14:paraId="79F92856" w14:textId="77777777" w:rsidTr="00FA26AF">
        <w:tc>
          <w:tcPr>
            <w:tcW w:w="1382" w:type="pct"/>
            <w:tcBorders>
              <w:left w:val="nil"/>
              <w:right w:val="nil"/>
            </w:tcBorders>
          </w:tcPr>
          <w:p w14:paraId="2B886D76" w14:textId="77777777" w:rsidR="00302534" w:rsidRPr="00A058B6" w:rsidRDefault="00302534" w:rsidP="00302534">
            <w:pPr>
              <w:pStyle w:val="Tabletext"/>
            </w:pPr>
            <w:r w:rsidRPr="00A058B6">
              <w:t>22</w:t>
            </w:r>
          </w:p>
        </w:tc>
        <w:tc>
          <w:tcPr>
            <w:tcW w:w="904" w:type="pct"/>
            <w:tcBorders>
              <w:top w:val="single" w:sz="2" w:space="0" w:color="auto"/>
              <w:left w:val="nil"/>
              <w:bottom w:val="single" w:sz="2" w:space="0" w:color="auto"/>
              <w:right w:val="nil"/>
            </w:tcBorders>
            <w:shd w:val="clear" w:color="auto" w:fill="auto"/>
            <w:vAlign w:val="bottom"/>
          </w:tcPr>
          <w:p w14:paraId="2BDC1EA3" w14:textId="77777777" w:rsidR="00302534" w:rsidRPr="00A058B6" w:rsidRDefault="00302534" w:rsidP="00302534">
            <w:pPr>
              <w:pStyle w:val="Tabletext"/>
            </w:pPr>
            <w:r w:rsidRPr="00A058B6">
              <w:t>1</w:t>
            </w:r>
            <w:r w:rsidR="00D7157D">
              <w:t>.</w:t>
            </w:r>
            <w:r w:rsidRPr="00A058B6">
              <w:t>1340</w:t>
            </w:r>
          </w:p>
        </w:tc>
        <w:tc>
          <w:tcPr>
            <w:tcW w:w="904" w:type="pct"/>
            <w:tcBorders>
              <w:top w:val="single" w:sz="2" w:space="0" w:color="auto"/>
              <w:left w:val="nil"/>
              <w:bottom w:val="single" w:sz="2" w:space="0" w:color="auto"/>
              <w:right w:val="nil"/>
            </w:tcBorders>
            <w:shd w:val="clear" w:color="auto" w:fill="auto"/>
            <w:vAlign w:val="bottom"/>
          </w:tcPr>
          <w:p w14:paraId="369013BB" w14:textId="77777777" w:rsidR="00302534" w:rsidRPr="00A058B6" w:rsidRDefault="00302534" w:rsidP="00302534">
            <w:pPr>
              <w:pStyle w:val="Tabletext"/>
            </w:pPr>
            <w:r w:rsidRPr="00A058B6">
              <w:t>0</w:t>
            </w:r>
            <w:r w:rsidR="00D7157D">
              <w:t>.</w:t>
            </w:r>
            <w:r w:rsidRPr="00A058B6">
              <w:t>5499</w:t>
            </w:r>
          </w:p>
        </w:tc>
        <w:tc>
          <w:tcPr>
            <w:tcW w:w="904" w:type="pct"/>
            <w:tcBorders>
              <w:top w:val="single" w:sz="2" w:space="0" w:color="auto"/>
              <w:left w:val="nil"/>
              <w:bottom w:val="single" w:sz="2" w:space="0" w:color="auto"/>
              <w:right w:val="nil"/>
            </w:tcBorders>
            <w:shd w:val="clear" w:color="auto" w:fill="auto"/>
            <w:vAlign w:val="bottom"/>
          </w:tcPr>
          <w:p w14:paraId="5051AF78"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4348</w:t>
            </w:r>
          </w:p>
        </w:tc>
        <w:tc>
          <w:tcPr>
            <w:tcW w:w="906" w:type="pct"/>
            <w:tcBorders>
              <w:top w:val="single" w:sz="2" w:space="0" w:color="auto"/>
              <w:left w:val="nil"/>
              <w:bottom w:val="single" w:sz="2" w:space="0" w:color="auto"/>
              <w:right w:val="nil"/>
            </w:tcBorders>
            <w:shd w:val="clear" w:color="auto" w:fill="auto"/>
            <w:vAlign w:val="bottom"/>
          </w:tcPr>
          <w:p w14:paraId="68C573D2"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1779</w:t>
            </w:r>
          </w:p>
        </w:tc>
      </w:tr>
      <w:tr w:rsidR="00302534" w:rsidRPr="00A058B6" w14:paraId="73CB8330" w14:textId="77777777" w:rsidTr="00FA26AF">
        <w:tc>
          <w:tcPr>
            <w:tcW w:w="1382" w:type="pct"/>
            <w:tcBorders>
              <w:left w:val="nil"/>
              <w:right w:val="nil"/>
            </w:tcBorders>
          </w:tcPr>
          <w:p w14:paraId="668D5E68" w14:textId="77777777" w:rsidR="00302534" w:rsidRPr="00A058B6" w:rsidRDefault="00302534" w:rsidP="00302534">
            <w:pPr>
              <w:pStyle w:val="Tabletext"/>
            </w:pPr>
            <w:r w:rsidRPr="00A058B6">
              <w:t>23</w:t>
            </w:r>
          </w:p>
        </w:tc>
        <w:tc>
          <w:tcPr>
            <w:tcW w:w="904" w:type="pct"/>
            <w:tcBorders>
              <w:top w:val="single" w:sz="2" w:space="0" w:color="auto"/>
              <w:left w:val="nil"/>
              <w:bottom w:val="single" w:sz="2" w:space="0" w:color="auto"/>
              <w:right w:val="nil"/>
            </w:tcBorders>
            <w:shd w:val="clear" w:color="auto" w:fill="auto"/>
            <w:vAlign w:val="bottom"/>
          </w:tcPr>
          <w:p w14:paraId="586B9CAA" w14:textId="77777777" w:rsidR="00302534" w:rsidRPr="00A058B6" w:rsidRDefault="00302534" w:rsidP="00302534">
            <w:pPr>
              <w:pStyle w:val="Tabletext"/>
            </w:pPr>
            <w:r w:rsidRPr="00A058B6">
              <w:t>1</w:t>
            </w:r>
            <w:r w:rsidR="00D7157D">
              <w:t>.</w:t>
            </w:r>
            <w:r w:rsidRPr="00A058B6">
              <w:t>1718</w:t>
            </w:r>
          </w:p>
        </w:tc>
        <w:tc>
          <w:tcPr>
            <w:tcW w:w="904" w:type="pct"/>
            <w:tcBorders>
              <w:top w:val="single" w:sz="2" w:space="0" w:color="auto"/>
              <w:left w:val="nil"/>
              <w:bottom w:val="single" w:sz="2" w:space="0" w:color="auto"/>
              <w:right w:val="nil"/>
            </w:tcBorders>
            <w:shd w:val="clear" w:color="auto" w:fill="auto"/>
            <w:vAlign w:val="bottom"/>
          </w:tcPr>
          <w:p w14:paraId="3365FA47" w14:textId="77777777" w:rsidR="00302534" w:rsidRPr="00A058B6" w:rsidRDefault="00302534" w:rsidP="00302534">
            <w:pPr>
              <w:pStyle w:val="Tabletext"/>
            </w:pPr>
            <w:r w:rsidRPr="00A058B6">
              <w:t>0</w:t>
            </w:r>
            <w:r w:rsidR="00D7157D">
              <w:t>.</w:t>
            </w:r>
            <w:r w:rsidRPr="00A058B6">
              <w:t>5701</w:t>
            </w:r>
          </w:p>
        </w:tc>
        <w:tc>
          <w:tcPr>
            <w:tcW w:w="904" w:type="pct"/>
            <w:tcBorders>
              <w:top w:val="single" w:sz="2" w:space="0" w:color="auto"/>
              <w:left w:val="nil"/>
              <w:bottom w:val="single" w:sz="2" w:space="0" w:color="auto"/>
              <w:right w:val="nil"/>
            </w:tcBorders>
            <w:shd w:val="clear" w:color="auto" w:fill="auto"/>
            <w:vAlign w:val="bottom"/>
          </w:tcPr>
          <w:p w14:paraId="6A3F4B6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4887</w:t>
            </w:r>
          </w:p>
        </w:tc>
        <w:tc>
          <w:tcPr>
            <w:tcW w:w="906" w:type="pct"/>
            <w:tcBorders>
              <w:top w:val="single" w:sz="2" w:space="0" w:color="auto"/>
              <w:left w:val="nil"/>
              <w:bottom w:val="single" w:sz="2" w:space="0" w:color="auto"/>
              <w:right w:val="nil"/>
            </w:tcBorders>
            <w:shd w:val="clear" w:color="auto" w:fill="auto"/>
            <w:vAlign w:val="bottom"/>
          </w:tcPr>
          <w:p w14:paraId="193DD2C5"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2067</w:t>
            </w:r>
          </w:p>
        </w:tc>
      </w:tr>
      <w:tr w:rsidR="00302534" w:rsidRPr="00A058B6" w14:paraId="240C44A1" w14:textId="77777777" w:rsidTr="00FA26AF">
        <w:tc>
          <w:tcPr>
            <w:tcW w:w="1382" w:type="pct"/>
            <w:tcBorders>
              <w:left w:val="nil"/>
              <w:right w:val="nil"/>
            </w:tcBorders>
          </w:tcPr>
          <w:p w14:paraId="6174CE68" w14:textId="77777777" w:rsidR="00302534" w:rsidRPr="00A058B6" w:rsidRDefault="00302534" w:rsidP="00302534">
            <w:pPr>
              <w:pStyle w:val="Tabletext"/>
            </w:pPr>
            <w:r w:rsidRPr="00A058B6">
              <w:t>24</w:t>
            </w:r>
          </w:p>
        </w:tc>
        <w:tc>
          <w:tcPr>
            <w:tcW w:w="904" w:type="pct"/>
            <w:tcBorders>
              <w:top w:val="single" w:sz="2" w:space="0" w:color="auto"/>
              <w:left w:val="nil"/>
              <w:bottom w:val="single" w:sz="2" w:space="0" w:color="auto"/>
              <w:right w:val="nil"/>
            </w:tcBorders>
            <w:shd w:val="clear" w:color="auto" w:fill="auto"/>
            <w:vAlign w:val="bottom"/>
          </w:tcPr>
          <w:p w14:paraId="591F634A" w14:textId="77777777" w:rsidR="00302534" w:rsidRPr="00A058B6" w:rsidRDefault="00302534" w:rsidP="00302534">
            <w:pPr>
              <w:pStyle w:val="Tabletext"/>
            </w:pPr>
            <w:r w:rsidRPr="00A058B6">
              <w:t>1</w:t>
            </w:r>
            <w:r w:rsidR="00D7157D">
              <w:t>.</w:t>
            </w:r>
            <w:r w:rsidRPr="00A058B6">
              <w:t>2108</w:t>
            </w:r>
          </w:p>
        </w:tc>
        <w:tc>
          <w:tcPr>
            <w:tcW w:w="904" w:type="pct"/>
            <w:tcBorders>
              <w:top w:val="single" w:sz="2" w:space="0" w:color="auto"/>
              <w:left w:val="nil"/>
              <w:bottom w:val="single" w:sz="2" w:space="0" w:color="auto"/>
              <w:right w:val="nil"/>
            </w:tcBorders>
            <w:shd w:val="clear" w:color="auto" w:fill="auto"/>
            <w:vAlign w:val="bottom"/>
          </w:tcPr>
          <w:p w14:paraId="24310339" w14:textId="77777777" w:rsidR="00302534" w:rsidRPr="00A058B6" w:rsidRDefault="00302534" w:rsidP="00302534">
            <w:pPr>
              <w:pStyle w:val="Tabletext"/>
            </w:pPr>
            <w:r w:rsidRPr="00A058B6">
              <w:t>0</w:t>
            </w:r>
            <w:r w:rsidR="00D7157D">
              <w:t>.</w:t>
            </w:r>
            <w:r w:rsidRPr="00A058B6">
              <w:t>5911</w:t>
            </w:r>
          </w:p>
        </w:tc>
        <w:tc>
          <w:tcPr>
            <w:tcW w:w="904" w:type="pct"/>
            <w:tcBorders>
              <w:top w:val="single" w:sz="2" w:space="0" w:color="auto"/>
              <w:left w:val="nil"/>
              <w:bottom w:val="single" w:sz="2" w:space="0" w:color="auto"/>
              <w:right w:val="nil"/>
            </w:tcBorders>
            <w:shd w:val="clear" w:color="auto" w:fill="auto"/>
            <w:vAlign w:val="bottom"/>
          </w:tcPr>
          <w:p w14:paraId="0755666C"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5437</w:t>
            </w:r>
          </w:p>
        </w:tc>
        <w:tc>
          <w:tcPr>
            <w:tcW w:w="906" w:type="pct"/>
            <w:tcBorders>
              <w:top w:val="single" w:sz="2" w:space="0" w:color="auto"/>
              <w:left w:val="nil"/>
              <w:bottom w:val="single" w:sz="2" w:space="0" w:color="auto"/>
              <w:right w:val="nil"/>
            </w:tcBorders>
            <w:shd w:val="clear" w:color="auto" w:fill="auto"/>
            <w:vAlign w:val="bottom"/>
          </w:tcPr>
          <w:p w14:paraId="7246E000"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2362</w:t>
            </w:r>
          </w:p>
        </w:tc>
      </w:tr>
      <w:tr w:rsidR="00302534" w:rsidRPr="00A058B6" w14:paraId="04C8B765" w14:textId="77777777" w:rsidTr="00FA26AF">
        <w:tc>
          <w:tcPr>
            <w:tcW w:w="1382" w:type="pct"/>
            <w:tcBorders>
              <w:left w:val="nil"/>
              <w:right w:val="nil"/>
            </w:tcBorders>
          </w:tcPr>
          <w:p w14:paraId="05B1AC3C" w14:textId="77777777" w:rsidR="00302534" w:rsidRPr="00A058B6" w:rsidRDefault="00302534" w:rsidP="00302534">
            <w:pPr>
              <w:pStyle w:val="Tabletext"/>
            </w:pPr>
            <w:r w:rsidRPr="00A058B6">
              <w:t>25</w:t>
            </w:r>
          </w:p>
        </w:tc>
        <w:tc>
          <w:tcPr>
            <w:tcW w:w="904" w:type="pct"/>
            <w:tcBorders>
              <w:top w:val="single" w:sz="2" w:space="0" w:color="auto"/>
              <w:left w:val="nil"/>
              <w:bottom w:val="single" w:sz="2" w:space="0" w:color="auto"/>
              <w:right w:val="nil"/>
            </w:tcBorders>
            <w:shd w:val="clear" w:color="auto" w:fill="auto"/>
            <w:vAlign w:val="bottom"/>
          </w:tcPr>
          <w:p w14:paraId="0C2921D0" w14:textId="77777777" w:rsidR="00302534" w:rsidRPr="00A058B6" w:rsidRDefault="00302534" w:rsidP="00302534">
            <w:pPr>
              <w:pStyle w:val="Tabletext"/>
            </w:pPr>
            <w:r w:rsidRPr="00A058B6">
              <w:t>1</w:t>
            </w:r>
            <w:r w:rsidR="00D7157D">
              <w:t>.</w:t>
            </w:r>
            <w:r w:rsidRPr="00A058B6">
              <w:t>2511</w:t>
            </w:r>
          </w:p>
        </w:tc>
        <w:tc>
          <w:tcPr>
            <w:tcW w:w="904" w:type="pct"/>
            <w:tcBorders>
              <w:top w:val="single" w:sz="2" w:space="0" w:color="auto"/>
              <w:left w:val="nil"/>
              <w:bottom w:val="single" w:sz="2" w:space="0" w:color="auto"/>
              <w:right w:val="nil"/>
            </w:tcBorders>
            <w:shd w:val="clear" w:color="auto" w:fill="auto"/>
            <w:vAlign w:val="bottom"/>
          </w:tcPr>
          <w:p w14:paraId="2102DBE4" w14:textId="77777777" w:rsidR="00302534" w:rsidRPr="00A058B6" w:rsidRDefault="00302534" w:rsidP="00302534">
            <w:pPr>
              <w:pStyle w:val="Tabletext"/>
            </w:pPr>
            <w:r w:rsidRPr="00A058B6">
              <w:t>0</w:t>
            </w:r>
            <w:r w:rsidR="00D7157D">
              <w:t>.</w:t>
            </w:r>
            <w:r w:rsidRPr="00A058B6">
              <w:t>6127</w:t>
            </w:r>
          </w:p>
        </w:tc>
        <w:tc>
          <w:tcPr>
            <w:tcW w:w="904" w:type="pct"/>
            <w:tcBorders>
              <w:top w:val="single" w:sz="2" w:space="0" w:color="auto"/>
              <w:left w:val="nil"/>
              <w:bottom w:val="single" w:sz="2" w:space="0" w:color="auto"/>
              <w:right w:val="nil"/>
            </w:tcBorders>
            <w:shd w:val="clear" w:color="auto" w:fill="auto"/>
            <w:vAlign w:val="bottom"/>
          </w:tcPr>
          <w:p w14:paraId="05BA7D91"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5998</w:t>
            </w:r>
          </w:p>
        </w:tc>
        <w:tc>
          <w:tcPr>
            <w:tcW w:w="906" w:type="pct"/>
            <w:tcBorders>
              <w:top w:val="single" w:sz="2" w:space="0" w:color="auto"/>
              <w:left w:val="nil"/>
              <w:bottom w:val="single" w:sz="2" w:space="0" w:color="auto"/>
              <w:right w:val="nil"/>
            </w:tcBorders>
            <w:shd w:val="clear" w:color="auto" w:fill="auto"/>
            <w:vAlign w:val="bottom"/>
          </w:tcPr>
          <w:p w14:paraId="5E6FDEF1"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2662</w:t>
            </w:r>
          </w:p>
        </w:tc>
      </w:tr>
      <w:tr w:rsidR="00302534" w:rsidRPr="00A058B6" w14:paraId="6D601CAE" w14:textId="77777777" w:rsidTr="00FA26AF">
        <w:tc>
          <w:tcPr>
            <w:tcW w:w="1382" w:type="pct"/>
            <w:tcBorders>
              <w:left w:val="nil"/>
              <w:right w:val="nil"/>
            </w:tcBorders>
          </w:tcPr>
          <w:p w14:paraId="23304A20" w14:textId="77777777" w:rsidR="00302534" w:rsidRPr="00A058B6" w:rsidRDefault="00302534" w:rsidP="00302534">
            <w:pPr>
              <w:pStyle w:val="Tabletext"/>
            </w:pPr>
            <w:r w:rsidRPr="00A058B6">
              <w:t>26</w:t>
            </w:r>
          </w:p>
        </w:tc>
        <w:tc>
          <w:tcPr>
            <w:tcW w:w="904" w:type="pct"/>
            <w:tcBorders>
              <w:top w:val="single" w:sz="2" w:space="0" w:color="auto"/>
              <w:left w:val="nil"/>
              <w:bottom w:val="single" w:sz="2" w:space="0" w:color="auto"/>
              <w:right w:val="nil"/>
            </w:tcBorders>
            <w:shd w:val="clear" w:color="auto" w:fill="auto"/>
            <w:vAlign w:val="bottom"/>
          </w:tcPr>
          <w:p w14:paraId="0E987C74" w14:textId="77777777" w:rsidR="00302534" w:rsidRPr="00A058B6" w:rsidRDefault="00302534" w:rsidP="00302534">
            <w:pPr>
              <w:pStyle w:val="Tabletext"/>
            </w:pPr>
            <w:r w:rsidRPr="00A058B6">
              <w:t>1</w:t>
            </w:r>
            <w:r w:rsidR="00D7157D">
              <w:t>.</w:t>
            </w:r>
            <w:r w:rsidRPr="00A058B6">
              <w:t>2927</w:t>
            </w:r>
          </w:p>
        </w:tc>
        <w:tc>
          <w:tcPr>
            <w:tcW w:w="904" w:type="pct"/>
            <w:tcBorders>
              <w:top w:val="single" w:sz="2" w:space="0" w:color="auto"/>
              <w:left w:val="nil"/>
              <w:bottom w:val="single" w:sz="2" w:space="0" w:color="auto"/>
              <w:right w:val="nil"/>
            </w:tcBorders>
            <w:shd w:val="clear" w:color="auto" w:fill="auto"/>
            <w:vAlign w:val="bottom"/>
          </w:tcPr>
          <w:p w14:paraId="0AEB24EB" w14:textId="77777777" w:rsidR="00302534" w:rsidRPr="00A058B6" w:rsidRDefault="00302534" w:rsidP="00302534">
            <w:pPr>
              <w:pStyle w:val="Tabletext"/>
            </w:pPr>
            <w:r w:rsidRPr="00A058B6">
              <w:t>0</w:t>
            </w:r>
            <w:r w:rsidR="00D7157D">
              <w:t>.</w:t>
            </w:r>
            <w:r w:rsidRPr="00A058B6">
              <w:t>6352</w:t>
            </w:r>
          </w:p>
        </w:tc>
        <w:tc>
          <w:tcPr>
            <w:tcW w:w="904" w:type="pct"/>
            <w:tcBorders>
              <w:top w:val="single" w:sz="2" w:space="0" w:color="auto"/>
              <w:left w:val="nil"/>
              <w:bottom w:val="single" w:sz="2" w:space="0" w:color="auto"/>
              <w:right w:val="nil"/>
            </w:tcBorders>
            <w:shd w:val="clear" w:color="auto" w:fill="auto"/>
            <w:vAlign w:val="bottom"/>
          </w:tcPr>
          <w:p w14:paraId="79F3F660"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6570</w:t>
            </w:r>
          </w:p>
        </w:tc>
        <w:tc>
          <w:tcPr>
            <w:tcW w:w="906" w:type="pct"/>
            <w:tcBorders>
              <w:top w:val="single" w:sz="2" w:space="0" w:color="auto"/>
              <w:left w:val="nil"/>
              <w:bottom w:val="single" w:sz="2" w:space="0" w:color="auto"/>
              <w:right w:val="nil"/>
            </w:tcBorders>
            <w:shd w:val="clear" w:color="auto" w:fill="auto"/>
            <w:vAlign w:val="bottom"/>
          </w:tcPr>
          <w:p w14:paraId="1F3FCB1F"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2970</w:t>
            </w:r>
          </w:p>
        </w:tc>
      </w:tr>
      <w:tr w:rsidR="00302534" w:rsidRPr="00A058B6" w14:paraId="769647AD" w14:textId="77777777" w:rsidTr="00FA26AF">
        <w:tc>
          <w:tcPr>
            <w:tcW w:w="1382" w:type="pct"/>
            <w:tcBorders>
              <w:left w:val="nil"/>
              <w:right w:val="nil"/>
            </w:tcBorders>
          </w:tcPr>
          <w:p w14:paraId="1B3936CD" w14:textId="77777777" w:rsidR="00302534" w:rsidRPr="00A058B6" w:rsidRDefault="00302534" w:rsidP="00302534">
            <w:pPr>
              <w:pStyle w:val="Tabletext"/>
            </w:pPr>
            <w:r w:rsidRPr="00A058B6">
              <w:t>27</w:t>
            </w:r>
          </w:p>
        </w:tc>
        <w:tc>
          <w:tcPr>
            <w:tcW w:w="904" w:type="pct"/>
            <w:tcBorders>
              <w:top w:val="single" w:sz="2" w:space="0" w:color="auto"/>
              <w:left w:val="nil"/>
              <w:bottom w:val="single" w:sz="2" w:space="0" w:color="auto"/>
              <w:right w:val="nil"/>
            </w:tcBorders>
            <w:shd w:val="clear" w:color="auto" w:fill="auto"/>
            <w:vAlign w:val="bottom"/>
          </w:tcPr>
          <w:p w14:paraId="7CF8060C" w14:textId="77777777" w:rsidR="00302534" w:rsidRPr="00A058B6" w:rsidRDefault="00302534" w:rsidP="00302534">
            <w:pPr>
              <w:pStyle w:val="Tabletext"/>
            </w:pPr>
            <w:r w:rsidRPr="00A058B6">
              <w:t>1</w:t>
            </w:r>
            <w:r w:rsidR="00D7157D">
              <w:t>.</w:t>
            </w:r>
            <w:r w:rsidRPr="00A058B6">
              <w:t>3358</w:t>
            </w:r>
          </w:p>
        </w:tc>
        <w:tc>
          <w:tcPr>
            <w:tcW w:w="904" w:type="pct"/>
            <w:tcBorders>
              <w:top w:val="single" w:sz="2" w:space="0" w:color="auto"/>
              <w:left w:val="nil"/>
              <w:bottom w:val="single" w:sz="2" w:space="0" w:color="auto"/>
              <w:right w:val="nil"/>
            </w:tcBorders>
            <w:shd w:val="clear" w:color="auto" w:fill="auto"/>
            <w:vAlign w:val="bottom"/>
          </w:tcPr>
          <w:p w14:paraId="520D07AC" w14:textId="77777777" w:rsidR="00302534" w:rsidRPr="00A058B6" w:rsidRDefault="00302534" w:rsidP="00302534">
            <w:pPr>
              <w:pStyle w:val="Tabletext"/>
            </w:pPr>
            <w:r w:rsidRPr="00A058B6">
              <w:t>0</w:t>
            </w:r>
            <w:r w:rsidR="00D7157D">
              <w:t>.</w:t>
            </w:r>
            <w:r w:rsidRPr="00A058B6">
              <w:t>6586</w:t>
            </w:r>
          </w:p>
        </w:tc>
        <w:tc>
          <w:tcPr>
            <w:tcW w:w="904" w:type="pct"/>
            <w:tcBorders>
              <w:top w:val="single" w:sz="2" w:space="0" w:color="auto"/>
              <w:left w:val="nil"/>
              <w:bottom w:val="single" w:sz="2" w:space="0" w:color="auto"/>
              <w:right w:val="nil"/>
            </w:tcBorders>
            <w:shd w:val="clear" w:color="auto" w:fill="auto"/>
            <w:vAlign w:val="bottom"/>
          </w:tcPr>
          <w:p w14:paraId="58EC4180"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7154</w:t>
            </w:r>
          </w:p>
        </w:tc>
        <w:tc>
          <w:tcPr>
            <w:tcW w:w="906" w:type="pct"/>
            <w:tcBorders>
              <w:top w:val="single" w:sz="2" w:space="0" w:color="auto"/>
              <w:left w:val="nil"/>
              <w:bottom w:val="single" w:sz="2" w:space="0" w:color="auto"/>
              <w:right w:val="nil"/>
            </w:tcBorders>
            <w:shd w:val="clear" w:color="auto" w:fill="auto"/>
            <w:vAlign w:val="bottom"/>
          </w:tcPr>
          <w:p w14:paraId="7A99BA8A"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3287</w:t>
            </w:r>
          </w:p>
        </w:tc>
      </w:tr>
      <w:tr w:rsidR="00302534" w:rsidRPr="00A058B6" w14:paraId="39B82A42" w14:textId="77777777" w:rsidTr="00FA26AF">
        <w:tc>
          <w:tcPr>
            <w:tcW w:w="1382" w:type="pct"/>
            <w:tcBorders>
              <w:left w:val="nil"/>
              <w:right w:val="nil"/>
            </w:tcBorders>
          </w:tcPr>
          <w:p w14:paraId="7E48A850" w14:textId="77777777" w:rsidR="00302534" w:rsidRPr="00A058B6" w:rsidRDefault="00302534" w:rsidP="00302534">
            <w:pPr>
              <w:pStyle w:val="Tabletext"/>
            </w:pPr>
            <w:r w:rsidRPr="00A058B6">
              <w:t>28</w:t>
            </w:r>
          </w:p>
        </w:tc>
        <w:tc>
          <w:tcPr>
            <w:tcW w:w="904" w:type="pct"/>
            <w:tcBorders>
              <w:top w:val="single" w:sz="2" w:space="0" w:color="auto"/>
              <w:left w:val="nil"/>
              <w:bottom w:val="single" w:sz="2" w:space="0" w:color="auto"/>
              <w:right w:val="nil"/>
            </w:tcBorders>
            <w:shd w:val="clear" w:color="auto" w:fill="auto"/>
            <w:vAlign w:val="bottom"/>
          </w:tcPr>
          <w:p w14:paraId="446DF7A1" w14:textId="77777777" w:rsidR="00302534" w:rsidRPr="00A058B6" w:rsidRDefault="00302534" w:rsidP="00302534">
            <w:pPr>
              <w:pStyle w:val="Tabletext"/>
            </w:pPr>
            <w:r w:rsidRPr="00A058B6">
              <w:t>1</w:t>
            </w:r>
            <w:r w:rsidR="00D7157D">
              <w:t>.</w:t>
            </w:r>
            <w:r w:rsidRPr="00A058B6">
              <w:t>3802</w:t>
            </w:r>
          </w:p>
        </w:tc>
        <w:tc>
          <w:tcPr>
            <w:tcW w:w="904" w:type="pct"/>
            <w:tcBorders>
              <w:top w:val="single" w:sz="2" w:space="0" w:color="auto"/>
              <w:left w:val="nil"/>
              <w:bottom w:val="single" w:sz="2" w:space="0" w:color="auto"/>
              <w:right w:val="nil"/>
            </w:tcBorders>
            <w:shd w:val="clear" w:color="auto" w:fill="auto"/>
            <w:vAlign w:val="bottom"/>
          </w:tcPr>
          <w:p w14:paraId="49C1AAFD" w14:textId="77777777" w:rsidR="00302534" w:rsidRPr="00A058B6" w:rsidRDefault="00302534" w:rsidP="00302534">
            <w:pPr>
              <w:pStyle w:val="Tabletext"/>
            </w:pPr>
            <w:r w:rsidRPr="00A058B6">
              <w:t>0</w:t>
            </w:r>
            <w:r w:rsidR="00D7157D">
              <w:t>.</w:t>
            </w:r>
            <w:r w:rsidRPr="00A058B6">
              <w:t>6826</w:t>
            </w:r>
          </w:p>
        </w:tc>
        <w:tc>
          <w:tcPr>
            <w:tcW w:w="904" w:type="pct"/>
            <w:tcBorders>
              <w:top w:val="single" w:sz="2" w:space="0" w:color="auto"/>
              <w:left w:val="nil"/>
              <w:bottom w:val="single" w:sz="2" w:space="0" w:color="auto"/>
              <w:right w:val="nil"/>
            </w:tcBorders>
            <w:shd w:val="clear" w:color="auto" w:fill="auto"/>
            <w:vAlign w:val="bottom"/>
          </w:tcPr>
          <w:p w14:paraId="25C97B09"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7750</w:t>
            </w:r>
          </w:p>
        </w:tc>
        <w:tc>
          <w:tcPr>
            <w:tcW w:w="906" w:type="pct"/>
            <w:tcBorders>
              <w:top w:val="single" w:sz="2" w:space="0" w:color="auto"/>
              <w:left w:val="nil"/>
              <w:bottom w:val="single" w:sz="2" w:space="0" w:color="auto"/>
              <w:right w:val="nil"/>
            </w:tcBorders>
            <w:shd w:val="clear" w:color="auto" w:fill="auto"/>
            <w:vAlign w:val="bottom"/>
          </w:tcPr>
          <w:p w14:paraId="3D81DAEA"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3609</w:t>
            </w:r>
          </w:p>
        </w:tc>
      </w:tr>
      <w:tr w:rsidR="00302534" w:rsidRPr="00A058B6" w14:paraId="4CC3EEFA" w14:textId="77777777" w:rsidTr="00FA26AF">
        <w:tc>
          <w:tcPr>
            <w:tcW w:w="1382" w:type="pct"/>
            <w:tcBorders>
              <w:left w:val="nil"/>
              <w:right w:val="nil"/>
            </w:tcBorders>
          </w:tcPr>
          <w:p w14:paraId="693A0B5A" w14:textId="77777777" w:rsidR="00302534" w:rsidRPr="00A058B6" w:rsidRDefault="00302534" w:rsidP="00302534">
            <w:pPr>
              <w:pStyle w:val="Tabletext"/>
            </w:pPr>
            <w:r w:rsidRPr="00A058B6">
              <w:t>29</w:t>
            </w:r>
          </w:p>
        </w:tc>
        <w:tc>
          <w:tcPr>
            <w:tcW w:w="904" w:type="pct"/>
            <w:tcBorders>
              <w:top w:val="single" w:sz="2" w:space="0" w:color="auto"/>
              <w:left w:val="nil"/>
              <w:bottom w:val="single" w:sz="2" w:space="0" w:color="auto"/>
              <w:right w:val="nil"/>
            </w:tcBorders>
            <w:shd w:val="clear" w:color="auto" w:fill="auto"/>
            <w:vAlign w:val="bottom"/>
          </w:tcPr>
          <w:p w14:paraId="72D272AE" w14:textId="77777777" w:rsidR="00302534" w:rsidRPr="00A058B6" w:rsidRDefault="00302534" w:rsidP="00302534">
            <w:pPr>
              <w:pStyle w:val="Tabletext"/>
            </w:pPr>
            <w:r w:rsidRPr="00A058B6">
              <w:t>1</w:t>
            </w:r>
            <w:r w:rsidR="00D7157D">
              <w:t>.</w:t>
            </w:r>
            <w:r w:rsidRPr="00A058B6">
              <w:t>4259</w:t>
            </w:r>
          </w:p>
        </w:tc>
        <w:tc>
          <w:tcPr>
            <w:tcW w:w="904" w:type="pct"/>
            <w:tcBorders>
              <w:top w:val="single" w:sz="2" w:space="0" w:color="auto"/>
              <w:left w:val="nil"/>
              <w:bottom w:val="single" w:sz="2" w:space="0" w:color="auto"/>
              <w:right w:val="nil"/>
            </w:tcBorders>
            <w:shd w:val="clear" w:color="auto" w:fill="auto"/>
            <w:vAlign w:val="bottom"/>
          </w:tcPr>
          <w:p w14:paraId="0E866823" w14:textId="77777777" w:rsidR="00302534" w:rsidRPr="00A058B6" w:rsidRDefault="00302534" w:rsidP="00302534">
            <w:pPr>
              <w:pStyle w:val="Tabletext"/>
            </w:pPr>
            <w:r w:rsidRPr="00A058B6">
              <w:t>0</w:t>
            </w:r>
            <w:r w:rsidR="00D7157D">
              <w:t>.</w:t>
            </w:r>
            <w:r w:rsidRPr="00A058B6">
              <w:t>7074</w:t>
            </w:r>
          </w:p>
        </w:tc>
        <w:tc>
          <w:tcPr>
            <w:tcW w:w="904" w:type="pct"/>
            <w:tcBorders>
              <w:top w:val="single" w:sz="2" w:space="0" w:color="auto"/>
              <w:left w:val="nil"/>
              <w:bottom w:val="single" w:sz="2" w:space="0" w:color="auto"/>
              <w:right w:val="nil"/>
            </w:tcBorders>
            <w:shd w:val="clear" w:color="auto" w:fill="auto"/>
            <w:vAlign w:val="bottom"/>
          </w:tcPr>
          <w:p w14:paraId="5555C1FB"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8355</w:t>
            </w:r>
          </w:p>
        </w:tc>
        <w:tc>
          <w:tcPr>
            <w:tcW w:w="906" w:type="pct"/>
            <w:tcBorders>
              <w:top w:val="single" w:sz="2" w:space="0" w:color="auto"/>
              <w:left w:val="nil"/>
              <w:bottom w:val="single" w:sz="2" w:space="0" w:color="auto"/>
              <w:right w:val="nil"/>
            </w:tcBorders>
            <w:shd w:val="clear" w:color="auto" w:fill="auto"/>
            <w:vAlign w:val="bottom"/>
          </w:tcPr>
          <w:p w14:paraId="55FFAE06"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3936</w:t>
            </w:r>
          </w:p>
        </w:tc>
      </w:tr>
      <w:tr w:rsidR="00302534" w:rsidRPr="00A058B6" w14:paraId="5A616425" w14:textId="77777777" w:rsidTr="00FA26AF">
        <w:tc>
          <w:tcPr>
            <w:tcW w:w="1382" w:type="pct"/>
            <w:tcBorders>
              <w:left w:val="nil"/>
              <w:right w:val="nil"/>
            </w:tcBorders>
          </w:tcPr>
          <w:p w14:paraId="13B3BBA6" w14:textId="77777777" w:rsidR="00302534" w:rsidRPr="00A058B6" w:rsidRDefault="00302534" w:rsidP="00302534">
            <w:pPr>
              <w:pStyle w:val="Tabletext"/>
            </w:pPr>
            <w:r w:rsidRPr="00A058B6">
              <w:t>30</w:t>
            </w:r>
          </w:p>
        </w:tc>
        <w:tc>
          <w:tcPr>
            <w:tcW w:w="904" w:type="pct"/>
            <w:tcBorders>
              <w:top w:val="single" w:sz="2" w:space="0" w:color="auto"/>
              <w:left w:val="nil"/>
              <w:bottom w:val="single" w:sz="2" w:space="0" w:color="auto"/>
              <w:right w:val="nil"/>
            </w:tcBorders>
            <w:shd w:val="clear" w:color="auto" w:fill="auto"/>
            <w:vAlign w:val="bottom"/>
          </w:tcPr>
          <w:p w14:paraId="71328613" w14:textId="77777777" w:rsidR="00302534" w:rsidRPr="00A058B6" w:rsidRDefault="00302534" w:rsidP="00302534">
            <w:pPr>
              <w:pStyle w:val="Tabletext"/>
            </w:pPr>
            <w:r w:rsidRPr="00A058B6">
              <w:t>1</w:t>
            </w:r>
            <w:r w:rsidR="00D7157D">
              <w:t>.</w:t>
            </w:r>
            <w:r w:rsidRPr="00A058B6">
              <w:t>4731</w:t>
            </w:r>
          </w:p>
        </w:tc>
        <w:tc>
          <w:tcPr>
            <w:tcW w:w="904" w:type="pct"/>
            <w:tcBorders>
              <w:top w:val="single" w:sz="2" w:space="0" w:color="auto"/>
              <w:left w:val="nil"/>
              <w:bottom w:val="single" w:sz="2" w:space="0" w:color="auto"/>
              <w:right w:val="nil"/>
            </w:tcBorders>
            <w:shd w:val="clear" w:color="auto" w:fill="auto"/>
            <w:vAlign w:val="bottom"/>
          </w:tcPr>
          <w:p w14:paraId="3A4E7EA3" w14:textId="77777777" w:rsidR="00302534" w:rsidRPr="00A058B6" w:rsidRDefault="00302534" w:rsidP="00302534">
            <w:pPr>
              <w:pStyle w:val="Tabletext"/>
            </w:pPr>
            <w:r w:rsidRPr="00A058B6">
              <w:t>0</w:t>
            </w:r>
            <w:r w:rsidR="00D7157D">
              <w:t>.</w:t>
            </w:r>
            <w:r w:rsidRPr="00A058B6">
              <w:t>7330</w:t>
            </w:r>
          </w:p>
        </w:tc>
        <w:tc>
          <w:tcPr>
            <w:tcW w:w="904" w:type="pct"/>
            <w:tcBorders>
              <w:top w:val="single" w:sz="2" w:space="0" w:color="auto"/>
              <w:left w:val="nil"/>
              <w:bottom w:val="single" w:sz="2" w:space="0" w:color="auto"/>
              <w:right w:val="nil"/>
            </w:tcBorders>
            <w:shd w:val="clear" w:color="auto" w:fill="auto"/>
            <w:vAlign w:val="bottom"/>
          </w:tcPr>
          <w:p w14:paraId="705D173E"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8973</w:t>
            </w:r>
          </w:p>
        </w:tc>
        <w:tc>
          <w:tcPr>
            <w:tcW w:w="906" w:type="pct"/>
            <w:tcBorders>
              <w:top w:val="single" w:sz="2" w:space="0" w:color="auto"/>
              <w:left w:val="nil"/>
              <w:bottom w:val="single" w:sz="2" w:space="0" w:color="auto"/>
              <w:right w:val="nil"/>
            </w:tcBorders>
            <w:shd w:val="clear" w:color="auto" w:fill="auto"/>
            <w:vAlign w:val="bottom"/>
          </w:tcPr>
          <w:p w14:paraId="3E51922B"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4270</w:t>
            </w:r>
          </w:p>
        </w:tc>
      </w:tr>
      <w:tr w:rsidR="00302534" w:rsidRPr="00A058B6" w14:paraId="3EF55F0B" w14:textId="77777777" w:rsidTr="00FA26AF">
        <w:tc>
          <w:tcPr>
            <w:tcW w:w="1382" w:type="pct"/>
            <w:tcBorders>
              <w:left w:val="nil"/>
              <w:right w:val="nil"/>
            </w:tcBorders>
          </w:tcPr>
          <w:p w14:paraId="654BC830" w14:textId="77777777" w:rsidR="00302534" w:rsidRPr="00A058B6" w:rsidRDefault="00302534" w:rsidP="00302534">
            <w:pPr>
              <w:pStyle w:val="Tabletext"/>
            </w:pPr>
            <w:r w:rsidRPr="00A058B6">
              <w:t>31</w:t>
            </w:r>
          </w:p>
        </w:tc>
        <w:tc>
          <w:tcPr>
            <w:tcW w:w="904" w:type="pct"/>
            <w:tcBorders>
              <w:top w:val="single" w:sz="2" w:space="0" w:color="auto"/>
              <w:left w:val="nil"/>
              <w:bottom w:val="single" w:sz="2" w:space="0" w:color="auto"/>
              <w:right w:val="nil"/>
            </w:tcBorders>
            <w:shd w:val="clear" w:color="auto" w:fill="auto"/>
            <w:vAlign w:val="bottom"/>
          </w:tcPr>
          <w:p w14:paraId="274BD718" w14:textId="77777777" w:rsidR="00302534" w:rsidRPr="00A058B6" w:rsidRDefault="00302534" w:rsidP="00302534">
            <w:pPr>
              <w:pStyle w:val="Tabletext"/>
            </w:pPr>
            <w:r w:rsidRPr="00A058B6">
              <w:t>1</w:t>
            </w:r>
            <w:r w:rsidR="00D7157D">
              <w:t>.</w:t>
            </w:r>
            <w:r w:rsidRPr="00A058B6">
              <w:t>5218</w:t>
            </w:r>
          </w:p>
        </w:tc>
        <w:tc>
          <w:tcPr>
            <w:tcW w:w="904" w:type="pct"/>
            <w:tcBorders>
              <w:top w:val="single" w:sz="2" w:space="0" w:color="auto"/>
              <w:left w:val="nil"/>
              <w:bottom w:val="single" w:sz="2" w:space="0" w:color="auto"/>
              <w:right w:val="nil"/>
            </w:tcBorders>
            <w:shd w:val="clear" w:color="auto" w:fill="auto"/>
            <w:vAlign w:val="bottom"/>
          </w:tcPr>
          <w:p w14:paraId="23877EA6" w14:textId="77777777" w:rsidR="00302534" w:rsidRPr="00A058B6" w:rsidRDefault="00302534" w:rsidP="00302534">
            <w:pPr>
              <w:pStyle w:val="Tabletext"/>
            </w:pPr>
            <w:r w:rsidRPr="00A058B6">
              <w:t>0</w:t>
            </w:r>
            <w:r w:rsidR="00D7157D">
              <w:t>.</w:t>
            </w:r>
            <w:r w:rsidRPr="00A058B6">
              <w:t>7593</w:t>
            </w:r>
          </w:p>
        </w:tc>
        <w:tc>
          <w:tcPr>
            <w:tcW w:w="904" w:type="pct"/>
            <w:tcBorders>
              <w:top w:val="single" w:sz="2" w:space="0" w:color="auto"/>
              <w:left w:val="nil"/>
              <w:bottom w:val="single" w:sz="2" w:space="0" w:color="auto"/>
              <w:right w:val="nil"/>
            </w:tcBorders>
            <w:shd w:val="clear" w:color="auto" w:fill="auto"/>
            <w:vAlign w:val="bottom"/>
          </w:tcPr>
          <w:p w14:paraId="2012725C"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9601</w:t>
            </w:r>
          </w:p>
        </w:tc>
        <w:tc>
          <w:tcPr>
            <w:tcW w:w="906" w:type="pct"/>
            <w:tcBorders>
              <w:top w:val="single" w:sz="2" w:space="0" w:color="auto"/>
              <w:left w:val="nil"/>
              <w:bottom w:val="single" w:sz="2" w:space="0" w:color="auto"/>
              <w:right w:val="nil"/>
            </w:tcBorders>
            <w:shd w:val="clear" w:color="auto" w:fill="auto"/>
            <w:vAlign w:val="bottom"/>
          </w:tcPr>
          <w:p w14:paraId="7EB9F4E8"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4609</w:t>
            </w:r>
          </w:p>
        </w:tc>
      </w:tr>
      <w:tr w:rsidR="00302534" w:rsidRPr="00A058B6" w14:paraId="034AABE1" w14:textId="77777777" w:rsidTr="00FA26AF">
        <w:tc>
          <w:tcPr>
            <w:tcW w:w="1382" w:type="pct"/>
            <w:tcBorders>
              <w:left w:val="nil"/>
              <w:right w:val="nil"/>
            </w:tcBorders>
          </w:tcPr>
          <w:p w14:paraId="664BFF16" w14:textId="77777777" w:rsidR="00302534" w:rsidRPr="00A058B6" w:rsidRDefault="00302534" w:rsidP="00302534">
            <w:pPr>
              <w:pStyle w:val="Tabletext"/>
            </w:pPr>
            <w:r w:rsidRPr="00A058B6">
              <w:t>32</w:t>
            </w:r>
          </w:p>
        </w:tc>
        <w:tc>
          <w:tcPr>
            <w:tcW w:w="904" w:type="pct"/>
            <w:tcBorders>
              <w:top w:val="single" w:sz="2" w:space="0" w:color="auto"/>
              <w:left w:val="nil"/>
              <w:bottom w:val="single" w:sz="2" w:space="0" w:color="auto"/>
              <w:right w:val="nil"/>
            </w:tcBorders>
            <w:shd w:val="clear" w:color="auto" w:fill="auto"/>
            <w:vAlign w:val="bottom"/>
          </w:tcPr>
          <w:p w14:paraId="0C85E3E2" w14:textId="77777777" w:rsidR="00302534" w:rsidRPr="00A058B6" w:rsidRDefault="00302534" w:rsidP="00302534">
            <w:pPr>
              <w:pStyle w:val="Tabletext"/>
            </w:pPr>
            <w:r w:rsidRPr="00A058B6">
              <w:t>1</w:t>
            </w:r>
            <w:r w:rsidR="00D7157D">
              <w:t>.</w:t>
            </w:r>
            <w:r w:rsidRPr="00A058B6">
              <w:t>5718</w:t>
            </w:r>
          </w:p>
        </w:tc>
        <w:tc>
          <w:tcPr>
            <w:tcW w:w="904" w:type="pct"/>
            <w:tcBorders>
              <w:top w:val="single" w:sz="2" w:space="0" w:color="auto"/>
              <w:left w:val="nil"/>
              <w:bottom w:val="single" w:sz="2" w:space="0" w:color="auto"/>
              <w:right w:val="nil"/>
            </w:tcBorders>
            <w:shd w:val="clear" w:color="auto" w:fill="auto"/>
            <w:vAlign w:val="bottom"/>
          </w:tcPr>
          <w:p w14:paraId="0784165E" w14:textId="77777777" w:rsidR="00302534" w:rsidRPr="00A058B6" w:rsidRDefault="00302534" w:rsidP="00302534">
            <w:pPr>
              <w:pStyle w:val="Tabletext"/>
            </w:pPr>
            <w:r w:rsidRPr="00A058B6">
              <w:t>0</w:t>
            </w:r>
            <w:r w:rsidR="00D7157D">
              <w:t>.</w:t>
            </w:r>
            <w:r w:rsidRPr="00A058B6">
              <w:t>7862</w:t>
            </w:r>
          </w:p>
        </w:tc>
        <w:tc>
          <w:tcPr>
            <w:tcW w:w="904" w:type="pct"/>
            <w:tcBorders>
              <w:top w:val="single" w:sz="2" w:space="0" w:color="auto"/>
              <w:left w:val="nil"/>
              <w:bottom w:val="single" w:sz="2" w:space="0" w:color="auto"/>
              <w:right w:val="nil"/>
            </w:tcBorders>
            <w:shd w:val="clear" w:color="auto" w:fill="auto"/>
            <w:vAlign w:val="bottom"/>
          </w:tcPr>
          <w:p w14:paraId="715ACFA4"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0239</w:t>
            </w:r>
          </w:p>
        </w:tc>
        <w:tc>
          <w:tcPr>
            <w:tcW w:w="906" w:type="pct"/>
            <w:tcBorders>
              <w:top w:val="single" w:sz="2" w:space="0" w:color="auto"/>
              <w:left w:val="nil"/>
              <w:bottom w:val="single" w:sz="2" w:space="0" w:color="auto"/>
              <w:right w:val="nil"/>
            </w:tcBorders>
            <w:shd w:val="clear" w:color="auto" w:fill="auto"/>
            <w:vAlign w:val="bottom"/>
          </w:tcPr>
          <w:p w14:paraId="43DCA8F6"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4951</w:t>
            </w:r>
          </w:p>
        </w:tc>
      </w:tr>
      <w:tr w:rsidR="00302534" w:rsidRPr="00A058B6" w14:paraId="359E4AD2" w14:textId="77777777" w:rsidTr="00FA26AF">
        <w:tc>
          <w:tcPr>
            <w:tcW w:w="1382" w:type="pct"/>
            <w:tcBorders>
              <w:left w:val="nil"/>
              <w:right w:val="nil"/>
            </w:tcBorders>
          </w:tcPr>
          <w:p w14:paraId="62B0874A" w14:textId="77777777" w:rsidR="00302534" w:rsidRPr="00A058B6" w:rsidRDefault="00302534" w:rsidP="00302534">
            <w:pPr>
              <w:pStyle w:val="Tabletext"/>
            </w:pPr>
            <w:r w:rsidRPr="00A058B6">
              <w:t>33</w:t>
            </w:r>
          </w:p>
        </w:tc>
        <w:tc>
          <w:tcPr>
            <w:tcW w:w="904" w:type="pct"/>
            <w:tcBorders>
              <w:top w:val="single" w:sz="2" w:space="0" w:color="auto"/>
              <w:left w:val="nil"/>
              <w:bottom w:val="single" w:sz="2" w:space="0" w:color="auto"/>
              <w:right w:val="nil"/>
            </w:tcBorders>
            <w:shd w:val="clear" w:color="auto" w:fill="auto"/>
            <w:vAlign w:val="bottom"/>
          </w:tcPr>
          <w:p w14:paraId="294316B3" w14:textId="77777777" w:rsidR="00302534" w:rsidRPr="00A058B6" w:rsidRDefault="00302534" w:rsidP="00302534">
            <w:pPr>
              <w:pStyle w:val="Tabletext"/>
            </w:pPr>
            <w:r w:rsidRPr="00A058B6">
              <w:t>1</w:t>
            </w:r>
            <w:r w:rsidR="00D7157D">
              <w:t>.</w:t>
            </w:r>
            <w:r w:rsidRPr="00A058B6">
              <w:t>6233</w:t>
            </w:r>
          </w:p>
        </w:tc>
        <w:tc>
          <w:tcPr>
            <w:tcW w:w="904" w:type="pct"/>
            <w:tcBorders>
              <w:top w:val="single" w:sz="2" w:space="0" w:color="auto"/>
              <w:left w:val="nil"/>
              <w:bottom w:val="single" w:sz="2" w:space="0" w:color="auto"/>
              <w:right w:val="nil"/>
            </w:tcBorders>
            <w:shd w:val="clear" w:color="auto" w:fill="auto"/>
            <w:vAlign w:val="bottom"/>
          </w:tcPr>
          <w:p w14:paraId="0DCAA254" w14:textId="77777777" w:rsidR="00302534" w:rsidRPr="00A058B6" w:rsidRDefault="00302534" w:rsidP="00302534">
            <w:pPr>
              <w:pStyle w:val="Tabletext"/>
            </w:pPr>
            <w:r w:rsidRPr="00A058B6">
              <w:t>0</w:t>
            </w:r>
            <w:r w:rsidR="00D7157D">
              <w:t>.</w:t>
            </w:r>
            <w:r w:rsidRPr="00A058B6">
              <w:t>8139</w:t>
            </w:r>
          </w:p>
        </w:tc>
        <w:tc>
          <w:tcPr>
            <w:tcW w:w="904" w:type="pct"/>
            <w:tcBorders>
              <w:top w:val="single" w:sz="2" w:space="0" w:color="auto"/>
              <w:left w:val="nil"/>
              <w:bottom w:val="single" w:sz="2" w:space="0" w:color="auto"/>
              <w:right w:val="nil"/>
            </w:tcBorders>
            <w:shd w:val="clear" w:color="auto" w:fill="auto"/>
            <w:vAlign w:val="bottom"/>
          </w:tcPr>
          <w:p w14:paraId="31C22711"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0887</w:t>
            </w:r>
          </w:p>
        </w:tc>
        <w:tc>
          <w:tcPr>
            <w:tcW w:w="906" w:type="pct"/>
            <w:tcBorders>
              <w:top w:val="single" w:sz="2" w:space="0" w:color="auto"/>
              <w:left w:val="nil"/>
              <w:bottom w:val="single" w:sz="2" w:space="0" w:color="auto"/>
              <w:right w:val="nil"/>
            </w:tcBorders>
            <w:shd w:val="clear" w:color="auto" w:fill="auto"/>
            <w:vAlign w:val="bottom"/>
          </w:tcPr>
          <w:p w14:paraId="006173A6"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5299</w:t>
            </w:r>
          </w:p>
        </w:tc>
      </w:tr>
      <w:tr w:rsidR="00302534" w:rsidRPr="00A058B6" w14:paraId="2C520BBA" w14:textId="77777777" w:rsidTr="00FA26AF">
        <w:tc>
          <w:tcPr>
            <w:tcW w:w="1382" w:type="pct"/>
            <w:tcBorders>
              <w:left w:val="nil"/>
              <w:right w:val="nil"/>
            </w:tcBorders>
          </w:tcPr>
          <w:p w14:paraId="14A937E1" w14:textId="77777777" w:rsidR="00302534" w:rsidRPr="00A058B6" w:rsidRDefault="00302534" w:rsidP="00302534">
            <w:pPr>
              <w:pStyle w:val="Tabletext"/>
            </w:pPr>
            <w:r w:rsidRPr="00A058B6">
              <w:t>34</w:t>
            </w:r>
          </w:p>
        </w:tc>
        <w:tc>
          <w:tcPr>
            <w:tcW w:w="904" w:type="pct"/>
            <w:tcBorders>
              <w:top w:val="single" w:sz="2" w:space="0" w:color="auto"/>
              <w:left w:val="nil"/>
              <w:bottom w:val="single" w:sz="2" w:space="0" w:color="auto"/>
              <w:right w:val="nil"/>
            </w:tcBorders>
            <w:shd w:val="clear" w:color="auto" w:fill="auto"/>
            <w:vAlign w:val="bottom"/>
          </w:tcPr>
          <w:p w14:paraId="3AD16F95" w14:textId="77777777" w:rsidR="00302534" w:rsidRPr="00A058B6" w:rsidRDefault="00302534" w:rsidP="00302534">
            <w:pPr>
              <w:pStyle w:val="Tabletext"/>
            </w:pPr>
            <w:r w:rsidRPr="00A058B6">
              <w:t>1</w:t>
            </w:r>
            <w:r w:rsidR="00D7157D">
              <w:t>.</w:t>
            </w:r>
            <w:r w:rsidRPr="00A058B6">
              <w:t>6763</w:t>
            </w:r>
          </w:p>
        </w:tc>
        <w:tc>
          <w:tcPr>
            <w:tcW w:w="904" w:type="pct"/>
            <w:tcBorders>
              <w:top w:val="single" w:sz="2" w:space="0" w:color="auto"/>
              <w:left w:val="nil"/>
              <w:bottom w:val="single" w:sz="2" w:space="0" w:color="auto"/>
              <w:right w:val="nil"/>
            </w:tcBorders>
            <w:shd w:val="clear" w:color="auto" w:fill="auto"/>
            <w:vAlign w:val="bottom"/>
          </w:tcPr>
          <w:p w14:paraId="0FB26D7D" w14:textId="77777777" w:rsidR="00302534" w:rsidRPr="00A058B6" w:rsidRDefault="00302534" w:rsidP="00302534">
            <w:pPr>
              <w:pStyle w:val="Tabletext"/>
            </w:pPr>
            <w:r w:rsidRPr="00A058B6">
              <w:t>0</w:t>
            </w:r>
            <w:r w:rsidR="00D7157D">
              <w:t>.</w:t>
            </w:r>
            <w:r w:rsidRPr="00A058B6">
              <w:t>8423</w:t>
            </w:r>
          </w:p>
        </w:tc>
        <w:tc>
          <w:tcPr>
            <w:tcW w:w="904" w:type="pct"/>
            <w:tcBorders>
              <w:top w:val="single" w:sz="2" w:space="0" w:color="auto"/>
              <w:left w:val="nil"/>
              <w:bottom w:val="single" w:sz="2" w:space="0" w:color="auto"/>
              <w:right w:val="nil"/>
            </w:tcBorders>
            <w:shd w:val="clear" w:color="auto" w:fill="auto"/>
            <w:vAlign w:val="bottom"/>
          </w:tcPr>
          <w:p w14:paraId="4B1F1D64"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1547</w:t>
            </w:r>
          </w:p>
        </w:tc>
        <w:tc>
          <w:tcPr>
            <w:tcW w:w="906" w:type="pct"/>
            <w:tcBorders>
              <w:top w:val="single" w:sz="2" w:space="0" w:color="auto"/>
              <w:left w:val="nil"/>
              <w:bottom w:val="single" w:sz="2" w:space="0" w:color="auto"/>
              <w:right w:val="nil"/>
            </w:tcBorders>
            <w:shd w:val="clear" w:color="auto" w:fill="auto"/>
            <w:vAlign w:val="bottom"/>
          </w:tcPr>
          <w:p w14:paraId="03B75C06"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5650</w:t>
            </w:r>
          </w:p>
        </w:tc>
      </w:tr>
      <w:tr w:rsidR="00302534" w:rsidRPr="00A058B6" w14:paraId="6646E229" w14:textId="77777777" w:rsidTr="00FA26AF">
        <w:tc>
          <w:tcPr>
            <w:tcW w:w="1382" w:type="pct"/>
            <w:tcBorders>
              <w:left w:val="nil"/>
              <w:right w:val="nil"/>
            </w:tcBorders>
          </w:tcPr>
          <w:p w14:paraId="6298A53A" w14:textId="77777777" w:rsidR="00302534" w:rsidRPr="00A058B6" w:rsidRDefault="00302534" w:rsidP="00302534">
            <w:pPr>
              <w:pStyle w:val="Tabletext"/>
            </w:pPr>
            <w:r w:rsidRPr="00A058B6">
              <w:t>35</w:t>
            </w:r>
          </w:p>
        </w:tc>
        <w:tc>
          <w:tcPr>
            <w:tcW w:w="904" w:type="pct"/>
            <w:tcBorders>
              <w:top w:val="single" w:sz="2" w:space="0" w:color="auto"/>
              <w:left w:val="nil"/>
              <w:bottom w:val="single" w:sz="2" w:space="0" w:color="auto"/>
              <w:right w:val="nil"/>
            </w:tcBorders>
            <w:shd w:val="clear" w:color="auto" w:fill="auto"/>
            <w:vAlign w:val="bottom"/>
          </w:tcPr>
          <w:p w14:paraId="150786ED" w14:textId="77777777" w:rsidR="00302534" w:rsidRPr="00A058B6" w:rsidRDefault="00302534" w:rsidP="00302534">
            <w:pPr>
              <w:pStyle w:val="Tabletext"/>
            </w:pPr>
            <w:r w:rsidRPr="00A058B6">
              <w:t>1</w:t>
            </w:r>
            <w:r w:rsidR="00D7157D">
              <w:t>.</w:t>
            </w:r>
            <w:r w:rsidRPr="00A058B6">
              <w:t>7307</w:t>
            </w:r>
          </w:p>
        </w:tc>
        <w:tc>
          <w:tcPr>
            <w:tcW w:w="904" w:type="pct"/>
            <w:tcBorders>
              <w:top w:val="single" w:sz="2" w:space="0" w:color="auto"/>
              <w:left w:val="nil"/>
              <w:bottom w:val="single" w:sz="2" w:space="0" w:color="auto"/>
              <w:right w:val="nil"/>
            </w:tcBorders>
            <w:shd w:val="clear" w:color="auto" w:fill="auto"/>
            <w:vAlign w:val="bottom"/>
          </w:tcPr>
          <w:p w14:paraId="5CCFF84E" w14:textId="77777777" w:rsidR="00302534" w:rsidRPr="00A058B6" w:rsidRDefault="00302534" w:rsidP="00302534">
            <w:pPr>
              <w:pStyle w:val="Tabletext"/>
            </w:pPr>
            <w:r w:rsidRPr="00A058B6">
              <w:t>0</w:t>
            </w:r>
            <w:r w:rsidR="00D7157D">
              <w:t>.</w:t>
            </w:r>
            <w:r w:rsidRPr="00A058B6">
              <w:t>8715</w:t>
            </w:r>
          </w:p>
        </w:tc>
        <w:tc>
          <w:tcPr>
            <w:tcW w:w="904" w:type="pct"/>
            <w:tcBorders>
              <w:top w:val="single" w:sz="2" w:space="0" w:color="auto"/>
              <w:left w:val="nil"/>
              <w:bottom w:val="single" w:sz="2" w:space="0" w:color="auto"/>
              <w:right w:val="nil"/>
            </w:tcBorders>
            <w:shd w:val="clear" w:color="auto" w:fill="auto"/>
            <w:vAlign w:val="bottom"/>
          </w:tcPr>
          <w:p w14:paraId="3175A9BE"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2215</w:t>
            </w:r>
          </w:p>
        </w:tc>
        <w:tc>
          <w:tcPr>
            <w:tcW w:w="906" w:type="pct"/>
            <w:tcBorders>
              <w:top w:val="single" w:sz="2" w:space="0" w:color="auto"/>
              <w:left w:val="nil"/>
              <w:bottom w:val="single" w:sz="2" w:space="0" w:color="auto"/>
              <w:right w:val="nil"/>
            </w:tcBorders>
            <w:shd w:val="clear" w:color="auto" w:fill="auto"/>
            <w:vAlign w:val="bottom"/>
          </w:tcPr>
          <w:p w14:paraId="09FDBCF6"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6008</w:t>
            </w:r>
          </w:p>
        </w:tc>
      </w:tr>
      <w:tr w:rsidR="00302534" w:rsidRPr="00A058B6" w14:paraId="3B27644E" w14:textId="77777777" w:rsidTr="00FA26AF">
        <w:tc>
          <w:tcPr>
            <w:tcW w:w="1382" w:type="pct"/>
            <w:tcBorders>
              <w:left w:val="nil"/>
              <w:right w:val="nil"/>
            </w:tcBorders>
          </w:tcPr>
          <w:p w14:paraId="485F32F5" w14:textId="77777777" w:rsidR="00302534" w:rsidRPr="00A058B6" w:rsidRDefault="00302534" w:rsidP="00302534">
            <w:pPr>
              <w:pStyle w:val="Tabletext"/>
            </w:pPr>
            <w:r w:rsidRPr="00A058B6">
              <w:t>36</w:t>
            </w:r>
          </w:p>
        </w:tc>
        <w:tc>
          <w:tcPr>
            <w:tcW w:w="904" w:type="pct"/>
            <w:tcBorders>
              <w:top w:val="single" w:sz="2" w:space="0" w:color="auto"/>
              <w:left w:val="nil"/>
              <w:bottom w:val="single" w:sz="2" w:space="0" w:color="auto"/>
              <w:right w:val="nil"/>
            </w:tcBorders>
            <w:shd w:val="clear" w:color="auto" w:fill="auto"/>
            <w:vAlign w:val="bottom"/>
          </w:tcPr>
          <w:p w14:paraId="0732C8B5" w14:textId="77777777" w:rsidR="00302534" w:rsidRPr="00A058B6" w:rsidRDefault="00302534" w:rsidP="00302534">
            <w:pPr>
              <w:pStyle w:val="Tabletext"/>
            </w:pPr>
            <w:r w:rsidRPr="00A058B6">
              <w:t>1</w:t>
            </w:r>
            <w:r w:rsidR="00D7157D">
              <w:t>.</w:t>
            </w:r>
            <w:r w:rsidRPr="00A058B6">
              <w:t>7866</w:t>
            </w:r>
          </w:p>
        </w:tc>
        <w:tc>
          <w:tcPr>
            <w:tcW w:w="904" w:type="pct"/>
            <w:tcBorders>
              <w:top w:val="single" w:sz="2" w:space="0" w:color="auto"/>
              <w:left w:val="nil"/>
              <w:bottom w:val="single" w:sz="2" w:space="0" w:color="auto"/>
              <w:right w:val="nil"/>
            </w:tcBorders>
            <w:shd w:val="clear" w:color="auto" w:fill="auto"/>
            <w:vAlign w:val="bottom"/>
          </w:tcPr>
          <w:p w14:paraId="424A8A37" w14:textId="77777777" w:rsidR="00302534" w:rsidRPr="00A058B6" w:rsidRDefault="00302534" w:rsidP="00302534">
            <w:pPr>
              <w:pStyle w:val="Tabletext"/>
            </w:pPr>
            <w:r w:rsidRPr="00A058B6">
              <w:t>0</w:t>
            </w:r>
            <w:r w:rsidR="00D7157D">
              <w:t>.</w:t>
            </w:r>
            <w:r w:rsidRPr="00A058B6">
              <w:t>9015</w:t>
            </w:r>
          </w:p>
        </w:tc>
        <w:tc>
          <w:tcPr>
            <w:tcW w:w="904" w:type="pct"/>
            <w:tcBorders>
              <w:top w:val="single" w:sz="2" w:space="0" w:color="auto"/>
              <w:left w:val="nil"/>
              <w:bottom w:val="single" w:sz="2" w:space="0" w:color="auto"/>
              <w:right w:val="nil"/>
            </w:tcBorders>
            <w:shd w:val="clear" w:color="auto" w:fill="auto"/>
            <w:vAlign w:val="bottom"/>
          </w:tcPr>
          <w:p w14:paraId="40A53E3E"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2891</w:t>
            </w:r>
          </w:p>
        </w:tc>
        <w:tc>
          <w:tcPr>
            <w:tcW w:w="906" w:type="pct"/>
            <w:tcBorders>
              <w:top w:val="single" w:sz="2" w:space="0" w:color="auto"/>
              <w:left w:val="nil"/>
              <w:bottom w:val="single" w:sz="2" w:space="0" w:color="auto"/>
              <w:right w:val="nil"/>
            </w:tcBorders>
            <w:shd w:val="clear" w:color="auto" w:fill="auto"/>
            <w:vAlign w:val="bottom"/>
          </w:tcPr>
          <w:p w14:paraId="1E519755"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6370</w:t>
            </w:r>
          </w:p>
        </w:tc>
      </w:tr>
      <w:tr w:rsidR="00302534" w:rsidRPr="00A058B6" w14:paraId="2AC0E80C" w14:textId="77777777" w:rsidTr="00FA26AF">
        <w:tc>
          <w:tcPr>
            <w:tcW w:w="1382" w:type="pct"/>
            <w:tcBorders>
              <w:left w:val="nil"/>
              <w:right w:val="nil"/>
            </w:tcBorders>
          </w:tcPr>
          <w:p w14:paraId="713FE8AA" w14:textId="77777777" w:rsidR="00302534" w:rsidRPr="00A058B6" w:rsidRDefault="00302534" w:rsidP="00302534">
            <w:pPr>
              <w:pStyle w:val="Tabletext"/>
            </w:pPr>
            <w:r w:rsidRPr="00A058B6">
              <w:t>37</w:t>
            </w:r>
          </w:p>
        </w:tc>
        <w:tc>
          <w:tcPr>
            <w:tcW w:w="904" w:type="pct"/>
            <w:tcBorders>
              <w:top w:val="single" w:sz="2" w:space="0" w:color="auto"/>
              <w:left w:val="nil"/>
              <w:bottom w:val="single" w:sz="2" w:space="0" w:color="auto"/>
              <w:right w:val="nil"/>
            </w:tcBorders>
            <w:shd w:val="clear" w:color="auto" w:fill="auto"/>
            <w:vAlign w:val="bottom"/>
          </w:tcPr>
          <w:p w14:paraId="3BCDA3EA" w14:textId="77777777" w:rsidR="00302534" w:rsidRPr="00A058B6" w:rsidRDefault="00302534" w:rsidP="00302534">
            <w:pPr>
              <w:pStyle w:val="Tabletext"/>
            </w:pPr>
            <w:r w:rsidRPr="00A058B6">
              <w:t>1</w:t>
            </w:r>
            <w:r w:rsidR="00D7157D">
              <w:t>.</w:t>
            </w:r>
            <w:r w:rsidRPr="00A058B6">
              <w:t>8437</w:t>
            </w:r>
          </w:p>
        </w:tc>
        <w:tc>
          <w:tcPr>
            <w:tcW w:w="904" w:type="pct"/>
            <w:tcBorders>
              <w:top w:val="single" w:sz="2" w:space="0" w:color="auto"/>
              <w:left w:val="nil"/>
              <w:bottom w:val="single" w:sz="2" w:space="0" w:color="auto"/>
              <w:right w:val="nil"/>
            </w:tcBorders>
            <w:shd w:val="clear" w:color="auto" w:fill="auto"/>
            <w:vAlign w:val="bottom"/>
          </w:tcPr>
          <w:p w14:paraId="5B16200C" w14:textId="77777777" w:rsidR="00302534" w:rsidRPr="00A058B6" w:rsidRDefault="00302534" w:rsidP="00302534">
            <w:pPr>
              <w:pStyle w:val="Tabletext"/>
            </w:pPr>
            <w:r w:rsidRPr="00A058B6">
              <w:t>0</w:t>
            </w:r>
            <w:r w:rsidR="00D7157D">
              <w:t>.</w:t>
            </w:r>
            <w:r w:rsidRPr="00A058B6">
              <w:t>9322</w:t>
            </w:r>
          </w:p>
        </w:tc>
        <w:tc>
          <w:tcPr>
            <w:tcW w:w="904" w:type="pct"/>
            <w:tcBorders>
              <w:top w:val="single" w:sz="2" w:space="0" w:color="auto"/>
              <w:left w:val="nil"/>
              <w:bottom w:val="single" w:sz="2" w:space="0" w:color="auto"/>
              <w:right w:val="nil"/>
            </w:tcBorders>
            <w:shd w:val="clear" w:color="auto" w:fill="auto"/>
            <w:vAlign w:val="bottom"/>
          </w:tcPr>
          <w:p w14:paraId="7AD8569B"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3573</w:t>
            </w:r>
          </w:p>
        </w:tc>
        <w:tc>
          <w:tcPr>
            <w:tcW w:w="906" w:type="pct"/>
            <w:tcBorders>
              <w:top w:val="single" w:sz="2" w:space="0" w:color="auto"/>
              <w:left w:val="nil"/>
              <w:bottom w:val="single" w:sz="2" w:space="0" w:color="auto"/>
              <w:right w:val="nil"/>
            </w:tcBorders>
            <w:shd w:val="clear" w:color="auto" w:fill="auto"/>
            <w:vAlign w:val="bottom"/>
          </w:tcPr>
          <w:p w14:paraId="587F67E0"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6736</w:t>
            </w:r>
          </w:p>
        </w:tc>
      </w:tr>
      <w:tr w:rsidR="00302534" w:rsidRPr="00A058B6" w14:paraId="12924861" w14:textId="77777777" w:rsidTr="00FA26AF">
        <w:tc>
          <w:tcPr>
            <w:tcW w:w="1382" w:type="pct"/>
            <w:tcBorders>
              <w:left w:val="nil"/>
              <w:right w:val="nil"/>
            </w:tcBorders>
          </w:tcPr>
          <w:p w14:paraId="4592EEDF" w14:textId="77777777" w:rsidR="00302534" w:rsidRPr="00A058B6" w:rsidRDefault="00302534" w:rsidP="00302534">
            <w:pPr>
              <w:pStyle w:val="Tabletext"/>
            </w:pPr>
            <w:r w:rsidRPr="00A058B6">
              <w:t>38</w:t>
            </w:r>
          </w:p>
        </w:tc>
        <w:tc>
          <w:tcPr>
            <w:tcW w:w="904" w:type="pct"/>
            <w:tcBorders>
              <w:top w:val="single" w:sz="2" w:space="0" w:color="auto"/>
              <w:left w:val="nil"/>
              <w:bottom w:val="single" w:sz="2" w:space="0" w:color="auto"/>
              <w:right w:val="nil"/>
            </w:tcBorders>
            <w:shd w:val="clear" w:color="auto" w:fill="auto"/>
            <w:vAlign w:val="bottom"/>
          </w:tcPr>
          <w:p w14:paraId="30E2CB09" w14:textId="77777777" w:rsidR="00302534" w:rsidRPr="00A058B6" w:rsidRDefault="00302534" w:rsidP="00302534">
            <w:pPr>
              <w:pStyle w:val="Tabletext"/>
            </w:pPr>
            <w:r w:rsidRPr="00A058B6">
              <w:t>1</w:t>
            </w:r>
            <w:r w:rsidR="00D7157D">
              <w:t>.</w:t>
            </w:r>
            <w:r w:rsidRPr="00A058B6">
              <w:t>9020</w:t>
            </w:r>
          </w:p>
        </w:tc>
        <w:tc>
          <w:tcPr>
            <w:tcW w:w="904" w:type="pct"/>
            <w:tcBorders>
              <w:top w:val="single" w:sz="2" w:space="0" w:color="auto"/>
              <w:left w:val="nil"/>
              <w:bottom w:val="single" w:sz="2" w:space="0" w:color="auto"/>
              <w:right w:val="nil"/>
            </w:tcBorders>
            <w:shd w:val="clear" w:color="auto" w:fill="auto"/>
            <w:vAlign w:val="bottom"/>
          </w:tcPr>
          <w:p w14:paraId="0793F2F0" w14:textId="77777777" w:rsidR="00302534" w:rsidRPr="00A058B6" w:rsidRDefault="00302534" w:rsidP="00302534">
            <w:pPr>
              <w:pStyle w:val="Tabletext"/>
            </w:pPr>
            <w:r w:rsidRPr="00A058B6">
              <w:t>0</w:t>
            </w:r>
            <w:r w:rsidR="00D7157D">
              <w:t>.</w:t>
            </w:r>
            <w:r w:rsidRPr="00A058B6">
              <w:t>9637</w:t>
            </w:r>
          </w:p>
        </w:tc>
        <w:tc>
          <w:tcPr>
            <w:tcW w:w="904" w:type="pct"/>
            <w:tcBorders>
              <w:top w:val="single" w:sz="2" w:space="0" w:color="auto"/>
              <w:left w:val="nil"/>
              <w:bottom w:val="single" w:sz="2" w:space="0" w:color="auto"/>
              <w:right w:val="nil"/>
            </w:tcBorders>
            <w:shd w:val="clear" w:color="auto" w:fill="auto"/>
            <w:vAlign w:val="bottom"/>
          </w:tcPr>
          <w:p w14:paraId="51DB8C6C"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4262</w:t>
            </w:r>
          </w:p>
        </w:tc>
        <w:tc>
          <w:tcPr>
            <w:tcW w:w="906" w:type="pct"/>
            <w:tcBorders>
              <w:top w:val="single" w:sz="2" w:space="0" w:color="auto"/>
              <w:left w:val="nil"/>
              <w:bottom w:val="single" w:sz="2" w:space="0" w:color="auto"/>
              <w:right w:val="nil"/>
            </w:tcBorders>
            <w:shd w:val="clear" w:color="auto" w:fill="auto"/>
            <w:vAlign w:val="bottom"/>
          </w:tcPr>
          <w:p w14:paraId="6EA6DDA7"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7107</w:t>
            </w:r>
          </w:p>
        </w:tc>
      </w:tr>
      <w:tr w:rsidR="00302534" w:rsidRPr="00A058B6" w14:paraId="4428387C" w14:textId="77777777" w:rsidTr="00FA26AF">
        <w:tc>
          <w:tcPr>
            <w:tcW w:w="1382" w:type="pct"/>
            <w:tcBorders>
              <w:left w:val="nil"/>
              <w:right w:val="nil"/>
            </w:tcBorders>
          </w:tcPr>
          <w:p w14:paraId="10EF7CB2" w14:textId="77777777" w:rsidR="00302534" w:rsidRPr="00A058B6" w:rsidRDefault="00302534" w:rsidP="00302534">
            <w:pPr>
              <w:pStyle w:val="Tabletext"/>
            </w:pPr>
            <w:r w:rsidRPr="00A058B6">
              <w:t>39</w:t>
            </w:r>
          </w:p>
        </w:tc>
        <w:tc>
          <w:tcPr>
            <w:tcW w:w="904" w:type="pct"/>
            <w:tcBorders>
              <w:top w:val="single" w:sz="2" w:space="0" w:color="auto"/>
              <w:left w:val="nil"/>
              <w:bottom w:val="single" w:sz="2" w:space="0" w:color="auto"/>
              <w:right w:val="nil"/>
            </w:tcBorders>
            <w:shd w:val="clear" w:color="auto" w:fill="auto"/>
            <w:vAlign w:val="bottom"/>
          </w:tcPr>
          <w:p w14:paraId="4E8F68C4" w14:textId="77777777" w:rsidR="00302534" w:rsidRPr="00A058B6" w:rsidRDefault="00302534" w:rsidP="00302534">
            <w:pPr>
              <w:pStyle w:val="Tabletext"/>
            </w:pPr>
            <w:r w:rsidRPr="00A058B6">
              <w:t>1</w:t>
            </w:r>
            <w:r w:rsidR="00D7157D">
              <w:t>.</w:t>
            </w:r>
            <w:r w:rsidRPr="00A058B6">
              <w:t>9618</w:t>
            </w:r>
          </w:p>
        </w:tc>
        <w:tc>
          <w:tcPr>
            <w:tcW w:w="904" w:type="pct"/>
            <w:tcBorders>
              <w:top w:val="single" w:sz="2" w:space="0" w:color="auto"/>
              <w:left w:val="nil"/>
              <w:bottom w:val="single" w:sz="2" w:space="0" w:color="auto"/>
              <w:right w:val="nil"/>
            </w:tcBorders>
            <w:shd w:val="clear" w:color="auto" w:fill="auto"/>
            <w:vAlign w:val="bottom"/>
          </w:tcPr>
          <w:p w14:paraId="6EB31891" w14:textId="77777777" w:rsidR="00302534" w:rsidRPr="00A058B6" w:rsidRDefault="00302534" w:rsidP="00302534">
            <w:pPr>
              <w:pStyle w:val="Tabletext"/>
            </w:pPr>
            <w:r w:rsidRPr="00A058B6">
              <w:t>0</w:t>
            </w:r>
            <w:r w:rsidR="00D7157D">
              <w:t>.</w:t>
            </w:r>
            <w:r w:rsidRPr="00A058B6">
              <w:t>9959</w:t>
            </w:r>
          </w:p>
        </w:tc>
        <w:tc>
          <w:tcPr>
            <w:tcW w:w="904" w:type="pct"/>
            <w:tcBorders>
              <w:top w:val="single" w:sz="2" w:space="0" w:color="auto"/>
              <w:left w:val="nil"/>
              <w:bottom w:val="single" w:sz="2" w:space="0" w:color="auto"/>
              <w:right w:val="nil"/>
            </w:tcBorders>
            <w:shd w:val="clear" w:color="auto" w:fill="auto"/>
            <w:vAlign w:val="bottom"/>
          </w:tcPr>
          <w:p w14:paraId="67C26C0F"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4958</w:t>
            </w:r>
          </w:p>
        </w:tc>
        <w:tc>
          <w:tcPr>
            <w:tcW w:w="906" w:type="pct"/>
            <w:tcBorders>
              <w:top w:val="single" w:sz="2" w:space="0" w:color="auto"/>
              <w:left w:val="nil"/>
              <w:bottom w:val="single" w:sz="2" w:space="0" w:color="auto"/>
              <w:right w:val="nil"/>
            </w:tcBorders>
            <w:shd w:val="clear" w:color="auto" w:fill="auto"/>
            <w:vAlign w:val="bottom"/>
          </w:tcPr>
          <w:p w14:paraId="28B85F2E"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7481</w:t>
            </w:r>
          </w:p>
        </w:tc>
      </w:tr>
      <w:tr w:rsidR="00302534" w:rsidRPr="00A058B6" w14:paraId="46762C53" w14:textId="77777777" w:rsidTr="00FA26AF">
        <w:tc>
          <w:tcPr>
            <w:tcW w:w="1382" w:type="pct"/>
            <w:tcBorders>
              <w:left w:val="nil"/>
              <w:right w:val="nil"/>
            </w:tcBorders>
          </w:tcPr>
          <w:p w14:paraId="560BBF8B" w14:textId="77777777" w:rsidR="00302534" w:rsidRPr="00A058B6" w:rsidRDefault="00302534" w:rsidP="00302534">
            <w:pPr>
              <w:pStyle w:val="Tabletext"/>
            </w:pPr>
            <w:r w:rsidRPr="00A058B6">
              <w:t>40</w:t>
            </w:r>
          </w:p>
        </w:tc>
        <w:tc>
          <w:tcPr>
            <w:tcW w:w="904" w:type="pct"/>
            <w:tcBorders>
              <w:top w:val="single" w:sz="2" w:space="0" w:color="auto"/>
              <w:left w:val="nil"/>
              <w:bottom w:val="single" w:sz="2" w:space="0" w:color="auto"/>
              <w:right w:val="nil"/>
            </w:tcBorders>
            <w:shd w:val="clear" w:color="auto" w:fill="auto"/>
            <w:vAlign w:val="bottom"/>
          </w:tcPr>
          <w:p w14:paraId="1BC010D0" w14:textId="77777777" w:rsidR="00302534" w:rsidRPr="00A058B6" w:rsidRDefault="00302534" w:rsidP="00302534">
            <w:pPr>
              <w:pStyle w:val="Tabletext"/>
            </w:pPr>
            <w:r w:rsidRPr="00A058B6">
              <w:t>2</w:t>
            </w:r>
            <w:r w:rsidR="00D7157D">
              <w:t>.</w:t>
            </w:r>
            <w:r w:rsidRPr="00A058B6">
              <w:t>0227</w:t>
            </w:r>
          </w:p>
        </w:tc>
        <w:tc>
          <w:tcPr>
            <w:tcW w:w="904" w:type="pct"/>
            <w:tcBorders>
              <w:top w:val="single" w:sz="2" w:space="0" w:color="auto"/>
              <w:left w:val="nil"/>
              <w:bottom w:val="single" w:sz="2" w:space="0" w:color="auto"/>
              <w:right w:val="nil"/>
            </w:tcBorders>
            <w:shd w:val="clear" w:color="auto" w:fill="auto"/>
            <w:vAlign w:val="bottom"/>
          </w:tcPr>
          <w:p w14:paraId="3251C2D2" w14:textId="77777777" w:rsidR="00302534" w:rsidRPr="00A058B6" w:rsidRDefault="00302534" w:rsidP="00302534">
            <w:pPr>
              <w:pStyle w:val="Tabletext"/>
            </w:pPr>
            <w:r w:rsidRPr="00A058B6">
              <w:t>1</w:t>
            </w:r>
            <w:r w:rsidR="00D7157D">
              <w:t>.</w:t>
            </w:r>
            <w:r w:rsidRPr="00A058B6">
              <w:t>0288</w:t>
            </w:r>
          </w:p>
        </w:tc>
        <w:tc>
          <w:tcPr>
            <w:tcW w:w="904" w:type="pct"/>
            <w:tcBorders>
              <w:top w:val="single" w:sz="2" w:space="0" w:color="auto"/>
              <w:left w:val="nil"/>
              <w:bottom w:val="single" w:sz="2" w:space="0" w:color="auto"/>
              <w:right w:val="nil"/>
            </w:tcBorders>
            <w:shd w:val="clear" w:color="auto" w:fill="auto"/>
            <w:vAlign w:val="bottom"/>
          </w:tcPr>
          <w:p w14:paraId="05ABC22B"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5657</w:t>
            </w:r>
          </w:p>
        </w:tc>
        <w:tc>
          <w:tcPr>
            <w:tcW w:w="906" w:type="pct"/>
            <w:tcBorders>
              <w:top w:val="single" w:sz="2" w:space="0" w:color="auto"/>
              <w:left w:val="nil"/>
              <w:bottom w:val="single" w:sz="2" w:space="0" w:color="auto"/>
              <w:right w:val="nil"/>
            </w:tcBorders>
            <w:shd w:val="clear" w:color="auto" w:fill="auto"/>
            <w:vAlign w:val="bottom"/>
          </w:tcPr>
          <w:p w14:paraId="294490DD"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7858</w:t>
            </w:r>
          </w:p>
        </w:tc>
      </w:tr>
      <w:tr w:rsidR="00302534" w:rsidRPr="00A058B6" w14:paraId="41879A11" w14:textId="77777777" w:rsidTr="00FA26AF">
        <w:tc>
          <w:tcPr>
            <w:tcW w:w="1382" w:type="pct"/>
            <w:tcBorders>
              <w:left w:val="nil"/>
              <w:right w:val="nil"/>
            </w:tcBorders>
          </w:tcPr>
          <w:p w14:paraId="3E8F5547" w14:textId="77777777" w:rsidR="00302534" w:rsidRPr="00A058B6" w:rsidRDefault="00302534" w:rsidP="00302534">
            <w:pPr>
              <w:pStyle w:val="Tabletext"/>
            </w:pPr>
            <w:r w:rsidRPr="00A058B6">
              <w:t>41</w:t>
            </w:r>
          </w:p>
        </w:tc>
        <w:tc>
          <w:tcPr>
            <w:tcW w:w="904" w:type="pct"/>
            <w:tcBorders>
              <w:top w:val="single" w:sz="2" w:space="0" w:color="auto"/>
              <w:left w:val="nil"/>
              <w:bottom w:val="single" w:sz="2" w:space="0" w:color="auto"/>
              <w:right w:val="nil"/>
            </w:tcBorders>
            <w:shd w:val="clear" w:color="auto" w:fill="auto"/>
            <w:vAlign w:val="bottom"/>
          </w:tcPr>
          <w:p w14:paraId="1BC75891" w14:textId="77777777" w:rsidR="00302534" w:rsidRPr="00A058B6" w:rsidRDefault="00302534" w:rsidP="00302534">
            <w:pPr>
              <w:pStyle w:val="Tabletext"/>
            </w:pPr>
            <w:r w:rsidRPr="00A058B6">
              <w:t>2</w:t>
            </w:r>
            <w:r w:rsidR="00D7157D">
              <w:t>.</w:t>
            </w:r>
            <w:r w:rsidRPr="00A058B6">
              <w:t>0849</w:t>
            </w:r>
          </w:p>
        </w:tc>
        <w:tc>
          <w:tcPr>
            <w:tcW w:w="904" w:type="pct"/>
            <w:tcBorders>
              <w:top w:val="single" w:sz="2" w:space="0" w:color="auto"/>
              <w:left w:val="nil"/>
              <w:bottom w:val="single" w:sz="2" w:space="0" w:color="auto"/>
              <w:right w:val="nil"/>
            </w:tcBorders>
            <w:shd w:val="clear" w:color="auto" w:fill="auto"/>
            <w:vAlign w:val="bottom"/>
          </w:tcPr>
          <w:p w14:paraId="499D6900" w14:textId="77777777" w:rsidR="00302534" w:rsidRPr="00A058B6" w:rsidRDefault="00302534" w:rsidP="00302534">
            <w:pPr>
              <w:pStyle w:val="Tabletext"/>
            </w:pPr>
            <w:r w:rsidRPr="00A058B6">
              <w:t>1</w:t>
            </w:r>
            <w:r w:rsidR="00D7157D">
              <w:t>.</w:t>
            </w:r>
            <w:r w:rsidRPr="00A058B6">
              <w:t>0626</w:t>
            </w:r>
          </w:p>
        </w:tc>
        <w:tc>
          <w:tcPr>
            <w:tcW w:w="904" w:type="pct"/>
            <w:tcBorders>
              <w:top w:val="single" w:sz="2" w:space="0" w:color="auto"/>
              <w:left w:val="nil"/>
              <w:bottom w:val="single" w:sz="2" w:space="0" w:color="auto"/>
              <w:right w:val="nil"/>
            </w:tcBorders>
            <w:shd w:val="clear" w:color="auto" w:fill="auto"/>
            <w:vAlign w:val="bottom"/>
          </w:tcPr>
          <w:p w14:paraId="36D1F2ED"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6361</w:t>
            </w:r>
          </w:p>
        </w:tc>
        <w:tc>
          <w:tcPr>
            <w:tcW w:w="906" w:type="pct"/>
            <w:tcBorders>
              <w:top w:val="single" w:sz="2" w:space="0" w:color="auto"/>
              <w:left w:val="nil"/>
              <w:bottom w:val="single" w:sz="2" w:space="0" w:color="auto"/>
              <w:right w:val="nil"/>
            </w:tcBorders>
            <w:shd w:val="clear" w:color="auto" w:fill="auto"/>
            <w:vAlign w:val="bottom"/>
          </w:tcPr>
          <w:p w14:paraId="2F614457"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8239</w:t>
            </w:r>
          </w:p>
        </w:tc>
      </w:tr>
      <w:tr w:rsidR="00302534" w:rsidRPr="00A058B6" w14:paraId="172DB7DD" w14:textId="77777777" w:rsidTr="00FA26AF">
        <w:tc>
          <w:tcPr>
            <w:tcW w:w="1382" w:type="pct"/>
            <w:tcBorders>
              <w:left w:val="nil"/>
              <w:right w:val="nil"/>
            </w:tcBorders>
          </w:tcPr>
          <w:p w14:paraId="0A2E5D90" w14:textId="77777777" w:rsidR="00302534" w:rsidRPr="00A058B6" w:rsidRDefault="00302534" w:rsidP="00302534">
            <w:pPr>
              <w:pStyle w:val="Tabletext"/>
            </w:pPr>
            <w:r w:rsidRPr="00A058B6">
              <w:t>42</w:t>
            </w:r>
          </w:p>
        </w:tc>
        <w:tc>
          <w:tcPr>
            <w:tcW w:w="904" w:type="pct"/>
            <w:tcBorders>
              <w:top w:val="single" w:sz="2" w:space="0" w:color="auto"/>
              <w:left w:val="nil"/>
              <w:bottom w:val="single" w:sz="2" w:space="0" w:color="auto"/>
              <w:right w:val="nil"/>
            </w:tcBorders>
            <w:shd w:val="clear" w:color="auto" w:fill="auto"/>
            <w:vAlign w:val="bottom"/>
          </w:tcPr>
          <w:p w14:paraId="2FC8198E" w14:textId="77777777" w:rsidR="00302534" w:rsidRPr="00A058B6" w:rsidRDefault="00302534" w:rsidP="00302534">
            <w:pPr>
              <w:pStyle w:val="Tabletext"/>
            </w:pPr>
            <w:r w:rsidRPr="00A058B6">
              <w:t>2</w:t>
            </w:r>
            <w:r w:rsidR="00D7157D">
              <w:t>.</w:t>
            </w:r>
            <w:r w:rsidRPr="00A058B6">
              <w:t>1482</w:t>
            </w:r>
          </w:p>
        </w:tc>
        <w:tc>
          <w:tcPr>
            <w:tcW w:w="904" w:type="pct"/>
            <w:tcBorders>
              <w:top w:val="single" w:sz="2" w:space="0" w:color="auto"/>
              <w:left w:val="nil"/>
              <w:bottom w:val="single" w:sz="2" w:space="0" w:color="auto"/>
              <w:right w:val="nil"/>
            </w:tcBorders>
            <w:shd w:val="clear" w:color="auto" w:fill="auto"/>
            <w:vAlign w:val="bottom"/>
          </w:tcPr>
          <w:p w14:paraId="2A8937ED" w14:textId="77777777" w:rsidR="00302534" w:rsidRPr="00A058B6" w:rsidRDefault="00302534" w:rsidP="00302534">
            <w:pPr>
              <w:pStyle w:val="Tabletext"/>
            </w:pPr>
            <w:r w:rsidRPr="00A058B6">
              <w:t>1</w:t>
            </w:r>
            <w:r w:rsidR="00D7157D">
              <w:t>.</w:t>
            </w:r>
            <w:r w:rsidRPr="00A058B6">
              <w:t>0968</w:t>
            </w:r>
          </w:p>
        </w:tc>
        <w:tc>
          <w:tcPr>
            <w:tcW w:w="904" w:type="pct"/>
            <w:tcBorders>
              <w:top w:val="single" w:sz="2" w:space="0" w:color="auto"/>
              <w:left w:val="nil"/>
              <w:bottom w:val="single" w:sz="2" w:space="0" w:color="auto"/>
              <w:right w:val="nil"/>
            </w:tcBorders>
            <w:shd w:val="clear" w:color="auto" w:fill="auto"/>
            <w:vAlign w:val="bottom"/>
          </w:tcPr>
          <w:p w14:paraId="6D3342AE"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7068</w:t>
            </w:r>
          </w:p>
        </w:tc>
        <w:tc>
          <w:tcPr>
            <w:tcW w:w="906" w:type="pct"/>
            <w:tcBorders>
              <w:top w:val="single" w:sz="2" w:space="0" w:color="auto"/>
              <w:left w:val="nil"/>
              <w:bottom w:val="single" w:sz="2" w:space="0" w:color="auto"/>
              <w:right w:val="nil"/>
            </w:tcBorders>
            <w:shd w:val="clear" w:color="auto" w:fill="auto"/>
            <w:vAlign w:val="bottom"/>
          </w:tcPr>
          <w:p w14:paraId="62920744"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8621</w:t>
            </w:r>
          </w:p>
        </w:tc>
      </w:tr>
      <w:tr w:rsidR="00302534" w:rsidRPr="00A058B6" w14:paraId="211E5990" w14:textId="77777777" w:rsidTr="00FA26AF">
        <w:tc>
          <w:tcPr>
            <w:tcW w:w="1382" w:type="pct"/>
            <w:tcBorders>
              <w:left w:val="nil"/>
              <w:right w:val="nil"/>
            </w:tcBorders>
          </w:tcPr>
          <w:p w14:paraId="4FF34BF0" w14:textId="77777777" w:rsidR="00302534" w:rsidRPr="00A058B6" w:rsidRDefault="00302534" w:rsidP="00302534">
            <w:pPr>
              <w:pStyle w:val="Tabletext"/>
            </w:pPr>
            <w:r w:rsidRPr="00A058B6">
              <w:t>43</w:t>
            </w:r>
          </w:p>
        </w:tc>
        <w:tc>
          <w:tcPr>
            <w:tcW w:w="904" w:type="pct"/>
            <w:tcBorders>
              <w:top w:val="single" w:sz="2" w:space="0" w:color="auto"/>
              <w:left w:val="nil"/>
              <w:bottom w:val="single" w:sz="2" w:space="0" w:color="auto"/>
              <w:right w:val="nil"/>
            </w:tcBorders>
            <w:shd w:val="clear" w:color="auto" w:fill="auto"/>
            <w:vAlign w:val="bottom"/>
          </w:tcPr>
          <w:p w14:paraId="43B507EF" w14:textId="77777777" w:rsidR="00302534" w:rsidRPr="00A058B6" w:rsidRDefault="00302534" w:rsidP="00302534">
            <w:pPr>
              <w:pStyle w:val="Tabletext"/>
            </w:pPr>
            <w:r w:rsidRPr="00A058B6">
              <w:t>2</w:t>
            </w:r>
            <w:r w:rsidR="00D7157D">
              <w:t>.</w:t>
            </w:r>
            <w:r w:rsidRPr="00A058B6">
              <w:t>2126</w:t>
            </w:r>
          </w:p>
        </w:tc>
        <w:tc>
          <w:tcPr>
            <w:tcW w:w="904" w:type="pct"/>
            <w:tcBorders>
              <w:top w:val="single" w:sz="2" w:space="0" w:color="auto"/>
              <w:left w:val="nil"/>
              <w:bottom w:val="single" w:sz="2" w:space="0" w:color="auto"/>
              <w:right w:val="nil"/>
            </w:tcBorders>
            <w:shd w:val="clear" w:color="auto" w:fill="auto"/>
            <w:vAlign w:val="bottom"/>
          </w:tcPr>
          <w:p w14:paraId="12FE3C2F" w14:textId="77777777" w:rsidR="00302534" w:rsidRPr="00A058B6" w:rsidRDefault="00302534" w:rsidP="00302534">
            <w:pPr>
              <w:pStyle w:val="Tabletext"/>
            </w:pPr>
            <w:r w:rsidRPr="00A058B6">
              <w:t>1</w:t>
            </w:r>
            <w:r w:rsidR="00D7157D">
              <w:t>.</w:t>
            </w:r>
            <w:r w:rsidRPr="00A058B6">
              <w:t>1318</w:t>
            </w:r>
          </w:p>
        </w:tc>
        <w:tc>
          <w:tcPr>
            <w:tcW w:w="904" w:type="pct"/>
            <w:tcBorders>
              <w:top w:val="single" w:sz="2" w:space="0" w:color="auto"/>
              <w:left w:val="nil"/>
              <w:bottom w:val="single" w:sz="2" w:space="0" w:color="auto"/>
              <w:right w:val="nil"/>
            </w:tcBorders>
            <w:shd w:val="clear" w:color="auto" w:fill="auto"/>
            <w:vAlign w:val="bottom"/>
          </w:tcPr>
          <w:p w14:paraId="3E57A12E"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7777</w:t>
            </w:r>
          </w:p>
        </w:tc>
        <w:tc>
          <w:tcPr>
            <w:tcW w:w="906" w:type="pct"/>
            <w:tcBorders>
              <w:top w:val="single" w:sz="2" w:space="0" w:color="auto"/>
              <w:left w:val="nil"/>
              <w:bottom w:val="single" w:sz="2" w:space="0" w:color="auto"/>
              <w:right w:val="nil"/>
            </w:tcBorders>
            <w:shd w:val="clear" w:color="auto" w:fill="auto"/>
            <w:vAlign w:val="bottom"/>
          </w:tcPr>
          <w:p w14:paraId="42CF2DD7"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9005</w:t>
            </w:r>
          </w:p>
        </w:tc>
      </w:tr>
      <w:tr w:rsidR="00302534" w:rsidRPr="00A058B6" w14:paraId="7B9BF631" w14:textId="77777777" w:rsidTr="00FA26AF">
        <w:tc>
          <w:tcPr>
            <w:tcW w:w="1382" w:type="pct"/>
            <w:tcBorders>
              <w:left w:val="nil"/>
              <w:right w:val="nil"/>
            </w:tcBorders>
          </w:tcPr>
          <w:p w14:paraId="245EB597" w14:textId="77777777" w:rsidR="00302534" w:rsidRPr="00A058B6" w:rsidRDefault="00302534" w:rsidP="00302534">
            <w:pPr>
              <w:pStyle w:val="Tabletext"/>
            </w:pPr>
            <w:r w:rsidRPr="00A058B6">
              <w:t>44</w:t>
            </w:r>
          </w:p>
        </w:tc>
        <w:tc>
          <w:tcPr>
            <w:tcW w:w="904" w:type="pct"/>
            <w:tcBorders>
              <w:top w:val="single" w:sz="2" w:space="0" w:color="auto"/>
              <w:left w:val="nil"/>
              <w:bottom w:val="single" w:sz="2" w:space="0" w:color="auto"/>
              <w:right w:val="nil"/>
            </w:tcBorders>
            <w:shd w:val="clear" w:color="auto" w:fill="auto"/>
            <w:vAlign w:val="bottom"/>
          </w:tcPr>
          <w:p w14:paraId="6069383F" w14:textId="77777777" w:rsidR="00302534" w:rsidRPr="00A058B6" w:rsidRDefault="00302534" w:rsidP="00302534">
            <w:pPr>
              <w:pStyle w:val="Tabletext"/>
            </w:pPr>
            <w:r w:rsidRPr="00A058B6">
              <w:t>2</w:t>
            </w:r>
            <w:r w:rsidR="00D7157D">
              <w:t>.</w:t>
            </w:r>
            <w:r w:rsidRPr="00A058B6">
              <w:t>2783</w:t>
            </w:r>
          </w:p>
        </w:tc>
        <w:tc>
          <w:tcPr>
            <w:tcW w:w="904" w:type="pct"/>
            <w:tcBorders>
              <w:top w:val="single" w:sz="2" w:space="0" w:color="auto"/>
              <w:left w:val="nil"/>
              <w:bottom w:val="single" w:sz="2" w:space="0" w:color="auto"/>
              <w:right w:val="nil"/>
            </w:tcBorders>
            <w:shd w:val="clear" w:color="auto" w:fill="auto"/>
            <w:vAlign w:val="bottom"/>
          </w:tcPr>
          <w:p w14:paraId="3F9FB349" w14:textId="77777777" w:rsidR="00302534" w:rsidRPr="00A058B6" w:rsidRDefault="00302534" w:rsidP="00302534">
            <w:pPr>
              <w:pStyle w:val="Tabletext"/>
            </w:pPr>
            <w:r w:rsidRPr="00A058B6">
              <w:t>1</w:t>
            </w:r>
            <w:r w:rsidR="00D7157D">
              <w:t>.</w:t>
            </w:r>
            <w:r w:rsidRPr="00A058B6">
              <w:t>1674</w:t>
            </w:r>
          </w:p>
        </w:tc>
        <w:tc>
          <w:tcPr>
            <w:tcW w:w="904" w:type="pct"/>
            <w:tcBorders>
              <w:top w:val="single" w:sz="2" w:space="0" w:color="auto"/>
              <w:left w:val="nil"/>
              <w:bottom w:val="single" w:sz="2" w:space="0" w:color="auto"/>
              <w:right w:val="nil"/>
            </w:tcBorders>
            <w:shd w:val="clear" w:color="auto" w:fill="auto"/>
            <w:vAlign w:val="bottom"/>
          </w:tcPr>
          <w:p w14:paraId="6CADCEA9"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8489</w:t>
            </w:r>
          </w:p>
        </w:tc>
        <w:tc>
          <w:tcPr>
            <w:tcW w:w="906" w:type="pct"/>
            <w:tcBorders>
              <w:top w:val="single" w:sz="2" w:space="0" w:color="auto"/>
              <w:left w:val="nil"/>
              <w:bottom w:val="single" w:sz="2" w:space="0" w:color="auto"/>
              <w:right w:val="nil"/>
            </w:tcBorders>
            <w:shd w:val="clear" w:color="auto" w:fill="auto"/>
            <w:vAlign w:val="bottom"/>
          </w:tcPr>
          <w:p w14:paraId="62DE0CBF"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9390</w:t>
            </w:r>
          </w:p>
        </w:tc>
      </w:tr>
      <w:tr w:rsidR="00302534" w:rsidRPr="00A058B6" w14:paraId="7357ED9B" w14:textId="77777777" w:rsidTr="00FA26AF">
        <w:tc>
          <w:tcPr>
            <w:tcW w:w="1382" w:type="pct"/>
            <w:tcBorders>
              <w:left w:val="nil"/>
              <w:right w:val="nil"/>
            </w:tcBorders>
          </w:tcPr>
          <w:p w14:paraId="2940AAD7" w14:textId="77777777" w:rsidR="00302534" w:rsidRPr="00A058B6" w:rsidRDefault="00302534" w:rsidP="00302534">
            <w:pPr>
              <w:pStyle w:val="Tabletext"/>
            </w:pPr>
            <w:r w:rsidRPr="00A058B6">
              <w:t>45</w:t>
            </w:r>
          </w:p>
        </w:tc>
        <w:tc>
          <w:tcPr>
            <w:tcW w:w="904" w:type="pct"/>
            <w:tcBorders>
              <w:top w:val="single" w:sz="2" w:space="0" w:color="auto"/>
              <w:left w:val="nil"/>
              <w:bottom w:val="single" w:sz="2" w:space="0" w:color="auto"/>
              <w:right w:val="nil"/>
            </w:tcBorders>
            <w:shd w:val="clear" w:color="auto" w:fill="auto"/>
            <w:vAlign w:val="bottom"/>
          </w:tcPr>
          <w:p w14:paraId="30E6C975" w14:textId="77777777" w:rsidR="00302534" w:rsidRPr="00A058B6" w:rsidRDefault="00302534" w:rsidP="00302534">
            <w:pPr>
              <w:pStyle w:val="Tabletext"/>
            </w:pPr>
            <w:r w:rsidRPr="00A058B6">
              <w:t>2</w:t>
            </w:r>
            <w:r w:rsidR="00D7157D">
              <w:t>.</w:t>
            </w:r>
            <w:r w:rsidRPr="00A058B6">
              <w:t>3448</w:t>
            </w:r>
          </w:p>
        </w:tc>
        <w:tc>
          <w:tcPr>
            <w:tcW w:w="904" w:type="pct"/>
            <w:tcBorders>
              <w:top w:val="single" w:sz="2" w:space="0" w:color="auto"/>
              <w:left w:val="nil"/>
              <w:bottom w:val="single" w:sz="2" w:space="0" w:color="auto"/>
              <w:right w:val="nil"/>
            </w:tcBorders>
            <w:shd w:val="clear" w:color="auto" w:fill="auto"/>
            <w:vAlign w:val="bottom"/>
          </w:tcPr>
          <w:p w14:paraId="20CB4EB2" w14:textId="77777777" w:rsidR="00302534" w:rsidRPr="00A058B6" w:rsidRDefault="00302534" w:rsidP="00302534">
            <w:pPr>
              <w:pStyle w:val="Tabletext"/>
            </w:pPr>
            <w:r w:rsidRPr="00A058B6">
              <w:t>1</w:t>
            </w:r>
            <w:r w:rsidR="00D7157D">
              <w:t>.</w:t>
            </w:r>
            <w:r w:rsidRPr="00A058B6">
              <w:t>2035</w:t>
            </w:r>
          </w:p>
        </w:tc>
        <w:tc>
          <w:tcPr>
            <w:tcW w:w="904" w:type="pct"/>
            <w:tcBorders>
              <w:top w:val="single" w:sz="2" w:space="0" w:color="auto"/>
              <w:left w:val="nil"/>
              <w:bottom w:val="single" w:sz="2" w:space="0" w:color="auto"/>
              <w:right w:val="nil"/>
            </w:tcBorders>
            <w:shd w:val="clear" w:color="auto" w:fill="auto"/>
            <w:vAlign w:val="bottom"/>
          </w:tcPr>
          <w:p w14:paraId="3296B731"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9199</w:t>
            </w:r>
          </w:p>
        </w:tc>
        <w:tc>
          <w:tcPr>
            <w:tcW w:w="906" w:type="pct"/>
            <w:tcBorders>
              <w:top w:val="single" w:sz="2" w:space="0" w:color="auto"/>
              <w:left w:val="nil"/>
              <w:bottom w:val="single" w:sz="2" w:space="0" w:color="auto"/>
              <w:right w:val="nil"/>
            </w:tcBorders>
            <w:shd w:val="clear" w:color="auto" w:fill="auto"/>
            <w:vAlign w:val="bottom"/>
          </w:tcPr>
          <w:p w14:paraId="5AFE92F0"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9775</w:t>
            </w:r>
          </w:p>
        </w:tc>
      </w:tr>
      <w:tr w:rsidR="00302534" w:rsidRPr="00A058B6" w14:paraId="795BF0F8" w14:textId="77777777" w:rsidTr="00FA26AF">
        <w:tc>
          <w:tcPr>
            <w:tcW w:w="1382" w:type="pct"/>
            <w:tcBorders>
              <w:left w:val="nil"/>
              <w:right w:val="nil"/>
            </w:tcBorders>
          </w:tcPr>
          <w:p w14:paraId="0F434D25" w14:textId="77777777" w:rsidR="00302534" w:rsidRPr="00A058B6" w:rsidRDefault="00302534" w:rsidP="00302534">
            <w:pPr>
              <w:pStyle w:val="Tabletext"/>
            </w:pPr>
            <w:r w:rsidRPr="00A058B6">
              <w:t>46</w:t>
            </w:r>
          </w:p>
        </w:tc>
        <w:tc>
          <w:tcPr>
            <w:tcW w:w="904" w:type="pct"/>
            <w:tcBorders>
              <w:top w:val="single" w:sz="2" w:space="0" w:color="auto"/>
              <w:left w:val="nil"/>
              <w:bottom w:val="single" w:sz="2" w:space="0" w:color="auto"/>
              <w:right w:val="nil"/>
            </w:tcBorders>
            <w:shd w:val="clear" w:color="auto" w:fill="auto"/>
            <w:vAlign w:val="bottom"/>
          </w:tcPr>
          <w:p w14:paraId="23F34568" w14:textId="77777777" w:rsidR="00302534" w:rsidRPr="00A058B6" w:rsidRDefault="00302534" w:rsidP="00302534">
            <w:pPr>
              <w:pStyle w:val="Tabletext"/>
            </w:pPr>
            <w:r w:rsidRPr="00A058B6">
              <w:t>2</w:t>
            </w:r>
            <w:r w:rsidR="00D7157D">
              <w:t>.</w:t>
            </w:r>
            <w:r w:rsidRPr="00A058B6">
              <w:t>4122</w:t>
            </w:r>
          </w:p>
        </w:tc>
        <w:tc>
          <w:tcPr>
            <w:tcW w:w="904" w:type="pct"/>
            <w:tcBorders>
              <w:top w:val="single" w:sz="2" w:space="0" w:color="auto"/>
              <w:left w:val="nil"/>
              <w:bottom w:val="single" w:sz="2" w:space="0" w:color="auto"/>
              <w:right w:val="nil"/>
            </w:tcBorders>
            <w:shd w:val="clear" w:color="auto" w:fill="auto"/>
            <w:vAlign w:val="bottom"/>
          </w:tcPr>
          <w:p w14:paraId="46BA6CC4" w14:textId="77777777" w:rsidR="00302534" w:rsidRPr="00A058B6" w:rsidRDefault="00302534" w:rsidP="00302534">
            <w:pPr>
              <w:pStyle w:val="Tabletext"/>
            </w:pPr>
            <w:r w:rsidRPr="00A058B6">
              <w:t>1</w:t>
            </w:r>
            <w:r w:rsidR="00D7157D">
              <w:t>.</w:t>
            </w:r>
            <w:r w:rsidRPr="00A058B6">
              <w:t>2403</w:t>
            </w:r>
          </w:p>
        </w:tc>
        <w:tc>
          <w:tcPr>
            <w:tcW w:w="904" w:type="pct"/>
            <w:tcBorders>
              <w:top w:val="single" w:sz="2" w:space="0" w:color="auto"/>
              <w:left w:val="nil"/>
              <w:bottom w:val="single" w:sz="2" w:space="0" w:color="auto"/>
              <w:right w:val="nil"/>
            </w:tcBorders>
            <w:shd w:val="clear" w:color="auto" w:fill="auto"/>
            <w:vAlign w:val="bottom"/>
          </w:tcPr>
          <w:p w14:paraId="78EB67B4"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9908</w:t>
            </w:r>
          </w:p>
        </w:tc>
        <w:tc>
          <w:tcPr>
            <w:tcW w:w="906" w:type="pct"/>
            <w:tcBorders>
              <w:top w:val="single" w:sz="2" w:space="0" w:color="auto"/>
              <w:left w:val="nil"/>
              <w:bottom w:val="single" w:sz="2" w:space="0" w:color="auto"/>
              <w:right w:val="nil"/>
            </w:tcBorders>
            <w:shd w:val="clear" w:color="auto" w:fill="auto"/>
            <w:vAlign w:val="bottom"/>
          </w:tcPr>
          <w:p w14:paraId="79F64FA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0162</w:t>
            </w:r>
          </w:p>
        </w:tc>
      </w:tr>
      <w:tr w:rsidR="00302534" w:rsidRPr="00A058B6" w14:paraId="0922FA9C" w14:textId="77777777" w:rsidTr="00FA26AF">
        <w:tc>
          <w:tcPr>
            <w:tcW w:w="1382" w:type="pct"/>
            <w:tcBorders>
              <w:left w:val="nil"/>
              <w:right w:val="nil"/>
            </w:tcBorders>
          </w:tcPr>
          <w:p w14:paraId="573858CC" w14:textId="77777777" w:rsidR="00302534" w:rsidRPr="00A058B6" w:rsidRDefault="00302534" w:rsidP="00302534">
            <w:pPr>
              <w:pStyle w:val="Tabletext"/>
            </w:pPr>
            <w:r w:rsidRPr="00A058B6">
              <w:t>47</w:t>
            </w:r>
          </w:p>
        </w:tc>
        <w:tc>
          <w:tcPr>
            <w:tcW w:w="904" w:type="pct"/>
            <w:tcBorders>
              <w:top w:val="single" w:sz="2" w:space="0" w:color="auto"/>
              <w:left w:val="nil"/>
              <w:bottom w:val="single" w:sz="2" w:space="0" w:color="auto"/>
              <w:right w:val="nil"/>
            </w:tcBorders>
            <w:shd w:val="clear" w:color="auto" w:fill="auto"/>
            <w:vAlign w:val="bottom"/>
          </w:tcPr>
          <w:p w14:paraId="27B369F2" w14:textId="77777777" w:rsidR="00302534" w:rsidRPr="00A058B6" w:rsidRDefault="00302534" w:rsidP="00302534">
            <w:pPr>
              <w:pStyle w:val="Tabletext"/>
            </w:pPr>
            <w:r w:rsidRPr="00A058B6">
              <w:t>2</w:t>
            </w:r>
            <w:r w:rsidR="00D7157D">
              <w:t>.</w:t>
            </w:r>
            <w:r w:rsidRPr="00A058B6">
              <w:t>4806</w:t>
            </w:r>
          </w:p>
        </w:tc>
        <w:tc>
          <w:tcPr>
            <w:tcW w:w="904" w:type="pct"/>
            <w:tcBorders>
              <w:top w:val="single" w:sz="2" w:space="0" w:color="auto"/>
              <w:left w:val="nil"/>
              <w:bottom w:val="single" w:sz="2" w:space="0" w:color="auto"/>
              <w:right w:val="nil"/>
            </w:tcBorders>
            <w:shd w:val="clear" w:color="auto" w:fill="auto"/>
            <w:vAlign w:val="bottom"/>
          </w:tcPr>
          <w:p w14:paraId="28F4289B" w14:textId="77777777" w:rsidR="00302534" w:rsidRPr="00A058B6" w:rsidRDefault="00302534" w:rsidP="00302534">
            <w:pPr>
              <w:pStyle w:val="Tabletext"/>
            </w:pPr>
            <w:r w:rsidRPr="00A058B6">
              <w:t>1</w:t>
            </w:r>
            <w:r w:rsidR="00D7157D">
              <w:t>.</w:t>
            </w:r>
            <w:r w:rsidRPr="00A058B6">
              <w:t>2776</w:t>
            </w:r>
          </w:p>
        </w:tc>
        <w:tc>
          <w:tcPr>
            <w:tcW w:w="904" w:type="pct"/>
            <w:tcBorders>
              <w:top w:val="single" w:sz="2" w:space="0" w:color="auto"/>
              <w:left w:val="nil"/>
              <w:bottom w:val="single" w:sz="2" w:space="0" w:color="auto"/>
              <w:right w:val="nil"/>
            </w:tcBorders>
            <w:shd w:val="clear" w:color="auto" w:fill="auto"/>
            <w:vAlign w:val="bottom"/>
          </w:tcPr>
          <w:p w14:paraId="39C684EC"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0617</w:t>
            </w:r>
          </w:p>
        </w:tc>
        <w:tc>
          <w:tcPr>
            <w:tcW w:w="906" w:type="pct"/>
            <w:tcBorders>
              <w:top w:val="single" w:sz="2" w:space="0" w:color="auto"/>
              <w:left w:val="nil"/>
              <w:bottom w:val="single" w:sz="2" w:space="0" w:color="auto"/>
              <w:right w:val="nil"/>
            </w:tcBorders>
            <w:shd w:val="clear" w:color="auto" w:fill="auto"/>
            <w:vAlign w:val="bottom"/>
          </w:tcPr>
          <w:p w14:paraId="0FE61792"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0548</w:t>
            </w:r>
          </w:p>
        </w:tc>
      </w:tr>
      <w:tr w:rsidR="00302534" w:rsidRPr="00A058B6" w14:paraId="3A6AC2FF" w14:textId="77777777" w:rsidTr="00FA26AF">
        <w:tc>
          <w:tcPr>
            <w:tcW w:w="1382" w:type="pct"/>
            <w:tcBorders>
              <w:left w:val="nil"/>
              <w:right w:val="nil"/>
            </w:tcBorders>
          </w:tcPr>
          <w:p w14:paraId="1DF4D97D" w14:textId="77777777" w:rsidR="00302534" w:rsidRPr="00A058B6" w:rsidRDefault="00302534" w:rsidP="00302534">
            <w:pPr>
              <w:pStyle w:val="Tabletext"/>
            </w:pPr>
            <w:r w:rsidRPr="00A058B6">
              <w:t>48</w:t>
            </w:r>
          </w:p>
        </w:tc>
        <w:tc>
          <w:tcPr>
            <w:tcW w:w="904" w:type="pct"/>
            <w:tcBorders>
              <w:top w:val="single" w:sz="2" w:space="0" w:color="auto"/>
              <w:left w:val="nil"/>
              <w:bottom w:val="single" w:sz="2" w:space="0" w:color="auto"/>
              <w:right w:val="nil"/>
            </w:tcBorders>
            <w:shd w:val="clear" w:color="auto" w:fill="auto"/>
            <w:vAlign w:val="bottom"/>
          </w:tcPr>
          <w:p w14:paraId="55484755" w14:textId="77777777" w:rsidR="00302534" w:rsidRPr="00A058B6" w:rsidRDefault="00302534" w:rsidP="00302534">
            <w:pPr>
              <w:pStyle w:val="Tabletext"/>
            </w:pPr>
            <w:r w:rsidRPr="00A058B6">
              <w:t>2</w:t>
            </w:r>
            <w:r w:rsidR="00D7157D">
              <w:t>.</w:t>
            </w:r>
            <w:r w:rsidRPr="00A058B6">
              <w:t>5496</w:t>
            </w:r>
          </w:p>
        </w:tc>
        <w:tc>
          <w:tcPr>
            <w:tcW w:w="904" w:type="pct"/>
            <w:tcBorders>
              <w:top w:val="single" w:sz="2" w:space="0" w:color="auto"/>
              <w:left w:val="nil"/>
              <w:bottom w:val="single" w:sz="2" w:space="0" w:color="auto"/>
              <w:right w:val="nil"/>
            </w:tcBorders>
            <w:shd w:val="clear" w:color="auto" w:fill="auto"/>
            <w:vAlign w:val="bottom"/>
          </w:tcPr>
          <w:p w14:paraId="50E56730" w14:textId="77777777" w:rsidR="00302534" w:rsidRPr="00A058B6" w:rsidRDefault="00302534" w:rsidP="00302534">
            <w:pPr>
              <w:pStyle w:val="Tabletext"/>
            </w:pPr>
            <w:r w:rsidRPr="00A058B6">
              <w:t>1</w:t>
            </w:r>
            <w:r w:rsidR="00D7157D">
              <w:t>.</w:t>
            </w:r>
            <w:r w:rsidRPr="00A058B6">
              <w:t>3154</w:t>
            </w:r>
          </w:p>
        </w:tc>
        <w:tc>
          <w:tcPr>
            <w:tcW w:w="904" w:type="pct"/>
            <w:tcBorders>
              <w:top w:val="single" w:sz="2" w:space="0" w:color="auto"/>
              <w:left w:val="nil"/>
              <w:bottom w:val="single" w:sz="2" w:space="0" w:color="auto"/>
              <w:right w:val="nil"/>
            </w:tcBorders>
            <w:shd w:val="clear" w:color="auto" w:fill="auto"/>
            <w:vAlign w:val="bottom"/>
          </w:tcPr>
          <w:p w14:paraId="0BB47814"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1320</w:t>
            </w:r>
          </w:p>
        </w:tc>
        <w:tc>
          <w:tcPr>
            <w:tcW w:w="906" w:type="pct"/>
            <w:tcBorders>
              <w:top w:val="single" w:sz="2" w:space="0" w:color="auto"/>
              <w:left w:val="nil"/>
              <w:bottom w:val="single" w:sz="2" w:space="0" w:color="auto"/>
              <w:right w:val="nil"/>
            </w:tcBorders>
            <w:shd w:val="clear" w:color="auto" w:fill="auto"/>
            <w:vAlign w:val="bottom"/>
          </w:tcPr>
          <w:p w14:paraId="256F505D"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0933</w:t>
            </w:r>
          </w:p>
        </w:tc>
      </w:tr>
      <w:tr w:rsidR="00302534" w:rsidRPr="00A058B6" w14:paraId="6B494DE0" w14:textId="77777777" w:rsidTr="00FA26AF">
        <w:tc>
          <w:tcPr>
            <w:tcW w:w="1382" w:type="pct"/>
            <w:tcBorders>
              <w:left w:val="nil"/>
              <w:right w:val="nil"/>
            </w:tcBorders>
          </w:tcPr>
          <w:p w14:paraId="2CC787DB" w14:textId="77777777" w:rsidR="00302534" w:rsidRPr="00A058B6" w:rsidRDefault="00302534" w:rsidP="00302534">
            <w:pPr>
              <w:pStyle w:val="Tabletext"/>
            </w:pPr>
            <w:r w:rsidRPr="00A058B6">
              <w:t>49</w:t>
            </w:r>
          </w:p>
        </w:tc>
        <w:tc>
          <w:tcPr>
            <w:tcW w:w="904" w:type="pct"/>
            <w:tcBorders>
              <w:top w:val="single" w:sz="2" w:space="0" w:color="auto"/>
              <w:left w:val="nil"/>
              <w:bottom w:val="single" w:sz="2" w:space="0" w:color="auto"/>
              <w:right w:val="nil"/>
            </w:tcBorders>
            <w:shd w:val="clear" w:color="auto" w:fill="auto"/>
            <w:vAlign w:val="bottom"/>
          </w:tcPr>
          <w:p w14:paraId="7DB3A084" w14:textId="77777777" w:rsidR="00302534" w:rsidRPr="00A058B6" w:rsidRDefault="00302534" w:rsidP="00302534">
            <w:pPr>
              <w:pStyle w:val="Tabletext"/>
            </w:pPr>
            <w:r w:rsidRPr="00A058B6">
              <w:t>2</w:t>
            </w:r>
            <w:r w:rsidR="00D7157D">
              <w:t>.</w:t>
            </w:r>
            <w:r w:rsidRPr="00A058B6">
              <w:t>6193</w:t>
            </w:r>
          </w:p>
        </w:tc>
        <w:tc>
          <w:tcPr>
            <w:tcW w:w="904" w:type="pct"/>
            <w:tcBorders>
              <w:top w:val="single" w:sz="2" w:space="0" w:color="auto"/>
              <w:left w:val="nil"/>
              <w:bottom w:val="single" w:sz="2" w:space="0" w:color="auto"/>
              <w:right w:val="nil"/>
            </w:tcBorders>
            <w:shd w:val="clear" w:color="auto" w:fill="auto"/>
            <w:vAlign w:val="bottom"/>
          </w:tcPr>
          <w:p w14:paraId="6F21DE7D" w14:textId="77777777" w:rsidR="00302534" w:rsidRPr="00A058B6" w:rsidRDefault="00302534" w:rsidP="00302534">
            <w:pPr>
              <w:pStyle w:val="Tabletext"/>
            </w:pPr>
            <w:r w:rsidRPr="00A058B6">
              <w:t>1</w:t>
            </w:r>
            <w:r w:rsidR="00D7157D">
              <w:t>.</w:t>
            </w:r>
            <w:r w:rsidRPr="00A058B6">
              <w:t>3539</w:t>
            </w:r>
          </w:p>
        </w:tc>
        <w:tc>
          <w:tcPr>
            <w:tcW w:w="904" w:type="pct"/>
            <w:tcBorders>
              <w:top w:val="single" w:sz="2" w:space="0" w:color="auto"/>
              <w:left w:val="nil"/>
              <w:bottom w:val="single" w:sz="2" w:space="0" w:color="auto"/>
              <w:right w:val="nil"/>
            </w:tcBorders>
            <w:shd w:val="clear" w:color="auto" w:fill="auto"/>
            <w:vAlign w:val="bottom"/>
          </w:tcPr>
          <w:p w14:paraId="0161490A"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2018</w:t>
            </w:r>
          </w:p>
        </w:tc>
        <w:tc>
          <w:tcPr>
            <w:tcW w:w="906" w:type="pct"/>
            <w:tcBorders>
              <w:top w:val="single" w:sz="2" w:space="0" w:color="auto"/>
              <w:left w:val="nil"/>
              <w:bottom w:val="single" w:sz="2" w:space="0" w:color="auto"/>
              <w:right w:val="nil"/>
            </w:tcBorders>
            <w:shd w:val="clear" w:color="auto" w:fill="auto"/>
            <w:vAlign w:val="bottom"/>
          </w:tcPr>
          <w:p w14:paraId="0C3BC03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1318</w:t>
            </w:r>
          </w:p>
        </w:tc>
      </w:tr>
      <w:tr w:rsidR="00302534" w:rsidRPr="00A058B6" w14:paraId="73D290CA" w14:textId="77777777" w:rsidTr="00FA26AF">
        <w:tc>
          <w:tcPr>
            <w:tcW w:w="1382" w:type="pct"/>
            <w:tcBorders>
              <w:left w:val="nil"/>
              <w:right w:val="nil"/>
            </w:tcBorders>
          </w:tcPr>
          <w:p w14:paraId="763D7E8C" w14:textId="77777777" w:rsidR="00302534" w:rsidRPr="00A058B6" w:rsidRDefault="00302534" w:rsidP="00302534">
            <w:pPr>
              <w:pStyle w:val="Tabletext"/>
            </w:pPr>
            <w:r w:rsidRPr="00A058B6">
              <w:t>50</w:t>
            </w:r>
          </w:p>
        </w:tc>
        <w:tc>
          <w:tcPr>
            <w:tcW w:w="904" w:type="pct"/>
            <w:tcBorders>
              <w:top w:val="single" w:sz="2" w:space="0" w:color="auto"/>
              <w:left w:val="nil"/>
              <w:bottom w:val="single" w:sz="2" w:space="0" w:color="auto"/>
              <w:right w:val="nil"/>
            </w:tcBorders>
            <w:shd w:val="clear" w:color="auto" w:fill="auto"/>
            <w:vAlign w:val="bottom"/>
          </w:tcPr>
          <w:p w14:paraId="302CC64F" w14:textId="77777777" w:rsidR="00302534" w:rsidRPr="00A058B6" w:rsidRDefault="00302534" w:rsidP="00302534">
            <w:pPr>
              <w:pStyle w:val="Tabletext"/>
            </w:pPr>
            <w:r w:rsidRPr="00A058B6">
              <w:t>2</w:t>
            </w:r>
            <w:r w:rsidR="00D7157D">
              <w:t>.</w:t>
            </w:r>
            <w:r w:rsidRPr="00A058B6">
              <w:t>6902</w:t>
            </w:r>
          </w:p>
        </w:tc>
        <w:tc>
          <w:tcPr>
            <w:tcW w:w="904" w:type="pct"/>
            <w:tcBorders>
              <w:top w:val="single" w:sz="2" w:space="0" w:color="auto"/>
              <w:left w:val="nil"/>
              <w:bottom w:val="single" w:sz="2" w:space="0" w:color="auto"/>
              <w:right w:val="nil"/>
            </w:tcBorders>
            <w:shd w:val="clear" w:color="auto" w:fill="auto"/>
            <w:vAlign w:val="bottom"/>
          </w:tcPr>
          <w:p w14:paraId="40C08B82" w14:textId="77777777" w:rsidR="00302534" w:rsidRPr="00A058B6" w:rsidRDefault="00302534" w:rsidP="00302534">
            <w:pPr>
              <w:pStyle w:val="Tabletext"/>
            </w:pPr>
            <w:r w:rsidRPr="00A058B6">
              <w:t>1</w:t>
            </w:r>
            <w:r w:rsidR="00D7157D">
              <w:t>.</w:t>
            </w:r>
            <w:r w:rsidRPr="00A058B6">
              <w:t>3928</w:t>
            </w:r>
          </w:p>
        </w:tc>
        <w:tc>
          <w:tcPr>
            <w:tcW w:w="904" w:type="pct"/>
            <w:tcBorders>
              <w:top w:val="single" w:sz="2" w:space="0" w:color="auto"/>
              <w:left w:val="nil"/>
              <w:bottom w:val="single" w:sz="2" w:space="0" w:color="auto"/>
              <w:right w:val="nil"/>
            </w:tcBorders>
            <w:shd w:val="clear" w:color="auto" w:fill="auto"/>
            <w:vAlign w:val="bottom"/>
          </w:tcPr>
          <w:p w14:paraId="35B4C6A8"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2718</w:t>
            </w:r>
          </w:p>
        </w:tc>
        <w:tc>
          <w:tcPr>
            <w:tcW w:w="906" w:type="pct"/>
            <w:tcBorders>
              <w:top w:val="single" w:sz="2" w:space="0" w:color="auto"/>
              <w:left w:val="nil"/>
              <w:bottom w:val="single" w:sz="2" w:space="0" w:color="auto"/>
              <w:right w:val="nil"/>
            </w:tcBorders>
            <w:shd w:val="clear" w:color="auto" w:fill="auto"/>
            <w:vAlign w:val="bottom"/>
          </w:tcPr>
          <w:p w14:paraId="7335D8F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1702</w:t>
            </w:r>
          </w:p>
        </w:tc>
      </w:tr>
      <w:tr w:rsidR="00302534" w:rsidRPr="00A058B6" w14:paraId="22607AC4" w14:textId="77777777" w:rsidTr="00FA26AF">
        <w:tc>
          <w:tcPr>
            <w:tcW w:w="1382" w:type="pct"/>
            <w:tcBorders>
              <w:left w:val="nil"/>
              <w:right w:val="nil"/>
            </w:tcBorders>
          </w:tcPr>
          <w:p w14:paraId="700993C9" w14:textId="77777777" w:rsidR="00302534" w:rsidRPr="00A058B6" w:rsidRDefault="00302534" w:rsidP="00302534">
            <w:pPr>
              <w:pStyle w:val="Tabletext"/>
            </w:pPr>
            <w:r w:rsidRPr="00A058B6">
              <w:t>51</w:t>
            </w:r>
          </w:p>
        </w:tc>
        <w:tc>
          <w:tcPr>
            <w:tcW w:w="904" w:type="pct"/>
            <w:tcBorders>
              <w:top w:val="single" w:sz="2" w:space="0" w:color="auto"/>
              <w:left w:val="nil"/>
              <w:bottom w:val="single" w:sz="2" w:space="0" w:color="auto"/>
              <w:right w:val="nil"/>
            </w:tcBorders>
            <w:shd w:val="clear" w:color="auto" w:fill="auto"/>
            <w:vAlign w:val="bottom"/>
          </w:tcPr>
          <w:p w14:paraId="3A777058" w14:textId="77777777" w:rsidR="00302534" w:rsidRPr="00A058B6" w:rsidRDefault="00302534" w:rsidP="00302534">
            <w:pPr>
              <w:pStyle w:val="Tabletext"/>
            </w:pPr>
            <w:r w:rsidRPr="00A058B6">
              <w:t>2</w:t>
            </w:r>
            <w:r w:rsidR="00D7157D">
              <w:t>.</w:t>
            </w:r>
            <w:r w:rsidRPr="00A058B6">
              <w:t>7620</w:t>
            </w:r>
          </w:p>
        </w:tc>
        <w:tc>
          <w:tcPr>
            <w:tcW w:w="904" w:type="pct"/>
            <w:tcBorders>
              <w:top w:val="single" w:sz="2" w:space="0" w:color="auto"/>
              <w:left w:val="nil"/>
              <w:bottom w:val="single" w:sz="2" w:space="0" w:color="auto"/>
              <w:right w:val="nil"/>
            </w:tcBorders>
            <w:shd w:val="clear" w:color="auto" w:fill="auto"/>
            <w:vAlign w:val="bottom"/>
          </w:tcPr>
          <w:p w14:paraId="131DB038" w14:textId="77777777" w:rsidR="00302534" w:rsidRPr="00A058B6" w:rsidRDefault="00302534" w:rsidP="00302534">
            <w:pPr>
              <w:pStyle w:val="Tabletext"/>
            </w:pPr>
            <w:r w:rsidRPr="00A058B6">
              <w:t>1</w:t>
            </w:r>
            <w:r w:rsidR="00D7157D">
              <w:t>.</w:t>
            </w:r>
            <w:r w:rsidRPr="00A058B6">
              <w:t>4322</w:t>
            </w:r>
          </w:p>
        </w:tc>
        <w:tc>
          <w:tcPr>
            <w:tcW w:w="904" w:type="pct"/>
            <w:tcBorders>
              <w:top w:val="single" w:sz="2" w:space="0" w:color="auto"/>
              <w:left w:val="nil"/>
              <w:bottom w:val="single" w:sz="2" w:space="0" w:color="auto"/>
              <w:right w:val="nil"/>
            </w:tcBorders>
            <w:shd w:val="clear" w:color="auto" w:fill="auto"/>
            <w:vAlign w:val="bottom"/>
          </w:tcPr>
          <w:p w14:paraId="74FE1C6C"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3414</w:t>
            </w:r>
          </w:p>
        </w:tc>
        <w:tc>
          <w:tcPr>
            <w:tcW w:w="906" w:type="pct"/>
            <w:tcBorders>
              <w:top w:val="single" w:sz="2" w:space="0" w:color="auto"/>
              <w:left w:val="nil"/>
              <w:bottom w:val="single" w:sz="2" w:space="0" w:color="auto"/>
              <w:right w:val="nil"/>
            </w:tcBorders>
            <w:shd w:val="clear" w:color="auto" w:fill="auto"/>
            <w:vAlign w:val="bottom"/>
          </w:tcPr>
          <w:p w14:paraId="53955165"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2084</w:t>
            </w:r>
          </w:p>
        </w:tc>
      </w:tr>
      <w:tr w:rsidR="00302534" w:rsidRPr="00A058B6" w14:paraId="01D54DD6" w14:textId="77777777" w:rsidTr="00FA26AF">
        <w:tc>
          <w:tcPr>
            <w:tcW w:w="1382" w:type="pct"/>
            <w:tcBorders>
              <w:left w:val="nil"/>
              <w:right w:val="nil"/>
            </w:tcBorders>
          </w:tcPr>
          <w:p w14:paraId="6A527A55" w14:textId="77777777" w:rsidR="00302534" w:rsidRPr="00A058B6" w:rsidRDefault="00302534" w:rsidP="00302534">
            <w:pPr>
              <w:pStyle w:val="Tabletext"/>
            </w:pPr>
            <w:r w:rsidRPr="00A058B6">
              <w:t>52</w:t>
            </w:r>
          </w:p>
        </w:tc>
        <w:tc>
          <w:tcPr>
            <w:tcW w:w="904" w:type="pct"/>
            <w:tcBorders>
              <w:top w:val="single" w:sz="2" w:space="0" w:color="auto"/>
              <w:left w:val="nil"/>
              <w:bottom w:val="single" w:sz="2" w:space="0" w:color="auto"/>
              <w:right w:val="nil"/>
            </w:tcBorders>
            <w:shd w:val="clear" w:color="auto" w:fill="auto"/>
            <w:vAlign w:val="bottom"/>
          </w:tcPr>
          <w:p w14:paraId="792BF381" w14:textId="77777777" w:rsidR="00302534" w:rsidRPr="00A058B6" w:rsidRDefault="00302534" w:rsidP="00302534">
            <w:pPr>
              <w:pStyle w:val="Tabletext"/>
            </w:pPr>
            <w:r w:rsidRPr="00A058B6">
              <w:t>2</w:t>
            </w:r>
            <w:r w:rsidR="00D7157D">
              <w:t>.</w:t>
            </w:r>
            <w:r w:rsidRPr="00A058B6">
              <w:t>8358</w:t>
            </w:r>
          </w:p>
        </w:tc>
        <w:tc>
          <w:tcPr>
            <w:tcW w:w="904" w:type="pct"/>
            <w:tcBorders>
              <w:top w:val="single" w:sz="2" w:space="0" w:color="auto"/>
              <w:left w:val="nil"/>
              <w:bottom w:val="single" w:sz="2" w:space="0" w:color="auto"/>
              <w:right w:val="nil"/>
            </w:tcBorders>
            <w:shd w:val="clear" w:color="auto" w:fill="auto"/>
            <w:vAlign w:val="bottom"/>
          </w:tcPr>
          <w:p w14:paraId="262999E5" w14:textId="77777777" w:rsidR="00302534" w:rsidRPr="00A058B6" w:rsidRDefault="00302534" w:rsidP="00302534">
            <w:pPr>
              <w:pStyle w:val="Tabletext"/>
            </w:pPr>
            <w:r w:rsidRPr="00A058B6">
              <w:t>1</w:t>
            </w:r>
            <w:r w:rsidR="00D7157D">
              <w:t>.</w:t>
            </w:r>
            <w:r w:rsidRPr="00A058B6">
              <w:t>4729</w:t>
            </w:r>
          </w:p>
        </w:tc>
        <w:tc>
          <w:tcPr>
            <w:tcW w:w="904" w:type="pct"/>
            <w:tcBorders>
              <w:top w:val="single" w:sz="2" w:space="0" w:color="auto"/>
              <w:left w:val="nil"/>
              <w:bottom w:val="single" w:sz="2" w:space="0" w:color="auto"/>
              <w:right w:val="nil"/>
            </w:tcBorders>
            <w:shd w:val="clear" w:color="auto" w:fill="auto"/>
            <w:vAlign w:val="bottom"/>
          </w:tcPr>
          <w:p w14:paraId="2501ADC0"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4121</w:t>
            </w:r>
          </w:p>
        </w:tc>
        <w:tc>
          <w:tcPr>
            <w:tcW w:w="906" w:type="pct"/>
            <w:tcBorders>
              <w:top w:val="single" w:sz="2" w:space="0" w:color="auto"/>
              <w:left w:val="nil"/>
              <w:bottom w:val="single" w:sz="2" w:space="0" w:color="auto"/>
              <w:right w:val="nil"/>
            </w:tcBorders>
            <w:shd w:val="clear" w:color="auto" w:fill="auto"/>
            <w:vAlign w:val="bottom"/>
          </w:tcPr>
          <w:p w14:paraId="4C736422"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2475</w:t>
            </w:r>
          </w:p>
        </w:tc>
      </w:tr>
      <w:tr w:rsidR="00302534" w:rsidRPr="00A058B6" w14:paraId="1335BACD" w14:textId="77777777" w:rsidTr="00FA26AF">
        <w:tc>
          <w:tcPr>
            <w:tcW w:w="1382" w:type="pct"/>
            <w:tcBorders>
              <w:left w:val="nil"/>
              <w:right w:val="nil"/>
            </w:tcBorders>
          </w:tcPr>
          <w:p w14:paraId="6F17CA47" w14:textId="77777777" w:rsidR="00302534" w:rsidRPr="00A058B6" w:rsidRDefault="00302534" w:rsidP="00302534">
            <w:pPr>
              <w:pStyle w:val="Tabletext"/>
            </w:pPr>
            <w:r w:rsidRPr="00A058B6">
              <w:t>53</w:t>
            </w:r>
          </w:p>
        </w:tc>
        <w:tc>
          <w:tcPr>
            <w:tcW w:w="904" w:type="pct"/>
            <w:tcBorders>
              <w:top w:val="single" w:sz="2" w:space="0" w:color="auto"/>
              <w:left w:val="nil"/>
              <w:bottom w:val="single" w:sz="2" w:space="0" w:color="auto"/>
              <w:right w:val="nil"/>
            </w:tcBorders>
            <w:shd w:val="clear" w:color="auto" w:fill="auto"/>
            <w:vAlign w:val="bottom"/>
          </w:tcPr>
          <w:p w14:paraId="7EB80731" w14:textId="77777777" w:rsidR="00302534" w:rsidRPr="00A058B6" w:rsidRDefault="00302534" w:rsidP="00302534">
            <w:pPr>
              <w:pStyle w:val="Tabletext"/>
            </w:pPr>
            <w:r w:rsidRPr="00A058B6">
              <w:t>2</w:t>
            </w:r>
            <w:r w:rsidR="00D7157D">
              <w:t>.</w:t>
            </w:r>
            <w:r w:rsidRPr="00A058B6">
              <w:t>9117</w:t>
            </w:r>
          </w:p>
        </w:tc>
        <w:tc>
          <w:tcPr>
            <w:tcW w:w="904" w:type="pct"/>
            <w:tcBorders>
              <w:top w:val="single" w:sz="2" w:space="0" w:color="auto"/>
              <w:left w:val="nil"/>
              <w:bottom w:val="single" w:sz="2" w:space="0" w:color="auto"/>
              <w:right w:val="nil"/>
            </w:tcBorders>
            <w:shd w:val="clear" w:color="auto" w:fill="auto"/>
            <w:vAlign w:val="bottom"/>
          </w:tcPr>
          <w:p w14:paraId="74F8EE3D" w14:textId="77777777" w:rsidR="00302534" w:rsidRPr="00A058B6" w:rsidRDefault="00302534" w:rsidP="00302534">
            <w:pPr>
              <w:pStyle w:val="Tabletext"/>
            </w:pPr>
            <w:r w:rsidRPr="00A058B6">
              <w:t>1</w:t>
            </w:r>
            <w:r w:rsidR="00D7157D">
              <w:t>.</w:t>
            </w:r>
            <w:r w:rsidRPr="00A058B6">
              <w:t>5145</w:t>
            </w:r>
          </w:p>
        </w:tc>
        <w:tc>
          <w:tcPr>
            <w:tcW w:w="904" w:type="pct"/>
            <w:tcBorders>
              <w:top w:val="single" w:sz="2" w:space="0" w:color="auto"/>
              <w:left w:val="nil"/>
              <w:bottom w:val="single" w:sz="2" w:space="0" w:color="auto"/>
              <w:right w:val="nil"/>
            </w:tcBorders>
            <w:shd w:val="clear" w:color="auto" w:fill="auto"/>
            <w:vAlign w:val="bottom"/>
          </w:tcPr>
          <w:p w14:paraId="0CD89BB7"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4837</w:t>
            </w:r>
          </w:p>
        </w:tc>
        <w:tc>
          <w:tcPr>
            <w:tcW w:w="906" w:type="pct"/>
            <w:tcBorders>
              <w:top w:val="single" w:sz="2" w:space="0" w:color="auto"/>
              <w:left w:val="nil"/>
              <w:bottom w:val="single" w:sz="2" w:space="0" w:color="auto"/>
              <w:right w:val="nil"/>
            </w:tcBorders>
            <w:shd w:val="clear" w:color="auto" w:fill="auto"/>
            <w:vAlign w:val="bottom"/>
          </w:tcPr>
          <w:p w14:paraId="6CDA713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2867</w:t>
            </w:r>
          </w:p>
        </w:tc>
      </w:tr>
      <w:tr w:rsidR="00302534" w:rsidRPr="00A058B6" w14:paraId="21B86FF6" w14:textId="77777777" w:rsidTr="00FA26AF">
        <w:tc>
          <w:tcPr>
            <w:tcW w:w="1382" w:type="pct"/>
            <w:tcBorders>
              <w:left w:val="nil"/>
              <w:right w:val="nil"/>
            </w:tcBorders>
          </w:tcPr>
          <w:p w14:paraId="0F4BF4F6" w14:textId="77777777" w:rsidR="00302534" w:rsidRPr="00A058B6" w:rsidRDefault="00302534" w:rsidP="00302534">
            <w:pPr>
              <w:pStyle w:val="Tabletext"/>
            </w:pPr>
            <w:r w:rsidRPr="00A058B6">
              <w:t>54</w:t>
            </w:r>
          </w:p>
        </w:tc>
        <w:tc>
          <w:tcPr>
            <w:tcW w:w="904" w:type="pct"/>
            <w:tcBorders>
              <w:top w:val="single" w:sz="2" w:space="0" w:color="auto"/>
              <w:left w:val="nil"/>
              <w:bottom w:val="single" w:sz="2" w:space="0" w:color="auto"/>
              <w:right w:val="nil"/>
            </w:tcBorders>
            <w:shd w:val="clear" w:color="auto" w:fill="auto"/>
            <w:vAlign w:val="bottom"/>
          </w:tcPr>
          <w:p w14:paraId="70013477" w14:textId="77777777" w:rsidR="00302534" w:rsidRPr="00A058B6" w:rsidRDefault="00302534" w:rsidP="00302534">
            <w:pPr>
              <w:pStyle w:val="Tabletext"/>
            </w:pPr>
            <w:r w:rsidRPr="00A058B6">
              <w:t>2</w:t>
            </w:r>
            <w:r w:rsidR="00D7157D">
              <w:t>.</w:t>
            </w:r>
            <w:r w:rsidRPr="00A058B6">
              <w:t>9893</w:t>
            </w:r>
          </w:p>
        </w:tc>
        <w:tc>
          <w:tcPr>
            <w:tcW w:w="904" w:type="pct"/>
            <w:tcBorders>
              <w:top w:val="single" w:sz="2" w:space="0" w:color="auto"/>
              <w:left w:val="nil"/>
              <w:bottom w:val="single" w:sz="2" w:space="0" w:color="auto"/>
              <w:right w:val="nil"/>
            </w:tcBorders>
            <w:shd w:val="clear" w:color="auto" w:fill="auto"/>
            <w:vAlign w:val="bottom"/>
          </w:tcPr>
          <w:p w14:paraId="7946B4C9" w14:textId="77777777" w:rsidR="00302534" w:rsidRPr="00A058B6" w:rsidRDefault="00302534" w:rsidP="00302534">
            <w:pPr>
              <w:pStyle w:val="Tabletext"/>
            </w:pPr>
            <w:r w:rsidRPr="00A058B6">
              <w:t>1</w:t>
            </w:r>
            <w:r w:rsidR="00D7157D">
              <w:t>.</w:t>
            </w:r>
            <w:r w:rsidRPr="00A058B6">
              <w:t>5572</w:t>
            </w:r>
          </w:p>
        </w:tc>
        <w:tc>
          <w:tcPr>
            <w:tcW w:w="904" w:type="pct"/>
            <w:tcBorders>
              <w:top w:val="single" w:sz="2" w:space="0" w:color="auto"/>
              <w:left w:val="nil"/>
              <w:bottom w:val="single" w:sz="2" w:space="0" w:color="auto"/>
              <w:right w:val="nil"/>
            </w:tcBorders>
            <w:shd w:val="clear" w:color="auto" w:fill="auto"/>
            <w:vAlign w:val="bottom"/>
          </w:tcPr>
          <w:p w14:paraId="28927117"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5559</w:t>
            </w:r>
          </w:p>
        </w:tc>
        <w:tc>
          <w:tcPr>
            <w:tcW w:w="906" w:type="pct"/>
            <w:tcBorders>
              <w:top w:val="single" w:sz="2" w:space="0" w:color="auto"/>
              <w:left w:val="nil"/>
              <w:bottom w:val="single" w:sz="2" w:space="0" w:color="auto"/>
              <w:right w:val="nil"/>
            </w:tcBorders>
            <w:shd w:val="clear" w:color="auto" w:fill="auto"/>
            <w:vAlign w:val="bottom"/>
          </w:tcPr>
          <w:p w14:paraId="150952C1"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3265</w:t>
            </w:r>
          </w:p>
        </w:tc>
      </w:tr>
      <w:tr w:rsidR="00302534" w:rsidRPr="00A058B6" w14:paraId="59F6D51F" w14:textId="77777777" w:rsidTr="00FA26AF">
        <w:tc>
          <w:tcPr>
            <w:tcW w:w="1382" w:type="pct"/>
            <w:tcBorders>
              <w:left w:val="nil"/>
              <w:right w:val="nil"/>
            </w:tcBorders>
          </w:tcPr>
          <w:p w14:paraId="3BABEC89" w14:textId="77777777" w:rsidR="00302534" w:rsidRPr="00A058B6" w:rsidRDefault="00302534" w:rsidP="00302534">
            <w:pPr>
              <w:pStyle w:val="Tabletext"/>
            </w:pPr>
            <w:r w:rsidRPr="00A058B6">
              <w:t>55</w:t>
            </w:r>
          </w:p>
        </w:tc>
        <w:tc>
          <w:tcPr>
            <w:tcW w:w="904" w:type="pct"/>
            <w:tcBorders>
              <w:top w:val="single" w:sz="2" w:space="0" w:color="auto"/>
              <w:left w:val="nil"/>
              <w:bottom w:val="single" w:sz="2" w:space="0" w:color="auto"/>
              <w:right w:val="nil"/>
            </w:tcBorders>
            <w:shd w:val="clear" w:color="auto" w:fill="auto"/>
            <w:vAlign w:val="bottom"/>
          </w:tcPr>
          <w:p w14:paraId="4D9E1823" w14:textId="77777777" w:rsidR="00302534" w:rsidRPr="00A058B6" w:rsidRDefault="00302534" w:rsidP="00302534">
            <w:pPr>
              <w:pStyle w:val="Tabletext"/>
            </w:pPr>
            <w:r w:rsidRPr="00A058B6">
              <w:t>3</w:t>
            </w:r>
            <w:r w:rsidR="00D7157D">
              <w:t>.</w:t>
            </w:r>
            <w:r w:rsidRPr="00A058B6">
              <w:t>0686</w:t>
            </w:r>
          </w:p>
        </w:tc>
        <w:tc>
          <w:tcPr>
            <w:tcW w:w="904" w:type="pct"/>
            <w:tcBorders>
              <w:top w:val="single" w:sz="2" w:space="0" w:color="auto"/>
              <w:left w:val="nil"/>
              <w:bottom w:val="single" w:sz="2" w:space="0" w:color="auto"/>
              <w:right w:val="nil"/>
            </w:tcBorders>
            <w:shd w:val="clear" w:color="auto" w:fill="auto"/>
            <w:vAlign w:val="bottom"/>
          </w:tcPr>
          <w:p w14:paraId="4510E4C9" w14:textId="77777777" w:rsidR="00302534" w:rsidRPr="00A058B6" w:rsidRDefault="00302534" w:rsidP="00302534">
            <w:pPr>
              <w:pStyle w:val="Tabletext"/>
            </w:pPr>
            <w:r w:rsidRPr="00A058B6">
              <w:t>1</w:t>
            </w:r>
            <w:r w:rsidR="00D7157D">
              <w:t>.</w:t>
            </w:r>
            <w:r w:rsidRPr="00A058B6">
              <w:t>5999</w:t>
            </w:r>
          </w:p>
        </w:tc>
        <w:tc>
          <w:tcPr>
            <w:tcW w:w="904" w:type="pct"/>
            <w:tcBorders>
              <w:top w:val="single" w:sz="2" w:space="0" w:color="auto"/>
              <w:left w:val="nil"/>
              <w:bottom w:val="single" w:sz="2" w:space="0" w:color="auto"/>
              <w:right w:val="nil"/>
            </w:tcBorders>
            <w:shd w:val="clear" w:color="auto" w:fill="auto"/>
            <w:vAlign w:val="bottom"/>
          </w:tcPr>
          <w:p w14:paraId="3425C657"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6286</w:t>
            </w:r>
          </w:p>
        </w:tc>
        <w:tc>
          <w:tcPr>
            <w:tcW w:w="906" w:type="pct"/>
            <w:tcBorders>
              <w:top w:val="single" w:sz="2" w:space="0" w:color="auto"/>
              <w:left w:val="nil"/>
              <w:bottom w:val="single" w:sz="2" w:space="0" w:color="auto"/>
              <w:right w:val="nil"/>
            </w:tcBorders>
            <w:shd w:val="clear" w:color="auto" w:fill="auto"/>
            <w:vAlign w:val="bottom"/>
          </w:tcPr>
          <w:p w14:paraId="2836D0D9"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3654</w:t>
            </w:r>
          </w:p>
        </w:tc>
      </w:tr>
      <w:tr w:rsidR="00302534" w:rsidRPr="00A058B6" w14:paraId="33942260" w14:textId="77777777" w:rsidTr="00FA26AF">
        <w:tc>
          <w:tcPr>
            <w:tcW w:w="1382" w:type="pct"/>
            <w:tcBorders>
              <w:left w:val="nil"/>
              <w:right w:val="nil"/>
            </w:tcBorders>
          </w:tcPr>
          <w:p w14:paraId="6D5ADA41" w14:textId="77777777" w:rsidR="00302534" w:rsidRPr="00A058B6" w:rsidRDefault="00302534" w:rsidP="00302534">
            <w:pPr>
              <w:pStyle w:val="Tabletext"/>
            </w:pPr>
            <w:r w:rsidRPr="00A058B6">
              <w:t>56</w:t>
            </w:r>
          </w:p>
        </w:tc>
        <w:tc>
          <w:tcPr>
            <w:tcW w:w="904" w:type="pct"/>
            <w:tcBorders>
              <w:top w:val="single" w:sz="2" w:space="0" w:color="auto"/>
              <w:left w:val="nil"/>
              <w:bottom w:val="single" w:sz="2" w:space="0" w:color="auto"/>
              <w:right w:val="nil"/>
            </w:tcBorders>
            <w:shd w:val="clear" w:color="auto" w:fill="auto"/>
            <w:vAlign w:val="bottom"/>
          </w:tcPr>
          <w:p w14:paraId="5173E134" w14:textId="77777777" w:rsidR="00302534" w:rsidRPr="00A058B6" w:rsidRDefault="00302534" w:rsidP="00302534">
            <w:pPr>
              <w:pStyle w:val="Tabletext"/>
            </w:pPr>
            <w:r w:rsidRPr="00A058B6">
              <w:t>3</w:t>
            </w:r>
            <w:r w:rsidR="00D7157D">
              <w:t>.</w:t>
            </w:r>
            <w:r w:rsidRPr="00A058B6">
              <w:t>1498</w:t>
            </w:r>
          </w:p>
        </w:tc>
        <w:tc>
          <w:tcPr>
            <w:tcW w:w="904" w:type="pct"/>
            <w:tcBorders>
              <w:top w:val="single" w:sz="2" w:space="0" w:color="auto"/>
              <w:left w:val="nil"/>
              <w:bottom w:val="single" w:sz="2" w:space="0" w:color="auto"/>
              <w:right w:val="nil"/>
            </w:tcBorders>
            <w:shd w:val="clear" w:color="auto" w:fill="auto"/>
            <w:vAlign w:val="bottom"/>
          </w:tcPr>
          <w:p w14:paraId="65936FD0" w14:textId="77777777" w:rsidR="00302534" w:rsidRPr="00A058B6" w:rsidRDefault="00302534" w:rsidP="00302534">
            <w:pPr>
              <w:pStyle w:val="Tabletext"/>
            </w:pPr>
            <w:r w:rsidRPr="00A058B6">
              <w:t>1</w:t>
            </w:r>
            <w:r w:rsidR="00D7157D">
              <w:t>.</w:t>
            </w:r>
            <w:r w:rsidRPr="00A058B6">
              <w:t>6424</w:t>
            </w:r>
          </w:p>
        </w:tc>
        <w:tc>
          <w:tcPr>
            <w:tcW w:w="904" w:type="pct"/>
            <w:tcBorders>
              <w:top w:val="single" w:sz="2" w:space="0" w:color="auto"/>
              <w:left w:val="nil"/>
              <w:bottom w:val="single" w:sz="2" w:space="0" w:color="auto"/>
              <w:right w:val="nil"/>
            </w:tcBorders>
            <w:shd w:val="clear" w:color="auto" w:fill="auto"/>
            <w:vAlign w:val="bottom"/>
          </w:tcPr>
          <w:p w14:paraId="64357C4A"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7019</w:t>
            </w:r>
          </w:p>
        </w:tc>
        <w:tc>
          <w:tcPr>
            <w:tcW w:w="906" w:type="pct"/>
            <w:tcBorders>
              <w:top w:val="single" w:sz="2" w:space="0" w:color="auto"/>
              <w:left w:val="nil"/>
              <w:bottom w:val="single" w:sz="2" w:space="0" w:color="auto"/>
              <w:right w:val="nil"/>
            </w:tcBorders>
            <w:shd w:val="clear" w:color="auto" w:fill="auto"/>
            <w:vAlign w:val="bottom"/>
          </w:tcPr>
          <w:p w14:paraId="72EE1B2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4033</w:t>
            </w:r>
          </w:p>
        </w:tc>
      </w:tr>
      <w:tr w:rsidR="00302534" w:rsidRPr="00A058B6" w14:paraId="40CF3E5D" w14:textId="77777777" w:rsidTr="00FA26AF">
        <w:tc>
          <w:tcPr>
            <w:tcW w:w="1382" w:type="pct"/>
            <w:tcBorders>
              <w:left w:val="nil"/>
              <w:right w:val="nil"/>
            </w:tcBorders>
          </w:tcPr>
          <w:p w14:paraId="54F77EBC" w14:textId="77777777" w:rsidR="00302534" w:rsidRPr="00A058B6" w:rsidRDefault="00302534" w:rsidP="00302534">
            <w:pPr>
              <w:pStyle w:val="Tabletext"/>
            </w:pPr>
            <w:r w:rsidRPr="00A058B6">
              <w:t>57</w:t>
            </w:r>
          </w:p>
        </w:tc>
        <w:tc>
          <w:tcPr>
            <w:tcW w:w="904" w:type="pct"/>
            <w:tcBorders>
              <w:top w:val="single" w:sz="2" w:space="0" w:color="auto"/>
              <w:left w:val="nil"/>
              <w:bottom w:val="single" w:sz="2" w:space="0" w:color="auto"/>
              <w:right w:val="nil"/>
            </w:tcBorders>
            <w:shd w:val="clear" w:color="auto" w:fill="auto"/>
            <w:vAlign w:val="bottom"/>
          </w:tcPr>
          <w:p w14:paraId="35C5E58A" w14:textId="77777777" w:rsidR="00302534" w:rsidRPr="00A058B6" w:rsidRDefault="00302534" w:rsidP="00302534">
            <w:pPr>
              <w:pStyle w:val="Tabletext"/>
            </w:pPr>
            <w:r w:rsidRPr="00A058B6">
              <w:t>3</w:t>
            </w:r>
            <w:r w:rsidR="00D7157D">
              <w:t>.</w:t>
            </w:r>
            <w:r w:rsidRPr="00A058B6">
              <w:t>2333</w:t>
            </w:r>
          </w:p>
        </w:tc>
        <w:tc>
          <w:tcPr>
            <w:tcW w:w="904" w:type="pct"/>
            <w:tcBorders>
              <w:top w:val="single" w:sz="2" w:space="0" w:color="auto"/>
              <w:left w:val="nil"/>
              <w:bottom w:val="single" w:sz="2" w:space="0" w:color="auto"/>
              <w:right w:val="nil"/>
            </w:tcBorders>
            <w:shd w:val="clear" w:color="auto" w:fill="auto"/>
            <w:vAlign w:val="bottom"/>
          </w:tcPr>
          <w:p w14:paraId="0403A08D" w14:textId="77777777" w:rsidR="00302534" w:rsidRPr="00A058B6" w:rsidRDefault="00302534" w:rsidP="00302534">
            <w:pPr>
              <w:pStyle w:val="Tabletext"/>
            </w:pPr>
            <w:r w:rsidRPr="00A058B6">
              <w:t>1</w:t>
            </w:r>
            <w:r w:rsidR="00D7157D">
              <w:t>.</w:t>
            </w:r>
            <w:r w:rsidRPr="00A058B6">
              <w:t>6849</w:t>
            </w:r>
          </w:p>
        </w:tc>
        <w:tc>
          <w:tcPr>
            <w:tcW w:w="904" w:type="pct"/>
            <w:tcBorders>
              <w:top w:val="single" w:sz="2" w:space="0" w:color="auto"/>
              <w:left w:val="nil"/>
              <w:bottom w:val="single" w:sz="2" w:space="0" w:color="auto"/>
              <w:right w:val="nil"/>
            </w:tcBorders>
            <w:shd w:val="clear" w:color="auto" w:fill="auto"/>
            <w:vAlign w:val="bottom"/>
          </w:tcPr>
          <w:p w14:paraId="1A32E44B"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7763</w:t>
            </w:r>
          </w:p>
        </w:tc>
        <w:tc>
          <w:tcPr>
            <w:tcW w:w="906" w:type="pct"/>
            <w:tcBorders>
              <w:top w:val="single" w:sz="2" w:space="0" w:color="auto"/>
              <w:left w:val="nil"/>
              <w:bottom w:val="single" w:sz="2" w:space="0" w:color="auto"/>
              <w:right w:val="nil"/>
            </w:tcBorders>
            <w:shd w:val="clear" w:color="auto" w:fill="auto"/>
            <w:vAlign w:val="bottom"/>
          </w:tcPr>
          <w:p w14:paraId="2D6CC506"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4403</w:t>
            </w:r>
          </w:p>
        </w:tc>
      </w:tr>
      <w:tr w:rsidR="00302534" w:rsidRPr="00A058B6" w14:paraId="4E501B46" w14:textId="77777777" w:rsidTr="00FA26AF">
        <w:tc>
          <w:tcPr>
            <w:tcW w:w="1382" w:type="pct"/>
            <w:tcBorders>
              <w:left w:val="nil"/>
              <w:right w:val="nil"/>
            </w:tcBorders>
          </w:tcPr>
          <w:p w14:paraId="69983EB0" w14:textId="77777777" w:rsidR="00302534" w:rsidRPr="00A058B6" w:rsidRDefault="00302534" w:rsidP="00302534">
            <w:pPr>
              <w:pStyle w:val="Tabletext"/>
            </w:pPr>
            <w:r w:rsidRPr="00A058B6">
              <w:t>58</w:t>
            </w:r>
          </w:p>
        </w:tc>
        <w:tc>
          <w:tcPr>
            <w:tcW w:w="904" w:type="pct"/>
            <w:tcBorders>
              <w:top w:val="single" w:sz="2" w:space="0" w:color="auto"/>
              <w:left w:val="nil"/>
              <w:bottom w:val="single" w:sz="2" w:space="0" w:color="auto"/>
              <w:right w:val="nil"/>
            </w:tcBorders>
            <w:shd w:val="clear" w:color="auto" w:fill="auto"/>
            <w:vAlign w:val="bottom"/>
          </w:tcPr>
          <w:p w14:paraId="10A9DC07" w14:textId="77777777" w:rsidR="00302534" w:rsidRPr="00A058B6" w:rsidRDefault="00302534" w:rsidP="00302534">
            <w:pPr>
              <w:pStyle w:val="Tabletext"/>
            </w:pPr>
            <w:r w:rsidRPr="00A058B6">
              <w:t>3</w:t>
            </w:r>
            <w:r w:rsidR="00D7157D">
              <w:t>.</w:t>
            </w:r>
            <w:r w:rsidRPr="00A058B6">
              <w:t>3191</w:t>
            </w:r>
          </w:p>
        </w:tc>
        <w:tc>
          <w:tcPr>
            <w:tcW w:w="904" w:type="pct"/>
            <w:tcBorders>
              <w:top w:val="single" w:sz="2" w:space="0" w:color="auto"/>
              <w:left w:val="nil"/>
              <w:bottom w:val="single" w:sz="2" w:space="0" w:color="auto"/>
              <w:right w:val="nil"/>
            </w:tcBorders>
            <w:shd w:val="clear" w:color="auto" w:fill="auto"/>
            <w:vAlign w:val="bottom"/>
          </w:tcPr>
          <w:p w14:paraId="5F6AB635" w14:textId="77777777" w:rsidR="00302534" w:rsidRPr="00A058B6" w:rsidRDefault="00302534" w:rsidP="00302534">
            <w:pPr>
              <w:pStyle w:val="Tabletext"/>
            </w:pPr>
            <w:r w:rsidRPr="00A058B6">
              <w:t>1</w:t>
            </w:r>
            <w:r w:rsidR="00D7157D">
              <w:t>.</w:t>
            </w:r>
            <w:r w:rsidRPr="00A058B6">
              <w:t>7280</w:t>
            </w:r>
          </w:p>
        </w:tc>
        <w:tc>
          <w:tcPr>
            <w:tcW w:w="904" w:type="pct"/>
            <w:tcBorders>
              <w:top w:val="single" w:sz="2" w:space="0" w:color="auto"/>
              <w:left w:val="nil"/>
              <w:bottom w:val="single" w:sz="2" w:space="0" w:color="auto"/>
              <w:right w:val="nil"/>
            </w:tcBorders>
            <w:shd w:val="clear" w:color="auto" w:fill="auto"/>
            <w:vAlign w:val="bottom"/>
          </w:tcPr>
          <w:p w14:paraId="1BDCFBE7"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8518</w:t>
            </w:r>
          </w:p>
        </w:tc>
        <w:tc>
          <w:tcPr>
            <w:tcW w:w="906" w:type="pct"/>
            <w:tcBorders>
              <w:top w:val="single" w:sz="2" w:space="0" w:color="auto"/>
              <w:left w:val="nil"/>
              <w:bottom w:val="single" w:sz="2" w:space="0" w:color="auto"/>
              <w:right w:val="nil"/>
            </w:tcBorders>
            <w:shd w:val="clear" w:color="auto" w:fill="auto"/>
            <w:vAlign w:val="bottom"/>
          </w:tcPr>
          <w:p w14:paraId="07B88EE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4773</w:t>
            </w:r>
          </w:p>
        </w:tc>
      </w:tr>
      <w:tr w:rsidR="00302534" w:rsidRPr="00A058B6" w14:paraId="33AB8C2E" w14:textId="77777777" w:rsidTr="00FA26AF">
        <w:tc>
          <w:tcPr>
            <w:tcW w:w="1382" w:type="pct"/>
            <w:tcBorders>
              <w:left w:val="nil"/>
              <w:right w:val="nil"/>
            </w:tcBorders>
          </w:tcPr>
          <w:p w14:paraId="72332BF6" w14:textId="77777777" w:rsidR="00302534" w:rsidRPr="00A058B6" w:rsidRDefault="00302534" w:rsidP="00302534">
            <w:pPr>
              <w:pStyle w:val="Tabletext"/>
            </w:pPr>
            <w:r w:rsidRPr="00A058B6">
              <w:t>59</w:t>
            </w:r>
          </w:p>
        </w:tc>
        <w:tc>
          <w:tcPr>
            <w:tcW w:w="904" w:type="pct"/>
            <w:tcBorders>
              <w:top w:val="single" w:sz="2" w:space="0" w:color="auto"/>
              <w:left w:val="nil"/>
              <w:bottom w:val="single" w:sz="2" w:space="0" w:color="auto"/>
              <w:right w:val="nil"/>
            </w:tcBorders>
            <w:shd w:val="clear" w:color="auto" w:fill="auto"/>
            <w:vAlign w:val="bottom"/>
          </w:tcPr>
          <w:p w14:paraId="302A6CE9" w14:textId="77777777" w:rsidR="00302534" w:rsidRPr="00A058B6" w:rsidRDefault="00302534" w:rsidP="00302534">
            <w:pPr>
              <w:pStyle w:val="Tabletext"/>
            </w:pPr>
            <w:r w:rsidRPr="00A058B6">
              <w:t>3</w:t>
            </w:r>
            <w:r w:rsidR="00D7157D">
              <w:t>.</w:t>
            </w:r>
            <w:r w:rsidRPr="00A058B6">
              <w:t>4076</w:t>
            </w:r>
          </w:p>
        </w:tc>
        <w:tc>
          <w:tcPr>
            <w:tcW w:w="904" w:type="pct"/>
            <w:tcBorders>
              <w:top w:val="single" w:sz="2" w:space="0" w:color="auto"/>
              <w:left w:val="nil"/>
              <w:bottom w:val="single" w:sz="2" w:space="0" w:color="auto"/>
              <w:right w:val="nil"/>
            </w:tcBorders>
            <w:shd w:val="clear" w:color="auto" w:fill="auto"/>
            <w:vAlign w:val="bottom"/>
          </w:tcPr>
          <w:p w14:paraId="66A0F9E3" w14:textId="77777777" w:rsidR="00302534" w:rsidRPr="00A058B6" w:rsidRDefault="00302534" w:rsidP="00302534">
            <w:pPr>
              <w:pStyle w:val="Tabletext"/>
            </w:pPr>
            <w:r w:rsidRPr="00A058B6">
              <w:t>1</w:t>
            </w:r>
            <w:r w:rsidR="00D7157D">
              <w:t>.</w:t>
            </w:r>
            <w:r w:rsidRPr="00A058B6">
              <w:t>7720</w:t>
            </w:r>
          </w:p>
        </w:tc>
        <w:tc>
          <w:tcPr>
            <w:tcW w:w="904" w:type="pct"/>
            <w:tcBorders>
              <w:top w:val="single" w:sz="2" w:space="0" w:color="auto"/>
              <w:left w:val="nil"/>
              <w:bottom w:val="single" w:sz="2" w:space="0" w:color="auto"/>
              <w:right w:val="nil"/>
            </w:tcBorders>
            <w:shd w:val="clear" w:color="auto" w:fill="auto"/>
            <w:vAlign w:val="bottom"/>
          </w:tcPr>
          <w:p w14:paraId="489F7219"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9286</w:t>
            </w:r>
          </w:p>
        </w:tc>
        <w:tc>
          <w:tcPr>
            <w:tcW w:w="906" w:type="pct"/>
            <w:tcBorders>
              <w:top w:val="single" w:sz="2" w:space="0" w:color="auto"/>
              <w:left w:val="nil"/>
              <w:bottom w:val="single" w:sz="2" w:space="0" w:color="auto"/>
              <w:right w:val="nil"/>
            </w:tcBorders>
            <w:shd w:val="clear" w:color="auto" w:fill="auto"/>
            <w:vAlign w:val="bottom"/>
          </w:tcPr>
          <w:p w14:paraId="27E913DB"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5144</w:t>
            </w:r>
          </w:p>
        </w:tc>
      </w:tr>
      <w:tr w:rsidR="00302534" w:rsidRPr="00A058B6" w14:paraId="0DCAE764" w14:textId="77777777" w:rsidTr="00FA26AF">
        <w:tc>
          <w:tcPr>
            <w:tcW w:w="1382" w:type="pct"/>
            <w:tcBorders>
              <w:left w:val="nil"/>
              <w:right w:val="nil"/>
            </w:tcBorders>
          </w:tcPr>
          <w:p w14:paraId="572D8F76" w14:textId="77777777" w:rsidR="00302534" w:rsidRPr="00A058B6" w:rsidRDefault="00302534" w:rsidP="00302534">
            <w:pPr>
              <w:pStyle w:val="Tabletext"/>
            </w:pPr>
            <w:r w:rsidRPr="00A058B6">
              <w:t>60</w:t>
            </w:r>
          </w:p>
        </w:tc>
        <w:tc>
          <w:tcPr>
            <w:tcW w:w="904" w:type="pct"/>
            <w:tcBorders>
              <w:top w:val="single" w:sz="2" w:space="0" w:color="auto"/>
              <w:left w:val="nil"/>
              <w:bottom w:val="single" w:sz="2" w:space="0" w:color="auto"/>
              <w:right w:val="nil"/>
            </w:tcBorders>
            <w:shd w:val="clear" w:color="auto" w:fill="auto"/>
            <w:vAlign w:val="bottom"/>
          </w:tcPr>
          <w:p w14:paraId="09E5780A" w14:textId="77777777" w:rsidR="00302534" w:rsidRPr="00A058B6" w:rsidRDefault="00302534" w:rsidP="00302534">
            <w:pPr>
              <w:pStyle w:val="Tabletext"/>
            </w:pPr>
            <w:r w:rsidRPr="00A058B6">
              <w:t>3</w:t>
            </w:r>
            <w:r w:rsidR="00D7157D">
              <w:t>.</w:t>
            </w:r>
            <w:r w:rsidRPr="00A058B6">
              <w:t>4986</w:t>
            </w:r>
          </w:p>
        </w:tc>
        <w:tc>
          <w:tcPr>
            <w:tcW w:w="904" w:type="pct"/>
            <w:tcBorders>
              <w:top w:val="single" w:sz="2" w:space="0" w:color="auto"/>
              <w:left w:val="nil"/>
              <w:bottom w:val="single" w:sz="2" w:space="0" w:color="auto"/>
              <w:right w:val="nil"/>
            </w:tcBorders>
            <w:shd w:val="clear" w:color="auto" w:fill="auto"/>
            <w:vAlign w:val="bottom"/>
          </w:tcPr>
          <w:p w14:paraId="433AC6C3" w14:textId="77777777" w:rsidR="00302534" w:rsidRPr="00A058B6" w:rsidRDefault="00302534" w:rsidP="00302534">
            <w:pPr>
              <w:pStyle w:val="Tabletext"/>
            </w:pPr>
            <w:r w:rsidRPr="00A058B6">
              <w:t>1</w:t>
            </w:r>
            <w:r w:rsidR="00D7157D">
              <w:t>.</w:t>
            </w:r>
            <w:r w:rsidRPr="00A058B6">
              <w:t>8170</w:t>
            </w:r>
          </w:p>
        </w:tc>
        <w:tc>
          <w:tcPr>
            <w:tcW w:w="904" w:type="pct"/>
            <w:tcBorders>
              <w:top w:val="single" w:sz="2" w:space="0" w:color="auto"/>
              <w:left w:val="nil"/>
              <w:bottom w:val="single" w:sz="2" w:space="0" w:color="auto"/>
              <w:right w:val="nil"/>
            </w:tcBorders>
            <w:shd w:val="clear" w:color="auto" w:fill="auto"/>
            <w:vAlign w:val="bottom"/>
          </w:tcPr>
          <w:p w14:paraId="40E80A58"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0065</w:t>
            </w:r>
          </w:p>
        </w:tc>
        <w:tc>
          <w:tcPr>
            <w:tcW w:w="906" w:type="pct"/>
            <w:tcBorders>
              <w:top w:val="single" w:sz="2" w:space="0" w:color="auto"/>
              <w:left w:val="nil"/>
              <w:bottom w:val="single" w:sz="2" w:space="0" w:color="auto"/>
              <w:right w:val="nil"/>
            </w:tcBorders>
            <w:shd w:val="clear" w:color="auto" w:fill="auto"/>
            <w:vAlign w:val="bottom"/>
          </w:tcPr>
          <w:p w14:paraId="20E1B43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5519</w:t>
            </w:r>
          </w:p>
        </w:tc>
      </w:tr>
      <w:tr w:rsidR="00302534" w:rsidRPr="00A058B6" w14:paraId="15D98D85" w14:textId="77777777" w:rsidTr="00FA26AF">
        <w:tc>
          <w:tcPr>
            <w:tcW w:w="1382" w:type="pct"/>
            <w:tcBorders>
              <w:left w:val="nil"/>
              <w:right w:val="nil"/>
            </w:tcBorders>
          </w:tcPr>
          <w:p w14:paraId="3C1B9928" w14:textId="77777777" w:rsidR="00302534" w:rsidRPr="00A058B6" w:rsidRDefault="00302534" w:rsidP="00302534">
            <w:pPr>
              <w:pStyle w:val="Tabletext"/>
            </w:pPr>
            <w:r w:rsidRPr="00A058B6">
              <w:t>61</w:t>
            </w:r>
          </w:p>
        </w:tc>
        <w:tc>
          <w:tcPr>
            <w:tcW w:w="904" w:type="pct"/>
            <w:tcBorders>
              <w:top w:val="single" w:sz="2" w:space="0" w:color="auto"/>
              <w:left w:val="nil"/>
              <w:bottom w:val="single" w:sz="2" w:space="0" w:color="auto"/>
              <w:right w:val="nil"/>
            </w:tcBorders>
            <w:shd w:val="clear" w:color="auto" w:fill="auto"/>
            <w:vAlign w:val="bottom"/>
          </w:tcPr>
          <w:p w14:paraId="09CF655B" w14:textId="77777777" w:rsidR="00302534" w:rsidRPr="00A058B6" w:rsidRDefault="00302534" w:rsidP="00302534">
            <w:pPr>
              <w:pStyle w:val="Tabletext"/>
            </w:pPr>
            <w:r w:rsidRPr="00A058B6">
              <w:t>3</w:t>
            </w:r>
            <w:r w:rsidR="00D7157D">
              <w:t>.</w:t>
            </w:r>
            <w:r w:rsidRPr="00A058B6">
              <w:t>5915</w:t>
            </w:r>
          </w:p>
        </w:tc>
        <w:tc>
          <w:tcPr>
            <w:tcW w:w="904" w:type="pct"/>
            <w:tcBorders>
              <w:top w:val="single" w:sz="2" w:space="0" w:color="auto"/>
              <w:left w:val="nil"/>
              <w:bottom w:val="single" w:sz="2" w:space="0" w:color="auto"/>
              <w:right w:val="nil"/>
            </w:tcBorders>
            <w:shd w:val="clear" w:color="auto" w:fill="auto"/>
            <w:vAlign w:val="bottom"/>
          </w:tcPr>
          <w:p w14:paraId="74701505" w14:textId="77777777" w:rsidR="00302534" w:rsidRPr="00A058B6" w:rsidRDefault="00302534" w:rsidP="00302534">
            <w:pPr>
              <w:pStyle w:val="Tabletext"/>
            </w:pPr>
            <w:r w:rsidRPr="00A058B6">
              <w:t>1</w:t>
            </w:r>
            <w:r w:rsidR="00D7157D">
              <w:t>.</w:t>
            </w:r>
            <w:r w:rsidRPr="00A058B6">
              <w:t>8636</w:t>
            </w:r>
          </w:p>
        </w:tc>
        <w:tc>
          <w:tcPr>
            <w:tcW w:w="904" w:type="pct"/>
            <w:tcBorders>
              <w:top w:val="single" w:sz="2" w:space="0" w:color="auto"/>
              <w:left w:val="nil"/>
              <w:bottom w:val="single" w:sz="2" w:space="0" w:color="auto"/>
              <w:right w:val="nil"/>
            </w:tcBorders>
            <w:shd w:val="clear" w:color="auto" w:fill="auto"/>
            <w:vAlign w:val="bottom"/>
          </w:tcPr>
          <w:p w14:paraId="0AE34D2B"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0848</w:t>
            </w:r>
          </w:p>
        </w:tc>
        <w:tc>
          <w:tcPr>
            <w:tcW w:w="906" w:type="pct"/>
            <w:tcBorders>
              <w:top w:val="single" w:sz="2" w:space="0" w:color="auto"/>
              <w:left w:val="nil"/>
              <w:bottom w:val="single" w:sz="2" w:space="0" w:color="auto"/>
              <w:right w:val="nil"/>
            </w:tcBorders>
            <w:shd w:val="clear" w:color="auto" w:fill="auto"/>
            <w:vAlign w:val="bottom"/>
          </w:tcPr>
          <w:p w14:paraId="4D1410E9"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5901</w:t>
            </w:r>
          </w:p>
        </w:tc>
      </w:tr>
      <w:tr w:rsidR="00302534" w:rsidRPr="00A058B6" w14:paraId="549979FD" w14:textId="77777777" w:rsidTr="00FA26AF">
        <w:tc>
          <w:tcPr>
            <w:tcW w:w="1382" w:type="pct"/>
            <w:tcBorders>
              <w:left w:val="nil"/>
              <w:right w:val="nil"/>
            </w:tcBorders>
          </w:tcPr>
          <w:p w14:paraId="5616D6BF" w14:textId="77777777" w:rsidR="00302534" w:rsidRPr="00A058B6" w:rsidRDefault="00302534" w:rsidP="00302534">
            <w:pPr>
              <w:pStyle w:val="Tabletext"/>
            </w:pPr>
            <w:r w:rsidRPr="00A058B6">
              <w:t>62</w:t>
            </w:r>
          </w:p>
        </w:tc>
        <w:tc>
          <w:tcPr>
            <w:tcW w:w="904" w:type="pct"/>
            <w:tcBorders>
              <w:top w:val="single" w:sz="2" w:space="0" w:color="auto"/>
              <w:left w:val="nil"/>
              <w:bottom w:val="single" w:sz="2" w:space="0" w:color="auto"/>
              <w:right w:val="nil"/>
            </w:tcBorders>
            <w:shd w:val="clear" w:color="auto" w:fill="auto"/>
            <w:vAlign w:val="bottom"/>
          </w:tcPr>
          <w:p w14:paraId="45393667" w14:textId="77777777" w:rsidR="00302534" w:rsidRPr="00A058B6" w:rsidRDefault="00302534" w:rsidP="00302534">
            <w:pPr>
              <w:pStyle w:val="Tabletext"/>
            </w:pPr>
            <w:r w:rsidRPr="00A058B6">
              <w:t>3</w:t>
            </w:r>
            <w:r w:rsidR="00D7157D">
              <w:t>.</w:t>
            </w:r>
            <w:r w:rsidRPr="00A058B6">
              <w:t>6868</w:t>
            </w:r>
          </w:p>
        </w:tc>
        <w:tc>
          <w:tcPr>
            <w:tcW w:w="904" w:type="pct"/>
            <w:tcBorders>
              <w:top w:val="single" w:sz="2" w:space="0" w:color="auto"/>
              <w:left w:val="nil"/>
              <w:bottom w:val="single" w:sz="2" w:space="0" w:color="auto"/>
              <w:right w:val="nil"/>
            </w:tcBorders>
            <w:shd w:val="clear" w:color="auto" w:fill="auto"/>
            <w:vAlign w:val="bottom"/>
          </w:tcPr>
          <w:p w14:paraId="3EE8DF2A" w14:textId="77777777" w:rsidR="00302534" w:rsidRPr="00A058B6" w:rsidRDefault="00302534" w:rsidP="00302534">
            <w:pPr>
              <w:pStyle w:val="Tabletext"/>
            </w:pPr>
            <w:r w:rsidRPr="00A058B6">
              <w:t>1</w:t>
            </w:r>
            <w:r w:rsidR="00D7157D">
              <w:t>.</w:t>
            </w:r>
            <w:r w:rsidRPr="00A058B6">
              <w:t>9109</w:t>
            </w:r>
          </w:p>
        </w:tc>
        <w:tc>
          <w:tcPr>
            <w:tcW w:w="904" w:type="pct"/>
            <w:tcBorders>
              <w:top w:val="single" w:sz="2" w:space="0" w:color="auto"/>
              <w:left w:val="nil"/>
              <w:bottom w:val="single" w:sz="2" w:space="0" w:color="auto"/>
              <w:right w:val="nil"/>
            </w:tcBorders>
            <w:shd w:val="clear" w:color="auto" w:fill="auto"/>
            <w:vAlign w:val="bottom"/>
          </w:tcPr>
          <w:p w14:paraId="06C62E9F"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1639</w:t>
            </w:r>
          </w:p>
        </w:tc>
        <w:tc>
          <w:tcPr>
            <w:tcW w:w="906" w:type="pct"/>
            <w:tcBorders>
              <w:top w:val="single" w:sz="2" w:space="0" w:color="auto"/>
              <w:left w:val="nil"/>
              <w:bottom w:val="single" w:sz="2" w:space="0" w:color="auto"/>
              <w:right w:val="nil"/>
            </w:tcBorders>
            <w:shd w:val="clear" w:color="auto" w:fill="auto"/>
            <w:vAlign w:val="bottom"/>
          </w:tcPr>
          <w:p w14:paraId="7BF72D80"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6283</w:t>
            </w:r>
          </w:p>
        </w:tc>
      </w:tr>
      <w:tr w:rsidR="00302534" w:rsidRPr="00A058B6" w14:paraId="21C22CA3" w14:textId="77777777" w:rsidTr="00FA26AF">
        <w:tc>
          <w:tcPr>
            <w:tcW w:w="1382" w:type="pct"/>
            <w:tcBorders>
              <w:left w:val="nil"/>
              <w:right w:val="nil"/>
            </w:tcBorders>
          </w:tcPr>
          <w:p w14:paraId="1EE9CDBB" w14:textId="77777777" w:rsidR="00302534" w:rsidRPr="00A058B6" w:rsidRDefault="00302534" w:rsidP="00302534">
            <w:pPr>
              <w:pStyle w:val="Tabletext"/>
            </w:pPr>
            <w:r w:rsidRPr="00A058B6">
              <w:t>63</w:t>
            </w:r>
          </w:p>
        </w:tc>
        <w:tc>
          <w:tcPr>
            <w:tcW w:w="904" w:type="pct"/>
            <w:tcBorders>
              <w:top w:val="single" w:sz="2" w:space="0" w:color="auto"/>
              <w:left w:val="nil"/>
              <w:bottom w:val="single" w:sz="2" w:space="0" w:color="auto"/>
              <w:right w:val="nil"/>
            </w:tcBorders>
            <w:shd w:val="clear" w:color="auto" w:fill="auto"/>
            <w:vAlign w:val="bottom"/>
          </w:tcPr>
          <w:p w14:paraId="0A864B37" w14:textId="77777777" w:rsidR="00302534" w:rsidRPr="00A058B6" w:rsidRDefault="00302534" w:rsidP="00302534">
            <w:pPr>
              <w:pStyle w:val="Tabletext"/>
            </w:pPr>
            <w:r w:rsidRPr="00A058B6">
              <w:t>3</w:t>
            </w:r>
            <w:r w:rsidR="00D7157D">
              <w:t>.</w:t>
            </w:r>
            <w:r w:rsidRPr="00A058B6">
              <w:t>7838</w:t>
            </w:r>
          </w:p>
        </w:tc>
        <w:tc>
          <w:tcPr>
            <w:tcW w:w="904" w:type="pct"/>
            <w:tcBorders>
              <w:top w:val="single" w:sz="2" w:space="0" w:color="auto"/>
              <w:left w:val="nil"/>
              <w:bottom w:val="single" w:sz="2" w:space="0" w:color="auto"/>
              <w:right w:val="nil"/>
            </w:tcBorders>
            <w:shd w:val="clear" w:color="auto" w:fill="auto"/>
            <w:vAlign w:val="bottom"/>
          </w:tcPr>
          <w:p w14:paraId="5D002D02" w14:textId="77777777" w:rsidR="00302534" w:rsidRPr="00A058B6" w:rsidRDefault="00302534" w:rsidP="00302534">
            <w:pPr>
              <w:pStyle w:val="Tabletext"/>
            </w:pPr>
            <w:r w:rsidRPr="00A058B6">
              <w:t>1</w:t>
            </w:r>
            <w:r w:rsidR="00D7157D">
              <w:t>.</w:t>
            </w:r>
            <w:r w:rsidRPr="00A058B6">
              <w:t>9589</w:t>
            </w:r>
          </w:p>
        </w:tc>
        <w:tc>
          <w:tcPr>
            <w:tcW w:w="904" w:type="pct"/>
            <w:tcBorders>
              <w:top w:val="single" w:sz="2" w:space="0" w:color="auto"/>
              <w:left w:val="nil"/>
              <w:bottom w:val="single" w:sz="2" w:space="0" w:color="auto"/>
              <w:right w:val="nil"/>
            </w:tcBorders>
            <w:shd w:val="clear" w:color="auto" w:fill="auto"/>
            <w:vAlign w:val="bottom"/>
          </w:tcPr>
          <w:p w14:paraId="6ACB901F"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2431</w:t>
            </w:r>
          </w:p>
        </w:tc>
        <w:tc>
          <w:tcPr>
            <w:tcW w:w="906" w:type="pct"/>
            <w:tcBorders>
              <w:top w:val="single" w:sz="2" w:space="0" w:color="auto"/>
              <w:left w:val="nil"/>
              <w:bottom w:val="single" w:sz="2" w:space="0" w:color="auto"/>
              <w:right w:val="nil"/>
            </w:tcBorders>
            <w:shd w:val="clear" w:color="auto" w:fill="auto"/>
            <w:vAlign w:val="bottom"/>
          </w:tcPr>
          <w:p w14:paraId="1E64F2C5"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6663</w:t>
            </w:r>
          </w:p>
        </w:tc>
      </w:tr>
      <w:tr w:rsidR="00302534" w:rsidRPr="00A058B6" w14:paraId="37587817" w14:textId="77777777" w:rsidTr="00FA26AF">
        <w:tc>
          <w:tcPr>
            <w:tcW w:w="1382" w:type="pct"/>
            <w:tcBorders>
              <w:left w:val="nil"/>
              <w:right w:val="nil"/>
            </w:tcBorders>
          </w:tcPr>
          <w:p w14:paraId="31371E1E" w14:textId="77777777" w:rsidR="00302534" w:rsidRPr="00A058B6" w:rsidRDefault="00302534" w:rsidP="00302534">
            <w:pPr>
              <w:pStyle w:val="Tabletext"/>
            </w:pPr>
            <w:r w:rsidRPr="00A058B6">
              <w:t>64</w:t>
            </w:r>
          </w:p>
        </w:tc>
        <w:tc>
          <w:tcPr>
            <w:tcW w:w="904" w:type="pct"/>
            <w:tcBorders>
              <w:top w:val="single" w:sz="2" w:space="0" w:color="auto"/>
              <w:left w:val="nil"/>
              <w:bottom w:val="single" w:sz="2" w:space="0" w:color="auto"/>
              <w:right w:val="nil"/>
            </w:tcBorders>
            <w:shd w:val="clear" w:color="auto" w:fill="auto"/>
            <w:vAlign w:val="bottom"/>
          </w:tcPr>
          <w:p w14:paraId="2A8B2184" w14:textId="77777777" w:rsidR="00302534" w:rsidRPr="00A058B6" w:rsidRDefault="00302534" w:rsidP="00302534">
            <w:pPr>
              <w:pStyle w:val="Tabletext"/>
            </w:pPr>
            <w:r w:rsidRPr="00A058B6">
              <w:t>3</w:t>
            </w:r>
            <w:r w:rsidR="00D7157D">
              <w:t>.</w:t>
            </w:r>
            <w:r w:rsidRPr="00A058B6">
              <w:t>8828</w:t>
            </w:r>
          </w:p>
        </w:tc>
        <w:tc>
          <w:tcPr>
            <w:tcW w:w="904" w:type="pct"/>
            <w:tcBorders>
              <w:top w:val="single" w:sz="2" w:space="0" w:color="auto"/>
              <w:left w:val="nil"/>
              <w:bottom w:val="single" w:sz="2" w:space="0" w:color="auto"/>
              <w:right w:val="nil"/>
            </w:tcBorders>
            <w:shd w:val="clear" w:color="auto" w:fill="auto"/>
            <w:vAlign w:val="bottom"/>
          </w:tcPr>
          <w:p w14:paraId="36919CC5" w14:textId="77777777" w:rsidR="00302534" w:rsidRPr="00A058B6" w:rsidRDefault="00302534" w:rsidP="00302534">
            <w:pPr>
              <w:pStyle w:val="Tabletext"/>
            </w:pPr>
            <w:r w:rsidRPr="00A058B6">
              <w:t>2</w:t>
            </w:r>
            <w:r w:rsidR="00D7157D">
              <w:t>.</w:t>
            </w:r>
            <w:r w:rsidRPr="00A058B6">
              <w:t>0076</w:t>
            </w:r>
          </w:p>
        </w:tc>
        <w:tc>
          <w:tcPr>
            <w:tcW w:w="904" w:type="pct"/>
            <w:tcBorders>
              <w:top w:val="single" w:sz="2" w:space="0" w:color="auto"/>
              <w:left w:val="nil"/>
              <w:bottom w:val="single" w:sz="2" w:space="0" w:color="auto"/>
              <w:right w:val="nil"/>
            </w:tcBorders>
            <w:shd w:val="clear" w:color="auto" w:fill="auto"/>
            <w:vAlign w:val="bottom"/>
          </w:tcPr>
          <w:p w14:paraId="0B3806EA"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3225</w:t>
            </w:r>
          </w:p>
        </w:tc>
        <w:tc>
          <w:tcPr>
            <w:tcW w:w="906" w:type="pct"/>
            <w:tcBorders>
              <w:top w:val="single" w:sz="2" w:space="0" w:color="auto"/>
              <w:left w:val="nil"/>
              <w:bottom w:val="single" w:sz="2" w:space="0" w:color="auto"/>
              <w:right w:val="nil"/>
            </w:tcBorders>
            <w:shd w:val="clear" w:color="auto" w:fill="auto"/>
            <w:vAlign w:val="bottom"/>
          </w:tcPr>
          <w:p w14:paraId="7F6DEE36"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7041</w:t>
            </w:r>
          </w:p>
        </w:tc>
      </w:tr>
      <w:tr w:rsidR="00302534" w:rsidRPr="00A058B6" w14:paraId="67B217DD" w14:textId="77777777" w:rsidTr="00FA26AF">
        <w:tc>
          <w:tcPr>
            <w:tcW w:w="1382" w:type="pct"/>
            <w:tcBorders>
              <w:left w:val="nil"/>
              <w:right w:val="nil"/>
            </w:tcBorders>
          </w:tcPr>
          <w:p w14:paraId="5803E88A" w14:textId="77777777" w:rsidR="00302534" w:rsidRPr="00A058B6" w:rsidRDefault="00302534" w:rsidP="00302534">
            <w:pPr>
              <w:pStyle w:val="Tabletext"/>
            </w:pPr>
            <w:r w:rsidRPr="00A058B6">
              <w:t>65</w:t>
            </w:r>
          </w:p>
        </w:tc>
        <w:tc>
          <w:tcPr>
            <w:tcW w:w="904" w:type="pct"/>
            <w:tcBorders>
              <w:top w:val="single" w:sz="2" w:space="0" w:color="auto"/>
              <w:left w:val="nil"/>
              <w:bottom w:val="single" w:sz="2" w:space="0" w:color="auto"/>
              <w:right w:val="nil"/>
            </w:tcBorders>
            <w:shd w:val="clear" w:color="auto" w:fill="auto"/>
            <w:vAlign w:val="bottom"/>
          </w:tcPr>
          <w:p w14:paraId="28FCDC56" w14:textId="77777777" w:rsidR="00302534" w:rsidRPr="00A058B6" w:rsidRDefault="00302534" w:rsidP="00302534">
            <w:pPr>
              <w:pStyle w:val="Tabletext"/>
            </w:pPr>
            <w:r w:rsidRPr="00A058B6">
              <w:t>3</w:t>
            </w:r>
            <w:r w:rsidR="00D7157D">
              <w:t>.</w:t>
            </w:r>
            <w:r w:rsidRPr="00A058B6">
              <w:t>9818</w:t>
            </w:r>
          </w:p>
        </w:tc>
        <w:tc>
          <w:tcPr>
            <w:tcW w:w="904" w:type="pct"/>
            <w:tcBorders>
              <w:top w:val="single" w:sz="2" w:space="0" w:color="auto"/>
              <w:left w:val="nil"/>
              <w:bottom w:val="single" w:sz="2" w:space="0" w:color="auto"/>
              <w:right w:val="nil"/>
            </w:tcBorders>
            <w:shd w:val="clear" w:color="auto" w:fill="auto"/>
            <w:vAlign w:val="bottom"/>
          </w:tcPr>
          <w:p w14:paraId="079D9FCB" w14:textId="77777777" w:rsidR="00302534" w:rsidRPr="00A058B6" w:rsidRDefault="00302534" w:rsidP="00302534">
            <w:pPr>
              <w:pStyle w:val="Tabletext"/>
            </w:pPr>
            <w:r w:rsidRPr="00A058B6">
              <w:t>2</w:t>
            </w:r>
            <w:r w:rsidR="00D7157D">
              <w:t>.</w:t>
            </w:r>
            <w:r w:rsidRPr="00A058B6">
              <w:t>0556</w:t>
            </w:r>
          </w:p>
        </w:tc>
        <w:tc>
          <w:tcPr>
            <w:tcW w:w="904" w:type="pct"/>
            <w:tcBorders>
              <w:top w:val="single" w:sz="2" w:space="0" w:color="auto"/>
              <w:left w:val="nil"/>
              <w:bottom w:val="single" w:sz="2" w:space="0" w:color="auto"/>
              <w:right w:val="nil"/>
            </w:tcBorders>
            <w:shd w:val="clear" w:color="auto" w:fill="auto"/>
            <w:vAlign w:val="bottom"/>
          </w:tcPr>
          <w:p w14:paraId="4507EC56"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3999</w:t>
            </w:r>
          </w:p>
        </w:tc>
        <w:tc>
          <w:tcPr>
            <w:tcW w:w="906" w:type="pct"/>
            <w:tcBorders>
              <w:top w:val="single" w:sz="2" w:space="0" w:color="auto"/>
              <w:left w:val="nil"/>
              <w:bottom w:val="single" w:sz="2" w:space="0" w:color="auto"/>
              <w:right w:val="nil"/>
            </w:tcBorders>
            <w:shd w:val="clear" w:color="auto" w:fill="auto"/>
            <w:vAlign w:val="bottom"/>
          </w:tcPr>
          <w:p w14:paraId="5C0284EB"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7403</w:t>
            </w:r>
          </w:p>
        </w:tc>
      </w:tr>
      <w:tr w:rsidR="00302534" w:rsidRPr="00A058B6" w14:paraId="64AE50FA" w14:textId="77777777" w:rsidTr="00FA26AF">
        <w:tc>
          <w:tcPr>
            <w:tcW w:w="1382" w:type="pct"/>
            <w:tcBorders>
              <w:left w:val="nil"/>
              <w:right w:val="nil"/>
            </w:tcBorders>
          </w:tcPr>
          <w:p w14:paraId="364A7A16" w14:textId="77777777" w:rsidR="00302534" w:rsidRPr="00A058B6" w:rsidRDefault="00302534" w:rsidP="00302534">
            <w:pPr>
              <w:pStyle w:val="Tabletext"/>
            </w:pPr>
            <w:r w:rsidRPr="00A058B6">
              <w:t>66</w:t>
            </w:r>
          </w:p>
        </w:tc>
        <w:tc>
          <w:tcPr>
            <w:tcW w:w="904" w:type="pct"/>
            <w:tcBorders>
              <w:top w:val="single" w:sz="2" w:space="0" w:color="auto"/>
              <w:left w:val="nil"/>
              <w:bottom w:val="single" w:sz="2" w:space="0" w:color="auto"/>
              <w:right w:val="nil"/>
            </w:tcBorders>
            <w:shd w:val="clear" w:color="auto" w:fill="auto"/>
            <w:vAlign w:val="bottom"/>
          </w:tcPr>
          <w:p w14:paraId="623A810C" w14:textId="77777777" w:rsidR="00302534" w:rsidRPr="00A058B6" w:rsidRDefault="00302534" w:rsidP="00302534">
            <w:pPr>
              <w:pStyle w:val="Tabletext"/>
            </w:pPr>
            <w:r w:rsidRPr="00A058B6">
              <w:t>4</w:t>
            </w:r>
            <w:r w:rsidR="00D7157D">
              <w:t>.</w:t>
            </w:r>
            <w:r w:rsidRPr="00A058B6">
              <w:t>0774</w:t>
            </w:r>
          </w:p>
        </w:tc>
        <w:tc>
          <w:tcPr>
            <w:tcW w:w="904" w:type="pct"/>
            <w:tcBorders>
              <w:top w:val="single" w:sz="2" w:space="0" w:color="auto"/>
              <w:left w:val="nil"/>
              <w:bottom w:val="single" w:sz="2" w:space="0" w:color="auto"/>
              <w:right w:val="nil"/>
            </w:tcBorders>
            <w:shd w:val="clear" w:color="auto" w:fill="auto"/>
            <w:vAlign w:val="bottom"/>
          </w:tcPr>
          <w:p w14:paraId="79758824" w14:textId="77777777" w:rsidR="00302534" w:rsidRPr="00A058B6" w:rsidRDefault="00302534" w:rsidP="00302534">
            <w:pPr>
              <w:pStyle w:val="Tabletext"/>
            </w:pPr>
            <w:r w:rsidRPr="00A058B6">
              <w:t>2</w:t>
            </w:r>
            <w:r w:rsidR="00D7157D">
              <w:t>.</w:t>
            </w:r>
            <w:r w:rsidRPr="00A058B6">
              <w:t>1025</w:t>
            </w:r>
          </w:p>
        </w:tc>
        <w:tc>
          <w:tcPr>
            <w:tcW w:w="904" w:type="pct"/>
            <w:tcBorders>
              <w:top w:val="single" w:sz="2" w:space="0" w:color="auto"/>
              <w:left w:val="nil"/>
              <w:bottom w:val="single" w:sz="2" w:space="0" w:color="auto"/>
              <w:right w:val="nil"/>
            </w:tcBorders>
            <w:shd w:val="clear" w:color="auto" w:fill="auto"/>
            <w:vAlign w:val="bottom"/>
          </w:tcPr>
          <w:p w14:paraId="2CF4C4AA"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4716</w:t>
            </w:r>
          </w:p>
        </w:tc>
        <w:tc>
          <w:tcPr>
            <w:tcW w:w="906" w:type="pct"/>
            <w:tcBorders>
              <w:top w:val="single" w:sz="2" w:space="0" w:color="auto"/>
              <w:left w:val="nil"/>
              <w:bottom w:val="single" w:sz="2" w:space="0" w:color="auto"/>
              <w:right w:val="nil"/>
            </w:tcBorders>
            <w:shd w:val="clear" w:color="auto" w:fill="auto"/>
            <w:vAlign w:val="bottom"/>
          </w:tcPr>
          <w:p w14:paraId="452983B3"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7742</w:t>
            </w:r>
          </w:p>
        </w:tc>
      </w:tr>
      <w:tr w:rsidR="00302534" w:rsidRPr="00A058B6" w14:paraId="658163F4" w14:textId="77777777" w:rsidTr="00FA26AF">
        <w:tc>
          <w:tcPr>
            <w:tcW w:w="1382" w:type="pct"/>
            <w:tcBorders>
              <w:left w:val="nil"/>
              <w:right w:val="nil"/>
            </w:tcBorders>
          </w:tcPr>
          <w:p w14:paraId="0E6576B1" w14:textId="77777777" w:rsidR="00302534" w:rsidRPr="00A058B6" w:rsidRDefault="00302534" w:rsidP="00302534">
            <w:pPr>
              <w:pStyle w:val="Tabletext"/>
            </w:pPr>
            <w:r w:rsidRPr="00A058B6">
              <w:t>67</w:t>
            </w:r>
          </w:p>
        </w:tc>
        <w:tc>
          <w:tcPr>
            <w:tcW w:w="904" w:type="pct"/>
            <w:tcBorders>
              <w:top w:val="single" w:sz="2" w:space="0" w:color="auto"/>
              <w:left w:val="nil"/>
              <w:bottom w:val="single" w:sz="2" w:space="0" w:color="auto"/>
              <w:right w:val="nil"/>
            </w:tcBorders>
            <w:shd w:val="clear" w:color="auto" w:fill="auto"/>
            <w:vAlign w:val="bottom"/>
          </w:tcPr>
          <w:p w14:paraId="65871F0B" w14:textId="77777777" w:rsidR="00302534" w:rsidRPr="00A058B6" w:rsidRDefault="00302534" w:rsidP="00302534">
            <w:pPr>
              <w:pStyle w:val="Tabletext"/>
            </w:pPr>
            <w:r w:rsidRPr="00A058B6">
              <w:t>4</w:t>
            </w:r>
            <w:r w:rsidR="00D7157D">
              <w:t>.</w:t>
            </w:r>
            <w:r w:rsidRPr="00A058B6">
              <w:t>1694</w:t>
            </w:r>
          </w:p>
        </w:tc>
        <w:tc>
          <w:tcPr>
            <w:tcW w:w="904" w:type="pct"/>
            <w:tcBorders>
              <w:top w:val="single" w:sz="2" w:space="0" w:color="auto"/>
              <w:left w:val="nil"/>
              <w:bottom w:val="single" w:sz="2" w:space="0" w:color="auto"/>
              <w:right w:val="nil"/>
            </w:tcBorders>
            <w:shd w:val="clear" w:color="auto" w:fill="auto"/>
            <w:vAlign w:val="bottom"/>
          </w:tcPr>
          <w:p w14:paraId="0BBED26C" w14:textId="77777777" w:rsidR="00302534" w:rsidRPr="00A058B6" w:rsidRDefault="00302534" w:rsidP="00302534">
            <w:pPr>
              <w:pStyle w:val="Tabletext"/>
            </w:pPr>
            <w:r w:rsidRPr="00A058B6">
              <w:t>2</w:t>
            </w:r>
            <w:r w:rsidR="00D7157D">
              <w:t>.</w:t>
            </w:r>
            <w:r w:rsidRPr="00A058B6">
              <w:t>1467</w:t>
            </w:r>
          </w:p>
        </w:tc>
        <w:tc>
          <w:tcPr>
            <w:tcW w:w="904" w:type="pct"/>
            <w:tcBorders>
              <w:top w:val="single" w:sz="2" w:space="0" w:color="auto"/>
              <w:left w:val="nil"/>
              <w:bottom w:val="single" w:sz="2" w:space="0" w:color="auto"/>
              <w:right w:val="nil"/>
            </w:tcBorders>
            <w:shd w:val="clear" w:color="auto" w:fill="auto"/>
            <w:vAlign w:val="bottom"/>
          </w:tcPr>
          <w:p w14:paraId="329B4284"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5373</w:t>
            </w:r>
          </w:p>
        </w:tc>
        <w:tc>
          <w:tcPr>
            <w:tcW w:w="906" w:type="pct"/>
            <w:tcBorders>
              <w:top w:val="single" w:sz="2" w:space="0" w:color="auto"/>
              <w:left w:val="nil"/>
              <w:bottom w:val="single" w:sz="2" w:space="0" w:color="auto"/>
              <w:right w:val="nil"/>
            </w:tcBorders>
            <w:shd w:val="clear" w:color="auto" w:fill="auto"/>
            <w:vAlign w:val="bottom"/>
          </w:tcPr>
          <w:p w14:paraId="09538E29"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8043</w:t>
            </w:r>
          </w:p>
        </w:tc>
      </w:tr>
      <w:tr w:rsidR="00302534" w:rsidRPr="00A058B6" w14:paraId="763AAA0D" w14:textId="77777777" w:rsidTr="00FA26AF">
        <w:tc>
          <w:tcPr>
            <w:tcW w:w="1382" w:type="pct"/>
            <w:tcBorders>
              <w:left w:val="nil"/>
              <w:right w:val="nil"/>
            </w:tcBorders>
          </w:tcPr>
          <w:p w14:paraId="2FE47629" w14:textId="77777777" w:rsidR="00302534" w:rsidRPr="00A058B6" w:rsidRDefault="00302534" w:rsidP="00302534">
            <w:pPr>
              <w:pStyle w:val="Tabletext"/>
            </w:pPr>
            <w:r w:rsidRPr="00A058B6">
              <w:t>68</w:t>
            </w:r>
          </w:p>
        </w:tc>
        <w:tc>
          <w:tcPr>
            <w:tcW w:w="904" w:type="pct"/>
            <w:tcBorders>
              <w:top w:val="single" w:sz="2" w:space="0" w:color="auto"/>
              <w:left w:val="nil"/>
              <w:bottom w:val="single" w:sz="2" w:space="0" w:color="auto"/>
              <w:right w:val="nil"/>
            </w:tcBorders>
            <w:shd w:val="clear" w:color="auto" w:fill="auto"/>
            <w:vAlign w:val="bottom"/>
          </w:tcPr>
          <w:p w14:paraId="6A95D9A9" w14:textId="77777777" w:rsidR="00302534" w:rsidRPr="00A058B6" w:rsidRDefault="00302534" w:rsidP="00302534">
            <w:pPr>
              <w:pStyle w:val="Tabletext"/>
            </w:pPr>
            <w:r w:rsidRPr="00A058B6">
              <w:t>4</w:t>
            </w:r>
            <w:r w:rsidR="00D7157D">
              <w:t>.</w:t>
            </w:r>
            <w:r w:rsidRPr="00A058B6">
              <w:t>2578</w:t>
            </w:r>
          </w:p>
        </w:tc>
        <w:tc>
          <w:tcPr>
            <w:tcW w:w="904" w:type="pct"/>
            <w:tcBorders>
              <w:top w:val="single" w:sz="2" w:space="0" w:color="auto"/>
              <w:left w:val="nil"/>
              <w:bottom w:val="single" w:sz="2" w:space="0" w:color="auto"/>
              <w:right w:val="nil"/>
            </w:tcBorders>
            <w:shd w:val="clear" w:color="auto" w:fill="auto"/>
            <w:vAlign w:val="bottom"/>
          </w:tcPr>
          <w:p w14:paraId="11CC0F46" w14:textId="77777777" w:rsidR="00302534" w:rsidRPr="00A058B6" w:rsidRDefault="00302534" w:rsidP="00302534">
            <w:pPr>
              <w:pStyle w:val="Tabletext"/>
            </w:pPr>
            <w:r w:rsidRPr="00A058B6">
              <w:t>2</w:t>
            </w:r>
            <w:r w:rsidR="00D7157D">
              <w:t>.</w:t>
            </w:r>
            <w:r w:rsidRPr="00A058B6">
              <w:t>1890</w:t>
            </w:r>
          </w:p>
        </w:tc>
        <w:tc>
          <w:tcPr>
            <w:tcW w:w="904" w:type="pct"/>
            <w:tcBorders>
              <w:top w:val="single" w:sz="2" w:space="0" w:color="auto"/>
              <w:left w:val="nil"/>
              <w:bottom w:val="single" w:sz="2" w:space="0" w:color="auto"/>
              <w:right w:val="nil"/>
            </w:tcBorders>
            <w:shd w:val="clear" w:color="auto" w:fill="auto"/>
            <w:vAlign w:val="bottom"/>
          </w:tcPr>
          <w:p w14:paraId="5C72B2F7"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5972</w:t>
            </w:r>
          </w:p>
        </w:tc>
        <w:tc>
          <w:tcPr>
            <w:tcW w:w="906" w:type="pct"/>
            <w:tcBorders>
              <w:top w:val="single" w:sz="2" w:space="0" w:color="auto"/>
              <w:left w:val="nil"/>
              <w:bottom w:val="single" w:sz="2" w:space="0" w:color="auto"/>
              <w:right w:val="nil"/>
            </w:tcBorders>
            <w:shd w:val="clear" w:color="auto" w:fill="auto"/>
            <w:vAlign w:val="bottom"/>
          </w:tcPr>
          <w:p w14:paraId="374892F6"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8315</w:t>
            </w:r>
          </w:p>
        </w:tc>
      </w:tr>
      <w:tr w:rsidR="00302534" w:rsidRPr="00A058B6" w14:paraId="07A8DE37" w14:textId="77777777" w:rsidTr="00FA26AF">
        <w:tc>
          <w:tcPr>
            <w:tcW w:w="1382" w:type="pct"/>
            <w:tcBorders>
              <w:left w:val="nil"/>
              <w:right w:val="nil"/>
            </w:tcBorders>
          </w:tcPr>
          <w:p w14:paraId="439AA7E3" w14:textId="77777777" w:rsidR="00302534" w:rsidRPr="00A058B6" w:rsidRDefault="00302534" w:rsidP="00302534">
            <w:pPr>
              <w:pStyle w:val="Tabletext"/>
            </w:pPr>
            <w:r w:rsidRPr="00A058B6">
              <w:t>69</w:t>
            </w:r>
          </w:p>
        </w:tc>
        <w:tc>
          <w:tcPr>
            <w:tcW w:w="904" w:type="pct"/>
            <w:tcBorders>
              <w:top w:val="single" w:sz="2" w:space="0" w:color="auto"/>
              <w:left w:val="nil"/>
              <w:bottom w:val="single" w:sz="2" w:space="0" w:color="auto"/>
              <w:right w:val="nil"/>
            </w:tcBorders>
            <w:shd w:val="clear" w:color="auto" w:fill="auto"/>
            <w:vAlign w:val="bottom"/>
          </w:tcPr>
          <w:p w14:paraId="1F279059" w14:textId="77777777" w:rsidR="00302534" w:rsidRPr="00A058B6" w:rsidRDefault="00302534" w:rsidP="00302534">
            <w:pPr>
              <w:pStyle w:val="Tabletext"/>
            </w:pPr>
            <w:r w:rsidRPr="00A058B6">
              <w:t>4</w:t>
            </w:r>
            <w:r w:rsidR="00D7157D">
              <w:t>.</w:t>
            </w:r>
            <w:r w:rsidRPr="00A058B6">
              <w:t>3425</w:t>
            </w:r>
          </w:p>
        </w:tc>
        <w:tc>
          <w:tcPr>
            <w:tcW w:w="904" w:type="pct"/>
            <w:tcBorders>
              <w:top w:val="single" w:sz="2" w:space="0" w:color="auto"/>
              <w:left w:val="nil"/>
              <w:bottom w:val="single" w:sz="2" w:space="0" w:color="auto"/>
              <w:right w:val="nil"/>
            </w:tcBorders>
            <w:shd w:val="clear" w:color="auto" w:fill="auto"/>
            <w:vAlign w:val="bottom"/>
          </w:tcPr>
          <w:p w14:paraId="4BD97ADA" w14:textId="77777777" w:rsidR="00302534" w:rsidRPr="00A058B6" w:rsidRDefault="00302534" w:rsidP="00302534">
            <w:pPr>
              <w:pStyle w:val="Tabletext"/>
            </w:pPr>
            <w:r w:rsidRPr="00A058B6">
              <w:t>2</w:t>
            </w:r>
            <w:r w:rsidR="00D7157D">
              <w:t>.</w:t>
            </w:r>
            <w:r w:rsidRPr="00A058B6">
              <w:t>2296</w:t>
            </w:r>
          </w:p>
        </w:tc>
        <w:tc>
          <w:tcPr>
            <w:tcW w:w="904" w:type="pct"/>
            <w:tcBorders>
              <w:top w:val="single" w:sz="2" w:space="0" w:color="auto"/>
              <w:left w:val="nil"/>
              <w:bottom w:val="single" w:sz="2" w:space="0" w:color="auto"/>
              <w:right w:val="nil"/>
            </w:tcBorders>
            <w:shd w:val="clear" w:color="auto" w:fill="auto"/>
            <w:vAlign w:val="bottom"/>
          </w:tcPr>
          <w:p w14:paraId="714AD2D6"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6512</w:t>
            </w:r>
          </w:p>
        </w:tc>
        <w:tc>
          <w:tcPr>
            <w:tcW w:w="906" w:type="pct"/>
            <w:tcBorders>
              <w:top w:val="single" w:sz="2" w:space="0" w:color="auto"/>
              <w:left w:val="nil"/>
              <w:bottom w:val="single" w:sz="2" w:space="0" w:color="auto"/>
              <w:right w:val="nil"/>
            </w:tcBorders>
            <w:shd w:val="clear" w:color="auto" w:fill="auto"/>
            <w:vAlign w:val="bottom"/>
          </w:tcPr>
          <w:p w14:paraId="5E874D2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8561</w:t>
            </w:r>
          </w:p>
        </w:tc>
      </w:tr>
      <w:tr w:rsidR="00302534" w:rsidRPr="00A058B6" w14:paraId="51D024EB" w14:textId="77777777" w:rsidTr="00FA26AF">
        <w:tc>
          <w:tcPr>
            <w:tcW w:w="1382" w:type="pct"/>
            <w:tcBorders>
              <w:left w:val="nil"/>
              <w:right w:val="nil"/>
            </w:tcBorders>
          </w:tcPr>
          <w:p w14:paraId="7461AB29" w14:textId="77777777" w:rsidR="00302534" w:rsidRPr="00A058B6" w:rsidRDefault="00302534" w:rsidP="00302534">
            <w:pPr>
              <w:pStyle w:val="Tabletext"/>
            </w:pPr>
            <w:r w:rsidRPr="00A058B6">
              <w:t>70</w:t>
            </w:r>
          </w:p>
        </w:tc>
        <w:tc>
          <w:tcPr>
            <w:tcW w:w="904" w:type="pct"/>
            <w:tcBorders>
              <w:top w:val="single" w:sz="2" w:space="0" w:color="auto"/>
              <w:left w:val="nil"/>
              <w:bottom w:val="single" w:sz="2" w:space="0" w:color="auto"/>
              <w:right w:val="nil"/>
            </w:tcBorders>
            <w:shd w:val="clear" w:color="auto" w:fill="auto"/>
            <w:vAlign w:val="bottom"/>
          </w:tcPr>
          <w:p w14:paraId="61F03329" w14:textId="77777777" w:rsidR="00302534" w:rsidRPr="00A058B6" w:rsidRDefault="00302534" w:rsidP="00302534">
            <w:pPr>
              <w:pStyle w:val="Tabletext"/>
            </w:pPr>
            <w:r w:rsidRPr="00A058B6">
              <w:t>4</w:t>
            </w:r>
            <w:r w:rsidR="00D7157D">
              <w:t>.</w:t>
            </w:r>
            <w:r w:rsidRPr="00A058B6">
              <w:t>4238</w:t>
            </w:r>
          </w:p>
        </w:tc>
        <w:tc>
          <w:tcPr>
            <w:tcW w:w="904" w:type="pct"/>
            <w:tcBorders>
              <w:top w:val="single" w:sz="2" w:space="0" w:color="auto"/>
              <w:left w:val="nil"/>
              <w:bottom w:val="single" w:sz="2" w:space="0" w:color="auto"/>
              <w:right w:val="nil"/>
            </w:tcBorders>
            <w:shd w:val="clear" w:color="auto" w:fill="auto"/>
            <w:vAlign w:val="bottom"/>
          </w:tcPr>
          <w:p w14:paraId="56E7A20E" w14:textId="77777777" w:rsidR="00302534" w:rsidRPr="00A058B6" w:rsidRDefault="00302534" w:rsidP="00302534">
            <w:pPr>
              <w:pStyle w:val="Tabletext"/>
            </w:pPr>
            <w:r w:rsidRPr="00A058B6">
              <w:t>2</w:t>
            </w:r>
            <w:r w:rsidR="00D7157D">
              <w:t>.</w:t>
            </w:r>
            <w:r w:rsidRPr="00A058B6">
              <w:t>2686</w:t>
            </w:r>
          </w:p>
        </w:tc>
        <w:tc>
          <w:tcPr>
            <w:tcW w:w="904" w:type="pct"/>
            <w:tcBorders>
              <w:top w:val="single" w:sz="2" w:space="0" w:color="auto"/>
              <w:left w:val="nil"/>
              <w:bottom w:val="single" w:sz="2" w:space="0" w:color="auto"/>
              <w:right w:val="nil"/>
            </w:tcBorders>
            <w:shd w:val="clear" w:color="auto" w:fill="auto"/>
            <w:vAlign w:val="bottom"/>
          </w:tcPr>
          <w:p w14:paraId="0F40DE16"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6998</w:t>
            </w:r>
          </w:p>
        </w:tc>
        <w:tc>
          <w:tcPr>
            <w:tcW w:w="906" w:type="pct"/>
            <w:tcBorders>
              <w:top w:val="single" w:sz="2" w:space="0" w:color="auto"/>
              <w:left w:val="nil"/>
              <w:bottom w:val="single" w:sz="2" w:space="0" w:color="auto"/>
              <w:right w:val="nil"/>
            </w:tcBorders>
            <w:shd w:val="clear" w:color="auto" w:fill="auto"/>
            <w:vAlign w:val="bottom"/>
          </w:tcPr>
          <w:p w14:paraId="4694B427"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8781</w:t>
            </w:r>
          </w:p>
        </w:tc>
      </w:tr>
      <w:tr w:rsidR="00302534" w:rsidRPr="00A058B6" w14:paraId="6F322D2D" w14:textId="77777777" w:rsidTr="00FA26AF">
        <w:tc>
          <w:tcPr>
            <w:tcW w:w="1382" w:type="pct"/>
            <w:tcBorders>
              <w:left w:val="nil"/>
              <w:right w:val="nil"/>
            </w:tcBorders>
          </w:tcPr>
          <w:p w14:paraId="392522AA" w14:textId="77777777" w:rsidR="00302534" w:rsidRPr="00A058B6" w:rsidRDefault="00302534" w:rsidP="00302534">
            <w:pPr>
              <w:pStyle w:val="Tabletext"/>
            </w:pPr>
            <w:r w:rsidRPr="00A058B6">
              <w:t>71</w:t>
            </w:r>
          </w:p>
        </w:tc>
        <w:tc>
          <w:tcPr>
            <w:tcW w:w="904" w:type="pct"/>
            <w:tcBorders>
              <w:top w:val="single" w:sz="2" w:space="0" w:color="auto"/>
              <w:left w:val="nil"/>
              <w:bottom w:val="single" w:sz="2" w:space="0" w:color="auto"/>
              <w:right w:val="nil"/>
            </w:tcBorders>
            <w:shd w:val="clear" w:color="auto" w:fill="auto"/>
            <w:vAlign w:val="bottom"/>
          </w:tcPr>
          <w:p w14:paraId="60AF9EAF" w14:textId="77777777" w:rsidR="00302534" w:rsidRPr="00A058B6" w:rsidRDefault="00302534" w:rsidP="00302534">
            <w:pPr>
              <w:pStyle w:val="Tabletext"/>
            </w:pPr>
            <w:r w:rsidRPr="00A058B6">
              <w:t>4</w:t>
            </w:r>
            <w:r w:rsidR="00D7157D">
              <w:t>.</w:t>
            </w:r>
            <w:r w:rsidRPr="00A058B6">
              <w:t>5024</w:t>
            </w:r>
          </w:p>
        </w:tc>
        <w:tc>
          <w:tcPr>
            <w:tcW w:w="904" w:type="pct"/>
            <w:tcBorders>
              <w:top w:val="single" w:sz="2" w:space="0" w:color="auto"/>
              <w:left w:val="nil"/>
              <w:bottom w:val="single" w:sz="2" w:space="0" w:color="auto"/>
              <w:right w:val="nil"/>
            </w:tcBorders>
            <w:shd w:val="clear" w:color="auto" w:fill="auto"/>
            <w:vAlign w:val="bottom"/>
          </w:tcPr>
          <w:p w14:paraId="4C6791FD" w14:textId="77777777" w:rsidR="00302534" w:rsidRPr="00A058B6" w:rsidRDefault="00302534" w:rsidP="00302534">
            <w:pPr>
              <w:pStyle w:val="Tabletext"/>
            </w:pPr>
            <w:r w:rsidRPr="00A058B6">
              <w:t>2</w:t>
            </w:r>
            <w:r w:rsidR="00D7157D">
              <w:t>.</w:t>
            </w:r>
            <w:r w:rsidRPr="00A058B6">
              <w:t>3049</w:t>
            </w:r>
          </w:p>
        </w:tc>
        <w:tc>
          <w:tcPr>
            <w:tcW w:w="904" w:type="pct"/>
            <w:tcBorders>
              <w:top w:val="single" w:sz="2" w:space="0" w:color="auto"/>
              <w:left w:val="nil"/>
              <w:bottom w:val="single" w:sz="2" w:space="0" w:color="auto"/>
              <w:right w:val="nil"/>
            </w:tcBorders>
            <w:shd w:val="clear" w:color="auto" w:fill="auto"/>
            <w:vAlign w:val="bottom"/>
          </w:tcPr>
          <w:p w14:paraId="3C587EC3"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7438</w:t>
            </w:r>
          </w:p>
        </w:tc>
        <w:tc>
          <w:tcPr>
            <w:tcW w:w="906" w:type="pct"/>
            <w:tcBorders>
              <w:top w:val="single" w:sz="2" w:space="0" w:color="auto"/>
              <w:left w:val="nil"/>
              <w:bottom w:val="single" w:sz="2" w:space="0" w:color="auto"/>
              <w:right w:val="nil"/>
            </w:tcBorders>
            <w:shd w:val="clear" w:color="auto" w:fill="auto"/>
            <w:vAlign w:val="bottom"/>
          </w:tcPr>
          <w:p w14:paraId="2A03CF3D"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8965</w:t>
            </w:r>
          </w:p>
        </w:tc>
      </w:tr>
      <w:tr w:rsidR="00302534" w:rsidRPr="00A058B6" w14:paraId="495A70AE" w14:textId="77777777" w:rsidTr="00FA26AF">
        <w:tc>
          <w:tcPr>
            <w:tcW w:w="1382" w:type="pct"/>
            <w:tcBorders>
              <w:left w:val="nil"/>
              <w:right w:val="nil"/>
            </w:tcBorders>
          </w:tcPr>
          <w:p w14:paraId="72FC0544" w14:textId="77777777" w:rsidR="00302534" w:rsidRPr="00A058B6" w:rsidRDefault="00302534" w:rsidP="00302534">
            <w:pPr>
              <w:pStyle w:val="Tabletext"/>
            </w:pPr>
            <w:r w:rsidRPr="00A058B6">
              <w:t>72</w:t>
            </w:r>
          </w:p>
        </w:tc>
        <w:tc>
          <w:tcPr>
            <w:tcW w:w="904" w:type="pct"/>
            <w:tcBorders>
              <w:top w:val="single" w:sz="2" w:space="0" w:color="auto"/>
              <w:left w:val="nil"/>
              <w:bottom w:val="single" w:sz="2" w:space="0" w:color="auto"/>
              <w:right w:val="nil"/>
            </w:tcBorders>
            <w:shd w:val="clear" w:color="auto" w:fill="auto"/>
            <w:vAlign w:val="bottom"/>
          </w:tcPr>
          <w:p w14:paraId="4962ED86" w14:textId="77777777" w:rsidR="00302534" w:rsidRPr="00A058B6" w:rsidRDefault="00302534" w:rsidP="00302534">
            <w:pPr>
              <w:pStyle w:val="Tabletext"/>
            </w:pPr>
            <w:r w:rsidRPr="00A058B6">
              <w:t>4</w:t>
            </w:r>
            <w:r w:rsidR="00D7157D">
              <w:t>.</w:t>
            </w:r>
            <w:r w:rsidRPr="00A058B6">
              <w:t>5764</w:t>
            </w:r>
          </w:p>
        </w:tc>
        <w:tc>
          <w:tcPr>
            <w:tcW w:w="904" w:type="pct"/>
            <w:tcBorders>
              <w:top w:val="single" w:sz="2" w:space="0" w:color="auto"/>
              <w:left w:val="nil"/>
              <w:bottom w:val="single" w:sz="2" w:space="0" w:color="auto"/>
              <w:right w:val="nil"/>
            </w:tcBorders>
            <w:shd w:val="clear" w:color="auto" w:fill="auto"/>
            <w:vAlign w:val="bottom"/>
          </w:tcPr>
          <w:p w14:paraId="733F1634" w14:textId="77777777" w:rsidR="00302534" w:rsidRPr="00A058B6" w:rsidRDefault="00302534" w:rsidP="00302534">
            <w:pPr>
              <w:pStyle w:val="Tabletext"/>
            </w:pPr>
            <w:r w:rsidRPr="00A058B6">
              <w:t>2</w:t>
            </w:r>
            <w:r w:rsidR="00D7157D">
              <w:t>.</w:t>
            </w:r>
            <w:r w:rsidRPr="00A058B6">
              <w:t>3379</w:t>
            </w:r>
          </w:p>
        </w:tc>
        <w:tc>
          <w:tcPr>
            <w:tcW w:w="904" w:type="pct"/>
            <w:tcBorders>
              <w:top w:val="single" w:sz="2" w:space="0" w:color="auto"/>
              <w:left w:val="nil"/>
              <w:bottom w:val="single" w:sz="2" w:space="0" w:color="auto"/>
              <w:right w:val="nil"/>
            </w:tcBorders>
            <w:shd w:val="clear" w:color="auto" w:fill="auto"/>
            <w:vAlign w:val="bottom"/>
          </w:tcPr>
          <w:p w14:paraId="5643B1A4"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7811</w:t>
            </w:r>
          </w:p>
        </w:tc>
        <w:tc>
          <w:tcPr>
            <w:tcW w:w="906" w:type="pct"/>
            <w:tcBorders>
              <w:top w:val="single" w:sz="2" w:space="0" w:color="auto"/>
              <w:left w:val="nil"/>
              <w:bottom w:val="single" w:sz="2" w:space="0" w:color="auto"/>
              <w:right w:val="nil"/>
            </w:tcBorders>
            <w:shd w:val="clear" w:color="auto" w:fill="auto"/>
            <w:vAlign w:val="bottom"/>
          </w:tcPr>
          <w:p w14:paraId="7E02B80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9106</w:t>
            </w:r>
          </w:p>
        </w:tc>
      </w:tr>
      <w:tr w:rsidR="00302534" w:rsidRPr="00A058B6" w14:paraId="0F076576" w14:textId="77777777" w:rsidTr="00FA26AF">
        <w:tc>
          <w:tcPr>
            <w:tcW w:w="1382" w:type="pct"/>
            <w:tcBorders>
              <w:left w:val="nil"/>
              <w:right w:val="nil"/>
            </w:tcBorders>
          </w:tcPr>
          <w:p w14:paraId="2DA1AD89" w14:textId="77777777" w:rsidR="00302534" w:rsidRPr="00A058B6" w:rsidRDefault="00302534" w:rsidP="00302534">
            <w:pPr>
              <w:pStyle w:val="Tabletext"/>
            </w:pPr>
            <w:r w:rsidRPr="00A058B6">
              <w:t>73</w:t>
            </w:r>
          </w:p>
        </w:tc>
        <w:tc>
          <w:tcPr>
            <w:tcW w:w="904" w:type="pct"/>
            <w:tcBorders>
              <w:top w:val="single" w:sz="2" w:space="0" w:color="auto"/>
              <w:left w:val="nil"/>
              <w:bottom w:val="single" w:sz="2" w:space="0" w:color="auto"/>
              <w:right w:val="nil"/>
            </w:tcBorders>
            <w:shd w:val="clear" w:color="auto" w:fill="auto"/>
            <w:vAlign w:val="bottom"/>
          </w:tcPr>
          <w:p w14:paraId="2E8B30F2" w14:textId="77777777" w:rsidR="00302534" w:rsidRPr="00A058B6" w:rsidRDefault="00302534" w:rsidP="00302534">
            <w:pPr>
              <w:pStyle w:val="Tabletext"/>
            </w:pPr>
            <w:r w:rsidRPr="00A058B6">
              <w:t>4</w:t>
            </w:r>
            <w:r w:rsidR="00D7157D">
              <w:t>.</w:t>
            </w:r>
            <w:r w:rsidRPr="00A058B6">
              <w:t>6454</w:t>
            </w:r>
          </w:p>
        </w:tc>
        <w:tc>
          <w:tcPr>
            <w:tcW w:w="904" w:type="pct"/>
            <w:tcBorders>
              <w:top w:val="single" w:sz="2" w:space="0" w:color="auto"/>
              <w:left w:val="nil"/>
              <w:bottom w:val="single" w:sz="2" w:space="0" w:color="auto"/>
              <w:right w:val="nil"/>
            </w:tcBorders>
            <w:shd w:val="clear" w:color="auto" w:fill="auto"/>
            <w:vAlign w:val="bottom"/>
          </w:tcPr>
          <w:p w14:paraId="2CE17507" w14:textId="77777777" w:rsidR="00302534" w:rsidRPr="00A058B6" w:rsidRDefault="00302534" w:rsidP="00302534">
            <w:pPr>
              <w:pStyle w:val="Tabletext"/>
            </w:pPr>
            <w:r w:rsidRPr="00A058B6">
              <w:t>2</w:t>
            </w:r>
            <w:r w:rsidR="00D7157D">
              <w:t>.</w:t>
            </w:r>
            <w:r w:rsidRPr="00A058B6">
              <w:t>3672</w:t>
            </w:r>
          </w:p>
        </w:tc>
        <w:tc>
          <w:tcPr>
            <w:tcW w:w="904" w:type="pct"/>
            <w:tcBorders>
              <w:top w:val="single" w:sz="2" w:space="0" w:color="auto"/>
              <w:left w:val="nil"/>
              <w:bottom w:val="single" w:sz="2" w:space="0" w:color="auto"/>
              <w:right w:val="nil"/>
            </w:tcBorders>
            <w:shd w:val="clear" w:color="auto" w:fill="auto"/>
            <w:vAlign w:val="bottom"/>
          </w:tcPr>
          <w:p w14:paraId="60536176"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8115</w:t>
            </w:r>
          </w:p>
        </w:tc>
        <w:tc>
          <w:tcPr>
            <w:tcW w:w="906" w:type="pct"/>
            <w:tcBorders>
              <w:top w:val="single" w:sz="2" w:space="0" w:color="auto"/>
              <w:left w:val="nil"/>
              <w:bottom w:val="single" w:sz="2" w:space="0" w:color="auto"/>
              <w:right w:val="nil"/>
            </w:tcBorders>
            <w:shd w:val="clear" w:color="auto" w:fill="auto"/>
            <w:vAlign w:val="bottom"/>
          </w:tcPr>
          <w:p w14:paraId="79CED67D"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9203</w:t>
            </w:r>
          </w:p>
        </w:tc>
      </w:tr>
      <w:tr w:rsidR="00302534" w:rsidRPr="00A058B6" w14:paraId="3CED14D8" w14:textId="77777777" w:rsidTr="00FA26AF">
        <w:tc>
          <w:tcPr>
            <w:tcW w:w="1382" w:type="pct"/>
            <w:tcBorders>
              <w:left w:val="nil"/>
              <w:right w:val="nil"/>
            </w:tcBorders>
          </w:tcPr>
          <w:p w14:paraId="29CC10A6" w14:textId="77777777" w:rsidR="00302534" w:rsidRPr="00A058B6" w:rsidRDefault="00302534" w:rsidP="00302534">
            <w:pPr>
              <w:pStyle w:val="Tabletext"/>
            </w:pPr>
            <w:r w:rsidRPr="00A058B6">
              <w:t>74</w:t>
            </w:r>
          </w:p>
        </w:tc>
        <w:tc>
          <w:tcPr>
            <w:tcW w:w="904" w:type="pct"/>
            <w:tcBorders>
              <w:top w:val="single" w:sz="2" w:space="0" w:color="auto"/>
              <w:left w:val="nil"/>
              <w:bottom w:val="single" w:sz="2" w:space="0" w:color="auto"/>
              <w:right w:val="nil"/>
            </w:tcBorders>
            <w:shd w:val="clear" w:color="auto" w:fill="auto"/>
            <w:vAlign w:val="bottom"/>
          </w:tcPr>
          <w:p w14:paraId="14A76D4D" w14:textId="77777777" w:rsidR="00302534" w:rsidRPr="00A058B6" w:rsidRDefault="00302534" w:rsidP="00302534">
            <w:pPr>
              <w:pStyle w:val="Tabletext"/>
            </w:pPr>
            <w:r w:rsidRPr="00A058B6">
              <w:t>4</w:t>
            </w:r>
            <w:r w:rsidR="00D7157D">
              <w:t>.</w:t>
            </w:r>
            <w:r w:rsidRPr="00A058B6">
              <w:t>7079</w:t>
            </w:r>
          </w:p>
        </w:tc>
        <w:tc>
          <w:tcPr>
            <w:tcW w:w="904" w:type="pct"/>
            <w:tcBorders>
              <w:top w:val="single" w:sz="2" w:space="0" w:color="auto"/>
              <w:left w:val="nil"/>
              <w:bottom w:val="single" w:sz="2" w:space="0" w:color="auto"/>
              <w:right w:val="nil"/>
            </w:tcBorders>
            <w:shd w:val="clear" w:color="auto" w:fill="auto"/>
            <w:vAlign w:val="bottom"/>
          </w:tcPr>
          <w:p w14:paraId="7618D0E7" w14:textId="77777777" w:rsidR="00302534" w:rsidRPr="00A058B6" w:rsidRDefault="00302534" w:rsidP="00302534">
            <w:pPr>
              <w:pStyle w:val="Tabletext"/>
            </w:pPr>
            <w:r w:rsidRPr="00A058B6">
              <w:t>2</w:t>
            </w:r>
            <w:r w:rsidR="00D7157D">
              <w:t>.</w:t>
            </w:r>
            <w:r w:rsidRPr="00A058B6">
              <w:t>3930</w:t>
            </w:r>
          </w:p>
        </w:tc>
        <w:tc>
          <w:tcPr>
            <w:tcW w:w="904" w:type="pct"/>
            <w:tcBorders>
              <w:top w:val="single" w:sz="2" w:space="0" w:color="auto"/>
              <w:left w:val="nil"/>
              <w:bottom w:val="single" w:sz="2" w:space="0" w:color="auto"/>
              <w:right w:val="nil"/>
            </w:tcBorders>
            <w:shd w:val="clear" w:color="auto" w:fill="auto"/>
            <w:vAlign w:val="bottom"/>
          </w:tcPr>
          <w:p w14:paraId="31131505"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8336</w:t>
            </w:r>
          </w:p>
        </w:tc>
        <w:tc>
          <w:tcPr>
            <w:tcW w:w="906" w:type="pct"/>
            <w:tcBorders>
              <w:top w:val="single" w:sz="2" w:space="0" w:color="auto"/>
              <w:left w:val="nil"/>
              <w:bottom w:val="single" w:sz="2" w:space="0" w:color="auto"/>
              <w:right w:val="nil"/>
            </w:tcBorders>
            <w:shd w:val="clear" w:color="auto" w:fill="auto"/>
            <w:vAlign w:val="bottom"/>
          </w:tcPr>
          <w:p w14:paraId="441A3842"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9256</w:t>
            </w:r>
          </w:p>
        </w:tc>
      </w:tr>
      <w:tr w:rsidR="00302534" w:rsidRPr="00A058B6" w14:paraId="5081A18A" w14:textId="77777777" w:rsidTr="00FA26AF">
        <w:tc>
          <w:tcPr>
            <w:tcW w:w="1382" w:type="pct"/>
            <w:tcBorders>
              <w:left w:val="nil"/>
              <w:right w:val="nil"/>
            </w:tcBorders>
          </w:tcPr>
          <w:p w14:paraId="6E456647" w14:textId="77777777" w:rsidR="00302534" w:rsidRPr="00A058B6" w:rsidRDefault="00302534" w:rsidP="00302534">
            <w:pPr>
              <w:pStyle w:val="Tabletext"/>
            </w:pPr>
            <w:r w:rsidRPr="00A058B6">
              <w:t>75</w:t>
            </w:r>
          </w:p>
        </w:tc>
        <w:tc>
          <w:tcPr>
            <w:tcW w:w="904" w:type="pct"/>
            <w:tcBorders>
              <w:top w:val="single" w:sz="2" w:space="0" w:color="auto"/>
              <w:left w:val="nil"/>
              <w:bottom w:val="single" w:sz="2" w:space="0" w:color="auto"/>
              <w:right w:val="nil"/>
            </w:tcBorders>
            <w:shd w:val="clear" w:color="auto" w:fill="auto"/>
            <w:vAlign w:val="bottom"/>
          </w:tcPr>
          <w:p w14:paraId="77719A64" w14:textId="77777777" w:rsidR="00302534" w:rsidRPr="00A058B6" w:rsidRDefault="00302534" w:rsidP="00302534">
            <w:pPr>
              <w:pStyle w:val="Tabletext"/>
            </w:pPr>
            <w:r w:rsidRPr="00A058B6">
              <w:t>4</w:t>
            </w:r>
            <w:r w:rsidR="00D7157D">
              <w:t>.</w:t>
            </w:r>
            <w:r w:rsidRPr="00A058B6">
              <w:t>7631</w:t>
            </w:r>
          </w:p>
        </w:tc>
        <w:tc>
          <w:tcPr>
            <w:tcW w:w="904" w:type="pct"/>
            <w:tcBorders>
              <w:top w:val="single" w:sz="2" w:space="0" w:color="auto"/>
              <w:left w:val="nil"/>
              <w:bottom w:val="single" w:sz="2" w:space="0" w:color="auto"/>
              <w:right w:val="nil"/>
            </w:tcBorders>
            <w:shd w:val="clear" w:color="auto" w:fill="auto"/>
            <w:vAlign w:val="bottom"/>
          </w:tcPr>
          <w:p w14:paraId="5C3CDE0B" w14:textId="77777777" w:rsidR="00302534" w:rsidRPr="00A058B6" w:rsidRDefault="00302534" w:rsidP="00302534">
            <w:pPr>
              <w:pStyle w:val="Tabletext"/>
            </w:pPr>
            <w:r w:rsidRPr="00A058B6">
              <w:t>2</w:t>
            </w:r>
            <w:r w:rsidR="00D7157D">
              <w:t>.</w:t>
            </w:r>
            <w:r w:rsidRPr="00A058B6">
              <w:t>4157</w:t>
            </w:r>
          </w:p>
        </w:tc>
        <w:tc>
          <w:tcPr>
            <w:tcW w:w="904" w:type="pct"/>
            <w:tcBorders>
              <w:top w:val="single" w:sz="2" w:space="0" w:color="auto"/>
              <w:left w:val="nil"/>
              <w:bottom w:val="single" w:sz="2" w:space="0" w:color="auto"/>
              <w:right w:val="nil"/>
            </w:tcBorders>
            <w:shd w:val="clear" w:color="auto" w:fill="auto"/>
            <w:vAlign w:val="bottom"/>
          </w:tcPr>
          <w:p w14:paraId="261F459B"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8464</w:t>
            </w:r>
          </w:p>
        </w:tc>
        <w:tc>
          <w:tcPr>
            <w:tcW w:w="906" w:type="pct"/>
            <w:tcBorders>
              <w:top w:val="single" w:sz="2" w:space="0" w:color="auto"/>
              <w:left w:val="nil"/>
              <w:bottom w:val="single" w:sz="2" w:space="0" w:color="auto"/>
              <w:right w:val="nil"/>
            </w:tcBorders>
            <w:shd w:val="clear" w:color="auto" w:fill="auto"/>
            <w:vAlign w:val="bottom"/>
          </w:tcPr>
          <w:p w14:paraId="18BE1D95"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9273</w:t>
            </w:r>
          </w:p>
        </w:tc>
      </w:tr>
      <w:tr w:rsidR="00302534" w:rsidRPr="00A058B6" w14:paraId="77606DF0" w14:textId="77777777" w:rsidTr="00FA26AF">
        <w:tc>
          <w:tcPr>
            <w:tcW w:w="1382" w:type="pct"/>
            <w:tcBorders>
              <w:left w:val="nil"/>
              <w:right w:val="nil"/>
            </w:tcBorders>
          </w:tcPr>
          <w:p w14:paraId="181EFEC1" w14:textId="77777777" w:rsidR="00302534" w:rsidRPr="00A058B6" w:rsidRDefault="00302534" w:rsidP="00302534">
            <w:pPr>
              <w:pStyle w:val="Tabletext"/>
            </w:pPr>
            <w:r w:rsidRPr="00A058B6">
              <w:t>76</w:t>
            </w:r>
          </w:p>
        </w:tc>
        <w:tc>
          <w:tcPr>
            <w:tcW w:w="904" w:type="pct"/>
            <w:tcBorders>
              <w:top w:val="single" w:sz="2" w:space="0" w:color="auto"/>
              <w:left w:val="nil"/>
              <w:bottom w:val="single" w:sz="2" w:space="0" w:color="auto"/>
              <w:right w:val="nil"/>
            </w:tcBorders>
            <w:shd w:val="clear" w:color="auto" w:fill="auto"/>
            <w:vAlign w:val="bottom"/>
          </w:tcPr>
          <w:p w14:paraId="782000DC" w14:textId="77777777" w:rsidR="00302534" w:rsidRPr="00A058B6" w:rsidRDefault="00302534" w:rsidP="00302534">
            <w:pPr>
              <w:pStyle w:val="Tabletext"/>
            </w:pPr>
            <w:r w:rsidRPr="00A058B6">
              <w:t>4</w:t>
            </w:r>
            <w:r w:rsidR="00D7157D">
              <w:t>.</w:t>
            </w:r>
            <w:r w:rsidRPr="00A058B6">
              <w:t>8099</w:t>
            </w:r>
          </w:p>
        </w:tc>
        <w:tc>
          <w:tcPr>
            <w:tcW w:w="904" w:type="pct"/>
            <w:tcBorders>
              <w:top w:val="single" w:sz="2" w:space="0" w:color="auto"/>
              <w:left w:val="nil"/>
              <w:bottom w:val="single" w:sz="2" w:space="0" w:color="auto"/>
              <w:right w:val="nil"/>
            </w:tcBorders>
            <w:shd w:val="clear" w:color="auto" w:fill="auto"/>
            <w:vAlign w:val="bottom"/>
          </w:tcPr>
          <w:p w14:paraId="7ECDF473" w14:textId="77777777" w:rsidR="00302534" w:rsidRPr="00A058B6" w:rsidRDefault="00302534" w:rsidP="00302534">
            <w:pPr>
              <w:pStyle w:val="Tabletext"/>
            </w:pPr>
            <w:r w:rsidRPr="00A058B6">
              <w:t>2</w:t>
            </w:r>
            <w:r w:rsidR="00D7157D">
              <w:t>.</w:t>
            </w:r>
            <w:r w:rsidRPr="00A058B6">
              <w:t>4365</w:t>
            </w:r>
          </w:p>
        </w:tc>
        <w:tc>
          <w:tcPr>
            <w:tcW w:w="904" w:type="pct"/>
            <w:tcBorders>
              <w:top w:val="single" w:sz="2" w:space="0" w:color="auto"/>
              <w:left w:val="nil"/>
              <w:bottom w:val="single" w:sz="2" w:space="0" w:color="auto"/>
              <w:right w:val="nil"/>
            </w:tcBorders>
            <w:shd w:val="clear" w:color="auto" w:fill="auto"/>
            <w:vAlign w:val="bottom"/>
          </w:tcPr>
          <w:p w14:paraId="3E27DBC9"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8492</w:t>
            </w:r>
          </w:p>
        </w:tc>
        <w:tc>
          <w:tcPr>
            <w:tcW w:w="906" w:type="pct"/>
            <w:tcBorders>
              <w:top w:val="single" w:sz="2" w:space="0" w:color="auto"/>
              <w:left w:val="nil"/>
              <w:bottom w:val="single" w:sz="2" w:space="0" w:color="auto"/>
              <w:right w:val="nil"/>
            </w:tcBorders>
            <w:shd w:val="clear" w:color="auto" w:fill="auto"/>
            <w:vAlign w:val="bottom"/>
          </w:tcPr>
          <w:p w14:paraId="1A27792D"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9264</w:t>
            </w:r>
          </w:p>
        </w:tc>
      </w:tr>
      <w:tr w:rsidR="00302534" w:rsidRPr="00A058B6" w14:paraId="6ABBA8E4" w14:textId="77777777" w:rsidTr="00FA26AF">
        <w:tc>
          <w:tcPr>
            <w:tcW w:w="1382" w:type="pct"/>
            <w:tcBorders>
              <w:left w:val="nil"/>
              <w:right w:val="nil"/>
            </w:tcBorders>
          </w:tcPr>
          <w:p w14:paraId="4966920A" w14:textId="77777777" w:rsidR="00302534" w:rsidRPr="00A058B6" w:rsidRDefault="00302534" w:rsidP="00302534">
            <w:pPr>
              <w:pStyle w:val="Tabletext"/>
            </w:pPr>
            <w:r w:rsidRPr="00A058B6">
              <w:t>77</w:t>
            </w:r>
          </w:p>
        </w:tc>
        <w:tc>
          <w:tcPr>
            <w:tcW w:w="904" w:type="pct"/>
            <w:tcBorders>
              <w:top w:val="single" w:sz="2" w:space="0" w:color="auto"/>
              <w:left w:val="nil"/>
              <w:bottom w:val="single" w:sz="2" w:space="0" w:color="auto"/>
              <w:right w:val="nil"/>
            </w:tcBorders>
            <w:shd w:val="clear" w:color="auto" w:fill="auto"/>
            <w:vAlign w:val="bottom"/>
          </w:tcPr>
          <w:p w14:paraId="7EFD5B3A" w14:textId="77777777" w:rsidR="00302534" w:rsidRPr="00A058B6" w:rsidRDefault="00302534" w:rsidP="00302534">
            <w:pPr>
              <w:pStyle w:val="Tabletext"/>
            </w:pPr>
            <w:r w:rsidRPr="00A058B6">
              <w:t>4</w:t>
            </w:r>
            <w:r w:rsidR="00D7157D">
              <w:t>.</w:t>
            </w:r>
            <w:r w:rsidRPr="00A058B6">
              <w:t>8473</w:t>
            </w:r>
          </w:p>
        </w:tc>
        <w:tc>
          <w:tcPr>
            <w:tcW w:w="904" w:type="pct"/>
            <w:tcBorders>
              <w:top w:val="single" w:sz="2" w:space="0" w:color="auto"/>
              <w:left w:val="nil"/>
              <w:bottom w:val="single" w:sz="2" w:space="0" w:color="auto"/>
              <w:right w:val="nil"/>
            </w:tcBorders>
            <w:shd w:val="clear" w:color="auto" w:fill="auto"/>
            <w:vAlign w:val="bottom"/>
          </w:tcPr>
          <w:p w14:paraId="58A1B8DB" w14:textId="77777777" w:rsidR="00302534" w:rsidRPr="00A058B6" w:rsidRDefault="00302534" w:rsidP="00302534">
            <w:pPr>
              <w:pStyle w:val="Tabletext"/>
            </w:pPr>
            <w:r w:rsidRPr="00A058B6">
              <w:t>2</w:t>
            </w:r>
            <w:r w:rsidR="00D7157D">
              <w:t>.</w:t>
            </w:r>
            <w:r w:rsidRPr="00A058B6">
              <w:t>4541</w:t>
            </w:r>
          </w:p>
        </w:tc>
        <w:tc>
          <w:tcPr>
            <w:tcW w:w="904" w:type="pct"/>
            <w:tcBorders>
              <w:top w:val="single" w:sz="2" w:space="0" w:color="auto"/>
              <w:left w:val="nil"/>
              <w:bottom w:val="single" w:sz="2" w:space="0" w:color="auto"/>
              <w:right w:val="nil"/>
            </w:tcBorders>
            <w:shd w:val="clear" w:color="auto" w:fill="auto"/>
            <w:vAlign w:val="bottom"/>
          </w:tcPr>
          <w:p w14:paraId="4F3D7BE7"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8410</w:t>
            </w:r>
          </w:p>
        </w:tc>
        <w:tc>
          <w:tcPr>
            <w:tcW w:w="906" w:type="pct"/>
            <w:tcBorders>
              <w:top w:val="single" w:sz="2" w:space="0" w:color="auto"/>
              <w:left w:val="nil"/>
              <w:bottom w:val="single" w:sz="2" w:space="0" w:color="auto"/>
              <w:right w:val="nil"/>
            </w:tcBorders>
            <w:shd w:val="clear" w:color="auto" w:fill="auto"/>
            <w:vAlign w:val="bottom"/>
          </w:tcPr>
          <w:p w14:paraId="04C73EAA"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9220</w:t>
            </w:r>
          </w:p>
        </w:tc>
      </w:tr>
      <w:tr w:rsidR="00302534" w:rsidRPr="00A058B6" w14:paraId="2EC4B3CB" w14:textId="77777777" w:rsidTr="00FA26AF">
        <w:tc>
          <w:tcPr>
            <w:tcW w:w="1382" w:type="pct"/>
            <w:tcBorders>
              <w:left w:val="nil"/>
              <w:right w:val="nil"/>
            </w:tcBorders>
          </w:tcPr>
          <w:p w14:paraId="3C4B2851" w14:textId="77777777" w:rsidR="00302534" w:rsidRPr="00A058B6" w:rsidRDefault="00302534" w:rsidP="00302534">
            <w:pPr>
              <w:pStyle w:val="Tabletext"/>
            </w:pPr>
            <w:r w:rsidRPr="00A058B6">
              <w:t>78</w:t>
            </w:r>
          </w:p>
        </w:tc>
        <w:tc>
          <w:tcPr>
            <w:tcW w:w="904" w:type="pct"/>
            <w:tcBorders>
              <w:top w:val="single" w:sz="2" w:space="0" w:color="auto"/>
              <w:left w:val="nil"/>
              <w:bottom w:val="single" w:sz="2" w:space="0" w:color="auto"/>
              <w:right w:val="nil"/>
            </w:tcBorders>
            <w:shd w:val="clear" w:color="auto" w:fill="auto"/>
            <w:vAlign w:val="bottom"/>
          </w:tcPr>
          <w:p w14:paraId="2A567E13" w14:textId="77777777" w:rsidR="00302534" w:rsidRPr="00A058B6" w:rsidRDefault="00302534" w:rsidP="00302534">
            <w:pPr>
              <w:pStyle w:val="Tabletext"/>
            </w:pPr>
            <w:r w:rsidRPr="00A058B6">
              <w:t>4</w:t>
            </w:r>
            <w:r w:rsidR="00D7157D">
              <w:t>.</w:t>
            </w:r>
            <w:r w:rsidRPr="00A058B6">
              <w:t>8741</w:t>
            </w:r>
          </w:p>
        </w:tc>
        <w:tc>
          <w:tcPr>
            <w:tcW w:w="904" w:type="pct"/>
            <w:tcBorders>
              <w:top w:val="single" w:sz="2" w:space="0" w:color="auto"/>
              <w:left w:val="nil"/>
              <w:bottom w:val="single" w:sz="2" w:space="0" w:color="auto"/>
              <w:right w:val="nil"/>
            </w:tcBorders>
            <w:shd w:val="clear" w:color="auto" w:fill="auto"/>
            <w:vAlign w:val="bottom"/>
          </w:tcPr>
          <w:p w14:paraId="532F5FCA" w14:textId="77777777" w:rsidR="00302534" w:rsidRPr="00A058B6" w:rsidRDefault="00302534" w:rsidP="00302534">
            <w:pPr>
              <w:pStyle w:val="Tabletext"/>
            </w:pPr>
            <w:r w:rsidRPr="00A058B6">
              <w:t>2</w:t>
            </w:r>
            <w:r w:rsidR="00D7157D">
              <w:t>.</w:t>
            </w:r>
            <w:r w:rsidRPr="00A058B6">
              <w:t>4679</w:t>
            </w:r>
          </w:p>
        </w:tc>
        <w:tc>
          <w:tcPr>
            <w:tcW w:w="904" w:type="pct"/>
            <w:tcBorders>
              <w:top w:val="single" w:sz="2" w:space="0" w:color="auto"/>
              <w:left w:val="nil"/>
              <w:bottom w:val="single" w:sz="2" w:space="0" w:color="auto"/>
              <w:right w:val="nil"/>
            </w:tcBorders>
            <w:shd w:val="clear" w:color="auto" w:fill="auto"/>
            <w:vAlign w:val="bottom"/>
          </w:tcPr>
          <w:p w14:paraId="5B7AADC2"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8208</w:t>
            </w:r>
          </w:p>
        </w:tc>
        <w:tc>
          <w:tcPr>
            <w:tcW w:w="906" w:type="pct"/>
            <w:tcBorders>
              <w:top w:val="single" w:sz="2" w:space="0" w:color="auto"/>
              <w:left w:val="nil"/>
              <w:bottom w:val="single" w:sz="2" w:space="0" w:color="auto"/>
              <w:right w:val="nil"/>
            </w:tcBorders>
            <w:shd w:val="clear" w:color="auto" w:fill="auto"/>
            <w:vAlign w:val="bottom"/>
          </w:tcPr>
          <w:p w14:paraId="0C68E277"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9132</w:t>
            </w:r>
          </w:p>
        </w:tc>
      </w:tr>
      <w:tr w:rsidR="00302534" w:rsidRPr="00A058B6" w14:paraId="63BE1F49" w14:textId="77777777" w:rsidTr="00FA26AF">
        <w:tc>
          <w:tcPr>
            <w:tcW w:w="1382" w:type="pct"/>
            <w:tcBorders>
              <w:left w:val="nil"/>
              <w:right w:val="nil"/>
            </w:tcBorders>
          </w:tcPr>
          <w:p w14:paraId="4B322DF0" w14:textId="77777777" w:rsidR="00302534" w:rsidRPr="00A058B6" w:rsidRDefault="00302534" w:rsidP="00302534">
            <w:pPr>
              <w:pStyle w:val="Tabletext"/>
            </w:pPr>
            <w:r w:rsidRPr="00A058B6">
              <w:t>79</w:t>
            </w:r>
          </w:p>
        </w:tc>
        <w:tc>
          <w:tcPr>
            <w:tcW w:w="904" w:type="pct"/>
            <w:tcBorders>
              <w:top w:val="single" w:sz="2" w:space="0" w:color="auto"/>
              <w:left w:val="nil"/>
              <w:bottom w:val="single" w:sz="2" w:space="0" w:color="auto"/>
              <w:right w:val="nil"/>
            </w:tcBorders>
            <w:shd w:val="clear" w:color="auto" w:fill="auto"/>
            <w:vAlign w:val="bottom"/>
          </w:tcPr>
          <w:p w14:paraId="5F193D0F" w14:textId="77777777" w:rsidR="00302534" w:rsidRPr="00A058B6" w:rsidRDefault="00302534" w:rsidP="00302534">
            <w:pPr>
              <w:pStyle w:val="Tabletext"/>
            </w:pPr>
            <w:r w:rsidRPr="00A058B6">
              <w:t>4</w:t>
            </w:r>
            <w:r w:rsidR="00D7157D">
              <w:t>.</w:t>
            </w:r>
            <w:r w:rsidRPr="00A058B6">
              <w:t>8875</w:t>
            </w:r>
          </w:p>
        </w:tc>
        <w:tc>
          <w:tcPr>
            <w:tcW w:w="904" w:type="pct"/>
            <w:tcBorders>
              <w:top w:val="single" w:sz="2" w:space="0" w:color="auto"/>
              <w:left w:val="nil"/>
              <w:bottom w:val="single" w:sz="2" w:space="0" w:color="auto"/>
              <w:right w:val="nil"/>
            </w:tcBorders>
            <w:shd w:val="clear" w:color="auto" w:fill="auto"/>
            <w:vAlign w:val="bottom"/>
          </w:tcPr>
          <w:p w14:paraId="66483F5D" w14:textId="77777777" w:rsidR="00302534" w:rsidRPr="00A058B6" w:rsidRDefault="00302534" w:rsidP="00302534">
            <w:pPr>
              <w:pStyle w:val="Tabletext"/>
            </w:pPr>
            <w:r w:rsidRPr="00A058B6">
              <w:t>2</w:t>
            </w:r>
            <w:r w:rsidR="00D7157D">
              <w:t>.</w:t>
            </w:r>
            <w:r w:rsidRPr="00A058B6">
              <w:t>4763</w:t>
            </w:r>
          </w:p>
        </w:tc>
        <w:tc>
          <w:tcPr>
            <w:tcW w:w="904" w:type="pct"/>
            <w:tcBorders>
              <w:top w:val="single" w:sz="2" w:space="0" w:color="auto"/>
              <w:left w:val="nil"/>
              <w:bottom w:val="single" w:sz="2" w:space="0" w:color="auto"/>
              <w:right w:val="nil"/>
            </w:tcBorders>
            <w:shd w:val="clear" w:color="auto" w:fill="auto"/>
            <w:vAlign w:val="bottom"/>
          </w:tcPr>
          <w:p w14:paraId="7CB3C798"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7859</w:t>
            </w:r>
          </w:p>
        </w:tc>
        <w:tc>
          <w:tcPr>
            <w:tcW w:w="906" w:type="pct"/>
            <w:tcBorders>
              <w:top w:val="single" w:sz="2" w:space="0" w:color="auto"/>
              <w:left w:val="nil"/>
              <w:bottom w:val="single" w:sz="2" w:space="0" w:color="auto"/>
              <w:right w:val="nil"/>
            </w:tcBorders>
            <w:shd w:val="clear" w:color="auto" w:fill="auto"/>
            <w:vAlign w:val="bottom"/>
          </w:tcPr>
          <w:p w14:paraId="17FD193E"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8988</w:t>
            </w:r>
          </w:p>
        </w:tc>
      </w:tr>
      <w:tr w:rsidR="00302534" w:rsidRPr="00A058B6" w14:paraId="111DFC94" w14:textId="77777777" w:rsidTr="00FA26AF">
        <w:tc>
          <w:tcPr>
            <w:tcW w:w="1382" w:type="pct"/>
            <w:tcBorders>
              <w:left w:val="nil"/>
              <w:right w:val="nil"/>
            </w:tcBorders>
          </w:tcPr>
          <w:p w14:paraId="0FC32377" w14:textId="77777777" w:rsidR="00302534" w:rsidRPr="00A058B6" w:rsidRDefault="00302534" w:rsidP="00302534">
            <w:pPr>
              <w:pStyle w:val="Tabletext"/>
            </w:pPr>
            <w:r w:rsidRPr="00A058B6">
              <w:t>80</w:t>
            </w:r>
          </w:p>
        </w:tc>
        <w:tc>
          <w:tcPr>
            <w:tcW w:w="904" w:type="pct"/>
            <w:tcBorders>
              <w:top w:val="single" w:sz="2" w:space="0" w:color="auto"/>
              <w:left w:val="nil"/>
              <w:bottom w:val="single" w:sz="2" w:space="0" w:color="auto"/>
              <w:right w:val="nil"/>
            </w:tcBorders>
            <w:shd w:val="clear" w:color="auto" w:fill="auto"/>
            <w:vAlign w:val="bottom"/>
          </w:tcPr>
          <w:p w14:paraId="4C344DF1" w14:textId="77777777" w:rsidR="00302534" w:rsidRPr="00A058B6" w:rsidRDefault="00302534" w:rsidP="00302534">
            <w:pPr>
              <w:pStyle w:val="Tabletext"/>
            </w:pPr>
            <w:r w:rsidRPr="00A058B6">
              <w:t>4</w:t>
            </w:r>
            <w:r w:rsidR="00D7157D">
              <w:t>.</w:t>
            </w:r>
            <w:r w:rsidRPr="00A058B6">
              <w:t>8860</w:t>
            </w:r>
          </w:p>
        </w:tc>
        <w:tc>
          <w:tcPr>
            <w:tcW w:w="904" w:type="pct"/>
            <w:tcBorders>
              <w:top w:val="single" w:sz="2" w:space="0" w:color="auto"/>
              <w:left w:val="nil"/>
              <w:bottom w:val="single" w:sz="2" w:space="0" w:color="auto"/>
              <w:right w:val="nil"/>
            </w:tcBorders>
            <w:shd w:val="clear" w:color="auto" w:fill="auto"/>
            <w:vAlign w:val="bottom"/>
          </w:tcPr>
          <w:p w14:paraId="0D9EFBDB" w14:textId="77777777" w:rsidR="00302534" w:rsidRPr="00A058B6" w:rsidRDefault="00302534" w:rsidP="00302534">
            <w:pPr>
              <w:pStyle w:val="Tabletext"/>
            </w:pPr>
            <w:r w:rsidRPr="00A058B6">
              <w:t>2</w:t>
            </w:r>
            <w:r w:rsidR="00D7157D">
              <w:t>.</w:t>
            </w:r>
            <w:r w:rsidRPr="00A058B6">
              <w:t>4789</w:t>
            </w:r>
          </w:p>
        </w:tc>
        <w:tc>
          <w:tcPr>
            <w:tcW w:w="904" w:type="pct"/>
            <w:tcBorders>
              <w:top w:val="single" w:sz="2" w:space="0" w:color="auto"/>
              <w:left w:val="nil"/>
              <w:bottom w:val="single" w:sz="2" w:space="0" w:color="auto"/>
              <w:right w:val="nil"/>
            </w:tcBorders>
            <w:shd w:val="clear" w:color="auto" w:fill="auto"/>
            <w:vAlign w:val="bottom"/>
          </w:tcPr>
          <w:p w14:paraId="2730CA37"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7351</w:t>
            </w:r>
          </w:p>
        </w:tc>
        <w:tc>
          <w:tcPr>
            <w:tcW w:w="906" w:type="pct"/>
            <w:tcBorders>
              <w:top w:val="single" w:sz="2" w:space="0" w:color="auto"/>
              <w:left w:val="nil"/>
              <w:bottom w:val="single" w:sz="2" w:space="0" w:color="auto"/>
              <w:right w:val="nil"/>
            </w:tcBorders>
            <w:shd w:val="clear" w:color="auto" w:fill="auto"/>
            <w:vAlign w:val="bottom"/>
          </w:tcPr>
          <w:p w14:paraId="15CA68AA"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8782</w:t>
            </w:r>
          </w:p>
        </w:tc>
      </w:tr>
      <w:tr w:rsidR="00302534" w:rsidRPr="00A058B6" w14:paraId="051E4A3F" w14:textId="77777777" w:rsidTr="00FA26AF">
        <w:tc>
          <w:tcPr>
            <w:tcW w:w="1382" w:type="pct"/>
            <w:tcBorders>
              <w:left w:val="nil"/>
              <w:right w:val="nil"/>
            </w:tcBorders>
          </w:tcPr>
          <w:p w14:paraId="466F83CB" w14:textId="77777777" w:rsidR="00302534" w:rsidRPr="00A058B6" w:rsidRDefault="00302534" w:rsidP="00302534">
            <w:pPr>
              <w:pStyle w:val="Tabletext"/>
            </w:pPr>
            <w:r w:rsidRPr="00A058B6">
              <w:t>81</w:t>
            </w:r>
          </w:p>
        </w:tc>
        <w:tc>
          <w:tcPr>
            <w:tcW w:w="904" w:type="pct"/>
            <w:tcBorders>
              <w:top w:val="single" w:sz="2" w:space="0" w:color="auto"/>
              <w:left w:val="nil"/>
              <w:bottom w:val="single" w:sz="2" w:space="0" w:color="auto"/>
              <w:right w:val="nil"/>
            </w:tcBorders>
            <w:shd w:val="clear" w:color="auto" w:fill="auto"/>
            <w:vAlign w:val="bottom"/>
          </w:tcPr>
          <w:p w14:paraId="3F1FEE45" w14:textId="77777777" w:rsidR="00302534" w:rsidRPr="00A058B6" w:rsidRDefault="00302534" w:rsidP="00302534">
            <w:pPr>
              <w:pStyle w:val="Tabletext"/>
            </w:pPr>
            <w:r w:rsidRPr="00A058B6">
              <w:t>4</w:t>
            </w:r>
            <w:r w:rsidR="00D7157D">
              <w:t>.</w:t>
            </w:r>
            <w:r w:rsidRPr="00A058B6">
              <w:t>8682</w:t>
            </w:r>
          </w:p>
        </w:tc>
        <w:tc>
          <w:tcPr>
            <w:tcW w:w="904" w:type="pct"/>
            <w:tcBorders>
              <w:top w:val="single" w:sz="2" w:space="0" w:color="auto"/>
              <w:left w:val="nil"/>
              <w:bottom w:val="single" w:sz="2" w:space="0" w:color="auto"/>
              <w:right w:val="nil"/>
            </w:tcBorders>
            <w:shd w:val="clear" w:color="auto" w:fill="auto"/>
            <w:vAlign w:val="bottom"/>
          </w:tcPr>
          <w:p w14:paraId="470499A5" w14:textId="77777777" w:rsidR="00302534" w:rsidRPr="00A058B6" w:rsidRDefault="00302534" w:rsidP="00302534">
            <w:pPr>
              <w:pStyle w:val="Tabletext"/>
            </w:pPr>
            <w:r w:rsidRPr="00A058B6">
              <w:t>2</w:t>
            </w:r>
            <w:r w:rsidR="00D7157D">
              <w:t>.</w:t>
            </w:r>
            <w:r w:rsidRPr="00A058B6">
              <w:t>4749</w:t>
            </w:r>
          </w:p>
        </w:tc>
        <w:tc>
          <w:tcPr>
            <w:tcW w:w="904" w:type="pct"/>
            <w:tcBorders>
              <w:top w:val="single" w:sz="2" w:space="0" w:color="auto"/>
              <w:left w:val="nil"/>
              <w:bottom w:val="single" w:sz="2" w:space="0" w:color="auto"/>
              <w:right w:val="nil"/>
            </w:tcBorders>
            <w:shd w:val="clear" w:color="auto" w:fill="auto"/>
            <w:vAlign w:val="bottom"/>
          </w:tcPr>
          <w:p w14:paraId="16871AD9"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6673</w:t>
            </w:r>
          </w:p>
        </w:tc>
        <w:tc>
          <w:tcPr>
            <w:tcW w:w="906" w:type="pct"/>
            <w:tcBorders>
              <w:top w:val="single" w:sz="2" w:space="0" w:color="auto"/>
              <w:left w:val="nil"/>
              <w:bottom w:val="single" w:sz="2" w:space="0" w:color="auto"/>
              <w:right w:val="nil"/>
            </w:tcBorders>
            <w:shd w:val="clear" w:color="auto" w:fill="auto"/>
            <w:vAlign w:val="bottom"/>
          </w:tcPr>
          <w:p w14:paraId="581DAA62"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8510</w:t>
            </w:r>
          </w:p>
        </w:tc>
      </w:tr>
      <w:tr w:rsidR="00302534" w:rsidRPr="00A058B6" w14:paraId="58C98403" w14:textId="77777777" w:rsidTr="00FA26AF">
        <w:tc>
          <w:tcPr>
            <w:tcW w:w="1382" w:type="pct"/>
            <w:tcBorders>
              <w:left w:val="nil"/>
              <w:right w:val="nil"/>
            </w:tcBorders>
          </w:tcPr>
          <w:p w14:paraId="761301CA" w14:textId="77777777" w:rsidR="00302534" w:rsidRPr="00A058B6" w:rsidRDefault="00302534" w:rsidP="00302534">
            <w:pPr>
              <w:pStyle w:val="Tabletext"/>
            </w:pPr>
            <w:r w:rsidRPr="00A058B6">
              <w:t>82</w:t>
            </w:r>
          </w:p>
        </w:tc>
        <w:tc>
          <w:tcPr>
            <w:tcW w:w="904" w:type="pct"/>
            <w:tcBorders>
              <w:top w:val="single" w:sz="2" w:space="0" w:color="auto"/>
              <w:left w:val="nil"/>
              <w:bottom w:val="single" w:sz="2" w:space="0" w:color="auto"/>
              <w:right w:val="nil"/>
            </w:tcBorders>
            <w:shd w:val="clear" w:color="auto" w:fill="auto"/>
            <w:vAlign w:val="bottom"/>
          </w:tcPr>
          <w:p w14:paraId="52389758" w14:textId="77777777" w:rsidR="00302534" w:rsidRPr="00A058B6" w:rsidRDefault="00302534" w:rsidP="00302534">
            <w:pPr>
              <w:pStyle w:val="Tabletext"/>
            </w:pPr>
            <w:r w:rsidRPr="00A058B6">
              <w:t>4</w:t>
            </w:r>
            <w:r w:rsidR="00D7157D">
              <w:t>.</w:t>
            </w:r>
            <w:r w:rsidRPr="00A058B6">
              <w:t>8298</w:t>
            </w:r>
          </w:p>
        </w:tc>
        <w:tc>
          <w:tcPr>
            <w:tcW w:w="904" w:type="pct"/>
            <w:tcBorders>
              <w:top w:val="single" w:sz="2" w:space="0" w:color="auto"/>
              <w:left w:val="nil"/>
              <w:bottom w:val="single" w:sz="2" w:space="0" w:color="auto"/>
              <w:right w:val="nil"/>
            </w:tcBorders>
            <w:shd w:val="clear" w:color="auto" w:fill="auto"/>
            <w:vAlign w:val="bottom"/>
          </w:tcPr>
          <w:p w14:paraId="6012F9A3" w14:textId="77777777" w:rsidR="00302534" w:rsidRPr="00A058B6" w:rsidRDefault="00302534" w:rsidP="00302534">
            <w:pPr>
              <w:pStyle w:val="Tabletext"/>
            </w:pPr>
            <w:r w:rsidRPr="00A058B6">
              <w:t>2</w:t>
            </w:r>
            <w:r w:rsidR="00D7157D">
              <w:t>.</w:t>
            </w:r>
            <w:r w:rsidRPr="00A058B6">
              <w:t>4628</w:t>
            </w:r>
          </w:p>
        </w:tc>
        <w:tc>
          <w:tcPr>
            <w:tcW w:w="904" w:type="pct"/>
            <w:tcBorders>
              <w:top w:val="single" w:sz="2" w:space="0" w:color="auto"/>
              <w:left w:val="nil"/>
              <w:bottom w:val="single" w:sz="2" w:space="0" w:color="auto"/>
              <w:right w:val="nil"/>
            </w:tcBorders>
            <w:shd w:val="clear" w:color="auto" w:fill="auto"/>
            <w:vAlign w:val="bottom"/>
          </w:tcPr>
          <w:p w14:paraId="52FFC6EB"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5784</w:t>
            </w:r>
          </w:p>
        </w:tc>
        <w:tc>
          <w:tcPr>
            <w:tcW w:w="906" w:type="pct"/>
            <w:tcBorders>
              <w:top w:val="single" w:sz="2" w:space="0" w:color="auto"/>
              <w:left w:val="nil"/>
              <w:bottom w:val="single" w:sz="2" w:space="0" w:color="auto"/>
              <w:right w:val="nil"/>
            </w:tcBorders>
            <w:shd w:val="clear" w:color="auto" w:fill="auto"/>
            <w:vAlign w:val="bottom"/>
          </w:tcPr>
          <w:p w14:paraId="397F0402"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8157</w:t>
            </w:r>
          </w:p>
        </w:tc>
      </w:tr>
      <w:tr w:rsidR="00302534" w:rsidRPr="00A058B6" w14:paraId="470801EA" w14:textId="77777777" w:rsidTr="00FA26AF">
        <w:tc>
          <w:tcPr>
            <w:tcW w:w="1382" w:type="pct"/>
            <w:tcBorders>
              <w:left w:val="nil"/>
              <w:right w:val="nil"/>
            </w:tcBorders>
          </w:tcPr>
          <w:p w14:paraId="45DA4546" w14:textId="77777777" w:rsidR="00302534" w:rsidRPr="00A058B6" w:rsidRDefault="00302534" w:rsidP="00302534">
            <w:pPr>
              <w:pStyle w:val="Tabletext"/>
            </w:pPr>
            <w:r w:rsidRPr="00A058B6">
              <w:t>83</w:t>
            </w:r>
          </w:p>
        </w:tc>
        <w:tc>
          <w:tcPr>
            <w:tcW w:w="904" w:type="pct"/>
            <w:tcBorders>
              <w:top w:val="single" w:sz="2" w:space="0" w:color="auto"/>
              <w:left w:val="nil"/>
              <w:bottom w:val="single" w:sz="2" w:space="0" w:color="auto"/>
              <w:right w:val="nil"/>
            </w:tcBorders>
            <w:shd w:val="clear" w:color="auto" w:fill="auto"/>
            <w:vAlign w:val="bottom"/>
          </w:tcPr>
          <w:p w14:paraId="61A074A1" w14:textId="77777777" w:rsidR="00302534" w:rsidRPr="00A058B6" w:rsidRDefault="00302534" w:rsidP="00302534">
            <w:pPr>
              <w:pStyle w:val="Tabletext"/>
            </w:pPr>
            <w:r w:rsidRPr="00A058B6">
              <w:t>4</w:t>
            </w:r>
            <w:r w:rsidR="00D7157D">
              <w:t>.</w:t>
            </w:r>
            <w:r w:rsidRPr="00A058B6">
              <w:t>7746</w:t>
            </w:r>
          </w:p>
        </w:tc>
        <w:tc>
          <w:tcPr>
            <w:tcW w:w="904" w:type="pct"/>
            <w:tcBorders>
              <w:top w:val="single" w:sz="2" w:space="0" w:color="auto"/>
              <w:left w:val="nil"/>
              <w:bottom w:val="single" w:sz="2" w:space="0" w:color="auto"/>
              <w:right w:val="nil"/>
            </w:tcBorders>
            <w:shd w:val="clear" w:color="auto" w:fill="auto"/>
            <w:vAlign w:val="bottom"/>
          </w:tcPr>
          <w:p w14:paraId="63A73B66" w14:textId="77777777" w:rsidR="00302534" w:rsidRPr="00A058B6" w:rsidRDefault="00302534" w:rsidP="00302534">
            <w:pPr>
              <w:pStyle w:val="Tabletext"/>
            </w:pPr>
            <w:r w:rsidRPr="00A058B6">
              <w:t>2</w:t>
            </w:r>
            <w:r w:rsidR="00D7157D">
              <w:t>.</w:t>
            </w:r>
            <w:r w:rsidRPr="00A058B6">
              <w:t>4431</w:t>
            </w:r>
          </w:p>
        </w:tc>
        <w:tc>
          <w:tcPr>
            <w:tcW w:w="904" w:type="pct"/>
            <w:tcBorders>
              <w:top w:val="single" w:sz="2" w:space="0" w:color="auto"/>
              <w:left w:val="nil"/>
              <w:bottom w:val="single" w:sz="2" w:space="0" w:color="auto"/>
              <w:right w:val="nil"/>
            </w:tcBorders>
            <w:shd w:val="clear" w:color="auto" w:fill="auto"/>
            <w:vAlign w:val="bottom"/>
          </w:tcPr>
          <w:p w14:paraId="219E9C03"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4728</w:t>
            </w:r>
          </w:p>
        </w:tc>
        <w:tc>
          <w:tcPr>
            <w:tcW w:w="906" w:type="pct"/>
            <w:tcBorders>
              <w:top w:val="single" w:sz="2" w:space="0" w:color="auto"/>
              <w:left w:val="nil"/>
              <w:bottom w:val="single" w:sz="2" w:space="0" w:color="auto"/>
              <w:right w:val="nil"/>
            </w:tcBorders>
            <w:shd w:val="clear" w:color="auto" w:fill="auto"/>
            <w:vAlign w:val="bottom"/>
          </w:tcPr>
          <w:p w14:paraId="5CD3DE67"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7731</w:t>
            </w:r>
          </w:p>
        </w:tc>
      </w:tr>
      <w:tr w:rsidR="00302534" w:rsidRPr="00A058B6" w14:paraId="2A77EC3A" w14:textId="77777777" w:rsidTr="00FA26AF">
        <w:tc>
          <w:tcPr>
            <w:tcW w:w="1382" w:type="pct"/>
            <w:tcBorders>
              <w:left w:val="nil"/>
              <w:right w:val="nil"/>
            </w:tcBorders>
          </w:tcPr>
          <w:p w14:paraId="193E4873" w14:textId="77777777" w:rsidR="00302534" w:rsidRPr="00A058B6" w:rsidRDefault="00302534" w:rsidP="00302534">
            <w:pPr>
              <w:pStyle w:val="Tabletext"/>
            </w:pPr>
            <w:r w:rsidRPr="00A058B6">
              <w:t>84</w:t>
            </w:r>
          </w:p>
        </w:tc>
        <w:tc>
          <w:tcPr>
            <w:tcW w:w="904" w:type="pct"/>
            <w:tcBorders>
              <w:top w:val="single" w:sz="2" w:space="0" w:color="auto"/>
              <w:left w:val="nil"/>
              <w:bottom w:val="single" w:sz="2" w:space="0" w:color="auto"/>
              <w:right w:val="nil"/>
            </w:tcBorders>
            <w:shd w:val="clear" w:color="auto" w:fill="auto"/>
            <w:vAlign w:val="bottom"/>
          </w:tcPr>
          <w:p w14:paraId="056E2079" w14:textId="77777777" w:rsidR="00302534" w:rsidRPr="00A058B6" w:rsidRDefault="00302534" w:rsidP="00302534">
            <w:pPr>
              <w:pStyle w:val="Tabletext"/>
            </w:pPr>
            <w:r w:rsidRPr="00A058B6">
              <w:t>4</w:t>
            </w:r>
            <w:r w:rsidR="00D7157D">
              <w:t>.</w:t>
            </w:r>
            <w:r w:rsidRPr="00A058B6">
              <w:t>7022</w:t>
            </w:r>
          </w:p>
        </w:tc>
        <w:tc>
          <w:tcPr>
            <w:tcW w:w="904" w:type="pct"/>
            <w:tcBorders>
              <w:top w:val="single" w:sz="2" w:space="0" w:color="auto"/>
              <w:left w:val="nil"/>
              <w:bottom w:val="single" w:sz="2" w:space="0" w:color="auto"/>
              <w:right w:val="nil"/>
            </w:tcBorders>
            <w:shd w:val="clear" w:color="auto" w:fill="auto"/>
            <w:vAlign w:val="bottom"/>
          </w:tcPr>
          <w:p w14:paraId="6CE07A60" w14:textId="77777777" w:rsidR="00302534" w:rsidRPr="00A058B6" w:rsidRDefault="00302534" w:rsidP="00302534">
            <w:pPr>
              <w:pStyle w:val="Tabletext"/>
            </w:pPr>
            <w:r w:rsidRPr="00A058B6">
              <w:t>2</w:t>
            </w:r>
            <w:r w:rsidR="00D7157D">
              <w:t>.</w:t>
            </w:r>
            <w:r w:rsidRPr="00A058B6">
              <w:t>4158</w:t>
            </w:r>
          </w:p>
        </w:tc>
        <w:tc>
          <w:tcPr>
            <w:tcW w:w="904" w:type="pct"/>
            <w:tcBorders>
              <w:top w:val="single" w:sz="2" w:space="0" w:color="auto"/>
              <w:left w:val="nil"/>
              <w:bottom w:val="single" w:sz="2" w:space="0" w:color="auto"/>
              <w:right w:val="nil"/>
            </w:tcBorders>
            <w:shd w:val="clear" w:color="auto" w:fill="auto"/>
            <w:vAlign w:val="bottom"/>
          </w:tcPr>
          <w:p w14:paraId="7AC3AC75"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3505</w:t>
            </w:r>
          </w:p>
        </w:tc>
        <w:tc>
          <w:tcPr>
            <w:tcW w:w="906" w:type="pct"/>
            <w:tcBorders>
              <w:top w:val="single" w:sz="2" w:space="0" w:color="auto"/>
              <w:left w:val="nil"/>
              <w:bottom w:val="single" w:sz="2" w:space="0" w:color="auto"/>
              <w:right w:val="nil"/>
            </w:tcBorders>
            <w:shd w:val="clear" w:color="auto" w:fill="auto"/>
            <w:vAlign w:val="bottom"/>
          </w:tcPr>
          <w:p w14:paraId="3FBC00C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7234</w:t>
            </w:r>
          </w:p>
        </w:tc>
      </w:tr>
      <w:tr w:rsidR="00302534" w:rsidRPr="00A058B6" w14:paraId="2D360B8F" w14:textId="77777777" w:rsidTr="00FA26AF">
        <w:tc>
          <w:tcPr>
            <w:tcW w:w="1382" w:type="pct"/>
            <w:tcBorders>
              <w:left w:val="nil"/>
              <w:right w:val="nil"/>
            </w:tcBorders>
          </w:tcPr>
          <w:p w14:paraId="55AE3D8B" w14:textId="77777777" w:rsidR="00302534" w:rsidRPr="00A058B6" w:rsidRDefault="00302534" w:rsidP="00302534">
            <w:pPr>
              <w:pStyle w:val="Tabletext"/>
            </w:pPr>
            <w:r w:rsidRPr="00A058B6">
              <w:t>85</w:t>
            </w:r>
          </w:p>
        </w:tc>
        <w:tc>
          <w:tcPr>
            <w:tcW w:w="904" w:type="pct"/>
            <w:tcBorders>
              <w:top w:val="single" w:sz="2" w:space="0" w:color="auto"/>
              <w:left w:val="nil"/>
              <w:bottom w:val="single" w:sz="2" w:space="0" w:color="auto"/>
              <w:right w:val="nil"/>
            </w:tcBorders>
            <w:shd w:val="clear" w:color="auto" w:fill="auto"/>
            <w:vAlign w:val="bottom"/>
          </w:tcPr>
          <w:p w14:paraId="187BDA7C" w14:textId="77777777" w:rsidR="00302534" w:rsidRPr="00A058B6" w:rsidRDefault="00302534" w:rsidP="00302534">
            <w:pPr>
              <w:pStyle w:val="Tabletext"/>
            </w:pPr>
            <w:r w:rsidRPr="00A058B6">
              <w:t>4</w:t>
            </w:r>
            <w:r w:rsidR="00D7157D">
              <w:t>.</w:t>
            </w:r>
            <w:r w:rsidRPr="00A058B6">
              <w:t>6141</w:t>
            </w:r>
          </w:p>
        </w:tc>
        <w:tc>
          <w:tcPr>
            <w:tcW w:w="904" w:type="pct"/>
            <w:tcBorders>
              <w:top w:val="single" w:sz="2" w:space="0" w:color="auto"/>
              <w:left w:val="nil"/>
              <w:bottom w:val="single" w:sz="2" w:space="0" w:color="auto"/>
              <w:right w:val="nil"/>
            </w:tcBorders>
            <w:shd w:val="clear" w:color="auto" w:fill="auto"/>
            <w:vAlign w:val="bottom"/>
          </w:tcPr>
          <w:p w14:paraId="62798A7B" w14:textId="77777777" w:rsidR="00302534" w:rsidRPr="00A058B6" w:rsidRDefault="00302534" w:rsidP="00302534">
            <w:pPr>
              <w:pStyle w:val="Tabletext"/>
            </w:pPr>
            <w:r w:rsidRPr="00A058B6">
              <w:t>2</w:t>
            </w:r>
            <w:r w:rsidR="00D7157D">
              <w:t>.</w:t>
            </w:r>
            <w:r w:rsidRPr="00A058B6">
              <w:t>3853</w:t>
            </w:r>
          </w:p>
        </w:tc>
        <w:tc>
          <w:tcPr>
            <w:tcW w:w="904" w:type="pct"/>
            <w:tcBorders>
              <w:top w:val="single" w:sz="2" w:space="0" w:color="auto"/>
              <w:left w:val="nil"/>
              <w:bottom w:val="single" w:sz="2" w:space="0" w:color="auto"/>
              <w:right w:val="nil"/>
            </w:tcBorders>
            <w:shd w:val="clear" w:color="auto" w:fill="auto"/>
            <w:vAlign w:val="bottom"/>
          </w:tcPr>
          <w:p w14:paraId="6BC27CCE"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2134</w:t>
            </w:r>
          </w:p>
        </w:tc>
        <w:tc>
          <w:tcPr>
            <w:tcW w:w="906" w:type="pct"/>
            <w:tcBorders>
              <w:top w:val="single" w:sz="2" w:space="0" w:color="auto"/>
              <w:left w:val="nil"/>
              <w:bottom w:val="single" w:sz="2" w:space="0" w:color="auto"/>
              <w:right w:val="nil"/>
            </w:tcBorders>
            <w:shd w:val="clear" w:color="auto" w:fill="auto"/>
            <w:vAlign w:val="bottom"/>
          </w:tcPr>
          <w:p w14:paraId="1F3AC8CC"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6711</w:t>
            </w:r>
          </w:p>
        </w:tc>
      </w:tr>
      <w:tr w:rsidR="00302534" w:rsidRPr="00A058B6" w14:paraId="2E7B59AE" w14:textId="77777777" w:rsidTr="00FA26AF">
        <w:tc>
          <w:tcPr>
            <w:tcW w:w="1382" w:type="pct"/>
            <w:tcBorders>
              <w:left w:val="nil"/>
              <w:right w:val="nil"/>
            </w:tcBorders>
          </w:tcPr>
          <w:p w14:paraId="0D663170" w14:textId="77777777" w:rsidR="00302534" w:rsidRPr="00A058B6" w:rsidRDefault="00302534" w:rsidP="00302534">
            <w:pPr>
              <w:pStyle w:val="Tabletext"/>
            </w:pPr>
            <w:r w:rsidRPr="00A058B6">
              <w:t>86</w:t>
            </w:r>
          </w:p>
        </w:tc>
        <w:tc>
          <w:tcPr>
            <w:tcW w:w="904" w:type="pct"/>
            <w:tcBorders>
              <w:top w:val="single" w:sz="2" w:space="0" w:color="auto"/>
              <w:left w:val="nil"/>
              <w:bottom w:val="single" w:sz="2" w:space="0" w:color="auto"/>
              <w:right w:val="nil"/>
            </w:tcBorders>
            <w:shd w:val="clear" w:color="auto" w:fill="auto"/>
            <w:vAlign w:val="bottom"/>
          </w:tcPr>
          <w:p w14:paraId="248349EA" w14:textId="77777777" w:rsidR="00302534" w:rsidRPr="00A058B6" w:rsidRDefault="00302534" w:rsidP="00302534">
            <w:pPr>
              <w:pStyle w:val="Tabletext"/>
            </w:pPr>
            <w:r w:rsidRPr="00A058B6">
              <w:t>4</w:t>
            </w:r>
            <w:r w:rsidR="00D7157D">
              <w:t>.</w:t>
            </w:r>
            <w:r w:rsidRPr="00A058B6">
              <w:t>5101</w:t>
            </w:r>
          </w:p>
        </w:tc>
        <w:tc>
          <w:tcPr>
            <w:tcW w:w="904" w:type="pct"/>
            <w:tcBorders>
              <w:top w:val="single" w:sz="2" w:space="0" w:color="auto"/>
              <w:left w:val="nil"/>
              <w:bottom w:val="single" w:sz="2" w:space="0" w:color="auto"/>
              <w:right w:val="nil"/>
            </w:tcBorders>
            <w:shd w:val="clear" w:color="auto" w:fill="auto"/>
            <w:vAlign w:val="bottom"/>
          </w:tcPr>
          <w:p w14:paraId="5BB760A3" w14:textId="77777777" w:rsidR="00302534" w:rsidRPr="00A058B6" w:rsidRDefault="00302534" w:rsidP="00302534">
            <w:pPr>
              <w:pStyle w:val="Tabletext"/>
            </w:pPr>
            <w:r w:rsidRPr="00A058B6">
              <w:t>2</w:t>
            </w:r>
            <w:r w:rsidR="00D7157D">
              <w:t>.</w:t>
            </w:r>
            <w:r w:rsidRPr="00A058B6">
              <w:t>3532</w:t>
            </w:r>
          </w:p>
        </w:tc>
        <w:tc>
          <w:tcPr>
            <w:tcW w:w="904" w:type="pct"/>
            <w:tcBorders>
              <w:top w:val="single" w:sz="2" w:space="0" w:color="auto"/>
              <w:left w:val="nil"/>
              <w:bottom w:val="single" w:sz="2" w:space="0" w:color="auto"/>
              <w:right w:val="nil"/>
            </w:tcBorders>
            <w:shd w:val="clear" w:color="auto" w:fill="auto"/>
            <w:vAlign w:val="bottom"/>
          </w:tcPr>
          <w:p w14:paraId="250323C2" w14:textId="77777777" w:rsidR="00302534" w:rsidRPr="00302534" w:rsidRDefault="00302534" w:rsidP="00302534">
            <w:pPr>
              <w:pStyle w:val="Tabletext"/>
              <w:rPr>
                <w:color w:val="000000" w:themeColor="text1"/>
              </w:rPr>
            </w:pPr>
            <w:r w:rsidRPr="00302534">
              <w:rPr>
                <w:color w:val="000000" w:themeColor="text1"/>
              </w:rPr>
              <w:t>5</w:t>
            </w:r>
            <w:r w:rsidR="00D7157D">
              <w:rPr>
                <w:color w:val="000000" w:themeColor="text1"/>
              </w:rPr>
              <w:t>.</w:t>
            </w:r>
            <w:r w:rsidRPr="00302534">
              <w:rPr>
                <w:color w:val="000000" w:themeColor="text1"/>
              </w:rPr>
              <w:t>0615</w:t>
            </w:r>
          </w:p>
        </w:tc>
        <w:tc>
          <w:tcPr>
            <w:tcW w:w="906" w:type="pct"/>
            <w:tcBorders>
              <w:top w:val="single" w:sz="2" w:space="0" w:color="auto"/>
              <w:left w:val="nil"/>
              <w:bottom w:val="single" w:sz="2" w:space="0" w:color="auto"/>
              <w:right w:val="nil"/>
            </w:tcBorders>
            <w:shd w:val="clear" w:color="auto" w:fill="auto"/>
            <w:vAlign w:val="bottom"/>
          </w:tcPr>
          <w:p w14:paraId="047F9B7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6178</w:t>
            </w:r>
          </w:p>
        </w:tc>
      </w:tr>
      <w:tr w:rsidR="00302534" w:rsidRPr="00A058B6" w14:paraId="73E0A51F" w14:textId="77777777" w:rsidTr="00FA26AF">
        <w:tc>
          <w:tcPr>
            <w:tcW w:w="1382" w:type="pct"/>
            <w:tcBorders>
              <w:left w:val="nil"/>
              <w:right w:val="nil"/>
            </w:tcBorders>
          </w:tcPr>
          <w:p w14:paraId="4D2C25F4" w14:textId="77777777" w:rsidR="00302534" w:rsidRPr="00A058B6" w:rsidRDefault="00302534" w:rsidP="00302534">
            <w:pPr>
              <w:pStyle w:val="Tabletext"/>
            </w:pPr>
            <w:r w:rsidRPr="00A058B6">
              <w:t>87</w:t>
            </w:r>
          </w:p>
        </w:tc>
        <w:tc>
          <w:tcPr>
            <w:tcW w:w="904" w:type="pct"/>
            <w:tcBorders>
              <w:top w:val="single" w:sz="2" w:space="0" w:color="auto"/>
              <w:left w:val="nil"/>
              <w:bottom w:val="single" w:sz="2" w:space="0" w:color="auto"/>
              <w:right w:val="nil"/>
            </w:tcBorders>
            <w:shd w:val="clear" w:color="auto" w:fill="auto"/>
            <w:vAlign w:val="bottom"/>
          </w:tcPr>
          <w:p w14:paraId="31B8CEE5" w14:textId="77777777" w:rsidR="00302534" w:rsidRPr="00A058B6" w:rsidRDefault="00302534" w:rsidP="00302534">
            <w:pPr>
              <w:pStyle w:val="Tabletext"/>
            </w:pPr>
            <w:r w:rsidRPr="00A058B6">
              <w:t>4</w:t>
            </w:r>
            <w:r w:rsidR="00D7157D">
              <w:t>.</w:t>
            </w:r>
            <w:r w:rsidRPr="00A058B6">
              <w:t>3919</w:t>
            </w:r>
          </w:p>
        </w:tc>
        <w:tc>
          <w:tcPr>
            <w:tcW w:w="904" w:type="pct"/>
            <w:tcBorders>
              <w:top w:val="single" w:sz="2" w:space="0" w:color="auto"/>
              <w:left w:val="nil"/>
              <w:bottom w:val="single" w:sz="2" w:space="0" w:color="auto"/>
              <w:right w:val="nil"/>
            </w:tcBorders>
            <w:shd w:val="clear" w:color="auto" w:fill="auto"/>
            <w:vAlign w:val="bottom"/>
          </w:tcPr>
          <w:p w14:paraId="19E5E516" w14:textId="77777777" w:rsidR="00302534" w:rsidRPr="00A058B6" w:rsidRDefault="00302534" w:rsidP="00302534">
            <w:pPr>
              <w:pStyle w:val="Tabletext"/>
            </w:pPr>
            <w:r w:rsidRPr="00A058B6">
              <w:t>2</w:t>
            </w:r>
            <w:r w:rsidR="00D7157D">
              <w:t>.</w:t>
            </w:r>
            <w:r w:rsidRPr="00A058B6">
              <w:t>3169</w:t>
            </w:r>
          </w:p>
        </w:tc>
        <w:tc>
          <w:tcPr>
            <w:tcW w:w="904" w:type="pct"/>
            <w:tcBorders>
              <w:top w:val="single" w:sz="2" w:space="0" w:color="auto"/>
              <w:left w:val="nil"/>
              <w:bottom w:val="single" w:sz="2" w:space="0" w:color="auto"/>
              <w:right w:val="nil"/>
            </w:tcBorders>
            <w:shd w:val="clear" w:color="auto" w:fill="auto"/>
            <w:vAlign w:val="bottom"/>
          </w:tcPr>
          <w:p w14:paraId="239231D2"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8971</w:t>
            </w:r>
          </w:p>
        </w:tc>
        <w:tc>
          <w:tcPr>
            <w:tcW w:w="906" w:type="pct"/>
            <w:tcBorders>
              <w:top w:val="single" w:sz="2" w:space="0" w:color="auto"/>
              <w:left w:val="nil"/>
              <w:bottom w:val="single" w:sz="2" w:space="0" w:color="auto"/>
              <w:right w:val="nil"/>
            </w:tcBorders>
            <w:shd w:val="clear" w:color="auto" w:fill="auto"/>
            <w:vAlign w:val="bottom"/>
          </w:tcPr>
          <w:p w14:paraId="3A8DFAF0"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5612</w:t>
            </w:r>
          </w:p>
        </w:tc>
      </w:tr>
      <w:tr w:rsidR="00302534" w:rsidRPr="00A058B6" w14:paraId="27EF2AC6" w14:textId="77777777" w:rsidTr="00FA26AF">
        <w:tc>
          <w:tcPr>
            <w:tcW w:w="1382" w:type="pct"/>
            <w:tcBorders>
              <w:left w:val="nil"/>
              <w:right w:val="nil"/>
            </w:tcBorders>
          </w:tcPr>
          <w:p w14:paraId="0C2B9199" w14:textId="77777777" w:rsidR="00302534" w:rsidRPr="00A058B6" w:rsidRDefault="00302534" w:rsidP="00302534">
            <w:pPr>
              <w:pStyle w:val="Tabletext"/>
            </w:pPr>
            <w:r w:rsidRPr="00A058B6">
              <w:t>88</w:t>
            </w:r>
          </w:p>
        </w:tc>
        <w:tc>
          <w:tcPr>
            <w:tcW w:w="904" w:type="pct"/>
            <w:tcBorders>
              <w:top w:val="single" w:sz="2" w:space="0" w:color="auto"/>
              <w:left w:val="nil"/>
              <w:bottom w:val="single" w:sz="2" w:space="0" w:color="auto"/>
              <w:right w:val="nil"/>
            </w:tcBorders>
            <w:shd w:val="clear" w:color="auto" w:fill="auto"/>
            <w:vAlign w:val="bottom"/>
          </w:tcPr>
          <w:p w14:paraId="7E7D4D74" w14:textId="77777777" w:rsidR="00302534" w:rsidRPr="00A058B6" w:rsidRDefault="00302534" w:rsidP="00302534">
            <w:pPr>
              <w:pStyle w:val="Tabletext"/>
            </w:pPr>
            <w:r w:rsidRPr="00A058B6">
              <w:t>4</w:t>
            </w:r>
            <w:r w:rsidR="00D7157D">
              <w:t>.</w:t>
            </w:r>
            <w:r w:rsidRPr="00A058B6">
              <w:t>2618</w:t>
            </w:r>
          </w:p>
        </w:tc>
        <w:tc>
          <w:tcPr>
            <w:tcW w:w="904" w:type="pct"/>
            <w:tcBorders>
              <w:top w:val="single" w:sz="2" w:space="0" w:color="auto"/>
              <w:left w:val="nil"/>
              <w:bottom w:val="single" w:sz="2" w:space="0" w:color="auto"/>
              <w:right w:val="nil"/>
            </w:tcBorders>
            <w:shd w:val="clear" w:color="auto" w:fill="auto"/>
            <w:vAlign w:val="bottom"/>
          </w:tcPr>
          <w:p w14:paraId="28116828" w14:textId="77777777" w:rsidR="00302534" w:rsidRPr="00A058B6" w:rsidRDefault="00302534" w:rsidP="00302534">
            <w:pPr>
              <w:pStyle w:val="Tabletext"/>
            </w:pPr>
            <w:r w:rsidRPr="00A058B6">
              <w:t>2</w:t>
            </w:r>
            <w:r w:rsidR="00D7157D">
              <w:t>.</w:t>
            </w:r>
            <w:r w:rsidRPr="00A058B6">
              <w:t>2763</w:t>
            </w:r>
          </w:p>
        </w:tc>
        <w:tc>
          <w:tcPr>
            <w:tcW w:w="904" w:type="pct"/>
            <w:tcBorders>
              <w:top w:val="single" w:sz="2" w:space="0" w:color="auto"/>
              <w:left w:val="nil"/>
              <w:bottom w:val="single" w:sz="2" w:space="0" w:color="auto"/>
              <w:right w:val="nil"/>
            </w:tcBorders>
            <w:shd w:val="clear" w:color="auto" w:fill="auto"/>
            <w:vAlign w:val="bottom"/>
          </w:tcPr>
          <w:p w14:paraId="3ED59AAD"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7226</w:t>
            </w:r>
          </w:p>
        </w:tc>
        <w:tc>
          <w:tcPr>
            <w:tcW w:w="906" w:type="pct"/>
            <w:tcBorders>
              <w:top w:val="single" w:sz="2" w:space="0" w:color="auto"/>
              <w:left w:val="nil"/>
              <w:bottom w:val="single" w:sz="2" w:space="0" w:color="auto"/>
              <w:right w:val="nil"/>
            </w:tcBorders>
            <w:shd w:val="clear" w:color="auto" w:fill="auto"/>
            <w:vAlign w:val="bottom"/>
          </w:tcPr>
          <w:p w14:paraId="239BB80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5012</w:t>
            </w:r>
          </w:p>
        </w:tc>
      </w:tr>
      <w:tr w:rsidR="00302534" w:rsidRPr="00A058B6" w14:paraId="38278F89" w14:textId="77777777" w:rsidTr="00FA26AF">
        <w:tc>
          <w:tcPr>
            <w:tcW w:w="1382" w:type="pct"/>
            <w:tcBorders>
              <w:left w:val="nil"/>
              <w:right w:val="nil"/>
            </w:tcBorders>
          </w:tcPr>
          <w:p w14:paraId="1D48C60C" w14:textId="77777777" w:rsidR="00302534" w:rsidRPr="00A058B6" w:rsidRDefault="00302534" w:rsidP="00302534">
            <w:pPr>
              <w:pStyle w:val="Tabletext"/>
            </w:pPr>
            <w:r w:rsidRPr="00A058B6">
              <w:t>89</w:t>
            </w:r>
          </w:p>
        </w:tc>
        <w:tc>
          <w:tcPr>
            <w:tcW w:w="904" w:type="pct"/>
            <w:tcBorders>
              <w:top w:val="single" w:sz="2" w:space="0" w:color="auto"/>
              <w:left w:val="nil"/>
              <w:bottom w:val="single" w:sz="2" w:space="0" w:color="auto"/>
              <w:right w:val="nil"/>
            </w:tcBorders>
            <w:shd w:val="clear" w:color="auto" w:fill="auto"/>
            <w:vAlign w:val="bottom"/>
          </w:tcPr>
          <w:p w14:paraId="0BE28537" w14:textId="77777777" w:rsidR="00302534" w:rsidRPr="00A058B6" w:rsidRDefault="00302534" w:rsidP="00302534">
            <w:pPr>
              <w:pStyle w:val="Tabletext"/>
            </w:pPr>
            <w:r w:rsidRPr="00A058B6">
              <w:t>4</w:t>
            </w:r>
            <w:r w:rsidR="00D7157D">
              <w:t>.</w:t>
            </w:r>
            <w:r w:rsidRPr="00A058B6">
              <w:t>1197</w:t>
            </w:r>
          </w:p>
        </w:tc>
        <w:tc>
          <w:tcPr>
            <w:tcW w:w="904" w:type="pct"/>
            <w:tcBorders>
              <w:top w:val="single" w:sz="2" w:space="0" w:color="auto"/>
              <w:left w:val="nil"/>
              <w:bottom w:val="single" w:sz="2" w:space="0" w:color="auto"/>
              <w:right w:val="nil"/>
            </w:tcBorders>
            <w:shd w:val="clear" w:color="auto" w:fill="auto"/>
            <w:vAlign w:val="bottom"/>
          </w:tcPr>
          <w:p w14:paraId="0C1D5411" w14:textId="77777777" w:rsidR="00302534" w:rsidRPr="00A058B6" w:rsidRDefault="00302534" w:rsidP="00302534">
            <w:pPr>
              <w:pStyle w:val="Tabletext"/>
            </w:pPr>
            <w:r w:rsidRPr="00A058B6">
              <w:t>2</w:t>
            </w:r>
            <w:r w:rsidR="00D7157D">
              <w:t>.</w:t>
            </w:r>
            <w:r w:rsidRPr="00A058B6">
              <w:t>2308</w:t>
            </w:r>
          </w:p>
        </w:tc>
        <w:tc>
          <w:tcPr>
            <w:tcW w:w="904" w:type="pct"/>
            <w:tcBorders>
              <w:top w:val="single" w:sz="2" w:space="0" w:color="auto"/>
              <w:left w:val="nil"/>
              <w:bottom w:val="single" w:sz="2" w:space="0" w:color="auto"/>
              <w:right w:val="nil"/>
            </w:tcBorders>
            <w:shd w:val="clear" w:color="auto" w:fill="auto"/>
            <w:vAlign w:val="bottom"/>
          </w:tcPr>
          <w:p w14:paraId="5C2ED5C8"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5381</w:t>
            </w:r>
          </w:p>
        </w:tc>
        <w:tc>
          <w:tcPr>
            <w:tcW w:w="906" w:type="pct"/>
            <w:tcBorders>
              <w:top w:val="single" w:sz="2" w:space="0" w:color="auto"/>
              <w:left w:val="nil"/>
              <w:bottom w:val="single" w:sz="2" w:space="0" w:color="auto"/>
              <w:right w:val="nil"/>
            </w:tcBorders>
            <w:shd w:val="clear" w:color="auto" w:fill="auto"/>
            <w:vAlign w:val="bottom"/>
          </w:tcPr>
          <w:p w14:paraId="0BCC500C"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4372</w:t>
            </w:r>
          </w:p>
        </w:tc>
      </w:tr>
      <w:tr w:rsidR="00302534" w:rsidRPr="00A058B6" w14:paraId="2268F387" w14:textId="77777777" w:rsidTr="00FA26AF">
        <w:tc>
          <w:tcPr>
            <w:tcW w:w="1382" w:type="pct"/>
            <w:tcBorders>
              <w:left w:val="nil"/>
              <w:right w:val="nil"/>
            </w:tcBorders>
          </w:tcPr>
          <w:p w14:paraId="60BA56EE" w14:textId="77777777" w:rsidR="00302534" w:rsidRPr="00A058B6" w:rsidRDefault="00302534" w:rsidP="00302534">
            <w:pPr>
              <w:pStyle w:val="Tabletext"/>
            </w:pPr>
            <w:r w:rsidRPr="00A058B6">
              <w:t>90</w:t>
            </w:r>
          </w:p>
        </w:tc>
        <w:tc>
          <w:tcPr>
            <w:tcW w:w="904" w:type="pct"/>
            <w:tcBorders>
              <w:top w:val="single" w:sz="2" w:space="0" w:color="auto"/>
              <w:left w:val="nil"/>
              <w:bottom w:val="single" w:sz="2" w:space="0" w:color="auto"/>
              <w:right w:val="nil"/>
            </w:tcBorders>
            <w:shd w:val="clear" w:color="auto" w:fill="auto"/>
            <w:vAlign w:val="bottom"/>
          </w:tcPr>
          <w:p w14:paraId="67A5D255" w14:textId="77777777" w:rsidR="00302534" w:rsidRPr="00A058B6" w:rsidRDefault="00302534" w:rsidP="00302534">
            <w:pPr>
              <w:pStyle w:val="Tabletext"/>
            </w:pPr>
            <w:r w:rsidRPr="00A058B6">
              <w:t>3</w:t>
            </w:r>
            <w:r w:rsidR="00D7157D">
              <w:t>.</w:t>
            </w:r>
            <w:r w:rsidRPr="00A058B6">
              <w:t>9701</w:t>
            </w:r>
          </w:p>
        </w:tc>
        <w:tc>
          <w:tcPr>
            <w:tcW w:w="904" w:type="pct"/>
            <w:tcBorders>
              <w:top w:val="single" w:sz="2" w:space="0" w:color="auto"/>
              <w:left w:val="nil"/>
              <w:bottom w:val="single" w:sz="2" w:space="0" w:color="auto"/>
              <w:right w:val="nil"/>
            </w:tcBorders>
            <w:shd w:val="clear" w:color="auto" w:fill="auto"/>
            <w:vAlign w:val="bottom"/>
          </w:tcPr>
          <w:p w14:paraId="5F82F9F8" w14:textId="77777777" w:rsidR="00302534" w:rsidRPr="00A058B6" w:rsidRDefault="00302534" w:rsidP="00302534">
            <w:pPr>
              <w:pStyle w:val="Tabletext"/>
            </w:pPr>
            <w:r w:rsidRPr="00A058B6">
              <w:t>2</w:t>
            </w:r>
            <w:r w:rsidR="00D7157D">
              <w:t>.</w:t>
            </w:r>
            <w:r w:rsidRPr="00A058B6">
              <w:t>1760</w:t>
            </w:r>
          </w:p>
        </w:tc>
        <w:tc>
          <w:tcPr>
            <w:tcW w:w="904" w:type="pct"/>
            <w:tcBorders>
              <w:top w:val="single" w:sz="2" w:space="0" w:color="auto"/>
              <w:left w:val="nil"/>
              <w:bottom w:val="single" w:sz="2" w:space="0" w:color="auto"/>
              <w:right w:val="nil"/>
            </w:tcBorders>
            <w:shd w:val="clear" w:color="auto" w:fill="auto"/>
            <w:vAlign w:val="bottom"/>
          </w:tcPr>
          <w:p w14:paraId="3EBC78EF"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3487</w:t>
            </w:r>
          </w:p>
        </w:tc>
        <w:tc>
          <w:tcPr>
            <w:tcW w:w="906" w:type="pct"/>
            <w:tcBorders>
              <w:top w:val="single" w:sz="2" w:space="0" w:color="auto"/>
              <w:left w:val="nil"/>
              <w:bottom w:val="single" w:sz="2" w:space="0" w:color="auto"/>
              <w:right w:val="nil"/>
            </w:tcBorders>
            <w:shd w:val="clear" w:color="auto" w:fill="auto"/>
            <w:vAlign w:val="bottom"/>
          </w:tcPr>
          <w:p w14:paraId="5F783A7F"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3654</w:t>
            </w:r>
          </w:p>
        </w:tc>
      </w:tr>
      <w:tr w:rsidR="00302534" w:rsidRPr="00A058B6" w14:paraId="64B37ABB" w14:textId="77777777" w:rsidTr="00FA26AF">
        <w:tc>
          <w:tcPr>
            <w:tcW w:w="1382" w:type="pct"/>
            <w:tcBorders>
              <w:left w:val="nil"/>
              <w:right w:val="nil"/>
            </w:tcBorders>
          </w:tcPr>
          <w:p w14:paraId="2F535045" w14:textId="77777777" w:rsidR="00302534" w:rsidRPr="00A058B6" w:rsidRDefault="00302534" w:rsidP="00302534">
            <w:pPr>
              <w:pStyle w:val="Tabletext"/>
            </w:pPr>
            <w:r w:rsidRPr="00A058B6">
              <w:t>91</w:t>
            </w:r>
          </w:p>
        </w:tc>
        <w:tc>
          <w:tcPr>
            <w:tcW w:w="904" w:type="pct"/>
            <w:tcBorders>
              <w:top w:val="single" w:sz="2" w:space="0" w:color="auto"/>
              <w:left w:val="nil"/>
              <w:bottom w:val="single" w:sz="2" w:space="0" w:color="auto"/>
              <w:right w:val="nil"/>
            </w:tcBorders>
            <w:shd w:val="clear" w:color="auto" w:fill="auto"/>
            <w:vAlign w:val="bottom"/>
          </w:tcPr>
          <w:p w14:paraId="2A3B32D2" w14:textId="77777777" w:rsidR="00302534" w:rsidRPr="00A058B6" w:rsidRDefault="00302534" w:rsidP="00302534">
            <w:pPr>
              <w:pStyle w:val="Tabletext"/>
            </w:pPr>
            <w:r w:rsidRPr="00A058B6">
              <w:t>3</w:t>
            </w:r>
            <w:r w:rsidR="00D7157D">
              <w:t>.</w:t>
            </w:r>
            <w:r w:rsidRPr="00A058B6">
              <w:t>8113</w:t>
            </w:r>
          </w:p>
        </w:tc>
        <w:tc>
          <w:tcPr>
            <w:tcW w:w="904" w:type="pct"/>
            <w:tcBorders>
              <w:top w:val="single" w:sz="2" w:space="0" w:color="auto"/>
              <w:left w:val="nil"/>
              <w:bottom w:val="single" w:sz="2" w:space="0" w:color="auto"/>
              <w:right w:val="nil"/>
            </w:tcBorders>
            <w:shd w:val="clear" w:color="auto" w:fill="auto"/>
            <w:vAlign w:val="bottom"/>
          </w:tcPr>
          <w:p w14:paraId="3C196E44" w14:textId="77777777" w:rsidR="00302534" w:rsidRPr="00A058B6" w:rsidRDefault="00302534" w:rsidP="00302534">
            <w:pPr>
              <w:pStyle w:val="Tabletext"/>
            </w:pPr>
            <w:r w:rsidRPr="00A058B6">
              <w:t>2</w:t>
            </w:r>
            <w:r w:rsidR="00D7157D">
              <w:t>.</w:t>
            </w:r>
            <w:r w:rsidRPr="00A058B6">
              <w:t>1174</w:t>
            </w:r>
          </w:p>
        </w:tc>
        <w:tc>
          <w:tcPr>
            <w:tcW w:w="904" w:type="pct"/>
            <w:tcBorders>
              <w:top w:val="single" w:sz="2" w:space="0" w:color="auto"/>
              <w:left w:val="nil"/>
              <w:bottom w:val="single" w:sz="2" w:space="0" w:color="auto"/>
              <w:right w:val="nil"/>
            </w:tcBorders>
            <w:shd w:val="clear" w:color="auto" w:fill="auto"/>
            <w:vAlign w:val="bottom"/>
          </w:tcPr>
          <w:p w14:paraId="36A80796" w14:textId="77777777" w:rsidR="00302534" w:rsidRPr="00302534" w:rsidRDefault="00302534" w:rsidP="00302534">
            <w:pPr>
              <w:pStyle w:val="Tabletext"/>
              <w:rPr>
                <w:color w:val="000000" w:themeColor="text1"/>
              </w:rPr>
            </w:pPr>
            <w:r w:rsidRPr="00302534">
              <w:rPr>
                <w:color w:val="000000" w:themeColor="text1"/>
              </w:rPr>
              <w:t>4</w:t>
            </w:r>
            <w:r w:rsidR="00D7157D">
              <w:rPr>
                <w:color w:val="000000" w:themeColor="text1"/>
              </w:rPr>
              <w:t>.</w:t>
            </w:r>
            <w:r w:rsidRPr="00302534">
              <w:rPr>
                <w:color w:val="000000" w:themeColor="text1"/>
              </w:rPr>
              <w:t>1526</w:t>
            </w:r>
          </w:p>
        </w:tc>
        <w:tc>
          <w:tcPr>
            <w:tcW w:w="906" w:type="pct"/>
            <w:tcBorders>
              <w:top w:val="single" w:sz="2" w:space="0" w:color="auto"/>
              <w:left w:val="nil"/>
              <w:bottom w:val="single" w:sz="2" w:space="0" w:color="auto"/>
              <w:right w:val="nil"/>
            </w:tcBorders>
            <w:shd w:val="clear" w:color="auto" w:fill="auto"/>
            <w:vAlign w:val="bottom"/>
          </w:tcPr>
          <w:p w14:paraId="6737DA02"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2909</w:t>
            </w:r>
          </w:p>
        </w:tc>
      </w:tr>
      <w:tr w:rsidR="00302534" w:rsidRPr="00A058B6" w14:paraId="0597C4D8" w14:textId="77777777" w:rsidTr="00FA26AF">
        <w:tc>
          <w:tcPr>
            <w:tcW w:w="1382" w:type="pct"/>
            <w:tcBorders>
              <w:left w:val="nil"/>
              <w:right w:val="nil"/>
            </w:tcBorders>
          </w:tcPr>
          <w:p w14:paraId="54784960" w14:textId="77777777" w:rsidR="00302534" w:rsidRPr="00A058B6" w:rsidRDefault="00302534" w:rsidP="00302534">
            <w:pPr>
              <w:pStyle w:val="Tabletext"/>
            </w:pPr>
            <w:r w:rsidRPr="00A058B6">
              <w:t>92</w:t>
            </w:r>
          </w:p>
        </w:tc>
        <w:tc>
          <w:tcPr>
            <w:tcW w:w="904" w:type="pct"/>
            <w:tcBorders>
              <w:top w:val="single" w:sz="2" w:space="0" w:color="auto"/>
              <w:left w:val="nil"/>
              <w:bottom w:val="single" w:sz="2" w:space="0" w:color="auto"/>
              <w:right w:val="nil"/>
            </w:tcBorders>
            <w:shd w:val="clear" w:color="auto" w:fill="auto"/>
            <w:vAlign w:val="bottom"/>
          </w:tcPr>
          <w:p w14:paraId="25A3C1DE" w14:textId="77777777" w:rsidR="00302534" w:rsidRPr="00A058B6" w:rsidRDefault="00302534" w:rsidP="00302534">
            <w:pPr>
              <w:pStyle w:val="Tabletext"/>
            </w:pPr>
            <w:r w:rsidRPr="00A058B6">
              <w:t>3</w:t>
            </w:r>
            <w:r w:rsidR="00D7157D">
              <w:t>.</w:t>
            </w:r>
            <w:r w:rsidRPr="00A058B6">
              <w:t>6470</w:t>
            </w:r>
          </w:p>
        </w:tc>
        <w:tc>
          <w:tcPr>
            <w:tcW w:w="904" w:type="pct"/>
            <w:tcBorders>
              <w:top w:val="single" w:sz="2" w:space="0" w:color="auto"/>
              <w:left w:val="nil"/>
              <w:bottom w:val="single" w:sz="2" w:space="0" w:color="auto"/>
              <w:right w:val="nil"/>
            </w:tcBorders>
            <w:shd w:val="clear" w:color="auto" w:fill="auto"/>
            <w:vAlign w:val="bottom"/>
          </w:tcPr>
          <w:p w14:paraId="16511AE6" w14:textId="77777777" w:rsidR="00302534" w:rsidRPr="00A058B6" w:rsidRDefault="00302534" w:rsidP="00302534">
            <w:pPr>
              <w:pStyle w:val="Tabletext"/>
            </w:pPr>
            <w:r w:rsidRPr="00A058B6">
              <w:t>2</w:t>
            </w:r>
            <w:r w:rsidR="00D7157D">
              <w:t>.</w:t>
            </w:r>
            <w:r w:rsidRPr="00A058B6">
              <w:t>0540</w:t>
            </w:r>
          </w:p>
        </w:tc>
        <w:tc>
          <w:tcPr>
            <w:tcW w:w="904" w:type="pct"/>
            <w:tcBorders>
              <w:top w:val="single" w:sz="2" w:space="0" w:color="auto"/>
              <w:left w:val="nil"/>
              <w:bottom w:val="single" w:sz="2" w:space="0" w:color="auto"/>
              <w:right w:val="nil"/>
            </w:tcBorders>
            <w:shd w:val="clear" w:color="auto" w:fill="auto"/>
            <w:vAlign w:val="bottom"/>
          </w:tcPr>
          <w:p w14:paraId="40819457"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9538</w:t>
            </w:r>
          </w:p>
        </w:tc>
        <w:tc>
          <w:tcPr>
            <w:tcW w:w="906" w:type="pct"/>
            <w:tcBorders>
              <w:top w:val="single" w:sz="2" w:space="0" w:color="auto"/>
              <w:left w:val="nil"/>
              <w:bottom w:val="single" w:sz="2" w:space="0" w:color="auto"/>
              <w:right w:val="nil"/>
            </w:tcBorders>
            <w:shd w:val="clear" w:color="auto" w:fill="auto"/>
            <w:vAlign w:val="bottom"/>
          </w:tcPr>
          <w:p w14:paraId="46249C94"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2125</w:t>
            </w:r>
          </w:p>
        </w:tc>
      </w:tr>
      <w:tr w:rsidR="00302534" w:rsidRPr="00A058B6" w14:paraId="61BD25E8" w14:textId="77777777" w:rsidTr="00FA26AF">
        <w:tc>
          <w:tcPr>
            <w:tcW w:w="1382" w:type="pct"/>
            <w:tcBorders>
              <w:left w:val="nil"/>
              <w:right w:val="nil"/>
            </w:tcBorders>
          </w:tcPr>
          <w:p w14:paraId="2A67353D" w14:textId="77777777" w:rsidR="00302534" w:rsidRPr="00A058B6" w:rsidRDefault="00302534" w:rsidP="00302534">
            <w:pPr>
              <w:pStyle w:val="Tabletext"/>
            </w:pPr>
            <w:r w:rsidRPr="00A058B6">
              <w:t>93</w:t>
            </w:r>
          </w:p>
        </w:tc>
        <w:tc>
          <w:tcPr>
            <w:tcW w:w="904" w:type="pct"/>
            <w:tcBorders>
              <w:top w:val="single" w:sz="2" w:space="0" w:color="auto"/>
              <w:left w:val="nil"/>
              <w:bottom w:val="single" w:sz="2" w:space="0" w:color="auto"/>
              <w:right w:val="nil"/>
            </w:tcBorders>
            <w:shd w:val="clear" w:color="auto" w:fill="auto"/>
            <w:vAlign w:val="bottom"/>
          </w:tcPr>
          <w:p w14:paraId="5472236D" w14:textId="77777777" w:rsidR="00302534" w:rsidRPr="00A058B6" w:rsidRDefault="00302534" w:rsidP="00302534">
            <w:pPr>
              <w:pStyle w:val="Tabletext"/>
            </w:pPr>
            <w:r w:rsidRPr="00A058B6">
              <w:t>3</w:t>
            </w:r>
            <w:r w:rsidR="00D7157D">
              <w:t>.</w:t>
            </w:r>
            <w:r w:rsidRPr="00A058B6">
              <w:t>4748</w:t>
            </w:r>
          </w:p>
        </w:tc>
        <w:tc>
          <w:tcPr>
            <w:tcW w:w="904" w:type="pct"/>
            <w:tcBorders>
              <w:top w:val="single" w:sz="2" w:space="0" w:color="auto"/>
              <w:left w:val="nil"/>
              <w:bottom w:val="single" w:sz="2" w:space="0" w:color="auto"/>
              <w:right w:val="nil"/>
            </w:tcBorders>
            <w:shd w:val="clear" w:color="auto" w:fill="auto"/>
            <w:vAlign w:val="bottom"/>
          </w:tcPr>
          <w:p w14:paraId="39C5E444" w14:textId="77777777" w:rsidR="00302534" w:rsidRPr="00A058B6" w:rsidRDefault="00302534" w:rsidP="00302534">
            <w:pPr>
              <w:pStyle w:val="Tabletext"/>
            </w:pPr>
            <w:r w:rsidRPr="00A058B6">
              <w:t>1</w:t>
            </w:r>
            <w:r w:rsidR="00D7157D">
              <w:t>.</w:t>
            </w:r>
            <w:r w:rsidRPr="00A058B6">
              <w:t>9905</w:t>
            </w:r>
          </w:p>
        </w:tc>
        <w:tc>
          <w:tcPr>
            <w:tcW w:w="904" w:type="pct"/>
            <w:tcBorders>
              <w:top w:val="single" w:sz="2" w:space="0" w:color="auto"/>
              <w:left w:val="nil"/>
              <w:bottom w:val="single" w:sz="2" w:space="0" w:color="auto"/>
              <w:right w:val="nil"/>
            </w:tcBorders>
            <w:shd w:val="clear" w:color="auto" w:fill="auto"/>
            <w:vAlign w:val="bottom"/>
          </w:tcPr>
          <w:p w14:paraId="77D2CC1B"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7497</w:t>
            </w:r>
          </w:p>
        </w:tc>
        <w:tc>
          <w:tcPr>
            <w:tcW w:w="906" w:type="pct"/>
            <w:tcBorders>
              <w:top w:val="single" w:sz="2" w:space="0" w:color="auto"/>
              <w:left w:val="nil"/>
              <w:bottom w:val="single" w:sz="2" w:space="0" w:color="auto"/>
              <w:right w:val="nil"/>
            </w:tcBorders>
            <w:shd w:val="clear" w:color="auto" w:fill="auto"/>
            <w:vAlign w:val="bottom"/>
          </w:tcPr>
          <w:p w14:paraId="6CED2BFB"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1350</w:t>
            </w:r>
          </w:p>
        </w:tc>
      </w:tr>
      <w:tr w:rsidR="00302534" w:rsidRPr="00A058B6" w14:paraId="47E2727C" w14:textId="77777777" w:rsidTr="00FA26AF">
        <w:tc>
          <w:tcPr>
            <w:tcW w:w="1382" w:type="pct"/>
            <w:tcBorders>
              <w:left w:val="nil"/>
              <w:right w:val="nil"/>
            </w:tcBorders>
          </w:tcPr>
          <w:p w14:paraId="30641A83" w14:textId="77777777" w:rsidR="00302534" w:rsidRPr="00A058B6" w:rsidRDefault="00302534" w:rsidP="00302534">
            <w:pPr>
              <w:pStyle w:val="Tabletext"/>
            </w:pPr>
            <w:r w:rsidRPr="00A058B6">
              <w:t>94</w:t>
            </w:r>
          </w:p>
        </w:tc>
        <w:tc>
          <w:tcPr>
            <w:tcW w:w="904" w:type="pct"/>
            <w:tcBorders>
              <w:top w:val="single" w:sz="2" w:space="0" w:color="auto"/>
              <w:left w:val="nil"/>
              <w:bottom w:val="single" w:sz="2" w:space="0" w:color="auto"/>
              <w:right w:val="nil"/>
            </w:tcBorders>
            <w:shd w:val="clear" w:color="auto" w:fill="auto"/>
            <w:vAlign w:val="bottom"/>
          </w:tcPr>
          <w:p w14:paraId="0B59D648" w14:textId="77777777" w:rsidR="00302534" w:rsidRPr="00A058B6" w:rsidRDefault="00302534" w:rsidP="00302534">
            <w:pPr>
              <w:pStyle w:val="Tabletext"/>
            </w:pPr>
            <w:r w:rsidRPr="00A058B6">
              <w:t>3</w:t>
            </w:r>
            <w:r w:rsidR="00D7157D">
              <w:t>.</w:t>
            </w:r>
            <w:r w:rsidRPr="00A058B6">
              <w:t>2933</w:t>
            </w:r>
          </w:p>
        </w:tc>
        <w:tc>
          <w:tcPr>
            <w:tcW w:w="904" w:type="pct"/>
            <w:tcBorders>
              <w:top w:val="single" w:sz="2" w:space="0" w:color="auto"/>
              <w:left w:val="nil"/>
              <w:bottom w:val="single" w:sz="2" w:space="0" w:color="auto"/>
              <w:right w:val="nil"/>
            </w:tcBorders>
            <w:shd w:val="clear" w:color="auto" w:fill="auto"/>
            <w:vAlign w:val="bottom"/>
          </w:tcPr>
          <w:p w14:paraId="107E2E99" w14:textId="77777777" w:rsidR="00302534" w:rsidRPr="00A058B6" w:rsidRDefault="00302534" w:rsidP="00302534">
            <w:pPr>
              <w:pStyle w:val="Tabletext"/>
            </w:pPr>
            <w:r w:rsidRPr="00A058B6">
              <w:t>1</w:t>
            </w:r>
            <w:r w:rsidR="00D7157D">
              <w:t>.</w:t>
            </w:r>
            <w:r w:rsidRPr="00A058B6">
              <w:t>9265</w:t>
            </w:r>
          </w:p>
        </w:tc>
        <w:tc>
          <w:tcPr>
            <w:tcW w:w="904" w:type="pct"/>
            <w:tcBorders>
              <w:top w:val="single" w:sz="2" w:space="0" w:color="auto"/>
              <w:left w:val="nil"/>
              <w:bottom w:val="single" w:sz="2" w:space="0" w:color="auto"/>
              <w:right w:val="nil"/>
            </w:tcBorders>
            <w:shd w:val="clear" w:color="auto" w:fill="auto"/>
            <w:vAlign w:val="bottom"/>
          </w:tcPr>
          <w:p w14:paraId="53CE5E06"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5388</w:t>
            </w:r>
          </w:p>
        </w:tc>
        <w:tc>
          <w:tcPr>
            <w:tcW w:w="906" w:type="pct"/>
            <w:tcBorders>
              <w:top w:val="single" w:sz="2" w:space="0" w:color="auto"/>
              <w:left w:val="nil"/>
              <w:bottom w:val="single" w:sz="2" w:space="0" w:color="auto"/>
              <w:right w:val="nil"/>
            </w:tcBorders>
            <w:shd w:val="clear" w:color="auto" w:fill="auto"/>
            <w:vAlign w:val="bottom"/>
          </w:tcPr>
          <w:p w14:paraId="2EFA0018"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0575</w:t>
            </w:r>
          </w:p>
        </w:tc>
      </w:tr>
      <w:tr w:rsidR="00302534" w:rsidRPr="00A058B6" w14:paraId="2B3AA80F" w14:textId="77777777" w:rsidTr="00FA26AF">
        <w:tc>
          <w:tcPr>
            <w:tcW w:w="1382" w:type="pct"/>
            <w:tcBorders>
              <w:left w:val="nil"/>
              <w:right w:val="nil"/>
            </w:tcBorders>
          </w:tcPr>
          <w:p w14:paraId="554EC9C0" w14:textId="77777777" w:rsidR="00302534" w:rsidRPr="00A058B6" w:rsidRDefault="00302534" w:rsidP="00302534">
            <w:pPr>
              <w:pStyle w:val="Tabletext"/>
            </w:pPr>
            <w:r w:rsidRPr="00A058B6">
              <w:t>95</w:t>
            </w:r>
          </w:p>
        </w:tc>
        <w:tc>
          <w:tcPr>
            <w:tcW w:w="904" w:type="pct"/>
            <w:tcBorders>
              <w:top w:val="single" w:sz="2" w:space="0" w:color="auto"/>
              <w:left w:val="nil"/>
              <w:bottom w:val="single" w:sz="2" w:space="0" w:color="auto"/>
              <w:right w:val="nil"/>
            </w:tcBorders>
            <w:shd w:val="clear" w:color="auto" w:fill="auto"/>
            <w:vAlign w:val="bottom"/>
          </w:tcPr>
          <w:p w14:paraId="4A9EA843" w14:textId="77777777" w:rsidR="00302534" w:rsidRPr="00A058B6" w:rsidRDefault="00302534" w:rsidP="00302534">
            <w:pPr>
              <w:pStyle w:val="Tabletext"/>
            </w:pPr>
            <w:r w:rsidRPr="00A058B6">
              <w:t>3</w:t>
            </w:r>
            <w:r w:rsidR="00D7157D">
              <w:t>.</w:t>
            </w:r>
            <w:r w:rsidRPr="00A058B6">
              <w:t>1111</w:t>
            </w:r>
          </w:p>
        </w:tc>
        <w:tc>
          <w:tcPr>
            <w:tcW w:w="904" w:type="pct"/>
            <w:tcBorders>
              <w:top w:val="single" w:sz="2" w:space="0" w:color="auto"/>
              <w:left w:val="nil"/>
              <w:bottom w:val="single" w:sz="2" w:space="0" w:color="auto"/>
              <w:right w:val="nil"/>
            </w:tcBorders>
            <w:shd w:val="clear" w:color="auto" w:fill="auto"/>
            <w:vAlign w:val="bottom"/>
          </w:tcPr>
          <w:p w14:paraId="43A9E031" w14:textId="77777777" w:rsidR="00302534" w:rsidRPr="00A058B6" w:rsidRDefault="00302534" w:rsidP="00302534">
            <w:pPr>
              <w:pStyle w:val="Tabletext"/>
            </w:pPr>
            <w:r w:rsidRPr="00A058B6">
              <w:t>1</w:t>
            </w:r>
            <w:r w:rsidR="00D7157D">
              <w:t>.</w:t>
            </w:r>
            <w:r w:rsidRPr="00A058B6">
              <w:t>8593</w:t>
            </w:r>
          </w:p>
        </w:tc>
        <w:tc>
          <w:tcPr>
            <w:tcW w:w="904" w:type="pct"/>
            <w:tcBorders>
              <w:top w:val="single" w:sz="2" w:space="0" w:color="auto"/>
              <w:left w:val="nil"/>
              <w:bottom w:val="single" w:sz="2" w:space="0" w:color="auto"/>
              <w:right w:val="nil"/>
            </w:tcBorders>
            <w:shd w:val="clear" w:color="auto" w:fill="auto"/>
            <w:vAlign w:val="bottom"/>
          </w:tcPr>
          <w:p w14:paraId="670A8713"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3293</w:t>
            </w:r>
          </w:p>
        </w:tc>
        <w:tc>
          <w:tcPr>
            <w:tcW w:w="906" w:type="pct"/>
            <w:tcBorders>
              <w:top w:val="single" w:sz="2" w:space="0" w:color="auto"/>
              <w:left w:val="nil"/>
              <w:bottom w:val="single" w:sz="2" w:space="0" w:color="auto"/>
              <w:right w:val="nil"/>
            </w:tcBorders>
            <w:shd w:val="clear" w:color="auto" w:fill="auto"/>
            <w:vAlign w:val="bottom"/>
          </w:tcPr>
          <w:p w14:paraId="19ECC47D"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9778</w:t>
            </w:r>
          </w:p>
        </w:tc>
      </w:tr>
      <w:tr w:rsidR="00302534" w:rsidRPr="00A058B6" w14:paraId="396C2B12" w14:textId="77777777" w:rsidTr="00FA26AF">
        <w:tc>
          <w:tcPr>
            <w:tcW w:w="1382" w:type="pct"/>
            <w:tcBorders>
              <w:left w:val="nil"/>
              <w:right w:val="nil"/>
            </w:tcBorders>
          </w:tcPr>
          <w:p w14:paraId="044E0738" w14:textId="77777777" w:rsidR="00302534" w:rsidRPr="00A058B6" w:rsidRDefault="00302534" w:rsidP="00302534">
            <w:pPr>
              <w:pStyle w:val="Tabletext"/>
            </w:pPr>
            <w:r w:rsidRPr="00A058B6">
              <w:t>96</w:t>
            </w:r>
          </w:p>
        </w:tc>
        <w:tc>
          <w:tcPr>
            <w:tcW w:w="904" w:type="pct"/>
            <w:tcBorders>
              <w:top w:val="single" w:sz="2" w:space="0" w:color="auto"/>
              <w:left w:val="nil"/>
              <w:bottom w:val="single" w:sz="2" w:space="0" w:color="auto"/>
              <w:right w:val="nil"/>
            </w:tcBorders>
            <w:shd w:val="clear" w:color="auto" w:fill="auto"/>
            <w:vAlign w:val="bottom"/>
          </w:tcPr>
          <w:p w14:paraId="4077928F" w14:textId="77777777" w:rsidR="00302534" w:rsidRPr="00A058B6" w:rsidRDefault="00302534" w:rsidP="00302534">
            <w:pPr>
              <w:pStyle w:val="Tabletext"/>
            </w:pPr>
            <w:r w:rsidRPr="00A058B6">
              <w:t>2</w:t>
            </w:r>
            <w:r w:rsidR="00D7157D">
              <w:t>.</w:t>
            </w:r>
            <w:r w:rsidRPr="00A058B6">
              <w:t>9273</w:t>
            </w:r>
          </w:p>
        </w:tc>
        <w:tc>
          <w:tcPr>
            <w:tcW w:w="904" w:type="pct"/>
            <w:tcBorders>
              <w:top w:val="single" w:sz="2" w:space="0" w:color="auto"/>
              <w:left w:val="nil"/>
              <w:bottom w:val="single" w:sz="2" w:space="0" w:color="auto"/>
              <w:right w:val="nil"/>
            </w:tcBorders>
            <w:shd w:val="clear" w:color="auto" w:fill="auto"/>
            <w:vAlign w:val="bottom"/>
          </w:tcPr>
          <w:p w14:paraId="463E6006" w14:textId="77777777" w:rsidR="00302534" w:rsidRPr="00A058B6" w:rsidRDefault="00302534" w:rsidP="00302534">
            <w:pPr>
              <w:pStyle w:val="Tabletext"/>
            </w:pPr>
            <w:r w:rsidRPr="00A058B6">
              <w:t>1</w:t>
            </w:r>
            <w:r w:rsidR="00D7157D">
              <w:t>.</w:t>
            </w:r>
            <w:r w:rsidRPr="00A058B6">
              <w:t>7906</w:t>
            </w:r>
          </w:p>
        </w:tc>
        <w:tc>
          <w:tcPr>
            <w:tcW w:w="904" w:type="pct"/>
            <w:tcBorders>
              <w:top w:val="single" w:sz="2" w:space="0" w:color="auto"/>
              <w:left w:val="nil"/>
              <w:bottom w:val="single" w:sz="2" w:space="0" w:color="auto"/>
              <w:right w:val="nil"/>
            </w:tcBorders>
            <w:shd w:val="clear" w:color="auto" w:fill="auto"/>
            <w:vAlign w:val="bottom"/>
          </w:tcPr>
          <w:p w14:paraId="61F6AB7B" w14:textId="77777777" w:rsidR="00302534" w:rsidRPr="00302534" w:rsidRDefault="00302534" w:rsidP="00302534">
            <w:pPr>
              <w:pStyle w:val="Tabletext"/>
              <w:rPr>
                <w:color w:val="000000" w:themeColor="text1"/>
              </w:rPr>
            </w:pPr>
            <w:r w:rsidRPr="00302534">
              <w:rPr>
                <w:color w:val="000000" w:themeColor="text1"/>
              </w:rPr>
              <w:t>3</w:t>
            </w:r>
            <w:r w:rsidR="00D7157D">
              <w:rPr>
                <w:color w:val="000000" w:themeColor="text1"/>
              </w:rPr>
              <w:t>.</w:t>
            </w:r>
            <w:r w:rsidRPr="00302534">
              <w:rPr>
                <w:color w:val="000000" w:themeColor="text1"/>
              </w:rPr>
              <w:t>1202</w:t>
            </w:r>
          </w:p>
        </w:tc>
        <w:tc>
          <w:tcPr>
            <w:tcW w:w="906" w:type="pct"/>
            <w:tcBorders>
              <w:top w:val="single" w:sz="2" w:space="0" w:color="auto"/>
              <w:left w:val="nil"/>
              <w:bottom w:val="single" w:sz="2" w:space="0" w:color="auto"/>
              <w:right w:val="nil"/>
            </w:tcBorders>
            <w:shd w:val="clear" w:color="auto" w:fill="auto"/>
            <w:vAlign w:val="bottom"/>
          </w:tcPr>
          <w:p w14:paraId="4F1D7DB3"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8973</w:t>
            </w:r>
          </w:p>
        </w:tc>
      </w:tr>
      <w:tr w:rsidR="00302534" w:rsidRPr="00A058B6" w14:paraId="6D71B660" w14:textId="77777777" w:rsidTr="00FA26AF">
        <w:tc>
          <w:tcPr>
            <w:tcW w:w="1382" w:type="pct"/>
            <w:tcBorders>
              <w:left w:val="nil"/>
              <w:right w:val="nil"/>
            </w:tcBorders>
          </w:tcPr>
          <w:p w14:paraId="05BD32BA" w14:textId="77777777" w:rsidR="00302534" w:rsidRPr="00A058B6" w:rsidRDefault="00302534" w:rsidP="00302534">
            <w:pPr>
              <w:pStyle w:val="Tabletext"/>
            </w:pPr>
            <w:r w:rsidRPr="00A058B6">
              <w:t>97</w:t>
            </w:r>
          </w:p>
        </w:tc>
        <w:tc>
          <w:tcPr>
            <w:tcW w:w="904" w:type="pct"/>
            <w:tcBorders>
              <w:top w:val="single" w:sz="2" w:space="0" w:color="auto"/>
              <w:left w:val="nil"/>
              <w:bottom w:val="single" w:sz="2" w:space="0" w:color="auto"/>
              <w:right w:val="nil"/>
            </w:tcBorders>
            <w:shd w:val="clear" w:color="auto" w:fill="auto"/>
            <w:vAlign w:val="bottom"/>
          </w:tcPr>
          <w:p w14:paraId="464FAD3C" w14:textId="77777777" w:rsidR="00302534" w:rsidRPr="00A058B6" w:rsidRDefault="00302534" w:rsidP="00302534">
            <w:pPr>
              <w:pStyle w:val="Tabletext"/>
            </w:pPr>
            <w:r w:rsidRPr="00A058B6">
              <w:t>2</w:t>
            </w:r>
            <w:r w:rsidR="00D7157D">
              <w:t>.</w:t>
            </w:r>
            <w:r w:rsidRPr="00A058B6">
              <w:t>7429</w:t>
            </w:r>
          </w:p>
        </w:tc>
        <w:tc>
          <w:tcPr>
            <w:tcW w:w="904" w:type="pct"/>
            <w:tcBorders>
              <w:top w:val="single" w:sz="2" w:space="0" w:color="auto"/>
              <w:left w:val="nil"/>
              <w:bottom w:val="single" w:sz="2" w:space="0" w:color="auto"/>
              <w:right w:val="nil"/>
            </w:tcBorders>
            <w:shd w:val="clear" w:color="auto" w:fill="auto"/>
            <w:vAlign w:val="bottom"/>
          </w:tcPr>
          <w:p w14:paraId="79B5C251" w14:textId="77777777" w:rsidR="00302534" w:rsidRPr="00A058B6" w:rsidRDefault="00302534" w:rsidP="00302534">
            <w:pPr>
              <w:pStyle w:val="Tabletext"/>
            </w:pPr>
            <w:r w:rsidRPr="00A058B6">
              <w:t>1</w:t>
            </w:r>
            <w:r w:rsidR="00D7157D">
              <w:t>.</w:t>
            </w:r>
            <w:r w:rsidRPr="00A058B6">
              <w:t>7205</w:t>
            </w:r>
          </w:p>
        </w:tc>
        <w:tc>
          <w:tcPr>
            <w:tcW w:w="904" w:type="pct"/>
            <w:tcBorders>
              <w:top w:val="single" w:sz="2" w:space="0" w:color="auto"/>
              <w:left w:val="nil"/>
              <w:bottom w:val="single" w:sz="2" w:space="0" w:color="auto"/>
              <w:right w:val="nil"/>
            </w:tcBorders>
            <w:shd w:val="clear" w:color="auto" w:fill="auto"/>
            <w:vAlign w:val="bottom"/>
          </w:tcPr>
          <w:p w14:paraId="4CEC905E"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9124</w:t>
            </w:r>
          </w:p>
        </w:tc>
        <w:tc>
          <w:tcPr>
            <w:tcW w:w="906" w:type="pct"/>
            <w:tcBorders>
              <w:top w:val="single" w:sz="2" w:space="0" w:color="auto"/>
              <w:left w:val="nil"/>
              <w:bottom w:val="single" w:sz="2" w:space="0" w:color="auto"/>
              <w:right w:val="nil"/>
            </w:tcBorders>
            <w:shd w:val="clear" w:color="auto" w:fill="auto"/>
            <w:vAlign w:val="bottom"/>
          </w:tcPr>
          <w:p w14:paraId="2A6B3234"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8158</w:t>
            </w:r>
          </w:p>
        </w:tc>
      </w:tr>
      <w:tr w:rsidR="00302534" w:rsidRPr="00A058B6" w14:paraId="04580DAF" w14:textId="77777777" w:rsidTr="00FA26AF">
        <w:tc>
          <w:tcPr>
            <w:tcW w:w="1382" w:type="pct"/>
            <w:tcBorders>
              <w:left w:val="nil"/>
              <w:bottom w:val="single" w:sz="4" w:space="0" w:color="auto"/>
              <w:right w:val="nil"/>
            </w:tcBorders>
          </w:tcPr>
          <w:p w14:paraId="3E6E77A3" w14:textId="77777777" w:rsidR="00302534" w:rsidRPr="00A058B6" w:rsidRDefault="00302534" w:rsidP="00302534">
            <w:pPr>
              <w:pStyle w:val="Tabletext"/>
            </w:pPr>
            <w:r w:rsidRPr="00A058B6">
              <w:t>98</w:t>
            </w:r>
          </w:p>
        </w:tc>
        <w:tc>
          <w:tcPr>
            <w:tcW w:w="904" w:type="pct"/>
            <w:tcBorders>
              <w:top w:val="single" w:sz="2" w:space="0" w:color="auto"/>
              <w:left w:val="nil"/>
              <w:bottom w:val="single" w:sz="2" w:space="0" w:color="auto"/>
              <w:right w:val="nil"/>
            </w:tcBorders>
            <w:shd w:val="clear" w:color="auto" w:fill="auto"/>
            <w:vAlign w:val="bottom"/>
          </w:tcPr>
          <w:p w14:paraId="2EF07E4F" w14:textId="77777777" w:rsidR="00302534" w:rsidRPr="00A058B6" w:rsidRDefault="00302534" w:rsidP="00302534">
            <w:pPr>
              <w:pStyle w:val="Tabletext"/>
            </w:pPr>
            <w:r w:rsidRPr="00A058B6">
              <w:t>2</w:t>
            </w:r>
            <w:r w:rsidR="00D7157D">
              <w:t>.</w:t>
            </w:r>
            <w:r w:rsidRPr="00A058B6">
              <w:t>5567</w:t>
            </w:r>
          </w:p>
        </w:tc>
        <w:tc>
          <w:tcPr>
            <w:tcW w:w="904" w:type="pct"/>
            <w:tcBorders>
              <w:top w:val="single" w:sz="2" w:space="0" w:color="auto"/>
              <w:left w:val="nil"/>
              <w:bottom w:val="single" w:sz="2" w:space="0" w:color="auto"/>
              <w:right w:val="nil"/>
            </w:tcBorders>
            <w:shd w:val="clear" w:color="auto" w:fill="auto"/>
            <w:vAlign w:val="bottom"/>
          </w:tcPr>
          <w:p w14:paraId="5B2A6B39" w14:textId="77777777" w:rsidR="00302534" w:rsidRPr="00A058B6" w:rsidRDefault="00302534" w:rsidP="00302534">
            <w:pPr>
              <w:pStyle w:val="Tabletext"/>
            </w:pPr>
            <w:r w:rsidRPr="00A058B6">
              <w:t>1</w:t>
            </w:r>
            <w:r w:rsidR="00D7157D">
              <w:t>.</w:t>
            </w:r>
            <w:r w:rsidRPr="00A058B6">
              <w:t>6472</w:t>
            </w:r>
          </w:p>
        </w:tc>
        <w:tc>
          <w:tcPr>
            <w:tcW w:w="904" w:type="pct"/>
            <w:tcBorders>
              <w:top w:val="single" w:sz="2" w:space="0" w:color="auto"/>
              <w:left w:val="nil"/>
              <w:bottom w:val="single" w:sz="2" w:space="0" w:color="auto"/>
              <w:right w:val="nil"/>
            </w:tcBorders>
            <w:shd w:val="clear" w:color="auto" w:fill="auto"/>
            <w:vAlign w:val="bottom"/>
          </w:tcPr>
          <w:p w14:paraId="05605156"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7044</w:t>
            </w:r>
          </w:p>
        </w:tc>
        <w:tc>
          <w:tcPr>
            <w:tcW w:w="906" w:type="pct"/>
            <w:tcBorders>
              <w:top w:val="single" w:sz="2" w:space="0" w:color="auto"/>
              <w:left w:val="nil"/>
              <w:bottom w:val="single" w:sz="2" w:space="0" w:color="auto"/>
              <w:right w:val="nil"/>
            </w:tcBorders>
            <w:shd w:val="clear" w:color="auto" w:fill="auto"/>
            <w:vAlign w:val="bottom"/>
          </w:tcPr>
          <w:p w14:paraId="5B1D0BBC"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7315</w:t>
            </w:r>
          </w:p>
        </w:tc>
      </w:tr>
      <w:tr w:rsidR="00302534" w:rsidRPr="00A058B6" w14:paraId="7B048A45" w14:textId="77777777" w:rsidTr="00FA26AF">
        <w:tc>
          <w:tcPr>
            <w:tcW w:w="1382" w:type="pct"/>
            <w:tcBorders>
              <w:left w:val="nil"/>
              <w:bottom w:val="single" w:sz="12" w:space="0" w:color="auto"/>
              <w:right w:val="nil"/>
            </w:tcBorders>
          </w:tcPr>
          <w:p w14:paraId="411192A5" w14:textId="77777777" w:rsidR="00302534" w:rsidRPr="00A058B6" w:rsidRDefault="00302534" w:rsidP="00302534">
            <w:pPr>
              <w:pStyle w:val="Tabletext"/>
            </w:pPr>
            <w:r>
              <w:t>99 and over</w:t>
            </w:r>
          </w:p>
        </w:tc>
        <w:tc>
          <w:tcPr>
            <w:tcW w:w="904" w:type="pct"/>
            <w:tcBorders>
              <w:top w:val="single" w:sz="2" w:space="0" w:color="auto"/>
              <w:left w:val="nil"/>
              <w:bottom w:val="single" w:sz="12" w:space="0" w:color="auto"/>
              <w:right w:val="nil"/>
            </w:tcBorders>
            <w:shd w:val="clear" w:color="auto" w:fill="auto"/>
            <w:vAlign w:val="bottom"/>
          </w:tcPr>
          <w:p w14:paraId="5A3393E3" w14:textId="77777777" w:rsidR="00302534" w:rsidRPr="00A058B6" w:rsidRDefault="00302534" w:rsidP="00302534">
            <w:pPr>
              <w:pStyle w:val="Tabletext"/>
            </w:pPr>
            <w:r w:rsidRPr="00A058B6">
              <w:t>2</w:t>
            </w:r>
            <w:r w:rsidR="00D7157D">
              <w:t>.</w:t>
            </w:r>
            <w:r w:rsidRPr="00A058B6">
              <w:t>3657</w:t>
            </w:r>
          </w:p>
        </w:tc>
        <w:tc>
          <w:tcPr>
            <w:tcW w:w="904" w:type="pct"/>
            <w:tcBorders>
              <w:top w:val="single" w:sz="2" w:space="0" w:color="auto"/>
              <w:left w:val="nil"/>
              <w:bottom w:val="single" w:sz="12" w:space="0" w:color="auto"/>
              <w:right w:val="nil"/>
            </w:tcBorders>
            <w:shd w:val="clear" w:color="auto" w:fill="auto"/>
            <w:vAlign w:val="bottom"/>
          </w:tcPr>
          <w:p w14:paraId="07BD6467" w14:textId="77777777" w:rsidR="00302534" w:rsidRPr="00A058B6" w:rsidRDefault="00302534" w:rsidP="00302534">
            <w:pPr>
              <w:pStyle w:val="Tabletext"/>
            </w:pPr>
            <w:r w:rsidRPr="00A058B6">
              <w:t>1</w:t>
            </w:r>
            <w:r w:rsidR="00D7157D">
              <w:t>.</w:t>
            </w:r>
            <w:r w:rsidRPr="00A058B6">
              <w:t>5696</w:t>
            </w:r>
          </w:p>
        </w:tc>
        <w:tc>
          <w:tcPr>
            <w:tcW w:w="904" w:type="pct"/>
            <w:tcBorders>
              <w:top w:val="single" w:sz="2" w:space="0" w:color="auto"/>
              <w:left w:val="nil"/>
              <w:bottom w:val="single" w:sz="12" w:space="0" w:color="auto"/>
              <w:right w:val="nil"/>
            </w:tcBorders>
            <w:shd w:val="clear" w:color="auto" w:fill="auto"/>
            <w:vAlign w:val="bottom"/>
          </w:tcPr>
          <w:p w14:paraId="07C17D57" w14:textId="77777777" w:rsidR="00302534" w:rsidRPr="00302534" w:rsidRDefault="00302534" w:rsidP="00302534">
            <w:pPr>
              <w:pStyle w:val="Tabletext"/>
              <w:rPr>
                <w:color w:val="000000" w:themeColor="text1"/>
              </w:rPr>
            </w:pPr>
            <w:r w:rsidRPr="00302534">
              <w:rPr>
                <w:color w:val="000000" w:themeColor="text1"/>
              </w:rPr>
              <w:t>2</w:t>
            </w:r>
            <w:r w:rsidR="00D7157D">
              <w:rPr>
                <w:color w:val="000000" w:themeColor="text1"/>
              </w:rPr>
              <w:t>.</w:t>
            </w:r>
            <w:r w:rsidRPr="00302534">
              <w:rPr>
                <w:color w:val="000000" w:themeColor="text1"/>
              </w:rPr>
              <w:t>4930</w:t>
            </w:r>
          </w:p>
        </w:tc>
        <w:tc>
          <w:tcPr>
            <w:tcW w:w="906" w:type="pct"/>
            <w:tcBorders>
              <w:top w:val="single" w:sz="2" w:space="0" w:color="auto"/>
              <w:left w:val="nil"/>
              <w:bottom w:val="single" w:sz="12" w:space="0" w:color="auto"/>
              <w:right w:val="nil"/>
            </w:tcBorders>
            <w:shd w:val="clear" w:color="auto" w:fill="auto"/>
            <w:vAlign w:val="bottom"/>
          </w:tcPr>
          <w:p w14:paraId="24F235BE" w14:textId="77777777" w:rsidR="00302534" w:rsidRPr="00302534" w:rsidRDefault="00302534" w:rsidP="00302534">
            <w:pPr>
              <w:pStyle w:val="Tabletext"/>
              <w:rPr>
                <w:color w:val="000000" w:themeColor="text1"/>
              </w:rPr>
            </w:pPr>
            <w:r w:rsidRPr="00302534">
              <w:rPr>
                <w:color w:val="000000" w:themeColor="text1"/>
              </w:rPr>
              <w:t>1</w:t>
            </w:r>
            <w:r w:rsidR="00D7157D">
              <w:rPr>
                <w:color w:val="000000" w:themeColor="text1"/>
              </w:rPr>
              <w:t>.</w:t>
            </w:r>
            <w:r w:rsidRPr="00302534">
              <w:rPr>
                <w:color w:val="000000" w:themeColor="text1"/>
              </w:rPr>
              <w:t>6432</w:t>
            </w:r>
          </w:p>
        </w:tc>
      </w:tr>
    </w:tbl>
    <w:p w14:paraId="78396782" w14:textId="77777777" w:rsidR="00647C6B" w:rsidRPr="00A058B6" w:rsidRDefault="00E5077D" w:rsidP="00647C6B">
      <w:pPr>
        <w:pStyle w:val="ActHead1"/>
        <w:pageBreakBefore/>
      </w:pPr>
      <w:bookmarkStart w:id="235" w:name="_Toc188350713"/>
      <w:r w:rsidRPr="00423C34">
        <w:rPr>
          <w:rStyle w:val="CharChapNo"/>
        </w:rPr>
        <w:t>Schedule </w:t>
      </w:r>
      <w:r w:rsidR="00E01083" w:rsidRPr="00423C34">
        <w:rPr>
          <w:rStyle w:val="CharChapNo"/>
        </w:rPr>
        <w:t>3</w:t>
      </w:r>
      <w:r w:rsidR="00647C6B" w:rsidRPr="00A058B6">
        <w:t>—</w:t>
      </w:r>
      <w:r w:rsidR="00647C6B" w:rsidRPr="00423C34">
        <w:rPr>
          <w:rStyle w:val="CharChapText"/>
        </w:rPr>
        <w:t>Method for determining gross value of defined benefit interest</w:t>
      </w:r>
      <w:bookmarkEnd w:id="235"/>
    </w:p>
    <w:p w14:paraId="4D44DC8A" w14:textId="58933212" w:rsidR="00647C6B" w:rsidRPr="00A058B6" w:rsidRDefault="00647C6B" w:rsidP="00647C6B">
      <w:pPr>
        <w:pStyle w:val="notemargin"/>
      </w:pPr>
      <w:r w:rsidRPr="00A058B6">
        <w:t>(</w:t>
      </w:r>
      <w:r w:rsidR="00CB78B9">
        <w:t>section 5</w:t>
      </w:r>
      <w:r w:rsidR="00485CC2">
        <w:t>2</w:t>
      </w:r>
      <w:r w:rsidR="005B0D21">
        <w:t xml:space="preserve">, </w:t>
      </w:r>
      <w:r w:rsidR="00D359B8">
        <w:t>60</w:t>
      </w:r>
      <w:r w:rsidR="005B0D21">
        <w:t xml:space="preserve"> or 113</w:t>
      </w:r>
      <w:r w:rsidRPr="00A058B6">
        <w:t>)</w:t>
      </w:r>
    </w:p>
    <w:p w14:paraId="65CD6CC7" w14:textId="77777777" w:rsidR="00647C6B" w:rsidRPr="00A058B6" w:rsidRDefault="00881039" w:rsidP="00647C6B">
      <w:pPr>
        <w:pStyle w:val="ActHead2"/>
      </w:pPr>
      <w:bookmarkStart w:id="236" w:name="_Toc188350714"/>
      <w:r w:rsidRPr="00423C34">
        <w:rPr>
          <w:rStyle w:val="CharPartNo"/>
        </w:rPr>
        <w:t>Part 1</w:t>
      </w:r>
      <w:r w:rsidR="00647C6B" w:rsidRPr="00A058B6">
        <w:t>—</w:t>
      </w:r>
      <w:r w:rsidR="00647C6B" w:rsidRPr="00423C34">
        <w:rPr>
          <w:rStyle w:val="CharPartText"/>
        </w:rPr>
        <w:t>Preliminary</w:t>
      </w:r>
      <w:bookmarkEnd w:id="236"/>
    </w:p>
    <w:p w14:paraId="14D2F58C" w14:textId="77777777" w:rsidR="00A730DD" w:rsidRPr="00423C34" w:rsidRDefault="00A730DD" w:rsidP="00A730DD">
      <w:pPr>
        <w:pStyle w:val="Header"/>
      </w:pPr>
      <w:r w:rsidRPr="00423C34">
        <w:rPr>
          <w:rStyle w:val="CharDivNo"/>
        </w:rPr>
        <w:t xml:space="preserve"> </w:t>
      </w:r>
      <w:r w:rsidRPr="00423C34">
        <w:rPr>
          <w:rStyle w:val="CharDivText"/>
        </w:rPr>
        <w:t xml:space="preserve"> </w:t>
      </w:r>
    </w:p>
    <w:p w14:paraId="7C22BADF" w14:textId="252D5266" w:rsidR="00647C6B" w:rsidRPr="00A058B6" w:rsidRDefault="00D7157D" w:rsidP="00647C6B">
      <w:pPr>
        <w:pStyle w:val="ActHead5"/>
      </w:pPr>
      <w:bookmarkStart w:id="237" w:name="_Toc188350715"/>
      <w:r w:rsidRPr="00423C34">
        <w:rPr>
          <w:rStyle w:val="CharSectno"/>
        </w:rPr>
        <w:t>1</w:t>
      </w:r>
      <w:r w:rsidR="00647C6B" w:rsidRPr="00A058B6">
        <w:t xml:space="preserve">  Application of </w:t>
      </w:r>
      <w:r w:rsidR="00272C0F">
        <w:t xml:space="preserve">this </w:t>
      </w:r>
      <w:r w:rsidR="00E5077D" w:rsidRPr="00A058B6">
        <w:t>Schedule</w:t>
      </w:r>
      <w:bookmarkEnd w:id="237"/>
    </w:p>
    <w:p w14:paraId="5B67F3FF" w14:textId="77777777" w:rsidR="00647C6B" w:rsidRPr="00A058B6" w:rsidRDefault="00647C6B" w:rsidP="00647C6B">
      <w:pPr>
        <w:pStyle w:val="subsection"/>
      </w:pPr>
      <w:r w:rsidRPr="00A058B6">
        <w:tab/>
      </w:r>
      <w:r w:rsidRPr="00A058B6">
        <w:tab/>
        <w:t>This Schedule sets out the method for determining the gross value, at the relevant date, of a defined benefit interest that is in the growth phase at that date</w:t>
      </w:r>
      <w:r w:rsidR="00D7157D">
        <w:t>.</w:t>
      </w:r>
    </w:p>
    <w:p w14:paraId="3E08688F" w14:textId="56BEE014" w:rsidR="00647C6B" w:rsidRPr="00A058B6" w:rsidRDefault="00D7157D" w:rsidP="00647C6B">
      <w:pPr>
        <w:pStyle w:val="ActHead5"/>
      </w:pPr>
      <w:bookmarkStart w:id="238" w:name="_Toc188350716"/>
      <w:r w:rsidRPr="00423C34">
        <w:rPr>
          <w:rStyle w:val="CharSectno"/>
        </w:rPr>
        <w:t>2</w:t>
      </w:r>
      <w:r w:rsidR="00647C6B" w:rsidRPr="00A058B6">
        <w:t xml:space="preserve">  Method</w:t>
      </w:r>
      <w:bookmarkEnd w:id="238"/>
    </w:p>
    <w:p w14:paraId="63A01781" w14:textId="77777777" w:rsidR="00647C6B" w:rsidRPr="00A058B6" w:rsidRDefault="00647C6B" w:rsidP="00647C6B">
      <w:pPr>
        <w:pStyle w:val="subsection"/>
      </w:pPr>
      <w:r w:rsidRPr="00A058B6">
        <w:rPr>
          <w:color w:val="000000"/>
        </w:rPr>
        <w:tab/>
        <w:t>(1)</w:t>
      </w:r>
      <w:r w:rsidRPr="00A058B6">
        <w:rPr>
          <w:color w:val="000000"/>
        </w:rPr>
        <w:tab/>
        <w:t>If the superannuation interest is held as a result of employment in which the member spouse is still engaged at the relevant date, the method is:</w:t>
      </w:r>
    </w:p>
    <w:p w14:paraId="0FB29CBD" w14:textId="7FA9A5BC" w:rsidR="00647C6B" w:rsidRPr="00A058B6" w:rsidRDefault="00647C6B" w:rsidP="00647C6B">
      <w:pPr>
        <w:pStyle w:val="paragraph"/>
      </w:pPr>
      <w:r w:rsidRPr="00A058B6">
        <w:rPr>
          <w:color w:val="000000"/>
        </w:rPr>
        <w:tab/>
        <w:t>(a)</w:t>
      </w:r>
      <w:r w:rsidRPr="00A058B6">
        <w:rPr>
          <w:color w:val="000000"/>
        </w:rPr>
        <w:tab/>
        <w:t xml:space="preserve">if the benefit in respect of the interest is payable only as a lump sum—the method set out in </w:t>
      </w:r>
      <w:r w:rsidR="00AB0143">
        <w:rPr>
          <w:color w:val="000000"/>
        </w:rPr>
        <w:t>Part 2</w:t>
      </w:r>
      <w:r w:rsidRPr="00A058B6">
        <w:rPr>
          <w:color w:val="000000"/>
        </w:rPr>
        <w:t xml:space="preserve"> of this Schedule; and</w:t>
      </w:r>
    </w:p>
    <w:p w14:paraId="5233AF37" w14:textId="77777777" w:rsidR="00015CD9" w:rsidRDefault="00647C6B" w:rsidP="00647C6B">
      <w:pPr>
        <w:pStyle w:val="paragraph"/>
      </w:pPr>
      <w:r w:rsidRPr="00A058B6">
        <w:tab/>
        <w:t>(b)</w:t>
      </w:r>
      <w:r w:rsidRPr="00A058B6">
        <w:tab/>
        <w:t>if the benefit in respect of the interest is payable only as a pension</w:t>
      </w:r>
      <w:r w:rsidR="00015CD9">
        <w:t>:</w:t>
      </w:r>
    </w:p>
    <w:p w14:paraId="23D59F6F" w14:textId="77777777" w:rsidR="000C02CB" w:rsidRDefault="00015CD9" w:rsidP="000C02CB">
      <w:pPr>
        <w:pStyle w:val="paragraphsub"/>
      </w:pPr>
      <w:r>
        <w:tab/>
        <w:t>(i)</w:t>
      </w:r>
      <w:r>
        <w:tab/>
        <w:t>in the case where the member spouse</w:t>
      </w:r>
      <w:r w:rsidR="003B69BC">
        <w:t>’s age is</w:t>
      </w:r>
      <w:r w:rsidR="00655DFD">
        <w:t xml:space="preserve"> 65 years</w:t>
      </w:r>
      <w:r w:rsidR="003B69BC">
        <w:t xml:space="preserve"> or less</w:t>
      </w:r>
      <w:r w:rsidR="00647C6B" w:rsidRPr="00A058B6">
        <w:t xml:space="preserve">—the method set out in </w:t>
      </w:r>
      <w:r w:rsidR="006211C7">
        <w:t>Part 3</w:t>
      </w:r>
      <w:r w:rsidR="00647C6B" w:rsidRPr="00A058B6">
        <w:t xml:space="preserve"> of this Schedule; </w:t>
      </w:r>
      <w:r w:rsidR="000C02CB">
        <w:t>or</w:t>
      </w:r>
    </w:p>
    <w:p w14:paraId="55521F9E" w14:textId="77777777" w:rsidR="00647C6B" w:rsidRPr="00A058B6" w:rsidRDefault="000C02CB" w:rsidP="000C02CB">
      <w:pPr>
        <w:pStyle w:val="paragraphsub"/>
      </w:pPr>
      <w:r>
        <w:tab/>
        <w:t>(ii)</w:t>
      </w:r>
      <w:r>
        <w:tab/>
        <w:t>in the case where the member spouse’s age is more than 65 years</w:t>
      </w:r>
      <w:r w:rsidRPr="00A058B6">
        <w:t xml:space="preserve">—the method set out in </w:t>
      </w:r>
      <w:r w:rsidR="00E84409">
        <w:t>Part 4</w:t>
      </w:r>
      <w:r w:rsidRPr="00A058B6">
        <w:t xml:space="preserve"> of this Schedule; </w:t>
      </w:r>
      <w:r w:rsidR="00647C6B" w:rsidRPr="00A058B6">
        <w:t>and</w:t>
      </w:r>
    </w:p>
    <w:p w14:paraId="4A93D660" w14:textId="77777777" w:rsidR="00647C6B" w:rsidRPr="00A058B6" w:rsidRDefault="00647C6B" w:rsidP="00647C6B">
      <w:pPr>
        <w:pStyle w:val="paragraph"/>
      </w:pPr>
      <w:r w:rsidRPr="00A058B6">
        <w:tab/>
        <w:t>(c)</w:t>
      </w:r>
      <w:r w:rsidRPr="00A058B6">
        <w:tab/>
        <w:t>if the benefit in respect of the interest is payable as a lump sum, a pension, or a combination of a lump sum and a pension—the method set out in Part </w:t>
      </w:r>
      <w:r w:rsidR="00B27FC0">
        <w:t>5</w:t>
      </w:r>
      <w:r w:rsidRPr="00A058B6">
        <w:t xml:space="preserve"> of this Schedule</w:t>
      </w:r>
      <w:r w:rsidR="00D7157D">
        <w:t>.</w:t>
      </w:r>
    </w:p>
    <w:p w14:paraId="249402E2" w14:textId="77777777" w:rsidR="00647C6B" w:rsidRPr="00A058B6" w:rsidRDefault="00647C6B" w:rsidP="00647C6B">
      <w:pPr>
        <w:pStyle w:val="subsection"/>
      </w:pPr>
      <w:r w:rsidRPr="00A058B6">
        <w:rPr>
          <w:color w:val="000000"/>
        </w:rPr>
        <w:tab/>
        <w:t>(2)</w:t>
      </w:r>
      <w:r w:rsidRPr="00A058B6">
        <w:rPr>
          <w:color w:val="000000"/>
        </w:rPr>
        <w:tab/>
        <w:t>If the superannuation interest is held as a result of employment in which the member spouse is no longer engaged at the relevant date and, under the governing rules of the plan in which the interest is held, the benefit in respect of the interest is payable on or after the relevant date, the method is:</w:t>
      </w:r>
    </w:p>
    <w:p w14:paraId="5D3F620E" w14:textId="77777777" w:rsidR="00647C6B" w:rsidRPr="00A058B6" w:rsidRDefault="00647C6B" w:rsidP="00647C6B">
      <w:pPr>
        <w:pStyle w:val="paragraph"/>
      </w:pPr>
      <w:r w:rsidRPr="00A058B6">
        <w:rPr>
          <w:color w:val="000000"/>
        </w:rPr>
        <w:tab/>
        <w:t>(a)</w:t>
      </w:r>
      <w:r w:rsidRPr="00A058B6">
        <w:rPr>
          <w:color w:val="000000"/>
        </w:rPr>
        <w:tab/>
        <w:t xml:space="preserve">if the benefit in respect of the interest is payable only as a lump sum—the method set out in </w:t>
      </w:r>
      <w:r w:rsidR="00E5077D" w:rsidRPr="00A058B6">
        <w:rPr>
          <w:color w:val="000000"/>
        </w:rPr>
        <w:t>Part </w:t>
      </w:r>
      <w:r w:rsidR="00FC13D5">
        <w:rPr>
          <w:color w:val="000000"/>
        </w:rPr>
        <w:t>6</w:t>
      </w:r>
      <w:r w:rsidRPr="00A058B6">
        <w:rPr>
          <w:color w:val="000000"/>
        </w:rPr>
        <w:t xml:space="preserve"> of this Schedule; and</w:t>
      </w:r>
    </w:p>
    <w:p w14:paraId="63A197A3" w14:textId="4CAFB521" w:rsidR="00647C6B" w:rsidRPr="00A058B6" w:rsidRDefault="00647C6B" w:rsidP="00647C6B">
      <w:pPr>
        <w:pStyle w:val="paragraph"/>
      </w:pPr>
      <w:r w:rsidRPr="00A058B6">
        <w:tab/>
        <w:t>(b)</w:t>
      </w:r>
      <w:r w:rsidRPr="00A058B6">
        <w:tab/>
        <w:t xml:space="preserve">if the benefit in respect of the interest is payable only as a pension—the method set out in </w:t>
      </w:r>
      <w:r w:rsidR="00453C86">
        <w:t>Part 7</w:t>
      </w:r>
      <w:r w:rsidRPr="00A058B6">
        <w:t xml:space="preserve"> of this Schedule; and</w:t>
      </w:r>
    </w:p>
    <w:p w14:paraId="49433F47" w14:textId="77777777" w:rsidR="00647C6B" w:rsidRPr="00A058B6" w:rsidRDefault="00647C6B" w:rsidP="00647C6B">
      <w:pPr>
        <w:pStyle w:val="paragraph"/>
      </w:pPr>
      <w:r w:rsidRPr="00A058B6">
        <w:tab/>
        <w:t>(c)</w:t>
      </w:r>
      <w:r w:rsidRPr="00A058B6">
        <w:tab/>
        <w:t xml:space="preserve">if the benefit in respect of the interest is payable as a lump sum, a pension, or a combination of a lump sum and a pension—the method set out in </w:t>
      </w:r>
      <w:r w:rsidR="00B05FD6">
        <w:t>Part </w:t>
      </w:r>
      <w:r w:rsidR="00F0233C">
        <w:t>8</w:t>
      </w:r>
      <w:r w:rsidRPr="00A058B6">
        <w:t xml:space="preserve"> of this Schedule</w:t>
      </w:r>
      <w:r w:rsidR="00D7157D">
        <w:t>.</w:t>
      </w:r>
    </w:p>
    <w:p w14:paraId="33DF5252" w14:textId="77777777" w:rsidR="00647C6B" w:rsidRPr="00A058B6" w:rsidRDefault="00647C6B" w:rsidP="00647C6B">
      <w:pPr>
        <w:pStyle w:val="subsection"/>
      </w:pPr>
      <w:r w:rsidRPr="00A058B6">
        <w:rPr>
          <w:color w:val="000000"/>
        </w:rPr>
        <w:tab/>
        <w:t>(3)</w:t>
      </w:r>
      <w:r w:rsidRPr="00A058B6">
        <w:rPr>
          <w:color w:val="000000"/>
        </w:rPr>
        <w:tab/>
        <w:t xml:space="preserve">For the purposes of </w:t>
      </w:r>
      <w:r w:rsidR="00B05FD6">
        <w:rPr>
          <w:color w:val="000000"/>
        </w:rPr>
        <w:t>subclause (</w:t>
      </w:r>
      <w:r w:rsidRPr="00A058B6">
        <w:rPr>
          <w:color w:val="000000"/>
        </w:rPr>
        <w:t>1) and (2), a member spouse is taken to be engaged in employment at the relevant date if, at that date, the member spouse is on paid or unpaid leave from, or for any reason suspended in relation to, that employment</w:t>
      </w:r>
      <w:r w:rsidR="00D7157D">
        <w:rPr>
          <w:color w:val="000000"/>
        </w:rPr>
        <w:t>.</w:t>
      </w:r>
    </w:p>
    <w:p w14:paraId="1965F13A" w14:textId="28F747F9" w:rsidR="00647C6B" w:rsidRPr="00A058B6" w:rsidRDefault="00AB0143" w:rsidP="00647C6B">
      <w:pPr>
        <w:pStyle w:val="ActHead2"/>
        <w:pageBreakBefore/>
      </w:pPr>
      <w:bookmarkStart w:id="239" w:name="_Toc188350717"/>
      <w:r w:rsidRPr="00423C34">
        <w:rPr>
          <w:rStyle w:val="CharPartNo"/>
        </w:rPr>
        <w:t>Part 2</w:t>
      </w:r>
      <w:r w:rsidR="00647C6B" w:rsidRPr="00A058B6">
        <w:t>—</w:t>
      </w:r>
      <w:r w:rsidR="00647C6B" w:rsidRPr="00423C34">
        <w:rPr>
          <w:rStyle w:val="CharPartText"/>
        </w:rPr>
        <w:t>Interest relating to current employment—benefit payable only as lump sum</w:t>
      </w:r>
      <w:bookmarkEnd w:id="239"/>
    </w:p>
    <w:p w14:paraId="76E404F3" w14:textId="77777777" w:rsidR="00A730DD" w:rsidRPr="00423C34" w:rsidRDefault="00A730DD" w:rsidP="00A730DD">
      <w:pPr>
        <w:pStyle w:val="Header"/>
      </w:pPr>
      <w:r w:rsidRPr="00423C34">
        <w:rPr>
          <w:rStyle w:val="CharDivNo"/>
        </w:rPr>
        <w:t xml:space="preserve"> </w:t>
      </w:r>
      <w:r w:rsidRPr="00423C34">
        <w:rPr>
          <w:rStyle w:val="CharDivText"/>
        </w:rPr>
        <w:t xml:space="preserve"> </w:t>
      </w:r>
    </w:p>
    <w:p w14:paraId="249ED80A" w14:textId="0AFC73BD" w:rsidR="00647C6B" w:rsidRPr="00A058B6" w:rsidRDefault="00D7157D" w:rsidP="00647C6B">
      <w:pPr>
        <w:pStyle w:val="ActHead5"/>
      </w:pPr>
      <w:bookmarkStart w:id="240" w:name="_Toc188350718"/>
      <w:r w:rsidRPr="00423C34">
        <w:rPr>
          <w:rStyle w:val="CharSectno"/>
        </w:rPr>
        <w:t>3</w:t>
      </w:r>
      <w:r w:rsidR="00647C6B" w:rsidRPr="00A058B6">
        <w:t xml:space="preserve">  Method</w:t>
      </w:r>
      <w:bookmarkEnd w:id="240"/>
    </w:p>
    <w:p w14:paraId="7CD2B18D" w14:textId="77777777" w:rsidR="00647C6B" w:rsidRPr="00A058B6" w:rsidRDefault="00647C6B" w:rsidP="00647C6B">
      <w:pPr>
        <w:pStyle w:val="subsection"/>
        <w:rPr>
          <w:color w:val="000000"/>
        </w:rPr>
      </w:pPr>
      <w:r w:rsidRPr="00A058B6">
        <w:rPr>
          <w:color w:val="000000"/>
        </w:rPr>
        <w:tab/>
        <w:t>(1)</w:t>
      </w:r>
      <w:r w:rsidRPr="00A058B6">
        <w:rPr>
          <w:color w:val="000000"/>
        </w:rPr>
        <w:tab/>
        <w:t>The method is:</w:t>
      </w:r>
    </w:p>
    <w:p w14:paraId="39F257B9" w14:textId="5608356F" w:rsidR="00972B50" w:rsidRDefault="00AA0B64" w:rsidP="00972B50">
      <w:pPr>
        <w:pStyle w:val="subsection2"/>
      </w:pPr>
      <w:r w:rsidRPr="007E1306">
        <w:rPr>
          <w:position w:val="-10"/>
        </w:rPr>
        <w:object w:dxaOrig="880" w:dyaOrig="540" w14:anchorId="5F3A317F">
          <v:shape id="_x0000_i1062" type="#_x0000_t75" alt="Start formula A times f subscript y subscript plus subscript m end formula" style="width:44.5pt;height:27.05pt" o:ole="">
            <v:imagedata r:id="rId110" o:title=""/>
          </v:shape>
          <o:OLEObject Type="Embed" ProgID="Equation.DSMT4" ShapeID="_x0000_i1062" DrawAspect="Content" ObjectID="_1801634291" r:id="rId111"/>
        </w:object>
      </w:r>
    </w:p>
    <w:p w14:paraId="211C2475" w14:textId="77777777" w:rsidR="00647C6B" w:rsidRPr="00A058B6" w:rsidRDefault="00647C6B" w:rsidP="00647C6B">
      <w:pPr>
        <w:pStyle w:val="subsection2"/>
      </w:pPr>
      <w:r w:rsidRPr="00A058B6">
        <w:t>where:</w:t>
      </w:r>
    </w:p>
    <w:p w14:paraId="4FAF6496" w14:textId="77777777" w:rsidR="00647C6B" w:rsidRPr="00A058B6" w:rsidRDefault="00647C6B" w:rsidP="00647C6B">
      <w:pPr>
        <w:pStyle w:val="Definition"/>
      </w:pPr>
      <w:r w:rsidRPr="00A058B6">
        <w:rPr>
          <w:b/>
          <w:i/>
        </w:rPr>
        <w:t>A</w:t>
      </w:r>
      <w:r w:rsidRPr="00A058B6">
        <w:t xml:space="preserve"> means the value of the lump sum benefit that has accrued in respect of the interest at the relevant date, being the product of the member spouse’s accrued benefit multiple for a lump sum, as provided by the trustee under </w:t>
      </w:r>
      <w:r w:rsidR="00AF1E4E">
        <w:t>section 9</w:t>
      </w:r>
      <w:r w:rsidRPr="00A058B6">
        <w:t>0XZB or 90YZR of the Act, and the salary figure on which benefits in respect of the interest, at that date, would be based, assuming that the member spouse were eligible to retire at that date</w:t>
      </w:r>
      <w:r w:rsidR="00D7157D">
        <w:t>.</w:t>
      </w:r>
    </w:p>
    <w:p w14:paraId="16B29E4B" w14:textId="77777777" w:rsidR="00647C6B" w:rsidRPr="00A058B6" w:rsidRDefault="00647C6B" w:rsidP="00647C6B">
      <w:pPr>
        <w:pStyle w:val="Definition"/>
      </w:pPr>
      <w:r w:rsidRPr="00A058B6">
        <w:rPr>
          <w:b/>
          <w:i/>
        </w:rPr>
        <w:t>f</w:t>
      </w:r>
      <w:r w:rsidRPr="00A058B6">
        <w:rPr>
          <w:b/>
          <w:i/>
          <w:vertAlign w:val="subscript"/>
        </w:rPr>
        <w:t>y+m</w:t>
      </w:r>
      <w:r w:rsidRPr="00A058B6">
        <w:t xml:space="preserve"> means the lump sum valuation factor calculated in accordance with </w:t>
      </w:r>
      <w:r w:rsidR="00B05FD6">
        <w:t>subclause (</w:t>
      </w:r>
      <w:r w:rsidRPr="00A058B6">
        <w:t>2)</w:t>
      </w:r>
      <w:r w:rsidR="00D7157D">
        <w:t>.</w:t>
      </w:r>
    </w:p>
    <w:p w14:paraId="5D6F67E1" w14:textId="77777777" w:rsidR="00647C6B" w:rsidRPr="00A058B6" w:rsidRDefault="00647C6B" w:rsidP="00647C6B">
      <w:pPr>
        <w:pStyle w:val="subsection"/>
      </w:pPr>
      <w:r w:rsidRPr="00A058B6">
        <w:tab/>
        <w:t>(2)</w:t>
      </w:r>
      <w:r w:rsidRPr="00A058B6">
        <w:tab/>
        <w:t xml:space="preserve">For the purposes of </w:t>
      </w:r>
      <w:r w:rsidR="00B05FD6">
        <w:t>subclause (</w:t>
      </w:r>
      <w:r w:rsidRPr="00A058B6">
        <w:t>1), the lump sum valuation factor (</w:t>
      </w:r>
      <w:r w:rsidRPr="00A058B6">
        <w:rPr>
          <w:b/>
          <w:i/>
        </w:rPr>
        <w:t>f</w:t>
      </w:r>
      <w:r w:rsidRPr="00A058B6">
        <w:rPr>
          <w:b/>
          <w:i/>
          <w:vertAlign w:val="subscript"/>
        </w:rPr>
        <w:t>y+m</w:t>
      </w:r>
      <w:r w:rsidRPr="00A058B6">
        <w:t>) at the relevant date is calculated as follows:</w:t>
      </w:r>
    </w:p>
    <w:p w14:paraId="15F10B44" w14:textId="117BF48A" w:rsidR="00BB6A9A" w:rsidRDefault="00AA0B64" w:rsidP="00BB6A9A">
      <w:pPr>
        <w:pStyle w:val="subsection2"/>
      </w:pPr>
      <w:r w:rsidRPr="00CB376C">
        <w:rPr>
          <w:position w:val="-44"/>
        </w:rPr>
        <w:object w:dxaOrig="2900" w:dyaOrig="1180" w14:anchorId="5689B173">
          <v:shape id="_x0000_i1063" type="#_x0000_t75" alt="Start formula start fraction open bracket f subscript y times open bracket 12 minus m close bracket close bracket plus open bracket f subscript y subscript plus subscript 1 times m close bracket over 12 end fraction end formula" style="width:144.9pt;height:61pt" o:ole="">
            <v:imagedata r:id="rId112" o:title=""/>
          </v:shape>
          <o:OLEObject Type="Embed" ProgID="Equation.DSMT4" ShapeID="_x0000_i1063" DrawAspect="Content" ObjectID="_1801634292" r:id="rId113"/>
        </w:object>
      </w:r>
    </w:p>
    <w:p w14:paraId="5B49F217" w14:textId="77777777" w:rsidR="00647C6B" w:rsidRPr="00A058B6" w:rsidRDefault="00647C6B" w:rsidP="00647C6B">
      <w:pPr>
        <w:pStyle w:val="subsection2"/>
      </w:pPr>
      <w:r w:rsidRPr="00A058B6">
        <w:t>where:</w:t>
      </w:r>
    </w:p>
    <w:p w14:paraId="3ED933A6" w14:textId="77777777" w:rsidR="00647C6B" w:rsidRPr="00A058B6" w:rsidRDefault="00647C6B" w:rsidP="00647C6B">
      <w:pPr>
        <w:pStyle w:val="Definition"/>
      </w:pPr>
      <w:r w:rsidRPr="00A058B6">
        <w:rPr>
          <w:b/>
          <w:i/>
        </w:rPr>
        <w:t>f</w:t>
      </w:r>
      <w:r w:rsidRPr="00A058B6">
        <w:rPr>
          <w:b/>
          <w:i/>
          <w:vertAlign w:val="subscript"/>
        </w:rPr>
        <w:t>y</w:t>
      </w:r>
      <w:r w:rsidRPr="00A058B6">
        <w:t xml:space="preserve"> means:</w:t>
      </w:r>
    </w:p>
    <w:p w14:paraId="2D9F323C" w14:textId="0DF5FDC9" w:rsidR="00647C6B" w:rsidRPr="00A058B6" w:rsidRDefault="00647C6B" w:rsidP="00647C6B">
      <w:pPr>
        <w:pStyle w:val="paragraph"/>
      </w:pPr>
      <w:r w:rsidRPr="00A058B6">
        <w:tab/>
        <w:t>(a)</w:t>
      </w:r>
      <w:r w:rsidRPr="00A058B6">
        <w:tab/>
        <w:t xml:space="preserve">if the </w:t>
      </w:r>
      <w:r w:rsidR="003C61DB">
        <w:t>member’s retirement age</w:t>
      </w:r>
      <w:r w:rsidRPr="00A058B6">
        <w:t xml:space="preserve"> is 60</w:t>
      </w:r>
      <w:r w:rsidR="0017754E">
        <w:t>, 61 or 62</w:t>
      </w:r>
      <w:r w:rsidRPr="00A058B6">
        <w:t xml:space="preserve"> years for the applicable eligible superannuation plan—the lump sum valuation factor mentioned in subclause </w:t>
      </w:r>
      <w:r w:rsidR="00D7157D">
        <w:t>4</w:t>
      </w:r>
      <w:r w:rsidRPr="00A058B6">
        <w:t>(1) that applies at the relevant date to the term remaining in complete years until the member spouse reaches the member’s retirement age; or</w:t>
      </w:r>
    </w:p>
    <w:p w14:paraId="4F56F3D9" w14:textId="3115BCB2" w:rsidR="00647C6B" w:rsidRPr="00A058B6" w:rsidRDefault="00647C6B" w:rsidP="00647C6B">
      <w:pPr>
        <w:pStyle w:val="paragraph"/>
      </w:pPr>
      <w:r w:rsidRPr="00A058B6">
        <w:tab/>
        <w:t>(b)</w:t>
      </w:r>
      <w:r w:rsidRPr="00A058B6">
        <w:tab/>
        <w:t xml:space="preserve">if the </w:t>
      </w:r>
      <w:r w:rsidR="003C61DB">
        <w:t>member’s retirement age</w:t>
      </w:r>
      <w:r w:rsidRPr="00A058B6">
        <w:t xml:space="preserve"> is </w:t>
      </w:r>
      <w:r w:rsidR="00965B46">
        <w:t xml:space="preserve">more than </w:t>
      </w:r>
      <w:r w:rsidRPr="00A058B6">
        <w:t>6</w:t>
      </w:r>
      <w:r w:rsidR="00965B46">
        <w:t>2</w:t>
      </w:r>
      <w:r w:rsidRPr="00A058B6">
        <w:t xml:space="preserve"> years</w:t>
      </w:r>
      <w:r w:rsidR="003D56EB">
        <w:t xml:space="preserve"> </w:t>
      </w:r>
      <w:r w:rsidRPr="00A058B6">
        <w:t>for the applicable eligible superannuation plan—the lump sum valuation factor mentioned in subclause </w:t>
      </w:r>
      <w:r w:rsidR="00D7157D">
        <w:t>4</w:t>
      </w:r>
      <w:r w:rsidRPr="00A058B6">
        <w:t>(2) that applies at the relevant date to the term remaining in complete years until the member spouse reaches the member’s retirement age</w:t>
      </w:r>
      <w:r w:rsidR="00D7157D">
        <w:t>.</w:t>
      </w:r>
    </w:p>
    <w:p w14:paraId="55D5B3AE" w14:textId="77777777" w:rsidR="0065586B" w:rsidRPr="00A058B6" w:rsidRDefault="0065586B" w:rsidP="0065586B">
      <w:pPr>
        <w:pStyle w:val="Definition"/>
      </w:pPr>
      <w:r w:rsidRPr="00A058B6">
        <w:rPr>
          <w:b/>
          <w:i/>
        </w:rPr>
        <w:t>m</w:t>
      </w:r>
      <w:r w:rsidRPr="00A058B6">
        <w:t xml:space="preserve"> means the number of complete months of the remaining term that are not included in the remaining complete years at the relevant date</w:t>
      </w:r>
      <w:r w:rsidR="00D7157D">
        <w:t>.</w:t>
      </w:r>
    </w:p>
    <w:p w14:paraId="025B10FA" w14:textId="77777777" w:rsidR="00647C6B" w:rsidRPr="00A058B6" w:rsidRDefault="00647C6B" w:rsidP="00647C6B">
      <w:pPr>
        <w:pStyle w:val="Definition"/>
        <w:keepNext/>
        <w:keepLines/>
      </w:pPr>
      <w:r w:rsidRPr="00A058B6">
        <w:rPr>
          <w:b/>
          <w:bCs/>
          <w:i/>
          <w:iCs/>
        </w:rPr>
        <w:t>f</w:t>
      </w:r>
      <w:r w:rsidRPr="00A058B6">
        <w:rPr>
          <w:b/>
          <w:bCs/>
          <w:i/>
          <w:iCs/>
          <w:vertAlign w:val="subscript"/>
        </w:rPr>
        <w:t>y+1</w:t>
      </w:r>
      <w:r w:rsidRPr="00A058B6">
        <w:t xml:space="preserve"> means the lump sum valuation factor mentioned in that </w:t>
      </w:r>
      <w:r w:rsidR="00B05FD6">
        <w:t>subclause (</w:t>
      </w:r>
      <w:r w:rsidRPr="00A058B6">
        <w:t xml:space="preserve">see the definition of </w:t>
      </w:r>
      <w:r w:rsidRPr="00A058B6">
        <w:rPr>
          <w:b/>
          <w:i/>
        </w:rPr>
        <w:t>f</w:t>
      </w:r>
      <w:r w:rsidRPr="00A058B6">
        <w:rPr>
          <w:b/>
          <w:i/>
          <w:vertAlign w:val="subscript"/>
        </w:rPr>
        <w:t>y</w:t>
      </w:r>
      <w:r w:rsidRPr="00A058B6">
        <w:t>) that would apply if the member spouse’s term to retirement in complete years were one year more than the member spouse’s term to retirement in complete years at the relevant date</w:t>
      </w:r>
      <w:r w:rsidR="00D7157D">
        <w:t>.</w:t>
      </w:r>
    </w:p>
    <w:p w14:paraId="7AA6F679" w14:textId="29F4C6BE" w:rsidR="00647C6B" w:rsidRPr="00A058B6" w:rsidRDefault="00D7157D" w:rsidP="00647C6B">
      <w:pPr>
        <w:pStyle w:val="ActHead5"/>
      </w:pPr>
      <w:bookmarkStart w:id="241" w:name="_Toc188350719"/>
      <w:r w:rsidRPr="00423C34">
        <w:rPr>
          <w:rStyle w:val="CharSectno"/>
        </w:rPr>
        <w:t>4</w:t>
      </w:r>
      <w:r w:rsidR="00647C6B" w:rsidRPr="00A058B6">
        <w:t xml:space="preserve">  Lump sum valuation factors</w:t>
      </w:r>
      <w:bookmarkEnd w:id="241"/>
    </w:p>
    <w:p w14:paraId="724A6DE0" w14:textId="2766981D" w:rsidR="00647C6B" w:rsidRPr="00A058B6" w:rsidRDefault="00647C6B" w:rsidP="00647C6B">
      <w:pPr>
        <w:pStyle w:val="subsection"/>
      </w:pPr>
      <w:r w:rsidRPr="00A058B6">
        <w:tab/>
        <w:t>(1)</w:t>
      </w:r>
      <w:r w:rsidRPr="00A058B6">
        <w:tab/>
        <w:t xml:space="preserve">This subclause sets out the lump sum valuation factors for eligible superannuation plans with a </w:t>
      </w:r>
      <w:r w:rsidR="003C61DB">
        <w:t>member’s retirement age</w:t>
      </w:r>
      <w:r w:rsidRPr="00A058B6">
        <w:t xml:space="preserve"> of 60</w:t>
      </w:r>
      <w:r w:rsidR="00015E85">
        <w:t>, 61 or 62</w:t>
      </w:r>
      <w:r w:rsidRPr="00A058B6">
        <w:t xml:space="preserve"> years</w:t>
      </w:r>
      <w:r w:rsidR="00D7157D">
        <w:t>.</w:t>
      </w:r>
    </w:p>
    <w:p w14:paraId="2C662D20" w14:textId="77777777" w:rsidR="00647C6B" w:rsidRPr="00A058B6" w:rsidRDefault="00647C6B" w:rsidP="00647C6B">
      <w:pPr>
        <w:pStyle w:val="Tabletext"/>
      </w:pPr>
    </w:p>
    <w:tbl>
      <w:tblPr>
        <w:tblStyle w:val="TableGrid"/>
        <w:tblW w:w="4608" w:type="pct"/>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3945"/>
        <w:gridCol w:w="3716"/>
      </w:tblGrid>
      <w:tr w:rsidR="00647C6B" w:rsidRPr="00A058B6" w14:paraId="6D442F3A" w14:textId="77777777" w:rsidTr="00736C12">
        <w:trPr>
          <w:trHeight w:val="315"/>
          <w:tblHeader/>
        </w:trPr>
        <w:tc>
          <w:tcPr>
            <w:tcW w:w="5000" w:type="pct"/>
            <w:gridSpan w:val="2"/>
            <w:tcBorders>
              <w:top w:val="single" w:sz="12" w:space="0" w:color="auto"/>
              <w:bottom w:val="single" w:sz="2" w:space="0" w:color="auto"/>
            </w:tcBorders>
            <w:shd w:val="clear" w:color="auto" w:fill="auto"/>
          </w:tcPr>
          <w:p w14:paraId="66DDFD1D" w14:textId="5FFF95B9" w:rsidR="00647C6B" w:rsidRPr="00A058B6" w:rsidRDefault="00647C6B" w:rsidP="009C0D79">
            <w:pPr>
              <w:pStyle w:val="TableHeading"/>
            </w:pPr>
            <w:r w:rsidRPr="00A058B6">
              <w:t xml:space="preserve">Lump sum valuation factors for plans with a </w:t>
            </w:r>
            <w:r w:rsidR="003C61DB">
              <w:t>member’s retirement age</w:t>
            </w:r>
            <w:r w:rsidRPr="00A058B6">
              <w:t xml:space="preserve"> of </w:t>
            </w:r>
            <w:r w:rsidR="00015E85" w:rsidRPr="00A058B6">
              <w:t>60</w:t>
            </w:r>
            <w:r w:rsidR="00015E85">
              <w:t>, 61 or 62</w:t>
            </w:r>
            <w:r w:rsidR="00015E85" w:rsidRPr="00A058B6">
              <w:t xml:space="preserve"> </w:t>
            </w:r>
            <w:r w:rsidRPr="00A058B6">
              <w:t>years</w:t>
            </w:r>
          </w:p>
        </w:tc>
      </w:tr>
      <w:tr w:rsidR="00647C6B" w:rsidRPr="00A058B6" w14:paraId="2806AA28" w14:textId="77777777" w:rsidTr="00736C12">
        <w:trPr>
          <w:trHeight w:val="315"/>
          <w:tblHeader/>
        </w:trPr>
        <w:tc>
          <w:tcPr>
            <w:tcW w:w="2575" w:type="pct"/>
            <w:tcBorders>
              <w:top w:val="single" w:sz="2" w:space="0" w:color="auto"/>
              <w:bottom w:val="single" w:sz="12" w:space="0" w:color="auto"/>
            </w:tcBorders>
            <w:shd w:val="clear" w:color="auto" w:fill="auto"/>
          </w:tcPr>
          <w:p w14:paraId="6BD4C146" w14:textId="77777777" w:rsidR="00647C6B" w:rsidRPr="00A058B6" w:rsidRDefault="00647C6B" w:rsidP="009C0D79">
            <w:pPr>
              <w:pStyle w:val="TableHeading"/>
            </w:pPr>
            <w:r w:rsidRPr="00A058B6">
              <w:t>Term to retirement (in complete years)</w:t>
            </w:r>
          </w:p>
        </w:tc>
        <w:tc>
          <w:tcPr>
            <w:tcW w:w="2425" w:type="pct"/>
            <w:tcBorders>
              <w:top w:val="single" w:sz="2" w:space="0" w:color="auto"/>
              <w:bottom w:val="single" w:sz="12" w:space="0" w:color="auto"/>
            </w:tcBorders>
            <w:shd w:val="clear" w:color="auto" w:fill="auto"/>
            <w:hideMark/>
          </w:tcPr>
          <w:p w14:paraId="5C078859" w14:textId="77777777" w:rsidR="00647C6B" w:rsidRPr="00A058B6" w:rsidRDefault="00647C6B" w:rsidP="009C0D79">
            <w:pPr>
              <w:pStyle w:val="TableHeading"/>
            </w:pPr>
            <w:r w:rsidRPr="00A058B6">
              <w:t>Lump sum valuation factors</w:t>
            </w:r>
          </w:p>
        </w:tc>
      </w:tr>
      <w:tr w:rsidR="00647C6B" w:rsidRPr="00A058B6" w14:paraId="58FFC51F" w14:textId="77777777" w:rsidTr="00CC1399">
        <w:trPr>
          <w:trHeight w:val="300"/>
        </w:trPr>
        <w:tc>
          <w:tcPr>
            <w:tcW w:w="2575" w:type="pct"/>
            <w:tcBorders>
              <w:top w:val="single" w:sz="12" w:space="0" w:color="auto"/>
            </w:tcBorders>
            <w:shd w:val="clear" w:color="auto" w:fill="auto"/>
            <w:hideMark/>
          </w:tcPr>
          <w:p w14:paraId="22BA829F" w14:textId="77777777" w:rsidR="00647C6B" w:rsidRPr="00A058B6" w:rsidRDefault="00647C6B" w:rsidP="009C0D79">
            <w:pPr>
              <w:pStyle w:val="Tabletext"/>
            </w:pPr>
            <w:r w:rsidRPr="00A058B6">
              <w:t>44</w:t>
            </w:r>
          </w:p>
        </w:tc>
        <w:tc>
          <w:tcPr>
            <w:tcW w:w="2425" w:type="pct"/>
            <w:tcBorders>
              <w:top w:val="single" w:sz="12" w:space="0" w:color="auto"/>
            </w:tcBorders>
            <w:shd w:val="clear" w:color="auto" w:fill="auto"/>
            <w:hideMark/>
          </w:tcPr>
          <w:p w14:paraId="6831C92D" w14:textId="77777777" w:rsidR="00647C6B" w:rsidRPr="00A058B6" w:rsidRDefault="00647C6B" w:rsidP="009C0D79">
            <w:pPr>
              <w:pStyle w:val="Tabletext"/>
            </w:pPr>
            <w:r w:rsidRPr="00A058B6">
              <w:t>0</w:t>
            </w:r>
            <w:r w:rsidR="00D7157D">
              <w:t>.</w:t>
            </w:r>
            <w:r w:rsidRPr="00A058B6">
              <w:t>3460</w:t>
            </w:r>
          </w:p>
        </w:tc>
      </w:tr>
      <w:tr w:rsidR="00647C6B" w:rsidRPr="00A058B6" w14:paraId="726BC99C" w14:textId="77777777" w:rsidTr="00CC1399">
        <w:trPr>
          <w:trHeight w:val="300"/>
        </w:trPr>
        <w:tc>
          <w:tcPr>
            <w:tcW w:w="2575" w:type="pct"/>
            <w:shd w:val="clear" w:color="auto" w:fill="auto"/>
            <w:hideMark/>
          </w:tcPr>
          <w:p w14:paraId="673A272D" w14:textId="77777777" w:rsidR="00647C6B" w:rsidRPr="00A058B6" w:rsidRDefault="00647C6B" w:rsidP="009C0D79">
            <w:pPr>
              <w:pStyle w:val="Tabletext"/>
            </w:pPr>
            <w:r w:rsidRPr="00A058B6">
              <w:t>43</w:t>
            </w:r>
          </w:p>
        </w:tc>
        <w:tc>
          <w:tcPr>
            <w:tcW w:w="2425" w:type="pct"/>
            <w:shd w:val="clear" w:color="auto" w:fill="auto"/>
            <w:hideMark/>
          </w:tcPr>
          <w:p w14:paraId="3CFDDF49" w14:textId="77777777" w:rsidR="00647C6B" w:rsidRPr="00A058B6" w:rsidRDefault="00647C6B" w:rsidP="009C0D79">
            <w:pPr>
              <w:pStyle w:val="Tabletext"/>
            </w:pPr>
            <w:r w:rsidRPr="00A058B6">
              <w:t>0</w:t>
            </w:r>
            <w:r w:rsidR="00D7157D">
              <w:t>.</w:t>
            </w:r>
            <w:r w:rsidRPr="00A058B6">
              <w:t>3549</w:t>
            </w:r>
          </w:p>
        </w:tc>
      </w:tr>
      <w:tr w:rsidR="00647C6B" w:rsidRPr="00A058B6" w14:paraId="38A47442" w14:textId="77777777" w:rsidTr="00CC1399">
        <w:trPr>
          <w:trHeight w:val="300"/>
        </w:trPr>
        <w:tc>
          <w:tcPr>
            <w:tcW w:w="2575" w:type="pct"/>
            <w:shd w:val="clear" w:color="auto" w:fill="auto"/>
            <w:hideMark/>
          </w:tcPr>
          <w:p w14:paraId="2C225A90" w14:textId="77777777" w:rsidR="00647C6B" w:rsidRPr="00A058B6" w:rsidRDefault="00647C6B" w:rsidP="009C0D79">
            <w:pPr>
              <w:pStyle w:val="Tabletext"/>
            </w:pPr>
            <w:r w:rsidRPr="00A058B6">
              <w:t>42</w:t>
            </w:r>
          </w:p>
        </w:tc>
        <w:tc>
          <w:tcPr>
            <w:tcW w:w="2425" w:type="pct"/>
            <w:shd w:val="clear" w:color="auto" w:fill="auto"/>
            <w:hideMark/>
          </w:tcPr>
          <w:p w14:paraId="3CF90793" w14:textId="77777777" w:rsidR="00647C6B" w:rsidRPr="00A058B6" w:rsidRDefault="00647C6B" w:rsidP="009C0D79">
            <w:pPr>
              <w:pStyle w:val="Tabletext"/>
            </w:pPr>
            <w:r w:rsidRPr="00A058B6">
              <w:t>0</w:t>
            </w:r>
            <w:r w:rsidR="00D7157D">
              <w:t>.</w:t>
            </w:r>
            <w:r w:rsidRPr="00A058B6">
              <w:t>3640</w:t>
            </w:r>
          </w:p>
        </w:tc>
      </w:tr>
      <w:tr w:rsidR="00647C6B" w:rsidRPr="00A058B6" w14:paraId="65F34E81" w14:textId="77777777" w:rsidTr="00CC1399">
        <w:trPr>
          <w:trHeight w:val="300"/>
        </w:trPr>
        <w:tc>
          <w:tcPr>
            <w:tcW w:w="2575" w:type="pct"/>
            <w:shd w:val="clear" w:color="auto" w:fill="auto"/>
            <w:hideMark/>
          </w:tcPr>
          <w:p w14:paraId="180CEA5C" w14:textId="77777777" w:rsidR="00647C6B" w:rsidRPr="00A058B6" w:rsidRDefault="00647C6B" w:rsidP="009C0D79">
            <w:pPr>
              <w:pStyle w:val="Tabletext"/>
            </w:pPr>
            <w:r w:rsidRPr="00A058B6">
              <w:t>41</w:t>
            </w:r>
          </w:p>
        </w:tc>
        <w:tc>
          <w:tcPr>
            <w:tcW w:w="2425" w:type="pct"/>
            <w:shd w:val="clear" w:color="auto" w:fill="auto"/>
            <w:hideMark/>
          </w:tcPr>
          <w:p w14:paraId="428791DB" w14:textId="77777777" w:rsidR="00647C6B" w:rsidRPr="00A058B6" w:rsidRDefault="00647C6B" w:rsidP="009C0D79">
            <w:pPr>
              <w:pStyle w:val="Tabletext"/>
            </w:pPr>
            <w:r w:rsidRPr="00A058B6">
              <w:t>0</w:t>
            </w:r>
            <w:r w:rsidR="00D7157D">
              <w:t>.</w:t>
            </w:r>
            <w:r w:rsidRPr="00A058B6">
              <w:t>3733</w:t>
            </w:r>
          </w:p>
        </w:tc>
      </w:tr>
      <w:tr w:rsidR="00647C6B" w:rsidRPr="00A058B6" w14:paraId="61B64AD3" w14:textId="77777777" w:rsidTr="00CC1399">
        <w:trPr>
          <w:trHeight w:val="300"/>
        </w:trPr>
        <w:tc>
          <w:tcPr>
            <w:tcW w:w="2575" w:type="pct"/>
            <w:shd w:val="clear" w:color="auto" w:fill="auto"/>
            <w:hideMark/>
          </w:tcPr>
          <w:p w14:paraId="4217A3CC" w14:textId="77777777" w:rsidR="00647C6B" w:rsidRPr="00A058B6" w:rsidRDefault="00647C6B" w:rsidP="009C0D79">
            <w:pPr>
              <w:pStyle w:val="Tabletext"/>
            </w:pPr>
            <w:r w:rsidRPr="00A058B6">
              <w:t>40</w:t>
            </w:r>
          </w:p>
        </w:tc>
        <w:tc>
          <w:tcPr>
            <w:tcW w:w="2425" w:type="pct"/>
            <w:shd w:val="clear" w:color="auto" w:fill="auto"/>
            <w:hideMark/>
          </w:tcPr>
          <w:p w14:paraId="1FF3A965" w14:textId="77777777" w:rsidR="00647C6B" w:rsidRPr="00A058B6" w:rsidRDefault="00647C6B" w:rsidP="009C0D79">
            <w:pPr>
              <w:pStyle w:val="Tabletext"/>
            </w:pPr>
            <w:r w:rsidRPr="00A058B6">
              <w:t>0</w:t>
            </w:r>
            <w:r w:rsidR="00D7157D">
              <w:t>.</w:t>
            </w:r>
            <w:r w:rsidRPr="00A058B6">
              <w:t>3829</w:t>
            </w:r>
          </w:p>
        </w:tc>
      </w:tr>
      <w:tr w:rsidR="00647C6B" w:rsidRPr="00A058B6" w14:paraId="16B475D2" w14:textId="77777777" w:rsidTr="00CC1399">
        <w:trPr>
          <w:trHeight w:val="300"/>
        </w:trPr>
        <w:tc>
          <w:tcPr>
            <w:tcW w:w="2575" w:type="pct"/>
            <w:shd w:val="clear" w:color="auto" w:fill="auto"/>
            <w:hideMark/>
          </w:tcPr>
          <w:p w14:paraId="29617744" w14:textId="77777777" w:rsidR="00647C6B" w:rsidRPr="00A058B6" w:rsidRDefault="00647C6B" w:rsidP="009C0D79">
            <w:pPr>
              <w:pStyle w:val="Tabletext"/>
            </w:pPr>
            <w:r w:rsidRPr="00A058B6">
              <w:t>39</w:t>
            </w:r>
          </w:p>
        </w:tc>
        <w:tc>
          <w:tcPr>
            <w:tcW w:w="2425" w:type="pct"/>
            <w:shd w:val="clear" w:color="auto" w:fill="auto"/>
            <w:hideMark/>
          </w:tcPr>
          <w:p w14:paraId="1B2933C9" w14:textId="77777777" w:rsidR="00647C6B" w:rsidRPr="00A058B6" w:rsidRDefault="00647C6B" w:rsidP="009C0D79">
            <w:pPr>
              <w:pStyle w:val="Tabletext"/>
            </w:pPr>
            <w:r w:rsidRPr="00A058B6">
              <w:t>0</w:t>
            </w:r>
            <w:r w:rsidR="00D7157D">
              <w:t>.</w:t>
            </w:r>
            <w:r w:rsidRPr="00A058B6">
              <w:t>3927</w:t>
            </w:r>
          </w:p>
        </w:tc>
      </w:tr>
      <w:tr w:rsidR="00647C6B" w:rsidRPr="00A058B6" w14:paraId="43F99FBA" w14:textId="77777777" w:rsidTr="00CC1399">
        <w:trPr>
          <w:trHeight w:val="300"/>
        </w:trPr>
        <w:tc>
          <w:tcPr>
            <w:tcW w:w="2575" w:type="pct"/>
            <w:shd w:val="clear" w:color="auto" w:fill="auto"/>
            <w:hideMark/>
          </w:tcPr>
          <w:p w14:paraId="2418BDED" w14:textId="77777777" w:rsidR="00647C6B" w:rsidRPr="00A058B6" w:rsidRDefault="00647C6B" w:rsidP="009C0D79">
            <w:pPr>
              <w:pStyle w:val="Tabletext"/>
            </w:pPr>
            <w:r w:rsidRPr="00A058B6">
              <w:t>38</w:t>
            </w:r>
          </w:p>
        </w:tc>
        <w:tc>
          <w:tcPr>
            <w:tcW w:w="2425" w:type="pct"/>
            <w:shd w:val="clear" w:color="auto" w:fill="auto"/>
            <w:hideMark/>
          </w:tcPr>
          <w:p w14:paraId="643AEF42" w14:textId="77777777" w:rsidR="00647C6B" w:rsidRPr="00A058B6" w:rsidRDefault="00647C6B" w:rsidP="009C0D79">
            <w:pPr>
              <w:pStyle w:val="Tabletext"/>
            </w:pPr>
            <w:r w:rsidRPr="00A058B6">
              <w:t>0</w:t>
            </w:r>
            <w:r w:rsidR="00D7157D">
              <w:t>.</w:t>
            </w:r>
            <w:r w:rsidRPr="00A058B6">
              <w:t>4029</w:t>
            </w:r>
          </w:p>
        </w:tc>
      </w:tr>
      <w:tr w:rsidR="00647C6B" w:rsidRPr="00A058B6" w14:paraId="5BC5B008" w14:textId="77777777" w:rsidTr="00CC1399">
        <w:trPr>
          <w:trHeight w:val="300"/>
        </w:trPr>
        <w:tc>
          <w:tcPr>
            <w:tcW w:w="2575" w:type="pct"/>
            <w:shd w:val="clear" w:color="auto" w:fill="auto"/>
            <w:hideMark/>
          </w:tcPr>
          <w:p w14:paraId="5A7179DC" w14:textId="77777777" w:rsidR="00647C6B" w:rsidRPr="00A058B6" w:rsidRDefault="00647C6B" w:rsidP="009C0D79">
            <w:pPr>
              <w:pStyle w:val="Tabletext"/>
            </w:pPr>
            <w:r w:rsidRPr="00A058B6">
              <w:t>37</w:t>
            </w:r>
          </w:p>
        </w:tc>
        <w:tc>
          <w:tcPr>
            <w:tcW w:w="2425" w:type="pct"/>
            <w:shd w:val="clear" w:color="auto" w:fill="auto"/>
            <w:hideMark/>
          </w:tcPr>
          <w:p w14:paraId="4E5CDE37" w14:textId="77777777" w:rsidR="00647C6B" w:rsidRPr="00A058B6" w:rsidRDefault="00647C6B" w:rsidP="009C0D79">
            <w:pPr>
              <w:pStyle w:val="Tabletext"/>
            </w:pPr>
            <w:r w:rsidRPr="00A058B6">
              <w:t>0</w:t>
            </w:r>
            <w:r w:rsidR="00D7157D">
              <w:t>.</w:t>
            </w:r>
            <w:r w:rsidRPr="00A058B6">
              <w:t>4133</w:t>
            </w:r>
          </w:p>
        </w:tc>
      </w:tr>
      <w:tr w:rsidR="00647C6B" w:rsidRPr="00A058B6" w14:paraId="0A925B65" w14:textId="77777777" w:rsidTr="00CC1399">
        <w:trPr>
          <w:trHeight w:val="300"/>
        </w:trPr>
        <w:tc>
          <w:tcPr>
            <w:tcW w:w="2575" w:type="pct"/>
            <w:shd w:val="clear" w:color="auto" w:fill="auto"/>
            <w:hideMark/>
          </w:tcPr>
          <w:p w14:paraId="49FF0AC2" w14:textId="77777777" w:rsidR="00647C6B" w:rsidRPr="00A058B6" w:rsidRDefault="00647C6B" w:rsidP="009C0D79">
            <w:pPr>
              <w:pStyle w:val="Tabletext"/>
            </w:pPr>
            <w:r w:rsidRPr="00A058B6">
              <w:t>36</w:t>
            </w:r>
          </w:p>
        </w:tc>
        <w:tc>
          <w:tcPr>
            <w:tcW w:w="2425" w:type="pct"/>
            <w:shd w:val="clear" w:color="auto" w:fill="auto"/>
            <w:hideMark/>
          </w:tcPr>
          <w:p w14:paraId="584C84E0" w14:textId="77777777" w:rsidR="00647C6B" w:rsidRPr="00A058B6" w:rsidRDefault="00647C6B" w:rsidP="009C0D79">
            <w:pPr>
              <w:pStyle w:val="Tabletext"/>
            </w:pPr>
            <w:r w:rsidRPr="00A058B6">
              <w:t>0</w:t>
            </w:r>
            <w:r w:rsidR="00D7157D">
              <w:t>.</w:t>
            </w:r>
            <w:r w:rsidRPr="00A058B6">
              <w:t>4240</w:t>
            </w:r>
          </w:p>
        </w:tc>
      </w:tr>
      <w:tr w:rsidR="00647C6B" w:rsidRPr="00A058B6" w14:paraId="4B8D1555" w14:textId="77777777" w:rsidTr="00CC1399">
        <w:trPr>
          <w:trHeight w:val="300"/>
        </w:trPr>
        <w:tc>
          <w:tcPr>
            <w:tcW w:w="2575" w:type="pct"/>
            <w:shd w:val="clear" w:color="auto" w:fill="auto"/>
            <w:hideMark/>
          </w:tcPr>
          <w:p w14:paraId="2BC8F940" w14:textId="77777777" w:rsidR="00647C6B" w:rsidRPr="00A058B6" w:rsidRDefault="00647C6B" w:rsidP="009C0D79">
            <w:pPr>
              <w:pStyle w:val="Tabletext"/>
            </w:pPr>
            <w:r w:rsidRPr="00A058B6">
              <w:t>35</w:t>
            </w:r>
          </w:p>
        </w:tc>
        <w:tc>
          <w:tcPr>
            <w:tcW w:w="2425" w:type="pct"/>
            <w:shd w:val="clear" w:color="auto" w:fill="auto"/>
            <w:hideMark/>
          </w:tcPr>
          <w:p w14:paraId="580ED1A2" w14:textId="77777777" w:rsidR="00647C6B" w:rsidRPr="00A058B6" w:rsidRDefault="00647C6B" w:rsidP="009C0D79">
            <w:pPr>
              <w:pStyle w:val="Tabletext"/>
            </w:pPr>
            <w:r w:rsidRPr="00A058B6">
              <w:t>0</w:t>
            </w:r>
            <w:r w:rsidR="00D7157D">
              <w:t>.</w:t>
            </w:r>
            <w:r w:rsidRPr="00A058B6">
              <w:t>4349</w:t>
            </w:r>
          </w:p>
        </w:tc>
      </w:tr>
      <w:tr w:rsidR="00647C6B" w:rsidRPr="00A058B6" w14:paraId="67EBBCD0" w14:textId="77777777" w:rsidTr="00CC1399">
        <w:trPr>
          <w:trHeight w:val="300"/>
        </w:trPr>
        <w:tc>
          <w:tcPr>
            <w:tcW w:w="2575" w:type="pct"/>
            <w:shd w:val="clear" w:color="auto" w:fill="auto"/>
            <w:hideMark/>
          </w:tcPr>
          <w:p w14:paraId="7E7843C7" w14:textId="77777777" w:rsidR="00647C6B" w:rsidRPr="00A058B6" w:rsidRDefault="00647C6B" w:rsidP="009C0D79">
            <w:pPr>
              <w:pStyle w:val="Tabletext"/>
            </w:pPr>
            <w:r w:rsidRPr="00A058B6">
              <w:t>34</w:t>
            </w:r>
          </w:p>
        </w:tc>
        <w:tc>
          <w:tcPr>
            <w:tcW w:w="2425" w:type="pct"/>
            <w:shd w:val="clear" w:color="auto" w:fill="auto"/>
            <w:hideMark/>
          </w:tcPr>
          <w:p w14:paraId="66CD2AB1" w14:textId="77777777" w:rsidR="00647C6B" w:rsidRPr="00A058B6" w:rsidRDefault="00647C6B" w:rsidP="009C0D79">
            <w:pPr>
              <w:pStyle w:val="Tabletext"/>
            </w:pPr>
            <w:r w:rsidRPr="00A058B6">
              <w:t>0</w:t>
            </w:r>
            <w:r w:rsidR="00D7157D">
              <w:t>.</w:t>
            </w:r>
            <w:r w:rsidRPr="00A058B6">
              <w:t>4462</w:t>
            </w:r>
          </w:p>
        </w:tc>
      </w:tr>
      <w:tr w:rsidR="00647C6B" w:rsidRPr="00A058B6" w14:paraId="5E3F0E7D" w14:textId="77777777" w:rsidTr="00CC1399">
        <w:trPr>
          <w:trHeight w:val="300"/>
        </w:trPr>
        <w:tc>
          <w:tcPr>
            <w:tcW w:w="2575" w:type="pct"/>
            <w:shd w:val="clear" w:color="auto" w:fill="auto"/>
            <w:hideMark/>
          </w:tcPr>
          <w:p w14:paraId="59B762B5" w14:textId="77777777" w:rsidR="00647C6B" w:rsidRPr="00A058B6" w:rsidRDefault="00647C6B" w:rsidP="009C0D79">
            <w:pPr>
              <w:pStyle w:val="Tabletext"/>
            </w:pPr>
            <w:r w:rsidRPr="00A058B6">
              <w:t>33</w:t>
            </w:r>
          </w:p>
        </w:tc>
        <w:tc>
          <w:tcPr>
            <w:tcW w:w="2425" w:type="pct"/>
            <w:shd w:val="clear" w:color="auto" w:fill="auto"/>
            <w:hideMark/>
          </w:tcPr>
          <w:p w14:paraId="6B52B037" w14:textId="77777777" w:rsidR="00647C6B" w:rsidRPr="00A058B6" w:rsidRDefault="00647C6B" w:rsidP="009C0D79">
            <w:pPr>
              <w:pStyle w:val="Tabletext"/>
            </w:pPr>
            <w:r w:rsidRPr="00A058B6">
              <w:t>0</w:t>
            </w:r>
            <w:r w:rsidR="00D7157D">
              <w:t>.</w:t>
            </w:r>
            <w:r w:rsidRPr="00A058B6">
              <w:t>4576</w:t>
            </w:r>
          </w:p>
        </w:tc>
      </w:tr>
      <w:tr w:rsidR="00647C6B" w:rsidRPr="00A058B6" w14:paraId="5B2254BF" w14:textId="77777777" w:rsidTr="00CC1399">
        <w:trPr>
          <w:trHeight w:val="300"/>
        </w:trPr>
        <w:tc>
          <w:tcPr>
            <w:tcW w:w="2575" w:type="pct"/>
            <w:shd w:val="clear" w:color="auto" w:fill="auto"/>
            <w:hideMark/>
          </w:tcPr>
          <w:p w14:paraId="341BA974" w14:textId="77777777" w:rsidR="00647C6B" w:rsidRPr="00A058B6" w:rsidRDefault="00647C6B" w:rsidP="009C0D79">
            <w:pPr>
              <w:pStyle w:val="Tabletext"/>
            </w:pPr>
            <w:r w:rsidRPr="00A058B6">
              <w:t>32</w:t>
            </w:r>
          </w:p>
        </w:tc>
        <w:tc>
          <w:tcPr>
            <w:tcW w:w="2425" w:type="pct"/>
            <w:shd w:val="clear" w:color="auto" w:fill="auto"/>
            <w:hideMark/>
          </w:tcPr>
          <w:p w14:paraId="24408B07" w14:textId="77777777" w:rsidR="00647C6B" w:rsidRPr="00A058B6" w:rsidRDefault="00647C6B" w:rsidP="009C0D79">
            <w:pPr>
              <w:pStyle w:val="Tabletext"/>
            </w:pPr>
            <w:r w:rsidRPr="00A058B6">
              <w:t>0</w:t>
            </w:r>
            <w:r w:rsidR="00D7157D">
              <w:t>.</w:t>
            </w:r>
            <w:r w:rsidRPr="00A058B6">
              <w:t>4693</w:t>
            </w:r>
          </w:p>
        </w:tc>
      </w:tr>
      <w:tr w:rsidR="00647C6B" w:rsidRPr="00A058B6" w14:paraId="48A63980" w14:textId="77777777" w:rsidTr="00CC1399">
        <w:trPr>
          <w:trHeight w:val="300"/>
        </w:trPr>
        <w:tc>
          <w:tcPr>
            <w:tcW w:w="2575" w:type="pct"/>
            <w:shd w:val="clear" w:color="auto" w:fill="auto"/>
            <w:hideMark/>
          </w:tcPr>
          <w:p w14:paraId="4F1A0EFC" w14:textId="77777777" w:rsidR="00647C6B" w:rsidRPr="00A058B6" w:rsidRDefault="00647C6B" w:rsidP="009C0D79">
            <w:pPr>
              <w:pStyle w:val="Tabletext"/>
            </w:pPr>
            <w:r w:rsidRPr="00A058B6">
              <w:t>31</w:t>
            </w:r>
          </w:p>
        </w:tc>
        <w:tc>
          <w:tcPr>
            <w:tcW w:w="2425" w:type="pct"/>
            <w:shd w:val="clear" w:color="auto" w:fill="auto"/>
            <w:hideMark/>
          </w:tcPr>
          <w:p w14:paraId="35BDAD18" w14:textId="77777777" w:rsidR="00647C6B" w:rsidRPr="00A058B6" w:rsidRDefault="00647C6B" w:rsidP="009C0D79">
            <w:pPr>
              <w:pStyle w:val="Tabletext"/>
            </w:pPr>
            <w:r w:rsidRPr="00A058B6">
              <w:t>0</w:t>
            </w:r>
            <w:r w:rsidR="00D7157D">
              <w:t>.</w:t>
            </w:r>
            <w:r w:rsidRPr="00A058B6">
              <w:t>4814</w:t>
            </w:r>
          </w:p>
        </w:tc>
      </w:tr>
      <w:tr w:rsidR="00647C6B" w:rsidRPr="00A058B6" w14:paraId="0C79EC88" w14:textId="77777777" w:rsidTr="00CC1399">
        <w:trPr>
          <w:trHeight w:val="300"/>
        </w:trPr>
        <w:tc>
          <w:tcPr>
            <w:tcW w:w="2575" w:type="pct"/>
            <w:shd w:val="clear" w:color="auto" w:fill="auto"/>
            <w:hideMark/>
          </w:tcPr>
          <w:p w14:paraId="2BF8BDCA" w14:textId="77777777" w:rsidR="00647C6B" w:rsidRPr="00A058B6" w:rsidRDefault="00647C6B" w:rsidP="009C0D79">
            <w:pPr>
              <w:pStyle w:val="Tabletext"/>
            </w:pPr>
            <w:r w:rsidRPr="00A058B6">
              <w:t>30</w:t>
            </w:r>
          </w:p>
        </w:tc>
        <w:tc>
          <w:tcPr>
            <w:tcW w:w="2425" w:type="pct"/>
            <w:shd w:val="clear" w:color="auto" w:fill="auto"/>
            <w:hideMark/>
          </w:tcPr>
          <w:p w14:paraId="0095C381" w14:textId="77777777" w:rsidR="00647C6B" w:rsidRPr="00A058B6" w:rsidRDefault="00647C6B" w:rsidP="009C0D79">
            <w:pPr>
              <w:pStyle w:val="Tabletext"/>
            </w:pPr>
            <w:r w:rsidRPr="00A058B6">
              <w:t>0</w:t>
            </w:r>
            <w:r w:rsidR="00D7157D">
              <w:t>.</w:t>
            </w:r>
            <w:r w:rsidRPr="00A058B6">
              <w:t>4937</w:t>
            </w:r>
          </w:p>
        </w:tc>
      </w:tr>
      <w:tr w:rsidR="00647C6B" w:rsidRPr="00A058B6" w14:paraId="39EFF02C" w14:textId="77777777" w:rsidTr="00CC1399">
        <w:trPr>
          <w:trHeight w:val="300"/>
        </w:trPr>
        <w:tc>
          <w:tcPr>
            <w:tcW w:w="2575" w:type="pct"/>
            <w:shd w:val="clear" w:color="auto" w:fill="auto"/>
            <w:hideMark/>
          </w:tcPr>
          <w:p w14:paraId="3C73C785" w14:textId="77777777" w:rsidR="00647C6B" w:rsidRPr="00A058B6" w:rsidRDefault="00647C6B" w:rsidP="009C0D79">
            <w:pPr>
              <w:pStyle w:val="Tabletext"/>
            </w:pPr>
            <w:r w:rsidRPr="00A058B6">
              <w:t>29</w:t>
            </w:r>
          </w:p>
        </w:tc>
        <w:tc>
          <w:tcPr>
            <w:tcW w:w="2425" w:type="pct"/>
            <w:shd w:val="clear" w:color="auto" w:fill="auto"/>
            <w:hideMark/>
          </w:tcPr>
          <w:p w14:paraId="40B9FB71" w14:textId="77777777" w:rsidR="00647C6B" w:rsidRPr="00A058B6" w:rsidRDefault="00647C6B" w:rsidP="009C0D79">
            <w:pPr>
              <w:pStyle w:val="Tabletext"/>
            </w:pPr>
            <w:r w:rsidRPr="00A058B6">
              <w:t>0</w:t>
            </w:r>
            <w:r w:rsidR="00D7157D">
              <w:t>.</w:t>
            </w:r>
            <w:r w:rsidRPr="00A058B6">
              <w:t>5062</w:t>
            </w:r>
          </w:p>
        </w:tc>
      </w:tr>
      <w:tr w:rsidR="00647C6B" w:rsidRPr="00A058B6" w14:paraId="1EBEEE2C" w14:textId="77777777" w:rsidTr="00CC1399">
        <w:trPr>
          <w:trHeight w:val="300"/>
        </w:trPr>
        <w:tc>
          <w:tcPr>
            <w:tcW w:w="2575" w:type="pct"/>
            <w:shd w:val="clear" w:color="auto" w:fill="auto"/>
            <w:hideMark/>
          </w:tcPr>
          <w:p w14:paraId="44DDA4D2" w14:textId="77777777" w:rsidR="00647C6B" w:rsidRPr="00A058B6" w:rsidRDefault="00647C6B" w:rsidP="009C0D79">
            <w:pPr>
              <w:pStyle w:val="Tabletext"/>
            </w:pPr>
            <w:r w:rsidRPr="00A058B6">
              <w:t>28</w:t>
            </w:r>
          </w:p>
        </w:tc>
        <w:tc>
          <w:tcPr>
            <w:tcW w:w="2425" w:type="pct"/>
            <w:shd w:val="clear" w:color="auto" w:fill="auto"/>
            <w:hideMark/>
          </w:tcPr>
          <w:p w14:paraId="0608E828" w14:textId="77777777" w:rsidR="00647C6B" w:rsidRPr="00A058B6" w:rsidRDefault="00647C6B" w:rsidP="009C0D79">
            <w:pPr>
              <w:pStyle w:val="Tabletext"/>
            </w:pPr>
            <w:r w:rsidRPr="00A058B6">
              <w:t>0</w:t>
            </w:r>
            <w:r w:rsidR="00D7157D">
              <w:t>.</w:t>
            </w:r>
            <w:r w:rsidRPr="00A058B6">
              <w:t>5191</w:t>
            </w:r>
          </w:p>
        </w:tc>
      </w:tr>
      <w:tr w:rsidR="00647C6B" w:rsidRPr="00A058B6" w14:paraId="41C62D9A" w14:textId="77777777" w:rsidTr="00CC1399">
        <w:trPr>
          <w:trHeight w:val="300"/>
        </w:trPr>
        <w:tc>
          <w:tcPr>
            <w:tcW w:w="2575" w:type="pct"/>
            <w:shd w:val="clear" w:color="auto" w:fill="auto"/>
            <w:hideMark/>
          </w:tcPr>
          <w:p w14:paraId="1DC3C4D6" w14:textId="77777777" w:rsidR="00647C6B" w:rsidRPr="00A058B6" w:rsidRDefault="00647C6B" w:rsidP="009C0D79">
            <w:pPr>
              <w:pStyle w:val="Tabletext"/>
            </w:pPr>
            <w:r w:rsidRPr="00A058B6">
              <w:t>27</w:t>
            </w:r>
          </w:p>
        </w:tc>
        <w:tc>
          <w:tcPr>
            <w:tcW w:w="2425" w:type="pct"/>
            <w:shd w:val="clear" w:color="auto" w:fill="auto"/>
            <w:hideMark/>
          </w:tcPr>
          <w:p w14:paraId="7A62F7B7" w14:textId="77777777" w:rsidR="00647C6B" w:rsidRPr="00A058B6" w:rsidRDefault="00647C6B" w:rsidP="009C0D79">
            <w:pPr>
              <w:pStyle w:val="Tabletext"/>
            </w:pPr>
            <w:r w:rsidRPr="00A058B6">
              <w:t>0</w:t>
            </w:r>
            <w:r w:rsidR="00D7157D">
              <w:t>.</w:t>
            </w:r>
            <w:r w:rsidRPr="00A058B6">
              <w:t>5322</w:t>
            </w:r>
          </w:p>
        </w:tc>
      </w:tr>
      <w:tr w:rsidR="00647C6B" w:rsidRPr="00A058B6" w14:paraId="38634DF8" w14:textId="77777777" w:rsidTr="00CC1399">
        <w:trPr>
          <w:trHeight w:val="300"/>
        </w:trPr>
        <w:tc>
          <w:tcPr>
            <w:tcW w:w="2575" w:type="pct"/>
            <w:shd w:val="clear" w:color="auto" w:fill="auto"/>
            <w:hideMark/>
          </w:tcPr>
          <w:p w14:paraId="6AD04C2D" w14:textId="77777777" w:rsidR="00647C6B" w:rsidRPr="00A058B6" w:rsidRDefault="00647C6B" w:rsidP="009C0D79">
            <w:pPr>
              <w:pStyle w:val="Tabletext"/>
            </w:pPr>
            <w:r w:rsidRPr="00A058B6">
              <w:t>26</w:t>
            </w:r>
          </w:p>
        </w:tc>
        <w:tc>
          <w:tcPr>
            <w:tcW w:w="2425" w:type="pct"/>
            <w:shd w:val="clear" w:color="auto" w:fill="auto"/>
            <w:hideMark/>
          </w:tcPr>
          <w:p w14:paraId="54075561" w14:textId="77777777" w:rsidR="00647C6B" w:rsidRPr="00A058B6" w:rsidRDefault="00647C6B" w:rsidP="009C0D79">
            <w:pPr>
              <w:pStyle w:val="Tabletext"/>
            </w:pPr>
            <w:r w:rsidRPr="00A058B6">
              <w:t>0</w:t>
            </w:r>
            <w:r w:rsidR="00D7157D">
              <w:t>.</w:t>
            </w:r>
            <w:r w:rsidRPr="00A058B6">
              <w:t>5457</w:t>
            </w:r>
          </w:p>
        </w:tc>
      </w:tr>
      <w:tr w:rsidR="00647C6B" w:rsidRPr="00A058B6" w14:paraId="3D228AC2" w14:textId="77777777" w:rsidTr="00CC1399">
        <w:trPr>
          <w:trHeight w:val="300"/>
        </w:trPr>
        <w:tc>
          <w:tcPr>
            <w:tcW w:w="2575" w:type="pct"/>
            <w:shd w:val="clear" w:color="auto" w:fill="auto"/>
            <w:hideMark/>
          </w:tcPr>
          <w:p w14:paraId="54B2F3DE" w14:textId="77777777" w:rsidR="00647C6B" w:rsidRPr="00A058B6" w:rsidRDefault="00647C6B" w:rsidP="009C0D79">
            <w:pPr>
              <w:pStyle w:val="Tabletext"/>
            </w:pPr>
            <w:r w:rsidRPr="00A058B6">
              <w:t>25</w:t>
            </w:r>
          </w:p>
        </w:tc>
        <w:tc>
          <w:tcPr>
            <w:tcW w:w="2425" w:type="pct"/>
            <w:shd w:val="clear" w:color="auto" w:fill="auto"/>
            <w:hideMark/>
          </w:tcPr>
          <w:p w14:paraId="70425E24" w14:textId="77777777" w:rsidR="00647C6B" w:rsidRPr="00A058B6" w:rsidRDefault="00647C6B" w:rsidP="009C0D79">
            <w:pPr>
              <w:pStyle w:val="Tabletext"/>
            </w:pPr>
            <w:r w:rsidRPr="00A058B6">
              <w:t>0</w:t>
            </w:r>
            <w:r w:rsidR="00D7157D">
              <w:t>.</w:t>
            </w:r>
            <w:r w:rsidRPr="00A058B6">
              <w:t>5594</w:t>
            </w:r>
          </w:p>
        </w:tc>
      </w:tr>
      <w:tr w:rsidR="00647C6B" w:rsidRPr="00A058B6" w14:paraId="19EC02BD" w14:textId="77777777" w:rsidTr="00CC1399">
        <w:trPr>
          <w:trHeight w:val="300"/>
        </w:trPr>
        <w:tc>
          <w:tcPr>
            <w:tcW w:w="2575" w:type="pct"/>
            <w:shd w:val="clear" w:color="auto" w:fill="auto"/>
            <w:hideMark/>
          </w:tcPr>
          <w:p w14:paraId="7131FBBB" w14:textId="77777777" w:rsidR="00647C6B" w:rsidRPr="00A058B6" w:rsidRDefault="00647C6B" w:rsidP="009C0D79">
            <w:pPr>
              <w:pStyle w:val="Tabletext"/>
            </w:pPr>
            <w:r w:rsidRPr="00A058B6">
              <w:t>24</w:t>
            </w:r>
          </w:p>
        </w:tc>
        <w:tc>
          <w:tcPr>
            <w:tcW w:w="2425" w:type="pct"/>
            <w:shd w:val="clear" w:color="auto" w:fill="auto"/>
            <w:hideMark/>
          </w:tcPr>
          <w:p w14:paraId="25932B2C" w14:textId="77777777" w:rsidR="00647C6B" w:rsidRPr="00A058B6" w:rsidRDefault="00647C6B" w:rsidP="009C0D79">
            <w:pPr>
              <w:pStyle w:val="Tabletext"/>
            </w:pPr>
            <w:r w:rsidRPr="00A058B6">
              <w:t>0</w:t>
            </w:r>
            <w:r w:rsidR="00D7157D">
              <w:t>.</w:t>
            </w:r>
            <w:r w:rsidRPr="00A058B6">
              <w:t>5735</w:t>
            </w:r>
          </w:p>
        </w:tc>
      </w:tr>
      <w:tr w:rsidR="00647C6B" w:rsidRPr="00A058B6" w14:paraId="1ACC819B" w14:textId="77777777" w:rsidTr="00CC1399">
        <w:trPr>
          <w:trHeight w:val="300"/>
        </w:trPr>
        <w:tc>
          <w:tcPr>
            <w:tcW w:w="2575" w:type="pct"/>
            <w:shd w:val="clear" w:color="auto" w:fill="auto"/>
            <w:hideMark/>
          </w:tcPr>
          <w:p w14:paraId="0E31D8A4" w14:textId="77777777" w:rsidR="00647C6B" w:rsidRPr="00A058B6" w:rsidRDefault="00647C6B" w:rsidP="009C0D79">
            <w:pPr>
              <w:pStyle w:val="Tabletext"/>
            </w:pPr>
            <w:r w:rsidRPr="00A058B6">
              <w:t>23</w:t>
            </w:r>
          </w:p>
        </w:tc>
        <w:tc>
          <w:tcPr>
            <w:tcW w:w="2425" w:type="pct"/>
            <w:shd w:val="clear" w:color="auto" w:fill="auto"/>
            <w:hideMark/>
          </w:tcPr>
          <w:p w14:paraId="2950C619" w14:textId="77777777" w:rsidR="00647C6B" w:rsidRPr="00A058B6" w:rsidRDefault="00647C6B" w:rsidP="009C0D79">
            <w:pPr>
              <w:pStyle w:val="Tabletext"/>
            </w:pPr>
            <w:r w:rsidRPr="00A058B6">
              <w:t>0</w:t>
            </w:r>
            <w:r w:rsidR="00D7157D">
              <w:t>.</w:t>
            </w:r>
            <w:r w:rsidRPr="00A058B6">
              <w:t>5878</w:t>
            </w:r>
          </w:p>
        </w:tc>
      </w:tr>
      <w:tr w:rsidR="00647C6B" w:rsidRPr="00A058B6" w14:paraId="7FEDFFCF" w14:textId="77777777" w:rsidTr="00CC1399">
        <w:trPr>
          <w:trHeight w:val="300"/>
        </w:trPr>
        <w:tc>
          <w:tcPr>
            <w:tcW w:w="2575" w:type="pct"/>
            <w:shd w:val="clear" w:color="auto" w:fill="auto"/>
            <w:hideMark/>
          </w:tcPr>
          <w:p w14:paraId="3294C697" w14:textId="77777777" w:rsidR="00647C6B" w:rsidRPr="00A058B6" w:rsidRDefault="00647C6B" w:rsidP="009C0D79">
            <w:pPr>
              <w:pStyle w:val="Tabletext"/>
            </w:pPr>
            <w:r w:rsidRPr="00A058B6">
              <w:t>22</w:t>
            </w:r>
          </w:p>
        </w:tc>
        <w:tc>
          <w:tcPr>
            <w:tcW w:w="2425" w:type="pct"/>
            <w:shd w:val="clear" w:color="auto" w:fill="auto"/>
            <w:hideMark/>
          </w:tcPr>
          <w:p w14:paraId="109359F0" w14:textId="77777777" w:rsidR="00647C6B" w:rsidRPr="00A058B6" w:rsidRDefault="00647C6B" w:rsidP="009C0D79">
            <w:pPr>
              <w:pStyle w:val="Tabletext"/>
            </w:pPr>
            <w:r w:rsidRPr="00A058B6">
              <w:t>0</w:t>
            </w:r>
            <w:r w:rsidR="00D7157D">
              <w:t>.</w:t>
            </w:r>
            <w:r w:rsidRPr="00A058B6">
              <w:t>6025</w:t>
            </w:r>
          </w:p>
        </w:tc>
      </w:tr>
      <w:tr w:rsidR="00647C6B" w:rsidRPr="00A058B6" w14:paraId="7D46AA53" w14:textId="77777777" w:rsidTr="00CC1399">
        <w:trPr>
          <w:trHeight w:val="300"/>
        </w:trPr>
        <w:tc>
          <w:tcPr>
            <w:tcW w:w="2575" w:type="pct"/>
            <w:shd w:val="clear" w:color="auto" w:fill="auto"/>
            <w:hideMark/>
          </w:tcPr>
          <w:p w14:paraId="687BAE2B" w14:textId="77777777" w:rsidR="00647C6B" w:rsidRPr="00A058B6" w:rsidRDefault="00647C6B" w:rsidP="009C0D79">
            <w:pPr>
              <w:pStyle w:val="Tabletext"/>
            </w:pPr>
            <w:r w:rsidRPr="00A058B6">
              <w:t>21</w:t>
            </w:r>
          </w:p>
        </w:tc>
        <w:tc>
          <w:tcPr>
            <w:tcW w:w="2425" w:type="pct"/>
            <w:shd w:val="clear" w:color="auto" w:fill="auto"/>
            <w:hideMark/>
          </w:tcPr>
          <w:p w14:paraId="6BD59F21" w14:textId="77777777" w:rsidR="00647C6B" w:rsidRPr="00A058B6" w:rsidRDefault="00647C6B" w:rsidP="009C0D79">
            <w:pPr>
              <w:pStyle w:val="Tabletext"/>
            </w:pPr>
            <w:r w:rsidRPr="00A058B6">
              <w:t>0</w:t>
            </w:r>
            <w:r w:rsidR="00D7157D">
              <w:t>.</w:t>
            </w:r>
            <w:r w:rsidRPr="00A058B6">
              <w:t>6175</w:t>
            </w:r>
          </w:p>
        </w:tc>
      </w:tr>
      <w:tr w:rsidR="00647C6B" w:rsidRPr="00A058B6" w14:paraId="27D653CF" w14:textId="77777777" w:rsidTr="00CC1399">
        <w:trPr>
          <w:trHeight w:val="300"/>
        </w:trPr>
        <w:tc>
          <w:tcPr>
            <w:tcW w:w="2575" w:type="pct"/>
            <w:shd w:val="clear" w:color="auto" w:fill="auto"/>
            <w:hideMark/>
          </w:tcPr>
          <w:p w14:paraId="1B011D61" w14:textId="77777777" w:rsidR="00647C6B" w:rsidRPr="00A058B6" w:rsidRDefault="00647C6B" w:rsidP="009C0D79">
            <w:pPr>
              <w:pStyle w:val="Tabletext"/>
            </w:pPr>
            <w:r w:rsidRPr="00A058B6">
              <w:t>20</w:t>
            </w:r>
          </w:p>
        </w:tc>
        <w:tc>
          <w:tcPr>
            <w:tcW w:w="2425" w:type="pct"/>
            <w:shd w:val="clear" w:color="auto" w:fill="auto"/>
            <w:hideMark/>
          </w:tcPr>
          <w:p w14:paraId="14D0C305" w14:textId="77777777" w:rsidR="00647C6B" w:rsidRPr="00A058B6" w:rsidRDefault="00647C6B" w:rsidP="009C0D79">
            <w:pPr>
              <w:pStyle w:val="Tabletext"/>
            </w:pPr>
            <w:r w:rsidRPr="00A058B6">
              <w:t>0</w:t>
            </w:r>
            <w:r w:rsidR="00D7157D">
              <w:t>.</w:t>
            </w:r>
            <w:r w:rsidRPr="00A058B6">
              <w:t>6328</w:t>
            </w:r>
          </w:p>
        </w:tc>
      </w:tr>
      <w:tr w:rsidR="00647C6B" w:rsidRPr="00A058B6" w14:paraId="6A1410D0" w14:textId="77777777" w:rsidTr="00CC1399">
        <w:trPr>
          <w:trHeight w:val="300"/>
        </w:trPr>
        <w:tc>
          <w:tcPr>
            <w:tcW w:w="2575" w:type="pct"/>
            <w:shd w:val="clear" w:color="auto" w:fill="auto"/>
            <w:hideMark/>
          </w:tcPr>
          <w:p w14:paraId="645A007E" w14:textId="77777777" w:rsidR="00647C6B" w:rsidRPr="00A058B6" w:rsidRDefault="00647C6B" w:rsidP="009C0D79">
            <w:pPr>
              <w:pStyle w:val="Tabletext"/>
            </w:pPr>
            <w:r w:rsidRPr="00A058B6">
              <w:t>19</w:t>
            </w:r>
          </w:p>
        </w:tc>
        <w:tc>
          <w:tcPr>
            <w:tcW w:w="2425" w:type="pct"/>
            <w:shd w:val="clear" w:color="auto" w:fill="auto"/>
            <w:hideMark/>
          </w:tcPr>
          <w:p w14:paraId="6BD1C8DF" w14:textId="77777777" w:rsidR="00647C6B" w:rsidRPr="00A058B6" w:rsidRDefault="00647C6B" w:rsidP="009C0D79">
            <w:pPr>
              <w:pStyle w:val="Tabletext"/>
            </w:pPr>
            <w:r w:rsidRPr="00A058B6">
              <w:t>0</w:t>
            </w:r>
            <w:r w:rsidR="00D7157D">
              <w:t>.</w:t>
            </w:r>
            <w:r w:rsidRPr="00A058B6">
              <w:t>6485</w:t>
            </w:r>
          </w:p>
        </w:tc>
      </w:tr>
      <w:tr w:rsidR="00647C6B" w:rsidRPr="00A058B6" w14:paraId="06A5F715" w14:textId="77777777" w:rsidTr="00CC1399">
        <w:trPr>
          <w:trHeight w:val="300"/>
        </w:trPr>
        <w:tc>
          <w:tcPr>
            <w:tcW w:w="2575" w:type="pct"/>
            <w:shd w:val="clear" w:color="auto" w:fill="auto"/>
            <w:hideMark/>
          </w:tcPr>
          <w:p w14:paraId="1ED5FADE" w14:textId="77777777" w:rsidR="00647C6B" w:rsidRPr="00A058B6" w:rsidRDefault="00647C6B" w:rsidP="009C0D79">
            <w:pPr>
              <w:pStyle w:val="Tabletext"/>
            </w:pPr>
            <w:r w:rsidRPr="00A058B6">
              <w:t>18</w:t>
            </w:r>
          </w:p>
        </w:tc>
        <w:tc>
          <w:tcPr>
            <w:tcW w:w="2425" w:type="pct"/>
            <w:shd w:val="clear" w:color="auto" w:fill="auto"/>
            <w:hideMark/>
          </w:tcPr>
          <w:p w14:paraId="1205E16E" w14:textId="77777777" w:rsidR="00647C6B" w:rsidRPr="00A058B6" w:rsidRDefault="00647C6B" w:rsidP="009C0D79">
            <w:pPr>
              <w:pStyle w:val="Tabletext"/>
            </w:pPr>
            <w:r w:rsidRPr="00A058B6">
              <w:t>0</w:t>
            </w:r>
            <w:r w:rsidR="00D7157D">
              <w:t>.</w:t>
            </w:r>
            <w:r w:rsidRPr="00A058B6">
              <w:t>6645</w:t>
            </w:r>
          </w:p>
        </w:tc>
      </w:tr>
      <w:tr w:rsidR="00647C6B" w:rsidRPr="00A058B6" w14:paraId="0CC6D695" w14:textId="77777777" w:rsidTr="00CC1399">
        <w:trPr>
          <w:trHeight w:val="300"/>
        </w:trPr>
        <w:tc>
          <w:tcPr>
            <w:tcW w:w="2575" w:type="pct"/>
            <w:shd w:val="clear" w:color="auto" w:fill="auto"/>
            <w:hideMark/>
          </w:tcPr>
          <w:p w14:paraId="280483FF" w14:textId="77777777" w:rsidR="00647C6B" w:rsidRPr="00A058B6" w:rsidRDefault="00647C6B" w:rsidP="009C0D79">
            <w:pPr>
              <w:pStyle w:val="Tabletext"/>
            </w:pPr>
            <w:r w:rsidRPr="00A058B6">
              <w:t>17</w:t>
            </w:r>
          </w:p>
        </w:tc>
        <w:tc>
          <w:tcPr>
            <w:tcW w:w="2425" w:type="pct"/>
            <w:shd w:val="clear" w:color="auto" w:fill="auto"/>
            <w:hideMark/>
          </w:tcPr>
          <w:p w14:paraId="50489D49" w14:textId="77777777" w:rsidR="00647C6B" w:rsidRPr="00A058B6" w:rsidRDefault="00647C6B" w:rsidP="009C0D79">
            <w:pPr>
              <w:pStyle w:val="Tabletext"/>
            </w:pPr>
            <w:r w:rsidRPr="00A058B6">
              <w:t>0</w:t>
            </w:r>
            <w:r w:rsidR="00D7157D">
              <w:t>.</w:t>
            </w:r>
            <w:r w:rsidRPr="00A058B6">
              <w:t>6808</w:t>
            </w:r>
          </w:p>
        </w:tc>
      </w:tr>
      <w:tr w:rsidR="00647C6B" w:rsidRPr="00A058B6" w14:paraId="7DD4B51D" w14:textId="77777777" w:rsidTr="00CC1399">
        <w:trPr>
          <w:trHeight w:val="300"/>
        </w:trPr>
        <w:tc>
          <w:tcPr>
            <w:tcW w:w="2575" w:type="pct"/>
            <w:shd w:val="clear" w:color="auto" w:fill="auto"/>
            <w:hideMark/>
          </w:tcPr>
          <w:p w14:paraId="4322DC88" w14:textId="77777777" w:rsidR="00647C6B" w:rsidRPr="00A058B6" w:rsidRDefault="00647C6B" w:rsidP="009C0D79">
            <w:pPr>
              <w:pStyle w:val="Tabletext"/>
            </w:pPr>
            <w:r w:rsidRPr="00A058B6">
              <w:t>16</w:t>
            </w:r>
          </w:p>
        </w:tc>
        <w:tc>
          <w:tcPr>
            <w:tcW w:w="2425" w:type="pct"/>
            <w:shd w:val="clear" w:color="auto" w:fill="auto"/>
            <w:hideMark/>
          </w:tcPr>
          <w:p w14:paraId="2B733569" w14:textId="77777777" w:rsidR="00647C6B" w:rsidRPr="00A058B6" w:rsidRDefault="00647C6B" w:rsidP="009C0D79">
            <w:pPr>
              <w:pStyle w:val="Tabletext"/>
            </w:pPr>
            <w:r w:rsidRPr="00A058B6">
              <w:t>0</w:t>
            </w:r>
            <w:r w:rsidR="00D7157D">
              <w:t>.</w:t>
            </w:r>
            <w:r w:rsidRPr="00A058B6">
              <w:t>6975</w:t>
            </w:r>
          </w:p>
        </w:tc>
      </w:tr>
      <w:tr w:rsidR="00647C6B" w:rsidRPr="00A058B6" w14:paraId="4246729D" w14:textId="77777777" w:rsidTr="00CC1399">
        <w:trPr>
          <w:trHeight w:val="300"/>
        </w:trPr>
        <w:tc>
          <w:tcPr>
            <w:tcW w:w="2575" w:type="pct"/>
            <w:shd w:val="clear" w:color="auto" w:fill="auto"/>
            <w:hideMark/>
          </w:tcPr>
          <w:p w14:paraId="64350DAC" w14:textId="77777777" w:rsidR="00647C6B" w:rsidRPr="00A058B6" w:rsidRDefault="00647C6B" w:rsidP="009C0D79">
            <w:pPr>
              <w:pStyle w:val="Tabletext"/>
            </w:pPr>
            <w:r w:rsidRPr="00A058B6">
              <w:t>15</w:t>
            </w:r>
          </w:p>
        </w:tc>
        <w:tc>
          <w:tcPr>
            <w:tcW w:w="2425" w:type="pct"/>
            <w:shd w:val="clear" w:color="auto" w:fill="auto"/>
            <w:hideMark/>
          </w:tcPr>
          <w:p w14:paraId="625A6E4D" w14:textId="77777777" w:rsidR="00647C6B" w:rsidRPr="00A058B6" w:rsidRDefault="00647C6B" w:rsidP="009C0D79">
            <w:pPr>
              <w:pStyle w:val="Tabletext"/>
            </w:pPr>
            <w:r w:rsidRPr="00A058B6">
              <w:t>0</w:t>
            </w:r>
            <w:r w:rsidR="00D7157D">
              <w:t>.</w:t>
            </w:r>
            <w:r w:rsidRPr="00A058B6">
              <w:t>7146</w:t>
            </w:r>
          </w:p>
        </w:tc>
      </w:tr>
      <w:tr w:rsidR="00647C6B" w:rsidRPr="00A058B6" w14:paraId="21D32FC8" w14:textId="77777777" w:rsidTr="00CC1399">
        <w:trPr>
          <w:trHeight w:val="300"/>
        </w:trPr>
        <w:tc>
          <w:tcPr>
            <w:tcW w:w="2575" w:type="pct"/>
            <w:shd w:val="clear" w:color="auto" w:fill="auto"/>
            <w:hideMark/>
          </w:tcPr>
          <w:p w14:paraId="23A7C76E" w14:textId="77777777" w:rsidR="00647C6B" w:rsidRPr="00A058B6" w:rsidRDefault="00647C6B" w:rsidP="009C0D79">
            <w:pPr>
              <w:pStyle w:val="Tabletext"/>
            </w:pPr>
            <w:r w:rsidRPr="00A058B6">
              <w:t>14</w:t>
            </w:r>
          </w:p>
        </w:tc>
        <w:tc>
          <w:tcPr>
            <w:tcW w:w="2425" w:type="pct"/>
            <w:shd w:val="clear" w:color="auto" w:fill="auto"/>
            <w:hideMark/>
          </w:tcPr>
          <w:p w14:paraId="769A8AFE" w14:textId="77777777" w:rsidR="00647C6B" w:rsidRPr="00A058B6" w:rsidRDefault="00647C6B" w:rsidP="009C0D79">
            <w:pPr>
              <w:pStyle w:val="Tabletext"/>
            </w:pPr>
            <w:r w:rsidRPr="00A058B6">
              <w:t>0</w:t>
            </w:r>
            <w:r w:rsidR="00D7157D">
              <w:t>.</w:t>
            </w:r>
            <w:r w:rsidRPr="00A058B6">
              <w:t>7320</w:t>
            </w:r>
          </w:p>
        </w:tc>
      </w:tr>
      <w:tr w:rsidR="00647C6B" w:rsidRPr="00A058B6" w14:paraId="48D5AA93" w14:textId="77777777" w:rsidTr="00CC1399">
        <w:trPr>
          <w:trHeight w:val="300"/>
        </w:trPr>
        <w:tc>
          <w:tcPr>
            <w:tcW w:w="2575" w:type="pct"/>
            <w:shd w:val="clear" w:color="auto" w:fill="auto"/>
            <w:hideMark/>
          </w:tcPr>
          <w:p w14:paraId="3DDCC8B9" w14:textId="77777777" w:rsidR="00647C6B" w:rsidRPr="00A058B6" w:rsidRDefault="00647C6B" w:rsidP="009C0D79">
            <w:pPr>
              <w:pStyle w:val="Tabletext"/>
            </w:pPr>
            <w:r w:rsidRPr="00A058B6">
              <w:t>13</w:t>
            </w:r>
          </w:p>
        </w:tc>
        <w:tc>
          <w:tcPr>
            <w:tcW w:w="2425" w:type="pct"/>
            <w:shd w:val="clear" w:color="auto" w:fill="auto"/>
            <w:hideMark/>
          </w:tcPr>
          <w:p w14:paraId="5A0D3C78" w14:textId="77777777" w:rsidR="00647C6B" w:rsidRPr="00A058B6" w:rsidRDefault="00647C6B" w:rsidP="009C0D79">
            <w:pPr>
              <w:pStyle w:val="Tabletext"/>
            </w:pPr>
            <w:r w:rsidRPr="00A058B6">
              <w:t>0</w:t>
            </w:r>
            <w:r w:rsidR="00D7157D">
              <w:t>.</w:t>
            </w:r>
            <w:r w:rsidRPr="00A058B6">
              <w:t>7499</w:t>
            </w:r>
          </w:p>
        </w:tc>
      </w:tr>
      <w:tr w:rsidR="00647C6B" w:rsidRPr="00A058B6" w14:paraId="7D535381" w14:textId="77777777" w:rsidTr="00CC1399">
        <w:trPr>
          <w:trHeight w:val="300"/>
        </w:trPr>
        <w:tc>
          <w:tcPr>
            <w:tcW w:w="2575" w:type="pct"/>
            <w:shd w:val="clear" w:color="auto" w:fill="auto"/>
            <w:hideMark/>
          </w:tcPr>
          <w:p w14:paraId="47FDA138" w14:textId="77777777" w:rsidR="00647C6B" w:rsidRPr="00A058B6" w:rsidRDefault="00647C6B" w:rsidP="009C0D79">
            <w:pPr>
              <w:pStyle w:val="Tabletext"/>
            </w:pPr>
            <w:r w:rsidRPr="00A058B6">
              <w:t>12</w:t>
            </w:r>
          </w:p>
        </w:tc>
        <w:tc>
          <w:tcPr>
            <w:tcW w:w="2425" w:type="pct"/>
            <w:shd w:val="clear" w:color="auto" w:fill="auto"/>
            <w:hideMark/>
          </w:tcPr>
          <w:p w14:paraId="681EB6AF" w14:textId="77777777" w:rsidR="00647C6B" w:rsidRPr="00A058B6" w:rsidRDefault="00647C6B" w:rsidP="009C0D79">
            <w:pPr>
              <w:pStyle w:val="Tabletext"/>
            </w:pPr>
            <w:r w:rsidRPr="00A058B6">
              <w:t>0</w:t>
            </w:r>
            <w:r w:rsidR="00D7157D">
              <w:t>.</w:t>
            </w:r>
            <w:r w:rsidRPr="00A058B6">
              <w:t>7682</w:t>
            </w:r>
          </w:p>
        </w:tc>
      </w:tr>
      <w:tr w:rsidR="00647C6B" w:rsidRPr="00A058B6" w14:paraId="566B6ECD" w14:textId="77777777" w:rsidTr="00CC1399">
        <w:trPr>
          <w:trHeight w:val="300"/>
        </w:trPr>
        <w:tc>
          <w:tcPr>
            <w:tcW w:w="2575" w:type="pct"/>
            <w:shd w:val="clear" w:color="auto" w:fill="auto"/>
            <w:hideMark/>
          </w:tcPr>
          <w:p w14:paraId="00B76657" w14:textId="77777777" w:rsidR="00647C6B" w:rsidRPr="00A058B6" w:rsidRDefault="00647C6B" w:rsidP="009C0D79">
            <w:pPr>
              <w:pStyle w:val="Tabletext"/>
            </w:pPr>
            <w:r w:rsidRPr="00A058B6">
              <w:t>11</w:t>
            </w:r>
          </w:p>
        </w:tc>
        <w:tc>
          <w:tcPr>
            <w:tcW w:w="2425" w:type="pct"/>
            <w:shd w:val="clear" w:color="auto" w:fill="auto"/>
            <w:hideMark/>
          </w:tcPr>
          <w:p w14:paraId="16DDCF6E" w14:textId="77777777" w:rsidR="00647C6B" w:rsidRPr="00A058B6" w:rsidRDefault="00647C6B" w:rsidP="009C0D79">
            <w:pPr>
              <w:pStyle w:val="Tabletext"/>
            </w:pPr>
            <w:r w:rsidRPr="00A058B6">
              <w:t>0</w:t>
            </w:r>
            <w:r w:rsidR="00D7157D">
              <w:t>.</w:t>
            </w:r>
            <w:r w:rsidRPr="00A058B6">
              <w:t>7869</w:t>
            </w:r>
          </w:p>
        </w:tc>
      </w:tr>
      <w:tr w:rsidR="00647C6B" w:rsidRPr="00A058B6" w14:paraId="0CE7478D" w14:textId="77777777" w:rsidTr="00CC1399">
        <w:trPr>
          <w:trHeight w:val="300"/>
        </w:trPr>
        <w:tc>
          <w:tcPr>
            <w:tcW w:w="2575" w:type="pct"/>
            <w:shd w:val="clear" w:color="auto" w:fill="auto"/>
            <w:hideMark/>
          </w:tcPr>
          <w:p w14:paraId="72868A85" w14:textId="77777777" w:rsidR="00647C6B" w:rsidRPr="00A058B6" w:rsidRDefault="00647C6B" w:rsidP="009C0D79">
            <w:pPr>
              <w:pStyle w:val="Tabletext"/>
            </w:pPr>
            <w:r w:rsidRPr="00A058B6">
              <w:t>10</w:t>
            </w:r>
          </w:p>
        </w:tc>
        <w:tc>
          <w:tcPr>
            <w:tcW w:w="2425" w:type="pct"/>
            <w:shd w:val="clear" w:color="auto" w:fill="auto"/>
            <w:hideMark/>
          </w:tcPr>
          <w:p w14:paraId="2E7D02F5" w14:textId="77777777" w:rsidR="00647C6B" w:rsidRPr="00A058B6" w:rsidRDefault="00647C6B" w:rsidP="009C0D79">
            <w:pPr>
              <w:pStyle w:val="Tabletext"/>
            </w:pPr>
            <w:r w:rsidRPr="00A058B6">
              <w:t>0</w:t>
            </w:r>
            <w:r w:rsidR="00D7157D">
              <w:t>.</w:t>
            </w:r>
            <w:r w:rsidRPr="00A058B6">
              <w:t>8061</w:t>
            </w:r>
          </w:p>
        </w:tc>
      </w:tr>
      <w:tr w:rsidR="00647C6B" w:rsidRPr="00A058B6" w14:paraId="0814A8E7" w14:textId="77777777" w:rsidTr="00CC1399">
        <w:trPr>
          <w:trHeight w:val="300"/>
        </w:trPr>
        <w:tc>
          <w:tcPr>
            <w:tcW w:w="2575" w:type="pct"/>
            <w:shd w:val="clear" w:color="auto" w:fill="auto"/>
            <w:hideMark/>
          </w:tcPr>
          <w:p w14:paraId="1FB097D5" w14:textId="77777777" w:rsidR="00647C6B" w:rsidRPr="00A058B6" w:rsidRDefault="00647C6B" w:rsidP="009C0D79">
            <w:pPr>
              <w:pStyle w:val="Tabletext"/>
            </w:pPr>
            <w:r w:rsidRPr="00A058B6">
              <w:t>9</w:t>
            </w:r>
          </w:p>
        </w:tc>
        <w:tc>
          <w:tcPr>
            <w:tcW w:w="2425" w:type="pct"/>
            <w:shd w:val="clear" w:color="auto" w:fill="auto"/>
            <w:hideMark/>
          </w:tcPr>
          <w:p w14:paraId="54BD9547" w14:textId="77777777" w:rsidR="00647C6B" w:rsidRPr="00A058B6" w:rsidRDefault="00647C6B" w:rsidP="009C0D79">
            <w:pPr>
              <w:pStyle w:val="Tabletext"/>
            </w:pPr>
            <w:r w:rsidRPr="00A058B6">
              <w:t>0</w:t>
            </w:r>
            <w:r w:rsidR="00D7157D">
              <w:t>.</w:t>
            </w:r>
            <w:r w:rsidRPr="00A058B6">
              <w:t>8258</w:t>
            </w:r>
          </w:p>
        </w:tc>
      </w:tr>
      <w:tr w:rsidR="00647C6B" w:rsidRPr="00A058B6" w14:paraId="35DFD08B" w14:textId="77777777" w:rsidTr="00CC1399">
        <w:trPr>
          <w:trHeight w:val="300"/>
        </w:trPr>
        <w:tc>
          <w:tcPr>
            <w:tcW w:w="2575" w:type="pct"/>
            <w:shd w:val="clear" w:color="auto" w:fill="auto"/>
            <w:hideMark/>
          </w:tcPr>
          <w:p w14:paraId="1BA04CCF" w14:textId="77777777" w:rsidR="00647C6B" w:rsidRPr="00A058B6" w:rsidRDefault="00647C6B" w:rsidP="009C0D79">
            <w:pPr>
              <w:pStyle w:val="Tabletext"/>
            </w:pPr>
            <w:r w:rsidRPr="00A058B6">
              <w:t>8</w:t>
            </w:r>
          </w:p>
        </w:tc>
        <w:tc>
          <w:tcPr>
            <w:tcW w:w="2425" w:type="pct"/>
            <w:shd w:val="clear" w:color="auto" w:fill="auto"/>
            <w:hideMark/>
          </w:tcPr>
          <w:p w14:paraId="6FAF5F16" w14:textId="77777777" w:rsidR="00647C6B" w:rsidRPr="00A058B6" w:rsidRDefault="00647C6B" w:rsidP="009C0D79">
            <w:pPr>
              <w:pStyle w:val="Tabletext"/>
            </w:pPr>
            <w:r w:rsidRPr="00A058B6">
              <w:t>0</w:t>
            </w:r>
            <w:r w:rsidR="00D7157D">
              <w:t>.</w:t>
            </w:r>
            <w:r w:rsidRPr="00A058B6">
              <w:t>8460</w:t>
            </w:r>
          </w:p>
        </w:tc>
      </w:tr>
      <w:tr w:rsidR="00647C6B" w:rsidRPr="00A058B6" w14:paraId="0545651F" w14:textId="77777777" w:rsidTr="00CC1399">
        <w:trPr>
          <w:trHeight w:val="300"/>
        </w:trPr>
        <w:tc>
          <w:tcPr>
            <w:tcW w:w="2575" w:type="pct"/>
            <w:shd w:val="clear" w:color="auto" w:fill="auto"/>
            <w:hideMark/>
          </w:tcPr>
          <w:p w14:paraId="66504095" w14:textId="77777777" w:rsidR="00647C6B" w:rsidRPr="00A058B6" w:rsidRDefault="00647C6B" w:rsidP="009C0D79">
            <w:pPr>
              <w:pStyle w:val="Tabletext"/>
            </w:pPr>
            <w:r w:rsidRPr="00A058B6">
              <w:t>7</w:t>
            </w:r>
          </w:p>
        </w:tc>
        <w:tc>
          <w:tcPr>
            <w:tcW w:w="2425" w:type="pct"/>
            <w:shd w:val="clear" w:color="auto" w:fill="auto"/>
            <w:hideMark/>
          </w:tcPr>
          <w:p w14:paraId="2FCA7709" w14:textId="77777777" w:rsidR="00647C6B" w:rsidRPr="00A058B6" w:rsidRDefault="00647C6B" w:rsidP="009C0D79">
            <w:pPr>
              <w:pStyle w:val="Tabletext"/>
            </w:pPr>
            <w:r w:rsidRPr="00A058B6">
              <w:t>0</w:t>
            </w:r>
            <w:r w:rsidR="00D7157D">
              <w:t>.</w:t>
            </w:r>
            <w:r w:rsidRPr="00A058B6">
              <w:t>8668</w:t>
            </w:r>
          </w:p>
        </w:tc>
      </w:tr>
      <w:tr w:rsidR="00647C6B" w:rsidRPr="00A058B6" w14:paraId="33DCA9D1" w14:textId="77777777" w:rsidTr="00CC1399">
        <w:trPr>
          <w:trHeight w:val="300"/>
        </w:trPr>
        <w:tc>
          <w:tcPr>
            <w:tcW w:w="2575" w:type="pct"/>
            <w:shd w:val="clear" w:color="auto" w:fill="auto"/>
            <w:hideMark/>
          </w:tcPr>
          <w:p w14:paraId="5245095D" w14:textId="77777777" w:rsidR="00647C6B" w:rsidRPr="00A058B6" w:rsidRDefault="00647C6B" w:rsidP="009C0D79">
            <w:pPr>
              <w:pStyle w:val="Tabletext"/>
            </w:pPr>
            <w:r w:rsidRPr="00A058B6">
              <w:t>6</w:t>
            </w:r>
          </w:p>
        </w:tc>
        <w:tc>
          <w:tcPr>
            <w:tcW w:w="2425" w:type="pct"/>
            <w:shd w:val="clear" w:color="auto" w:fill="auto"/>
            <w:hideMark/>
          </w:tcPr>
          <w:p w14:paraId="3D8509FB" w14:textId="77777777" w:rsidR="00647C6B" w:rsidRPr="00A058B6" w:rsidRDefault="00647C6B" w:rsidP="009C0D79">
            <w:pPr>
              <w:pStyle w:val="Tabletext"/>
            </w:pPr>
            <w:r w:rsidRPr="00A058B6">
              <w:t>0</w:t>
            </w:r>
            <w:r w:rsidR="00D7157D">
              <w:t>.</w:t>
            </w:r>
            <w:r w:rsidRPr="00A058B6">
              <w:t>8881</w:t>
            </w:r>
          </w:p>
        </w:tc>
      </w:tr>
      <w:tr w:rsidR="00647C6B" w:rsidRPr="00A058B6" w14:paraId="6BE37671" w14:textId="77777777" w:rsidTr="00CC1399">
        <w:trPr>
          <w:trHeight w:val="300"/>
        </w:trPr>
        <w:tc>
          <w:tcPr>
            <w:tcW w:w="2575" w:type="pct"/>
            <w:shd w:val="clear" w:color="auto" w:fill="auto"/>
            <w:hideMark/>
          </w:tcPr>
          <w:p w14:paraId="336B8347" w14:textId="77777777" w:rsidR="00647C6B" w:rsidRPr="00A058B6" w:rsidRDefault="00647C6B" w:rsidP="009C0D79">
            <w:pPr>
              <w:pStyle w:val="Tabletext"/>
            </w:pPr>
            <w:r w:rsidRPr="00A058B6">
              <w:t>5</w:t>
            </w:r>
          </w:p>
        </w:tc>
        <w:tc>
          <w:tcPr>
            <w:tcW w:w="2425" w:type="pct"/>
            <w:shd w:val="clear" w:color="auto" w:fill="auto"/>
            <w:hideMark/>
          </w:tcPr>
          <w:p w14:paraId="3E981827" w14:textId="77777777" w:rsidR="00647C6B" w:rsidRPr="00A058B6" w:rsidRDefault="00647C6B" w:rsidP="009C0D79">
            <w:pPr>
              <w:pStyle w:val="Tabletext"/>
            </w:pPr>
            <w:r w:rsidRPr="00A058B6">
              <w:t>0</w:t>
            </w:r>
            <w:r w:rsidR="00D7157D">
              <w:t>.</w:t>
            </w:r>
            <w:r w:rsidRPr="00A058B6">
              <w:t>9099</w:t>
            </w:r>
          </w:p>
        </w:tc>
      </w:tr>
      <w:tr w:rsidR="00647C6B" w:rsidRPr="00A058B6" w14:paraId="3791DF4D" w14:textId="77777777" w:rsidTr="00CC1399">
        <w:trPr>
          <w:trHeight w:val="300"/>
        </w:trPr>
        <w:tc>
          <w:tcPr>
            <w:tcW w:w="2575" w:type="pct"/>
            <w:shd w:val="clear" w:color="auto" w:fill="auto"/>
            <w:hideMark/>
          </w:tcPr>
          <w:p w14:paraId="1043CAEF" w14:textId="77777777" w:rsidR="00647C6B" w:rsidRPr="00A058B6" w:rsidRDefault="00647C6B" w:rsidP="009C0D79">
            <w:pPr>
              <w:pStyle w:val="Tabletext"/>
            </w:pPr>
            <w:r w:rsidRPr="00A058B6">
              <w:t>4</w:t>
            </w:r>
          </w:p>
        </w:tc>
        <w:tc>
          <w:tcPr>
            <w:tcW w:w="2425" w:type="pct"/>
            <w:shd w:val="clear" w:color="auto" w:fill="auto"/>
            <w:hideMark/>
          </w:tcPr>
          <w:p w14:paraId="13CCEC4C" w14:textId="77777777" w:rsidR="00647C6B" w:rsidRPr="00A058B6" w:rsidRDefault="00647C6B" w:rsidP="009C0D79">
            <w:pPr>
              <w:pStyle w:val="Tabletext"/>
            </w:pPr>
            <w:r w:rsidRPr="00A058B6">
              <w:t>0</w:t>
            </w:r>
            <w:r w:rsidR="00D7157D">
              <w:t>.</w:t>
            </w:r>
            <w:r w:rsidRPr="00A058B6">
              <w:t>9225</w:t>
            </w:r>
          </w:p>
        </w:tc>
      </w:tr>
      <w:tr w:rsidR="00647C6B" w:rsidRPr="00A058B6" w14:paraId="75A89C14" w14:textId="77777777" w:rsidTr="00CC1399">
        <w:trPr>
          <w:trHeight w:val="300"/>
        </w:trPr>
        <w:tc>
          <w:tcPr>
            <w:tcW w:w="2575" w:type="pct"/>
            <w:shd w:val="clear" w:color="auto" w:fill="auto"/>
            <w:hideMark/>
          </w:tcPr>
          <w:p w14:paraId="72304F95" w14:textId="77777777" w:rsidR="00647C6B" w:rsidRPr="00A058B6" w:rsidRDefault="00647C6B" w:rsidP="009C0D79">
            <w:pPr>
              <w:pStyle w:val="Tabletext"/>
            </w:pPr>
            <w:r w:rsidRPr="00A058B6">
              <w:t>3</w:t>
            </w:r>
          </w:p>
        </w:tc>
        <w:tc>
          <w:tcPr>
            <w:tcW w:w="2425" w:type="pct"/>
            <w:shd w:val="clear" w:color="auto" w:fill="auto"/>
            <w:hideMark/>
          </w:tcPr>
          <w:p w14:paraId="4269F353" w14:textId="77777777" w:rsidR="00647C6B" w:rsidRPr="00A058B6" w:rsidRDefault="00647C6B" w:rsidP="009C0D79">
            <w:pPr>
              <w:pStyle w:val="Tabletext"/>
            </w:pPr>
            <w:r w:rsidRPr="00A058B6">
              <w:t>0</w:t>
            </w:r>
            <w:r w:rsidR="00D7157D">
              <w:t>.</w:t>
            </w:r>
            <w:r w:rsidRPr="00A058B6">
              <w:t>9389</w:t>
            </w:r>
          </w:p>
        </w:tc>
      </w:tr>
      <w:tr w:rsidR="00647C6B" w:rsidRPr="00A058B6" w14:paraId="253C9E50" w14:textId="77777777" w:rsidTr="00CC1399">
        <w:trPr>
          <w:trHeight w:val="300"/>
        </w:trPr>
        <w:tc>
          <w:tcPr>
            <w:tcW w:w="2575" w:type="pct"/>
            <w:shd w:val="clear" w:color="auto" w:fill="auto"/>
            <w:hideMark/>
          </w:tcPr>
          <w:p w14:paraId="60789ECE" w14:textId="77777777" w:rsidR="00647C6B" w:rsidRPr="00A058B6" w:rsidRDefault="00647C6B" w:rsidP="009C0D79">
            <w:pPr>
              <w:pStyle w:val="Tabletext"/>
            </w:pPr>
            <w:r w:rsidRPr="00A058B6">
              <w:t>2</w:t>
            </w:r>
          </w:p>
        </w:tc>
        <w:tc>
          <w:tcPr>
            <w:tcW w:w="2425" w:type="pct"/>
            <w:shd w:val="clear" w:color="auto" w:fill="auto"/>
            <w:hideMark/>
          </w:tcPr>
          <w:p w14:paraId="0E712246" w14:textId="77777777" w:rsidR="00647C6B" w:rsidRPr="00A058B6" w:rsidRDefault="00647C6B" w:rsidP="009C0D79">
            <w:pPr>
              <w:pStyle w:val="Tabletext"/>
            </w:pPr>
            <w:r w:rsidRPr="00A058B6">
              <w:t>0</w:t>
            </w:r>
            <w:r w:rsidR="00D7157D">
              <w:t>.</w:t>
            </w:r>
            <w:r w:rsidRPr="00A058B6">
              <w:t>9571</w:t>
            </w:r>
          </w:p>
        </w:tc>
      </w:tr>
      <w:tr w:rsidR="00647C6B" w:rsidRPr="00A058B6" w14:paraId="104E56A7" w14:textId="77777777" w:rsidTr="00CC1399">
        <w:trPr>
          <w:trHeight w:val="300"/>
        </w:trPr>
        <w:tc>
          <w:tcPr>
            <w:tcW w:w="2575" w:type="pct"/>
            <w:tcBorders>
              <w:bottom w:val="single" w:sz="2" w:space="0" w:color="auto"/>
            </w:tcBorders>
            <w:shd w:val="clear" w:color="auto" w:fill="auto"/>
            <w:hideMark/>
          </w:tcPr>
          <w:p w14:paraId="21923676" w14:textId="77777777" w:rsidR="00647C6B" w:rsidRPr="00A058B6" w:rsidRDefault="00647C6B" w:rsidP="009C0D79">
            <w:pPr>
              <w:pStyle w:val="Tabletext"/>
            </w:pPr>
            <w:r w:rsidRPr="00A058B6">
              <w:t>1</w:t>
            </w:r>
          </w:p>
        </w:tc>
        <w:tc>
          <w:tcPr>
            <w:tcW w:w="2425" w:type="pct"/>
            <w:tcBorders>
              <w:bottom w:val="single" w:sz="2" w:space="0" w:color="auto"/>
            </w:tcBorders>
            <w:shd w:val="clear" w:color="auto" w:fill="auto"/>
            <w:hideMark/>
          </w:tcPr>
          <w:p w14:paraId="014006B7" w14:textId="77777777" w:rsidR="00647C6B" w:rsidRPr="00A058B6" w:rsidRDefault="00647C6B" w:rsidP="009C0D79">
            <w:pPr>
              <w:pStyle w:val="Tabletext"/>
            </w:pPr>
            <w:r w:rsidRPr="00A058B6">
              <w:t>0</w:t>
            </w:r>
            <w:r w:rsidR="00D7157D">
              <w:t>.</w:t>
            </w:r>
            <w:r w:rsidRPr="00A058B6">
              <w:t>9774</w:t>
            </w:r>
          </w:p>
        </w:tc>
      </w:tr>
      <w:tr w:rsidR="00647C6B" w:rsidRPr="00A058B6" w14:paraId="11D8BD0F" w14:textId="77777777" w:rsidTr="00CC1399">
        <w:trPr>
          <w:trHeight w:val="300"/>
        </w:trPr>
        <w:tc>
          <w:tcPr>
            <w:tcW w:w="2575" w:type="pct"/>
            <w:tcBorders>
              <w:top w:val="single" w:sz="2" w:space="0" w:color="auto"/>
              <w:bottom w:val="single" w:sz="12" w:space="0" w:color="auto"/>
            </w:tcBorders>
            <w:shd w:val="clear" w:color="auto" w:fill="auto"/>
            <w:hideMark/>
          </w:tcPr>
          <w:p w14:paraId="285EF2AD" w14:textId="77777777" w:rsidR="00647C6B" w:rsidRPr="00A058B6" w:rsidRDefault="00647C6B" w:rsidP="009C0D79">
            <w:pPr>
              <w:pStyle w:val="Tabletext"/>
            </w:pPr>
            <w:r w:rsidRPr="00A058B6">
              <w:t>0</w:t>
            </w:r>
          </w:p>
        </w:tc>
        <w:tc>
          <w:tcPr>
            <w:tcW w:w="2425" w:type="pct"/>
            <w:tcBorders>
              <w:top w:val="single" w:sz="2" w:space="0" w:color="auto"/>
              <w:bottom w:val="single" w:sz="12" w:space="0" w:color="auto"/>
            </w:tcBorders>
            <w:shd w:val="clear" w:color="auto" w:fill="auto"/>
            <w:hideMark/>
          </w:tcPr>
          <w:p w14:paraId="5D90AA0E" w14:textId="77777777" w:rsidR="00647C6B" w:rsidRPr="00A058B6" w:rsidRDefault="00647C6B" w:rsidP="009C0D79">
            <w:pPr>
              <w:pStyle w:val="Tabletext"/>
            </w:pPr>
            <w:r w:rsidRPr="00A058B6">
              <w:t>1</w:t>
            </w:r>
            <w:r w:rsidR="00D7157D">
              <w:t>.</w:t>
            </w:r>
            <w:r w:rsidRPr="00A058B6">
              <w:t>0000</w:t>
            </w:r>
          </w:p>
        </w:tc>
      </w:tr>
    </w:tbl>
    <w:p w14:paraId="42D99BB3" w14:textId="5A26D1E4" w:rsidR="00647C6B" w:rsidRPr="00A058B6" w:rsidRDefault="00647C6B" w:rsidP="00647C6B">
      <w:pPr>
        <w:pStyle w:val="subsection"/>
      </w:pPr>
      <w:r w:rsidRPr="00A058B6">
        <w:tab/>
        <w:t>(2)</w:t>
      </w:r>
      <w:r w:rsidRPr="00A058B6">
        <w:tab/>
        <w:t xml:space="preserve">This subclause sets out the lump sum valuation factors for eligible superannuation plans with a </w:t>
      </w:r>
      <w:r w:rsidR="003C61DB">
        <w:t>member’s retirement age</w:t>
      </w:r>
      <w:r w:rsidRPr="00A058B6">
        <w:t xml:space="preserve"> of </w:t>
      </w:r>
      <w:r w:rsidR="00015E85">
        <w:t>more than 62</w:t>
      </w:r>
      <w:r w:rsidRPr="00A058B6">
        <w:t xml:space="preserve"> years</w:t>
      </w:r>
      <w:r w:rsidR="00D7157D">
        <w:t>.</w:t>
      </w:r>
    </w:p>
    <w:p w14:paraId="31370529" w14:textId="77777777" w:rsidR="00647C6B" w:rsidRPr="00A058B6" w:rsidRDefault="00647C6B" w:rsidP="00647C6B">
      <w:pPr>
        <w:pStyle w:val="Tabletext"/>
      </w:pPr>
    </w:p>
    <w:tbl>
      <w:tblPr>
        <w:tblStyle w:val="TableGrid"/>
        <w:tblW w:w="4608" w:type="pct"/>
        <w:tblBorders>
          <w:top w:val="single" w:sz="1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3850"/>
        <w:gridCol w:w="3811"/>
      </w:tblGrid>
      <w:tr w:rsidR="00647C6B" w:rsidRPr="00A058B6" w14:paraId="3CB07E9F" w14:textId="77777777" w:rsidTr="00CC1399">
        <w:trPr>
          <w:trHeight w:val="315"/>
          <w:tblHeader/>
        </w:trPr>
        <w:tc>
          <w:tcPr>
            <w:tcW w:w="5000" w:type="pct"/>
            <w:gridSpan w:val="2"/>
            <w:tcBorders>
              <w:top w:val="single" w:sz="12" w:space="0" w:color="auto"/>
              <w:bottom w:val="single" w:sz="2" w:space="0" w:color="auto"/>
            </w:tcBorders>
            <w:shd w:val="clear" w:color="auto" w:fill="auto"/>
          </w:tcPr>
          <w:p w14:paraId="26CDB549" w14:textId="3167F206" w:rsidR="00647C6B" w:rsidRPr="00A058B6" w:rsidRDefault="00647C6B" w:rsidP="009C0D79">
            <w:pPr>
              <w:pStyle w:val="TableHeading"/>
            </w:pPr>
            <w:r w:rsidRPr="00A058B6">
              <w:t xml:space="preserve">Lump sum valuation factors for plans with a </w:t>
            </w:r>
            <w:r w:rsidR="003C61DB">
              <w:t>member’s retirement age</w:t>
            </w:r>
            <w:r w:rsidRPr="00A058B6">
              <w:t xml:space="preserve"> of </w:t>
            </w:r>
            <w:r w:rsidR="00015E85">
              <w:t>more than 62</w:t>
            </w:r>
            <w:r w:rsidR="00015E85" w:rsidRPr="00A058B6">
              <w:t xml:space="preserve"> years</w:t>
            </w:r>
          </w:p>
        </w:tc>
      </w:tr>
      <w:tr w:rsidR="00647C6B" w:rsidRPr="00A058B6" w14:paraId="6EA691ED" w14:textId="77777777" w:rsidTr="00CC1399">
        <w:trPr>
          <w:trHeight w:val="315"/>
          <w:tblHeader/>
        </w:trPr>
        <w:tc>
          <w:tcPr>
            <w:tcW w:w="2513" w:type="pct"/>
            <w:tcBorders>
              <w:top w:val="single" w:sz="2" w:space="0" w:color="auto"/>
              <w:bottom w:val="single" w:sz="12" w:space="0" w:color="auto"/>
            </w:tcBorders>
            <w:shd w:val="clear" w:color="auto" w:fill="auto"/>
            <w:noWrap/>
            <w:hideMark/>
          </w:tcPr>
          <w:p w14:paraId="59F67014" w14:textId="77777777" w:rsidR="00647C6B" w:rsidRPr="00A058B6" w:rsidRDefault="00647C6B" w:rsidP="009C0D79">
            <w:pPr>
              <w:pStyle w:val="TableHeading"/>
            </w:pPr>
            <w:r w:rsidRPr="00A058B6">
              <w:t>Term to retirement (in complete years)</w:t>
            </w:r>
          </w:p>
        </w:tc>
        <w:tc>
          <w:tcPr>
            <w:tcW w:w="2487" w:type="pct"/>
            <w:tcBorders>
              <w:top w:val="single" w:sz="2" w:space="0" w:color="auto"/>
              <w:bottom w:val="single" w:sz="12" w:space="0" w:color="auto"/>
            </w:tcBorders>
            <w:shd w:val="clear" w:color="auto" w:fill="auto"/>
            <w:hideMark/>
          </w:tcPr>
          <w:p w14:paraId="5E3692B2" w14:textId="77777777" w:rsidR="00647C6B" w:rsidRPr="00A058B6" w:rsidRDefault="00647C6B" w:rsidP="009C0D79">
            <w:pPr>
              <w:pStyle w:val="TableHeading"/>
            </w:pPr>
            <w:r w:rsidRPr="00A058B6">
              <w:t>Lump sum valuation factors</w:t>
            </w:r>
          </w:p>
        </w:tc>
      </w:tr>
      <w:tr w:rsidR="00647C6B" w:rsidRPr="00A058B6" w14:paraId="0552A9D9" w14:textId="77777777" w:rsidTr="00CC1399">
        <w:trPr>
          <w:trHeight w:val="300"/>
        </w:trPr>
        <w:tc>
          <w:tcPr>
            <w:tcW w:w="2513" w:type="pct"/>
            <w:tcBorders>
              <w:top w:val="single" w:sz="12" w:space="0" w:color="auto"/>
            </w:tcBorders>
            <w:shd w:val="clear" w:color="auto" w:fill="auto"/>
            <w:hideMark/>
          </w:tcPr>
          <w:p w14:paraId="07391415" w14:textId="77777777" w:rsidR="00647C6B" w:rsidRPr="00A058B6" w:rsidRDefault="00647C6B" w:rsidP="009C0D79">
            <w:pPr>
              <w:pStyle w:val="Tabletext"/>
            </w:pPr>
            <w:r w:rsidRPr="00A058B6">
              <w:t>44</w:t>
            </w:r>
          </w:p>
        </w:tc>
        <w:tc>
          <w:tcPr>
            <w:tcW w:w="2487" w:type="pct"/>
            <w:tcBorders>
              <w:top w:val="single" w:sz="12" w:space="0" w:color="auto"/>
            </w:tcBorders>
            <w:shd w:val="clear" w:color="auto" w:fill="auto"/>
            <w:vAlign w:val="center"/>
            <w:hideMark/>
          </w:tcPr>
          <w:p w14:paraId="33C41B28" w14:textId="77777777" w:rsidR="00647C6B" w:rsidRPr="00A058B6" w:rsidRDefault="00647C6B" w:rsidP="009C0D79">
            <w:pPr>
              <w:pStyle w:val="Tabletext"/>
            </w:pPr>
            <w:r w:rsidRPr="00A058B6">
              <w:t>0</w:t>
            </w:r>
            <w:r w:rsidR="00D7157D">
              <w:t>.</w:t>
            </w:r>
            <w:r w:rsidRPr="00A058B6">
              <w:t>3871</w:t>
            </w:r>
          </w:p>
        </w:tc>
      </w:tr>
      <w:tr w:rsidR="00647C6B" w:rsidRPr="00A058B6" w14:paraId="57B00F25" w14:textId="77777777" w:rsidTr="00CC1399">
        <w:trPr>
          <w:trHeight w:val="300"/>
        </w:trPr>
        <w:tc>
          <w:tcPr>
            <w:tcW w:w="2513" w:type="pct"/>
            <w:shd w:val="clear" w:color="auto" w:fill="auto"/>
            <w:hideMark/>
          </w:tcPr>
          <w:p w14:paraId="4F4A94EA" w14:textId="77777777" w:rsidR="00647C6B" w:rsidRPr="00A058B6" w:rsidRDefault="00647C6B" w:rsidP="009C0D79">
            <w:pPr>
              <w:pStyle w:val="Tabletext"/>
            </w:pPr>
            <w:r w:rsidRPr="00A058B6">
              <w:t>43</w:t>
            </w:r>
          </w:p>
        </w:tc>
        <w:tc>
          <w:tcPr>
            <w:tcW w:w="2487" w:type="pct"/>
            <w:shd w:val="clear" w:color="auto" w:fill="auto"/>
            <w:vAlign w:val="center"/>
            <w:hideMark/>
          </w:tcPr>
          <w:p w14:paraId="7B3FBFDA" w14:textId="77777777" w:rsidR="00647C6B" w:rsidRPr="00A058B6" w:rsidRDefault="00647C6B" w:rsidP="009C0D79">
            <w:pPr>
              <w:pStyle w:val="Tabletext"/>
            </w:pPr>
            <w:r w:rsidRPr="00A058B6">
              <w:t>0</w:t>
            </w:r>
            <w:r w:rsidR="00D7157D">
              <w:t>.</w:t>
            </w:r>
            <w:r w:rsidRPr="00A058B6">
              <w:t>3969</w:t>
            </w:r>
          </w:p>
        </w:tc>
      </w:tr>
      <w:tr w:rsidR="00647C6B" w:rsidRPr="00A058B6" w14:paraId="4D30BF83" w14:textId="77777777" w:rsidTr="00CC1399">
        <w:trPr>
          <w:trHeight w:val="300"/>
        </w:trPr>
        <w:tc>
          <w:tcPr>
            <w:tcW w:w="2513" w:type="pct"/>
            <w:shd w:val="clear" w:color="auto" w:fill="auto"/>
            <w:hideMark/>
          </w:tcPr>
          <w:p w14:paraId="1841EF83" w14:textId="77777777" w:rsidR="00647C6B" w:rsidRPr="00A058B6" w:rsidRDefault="00647C6B" w:rsidP="009C0D79">
            <w:pPr>
              <w:pStyle w:val="Tabletext"/>
            </w:pPr>
            <w:r w:rsidRPr="00A058B6">
              <w:t>42</w:t>
            </w:r>
          </w:p>
        </w:tc>
        <w:tc>
          <w:tcPr>
            <w:tcW w:w="2487" w:type="pct"/>
            <w:shd w:val="clear" w:color="auto" w:fill="auto"/>
            <w:vAlign w:val="center"/>
            <w:hideMark/>
          </w:tcPr>
          <w:p w14:paraId="348E2BBD" w14:textId="77777777" w:rsidR="00647C6B" w:rsidRPr="00A058B6" w:rsidRDefault="00647C6B" w:rsidP="009C0D79">
            <w:pPr>
              <w:pStyle w:val="Tabletext"/>
            </w:pPr>
            <w:r w:rsidRPr="00A058B6">
              <w:t>0</w:t>
            </w:r>
            <w:r w:rsidR="00D7157D">
              <w:t>.</w:t>
            </w:r>
            <w:r w:rsidRPr="00A058B6">
              <w:t>4068</w:t>
            </w:r>
          </w:p>
        </w:tc>
      </w:tr>
      <w:tr w:rsidR="00647C6B" w:rsidRPr="00A058B6" w14:paraId="21EB14A9" w14:textId="77777777" w:rsidTr="00CC1399">
        <w:trPr>
          <w:trHeight w:val="300"/>
        </w:trPr>
        <w:tc>
          <w:tcPr>
            <w:tcW w:w="2513" w:type="pct"/>
            <w:shd w:val="clear" w:color="auto" w:fill="auto"/>
            <w:hideMark/>
          </w:tcPr>
          <w:p w14:paraId="622FD3DD" w14:textId="77777777" w:rsidR="00647C6B" w:rsidRPr="00A058B6" w:rsidRDefault="00647C6B" w:rsidP="009C0D79">
            <w:pPr>
              <w:pStyle w:val="Tabletext"/>
            </w:pPr>
            <w:r w:rsidRPr="00A058B6">
              <w:t>41</w:t>
            </w:r>
          </w:p>
        </w:tc>
        <w:tc>
          <w:tcPr>
            <w:tcW w:w="2487" w:type="pct"/>
            <w:shd w:val="clear" w:color="auto" w:fill="auto"/>
            <w:vAlign w:val="center"/>
            <w:hideMark/>
          </w:tcPr>
          <w:p w14:paraId="5FDFA5DE" w14:textId="77777777" w:rsidR="00647C6B" w:rsidRPr="00A058B6" w:rsidRDefault="00647C6B" w:rsidP="009C0D79">
            <w:pPr>
              <w:pStyle w:val="Tabletext"/>
            </w:pPr>
            <w:r w:rsidRPr="00A058B6">
              <w:t>0</w:t>
            </w:r>
            <w:r w:rsidR="00D7157D">
              <w:t>.</w:t>
            </w:r>
            <w:r w:rsidRPr="00A058B6">
              <w:t>4170</w:t>
            </w:r>
          </w:p>
        </w:tc>
      </w:tr>
      <w:tr w:rsidR="00647C6B" w:rsidRPr="00A058B6" w14:paraId="2776CF09" w14:textId="77777777" w:rsidTr="00CC1399">
        <w:trPr>
          <w:trHeight w:val="300"/>
        </w:trPr>
        <w:tc>
          <w:tcPr>
            <w:tcW w:w="2513" w:type="pct"/>
            <w:shd w:val="clear" w:color="auto" w:fill="auto"/>
            <w:hideMark/>
          </w:tcPr>
          <w:p w14:paraId="52845728" w14:textId="77777777" w:rsidR="00647C6B" w:rsidRPr="00A058B6" w:rsidRDefault="00647C6B" w:rsidP="009C0D79">
            <w:pPr>
              <w:pStyle w:val="Tabletext"/>
            </w:pPr>
            <w:r w:rsidRPr="00A058B6">
              <w:t>40</w:t>
            </w:r>
          </w:p>
        </w:tc>
        <w:tc>
          <w:tcPr>
            <w:tcW w:w="2487" w:type="pct"/>
            <w:shd w:val="clear" w:color="auto" w:fill="auto"/>
            <w:vAlign w:val="center"/>
            <w:hideMark/>
          </w:tcPr>
          <w:p w14:paraId="3A10897A" w14:textId="77777777" w:rsidR="00647C6B" w:rsidRPr="00A058B6" w:rsidRDefault="00647C6B" w:rsidP="009C0D79">
            <w:pPr>
              <w:pStyle w:val="Tabletext"/>
            </w:pPr>
            <w:r w:rsidRPr="00A058B6">
              <w:t>0</w:t>
            </w:r>
            <w:r w:rsidR="00D7157D">
              <w:t>.</w:t>
            </w:r>
            <w:r w:rsidRPr="00A058B6">
              <w:t>4274</w:t>
            </w:r>
          </w:p>
        </w:tc>
      </w:tr>
      <w:tr w:rsidR="00647C6B" w:rsidRPr="00A058B6" w14:paraId="4CE5E61C" w14:textId="77777777" w:rsidTr="00CC1399">
        <w:trPr>
          <w:trHeight w:val="300"/>
        </w:trPr>
        <w:tc>
          <w:tcPr>
            <w:tcW w:w="2513" w:type="pct"/>
            <w:shd w:val="clear" w:color="auto" w:fill="auto"/>
            <w:hideMark/>
          </w:tcPr>
          <w:p w14:paraId="13F14B36" w14:textId="77777777" w:rsidR="00647C6B" w:rsidRPr="00A058B6" w:rsidRDefault="00647C6B" w:rsidP="009C0D79">
            <w:pPr>
              <w:pStyle w:val="Tabletext"/>
            </w:pPr>
            <w:r w:rsidRPr="00A058B6">
              <w:t>39</w:t>
            </w:r>
          </w:p>
        </w:tc>
        <w:tc>
          <w:tcPr>
            <w:tcW w:w="2487" w:type="pct"/>
            <w:shd w:val="clear" w:color="auto" w:fill="auto"/>
            <w:vAlign w:val="center"/>
            <w:hideMark/>
          </w:tcPr>
          <w:p w14:paraId="2ADF2046" w14:textId="77777777" w:rsidR="00647C6B" w:rsidRPr="00A058B6" w:rsidRDefault="00647C6B" w:rsidP="009C0D79">
            <w:pPr>
              <w:pStyle w:val="Tabletext"/>
            </w:pPr>
            <w:r w:rsidRPr="00A058B6">
              <w:t>0</w:t>
            </w:r>
            <w:r w:rsidR="00D7157D">
              <w:t>.</w:t>
            </w:r>
            <w:r w:rsidRPr="00A058B6">
              <w:t>4381</w:t>
            </w:r>
          </w:p>
        </w:tc>
      </w:tr>
      <w:tr w:rsidR="00647C6B" w:rsidRPr="00A058B6" w14:paraId="16743984" w14:textId="77777777" w:rsidTr="00CC1399">
        <w:trPr>
          <w:trHeight w:val="300"/>
        </w:trPr>
        <w:tc>
          <w:tcPr>
            <w:tcW w:w="2513" w:type="pct"/>
            <w:shd w:val="clear" w:color="auto" w:fill="auto"/>
            <w:hideMark/>
          </w:tcPr>
          <w:p w14:paraId="2AB9A15B" w14:textId="77777777" w:rsidR="00647C6B" w:rsidRPr="00A058B6" w:rsidRDefault="00647C6B" w:rsidP="009C0D79">
            <w:pPr>
              <w:pStyle w:val="Tabletext"/>
            </w:pPr>
            <w:r w:rsidRPr="00A058B6">
              <w:t>38</w:t>
            </w:r>
          </w:p>
        </w:tc>
        <w:tc>
          <w:tcPr>
            <w:tcW w:w="2487" w:type="pct"/>
            <w:shd w:val="clear" w:color="auto" w:fill="auto"/>
            <w:vAlign w:val="center"/>
            <w:hideMark/>
          </w:tcPr>
          <w:p w14:paraId="2E6FEA17" w14:textId="77777777" w:rsidR="00647C6B" w:rsidRPr="00A058B6" w:rsidRDefault="00647C6B" w:rsidP="009C0D79">
            <w:pPr>
              <w:pStyle w:val="Tabletext"/>
            </w:pPr>
            <w:r w:rsidRPr="00A058B6">
              <w:t>0</w:t>
            </w:r>
            <w:r w:rsidR="00D7157D">
              <w:t>.</w:t>
            </w:r>
            <w:r w:rsidRPr="00A058B6">
              <w:t>4490</w:t>
            </w:r>
          </w:p>
        </w:tc>
      </w:tr>
      <w:tr w:rsidR="00647C6B" w:rsidRPr="00A058B6" w14:paraId="60795A9D" w14:textId="77777777" w:rsidTr="00CC1399">
        <w:trPr>
          <w:trHeight w:val="300"/>
        </w:trPr>
        <w:tc>
          <w:tcPr>
            <w:tcW w:w="2513" w:type="pct"/>
            <w:shd w:val="clear" w:color="auto" w:fill="auto"/>
            <w:hideMark/>
          </w:tcPr>
          <w:p w14:paraId="03CF4989" w14:textId="77777777" w:rsidR="00647C6B" w:rsidRPr="00A058B6" w:rsidRDefault="00647C6B" w:rsidP="009C0D79">
            <w:pPr>
              <w:pStyle w:val="Tabletext"/>
            </w:pPr>
            <w:r w:rsidRPr="00A058B6">
              <w:t>37</w:t>
            </w:r>
          </w:p>
        </w:tc>
        <w:tc>
          <w:tcPr>
            <w:tcW w:w="2487" w:type="pct"/>
            <w:shd w:val="clear" w:color="auto" w:fill="auto"/>
            <w:vAlign w:val="center"/>
            <w:hideMark/>
          </w:tcPr>
          <w:p w14:paraId="4244B24F" w14:textId="77777777" w:rsidR="00647C6B" w:rsidRPr="00A058B6" w:rsidRDefault="00647C6B" w:rsidP="009C0D79">
            <w:pPr>
              <w:pStyle w:val="Tabletext"/>
            </w:pPr>
            <w:r w:rsidRPr="00A058B6">
              <w:t>0</w:t>
            </w:r>
            <w:r w:rsidR="00D7157D">
              <w:t>.</w:t>
            </w:r>
            <w:r w:rsidRPr="00A058B6">
              <w:t>4601</w:t>
            </w:r>
          </w:p>
        </w:tc>
      </w:tr>
      <w:tr w:rsidR="00647C6B" w:rsidRPr="00A058B6" w14:paraId="22522080" w14:textId="77777777" w:rsidTr="00CC1399">
        <w:trPr>
          <w:trHeight w:val="300"/>
        </w:trPr>
        <w:tc>
          <w:tcPr>
            <w:tcW w:w="2513" w:type="pct"/>
            <w:shd w:val="clear" w:color="auto" w:fill="auto"/>
            <w:hideMark/>
          </w:tcPr>
          <w:p w14:paraId="2A9611AD" w14:textId="77777777" w:rsidR="00647C6B" w:rsidRPr="00A058B6" w:rsidRDefault="00647C6B" w:rsidP="009C0D79">
            <w:pPr>
              <w:pStyle w:val="Tabletext"/>
            </w:pPr>
            <w:r w:rsidRPr="00A058B6">
              <w:t>36</w:t>
            </w:r>
          </w:p>
        </w:tc>
        <w:tc>
          <w:tcPr>
            <w:tcW w:w="2487" w:type="pct"/>
            <w:shd w:val="clear" w:color="auto" w:fill="auto"/>
            <w:vAlign w:val="center"/>
            <w:hideMark/>
          </w:tcPr>
          <w:p w14:paraId="5A30EF1D" w14:textId="77777777" w:rsidR="00647C6B" w:rsidRPr="00A058B6" w:rsidRDefault="00647C6B" w:rsidP="009C0D79">
            <w:pPr>
              <w:pStyle w:val="Tabletext"/>
            </w:pPr>
            <w:r w:rsidRPr="00A058B6">
              <w:t>0</w:t>
            </w:r>
            <w:r w:rsidR="00D7157D">
              <w:t>.</w:t>
            </w:r>
            <w:r w:rsidRPr="00A058B6">
              <w:t>4715</w:t>
            </w:r>
          </w:p>
        </w:tc>
      </w:tr>
      <w:tr w:rsidR="00647C6B" w:rsidRPr="00A058B6" w14:paraId="2E03BFE1" w14:textId="77777777" w:rsidTr="00CC1399">
        <w:trPr>
          <w:trHeight w:val="300"/>
        </w:trPr>
        <w:tc>
          <w:tcPr>
            <w:tcW w:w="2513" w:type="pct"/>
            <w:shd w:val="clear" w:color="auto" w:fill="auto"/>
            <w:hideMark/>
          </w:tcPr>
          <w:p w14:paraId="43B596BB" w14:textId="77777777" w:rsidR="00647C6B" w:rsidRPr="00A058B6" w:rsidRDefault="00647C6B" w:rsidP="009C0D79">
            <w:pPr>
              <w:pStyle w:val="Tabletext"/>
            </w:pPr>
            <w:r w:rsidRPr="00A058B6">
              <w:t>35</w:t>
            </w:r>
          </w:p>
        </w:tc>
        <w:tc>
          <w:tcPr>
            <w:tcW w:w="2487" w:type="pct"/>
            <w:shd w:val="clear" w:color="auto" w:fill="auto"/>
            <w:vAlign w:val="center"/>
            <w:hideMark/>
          </w:tcPr>
          <w:p w14:paraId="286461AC" w14:textId="77777777" w:rsidR="00647C6B" w:rsidRPr="00A058B6" w:rsidRDefault="00647C6B" w:rsidP="009C0D79">
            <w:pPr>
              <w:pStyle w:val="Tabletext"/>
            </w:pPr>
            <w:r w:rsidRPr="00A058B6">
              <w:t>0</w:t>
            </w:r>
            <w:r w:rsidR="00D7157D">
              <w:t>.</w:t>
            </w:r>
            <w:r w:rsidRPr="00A058B6">
              <w:t>4831</w:t>
            </w:r>
          </w:p>
        </w:tc>
      </w:tr>
      <w:tr w:rsidR="00647C6B" w:rsidRPr="00A058B6" w14:paraId="006B468A" w14:textId="77777777" w:rsidTr="00CC1399">
        <w:trPr>
          <w:trHeight w:val="300"/>
        </w:trPr>
        <w:tc>
          <w:tcPr>
            <w:tcW w:w="2513" w:type="pct"/>
            <w:shd w:val="clear" w:color="auto" w:fill="auto"/>
            <w:hideMark/>
          </w:tcPr>
          <w:p w14:paraId="60E4DDA6" w14:textId="77777777" w:rsidR="00647C6B" w:rsidRPr="00A058B6" w:rsidRDefault="00647C6B" w:rsidP="009C0D79">
            <w:pPr>
              <w:pStyle w:val="Tabletext"/>
            </w:pPr>
            <w:r w:rsidRPr="00A058B6">
              <w:t>34</w:t>
            </w:r>
          </w:p>
        </w:tc>
        <w:tc>
          <w:tcPr>
            <w:tcW w:w="2487" w:type="pct"/>
            <w:shd w:val="clear" w:color="auto" w:fill="auto"/>
            <w:vAlign w:val="center"/>
            <w:hideMark/>
          </w:tcPr>
          <w:p w14:paraId="47180B03" w14:textId="77777777" w:rsidR="00647C6B" w:rsidRPr="00A058B6" w:rsidRDefault="00647C6B" w:rsidP="009C0D79">
            <w:pPr>
              <w:pStyle w:val="Tabletext"/>
            </w:pPr>
            <w:r w:rsidRPr="00A058B6">
              <w:t>0</w:t>
            </w:r>
            <w:r w:rsidR="00D7157D">
              <w:t>.</w:t>
            </w:r>
            <w:r w:rsidRPr="00A058B6">
              <w:t>4950</w:t>
            </w:r>
          </w:p>
        </w:tc>
      </w:tr>
      <w:tr w:rsidR="00647C6B" w:rsidRPr="00A058B6" w14:paraId="7B4B2426" w14:textId="77777777" w:rsidTr="00CC1399">
        <w:trPr>
          <w:trHeight w:val="300"/>
        </w:trPr>
        <w:tc>
          <w:tcPr>
            <w:tcW w:w="2513" w:type="pct"/>
            <w:shd w:val="clear" w:color="auto" w:fill="auto"/>
            <w:hideMark/>
          </w:tcPr>
          <w:p w14:paraId="2E7DC472" w14:textId="77777777" w:rsidR="00647C6B" w:rsidRPr="00A058B6" w:rsidRDefault="00647C6B" w:rsidP="009C0D79">
            <w:pPr>
              <w:pStyle w:val="Tabletext"/>
            </w:pPr>
            <w:r w:rsidRPr="00A058B6">
              <w:t>33</w:t>
            </w:r>
          </w:p>
        </w:tc>
        <w:tc>
          <w:tcPr>
            <w:tcW w:w="2487" w:type="pct"/>
            <w:shd w:val="clear" w:color="auto" w:fill="auto"/>
            <w:vAlign w:val="center"/>
            <w:hideMark/>
          </w:tcPr>
          <w:p w14:paraId="29E6189E" w14:textId="77777777" w:rsidR="00647C6B" w:rsidRPr="00A058B6" w:rsidRDefault="00647C6B" w:rsidP="009C0D79">
            <w:pPr>
              <w:pStyle w:val="Tabletext"/>
            </w:pPr>
            <w:r w:rsidRPr="00A058B6">
              <w:t>0</w:t>
            </w:r>
            <w:r w:rsidR="00D7157D">
              <w:t>.</w:t>
            </w:r>
            <w:r w:rsidRPr="00A058B6">
              <w:t>5071</w:t>
            </w:r>
          </w:p>
        </w:tc>
      </w:tr>
      <w:tr w:rsidR="00647C6B" w:rsidRPr="00A058B6" w14:paraId="1B152E4D" w14:textId="77777777" w:rsidTr="00CC1399">
        <w:trPr>
          <w:trHeight w:val="300"/>
        </w:trPr>
        <w:tc>
          <w:tcPr>
            <w:tcW w:w="2513" w:type="pct"/>
            <w:shd w:val="clear" w:color="auto" w:fill="auto"/>
            <w:hideMark/>
          </w:tcPr>
          <w:p w14:paraId="0CB6B796" w14:textId="77777777" w:rsidR="00647C6B" w:rsidRPr="00A058B6" w:rsidRDefault="00647C6B" w:rsidP="009C0D79">
            <w:pPr>
              <w:pStyle w:val="Tabletext"/>
            </w:pPr>
            <w:r w:rsidRPr="00A058B6">
              <w:t>32</w:t>
            </w:r>
          </w:p>
        </w:tc>
        <w:tc>
          <w:tcPr>
            <w:tcW w:w="2487" w:type="pct"/>
            <w:shd w:val="clear" w:color="auto" w:fill="auto"/>
            <w:vAlign w:val="center"/>
            <w:hideMark/>
          </w:tcPr>
          <w:p w14:paraId="58ADB568" w14:textId="77777777" w:rsidR="00647C6B" w:rsidRPr="00A058B6" w:rsidRDefault="00647C6B" w:rsidP="009C0D79">
            <w:pPr>
              <w:pStyle w:val="Tabletext"/>
            </w:pPr>
            <w:r w:rsidRPr="00A058B6">
              <w:t>0</w:t>
            </w:r>
            <w:r w:rsidR="00D7157D">
              <w:t>.</w:t>
            </w:r>
            <w:r w:rsidRPr="00A058B6">
              <w:t>5194</w:t>
            </w:r>
          </w:p>
        </w:tc>
      </w:tr>
      <w:tr w:rsidR="00647C6B" w:rsidRPr="00A058B6" w14:paraId="0C62B06C" w14:textId="77777777" w:rsidTr="00CC1399">
        <w:trPr>
          <w:trHeight w:val="300"/>
        </w:trPr>
        <w:tc>
          <w:tcPr>
            <w:tcW w:w="2513" w:type="pct"/>
            <w:shd w:val="clear" w:color="auto" w:fill="auto"/>
            <w:hideMark/>
          </w:tcPr>
          <w:p w14:paraId="169DF972" w14:textId="77777777" w:rsidR="00647C6B" w:rsidRPr="00A058B6" w:rsidRDefault="00647C6B" w:rsidP="009C0D79">
            <w:pPr>
              <w:pStyle w:val="Tabletext"/>
            </w:pPr>
            <w:r w:rsidRPr="00A058B6">
              <w:t>31</w:t>
            </w:r>
          </w:p>
        </w:tc>
        <w:tc>
          <w:tcPr>
            <w:tcW w:w="2487" w:type="pct"/>
            <w:shd w:val="clear" w:color="auto" w:fill="auto"/>
            <w:vAlign w:val="center"/>
            <w:hideMark/>
          </w:tcPr>
          <w:p w14:paraId="45774A1A" w14:textId="77777777" w:rsidR="00647C6B" w:rsidRPr="00A058B6" w:rsidRDefault="00647C6B" w:rsidP="009C0D79">
            <w:pPr>
              <w:pStyle w:val="Tabletext"/>
            </w:pPr>
            <w:r w:rsidRPr="00A058B6">
              <w:t>0</w:t>
            </w:r>
            <w:r w:rsidR="00D7157D">
              <w:t>.</w:t>
            </w:r>
            <w:r w:rsidRPr="00A058B6">
              <w:t>5320</w:t>
            </w:r>
          </w:p>
        </w:tc>
      </w:tr>
      <w:tr w:rsidR="00647C6B" w:rsidRPr="00A058B6" w14:paraId="177DB2FD" w14:textId="77777777" w:rsidTr="00CC1399">
        <w:trPr>
          <w:trHeight w:val="300"/>
        </w:trPr>
        <w:tc>
          <w:tcPr>
            <w:tcW w:w="2513" w:type="pct"/>
            <w:shd w:val="clear" w:color="auto" w:fill="auto"/>
            <w:hideMark/>
          </w:tcPr>
          <w:p w14:paraId="4116E511" w14:textId="77777777" w:rsidR="00647C6B" w:rsidRPr="00A058B6" w:rsidRDefault="00647C6B" w:rsidP="009C0D79">
            <w:pPr>
              <w:pStyle w:val="Tabletext"/>
            </w:pPr>
            <w:r w:rsidRPr="00A058B6">
              <w:t>30</w:t>
            </w:r>
          </w:p>
        </w:tc>
        <w:tc>
          <w:tcPr>
            <w:tcW w:w="2487" w:type="pct"/>
            <w:shd w:val="clear" w:color="auto" w:fill="auto"/>
            <w:vAlign w:val="center"/>
            <w:hideMark/>
          </w:tcPr>
          <w:p w14:paraId="265EA21B" w14:textId="77777777" w:rsidR="00647C6B" w:rsidRPr="00A058B6" w:rsidRDefault="00647C6B" w:rsidP="009C0D79">
            <w:pPr>
              <w:pStyle w:val="Tabletext"/>
            </w:pPr>
            <w:r w:rsidRPr="00A058B6">
              <w:t>0</w:t>
            </w:r>
            <w:r w:rsidR="00D7157D">
              <w:t>.</w:t>
            </w:r>
            <w:r w:rsidRPr="00A058B6">
              <w:t>5449</w:t>
            </w:r>
          </w:p>
        </w:tc>
      </w:tr>
      <w:tr w:rsidR="00647C6B" w:rsidRPr="00A058B6" w14:paraId="19CCB794" w14:textId="77777777" w:rsidTr="00CC1399">
        <w:trPr>
          <w:trHeight w:val="300"/>
        </w:trPr>
        <w:tc>
          <w:tcPr>
            <w:tcW w:w="2513" w:type="pct"/>
            <w:shd w:val="clear" w:color="auto" w:fill="auto"/>
            <w:hideMark/>
          </w:tcPr>
          <w:p w14:paraId="4C484AD5" w14:textId="77777777" w:rsidR="00647C6B" w:rsidRPr="00A058B6" w:rsidRDefault="00647C6B" w:rsidP="009C0D79">
            <w:pPr>
              <w:pStyle w:val="Tabletext"/>
            </w:pPr>
            <w:r w:rsidRPr="00A058B6">
              <w:t>29</w:t>
            </w:r>
          </w:p>
        </w:tc>
        <w:tc>
          <w:tcPr>
            <w:tcW w:w="2487" w:type="pct"/>
            <w:shd w:val="clear" w:color="auto" w:fill="auto"/>
            <w:vAlign w:val="center"/>
            <w:hideMark/>
          </w:tcPr>
          <w:p w14:paraId="0C6BACB1" w14:textId="77777777" w:rsidR="00647C6B" w:rsidRPr="00A058B6" w:rsidRDefault="00647C6B" w:rsidP="009C0D79">
            <w:pPr>
              <w:pStyle w:val="Tabletext"/>
            </w:pPr>
            <w:r w:rsidRPr="00A058B6">
              <w:t>0</w:t>
            </w:r>
            <w:r w:rsidR="00D7157D">
              <w:t>.</w:t>
            </w:r>
            <w:r w:rsidRPr="00A058B6">
              <w:t>5580</w:t>
            </w:r>
          </w:p>
        </w:tc>
      </w:tr>
      <w:tr w:rsidR="00647C6B" w:rsidRPr="00A058B6" w14:paraId="3B5CC55B" w14:textId="77777777" w:rsidTr="00CC1399">
        <w:trPr>
          <w:trHeight w:val="300"/>
        </w:trPr>
        <w:tc>
          <w:tcPr>
            <w:tcW w:w="2513" w:type="pct"/>
            <w:shd w:val="clear" w:color="auto" w:fill="auto"/>
            <w:hideMark/>
          </w:tcPr>
          <w:p w14:paraId="5DAB61DC" w14:textId="77777777" w:rsidR="00647C6B" w:rsidRPr="00A058B6" w:rsidRDefault="00647C6B" w:rsidP="009C0D79">
            <w:pPr>
              <w:pStyle w:val="Tabletext"/>
            </w:pPr>
            <w:r w:rsidRPr="00A058B6">
              <w:t>28</w:t>
            </w:r>
          </w:p>
        </w:tc>
        <w:tc>
          <w:tcPr>
            <w:tcW w:w="2487" w:type="pct"/>
            <w:shd w:val="clear" w:color="auto" w:fill="auto"/>
            <w:vAlign w:val="center"/>
            <w:hideMark/>
          </w:tcPr>
          <w:p w14:paraId="12D61E80" w14:textId="77777777" w:rsidR="00647C6B" w:rsidRPr="00A058B6" w:rsidRDefault="00647C6B" w:rsidP="009C0D79">
            <w:pPr>
              <w:pStyle w:val="Tabletext"/>
            </w:pPr>
            <w:r w:rsidRPr="00A058B6">
              <w:t>0</w:t>
            </w:r>
            <w:r w:rsidR="00D7157D">
              <w:t>.</w:t>
            </w:r>
            <w:r w:rsidRPr="00A058B6">
              <w:t>5714</w:t>
            </w:r>
          </w:p>
        </w:tc>
      </w:tr>
      <w:tr w:rsidR="00647C6B" w:rsidRPr="00A058B6" w14:paraId="12D77C8A" w14:textId="77777777" w:rsidTr="00CC1399">
        <w:trPr>
          <w:trHeight w:val="300"/>
        </w:trPr>
        <w:tc>
          <w:tcPr>
            <w:tcW w:w="2513" w:type="pct"/>
            <w:shd w:val="clear" w:color="auto" w:fill="auto"/>
            <w:hideMark/>
          </w:tcPr>
          <w:p w14:paraId="710BF804" w14:textId="77777777" w:rsidR="00647C6B" w:rsidRPr="00A058B6" w:rsidRDefault="00647C6B" w:rsidP="009C0D79">
            <w:pPr>
              <w:pStyle w:val="Tabletext"/>
            </w:pPr>
            <w:r w:rsidRPr="00A058B6">
              <w:t>27</w:t>
            </w:r>
          </w:p>
        </w:tc>
        <w:tc>
          <w:tcPr>
            <w:tcW w:w="2487" w:type="pct"/>
            <w:shd w:val="clear" w:color="auto" w:fill="auto"/>
            <w:vAlign w:val="center"/>
            <w:hideMark/>
          </w:tcPr>
          <w:p w14:paraId="7336A7FD" w14:textId="77777777" w:rsidR="00647C6B" w:rsidRPr="00A058B6" w:rsidRDefault="00647C6B" w:rsidP="009C0D79">
            <w:pPr>
              <w:pStyle w:val="Tabletext"/>
            </w:pPr>
            <w:r w:rsidRPr="00A058B6">
              <w:t>0</w:t>
            </w:r>
            <w:r w:rsidR="00D7157D">
              <w:t>.</w:t>
            </w:r>
            <w:r w:rsidRPr="00A058B6">
              <w:t>5851</w:t>
            </w:r>
          </w:p>
        </w:tc>
      </w:tr>
      <w:tr w:rsidR="00647C6B" w:rsidRPr="00A058B6" w14:paraId="184874B4" w14:textId="77777777" w:rsidTr="00CC1399">
        <w:trPr>
          <w:trHeight w:val="300"/>
        </w:trPr>
        <w:tc>
          <w:tcPr>
            <w:tcW w:w="2513" w:type="pct"/>
            <w:shd w:val="clear" w:color="auto" w:fill="auto"/>
            <w:hideMark/>
          </w:tcPr>
          <w:p w14:paraId="6FD175B3" w14:textId="77777777" w:rsidR="00647C6B" w:rsidRPr="00A058B6" w:rsidRDefault="00647C6B" w:rsidP="009C0D79">
            <w:pPr>
              <w:pStyle w:val="Tabletext"/>
            </w:pPr>
            <w:r w:rsidRPr="00A058B6">
              <w:t>26</w:t>
            </w:r>
          </w:p>
        </w:tc>
        <w:tc>
          <w:tcPr>
            <w:tcW w:w="2487" w:type="pct"/>
            <w:shd w:val="clear" w:color="auto" w:fill="auto"/>
            <w:vAlign w:val="center"/>
            <w:hideMark/>
          </w:tcPr>
          <w:p w14:paraId="519D3D60" w14:textId="77777777" w:rsidR="00647C6B" w:rsidRPr="00A058B6" w:rsidRDefault="00647C6B" w:rsidP="009C0D79">
            <w:pPr>
              <w:pStyle w:val="Tabletext"/>
            </w:pPr>
            <w:r w:rsidRPr="00A058B6">
              <w:t>0</w:t>
            </w:r>
            <w:r w:rsidR="00D7157D">
              <w:t>.</w:t>
            </w:r>
            <w:r w:rsidRPr="00A058B6">
              <w:t>5991</w:t>
            </w:r>
          </w:p>
        </w:tc>
      </w:tr>
      <w:tr w:rsidR="00647C6B" w:rsidRPr="00A058B6" w14:paraId="5C81D8BA" w14:textId="77777777" w:rsidTr="00CC1399">
        <w:trPr>
          <w:trHeight w:val="300"/>
        </w:trPr>
        <w:tc>
          <w:tcPr>
            <w:tcW w:w="2513" w:type="pct"/>
            <w:shd w:val="clear" w:color="auto" w:fill="auto"/>
            <w:hideMark/>
          </w:tcPr>
          <w:p w14:paraId="2EB1D54A" w14:textId="77777777" w:rsidR="00647C6B" w:rsidRPr="00A058B6" w:rsidRDefault="00647C6B" w:rsidP="009C0D79">
            <w:pPr>
              <w:pStyle w:val="Tabletext"/>
            </w:pPr>
            <w:r w:rsidRPr="00A058B6">
              <w:t>25</w:t>
            </w:r>
          </w:p>
        </w:tc>
        <w:tc>
          <w:tcPr>
            <w:tcW w:w="2487" w:type="pct"/>
            <w:shd w:val="clear" w:color="auto" w:fill="auto"/>
            <w:vAlign w:val="center"/>
            <w:hideMark/>
          </w:tcPr>
          <w:p w14:paraId="77503EB0" w14:textId="77777777" w:rsidR="00647C6B" w:rsidRPr="00A058B6" w:rsidRDefault="00647C6B" w:rsidP="009C0D79">
            <w:pPr>
              <w:pStyle w:val="Tabletext"/>
            </w:pPr>
            <w:r w:rsidRPr="00A058B6">
              <w:t>0</w:t>
            </w:r>
            <w:r w:rsidR="00D7157D">
              <w:t>.</w:t>
            </w:r>
            <w:r w:rsidRPr="00A058B6">
              <w:t>6134</w:t>
            </w:r>
          </w:p>
        </w:tc>
      </w:tr>
      <w:tr w:rsidR="00647C6B" w:rsidRPr="00A058B6" w14:paraId="31D2C629" w14:textId="77777777" w:rsidTr="00CC1399">
        <w:trPr>
          <w:trHeight w:val="300"/>
        </w:trPr>
        <w:tc>
          <w:tcPr>
            <w:tcW w:w="2513" w:type="pct"/>
            <w:shd w:val="clear" w:color="auto" w:fill="auto"/>
            <w:hideMark/>
          </w:tcPr>
          <w:p w14:paraId="7C643BE5" w14:textId="77777777" w:rsidR="00647C6B" w:rsidRPr="00A058B6" w:rsidRDefault="00647C6B" w:rsidP="009C0D79">
            <w:pPr>
              <w:pStyle w:val="Tabletext"/>
            </w:pPr>
            <w:r w:rsidRPr="00A058B6">
              <w:t>24</w:t>
            </w:r>
          </w:p>
        </w:tc>
        <w:tc>
          <w:tcPr>
            <w:tcW w:w="2487" w:type="pct"/>
            <w:shd w:val="clear" w:color="auto" w:fill="auto"/>
            <w:vAlign w:val="center"/>
            <w:hideMark/>
          </w:tcPr>
          <w:p w14:paraId="2C5AC8B6" w14:textId="77777777" w:rsidR="00647C6B" w:rsidRPr="00A058B6" w:rsidRDefault="00647C6B" w:rsidP="009C0D79">
            <w:pPr>
              <w:pStyle w:val="Tabletext"/>
            </w:pPr>
            <w:r w:rsidRPr="00A058B6">
              <w:t>0</w:t>
            </w:r>
            <w:r w:rsidR="00D7157D">
              <w:t>.</w:t>
            </w:r>
            <w:r w:rsidRPr="00A058B6">
              <w:t>6279</w:t>
            </w:r>
          </w:p>
        </w:tc>
      </w:tr>
      <w:tr w:rsidR="00647C6B" w:rsidRPr="00A058B6" w14:paraId="774A0697" w14:textId="77777777" w:rsidTr="00CC1399">
        <w:trPr>
          <w:trHeight w:val="300"/>
        </w:trPr>
        <w:tc>
          <w:tcPr>
            <w:tcW w:w="2513" w:type="pct"/>
            <w:shd w:val="clear" w:color="auto" w:fill="auto"/>
            <w:hideMark/>
          </w:tcPr>
          <w:p w14:paraId="7E08D6C7" w14:textId="77777777" w:rsidR="00647C6B" w:rsidRPr="00A058B6" w:rsidRDefault="00647C6B" w:rsidP="009C0D79">
            <w:pPr>
              <w:pStyle w:val="Tabletext"/>
            </w:pPr>
            <w:r w:rsidRPr="00A058B6">
              <w:t>23</w:t>
            </w:r>
          </w:p>
        </w:tc>
        <w:tc>
          <w:tcPr>
            <w:tcW w:w="2487" w:type="pct"/>
            <w:shd w:val="clear" w:color="auto" w:fill="auto"/>
            <w:vAlign w:val="center"/>
            <w:hideMark/>
          </w:tcPr>
          <w:p w14:paraId="34247FDD" w14:textId="77777777" w:rsidR="00647C6B" w:rsidRPr="00A058B6" w:rsidRDefault="00647C6B" w:rsidP="009C0D79">
            <w:pPr>
              <w:pStyle w:val="Tabletext"/>
            </w:pPr>
            <w:r w:rsidRPr="00A058B6">
              <w:t>0</w:t>
            </w:r>
            <w:r w:rsidR="00D7157D">
              <w:t>.</w:t>
            </w:r>
            <w:r w:rsidRPr="00A058B6">
              <w:t>6427</w:t>
            </w:r>
          </w:p>
        </w:tc>
      </w:tr>
      <w:tr w:rsidR="00647C6B" w:rsidRPr="00A058B6" w14:paraId="6382EBBD" w14:textId="77777777" w:rsidTr="00CC1399">
        <w:trPr>
          <w:trHeight w:val="300"/>
        </w:trPr>
        <w:tc>
          <w:tcPr>
            <w:tcW w:w="2513" w:type="pct"/>
            <w:shd w:val="clear" w:color="auto" w:fill="auto"/>
            <w:hideMark/>
          </w:tcPr>
          <w:p w14:paraId="6DEBCFBB" w14:textId="77777777" w:rsidR="00647C6B" w:rsidRPr="00A058B6" w:rsidRDefault="00647C6B" w:rsidP="009C0D79">
            <w:pPr>
              <w:pStyle w:val="Tabletext"/>
            </w:pPr>
            <w:r w:rsidRPr="00A058B6">
              <w:t>22</w:t>
            </w:r>
          </w:p>
        </w:tc>
        <w:tc>
          <w:tcPr>
            <w:tcW w:w="2487" w:type="pct"/>
            <w:shd w:val="clear" w:color="auto" w:fill="auto"/>
            <w:vAlign w:val="center"/>
            <w:hideMark/>
          </w:tcPr>
          <w:p w14:paraId="0A8D22F6" w14:textId="77777777" w:rsidR="00647C6B" w:rsidRPr="00A058B6" w:rsidRDefault="00647C6B" w:rsidP="009C0D79">
            <w:pPr>
              <w:pStyle w:val="Tabletext"/>
            </w:pPr>
            <w:r w:rsidRPr="00A058B6">
              <w:t>0</w:t>
            </w:r>
            <w:r w:rsidR="00D7157D">
              <w:t>.</w:t>
            </w:r>
            <w:r w:rsidRPr="00A058B6">
              <w:t>6579</w:t>
            </w:r>
          </w:p>
        </w:tc>
      </w:tr>
      <w:tr w:rsidR="00647C6B" w:rsidRPr="00A058B6" w14:paraId="66D05440" w14:textId="77777777" w:rsidTr="00CC1399">
        <w:trPr>
          <w:trHeight w:val="300"/>
        </w:trPr>
        <w:tc>
          <w:tcPr>
            <w:tcW w:w="2513" w:type="pct"/>
            <w:shd w:val="clear" w:color="auto" w:fill="auto"/>
            <w:hideMark/>
          </w:tcPr>
          <w:p w14:paraId="309AB097" w14:textId="77777777" w:rsidR="00647C6B" w:rsidRPr="00A058B6" w:rsidRDefault="00647C6B" w:rsidP="009C0D79">
            <w:pPr>
              <w:pStyle w:val="Tabletext"/>
            </w:pPr>
            <w:r w:rsidRPr="00A058B6">
              <w:t>21</w:t>
            </w:r>
          </w:p>
        </w:tc>
        <w:tc>
          <w:tcPr>
            <w:tcW w:w="2487" w:type="pct"/>
            <w:shd w:val="clear" w:color="auto" w:fill="auto"/>
            <w:vAlign w:val="center"/>
            <w:hideMark/>
          </w:tcPr>
          <w:p w14:paraId="39755F28" w14:textId="77777777" w:rsidR="00647C6B" w:rsidRPr="00A058B6" w:rsidRDefault="00647C6B" w:rsidP="009C0D79">
            <w:pPr>
              <w:pStyle w:val="Tabletext"/>
            </w:pPr>
            <w:r w:rsidRPr="00A058B6">
              <w:t>0</w:t>
            </w:r>
            <w:r w:rsidR="00D7157D">
              <w:t>.</w:t>
            </w:r>
            <w:r w:rsidRPr="00A058B6">
              <w:t>6734</w:t>
            </w:r>
          </w:p>
        </w:tc>
      </w:tr>
      <w:tr w:rsidR="00647C6B" w:rsidRPr="00A058B6" w14:paraId="299C7932" w14:textId="77777777" w:rsidTr="00CC1399">
        <w:trPr>
          <w:trHeight w:val="300"/>
        </w:trPr>
        <w:tc>
          <w:tcPr>
            <w:tcW w:w="2513" w:type="pct"/>
            <w:shd w:val="clear" w:color="auto" w:fill="auto"/>
            <w:hideMark/>
          </w:tcPr>
          <w:p w14:paraId="613D0978" w14:textId="77777777" w:rsidR="00647C6B" w:rsidRPr="00A058B6" w:rsidRDefault="00647C6B" w:rsidP="009C0D79">
            <w:pPr>
              <w:pStyle w:val="Tabletext"/>
            </w:pPr>
            <w:r w:rsidRPr="00A058B6">
              <w:t>20</w:t>
            </w:r>
          </w:p>
        </w:tc>
        <w:tc>
          <w:tcPr>
            <w:tcW w:w="2487" w:type="pct"/>
            <w:shd w:val="clear" w:color="auto" w:fill="auto"/>
            <w:vAlign w:val="center"/>
            <w:hideMark/>
          </w:tcPr>
          <w:p w14:paraId="7DA121D9" w14:textId="77777777" w:rsidR="00647C6B" w:rsidRPr="00A058B6" w:rsidRDefault="00647C6B" w:rsidP="009C0D79">
            <w:pPr>
              <w:pStyle w:val="Tabletext"/>
            </w:pPr>
            <w:r w:rsidRPr="00A058B6">
              <w:t>0</w:t>
            </w:r>
            <w:r w:rsidR="00D7157D">
              <w:t>.</w:t>
            </w:r>
            <w:r w:rsidRPr="00A058B6">
              <w:t>6891</w:t>
            </w:r>
          </w:p>
        </w:tc>
      </w:tr>
      <w:tr w:rsidR="00647C6B" w:rsidRPr="00A058B6" w14:paraId="6E573FBD" w14:textId="77777777" w:rsidTr="00CC1399">
        <w:trPr>
          <w:trHeight w:val="300"/>
        </w:trPr>
        <w:tc>
          <w:tcPr>
            <w:tcW w:w="2513" w:type="pct"/>
            <w:shd w:val="clear" w:color="auto" w:fill="auto"/>
            <w:hideMark/>
          </w:tcPr>
          <w:p w14:paraId="72E23446" w14:textId="77777777" w:rsidR="00647C6B" w:rsidRPr="00A058B6" w:rsidRDefault="00647C6B" w:rsidP="009C0D79">
            <w:pPr>
              <w:pStyle w:val="Tabletext"/>
            </w:pPr>
            <w:r w:rsidRPr="00A058B6">
              <w:t>19</w:t>
            </w:r>
          </w:p>
        </w:tc>
        <w:tc>
          <w:tcPr>
            <w:tcW w:w="2487" w:type="pct"/>
            <w:shd w:val="clear" w:color="auto" w:fill="auto"/>
            <w:vAlign w:val="center"/>
            <w:hideMark/>
          </w:tcPr>
          <w:p w14:paraId="6AFC5BB6" w14:textId="77777777" w:rsidR="00647C6B" w:rsidRPr="00A058B6" w:rsidRDefault="00647C6B" w:rsidP="009C0D79">
            <w:pPr>
              <w:pStyle w:val="Tabletext"/>
            </w:pPr>
            <w:r w:rsidRPr="00A058B6">
              <w:t>0</w:t>
            </w:r>
            <w:r w:rsidR="00D7157D">
              <w:t>.</w:t>
            </w:r>
            <w:r w:rsidRPr="00A058B6">
              <w:t>7052</w:t>
            </w:r>
          </w:p>
        </w:tc>
      </w:tr>
      <w:tr w:rsidR="00647C6B" w:rsidRPr="00A058B6" w14:paraId="1B8F0592" w14:textId="77777777" w:rsidTr="00CC1399">
        <w:trPr>
          <w:trHeight w:val="300"/>
        </w:trPr>
        <w:tc>
          <w:tcPr>
            <w:tcW w:w="2513" w:type="pct"/>
            <w:shd w:val="clear" w:color="auto" w:fill="auto"/>
            <w:hideMark/>
          </w:tcPr>
          <w:p w14:paraId="243521C9" w14:textId="77777777" w:rsidR="00647C6B" w:rsidRPr="00A058B6" w:rsidRDefault="00647C6B" w:rsidP="009C0D79">
            <w:pPr>
              <w:pStyle w:val="Tabletext"/>
            </w:pPr>
            <w:r w:rsidRPr="00A058B6">
              <w:t>18</w:t>
            </w:r>
          </w:p>
        </w:tc>
        <w:tc>
          <w:tcPr>
            <w:tcW w:w="2487" w:type="pct"/>
            <w:shd w:val="clear" w:color="auto" w:fill="auto"/>
            <w:vAlign w:val="center"/>
            <w:hideMark/>
          </w:tcPr>
          <w:p w14:paraId="255DD3B1" w14:textId="77777777" w:rsidR="00647C6B" w:rsidRPr="00A058B6" w:rsidRDefault="00647C6B" w:rsidP="009C0D79">
            <w:pPr>
              <w:pStyle w:val="Tabletext"/>
            </w:pPr>
            <w:r w:rsidRPr="00A058B6">
              <w:t>0</w:t>
            </w:r>
            <w:r w:rsidR="00D7157D">
              <w:t>.</w:t>
            </w:r>
            <w:r w:rsidRPr="00A058B6">
              <w:t>7216</w:t>
            </w:r>
          </w:p>
        </w:tc>
      </w:tr>
      <w:tr w:rsidR="00647C6B" w:rsidRPr="00A058B6" w14:paraId="6AF5EB0B" w14:textId="77777777" w:rsidTr="00CC1399">
        <w:trPr>
          <w:trHeight w:val="300"/>
        </w:trPr>
        <w:tc>
          <w:tcPr>
            <w:tcW w:w="2513" w:type="pct"/>
            <w:shd w:val="clear" w:color="auto" w:fill="auto"/>
            <w:hideMark/>
          </w:tcPr>
          <w:p w14:paraId="58D56477" w14:textId="77777777" w:rsidR="00647C6B" w:rsidRPr="00A058B6" w:rsidRDefault="00647C6B" w:rsidP="009C0D79">
            <w:pPr>
              <w:pStyle w:val="Tabletext"/>
            </w:pPr>
            <w:r w:rsidRPr="00A058B6">
              <w:t>17</w:t>
            </w:r>
          </w:p>
        </w:tc>
        <w:tc>
          <w:tcPr>
            <w:tcW w:w="2487" w:type="pct"/>
            <w:shd w:val="clear" w:color="auto" w:fill="auto"/>
            <w:vAlign w:val="center"/>
            <w:hideMark/>
          </w:tcPr>
          <w:p w14:paraId="0D7C0C70" w14:textId="77777777" w:rsidR="00647C6B" w:rsidRPr="00A058B6" w:rsidRDefault="00647C6B" w:rsidP="009C0D79">
            <w:pPr>
              <w:pStyle w:val="Tabletext"/>
            </w:pPr>
            <w:r w:rsidRPr="00A058B6">
              <w:t>0</w:t>
            </w:r>
            <w:r w:rsidR="00D7157D">
              <w:t>.</w:t>
            </w:r>
            <w:r w:rsidRPr="00A058B6">
              <w:t>7384</w:t>
            </w:r>
          </w:p>
        </w:tc>
      </w:tr>
      <w:tr w:rsidR="00647C6B" w:rsidRPr="00A058B6" w14:paraId="5F9DF755" w14:textId="77777777" w:rsidTr="00CC1399">
        <w:trPr>
          <w:trHeight w:val="300"/>
        </w:trPr>
        <w:tc>
          <w:tcPr>
            <w:tcW w:w="2513" w:type="pct"/>
            <w:shd w:val="clear" w:color="auto" w:fill="auto"/>
            <w:hideMark/>
          </w:tcPr>
          <w:p w14:paraId="7746F456" w14:textId="77777777" w:rsidR="00647C6B" w:rsidRPr="00A058B6" w:rsidRDefault="00647C6B" w:rsidP="009C0D79">
            <w:pPr>
              <w:pStyle w:val="Tabletext"/>
            </w:pPr>
            <w:r w:rsidRPr="00A058B6">
              <w:t>16</w:t>
            </w:r>
          </w:p>
        </w:tc>
        <w:tc>
          <w:tcPr>
            <w:tcW w:w="2487" w:type="pct"/>
            <w:shd w:val="clear" w:color="auto" w:fill="auto"/>
            <w:vAlign w:val="center"/>
            <w:hideMark/>
          </w:tcPr>
          <w:p w14:paraId="78188472" w14:textId="77777777" w:rsidR="00647C6B" w:rsidRPr="00A058B6" w:rsidRDefault="00647C6B" w:rsidP="009C0D79">
            <w:pPr>
              <w:pStyle w:val="Tabletext"/>
            </w:pPr>
            <w:r w:rsidRPr="00A058B6">
              <w:t>0</w:t>
            </w:r>
            <w:r w:rsidR="00D7157D">
              <w:t>.</w:t>
            </w:r>
            <w:r w:rsidRPr="00A058B6">
              <w:t>7556</w:t>
            </w:r>
          </w:p>
        </w:tc>
      </w:tr>
      <w:tr w:rsidR="00647C6B" w:rsidRPr="00A058B6" w14:paraId="4A8AD41A" w14:textId="77777777" w:rsidTr="00CC1399">
        <w:trPr>
          <w:trHeight w:val="300"/>
        </w:trPr>
        <w:tc>
          <w:tcPr>
            <w:tcW w:w="2513" w:type="pct"/>
            <w:shd w:val="clear" w:color="auto" w:fill="auto"/>
            <w:hideMark/>
          </w:tcPr>
          <w:p w14:paraId="4A2663B3" w14:textId="77777777" w:rsidR="00647C6B" w:rsidRPr="00A058B6" w:rsidRDefault="00647C6B" w:rsidP="009C0D79">
            <w:pPr>
              <w:pStyle w:val="Tabletext"/>
            </w:pPr>
            <w:r w:rsidRPr="00A058B6">
              <w:t>15</w:t>
            </w:r>
          </w:p>
        </w:tc>
        <w:tc>
          <w:tcPr>
            <w:tcW w:w="2487" w:type="pct"/>
            <w:shd w:val="clear" w:color="auto" w:fill="auto"/>
            <w:vAlign w:val="center"/>
            <w:hideMark/>
          </w:tcPr>
          <w:p w14:paraId="3DCBB27A" w14:textId="77777777" w:rsidR="00647C6B" w:rsidRPr="00A058B6" w:rsidRDefault="00647C6B" w:rsidP="009C0D79">
            <w:pPr>
              <w:pStyle w:val="Tabletext"/>
            </w:pPr>
            <w:r w:rsidRPr="00A058B6">
              <w:t>0</w:t>
            </w:r>
            <w:r w:rsidR="00D7157D">
              <w:t>.</w:t>
            </w:r>
            <w:r w:rsidRPr="00A058B6">
              <w:t>7731</w:t>
            </w:r>
          </w:p>
        </w:tc>
      </w:tr>
      <w:tr w:rsidR="00647C6B" w:rsidRPr="00A058B6" w14:paraId="49C775E5" w14:textId="77777777" w:rsidTr="00CC1399">
        <w:trPr>
          <w:trHeight w:val="300"/>
        </w:trPr>
        <w:tc>
          <w:tcPr>
            <w:tcW w:w="2513" w:type="pct"/>
            <w:shd w:val="clear" w:color="auto" w:fill="auto"/>
            <w:hideMark/>
          </w:tcPr>
          <w:p w14:paraId="4AF7C4DC" w14:textId="77777777" w:rsidR="00647C6B" w:rsidRPr="00A058B6" w:rsidRDefault="00647C6B" w:rsidP="009C0D79">
            <w:pPr>
              <w:pStyle w:val="Tabletext"/>
            </w:pPr>
            <w:r w:rsidRPr="00A058B6">
              <w:t>14</w:t>
            </w:r>
          </w:p>
        </w:tc>
        <w:tc>
          <w:tcPr>
            <w:tcW w:w="2487" w:type="pct"/>
            <w:shd w:val="clear" w:color="auto" w:fill="auto"/>
            <w:vAlign w:val="center"/>
            <w:hideMark/>
          </w:tcPr>
          <w:p w14:paraId="1E47F67A" w14:textId="77777777" w:rsidR="00647C6B" w:rsidRPr="00A058B6" w:rsidRDefault="00647C6B" w:rsidP="009C0D79">
            <w:pPr>
              <w:pStyle w:val="Tabletext"/>
            </w:pPr>
            <w:r w:rsidRPr="00A058B6">
              <w:t>0</w:t>
            </w:r>
            <w:r w:rsidR="00D7157D">
              <w:t>.</w:t>
            </w:r>
            <w:r w:rsidRPr="00A058B6">
              <w:t>7910</w:t>
            </w:r>
          </w:p>
        </w:tc>
      </w:tr>
      <w:tr w:rsidR="00647C6B" w:rsidRPr="00A058B6" w14:paraId="6D26D89F" w14:textId="77777777" w:rsidTr="00CC1399">
        <w:trPr>
          <w:trHeight w:val="300"/>
        </w:trPr>
        <w:tc>
          <w:tcPr>
            <w:tcW w:w="2513" w:type="pct"/>
            <w:shd w:val="clear" w:color="auto" w:fill="auto"/>
            <w:hideMark/>
          </w:tcPr>
          <w:p w14:paraId="0402A84A" w14:textId="77777777" w:rsidR="00647C6B" w:rsidRPr="00A058B6" w:rsidRDefault="00647C6B" w:rsidP="009C0D79">
            <w:pPr>
              <w:pStyle w:val="Tabletext"/>
            </w:pPr>
            <w:r w:rsidRPr="00A058B6">
              <w:t>13</w:t>
            </w:r>
          </w:p>
        </w:tc>
        <w:tc>
          <w:tcPr>
            <w:tcW w:w="2487" w:type="pct"/>
            <w:shd w:val="clear" w:color="auto" w:fill="auto"/>
            <w:vAlign w:val="center"/>
            <w:hideMark/>
          </w:tcPr>
          <w:p w14:paraId="74FEC70B" w14:textId="77777777" w:rsidR="00647C6B" w:rsidRPr="00A058B6" w:rsidRDefault="00647C6B" w:rsidP="009C0D79">
            <w:pPr>
              <w:pStyle w:val="Tabletext"/>
            </w:pPr>
            <w:r w:rsidRPr="00A058B6">
              <w:t>0</w:t>
            </w:r>
            <w:r w:rsidR="00D7157D">
              <w:t>.</w:t>
            </w:r>
            <w:r w:rsidRPr="00A058B6">
              <w:t>8093</w:t>
            </w:r>
          </w:p>
        </w:tc>
      </w:tr>
      <w:tr w:rsidR="00647C6B" w:rsidRPr="00A058B6" w14:paraId="49EB50DA" w14:textId="77777777" w:rsidTr="00CC1399">
        <w:trPr>
          <w:trHeight w:val="300"/>
        </w:trPr>
        <w:tc>
          <w:tcPr>
            <w:tcW w:w="2513" w:type="pct"/>
            <w:shd w:val="clear" w:color="auto" w:fill="auto"/>
            <w:hideMark/>
          </w:tcPr>
          <w:p w14:paraId="06512DB2" w14:textId="77777777" w:rsidR="00647C6B" w:rsidRPr="00A058B6" w:rsidRDefault="00647C6B" w:rsidP="009C0D79">
            <w:pPr>
              <w:pStyle w:val="Tabletext"/>
            </w:pPr>
            <w:r w:rsidRPr="00A058B6">
              <w:t>12</w:t>
            </w:r>
          </w:p>
        </w:tc>
        <w:tc>
          <w:tcPr>
            <w:tcW w:w="2487" w:type="pct"/>
            <w:shd w:val="clear" w:color="auto" w:fill="auto"/>
            <w:vAlign w:val="center"/>
            <w:hideMark/>
          </w:tcPr>
          <w:p w14:paraId="7352C8B9" w14:textId="77777777" w:rsidR="00647C6B" w:rsidRPr="00A058B6" w:rsidRDefault="00647C6B" w:rsidP="009C0D79">
            <w:pPr>
              <w:pStyle w:val="Tabletext"/>
            </w:pPr>
            <w:r w:rsidRPr="00A058B6">
              <w:t>0</w:t>
            </w:r>
            <w:r w:rsidR="00D7157D">
              <w:t>.</w:t>
            </w:r>
            <w:r w:rsidRPr="00A058B6">
              <w:t>8280</w:t>
            </w:r>
          </w:p>
        </w:tc>
      </w:tr>
      <w:tr w:rsidR="00647C6B" w:rsidRPr="00A058B6" w14:paraId="6516C19E" w14:textId="77777777" w:rsidTr="00CC1399">
        <w:trPr>
          <w:trHeight w:val="300"/>
        </w:trPr>
        <w:tc>
          <w:tcPr>
            <w:tcW w:w="2513" w:type="pct"/>
            <w:shd w:val="clear" w:color="auto" w:fill="auto"/>
            <w:hideMark/>
          </w:tcPr>
          <w:p w14:paraId="6389878C" w14:textId="77777777" w:rsidR="00647C6B" w:rsidRPr="00A058B6" w:rsidRDefault="00647C6B" w:rsidP="009C0D79">
            <w:pPr>
              <w:pStyle w:val="Tabletext"/>
            </w:pPr>
            <w:r w:rsidRPr="00A058B6">
              <w:t>11</w:t>
            </w:r>
          </w:p>
        </w:tc>
        <w:tc>
          <w:tcPr>
            <w:tcW w:w="2487" w:type="pct"/>
            <w:shd w:val="clear" w:color="auto" w:fill="auto"/>
            <w:vAlign w:val="center"/>
            <w:hideMark/>
          </w:tcPr>
          <w:p w14:paraId="2E21E339" w14:textId="77777777" w:rsidR="00647C6B" w:rsidRPr="00A058B6" w:rsidRDefault="00647C6B" w:rsidP="009C0D79">
            <w:pPr>
              <w:pStyle w:val="Tabletext"/>
            </w:pPr>
            <w:r w:rsidRPr="00A058B6">
              <w:t>0</w:t>
            </w:r>
            <w:r w:rsidR="00D7157D">
              <w:t>.</w:t>
            </w:r>
            <w:r w:rsidRPr="00A058B6">
              <w:t>8472</w:t>
            </w:r>
          </w:p>
        </w:tc>
      </w:tr>
      <w:tr w:rsidR="00647C6B" w:rsidRPr="00A058B6" w14:paraId="3A647F2E" w14:textId="77777777" w:rsidTr="00CC1399">
        <w:trPr>
          <w:trHeight w:val="300"/>
        </w:trPr>
        <w:tc>
          <w:tcPr>
            <w:tcW w:w="2513" w:type="pct"/>
            <w:shd w:val="clear" w:color="auto" w:fill="auto"/>
            <w:hideMark/>
          </w:tcPr>
          <w:p w14:paraId="350EC847" w14:textId="77777777" w:rsidR="00647C6B" w:rsidRPr="00A058B6" w:rsidRDefault="00647C6B" w:rsidP="009C0D79">
            <w:pPr>
              <w:pStyle w:val="Tabletext"/>
            </w:pPr>
            <w:r w:rsidRPr="00A058B6">
              <w:t>10</w:t>
            </w:r>
          </w:p>
        </w:tc>
        <w:tc>
          <w:tcPr>
            <w:tcW w:w="2487" w:type="pct"/>
            <w:shd w:val="clear" w:color="auto" w:fill="auto"/>
            <w:vAlign w:val="center"/>
            <w:hideMark/>
          </w:tcPr>
          <w:p w14:paraId="13262BA1" w14:textId="77777777" w:rsidR="00647C6B" w:rsidRPr="00A058B6" w:rsidRDefault="00647C6B" w:rsidP="009C0D79">
            <w:pPr>
              <w:pStyle w:val="Tabletext"/>
            </w:pPr>
            <w:r w:rsidRPr="00A058B6">
              <w:t>0</w:t>
            </w:r>
            <w:r w:rsidR="00D7157D">
              <w:t>.</w:t>
            </w:r>
            <w:r w:rsidRPr="00A058B6">
              <w:t>8668</w:t>
            </w:r>
          </w:p>
        </w:tc>
      </w:tr>
      <w:tr w:rsidR="00647C6B" w:rsidRPr="00A058B6" w14:paraId="63208379" w14:textId="77777777" w:rsidTr="00CC1399">
        <w:trPr>
          <w:trHeight w:val="300"/>
        </w:trPr>
        <w:tc>
          <w:tcPr>
            <w:tcW w:w="2513" w:type="pct"/>
            <w:shd w:val="clear" w:color="auto" w:fill="auto"/>
            <w:hideMark/>
          </w:tcPr>
          <w:p w14:paraId="3C6FCA53" w14:textId="77777777" w:rsidR="00647C6B" w:rsidRPr="00A058B6" w:rsidRDefault="00647C6B" w:rsidP="009C0D79">
            <w:pPr>
              <w:pStyle w:val="Tabletext"/>
            </w:pPr>
            <w:r w:rsidRPr="00A058B6">
              <w:t>9</w:t>
            </w:r>
          </w:p>
        </w:tc>
        <w:tc>
          <w:tcPr>
            <w:tcW w:w="2487" w:type="pct"/>
            <w:shd w:val="clear" w:color="auto" w:fill="auto"/>
            <w:vAlign w:val="center"/>
            <w:hideMark/>
          </w:tcPr>
          <w:p w14:paraId="27B197FD" w14:textId="77777777" w:rsidR="00647C6B" w:rsidRPr="00A058B6" w:rsidRDefault="00647C6B" w:rsidP="009C0D79">
            <w:pPr>
              <w:pStyle w:val="Tabletext"/>
            </w:pPr>
            <w:r w:rsidRPr="00A058B6">
              <w:t>0</w:t>
            </w:r>
            <w:r w:rsidR="00D7157D">
              <w:t>.</w:t>
            </w:r>
            <w:r w:rsidRPr="00A058B6">
              <w:t>8732</w:t>
            </w:r>
          </w:p>
        </w:tc>
      </w:tr>
      <w:tr w:rsidR="00647C6B" w:rsidRPr="00A058B6" w14:paraId="69944B9E" w14:textId="77777777" w:rsidTr="00CC1399">
        <w:trPr>
          <w:trHeight w:val="300"/>
        </w:trPr>
        <w:tc>
          <w:tcPr>
            <w:tcW w:w="2513" w:type="pct"/>
            <w:shd w:val="clear" w:color="auto" w:fill="auto"/>
            <w:hideMark/>
          </w:tcPr>
          <w:p w14:paraId="7160AC7E" w14:textId="77777777" w:rsidR="00647C6B" w:rsidRPr="00A058B6" w:rsidRDefault="00647C6B" w:rsidP="009C0D79">
            <w:pPr>
              <w:pStyle w:val="Tabletext"/>
            </w:pPr>
            <w:r w:rsidRPr="00A058B6">
              <w:t>8</w:t>
            </w:r>
          </w:p>
        </w:tc>
        <w:tc>
          <w:tcPr>
            <w:tcW w:w="2487" w:type="pct"/>
            <w:shd w:val="clear" w:color="auto" w:fill="auto"/>
            <w:vAlign w:val="center"/>
            <w:hideMark/>
          </w:tcPr>
          <w:p w14:paraId="24C6616D" w14:textId="77777777" w:rsidR="00647C6B" w:rsidRPr="00A058B6" w:rsidRDefault="00647C6B" w:rsidP="009C0D79">
            <w:pPr>
              <w:pStyle w:val="Tabletext"/>
            </w:pPr>
            <w:r w:rsidRPr="00A058B6">
              <w:t>0</w:t>
            </w:r>
            <w:r w:rsidR="00D7157D">
              <w:t>.</w:t>
            </w:r>
            <w:r w:rsidRPr="00A058B6">
              <w:t>8839</w:t>
            </w:r>
          </w:p>
        </w:tc>
      </w:tr>
      <w:tr w:rsidR="00647C6B" w:rsidRPr="00A058B6" w14:paraId="5689A10D" w14:textId="77777777" w:rsidTr="00CC1399">
        <w:trPr>
          <w:trHeight w:val="300"/>
        </w:trPr>
        <w:tc>
          <w:tcPr>
            <w:tcW w:w="2513" w:type="pct"/>
            <w:shd w:val="clear" w:color="auto" w:fill="auto"/>
            <w:hideMark/>
          </w:tcPr>
          <w:p w14:paraId="7925CF00" w14:textId="77777777" w:rsidR="00647C6B" w:rsidRPr="00A058B6" w:rsidRDefault="00647C6B" w:rsidP="009C0D79">
            <w:pPr>
              <w:pStyle w:val="Tabletext"/>
            </w:pPr>
            <w:r w:rsidRPr="00A058B6">
              <w:t>7</w:t>
            </w:r>
          </w:p>
        </w:tc>
        <w:tc>
          <w:tcPr>
            <w:tcW w:w="2487" w:type="pct"/>
            <w:shd w:val="clear" w:color="auto" w:fill="auto"/>
            <w:vAlign w:val="center"/>
            <w:hideMark/>
          </w:tcPr>
          <w:p w14:paraId="3A8334B4" w14:textId="77777777" w:rsidR="00647C6B" w:rsidRPr="00A058B6" w:rsidRDefault="00647C6B" w:rsidP="009C0D79">
            <w:pPr>
              <w:pStyle w:val="Tabletext"/>
            </w:pPr>
            <w:r w:rsidRPr="00A058B6">
              <w:t>0</w:t>
            </w:r>
            <w:r w:rsidR="00D7157D">
              <w:t>.</w:t>
            </w:r>
            <w:r w:rsidRPr="00A058B6">
              <w:t>8958</w:t>
            </w:r>
          </w:p>
        </w:tc>
      </w:tr>
      <w:tr w:rsidR="00647C6B" w:rsidRPr="00A058B6" w14:paraId="17682BD0" w14:textId="77777777" w:rsidTr="00CC1399">
        <w:trPr>
          <w:trHeight w:val="300"/>
        </w:trPr>
        <w:tc>
          <w:tcPr>
            <w:tcW w:w="2513" w:type="pct"/>
            <w:shd w:val="clear" w:color="auto" w:fill="auto"/>
            <w:hideMark/>
          </w:tcPr>
          <w:p w14:paraId="78F44A62" w14:textId="77777777" w:rsidR="00647C6B" w:rsidRPr="00A058B6" w:rsidRDefault="00647C6B" w:rsidP="009C0D79">
            <w:pPr>
              <w:pStyle w:val="Tabletext"/>
            </w:pPr>
            <w:r w:rsidRPr="00A058B6">
              <w:t>6</w:t>
            </w:r>
          </w:p>
        </w:tc>
        <w:tc>
          <w:tcPr>
            <w:tcW w:w="2487" w:type="pct"/>
            <w:shd w:val="clear" w:color="auto" w:fill="auto"/>
            <w:vAlign w:val="center"/>
            <w:hideMark/>
          </w:tcPr>
          <w:p w14:paraId="4ED68990" w14:textId="77777777" w:rsidR="00647C6B" w:rsidRPr="00A058B6" w:rsidRDefault="00647C6B" w:rsidP="009C0D79">
            <w:pPr>
              <w:pStyle w:val="Tabletext"/>
            </w:pPr>
            <w:r w:rsidRPr="00A058B6">
              <w:t>0</w:t>
            </w:r>
            <w:r w:rsidR="00D7157D">
              <w:t>.</w:t>
            </w:r>
            <w:r w:rsidRPr="00A058B6">
              <w:t>9090</w:t>
            </w:r>
          </w:p>
        </w:tc>
      </w:tr>
      <w:tr w:rsidR="00647C6B" w:rsidRPr="00A058B6" w14:paraId="6D1AFF7D" w14:textId="77777777" w:rsidTr="00CC1399">
        <w:trPr>
          <w:trHeight w:val="300"/>
        </w:trPr>
        <w:tc>
          <w:tcPr>
            <w:tcW w:w="2513" w:type="pct"/>
            <w:shd w:val="clear" w:color="auto" w:fill="auto"/>
            <w:hideMark/>
          </w:tcPr>
          <w:p w14:paraId="12657D84" w14:textId="77777777" w:rsidR="00647C6B" w:rsidRPr="00A058B6" w:rsidRDefault="00647C6B" w:rsidP="009C0D79">
            <w:pPr>
              <w:pStyle w:val="Tabletext"/>
            </w:pPr>
            <w:r w:rsidRPr="00A058B6">
              <w:t>5</w:t>
            </w:r>
          </w:p>
        </w:tc>
        <w:tc>
          <w:tcPr>
            <w:tcW w:w="2487" w:type="pct"/>
            <w:shd w:val="clear" w:color="auto" w:fill="auto"/>
            <w:vAlign w:val="center"/>
            <w:hideMark/>
          </w:tcPr>
          <w:p w14:paraId="5A8CF835" w14:textId="77777777" w:rsidR="00647C6B" w:rsidRPr="00A058B6" w:rsidRDefault="00647C6B" w:rsidP="009C0D79">
            <w:pPr>
              <w:pStyle w:val="Tabletext"/>
            </w:pPr>
            <w:r w:rsidRPr="00A058B6">
              <w:t>0</w:t>
            </w:r>
            <w:r w:rsidR="00D7157D">
              <w:t>.</w:t>
            </w:r>
            <w:r w:rsidRPr="00A058B6">
              <w:t>9237</w:t>
            </w:r>
          </w:p>
        </w:tc>
      </w:tr>
      <w:tr w:rsidR="00647C6B" w:rsidRPr="00A058B6" w14:paraId="27E407CA" w14:textId="77777777" w:rsidTr="00CC1399">
        <w:trPr>
          <w:trHeight w:val="300"/>
        </w:trPr>
        <w:tc>
          <w:tcPr>
            <w:tcW w:w="2513" w:type="pct"/>
            <w:shd w:val="clear" w:color="auto" w:fill="auto"/>
            <w:hideMark/>
          </w:tcPr>
          <w:p w14:paraId="3FC85060" w14:textId="77777777" w:rsidR="00647C6B" w:rsidRPr="00A058B6" w:rsidRDefault="00647C6B" w:rsidP="009C0D79">
            <w:pPr>
              <w:pStyle w:val="Tabletext"/>
            </w:pPr>
            <w:r w:rsidRPr="00A058B6">
              <w:t>4</w:t>
            </w:r>
          </w:p>
        </w:tc>
        <w:tc>
          <w:tcPr>
            <w:tcW w:w="2487" w:type="pct"/>
            <w:shd w:val="clear" w:color="auto" w:fill="auto"/>
            <w:vAlign w:val="center"/>
            <w:hideMark/>
          </w:tcPr>
          <w:p w14:paraId="02C0575C" w14:textId="77777777" w:rsidR="00647C6B" w:rsidRPr="00A058B6" w:rsidRDefault="00647C6B" w:rsidP="009C0D79">
            <w:pPr>
              <w:pStyle w:val="Tabletext"/>
            </w:pPr>
            <w:r w:rsidRPr="00A058B6">
              <w:t>0</w:t>
            </w:r>
            <w:r w:rsidR="00D7157D">
              <w:t>.</w:t>
            </w:r>
            <w:r w:rsidRPr="00A058B6">
              <w:t>9337</w:t>
            </w:r>
          </w:p>
        </w:tc>
      </w:tr>
      <w:tr w:rsidR="00647C6B" w:rsidRPr="00A058B6" w14:paraId="093A7FE0" w14:textId="77777777" w:rsidTr="00CC1399">
        <w:trPr>
          <w:trHeight w:val="300"/>
        </w:trPr>
        <w:tc>
          <w:tcPr>
            <w:tcW w:w="2513" w:type="pct"/>
            <w:shd w:val="clear" w:color="auto" w:fill="auto"/>
            <w:hideMark/>
          </w:tcPr>
          <w:p w14:paraId="720BA008" w14:textId="77777777" w:rsidR="00647C6B" w:rsidRPr="00A058B6" w:rsidRDefault="00647C6B" w:rsidP="009C0D79">
            <w:pPr>
              <w:pStyle w:val="Tabletext"/>
            </w:pPr>
            <w:r w:rsidRPr="00A058B6">
              <w:t>3</w:t>
            </w:r>
          </w:p>
        </w:tc>
        <w:tc>
          <w:tcPr>
            <w:tcW w:w="2487" w:type="pct"/>
            <w:shd w:val="clear" w:color="auto" w:fill="auto"/>
            <w:vAlign w:val="center"/>
            <w:hideMark/>
          </w:tcPr>
          <w:p w14:paraId="430746F8" w14:textId="77777777" w:rsidR="00647C6B" w:rsidRPr="00A058B6" w:rsidRDefault="00647C6B" w:rsidP="009C0D79">
            <w:pPr>
              <w:pStyle w:val="Tabletext"/>
            </w:pPr>
            <w:r w:rsidRPr="00A058B6">
              <w:t>0</w:t>
            </w:r>
            <w:r w:rsidR="00D7157D">
              <w:t>.</w:t>
            </w:r>
            <w:r w:rsidRPr="00A058B6">
              <w:t>9458</w:t>
            </w:r>
          </w:p>
        </w:tc>
      </w:tr>
      <w:tr w:rsidR="00647C6B" w:rsidRPr="00A058B6" w14:paraId="2EC372FC" w14:textId="77777777" w:rsidTr="00CC1399">
        <w:trPr>
          <w:trHeight w:val="300"/>
        </w:trPr>
        <w:tc>
          <w:tcPr>
            <w:tcW w:w="2513" w:type="pct"/>
            <w:shd w:val="clear" w:color="auto" w:fill="auto"/>
            <w:hideMark/>
          </w:tcPr>
          <w:p w14:paraId="24485772" w14:textId="77777777" w:rsidR="00647C6B" w:rsidRPr="00A058B6" w:rsidRDefault="00647C6B" w:rsidP="009C0D79">
            <w:pPr>
              <w:pStyle w:val="Tabletext"/>
            </w:pPr>
            <w:r w:rsidRPr="00A058B6">
              <w:t>2</w:t>
            </w:r>
          </w:p>
        </w:tc>
        <w:tc>
          <w:tcPr>
            <w:tcW w:w="2487" w:type="pct"/>
            <w:shd w:val="clear" w:color="auto" w:fill="auto"/>
            <w:vAlign w:val="center"/>
            <w:hideMark/>
          </w:tcPr>
          <w:p w14:paraId="064F6432" w14:textId="77777777" w:rsidR="00647C6B" w:rsidRPr="00A058B6" w:rsidRDefault="00647C6B" w:rsidP="009C0D79">
            <w:pPr>
              <w:pStyle w:val="Tabletext"/>
            </w:pPr>
            <w:r w:rsidRPr="00A058B6">
              <w:t>0</w:t>
            </w:r>
            <w:r w:rsidR="00D7157D">
              <w:t>.</w:t>
            </w:r>
            <w:r w:rsidRPr="00A058B6">
              <w:t>9605</w:t>
            </w:r>
          </w:p>
        </w:tc>
      </w:tr>
      <w:tr w:rsidR="00647C6B" w:rsidRPr="00A058B6" w14:paraId="2158F551" w14:textId="77777777" w:rsidTr="00CC1399">
        <w:trPr>
          <w:trHeight w:val="300"/>
        </w:trPr>
        <w:tc>
          <w:tcPr>
            <w:tcW w:w="2513" w:type="pct"/>
            <w:tcBorders>
              <w:bottom w:val="single" w:sz="2" w:space="0" w:color="auto"/>
            </w:tcBorders>
            <w:shd w:val="clear" w:color="auto" w:fill="auto"/>
            <w:hideMark/>
          </w:tcPr>
          <w:p w14:paraId="1B1EF674" w14:textId="77777777" w:rsidR="00647C6B" w:rsidRPr="00A058B6" w:rsidRDefault="00647C6B" w:rsidP="009C0D79">
            <w:pPr>
              <w:pStyle w:val="Tabletext"/>
            </w:pPr>
            <w:r w:rsidRPr="00A058B6">
              <w:t>1</w:t>
            </w:r>
          </w:p>
        </w:tc>
        <w:tc>
          <w:tcPr>
            <w:tcW w:w="2487" w:type="pct"/>
            <w:tcBorders>
              <w:bottom w:val="single" w:sz="2" w:space="0" w:color="auto"/>
            </w:tcBorders>
            <w:shd w:val="clear" w:color="auto" w:fill="auto"/>
            <w:vAlign w:val="center"/>
            <w:hideMark/>
          </w:tcPr>
          <w:p w14:paraId="0DE18FDE" w14:textId="77777777" w:rsidR="00647C6B" w:rsidRPr="00A058B6" w:rsidRDefault="00647C6B" w:rsidP="009C0D79">
            <w:pPr>
              <w:pStyle w:val="Tabletext"/>
            </w:pPr>
            <w:r w:rsidRPr="00A058B6">
              <w:t>0</w:t>
            </w:r>
            <w:r w:rsidR="00D7157D">
              <w:t>.</w:t>
            </w:r>
            <w:r w:rsidRPr="00A058B6">
              <w:t>9783</w:t>
            </w:r>
          </w:p>
        </w:tc>
      </w:tr>
      <w:tr w:rsidR="00647C6B" w:rsidRPr="00A058B6" w14:paraId="00856EE1" w14:textId="77777777" w:rsidTr="00CC1399">
        <w:trPr>
          <w:trHeight w:val="300"/>
        </w:trPr>
        <w:tc>
          <w:tcPr>
            <w:tcW w:w="2513" w:type="pct"/>
            <w:tcBorders>
              <w:top w:val="single" w:sz="2" w:space="0" w:color="auto"/>
              <w:bottom w:val="single" w:sz="12" w:space="0" w:color="auto"/>
            </w:tcBorders>
            <w:shd w:val="clear" w:color="auto" w:fill="auto"/>
            <w:hideMark/>
          </w:tcPr>
          <w:p w14:paraId="6CC7EAB5" w14:textId="77777777" w:rsidR="00647C6B" w:rsidRPr="00A058B6" w:rsidRDefault="00647C6B" w:rsidP="009C0D79">
            <w:pPr>
              <w:pStyle w:val="Tabletext"/>
            </w:pPr>
            <w:r w:rsidRPr="00A058B6">
              <w:t>0</w:t>
            </w:r>
          </w:p>
        </w:tc>
        <w:tc>
          <w:tcPr>
            <w:tcW w:w="2487" w:type="pct"/>
            <w:tcBorders>
              <w:top w:val="single" w:sz="2" w:space="0" w:color="auto"/>
              <w:bottom w:val="single" w:sz="12" w:space="0" w:color="auto"/>
            </w:tcBorders>
            <w:shd w:val="clear" w:color="auto" w:fill="auto"/>
            <w:vAlign w:val="center"/>
            <w:hideMark/>
          </w:tcPr>
          <w:p w14:paraId="4C840A21" w14:textId="77777777" w:rsidR="00647C6B" w:rsidRPr="00A058B6" w:rsidRDefault="00647C6B" w:rsidP="009C0D79">
            <w:pPr>
              <w:pStyle w:val="Tabletext"/>
            </w:pPr>
            <w:r w:rsidRPr="00A058B6">
              <w:t>1</w:t>
            </w:r>
            <w:r w:rsidR="00D7157D">
              <w:t>.</w:t>
            </w:r>
            <w:r w:rsidRPr="00A058B6">
              <w:t>0000</w:t>
            </w:r>
          </w:p>
        </w:tc>
      </w:tr>
    </w:tbl>
    <w:p w14:paraId="19FB6DE1" w14:textId="77777777" w:rsidR="00647C6B" w:rsidRPr="00A058B6" w:rsidRDefault="006211C7" w:rsidP="00647C6B">
      <w:pPr>
        <w:pStyle w:val="ActHead2"/>
        <w:pageBreakBefore/>
      </w:pPr>
      <w:bookmarkStart w:id="242" w:name="_Toc188350720"/>
      <w:r w:rsidRPr="00423C34">
        <w:rPr>
          <w:rStyle w:val="CharPartNo"/>
        </w:rPr>
        <w:t>Part 3</w:t>
      </w:r>
      <w:r w:rsidR="00647C6B" w:rsidRPr="00A058B6">
        <w:t>—</w:t>
      </w:r>
      <w:r w:rsidR="00647C6B" w:rsidRPr="00423C34">
        <w:rPr>
          <w:rStyle w:val="CharPartText"/>
        </w:rPr>
        <w:t>Interest relating to current employment—benefit payable only as pension</w:t>
      </w:r>
      <w:r w:rsidR="009072C4" w:rsidRPr="00423C34">
        <w:rPr>
          <w:rStyle w:val="CharPartText"/>
        </w:rPr>
        <w:t>, and member spouse’s age is 65 years or less</w:t>
      </w:r>
      <w:bookmarkEnd w:id="242"/>
    </w:p>
    <w:p w14:paraId="5DB316CC" w14:textId="77777777" w:rsidR="00A730DD" w:rsidRPr="00423C34" w:rsidRDefault="00A730DD" w:rsidP="00A730DD">
      <w:pPr>
        <w:pStyle w:val="Header"/>
      </w:pPr>
      <w:r w:rsidRPr="00423C34">
        <w:rPr>
          <w:rStyle w:val="CharDivNo"/>
        </w:rPr>
        <w:t xml:space="preserve"> </w:t>
      </w:r>
      <w:r w:rsidRPr="00423C34">
        <w:rPr>
          <w:rStyle w:val="CharDivText"/>
        </w:rPr>
        <w:t xml:space="preserve"> </w:t>
      </w:r>
    </w:p>
    <w:p w14:paraId="3A7E6F15" w14:textId="79E1FC27" w:rsidR="00647C6B" w:rsidRPr="00A058B6" w:rsidRDefault="00D7157D" w:rsidP="00647C6B">
      <w:pPr>
        <w:pStyle w:val="ActHead5"/>
      </w:pPr>
      <w:bookmarkStart w:id="243" w:name="_Toc188350721"/>
      <w:r w:rsidRPr="00423C34">
        <w:rPr>
          <w:rStyle w:val="CharSectno"/>
        </w:rPr>
        <w:t>5</w:t>
      </w:r>
      <w:r w:rsidR="00647C6B" w:rsidRPr="00A058B6">
        <w:t xml:space="preserve">  Method</w:t>
      </w:r>
      <w:bookmarkEnd w:id="243"/>
    </w:p>
    <w:p w14:paraId="1F78480E" w14:textId="77777777" w:rsidR="00647C6B" w:rsidRPr="00A058B6" w:rsidRDefault="00647C6B" w:rsidP="00647C6B">
      <w:pPr>
        <w:pStyle w:val="subsection"/>
      </w:pPr>
      <w:r w:rsidRPr="00A058B6">
        <w:rPr>
          <w:color w:val="000000"/>
        </w:rPr>
        <w:tab/>
        <w:t>(1)</w:t>
      </w:r>
      <w:r w:rsidRPr="00A058B6">
        <w:rPr>
          <w:color w:val="000000"/>
        </w:rPr>
        <w:tab/>
        <w:t>The method is:</w:t>
      </w:r>
    </w:p>
    <w:p w14:paraId="6471093D" w14:textId="44048C7E" w:rsidR="00E5000B" w:rsidRDefault="00291305" w:rsidP="00E5000B">
      <w:pPr>
        <w:pStyle w:val="subsection2"/>
      </w:pPr>
      <w:r w:rsidRPr="00DB52A7">
        <w:rPr>
          <w:position w:val="-10"/>
        </w:rPr>
        <w:object w:dxaOrig="999" w:dyaOrig="420" w14:anchorId="7B695A39">
          <v:shape id="_x0000_i1064" type="#_x0000_t75" alt="Start formula VN times f subscript y subscript plus subscript m end formula" style="width:50pt;height:19.7pt" o:ole="">
            <v:imagedata r:id="rId114" o:title=""/>
          </v:shape>
          <o:OLEObject Type="Embed" ProgID="Equation.DSMT4" ShapeID="_x0000_i1064" DrawAspect="Content" ObjectID="_1801634293" r:id="rId115"/>
        </w:object>
      </w:r>
    </w:p>
    <w:p w14:paraId="5F7C664A" w14:textId="77777777" w:rsidR="00647C6B" w:rsidRPr="00A058B6" w:rsidRDefault="00647C6B" w:rsidP="00647C6B">
      <w:pPr>
        <w:pStyle w:val="subsection2"/>
      </w:pPr>
      <w:r w:rsidRPr="00A058B6">
        <w:t>where:</w:t>
      </w:r>
    </w:p>
    <w:p w14:paraId="426D0BC2" w14:textId="77777777" w:rsidR="00D12E49" w:rsidRPr="00A058B6" w:rsidRDefault="00D12E49" w:rsidP="00D12E49">
      <w:pPr>
        <w:pStyle w:val="Definition"/>
      </w:pPr>
      <w:r w:rsidRPr="00A058B6">
        <w:rPr>
          <w:b/>
          <w:i/>
        </w:rPr>
        <w:t>VN</w:t>
      </w:r>
      <w:r w:rsidRPr="00A058B6">
        <w:t xml:space="preserve"> </w:t>
      </w:r>
      <w:r w:rsidR="003B7293">
        <w:t>means</w:t>
      </w:r>
      <w:r w:rsidR="003B7293" w:rsidRPr="00A058B6">
        <w:t xml:space="preserve"> </w:t>
      </w:r>
      <w:r w:rsidRPr="00A058B6">
        <w:t xml:space="preserve">the lump sum value of the accrued pension benefit in respect of the interest at the member’s retirement age, calculated in accordance with </w:t>
      </w:r>
      <w:r>
        <w:t>subclause (</w:t>
      </w:r>
      <w:r w:rsidRPr="00A058B6">
        <w:t>2)</w:t>
      </w:r>
      <w:r w:rsidR="00D7157D">
        <w:t>.</w:t>
      </w:r>
    </w:p>
    <w:p w14:paraId="6C68FA60" w14:textId="37B682A1" w:rsidR="00CE3ECD" w:rsidRPr="00A058B6" w:rsidRDefault="00CE3ECD" w:rsidP="00CE3ECD">
      <w:pPr>
        <w:pStyle w:val="Definition"/>
      </w:pPr>
      <w:r w:rsidRPr="00A058B6">
        <w:rPr>
          <w:b/>
          <w:i/>
        </w:rPr>
        <w:t>f</w:t>
      </w:r>
      <w:r w:rsidRPr="00A058B6">
        <w:rPr>
          <w:b/>
          <w:i/>
          <w:vertAlign w:val="subscript"/>
        </w:rPr>
        <w:t>y+m</w:t>
      </w:r>
      <w:r w:rsidRPr="00A058B6">
        <w:t xml:space="preserve"> </w:t>
      </w:r>
      <w:r w:rsidR="003B7293">
        <w:t>means</w:t>
      </w:r>
      <w:r w:rsidR="003B7293" w:rsidRPr="00A058B6">
        <w:t xml:space="preserve"> </w:t>
      </w:r>
      <w:r w:rsidRPr="00A058B6">
        <w:t>the lump sum valuation factor calculated in accordance with sub</w:t>
      </w:r>
      <w:r w:rsidR="005A1165">
        <w:t>clause </w:t>
      </w:r>
      <w:r w:rsidR="00D7157D">
        <w:t>3</w:t>
      </w:r>
      <w:r w:rsidRPr="00A058B6">
        <w:t>(2) of this Schedule</w:t>
      </w:r>
      <w:r w:rsidR="00D7157D">
        <w:t>.</w:t>
      </w:r>
    </w:p>
    <w:p w14:paraId="125A1A1B" w14:textId="77777777" w:rsidR="00647C6B" w:rsidRPr="00A058B6" w:rsidRDefault="00647C6B" w:rsidP="00647C6B">
      <w:pPr>
        <w:pStyle w:val="subsection"/>
      </w:pPr>
      <w:r w:rsidRPr="00A058B6">
        <w:tab/>
        <w:t>(2)</w:t>
      </w:r>
      <w:r w:rsidRPr="00A058B6">
        <w:tab/>
        <w:t xml:space="preserve">For the purposes of </w:t>
      </w:r>
      <w:r w:rsidR="00B05FD6">
        <w:t>subclause (</w:t>
      </w:r>
      <w:r w:rsidRPr="00A058B6">
        <w:t>1), the lump sum value of the accrued pension benefit in respect of the interest at the member’s retirement age (</w:t>
      </w:r>
      <w:r w:rsidRPr="00A058B6">
        <w:rPr>
          <w:b/>
          <w:i/>
        </w:rPr>
        <w:t>VN</w:t>
      </w:r>
      <w:r w:rsidRPr="00A058B6">
        <w:t>) is calculated as follows:</w:t>
      </w:r>
    </w:p>
    <w:p w14:paraId="25A84092" w14:textId="088B6022" w:rsidR="00824FD2" w:rsidRDefault="00A71446" w:rsidP="00824FD2">
      <w:pPr>
        <w:pStyle w:val="subsection2"/>
      </w:pPr>
      <w:r w:rsidRPr="00F56F12">
        <w:rPr>
          <w:position w:val="-26"/>
        </w:rPr>
        <w:object w:dxaOrig="2100" w:dyaOrig="720" w14:anchorId="13B7278F">
          <v:shape id="_x0000_i1065" type="#_x0000_t75" alt="Start formula B times open bracket P subscript ra plus open bracket R subscript sa times r close bracket close bracket end formula" style="width:103.65pt;height:37.15pt" o:ole="">
            <v:imagedata r:id="rId116" o:title=""/>
          </v:shape>
          <o:OLEObject Type="Embed" ProgID="Equation.DSMT4" ShapeID="_x0000_i1065" DrawAspect="Content" ObjectID="_1801634294" r:id="rId117"/>
        </w:object>
      </w:r>
    </w:p>
    <w:p w14:paraId="42C1F4CF" w14:textId="77777777" w:rsidR="00647C6B" w:rsidRPr="00A058B6" w:rsidRDefault="00647C6B" w:rsidP="00647C6B">
      <w:pPr>
        <w:pStyle w:val="subsection2"/>
      </w:pPr>
      <w:r w:rsidRPr="00A058B6">
        <w:t>where:</w:t>
      </w:r>
    </w:p>
    <w:p w14:paraId="25D985E3" w14:textId="77777777" w:rsidR="00647C6B" w:rsidRPr="00A058B6" w:rsidRDefault="00647C6B" w:rsidP="00647C6B">
      <w:pPr>
        <w:pStyle w:val="Definition"/>
      </w:pPr>
      <w:r w:rsidRPr="00A058B6">
        <w:rPr>
          <w:b/>
          <w:i/>
        </w:rPr>
        <w:t>B</w:t>
      </w:r>
      <w:r w:rsidRPr="00A058B6">
        <w:t xml:space="preserve"> </w:t>
      </w:r>
      <w:r w:rsidR="003B7293">
        <w:t>means</w:t>
      </w:r>
      <w:r w:rsidR="003B7293" w:rsidRPr="00A058B6">
        <w:t xml:space="preserve"> </w:t>
      </w:r>
      <w:r w:rsidRPr="00A058B6">
        <w:t xml:space="preserve">the value of the pension benefit that had accrued in respect of the interest at the relevant date, being the product of the member’s accrued benefit multiple for a pension, as provided by the trustee under </w:t>
      </w:r>
      <w:r w:rsidR="00AF1E4E">
        <w:t>section 9</w:t>
      </w:r>
      <w:r w:rsidRPr="00A058B6">
        <w:t>0XZB or 90YZR of the Act, and the salary figure on which benefits in respect of the interest, at that date, would be based, assuming that the member were eligible to retire at that date</w:t>
      </w:r>
      <w:r w:rsidR="00D7157D">
        <w:t>.</w:t>
      </w:r>
    </w:p>
    <w:p w14:paraId="24F22364" w14:textId="77777777" w:rsidR="00647C6B" w:rsidRPr="00A058B6" w:rsidRDefault="00647C6B" w:rsidP="00647C6B">
      <w:pPr>
        <w:pStyle w:val="Definition"/>
      </w:pPr>
      <w:r w:rsidRPr="00A058B6">
        <w:rPr>
          <w:b/>
          <w:i/>
        </w:rPr>
        <w:t>P</w:t>
      </w:r>
      <w:r w:rsidRPr="00A058B6">
        <w:rPr>
          <w:b/>
          <w:i/>
          <w:vertAlign w:val="subscript"/>
        </w:rPr>
        <w:t>ra</w:t>
      </w:r>
      <w:r w:rsidRPr="00A058B6">
        <w:t xml:space="preserve"> </w:t>
      </w:r>
      <w:r w:rsidR="003B7293">
        <w:t>means</w:t>
      </w:r>
      <w:r w:rsidR="003B7293" w:rsidRPr="00A058B6">
        <w:t xml:space="preserve"> </w:t>
      </w:r>
      <w:r w:rsidRPr="00A058B6">
        <w:t>the pension valuation factor mentioned in the relevant clause of this Part that applies to the pension and the member’s retirement age</w:t>
      </w:r>
      <w:r w:rsidR="00D7157D">
        <w:t>.</w:t>
      </w:r>
    </w:p>
    <w:p w14:paraId="78448991" w14:textId="77777777" w:rsidR="00D12E49" w:rsidRPr="00A058B6" w:rsidRDefault="00D12E49" w:rsidP="00D12E49">
      <w:pPr>
        <w:pStyle w:val="Definition"/>
      </w:pPr>
      <w:r w:rsidRPr="00A058B6">
        <w:rPr>
          <w:b/>
          <w:i/>
        </w:rPr>
        <w:t>R</w:t>
      </w:r>
      <w:r w:rsidRPr="00A058B6">
        <w:rPr>
          <w:b/>
          <w:i/>
          <w:vertAlign w:val="subscript"/>
        </w:rPr>
        <w:t>sa</w:t>
      </w:r>
      <w:r w:rsidRPr="00A058B6">
        <w:t xml:space="preserve"> </w:t>
      </w:r>
      <w:r w:rsidR="003B7293">
        <w:t>means</w:t>
      </w:r>
      <w:r w:rsidR="003B7293" w:rsidRPr="00A058B6">
        <w:t xml:space="preserve"> </w:t>
      </w:r>
      <w:r w:rsidRPr="00A058B6">
        <w:t>the reversion valuation factor mentioned in the relevant clause of this Part that applies to the pension and the member’s age in completed years at the relevant date</w:t>
      </w:r>
      <w:r w:rsidR="00D7157D">
        <w:t>.</w:t>
      </w:r>
    </w:p>
    <w:p w14:paraId="785E827F" w14:textId="1E30D72B" w:rsidR="000E4837" w:rsidRPr="00A058B6" w:rsidRDefault="000E4837" w:rsidP="000E4837">
      <w:pPr>
        <w:pStyle w:val="Definition"/>
      </w:pPr>
      <w:r w:rsidRPr="00A058B6">
        <w:rPr>
          <w:b/>
          <w:i/>
        </w:rPr>
        <w:t>r</w:t>
      </w:r>
      <w:r w:rsidRPr="00A058B6">
        <w:t xml:space="preserve"> </w:t>
      </w:r>
      <w:r w:rsidR="00F55E7A">
        <w:t>means</w:t>
      </w:r>
      <w:r w:rsidR="00F55E7A" w:rsidRPr="00A058B6">
        <w:t xml:space="preserve"> </w:t>
      </w:r>
      <w:r w:rsidRPr="00A058B6">
        <w:t>the proportion of payments in respect of the interest that a non</w:t>
      </w:r>
      <w:r w:rsidR="001952B3">
        <w:noBreakHyphen/>
      </w:r>
      <w:r w:rsidRPr="00A058B6">
        <w:t xml:space="preserve">member spouse would receive as the reversionary beneficiary of the member, on the death of the member, as provided by the trustee under </w:t>
      </w:r>
      <w:r w:rsidR="00AF1E4E">
        <w:t>section 9</w:t>
      </w:r>
      <w:r w:rsidRPr="00A058B6">
        <w:t>0XZB or 90YZR of the Act</w:t>
      </w:r>
      <w:r w:rsidR="00D7157D">
        <w:t>.</w:t>
      </w:r>
    </w:p>
    <w:p w14:paraId="5CC14808" w14:textId="6FBE2364" w:rsidR="00647C6B" w:rsidRPr="00A058B6" w:rsidRDefault="00D7157D" w:rsidP="00647C6B">
      <w:pPr>
        <w:pStyle w:val="ActHead5"/>
      </w:pPr>
      <w:bookmarkStart w:id="244" w:name="_Toc188350722"/>
      <w:r w:rsidRPr="00423C34">
        <w:rPr>
          <w:rStyle w:val="CharSectno"/>
        </w:rPr>
        <w:t>6</w:t>
      </w:r>
      <w:r w:rsidR="00647C6B" w:rsidRPr="00A058B6">
        <w:t xml:space="preserve">  Valuation factors—no guarantee period—pension not indexed</w:t>
      </w:r>
      <w:bookmarkEnd w:id="244"/>
    </w:p>
    <w:p w14:paraId="7DF54B85"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465F2DBE" w14:textId="77777777" w:rsidR="00647C6B" w:rsidRPr="00A058B6" w:rsidRDefault="00647C6B" w:rsidP="00647C6B">
      <w:pPr>
        <w:pStyle w:val="paragraph"/>
      </w:pPr>
      <w:r w:rsidRPr="00A058B6">
        <w:tab/>
        <w:t>(a)</w:t>
      </w:r>
      <w:r w:rsidRPr="00A058B6">
        <w:tab/>
        <w:t>has no guarantee period; and</w:t>
      </w:r>
    </w:p>
    <w:p w14:paraId="4C6AB8C0" w14:textId="77777777" w:rsidR="00647C6B" w:rsidRPr="00A058B6" w:rsidRDefault="00647C6B" w:rsidP="00647C6B">
      <w:pPr>
        <w:pStyle w:val="paragraph"/>
      </w:pPr>
      <w:r w:rsidRPr="00A058B6">
        <w:tab/>
        <w:t>(b)</w:t>
      </w:r>
      <w:r w:rsidRPr="00A058B6">
        <w:tab/>
        <w:t>is not indexed</w:t>
      </w:r>
      <w:r w:rsidR="00D7157D">
        <w:t>.</w:t>
      </w:r>
    </w:p>
    <w:p w14:paraId="353E78B7"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04C13C98" w14:textId="77777777" w:rsidTr="00963115">
        <w:trPr>
          <w:trHeight w:val="375"/>
          <w:tblHeader/>
          <w:jc w:val="right"/>
        </w:trPr>
        <w:tc>
          <w:tcPr>
            <w:tcW w:w="1705" w:type="pct"/>
            <w:vMerge w:val="restart"/>
            <w:tcBorders>
              <w:top w:val="single" w:sz="12" w:space="0" w:color="auto"/>
              <w:bottom w:val="single" w:sz="12" w:space="0" w:color="auto"/>
            </w:tcBorders>
          </w:tcPr>
          <w:p w14:paraId="38A9CB97" w14:textId="77777777" w:rsidR="00647C6B" w:rsidRPr="00A058B6" w:rsidRDefault="00647C6B" w:rsidP="009C0D79">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64F421CA" w14:textId="77777777" w:rsidR="00647C6B" w:rsidRPr="00A058B6" w:rsidRDefault="00647C6B" w:rsidP="009C0D79">
            <w:pPr>
              <w:pStyle w:val="TableHeading"/>
              <w:rPr>
                <w:snapToGrid w:val="0"/>
              </w:rPr>
            </w:pPr>
            <w:r w:rsidRPr="00A058B6">
              <w:rPr>
                <w:snapToGrid w:val="0"/>
              </w:rPr>
              <w:t>Pension valuation factors</w:t>
            </w:r>
            <w:r w:rsidRPr="00A058B6">
              <w:rPr>
                <w:snapToGrid w:val="0"/>
              </w:rPr>
              <w:br/>
              <w:t>No guarantee period—pension not indexed</w:t>
            </w:r>
          </w:p>
        </w:tc>
      </w:tr>
      <w:tr w:rsidR="00647C6B" w:rsidRPr="00A058B6" w14:paraId="5F62B7A3" w14:textId="77777777" w:rsidTr="00963115">
        <w:trPr>
          <w:trHeight w:val="25"/>
          <w:tblHeader/>
          <w:jc w:val="right"/>
        </w:trPr>
        <w:tc>
          <w:tcPr>
            <w:tcW w:w="1705" w:type="pct"/>
            <w:vMerge/>
            <w:tcBorders>
              <w:bottom w:val="single" w:sz="12" w:space="0" w:color="auto"/>
            </w:tcBorders>
          </w:tcPr>
          <w:p w14:paraId="043E5084" w14:textId="77777777" w:rsidR="00647C6B" w:rsidRPr="00A058B6" w:rsidRDefault="00647C6B" w:rsidP="009C0D79">
            <w:pPr>
              <w:pStyle w:val="TableHeading"/>
              <w:rPr>
                <w:snapToGrid w:val="0"/>
              </w:rPr>
            </w:pPr>
          </w:p>
        </w:tc>
        <w:tc>
          <w:tcPr>
            <w:tcW w:w="1429" w:type="pct"/>
            <w:tcBorders>
              <w:top w:val="single" w:sz="4" w:space="0" w:color="auto"/>
              <w:bottom w:val="single" w:sz="12" w:space="0" w:color="auto"/>
            </w:tcBorders>
          </w:tcPr>
          <w:p w14:paraId="65A37B64" w14:textId="77777777" w:rsidR="00647C6B" w:rsidRPr="00A058B6" w:rsidRDefault="00647C6B" w:rsidP="009C0D79">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4BC1A84F" w14:textId="77777777" w:rsidR="00647C6B" w:rsidRPr="00A058B6" w:rsidRDefault="00647C6B" w:rsidP="009C0D79">
            <w:pPr>
              <w:pStyle w:val="TableHeading"/>
              <w:rPr>
                <w:snapToGrid w:val="0"/>
              </w:rPr>
            </w:pPr>
            <w:r w:rsidRPr="00A058B6">
              <w:rPr>
                <w:snapToGrid w:val="0"/>
              </w:rPr>
              <w:t>Female</w:t>
            </w:r>
          </w:p>
        </w:tc>
      </w:tr>
      <w:tr w:rsidR="00647C6B" w:rsidRPr="00A058B6" w14:paraId="2EE264EF" w14:textId="77777777" w:rsidTr="00963115">
        <w:trPr>
          <w:trHeight w:val="245"/>
          <w:jc w:val="right"/>
        </w:trPr>
        <w:tc>
          <w:tcPr>
            <w:tcW w:w="1705" w:type="pct"/>
            <w:tcBorders>
              <w:top w:val="single" w:sz="12" w:space="0" w:color="auto"/>
              <w:bottom w:val="single" w:sz="4" w:space="0" w:color="auto"/>
            </w:tcBorders>
          </w:tcPr>
          <w:p w14:paraId="692BD95B"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4" w:space="0" w:color="auto"/>
              <w:right w:val="nil"/>
            </w:tcBorders>
            <w:shd w:val="clear" w:color="auto" w:fill="auto"/>
            <w:vAlign w:val="bottom"/>
          </w:tcPr>
          <w:p w14:paraId="523E5C89" w14:textId="77777777" w:rsidR="00647C6B" w:rsidRPr="00A058B6" w:rsidRDefault="00647C6B" w:rsidP="009C0D79">
            <w:pPr>
              <w:pStyle w:val="Tabletext"/>
            </w:pPr>
            <w:r w:rsidRPr="00A058B6">
              <w:t>14</w:t>
            </w:r>
            <w:r w:rsidR="00D7157D">
              <w:t>.</w:t>
            </w:r>
            <w:r w:rsidRPr="00A058B6">
              <w:t>3164</w:t>
            </w:r>
          </w:p>
        </w:tc>
        <w:tc>
          <w:tcPr>
            <w:tcW w:w="1866" w:type="pct"/>
            <w:tcBorders>
              <w:top w:val="single" w:sz="12" w:space="0" w:color="auto"/>
              <w:left w:val="nil"/>
              <w:bottom w:val="single" w:sz="2" w:space="0" w:color="auto"/>
              <w:right w:val="nil"/>
            </w:tcBorders>
            <w:shd w:val="clear" w:color="auto" w:fill="auto"/>
            <w:vAlign w:val="center"/>
          </w:tcPr>
          <w:p w14:paraId="3D70E3DD" w14:textId="77777777" w:rsidR="00647C6B" w:rsidRPr="00A058B6" w:rsidRDefault="00647C6B" w:rsidP="009C0D79">
            <w:pPr>
              <w:pStyle w:val="Tabletext"/>
            </w:pPr>
            <w:r w:rsidRPr="00A058B6">
              <w:t>14</w:t>
            </w:r>
            <w:r w:rsidR="00D7157D">
              <w:t>.</w:t>
            </w:r>
            <w:r w:rsidRPr="00A058B6">
              <w:t>7007</w:t>
            </w:r>
          </w:p>
        </w:tc>
      </w:tr>
      <w:tr w:rsidR="00647C6B" w:rsidRPr="00A058B6" w14:paraId="70747DA3" w14:textId="77777777" w:rsidTr="00963115">
        <w:trPr>
          <w:trHeight w:val="245"/>
          <w:jc w:val="right"/>
        </w:trPr>
        <w:tc>
          <w:tcPr>
            <w:tcW w:w="1705" w:type="pct"/>
            <w:tcBorders>
              <w:top w:val="single" w:sz="4" w:space="0" w:color="auto"/>
              <w:bottom w:val="single" w:sz="4" w:space="0" w:color="auto"/>
            </w:tcBorders>
          </w:tcPr>
          <w:p w14:paraId="3E4701E3" w14:textId="77777777" w:rsidR="00647C6B" w:rsidRPr="00A058B6" w:rsidRDefault="00647C6B" w:rsidP="009C0D79">
            <w:pPr>
              <w:pStyle w:val="Tabletext"/>
            </w:pPr>
            <w:r w:rsidRPr="00A058B6">
              <w:t>56</w:t>
            </w:r>
          </w:p>
        </w:tc>
        <w:tc>
          <w:tcPr>
            <w:tcW w:w="1429" w:type="pct"/>
            <w:tcBorders>
              <w:top w:val="single" w:sz="4" w:space="0" w:color="auto"/>
              <w:left w:val="nil"/>
              <w:bottom w:val="single" w:sz="4" w:space="0" w:color="auto"/>
              <w:right w:val="nil"/>
            </w:tcBorders>
            <w:shd w:val="clear" w:color="auto" w:fill="auto"/>
            <w:vAlign w:val="bottom"/>
          </w:tcPr>
          <w:p w14:paraId="45202BDE" w14:textId="77777777" w:rsidR="00647C6B" w:rsidRPr="00A058B6" w:rsidRDefault="00647C6B" w:rsidP="009C0D79">
            <w:pPr>
              <w:pStyle w:val="Tabletext"/>
            </w:pPr>
            <w:r w:rsidRPr="00A058B6">
              <w:t>14</w:t>
            </w:r>
            <w:r w:rsidR="00D7157D">
              <w:t>.</w:t>
            </w:r>
            <w:r w:rsidRPr="00A058B6">
              <w:t>1620</w:t>
            </w:r>
          </w:p>
        </w:tc>
        <w:tc>
          <w:tcPr>
            <w:tcW w:w="1866" w:type="pct"/>
            <w:tcBorders>
              <w:top w:val="single" w:sz="2" w:space="0" w:color="auto"/>
              <w:left w:val="nil"/>
              <w:bottom w:val="single" w:sz="2" w:space="0" w:color="auto"/>
              <w:right w:val="nil"/>
            </w:tcBorders>
            <w:shd w:val="clear" w:color="auto" w:fill="auto"/>
            <w:vAlign w:val="center"/>
          </w:tcPr>
          <w:p w14:paraId="7E3FCBA5" w14:textId="77777777" w:rsidR="00647C6B" w:rsidRPr="00A058B6" w:rsidRDefault="00647C6B" w:rsidP="009C0D79">
            <w:pPr>
              <w:pStyle w:val="Tabletext"/>
            </w:pPr>
            <w:r w:rsidRPr="00A058B6">
              <w:t>14</w:t>
            </w:r>
            <w:r w:rsidR="00D7157D">
              <w:t>.</w:t>
            </w:r>
            <w:r w:rsidRPr="00A058B6">
              <w:t>5602</w:t>
            </w:r>
          </w:p>
        </w:tc>
      </w:tr>
      <w:tr w:rsidR="00647C6B" w:rsidRPr="00A058B6" w14:paraId="7A8E4D23" w14:textId="77777777" w:rsidTr="00963115">
        <w:trPr>
          <w:trHeight w:val="245"/>
          <w:jc w:val="right"/>
        </w:trPr>
        <w:tc>
          <w:tcPr>
            <w:tcW w:w="1705" w:type="pct"/>
            <w:tcBorders>
              <w:top w:val="single" w:sz="4" w:space="0" w:color="auto"/>
              <w:bottom w:val="single" w:sz="4" w:space="0" w:color="auto"/>
            </w:tcBorders>
          </w:tcPr>
          <w:p w14:paraId="4004CA6E" w14:textId="77777777" w:rsidR="00647C6B" w:rsidRPr="00A058B6" w:rsidRDefault="00647C6B" w:rsidP="009C0D79">
            <w:pPr>
              <w:pStyle w:val="Tabletext"/>
            </w:pPr>
            <w:r w:rsidRPr="00A058B6">
              <w:t>57</w:t>
            </w:r>
          </w:p>
        </w:tc>
        <w:tc>
          <w:tcPr>
            <w:tcW w:w="1429" w:type="pct"/>
            <w:tcBorders>
              <w:top w:val="single" w:sz="4" w:space="0" w:color="auto"/>
              <w:left w:val="nil"/>
              <w:bottom w:val="single" w:sz="4" w:space="0" w:color="auto"/>
              <w:right w:val="nil"/>
            </w:tcBorders>
            <w:shd w:val="clear" w:color="auto" w:fill="auto"/>
            <w:vAlign w:val="bottom"/>
          </w:tcPr>
          <w:p w14:paraId="12D6AD50" w14:textId="77777777" w:rsidR="00647C6B" w:rsidRPr="00A058B6" w:rsidRDefault="00647C6B" w:rsidP="009C0D79">
            <w:pPr>
              <w:pStyle w:val="Tabletext"/>
            </w:pPr>
            <w:r w:rsidRPr="00A058B6">
              <w:t>13</w:t>
            </w:r>
            <w:r w:rsidR="00D7157D">
              <w:t>.</w:t>
            </w:r>
            <w:r w:rsidRPr="00A058B6">
              <w:t>9987</w:t>
            </w:r>
          </w:p>
        </w:tc>
        <w:tc>
          <w:tcPr>
            <w:tcW w:w="1866" w:type="pct"/>
            <w:tcBorders>
              <w:top w:val="single" w:sz="2" w:space="0" w:color="auto"/>
              <w:left w:val="nil"/>
              <w:bottom w:val="single" w:sz="2" w:space="0" w:color="auto"/>
              <w:right w:val="nil"/>
            </w:tcBorders>
            <w:shd w:val="clear" w:color="auto" w:fill="auto"/>
            <w:vAlign w:val="center"/>
          </w:tcPr>
          <w:p w14:paraId="50C39740" w14:textId="77777777" w:rsidR="00647C6B" w:rsidRPr="00A058B6" w:rsidRDefault="00647C6B" w:rsidP="009C0D79">
            <w:pPr>
              <w:pStyle w:val="Tabletext"/>
            </w:pPr>
            <w:r w:rsidRPr="00A058B6">
              <w:t>14</w:t>
            </w:r>
            <w:r w:rsidR="00D7157D">
              <w:t>.</w:t>
            </w:r>
            <w:r w:rsidRPr="00A058B6">
              <w:t>4126</w:t>
            </w:r>
          </w:p>
        </w:tc>
      </w:tr>
      <w:tr w:rsidR="00647C6B" w:rsidRPr="00A058B6" w14:paraId="024975A5" w14:textId="77777777" w:rsidTr="00963115">
        <w:trPr>
          <w:trHeight w:val="245"/>
          <w:jc w:val="right"/>
        </w:trPr>
        <w:tc>
          <w:tcPr>
            <w:tcW w:w="1705" w:type="pct"/>
            <w:tcBorders>
              <w:top w:val="single" w:sz="4" w:space="0" w:color="auto"/>
              <w:bottom w:val="single" w:sz="4" w:space="0" w:color="auto"/>
            </w:tcBorders>
          </w:tcPr>
          <w:p w14:paraId="40321E38" w14:textId="77777777" w:rsidR="00647C6B" w:rsidRPr="00A058B6" w:rsidRDefault="00647C6B" w:rsidP="009C0D79">
            <w:pPr>
              <w:pStyle w:val="Tabletext"/>
            </w:pPr>
            <w:r w:rsidRPr="00A058B6">
              <w:t>58</w:t>
            </w:r>
          </w:p>
        </w:tc>
        <w:tc>
          <w:tcPr>
            <w:tcW w:w="1429" w:type="pct"/>
            <w:tcBorders>
              <w:top w:val="single" w:sz="4" w:space="0" w:color="auto"/>
              <w:left w:val="nil"/>
              <w:bottom w:val="single" w:sz="4" w:space="0" w:color="auto"/>
              <w:right w:val="nil"/>
            </w:tcBorders>
            <w:shd w:val="clear" w:color="auto" w:fill="auto"/>
            <w:vAlign w:val="bottom"/>
          </w:tcPr>
          <w:p w14:paraId="5DBE1066" w14:textId="77777777" w:rsidR="00647C6B" w:rsidRPr="00A058B6" w:rsidRDefault="00647C6B" w:rsidP="009C0D79">
            <w:pPr>
              <w:pStyle w:val="Tabletext"/>
            </w:pPr>
            <w:r w:rsidRPr="00A058B6">
              <w:t>13</w:t>
            </w:r>
            <w:r w:rsidR="00D7157D">
              <w:t>.</w:t>
            </w:r>
            <w:r w:rsidRPr="00A058B6">
              <w:t>8258</w:t>
            </w:r>
          </w:p>
        </w:tc>
        <w:tc>
          <w:tcPr>
            <w:tcW w:w="1866" w:type="pct"/>
            <w:tcBorders>
              <w:top w:val="single" w:sz="2" w:space="0" w:color="auto"/>
              <w:left w:val="nil"/>
              <w:bottom w:val="single" w:sz="2" w:space="0" w:color="auto"/>
              <w:right w:val="nil"/>
            </w:tcBorders>
            <w:shd w:val="clear" w:color="auto" w:fill="auto"/>
            <w:vAlign w:val="center"/>
          </w:tcPr>
          <w:p w14:paraId="5F8812E3" w14:textId="77777777" w:rsidR="00647C6B" w:rsidRPr="00A058B6" w:rsidRDefault="00647C6B" w:rsidP="009C0D79">
            <w:pPr>
              <w:pStyle w:val="Tabletext"/>
            </w:pPr>
            <w:r w:rsidRPr="00A058B6">
              <w:t>14</w:t>
            </w:r>
            <w:r w:rsidR="00D7157D">
              <w:t>.</w:t>
            </w:r>
            <w:r w:rsidRPr="00A058B6">
              <w:t>2566</w:t>
            </w:r>
          </w:p>
        </w:tc>
      </w:tr>
      <w:tr w:rsidR="00647C6B" w:rsidRPr="00A058B6" w14:paraId="2742105C" w14:textId="77777777" w:rsidTr="00963115">
        <w:trPr>
          <w:trHeight w:val="245"/>
          <w:jc w:val="right"/>
        </w:trPr>
        <w:tc>
          <w:tcPr>
            <w:tcW w:w="1705" w:type="pct"/>
            <w:tcBorders>
              <w:top w:val="single" w:sz="4" w:space="0" w:color="auto"/>
              <w:bottom w:val="single" w:sz="4" w:space="0" w:color="auto"/>
            </w:tcBorders>
          </w:tcPr>
          <w:p w14:paraId="5732F2FD" w14:textId="77777777" w:rsidR="00647C6B" w:rsidRPr="00A058B6" w:rsidRDefault="00647C6B" w:rsidP="009C0D79">
            <w:pPr>
              <w:pStyle w:val="Tabletext"/>
            </w:pPr>
            <w:r w:rsidRPr="00A058B6">
              <w:t>59</w:t>
            </w:r>
          </w:p>
        </w:tc>
        <w:tc>
          <w:tcPr>
            <w:tcW w:w="1429" w:type="pct"/>
            <w:tcBorders>
              <w:top w:val="single" w:sz="4" w:space="0" w:color="auto"/>
              <w:left w:val="nil"/>
              <w:bottom w:val="single" w:sz="4" w:space="0" w:color="auto"/>
              <w:right w:val="nil"/>
            </w:tcBorders>
            <w:shd w:val="clear" w:color="auto" w:fill="auto"/>
            <w:vAlign w:val="bottom"/>
          </w:tcPr>
          <w:p w14:paraId="58A0A8A8" w14:textId="77777777" w:rsidR="00647C6B" w:rsidRPr="00A058B6" w:rsidRDefault="00647C6B" w:rsidP="009C0D79">
            <w:pPr>
              <w:pStyle w:val="Tabletext"/>
            </w:pPr>
            <w:r w:rsidRPr="00A058B6">
              <w:t>13</w:t>
            </w:r>
            <w:r w:rsidR="00D7157D">
              <w:t>.</w:t>
            </w:r>
            <w:r w:rsidRPr="00A058B6">
              <w:t>6425</w:t>
            </w:r>
          </w:p>
        </w:tc>
        <w:tc>
          <w:tcPr>
            <w:tcW w:w="1866" w:type="pct"/>
            <w:tcBorders>
              <w:top w:val="single" w:sz="2" w:space="0" w:color="auto"/>
              <w:left w:val="nil"/>
              <w:bottom w:val="single" w:sz="2" w:space="0" w:color="auto"/>
              <w:right w:val="nil"/>
            </w:tcBorders>
            <w:shd w:val="clear" w:color="auto" w:fill="auto"/>
            <w:vAlign w:val="center"/>
          </w:tcPr>
          <w:p w14:paraId="26731039" w14:textId="77777777" w:rsidR="00647C6B" w:rsidRPr="00A058B6" w:rsidRDefault="00647C6B" w:rsidP="009C0D79">
            <w:pPr>
              <w:pStyle w:val="Tabletext"/>
            </w:pPr>
            <w:r w:rsidRPr="00A058B6">
              <w:t>14</w:t>
            </w:r>
            <w:r w:rsidR="00D7157D">
              <w:t>.</w:t>
            </w:r>
            <w:r w:rsidRPr="00A058B6">
              <w:t>0918</w:t>
            </w:r>
          </w:p>
        </w:tc>
      </w:tr>
      <w:tr w:rsidR="00647C6B" w:rsidRPr="00A058B6" w14:paraId="468F31D8" w14:textId="77777777" w:rsidTr="00963115">
        <w:trPr>
          <w:trHeight w:val="245"/>
          <w:jc w:val="right"/>
        </w:trPr>
        <w:tc>
          <w:tcPr>
            <w:tcW w:w="1705" w:type="pct"/>
            <w:tcBorders>
              <w:top w:val="single" w:sz="4" w:space="0" w:color="auto"/>
              <w:bottom w:val="single" w:sz="4" w:space="0" w:color="auto"/>
            </w:tcBorders>
          </w:tcPr>
          <w:p w14:paraId="2C7A4EFF" w14:textId="77777777" w:rsidR="00647C6B" w:rsidRPr="00A058B6" w:rsidRDefault="00647C6B" w:rsidP="009C0D79">
            <w:pPr>
              <w:pStyle w:val="Tabletext"/>
            </w:pPr>
            <w:r w:rsidRPr="00A058B6">
              <w:t>60</w:t>
            </w:r>
          </w:p>
        </w:tc>
        <w:tc>
          <w:tcPr>
            <w:tcW w:w="1429" w:type="pct"/>
            <w:tcBorders>
              <w:top w:val="single" w:sz="4" w:space="0" w:color="auto"/>
              <w:left w:val="nil"/>
              <w:bottom w:val="single" w:sz="4" w:space="0" w:color="auto"/>
              <w:right w:val="nil"/>
            </w:tcBorders>
            <w:shd w:val="clear" w:color="auto" w:fill="auto"/>
            <w:vAlign w:val="bottom"/>
          </w:tcPr>
          <w:p w14:paraId="6B35619A" w14:textId="77777777" w:rsidR="00647C6B" w:rsidRPr="00A058B6" w:rsidRDefault="00647C6B" w:rsidP="009C0D79">
            <w:pPr>
              <w:pStyle w:val="Tabletext"/>
            </w:pPr>
            <w:r w:rsidRPr="00A058B6">
              <w:t>13</w:t>
            </w:r>
            <w:r w:rsidR="00D7157D">
              <w:t>.</w:t>
            </w:r>
            <w:r w:rsidRPr="00A058B6">
              <w:t>4487</w:t>
            </w:r>
          </w:p>
        </w:tc>
        <w:tc>
          <w:tcPr>
            <w:tcW w:w="1866" w:type="pct"/>
            <w:tcBorders>
              <w:top w:val="single" w:sz="2" w:space="0" w:color="auto"/>
              <w:left w:val="nil"/>
              <w:bottom w:val="single" w:sz="2" w:space="0" w:color="auto"/>
              <w:right w:val="nil"/>
            </w:tcBorders>
            <w:shd w:val="clear" w:color="auto" w:fill="auto"/>
            <w:vAlign w:val="center"/>
          </w:tcPr>
          <w:p w14:paraId="79EE5065" w14:textId="77777777" w:rsidR="00647C6B" w:rsidRPr="00A058B6" w:rsidRDefault="00647C6B" w:rsidP="009C0D79">
            <w:pPr>
              <w:pStyle w:val="Tabletext"/>
            </w:pPr>
            <w:r w:rsidRPr="00A058B6">
              <w:t>13</w:t>
            </w:r>
            <w:r w:rsidR="00D7157D">
              <w:t>.</w:t>
            </w:r>
            <w:r w:rsidRPr="00A058B6">
              <w:t>9174</w:t>
            </w:r>
          </w:p>
        </w:tc>
      </w:tr>
      <w:tr w:rsidR="00647C6B" w:rsidRPr="00A058B6" w14:paraId="465787B1" w14:textId="77777777" w:rsidTr="00963115">
        <w:trPr>
          <w:trHeight w:val="245"/>
          <w:jc w:val="right"/>
        </w:trPr>
        <w:tc>
          <w:tcPr>
            <w:tcW w:w="1705" w:type="pct"/>
            <w:tcBorders>
              <w:top w:val="single" w:sz="4" w:space="0" w:color="auto"/>
              <w:bottom w:val="single" w:sz="4" w:space="0" w:color="auto"/>
            </w:tcBorders>
          </w:tcPr>
          <w:p w14:paraId="7E780EBF" w14:textId="77777777" w:rsidR="00647C6B" w:rsidRPr="00A058B6" w:rsidRDefault="00647C6B" w:rsidP="009C0D79">
            <w:pPr>
              <w:pStyle w:val="Tabletext"/>
            </w:pPr>
            <w:r w:rsidRPr="00A058B6">
              <w:t>61</w:t>
            </w:r>
          </w:p>
        </w:tc>
        <w:tc>
          <w:tcPr>
            <w:tcW w:w="1429" w:type="pct"/>
            <w:tcBorders>
              <w:top w:val="single" w:sz="4" w:space="0" w:color="auto"/>
              <w:left w:val="nil"/>
              <w:bottom w:val="single" w:sz="4" w:space="0" w:color="auto"/>
              <w:right w:val="nil"/>
            </w:tcBorders>
            <w:shd w:val="clear" w:color="auto" w:fill="auto"/>
            <w:vAlign w:val="bottom"/>
          </w:tcPr>
          <w:p w14:paraId="5EDAA913" w14:textId="77777777" w:rsidR="00647C6B" w:rsidRPr="00A058B6" w:rsidRDefault="00647C6B" w:rsidP="009C0D79">
            <w:pPr>
              <w:pStyle w:val="Tabletext"/>
            </w:pPr>
            <w:r w:rsidRPr="00A058B6">
              <w:t>13</w:t>
            </w:r>
            <w:r w:rsidR="00D7157D">
              <w:t>.</w:t>
            </w:r>
            <w:r w:rsidRPr="00A058B6">
              <w:t>2439</w:t>
            </w:r>
          </w:p>
        </w:tc>
        <w:tc>
          <w:tcPr>
            <w:tcW w:w="1866" w:type="pct"/>
            <w:tcBorders>
              <w:top w:val="single" w:sz="2" w:space="0" w:color="auto"/>
              <w:left w:val="nil"/>
              <w:bottom w:val="single" w:sz="2" w:space="0" w:color="auto"/>
              <w:right w:val="nil"/>
            </w:tcBorders>
            <w:shd w:val="clear" w:color="auto" w:fill="auto"/>
            <w:vAlign w:val="center"/>
          </w:tcPr>
          <w:p w14:paraId="05952921" w14:textId="77777777" w:rsidR="00647C6B" w:rsidRPr="00A058B6" w:rsidRDefault="00647C6B" w:rsidP="009C0D79">
            <w:pPr>
              <w:pStyle w:val="Tabletext"/>
            </w:pPr>
            <w:r w:rsidRPr="00A058B6">
              <w:t>13</w:t>
            </w:r>
            <w:r w:rsidR="00D7157D">
              <w:t>.</w:t>
            </w:r>
            <w:r w:rsidRPr="00A058B6">
              <w:t>7324</w:t>
            </w:r>
          </w:p>
        </w:tc>
      </w:tr>
      <w:tr w:rsidR="00647C6B" w:rsidRPr="00A058B6" w14:paraId="03A31A34" w14:textId="77777777" w:rsidTr="00963115">
        <w:trPr>
          <w:trHeight w:val="245"/>
          <w:jc w:val="right"/>
        </w:trPr>
        <w:tc>
          <w:tcPr>
            <w:tcW w:w="1705" w:type="pct"/>
            <w:tcBorders>
              <w:top w:val="single" w:sz="4" w:space="0" w:color="auto"/>
              <w:bottom w:val="single" w:sz="4" w:space="0" w:color="auto"/>
            </w:tcBorders>
          </w:tcPr>
          <w:p w14:paraId="26FD6DB0" w14:textId="77777777" w:rsidR="00647C6B" w:rsidRPr="00A058B6" w:rsidRDefault="00647C6B" w:rsidP="009C0D79">
            <w:pPr>
              <w:pStyle w:val="Tabletext"/>
            </w:pPr>
            <w:r w:rsidRPr="00A058B6">
              <w:t>62</w:t>
            </w:r>
          </w:p>
        </w:tc>
        <w:tc>
          <w:tcPr>
            <w:tcW w:w="1429" w:type="pct"/>
            <w:tcBorders>
              <w:top w:val="single" w:sz="4" w:space="0" w:color="auto"/>
              <w:left w:val="nil"/>
              <w:bottom w:val="single" w:sz="4" w:space="0" w:color="auto"/>
              <w:right w:val="nil"/>
            </w:tcBorders>
            <w:shd w:val="clear" w:color="auto" w:fill="auto"/>
            <w:vAlign w:val="bottom"/>
          </w:tcPr>
          <w:p w14:paraId="6365D15A" w14:textId="77777777" w:rsidR="00647C6B" w:rsidRPr="00A058B6" w:rsidRDefault="00647C6B" w:rsidP="009C0D79">
            <w:pPr>
              <w:pStyle w:val="Tabletext"/>
            </w:pPr>
            <w:r w:rsidRPr="00A058B6">
              <w:t>13</w:t>
            </w:r>
            <w:r w:rsidR="00D7157D">
              <w:t>.</w:t>
            </w:r>
            <w:r w:rsidRPr="00A058B6">
              <w:t>0275</w:t>
            </w:r>
          </w:p>
        </w:tc>
        <w:tc>
          <w:tcPr>
            <w:tcW w:w="1866" w:type="pct"/>
            <w:tcBorders>
              <w:top w:val="single" w:sz="2" w:space="0" w:color="auto"/>
              <w:left w:val="nil"/>
              <w:bottom w:val="single" w:sz="2" w:space="0" w:color="auto"/>
              <w:right w:val="nil"/>
            </w:tcBorders>
            <w:shd w:val="clear" w:color="auto" w:fill="auto"/>
            <w:vAlign w:val="center"/>
          </w:tcPr>
          <w:p w14:paraId="541D506C" w14:textId="77777777" w:rsidR="00647C6B" w:rsidRPr="00A058B6" w:rsidRDefault="00647C6B" w:rsidP="009C0D79">
            <w:pPr>
              <w:pStyle w:val="Tabletext"/>
            </w:pPr>
            <w:r w:rsidRPr="00A058B6">
              <w:t>13</w:t>
            </w:r>
            <w:r w:rsidR="00D7157D">
              <w:t>.</w:t>
            </w:r>
            <w:r w:rsidRPr="00A058B6">
              <w:t>5371</w:t>
            </w:r>
          </w:p>
        </w:tc>
      </w:tr>
      <w:tr w:rsidR="00647C6B" w:rsidRPr="00A058B6" w14:paraId="0EDF0ABF" w14:textId="77777777" w:rsidTr="00963115">
        <w:trPr>
          <w:trHeight w:val="245"/>
          <w:jc w:val="right"/>
        </w:trPr>
        <w:tc>
          <w:tcPr>
            <w:tcW w:w="1705" w:type="pct"/>
            <w:tcBorders>
              <w:top w:val="single" w:sz="4" w:space="0" w:color="auto"/>
              <w:bottom w:val="single" w:sz="4" w:space="0" w:color="auto"/>
            </w:tcBorders>
          </w:tcPr>
          <w:p w14:paraId="2330DDA3" w14:textId="77777777" w:rsidR="00647C6B" w:rsidRPr="00A058B6" w:rsidRDefault="00647C6B" w:rsidP="009C0D79">
            <w:pPr>
              <w:pStyle w:val="Tabletext"/>
            </w:pPr>
            <w:r w:rsidRPr="00A058B6">
              <w:t>63</w:t>
            </w:r>
          </w:p>
        </w:tc>
        <w:tc>
          <w:tcPr>
            <w:tcW w:w="1429" w:type="pct"/>
            <w:tcBorders>
              <w:top w:val="single" w:sz="4" w:space="0" w:color="auto"/>
              <w:left w:val="nil"/>
              <w:bottom w:val="single" w:sz="4" w:space="0" w:color="auto"/>
              <w:right w:val="nil"/>
            </w:tcBorders>
            <w:shd w:val="clear" w:color="auto" w:fill="auto"/>
            <w:vAlign w:val="bottom"/>
          </w:tcPr>
          <w:p w14:paraId="24B37827" w14:textId="77777777" w:rsidR="00647C6B" w:rsidRPr="00A058B6" w:rsidRDefault="00647C6B" w:rsidP="009C0D79">
            <w:pPr>
              <w:pStyle w:val="Tabletext"/>
            </w:pPr>
            <w:r w:rsidRPr="00A058B6">
              <w:t>12</w:t>
            </w:r>
            <w:r w:rsidR="00D7157D">
              <w:t>.</w:t>
            </w:r>
            <w:r w:rsidRPr="00A058B6">
              <w:t>7991</w:t>
            </w:r>
          </w:p>
        </w:tc>
        <w:tc>
          <w:tcPr>
            <w:tcW w:w="1866" w:type="pct"/>
            <w:tcBorders>
              <w:top w:val="single" w:sz="2" w:space="0" w:color="auto"/>
              <w:left w:val="nil"/>
              <w:bottom w:val="single" w:sz="2" w:space="0" w:color="auto"/>
              <w:right w:val="nil"/>
            </w:tcBorders>
            <w:shd w:val="clear" w:color="auto" w:fill="auto"/>
            <w:vAlign w:val="center"/>
          </w:tcPr>
          <w:p w14:paraId="14154404" w14:textId="77777777" w:rsidR="00647C6B" w:rsidRPr="00A058B6" w:rsidRDefault="00647C6B" w:rsidP="009C0D79">
            <w:pPr>
              <w:pStyle w:val="Tabletext"/>
            </w:pPr>
            <w:r w:rsidRPr="00A058B6">
              <w:t>13</w:t>
            </w:r>
            <w:r w:rsidR="00D7157D">
              <w:t>.</w:t>
            </w:r>
            <w:r w:rsidRPr="00A058B6">
              <w:t>3309</w:t>
            </w:r>
          </w:p>
        </w:tc>
      </w:tr>
      <w:tr w:rsidR="00647C6B" w:rsidRPr="00A058B6" w14:paraId="46D2086A" w14:textId="77777777" w:rsidTr="00963115">
        <w:trPr>
          <w:trHeight w:val="245"/>
          <w:jc w:val="right"/>
        </w:trPr>
        <w:tc>
          <w:tcPr>
            <w:tcW w:w="1705" w:type="pct"/>
            <w:tcBorders>
              <w:top w:val="single" w:sz="4" w:space="0" w:color="auto"/>
              <w:bottom w:val="single" w:sz="4" w:space="0" w:color="auto"/>
            </w:tcBorders>
          </w:tcPr>
          <w:p w14:paraId="1DAC0B32" w14:textId="77777777" w:rsidR="00647C6B" w:rsidRPr="00A058B6" w:rsidRDefault="00647C6B" w:rsidP="009C0D79">
            <w:pPr>
              <w:pStyle w:val="Tabletext"/>
            </w:pPr>
            <w:r w:rsidRPr="00A058B6">
              <w:t>64</w:t>
            </w:r>
          </w:p>
        </w:tc>
        <w:tc>
          <w:tcPr>
            <w:tcW w:w="1429" w:type="pct"/>
            <w:tcBorders>
              <w:top w:val="single" w:sz="4" w:space="0" w:color="auto"/>
              <w:left w:val="nil"/>
              <w:bottom w:val="single" w:sz="4" w:space="0" w:color="auto"/>
              <w:right w:val="nil"/>
            </w:tcBorders>
            <w:shd w:val="clear" w:color="auto" w:fill="auto"/>
            <w:vAlign w:val="bottom"/>
          </w:tcPr>
          <w:p w14:paraId="6C362D6A" w14:textId="77777777" w:rsidR="00647C6B" w:rsidRPr="00A058B6" w:rsidRDefault="00647C6B" w:rsidP="009C0D79">
            <w:pPr>
              <w:pStyle w:val="Tabletext"/>
            </w:pPr>
            <w:r w:rsidRPr="00A058B6">
              <w:t>12</w:t>
            </w:r>
            <w:r w:rsidR="00D7157D">
              <w:t>.</w:t>
            </w:r>
            <w:r w:rsidRPr="00A058B6">
              <w:t>5581</w:t>
            </w:r>
          </w:p>
        </w:tc>
        <w:tc>
          <w:tcPr>
            <w:tcW w:w="1866" w:type="pct"/>
            <w:tcBorders>
              <w:top w:val="single" w:sz="2" w:space="0" w:color="auto"/>
              <w:left w:val="nil"/>
              <w:bottom w:val="single" w:sz="2" w:space="0" w:color="auto"/>
              <w:right w:val="nil"/>
            </w:tcBorders>
            <w:shd w:val="clear" w:color="auto" w:fill="auto"/>
            <w:vAlign w:val="center"/>
          </w:tcPr>
          <w:p w14:paraId="75793ACF" w14:textId="77777777" w:rsidR="00647C6B" w:rsidRPr="00A058B6" w:rsidRDefault="00647C6B" w:rsidP="009C0D79">
            <w:pPr>
              <w:pStyle w:val="Tabletext"/>
            </w:pPr>
            <w:r w:rsidRPr="00A058B6">
              <w:t>13</w:t>
            </w:r>
            <w:r w:rsidR="00D7157D">
              <w:t>.</w:t>
            </w:r>
            <w:r w:rsidRPr="00A058B6">
              <w:t>1133</w:t>
            </w:r>
          </w:p>
        </w:tc>
      </w:tr>
      <w:tr w:rsidR="00647C6B" w:rsidRPr="00A058B6" w14:paraId="17480032" w14:textId="77777777" w:rsidTr="00963115">
        <w:trPr>
          <w:trHeight w:val="245"/>
          <w:jc w:val="right"/>
        </w:trPr>
        <w:tc>
          <w:tcPr>
            <w:tcW w:w="1705" w:type="pct"/>
            <w:tcBorders>
              <w:top w:val="single" w:sz="4" w:space="0" w:color="auto"/>
              <w:bottom w:val="single" w:sz="12" w:space="0" w:color="auto"/>
            </w:tcBorders>
          </w:tcPr>
          <w:p w14:paraId="0299B609" w14:textId="77777777" w:rsidR="00647C6B" w:rsidRPr="00A058B6" w:rsidRDefault="00647C6B" w:rsidP="009C0D79">
            <w:pPr>
              <w:pStyle w:val="Tabletext"/>
            </w:pPr>
            <w:r w:rsidRPr="00A058B6">
              <w:t>65</w:t>
            </w:r>
          </w:p>
        </w:tc>
        <w:tc>
          <w:tcPr>
            <w:tcW w:w="1429" w:type="pct"/>
            <w:tcBorders>
              <w:top w:val="single" w:sz="4" w:space="0" w:color="auto"/>
              <w:left w:val="nil"/>
              <w:bottom w:val="single" w:sz="12" w:space="0" w:color="auto"/>
              <w:right w:val="nil"/>
            </w:tcBorders>
            <w:shd w:val="clear" w:color="auto" w:fill="auto"/>
            <w:vAlign w:val="bottom"/>
          </w:tcPr>
          <w:p w14:paraId="5DE91D7B" w14:textId="77777777" w:rsidR="00647C6B" w:rsidRPr="00A058B6" w:rsidRDefault="00647C6B" w:rsidP="009C0D79">
            <w:pPr>
              <w:pStyle w:val="Tabletext"/>
            </w:pPr>
            <w:r w:rsidRPr="00A058B6">
              <w:t>12</w:t>
            </w:r>
            <w:r w:rsidR="00D7157D">
              <w:t>.</w:t>
            </w:r>
            <w:r w:rsidRPr="00A058B6">
              <w:t>3054</w:t>
            </w:r>
          </w:p>
        </w:tc>
        <w:tc>
          <w:tcPr>
            <w:tcW w:w="1866" w:type="pct"/>
            <w:tcBorders>
              <w:top w:val="single" w:sz="2" w:space="0" w:color="auto"/>
              <w:left w:val="nil"/>
              <w:bottom w:val="single" w:sz="12" w:space="0" w:color="auto"/>
              <w:right w:val="nil"/>
            </w:tcBorders>
            <w:shd w:val="clear" w:color="auto" w:fill="auto"/>
            <w:vAlign w:val="center"/>
          </w:tcPr>
          <w:p w14:paraId="531CE9F3" w14:textId="77777777" w:rsidR="00647C6B" w:rsidRPr="00A058B6" w:rsidRDefault="00647C6B" w:rsidP="009C0D79">
            <w:pPr>
              <w:pStyle w:val="Tabletext"/>
            </w:pPr>
            <w:r w:rsidRPr="00A058B6">
              <w:t>12</w:t>
            </w:r>
            <w:r w:rsidR="00D7157D">
              <w:t>.</w:t>
            </w:r>
            <w:r w:rsidRPr="00A058B6">
              <w:t>8850</w:t>
            </w:r>
          </w:p>
        </w:tc>
      </w:tr>
    </w:tbl>
    <w:p w14:paraId="403C4DBD" w14:textId="77777777" w:rsidR="00647C6B" w:rsidRPr="00A058B6" w:rsidRDefault="00647C6B" w:rsidP="00647C6B">
      <w:pPr>
        <w:pStyle w:val="Tabletext"/>
      </w:pPr>
    </w:p>
    <w:tbl>
      <w:tblPr>
        <w:tblW w:w="5000" w:type="pct"/>
        <w:jc w:val="right"/>
        <w:tblBorders>
          <w:top w:val="single" w:sz="4" w:space="0" w:color="auto"/>
          <w:bottom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0D17CFD8" w14:textId="77777777" w:rsidTr="00963115">
        <w:trPr>
          <w:cantSplit/>
          <w:trHeight w:val="375"/>
          <w:tblHeader/>
          <w:jc w:val="right"/>
        </w:trPr>
        <w:tc>
          <w:tcPr>
            <w:tcW w:w="1705" w:type="pct"/>
            <w:vMerge w:val="restart"/>
            <w:tcBorders>
              <w:top w:val="single" w:sz="12" w:space="0" w:color="auto"/>
              <w:bottom w:val="single" w:sz="12" w:space="0" w:color="auto"/>
              <w:right w:val="nil"/>
            </w:tcBorders>
          </w:tcPr>
          <w:p w14:paraId="647F21C0" w14:textId="77777777" w:rsidR="00647C6B" w:rsidRPr="00A058B6" w:rsidRDefault="00647C6B" w:rsidP="009C0D79">
            <w:pPr>
              <w:pStyle w:val="TableHeading"/>
              <w:rPr>
                <w:snapToGrid w:val="0"/>
              </w:rPr>
            </w:pPr>
            <w:r w:rsidRPr="00A058B6">
              <w:rPr>
                <w:snapToGrid w:val="0"/>
              </w:rPr>
              <w:t>Member’s age at relevant date (in completed years)</w:t>
            </w:r>
          </w:p>
        </w:tc>
        <w:tc>
          <w:tcPr>
            <w:tcW w:w="3295" w:type="pct"/>
            <w:gridSpan w:val="2"/>
            <w:tcBorders>
              <w:top w:val="single" w:sz="12" w:space="0" w:color="auto"/>
              <w:left w:val="nil"/>
              <w:bottom w:val="single" w:sz="4" w:space="0" w:color="auto"/>
            </w:tcBorders>
          </w:tcPr>
          <w:p w14:paraId="7C3EB7A3" w14:textId="77777777" w:rsidR="00647C6B" w:rsidRPr="00A058B6" w:rsidRDefault="00647C6B" w:rsidP="009C0D79">
            <w:pPr>
              <w:pStyle w:val="TableHeading"/>
              <w:rPr>
                <w:snapToGrid w:val="0"/>
              </w:rPr>
            </w:pPr>
            <w:r w:rsidRPr="00A058B6">
              <w:rPr>
                <w:snapToGrid w:val="0"/>
              </w:rPr>
              <w:t>Reversion valuation factors</w:t>
            </w:r>
            <w:r w:rsidRPr="00A058B6">
              <w:rPr>
                <w:snapToGrid w:val="0"/>
              </w:rPr>
              <w:br/>
              <w:t>No guarantee period—pension not indexed</w:t>
            </w:r>
          </w:p>
        </w:tc>
      </w:tr>
      <w:tr w:rsidR="00647C6B" w:rsidRPr="00A058B6" w14:paraId="3F747A4D" w14:textId="77777777" w:rsidTr="00963115">
        <w:trPr>
          <w:cantSplit/>
          <w:trHeight w:val="40"/>
          <w:tblHeader/>
          <w:jc w:val="right"/>
        </w:trPr>
        <w:tc>
          <w:tcPr>
            <w:tcW w:w="1705" w:type="pct"/>
            <w:vMerge/>
            <w:tcBorders>
              <w:bottom w:val="single" w:sz="12" w:space="0" w:color="auto"/>
              <w:right w:val="nil"/>
            </w:tcBorders>
          </w:tcPr>
          <w:p w14:paraId="658D4D09" w14:textId="77777777" w:rsidR="00647C6B" w:rsidRPr="00A058B6" w:rsidRDefault="00647C6B" w:rsidP="009C0D79">
            <w:pPr>
              <w:pStyle w:val="TableHeading"/>
              <w:rPr>
                <w:snapToGrid w:val="0"/>
              </w:rPr>
            </w:pPr>
          </w:p>
        </w:tc>
        <w:tc>
          <w:tcPr>
            <w:tcW w:w="1417" w:type="pct"/>
            <w:tcBorders>
              <w:left w:val="nil"/>
              <w:bottom w:val="single" w:sz="12" w:space="0" w:color="auto"/>
              <w:right w:val="nil"/>
            </w:tcBorders>
          </w:tcPr>
          <w:p w14:paraId="78D13B9E" w14:textId="77777777" w:rsidR="00647C6B" w:rsidRPr="00A058B6" w:rsidRDefault="00647C6B" w:rsidP="009C0D79">
            <w:pPr>
              <w:pStyle w:val="TableHeading"/>
              <w:rPr>
                <w:snapToGrid w:val="0"/>
              </w:rPr>
            </w:pPr>
            <w:r w:rsidRPr="00A058B6">
              <w:rPr>
                <w:snapToGrid w:val="0"/>
              </w:rPr>
              <w:t>Male</w:t>
            </w:r>
          </w:p>
        </w:tc>
        <w:tc>
          <w:tcPr>
            <w:tcW w:w="1878" w:type="pct"/>
            <w:tcBorders>
              <w:left w:val="nil"/>
              <w:bottom w:val="single" w:sz="12" w:space="0" w:color="auto"/>
            </w:tcBorders>
          </w:tcPr>
          <w:p w14:paraId="0DE90514" w14:textId="77777777" w:rsidR="00647C6B" w:rsidRPr="00A058B6" w:rsidRDefault="00647C6B" w:rsidP="009C0D79">
            <w:pPr>
              <w:pStyle w:val="TableHeading"/>
              <w:rPr>
                <w:snapToGrid w:val="0"/>
              </w:rPr>
            </w:pPr>
            <w:r w:rsidRPr="00A058B6">
              <w:rPr>
                <w:snapToGrid w:val="0"/>
              </w:rPr>
              <w:t>Female</w:t>
            </w:r>
          </w:p>
        </w:tc>
      </w:tr>
      <w:tr w:rsidR="00647C6B" w:rsidRPr="00A058B6" w14:paraId="330E2E31" w14:textId="77777777" w:rsidTr="00963115">
        <w:trPr>
          <w:trHeight w:val="43"/>
          <w:jc w:val="right"/>
        </w:trPr>
        <w:tc>
          <w:tcPr>
            <w:tcW w:w="1705" w:type="pct"/>
            <w:tcBorders>
              <w:top w:val="single" w:sz="12" w:space="0" w:color="auto"/>
              <w:right w:val="nil"/>
            </w:tcBorders>
          </w:tcPr>
          <w:p w14:paraId="7284B1FD"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67AD24D4" w14:textId="77777777" w:rsidR="00647C6B" w:rsidRPr="00A058B6" w:rsidRDefault="00647C6B" w:rsidP="009C0D79">
            <w:pPr>
              <w:pStyle w:val="Tabletext"/>
            </w:pPr>
            <w:r w:rsidRPr="00A058B6">
              <w:t>1</w:t>
            </w:r>
            <w:r w:rsidR="00D7157D">
              <w:t>.</w:t>
            </w:r>
            <w:r w:rsidRPr="00A058B6">
              <w:t>079</w:t>
            </w:r>
          </w:p>
        </w:tc>
        <w:tc>
          <w:tcPr>
            <w:tcW w:w="1878" w:type="pct"/>
            <w:tcBorders>
              <w:top w:val="single" w:sz="12" w:space="0" w:color="auto"/>
              <w:left w:val="nil"/>
              <w:bottom w:val="single" w:sz="2" w:space="0" w:color="auto"/>
              <w:right w:val="nil"/>
            </w:tcBorders>
            <w:shd w:val="clear" w:color="auto" w:fill="auto"/>
            <w:vAlign w:val="center"/>
          </w:tcPr>
          <w:p w14:paraId="786AC4D6" w14:textId="77777777" w:rsidR="00647C6B" w:rsidRPr="00A058B6" w:rsidRDefault="00647C6B" w:rsidP="009C0D79">
            <w:pPr>
              <w:pStyle w:val="Tabletext"/>
            </w:pPr>
            <w:r w:rsidRPr="00A058B6">
              <w:t>0</w:t>
            </w:r>
            <w:r w:rsidR="00D7157D">
              <w:t>.</w:t>
            </w:r>
            <w:r w:rsidRPr="00A058B6">
              <w:t>484</w:t>
            </w:r>
          </w:p>
        </w:tc>
      </w:tr>
      <w:tr w:rsidR="00647C6B" w:rsidRPr="00A058B6" w14:paraId="45CDB7B4" w14:textId="77777777" w:rsidTr="00963115">
        <w:trPr>
          <w:trHeight w:val="245"/>
          <w:jc w:val="right"/>
        </w:trPr>
        <w:tc>
          <w:tcPr>
            <w:tcW w:w="1705" w:type="pct"/>
            <w:tcBorders>
              <w:right w:val="nil"/>
            </w:tcBorders>
          </w:tcPr>
          <w:p w14:paraId="420EEFBB"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520FC248" w14:textId="77777777" w:rsidR="00647C6B" w:rsidRPr="00A058B6" w:rsidRDefault="00647C6B" w:rsidP="009C0D79">
            <w:pPr>
              <w:pStyle w:val="Tabletext"/>
            </w:pPr>
            <w:r w:rsidRPr="00A058B6">
              <w:t>1</w:t>
            </w:r>
            <w:r w:rsidR="00D7157D">
              <w:t>.</w:t>
            </w:r>
            <w:r w:rsidRPr="00A058B6">
              <w:t>043</w:t>
            </w:r>
          </w:p>
        </w:tc>
        <w:tc>
          <w:tcPr>
            <w:tcW w:w="1878" w:type="pct"/>
            <w:tcBorders>
              <w:top w:val="single" w:sz="2" w:space="0" w:color="auto"/>
              <w:left w:val="nil"/>
              <w:bottom w:val="single" w:sz="2" w:space="0" w:color="auto"/>
              <w:right w:val="nil"/>
            </w:tcBorders>
            <w:shd w:val="clear" w:color="auto" w:fill="auto"/>
            <w:vAlign w:val="center"/>
          </w:tcPr>
          <w:p w14:paraId="419D2CD5" w14:textId="77777777" w:rsidR="00647C6B" w:rsidRPr="00A058B6" w:rsidRDefault="00647C6B" w:rsidP="009C0D79">
            <w:pPr>
              <w:pStyle w:val="Tabletext"/>
            </w:pPr>
            <w:r w:rsidRPr="00A058B6">
              <w:t>0</w:t>
            </w:r>
            <w:r w:rsidR="00D7157D">
              <w:t>.</w:t>
            </w:r>
            <w:r w:rsidRPr="00A058B6">
              <w:t>455</w:t>
            </w:r>
          </w:p>
        </w:tc>
      </w:tr>
      <w:tr w:rsidR="00647C6B" w:rsidRPr="00A058B6" w14:paraId="1F41CB36" w14:textId="77777777" w:rsidTr="00963115">
        <w:trPr>
          <w:trHeight w:val="245"/>
          <w:jc w:val="right"/>
        </w:trPr>
        <w:tc>
          <w:tcPr>
            <w:tcW w:w="1705" w:type="pct"/>
            <w:tcBorders>
              <w:right w:val="nil"/>
            </w:tcBorders>
          </w:tcPr>
          <w:p w14:paraId="000D4372"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17E111BB" w14:textId="77777777" w:rsidR="00647C6B" w:rsidRPr="00A058B6" w:rsidRDefault="00647C6B" w:rsidP="009C0D79">
            <w:pPr>
              <w:pStyle w:val="Tabletext"/>
            </w:pPr>
            <w:r w:rsidRPr="00A058B6">
              <w:t>1</w:t>
            </w:r>
            <w:r w:rsidR="00D7157D">
              <w:t>.</w:t>
            </w:r>
            <w:r w:rsidRPr="00A058B6">
              <w:t>007</w:t>
            </w:r>
          </w:p>
        </w:tc>
        <w:tc>
          <w:tcPr>
            <w:tcW w:w="1878" w:type="pct"/>
            <w:tcBorders>
              <w:top w:val="single" w:sz="2" w:space="0" w:color="auto"/>
              <w:left w:val="nil"/>
              <w:bottom w:val="single" w:sz="2" w:space="0" w:color="auto"/>
              <w:right w:val="nil"/>
            </w:tcBorders>
            <w:shd w:val="clear" w:color="auto" w:fill="auto"/>
            <w:vAlign w:val="center"/>
          </w:tcPr>
          <w:p w14:paraId="3071F7F2" w14:textId="77777777" w:rsidR="00647C6B" w:rsidRPr="00A058B6" w:rsidRDefault="00647C6B" w:rsidP="009C0D79">
            <w:pPr>
              <w:pStyle w:val="Tabletext"/>
            </w:pPr>
            <w:r w:rsidRPr="00A058B6">
              <w:t>0</w:t>
            </w:r>
            <w:r w:rsidR="00D7157D">
              <w:t>.</w:t>
            </w:r>
            <w:r w:rsidRPr="00A058B6">
              <w:t>426</w:t>
            </w:r>
          </w:p>
        </w:tc>
      </w:tr>
      <w:tr w:rsidR="00647C6B" w:rsidRPr="00A058B6" w14:paraId="2508C745" w14:textId="77777777" w:rsidTr="00963115">
        <w:trPr>
          <w:trHeight w:val="245"/>
          <w:jc w:val="right"/>
        </w:trPr>
        <w:tc>
          <w:tcPr>
            <w:tcW w:w="1705" w:type="pct"/>
            <w:tcBorders>
              <w:right w:val="nil"/>
            </w:tcBorders>
          </w:tcPr>
          <w:p w14:paraId="3A1DA525"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1E553DB5" w14:textId="77777777" w:rsidR="00647C6B" w:rsidRPr="00A058B6" w:rsidRDefault="00647C6B" w:rsidP="009C0D79">
            <w:pPr>
              <w:pStyle w:val="Tabletext"/>
            </w:pPr>
            <w:r w:rsidRPr="00A058B6">
              <w:t>0</w:t>
            </w:r>
            <w:r w:rsidR="00D7157D">
              <w:t>.</w:t>
            </w:r>
            <w:r w:rsidRPr="00A058B6">
              <w:t>971</w:t>
            </w:r>
          </w:p>
        </w:tc>
        <w:tc>
          <w:tcPr>
            <w:tcW w:w="1878" w:type="pct"/>
            <w:tcBorders>
              <w:top w:val="single" w:sz="2" w:space="0" w:color="auto"/>
              <w:left w:val="nil"/>
              <w:bottom w:val="single" w:sz="2" w:space="0" w:color="auto"/>
              <w:right w:val="nil"/>
            </w:tcBorders>
            <w:shd w:val="clear" w:color="auto" w:fill="auto"/>
            <w:vAlign w:val="center"/>
          </w:tcPr>
          <w:p w14:paraId="472D043F" w14:textId="77777777" w:rsidR="00647C6B" w:rsidRPr="00A058B6" w:rsidRDefault="00647C6B" w:rsidP="009C0D79">
            <w:pPr>
              <w:pStyle w:val="Tabletext"/>
            </w:pPr>
            <w:r w:rsidRPr="00A058B6">
              <w:t>0</w:t>
            </w:r>
            <w:r w:rsidR="00D7157D">
              <w:t>.</w:t>
            </w:r>
            <w:r w:rsidRPr="00A058B6">
              <w:t>397</w:t>
            </w:r>
          </w:p>
        </w:tc>
      </w:tr>
      <w:tr w:rsidR="00647C6B" w:rsidRPr="00A058B6" w14:paraId="7914C29D" w14:textId="77777777" w:rsidTr="00963115">
        <w:trPr>
          <w:trHeight w:val="245"/>
          <w:jc w:val="right"/>
        </w:trPr>
        <w:tc>
          <w:tcPr>
            <w:tcW w:w="1705" w:type="pct"/>
            <w:tcBorders>
              <w:right w:val="nil"/>
            </w:tcBorders>
          </w:tcPr>
          <w:p w14:paraId="5CD1687F"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68A2C672" w14:textId="77777777" w:rsidR="00647C6B" w:rsidRPr="00A058B6" w:rsidRDefault="00647C6B" w:rsidP="009C0D79">
            <w:pPr>
              <w:pStyle w:val="Tabletext"/>
            </w:pPr>
            <w:r w:rsidRPr="00A058B6">
              <w:t>0</w:t>
            </w:r>
            <w:r w:rsidR="00D7157D">
              <w:t>.</w:t>
            </w:r>
            <w:r w:rsidRPr="00A058B6">
              <w:t>935</w:t>
            </w:r>
          </w:p>
        </w:tc>
        <w:tc>
          <w:tcPr>
            <w:tcW w:w="1878" w:type="pct"/>
            <w:tcBorders>
              <w:top w:val="single" w:sz="2" w:space="0" w:color="auto"/>
              <w:left w:val="nil"/>
              <w:bottom w:val="single" w:sz="2" w:space="0" w:color="auto"/>
              <w:right w:val="nil"/>
            </w:tcBorders>
            <w:shd w:val="clear" w:color="auto" w:fill="auto"/>
            <w:vAlign w:val="center"/>
          </w:tcPr>
          <w:p w14:paraId="47A3FC59" w14:textId="77777777" w:rsidR="00647C6B" w:rsidRPr="00A058B6" w:rsidRDefault="00647C6B" w:rsidP="009C0D79">
            <w:pPr>
              <w:pStyle w:val="Tabletext"/>
            </w:pPr>
            <w:r w:rsidRPr="00A058B6">
              <w:t>0</w:t>
            </w:r>
            <w:r w:rsidR="00D7157D">
              <w:t>.</w:t>
            </w:r>
            <w:r w:rsidRPr="00A058B6">
              <w:t>368</w:t>
            </w:r>
          </w:p>
        </w:tc>
      </w:tr>
      <w:tr w:rsidR="00647C6B" w:rsidRPr="00A058B6" w14:paraId="477FFC5B" w14:textId="77777777" w:rsidTr="00963115">
        <w:trPr>
          <w:trHeight w:val="245"/>
          <w:jc w:val="right"/>
        </w:trPr>
        <w:tc>
          <w:tcPr>
            <w:tcW w:w="1705" w:type="pct"/>
            <w:tcBorders>
              <w:right w:val="nil"/>
            </w:tcBorders>
          </w:tcPr>
          <w:p w14:paraId="2C7AEA89"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02845A06" w14:textId="77777777" w:rsidR="00647C6B" w:rsidRPr="00A058B6" w:rsidRDefault="00647C6B" w:rsidP="009C0D79">
            <w:pPr>
              <w:pStyle w:val="Tabletext"/>
            </w:pPr>
            <w:r w:rsidRPr="00A058B6">
              <w:t>0</w:t>
            </w:r>
            <w:r w:rsidR="00D7157D">
              <w:t>.</w:t>
            </w:r>
            <w:r w:rsidRPr="00A058B6">
              <w:t>899</w:t>
            </w:r>
          </w:p>
        </w:tc>
        <w:tc>
          <w:tcPr>
            <w:tcW w:w="1878" w:type="pct"/>
            <w:tcBorders>
              <w:top w:val="single" w:sz="2" w:space="0" w:color="auto"/>
              <w:left w:val="nil"/>
              <w:bottom w:val="single" w:sz="2" w:space="0" w:color="auto"/>
              <w:right w:val="nil"/>
            </w:tcBorders>
            <w:shd w:val="clear" w:color="auto" w:fill="auto"/>
            <w:vAlign w:val="center"/>
          </w:tcPr>
          <w:p w14:paraId="2A7E39E6" w14:textId="77777777" w:rsidR="00647C6B" w:rsidRPr="00A058B6" w:rsidRDefault="00647C6B" w:rsidP="009C0D79">
            <w:pPr>
              <w:pStyle w:val="Tabletext"/>
            </w:pPr>
            <w:r w:rsidRPr="00A058B6">
              <w:t>0</w:t>
            </w:r>
            <w:r w:rsidR="00D7157D">
              <w:t>.</w:t>
            </w:r>
            <w:r w:rsidRPr="00A058B6">
              <w:t>339</w:t>
            </w:r>
          </w:p>
        </w:tc>
      </w:tr>
      <w:tr w:rsidR="00647C6B" w:rsidRPr="00A058B6" w14:paraId="75DF9CF5" w14:textId="77777777" w:rsidTr="00963115">
        <w:trPr>
          <w:trHeight w:val="245"/>
          <w:jc w:val="right"/>
        </w:trPr>
        <w:tc>
          <w:tcPr>
            <w:tcW w:w="1705" w:type="pct"/>
            <w:tcBorders>
              <w:right w:val="nil"/>
            </w:tcBorders>
          </w:tcPr>
          <w:p w14:paraId="14010AB3"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07042E20" w14:textId="77777777" w:rsidR="00647C6B" w:rsidRPr="00A058B6" w:rsidRDefault="00647C6B" w:rsidP="009C0D79">
            <w:pPr>
              <w:pStyle w:val="Tabletext"/>
            </w:pPr>
            <w:r w:rsidRPr="00A058B6">
              <w:t>0</w:t>
            </w:r>
            <w:r w:rsidR="00D7157D">
              <w:t>.</w:t>
            </w:r>
            <w:r w:rsidRPr="00A058B6">
              <w:t>863</w:t>
            </w:r>
          </w:p>
        </w:tc>
        <w:tc>
          <w:tcPr>
            <w:tcW w:w="1878" w:type="pct"/>
            <w:tcBorders>
              <w:top w:val="single" w:sz="2" w:space="0" w:color="auto"/>
              <w:left w:val="nil"/>
              <w:bottom w:val="single" w:sz="2" w:space="0" w:color="auto"/>
              <w:right w:val="nil"/>
            </w:tcBorders>
            <w:shd w:val="clear" w:color="auto" w:fill="auto"/>
            <w:vAlign w:val="center"/>
          </w:tcPr>
          <w:p w14:paraId="466A44D6" w14:textId="77777777" w:rsidR="00647C6B" w:rsidRPr="00A058B6" w:rsidRDefault="00647C6B" w:rsidP="009C0D79">
            <w:pPr>
              <w:pStyle w:val="Tabletext"/>
            </w:pPr>
            <w:r w:rsidRPr="00A058B6">
              <w:t>0</w:t>
            </w:r>
            <w:r w:rsidR="00D7157D">
              <w:t>.</w:t>
            </w:r>
            <w:r w:rsidRPr="00A058B6">
              <w:t>310</w:t>
            </w:r>
          </w:p>
        </w:tc>
      </w:tr>
      <w:tr w:rsidR="00647C6B" w:rsidRPr="00A058B6" w14:paraId="10838252" w14:textId="77777777" w:rsidTr="00963115">
        <w:trPr>
          <w:trHeight w:val="245"/>
          <w:jc w:val="right"/>
        </w:trPr>
        <w:tc>
          <w:tcPr>
            <w:tcW w:w="1705" w:type="pct"/>
            <w:tcBorders>
              <w:right w:val="nil"/>
            </w:tcBorders>
          </w:tcPr>
          <w:p w14:paraId="1E954D54"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60C45FC3" w14:textId="77777777" w:rsidR="00647C6B" w:rsidRPr="00A058B6" w:rsidRDefault="00647C6B" w:rsidP="009C0D79">
            <w:pPr>
              <w:pStyle w:val="Tabletext"/>
            </w:pPr>
            <w:r w:rsidRPr="00A058B6">
              <w:t>0</w:t>
            </w:r>
            <w:r w:rsidR="00D7157D">
              <w:t>.</w:t>
            </w:r>
            <w:r w:rsidRPr="00A058B6">
              <w:t>827</w:t>
            </w:r>
          </w:p>
        </w:tc>
        <w:tc>
          <w:tcPr>
            <w:tcW w:w="1878" w:type="pct"/>
            <w:tcBorders>
              <w:top w:val="single" w:sz="2" w:space="0" w:color="auto"/>
              <w:left w:val="nil"/>
              <w:bottom w:val="single" w:sz="2" w:space="0" w:color="auto"/>
              <w:right w:val="nil"/>
            </w:tcBorders>
            <w:shd w:val="clear" w:color="auto" w:fill="auto"/>
            <w:vAlign w:val="center"/>
          </w:tcPr>
          <w:p w14:paraId="689AAA48" w14:textId="77777777" w:rsidR="00647C6B" w:rsidRPr="00A058B6" w:rsidRDefault="00647C6B" w:rsidP="009C0D79">
            <w:pPr>
              <w:pStyle w:val="Tabletext"/>
            </w:pPr>
            <w:r w:rsidRPr="00A058B6">
              <w:t>0</w:t>
            </w:r>
            <w:r w:rsidR="00D7157D">
              <w:t>.</w:t>
            </w:r>
            <w:r w:rsidRPr="00A058B6">
              <w:t>281</w:t>
            </w:r>
          </w:p>
        </w:tc>
      </w:tr>
      <w:tr w:rsidR="00647C6B" w:rsidRPr="00A058B6" w14:paraId="6A822E5C" w14:textId="77777777" w:rsidTr="00963115">
        <w:trPr>
          <w:trHeight w:val="245"/>
          <w:jc w:val="right"/>
        </w:trPr>
        <w:tc>
          <w:tcPr>
            <w:tcW w:w="1705" w:type="pct"/>
            <w:tcBorders>
              <w:right w:val="nil"/>
            </w:tcBorders>
          </w:tcPr>
          <w:p w14:paraId="202B486D"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37863FC3" w14:textId="77777777" w:rsidR="00647C6B" w:rsidRPr="00A058B6" w:rsidRDefault="00647C6B" w:rsidP="009C0D79">
            <w:pPr>
              <w:pStyle w:val="Tabletext"/>
            </w:pPr>
            <w:r w:rsidRPr="00A058B6">
              <w:t>0</w:t>
            </w:r>
            <w:r w:rsidR="00D7157D">
              <w:t>.</w:t>
            </w:r>
            <w:r w:rsidRPr="00A058B6">
              <w:t>791</w:t>
            </w:r>
          </w:p>
        </w:tc>
        <w:tc>
          <w:tcPr>
            <w:tcW w:w="1878" w:type="pct"/>
            <w:tcBorders>
              <w:top w:val="single" w:sz="2" w:space="0" w:color="auto"/>
              <w:left w:val="nil"/>
              <w:bottom w:val="single" w:sz="2" w:space="0" w:color="auto"/>
              <w:right w:val="nil"/>
            </w:tcBorders>
            <w:shd w:val="clear" w:color="auto" w:fill="auto"/>
            <w:vAlign w:val="center"/>
          </w:tcPr>
          <w:p w14:paraId="3448DE3A" w14:textId="77777777" w:rsidR="00647C6B" w:rsidRPr="00A058B6" w:rsidRDefault="00647C6B" w:rsidP="009C0D79">
            <w:pPr>
              <w:pStyle w:val="Tabletext"/>
            </w:pPr>
            <w:r w:rsidRPr="00A058B6">
              <w:t>0</w:t>
            </w:r>
            <w:r w:rsidR="00D7157D">
              <w:t>.</w:t>
            </w:r>
            <w:r w:rsidRPr="00A058B6">
              <w:t>252</w:t>
            </w:r>
          </w:p>
        </w:tc>
      </w:tr>
      <w:tr w:rsidR="00647C6B" w:rsidRPr="00A058B6" w14:paraId="7E8F6185" w14:textId="77777777" w:rsidTr="00963115">
        <w:trPr>
          <w:trHeight w:val="245"/>
          <w:jc w:val="right"/>
        </w:trPr>
        <w:tc>
          <w:tcPr>
            <w:tcW w:w="1705" w:type="pct"/>
            <w:tcBorders>
              <w:right w:val="nil"/>
            </w:tcBorders>
          </w:tcPr>
          <w:p w14:paraId="1F3970B7"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79A5E888" w14:textId="77777777" w:rsidR="00647C6B" w:rsidRPr="00A058B6" w:rsidRDefault="00647C6B" w:rsidP="009C0D79">
            <w:pPr>
              <w:pStyle w:val="Tabletext"/>
            </w:pPr>
            <w:r w:rsidRPr="00A058B6">
              <w:t>0</w:t>
            </w:r>
            <w:r w:rsidR="00D7157D">
              <w:t>.</w:t>
            </w:r>
            <w:r w:rsidRPr="00A058B6">
              <w:t>755</w:t>
            </w:r>
          </w:p>
        </w:tc>
        <w:tc>
          <w:tcPr>
            <w:tcW w:w="1878" w:type="pct"/>
            <w:tcBorders>
              <w:top w:val="single" w:sz="2" w:space="0" w:color="auto"/>
              <w:left w:val="nil"/>
              <w:bottom w:val="single" w:sz="2" w:space="0" w:color="auto"/>
              <w:right w:val="nil"/>
            </w:tcBorders>
            <w:shd w:val="clear" w:color="auto" w:fill="auto"/>
            <w:vAlign w:val="center"/>
          </w:tcPr>
          <w:p w14:paraId="6CD69141" w14:textId="77777777" w:rsidR="00647C6B" w:rsidRPr="00A058B6" w:rsidRDefault="00647C6B" w:rsidP="009C0D79">
            <w:pPr>
              <w:pStyle w:val="Tabletext"/>
            </w:pPr>
            <w:r w:rsidRPr="00A058B6">
              <w:t>0</w:t>
            </w:r>
            <w:r w:rsidR="00D7157D">
              <w:t>.</w:t>
            </w:r>
            <w:r w:rsidRPr="00A058B6">
              <w:t>223</w:t>
            </w:r>
          </w:p>
        </w:tc>
      </w:tr>
      <w:tr w:rsidR="00647C6B" w:rsidRPr="00A058B6" w14:paraId="3DAF02D1" w14:textId="77777777" w:rsidTr="00963115">
        <w:trPr>
          <w:trHeight w:val="245"/>
          <w:jc w:val="right"/>
        </w:trPr>
        <w:tc>
          <w:tcPr>
            <w:tcW w:w="1705" w:type="pct"/>
            <w:tcBorders>
              <w:right w:val="nil"/>
            </w:tcBorders>
          </w:tcPr>
          <w:p w14:paraId="5D9D35B5"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73224D79" w14:textId="77777777" w:rsidR="00647C6B" w:rsidRPr="00A058B6" w:rsidRDefault="00647C6B" w:rsidP="009C0D79">
            <w:pPr>
              <w:pStyle w:val="Tabletext"/>
            </w:pPr>
            <w:r w:rsidRPr="00A058B6">
              <w:t>0</w:t>
            </w:r>
            <w:r w:rsidR="00D7157D">
              <w:t>.</w:t>
            </w:r>
            <w:r w:rsidRPr="00A058B6">
              <w:t>719</w:t>
            </w:r>
          </w:p>
        </w:tc>
        <w:tc>
          <w:tcPr>
            <w:tcW w:w="1878" w:type="pct"/>
            <w:tcBorders>
              <w:top w:val="single" w:sz="2" w:space="0" w:color="auto"/>
              <w:left w:val="nil"/>
              <w:bottom w:val="single" w:sz="2" w:space="0" w:color="auto"/>
              <w:right w:val="nil"/>
            </w:tcBorders>
            <w:shd w:val="clear" w:color="auto" w:fill="auto"/>
            <w:vAlign w:val="center"/>
          </w:tcPr>
          <w:p w14:paraId="06030A4E" w14:textId="77777777" w:rsidR="00647C6B" w:rsidRPr="00A058B6" w:rsidRDefault="00647C6B" w:rsidP="009C0D79">
            <w:pPr>
              <w:pStyle w:val="Tabletext"/>
            </w:pPr>
            <w:r w:rsidRPr="00A058B6">
              <w:t>0</w:t>
            </w:r>
            <w:r w:rsidR="00D7157D">
              <w:t>.</w:t>
            </w:r>
            <w:r w:rsidRPr="00A058B6">
              <w:t>194</w:t>
            </w:r>
          </w:p>
        </w:tc>
      </w:tr>
      <w:tr w:rsidR="00647C6B" w:rsidRPr="00A058B6" w14:paraId="006FF6A0" w14:textId="77777777" w:rsidTr="00963115">
        <w:trPr>
          <w:trHeight w:val="245"/>
          <w:jc w:val="right"/>
        </w:trPr>
        <w:tc>
          <w:tcPr>
            <w:tcW w:w="1705" w:type="pct"/>
            <w:tcBorders>
              <w:right w:val="nil"/>
            </w:tcBorders>
          </w:tcPr>
          <w:p w14:paraId="7E0BD367"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26BA2190" w14:textId="77777777" w:rsidR="00647C6B" w:rsidRPr="00A058B6" w:rsidRDefault="00647C6B" w:rsidP="009C0D79">
            <w:pPr>
              <w:pStyle w:val="Tabletext"/>
            </w:pPr>
            <w:r w:rsidRPr="00A058B6">
              <w:t>0</w:t>
            </w:r>
            <w:r w:rsidR="00D7157D">
              <w:t>.</w:t>
            </w:r>
            <w:r w:rsidRPr="00A058B6">
              <w:t>612</w:t>
            </w:r>
          </w:p>
        </w:tc>
        <w:tc>
          <w:tcPr>
            <w:tcW w:w="1878" w:type="pct"/>
            <w:tcBorders>
              <w:top w:val="single" w:sz="2" w:space="0" w:color="auto"/>
              <w:left w:val="nil"/>
              <w:bottom w:val="single" w:sz="2" w:space="0" w:color="auto"/>
              <w:right w:val="nil"/>
            </w:tcBorders>
            <w:shd w:val="clear" w:color="auto" w:fill="auto"/>
            <w:vAlign w:val="center"/>
          </w:tcPr>
          <w:p w14:paraId="4DA650A0" w14:textId="77777777" w:rsidR="00647C6B" w:rsidRPr="00A058B6" w:rsidRDefault="00647C6B" w:rsidP="009C0D79">
            <w:pPr>
              <w:pStyle w:val="Tabletext"/>
            </w:pPr>
            <w:r w:rsidRPr="00A058B6">
              <w:t>0</w:t>
            </w:r>
            <w:r w:rsidR="00D7157D">
              <w:t>.</w:t>
            </w:r>
            <w:r w:rsidRPr="00A058B6">
              <w:t>165</w:t>
            </w:r>
          </w:p>
        </w:tc>
      </w:tr>
      <w:tr w:rsidR="00647C6B" w:rsidRPr="00A058B6" w14:paraId="16EF1399" w14:textId="77777777" w:rsidTr="00963115">
        <w:trPr>
          <w:trHeight w:val="245"/>
          <w:jc w:val="right"/>
        </w:trPr>
        <w:tc>
          <w:tcPr>
            <w:tcW w:w="1705" w:type="pct"/>
            <w:tcBorders>
              <w:right w:val="nil"/>
            </w:tcBorders>
          </w:tcPr>
          <w:p w14:paraId="62550C33"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73C1E395" w14:textId="77777777" w:rsidR="00647C6B" w:rsidRPr="00A058B6" w:rsidRDefault="00647C6B" w:rsidP="009C0D79">
            <w:pPr>
              <w:pStyle w:val="Tabletext"/>
            </w:pPr>
            <w:r w:rsidRPr="00A058B6">
              <w:t>0</w:t>
            </w:r>
            <w:r w:rsidR="00D7157D">
              <w:t>.</w:t>
            </w:r>
            <w:r w:rsidRPr="00A058B6">
              <w:t>504</w:t>
            </w:r>
          </w:p>
        </w:tc>
        <w:tc>
          <w:tcPr>
            <w:tcW w:w="1878" w:type="pct"/>
            <w:tcBorders>
              <w:top w:val="single" w:sz="2" w:space="0" w:color="auto"/>
              <w:left w:val="nil"/>
              <w:bottom w:val="single" w:sz="2" w:space="0" w:color="auto"/>
              <w:right w:val="nil"/>
            </w:tcBorders>
            <w:shd w:val="clear" w:color="auto" w:fill="auto"/>
            <w:vAlign w:val="center"/>
          </w:tcPr>
          <w:p w14:paraId="7044B560" w14:textId="77777777" w:rsidR="00647C6B" w:rsidRPr="00A058B6" w:rsidRDefault="00647C6B" w:rsidP="009C0D79">
            <w:pPr>
              <w:pStyle w:val="Tabletext"/>
            </w:pPr>
            <w:r w:rsidRPr="00A058B6">
              <w:t>0</w:t>
            </w:r>
            <w:r w:rsidR="00D7157D">
              <w:t>.</w:t>
            </w:r>
            <w:r w:rsidRPr="00A058B6">
              <w:t>136</w:t>
            </w:r>
          </w:p>
        </w:tc>
      </w:tr>
      <w:tr w:rsidR="00647C6B" w:rsidRPr="00A058B6" w14:paraId="4EADC9DE" w14:textId="77777777" w:rsidTr="00963115">
        <w:trPr>
          <w:trHeight w:val="245"/>
          <w:jc w:val="right"/>
        </w:trPr>
        <w:tc>
          <w:tcPr>
            <w:tcW w:w="1705" w:type="pct"/>
            <w:tcBorders>
              <w:right w:val="nil"/>
            </w:tcBorders>
          </w:tcPr>
          <w:p w14:paraId="6CCF8176"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6FA68480" w14:textId="77777777" w:rsidR="00647C6B" w:rsidRPr="00A058B6" w:rsidRDefault="00647C6B" w:rsidP="009C0D79">
            <w:pPr>
              <w:pStyle w:val="Tabletext"/>
            </w:pPr>
            <w:r w:rsidRPr="00A058B6">
              <w:t>0</w:t>
            </w:r>
            <w:r w:rsidR="00D7157D">
              <w:t>.</w:t>
            </w:r>
            <w:r w:rsidRPr="00A058B6">
              <w:t>396</w:t>
            </w:r>
          </w:p>
        </w:tc>
        <w:tc>
          <w:tcPr>
            <w:tcW w:w="1878" w:type="pct"/>
            <w:tcBorders>
              <w:top w:val="single" w:sz="2" w:space="0" w:color="auto"/>
              <w:left w:val="nil"/>
              <w:bottom w:val="single" w:sz="2" w:space="0" w:color="auto"/>
              <w:right w:val="nil"/>
            </w:tcBorders>
            <w:shd w:val="clear" w:color="auto" w:fill="auto"/>
            <w:vAlign w:val="center"/>
          </w:tcPr>
          <w:p w14:paraId="62360D6C" w14:textId="77777777" w:rsidR="00647C6B" w:rsidRPr="00A058B6" w:rsidRDefault="00647C6B" w:rsidP="009C0D79">
            <w:pPr>
              <w:pStyle w:val="Tabletext"/>
            </w:pPr>
            <w:r w:rsidRPr="00A058B6">
              <w:t>0</w:t>
            </w:r>
            <w:r w:rsidR="00D7157D">
              <w:t>.</w:t>
            </w:r>
            <w:r w:rsidRPr="00A058B6">
              <w:t>106</w:t>
            </w:r>
          </w:p>
        </w:tc>
      </w:tr>
      <w:tr w:rsidR="00647C6B" w:rsidRPr="00A058B6" w14:paraId="0A7FC376" w14:textId="77777777" w:rsidTr="00963115">
        <w:trPr>
          <w:trHeight w:val="245"/>
          <w:jc w:val="right"/>
        </w:trPr>
        <w:tc>
          <w:tcPr>
            <w:tcW w:w="1705" w:type="pct"/>
            <w:tcBorders>
              <w:bottom w:val="single" w:sz="4" w:space="0" w:color="auto"/>
              <w:right w:val="nil"/>
            </w:tcBorders>
          </w:tcPr>
          <w:p w14:paraId="7C26171F"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5C51F96B" w14:textId="77777777" w:rsidR="00647C6B" w:rsidRPr="00A058B6" w:rsidRDefault="00647C6B" w:rsidP="009C0D79">
            <w:pPr>
              <w:pStyle w:val="Tabletext"/>
            </w:pPr>
            <w:r w:rsidRPr="00A058B6">
              <w:t>0</w:t>
            </w:r>
            <w:r w:rsidR="00D7157D">
              <w:t>.</w:t>
            </w:r>
            <w:r w:rsidRPr="00A058B6">
              <w:t>288</w:t>
            </w:r>
          </w:p>
        </w:tc>
        <w:tc>
          <w:tcPr>
            <w:tcW w:w="1878" w:type="pct"/>
            <w:tcBorders>
              <w:top w:val="single" w:sz="2" w:space="0" w:color="auto"/>
              <w:left w:val="nil"/>
              <w:bottom w:val="single" w:sz="2" w:space="0" w:color="auto"/>
              <w:right w:val="nil"/>
            </w:tcBorders>
            <w:shd w:val="clear" w:color="auto" w:fill="auto"/>
            <w:vAlign w:val="center"/>
          </w:tcPr>
          <w:p w14:paraId="4FDA7322" w14:textId="77777777" w:rsidR="00647C6B" w:rsidRPr="00A058B6" w:rsidRDefault="00647C6B" w:rsidP="009C0D79">
            <w:pPr>
              <w:pStyle w:val="Tabletext"/>
            </w:pPr>
            <w:r w:rsidRPr="00A058B6">
              <w:t>0</w:t>
            </w:r>
            <w:r w:rsidR="00D7157D">
              <w:t>.</w:t>
            </w:r>
            <w:r w:rsidRPr="00A058B6">
              <w:t>077</w:t>
            </w:r>
          </w:p>
        </w:tc>
      </w:tr>
      <w:tr w:rsidR="00647C6B" w:rsidRPr="00A058B6" w14:paraId="78D07840" w14:textId="77777777" w:rsidTr="00963115">
        <w:trPr>
          <w:trHeight w:val="245"/>
          <w:jc w:val="right"/>
        </w:trPr>
        <w:tc>
          <w:tcPr>
            <w:tcW w:w="1705" w:type="pct"/>
            <w:tcBorders>
              <w:bottom w:val="single" w:sz="12" w:space="0" w:color="auto"/>
              <w:right w:val="nil"/>
            </w:tcBorders>
          </w:tcPr>
          <w:p w14:paraId="627A2CC1"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0413CC5F" w14:textId="77777777" w:rsidR="00647C6B" w:rsidRPr="00A058B6" w:rsidRDefault="00647C6B" w:rsidP="009C0D79">
            <w:pPr>
              <w:pStyle w:val="Tabletext"/>
            </w:pPr>
            <w:r w:rsidRPr="00A058B6">
              <w:t>0</w:t>
            </w:r>
            <w:r w:rsidR="00D7157D">
              <w:t>.</w:t>
            </w:r>
            <w:r w:rsidRPr="00A058B6">
              <w:t>180</w:t>
            </w:r>
          </w:p>
        </w:tc>
        <w:tc>
          <w:tcPr>
            <w:tcW w:w="1878" w:type="pct"/>
            <w:tcBorders>
              <w:top w:val="single" w:sz="2" w:space="0" w:color="auto"/>
              <w:left w:val="nil"/>
              <w:bottom w:val="single" w:sz="12" w:space="0" w:color="auto"/>
              <w:right w:val="nil"/>
            </w:tcBorders>
            <w:shd w:val="clear" w:color="auto" w:fill="auto"/>
            <w:vAlign w:val="center"/>
          </w:tcPr>
          <w:p w14:paraId="06940D57" w14:textId="77777777" w:rsidR="00647C6B" w:rsidRPr="00A058B6" w:rsidRDefault="00647C6B" w:rsidP="009C0D79">
            <w:pPr>
              <w:pStyle w:val="Tabletext"/>
            </w:pPr>
            <w:r w:rsidRPr="00A058B6">
              <w:t>0</w:t>
            </w:r>
            <w:r w:rsidR="00D7157D">
              <w:t>.</w:t>
            </w:r>
            <w:r w:rsidRPr="00A058B6">
              <w:t>048</w:t>
            </w:r>
          </w:p>
        </w:tc>
      </w:tr>
    </w:tbl>
    <w:p w14:paraId="70A2318C" w14:textId="1C2F91C2" w:rsidR="00647C6B" w:rsidRPr="00A058B6" w:rsidRDefault="00D7157D" w:rsidP="00647C6B">
      <w:pPr>
        <w:pStyle w:val="ActHead5"/>
      </w:pPr>
      <w:bookmarkStart w:id="245" w:name="_Toc188350723"/>
      <w:r w:rsidRPr="00423C34">
        <w:rPr>
          <w:rStyle w:val="CharSectno"/>
        </w:rPr>
        <w:t>7</w:t>
      </w:r>
      <w:r w:rsidR="00647C6B" w:rsidRPr="00A058B6">
        <w:t xml:space="preserve">  Valuation factors—no guarantee period—CPI indexed pension</w:t>
      </w:r>
      <w:bookmarkEnd w:id="245"/>
    </w:p>
    <w:p w14:paraId="1953C345"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3D76E7D6" w14:textId="77777777" w:rsidR="00647C6B" w:rsidRPr="00A058B6" w:rsidRDefault="00647C6B" w:rsidP="00647C6B">
      <w:pPr>
        <w:pStyle w:val="paragraph"/>
      </w:pPr>
      <w:r w:rsidRPr="00A058B6">
        <w:tab/>
        <w:t>(a)</w:t>
      </w:r>
      <w:r w:rsidRPr="00A058B6">
        <w:tab/>
        <w:t>has no guarantee period; and</w:t>
      </w:r>
    </w:p>
    <w:p w14:paraId="15A8D84F" w14:textId="77777777" w:rsidR="00647C6B" w:rsidRPr="00A058B6" w:rsidRDefault="00647C6B" w:rsidP="00647C6B">
      <w:pPr>
        <w:pStyle w:val="paragraph"/>
      </w:pPr>
      <w:r w:rsidRPr="00A058B6">
        <w:tab/>
        <w:t>(b)</w:t>
      </w:r>
      <w:r w:rsidRPr="00A058B6">
        <w:tab/>
        <w:t>is indexed in accordance with the consumer price index</w:t>
      </w:r>
      <w:r w:rsidR="00D7157D">
        <w:t>.</w:t>
      </w:r>
    </w:p>
    <w:p w14:paraId="097F00D4" w14:textId="77777777" w:rsidR="00647C6B" w:rsidRPr="00A058B6" w:rsidRDefault="00647C6B" w:rsidP="00647C6B">
      <w:pPr>
        <w:pStyle w:val="Tabletext"/>
      </w:pPr>
    </w:p>
    <w:tbl>
      <w:tblPr>
        <w:tblW w:w="5000" w:type="pct"/>
        <w:jc w:val="right"/>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76"/>
        <w:gridCol w:w="3102"/>
      </w:tblGrid>
      <w:tr w:rsidR="00647C6B" w:rsidRPr="00A058B6" w14:paraId="6B14CAD4" w14:textId="77777777" w:rsidTr="00963115">
        <w:trPr>
          <w:cantSplit/>
          <w:trHeight w:val="375"/>
          <w:tblHeader/>
          <w:jc w:val="right"/>
        </w:trPr>
        <w:tc>
          <w:tcPr>
            <w:tcW w:w="1705" w:type="pct"/>
            <w:vMerge w:val="restart"/>
            <w:tcBorders>
              <w:top w:val="single" w:sz="12" w:space="0" w:color="auto"/>
              <w:bottom w:val="single" w:sz="12" w:space="0" w:color="auto"/>
            </w:tcBorders>
          </w:tcPr>
          <w:p w14:paraId="684F8C58" w14:textId="77777777" w:rsidR="00647C6B" w:rsidRPr="00A058B6" w:rsidRDefault="00647C6B" w:rsidP="009C0D79">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4EC8092C" w14:textId="77777777" w:rsidR="00647C6B" w:rsidRPr="00A058B6" w:rsidRDefault="00647C6B" w:rsidP="009C0D79">
            <w:pPr>
              <w:pStyle w:val="TableHeading"/>
              <w:rPr>
                <w:snapToGrid w:val="0"/>
              </w:rPr>
            </w:pPr>
            <w:r w:rsidRPr="00A058B6">
              <w:rPr>
                <w:snapToGrid w:val="0"/>
              </w:rPr>
              <w:t>Pension valuation factors</w:t>
            </w:r>
            <w:r w:rsidRPr="00A058B6">
              <w:rPr>
                <w:snapToGrid w:val="0"/>
              </w:rPr>
              <w:br/>
              <w:t>No guarantee period—CPI indexed pension</w:t>
            </w:r>
          </w:p>
        </w:tc>
      </w:tr>
      <w:tr w:rsidR="00647C6B" w:rsidRPr="00A058B6" w14:paraId="45B37F5F" w14:textId="77777777" w:rsidTr="00963115">
        <w:trPr>
          <w:cantSplit/>
          <w:trHeight w:val="40"/>
          <w:tblHeader/>
          <w:jc w:val="right"/>
        </w:trPr>
        <w:tc>
          <w:tcPr>
            <w:tcW w:w="1705" w:type="pct"/>
            <w:vMerge/>
            <w:tcBorders>
              <w:bottom w:val="single" w:sz="12" w:space="0" w:color="auto"/>
            </w:tcBorders>
          </w:tcPr>
          <w:p w14:paraId="17B60BCC" w14:textId="77777777" w:rsidR="00647C6B" w:rsidRPr="00A058B6" w:rsidRDefault="00647C6B" w:rsidP="009C0D79">
            <w:pPr>
              <w:pStyle w:val="TableHeading"/>
              <w:rPr>
                <w:snapToGrid w:val="0"/>
              </w:rPr>
            </w:pPr>
          </w:p>
        </w:tc>
        <w:tc>
          <w:tcPr>
            <w:tcW w:w="1429" w:type="pct"/>
            <w:tcBorders>
              <w:bottom w:val="single" w:sz="12" w:space="0" w:color="auto"/>
            </w:tcBorders>
          </w:tcPr>
          <w:p w14:paraId="3DEF506D" w14:textId="77777777" w:rsidR="00647C6B" w:rsidRPr="00A058B6" w:rsidRDefault="00647C6B" w:rsidP="009C0D79">
            <w:pPr>
              <w:pStyle w:val="TableHeading"/>
              <w:rPr>
                <w:snapToGrid w:val="0"/>
              </w:rPr>
            </w:pPr>
            <w:r w:rsidRPr="00A058B6">
              <w:rPr>
                <w:snapToGrid w:val="0"/>
              </w:rPr>
              <w:t>Male</w:t>
            </w:r>
          </w:p>
        </w:tc>
        <w:tc>
          <w:tcPr>
            <w:tcW w:w="1866" w:type="pct"/>
            <w:tcBorders>
              <w:bottom w:val="single" w:sz="12" w:space="0" w:color="auto"/>
            </w:tcBorders>
          </w:tcPr>
          <w:p w14:paraId="20ED2BBC" w14:textId="77777777" w:rsidR="00647C6B" w:rsidRPr="00A058B6" w:rsidRDefault="00647C6B" w:rsidP="009C0D79">
            <w:pPr>
              <w:pStyle w:val="TableHeading"/>
              <w:rPr>
                <w:snapToGrid w:val="0"/>
              </w:rPr>
            </w:pPr>
            <w:r w:rsidRPr="00A058B6">
              <w:rPr>
                <w:snapToGrid w:val="0"/>
              </w:rPr>
              <w:t>Female</w:t>
            </w:r>
          </w:p>
        </w:tc>
      </w:tr>
      <w:tr w:rsidR="00647C6B" w:rsidRPr="00A058B6" w14:paraId="40A7334C" w14:textId="77777777" w:rsidTr="00963115">
        <w:trPr>
          <w:trHeight w:val="245"/>
          <w:jc w:val="right"/>
        </w:trPr>
        <w:tc>
          <w:tcPr>
            <w:tcW w:w="1705" w:type="pct"/>
            <w:tcBorders>
              <w:top w:val="single" w:sz="12" w:space="0" w:color="auto"/>
            </w:tcBorders>
          </w:tcPr>
          <w:p w14:paraId="122A4292"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7A489375" w14:textId="77777777" w:rsidR="00647C6B" w:rsidRPr="00A058B6" w:rsidRDefault="00647C6B" w:rsidP="009C0D79">
            <w:pPr>
              <w:pStyle w:val="Tabletext"/>
            </w:pPr>
            <w:r w:rsidRPr="00A058B6">
              <w:t>19</w:t>
            </w:r>
            <w:r w:rsidR="00D7157D">
              <w:t>.</w:t>
            </w:r>
            <w:r w:rsidRPr="00A058B6">
              <w:t>6470</w:t>
            </w:r>
          </w:p>
        </w:tc>
        <w:tc>
          <w:tcPr>
            <w:tcW w:w="1866" w:type="pct"/>
            <w:tcBorders>
              <w:top w:val="single" w:sz="12" w:space="0" w:color="auto"/>
              <w:left w:val="nil"/>
              <w:bottom w:val="single" w:sz="2" w:space="0" w:color="auto"/>
              <w:right w:val="nil"/>
            </w:tcBorders>
            <w:shd w:val="clear" w:color="auto" w:fill="auto"/>
            <w:vAlign w:val="center"/>
          </w:tcPr>
          <w:p w14:paraId="4D4DE717" w14:textId="77777777" w:rsidR="00647C6B" w:rsidRPr="00A058B6" w:rsidRDefault="00647C6B" w:rsidP="009C0D79">
            <w:pPr>
              <w:pStyle w:val="Tabletext"/>
            </w:pPr>
            <w:r w:rsidRPr="00A058B6">
              <w:t>20</w:t>
            </w:r>
            <w:r w:rsidR="00D7157D">
              <w:t>.</w:t>
            </w:r>
            <w:r w:rsidRPr="00A058B6">
              <w:t>4519</w:t>
            </w:r>
          </w:p>
        </w:tc>
      </w:tr>
      <w:tr w:rsidR="00647C6B" w:rsidRPr="00A058B6" w14:paraId="06A1BD56" w14:textId="77777777" w:rsidTr="00963115">
        <w:trPr>
          <w:trHeight w:val="245"/>
          <w:jc w:val="right"/>
        </w:trPr>
        <w:tc>
          <w:tcPr>
            <w:tcW w:w="1705" w:type="pct"/>
          </w:tcPr>
          <w:p w14:paraId="6967D18F"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4EDF4AD1" w14:textId="77777777" w:rsidR="00647C6B" w:rsidRPr="00A058B6" w:rsidRDefault="00647C6B" w:rsidP="009C0D79">
            <w:pPr>
              <w:pStyle w:val="Tabletext"/>
            </w:pPr>
            <w:r w:rsidRPr="00A058B6">
              <w:t>19</w:t>
            </w:r>
            <w:r w:rsidR="00D7157D">
              <w:t>.</w:t>
            </w:r>
            <w:r w:rsidRPr="00A058B6">
              <w:t>3164</w:t>
            </w:r>
          </w:p>
        </w:tc>
        <w:tc>
          <w:tcPr>
            <w:tcW w:w="1866" w:type="pct"/>
            <w:tcBorders>
              <w:top w:val="single" w:sz="2" w:space="0" w:color="auto"/>
              <w:left w:val="nil"/>
              <w:bottom w:val="single" w:sz="2" w:space="0" w:color="auto"/>
              <w:right w:val="nil"/>
            </w:tcBorders>
            <w:shd w:val="clear" w:color="auto" w:fill="auto"/>
            <w:vAlign w:val="center"/>
          </w:tcPr>
          <w:p w14:paraId="67461508" w14:textId="77777777" w:rsidR="00647C6B" w:rsidRPr="00A058B6" w:rsidRDefault="00647C6B" w:rsidP="009C0D79">
            <w:pPr>
              <w:pStyle w:val="Tabletext"/>
            </w:pPr>
            <w:r w:rsidRPr="00A058B6">
              <w:t>20</w:t>
            </w:r>
            <w:r w:rsidR="00D7157D">
              <w:t>.</w:t>
            </w:r>
            <w:r w:rsidRPr="00A058B6">
              <w:t>1368</w:t>
            </w:r>
          </w:p>
        </w:tc>
      </w:tr>
      <w:tr w:rsidR="00647C6B" w:rsidRPr="00A058B6" w14:paraId="7949FD61" w14:textId="77777777" w:rsidTr="00963115">
        <w:trPr>
          <w:trHeight w:val="245"/>
          <w:jc w:val="right"/>
        </w:trPr>
        <w:tc>
          <w:tcPr>
            <w:tcW w:w="1705" w:type="pct"/>
          </w:tcPr>
          <w:p w14:paraId="05E92F2A"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5DC30418" w14:textId="77777777" w:rsidR="00647C6B" w:rsidRPr="00A058B6" w:rsidRDefault="00647C6B" w:rsidP="009C0D79">
            <w:pPr>
              <w:pStyle w:val="Tabletext"/>
            </w:pPr>
            <w:r w:rsidRPr="00A058B6">
              <w:t>18</w:t>
            </w:r>
            <w:r w:rsidR="00D7157D">
              <w:t>.</w:t>
            </w:r>
            <w:r w:rsidRPr="00A058B6">
              <w:t>9749</w:t>
            </w:r>
          </w:p>
        </w:tc>
        <w:tc>
          <w:tcPr>
            <w:tcW w:w="1866" w:type="pct"/>
            <w:tcBorders>
              <w:top w:val="single" w:sz="2" w:space="0" w:color="auto"/>
              <w:left w:val="nil"/>
              <w:bottom w:val="single" w:sz="2" w:space="0" w:color="auto"/>
              <w:right w:val="nil"/>
            </w:tcBorders>
            <w:shd w:val="clear" w:color="auto" w:fill="auto"/>
            <w:vAlign w:val="center"/>
          </w:tcPr>
          <w:p w14:paraId="1D810282" w14:textId="77777777" w:rsidR="00647C6B" w:rsidRPr="00A058B6" w:rsidRDefault="00647C6B" w:rsidP="009C0D79">
            <w:pPr>
              <w:pStyle w:val="Tabletext"/>
            </w:pPr>
            <w:r w:rsidRPr="00A058B6">
              <w:t>19</w:t>
            </w:r>
            <w:r w:rsidR="00D7157D">
              <w:t>.</w:t>
            </w:r>
            <w:r w:rsidRPr="00A058B6">
              <w:t>8125</w:t>
            </w:r>
          </w:p>
        </w:tc>
      </w:tr>
      <w:tr w:rsidR="00647C6B" w:rsidRPr="00A058B6" w14:paraId="34C0BB47" w14:textId="77777777" w:rsidTr="00963115">
        <w:trPr>
          <w:trHeight w:val="245"/>
          <w:jc w:val="right"/>
        </w:trPr>
        <w:tc>
          <w:tcPr>
            <w:tcW w:w="1705" w:type="pct"/>
          </w:tcPr>
          <w:p w14:paraId="268A6F5F"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27DF502D" w14:textId="77777777" w:rsidR="00647C6B" w:rsidRPr="00A058B6" w:rsidRDefault="00647C6B" w:rsidP="009C0D79">
            <w:pPr>
              <w:pStyle w:val="Tabletext"/>
            </w:pPr>
            <w:r w:rsidRPr="00A058B6">
              <w:t>18</w:t>
            </w:r>
            <w:r w:rsidR="00D7157D">
              <w:t>.</w:t>
            </w:r>
            <w:r w:rsidRPr="00A058B6">
              <w:t>6219</w:t>
            </w:r>
          </w:p>
        </w:tc>
        <w:tc>
          <w:tcPr>
            <w:tcW w:w="1866" w:type="pct"/>
            <w:tcBorders>
              <w:top w:val="single" w:sz="2" w:space="0" w:color="auto"/>
              <w:left w:val="nil"/>
              <w:bottom w:val="single" w:sz="2" w:space="0" w:color="auto"/>
              <w:right w:val="nil"/>
            </w:tcBorders>
            <w:shd w:val="clear" w:color="auto" w:fill="auto"/>
            <w:vAlign w:val="center"/>
          </w:tcPr>
          <w:p w14:paraId="3D139ED2" w14:textId="77777777" w:rsidR="00647C6B" w:rsidRPr="00A058B6" w:rsidRDefault="00647C6B" w:rsidP="009C0D79">
            <w:pPr>
              <w:pStyle w:val="Tabletext"/>
            </w:pPr>
            <w:r w:rsidRPr="00A058B6">
              <w:t>19</w:t>
            </w:r>
            <w:r w:rsidR="00D7157D">
              <w:t>.</w:t>
            </w:r>
            <w:r w:rsidRPr="00A058B6">
              <w:t>4778</w:t>
            </w:r>
          </w:p>
        </w:tc>
      </w:tr>
      <w:tr w:rsidR="00647C6B" w:rsidRPr="00A058B6" w14:paraId="7EC33E22" w14:textId="77777777" w:rsidTr="00963115">
        <w:trPr>
          <w:trHeight w:val="245"/>
          <w:jc w:val="right"/>
        </w:trPr>
        <w:tc>
          <w:tcPr>
            <w:tcW w:w="1705" w:type="pct"/>
          </w:tcPr>
          <w:p w14:paraId="60DD563A"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2641DB32" w14:textId="77777777" w:rsidR="00647C6B" w:rsidRPr="00A058B6" w:rsidRDefault="00647C6B" w:rsidP="009C0D79">
            <w:pPr>
              <w:pStyle w:val="Tabletext"/>
            </w:pPr>
            <w:r w:rsidRPr="00A058B6">
              <w:t>18</w:t>
            </w:r>
            <w:r w:rsidR="00D7157D">
              <w:t>.</w:t>
            </w:r>
            <w:r w:rsidRPr="00A058B6">
              <w:t>2569</w:t>
            </w:r>
          </w:p>
        </w:tc>
        <w:tc>
          <w:tcPr>
            <w:tcW w:w="1866" w:type="pct"/>
            <w:tcBorders>
              <w:top w:val="single" w:sz="2" w:space="0" w:color="auto"/>
              <w:left w:val="nil"/>
              <w:bottom w:val="single" w:sz="2" w:space="0" w:color="auto"/>
              <w:right w:val="nil"/>
            </w:tcBorders>
            <w:shd w:val="clear" w:color="auto" w:fill="auto"/>
            <w:vAlign w:val="center"/>
          </w:tcPr>
          <w:p w14:paraId="4782C4C3" w14:textId="77777777" w:rsidR="00647C6B" w:rsidRPr="00A058B6" w:rsidRDefault="00647C6B" w:rsidP="009C0D79">
            <w:pPr>
              <w:pStyle w:val="Tabletext"/>
            </w:pPr>
            <w:r w:rsidRPr="00A058B6">
              <w:t>19</w:t>
            </w:r>
            <w:r w:rsidR="00D7157D">
              <w:t>.</w:t>
            </w:r>
            <w:r w:rsidRPr="00A058B6">
              <w:t>1323</w:t>
            </w:r>
          </w:p>
        </w:tc>
      </w:tr>
      <w:tr w:rsidR="00647C6B" w:rsidRPr="00A058B6" w14:paraId="38511CB0" w14:textId="77777777" w:rsidTr="00963115">
        <w:trPr>
          <w:trHeight w:val="245"/>
          <w:jc w:val="right"/>
        </w:trPr>
        <w:tc>
          <w:tcPr>
            <w:tcW w:w="1705" w:type="pct"/>
          </w:tcPr>
          <w:p w14:paraId="2333A1A1"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0ECC59F5" w14:textId="77777777" w:rsidR="00647C6B" w:rsidRPr="00A058B6" w:rsidRDefault="00647C6B" w:rsidP="009C0D79">
            <w:pPr>
              <w:pStyle w:val="Tabletext"/>
            </w:pPr>
            <w:r w:rsidRPr="00A058B6">
              <w:t>17</w:t>
            </w:r>
            <w:r w:rsidR="00D7157D">
              <w:t>.</w:t>
            </w:r>
            <w:r w:rsidRPr="00A058B6">
              <w:t>8798</w:t>
            </w:r>
          </w:p>
        </w:tc>
        <w:tc>
          <w:tcPr>
            <w:tcW w:w="1866" w:type="pct"/>
            <w:tcBorders>
              <w:top w:val="single" w:sz="2" w:space="0" w:color="auto"/>
              <w:left w:val="nil"/>
              <w:bottom w:val="single" w:sz="2" w:space="0" w:color="auto"/>
              <w:right w:val="nil"/>
            </w:tcBorders>
            <w:shd w:val="clear" w:color="auto" w:fill="auto"/>
            <w:vAlign w:val="center"/>
          </w:tcPr>
          <w:p w14:paraId="50A3D5E2" w14:textId="77777777" w:rsidR="00647C6B" w:rsidRPr="00A058B6" w:rsidRDefault="00647C6B" w:rsidP="009C0D79">
            <w:pPr>
              <w:pStyle w:val="Tabletext"/>
            </w:pPr>
            <w:r w:rsidRPr="00A058B6">
              <w:t>18</w:t>
            </w:r>
            <w:r w:rsidR="00D7157D">
              <w:t>.</w:t>
            </w:r>
            <w:r w:rsidRPr="00A058B6">
              <w:t>7754</w:t>
            </w:r>
          </w:p>
        </w:tc>
      </w:tr>
      <w:tr w:rsidR="00647C6B" w:rsidRPr="00A058B6" w14:paraId="359CB2E7" w14:textId="77777777" w:rsidTr="00963115">
        <w:trPr>
          <w:trHeight w:val="245"/>
          <w:jc w:val="right"/>
        </w:trPr>
        <w:tc>
          <w:tcPr>
            <w:tcW w:w="1705" w:type="pct"/>
          </w:tcPr>
          <w:p w14:paraId="1AC660C2"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477ABDA1" w14:textId="77777777" w:rsidR="00647C6B" w:rsidRPr="00A058B6" w:rsidRDefault="00647C6B" w:rsidP="009C0D79">
            <w:pPr>
              <w:pStyle w:val="Tabletext"/>
            </w:pPr>
            <w:r w:rsidRPr="00A058B6">
              <w:t>17</w:t>
            </w:r>
            <w:r w:rsidR="00D7157D">
              <w:t>.</w:t>
            </w:r>
            <w:r w:rsidRPr="00A058B6">
              <w:t>4907</w:t>
            </w:r>
          </w:p>
        </w:tc>
        <w:tc>
          <w:tcPr>
            <w:tcW w:w="1866" w:type="pct"/>
            <w:tcBorders>
              <w:top w:val="single" w:sz="2" w:space="0" w:color="auto"/>
              <w:left w:val="nil"/>
              <w:bottom w:val="single" w:sz="2" w:space="0" w:color="auto"/>
              <w:right w:val="nil"/>
            </w:tcBorders>
            <w:shd w:val="clear" w:color="auto" w:fill="auto"/>
            <w:vAlign w:val="center"/>
          </w:tcPr>
          <w:p w14:paraId="4AC9AA72" w14:textId="77777777" w:rsidR="00647C6B" w:rsidRPr="00A058B6" w:rsidRDefault="00647C6B" w:rsidP="009C0D79">
            <w:pPr>
              <w:pStyle w:val="Tabletext"/>
            </w:pPr>
            <w:r w:rsidRPr="00A058B6">
              <w:t>18</w:t>
            </w:r>
            <w:r w:rsidR="00D7157D">
              <w:t>.</w:t>
            </w:r>
            <w:r w:rsidRPr="00A058B6">
              <w:t>4062</w:t>
            </w:r>
          </w:p>
        </w:tc>
      </w:tr>
      <w:tr w:rsidR="00647C6B" w:rsidRPr="00A058B6" w14:paraId="6304ADE1" w14:textId="77777777" w:rsidTr="00963115">
        <w:trPr>
          <w:trHeight w:val="245"/>
          <w:jc w:val="right"/>
        </w:trPr>
        <w:tc>
          <w:tcPr>
            <w:tcW w:w="1705" w:type="pct"/>
          </w:tcPr>
          <w:p w14:paraId="57881970"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1B44CF82" w14:textId="77777777" w:rsidR="00647C6B" w:rsidRPr="00A058B6" w:rsidRDefault="00647C6B" w:rsidP="009C0D79">
            <w:pPr>
              <w:pStyle w:val="Tabletext"/>
            </w:pPr>
            <w:r w:rsidRPr="00A058B6">
              <w:t>17</w:t>
            </w:r>
            <w:r w:rsidR="00D7157D">
              <w:t>.</w:t>
            </w:r>
            <w:r w:rsidRPr="00A058B6">
              <w:t>0891</w:t>
            </w:r>
          </w:p>
        </w:tc>
        <w:tc>
          <w:tcPr>
            <w:tcW w:w="1866" w:type="pct"/>
            <w:tcBorders>
              <w:top w:val="single" w:sz="2" w:space="0" w:color="auto"/>
              <w:left w:val="nil"/>
              <w:bottom w:val="single" w:sz="2" w:space="0" w:color="auto"/>
              <w:right w:val="nil"/>
            </w:tcBorders>
            <w:shd w:val="clear" w:color="auto" w:fill="auto"/>
            <w:vAlign w:val="center"/>
          </w:tcPr>
          <w:p w14:paraId="39D95E55" w14:textId="77777777" w:rsidR="00647C6B" w:rsidRPr="00A058B6" w:rsidRDefault="00647C6B" w:rsidP="009C0D79">
            <w:pPr>
              <w:pStyle w:val="Tabletext"/>
            </w:pPr>
            <w:r w:rsidRPr="00A058B6">
              <w:t>18</w:t>
            </w:r>
            <w:r w:rsidR="00D7157D">
              <w:t>.</w:t>
            </w:r>
            <w:r w:rsidRPr="00A058B6">
              <w:t>0253</w:t>
            </w:r>
          </w:p>
        </w:tc>
      </w:tr>
      <w:tr w:rsidR="00647C6B" w:rsidRPr="00A058B6" w14:paraId="71B9D5DA" w14:textId="77777777" w:rsidTr="00963115">
        <w:trPr>
          <w:trHeight w:val="245"/>
          <w:jc w:val="right"/>
        </w:trPr>
        <w:tc>
          <w:tcPr>
            <w:tcW w:w="1705" w:type="pct"/>
          </w:tcPr>
          <w:p w14:paraId="458F8A1F"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2EB2AAFE" w14:textId="77777777" w:rsidR="00647C6B" w:rsidRPr="00A058B6" w:rsidRDefault="00647C6B" w:rsidP="009C0D79">
            <w:pPr>
              <w:pStyle w:val="Tabletext"/>
            </w:pPr>
            <w:r w:rsidRPr="00A058B6">
              <w:t>16</w:t>
            </w:r>
            <w:r w:rsidR="00D7157D">
              <w:t>.</w:t>
            </w:r>
            <w:r w:rsidRPr="00A058B6">
              <w:t>6750</w:t>
            </w:r>
          </w:p>
        </w:tc>
        <w:tc>
          <w:tcPr>
            <w:tcW w:w="1866" w:type="pct"/>
            <w:tcBorders>
              <w:top w:val="single" w:sz="2" w:space="0" w:color="auto"/>
              <w:left w:val="nil"/>
              <w:bottom w:val="single" w:sz="2" w:space="0" w:color="auto"/>
              <w:right w:val="nil"/>
            </w:tcBorders>
            <w:shd w:val="clear" w:color="auto" w:fill="auto"/>
            <w:vAlign w:val="center"/>
          </w:tcPr>
          <w:p w14:paraId="1756A30D" w14:textId="77777777" w:rsidR="00647C6B" w:rsidRPr="00A058B6" w:rsidRDefault="00647C6B" w:rsidP="009C0D79">
            <w:pPr>
              <w:pStyle w:val="Tabletext"/>
            </w:pPr>
            <w:r w:rsidRPr="00A058B6">
              <w:t>17</w:t>
            </w:r>
            <w:r w:rsidR="00D7157D">
              <w:t>.</w:t>
            </w:r>
            <w:r w:rsidRPr="00A058B6">
              <w:t>6325</w:t>
            </w:r>
          </w:p>
        </w:tc>
      </w:tr>
      <w:tr w:rsidR="00647C6B" w:rsidRPr="00A058B6" w14:paraId="3F5F03AD" w14:textId="77777777" w:rsidTr="00963115">
        <w:trPr>
          <w:trHeight w:val="245"/>
          <w:jc w:val="right"/>
        </w:trPr>
        <w:tc>
          <w:tcPr>
            <w:tcW w:w="1705" w:type="pct"/>
            <w:tcBorders>
              <w:bottom w:val="single" w:sz="4" w:space="0" w:color="auto"/>
            </w:tcBorders>
          </w:tcPr>
          <w:p w14:paraId="014E0BE1"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2A2A57A2" w14:textId="77777777" w:rsidR="00647C6B" w:rsidRPr="00A058B6" w:rsidRDefault="00647C6B" w:rsidP="009C0D79">
            <w:pPr>
              <w:pStyle w:val="Tabletext"/>
            </w:pPr>
            <w:r w:rsidRPr="00A058B6">
              <w:t>16</w:t>
            </w:r>
            <w:r w:rsidR="00D7157D">
              <w:t>.</w:t>
            </w:r>
            <w:r w:rsidRPr="00A058B6">
              <w:t>2482</w:t>
            </w:r>
          </w:p>
        </w:tc>
        <w:tc>
          <w:tcPr>
            <w:tcW w:w="1866" w:type="pct"/>
            <w:tcBorders>
              <w:top w:val="single" w:sz="2" w:space="0" w:color="auto"/>
              <w:left w:val="nil"/>
              <w:bottom w:val="single" w:sz="2" w:space="0" w:color="auto"/>
              <w:right w:val="nil"/>
            </w:tcBorders>
            <w:shd w:val="clear" w:color="auto" w:fill="auto"/>
            <w:vAlign w:val="center"/>
          </w:tcPr>
          <w:p w14:paraId="3570B1BA" w14:textId="77777777" w:rsidR="00647C6B" w:rsidRPr="00A058B6" w:rsidRDefault="00647C6B" w:rsidP="009C0D79">
            <w:pPr>
              <w:pStyle w:val="Tabletext"/>
            </w:pPr>
            <w:r w:rsidRPr="00A058B6">
              <w:t>17</w:t>
            </w:r>
            <w:r w:rsidR="00D7157D">
              <w:t>.</w:t>
            </w:r>
            <w:r w:rsidRPr="00A058B6">
              <w:t>2275</w:t>
            </w:r>
          </w:p>
        </w:tc>
      </w:tr>
      <w:tr w:rsidR="00647C6B" w:rsidRPr="00A058B6" w14:paraId="41D43C8E" w14:textId="77777777" w:rsidTr="00963115">
        <w:trPr>
          <w:trHeight w:val="245"/>
          <w:jc w:val="right"/>
        </w:trPr>
        <w:tc>
          <w:tcPr>
            <w:tcW w:w="1705" w:type="pct"/>
            <w:tcBorders>
              <w:bottom w:val="single" w:sz="12" w:space="0" w:color="auto"/>
            </w:tcBorders>
          </w:tcPr>
          <w:p w14:paraId="3B1CD093"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5B7A713D" w14:textId="77777777" w:rsidR="00647C6B" w:rsidRPr="00A058B6" w:rsidRDefault="00647C6B" w:rsidP="009C0D79">
            <w:pPr>
              <w:pStyle w:val="Tabletext"/>
            </w:pPr>
            <w:r w:rsidRPr="00A058B6">
              <w:t>15</w:t>
            </w:r>
            <w:r w:rsidR="00D7157D">
              <w:t>.</w:t>
            </w:r>
            <w:r w:rsidRPr="00A058B6">
              <w:t>8102</w:t>
            </w:r>
          </w:p>
        </w:tc>
        <w:tc>
          <w:tcPr>
            <w:tcW w:w="1866" w:type="pct"/>
            <w:tcBorders>
              <w:top w:val="single" w:sz="2" w:space="0" w:color="auto"/>
              <w:left w:val="nil"/>
              <w:bottom w:val="single" w:sz="12" w:space="0" w:color="auto"/>
              <w:right w:val="nil"/>
            </w:tcBorders>
            <w:shd w:val="clear" w:color="auto" w:fill="auto"/>
            <w:vAlign w:val="center"/>
          </w:tcPr>
          <w:p w14:paraId="03572933" w14:textId="77777777" w:rsidR="00647C6B" w:rsidRPr="00A058B6" w:rsidRDefault="00647C6B" w:rsidP="009C0D79">
            <w:pPr>
              <w:pStyle w:val="Tabletext"/>
            </w:pPr>
            <w:r w:rsidRPr="00A058B6">
              <w:t>16</w:t>
            </w:r>
            <w:r w:rsidR="00D7157D">
              <w:t>.</w:t>
            </w:r>
            <w:r w:rsidRPr="00A058B6">
              <w:t>8118</w:t>
            </w:r>
          </w:p>
        </w:tc>
      </w:tr>
    </w:tbl>
    <w:p w14:paraId="0623E1D1" w14:textId="77777777" w:rsidR="00647C6B" w:rsidRPr="00A058B6" w:rsidRDefault="00647C6B" w:rsidP="00647C6B">
      <w:pPr>
        <w:pStyle w:val="Tabletext"/>
      </w:pPr>
    </w:p>
    <w:tbl>
      <w:tblPr>
        <w:tblW w:w="5000" w:type="pct"/>
        <w:jc w:val="right"/>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5400774D" w14:textId="77777777" w:rsidTr="00963115">
        <w:trPr>
          <w:cantSplit/>
          <w:trHeight w:val="375"/>
          <w:tblHeader/>
          <w:jc w:val="right"/>
        </w:trPr>
        <w:tc>
          <w:tcPr>
            <w:tcW w:w="1705" w:type="pct"/>
            <w:vMerge w:val="restart"/>
            <w:tcBorders>
              <w:top w:val="single" w:sz="12" w:space="0" w:color="auto"/>
              <w:bottom w:val="single" w:sz="12" w:space="0" w:color="auto"/>
            </w:tcBorders>
          </w:tcPr>
          <w:p w14:paraId="299AB451" w14:textId="77777777" w:rsidR="00647C6B" w:rsidRPr="00A058B6" w:rsidRDefault="00647C6B" w:rsidP="009C0D79">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F045368" w14:textId="77777777" w:rsidR="00647C6B" w:rsidRPr="00A058B6" w:rsidRDefault="00647C6B" w:rsidP="009C0D79">
            <w:pPr>
              <w:pStyle w:val="TableHeading"/>
              <w:rPr>
                <w:snapToGrid w:val="0"/>
              </w:rPr>
            </w:pPr>
            <w:r w:rsidRPr="00A058B6">
              <w:rPr>
                <w:snapToGrid w:val="0"/>
              </w:rPr>
              <w:t>Reversion valuation factors</w:t>
            </w:r>
            <w:r w:rsidRPr="00A058B6">
              <w:rPr>
                <w:snapToGrid w:val="0"/>
              </w:rPr>
              <w:br/>
              <w:t>No guarantee period—CPI indexed pension</w:t>
            </w:r>
          </w:p>
        </w:tc>
      </w:tr>
      <w:tr w:rsidR="00647C6B" w:rsidRPr="00A058B6" w14:paraId="2A299745" w14:textId="77777777" w:rsidTr="00963115">
        <w:trPr>
          <w:cantSplit/>
          <w:trHeight w:val="375"/>
          <w:tblHeader/>
          <w:jc w:val="right"/>
        </w:trPr>
        <w:tc>
          <w:tcPr>
            <w:tcW w:w="1705" w:type="pct"/>
            <w:vMerge/>
            <w:tcBorders>
              <w:bottom w:val="single" w:sz="12" w:space="0" w:color="auto"/>
            </w:tcBorders>
          </w:tcPr>
          <w:p w14:paraId="30ED997E" w14:textId="77777777" w:rsidR="00647C6B" w:rsidRPr="00A058B6" w:rsidRDefault="00647C6B" w:rsidP="009C0D79">
            <w:pPr>
              <w:pStyle w:val="TableHeading"/>
              <w:rPr>
                <w:snapToGrid w:val="0"/>
              </w:rPr>
            </w:pPr>
          </w:p>
        </w:tc>
        <w:tc>
          <w:tcPr>
            <w:tcW w:w="1417" w:type="pct"/>
            <w:tcBorders>
              <w:bottom w:val="single" w:sz="12" w:space="0" w:color="auto"/>
            </w:tcBorders>
          </w:tcPr>
          <w:p w14:paraId="26264C6B" w14:textId="77777777" w:rsidR="00647C6B" w:rsidRPr="00A058B6" w:rsidRDefault="00647C6B" w:rsidP="009C0D79">
            <w:pPr>
              <w:pStyle w:val="TableHeading"/>
              <w:rPr>
                <w:snapToGrid w:val="0"/>
              </w:rPr>
            </w:pPr>
            <w:r w:rsidRPr="00A058B6">
              <w:rPr>
                <w:snapToGrid w:val="0"/>
              </w:rPr>
              <w:t>Male</w:t>
            </w:r>
          </w:p>
        </w:tc>
        <w:tc>
          <w:tcPr>
            <w:tcW w:w="1878" w:type="pct"/>
            <w:tcBorders>
              <w:bottom w:val="single" w:sz="12" w:space="0" w:color="auto"/>
            </w:tcBorders>
          </w:tcPr>
          <w:p w14:paraId="264E6FF3" w14:textId="77777777" w:rsidR="00647C6B" w:rsidRPr="00A058B6" w:rsidRDefault="00647C6B" w:rsidP="009C0D79">
            <w:pPr>
              <w:pStyle w:val="TableHeading"/>
              <w:rPr>
                <w:snapToGrid w:val="0"/>
              </w:rPr>
            </w:pPr>
            <w:r w:rsidRPr="00A058B6">
              <w:rPr>
                <w:snapToGrid w:val="0"/>
              </w:rPr>
              <w:t>Female</w:t>
            </w:r>
          </w:p>
        </w:tc>
      </w:tr>
      <w:tr w:rsidR="00647C6B" w:rsidRPr="00A058B6" w14:paraId="18176EEE" w14:textId="77777777" w:rsidTr="00963115">
        <w:trPr>
          <w:cantSplit/>
          <w:trHeight w:val="245"/>
          <w:jc w:val="right"/>
        </w:trPr>
        <w:tc>
          <w:tcPr>
            <w:tcW w:w="1705" w:type="pct"/>
            <w:tcBorders>
              <w:top w:val="single" w:sz="12" w:space="0" w:color="auto"/>
            </w:tcBorders>
          </w:tcPr>
          <w:p w14:paraId="189CEB50"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center"/>
          </w:tcPr>
          <w:p w14:paraId="56FC2D35" w14:textId="77777777" w:rsidR="00647C6B" w:rsidRPr="00A058B6" w:rsidRDefault="00647C6B" w:rsidP="009C0D79">
            <w:pPr>
              <w:pStyle w:val="Tabletext"/>
            </w:pPr>
            <w:r w:rsidRPr="00A058B6">
              <w:t>2</w:t>
            </w:r>
            <w:r w:rsidR="00D7157D">
              <w:t>.</w:t>
            </w:r>
            <w:r w:rsidRPr="00A058B6">
              <w:t>115</w:t>
            </w:r>
          </w:p>
        </w:tc>
        <w:tc>
          <w:tcPr>
            <w:tcW w:w="1878" w:type="pct"/>
            <w:tcBorders>
              <w:top w:val="single" w:sz="12" w:space="0" w:color="auto"/>
              <w:left w:val="nil"/>
              <w:bottom w:val="single" w:sz="2" w:space="0" w:color="auto"/>
              <w:right w:val="nil"/>
            </w:tcBorders>
            <w:shd w:val="clear" w:color="auto" w:fill="auto"/>
            <w:vAlign w:val="center"/>
          </w:tcPr>
          <w:p w14:paraId="235F3F98" w14:textId="77777777" w:rsidR="00647C6B" w:rsidRPr="00A058B6" w:rsidRDefault="00647C6B" w:rsidP="009C0D79">
            <w:pPr>
              <w:pStyle w:val="Tabletext"/>
            </w:pPr>
            <w:r w:rsidRPr="00A058B6">
              <w:t>0</w:t>
            </w:r>
            <w:r w:rsidR="00D7157D">
              <w:t>.</w:t>
            </w:r>
            <w:r w:rsidRPr="00A058B6">
              <w:t>914</w:t>
            </w:r>
          </w:p>
        </w:tc>
      </w:tr>
      <w:tr w:rsidR="00647C6B" w:rsidRPr="00A058B6" w14:paraId="65DBEA09" w14:textId="77777777" w:rsidTr="00963115">
        <w:trPr>
          <w:cantSplit/>
          <w:trHeight w:val="245"/>
          <w:jc w:val="right"/>
        </w:trPr>
        <w:tc>
          <w:tcPr>
            <w:tcW w:w="1705" w:type="pct"/>
          </w:tcPr>
          <w:p w14:paraId="56076997"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center"/>
          </w:tcPr>
          <w:p w14:paraId="756AAA7B" w14:textId="77777777" w:rsidR="00647C6B" w:rsidRPr="00A058B6" w:rsidRDefault="00647C6B" w:rsidP="009C0D79">
            <w:pPr>
              <w:pStyle w:val="Tabletext"/>
            </w:pPr>
            <w:r w:rsidRPr="00A058B6">
              <w:t>2</w:t>
            </w:r>
            <w:r w:rsidR="00D7157D">
              <w:t>.</w:t>
            </w:r>
            <w:r w:rsidRPr="00A058B6">
              <w:t>045</w:t>
            </w:r>
          </w:p>
        </w:tc>
        <w:tc>
          <w:tcPr>
            <w:tcW w:w="1878" w:type="pct"/>
            <w:tcBorders>
              <w:top w:val="single" w:sz="2" w:space="0" w:color="auto"/>
              <w:left w:val="nil"/>
              <w:bottom w:val="single" w:sz="2" w:space="0" w:color="auto"/>
              <w:right w:val="nil"/>
            </w:tcBorders>
            <w:shd w:val="clear" w:color="auto" w:fill="auto"/>
            <w:vAlign w:val="center"/>
          </w:tcPr>
          <w:p w14:paraId="181B2EB7" w14:textId="77777777" w:rsidR="00647C6B" w:rsidRPr="00A058B6" w:rsidRDefault="00647C6B" w:rsidP="009C0D79">
            <w:pPr>
              <w:pStyle w:val="Tabletext"/>
            </w:pPr>
            <w:r w:rsidRPr="00A058B6">
              <w:t>0</w:t>
            </w:r>
            <w:r w:rsidR="00D7157D">
              <w:t>.</w:t>
            </w:r>
            <w:r w:rsidRPr="00A058B6">
              <w:t>859</w:t>
            </w:r>
          </w:p>
        </w:tc>
      </w:tr>
      <w:tr w:rsidR="00647C6B" w:rsidRPr="00A058B6" w14:paraId="5D65059B" w14:textId="77777777" w:rsidTr="00963115">
        <w:trPr>
          <w:cantSplit/>
          <w:trHeight w:val="245"/>
          <w:jc w:val="right"/>
        </w:trPr>
        <w:tc>
          <w:tcPr>
            <w:tcW w:w="1705" w:type="pct"/>
          </w:tcPr>
          <w:p w14:paraId="40AE4704"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center"/>
          </w:tcPr>
          <w:p w14:paraId="78E745EF" w14:textId="77777777" w:rsidR="00647C6B" w:rsidRPr="00A058B6" w:rsidRDefault="00647C6B" w:rsidP="009C0D79">
            <w:pPr>
              <w:pStyle w:val="Tabletext"/>
            </w:pPr>
            <w:r w:rsidRPr="00A058B6">
              <w:t>1</w:t>
            </w:r>
            <w:r w:rsidR="00D7157D">
              <w:t>.</w:t>
            </w:r>
            <w:r w:rsidRPr="00A058B6">
              <w:t>974</w:t>
            </w:r>
          </w:p>
        </w:tc>
        <w:tc>
          <w:tcPr>
            <w:tcW w:w="1878" w:type="pct"/>
            <w:tcBorders>
              <w:top w:val="single" w:sz="2" w:space="0" w:color="auto"/>
              <w:left w:val="nil"/>
              <w:bottom w:val="single" w:sz="2" w:space="0" w:color="auto"/>
              <w:right w:val="nil"/>
            </w:tcBorders>
            <w:shd w:val="clear" w:color="auto" w:fill="auto"/>
            <w:vAlign w:val="center"/>
          </w:tcPr>
          <w:p w14:paraId="5B72C7BA" w14:textId="77777777" w:rsidR="00647C6B" w:rsidRPr="00A058B6" w:rsidRDefault="00647C6B" w:rsidP="009C0D79">
            <w:pPr>
              <w:pStyle w:val="Tabletext"/>
            </w:pPr>
            <w:r w:rsidRPr="00A058B6">
              <w:t>0</w:t>
            </w:r>
            <w:r w:rsidR="00D7157D">
              <w:t>.</w:t>
            </w:r>
            <w:r w:rsidRPr="00A058B6">
              <w:t>804</w:t>
            </w:r>
          </w:p>
        </w:tc>
      </w:tr>
      <w:tr w:rsidR="00647C6B" w:rsidRPr="00A058B6" w14:paraId="08409D54" w14:textId="77777777" w:rsidTr="00963115">
        <w:trPr>
          <w:cantSplit/>
          <w:trHeight w:val="245"/>
          <w:jc w:val="right"/>
        </w:trPr>
        <w:tc>
          <w:tcPr>
            <w:tcW w:w="1705" w:type="pct"/>
          </w:tcPr>
          <w:p w14:paraId="0794FFC0"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center"/>
          </w:tcPr>
          <w:p w14:paraId="7A242690" w14:textId="77777777" w:rsidR="00647C6B" w:rsidRPr="00A058B6" w:rsidRDefault="00647C6B" w:rsidP="009C0D79">
            <w:pPr>
              <w:pStyle w:val="Tabletext"/>
            </w:pPr>
            <w:r w:rsidRPr="00A058B6">
              <w:t>1</w:t>
            </w:r>
            <w:r w:rsidR="00D7157D">
              <w:t>.</w:t>
            </w:r>
            <w:r w:rsidRPr="00A058B6">
              <w:t>904</w:t>
            </w:r>
          </w:p>
        </w:tc>
        <w:tc>
          <w:tcPr>
            <w:tcW w:w="1878" w:type="pct"/>
            <w:tcBorders>
              <w:top w:val="single" w:sz="2" w:space="0" w:color="auto"/>
              <w:left w:val="nil"/>
              <w:bottom w:val="single" w:sz="2" w:space="0" w:color="auto"/>
              <w:right w:val="nil"/>
            </w:tcBorders>
            <w:shd w:val="clear" w:color="auto" w:fill="auto"/>
            <w:vAlign w:val="center"/>
          </w:tcPr>
          <w:p w14:paraId="57E85CE5" w14:textId="77777777" w:rsidR="00647C6B" w:rsidRPr="00A058B6" w:rsidRDefault="00647C6B" w:rsidP="009C0D79">
            <w:pPr>
              <w:pStyle w:val="Tabletext"/>
            </w:pPr>
            <w:r w:rsidRPr="00A058B6">
              <w:t>0</w:t>
            </w:r>
            <w:r w:rsidR="00D7157D">
              <w:t>.</w:t>
            </w:r>
            <w:r w:rsidRPr="00A058B6">
              <w:t>749</w:t>
            </w:r>
          </w:p>
        </w:tc>
      </w:tr>
      <w:tr w:rsidR="00647C6B" w:rsidRPr="00A058B6" w14:paraId="2B9A7F3A" w14:textId="77777777" w:rsidTr="00963115">
        <w:trPr>
          <w:cantSplit/>
          <w:trHeight w:val="245"/>
          <w:jc w:val="right"/>
        </w:trPr>
        <w:tc>
          <w:tcPr>
            <w:tcW w:w="1705" w:type="pct"/>
          </w:tcPr>
          <w:p w14:paraId="31E054B7"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center"/>
          </w:tcPr>
          <w:p w14:paraId="061EC8FA" w14:textId="77777777" w:rsidR="00647C6B" w:rsidRPr="00A058B6" w:rsidRDefault="00647C6B" w:rsidP="009C0D79">
            <w:pPr>
              <w:pStyle w:val="Tabletext"/>
            </w:pPr>
            <w:r w:rsidRPr="00A058B6">
              <w:t>1</w:t>
            </w:r>
            <w:r w:rsidR="00D7157D">
              <w:t>.</w:t>
            </w:r>
            <w:r w:rsidRPr="00A058B6">
              <w:t>833</w:t>
            </w:r>
          </w:p>
        </w:tc>
        <w:tc>
          <w:tcPr>
            <w:tcW w:w="1878" w:type="pct"/>
            <w:tcBorders>
              <w:top w:val="single" w:sz="2" w:space="0" w:color="auto"/>
              <w:left w:val="nil"/>
              <w:bottom w:val="single" w:sz="2" w:space="0" w:color="auto"/>
              <w:right w:val="nil"/>
            </w:tcBorders>
            <w:shd w:val="clear" w:color="auto" w:fill="auto"/>
            <w:vAlign w:val="center"/>
          </w:tcPr>
          <w:p w14:paraId="6610BFC9" w14:textId="77777777" w:rsidR="00647C6B" w:rsidRPr="00A058B6" w:rsidRDefault="00647C6B" w:rsidP="009C0D79">
            <w:pPr>
              <w:pStyle w:val="Tabletext"/>
            </w:pPr>
            <w:r w:rsidRPr="00A058B6">
              <w:t>0</w:t>
            </w:r>
            <w:r w:rsidR="00D7157D">
              <w:t>.</w:t>
            </w:r>
            <w:r w:rsidRPr="00A058B6">
              <w:t>695</w:t>
            </w:r>
          </w:p>
        </w:tc>
      </w:tr>
      <w:tr w:rsidR="00647C6B" w:rsidRPr="00A058B6" w14:paraId="165BE77A" w14:textId="77777777" w:rsidTr="00963115">
        <w:trPr>
          <w:cantSplit/>
          <w:trHeight w:val="245"/>
          <w:jc w:val="right"/>
        </w:trPr>
        <w:tc>
          <w:tcPr>
            <w:tcW w:w="1705" w:type="pct"/>
          </w:tcPr>
          <w:p w14:paraId="610F9B8D"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center"/>
          </w:tcPr>
          <w:p w14:paraId="2ECF5501" w14:textId="77777777" w:rsidR="00647C6B" w:rsidRPr="00A058B6" w:rsidRDefault="00647C6B" w:rsidP="009C0D79">
            <w:pPr>
              <w:pStyle w:val="Tabletext"/>
            </w:pPr>
            <w:r w:rsidRPr="00A058B6">
              <w:t>1</w:t>
            </w:r>
            <w:r w:rsidR="00D7157D">
              <w:t>.</w:t>
            </w:r>
            <w:r w:rsidRPr="00A058B6">
              <w:t>763</w:t>
            </w:r>
          </w:p>
        </w:tc>
        <w:tc>
          <w:tcPr>
            <w:tcW w:w="1878" w:type="pct"/>
            <w:tcBorders>
              <w:top w:val="single" w:sz="2" w:space="0" w:color="auto"/>
              <w:left w:val="nil"/>
              <w:bottom w:val="single" w:sz="2" w:space="0" w:color="auto"/>
              <w:right w:val="nil"/>
            </w:tcBorders>
            <w:shd w:val="clear" w:color="auto" w:fill="auto"/>
            <w:vAlign w:val="center"/>
          </w:tcPr>
          <w:p w14:paraId="62FCC69A" w14:textId="77777777" w:rsidR="00647C6B" w:rsidRPr="00A058B6" w:rsidRDefault="00647C6B" w:rsidP="009C0D79">
            <w:pPr>
              <w:pStyle w:val="Tabletext"/>
            </w:pPr>
            <w:r w:rsidRPr="00A058B6">
              <w:t>0</w:t>
            </w:r>
            <w:r w:rsidR="00D7157D">
              <w:t>.</w:t>
            </w:r>
            <w:r w:rsidRPr="00A058B6">
              <w:t>640</w:t>
            </w:r>
          </w:p>
        </w:tc>
      </w:tr>
      <w:tr w:rsidR="00647C6B" w:rsidRPr="00A058B6" w14:paraId="1663DA5D" w14:textId="77777777" w:rsidTr="00963115">
        <w:trPr>
          <w:cantSplit/>
          <w:trHeight w:val="245"/>
          <w:jc w:val="right"/>
        </w:trPr>
        <w:tc>
          <w:tcPr>
            <w:tcW w:w="1705" w:type="pct"/>
          </w:tcPr>
          <w:p w14:paraId="5ECBEB84"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center"/>
          </w:tcPr>
          <w:p w14:paraId="501709A2" w14:textId="77777777" w:rsidR="00647C6B" w:rsidRPr="00A058B6" w:rsidRDefault="00647C6B" w:rsidP="009C0D79">
            <w:pPr>
              <w:pStyle w:val="Tabletext"/>
            </w:pPr>
            <w:r w:rsidRPr="00A058B6">
              <w:t>1</w:t>
            </w:r>
            <w:r w:rsidR="00D7157D">
              <w:t>.</w:t>
            </w:r>
            <w:r w:rsidRPr="00A058B6">
              <w:t>692</w:t>
            </w:r>
          </w:p>
        </w:tc>
        <w:tc>
          <w:tcPr>
            <w:tcW w:w="1878" w:type="pct"/>
            <w:tcBorders>
              <w:top w:val="single" w:sz="2" w:space="0" w:color="auto"/>
              <w:left w:val="nil"/>
              <w:bottom w:val="single" w:sz="2" w:space="0" w:color="auto"/>
              <w:right w:val="nil"/>
            </w:tcBorders>
            <w:shd w:val="clear" w:color="auto" w:fill="auto"/>
            <w:vAlign w:val="center"/>
          </w:tcPr>
          <w:p w14:paraId="1ED96E29" w14:textId="77777777" w:rsidR="00647C6B" w:rsidRPr="00A058B6" w:rsidRDefault="00647C6B" w:rsidP="009C0D79">
            <w:pPr>
              <w:pStyle w:val="Tabletext"/>
            </w:pPr>
            <w:r w:rsidRPr="00A058B6">
              <w:t>0</w:t>
            </w:r>
            <w:r w:rsidR="00D7157D">
              <w:t>.</w:t>
            </w:r>
            <w:r w:rsidRPr="00A058B6">
              <w:t>585</w:t>
            </w:r>
          </w:p>
        </w:tc>
      </w:tr>
      <w:tr w:rsidR="00647C6B" w:rsidRPr="00A058B6" w14:paraId="17BE9E4C" w14:textId="77777777" w:rsidTr="00963115">
        <w:trPr>
          <w:cantSplit/>
          <w:trHeight w:val="245"/>
          <w:jc w:val="right"/>
        </w:trPr>
        <w:tc>
          <w:tcPr>
            <w:tcW w:w="1705" w:type="pct"/>
          </w:tcPr>
          <w:p w14:paraId="0FBCCF7F"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center"/>
          </w:tcPr>
          <w:p w14:paraId="5970E6F8" w14:textId="77777777" w:rsidR="00647C6B" w:rsidRPr="00A058B6" w:rsidRDefault="00647C6B" w:rsidP="009C0D79">
            <w:pPr>
              <w:pStyle w:val="Tabletext"/>
            </w:pPr>
            <w:r w:rsidRPr="00A058B6">
              <w:t>1</w:t>
            </w:r>
            <w:r w:rsidR="00D7157D">
              <w:t>.</w:t>
            </w:r>
            <w:r w:rsidRPr="00A058B6">
              <w:t>622</w:t>
            </w:r>
          </w:p>
        </w:tc>
        <w:tc>
          <w:tcPr>
            <w:tcW w:w="1878" w:type="pct"/>
            <w:tcBorders>
              <w:top w:val="single" w:sz="2" w:space="0" w:color="auto"/>
              <w:left w:val="nil"/>
              <w:bottom w:val="single" w:sz="2" w:space="0" w:color="auto"/>
              <w:right w:val="nil"/>
            </w:tcBorders>
            <w:shd w:val="clear" w:color="auto" w:fill="auto"/>
            <w:vAlign w:val="center"/>
          </w:tcPr>
          <w:p w14:paraId="5B599BE6" w14:textId="77777777" w:rsidR="00647C6B" w:rsidRPr="00A058B6" w:rsidRDefault="00647C6B" w:rsidP="009C0D79">
            <w:pPr>
              <w:pStyle w:val="Tabletext"/>
            </w:pPr>
            <w:r w:rsidRPr="00A058B6">
              <w:t>0</w:t>
            </w:r>
            <w:r w:rsidR="00D7157D">
              <w:t>.</w:t>
            </w:r>
            <w:r w:rsidRPr="00A058B6">
              <w:t>530</w:t>
            </w:r>
          </w:p>
        </w:tc>
      </w:tr>
      <w:tr w:rsidR="00647C6B" w:rsidRPr="00A058B6" w14:paraId="330655D3" w14:textId="77777777" w:rsidTr="00963115">
        <w:trPr>
          <w:cantSplit/>
          <w:trHeight w:val="245"/>
          <w:jc w:val="right"/>
        </w:trPr>
        <w:tc>
          <w:tcPr>
            <w:tcW w:w="1705" w:type="pct"/>
          </w:tcPr>
          <w:p w14:paraId="06CB97FD"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center"/>
          </w:tcPr>
          <w:p w14:paraId="4B92783C" w14:textId="77777777" w:rsidR="00647C6B" w:rsidRPr="00A058B6" w:rsidRDefault="00647C6B" w:rsidP="009C0D79">
            <w:pPr>
              <w:pStyle w:val="Tabletext"/>
            </w:pPr>
            <w:r w:rsidRPr="00A058B6">
              <w:t>1</w:t>
            </w:r>
            <w:r w:rsidR="00D7157D">
              <w:t>.</w:t>
            </w:r>
            <w:r w:rsidRPr="00A058B6">
              <w:t>551</w:t>
            </w:r>
          </w:p>
        </w:tc>
        <w:tc>
          <w:tcPr>
            <w:tcW w:w="1878" w:type="pct"/>
            <w:tcBorders>
              <w:top w:val="single" w:sz="2" w:space="0" w:color="auto"/>
              <w:left w:val="nil"/>
              <w:bottom w:val="single" w:sz="2" w:space="0" w:color="auto"/>
              <w:right w:val="nil"/>
            </w:tcBorders>
            <w:shd w:val="clear" w:color="auto" w:fill="auto"/>
            <w:vAlign w:val="center"/>
          </w:tcPr>
          <w:p w14:paraId="4D1B7FE5" w14:textId="77777777" w:rsidR="00647C6B" w:rsidRPr="00A058B6" w:rsidRDefault="00647C6B" w:rsidP="009C0D79">
            <w:pPr>
              <w:pStyle w:val="Tabletext"/>
            </w:pPr>
            <w:r w:rsidRPr="00A058B6">
              <w:t>0</w:t>
            </w:r>
            <w:r w:rsidR="00D7157D">
              <w:t>.</w:t>
            </w:r>
            <w:r w:rsidRPr="00A058B6">
              <w:t>475</w:t>
            </w:r>
          </w:p>
        </w:tc>
      </w:tr>
      <w:tr w:rsidR="00647C6B" w:rsidRPr="00A058B6" w14:paraId="0836B99C" w14:textId="77777777" w:rsidTr="00963115">
        <w:trPr>
          <w:cantSplit/>
          <w:trHeight w:val="245"/>
          <w:jc w:val="right"/>
        </w:trPr>
        <w:tc>
          <w:tcPr>
            <w:tcW w:w="1705" w:type="pct"/>
          </w:tcPr>
          <w:p w14:paraId="15174D22"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center"/>
          </w:tcPr>
          <w:p w14:paraId="39F6BDC9" w14:textId="77777777" w:rsidR="00647C6B" w:rsidRPr="00A058B6" w:rsidRDefault="00647C6B" w:rsidP="009C0D79">
            <w:pPr>
              <w:pStyle w:val="Tabletext"/>
            </w:pPr>
            <w:r w:rsidRPr="00A058B6">
              <w:t>1</w:t>
            </w:r>
            <w:r w:rsidR="00D7157D">
              <w:t>.</w:t>
            </w:r>
            <w:r w:rsidRPr="00A058B6">
              <w:t>481</w:t>
            </w:r>
          </w:p>
        </w:tc>
        <w:tc>
          <w:tcPr>
            <w:tcW w:w="1878" w:type="pct"/>
            <w:tcBorders>
              <w:top w:val="single" w:sz="2" w:space="0" w:color="auto"/>
              <w:left w:val="nil"/>
              <w:bottom w:val="single" w:sz="2" w:space="0" w:color="auto"/>
              <w:right w:val="nil"/>
            </w:tcBorders>
            <w:shd w:val="clear" w:color="auto" w:fill="auto"/>
            <w:vAlign w:val="center"/>
          </w:tcPr>
          <w:p w14:paraId="49DB96D8" w14:textId="77777777" w:rsidR="00647C6B" w:rsidRPr="00A058B6" w:rsidRDefault="00647C6B" w:rsidP="009C0D79">
            <w:pPr>
              <w:pStyle w:val="Tabletext"/>
            </w:pPr>
            <w:r w:rsidRPr="00A058B6">
              <w:t>0</w:t>
            </w:r>
            <w:r w:rsidR="00D7157D">
              <w:t>.</w:t>
            </w:r>
            <w:r w:rsidRPr="00A058B6">
              <w:t>420</w:t>
            </w:r>
          </w:p>
        </w:tc>
      </w:tr>
      <w:tr w:rsidR="00647C6B" w:rsidRPr="00A058B6" w14:paraId="555DF26E" w14:textId="77777777" w:rsidTr="00963115">
        <w:trPr>
          <w:trHeight w:val="245"/>
          <w:jc w:val="right"/>
        </w:trPr>
        <w:tc>
          <w:tcPr>
            <w:tcW w:w="1705" w:type="pct"/>
          </w:tcPr>
          <w:p w14:paraId="367B40AE"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center"/>
          </w:tcPr>
          <w:p w14:paraId="316D3717" w14:textId="77777777" w:rsidR="00647C6B" w:rsidRPr="00A058B6" w:rsidRDefault="00647C6B" w:rsidP="009C0D79">
            <w:pPr>
              <w:pStyle w:val="Tabletext"/>
            </w:pPr>
            <w:r w:rsidRPr="00A058B6">
              <w:t>1</w:t>
            </w:r>
            <w:r w:rsidR="00D7157D">
              <w:t>.</w:t>
            </w:r>
            <w:r w:rsidRPr="00A058B6">
              <w:t>410</w:t>
            </w:r>
          </w:p>
        </w:tc>
        <w:tc>
          <w:tcPr>
            <w:tcW w:w="1878" w:type="pct"/>
            <w:tcBorders>
              <w:top w:val="single" w:sz="2" w:space="0" w:color="auto"/>
              <w:left w:val="nil"/>
              <w:bottom w:val="single" w:sz="2" w:space="0" w:color="auto"/>
              <w:right w:val="nil"/>
            </w:tcBorders>
            <w:shd w:val="clear" w:color="auto" w:fill="auto"/>
            <w:vAlign w:val="center"/>
          </w:tcPr>
          <w:p w14:paraId="45E74C11" w14:textId="77777777" w:rsidR="00647C6B" w:rsidRPr="00A058B6" w:rsidRDefault="00647C6B" w:rsidP="009C0D79">
            <w:pPr>
              <w:pStyle w:val="Tabletext"/>
            </w:pPr>
            <w:r w:rsidRPr="00A058B6">
              <w:t>0</w:t>
            </w:r>
            <w:r w:rsidR="00D7157D">
              <w:t>.</w:t>
            </w:r>
            <w:r w:rsidRPr="00A058B6">
              <w:t>366</w:t>
            </w:r>
          </w:p>
        </w:tc>
      </w:tr>
      <w:tr w:rsidR="00647C6B" w:rsidRPr="00A058B6" w14:paraId="64B49336" w14:textId="77777777" w:rsidTr="00963115">
        <w:trPr>
          <w:trHeight w:val="245"/>
          <w:jc w:val="right"/>
        </w:trPr>
        <w:tc>
          <w:tcPr>
            <w:tcW w:w="1705" w:type="pct"/>
          </w:tcPr>
          <w:p w14:paraId="102A4007"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center"/>
          </w:tcPr>
          <w:p w14:paraId="3FE70CC2" w14:textId="77777777" w:rsidR="00647C6B" w:rsidRPr="00A058B6" w:rsidRDefault="00647C6B" w:rsidP="009C0D79">
            <w:pPr>
              <w:pStyle w:val="Tabletext"/>
            </w:pPr>
            <w:r w:rsidRPr="00A058B6">
              <w:t>1</w:t>
            </w:r>
            <w:r w:rsidR="00D7157D">
              <w:t>.</w:t>
            </w:r>
            <w:r w:rsidRPr="00A058B6">
              <w:t>199</w:t>
            </w:r>
          </w:p>
        </w:tc>
        <w:tc>
          <w:tcPr>
            <w:tcW w:w="1878" w:type="pct"/>
            <w:tcBorders>
              <w:top w:val="single" w:sz="2" w:space="0" w:color="auto"/>
              <w:left w:val="nil"/>
              <w:bottom w:val="single" w:sz="2" w:space="0" w:color="auto"/>
              <w:right w:val="nil"/>
            </w:tcBorders>
            <w:shd w:val="clear" w:color="auto" w:fill="auto"/>
            <w:vAlign w:val="center"/>
          </w:tcPr>
          <w:p w14:paraId="1DE13B81" w14:textId="77777777" w:rsidR="00647C6B" w:rsidRPr="00A058B6" w:rsidRDefault="00647C6B" w:rsidP="009C0D79">
            <w:pPr>
              <w:pStyle w:val="Tabletext"/>
            </w:pPr>
            <w:r w:rsidRPr="00A058B6">
              <w:t>0</w:t>
            </w:r>
            <w:r w:rsidR="00D7157D">
              <w:t>.</w:t>
            </w:r>
            <w:r w:rsidRPr="00A058B6">
              <w:t>311</w:t>
            </w:r>
          </w:p>
        </w:tc>
      </w:tr>
      <w:tr w:rsidR="00647C6B" w:rsidRPr="00A058B6" w14:paraId="53C992DD" w14:textId="77777777" w:rsidTr="00963115">
        <w:trPr>
          <w:trHeight w:val="245"/>
          <w:jc w:val="right"/>
        </w:trPr>
        <w:tc>
          <w:tcPr>
            <w:tcW w:w="1705" w:type="pct"/>
          </w:tcPr>
          <w:p w14:paraId="7E80662A"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center"/>
          </w:tcPr>
          <w:p w14:paraId="1EDC5A83" w14:textId="77777777" w:rsidR="00647C6B" w:rsidRPr="00A058B6" w:rsidRDefault="00647C6B" w:rsidP="009C0D79">
            <w:pPr>
              <w:pStyle w:val="Tabletext"/>
            </w:pPr>
            <w:r w:rsidRPr="00A058B6">
              <w:t>0</w:t>
            </w:r>
            <w:r w:rsidR="00D7157D">
              <w:t>.</w:t>
            </w:r>
            <w:r w:rsidRPr="00A058B6">
              <w:t>987</w:t>
            </w:r>
          </w:p>
        </w:tc>
        <w:tc>
          <w:tcPr>
            <w:tcW w:w="1878" w:type="pct"/>
            <w:tcBorders>
              <w:top w:val="single" w:sz="2" w:space="0" w:color="auto"/>
              <w:left w:val="nil"/>
              <w:bottom w:val="single" w:sz="2" w:space="0" w:color="auto"/>
              <w:right w:val="nil"/>
            </w:tcBorders>
            <w:shd w:val="clear" w:color="auto" w:fill="auto"/>
            <w:vAlign w:val="center"/>
          </w:tcPr>
          <w:p w14:paraId="068913CF" w14:textId="77777777" w:rsidR="00647C6B" w:rsidRPr="00A058B6" w:rsidRDefault="00647C6B" w:rsidP="009C0D79">
            <w:pPr>
              <w:pStyle w:val="Tabletext"/>
            </w:pPr>
            <w:r w:rsidRPr="00A058B6">
              <w:t>0</w:t>
            </w:r>
            <w:r w:rsidR="00D7157D">
              <w:t>.</w:t>
            </w:r>
            <w:r w:rsidRPr="00A058B6">
              <w:t>256</w:t>
            </w:r>
          </w:p>
        </w:tc>
      </w:tr>
      <w:tr w:rsidR="00647C6B" w:rsidRPr="00A058B6" w14:paraId="3DE42994" w14:textId="77777777" w:rsidTr="00963115">
        <w:trPr>
          <w:trHeight w:val="245"/>
          <w:jc w:val="right"/>
        </w:trPr>
        <w:tc>
          <w:tcPr>
            <w:tcW w:w="1705" w:type="pct"/>
          </w:tcPr>
          <w:p w14:paraId="7713F7A2"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center"/>
          </w:tcPr>
          <w:p w14:paraId="540FE967" w14:textId="77777777" w:rsidR="00647C6B" w:rsidRPr="00A058B6" w:rsidRDefault="00647C6B" w:rsidP="009C0D79">
            <w:pPr>
              <w:pStyle w:val="Tabletext"/>
            </w:pPr>
            <w:r w:rsidRPr="00A058B6">
              <w:t>0</w:t>
            </w:r>
            <w:r w:rsidR="00D7157D">
              <w:t>.</w:t>
            </w:r>
            <w:r w:rsidRPr="00A058B6">
              <w:t>776</w:t>
            </w:r>
          </w:p>
        </w:tc>
        <w:tc>
          <w:tcPr>
            <w:tcW w:w="1878" w:type="pct"/>
            <w:tcBorders>
              <w:top w:val="single" w:sz="2" w:space="0" w:color="auto"/>
              <w:left w:val="nil"/>
              <w:bottom w:val="single" w:sz="2" w:space="0" w:color="auto"/>
              <w:right w:val="nil"/>
            </w:tcBorders>
            <w:shd w:val="clear" w:color="auto" w:fill="auto"/>
            <w:vAlign w:val="center"/>
          </w:tcPr>
          <w:p w14:paraId="0179EF76" w14:textId="77777777" w:rsidR="00647C6B" w:rsidRPr="00A058B6" w:rsidRDefault="00647C6B" w:rsidP="009C0D79">
            <w:pPr>
              <w:pStyle w:val="Tabletext"/>
            </w:pPr>
            <w:r w:rsidRPr="00A058B6">
              <w:t>0</w:t>
            </w:r>
            <w:r w:rsidR="00D7157D">
              <w:t>.</w:t>
            </w:r>
            <w:r w:rsidRPr="00A058B6">
              <w:t>201</w:t>
            </w:r>
          </w:p>
        </w:tc>
      </w:tr>
      <w:tr w:rsidR="00647C6B" w:rsidRPr="00A058B6" w14:paraId="678E57C0" w14:textId="77777777" w:rsidTr="00963115">
        <w:trPr>
          <w:trHeight w:val="245"/>
          <w:jc w:val="right"/>
        </w:trPr>
        <w:tc>
          <w:tcPr>
            <w:tcW w:w="1705" w:type="pct"/>
            <w:tcBorders>
              <w:bottom w:val="single" w:sz="4" w:space="0" w:color="auto"/>
            </w:tcBorders>
          </w:tcPr>
          <w:p w14:paraId="751BF6F1"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center"/>
          </w:tcPr>
          <w:p w14:paraId="4CDD8199" w14:textId="77777777" w:rsidR="00647C6B" w:rsidRPr="00A058B6" w:rsidRDefault="00647C6B" w:rsidP="009C0D79">
            <w:pPr>
              <w:pStyle w:val="Tabletext"/>
            </w:pPr>
            <w:r w:rsidRPr="00A058B6">
              <w:t>0</w:t>
            </w:r>
            <w:r w:rsidR="00D7157D">
              <w:t>.</w:t>
            </w:r>
            <w:r w:rsidRPr="00A058B6">
              <w:t>564</w:t>
            </w:r>
          </w:p>
        </w:tc>
        <w:tc>
          <w:tcPr>
            <w:tcW w:w="1878" w:type="pct"/>
            <w:tcBorders>
              <w:top w:val="single" w:sz="2" w:space="0" w:color="auto"/>
              <w:left w:val="nil"/>
              <w:bottom w:val="single" w:sz="2" w:space="0" w:color="auto"/>
              <w:right w:val="nil"/>
            </w:tcBorders>
            <w:shd w:val="clear" w:color="auto" w:fill="auto"/>
            <w:vAlign w:val="center"/>
          </w:tcPr>
          <w:p w14:paraId="68C1A2C5" w14:textId="77777777" w:rsidR="00647C6B" w:rsidRPr="00A058B6" w:rsidRDefault="00647C6B" w:rsidP="009C0D79">
            <w:pPr>
              <w:pStyle w:val="Tabletext"/>
            </w:pPr>
            <w:r w:rsidRPr="00A058B6">
              <w:t>0</w:t>
            </w:r>
            <w:r w:rsidR="00D7157D">
              <w:t>.</w:t>
            </w:r>
            <w:r w:rsidRPr="00A058B6">
              <w:t>146</w:t>
            </w:r>
          </w:p>
        </w:tc>
      </w:tr>
      <w:tr w:rsidR="00647C6B" w:rsidRPr="00A058B6" w14:paraId="01FEBD20" w14:textId="77777777" w:rsidTr="00963115">
        <w:trPr>
          <w:trHeight w:val="245"/>
          <w:jc w:val="right"/>
        </w:trPr>
        <w:tc>
          <w:tcPr>
            <w:tcW w:w="1705" w:type="pct"/>
            <w:tcBorders>
              <w:bottom w:val="single" w:sz="12" w:space="0" w:color="auto"/>
            </w:tcBorders>
          </w:tcPr>
          <w:p w14:paraId="5AC94813"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center"/>
          </w:tcPr>
          <w:p w14:paraId="76DEED3F" w14:textId="77777777" w:rsidR="00647C6B" w:rsidRPr="00A058B6" w:rsidRDefault="00647C6B" w:rsidP="009C0D79">
            <w:pPr>
              <w:pStyle w:val="Tabletext"/>
            </w:pPr>
            <w:r w:rsidRPr="00A058B6">
              <w:t>0</w:t>
            </w:r>
            <w:r w:rsidR="00D7157D">
              <w:t>.</w:t>
            </w:r>
            <w:r w:rsidRPr="00A058B6">
              <w:t>353</w:t>
            </w:r>
          </w:p>
        </w:tc>
        <w:tc>
          <w:tcPr>
            <w:tcW w:w="1878" w:type="pct"/>
            <w:tcBorders>
              <w:top w:val="single" w:sz="2" w:space="0" w:color="auto"/>
              <w:left w:val="nil"/>
              <w:bottom w:val="single" w:sz="12" w:space="0" w:color="auto"/>
              <w:right w:val="nil"/>
            </w:tcBorders>
            <w:shd w:val="clear" w:color="auto" w:fill="auto"/>
            <w:vAlign w:val="center"/>
          </w:tcPr>
          <w:p w14:paraId="61407CC0" w14:textId="77777777" w:rsidR="00647C6B" w:rsidRPr="00A058B6" w:rsidRDefault="00647C6B" w:rsidP="009C0D79">
            <w:pPr>
              <w:pStyle w:val="Tabletext"/>
            </w:pPr>
            <w:r w:rsidRPr="00A058B6">
              <w:t>0</w:t>
            </w:r>
            <w:r w:rsidR="00D7157D">
              <w:t>.</w:t>
            </w:r>
            <w:r w:rsidRPr="00A058B6">
              <w:t>091</w:t>
            </w:r>
          </w:p>
        </w:tc>
      </w:tr>
    </w:tbl>
    <w:p w14:paraId="24AA3344" w14:textId="5467F1D9" w:rsidR="00647C6B" w:rsidRPr="00A058B6" w:rsidRDefault="00D7157D" w:rsidP="00647C6B">
      <w:pPr>
        <w:pStyle w:val="ActHead5"/>
      </w:pPr>
      <w:bookmarkStart w:id="246" w:name="_Toc188350724"/>
      <w:r w:rsidRPr="00423C34">
        <w:rPr>
          <w:rStyle w:val="CharSectno"/>
        </w:rPr>
        <w:t>8</w:t>
      </w:r>
      <w:r w:rsidR="00647C6B" w:rsidRPr="00A058B6">
        <w:t xml:space="preserve">  Valuation factors—no guarantee period—CPI indexed pension with 5% cap</w:t>
      </w:r>
      <w:bookmarkEnd w:id="246"/>
    </w:p>
    <w:p w14:paraId="307D8BDA"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5B6AF400" w14:textId="77777777" w:rsidR="00647C6B" w:rsidRPr="00A058B6" w:rsidRDefault="00647C6B" w:rsidP="00647C6B">
      <w:pPr>
        <w:pStyle w:val="paragraph"/>
      </w:pPr>
      <w:r w:rsidRPr="00A058B6">
        <w:tab/>
        <w:t>(a)</w:t>
      </w:r>
      <w:r w:rsidRPr="00A058B6">
        <w:tab/>
        <w:t>has no guarantee period; and</w:t>
      </w:r>
    </w:p>
    <w:p w14:paraId="311F7A9E" w14:textId="77777777" w:rsidR="00647C6B" w:rsidRPr="00A058B6" w:rsidRDefault="00647C6B" w:rsidP="00647C6B">
      <w:pPr>
        <w:pStyle w:val="paragraph"/>
      </w:pPr>
      <w:r w:rsidRPr="00A058B6">
        <w:tab/>
        <w:t>(b)</w:t>
      </w:r>
      <w:r w:rsidRPr="00A058B6">
        <w:tab/>
        <w:t>is indexed in accordance with the consumer price index with a cap of 5%</w:t>
      </w:r>
      <w:r w:rsidR="00D7157D">
        <w:t>.</w:t>
      </w:r>
    </w:p>
    <w:p w14:paraId="1FAFD857"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76"/>
        <w:gridCol w:w="3102"/>
      </w:tblGrid>
      <w:tr w:rsidR="00647C6B" w:rsidRPr="00A058B6" w14:paraId="18075F5C" w14:textId="77777777" w:rsidTr="00963115">
        <w:trPr>
          <w:cantSplit/>
          <w:trHeight w:val="375"/>
          <w:tblHeader/>
          <w:jc w:val="right"/>
        </w:trPr>
        <w:tc>
          <w:tcPr>
            <w:tcW w:w="1705" w:type="pct"/>
            <w:vMerge w:val="restart"/>
            <w:tcBorders>
              <w:top w:val="single" w:sz="12" w:space="0" w:color="auto"/>
              <w:bottom w:val="single" w:sz="12" w:space="0" w:color="auto"/>
            </w:tcBorders>
          </w:tcPr>
          <w:p w14:paraId="380B4C62" w14:textId="77777777" w:rsidR="00647C6B" w:rsidRPr="00A058B6" w:rsidRDefault="00647C6B" w:rsidP="009C0D79">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247E3015" w14:textId="77777777" w:rsidR="00647C6B" w:rsidRPr="00A058B6" w:rsidRDefault="00647C6B" w:rsidP="009C0D79">
            <w:pPr>
              <w:pStyle w:val="TableHeading"/>
              <w:rPr>
                <w:snapToGrid w:val="0"/>
              </w:rPr>
            </w:pPr>
            <w:r w:rsidRPr="00A058B6">
              <w:rPr>
                <w:snapToGrid w:val="0"/>
              </w:rPr>
              <w:t>Pension valuation factors</w:t>
            </w:r>
            <w:r w:rsidRPr="00A058B6">
              <w:rPr>
                <w:snapToGrid w:val="0"/>
              </w:rPr>
              <w:br/>
              <w:t>No guarantee period</w:t>
            </w:r>
            <w:r w:rsidRPr="00A058B6">
              <w:rPr>
                <w:snapToGrid w:val="0"/>
              </w:rPr>
              <w:br/>
              <w:t>CPI indexed pension with 5% cap</w:t>
            </w:r>
          </w:p>
        </w:tc>
      </w:tr>
      <w:tr w:rsidR="00647C6B" w:rsidRPr="00A058B6" w14:paraId="16307714" w14:textId="77777777" w:rsidTr="00963115">
        <w:trPr>
          <w:cantSplit/>
          <w:trHeight w:val="70"/>
          <w:tblHeader/>
          <w:jc w:val="right"/>
        </w:trPr>
        <w:tc>
          <w:tcPr>
            <w:tcW w:w="1705" w:type="pct"/>
            <w:vMerge/>
            <w:tcBorders>
              <w:top w:val="single" w:sz="4" w:space="0" w:color="auto"/>
              <w:bottom w:val="single" w:sz="12" w:space="0" w:color="auto"/>
            </w:tcBorders>
          </w:tcPr>
          <w:p w14:paraId="6DE21C11" w14:textId="77777777" w:rsidR="00647C6B" w:rsidRPr="00A058B6" w:rsidRDefault="00647C6B" w:rsidP="009C0D79">
            <w:pPr>
              <w:pStyle w:val="TableHeading"/>
              <w:rPr>
                <w:snapToGrid w:val="0"/>
              </w:rPr>
            </w:pPr>
          </w:p>
        </w:tc>
        <w:tc>
          <w:tcPr>
            <w:tcW w:w="1429" w:type="pct"/>
            <w:tcBorders>
              <w:top w:val="single" w:sz="4" w:space="0" w:color="auto"/>
              <w:bottom w:val="single" w:sz="12" w:space="0" w:color="auto"/>
            </w:tcBorders>
          </w:tcPr>
          <w:p w14:paraId="165BBB9A" w14:textId="77777777" w:rsidR="00647C6B" w:rsidRPr="00A058B6" w:rsidRDefault="00647C6B" w:rsidP="009C0D79">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5838CD7F" w14:textId="77777777" w:rsidR="00647C6B" w:rsidRPr="00A058B6" w:rsidRDefault="00647C6B" w:rsidP="009C0D79">
            <w:pPr>
              <w:pStyle w:val="TableHeading"/>
              <w:rPr>
                <w:snapToGrid w:val="0"/>
              </w:rPr>
            </w:pPr>
            <w:r w:rsidRPr="00A058B6">
              <w:rPr>
                <w:snapToGrid w:val="0"/>
              </w:rPr>
              <w:t>Female</w:t>
            </w:r>
          </w:p>
        </w:tc>
      </w:tr>
      <w:tr w:rsidR="00647C6B" w:rsidRPr="00A058B6" w14:paraId="3444A62C" w14:textId="77777777" w:rsidTr="00963115">
        <w:trPr>
          <w:trHeight w:val="245"/>
          <w:jc w:val="right"/>
        </w:trPr>
        <w:tc>
          <w:tcPr>
            <w:tcW w:w="1705" w:type="pct"/>
            <w:tcBorders>
              <w:top w:val="single" w:sz="12" w:space="0" w:color="auto"/>
            </w:tcBorders>
          </w:tcPr>
          <w:p w14:paraId="5C54E9FE"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40A1AA29" w14:textId="77777777" w:rsidR="00647C6B" w:rsidRPr="00A058B6" w:rsidRDefault="00647C6B" w:rsidP="009C0D79">
            <w:pPr>
              <w:pStyle w:val="Tabletext"/>
            </w:pPr>
            <w:r w:rsidRPr="00A058B6">
              <w:t>19</w:t>
            </w:r>
            <w:r w:rsidR="00D7157D">
              <w:t>.</w:t>
            </w:r>
            <w:r w:rsidRPr="00A058B6">
              <w:t>3805</w:t>
            </w:r>
          </w:p>
        </w:tc>
        <w:tc>
          <w:tcPr>
            <w:tcW w:w="1866" w:type="pct"/>
            <w:tcBorders>
              <w:top w:val="single" w:sz="12" w:space="0" w:color="auto"/>
              <w:left w:val="nil"/>
              <w:bottom w:val="single" w:sz="2" w:space="0" w:color="auto"/>
              <w:right w:val="nil"/>
            </w:tcBorders>
            <w:shd w:val="clear" w:color="auto" w:fill="auto"/>
            <w:vAlign w:val="center"/>
          </w:tcPr>
          <w:p w14:paraId="1509CE86" w14:textId="77777777" w:rsidR="00647C6B" w:rsidRPr="00A058B6" w:rsidRDefault="00647C6B" w:rsidP="009C0D79">
            <w:pPr>
              <w:pStyle w:val="Tabletext"/>
            </w:pPr>
            <w:r w:rsidRPr="00A058B6">
              <w:t>20</w:t>
            </w:r>
            <w:r w:rsidR="00D7157D">
              <w:t>.</w:t>
            </w:r>
            <w:r w:rsidRPr="00A058B6">
              <w:t>1613</w:t>
            </w:r>
          </w:p>
        </w:tc>
      </w:tr>
      <w:tr w:rsidR="00647C6B" w:rsidRPr="00A058B6" w14:paraId="463589D6" w14:textId="77777777" w:rsidTr="00963115">
        <w:trPr>
          <w:trHeight w:val="245"/>
          <w:jc w:val="right"/>
        </w:trPr>
        <w:tc>
          <w:tcPr>
            <w:tcW w:w="1705" w:type="pct"/>
          </w:tcPr>
          <w:p w14:paraId="48A7C85D"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67BE8494" w14:textId="77777777" w:rsidR="00647C6B" w:rsidRPr="00A058B6" w:rsidRDefault="00647C6B" w:rsidP="009C0D79">
            <w:pPr>
              <w:pStyle w:val="Tabletext"/>
            </w:pPr>
            <w:r w:rsidRPr="00A058B6">
              <w:t>19</w:t>
            </w:r>
            <w:r w:rsidR="00D7157D">
              <w:t>.</w:t>
            </w:r>
            <w:r w:rsidRPr="00A058B6">
              <w:t>0600</w:t>
            </w:r>
          </w:p>
        </w:tc>
        <w:tc>
          <w:tcPr>
            <w:tcW w:w="1866" w:type="pct"/>
            <w:tcBorders>
              <w:top w:val="single" w:sz="2" w:space="0" w:color="auto"/>
              <w:left w:val="nil"/>
              <w:bottom w:val="single" w:sz="2" w:space="0" w:color="auto"/>
              <w:right w:val="nil"/>
            </w:tcBorders>
            <w:shd w:val="clear" w:color="auto" w:fill="auto"/>
            <w:vAlign w:val="center"/>
          </w:tcPr>
          <w:p w14:paraId="12F11815" w14:textId="77777777" w:rsidR="00647C6B" w:rsidRPr="00A058B6" w:rsidRDefault="00647C6B" w:rsidP="009C0D79">
            <w:pPr>
              <w:pStyle w:val="Tabletext"/>
            </w:pPr>
            <w:r w:rsidRPr="00A058B6">
              <w:t>19</w:t>
            </w:r>
            <w:r w:rsidR="00D7157D">
              <w:t>.</w:t>
            </w:r>
            <w:r w:rsidRPr="00A058B6">
              <w:t>8564</w:t>
            </w:r>
          </w:p>
        </w:tc>
      </w:tr>
      <w:tr w:rsidR="00647C6B" w:rsidRPr="00A058B6" w14:paraId="356007F3" w14:textId="77777777" w:rsidTr="00963115">
        <w:trPr>
          <w:trHeight w:val="245"/>
          <w:jc w:val="right"/>
        </w:trPr>
        <w:tc>
          <w:tcPr>
            <w:tcW w:w="1705" w:type="pct"/>
          </w:tcPr>
          <w:p w14:paraId="0EF5B707"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037B4AAF" w14:textId="77777777" w:rsidR="00647C6B" w:rsidRPr="00A058B6" w:rsidRDefault="00647C6B" w:rsidP="009C0D79">
            <w:pPr>
              <w:pStyle w:val="Tabletext"/>
            </w:pPr>
            <w:r w:rsidRPr="00A058B6">
              <w:t>18</w:t>
            </w:r>
            <w:r w:rsidR="00D7157D">
              <w:t>.</w:t>
            </w:r>
            <w:r w:rsidRPr="00A058B6">
              <w:t>7285</w:t>
            </w:r>
          </w:p>
        </w:tc>
        <w:tc>
          <w:tcPr>
            <w:tcW w:w="1866" w:type="pct"/>
            <w:tcBorders>
              <w:top w:val="single" w:sz="2" w:space="0" w:color="auto"/>
              <w:left w:val="nil"/>
              <w:bottom w:val="single" w:sz="2" w:space="0" w:color="auto"/>
              <w:right w:val="nil"/>
            </w:tcBorders>
            <w:shd w:val="clear" w:color="auto" w:fill="auto"/>
            <w:vAlign w:val="center"/>
          </w:tcPr>
          <w:p w14:paraId="2BECC576" w14:textId="77777777" w:rsidR="00647C6B" w:rsidRPr="00A058B6" w:rsidRDefault="00647C6B" w:rsidP="009C0D79">
            <w:pPr>
              <w:pStyle w:val="Tabletext"/>
            </w:pPr>
            <w:r w:rsidRPr="00A058B6">
              <w:t>19</w:t>
            </w:r>
            <w:r w:rsidR="00D7157D">
              <w:t>.</w:t>
            </w:r>
            <w:r w:rsidRPr="00A058B6">
              <w:t>5423</w:t>
            </w:r>
          </w:p>
        </w:tc>
      </w:tr>
      <w:tr w:rsidR="00647C6B" w:rsidRPr="00A058B6" w14:paraId="4459BC04" w14:textId="77777777" w:rsidTr="00963115">
        <w:trPr>
          <w:trHeight w:val="245"/>
          <w:jc w:val="right"/>
        </w:trPr>
        <w:tc>
          <w:tcPr>
            <w:tcW w:w="1705" w:type="pct"/>
          </w:tcPr>
          <w:p w14:paraId="401DC514"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511E54E6" w14:textId="77777777" w:rsidR="00647C6B" w:rsidRPr="00A058B6" w:rsidRDefault="00647C6B" w:rsidP="009C0D79">
            <w:pPr>
              <w:pStyle w:val="Tabletext"/>
            </w:pPr>
            <w:r w:rsidRPr="00A058B6">
              <w:t>18</w:t>
            </w:r>
            <w:r w:rsidR="00D7157D">
              <w:t>.</w:t>
            </w:r>
            <w:r w:rsidRPr="00A058B6">
              <w:t>3856</w:t>
            </w:r>
          </w:p>
        </w:tc>
        <w:tc>
          <w:tcPr>
            <w:tcW w:w="1866" w:type="pct"/>
            <w:tcBorders>
              <w:top w:val="single" w:sz="2" w:space="0" w:color="auto"/>
              <w:left w:val="nil"/>
              <w:bottom w:val="single" w:sz="2" w:space="0" w:color="auto"/>
              <w:right w:val="nil"/>
            </w:tcBorders>
            <w:shd w:val="clear" w:color="auto" w:fill="auto"/>
            <w:vAlign w:val="center"/>
          </w:tcPr>
          <w:p w14:paraId="13ABE415" w14:textId="77777777" w:rsidR="00647C6B" w:rsidRPr="00A058B6" w:rsidRDefault="00647C6B" w:rsidP="009C0D79">
            <w:pPr>
              <w:pStyle w:val="Tabletext"/>
            </w:pPr>
            <w:r w:rsidRPr="00A058B6">
              <w:t>19</w:t>
            </w:r>
            <w:r w:rsidR="00D7157D">
              <w:t>.</w:t>
            </w:r>
            <w:r w:rsidRPr="00A058B6">
              <w:t>2178</w:t>
            </w:r>
          </w:p>
        </w:tc>
      </w:tr>
      <w:tr w:rsidR="00647C6B" w:rsidRPr="00A058B6" w14:paraId="6217E92B" w14:textId="77777777" w:rsidTr="00963115">
        <w:trPr>
          <w:trHeight w:val="245"/>
          <w:jc w:val="right"/>
        </w:trPr>
        <w:tc>
          <w:tcPr>
            <w:tcW w:w="1705" w:type="pct"/>
          </w:tcPr>
          <w:p w14:paraId="418EBCBF"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1BEBB651" w14:textId="77777777" w:rsidR="00647C6B" w:rsidRPr="00A058B6" w:rsidRDefault="00647C6B" w:rsidP="009C0D79">
            <w:pPr>
              <w:pStyle w:val="Tabletext"/>
            </w:pPr>
            <w:r w:rsidRPr="00A058B6">
              <w:t>18</w:t>
            </w:r>
            <w:r w:rsidR="00D7157D">
              <w:t>.</w:t>
            </w:r>
            <w:r w:rsidRPr="00A058B6">
              <w:t>0307</w:t>
            </w:r>
          </w:p>
        </w:tc>
        <w:tc>
          <w:tcPr>
            <w:tcW w:w="1866" w:type="pct"/>
            <w:tcBorders>
              <w:top w:val="single" w:sz="2" w:space="0" w:color="auto"/>
              <w:left w:val="nil"/>
              <w:bottom w:val="single" w:sz="2" w:space="0" w:color="auto"/>
              <w:right w:val="nil"/>
            </w:tcBorders>
            <w:shd w:val="clear" w:color="auto" w:fill="auto"/>
            <w:vAlign w:val="center"/>
          </w:tcPr>
          <w:p w14:paraId="3CBE0D7B" w14:textId="77777777" w:rsidR="00647C6B" w:rsidRPr="00A058B6" w:rsidRDefault="00647C6B" w:rsidP="009C0D79">
            <w:pPr>
              <w:pStyle w:val="Tabletext"/>
            </w:pPr>
            <w:r w:rsidRPr="00A058B6">
              <w:t>18</w:t>
            </w:r>
            <w:r w:rsidR="00D7157D">
              <w:t>.</w:t>
            </w:r>
            <w:r w:rsidRPr="00A058B6">
              <w:t>8826</w:t>
            </w:r>
          </w:p>
        </w:tc>
      </w:tr>
      <w:tr w:rsidR="00647C6B" w:rsidRPr="00A058B6" w14:paraId="78190C2B" w14:textId="77777777" w:rsidTr="00963115">
        <w:trPr>
          <w:trHeight w:val="245"/>
          <w:jc w:val="right"/>
        </w:trPr>
        <w:tc>
          <w:tcPr>
            <w:tcW w:w="1705" w:type="pct"/>
          </w:tcPr>
          <w:p w14:paraId="4A590D62"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55633E9E" w14:textId="77777777" w:rsidR="00647C6B" w:rsidRPr="00A058B6" w:rsidRDefault="00647C6B" w:rsidP="009C0D79">
            <w:pPr>
              <w:pStyle w:val="Tabletext"/>
            </w:pPr>
            <w:r w:rsidRPr="00A058B6">
              <w:t>17</w:t>
            </w:r>
            <w:r w:rsidR="00D7157D">
              <w:t>.</w:t>
            </w:r>
            <w:r w:rsidRPr="00A058B6">
              <w:t>6637</w:t>
            </w:r>
          </w:p>
        </w:tc>
        <w:tc>
          <w:tcPr>
            <w:tcW w:w="1866" w:type="pct"/>
            <w:tcBorders>
              <w:top w:val="single" w:sz="2" w:space="0" w:color="auto"/>
              <w:left w:val="nil"/>
              <w:bottom w:val="single" w:sz="2" w:space="0" w:color="auto"/>
              <w:right w:val="nil"/>
            </w:tcBorders>
            <w:shd w:val="clear" w:color="auto" w:fill="auto"/>
            <w:vAlign w:val="center"/>
          </w:tcPr>
          <w:p w14:paraId="5B662151" w14:textId="77777777" w:rsidR="00647C6B" w:rsidRPr="00A058B6" w:rsidRDefault="00647C6B" w:rsidP="009C0D79">
            <w:pPr>
              <w:pStyle w:val="Tabletext"/>
            </w:pPr>
            <w:r w:rsidRPr="00A058B6">
              <w:t>18</w:t>
            </w:r>
            <w:r w:rsidR="00D7157D">
              <w:t>.</w:t>
            </w:r>
            <w:r w:rsidRPr="00A058B6">
              <w:t>5359</w:t>
            </w:r>
          </w:p>
        </w:tc>
      </w:tr>
      <w:tr w:rsidR="00647C6B" w:rsidRPr="00A058B6" w14:paraId="225C572B" w14:textId="77777777" w:rsidTr="00963115">
        <w:trPr>
          <w:trHeight w:val="245"/>
          <w:jc w:val="right"/>
        </w:trPr>
        <w:tc>
          <w:tcPr>
            <w:tcW w:w="1705" w:type="pct"/>
          </w:tcPr>
          <w:p w14:paraId="73F4D577"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12AE1C36" w14:textId="77777777" w:rsidR="00647C6B" w:rsidRPr="00A058B6" w:rsidRDefault="00647C6B" w:rsidP="009C0D79">
            <w:pPr>
              <w:pStyle w:val="Tabletext"/>
            </w:pPr>
            <w:r w:rsidRPr="00A058B6">
              <w:t>17</w:t>
            </w:r>
            <w:r w:rsidR="00D7157D">
              <w:t>.</w:t>
            </w:r>
            <w:r w:rsidRPr="00A058B6">
              <w:t>2846</w:t>
            </w:r>
          </w:p>
        </w:tc>
        <w:tc>
          <w:tcPr>
            <w:tcW w:w="1866" w:type="pct"/>
            <w:tcBorders>
              <w:top w:val="single" w:sz="2" w:space="0" w:color="auto"/>
              <w:left w:val="nil"/>
              <w:bottom w:val="single" w:sz="2" w:space="0" w:color="auto"/>
              <w:right w:val="nil"/>
            </w:tcBorders>
            <w:shd w:val="clear" w:color="auto" w:fill="auto"/>
            <w:vAlign w:val="center"/>
          </w:tcPr>
          <w:p w14:paraId="3C7CFF56" w14:textId="77777777" w:rsidR="00647C6B" w:rsidRPr="00A058B6" w:rsidRDefault="00647C6B" w:rsidP="009C0D79">
            <w:pPr>
              <w:pStyle w:val="Tabletext"/>
            </w:pPr>
            <w:r w:rsidRPr="00A058B6">
              <w:t>18</w:t>
            </w:r>
            <w:r w:rsidR="00D7157D">
              <w:t>.</w:t>
            </w:r>
            <w:r w:rsidRPr="00A058B6">
              <w:t>1769</w:t>
            </w:r>
          </w:p>
        </w:tc>
      </w:tr>
      <w:tr w:rsidR="00647C6B" w:rsidRPr="00A058B6" w14:paraId="48C315EF" w14:textId="77777777" w:rsidTr="00963115">
        <w:trPr>
          <w:trHeight w:val="245"/>
          <w:jc w:val="right"/>
        </w:trPr>
        <w:tc>
          <w:tcPr>
            <w:tcW w:w="1705" w:type="pct"/>
          </w:tcPr>
          <w:p w14:paraId="4B88C6B1"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593B455F" w14:textId="77777777" w:rsidR="00647C6B" w:rsidRPr="00A058B6" w:rsidRDefault="00647C6B" w:rsidP="009C0D79">
            <w:pPr>
              <w:pStyle w:val="Tabletext"/>
            </w:pPr>
            <w:r w:rsidRPr="00A058B6">
              <w:t>16</w:t>
            </w:r>
            <w:r w:rsidR="00D7157D">
              <w:t>.</w:t>
            </w:r>
            <w:r w:rsidRPr="00A058B6">
              <w:t>8930</w:t>
            </w:r>
          </w:p>
        </w:tc>
        <w:tc>
          <w:tcPr>
            <w:tcW w:w="1866" w:type="pct"/>
            <w:tcBorders>
              <w:top w:val="single" w:sz="2" w:space="0" w:color="auto"/>
              <w:left w:val="nil"/>
              <w:bottom w:val="single" w:sz="2" w:space="0" w:color="auto"/>
              <w:right w:val="nil"/>
            </w:tcBorders>
            <w:shd w:val="clear" w:color="auto" w:fill="auto"/>
            <w:vAlign w:val="center"/>
          </w:tcPr>
          <w:p w14:paraId="51E13BE1" w14:textId="77777777" w:rsidR="00647C6B" w:rsidRPr="00A058B6" w:rsidRDefault="00647C6B" w:rsidP="009C0D79">
            <w:pPr>
              <w:pStyle w:val="Tabletext"/>
            </w:pPr>
            <w:r w:rsidRPr="00A058B6">
              <w:t>17</w:t>
            </w:r>
            <w:r w:rsidR="00D7157D">
              <w:t>.</w:t>
            </w:r>
            <w:r w:rsidRPr="00A058B6">
              <w:t>8063</w:t>
            </w:r>
          </w:p>
        </w:tc>
      </w:tr>
      <w:tr w:rsidR="00647C6B" w:rsidRPr="00A058B6" w14:paraId="1A58D76F" w14:textId="77777777" w:rsidTr="00963115">
        <w:trPr>
          <w:trHeight w:val="245"/>
          <w:jc w:val="right"/>
        </w:trPr>
        <w:tc>
          <w:tcPr>
            <w:tcW w:w="1705" w:type="pct"/>
          </w:tcPr>
          <w:p w14:paraId="7F2D3A93"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052D27EB" w14:textId="77777777" w:rsidR="00647C6B" w:rsidRPr="00A058B6" w:rsidRDefault="00647C6B" w:rsidP="009C0D79">
            <w:pPr>
              <w:pStyle w:val="Tabletext"/>
            </w:pPr>
            <w:r w:rsidRPr="00A058B6">
              <w:t>16</w:t>
            </w:r>
            <w:r w:rsidR="00D7157D">
              <w:t>.</w:t>
            </w:r>
            <w:r w:rsidRPr="00A058B6">
              <w:t>4889</w:t>
            </w:r>
          </w:p>
        </w:tc>
        <w:tc>
          <w:tcPr>
            <w:tcW w:w="1866" w:type="pct"/>
            <w:tcBorders>
              <w:top w:val="single" w:sz="2" w:space="0" w:color="auto"/>
              <w:left w:val="nil"/>
              <w:bottom w:val="single" w:sz="2" w:space="0" w:color="auto"/>
              <w:right w:val="nil"/>
            </w:tcBorders>
            <w:shd w:val="clear" w:color="auto" w:fill="auto"/>
            <w:vAlign w:val="center"/>
          </w:tcPr>
          <w:p w14:paraId="3061286E" w14:textId="77777777" w:rsidR="00647C6B" w:rsidRPr="00A058B6" w:rsidRDefault="00647C6B" w:rsidP="009C0D79">
            <w:pPr>
              <w:pStyle w:val="Tabletext"/>
            </w:pPr>
            <w:r w:rsidRPr="00A058B6">
              <w:t>17</w:t>
            </w:r>
            <w:r w:rsidR="00D7157D">
              <w:t>.</w:t>
            </w:r>
            <w:r w:rsidRPr="00A058B6">
              <w:t>4236</w:t>
            </w:r>
          </w:p>
        </w:tc>
      </w:tr>
      <w:tr w:rsidR="00647C6B" w:rsidRPr="00A058B6" w14:paraId="08D75BB4" w14:textId="77777777" w:rsidTr="00963115">
        <w:trPr>
          <w:trHeight w:val="245"/>
          <w:jc w:val="right"/>
        </w:trPr>
        <w:tc>
          <w:tcPr>
            <w:tcW w:w="1705" w:type="pct"/>
            <w:tcBorders>
              <w:bottom w:val="single" w:sz="4" w:space="0" w:color="auto"/>
            </w:tcBorders>
          </w:tcPr>
          <w:p w14:paraId="5D4D7E23"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00ECE321" w14:textId="77777777" w:rsidR="00647C6B" w:rsidRPr="00A058B6" w:rsidRDefault="00647C6B" w:rsidP="009C0D79">
            <w:pPr>
              <w:pStyle w:val="Tabletext"/>
            </w:pPr>
            <w:r w:rsidRPr="00A058B6">
              <w:t>16</w:t>
            </w:r>
            <w:r w:rsidR="00D7157D">
              <w:t>.</w:t>
            </w:r>
            <w:r w:rsidRPr="00A058B6">
              <w:t>0718</w:t>
            </w:r>
          </w:p>
        </w:tc>
        <w:tc>
          <w:tcPr>
            <w:tcW w:w="1866" w:type="pct"/>
            <w:tcBorders>
              <w:top w:val="single" w:sz="2" w:space="0" w:color="auto"/>
              <w:left w:val="nil"/>
              <w:bottom w:val="single" w:sz="2" w:space="0" w:color="auto"/>
              <w:right w:val="nil"/>
            </w:tcBorders>
            <w:shd w:val="clear" w:color="auto" w:fill="auto"/>
            <w:vAlign w:val="center"/>
          </w:tcPr>
          <w:p w14:paraId="1AD2175F" w14:textId="77777777" w:rsidR="00647C6B" w:rsidRPr="00A058B6" w:rsidRDefault="00647C6B" w:rsidP="009C0D79">
            <w:pPr>
              <w:pStyle w:val="Tabletext"/>
            </w:pPr>
            <w:r w:rsidRPr="00A058B6">
              <w:t>17</w:t>
            </w:r>
            <w:r w:rsidR="00D7157D">
              <w:t>.</w:t>
            </w:r>
            <w:r w:rsidRPr="00A058B6">
              <w:t>0288</w:t>
            </w:r>
          </w:p>
        </w:tc>
      </w:tr>
      <w:tr w:rsidR="00647C6B" w:rsidRPr="00A058B6" w14:paraId="0DC094BA" w14:textId="77777777" w:rsidTr="00963115">
        <w:trPr>
          <w:trHeight w:val="245"/>
          <w:jc w:val="right"/>
        </w:trPr>
        <w:tc>
          <w:tcPr>
            <w:tcW w:w="1705" w:type="pct"/>
            <w:tcBorders>
              <w:top w:val="single" w:sz="4" w:space="0" w:color="auto"/>
              <w:bottom w:val="single" w:sz="12" w:space="0" w:color="auto"/>
            </w:tcBorders>
          </w:tcPr>
          <w:p w14:paraId="48E5AC3E"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2E0DB049" w14:textId="77777777" w:rsidR="00647C6B" w:rsidRPr="00A058B6" w:rsidRDefault="00647C6B" w:rsidP="009C0D79">
            <w:pPr>
              <w:pStyle w:val="Tabletext"/>
            </w:pPr>
            <w:r w:rsidRPr="00A058B6">
              <w:t>15</w:t>
            </w:r>
            <w:r w:rsidR="00D7157D">
              <w:t>.</w:t>
            </w:r>
            <w:r w:rsidRPr="00A058B6">
              <w:t>6436</w:t>
            </w:r>
          </w:p>
        </w:tc>
        <w:tc>
          <w:tcPr>
            <w:tcW w:w="1866" w:type="pct"/>
            <w:tcBorders>
              <w:top w:val="single" w:sz="2" w:space="0" w:color="auto"/>
              <w:left w:val="nil"/>
              <w:bottom w:val="single" w:sz="12" w:space="0" w:color="auto"/>
              <w:right w:val="nil"/>
            </w:tcBorders>
            <w:shd w:val="clear" w:color="auto" w:fill="auto"/>
            <w:vAlign w:val="center"/>
          </w:tcPr>
          <w:p w14:paraId="5E30B5F0" w14:textId="77777777" w:rsidR="00647C6B" w:rsidRPr="00A058B6" w:rsidRDefault="00647C6B" w:rsidP="009C0D79">
            <w:pPr>
              <w:pStyle w:val="Tabletext"/>
            </w:pPr>
            <w:r w:rsidRPr="00A058B6">
              <w:t>16</w:t>
            </w:r>
            <w:r w:rsidR="00D7157D">
              <w:t>.</w:t>
            </w:r>
            <w:r w:rsidRPr="00A058B6">
              <w:t>6231</w:t>
            </w:r>
          </w:p>
        </w:tc>
      </w:tr>
    </w:tbl>
    <w:p w14:paraId="3016638F"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304AA0B3" w14:textId="77777777" w:rsidTr="00963115">
        <w:trPr>
          <w:cantSplit/>
          <w:trHeight w:val="375"/>
          <w:tblHeader/>
          <w:jc w:val="right"/>
        </w:trPr>
        <w:tc>
          <w:tcPr>
            <w:tcW w:w="1705" w:type="pct"/>
            <w:vMerge w:val="restart"/>
            <w:tcBorders>
              <w:top w:val="single" w:sz="12" w:space="0" w:color="auto"/>
              <w:bottom w:val="single" w:sz="12" w:space="0" w:color="auto"/>
            </w:tcBorders>
          </w:tcPr>
          <w:p w14:paraId="65F6436F" w14:textId="77777777" w:rsidR="00647C6B" w:rsidRPr="00A058B6" w:rsidRDefault="00647C6B" w:rsidP="009C0D79">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3385D50A" w14:textId="77777777" w:rsidR="00647C6B" w:rsidRPr="00A058B6" w:rsidRDefault="00647C6B" w:rsidP="009C0D79">
            <w:pPr>
              <w:pStyle w:val="TableHeading"/>
              <w:rPr>
                <w:snapToGrid w:val="0"/>
              </w:rPr>
            </w:pPr>
            <w:r w:rsidRPr="00A058B6">
              <w:rPr>
                <w:snapToGrid w:val="0"/>
              </w:rPr>
              <w:t>Reversion valuation factors</w:t>
            </w:r>
            <w:r w:rsidRPr="00A058B6">
              <w:rPr>
                <w:snapToGrid w:val="0"/>
              </w:rPr>
              <w:br/>
              <w:t>No guarantee period</w:t>
            </w:r>
            <w:r w:rsidRPr="00A058B6">
              <w:rPr>
                <w:snapToGrid w:val="0"/>
              </w:rPr>
              <w:br/>
              <w:t>CPI indexed pension with 5% cap</w:t>
            </w:r>
          </w:p>
        </w:tc>
      </w:tr>
      <w:tr w:rsidR="00647C6B" w:rsidRPr="00A058B6" w14:paraId="19DBD38D" w14:textId="77777777" w:rsidTr="00963115">
        <w:trPr>
          <w:cantSplit/>
          <w:trHeight w:val="70"/>
          <w:tblHeader/>
          <w:jc w:val="right"/>
        </w:trPr>
        <w:tc>
          <w:tcPr>
            <w:tcW w:w="1705" w:type="pct"/>
            <w:vMerge/>
            <w:tcBorders>
              <w:top w:val="single" w:sz="4" w:space="0" w:color="auto"/>
              <w:bottom w:val="single" w:sz="12" w:space="0" w:color="auto"/>
            </w:tcBorders>
          </w:tcPr>
          <w:p w14:paraId="3A03B21E" w14:textId="77777777" w:rsidR="00647C6B" w:rsidRPr="00A058B6" w:rsidRDefault="00647C6B" w:rsidP="009C0D79">
            <w:pPr>
              <w:pStyle w:val="TableHeading"/>
              <w:rPr>
                <w:snapToGrid w:val="0"/>
              </w:rPr>
            </w:pPr>
          </w:p>
        </w:tc>
        <w:tc>
          <w:tcPr>
            <w:tcW w:w="1417" w:type="pct"/>
            <w:tcBorders>
              <w:top w:val="single" w:sz="4" w:space="0" w:color="auto"/>
              <w:bottom w:val="single" w:sz="12" w:space="0" w:color="auto"/>
            </w:tcBorders>
          </w:tcPr>
          <w:p w14:paraId="3AD5007E" w14:textId="77777777" w:rsidR="00647C6B" w:rsidRPr="00A058B6" w:rsidRDefault="00647C6B" w:rsidP="009C0D79">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1880A237" w14:textId="77777777" w:rsidR="00647C6B" w:rsidRPr="00A058B6" w:rsidRDefault="00647C6B" w:rsidP="009C0D79">
            <w:pPr>
              <w:pStyle w:val="TableHeading"/>
              <w:rPr>
                <w:snapToGrid w:val="0"/>
              </w:rPr>
            </w:pPr>
            <w:r w:rsidRPr="00A058B6">
              <w:rPr>
                <w:snapToGrid w:val="0"/>
              </w:rPr>
              <w:t>Female</w:t>
            </w:r>
          </w:p>
        </w:tc>
      </w:tr>
      <w:tr w:rsidR="00647C6B" w:rsidRPr="00A058B6" w14:paraId="189C5812" w14:textId="77777777" w:rsidTr="00963115">
        <w:trPr>
          <w:trHeight w:val="245"/>
          <w:jc w:val="right"/>
        </w:trPr>
        <w:tc>
          <w:tcPr>
            <w:tcW w:w="1705" w:type="pct"/>
            <w:tcBorders>
              <w:top w:val="single" w:sz="12" w:space="0" w:color="auto"/>
            </w:tcBorders>
          </w:tcPr>
          <w:p w14:paraId="214F8B36"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039C58EF" w14:textId="77777777" w:rsidR="00647C6B" w:rsidRPr="00A058B6" w:rsidRDefault="00647C6B" w:rsidP="009C0D79">
            <w:pPr>
              <w:pStyle w:val="Tabletext"/>
            </w:pPr>
            <w:r w:rsidRPr="00A058B6">
              <w:t>2</w:t>
            </w:r>
            <w:r w:rsidR="00D7157D">
              <w:t>.</w:t>
            </w:r>
            <w:r w:rsidRPr="00A058B6">
              <w:t>057</w:t>
            </w:r>
          </w:p>
        </w:tc>
        <w:tc>
          <w:tcPr>
            <w:tcW w:w="1878" w:type="pct"/>
            <w:tcBorders>
              <w:top w:val="single" w:sz="12" w:space="0" w:color="auto"/>
              <w:left w:val="nil"/>
              <w:bottom w:val="single" w:sz="2" w:space="0" w:color="auto"/>
              <w:right w:val="nil"/>
            </w:tcBorders>
            <w:shd w:val="clear" w:color="auto" w:fill="auto"/>
            <w:vAlign w:val="bottom"/>
          </w:tcPr>
          <w:p w14:paraId="200C72C9" w14:textId="77777777" w:rsidR="00647C6B" w:rsidRPr="00A058B6" w:rsidRDefault="00647C6B" w:rsidP="009C0D79">
            <w:pPr>
              <w:pStyle w:val="Tabletext"/>
            </w:pPr>
            <w:r w:rsidRPr="00A058B6">
              <w:t>0</w:t>
            </w:r>
            <w:r w:rsidR="00D7157D">
              <w:t>.</w:t>
            </w:r>
            <w:r w:rsidRPr="00A058B6">
              <w:t>890</w:t>
            </w:r>
          </w:p>
        </w:tc>
      </w:tr>
      <w:tr w:rsidR="00647C6B" w:rsidRPr="00A058B6" w14:paraId="52CE632C" w14:textId="77777777" w:rsidTr="00963115">
        <w:trPr>
          <w:trHeight w:val="245"/>
          <w:jc w:val="right"/>
        </w:trPr>
        <w:tc>
          <w:tcPr>
            <w:tcW w:w="1705" w:type="pct"/>
          </w:tcPr>
          <w:p w14:paraId="40EB7638"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2423075B" w14:textId="77777777" w:rsidR="00647C6B" w:rsidRPr="00A058B6" w:rsidRDefault="00647C6B" w:rsidP="009C0D79">
            <w:pPr>
              <w:pStyle w:val="Tabletext"/>
            </w:pPr>
            <w:r w:rsidRPr="00A058B6">
              <w:t>1</w:t>
            </w:r>
            <w:r w:rsidR="00D7157D">
              <w:t>.</w:t>
            </w:r>
            <w:r w:rsidRPr="00A058B6">
              <w:t>989</w:t>
            </w:r>
          </w:p>
        </w:tc>
        <w:tc>
          <w:tcPr>
            <w:tcW w:w="1878" w:type="pct"/>
            <w:tcBorders>
              <w:top w:val="single" w:sz="2" w:space="0" w:color="auto"/>
              <w:left w:val="nil"/>
              <w:bottom w:val="single" w:sz="2" w:space="0" w:color="auto"/>
              <w:right w:val="nil"/>
            </w:tcBorders>
            <w:shd w:val="clear" w:color="auto" w:fill="auto"/>
            <w:vAlign w:val="bottom"/>
          </w:tcPr>
          <w:p w14:paraId="6EDDECB2" w14:textId="77777777" w:rsidR="00647C6B" w:rsidRPr="00A058B6" w:rsidRDefault="00647C6B" w:rsidP="009C0D79">
            <w:pPr>
              <w:pStyle w:val="Tabletext"/>
            </w:pPr>
            <w:r w:rsidRPr="00A058B6">
              <w:t>0</w:t>
            </w:r>
            <w:r w:rsidR="00D7157D">
              <w:t>.</w:t>
            </w:r>
            <w:r w:rsidRPr="00A058B6">
              <w:t>837</w:t>
            </w:r>
          </w:p>
        </w:tc>
      </w:tr>
      <w:tr w:rsidR="00647C6B" w:rsidRPr="00A058B6" w14:paraId="2D559E1A" w14:textId="77777777" w:rsidTr="00963115">
        <w:trPr>
          <w:trHeight w:val="245"/>
          <w:jc w:val="right"/>
        </w:trPr>
        <w:tc>
          <w:tcPr>
            <w:tcW w:w="1705" w:type="pct"/>
          </w:tcPr>
          <w:p w14:paraId="52BF6839"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140E395D" w14:textId="77777777" w:rsidR="00647C6B" w:rsidRPr="00A058B6" w:rsidRDefault="00647C6B" w:rsidP="009C0D79">
            <w:pPr>
              <w:pStyle w:val="Tabletext"/>
            </w:pPr>
            <w:r w:rsidRPr="00A058B6">
              <w:t>1</w:t>
            </w:r>
            <w:r w:rsidR="00D7157D">
              <w:t>.</w:t>
            </w:r>
            <w:r w:rsidRPr="00A058B6">
              <w:t>920</w:t>
            </w:r>
          </w:p>
        </w:tc>
        <w:tc>
          <w:tcPr>
            <w:tcW w:w="1878" w:type="pct"/>
            <w:tcBorders>
              <w:top w:val="single" w:sz="2" w:space="0" w:color="auto"/>
              <w:left w:val="nil"/>
              <w:bottom w:val="single" w:sz="2" w:space="0" w:color="auto"/>
              <w:right w:val="nil"/>
            </w:tcBorders>
            <w:shd w:val="clear" w:color="auto" w:fill="auto"/>
            <w:vAlign w:val="bottom"/>
          </w:tcPr>
          <w:p w14:paraId="00BB526C" w14:textId="77777777" w:rsidR="00647C6B" w:rsidRPr="00A058B6" w:rsidRDefault="00647C6B" w:rsidP="009C0D79">
            <w:pPr>
              <w:pStyle w:val="Tabletext"/>
            </w:pPr>
            <w:r w:rsidRPr="00A058B6">
              <w:t>0</w:t>
            </w:r>
            <w:r w:rsidR="00D7157D">
              <w:t>.</w:t>
            </w:r>
            <w:r w:rsidRPr="00A058B6">
              <w:t>783</w:t>
            </w:r>
          </w:p>
        </w:tc>
      </w:tr>
      <w:tr w:rsidR="00647C6B" w:rsidRPr="00A058B6" w14:paraId="30368A9D" w14:textId="77777777" w:rsidTr="00963115">
        <w:trPr>
          <w:trHeight w:val="245"/>
          <w:jc w:val="right"/>
        </w:trPr>
        <w:tc>
          <w:tcPr>
            <w:tcW w:w="1705" w:type="pct"/>
          </w:tcPr>
          <w:p w14:paraId="489F0D02"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18C2E899" w14:textId="77777777" w:rsidR="00647C6B" w:rsidRPr="00A058B6" w:rsidRDefault="00647C6B" w:rsidP="009C0D79">
            <w:pPr>
              <w:pStyle w:val="Tabletext"/>
            </w:pPr>
            <w:r w:rsidRPr="00A058B6">
              <w:t>1</w:t>
            </w:r>
            <w:r w:rsidR="00D7157D">
              <w:t>.</w:t>
            </w:r>
            <w:r w:rsidRPr="00A058B6">
              <w:t>852</w:t>
            </w:r>
          </w:p>
        </w:tc>
        <w:tc>
          <w:tcPr>
            <w:tcW w:w="1878" w:type="pct"/>
            <w:tcBorders>
              <w:top w:val="single" w:sz="2" w:space="0" w:color="auto"/>
              <w:left w:val="nil"/>
              <w:bottom w:val="single" w:sz="2" w:space="0" w:color="auto"/>
              <w:right w:val="nil"/>
            </w:tcBorders>
            <w:shd w:val="clear" w:color="auto" w:fill="auto"/>
            <w:vAlign w:val="bottom"/>
          </w:tcPr>
          <w:p w14:paraId="0861EFBB" w14:textId="77777777" w:rsidR="00647C6B" w:rsidRPr="00A058B6" w:rsidRDefault="00647C6B" w:rsidP="009C0D79">
            <w:pPr>
              <w:pStyle w:val="Tabletext"/>
            </w:pPr>
            <w:r w:rsidRPr="00A058B6">
              <w:t>0</w:t>
            </w:r>
            <w:r w:rsidR="00D7157D">
              <w:t>.</w:t>
            </w:r>
            <w:r w:rsidRPr="00A058B6">
              <w:t>730</w:t>
            </w:r>
          </w:p>
        </w:tc>
      </w:tr>
      <w:tr w:rsidR="00647C6B" w:rsidRPr="00A058B6" w14:paraId="69E6FE90" w14:textId="77777777" w:rsidTr="00963115">
        <w:trPr>
          <w:trHeight w:val="245"/>
          <w:jc w:val="right"/>
        </w:trPr>
        <w:tc>
          <w:tcPr>
            <w:tcW w:w="1705" w:type="pct"/>
          </w:tcPr>
          <w:p w14:paraId="37706CEC"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6F0F62F0" w14:textId="77777777" w:rsidR="00647C6B" w:rsidRPr="00A058B6" w:rsidRDefault="00647C6B" w:rsidP="009C0D79">
            <w:pPr>
              <w:pStyle w:val="Tabletext"/>
            </w:pPr>
            <w:r w:rsidRPr="00A058B6">
              <w:t>1</w:t>
            </w:r>
            <w:r w:rsidR="00D7157D">
              <w:t>.</w:t>
            </w:r>
            <w:r w:rsidRPr="00A058B6">
              <w:t>783</w:t>
            </w:r>
          </w:p>
        </w:tc>
        <w:tc>
          <w:tcPr>
            <w:tcW w:w="1878" w:type="pct"/>
            <w:tcBorders>
              <w:top w:val="single" w:sz="2" w:space="0" w:color="auto"/>
              <w:left w:val="nil"/>
              <w:bottom w:val="single" w:sz="2" w:space="0" w:color="auto"/>
              <w:right w:val="nil"/>
            </w:tcBorders>
            <w:shd w:val="clear" w:color="auto" w:fill="auto"/>
            <w:vAlign w:val="bottom"/>
          </w:tcPr>
          <w:p w14:paraId="3C537CC9" w14:textId="77777777" w:rsidR="00647C6B" w:rsidRPr="00A058B6" w:rsidRDefault="00647C6B" w:rsidP="009C0D79">
            <w:pPr>
              <w:pStyle w:val="Tabletext"/>
            </w:pPr>
            <w:r w:rsidRPr="00A058B6">
              <w:t>0</w:t>
            </w:r>
            <w:r w:rsidR="00D7157D">
              <w:t>.</w:t>
            </w:r>
            <w:r w:rsidRPr="00A058B6">
              <w:t>677</w:t>
            </w:r>
          </w:p>
        </w:tc>
      </w:tr>
      <w:tr w:rsidR="00647C6B" w:rsidRPr="00A058B6" w14:paraId="059D1F51" w14:textId="77777777" w:rsidTr="00963115">
        <w:trPr>
          <w:trHeight w:val="245"/>
          <w:jc w:val="right"/>
        </w:trPr>
        <w:tc>
          <w:tcPr>
            <w:tcW w:w="1705" w:type="pct"/>
          </w:tcPr>
          <w:p w14:paraId="5DC0C875"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47D70ACB" w14:textId="77777777" w:rsidR="00647C6B" w:rsidRPr="00A058B6" w:rsidRDefault="00647C6B" w:rsidP="009C0D79">
            <w:pPr>
              <w:pStyle w:val="Tabletext"/>
            </w:pPr>
            <w:r w:rsidRPr="00A058B6">
              <w:t>1</w:t>
            </w:r>
            <w:r w:rsidR="00D7157D">
              <w:t>.</w:t>
            </w:r>
            <w:r w:rsidRPr="00A058B6">
              <w:t>714</w:t>
            </w:r>
          </w:p>
        </w:tc>
        <w:tc>
          <w:tcPr>
            <w:tcW w:w="1878" w:type="pct"/>
            <w:tcBorders>
              <w:top w:val="single" w:sz="2" w:space="0" w:color="auto"/>
              <w:left w:val="nil"/>
              <w:bottom w:val="single" w:sz="2" w:space="0" w:color="auto"/>
              <w:right w:val="nil"/>
            </w:tcBorders>
            <w:shd w:val="clear" w:color="auto" w:fill="auto"/>
            <w:vAlign w:val="bottom"/>
          </w:tcPr>
          <w:p w14:paraId="1FC5E2DE" w14:textId="77777777" w:rsidR="00647C6B" w:rsidRPr="00A058B6" w:rsidRDefault="00647C6B" w:rsidP="009C0D79">
            <w:pPr>
              <w:pStyle w:val="Tabletext"/>
            </w:pPr>
            <w:r w:rsidRPr="00A058B6">
              <w:t>0</w:t>
            </w:r>
            <w:r w:rsidR="00D7157D">
              <w:t>.</w:t>
            </w:r>
            <w:r w:rsidRPr="00A058B6">
              <w:t>623</w:t>
            </w:r>
          </w:p>
        </w:tc>
      </w:tr>
      <w:tr w:rsidR="00647C6B" w:rsidRPr="00A058B6" w14:paraId="4A71EBA3" w14:textId="77777777" w:rsidTr="00963115">
        <w:trPr>
          <w:trHeight w:val="245"/>
          <w:jc w:val="right"/>
        </w:trPr>
        <w:tc>
          <w:tcPr>
            <w:tcW w:w="1705" w:type="pct"/>
          </w:tcPr>
          <w:p w14:paraId="77C71088"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2AD234C2" w14:textId="77777777" w:rsidR="00647C6B" w:rsidRPr="00A058B6" w:rsidRDefault="00647C6B" w:rsidP="009C0D79">
            <w:pPr>
              <w:pStyle w:val="Tabletext"/>
            </w:pPr>
            <w:r w:rsidRPr="00A058B6">
              <w:t>1</w:t>
            </w:r>
            <w:r w:rsidR="00D7157D">
              <w:t>.</w:t>
            </w:r>
            <w:r w:rsidRPr="00A058B6">
              <w:t>646</w:t>
            </w:r>
          </w:p>
        </w:tc>
        <w:tc>
          <w:tcPr>
            <w:tcW w:w="1878" w:type="pct"/>
            <w:tcBorders>
              <w:top w:val="single" w:sz="2" w:space="0" w:color="auto"/>
              <w:left w:val="nil"/>
              <w:bottom w:val="single" w:sz="2" w:space="0" w:color="auto"/>
              <w:right w:val="nil"/>
            </w:tcBorders>
            <w:shd w:val="clear" w:color="auto" w:fill="auto"/>
            <w:vAlign w:val="bottom"/>
          </w:tcPr>
          <w:p w14:paraId="5D3EB9FC" w14:textId="77777777" w:rsidR="00647C6B" w:rsidRPr="00A058B6" w:rsidRDefault="00647C6B" w:rsidP="009C0D79">
            <w:pPr>
              <w:pStyle w:val="Tabletext"/>
            </w:pPr>
            <w:r w:rsidRPr="00A058B6">
              <w:t>0</w:t>
            </w:r>
            <w:r w:rsidR="00D7157D">
              <w:t>.</w:t>
            </w:r>
            <w:r w:rsidRPr="00A058B6">
              <w:t>570</w:t>
            </w:r>
          </w:p>
        </w:tc>
      </w:tr>
      <w:tr w:rsidR="00647C6B" w:rsidRPr="00A058B6" w14:paraId="328269E0" w14:textId="77777777" w:rsidTr="00963115">
        <w:trPr>
          <w:trHeight w:val="245"/>
          <w:jc w:val="right"/>
        </w:trPr>
        <w:tc>
          <w:tcPr>
            <w:tcW w:w="1705" w:type="pct"/>
          </w:tcPr>
          <w:p w14:paraId="0F69A60F"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631438C2" w14:textId="77777777" w:rsidR="00647C6B" w:rsidRPr="00A058B6" w:rsidRDefault="00647C6B" w:rsidP="009C0D79">
            <w:pPr>
              <w:pStyle w:val="Tabletext"/>
            </w:pPr>
            <w:r w:rsidRPr="00A058B6">
              <w:t>1</w:t>
            </w:r>
            <w:r w:rsidR="00D7157D">
              <w:t>.</w:t>
            </w:r>
            <w:r w:rsidRPr="00A058B6">
              <w:t>577</w:t>
            </w:r>
          </w:p>
        </w:tc>
        <w:tc>
          <w:tcPr>
            <w:tcW w:w="1878" w:type="pct"/>
            <w:tcBorders>
              <w:top w:val="single" w:sz="2" w:space="0" w:color="auto"/>
              <w:left w:val="nil"/>
              <w:bottom w:val="single" w:sz="2" w:space="0" w:color="auto"/>
              <w:right w:val="nil"/>
            </w:tcBorders>
            <w:shd w:val="clear" w:color="auto" w:fill="auto"/>
            <w:vAlign w:val="bottom"/>
          </w:tcPr>
          <w:p w14:paraId="19D243DE" w14:textId="77777777" w:rsidR="00647C6B" w:rsidRPr="00A058B6" w:rsidRDefault="00647C6B" w:rsidP="009C0D79">
            <w:pPr>
              <w:pStyle w:val="Tabletext"/>
            </w:pPr>
            <w:r w:rsidRPr="00A058B6">
              <w:t>0</w:t>
            </w:r>
            <w:r w:rsidR="00D7157D">
              <w:t>.</w:t>
            </w:r>
            <w:r w:rsidRPr="00A058B6">
              <w:t>516</w:t>
            </w:r>
          </w:p>
        </w:tc>
      </w:tr>
      <w:tr w:rsidR="00647C6B" w:rsidRPr="00A058B6" w14:paraId="7CD91E8D" w14:textId="77777777" w:rsidTr="00963115">
        <w:trPr>
          <w:trHeight w:val="245"/>
          <w:jc w:val="right"/>
        </w:trPr>
        <w:tc>
          <w:tcPr>
            <w:tcW w:w="1705" w:type="pct"/>
          </w:tcPr>
          <w:p w14:paraId="50248220"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23A0F7F8" w14:textId="77777777" w:rsidR="00647C6B" w:rsidRPr="00A058B6" w:rsidRDefault="00647C6B" w:rsidP="009C0D79">
            <w:pPr>
              <w:pStyle w:val="Tabletext"/>
            </w:pPr>
            <w:r w:rsidRPr="00A058B6">
              <w:t>1</w:t>
            </w:r>
            <w:r w:rsidR="00D7157D">
              <w:t>.</w:t>
            </w:r>
            <w:r w:rsidRPr="00A058B6">
              <w:t>509</w:t>
            </w:r>
          </w:p>
        </w:tc>
        <w:tc>
          <w:tcPr>
            <w:tcW w:w="1878" w:type="pct"/>
            <w:tcBorders>
              <w:top w:val="single" w:sz="2" w:space="0" w:color="auto"/>
              <w:left w:val="nil"/>
              <w:bottom w:val="single" w:sz="2" w:space="0" w:color="auto"/>
              <w:right w:val="nil"/>
            </w:tcBorders>
            <w:shd w:val="clear" w:color="auto" w:fill="auto"/>
            <w:vAlign w:val="bottom"/>
          </w:tcPr>
          <w:p w14:paraId="71559F9C" w14:textId="77777777" w:rsidR="00647C6B" w:rsidRPr="00A058B6" w:rsidRDefault="00647C6B" w:rsidP="009C0D79">
            <w:pPr>
              <w:pStyle w:val="Tabletext"/>
            </w:pPr>
            <w:r w:rsidRPr="00A058B6">
              <w:t>0</w:t>
            </w:r>
            <w:r w:rsidR="00D7157D">
              <w:t>.</w:t>
            </w:r>
            <w:r w:rsidRPr="00A058B6">
              <w:t>463</w:t>
            </w:r>
          </w:p>
        </w:tc>
      </w:tr>
      <w:tr w:rsidR="00647C6B" w:rsidRPr="00A058B6" w14:paraId="6EB46743" w14:textId="77777777" w:rsidTr="00963115">
        <w:trPr>
          <w:trHeight w:val="245"/>
          <w:jc w:val="right"/>
        </w:trPr>
        <w:tc>
          <w:tcPr>
            <w:tcW w:w="1705" w:type="pct"/>
          </w:tcPr>
          <w:p w14:paraId="3076033B"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3A66B996" w14:textId="77777777" w:rsidR="00647C6B" w:rsidRPr="00A058B6" w:rsidRDefault="00647C6B" w:rsidP="009C0D79">
            <w:pPr>
              <w:pStyle w:val="Tabletext"/>
            </w:pPr>
            <w:r w:rsidRPr="00A058B6">
              <w:t>1</w:t>
            </w:r>
            <w:r w:rsidR="00D7157D">
              <w:t>.</w:t>
            </w:r>
            <w:r w:rsidRPr="00A058B6">
              <w:t>440</w:t>
            </w:r>
          </w:p>
        </w:tc>
        <w:tc>
          <w:tcPr>
            <w:tcW w:w="1878" w:type="pct"/>
            <w:tcBorders>
              <w:top w:val="single" w:sz="2" w:space="0" w:color="auto"/>
              <w:left w:val="nil"/>
              <w:bottom w:val="single" w:sz="2" w:space="0" w:color="auto"/>
              <w:right w:val="nil"/>
            </w:tcBorders>
            <w:shd w:val="clear" w:color="auto" w:fill="auto"/>
            <w:vAlign w:val="bottom"/>
          </w:tcPr>
          <w:p w14:paraId="11EA9074" w14:textId="77777777" w:rsidR="00647C6B" w:rsidRPr="00A058B6" w:rsidRDefault="00647C6B" w:rsidP="009C0D79">
            <w:pPr>
              <w:pStyle w:val="Tabletext"/>
            </w:pPr>
            <w:r w:rsidRPr="00A058B6">
              <w:t>0</w:t>
            </w:r>
            <w:r w:rsidR="00D7157D">
              <w:t>.</w:t>
            </w:r>
            <w:r w:rsidRPr="00A058B6">
              <w:t>409</w:t>
            </w:r>
          </w:p>
        </w:tc>
      </w:tr>
      <w:tr w:rsidR="00647C6B" w:rsidRPr="00A058B6" w14:paraId="7B1058CE" w14:textId="77777777" w:rsidTr="00963115">
        <w:trPr>
          <w:trHeight w:val="245"/>
          <w:jc w:val="right"/>
        </w:trPr>
        <w:tc>
          <w:tcPr>
            <w:tcW w:w="1705" w:type="pct"/>
          </w:tcPr>
          <w:p w14:paraId="19EA6D3A"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516D1586" w14:textId="77777777" w:rsidR="00647C6B" w:rsidRPr="00A058B6" w:rsidRDefault="00647C6B" w:rsidP="009C0D79">
            <w:pPr>
              <w:pStyle w:val="Tabletext"/>
            </w:pPr>
            <w:r w:rsidRPr="00A058B6">
              <w:t>1</w:t>
            </w:r>
            <w:r w:rsidR="00D7157D">
              <w:t>.</w:t>
            </w:r>
            <w:r w:rsidRPr="00A058B6">
              <w:t>372</w:t>
            </w:r>
          </w:p>
        </w:tc>
        <w:tc>
          <w:tcPr>
            <w:tcW w:w="1878" w:type="pct"/>
            <w:tcBorders>
              <w:top w:val="single" w:sz="2" w:space="0" w:color="auto"/>
              <w:left w:val="nil"/>
              <w:bottom w:val="single" w:sz="2" w:space="0" w:color="auto"/>
              <w:right w:val="nil"/>
            </w:tcBorders>
            <w:shd w:val="clear" w:color="auto" w:fill="auto"/>
            <w:vAlign w:val="bottom"/>
          </w:tcPr>
          <w:p w14:paraId="60DF8C25" w14:textId="77777777" w:rsidR="00647C6B" w:rsidRPr="00A058B6" w:rsidRDefault="00647C6B" w:rsidP="009C0D79">
            <w:pPr>
              <w:pStyle w:val="Tabletext"/>
            </w:pPr>
            <w:r w:rsidRPr="00A058B6">
              <w:t>0</w:t>
            </w:r>
            <w:r w:rsidR="00D7157D">
              <w:t>.</w:t>
            </w:r>
            <w:r w:rsidRPr="00A058B6">
              <w:t>356</w:t>
            </w:r>
          </w:p>
        </w:tc>
      </w:tr>
      <w:tr w:rsidR="00647C6B" w:rsidRPr="00A058B6" w14:paraId="5125BC58" w14:textId="77777777" w:rsidTr="00963115">
        <w:trPr>
          <w:trHeight w:val="245"/>
          <w:jc w:val="right"/>
        </w:trPr>
        <w:tc>
          <w:tcPr>
            <w:tcW w:w="1705" w:type="pct"/>
          </w:tcPr>
          <w:p w14:paraId="3D2BD038"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54DFD813" w14:textId="77777777" w:rsidR="00647C6B" w:rsidRPr="00A058B6" w:rsidRDefault="00647C6B" w:rsidP="009C0D79">
            <w:pPr>
              <w:pStyle w:val="Tabletext"/>
            </w:pPr>
            <w:r w:rsidRPr="00A058B6">
              <w:t>1</w:t>
            </w:r>
            <w:r w:rsidR="00D7157D">
              <w:t>.</w:t>
            </w:r>
            <w:r w:rsidRPr="00A058B6">
              <w:t>166</w:t>
            </w:r>
          </w:p>
        </w:tc>
        <w:tc>
          <w:tcPr>
            <w:tcW w:w="1878" w:type="pct"/>
            <w:tcBorders>
              <w:top w:val="single" w:sz="2" w:space="0" w:color="auto"/>
              <w:left w:val="nil"/>
              <w:bottom w:val="single" w:sz="2" w:space="0" w:color="auto"/>
              <w:right w:val="nil"/>
            </w:tcBorders>
            <w:shd w:val="clear" w:color="auto" w:fill="auto"/>
            <w:vAlign w:val="bottom"/>
          </w:tcPr>
          <w:p w14:paraId="2A7121AD" w14:textId="77777777" w:rsidR="00647C6B" w:rsidRPr="00A058B6" w:rsidRDefault="00647C6B" w:rsidP="009C0D79">
            <w:pPr>
              <w:pStyle w:val="Tabletext"/>
            </w:pPr>
            <w:r w:rsidRPr="00A058B6">
              <w:t>0</w:t>
            </w:r>
            <w:r w:rsidR="00D7157D">
              <w:t>.</w:t>
            </w:r>
            <w:r w:rsidRPr="00A058B6">
              <w:t>303</w:t>
            </w:r>
          </w:p>
        </w:tc>
      </w:tr>
      <w:tr w:rsidR="00647C6B" w:rsidRPr="00A058B6" w14:paraId="56526F39" w14:textId="77777777" w:rsidTr="00963115">
        <w:trPr>
          <w:trHeight w:val="245"/>
          <w:jc w:val="right"/>
        </w:trPr>
        <w:tc>
          <w:tcPr>
            <w:tcW w:w="1705" w:type="pct"/>
          </w:tcPr>
          <w:p w14:paraId="2FB75549"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274F98C7" w14:textId="77777777" w:rsidR="00647C6B" w:rsidRPr="00A058B6" w:rsidRDefault="00647C6B" w:rsidP="009C0D79">
            <w:pPr>
              <w:pStyle w:val="Tabletext"/>
            </w:pPr>
            <w:r w:rsidRPr="00A058B6">
              <w:t>0</w:t>
            </w:r>
            <w:r w:rsidR="00D7157D">
              <w:t>.</w:t>
            </w:r>
            <w:r w:rsidRPr="00A058B6">
              <w:t>960</w:t>
            </w:r>
          </w:p>
        </w:tc>
        <w:tc>
          <w:tcPr>
            <w:tcW w:w="1878" w:type="pct"/>
            <w:tcBorders>
              <w:top w:val="single" w:sz="2" w:space="0" w:color="auto"/>
              <w:left w:val="nil"/>
              <w:bottom w:val="single" w:sz="2" w:space="0" w:color="auto"/>
              <w:right w:val="nil"/>
            </w:tcBorders>
            <w:shd w:val="clear" w:color="auto" w:fill="auto"/>
            <w:vAlign w:val="bottom"/>
          </w:tcPr>
          <w:p w14:paraId="33A4DA2B" w14:textId="77777777" w:rsidR="00647C6B" w:rsidRPr="00A058B6" w:rsidRDefault="00647C6B" w:rsidP="009C0D79">
            <w:pPr>
              <w:pStyle w:val="Tabletext"/>
            </w:pPr>
            <w:r w:rsidRPr="00A058B6">
              <w:t>0</w:t>
            </w:r>
            <w:r w:rsidR="00D7157D">
              <w:t>.</w:t>
            </w:r>
            <w:r w:rsidRPr="00A058B6">
              <w:t>249</w:t>
            </w:r>
          </w:p>
        </w:tc>
      </w:tr>
      <w:tr w:rsidR="00647C6B" w:rsidRPr="00A058B6" w14:paraId="58875DEC" w14:textId="77777777" w:rsidTr="00963115">
        <w:trPr>
          <w:trHeight w:val="245"/>
          <w:jc w:val="right"/>
        </w:trPr>
        <w:tc>
          <w:tcPr>
            <w:tcW w:w="1705" w:type="pct"/>
          </w:tcPr>
          <w:p w14:paraId="3381C21D"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1400954D" w14:textId="77777777" w:rsidR="00647C6B" w:rsidRPr="00A058B6" w:rsidRDefault="00647C6B" w:rsidP="009C0D79">
            <w:pPr>
              <w:pStyle w:val="Tabletext"/>
            </w:pPr>
            <w:r w:rsidRPr="00A058B6">
              <w:t>0</w:t>
            </w:r>
            <w:r w:rsidR="00D7157D">
              <w:t>.</w:t>
            </w:r>
            <w:r w:rsidRPr="00A058B6">
              <w:t>754</w:t>
            </w:r>
          </w:p>
        </w:tc>
        <w:tc>
          <w:tcPr>
            <w:tcW w:w="1878" w:type="pct"/>
            <w:tcBorders>
              <w:top w:val="single" w:sz="2" w:space="0" w:color="auto"/>
              <w:left w:val="nil"/>
              <w:bottom w:val="single" w:sz="2" w:space="0" w:color="auto"/>
              <w:right w:val="nil"/>
            </w:tcBorders>
            <w:shd w:val="clear" w:color="auto" w:fill="auto"/>
            <w:vAlign w:val="bottom"/>
          </w:tcPr>
          <w:p w14:paraId="756C5860" w14:textId="77777777" w:rsidR="00647C6B" w:rsidRPr="00A058B6" w:rsidRDefault="00647C6B" w:rsidP="009C0D79">
            <w:pPr>
              <w:pStyle w:val="Tabletext"/>
            </w:pPr>
            <w:r w:rsidRPr="00A058B6">
              <w:t>0</w:t>
            </w:r>
            <w:r w:rsidR="00D7157D">
              <w:t>.</w:t>
            </w:r>
            <w:r w:rsidRPr="00A058B6">
              <w:t>196</w:t>
            </w:r>
          </w:p>
        </w:tc>
      </w:tr>
      <w:tr w:rsidR="00647C6B" w:rsidRPr="00A058B6" w14:paraId="2826FE54" w14:textId="77777777" w:rsidTr="00963115">
        <w:trPr>
          <w:trHeight w:val="245"/>
          <w:jc w:val="right"/>
        </w:trPr>
        <w:tc>
          <w:tcPr>
            <w:tcW w:w="1705" w:type="pct"/>
            <w:tcBorders>
              <w:bottom w:val="single" w:sz="4" w:space="0" w:color="auto"/>
            </w:tcBorders>
          </w:tcPr>
          <w:p w14:paraId="5C2B1B19"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7CBB6B4A" w14:textId="77777777" w:rsidR="00647C6B" w:rsidRPr="00A058B6" w:rsidRDefault="00647C6B" w:rsidP="009C0D79">
            <w:pPr>
              <w:pStyle w:val="Tabletext"/>
            </w:pPr>
            <w:r w:rsidRPr="00A058B6">
              <w:t>0</w:t>
            </w:r>
            <w:r w:rsidR="00D7157D">
              <w:t>.</w:t>
            </w:r>
            <w:r w:rsidRPr="00A058B6">
              <w:t>549</w:t>
            </w:r>
          </w:p>
        </w:tc>
        <w:tc>
          <w:tcPr>
            <w:tcW w:w="1878" w:type="pct"/>
            <w:tcBorders>
              <w:top w:val="single" w:sz="2" w:space="0" w:color="auto"/>
              <w:left w:val="nil"/>
              <w:bottom w:val="single" w:sz="2" w:space="0" w:color="auto"/>
              <w:right w:val="nil"/>
            </w:tcBorders>
            <w:shd w:val="clear" w:color="auto" w:fill="auto"/>
            <w:vAlign w:val="bottom"/>
          </w:tcPr>
          <w:p w14:paraId="3D0FF496" w14:textId="77777777" w:rsidR="00647C6B" w:rsidRPr="00A058B6" w:rsidRDefault="00647C6B" w:rsidP="009C0D79">
            <w:pPr>
              <w:pStyle w:val="Tabletext"/>
            </w:pPr>
            <w:r w:rsidRPr="00A058B6">
              <w:t>0</w:t>
            </w:r>
            <w:r w:rsidR="00D7157D">
              <w:t>.</w:t>
            </w:r>
            <w:r w:rsidRPr="00A058B6">
              <w:t>142</w:t>
            </w:r>
          </w:p>
        </w:tc>
      </w:tr>
      <w:tr w:rsidR="00647C6B" w:rsidRPr="00A058B6" w14:paraId="55756C7B" w14:textId="77777777" w:rsidTr="00963115">
        <w:trPr>
          <w:trHeight w:val="245"/>
          <w:jc w:val="right"/>
        </w:trPr>
        <w:tc>
          <w:tcPr>
            <w:tcW w:w="1705" w:type="pct"/>
            <w:tcBorders>
              <w:top w:val="single" w:sz="4" w:space="0" w:color="auto"/>
              <w:bottom w:val="single" w:sz="12" w:space="0" w:color="auto"/>
            </w:tcBorders>
          </w:tcPr>
          <w:p w14:paraId="7AF79C34"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08305FDE" w14:textId="77777777" w:rsidR="00647C6B" w:rsidRPr="00A058B6" w:rsidRDefault="00647C6B" w:rsidP="009C0D79">
            <w:pPr>
              <w:pStyle w:val="Tabletext"/>
            </w:pPr>
            <w:r w:rsidRPr="00A058B6">
              <w:t>0</w:t>
            </w:r>
            <w:r w:rsidR="00D7157D">
              <w:t>.</w:t>
            </w:r>
            <w:r w:rsidRPr="00A058B6">
              <w:t>343</w:t>
            </w:r>
          </w:p>
        </w:tc>
        <w:tc>
          <w:tcPr>
            <w:tcW w:w="1878" w:type="pct"/>
            <w:tcBorders>
              <w:top w:val="single" w:sz="2" w:space="0" w:color="auto"/>
              <w:left w:val="nil"/>
              <w:bottom w:val="single" w:sz="12" w:space="0" w:color="auto"/>
              <w:right w:val="nil"/>
            </w:tcBorders>
            <w:shd w:val="clear" w:color="auto" w:fill="auto"/>
            <w:vAlign w:val="bottom"/>
          </w:tcPr>
          <w:p w14:paraId="42DA8D8F" w14:textId="77777777" w:rsidR="00647C6B" w:rsidRPr="00A058B6" w:rsidRDefault="00647C6B" w:rsidP="009C0D79">
            <w:pPr>
              <w:pStyle w:val="Tabletext"/>
            </w:pPr>
            <w:r w:rsidRPr="00A058B6">
              <w:t>0</w:t>
            </w:r>
            <w:r w:rsidR="00D7157D">
              <w:t>.</w:t>
            </w:r>
            <w:r w:rsidRPr="00A058B6">
              <w:t>089</w:t>
            </w:r>
          </w:p>
        </w:tc>
      </w:tr>
    </w:tbl>
    <w:p w14:paraId="14CF9A1B" w14:textId="7B2388A6" w:rsidR="00647C6B" w:rsidRPr="00A058B6" w:rsidRDefault="00D7157D" w:rsidP="00647C6B">
      <w:pPr>
        <w:pStyle w:val="ActHead5"/>
      </w:pPr>
      <w:bookmarkStart w:id="247" w:name="_Toc188350725"/>
      <w:r w:rsidRPr="00423C34">
        <w:rPr>
          <w:rStyle w:val="CharSectno"/>
        </w:rPr>
        <w:t>9</w:t>
      </w:r>
      <w:r w:rsidR="00647C6B" w:rsidRPr="00A058B6">
        <w:t xml:space="preserve">  Valuation factors—no guarantee period—CPI indexed pension plus 1%</w:t>
      </w:r>
      <w:bookmarkEnd w:id="247"/>
    </w:p>
    <w:p w14:paraId="7B57B51A"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6ECBA898" w14:textId="77777777" w:rsidR="00647C6B" w:rsidRPr="00A058B6" w:rsidRDefault="00647C6B" w:rsidP="00647C6B">
      <w:pPr>
        <w:pStyle w:val="paragraph"/>
      </w:pPr>
      <w:r w:rsidRPr="00A058B6">
        <w:tab/>
        <w:t>(a)</w:t>
      </w:r>
      <w:r w:rsidRPr="00A058B6">
        <w:tab/>
        <w:t>has no guarantee period; and</w:t>
      </w:r>
    </w:p>
    <w:p w14:paraId="160FBCB1" w14:textId="77777777" w:rsidR="00647C6B" w:rsidRDefault="00647C6B" w:rsidP="00490092">
      <w:pPr>
        <w:pStyle w:val="paragraph"/>
      </w:pPr>
      <w:r w:rsidRPr="00A058B6">
        <w:tab/>
        <w:t>(b)</w:t>
      </w:r>
      <w:r w:rsidRPr="00A058B6">
        <w:tab/>
        <w:t>is indexed in accordance with</w:t>
      </w:r>
      <w:r w:rsidR="00490092">
        <w:t xml:space="preserve"> </w:t>
      </w:r>
      <w:r w:rsidRPr="00A058B6">
        <w:t>the consumer price index plus 1%</w:t>
      </w:r>
      <w:r w:rsidR="00D7157D">
        <w:t>.</w:t>
      </w:r>
    </w:p>
    <w:p w14:paraId="74C6944F"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4"/>
        <w:gridCol w:w="2378"/>
        <w:gridCol w:w="3101"/>
      </w:tblGrid>
      <w:tr w:rsidR="00647C6B" w:rsidRPr="00A058B6" w14:paraId="4D6B17D3" w14:textId="77777777" w:rsidTr="00963115">
        <w:trPr>
          <w:cantSplit/>
          <w:trHeight w:val="375"/>
          <w:tblHeader/>
          <w:jc w:val="right"/>
        </w:trPr>
        <w:tc>
          <w:tcPr>
            <w:tcW w:w="1705" w:type="pct"/>
            <w:vMerge w:val="restart"/>
            <w:tcBorders>
              <w:top w:val="single" w:sz="12" w:space="0" w:color="auto"/>
              <w:bottom w:val="single" w:sz="12" w:space="0" w:color="auto"/>
            </w:tcBorders>
          </w:tcPr>
          <w:p w14:paraId="01349BE1"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5A4CBFE8" w14:textId="77777777" w:rsidR="00647C6B" w:rsidRPr="00A058B6" w:rsidRDefault="00647C6B" w:rsidP="00963115">
            <w:pPr>
              <w:pStyle w:val="TableHeading"/>
              <w:rPr>
                <w:snapToGrid w:val="0"/>
              </w:rPr>
            </w:pPr>
            <w:r w:rsidRPr="00A058B6">
              <w:rPr>
                <w:snapToGrid w:val="0"/>
              </w:rPr>
              <w:t>Pension valuation factors</w:t>
            </w:r>
            <w:r w:rsidRPr="00A058B6">
              <w:rPr>
                <w:snapToGrid w:val="0"/>
              </w:rPr>
              <w:br/>
              <w:t>No guarantee period—CPI indexed pension plus 1%</w:t>
            </w:r>
          </w:p>
        </w:tc>
      </w:tr>
      <w:tr w:rsidR="00647C6B" w:rsidRPr="00A058B6" w14:paraId="4E7E89D6" w14:textId="77777777" w:rsidTr="00963115">
        <w:trPr>
          <w:cantSplit/>
          <w:trHeight w:val="26"/>
          <w:tblHeader/>
          <w:jc w:val="right"/>
        </w:trPr>
        <w:tc>
          <w:tcPr>
            <w:tcW w:w="1705" w:type="pct"/>
            <w:vMerge/>
            <w:tcBorders>
              <w:top w:val="single" w:sz="4" w:space="0" w:color="auto"/>
              <w:bottom w:val="single" w:sz="12" w:space="0" w:color="auto"/>
            </w:tcBorders>
          </w:tcPr>
          <w:p w14:paraId="207DD837" w14:textId="77777777" w:rsidR="00647C6B" w:rsidRPr="00A058B6" w:rsidRDefault="00647C6B" w:rsidP="00963115">
            <w:pPr>
              <w:pStyle w:val="TableHeading"/>
              <w:rPr>
                <w:snapToGrid w:val="0"/>
              </w:rPr>
            </w:pPr>
          </w:p>
        </w:tc>
        <w:tc>
          <w:tcPr>
            <w:tcW w:w="1430" w:type="pct"/>
            <w:tcBorders>
              <w:top w:val="single" w:sz="4" w:space="0" w:color="auto"/>
              <w:bottom w:val="single" w:sz="12" w:space="0" w:color="auto"/>
            </w:tcBorders>
          </w:tcPr>
          <w:p w14:paraId="16DC724D" w14:textId="77777777" w:rsidR="00647C6B" w:rsidRPr="00A058B6" w:rsidRDefault="00647C6B" w:rsidP="00963115">
            <w:pPr>
              <w:pStyle w:val="TableHeading"/>
              <w:rPr>
                <w:snapToGrid w:val="0"/>
              </w:rPr>
            </w:pPr>
            <w:r w:rsidRPr="00A058B6">
              <w:rPr>
                <w:snapToGrid w:val="0"/>
              </w:rPr>
              <w:t>Male</w:t>
            </w:r>
          </w:p>
        </w:tc>
        <w:tc>
          <w:tcPr>
            <w:tcW w:w="1865" w:type="pct"/>
            <w:tcBorders>
              <w:top w:val="single" w:sz="4" w:space="0" w:color="auto"/>
              <w:bottom w:val="single" w:sz="12" w:space="0" w:color="auto"/>
            </w:tcBorders>
          </w:tcPr>
          <w:p w14:paraId="2219AFEB" w14:textId="77777777" w:rsidR="00647C6B" w:rsidRPr="00A058B6" w:rsidRDefault="00647C6B" w:rsidP="00963115">
            <w:pPr>
              <w:pStyle w:val="TableHeading"/>
              <w:rPr>
                <w:snapToGrid w:val="0"/>
              </w:rPr>
            </w:pPr>
            <w:r w:rsidRPr="00A058B6">
              <w:rPr>
                <w:snapToGrid w:val="0"/>
              </w:rPr>
              <w:t>Female</w:t>
            </w:r>
          </w:p>
        </w:tc>
      </w:tr>
      <w:tr w:rsidR="00647C6B" w:rsidRPr="00A058B6" w14:paraId="3E61F6E6" w14:textId="77777777" w:rsidTr="00963115">
        <w:trPr>
          <w:trHeight w:val="245"/>
          <w:jc w:val="right"/>
        </w:trPr>
        <w:tc>
          <w:tcPr>
            <w:tcW w:w="1705" w:type="pct"/>
            <w:tcBorders>
              <w:top w:val="single" w:sz="12" w:space="0" w:color="auto"/>
            </w:tcBorders>
          </w:tcPr>
          <w:p w14:paraId="677AAACF" w14:textId="77777777" w:rsidR="00647C6B" w:rsidRPr="00A058B6" w:rsidRDefault="00647C6B" w:rsidP="009C0D79">
            <w:pPr>
              <w:pStyle w:val="Tabletext"/>
              <w:rPr>
                <w:snapToGrid w:val="0"/>
              </w:rPr>
            </w:pPr>
            <w:r w:rsidRPr="00A058B6">
              <w:rPr>
                <w:snapToGrid w:val="0"/>
              </w:rPr>
              <w:t>55</w:t>
            </w:r>
          </w:p>
        </w:tc>
        <w:tc>
          <w:tcPr>
            <w:tcW w:w="1430" w:type="pct"/>
            <w:tcBorders>
              <w:top w:val="single" w:sz="12" w:space="0" w:color="auto"/>
              <w:left w:val="nil"/>
              <w:bottom w:val="single" w:sz="2" w:space="0" w:color="auto"/>
              <w:right w:val="nil"/>
            </w:tcBorders>
            <w:shd w:val="clear" w:color="auto" w:fill="auto"/>
            <w:vAlign w:val="bottom"/>
          </w:tcPr>
          <w:p w14:paraId="67F7BFC2" w14:textId="77777777" w:rsidR="00647C6B" w:rsidRPr="00A058B6" w:rsidRDefault="00647C6B" w:rsidP="009C0D79">
            <w:pPr>
              <w:pStyle w:val="Tabletext"/>
            </w:pPr>
            <w:r w:rsidRPr="00A058B6">
              <w:t>22</w:t>
            </w:r>
            <w:r w:rsidR="00D7157D">
              <w:t>.</w:t>
            </w:r>
            <w:r w:rsidRPr="00A058B6">
              <w:t>6316</w:t>
            </w:r>
          </w:p>
        </w:tc>
        <w:tc>
          <w:tcPr>
            <w:tcW w:w="1865" w:type="pct"/>
            <w:tcBorders>
              <w:top w:val="single" w:sz="12" w:space="0" w:color="auto"/>
              <w:left w:val="nil"/>
              <w:bottom w:val="single" w:sz="2" w:space="0" w:color="auto"/>
              <w:right w:val="nil"/>
            </w:tcBorders>
            <w:shd w:val="clear" w:color="auto" w:fill="auto"/>
            <w:vAlign w:val="center"/>
          </w:tcPr>
          <w:p w14:paraId="26845948" w14:textId="77777777" w:rsidR="00647C6B" w:rsidRPr="00A058B6" w:rsidRDefault="00647C6B" w:rsidP="009C0D79">
            <w:pPr>
              <w:pStyle w:val="Tabletext"/>
            </w:pPr>
            <w:r w:rsidRPr="00A058B6">
              <w:t>23</w:t>
            </w:r>
            <w:r w:rsidR="00D7157D">
              <w:t>.</w:t>
            </w:r>
            <w:r w:rsidRPr="00A058B6">
              <w:t>7253</w:t>
            </w:r>
          </w:p>
        </w:tc>
      </w:tr>
      <w:tr w:rsidR="00647C6B" w:rsidRPr="00A058B6" w14:paraId="4747A18D" w14:textId="77777777" w:rsidTr="00963115">
        <w:trPr>
          <w:trHeight w:val="245"/>
          <w:jc w:val="right"/>
        </w:trPr>
        <w:tc>
          <w:tcPr>
            <w:tcW w:w="1705" w:type="pct"/>
          </w:tcPr>
          <w:p w14:paraId="4F49A3EE" w14:textId="77777777" w:rsidR="00647C6B" w:rsidRPr="00A058B6" w:rsidRDefault="00647C6B" w:rsidP="009C0D79">
            <w:pPr>
              <w:pStyle w:val="Tabletext"/>
            </w:pPr>
            <w:r w:rsidRPr="00A058B6">
              <w:t>56</w:t>
            </w:r>
          </w:p>
        </w:tc>
        <w:tc>
          <w:tcPr>
            <w:tcW w:w="1430" w:type="pct"/>
            <w:tcBorders>
              <w:top w:val="single" w:sz="2" w:space="0" w:color="auto"/>
              <w:left w:val="nil"/>
              <w:bottom w:val="single" w:sz="2" w:space="0" w:color="auto"/>
              <w:right w:val="nil"/>
            </w:tcBorders>
            <w:shd w:val="clear" w:color="auto" w:fill="auto"/>
            <w:vAlign w:val="bottom"/>
          </w:tcPr>
          <w:p w14:paraId="5722BB26" w14:textId="77777777" w:rsidR="00647C6B" w:rsidRPr="00A058B6" w:rsidRDefault="00647C6B" w:rsidP="009C0D79">
            <w:pPr>
              <w:pStyle w:val="Tabletext"/>
            </w:pPr>
            <w:r w:rsidRPr="00A058B6">
              <w:t>22</w:t>
            </w:r>
            <w:r w:rsidR="00D7157D">
              <w:t>.</w:t>
            </w:r>
            <w:r w:rsidRPr="00A058B6">
              <w:t>1803</w:t>
            </w:r>
          </w:p>
        </w:tc>
        <w:tc>
          <w:tcPr>
            <w:tcW w:w="1865" w:type="pct"/>
            <w:tcBorders>
              <w:top w:val="single" w:sz="2" w:space="0" w:color="auto"/>
              <w:left w:val="nil"/>
              <w:bottom w:val="single" w:sz="2" w:space="0" w:color="auto"/>
              <w:right w:val="nil"/>
            </w:tcBorders>
            <w:shd w:val="clear" w:color="auto" w:fill="auto"/>
            <w:vAlign w:val="center"/>
          </w:tcPr>
          <w:p w14:paraId="6A728AE7" w14:textId="77777777" w:rsidR="00647C6B" w:rsidRPr="00A058B6" w:rsidRDefault="00647C6B" w:rsidP="009C0D79">
            <w:pPr>
              <w:pStyle w:val="Tabletext"/>
            </w:pPr>
            <w:r w:rsidRPr="00A058B6">
              <w:t>23</w:t>
            </w:r>
            <w:r w:rsidR="00D7157D">
              <w:t>.</w:t>
            </w:r>
            <w:r w:rsidRPr="00A058B6">
              <w:t>2867</w:t>
            </w:r>
          </w:p>
        </w:tc>
      </w:tr>
      <w:tr w:rsidR="00647C6B" w:rsidRPr="00A058B6" w14:paraId="1B3D6275" w14:textId="77777777" w:rsidTr="00963115">
        <w:trPr>
          <w:trHeight w:val="245"/>
          <w:jc w:val="right"/>
        </w:trPr>
        <w:tc>
          <w:tcPr>
            <w:tcW w:w="1705" w:type="pct"/>
          </w:tcPr>
          <w:p w14:paraId="220D6BB3" w14:textId="77777777" w:rsidR="00647C6B" w:rsidRPr="00A058B6" w:rsidRDefault="00647C6B" w:rsidP="009C0D79">
            <w:pPr>
              <w:pStyle w:val="Tabletext"/>
            </w:pPr>
            <w:r w:rsidRPr="00A058B6">
              <w:t>57</w:t>
            </w:r>
          </w:p>
        </w:tc>
        <w:tc>
          <w:tcPr>
            <w:tcW w:w="1430" w:type="pct"/>
            <w:tcBorders>
              <w:top w:val="single" w:sz="2" w:space="0" w:color="auto"/>
              <w:left w:val="nil"/>
              <w:bottom w:val="single" w:sz="2" w:space="0" w:color="auto"/>
              <w:right w:val="nil"/>
            </w:tcBorders>
            <w:shd w:val="clear" w:color="auto" w:fill="auto"/>
            <w:vAlign w:val="bottom"/>
          </w:tcPr>
          <w:p w14:paraId="77E984D2" w14:textId="77777777" w:rsidR="00647C6B" w:rsidRPr="00A058B6" w:rsidRDefault="00647C6B" w:rsidP="009C0D79">
            <w:pPr>
              <w:pStyle w:val="Tabletext"/>
            </w:pPr>
            <w:r w:rsidRPr="00A058B6">
              <w:t>21</w:t>
            </w:r>
            <w:r w:rsidR="00D7157D">
              <w:t>.</w:t>
            </w:r>
            <w:r w:rsidRPr="00A058B6">
              <w:t>7185</w:t>
            </w:r>
          </w:p>
        </w:tc>
        <w:tc>
          <w:tcPr>
            <w:tcW w:w="1865" w:type="pct"/>
            <w:tcBorders>
              <w:top w:val="single" w:sz="2" w:space="0" w:color="auto"/>
              <w:left w:val="nil"/>
              <w:bottom w:val="single" w:sz="2" w:space="0" w:color="auto"/>
              <w:right w:val="nil"/>
            </w:tcBorders>
            <w:shd w:val="clear" w:color="auto" w:fill="auto"/>
            <w:vAlign w:val="center"/>
          </w:tcPr>
          <w:p w14:paraId="5499617A" w14:textId="77777777" w:rsidR="00647C6B" w:rsidRPr="00A058B6" w:rsidRDefault="00647C6B" w:rsidP="009C0D79">
            <w:pPr>
              <w:pStyle w:val="Tabletext"/>
            </w:pPr>
            <w:r w:rsidRPr="00A058B6">
              <w:t>22</w:t>
            </w:r>
            <w:r w:rsidR="00D7157D">
              <w:t>.</w:t>
            </w:r>
            <w:r w:rsidRPr="00A058B6">
              <w:t>8394</w:t>
            </w:r>
          </w:p>
        </w:tc>
      </w:tr>
      <w:tr w:rsidR="00647C6B" w:rsidRPr="00A058B6" w14:paraId="03FD8269" w14:textId="77777777" w:rsidTr="00963115">
        <w:trPr>
          <w:trHeight w:val="245"/>
          <w:jc w:val="right"/>
        </w:trPr>
        <w:tc>
          <w:tcPr>
            <w:tcW w:w="1705" w:type="pct"/>
          </w:tcPr>
          <w:p w14:paraId="1CF6F3E1" w14:textId="77777777" w:rsidR="00647C6B" w:rsidRPr="00A058B6" w:rsidRDefault="00647C6B" w:rsidP="009C0D79">
            <w:pPr>
              <w:pStyle w:val="Tabletext"/>
            </w:pPr>
            <w:r w:rsidRPr="00A058B6">
              <w:t>58</w:t>
            </w:r>
          </w:p>
        </w:tc>
        <w:tc>
          <w:tcPr>
            <w:tcW w:w="1430" w:type="pct"/>
            <w:tcBorders>
              <w:top w:val="single" w:sz="2" w:space="0" w:color="auto"/>
              <w:left w:val="nil"/>
              <w:bottom w:val="single" w:sz="2" w:space="0" w:color="auto"/>
              <w:right w:val="nil"/>
            </w:tcBorders>
            <w:shd w:val="clear" w:color="auto" w:fill="auto"/>
            <w:vAlign w:val="bottom"/>
          </w:tcPr>
          <w:p w14:paraId="48F6BC41" w14:textId="77777777" w:rsidR="00647C6B" w:rsidRPr="00A058B6" w:rsidRDefault="00647C6B" w:rsidP="009C0D79">
            <w:pPr>
              <w:pStyle w:val="Tabletext"/>
            </w:pPr>
            <w:r w:rsidRPr="00A058B6">
              <w:t>21</w:t>
            </w:r>
            <w:r w:rsidR="00D7157D">
              <w:t>.</w:t>
            </w:r>
            <w:r w:rsidRPr="00A058B6">
              <w:t>2459</w:t>
            </w:r>
          </w:p>
        </w:tc>
        <w:tc>
          <w:tcPr>
            <w:tcW w:w="1865" w:type="pct"/>
            <w:tcBorders>
              <w:top w:val="single" w:sz="2" w:space="0" w:color="auto"/>
              <w:left w:val="nil"/>
              <w:bottom w:val="single" w:sz="2" w:space="0" w:color="auto"/>
              <w:right w:val="nil"/>
            </w:tcBorders>
            <w:shd w:val="clear" w:color="auto" w:fill="auto"/>
            <w:vAlign w:val="center"/>
          </w:tcPr>
          <w:p w14:paraId="3CA0E853" w14:textId="77777777" w:rsidR="00647C6B" w:rsidRPr="00A058B6" w:rsidRDefault="00647C6B" w:rsidP="009C0D79">
            <w:pPr>
              <w:pStyle w:val="Tabletext"/>
            </w:pPr>
            <w:r w:rsidRPr="00A058B6">
              <w:t>22</w:t>
            </w:r>
            <w:r w:rsidR="00D7157D">
              <w:t>.</w:t>
            </w:r>
            <w:r w:rsidRPr="00A058B6">
              <w:t>3821</w:t>
            </w:r>
          </w:p>
        </w:tc>
      </w:tr>
      <w:tr w:rsidR="00647C6B" w:rsidRPr="00A058B6" w14:paraId="1426B451" w14:textId="77777777" w:rsidTr="00963115">
        <w:trPr>
          <w:trHeight w:val="245"/>
          <w:jc w:val="right"/>
        </w:trPr>
        <w:tc>
          <w:tcPr>
            <w:tcW w:w="1705" w:type="pct"/>
          </w:tcPr>
          <w:p w14:paraId="2F80A9D9" w14:textId="77777777" w:rsidR="00647C6B" w:rsidRPr="00A058B6" w:rsidRDefault="00647C6B" w:rsidP="009C0D79">
            <w:pPr>
              <w:pStyle w:val="Tabletext"/>
            </w:pPr>
            <w:r w:rsidRPr="00A058B6">
              <w:t>59</w:t>
            </w:r>
          </w:p>
        </w:tc>
        <w:tc>
          <w:tcPr>
            <w:tcW w:w="1430" w:type="pct"/>
            <w:tcBorders>
              <w:top w:val="single" w:sz="2" w:space="0" w:color="auto"/>
              <w:left w:val="nil"/>
              <w:bottom w:val="single" w:sz="2" w:space="0" w:color="auto"/>
              <w:right w:val="nil"/>
            </w:tcBorders>
            <w:shd w:val="clear" w:color="auto" w:fill="auto"/>
            <w:vAlign w:val="bottom"/>
          </w:tcPr>
          <w:p w14:paraId="7600AA0B" w14:textId="77777777" w:rsidR="00647C6B" w:rsidRPr="00A058B6" w:rsidRDefault="00647C6B" w:rsidP="009C0D79">
            <w:pPr>
              <w:pStyle w:val="Tabletext"/>
            </w:pPr>
            <w:r w:rsidRPr="00A058B6">
              <w:t>20</w:t>
            </w:r>
            <w:r w:rsidR="00D7157D">
              <w:t>.</w:t>
            </w:r>
            <w:r w:rsidRPr="00A058B6">
              <w:t>7618</w:t>
            </w:r>
          </w:p>
        </w:tc>
        <w:tc>
          <w:tcPr>
            <w:tcW w:w="1865" w:type="pct"/>
            <w:tcBorders>
              <w:top w:val="single" w:sz="2" w:space="0" w:color="auto"/>
              <w:left w:val="nil"/>
              <w:bottom w:val="single" w:sz="2" w:space="0" w:color="auto"/>
              <w:right w:val="nil"/>
            </w:tcBorders>
            <w:shd w:val="clear" w:color="auto" w:fill="auto"/>
            <w:vAlign w:val="center"/>
          </w:tcPr>
          <w:p w14:paraId="12885B64" w14:textId="77777777" w:rsidR="00647C6B" w:rsidRPr="00A058B6" w:rsidRDefault="00647C6B" w:rsidP="009C0D79">
            <w:pPr>
              <w:pStyle w:val="Tabletext"/>
            </w:pPr>
            <w:r w:rsidRPr="00A058B6">
              <w:t>21</w:t>
            </w:r>
            <w:r w:rsidR="00D7157D">
              <w:t>.</w:t>
            </w:r>
            <w:r w:rsidRPr="00A058B6">
              <w:t>9145</w:t>
            </w:r>
          </w:p>
        </w:tc>
      </w:tr>
      <w:tr w:rsidR="00647C6B" w:rsidRPr="00A058B6" w14:paraId="1B852F38" w14:textId="77777777" w:rsidTr="00963115">
        <w:trPr>
          <w:trHeight w:val="245"/>
          <w:jc w:val="right"/>
        </w:trPr>
        <w:tc>
          <w:tcPr>
            <w:tcW w:w="1705" w:type="pct"/>
          </w:tcPr>
          <w:p w14:paraId="2BE0489D" w14:textId="77777777" w:rsidR="00647C6B" w:rsidRPr="00A058B6" w:rsidRDefault="00647C6B" w:rsidP="009C0D79">
            <w:pPr>
              <w:pStyle w:val="Tabletext"/>
            </w:pPr>
            <w:r w:rsidRPr="00A058B6">
              <w:t>60</w:t>
            </w:r>
          </w:p>
        </w:tc>
        <w:tc>
          <w:tcPr>
            <w:tcW w:w="1430" w:type="pct"/>
            <w:tcBorders>
              <w:top w:val="single" w:sz="2" w:space="0" w:color="auto"/>
              <w:left w:val="nil"/>
              <w:bottom w:val="single" w:sz="2" w:space="0" w:color="auto"/>
              <w:right w:val="nil"/>
            </w:tcBorders>
            <w:shd w:val="clear" w:color="auto" w:fill="auto"/>
            <w:vAlign w:val="bottom"/>
          </w:tcPr>
          <w:p w14:paraId="564E89EC" w14:textId="77777777" w:rsidR="00647C6B" w:rsidRPr="00A058B6" w:rsidRDefault="00647C6B" w:rsidP="009C0D79">
            <w:pPr>
              <w:pStyle w:val="Tabletext"/>
            </w:pPr>
            <w:r w:rsidRPr="00A058B6">
              <w:t>20</w:t>
            </w:r>
            <w:r w:rsidR="00D7157D">
              <w:t>.</w:t>
            </w:r>
            <w:r w:rsidRPr="00A058B6">
              <w:t>2665</w:t>
            </w:r>
          </w:p>
        </w:tc>
        <w:tc>
          <w:tcPr>
            <w:tcW w:w="1865" w:type="pct"/>
            <w:tcBorders>
              <w:top w:val="single" w:sz="2" w:space="0" w:color="auto"/>
              <w:left w:val="nil"/>
              <w:bottom w:val="single" w:sz="2" w:space="0" w:color="auto"/>
              <w:right w:val="nil"/>
            </w:tcBorders>
            <w:shd w:val="clear" w:color="auto" w:fill="auto"/>
            <w:vAlign w:val="center"/>
          </w:tcPr>
          <w:p w14:paraId="1E0E093D" w14:textId="77777777" w:rsidR="00647C6B" w:rsidRPr="00A058B6" w:rsidRDefault="00647C6B" w:rsidP="009C0D79">
            <w:pPr>
              <w:pStyle w:val="Tabletext"/>
            </w:pPr>
            <w:r w:rsidRPr="00A058B6">
              <w:t>21</w:t>
            </w:r>
            <w:r w:rsidR="00D7157D">
              <w:t>.</w:t>
            </w:r>
            <w:r w:rsidRPr="00A058B6">
              <w:t>4361</w:t>
            </w:r>
          </w:p>
        </w:tc>
      </w:tr>
      <w:tr w:rsidR="00647C6B" w:rsidRPr="00A058B6" w14:paraId="4036E849" w14:textId="77777777" w:rsidTr="00963115">
        <w:trPr>
          <w:trHeight w:val="245"/>
          <w:jc w:val="right"/>
        </w:trPr>
        <w:tc>
          <w:tcPr>
            <w:tcW w:w="1705" w:type="pct"/>
          </w:tcPr>
          <w:p w14:paraId="5F714AD0" w14:textId="77777777" w:rsidR="00647C6B" w:rsidRPr="00A058B6" w:rsidRDefault="00647C6B" w:rsidP="009C0D79">
            <w:pPr>
              <w:pStyle w:val="Tabletext"/>
            </w:pPr>
            <w:r w:rsidRPr="00A058B6">
              <w:t>61</w:t>
            </w:r>
          </w:p>
        </w:tc>
        <w:tc>
          <w:tcPr>
            <w:tcW w:w="1430" w:type="pct"/>
            <w:tcBorders>
              <w:top w:val="single" w:sz="2" w:space="0" w:color="auto"/>
              <w:left w:val="nil"/>
              <w:bottom w:val="single" w:sz="2" w:space="0" w:color="auto"/>
              <w:right w:val="nil"/>
            </w:tcBorders>
            <w:shd w:val="clear" w:color="auto" w:fill="auto"/>
            <w:vAlign w:val="bottom"/>
          </w:tcPr>
          <w:p w14:paraId="184FF4BE" w14:textId="77777777" w:rsidR="00647C6B" w:rsidRPr="00A058B6" w:rsidRDefault="00647C6B" w:rsidP="009C0D79">
            <w:pPr>
              <w:pStyle w:val="Tabletext"/>
            </w:pPr>
            <w:r w:rsidRPr="00A058B6">
              <w:t>19</w:t>
            </w:r>
            <w:r w:rsidR="00D7157D">
              <w:t>.</w:t>
            </w:r>
            <w:r w:rsidRPr="00A058B6">
              <w:t>7603</w:t>
            </w:r>
          </w:p>
        </w:tc>
        <w:tc>
          <w:tcPr>
            <w:tcW w:w="1865" w:type="pct"/>
            <w:tcBorders>
              <w:top w:val="single" w:sz="2" w:space="0" w:color="auto"/>
              <w:left w:val="nil"/>
              <w:bottom w:val="single" w:sz="2" w:space="0" w:color="auto"/>
              <w:right w:val="nil"/>
            </w:tcBorders>
            <w:shd w:val="clear" w:color="auto" w:fill="auto"/>
            <w:vAlign w:val="center"/>
          </w:tcPr>
          <w:p w14:paraId="4E6CD512" w14:textId="77777777" w:rsidR="00647C6B" w:rsidRPr="00A058B6" w:rsidRDefault="00647C6B" w:rsidP="009C0D79">
            <w:pPr>
              <w:pStyle w:val="Tabletext"/>
            </w:pPr>
            <w:r w:rsidRPr="00A058B6">
              <w:t>20</w:t>
            </w:r>
            <w:r w:rsidR="00D7157D">
              <w:t>.</w:t>
            </w:r>
            <w:r w:rsidRPr="00A058B6">
              <w:t>9460</w:t>
            </w:r>
          </w:p>
        </w:tc>
      </w:tr>
      <w:tr w:rsidR="00647C6B" w:rsidRPr="00A058B6" w14:paraId="5894ECCC" w14:textId="77777777" w:rsidTr="00963115">
        <w:trPr>
          <w:trHeight w:val="245"/>
          <w:jc w:val="right"/>
        </w:trPr>
        <w:tc>
          <w:tcPr>
            <w:tcW w:w="1705" w:type="pct"/>
          </w:tcPr>
          <w:p w14:paraId="1579FCB5" w14:textId="77777777" w:rsidR="00647C6B" w:rsidRPr="00A058B6" w:rsidRDefault="00647C6B" w:rsidP="009C0D79">
            <w:pPr>
              <w:pStyle w:val="Tabletext"/>
            </w:pPr>
            <w:r w:rsidRPr="00A058B6">
              <w:t>62</w:t>
            </w:r>
          </w:p>
        </w:tc>
        <w:tc>
          <w:tcPr>
            <w:tcW w:w="1430" w:type="pct"/>
            <w:tcBorders>
              <w:top w:val="single" w:sz="2" w:space="0" w:color="auto"/>
              <w:left w:val="nil"/>
              <w:bottom w:val="single" w:sz="2" w:space="0" w:color="auto"/>
              <w:right w:val="nil"/>
            </w:tcBorders>
            <w:shd w:val="clear" w:color="auto" w:fill="auto"/>
            <w:vAlign w:val="bottom"/>
          </w:tcPr>
          <w:p w14:paraId="03E06A79" w14:textId="77777777" w:rsidR="00647C6B" w:rsidRPr="00A058B6" w:rsidRDefault="00647C6B" w:rsidP="009C0D79">
            <w:pPr>
              <w:pStyle w:val="Tabletext"/>
            </w:pPr>
            <w:r w:rsidRPr="00A058B6">
              <w:t>19</w:t>
            </w:r>
            <w:r w:rsidR="00D7157D">
              <w:t>.</w:t>
            </w:r>
            <w:r w:rsidRPr="00A058B6">
              <w:t>2427</w:t>
            </w:r>
          </w:p>
        </w:tc>
        <w:tc>
          <w:tcPr>
            <w:tcW w:w="1865" w:type="pct"/>
            <w:tcBorders>
              <w:top w:val="single" w:sz="2" w:space="0" w:color="auto"/>
              <w:left w:val="nil"/>
              <w:bottom w:val="single" w:sz="2" w:space="0" w:color="auto"/>
              <w:right w:val="nil"/>
            </w:tcBorders>
            <w:shd w:val="clear" w:color="auto" w:fill="auto"/>
            <w:vAlign w:val="center"/>
          </w:tcPr>
          <w:p w14:paraId="536158B5" w14:textId="77777777" w:rsidR="00647C6B" w:rsidRPr="00A058B6" w:rsidRDefault="00647C6B" w:rsidP="009C0D79">
            <w:pPr>
              <w:pStyle w:val="Tabletext"/>
            </w:pPr>
            <w:r w:rsidRPr="00A058B6">
              <w:t>20</w:t>
            </w:r>
            <w:r w:rsidR="00D7157D">
              <w:t>.</w:t>
            </w:r>
            <w:r w:rsidRPr="00A058B6">
              <w:t>4453</w:t>
            </w:r>
          </w:p>
        </w:tc>
      </w:tr>
      <w:tr w:rsidR="00647C6B" w:rsidRPr="00A058B6" w14:paraId="75EBDC2C" w14:textId="77777777" w:rsidTr="00963115">
        <w:trPr>
          <w:trHeight w:val="245"/>
          <w:jc w:val="right"/>
        </w:trPr>
        <w:tc>
          <w:tcPr>
            <w:tcW w:w="1705" w:type="pct"/>
          </w:tcPr>
          <w:p w14:paraId="644D2E2A" w14:textId="77777777" w:rsidR="00647C6B" w:rsidRPr="00A058B6" w:rsidRDefault="00647C6B" w:rsidP="009C0D79">
            <w:pPr>
              <w:pStyle w:val="Tabletext"/>
            </w:pPr>
            <w:r w:rsidRPr="00A058B6">
              <w:t>63</w:t>
            </w:r>
          </w:p>
        </w:tc>
        <w:tc>
          <w:tcPr>
            <w:tcW w:w="1430" w:type="pct"/>
            <w:tcBorders>
              <w:top w:val="single" w:sz="2" w:space="0" w:color="auto"/>
              <w:left w:val="nil"/>
              <w:bottom w:val="single" w:sz="2" w:space="0" w:color="auto"/>
              <w:right w:val="nil"/>
            </w:tcBorders>
            <w:shd w:val="clear" w:color="auto" w:fill="auto"/>
            <w:vAlign w:val="bottom"/>
          </w:tcPr>
          <w:p w14:paraId="7FF0FC36" w14:textId="77777777" w:rsidR="00647C6B" w:rsidRPr="00A058B6" w:rsidRDefault="00647C6B" w:rsidP="009C0D79">
            <w:pPr>
              <w:pStyle w:val="Tabletext"/>
            </w:pPr>
            <w:r w:rsidRPr="00A058B6">
              <w:t>18</w:t>
            </w:r>
            <w:r w:rsidR="00D7157D">
              <w:t>.</w:t>
            </w:r>
            <w:r w:rsidRPr="00A058B6">
              <w:t>7140</w:t>
            </w:r>
          </w:p>
        </w:tc>
        <w:tc>
          <w:tcPr>
            <w:tcW w:w="1865" w:type="pct"/>
            <w:tcBorders>
              <w:top w:val="single" w:sz="2" w:space="0" w:color="auto"/>
              <w:left w:val="nil"/>
              <w:bottom w:val="single" w:sz="2" w:space="0" w:color="auto"/>
              <w:right w:val="nil"/>
            </w:tcBorders>
            <w:shd w:val="clear" w:color="auto" w:fill="auto"/>
            <w:vAlign w:val="center"/>
          </w:tcPr>
          <w:p w14:paraId="5B08A697" w14:textId="77777777" w:rsidR="00647C6B" w:rsidRPr="00A058B6" w:rsidRDefault="00647C6B" w:rsidP="009C0D79">
            <w:pPr>
              <w:pStyle w:val="Tabletext"/>
            </w:pPr>
            <w:r w:rsidRPr="00A058B6">
              <w:t>19</w:t>
            </w:r>
            <w:r w:rsidR="00D7157D">
              <w:t>.</w:t>
            </w:r>
            <w:r w:rsidRPr="00A058B6">
              <w:t>9336</w:t>
            </w:r>
          </w:p>
        </w:tc>
      </w:tr>
      <w:tr w:rsidR="00647C6B" w:rsidRPr="00A058B6" w14:paraId="7ABD359B" w14:textId="77777777" w:rsidTr="00963115">
        <w:trPr>
          <w:trHeight w:val="245"/>
          <w:jc w:val="right"/>
        </w:trPr>
        <w:tc>
          <w:tcPr>
            <w:tcW w:w="1705" w:type="pct"/>
            <w:tcBorders>
              <w:bottom w:val="single" w:sz="4" w:space="0" w:color="auto"/>
            </w:tcBorders>
          </w:tcPr>
          <w:p w14:paraId="746A84B5" w14:textId="77777777" w:rsidR="00647C6B" w:rsidRPr="00A058B6" w:rsidRDefault="00647C6B" w:rsidP="009C0D79">
            <w:pPr>
              <w:pStyle w:val="Tabletext"/>
            </w:pPr>
            <w:r w:rsidRPr="00A058B6">
              <w:t>64</w:t>
            </w:r>
          </w:p>
        </w:tc>
        <w:tc>
          <w:tcPr>
            <w:tcW w:w="1430" w:type="pct"/>
            <w:tcBorders>
              <w:top w:val="single" w:sz="2" w:space="0" w:color="auto"/>
              <w:left w:val="nil"/>
              <w:bottom w:val="single" w:sz="2" w:space="0" w:color="auto"/>
              <w:right w:val="nil"/>
            </w:tcBorders>
            <w:shd w:val="clear" w:color="auto" w:fill="auto"/>
            <w:vAlign w:val="bottom"/>
          </w:tcPr>
          <w:p w14:paraId="3572165B" w14:textId="77777777" w:rsidR="00647C6B" w:rsidRPr="00A058B6" w:rsidRDefault="00647C6B" w:rsidP="009C0D79">
            <w:pPr>
              <w:pStyle w:val="Tabletext"/>
            </w:pPr>
            <w:r w:rsidRPr="00A058B6">
              <w:t>18</w:t>
            </w:r>
            <w:r w:rsidR="00D7157D">
              <w:t>.</w:t>
            </w:r>
            <w:r w:rsidRPr="00A058B6">
              <w:t>1741</w:t>
            </w:r>
          </w:p>
        </w:tc>
        <w:tc>
          <w:tcPr>
            <w:tcW w:w="1865" w:type="pct"/>
            <w:tcBorders>
              <w:top w:val="single" w:sz="2" w:space="0" w:color="auto"/>
              <w:left w:val="nil"/>
              <w:bottom w:val="single" w:sz="2" w:space="0" w:color="auto"/>
              <w:right w:val="nil"/>
            </w:tcBorders>
            <w:shd w:val="clear" w:color="auto" w:fill="auto"/>
            <w:vAlign w:val="center"/>
          </w:tcPr>
          <w:p w14:paraId="74D06B9C" w14:textId="77777777" w:rsidR="00647C6B" w:rsidRPr="00A058B6" w:rsidRDefault="00647C6B" w:rsidP="009C0D79">
            <w:pPr>
              <w:pStyle w:val="Tabletext"/>
            </w:pPr>
            <w:r w:rsidRPr="00A058B6">
              <w:t>19</w:t>
            </w:r>
            <w:r w:rsidR="00D7157D">
              <w:t>.</w:t>
            </w:r>
            <w:r w:rsidRPr="00A058B6">
              <w:t>4111</w:t>
            </w:r>
          </w:p>
        </w:tc>
      </w:tr>
      <w:tr w:rsidR="00647C6B" w:rsidRPr="00A058B6" w14:paraId="4E545D77" w14:textId="77777777" w:rsidTr="00963115">
        <w:trPr>
          <w:trHeight w:val="245"/>
          <w:jc w:val="right"/>
        </w:trPr>
        <w:tc>
          <w:tcPr>
            <w:tcW w:w="1705" w:type="pct"/>
            <w:tcBorders>
              <w:top w:val="single" w:sz="4" w:space="0" w:color="auto"/>
              <w:bottom w:val="single" w:sz="12" w:space="0" w:color="auto"/>
            </w:tcBorders>
          </w:tcPr>
          <w:p w14:paraId="47BE77EA" w14:textId="77777777" w:rsidR="00647C6B" w:rsidRPr="00A058B6" w:rsidRDefault="00647C6B" w:rsidP="009C0D79">
            <w:pPr>
              <w:pStyle w:val="Tabletext"/>
            </w:pPr>
            <w:r w:rsidRPr="00A058B6">
              <w:t>65</w:t>
            </w:r>
          </w:p>
        </w:tc>
        <w:tc>
          <w:tcPr>
            <w:tcW w:w="1430" w:type="pct"/>
            <w:tcBorders>
              <w:top w:val="single" w:sz="2" w:space="0" w:color="auto"/>
              <w:left w:val="nil"/>
              <w:bottom w:val="single" w:sz="12" w:space="0" w:color="auto"/>
              <w:right w:val="nil"/>
            </w:tcBorders>
            <w:shd w:val="clear" w:color="auto" w:fill="auto"/>
            <w:vAlign w:val="bottom"/>
          </w:tcPr>
          <w:p w14:paraId="710B288B" w14:textId="77777777" w:rsidR="00647C6B" w:rsidRPr="00A058B6" w:rsidRDefault="00647C6B" w:rsidP="009C0D79">
            <w:pPr>
              <w:pStyle w:val="Tabletext"/>
            </w:pPr>
            <w:r w:rsidRPr="00A058B6">
              <w:t>17</w:t>
            </w:r>
            <w:r w:rsidR="00D7157D">
              <w:t>.</w:t>
            </w:r>
            <w:r w:rsidRPr="00A058B6">
              <w:t>6251</w:t>
            </w:r>
          </w:p>
        </w:tc>
        <w:tc>
          <w:tcPr>
            <w:tcW w:w="1865" w:type="pct"/>
            <w:tcBorders>
              <w:top w:val="single" w:sz="2" w:space="0" w:color="auto"/>
              <w:left w:val="nil"/>
              <w:bottom w:val="single" w:sz="12" w:space="0" w:color="auto"/>
              <w:right w:val="nil"/>
            </w:tcBorders>
            <w:shd w:val="clear" w:color="auto" w:fill="auto"/>
            <w:vAlign w:val="center"/>
          </w:tcPr>
          <w:p w14:paraId="541F42D9" w14:textId="77777777" w:rsidR="00647C6B" w:rsidRPr="00A058B6" w:rsidRDefault="00647C6B" w:rsidP="009C0D79">
            <w:pPr>
              <w:pStyle w:val="Tabletext"/>
            </w:pPr>
            <w:r w:rsidRPr="00A058B6">
              <w:t>18</w:t>
            </w:r>
            <w:r w:rsidR="00D7157D">
              <w:t>.</w:t>
            </w:r>
            <w:r w:rsidRPr="00A058B6">
              <w:t>8794</w:t>
            </w:r>
          </w:p>
        </w:tc>
      </w:tr>
    </w:tbl>
    <w:p w14:paraId="159287E2"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3693BEBC" w14:textId="77777777" w:rsidTr="00963115">
        <w:trPr>
          <w:cantSplit/>
          <w:trHeight w:val="375"/>
          <w:tblHeader/>
          <w:jc w:val="right"/>
        </w:trPr>
        <w:tc>
          <w:tcPr>
            <w:tcW w:w="1705" w:type="pct"/>
            <w:vMerge w:val="restart"/>
            <w:tcBorders>
              <w:top w:val="single" w:sz="12" w:space="0" w:color="auto"/>
              <w:bottom w:val="single" w:sz="12" w:space="0" w:color="auto"/>
            </w:tcBorders>
          </w:tcPr>
          <w:p w14:paraId="3173A0ED"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3BF163F0" w14:textId="77777777" w:rsidR="00647C6B" w:rsidRPr="00A058B6" w:rsidRDefault="00647C6B" w:rsidP="00963115">
            <w:pPr>
              <w:pStyle w:val="TableHeading"/>
              <w:rPr>
                <w:snapToGrid w:val="0"/>
              </w:rPr>
            </w:pPr>
            <w:r w:rsidRPr="00A058B6">
              <w:rPr>
                <w:snapToGrid w:val="0"/>
              </w:rPr>
              <w:t>Reversion valuation factors</w:t>
            </w:r>
            <w:r w:rsidRPr="00A058B6">
              <w:rPr>
                <w:snapToGrid w:val="0"/>
              </w:rPr>
              <w:br/>
              <w:t xml:space="preserve">No guarantee period—CPI indexed pension </w:t>
            </w:r>
            <w:r w:rsidR="00B010A5" w:rsidRPr="00A058B6">
              <w:rPr>
                <w:snapToGrid w:val="0"/>
              </w:rPr>
              <w:t>plus 1%</w:t>
            </w:r>
          </w:p>
        </w:tc>
      </w:tr>
      <w:tr w:rsidR="00647C6B" w:rsidRPr="00A058B6" w14:paraId="1AED1BA9" w14:textId="77777777" w:rsidTr="00963115">
        <w:trPr>
          <w:cantSplit/>
          <w:trHeight w:val="26"/>
          <w:tblHeader/>
          <w:jc w:val="right"/>
        </w:trPr>
        <w:tc>
          <w:tcPr>
            <w:tcW w:w="1705" w:type="pct"/>
            <w:vMerge/>
            <w:tcBorders>
              <w:top w:val="single" w:sz="4" w:space="0" w:color="auto"/>
              <w:bottom w:val="single" w:sz="12" w:space="0" w:color="auto"/>
            </w:tcBorders>
          </w:tcPr>
          <w:p w14:paraId="5D091640"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40A77AEE"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7423C297" w14:textId="77777777" w:rsidR="00647C6B" w:rsidRPr="00A058B6" w:rsidRDefault="00647C6B" w:rsidP="00963115">
            <w:pPr>
              <w:pStyle w:val="TableHeading"/>
              <w:rPr>
                <w:snapToGrid w:val="0"/>
              </w:rPr>
            </w:pPr>
            <w:r w:rsidRPr="00A058B6">
              <w:rPr>
                <w:snapToGrid w:val="0"/>
              </w:rPr>
              <w:t>Female</w:t>
            </w:r>
          </w:p>
        </w:tc>
      </w:tr>
      <w:tr w:rsidR="00647C6B" w:rsidRPr="00A058B6" w14:paraId="0B7D7A2D" w14:textId="77777777" w:rsidTr="00963115">
        <w:trPr>
          <w:trHeight w:val="245"/>
          <w:jc w:val="right"/>
        </w:trPr>
        <w:tc>
          <w:tcPr>
            <w:tcW w:w="1705" w:type="pct"/>
            <w:tcBorders>
              <w:top w:val="single" w:sz="12" w:space="0" w:color="auto"/>
            </w:tcBorders>
          </w:tcPr>
          <w:p w14:paraId="154ADF2A"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74600DA5" w14:textId="77777777" w:rsidR="00647C6B" w:rsidRPr="00A058B6" w:rsidRDefault="00647C6B" w:rsidP="009C0D79">
            <w:pPr>
              <w:pStyle w:val="Tabletext"/>
            </w:pPr>
            <w:r w:rsidRPr="00A058B6">
              <w:t>2</w:t>
            </w:r>
            <w:r w:rsidR="00D7157D">
              <w:t>.</w:t>
            </w:r>
            <w:r w:rsidRPr="00A058B6">
              <w:t>802</w:t>
            </w:r>
          </w:p>
        </w:tc>
        <w:tc>
          <w:tcPr>
            <w:tcW w:w="1878" w:type="pct"/>
            <w:tcBorders>
              <w:top w:val="single" w:sz="12" w:space="0" w:color="auto"/>
              <w:left w:val="nil"/>
              <w:bottom w:val="single" w:sz="2" w:space="0" w:color="auto"/>
              <w:right w:val="nil"/>
            </w:tcBorders>
            <w:shd w:val="clear" w:color="auto" w:fill="auto"/>
            <w:vAlign w:val="bottom"/>
          </w:tcPr>
          <w:p w14:paraId="23F86668" w14:textId="77777777" w:rsidR="00647C6B" w:rsidRPr="00A058B6" w:rsidRDefault="00647C6B" w:rsidP="009C0D79">
            <w:pPr>
              <w:pStyle w:val="Tabletext"/>
            </w:pPr>
            <w:r w:rsidRPr="00A058B6">
              <w:t>1</w:t>
            </w:r>
            <w:r w:rsidR="00D7157D">
              <w:t>.</w:t>
            </w:r>
            <w:r w:rsidRPr="00A058B6">
              <w:t>193</w:t>
            </w:r>
          </w:p>
        </w:tc>
      </w:tr>
      <w:tr w:rsidR="00647C6B" w:rsidRPr="00A058B6" w14:paraId="39CC2389" w14:textId="77777777" w:rsidTr="00963115">
        <w:trPr>
          <w:trHeight w:val="245"/>
          <w:jc w:val="right"/>
        </w:trPr>
        <w:tc>
          <w:tcPr>
            <w:tcW w:w="1705" w:type="pct"/>
          </w:tcPr>
          <w:p w14:paraId="67C4D461"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05148ABF" w14:textId="77777777" w:rsidR="00647C6B" w:rsidRPr="00A058B6" w:rsidRDefault="00647C6B" w:rsidP="009C0D79">
            <w:pPr>
              <w:pStyle w:val="Tabletext"/>
            </w:pPr>
            <w:r w:rsidRPr="00A058B6">
              <w:t>2</w:t>
            </w:r>
            <w:r w:rsidR="00D7157D">
              <w:t>.</w:t>
            </w:r>
            <w:r w:rsidRPr="00A058B6">
              <w:t>708</w:t>
            </w:r>
          </w:p>
        </w:tc>
        <w:tc>
          <w:tcPr>
            <w:tcW w:w="1878" w:type="pct"/>
            <w:tcBorders>
              <w:top w:val="single" w:sz="2" w:space="0" w:color="auto"/>
              <w:left w:val="nil"/>
              <w:bottom w:val="single" w:sz="2" w:space="0" w:color="auto"/>
              <w:right w:val="nil"/>
            </w:tcBorders>
            <w:shd w:val="clear" w:color="auto" w:fill="auto"/>
            <w:vAlign w:val="bottom"/>
          </w:tcPr>
          <w:p w14:paraId="001B7E62" w14:textId="77777777" w:rsidR="00647C6B" w:rsidRPr="00A058B6" w:rsidRDefault="00647C6B" w:rsidP="009C0D79">
            <w:pPr>
              <w:pStyle w:val="Tabletext"/>
            </w:pPr>
            <w:r w:rsidRPr="00A058B6">
              <w:t>1</w:t>
            </w:r>
            <w:r w:rsidR="00D7157D">
              <w:t>.</w:t>
            </w:r>
            <w:r w:rsidRPr="00A058B6">
              <w:t>121</w:t>
            </w:r>
          </w:p>
        </w:tc>
      </w:tr>
      <w:tr w:rsidR="00647C6B" w:rsidRPr="00A058B6" w14:paraId="4B5A0DBA" w14:textId="77777777" w:rsidTr="00963115">
        <w:trPr>
          <w:trHeight w:val="245"/>
          <w:jc w:val="right"/>
        </w:trPr>
        <w:tc>
          <w:tcPr>
            <w:tcW w:w="1705" w:type="pct"/>
          </w:tcPr>
          <w:p w14:paraId="677BFF82"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1B06040F" w14:textId="77777777" w:rsidR="00647C6B" w:rsidRPr="00A058B6" w:rsidRDefault="00647C6B" w:rsidP="009C0D79">
            <w:pPr>
              <w:pStyle w:val="Tabletext"/>
            </w:pPr>
            <w:r w:rsidRPr="00A058B6">
              <w:t>2</w:t>
            </w:r>
            <w:r w:rsidR="00D7157D">
              <w:t>.</w:t>
            </w:r>
            <w:r w:rsidRPr="00A058B6">
              <w:t>615</w:t>
            </w:r>
          </w:p>
        </w:tc>
        <w:tc>
          <w:tcPr>
            <w:tcW w:w="1878" w:type="pct"/>
            <w:tcBorders>
              <w:top w:val="single" w:sz="2" w:space="0" w:color="auto"/>
              <w:left w:val="nil"/>
              <w:bottom w:val="single" w:sz="2" w:space="0" w:color="auto"/>
              <w:right w:val="nil"/>
            </w:tcBorders>
            <w:shd w:val="clear" w:color="auto" w:fill="auto"/>
            <w:vAlign w:val="bottom"/>
          </w:tcPr>
          <w:p w14:paraId="50D66128" w14:textId="77777777" w:rsidR="00647C6B" w:rsidRPr="00A058B6" w:rsidRDefault="00647C6B" w:rsidP="009C0D79">
            <w:pPr>
              <w:pStyle w:val="Tabletext"/>
            </w:pPr>
            <w:r w:rsidRPr="00A058B6">
              <w:t>1</w:t>
            </w:r>
            <w:r w:rsidR="00D7157D">
              <w:t>.</w:t>
            </w:r>
            <w:r w:rsidRPr="00A058B6">
              <w:t>050</w:t>
            </w:r>
          </w:p>
        </w:tc>
      </w:tr>
      <w:tr w:rsidR="00647C6B" w:rsidRPr="00A058B6" w14:paraId="02C32A9F" w14:textId="77777777" w:rsidTr="00963115">
        <w:trPr>
          <w:trHeight w:val="245"/>
          <w:jc w:val="right"/>
        </w:trPr>
        <w:tc>
          <w:tcPr>
            <w:tcW w:w="1705" w:type="pct"/>
          </w:tcPr>
          <w:p w14:paraId="58CD7C60"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5E29469D" w14:textId="77777777" w:rsidR="00647C6B" w:rsidRPr="00A058B6" w:rsidRDefault="00647C6B" w:rsidP="009C0D79">
            <w:pPr>
              <w:pStyle w:val="Tabletext"/>
            </w:pPr>
            <w:r w:rsidRPr="00A058B6">
              <w:t>2</w:t>
            </w:r>
            <w:r w:rsidR="00D7157D">
              <w:t>.</w:t>
            </w:r>
            <w:r w:rsidRPr="00A058B6">
              <w:t>521</w:t>
            </w:r>
          </w:p>
        </w:tc>
        <w:tc>
          <w:tcPr>
            <w:tcW w:w="1878" w:type="pct"/>
            <w:tcBorders>
              <w:top w:val="single" w:sz="2" w:space="0" w:color="auto"/>
              <w:left w:val="nil"/>
              <w:bottom w:val="single" w:sz="2" w:space="0" w:color="auto"/>
              <w:right w:val="nil"/>
            </w:tcBorders>
            <w:shd w:val="clear" w:color="auto" w:fill="auto"/>
            <w:vAlign w:val="bottom"/>
          </w:tcPr>
          <w:p w14:paraId="7086E9C5" w14:textId="77777777" w:rsidR="00647C6B" w:rsidRPr="00A058B6" w:rsidRDefault="00647C6B" w:rsidP="009C0D79">
            <w:pPr>
              <w:pStyle w:val="Tabletext"/>
            </w:pPr>
            <w:r w:rsidRPr="00A058B6">
              <w:t>0</w:t>
            </w:r>
            <w:r w:rsidR="00D7157D">
              <w:t>.</w:t>
            </w:r>
            <w:r w:rsidRPr="00A058B6">
              <w:t>978</w:t>
            </w:r>
          </w:p>
        </w:tc>
      </w:tr>
      <w:tr w:rsidR="00647C6B" w:rsidRPr="00A058B6" w14:paraId="147C9672" w14:textId="77777777" w:rsidTr="00963115">
        <w:trPr>
          <w:trHeight w:val="245"/>
          <w:jc w:val="right"/>
        </w:trPr>
        <w:tc>
          <w:tcPr>
            <w:tcW w:w="1705" w:type="pct"/>
          </w:tcPr>
          <w:p w14:paraId="1446D993"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7D159EA3" w14:textId="77777777" w:rsidR="00647C6B" w:rsidRPr="00A058B6" w:rsidRDefault="00647C6B" w:rsidP="009C0D79">
            <w:pPr>
              <w:pStyle w:val="Tabletext"/>
            </w:pPr>
            <w:r w:rsidRPr="00A058B6">
              <w:t>2</w:t>
            </w:r>
            <w:r w:rsidR="00D7157D">
              <w:t>.</w:t>
            </w:r>
            <w:r w:rsidRPr="00A058B6">
              <w:t>428</w:t>
            </w:r>
          </w:p>
        </w:tc>
        <w:tc>
          <w:tcPr>
            <w:tcW w:w="1878" w:type="pct"/>
            <w:tcBorders>
              <w:top w:val="single" w:sz="2" w:space="0" w:color="auto"/>
              <w:left w:val="nil"/>
              <w:bottom w:val="single" w:sz="2" w:space="0" w:color="auto"/>
              <w:right w:val="nil"/>
            </w:tcBorders>
            <w:shd w:val="clear" w:color="auto" w:fill="auto"/>
            <w:vAlign w:val="bottom"/>
          </w:tcPr>
          <w:p w14:paraId="4173D9F0" w14:textId="77777777" w:rsidR="00647C6B" w:rsidRPr="00A058B6" w:rsidRDefault="00647C6B" w:rsidP="009C0D79">
            <w:pPr>
              <w:pStyle w:val="Tabletext"/>
            </w:pPr>
            <w:r w:rsidRPr="00A058B6">
              <w:t>0</w:t>
            </w:r>
            <w:r w:rsidR="00D7157D">
              <w:t>.</w:t>
            </w:r>
            <w:r w:rsidRPr="00A058B6">
              <w:t>907</w:t>
            </w:r>
          </w:p>
        </w:tc>
      </w:tr>
      <w:tr w:rsidR="00647C6B" w:rsidRPr="00A058B6" w14:paraId="0A95AEAA" w14:textId="77777777" w:rsidTr="00963115">
        <w:trPr>
          <w:trHeight w:val="245"/>
          <w:jc w:val="right"/>
        </w:trPr>
        <w:tc>
          <w:tcPr>
            <w:tcW w:w="1705" w:type="pct"/>
          </w:tcPr>
          <w:p w14:paraId="0AA4471E"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5B490A1C" w14:textId="77777777" w:rsidR="00647C6B" w:rsidRPr="00A058B6" w:rsidRDefault="00647C6B" w:rsidP="009C0D79">
            <w:pPr>
              <w:pStyle w:val="Tabletext"/>
            </w:pPr>
            <w:r w:rsidRPr="00A058B6">
              <w:t>2</w:t>
            </w:r>
            <w:r w:rsidR="00D7157D">
              <w:t>.</w:t>
            </w:r>
            <w:r w:rsidRPr="00A058B6">
              <w:t>335</w:t>
            </w:r>
          </w:p>
        </w:tc>
        <w:tc>
          <w:tcPr>
            <w:tcW w:w="1878" w:type="pct"/>
            <w:tcBorders>
              <w:top w:val="single" w:sz="2" w:space="0" w:color="auto"/>
              <w:left w:val="nil"/>
              <w:bottom w:val="single" w:sz="2" w:space="0" w:color="auto"/>
              <w:right w:val="nil"/>
            </w:tcBorders>
            <w:shd w:val="clear" w:color="auto" w:fill="auto"/>
            <w:vAlign w:val="bottom"/>
          </w:tcPr>
          <w:p w14:paraId="1C15C790" w14:textId="77777777" w:rsidR="00647C6B" w:rsidRPr="00A058B6" w:rsidRDefault="00647C6B" w:rsidP="009C0D79">
            <w:pPr>
              <w:pStyle w:val="Tabletext"/>
            </w:pPr>
            <w:r w:rsidRPr="00A058B6">
              <w:t>0</w:t>
            </w:r>
            <w:r w:rsidR="00D7157D">
              <w:t>.</w:t>
            </w:r>
            <w:r w:rsidRPr="00A058B6">
              <w:t>835</w:t>
            </w:r>
          </w:p>
        </w:tc>
      </w:tr>
      <w:tr w:rsidR="00647C6B" w:rsidRPr="00A058B6" w14:paraId="427960E1" w14:textId="77777777" w:rsidTr="00963115">
        <w:trPr>
          <w:trHeight w:val="245"/>
          <w:jc w:val="right"/>
        </w:trPr>
        <w:tc>
          <w:tcPr>
            <w:tcW w:w="1705" w:type="pct"/>
          </w:tcPr>
          <w:p w14:paraId="2B5A70F2"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47ABCECD" w14:textId="77777777" w:rsidR="00647C6B" w:rsidRPr="00A058B6" w:rsidRDefault="00647C6B" w:rsidP="009C0D79">
            <w:pPr>
              <w:pStyle w:val="Tabletext"/>
            </w:pPr>
            <w:r w:rsidRPr="00A058B6">
              <w:t>2</w:t>
            </w:r>
            <w:r w:rsidR="00D7157D">
              <w:t>.</w:t>
            </w:r>
            <w:r w:rsidRPr="00A058B6">
              <w:t>241</w:t>
            </w:r>
          </w:p>
        </w:tc>
        <w:tc>
          <w:tcPr>
            <w:tcW w:w="1878" w:type="pct"/>
            <w:tcBorders>
              <w:top w:val="single" w:sz="2" w:space="0" w:color="auto"/>
              <w:left w:val="nil"/>
              <w:bottom w:val="single" w:sz="2" w:space="0" w:color="auto"/>
              <w:right w:val="nil"/>
            </w:tcBorders>
            <w:shd w:val="clear" w:color="auto" w:fill="auto"/>
            <w:vAlign w:val="bottom"/>
          </w:tcPr>
          <w:p w14:paraId="252974FA" w14:textId="77777777" w:rsidR="00647C6B" w:rsidRPr="00A058B6" w:rsidRDefault="00647C6B" w:rsidP="009C0D79">
            <w:pPr>
              <w:pStyle w:val="Tabletext"/>
            </w:pPr>
            <w:r w:rsidRPr="00A058B6">
              <w:t>0</w:t>
            </w:r>
            <w:r w:rsidR="00D7157D">
              <w:t>.</w:t>
            </w:r>
            <w:r w:rsidRPr="00A058B6">
              <w:t>763</w:t>
            </w:r>
          </w:p>
        </w:tc>
      </w:tr>
      <w:tr w:rsidR="00647C6B" w:rsidRPr="00A058B6" w14:paraId="2F2E7242" w14:textId="77777777" w:rsidTr="00963115">
        <w:trPr>
          <w:trHeight w:val="245"/>
          <w:jc w:val="right"/>
        </w:trPr>
        <w:tc>
          <w:tcPr>
            <w:tcW w:w="1705" w:type="pct"/>
          </w:tcPr>
          <w:p w14:paraId="45866B35"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50CBB76E" w14:textId="77777777" w:rsidR="00647C6B" w:rsidRPr="00A058B6" w:rsidRDefault="00647C6B" w:rsidP="009C0D79">
            <w:pPr>
              <w:pStyle w:val="Tabletext"/>
            </w:pPr>
            <w:r w:rsidRPr="00A058B6">
              <w:t>2</w:t>
            </w:r>
            <w:r w:rsidR="00D7157D">
              <w:t>.</w:t>
            </w:r>
            <w:r w:rsidRPr="00A058B6">
              <w:t>148</w:t>
            </w:r>
          </w:p>
        </w:tc>
        <w:tc>
          <w:tcPr>
            <w:tcW w:w="1878" w:type="pct"/>
            <w:tcBorders>
              <w:top w:val="single" w:sz="2" w:space="0" w:color="auto"/>
              <w:left w:val="nil"/>
              <w:bottom w:val="single" w:sz="2" w:space="0" w:color="auto"/>
              <w:right w:val="nil"/>
            </w:tcBorders>
            <w:shd w:val="clear" w:color="auto" w:fill="auto"/>
            <w:vAlign w:val="bottom"/>
          </w:tcPr>
          <w:p w14:paraId="3248D55F" w14:textId="77777777" w:rsidR="00647C6B" w:rsidRPr="00A058B6" w:rsidRDefault="00647C6B" w:rsidP="009C0D79">
            <w:pPr>
              <w:pStyle w:val="Tabletext"/>
            </w:pPr>
            <w:r w:rsidRPr="00A058B6">
              <w:t>0</w:t>
            </w:r>
            <w:r w:rsidR="00D7157D">
              <w:t>.</w:t>
            </w:r>
            <w:r w:rsidRPr="00A058B6">
              <w:t>692</w:t>
            </w:r>
          </w:p>
        </w:tc>
      </w:tr>
      <w:tr w:rsidR="00647C6B" w:rsidRPr="00A058B6" w14:paraId="1CCFC016" w14:textId="77777777" w:rsidTr="00963115">
        <w:trPr>
          <w:trHeight w:val="245"/>
          <w:jc w:val="right"/>
        </w:trPr>
        <w:tc>
          <w:tcPr>
            <w:tcW w:w="1705" w:type="pct"/>
          </w:tcPr>
          <w:p w14:paraId="23E2122A"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32DF93F9" w14:textId="77777777" w:rsidR="00647C6B" w:rsidRPr="00A058B6" w:rsidRDefault="00647C6B" w:rsidP="009C0D79">
            <w:pPr>
              <w:pStyle w:val="Tabletext"/>
            </w:pPr>
            <w:r w:rsidRPr="00A058B6">
              <w:t>2</w:t>
            </w:r>
            <w:r w:rsidR="00D7157D">
              <w:t>.</w:t>
            </w:r>
            <w:r w:rsidRPr="00A058B6">
              <w:t>055</w:t>
            </w:r>
          </w:p>
        </w:tc>
        <w:tc>
          <w:tcPr>
            <w:tcW w:w="1878" w:type="pct"/>
            <w:tcBorders>
              <w:top w:val="single" w:sz="2" w:space="0" w:color="auto"/>
              <w:left w:val="nil"/>
              <w:bottom w:val="single" w:sz="2" w:space="0" w:color="auto"/>
              <w:right w:val="nil"/>
            </w:tcBorders>
            <w:shd w:val="clear" w:color="auto" w:fill="auto"/>
            <w:vAlign w:val="bottom"/>
          </w:tcPr>
          <w:p w14:paraId="463C9292" w14:textId="77777777" w:rsidR="00647C6B" w:rsidRPr="00A058B6" w:rsidRDefault="00647C6B" w:rsidP="009C0D79">
            <w:pPr>
              <w:pStyle w:val="Tabletext"/>
            </w:pPr>
            <w:r w:rsidRPr="00A058B6">
              <w:t>0</w:t>
            </w:r>
            <w:r w:rsidR="00D7157D">
              <w:t>.</w:t>
            </w:r>
            <w:r w:rsidRPr="00A058B6">
              <w:t>620</w:t>
            </w:r>
          </w:p>
        </w:tc>
      </w:tr>
      <w:tr w:rsidR="00647C6B" w:rsidRPr="00A058B6" w14:paraId="3A94B9C6" w14:textId="77777777" w:rsidTr="00963115">
        <w:trPr>
          <w:trHeight w:val="245"/>
          <w:jc w:val="right"/>
        </w:trPr>
        <w:tc>
          <w:tcPr>
            <w:tcW w:w="1705" w:type="pct"/>
          </w:tcPr>
          <w:p w14:paraId="6908C5AF"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1094C589" w14:textId="77777777" w:rsidR="00647C6B" w:rsidRPr="00A058B6" w:rsidRDefault="00647C6B" w:rsidP="009C0D79">
            <w:pPr>
              <w:pStyle w:val="Tabletext"/>
            </w:pPr>
            <w:r w:rsidRPr="00A058B6">
              <w:t>1</w:t>
            </w:r>
            <w:r w:rsidR="00D7157D">
              <w:t>.</w:t>
            </w:r>
            <w:r w:rsidRPr="00A058B6">
              <w:t>961</w:t>
            </w:r>
          </w:p>
        </w:tc>
        <w:tc>
          <w:tcPr>
            <w:tcW w:w="1878" w:type="pct"/>
            <w:tcBorders>
              <w:top w:val="single" w:sz="2" w:space="0" w:color="auto"/>
              <w:left w:val="nil"/>
              <w:bottom w:val="single" w:sz="2" w:space="0" w:color="auto"/>
              <w:right w:val="nil"/>
            </w:tcBorders>
            <w:shd w:val="clear" w:color="auto" w:fill="auto"/>
            <w:vAlign w:val="bottom"/>
          </w:tcPr>
          <w:p w14:paraId="366ACF05" w14:textId="77777777" w:rsidR="00647C6B" w:rsidRPr="00A058B6" w:rsidRDefault="00647C6B" w:rsidP="009C0D79">
            <w:pPr>
              <w:pStyle w:val="Tabletext"/>
            </w:pPr>
            <w:r w:rsidRPr="00A058B6">
              <w:t>0</w:t>
            </w:r>
            <w:r w:rsidR="00D7157D">
              <w:t>.</w:t>
            </w:r>
            <w:r w:rsidRPr="00A058B6">
              <w:t>549</w:t>
            </w:r>
          </w:p>
        </w:tc>
      </w:tr>
      <w:tr w:rsidR="00647C6B" w:rsidRPr="00A058B6" w14:paraId="74D5DABC" w14:textId="77777777" w:rsidTr="00963115">
        <w:trPr>
          <w:trHeight w:val="245"/>
          <w:jc w:val="right"/>
        </w:trPr>
        <w:tc>
          <w:tcPr>
            <w:tcW w:w="1705" w:type="pct"/>
          </w:tcPr>
          <w:p w14:paraId="76A7BB4A"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1BC90856" w14:textId="77777777" w:rsidR="00647C6B" w:rsidRPr="00A058B6" w:rsidRDefault="00647C6B" w:rsidP="009C0D79">
            <w:pPr>
              <w:pStyle w:val="Tabletext"/>
            </w:pPr>
            <w:r w:rsidRPr="00A058B6">
              <w:t>1</w:t>
            </w:r>
            <w:r w:rsidR="00D7157D">
              <w:t>.</w:t>
            </w:r>
            <w:r w:rsidRPr="00A058B6">
              <w:t>868</w:t>
            </w:r>
          </w:p>
        </w:tc>
        <w:tc>
          <w:tcPr>
            <w:tcW w:w="1878" w:type="pct"/>
            <w:tcBorders>
              <w:top w:val="single" w:sz="2" w:space="0" w:color="auto"/>
              <w:left w:val="nil"/>
              <w:bottom w:val="single" w:sz="2" w:space="0" w:color="auto"/>
              <w:right w:val="nil"/>
            </w:tcBorders>
            <w:shd w:val="clear" w:color="auto" w:fill="auto"/>
            <w:vAlign w:val="bottom"/>
          </w:tcPr>
          <w:p w14:paraId="0A5187DD" w14:textId="77777777" w:rsidR="00647C6B" w:rsidRPr="00A058B6" w:rsidRDefault="00647C6B" w:rsidP="009C0D79">
            <w:pPr>
              <w:pStyle w:val="Tabletext"/>
            </w:pPr>
            <w:r w:rsidRPr="00A058B6">
              <w:t>0</w:t>
            </w:r>
            <w:r w:rsidR="00D7157D">
              <w:t>.</w:t>
            </w:r>
            <w:r w:rsidRPr="00A058B6">
              <w:t>477</w:t>
            </w:r>
          </w:p>
        </w:tc>
      </w:tr>
      <w:tr w:rsidR="00647C6B" w:rsidRPr="00A058B6" w14:paraId="0BEFB1D4" w14:textId="77777777" w:rsidTr="00963115">
        <w:trPr>
          <w:trHeight w:val="245"/>
          <w:jc w:val="right"/>
        </w:trPr>
        <w:tc>
          <w:tcPr>
            <w:tcW w:w="1705" w:type="pct"/>
          </w:tcPr>
          <w:p w14:paraId="4B355A01"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58CAAE01" w14:textId="77777777" w:rsidR="00647C6B" w:rsidRPr="00A058B6" w:rsidRDefault="00647C6B" w:rsidP="009C0D79">
            <w:pPr>
              <w:pStyle w:val="Tabletext"/>
            </w:pPr>
            <w:r w:rsidRPr="00A058B6">
              <w:t>1</w:t>
            </w:r>
            <w:r w:rsidR="00D7157D">
              <w:t>.</w:t>
            </w:r>
            <w:r w:rsidRPr="00A058B6">
              <w:t>588</w:t>
            </w:r>
          </w:p>
        </w:tc>
        <w:tc>
          <w:tcPr>
            <w:tcW w:w="1878" w:type="pct"/>
            <w:tcBorders>
              <w:top w:val="single" w:sz="2" w:space="0" w:color="auto"/>
              <w:left w:val="nil"/>
              <w:bottom w:val="single" w:sz="2" w:space="0" w:color="auto"/>
              <w:right w:val="nil"/>
            </w:tcBorders>
            <w:shd w:val="clear" w:color="auto" w:fill="auto"/>
            <w:vAlign w:val="bottom"/>
          </w:tcPr>
          <w:p w14:paraId="72824DCD" w14:textId="77777777" w:rsidR="00647C6B" w:rsidRPr="00A058B6" w:rsidRDefault="00647C6B" w:rsidP="009C0D79">
            <w:pPr>
              <w:pStyle w:val="Tabletext"/>
            </w:pPr>
            <w:r w:rsidRPr="00A058B6">
              <w:t>0</w:t>
            </w:r>
            <w:r w:rsidR="00D7157D">
              <w:t>.</w:t>
            </w:r>
            <w:r w:rsidRPr="00A058B6">
              <w:t>406</w:t>
            </w:r>
          </w:p>
        </w:tc>
      </w:tr>
      <w:tr w:rsidR="00647C6B" w:rsidRPr="00A058B6" w14:paraId="242EF6F4" w14:textId="77777777" w:rsidTr="00963115">
        <w:trPr>
          <w:trHeight w:val="245"/>
          <w:jc w:val="right"/>
        </w:trPr>
        <w:tc>
          <w:tcPr>
            <w:tcW w:w="1705" w:type="pct"/>
          </w:tcPr>
          <w:p w14:paraId="0585CB57"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78D67A5B" w14:textId="77777777" w:rsidR="00647C6B" w:rsidRPr="00A058B6" w:rsidRDefault="00647C6B" w:rsidP="009C0D79">
            <w:pPr>
              <w:pStyle w:val="Tabletext"/>
            </w:pPr>
            <w:r w:rsidRPr="00A058B6">
              <w:t>1</w:t>
            </w:r>
            <w:r w:rsidR="00D7157D">
              <w:t>.</w:t>
            </w:r>
            <w:r w:rsidRPr="00A058B6">
              <w:t>307</w:t>
            </w:r>
          </w:p>
        </w:tc>
        <w:tc>
          <w:tcPr>
            <w:tcW w:w="1878" w:type="pct"/>
            <w:tcBorders>
              <w:top w:val="single" w:sz="2" w:space="0" w:color="auto"/>
              <w:left w:val="nil"/>
              <w:bottom w:val="single" w:sz="2" w:space="0" w:color="auto"/>
              <w:right w:val="nil"/>
            </w:tcBorders>
            <w:shd w:val="clear" w:color="auto" w:fill="auto"/>
            <w:vAlign w:val="bottom"/>
          </w:tcPr>
          <w:p w14:paraId="5720E646" w14:textId="77777777" w:rsidR="00647C6B" w:rsidRPr="00A058B6" w:rsidRDefault="00647C6B" w:rsidP="009C0D79">
            <w:pPr>
              <w:pStyle w:val="Tabletext"/>
            </w:pPr>
            <w:r w:rsidRPr="00A058B6">
              <w:t>0</w:t>
            </w:r>
            <w:r w:rsidR="00D7157D">
              <w:t>.</w:t>
            </w:r>
            <w:r w:rsidRPr="00A058B6">
              <w:t>334</w:t>
            </w:r>
          </w:p>
        </w:tc>
      </w:tr>
      <w:tr w:rsidR="00647C6B" w:rsidRPr="00A058B6" w14:paraId="6842CA1C" w14:textId="77777777" w:rsidTr="00963115">
        <w:trPr>
          <w:trHeight w:val="245"/>
          <w:jc w:val="right"/>
        </w:trPr>
        <w:tc>
          <w:tcPr>
            <w:tcW w:w="1705" w:type="pct"/>
          </w:tcPr>
          <w:p w14:paraId="38C4BB38"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6E4F1F3E" w14:textId="77777777" w:rsidR="00647C6B" w:rsidRPr="00A058B6" w:rsidRDefault="00647C6B" w:rsidP="009C0D79">
            <w:pPr>
              <w:pStyle w:val="Tabletext"/>
            </w:pPr>
            <w:r w:rsidRPr="00A058B6">
              <w:t>1</w:t>
            </w:r>
            <w:r w:rsidR="00D7157D">
              <w:t>.</w:t>
            </w:r>
            <w:r w:rsidRPr="00A058B6">
              <w:t>027</w:t>
            </w:r>
          </w:p>
        </w:tc>
        <w:tc>
          <w:tcPr>
            <w:tcW w:w="1878" w:type="pct"/>
            <w:tcBorders>
              <w:top w:val="single" w:sz="2" w:space="0" w:color="auto"/>
              <w:left w:val="nil"/>
              <w:bottom w:val="single" w:sz="2" w:space="0" w:color="auto"/>
              <w:right w:val="nil"/>
            </w:tcBorders>
            <w:shd w:val="clear" w:color="auto" w:fill="auto"/>
            <w:vAlign w:val="bottom"/>
          </w:tcPr>
          <w:p w14:paraId="6C6E8DCC" w14:textId="77777777" w:rsidR="00647C6B" w:rsidRPr="00A058B6" w:rsidRDefault="00647C6B" w:rsidP="009C0D79">
            <w:pPr>
              <w:pStyle w:val="Tabletext"/>
            </w:pPr>
            <w:r w:rsidRPr="00A058B6">
              <w:t>0</w:t>
            </w:r>
            <w:r w:rsidR="00D7157D">
              <w:t>.</w:t>
            </w:r>
            <w:r w:rsidRPr="00A058B6">
              <w:t>262</w:t>
            </w:r>
          </w:p>
        </w:tc>
      </w:tr>
      <w:tr w:rsidR="00647C6B" w:rsidRPr="00A058B6" w14:paraId="49E8554F" w14:textId="77777777" w:rsidTr="00963115">
        <w:trPr>
          <w:trHeight w:val="245"/>
          <w:jc w:val="right"/>
        </w:trPr>
        <w:tc>
          <w:tcPr>
            <w:tcW w:w="1705" w:type="pct"/>
            <w:tcBorders>
              <w:bottom w:val="single" w:sz="4" w:space="0" w:color="auto"/>
            </w:tcBorders>
          </w:tcPr>
          <w:p w14:paraId="65508FE0"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5EAC804E" w14:textId="77777777" w:rsidR="00647C6B" w:rsidRPr="00A058B6" w:rsidRDefault="00647C6B" w:rsidP="009C0D79">
            <w:pPr>
              <w:pStyle w:val="Tabletext"/>
            </w:pPr>
            <w:r w:rsidRPr="00A058B6">
              <w:t>0</w:t>
            </w:r>
            <w:r w:rsidR="00D7157D">
              <w:t>.</w:t>
            </w:r>
            <w:r w:rsidRPr="00A058B6">
              <w:t>747</w:t>
            </w:r>
          </w:p>
        </w:tc>
        <w:tc>
          <w:tcPr>
            <w:tcW w:w="1878" w:type="pct"/>
            <w:tcBorders>
              <w:top w:val="single" w:sz="2" w:space="0" w:color="auto"/>
              <w:left w:val="nil"/>
              <w:bottom w:val="single" w:sz="2" w:space="0" w:color="auto"/>
              <w:right w:val="nil"/>
            </w:tcBorders>
            <w:shd w:val="clear" w:color="auto" w:fill="auto"/>
            <w:vAlign w:val="bottom"/>
          </w:tcPr>
          <w:p w14:paraId="1AC31AD0" w14:textId="77777777" w:rsidR="00647C6B" w:rsidRPr="00A058B6" w:rsidRDefault="00647C6B" w:rsidP="009C0D79">
            <w:pPr>
              <w:pStyle w:val="Tabletext"/>
            </w:pPr>
            <w:r w:rsidRPr="00A058B6">
              <w:t>0</w:t>
            </w:r>
            <w:r w:rsidR="00D7157D">
              <w:t>.</w:t>
            </w:r>
            <w:r w:rsidRPr="00A058B6">
              <w:t>191</w:t>
            </w:r>
          </w:p>
        </w:tc>
      </w:tr>
      <w:tr w:rsidR="00647C6B" w:rsidRPr="00A058B6" w14:paraId="7FAF31A2" w14:textId="77777777" w:rsidTr="00963115">
        <w:trPr>
          <w:trHeight w:val="245"/>
          <w:jc w:val="right"/>
        </w:trPr>
        <w:tc>
          <w:tcPr>
            <w:tcW w:w="1705" w:type="pct"/>
            <w:tcBorders>
              <w:top w:val="single" w:sz="4" w:space="0" w:color="auto"/>
              <w:bottom w:val="single" w:sz="12" w:space="0" w:color="auto"/>
            </w:tcBorders>
          </w:tcPr>
          <w:p w14:paraId="711D96EE"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1734237F" w14:textId="77777777" w:rsidR="00647C6B" w:rsidRPr="00A058B6" w:rsidRDefault="00647C6B" w:rsidP="009C0D79">
            <w:pPr>
              <w:pStyle w:val="Tabletext"/>
            </w:pPr>
            <w:r w:rsidRPr="00A058B6">
              <w:t>0</w:t>
            </w:r>
            <w:r w:rsidR="00D7157D">
              <w:t>.</w:t>
            </w:r>
            <w:r w:rsidRPr="00A058B6">
              <w:t>467</w:t>
            </w:r>
          </w:p>
        </w:tc>
        <w:tc>
          <w:tcPr>
            <w:tcW w:w="1878" w:type="pct"/>
            <w:tcBorders>
              <w:top w:val="single" w:sz="2" w:space="0" w:color="auto"/>
              <w:left w:val="nil"/>
              <w:bottom w:val="single" w:sz="12" w:space="0" w:color="auto"/>
              <w:right w:val="nil"/>
            </w:tcBorders>
            <w:shd w:val="clear" w:color="auto" w:fill="auto"/>
            <w:vAlign w:val="bottom"/>
          </w:tcPr>
          <w:p w14:paraId="46427C81" w14:textId="77777777" w:rsidR="00647C6B" w:rsidRPr="00A058B6" w:rsidRDefault="00647C6B" w:rsidP="009C0D79">
            <w:pPr>
              <w:pStyle w:val="Tabletext"/>
            </w:pPr>
            <w:r w:rsidRPr="00A058B6">
              <w:t>0</w:t>
            </w:r>
            <w:r w:rsidR="00D7157D">
              <w:t>.</w:t>
            </w:r>
            <w:r w:rsidRPr="00A058B6">
              <w:t>119</w:t>
            </w:r>
          </w:p>
        </w:tc>
      </w:tr>
    </w:tbl>
    <w:p w14:paraId="7F100CB5" w14:textId="442BDF2F" w:rsidR="00647C6B" w:rsidRPr="00A058B6" w:rsidRDefault="00D7157D" w:rsidP="00647C6B">
      <w:pPr>
        <w:pStyle w:val="ActHead5"/>
      </w:pPr>
      <w:bookmarkStart w:id="248" w:name="_Toc188350726"/>
      <w:r w:rsidRPr="00423C34">
        <w:rPr>
          <w:rStyle w:val="CharSectno"/>
        </w:rPr>
        <w:t>10</w:t>
      </w:r>
      <w:r w:rsidR="00647C6B" w:rsidRPr="00A058B6">
        <w:t xml:space="preserve">  Valuation factors—no guarantee period—CPI indexed pension plus 1% with 5% cap</w:t>
      </w:r>
      <w:bookmarkEnd w:id="248"/>
    </w:p>
    <w:p w14:paraId="25C47B82"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7DC2F886" w14:textId="77777777" w:rsidR="00647C6B" w:rsidRPr="00A058B6" w:rsidRDefault="00647C6B" w:rsidP="00647C6B">
      <w:pPr>
        <w:pStyle w:val="paragraph"/>
      </w:pPr>
      <w:r w:rsidRPr="00A058B6">
        <w:tab/>
        <w:t>(a)</w:t>
      </w:r>
      <w:r w:rsidRPr="00A058B6">
        <w:tab/>
        <w:t>has no guarantee period; and</w:t>
      </w:r>
    </w:p>
    <w:p w14:paraId="3BC525C4" w14:textId="77777777" w:rsidR="00647C6B" w:rsidRPr="00A058B6" w:rsidRDefault="00647C6B" w:rsidP="00647C6B">
      <w:pPr>
        <w:pStyle w:val="paragraph"/>
      </w:pPr>
      <w:r w:rsidRPr="00A058B6">
        <w:tab/>
        <w:t>(b)</w:t>
      </w:r>
      <w:r w:rsidRPr="00A058B6">
        <w:tab/>
        <w:t>is indexed in accordance with the consumer price index plus 1% with a cap of 5%</w:t>
      </w:r>
      <w:r w:rsidR="00D7157D">
        <w:t>.</w:t>
      </w:r>
    </w:p>
    <w:p w14:paraId="15469810"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76"/>
        <w:gridCol w:w="3102"/>
      </w:tblGrid>
      <w:tr w:rsidR="00647C6B" w:rsidRPr="00A058B6" w14:paraId="08ECF528" w14:textId="77777777" w:rsidTr="00963115">
        <w:trPr>
          <w:cantSplit/>
          <w:trHeight w:val="739"/>
          <w:tblHeader/>
          <w:jc w:val="right"/>
        </w:trPr>
        <w:tc>
          <w:tcPr>
            <w:tcW w:w="1705" w:type="pct"/>
            <w:vMerge w:val="restart"/>
            <w:tcBorders>
              <w:top w:val="single" w:sz="12" w:space="0" w:color="auto"/>
              <w:bottom w:val="single" w:sz="12" w:space="0" w:color="auto"/>
            </w:tcBorders>
          </w:tcPr>
          <w:p w14:paraId="504458B5" w14:textId="77777777" w:rsidR="00647C6B" w:rsidRPr="00A058B6" w:rsidRDefault="00647C6B" w:rsidP="00963115">
            <w:pPr>
              <w:pStyle w:val="TableHeading"/>
              <w:keepLines/>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690BE8C0" w14:textId="77777777" w:rsidR="00647C6B" w:rsidRPr="00A058B6" w:rsidRDefault="00647C6B" w:rsidP="00963115">
            <w:pPr>
              <w:pStyle w:val="TableHeading"/>
              <w:keepLines/>
              <w:rPr>
                <w:snapToGrid w:val="0"/>
              </w:rPr>
            </w:pPr>
            <w:r w:rsidRPr="00A058B6">
              <w:rPr>
                <w:snapToGrid w:val="0"/>
              </w:rPr>
              <w:t>Pension valuation factors</w:t>
            </w:r>
            <w:r w:rsidRPr="00A058B6">
              <w:rPr>
                <w:snapToGrid w:val="0"/>
              </w:rPr>
              <w:br/>
              <w:t>No guarantee period</w:t>
            </w:r>
            <w:r w:rsidRPr="00A058B6">
              <w:rPr>
                <w:snapToGrid w:val="0"/>
              </w:rPr>
              <w:br/>
              <w:t>CPI indexed pension plus 1% with 5% cap</w:t>
            </w:r>
          </w:p>
        </w:tc>
      </w:tr>
      <w:tr w:rsidR="00647C6B" w:rsidRPr="00A058B6" w14:paraId="510367D6" w14:textId="77777777" w:rsidTr="00963115">
        <w:trPr>
          <w:cantSplit/>
          <w:trHeight w:val="40"/>
          <w:tblHeader/>
          <w:jc w:val="right"/>
        </w:trPr>
        <w:tc>
          <w:tcPr>
            <w:tcW w:w="1705" w:type="pct"/>
            <w:vMerge/>
            <w:tcBorders>
              <w:top w:val="single" w:sz="4" w:space="0" w:color="auto"/>
              <w:bottom w:val="single" w:sz="12" w:space="0" w:color="auto"/>
            </w:tcBorders>
          </w:tcPr>
          <w:p w14:paraId="0585A620" w14:textId="77777777" w:rsidR="00647C6B" w:rsidRPr="00A058B6" w:rsidRDefault="00647C6B" w:rsidP="00963115">
            <w:pPr>
              <w:keepNext/>
              <w:keepLines/>
              <w:rPr>
                <w:snapToGrid w:val="0"/>
              </w:rPr>
            </w:pPr>
          </w:p>
        </w:tc>
        <w:tc>
          <w:tcPr>
            <w:tcW w:w="1429" w:type="pct"/>
            <w:tcBorders>
              <w:top w:val="single" w:sz="4" w:space="0" w:color="auto"/>
              <w:bottom w:val="single" w:sz="12" w:space="0" w:color="auto"/>
            </w:tcBorders>
          </w:tcPr>
          <w:p w14:paraId="7342BBA4" w14:textId="77777777" w:rsidR="00647C6B" w:rsidRPr="00A058B6" w:rsidRDefault="00647C6B" w:rsidP="00963115">
            <w:pPr>
              <w:pStyle w:val="TableHeading"/>
              <w:keepLines/>
              <w:rPr>
                <w:snapToGrid w:val="0"/>
              </w:rPr>
            </w:pPr>
            <w:r w:rsidRPr="00A058B6">
              <w:rPr>
                <w:snapToGrid w:val="0"/>
              </w:rPr>
              <w:t>Male</w:t>
            </w:r>
          </w:p>
        </w:tc>
        <w:tc>
          <w:tcPr>
            <w:tcW w:w="1866" w:type="pct"/>
            <w:tcBorders>
              <w:top w:val="single" w:sz="4" w:space="0" w:color="auto"/>
              <w:bottom w:val="single" w:sz="12" w:space="0" w:color="auto"/>
            </w:tcBorders>
          </w:tcPr>
          <w:p w14:paraId="62256E40" w14:textId="77777777" w:rsidR="00647C6B" w:rsidRPr="00A058B6" w:rsidRDefault="00647C6B" w:rsidP="00963115">
            <w:pPr>
              <w:pStyle w:val="TableHeading"/>
              <w:keepLines/>
              <w:rPr>
                <w:snapToGrid w:val="0"/>
              </w:rPr>
            </w:pPr>
            <w:r w:rsidRPr="00A058B6">
              <w:rPr>
                <w:snapToGrid w:val="0"/>
              </w:rPr>
              <w:t>Female</w:t>
            </w:r>
          </w:p>
        </w:tc>
      </w:tr>
      <w:tr w:rsidR="00647C6B" w:rsidRPr="00A058B6" w14:paraId="7B3E2329" w14:textId="77777777" w:rsidTr="00357C05">
        <w:trPr>
          <w:trHeight w:val="245"/>
          <w:jc w:val="right"/>
        </w:trPr>
        <w:tc>
          <w:tcPr>
            <w:tcW w:w="1705" w:type="pct"/>
            <w:tcBorders>
              <w:top w:val="single" w:sz="12" w:space="0" w:color="auto"/>
            </w:tcBorders>
          </w:tcPr>
          <w:p w14:paraId="0AB36DBD"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20859BD7" w14:textId="77777777" w:rsidR="00647C6B" w:rsidRPr="00A058B6" w:rsidRDefault="00647C6B" w:rsidP="009C0D79">
            <w:pPr>
              <w:pStyle w:val="Tabletext"/>
            </w:pPr>
            <w:r w:rsidRPr="00A058B6">
              <w:t>21</w:t>
            </w:r>
            <w:r w:rsidR="00D7157D">
              <w:t>.</w:t>
            </w:r>
            <w:r w:rsidRPr="00A058B6">
              <w:t>9847</w:t>
            </w:r>
          </w:p>
        </w:tc>
        <w:tc>
          <w:tcPr>
            <w:tcW w:w="1866" w:type="pct"/>
            <w:tcBorders>
              <w:top w:val="single" w:sz="12" w:space="0" w:color="auto"/>
              <w:left w:val="nil"/>
              <w:bottom w:val="single" w:sz="2" w:space="0" w:color="auto"/>
              <w:right w:val="nil"/>
            </w:tcBorders>
            <w:shd w:val="clear" w:color="auto" w:fill="auto"/>
            <w:vAlign w:val="center"/>
          </w:tcPr>
          <w:p w14:paraId="40B85914" w14:textId="77777777" w:rsidR="00647C6B" w:rsidRPr="00A058B6" w:rsidRDefault="00647C6B" w:rsidP="009C0D79">
            <w:pPr>
              <w:pStyle w:val="Tabletext"/>
            </w:pPr>
            <w:r w:rsidRPr="00A058B6">
              <w:t>23</w:t>
            </w:r>
            <w:r w:rsidR="00D7157D">
              <w:t>.</w:t>
            </w:r>
            <w:r w:rsidRPr="00A058B6">
              <w:t>0130</w:t>
            </w:r>
          </w:p>
        </w:tc>
      </w:tr>
      <w:tr w:rsidR="00647C6B" w:rsidRPr="00A058B6" w14:paraId="53C9FBDE" w14:textId="77777777" w:rsidTr="00357C05">
        <w:trPr>
          <w:trHeight w:val="245"/>
          <w:jc w:val="right"/>
        </w:trPr>
        <w:tc>
          <w:tcPr>
            <w:tcW w:w="1705" w:type="pct"/>
          </w:tcPr>
          <w:p w14:paraId="19D7E65D"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0AAD4B0A" w14:textId="77777777" w:rsidR="00647C6B" w:rsidRPr="00A058B6" w:rsidRDefault="00647C6B" w:rsidP="009C0D79">
            <w:pPr>
              <w:pStyle w:val="Tabletext"/>
            </w:pPr>
            <w:r w:rsidRPr="00A058B6">
              <w:t>21</w:t>
            </w:r>
            <w:r w:rsidR="00D7157D">
              <w:t>.</w:t>
            </w:r>
            <w:r w:rsidRPr="00A058B6">
              <w:t>5608</w:t>
            </w:r>
          </w:p>
        </w:tc>
        <w:tc>
          <w:tcPr>
            <w:tcW w:w="1866" w:type="pct"/>
            <w:tcBorders>
              <w:top w:val="single" w:sz="2" w:space="0" w:color="auto"/>
              <w:left w:val="nil"/>
              <w:bottom w:val="single" w:sz="2" w:space="0" w:color="auto"/>
              <w:right w:val="nil"/>
            </w:tcBorders>
            <w:shd w:val="clear" w:color="auto" w:fill="auto"/>
            <w:vAlign w:val="center"/>
          </w:tcPr>
          <w:p w14:paraId="35247C86" w14:textId="77777777" w:rsidR="00647C6B" w:rsidRPr="00A058B6" w:rsidRDefault="00647C6B" w:rsidP="009C0D79">
            <w:pPr>
              <w:pStyle w:val="Tabletext"/>
            </w:pPr>
            <w:r w:rsidRPr="00A058B6">
              <w:t>22</w:t>
            </w:r>
            <w:r w:rsidR="00D7157D">
              <w:t>.</w:t>
            </w:r>
            <w:r w:rsidRPr="00A058B6">
              <w:t>6026</w:t>
            </w:r>
          </w:p>
        </w:tc>
      </w:tr>
      <w:tr w:rsidR="00647C6B" w:rsidRPr="00A058B6" w14:paraId="4E747CEC" w14:textId="77777777" w:rsidTr="00357C05">
        <w:trPr>
          <w:trHeight w:val="245"/>
          <w:jc w:val="right"/>
        </w:trPr>
        <w:tc>
          <w:tcPr>
            <w:tcW w:w="1705" w:type="pct"/>
          </w:tcPr>
          <w:p w14:paraId="06D04FAA"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008CE256" w14:textId="77777777" w:rsidR="00647C6B" w:rsidRPr="00A058B6" w:rsidRDefault="00647C6B" w:rsidP="009C0D79">
            <w:pPr>
              <w:pStyle w:val="Tabletext"/>
            </w:pPr>
            <w:r w:rsidRPr="00A058B6">
              <w:t>21</w:t>
            </w:r>
            <w:r w:rsidR="00D7157D">
              <w:t>.</w:t>
            </w:r>
            <w:r w:rsidRPr="00A058B6">
              <w:t>1262</w:t>
            </w:r>
          </w:p>
        </w:tc>
        <w:tc>
          <w:tcPr>
            <w:tcW w:w="1866" w:type="pct"/>
            <w:tcBorders>
              <w:top w:val="single" w:sz="2" w:space="0" w:color="auto"/>
              <w:left w:val="nil"/>
              <w:bottom w:val="single" w:sz="2" w:space="0" w:color="auto"/>
              <w:right w:val="nil"/>
            </w:tcBorders>
            <w:shd w:val="clear" w:color="auto" w:fill="auto"/>
            <w:vAlign w:val="center"/>
          </w:tcPr>
          <w:p w14:paraId="37D3ABD9" w14:textId="77777777" w:rsidR="00647C6B" w:rsidRPr="00A058B6" w:rsidRDefault="00647C6B" w:rsidP="009C0D79">
            <w:pPr>
              <w:pStyle w:val="Tabletext"/>
            </w:pPr>
            <w:r w:rsidRPr="00A058B6">
              <w:t>22</w:t>
            </w:r>
            <w:r w:rsidR="00D7157D">
              <w:t>.</w:t>
            </w:r>
            <w:r w:rsidRPr="00A058B6">
              <w:t>1832</w:t>
            </w:r>
          </w:p>
        </w:tc>
      </w:tr>
      <w:tr w:rsidR="00647C6B" w:rsidRPr="00A058B6" w14:paraId="6DD2A173" w14:textId="77777777" w:rsidTr="00357C05">
        <w:trPr>
          <w:trHeight w:val="245"/>
          <w:jc w:val="right"/>
        </w:trPr>
        <w:tc>
          <w:tcPr>
            <w:tcW w:w="1705" w:type="pct"/>
          </w:tcPr>
          <w:p w14:paraId="65E94DE9"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425EDE3A" w14:textId="77777777" w:rsidR="00647C6B" w:rsidRPr="00A058B6" w:rsidRDefault="00647C6B" w:rsidP="009C0D79">
            <w:pPr>
              <w:pStyle w:val="Tabletext"/>
            </w:pPr>
            <w:r w:rsidRPr="00A058B6">
              <w:t>20</w:t>
            </w:r>
            <w:r w:rsidR="00D7157D">
              <w:t>.</w:t>
            </w:r>
            <w:r w:rsidRPr="00A058B6">
              <w:t>6805</w:t>
            </w:r>
          </w:p>
        </w:tc>
        <w:tc>
          <w:tcPr>
            <w:tcW w:w="1866" w:type="pct"/>
            <w:tcBorders>
              <w:top w:val="single" w:sz="2" w:space="0" w:color="auto"/>
              <w:left w:val="nil"/>
              <w:bottom w:val="single" w:sz="2" w:space="0" w:color="auto"/>
              <w:right w:val="nil"/>
            </w:tcBorders>
            <w:shd w:val="clear" w:color="auto" w:fill="auto"/>
            <w:vAlign w:val="center"/>
          </w:tcPr>
          <w:p w14:paraId="4C803734" w14:textId="77777777" w:rsidR="00647C6B" w:rsidRPr="00A058B6" w:rsidRDefault="00647C6B" w:rsidP="009C0D79">
            <w:pPr>
              <w:pStyle w:val="Tabletext"/>
            </w:pPr>
            <w:r w:rsidRPr="00A058B6">
              <w:t>21</w:t>
            </w:r>
            <w:r w:rsidR="00D7157D">
              <w:t>.</w:t>
            </w:r>
            <w:r w:rsidRPr="00A058B6">
              <w:t>7537</w:t>
            </w:r>
          </w:p>
        </w:tc>
      </w:tr>
      <w:tr w:rsidR="00647C6B" w:rsidRPr="00A058B6" w14:paraId="6B26B6BE" w14:textId="77777777" w:rsidTr="00357C05">
        <w:trPr>
          <w:trHeight w:val="245"/>
          <w:jc w:val="right"/>
        </w:trPr>
        <w:tc>
          <w:tcPr>
            <w:tcW w:w="1705" w:type="pct"/>
          </w:tcPr>
          <w:p w14:paraId="4488B7A2"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4BF98942" w14:textId="77777777" w:rsidR="00647C6B" w:rsidRPr="00A058B6" w:rsidRDefault="00647C6B" w:rsidP="009C0D79">
            <w:pPr>
              <w:pStyle w:val="Tabletext"/>
            </w:pPr>
            <w:r w:rsidRPr="00A058B6">
              <w:t>20</w:t>
            </w:r>
            <w:r w:rsidR="00D7157D">
              <w:t>.</w:t>
            </w:r>
            <w:r w:rsidRPr="00A058B6">
              <w:t>2231</w:t>
            </w:r>
          </w:p>
        </w:tc>
        <w:tc>
          <w:tcPr>
            <w:tcW w:w="1866" w:type="pct"/>
            <w:tcBorders>
              <w:top w:val="single" w:sz="2" w:space="0" w:color="auto"/>
              <w:left w:val="nil"/>
              <w:bottom w:val="single" w:sz="2" w:space="0" w:color="auto"/>
              <w:right w:val="nil"/>
            </w:tcBorders>
            <w:shd w:val="clear" w:color="auto" w:fill="auto"/>
            <w:vAlign w:val="center"/>
          </w:tcPr>
          <w:p w14:paraId="3F1386CA" w14:textId="77777777" w:rsidR="00647C6B" w:rsidRPr="00A058B6" w:rsidRDefault="00647C6B" w:rsidP="009C0D79">
            <w:pPr>
              <w:pStyle w:val="Tabletext"/>
            </w:pPr>
            <w:r w:rsidRPr="00A058B6">
              <w:t>21</w:t>
            </w:r>
            <w:r w:rsidR="00D7157D">
              <w:t>.</w:t>
            </w:r>
            <w:r w:rsidRPr="00A058B6">
              <w:t>3137</w:t>
            </w:r>
          </w:p>
        </w:tc>
      </w:tr>
      <w:tr w:rsidR="00647C6B" w:rsidRPr="00A058B6" w14:paraId="6B443A50" w14:textId="77777777" w:rsidTr="00357C05">
        <w:trPr>
          <w:trHeight w:val="245"/>
          <w:jc w:val="right"/>
        </w:trPr>
        <w:tc>
          <w:tcPr>
            <w:tcW w:w="1705" w:type="pct"/>
          </w:tcPr>
          <w:p w14:paraId="473D7C2D"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1CD1AC95" w14:textId="77777777" w:rsidR="00647C6B" w:rsidRPr="00A058B6" w:rsidRDefault="00647C6B" w:rsidP="009C0D79">
            <w:pPr>
              <w:pStyle w:val="Tabletext"/>
            </w:pPr>
            <w:r w:rsidRPr="00A058B6">
              <w:t>19</w:t>
            </w:r>
            <w:r w:rsidR="00D7157D">
              <w:t>.</w:t>
            </w:r>
            <w:r w:rsidRPr="00A058B6">
              <w:t>7542</w:t>
            </w:r>
          </w:p>
        </w:tc>
        <w:tc>
          <w:tcPr>
            <w:tcW w:w="1866" w:type="pct"/>
            <w:tcBorders>
              <w:top w:val="single" w:sz="2" w:space="0" w:color="auto"/>
              <w:left w:val="nil"/>
              <w:bottom w:val="single" w:sz="2" w:space="0" w:color="auto"/>
              <w:right w:val="nil"/>
            </w:tcBorders>
            <w:shd w:val="clear" w:color="auto" w:fill="auto"/>
            <w:vAlign w:val="center"/>
          </w:tcPr>
          <w:p w14:paraId="32D688A0" w14:textId="77777777" w:rsidR="00647C6B" w:rsidRPr="00A058B6" w:rsidRDefault="00647C6B" w:rsidP="009C0D79">
            <w:pPr>
              <w:pStyle w:val="Tabletext"/>
            </w:pPr>
            <w:r w:rsidRPr="00A058B6">
              <w:t>20</w:t>
            </w:r>
            <w:r w:rsidR="00D7157D">
              <w:t>.</w:t>
            </w:r>
            <w:r w:rsidRPr="00A058B6">
              <w:t>8626</w:t>
            </w:r>
          </w:p>
        </w:tc>
      </w:tr>
      <w:tr w:rsidR="00647C6B" w:rsidRPr="00A058B6" w14:paraId="37B7223C" w14:textId="77777777" w:rsidTr="00357C05">
        <w:trPr>
          <w:trHeight w:val="245"/>
          <w:jc w:val="right"/>
        </w:trPr>
        <w:tc>
          <w:tcPr>
            <w:tcW w:w="1705" w:type="pct"/>
          </w:tcPr>
          <w:p w14:paraId="337E0740"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04E8E337" w14:textId="77777777" w:rsidR="00647C6B" w:rsidRPr="00A058B6" w:rsidRDefault="00647C6B" w:rsidP="009C0D79">
            <w:pPr>
              <w:pStyle w:val="Tabletext"/>
            </w:pPr>
            <w:r w:rsidRPr="00A058B6">
              <w:t>19</w:t>
            </w:r>
            <w:r w:rsidR="00D7157D">
              <w:t>.</w:t>
            </w:r>
            <w:r w:rsidRPr="00A058B6">
              <w:t>2740</w:t>
            </w:r>
          </w:p>
        </w:tc>
        <w:tc>
          <w:tcPr>
            <w:tcW w:w="1866" w:type="pct"/>
            <w:tcBorders>
              <w:top w:val="single" w:sz="2" w:space="0" w:color="auto"/>
              <w:left w:val="nil"/>
              <w:bottom w:val="single" w:sz="2" w:space="0" w:color="auto"/>
              <w:right w:val="nil"/>
            </w:tcBorders>
            <w:shd w:val="clear" w:color="auto" w:fill="auto"/>
            <w:vAlign w:val="center"/>
          </w:tcPr>
          <w:p w14:paraId="75617AF6" w14:textId="77777777" w:rsidR="00647C6B" w:rsidRPr="00A058B6" w:rsidRDefault="00647C6B" w:rsidP="009C0D79">
            <w:pPr>
              <w:pStyle w:val="Tabletext"/>
            </w:pPr>
            <w:r w:rsidRPr="00A058B6">
              <w:t>20</w:t>
            </w:r>
            <w:r w:rsidR="00D7157D">
              <w:t>.</w:t>
            </w:r>
            <w:r w:rsidRPr="00A058B6">
              <w:t>3997</w:t>
            </w:r>
          </w:p>
        </w:tc>
      </w:tr>
      <w:tr w:rsidR="00647C6B" w:rsidRPr="00A058B6" w14:paraId="23BC737E" w14:textId="77777777" w:rsidTr="00357C05">
        <w:trPr>
          <w:trHeight w:val="245"/>
          <w:jc w:val="right"/>
        </w:trPr>
        <w:tc>
          <w:tcPr>
            <w:tcW w:w="1705" w:type="pct"/>
          </w:tcPr>
          <w:p w14:paraId="07A91CCF"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7DC2EFD6" w14:textId="77777777" w:rsidR="00647C6B" w:rsidRPr="00A058B6" w:rsidRDefault="00647C6B" w:rsidP="009C0D79">
            <w:pPr>
              <w:pStyle w:val="Tabletext"/>
            </w:pPr>
            <w:r w:rsidRPr="00A058B6">
              <w:t>18</w:t>
            </w:r>
            <w:r w:rsidR="00D7157D">
              <w:t>.</w:t>
            </w:r>
            <w:r w:rsidRPr="00A058B6">
              <w:t>7822</w:t>
            </w:r>
          </w:p>
        </w:tc>
        <w:tc>
          <w:tcPr>
            <w:tcW w:w="1866" w:type="pct"/>
            <w:tcBorders>
              <w:top w:val="single" w:sz="2" w:space="0" w:color="auto"/>
              <w:left w:val="nil"/>
              <w:bottom w:val="single" w:sz="2" w:space="0" w:color="auto"/>
              <w:right w:val="nil"/>
            </w:tcBorders>
            <w:shd w:val="clear" w:color="auto" w:fill="auto"/>
            <w:vAlign w:val="center"/>
          </w:tcPr>
          <w:p w14:paraId="3A77DF40" w14:textId="77777777" w:rsidR="00647C6B" w:rsidRPr="00A058B6" w:rsidRDefault="00647C6B" w:rsidP="009C0D79">
            <w:pPr>
              <w:pStyle w:val="Tabletext"/>
            </w:pPr>
            <w:r w:rsidRPr="00A058B6">
              <w:t>19</w:t>
            </w:r>
            <w:r w:rsidR="00D7157D">
              <w:t>.</w:t>
            </w:r>
            <w:r w:rsidRPr="00A058B6">
              <w:t>9257</w:t>
            </w:r>
          </w:p>
        </w:tc>
      </w:tr>
      <w:tr w:rsidR="00647C6B" w:rsidRPr="00A058B6" w14:paraId="213D9B87" w14:textId="77777777" w:rsidTr="00357C05">
        <w:trPr>
          <w:trHeight w:val="245"/>
          <w:jc w:val="right"/>
        </w:trPr>
        <w:tc>
          <w:tcPr>
            <w:tcW w:w="1705" w:type="pct"/>
          </w:tcPr>
          <w:p w14:paraId="0FA76911"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24765ECF" w14:textId="77777777" w:rsidR="00647C6B" w:rsidRPr="00A058B6" w:rsidRDefault="00647C6B" w:rsidP="009C0D79">
            <w:pPr>
              <w:pStyle w:val="Tabletext"/>
            </w:pPr>
            <w:r w:rsidRPr="00A058B6">
              <w:t>18</w:t>
            </w:r>
            <w:r w:rsidR="00D7157D">
              <w:t>.</w:t>
            </w:r>
            <w:r w:rsidRPr="00A058B6">
              <w:t>2789</w:t>
            </w:r>
          </w:p>
        </w:tc>
        <w:tc>
          <w:tcPr>
            <w:tcW w:w="1866" w:type="pct"/>
            <w:tcBorders>
              <w:top w:val="single" w:sz="2" w:space="0" w:color="auto"/>
              <w:left w:val="nil"/>
              <w:bottom w:val="single" w:sz="2" w:space="0" w:color="auto"/>
              <w:right w:val="nil"/>
            </w:tcBorders>
            <w:shd w:val="clear" w:color="auto" w:fill="auto"/>
            <w:vAlign w:val="center"/>
          </w:tcPr>
          <w:p w14:paraId="6C1FF66D" w14:textId="77777777" w:rsidR="00647C6B" w:rsidRPr="00A058B6" w:rsidRDefault="00647C6B" w:rsidP="009C0D79">
            <w:pPr>
              <w:pStyle w:val="Tabletext"/>
            </w:pPr>
            <w:r w:rsidRPr="00A058B6">
              <w:t>19</w:t>
            </w:r>
            <w:r w:rsidR="00D7157D">
              <w:t>.</w:t>
            </w:r>
            <w:r w:rsidRPr="00A058B6">
              <w:t>4405</w:t>
            </w:r>
          </w:p>
        </w:tc>
      </w:tr>
      <w:tr w:rsidR="00647C6B" w:rsidRPr="00A058B6" w14:paraId="4EE750B5" w14:textId="77777777" w:rsidTr="00357C05">
        <w:trPr>
          <w:trHeight w:val="245"/>
          <w:jc w:val="right"/>
        </w:trPr>
        <w:tc>
          <w:tcPr>
            <w:tcW w:w="1705" w:type="pct"/>
            <w:tcBorders>
              <w:bottom w:val="single" w:sz="4" w:space="0" w:color="auto"/>
            </w:tcBorders>
          </w:tcPr>
          <w:p w14:paraId="53843B1F"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12DCED21" w14:textId="77777777" w:rsidR="00647C6B" w:rsidRPr="00A058B6" w:rsidRDefault="00647C6B" w:rsidP="009C0D79">
            <w:pPr>
              <w:pStyle w:val="Tabletext"/>
            </w:pPr>
            <w:r w:rsidRPr="00A058B6">
              <w:t>17</w:t>
            </w:r>
            <w:r w:rsidR="00D7157D">
              <w:t>.</w:t>
            </w:r>
            <w:r w:rsidRPr="00A058B6">
              <w:t>7639</w:t>
            </w:r>
          </w:p>
        </w:tc>
        <w:tc>
          <w:tcPr>
            <w:tcW w:w="1866" w:type="pct"/>
            <w:tcBorders>
              <w:top w:val="single" w:sz="2" w:space="0" w:color="auto"/>
              <w:left w:val="nil"/>
              <w:bottom w:val="single" w:sz="2" w:space="0" w:color="auto"/>
              <w:right w:val="nil"/>
            </w:tcBorders>
            <w:shd w:val="clear" w:color="auto" w:fill="auto"/>
            <w:vAlign w:val="center"/>
          </w:tcPr>
          <w:p w14:paraId="4081CECC" w14:textId="77777777" w:rsidR="00647C6B" w:rsidRPr="00A058B6" w:rsidRDefault="00647C6B" w:rsidP="009C0D79">
            <w:pPr>
              <w:pStyle w:val="Tabletext"/>
            </w:pPr>
            <w:r w:rsidRPr="00A058B6">
              <w:t>18</w:t>
            </w:r>
            <w:r w:rsidR="00D7157D">
              <w:t>.</w:t>
            </w:r>
            <w:r w:rsidRPr="00A058B6">
              <w:t>9441</w:t>
            </w:r>
          </w:p>
        </w:tc>
      </w:tr>
      <w:tr w:rsidR="00647C6B" w:rsidRPr="00A058B6" w14:paraId="304FA6C7" w14:textId="77777777" w:rsidTr="00357C05">
        <w:trPr>
          <w:trHeight w:val="245"/>
          <w:jc w:val="right"/>
        </w:trPr>
        <w:tc>
          <w:tcPr>
            <w:tcW w:w="1705" w:type="pct"/>
            <w:tcBorders>
              <w:top w:val="single" w:sz="4" w:space="0" w:color="auto"/>
              <w:bottom w:val="single" w:sz="12" w:space="0" w:color="auto"/>
            </w:tcBorders>
          </w:tcPr>
          <w:p w14:paraId="1B101F79"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54943820" w14:textId="77777777" w:rsidR="00647C6B" w:rsidRPr="00A058B6" w:rsidRDefault="00647C6B" w:rsidP="009C0D79">
            <w:pPr>
              <w:pStyle w:val="Tabletext"/>
            </w:pPr>
            <w:r w:rsidRPr="00A058B6">
              <w:t>17</w:t>
            </w:r>
            <w:r w:rsidR="00D7157D">
              <w:t>.</w:t>
            </w:r>
            <w:r w:rsidRPr="00A058B6">
              <w:t>2393</w:t>
            </w:r>
          </w:p>
        </w:tc>
        <w:tc>
          <w:tcPr>
            <w:tcW w:w="1866" w:type="pct"/>
            <w:tcBorders>
              <w:top w:val="single" w:sz="2" w:space="0" w:color="auto"/>
              <w:left w:val="nil"/>
              <w:bottom w:val="single" w:sz="12" w:space="0" w:color="auto"/>
              <w:right w:val="nil"/>
            </w:tcBorders>
            <w:shd w:val="clear" w:color="auto" w:fill="auto"/>
            <w:vAlign w:val="center"/>
          </w:tcPr>
          <w:p w14:paraId="553A154A" w14:textId="77777777" w:rsidR="00647C6B" w:rsidRPr="00A058B6" w:rsidRDefault="00647C6B" w:rsidP="009C0D79">
            <w:pPr>
              <w:pStyle w:val="Tabletext"/>
            </w:pPr>
            <w:r w:rsidRPr="00A058B6">
              <w:t>18</w:t>
            </w:r>
            <w:r w:rsidR="00D7157D">
              <w:t>.</w:t>
            </w:r>
            <w:r w:rsidRPr="00A058B6">
              <w:t>4381</w:t>
            </w:r>
          </w:p>
        </w:tc>
      </w:tr>
    </w:tbl>
    <w:p w14:paraId="7ABDF389"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471DDC29" w14:textId="77777777" w:rsidTr="00963115">
        <w:trPr>
          <w:cantSplit/>
          <w:trHeight w:val="375"/>
          <w:tblHeader/>
          <w:jc w:val="right"/>
        </w:trPr>
        <w:tc>
          <w:tcPr>
            <w:tcW w:w="1705" w:type="pct"/>
            <w:vMerge w:val="restart"/>
            <w:tcBorders>
              <w:top w:val="single" w:sz="12" w:space="0" w:color="auto"/>
              <w:bottom w:val="single" w:sz="12" w:space="0" w:color="auto"/>
            </w:tcBorders>
          </w:tcPr>
          <w:p w14:paraId="6434C767"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57D2A557" w14:textId="77777777" w:rsidR="00647C6B" w:rsidRPr="00A058B6" w:rsidRDefault="00647C6B" w:rsidP="00963115">
            <w:pPr>
              <w:pStyle w:val="TableHeading"/>
              <w:rPr>
                <w:snapToGrid w:val="0"/>
              </w:rPr>
            </w:pPr>
            <w:r w:rsidRPr="00A058B6">
              <w:rPr>
                <w:snapToGrid w:val="0"/>
              </w:rPr>
              <w:t>Reversion valuation factors</w:t>
            </w:r>
            <w:r w:rsidRPr="00A058B6">
              <w:rPr>
                <w:snapToGrid w:val="0"/>
              </w:rPr>
              <w:br/>
              <w:t>No guarantee period</w:t>
            </w:r>
            <w:r w:rsidRPr="00A058B6">
              <w:rPr>
                <w:snapToGrid w:val="0"/>
              </w:rPr>
              <w:br/>
              <w:t>CPI i</w:t>
            </w:r>
            <w:r w:rsidR="00F53035">
              <w:rPr>
                <w:snapToGrid w:val="0"/>
              </w:rPr>
              <w:t>n</w:t>
            </w:r>
            <w:r w:rsidRPr="00A058B6">
              <w:rPr>
                <w:snapToGrid w:val="0"/>
              </w:rPr>
              <w:t>dexed pension plus 1% with 5% cap</w:t>
            </w:r>
          </w:p>
        </w:tc>
      </w:tr>
      <w:tr w:rsidR="00647C6B" w:rsidRPr="00A058B6" w14:paraId="521F44C6" w14:textId="77777777" w:rsidTr="00963115">
        <w:trPr>
          <w:cantSplit/>
          <w:trHeight w:val="40"/>
          <w:tblHeader/>
          <w:jc w:val="right"/>
        </w:trPr>
        <w:tc>
          <w:tcPr>
            <w:tcW w:w="1705" w:type="pct"/>
            <w:vMerge/>
            <w:tcBorders>
              <w:top w:val="single" w:sz="4" w:space="0" w:color="auto"/>
              <w:bottom w:val="single" w:sz="12" w:space="0" w:color="auto"/>
            </w:tcBorders>
          </w:tcPr>
          <w:p w14:paraId="5F93FDC4"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4B7B1F1F"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4D65B6B6" w14:textId="77777777" w:rsidR="00647C6B" w:rsidRPr="00A058B6" w:rsidRDefault="00647C6B" w:rsidP="00963115">
            <w:pPr>
              <w:pStyle w:val="TableHeading"/>
              <w:rPr>
                <w:snapToGrid w:val="0"/>
              </w:rPr>
            </w:pPr>
            <w:r w:rsidRPr="00A058B6">
              <w:rPr>
                <w:snapToGrid w:val="0"/>
              </w:rPr>
              <w:t>Fema</w:t>
            </w:r>
            <w:r w:rsidR="00F53035">
              <w:rPr>
                <w:snapToGrid w:val="0"/>
              </w:rPr>
              <w:t>l</w:t>
            </w:r>
            <w:r w:rsidRPr="00A058B6">
              <w:rPr>
                <w:snapToGrid w:val="0"/>
              </w:rPr>
              <w:t>e</w:t>
            </w:r>
          </w:p>
        </w:tc>
      </w:tr>
      <w:tr w:rsidR="00647C6B" w:rsidRPr="00A058B6" w14:paraId="4A10054C" w14:textId="77777777" w:rsidTr="00357C05">
        <w:trPr>
          <w:trHeight w:val="245"/>
          <w:jc w:val="right"/>
        </w:trPr>
        <w:tc>
          <w:tcPr>
            <w:tcW w:w="1705" w:type="pct"/>
            <w:tcBorders>
              <w:top w:val="single" w:sz="12" w:space="0" w:color="auto"/>
            </w:tcBorders>
          </w:tcPr>
          <w:p w14:paraId="149E45E9"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16ECB74A" w14:textId="77777777" w:rsidR="00647C6B" w:rsidRPr="00A058B6" w:rsidRDefault="00647C6B" w:rsidP="009C0D79">
            <w:pPr>
              <w:pStyle w:val="Tabletext"/>
            </w:pPr>
            <w:r w:rsidRPr="00A058B6">
              <w:t>2</w:t>
            </w:r>
            <w:r w:rsidR="00D7157D">
              <w:t>.</w:t>
            </w:r>
            <w:r w:rsidRPr="00A058B6">
              <w:t>647</w:t>
            </w:r>
          </w:p>
        </w:tc>
        <w:tc>
          <w:tcPr>
            <w:tcW w:w="1878" w:type="pct"/>
            <w:tcBorders>
              <w:top w:val="single" w:sz="12" w:space="0" w:color="auto"/>
              <w:left w:val="nil"/>
              <w:bottom w:val="single" w:sz="2" w:space="0" w:color="auto"/>
              <w:right w:val="nil"/>
            </w:tcBorders>
            <w:shd w:val="clear" w:color="auto" w:fill="auto"/>
            <w:vAlign w:val="bottom"/>
          </w:tcPr>
          <w:p w14:paraId="12405BD7" w14:textId="77777777" w:rsidR="00647C6B" w:rsidRPr="00A058B6" w:rsidRDefault="00647C6B" w:rsidP="009C0D79">
            <w:pPr>
              <w:pStyle w:val="Tabletext"/>
            </w:pPr>
            <w:r w:rsidRPr="00A058B6">
              <w:t>1</w:t>
            </w:r>
            <w:r w:rsidR="00D7157D">
              <w:t>.</w:t>
            </w:r>
            <w:r w:rsidRPr="00A058B6">
              <w:t>130</w:t>
            </w:r>
          </w:p>
        </w:tc>
      </w:tr>
      <w:tr w:rsidR="00647C6B" w:rsidRPr="00A058B6" w14:paraId="4E2A231C" w14:textId="77777777" w:rsidTr="00357C05">
        <w:trPr>
          <w:trHeight w:val="245"/>
          <w:jc w:val="right"/>
        </w:trPr>
        <w:tc>
          <w:tcPr>
            <w:tcW w:w="1705" w:type="pct"/>
          </w:tcPr>
          <w:p w14:paraId="63A8054E"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3FE0733A" w14:textId="77777777" w:rsidR="00647C6B" w:rsidRPr="00A058B6" w:rsidRDefault="00647C6B" w:rsidP="009C0D79">
            <w:pPr>
              <w:pStyle w:val="Tabletext"/>
            </w:pPr>
            <w:r w:rsidRPr="00A058B6">
              <w:t>2</w:t>
            </w:r>
            <w:r w:rsidR="00D7157D">
              <w:t>.</w:t>
            </w:r>
            <w:r w:rsidRPr="00A058B6">
              <w:t>559</w:t>
            </w:r>
          </w:p>
        </w:tc>
        <w:tc>
          <w:tcPr>
            <w:tcW w:w="1878" w:type="pct"/>
            <w:tcBorders>
              <w:top w:val="single" w:sz="2" w:space="0" w:color="auto"/>
              <w:left w:val="nil"/>
              <w:bottom w:val="single" w:sz="2" w:space="0" w:color="auto"/>
              <w:right w:val="nil"/>
            </w:tcBorders>
            <w:shd w:val="clear" w:color="auto" w:fill="auto"/>
            <w:vAlign w:val="bottom"/>
          </w:tcPr>
          <w:p w14:paraId="20B15582" w14:textId="77777777" w:rsidR="00647C6B" w:rsidRPr="00A058B6" w:rsidRDefault="00647C6B" w:rsidP="009C0D79">
            <w:pPr>
              <w:pStyle w:val="Tabletext"/>
            </w:pPr>
            <w:r w:rsidRPr="00A058B6">
              <w:t>1</w:t>
            </w:r>
            <w:r w:rsidR="00D7157D">
              <w:t>.</w:t>
            </w:r>
            <w:r w:rsidRPr="00A058B6">
              <w:t>063</w:t>
            </w:r>
          </w:p>
        </w:tc>
      </w:tr>
      <w:tr w:rsidR="00647C6B" w:rsidRPr="00A058B6" w14:paraId="42367139" w14:textId="77777777" w:rsidTr="00357C05">
        <w:trPr>
          <w:trHeight w:val="245"/>
          <w:jc w:val="right"/>
        </w:trPr>
        <w:tc>
          <w:tcPr>
            <w:tcW w:w="1705" w:type="pct"/>
          </w:tcPr>
          <w:p w14:paraId="4191BC91"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0EFBE6E3" w14:textId="77777777" w:rsidR="00647C6B" w:rsidRPr="00A058B6" w:rsidRDefault="00647C6B" w:rsidP="009C0D79">
            <w:pPr>
              <w:pStyle w:val="Tabletext"/>
            </w:pPr>
            <w:r w:rsidRPr="00A058B6">
              <w:t>2</w:t>
            </w:r>
            <w:r w:rsidR="00D7157D">
              <w:t>.</w:t>
            </w:r>
            <w:r w:rsidRPr="00A058B6">
              <w:t>471</w:t>
            </w:r>
          </w:p>
        </w:tc>
        <w:tc>
          <w:tcPr>
            <w:tcW w:w="1878" w:type="pct"/>
            <w:tcBorders>
              <w:top w:val="single" w:sz="2" w:space="0" w:color="auto"/>
              <w:left w:val="nil"/>
              <w:bottom w:val="single" w:sz="2" w:space="0" w:color="auto"/>
              <w:right w:val="nil"/>
            </w:tcBorders>
            <w:shd w:val="clear" w:color="auto" w:fill="auto"/>
            <w:vAlign w:val="bottom"/>
          </w:tcPr>
          <w:p w14:paraId="70D54EA1" w14:textId="77777777" w:rsidR="00647C6B" w:rsidRPr="00A058B6" w:rsidRDefault="00647C6B" w:rsidP="009C0D79">
            <w:pPr>
              <w:pStyle w:val="Tabletext"/>
            </w:pPr>
            <w:r w:rsidRPr="00A058B6">
              <w:t>0</w:t>
            </w:r>
            <w:r w:rsidR="00D7157D">
              <w:t>.</w:t>
            </w:r>
            <w:r w:rsidRPr="00A058B6">
              <w:t>995</w:t>
            </w:r>
          </w:p>
        </w:tc>
      </w:tr>
      <w:tr w:rsidR="00647C6B" w:rsidRPr="00A058B6" w14:paraId="01E7A2AD" w14:textId="77777777" w:rsidTr="00357C05">
        <w:trPr>
          <w:trHeight w:val="245"/>
          <w:jc w:val="right"/>
        </w:trPr>
        <w:tc>
          <w:tcPr>
            <w:tcW w:w="1705" w:type="pct"/>
          </w:tcPr>
          <w:p w14:paraId="3DA25F90"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1938F892" w14:textId="77777777" w:rsidR="00647C6B" w:rsidRPr="00A058B6" w:rsidRDefault="00647C6B" w:rsidP="009C0D79">
            <w:pPr>
              <w:pStyle w:val="Tabletext"/>
            </w:pPr>
            <w:r w:rsidRPr="00A058B6">
              <w:t>2</w:t>
            </w:r>
            <w:r w:rsidR="00D7157D">
              <w:t>.</w:t>
            </w:r>
            <w:r w:rsidRPr="00A058B6">
              <w:t>382</w:t>
            </w:r>
          </w:p>
        </w:tc>
        <w:tc>
          <w:tcPr>
            <w:tcW w:w="1878" w:type="pct"/>
            <w:tcBorders>
              <w:top w:val="single" w:sz="2" w:space="0" w:color="auto"/>
              <w:left w:val="nil"/>
              <w:bottom w:val="single" w:sz="2" w:space="0" w:color="auto"/>
              <w:right w:val="nil"/>
            </w:tcBorders>
            <w:shd w:val="clear" w:color="auto" w:fill="auto"/>
            <w:vAlign w:val="bottom"/>
          </w:tcPr>
          <w:p w14:paraId="39A4CA0A" w14:textId="77777777" w:rsidR="00647C6B" w:rsidRPr="00A058B6" w:rsidRDefault="00647C6B" w:rsidP="009C0D79">
            <w:pPr>
              <w:pStyle w:val="Tabletext"/>
            </w:pPr>
            <w:r w:rsidRPr="00A058B6">
              <w:t>0</w:t>
            </w:r>
            <w:r w:rsidR="00D7157D">
              <w:t>.</w:t>
            </w:r>
            <w:r w:rsidRPr="00A058B6">
              <w:t>927</w:t>
            </w:r>
          </w:p>
        </w:tc>
      </w:tr>
      <w:tr w:rsidR="00647C6B" w:rsidRPr="00A058B6" w14:paraId="600E0CA4" w14:textId="77777777" w:rsidTr="00357C05">
        <w:trPr>
          <w:trHeight w:val="245"/>
          <w:jc w:val="right"/>
        </w:trPr>
        <w:tc>
          <w:tcPr>
            <w:tcW w:w="1705" w:type="pct"/>
          </w:tcPr>
          <w:p w14:paraId="2E586D70"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116B2A13" w14:textId="77777777" w:rsidR="00647C6B" w:rsidRPr="00A058B6" w:rsidRDefault="00647C6B" w:rsidP="009C0D79">
            <w:pPr>
              <w:pStyle w:val="Tabletext"/>
            </w:pPr>
            <w:r w:rsidRPr="00A058B6">
              <w:t>2</w:t>
            </w:r>
            <w:r w:rsidR="00D7157D">
              <w:t>.</w:t>
            </w:r>
            <w:r w:rsidRPr="00A058B6">
              <w:t>294</w:t>
            </w:r>
          </w:p>
        </w:tc>
        <w:tc>
          <w:tcPr>
            <w:tcW w:w="1878" w:type="pct"/>
            <w:tcBorders>
              <w:top w:val="single" w:sz="2" w:space="0" w:color="auto"/>
              <w:left w:val="nil"/>
              <w:bottom w:val="single" w:sz="2" w:space="0" w:color="auto"/>
              <w:right w:val="nil"/>
            </w:tcBorders>
            <w:shd w:val="clear" w:color="auto" w:fill="auto"/>
            <w:vAlign w:val="bottom"/>
          </w:tcPr>
          <w:p w14:paraId="5739D0DA" w14:textId="77777777" w:rsidR="00647C6B" w:rsidRPr="00A058B6" w:rsidRDefault="00647C6B" w:rsidP="009C0D79">
            <w:pPr>
              <w:pStyle w:val="Tabletext"/>
            </w:pPr>
            <w:r w:rsidRPr="00A058B6">
              <w:t>0</w:t>
            </w:r>
            <w:r w:rsidR="00D7157D">
              <w:t>.</w:t>
            </w:r>
            <w:r w:rsidRPr="00A058B6">
              <w:t>859</w:t>
            </w:r>
          </w:p>
        </w:tc>
      </w:tr>
      <w:tr w:rsidR="00647C6B" w:rsidRPr="00A058B6" w14:paraId="4D8BE0B8" w14:textId="77777777" w:rsidTr="00357C05">
        <w:trPr>
          <w:trHeight w:val="245"/>
          <w:jc w:val="right"/>
        </w:trPr>
        <w:tc>
          <w:tcPr>
            <w:tcW w:w="1705" w:type="pct"/>
          </w:tcPr>
          <w:p w14:paraId="1607DA6E"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46536230" w14:textId="77777777" w:rsidR="00647C6B" w:rsidRPr="00A058B6" w:rsidRDefault="00647C6B" w:rsidP="009C0D79">
            <w:pPr>
              <w:pStyle w:val="Tabletext"/>
            </w:pPr>
            <w:r w:rsidRPr="00A058B6">
              <w:t>2</w:t>
            </w:r>
            <w:r w:rsidR="00D7157D">
              <w:t>.</w:t>
            </w:r>
            <w:r w:rsidRPr="00A058B6">
              <w:t>206</w:t>
            </w:r>
          </w:p>
        </w:tc>
        <w:tc>
          <w:tcPr>
            <w:tcW w:w="1878" w:type="pct"/>
            <w:tcBorders>
              <w:top w:val="single" w:sz="2" w:space="0" w:color="auto"/>
              <w:left w:val="nil"/>
              <w:bottom w:val="single" w:sz="2" w:space="0" w:color="auto"/>
              <w:right w:val="nil"/>
            </w:tcBorders>
            <w:shd w:val="clear" w:color="auto" w:fill="auto"/>
            <w:vAlign w:val="bottom"/>
          </w:tcPr>
          <w:p w14:paraId="07EA9612" w14:textId="77777777" w:rsidR="00647C6B" w:rsidRPr="00A058B6" w:rsidRDefault="00647C6B" w:rsidP="009C0D79">
            <w:pPr>
              <w:pStyle w:val="Tabletext"/>
            </w:pPr>
            <w:r w:rsidRPr="00A058B6">
              <w:t>0</w:t>
            </w:r>
            <w:r w:rsidR="00D7157D">
              <w:t>.</w:t>
            </w:r>
            <w:r w:rsidRPr="00A058B6">
              <w:t>791</w:t>
            </w:r>
          </w:p>
        </w:tc>
      </w:tr>
      <w:tr w:rsidR="00647C6B" w:rsidRPr="00A058B6" w14:paraId="77220DB9" w14:textId="77777777" w:rsidTr="00357C05">
        <w:trPr>
          <w:trHeight w:val="245"/>
          <w:jc w:val="right"/>
        </w:trPr>
        <w:tc>
          <w:tcPr>
            <w:tcW w:w="1705" w:type="pct"/>
          </w:tcPr>
          <w:p w14:paraId="0A38C4D2"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3EE354D3" w14:textId="77777777" w:rsidR="00647C6B" w:rsidRPr="00A058B6" w:rsidRDefault="00647C6B" w:rsidP="009C0D79">
            <w:pPr>
              <w:pStyle w:val="Tabletext"/>
            </w:pPr>
            <w:r w:rsidRPr="00A058B6">
              <w:t>2</w:t>
            </w:r>
            <w:r w:rsidR="00D7157D">
              <w:t>.</w:t>
            </w:r>
            <w:r w:rsidRPr="00A058B6">
              <w:t>118</w:t>
            </w:r>
          </w:p>
        </w:tc>
        <w:tc>
          <w:tcPr>
            <w:tcW w:w="1878" w:type="pct"/>
            <w:tcBorders>
              <w:top w:val="single" w:sz="2" w:space="0" w:color="auto"/>
              <w:left w:val="nil"/>
              <w:bottom w:val="single" w:sz="2" w:space="0" w:color="auto"/>
              <w:right w:val="nil"/>
            </w:tcBorders>
            <w:shd w:val="clear" w:color="auto" w:fill="auto"/>
            <w:vAlign w:val="bottom"/>
          </w:tcPr>
          <w:p w14:paraId="323A06C2" w14:textId="77777777" w:rsidR="00647C6B" w:rsidRPr="00A058B6" w:rsidRDefault="00647C6B" w:rsidP="009C0D79">
            <w:pPr>
              <w:pStyle w:val="Tabletext"/>
            </w:pPr>
            <w:r w:rsidRPr="00A058B6">
              <w:t>0</w:t>
            </w:r>
            <w:r w:rsidR="00D7157D">
              <w:t>.</w:t>
            </w:r>
            <w:r w:rsidRPr="00A058B6">
              <w:t>723</w:t>
            </w:r>
          </w:p>
        </w:tc>
      </w:tr>
      <w:tr w:rsidR="00647C6B" w:rsidRPr="00A058B6" w14:paraId="2964BF7D" w14:textId="77777777" w:rsidTr="00357C05">
        <w:trPr>
          <w:trHeight w:val="245"/>
          <w:jc w:val="right"/>
        </w:trPr>
        <w:tc>
          <w:tcPr>
            <w:tcW w:w="1705" w:type="pct"/>
          </w:tcPr>
          <w:p w14:paraId="70757CD2"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664285FD" w14:textId="77777777" w:rsidR="00647C6B" w:rsidRPr="00A058B6" w:rsidRDefault="00647C6B" w:rsidP="009C0D79">
            <w:pPr>
              <w:pStyle w:val="Tabletext"/>
            </w:pPr>
            <w:r w:rsidRPr="00A058B6">
              <w:t>2</w:t>
            </w:r>
            <w:r w:rsidR="00D7157D">
              <w:t>.</w:t>
            </w:r>
            <w:r w:rsidRPr="00A058B6">
              <w:t>029</w:t>
            </w:r>
          </w:p>
        </w:tc>
        <w:tc>
          <w:tcPr>
            <w:tcW w:w="1878" w:type="pct"/>
            <w:tcBorders>
              <w:top w:val="single" w:sz="2" w:space="0" w:color="auto"/>
              <w:left w:val="nil"/>
              <w:bottom w:val="single" w:sz="2" w:space="0" w:color="auto"/>
              <w:right w:val="nil"/>
            </w:tcBorders>
            <w:shd w:val="clear" w:color="auto" w:fill="auto"/>
            <w:vAlign w:val="bottom"/>
          </w:tcPr>
          <w:p w14:paraId="211B24F0" w14:textId="77777777" w:rsidR="00647C6B" w:rsidRPr="00A058B6" w:rsidRDefault="00647C6B" w:rsidP="009C0D79">
            <w:pPr>
              <w:pStyle w:val="Tabletext"/>
            </w:pPr>
            <w:r w:rsidRPr="00A058B6">
              <w:t>0</w:t>
            </w:r>
            <w:r w:rsidR="00D7157D">
              <w:t>.</w:t>
            </w:r>
            <w:r w:rsidRPr="00A058B6">
              <w:t>656</w:t>
            </w:r>
          </w:p>
        </w:tc>
      </w:tr>
      <w:tr w:rsidR="00647C6B" w:rsidRPr="00A058B6" w14:paraId="57739E8B" w14:textId="77777777" w:rsidTr="00357C05">
        <w:trPr>
          <w:trHeight w:val="245"/>
          <w:jc w:val="right"/>
        </w:trPr>
        <w:tc>
          <w:tcPr>
            <w:tcW w:w="1705" w:type="pct"/>
          </w:tcPr>
          <w:p w14:paraId="1912F003"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068E4F27" w14:textId="77777777" w:rsidR="00647C6B" w:rsidRPr="00A058B6" w:rsidRDefault="00647C6B" w:rsidP="009C0D79">
            <w:pPr>
              <w:pStyle w:val="Tabletext"/>
            </w:pPr>
            <w:r w:rsidRPr="00A058B6">
              <w:t>1</w:t>
            </w:r>
            <w:r w:rsidR="00D7157D">
              <w:t>.</w:t>
            </w:r>
            <w:r w:rsidRPr="00A058B6">
              <w:t>941</w:t>
            </w:r>
          </w:p>
        </w:tc>
        <w:tc>
          <w:tcPr>
            <w:tcW w:w="1878" w:type="pct"/>
            <w:tcBorders>
              <w:top w:val="single" w:sz="2" w:space="0" w:color="auto"/>
              <w:left w:val="nil"/>
              <w:bottom w:val="single" w:sz="2" w:space="0" w:color="auto"/>
              <w:right w:val="nil"/>
            </w:tcBorders>
            <w:shd w:val="clear" w:color="auto" w:fill="auto"/>
            <w:vAlign w:val="bottom"/>
          </w:tcPr>
          <w:p w14:paraId="1C7F3727" w14:textId="77777777" w:rsidR="00647C6B" w:rsidRPr="00A058B6" w:rsidRDefault="00647C6B" w:rsidP="009C0D79">
            <w:pPr>
              <w:pStyle w:val="Tabletext"/>
            </w:pPr>
            <w:r w:rsidRPr="00A058B6">
              <w:t>0</w:t>
            </w:r>
            <w:r w:rsidR="00D7157D">
              <w:t>.</w:t>
            </w:r>
            <w:r w:rsidRPr="00A058B6">
              <w:t>588</w:t>
            </w:r>
          </w:p>
        </w:tc>
      </w:tr>
      <w:tr w:rsidR="00647C6B" w:rsidRPr="00A058B6" w14:paraId="625DFD1D" w14:textId="77777777" w:rsidTr="00357C05">
        <w:trPr>
          <w:trHeight w:val="245"/>
          <w:jc w:val="right"/>
        </w:trPr>
        <w:tc>
          <w:tcPr>
            <w:tcW w:w="1705" w:type="pct"/>
          </w:tcPr>
          <w:p w14:paraId="0996305D"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61CA088B" w14:textId="77777777" w:rsidR="00647C6B" w:rsidRPr="00A058B6" w:rsidRDefault="00647C6B" w:rsidP="009C0D79">
            <w:pPr>
              <w:pStyle w:val="Tabletext"/>
            </w:pPr>
            <w:r w:rsidRPr="00A058B6">
              <w:t>1</w:t>
            </w:r>
            <w:r w:rsidR="00D7157D">
              <w:t>.</w:t>
            </w:r>
            <w:r w:rsidRPr="00A058B6">
              <w:t>853</w:t>
            </w:r>
          </w:p>
        </w:tc>
        <w:tc>
          <w:tcPr>
            <w:tcW w:w="1878" w:type="pct"/>
            <w:tcBorders>
              <w:top w:val="single" w:sz="2" w:space="0" w:color="auto"/>
              <w:left w:val="nil"/>
              <w:bottom w:val="single" w:sz="2" w:space="0" w:color="auto"/>
              <w:right w:val="nil"/>
            </w:tcBorders>
            <w:shd w:val="clear" w:color="auto" w:fill="auto"/>
            <w:vAlign w:val="bottom"/>
          </w:tcPr>
          <w:p w14:paraId="1EB6B582" w14:textId="77777777" w:rsidR="00647C6B" w:rsidRPr="00A058B6" w:rsidRDefault="00647C6B" w:rsidP="009C0D79">
            <w:pPr>
              <w:pStyle w:val="Tabletext"/>
            </w:pPr>
            <w:r w:rsidRPr="00A058B6">
              <w:t>0</w:t>
            </w:r>
            <w:r w:rsidR="00D7157D">
              <w:t>.</w:t>
            </w:r>
            <w:r w:rsidRPr="00A058B6">
              <w:t>520</w:t>
            </w:r>
          </w:p>
        </w:tc>
      </w:tr>
      <w:tr w:rsidR="00647C6B" w:rsidRPr="00A058B6" w14:paraId="0D6D03B4" w14:textId="77777777" w:rsidTr="00357C05">
        <w:trPr>
          <w:trHeight w:val="245"/>
          <w:jc w:val="right"/>
        </w:trPr>
        <w:tc>
          <w:tcPr>
            <w:tcW w:w="1705" w:type="pct"/>
          </w:tcPr>
          <w:p w14:paraId="4AC426EA"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6215AFA1" w14:textId="77777777" w:rsidR="00647C6B" w:rsidRPr="00A058B6" w:rsidRDefault="00647C6B" w:rsidP="009C0D79">
            <w:pPr>
              <w:pStyle w:val="Tabletext"/>
            </w:pPr>
            <w:r w:rsidRPr="00A058B6">
              <w:t>1</w:t>
            </w:r>
            <w:r w:rsidR="00D7157D">
              <w:t>.</w:t>
            </w:r>
            <w:r w:rsidRPr="00A058B6">
              <w:t>765</w:t>
            </w:r>
          </w:p>
        </w:tc>
        <w:tc>
          <w:tcPr>
            <w:tcW w:w="1878" w:type="pct"/>
            <w:tcBorders>
              <w:top w:val="single" w:sz="2" w:space="0" w:color="auto"/>
              <w:left w:val="nil"/>
              <w:bottom w:val="single" w:sz="2" w:space="0" w:color="auto"/>
              <w:right w:val="nil"/>
            </w:tcBorders>
            <w:shd w:val="clear" w:color="auto" w:fill="auto"/>
            <w:vAlign w:val="bottom"/>
          </w:tcPr>
          <w:p w14:paraId="74FF9E68" w14:textId="77777777" w:rsidR="00647C6B" w:rsidRPr="00A058B6" w:rsidRDefault="00647C6B" w:rsidP="009C0D79">
            <w:pPr>
              <w:pStyle w:val="Tabletext"/>
            </w:pPr>
            <w:r w:rsidRPr="00A058B6">
              <w:t>0</w:t>
            </w:r>
            <w:r w:rsidR="00D7157D">
              <w:t>.</w:t>
            </w:r>
            <w:r w:rsidRPr="00A058B6">
              <w:t>452</w:t>
            </w:r>
          </w:p>
        </w:tc>
      </w:tr>
      <w:tr w:rsidR="00647C6B" w:rsidRPr="00A058B6" w14:paraId="3E7FB2D8" w14:textId="77777777" w:rsidTr="00357C05">
        <w:trPr>
          <w:trHeight w:val="245"/>
          <w:jc w:val="right"/>
        </w:trPr>
        <w:tc>
          <w:tcPr>
            <w:tcW w:w="1705" w:type="pct"/>
          </w:tcPr>
          <w:p w14:paraId="2A33D70D"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21CDCC37" w14:textId="77777777" w:rsidR="00647C6B" w:rsidRPr="00A058B6" w:rsidRDefault="00647C6B" w:rsidP="009C0D79">
            <w:pPr>
              <w:pStyle w:val="Tabletext"/>
            </w:pPr>
            <w:r w:rsidRPr="00A058B6">
              <w:t>1</w:t>
            </w:r>
            <w:r w:rsidR="00D7157D">
              <w:t>.</w:t>
            </w:r>
            <w:r w:rsidRPr="00A058B6">
              <w:t>500</w:t>
            </w:r>
          </w:p>
        </w:tc>
        <w:tc>
          <w:tcPr>
            <w:tcW w:w="1878" w:type="pct"/>
            <w:tcBorders>
              <w:top w:val="single" w:sz="2" w:space="0" w:color="auto"/>
              <w:left w:val="nil"/>
              <w:bottom w:val="single" w:sz="2" w:space="0" w:color="auto"/>
              <w:right w:val="nil"/>
            </w:tcBorders>
            <w:shd w:val="clear" w:color="auto" w:fill="auto"/>
            <w:vAlign w:val="bottom"/>
          </w:tcPr>
          <w:p w14:paraId="6F202030" w14:textId="77777777" w:rsidR="00647C6B" w:rsidRPr="00A058B6" w:rsidRDefault="00647C6B" w:rsidP="009C0D79">
            <w:pPr>
              <w:pStyle w:val="Tabletext"/>
            </w:pPr>
            <w:r w:rsidRPr="00A058B6">
              <w:t>0</w:t>
            </w:r>
            <w:r w:rsidR="00D7157D">
              <w:t>.</w:t>
            </w:r>
            <w:r w:rsidRPr="00A058B6">
              <w:t>384</w:t>
            </w:r>
          </w:p>
        </w:tc>
      </w:tr>
      <w:tr w:rsidR="00647C6B" w:rsidRPr="00A058B6" w14:paraId="564DACEE" w14:textId="77777777" w:rsidTr="00357C05">
        <w:trPr>
          <w:trHeight w:val="245"/>
          <w:jc w:val="right"/>
        </w:trPr>
        <w:tc>
          <w:tcPr>
            <w:tcW w:w="1705" w:type="pct"/>
          </w:tcPr>
          <w:p w14:paraId="43FCE767"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58463993" w14:textId="77777777" w:rsidR="00647C6B" w:rsidRPr="00A058B6" w:rsidRDefault="00647C6B" w:rsidP="009C0D79">
            <w:pPr>
              <w:pStyle w:val="Tabletext"/>
            </w:pPr>
            <w:r w:rsidRPr="00A058B6">
              <w:t>1</w:t>
            </w:r>
            <w:r w:rsidR="00D7157D">
              <w:t>.</w:t>
            </w:r>
            <w:r w:rsidRPr="00A058B6">
              <w:t>235</w:t>
            </w:r>
          </w:p>
        </w:tc>
        <w:tc>
          <w:tcPr>
            <w:tcW w:w="1878" w:type="pct"/>
            <w:tcBorders>
              <w:top w:val="single" w:sz="2" w:space="0" w:color="auto"/>
              <w:left w:val="nil"/>
              <w:bottom w:val="single" w:sz="2" w:space="0" w:color="auto"/>
              <w:right w:val="nil"/>
            </w:tcBorders>
            <w:shd w:val="clear" w:color="auto" w:fill="auto"/>
            <w:vAlign w:val="bottom"/>
          </w:tcPr>
          <w:p w14:paraId="191BB078" w14:textId="77777777" w:rsidR="00647C6B" w:rsidRPr="00A058B6" w:rsidRDefault="00647C6B" w:rsidP="009C0D79">
            <w:pPr>
              <w:pStyle w:val="Tabletext"/>
            </w:pPr>
            <w:r w:rsidRPr="00A058B6">
              <w:t>0</w:t>
            </w:r>
            <w:r w:rsidR="00D7157D">
              <w:t>.</w:t>
            </w:r>
            <w:r w:rsidRPr="00A058B6">
              <w:t>317</w:t>
            </w:r>
          </w:p>
        </w:tc>
      </w:tr>
      <w:tr w:rsidR="00647C6B" w:rsidRPr="00A058B6" w14:paraId="3634CD66" w14:textId="77777777" w:rsidTr="00357C05">
        <w:trPr>
          <w:trHeight w:val="245"/>
          <w:jc w:val="right"/>
        </w:trPr>
        <w:tc>
          <w:tcPr>
            <w:tcW w:w="1705" w:type="pct"/>
          </w:tcPr>
          <w:p w14:paraId="7CF00F48"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208741C8" w14:textId="77777777" w:rsidR="00647C6B" w:rsidRPr="00A058B6" w:rsidRDefault="00647C6B" w:rsidP="009C0D79">
            <w:pPr>
              <w:pStyle w:val="Tabletext"/>
            </w:pPr>
            <w:r w:rsidRPr="00A058B6">
              <w:t>0</w:t>
            </w:r>
            <w:r w:rsidR="00D7157D">
              <w:t>.</w:t>
            </w:r>
            <w:r w:rsidRPr="00A058B6">
              <w:t>971</w:t>
            </w:r>
          </w:p>
        </w:tc>
        <w:tc>
          <w:tcPr>
            <w:tcW w:w="1878" w:type="pct"/>
            <w:tcBorders>
              <w:top w:val="single" w:sz="2" w:space="0" w:color="auto"/>
              <w:left w:val="nil"/>
              <w:bottom w:val="single" w:sz="2" w:space="0" w:color="auto"/>
              <w:right w:val="nil"/>
            </w:tcBorders>
            <w:shd w:val="clear" w:color="auto" w:fill="auto"/>
            <w:vAlign w:val="bottom"/>
          </w:tcPr>
          <w:p w14:paraId="7FF35C9C" w14:textId="77777777" w:rsidR="00647C6B" w:rsidRPr="00A058B6" w:rsidRDefault="00647C6B" w:rsidP="009C0D79">
            <w:pPr>
              <w:pStyle w:val="Tabletext"/>
            </w:pPr>
            <w:r w:rsidRPr="00A058B6">
              <w:t>0</w:t>
            </w:r>
            <w:r w:rsidR="00D7157D">
              <w:t>.</w:t>
            </w:r>
            <w:r w:rsidRPr="00A058B6">
              <w:t>249</w:t>
            </w:r>
          </w:p>
        </w:tc>
      </w:tr>
      <w:tr w:rsidR="00647C6B" w:rsidRPr="00A058B6" w14:paraId="60DC358F" w14:textId="77777777" w:rsidTr="00357C05">
        <w:trPr>
          <w:trHeight w:val="245"/>
          <w:jc w:val="right"/>
        </w:trPr>
        <w:tc>
          <w:tcPr>
            <w:tcW w:w="1705" w:type="pct"/>
            <w:tcBorders>
              <w:bottom w:val="single" w:sz="4" w:space="0" w:color="auto"/>
            </w:tcBorders>
          </w:tcPr>
          <w:p w14:paraId="22B89E4B"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1F9D6DBA" w14:textId="77777777" w:rsidR="00647C6B" w:rsidRPr="00A058B6" w:rsidRDefault="00647C6B" w:rsidP="009C0D79">
            <w:pPr>
              <w:pStyle w:val="Tabletext"/>
            </w:pPr>
            <w:r w:rsidRPr="00A058B6">
              <w:t>0</w:t>
            </w:r>
            <w:r w:rsidR="00D7157D">
              <w:t>.</w:t>
            </w:r>
            <w:r w:rsidRPr="00A058B6">
              <w:t>706</w:t>
            </w:r>
          </w:p>
        </w:tc>
        <w:tc>
          <w:tcPr>
            <w:tcW w:w="1878" w:type="pct"/>
            <w:tcBorders>
              <w:top w:val="single" w:sz="2" w:space="0" w:color="auto"/>
              <w:left w:val="nil"/>
              <w:bottom w:val="single" w:sz="2" w:space="0" w:color="auto"/>
              <w:right w:val="nil"/>
            </w:tcBorders>
            <w:shd w:val="clear" w:color="auto" w:fill="auto"/>
            <w:vAlign w:val="bottom"/>
          </w:tcPr>
          <w:p w14:paraId="7587412C" w14:textId="77777777" w:rsidR="00647C6B" w:rsidRPr="00A058B6" w:rsidRDefault="00647C6B" w:rsidP="009C0D79">
            <w:pPr>
              <w:pStyle w:val="Tabletext"/>
            </w:pPr>
            <w:r w:rsidRPr="00A058B6">
              <w:t>0</w:t>
            </w:r>
            <w:r w:rsidR="00D7157D">
              <w:t>.</w:t>
            </w:r>
            <w:r w:rsidRPr="00A058B6">
              <w:t>181</w:t>
            </w:r>
          </w:p>
        </w:tc>
      </w:tr>
      <w:tr w:rsidR="00647C6B" w:rsidRPr="00A058B6" w14:paraId="2CABFF79" w14:textId="77777777" w:rsidTr="00357C05">
        <w:trPr>
          <w:trHeight w:val="245"/>
          <w:jc w:val="right"/>
        </w:trPr>
        <w:tc>
          <w:tcPr>
            <w:tcW w:w="1705" w:type="pct"/>
            <w:tcBorders>
              <w:top w:val="single" w:sz="4" w:space="0" w:color="auto"/>
              <w:bottom w:val="single" w:sz="12" w:space="0" w:color="auto"/>
            </w:tcBorders>
          </w:tcPr>
          <w:p w14:paraId="7AFFA376"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3C2ED104" w14:textId="77777777" w:rsidR="00647C6B" w:rsidRPr="00A058B6" w:rsidRDefault="00647C6B" w:rsidP="009C0D79">
            <w:pPr>
              <w:pStyle w:val="Tabletext"/>
            </w:pPr>
            <w:r w:rsidRPr="00A058B6">
              <w:t>0</w:t>
            </w:r>
            <w:r w:rsidR="00D7157D">
              <w:t>.</w:t>
            </w:r>
            <w:r w:rsidRPr="00A058B6">
              <w:t>441</w:t>
            </w:r>
          </w:p>
        </w:tc>
        <w:tc>
          <w:tcPr>
            <w:tcW w:w="1878" w:type="pct"/>
            <w:tcBorders>
              <w:top w:val="single" w:sz="2" w:space="0" w:color="auto"/>
              <w:left w:val="nil"/>
              <w:bottom w:val="single" w:sz="12" w:space="0" w:color="auto"/>
              <w:right w:val="nil"/>
            </w:tcBorders>
            <w:shd w:val="clear" w:color="auto" w:fill="auto"/>
            <w:vAlign w:val="bottom"/>
          </w:tcPr>
          <w:p w14:paraId="6B1556B3" w14:textId="77777777" w:rsidR="00647C6B" w:rsidRPr="00A058B6" w:rsidRDefault="00647C6B" w:rsidP="009C0D79">
            <w:pPr>
              <w:pStyle w:val="Tabletext"/>
            </w:pPr>
            <w:r w:rsidRPr="00A058B6">
              <w:t>0</w:t>
            </w:r>
            <w:r w:rsidR="00D7157D">
              <w:t>.</w:t>
            </w:r>
            <w:r w:rsidRPr="00A058B6">
              <w:t>113</w:t>
            </w:r>
          </w:p>
        </w:tc>
      </w:tr>
    </w:tbl>
    <w:p w14:paraId="5D7494E7" w14:textId="069590AF" w:rsidR="00647C6B" w:rsidRPr="00A058B6" w:rsidRDefault="00D7157D" w:rsidP="00647C6B">
      <w:pPr>
        <w:pStyle w:val="ActHead5"/>
      </w:pPr>
      <w:bookmarkStart w:id="249" w:name="_Toc188350727"/>
      <w:r w:rsidRPr="00423C34">
        <w:rPr>
          <w:rStyle w:val="CharSectno"/>
        </w:rPr>
        <w:t>11</w:t>
      </w:r>
      <w:r w:rsidR="00647C6B" w:rsidRPr="00A058B6">
        <w:t xml:space="preserve">  Valuation factors—no guarantee period—pension indexed at 3%</w:t>
      </w:r>
      <w:bookmarkEnd w:id="249"/>
    </w:p>
    <w:p w14:paraId="5C815ADA"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69873D7A" w14:textId="77777777" w:rsidR="00647C6B" w:rsidRPr="00A058B6" w:rsidRDefault="00647C6B" w:rsidP="00647C6B">
      <w:pPr>
        <w:pStyle w:val="paragraph"/>
      </w:pPr>
      <w:r w:rsidRPr="00A058B6">
        <w:tab/>
        <w:t>(a)</w:t>
      </w:r>
      <w:r w:rsidRPr="00A058B6">
        <w:tab/>
        <w:t>has no guarantee period; and</w:t>
      </w:r>
    </w:p>
    <w:p w14:paraId="044E5AD3" w14:textId="77777777" w:rsidR="00647C6B" w:rsidRPr="00A058B6" w:rsidRDefault="00647C6B" w:rsidP="00647C6B">
      <w:pPr>
        <w:pStyle w:val="paragraph"/>
      </w:pPr>
      <w:r w:rsidRPr="00A058B6">
        <w:tab/>
        <w:t>(b)</w:t>
      </w:r>
      <w:r w:rsidRPr="00A058B6">
        <w:tab/>
        <w:t>is indexed at 3%</w:t>
      </w:r>
      <w:r w:rsidR="00D7157D">
        <w:t>.</w:t>
      </w:r>
    </w:p>
    <w:p w14:paraId="4CFEFA89"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76"/>
        <w:gridCol w:w="3102"/>
      </w:tblGrid>
      <w:tr w:rsidR="00647C6B" w:rsidRPr="00A058B6" w14:paraId="5F6CFE5D" w14:textId="77777777" w:rsidTr="00963115">
        <w:trPr>
          <w:cantSplit/>
          <w:trHeight w:val="375"/>
          <w:tblHeader/>
          <w:jc w:val="right"/>
        </w:trPr>
        <w:tc>
          <w:tcPr>
            <w:tcW w:w="1705" w:type="pct"/>
            <w:vMerge w:val="restart"/>
            <w:tcBorders>
              <w:top w:val="single" w:sz="12" w:space="0" w:color="auto"/>
              <w:bottom w:val="single" w:sz="12" w:space="0" w:color="auto"/>
            </w:tcBorders>
          </w:tcPr>
          <w:p w14:paraId="6CDE4836"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268535C8" w14:textId="77777777" w:rsidR="00647C6B" w:rsidRPr="00A058B6" w:rsidRDefault="00647C6B" w:rsidP="00963115">
            <w:pPr>
              <w:pStyle w:val="TableHeading"/>
              <w:rPr>
                <w:snapToGrid w:val="0"/>
              </w:rPr>
            </w:pPr>
            <w:r w:rsidRPr="00A058B6">
              <w:rPr>
                <w:snapToGrid w:val="0"/>
              </w:rPr>
              <w:t>Pension valuation factors</w:t>
            </w:r>
            <w:r w:rsidRPr="00A058B6">
              <w:rPr>
                <w:snapToGrid w:val="0"/>
              </w:rPr>
              <w:br/>
              <w:t>No guarantee period—pension indexed at 3%</w:t>
            </w:r>
          </w:p>
        </w:tc>
      </w:tr>
      <w:tr w:rsidR="00647C6B" w:rsidRPr="00A058B6" w14:paraId="356EF432" w14:textId="77777777" w:rsidTr="00963115">
        <w:trPr>
          <w:cantSplit/>
          <w:trHeight w:val="40"/>
          <w:tblHeader/>
          <w:jc w:val="right"/>
        </w:trPr>
        <w:tc>
          <w:tcPr>
            <w:tcW w:w="1705" w:type="pct"/>
            <w:vMerge/>
            <w:tcBorders>
              <w:top w:val="single" w:sz="4" w:space="0" w:color="auto"/>
              <w:bottom w:val="single" w:sz="12" w:space="0" w:color="auto"/>
            </w:tcBorders>
          </w:tcPr>
          <w:p w14:paraId="73672547" w14:textId="77777777" w:rsidR="00647C6B" w:rsidRPr="00A058B6" w:rsidRDefault="00647C6B" w:rsidP="00963115">
            <w:pPr>
              <w:pStyle w:val="TableHeading"/>
              <w:rPr>
                <w:snapToGrid w:val="0"/>
              </w:rPr>
            </w:pPr>
          </w:p>
        </w:tc>
        <w:tc>
          <w:tcPr>
            <w:tcW w:w="1429" w:type="pct"/>
            <w:tcBorders>
              <w:top w:val="single" w:sz="4" w:space="0" w:color="auto"/>
              <w:bottom w:val="single" w:sz="12" w:space="0" w:color="auto"/>
            </w:tcBorders>
          </w:tcPr>
          <w:p w14:paraId="570DF96C"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4E267BFA" w14:textId="77777777" w:rsidR="00647C6B" w:rsidRPr="00A058B6" w:rsidRDefault="00647C6B" w:rsidP="00963115">
            <w:pPr>
              <w:pStyle w:val="TableHeading"/>
              <w:rPr>
                <w:snapToGrid w:val="0"/>
              </w:rPr>
            </w:pPr>
            <w:r w:rsidRPr="00A058B6">
              <w:rPr>
                <w:snapToGrid w:val="0"/>
              </w:rPr>
              <w:t>Female</w:t>
            </w:r>
          </w:p>
        </w:tc>
      </w:tr>
      <w:tr w:rsidR="00647C6B" w:rsidRPr="00A058B6" w14:paraId="144F4F38" w14:textId="77777777" w:rsidTr="00357C05">
        <w:trPr>
          <w:trHeight w:val="245"/>
          <w:jc w:val="right"/>
        </w:trPr>
        <w:tc>
          <w:tcPr>
            <w:tcW w:w="1705" w:type="pct"/>
            <w:tcBorders>
              <w:top w:val="single" w:sz="12" w:space="0" w:color="auto"/>
            </w:tcBorders>
          </w:tcPr>
          <w:p w14:paraId="7C9AFBDA"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60BCC44B" w14:textId="77777777" w:rsidR="00647C6B" w:rsidRPr="00A058B6" w:rsidRDefault="00647C6B" w:rsidP="009C0D79">
            <w:pPr>
              <w:pStyle w:val="Tabletext"/>
            </w:pPr>
            <w:r w:rsidRPr="00A058B6">
              <w:t>21</w:t>
            </w:r>
            <w:r w:rsidR="00D7157D">
              <w:t>.</w:t>
            </w:r>
            <w:r w:rsidRPr="00A058B6">
              <w:t>0632</w:t>
            </w:r>
          </w:p>
        </w:tc>
        <w:tc>
          <w:tcPr>
            <w:tcW w:w="1866" w:type="pct"/>
            <w:tcBorders>
              <w:top w:val="single" w:sz="12" w:space="0" w:color="auto"/>
              <w:left w:val="nil"/>
              <w:bottom w:val="single" w:sz="2" w:space="0" w:color="auto"/>
              <w:right w:val="nil"/>
            </w:tcBorders>
            <w:shd w:val="clear" w:color="auto" w:fill="auto"/>
            <w:vAlign w:val="center"/>
          </w:tcPr>
          <w:p w14:paraId="44C352E1" w14:textId="77777777" w:rsidR="00647C6B" w:rsidRPr="00A058B6" w:rsidRDefault="00647C6B" w:rsidP="009C0D79">
            <w:pPr>
              <w:pStyle w:val="Tabletext"/>
            </w:pPr>
            <w:r w:rsidRPr="00A058B6">
              <w:t>22</w:t>
            </w:r>
            <w:r w:rsidR="00D7157D">
              <w:t>.</w:t>
            </w:r>
            <w:r w:rsidRPr="00A058B6">
              <w:t>0008</w:t>
            </w:r>
          </w:p>
        </w:tc>
      </w:tr>
      <w:tr w:rsidR="00647C6B" w:rsidRPr="00A058B6" w14:paraId="79CBCEA4" w14:textId="77777777" w:rsidTr="00357C05">
        <w:trPr>
          <w:trHeight w:val="245"/>
          <w:jc w:val="right"/>
        </w:trPr>
        <w:tc>
          <w:tcPr>
            <w:tcW w:w="1705" w:type="pct"/>
          </w:tcPr>
          <w:p w14:paraId="419EC3C7"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02C9781F" w14:textId="77777777" w:rsidR="00647C6B" w:rsidRPr="00A058B6" w:rsidRDefault="00647C6B" w:rsidP="009C0D79">
            <w:pPr>
              <w:pStyle w:val="Tabletext"/>
            </w:pPr>
            <w:r w:rsidRPr="00A058B6">
              <w:t>20</w:t>
            </w:r>
            <w:r w:rsidR="00D7157D">
              <w:t>.</w:t>
            </w:r>
            <w:r w:rsidRPr="00A058B6">
              <w:t>6771</w:t>
            </w:r>
          </w:p>
        </w:tc>
        <w:tc>
          <w:tcPr>
            <w:tcW w:w="1866" w:type="pct"/>
            <w:tcBorders>
              <w:top w:val="single" w:sz="2" w:space="0" w:color="auto"/>
              <w:left w:val="nil"/>
              <w:bottom w:val="single" w:sz="2" w:space="0" w:color="auto"/>
              <w:right w:val="nil"/>
            </w:tcBorders>
            <w:shd w:val="clear" w:color="auto" w:fill="auto"/>
            <w:vAlign w:val="center"/>
          </w:tcPr>
          <w:p w14:paraId="0611F40A" w14:textId="77777777" w:rsidR="00647C6B" w:rsidRPr="00A058B6" w:rsidRDefault="00647C6B" w:rsidP="009C0D79">
            <w:pPr>
              <w:pStyle w:val="Tabletext"/>
            </w:pPr>
            <w:r w:rsidRPr="00A058B6">
              <w:t>21</w:t>
            </w:r>
            <w:r w:rsidR="00D7157D">
              <w:t>.</w:t>
            </w:r>
            <w:r w:rsidRPr="00A058B6">
              <w:t>6292</w:t>
            </w:r>
          </w:p>
        </w:tc>
      </w:tr>
      <w:tr w:rsidR="00647C6B" w:rsidRPr="00A058B6" w14:paraId="0F193029" w14:textId="77777777" w:rsidTr="00357C05">
        <w:trPr>
          <w:trHeight w:val="245"/>
          <w:jc w:val="right"/>
        </w:trPr>
        <w:tc>
          <w:tcPr>
            <w:tcW w:w="1705" w:type="pct"/>
          </w:tcPr>
          <w:p w14:paraId="1AC36474"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54F17CA6" w14:textId="77777777" w:rsidR="00647C6B" w:rsidRPr="00A058B6" w:rsidRDefault="00647C6B" w:rsidP="009C0D79">
            <w:pPr>
              <w:pStyle w:val="Tabletext"/>
            </w:pPr>
            <w:r w:rsidRPr="00A058B6">
              <w:t>20</w:t>
            </w:r>
            <w:r w:rsidR="00D7157D">
              <w:t>.</w:t>
            </w:r>
            <w:r w:rsidRPr="00A058B6">
              <w:t>2801</w:t>
            </w:r>
          </w:p>
        </w:tc>
        <w:tc>
          <w:tcPr>
            <w:tcW w:w="1866" w:type="pct"/>
            <w:tcBorders>
              <w:top w:val="single" w:sz="2" w:space="0" w:color="auto"/>
              <w:left w:val="nil"/>
              <w:bottom w:val="single" w:sz="2" w:space="0" w:color="auto"/>
              <w:right w:val="nil"/>
            </w:tcBorders>
            <w:shd w:val="clear" w:color="auto" w:fill="auto"/>
            <w:vAlign w:val="center"/>
          </w:tcPr>
          <w:p w14:paraId="4F47C339" w14:textId="77777777" w:rsidR="00647C6B" w:rsidRPr="00A058B6" w:rsidRDefault="00647C6B" w:rsidP="009C0D79">
            <w:pPr>
              <w:pStyle w:val="Tabletext"/>
            </w:pPr>
            <w:r w:rsidRPr="00A058B6">
              <w:t>21</w:t>
            </w:r>
            <w:r w:rsidR="00D7157D">
              <w:t>.</w:t>
            </w:r>
            <w:r w:rsidRPr="00A058B6">
              <w:t>2485</w:t>
            </w:r>
          </w:p>
        </w:tc>
      </w:tr>
      <w:tr w:rsidR="00647C6B" w:rsidRPr="00A058B6" w14:paraId="02E35FEA" w14:textId="77777777" w:rsidTr="00357C05">
        <w:trPr>
          <w:trHeight w:val="245"/>
          <w:jc w:val="right"/>
        </w:trPr>
        <w:tc>
          <w:tcPr>
            <w:tcW w:w="1705" w:type="pct"/>
          </w:tcPr>
          <w:p w14:paraId="54594F30"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013FCA6B" w14:textId="77777777" w:rsidR="00647C6B" w:rsidRPr="00A058B6" w:rsidRDefault="00647C6B" w:rsidP="009C0D79">
            <w:pPr>
              <w:pStyle w:val="Tabletext"/>
            </w:pPr>
            <w:r w:rsidRPr="00A058B6">
              <w:t>19</w:t>
            </w:r>
            <w:r w:rsidR="00D7157D">
              <w:t>.</w:t>
            </w:r>
            <w:r w:rsidRPr="00A058B6">
              <w:t>8718</w:t>
            </w:r>
          </w:p>
        </w:tc>
        <w:tc>
          <w:tcPr>
            <w:tcW w:w="1866" w:type="pct"/>
            <w:tcBorders>
              <w:top w:val="single" w:sz="2" w:space="0" w:color="auto"/>
              <w:left w:val="nil"/>
              <w:bottom w:val="single" w:sz="2" w:space="0" w:color="auto"/>
              <w:right w:val="nil"/>
            </w:tcBorders>
            <w:shd w:val="clear" w:color="auto" w:fill="auto"/>
            <w:vAlign w:val="center"/>
          </w:tcPr>
          <w:p w14:paraId="07452685" w14:textId="77777777" w:rsidR="00647C6B" w:rsidRPr="00A058B6" w:rsidRDefault="00647C6B" w:rsidP="009C0D79">
            <w:pPr>
              <w:pStyle w:val="Tabletext"/>
            </w:pPr>
            <w:r w:rsidRPr="00A058B6">
              <w:t>20</w:t>
            </w:r>
            <w:r w:rsidR="00D7157D">
              <w:t>.</w:t>
            </w:r>
            <w:r w:rsidRPr="00A058B6">
              <w:t>8574</w:t>
            </w:r>
          </w:p>
        </w:tc>
      </w:tr>
      <w:tr w:rsidR="00647C6B" w:rsidRPr="00A058B6" w14:paraId="255E05B0" w14:textId="77777777" w:rsidTr="00357C05">
        <w:trPr>
          <w:trHeight w:val="245"/>
          <w:jc w:val="right"/>
        </w:trPr>
        <w:tc>
          <w:tcPr>
            <w:tcW w:w="1705" w:type="pct"/>
          </w:tcPr>
          <w:p w14:paraId="67E33756"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12CEBD98" w14:textId="77777777" w:rsidR="00647C6B" w:rsidRPr="00A058B6" w:rsidRDefault="00647C6B" w:rsidP="009C0D79">
            <w:pPr>
              <w:pStyle w:val="Tabletext"/>
            </w:pPr>
            <w:r w:rsidRPr="00A058B6">
              <w:t>19</w:t>
            </w:r>
            <w:r w:rsidR="00D7157D">
              <w:t>.</w:t>
            </w:r>
            <w:r w:rsidRPr="00A058B6">
              <w:t>4516</w:t>
            </w:r>
          </w:p>
        </w:tc>
        <w:tc>
          <w:tcPr>
            <w:tcW w:w="1866" w:type="pct"/>
            <w:tcBorders>
              <w:top w:val="single" w:sz="2" w:space="0" w:color="auto"/>
              <w:left w:val="nil"/>
              <w:bottom w:val="single" w:sz="2" w:space="0" w:color="auto"/>
              <w:right w:val="nil"/>
            </w:tcBorders>
            <w:shd w:val="clear" w:color="auto" w:fill="auto"/>
            <w:vAlign w:val="center"/>
          </w:tcPr>
          <w:p w14:paraId="204C2CC3" w14:textId="77777777" w:rsidR="00647C6B" w:rsidRPr="00A058B6" w:rsidRDefault="00647C6B" w:rsidP="009C0D79">
            <w:pPr>
              <w:pStyle w:val="Tabletext"/>
            </w:pPr>
            <w:r w:rsidRPr="00A058B6">
              <w:t>20</w:t>
            </w:r>
            <w:r w:rsidR="00D7157D">
              <w:t>.</w:t>
            </w:r>
            <w:r w:rsidRPr="00A058B6">
              <w:t>4557</w:t>
            </w:r>
          </w:p>
        </w:tc>
      </w:tr>
      <w:tr w:rsidR="00647C6B" w:rsidRPr="00A058B6" w14:paraId="5B615879" w14:textId="77777777" w:rsidTr="00357C05">
        <w:trPr>
          <w:trHeight w:val="245"/>
          <w:jc w:val="right"/>
        </w:trPr>
        <w:tc>
          <w:tcPr>
            <w:tcW w:w="1705" w:type="pct"/>
          </w:tcPr>
          <w:p w14:paraId="230D0A67"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4654E69D" w14:textId="77777777" w:rsidR="00647C6B" w:rsidRPr="00A058B6" w:rsidRDefault="00647C6B" w:rsidP="009C0D79">
            <w:pPr>
              <w:pStyle w:val="Tabletext"/>
            </w:pPr>
            <w:r w:rsidRPr="00A058B6">
              <w:t>19</w:t>
            </w:r>
            <w:r w:rsidR="00D7157D">
              <w:t>.</w:t>
            </w:r>
            <w:r w:rsidRPr="00A058B6">
              <w:t>0197</w:t>
            </w:r>
          </w:p>
        </w:tc>
        <w:tc>
          <w:tcPr>
            <w:tcW w:w="1866" w:type="pct"/>
            <w:tcBorders>
              <w:top w:val="single" w:sz="2" w:space="0" w:color="auto"/>
              <w:left w:val="nil"/>
              <w:bottom w:val="single" w:sz="2" w:space="0" w:color="auto"/>
              <w:right w:val="nil"/>
            </w:tcBorders>
            <w:shd w:val="clear" w:color="auto" w:fill="auto"/>
            <w:vAlign w:val="center"/>
          </w:tcPr>
          <w:p w14:paraId="421FDCAB" w14:textId="77777777" w:rsidR="00647C6B" w:rsidRPr="00A058B6" w:rsidRDefault="00647C6B" w:rsidP="009C0D79">
            <w:pPr>
              <w:pStyle w:val="Tabletext"/>
            </w:pPr>
            <w:r w:rsidRPr="00A058B6">
              <w:t>20</w:t>
            </w:r>
            <w:r w:rsidR="00D7157D">
              <w:t>.</w:t>
            </w:r>
            <w:r w:rsidRPr="00A058B6">
              <w:t>0426</w:t>
            </w:r>
          </w:p>
        </w:tc>
      </w:tr>
      <w:tr w:rsidR="00647C6B" w:rsidRPr="00A058B6" w14:paraId="0B87181E" w14:textId="77777777" w:rsidTr="00357C05">
        <w:trPr>
          <w:trHeight w:val="245"/>
          <w:jc w:val="right"/>
        </w:trPr>
        <w:tc>
          <w:tcPr>
            <w:tcW w:w="1705" w:type="pct"/>
          </w:tcPr>
          <w:p w14:paraId="408BF751"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549BC4B4" w14:textId="77777777" w:rsidR="00647C6B" w:rsidRPr="00A058B6" w:rsidRDefault="00647C6B" w:rsidP="009C0D79">
            <w:pPr>
              <w:pStyle w:val="Tabletext"/>
            </w:pPr>
            <w:r w:rsidRPr="00A058B6">
              <w:t>18</w:t>
            </w:r>
            <w:r w:rsidR="00D7157D">
              <w:t>.</w:t>
            </w:r>
            <w:r w:rsidRPr="00A058B6">
              <w:t>5760</w:t>
            </w:r>
          </w:p>
        </w:tc>
        <w:tc>
          <w:tcPr>
            <w:tcW w:w="1866" w:type="pct"/>
            <w:tcBorders>
              <w:top w:val="single" w:sz="2" w:space="0" w:color="auto"/>
              <w:left w:val="nil"/>
              <w:bottom w:val="single" w:sz="2" w:space="0" w:color="auto"/>
              <w:right w:val="nil"/>
            </w:tcBorders>
            <w:shd w:val="clear" w:color="auto" w:fill="auto"/>
            <w:vAlign w:val="center"/>
          </w:tcPr>
          <w:p w14:paraId="76D604E7" w14:textId="77777777" w:rsidR="00647C6B" w:rsidRPr="00A058B6" w:rsidRDefault="00647C6B" w:rsidP="009C0D79">
            <w:pPr>
              <w:pStyle w:val="Tabletext"/>
            </w:pPr>
            <w:r w:rsidRPr="00A058B6">
              <w:t>19</w:t>
            </w:r>
            <w:r w:rsidR="00D7157D">
              <w:t>.</w:t>
            </w:r>
            <w:r w:rsidRPr="00A058B6">
              <w:t>6174</w:t>
            </w:r>
          </w:p>
        </w:tc>
      </w:tr>
      <w:tr w:rsidR="00647C6B" w:rsidRPr="00A058B6" w14:paraId="32D430BB" w14:textId="77777777" w:rsidTr="00357C05">
        <w:trPr>
          <w:trHeight w:val="245"/>
          <w:jc w:val="right"/>
        </w:trPr>
        <w:tc>
          <w:tcPr>
            <w:tcW w:w="1705" w:type="pct"/>
          </w:tcPr>
          <w:p w14:paraId="58B4F6A9"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3167A157" w14:textId="77777777" w:rsidR="00647C6B" w:rsidRPr="00A058B6" w:rsidRDefault="00647C6B" w:rsidP="009C0D79">
            <w:pPr>
              <w:pStyle w:val="Tabletext"/>
            </w:pPr>
            <w:r w:rsidRPr="00A058B6">
              <w:t>18</w:t>
            </w:r>
            <w:r w:rsidR="00D7157D">
              <w:t>.</w:t>
            </w:r>
            <w:r w:rsidRPr="00A058B6">
              <w:t>1203</w:t>
            </w:r>
          </w:p>
        </w:tc>
        <w:tc>
          <w:tcPr>
            <w:tcW w:w="1866" w:type="pct"/>
            <w:tcBorders>
              <w:top w:val="single" w:sz="2" w:space="0" w:color="auto"/>
              <w:left w:val="nil"/>
              <w:bottom w:val="single" w:sz="2" w:space="0" w:color="auto"/>
              <w:right w:val="nil"/>
            </w:tcBorders>
            <w:shd w:val="clear" w:color="auto" w:fill="auto"/>
            <w:vAlign w:val="center"/>
          </w:tcPr>
          <w:p w14:paraId="6FA54851" w14:textId="77777777" w:rsidR="00647C6B" w:rsidRPr="00A058B6" w:rsidRDefault="00647C6B" w:rsidP="009C0D79">
            <w:pPr>
              <w:pStyle w:val="Tabletext"/>
            </w:pPr>
            <w:r w:rsidRPr="00A058B6">
              <w:t>19</w:t>
            </w:r>
            <w:r w:rsidR="00D7157D">
              <w:t>.</w:t>
            </w:r>
            <w:r w:rsidRPr="00A058B6">
              <w:t>1809</w:t>
            </w:r>
          </w:p>
        </w:tc>
      </w:tr>
      <w:tr w:rsidR="00647C6B" w:rsidRPr="00A058B6" w14:paraId="1B25CEAC" w14:textId="77777777" w:rsidTr="00357C05">
        <w:trPr>
          <w:trHeight w:val="245"/>
          <w:jc w:val="right"/>
        </w:trPr>
        <w:tc>
          <w:tcPr>
            <w:tcW w:w="1705" w:type="pct"/>
          </w:tcPr>
          <w:p w14:paraId="115E3F97"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67BA4C89" w14:textId="77777777" w:rsidR="00647C6B" w:rsidRPr="00A058B6" w:rsidRDefault="00647C6B" w:rsidP="009C0D79">
            <w:pPr>
              <w:pStyle w:val="Tabletext"/>
            </w:pPr>
            <w:r w:rsidRPr="00A058B6">
              <w:t>17</w:t>
            </w:r>
            <w:r w:rsidR="00D7157D">
              <w:t>.</w:t>
            </w:r>
            <w:r w:rsidRPr="00A058B6">
              <w:t>6527</w:t>
            </w:r>
          </w:p>
        </w:tc>
        <w:tc>
          <w:tcPr>
            <w:tcW w:w="1866" w:type="pct"/>
            <w:tcBorders>
              <w:top w:val="single" w:sz="2" w:space="0" w:color="auto"/>
              <w:left w:val="nil"/>
              <w:bottom w:val="single" w:sz="2" w:space="0" w:color="auto"/>
              <w:right w:val="nil"/>
            </w:tcBorders>
            <w:shd w:val="clear" w:color="auto" w:fill="auto"/>
            <w:vAlign w:val="center"/>
          </w:tcPr>
          <w:p w14:paraId="711704F3" w14:textId="77777777" w:rsidR="00647C6B" w:rsidRPr="00A058B6" w:rsidRDefault="00647C6B" w:rsidP="009C0D79">
            <w:pPr>
              <w:pStyle w:val="Tabletext"/>
            </w:pPr>
            <w:r w:rsidRPr="00A058B6">
              <w:t>18</w:t>
            </w:r>
            <w:r w:rsidR="00D7157D">
              <w:t>.</w:t>
            </w:r>
            <w:r w:rsidRPr="00A058B6">
              <w:t>7328</w:t>
            </w:r>
          </w:p>
        </w:tc>
      </w:tr>
      <w:tr w:rsidR="00647C6B" w:rsidRPr="00A058B6" w14:paraId="2510EB42" w14:textId="77777777" w:rsidTr="00357C05">
        <w:trPr>
          <w:trHeight w:val="245"/>
          <w:jc w:val="right"/>
        </w:trPr>
        <w:tc>
          <w:tcPr>
            <w:tcW w:w="1705" w:type="pct"/>
            <w:tcBorders>
              <w:bottom w:val="single" w:sz="4" w:space="0" w:color="auto"/>
            </w:tcBorders>
          </w:tcPr>
          <w:p w14:paraId="147661A5"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1C8CC385" w14:textId="77777777" w:rsidR="00647C6B" w:rsidRPr="00A058B6" w:rsidRDefault="00647C6B" w:rsidP="009C0D79">
            <w:pPr>
              <w:pStyle w:val="Tabletext"/>
            </w:pPr>
            <w:r w:rsidRPr="00A058B6">
              <w:t>17</w:t>
            </w:r>
            <w:r w:rsidR="00D7157D">
              <w:t>.</w:t>
            </w:r>
            <w:r w:rsidRPr="00A058B6">
              <w:t>1728</w:t>
            </w:r>
          </w:p>
        </w:tc>
        <w:tc>
          <w:tcPr>
            <w:tcW w:w="1866" w:type="pct"/>
            <w:tcBorders>
              <w:top w:val="single" w:sz="2" w:space="0" w:color="auto"/>
              <w:left w:val="nil"/>
              <w:bottom w:val="single" w:sz="2" w:space="0" w:color="auto"/>
              <w:right w:val="nil"/>
            </w:tcBorders>
            <w:shd w:val="clear" w:color="auto" w:fill="auto"/>
            <w:vAlign w:val="center"/>
          </w:tcPr>
          <w:p w14:paraId="5F359138" w14:textId="77777777" w:rsidR="00647C6B" w:rsidRPr="00A058B6" w:rsidRDefault="00647C6B" w:rsidP="009C0D79">
            <w:pPr>
              <w:pStyle w:val="Tabletext"/>
            </w:pPr>
            <w:r w:rsidRPr="00A058B6">
              <w:t>18</w:t>
            </w:r>
            <w:r w:rsidR="00D7157D">
              <w:t>.</w:t>
            </w:r>
            <w:r w:rsidRPr="00A058B6">
              <w:t>2729</w:t>
            </w:r>
          </w:p>
        </w:tc>
      </w:tr>
      <w:tr w:rsidR="00647C6B" w:rsidRPr="00A058B6" w14:paraId="1DC51071" w14:textId="77777777" w:rsidTr="00357C05">
        <w:trPr>
          <w:trHeight w:val="245"/>
          <w:jc w:val="right"/>
        </w:trPr>
        <w:tc>
          <w:tcPr>
            <w:tcW w:w="1705" w:type="pct"/>
            <w:tcBorders>
              <w:top w:val="single" w:sz="4" w:space="0" w:color="auto"/>
              <w:bottom w:val="single" w:sz="12" w:space="0" w:color="auto"/>
            </w:tcBorders>
          </w:tcPr>
          <w:p w14:paraId="151E1B9F"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3F1651AB" w14:textId="77777777" w:rsidR="00647C6B" w:rsidRPr="00A058B6" w:rsidRDefault="00647C6B" w:rsidP="009C0D79">
            <w:pPr>
              <w:pStyle w:val="Tabletext"/>
            </w:pPr>
            <w:r w:rsidRPr="00A058B6">
              <w:t>16</w:t>
            </w:r>
            <w:r w:rsidR="00D7157D">
              <w:t>.</w:t>
            </w:r>
            <w:r w:rsidRPr="00A058B6">
              <w:t>6826</w:t>
            </w:r>
          </w:p>
        </w:tc>
        <w:tc>
          <w:tcPr>
            <w:tcW w:w="1866" w:type="pct"/>
            <w:tcBorders>
              <w:top w:val="single" w:sz="2" w:space="0" w:color="auto"/>
              <w:left w:val="nil"/>
              <w:bottom w:val="single" w:sz="12" w:space="0" w:color="auto"/>
              <w:right w:val="nil"/>
            </w:tcBorders>
            <w:shd w:val="clear" w:color="auto" w:fill="auto"/>
            <w:vAlign w:val="center"/>
          </w:tcPr>
          <w:p w14:paraId="5647DBB8" w14:textId="77777777" w:rsidR="00647C6B" w:rsidRPr="00A058B6" w:rsidRDefault="00647C6B" w:rsidP="009C0D79">
            <w:pPr>
              <w:pStyle w:val="Tabletext"/>
            </w:pPr>
            <w:r w:rsidRPr="00A058B6">
              <w:t>17</w:t>
            </w:r>
            <w:r w:rsidR="00D7157D">
              <w:t>.</w:t>
            </w:r>
            <w:r w:rsidRPr="00A058B6">
              <w:t>8030</w:t>
            </w:r>
          </w:p>
        </w:tc>
      </w:tr>
    </w:tbl>
    <w:p w14:paraId="2C14766D"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10D23AC9" w14:textId="77777777" w:rsidTr="00963115">
        <w:trPr>
          <w:cantSplit/>
          <w:trHeight w:val="375"/>
          <w:tblHeader/>
          <w:jc w:val="right"/>
        </w:trPr>
        <w:tc>
          <w:tcPr>
            <w:tcW w:w="1705" w:type="pct"/>
            <w:vMerge w:val="restart"/>
            <w:tcBorders>
              <w:top w:val="single" w:sz="12" w:space="0" w:color="auto"/>
              <w:bottom w:val="single" w:sz="12" w:space="0" w:color="auto"/>
            </w:tcBorders>
          </w:tcPr>
          <w:p w14:paraId="280FEFFE"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0676A630" w14:textId="77777777" w:rsidR="00647C6B" w:rsidRPr="00A058B6" w:rsidRDefault="00647C6B" w:rsidP="00963115">
            <w:pPr>
              <w:pStyle w:val="TableHeading"/>
              <w:rPr>
                <w:snapToGrid w:val="0"/>
              </w:rPr>
            </w:pPr>
            <w:r w:rsidRPr="00A058B6">
              <w:rPr>
                <w:snapToGrid w:val="0"/>
              </w:rPr>
              <w:t>Reversion valuation factors</w:t>
            </w:r>
            <w:r w:rsidRPr="00A058B6">
              <w:rPr>
                <w:snapToGrid w:val="0"/>
              </w:rPr>
              <w:br/>
              <w:t>No guarantee period—pension indexed at 3%</w:t>
            </w:r>
          </w:p>
        </w:tc>
      </w:tr>
      <w:tr w:rsidR="00647C6B" w:rsidRPr="00A058B6" w14:paraId="68AA1B38" w14:textId="77777777" w:rsidTr="00963115">
        <w:trPr>
          <w:cantSplit/>
          <w:trHeight w:val="70"/>
          <w:tblHeader/>
          <w:jc w:val="right"/>
        </w:trPr>
        <w:tc>
          <w:tcPr>
            <w:tcW w:w="1705" w:type="pct"/>
            <w:vMerge/>
            <w:tcBorders>
              <w:top w:val="single" w:sz="4" w:space="0" w:color="auto"/>
              <w:bottom w:val="single" w:sz="12" w:space="0" w:color="auto"/>
            </w:tcBorders>
          </w:tcPr>
          <w:p w14:paraId="6C25DF19"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03ECB720"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2B39EF9D" w14:textId="77777777" w:rsidR="00647C6B" w:rsidRPr="00A058B6" w:rsidRDefault="00647C6B" w:rsidP="00963115">
            <w:pPr>
              <w:pStyle w:val="TableHeading"/>
              <w:rPr>
                <w:snapToGrid w:val="0"/>
              </w:rPr>
            </w:pPr>
            <w:r w:rsidRPr="00A058B6">
              <w:rPr>
                <w:snapToGrid w:val="0"/>
              </w:rPr>
              <w:t>Female</w:t>
            </w:r>
          </w:p>
        </w:tc>
      </w:tr>
      <w:tr w:rsidR="00647C6B" w:rsidRPr="00A058B6" w14:paraId="7573002C" w14:textId="77777777" w:rsidTr="001274A4">
        <w:trPr>
          <w:trHeight w:val="245"/>
          <w:jc w:val="right"/>
        </w:trPr>
        <w:tc>
          <w:tcPr>
            <w:tcW w:w="1705" w:type="pct"/>
            <w:tcBorders>
              <w:top w:val="single" w:sz="12" w:space="0" w:color="auto"/>
            </w:tcBorders>
          </w:tcPr>
          <w:p w14:paraId="60E33498"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076591B9" w14:textId="77777777" w:rsidR="00647C6B" w:rsidRPr="00A058B6" w:rsidRDefault="00647C6B" w:rsidP="009C0D79">
            <w:pPr>
              <w:pStyle w:val="Tabletext"/>
            </w:pPr>
            <w:r w:rsidRPr="00A058B6">
              <w:t>2</w:t>
            </w:r>
            <w:r w:rsidR="00D7157D">
              <w:t>.</w:t>
            </w:r>
            <w:r w:rsidRPr="00A058B6">
              <w:t>432</w:t>
            </w:r>
          </w:p>
        </w:tc>
        <w:tc>
          <w:tcPr>
            <w:tcW w:w="1878" w:type="pct"/>
            <w:tcBorders>
              <w:top w:val="single" w:sz="12" w:space="0" w:color="auto"/>
              <w:left w:val="nil"/>
              <w:bottom w:val="single" w:sz="2" w:space="0" w:color="auto"/>
              <w:right w:val="nil"/>
            </w:tcBorders>
            <w:shd w:val="clear" w:color="auto" w:fill="auto"/>
            <w:vAlign w:val="bottom"/>
          </w:tcPr>
          <w:p w14:paraId="5E942C43" w14:textId="77777777" w:rsidR="00647C6B" w:rsidRPr="00A058B6" w:rsidRDefault="00647C6B" w:rsidP="009C0D79">
            <w:pPr>
              <w:pStyle w:val="Tabletext"/>
            </w:pPr>
            <w:r w:rsidRPr="00A058B6">
              <w:t>1</w:t>
            </w:r>
            <w:r w:rsidR="00D7157D">
              <w:t>.</w:t>
            </w:r>
            <w:r w:rsidRPr="00A058B6">
              <w:t>043</w:t>
            </w:r>
          </w:p>
        </w:tc>
      </w:tr>
      <w:tr w:rsidR="00647C6B" w:rsidRPr="00A058B6" w14:paraId="249D7AB5" w14:textId="77777777" w:rsidTr="001274A4">
        <w:trPr>
          <w:trHeight w:val="245"/>
          <w:jc w:val="right"/>
        </w:trPr>
        <w:tc>
          <w:tcPr>
            <w:tcW w:w="1705" w:type="pct"/>
          </w:tcPr>
          <w:p w14:paraId="57DA7F29"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744D2660" w14:textId="77777777" w:rsidR="00647C6B" w:rsidRPr="00A058B6" w:rsidRDefault="00647C6B" w:rsidP="009C0D79">
            <w:pPr>
              <w:pStyle w:val="Tabletext"/>
            </w:pPr>
            <w:r w:rsidRPr="00A058B6">
              <w:t>2</w:t>
            </w:r>
            <w:r w:rsidR="00D7157D">
              <w:t>.</w:t>
            </w:r>
            <w:r w:rsidRPr="00A058B6">
              <w:t>351</w:t>
            </w:r>
          </w:p>
        </w:tc>
        <w:tc>
          <w:tcPr>
            <w:tcW w:w="1878" w:type="pct"/>
            <w:tcBorders>
              <w:top w:val="single" w:sz="2" w:space="0" w:color="auto"/>
              <w:left w:val="nil"/>
              <w:bottom w:val="single" w:sz="2" w:space="0" w:color="auto"/>
              <w:right w:val="nil"/>
            </w:tcBorders>
            <w:shd w:val="clear" w:color="auto" w:fill="auto"/>
            <w:vAlign w:val="bottom"/>
          </w:tcPr>
          <w:p w14:paraId="4EC632F3" w14:textId="77777777" w:rsidR="00647C6B" w:rsidRPr="00A058B6" w:rsidRDefault="00647C6B" w:rsidP="009C0D79">
            <w:pPr>
              <w:pStyle w:val="Tabletext"/>
            </w:pPr>
            <w:r w:rsidRPr="00A058B6">
              <w:t>0</w:t>
            </w:r>
            <w:r w:rsidR="00D7157D">
              <w:t>.</w:t>
            </w:r>
            <w:r w:rsidRPr="00A058B6">
              <w:t>981</w:t>
            </w:r>
          </w:p>
        </w:tc>
      </w:tr>
      <w:tr w:rsidR="00647C6B" w:rsidRPr="00A058B6" w14:paraId="58769D2E" w14:textId="77777777" w:rsidTr="001274A4">
        <w:trPr>
          <w:trHeight w:val="245"/>
          <w:jc w:val="right"/>
        </w:trPr>
        <w:tc>
          <w:tcPr>
            <w:tcW w:w="1705" w:type="pct"/>
          </w:tcPr>
          <w:p w14:paraId="487930D8"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6C53A60F" w14:textId="77777777" w:rsidR="00647C6B" w:rsidRPr="00A058B6" w:rsidRDefault="00647C6B" w:rsidP="009C0D79">
            <w:pPr>
              <w:pStyle w:val="Tabletext"/>
            </w:pPr>
            <w:r w:rsidRPr="00A058B6">
              <w:t>2</w:t>
            </w:r>
            <w:r w:rsidR="00D7157D">
              <w:t>.</w:t>
            </w:r>
            <w:r w:rsidRPr="00A058B6">
              <w:t>270</w:t>
            </w:r>
          </w:p>
        </w:tc>
        <w:tc>
          <w:tcPr>
            <w:tcW w:w="1878" w:type="pct"/>
            <w:tcBorders>
              <w:top w:val="single" w:sz="2" w:space="0" w:color="auto"/>
              <w:left w:val="nil"/>
              <w:bottom w:val="single" w:sz="2" w:space="0" w:color="auto"/>
              <w:right w:val="nil"/>
            </w:tcBorders>
            <w:shd w:val="clear" w:color="auto" w:fill="auto"/>
            <w:vAlign w:val="bottom"/>
          </w:tcPr>
          <w:p w14:paraId="60167440" w14:textId="77777777" w:rsidR="00647C6B" w:rsidRPr="00A058B6" w:rsidRDefault="00647C6B" w:rsidP="009C0D79">
            <w:pPr>
              <w:pStyle w:val="Tabletext"/>
            </w:pPr>
            <w:r w:rsidRPr="00A058B6">
              <w:t>0</w:t>
            </w:r>
            <w:r w:rsidR="00D7157D">
              <w:t>.</w:t>
            </w:r>
            <w:r w:rsidRPr="00A058B6">
              <w:t>918</w:t>
            </w:r>
          </w:p>
        </w:tc>
      </w:tr>
      <w:tr w:rsidR="00647C6B" w:rsidRPr="00A058B6" w14:paraId="315B2354" w14:textId="77777777" w:rsidTr="001274A4">
        <w:trPr>
          <w:trHeight w:val="245"/>
          <w:jc w:val="right"/>
        </w:trPr>
        <w:tc>
          <w:tcPr>
            <w:tcW w:w="1705" w:type="pct"/>
          </w:tcPr>
          <w:p w14:paraId="5978D70F"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0BDF4321" w14:textId="77777777" w:rsidR="00647C6B" w:rsidRPr="00A058B6" w:rsidRDefault="00647C6B" w:rsidP="009C0D79">
            <w:pPr>
              <w:pStyle w:val="Tabletext"/>
            </w:pPr>
            <w:r w:rsidRPr="00A058B6">
              <w:t>2</w:t>
            </w:r>
            <w:r w:rsidR="00D7157D">
              <w:t>.</w:t>
            </w:r>
            <w:r w:rsidRPr="00A058B6">
              <w:t>189</w:t>
            </w:r>
          </w:p>
        </w:tc>
        <w:tc>
          <w:tcPr>
            <w:tcW w:w="1878" w:type="pct"/>
            <w:tcBorders>
              <w:top w:val="single" w:sz="2" w:space="0" w:color="auto"/>
              <w:left w:val="nil"/>
              <w:bottom w:val="single" w:sz="2" w:space="0" w:color="auto"/>
              <w:right w:val="nil"/>
            </w:tcBorders>
            <w:shd w:val="clear" w:color="auto" w:fill="auto"/>
            <w:vAlign w:val="bottom"/>
          </w:tcPr>
          <w:p w14:paraId="0F1EF2F4" w14:textId="77777777" w:rsidR="00647C6B" w:rsidRPr="00A058B6" w:rsidRDefault="00647C6B" w:rsidP="009C0D79">
            <w:pPr>
              <w:pStyle w:val="Tabletext"/>
            </w:pPr>
            <w:r w:rsidRPr="00A058B6">
              <w:t>0</w:t>
            </w:r>
            <w:r w:rsidR="00D7157D">
              <w:t>.</w:t>
            </w:r>
            <w:r w:rsidRPr="00A058B6">
              <w:t>855</w:t>
            </w:r>
          </w:p>
        </w:tc>
      </w:tr>
      <w:tr w:rsidR="00647C6B" w:rsidRPr="00A058B6" w14:paraId="0399E20F" w14:textId="77777777" w:rsidTr="001274A4">
        <w:trPr>
          <w:trHeight w:val="245"/>
          <w:jc w:val="right"/>
        </w:trPr>
        <w:tc>
          <w:tcPr>
            <w:tcW w:w="1705" w:type="pct"/>
          </w:tcPr>
          <w:p w14:paraId="10671932"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5E3E582C" w14:textId="77777777" w:rsidR="00647C6B" w:rsidRPr="00A058B6" w:rsidRDefault="00647C6B" w:rsidP="009C0D79">
            <w:pPr>
              <w:pStyle w:val="Tabletext"/>
            </w:pPr>
            <w:r w:rsidRPr="00A058B6">
              <w:t>2</w:t>
            </w:r>
            <w:r w:rsidR="00D7157D">
              <w:t>.</w:t>
            </w:r>
            <w:r w:rsidRPr="00A058B6">
              <w:t>108</w:t>
            </w:r>
          </w:p>
        </w:tc>
        <w:tc>
          <w:tcPr>
            <w:tcW w:w="1878" w:type="pct"/>
            <w:tcBorders>
              <w:top w:val="single" w:sz="2" w:space="0" w:color="auto"/>
              <w:left w:val="nil"/>
              <w:bottom w:val="single" w:sz="2" w:space="0" w:color="auto"/>
              <w:right w:val="nil"/>
            </w:tcBorders>
            <w:shd w:val="clear" w:color="auto" w:fill="auto"/>
            <w:vAlign w:val="bottom"/>
          </w:tcPr>
          <w:p w14:paraId="18C974FE" w14:textId="77777777" w:rsidR="00647C6B" w:rsidRPr="00A058B6" w:rsidRDefault="00647C6B" w:rsidP="009C0D79">
            <w:pPr>
              <w:pStyle w:val="Tabletext"/>
            </w:pPr>
            <w:r w:rsidRPr="00A058B6">
              <w:t>0</w:t>
            </w:r>
            <w:r w:rsidR="00D7157D">
              <w:t>.</w:t>
            </w:r>
            <w:r w:rsidRPr="00A058B6">
              <w:t>793</w:t>
            </w:r>
          </w:p>
        </w:tc>
      </w:tr>
      <w:tr w:rsidR="00647C6B" w:rsidRPr="00A058B6" w14:paraId="5D78D267" w14:textId="77777777" w:rsidTr="001274A4">
        <w:trPr>
          <w:trHeight w:val="245"/>
          <w:jc w:val="right"/>
        </w:trPr>
        <w:tc>
          <w:tcPr>
            <w:tcW w:w="1705" w:type="pct"/>
          </w:tcPr>
          <w:p w14:paraId="41820C40"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351CD2EF" w14:textId="77777777" w:rsidR="00647C6B" w:rsidRPr="00A058B6" w:rsidRDefault="00647C6B" w:rsidP="009C0D79">
            <w:pPr>
              <w:pStyle w:val="Tabletext"/>
            </w:pPr>
            <w:r w:rsidRPr="00A058B6">
              <w:t>2</w:t>
            </w:r>
            <w:r w:rsidR="00D7157D">
              <w:t>.</w:t>
            </w:r>
            <w:r w:rsidRPr="00A058B6">
              <w:t>027</w:t>
            </w:r>
          </w:p>
        </w:tc>
        <w:tc>
          <w:tcPr>
            <w:tcW w:w="1878" w:type="pct"/>
            <w:tcBorders>
              <w:top w:val="single" w:sz="2" w:space="0" w:color="auto"/>
              <w:left w:val="nil"/>
              <w:bottom w:val="single" w:sz="2" w:space="0" w:color="auto"/>
              <w:right w:val="nil"/>
            </w:tcBorders>
            <w:shd w:val="clear" w:color="auto" w:fill="auto"/>
            <w:vAlign w:val="bottom"/>
          </w:tcPr>
          <w:p w14:paraId="2DD4F2F1" w14:textId="77777777" w:rsidR="00647C6B" w:rsidRPr="00A058B6" w:rsidRDefault="00647C6B" w:rsidP="009C0D79">
            <w:pPr>
              <w:pStyle w:val="Tabletext"/>
            </w:pPr>
            <w:r w:rsidRPr="00A058B6">
              <w:t>0</w:t>
            </w:r>
            <w:r w:rsidR="00D7157D">
              <w:t>.</w:t>
            </w:r>
            <w:r w:rsidRPr="00A058B6">
              <w:t>730</w:t>
            </w:r>
          </w:p>
        </w:tc>
      </w:tr>
      <w:tr w:rsidR="00647C6B" w:rsidRPr="00A058B6" w14:paraId="238E2B7D" w14:textId="77777777" w:rsidTr="001274A4">
        <w:trPr>
          <w:trHeight w:val="245"/>
          <w:jc w:val="right"/>
        </w:trPr>
        <w:tc>
          <w:tcPr>
            <w:tcW w:w="1705" w:type="pct"/>
          </w:tcPr>
          <w:p w14:paraId="7F2CA4DD"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6EBD9E41" w14:textId="77777777" w:rsidR="00647C6B" w:rsidRPr="00A058B6" w:rsidRDefault="00647C6B" w:rsidP="009C0D79">
            <w:pPr>
              <w:pStyle w:val="Tabletext"/>
            </w:pPr>
            <w:r w:rsidRPr="00A058B6">
              <w:t>1</w:t>
            </w:r>
            <w:r w:rsidR="00D7157D">
              <w:t>.</w:t>
            </w:r>
            <w:r w:rsidRPr="00A058B6">
              <w:t>946</w:t>
            </w:r>
          </w:p>
        </w:tc>
        <w:tc>
          <w:tcPr>
            <w:tcW w:w="1878" w:type="pct"/>
            <w:tcBorders>
              <w:top w:val="single" w:sz="2" w:space="0" w:color="auto"/>
              <w:left w:val="nil"/>
              <w:bottom w:val="single" w:sz="2" w:space="0" w:color="auto"/>
              <w:right w:val="nil"/>
            </w:tcBorders>
            <w:shd w:val="clear" w:color="auto" w:fill="auto"/>
            <w:vAlign w:val="bottom"/>
          </w:tcPr>
          <w:p w14:paraId="7B6D1A12" w14:textId="77777777" w:rsidR="00647C6B" w:rsidRPr="00A058B6" w:rsidRDefault="00647C6B" w:rsidP="009C0D79">
            <w:pPr>
              <w:pStyle w:val="Tabletext"/>
            </w:pPr>
            <w:r w:rsidRPr="00A058B6">
              <w:t>0</w:t>
            </w:r>
            <w:r w:rsidR="00D7157D">
              <w:t>.</w:t>
            </w:r>
            <w:r w:rsidRPr="00A058B6">
              <w:t>668</w:t>
            </w:r>
          </w:p>
        </w:tc>
      </w:tr>
      <w:tr w:rsidR="00647C6B" w:rsidRPr="00A058B6" w14:paraId="76C0C739" w14:textId="77777777" w:rsidTr="001274A4">
        <w:trPr>
          <w:trHeight w:val="245"/>
          <w:jc w:val="right"/>
        </w:trPr>
        <w:tc>
          <w:tcPr>
            <w:tcW w:w="1705" w:type="pct"/>
          </w:tcPr>
          <w:p w14:paraId="20271322"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1615C616" w14:textId="77777777" w:rsidR="00647C6B" w:rsidRPr="00A058B6" w:rsidRDefault="00647C6B" w:rsidP="009C0D79">
            <w:pPr>
              <w:pStyle w:val="Tabletext"/>
            </w:pPr>
            <w:r w:rsidRPr="00A058B6">
              <w:t>1</w:t>
            </w:r>
            <w:r w:rsidR="00D7157D">
              <w:t>.</w:t>
            </w:r>
            <w:r w:rsidRPr="00A058B6">
              <w:t>865</w:t>
            </w:r>
          </w:p>
        </w:tc>
        <w:tc>
          <w:tcPr>
            <w:tcW w:w="1878" w:type="pct"/>
            <w:tcBorders>
              <w:top w:val="single" w:sz="2" w:space="0" w:color="auto"/>
              <w:left w:val="nil"/>
              <w:bottom w:val="single" w:sz="2" w:space="0" w:color="auto"/>
              <w:right w:val="nil"/>
            </w:tcBorders>
            <w:shd w:val="clear" w:color="auto" w:fill="auto"/>
            <w:vAlign w:val="bottom"/>
          </w:tcPr>
          <w:p w14:paraId="5C5CFF73" w14:textId="77777777" w:rsidR="00647C6B" w:rsidRPr="00A058B6" w:rsidRDefault="00647C6B" w:rsidP="009C0D79">
            <w:pPr>
              <w:pStyle w:val="Tabletext"/>
            </w:pPr>
            <w:r w:rsidRPr="00A058B6">
              <w:t>0</w:t>
            </w:r>
            <w:r w:rsidR="00D7157D">
              <w:t>.</w:t>
            </w:r>
            <w:r w:rsidRPr="00A058B6">
              <w:t>605</w:t>
            </w:r>
          </w:p>
        </w:tc>
      </w:tr>
      <w:tr w:rsidR="00647C6B" w:rsidRPr="00A058B6" w14:paraId="4B7D1089" w14:textId="77777777" w:rsidTr="001274A4">
        <w:trPr>
          <w:trHeight w:val="245"/>
          <w:jc w:val="right"/>
        </w:trPr>
        <w:tc>
          <w:tcPr>
            <w:tcW w:w="1705" w:type="pct"/>
          </w:tcPr>
          <w:p w14:paraId="5CA7DDDA"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2EF6CFAF" w14:textId="77777777" w:rsidR="00647C6B" w:rsidRPr="00A058B6" w:rsidRDefault="00647C6B" w:rsidP="009C0D79">
            <w:pPr>
              <w:pStyle w:val="Tabletext"/>
            </w:pPr>
            <w:r w:rsidRPr="00A058B6">
              <w:t>1</w:t>
            </w:r>
            <w:r w:rsidR="00D7157D">
              <w:t>.</w:t>
            </w:r>
            <w:r w:rsidRPr="00A058B6">
              <w:t>784</w:t>
            </w:r>
          </w:p>
        </w:tc>
        <w:tc>
          <w:tcPr>
            <w:tcW w:w="1878" w:type="pct"/>
            <w:tcBorders>
              <w:top w:val="single" w:sz="2" w:space="0" w:color="auto"/>
              <w:left w:val="nil"/>
              <w:bottom w:val="single" w:sz="2" w:space="0" w:color="auto"/>
              <w:right w:val="nil"/>
            </w:tcBorders>
            <w:shd w:val="clear" w:color="auto" w:fill="auto"/>
            <w:vAlign w:val="bottom"/>
          </w:tcPr>
          <w:p w14:paraId="4D8A3E18" w14:textId="77777777" w:rsidR="00647C6B" w:rsidRPr="00A058B6" w:rsidRDefault="00647C6B" w:rsidP="009C0D79">
            <w:pPr>
              <w:pStyle w:val="Tabletext"/>
            </w:pPr>
            <w:r w:rsidRPr="00A058B6">
              <w:t>0</w:t>
            </w:r>
            <w:r w:rsidR="00D7157D">
              <w:t>.</w:t>
            </w:r>
            <w:r w:rsidRPr="00A058B6">
              <w:t>542</w:t>
            </w:r>
          </w:p>
        </w:tc>
      </w:tr>
      <w:tr w:rsidR="00647C6B" w:rsidRPr="00A058B6" w14:paraId="13C9FA87" w14:textId="77777777" w:rsidTr="001274A4">
        <w:trPr>
          <w:trHeight w:val="245"/>
          <w:jc w:val="right"/>
        </w:trPr>
        <w:tc>
          <w:tcPr>
            <w:tcW w:w="1705" w:type="pct"/>
          </w:tcPr>
          <w:p w14:paraId="17F02E3D"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742AA529" w14:textId="77777777" w:rsidR="00647C6B" w:rsidRPr="00A058B6" w:rsidRDefault="00647C6B" w:rsidP="009C0D79">
            <w:pPr>
              <w:pStyle w:val="Tabletext"/>
            </w:pPr>
            <w:r w:rsidRPr="00A058B6">
              <w:t>1</w:t>
            </w:r>
            <w:r w:rsidR="00D7157D">
              <w:t>.</w:t>
            </w:r>
            <w:r w:rsidRPr="00A058B6">
              <w:t>703</w:t>
            </w:r>
          </w:p>
        </w:tc>
        <w:tc>
          <w:tcPr>
            <w:tcW w:w="1878" w:type="pct"/>
            <w:tcBorders>
              <w:top w:val="single" w:sz="2" w:space="0" w:color="auto"/>
              <w:left w:val="nil"/>
              <w:bottom w:val="single" w:sz="2" w:space="0" w:color="auto"/>
              <w:right w:val="nil"/>
            </w:tcBorders>
            <w:shd w:val="clear" w:color="auto" w:fill="auto"/>
            <w:vAlign w:val="bottom"/>
          </w:tcPr>
          <w:p w14:paraId="230F0F48" w14:textId="77777777" w:rsidR="00647C6B" w:rsidRPr="00A058B6" w:rsidRDefault="00647C6B" w:rsidP="009C0D79">
            <w:pPr>
              <w:pStyle w:val="Tabletext"/>
            </w:pPr>
            <w:r w:rsidRPr="00A058B6">
              <w:t>0</w:t>
            </w:r>
            <w:r w:rsidR="00D7157D">
              <w:t>.</w:t>
            </w:r>
            <w:r w:rsidRPr="00A058B6">
              <w:t>480</w:t>
            </w:r>
          </w:p>
        </w:tc>
      </w:tr>
      <w:tr w:rsidR="00647C6B" w:rsidRPr="00A058B6" w14:paraId="0831FDAB" w14:textId="77777777" w:rsidTr="001274A4">
        <w:trPr>
          <w:trHeight w:val="245"/>
          <w:jc w:val="right"/>
        </w:trPr>
        <w:tc>
          <w:tcPr>
            <w:tcW w:w="1705" w:type="pct"/>
          </w:tcPr>
          <w:p w14:paraId="469CB774"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0536AFA4" w14:textId="77777777" w:rsidR="00647C6B" w:rsidRPr="00A058B6" w:rsidRDefault="00647C6B" w:rsidP="009C0D79">
            <w:pPr>
              <w:pStyle w:val="Tabletext"/>
            </w:pPr>
            <w:r w:rsidRPr="00A058B6">
              <w:t>1</w:t>
            </w:r>
            <w:r w:rsidR="00D7157D">
              <w:t>.</w:t>
            </w:r>
            <w:r w:rsidRPr="00A058B6">
              <w:t>622</w:t>
            </w:r>
          </w:p>
        </w:tc>
        <w:tc>
          <w:tcPr>
            <w:tcW w:w="1878" w:type="pct"/>
            <w:tcBorders>
              <w:top w:val="single" w:sz="2" w:space="0" w:color="auto"/>
              <w:left w:val="nil"/>
              <w:bottom w:val="single" w:sz="2" w:space="0" w:color="auto"/>
              <w:right w:val="nil"/>
            </w:tcBorders>
            <w:shd w:val="clear" w:color="auto" w:fill="auto"/>
            <w:vAlign w:val="bottom"/>
          </w:tcPr>
          <w:p w14:paraId="1DFCD988" w14:textId="77777777" w:rsidR="00647C6B" w:rsidRPr="00A058B6" w:rsidRDefault="00647C6B" w:rsidP="009C0D79">
            <w:pPr>
              <w:pStyle w:val="Tabletext"/>
            </w:pPr>
            <w:r w:rsidRPr="00A058B6">
              <w:t>0</w:t>
            </w:r>
            <w:r w:rsidR="00D7157D">
              <w:t>.</w:t>
            </w:r>
            <w:r w:rsidRPr="00A058B6">
              <w:t>417</w:t>
            </w:r>
          </w:p>
        </w:tc>
      </w:tr>
      <w:tr w:rsidR="00647C6B" w:rsidRPr="00A058B6" w14:paraId="194C5316" w14:textId="77777777" w:rsidTr="001274A4">
        <w:trPr>
          <w:trHeight w:val="245"/>
          <w:jc w:val="right"/>
        </w:trPr>
        <w:tc>
          <w:tcPr>
            <w:tcW w:w="1705" w:type="pct"/>
          </w:tcPr>
          <w:p w14:paraId="00DD32A3"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40EC3C74" w14:textId="77777777" w:rsidR="00647C6B" w:rsidRPr="00A058B6" w:rsidRDefault="00647C6B" w:rsidP="009C0D79">
            <w:pPr>
              <w:pStyle w:val="Tabletext"/>
            </w:pPr>
            <w:r w:rsidRPr="00A058B6">
              <w:t>1</w:t>
            </w:r>
            <w:r w:rsidR="00D7157D">
              <w:t>.</w:t>
            </w:r>
            <w:r w:rsidRPr="00A058B6">
              <w:t>378</w:t>
            </w:r>
          </w:p>
        </w:tc>
        <w:tc>
          <w:tcPr>
            <w:tcW w:w="1878" w:type="pct"/>
            <w:tcBorders>
              <w:top w:val="single" w:sz="2" w:space="0" w:color="auto"/>
              <w:left w:val="nil"/>
              <w:bottom w:val="single" w:sz="2" w:space="0" w:color="auto"/>
              <w:right w:val="nil"/>
            </w:tcBorders>
            <w:shd w:val="clear" w:color="auto" w:fill="auto"/>
            <w:vAlign w:val="bottom"/>
          </w:tcPr>
          <w:p w14:paraId="41D8128C" w14:textId="77777777" w:rsidR="00647C6B" w:rsidRPr="00A058B6" w:rsidRDefault="00647C6B" w:rsidP="009C0D79">
            <w:pPr>
              <w:pStyle w:val="Tabletext"/>
            </w:pPr>
            <w:r w:rsidRPr="00A058B6">
              <w:t>0</w:t>
            </w:r>
            <w:r w:rsidR="00D7157D">
              <w:t>.</w:t>
            </w:r>
            <w:r w:rsidRPr="00A058B6">
              <w:t>355</w:t>
            </w:r>
          </w:p>
        </w:tc>
      </w:tr>
      <w:tr w:rsidR="00647C6B" w:rsidRPr="00A058B6" w14:paraId="76453DB6" w14:textId="77777777" w:rsidTr="001274A4">
        <w:trPr>
          <w:trHeight w:val="245"/>
          <w:jc w:val="right"/>
        </w:trPr>
        <w:tc>
          <w:tcPr>
            <w:tcW w:w="1705" w:type="pct"/>
          </w:tcPr>
          <w:p w14:paraId="201C3EBF"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769FF15C" w14:textId="77777777" w:rsidR="00647C6B" w:rsidRPr="00A058B6" w:rsidRDefault="00647C6B" w:rsidP="009C0D79">
            <w:pPr>
              <w:pStyle w:val="Tabletext"/>
            </w:pPr>
            <w:r w:rsidRPr="00A058B6">
              <w:t>1</w:t>
            </w:r>
            <w:r w:rsidR="00D7157D">
              <w:t>.</w:t>
            </w:r>
            <w:r w:rsidRPr="00A058B6">
              <w:t>135</w:t>
            </w:r>
          </w:p>
        </w:tc>
        <w:tc>
          <w:tcPr>
            <w:tcW w:w="1878" w:type="pct"/>
            <w:tcBorders>
              <w:top w:val="single" w:sz="2" w:space="0" w:color="auto"/>
              <w:left w:val="nil"/>
              <w:bottom w:val="single" w:sz="2" w:space="0" w:color="auto"/>
              <w:right w:val="nil"/>
            </w:tcBorders>
            <w:shd w:val="clear" w:color="auto" w:fill="auto"/>
            <w:vAlign w:val="bottom"/>
          </w:tcPr>
          <w:p w14:paraId="70FB5DAA" w14:textId="77777777" w:rsidR="00647C6B" w:rsidRPr="00A058B6" w:rsidRDefault="00647C6B" w:rsidP="009C0D79">
            <w:pPr>
              <w:pStyle w:val="Tabletext"/>
            </w:pPr>
            <w:r w:rsidRPr="00A058B6">
              <w:t>0</w:t>
            </w:r>
            <w:r w:rsidR="00D7157D">
              <w:t>.</w:t>
            </w:r>
            <w:r w:rsidRPr="00A058B6">
              <w:t>292</w:t>
            </w:r>
          </w:p>
        </w:tc>
      </w:tr>
      <w:tr w:rsidR="00647C6B" w:rsidRPr="00A058B6" w14:paraId="1828C9CD" w14:textId="77777777" w:rsidTr="001274A4">
        <w:trPr>
          <w:trHeight w:val="245"/>
          <w:jc w:val="right"/>
        </w:trPr>
        <w:tc>
          <w:tcPr>
            <w:tcW w:w="1705" w:type="pct"/>
          </w:tcPr>
          <w:p w14:paraId="595D722A"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70F1A99E" w14:textId="77777777" w:rsidR="00647C6B" w:rsidRPr="00A058B6" w:rsidRDefault="00647C6B" w:rsidP="009C0D79">
            <w:pPr>
              <w:pStyle w:val="Tabletext"/>
            </w:pPr>
            <w:r w:rsidRPr="00A058B6">
              <w:t>0</w:t>
            </w:r>
            <w:r w:rsidR="00D7157D">
              <w:t>.</w:t>
            </w:r>
            <w:r w:rsidRPr="00A058B6">
              <w:t>892</w:t>
            </w:r>
          </w:p>
        </w:tc>
        <w:tc>
          <w:tcPr>
            <w:tcW w:w="1878" w:type="pct"/>
            <w:tcBorders>
              <w:top w:val="single" w:sz="2" w:space="0" w:color="auto"/>
              <w:left w:val="nil"/>
              <w:bottom w:val="single" w:sz="2" w:space="0" w:color="auto"/>
              <w:right w:val="nil"/>
            </w:tcBorders>
            <w:shd w:val="clear" w:color="auto" w:fill="auto"/>
            <w:vAlign w:val="bottom"/>
          </w:tcPr>
          <w:p w14:paraId="020515FA" w14:textId="77777777" w:rsidR="00647C6B" w:rsidRPr="00A058B6" w:rsidRDefault="00647C6B" w:rsidP="009C0D79">
            <w:pPr>
              <w:pStyle w:val="Tabletext"/>
            </w:pPr>
            <w:r w:rsidRPr="00A058B6">
              <w:t>0</w:t>
            </w:r>
            <w:r w:rsidR="00D7157D">
              <w:t>.</w:t>
            </w:r>
            <w:r w:rsidRPr="00A058B6">
              <w:t>230</w:t>
            </w:r>
          </w:p>
        </w:tc>
      </w:tr>
      <w:tr w:rsidR="00647C6B" w:rsidRPr="00A058B6" w14:paraId="2CCE04E0" w14:textId="77777777" w:rsidTr="001274A4">
        <w:trPr>
          <w:trHeight w:val="245"/>
          <w:jc w:val="right"/>
        </w:trPr>
        <w:tc>
          <w:tcPr>
            <w:tcW w:w="1705" w:type="pct"/>
            <w:tcBorders>
              <w:bottom w:val="single" w:sz="4" w:space="0" w:color="auto"/>
            </w:tcBorders>
          </w:tcPr>
          <w:p w14:paraId="6FD276DE"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782718BB" w14:textId="77777777" w:rsidR="00647C6B" w:rsidRPr="00A058B6" w:rsidRDefault="00647C6B" w:rsidP="009C0D79">
            <w:pPr>
              <w:pStyle w:val="Tabletext"/>
            </w:pPr>
            <w:r w:rsidRPr="00A058B6">
              <w:t>0</w:t>
            </w:r>
            <w:r w:rsidR="00D7157D">
              <w:t>.</w:t>
            </w:r>
            <w:r w:rsidRPr="00A058B6">
              <w:t>649</w:t>
            </w:r>
          </w:p>
        </w:tc>
        <w:tc>
          <w:tcPr>
            <w:tcW w:w="1878" w:type="pct"/>
            <w:tcBorders>
              <w:top w:val="single" w:sz="2" w:space="0" w:color="auto"/>
              <w:left w:val="nil"/>
              <w:bottom w:val="single" w:sz="2" w:space="0" w:color="auto"/>
              <w:right w:val="nil"/>
            </w:tcBorders>
            <w:shd w:val="clear" w:color="auto" w:fill="auto"/>
            <w:vAlign w:val="bottom"/>
          </w:tcPr>
          <w:p w14:paraId="0EECC854" w14:textId="77777777" w:rsidR="00647C6B" w:rsidRPr="00A058B6" w:rsidRDefault="00647C6B" w:rsidP="009C0D79">
            <w:pPr>
              <w:pStyle w:val="Tabletext"/>
            </w:pPr>
            <w:r w:rsidRPr="00A058B6">
              <w:t>0</w:t>
            </w:r>
            <w:r w:rsidR="00D7157D">
              <w:t>.</w:t>
            </w:r>
            <w:r w:rsidRPr="00A058B6">
              <w:t>167</w:t>
            </w:r>
          </w:p>
        </w:tc>
      </w:tr>
      <w:tr w:rsidR="00647C6B" w:rsidRPr="00A058B6" w14:paraId="25EAF1ED" w14:textId="77777777" w:rsidTr="001274A4">
        <w:trPr>
          <w:trHeight w:val="245"/>
          <w:jc w:val="right"/>
        </w:trPr>
        <w:tc>
          <w:tcPr>
            <w:tcW w:w="1705" w:type="pct"/>
            <w:tcBorders>
              <w:top w:val="single" w:sz="4" w:space="0" w:color="auto"/>
              <w:bottom w:val="single" w:sz="12" w:space="0" w:color="auto"/>
            </w:tcBorders>
          </w:tcPr>
          <w:p w14:paraId="769DCE5A"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1F024FC1" w14:textId="77777777" w:rsidR="00647C6B" w:rsidRPr="00A058B6" w:rsidRDefault="00647C6B" w:rsidP="009C0D79">
            <w:pPr>
              <w:pStyle w:val="Tabletext"/>
            </w:pPr>
            <w:r w:rsidRPr="00A058B6">
              <w:t>0</w:t>
            </w:r>
            <w:r w:rsidR="00D7157D">
              <w:t>.</w:t>
            </w:r>
            <w:r w:rsidRPr="00A058B6">
              <w:t>405</w:t>
            </w:r>
          </w:p>
        </w:tc>
        <w:tc>
          <w:tcPr>
            <w:tcW w:w="1878" w:type="pct"/>
            <w:tcBorders>
              <w:top w:val="single" w:sz="2" w:space="0" w:color="auto"/>
              <w:left w:val="nil"/>
              <w:bottom w:val="single" w:sz="12" w:space="0" w:color="auto"/>
              <w:right w:val="nil"/>
            </w:tcBorders>
            <w:shd w:val="clear" w:color="auto" w:fill="auto"/>
            <w:vAlign w:val="bottom"/>
          </w:tcPr>
          <w:p w14:paraId="36BA58BC" w14:textId="77777777" w:rsidR="00647C6B" w:rsidRPr="00A058B6" w:rsidRDefault="00647C6B" w:rsidP="009C0D79">
            <w:pPr>
              <w:pStyle w:val="Tabletext"/>
            </w:pPr>
            <w:r w:rsidRPr="00A058B6">
              <w:t>0</w:t>
            </w:r>
            <w:r w:rsidR="00D7157D">
              <w:t>.</w:t>
            </w:r>
            <w:r w:rsidRPr="00A058B6">
              <w:t>104</w:t>
            </w:r>
          </w:p>
        </w:tc>
      </w:tr>
    </w:tbl>
    <w:p w14:paraId="414FCB78" w14:textId="0DB637C0" w:rsidR="00D66ABE" w:rsidRPr="00A058B6" w:rsidRDefault="00D7157D" w:rsidP="00D66ABE">
      <w:pPr>
        <w:pStyle w:val="ActHead5"/>
      </w:pPr>
      <w:bookmarkStart w:id="250" w:name="_Toc188350728"/>
      <w:r w:rsidRPr="00423C34">
        <w:rPr>
          <w:rStyle w:val="CharSectno"/>
        </w:rPr>
        <w:t>12</w:t>
      </w:r>
      <w:r w:rsidR="00D66ABE" w:rsidRPr="00E4560D">
        <w:t xml:space="preserve">  Valuation factors—no guarantee period—wage indexed pension</w:t>
      </w:r>
      <w:bookmarkEnd w:id="250"/>
    </w:p>
    <w:p w14:paraId="2D3D812D" w14:textId="77777777" w:rsidR="00D66ABE" w:rsidRPr="00A058B6" w:rsidRDefault="00D66ABE" w:rsidP="00D66ABE">
      <w:pPr>
        <w:pStyle w:val="subsection"/>
      </w:pPr>
      <w:r w:rsidRPr="00A058B6">
        <w:tab/>
      </w:r>
      <w:r w:rsidRPr="00A058B6">
        <w:tab/>
        <w:t>The pension valuation factors and reversion valuation factors set out in this clause apply if the pension:</w:t>
      </w:r>
    </w:p>
    <w:p w14:paraId="2B91793C" w14:textId="77777777" w:rsidR="00D66ABE" w:rsidRPr="00A058B6" w:rsidRDefault="00D66ABE" w:rsidP="00D66ABE">
      <w:pPr>
        <w:pStyle w:val="paragraph"/>
      </w:pPr>
      <w:r w:rsidRPr="00A058B6">
        <w:tab/>
        <w:t>(a)</w:t>
      </w:r>
      <w:r w:rsidRPr="00A058B6">
        <w:tab/>
        <w:t>has no guarantee period; and</w:t>
      </w:r>
    </w:p>
    <w:p w14:paraId="06E4BD21" w14:textId="77777777" w:rsidR="00D66ABE" w:rsidRPr="00A058B6" w:rsidRDefault="00D66ABE" w:rsidP="00D66ABE">
      <w:pPr>
        <w:pStyle w:val="paragraph"/>
      </w:pPr>
      <w:r w:rsidRPr="00A058B6">
        <w:tab/>
        <w:t>(b)</w:t>
      </w:r>
      <w:r w:rsidRPr="00A058B6">
        <w:tab/>
        <w:t>is indexed in accordance with</w:t>
      </w:r>
      <w:r>
        <w:t xml:space="preserve"> a </w:t>
      </w:r>
      <w:r w:rsidRPr="00A058B6">
        <w:t>general wage index (for example, average weekly earnings, or average weekly ordinary time earnings, published by the Australian Bureau of Statistics)</w:t>
      </w:r>
      <w:r w:rsidR="00D7157D">
        <w:t>.</w:t>
      </w:r>
    </w:p>
    <w:p w14:paraId="103855A9" w14:textId="77777777" w:rsidR="007A2FC7" w:rsidRPr="00A058B6" w:rsidRDefault="007A2FC7" w:rsidP="007A2FC7">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4"/>
        <w:gridCol w:w="2378"/>
        <w:gridCol w:w="3101"/>
      </w:tblGrid>
      <w:tr w:rsidR="007A2FC7" w:rsidRPr="00A058B6" w14:paraId="2146CF64" w14:textId="77777777" w:rsidTr="005B61BB">
        <w:trPr>
          <w:cantSplit/>
          <w:trHeight w:val="375"/>
          <w:tblHeader/>
          <w:jc w:val="right"/>
        </w:trPr>
        <w:tc>
          <w:tcPr>
            <w:tcW w:w="1705" w:type="pct"/>
            <w:vMerge w:val="restart"/>
            <w:tcBorders>
              <w:top w:val="single" w:sz="12" w:space="0" w:color="auto"/>
              <w:bottom w:val="single" w:sz="12" w:space="0" w:color="auto"/>
            </w:tcBorders>
          </w:tcPr>
          <w:p w14:paraId="5C3AF07C" w14:textId="77777777" w:rsidR="007A2FC7" w:rsidRPr="00A058B6" w:rsidRDefault="007A2FC7" w:rsidP="005B61BB">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5C28B8CF" w14:textId="77777777" w:rsidR="007A2FC7" w:rsidRPr="00A058B6" w:rsidRDefault="007A2FC7" w:rsidP="005B61BB">
            <w:pPr>
              <w:pStyle w:val="TableHeading"/>
              <w:rPr>
                <w:snapToGrid w:val="0"/>
              </w:rPr>
            </w:pPr>
            <w:r w:rsidRPr="00A058B6">
              <w:rPr>
                <w:snapToGrid w:val="0"/>
              </w:rPr>
              <w:t>Pension valuation factors</w:t>
            </w:r>
            <w:r w:rsidRPr="00A058B6">
              <w:rPr>
                <w:snapToGrid w:val="0"/>
              </w:rPr>
              <w:br/>
              <w:t>No guarantee period—</w:t>
            </w:r>
            <w:r>
              <w:rPr>
                <w:snapToGrid w:val="0"/>
              </w:rPr>
              <w:t>wage</w:t>
            </w:r>
            <w:r w:rsidRPr="00A058B6">
              <w:rPr>
                <w:snapToGrid w:val="0"/>
              </w:rPr>
              <w:t xml:space="preserve"> indexed pension</w:t>
            </w:r>
          </w:p>
        </w:tc>
      </w:tr>
      <w:tr w:rsidR="007A2FC7" w:rsidRPr="00A058B6" w14:paraId="7F262EDB" w14:textId="77777777" w:rsidTr="005B61BB">
        <w:trPr>
          <w:cantSplit/>
          <w:trHeight w:val="26"/>
          <w:tblHeader/>
          <w:jc w:val="right"/>
        </w:trPr>
        <w:tc>
          <w:tcPr>
            <w:tcW w:w="1705" w:type="pct"/>
            <w:vMerge/>
            <w:tcBorders>
              <w:top w:val="single" w:sz="4" w:space="0" w:color="auto"/>
              <w:bottom w:val="single" w:sz="12" w:space="0" w:color="auto"/>
            </w:tcBorders>
          </w:tcPr>
          <w:p w14:paraId="348F0246" w14:textId="77777777" w:rsidR="007A2FC7" w:rsidRPr="00A058B6" w:rsidRDefault="007A2FC7" w:rsidP="005B61BB">
            <w:pPr>
              <w:pStyle w:val="TableHeading"/>
              <w:rPr>
                <w:snapToGrid w:val="0"/>
              </w:rPr>
            </w:pPr>
          </w:p>
        </w:tc>
        <w:tc>
          <w:tcPr>
            <w:tcW w:w="1430" w:type="pct"/>
            <w:tcBorders>
              <w:top w:val="single" w:sz="4" w:space="0" w:color="auto"/>
              <w:bottom w:val="single" w:sz="12" w:space="0" w:color="auto"/>
            </w:tcBorders>
          </w:tcPr>
          <w:p w14:paraId="6D571430" w14:textId="77777777" w:rsidR="007A2FC7" w:rsidRPr="00A058B6" w:rsidRDefault="007A2FC7" w:rsidP="005B61BB">
            <w:pPr>
              <w:pStyle w:val="TableHeading"/>
              <w:rPr>
                <w:snapToGrid w:val="0"/>
              </w:rPr>
            </w:pPr>
            <w:r w:rsidRPr="00A058B6">
              <w:rPr>
                <w:snapToGrid w:val="0"/>
              </w:rPr>
              <w:t>Male</w:t>
            </w:r>
          </w:p>
        </w:tc>
        <w:tc>
          <w:tcPr>
            <w:tcW w:w="1865" w:type="pct"/>
            <w:tcBorders>
              <w:top w:val="single" w:sz="4" w:space="0" w:color="auto"/>
              <w:bottom w:val="single" w:sz="12" w:space="0" w:color="auto"/>
            </w:tcBorders>
          </w:tcPr>
          <w:p w14:paraId="40AE70B2" w14:textId="77777777" w:rsidR="007A2FC7" w:rsidRPr="00A058B6" w:rsidRDefault="007A2FC7" w:rsidP="005B61BB">
            <w:pPr>
              <w:pStyle w:val="TableHeading"/>
              <w:rPr>
                <w:snapToGrid w:val="0"/>
              </w:rPr>
            </w:pPr>
            <w:r w:rsidRPr="00A058B6">
              <w:rPr>
                <w:snapToGrid w:val="0"/>
              </w:rPr>
              <w:t>Female</w:t>
            </w:r>
          </w:p>
        </w:tc>
      </w:tr>
      <w:tr w:rsidR="00B85AFB" w:rsidRPr="00A058B6" w14:paraId="5301C53F" w14:textId="77777777" w:rsidTr="005B61BB">
        <w:trPr>
          <w:trHeight w:val="245"/>
          <w:jc w:val="right"/>
        </w:trPr>
        <w:tc>
          <w:tcPr>
            <w:tcW w:w="1705" w:type="pct"/>
            <w:tcBorders>
              <w:top w:val="single" w:sz="12" w:space="0" w:color="auto"/>
            </w:tcBorders>
          </w:tcPr>
          <w:p w14:paraId="76E091B9" w14:textId="77777777" w:rsidR="00B85AFB" w:rsidRPr="00A058B6" w:rsidRDefault="00B85AFB" w:rsidP="00B85AFB">
            <w:pPr>
              <w:pStyle w:val="Tabletext"/>
              <w:rPr>
                <w:snapToGrid w:val="0"/>
              </w:rPr>
            </w:pPr>
            <w:r w:rsidRPr="00A058B6">
              <w:rPr>
                <w:snapToGrid w:val="0"/>
              </w:rPr>
              <w:t>55</w:t>
            </w:r>
          </w:p>
        </w:tc>
        <w:tc>
          <w:tcPr>
            <w:tcW w:w="1430" w:type="pct"/>
            <w:tcBorders>
              <w:top w:val="single" w:sz="12" w:space="0" w:color="auto"/>
              <w:left w:val="nil"/>
              <w:bottom w:val="single" w:sz="2" w:space="0" w:color="auto"/>
              <w:right w:val="nil"/>
            </w:tcBorders>
            <w:shd w:val="clear" w:color="auto" w:fill="auto"/>
            <w:vAlign w:val="bottom"/>
          </w:tcPr>
          <w:p w14:paraId="20436450" w14:textId="77777777" w:rsidR="00B85AFB" w:rsidRPr="00D70D66" w:rsidRDefault="00B85AFB" w:rsidP="00B85AFB">
            <w:pPr>
              <w:pStyle w:val="Tabletext"/>
              <w:rPr>
                <w:color w:val="000000" w:themeColor="text1"/>
              </w:rPr>
            </w:pPr>
            <w:r w:rsidRPr="00D70D66">
              <w:rPr>
                <w:color w:val="000000" w:themeColor="text1"/>
              </w:rPr>
              <w:t>23</w:t>
            </w:r>
            <w:r w:rsidR="00D7157D">
              <w:rPr>
                <w:color w:val="000000" w:themeColor="text1"/>
              </w:rPr>
              <w:t>.</w:t>
            </w:r>
            <w:r w:rsidRPr="00D70D66">
              <w:rPr>
                <w:color w:val="000000" w:themeColor="text1"/>
              </w:rPr>
              <w:t>4789</w:t>
            </w:r>
          </w:p>
        </w:tc>
        <w:tc>
          <w:tcPr>
            <w:tcW w:w="1865" w:type="pct"/>
            <w:tcBorders>
              <w:top w:val="single" w:sz="12" w:space="0" w:color="auto"/>
              <w:left w:val="nil"/>
              <w:bottom w:val="single" w:sz="2" w:space="0" w:color="auto"/>
              <w:right w:val="nil"/>
            </w:tcBorders>
            <w:shd w:val="clear" w:color="auto" w:fill="auto"/>
            <w:vAlign w:val="center"/>
          </w:tcPr>
          <w:p w14:paraId="546C1F83" w14:textId="77777777" w:rsidR="00B85AFB" w:rsidRPr="00D70D66" w:rsidRDefault="00B85AFB" w:rsidP="00B85AFB">
            <w:pPr>
              <w:pStyle w:val="Tabletext"/>
              <w:rPr>
                <w:color w:val="000000" w:themeColor="text1"/>
              </w:rPr>
            </w:pPr>
            <w:r w:rsidRPr="00D70D66">
              <w:rPr>
                <w:color w:val="000000" w:themeColor="text1"/>
              </w:rPr>
              <w:t>24</w:t>
            </w:r>
            <w:r w:rsidR="00D7157D">
              <w:rPr>
                <w:color w:val="000000" w:themeColor="text1"/>
              </w:rPr>
              <w:t>.</w:t>
            </w:r>
            <w:r w:rsidRPr="00D70D66">
              <w:rPr>
                <w:color w:val="000000" w:themeColor="text1"/>
              </w:rPr>
              <w:t>6607</w:t>
            </w:r>
          </w:p>
        </w:tc>
      </w:tr>
      <w:tr w:rsidR="00B85AFB" w:rsidRPr="00A058B6" w14:paraId="484B9715" w14:textId="77777777" w:rsidTr="005B61BB">
        <w:trPr>
          <w:trHeight w:val="245"/>
          <w:jc w:val="right"/>
        </w:trPr>
        <w:tc>
          <w:tcPr>
            <w:tcW w:w="1705" w:type="pct"/>
          </w:tcPr>
          <w:p w14:paraId="05F8E7DE" w14:textId="77777777" w:rsidR="00B85AFB" w:rsidRPr="00A058B6" w:rsidRDefault="00B85AFB" w:rsidP="00B85AFB">
            <w:pPr>
              <w:pStyle w:val="Tabletext"/>
            </w:pPr>
            <w:r w:rsidRPr="00A058B6">
              <w:t>56</w:t>
            </w:r>
          </w:p>
        </w:tc>
        <w:tc>
          <w:tcPr>
            <w:tcW w:w="1430" w:type="pct"/>
            <w:tcBorders>
              <w:top w:val="single" w:sz="2" w:space="0" w:color="auto"/>
              <w:left w:val="nil"/>
              <w:bottom w:val="single" w:sz="2" w:space="0" w:color="auto"/>
              <w:right w:val="nil"/>
            </w:tcBorders>
            <w:shd w:val="clear" w:color="auto" w:fill="auto"/>
            <w:vAlign w:val="bottom"/>
          </w:tcPr>
          <w:p w14:paraId="38E3EB4B" w14:textId="77777777" w:rsidR="00B85AFB" w:rsidRPr="00D70D66" w:rsidRDefault="00B85AFB" w:rsidP="00B85AFB">
            <w:pPr>
              <w:pStyle w:val="Tabletext"/>
              <w:rPr>
                <w:color w:val="000000" w:themeColor="text1"/>
              </w:rPr>
            </w:pPr>
            <w:r w:rsidRPr="00D70D66">
              <w:rPr>
                <w:color w:val="000000" w:themeColor="text1"/>
              </w:rPr>
              <w:t>22</w:t>
            </w:r>
            <w:r w:rsidR="00D7157D">
              <w:rPr>
                <w:color w:val="000000" w:themeColor="text1"/>
              </w:rPr>
              <w:t>.</w:t>
            </w:r>
            <w:r w:rsidRPr="00D70D66">
              <w:rPr>
                <w:color w:val="000000" w:themeColor="text1"/>
              </w:rPr>
              <w:t>9909</w:t>
            </w:r>
          </w:p>
        </w:tc>
        <w:tc>
          <w:tcPr>
            <w:tcW w:w="1865" w:type="pct"/>
            <w:tcBorders>
              <w:top w:val="single" w:sz="2" w:space="0" w:color="auto"/>
              <w:left w:val="nil"/>
              <w:bottom w:val="single" w:sz="2" w:space="0" w:color="auto"/>
              <w:right w:val="nil"/>
            </w:tcBorders>
            <w:shd w:val="clear" w:color="auto" w:fill="auto"/>
            <w:vAlign w:val="center"/>
          </w:tcPr>
          <w:p w14:paraId="1AC66634" w14:textId="77777777" w:rsidR="00B85AFB" w:rsidRPr="00D70D66" w:rsidRDefault="00B85AFB" w:rsidP="00B85AFB">
            <w:pPr>
              <w:pStyle w:val="Tabletext"/>
              <w:rPr>
                <w:color w:val="000000" w:themeColor="text1"/>
              </w:rPr>
            </w:pPr>
            <w:r w:rsidRPr="00D70D66">
              <w:rPr>
                <w:color w:val="000000" w:themeColor="text1"/>
              </w:rPr>
              <w:t>24</w:t>
            </w:r>
            <w:r w:rsidR="00D7157D">
              <w:rPr>
                <w:color w:val="000000" w:themeColor="text1"/>
              </w:rPr>
              <w:t>.</w:t>
            </w:r>
            <w:r w:rsidRPr="00D70D66">
              <w:rPr>
                <w:color w:val="000000" w:themeColor="text1"/>
              </w:rPr>
              <w:t>1841</w:t>
            </w:r>
          </w:p>
        </w:tc>
      </w:tr>
      <w:tr w:rsidR="00B85AFB" w:rsidRPr="00A058B6" w14:paraId="4A140735" w14:textId="77777777" w:rsidTr="005B61BB">
        <w:trPr>
          <w:trHeight w:val="245"/>
          <w:jc w:val="right"/>
        </w:trPr>
        <w:tc>
          <w:tcPr>
            <w:tcW w:w="1705" w:type="pct"/>
          </w:tcPr>
          <w:p w14:paraId="16EFD154" w14:textId="77777777" w:rsidR="00B85AFB" w:rsidRPr="00A058B6" w:rsidRDefault="00B85AFB" w:rsidP="00B85AFB">
            <w:pPr>
              <w:pStyle w:val="Tabletext"/>
            </w:pPr>
            <w:r w:rsidRPr="00A058B6">
              <w:t>57</w:t>
            </w:r>
          </w:p>
        </w:tc>
        <w:tc>
          <w:tcPr>
            <w:tcW w:w="1430" w:type="pct"/>
            <w:tcBorders>
              <w:top w:val="single" w:sz="2" w:space="0" w:color="auto"/>
              <w:left w:val="nil"/>
              <w:bottom w:val="single" w:sz="2" w:space="0" w:color="auto"/>
              <w:right w:val="nil"/>
            </w:tcBorders>
            <w:shd w:val="clear" w:color="auto" w:fill="auto"/>
            <w:vAlign w:val="bottom"/>
          </w:tcPr>
          <w:p w14:paraId="093E4F0C" w14:textId="77777777" w:rsidR="00B85AFB" w:rsidRPr="00D70D66" w:rsidRDefault="00B85AFB" w:rsidP="00B85AFB">
            <w:pPr>
              <w:pStyle w:val="Tabletext"/>
              <w:rPr>
                <w:color w:val="000000" w:themeColor="text1"/>
              </w:rPr>
            </w:pPr>
            <w:r w:rsidRPr="00D70D66">
              <w:rPr>
                <w:color w:val="000000" w:themeColor="text1"/>
              </w:rPr>
              <w:t>22</w:t>
            </w:r>
            <w:r w:rsidR="00D7157D">
              <w:rPr>
                <w:color w:val="000000" w:themeColor="text1"/>
              </w:rPr>
              <w:t>.</w:t>
            </w:r>
            <w:r w:rsidRPr="00D70D66">
              <w:rPr>
                <w:color w:val="000000" w:themeColor="text1"/>
              </w:rPr>
              <w:t>4927</w:t>
            </w:r>
          </w:p>
        </w:tc>
        <w:tc>
          <w:tcPr>
            <w:tcW w:w="1865" w:type="pct"/>
            <w:tcBorders>
              <w:top w:val="single" w:sz="2" w:space="0" w:color="auto"/>
              <w:left w:val="nil"/>
              <w:bottom w:val="single" w:sz="2" w:space="0" w:color="auto"/>
              <w:right w:val="nil"/>
            </w:tcBorders>
            <w:shd w:val="clear" w:color="auto" w:fill="auto"/>
            <w:vAlign w:val="center"/>
          </w:tcPr>
          <w:p w14:paraId="366B366F" w14:textId="77777777" w:rsidR="00B85AFB" w:rsidRPr="00D70D66" w:rsidRDefault="00B85AFB" w:rsidP="00B85AFB">
            <w:pPr>
              <w:pStyle w:val="Tabletext"/>
              <w:rPr>
                <w:color w:val="000000" w:themeColor="text1"/>
              </w:rPr>
            </w:pPr>
            <w:r w:rsidRPr="00D70D66">
              <w:rPr>
                <w:color w:val="000000" w:themeColor="text1"/>
              </w:rPr>
              <w:t>23</w:t>
            </w:r>
            <w:r w:rsidR="00D7157D">
              <w:rPr>
                <w:color w:val="000000" w:themeColor="text1"/>
              </w:rPr>
              <w:t>.</w:t>
            </w:r>
            <w:r w:rsidRPr="00D70D66">
              <w:rPr>
                <w:color w:val="000000" w:themeColor="text1"/>
              </w:rPr>
              <w:t>6991</w:t>
            </w:r>
          </w:p>
        </w:tc>
      </w:tr>
      <w:tr w:rsidR="00B85AFB" w:rsidRPr="00A058B6" w14:paraId="6E8FB8A1" w14:textId="77777777" w:rsidTr="005B61BB">
        <w:trPr>
          <w:trHeight w:val="245"/>
          <w:jc w:val="right"/>
        </w:trPr>
        <w:tc>
          <w:tcPr>
            <w:tcW w:w="1705" w:type="pct"/>
          </w:tcPr>
          <w:p w14:paraId="7D654FA5" w14:textId="77777777" w:rsidR="00B85AFB" w:rsidRPr="00A058B6" w:rsidRDefault="00B85AFB" w:rsidP="00B85AFB">
            <w:pPr>
              <w:pStyle w:val="Tabletext"/>
            </w:pPr>
            <w:r w:rsidRPr="00A058B6">
              <w:t>58</w:t>
            </w:r>
          </w:p>
        </w:tc>
        <w:tc>
          <w:tcPr>
            <w:tcW w:w="1430" w:type="pct"/>
            <w:tcBorders>
              <w:top w:val="single" w:sz="2" w:space="0" w:color="auto"/>
              <w:left w:val="nil"/>
              <w:bottom w:val="single" w:sz="2" w:space="0" w:color="auto"/>
              <w:right w:val="nil"/>
            </w:tcBorders>
            <w:shd w:val="clear" w:color="auto" w:fill="auto"/>
            <w:vAlign w:val="bottom"/>
          </w:tcPr>
          <w:p w14:paraId="32AD7384" w14:textId="77777777" w:rsidR="00B85AFB" w:rsidRPr="00D70D66" w:rsidRDefault="00B85AFB" w:rsidP="00B85AFB">
            <w:pPr>
              <w:pStyle w:val="Tabletext"/>
              <w:rPr>
                <w:color w:val="000000" w:themeColor="text1"/>
              </w:rPr>
            </w:pPr>
            <w:r w:rsidRPr="00D70D66">
              <w:rPr>
                <w:color w:val="000000" w:themeColor="text1"/>
              </w:rPr>
              <w:t>21</w:t>
            </w:r>
            <w:r w:rsidR="00D7157D">
              <w:rPr>
                <w:color w:val="000000" w:themeColor="text1"/>
              </w:rPr>
              <w:t>.</w:t>
            </w:r>
            <w:r w:rsidRPr="00D70D66">
              <w:rPr>
                <w:color w:val="000000" w:themeColor="text1"/>
              </w:rPr>
              <w:t>9840</w:t>
            </w:r>
          </w:p>
        </w:tc>
        <w:tc>
          <w:tcPr>
            <w:tcW w:w="1865" w:type="pct"/>
            <w:tcBorders>
              <w:top w:val="single" w:sz="2" w:space="0" w:color="auto"/>
              <w:left w:val="nil"/>
              <w:bottom w:val="single" w:sz="2" w:space="0" w:color="auto"/>
              <w:right w:val="nil"/>
            </w:tcBorders>
            <w:shd w:val="clear" w:color="auto" w:fill="auto"/>
            <w:vAlign w:val="center"/>
          </w:tcPr>
          <w:p w14:paraId="43354B1F" w14:textId="77777777" w:rsidR="00B85AFB" w:rsidRPr="00D70D66" w:rsidRDefault="00B85AFB" w:rsidP="00B85AFB">
            <w:pPr>
              <w:pStyle w:val="Tabletext"/>
              <w:rPr>
                <w:color w:val="000000" w:themeColor="text1"/>
              </w:rPr>
            </w:pPr>
            <w:r w:rsidRPr="00D70D66">
              <w:rPr>
                <w:color w:val="000000" w:themeColor="text1"/>
              </w:rPr>
              <w:t>23</w:t>
            </w:r>
            <w:r w:rsidR="00D7157D">
              <w:rPr>
                <w:color w:val="000000" w:themeColor="text1"/>
              </w:rPr>
              <w:t>.</w:t>
            </w:r>
            <w:r w:rsidRPr="00D70D66">
              <w:rPr>
                <w:color w:val="000000" w:themeColor="text1"/>
              </w:rPr>
              <w:t>2044</w:t>
            </w:r>
          </w:p>
        </w:tc>
      </w:tr>
      <w:tr w:rsidR="00B85AFB" w:rsidRPr="00A058B6" w14:paraId="03D3F7E2" w14:textId="77777777" w:rsidTr="005B61BB">
        <w:trPr>
          <w:trHeight w:val="245"/>
          <w:jc w:val="right"/>
        </w:trPr>
        <w:tc>
          <w:tcPr>
            <w:tcW w:w="1705" w:type="pct"/>
          </w:tcPr>
          <w:p w14:paraId="1AAAE690" w14:textId="77777777" w:rsidR="00B85AFB" w:rsidRPr="00A058B6" w:rsidRDefault="00B85AFB" w:rsidP="00B85AFB">
            <w:pPr>
              <w:pStyle w:val="Tabletext"/>
            </w:pPr>
            <w:r w:rsidRPr="00A058B6">
              <w:t>59</w:t>
            </w:r>
          </w:p>
        </w:tc>
        <w:tc>
          <w:tcPr>
            <w:tcW w:w="1430" w:type="pct"/>
            <w:tcBorders>
              <w:top w:val="single" w:sz="2" w:space="0" w:color="auto"/>
              <w:left w:val="nil"/>
              <w:bottom w:val="single" w:sz="2" w:space="0" w:color="auto"/>
              <w:right w:val="nil"/>
            </w:tcBorders>
            <w:shd w:val="clear" w:color="auto" w:fill="auto"/>
            <w:vAlign w:val="bottom"/>
          </w:tcPr>
          <w:p w14:paraId="295BCF59" w14:textId="77777777" w:rsidR="00B85AFB" w:rsidRPr="00D70D66" w:rsidRDefault="00B85AFB" w:rsidP="00B85AFB">
            <w:pPr>
              <w:pStyle w:val="Tabletext"/>
              <w:rPr>
                <w:color w:val="000000" w:themeColor="text1"/>
              </w:rPr>
            </w:pPr>
            <w:r w:rsidRPr="00D70D66">
              <w:rPr>
                <w:color w:val="000000" w:themeColor="text1"/>
              </w:rPr>
              <w:t>21</w:t>
            </w:r>
            <w:r w:rsidR="00D7157D">
              <w:rPr>
                <w:color w:val="000000" w:themeColor="text1"/>
              </w:rPr>
              <w:t>.</w:t>
            </w:r>
            <w:r w:rsidRPr="00D70D66">
              <w:rPr>
                <w:color w:val="000000" w:themeColor="text1"/>
              </w:rPr>
              <w:t>4642</w:t>
            </w:r>
          </w:p>
        </w:tc>
        <w:tc>
          <w:tcPr>
            <w:tcW w:w="1865" w:type="pct"/>
            <w:tcBorders>
              <w:top w:val="single" w:sz="2" w:space="0" w:color="auto"/>
              <w:left w:val="nil"/>
              <w:bottom w:val="single" w:sz="2" w:space="0" w:color="auto"/>
              <w:right w:val="nil"/>
            </w:tcBorders>
            <w:shd w:val="clear" w:color="auto" w:fill="auto"/>
            <w:vAlign w:val="center"/>
          </w:tcPr>
          <w:p w14:paraId="422E432D" w14:textId="77777777" w:rsidR="00B85AFB" w:rsidRPr="00D70D66" w:rsidRDefault="00B85AFB" w:rsidP="00B85AFB">
            <w:pPr>
              <w:pStyle w:val="Tabletext"/>
              <w:rPr>
                <w:color w:val="000000" w:themeColor="text1"/>
              </w:rPr>
            </w:pPr>
            <w:r w:rsidRPr="00D70D66">
              <w:rPr>
                <w:color w:val="000000" w:themeColor="text1"/>
              </w:rPr>
              <w:t>22</w:t>
            </w:r>
            <w:r w:rsidR="00D7157D">
              <w:rPr>
                <w:color w:val="000000" w:themeColor="text1"/>
              </w:rPr>
              <w:t>.</w:t>
            </w:r>
            <w:r w:rsidRPr="00D70D66">
              <w:rPr>
                <w:color w:val="000000" w:themeColor="text1"/>
              </w:rPr>
              <w:t>6998</w:t>
            </w:r>
          </w:p>
        </w:tc>
      </w:tr>
      <w:tr w:rsidR="00B85AFB" w:rsidRPr="00A058B6" w14:paraId="047B5B90" w14:textId="77777777" w:rsidTr="005B61BB">
        <w:trPr>
          <w:trHeight w:val="245"/>
          <w:jc w:val="right"/>
        </w:trPr>
        <w:tc>
          <w:tcPr>
            <w:tcW w:w="1705" w:type="pct"/>
          </w:tcPr>
          <w:p w14:paraId="75D9471B" w14:textId="77777777" w:rsidR="00B85AFB" w:rsidRPr="00A058B6" w:rsidRDefault="00B85AFB" w:rsidP="00B85AFB">
            <w:pPr>
              <w:pStyle w:val="Tabletext"/>
            </w:pPr>
            <w:r w:rsidRPr="00A058B6">
              <w:t>60</w:t>
            </w:r>
          </w:p>
        </w:tc>
        <w:tc>
          <w:tcPr>
            <w:tcW w:w="1430" w:type="pct"/>
            <w:tcBorders>
              <w:top w:val="single" w:sz="2" w:space="0" w:color="auto"/>
              <w:left w:val="nil"/>
              <w:bottom w:val="single" w:sz="2" w:space="0" w:color="auto"/>
              <w:right w:val="nil"/>
            </w:tcBorders>
            <w:shd w:val="clear" w:color="auto" w:fill="auto"/>
            <w:vAlign w:val="bottom"/>
          </w:tcPr>
          <w:p w14:paraId="2B89C4E1" w14:textId="77777777" w:rsidR="00B85AFB" w:rsidRPr="00D70D66" w:rsidRDefault="00B85AFB" w:rsidP="00B85AFB">
            <w:pPr>
              <w:pStyle w:val="Tabletext"/>
              <w:rPr>
                <w:color w:val="000000" w:themeColor="text1"/>
              </w:rPr>
            </w:pPr>
            <w:r w:rsidRPr="00D70D66">
              <w:rPr>
                <w:color w:val="000000" w:themeColor="text1"/>
              </w:rPr>
              <w:t>20</w:t>
            </w:r>
            <w:r w:rsidR="00D7157D">
              <w:rPr>
                <w:color w:val="000000" w:themeColor="text1"/>
              </w:rPr>
              <w:t>.</w:t>
            </w:r>
            <w:r w:rsidRPr="00D70D66">
              <w:rPr>
                <w:color w:val="000000" w:themeColor="text1"/>
              </w:rPr>
              <w:t>9337</w:t>
            </w:r>
          </w:p>
        </w:tc>
        <w:tc>
          <w:tcPr>
            <w:tcW w:w="1865" w:type="pct"/>
            <w:tcBorders>
              <w:top w:val="single" w:sz="2" w:space="0" w:color="auto"/>
              <w:left w:val="nil"/>
              <w:bottom w:val="single" w:sz="2" w:space="0" w:color="auto"/>
              <w:right w:val="nil"/>
            </w:tcBorders>
            <w:shd w:val="clear" w:color="auto" w:fill="auto"/>
            <w:vAlign w:val="center"/>
          </w:tcPr>
          <w:p w14:paraId="5F52BF22" w14:textId="77777777" w:rsidR="00B85AFB" w:rsidRPr="00D70D66" w:rsidRDefault="00B85AFB" w:rsidP="00B85AFB">
            <w:pPr>
              <w:pStyle w:val="Tabletext"/>
              <w:rPr>
                <w:color w:val="000000" w:themeColor="text1"/>
              </w:rPr>
            </w:pPr>
            <w:r w:rsidRPr="00D70D66">
              <w:rPr>
                <w:color w:val="000000" w:themeColor="text1"/>
              </w:rPr>
              <w:t>22</w:t>
            </w:r>
            <w:r w:rsidR="00D7157D">
              <w:rPr>
                <w:color w:val="000000" w:themeColor="text1"/>
              </w:rPr>
              <w:t>.</w:t>
            </w:r>
            <w:r w:rsidRPr="00D70D66">
              <w:rPr>
                <w:color w:val="000000" w:themeColor="text1"/>
              </w:rPr>
              <w:t>1848</w:t>
            </w:r>
          </w:p>
        </w:tc>
      </w:tr>
      <w:tr w:rsidR="00B85AFB" w:rsidRPr="00A058B6" w14:paraId="72531510" w14:textId="77777777" w:rsidTr="005B61BB">
        <w:trPr>
          <w:trHeight w:val="245"/>
          <w:jc w:val="right"/>
        </w:trPr>
        <w:tc>
          <w:tcPr>
            <w:tcW w:w="1705" w:type="pct"/>
          </w:tcPr>
          <w:p w14:paraId="0B745F7C" w14:textId="77777777" w:rsidR="00B85AFB" w:rsidRPr="00A058B6" w:rsidRDefault="00B85AFB" w:rsidP="00B85AFB">
            <w:pPr>
              <w:pStyle w:val="Tabletext"/>
            </w:pPr>
            <w:r w:rsidRPr="00A058B6">
              <w:t>61</w:t>
            </w:r>
          </w:p>
        </w:tc>
        <w:tc>
          <w:tcPr>
            <w:tcW w:w="1430" w:type="pct"/>
            <w:tcBorders>
              <w:top w:val="single" w:sz="2" w:space="0" w:color="auto"/>
              <w:left w:val="nil"/>
              <w:bottom w:val="single" w:sz="2" w:space="0" w:color="auto"/>
              <w:right w:val="nil"/>
            </w:tcBorders>
            <w:shd w:val="clear" w:color="auto" w:fill="auto"/>
            <w:vAlign w:val="bottom"/>
          </w:tcPr>
          <w:p w14:paraId="0A7FC60E" w14:textId="77777777" w:rsidR="00B85AFB" w:rsidRPr="00D70D66" w:rsidRDefault="00B85AFB" w:rsidP="00B85AFB">
            <w:pPr>
              <w:pStyle w:val="Tabletext"/>
              <w:rPr>
                <w:color w:val="000000" w:themeColor="text1"/>
              </w:rPr>
            </w:pPr>
            <w:r w:rsidRPr="00D70D66">
              <w:rPr>
                <w:color w:val="000000" w:themeColor="text1"/>
              </w:rPr>
              <w:t>20</w:t>
            </w:r>
            <w:r w:rsidR="00D7157D">
              <w:rPr>
                <w:color w:val="000000" w:themeColor="text1"/>
              </w:rPr>
              <w:t>.</w:t>
            </w:r>
            <w:r w:rsidRPr="00D70D66">
              <w:rPr>
                <w:color w:val="000000" w:themeColor="text1"/>
              </w:rPr>
              <w:t>3928</w:t>
            </w:r>
          </w:p>
        </w:tc>
        <w:tc>
          <w:tcPr>
            <w:tcW w:w="1865" w:type="pct"/>
            <w:tcBorders>
              <w:top w:val="single" w:sz="2" w:space="0" w:color="auto"/>
              <w:left w:val="nil"/>
              <w:bottom w:val="single" w:sz="2" w:space="0" w:color="auto"/>
              <w:right w:val="nil"/>
            </w:tcBorders>
            <w:shd w:val="clear" w:color="auto" w:fill="auto"/>
            <w:vAlign w:val="center"/>
          </w:tcPr>
          <w:p w14:paraId="62DDCECA" w14:textId="77777777" w:rsidR="00B85AFB" w:rsidRPr="00D70D66" w:rsidRDefault="00B85AFB" w:rsidP="00B85AFB">
            <w:pPr>
              <w:pStyle w:val="Tabletext"/>
              <w:rPr>
                <w:color w:val="000000" w:themeColor="text1"/>
              </w:rPr>
            </w:pPr>
            <w:r w:rsidRPr="00D70D66">
              <w:rPr>
                <w:color w:val="000000" w:themeColor="text1"/>
              </w:rPr>
              <w:t>21</w:t>
            </w:r>
            <w:r w:rsidR="00D7157D">
              <w:rPr>
                <w:color w:val="000000" w:themeColor="text1"/>
              </w:rPr>
              <w:t>.</w:t>
            </w:r>
            <w:r w:rsidRPr="00D70D66">
              <w:rPr>
                <w:color w:val="000000" w:themeColor="text1"/>
              </w:rPr>
              <w:t>6585</w:t>
            </w:r>
          </w:p>
        </w:tc>
      </w:tr>
      <w:tr w:rsidR="00B85AFB" w:rsidRPr="00A058B6" w14:paraId="61A746E4" w14:textId="77777777" w:rsidTr="005B61BB">
        <w:trPr>
          <w:trHeight w:val="245"/>
          <w:jc w:val="right"/>
        </w:trPr>
        <w:tc>
          <w:tcPr>
            <w:tcW w:w="1705" w:type="pct"/>
          </w:tcPr>
          <w:p w14:paraId="785C066A" w14:textId="77777777" w:rsidR="00B85AFB" w:rsidRPr="00A058B6" w:rsidRDefault="00B85AFB" w:rsidP="00B85AFB">
            <w:pPr>
              <w:pStyle w:val="Tabletext"/>
            </w:pPr>
            <w:r w:rsidRPr="00A058B6">
              <w:t>62</w:t>
            </w:r>
          </w:p>
        </w:tc>
        <w:tc>
          <w:tcPr>
            <w:tcW w:w="1430" w:type="pct"/>
            <w:tcBorders>
              <w:top w:val="single" w:sz="2" w:space="0" w:color="auto"/>
              <w:left w:val="nil"/>
              <w:bottom w:val="single" w:sz="2" w:space="0" w:color="auto"/>
              <w:right w:val="nil"/>
            </w:tcBorders>
            <w:shd w:val="clear" w:color="auto" w:fill="auto"/>
            <w:vAlign w:val="bottom"/>
          </w:tcPr>
          <w:p w14:paraId="7D6EF73B" w14:textId="77777777" w:rsidR="00B85AFB" w:rsidRPr="00D70D66" w:rsidRDefault="00B85AFB" w:rsidP="00B85AFB">
            <w:pPr>
              <w:pStyle w:val="Tabletext"/>
              <w:rPr>
                <w:color w:val="000000" w:themeColor="text1"/>
              </w:rPr>
            </w:pPr>
            <w:r w:rsidRPr="00D70D66">
              <w:rPr>
                <w:color w:val="000000" w:themeColor="text1"/>
              </w:rPr>
              <w:t>19</w:t>
            </w:r>
            <w:r w:rsidR="00D7157D">
              <w:rPr>
                <w:color w:val="000000" w:themeColor="text1"/>
              </w:rPr>
              <w:t>.</w:t>
            </w:r>
            <w:r w:rsidRPr="00D70D66">
              <w:rPr>
                <w:color w:val="000000" w:themeColor="text1"/>
              </w:rPr>
              <w:t>8410</w:t>
            </w:r>
          </w:p>
        </w:tc>
        <w:tc>
          <w:tcPr>
            <w:tcW w:w="1865" w:type="pct"/>
            <w:tcBorders>
              <w:top w:val="single" w:sz="2" w:space="0" w:color="auto"/>
              <w:left w:val="nil"/>
              <w:bottom w:val="single" w:sz="2" w:space="0" w:color="auto"/>
              <w:right w:val="nil"/>
            </w:tcBorders>
            <w:shd w:val="clear" w:color="auto" w:fill="auto"/>
            <w:vAlign w:val="center"/>
          </w:tcPr>
          <w:p w14:paraId="250F93D6" w14:textId="77777777" w:rsidR="00B85AFB" w:rsidRPr="00D70D66" w:rsidRDefault="00B85AFB" w:rsidP="00B85AFB">
            <w:pPr>
              <w:pStyle w:val="Tabletext"/>
              <w:rPr>
                <w:color w:val="000000" w:themeColor="text1"/>
              </w:rPr>
            </w:pPr>
            <w:r w:rsidRPr="00D70D66">
              <w:rPr>
                <w:color w:val="000000" w:themeColor="text1"/>
              </w:rPr>
              <w:t>21</w:t>
            </w:r>
            <w:r w:rsidR="00D7157D">
              <w:rPr>
                <w:color w:val="000000" w:themeColor="text1"/>
              </w:rPr>
              <w:t>.</w:t>
            </w:r>
            <w:r w:rsidRPr="00D70D66">
              <w:rPr>
                <w:color w:val="000000" w:themeColor="text1"/>
              </w:rPr>
              <w:t>1220</w:t>
            </w:r>
          </w:p>
        </w:tc>
      </w:tr>
      <w:tr w:rsidR="00B85AFB" w:rsidRPr="00A058B6" w14:paraId="37456FC8" w14:textId="77777777" w:rsidTr="005B61BB">
        <w:trPr>
          <w:trHeight w:val="245"/>
          <w:jc w:val="right"/>
        </w:trPr>
        <w:tc>
          <w:tcPr>
            <w:tcW w:w="1705" w:type="pct"/>
          </w:tcPr>
          <w:p w14:paraId="695783F9" w14:textId="77777777" w:rsidR="00B85AFB" w:rsidRPr="00A058B6" w:rsidRDefault="00B85AFB" w:rsidP="00B85AFB">
            <w:pPr>
              <w:pStyle w:val="Tabletext"/>
            </w:pPr>
            <w:r w:rsidRPr="00A058B6">
              <w:t>63</w:t>
            </w:r>
          </w:p>
        </w:tc>
        <w:tc>
          <w:tcPr>
            <w:tcW w:w="1430" w:type="pct"/>
            <w:tcBorders>
              <w:top w:val="single" w:sz="2" w:space="0" w:color="auto"/>
              <w:left w:val="nil"/>
              <w:bottom w:val="single" w:sz="2" w:space="0" w:color="auto"/>
              <w:right w:val="nil"/>
            </w:tcBorders>
            <w:shd w:val="clear" w:color="auto" w:fill="auto"/>
            <w:vAlign w:val="bottom"/>
          </w:tcPr>
          <w:p w14:paraId="5D6EDDEB" w14:textId="77777777" w:rsidR="00B85AFB" w:rsidRPr="00D70D66" w:rsidRDefault="00B85AFB" w:rsidP="00B85AFB">
            <w:pPr>
              <w:pStyle w:val="Tabletext"/>
              <w:rPr>
                <w:color w:val="000000" w:themeColor="text1"/>
              </w:rPr>
            </w:pPr>
            <w:r w:rsidRPr="00D70D66">
              <w:rPr>
                <w:color w:val="000000" w:themeColor="text1"/>
              </w:rPr>
              <w:t>19</w:t>
            </w:r>
            <w:r w:rsidR="00D7157D">
              <w:rPr>
                <w:color w:val="000000" w:themeColor="text1"/>
              </w:rPr>
              <w:t>.</w:t>
            </w:r>
            <w:r w:rsidRPr="00D70D66">
              <w:rPr>
                <w:color w:val="000000" w:themeColor="text1"/>
              </w:rPr>
              <w:t>2788</w:t>
            </w:r>
          </w:p>
        </w:tc>
        <w:tc>
          <w:tcPr>
            <w:tcW w:w="1865" w:type="pct"/>
            <w:tcBorders>
              <w:top w:val="single" w:sz="2" w:space="0" w:color="auto"/>
              <w:left w:val="nil"/>
              <w:bottom w:val="single" w:sz="2" w:space="0" w:color="auto"/>
              <w:right w:val="nil"/>
            </w:tcBorders>
            <w:shd w:val="clear" w:color="auto" w:fill="auto"/>
            <w:vAlign w:val="center"/>
          </w:tcPr>
          <w:p w14:paraId="014460E2" w14:textId="77777777" w:rsidR="00B85AFB" w:rsidRPr="00D70D66" w:rsidRDefault="00B85AFB" w:rsidP="00B85AFB">
            <w:pPr>
              <w:pStyle w:val="Tabletext"/>
              <w:rPr>
                <w:color w:val="000000" w:themeColor="text1"/>
              </w:rPr>
            </w:pPr>
            <w:r w:rsidRPr="00D70D66">
              <w:rPr>
                <w:color w:val="000000" w:themeColor="text1"/>
              </w:rPr>
              <w:t>20</w:t>
            </w:r>
            <w:r w:rsidR="00D7157D">
              <w:rPr>
                <w:color w:val="000000" w:themeColor="text1"/>
              </w:rPr>
              <w:t>.</w:t>
            </w:r>
            <w:r w:rsidRPr="00D70D66">
              <w:rPr>
                <w:color w:val="000000" w:themeColor="text1"/>
              </w:rPr>
              <w:t>5751</w:t>
            </w:r>
          </w:p>
        </w:tc>
      </w:tr>
      <w:tr w:rsidR="00B85AFB" w:rsidRPr="00A058B6" w14:paraId="563F6CAF" w14:textId="77777777" w:rsidTr="005B61BB">
        <w:trPr>
          <w:trHeight w:val="245"/>
          <w:jc w:val="right"/>
        </w:trPr>
        <w:tc>
          <w:tcPr>
            <w:tcW w:w="1705" w:type="pct"/>
            <w:tcBorders>
              <w:bottom w:val="single" w:sz="4" w:space="0" w:color="auto"/>
            </w:tcBorders>
          </w:tcPr>
          <w:p w14:paraId="7DDE0F8A" w14:textId="77777777" w:rsidR="00B85AFB" w:rsidRPr="00A058B6" w:rsidRDefault="00B85AFB" w:rsidP="00B85AFB">
            <w:pPr>
              <w:pStyle w:val="Tabletext"/>
            </w:pPr>
            <w:r w:rsidRPr="00A058B6">
              <w:t>64</w:t>
            </w:r>
          </w:p>
        </w:tc>
        <w:tc>
          <w:tcPr>
            <w:tcW w:w="1430" w:type="pct"/>
            <w:tcBorders>
              <w:top w:val="single" w:sz="2" w:space="0" w:color="auto"/>
              <w:left w:val="nil"/>
              <w:bottom w:val="single" w:sz="2" w:space="0" w:color="auto"/>
              <w:right w:val="nil"/>
            </w:tcBorders>
            <w:shd w:val="clear" w:color="auto" w:fill="auto"/>
            <w:vAlign w:val="bottom"/>
          </w:tcPr>
          <w:p w14:paraId="4B071C2A" w14:textId="77777777" w:rsidR="00B85AFB" w:rsidRPr="00D70D66" w:rsidRDefault="00B85AFB" w:rsidP="00B85AFB">
            <w:pPr>
              <w:pStyle w:val="Tabletext"/>
              <w:rPr>
                <w:color w:val="000000" w:themeColor="text1"/>
              </w:rPr>
            </w:pPr>
            <w:r w:rsidRPr="00D70D66">
              <w:rPr>
                <w:color w:val="000000" w:themeColor="text1"/>
              </w:rPr>
              <w:t>18</w:t>
            </w:r>
            <w:r w:rsidR="00D7157D">
              <w:rPr>
                <w:color w:val="000000" w:themeColor="text1"/>
              </w:rPr>
              <w:t>.</w:t>
            </w:r>
            <w:r w:rsidRPr="00D70D66">
              <w:rPr>
                <w:color w:val="000000" w:themeColor="text1"/>
              </w:rPr>
              <w:t>7059</w:t>
            </w:r>
          </w:p>
        </w:tc>
        <w:tc>
          <w:tcPr>
            <w:tcW w:w="1865" w:type="pct"/>
            <w:tcBorders>
              <w:top w:val="single" w:sz="2" w:space="0" w:color="auto"/>
              <w:left w:val="nil"/>
              <w:bottom w:val="single" w:sz="2" w:space="0" w:color="auto"/>
              <w:right w:val="nil"/>
            </w:tcBorders>
            <w:shd w:val="clear" w:color="auto" w:fill="auto"/>
            <w:vAlign w:val="center"/>
          </w:tcPr>
          <w:p w14:paraId="6AD05AFC" w14:textId="77777777" w:rsidR="00B85AFB" w:rsidRPr="00D70D66" w:rsidRDefault="00B85AFB" w:rsidP="00B85AFB">
            <w:pPr>
              <w:pStyle w:val="Tabletext"/>
              <w:rPr>
                <w:color w:val="000000" w:themeColor="text1"/>
              </w:rPr>
            </w:pPr>
            <w:r w:rsidRPr="00D70D66">
              <w:rPr>
                <w:color w:val="000000" w:themeColor="text1"/>
              </w:rPr>
              <w:t>20</w:t>
            </w:r>
            <w:r w:rsidR="00D7157D">
              <w:rPr>
                <w:color w:val="000000" w:themeColor="text1"/>
              </w:rPr>
              <w:t>.</w:t>
            </w:r>
            <w:r w:rsidRPr="00D70D66">
              <w:rPr>
                <w:color w:val="000000" w:themeColor="text1"/>
              </w:rPr>
              <w:t>0179</w:t>
            </w:r>
          </w:p>
        </w:tc>
      </w:tr>
      <w:tr w:rsidR="00B85AFB" w:rsidRPr="00A058B6" w14:paraId="0F168535" w14:textId="77777777" w:rsidTr="005B61BB">
        <w:trPr>
          <w:trHeight w:val="245"/>
          <w:jc w:val="right"/>
        </w:trPr>
        <w:tc>
          <w:tcPr>
            <w:tcW w:w="1705" w:type="pct"/>
            <w:tcBorders>
              <w:top w:val="single" w:sz="4" w:space="0" w:color="auto"/>
              <w:bottom w:val="single" w:sz="12" w:space="0" w:color="auto"/>
            </w:tcBorders>
          </w:tcPr>
          <w:p w14:paraId="5A394838" w14:textId="77777777" w:rsidR="00B85AFB" w:rsidRPr="00A058B6" w:rsidRDefault="00B85AFB" w:rsidP="00B85AFB">
            <w:pPr>
              <w:pStyle w:val="Tabletext"/>
            </w:pPr>
            <w:r w:rsidRPr="00A058B6">
              <w:t>65</w:t>
            </w:r>
          </w:p>
        </w:tc>
        <w:tc>
          <w:tcPr>
            <w:tcW w:w="1430" w:type="pct"/>
            <w:tcBorders>
              <w:top w:val="single" w:sz="2" w:space="0" w:color="auto"/>
              <w:left w:val="nil"/>
              <w:bottom w:val="single" w:sz="12" w:space="0" w:color="auto"/>
              <w:right w:val="nil"/>
            </w:tcBorders>
            <w:shd w:val="clear" w:color="auto" w:fill="auto"/>
            <w:vAlign w:val="bottom"/>
          </w:tcPr>
          <w:p w14:paraId="62947398" w14:textId="77777777" w:rsidR="00B85AFB" w:rsidRPr="00D70D66" w:rsidRDefault="00B85AFB" w:rsidP="00B85AFB">
            <w:pPr>
              <w:pStyle w:val="Tabletext"/>
              <w:rPr>
                <w:color w:val="000000" w:themeColor="text1"/>
              </w:rPr>
            </w:pPr>
            <w:r w:rsidRPr="00D70D66">
              <w:rPr>
                <w:color w:val="000000" w:themeColor="text1"/>
              </w:rPr>
              <w:t>18</w:t>
            </w:r>
            <w:r w:rsidR="00D7157D">
              <w:rPr>
                <w:color w:val="000000" w:themeColor="text1"/>
              </w:rPr>
              <w:t>.</w:t>
            </w:r>
            <w:r w:rsidRPr="00D70D66">
              <w:rPr>
                <w:color w:val="000000" w:themeColor="text1"/>
              </w:rPr>
              <w:t>1247</w:t>
            </w:r>
          </w:p>
        </w:tc>
        <w:tc>
          <w:tcPr>
            <w:tcW w:w="1865" w:type="pct"/>
            <w:tcBorders>
              <w:top w:val="single" w:sz="2" w:space="0" w:color="auto"/>
              <w:left w:val="nil"/>
              <w:bottom w:val="single" w:sz="12" w:space="0" w:color="auto"/>
              <w:right w:val="nil"/>
            </w:tcBorders>
            <w:shd w:val="clear" w:color="auto" w:fill="auto"/>
            <w:vAlign w:val="center"/>
          </w:tcPr>
          <w:p w14:paraId="74237398" w14:textId="77777777" w:rsidR="00B85AFB" w:rsidRPr="00D70D66" w:rsidRDefault="00B85AFB" w:rsidP="00B85AFB">
            <w:pPr>
              <w:pStyle w:val="Tabletext"/>
              <w:rPr>
                <w:color w:val="000000" w:themeColor="text1"/>
              </w:rPr>
            </w:pPr>
            <w:r w:rsidRPr="00D70D66">
              <w:rPr>
                <w:color w:val="000000" w:themeColor="text1"/>
              </w:rPr>
              <w:t>19</w:t>
            </w:r>
            <w:r w:rsidR="00D7157D">
              <w:rPr>
                <w:color w:val="000000" w:themeColor="text1"/>
              </w:rPr>
              <w:t>.</w:t>
            </w:r>
            <w:r w:rsidRPr="00D70D66">
              <w:rPr>
                <w:color w:val="000000" w:themeColor="text1"/>
              </w:rPr>
              <w:t>4522</w:t>
            </w:r>
          </w:p>
        </w:tc>
      </w:tr>
    </w:tbl>
    <w:p w14:paraId="6E0106D0" w14:textId="77777777" w:rsidR="007A2FC7" w:rsidRPr="00A058B6" w:rsidRDefault="007A2FC7" w:rsidP="007A2FC7">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7A2FC7" w:rsidRPr="00A058B6" w14:paraId="794A4E39" w14:textId="77777777" w:rsidTr="005B61BB">
        <w:trPr>
          <w:cantSplit/>
          <w:trHeight w:val="375"/>
          <w:tblHeader/>
          <w:jc w:val="right"/>
        </w:trPr>
        <w:tc>
          <w:tcPr>
            <w:tcW w:w="1705" w:type="pct"/>
            <w:vMerge w:val="restart"/>
            <w:tcBorders>
              <w:top w:val="single" w:sz="12" w:space="0" w:color="auto"/>
              <w:bottom w:val="single" w:sz="12" w:space="0" w:color="auto"/>
            </w:tcBorders>
          </w:tcPr>
          <w:p w14:paraId="386F3B1F" w14:textId="77777777" w:rsidR="007A2FC7" w:rsidRPr="00A058B6" w:rsidRDefault="007A2FC7" w:rsidP="005B61BB">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1E3BDAEC" w14:textId="77777777" w:rsidR="007A2FC7" w:rsidRPr="00A058B6" w:rsidRDefault="007A2FC7" w:rsidP="005B61BB">
            <w:pPr>
              <w:pStyle w:val="TableHeading"/>
              <w:rPr>
                <w:snapToGrid w:val="0"/>
              </w:rPr>
            </w:pPr>
            <w:r w:rsidRPr="00A058B6">
              <w:rPr>
                <w:snapToGrid w:val="0"/>
              </w:rPr>
              <w:t>Reversion valuation factors</w:t>
            </w:r>
            <w:r w:rsidRPr="00A058B6">
              <w:rPr>
                <w:snapToGrid w:val="0"/>
              </w:rPr>
              <w:br/>
              <w:t>No guarantee period—</w:t>
            </w:r>
            <w:r>
              <w:rPr>
                <w:snapToGrid w:val="0"/>
              </w:rPr>
              <w:t>wage</w:t>
            </w:r>
            <w:r w:rsidRPr="00A058B6">
              <w:rPr>
                <w:snapToGrid w:val="0"/>
              </w:rPr>
              <w:t xml:space="preserve"> indexed pension</w:t>
            </w:r>
          </w:p>
        </w:tc>
      </w:tr>
      <w:tr w:rsidR="007A2FC7" w:rsidRPr="00A058B6" w14:paraId="5561FCEA" w14:textId="77777777" w:rsidTr="005B61BB">
        <w:trPr>
          <w:cantSplit/>
          <w:trHeight w:val="26"/>
          <w:tblHeader/>
          <w:jc w:val="right"/>
        </w:trPr>
        <w:tc>
          <w:tcPr>
            <w:tcW w:w="1705" w:type="pct"/>
            <w:vMerge/>
            <w:tcBorders>
              <w:top w:val="single" w:sz="4" w:space="0" w:color="auto"/>
              <w:bottom w:val="single" w:sz="12" w:space="0" w:color="auto"/>
            </w:tcBorders>
          </w:tcPr>
          <w:p w14:paraId="32A7CD47" w14:textId="77777777" w:rsidR="007A2FC7" w:rsidRPr="00A058B6" w:rsidRDefault="007A2FC7" w:rsidP="005B61BB">
            <w:pPr>
              <w:pStyle w:val="TableHeading"/>
              <w:rPr>
                <w:snapToGrid w:val="0"/>
              </w:rPr>
            </w:pPr>
          </w:p>
        </w:tc>
        <w:tc>
          <w:tcPr>
            <w:tcW w:w="1417" w:type="pct"/>
            <w:tcBorders>
              <w:top w:val="single" w:sz="4" w:space="0" w:color="auto"/>
              <w:bottom w:val="single" w:sz="12" w:space="0" w:color="auto"/>
            </w:tcBorders>
          </w:tcPr>
          <w:p w14:paraId="6A7AFE46" w14:textId="77777777" w:rsidR="007A2FC7" w:rsidRPr="00A058B6" w:rsidRDefault="007A2FC7" w:rsidP="005B61BB">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0B79A956" w14:textId="77777777" w:rsidR="007A2FC7" w:rsidRPr="00A058B6" w:rsidRDefault="007A2FC7" w:rsidP="005B61BB">
            <w:pPr>
              <w:pStyle w:val="TableHeading"/>
              <w:rPr>
                <w:snapToGrid w:val="0"/>
              </w:rPr>
            </w:pPr>
            <w:r w:rsidRPr="00A058B6">
              <w:rPr>
                <w:snapToGrid w:val="0"/>
              </w:rPr>
              <w:t>Female</w:t>
            </w:r>
          </w:p>
        </w:tc>
      </w:tr>
      <w:tr w:rsidR="006B51C9" w:rsidRPr="00A058B6" w14:paraId="3EA74DD2" w14:textId="77777777" w:rsidTr="005B61BB">
        <w:trPr>
          <w:trHeight w:val="245"/>
          <w:jc w:val="right"/>
        </w:trPr>
        <w:tc>
          <w:tcPr>
            <w:tcW w:w="1705" w:type="pct"/>
            <w:tcBorders>
              <w:top w:val="single" w:sz="12" w:space="0" w:color="auto"/>
            </w:tcBorders>
          </w:tcPr>
          <w:p w14:paraId="2B309173" w14:textId="77777777" w:rsidR="006B51C9" w:rsidRPr="00A058B6" w:rsidRDefault="006B51C9" w:rsidP="006B51C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0148A699" w14:textId="77777777" w:rsidR="006B51C9" w:rsidRPr="006B51C9" w:rsidRDefault="006B51C9" w:rsidP="006B51C9">
            <w:pPr>
              <w:pStyle w:val="Tabletext"/>
              <w:rPr>
                <w:color w:val="000000" w:themeColor="text1"/>
              </w:rPr>
            </w:pPr>
            <w:r w:rsidRPr="006B51C9">
              <w:rPr>
                <w:color w:val="000000" w:themeColor="text1"/>
              </w:rPr>
              <w:t>3</w:t>
            </w:r>
            <w:r w:rsidR="00D7157D">
              <w:rPr>
                <w:color w:val="000000" w:themeColor="text1"/>
              </w:rPr>
              <w:t>.</w:t>
            </w:r>
            <w:r w:rsidRPr="006B51C9">
              <w:rPr>
                <w:color w:val="000000" w:themeColor="text1"/>
              </w:rPr>
              <w:t>009</w:t>
            </w:r>
          </w:p>
        </w:tc>
        <w:tc>
          <w:tcPr>
            <w:tcW w:w="1878" w:type="pct"/>
            <w:tcBorders>
              <w:top w:val="single" w:sz="12" w:space="0" w:color="auto"/>
              <w:left w:val="nil"/>
              <w:bottom w:val="single" w:sz="2" w:space="0" w:color="auto"/>
              <w:right w:val="nil"/>
            </w:tcBorders>
            <w:shd w:val="clear" w:color="auto" w:fill="auto"/>
            <w:vAlign w:val="bottom"/>
          </w:tcPr>
          <w:p w14:paraId="5B2BE970"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276</w:t>
            </w:r>
          </w:p>
        </w:tc>
      </w:tr>
      <w:tr w:rsidR="006B51C9" w:rsidRPr="00A058B6" w14:paraId="166F9EEF" w14:textId="77777777" w:rsidTr="005B61BB">
        <w:trPr>
          <w:trHeight w:val="245"/>
          <w:jc w:val="right"/>
        </w:trPr>
        <w:tc>
          <w:tcPr>
            <w:tcW w:w="1705" w:type="pct"/>
          </w:tcPr>
          <w:p w14:paraId="33615851" w14:textId="77777777" w:rsidR="006B51C9" w:rsidRPr="00A058B6" w:rsidRDefault="006B51C9" w:rsidP="006B51C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3885EBE6"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908</w:t>
            </w:r>
          </w:p>
        </w:tc>
        <w:tc>
          <w:tcPr>
            <w:tcW w:w="1878" w:type="pct"/>
            <w:tcBorders>
              <w:top w:val="single" w:sz="2" w:space="0" w:color="auto"/>
              <w:left w:val="nil"/>
              <w:bottom w:val="single" w:sz="2" w:space="0" w:color="auto"/>
              <w:right w:val="nil"/>
            </w:tcBorders>
            <w:shd w:val="clear" w:color="auto" w:fill="auto"/>
            <w:vAlign w:val="bottom"/>
          </w:tcPr>
          <w:p w14:paraId="04B7B38B"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200</w:t>
            </w:r>
          </w:p>
        </w:tc>
      </w:tr>
      <w:tr w:rsidR="006B51C9" w:rsidRPr="00A058B6" w14:paraId="0B616895" w14:textId="77777777" w:rsidTr="005B61BB">
        <w:trPr>
          <w:trHeight w:val="245"/>
          <w:jc w:val="right"/>
        </w:trPr>
        <w:tc>
          <w:tcPr>
            <w:tcW w:w="1705" w:type="pct"/>
          </w:tcPr>
          <w:p w14:paraId="5330FC95" w14:textId="77777777" w:rsidR="006B51C9" w:rsidRPr="00A058B6" w:rsidRDefault="006B51C9" w:rsidP="006B51C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1956BE17"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808</w:t>
            </w:r>
          </w:p>
        </w:tc>
        <w:tc>
          <w:tcPr>
            <w:tcW w:w="1878" w:type="pct"/>
            <w:tcBorders>
              <w:top w:val="single" w:sz="2" w:space="0" w:color="auto"/>
              <w:left w:val="nil"/>
              <w:bottom w:val="single" w:sz="2" w:space="0" w:color="auto"/>
              <w:right w:val="nil"/>
            </w:tcBorders>
            <w:shd w:val="clear" w:color="auto" w:fill="auto"/>
            <w:vAlign w:val="bottom"/>
          </w:tcPr>
          <w:p w14:paraId="2FC749A7"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123</w:t>
            </w:r>
          </w:p>
        </w:tc>
      </w:tr>
      <w:tr w:rsidR="006B51C9" w:rsidRPr="00A058B6" w14:paraId="4BB1F9F6" w14:textId="77777777" w:rsidTr="005B61BB">
        <w:trPr>
          <w:trHeight w:val="245"/>
          <w:jc w:val="right"/>
        </w:trPr>
        <w:tc>
          <w:tcPr>
            <w:tcW w:w="1705" w:type="pct"/>
          </w:tcPr>
          <w:p w14:paraId="32F5D899" w14:textId="77777777" w:rsidR="006B51C9" w:rsidRPr="00A058B6" w:rsidRDefault="006B51C9" w:rsidP="006B51C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1C832F77"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708</w:t>
            </w:r>
          </w:p>
        </w:tc>
        <w:tc>
          <w:tcPr>
            <w:tcW w:w="1878" w:type="pct"/>
            <w:tcBorders>
              <w:top w:val="single" w:sz="2" w:space="0" w:color="auto"/>
              <w:left w:val="nil"/>
              <w:bottom w:val="single" w:sz="2" w:space="0" w:color="auto"/>
              <w:right w:val="nil"/>
            </w:tcBorders>
            <w:shd w:val="clear" w:color="auto" w:fill="auto"/>
            <w:vAlign w:val="bottom"/>
          </w:tcPr>
          <w:p w14:paraId="6FC09F73"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047</w:t>
            </w:r>
          </w:p>
        </w:tc>
      </w:tr>
      <w:tr w:rsidR="006B51C9" w:rsidRPr="00A058B6" w14:paraId="330418F8" w14:textId="77777777" w:rsidTr="005B61BB">
        <w:trPr>
          <w:trHeight w:val="245"/>
          <w:jc w:val="right"/>
        </w:trPr>
        <w:tc>
          <w:tcPr>
            <w:tcW w:w="1705" w:type="pct"/>
          </w:tcPr>
          <w:p w14:paraId="05CF1D86" w14:textId="77777777" w:rsidR="006B51C9" w:rsidRPr="00A058B6" w:rsidRDefault="006B51C9" w:rsidP="006B51C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75AC5845"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607</w:t>
            </w:r>
          </w:p>
        </w:tc>
        <w:tc>
          <w:tcPr>
            <w:tcW w:w="1878" w:type="pct"/>
            <w:tcBorders>
              <w:top w:val="single" w:sz="2" w:space="0" w:color="auto"/>
              <w:left w:val="nil"/>
              <w:bottom w:val="single" w:sz="2" w:space="0" w:color="auto"/>
              <w:right w:val="nil"/>
            </w:tcBorders>
            <w:shd w:val="clear" w:color="auto" w:fill="auto"/>
            <w:vAlign w:val="bottom"/>
          </w:tcPr>
          <w:p w14:paraId="6FC350EA"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970</w:t>
            </w:r>
          </w:p>
        </w:tc>
      </w:tr>
      <w:tr w:rsidR="006B51C9" w:rsidRPr="00A058B6" w14:paraId="6BFFEB65" w14:textId="77777777" w:rsidTr="005B61BB">
        <w:trPr>
          <w:trHeight w:val="245"/>
          <w:jc w:val="right"/>
        </w:trPr>
        <w:tc>
          <w:tcPr>
            <w:tcW w:w="1705" w:type="pct"/>
          </w:tcPr>
          <w:p w14:paraId="3F3EB497" w14:textId="77777777" w:rsidR="006B51C9" w:rsidRPr="00A058B6" w:rsidRDefault="006B51C9" w:rsidP="006B51C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63A2DE2B"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507</w:t>
            </w:r>
          </w:p>
        </w:tc>
        <w:tc>
          <w:tcPr>
            <w:tcW w:w="1878" w:type="pct"/>
            <w:tcBorders>
              <w:top w:val="single" w:sz="2" w:space="0" w:color="auto"/>
              <w:left w:val="nil"/>
              <w:bottom w:val="single" w:sz="2" w:space="0" w:color="auto"/>
              <w:right w:val="nil"/>
            </w:tcBorders>
            <w:shd w:val="clear" w:color="auto" w:fill="auto"/>
            <w:vAlign w:val="bottom"/>
          </w:tcPr>
          <w:p w14:paraId="7A32053D"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893</w:t>
            </w:r>
          </w:p>
        </w:tc>
      </w:tr>
      <w:tr w:rsidR="006B51C9" w:rsidRPr="00A058B6" w14:paraId="5D7330D8" w14:textId="77777777" w:rsidTr="005B61BB">
        <w:trPr>
          <w:trHeight w:val="245"/>
          <w:jc w:val="right"/>
        </w:trPr>
        <w:tc>
          <w:tcPr>
            <w:tcW w:w="1705" w:type="pct"/>
          </w:tcPr>
          <w:p w14:paraId="53F673CE" w14:textId="77777777" w:rsidR="006B51C9" w:rsidRPr="00A058B6" w:rsidRDefault="006B51C9" w:rsidP="006B51C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30C59841"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407</w:t>
            </w:r>
          </w:p>
        </w:tc>
        <w:tc>
          <w:tcPr>
            <w:tcW w:w="1878" w:type="pct"/>
            <w:tcBorders>
              <w:top w:val="single" w:sz="2" w:space="0" w:color="auto"/>
              <w:left w:val="nil"/>
              <w:bottom w:val="single" w:sz="2" w:space="0" w:color="auto"/>
              <w:right w:val="nil"/>
            </w:tcBorders>
            <w:shd w:val="clear" w:color="auto" w:fill="auto"/>
            <w:vAlign w:val="bottom"/>
          </w:tcPr>
          <w:p w14:paraId="276EB71A"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817</w:t>
            </w:r>
          </w:p>
        </w:tc>
      </w:tr>
      <w:tr w:rsidR="006B51C9" w:rsidRPr="00A058B6" w14:paraId="4A5042CD" w14:textId="77777777" w:rsidTr="005B61BB">
        <w:trPr>
          <w:trHeight w:val="245"/>
          <w:jc w:val="right"/>
        </w:trPr>
        <w:tc>
          <w:tcPr>
            <w:tcW w:w="1705" w:type="pct"/>
          </w:tcPr>
          <w:p w14:paraId="2725A47D" w14:textId="77777777" w:rsidR="006B51C9" w:rsidRPr="00A058B6" w:rsidRDefault="006B51C9" w:rsidP="006B51C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6A2416F7"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307</w:t>
            </w:r>
          </w:p>
        </w:tc>
        <w:tc>
          <w:tcPr>
            <w:tcW w:w="1878" w:type="pct"/>
            <w:tcBorders>
              <w:top w:val="single" w:sz="2" w:space="0" w:color="auto"/>
              <w:left w:val="nil"/>
              <w:bottom w:val="single" w:sz="2" w:space="0" w:color="auto"/>
              <w:right w:val="nil"/>
            </w:tcBorders>
            <w:shd w:val="clear" w:color="auto" w:fill="auto"/>
            <w:vAlign w:val="bottom"/>
          </w:tcPr>
          <w:p w14:paraId="0591ED7B"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740</w:t>
            </w:r>
          </w:p>
        </w:tc>
      </w:tr>
      <w:tr w:rsidR="006B51C9" w:rsidRPr="00A058B6" w14:paraId="0957E9D0" w14:textId="77777777" w:rsidTr="005B61BB">
        <w:trPr>
          <w:trHeight w:val="245"/>
          <w:jc w:val="right"/>
        </w:trPr>
        <w:tc>
          <w:tcPr>
            <w:tcW w:w="1705" w:type="pct"/>
          </w:tcPr>
          <w:p w14:paraId="041F9861" w14:textId="77777777" w:rsidR="006B51C9" w:rsidRPr="00A058B6" w:rsidRDefault="006B51C9" w:rsidP="006B51C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4B2575EA"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206</w:t>
            </w:r>
          </w:p>
        </w:tc>
        <w:tc>
          <w:tcPr>
            <w:tcW w:w="1878" w:type="pct"/>
            <w:tcBorders>
              <w:top w:val="single" w:sz="2" w:space="0" w:color="auto"/>
              <w:left w:val="nil"/>
              <w:bottom w:val="single" w:sz="2" w:space="0" w:color="auto"/>
              <w:right w:val="nil"/>
            </w:tcBorders>
            <w:shd w:val="clear" w:color="auto" w:fill="auto"/>
            <w:vAlign w:val="bottom"/>
          </w:tcPr>
          <w:p w14:paraId="77296014"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664</w:t>
            </w:r>
          </w:p>
        </w:tc>
      </w:tr>
      <w:tr w:rsidR="006B51C9" w:rsidRPr="00A058B6" w14:paraId="1CFB70CB" w14:textId="77777777" w:rsidTr="005B61BB">
        <w:trPr>
          <w:trHeight w:val="245"/>
          <w:jc w:val="right"/>
        </w:trPr>
        <w:tc>
          <w:tcPr>
            <w:tcW w:w="1705" w:type="pct"/>
          </w:tcPr>
          <w:p w14:paraId="0CB17E7F" w14:textId="77777777" w:rsidR="006B51C9" w:rsidRPr="00A058B6" w:rsidRDefault="006B51C9" w:rsidP="006B51C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104E8EE1"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106</w:t>
            </w:r>
          </w:p>
        </w:tc>
        <w:tc>
          <w:tcPr>
            <w:tcW w:w="1878" w:type="pct"/>
            <w:tcBorders>
              <w:top w:val="single" w:sz="2" w:space="0" w:color="auto"/>
              <w:left w:val="nil"/>
              <w:bottom w:val="single" w:sz="2" w:space="0" w:color="auto"/>
              <w:right w:val="nil"/>
            </w:tcBorders>
            <w:shd w:val="clear" w:color="auto" w:fill="auto"/>
            <w:vAlign w:val="bottom"/>
          </w:tcPr>
          <w:p w14:paraId="30CBFED1"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587</w:t>
            </w:r>
          </w:p>
        </w:tc>
      </w:tr>
      <w:tr w:rsidR="006B51C9" w:rsidRPr="00A058B6" w14:paraId="18B71BEB" w14:textId="77777777" w:rsidTr="005B61BB">
        <w:trPr>
          <w:trHeight w:val="245"/>
          <w:jc w:val="right"/>
        </w:trPr>
        <w:tc>
          <w:tcPr>
            <w:tcW w:w="1705" w:type="pct"/>
          </w:tcPr>
          <w:p w14:paraId="7522DF8E" w14:textId="77777777" w:rsidR="006B51C9" w:rsidRPr="00A058B6" w:rsidRDefault="006B51C9" w:rsidP="006B51C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55E7332F" w14:textId="77777777" w:rsidR="006B51C9" w:rsidRPr="006B51C9" w:rsidRDefault="006B51C9" w:rsidP="006B51C9">
            <w:pPr>
              <w:pStyle w:val="Tabletext"/>
              <w:rPr>
                <w:color w:val="000000" w:themeColor="text1"/>
              </w:rPr>
            </w:pPr>
            <w:r w:rsidRPr="006B51C9">
              <w:rPr>
                <w:color w:val="000000" w:themeColor="text1"/>
              </w:rPr>
              <w:t>2</w:t>
            </w:r>
            <w:r w:rsidR="00D7157D">
              <w:rPr>
                <w:color w:val="000000" w:themeColor="text1"/>
              </w:rPr>
              <w:t>.</w:t>
            </w:r>
            <w:r w:rsidRPr="006B51C9">
              <w:rPr>
                <w:color w:val="000000" w:themeColor="text1"/>
              </w:rPr>
              <w:t>006</w:t>
            </w:r>
          </w:p>
        </w:tc>
        <w:tc>
          <w:tcPr>
            <w:tcW w:w="1878" w:type="pct"/>
            <w:tcBorders>
              <w:top w:val="single" w:sz="2" w:space="0" w:color="auto"/>
              <w:left w:val="nil"/>
              <w:bottom w:val="single" w:sz="2" w:space="0" w:color="auto"/>
              <w:right w:val="nil"/>
            </w:tcBorders>
            <w:shd w:val="clear" w:color="auto" w:fill="auto"/>
            <w:vAlign w:val="bottom"/>
          </w:tcPr>
          <w:p w14:paraId="21A381CB"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511</w:t>
            </w:r>
          </w:p>
        </w:tc>
      </w:tr>
      <w:tr w:rsidR="006B51C9" w:rsidRPr="00A058B6" w14:paraId="5C970551" w14:textId="77777777" w:rsidTr="005B61BB">
        <w:trPr>
          <w:trHeight w:val="245"/>
          <w:jc w:val="right"/>
        </w:trPr>
        <w:tc>
          <w:tcPr>
            <w:tcW w:w="1705" w:type="pct"/>
          </w:tcPr>
          <w:p w14:paraId="43B6D1AD" w14:textId="77777777" w:rsidR="006B51C9" w:rsidRPr="00A058B6" w:rsidRDefault="006B51C9" w:rsidP="006B51C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5796A261"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705</w:t>
            </w:r>
          </w:p>
        </w:tc>
        <w:tc>
          <w:tcPr>
            <w:tcW w:w="1878" w:type="pct"/>
            <w:tcBorders>
              <w:top w:val="single" w:sz="2" w:space="0" w:color="auto"/>
              <w:left w:val="nil"/>
              <w:bottom w:val="single" w:sz="2" w:space="0" w:color="auto"/>
              <w:right w:val="nil"/>
            </w:tcBorders>
            <w:shd w:val="clear" w:color="auto" w:fill="auto"/>
            <w:vAlign w:val="bottom"/>
          </w:tcPr>
          <w:p w14:paraId="48E0367C"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434</w:t>
            </w:r>
          </w:p>
        </w:tc>
      </w:tr>
      <w:tr w:rsidR="006B51C9" w:rsidRPr="00A058B6" w14:paraId="364030C1" w14:textId="77777777" w:rsidTr="005B61BB">
        <w:trPr>
          <w:trHeight w:val="245"/>
          <w:jc w:val="right"/>
        </w:trPr>
        <w:tc>
          <w:tcPr>
            <w:tcW w:w="1705" w:type="pct"/>
          </w:tcPr>
          <w:p w14:paraId="28B3DF33" w14:textId="77777777" w:rsidR="006B51C9" w:rsidRPr="00A058B6" w:rsidRDefault="006B51C9" w:rsidP="006B51C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17867B26"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404</w:t>
            </w:r>
          </w:p>
        </w:tc>
        <w:tc>
          <w:tcPr>
            <w:tcW w:w="1878" w:type="pct"/>
            <w:tcBorders>
              <w:top w:val="single" w:sz="2" w:space="0" w:color="auto"/>
              <w:left w:val="nil"/>
              <w:bottom w:val="single" w:sz="2" w:space="0" w:color="auto"/>
              <w:right w:val="nil"/>
            </w:tcBorders>
            <w:shd w:val="clear" w:color="auto" w:fill="auto"/>
            <w:vAlign w:val="bottom"/>
          </w:tcPr>
          <w:p w14:paraId="1D2F2F8F"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357</w:t>
            </w:r>
          </w:p>
        </w:tc>
      </w:tr>
      <w:tr w:rsidR="006B51C9" w:rsidRPr="00A058B6" w14:paraId="772DBDAD" w14:textId="77777777" w:rsidTr="005B61BB">
        <w:trPr>
          <w:trHeight w:val="245"/>
          <w:jc w:val="right"/>
        </w:trPr>
        <w:tc>
          <w:tcPr>
            <w:tcW w:w="1705" w:type="pct"/>
          </w:tcPr>
          <w:p w14:paraId="579B319B" w14:textId="77777777" w:rsidR="006B51C9" w:rsidRPr="00A058B6" w:rsidRDefault="006B51C9" w:rsidP="006B51C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77CAEACF" w14:textId="77777777" w:rsidR="006B51C9" w:rsidRPr="006B51C9" w:rsidRDefault="006B51C9" w:rsidP="006B51C9">
            <w:pPr>
              <w:pStyle w:val="Tabletext"/>
              <w:rPr>
                <w:color w:val="000000" w:themeColor="text1"/>
              </w:rPr>
            </w:pPr>
            <w:r w:rsidRPr="006B51C9">
              <w:rPr>
                <w:color w:val="000000" w:themeColor="text1"/>
              </w:rPr>
              <w:t>1</w:t>
            </w:r>
            <w:r w:rsidR="00D7157D">
              <w:rPr>
                <w:color w:val="000000" w:themeColor="text1"/>
              </w:rPr>
              <w:t>.</w:t>
            </w:r>
            <w:r w:rsidRPr="006B51C9">
              <w:rPr>
                <w:color w:val="000000" w:themeColor="text1"/>
              </w:rPr>
              <w:t>103</w:t>
            </w:r>
          </w:p>
        </w:tc>
        <w:tc>
          <w:tcPr>
            <w:tcW w:w="1878" w:type="pct"/>
            <w:tcBorders>
              <w:top w:val="single" w:sz="2" w:space="0" w:color="auto"/>
              <w:left w:val="nil"/>
              <w:bottom w:val="single" w:sz="2" w:space="0" w:color="auto"/>
              <w:right w:val="nil"/>
            </w:tcBorders>
            <w:shd w:val="clear" w:color="auto" w:fill="auto"/>
            <w:vAlign w:val="bottom"/>
          </w:tcPr>
          <w:p w14:paraId="3E9F0FCB"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281</w:t>
            </w:r>
          </w:p>
        </w:tc>
      </w:tr>
      <w:tr w:rsidR="006B51C9" w:rsidRPr="00A058B6" w14:paraId="5EF26408" w14:textId="77777777" w:rsidTr="005B61BB">
        <w:trPr>
          <w:trHeight w:val="245"/>
          <w:jc w:val="right"/>
        </w:trPr>
        <w:tc>
          <w:tcPr>
            <w:tcW w:w="1705" w:type="pct"/>
            <w:tcBorders>
              <w:bottom w:val="single" w:sz="4" w:space="0" w:color="auto"/>
            </w:tcBorders>
          </w:tcPr>
          <w:p w14:paraId="30D29B5F" w14:textId="77777777" w:rsidR="006B51C9" w:rsidRPr="00A058B6" w:rsidRDefault="006B51C9" w:rsidP="006B51C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1A9F595D"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802</w:t>
            </w:r>
          </w:p>
        </w:tc>
        <w:tc>
          <w:tcPr>
            <w:tcW w:w="1878" w:type="pct"/>
            <w:tcBorders>
              <w:top w:val="single" w:sz="2" w:space="0" w:color="auto"/>
              <w:left w:val="nil"/>
              <w:bottom w:val="single" w:sz="2" w:space="0" w:color="auto"/>
              <w:right w:val="nil"/>
            </w:tcBorders>
            <w:shd w:val="clear" w:color="auto" w:fill="auto"/>
            <w:vAlign w:val="bottom"/>
          </w:tcPr>
          <w:p w14:paraId="6E34140F"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204</w:t>
            </w:r>
          </w:p>
        </w:tc>
      </w:tr>
      <w:tr w:rsidR="006B51C9" w:rsidRPr="00A058B6" w14:paraId="3DD34586" w14:textId="77777777" w:rsidTr="005B61BB">
        <w:trPr>
          <w:trHeight w:val="245"/>
          <w:jc w:val="right"/>
        </w:trPr>
        <w:tc>
          <w:tcPr>
            <w:tcW w:w="1705" w:type="pct"/>
            <w:tcBorders>
              <w:top w:val="single" w:sz="4" w:space="0" w:color="auto"/>
              <w:bottom w:val="single" w:sz="12" w:space="0" w:color="auto"/>
            </w:tcBorders>
          </w:tcPr>
          <w:p w14:paraId="13F465FE" w14:textId="77777777" w:rsidR="006B51C9" w:rsidRPr="00A058B6" w:rsidRDefault="006B51C9" w:rsidP="006B51C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21F98802"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501</w:t>
            </w:r>
          </w:p>
        </w:tc>
        <w:tc>
          <w:tcPr>
            <w:tcW w:w="1878" w:type="pct"/>
            <w:tcBorders>
              <w:top w:val="single" w:sz="2" w:space="0" w:color="auto"/>
              <w:left w:val="nil"/>
              <w:bottom w:val="single" w:sz="12" w:space="0" w:color="auto"/>
              <w:right w:val="nil"/>
            </w:tcBorders>
            <w:shd w:val="clear" w:color="auto" w:fill="auto"/>
            <w:vAlign w:val="bottom"/>
          </w:tcPr>
          <w:p w14:paraId="7CE37A2F" w14:textId="77777777" w:rsidR="006B51C9" w:rsidRPr="006B51C9" w:rsidRDefault="006B51C9" w:rsidP="006B51C9">
            <w:pPr>
              <w:pStyle w:val="Tabletext"/>
              <w:rPr>
                <w:color w:val="000000" w:themeColor="text1"/>
              </w:rPr>
            </w:pPr>
            <w:r w:rsidRPr="006B51C9">
              <w:rPr>
                <w:color w:val="000000" w:themeColor="text1"/>
              </w:rPr>
              <w:t>0</w:t>
            </w:r>
            <w:r w:rsidR="00D7157D">
              <w:rPr>
                <w:color w:val="000000" w:themeColor="text1"/>
              </w:rPr>
              <w:t>.</w:t>
            </w:r>
            <w:r w:rsidRPr="006B51C9">
              <w:rPr>
                <w:color w:val="000000" w:themeColor="text1"/>
              </w:rPr>
              <w:t>128</w:t>
            </w:r>
          </w:p>
        </w:tc>
      </w:tr>
    </w:tbl>
    <w:p w14:paraId="6D1F079C" w14:textId="30B6BE2C" w:rsidR="0001718E" w:rsidRPr="00A058B6" w:rsidRDefault="00D7157D" w:rsidP="0001718E">
      <w:pPr>
        <w:pStyle w:val="ActHead5"/>
      </w:pPr>
      <w:bookmarkStart w:id="251" w:name="_Toc188350729"/>
      <w:r w:rsidRPr="00423C34">
        <w:rPr>
          <w:rStyle w:val="CharSectno"/>
        </w:rPr>
        <w:t>13</w:t>
      </w:r>
      <w:r w:rsidR="0001718E" w:rsidRPr="00A058B6">
        <w:t xml:space="preserve">  Valuation factors—no guarantee period—pension</w:t>
      </w:r>
      <w:r w:rsidR="0001718E">
        <w:t xml:space="preserve"> indexed at 4%</w:t>
      </w:r>
      <w:bookmarkEnd w:id="251"/>
    </w:p>
    <w:p w14:paraId="5A73D505" w14:textId="77777777" w:rsidR="0001718E" w:rsidRPr="00A058B6" w:rsidRDefault="0001718E" w:rsidP="0001718E">
      <w:pPr>
        <w:pStyle w:val="subsection"/>
      </w:pPr>
      <w:r w:rsidRPr="00A058B6">
        <w:tab/>
      </w:r>
      <w:r w:rsidRPr="00A058B6">
        <w:tab/>
        <w:t>The pension valuation factors and reversion valuation factors set out in this clause apply if the pension:</w:t>
      </w:r>
    </w:p>
    <w:p w14:paraId="28C009A5" w14:textId="77777777" w:rsidR="0001718E" w:rsidRPr="00A058B6" w:rsidRDefault="0001718E" w:rsidP="0001718E">
      <w:pPr>
        <w:pStyle w:val="paragraph"/>
      </w:pPr>
      <w:r w:rsidRPr="00A058B6">
        <w:tab/>
        <w:t>(a)</w:t>
      </w:r>
      <w:r w:rsidRPr="00A058B6">
        <w:tab/>
        <w:t>has no guarantee period; and</w:t>
      </w:r>
    </w:p>
    <w:p w14:paraId="6A3EB6D6" w14:textId="77777777" w:rsidR="0001718E" w:rsidRPr="00A058B6" w:rsidRDefault="0001718E" w:rsidP="0001718E">
      <w:pPr>
        <w:pStyle w:val="paragraph"/>
      </w:pPr>
      <w:r w:rsidRPr="00A058B6">
        <w:tab/>
        <w:t>(b)</w:t>
      </w:r>
      <w:r w:rsidRPr="00A058B6">
        <w:tab/>
        <w:t xml:space="preserve">is indexed </w:t>
      </w:r>
      <w:r>
        <w:t>at 4%</w:t>
      </w:r>
      <w:r w:rsidR="00D7157D">
        <w:t>.</w:t>
      </w:r>
    </w:p>
    <w:p w14:paraId="02F91CEB" w14:textId="77777777" w:rsidR="0001718E" w:rsidRPr="00A058B6" w:rsidRDefault="0001718E" w:rsidP="0001718E">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76"/>
        <w:gridCol w:w="3102"/>
      </w:tblGrid>
      <w:tr w:rsidR="0001718E" w:rsidRPr="00A058B6" w14:paraId="293EBED4" w14:textId="77777777" w:rsidTr="00963115">
        <w:trPr>
          <w:cantSplit/>
          <w:trHeight w:val="375"/>
          <w:tblHeader/>
          <w:jc w:val="right"/>
        </w:trPr>
        <w:tc>
          <w:tcPr>
            <w:tcW w:w="1705" w:type="pct"/>
            <w:vMerge w:val="restart"/>
            <w:tcBorders>
              <w:top w:val="single" w:sz="12" w:space="0" w:color="auto"/>
              <w:bottom w:val="single" w:sz="12" w:space="0" w:color="auto"/>
            </w:tcBorders>
          </w:tcPr>
          <w:p w14:paraId="29D70970" w14:textId="77777777" w:rsidR="0001718E" w:rsidRPr="00A058B6" w:rsidRDefault="0001718E" w:rsidP="00963115">
            <w:pPr>
              <w:pStyle w:val="TableHeading"/>
              <w:rPr>
                <w:snapToGrid w:val="0"/>
              </w:rPr>
            </w:pPr>
            <w:r w:rsidRPr="00A058B6">
              <w:rPr>
                <w:snapToGrid w:val="0"/>
              </w:rPr>
              <w:t>Member’s retirement age</w:t>
            </w:r>
          </w:p>
        </w:tc>
        <w:tc>
          <w:tcPr>
            <w:tcW w:w="3295" w:type="pct"/>
            <w:gridSpan w:val="2"/>
            <w:tcBorders>
              <w:top w:val="single" w:sz="12" w:space="0" w:color="auto"/>
            </w:tcBorders>
          </w:tcPr>
          <w:p w14:paraId="3991CBA8" w14:textId="77777777" w:rsidR="0001718E" w:rsidRPr="00A058B6" w:rsidRDefault="0001718E" w:rsidP="00963115">
            <w:pPr>
              <w:pStyle w:val="TableHeading"/>
              <w:rPr>
                <w:snapToGrid w:val="0"/>
              </w:rPr>
            </w:pPr>
            <w:r w:rsidRPr="00A058B6">
              <w:rPr>
                <w:snapToGrid w:val="0"/>
              </w:rPr>
              <w:t>Pension valuation factors</w:t>
            </w:r>
            <w:r w:rsidRPr="00A058B6">
              <w:rPr>
                <w:snapToGrid w:val="0"/>
              </w:rPr>
              <w:br/>
              <w:t>No guarantee period—</w:t>
            </w:r>
            <w:r w:rsidRPr="00A058B6">
              <w:t>pension</w:t>
            </w:r>
            <w:r>
              <w:t xml:space="preserve"> indexed at 4%</w:t>
            </w:r>
          </w:p>
        </w:tc>
      </w:tr>
      <w:tr w:rsidR="0001718E" w:rsidRPr="00A058B6" w14:paraId="32817E12" w14:textId="77777777" w:rsidTr="00963115">
        <w:trPr>
          <w:cantSplit/>
          <w:trHeight w:val="70"/>
          <w:tblHeader/>
          <w:jc w:val="right"/>
        </w:trPr>
        <w:tc>
          <w:tcPr>
            <w:tcW w:w="1705" w:type="pct"/>
            <w:vMerge/>
            <w:tcBorders>
              <w:top w:val="single" w:sz="4" w:space="0" w:color="auto"/>
              <w:bottom w:val="single" w:sz="12" w:space="0" w:color="auto"/>
            </w:tcBorders>
          </w:tcPr>
          <w:p w14:paraId="672B99D7" w14:textId="77777777" w:rsidR="0001718E" w:rsidRPr="00A058B6" w:rsidRDefault="0001718E" w:rsidP="00963115">
            <w:pPr>
              <w:pStyle w:val="TableHeading"/>
              <w:rPr>
                <w:snapToGrid w:val="0"/>
              </w:rPr>
            </w:pPr>
          </w:p>
        </w:tc>
        <w:tc>
          <w:tcPr>
            <w:tcW w:w="1429" w:type="pct"/>
            <w:tcBorders>
              <w:top w:val="single" w:sz="4" w:space="0" w:color="auto"/>
              <w:bottom w:val="single" w:sz="12" w:space="0" w:color="auto"/>
            </w:tcBorders>
          </w:tcPr>
          <w:p w14:paraId="0EB9AA3F" w14:textId="77777777" w:rsidR="0001718E" w:rsidRPr="00A058B6" w:rsidRDefault="0001718E"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03C4DDE6" w14:textId="77777777" w:rsidR="0001718E" w:rsidRPr="00A058B6" w:rsidRDefault="0001718E" w:rsidP="00963115">
            <w:pPr>
              <w:pStyle w:val="TableHeading"/>
              <w:rPr>
                <w:snapToGrid w:val="0"/>
              </w:rPr>
            </w:pPr>
            <w:r w:rsidRPr="00A058B6">
              <w:rPr>
                <w:snapToGrid w:val="0"/>
              </w:rPr>
              <w:t>Female</w:t>
            </w:r>
          </w:p>
        </w:tc>
      </w:tr>
      <w:tr w:rsidR="0001718E" w:rsidRPr="00A058B6" w14:paraId="2EE3FCAE" w14:textId="77777777" w:rsidTr="001274A4">
        <w:trPr>
          <w:trHeight w:val="245"/>
          <w:jc w:val="right"/>
        </w:trPr>
        <w:tc>
          <w:tcPr>
            <w:tcW w:w="1705" w:type="pct"/>
            <w:tcBorders>
              <w:top w:val="single" w:sz="12" w:space="0" w:color="auto"/>
            </w:tcBorders>
          </w:tcPr>
          <w:p w14:paraId="2CCE5740" w14:textId="77777777" w:rsidR="0001718E" w:rsidRPr="00A058B6" w:rsidRDefault="0001718E" w:rsidP="00A12E52">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02F5FC82" w14:textId="77777777" w:rsidR="0001718E" w:rsidRPr="00A058B6" w:rsidRDefault="0001718E" w:rsidP="00A12E52">
            <w:pPr>
              <w:pStyle w:val="Tabletext"/>
            </w:pPr>
            <w:r w:rsidRPr="00A058B6">
              <w:t>24</w:t>
            </w:r>
            <w:r w:rsidR="00D7157D">
              <w:t>.</w:t>
            </w:r>
            <w:r w:rsidRPr="00A058B6">
              <w:t>3718</w:t>
            </w:r>
          </w:p>
        </w:tc>
        <w:tc>
          <w:tcPr>
            <w:tcW w:w="1866" w:type="pct"/>
            <w:tcBorders>
              <w:top w:val="single" w:sz="12" w:space="0" w:color="auto"/>
              <w:left w:val="nil"/>
              <w:bottom w:val="single" w:sz="2" w:space="0" w:color="auto"/>
              <w:right w:val="nil"/>
            </w:tcBorders>
            <w:shd w:val="clear" w:color="auto" w:fill="auto"/>
            <w:vAlign w:val="center"/>
          </w:tcPr>
          <w:p w14:paraId="31E4BAEE" w14:textId="77777777" w:rsidR="0001718E" w:rsidRPr="00A058B6" w:rsidRDefault="0001718E" w:rsidP="00A12E52">
            <w:pPr>
              <w:pStyle w:val="Tabletext"/>
            </w:pPr>
            <w:r w:rsidRPr="00A058B6">
              <w:t>25</w:t>
            </w:r>
            <w:r w:rsidR="00D7157D">
              <w:t>.</w:t>
            </w:r>
            <w:r w:rsidRPr="00A058B6">
              <w:t>6493</w:t>
            </w:r>
          </w:p>
        </w:tc>
      </w:tr>
      <w:tr w:rsidR="0001718E" w:rsidRPr="00A058B6" w14:paraId="6F4DB45A" w14:textId="77777777" w:rsidTr="001274A4">
        <w:trPr>
          <w:trHeight w:val="245"/>
          <w:jc w:val="right"/>
        </w:trPr>
        <w:tc>
          <w:tcPr>
            <w:tcW w:w="1705" w:type="pct"/>
          </w:tcPr>
          <w:p w14:paraId="7B615CE0" w14:textId="77777777" w:rsidR="0001718E" w:rsidRPr="00A058B6" w:rsidRDefault="0001718E" w:rsidP="00A12E52">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6134EA05" w14:textId="77777777" w:rsidR="0001718E" w:rsidRPr="00A058B6" w:rsidRDefault="0001718E" w:rsidP="00A12E52">
            <w:pPr>
              <w:pStyle w:val="Tabletext"/>
            </w:pPr>
            <w:r w:rsidRPr="00A058B6">
              <w:t>23</w:t>
            </w:r>
            <w:r w:rsidR="00D7157D">
              <w:t>.</w:t>
            </w:r>
            <w:r w:rsidRPr="00A058B6">
              <w:t>8439</w:t>
            </w:r>
          </w:p>
        </w:tc>
        <w:tc>
          <w:tcPr>
            <w:tcW w:w="1866" w:type="pct"/>
            <w:tcBorders>
              <w:top w:val="single" w:sz="2" w:space="0" w:color="auto"/>
              <w:left w:val="nil"/>
              <w:bottom w:val="single" w:sz="2" w:space="0" w:color="auto"/>
              <w:right w:val="nil"/>
            </w:tcBorders>
            <w:shd w:val="clear" w:color="auto" w:fill="auto"/>
            <w:vAlign w:val="center"/>
          </w:tcPr>
          <w:p w14:paraId="4602AA57" w14:textId="77777777" w:rsidR="0001718E" w:rsidRPr="00A058B6" w:rsidRDefault="0001718E" w:rsidP="00A12E52">
            <w:pPr>
              <w:pStyle w:val="Tabletext"/>
            </w:pPr>
            <w:r w:rsidRPr="00A058B6">
              <w:t>25</w:t>
            </w:r>
            <w:r w:rsidR="00D7157D">
              <w:t>.</w:t>
            </w:r>
            <w:r w:rsidRPr="00A058B6">
              <w:t>1312</w:t>
            </w:r>
          </w:p>
        </w:tc>
      </w:tr>
      <w:tr w:rsidR="0001718E" w:rsidRPr="00A058B6" w14:paraId="68D71316" w14:textId="77777777" w:rsidTr="001274A4">
        <w:trPr>
          <w:trHeight w:val="245"/>
          <w:jc w:val="right"/>
        </w:trPr>
        <w:tc>
          <w:tcPr>
            <w:tcW w:w="1705" w:type="pct"/>
          </w:tcPr>
          <w:p w14:paraId="130CDE5A" w14:textId="77777777" w:rsidR="0001718E" w:rsidRPr="00A058B6" w:rsidRDefault="0001718E" w:rsidP="00A12E52">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6FBAEDB2" w14:textId="77777777" w:rsidR="0001718E" w:rsidRPr="00A058B6" w:rsidRDefault="0001718E" w:rsidP="00A12E52">
            <w:pPr>
              <w:pStyle w:val="Tabletext"/>
            </w:pPr>
            <w:r w:rsidRPr="00A058B6">
              <w:t>23</w:t>
            </w:r>
            <w:r w:rsidR="00D7157D">
              <w:t>.</w:t>
            </w:r>
            <w:r w:rsidRPr="00A058B6">
              <w:t>3063</w:t>
            </w:r>
          </w:p>
        </w:tc>
        <w:tc>
          <w:tcPr>
            <w:tcW w:w="1866" w:type="pct"/>
            <w:tcBorders>
              <w:top w:val="single" w:sz="2" w:space="0" w:color="auto"/>
              <w:left w:val="nil"/>
              <w:bottom w:val="single" w:sz="2" w:space="0" w:color="auto"/>
              <w:right w:val="nil"/>
            </w:tcBorders>
            <w:shd w:val="clear" w:color="auto" w:fill="auto"/>
            <w:vAlign w:val="center"/>
          </w:tcPr>
          <w:p w14:paraId="713DBF0C" w14:textId="77777777" w:rsidR="0001718E" w:rsidRPr="00A058B6" w:rsidRDefault="0001718E" w:rsidP="00A12E52">
            <w:pPr>
              <w:pStyle w:val="Tabletext"/>
            </w:pPr>
            <w:r w:rsidRPr="00A058B6">
              <w:t>24</w:t>
            </w:r>
            <w:r w:rsidR="00D7157D">
              <w:t>.</w:t>
            </w:r>
            <w:r w:rsidRPr="00A058B6">
              <w:t>6051</w:t>
            </w:r>
          </w:p>
        </w:tc>
      </w:tr>
      <w:tr w:rsidR="0001718E" w:rsidRPr="00A058B6" w14:paraId="32B1B33F" w14:textId="77777777" w:rsidTr="001274A4">
        <w:trPr>
          <w:trHeight w:val="245"/>
          <w:jc w:val="right"/>
        </w:trPr>
        <w:tc>
          <w:tcPr>
            <w:tcW w:w="1705" w:type="pct"/>
          </w:tcPr>
          <w:p w14:paraId="1E042A35" w14:textId="77777777" w:rsidR="0001718E" w:rsidRPr="00A058B6" w:rsidRDefault="0001718E" w:rsidP="00A12E52">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20D3E65B" w14:textId="77777777" w:rsidR="0001718E" w:rsidRPr="00A058B6" w:rsidRDefault="0001718E" w:rsidP="00A12E52">
            <w:pPr>
              <w:pStyle w:val="Tabletext"/>
            </w:pPr>
            <w:r w:rsidRPr="00A058B6">
              <w:t>22</w:t>
            </w:r>
            <w:r w:rsidR="00D7157D">
              <w:t>.</w:t>
            </w:r>
            <w:r w:rsidRPr="00A058B6">
              <w:t>7587</w:t>
            </w:r>
          </w:p>
        </w:tc>
        <w:tc>
          <w:tcPr>
            <w:tcW w:w="1866" w:type="pct"/>
            <w:tcBorders>
              <w:top w:val="single" w:sz="2" w:space="0" w:color="auto"/>
              <w:left w:val="nil"/>
              <w:bottom w:val="single" w:sz="2" w:space="0" w:color="auto"/>
              <w:right w:val="nil"/>
            </w:tcBorders>
            <w:shd w:val="clear" w:color="auto" w:fill="auto"/>
            <w:vAlign w:val="center"/>
          </w:tcPr>
          <w:p w14:paraId="7C390640" w14:textId="77777777" w:rsidR="0001718E" w:rsidRPr="00A058B6" w:rsidRDefault="0001718E" w:rsidP="00A12E52">
            <w:pPr>
              <w:pStyle w:val="Tabletext"/>
            </w:pPr>
            <w:r w:rsidRPr="00A058B6">
              <w:t>24</w:t>
            </w:r>
            <w:r w:rsidR="00D7157D">
              <w:t>.</w:t>
            </w:r>
            <w:r w:rsidRPr="00A058B6">
              <w:t>0700</w:t>
            </w:r>
          </w:p>
        </w:tc>
      </w:tr>
      <w:tr w:rsidR="0001718E" w:rsidRPr="00A058B6" w14:paraId="07BBBFBD" w14:textId="77777777" w:rsidTr="001274A4">
        <w:trPr>
          <w:trHeight w:val="245"/>
          <w:jc w:val="right"/>
        </w:trPr>
        <w:tc>
          <w:tcPr>
            <w:tcW w:w="1705" w:type="pct"/>
          </w:tcPr>
          <w:p w14:paraId="6636443D" w14:textId="77777777" w:rsidR="0001718E" w:rsidRPr="00A058B6" w:rsidRDefault="0001718E" w:rsidP="00A12E52">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4AE4B585" w14:textId="77777777" w:rsidR="0001718E" w:rsidRPr="00A058B6" w:rsidRDefault="0001718E" w:rsidP="00A12E52">
            <w:pPr>
              <w:pStyle w:val="Tabletext"/>
            </w:pPr>
            <w:r w:rsidRPr="00A058B6">
              <w:t>22</w:t>
            </w:r>
            <w:r w:rsidR="00D7157D">
              <w:t>.</w:t>
            </w:r>
            <w:r w:rsidRPr="00A058B6">
              <w:t>2006</w:t>
            </w:r>
          </w:p>
        </w:tc>
        <w:tc>
          <w:tcPr>
            <w:tcW w:w="1866" w:type="pct"/>
            <w:tcBorders>
              <w:top w:val="single" w:sz="2" w:space="0" w:color="auto"/>
              <w:left w:val="nil"/>
              <w:bottom w:val="single" w:sz="2" w:space="0" w:color="auto"/>
              <w:right w:val="nil"/>
            </w:tcBorders>
            <w:shd w:val="clear" w:color="auto" w:fill="auto"/>
            <w:vAlign w:val="center"/>
          </w:tcPr>
          <w:p w14:paraId="43149598" w14:textId="77777777" w:rsidR="0001718E" w:rsidRPr="00A058B6" w:rsidRDefault="0001718E" w:rsidP="00A12E52">
            <w:pPr>
              <w:pStyle w:val="Tabletext"/>
            </w:pPr>
            <w:r w:rsidRPr="00A058B6">
              <w:t>23</w:t>
            </w:r>
            <w:r w:rsidR="00D7157D">
              <w:t>.</w:t>
            </w:r>
            <w:r w:rsidRPr="00A058B6">
              <w:t>5253</w:t>
            </w:r>
          </w:p>
        </w:tc>
      </w:tr>
      <w:tr w:rsidR="0001718E" w:rsidRPr="00A058B6" w14:paraId="5F97B181" w14:textId="77777777" w:rsidTr="001274A4">
        <w:trPr>
          <w:trHeight w:val="245"/>
          <w:jc w:val="right"/>
        </w:trPr>
        <w:tc>
          <w:tcPr>
            <w:tcW w:w="1705" w:type="pct"/>
          </w:tcPr>
          <w:p w14:paraId="48B76F21" w14:textId="77777777" w:rsidR="0001718E" w:rsidRPr="00A058B6" w:rsidRDefault="0001718E" w:rsidP="00A12E52">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402F2B0A" w14:textId="77777777" w:rsidR="0001718E" w:rsidRPr="00A058B6" w:rsidRDefault="0001718E" w:rsidP="00A12E52">
            <w:pPr>
              <w:pStyle w:val="Tabletext"/>
            </w:pPr>
            <w:r w:rsidRPr="00A058B6">
              <w:t>21</w:t>
            </w:r>
            <w:r w:rsidR="00D7157D">
              <w:t>.</w:t>
            </w:r>
            <w:r w:rsidRPr="00A058B6">
              <w:t>6323</w:t>
            </w:r>
          </w:p>
        </w:tc>
        <w:tc>
          <w:tcPr>
            <w:tcW w:w="1866" w:type="pct"/>
            <w:tcBorders>
              <w:top w:val="single" w:sz="2" w:space="0" w:color="auto"/>
              <w:left w:val="nil"/>
              <w:bottom w:val="single" w:sz="2" w:space="0" w:color="auto"/>
              <w:right w:val="nil"/>
            </w:tcBorders>
            <w:shd w:val="clear" w:color="auto" w:fill="auto"/>
            <w:vAlign w:val="center"/>
          </w:tcPr>
          <w:p w14:paraId="6C93079B" w14:textId="77777777" w:rsidR="0001718E" w:rsidRPr="00A058B6" w:rsidRDefault="0001718E" w:rsidP="00A12E52">
            <w:pPr>
              <w:pStyle w:val="Tabletext"/>
            </w:pPr>
            <w:r w:rsidRPr="00A058B6">
              <w:t>22</w:t>
            </w:r>
            <w:r w:rsidR="00D7157D">
              <w:t>.</w:t>
            </w:r>
            <w:r w:rsidRPr="00A058B6">
              <w:t>9708</w:t>
            </w:r>
          </w:p>
        </w:tc>
      </w:tr>
      <w:tr w:rsidR="0001718E" w:rsidRPr="00A058B6" w14:paraId="0BD3A421" w14:textId="77777777" w:rsidTr="001274A4">
        <w:trPr>
          <w:trHeight w:val="245"/>
          <w:jc w:val="right"/>
        </w:trPr>
        <w:tc>
          <w:tcPr>
            <w:tcW w:w="1705" w:type="pct"/>
          </w:tcPr>
          <w:p w14:paraId="598186CA" w14:textId="77777777" w:rsidR="0001718E" w:rsidRPr="00A058B6" w:rsidRDefault="0001718E" w:rsidP="00A12E52">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591CE6EC" w14:textId="77777777" w:rsidR="0001718E" w:rsidRPr="00A058B6" w:rsidRDefault="0001718E" w:rsidP="00A12E52">
            <w:pPr>
              <w:pStyle w:val="Tabletext"/>
            </w:pPr>
            <w:r w:rsidRPr="00A058B6">
              <w:t>21</w:t>
            </w:r>
            <w:r w:rsidR="00D7157D">
              <w:t>.</w:t>
            </w:r>
            <w:r w:rsidRPr="00A058B6">
              <w:t>0541</w:t>
            </w:r>
          </w:p>
        </w:tc>
        <w:tc>
          <w:tcPr>
            <w:tcW w:w="1866" w:type="pct"/>
            <w:tcBorders>
              <w:top w:val="single" w:sz="2" w:space="0" w:color="auto"/>
              <w:left w:val="nil"/>
              <w:bottom w:val="single" w:sz="2" w:space="0" w:color="auto"/>
              <w:right w:val="nil"/>
            </w:tcBorders>
            <w:shd w:val="clear" w:color="auto" w:fill="auto"/>
            <w:vAlign w:val="center"/>
          </w:tcPr>
          <w:p w14:paraId="44D3C905" w14:textId="77777777" w:rsidR="0001718E" w:rsidRPr="00A058B6" w:rsidRDefault="0001718E" w:rsidP="00A12E52">
            <w:pPr>
              <w:pStyle w:val="Tabletext"/>
            </w:pPr>
            <w:r w:rsidRPr="00A058B6">
              <w:t>22</w:t>
            </w:r>
            <w:r w:rsidR="00D7157D">
              <w:t>.</w:t>
            </w:r>
            <w:r w:rsidRPr="00A058B6">
              <w:t>4055</w:t>
            </w:r>
          </w:p>
        </w:tc>
      </w:tr>
      <w:tr w:rsidR="0001718E" w:rsidRPr="00A058B6" w14:paraId="39CBD7DE" w14:textId="77777777" w:rsidTr="001274A4">
        <w:trPr>
          <w:trHeight w:val="245"/>
          <w:jc w:val="right"/>
        </w:trPr>
        <w:tc>
          <w:tcPr>
            <w:tcW w:w="1705" w:type="pct"/>
          </w:tcPr>
          <w:p w14:paraId="514C3B43" w14:textId="77777777" w:rsidR="0001718E" w:rsidRPr="00A058B6" w:rsidRDefault="0001718E" w:rsidP="00A12E52">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748A58CC" w14:textId="77777777" w:rsidR="0001718E" w:rsidRPr="00A058B6" w:rsidRDefault="0001718E" w:rsidP="00A12E52">
            <w:pPr>
              <w:pStyle w:val="Tabletext"/>
            </w:pPr>
            <w:r w:rsidRPr="00A058B6">
              <w:t>20</w:t>
            </w:r>
            <w:r w:rsidR="00D7157D">
              <w:t>.</w:t>
            </w:r>
            <w:r w:rsidRPr="00A058B6">
              <w:t>4658</w:t>
            </w:r>
          </w:p>
        </w:tc>
        <w:tc>
          <w:tcPr>
            <w:tcW w:w="1866" w:type="pct"/>
            <w:tcBorders>
              <w:top w:val="single" w:sz="2" w:space="0" w:color="auto"/>
              <w:left w:val="nil"/>
              <w:bottom w:val="single" w:sz="2" w:space="0" w:color="auto"/>
              <w:right w:val="nil"/>
            </w:tcBorders>
            <w:shd w:val="clear" w:color="auto" w:fill="auto"/>
            <w:vAlign w:val="center"/>
          </w:tcPr>
          <w:p w14:paraId="7A7D73AE" w14:textId="77777777" w:rsidR="0001718E" w:rsidRPr="00A058B6" w:rsidRDefault="0001718E" w:rsidP="00A12E52">
            <w:pPr>
              <w:pStyle w:val="Tabletext"/>
            </w:pPr>
            <w:r w:rsidRPr="00A058B6">
              <w:t>21</w:t>
            </w:r>
            <w:r w:rsidR="00D7157D">
              <w:t>.</w:t>
            </w:r>
            <w:r w:rsidRPr="00A058B6">
              <w:t>8306</w:t>
            </w:r>
          </w:p>
        </w:tc>
      </w:tr>
      <w:tr w:rsidR="0001718E" w:rsidRPr="00A058B6" w14:paraId="68D1FAE4" w14:textId="77777777" w:rsidTr="001274A4">
        <w:trPr>
          <w:trHeight w:val="245"/>
          <w:jc w:val="right"/>
        </w:trPr>
        <w:tc>
          <w:tcPr>
            <w:tcW w:w="1705" w:type="pct"/>
          </w:tcPr>
          <w:p w14:paraId="5C252AA6" w14:textId="77777777" w:rsidR="0001718E" w:rsidRPr="00A058B6" w:rsidRDefault="0001718E" w:rsidP="00A12E52">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18E21BB1" w14:textId="77777777" w:rsidR="0001718E" w:rsidRPr="00A058B6" w:rsidRDefault="0001718E" w:rsidP="00A12E52">
            <w:pPr>
              <w:pStyle w:val="Tabletext"/>
            </w:pPr>
            <w:r w:rsidRPr="00A058B6">
              <w:t>19</w:t>
            </w:r>
            <w:r w:rsidR="00D7157D">
              <w:t>.</w:t>
            </w:r>
            <w:r w:rsidRPr="00A058B6">
              <w:t>8678</w:t>
            </w:r>
          </w:p>
        </w:tc>
        <w:tc>
          <w:tcPr>
            <w:tcW w:w="1866" w:type="pct"/>
            <w:tcBorders>
              <w:top w:val="single" w:sz="2" w:space="0" w:color="auto"/>
              <w:left w:val="nil"/>
              <w:bottom w:val="single" w:sz="2" w:space="0" w:color="auto"/>
              <w:right w:val="nil"/>
            </w:tcBorders>
            <w:shd w:val="clear" w:color="auto" w:fill="auto"/>
            <w:vAlign w:val="center"/>
          </w:tcPr>
          <w:p w14:paraId="354D12AB" w14:textId="77777777" w:rsidR="0001718E" w:rsidRPr="00A058B6" w:rsidRDefault="0001718E" w:rsidP="00A12E52">
            <w:pPr>
              <w:pStyle w:val="Tabletext"/>
            </w:pPr>
            <w:r w:rsidRPr="00A058B6">
              <w:t>21</w:t>
            </w:r>
            <w:r w:rsidR="00D7157D">
              <w:t>.</w:t>
            </w:r>
            <w:r w:rsidRPr="00A058B6">
              <w:t>2459</w:t>
            </w:r>
          </w:p>
        </w:tc>
      </w:tr>
      <w:tr w:rsidR="0001718E" w:rsidRPr="00A058B6" w14:paraId="1B1BB8E3" w14:textId="77777777" w:rsidTr="001274A4">
        <w:trPr>
          <w:trHeight w:val="245"/>
          <w:jc w:val="right"/>
        </w:trPr>
        <w:tc>
          <w:tcPr>
            <w:tcW w:w="1705" w:type="pct"/>
            <w:tcBorders>
              <w:bottom w:val="single" w:sz="4" w:space="0" w:color="auto"/>
            </w:tcBorders>
          </w:tcPr>
          <w:p w14:paraId="5A92F5B0" w14:textId="77777777" w:rsidR="0001718E" w:rsidRPr="00A058B6" w:rsidRDefault="0001718E" w:rsidP="00A12E52">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52E83A40" w14:textId="77777777" w:rsidR="0001718E" w:rsidRPr="00A058B6" w:rsidRDefault="0001718E" w:rsidP="00A12E52">
            <w:pPr>
              <w:pStyle w:val="Tabletext"/>
            </w:pPr>
            <w:r w:rsidRPr="00A058B6">
              <w:t>19</w:t>
            </w:r>
            <w:r w:rsidR="00D7157D">
              <w:t>.</w:t>
            </w:r>
            <w:r w:rsidRPr="00A058B6">
              <w:t>2598</w:t>
            </w:r>
          </w:p>
        </w:tc>
        <w:tc>
          <w:tcPr>
            <w:tcW w:w="1866" w:type="pct"/>
            <w:tcBorders>
              <w:top w:val="single" w:sz="2" w:space="0" w:color="auto"/>
              <w:left w:val="nil"/>
              <w:bottom w:val="single" w:sz="2" w:space="0" w:color="auto"/>
              <w:right w:val="nil"/>
            </w:tcBorders>
            <w:shd w:val="clear" w:color="auto" w:fill="auto"/>
            <w:vAlign w:val="center"/>
          </w:tcPr>
          <w:p w14:paraId="320F96DF" w14:textId="77777777" w:rsidR="0001718E" w:rsidRPr="00A058B6" w:rsidRDefault="0001718E" w:rsidP="00A12E52">
            <w:pPr>
              <w:pStyle w:val="Tabletext"/>
            </w:pPr>
            <w:r w:rsidRPr="00A058B6">
              <w:t>20</w:t>
            </w:r>
            <w:r w:rsidR="00D7157D">
              <w:t>.</w:t>
            </w:r>
            <w:r w:rsidRPr="00A058B6">
              <w:t>6517</w:t>
            </w:r>
          </w:p>
        </w:tc>
      </w:tr>
      <w:tr w:rsidR="0001718E" w:rsidRPr="00A058B6" w14:paraId="341434AD" w14:textId="77777777" w:rsidTr="001274A4">
        <w:trPr>
          <w:trHeight w:val="245"/>
          <w:jc w:val="right"/>
        </w:trPr>
        <w:tc>
          <w:tcPr>
            <w:tcW w:w="1705" w:type="pct"/>
            <w:tcBorders>
              <w:top w:val="single" w:sz="4" w:space="0" w:color="auto"/>
              <w:bottom w:val="single" w:sz="12" w:space="0" w:color="auto"/>
            </w:tcBorders>
          </w:tcPr>
          <w:p w14:paraId="1190A812" w14:textId="77777777" w:rsidR="0001718E" w:rsidRPr="00A058B6" w:rsidRDefault="0001718E" w:rsidP="00A12E52">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758C7894" w14:textId="77777777" w:rsidR="0001718E" w:rsidRPr="00A058B6" w:rsidRDefault="0001718E" w:rsidP="00A12E52">
            <w:pPr>
              <w:pStyle w:val="Tabletext"/>
            </w:pPr>
            <w:r w:rsidRPr="00A058B6">
              <w:t>18</w:t>
            </w:r>
            <w:r w:rsidR="00D7157D">
              <w:t>.</w:t>
            </w:r>
            <w:r w:rsidRPr="00A058B6">
              <w:t>6443</w:t>
            </w:r>
          </w:p>
        </w:tc>
        <w:tc>
          <w:tcPr>
            <w:tcW w:w="1866" w:type="pct"/>
            <w:tcBorders>
              <w:top w:val="single" w:sz="2" w:space="0" w:color="auto"/>
              <w:left w:val="nil"/>
              <w:bottom w:val="single" w:sz="12" w:space="0" w:color="auto"/>
              <w:right w:val="nil"/>
            </w:tcBorders>
            <w:shd w:val="clear" w:color="auto" w:fill="auto"/>
            <w:vAlign w:val="center"/>
          </w:tcPr>
          <w:p w14:paraId="28FAAEE4" w14:textId="77777777" w:rsidR="0001718E" w:rsidRPr="00A058B6" w:rsidRDefault="0001718E" w:rsidP="00A12E52">
            <w:pPr>
              <w:pStyle w:val="Tabletext"/>
            </w:pPr>
            <w:r w:rsidRPr="00A058B6">
              <w:t>20</w:t>
            </w:r>
            <w:r w:rsidR="00D7157D">
              <w:t>.</w:t>
            </w:r>
            <w:r w:rsidRPr="00A058B6">
              <w:t>0497</w:t>
            </w:r>
          </w:p>
        </w:tc>
      </w:tr>
    </w:tbl>
    <w:p w14:paraId="06358E25" w14:textId="77777777" w:rsidR="0001718E" w:rsidRPr="00A058B6" w:rsidRDefault="0001718E" w:rsidP="0001718E">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01718E" w:rsidRPr="00A058B6" w14:paraId="690FB3C8" w14:textId="77777777" w:rsidTr="00963115">
        <w:trPr>
          <w:cantSplit/>
          <w:trHeight w:val="375"/>
          <w:tblHeader/>
          <w:jc w:val="right"/>
        </w:trPr>
        <w:tc>
          <w:tcPr>
            <w:tcW w:w="1705" w:type="pct"/>
            <w:vMerge w:val="restart"/>
            <w:tcBorders>
              <w:top w:val="single" w:sz="12" w:space="0" w:color="auto"/>
              <w:bottom w:val="single" w:sz="12" w:space="0" w:color="auto"/>
            </w:tcBorders>
          </w:tcPr>
          <w:p w14:paraId="4F9AC4E2" w14:textId="77777777" w:rsidR="0001718E" w:rsidRPr="00A058B6" w:rsidRDefault="0001718E"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7F7FE8B7" w14:textId="77777777" w:rsidR="0001718E" w:rsidRPr="00A058B6" w:rsidRDefault="0001718E" w:rsidP="00963115">
            <w:pPr>
              <w:pStyle w:val="TableHeading"/>
              <w:rPr>
                <w:snapToGrid w:val="0"/>
              </w:rPr>
            </w:pPr>
            <w:r w:rsidRPr="00A058B6">
              <w:rPr>
                <w:snapToGrid w:val="0"/>
              </w:rPr>
              <w:t>Reversion valuation factors</w:t>
            </w:r>
            <w:r w:rsidRPr="00A058B6">
              <w:rPr>
                <w:snapToGrid w:val="0"/>
              </w:rPr>
              <w:br/>
              <w:t>No guarantee period—</w:t>
            </w:r>
            <w:r w:rsidRPr="00A058B6">
              <w:t>pension</w:t>
            </w:r>
            <w:r>
              <w:t xml:space="preserve"> indexed at 4%</w:t>
            </w:r>
          </w:p>
        </w:tc>
      </w:tr>
      <w:tr w:rsidR="0001718E" w:rsidRPr="00A058B6" w14:paraId="40FB726B" w14:textId="77777777" w:rsidTr="00963115">
        <w:trPr>
          <w:cantSplit/>
          <w:trHeight w:val="60"/>
          <w:tblHeader/>
          <w:jc w:val="right"/>
        </w:trPr>
        <w:tc>
          <w:tcPr>
            <w:tcW w:w="1705" w:type="pct"/>
            <w:vMerge/>
            <w:tcBorders>
              <w:top w:val="single" w:sz="4" w:space="0" w:color="auto"/>
              <w:bottom w:val="single" w:sz="12" w:space="0" w:color="auto"/>
            </w:tcBorders>
          </w:tcPr>
          <w:p w14:paraId="1A70F0E0" w14:textId="77777777" w:rsidR="0001718E" w:rsidRPr="00A058B6" w:rsidRDefault="0001718E" w:rsidP="00963115">
            <w:pPr>
              <w:pStyle w:val="TableHeading"/>
              <w:rPr>
                <w:snapToGrid w:val="0"/>
              </w:rPr>
            </w:pPr>
          </w:p>
        </w:tc>
        <w:tc>
          <w:tcPr>
            <w:tcW w:w="1417" w:type="pct"/>
            <w:tcBorders>
              <w:top w:val="single" w:sz="4" w:space="0" w:color="auto"/>
              <w:bottom w:val="single" w:sz="12" w:space="0" w:color="auto"/>
            </w:tcBorders>
          </w:tcPr>
          <w:p w14:paraId="79D58675" w14:textId="77777777" w:rsidR="0001718E" w:rsidRPr="00A058B6" w:rsidRDefault="0001718E"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0F94227B" w14:textId="77777777" w:rsidR="0001718E" w:rsidRPr="00A058B6" w:rsidRDefault="0001718E" w:rsidP="00963115">
            <w:pPr>
              <w:pStyle w:val="TableHeading"/>
              <w:rPr>
                <w:snapToGrid w:val="0"/>
              </w:rPr>
            </w:pPr>
            <w:r w:rsidRPr="00A058B6">
              <w:rPr>
                <w:snapToGrid w:val="0"/>
              </w:rPr>
              <w:t>Female</w:t>
            </w:r>
          </w:p>
        </w:tc>
      </w:tr>
      <w:tr w:rsidR="0001718E" w:rsidRPr="00A058B6" w14:paraId="708BCD59" w14:textId="77777777" w:rsidTr="001274A4">
        <w:trPr>
          <w:trHeight w:val="245"/>
          <w:jc w:val="right"/>
        </w:trPr>
        <w:tc>
          <w:tcPr>
            <w:tcW w:w="1705" w:type="pct"/>
            <w:tcBorders>
              <w:top w:val="single" w:sz="12" w:space="0" w:color="auto"/>
            </w:tcBorders>
          </w:tcPr>
          <w:p w14:paraId="09615362" w14:textId="77777777" w:rsidR="0001718E" w:rsidRPr="00A058B6" w:rsidRDefault="0001718E" w:rsidP="00A12E52">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75C88847" w14:textId="77777777" w:rsidR="0001718E" w:rsidRPr="00A058B6" w:rsidRDefault="0001718E" w:rsidP="00A12E52">
            <w:pPr>
              <w:pStyle w:val="Tabletext"/>
            </w:pPr>
            <w:r w:rsidRPr="00A058B6">
              <w:t>3</w:t>
            </w:r>
            <w:r w:rsidR="00D7157D">
              <w:t>.</w:t>
            </w:r>
            <w:r w:rsidRPr="00A058B6">
              <w:t>232</w:t>
            </w:r>
          </w:p>
        </w:tc>
        <w:tc>
          <w:tcPr>
            <w:tcW w:w="1878" w:type="pct"/>
            <w:tcBorders>
              <w:top w:val="single" w:sz="12" w:space="0" w:color="auto"/>
              <w:left w:val="nil"/>
              <w:bottom w:val="single" w:sz="2" w:space="0" w:color="auto"/>
              <w:right w:val="nil"/>
            </w:tcBorders>
            <w:shd w:val="clear" w:color="auto" w:fill="auto"/>
            <w:vAlign w:val="bottom"/>
          </w:tcPr>
          <w:p w14:paraId="2920F60B" w14:textId="77777777" w:rsidR="0001718E" w:rsidRPr="00A058B6" w:rsidRDefault="0001718E" w:rsidP="00A12E52">
            <w:pPr>
              <w:pStyle w:val="Tabletext"/>
            </w:pPr>
            <w:r w:rsidRPr="00A058B6">
              <w:t>1</w:t>
            </w:r>
            <w:r w:rsidR="00D7157D">
              <w:t>.</w:t>
            </w:r>
            <w:r w:rsidRPr="00A058B6">
              <w:t>366</w:t>
            </w:r>
          </w:p>
        </w:tc>
      </w:tr>
      <w:tr w:rsidR="0001718E" w:rsidRPr="00A058B6" w14:paraId="28D94303" w14:textId="77777777" w:rsidTr="001274A4">
        <w:trPr>
          <w:trHeight w:val="245"/>
          <w:jc w:val="right"/>
        </w:trPr>
        <w:tc>
          <w:tcPr>
            <w:tcW w:w="1705" w:type="pct"/>
          </w:tcPr>
          <w:p w14:paraId="3E51C8DE" w14:textId="77777777" w:rsidR="0001718E" w:rsidRPr="00A058B6" w:rsidRDefault="0001718E" w:rsidP="00A12E52">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6293B819" w14:textId="77777777" w:rsidR="0001718E" w:rsidRPr="00A058B6" w:rsidRDefault="0001718E" w:rsidP="00A12E52">
            <w:pPr>
              <w:pStyle w:val="Tabletext"/>
            </w:pPr>
            <w:r w:rsidRPr="00A058B6">
              <w:t>3</w:t>
            </w:r>
            <w:r w:rsidR="00D7157D">
              <w:t>.</w:t>
            </w:r>
            <w:r w:rsidRPr="00A058B6">
              <w:t>124</w:t>
            </w:r>
          </w:p>
        </w:tc>
        <w:tc>
          <w:tcPr>
            <w:tcW w:w="1878" w:type="pct"/>
            <w:tcBorders>
              <w:top w:val="single" w:sz="2" w:space="0" w:color="auto"/>
              <w:left w:val="nil"/>
              <w:bottom w:val="single" w:sz="2" w:space="0" w:color="auto"/>
              <w:right w:val="nil"/>
            </w:tcBorders>
            <w:shd w:val="clear" w:color="auto" w:fill="auto"/>
            <w:vAlign w:val="bottom"/>
          </w:tcPr>
          <w:p w14:paraId="580A93E9" w14:textId="77777777" w:rsidR="0001718E" w:rsidRPr="00A058B6" w:rsidRDefault="0001718E" w:rsidP="00A12E52">
            <w:pPr>
              <w:pStyle w:val="Tabletext"/>
            </w:pPr>
            <w:r w:rsidRPr="00A058B6">
              <w:t>1</w:t>
            </w:r>
            <w:r w:rsidR="00D7157D">
              <w:t>.</w:t>
            </w:r>
            <w:r w:rsidRPr="00A058B6">
              <w:t>284</w:t>
            </w:r>
          </w:p>
        </w:tc>
      </w:tr>
      <w:tr w:rsidR="0001718E" w:rsidRPr="00A058B6" w14:paraId="48E7DCCC" w14:textId="77777777" w:rsidTr="001274A4">
        <w:trPr>
          <w:trHeight w:val="245"/>
          <w:jc w:val="right"/>
        </w:trPr>
        <w:tc>
          <w:tcPr>
            <w:tcW w:w="1705" w:type="pct"/>
          </w:tcPr>
          <w:p w14:paraId="31EC9D1D" w14:textId="77777777" w:rsidR="0001718E" w:rsidRPr="00A058B6" w:rsidRDefault="0001718E" w:rsidP="00A12E52">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5D541EE6" w14:textId="77777777" w:rsidR="0001718E" w:rsidRPr="00A058B6" w:rsidRDefault="0001718E" w:rsidP="00A12E52">
            <w:pPr>
              <w:pStyle w:val="Tabletext"/>
            </w:pPr>
            <w:r w:rsidRPr="00A058B6">
              <w:t>3</w:t>
            </w:r>
            <w:r w:rsidR="00D7157D">
              <w:t>.</w:t>
            </w:r>
            <w:r w:rsidRPr="00A058B6">
              <w:t>017</w:t>
            </w:r>
          </w:p>
        </w:tc>
        <w:tc>
          <w:tcPr>
            <w:tcW w:w="1878" w:type="pct"/>
            <w:tcBorders>
              <w:top w:val="single" w:sz="2" w:space="0" w:color="auto"/>
              <w:left w:val="nil"/>
              <w:bottom w:val="single" w:sz="2" w:space="0" w:color="auto"/>
              <w:right w:val="nil"/>
            </w:tcBorders>
            <w:shd w:val="clear" w:color="auto" w:fill="auto"/>
            <w:vAlign w:val="bottom"/>
          </w:tcPr>
          <w:p w14:paraId="7F3254B0" w14:textId="77777777" w:rsidR="0001718E" w:rsidRPr="00A058B6" w:rsidRDefault="0001718E" w:rsidP="00A12E52">
            <w:pPr>
              <w:pStyle w:val="Tabletext"/>
            </w:pPr>
            <w:r w:rsidRPr="00A058B6">
              <w:t>1</w:t>
            </w:r>
            <w:r w:rsidR="00D7157D">
              <w:t>.</w:t>
            </w:r>
            <w:r w:rsidRPr="00A058B6">
              <w:t>202</w:t>
            </w:r>
          </w:p>
        </w:tc>
      </w:tr>
      <w:tr w:rsidR="0001718E" w:rsidRPr="00A058B6" w14:paraId="62AA0121" w14:textId="77777777" w:rsidTr="001274A4">
        <w:trPr>
          <w:trHeight w:val="245"/>
          <w:jc w:val="right"/>
        </w:trPr>
        <w:tc>
          <w:tcPr>
            <w:tcW w:w="1705" w:type="pct"/>
          </w:tcPr>
          <w:p w14:paraId="020E5781" w14:textId="77777777" w:rsidR="0001718E" w:rsidRPr="00A058B6" w:rsidRDefault="0001718E" w:rsidP="00A12E52">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7B3F97B9" w14:textId="77777777" w:rsidR="0001718E" w:rsidRPr="00A058B6" w:rsidRDefault="0001718E" w:rsidP="00A12E52">
            <w:pPr>
              <w:pStyle w:val="Tabletext"/>
            </w:pPr>
            <w:r w:rsidRPr="00A058B6">
              <w:t>2</w:t>
            </w:r>
            <w:r w:rsidR="00D7157D">
              <w:t>.</w:t>
            </w:r>
            <w:r w:rsidRPr="00A058B6">
              <w:t>909</w:t>
            </w:r>
          </w:p>
        </w:tc>
        <w:tc>
          <w:tcPr>
            <w:tcW w:w="1878" w:type="pct"/>
            <w:tcBorders>
              <w:top w:val="single" w:sz="2" w:space="0" w:color="auto"/>
              <w:left w:val="nil"/>
              <w:bottom w:val="single" w:sz="2" w:space="0" w:color="auto"/>
              <w:right w:val="nil"/>
            </w:tcBorders>
            <w:shd w:val="clear" w:color="auto" w:fill="auto"/>
            <w:vAlign w:val="bottom"/>
          </w:tcPr>
          <w:p w14:paraId="51AC8653" w14:textId="77777777" w:rsidR="0001718E" w:rsidRPr="00A058B6" w:rsidRDefault="0001718E" w:rsidP="00A12E52">
            <w:pPr>
              <w:pStyle w:val="Tabletext"/>
            </w:pPr>
            <w:r w:rsidRPr="00A058B6">
              <w:t>1</w:t>
            </w:r>
            <w:r w:rsidR="00D7157D">
              <w:t>.</w:t>
            </w:r>
            <w:r w:rsidRPr="00A058B6">
              <w:t>120</w:t>
            </w:r>
          </w:p>
        </w:tc>
      </w:tr>
      <w:tr w:rsidR="0001718E" w:rsidRPr="00A058B6" w14:paraId="07459A16" w14:textId="77777777" w:rsidTr="001274A4">
        <w:trPr>
          <w:trHeight w:val="245"/>
          <w:jc w:val="right"/>
        </w:trPr>
        <w:tc>
          <w:tcPr>
            <w:tcW w:w="1705" w:type="pct"/>
          </w:tcPr>
          <w:p w14:paraId="2EFA4D2B" w14:textId="77777777" w:rsidR="0001718E" w:rsidRPr="00A058B6" w:rsidRDefault="0001718E" w:rsidP="00A12E52">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536F3FF7" w14:textId="77777777" w:rsidR="0001718E" w:rsidRPr="00A058B6" w:rsidRDefault="0001718E" w:rsidP="00A12E52">
            <w:pPr>
              <w:pStyle w:val="Tabletext"/>
            </w:pPr>
            <w:r w:rsidRPr="00A058B6">
              <w:t>2</w:t>
            </w:r>
            <w:r w:rsidR="00D7157D">
              <w:t>.</w:t>
            </w:r>
            <w:r w:rsidRPr="00A058B6">
              <w:t>801</w:t>
            </w:r>
          </w:p>
        </w:tc>
        <w:tc>
          <w:tcPr>
            <w:tcW w:w="1878" w:type="pct"/>
            <w:tcBorders>
              <w:top w:val="single" w:sz="2" w:space="0" w:color="auto"/>
              <w:left w:val="nil"/>
              <w:bottom w:val="single" w:sz="2" w:space="0" w:color="auto"/>
              <w:right w:val="nil"/>
            </w:tcBorders>
            <w:shd w:val="clear" w:color="auto" w:fill="auto"/>
            <w:vAlign w:val="bottom"/>
          </w:tcPr>
          <w:p w14:paraId="6DF5BC4C" w14:textId="77777777" w:rsidR="0001718E" w:rsidRPr="00A058B6" w:rsidRDefault="0001718E" w:rsidP="00A12E52">
            <w:pPr>
              <w:pStyle w:val="Tabletext"/>
            </w:pPr>
            <w:r w:rsidRPr="00A058B6">
              <w:t>1</w:t>
            </w:r>
            <w:r w:rsidR="00D7157D">
              <w:t>.</w:t>
            </w:r>
            <w:r w:rsidRPr="00A058B6">
              <w:t>038</w:t>
            </w:r>
          </w:p>
        </w:tc>
      </w:tr>
      <w:tr w:rsidR="0001718E" w:rsidRPr="00A058B6" w14:paraId="7D0DDEB3" w14:textId="77777777" w:rsidTr="001274A4">
        <w:trPr>
          <w:trHeight w:val="245"/>
          <w:jc w:val="right"/>
        </w:trPr>
        <w:tc>
          <w:tcPr>
            <w:tcW w:w="1705" w:type="pct"/>
          </w:tcPr>
          <w:p w14:paraId="1434F5D1" w14:textId="77777777" w:rsidR="0001718E" w:rsidRPr="00A058B6" w:rsidRDefault="0001718E" w:rsidP="00A12E52">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4EC712C4" w14:textId="77777777" w:rsidR="0001718E" w:rsidRPr="00A058B6" w:rsidRDefault="0001718E" w:rsidP="00A12E52">
            <w:pPr>
              <w:pStyle w:val="Tabletext"/>
            </w:pPr>
            <w:r w:rsidRPr="00A058B6">
              <w:t>2</w:t>
            </w:r>
            <w:r w:rsidR="00D7157D">
              <w:t>.</w:t>
            </w:r>
            <w:r w:rsidRPr="00A058B6">
              <w:t>693</w:t>
            </w:r>
          </w:p>
        </w:tc>
        <w:tc>
          <w:tcPr>
            <w:tcW w:w="1878" w:type="pct"/>
            <w:tcBorders>
              <w:top w:val="single" w:sz="2" w:space="0" w:color="auto"/>
              <w:left w:val="nil"/>
              <w:bottom w:val="single" w:sz="2" w:space="0" w:color="auto"/>
              <w:right w:val="nil"/>
            </w:tcBorders>
            <w:shd w:val="clear" w:color="auto" w:fill="auto"/>
            <w:vAlign w:val="bottom"/>
          </w:tcPr>
          <w:p w14:paraId="4627B9C0" w14:textId="77777777" w:rsidR="0001718E" w:rsidRPr="00A058B6" w:rsidRDefault="0001718E" w:rsidP="00A12E52">
            <w:pPr>
              <w:pStyle w:val="Tabletext"/>
            </w:pPr>
            <w:r w:rsidRPr="00A058B6">
              <w:t>0</w:t>
            </w:r>
            <w:r w:rsidR="00D7157D">
              <w:t>.</w:t>
            </w:r>
            <w:r w:rsidRPr="00A058B6">
              <w:t>956</w:t>
            </w:r>
          </w:p>
        </w:tc>
      </w:tr>
      <w:tr w:rsidR="0001718E" w:rsidRPr="00A058B6" w14:paraId="3C9F9BAE" w14:textId="77777777" w:rsidTr="001274A4">
        <w:trPr>
          <w:trHeight w:val="245"/>
          <w:jc w:val="right"/>
        </w:trPr>
        <w:tc>
          <w:tcPr>
            <w:tcW w:w="1705" w:type="pct"/>
          </w:tcPr>
          <w:p w14:paraId="18258512" w14:textId="77777777" w:rsidR="0001718E" w:rsidRPr="00A058B6" w:rsidRDefault="0001718E" w:rsidP="00A12E52">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726EC9BE" w14:textId="77777777" w:rsidR="0001718E" w:rsidRPr="00A058B6" w:rsidRDefault="0001718E" w:rsidP="00A12E52">
            <w:pPr>
              <w:pStyle w:val="Tabletext"/>
            </w:pPr>
            <w:r w:rsidRPr="00A058B6">
              <w:t>2</w:t>
            </w:r>
            <w:r w:rsidR="00D7157D">
              <w:t>.</w:t>
            </w:r>
            <w:r w:rsidRPr="00A058B6">
              <w:t>586</w:t>
            </w:r>
          </w:p>
        </w:tc>
        <w:tc>
          <w:tcPr>
            <w:tcW w:w="1878" w:type="pct"/>
            <w:tcBorders>
              <w:top w:val="single" w:sz="2" w:space="0" w:color="auto"/>
              <w:left w:val="nil"/>
              <w:bottom w:val="single" w:sz="2" w:space="0" w:color="auto"/>
              <w:right w:val="nil"/>
            </w:tcBorders>
            <w:shd w:val="clear" w:color="auto" w:fill="auto"/>
            <w:vAlign w:val="bottom"/>
          </w:tcPr>
          <w:p w14:paraId="1F3E85CC" w14:textId="77777777" w:rsidR="0001718E" w:rsidRPr="00A058B6" w:rsidRDefault="0001718E" w:rsidP="00A12E52">
            <w:pPr>
              <w:pStyle w:val="Tabletext"/>
            </w:pPr>
            <w:r w:rsidRPr="00A058B6">
              <w:t>0</w:t>
            </w:r>
            <w:r w:rsidR="00D7157D">
              <w:t>.</w:t>
            </w:r>
            <w:r w:rsidRPr="00A058B6">
              <w:t>874</w:t>
            </w:r>
          </w:p>
        </w:tc>
      </w:tr>
      <w:tr w:rsidR="0001718E" w:rsidRPr="00A058B6" w14:paraId="44ADCE40" w14:textId="77777777" w:rsidTr="001274A4">
        <w:trPr>
          <w:trHeight w:val="245"/>
          <w:jc w:val="right"/>
        </w:trPr>
        <w:tc>
          <w:tcPr>
            <w:tcW w:w="1705" w:type="pct"/>
          </w:tcPr>
          <w:p w14:paraId="5224415E" w14:textId="77777777" w:rsidR="0001718E" w:rsidRPr="00A058B6" w:rsidRDefault="0001718E" w:rsidP="00A12E52">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53ECA736" w14:textId="77777777" w:rsidR="0001718E" w:rsidRPr="00A058B6" w:rsidRDefault="0001718E" w:rsidP="00A12E52">
            <w:pPr>
              <w:pStyle w:val="Tabletext"/>
            </w:pPr>
            <w:r w:rsidRPr="00A058B6">
              <w:t>2</w:t>
            </w:r>
            <w:r w:rsidR="00D7157D">
              <w:t>.</w:t>
            </w:r>
            <w:r w:rsidRPr="00A058B6">
              <w:t>478</w:t>
            </w:r>
          </w:p>
        </w:tc>
        <w:tc>
          <w:tcPr>
            <w:tcW w:w="1878" w:type="pct"/>
            <w:tcBorders>
              <w:top w:val="single" w:sz="2" w:space="0" w:color="auto"/>
              <w:left w:val="nil"/>
              <w:bottom w:val="single" w:sz="2" w:space="0" w:color="auto"/>
              <w:right w:val="nil"/>
            </w:tcBorders>
            <w:shd w:val="clear" w:color="auto" w:fill="auto"/>
            <w:vAlign w:val="bottom"/>
          </w:tcPr>
          <w:p w14:paraId="38D7AA52" w14:textId="77777777" w:rsidR="0001718E" w:rsidRPr="00A058B6" w:rsidRDefault="0001718E" w:rsidP="00A12E52">
            <w:pPr>
              <w:pStyle w:val="Tabletext"/>
            </w:pPr>
            <w:r w:rsidRPr="00A058B6">
              <w:t>0</w:t>
            </w:r>
            <w:r w:rsidR="00D7157D">
              <w:t>.</w:t>
            </w:r>
            <w:r w:rsidRPr="00A058B6">
              <w:t>792</w:t>
            </w:r>
          </w:p>
        </w:tc>
      </w:tr>
      <w:tr w:rsidR="0001718E" w:rsidRPr="00A058B6" w14:paraId="324A1304" w14:textId="77777777" w:rsidTr="001274A4">
        <w:trPr>
          <w:trHeight w:val="245"/>
          <w:jc w:val="right"/>
        </w:trPr>
        <w:tc>
          <w:tcPr>
            <w:tcW w:w="1705" w:type="pct"/>
          </w:tcPr>
          <w:p w14:paraId="5ACE4B82" w14:textId="77777777" w:rsidR="0001718E" w:rsidRPr="00A058B6" w:rsidRDefault="0001718E" w:rsidP="00A12E52">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3733A766" w14:textId="77777777" w:rsidR="0001718E" w:rsidRPr="00A058B6" w:rsidRDefault="0001718E" w:rsidP="00A12E52">
            <w:pPr>
              <w:pStyle w:val="Tabletext"/>
            </w:pPr>
            <w:r w:rsidRPr="00A058B6">
              <w:t>2</w:t>
            </w:r>
            <w:r w:rsidR="00D7157D">
              <w:t>.</w:t>
            </w:r>
            <w:r w:rsidRPr="00A058B6">
              <w:t>370</w:t>
            </w:r>
          </w:p>
        </w:tc>
        <w:tc>
          <w:tcPr>
            <w:tcW w:w="1878" w:type="pct"/>
            <w:tcBorders>
              <w:top w:val="single" w:sz="2" w:space="0" w:color="auto"/>
              <w:left w:val="nil"/>
              <w:bottom w:val="single" w:sz="2" w:space="0" w:color="auto"/>
              <w:right w:val="nil"/>
            </w:tcBorders>
            <w:shd w:val="clear" w:color="auto" w:fill="auto"/>
            <w:vAlign w:val="bottom"/>
          </w:tcPr>
          <w:p w14:paraId="53A9C07B" w14:textId="77777777" w:rsidR="0001718E" w:rsidRPr="00A058B6" w:rsidRDefault="0001718E" w:rsidP="00A12E52">
            <w:pPr>
              <w:pStyle w:val="Tabletext"/>
            </w:pPr>
            <w:r w:rsidRPr="00A058B6">
              <w:t>0</w:t>
            </w:r>
            <w:r w:rsidR="00D7157D">
              <w:t>.</w:t>
            </w:r>
            <w:r w:rsidRPr="00A058B6">
              <w:t>710</w:t>
            </w:r>
          </w:p>
        </w:tc>
      </w:tr>
      <w:tr w:rsidR="0001718E" w:rsidRPr="00A058B6" w14:paraId="7BE8F5C1" w14:textId="77777777" w:rsidTr="001274A4">
        <w:trPr>
          <w:trHeight w:val="245"/>
          <w:jc w:val="right"/>
        </w:trPr>
        <w:tc>
          <w:tcPr>
            <w:tcW w:w="1705" w:type="pct"/>
          </w:tcPr>
          <w:p w14:paraId="5EC83C3F" w14:textId="77777777" w:rsidR="0001718E" w:rsidRPr="00A058B6" w:rsidRDefault="0001718E" w:rsidP="00A12E52">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42BC14C7" w14:textId="77777777" w:rsidR="0001718E" w:rsidRPr="00A058B6" w:rsidRDefault="0001718E" w:rsidP="00A12E52">
            <w:pPr>
              <w:pStyle w:val="Tabletext"/>
            </w:pPr>
            <w:r w:rsidRPr="00A058B6">
              <w:t>2</w:t>
            </w:r>
            <w:r w:rsidR="00D7157D">
              <w:t>.</w:t>
            </w:r>
            <w:r w:rsidRPr="00A058B6">
              <w:t>262</w:t>
            </w:r>
          </w:p>
        </w:tc>
        <w:tc>
          <w:tcPr>
            <w:tcW w:w="1878" w:type="pct"/>
            <w:tcBorders>
              <w:top w:val="single" w:sz="2" w:space="0" w:color="auto"/>
              <w:left w:val="nil"/>
              <w:bottom w:val="single" w:sz="2" w:space="0" w:color="auto"/>
              <w:right w:val="nil"/>
            </w:tcBorders>
            <w:shd w:val="clear" w:color="auto" w:fill="auto"/>
            <w:vAlign w:val="bottom"/>
          </w:tcPr>
          <w:p w14:paraId="4475F29B" w14:textId="77777777" w:rsidR="0001718E" w:rsidRPr="00A058B6" w:rsidRDefault="0001718E" w:rsidP="00A12E52">
            <w:pPr>
              <w:pStyle w:val="Tabletext"/>
            </w:pPr>
            <w:r w:rsidRPr="00A058B6">
              <w:t>0</w:t>
            </w:r>
            <w:r w:rsidR="00D7157D">
              <w:t>.</w:t>
            </w:r>
            <w:r w:rsidRPr="00A058B6">
              <w:t>628</w:t>
            </w:r>
          </w:p>
        </w:tc>
      </w:tr>
      <w:tr w:rsidR="0001718E" w:rsidRPr="00A058B6" w14:paraId="65BBB02C" w14:textId="77777777" w:rsidTr="001274A4">
        <w:trPr>
          <w:trHeight w:val="245"/>
          <w:jc w:val="right"/>
        </w:trPr>
        <w:tc>
          <w:tcPr>
            <w:tcW w:w="1705" w:type="pct"/>
          </w:tcPr>
          <w:p w14:paraId="3328D7F6" w14:textId="77777777" w:rsidR="0001718E" w:rsidRPr="00A058B6" w:rsidRDefault="0001718E" w:rsidP="00A12E52">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40F1D31B" w14:textId="77777777" w:rsidR="0001718E" w:rsidRPr="00A058B6" w:rsidRDefault="0001718E" w:rsidP="00A12E52">
            <w:pPr>
              <w:pStyle w:val="Tabletext"/>
            </w:pPr>
            <w:r w:rsidRPr="00A058B6">
              <w:t>2</w:t>
            </w:r>
            <w:r w:rsidR="00D7157D">
              <w:t>.</w:t>
            </w:r>
            <w:r w:rsidRPr="00A058B6">
              <w:t>155</w:t>
            </w:r>
          </w:p>
        </w:tc>
        <w:tc>
          <w:tcPr>
            <w:tcW w:w="1878" w:type="pct"/>
            <w:tcBorders>
              <w:top w:val="single" w:sz="2" w:space="0" w:color="auto"/>
              <w:left w:val="nil"/>
              <w:bottom w:val="single" w:sz="2" w:space="0" w:color="auto"/>
              <w:right w:val="nil"/>
            </w:tcBorders>
            <w:shd w:val="clear" w:color="auto" w:fill="auto"/>
            <w:vAlign w:val="bottom"/>
          </w:tcPr>
          <w:p w14:paraId="183C8B60" w14:textId="77777777" w:rsidR="0001718E" w:rsidRPr="00A058B6" w:rsidRDefault="0001718E" w:rsidP="00A12E52">
            <w:pPr>
              <w:pStyle w:val="Tabletext"/>
            </w:pPr>
            <w:r w:rsidRPr="00A058B6">
              <w:t>0</w:t>
            </w:r>
            <w:r w:rsidR="00D7157D">
              <w:t>.</w:t>
            </w:r>
            <w:r w:rsidRPr="00A058B6">
              <w:t>547</w:t>
            </w:r>
          </w:p>
        </w:tc>
      </w:tr>
      <w:tr w:rsidR="0001718E" w:rsidRPr="00A058B6" w14:paraId="34C08126" w14:textId="77777777" w:rsidTr="001274A4">
        <w:trPr>
          <w:trHeight w:val="245"/>
          <w:jc w:val="right"/>
        </w:trPr>
        <w:tc>
          <w:tcPr>
            <w:tcW w:w="1705" w:type="pct"/>
          </w:tcPr>
          <w:p w14:paraId="6C628111" w14:textId="77777777" w:rsidR="0001718E" w:rsidRPr="00A058B6" w:rsidRDefault="0001718E" w:rsidP="00A12E52">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19FE5766" w14:textId="77777777" w:rsidR="0001718E" w:rsidRPr="00A058B6" w:rsidRDefault="0001718E" w:rsidP="00A12E52">
            <w:pPr>
              <w:pStyle w:val="Tabletext"/>
            </w:pPr>
            <w:r w:rsidRPr="00A058B6">
              <w:t>1</w:t>
            </w:r>
            <w:r w:rsidR="00D7157D">
              <w:t>.</w:t>
            </w:r>
            <w:r w:rsidRPr="00A058B6">
              <w:t>831</w:t>
            </w:r>
          </w:p>
        </w:tc>
        <w:tc>
          <w:tcPr>
            <w:tcW w:w="1878" w:type="pct"/>
            <w:tcBorders>
              <w:top w:val="single" w:sz="2" w:space="0" w:color="auto"/>
              <w:left w:val="nil"/>
              <w:bottom w:val="single" w:sz="2" w:space="0" w:color="auto"/>
              <w:right w:val="nil"/>
            </w:tcBorders>
            <w:shd w:val="clear" w:color="auto" w:fill="auto"/>
            <w:vAlign w:val="bottom"/>
          </w:tcPr>
          <w:p w14:paraId="4D6B9F06" w14:textId="77777777" w:rsidR="0001718E" w:rsidRPr="00A058B6" w:rsidRDefault="0001718E" w:rsidP="00A12E52">
            <w:pPr>
              <w:pStyle w:val="Tabletext"/>
            </w:pPr>
            <w:r w:rsidRPr="00A058B6">
              <w:t>0</w:t>
            </w:r>
            <w:r w:rsidR="00D7157D">
              <w:t>.</w:t>
            </w:r>
            <w:r w:rsidRPr="00A058B6">
              <w:t>465</w:t>
            </w:r>
          </w:p>
        </w:tc>
      </w:tr>
      <w:tr w:rsidR="0001718E" w:rsidRPr="00A058B6" w14:paraId="5BA140A1" w14:textId="77777777" w:rsidTr="001274A4">
        <w:trPr>
          <w:trHeight w:val="245"/>
          <w:jc w:val="right"/>
        </w:trPr>
        <w:tc>
          <w:tcPr>
            <w:tcW w:w="1705" w:type="pct"/>
          </w:tcPr>
          <w:p w14:paraId="58274BB8" w14:textId="77777777" w:rsidR="0001718E" w:rsidRPr="00A058B6" w:rsidRDefault="0001718E" w:rsidP="00A12E52">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7690C588" w14:textId="77777777" w:rsidR="0001718E" w:rsidRPr="00A058B6" w:rsidRDefault="0001718E" w:rsidP="00A12E52">
            <w:pPr>
              <w:pStyle w:val="Tabletext"/>
            </w:pPr>
            <w:r w:rsidRPr="00A058B6">
              <w:t>1</w:t>
            </w:r>
            <w:r w:rsidR="00D7157D">
              <w:t>.</w:t>
            </w:r>
            <w:r w:rsidRPr="00A058B6">
              <w:t>508</w:t>
            </w:r>
          </w:p>
        </w:tc>
        <w:tc>
          <w:tcPr>
            <w:tcW w:w="1878" w:type="pct"/>
            <w:tcBorders>
              <w:top w:val="single" w:sz="2" w:space="0" w:color="auto"/>
              <w:left w:val="nil"/>
              <w:bottom w:val="single" w:sz="2" w:space="0" w:color="auto"/>
              <w:right w:val="nil"/>
            </w:tcBorders>
            <w:shd w:val="clear" w:color="auto" w:fill="auto"/>
            <w:vAlign w:val="bottom"/>
          </w:tcPr>
          <w:p w14:paraId="2AF6DDA1" w14:textId="77777777" w:rsidR="0001718E" w:rsidRPr="00A058B6" w:rsidRDefault="0001718E" w:rsidP="00A12E52">
            <w:pPr>
              <w:pStyle w:val="Tabletext"/>
            </w:pPr>
            <w:r w:rsidRPr="00A058B6">
              <w:t>0</w:t>
            </w:r>
            <w:r w:rsidR="00D7157D">
              <w:t>.</w:t>
            </w:r>
            <w:r w:rsidRPr="00A058B6">
              <w:t>383</w:t>
            </w:r>
          </w:p>
        </w:tc>
      </w:tr>
      <w:tr w:rsidR="0001718E" w:rsidRPr="00A058B6" w14:paraId="56F4C8FE" w14:textId="77777777" w:rsidTr="001274A4">
        <w:trPr>
          <w:trHeight w:val="245"/>
          <w:jc w:val="right"/>
        </w:trPr>
        <w:tc>
          <w:tcPr>
            <w:tcW w:w="1705" w:type="pct"/>
          </w:tcPr>
          <w:p w14:paraId="543943D8" w14:textId="77777777" w:rsidR="0001718E" w:rsidRPr="00A058B6" w:rsidRDefault="0001718E" w:rsidP="00A12E52">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33EC89C4" w14:textId="77777777" w:rsidR="0001718E" w:rsidRPr="00A058B6" w:rsidRDefault="0001718E" w:rsidP="00A12E52">
            <w:pPr>
              <w:pStyle w:val="Tabletext"/>
            </w:pPr>
            <w:r w:rsidRPr="00A058B6">
              <w:t>1</w:t>
            </w:r>
            <w:r w:rsidR="00D7157D">
              <w:t>.</w:t>
            </w:r>
            <w:r w:rsidRPr="00A058B6">
              <w:t>185</w:t>
            </w:r>
          </w:p>
        </w:tc>
        <w:tc>
          <w:tcPr>
            <w:tcW w:w="1878" w:type="pct"/>
            <w:tcBorders>
              <w:top w:val="single" w:sz="2" w:space="0" w:color="auto"/>
              <w:left w:val="nil"/>
              <w:bottom w:val="single" w:sz="2" w:space="0" w:color="auto"/>
              <w:right w:val="nil"/>
            </w:tcBorders>
            <w:shd w:val="clear" w:color="auto" w:fill="auto"/>
            <w:vAlign w:val="bottom"/>
          </w:tcPr>
          <w:p w14:paraId="146DE4F2" w14:textId="77777777" w:rsidR="0001718E" w:rsidRPr="00A058B6" w:rsidRDefault="0001718E" w:rsidP="00A12E52">
            <w:pPr>
              <w:pStyle w:val="Tabletext"/>
            </w:pPr>
            <w:r w:rsidRPr="00A058B6">
              <w:t>0</w:t>
            </w:r>
            <w:r w:rsidR="00D7157D">
              <w:t>.</w:t>
            </w:r>
            <w:r w:rsidRPr="00A058B6">
              <w:t>301</w:t>
            </w:r>
          </w:p>
        </w:tc>
      </w:tr>
      <w:tr w:rsidR="0001718E" w:rsidRPr="00A058B6" w14:paraId="4668AB88" w14:textId="77777777" w:rsidTr="001274A4">
        <w:trPr>
          <w:trHeight w:val="245"/>
          <w:jc w:val="right"/>
        </w:trPr>
        <w:tc>
          <w:tcPr>
            <w:tcW w:w="1705" w:type="pct"/>
            <w:tcBorders>
              <w:bottom w:val="single" w:sz="4" w:space="0" w:color="auto"/>
            </w:tcBorders>
          </w:tcPr>
          <w:p w14:paraId="07CF9124" w14:textId="77777777" w:rsidR="0001718E" w:rsidRPr="00A058B6" w:rsidRDefault="0001718E" w:rsidP="00A12E52">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40FFD5E3" w14:textId="77777777" w:rsidR="0001718E" w:rsidRPr="00A058B6" w:rsidRDefault="0001718E" w:rsidP="00A12E52">
            <w:pPr>
              <w:pStyle w:val="Tabletext"/>
            </w:pPr>
            <w:r w:rsidRPr="00A058B6">
              <w:t>0</w:t>
            </w:r>
            <w:r w:rsidR="00D7157D">
              <w:t>.</w:t>
            </w:r>
            <w:r w:rsidRPr="00A058B6">
              <w:t>862</w:t>
            </w:r>
          </w:p>
        </w:tc>
        <w:tc>
          <w:tcPr>
            <w:tcW w:w="1878" w:type="pct"/>
            <w:tcBorders>
              <w:top w:val="single" w:sz="2" w:space="0" w:color="auto"/>
              <w:left w:val="nil"/>
              <w:bottom w:val="single" w:sz="2" w:space="0" w:color="auto"/>
              <w:right w:val="nil"/>
            </w:tcBorders>
            <w:shd w:val="clear" w:color="auto" w:fill="auto"/>
            <w:vAlign w:val="bottom"/>
          </w:tcPr>
          <w:p w14:paraId="31BD4E11" w14:textId="77777777" w:rsidR="0001718E" w:rsidRPr="00A058B6" w:rsidRDefault="0001718E" w:rsidP="00A12E52">
            <w:pPr>
              <w:pStyle w:val="Tabletext"/>
            </w:pPr>
            <w:r w:rsidRPr="00A058B6">
              <w:t>0</w:t>
            </w:r>
            <w:r w:rsidR="00D7157D">
              <w:t>.</w:t>
            </w:r>
            <w:r w:rsidRPr="00A058B6">
              <w:t>219</w:t>
            </w:r>
          </w:p>
        </w:tc>
      </w:tr>
      <w:tr w:rsidR="0001718E" w:rsidRPr="00A058B6" w14:paraId="6FC254C8" w14:textId="77777777" w:rsidTr="001274A4">
        <w:trPr>
          <w:trHeight w:val="245"/>
          <w:jc w:val="right"/>
        </w:trPr>
        <w:tc>
          <w:tcPr>
            <w:tcW w:w="1705" w:type="pct"/>
            <w:tcBorders>
              <w:top w:val="single" w:sz="4" w:space="0" w:color="auto"/>
              <w:bottom w:val="single" w:sz="12" w:space="0" w:color="auto"/>
            </w:tcBorders>
          </w:tcPr>
          <w:p w14:paraId="38895394" w14:textId="77777777" w:rsidR="0001718E" w:rsidRPr="00A058B6" w:rsidRDefault="0001718E" w:rsidP="00A12E52">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07582013" w14:textId="77777777" w:rsidR="0001718E" w:rsidRPr="00A058B6" w:rsidRDefault="0001718E" w:rsidP="00A12E52">
            <w:pPr>
              <w:pStyle w:val="Tabletext"/>
            </w:pPr>
            <w:r w:rsidRPr="00A058B6">
              <w:t>0</w:t>
            </w:r>
            <w:r w:rsidR="00D7157D">
              <w:t>.</w:t>
            </w:r>
            <w:r w:rsidRPr="00A058B6">
              <w:t>539</w:t>
            </w:r>
          </w:p>
        </w:tc>
        <w:tc>
          <w:tcPr>
            <w:tcW w:w="1878" w:type="pct"/>
            <w:tcBorders>
              <w:top w:val="single" w:sz="2" w:space="0" w:color="auto"/>
              <w:left w:val="nil"/>
              <w:bottom w:val="single" w:sz="12" w:space="0" w:color="auto"/>
              <w:right w:val="nil"/>
            </w:tcBorders>
            <w:shd w:val="clear" w:color="auto" w:fill="auto"/>
            <w:vAlign w:val="bottom"/>
          </w:tcPr>
          <w:p w14:paraId="5AD31B11" w14:textId="77777777" w:rsidR="0001718E" w:rsidRPr="00A058B6" w:rsidRDefault="0001718E" w:rsidP="00A12E52">
            <w:pPr>
              <w:pStyle w:val="Tabletext"/>
            </w:pPr>
            <w:r w:rsidRPr="00A058B6">
              <w:t>0</w:t>
            </w:r>
            <w:r w:rsidR="00D7157D">
              <w:t>.</w:t>
            </w:r>
            <w:r w:rsidRPr="00A058B6">
              <w:t>137</w:t>
            </w:r>
          </w:p>
        </w:tc>
      </w:tr>
    </w:tbl>
    <w:p w14:paraId="0D3B754B" w14:textId="1C5127BD" w:rsidR="00647C6B" w:rsidRPr="00A058B6" w:rsidRDefault="00D7157D" w:rsidP="00647C6B">
      <w:pPr>
        <w:pStyle w:val="ActHead5"/>
      </w:pPr>
      <w:bookmarkStart w:id="252" w:name="_Toc188350730"/>
      <w:r w:rsidRPr="00423C34">
        <w:rPr>
          <w:rStyle w:val="CharSectno"/>
        </w:rPr>
        <w:t>14</w:t>
      </w:r>
      <w:r w:rsidR="00647C6B" w:rsidRPr="00A058B6">
        <w:t xml:space="preserve">  Valuation factors—no guarantee period—pension indexed at 5%</w:t>
      </w:r>
      <w:bookmarkEnd w:id="252"/>
    </w:p>
    <w:p w14:paraId="3D0F82CE"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1719FA65" w14:textId="77777777" w:rsidR="00647C6B" w:rsidRPr="00A058B6" w:rsidRDefault="00647C6B" w:rsidP="00647C6B">
      <w:pPr>
        <w:pStyle w:val="paragraph"/>
      </w:pPr>
      <w:r w:rsidRPr="00A058B6">
        <w:tab/>
        <w:t>(a)</w:t>
      </w:r>
      <w:r w:rsidRPr="00A058B6">
        <w:tab/>
        <w:t>has no guarantee period; and</w:t>
      </w:r>
    </w:p>
    <w:p w14:paraId="5AA7BB33" w14:textId="77777777" w:rsidR="00647C6B" w:rsidRPr="00A058B6" w:rsidRDefault="00647C6B" w:rsidP="00647C6B">
      <w:pPr>
        <w:pStyle w:val="paragraph"/>
      </w:pPr>
      <w:r w:rsidRPr="00A058B6">
        <w:tab/>
        <w:t>(b)</w:t>
      </w:r>
      <w:r w:rsidRPr="00A058B6">
        <w:tab/>
        <w:t>is indexed at 5%</w:t>
      </w:r>
      <w:r w:rsidR="00D7157D">
        <w:t>.</w:t>
      </w:r>
    </w:p>
    <w:p w14:paraId="6FC56A71"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76"/>
        <w:gridCol w:w="3102"/>
      </w:tblGrid>
      <w:tr w:rsidR="00647C6B" w:rsidRPr="00A058B6" w14:paraId="4E567666" w14:textId="77777777" w:rsidTr="00963115">
        <w:trPr>
          <w:cantSplit/>
          <w:trHeight w:val="375"/>
          <w:tblHeader/>
          <w:jc w:val="right"/>
        </w:trPr>
        <w:tc>
          <w:tcPr>
            <w:tcW w:w="1705" w:type="pct"/>
            <w:vMerge w:val="restart"/>
            <w:tcBorders>
              <w:top w:val="single" w:sz="12" w:space="0" w:color="auto"/>
              <w:bottom w:val="single" w:sz="12" w:space="0" w:color="auto"/>
            </w:tcBorders>
          </w:tcPr>
          <w:p w14:paraId="039165DE"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7BFDB004" w14:textId="77777777" w:rsidR="00647C6B" w:rsidRPr="00A058B6" w:rsidRDefault="00647C6B" w:rsidP="00963115">
            <w:pPr>
              <w:pStyle w:val="TableHeading"/>
              <w:rPr>
                <w:snapToGrid w:val="0"/>
              </w:rPr>
            </w:pPr>
            <w:r w:rsidRPr="00A058B6">
              <w:rPr>
                <w:snapToGrid w:val="0"/>
              </w:rPr>
              <w:t>Pension valuation factors</w:t>
            </w:r>
            <w:r w:rsidRPr="00A058B6">
              <w:rPr>
                <w:snapToGrid w:val="0"/>
              </w:rPr>
              <w:br/>
              <w:t>No guarantee period—pension indexed at 5%</w:t>
            </w:r>
          </w:p>
        </w:tc>
      </w:tr>
      <w:tr w:rsidR="00647C6B" w:rsidRPr="00A058B6" w14:paraId="0E7DB36F" w14:textId="77777777" w:rsidTr="00963115">
        <w:trPr>
          <w:cantSplit/>
          <w:trHeight w:val="60"/>
          <w:tblHeader/>
          <w:jc w:val="right"/>
        </w:trPr>
        <w:tc>
          <w:tcPr>
            <w:tcW w:w="1705" w:type="pct"/>
            <w:vMerge/>
            <w:tcBorders>
              <w:top w:val="single" w:sz="4" w:space="0" w:color="auto"/>
              <w:bottom w:val="single" w:sz="12" w:space="0" w:color="auto"/>
            </w:tcBorders>
          </w:tcPr>
          <w:p w14:paraId="66090516" w14:textId="77777777" w:rsidR="00647C6B" w:rsidRPr="00A058B6" w:rsidRDefault="00647C6B" w:rsidP="00963115">
            <w:pPr>
              <w:pStyle w:val="TableHeading"/>
              <w:rPr>
                <w:snapToGrid w:val="0"/>
              </w:rPr>
            </w:pPr>
          </w:p>
        </w:tc>
        <w:tc>
          <w:tcPr>
            <w:tcW w:w="1429" w:type="pct"/>
            <w:tcBorders>
              <w:top w:val="single" w:sz="4" w:space="0" w:color="auto"/>
              <w:bottom w:val="single" w:sz="12" w:space="0" w:color="auto"/>
            </w:tcBorders>
          </w:tcPr>
          <w:p w14:paraId="03151BA0"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5BD17B8D" w14:textId="77777777" w:rsidR="00647C6B" w:rsidRPr="00A058B6" w:rsidRDefault="00647C6B" w:rsidP="00963115">
            <w:pPr>
              <w:pStyle w:val="TableHeading"/>
              <w:rPr>
                <w:snapToGrid w:val="0"/>
              </w:rPr>
            </w:pPr>
            <w:r w:rsidRPr="00A058B6">
              <w:rPr>
                <w:snapToGrid w:val="0"/>
              </w:rPr>
              <w:t>Female</w:t>
            </w:r>
          </w:p>
        </w:tc>
      </w:tr>
      <w:tr w:rsidR="00647C6B" w:rsidRPr="00A058B6" w14:paraId="7F65ED21" w14:textId="77777777" w:rsidTr="001274A4">
        <w:trPr>
          <w:trHeight w:val="245"/>
          <w:jc w:val="right"/>
        </w:trPr>
        <w:tc>
          <w:tcPr>
            <w:tcW w:w="1705" w:type="pct"/>
            <w:tcBorders>
              <w:top w:val="single" w:sz="12" w:space="0" w:color="auto"/>
            </w:tcBorders>
          </w:tcPr>
          <w:p w14:paraId="07596053"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0AD11012" w14:textId="77777777" w:rsidR="00647C6B" w:rsidRPr="00A058B6" w:rsidRDefault="00647C6B" w:rsidP="009C0D79">
            <w:pPr>
              <w:pStyle w:val="Tabletext"/>
            </w:pPr>
            <w:r w:rsidRPr="00A058B6">
              <w:t>28</w:t>
            </w:r>
            <w:r w:rsidR="00D7157D">
              <w:t>.</w:t>
            </w:r>
            <w:r w:rsidRPr="00A058B6">
              <w:t>4605</w:t>
            </w:r>
          </w:p>
        </w:tc>
        <w:tc>
          <w:tcPr>
            <w:tcW w:w="1866" w:type="pct"/>
            <w:tcBorders>
              <w:top w:val="single" w:sz="12" w:space="0" w:color="auto"/>
              <w:left w:val="nil"/>
              <w:bottom w:val="single" w:sz="2" w:space="0" w:color="auto"/>
              <w:right w:val="nil"/>
            </w:tcBorders>
            <w:shd w:val="clear" w:color="auto" w:fill="auto"/>
            <w:vAlign w:val="center"/>
          </w:tcPr>
          <w:p w14:paraId="116233B2" w14:textId="77777777" w:rsidR="00647C6B" w:rsidRPr="00A058B6" w:rsidRDefault="00647C6B" w:rsidP="009C0D79">
            <w:pPr>
              <w:pStyle w:val="Tabletext"/>
            </w:pPr>
            <w:r w:rsidRPr="00A058B6">
              <w:t>30</w:t>
            </w:r>
            <w:r w:rsidR="00D7157D">
              <w:t>.</w:t>
            </w:r>
            <w:r w:rsidRPr="00A058B6">
              <w:t>2091</w:t>
            </w:r>
          </w:p>
        </w:tc>
      </w:tr>
      <w:tr w:rsidR="00647C6B" w:rsidRPr="00A058B6" w14:paraId="67D5A063" w14:textId="77777777" w:rsidTr="001274A4">
        <w:trPr>
          <w:trHeight w:val="245"/>
          <w:jc w:val="right"/>
        </w:trPr>
        <w:tc>
          <w:tcPr>
            <w:tcW w:w="1705" w:type="pct"/>
          </w:tcPr>
          <w:p w14:paraId="04471768"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3659B38B" w14:textId="77777777" w:rsidR="00647C6B" w:rsidRPr="00A058B6" w:rsidRDefault="00647C6B" w:rsidP="009C0D79">
            <w:pPr>
              <w:pStyle w:val="Tabletext"/>
            </w:pPr>
            <w:r w:rsidRPr="00A058B6">
              <w:t>27</w:t>
            </w:r>
            <w:r w:rsidR="00D7157D">
              <w:t>.</w:t>
            </w:r>
            <w:r w:rsidRPr="00A058B6">
              <w:t>7366</w:t>
            </w:r>
          </w:p>
        </w:tc>
        <w:tc>
          <w:tcPr>
            <w:tcW w:w="1866" w:type="pct"/>
            <w:tcBorders>
              <w:top w:val="single" w:sz="2" w:space="0" w:color="auto"/>
              <w:left w:val="nil"/>
              <w:bottom w:val="single" w:sz="2" w:space="0" w:color="auto"/>
              <w:right w:val="nil"/>
            </w:tcBorders>
            <w:shd w:val="clear" w:color="auto" w:fill="auto"/>
            <w:vAlign w:val="center"/>
          </w:tcPr>
          <w:p w14:paraId="2A49AF44" w14:textId="77777777" w:rsidR="00647C6B" w:rsidRPr="00A058B6" w:rsidRDefault="00647C6B" w:rsidP="009C0D79">
            <w:pPr>
              <w:pStyle w:val="Tabletext"/>
            </w:pPr>
            <w:r w:rsidRPr="00A058B6">
              <w:t>29</w:t>
            </w:r>
            <w:r w:rsidR="00D7157D">
              <w:t>.</w:t>
            </w:r>
            <w:r w:rsidRPr="00A058B6">
              <w:t>4846</w:t>
            </w:r>
          </w:p>
        </w:tc>
      </w:tr>
      <w:tr w:rsidR="00647C6B" w:rsidRPr="00A058B6" w14:paraId="52DCD233" w14:textId="77777777" w:rsidTr="001274A4">
        <w:trPr>
          <w:trHeight w:val="245"/>
          <w:jc w:val="right"/>
        </w:trPr>
        <w:tc>
          <w:tcPr>
            <w:tcW w:w="1705" w:type="pct"/>
          </w:tcPr>
          <w:p w14:paraId="0976EA42"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320595DB" w14:textId="77777777" w:rsidR="00647C6B" w:rsidRPr="00A058B6" w:rsidRDefault="00647C6B" w:rsidP="009C0D79">
            <w:pPr>
              <w:pStyle w:val="Tabletext"/>
            </w:pPr>
            <w:r w:rsidRPr="00A058B6">
              <w:t>27</w:t>
            </w:r>
            <w:r w:rsidR="00D7157D">
              <w:t>.</w:t>
            </w:r>
            <w:r w:rsidRPr="00A058B6">
              <w:t>0064</w:t>
            </w:r>
          </w:p>
        </w:tc>
        <w:tc>
          <w:tcPr>
            <w:tcW w:w="1866" w:type="pct"/>
            <w:tcBorders>
              <w:top w:val="single" w:sz="2" w:space="0" w:color="auto"/>
              <w:left w:val="nil"/>
              <w:bottom w:val="single" w:sz="2" w:space="0" w:color="auto"/>
              <w:right w:val="nil"/>
            </w:tcBorders>
            <w:shd w:val="clear" w:color="auto" w:fill="auto"/>
            <w:vAlign w:val="center"/>
          </w:tcPr>
          <w:p w14:paraId="1B52CF06" w14:textId="77777777" w:rsidR="00647C6B" w:rsidRPr="00A058B6" w:rsidRDefault="00647C6B" w:rsidP="009C0D79">
            <w:pPr>
              <w:pStyle w:val="Tabletext"/>
            </w:pPr>
            <w:r w:rsidRPr="00A058B6">
              <w:t>28</w:t>
            </w:r>
            <w:r w:rsidR="00D7157D">
              <w:t>.</w:t>
            </w:r>
            <w:r w:rsidRPr="00A058B6">
              <w:t>7557</w:t>
            </w:r>
          </w:p>
        </w:tc>
      </w:tr>
      <w:tr w:rsidR="00647C6B" w:rsidRPr="00A058B6" w14:paraId="30701D08" w14:textId="77777777" w:rsidTr="001274A4">
        <w:trPr>
          <w:trHeight w:val="245"/>
          <w:jc w:val="right"/>
        </w:trPr>
        <w:tc>
          <w:tcPr>
            <w:tcW w:w="1705" w:type="pct"/>
          </w:tcPr>
          <w:p w14:paraId="7C78D121"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41FBE0B0" w14:textId="77777777" w:rsidR="00647C6B" w:rsidRPr="00A058B6" w:rsidRDefault="00647C6B" w:rsidP="009C0D79">
            <w:pPr>
              <w:pStyle w:val="Tabletext"/>
            </w:pPr>
            <w:r w:rsidRPr="00A058B6">
              <w:t>26</w:t>
            </w:r>
            <w:r w:rsidR="00D7157D">
              <w:t>.</w:t>
            </w:r>
            <w:r w:rsidRPr="00A058B6">
              <w:t>2697</w:t>
            </w:r>
          </w:p>
        </w:tc>
        <w:tc>
          <w:tcPr>
            <w:tcW w:w="1866" w:type="pct"/>
            <w:tcBorders>
              <w:top w:val="single" w:sz="2" w:space="0" w:color="auto"/>
              <w:left w:val="nil"/>
              <w:bottom w:val="single" w:sz="2" w:space="0" w:color="auto"/>
              <w:right w:val="nil"/>
            </w:tcBorders>
            <w:shd w:val="clear" w:color="auto" w:fill="auto"/>
            <w:vAlign w:val="center"/>
          </w:tcPr>
          <w:p w14:paraId="76E7A9F5" w14:textId="77777777" w:rsidR="00647C6B" w:rsidRPr="00A058B6" w:rsidRDefault="00647C6B" w:rsidP="009C0D79">
            <w:pPr>
              <w:pStyle w:val="Tabletext"/>
            </w:pPr>
            <w:r w:rsidRPr="00A058B6">
              <w:t>28</w:t>
            </w:r>
            <w:r w:rsidR="00D7157D">
              <w:t>.</w:t>
            </w:r>
            <w:r w:rsidRPr="00A058B6">
              <w:t>0211</w:t>
            </w:r>
          </w:p>
        </w:tc>
      </w:tr>
      <w:tr w:rsidR="00647C6B" w:rsidRPr="00A058B6" w14:paraId="2FD68A82" w14:textId="77777777" w:rsidTr="001274A4">
        <w:trPr>
          <w:trHeight w:val="245"/>
          <w:jc w:val="right"/>
        </w:trPr>
        <w:tc>
          <w:tcPr>
            <w:tcW w:w="1705" w:type="pct"/>
          </w:tcPr>
          <w:p w14:paraId="58168DA7"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74452006" w14:textId="77777777" w:rsidR="00647C6B" w:rsidRPr="00A058B6" w:rsidRDefault="00647C6B" w:rsidP="009C0D79">
            <w:pPr>
              <w:pStyle w:val="Tabletext"/>
            </w:pPr>
            <w:r w:rsidRPr="00A058B6">
              <w:t>25</w:t>
            </w:r>
            <w:r w:rsidR="00D7157D">
              <w:t>.</w:t>
            </w:r>
            <w:r w:rsidRPr="00A058B6">
              <w:t>5261</w:t>
            </w:r>
          </w:p>
        </w:tc>
        <w:tc>
          <w:tcPr>
            <w:tcW w:w="1866" w:type="pct"/>
            <w:tcBorders>
              <w:top w:val="single" w:sz="2" w:space="0" w:color="auto"/>
              <w:left w:val="nil"/>
              <w:bottom w:val="single" w:sz="2" w:space="0" w:color="auto"/>
              <w:right w:val="nil"/>
            </w:tcBorders>
            <w:shd w:val="clear" w:color="auto" w:fill="auto"/>
            <w:vAlign w:val="center"/>
          </w:tcPr>
          <w:p w14:paraId="1AEA76A6" w14:textId="77777777" w:rsidR="00647C6B" w:rsidRPr="00A058B6" w:rsidRDefault="00647C6B" w:rsidP="009C0D79">
            <w:pPr>
              <w:pStyle w:val="Tabletext"/>
            </w:pPr>
            <w:r w:rsidRPr="00A058B6">
              <w:t>27</w:t>
            </w:r>
            <w:r w:rsidR="00D7157D">
              <w:t>.</w:t>
            </w:r>
            <w:r w:rsidRPr="00A058B6">
              <w:t>2806</w:t>
            </w:r>
          </w:p>
        </w:tc>
      </w:tr>
      <w:tr w:rsidR="00647C6B" w:rsidRPr="00A058B6" w14:paraId="5E844ABF" w14:textId="77777777" w:rsidTr="001274A4">
        <w:trPr>
          <w:trHeight w:val="245"/>
          <w:jc w:val="right"/>
        </w:trPr>
        <w:tc>
          <w:tcPr>
            <w:tcW w:w="1705" w:type="pct"/>
          </w:tcPr>
          <w:p w14:paraId="548C6CA6"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2A310AD3" w14:textId="77777777" w:rsidR="00647C6B" w:rsidRPr="00A058B6" w:rsidRDefault="00647C6B" w:rsidP="009C0D79">
            <w:pPr>
              <w:pStyle w:val="Tabletext"/>
            </w:pPr>
            <w:r w:rsidRPr="00A058B6">
              <w:t>24</w:t>
            </w:r>
            <w:r w:rsidR="00D7157D">
              <w:t>.</w:t>
            </w:r>
            <w:r w:rsidRPr="00A058B6">
              <w:t>7761</w:t>
            </w:r>
          </w:p>
        </w:tc>
        <w:tc>
          <w:tcPr>
            <w:tcW w:w="1866" w:type="pct"/>
            <w:tcBorders>
              <w:top w:val="single" w:sz="2" w:space="0" w:color="auto"/>
              <w:left w:val="nil"/>
              <w:bottom w:val="single" w:sz="2" w:space="0" w:color="auto"/>
              <w:right w:val="nil"/>
            </w:tcBorders>
            <w:shd w:val="clear" w:color="auto" w:fill="auto"/>
            <w:vAlign w:val="center"/>
          </w:tcPr>
          <w:p w14:paraId="3679176C" w14:textId="77777777" w:rsidR="00647C6B" w:rsidRPr="00A058B6" w:rsidRDefault="00647C6B" w:rsidP="009C0D79">
            <w:pPr>
              <w:pStyle w:val="Tabletext"/>
            </w:pPr>
            <w:r w:rsidRPr="00A058B6">
              <w:t>26</w:t>
            </w:r>
            <w:r w:rsidR="00D7157D">
              <w:t>.</w:t>
            </w:r>
            <w:r w:rsidRPr="00A058B6">
              <w:t>5338</w:t>
            </w:r>
          </w:p>
        </w:tc>
      </w:tr>
      <w:tr w:rsidR="00647C6B" w:rsidRPr="00A058B6" w14:paraId="22314C7E" w14:textId="77777777" w:rsidTr="001274A4">
        <w:trPr>
          <w:trHeight w:val="245"/>
          <w:jc w:val="right"/>
        </w:trPr>
        <w:tc>
          <w:tcPr>
            <w:tcW w:w="1705" w:type="pct"/>
          </w:tcPr>
          <w:p w14:paraId="14346A4A"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39DE57C0" w14:textId="77777777" w:rsidR="00647C6B" w:rsidRPr="00A058B6" w:rsidRDefault="00647C6B" w:rsidP="009C0D79">
            <w:pPr>
              <w:pStyle w:val="Tabletext"/>
            </w:pPr>
            <w:r w:rsidRPr="00A058B6">
              <w:t>24</w:t>
            </w:r>
            <w:r w:rsidR="00D7157D">
              <w:t>.</w:t>
            </w:r>
            <w:r w:rsidRPr="00A058B6">
              <w:t>0204</w:t>
            </w:r>
          </w:p>
        </w:tc>
        <w:tc>
          <w:tcPr>
            <w:tcW w:w="1866" w:type="pct"/>
            <w:tcBorders>
              <w:top w:val="single" w:sz="2" w:space="0" w:color="auto"/>
              <w:left w:val="nil"/>
              <w:bottom w:val="single" w:sz="2" w:space="0" w:color="auto"/>
              <w:right w:val="nil"/>
            </w:tcBorders>
            <w:shd w:val="clear" w:color="auto" w:fill="auto"/>
            <w:vAlign w:val="center"/>
          </w:tcPr>
          <w:p w14:paraId="21D92370" w14:textId="77777777" w:rsidR="00647C6B" w:rsidRPr="00A058B6" w:rsidRDefault="00647C6B" w:rsidP="009C0D79">
            <w:pPr>
              <w:pStyle w:val="Tabletext"/>
            </w:pPr>
            <w:r w:rsidRPr="00A058B6">
              <w:t>25</w:t>
            </w:r>
            <w:r w:rsidR="00D7157D">
              <w:t>.</w:t>
            </w:r>
            <w:r w:rsidRPr="00A058B6">
              <w:t>7800</w:t>
            </w:r>
          </w:p>
        </w:tc>
      </w:tr>
      <w:tr w:rsidR="00647C6B" w:rsidRPr="00A058B6" w14:paraId="00B154B6" w14:textId="77777777" w:rsidTr="001274A4">
        <w:trPr>
          <w:trHeight w:val="245"/>
          <w:jc w:val="right"/>
        </w:trPr>
        <w:tc>
          <w:tcPr>
            <w:tcW w:w="1705" w:type="pct"/>
          </w:tcPr>
          <w:p w14:paraId="58503837"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188989E6" w14:textId="77777777" w:rsidR="00647C6B" w:rsidRPr="00A058B6" w:rsidRDefault="00647C6B" w:rsidP="009C0D79">
            <w:pPr>
              <w:pStyle w:val="Tabletext"/>
            </w:pPr>
            <w:r w:rsidRPr="00A058B6">
              <w:t>23</w:t>
            </w:r>
            <w:r w:rsidR="00D7157D">
              <w:t>.</w:t>
            </w:r>
            <w:r w:rsidRPr="00A058B6">
              <w:t>2586</w:t>
            </w:r>
          </w:p>
        </w:tc>
        <w:tc>
          <w:tcPr>
            <w:tcW w:w="1866" w:type="pct"/>
            <w:tcBorders>
              <w:top w:val="single" w:sz="2" w:space="0" w:color="auto"/>
              <w:left w:val="nil"/>
              <w:bottom w:val="single" w:sz="2" w:space="0" w:color="auto"/>
              <w:right w:val="nil"/>
            </w:tcBorders>
            <w:shd w:val="clear" w:color="auto" w:fill="auto"/>
            <w:vAlign w:val="center"/>
          </w:tcPr>
          <w:p w14:paraId="6F7BEFF4" w14:textId="77777777" w:rsidR="00647C6B" w:rsidRPr="00A058B6" w:rsidRDefault="00647C6B" w:rsidP="009C0D79">
            <w:pPr>
              <w:pStyle w:val="Tabletext"/>
            </w:pPr>
            <w:r w:rsidRPr="00A058B6">
              <w:t>25</w:t>
            </w:r>
            <w:r w:rsidR="00D7157D">
              <w:t>.</w:t>
            </w:r>
            <w:r w:rsidRPr="00A058B6">
              <w:t>0205</w:t>
            </w:r>
          </w:p>
        </w:tc>
      </w:tr>
      <w:tr w:rsidR="00647C6B" w:rsidRPr="00A058B6" w14:paraId="016E55DC" w14:textId="77777777" w:rsidTr="001274A4">
        <w:trPr>
          <w:trHeight w:val="245"/>
          <w:jc w:val="right"/>
        </w:trPr>
        <w:tc>
          <w:tcPr>
            <w:tcW w:w="1705" w:type="pct"/>
          </w:tcPr>
          <w:p w14:paraId="2E0B8157"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0A6DBB6E" w14:textId="77777777" w:rsidR="00647C6B" w:rsidRPr="00A058B6" w:rsidRDefault="00647C6B" w:rsidP="009C0D79">
            <w:pPr>
              <w:pStyle w:val="Tabletext"/>
            </w:pPr>
            <w:r w:rsidRPr="00A058B6">
              <w:t>22</w:t>
            </w:r>
            <w:r w:rsidR="00D7157D">
              <w:t>.</w:t>
            </w:r>
            <w:r w:rsidRPr="00A058B6">
              <w:t>4914</w:t>
            </w:r>
          </w:p>
        </w:tc>
        <w:tc>
          <w:tcPr>
            <w:tcW w:w="1866" w:type="pct"/>
            <w:tcBorders>
              <w:top w:val="single" w:sz="2" w:space="0" w:color="auto"/>
              <w:left w:val="nil"/>
              <w:bottom w:val="single" w:sz="2" w:space="0" w:color="auto"/>
              <w:right w:val="nil"/>
            </w:tcBorders>
            <w:shd w:val="clear" w:color="auto" w:fill="auto"/>
            <w:vAlign w:val="center"/>
          </w:tcPr>
          <w:p w14:paraId="2EBC1B41" w14:textId="77777777" w:rsidR="00647C6B" w:rsidRPr="00A058B6" w:rsidRDefault="00647C6B" w:rsidP="009C0D79">
            <w:pPr>
              <w:pStyle w:val="Tabletext"/>
            </w:pPr>
            <w:r w:rsidRPr="00A058B6">
              <w:t>24</w:t>
            </w:r>
            <w:r w:rsidR="00D7157D">
              <w:t>.</w:t>
            </w:r>
            <w:r w:rsidRPr="00A058B6">
              <w:t>2555</w:t>
            </w:r>
          </w:p>
        </w:tc>
      </w:tr>
      <w:tr w:rsidR="00647C6B" w:rsidRPr="00A058B6" w14:paraId="64BD6C50" w14:textId="77777777" w:rsidTr="001274A4">
        <w:trPr>
          <w:trHeight w:val="245"/>
          <w:jc w:val="right"/>
        </w:trPr>
        <w:tc>
          <w:tcPr>
            <w:tcW w:w="1705" w:type="pct"/>
            <w:tcBorders>
              <w:bottom w:val="single" w:sz="4" w:space="0" w:color="auto"/>
            </w:tcBorders>
          </w:tcPr>
          <w:p w14:paraId="00E08E76"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41C6032C" w14:textId="77777777" w:rsidR="00647C6B" w:rsidRPr="00A058B6" w:rsidRDefault="00647C6B" w:rsidP="009C0D79">
            <w:pPr>
              <w:pStyle w:val="Tabletext"/>
            </w:pPr>
            <w:r w:rsidRPr="00A058B6">
              <w:t>21</w:t>
            </w:r>
            <w:r w:rsidR="00D7157D">
              <w:t>.</w:t>
            </w:r>
            <w:r w:rsidRPr="00A058B6">
              <w:t>7189</w:t>
            </w:r>
          </w:p>
        </w:tc>
        <w:tc>
          <w:tcPr>
            <w:tcW w:w="1866" w:type="pct"/>
            <w:tcBorders>
              <w:top w:val="single" w:sz="2" w:space="0" w:color="auto"/>
              <w:left w:val="nil"/>
              <w:bottom w:val="single" w:sz="2" w:space="0" w:color="auto"/>
              <w:right w:val="nil"/>
            </w:tcBorders>
            <w:shd w:val="clear" w:color="auto" w:fill="auto"/>
            <w:vAlign w:val="center"/>
          </w:tcPr>
          <w:p w14:paraId="64748273" w14:textId="77777777" w:rsidR="00647C6B" w:rsidRPr="00A058B6" w:rsidRDefault="00647C6B" w:rsidP="009C0D79">
            <w:pPr>
              <w:pStyle w:val="Tabletext"/>
            </w:pPr>
            <w:r w:rsidRPr="00A058B6">
              <w:t>23</w:t>
            </w:r>
            <w:r w:rsidR="00D7157D">
              <w:t>.</w:t>
            </w:r>
            <w:r w:rsidRPr="00A058B6">
              <w:t>4851</w:t>
            </w:r>
          </w:p>
        </w:tc>
      </w:tr>
      <w:tr w:rsidR="00647C6B" w:rsidRPr="00A058B6" w14:paraId="074D1705" w14:textId="77777777" w:rsidTr="001274A4">
        <w:trPr>
          <w:trHeight w:val="245"/>
          <w:jc w:val="right"/>
        </w:trPr>
        <w:tc>
          <w:tcPr>
            <w:tcW w:w="1705" w:type="pct"/>
            <w:tcBorders>
              <w:top w:val="single" w:sz="4" w:space="0" w:color="auto"/>
              <w:bottom w:val="single" w:sz="12" w:space="0" w:color="auto"/>
            </w:tcBorders>
          </w:tcPr>
          <w:p w14:paraId="51F1208A"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2A7A220E" w14:textId="77777777" w:rsidR="00647C6B" w:rsidRPr="00A058B6" w:rsidRDefault="00647C6B" w:rsidP="009C0D79">
            <w:pPr>
              <w:pStyle w:val="Tabletext"/>
            </w:pPr>
            <w:r w:rsidRPr="00A058B6">
              <w:t>20</w:t>
            </w:r>
            <w:r w:rsidR="00D7157D">
              <w:t>.</w:t>
            </w:r>
            <w:r w:rsidRPr="00A058B6">
              <w:t>9437</w:t>
            </w:r>
          </w:p>
        </w:tc>
        <w:tc>
          <w:tcPr>
            <w:tcW w:w="1866" w:type="pct"/>
            <w:tcBorders>
              <w:top w:val="single" w:sz="2" w:space="0" w:color="auto"/>
              <w:left w:val="nil"/>
              <w:bottom w:val="single" w:sz="12" w:space="0" w:color="auto"/>
              <w:right w:val="nil"/>
            </w:tcBorders>
            <w:shd w:val="clear" w:color="auto" w:fill="auto"/>
            <w:vAlign w:val="center"/>
          </w:tcPr>
          <w:p w14:paraId="2A793759" w14:textId="77777777" w:rsidR="00647C6B" w:rsidRPr="00A058B6" w:rsidRDefault="00647C6B" w:rsidP="009C0D79">
            <w:pPr>
              <w:pStyle w:val="Tabletext"/>
            </w:pPr>
            <w:r w:rsidRPr="00A058B6">
              <w:t>22</w:t>
            </w:r>
            <w:r w:rsidR="00D7157D">
              <w:t>.</w:t>
            </w:r>
            <w:r w:rsidRPr="00A058B6">
              <w:t>7118</w:t>
            </w:r>
          </w:p>
        </w:tc>
      </w:tr>
    </w:tbl>
    <w:p w14:paraId="3378CB72" w14:textId="77777777" w:rsidR="00647C6B" w:rsidRPr="00A058B6" w:rsidRDefault="00647C6B" w:rsidP="00647C6B">
      <w:pPr>
        <w:pStyle w:val="Tabletext"/>
      </w:pPr>
    </w:p>
    <w:tbl>
      <w:tblPr>
        <w:tblW w:w="5000" w:type="pct"/>
        <w:jc w:val="right"/>
        <w:tblBorders>
          <w:bottom w:val="single" w:sz="4" w:space="0" w:color="auto"/>
          <w:insideH w:val="single" w:sz="4" w:space="0" w:color="auto"/>
        </w:tblBorders>
        <w:tblCellMar>
          <w:left w:w="30" w:type="dxa"/>
          <w:right w:w="30" w:type="dxa"/>
        </w:tblCellMar>
        <w:tblLook w:val="0000" w:firstRow="0" w:lastRow="0" w:firstColumn="0" w:lastColumn="0" w:noHBand="0" w:noVBand="0"/>
      </w:tblPr>
      <w:tblGrid>
        <w:gridCol w:w="2835"/>
        <w:gridCol w:w="2356"/>
        <w:gridCol w:w="3122"/>
      </w:tblGrid>
      <w:tr w:rsidR="00647C6B" w:rsidRPr="00A058B6" w14:paraId="4730F35C" w14:textId="77777777" w:rsidTr="00963115">
        <w:trPr>
          <w:cantSplit/>
          <w:trHeight w:val="375"/>
          <w:tblHeader/>
          <w:jc w:val="right"/>
        </w:trPr>
        <w:tc>
          <w:tcPr>
            <w:tcW w:w="1705" w:type="pct"/>
            <w:vMerge w:val="restart"/>
            <w:tcBorders>
              <w:top w:val="single" w:sz="12" w:space="0" w:color="auto"/>
              <w:bottom w:val="single" w:sz="12" w:space="0" w:color="auto"/>
            </w:tcBorders>
          </w:tcPr>
          <w:p w14:paraId="3C21A9D5"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727D2CEA" w14:textId="77777777" w:rsidR="00647C6B" w:rsidRPr="00A058B6" w:rsidRDefault="00647C6B" w:rsidP="00963115">
            <w:pPr>
              <w:pStyle w:val="TableHeading"/>
              <w:rPr>
                <w:snapToGrid w:val="0"/>
              </w:rPr>
            </w:pPr>
            <w:r w:rsidRPr="00A058B6">
              <w:rPr>
                <w:snapToGrid w:val="0"/>
              </w:rPr>
              <w:t>Reversion valuation factors</w:t>
            </w:r>
            <w:r w:rsidRPr="00A058B6">
              <w:rPr>
                <w:snapToGrid w:val="0"/>
              </w:rPr>
              <w:br/>
              <w:t>No guarantee period—pension indexed at 5%</w:t>
            </w:r>
          </w:p>
        </w:tc>
      </w:tr>
      <w:tr w:rsidR="00647C6B" w:rsidRPr="00A058B6" w14:paraId="654733E2" w14:textId="77777777" w:rsidTr="00963115">
        <w:trPr>
          <w:cantSplit/>
          <w:trHeight w:val="40"/>
          <w:tblHeader/>
          <w:jc w:val="right"/>
        </w:trPr>
        <w:tc>
          <w:tcPr>
            <w:tcW w:w="1705" w:type="pct"/>
            <w:vMerge/>
            <w:tcBorders>
              <w:top w:val="single" w:sz="4" w:space="0" w:color="auto"/>
              <w:bottom w:val="single" w:sz="12" w:space="0" w:color="auto"/>
            </w:tcBorders>
          </w:tcPr>
          <w:p w14:paraId="3BF4EF0F"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3E83D5BC"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62AB6B7B" w14:textId="77777777" w:rsidR="00647C6B" w:rsidRPr="00A058B6" w:rsidRDefault="00647C6B" w:rsidP="00963115">
            <w:pPr>
              <w:pStyle w:val="TableHeading"/>
              <w:rPr>
                <w:snapToGrid w:val="0"/>
              </w:rPr>
            </w:pPr>
            <w:r w:rsidRPr="00A058B6">
              <w:rPr>
                <w:snapToGrid w:val="0"/>
              </w:rPr>
              <w:t>Female</w:t>
            </w:r>
          </w:p>
        </w:tc>
      </w:tr>
      <w:tr w:rsidR="00647C6B" w:rsidRPr="00A058B6" w14:paraId="79C30CB8" w14:textId="77777777" w:rsidTr="001274A4">
        <w:trPr>
          <w:trHeight w:val="245"/>
          <w:jc w:val="right"/>
        </w:trPr>
        <w:tc>
          <w:tcPr>
            <w:tcW w:w="1705" w:type="pct"/>
            <w:tcBorders>
              <w:top w:val="single" w:sz="12" w:space="0" w:color="auto"/>
            </w:tcBorders>
          </w:tcPr>
          <w:p w14:paraId="779E5C02"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113CC30C" w14:textId="77777777" w:rsidR="00647C6B" w:rsidRPr="00A058B6" w:rsidRDefault="00647C6B" w:rsidP="009C0D79">
            <w:pPr>
              <w:pStyle w:val="Tabletext"/>
            </w:pPr>
            <w:r w:rsidRPr="00A058B6">
              <w:t>4</w:t>
            </w:r>
            <w:r w:rsidR="00D7157D">
              <w:t>.</w:t>
            </w:r>
            <w:r w:rsidRPr="00A058B6">
              <w:t>321</w:t>
            </w:r>
          </w:p>
        </w:tc>
        <w:tc>
          <w:tcPr>
            <w:tcW w:w="1878" w:type="pct"/>
            <w:tcBorders>
              <w:top w:val="single" w:sz="12" w:space="0" w:color="auto"/>
              <w:left w:val="nil"/>
              <w:bottom w:val="single" w:sz="2" w:space="0" w:color="auto"/>
              <w:right w:val="nil"/>
            </w:tcBorders>
            <w:shd w:val="clear" w:color="auto" w:fill="auto"/>
            <w:vAlign w:val="bottom"/>
          </w:tcPr>
          <w:p w14:paraId="631362D2" w14:textId="77777777" w:rsidR="00647C6B" w:rsidRPr="00A058B6" w:rsidRDefault="00647C6B" w:rsidP="009C0D79">
            <w:pPr>
              <w:pStyle w:val="Tabletext"/>
            </w:pPr>
            <w:r w:rsidRPr="00A058B6">
              <w:t>1</w:t>
            </w:r>
            <w:r w:rsidR="00D7157D">
              <w:t>.</w:t>
            </w:r>
            <w:r w:rsidRPr="00A058B6">
              <w:t>801</w:t>
            </w:r>
          </w:p>
        </w:tc>
      </w:tr>
      <w:tr w:rsidR="00647C6B" w:rsidRPr="00A058B6" w14:paraId="53ACBC0B" w14:textId="77777777" w:rsidTr="001274A4">
        <w:trPr>
          <w:trHeight w:val="245"/>
          <w:jc w:val="right"/>
        </w:trPr>
        <w:tc>
          <w:tcPr>
            <w:tcW w:w="1705" w:type="pct"/>
          </w:tcPr>
          <w:p w14:paraId="4ACBE767"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0B793E4D" w14:textId="77777777" w:rsidR="00647C6B" w:rsidRPr="00A058B6" w:rsidRDefault="00647C6B" w:rsidP="009C0D79">
            <w:pPr>
              <w:pStyle w:val="Tabletext"/>
            </w:pPr>
            <w:r w:rsidRPr="00A058B6">
              <w:t>4</w:t>
            </w:r>
            <w:r w:rsidR="00D7157D">
              <w:t>.</w:t>
            </w:r>
            <w:r w:rsidRPr="00A058B6">
              <w:t>177</w:t>
            </w:r>
          </w:p>
        </w:tc>
        <w:tc>
          <w:tcPr>
            <w:tcW w:w="1878" w:type="pct"/>
            <w:tcBorders>
              <w:top w:val="single" w:sz="2" w:space="0" w:color="auto"/>
              <w:left w:val="nil"/>
              <w:bottom w:val="single" w:sz="2" w:space="0" w:color="auto"/>
              <w:right w:val="nil"/>
            </w:tcBorders>
            <w:shd w:val="clear" w:color="auto" w:fill="auto"/>
            <w:vAlign w:val="bottom"/>
          </w:tcPr>
          <w:p w14:paraId="4557C852" w14:textId="77777777" w:rsidR="00647C6B" w:rsidRPr="00A058B6" w:rsidRDefault="00647C6B" w:rsidP="009C0D79">
            <w:pPr>
              <w:pStyle w:val="Tabletext"/>
            </w:pPr>
            <w:r w:rsidRPr="00A058B6">
              <w:t>1</w:t>
            </w:r>
            <w:r w:rsidR="00D7157D">
              <w:t>.</w:t>
            </w:r>
            <w:r w:rsidRPr="00A058B6">
              <w:t>693</w:t>
            </w:r>
          </w:p>
        </w:tc>
      </w:tr>
      <w:tr w:rsidR="00647C6B" w:rsidRPr="00A058B6" w14:paraId="70455763" w14:textId="77777777" w:rsidTr="001274A4">
        <w:trPr>
          <w:trHeight w:val="245"/>
          <w:jc w:val="right"/>
        </w:trPr>
        <w:tc>
          <w:tcPr>
            <w:tcW w:w="1705" w:type="pct"/>
          </w:tcPr>
          <w:p w14:paraId="24B6CC10"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13BF4207" w14:textId="77777777" w:rsidR="00647C6B" w:rsidRPr="00A058B6" w:rsidRDefault="00647C6B" w:rsidP="009C0D79">
            <w:pPr>
              <w:pStyle w:val="Tabletext"/>
            </w:pPr>
            <w:r w:rsidRPr="00A058B6">
              <w:t>4</w:t>
            </w:r>
            <w:r w:rsidR="00D7157D">
              <w:t>.</w:t>
            </w:r>
            <w:r w:rsidRPr="00A058B6">
              <w:t>033</w:t>
            </w:r>
          </w:p>
        </w:tc>
        <w:tc>
          <w:tcPr>
            <w:tcW w:w="1878" w:type="pct"/>
            <w:tcBorders>
              <w:top w:val="single" w:sz="2" w:space="0" w:color="auto"/>
              <w:left w:val="nil"/>
              <w:bottom w:val="single" w:sz="2" w:space="0" w:color="auto"/>
              <w:right w:val="nil"/>
            </w:tcBorders>
            <w:shd w:val="clear" w:color="auto" w:fill="auto"/>
            <w:vAlign w:val="bottom"/>
          </w:tcPr>
          <w:p w14:paraId="2B54D392" w14:textId="77777777" w:rsidR="00647C6B" w:rsidRPr="00A058B6" w:rsidRDefault="00647C6B" w:rsidP="009C0D79">
            <w:pPr>
              <w:pStyle w:val="Tabletext"/>
            </w:pPr>
            <w:r w:rsidRPr="00A058B6">
              <w:t>1</w:t>
            </w:r>
            <w:r w:rsidR="00D7157D">
              <w:t>.</w:t>
            </w:r>
            <w:r w:rsidRPr="00A058B6">
              <w:t>585</w:t>
            </w:r>
          </w:p>
        </w:tc>
      </w:tr>
      <w:tr w:rsidR="00647C6B" w:rsidRPr="00A058B6" w14:paraId="3491CA83" w14:textId="77777777" w:rsidTr="001274A4">
        <w:trPr>
          <w:trHeight w:val="245"/>
          <w:jc w:val="right"/>
        </w:trPr>
        <w:tc>
          <w:tcPr>
            <w:tcW w:w="1705" w:type="pct"/>
          </w:tcPr>
          <w:p w14:paraId="2F365884"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52EE9AFD" w14:textId="77777777" w:rsidR="00647C6B" w:rsidRPr="00A058B6" w:rsidRDefault="00647C6B" w:rsidP="009C0D79">
            <w:pPr>
              <w:pStyle w:val="Tabletext"/>
            </w:pPr>
            <w:r w:rsidRPr="00A058B6">
              <w:t>3</w:t>
            </w:r>
            <w:r w:rsidR="00D7157D">
              <w:t>.</w:t>
            </w:r>
            <w:r w:rsidRPr="00A058B6">
              <w:t>889</w:t>
            </w:r>
          </w:p>
        </w:tc>
        <w:tc>
          <w:tcPr>
            <w:tcW w:w="1878" w:type="pct"/>
            <w:tcBorders>
              <w:top w:val="single" w:sz="2" w:space="0" w:color="auto"/>
              <w:left w:val="nil"/>
              <w:bottom w:val="single" w:sz="2" w:space="0" w:color="auto"/>
              <w:right w:val="nil"/>
            </w:tcBorders>
            <w:shd w:val="clear" w:color="auto" w:fill="auto"/>
            <w:vAlign w:val="bottom"/>
          </w:tcPr>
          <w:p w14:paraId="26BCD05A" w14:textId="77777777" w:rsidR="00647C6B" w:rsidRPr="00A058B6" w:rsidRDefault="00647C6B" w:rsidP="009C0D79">
            <w:pPr>
              <w:pStyle w:val="Tabletext"/>
            </w:pPr>
            <w:r w:rsidRPr="00A058B6">
              <w:t>1</w:t>
            </w:r>
            <w:r w:rsidR="00D7157D">
              <w:t>.</w:t>
            </w:r>
            <w:r w:rsidRPr="00A058B6">
              <w:t>477</w:t>
            </w:r>
          </w:p>
        </w:tc>
      </w:tr>
      <w:tr w:rsidR="00647C6B" w:rsidRPr="00A058B6" w14:paraId="7DD7FF8A" w14:textId="77777777" w:rsidTr="001274A4">
        <w:trPr>
          <w:trHeight w:val="245"/>
          <w:jc w:val="right"/>
        </w:trPr>
        <w:tc>
          <w:tcPr>
            <w:tcW w:w="1705" w:type="pct"/>
          </w:tcPr>
          <w:p w14:paraId="5812D7CF"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65EE0055" w14:textId="77777777" w:rsidR="00647C6B" w:rsidRPr="00A058B6" w:rsidRDefault="00647C6B" w:rsidP="009C0D79">
            <w:pPr>
              <w:pStyle w:val="Tabletext"/>
            </w:pPr>
            <w:r w:rsidRPr="00A058B6">
              <w:t>3</w:t>
            </w:r>
            <w:r w:rsidR="00D7157D">
              <w:t>.</w:t>
            </w:r>
            <w:r w:rsidRPr="00A058B6">
              <w:t>744</w:t>
            </w:r>
          </w:p>
        </w:tc>
        <w:tc>
          <w:tcPr>
            <w:tcW w:w="1878" w:type="pct"/>
            <w:tcBorders>
              <w:top w:val="single" w:sz="2" w:space="0" w:color="auto"/>
              <w:left w:val="nil"/>
              <w:bottom w:val="single" w:sz="2" w:space="0" w:color="auto"/>
              <w:right w:val="nil"/>
            </w:tcBorders>
            <w:shd w:val="clear" w:color="auto" w:fill="auto"/>
            <w:vAlign w:val="bottom"/>
          </w:tcPr>
          <w:p w14:paraId="768F9870" w14:textId="77777777" w:rsidR="00647C6B" w:rsidRPr="00A058B6" w:rsidRDefault="00647C6B" w:rsidP="009C0D79">
            <w:pPr>
              <w:pStyle w:val="Tabletext"/>
            </w:pPr>
            <w:r w:rsidRPr="00A058B6">
              <w:t>1</w:t>
            </w:r>
            <w:r w:rsidR="00D7157D">
              <w:t>.</w:t>
            </w:r>
            <w:r w:rsidRPr="00A058B6">
              <w:t>369</w:t>
            </w:r>
          </w:p>
        </w:tc>
      </w:tr>
      <w:tr w:rsidR="00647C6B" w:rsidRPr="00A058B6" w14:paraId="2ECC5A4B" w14:textId="77777777" w:rsidTr="001274A4">
        <w:trPr>
          <w:trHeight w:val="245"/>
          <w:jc w:val="right"/>
        </w:trPr>
        <w:tc>
          <w:tcPr>
            <w:tcW w:w="1705" w:type="pct"/>
          </w:tcPr>
          <w:p w14:paraId="62733EE7"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7A4101CD" w14:textId="77777777" w:rsidR="00647C6B" w:rsidRPr="00A058B6" w:rsidRDefault="00647C6B" w:rsidP="009C0D79">
            <w:pPr>
              <w:pStyle w:val="Tabletext"/>
            </w:pPr>
            <w:r w:rsidRPr="00A058B6">
              <w:t>3</w:t>
            </w:r>
            <w:r w:rsidR="00D7157D">
              <w:t>.</w:t>
            </w:r>
            <w:r w:rsidRPr="00A058B6">
              <w:t>600</w:t>
            </w:r>
          </w:p>
        </w:tc>
        <w:tc>
          <w:tcPr>
            <w:tcW w:w="1878" w:type="pct"/>
            <w:tcBorders>
              <w:top w:val="single" w:sz="2" w:space="0" w:color="auto"/>
              <w:left w:val="nil"/>
              <w:bottom w:val="single" w:sz="2" w:space="0" w:color="auto"/>
              <w:right w:val="nil"/>
            </w:tcBorders>
            <w:shd w:val="clear" w:color="auto" w:fill="auto"/>
            <w:vAlign w:val="bottom"/>
          </w:tcPr>
          <w:p w14:paraId="2AEF062B" w14:textId="77777777" w:rsidR="00647C6B" w:rsidRPr="00A058B6" w:rsidRDefault="00647C6B" w:rsidP="009C0D79">
            <w:pPr>
              <w:pStyle w:val="Tabletext"/>
            </w:pPr>
            <w:r w:rsidRPr="00A058B6">
              <w:t>1</w:t>
            </w:r>
            <w:r w:rsidR="00D7157D">
              <w:t>.</w:t>
            </w:r>
            <w:r w:rsidRPr="00A058B6">
              <w:t>260</w:t>
            </w:r>
          </w:p>
        </w:tc>
      </w:tr>
      <w:tr w:rsidR="00647C6B" w:rsidRPr="00A058B6" w14:paraId="4E86D867" w14:textId="77777777" w:rsidTr="001274A4">
        <w:trPr>
          <w:trHeight w:val="245"/>
          <w:jc w:val="right"/>
        </w:trPr>
        <w:tc>
          <w:tcPr>
            <w:tcW w:w="1705" w:type="pct"/>
          </w:tcPr>
          <w:p w14:paraId="70B0AB56"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44A9F602" w14:textId="77777777" w:rsidR="00647C6B" w:rsidRPr="00A058B6" w:rsidRDefault="00647C6B" w:rsidP="009C0D79">
            <w:pPr>
              <w:pStyle w:val="Tabletext"/>
            </w:pPr>
            <w:r w:rsidRPr="00A058B6">
              <w:t>3</w:t>
            </w:r>
            <w:r w:rsidR="00D7157D">
              <w:t>.</w:t>
            </w:r>
            <w:r w:rsidRPr="00A058B6">
              <w:t>456</w:t>
            </w:r>
          </w:p>
        </w:tc>
        <w:tc>
          <w:tcPr>
            <w:tcW w:w="1878" w:type="pct"/>
            <w:tcBorders>
              <w:top w:val="single" w:sz="2" w:space="0" w:color="auto"/>
              <w:left w:val="nil"/>
              <w:bottom w:val="single" w:sz="2" w:space="0" w:color="auto"/>
              <w:right w:val="nil"/>
            </w:tcBorders>
            <w:shd w:val="clear" w:color="auto" w:fill="auto"/>
            <w:vAlign w:val="bottom"/>
          </w:tcPr>
          <w:p w14:paraId="474F76A1" w14:textId="77777777" w:rsidR="00647C6B" w:rsidRPr="00A058B6" w:rsidRDefault="00647C6B" w:rsidP="009C0D79">
            <w:pPr>
              <w:pStyle w:val="Tabletext"/>
            </w:pPr>
            <w:r w:rsidRPr="00A058B6">
              <w:t>1</w:t>
            </w:r>
            <w:r w:rsidR="00D7157D">
              <w:t>.</w:t>
            </w:r>
            <w:r w:rsidRPr="00A058B6">
              <w:t>152</w:t>
            </w:r>
          </w:p>
        </w:tc>
      </w:tr>
      <w:tr w:rsidR="00647C6B" w:rsidRPr="00A058B6" w14:paraId="18958EA6" w14:textId="77777777" w:rsidTr="001274A4">
        <w:trPr>
          <w:trHeight w:val="245"/>
          <w:jc w:val="right"/>
        </w:trPr>
        <w:tc>
          <w:tcPr>
            <w:tcW w:w="1705" w:type="pct"/>
          </w:tcPr>
          <w:p w14:paraId="2628C00F"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045CD4B9" w14:textId="77777777" w:rsidR="00647C6B" w:rsidRPr="00A058B6" w:rsidRDefault="00647C6B" w:rsidP="009C0D79">
            <w:pPr>
              <w:pStyle w:val="Tabletext"/>
            </w:pPr>
            <w:r w:rsidRPr="00A058B6">
              <w:t>3</w:t>
            </w:r>
            <w:r w:rsidR="00D7157D">
              <w:t>.</w:t>
            </w:r>
            <w:r w:rsidRPr="00A058B6">
              <w:t>312</w:t>
            </w:r>
          </w:p>
        </w:tc>
        <w:tc>
          <w:tcPr>
            <w:tcW w:w="1878" w:type="pct"/>
            <w:tcBorders>
              <w:top w:val="single" w:sz="2" w:space="0" w:color="auto"/>
              <w:left w:val="nil"/>
              <w:bottom w:val="single" w:sz="2" w:space="0" w:color="auto"/>
              <w:right w:val="nil"/>
            </w:tcBorders>
            <w:shd w:val="clear" w:color="auto" w:fill="auto"/>
            <w:vAlign w:val="bottom"/>
          </w:tcPr>
          <w:p w14:paraId="78596571" w14:textId="77777777" w:rsidR="00647C6B" w:rsidRPr="00A058B6" w:rsidRDefault="00647C6B" w:rsidP="009C0D79">
            <w:pPr>
              <w:pStyle w:val="Tabletext"/>
            </w:pPr>
            <w:r w:rsidRPr="00A058B6">
              <w:t>1</w:t>
            </w:r>
            <w:r w:rsidR="00D7157D">
              <w:t>.</w:t>
            </w:r>
            <w:r w:rsidRPr="00A058B6">
              <w:t>044</w:t>
            </w:r>
          </w:p>
        </w:tc>
      </w:tr>
      <w:tr w:rsidR="00647C6B" w:rsidRPr="00A058B6" w14:paraId="10F0970E" w14:textId="77777777" w:rsidTr="001274A4">
        <w:trPr>
          <w:trHeight w:val="245"/>
          <w:jc w:val="right"/>
        </w:trPr>
        <w:tc>
          <w:tcPr>
            <w:tcW w:w="1705" w:type="pct"/>
          </w:tcPr>
          <w:p w14:paraId="3C8E2DAD"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357B289B" w14:textId="77777777" w:rsidR="00647C6B" w:rsidRPr="00A058B6" w:rsidRDefault="00647C6B" w:rsidP="009C0D79">
            <w:pPr>
              <w:pStyle w:val="Tabletext"/>
            </w:pPr>
            <w:r w:rsidRPr="00A058B6">
              <w:t>3</w:t>
            </w:r>
            <w:r w:rsidR="00D7157D">
              <w:t>.</w:t>
            </w:r>
            <w:r w:rsidRPr="00A058B6">
              <w:t>168</w:t>
            </w:r>
          </w:p>
        </w:tc>
        <w:tc>
          <w:tcPr>
            <w:tcW w:w="1878" w:type="pct"/>
            <w:tcBorders>
              <w:top w:val="single" w:sz="2" w:space="0" w:color="auto"/>
              <w:left w:val="nil"/>
              <w:bottom w:val="single" w:sz="2" w:space="0" w:color="auto"/>
              <w:right w:val="nil"/>
            </w:tcBorders>
            <w:shd w:val="clear" w:color="auto" w:fill="auto"/>
            <w:vAlign w:val="bottom"/>
          </w:tcPr>
          <w:p w14:paraId="50D18538" w14:textId="77777777" w:rsidR="00647C6B" w:rsidRPr="00A058B6" w:rsidRDefault="00647C6B" w:rsidP="009C0D79">
            <w:pPr>
              <w:pStyle w:val="Tabletext"/>
            </w:pPr>
            <w:r w:rsidRPr="00A058B6">
              <w:t>0</w:t>
            </w:r>
            <w:r w:rsidR="00D7157D">
              <w:t>.</w:t>
            </w:r>
            <w:r w:rsidRPr="00A058B6">
              <w:t>936</w:t>
            </w:r>
          </w:p>
        </w:tc>
      </w:tr>
      <w:tr w:rsidR="00647C6B" w:rsidRPr="00A058B6" w14:paraId="5BB3328E" w14:textId="77777777" w:rsidTr="001274A4">
        <w:trPr>
          <w:trHeight w:val="245"/>
          <w:jc w:val="right"/>
        </w:trPr>
        <w:tc>
          <w:tcPr>
            <w:tcW w:w="1705" w:type="pct"/>
          </w:tcPr>
          <w:p w14:paraId="78DFA22A"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365D1A4C" w14:textId="77777777" w:rsidR="00647C6B" w:rsidRPr="00A058B6" w:rsidRDefault="00647C6B" w:rsidP="009C0D79">
            <w:pPr>
              <w:pStyle w:val="Tabletext"/>
            </w:pPr>
            <w:r w:rsidRPr="00A058B6">
              <w:t>3</w:t>
            </w:r>
            <w:r w:rsidR="00D7157D">
              <w:t>.</w:t>
            </w:r>
            <w:r w:rsidRPr="00A058B6">
              <w:t>024</w:t>
            </w:r>
          </w:p>
        </w:tc>
        <w:tc>
          <w:tcPr>
            <w:tcW w:w="1878" w:type="pct"/>
            <w:tcBorders>
              <w:top w:val="single" w:sz="2" w:space="0" w:color="auto"/>
              <w:left w:val="nil"/>
              <w:bottom w:val="single" w:sz="2" w:space="0" w:color="auto"/>
              <w:right w:val="nil"/>
            </w:tcBorders>
            <w:shd w:val="clear" w:color="auto" w:fill="auto"/>
            <w:vAlign w:val="bottom"/>
          </w:tcPr>
          <w:p w14:paraId="2CC6A4F6" w14:textId="77777777" w:rsidR="00647C6B" w:rsidRPr="00A058B6" w:rsidRDefault="00647C6B" w:rsidP="009C0D79">
            <w:pPr>
              <w:pStyle w:val="Tabletext"/>
            </w:pPr>
            <w:r w:rsidRPr="00A058B6">
              <w:t>0</w:t>
            </w:r>
            <w:r w:rsidR="00D7157D">
              <w:t>.</w:t>
            </w:r>
            <w:r w:rsidRPr="00A058B6">
              <w:t>828</w:t>
            </w:r>
          </w:p>
        </w:tc>
      </w:tr>
      <w:tr w:rsidR="00647C6B" w:rsidRPr="00A058B6" w14:paraId="15623F92" w14:textId="77777777" w:rsidTr="001274A4">
        <w:trPr>
          <w:trHeight w:val="245"/>
          <w:jc w:val="right"/>
        </w:trPr>
        <w:tc>
          <w:tcPr>
            <w:tcW w:w="1705" w:type="pct"/>
          </w:tcPr>
          <w:p w14:paraId="04A74C7A"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212DA476" w14:textId="77777777" w:rsidR="00647C6B" w:rsidRPr="00A058B6" w:rsidRDefault="00647C6B" w:rsidP="009C0D79">
            <w:pPr>
              <w:pStyle w:val="Tabletext"/>
            </w:pPr>
            <w:r w:rsidRPr="00A058B6">
              <w:t>2</w:t>
            </w:r>
            <w:r w:rsidR="00D7157D">
              <w:t>.</w:t>
            </w:r>
            <w:r w:rsidRPr="00A058B6">
              <w:t>880</w:t>
            </w:r>
          </w:p>
        </w:tc>
        <w:tc>
          <w:tcPr>
            <w:tcW w:w="1878" w:type="pct"/>
            <w:tcBorders>
              <w:top w:val="single" w:sz="2" w:space="0" w:color="auto"/>
              <w:left w:val="nil"/>
              <w:bottom w:val="single" w:sz="2" w:space="0" w:color="auto"/>
              <w:right w:val="nil"/>
            </w:tcBorders>
            <w:shd w:val="clear" w:color="auto" w:fill="auto"/>
            <w:vAlign w:val="bottom"/>
          </w:tcPr>
          <w:p w14:paraId="6F0B08EC" w14:textId="77777777" w:rsidR="00647C6B" w:rsidRPr="00A058B6" w:rsidRDefault="00647C6B" w:rsidP="009C0D79">
            <w:pPr>
              <w:pStyle w:val="Tabletext"/>
            </w:pPr>
            <w:r w:rsidRPr="00A058B6">
              <w:t>0</w:t>
            </w:r>
            <w:r w:rsidR="00D7157D">
              <w:t>.</w:t>
            </w:r>
            <w:r w:rsidRPr="00A058B6">
              <w:t>720</w:t>
            </w:r>
          </w:p>
        </w:tc>
      </w:tr>
      <w:tr w:rsidR="00647C6B" w:rsidRPr="00A058B6" w14:paraId="28E9D57F" w14:textId="77777777" w:rsidTr="001274A4">
        <w:trPr>
          <w:trHeight w:val="245"/>
          <w:jc w:val="right"/>
        </w:trPr>
        <w:tc>
          <w:tcPr>
            <w:tcW w:w="1705" w:type="pct"/>
          </w:tcPr>
          <w:p w14:paraId="752D8500"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6E543D58" w14:textId="77777777" w:rsidR="00647C6B" w:rsidRPr="00A058B6" w:rsidRDefault="00647C6B" w:rsidP="009C0D79">
            <w:pPr>
              <w:pStyle w:val="Tabletext"/>
            </w:pPr>
            <w:r w:rsidRPr="00A058B6">
              <w:t>2</w:t>
            </w:r>
            <w:r w:rsidR="00D7157D">
              <w:t>.</w:t>
            </w:r>
            <w:r w:rsidRPr="00A058B6">
              <w:t>448</w:t>
            </w:r>
          </w:p>
        </w:tc>
        <w:tc>
          <w:tcPr>
            <w:tcW w:w="1878" w:type="pct"/>
            <w:tcBorders>
              <w:top w:val="single" w:sz="2" w:space="0" w:color="auto"/>
              <w:left w:val="nil"/>
              <w:bottom w:val="single" w:sz="2" w:space="0" w:color="auto"/>
              <w:right w:val="nil"/>
            </w:tcBorders>
            <w:shd w:val="clear" w:color="auto" w:fill="auto"/>
            <w:vAlign w:val="bottom"/>
          </w:tcPr>
          <w:p w14:paraId="30C24BFC" w14:textId="77777777" w:rsidR="00647C6B" w:rsidRPr="00A058B6" w:rsidRDefault="00647C6B" w:rsidP="009C0D79">
            <w:pPr>
              <w:pStyle w:val="Tabletext"/>
            </w:pPr>
            <w:r w:rsidRPr="00A058B6">
              <w:t>0</w:t>
            </w:r>
            <w:r w:rsidR="00D7157D">
              <w:t>.</w:t>
            </w:r>
            <w:r w:rsidRPr="00A058B6">
              <w:t>612</w:t>
            </w:r>
          </w:p>
        </w:tc>
      </w:tr>
      <w:tr w:rsidR="00647C6B" w:rsidRPr="00A058B6" w14:paraId="42FFAA93" w14:textId="77777777" w:rsidTr="001274A4">
        <w:trPr>
          <w:trHeight w:val="245"/>
          <w:jc w:val="right"/>
        </w:trPr>
        <w:tc>
          <w:tcPr>
            <w:tcW w:w="1705" w:type="pct"/>
          </w:tcPr>
          <w:p w14:paraId="2DB01F89"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58B69FA9" w14:textId="77777777" w:rsidR="00647C6B" w:rsidRPr="00A058B6" w:rsidRDefault="00647C6B" w:rsidP="009C0D79">
            <w:pPr>
              <w:pStyle w:val="Tabletext"/>
            </w:pPr>
            <w:r w:rsidRPr="00A058B6">
              <w:t>2</w:t>
            </w:r>
            <w:r w:rsidR="00D7157D">
              <w:t>.</w:t>
            </w:r>
            <w:r w:rsidRPr="00A058B6">
              <w:t>016</w:t>
            </w:r>
          </w:p>
        </w:tc>
        <w:tc>
          <w:tcPr>
            <w:tcW w:w="1878" w:type="pct"/>
            <w:tcBorders>
              <w:top w:val="single" w:sz="2" w:space="0" w:color="auto"/>
              <w:left w:val="nil"/>
              <w:bottom w:val="single" w:sz="2" w:space="0" w:color="auto"/>
              <w:right w:val="nil"/>
            </w:tcBorders>
            <w:shd w:val="clear" w:color="auto" w:fill="auto"/>
            <w:vAlign w:val="bottom"/>
          </w:tcPr>
          <w:p w14:paraId="71180EE0" w14:textId="77777777" w:rsidR="00647C6B" w:rsidRPr="00A058B6" w:rsidRDefault="00647C6B" w:rsidP="009C0D79">
            <w:pPr>
              <w:pStyle w:val="Tabletext"/>
            </w:pPr>
            <w:r w:rsidRPr="00A058B6">
              <w:t>0</w:t>
            </w:r>
            <w:r w:rsidR="00D7157D">
              <w:t>.</w:t>
            </w:r>
            <w:r w:rsidRPr="00A058B6">
              <w:t>504</w:t>
            </w:r>
          </w:p>
        </w:tc>
      </w:tr>
      <w:tr w:rsidR="00647C6B" w:rsidRPr="00A058B6" w14:paraId="5866A17D" w14:textId="77777777" w:rsidTr="001274A4">
        <w:trPr>
          <w:trHeight w:val="245"/>
          <w:jc w:val="right"/>
        </w:trPr>
        <w:tc>
          <w:tcPr>
            <w:tcW w:w="1705" w:type="pct"/>
          </w:tcPr>
          <w:p w14:paraId="653FA556"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55B6CF93" w14:textId="77777777" w:rsidR="00647C6B" w:rsidRPr="00A058B6" w:rsidRDefault="00647C6B" w:rsidP="009C0D79">
            <w:pPr>
              <w:pStyle w:val="Tabletext"/>
            </w:pPr>
            <w:r w:rsidRPr="00A058B6">
              <w:t>1</w:t>
            </w:r>
            <w:r w:rsidR="00D7157D">
              <w:t>.</w:t>
            </w:r>
            <w:r w:rsidRPr="00A058B6">
              <w:t>584</w:t>
            </w:r>
          </w:p>
        </w:tc>
        <w:tc>
          <w:tcPr>
            <w:tcW w:w="1878" w:type="pct"/>
            <w:tcBorders>
              <w:top w:val="single" w:sz="2" w:space="0" w:color="auto"/>
              <w:left w:val="nil"/>
              <w:bottom w:val="single" w:sz="2" w:space="0" w:color="auto"/>
              <w:right w:val="nil"/>
            </w:tcBorders>
            <w:shd w:val="clear" w:color="auto" w:fill="auto"/>
            <w:vAlign w:val="bottom"/>
          </w:tcPr>
          <w:p w14:paraId="6146137E" w14:textId="77777777" w:rsidR="00647C6B" w:rsidRPr="00A058B6" w:rsidRDefault="00647C6B" w:rsidP="009C0D79">
            <w:pPr>
              <w:pStyle w:val="Tabletext"/>
            </w:pPr>
            <w:r w:rsidRPr="00A058B6">
              <w:t>0</w:t>
            </w:r>
            <w:r w:rsidR="00D7157D">
              <w:t>.</w:t>
            </w:r>
            <w:r w:rsidRPr="00A058B6">
              <w:t>396</w:t>
            </w:r>
          </w:p>
        </w:tc>
      </w:tr>
      <w:tr w:rsidR="00647C6B" w:rsidRPr="00A058B6" w14:paraId="0E455D29" w14:textId="77777777" w:rsidTr="001274A4">
        <w:trPr>
          <w:trHeight w:val="245"/>
          <w:jc w:val="right"/>
        </w:trPr>
        <w:tc>
          <w:tcPr>
            <w:tcW w:w="1705" w:type="pct"/>
            <w:tcBorders>
              <w:bottom w:val="single" w:sz="4" w:space="0" w:color="auto"/>
            </w:tcBorders>
          </w:tcPr>
          <w:p w14:paraId="744E14A5"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727AEEC8" w14:textId="77777777" w:rsidR="00647C6B" w:rsidRPr="00A058B6" w:rsidRDefault="00647C6B" w:rsidP="009C0D79">
            <w:pPr>
              <w:pStyle w:val="Tabletext"/>
            </w:pPr>
            <w:r w:rsidRPr="00A058B6">
              <w:t>1</w:t>
            </w:r>
            <w:r w:rsidR="00D7157D">
              <w:t>.</w:t>
            </w:r>
            <w:r w:rsidRPr="00A058B6">
              <w:t>152</w:t>
            </w:r>
          </w:p>
        </w:tc>
        <w:tc>
          <w:tcPr>
            <w:tcW w:w="1878" w:type="pct"/>
            <w:tcBorders>
              <w:top w:val="single" w:sz="2" w:space="0" w:color="auto"/>
              <w:left w:val="nil"/>
              <w:bottom w:val="single" w:sz="2" w:space="0" w:color="auto"/>
              <w:right w:val="nil"/>
            </w:tcBorders>
            <w:shd w:val="clear" w:color="auto" w:fill="auto"/>
            <w:vAlign w:val="bottom"/>
          </w:tcPr>
          <w:p w14:paraId="71275DC6" w14:textId="77777777" w:rsidR="00647C6B" w:rsidRPr="00A058B6" w:rsidRDefault="00647C6B" w:rsidP="009C0D79">
            <w:pPr>
              <w:pStyle w:val="Tabletext"/>
            </w:pPr>
            <w:r w:rsidRPr="00A058B6">
              <w:t>0</w:t>
            </w:r>
            <w:r w:rsidR="00D7157D">
              <w:t>.</w:t>
            </w:r>
            <w:r w:rsidRPr="00A058B6">
              <w:t>288</w:t>
            </w:r>
          </w:p>
        </w:tc>
      </w:tr>
      <w:tr w:rsidR="00647C6B" w:rsidRPr="00A058B6" w14:paraId="58A8B794" w14:textId="77777777" w:rsidTr="001274A4">
        <w:trPr>
          <w:trHeight w:val="245"/>
          <w:jc w:val="right"/>
        </w:trPr>
        <w:tc>
          <w:tcPr>
            <w:tcW w:w="1705" w:type="pct"/>
            <w:tcBorders>
              <w:top w:val="single" w:sz="4" w:space="0" w:color="auto"/>
              <w:bottom w:val="single" w:sz="12" w:space="0" w:color="auto"/>
            </w:tcBorders>
          </w:tcPr>
          <w:p w14:paraId="1613947C"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0834216E" w14:textId="77777777" w:rsidR="00647C6B" w:rsidRPr="00A058B6" w:rsidRDefault="00647C6B" w:rsidP="009C0D79">
            <w:pPr>
              <w:pStyle w:val="Tabletext"/>
            </w:pPr>
            <w:r w:rsidRPr="00A058B6">
              <w:t>0</w:t>
            </w:r>
            <w:r w:rsidR="00D7157D">
              <w:t>.</w:t>
            </w:r>
            <w:r w:rsidRPr="00A058B6">
              <w:t>720</w:t>
            </w:r>
          </w:p>
        </w:tc>
        <w:tc>
          <w:tcPr>
            <w:tcW w:w="1878" w:type="pct"/>
            <w:tcBorders>
              <w:top w:val="single" w:sz="2" w:space="0" w:color="auto"/>
              <w:left w:val="nil"/>
              <w:bottom w:val="single" w:sz="12" w:space="0" w:color="auto"/>
              <w:right w:val="nil"/>
            </w:tcBorders>
            <w:shd w:val="clear" w:color="auto" w:fill="auto"/>
            <w:vAlign w:val="bottom"/>
          </w:tcPr>
          <w:p w14:paraId="52F33E45" w14:textId="77777777" w:rsidR="00647C6B" w:rsidRPr="00A058B6" w:rsidRDefault="00647C6B" w:rsidP="009C0D79">
            <w:pPr>
              <w:pStyle w:val="Tabletext"/>
            </w:pPr>
            <w:r w:rsidRPr="00A058B6">
              <w:t>0</w:t>
            </w:r>
            <w:r w:rsidR="00D7157D">
              <w:t>.</w:t>
            </w:r>
            <w:r w:rsidRPr="00A058B6">
              <w:t>180</w:t>
            </w:r>
          </w:p>
        </w:tc>
      </w:tr>
    </w:tbl>
    <w:p w14:paraId="5B9792CA" w14:textId="795F59A8" w:rsidR="00647C6B" w:rsidRPr="00A058B6" w:rsidRDefault="00D7157D" w:rsidP="00647C6B">
      <w:pPr>
        <w:pStyle w:val="ActHead5"/>
      </w:pPr>
      <w:bookmarkStart w:id="253" w:name="_Toc188350731"/>
      <w:r w:rsidRPr="00423C34">
        <w:rPr>
          <w:rStyle w:val="CharSectno"/>
        </w:rPr>
        <w:t>15</w:t>
      </w:r>
      <w:r w:rsidR="00647C6B" w:rsidRPr="00A058B6">
        <w:t xml:space="preserve">  Valuation factors—5</w:t>
      </w:r>
      <w:r w:rsidR="001952B3">
        <w:noBreakHyphen/>
      </w:r>
      <w:r w:rsidR="00647C6B" w:rsidRPr="00A058B6">
        <w:t>year guarantee period—pension not indexed</w:t>
      </w:r>
      <w:bookmarkEnd w:id="253"/>
    </w:p>
    <w:p w14:paraId="60E72A0B"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1F44DFF5" w14:textId="04D73ED3"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30508C6D" w14:textId="77777777" w:rsidR="00647C6B" w:rsidRPr="00A058B6" w:rsidRDefault="00647C6B" w:rsidP="00647C6B">
      <w:pPr>
        <w:pStyle w:val="paragraph"/>
      </w:pPr>
      <w:r w:rsidRPr="00A058B6">
        <w:tab/>
        <w:t>(b)</w:t>
      </w:r>
      <w:r w:rsidRPr="00A058B6">
        <w:tab/>
        <w:t>is not indexed</w:t>
      </w:r>
      <w:r w:rsidR="00D7157D">
        <w:t>.</w:t>
      </w:r>
    </w:p>
    <w:p w14:paraId="1D2803F2"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1465A084" w14:textId="77777777" w:rsidTr="00963115">
        <w:trPr>
          <w:cantSplit/>
          <w:trHeight w:val="375"/>
          <w:tblHeader/>
          <w:jc w:val="right"/>
        </w:trPr>
        <w:tc>
          <w:tcPr>
            <w:tcW w:w="1705" w:type="pct"/>
            <w:vMerge w:val="restart"/>
            <w:tcBorders>
              <w:top w:val="single" w:sz="12" w:space="0" w:color="auto"/>
              <w:bottom w:val="single" w:sz="12" w:space="0" w:color="auto"/>
            </w:tcBorders>
          </w:tcPr>
          <w:p w14:paraId="232C264B"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6FC5DABE" w14:textId="0442F101"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period—pension not indexed</w:t>
            </w:r>
          </w:p>
        </w:tc>
      </w:tr>
      <w:tr w:rsidR="00647C6B" w:rsidRPr="00A058B6" w14:paraId="6FA12148" w14:textId="77777777" w:rsidTr="00963115">
        <w:trPr>
          <w:cantSplit/>
          <w:trHeight w:val="70"/>
          <w:tblHeader/>
          <w:jc w:val="right"/>
        </w:trPr>
        <w:tc>
          <w:tcPr>
            <w:tcW w:w="1705" w:type="pct"/>
            <w:vMerge/>
            <w:tcBorders>
              <w:bottom w:val="single" w:sz="12" w:space="0" w:color="auto"/>
            </w:tcBorders>
          </w:tcPr>
          <w:p w14:paraId="19CB943D" w14:textId="77777777" w:rsidR="00647C6B" w:rsidRPr="00A058B6" w:rsidRDefault="00647C6B" w:rsidP="00963115">
            <w:pPr>
              <w:pStyle w:val="TableHeading"/>
              <w:rPr>
                <w:snapToGrid w:val="0"/>
              </w:rPr>
            </w:pPr>
          </w:p>
        </w:tc>
        <w:tc>
          <w:tcPr>
            <w:tcW w:w="1429" w:type="pct"/>
            <w:tcBorders>
              <w:top w:val="single" w:sz="4" w:space="0" w:color="auto"/>
              <w:bottom w:val="single" w:sz="12" w:space="0" w:color="auto"/>
            </w:tcBorders>
          </w:tcPr>
          <w:p w14:paraId="3202A90D"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2B1C16BD" w14:textId="77777777" w:rsidR="00647C6B" w:rsidRPr="00A058B6" w:rsidRDefault="00647C6B" w:rsidP="00963115">
            <w:pPr>
              <w:pStyle w:val="TableHeading"/>
              <w:rPr>
                <w:snapToGrid w:val="0"/>
              </w:rPr>
            </w:pPr>
            <w:r w:rsidRPr="00A058B6">
              <w:rPr>
                <w:snapToGrid w:val="0"/>
              </w:rPr>
              <w:t>Female</w:t>
            </w:r>
          </w:p>
        </w:tc>
      </w:tr>
      <w:tr w:rsidR="00647C6B" w:rsidRPr="00A058B6" w14:paraId="6A0070B3" w14:textId="77777777" w:rsidTr="001274A4">
        <w:trPr>
          <w:trHeight w:val="245"/>
          <w:jc w:val="right"/>
        </w:trPr>
        <w:tc>
          <w:tcPr>
            <w:tcW w:w="1705" w:type="pct"/>
            <w:tcBorders>
              <w:top w:val="single" w:sz="12" w:space="0" w:color="auto"/>
              <w:bottom w:val="single" w:sz="4" w:space="0" w:color="auto"/>
            </w:tcBorders>
          </w:tcPr>
          <w:p w14:paraId="1386B215"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316A8AE6" w14:textId="77777777" w:rsidR="00647C6B" w:rsidRPr="00A058B6" w:rsidRDefault="00647C6B" w:rsidP="009C0D79">
            <w:pPr>
              <w:pStyle w:val="Tabletext"/>
            </w:pPr>
            <w:r w:rsidRPr="00A058B6">
              <w:t>14</w:t>
            </w:r>
            <w:r w:rsidR="00D7157D">
              <w:t>.</w:t>
            </w:r>
            <w:r w:rsidRPr="00A058B6">
              <w:t>3363</w:t>
            </w:r>
          </w:p>
        </w:tc>
        <w:tc>
          <w:tcPr>
            <w:tcW w:w="1866" w:type="pct"/>
            <w:tcBorders>
              <w:top w:val="single" w:sz="12" w:space="0" w:color="auto"/>
              <w:left w:val="nil"/>
              <w:bottom w:val="single" w:sz="2" w:space="0" w:color="auto"/>
              <w:right w:val="nil"/>
            </w:tcBorders>
            <w:shd w:val="clear" w:color="auto" w:fill="auto"/>
            <w:vAlign w:val="center"/>
          </w:tcPr>
          <w:p w14:paraId="5F5F6707" w14:textId="77777777" w:rsidR="00647C6B" w:rsidRPr="00A058B6" w:rsidRDefault="00647C6B" w:rsidP="009C0D79">
            <w:pPr>
              <w:pStyle w:val="Tabletext"/>
            </w:pPr>
            <w:r w:rsidRPr="00A058B6">
              <w:t>14</w:t>
            </w:r>
            <w:r w:rsidR="00D7157D">
              <w:t>.</w:t>
            </w:r>
            <w:r w:rsidRPr="00A058B6">
              <w:t>7133</w:t>
            </w:r>
          </w:p>
        </w:tc>
      </w:tr>
      <w:tr w:rsidR="00647C6B" w:rsidRPr="00A058B6" w14:paraId="2B34D619" w14:textId="77777777" w:rsidTr="001274A4">
        <w:trPr>
          <w:trHeight w:val="245"/>
          <w:jc w:val="right"/>
        </w:trPr>
        <w:tc>
          <w:tcPr>
            <w:tcW w:w="1705" w:type="pct"/>
            <w:tcBorders>
              <w:top w:val="single" w:sz="4" w:space="0" w:color="auto"/>
              <w:bottom w:val="single" w:sz="4" w:space="0" w:color="auto"/>
            </w:tcBorders>
          </w:tcPr>
          <w:p w14:paraId="2DF07837"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7D40B31D" w14:textId="77777777" w:rsidR="00647C6B" w:rsidRPr="00A058B6" w:rsidRDefault="00647C6B" w:rsidP="009C0D79">
            <w:pPr>
              <w:pStyle w:val="Tabletext"/>
            </w:pPr>
            <w:r w:rsidRPr="00A058B6">
              <w:t>14</w:t>
            </w:r>
            <w:r w:rsidR="00D7157D">
              <w:t>.</w:t>
            </w:r>
            <w:r w:rsidRPr="00A058B6">
              <w:t>1826</w:t>
            </w:r>
          </w:p>
        </w:tc>
        <w:tc>
          <w:tcPr>
            <w:tcW w:w="1866" w:type="pct"/>
            <w:tcBorders>
              <w:top w:val="single" w:sz="2" w:space="0" w:color="auto"/>
              <w:left w:val="nil"/>
              <w:bottom w:val="single" w:sz="2" w:space="0" w:color="auto"/>
              <w:right w:val="nil"/>
            </w:tcBorders>
            <w:shd w:val="clear" w:color="auto" w:fill="auto"/>
            <w:vAlign w:val="center"/>
          </w:tcPr>
          <w:p w14:paraId="36245746" w14:textId="77777777" w:rsidR="00647C6B" w:rsidRPr="00A058B6" w:rsidRDefault="00647C6B" w:rsidP="009C0D79">
            <w:pPr>
              <w:pStyle w:val="Tabletext"/>
            </w:pPr>
            <w:r w:rsidRPr="00A058B6">
              <w:t>14</w:t>
            </w:r>
            <w:r w:rsidR="00D7157D">
              <w:t>.</w:t>
            </w:r>
            <w:r w:rsidRPr="00A058B6">
              <w:t>5738</w:t>
            </w:r>
          </w:p>
        </w:tc>
      </w:tr>
      <w:tr w:rsidR="00647C6B" w:rsidRPr="00A058B6" w14:paraId="5AEB8949" w14:textId="77777777" w:rsidTr="001274A4">
        <w:trPr>
          <w:trHeight w:val="245"/>
          <w:jc w:val="right"/>
        </w:trPr>
        <w:tc>
          <w:tcPr>
            <w:tcW w:w="1705" w:type="pct"/>
            <w:tcBorders>
              <w:top w:val="single" w:sz="4" w:space="0" w:color="auto"/>
              <w:bottom w:val="single" w:sz="4" w:space="0" w:color="auto"/>
            </w:tcBorders>
          </w:tcPr>
          <w:p w14:paraId="2506435E"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7C532F28" w14:textId="77777777" w:rsidR="00647C6B" w:rsidRPr="00A058B6" w:rsidRDefault="00647C6B" w:rsidP="009C0D79">
            <w:pPr>
              <w:pStyle w:val="Tabletext"/>
            </w:pPr>
            <w:r w:rsidRPr="00A058B6">
              <w:t>14</w:t>
            </w:r>
            <w:r w:rsidR="00D7157D">
              <w:t>.</w:t>
            </w:r>
            <w:r w:rsidRPr="00A058B6">
              <w:t>0201</w:t>
            </w:r>
          </w:p>
        </w:tc>
        <w:tc>
          <w:tcPr>
            <w:tcW w:w="1866" w:type="pct"/>
            <w:tcBorders>
              <w:top w:val="single" w:sz="2" w:space="0" w:color="auto"/>
              <w:left w:val="nil"/>
              <w:bottom w:val="single" w:sz="2" w:space="0" w:color="auto"/>
              <w:right w:val="nil"/>
            </w:tcBorders>
            <w:shd w:val="clear" w:color="auto" w:fill="auto"/>
            <w:vAlign w:val="center"/>
          </w:tcPr>
          <w:p w14:paraId="1E4512B6" w14:textId="77777777" w:rsidR="00647C6B" w:rsidRPr="00A058B6" w:rsidRDefault="00647C6B" w:rsidP="009C0D79">
            <w:pPr>
              <w:pStyle w:val="Tabletext"/>
            </w:pPr>
            <w:r w:rsidRPr="00A058B6">
              <w:t>14</w:t>
            </w:r>
            <w:r w:rsidR="00D7157D">
              <w:t>.</w:t>
            </w:r>
            <w:r w:rsidRPr="00A058B6">
              <w:t>4269</w:t>
            </w:r>
          </w:p>
        </w:tc>
      </w:tr>
      <w:tr w:rsidR="00647C6B" w:rsidRPr="00A058B6" w14:paraId="134CD5D7" w14:textId="77777777" w:rsidTr="001274A4">
        <w:trPr>
          <w:trHeight w:val="245"/>
          <w:jc w:val="right"/>
        </w:trPr>
        <w:tc>
          <w:tcPr>
            <w:tcW w:w="1705" w:type="pct"/>
            <w:tcBorders>
              <w:top w:val="single" w:sz="4" w:space="0" w:color="auto"/>
              <w:bottom w:val="single" w:sz="4" w:space="0" w:color="auto"/>
            </w:tcBorders>
          </w:tcPr>
          <w:p w14:paraId="18FEA611"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7C3586E8" w14:textId="77777777" w:rsidR="00647C6B" w:rsidRPr="00A058B6" w:rsidRDefault="00647C6B" w:rsidP="009C0D79">
            <w:pPr>
              <w:pStyle w:val="Tabletext"/>
            </w:pPr>
            <w:r w:rsidRPr="00A058B6">
              <w:t>13</w:t>
            </w:r>
            <w:r w:rsidR="00D7157D">
              <w:t>.</w:t>
            </w:r>
            <w:r w:rsidRPr="00A058B6">
              <w:t>8481</w:t>
            </w:r>
          </w:p>
        </w:tc>
        <w:tc>
          <w:tcPr>
            <w:tcW w:w="1866" w:type="pct"/>
            <w:tcBorders>
              <w:top w:val="single" w:sz="2" w:space="0" w:color="auto"/>
              <w:left w:val="nil"/>
              <w:bottom w:val="single" w:sz="2" w:space="0" w:color="auto"/>
              <w:right w:val="nil"/>
            </w:tcBorders>
            <w:shd w:val="clear" w:color="auto" w:fill="auto"/>
            <w:vAlign w:val="center"/>
          </w:tcPr>
          <w:p w14:paraId="2C855CFB" w14:textId="77777777" w:rsidR="00647C6B" w:rsidRPr="00A058B6" w:rsidRDefault="00647C6B" w:rsidP="009C0D79">
            <w:pPr>
              <w:pStyle w:val="Tabletext"/>
            </w:pPr>
            <w:r w:rsidRPr="00A058B6">
              <w:t>14</w:t>
            </w:r>
            <w:r w:rsidR="00D7157D">
              <w:t>.</w:t>
            </w:r>
            <w:r w:rsidRPr="00A058B6">
              <w:t>2718</w:t>
            </w:r>
          </w:p>
        </w:tc>
      </w:tr>
      <w:tr w:rsidR="00647C6B" w:rsidRPr="00A058B6" w14:paraId="369CFFA7" w14:textId="77777777" w:rsidTr="001274A4">
        <w:trPr>
          <w:trHeight w:val="245"/>
          <w:jc w:val="right"/>
        </w:trPr>
        <w:tc>
          <w:tcPr>
            <w:tcW w:w="1705" w:type="pct"/>
            <w:tcBorders>
              <w:top w:val="single" w:sz="4" w:space="0" w:color="auto"/>
              <w:bottom w:val="single" w:sz="4" w:space="0" w:color="auto"/>
            </w:tcBorders>
          </w:tcPr>
          <w:p w14:paraId="05B4459E"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6FDF6DD3" w14:textId="77777777" w:rsidR="00647C6B" w:rsidRPr="00A058B6" w:rsidRDefault="00647C6B" w:rsidP="009C0D79">
            <w:pPr>
              <w:pStyle w:val="Tabletext"/>
            </w:pPr>
            <w:r w:rsidRPr="00A058B6">
              <w:t>13</w:t>
            </w:r>
            <w:r w:rsidR="00D7157D">
              <w:t>.</w:t>
            </w:r>
            <w:r w:rsidRPr="00A058B6">
              <w:t>6660</w:t>
            </w:r>
          </w:p>
        </w:tc>
        <w:tc>
          <w:tcPr>
            <w:tcW w:w="1866" w:type="pct"/>
            <w:tcBorders>
              <w:top w:val="single" w:sz="2" w:space="0" w:color="auto"/>
              <w:left w:val="nil"/>
              <w:bottom w:val="single" w:sz="2" w:space="0" w:color="auto"/>
              <w:right w:val="nil"/>
            </w:tcBorders>
            <w:shd w:val="clear" w:color="auto" w:fill="auto"/>
            <w:vAlign w:val="center"/>
          </w:tcPr>
          <w:p w14:paraId="69853707" w14:textId="77777777" w:rsidR="00647C6B" w:rsidRPr="00A058B6" w:rsidRDefault="00647C6B" w:rsidP="009C0D79">
            <w:pPr>
              <w:pStyle w:val="Tabletext"/>
            </w:pPr>
            <w:r w:rsidRPr="00A058B6">
              <w:t>14</w:t>
            </w:r>
            <w:r w:rsidR="00D7157D">
              <w:t>.</w:t>
            </w:r>
            <w:r w:rsidRPr="00A058B6">
              <w:t>1077</w:t>
            </w:r>
          </w:p>
        </w:tc>
      </w:tr>
      <w:tr w:rsidR="00647C6B" w:rsidRPr="00A058B6" w14:paraId="582A9EC7" w14:textId="77777777" w:rsidTr="001274A4">
        <w:trPr>
          <w:trHeight w:val="245"/>
          <w:jc w:val="right"/>
        </w:trPr>
        <w:tc>
          <w:tcPr>
            <w:tcW w:w="1705" w:type="pct"/>
            <w:tcBorders>
              <w:top w:val="single" w:sz="4" w:space="0" w:color="auto"/>
              <w:bottom w:val="single" w:sz="4" w:space="0" w:color="auto"/>
            </w:tcBorders>
          </w:tcPr>
          <w:p w14:paraId="40088A07"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22A3F8A6" w14:textId="77777777" w:rsidR="00647C6B" w:rsidRPr="00A058B6" w:rsidRDefault="00647C6B" w:rsidP="009C0D79">
            <w:pPr>
              <w:pStyle w:val="Tabletext"/>
            </w:pPr>
            <w:r w:rsidRPr="00A058B6">
              <w:t>13</w:t>
            </w:r>
            <w:r w:rsidR="00D7157D">
              <w:t>.</w:t>
            </w:r>
            <w:r w:rsidRPr="00A058B6">
              <w:t>4736</w:t>
            </w:r>
          </w:p>
        </w:tc>
        <w:tc>
          <w:tcPr>
            <w:tcW w:w="1866" w:type="pct"/>
            <w:tcBorders>
              <w:top w:val="single" w:sz="2" w:space="0" w:color="auto"/>
              <w:left w:val="nil"/>
              <w:bottom w:val="single" w:sz="2" w:space="0" w:color="auto"/>
              <w:right w:val="nil"/>
            </w:tcBorders>
            <w:shd w:val="clear" w:color="auto" w:fill="auto"/>
            <w:vAlign w:val="center"/>
          </w:tcPr>
          <w:p w14:paraId="0786C470" w14:textId="77777777" w:rsidR="00647C6B" w:rsidRPr="00A058B6" w:rsidRDefault="00647C6B" w:rsidP="009C0D79">
            <w:pPr>
              <w:pStyle w:val="Tabletext"/>
            </w:pPr>
            <w:r w:rsidRPr="00A058B6">
              <w:t>13</w:t>
            </w:r>
            <w:r w:rsidR="00D7157D">
              <w:t>.</w:t>
            </w:r>
            <w:r w:rsidRPr="00A058B6">
              <w:t>9343</w:t>
            </w:r>
          </w:p>
        </w:tc>
      </w:tr>
      <w:tr w:rsidR="00647C6B" w:rsidRPr="00A058B6" w14:paraId="508EB940" w14:textId="77777777" w:rsidTr="001274A4">
        <w:trPr>
          <w:trHeight w:val="245"/>
          <w:jc w:val="right"/>
        </w:trPr>
        <w:tc>
          <w:tcPr>
            <w:tcW w:w="1705" w:type="pct"/>
            <w:tcBorders>
              <w:top w:val="single" w:sz="4" w:space="0" w:color="auto"/>
              <w:bottom w:val="single" w:sz="4" w:space="0" w:color="auto"/>
            </w:tcBorders>
          </w:tcPr>
          <w:p w14:paraId="761A2AEE"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64EDE937" w14:textId="77777777" w:rsidR="00647C6B" w:rsidRPr="00A058B6" w:rsidRDefault="00647C6B" w:rsidP="009C0D79">
            <w:pPr>
              <w:pStyle w:val="Tabletext"/>
            </w:pPr>
            <w:r w:rsidRPr="00A058B6">
              <w:t>13</w:t>
            </w:r>
            <w:r w:rsidR="00D7157D">
              <w:t>.</w:t>
            </w:r>
            <w:r w:rsidRPr="00A058B6">
              <w:t>2706</w:t>
            </w:r>
          </w:p>
        </w:tc>
        <w:tc>
          <w:tcPr>
            <w:tcW w:w="1866" w:type="pct"/>
            <w:tcBorders>
              <w:top w:val="single" w:sz="2" w:space="0" w:color="auto"/>
              <w:left w:val="nil"/>
              <w:bottom w:val="single" w:sz="2" w:space="0" w:color="auto"/>
              <w:right w:val="nil"/>
            </w:tcBorders>
            <w:shd w:val="clear" w:color="auto" w:fill="auto"/>
            <w:vAlign w:val="center"/>
          </w:tcPr>
          <w:p w14:paraId="1618CD75" w14:textId="77777777" w:rsidR="00647C6B" w:rsidRPr="00A058B6" w:rsidRDefault="00647C6B" w:rsidP="009C0D79">
            <w:pPr>
              <w:pStyle w:val="Tabletext"/>
            </w:pPr>
            <w:r w:rsidRPr="00A058B6">
              <w:t>13</w:t>
            </w:r>
            <w:r w:rsidR="00D7157D">
              <w:t>.</w:t>
            </w:r>
            <w:r w:rsidRPr="00A058B6">
              <w:t>7508</w:t>
            </w:r>
          </w:p>
        </w:tc>
      </w:tr>
      <w:tr w:rsidR="00647C6B" w:rsidRPr="00A058B6" w14:paraId="6E5700B9" w14:textId="77777777" w:rsidTr="001274A4">
        <w:trPr>
          <w:trHeight w:val="245"/>
          <w:jc w:val="right"/>
        </w:trPr>
        <w:tc>
          <w:tcPr>
            <w:tcW w:w="1705" w:type="pct"/>
            <w:tcBorders>
              <w:top w:val="single" w:sz="4" w:space="0" w:color="auto"/>
              <w:bottom w:val="single" w:sz="4" w:space="0" w:color="auto"/>
            </w:tcBorders>
          </w:tcPr>
          <w:p w14:paraId="0E65AB7D"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6D7088B7" w14:textId="77777777" w:rsidR="00647C6B" w:rsidRPr="00A058B6" w:rsidRDefault="00647C6B" w:rsidP="009C0D79">
            <w:pPr>
              <w:pStyle w:val="Tabletext"/>
            </w:pPr>
            <w:r w:rsidRPr="00A058B6">
              <w:t>13</w:t>
            </w:r>
            <w:r w:rsidR="00D7157D">
              <w:t>.</w:t>
            </w:r>
            <w:r w:rsidRPr="00A058B6">
              <w:t>0568</w:t>
            </w:r>
          </w:p>
        </w:tc>
        <w:tc>
          <w:tcPr>
            <w:tcW w:w="1866" w:type="pct"/>
            <w:tcBorders>
              <w:top w:val="single" w:sz="2" w:space="0" w:color="auto"/>
              <w:left w:val="nil"/>
              <w:bottom w:val="single" w:sz="2" w:space="0" w:color="auto"/>
              <w:right w:val="nil"/>
            </w:tcBorders>
            <w:shd w:val="clear" w:color="auto" w:fill="auto"/>
            <w:vAlign w:val="center"/>
          </w:tcPr>
          <w:p w14:paraId="1139B810" w14:textId="77777777" w:rsidR="00647C6B" w:rsidRPr="00A058B6" w:rsidRDefault="00647C6B" w:rsidP="009C0D79">
            <w:pPr>
              <w:pStyle w:val="Tabletext"/>
            </w:pPr>
            <w:r w:rsidRPr="00A058B6">
              <w:t>13</w:t>
            </w:r>
            <w:r w:rsidR="00D7157D">
              <w:t>.</w:t>
            </w:r>
            <w:r w:rsidRPr="00A058B6">
              <w:t>5573</w:t>
            </w:r>
          </w:p>
        </w:tc>
      </w:tr>
      <w:tr w:rsidR="00647C6B" w:rsidRPr="00A058B6" w14:paraId="44116020" w14:textId="77777777" w:rsidTr="001274A4">
        <w:trPr>
          <w:trHeight w:val="245"/>
          <w:jc w:val="right"/>
        </w:trPr>
        <w:tc>
          <w:tcPr>
            <w:tcW w:w="1705" w:type="pct"/>
            <w:tcBorders>
              <w:top w:val="single" w:sz="4" w:space="0" w:color="auto"/>
              <w:bottom w:val="single" w:sz="4" w:space="0" w:color="auto"/>
            </w:tcBorders>
          </w:tcPr>
          <w:p w14:paraId="1AC39AEB"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5D1AD773" w14:textId="77777777" w:rsidR="00647C6B" w:rsidRPr="00A058B6" w:rsidRDefault="00647C6B" w:rsidP="009C0D79">
            <w:pPr>
              <w:pStyle w:val="Tabletext"/>
            </w:pPr>
            <w:r w:rsidRPr="00A058B6">
              <w:t>12</w:t>
            </w:r>
            <w:r w:rsidR="00D7157D">
              <w:t>.</w:t>
            </w:r>
            <w:r w:rsidRPr="00A058B6">
              <w:t>8320</w:t>
            </w:r>
          </w:p>
        </w:tc>
        <w:tc>
          <w:tcPr>
            <w:tcW w:w="1866" w:type="pct"/>
            <w:tcBorders>
              <w:top w:val="single" w:sz="2" w:space="0" w:color="auto"/>
              <w:left w:val="nil"/>
              <w:bottom w:val="single" w:sz="2" w:space="0" w:color="auto"/>
              <w:right w:val="nil"/>
            </w:tcBorders>
            <w:shd w:val="clear" w:color="auto" w:fill="auto"/>
            <w:vAlign w:val="center"/>
          </w:tcPr>
          <w:p w14:paraId="69C84BD0" w14:textId="77777777" w:rsidR="00647C6B" w:rsidRPr="00A058B6" w:rsidRDefault="00647C6B" w:rsidP="009C0D79">
            <w:pPr>
              <w:pStyle w:val="Tabletext"/>
            </w:pPr>
            <w:r w:rsidRPr="00A058B6">
              <w:t>13</w:t>
            </w:r>
            <w:r w:rsidR="00D7157D">
              <w:t>.</w:t>
            </w:r>
            <w:r w:rsidRPr="00A058B6">
              <w:t>3536</w:t>
            </w:r>
          </w:p>
        </w:tc>
      </w:tr>
      <w:tr w:rsidR="00647C6B" w:rsidRPr="00A058B6" w14:paraId="21C9DE78" w14:textId="77777777" w:rsidTr="001274A4">
        <w:trPr>
          <w:trHeight w:val="245"/>
          <w:jc w:val="right"/>
        </w:trPr>
        <w:tc>
          <w:tcPr>
            <w:tcW w:w="1705" w:type="pct"/>
            <w:tcBorders>
              <w:top w:val="single" w:sz="4" w:space="0" w:color="auto"/>
              <w:bottom w:val="single" w:sz="4" w:space="0" w:color="auto"/>
            </w:tcBorders>
          </w:tcPr>
          <w:p w14:paraId="69A1853D"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7481584A" w14:textId="77777777" w:rsidR="00647C6B" w:rsidRPr="00A058B6" w:rsidRDefault="00647C6B" w:rsidP="009C0D79">
            <w:pPr>
              <w:pStyle w:val="Tabletext"/>
            </w:pPr>
            <w:r w:rsidRPr="00A058B6">
              <w:t>12</w:t>
            </w:r>
            <w:r w:rsidR="00D7157D">
              <w:t>.</w:t>
            </w:r>
            <w:r w:rsidRPr="00A058B6">
              <w:t>5960</w:t>
            </w:r>
          </w:p>
        </w:tc>
        <w:tc>
          <w:tcPr>
            <w:tcW w:w="1866" w:type="pct"/>
            <w:tcBorders>
              <w:top w:val="single" w:sz="2" w:space="0" w:color="auto"/>
              <w:left w:val="nil"/>
              <w:bottom w:val="single" w:sz="2" w:space="0" w:color="auto"/>
              <w:right w:val="nil"/>
            </w:tcBorders>
            <w:shd w:val="clear" w:color="auto" w:fill="auto"/>
            <w:vAlign w:val="center"/>
          </w:tcPr>
          <w:p w14:paraId="2124F4A3" w14:textId="77777777" w:rsidR="00647C6B" w:rsidRPr="00A058B6" w:rsidRDefault="00647C6B" w:rsidP="009C0D79">
            <w:pPr>
              <w:pStyle w:val="Tabletext"/>
            </w:pPr>
            <w:r w:rsidRPr="00A058B6">
              <w:t>13</w:t>
            </w:r>
            <w:r w:rsidR="00D7157D">
              <w:t>.</w:t>
            </w:r>
            <w:r w:rsidRPr="00A058B6">
              <w:t>1394</w:t>
            </w:r>
          </w:p>
        </w:tc>
      </w:tr>
      <w:tr w:rsidR="00647C6B" w:rsidRPr="00A058B6" w14:paraId="52F28123" w14:textId="77777777" w:rsidTr="001274A4">
        <w:trPr>
          <w:trHeight w:val="245"/>
          <w:jc w:val="right"/>
        </w:trPr>
        <w:tc>
          <w:tcPr>
            <w:tcW w:w="1705" w:type="pct"/>
            <w:tcBorders>
              <w:top w:val="single" w:sz="4" w:space="0" w:color="auto"/>
              <w:bottom w:val="single" w:sz="12" w:space="0" w:color="auto"/>
            </w:tcBorders>
          </w:tcPr>
          <w:p w14:paraId="58685F7C"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3723F33C" w14:textId="77777777" w:rsidR="00647C6B" w:rsidRPr="00A058B6" w:rsidRDefault="00647C6B" w:rsidP="009C0D79">
            <w:pPr>
              <w:pStyle w:val="Tabletext"/>
            </w:pPr>
            <w:r w:rsidRPr="00A058B6">
              <w:t>12</w:t>
            </w:r>
            <w:r w:rsidR="00D7157D">
              <w:t>.</w:t>
            </w:r>
            <w:r w:rsidRPr="00A058B6">
              <w:t>3496</w:t>
            </w:r>
          </w:p>
        </w:tc>
        <w:tc>
          <w:tcPr>
            <w:tcW w:w="1866" w:type="pct"/>
            <w:tcBorders>
              <w:top w:val="single" w:sz="2" w:space="0" w:color="auto"/>
              <w:left w:val="nil"/>
              <w:bottom w:val="single" w:sz="12" w:space="0" w:color="auto"/>
              <w:right w:val="nil"/>
            </w:tcBorders>
            <w:shd w:val="clear" w:color="auto" w:fill="auto"/>
            <w:vAlign w:val="center"/>
          </w:tcPr>
          <w:p w14:paraId="793720CE" w14:textId="77777777" w:rsidR="00647C6B" w:rsidRPr="00A058B6" w:rsidRDefault="00647C6B" w:rsidP="009C0D79">
            <w:pPr>
              <w:pStyle w:val="Tabletext"/>
            </w:pPr>
            <w:r w:rsidRPr="00A058B6">
              <w:t>12</w:t>
            </w:r>
            <w:r w:rsidR="00D7157D">
              <w:t>.</w:t>
            </w:r>
            <w:r w:rsidRPr="00A058B6">
              <w:t>9150</w:t>
            </w:r>
          </w:p>
        </w:tc>
      </w:tr>
    </w:tbl>
    <w:p w14:paraId="3C50F0C2"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7C8EEA65" w14:textId="77777777" w:rsidTr="00963115">
        <w:trPr>
          <w:cantSplit/>
          <w:trHeight w:val="375"/>
          <w:tblHeader/>
          <w:jc w:val="right"/>
        </w:trPr>
        <w:tc>
          <w:tcPr>
            <w:tcW w:w="1705" w:type="pct"/>
            <w:vMerge w:val="restart"/>
            <w:tcBorders>
              <w:top w:val="single" w:sz="12" w:space="0" w:color="auto"/>
              <w:bottom w:val="single" w:sz="12" w:space="0" w:color="auto"/>
            </w:tcBorders>
          </w:tcPr>
          <w:p w14:paraId="0831228A"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6006B65D" w14:textId="68E38AC9"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period—pension not indexed</w:t>
            </w:r>
          </w:p>
        </w:tc>
      </w:tr>
      <w:tr w:rsidR="00647C6B" w:rsidRPr="00A058B6" w14:paraId="77B652DD" w14:textId="77777777" w:rsidTr="00963115">
        <w:trPr>
          <w:cantSplit/>
          <w:trHeight w:val="26"/>
          <w:tblHeader/>
          <w:jc w:val="right"/>
        </w:trPr>
        <w:tc>
          <w:tcPr>
            <w:tcW w:w="1705" w:type="pct"/>
            <w:vMerge/>
            <w:tcBorders>
              <w:bottom w:val="single" w:sz="12" w:space="0" w:color="auto"/>
            </w:tcBorders>
          </w:tcPr>
          <w:p w14:paraId="11C31204"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0396D788"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4CD73919" w14:textId="77777777" w:rsidR="00647C6B" w:rsidRPr="00A058B6" w:rsidRDefault="00647C6B" w:rsidP="00963115">
            <w:pPr>
              <w:pStyle w:val="TableHeading"/>
              <w:rPr>
                <w:snapToGrid w:val="0"/>
              </w:rPr>
            </w:pPr>
            <w:r w:rsidRPr="00A058B6">
              <w:rPr>
                <w:snapToGrid w:val="0"/>
              </w:rPr>
              <w:t>Female</w:t>
            </w:r>
          </w:p>
        </w:tc>
      </w:tr>
      <w:tr w:rsidR="00647C6B" w:rsidRPr="00A058B6" w14:paraId="3E7B66B9" w14:textId="77777777" w:rsidTr="001274A4">
        <w:trPr>
          <w:trHeight w:val="245"/>
          <w:jc w:val="right"/>
        </w:trPr>
        <w:tc>
          <w:tcPr>
            <w:tcW w:w="1705" w:type="pct"/>
            <w:tcBorders>
              <w:top w:val="single" w:sz="12" w:space="0" w:color="auto"/>
              <w:bottom w:val="single" w:sz="4" w:space="0" w:color="auto"/>
            </w:tcBorders>
          </w:tcPr>
          <w:p w14:paraId="2895DFDF"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18BA43F5" w14:textId="77777777" w:rsidR="00647C6B" w:rsidRPr="00A058B6" w:rsidRDefault="00647C6B" w:rsidP="009C0D79">
            <w:pPr>
              <w:pStyle w:val="Tabletext"/>
            </w:pPr>
            <w:r w:rsidRPr="00A058B6">
              <w:t>1</w:t>
            </w:r>
            <w:r w:rsidR="00D7157D">
              <w:t>.</w:t>
            </w:r>
            <w:r w:rsidRPr="00A058B6">
              <w:t>057</w:t>
            </w:r>
          </w:p>
        </w:tc>
        <w:tc>
          <w:tcPr>
            <w:tcW w:w="1878" w:type="pct"/>
            <w:tcBorders>
              <w:top w:val="single" w:sz="12" w:space="0" w:color="auto"/>
              <w:left w:val="nil"/>
              <w:bottom w:val="single" w:sz="2" w:space="0" w:color="auto"/>
              <w:right w:val="nil"/>
            </w:tcBorders>
            <w:shd w:val="clear" w:color="auto" w:fill="auto"/>
            <w:vAlign w:val="center"/>
          </w:tcPr>
          <w:p w14:paraId="3CCDCE98" w14:textId="77777777" w:rsidR="00647C6B" w:rsidRPr="00A058B6" w:rsidRDefault="00647C6B" w:rsidP="009C0D79">
            <w:pPr>
              <w:pStyle w:val="Tabletext"/>
            </w:pPr>
            <w:r w:rsidRPr="00A058B6">
              <w:t>0</w:t>
            </w:r>
            <w:r w:rsidR="00D7157D">
              <w:t>.</w:t>
            </w:r>
            <w:r w:rsidRPr="00A058B6">
              <w:t>472</w:t>
            </w:r>
          </w:p>
        </w:tc>
      </w:tr>
      <w:tr w:rsidR="00647C6B" w:rsidRPr="00A058B6" w14:paraId="7C702480" w14:textId="77777777" w:rsidTr="001274A4">
        <w:trPr>
          <w:trHeight w:val="245"/>
          <w:jc w:val="right"/>
        </w:trPr>
        <w:tc>
          <w:tcPr>
            <w:tcW w:w="1705" w:type="pct"/>
            <w:tcBorders>
              <w:top w:val="single" w:sz="4" w:space="0" w:color="auto"/>
              <w:bottom w:val="single" w:sz="4" w:space="0" w:color="auto"/>
            </w:tcBorders>
          </w:tcPr>
          <w:p w14:paraId="1F20A851"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42E5EE7D" w14:textId="77777777" w:rsidR="00647C6B" w:rsidRPr="00A058B6" w:rsidRDefault="00647C6B" w:rsidP="009C0D79">
            <w:pPr>
              <w:pStyle w:val="Tabletext"/>
            </w:pPr>
            <w:r w:rsidRPr="00A058B6">
              <w:t>1</w:t>
            </w:r>
            <w:r w:rsidR="00D7157D">
              <w:t>.</w:t>
            </w:r>
            <w:r w:rsidRPr="00A058B6">
              <w:t>022</w:t>
            </w:r>
          </w:p>
        </w:tc>
        <w:tc>
          <w:tcPr>
            <w:tcW w:w="1878" w:type="pct"/>
            <w:tcBorders>
              <w:top w:val="single" w:sz="2" w:space="0" w:color="auto"/>
              <w:left w:val="nil"/>
              <w:bottom w:val="single" w:sz="2" w:space="0" w:color="auto"/>
              <w:right w:val="nil"/>
            </w:tcBorders>
            <w:shd w:val="clear" w:color="auto" w:fill="auto"/>
            <w:vAlign w:val="center"/>
          </w:tcPr>
          <w:p w14:paraId="09FAFAB2" w14:textId="77777777" w:rsidR="00647C6B" w:rsidRPr="00A058B6" w:rsidRDefault="00647C6B" w:rsidP="009C0D79">
            <w:pPr>
              <w:pStyle w:val="Tabletext"/>
            </w:pPr>
            <w:r w:rsidRPr="00A058B6">
              <w:t>0</w:t>
            </w:r>
            <w:r w:rsidR="00D7157D">
              <w:t>.</w:t>
            </w:r>
            <w:r w:rsidRPr="00A058B6">
              <w:t>444</w:t>
            </w:r>
          </w:p>
        </w:tc>
      </w:tr>
      <w:tr w:rsidR="00647C6B" w:rsidRPr="00A058B6" w14:paraId="5C437CCD" w14:textId="77777777" w:rsidTr="001274A4">
        <w:trPr>
          <w:trHeight w:val="245"/>
          <w:jc w:val="right"/>
        </w:trPr>
        <w:tc>
          <w:tcPr>
            <w:tcW w:w="1705" w:type="pct"/>
            <w:tcBorders>
              <w:top w:val="single" w:sz="4" w:space="0" w:color="auto"/>
              <w:bottom w:val="single" w:sz="4" w:space="0" w:color="auto"/>
            </w:tcBorders>
          </w:tcPr>
          <w:p w14:paraId="75353849"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15BD370B" w14:textId="77777777" w:rsidR="00647C6B" w:rsidRPr="00A058B6" w:rsidRDefault="00647C6B" w:rsidP="009C0D79">
            <w:pPr>
              <w:pStyle w:val="Tabletext"/>
            </w:pPr>
            <w:r w:rsidRPr="00A058B6">
              <w:t>0</w:t>
            </w:r>
            <w:r w:rsidR="00D7157D">
              <w:t>.</w:t>
            </w:r>
            <w:r w:rsidRPr="00A058B6">
              <w:t>986</w:t>
            </w:r>
          </w:p>
        </w:tc>
        <w:tc>
          <w:tcPr>
            <w:tcW w:w="1878" w:type="pct"/>
            <w:tcBorders>
              <w:top w:val="single" w:sz="2" w:space="0" w:color="auto"/>
              <w:left w:val="nil"/>
              <w:bottom w:val="single" w:sz="2" w:space="0" w:color="auto"/>
              <w:right w:val="nil"/>
            </w:tcBorders>
            <w:shd w:val="clear" w:color="auto" w:fill="auto"/>
            <w:vAlign w:val="center"/>
          </w:tcPr>
          <w:p w14:paraId="16F5517A" w14:textId="77777777" w:rsidR="00647C6B" w:rsidRPr="00A058B6" w:rsidRDefault="00647C6B" w:rsidP="009C0D79">
            <w:pPr>
              <w:pStyle w:val="Tabletext"/>
            </w:pPr>
            <w:r w:rsidRPr="00A058B6">
              <w:t>0</w:t>
            </w:r>
            <w:r w:rsidR="00D7157D">
              <w:t>.</w:t>
            </w:r>
            <w:r w:rsidRPr="00A058B6">
              <w:t>415</w:t>
            </w:r>
          </w:p>
        </w:tc>
      </w:tr>
      <w:tr w:rsidR="00647C6B" w:rsidRPr="00A058B6" w14:paraId="1BC790C5" w14:textId="77777777" w:rsidTr="001274A4">
        <w:trPr>
          <w:trHeight w:val="245"/>
          <w:jc w:val="right"/>
        </w:trPr>
        <w:tc>
          <w:tcPr>
            <w:tcW w:w="1705" w:type="pct"/>
            <w:tcBorders>
              <w:top w:val="single" w:sz="4" w:space="0" w:color="auto"/>
              <w:bottom w:val="single" w:sz="4" w:space="0" w:color="auto"/>
            </w:tcBorders>
          </w:tcPr>
          <w:p w14:paraId="2417A941"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3AC4E1DA" w14:textId="77777777" w:rsidR="00647C6B" w:rsidRPr="00A058B6" w:rsidRDefault="00647C6B" w:rsidP="009C0D79">
            <w:pPr>
              <w:pStyle w:val="Tabletext"/>
            </w:pPr>
            <w:r w:rsidRPr="00A058B6">
              <w:t>0</w:t>
            </w:r>
            <w:r w:rsidR="00D7157D">
              <w:t>.</w:t>
            </w:r>
            <w:r w:rsidRPr="00A058B6">
              <w:t>951</w:t>
            </w:r>
          </w:p>
        </w:tc>
        <w:tc>
          <w:tcPr>
            <w:tcW w:w="1878" w:type="pct"/>
            <w:tcBorders>
              <w:top w:val="single" w:sz="2" w:space="0" w:color="auto"/>
              <w:left w:val="nil"/>
              <w:bottom w:val="single" w:sz="2" w:space="0" w:color="auto"/>
              <w:right w:val="nil"/>
            </w:tcBorders>
            <w:shd w:val="clear" w:color="auto" w:fill="auto"/>
            <w:vAlign w:val="center"/>
          </w:tcPr>
          <w:p w14:paraId="2E194DB9" w14:textId="77777777" w:rsidR="00647C6B" w:rsidRPr="00A058B6" w:rsidRDefault="00647C6B" w:rsidP="009C0D79">
            <w:pPr>
              <w:pStyle w:val="Tabletext"/>
            </w:pPr>
            <w:r w:rsidRPr="00A058B6">
              <w:t>0</w:t>
            </w:r>
            <w:r w:rsidR="00D7157D">
              <w:t>.</w:t>
            </w:r>
            <w:r w:rsidRPr="00A058B6">
              <w:t>387</w:t>
            </w:r>
          </w:p>
        </w:tc>
      </w:tr>
      <w:tr w:rsidR="00647C6B" w:rsidRPr="00A058B6" w14:paraId="60AB78BD" w14:textId="77777777" w:rsidTr="001274A4">
        <w:trPr>
          <w:trHeight w:val="245"/>
          <w:jc w:val="right"/>
        </w:trPr>
        <w:tc>
          <w:tcPr>
            <w:tcW w:w="1705" w:type="pct"/>
            <w:tcBorders>
              <w:top w:val="single" w:sz="4" w:space="0" w:color="auto"/>
              <w:bottom w:val="single" w:sz="4" w:space="0" w:color="auto"/>
            </w:tcBorders>
          </w:tcPr>
          <w:p w14:paraId="520991E2"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542E6D68" w14:textId="77777777" w:rsidR="00647C6B" w:rsidRPr="00A058B6" w:rsidRDefault="00647C6B" w:rsidP="009C0D79">
            <w:pPr>
              <w:pStyle w:val="Tabletext"/>
            </w:pPr>
            <w:r w:rsidRPr="00A058B6">
              <w:t>0</w:t>
            </w:r>
            <w:r w:rsidR="00D7157D">
              <w:t>.</w:t>
            </w:r>
            <w:r w:rsidRPr="00A058B6">
              <w:t>916</w:t>
            </w:r>
          </w:p>
        </w:tc>
        <w:tc>
          <w:tcPr>
            <w:tcW w:w="1878" w:type="pct"/>
            <w:tcBorders>
              <w:top w:val="single" w:sz="2" w:space="0" w:color="auto"/>
              <w:left w:val="nil"/>
              <w:bottom w:val="single" w:sz="2" w:space="0" w:color="auto"/>
              <w:right w:val="nil"/>
            </w:tcBorders>
            <w:shd w:val="clear" w:color="auto" w:fill="auto"/>
            <w:vAlign w:val="center"/>
          </w:tcPr>
          <w:p w14:paraId="1428149D" w14:textId="77777777" w:rsidR="00647C6B" w:rsidRPr="00A058B6" w:rsidRDefault="00647C6B" w:rsidP="009C0D79">
            <w:pPr>
              <w:pStyle w:val="Tabletext"/>
            </w:pPr>
            <w:r w:rsidRPr="00A058B6">
              <w:t>0</w:t>
            </w:r>
            <w:r w:rsidR="00D7157D">
              <w:t>.</w:t>
            </w:r>
            <w:r w:rsidRPr="00A058B6">
              <w:t>359</w:t>
            </w:r>
          </w:p>
        </w:tc>
      </w:tr>
      <w:tr w:rsidR="00647C6B" w:rsidRPr="00A058B6" w14:paraId="67BC853B" w14:textId="77777777" w:rsidTr="001274A4">
        <w:trPr>
          <w:trHeight w:val="245"/>
          <w:jc w:val="right"/>
        </w:trPr>
        <w:tc>
          <w:tcPr>
            <w:tcW w:w="1705" w:type="pct"/>
            <w:tcBorders>
              <w:top w:val="single" w:sz="4" w:space="0" w:color="auto"/>
              <w:bottom w:val="single" w:sz="4" w:space="0" w:color="auto"/>
            </w:tcBorders>
          </w:tcPr>
          <w:p w14:paraId="2D43E339"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2070BF27" w14:textId="77777777" w:rsidR="00647C6B" w:rsidRPr="00A058B6" w:rsidRDefault="00647C6B" w:rsidP="009C0D79">
            <w:pPr>
              <w:pStyle w:val="Tabletext"/>
            </w:pPr>
            <w:r w:rsidRPr="00A058B6">
              <w:t>0</w:t>
            </w:r>
            <w:r w:rsidR="00D7157D">
              <w:t>.</w:t>
            </w:r>
            <w:r w:rsidRPr="00A058B6">
              <w:t>881</w:t>
            </w:r>
          </w:p>
        </w:tc>
        <w:tc>
          <w:tcPr>
            <w:tcW w:w="1878" w:type="pct"/>
            <w:tcBorders>
              <w:top w:val="single" w:sz="2" w:space="0" w:color="auto"/>
              <w:left w:val="nil"/>
              <w:bottom w:val="single" w:sz="2" w:space="0" w:color="auto"/>
              <w:right w:val="nil"/>
            </w:tcBorders>
            <w:shd w:val="clear" w:color="auto" w:fill="auto"/>
            <w:vAlign w:val="center"/>
          </w:tcPr>
          <w:p w14:paraId="2061EC8C" w14:textId="77777777" w:rsidR="00647C6B" w:rsidRPr="00A058B6" w:rsidRDefault="00647C6B" w:rsidP="009C0D79">
            <w:pPr>
              <w:pStyle w:val="Tabletext"/>
            </w:pPr>
            <w:r w:rsidRPr="00A058B6">
              <w:t>0</w:t>
            </w:r>
            <w:r w:rsidR="00D7157D">
              <w:t>.</w:t>
            </w:r>
            <w:r w:rsidRPr="00A058B6">
              <w:t>330</w:t>
            </w:r>
          </w:p>
        </w:tc>
      </w:tr>
      <w:tr w:rsidR="00647C6B" w:rsidRPr="00A058B6" w14:paraId="713DBE60" w14:textId="77777777" w:rsidTr="001274A4">
        <w:trPr>
          <w:trHeight w:val="245"/>
          <w:jc w:val="right"/>
        </w:trPr>
        <w:tc>
          <w:tcPr>
            <w:tcW w:w="1705" w:type="pct"/>
            <w:tcBorders>
              <w:top w:val="single" w:sz="4" w:space="0" w:color="auto"/>
              <w:bottom w:val="single" w:sz="4" w:space="0" w:color="auto"/>
            </w:tcBorders>
          </w:tcPr>
          <w:p w14:paraId="4650287C"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0C2E0726" w14:textId="77777777" w:rsidR="00647C6B" w:rsidRPr="00A058B6" w:rsidRDefault="00647C6B" w:rsidP="009C0D79">
            <w:pPr>
              <w:pStyle w:val="Tabletext"/>
            </w:pPr>
            <w:r w:rsidRPr="00A058B6">
              <w:t>0</w:t>
            </w:r>
            <w:r w:rsidR="00D7157D">
              <w:t>.</w:t>
            </w:r>
            <w:r w:rsidRPr="00A058B6">
              <w:t>846</w:t>
            </w:r>
          </w:p>
        </w:tc>
        <w:tc>
          <w:tcPr>
            <w:tcW w:w="1878" w:type="pct"/>
            <w:tcBorders>
              <w:top w:val="single" w:sz="2" w:space="0" w:color="auto"/>
              <w:left w:val="nil"/>
              <w:bottom w:val="single" w:sz="2" w:space="0" w:color="auto"/>
              <w:right w:val="nil"/>
            </w:tcBorders>
            <w:shd w:val="clear" w:color="auto" w:fill="auto"/>
            <w:vAlign w:val="center"/>
          </w:tcPr>
          <w:p w14:paraId="5CD4F812" w14:textId="77777777" w:rsidR="00647C6B" w:rsidRPr="00A058B6" w:rsidRDefault="00647C6B" w:rsidP="009C0D79">
            <w:pPr>
              <w:pStyle w:val="Tabletext"/>
            </w:pPr>
            <w:r w:rsidRPr="00A058B6">
              <w:t>0</w:t>
            </w:r>
            <w:r w:rsidR="00D7157D">
              <w:t>.</w:t>
            </w:r>
            <w:r w:rsidRPr="00A058B6">
              <w:t>302</w:t>
            </w:r>
          </w:p>
        </w:tc>
      </w:tr>
      <w:tr w:rsidR="00647C6B" w:rsidRPr="00A058B6" w14:paraId="1FB4DFD3" w14:textId="77777777" w:rsidTr="001274A4">
        <w:trPr>
          <w:trHeight w:val="245"/>
          <w:jc w:val="right"/>
        </w:trPr>
        <w:tc>
          <w:tcPr>
            <w:tcW w:w="1705" w:type="pct"/>
            <w:tcBorders>
              <w:top w:val="single" w:sz="4" w:space="0" w:color="auto"/>
              <w:bottom w:val="single" w:sz="4" w:space="0" w:color="auto"/>
            </w:tcBorders>
          </w:tcPr>
          <w:p w14:paraId="68BD6208"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4466C22B" w14:textId="77777777" w:rsidR="00647C6B" w:rsidRPr="00A058B6" w:rsidRDefault="00647C6B" w:rsidP="009C0D79">
            <w:pPr>
              <w:pStyle w:val="Tabletext"/>
            </w:pPr>
            <w:r w:rsidRPr="00A058B6">
              <w:t>0</w:t>
            </w:r>
            <w:r w:rsidR="00D7157D">
              <w:t>.</w:t>
            </w:r>
            <w:r w:rsidRPr="00A058B6">
              <w:t>810</w:t>
            </w:r>
          </w:p>
        </w:tc>
        <w:tc>
          <w:tcPr>
            <w:tcW w:w="1878" w:type="pct"/>
            <w:tcBorders>
              <w:top w:val="single" w:sz="2" w:space="0" w:color="auto"/>
              <w:left w:val="nil"/>
              <w:bottom w:val="single" w:sz="2" w:space="0" w:color="auto"/>
              <w:right w:val="nil"/>
            </w:tcBorders>
            <w:shd w:val="clear" w:color="auto" w:fill="auto"/>
            <w:vAlign w:val="center"/>
          </w:tcPr>
          <w:p w14:paraId="3533CFBA" w14:textId="77777777" w:rsidR="00647C6B" w:rsidRPr="00A058B6" w:rsidRDefault="00647C6B" w:rsidP="009C0D79">
            <w:pPr>
              <w:pStyle w:val="Tabletext"/>
            </w:pPr>
            <w:r w:rsidRPr="00A058B6">
              <w:t>0</w:t>
            </w:r>
            <w:r w:rsidR="00D7157D">
              <w:t>.</w:t>
            </w:r>
            <w:r w:rsidRPr="00A058B6">
              <w:t>274</w:t>
            </w:r>
          </w:p>
        </w:tc>
      </w:tr>
      <w:tr w:rsidR="00647C6B" w:rsidRPr="00A058B6" w14:paraId="0E3D194E" w14:textId="77777777" w:rsidTr="001274A4">
        <w:trPr>
          <w:trHeight w:val="245"/>
          <w:jc w:val="right"/>
        </w:trPr>
        <w:tc>
          <w:tcPr>
            <w:tcW w:w="1705" w:type="pct"/>
            <w:tcBorders>
              <w:top w:val="single" w:sz="4" w:space="0" w:color="auto"/>
              <w:bottom w:val="single" w:sz="4" w:space="0" w:color="auto"/>
            </w:tcBorders>
          </w:tcPr>
          <w:p w14:paraId="78FB5F8A"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5E8D32AF" w14:textId="77777777" w:rsidR="00647C6B" w:rsidRPr="00A058B6" w:rsidRDefault="00647C6B" w:rsidP="009C0D79">
            <w:pPr>
              <w:pStyle w:val="Tabletext"/>
            </w:pPr>
            <w:r w:rsidRPr="00A058B6">
              <w:t>0</w:t>
            </w:r>
            <w:r w:rsidR="00D7157D">
              <w:t>.</w:t>
            </w:r>
            <w:r w:rsidRPr="00A058B6">
              <w:t>775</w:t>
            </w:r>
          </w:p>
        </w:tc>
        <w:tc>
          <w:tcPr>
            <w:tcW w:w="1878" w:type="pct"/>
            <w:tcBorders>
              <w:top w:val="single" w:sz="2" w:space="0" w:color="auto"/>
              <w:left w:val="nil"/>
              <w:bottom w:val="single" w:sz="2" w:space="0" w:color="auto"/>
              <w:right w:val="nil"/>
            </w:tcBorders>
            <w:shd w:val="clear" w:color="auto" w:fill="auto"/>
            <w:vAlign w:val="center"/>
          </w:tcPr>
          <w:p w14:paraId="69DE3FA9" w14:textId="77777777" w:rsidR="00647C6B" w:rsidRPr="00A058B6" w:rsidRDefault="00647C6B" w:rsidP="009C0D79">
            <w:pPr>
              <w:pStyle w:val="Tabletext"/>
            </w:pPr>
            <w:r w:rsidRPr="00A058B6">
              <w:t>0</w:t>
            </w:r>
            <w:r w:rsidR="00D7157D">
              <w:t>.</w:t>
            </w:r>
            <w:r w:rsidRPr="00A058B6">
              <w:t>246</w:t>
            </w:r>
          </w:p>
        </w:tc>
      </w:tr>
      <w:tr w:rsidR="00647C6B" w:rsidRPr="00A058B6" w14:paraId="393C7F55" w14:textId="77777777" w:rsidTr="001274A4">
        <w:trPr>
          <w:trHeight w:val="245"/>
          <w:jc w:val="right"/>
        </w:trPr>
        <w:tc>
          <w:tcPr>
            <w:tcW w:w="1705" w:type="pct"/>
            <w:tcBorders>
              <w:top w:val="single" w:sz="4" w:space="0" w:color="auto"/>
              <w:bottom w:val="single" w:sz="4" w:space="0" w:color="auto"/>
            </w:tcBorders>
          </w:tcPr>
          <w:p w14:paraId="59006FD2"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00CEA4C2" w14:textId="77777777" w:rsidR="00647C6B" w:rsidRPr="00A058B6" w:rsidRDefault="00647C6B" w:rsidP="009C0D79">
            <w:pPr>
              <w:pStyle w:val="Tabletext"/>
            </w:pPr>
            <w:r w:rsidRPr="00A058B6">
              <w:t>0</w:t>
            </w:r>
            <w:r w:rsidR="00D7157D">
              <w:t>.</w:t>
            </w:r>
            <w:r w:rsidRPr="00A058B6">
              <w:t>740</w:t>
            </w:r>
          </w:p>
        </w:tc>
        <w:tc>
          <w:tcPr>
            <w:tcW w:w="1878" w:type="pct"/>
            <w:tcBorders>
              <w:top w:val="single" w:sz="2" w:space="0" w:color="auto"/>
              <w:left w:val="nil"/>
              <w:bottom w:val="single" w:sz="2" w:space="0" w:color="auto"/>
              <w:right w:val="nil"/>
            </w:tcBorders>
            <w:shd w:val="clear" w:color="auto" w:fill="auto"/>
            <w:vAlign w:val="center"/>
          </w:tcPr>
          <w:p w14:paraId="1293554F" w14:textId="77777777" w:rsidR="00647C6B" w:rsidRPr="00A058B6" w:rsidRDefault="00647C6B" w:rsidP="009C0D79">
            <w:pPr>
              <w:pStyle w:val="Tabletext"/>
            </w:pPr>
            <w:r w:rsidRPr="00A058B6">
              <w:t>0</w:t>
            </w:r>
            <w:r w:rsidR="00D7157D">
              <w:t>.</w:t>
            </w:r>
            <w:r w:rsidRPr="00A058B6">
              <w:t>217</w:t>
            </w:r>
          </w:p>
        </w:tc>
      </w:tr>
      <w:tr w:rsidR="00647C6B" w:rsidRPr="00A058B6" w14:paraId="464E83C4" w14:textId="77777777" w:rsidTr="001274A4">
        <w:trPr>
          <w:trHeight w:val="245"/>
          <w:jc w:val="right"/>
        </w:trPr>
        <w:tc>
          <w:tcPr>
            <w:tcW w:w="1705" w:type="pct"/>
            <w:tcBorders>
              <w:top w:val="single" w:sz="4" w:space="0" w:color="auto"/>
              <w:bottom w:val="single" w:sz="4" w:space="0" w:color="auto"/>
            </w:tcBorders>
          </w:tcPr>
          <w:p w14:paraId="60EDB7BB"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1AAE6CFC" w14:textId="77777777" w:rsidR="00647C6B" w:rsidRPr="00A058B6" w:rsidRDefault="00647C6B" w:rsidP="009C0D79">
            <w:pPr>
              <w:pStyle w:val="Tabletext"/>
            </w:pPr>
            <w:r w:rsidRPr="00A058B6">
              <w:t>0</w:t>
            </w:r>
            <w:r w:rsidR="00D7157D">
              <w:t>.</w:t>
            </w:r>
            <w:r w:rsidRPr="00A058B6">
              <w:t>705</w:t>
            </w:r>
          </w:p>
        </w:tc>
        <w:tc>
          <w:tcPr>
            <w:tcW w:w="1878" w:type="pct"/>
            <w:tcBorders>
              <w:top w:val="single" w:sz="2" w:space="0" w:color="auto"/>
              <w:left w:val="nil"/>
              <w:bottom w:val="single" w:sz="2" w:space="0" w:color="auto"/>
              <w:right w:val="nil"/>
            </w:tcBorders>
            <w:shd w:val="clear" w:color="auto" w:fill="auto"/>
            <w:vAlign w:val="center"/>
          </w:tcPr>
          <w:p w14:paraId="3097B02D" w14:textId="77777777" w:rsidR="00647C6B" w:rsidRPr="00A058B6" w:rsidRDefault="00647C6B" w:rsidP="009C0D79">
            <w:pPr>
              <w:pStyle w:val="Tabletext"/>
            </w:pPr>
            <w:r w:rsidRPr="00A058B6">
              <w:t>0</w:t>
            </w:r>
            <w:r w:rsidR="00D7157D">
              <w:t>.</w:t>
            </w:r>
            <w:r w:rsidRPr="00A058B6">
              <w:t>189</w:t>
            </w:r>
          </w:p>
        </w:tc>
      </w:tr>
      <w:tr w:rsidR="00647C6B" w:rsidRPr="00A058B6" w14:paraId="362B2B1E" w14:textId="77777777" w:rsidTr="001274A4">
        <w:trPr>
          <w:trHeight w:val="245"/>
          <w:jc w:val="right"/>
        </w:trPr>
        <w:tc>
          <w:tcPr>
            <w:tcW w:w="1705" w:type="pct"/>
            <w:tcBorders>
              <w:top w:val="single" w:sz="4" w:space="0" w:color="auto"/>
              <w:bottom w:val="single" w:sz="4" w:space="0" w:color="auto"/>
            </w:tcBorders>
          </w:tcPr>
          <w:p w14:paraId="4D21D2BD"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259E8304" w14:textId="77777777" w:rsidR="00647C6B" w:rsidRPr="00A058B6" w:rsidRDefault="00647C6B" w:rsidP="009C0D79">
            <w:pPr>
              <w:pStyle w:val="Tabletext"/>
            </w:pPr>
            <w:r w:rsidRPr="00A058B6">
              <w:t>0</w:t>
            </w:r>
            <w:r w:rsidR="00D7157D">
              <w:t>.</w:t>
            </w:r>
            <w:r w:rsidRPr="00A058B6">
              <w:t>599</w:t>
            </w:r>
          </w:p>
        </w:tc>
        <w:tc>
          <w:tcPr>
            <w:tcW w:w="1878" w:type="pct"/>
            <w:tcBorders>
              <w:top w:val="single" w:sz="2" w:space="0" w:color="auto"/>
              <w:left w:val="nil"/>
              <w:bottom w:val="single" w:sz="2" w:space="0" w:color="auto"/>
              <w:right w:val="nil"/>
            </w:tcBorders>
            <w:shd w:val="clear" w:color="auto" w:fill="auto"/>
            <w:vAlign w:val="center"/>
          </w:tcPr>
          <w:p w14:paraId="4D14E893" w14:textId="77777777" w:rsidR="00647C6B" w:rsidRPr="00A058B6" w:rsidRDefault="00647C6B" w:rsidP="009C0D79">
            <w:pPr>
              <w:pStyle w:val="Tabletext"/>
            </w:pPr>
            <w:r w:rsidRPr="00A058B6">
              <w:t>0</w:t>
            </w:r>
            <w:r w:rsidR="00D7157D">
              <w:t>.</w:t>
            </w:r>
            <w:r w:rsidRPr="00A058B6">
              <w:t>161</w:t>
            </w:r>
          </w:p>
        </w:tc>
      </w:tr>
      <w:tr w:rsidR="00647C6B" w:rsidRPr="00A058B6" w14:paraId="739DF49D" w14:textId="77777777" w:rsidTr="001274A4">
        <w:trPr>
          <w:trHeight w:val="245"/>
          <w:jc w:val="right"/>
        </w:trPr>
        <w:tc>
          <w:tcPr>
            <w:tcW w:w="1705" w:type="pct"/>
            <w:tcBorders>
              <w:top w:val="single" w:sz="4" w:space="0" w:color="auto"/>
              <w:bottom w:val="single" w:sz="4" w:space="0" w:color="auto"/>
            </w:tcBorders>
          </w:tcPr>
          <w:p w14:paraId="3121DDF7"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7B4D0BD1" w14:textId="77777777" w:rsidR="00647C6B" w:rsidRPr="00A058B6" w:rsidRDefault="00647C6B" w:rsidP="009C0D79">
            <w:pPr>
              <w:pStyle w:val="Tabletext"/>
            </w:pPr>
            <w:r w:rsidRPr="00A058B6">
              <w:t>0</w:t>
            </w:r>
            <w:r w:rsidR="00D7157D">
              <w:t>.</w:t>
            </w:r>
            <w:r w:rsidRPr="00A058B6">
              <w:t>493</w:t>
            </w:r>
          </w:p>
        </w:tc>
        <w:tc>
          <w:tcPr>
            <w:tcW w:w="1878" w:type="pct"/>
            <w:tcBorders>
              <w:top w:val="single" w:sz="2" w:space="0" w:color="auto"/>
              <w:left w:val="nil"/>
              <w:bottom w:val="single" w:sz="2" w:space="0" w:color="auto"/>
              <w:right w:val="nil"/>
            </w:tcBorders>
            <w:shd w:val="clear" w:color="auto" w:fill="auto"/>
            <w:vAlign w:val="center"/>
          </w:tcPr>
          <w:p w14:paraId="55CB4EE1" w14:textId="77777777" w:rsidR="00647C6B" w:rsidRPr="00A058B6" w:rsidRDefault="00647C6B" w:rsidP="009C0D79">
            <w:pPr>
              <w:pStyle w:val="Tabletext"/>
            </w:pPr>
            <w:r w:rsidRPr="00A058B6">
              <w:t>0</w:t>
            </w:r>
            <w:r w:rsidR="00D7157D">
              <w:t>.</w:t>
            </w:r>
            <w:r w:rsidRPr="00A058B6">
              <w:t>132</w:t>
            </w:r>
          </w:p>
        </w:tc>
      </w:tr>
      <w:tr w:rsidR="00647C6B" w:rsidRPr="00A058B6" w14:paraId="2A3D4CBC" w14:textId="77777777" w:rsidTr="001274A4">
        <w:trPr>
          <w:trHeight w:val="245"/>
          <w:jc w:val="right"/>
        </w:trPr>
        <w:tc>
          <w:tcPr>
            <w:tcW w:w="1705" w:type="pct"/>
            <w:tcBorders>
              <w:top w:val="single" w:sz="4" w:space="0" w:color="auto"/>
              <w:bottom w:val="single" w:sz="4" w:space="0" w:color="auto"/>
            </w:tcBorders>
          </w:tcPr>
          <w:p w14:paraId="0DBE13F0"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500F9D0D" w14:textId="77777777" w:rsidR="00647C6B" w:rsidRPr="00A058B6" w:rsidRDefault="00647C6B" w:rsidP="009C0D79">
            <w:pPr>
              <w:pStyle w:val="Tabletext"/>
            </w:pPr>
            <w:r w:rsidRPr="00A058B6">
              <w:t>0</w:t>
            </w:r>
            <w:r w:rsidR="00D7157D">
              <w:t>.</w:t>
            </w:r>
            <w:r w:rsidRPr="00A058B6">
              <w:t>388</w:t>
            </w:r>
          </w:p>
        </w:tc>
        <w:tc>
          <w:tcPr>
            <w:tcW w:w="1878" w:type="pct"/>
            <w:tcBorders>
              <w:top w:val="single" w:sz="2" w:space="0" w:color="auto"/>
              <w:left w:val="nil"/>
              <w:bottom w:val="single" w:sz="2" w:space="0" w:color="auto"/>
              <w:right w:val="nil"/>
            </w:tcBorders>
            <w:shd w:val="clear" w:color="auto" w:fill="auto"/>
            <w:vAlign w:val="center"/>
          </w:tcPr>
          <w:p w14:paraId="0208E4C7" w14:textId="77777777" w:rsidR="00647C6B" w:rsidRPr="00A058B6" w:rsidRDefault="00647C6B" w:rsidP="009C0D79">
            <w:pPr>
              <w:pStyle w:val="Tabletext"/>
            </w:pPr>
            <w:r w:rsidRPr="00A058B6">
              <w:t>0</w:t>
            </w:r>
            <w:r w:rsidR="00D7157D">
              <w:t>.</w:t>
            </w:r>
            <w:r w:rsidRPr="00A058B6">
              <w:t>104</w:t>
            </w:r>
          </w:p>
        </w:tc>
      </w:tr>
      <w:tr w:rsidR="00647C6B" w:rsidRPr="00A058B6" w14:paraId="1BC775C3" w14:textId="77777777" w:rsidTr="001274A4">
        <w:trPr>
          <w:trHeight w:val="245"/>
          <w:jc w:val="right"/>
        </w:trPr>
        <w:tc>
          <w:tcPr>
            <w:tcW w:w="1705" w:type="pct"/>
            <w:tcBorders>
              <w:top w:val="single" w:sz="4" w:space="0" w:color="auto"/>
              <w:bottom w:val="single" w:sz="4" w:space="0" w:color="auto"/>
            </w:tcBorders>
          </w:tcPr>
          <w:p w14:paraId="0CB582BF"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2A659794" w14:textId="77777777" w:rsidR="00647C6B" w:rsidRPr="00A058B6" w:rsidRDefault="00647C6B" w:rsidP="009C0D79">
            <w:pPr>
              <w:pStyle w:val="Tabletext"/>
            </w:pPr>
            <w:r w:rsidRPr="00A058B6">
              <w:t>0</w:t>
            </w:r>
            <w:r w:rsidR="00D7157D">
              <w:t>.</w:t>
            </w:r>
            <w:r w:rsidRPr="00A058B6">
              <w:t>282</w:t>
            </w:r>
          </w:p>
        </w:tc>
        <w:tc>
          <w:tcPr>
            <w:tcW w:w="1878" w:type="pct"/>
            <w:tcBorders>
              <w:top w:val="single" w:sz="2" w:space="0" w:color="auto"/>
              <w:left w:val="nil"/>
              <w:bottom w:val="single" w:sz="2" w:space="0" w:color="auto"/>
              <w:right w:val="nil"/>
            </w:tcBorders>
            <w:shd w:val="clear" w:color="auto" w:fill="auto"/>
            <w:vAlign w:val="center"/>
          </w:tcPr>
          <w:p w14:paraId="1674D977" w14:textId="77777777" w:rsidR="00647C6B" w:rsidRPr="00A058B6" w:rsidRDefault="00647C6B" w:rsidP="009C0D79">
            <w:pPr>
              <w:pStyle w:val="Tabletext"/>
            </w:pPr>
            <w:r w:rsidRPr="00A058B6">
              <w:t>0</w:t>
            </w:r>
            <w:r w:rsidR="00D7157D">
              <w:t>.</w:t>
            </w:r>
            <w:r w:rsidRPr="00A058B6">
              <w:t>076</w:t>
            </w:r>
          </w:p>
        </w:tc>
      </w:tr>
      <w:tr w:rsidR="00647C6B" w:rsidRPr="00A058B6" w14:paraId="5D99AFEA" w14:textId="77777777" w:rsidTr="001274A4">
        <w:trPr>
          <w:trHeight w:val="245"/>
          <w:jc w:val="right"/>
        </w:trPr>
        <w:tc>
          <w:tcPr>
            <w:tcW w:w="1705" w:type="pct"/>
            <w:tcBorders>
              <w:top w:val="single" w:sz="4" w:space="0" w:color="auto"/>
              <w:bottom w:val="single" w:sz="12" w:space="0" w:color="auto"/>
            </w:tcBorders>
          </w:tcPr>
          <w:p w14:paraId="4DFD70E9"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0EE187E5" w14:textId="77777777" w:rsidR="00647C6B" w:rsidRPr="00A058B6" w:rsidRDefault="00647C6B" w:rsidP="009C0D79">
            <w:pPr>
              <w:pStyle w:val="Tabletext"/>
            </w:pPr>
            <w:r w:rsidRPr="00A058B6">
              <w:t>0</w:t>
            </w:r>
            <w:r w:rsidR="00D7157D">
              <w:t>.</w:t>
            </w:r>
            <w:r w:rsidRPr="00A058B6">
              <w:t>176</w:t>
            </w:r>
          </w:p>
        </w:tc>
        <w:tc>
          <w:tcPr>
            <w:tcW w:w="1878" w:type="pct"/>
            <w:tcBorders>
              <w:top w:val="single" w:sz="2" w:space="0" w:color="auto"/>
              <w:left w:val="nil"/>
              <w:bottom w:val="single" w:sz="12" w:space="0" w:color="auto"/>
              <w:right w:val="nil"/>
            </w:tcBorders>
            <w:shd w:val="clear" w:color="auto" w:fill="auto"/>
            <w:vAlign w:val="center"/>
          </w:tcPr>
          <w:p w14:paraId="7D270938" w14:textId="77777777" w:rsidR="00647C6B" w:rsidRPr="00A058B6" w:rsidRDefault="00647C6B" w:rsidP="009C0D79">
            <w:pPr>
              <w:pStyle w:val="Tabletext"/>
            </w:pPr>
            <w:r w:rsidRPr="00A058B6">
              <w:t>0</w:t>
            </w:r>
            <w:r w:rsidR="00D7157D">
              <w:t>.</w:t>
            </w:r>
            <w:r w:rsidRPr="00A058B6">
              <w:t>047</w:t>
            </w:r>
          </w:p>
        </w:tc>
      </w:tr>
    </w:tbl>
    <w:p w14:paraId="6BFE8689" w14:textId="2C9E27FF" w:rsidR="00647C6B" w:rsidRPr="00A058B6" w:rsidRDefault="00D7157D" w:rsidP="00647C6B">
      <w:pPr>
        <w:pStyle w:val="ActHead5"/>
      </w:pPr>
      <w:bookmarkStart w:id="254" w:name="_Toc188350732"/>
      <w:r w:rsidRPr="00423C34">
        <w:rPr>
          <w:rStyle w:val="CharSectno"/>
        </w:rPr>
        <w:t>16</w:t>
      </w:r>
      <w:r w:rsidR="00647C6B" w:rsidRPr="00A058B6">
        <w:t xml:space="preserve">  Valuation factors—5</w:t>
      </w:r>
      <w:r w:rsidR="001952B3">
        <w:noBreakHyphen/>
      </w:r>
      <w:r w:rsidR="00647C6B" w:rsidRPr="00A058B6">
        <w:t>year guarantee period—CPI indexed pension</w:t>
      </w:r>
      <w:bookmarkEnd w:id="254"/>
    </w:p>
    <w:p w14:paraId="1E7C3081"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1D5D8CB9" w14:textId="24BC827A"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28EC501A" w14:textId="77777777" w:rsidR="00647C6B" w:rsidRPr="00A058B6" w:rsidRDefault="00647C6B" w:rsidP="00647C6B">
      <w:pPr>
        <w:pStyle w:val="paragraph"/>
      </w:pPr>
      <w:r w:rsidRPr="00A058B6">
        <w:tab/>
        <w:t>(b)</w:t>
      </w:r>
      <w:r w:rsidRPr="00A058B6">
        <w:tab/>
        <w:t>is indexed in accordance with the consumer price index</w:t>
      </w:r>
      <w:r w:rsidR="00D7157D">
        <w:t>.</w:t>
      </w:r>
    </w:p>
    <w:p w14:paraId="0CC9C672"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000D581B" w14:textId="77777777" w:rsidTr="00963115">
        <w:trPr>
          <w:cantSplit/>
          <w:trHeight w:val="375"/>
          <w:tblHeader/>
          <w:jc w:val="right"/>
        </w:trPr>
        <w:tc>
          <w:tcPr>
            <w:tcW w:w="1705" w:type="pct"/>
            <w:vMerge w:val="restart"/>
            <w:tcBorders>
              <w:top w:val="single" w:sz="12" w:space="0" w:color="auto"/>
              <w:bottom w:val="single" w:sz="12" w:space="0" w:color="auto"/>
            </w:tcBorders>
          </w:tcPr>
          <w:p w14:paraId="33CEC474"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1E536318" w14:textId="1368053B"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period—CPI indexed pension</w:t>
            </w:r>
          </w:p>
        </w:tc>
      </w:tr>
      <w:tr w:rsidR="00647C6B" w:rsidRPr="00A058B6" w14:paraId="6BC72901" w14:textId="77777777" w:rsidTr="00963115">
        <w:trPr>
          <w:cantSplit/>
          <w:trHeight w:val="70"/>
          <w:tblHeader/>
          <w:jc w:val="right"/>
        </w:trPr>
        <w:tc>
          <w:tcPr>
            <w:tcW w:w="1705" w:type="pct"/>
            <w:vMerge/>
            <w:tcBorders>
              <w:bottom w:val="single" w:sz="12" w:space="0" w:color="auto"/>
            </w:tcBorders>
          </w:tcPr>
          <w:p w14:paraId="1AF9A2C2" w14:textId="77777777" w:rsidR="00647C6B" w:rsidRPr="00A058B6" w:rsidRDefault="00647C6B" w:rsidP="00963115">
            <w:pPr>
              <w:pStyle w:val="TableHeading"/>
              <w:rPr>
                <w:snapToGrid w:val="0"/>
              </w:rPr>
            </w:pPr>
          </w:p>
        </w:tc>
        <w:tc>
          <w:tcPr>
            <w:tcW w:w="1429" w:type="pct"/>
            <w:tcBorders>
              <w:top w:val="single" w:sz="4" w:space="0" w:color="auto"/>
              <w:bottom w:val="single" w:sz="12" w:space="0" w:color="auto"/>
            </w:tcBorders>
          </w:tcPr>
          <w:p w14:paraId="75E5A0A0"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055011CA" w14:textId="77777777" w:rsidR="00647C6B" w:rsidRPr="00A058B6" w:rsidRDefault="00647C6B" w:rsidP="00963115">
            <w:pPr>
              <w:pStyle w:val="TableHeading"/>
              <w:rPr>
                <w:snapToGrid w:val="0"/>
              </w:rPr>
            </w:pPr>
            <w:r w:rsidRPr="00A058B6">
              <w:rPr>
                <w:snapToGrid w:val="0"/>
              </w:rPr>
              <w:t>Female</w:t>
            </w:r>
          </w:p>
        </w:tc>
      </w:tr>
      <w:tr w:rsidR="00647C6B" w:rsidRPr="00A058B6" w14:paraId="1E0910CF" w14:textId="77777777" w:rsidTr="00357C05">
        <w:trPr>
          <w:trHeight w:val="245"/>
          <w:jc w:val="right"/>
        </w:trPr>
        <w:tc>
          <w:tcPr>
            <w:tcW w:w="1705" w:type="pct"/>
            <w:tcBorders>
              <w:top w:val="single" w:sz="12" w:space="0" w:color="auto"/>
              <w:bottom w:val="single" w:sz="4" w:space="0" w:color="auto"/>
            </w:tcBorders>
          </w:tcPr>
          <w:p w14:paraId="527CF529"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1ED61205" w14:textId="77777777" w:rsidR="00647C6B" w:rsidRPr="00A058B6" w:rsidRDefault="00647C6B" w:rsidP="009C0D79">
            <w:pPr>
              <w:pStyle w:val="Tabletext"/>
            </w:pPr>
            <w:r w:rsidRPr="00A058B6">
              <w:t>19</w:t>
            </w:r>
            <w:r w:rsidR="00D7157D">
              <w:t>.</w:t>
            </w:r>
            <w:r w:rsidRPr="00A058B6">
              <w:t>6686</w:t>
            </w:r>
          </w:p>
        </w:tc>
        <w:tc>
          <w:tcPr>
            <w:tcW w:w="1866" w:type="pct"/>
            <w:tcBorders>
              <w:top w:val="single" w:sz="12" w:space="0" w:color="auto"/>
              <w:left w:val="nil"/>
              <w:bottom w:val="single" w:sz="2" w:space="0" w:color="auto"/>
              <w:right w:val="nil"/>
            </w:tcBorders>
            <w:shd w:val="clear" w:color="auto" w:fill="auto"/>
            <w:vAlign w:val="center"/>
          </w:tcPr>
          <w:p w14:paraId="157E016B" w14:textId="77777777" w:rsidR="00647C6B" w:rsidRPr="00A058B6" w:rsidRDefault="00647C6B" w:rsidP="009C0D79">
            <w:pPr>
              <w:pStyle w:val="Tabletext"/>
            </w:pPr>
            <w:r w:rsidRPr="00A058B6">
              <w:t>20</w:t>
            </w:r>
            <w:r w:rsidR="00D7157D">
              <w:t>.</w:t>
            </w:r>
            <w:r w:rsidRPr="00A058B6">
              <w:t>4656</w:t>
            </w:r>
          </w:p>
        </w:tc>
      </w:tr>
      <w:tr w:rsidR="00647C6B" w:rsidRPr="00A058B6" w14:paraId="0AF4E74C" w14:textId="77777777" w:rsidTr="00357C05">
        <w:trPr>
          <w:trHeight w:val="245"/>
          <w:jc w:val="right"/>
        </w:trPr>
        <w:tc>
          <w:tcPr>
            <w:tcW w:w="1705" w:type="pct"/>
            <w:tcBorders>
              <w:top w:val="single" w:sz="4" w:space="0" w:color="auto"/>
              <w:bottom w:val="single" w:sz="4" w:space="0" w:color="auto"/>
            </w:tcBorders>
          </w:tcPr>
          <w:p w14:paraId="5CD68BBF"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2DBC0138" w14:textId="77777777" w:rsidR="00647C6B" w:rsidRPr="00A058B6" w:rsidRDefault="00647C6B" w:rsidP="009C0D79">
            <w:pPr>
              <w:pStyle w:val="Tabletext"/>
            </w:pPr>
            <w:r w:rsidRPr="00A058B6">
              <w:t>19</w:t>
            </w:r>
            <w:r w:rsidR="00D7157D">
              <w:t>.</w:t>
            </w:r>
            <w:r w:rsidRPr="00A058B6">
              <w:t>3388</w:t>
            </w:r>
          </w:p>
        </w:tc>
        <w:tc>
          <w:tcPr>
            <w:tcW w:w="1866" w:type="pct"/>
            <w:tcBorders>
              <w:top w:val="single" w:sz="2" w:space="0" w:color="auto"/>
              <w:left w:val="nil"/>
              <w:bottom w:val="single" w:sz="2" w:space="0" w:color="auto"/>
              <w:right w:val="nil"/>
            </w:tcBorders>
            <w:shd w:val="clear" w:color="auto" w:fill="auto"/>
            <w:vAlign w:val="center"/>
          </w:tcPr>
          <w:p w14:paraId="20878B3A" w14:textId="77777777" w:rsidR="00647C6B" w:rsidRPr="00A058B6" w:rsidRDefault="00647C6B" w:rsidP="009C0D79">
            <w:pPr>
              <w:pStyle w:val="Tabletext"/>
            </w:pPr>
            <w:r w:rsidRPr="00A058B6">
              <w:t>20</w:t>
            </w:r>
            <w:r w:rsidR="00D7157D">
              <w:t>.</w:t>
            </w:r>
            <w:r w:rsidRPr="00A058B6">
              <w:t>1515</w:t>
            </w:r>
          </w:p>
        </w:tc>
      </w:tr>
      <w:tr w:rsidR="00647C6B" w:rsidRPr="00A058B6" w14:paraId="3CBC5851" w14:textId="77777777" w:rsidTr="00357C05">
        <w:trPr>
          <w:trHeight w:val="245"/>
          <w:jc w:val="right"/>
        </w:trPr>
        <w:tc>
          <w:tcPr>
            <w:tcW w:w="1705" w:type="pct"/>
            <w:tcBorders>
              <w:top w:val="single" w:sz="4" w:space="0" w:color="auto"/>
              <w:bottom w:val="single" w:sz="4" w:space="0" w:color="auto"/>
            </w:tcBorders>
          </w:tcPr>
          <w:p w14:paraId="7059FD10"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474E4054" w14:textId="77777777" w:rsidR="00647C6B" w:rsidRPr="00A058B6" w:rsidRDefault="00647C6B" w:rsidP="009C0D79">
            <w:pPr>
              <w:pStyle w:val="Tabletext"/>
            </w:pPr>
            <w:r w:rsidRPr="00A058B6">
              <w:t>18</w:t>
            </w:r>
            <w:r w:rsidR="00D7157D">
              <w:t>.</w:t>
            </w:r>
            <w:r w:rsidRPr="00A058B6">
              <w:t>9981</w:t>
            </w:r>
          </w:p>
        </w:tc>
        <w:tc>
          <w:tcPr>
            <w:tcW w:w="1866" w:type="pct"/>
            <w:tcBorders>
              <w:top w:val="single" w:sz="2" w:space="0" w:color="auto"/>
              <w:left w:val="nil"/>
              <w:bottom w:val="single" w:sz="2" w:space="0" w:color="auto"/>
              <w:right w:val="nil"/>
            </w:tcBorders>
            <w:shd w:val="clear" w:color="auto" w:fill="auto"/>
            <w:vAlign w:val="center"/>
          </w:tcPr>
          <w:p w14:paraId="2006B78D" w14:textId="77777777" w:rsidR="00647C6B" w:rsidRPr="00A058B6" w:rsidRDefault="00647C6B" w:rsidP="009C0D79">
            <w:pPr>
              <w:pStyle w:val="Tabletext"/>
            </w:pPr>
            <w:r w:rsidRPr="00A058B6">
              <w:t>19</w:t>
            </w:r>
            <w:r w:rsidR="00D7157D">
              <w:t>.</w:t>
            </w:r>
            <w:r w:rsidRPr="00A058B6">
              <w:t>8280</w:t>
            </w:r>
          </w:p>
        </w:tc>
      </w:tr>
      <w:tr w:rsidR="00647C6B" w:rsidRPr="00A058B6" w14:paraId="0C432446" w14:textId="77777777" w:rsidTr="00357C05">
        <w:trPr>
          <w:trHeight w:val="245"/>
          <w:jc w:val="right"/>
        </w:trPr>
        <w:tc>
          <w:tcPr>
            <w:tcW w:w="1705" w:type="pct"/>
            <w:tcBorders>
              <w:top w:val="single" w:sz="4" w:space="0" w:color="auto"/>
              <w:bottom w:val="single" w:sz="4" w:space="0" w:color="auto"/>
            </w:tcBorders>
          </w:tcPr>
          <w:p w14:paraId="2094E8D4"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0BB4D8D9" w14:textId="77777777" w:rsidR="00647C6B" w:rsidRPr="00A058B6" w:rsidRDefault="00647C6B" w:rsidP="009C0D79">
            <w:pPr>
              <w:pStyle w:val="Tabletext"/>
            </w:pPr>
            <w:r w:rsidRPr="00A058B6">
              <w:t>18</w:t>
            </w:r>
            <w:r w:rsidR="00D7157D">
              <w:t>.</w:t>
            </w:r>
            <w:r w:rsidRPr="00A058B6">
              <w:t>6461</w:t>
            </w:r>
          </w:p>
        </w:tc>
        <w:tc>
          <w:tcPr>
            <w:tcW w:w="1866" w:type="pct"/>
            <w:tcBorders>
              <w:top w:val="single" w:sz="2" w:space="0" w:color="auto"/>
              <w:left w:val="nil"/>
              <w:bottom w:val="single" w:sz="2" w:space="0" w:color="auto"/>
              <w:right w:val="nil"/>
            </w:tcBorders>
            <w:shd w:val="clear" w:color="auto" w:fill="auto"/>
            <w:vAlign w:val="center"/>
          </w:tcPr>
          <w:p w14:paraId="33EFA96A" w14:textId="77777777" w:rsidR="00647C6B" w:rsidRPr="00A058B6" w:rsidRDefault="00647C6B" w:rsidP="009C0D79">
            <w:pPr>
              <w:pStyle w:val="Tabletext"/>
            </w:pPr>
            <w:r w:rsidRPr="00A058B6">
              <w:t>19</w:t>
            </w:r>
            <w:r w:rsidR="00D7157D">
              <w:t>.</w:t>
            </w:r>
            <w:r w:rsidRPr="00A058B6">
              <w:t>4942</w:t>
            </w:r>
          </w:p>
        </w:tc>
      </w:tr>
      <w:tr w:rsidR="00647C6B" w:rsidRPr="00A058B6" w14:paraId="57AE26D3" w14:textId="77777777" w:rsidTr="00357C05">
        <w:trPr>
          <w:trHeight w:val="245"/>
          <w:jc w:val="right"/>
        </w:trPr>
        <w:tc>
          <w:tcPr>
            <w:tcW w:w="1705" w:type="pct"/>
            <w:tcBorders>
              <w:top w:val="single" w:sz="4" w:space="0" w:color="auto"/>
              <w:bottom w:val="single" w:sz="4" w:space="0" w:color="auto"/>
            </w:tcBorders>
          </w:tcPr>
          <w:p w14:paraId="06D33FF7"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7149927C" w14:textId="77777777" w:rsidR="00647C6B" w:rsidRPr="00A058B6" w:rsidRDefault="00647C6B" w:rsidP="009C0D79">
            <w:pPr>
              <w:pStyle w:val="Tabletext"/>
            </w:pPr>
            <w:r w:rsidRPr="00A058B6">
              <w:t>18</w:t>
            </w:r>
            <w:r w:rsidR="00D7157D">
              <w:t>.</w:t>
            </w:r>
            <w:r w:rsidRPr="00A058B6">
              <w:t>2823</w:t>
            </w:r>
          </w:p>
        </w:tc>
        <w:tc>
          <w:tcPr>
            <w:tcW w:w="1866" w:type="pct"/>
            <w:tcBorders>
              <w:top w:val="single" w:sz="2" w:space="0" w:color="auto"/>
              <w:left w:val="nil"/>
              <w:bottom w:val="single" w:sz="2" w:space="0" w:color="auto"/>
              <w:right w:val="nil"/>
            </w:tcBorders>
            <w:shd w:val="clear" w:color="auto" w:fill="auto"/>
            <w:vAlign w:val="center"/>
          </w:tcPr>
          <w:p w14:paraId="2E85A23F" w14:textId="77777777" w:rsidR="00647C6B" w:rsidRPr="00A058B6" w:rsidRDefault="00647C6B" w:rsidP="009C0D79">
            <w:pPr>
              <w:pStyle w:val="Tabletext"/>
            </w:pPr>
            <w:r w:rsidRPr="00A058B6">
              <w:t>19</w:t>
            </w:r>
            <w:r w:rsidR="00D7157D">
              <w:t>.</w:t>
            </w:r>
            <w:r w:rsidRPr="00A058B6">
              <w:t>1496</w:t>
            </w:r>
          </w:p>
        </w:tc>
      </w:tr>
      <w:tr w:rsidR="00647C6B" w:rsidRPr="00A058B6" w14:paraId="641EAEE1" w14:textId="77777777" w:rsidTr="00357C05">
        <w:trPr>
          <w:trHeight w:val="245"/>
          <w:jc w:val="right"/>
        </w:trPr>
        <w:tc>
          <w:tcPr>
            <w:tcW w:w="1705" w:type="pct"/>
            <w:tcBorders>
              <w:top w:val="single" w:sz="4" w:space="0" w:color="auto"/>
              <w:bottom w:val="single" w:sz="4" w:space="0" w:color="auto"/>
            </w:tcBorders>
          </w:tcPr>
          <w:p w14:paraId="4F14419F"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572649DA" w14:textId="77777777" w:rsidR="00647C6B" w:rsidRPr="00A058B6" w:rsidRDefault="00647C6B" w:rsidP="009C0D79">
            <w:pPr>
              <w:pStyle w:val="Tabletext"/>
            </w:pPr>
            <w:r w:rsidRPr="00A058B6">
              <w:t>17</w:t>
            </w:r>
            <w:r w:rsidR="00D7157D">
              <w:t>.</w:t>
            </w:r>
            <w:r w:rsidRPr="00A058B6">
              <w:t>9068</w:t>
            </w:r>
          </w:p>
        </w:tc>
        <w:tc>
          <w:tcPr>
            <w:tcW w:w="1866" w:type="pct"/>
            <w:tcBorders>
              <w:top w:val="single" w:sz="2" w:space="0" w:color="auto"/>
              <w:left w:val="nil"/>
              <w:bottom w:val="single" w:sz="2" w:space="0" w:color="auto"/>
              <w:right w:val="nil"/>
            </w:tcBorders>
            <w:shd w:val="clear" w:color="auto" w:fill="auto"/>
            <w:vAlign w:val="center"/>
          </w:tcPr>
          <w:p w14:paraId="72EC08E8" w14:textId="77777777" w:rsidR="00647C6B" w:rsidRPr="00A058B6" w:rsidRDefault="00647C6B" w:rsidP="009C0D79">
            <w:pPr>
              <w:pStyle w:val="Tabletext"/>
            </w:pPr>
            <w:r w:rsidRPr="00A058B6">
              <w:t>18</w:t>
            </w:r>
            <w:r w:rsidR="00D7157D">
              <w:t>.</w:t>
            </w:r>
            <w:r w:rsidRPr="00A058B6">
              <w:t>7938</w:t>
            </w:r>
          </w:p>
        </w:tc>
      </w:tr>
      <w:tr w:rsidR="00647C6B" w:rsidRPr="00A058B6" w14:paraId="79AC4004" w14:textId="77777777" w:rsidTr="00357C05">
        <w:trPr>
          <w:trHeight w:val="245"/>
          <w:jc w:val="right"/>
        </w:trPr>
        <w:tc>
          <w:tcPr>
            <w:tcW w:w="1705" w:type="pct"/>
            <w:tcBorders>
              <w:top w:val="single" w:sz="4" w:space="0" w:color="auto"/>
              <w:bottom w:val="single" w:sz="4" w:space="0" w:color="auto"/>
            </w:tcBorders>
          </w:tcPr>
          <w:p w14:paraId="0827DEA9"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7C95A29A" w14:textId="77777777" w:rsidR="00647C6B" w:rsidRPr="00A058B6" w:rsidRDefault="00647C6B" w:rsidP="009C0D79">
            <w:pPr>
              <w:pStyle w:val="Tabletext"/>
            </w:pPr>
            <w:r w:rsidRPr="00A058B6">
              <w:t>17</w:t>
            </w:r>
            <w:r w:rsidR="00D7157D">
              <w:t>.</w:t>
            </w:r>
            <w:r w:rsidRPr="00A058B6">
              <w:t>5197</w:t>
            </w:r>
          </w:p>
        </w:tc>
        <w:tc>
          <w:tcPr>
            <w:tcW w:w="1866" w:type="pct"/>
            <w:tcBorders>
              <w:top w:val="single" w:sz="2" w:space="0" w:color="auto"/>
              <w:left w:val="nil"/>
              <w:bottom w:val="single" w:sz="2" w:space="0" w:color="auto"/>
              <w:right w:val="nil"/>
            </w:tcBorders>
            <w:shd w:val="clear" w:color="auto" w:fill="auto"/>
            <w:vAlign w:val="center"/>
          </w:tcPr>
          <w:p w14:paraId="138BEA67" w14:textId="77777777" w:rsidR="00647C6B" w:rsidRPr="00A058B6" w:rsidRDefault="00647C6B" w:rsidP="009C0D79">
            <w:pPr>
              <w:pStyle w:val="Tabletext"/>
            </w:pPr>
            <w:r w:rsidRPr="00A058B6">
              <w:t>18</w:t>
            </w:r>
            <w:r w:rsidR="00D7157D">
              <w:t>.</w:t>
            </w:r>
            <w:r w:rsidRPr="00A058B6">
              <w:t>4261</w:t>
            </w:r>
          </w:p>
        </w:tc>
      </w:tr>
      <w:tr w:rsidR="00647C6B" w:rsidRPr="00A058B6" w14:paraId="1F471C3C" w14:textId="77777777" w:rsidTr="00357C05">
        <w:trPr>
          <w:trHeight w:val="245"/>
          <w:jc w:val="right"/>
        </w:trPr>
        <w:tc>
          <w:tcPr>
            <w:tcW w:w="1705" w:type="pct"/>
            <w:tcBorders>
              <w:top w:val="single" w:sz="4" w:space="0" w:color="auto"/>
              <w:bottom w:val="single" w:sz="4" w:space="0" w:color="auto"/>
            </w:tcBorders>
          </w:tcPr>
          <w:p w14:paraId="6020C80C"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64A75218" w14:textId="77777777" w:rsidR="00647C6B" w:rsidRPr="00A058B6" w:rsidRDefault="00647C6B" w:rsidP="009C0D79">
            <w:pPr>
              <w:pStyle w:val="Tabletext"/>
            </w:pPr>
            <w:r w:rsidRPr="00A058B6">
              <w:t>17</w:t>
            </w:r>
            <w:r w:rsidR="00D7157D">
              <w:t>.</w:t>
            </w:r>
            <w:r w:rsidRPr="00A058B6">
              <w:t>1208</w:t>
            </w:r>
          </w:p>
        </w:tc>
        <w:tc>
          <w:tcPr>
            <w:tcW w:w="1866" w:type="pct"/>
            <w:tcBorders>
              <w:top w:val="single" w:sz="2" w:space="0" w:color="auto"/>
              <w:left w:val="nil"/>
              <w:bottom w:val="single" w:sz="2" w:space="0" w:color="auto"/>
              <w:right w:val="nil"/>
            </w:tcBorders>
            <w:shd w:val="clear" w:color="auto" w:fill="auto"/>
            <w:vAlign w:val="center"/>
          </w:tcPr>
          <w:p w14:paraId="0205457A" w14:textId="77777777" w:rsidR="00647C6B" w:rsidRPr="00A058B6" w:rsidRDefault="00647C6B" w:rsidP="009C0D79">
            <w:pPr>
              <w:pStyle w:val="Tabletext"/>
            </w:pPr>
            <w:r w:rsidRPr="00A058B6">
              <w:t>18</w:t>
            </w:r>
            <w:r w:rsidR="00D7157D">
              <w:t>.</w:t>
            </w:r>
            <w:r w:rsidRPr="00A058B6">
              <w:t>0473</w:t>
            </w:r>
          </w:p>
        </w:tc>
      </w:tr>
      <w:tr w:rsidR="00647C6B" w:rsidRPr="00A058B6" w14:paraId="72DA1FB0" w14:textId="77777777" w:rsidTr="00357C05">
        <w:trPr>
          <w:trHeight w:val="245"/>
          <w:jc w:val="right"/>
        </w:trPr>
        <w:tc>
          <w:tcPr>
            <w:tcW w:w="1705" w:type="pct"/>
            <w:tcBorders>
              <w:top w:val="single" w:sz="4" w:space="0" w:color="auto"/>
              <w:bottom w:val="single" w:sz="4" w:space="0" w:color="auto"/>
            </w:tcBorders>
          </w:tcPr>
          <w:p w14:paraId="0612E525"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1DED8187" w14:textId="77777777" w:rsidR="00647C6B" w:rsidRPr="00A058B6" w:rsidRDefault="00647C6B" w:rsidP="009C0D79">
            <w:pPr>
              <w:pStyle w:val="Tabletext"/>
            </w:pPr>
            <w:r w:rsidRPr="00A058B6">
              <w:t>16</w:t>
            </w:r>
            <w:r w:rsidR="00D7157D">
              <w:t>.</w:t>
            </w:r>
            <w:r w:rsidRPr="00A058B6">
              <w:t>7107</w:t>
            </w:r>
          </w:p>
        </w:tc>
        <w:tc>
          <w:tcPr>
            <w:tcW w:w="1866" w:type="pct"/>
            <w:tcBorders>
              <w:top w:val="single" w:sz="2" w:space="0" w:color="auto"/>
              <w:left w:val="nil"/>
              <w:bottom w:val="single" w:sz="2" w:space="0" w:color="auto"/>
              <w:right w:val="nil"/>
            </w:tcBorders>
            <w:shd w:val="clear" w:color="auto" w:fill="auto"/>
            <w:vAlign w:val="center"/>
          </w:tcPr>
          <w:p w14:paraId="3B8EDDA7" w14:textId="77777777" w:rsidR="00647C6B" w:rsidRPr="00A058B6" w:rsidRDefault="00647C6B" w:rsidP="009C0D79">
            <w:pPr>
              <w:pStyle w:val="Tabletext"/>
            </w:pPr>
            <w:r w:rsidRPr="00A058B6">
              <w:t>17</w:t>
            </w:r>
            <w:r w:rsidR="00D7157D">
              <w:t>.</w:t>
            </w:r>
            <w:r w:rsidRPr="00A058B6">
              <w:t>6572</w:t>
            </w:r>
          </w:p>
        </w:tc>
      </w:tr>
      <w:tr w:rsidR="00647C6B" w:rsidRPr="00A058B6" w14:paraId="565BB462" w14:textId="77777777" w:rsidTr="00357C05">
        <w:trPr>
          <w:trHeight w:val="70"/>
          <w:jc w:val="right"/>
        </w:trPr>
        <w:tc>
          <w:tcPr>
            <w:tcW w:w="1705" w:type="pct"/>
            <w:tcBorders>
              <w:top w:val="single" w:sz="4" w:space="0" w:color="auto"/>
              <w:bottom w:val="single" w:sz="4" w:space="0" w:color="auto"/>
            </w:tcBorders>
          </w:tcPr>
          <w:p w14:paraId="34FEA2D7"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27B9EE58" w14:textId="77777777" w:rsidR="00647C6B" w:rsidRPr="00A058B6" w:rsidRDefault="00647C6B" w:rsidP="009C0D79">
            <w:pPr>
              <w:pStyle w:val="Tabletext"/>
            </w:pPr>
            <w:r w:rsidRPr="00A058B6">
              <w:t>16</w:t>
            </w:r>
            <w:r w:rsidR="00D7157D">
              <w:t>.</w:t>
            </w:r>
            <w:r w:rsidRPr="00A058B6">
              <w:t>2893</w:t>
            </w:r>
          </w:p>
        </w:tc>
        <w:tc>
          <w:tcPr>
            <w:tcW w:w="1866" w:type="pct"/>
            <w:tcBorders>
              <w:top w:val="single" w:sz="2" w:space="0" w:color="auto"/>
              <w:left w:val="nil"/>
              <w:bottom w:val="single" w:sz="2" w:space="0" w:color="auto"/>
              <w:right w:val="nil"/>
            </w:tcBorders>
            <w:shd w:val="clear" w:color="auto" w:fill="auto"/>
            <w:vAlign w:val="center"/>
          </w:tcPr>
          <w:p w14:paraId="22F97073" w14:textId="77777777" w:rsidR="00647C6B" w:rsidRPr="00A058B6" w:rsidRDefault="00647C6B" w:rsidP="009C0D79">
            <w:pPr>
              <w:pStyle w:val="Tabletext"/>
            </w:pPr>
            <w:r w:rsidRPr="00A058B6">
              <w:t>17</w:t>
            </w:r>
            <w:r w:rsidR="00D7157D">
              <w:t>.</w:t>
            </w:r>
            <w:r w:rsidRPr="00A058B6">
              <w:t>2559</w:t>
            </w:r>
          </w:p>
        </w:tc>
      </w:tr>
      <w:tr w:rsidR="00647C6B" w:rsidRPr="00A058B6" w14:paraId="6C01B7D2" w14:textId="77777777" w:rsidTr="00357C05">
        <w:trPr>
          <w:trHeight w:val="245"/>
          <w:jc w:val="right"/>
        </w:trPr>
        <w:tc>
          <w:tcPr>
            <w:tcW w:w="1705" w:type="pct"/>
            <w:tcBorders>
              <w:top w:val="single" w:sz="4" w:space="0" w:color="auto"/>
              <w:bottom w:val="single" w:sz="12" w:space="0" w:color="auto"/>
            </w:tcBorders>
          </w:tcPr>
          <w:p w14:paraId="1723EDD1"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58673913" w14:textId="77777777" w:rsidR="00647C6B" w:rsidRPr="00A058B6" w:rsidRDefault="00647C6B" w:rsidP="009C0D79">
            <w:pPr>
              <w:pStyle w:val="Tabletext"/>
            </w:pPr>
            <w:r w:rsidRPr="00A058B6">
              <w:t>15</w:t>
            </w:r>
            <w:r w:rsidR="00D7157D">
              <w:t>.</w:t>
            </w:r>
            <w:r w:rsidRPr="00A058B6">
              <w:t>8582</w:t>
            </w:r>
          </w:p>
        </w:tc>
        <w:tc>
          <w:tcPr>
            <w:tcW w:w="1866" w:type="pct"/>
            <w:tcBorders>
              <w:top w:val="single" w:sz="2" w:space="0" w:color="auto"/>
              <w:left w:val="nil"/>
              <w:bottom w:val="single" w:sz="12" w:space="0" w:color="auto"/>
              <w:right w:val="nil"/>
            </w:tcBorders>
            <w:shd w:val="clear" w:color="auto" w:fill="auto"/>
            <w:vAlign w:val="center"/>
          </w:tcPr>
          <w:p w14:paraId="0B05790E" w14:textId="77777777" w:rsidR="00647C6B" w:rsidRPr="00A058B6" w:rsidRDefault="00647C6B" w:rsidP="009C0D79">
            <w:pPr>
              <w:pStyle w:val="Tabletext"/>
            </w:pPr>
            <w:r w:rsidRPr="00A058B6">
              <w:t>16</w:t>
            </w:r>
            <w:r w:rsidR="00D7157D">
              <w:t>.</w:t>
            </w:r>
            <w:r w:rsidRPr="00A058B6">
              <w:t>8444</w:t>
            </w:r>
          </w:p>
        </w:tc>
      </w:tr>
    </w:tbl>
    <w:p w14:paraId="18F5D3CD"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1EF6E74B" w14:textId="77777777" w:rsidTr="00963115">
        <w:trPr>
          <w:cantSplit/>
          <w:trHeight w:val="375"/>
          <w:tblHeader/>
          <w:jc w:val="right"/>
        </w:trPr>
        <w:tc>
          <w:tcPr>
            <w:tcW w:w="1705" w:type="pct"/>
            <w:vMerge w:val="restart"/>
            <w:tcBorders>
              <w:top w:val="single" w:sz="12" w:space="0" w:color="auto"/>
              <w:bottom w:val="single" w:sz="12" w:space="0" w:color="auto"/>
            </w:tcBorders>
          </w:tcPr>
          <w:p w14:paraId="29CB1127"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6E5DC90D" w14:textId="6699D9CD"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period—CPI indexed pension</w:t>
            </w:r>
          </w:p>
        </w:tc>
      </w:tr>
      <w:tr w:rsidR="00647C6B" w:rsidRPr="00A058B6" w14:paraId="35A6AA16" w14:textId="77777777" w:rsidTr="00963115">
        <w:trPr>
          <w:cantSplit/>
          <w:trHeight w:val="40"/>
          <w:tblHeader/>
          <w:jc w:val="right"/>
        </w:trPr>
        <w:tc>
          <w:tcPr>
            <w:tcW w:w="1705" w:type="pct"/>
            <w:vMerge/>
            <w:tcBorders>
              <w:bottom w:val="single" w:sz="12" w:space="0" w:color="auto"/>
            </w:tcBorders>
          </w:tcPr>
          <w:p w14:paraId="0113ED8F"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748D3B19"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6921181B" w14:textId="77777777" w:rsidR="00647C6B" w:rsidRPr="00A058B6" w:rsidRDefault="00647C6B" w:rsidP="00963115">
            <w:pPr>
              <w:pStyle w:val="TableHeading"/>
              <w:rPr>
                <w:snapToGrid w:val="0"/>
              </w:rPr>
            </w:pPr>
            <w:r w:rsidRPr="00A058B6">
              <w:rPr>
                <w:snapToGrid w:val="0"/>
              </w:rPr>
              <w:t>Female</w:t>
            </w:r>
          </w:p>
        </w:tc>
      </w:tr>
      <w:tr w:rsidR="00647C6B" w:rsidRPr="00A058B6" w14:paraId="5AD47479" w14:textId="77777777" w:rsidTr="00357C05">
        <w:trPr>
          <w:trHeight w:val="245"/>
          <w:jc w:val="right"/>
        </w:trPr>
        <w:tc>
          <w:tcPr>
            <w:tcW w:w="1705" w:type="pct"/>
            <w:tcBorders>
              <w:top w:val="single" w:sz="12" w:space="0" w:color="auto"/>
              <w:bottom w:val="single" w:sz="4" w:space="0" w:color="auto"/>
            </w:tcBorders>
          </w:tcPr>
          <w:p w14:paraId="55D7E582"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568C8C0F" w14:textId="77777777" w:rsidR="00647C6B" w:rsidRPr="00A058B6" w:rsidRDefault="00647C6B" w:rsidP="009C0D79">
            <w:pPr>
              <w:pStyle w:val="Tabletext"/>
            </w:pPr>
            <w:r w:rsidRPr="00A058B6">
              <w:t>2</w:t>
            </w:r>
            <w:r w:rsidR="00D7157D">
              <w:t>.</w:t>
            </w:r>
            <w:r w:rsidRPr="00A058B6">
              <w:t>091</w:t>
            </w:r>
          </w:p>
        </w:tc>
        <w:tc>
          <w:tcPr>
            <w:tcW w:w="1878" w:type="pct"/>
            <w:tcBorders>
              <w:top w:val="single" w:sz="12" w:space="0" w:color="auto"/>
              <w:left w:val="nil"/>
              <w:bottom w:val="single" w:sz="2" w:space="0" w:color="auto"/>
              <w:right w:val="nil"/>
            </w:tcBorders>
            <w:shd w:val="clear" w:color="auto" w:fill="auto"/>
            <w:vAlign w:val="bottom"/>
          </w:tcPr>
          <w:p w14:paraId="68E60180" w14:textId="77777777" w:rsidR="00647C6B" w:rsidRPr="00A058B6" w:rsidRDefault="00647C6B" w:rsidP="009C0D79">
            <w:pPr>
              <w:pStyle w:val="Tabletext"/>
            </w:pPr>
            <w:r w:rsidRPr="00A058B6">
              <w:t>0</w:t>
            </w:r>
            <w:r w:rsidR="00D7157D">
              <w:t>.</w:t>
            </w:r>
            <w:r w:rsidRPr="00A058B6">
              <w:t>901</w:t>
            </w:r>
          </w:p>
        </w:tc>
      </w:tr>
      <w:tr w:rsidR="00647C6B" w:rsidRPr="00A058B6" w14:paraId="75CAFC42" w14:textId="77777777" w:rsidTr="00357C05">
        <w:trPr>
          <w:trHeight w:val="245"/>
          <w:jc w:val="right"/>
        </w:trPr>
        <w:tc>
          <w:tcPr>
            <w:tcW w:w="1705" w:type="pct"/>
            <w:tcBorders>
              <w:top w:val="single" w:sz="4" w:space="0" w:color="auto"/>
              <w:bottom w:val="single" w:sz="4" w:space="0" w:color="auto"/>
            </w:tcBorders>
          </w:tcPr>
          <w:p w14:paraId="23853228"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47E1E719" w14:textId="77777777" w:rsidR="00647C6B" w:rsidRPr="00A058B6" w:rsidRDefault="00647C6B" w:rsidP="009C0D79">
            <w:pPr>
              <w:pStyle w:val="Tabletext"/>
            </w:pPr>
            <w:r w:rsidRPr="00A058B6">
              <w:t>2</w:t>
            </w:r>
            <w:r w:rsidR="00D7157D">
              <w:t>.</w:t>
            </w:r>
            <w:r w:rsidRPr="00A058B6">
              <w:t>021</w:t>
            </w:r>
          </w:p>
        </w:tc>
        <w:tc>
          <w:tcPr>
            <w:tcW w:w="1878" w:type="pct"/>
            <w:tcBorders>
              <w:top w:val="single" w:sz="2" w:space="0" w:color="auto"/>
              <w:left w:val="nil"/>
              <w:bottom w:val="single" w:sz="2" w:space="0" w:color="auto"/>
              <w:right w:val="nil"/>
            </w:tcBorders>
            <w:shd w:val="clear" w:color="auto" w:fill="auto"/>
            <w:vAlign w:val="bottom"/>
          </w:tcPr>
          <w:p w14:paraId="406B7742" w14:textId="77777777" w:rsidR="00647C6B" w:rsidRPr="00A058B6" w:rsidRDefault="00647C6B" w:rsidP="009C0D79">
            <w:pPr>
              <w:pStyle w:val="Tabletext"/>
            </w:pPr>
            <w:r w:rsidRPr="00A058B6">
              <w:t>0</w:t>
            </w:r>
            <w:r w:rsidR="00D7157D">
              <w:t>.</w:t>
            </w:r>
            <w:r w:rsidRPr="00A058B6">
              <w:t>847</w:t>
            </w:r>
          </w:p>
        </w:tc>
      </w:tr>
      <w:tr w:rsidR="00647C6B" w:rsidRPr="00A058B6" w14:paraId="40AC3B4D" w14:textId="77777777" w:rsidTr="00357C05">
        <w:trPr>
          <w:trHeight w:val="245"/>
          <w:jc w:val="right"/>
        </w:trPr>
        <w:tc>
          <w:tcPr>
            <w:tcW w:w="1705" w:type="pct"/>
            <w:tcBorders>
              <w:top w:val="single" w:sz="4" w:space="0" w:color="auto"/>
              <w:bottom w:val="single" w:sz="4" w:space="0" w:color="auto"/>
            </w:tcBorders>
          </w:tcPr>
          <w:p w14:paraId="073C75A7"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357A3CF1" w14:textId="77777777" w:rsidR="00647C6B" w:rsidRPr="00A058B6" w:rsidRDefault="00647C6B" w:rsidP="009C0D79">
            <w:pPr>
              <w:pStyle w:val="Tabletext"/>
            </w:pPr>
            <w:r w:rsidRPr="00A058B6">
              <w:t>1</w:t>
            </w:r>
            <w:r w:rsidR="00D7157D">
              <w:t>.</w:t>
            </w:r>
            <w:r w:rsidRPr="00A058B6">
              <w:t>952</w:t>
            </w:r>
          </w:p>
        </w:tc>
        <w:tc>
          <w:tcPr>
            <w:tcW w:w="1878" w:type="pct"/>
            <w:tcBorders>
              <w:top w:val="single" w:sz="2" w:space="0" w:color="auto"/>
              <w:left w:val="nil"/>
              <w:bottom w:val="single" w:sz="2" w:space="0" w:color="auto"/>
              <w:right w:val="nil"/>
            </w:tcBorders>
            <w:shd w:val="clear" w:color="auto" w:fill="auto"/>
            <w:vAlign w:val="bottom"/>
          </w:tcPr>
          <w:p w14:paraId="2D80C903" w14:textId="77777777" w:rsidR="00647C6B" w:rsidRPr="00A058B6" w:rsidRDefault="00647C6B" w:rsidP="009C0D79">
            <w:pPr>
              <w:pStyle w:val="Tabletext"/>
            </w:pPr>
            <w:r w:rsidRPr="00A058B6">
              <w:t>0</w:t>
            </w:r>
            <w:r w:rsidR="00D7157D">
              <w:t>.</w:t>
            </w:r>
            <w:r w:rsidRPr="00A058B6">
              <w:t>793</w:t>
            </w:r>
          </w:p>
        </w:tc>
      </w:tr>
      <w:tr w:rsidR="00647C6B" w:rsidRPr="00A058B6" w14:paraId="74FBE290" w14:textId="77777777" w:rsidTr="00357C05">
        <w:trPr>
          <w:trHeight w:val="245"/>
          <w:jc w:val="right"/>
        </w:trPr>
        <w:tc>
          <w:tcPr>
            <w:tcW w:w="1705" w:type="pct"/>
            <w:tcBorders>
              <w:top w:val="single" w:sz="4" w:space="0" w:color="auto"/>
              <w:bottom w:val="single" w:sz="4" w:space="0" w:color="auto"/>
            </w:tcBorders>
          </w:tcPr>
          <w:p w14:paraId="2A6BD031"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051EABC4" w14:textId="77777777" w:rsidR="00647C6B" w:rsidRPr="00A058B6" w:rsidRDefault="00647C6B" w:rsidP="009C0D79">
            <w:pPr>
              <w:pStyle w:val="Tabletext"/>
            </w:pPr>
            <w:r w:rsidRPr="00A058B6">
              <w:t>1</w:t>
            </w:r>
            <w:r w:rsidR="00D7157D">
              <w:t>.</w:t>
            </w:r>
            <w:r w:rsidRPr="00A058B6">
              <w:t>882</w:t>
            </w:r>
          </w:p>
        </w:tc>
        <w:tc>
          <w:tcPr>
            <w:tcW w:w="1878" w:type="pct"/>
            <w:tcBorders>
              <w:top w:val="single" w:sz="2" w:space="0" w:color="auto"/>
              <w:left w:val="nil"/>
              <w:bottom w:val="single" w:sz="2" w:space="0" w:color="auto"/>
              <w:right w:val="nil"/>
            </w:tcBorders>
            <w:shd w:val="clear" w:color="auto" w:fill="auto"/>
            <w:vAlign w:val="bottom"/>
          </w:tcPr>
          <w:p w14:paraId="04B02804" w14:textId="77777777" w:rsidR="00647C6B" w:rsidRPr="00A058B6" w:rsidRDefault="00647C6B" w:rsidP="009C0D79">
            <w:pPr>
              <w:pStyle w:val="Tabletext"/>
            </w:pPr>
            <w:r w:rsidRPr="00A058B6">
              <w:t>0</w:t>
            </w:r>
            <w:r w:rsidR="00D7157D">
              <w:t>.</w:t>
            </w:r>
            <w:r w:rsidRPr="00A058B6">
              <w:t>739</w:t>
            </w:r>
          </w:p>
        </w:tc>
      </w:tr>
      <w:tr w:rsidR="00647C6B" w:rsidRPr="00A058B6" w14:paraId="0FB4E409" w14:textId="77777777" w:rsidTr="00357C05">
        <w:trPr>
          <w:trHeight w:val="245"/>
          <w:jc w:val="right"/>
        </w:trPr>
        <w:tc>
          <w:tcPr>
            <w:tcW w:w="1705" w:type="pct"/>
            <w:tcBorders>
              <w:top w:val="single" w:sz="4" w:space="0" w:color="auto"/>
              <w:bottom w:val="single" w:sz="4" w:space="0" w:color="auto"/>
            </w:tcBorders>
          </w:tcPr>
          <w:p w14:paraId="7E2FA898"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0563B9D8" w14:textId="77777777" w:rsidR="00647C6B" w:rsidRPr="00A058B6" w:rsidRDefault="00647C6B" w:rsidP="009C0D79">
            <w:pPr>
              <w:pStyle w:val="Tabletext"/>
            </w:pPr>
            <w:r w:rsidRPr="00A058B6">
              <w:t>1</w:t>
            </w:r>
            <w:r w:rsidR="00D7157D">
              <w:t>.</w:t>
            </w:r>
            <w:r w:rsidRPr="00A058B6">
              <w:t>812</w:t>
            </w:r>
          </w:p>
        </w:tc>
        <w:tc>
          <w:tcPr>
            <w:tcW w:w="1878" w:type="pct"/>
            <w:tcBorders>
              <w:top w:val="single" w:sz="2" w:space="0" w:color="auto"/>
              <w:left w:val="nil"/>
              <w:bottom w:val="single" w:sz="2" w:space="0" w:color="auto"/>
              <w:right w:val="nil"/>
            </w:tcBorders>
            <w:shd w:val="clear" w:color="auto" w:fill="auto"/>
            <w:vAlign w:val="bottom"/>
          </w:tcPr>
          <w:p w14:paraId="5DDD593A" w14:textId="77777777" w:rsidR="00647C6B" w:rsidRPr="00A058B6" w:rsidRDefault="00647C6B" w:rsidP="009C0D79">
            <w:pPr>
              <w:pStyle w:val="Tabletext"/>
            </w:pPr>
            <w:r w:rsidRPr="00A058B6">
              <w:t>0</w:t>
            </w:r>
            <w:r w:rsidR="00D7157D">
              <w:t>.</w:t>
            </w:r>
            <w:r w:rsidRPr="00A058B6">
              <w:t>685</w:t>
            </w:r>
          </w:p>
        </w:tc>
      </w:tr>
      <w:tr w:rsidR="00647C6B" w:rsidRPr="00A058B6" w14:paraId="6F442037" w14:textId="77777777" w:rsidTr="00357C05">
        <w:trPr>
          <w:trHeight w:val="245"/>
          <w:jc w:val="right"/>
        </w:trPr>
        <w:tc>
          <w:tcPr>
            <w:tcW w:w="1705" w:type="pct"/>
            <w:tcBorders>
              <w:top w:val="single" w:sz="4" w:space="0" w:color="auto"/>
              <w:bottom w:val="single" w:sz="4" w:space="0" w:color="auto"/>
            </w:tcBorders>
          </w:tcPr>
          <w:p w14:paraId="299CD835"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011F1FCE" w14:textId="77777777" w:rsidR="00647C6B" w:rsidRPr="00A058B6" w:rsidRDefault="00647C6B" w:rsidP="009C0D79">
            <w:pPr>
              <w:pStyle w:val="Tabletext"/>
            </w:pPr>
            <w:r w:rsidRPr="00A058B6">
              <w:t>1</w:t>
            </w:r>
            <w:r w:rsidR="00D7157D">
              <w:t>.</w:t>
            </w:r>
            <w:r w:rsidRPr="00A058B6">
              <w:t>742</w:t>
            </w:r>
          </w:p>
        </w:tc>
        <w:tc>
          <w:tcPr>
            <w:tcW w:w="1878" w:type="pct"/>
            <w:tcBorders>
              <w:top w:val="single" w:sz="2" w:space="0" w:color="auto"/>
              <w:left w:val="nil"/>
              <w:bottom w:val="single" w:sz="2" w:space="0" w:color="auto"/>
              <w:right w:val="nil"/>
            </w:tcBorders>
            <w:shd w:val="clear" w:color="auto" w:fill="auto"/>
            <w:vAlign w:val="bottom"/>
          </w:tcPr>
          <w:p w14:paraId="2213DE4E" w14:textId="77777777" w:rsidR="00647C6B" w:rsidRPr="00A058B6" w:rsidRDefault="00647C6B" w:rsidP="009C0D79">
            <w:pPr>
              <w:pStyle w:val="Tabletext"/>
            </w:pPr>
            <w:r w:rsidRPr="00A058B6">
              <w:t>0</w:t>
            </w:r>
            <w:r w:rsidR="00D7157D">
              <w:t>.</w:t>
            </w:r>
            <w:r w:rsidRPr="00A058B6">
              <w:t>631</w:t>
            </w:r>
          </w:p>
        </w:tc>
      </w:tr>
      <w:tr w:rsidR="00647C6B" w:rsidRPr="00A058B6" w14:paraId="165A42CE" w14:textId="77777777" w:rsidTr="00357C05">
        <w:trPr>
          <w:trHeight w:val="245"/>
          <w:jc w:val="right"/>
        </w:trPr>
        <w:tc>
          <w:tcPr>
            <w:tcW w:w="1705" w:type="pct"/>
            <w:tcBorders>
              <w:top w:val="single" w:sz="4" w:space="0" w:color="auto"/>
              <w:bottom w:val="single" w:sz="4" w:space="0" w:color="auto"/>
            </w:tcBorders>
          </w:tcPr>
          <w:p w14:paraId="2394C712"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1DA5BAC2" w14:textId="77777777" w:rsidR="00647C6B" w:rsidRPr="00A058B6" w:rsidRDefault="00647C6B" w:rsidP="009C0D79">
            <w:pPr>
              <w:pStyle w:val="Tabletext"/>
            </w:pPr>
            <w:r w:rsidRPr="00A058B6">
              <w:t>1</w:t>
            </w:r>
            <w:r w:rsidR="00D7157D">
              <w:t>.</w:t>
            </w:r>
            <w:r w:rsidRPr="00A058B6">
              <w:t>673</w:t>
            </w:r>
          </w:p>
        </w:tc>
        <w:tc>
          <w:tcPr>
            <w:tcW w:w="1878" w:type="pct"/>
            <w:tcBorders>
              <w:top w:val="single" w:sz="2" w:space="0" w:color="auto"/>
              <w:left w:val="nil"/>
              <w:bottom w:val="single" w:sz="2" w:space="0" w:color="auto"/>
              <w:right w:val="nil"/>
            </w:tcBorders>
            <w:shd w:val="clear" w:color="auto" w:fill="auto"/>
            <w:vAlign w:val="bottom"/>
          </w:tcPr>
          <w:p w14:paraId="79FA674F" w14:textId="77777777" w:rsidR="00647C6B" w:rsidRPr="00A058B6" w:rsidRDefault="00647C6B" w:rsidP="009C0D79">
            <w:pPr>
              <w:pStyle w:val="Tabletext"/>
            </w:pPr>
            <w:r w:rsidRPr="00A058B6">
              <w:t>0</w:t>
            </w:r>
            <w:r w:rsidR="00D7157D">
              <w:t>.</w:t>
            </w:r>
            <w:r w:rsidRPr="00A058B6">
              <w:t>577</w:t>
            </w:r>
          </w:p>
        </w:tc>
      </w:tr>
      <w:tr w:rsidR="00647C6B" w:rsidRPr="00A058B6" w14:paraId="5BBE75EB" w14:textId="77777777" w:rsidTr="00357C05">
        <w:trPr>
          <w:trHeight w:val="245"/>
          <w:jc w:val="right"/>
        </w:trPr>
        <w:tc>
          <w:tcPr>
            <w:tcW w:w="1705" w:type="pct"/>
            <w:tcBorders>
              <w:top w:val="single" w:sz="4" w:space="0" w:color="auto"/>
              <w:bottom w:val="single" w:sz="4" w:space="0" w:color="auto"/>
            </w:tcBorders>
          </w:tcPr>
          <w:p w14:paraId="1FC18B1D"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5F02ACCD" w14:textId="77777777" w:rsidR="00647C6B" w:rsidRPr="00A058B6" w:rsidRDefault="00647C6B" w:rsidP="009C0D79">
            <w:pPr>
              <w:pStyle w:val="Tabletext"/>
            </w:pPr>
            <w:r w:rsidRPr="00A058B6">
              <w:t>1</w:t>
            </w:r>
            <w:r w:rsidR="00D7157D">
              <w:t>.</w:t>
            </w:r>
            <w:r w:rsidRPr="00A058B6">
              <w:t>603</w:t>
            </w:r>
          </w:p>
        </w:tc>
        <w:tc>
          <w:tcPr>
            <w:tcW w:w="1878" w:type="pct"/>
            <w:tcBorders>
              <w:top w:val="single" w:sz="2" w:space="0" w:color="auto"/>
              <w:left w:val="nil"/>
              <w:bottom w:val="single" w:sz="2" w:space="0" w:color="auto"/>
              <w:right w:val="nil"/>
            </w:tcBorders>
            <w:shd w:val="clear" w:color="auto" w:fill="auto"/>
            <w:vAlign w:val="bottom"/>
          </w:tcPr>
          <w:p w14:paraId="04AC2971" w14:textId="77777777" w:rsidR="00647C6B" w:rsidRPr="00A058B6" w:rsidRDefault="00647C6B" w:rsidP="009C0D79">
            <w:pPr>
              <w:pStyle w:val="Tabletext"/>
            </w:pPr>
            <w:r w:rsidRPr="00A058B6">
              <w:t>0</w:t>
            </w:r>
            <w:r w:rsidR="00D7157D">
              <w:t>.</w:t>
            </w:r>
            <w:r w:rsidRPr="00A058B6">
              <w:t>523</w:t>
            </w:r>
          </w:p>
        </w:tc>
      </w:tr>
      <w:tr w:rsidR="00647C6B" w:rsidRPr="00A058B6" w14:paraId="76229132" w14:textId="77777777" w:rsidTr="00357C05">
        <w:trPr>
          <w:trHeight w:val="245"/>
          <w:jc w:val="right"/>
        </w:trPr>
        <w:tc>
          <w:tcPr>
            <w:tcW w:w="1705" w:type="pct"/>
            <w:tcBorders>
              <w:top w:val="single" w:sz="4" w:space="0" w:color="auto"/>
              <w:bottom w:val="single" w:sz="4" w:space="0" w:color="auto"/>
            </w:tcBorders>
          </w:tcPr>
          <w:p w14:paraId="34BE961B"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0E916C91" w14:textId="77777777" w:rsidR="00647C6B" w:rsidRPr="00A058B6" w:rsidRDefault="00647C6B" w:rsidP="009C0D79">
            <w:pPr>
              <w:pStyle w:val="Tabletext"/>
            </w:pPr>
            <w:r w:rsidRPr="00A058B6">
              <w:t>1</w:t>
            </w:r>
            <w:r w:rsidR="00D7157D">
              <w:t>.</w:t>
            </w:r>
            <w:r w:rsidRPr="00A058B6">
              <w:t>533</w:t>
            </w:r>
          </w:p>
        </w:tc>
        <w:tc>
          <w:tcPr>
            <w:tcW w:w="1878" w:type="pct"/>
            <w:tcBorders>
              <w:top w:val="single" w:sz="2" w:space="0" w:color="auto"/>
              <w:left w:val="nil"/>
              <w:bottom w:val="single" w:sz="2" w:space="0" w:color="auto"/>
              <w:right w:val="nil"/>
            </w:tcBorders>
            <w:shd w:val="clear" w:color="auto" w:fill="auto"/>
            <w:vAlign w:val="bottom"/>
          </w:tcPr>
          <w:p w14:paraId="7BFEB995" w14:textId="77777777" w:rsidR="00647C6B" w:rsidRPr="00A058B6" w:rsidRDefault="00647C6B" w:rsidP="009C0D79">
            <w:pPr>
              <w:pStyle w:val="Tabletext"/>
            </w:pPr>
            <w:r w:rsidRPr="00A058B6">
              <w:t>0</w:t>
            </w:r>
            <w:r w:rsidR="00D7157D">
              <w:t>.</w:t>
            </w:r>
            <w:r w:rsidRPr="00A058B6">
              <w:t>469</w:t>
            </w:r>
          </w:p>
        </w:tc>
      </w:tr>
      <w:tr w:rsidR="00647C6B" w:rsidRPr="00A058B6" w14:paraId="6B265FE0" w14:textId="77777777" w:rsidTr="00357C05">
        <w:trPr>
          <w:trHeight w:val="245"/>
          <w:jc w:val="right"/>
        </w:trPr>
        <w:tc>
          <w:tcPr>
            <w:tcW w:w="1705" w:type="pct"/>
            <w:tcBorders>
              <w:top w:val="single" w:sz="4" w:space="0" w:color="auto"/>
              <w:bottom w:val="single" w:sz="4" w:space="0" w:color="auto"/>
            </w:tcBorders>
          </w:tcPr>
          <w:p w14:paraId="272925F9"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70A29034" w14:textId="77777777" w:rsidR="00647C6B" w:rsidRPr="00A058B6" w:rsidRDefault="00647C6B" w:rsidP="009C0D79">
            <w:pPr>
              <w:pStyle w:val="Tabletext"/>
            </w:pPr>
            <w:r w:rsidRPr="00A058B6">
              <w:t>1</w:t>
            </w:r>
            <w:r w:rsidR="00D7157D">
              <w:t>.</w:t>
            </w:r>
            <w:r w:rsidRPr="00A058B6">
              <w:t>464</w:t>
            </w:r>
          </w:p>
        </w:tc>
        <w:tc>
          <w:tcPr>
            <w:tcW w:w="1878" w:type="pct"/>
            <w:tcBorders>
              <w:top w:val="single" w:sz="2" w:space="0" w:color="auto"/>
              <w:left w:val="nil"/>
              <w:bottom w:val="single" w:sz="2" w:space="0" w:color="auto"/>
              <w:right w:val="nil"/>
            </w:tcBorders>
            <w:shd w:val="clear" w:color="auto" w:fill="auto"/>
            <w:vAlign w:val="bottom"/>
          </w:tcPr>
          <w:p w14:paraId="2783176C" w14:textId="77777777" w:rsidR="00647C6B" w:rsidRPr="00A058B6" w:rsidRDefault="00647C6B" w:rsidP="009C0D79">
            <w:pPr>
              <w:pStyle w:val="Tabletext"/>
            </w:pPr>
            <w:r w:rsidRPr="00A058B6">
              <w:t>0</w:t>
            </w:r>
            <w:r w:rsidR="00D7157D">
              <w:t>.</w:t>
            </w:r>
            <w:r w:rsidRPr="00A058B6">
              <w:t>415</w:t>
            </w:r>
          </w:p>
        </w:tc>
      </w:tr>
      <w:tr w:rsidR="00647C6B" w:rsidRPr="00A058B6" w14:paraId="4A2D5E54" w14:textId="77777777" w:rsidTr="00357C05">
        <w:trPr>
          <w:trHeight w:val="245"/>
          <w:jc w:val="right"/>
        </w:trPr>
        <w:tc>
          <w:tcPr>
            <w:tcW w:w="1705" w:type="pct"/>
            <w:tcBorders>
              <w:top w:val="single" w:sz="4" w:space="0" w:color="auto"/>
              <w:bottom w:val="single" w:sz="4" w:space="0" w:color="auto"/>
            </w:tcBorders>
          </w:tcPr>
          <w:p w14:paraId="3A3905D1"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38A0FD11" w14:textId="77777777" w:rsidR="00647C6B" w:rsidRPr="00A058B6" w:rsidRDefault="00647C6B" w:rsidP="009C0D79">
            <w:pPr>
              <w:pStyle w:val="Tabletext"/>
            </w:pPr>
            <w:r w:rsidRPr="00A058B6">
              <w:t>1</w:t>
            </w:r>
            <w:r w:rsidR="00D7157D">
              <w:t>.</w:t>
            </w:r>
            <w:r w:rsidRPr="00A058B6">
              <w:t>394</w:t>
            </w:r>
          </w:p>
        </w:tc>
        <w:tc>
          <w:tcPr>
            <w:tcW w:w="1878" w:type="pct"/>
            <w:tcBorders>
              <w:top w:val="single" w:sz="2" w:space="0" w:color="auto"/>
              <w:left w:val="nil"/>
              <w:bottom w:val="single" w:sz="2" w:space="0" w:color="auto"/>
              <w:right w:val="nil"/>
            </w:tcBorders>
            <w:shd w:val="clear" w:color="auto" w:fill="auto"/>
            <w:vAlign w:val="bottom"/>
          </w:tcPr>
          <w:p w14:paraId="13193C5C" w14:textId="77777777" w:rsidR="00647C6B" w:rsidRPr="00A058B6" w:rsidRDefault="00647C6B" w:rsidP="009C0D79">
            <w:pPr>
              <w:pStyle w:val="Tabletext"/>
            </w:pPr>
            <w:r w:rsidRPr="00A058B6">
              <w:t>0</w:t>
            </w:r>
            <w:r w:rsidR="00D7157D">
              <w:t>.</w:t>
            </w:r>
            <w:r w:rsidRPr="00A058B6">
              <w:t>360</w:t>
            </w:r>
          </w:p>
        </w:tc>
      </w:tr>
      <w:tr w:rsidR="00647C6B" w:rsidRPr="00A058B6" w14:paraId="6F11F800" w14:textId="77777777" w:rsidTr="00357C05">
        <w:trPr>
          <w:trHeight w:val="245"/>
          <w:jc w:val="right"/>
        </w:trPr>
        <w:tc>
          <w:tcPr>
            <w:tcW w:w="1705" w:type="pct"/>
            <w:tcBorders>
              <w:top w:val="single" w:sz="4" w:space="0" w:color="auto"/>
              <w:bottom w:val="single" w:sz="4" w:space="0" w:color="auto"/>
            </w:tcBorders>
          </w:tcPr>
          <w:p w14:paraId="49888C3D"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1678E431" w14:textId="77777777" w:rsidR="00647C6B" w:rsidRPr="00A058B6" w:rsidRDefault="00647C6B" w:rsidP="009C0D79">
            <w:pPr>
              <w:pStyle w:val="Tabletext"/>
            </w:pPr>
            <w:r w:rsidRPr="00A058B6">
              <w:t>1</w:t>
            </w:r>
            <w:r w:rsidR="00D7157D">
              <w:t>.</w:t>
            </w:r>
            <w:r w:rsidRPr="00A058B6">
              <w:t>185</w:t>
            </w:r>
          </w:p>
        </w:tc>
        <w:tc>
          <w:tcPr>
            <w:tcW w:w="1878" w:type="pct"/>
            <w:tcBorders>
              <w:top w:val="single" w:sz="2" w:space="0" w:color="auto"/>
              <w:left w:val="nil"/>
              <w:bottom w:val="single" w:sz="2" w:space="0" w:color="auto"/>
              <w:right w:val="nil"/>
            </w:tcBorders>
            <w:shd w:val="clear" w:color="auto" w:fill="auto"/>
            <w:vAlign w:val="bottom"/>
          </w:tcPr>
          <w:p w14:paraId="36D6F216" w14:textId="77777777" w:rsidR="00647C6B" w:rsidRPr="00A058B6" w:rsidRDefault="00647C6B" w:rsidP="009C0D79">
            <w:pPr>
              <w:pStyle w:val="Tabletext"/>
            </w:pPr>
            <w:r w:rsidRPr="00A058B6">
              <w:t>0</w:t>
            </w:r>
            <w:r w:rsidR="00D7157D">
              <w:t>.</w:t>
            </w:r>
            <w:r w:rsidRPr="00A058B6">
              <w:t>306</w:t>
            </w:r>
          </w:p>
        </w:tc>
      </w:tr>
      <w:tr w:rsidR="00647C6B" w:rsidRPr="00A058B6" w14:paraId="33C66741" w14:textId="77777777" w:rsidTr="00357C05">
        <w:trPr>
          <w:trHeight w:val="245"/>
          <w:jc w:val="right"/>
        </w:trPr>
        <w:tc>
          <w:tcPr>
            <w:tcW w:w="1705" w:type="pct"/>
            <w:tcBorders>
              <w:top w:val="single" w:sz="4" w:space="0" w:color="auto"/>
              <w:bottom w:val="single" w:sz="4" w:space="0" w:color="auto"/>
            </w:tcBorders>
          </w:tcPr>
          <w:p w14:paraId="1F64192E"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5E26B2E1" w14:textId="77777777" w:rsidR="00647C6B" w:rsidRPr="00A058B6" w:rsidRDefault="00647C6B" w:rsidP="009C0D79">
            <w:pPr>
              <w:pStyle w:val="Tabletext"/>
            </w:pPr>
            <w:r w:rsidRPr="00A058B6">
              <w:t>0</w:t>
            </w:r>
            <w:r w:rsidR="00D7157D">
              <w:t>.</w:t>
            </w:r>
            <w:r w:rsidRPr="00A058B6">
              <w:t>976</w:t>
            </w:r>
          </w:p>
        </w:tc>
        <w:tc>
          <w:tcPr>
            <w:tcW w:w="1878" w:type="pct"/>
            <w:tcBorders>
              <w:top w:val="single" w:sz="2" w:space="0" w:color="auto"/>
              <w:left w:val="nil"/>
              <w:bottom w:val="single" w:sz="2" w:space="0" w:color="auto"/>
              <w:right w:val="nil"/>
            </w:tcBorders>
            <w:shd w:val="clear" w:color="auto" w:fill="auto"/>
            <w:vAlign w:val="bottom"/>
          </w:tcPr>
          <w:p w14:paraId="0DA95249" w14:textId="77777777" w:rsidR="00647C6B" w:rsidRPr="00A058B6" w:rsidRDefault="00647C6B" w:rsidP="009C0D79">
            <w:pPr>
              <w:pStyle w:val="Tabletext"/>
            </w:pPr>
            <w:r w:rsidRPr="00A058B6">
              <w:t>0</w:t>
            </w:r>
            <w:r w:rsidR="00D7157D">
              <w:t>.</w:t>
            </w:r>
            <w:r w:rsidRPr="00A058B6">
              <w:t>252</w:t>
            </w:r>
          </w:p>
        </w:tc>
      </w:tr>
      <w:tr w:rsidR="00647C6B" w:rsidRPr="00A058B6" w14:paraId="0E69FDAD" w14:textId="77777777" w:rsidTr="00357C05">
        <w:trPr>
          <w:trHeight w:val="245"/>
          <w:jc w:val="right"/>
        </w:trPr>
        <w:tc>
          <w:tcPr>
            <w:tcW w:w="1705" w:type="pct"/>
            <w:tcBorders>
              <w:top w:val="single" w:sz="4" w:space="0" w:color="auto"/>
              <w:bottom w:val="single" w:sz="4" w:space="0" w:color="auto"/>
            </w:tcBorders>
          </w:tcPr>
          <w:p w14:paraId="5D73ECF2"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4355F2EE" w14:textId="77777777" w:rsidR="00647C6B" w:rsidRPr="00A058B6" w:rsidRDefault="00647C6B" w:rsidP="009C0D79">
            <w:pPr>
              <w:pStyle w:val="Tabletext"/>
            </w:pPr>
            <w:r w:rsidRPr="00A058B6">
              <w:t>0</w:t>
            </w:r>
            <w:r w:rsidR="00D7157D">
              <w:t>.</w:t>
            </w:r>
            <w:r w:rsidRPr="00A058B6">
              <w:t>767</w:t>
            </w:r>
          </w:p>
        </w:tc>
        <w:tc>
          <w:tcPr>
            <w:tcW w:w="1878" w:type="pct"/>
            <w:tcBorders>
              <w:top w:val="single" w:sz="2" w:space="0" w:color="auto"/>
              <w:left w:val="nil"/>
              <w:bottom w:val="single" w:sz="2" w:space="0" w:color="auto"/>
              <w:right w:val="nil"/>
            </w:tcBorders>
            <w:shd w:val="clear" w:color="auto" w:fill="auto"/>
            <w:vAlign w:val="bottom"/>
          </w:tcPr>
          <w:p w14:paraId="53556755" w14:textId="77777777" w:rsidR="00647C6B" w:rsidRPr="00A058B6" w:rsidRDefault="00647C6B" w:rsidP="009C0D79">
            <w:pPr>
              <w:pStyle w:val="Tabletext"/>
            </w:pPr>
            <w:r w:rsidRPr="00A058B6">
              <w:t>0</w:t>
            </w:r>
            <w:r w:rsidR="00D7157D">
              <w:t>.</w:t>
            </w:r>
            <w:r w:rsidRPr="00A058B6">
              <w:t>198</w:t>
            </w:r>
          </w:p>
        </w:tc>
      </w:tr>
      <w:tr w:rsidR="00647C6B" w:rsidRPr="00A058B6" w14:paraId="78A34FFD" w14:textId="77777777" w:rsidTr="00357C05">
        <w:trPr>
          <w:trHeight w:val="245"/>
          <w:jc w:val="right"/>
        </w:trPr>
        <w:tc>
          <w:tcPr>
            <w:tcW w:w="1705" w:type="pct"/>
            <w:tcBorders>
              <w:top w:val="single" w:sz="4" w:space="0" w:color="auto"/>
              <w:bottom w:val="single" w:sz="4" w:space="0" w:color="auto"/>
            </w:tcBorders>
          </w:tcPr>
          <w:p w14:paraId="13358881"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07C26840" w14:textId="77777777" w:rsidR="00647C6B" w:rsidRPr="00A058B6" w:rsidRDefault="00647C6B" w:rsidP="009C0D79">
            <w:pPr>
              <w:pStyle w:val="Tabletext"/>
            </w:pPr>
            <w:r w:rsidRPr="00A058B6">
              <w:t>0</w:t>
            </w:r>
            <w:r w:rsidR="00D7157D">
              <w:t>.</w:t>
            </w:r>
            <w:r w:rsidRPr="00A058B6">
              <w:t>558</w:t>
            </w:r>
          </w:p>
        </w:tc>
        <w:tc>
          <w:tcPr>
            <w:tcW w:w="1878" w:type="pct"/>
            <w:tcBorders>
              <w:top w:val="single" w:sz="2" w:space="0" w:color="auto"/>
              <w:left w:val="nil"/>
              <w:bottom w:val="single" w:sz="2" w:space="0" w:color="auto"/>
              <w:right w:val="nil"/>
            </w:tcBorders>
            <w:shd w:val="clear" w:color="auto" w:fill="auto"/>
            <w:vAlign w:val="bottom"/>
          </w:tcPr>
          <w:p w14:paraId="4826193F" w14:textId="77777777" w:rsidR="00647C6B" w:rsidRPr="00A058B6" w:rsidRDefault="00647C6B" w:rsidP="009C0D79">
            <w:pPr>
              <w:pStyle w:val="Tabletext"/>
            </w:pPr>
            <w:r w:rsidRPr="00A058B6">
              <w:t>0</w:t>
            </w:r>
            <w:r w:rsidR="00D7157D">
              <w:t>.</w:t>
            </w:r>
            <w:r w:rsidRPr="00A058B6">
              <w:t>144</w:t>
            </w:r>
          </w:p>
        </w:tc>
      </w:tr>
      <w:tr w:rsidR="00647C6B" w:rsidRPr="00A058B6" w14:paraId="2D88A010" w14:textId="77777777" w:rsidTr="00357C05">
        <w:trPr>
          <w:trHeight w:val="245"/>
          <w:jc w:val="right"/>
        </w:trPr>
        <w:tc>
          <w:tcPr>
            <w:tcW w:w="1705" w:type="pct"/>
            <w:tcBorders>
              <w:top w:val="single" w:sz="4" w:space="0" w:color="auto"/>
              <w:bottom w:val="single" w:sz="12" w:space="0" w:color="auto"/>
            </w:tcBorders>
          </w:tcPr>
          <w:p w14:paraId="2C408F67"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43CA2AE0" w14:textId="77777777" w:rsidR="00647C6B" w:rsidRPr="00A058B6" w:rsidRDefault="00647C6B" w:rsidP="009C0D79">
            <w:pPr>
              <w:pStyle w:val="Tabletext"/>
            </w:pPr>
            <w:r w:rsidRPr="00A058B6">
              <w:t>0</w:t>
            </w:r>
            <w:r w:rsidR="00D7157D">
              <w:t>.</w:t>
            </w:r>
            <w:r w:rsidRPr="00A058B6">
              <w:t>348</w:t>
            </w:r>
          </w:p>
        </w:tc>
        <w:tc>
          <w:tcPr>
            <w:tcW w:w="1878" w:type="pct"/>
            <w:tcBorders>
              <w:top w:val="single" w:sz="2" w:space="0" w:color="auto"/>
              <w:left w:val="nil"/>
              <w:bottom w:val="single" w:sz="12" w:space="0" w:color="auto"/>
              <w:right w:val="nil"/>
            </w:tcBorders>
            <w:shd w:val="clear" w:color="auto" w:fill="auto"/>
            <w:vAlign w:val="bottom"/>
          </w:tcPr>
          <w:p w14:paraId="3DDB9FA7" w14:textId="77777777" w:rsidR="00647C6B" w:rsidRPr="00A058B6" w:rsidRDefault="00647C6B" w:rsidP="009C0D79">
            <w:pPr>
              <w:pStyle w:val="Tabletext"/>
            </w:pPr>
            <w:r w:rsidRPr="00A058B6">
              <w:t>0</w:t>
            </w:r>
            <w:r w:rsidR="00D7157D">
              <w:t>.</w:t>
            </w:r>
            <w:r w:rsidRPr="00A058B6">
              <w:t>090</w:t>
            </w:r>
          </w:p>
        </w:tc>
      </w:tr>
    </w:tbl>
    <w:p w14:paraId="6D7149D8" w14:textId="7CB5F870" w:rsidR="00647C6B" w:rsidRPr="00A058B6" w:rsidRDefault="00D7157D" w:rsidP="00647C6B">
      <w:pPr>
        <w:pStyle w:val="ActHead5"/>
      </w:pPr>
      <w:bookmarkStart w:id="255" w:name="_Toc188350733"/>
      <w:r w:rsidRPr="00423C34">
        <w:rPr>
          <w:rStyle w:val="CharSectno"/>
        </w:rPr>
        <w:t>17</w:t>
      </w:r>
      <w:r w:rsidR="00647C6B" w:rsidRPr="00A058B6">
        <w:t xml:space="preserve">  Valuation factors—5</w:t>
      </w:r>
      <w:r w:rsidR="001952B3">
        <w:noBreakHyphen/>
      </w:r>
      <w:r w:rsidR="00647C6B" w:rsidRPr="00A058B6">
        <w:t>year guarantee period—CPI indexed pension with 5% cap</w:t>
      </w:r>
      <w:bookmarkEnd w:id="255"/>
    </w:p>
    <w:p w14:paraId="2E2AE0FA"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3E0593E3" w14:textId="1F0C1E35"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770746B9" w14:textId="77777777" w:rsidR="00647C6B" w:rsidRPr="00A058B6" w:rsidRDefault="00647C6B" w:rsidP="00647C6B">
      <w:pPr>
        <w:pStyle w:val="paragraph"/>
      </w:pPr>
      <w:r w:rsidRPr="00A058B6">
        <w:tab/>
        <w:t>(b)</w:t>
      </w:r>
      <w:r w:rsidRPr="00A058B6">
        <w:tab/>
        <w:t>is indexed in accordance with the consumer price index with a cap of 5%</w:t>
      </w:r>
      <w:r w:rsidR="00D7157D">
        <w:t>.</w:t>
      </w:r>
    </w:p>
    <w:p w14:paraId="6D31308C"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471F8B26" w14:textId="77777777" w:rsidTr="00963115">
        <w:trPr>
          <w:cantSplit/>
          <w:trHeight w:val="375"/>
          <w:tblHeader/>
          <w:jc w:val="right"/>
        </w:trPr>
        <w:tc>
          <w:tcPr>
            <w:tcW w:w="1705" w:type="pct"/>
            <w:vMerge w:val="restart"/>
            <w:tcBorders>
              <w:top w:val="single" w:sz="12" w:space="0" w:color="auto"/>
              <w:left w:val="nil"/>
              <w:bottom w:val="single" w:sz="12" w:space="0" w:color="auto"/>
              <w:right w:val="nil"/>
            </w:tcBorders>
          </w:tcPr>
          <w:p w14:paraId="1320691E"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left w:val="nil"/>
              <w:bottom w:val="single" w:sz="4" w:space="0" w:color="auto"/>
              <w:right w:val="nil"/>
            </w:tcBorders>
          </w:tcPr>
          <w:p w14:paraId="5D6D59EC" w14:textId="376D70D0"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w:t>
            </w:r>
            <w:r w:rsidRPr="00A058B6">
              <w:rPr>
                <w:snapToGrid w:val="0"/>
              </w:rPr>
              <w:br/>
              <w:t>CPI indexed pension with 5% cap</w:t>
            </w:r>
          </w:p>
        </w:tc>
      </w:tr>
      <w:tr w:rsidR="00647C6B" w:rsidRPr="00A058B6" w14:paraId="08953BB4" w14:textId="77777777" w:rsidTr="00963115">
        <w:trPr>
          <w:cantSplit/>
          <w:trHeight w:val="40"/>
          <w:tblHeader/>
          <w:jc w:val="right"/>
        </w:trPr>
        <w:tc>
          <w:tcPr>
            <w:tcW w:w="1705" w:type="pct"/>
            <w:vMerge/>
            <w:tcBorders>
              <w:top w:val="nil"/>
              <w:left w:val="nil"/>
              <w:bottom w:val="single" w:sz="12" w:space="0" w:color="auto"/>
              <w:right w:val="nil"/>
            </w:tcBorders>
          </w:tcPr>
          <w:p w14:paraId="202A1789" w14:textId="77777777" w:rsidR="00647C6B" w:rsidRPr="00A058B6" w:rsidRDefault="00647C6B" w:rsidP="00963115">
            <w:pPr>
              <w:pStyle w:val="TableHeading"/>
              <w:rPr>
                <w:snapToGrid w:val="0"/>
              </w:rPr>
            </w:pPr>
          </w:p>
        </w:tc>
        <w:tc>
          <w:tcPr>
            <w:tcW w:w="1429" w:type="pct"/>
            <w:tcBorders>
              <w:top w:val="single" w:sz="4" w:space="0" w:color="auto"/>
              <w:left w:val="nil"/>
              <w:bottom w:val="single" w:sz="12" w:space="0" w:color="auto"/>
              <w:right w:val="nil"/>
            </w:tcBorders>
          </w:tcPr>
          <w:p w14:paraId="09D5975F"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left w:val="nil"/>
              <w:bottom w:val="single" w:sz="12" w:space="0" w:color="auto"/>
              <w:right w:val="nil"/>
            </w:tcBorders>
          </w:tcPr>
          <w:p w14:paraId="621CDE9E" w14:textId="77777777" w:rsidR="00647C6B" w:rsidRPr="00A058B6" w:rsidRDefault="00647C6B" w:rsidP="00963115">
            <w:pPr>
              <w:pStyle w:val="TableHeading"/>
              <w:rPr>
                <w:snapToGrid w:val="0"/>
              </w:rPr>
            </w:pPr>
            <w:r w:rsidRPr="00A058B6">
              <w:rPr>
                <w:snapToGrid w:val="0"/>
              </w:rPr>
              <w:t>Female</w:t>
            </w:r>
          </w:p>
        </w:tc>
      </w:tr>
      <w:tr w:rsidR="00647C6B" w:rsidRPr="00A058B6" w14:paraId="24B426B7" w14:textId="77777777" w:rsidTr="0072333B">
        <w:trPr>
          <w:trHeight w:val="245"/>
          <w:jc w:val="right"/>
        </w:trPr>
        <w:tc>
          <w:tcPr>
            <w:tcW w:w="1705" w:type="pct"/>
            <w:tcBorders>
              <w:top w:val="single" w:sz="12" w:space="0" w:color="auto"/>
              <w:left w:val="nil"/>
              <w:bottom w:val="single" w:sz="4" w:space="0" w:color="auto"/>
              <w:right w:val="nil"/>
            </w:tcBorders>
          </w:tcPr>
          <w:p w14:paraId="602015DF" w14:textId="77777777" w:rsidR="00647C6B" w:rsidRPr="00A058B6" w:rsidRDefault="00647C6B" w:rsidP="009C0D79">
            <w:pPr>
              <w:pStyle w:val="Tabletext"/>
              <w:rPr>
                <w:snapToGrid w:val="0"/>
              </w:rPr>
            </w:pPr>
            <w:r w:rsidRPr="00A058B6">
              <w:rPr>
                <w:snapToGrid w:val="0"/>
              </w:rPr>
              <w:t>55</w:t>
            </w:r>
          </w:p>
        </w:tc>
        <w:tc>
          <w:tcPr>
            <w:tcW w:w="1429" w:type="pct"/>
            <w:tcBorders>
              <w:top w:val="single" w:sz="12" w:space="0" w:color="auto"/>
              <w:left w:val="nil"/>
              <w:bottom w:val="single" w:sz="2" w:space="0" w:color="auto"/>
              <w:right w:val="nil"/>
            </w:tcBorders>
            <w:shd w:val="clear" w:color="auto" w:fill="auto"/>
            <w:vAlign w:val="bottom"/>
          </w:tcPr>
          <w:p w14:paraId="49F3EFAB" w14:textId="77777777" w:rsidR="00647C6B" w:rsidRPr="00A058B6" w:rsidRDefault="00647C6B" w:rsidP="009C0D79">
            <w:pPr>
              <w:pStyle w:val="Tabletext"/>
            </w:pPr>
            <w:r w:rsidRPr="00A058B6">
              <w:t>19</w:t>
            </w:r>
            <w:r w:rsidR="00D7157D">
              <w:t>.</w:t>
            </w:r>
            <w:r w:rsidRPr="00A058B6">
              <w:t>4020</w:t>
            </w:r>
          </w:p>
        </w:tc>
        <w:tc>
          <w:tcPr>
            <w:tcW w:w="1866" w:type="pct"/>
            <w:tcBorders>
              <w:top w:val="single" w:sz="12" w:space="0" w:color="auto"/>
              <w:left w:val="nil"/>
              <w:bottom w:val="single" w:sz="2" w:space="0" w:color="auto"/>
              <w:right w:val="nil"/>
            </w:tcBorders>
            <w:shd w:val="clear" w:color="auto" w:fill="auto"/>
            <w:vAlign w:val="center"/>
          </w:tcPr>
          <w:p w14:paraId="2E3E3CED" w14:textId="77777777" w:rsidR="00647C6B" w:rsidRPr="00A058B6" w:rsidRDefault="00647C6B" w:rsidP="009C0D79">
            <w:pPr>
              <w:pStyle w:val="Tabletext"/>
            </w:pPr>
            <w:r w:rsidRPr="00A058B6">
              <w:t>20</w:t>
            </w:r>
            <w:r w:rsidR="00D7157D">
              <w:t>.</w:t>
            </w:r>
            <w:r w:rsidRPr="00A058B6">
              <w:t>1750</w:t>
            </w:r>
          </w:p>
        </w:tc>
      </w:tr>
      <w:tr w:rsidR="00647C6B" w:rsidRPr="00A058B6" w14:paraId="2D45EEC5" w14:textId="77777777" w:rsidTr="0072333B">
        <w:trPr>
          <w:trHeight w:val="245"/>
          <w:jc w:val="right"/>
        </w:trPr>
        <w:tc>
          <w:tcPr>
            <w:tcW w:w="1705" w:type="pct"/>
            <w:tcBorders>
              <w:top w:val="single" w:sz="4" w:space="0" w:color="auto"/>
              <w:left w:val="nil"/>
              <w:bottom w:val="single" w:sz="4" w:space="0" w:color="auto"/>
              <w:right w:val="nil"/>
            </w:tcBorders>
          </w:tcPr>
          <w:p w14:paraId="2E3E136C" w14:textId="77777777" w:rsidR="00647C6B" w:rsidRPr="00A058B6" w:rsidRDefault="00647C6B" w:rsidP="009C0D79">
            <w:pPr>
              <w:pStyle w:val="Tabletext"/>
            </w:pPr>
            <w:r w:rsidRPr="00A058B6">
              <w:t>56</w:t>
            </w:r>
          </w:p>
        </w:tc>
        <w:tc>
          <w:tcPr>
            <w:tcW w:w="1429" w:type="pct"/>
            <w:tcBorders>
              <w:top w:val="single" w:sz="2" w:space="0" w:color="auto"/>
              <w:left w:val="nil"/>
              <w:bottom w:val="single" w:sz="2" w:space="0" w:color="auto"/>
              <w:right w:val="nil"/>
            </w:tcBorders>
            <w:shd w:val="clear" w:color="auto" w:fill="auto"/>
            <w:vAlign w:val="bottom"/>
          </w:tcPr>
          <w:p w14:paraId="1E7BE104" w14:textId="77777777" w:rsidR="00647C6B" w:rsidRPr="00A058B6" w:rsidRDefault="00647C6B" w:rsidP="009C0D79">
            <w:pPr>
              <w:pStyle w:val="Tabletext"/>
            </w:pPr>
            <w:r w:rsidRPr="00A058B6">
              <w:t>19</w:t>
            </w:r>
            <w:r w:rsidR="00D7157D">
              <w:t>.</w:t>
            </w:r>
            <w:r w:rsidRPr="00A058B6">
              <w:t>0822</w:t>
            </w:r>
          </w:p>
        </w:tc>
        <w:tc>
          <w:tcPr>
            <w:tcW w:w="1866" w:type="pct"/>
            <w:tcBorders>
              <w:top w:val="single" w:sz="2" w:space="0" w:color="auto"/>
              <w:left w:val="nil"/>
              <w:bottom w:val="single" w:sz="2" w:space="0" w:color="auto"/>
              <w:right w:val="nil"/>
            </w:tcBorders>
            <w:shd w:val="clear" w:color="auto" w:fill="auto"/>
            <w:vAlign w:val="center"/>
          </w:tcPr>
          <w:p w14:paraId="11741492" w14:textId="77777777" w:rsidR="00647C6B" w:rsidRPr="00A058B6" w:rsidRDefault="00647C6B" w:rsidP="009C0D79">
            <w:pPr>
              <w:pStyle w:val="Tabletext"/>
            </w:pPr>
            <w:r w:rsidRPr="00A058B6">
              <w:t>19</w:t>
            </w:r>
            <w:r w:rsidR="00D7157D">
              <w:t>.</w:t>
            </w:r>
            <w:r w:rsidRPr="00A058B6">
              <w:t>8711</w:t>
            </w:r>
          </w:p>
        </w:tc>
      </w:tr>
      <w:tr w:rsidR="00647C6B" w:rsidRPr="00A058B6" w14:paraId="1396CACD" w14:textId="77777777" w:rsidTr="0072333B">
        <w:trPr>
          <w:trHeight w:val="245"/>
          <w:jc w:val="right"/>
        </w:trPr>
        <w:tc>
          <w:tcPr>
            <w:tcW w:w="1705" w:type="pct"/>
            <w:tcBorders>
              <w:top w:val="single" w:sz="4" w:space="0" w:color="auto"/>
              <w:left w:val="nil"/>
              <w:bottom w:val="single" w:sz="4" w:space="0" w:color="auto"/>
              <w:right w:val="nil"/>
            </w:tcBorders>
          </w:tcPr>
          <w:p w14:paraId="6EE5CB36" w14:textId="77777777" w:rsidR="00647C6B" w:rsidRPr="00A058B6" w:rsidRDefault="00647C6B" w:rsidP="009C0D79">
            <w:pPr>
              <w:pStyle w:val="Tabletext"/>
            </w:pPr>
            <w:r w:rsidRPr="00A058B6">
              <w:t>57</w:t>
            </w:r>
          </w:p>
        </w:tc>
        <w:tc>
          <w:tcPr>
            <w:tcW w:w="1429" w:type="pct"/>
            <w:tcBorders>
              <w:top w:val="single" w:sz="2" w:space="0" w:color="auto"/>
              <w:left w:val="nil"/>
              <w:bottom w:val="single" w:sz="2" w:space="0" w:color="auto"/>
              <w:right w:val="nil"/>
            </w:tcBorders>
            <w:shd w:val="clear" w:color="auto" w:fill="auto"/>
            <w:vAlign w:val="bottom"/>
          </w:tcPr>
          <w:p w14:paraId="00B1DA0C" w14:textId="77777777" w:rsidR="00647C6B" w:rsidRPr="00A058B6" w:rsidRDefault="00647C6B" w:rsidP="009C0D79">
            <w:pPr>
              <w:pStyle w:val="Tabletext"/>
            </w:pPr>
            <w:r w:rsidRPr="00A058B6">
              <w:t>18</w:t>
            </w:r>
            <w:r w:rsidR="00D7157D">
              <w:t>.</w:t>
            </w:r>
            <w:r w:rsidRPr="00A058B6">
              <w:t>7517</w:t>
            </w:r>
          </w:p>
        </w:tc>
        <w:tc>
          <w:tcPr>
            <w:tcW w:w="1866" w:type="pct"/>
            <w:tcBorders>
              <w:top w:val="single" w:sz="2" w:space="0" w:color="auto"/>
              <w:left w:val="nil"/>
              <w:bottom w:val="single" w:sz="2" w:space="0" w:color="auto"/>
              <w:right w:val="nil"/>
            </w:tcBorders>
            <w:shd w:val="clear" w:color="auto" w:fill="auto"/>
            <w:vAlign w:val="center"/>
          </w:tcPr>
          <w:p w14:paraId="4206A28D" w14:textId="77777777" w:rsidR="00647C6B" w:rsidRPr="00A058B6" w:rsidRDefault="00647C6B" w:rsidP="009C0D79">
            <w:pPr>
              <w:pStyle w:val="Tabletext"/>
            </w:pPr>
            <w:r w:rsidRPr="00A058B6">
              <w:t>19</w:t>
            </w:r>
            <w:r w:rsidR="00D7157D">
              <w:t>.</w:t>
            </w:r>
            <w:r w:rsidRPr="00A058B6">
              <w:t>5578</w:t>
            </w:r>
          </w:p>
        </w:tc>
      </w:tr>
      <w:tr w:rsidR="00647C6B" w:rsidRPr="00A058B6" w14:paraId="64BA5E3B" w14:textId="77777777" w:rsidTr="0072333B">
        <w:trPr>
          <w:trHeight w:val="245"/>
          <w:jc w:val="right"/>
        </w:trPr>
        <w:tc>
          <w:tcPr>
            <w:tcW w:w="1705" w:type="pct"/>
            <w:tcBorders>
              <w:top w:val="single" w:sz="4" w:space="0" w:color="auto"/>
              <w:left w:val="nil"/>
              <w:bottom w:val="single" w:sz="4" w:space="0" w:color="auto"/>
              <w:right w:val="nil"/>
            </w:tcBorders>
          </w:tcPr>
          <w:p w14:paraId="1AEED5AB" w14:textId="77777777" w:rsidR="00647C6B" w:rsidRPr="00A058B6" w:rsidRDefault="00647C6B" w:rsidP="009C0D79">
            <w:pPr>
              <w:pStyle w:val="Tabletext"/>
            </w:pPr>
            <w:r w:rsidRPr="00A058B6">
              <w:t>58</w:t>
            </w:r>
          </w:p>
        </w:tc>
        <w:tc>
          <w:tcPr>
            <w:tcW w:w="1429" w:type="pct"/>
            <w:tcBorders>
              <w:top w:val="single" w:sz="2" w:space="0" w:color="auto"/>
              <w:left w:val="nil"/>
              <w:bottom w:val="single" w:sz="2" w:space="0" w:color="auto"/>
              <w:right w:val="nil"/>
            </w:tcBorders>
            <w:shd w:val="clear" w:color="auto" w:fill="auto"/>
            <w:vAlign w:val="bottom"/>
          </w:tcPr>
          <w:p w14:paraId="5787C7A1" w14:textId="77777777" w:rsidR="00647C6B" w:rsidRPr="00A058B6" w:rsidRDefault="00647C6B" w:rsidP="009C0D79">
            <w:pPr>
              <w:pStyle w:val="Tabletext"/>
            </w:pPr>
            <w:r w:rsidRPr="00A058B6">
              <w:t>18</w:t>
            </w:r>
            <w:r w:rsidR="00D7157D">
              <w:t>.</w:t>
            </w:r>
            <w:r w:rsidRPr="00A058B6">
              <w:t>4098</w:t>
            </w:r>
          </w:p>
        </w:tc>
        <w:tc>
          <w:tcPr>
            <w:tcW w:w="1866" w:type="pct"/>
            <w:tcBorders>
              <w:top w:val="single" w:sz="2" w:space="0" w:color="auto"/>
              <w:left w:val="nil"/>
              <w:bottom w:val="single" w:sz="2" w:space="0" w:color="auto"/>
              <w:right w:val="nil"/>
            </w:tcBorders>
            <w:shd w:val="clear" w:color="auto" w:fill="auto"/>
            <w:vAlign w:val="center"/>
          </w:tcPr>
          <w:p w14:paraId="0F024269" w14:textId="77777777" w:rsidR="00647C6B" w:rsidRPr="00A058B6" w:rsidRDefault="00647C6B" w:rsidP="009C0D79">
            <w:pPr>
              <w:pStyle w:val="Tabletext"/>
            </w:pPr>
            <w:r w:rsidRPr="00A058B6">
              <w:t>19</w:t>
            </w:r>
            <w:r w:rsidR="00D7157D">
              <w:t>.</w:t>
            </w:r>
            <w:r w:rsidRPr="00A058B6">
              <w:t>2342</w:t>
            </w:r>
          </w:p>
        </w:tc>
      </w:tr>
      <w:tr w:rsidR="00647C6B" w:rsidRPr="00A058B6" w14:paraId="58E3A26B" w14:textId="77777777" w:rsidTr="0072333B">
        <w:trPr>
          <w:trHeight w:val="245"/>
          <w:jc w:val="right"/>
        </w:trPr>
        <w:tc>
          <w:tcPr>
            <w:tcW w:w="1705" w:type="pct"/>
            <w:tcBorders>
              <w:top w:val="single" w:sz="4" w:space="0" w:color="auto"/>
              <w:left w:val="nil"/>
              <w:bottom w:val="single" w:sz="4" w:space="0" w:color="auto"/>
              <w:right w:val="nil"/>
            </w:tcBorders>
          </w:tcPr>
          <w:p w14:paraId="5CBDDE17" w14:textId="77777777" w:rsidR="00647C6B" w:rsidRPr="00A058B6" w:rsidRDefault="00647C6B" w:rsidP="009C0D79">
            <w:pPr>
              <w:pStyle w:val="Tabletext"/>
            </w:pPr>
            <w:r w:rsidRPr="00A058B6">
              <w:t>59</w:t>
            </w:r>
          </w:p>
        </w:tc>
        <w:tc>
          <w:tcPr>
            <w:tcW w:w="1429" w:type="pct"/>
            <w:tcBorders>
              <w:top w:val="single" w:sz="2" w:space="0" w:color="auto"/>
              <w:left w:val="nil"/>
              <w:bottom w:val="single" w:sz="2" w:space="0" w:color="auto"/>
              <w:right w:val="nil"/>
            </w:tcBorders>
            <w:shd w:val="clear" w:color="auto" w:fill="auto"/>
            <w:vAlign w:val="bottom"/>
          </w:tcPr>
          <w:p w14:paraId="7AFDFE54" w14:textId="77777777" w:rsidR="00647C6B" w:rsidRPr="00A058B6" w:rsidRDefault="00647C6B" w:rsidP="009C0D79">
            <w:pPr>
              <w:pStyle w:val="Tabletext"/>
            </w:pPr>
            <w:r w:rsidRPr="00A058B6">
              <w:t>18</w:t>
            </w:r>
            <w:r w:rsidR="00D7157D">
              <w:t>.</w:t>
            </w:r>
            <w:r w:rsidRPr="00A058B6">
              <w:t>0561</w:t>
            </w:r>
          </w:p>
        </w:tc>
        <w:tc>
          <w:tcPr>
            <w:tcW w:w="1866" w:type="pct"/>
            <w:tcBorders>
              <w:top w:val="single" w:sz="2" w:space="0" w:color="auto"/>
              <w:left w:val="nil"/>
              <w:bottom w:val="single" w:sz="2" w:space="0" w:color="auto"/>
              <w:right w:val="nil"/>
            </w:tcBorders>
            <w:shd w:val="clear" w:color="auto" w:fill="auto"/>
            <w:vAlign w:val="center"/>
          </w:tcPr>
          <w:p w14:paraId="7D12E4E2" w14:textId="77777777" w:rsidR="00647C6B" w:rsidRPr="00A058B6" w:rsidRDefault="00647C6B" w:rsidP="009C0D79">
            <w:pPr>
              <w:pStyle w:val="Tabletext"/>
            </w:pPr>
            <w:r w:rsidRPr="00A058B6">
              <w:t>18</w:t>
            </w:r>
            <w:r w:rsidR="00D7157D">
              <w:t>.</w:t>
            </w:r>
            <w:r w:rsidRPr="00A058B6">
              <w:t>8998</w:t>
            </w:r>
          </w:p>
        </w:tc>
      </w:tr>
      <w:tr w:rsidR="00647C6B" w:rsidRPr="00A058B6" w14:paraId="15D0386E" w14:textId="77777777" w:rsidTr="0072333B">
        <w:trPr>
          <w:trHeight w:val="245"/>
          <w:jc w:val="right"/>
        </w:trPr>
        <w:tc>
          <w:tcPr>
            <w:tcW w:w="1705" w:type="pct"/>
            <w:tcBorders>
              <w:top w:val="single" w:sz="4" w:space="0" w:color="auto"/>
              <w:left w:val="nil"/>
              <w:bottom w:val="single" w:sz="4" w:space="0" w:color="auto"/>
              <w:right w:val="nil"/>
            </w:tcBorders>
          </w:tcPr>
          <w:p w14:paraId="2FDAC780" w14:textId="77777777" w:rsidR="00647C6B" w:rsidRPr="00A058B6" w:rsidRDefault="00647C6B" w:rsidP="009C0D79">
            <w:pPr>
              <w:pStyle w:val="Tabletext"/>
            </w:pPr>
            <w:r w:rsidRPr="00A058B6">
              <w:t>60</w:t>
            </w:r>
          </w:p>
        </w:tc>
        <w:tc>
          <w:tcPr>
            <w:tcW w:w="1429" w:type="pct"/>
            <w:tcBorders>
              <w:top w:val="single" w:sz="2" w:space="0" w:color="auto"/>
              <w:left w:val="nil"/>
              <w:bottom w:val="single" w:sz="2" w:space="0" w:color="auto"/>
              <w:right w:val="nil"/>
            </w:tcBorders>
            <w:shd w:val="clear" w:color="auto" w:fill="auto"/>
            <w:vAlign w:val="bottom"/>
          </w:tcPr>
          <w:p w14:paraId="7724512A" w14:textId="77777777" w:rsidR="00647C6B" w:rsidRPr="00A058B6" w:rsidRDefault="00647C6B" w:rsidP="009C0D79">
            <w:pPr>
              <w:pStyle w:val="Tabletext"/>
            </w:pPr>
            <w:r w:rsidRPr="00A058B6">
              <w:t>17</w:t>
            </w:r>
            <w:r w:rsidR="00D7157D">
              <w:t>.</w:t>
            </w:r>
            <w:r w:rsidRPr="00A058B6">
              <w:t>6906</w:t>
            </w:r>
          </w:p>
        </w:tc>
        <w:tc>
          <w:tcPr>
            <w:tcW w:w="1866" w:type="pct"/>
            <w:tcBorders>
              <w:top w:val="single" w:sz="2" w:space="0" w:color="auto"/>
              <w:left w:val="nil"/>
              <w:bottom w:val="single" w:sz="2" w:space="0" w:color="auto"/>
              <w:right w:val="nil"/>
            </w:tcBorders>
            <w:shd w:val="clear" w:color="auto" w:fill="auto"/>
            <w:vAlign w:val="center"/>
          </w:tcPr>
          <w:p w14:paraId="474AA607" w14:textId="77777777" w:rsidR="00647C6B" w:rsidRPr="00A058B6" w:rsidRDefault="00647C6B" w:rsidP="009C0D79">
            <w:pPr>
              <w:pStyle w:val="Tabletext"/>
            </w:pPr>
            <w:r w:rsidRPr="00A058B6">
              <w:t>18</w:t>
            </w:r>
            <w:r w:rsidR="00D7157D">
              <w:t>.</w:t>
            </w:r>
            <w:r w:rsidRPr="00A058B6">
              <w:t>5542</w:t>
            </w:r>
          </w:p>
        </w:tc>
      </w:tr>
      <w:tr w:rsidR="00647C6B" w:rsidRPr="00A058B6" w14:paraId="0792CE95" w14:textId="77777777" w:rsidTr="0072333B">
        <w:trPr>
          <w:trHeight w:val="245"/>
          <w:jc w:val="right"/>
        </w:trPr>
        <w:tc>
          <w:tcPr>
            <w:tcW w:w="1705" w:type="pct"/>
            <w:tcBorders>
              <w:top w:val="single" w:sz="4" w:space="0" w:color="auto"/>
              <w:left w:val="nil"/>
              <w:bottom w:val="single" w:sz="4" w:space="0" w:color="auto"/>
              <w:right w:val="nil"/>
            </w:tcBorders>
          </w:tcPr>
          <w:p w14:paraId="70119E4A" w14:textId="77777777" w:rsidR="00647C6B" w:rsidRPr="00A058B6" w:rsidRDefault="00647C6B" w:rsidP="009C0D79">
            <w:pPr>
              <w:pStyle w:val="Tabletext"/>
            </w:pPr>
            <w:r w:rsidRPr="00A058B6">
              <w:t>61</w:t>
            </w:r>
          </w:p>
        </w:tc>
        <w:tc>
          <w:tcPr>
            <w:tcW w:w="1429" w:type="pct"/>
            <w:tcBorders>
              <w:top w:val="single" w:sz="2" w:space="0" w:color="auto"/>
              <w:left w:val="nil"/>
              <w:bottom w:val="single" w:sz="2" w:space="0" w:color="auto"/>
              <w:right w:val="nil"/>
            </w:tcBorders>
            <w:shd w:val="clear" w:color="auto" w:fill="auto"/>
            <w:vAlign w:val="bottom"/>
          </w:tcPr>
          <w:p w14:paraId="6EF25DEA" w14:textId="77777777" w:rsidR="00647C6B" w:rsidRPr="00A058B6" w:rsidRDefault="00647C6B" w:rsidP="009C0D79">
            <w:pPr>
              <w:pStyle w:val="Tabletext"/>
            </w:pPr>
            <w:r w:rsidRPr="00A058B6">
              <w:t>17</w:t>
            </w:r>
            <w:r w:rsidR="00D7157D">
              <w:t>.</w:t>
            </w:r>
            <w:r w:rsidRPr="00A058B6">
              <w:t>3135</w:t>
            </w:r>
          </w:p>
        </w:tc>
        <w:tc>
          <w:tcPr>
            <w:tcW w:w="1866" w:type="pct"/>
            <w:tcBorders>
              <w:top w:val="single" w:sz="2" w:space="0" w:color="auto"/>
              <w:left w:val="nil"/>
              <w:bottom w:val="single" w:sz="2" w:space="0" w:color="auto"/>
              <w:right w:val="nil"/>
            </w:tcBorders>
            <w:shd w:val="clear" w:color="auto" w:fill="auto"/>
            <w:vAlign w:val="center"/>
          </w:tcPr>
          <w:p w14:paraId="6309BC89" w14:textId="77777777" w:rsidR="00647C6B" w:rsidRPr="00A058B6" w:rsidRDefault="00647C6B" w:rsidP="009C0D79">
            <w:pPr>
              <w:pStyle w:val="Tabletext"/>
            </w:pPr>
            <w:r w:rsidRPr="00A058B6">
              <w:t>18</w:t>
            </w:r>
            <w:r w:rsidR="00D7157D">
              <w:t>.</w:t>
            </w:r>
            <w:r w:rsidRPr="00A058B6">
              <w:t>1968</w:t>
            </w:r>
          </w:p>
        </w:tc>
      </w:tr>
      <w:tr w:rsidR="00647C6B" w:rsidRPr="00A058B6" w14:paraId="58DFF96A" w14:textId="77777777" w:rsidTr="0072333B">
        <w:trPr>
          <w:trHeight w:val="245"/>
          <w:jc w:val="right"/>
        </w:trPr>
        <w:tc>
          <w:tcPr>
            <w:tcW w:w="1705" w:type="pct"/>
            <w:tcBorders>
              <w:top w:val="single" w:sz="4" w:space="0" w:color="auto"/>
              <w:left w:val="nil"/>
              <w:bottom w:val="single" w:sz="4" w:space="0" w:color="auto"/>
              <w:right w:val="nil"/>
            </w:tcBorders>
          </w:tcPr>
          <w:p w14:paraId="260BD271" w14:textId="77777777" w:rsidR="00647C6B" w:rsidRPr="00A058B6" w:rsidRDefault="00647C6B" w:rsidP="009C0D79">
            <w:pPr>
              <w:pStyle w:val="Tabletext"/>
            </w:pPr>
            <w:r w:rsidRPr="00A058B6">
              <w:t>62</w:t>
            </w:r>
          </w:p>
        </w:tc>
        <w:tc>
          <w:tcPr>
            <w:tcW w:w="1429" w:type="pct"/>
            <w:tcBorders>
              <w:top w:val="single" w:sz="2" w:space="0" w:color="auto"/>
              <w:left w:val="nil"/>
              <w:bottom w:val="single" w:sz="2" w:space="0" w:color="auto"/>
              <w:right w:val="nil"/>
            </w:tcBorders>
            <w:shd w:val="clear" w:color="auto" w:fill="auto"/>
            <w:vAlign w:val="bottom"/>
          </w:tcPr>
          <w:p w14:paraId="2E950840" w14:textId="77777777" w:rsidR="00647C6B" w:rsidRPr="00A058B6" w:rsidRDefault="00647C6B" w:rsidP="009C0D79">
            <w:pPr>
              <w:pStyle w:val="Tabletext"/>
            </w:pPr>
            <w:r w:rsidRPr="00A058B6">
              <w:t>16</w:t>
            </w:r>
            <w:r w:rsidR="00D7157D">
              <w:t>.</w:t>
            </w:r>
            <w:r w:rsidRPr="00A058B6">
              <w:t>9247</w:t>
            </w:r>
          </w:p>
        </w:tc>
        <w:tc>
          <w:tcPr>
            <w:tcW w:w="1866" w:type="pct"/>
            <w:tcBorders>
              <w:top w:val="single" w:sz="2" w:space="0" w:color="auto"/>
              <w:left w:val="nil"/>
              <w:bottom w:val="single" w:sz="2" w:space="0" w:color="auto"/>
              <w:right w:val="nil"/>
            </w:tcBorders>
            <w:shd w:val="clear" w:color="auto" w:fill="auto"/>
            <w:vAlign w:val="center"/>
          </w:tcPr>
          <w:p w14:paraId="266A58DE" w14:textId="77777777" w:rsidR="00647C6B" w:rsidRPr="00A058B6" w:rsidRDefault="00647C6B" w:rsidP="009C0D79">
            <w:pPr>
              <w:pStyle w:val="Tabletext"/>
            </w:pPr>
            <w:r w:rsidRPr="00A058B6">
              <w:t>17</w:t>
            </w:r>
            <w:r w:rsidR="00D7157D">
              <w:t>.</w:t>
            </w:r>
            <w:r w:rsidRPr="00A058B6">
              <w:t>8282</w:t>
            </w:r>
          </w:p>
        </w:tc>
      </w:tr>
      <w:tr w:rsidR="00647C6B" w:rsidRPr="00A058B6" w14:paraId="12AC8A95" w14:textId="77777777" w:rsidTr="0072333B">
        <w:trPr>
          <w:trHeight w:val="245"/>
          <w:jc w:val="right"/>
        </w:trPr>
        <w:tc>
          <w:tcPr>
            <w:tcW w:w="1705" w:type="pct"/>
            <w:tcBorders>
              <w:top w:val="single" w:sz="4" w:space="0" w:color="auto"/>
              <w:left w:val="nil"/>
              <w:bottom w:val="single" w:sz="4" w:space="0" w:color="auto"/>
              <w:right w:val="nil"/>
            </w:tcBorders>
          </w:tcPr>
          <w:p w14:paraId="23703D43" w14:textId="77777777" w:rsidR="00647C6B" w:rsidRPr="00A058B6" w:rsidRDefault="00647C6B" w:rsidP="009C0D79">
            <w:pPr>
              <w:pStyle w:val="Tabletext"/>
            </w:pPr>
            <w:r w:rsidRPr="00A058B6">
              <w:t>63</w:t>
            </w:r>
          </w:p>
        </w:tc>
        <w:tc>
          <w:tcPr>
            <w:tcW w:w="1429" w:type="pct"/>
            <w:tcBorders>
              <w:top w:val="single" w:sz="2" w:space="0" w:color="auto"/>
              <w:left w:val="nil"/>
              <w:bottom w:val="single" w:sz="2" w:space="0" w:color="auto"/>
              <w:right w:val="nil"/>
            </w:tcBorders>
            <w:shd w:val="clear" w:color="auto" w:fill="auto"/>
            <w:vAlign w:val="bottom"/>
          </w:tcPr>
          <w:p w14:paraId="23EB0071" w14:textId="77777777" w:rsidR="00647C6B" w:rsidRPr="00A058B6" w:rsidRDefault="00647C6B" w:rsidP="009C0D79">
            <w:pPr>
              <w:pStyle w:val="Tabletext"/>
            </w:pPr>
            <w:r w:rsidRPr="00A058B6">
              <w:t>16</w:t>
            </w:r>
            <w:r w:rsidR="00D7157D">
              <w:t>.</w:t>
            </w:r>
            <w:r w:rsidRPr="00A058B6">
              <w:t>5244</w:t>
            </w:r>
          </w:p>
        </w:tc>
        <w:tc>
          <w:tcPr>
            <w:tcW w:w="1866" w:type="pct"/>
            <w:tcBorders>
              <w:top w:val="single" w:sz="2" w:space="0" w:color="auto"/>
              <w:left w:val="nil"/>
              <w:bottom w:val="single" w:sz="2" w:space="0" w:color="auto"/>
              <w:right w:val="nil"/>
            </w:tcBorders>
            <w:shd w:val="clear" w:color="auto" w:fill="auto"/>
            <w:vAlign w:val="center"/>
          </w:tcPr>
          <w:p w14:paraId="097CC55F" w14:textId="77777777" w:rsidR="00647C6B" w:rsidRPr="00A058B6" w:rsidRDefault="00647C6B" w:rsidP="009C0D79">
            <w:pPr>
              <w:pStyle w:val="Tabletext"/>
            </w:pPr>
            <w:r w:rsidRPr="00A058B6">
              <w:t>17</w:t>
            </w:r>
            <w:r w:rsidR="00D7157D">
              <w:t>.</w:t>
            </w:r>
            <w:r w:rsidRPr="00A058B6">
              <w:t>4482</w:t>
            </w:r>
          </w:p>
        </w:tc>
      </w:tr>
      <w:tr w:rsidR="00647C6B" w:rsidRPr="00A058B6" w14:paraId="6D9B25DD" w14:textId="77777777" w:rsidTr="0072333B">
        <w:trPr>
          <w:trHeight w:val="245"/>
          <w:jc w:val="right"/>
        </w:trPr>
        <w:tc>
          <w:tcPr>
            <w:tcW w:w="1705" w:type="pct"/>
            <w:tcBorders>
              <w:top w:val="single" w:sz="4" w:space="0" w:color="auto"/>
              <w:left w:val="nil"/>
              <w:bottom w:val="single" w:sz="4" w:space="0" w:color="auto"/>
              <w:right w:val="nil"/>
            </w:tcBorders>
          </w:tcPr>
          <w:p w14:paraId="004D2B08" w14:textId="77777777" w:rsidR="00647C6B" w:rsidRPr="00A058B6" w:rsidRDefault="00647C6B" w:rsidP="009C0D79">
            <w:pPr>
              <w:pStyle w:val="Tabletext"/>
            </w:pPr>
            <w:r w:rsidRPr="00A058B6">
              <w:t>64</w:t>
            </w:r>
          </w:p>
        </w:tc>
        <w:tc>
          <w:tcPr>
            <w:tcW w:w="1429" w:type="pct"/>
            <w:tcBorders>
              <w:top w:val="single" w:sz="2" w:space="0" w:color="auto"/>
              <w:left w:val="nil"/>
              <w:bottom w:val="single" w:sz="2" w:space="0" w:color="auto"/>
              <w:right w:val="nil"/>
            </w:tcBorders>
            <w:shd w:val="clear" w:color="auto" w:fill="auto"/>
            <w:vAlign w:val="bottom"/>
          </w:tcPr>
          <w:p w14:paraId="2B788E86" w14:textId="77777777" w:rsidR="00647C6B" w:rsidRPr="00A058B6" w:rsidRDefault="00647C6B" w:rsidP="009C0D79">
            <w:pPr>
              <w:pStyle w:val="Tabletext"/>
            </w:pPr>
            <w:r w:rsidRPr="00A058B6">
              <w:t>16</w:t>
            </w:r>
            <w:r w:rsidR="00D7157D">
              <w:t>.</w:t>
            </w:r>
            <w:r w:rsidRPr="00A058B6">
              <w:t>1129</w:t>
            </w:r>
          </w:p>
        </w:tc>
        <w:tc>
          <w:tcPr>
            <w:tcW w:w="1866" w:type="pct"/>
            <w:tcBorders>
              <w:top w:val="single" w:sz="2" w:space="0" w:color="auto"/>
              <w:left w:val="nil"/>
              <w:bottom w:val="single" w:sz="2" w:space="0" w:color="auto"/>
              <w:right w:val="nil"/>
            </w:tcBorders>
            <w:shd w:val="clear" w:color="auto" w:fill="auto"/>
            <w:vAlign w:val="center"/>
          </w:tcPr>
          <w:p w14:paraId="4B00827F" w14:textId="77777777" w:rsidR="00647C6B" w:rsidRPr="00A058B6" w:rsidRDefault="00647C6B" w:rsidP="009C0D79">
            <w:pPr>
              <w:pStyle w:val="Tabletext"/>
            </w:pPr>
            <w:r w:rsidRPr="00A058B6">
              <w:t>17</w:t>
            </w:r>
            <w:r w:rsidR="00D7157D">
              <w:t>.</w:t>
            </w:r>
            <w:r w:rsidRPr="00A058B6">
              <w:t>0570</w:t>
            </w:r>
          </w:p>
        </w:tc>
      </w:tr>
      <w:tr w:rsidR="00647C6B" w:rsidRPr="00A058B6" w14:paraId="37F67C29" w14:textId="77777777" w:rsidTr="0072333B">
        <w:trPr>
          <w:trHeight w:val="245"/>
          <w:jc w:val="right"/>
        </w:trPr>
        <w:tc>
          <w:tcPr>
            <w:tcW w:w="1705" w:type="pct"/>
            <w:tcBorders>
              <w:top w:val="single" w:sz="4" w:space="0" w:color="auto"/>
              <w:left w:val="nil"/>
              <w:bottom w:val="single" w:sz="12" w:space="0" w:color="auto"/>
              <w:right w:val="nil"/>
            </w:tcBorders>
          </w:tcPr>
          <w:p w14:paraId="7408866B" w14:textId="77777777" w:rsidR="00647C6B" w:rsidRPr="00A058B6" w:rsidRDefault="00647C6B" w:rsidP="009C0D79">
            <w:pPr>
              <w:pStyle w:val="Tabletext"/>
            </w:pPr>
            <w:r w:rsidRPr="00A058B6">
              <w:t>65</w:t>
            </w:r>
          </w:p>
        </w:tc>
        <w:tc>
          <w:tcPr>
            <w:tcW w:w="1429" w:type="pct"/>
            <w:tcBorders>
              <w:top w:val="single" w:sz="2" w:space="0" w:color="auto"/>
              <w:left w:val="nil"/>
              <w:bottom w:val="single" w:sz="12" w:space="0" w:color="auto"/>
              <w:right w:val="nil"/>
            </w:tcBorders>
            <w:shd w:val="clear" w:color="auto" w:fill="auto"/>
            <w:vAlign w:val="bottom"/>
          </w:tcPr>
          <w:p w14:paraId="0619AFE2" w14:textId="77777777" w:rsidR="00647C6B" w:rsidRPr="00A058B6" w:rsidRDefault="00647C6B" w:rsidP="009C0D79">
            <w:pPr>
              <w:pStyle w:val="Tabletext"/>
            </w:pPr>
            <w:r w:rsidRPr="00A058B6">
              <w:t>15</w:t>
            </w:r>
            <w:r w:rsidR="00D7157D">
              <w:t>.</w:t>
            </w:r>
            <w:r w:rsidRPr="00A058B6">
              <w:t>6914</w:t>
            </w:r>
          </w:p>
        </w:tc>
        <w:tc>
          <w:tcPr>
            <w:tcW w:w="1866" w:type="pct"/>
            <w:tcBorders>
              <w:top w:val="single" w:sz="2" w:space="0" w:color="auto"/>
              <w:left w:val="nil"/>
              <w:bottom w:val="single" w:sz="12" w:space="0" w:color="auto"/>
              <w:right w:val="nil"/>
            </w:tcBorders>
            <w:shd w:val="clear" w:color="auto" w:fill="auto"/>
            <w:vAlign w:val="center"/>
          </w:tcPr>
          <w:p w14:paraId="227D3211" w14:textId="77777777" w:rsidR="00647C6B" w:rsidRPr="00A058B6" w:rsidRDefault="00647C6B" w:rsidP="009C0D79">
            <w:pPr>
              <w:pStyle w:val="Tabletext"/>
            </w:pPr>
            <w:r w:rsidRPr="00A058B6">
              <w:t>16</w:t>
            </w:r>
            <w:r w:rsidR="00D7157D">
              <w:t>.</w:t>
            </w:r>
            <w:r w:rsidRPr="00A058B6">
              <w:t>6556</w:t>
            </w:r>
          </w:p>
        </w:tc>
      </w:tr>
    </w:tbl>
    <w:p w14:paraId="0605FD66"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0A928D2F" w14:textId="77777777" w:rsidTr="00963115">
        <w:trPr>
          <w:cantSplit/>
          <w:trHeight w:val="375"/>
          <w:tblHeader/>
          <w:jc w:val="right"/>
        </w:trPr>
        <w:tc>
          <w:tcPr>
            <w:tcW w:w="1705" w:type="pct"/>
            <w:vMerge w:val="restart"/>
            <w:tcBorders>
              <w:top w:val="single" w:sz="12" w:space="0" w:color="auto"/>
              <w:left w:val="nil"/>
              <w:bottom w:val="single" w:sz="12" w:space="0" w:color="auto"/>
              <w:right w:val="nil"/>
            </w:tcBorders>
          </w:tcPr>
          <w:p w14:paraId="2ED6F6FD" w14:textId="77777777" w:rsidR="00647C6B" w:rsidRPr="00A058B6" w:rsidRDefault="00647C6B" w:rsidP="00963115">
            <w:pPr>
              <w:pStyle w:val="TableHeading"/>
              <w:rPr>
                <w:snapToGrid w:val="0"/>
              </w:rPr>
            </w:pPr>
            <w:r w:rsidRPr="00A058B6">
              <w:rPr>
                <w:snapToGrid w:val="0"/>
              </w:rPr>
              <w:t>Member’s age at relevant date</w:t>
            </w:r>
            <w:r w:rsidRPr="00A058B6">
              <w:rPr>
                <w:snapToGrid w:val="0"/>
              </w:rPr>
              <w:br/>
              <w:t>(in completed years)</w:t>
            </w:r>
          </w:p>
        </w:tc>
        <w:tc>
          <w:tcPr>
            <w:tcW w:w="3295" w:type="pct"/>
            <w:gridSpan w:val="2"/>
            <w:tcBorders>
              <w:top w:val="single" w:sz="12" w:space="0" w:color="auto"/>
              <w:left w:val="nil"/>
              <w:bottom w:val="single" w:sz="4" w:space="0" w:color="auto"/>
              <w:right w:val="nil"/>
            </w:tcBorders>
          </w:tcPr>
          <w:p w14:paraId="07CE25F3" w14:textId="61A3570A"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w:t>
            </w:r>
            <w:r w:rsidRPr="00A058B6">
              <w:rPr>
                <w:snapToGrid w:val="0"/>
              </w:rPr>
              <w:br/>
              <w:t>CPI indexed pension with 5% cap</w:t>
            </w:r>
          </w:p>
        </w:tc>
      </w:tr>
      <w:tr w:rsidR="00647C6B" w:rsidRPr="00A058B6" w14:paraId="7ED8D683" w14:textId="77777777" w:rsidTr="00963115">
        <w:trPr>
          <w:cantSplit/>
          <w:trHeight w:val="26"/>
          <w:tblHeader/>
          <w:jc w:val="right"/>
        </w:trPr>
        <w:tc>
          <w:tcPr>
            <w:tcW w:w="1705" w:type="pct"/>
            <w:vMerge/>
            <w:tcBorders>
              <w:top w:val="nil"/>
              <w:left w:val="nil"/>
              <w:bottom w:val="single" w:sz="12" w:space="0" w:color="auto"/>
              <w:right w:val="nil"/>
            </w:tcBorders>
          </w:tcPr>
          <w:p w14:paraId="333EF681" w14:textId="77777777" w:rsidR="00647C6B" w:rsidRPr="00A058B6" w:rsidRDefault="00647C6B" w:rsidP="00963115">
            <w:pPr>
              <w:rPr>
                <w:snapToGrid w:val="0"/>
              </w:rPr>
            </w:pPr>
          </w:p>
        </w:tc>
        <w:tc>
          <w:tcPr>
            <w:tcW w:w="1417" w:type="pct"/>
            <w:tcBorders>
              <w:top w:val="single" w:sz="4" w:space="0" w:color="auto"/>
              <w:left w:val="nil"/>
              <w:bottom w:val="single" w:sz="12" w:space="0" w:color="auto"/>
              <w:right w:val="nil"/>
            </w:tcBorders>
          </w:tcPr>
          <w:p w14:paraId="11836FB5"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left w:val="nil"/>
              <w:bottom w:val="single" w:sz="12" w:space="0" w:color="auto"/>
              <w:right w:val="nil"/>
            </w:tcBorders>
          </w:tcPr>
          <w:p w14:paraId="7A61391C" w14:textId="77777777" w:rsidR="00647C6B" w:rsidRPr="00A058B6" w:rsidRDefault="00647C6B" w:rsidP="00963115">
            <w:pPr>
              <w:pStyle w:val="TableHeading"/>
              <w:rPr>
                <w:snapToGrid w:val="0"/>
              </w:rPr>
            </w:pPr>
            <w:r w:rsidRPr="00A058B6">
              <w:rPr>
                <w:snapToGrid w:val="0"/>
              </w:rPr>
              <w:t>Female</w:t>
            </w:r>
          </w:p>
        </w:tc>
      </w:tr>
      <w:tr w:rsidR="00647C6B" w:rsidRPr="00A058B6" w14:paraId="32029459" w14:textId="77777777" w:rsidTr="005D2F9E">
        <w:trPr>
          <w:trHeight w:val="245"/>
          <w:jc w:val="right"/>
        </w:trPr>
        <w:tc>
          <w:tcPr>
            <w:tcW w:w="1705" w:type="pct"/>
            <w:tcBorders>
              <w:top w:val="single" w:sz="12" w:space="0" w:color="auto"/>
              <w:left w:val="nil"/>
              <w:bottom w:val="single" w:sz="4" w:space="0" w:color="auto"/>
              <w:right w:val="nil"/>
            </w:tcBorders>
          </w:tcPr>
          <w:p w14:paraId="5FAA5CCB" w14:textId="77777777" w:rsidR="00647C6B" w:rsidRPr="00A058B6" w:rsidRDefault="00647C6B" w:rsidP="009C0D79">
            <w:pPr>
              <w:pStyle w:val="Tabletext"/>
              <w:rPr>
                <w:snapToGrid w:val="0"/>
              </w:rPr>
            </w:pPr>
            <w:r w:rsidRPr="00A058B6">
              <w:rPr>
                <w:snapToGrid w:val="0"/>
              </w:rPr>
              <w:t>Up to 40</w:t>
            </w:r>
          </w:p>
        </w:tc>
        <w:tc>
          <w:tcPr>
            <w:tcW w:w="1417" w:type="pct"/>
            <w:tcBorders>
              <w:top w:val="single" w:sz="12" w:space="0" w:color="auto"/>
              <w:left w:val="nil"/>
              <w:bottom w:val="single" w:sz="2" w:space="0" w:color="auto"/>
              <w:right w:val="nil"/>
            </w:tcBorders>
            <w:shd w:val="clear" w:color="auto" w:fill="auto"/>
            <w:vAlign w:val="bottom"/>
          </w:tcPr>
          <w:p w14:paraId="25B6C5AB" w14:textId="77777777" w:rsidR="00647C6B" w:rsidRPr="00A058B6" w:rsidRDefault="00647C6B" w:rsidP="009C0D79">
            <w:pPr>
              <w:pStyle w:val="Tabletext"/>
            </w:pPr>
            <w:r w:rsidRPr="00A058B6">
              <w:t>2</w:t>
            </w:r>
            <w:r w:rsidR="00D7157D">
              <w:t>.</w:t>
            </w:r>
            <w:r w:rsidRPr="00A058B6">
              <w:t>033</w:t>
            </w:r>
          </w:p>
        </w:tc>
        <w:tc>
          <w:tcPr>
            <w:tcW w:w="1878" w:type="pct"/>
            <w:tcBorders>
              <w:top w:val="single" w:sz="12" w:space="0" w:color="auto"/>
              <w:left w:val="nil"/>
              <w:bottom w:val="single" w:sz="2" w:space="0" w:color="auto"/>
              <w:right w:val="nil"/>
            </w:tcBorders>
            <w:shd w:val="clear" w:color="auto" w:fill="auto"/>
            <w:vAlign w:val="bottom"/>
          </w:tcPr>
          <w:p w14:paraId="6FC9F681" w14:textId="77777777" w:rsidR="00647C6B" w:rsidRPr="00A058B6" w:rsidRDefault="00647C6B" w:rsidP="009C0D79">
            <w:pPr>
              <w:pStyle w:val="Tabletext"/>
            </w:pPr>
            <w:r w:rsidRPr="00A058B6">
              <w:t>0</w:t>
            </w:r>
            <w:r w:rsidR="00D7157D">
              <w:t>.</w:t>
            </w:r>
            <w:r w:rsidRPr="00A058B6">
              <w:t>877</w:t>
            </w:r>
          </w:p>
        </w:tc>
      </w:tr>
      <w:tr w:rsidR="00647C6B" w:rsidRPr="00A058B6" w14:paraId="72E7B97D" w14:textId="77777777" w:rsidTr="005D2F9E">
        <w:trPr>
          <w:trHeight w:val="245"/>
          <w:jc w:val="right"/>
        </w:trPr>
        <w:tc>
          <w:tcPr>
            <w:tcW w:w="1705" w:type="pct"/>
            <w:tcBorders>
              <w:top w:val="single" w:sz="4" w:space="0" w:color="auto"/>
              <w:left w:val="nil"/>
              <w:bottom w:val="single" w:sz="4" w:space="0" w:color="auto"/>
              <w:right w:val="nil"/>
            </w:tcBorders>
          </w:tcPr>
          <w:p w14:paraId="2801D9F3" w14:textId="77777777" w:rsidR="00647C6B" w:rsidRPr="00A058B6" w:rsidRDefault="00647C6B" w:rsidP="009C0D79">
            <w:pPr>
              <w:pStyle w:val="Tabletext"/>
            </w:pPr>
            <w:r w:rsidRPr="00A058B6">
              <w:t>41</w:t>
            </w:r>
          </w:p>
        </w:tc>
        <w:tc>
          <w:tcPr>
            <w:tcW w:w="1417" w:type="pct"/>
            <w:tcBorders>
              <w:top w:val="single" w:sz="2" w:space="0" w:color="auto"/>
              <w:left w:val="nil"/>
              <w:bottom w:val="single" w:sz="2" w:space="0" w:color="auto"/>
              <w:right w:val="nil"/>
            </w:tcBorders>
            <w:shd w:val="clear" w:color="auto" w:fill="auto"/>
            <w:vAlign w:val="bottom"/>
          </w:tcPr>
          <w:p w14:paraId="6A12FAEB" w14:textId="77777777" w:rsidR="00647C6B" w:rsidRPr="00A058B6" w:rsidRDefault="00647C6B" w:rsidP="009C0D79">
            <w:pPr>
              <w:pStyle w:val="Tabletext"/>
            </w:pPr>
            <w:r w:rsidRPr="00A058B6">
              <w:t>1</w:t>
            </w:r>
            <w:r w:rsidR="00D7157D">
              <w:t>.</w:t>
            </w:r>
            <w:r w:rsidRPr="00A058B6">
              <w:t>965</w:t>
            </w:r>
          </w:p>
        </w:tc>
        <w:tc>
          <w:tcPr>
            <w:tcW w:w="1878" w:type="pct"/>
            <w:tcBorders>
              <w:top w:val="single" w:sz="2" w:space="0" w:color="auto"/>
              <w:left w:val="nil"/>
              <w:bottom w:val="single" w:sz="2" w:space="0" w:color="auto"/>
              <w:right w:val="nil"/>
            </w:tcBorders>
            <w:shd w:val="clear" w:color="auto" w:fill="auto"/>
            <w:vAlign w:val="bottom"/>
          </w:tcPr>
          <w:p w14:paraId="7530F9B0" w14:textId="77777777" w:rsidR="00647C6B" w:rsidRPr="00A058B6" w:rsidRDefault="00647C6B" w:rsidP="009C0D79">
            <w:pPr>
              <w:pStyle w:val="Tabletext"/>
            </w:pPr>
            <w:r w:rsidRPr="00A058B6">
              <w:t>0</w:t>
            </w:r>
            <w:r w:rsidR="00D7157D">
              <w:t>.</w:t>
            </w:r>
            <w:r w:rsidRPr="00A058B6">
              <w:t>825</w:t>
            </w:r>
          </w:p>
        </w:tc>
      </w:tr>
      <w:tr w:rsidR="00647C6B" w:rsidRPr="00A058B6" w14:paraId="33E36860" w14:textId="77777777" w:rsidTr="005D2F9E">
        <w:trPr>
          <w:trHeight w:val="245"/>
          <w:jc w:val="right"/>
        </w:trPr>
        <w:tc>
          <w:tcPr>
            <w:tcW w:w="1705" w:type="pct"/>
            <w:tcBorders>
              <w:top w:val="single" w:sz="4" w:space="0" w:color="auto"/>
              <w:left w:val="nil"/>
              <w:bottom w:val="single" w:sz="4" w:space="0" w:color="auto"/>
              <w:right w:val="nil"/>
            </w:tcBorders>
          </w:tcPr>
          <w:p w14:paraId="3EC3E79F" w14:textId="77777777" w:rsidR="00647C6B" w:rsidRPr="00A058B6" w:rsidRDefault="00647C6B" w:rsidP="009C0D79">
            <w:pPr>
              <w:pStyle w:val="Tabletext"/>
            </w:pPr>
            <w:r w:rsidRPr="00A058B6">
              <w:t>42</w:t>
            </w:r>
          </w:p>
        </w:tc>
        <w:tc>
          <w:tcPr>
            <w:tcW w:w="1417" w:type="pct"/>
            <w:tcBorders>
              <w:top w:val="single" w:sz="2" w:space="0" w:color="auto"/>
              <w:left w:val="nil"/>
              <w:bottom w:val="single" w:sz="2" w:space="0" w:color="auto"/>
              <w:right w:val="nil"/>
            </w:tcBorders>
            <w:shd w:val="clear" w:color="auto" w:fill="auto"/>
            <w:vAlign w:val="bottom"/>
          </w:tcPr>
          <w:p w14:paraId="7C99984C" w14:textId="77777777" w:rsidR="00647C6B" w:rsidRPr="00A058B6" w:rsidRDefault="00647C6B" w:rsidP="009C0D79">
            <w:pPr>
              <w:pStyle w:val="Tabletext"/>
            </w:pPr>
            <w:r w:rsidRPr="00A058B6">
              <w:t>1</w:t>
            </w:r>
            <w:r w:rsidR="00D7157D">
              <w:t>.</w:t>
            </w:r>
            <w:r w:rsidRPr="00A058B6">
              <w:t>898</w:t>
            </w:r>
          </w:p>
        </w:tc>
        <w:tc>
          <w:tcPr>
            <w:tcW w:w="1878" w:type="pct"/>
            <w:tcBorders>
              <w:top w:val="single" w:sz="2" w:space="0" w:color="auto"/>
              <w:left w:val="nil"/>
              <w:bottom w:val="single" w:sz="2" w:space="0" w:color="auto"/>
              <w:right w:val="nil"/>
            </w:tcBorders>
            <w:shd w:val="clear" w:color="auto" w:fill="auto"/>
            <w:vAlign w:val="bottom"/>
          </w:tcPr>
          <w:p w14:paraId="2B749E23" w14:textId="77777777" w:rsidR="00647C6B" w:rsidRPr="00A058B6" w:rsidRDefault="00647C6B" w:rsidP="009C0D79">
            <w:pPr>
              <w:pStyle w:val="Tabletext"/>
            </w:pPr>
            <w:r w:rsidRPr="00A058B6">
              <w:t>0</w:t>
            </w:r>
            <w:r w:rsidR="00D7157D">
              <w:t>.</w:t>
            </w:r>
            <w:r w:rsidRPr="00A058B6">
              <w:t>772</w:t>
            </w:r>
          </w:p>
        </w:tc>
      </w:tr>
      <w:tr w:rsidR="00647C6B" w:rsidRPr="00A058B6" w14:paraId="43C0BD68" w14:textId="77777777" w:rsidTr="005D2F9E">
        <w:trPr>
          <w:trHeight w:val="245"/>
          <w:jc w:val="right"/>
        </w:trPr>
        <w:tc>
          <w:tcPr>
            <w:tcW w:w="1705" w:type="pct"/>
            <w:tcBorders>
              <w:top w:val="single" w:sz="4" w:space="0" w:color="auto"/>
              <w:left w:val="nil"/>
              <w:bottom w:val="single" w:sz="4" w:space="0" w:color="auto"/>
              <w:right w:val="nil"/>
            </w:tcBorders>
          </w:tcPr>
          <w:p w14:paraId="3628058A" w14:textId="77777777" w:rsidR="00647C6B" w:rsidRPr="00A058B6" w:rsidRDefault="00647C6B" w:rsidP="009C0D79">
            <w:pPr>
              <w:pStyle w:val="Tabletext"/>
            </w:pPr>
            <w:r w:rsidRPr="00A058B6">
              <w:t>43</w:t>
            </w:r>
          </w:p>
        </w:tc>
        <w:tc>
          <w:tcPr>
            <w:tcW w:w="1417" w:type="pct"/>
            <w:tcBorders>
              <w:top w:val="single" w:sz="2" w:space="0" w:color="auto"/>
              <w:left w:val="nil"/>
              <w:bottom w:val="single" w:sz="2" w:space="0" w:color="auto"/>
              <w:right w:val="nil"/>
            </w:tcBorders>
            <w:shd w:val="clear" w:color="auto" w:fill="auto"/>
            <w:vAlign w:val="bottom"/>
          </w:tcPr>
          <w:p w14:paraId="386950BB" w14:textId="77777777" w:rsidR="00647C6B" w:rsidRPr="00A058B6" w:rsidRDefault="00647C6B" w:rsidP="009C0D79">
            <w:pPr>
              <w:pStyle w:val="Tabletext"/>
            </w:pPr>
            <w:r w:rsidRPr="00A058B6">
              <w:t>1</w:t>
            </w:r>
            <w:r w:rsidR="00D7157D">
              <w:t>.</w:t>
            </w:r>
            <w:r w:rsidRPr="00A058B6">
              <w:t>830</w:t>
            </w:r>
          </w:p>
        </w:tc>
        <w:tc>
          <w:tcPr>
            <w:tcW w:w="1878" w:type="pct"/>
            <w:tcBorders>
              <w:top w:val="single" w:sz="2" w:space="0" w:color="auto"/>
              <w:left w:val="nil"/>
              <w:bottom w:val="single" w:sz="2" w:space="0" w:color="auto"/>
              <w:right w:val="nil"/>
            </w:tcBorders>
            <w:shd w:val="clear" w:color="auto" w:fill="auto"/>
            <w:vAlign w:val="bottom"/>
          </w:tcPr>
          <w:p w14:paraId="3B4AE85B" w14:textId="77777777" w:rsidR="00647C6B" w:rsidRPr="00A058B6" w:rsidRDefault="00647C6B" w:rsidP="009C0D79">
            <w:pPr>
              <w:pStyle w:val="Tabletext"/>
            </w:pPr>
            <w:r w:rsidRPr="00A058B6">
              <w:t>0</w:t>
            </w:r>
            <w:r w:rsidR="00D7157D">
              <w:t>.</w:t>
            </w:r>
            <w:r w:rsidRPr="00A058B6">
              <w:t>720</w:t>
            </w:r>
          </w:p>
        </w:tc>
      </w:tr>
      <w:tr w:rsidR="00647C6B" w:rsidRPr="00A058B6" w14:paraId="08D97793" w14:textId="77777777" w:rsidTr="005D2F9E">
        <w:trPr>
          <w:trHeight w:val="245"/>
          <w:jc w:val="right"/>
        </w:trPr>
        <w:tc>
          <w:tcPr>
            <w:tcW w:w="1705" w:type="pct"/>
            <w:tcBorders>
              <w:top w:val="single" w:sz="4" w:space="0" w:color="auto"/>
              <w:left w:val="nil"/>
              <w:bottom w:val="single" w:sz="4" w:space="0" w:color="auto"/>
              <w:right w:val="nil"/>
            </w:tcBorders>
          </w:tcPr>
          <w:p w14:paraId="542F0A29" w14:textId="77777777" w:rsidR="00647C6B" w:rsidRPr="00A058B6" w:rsidRDefault="00647C6B" w:rsidP="009C0D79">
            <w:pPr>
              <w:pStyle w:val="Tabletext"/>
            </w:pPr>
            <w:r w:rsidRPr="00A058B6">
              <w:t>44</w:t>
            </w:r>
          </w:p>
        </w:tc>
        <w:tc>
          <w:tcPr>
            <w:tcW w:w="1417" w:type="pct"/>
            <w:tcBorders>
              <w:top w:val="single" w:sz="2" w:space="0" w:color="auto"/>
              <w:left w:val="nil"/>
              <w:bottom w:val="single" w:sz="2" w:space="0" w:color="auto"/>
              <w:right w:val="nil"/>
            </w:tcBorders>
            <w:shd w:val="clear" w:color="auto" w:fill="auto"/>
            <w:vAlign w:val="bottom"/>
          </w:tcPr>
          <w:p w14:paraId="2BA59665" w14:textId="77777777" w:rsidR="00647C6B" w:rsidRPr="00A058B6" w:rsidRDefault="00647C6B" w:rsidP="009C0D79">
            <w:pPr>
              <w:pStyle w:val="Tabletext"/>
            </w:pPr>
            <w:r w:rsidRPr="00A058B6">
              <w:t>1</w:t>
            </w:r>
            <w:r w:rsidR="00D7157D">
              <w:t>.</w:t>
            </w:r>
            <w:r w:rsidRPr="00A058B6">
              <w:t>762</w:t>
            </w:r>
          </w:p>
        </w:tc>
        <w:tc>
          <w:tcPr>
            <w:tcW w:w="1878" w:type="pct"/>
            <w:tcBorders>
              <w:top w:val="single" w:sz="2" w:space="0" w:color="auto"/>
              <w:left w:val="nil"/>
              <w:bottom w:val="single" w:sz="2" w:space="0" w:color="auto"/>
              <w:right w:val="nil"/>
            </w:tcBorders>
            <w:shd w:val="clear" w:color="auto" w:fill="auto"/>
            <w:vAlign w:val="bottom"/>
          </w:tcPr>
          <w:p w14:paraId="0A876FD2" w14:textId="77777777" w:rsidR="00647C6B" w:rsidRPr="00A058B6" w:rsidRDefault="00647C6B" w:rsidP="009C0D79">
            <w:pPr>
              <w:pStyle w:val="Tabletext"/>
            </w:pPr>
            <w:r w:rsidRPr="00A058B6">
              <w:t>0</w:t>
            </w:r>
            <w:r w:rsidR="00D7157D">
              <w:t>.</w:t>
            </w:r>
            <w:r w:rsidRPr="00A058B6">
              <w:t>667</w:t>
            </w:r>
          </w:p>
        </w:tc>
      </w:tr>
      <w:tr w:rsidR="00647C6B" w:rsidRPr="00A058B6" w14:paraId="7A14E549" w14:textId="77777777" w:rsidTr="005D2F9E">
        <w:trPr>
          <w:trHeight w:val="245"/>
          <w:jc w:val="right"/>
        </w:trPr>
        <w:tc>
          <w:tcPr>
            <w:tcW w:w="1705" w:type="pct"/>
            <w:tcBorders>
              <w:top w:val="single" w:sz="4" w:space="0" w:color="auto"/>
              <w:left w:val="nil"/>
              <w:bottom w:val="single" w:sz="4" w:space="0" w:color="auto"/>
              <w:right w:val="nil"/>
            </w:tcBorders>
          </w:tcPr>
          <w:p w14:paraId="19CD034B" w14:textId="77777777" w:rsidR="00647C6B" w:rsidRPr="00A058B6" w:rsidRDefault="00647C6B" w:rsidP="009C0D79">
            <w:pPr>
              <w:pStyle w:val="Tabletext"/>
            </w:pPr>
            <w:r w:rsidRPr="00A058B6">
              <w:t>45</w:t>
            </w:r>
          </w:p>
        </w:tc>
        <w:tc>
          <w:tcPr>
            <w:tcW w:w="1417" w:type="pct"/>
            <w:tcBorders>
              <w:top w:val="single" w:sz="2" w:space="0" w:color="auto"/>
              <w:left w:val="nil"/>
              <w:bottom w:val="single" w:sz="2" w:space="0" w:color="auto"/>
              <w:right w:val="nil"/>
            </w:tcBorders>
            <w:shd w:val="clear" w:color="auto" w:fill="auto"/>
            <w:vAlign w:val="bottom"/>
          </w:tcPr>
          <w:p w14:paraId="69041342" w14:textId="77777777" w:rsidR="00647C6B" w:rsidRPr="00A058B6" w:rsidRDefault="00647C6B" w:rsidP="009C0D79">
            <w:pPr>
              <w:pStyle w:val="Tabletext"/>
            </w:pPr>
            <w:r w:rsidRPr="00A058B6">
              <w:t>1</w:t>
            </w:r>
            <w:r w:rsidR="00D7157D">
              <w:t>.</w:t>
            </w:r>
            <w:r w:rsidRPr="00A058B6">
              <w:t>694</w:t>
            </w:r>
          </w:p>
        </w:tc>
        <w:tc>
          <w:tcPr>
            <w:tcW w:w="1878" w:type="pct"/>
            <w:tcBorders>
              <w:top w:val="single" w:sz="2" w:space="0" w:color="auto"/>
              <w:left w:val="nil"/>
              <w:bottom w:val="single" w:sz="2" w:space="0" w:color="auto"/>
              <w:right w:val="nil"/>
            </w:tcBorders>
            <w:shd w:val="clear" w:color="auto" w:fill="auto"/>
            <w:vAlign w:val="bottom"/>
          </w:tcPr>
          <w:p w14:paraId="5C63C1F6" w14:textId="77777777" w:rsidR="00647C6B" w:rsidRPr="00A058B6" w:rsidRDefault="00647C6B" w:rsidP="009C0D79">
            <w:pPr>
              <w:pStyle w:val="Tabletext"/>
            </w:pPr>
            <w:r w:rsidRPr="00A058B6">
              <w:t>0</w:t>
            </w:r>
            <w:r w:rsidR="00D7157D">
              <w:t>.</w:t>
            </w:r>
            <w:r w:rsidRPr="00A058B6">
              <w:t>614</w:t>
            </w:r>
          </w:p>
        </w:tc>
      </w:tr>
      <w:tr w:rsidR="00647C6B" w:rsidRPr="00A058B6" w14:paraId="09A384E2" w14:textId="77777777" w:rsidTr="005D2F9E">
        <w:trPr>
          <w:trHeight w:val="245"/>
          <w:jc w:val="right"/>
        </w:trPr>
        <w:tc>
          <w:tcPr>
            <w:tcW w:w="1705" w:type="pct"/>
            <w:tcBorders>
              <w:top w:val="single" w:sz="4" w:space="0" w:color="auto"/>
              <w:left w:val="nil"/>
              <w:bottom w:val="single" w:sz="4" w:space="0" w:color="auto"/>
              <w:right w:val="nil"/>
            </w:tcBorders>
          </w:tcPr>
          <w:p w14:paraId="0EAD2971" w14:textId="77777777" w:rsidR="00647C6B" w:rsidRPr="00A058B6" w:rsidRDefault="00647C6B" w:rsidP="009C0D79">
            <w:pPr>
              <w:pStyle w:val="Tabletext"/>
            </w:pPr>
            <w:r w:rsidRPr="00A058B6">
              <w:t>46</w:t>
            </w:r>
          </w:p>
        </w:tc>
        <w:tc>
          <w:tcPr>
            <w:tcW w:w="1417" w:type="pct"/>
            <w:tcBorders>
              <w:top w:val="single" w:sz="2" w:space="0" w:color="auto"/>
              <w:left w:val="nil"/>
              <w:bottom w:val="single" w:sz="2" w:space="0" w:color="auto"/>
              <w:right w:val="nil"/>
            </w:tcBorders>
            <w:shd w:val="clear" w:color="auto" w:fill="auto"/>
            <w:vAlign w:val="bottom"/>
          </w:tcPr>
          <w:p w14:paraId="241B9AB6" w14:textId="77777777" w:rsidR="00647C6B" w:rsidRPr="00A058B6" w:rsidRDefault="00647C6B" w:rsidP="009C0D79">
            <w:pPr>
              <w:pStyle w:val="Tabletext"/>
            </w:pPr>
            <w:r w:rsidRPr="00A058B6">
              <w:t>1</w:t>
            </w:r>
            <w:r w:rsidR="00D7157D">
              <w:t>.</w:t>
            </w:r>
            <w:r w:rsidRPr="00A058B6">
              <w:t>627</w:t>
            </w:r>
          </w:p>
        </w:tc>
        <w:tc>
          <w:tcPr>
            <w:tcW w:w="1878" w:type="pct"/>
            <w:tcBorders>
              <w:top w:val="single" w:sz="2" w:space="0" w:color="auto"/>
              <w:left w:val="nil"/>
              <w:bottom w:val="single" w:sz="2" w:space="0" w:color="auto"/>
              <w:right w:val="nil"/>
            </w:tcBorders>
            <w:shd w:val="clear" w:color="auto" w:fill="auto"/>
            <w:vAlign w:val="bottom"/>
          </w:tcPr>
          <w:p w14:paraId="520AF69B" w14:textId="77777777" w:rsidR="00647C6B" w:rsidRPr="00A058B6" w:rsidRDefault="00647C6B" w:rsidP="009C0D79">
            <w:pPr>
              <w:pStyle w:val="Tabletext"/>
            </w:pPr>
            <w:r w:rsidRPr="00A058B6">
              <w:t>0</w:t>
            </w:r>
            <w:r w:rsidR="00D7157D">
              <w:t>.</w:t>
            </w:r>
            <w:r w:rsidRPr="00A058B6">
              <w:t>562</w:t>
            </w:r>
          </w:p>
        </w:tc>
      </w:tr>
      <w:tr w:rsidR="00647C6B" w:rsidRPr="00A058B6" w14:paraId="22841BF9" w14:textId="77777777" w:rsidTr="005D2F9E">
        <w:trPr>
          <w:trHeight w:val="245"/>
          <w:jc w:val="right"/>
        </w:trPr>
        <w:tc>
          <w:tcPr>
            <w:tcW w:w="1705" w:type="pct"/>
            <w:tcBorders>
              <w:top w:val="single" w:sz="4" w:space="0" w:color="auto"/>
              <w:left w:val="nil"/>
              <w:bottom w:val="single" w:sz="4" w:space="0" w:color="auto"/>
              <w:right w:val="nil"/>
            </w:tcBorders>
          </w:tcPr>
          <w:p w14:paraId="612D8D25" w14:textId="77777777" w:rsidR="00647C6B" w:rsidRPr="00A058B6" w:rsidRDefault="00647C6B" w:rsidP="009C0D79">
            <w:pPr>
              <w:pStyle w:val="Tabletext"/>
            </w:pPr>
            <w:r w:rsidRPr="00A058B6">
              <w:t>47</w:t>
            </w:r>
          </w:p>
        </w:tc>
        <w:tc>
          <w:tcPr>
            <w:tcW w:w="1417" w:type="pct"/>
            <w:tcBorders>
              <w:top w:val="single" w:sz="2" w:space="0" w:color="auto"/>
              <w:left w:val="nil"/>
              <w:bottom w:val="single" w:sz="2" w:space="0" w:color="auto"/>
              <w:right w:val="nil"/>
            </w:tcBorders>
            <w:shd w:val="clear" w:color="auto" w:fill="auto"/>
            <w:vAlign w:val="bottom"/>
          </w:tcPr>
          <w:p w14:paraId="2B8CA361" w14:textId="77777777" w:rsidR="00647C6B" w:rsidRPr="00A058B6" w:rsidRDefault="00647C6B" w:rsidP="009C0D79">
            <w:pPr>
              <w:pStyle w:val="Tabletext"/>
            </w:pPr>
            <w:r w:rsidRPr="00A058B6">
              <w:t>1</w:t>
            </w:r>
            <w:r w:rsidR="00D7157D">
              <w:t>.</w:t>
            </w:r>
            <w:r w:rsidRPr="00A058B6">
              <w:t>559</w:t>
            </w:r>
          </w:p>
        </w:tc>
        <w:tc>
          <w:tcPr>
            <w:tcW w:w="1878" w:type="pct"/>
            <w:tcBorders>
              <w:top w:val="single" w:sz="2" w:space="0" w:color="auto"/>
              <w:left w:val="nil"/>
              <w:bottom w:val="single" w:sz="2" w:space="0" w:color="auto"/>
              <w:right w:val="nil"/>
            </w:tcBorders>
            <w:shd w:val="clear" w:color="auto" w:fill="auto"/>
            <w:vAlign w:val="bottom"/>
          </w:tcPr>
          <w:p w14:paraId="4D647909" w14:textId="77777777" w:rsidR="00647C6B" w:rsidRPr="00A058B6" w:rsidRDefault="00647C6B" w:rsidP="009C0D79">
            <w:pPr>
              <w:pStyle w:val="Tabletext"/>
            </w:pPr>
            <w:r w:rsidRPr="00A058B6">
              <w:t>0</w:t>
            </w:r>
            <w:r w:rsidR="00D7157D">
              <w:t>.</w:t>
            </w:r>
            <w:r w:rsidRPr="00A058B6">
              <w:t>509</w:t>
            </w:r>
          </w:p>
        </w:tc>
      </w:tr>
      <w:tr w:rsidR="00647C6B" w:rsidRPr="00A058B6" w14:paraId="7A1407C7" w14:textId="77777777" w:rsidTr="005D2F9E">
        <w:trPr>
          <w:trHeight w:val="245"/>
          <w:jc w:val="right"/>
        </w:trPr>
        <w:tc>
          <w:tcPr>
            <w:tcW w:w="1705" w:type="pct"/>
            <w:tcBorders>
              <w:top w:val="single" w:sz="4" w:space="0" w:color="auto"/>
              <w:left w:val="nil"/>
              <w:bottom w:val="single" w:sz="4" w:space="0" w:color="auto"/>
              <w:right w:val="nil"/>
            </w:tcBorders>
          </w:tcPr>
          <w:p w14:paraId="4131E0CB" w14:textId="77777777" w:rsidR="00647C6B" w:rsidRPr="00A058B6" w:rsidRDefault="00647C6B" w:rsidP="009C0D79">
            <w:pPr>
              <w:pStyle w:val="Tabletext"/>
            </w:pPr>
            <w:r w:rsidRPr="00A058B6">
              <w:t>48</w:t>
            </w:r>
          </w:p>
        </w:tc>
        <w:tc>
          <w:tcPr>
            <w:tcW w:w="1417" w:type="pct"/>
            <w:tcBorders>
              <w:top w:val="single" w:sz="2" w:space="0" w:color="auto"/>
              <w:left w:val="nil"/>
              <w:bottom w:val="single" w:sz="2" w:space="0" w:color="auto"/>
              <w:right w:val="nil"/>
            </w:tcBorders>
            <w:shd w:val="clear" w:color="auto" w:fill="auto"/>
            <w:vAlign w:val="bottom"/>
          </w:tcPr>
          <w:p w14:paraId="3189B492" w14:textId="77777777" w:rsidR="00647C6B" w:rsidRPr="00A058B6" w:rsidRDefault="00647C6B" w:rsidP="009C0D79">
            <w:pPr>
              <w:pStyle w:val="Tabletext"/>
            </w:pPr>
            <w:r w:rsidRPr="00A058B6">
              <w:t>1</w:t>
            </w:r>
            <w:r w:rsidR="00D7157D">
              <w:t>.</w:t>
            </w:r>
            <w:r w:rsidRPr="00A058B6">
              <w:t>491</w:t>
            </w:r>
          </w:p>
        </w:tc>
        <w:tc>
          <w:tcPr>
            <w:tcW w:w="1878" w:type="pct"/>
            <w:tcBorders>
              <w:top w:val="single" w:sz="2" w:space="0" w:color="auto"/>
              <w:left w:val="nil"/>
              <w:bottom w:val="single" w:sz="2" w:space="0" w:color="auto"/>
              <w:right w:val="nil"/>
            </w:tcBorders>
            <w:shd w:val="clear" w:color="auto" w:fill="auto"/>
            <w:vAlign w:val="bottom"/>
          </w:tcPr>
          <w:p w14:paraId="0AE1234D" w14:textId="77777777" w:rsidR="00647C6B" w:rsidRPr="00A058B6" w:rsidRDefault="00647C6B" w:rsidP="009C0D79">
            <w:pPr>
              <w:pStyle w:val="Tabletext"/>
            </w:pPr>
            <w:r w:rsidRPr="00A058B6">
              <w:t>0</w:t>
            </w:r>
            <w:r w:rsidR="00D7157D">
              <w:t>.</w:t>
            </w:r>
            <w:r w:rsidRPr="00A058B6">
              <w:t>456</w:t>
            </w:r>
          </w:p>
        </w:tc>
      </w:tr>
      <w:tr w:rsidR="00647C6B" w:rsidRPr="00A058B6" w14:paraId="0FF512A9" w14:textId="77777777" w:rsidTr="005D2F9E">
        <w:trPr>
          <w:trHeight w:val="245"/>
          <w:jc w:val="right"/>
        </w:trPr>
        <w:tc>
          <w:tcPr>
            <w:tcW w:w="1705" w:type="pct"/>
            <w:tcBorders>
              <w:top w:val="single" w:sz="4" w:space="0" w:color="auto"/>
              <w:left w:val="nil"/>
              <w:bottom w:val="single" w:sz="4" w:space="0" w:color="auto"/>
              <w:right w:val="nil"/>
            </w:tcBorders>
          </w:tcPr>
          <w:p w14:paraId="6D7B5015" w14:textId="77777777" w:rsidR="00647C6B" w:rsidRPr="00A058B6" w:rsidRDefault="00647C6B" w:rsidP="009C0D79">
            <w:pPr>
              <w:pStyle w:val="Tabletext"/>
            </w:pPr>
            <w:r w:rsidRPr="00A058B6">
              <w:t>49</w:t>
            </w:r>
          </w:p>
        </w:tc>
        <w:tc>
          <w:tcPr>
            <w:tcW w:w="1417" w:type="pct"/>
            <w:tcBorders>
              <w:top w:val="single" w:sz="2" w:space="0" w:color="auto"/>
              <w:left w:val="nil"/>
              <w:bottom w:val="single" w:sz="2" w:space="0" w:color="auto"/>
              <w:right w:val="nil"/>
            </w:tcBorders>
            <w:shd w:val="clear" w:color="auto" w:fill="auto"/>
            <w:vAlign w:val="bottom"/>
          </w:tcPr>
          <w:p w14:paraId="2EBC19F6" w14:textId="77777777" w:rsidR="00647C6B" w:rsidRPr="00A058B6" w:rsidRDefault="00647C6B" w:rsidP="009C0D79">
            <w:pPr>
              <w:pStyle w:val="Tabletext"/>
            </w:pPr>
            <w:r w:rsidRPr="00A058B6">
              <w:t>1</w:t>
            </w:r>
            <w:r w:rsidR="00D7157D">
              <w:t>.</w:t>
            </w:r>
            <w:r w:rsidRPr="00A058B6">
              <w:t>423</w:t>
            </w:r>
          </w:p>
        </w:tc>
        <w:tc>
          <w:tcPr>
            <w:tcW w:w="1878" w:type="pct"/>
            <w:tcBorders>
              <w:top w:val="single" w:sz="2" w:space="0" w:color="auto"/>
              <w:left w:val="nil"/>
              <w:bottom w:val="single" w:sz="2" w:space="0" w:color="auto"/>
              <w:right w:val="nil"/>
            </w:tcBorders>
            <w:shd w:val="clear" w:color="auto" w:fill="auto"/>
            <w:vAlign w:val="bottom"/>
          </w:tcPr>
          <w:p w14:paraId="013CAE3D" w14:textId="77777777" w:rsidR="00647C6B" w:rsidRPr="00A058B6" w:rsidRDefault="00647C6B" w:rsidP="009C0D79">
            <w:pPr>
              <w:pStyle w:val="Tabletext"/>
            </w:pPr>
            <w:r w:rsidRPr="00A058B6">
              <w:t>0</w:t>
            </w:r>
            <w:r w:rsidR="00D7157D">
              <w:t>.</w:t>
            </w:r>
            <w:r w:rsidRPr="00A058B6">
              <w:t>404</w:t>
            </w:r>
          </w:p>
        </w:tc>
      </w:tr>
      <w:tr w:rsidR="00647C6B" w:rsidRPr="00A058B6" w14:paraId="691071C7" w14:textId="77777777" w:rsidTr="005D2F9E">
        <w:trPr>
          <w:trHeight w:val="245"/>
          <w:jc w:val="right"/>
        </w:trPr>
        <w:tc>
          <w:tcPr>
            <w:tcW w:w="1705" w:type="pct"/>
            <w:tcBorders>
              <w:top w:val="single" w:sz="4" w:space="0" w:color="auto"/>
              <w:left w:val="nil"/>
              <w:bottom w:val="single" w:sz="4" w:space="0" w:color="auto"/>
              <w:right w:val="nil"/>
            </w:tcBorders>
          </w:tcPr>
          <w:p w14:paraId="47D98F39" w14:textId="77777777" w:rsidR="00647C6B" w:rsidRPr="00A058B6" w:rsidRDefault="00647C6B" w:rsidP="009C0D79">
            <w:pPr>
              <w:pStyle w:val="Tabletext"/>
            </w:pPr>
            <w:r w:rsidRPr="00A058B6">
              <w:t>50</w:t>
            </w:r>
          </w:p>
        </w:tc>
        <w:tc>
          <w:tcPr>
            <w:tcW w:w="1417" w:type="pct"/>
            <w:tcBorders>
              <w:top w:val="single" w:sz="2" w:space="0" w:color="auto"/>
              <w:left w:val="nil"/>
              <w:bottom w:val="single" w:sz="2" w:space="0" w:color="auto"/>
              <w:right w:val="nil"/>
            </w:tcBorders>
            <w:shd w:val="clear" w:color="auto" w:fill="auto"/>
            <w:vAlign w:val="bottom"/>
          </w:tcPr>
          <w:p w14:paraId="00585B09" w14:textId="77777777" w:rsidR="00647C6B" w:rsidRPr="00A058B6" w:rsidRDefault="00647C6B" w:rsidP="009C0D79">
            <w:pPr>
              <w:pStyle w:val="Tabletext"/>
            </w:pPr>
            <w:r w:rsidRPr="00A058B6">
              <w:t>1</w:t>
            </w:r>
            <w:r w:rsidR="00D7157D">
              <w:t>.</w:t>
            </w:r>
            <w:r w:rsidRPr="00A058B6">
              <w:t>355</w:t>
            </w:r>
          </w:p>
        </w:tc>
        <w:tc>
          <w:tcPr>
            <w:tcW w:w="1878" w:type="pct"/>
            <w:tcBorders>
              <w:top w:val="single" w:sz="2" w:space="0" w:color="auto"/>
              <w:left w:val="nil"/>
              <w:bottom w:val="single" w:sz="2" w:space="0" w:color="auto"/>
              <w:right w:val="nil"/>
            </w:tcBorders>
            <w:shd w:val="clear" w:color="auto" w:fill="auto"/>
            <w:vAlign w:val="bottom"/>
          </w:tcPr>
          <w:p w14:paraId="58A9117B" w14:textId="77777777" w:rsidR="00647C6B" w:rsidRPr="00A058B6" w:rsidRDefault="00647C6B" w:rsidP="009C0D79">
            <w:pPr>
              <w:pStyle w:val="Tabletext"/>
            </w:pPr>
            <w:r w:rsidRPr="00A058B6">
              <w:t>0</w:t>
            </w:r>
            <w:r w:rsidR="00D7157D">
              <w:t>.</w:t>
            </w:r>
            <w:r w:rsidRPr="00A058B6">
              <w:t>351</w:t>
            </w:r>
          </w:p>
        </w:tc>
      </w:tr>
      <w:tr w:rsidR="00647C6B" w:rsidRPr="00A058B6" w14:paraId="379F4194" w14:textId="77777777" w:rsidTr="005D2F9E">
        <w:trPr>
          <w:trHeight w:val="245"/>
          <w:jc w:val="right"/>
        </w:trPr>
        <w:tc>
          <w:tcPr>
            <w:tcW w:w="1705" w:type="pct"/>
            <w:tcBorders>
              <w:top w:val="single" w:sz="4" w:space="0" w:color="auto"/>
              <w:left w:val="nil"/>
              <w:bottom w:val="single" w:sz="4" w:space="0" w:color="auto"/>
              <w:right w:val="nil"/>
            </w:tcBorders>
          </w:tcPr>
          <w:p w14:paraId="36E9BC34" w14:textId="77777777" w:rsidR="00647C6B" w:rsidRPr="00A058B6" w:rsidRDefault="00647C6B" w:rsidP="009C0D79">
            <w:pPr>
              <w:pStyle w:val="Tabletext"/>
            </w:pPr>
            <w:r w:rsidRPr="00A058B6">
              <w:t>51</w:t>
            </w:r>
          </w:p>
        </w:tc>
        <w:tc>
          <w:tcPr>
            <w:tcW w:w="1417" w:type="pct"/>
            <w:tcBorders>
              <w:top w:val="single" w:sz="2" w:space="0" w:color="auto"/>
              <w:left w:val="nil"/>
              <w:bottom w:val="single" w:sz="2" w:space="0" w:color="auto"/>
              <w:right w:val="nil"/>
            </w:tcBorders>
            <w:shd w:val="clear" w:color="auto" w:fill="auto"/>
            <w:vAlign w:val="bottom"/>
          </w:tcPr>
          <w:p w14:paraId="3FE5F9B9" w14:textId="77777777" w:rsidR="00647C6B" w:rsidRPr="00A058B6" w:rsidRDefault="00647C6B" w:rsidP="009C0D79">
            <w:pPr>
              <w:pStyle w:val="Tabletext"/>
            </w:pPr>
            <w:r w:rsidRPr="00A058B6">
              <w:t>1</w:t>
            </w:r>
            <w:r w:rsidR="00D7157D">
              <w:t>.</w:t>
            </w:r>
            <w:r w:rsidRPr="00A058B6">
              <w:t>152</w:t>
            </w:r>
          </w:p>
        </w:tc>
        <w:tc>
          <w:tcPr>
            <w:tcW w:w="1878" w:type="pct"/>
            <w:tcBorders>
              <w:top w:val="single" w:sz="2" w:space="0" w:color="auto"/>
              <w:left w:val="nil"/>
              <w:bottom w:val="single" w:sz="2" w:space="0" w:color="auto"/>
              <w:right w:val="nil"/>
            </w:tcBorders>
            <w:shd w:val="clear" w:color="auto" w:fill="auto"/>
            <w:vAlign w:val="bottom"/>
          </w:tcPr>
          <w:p w14:paraId="74A9F815" w14:textId="77777777" w:rsidR="00647C6B" w:rsidRPr="00A058B6" w:rsidRDefault="00647C6B" w:rsidP="009C0D79">
            <w:pPr>
              <w:pStyle w:val="Tabletext"/>
            </w:pPr>
            <w:r w:rsidRPr="00A058B6">
              <w:t>0</w:t>
            </w:r>
            <w:r w:rsidR="00D7157D">
              <w:t>.</w:t>
            </w:r>
            <w:r w:rsidRPr="00A058B6">
              <w:t>298</w:t>
            </w:r>
          </w:p>
        </w:tc>
      </w:tr>
      <w:tr w:rsidR="00647C6B" w:rsidRPr="00A058B6" w14:paraId="070CDD40" w14:textId="77777777" w:rsidTr="005D2F9E">
        <w:trPr>
          <w:trHeight w:val="245"/>
          <w:jc w:val="right"/>
        </w:trPr>
        <w:tc>
          <w:tcPr>
            <w:tcW w:w="1705" w:type="pct"/>
            <w:tcBorders>
              <w:top w:val="single" w:sz="4" w:space="0" w:color="auto"/>
              <w:left w:val="nil"/>
              <w:bottom w:val="single" w:sz="4" w:space="0" w:color="auto"/>
              <w:right w:val="nil"/>
            </w:tcBorders>
          </w:tcPr>
          <w:p w14:paraId="73A39FA8" w14:textId="77777777" w:rsidR="00647C6B" w:rsidRPr="00A058B6" w:rsidRDefault="00647C6B" w:rsidP="009C0D79">
            <w:pPr>
              <w:pStyle w:val="Tabletext"/>
            </w:pPr>
            <w:r w:rsidRPr="00A058B6">
              <w:t>52</w:t>
            </w:r>
          </w:p>
        </w:tc>
        <w:tc>
          <w:tcPr>
            <w:tcW w:w="1417" w:type="pct"/>
            <w:tcBorders>
              <w:top w:val="single" w:sz="2" w:space="0" w:color="auto"/>
              <w:left w:val="nil"/>
              <w:bottom w:val="single" w:sz="2" w:space="0" w:color="auto"/>
              <w:right w:val="nil"/>
            </w:tcBorders>
            <w:shd w:val="clear" w:color="auto" w:fill="auto"/>
            <w:vAlign w:val="bottom"/>
          </w:tcPr>
          <w:p w14:paraId="6730E884" w14:textId="77777777" w:rsidR="00647C6B" w:rsidRPr="00A058B6" w:rsidRDefault="00647C6B" w:rsidP="009C0D79">
            <w:pPr>
              <w:pStyle w:val="Tabletext"/>
            </w:pPr>
            <w:r w:rsidRPr="00A058B6">
              <w:t>0</w:t>
            </w:r>
            <w:r w:rsidR="00D7157D">
              <w:t>.</w:t>
            </w:r>
            <w:r w:rsidRPr="00A058B6">
              <w:t>949</w:t>
            </w:r>
          </w:p>
        </w:tc>
        <w:tc>
          <w:tcPr>
            <w:tcW w:w="1878" w:type="pct"/>
            <w:tcBorders>
              <w:top w:val="single" w:sz="2" w:space="0" w:color="auto"/>
              <w:left w:val="nil"/>
              <w:bottom w:val="single" w:sz="2" w:space="0" w:color="auto"/>
              <w:right w:val="nil"/>
            </w:tcBorders>
            <w:shd w:val="clear" w:color="auto" w:fill="auto"/>
            <w:vAlign w:val="bottom"/>
          </w:tcPr>
          <w:p w14:paraId="5A54ECCA" w14:textId="77777777" w:rsidR="00647C6B" w:rsidRPr="00A058B6" w:rsidRDefault="00647C6B" w:rsidP="009C0D79">
            <w:pPr>
              <w:pStyle w:val="Tabletext"/>
            </w:pPr>
            <w:r w:rsidRPr="00A058B6">
              <w:t>0</w:t>
            </w:r>
            <w:r w:rsidR="00D7157D">
              <w:t>.</w:t>
            </w:r>
            <w:r w:rsidRPr="00A058B6">
              <w:t>246</w:t>
            </w:r>
          </w:p>
        </w:tc>
      </w:tr>
      <w:tr w:rsidR="00647C6B" w:rsidRPr="00A058B6" w14:paraId="1C9DEE33" w14:textId="77777777" w:rsidTr="005D2F9E">
        <w:trPr>
          <w:trHeight w:val="245"/>
          <w:jc w:val="right"/>
        </w:trPr>
        <w:tc>
          <w:tcPr>
            <w:tcW w:w="1705" w:type="pct"/>
            <w:tcBorders>
              <w:top w:val="single" w:sz="4" w:space="0" w:color="auto"/>
              <w:left w:val="nil"/>
              <w:bottom w:val="single" w:sz="4" w:space="0" w:color="auto"/>
              <w:right w:val="nil"/>
            </w:tcBorders>
          </w:tcPr>
          <w:p w14:paraId="139087E4" w14:textId="77777777" w:rsidR="00647C6B" w:rsidRPr="00A058B6" w:rsidRDefault="00647C6B" w:rsidP="009C0D79">
            <w:pPr>
              <w:pStyle w:val="Tabletext"/>
            </w:pPr>
            <w:r w:rsidRPr="00A058B6">
              <w:t>53</w:t>
            </w:r>
          </w:p>
        </w:tc>
        <w:tc>
          <w:tcPr>
            <w:tcW w:w="1417" w:type="pct"/>
            <w:tcBorders>
              <w:top w:val="single" w:sz="2" w:space="0" w:color="auto"/>
              <w:left w:val="nil"/>
              <w:bottom w:val="single" w:sz="2" w:space="0" w:color="auto"/>
              <w:right w:val="nil"/>
            </w:tcBorders>
            <w:shd w:val="clear" w:color="auto" w:fill="auto"/>
            <w:vAlign w:val="bottom"/>
          </w:tcPr>
          <w:p w14:paraId="2AB9ECAD" w14:textId="77777777" w:rsidR="00647C6B" w:rsidRPr="00A058B6" w:rsidRDefault="00647C6B" w:rsidP="009C0D79">
            <w:pPr>
              <w:pStyle w:val="Tabletext"/>
            </w:pPr>
            <w:r w:rsidRPr="00A058B6">
              <w:t>0</w:t>
            </w:r>
            <w:r w:rsidR="00D7157D">
              <w:t>.</w:t>
            </w:r>
            <w:r w:rsidRPr="00A058B6">
              <w:t>745</w:t>
            </w:r>
          </w:p>
        </w:tc>
        <w:tc>
          <w:tcPr>
            <w:tcW w:w="1878" w:type="pct"/>
            <w:tcBorders>
              <w:top w:val="single" w:sz="2" w:space="0" w:color="auto"/>
              <w:left w:val="nil"/>
              <w:bottom w:val="single" w:sz="2" w:space="0" w:color="auto"/>
              <w:right w:val="nil"/>
            </w:tcBorders>
            <w:shd w:val="clear" w:color="auto" w:fill="auto"/>
            <w:vAlign w:val="bottom"/>
          </w:tcPr>
          <w:p w14:paraId="39B98130" w14:textId="77777777" w:rsidR="00647C6B" w:rsidRPr="00A058B6" w:rsidRDefault="00647C6B" w:rsidP="009C0D79">
            <w:pPr>
              <w:pStyle w:val="Tabletext"/>
            </w:pPr>
            <w:r w:rsidRPr="00A058B6">
              <w:t>0</w:t>
            </w:r>
            <w:r w:rsidR="00D7157D">
              <w:t>.</w:t>
            </w:r>
            <w:r w:rsidRPr="00A058B6">
              <w:t>193</w:t>
            </w:r>
          </w:p>
        </w:tc>
      </w:tr>
      <w:tr w:rsidR="00647C6B" w:rsidRPr="00A058B6" w14:paraId="65B5F7D0" w14:textId="77777777" w:rsidTr="005D2F9E">
        <w:trPr>
          <w:trHeight w:val="245"/>
          <w:jc w:val="right"/>
        </w:trPr>
        <w:tc>
          <w:tcPr>
            <w:tcW w:w="1705" w:type="pct"/>
            <w:tcBorders>
              <w:top w:val="single" w:sz="4" w:space="0" w:color="auto"/>
              <w:left w:val="nil"/>
              <w:bottom w:val="single" w:sz="4" w:space="0" w:color="auto"/>
              <w:right w:val="nil"/>
            </w:tcBorders>
          </w:tcPr>
          <w:p w14:paraId="71C7D33F" w14:textId="77777777" w:rsidR="00647C6B" w:rsidRPr="00A058B6" w:rsidRDefault="00647C6B" w:rsidP="009C0D79">
            <w:pPr>
              <w:pStyle w:val="Tabletext"/>
            </w:pPr>
            <w:r w:rsidRPr="00A058B6">
              <w:t>54</w:t>
            </w:r>
          </w:p>
        </w:tc>
        <w:tc>
          <w:tcPr>
            <w:tcW w:w="1417" w:type="pct"/>
            <w:tcBorders>
              <w:top w:val="single" w:sz="2" w:space="0" w:color="auto"/>
              <w:left w:val="nil"/>
              <w:bottom w:val="single" w:sz="2" w:space="0" w:color="auto"/>
              <w:right w:val="nil"/>
            </w:tcBorders>
            <w:shd w:val="clear" w:color="auto" w:fill="auto"/>
            <w:vAlign w:val="bottom"/>
          </w:tcPr>
          <w:p w14:paraId="1A0004FC" w14:textId="77777777" w:rsidR="00647C6B" w:rsidRPr="00A058B6" w:rsidRDefault="00647C6B" w:rsidP="009C0D79">
            <w:pPr>
              <w:pStyle w:val="Tabletext"/>
            </w:pPr>
            <w:r w:rsidRPr="00A058B6">
              <w:t>0</w:t>
            </w:r>
            <w:r w:rsidR="00D7157D">
              <w:t>.</w:t>
            </w:r>
            <w:r w:rsidRPr="00A058B6">
              <w:t>542</w:t>
            </w:r>
          </w:p>
        </w:tc>
        <w:tc>
          <w:tcPr>
            <w:tcW w:w="1878" w:type="pct"/>
            <w:tcBorders>
              <w:top w:val="single" w:sz="2" w:space="0" w:color="auto"/>
              <w:left w:val="nil"/>
              <w:bottom w:val="single" w:sz="2" w:space="0" w:color="auto"/>
              <w:right w:val="nil"/>
            </w:tcBorders>
            <w:shd w:val="clear" w:color="auto" w:fill="auto"/>
            <w:vAlign w:val="bottom"/>
          </w:tcPr>
          <w:p w14:paraId="0DCBFD02" w14:textId="77777777" w:rsidR="00647C6B" w:rsidRPr="00A058B6" w:rsidRDefault="00647C6B" w:rsidP="009C0D79">
            <w:pPr>
              <w:pStyle w:val="Tabletext"/>
            </w:pPr>
            <w:r w:rsidRPr="00A058B6">
              <w:t>0</w:t>
            </w:r>
            <w:r w:rsidR="00D7157D">
              <w:t>.</w:t>
            </w:r>
            <w:r w:rsidRPr="00A058B6">
              <w:t>140</w:t>
            </w:r>
          </w:p>
        </w:tc>
      </w:tr>
      <w:tr w:rsidR="00647C6B" w:rsidRPr="00A058B6" w14:paraId="07AFAB1C" w14:textId="77777777" w:rsidTr="005D2F9E">
        <w:trPr>
          <w:trHeight w:val="245"/>
          <w:jc w:val="right"/>
        </w:trPr>
        <w:tc>
          <w:tcPr>
            <w:tcW w:w="1705" w:type="pct"/>
            <w:tcBorders>
              <w:top w:val="single" w:sz="4" w:space="0" w:color="auto"/>
              <w:left w:val="nil"/>
              <w:bottom w:val="single" w:sz="12" w:space="0" w:color="auto"/>
              <w:right w:val="nil"/>
            </w:tcBorders>
          </w:tcPr>
          <w:p w14:paraId="10F0C859" w14:textId="77777777" w:rsidR="00647C6B" w:rsidRPr="00A058B6" w:rsidRDefault="00647C6B" w:rsidP="009C0D79">
            <w:pPr>
              <w:pStyle w:val="Tabletext"/>
            </w:pPr>
            <w:r w:rsidRPr="00A058B6">
              <w:t>55 and over</w:t>
            </w:r>
          </w:p>
        </w:tc>
        <w:tc>
          <w:tcPr>
            <w:tcW w:w="1417" w:type="pct"/>
            <w:tcBorders>
              <w:top w:val="single" w:sz="2" w:space="0" w:color="auto"/>
              <w:left w:val="nil"/>
              <w:bottom w:val="single" w:sz="12" w:space="0" w:color="auto"/>
              <w:right w:val="nil"/>
            </w:tcBorders>
            <w:shd w:val="clear" w:color="auto" w:fill="auto"/>
            <w:vAlign w:val="bottom"/>
          </w:tcPr>
          <w:p w14:paraId="0042B363" w14:textId="77777777" w:rsidR="00647C6B" w:rsidRPr="00A058B6" w:rsidRDefault="00647C6B" w:rsidP="009C0D79">
            <w:pPr>
              <w:pStyle w:val="Tabletext"/>
            </w:pPr>
            <w:r w:rsidRPr="00A058B6">
              <w:t>0</w:t>
            </w:r>
            <w:r w:rsidR="00D7157D">
              <w:t>.</w:t>
            </w:r>
            <w:r w:rsidRPr="00A058B6">
              <w:t>339</w:t>
            </w:r>
          </w:p>
        </w:tc>
        <w:tc>
          <w:tcPr>
            <w:tcW w:w="1878" w:type="pct"/>
            <w:tcBorders>
              <w:top w:val="single" w:sz="2" w:space="0" w:color="auto"/>
              <w:left w:val="nil"/>
              <w:bottom w:val="single" w:sz="12" w:space="0" w:color="auto"/>
              <w:right w:val="nil"/>
            </w:tcBorders>
            <w:shd w:val="clear" w:color="auto" w:fill="auto"/>
            <w:vAlign w:val="bottom"/>
          </w:tcPr>
          <w:p w14:paraId="19E88128" w14:textId="77777777" w:rsidR="00647C6B" w:rsidRPr="00A058B6" w:rsidRDefault="00647C6B" w:rsidP="009C0D79">
            <w:pPr>
              <w:pStyle w:val="Tabletext"/>
            </w:pPr>
            <w:r w:rsidRPr="00A058B6">
              <w:t>0</w:t>
            </w:r>
            <w:r w:rsidR="00D7157D">
              <w:t>.</w:t>
            </w:r>
            <w:r w:rsidRPr="00A058B6">
              <w:t>088</w:t>
            </w:r>
          </w:p>
        </w:tc>
      </w:tr>
    </w:tbl>
    <w:p w14:paraId="79440F44" w14:textId="3C447DC4" w:rsidR="00647C6B" w:rsidRPr="00A058B6" w:rsidRDefault="00D7157D" w:rsidP="00647C6B">
      <w:pPr>
        <w:pStyle w:val="ActHead5"/>
      </w:pPr>
      <w:bookmarkStart w:id="256" w:name="_Toc188350734"/>
      <w:r w:rsidRPr="00423C34">
        <w:rPr>
          <w:rStyle w:val="CharSectno"/>
        </w:rPr>
        <w:t>18</w:t>
      </w:r>
      <w:r w:rsidR="00647C6B" w:rsidRPr="00A058B6">
        <w:t xml:space="preserve">  Valuation factors—5</w:t>
      </w:r>
      <w:r w:rsidR="001952B3">
        <w:noBreakHyphen/>
      </w:r>
      <w:r w:rsidR="00647C6B" w:rsidRPr="00A058B6">
        <w:t xml:space="preserve">year guarantee period—CPI indexed pension </w:t>
      </w:r>
      <w:r w:rsidR="0033799E" w:rsidRPr="00A058B6">
        <w:t>plus 1%</w:t>
      </w:r>
      <w:bookmarkEnd w:id="256"/>
    </w:p>
    <w:p w14:paraId="430A9BA5"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0901E33C" w14:textId="7DA00408"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2877238E" w14:textId="77777777" w:rsidR="00222CE4" w:rsidRDefault="00222CE4" w:rsidP="007E1CEC">
      <w:pPr>
        <w:pStyle w:val="paragraph"/>
      </w:pPr>
      <w:r w:rsidRPr="00A058B6">
        <w:tab/>
        <w:t>(b)</w:t>
      </w:r>
      <w:r w:rsidRPr="00A058B6">
        <w:tab/>
        <w:t>is indexed in accordance with</w:t>
      </w:r>
      <w:r w:rsidR="007E1CEC">
        <w:t xml:space="preserve"> </w:t>
      </w:r>
      <w:r w:rsidRPr="00A058B6">
        <w:t>the consumer price index plus 1%</w:t>
      </w:r>
      <w:r w:rsidR="00D7157D">
        <w:t>.</w:t>
      </w:r>
    </w:p>
    <w:p w14:paraId="7D9BBF3F"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35011958" w14:textId="77777777" w:rsidTr="00963115">
        <w:trPr>
          <w:cantSplit/>
          <w:trHeight w:val="375"/>
          <w:tblHeader/>
          <w:jc w:val="right"/>
        </w:trPr>
        <w:tc>
          <w:tcPr>
            <w:tcW w:w="1705" w:type="pct"/>
            <w:vMerge w:val="restart"/>
            <w:tcBorders>
              <w:top w:val="single" w:sz="12" w:space="0" w:color="auto"/>
              <w:bottom w:val="single" w:sz="12" w:space="0" w:color="auto"/>
            </w:tcBorders>
          </w:tcPr>
          <w:p w14:paraId="5B04CAB9"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61E1F857" w14:textId="499CAEC9"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w:t>
            </w:r>
            <w:r w:rsidR="00222CE4" w:rsidRPr="00A058B6">
              <w:rPr>
                <w:snapToGrid w:val="0"/>
              </w:rPr>
              <w:t>—CPI indexed pension plus 1%</w:t>
            </w:r>
          </w:p>
        </w:tc>
      </w:tr>
      <w:tr w:rsidR="00647C6B" w:rsidRPr="00A058B6" w14:paraId="773C20FF" w14:textId="77777777" w:rsidTr="00963115">
        <w:trPr>
          <w:cantSplit/>
          <w:trHeight w:val="40"/>
          <w:tblHeader/>
          <w:jc w:val="right"/>
        </w:trPr>
        <w:tc>
          <w:tcPr>
            <w:tcW w:w="1705" w:type="pct"/>
            <w:vMerge/>
            <w:tcBorders>
              <w:bottom w:val="single" w:sz="12" w:space="0" w:color="auto"/>
            </w:tcBorders>
          </w:tcPr>
          <w:p w14:paraId="0636027D" w14:textId="77777777" w:rsidR="00647C6B" w:rsidRPr="00A058B6" w:rsidRDefault="00647C6B" w:rsidP="00963115">
            <w:pPr>
              <w:pStyle w:val="TableHeading"/>
              <w:rPr>
                <w:snapToGrid w:val="0"/>
              </w:rPr>
            </w:pPr>
          </w:p>
        </w:tc>
        <w:tc>
          <w:tcPr>
            <w:tcW w:w="1429" w:type="pct"/>
            <w:tcBorders>
              <w:bottom w:val="single" w:sz="12" w:space="0" w:color="auto"/>
            </w:tcBorders>
          </w:tcPr>
          <w:p w14:paraId="610A2DC1"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5E8A35BB" w14:textId="77777777" w:rsidR="00647C6B" w:rsidRPr="00A058B6" w:rsidRDefault="00647C6B" w:rsidP="00963115">
            <w:pPr>
              <w:pStyle w:val="TableHeading"/>
              <w:rPr>
                <w:snapToGrid w:val="0"/>
              </w:rPr>
            </w:pPr>
            <w:r w:rsidRPr="00A058B6">
              <w:rPr>
                <w:snapToGrid w:val="0"/>
              </w:rPr>
              <w:t>Female</w:t>
            </w:r>
          </w:p>
        </w:tc>
      </w:tr>
      <w:tr w:rsidR="00222CE4" w:rsidRPr="009E2595" w14:paraId="3783AA58" w14:textId="77777777" w:rsidTr="005D2F9E">
        <w:trPr>
          <w:trHeight w:val="245"/>
          <w:jc w:val="right"/>
        </w:trPr>
        <w:tc>
          <w:tcPr>
            <w:tcW w:w="1705" w:type="pct"/>
            <w:tcBorders>
              <w:top w:val="single" w:sz="12" w:space="0" w:color="auto"/>
              <w:bottom w:val="single" w:sz="4" w:space="0" w:color="auto"/>
            </w:tcBorders>
          </w:tcPr>
          <w:p w14:paraId="58CABD36" w14:textId="77777777" w:rsidR="00222CE4" w:rsidRPr="009B1322" w:rsidRDefault="00222CE4" w:rsidP="00A12E52">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74C9B414" w14:textId="77777777" w:rsidR="00222CE4" w:rsidRPr="009B1322" w:rsidRDefault="00222CE4" w:rsidP="00A12E52">
            <w:pPr>
              <w:pStyle w:val="Tabletext"/>
              <w:rPr>
                <w:snapToGrid w:val="0"/>
              </w:rPr>
            </w:pPr>
            <w:r w:rsidRPr="00295986">
              <w:t>22</w:t>
            </w:r>
            <w:r w:rsidR="00D7157D">
              <w:t>.</w:t>
            </w:r>
            <w:r w:rsidRPr="00295986">
              <w:t>6538</w:t>
            </w:r>
          </w:p>
        </w:tc>
        <w:tc>
          <w:tcPr>
            <w:tcW w:w="1866" w:type="pct"/>
            <w:tcBorders>
              <w:top w:val="single" w:sz="12" w:space="0" w:color="auto"/>
              <w:bottom w:val="single" w:sz="4" w:space="0" w:color="auto"/>
            </w:tcBorders>
            <w:vAlign w:val="center"/>
          </w:tcPr>
          <w:p w14:paraId="790E5FF1" w14:textId="77777777" w:rsidR="00222CE4" w:rsidRPr="009B1322" w:rsidRDefault="00222CE4" w:rsidP="00A12E52">
            <w:pPr>
              <w:pStyle w:val="Tabletext"/>
              <w:rPr>
                <w:snapToGrid w:val="0"/>
              </w:rPr>
            </w:pPr>
            <w:r w:rsidRPr="00295986">
              <w:t>23</w:t>
            </w:r>
            <w:r w:rsidR="00D7157D">
              <w:t>.</w:t>
            </w:r>
            <w:r w:rsidRPr="00295986">
              <w:t>7395</w:t>
            </w:r>
          </w:p>
        </w:tc>
      </w:tr>
      <w:tr w:rsidR="00222CE4" w:rsidRPr="009E2595" w14:paraId="4CD032C6" w14:textId="77777777" w:rsidTr="005D2F9E">
        <w:trPr>
          <w:trHeight w:val="245"/>
          <w:jc w:val="right"/>
        </w:trPr>
        <w:tc>
          <w:tcPr>
            <w:tcW w:w="1705" w:type="pct"/>
            <w:tcBorders>
              <w:top w:val="single" w:sz="4" w:space="0" w:color="auto"/>
              <w:bottom w:val="single" w:sz="4" w:space="0" w:color="auto"/>
            </w:tcBorders>
          </w:tcPr>
          <w:p w14:paraId="512ACD4E" w14:textId="77777777" w:rsidR="00222CE4" w:rsidRPr="009B1322" w:rsidRDefault="00222CE4" w:rsidP="00A12E52">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72131348" w14:textId="77777777" w:rsidR="00222CE4" w:rsidRPr="009B1322" w:rsidRDefault="00222CE4" w:rsidP="00A12E52">
            <w:pPr>
              <w:pStyle w:val="Tabletext"/>
              <w:rPr>
                <w:snapToGrid w:val="0"/>
              </w:rPr>
            </w:pPr>
            <w:r w:rsidRPr="00295986">
              <w:t>22</w:t>
            </w:r>
            <w:r w:rsidR="00D7157D">
              <w:t>.</w:t>
            </w:r>
            <w:r w:rsidRPr="00295986">
              <w:t>2034</w:t>
            </w:r>
          </w:p>
        </w:tc>
        <w:tc>
          <w:tcPr>
            <w:tcW w:w="1866" w:type="pct"/>
            <w:tcBorders>
              <w:top w:val="single" w:sz="4" w:space="0" w:color="auto"/>
              <w:bottom w:val="single" w:sz="4" w:space="0" w:color="auto"/>
            </w:tcBorders>
            <w:vAlign w:val="center"/>
          </w:tcPr>
          <w:p w14:paraId="60D7AB36" w14:textId="77777777" w:rsidR="00222CE4" w:rsidRPr="009B1322" w:rsidRDefault="00222CE4" w:rsidP="00A12E52">
            <w:pPr>
              <w:pStyle w:val="Tabletext"/>
              <w:rPr>
                <w:snapToGrid w:val="0"/>
              </w:rPr>
            </w:pPr>
            <w:r w:rsidRPr="00295986">
              <w:t>23</w:t>
            </w:r>
            <w:r w:rsidR="00D7157D">
              <w:t>.</w:t>
            </w:r>
            <w:r w:rsidRPr="00295986">
              <w:t>3019</w:t>
            </w:r>
          </w:p>
        </w:tc>
      </w:tr>
      <w:tr w:rsidR="00222CE4" w:rsidRPr="009E2595" w14:paraId="29B22038" w14:textId="77777777" w:rsidTr="005D2F9E">
        <w:trPr>
          <w:trHeight w:val="245"/>
          <w:jc w:val="right"/>
        </w:trPr>
        <w:tc>
          <w:tcPr>
            <w:tcW w:w="1705" w:type="pct"/>
            <w:tcBorders>
              <w:top w:val="single" w:sz="4" w:space="0" w:color="auto"/>
              <w:bottom w:val="single" w:sz="4" w:space="0" w:color="auto"/>
            </w:tcBorders>
          </w:tcPr>
          <w:p w14:paraId="6A38AEF1" w14:textId="77777777" w:rsidR="00222CE4" w:rsidRPr="009B1322" w:rsidRDefault="00222CE4" w:rsidP="00A12E52">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1B9C4BAA" w14:textId="77777777" w:rsidR="00222CE4" w:rsidRPr="009B1322" w:rsidRDefault="00222CE4" w:rsidP="00A12E52">
            <w:pPr>
              <w:pStyle w:val="Tabletext"/>
              <w:rPr>
                <w:snapToGrid w:val="0"/>
              </w:rPr>
            </w:pPr>
            <w:r w:rsidRPr="00295986">
              <w:t>21</w:t>
            </w:r>
            <w:r w:rsidR="00D7157D">
              <w:t>.</w:t>
            </w:r>
            <w:r w:rsidRPr="00295986">
              <w:t>7425</w:t>
            </w:r>
          </w:p>
        </w:tc>
        <w:tc>
          <w:tcPr>
            <w:tcW w:w="1866" w:type="pct"/>
            <w:tcBorders>
              <w:top w:val="single" w:sz="4" w:space="0" w:color="auto"/>
              <w:bottom w:val="single" w:sz="4" w:space="0" w:color="auto"/>
            </w:tcBorders>
            <w:vAlign w:val="center"/>
          </w:tcPr>
          <w:p w14:paraId="560F72C0" w14:textId="77777777" w:rsidR="00222CE4" w:rsidRPr="009B1322" w:rsidRDefault="00222CE4" w:rsidP="00A12E52">
            <w:pPr>
              <w:pStyle w:val="Tabletext"/>
              <w:rPr>
                <w:snapToGrid w:val="0"/>
              </w:rPr>
            </w:pPr>
            <w:r w:rsidRPr="00295986">
              <w:t>22</w:t>
            </w:r>
            <w:r w:rsidR="00D7157D">
              <w:t>.</w:t>
            </w:r>
            <w:r w:rsidRPr="00295986">
              <w:t>8554</w:t>
            </w:r>
          </w:p>
        </w:tc>
      </w:tr>
      <w:tr w:rsidR="00222CE4" w:rsidRPr="009E2595" w14:paraId="44A7F569" w14:textId="77777777" w:rsidTr="005D2F9E">
        <w:trPr>
          <w:trHeight w:val="245"/>
          <w:jc w:val="right"/>
        </w:trPr>
        <w:tc>
          <w:tcPr>
            <w:tcW w:w="1705" w:type="pct"/>
            <w:tcBorders>
              <w:top w:val="single" w:sz="4" w:space="0" w:color="auto"/>
              <w:bottom w:val="single" w:sz="4" w:space="0" w:color="auto"/>
            </w:tcBorders>
          </w:tcPr>
          <w:p w14:paraId="318AD079" w14:textId="77777777" w:rsidR="00222CE4" w:rsidRPr="009B1322" w:rsidRDefault="00222CE4" w:rsidP="00A12E52">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356C7A6A" w14:textId="77777777" w:rsidR="00222CE4" w:rsidRPr="009B1322" w:rsidRDefault="00222CE4" w:rsidP="00A12E52">
            <w:pPr>
              <w:pStyle w:val="Tabletext"/>
              <w:rPr>
                <w:snapToGrid w:val="0"/>
              </w:rPr>
            </w:pPr>
            <w:r w:rsidRPr="00295986">
              <w:t>21</w:t>
            </w:r>
            <w:r w:rsidR="00D7157D">
              <w:t>.</w:t>
            </w:r>
            <w:r w:rsidRPr="00295986">
              <w:t>2709</w:t>
            </w:r>
          </w:p>
        </w:tc>
        <w:tc>
          <w:tcPr>
            <w:tcW w:w="1866" w:type="pct"/>
            <w:tcBorders>
              <w:top w:val="single" w:sz="4" w:space="0" w:color="auto"/>
              <w:bottom w:val="single" w:sz="4" w:space="0" w:color="auto"/>
            </w:tcBorders>
            <w:vAlign w:val="center"/>
          </w:tcPr>
          <w:p w14:paraId="1DA100CA" w14:textId="77777777" w:rsidR="00222CE4" w:rsidRPr="009B1322" w:rsidRDefault="00222CE4" w:rsidP="00A12E52">
            <w:pPr>
              <w:pStyle w:val="Tabletext"/>
              <w:rPr>
                <w:snapToGrid w:val="0"/>
              </w:rPr>
            </w:pPr>
            <w:r w:rsidRPr="00295986">
              <w:t>22</w:t>
            </w:r>
            <w:r w:rsidR="00D7157D">
              <w:t>.</w:t>
            </w:r>
            <w:r w:rsidRPr="00295986">
              <w:t>3990</w:t>
            </w:r>
          </w:p>
        </w:tc>
      </w:tr>
      <w:tr w:rsidR="00222CE4" w:rsidRPr="009E2595" w14:paraId="3B332B34" w14:textId="77777777" w:rsidTr="005D2F9E">
        <w:trPr>
          <w:trHeight w:val="245"/>
          <w:jc w:val="right"/>
        </w:trPr>
        <w:tc>
          <w:tcPr>
            <w:tcW w:w="1705" w:type="pct"/>
            <w:tcBorders>
              <w:top w:val="single" w:sz="4" w:space="0" w:color="auto"/>
              <w:bottom w:val="single" w:sz="4" w:space="0" w:color="auto"/>
            </w:tcBorders>
          </w:tcPr>
          <w:p w14:paraId="7A7EA78A" w14:textId="77777777" w:rsidR="00222CE4" w:rsidRPr="009B1322" w:rsidRDefault="00222CE4" w:rsidP="00A12E52">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67EE56A3" w14:textId="77777777" w:rsidR="00222CE4" w:rsidRPr="009B1322" w:rsidRDefault="00222CE4" w:rsidP="00A12E52">
            <w:pPr>
              <w:pStyle w:val="Tabletext"/>
              <w:rPr>
                <w:snapToGrid w:val="0"/>
              </w:rPr>
            </w:pPr>
            <w:r w:rsidRPr="00295986">
              <w:t>20</w:t>
            </w:r>
            <w:r w:rsidR="00D7157D">
              <w:t>.</w:t>
            </w:r>
            <w:r w:rsidRPr="00295986">
              <w:t>7881</w:t>
            </w:r>
          </w:p>
        </w:tc>
        <w:tc>
          <w:tcPr>
            <w:tcW w:w="1866" w:type="pct"/>
            <w:tcBorders>
              <w:top w:val="single" w:sz="4" w:space="0" w:color="auto"/>
              <w:bottom w:val="single" w:sz="4" w:space="0" w:color="auto"/>
            </w:tcBorders>
            <w:vAlign w:val="center"/>
          </w:tcPr>
          <w:p w14:paraId="3D7E8EA5" w14:textId="77777777" w:rsidR="00222CE4" w:rsidRPr="009B1322" w:rsidRDefault="00222CE4" w:rsidP="00A12E52">
            <w:pPr>
              <w:pStyle w:val="Tabletext"/>
              <w:rPr>
                <w:snapToGrid w:val="0"/>
              </w:rPr>
            </w:pPr>
            <w:r w:rsidRPr="00295986">
              <w:t>21</w:t>
            </w:r>
            <w:r w:rsidR="00D7157D">
              <w:t>.</w:t>
            </w:r>
            <w:r w:rsidRPr="00295986">
              <w:t>9323</w:t>
            </w:r>
          </w:p>
        </w:tc>
      </w:tr>
      <w:tr w:rsidR="00222CE4" w:rsidRPr="009E2595" w14:paraId="65D8DEFD" w14:textId="77777777" w:rsidTr="005D2F9E">
        <w:trPr>
          <w:trHeight w:val="245"/>
          <w:jc w:val="right"/>
        </w:trPr>
        <w:tc>
          <w:tcPr>
            <w:tcW w:w="1705" w:type="pct"/>
            <w:tcBorders>
              <w:top w:val="single" w:sz="4" w:space="0" w:color="auto"/>
              <w:bottom w:val="single" w:sz="4" w:space="0" w:color="auto"/>
            </w:tcBorders>
          </w:tcPr>
          <w:p w14:paraId="350D4CDF" w14:textId="77777777" w:rsidR="00222CE4" w:rsidRPr="009B1322" w:rsidRDefault="00222CE4" w:rsidP="00A12E52">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5A4ADED4" w14:textId="77777777" w:rsidR="00222CE4" w:rsidRPr="009B1322" w:rsidRDefault="00222CE4" w:rsidP="00A12E52">
            <w:pPr>
              <w:pStyle w:val="Tabletext"/>
              <w:rPr>
                <w:snapToGrid w:val="0"/>
              </w:rPr>
            </w:pPr>
            <w:r w:rsidRPr="00295986">
              <w:t>20</w:t>
            </w:r>
            <w:r w:rsidR="00D7157D">
              <w:t>.</w:t>
            </w:r>
            <w:r w:rsidRPr="00295986">
              <w:t>2944</w:t>
            </w:r>
          </w:p>
        </w:tc>
        <w:tc>
          <w:tcPr>
            <w:tcW w:w="1866" w:type="pct"/>
            <w:tcBorders>
              <w:top w:val="single" w:sz="4" w:space="0" w:color="auto"/>
              <w:bottom w:val="single" w:sz="4" w:space="0" w:color="auto"/>
            </w:tcBorders>
            <w:vAlign w:val="center"/>
          </w:tcPr>
          <w:p w14:paraId="0553405D" w14:textId="77777777" w:rsidR="00222CE4" w:rsidRPr="009B1322" w:rsidRDefault="00222CE4" w:rsidP="00A12E52">
            <w:pPr>
              <w:pStyle w:val="Tabletext"/>
              <w:rPr>
                <w:snapToGrid w:val="0"/>
              </w:rPr>
            </w:pPr>
            <w:r w:rsidRPr="00295986">
              <w:t>21</w:t>
            </w:r>
            <w:r w:rsidR="00D7157D">
              <w:t>.</w:t>
            </w:r>
            <w:r w:rsidRPr="00295986">
              <w:t>4550</w:t>
            </w:r>
          </w:p>
        </w:tc>
      </w:tr>
      <w:tr w:rsidR="00222CE4" w:rsidRPr="009E2595" w14:paraId="61E5D95D" w14:textId="77777777" w:rsidTr="005D2F9E">
        <w:trPr>
          <w:trHeight w:val="245"/>
          <w:jc w:val="right"/>
        </w:trPr>
        <w:tc>
          <w:tcPr>
            <w:tcW w:w="1705" w:type="pct"/>
            <w:tcBorders>
              <w:top w:val="single" w:sz="4" w:space="0" w:color="auto"/>
              <w:bottom w:val="single" w:sz="4" w:space="0" w:color="auto"/>
            </w:tcBorders>
          </w:tcPr>
          <w:p w14:paraId="4BEF7A62" w14:textId="77777777" w:rsidR="00222CE4" w:rsidRPr="009B1322" w:rsidRDefault="00222CE4" w:rsidP="00A12E52">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3D36DFB6" w14:textId="77777777" w:rsidR="00222CE4" w:rsidRPr="009B1322" w:rsidRDefault="00222CE4" w:rsidP="00A12E52">
            <w:pPr>
              <w:pStyle w:val="Tabletext"/>
              <w:rPr>
                <w:snapToGrid w:val="0"/>
              </w:rPr>
            </w:pPr>
            <w:r w:rsidRPr="00295986">
              <w:t>19</w:t>
            </w:r>
            <w:r w:rsidR="00D7157D">
              <w:t>.</w:t>
            </w:r>
            <w:r w:rsidRPr="00295986">
              <w:t>7902</w:t>
            </w:r>
          </w:p>
        </w:tc>
        <w:tc>
          <w:tcPr>
            <w:tcW w:w="1866" w:type="pct"/>
            <w:tcBorders>
              <w:top w:val="single" w:sz="4" w:space="0" w:color="auto"/>
              <w:bottom w:val="single" w:sz="4" w:space="0" w:color="auto"/>
            </w:tcBorders>
            <w:vAlign w:val="center"/>
          </w:tcPr>
          <w:p w14:paraId="7D312859" w14:textId="77777777" w:rsidR="00222CE4" w:rsidRPr="009B1322" w:rsidRDefault="00222CE4" w:rsidP="00A12E52">
            <w:pPr>
              <w:pStyle w:val="Tabletext"/>
              <w:rPr>
                <w:snapToGrid w:val="0"/>
              </w:rPr>
            </w:pPr>
            <w:r w:rsidRPr="00295986">
              <w:t>20</w:t>
            </w:r>
            <w:r w:rsidR="00D7157D">
              <w:t>.</w:t>
            </w:r>
            <w:r w:rsidRPr="00295986">
              <w:t>9666</w:t>
            </w:r>
          </w:p>
        </w:tc>
      </w:tr>
      <w:tr w:rsidR="00222CE4" w:rsidRPr="009E2595" w14:paraId="3466AF7E" w14:textId="77777777" w:rsidTr="005D2F9E">
        <w:trPr>
          <w:trHeight w:val="245"/>
          <w:jc w:val="right"/>
        </w:trPr>
        <w:tc>
          <w:tcPr>
            <w:tcW w:w="1705" w:type="pct"/>
            <w:tcBorders>
              <w:top w:val="single" w:sz="4" w:space="0" w:color="auto"/>
              <w:bottom w:val="single" w:sz="4" w:space="0" w:color="auto"/>
            </w:tcBorders>
          </w:tcPr>
          <w:p w14:paraId="49D0A884" w14:textId="77777777" w:rsidR="00222CE4" w:rsidRPr="009B1322" w:rsidRDefault="00222CE4" w:rsidP="00A12E52">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64DDA0B9" w14:textId="77777777" w:rsidR="00222CE4" w:rsidRPr="009B1322" w:rsidRDefault="00222CE4" w:rsidP="00A12E52">
            <w:pPr>
              <w:pStyle w:val="Tabletext"/>
              <w:rPr>
                <w:snapToGrid w:val="0"/>
              </w:rPr>
            </w:pPr>
            <w:r w:rsidRPr="00295986">
              <w:t>19</w:t>
            </w:r>
            <w:r w:rsidR="00D7157D">
              <w:t>.</w:t>
            </w:r>
            <w:r w:rsidRPr="00295986">
              <w:t>2755</w:t>
            </w:r>
          </w:p>
        </w:tc>
        <w:tc>
          <w:tcPr>
            <w:tcW w:w="1866" w:type="pct"/>
            <w:tcBorders>
              <w:top w:val="single" w:sz="4" w:space="0" w:color="auto"/>
              <w:bottom w:val="single" w:sz="4" w:space="0" w:color="auto"/>
            </w:tcBorders>
            <w:vAlign w:val="center"/>
          </w:tcPr>
          <w:p w14:paraId="256BD211" w14:textId="77777777" w:rsidR="00222CE4" w:rsidRPr="009B1322" w:rsidRDefault="00222CE4" w:rsidP="00A12E52">
            <w:pPr>
              <w:pStyle w:val="Tabletext"/>
              <w:rPr>
                <w:snapToGrid w:val="0"/>
              </w:rPr>
            </w:pPr>
            <w:r w:rsidRPr="00295986">
              <w:t>20</w:t>
            </w:r>
            <w:r w:rsidR="00D7157D">
              <w:t>.</w:t>
            </w:r>
            <w:r w:rsidRPr="00295986">
              <w:t>4679</w:t>
            </w:r>
          </w:p>
        </w:tc>
      </w:tr>
      <w:tr w:rsidR="00222CE4" w:rsidRPr="009E2595" w14:paraId="6D15BA61" w14:textId="77777777" w:rsidTr="005D2F9E">
        <w:trPr>
          <w:trHeight w:val="245"/>
          <w:jc w:val="right"/>
        </w:trPr>
        <w:tc>
          <w:tcPr>
            <w:tcW w:w="1705" w:type="pct"/>
            <w:tcBorders>
              <w:top w:val="single" w:sz="4" w:space="0" w:color="auto"/>
              <w:bottom w:val="single" w:sz="4" w:space="0" w:color="auto"/>
            </w:tcBorders>
          </w:tcPr>
          <w:p w14:paraId="62673C07" w14:textId="77777777" w:rsidR="00222CE4" w:rsidRPr="009B1322" w:rsidRDefault="00222CE4" w:rsidP="00A12E52">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2D76CEC8" w14:textId="77777777" w:rsidR="00222CE4" w:rsidRPr="009B1322" w:rsidRDefault="00222CE4" w:rsidP="00A12E52">
            <w:pPr>
              <w:pStyle w:val="Tabletext"/>
              <w:rPr>
                <w:snapToGrid w:val="0"/>
              </w:rPr>
            </w:pPr>
            <w:r w:rsidRPr="00295986">
              <w:t>18</w:t>
            </w:r>
            <w:r w:rsidR="00D7157D">
              <w:t>.</w:t>
            </w:r>
            <w:r w:rsidRPr="00295986">
              <w:t>7509</w:t>
            </w:r>
          </w:p>
        </w:tc>
        <w:tc>
          <w:tcPr>
            <w:tcW w:w="1866" w:type="pct"/>
            <w:tcBorders>
              <w:top w:val="single" w:sz="4" w:space="0" w:color="auto"/>
              <w:bottom w:val="single" w:sz="4" w:space="0" w:color="auto"/>
            </w:tcBorders>
            <w:vAlign w:val="center"/>
          </w:tcPr>
          <w:p w14:paraId="41E79A42" w14:textId="77777777" w:rsidR="00222CE4" w:rsidRPr="009B1322" w:rsidRDefault="00222CE4" w:rsidP="00A12E52">
            <w:pPr>
              <w:pStyle w:val="Tabletext"/>
              <w:rPr>
                <w:snapToGrid w:val="0"/>
              </w:rPr>
            </w:pPr>
            <w:r w:rsidRPr="00295986">
              <w:t>19</w:t>
            </w:r>
            <w:r w:rsidR="00D7157D">
              <w:t>.</w:t>
            </w:r>
            <w:r w:rsidRPr="00295986">
              <w:t>9591</w:t>
            </w:r>
          </w:p>
        </w:tc>
      </w:tr>
      <w:tr w:rsidR="00222CE4" w:rsidRPr="009E2595" w14:paraId="7845D830" w14:textId="77777777" w:rsidTr="005D2F9E">
        <w:trPr>
          <w:trHeight w:val="245"/>
          <w:jc w:val="right"/>
        </w:trPr>
        <w:tc>
          <w:tcPr>
            <w:tcW w:w="1705" w:type="pct"/>
            <w:tcBorders>
              <w:top w:val="single" w:sz="4" w:space="0" w:color="auto"/>
              <w:bottom w:val="single" w:sz="4" w:space="0" w:color="auto"/>
            </w:tcBorders>
          </w:tcPr>
          <w:p w14:paraId="759C045C" w14:textId="77777777" w:rsidR="00222CE4" w:rsidRPr="009B1322" w:rsidRDefault="00222CE4" w:rsidP="00A12E52">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7D6037A0" w14:textId="77777777" w:rsidR="00222CE4" w:rsidRPr="009B1322" w:rsidRDefault="00222CE4" w:rsidP="00A12E52">
            <w:pPr>
              <w:pStyle w:val="Tabletext"/>
              <w:rPr>
                <w:snapToGrid w:val="0"/>
              </w:rPr>
            </w:pPr>
            <w:r w:rsidRPr="00295986">
              <w:t>18</w:t>
            </w:r>
            <w:r w:rsidR="00D7157D">
              <w:t>.</w:t>
            </w:r>
            <w:r w:rsidRPr="00295986">
              <w:t>2167</w:t>
            </w:r>
          </w:p>
        </w:tc>
        <w:tc>
          <w:tcPr>
            <w:tcW w:w="1866" w:type="pct"/>
            <w:tcBorders>
              <w:top w:val="single" w:sz="4" w:space="0" w:color="auto"/>
              <w:bottom w:val="single" w:sz="4" w:space="0" w:color="auto"/>
            </w:tcBorders>
            <w:vAlign w:val="center"/>
          </w:tcPr>
          <w:p w14:paraId="6F42FF37" w14:textId="77777777" w:rsidR="00222CE4" w:rsidRPr="009B1322" w:rsidRDefault="00222CE4" w:rsidP="00A12E52">
            <w:pPr>
              <w:pStyle w:val="Tabletext"/>
              <w:rPr>
                <w:snapToGrid w:val="0"/>
              </w:rPr>
            </w:pPr>
            <w:r w:rsidRPr="00295986">
              <w:t>19</w:t>
            </w:r>
            <w:r w:rsidR="00D7157D">
              <w:t>.</w:t>
            </w:r>
            <w:r w:rsidRPr="00295986">
              <w:t>4403</w:t>
            </w:r>
          </w:p>
        </w:tc>
      </w:tr>
      <w:tr w:rsidR="00222CE4" w:rsidRPr="009E2595" w14:paraId="6A88D4E1" w14:textId="77777777" w:rsidTr="005D2F9E">
        <w:trPr>
          <w:trHeight w:val="245"/>
          <w:jc w:val="right"/>
        </w:trPr>
        <w:tc>
          <w:tcPr>
            <w:tcW w:w="1705" w:type="pct"/>
            <w:tcBorders>
              <w:top w:val="single" w:sz="4" w:space="0" w:color="auto"/>
              <w:bottom w:val="single" w:sz="12" w:space="0" w:color="auto"/>
            </w:tcBorders>
          </w:tcPr>
          <w:p w14:paraId="2A83A957" w14:textId="77777777" w:rsidR="00222CE4" w:rsidRPr="009B1322" w:rsidRDefault="00222CE4" w:rsidP="00A12E52">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18044AD8" w14:textId="77777777" w:rsidR="00222CE4" w:rsidRPr="009B1322" w:rsidRDefault="00222CE4" w:rsidP="00A12E52">
            <w:pPr>
              <w:pStyle w:val="Tabletext"/>
              <w:rPr>
                <w:snapToGrid w:val="0"/>
              </w:rPr>
            </w:pPr>
            <w:r w:rsidRPr="00295986">
              <w:t>17</w:t>
            </w:r>
            <w:r w:rsidR="00D7157D">
              <w:t>.</w:t>
            </w:r>
            <w:r w:rsidRPr="00295986">
              <w:t>6747</w:t>
            </w:r>
          </w:p>
        </w:tc>
        <w:tc>
          <w:tcPr>
            <w:tcW w:w="1866" w:type="pct"/>
            <w:tcBorders>
              <w:top w:val="single" w:sz="4" w:space="0" w:color="auto"/>
              <w:bottom w:val="single" w:sz="12" w:space="0" w:color="auto"/>
            </w:tcBorders>
            <w:vAlign w:val="center"/>
          </w:tcPr>
          <w:p w14:paraId="77B80AF2" w14:textId="77777777" w:rsidR="00222CE4" w:rsidRPr="009B1322" w:rsidRDefault="00222CE4" w:rsidP="00A12E52">
            <w:pPr>
              <w:pStyle w:val="Tabletext"/>
              <w:rPr>
                <w:snapToGrid w:val="0"/>
              </w:rPr>
            </w:pPr>
            <w:r w:rsidRPr="00295986">
              <w:t>18</w:t>
            </w:r>
            <w:r w:rsidR="00D7157D">
              <w:t>.</w:t>
            </w:r>
            <w:r w:rsidRPr="00295986">
              <w:t>9131</w:t>
            </w:r>
          </w:p>
        </w:tc>
      </w:tr>
    </w:tbl>
    <w:p w14:paraId="1E5BBC64"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60391086" w14:textId="77777777" w:rsidTr="00963115">
        <w:trPr>
          <w:cantSplit/>
          <w:trHeight w:val="375"/>
          <w:tblHeader/>
          <w:jc w:val="right"/>
        </w:trPr>
        <w:tc>
          <w:tcPr>
            <w:tcW w:w="1705" w:type="pct"/>
            <w:vMerge w:val="restart"/>
            <w:tcBorders>
              <w:top w:val="single" w:sz="12" w:space="0" w:color="auto"/>
              <w:bottom w:val="single" w:sz="12" w:space="0" w:color="auto"/>
            </w:tcBorders>
          </w:tcPr>
          <w:p w14:paraId="40571D72"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69118570" w14:textId="2816DCF0"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w:t>
            </w:r>
            <w:r w:rsidR="00222CE4" w:rsidRPr="00A058B6">
              <w:rPr>
                <w:snapToGrid w:val="0"/>
              </w:rPr>
              <w:t>—CPI indexed pension plus 1%</w:t>
            </w:r>
          </w:p>
        </w:tc>
      </w:tr>
      <w:tr w:rsidR="00647C6B" w:rsidRPr="00A058B6" w14:paraId="7A5404C9" w14:textId="77777777" w:rsidTr="00963115">
        <w:trPr>
          <w:cantSplit/>
          <w:trHeight w:val="40"/>
          <w:tblHeader/>
          <w:jc w:val="right"/>
        </w:trPr>
        <w:tc>
          <w:tcPr>
            <w:tcW w:w="1705" w:type="pct"/>
            <w:vMerge/>
            <w:tcBorders>
              <w:bottom w:val="single" w:sz="12" w:space="0" w:color="auto"/>
            </w:tcBorders>
          </w:tcPr>
          <w:p w14:paraId="083BC1AB" w14:textId="77777777" w:rsidR="00647C6B" w:rsidRPr="00A058B6" w:rsidRDefault="00647C6B" w:rsidP="00963115">
            <w:pPr>
              <w:pStyle w:val="TableHeading"/>
              <w:rPr>
                <w:snapToGrid w:val="0"/>
              </w:rPr>
            </w:pPr>
          </w:p>
        </w:tc>
        <w:tc>
          <w:tcPr>
            <w:tcW w:w="1417" w:type="pct"/>
            <w:tcBorders>
              <w:bottom w:val="single" w:sz="12" w:space="0" w:color="auto"/>
            </w:tcBorders>
          </w:tcPr>
          <w:p w14:paraId="7781808E"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3E2DB3B5" w14:textId="77777777" w:rsidR="00647C6B" w:rsidRPr="00A058B6" w:rsidRDefault="00647C6B" w:rsidP="00963115">
            <w:pPr>
              <w:pStyle w:val="TableHeading"/>
              <w:rPr>
                <w:snapToGrid w:val="0"/>
              </w:rPr>
            </w:pPr>
            <w:r w:rsidRPr="00A058B6">
              <w:rPr>
                <w:snapToGrid w:val="0"/>
              </w:rPr>
              <w:t>Female</w:t>
            </w:r>
          </w:p>
        </w:tc>
      </w:tr>
      <w:tr w:rsidR="00222CE4" w:rsidRPr="009E2595" w14:paraId="39E1E363" w14:textId="77777777" w:rsidTr="005D2F9E">
        <w:trPr>
          <w:trHeight w:val="245"/>
          <w:jc w:val="right"/>
        </w:trPr>
        <w:tc>
          <w:tcPr>
            <w:tcW w:w="1705" w:type="pct"/>
            <w:tcBorders>
              <w:top w:val="single" w:sz="12" w:space="0" w:color="auto"/>
              <w:bottom w:val="single" w:sz="4" w:space="0" w:color="auto"/>
            </w:tcBorders>
          </w:tcPr>
          <w:p w14:paraId="044891A7" w14:textId="77777777" w:rsidR="00222CE4" w:rsidRPr="009B1322" w:rsidRDefault="00222CE4" w:rsidP="00A12E52">
            <w:pPr>
              <w:pStyle w:val="Tabletext"/>
              <w:rPr>
                <w:snapToGrid w:val="0"/>
              </w:rPr>
            </w:pPr>
            <w:r w:rsidRPr="009B1322">
              <w:rPr>
                <w:snapToGrid w:val="0"/>
              </w:rPr>
              <w:t>Up to 40</w:t>
            </w:r>
          </w:p>
        </w:tc>
        <w:tc>
          <w:tcPr>
            <w:tcW w:w="1417" w:type="pct"/>
            <w:tcBorders>
              <w:top w:val="single" w:sz="12" w:space="0" w:color="auto"/>
              <w:bottom w:val="single" w:sz="4" w:space="0" w:color="auto"/>
            </w:tcBorders>
            <w:vAlign w:val="bottom"/>
          </w:tcPr>
          <w:p w14:paraId="6F08663E" w14:textId="77777777" w:rsidR="00222CE4" w:rsidRPr="009B1322" w:rsidRDefault="00222CE4" w:rsidP="00A12E52">
            <w:pPr>
              <w:pStyle w:val="Tabletext"/>
              <w:rPr>
                <w:snapToGrid w:val="0"/>
              </w:rPr>
            </w:pPr>
            <w:r w:rsidRPr="00295986">
              <w:t>2</w:t>
            </w:r>
            <w:r w:rsidR="00D7157D">
              <w:t>.</w:t>
            </w:r>
            <w:r w:rsidRPr="00295986">
              <w:t>777</w:t>
            </w:r>
          </w:p>
        </w:tc>
        <w:tc>
          <w:tcPr>
            <w:tcW w:w="1878" w:type="pct"/>
            <w:tcBorders>
              <w:top w:val="single" w:sz="12" w:space="0" w:color="auto"/>
              <w:bottom w:val="single" w:sz="4" w:space="0" w:color="auto"/>
            </w:tcBorders>
            <w:vAlign w:val="bottom"/>
          </w:tcPr>
          <w:p w14:paraId="304749AB" w14:textId="77777777" w:rsidR="00222CE4" w:rsidRPr="009B1322" w:rsidRDefault="00222CE4" w:rsidP="00A12E52">
            <w:pPr>
              <w:pStyle w:val="Tabletext"/>
              <w:rPr>
                <w:snapToGrid w:val="0"/>
              </w:rPr>
            </w:pPr>
            <w:r w:rsidRPr="00295986">
              <w:t>1</w:t>
            </w:r>
            <w:r w:rsidR="00D7157D">
              <w:t>.</w:t>
            </w:r>
            <w:r w:rsidRPr="00295986">
              <w:t>180</w:t>
            </w:r>
          </w:p>
        </w:tc>
      </w:tr>
      <w:tr w:rsidR="00222CE4" w:rsidRPr="009E2595" w14:paraId="31F4D7BF" w14:textId="77777777" w:rsidTr="005D2F9E">
        <w:trPr>
          <w:trHeight w:val="245"/>
          <w:jc w:val="right"/>
        </w:trPr>
        <w:tc>
          <w:tcPr>
            <w:tcW w:w="1705" w:type="pct"/>
            <w:tcBorders>
              <w:top w:val="single" w:sz="4" w:space="0" w:color="auto"/>
              <w:bottom w:val="single" w:sz="4" w:space="0" w:color="auto"/>
            </w:tcBorders>
          </w:tcPr>
          <w:p w14:paraId="29DD24A2" w14:textId="77777777" w:rsidR="00222CE4" w:rsidRPr="009B1322" w:rsidRDefault="00222CE4" w:rsidP="00A12E52">
            <w:pPr>
              <w:pStyle w:val="Tabletext"/>
              <w:rPr>
                <w:snapToGrid w:val="0"/>
              </w:rPr>
            </w:pPr>
            <w:r w:rsidRPr="009B1322">
              <w:rPr>
                <w:snapToGrid w:val="0"/>
              </w:rPr>
              <w:t>41</w:t>
            </w:r>
          </w:p>
        </w:tc>
        <w:tc>
          <w:tcPr>
            <w:tcW w:w="1417" w:type="pct"/>
            <w:tcBorders>
              <w:top w:val="single" w:sz="4" w:space="0" w:color="auto"/>
              <w:bottom w:val="single" w:sz="4" w:space="0" w:color="auto"/>
            </w:tcBorders>
            <w:vAlign w:val="bottom"/>
          </w:tcPr>
          <w:p w14:paraId="23D32243" w14:textId="77777777" w:rsidR="00222CE4" w:rsidRPr="009B1322" w:rsidRDefault="00222CE4" w:rsidP="00A12E52">
            <w:pPr>
              <w:pStyle w:val="Tabletext"/>
              <w:rPr>
                <w:snapToGrid w:val="0"/>
              </w:rPr>
            </w:pPr>
            <w:r w:rsidRPr="00295986">
              <w:t>2</w:t>
            </w:r>
            <w:r w:rsidR="00D7157D">
              <w:t>.</w:t>
            </w:r>
            <w:r w:rsidRPr="00295986">
              <w:t>684</w:t>
            </w:r>
          </w:p>
        </w:tc>
        <w:tc>
          <w:tcPr>
            <w:tcW w:w="1878" w:type="pct"/>
            <w:tcBorders>
              <w:top w:val="single" w:sz="4" w:space="0" w:color="auto"/>
              <w:bottom w:val="single" w:sz="4" w:space="0" w:color="auto"/>
            </w:tcBorders>
            <w:vAlign w:val="bottom"/>
          </w:tcPr>
          <w:p w14:paraId="75D61BC9" w14:textId="77777777" w:rsidR="00222CE4" w:rsidRPr="009B1322" w:rsidRDefault="00222CE4" w:rsidP="00A12E52">
            <w:pPr>
              <w:pStyle w:val="Tabletext"/>
              <w:rPr>
                <w:snapToGrid w:val="0"/>
              </w:rPr>
            </w:pPr>
            <w:r w:rsidRPr="00295986">
              <w:t>1</w:t>
            </w:r>
            <w:r w:rsidR="00D7157D">
              <w:t>.</w:t>
            </w:r>
            <w:r w:rsidRPr="00295986">
              <w:t>109</w:t>
            </w:r>
          </w:p>
        </w:tc>
      </w:tr>
      <w:tr w:rsidR="00222CE4" w:rsidRPr="009E2595" w14:paraId="6F93A7BD" w14:textId="77777777" w:rsidTr="005D2F9E">
        <w:trPr>
          <w:trHeight w:val="245"/>
          <w:jc w:val="right"/>
        </w:trPr>
        <w:tc>
          <w:tcPr>
            <w:tcW w:w="1705" w:type="pct"/>
            <w:tcBorders>
              <w:top w:val="single" w:sz="4" w:space="0" w:color="auto"/>
              <w:bottom w:val="single" w:sz="4" w:space="0" w:color="auto"/>
            </w:tcBorders>
          </w:tcPr>
          <w:p w14:paraId="19057941" w14:textId="77777777" w:rsidR="00222CE4" w:rsidRPr="009B1322" w:rsidRDefault="00222CE4" w:rsidP="00A12E52">
            <w:pPr>
              <w:pStyle w:val="Tabletext"/>
              <w:rPr>
                <w:snapToGrid w:val="0"/>
              </w:rPr>
            </w:pPr>
            <w:r w:rsidRPr="009B1322">
              <w:rPr>
                <w:snapToGrid w:val="0"/>
              </w:rPr>
              <w:t>42</w:t>
            </w:r>
          </w:p>
        </w:tc>
        <w:tc>
          <w:tcPr>
            <w:tcW w:w="1417" w:type="pct"/>
            <w:tcBorders>
              <w:top w:val="single" w:sz="4" w:space="0" w:color="auto"/>
              <w:bottom w:val="single" w:sz="4" w:space="0" w:color="auto"/>
            </w:tcBorders>
            <w:vAlign w:val="bottom"/>
          </w:tcPr>
          <w:p w14:paraId="0209754E" w14:textId="77777777" w:rsidR="00222CE4" w:rsidRPr="009B1322" w:rsidRDefault="00222CE4" w:rsidP="00A12E52">
            <w:pPr>
              <w:pStyle w:val="Tabletext"/>
              <w:rPr>
                <w:snapToGrid w:val="0"/>
              </w:rPr>
            </w:pPr>
            <w:r w:rsidRPr="00295986">
              <w:t>2</w:t>
            </w:r>
            <w:r w:rsidR="00D7157D">
              <w:t>.</w:t>
            </w:r>
            <w:r w:rsidRPr="00295986">
              <w:t>592</w:t>
            </w:r>
          </w:p>
        </w:tc>
        <w:tc>
          <w:tcPr>
            <w:tcW w:w="1878" w:type="pct"/>
            <w:tcBorders>
              <w:top w:val="single" w:sz="4" w:space="0" w:color="auto"/>
              <w:bottom w:val="single" w:sz="4" w:space="0" w:color="auto"/>
            </w:tcBorders>
            <w:vAlign w:val="bottom"/>
          </w:tcPr>
          <w:p w14:paraId="3FE5D7C6" w14:textId="77777777" w:rsidR="00222CE4" w:rsidRPr="009B1322" w:rsidRDefault="00222CE4" w:rsidP="00A12E52">
            <w:pPr>
              <w:pStyle w:val="Tabletext"/>
              <w:rPr>
                <w:snapToGrid w:val="0"/>
              </w:rPr>
            </w:pPr>
            <w:r w:rsidRPr="00295986">
              <w:t>1</w:t>
            </w:r>
            <w:r w:rsidR="00D7157D">
              <w:t>.</w:t>
            </w:r>
            <w:r w:rsidRPr="00295986">
              <w:t>038</w:t>
            </w:r>
          </w:p>
        </w:tc>
      </w:tr>
      <w:tr w:rsidR="00222CE4" w:rsidRPr="009E2595" w14:paraId="4A2911E0" w14:textId="77777777" w:rsidTr="005D2F9E">
        <w:trPr>
          <w:trHeight w:val="245"/>
          <w:jc w:val="right"/>
        </w:trPr>
        <w:tc>
          <w:tcPr>
            <w:tcW w:w="1705" w:type="pct"/>
            <w:tcBorders>
              <w:top w:val="single" w:sz="4" w:space="0" w:color="auto"/>
              <w:bottom w:val="single" w:sz="4" w:space="0" w:color="auto"/>
            </w:tcBorders>
          </w:tcPr>
          <w:p w14:paraId="0E96E238" w14:textId="77777777" w:rsidR="00222CE4" w:rsidRPr="009B1322" w:rsidRDefault="00222CE4" w:rsidP="00A12E52">
            <w:pPr>
              <w:pStyle w:val="Tabletext"/>
              <w:rPr>
                <w:snapToGrid w:val="0"/>
              </w:rPr>
            </w:pPr>
            <w:r w:rsidRPr="009B1322">
              <w:rPr>
                <w:snapToGrid w:val="0"/>
              </w:rPr>
              <w:t>43</w:t>
            </w:r>
          </w:p>
        </w:tc>
        <w:tc>
          <w:tcPr>
            <w:tcW w:w="1417" w:type="pct"/>
            <w:tcBorders>
              <w:top w:val="single" w:sz="4" w:space="0" w:color="auto"/>
              <w:bottom w:val="single" w:sz="4" w:space="0" w:color="auto"/>
            </w:tcBorders>
            <w:vAlign w:val="bottom"/>
          </w:tcPr>
          <w:p w14:paraId="4D7128D4" w14:textId="77777777" w:rsidR="00222CE4" w:rsidRPr="009B1322" w:rsidRDefault="00222CE4" w:rsidP="00A12E52">
            <w:pPr>
              <w:pStyle w:val="Tabletext"/>
              <w:rPr>
                <w:snapToGrid w:val="0"/>
              </w:rPr>
            </w:pPr>
            <w:r w:rsidRPr="00295986">
              <w:t>2</w:t>
            </w:r>
            <w:r w:rsidR="00D7157D">
              <w:t>.</w:t>
            </w:r>
            <w:r w:rsidRPr="00295986">
              <w:t>499</w:t>
            </w:r>
          </w:p>
        </w:tc>
        <w:tc>
          <w:tcPr>
            <w:tcW w:w="1878" w:type="pct"/>
            <w:tcBorders>
              <w:top w:val="single" w:sz="4" w:space="0" w:color="auto"/>
              <w:bottom w:val="single" w:sz="4" w:space="0" w:color="auto"/>
            </w:tcBorders>
            <w:vAlign w:val="bottom"/>
          </w:tcPr>
          <w:p w14:paraId="0938267C" w14:textId="77777777" w:rsidR="00222CE4" w:rsidRPr="009B1322" w:rsidRDefault="00222CE4" w:rsidP="00A12E52">
            <w:pPr>
              <w:pStyle w:val="Tabletext"/>
              <w:rPr>
                <w:snapToGrid w:val="0"/>
              </w:rPr>
            </w:pPr>
            <w:r w:rsidRPr="00295986">
              <w:t>0</w:t>
            </w:r>
            <w:r w:rsidR="00D7157D">
              <w:t>.</w:t>
            </w:r>
            <w:r w:rsidRPr="00295986">
              <w:t>967</w:t>
            </w:r>
          </w:p>
        </w:tc>
      </w:tr>
      <w:tr w:rsidR="00222CE4" w:rsidRPr="009E2595" w14:paraId="3CBB7338" w14:textId="77777777" w:rsidTr="005D2F9E">
        <w:trPr>
          <w:trHeight w:val="245"/>
          <w:jc w:val="right"/>
        </w:trPr>
        <w:tc>
          <w:tcPr>
            <w:tcW w:w="1705" w:type="pct"/>
            <w:tcBorders>
              <w:top w:val="single" w:sz="4" w:space="0" w:color="auto"/>
              <w:bottom w:val="single" w:sz="4" w:space="0" w:color="auto"/>
            </w:tcBorders>
          </w:tcPr>
          <w:p w14:paraId="249FAC5F" w14:textId="77777777" w:rsidR="00222CE4" w:rsidRPr="009B1322" w:rsidRDefault="00222CE4" w:rsidP="00A12E52">
            <w:pPr>
              <w:pStyle w:val="Tabletext"/>
              <w:rPr>
                <w:snapToGrid w:val="0"/>
              </w:rPr>
            </w:pPr>
            <w:r w:rsidRPr="009B1322">
              <w:rPr>
                <w:snapToGrid w:val="0"/>
              </w:rPr>
              <w:t>44</w:t>
            </w:r>
          </w:p>
        </w:tc>
        <w:tc>
          <w:tcPr>
            <w:tcW w:w="1417" w:type="pct"/>
            <w:tcBorders>
              <w:top w:val="single" w:sz="4" w:space="0" w:color="auto"/>
              <w:bottom w:val="single" w:sz="4" w:space="0" w:color="auto"/>
            </w:tcBorders>
            <w:vAlign w:val="bottom"/>
          </w:tcPr>
          <w:p w14:paraId="1CA484DE" w14:textId="77777777" w:rsidR="00222CE4" w:rsidRPr="009B1322" w:rsidRDefault="00222CE4" w:rsidP="00A12E52">
            <w:pPr>
              <w:pStyle w:val="Tabletext"/>
              <w:rPr>
                <w:snapToGrid w:val="0"/>
              </w:rPr>
            </w:pPr>
            <w:r w:rsidRPr="00295986">
              <w:t>2</w:t>
            </w:r>
            <w:r w:rsidR="00D7157D">
              <w:t>.</w:t>
            </w:r>
            <w:r w:rsidRPr="00295986">
              <w:t>406</w:t>
            </w:r>
          </w:p>
        </w:tc>
        <w:tc>
          <w:tcPr>
            <w:tcW w:w="1878" w:type="pct"/>
            <w:tcBorders>
              <w:top w:val="single" w:sz="4" w:space="0" w:color="auto"/>
              <w:bottom w:val="single" w:sz="4" w:space="0" w:color="auto"/>
            </w:tcBorders>
            <w:vAlign w:val="bottom"/>
          </w:tcPr>
          <w:p w14:paraId="6E89EFA5" w14:textId="77777777" w:rsidR="00222CE4" w:rsidRPr="009B1322" w:rsidRDefault="00222CE4" w:rsidP="00A12E52">
            <w:pPr>
              <w:pStyle w:val="Tabletext"/>
              <w:rPr>
                <w:snapToGrid w:val="0"/>
              </w:rPr>
            </w:pPr>
            <w:r w:rsidRPr="00295986">
              <w:t>0</w:t>
            </w:r>
            <w:r w:rsidR="00D7157D">
              <w:t>.</w:t>
            </w:r>
            <w:r w:rsidRPr="00295986">
              <w:t>897</w:t>
            </w:r>
          </w:p>
        </w:tc>
      </w:tr>
      <w:tr w:rsidR="00222CE4" w:rsidRPr="009E2595" w14:paraId="6845A782" w14:textId="77777777" w:rsidTr="005D2F9E">
        <w:trPr>
          <w:trHeight w:val="245"/>
          <w:jc w:val="right"/>
        </w:trPr>
        <w:tc>
          <w:tcPr>
            <w:tcW w:w="1705" w:type="pct"/>
            <w:tcBorders>
              <w:top w:val="single" w:sz="4" w:space="0" w:color="auto"/>
              <w:bottom w:val="single" w:sz="4" w:space="0" w:color="auto"/>
            </w:tcBorders>
          </w:tcPr>
          <w:p w14:paraId="7E4002EE" w14:textId="77777777" w:rsidR="00222CE4" w:rsidRPr="009B1322" w:rsidRDefault="00222CE4" w:rsidP="00A12E52">
            <w:pPr>
              <w:pStyle w:val="Tabletext"/>
              <w:rPr>
                <w:snapToGrid w:val="0"/>
              </w:rPr>
            </w:pPr>
            <w:r w:rsidRPr="009B1322">
              <w:rPr>
                <w:snapToGrid w:val="0"/>
              </w:rPr>
              <w:t>45</w:t>
            </w:r>
          </w:p>
        </w:tc>
        <w:tc>
          <w:tcPr>
            <w:tcW w:w="1417" w:type="pct"/>
            <w:tcBorders>
              <w:top w:val="single" w:sz="4" w:space="0" w:color="auto"/>
              <w:bottom w:val="single" w:sz="4" w:space="0" w:color="auto"/>
            </w:tcBorders>
            <w:vAlign w:val="bottom"/>
          </w:tcPr>
          <w:p w14:paraId="78BD719F" w14:textId="77777777" w:rsidR="00222CE4" w:rsidRPr="009B1322" w:rsidRDefault="00222CE4" w:rsidP="00A12E52">
            <w:pPr>
              <w:pStyle w:val="Tabletext"/>
              <w:rPr>
                <w:snapToGrid w:val="0"/>
              </w:rPr>
            </w:pPr>
            <w:r w:rsidRPr="00295986">
              <w:t>2</w:t>
            </w:r>
            <w:r w:rsidR="00D7157D">
              <w:t>.</w:t>
            </w:r>
            <w:r w:rsidRPr="00295986">
              <w:t>314</w:t>
            </w:r>
          </w:p>
        </w:tc>
        <w:tc>
          <w:tcPr>
            <w:tcW w:w="1878" w:type="pct"/>
            <w:tcBorders>
              <w:top w:val="single" w:sz="4" w:space="0" w:color="auto"/>
              <w:bottom w:val="single" w:sz="4" w:space="0" w:color="auto"/>
            </w:tcBorders>
            <w:vAlign w:val="bottom"/>
          </w:tcPr>
          <w:p w14:paraId="16BCE90F" w14:textId="77777777" w:rsidR="00222CE4" w:rsidRPr="009B1322" w:rsidRDefault="00222CE4" w:rsidP="00A12E52">
            <w:pPr>
              <w:pStyle w:val="Tabletext"/>
              <w:rPr>
                <w:snapToGrid w:val="0"/>
              </w:rPr>
            </w:pPr>
            <w:r w:rsidRPr="00295986">
              <w:t>0</w:t>
            </w:r>
            <w:r w:rsidR="00D7157D">
              <w:t>.</w:t>
            </w:r>
            <w:r w:rsidRPr="00295986">
              <w:t>826</w:t>
            </w:r>
          </w:p>
        </w:tc>
      </w:tr>
      <w:tr w:rsidR="00222CE4" w:rsidRPr="009E2595" w14:paraId="5014AEF0" w14:textId="77777777" w:rsidTr="005D2F9E">
        <w:trPr>
          <w:trHeight w:val="245"/>
          <w:jc w:val="right"/>
        </w:trPr>
        <w:tc>
          <w:tcPr>
            <w:tcW w:w="1705" w:type="pct"/>
            <w:tcBorders>
              <w:top w:val="single" w:sz="4" w:space="0" w:color="auto"/>
              <w:bottom w:val="single" w:sz="4" w:space="0" w:color="auto"/>
            </w:tcBorders>
          </w:tcPr>
          <w:p w14:paraId="533815DE" w14:textId="77777777" w:rsidR="00222CE4" w:rsidRPr="009B1322" w:rsidRDefault="00222CE4" w:rsidP="00A12E52">
            <w:pPr>
              <w:pStyle w:val="Tabletext"/>
              <w:rPr>
                <w:snapToGrid w:val="0"/>
              </w:rPr>
            </w:pPr>
            <w:r w:rsidRPr="009B1322">
              <w:rPr>
                <w:snapToGrid w:val="0"/>
              </w:rPr>
              <w:t>46</w:t>
            </w:r>
          </w:p>
        </w:tc>
        <w:tc>
          <w:tcPr>
            <w:tcW w:w="1417" w:type="pct"/>
            <w:tcBorders>
              <w:top w:val="single" w:sz="4" w:space="0" w:color="auto"/>
              <w:bottom w:val="single" w:sz="4" w:space="0" w:color="auto"/>
            </w:tcBorders>
            <w:vAlign w:val="bottom"/>
          </w:tcPr>
          <w:p w14:paraId="29ABD837" w14:textId="77777777" w:rsidR="00222CE4" w:rsidRPr="009B1322" w:rsidRDefault="00222CE4" w:rsidP="00A12E52">
            <w:pPr>
              <w:pStyle w:val="Tabletext"/>
              <w:rPr>
                <w:snapToGrid w:val="0"/>
              </w:rPr>
            </w:pPr>
            <w:r w:rsidRPr="00295986">
              <w:t>2</w:t>
            </w:r>
            <w:r w:rsidR="00D7157D">
              <w:t>.</w:t>
            </w:r>
            <w:r w:rsidRPr="00295986">
              <w:t>221</w:t>
            </w:r>
          </w:p>
        </w:tc>
        <w:tc>
          <w:tcPr>
            <w:tcW w:w="1878" w:type="pct"/>
            <w:tcBorders>
              <w:top w:val="single" w:sz="4" w:space="0" w:color="auto"/>
              <w:bottom w:val="single" w:sz="4" w:space="0" w:color="auto"/>
            </w:tcBorders>
            <w:vAlign w:val="bottom"/>
          </w:tcPr>
          <w:p w14:paraId="40928568" w14:textId="77777777" w:rsidR="00222CE4" w:rsidRPr="009B1322" w:rsidRDefault="00222CE4" w:rsidP="00A12E52">
            <w:pPr>
              <w:pStyle w:val="Tabletext"/>
              <w:rPr>
                <w:snapToGrid w:val="0"/>
              </w:rPr>
            </w:pPr>
            <w:r w:rsidRPr="00295986">
              <w:t>0</w:t>
            </w:r>
            <w:r w:rsidR="00D7157D">
              <w:t>.</w:t>
            </w:r>
            <w:r w:rsidRPr="00295986">
              <w:t>755</w:t>
            </w:r>
          </w:p>
        </w:tc>
      </w:tr>
      <w:tr w:rsidR="00222CE4" w:rsidRPr="009E2595" w14:paraId="09DEFE6D" w14:textId="77777777" w:rsidTr="005D2F9E">
        <w:trPr>
          <w:trHeight w:val="245"/>
          <w:jc w:val="right"/>
        </w:trPr>
        <w:tc>
          <w:tcPr>
            <w:tcW w:w="1705" w:type="pct"/>
            <w:tcBorders>
              <w:top w:val="single" w:sz="4" w:space="0" w:color="auto"/>
              <w:bottom w:val="single" w:sz="4" w:space="0" w:color="auto"/>
            </w:tcBorders>
          </w:tcPr>
          <w:p w14:paraId="448803F4" w14:textId="77777777" w:rsidR="00222CE4" w:rsidRPr="009B1322" w:rsidRDefault="00222CE4" w:rsidP="00A12E52">
            <w:pPr>
              <w:pStyle w:val="Tabletext"/>
              <w:rPr>
                <w:snapToGrid w:val="0"/>
              </w:rPr>
            </w:pPr>
            <w:r w:rsidRPr="009B1322">
              <w:rPr>
                <w:snapToGrid w:val="0"/>
              </w:rPr>
              <w:t>47</w:t>
            </w:r>
          </w:p>
        </w:tc>
        <w:tc>
          <w:tcPr>
            <w:tcW w:w="1417" w:type="pct"/>
            <w:tcBorders>
              <w:top w:val="single" w:sz="4" w:space="0" w:color="auto"/>
              <w:bottom w:val="single" w:sz="4" w:space="0" w:color="auto"/>
            </w:tcBorders>
            <w:vAlign w:val="bottom"/>
          </w:tcPr>
          <w:p w14:paraId="310C8E85" w14:textId="77777777" w:rsidR="00222CE4" w:rsidRPr="009B1322" w:rsidRDefault="00222CE4" w:rsidP="00A12E52">
            <w:pPr>
              <w:pStyle w:val="Tabletext"/>
              <w:rPr>
                <w:snapToGrid w:val="0"/>
              </w:rPr>
            </w:pPr>
            <w:r w:rsidRPr="00295986">
              <w:t>2</w:t>
            </w:r>
            <w:r w:rsidR="00D7157D">
              <w:t>.</w:t>
            </w:r>
            <w:r w:rsidRPr="00295986">
              <w:t>129</w:t>
            </w:r>
          </w:p>
        </w:tc>
        <w:tc>
          <w:tcPr>
            <w:tcW w:w="1878" w:type="pct"/>
            <w:tcBorders>
              <w:top w:val="single" w:sz="4" w:space="0" w:color="auto"/>
              <w:bottom w:val="single" w:sz="4" w:space="0" w:color="auto"/>
            </w:tcBorders>
            <w:vAlign w:val="bottom"/>
          </w:tcPr>
          <w:p w14:paraId="49C446DA" w14:textId="77777777" w:rsidR="00222CE4" w:rsidRPr="009B1322" w:rsidRDefault="00222CE4" w:rsidP="00A12E52">
            <w:pPr>
              <w:pStyle w:val="Tabletext"/>
              <w:rPr>
                <w:snapToGrid w:val="0"/>
              </w:rPr>
            </w:pPr>
            <w:r w:rsidRPr="00295986">
              <w:t>0</w:t>
            </w:r>
            <w:r w:rsidR="00D7157D">
              <w:t>.</w:t>
            </w:r>
            <w:r w:rsidRPr="00295986">
              <w:t>684</w:t>
            </w:r>
          </w:p>
        </w:tc>
      </w:tr>
      <w:tr w:rsidR="00222CE4" w:rsidRPr="009E2595" w14:paraId="10413823" w14:textId="77777777" w:rsidTr="005D2F9E">
        <w:trPr>
          <w:trHeight w:val="245"/>
          <w:jc w:val="right"/>
        </w:trPr>
        <w:tc>
          <w:tcPr>
            <w:tcW w:w="1705" w:type="pct"/>
            <w:tcBorders>
              <w:top w:val="single" w:sz="4" w:space="0" w:color="auto"/>
              <w:bottom w:val="single" w:sz="4" w:space="0" w:color="auto"/>
            </w:tcBorders>
          </w:tcPr>
          <w:p w14:paraId="4AD35E49" w14:textId="77777777" w:rsidR="00222CE4" w:rsidRPr="009B1322" w:rsidRDefault="00222CE4" w:rsidP="00A12E52">
            <w:pPr>
              <w:pStyle w:val="Tabletext"/>
              <w:rPr>
                <w:snapToGrid w:val="0"/>
              </w:rPr>
            </w:pPr>
            <w:r w:rsidRPr="009B1322">
              <w:rPr>
                <w:snapToGrid w:val="0"/>
              </w:rPr>
              <w:t>48</w:t>
            </w:r>
          </w:p>
        </w:tc>
        <w:tc>
          <w:tcPr>
            <w:tcW w:w="1417" w:type="pct"/>
            <w:tcBorders>
              <w:top w:val="single" w:sz="4" w:space="0" w:color="auto"/>
              <w:bottom w:val="single" w:sz="4" w:space="0" w:color="auto"/>
            </w:tcBorders>
            <w:vAlign w:val="bottom"/>
          </w:tcPr>
          <w:p w14:paraId="29D4E353" w14:textId="77777777" w:rsidR="00222CE4" w:rsidRPr="009B1322" w:rsidRDefault="00222CE4" w:rsidP="00A12E52">
            <w:pPr>
              <w:pStyle w:val="Tabletext"/>
              <w:rPr>
                <w:snapToGrid w:val="0"/>
              </w:rPr>
            </w:pPr>
            <w:r w:rsidRPr="00295986">
              <w:t>2</w:t>
            </w:r>
            <w:r w:rsidR="00D7157D">
              <w:t>.</w:t>
            </w:r>
            <w:r w:rsidRPr="00295986">
              <w:t>036</w:t>
            </w:r>
          </w:p>
        </w:tc>
        <w:tc>
          <w:tcPr>
            <w:tcW w:w="1878" w:type="pct"/>
            <w:tcBorders>
              <w:top w:val="single" w:sz="4" w:space="0" w:color="auto"/>
              <w:bottom w:val="single" w:sz="4" w:space="0" w:color="auto"/>
            </w:tcBorders>
            <w:vAlign w:val="bottom"/>
          </w:tcPr>
          <w:p w14:paraId="6721A198" w14:textId="77777777" w:rsidR="00222CE4" w:rsidRPr="009B1322" w:rsidRDefault="00222CE4" w:rsidP="00A12E52">
            <w:pPr>
              <w:pStyle w:val="Tabletext"/>
              <w:rPr>
                <w:snapToGrid w:val="0"/>
              </w:rPr>
            </w:pPr>
            <w:r w:rsidRPr="00295986">
              <w:t>0</w:t>
            </w:r>
            <w:r w:rsidR="00D7157D">
              <w:t>.</w:t>
            </w:r>
            <w:r w:rsidRPr="00295986">
              <w:t>614</w:t>
            </w:r>
          </w:p>
        </w:tc>
      </w:tr>
      <w:tr w:rsidR="00222CE4" w:rsidRPr="009E2595" w14:paraId="4C9AA65B" w14:textId="77777777" w:rsidTr="005D2F9E">
        <w:trPr>
          <w:trHeight w:val="245"/>
          <w:jc w:val="right"/>
        </w:trPr>
        <w:tc>
          <w:tcPr>
            <w:tcW w:w="1705" w:type="pct"/>
            <w:tcBorders>
              <w:top w:val="single" w:sz="4" w:space="0" w:color="auto"/>
              <w:bottom w:val="single" w:sz="4" w:space="0" w:color="auto"/>
            </w:tcBorders>
          </w:tcPr>
          <w:p w14:paraId="31134A1E" w14:textId="77777777" w:rsidR="00222CE4" w:rsidRPr="009B1322" w:rsidRDefault="00222CE4" w:rsidP="00A12E52">
            <w:pPr>
              <w:pStyle w:val="Tabletext"/>
              <w:rPr>
                <w:snapToGrid w:val="0"/>
              </w:rPr>
            </w:pPr>
            <w:r w:rsidRPr="009B1322">
              <w:rPr>
                <w:snapToGrid w:val="0"/>
              </w:rPr>
              <w:t>49</w:t>
            </w:r>
          </w:p>
        </w:tc>
        <w:tc>
          <w:tcPr>
            <w:tcW w:w="1417" w:type="pct"/>
            <w:tcBorders>
              <w:top w:val="single" w:sz="4" w:space="0" w:color="auto"/>
              <w:bottom w:val="single" w:sz="4" w:space="0" w:color="auto"/>
            </w:tcBorders>
            <w:vAlign w:val="bottom"/>
          </w:tcPr>
          <w:p w14:paraId="4C0F2B9A" w14:textId="77777777" w:rsidR="00222CE4" w:rsidRPr="009B1322" w:rsidRDefault="00222CE4" w:rsidP="00A12E52">
            <w:pPr>
              <w:pStyle w:val="Tabletext"/>
              <w:rPr>
                <w:snapToGrid w:val="0"/>
              </w:rPr>
            </w:pPr>
            <w:r w:rsidRPr="00295986">
              <w:t>1</w:t>
            </w:r>
            <w:r w:rsidR="00D7157D">
              <w:t>.</w:t>
            </w:r>
            <w:r w:rsidRPr="00295986">
              <w:t>944</w:t>
            </w:r>
          </w:p>
        </w:tc>
        <w:tc>
          <w:tcPr>
            <w:tcW w:w="1878" w:type="pct"/>
            <w:tcBorders>
              <w:top w:val="single" w:sz="4" w:space="0" w:color="auto"/>
              <w:bottom w:val="single" w:sz="4" w:space="0" w:color="auto"/>
            </w:tcBorders>
            <w:vAlign w:val="bottom"/>
          </w:tcPr>
          <w:p w14:paraId="7D089074" w14:textId="77777777" w:rsidR="00222CE4" w:rsidRPr="009B1322" w:rsidRDefault="00222CE4" w:rsidP="00A12E52">
            <w:pPr>
              <w:pStyle w:val="Tabletext"/>
              <w:rPr>
                <w:snapToGrid w:val="0"/>
              </w:rPr>
            </w:pPr>
            <w:r w:rsidRPr="00295986">
              <w:t>0</w:t>
            </w:r>
            <w:r w:rsidR="00D7157D">
              <w:t>.</w:t>
            </w:r>
            <w:r w:rsidRPr="00295986">
              <w:t>543</w:t>
            </w:r>
          </w:p>
        </w:tc>
      </w:tr>
      <w:tr w:rsidR="00222CE4" w:rsidRPr="009E2595" w14:paraId="7E2705B4" w14:textId="77777777" w:rsidTr="005D2F9E">
        <w:trPr>
          <w:trHeight w:val="245"/>
          <w:jc w:val="right"/>
        </w:trPr>
        <w:tc>
          <w:tcPr>
            <w:tcW w:w="1705" w:type="pct"/>
            <w:tcBorders>
              <w:top w:val="single" w:sz="4" w:space="0" w:color="auto"/>
              <w:bottom w:val="single" w:sz="4" w:space="0" w:color="auto"/>
            </w:tcBorders>
          </w:tcPr>
          <w:p w14:paraId="63ECC068" w14:textId="77777777" w:rsidR="00222CE4" w:rsidRPr="009B1322" w:rsidRDefault="00222CE4" w:rsidP="00A12E52">
            <w:pPr>
              <w:pStyle w:val="Tabletext"/>
              <w:rPr>
                <w:snapToGrid w:val="0"/>
              </w:rPr>
            </w:pPr>
            <w:r w:rsidRPr="009B1322">
              <w:rPr>
                <w:snapToGrid w:val="0"/>
              </w:rPr>
              <w:t>50</w:t>
            </w:r>
          </w:p>
        </w:tc>
        <w:tc>
          <w:tcPr>
            <w:tcW w:w="1417" w:type="pct"/>
            <w:tcBorders>
              <w:top w:val="single" w:sz="4" w:space="0" w:color="auto"/>
              <w:bottom w:val="single" w:sz="4" w:space="0" w:color="auto"/>
            </w:tcBorders>
            <w:vAlign w:val="bottom"/>
          </w:tcPr>
          <w:p w14:paraId="0C9E3D56" w14:textId="77777777" w:rsidR="00222CE4" w:rsidRPr="009B1322" w:rsidRDefault="00222CE4" w:rsidP="00A12E52">
            <w:pPr>
              <w:pStyle w:val="Tabletext"/>
              <w:rPr>
                <w:snapToGrid w:val="0"/>
              </w:rPr>
            </w:pPr>
            <w:r w:rsidRPr="00295986">
              <w:t>1</w:t>
            </w:r>
            <w:r w:rsidR="00D7157D">
              <w:t>.</w:t>
            </w:r>
            <w:r w:rsidRPr="00295986">
              <w:t>851</w:t>
            </w:r>
          </w:p>
        </w:tc>
        <w:tc>
          <w:tcPr>
            <w:tcW w:w="1878" w:type="pct"/>
            <w:tcBorders>
              <w:top w:val="single" w:sz="4" w:space="0" w:color="auto"/>
              <w:bottom w:val="single" w:sz="4" w:space="0" w:color="auto"/>
            </w:tcBorders>
            <w:vAlign w:val="bottom"/>
          </w:tcPr>
          <w:p w14:paraId="2DA3C0C5" w14:textId="77777777" w:rsidR="00222CE4" w:rsidRPr="009B1322" w:rsidRDefault="00222CE4" w:rsidP="00A12E52">
            <w:pPr>
              <w:pStyle w:val="Tabletext"/>
              <w:rPr>
                <w:snapToGrid w:val="0"/>
              </w:rPr>
            </w:pPr>
            <w:r w:rsidRPr="00295986">
              <w:t>0</w:t>
            </w:r>
            <w:r w:rsidR="00D7157D">
              <w:t>.</w:t>
            </w:r>
            <w:r w:rsidRPr="00295986">
              <w:t>472</w:t>
            </w:r>
          </w:p>
        </w:tc>
      </w:tr>
      <w:tr w:rsidR="00222CE4" w:rsidRPr="009E2595" w14:paraId="49ADA514" w14:textId="77777777" w:rsidTr="005D2F9E">
        <w:trPr>
          <w:trHeight w:val="245"/>
          <w:jc w:val="right"/>
        </w:trPr>
        <w:tc>
          <w:tcPr>
            <w:tcW w:w="1705" w:type="pct"/>
            <w:tcBorders>
              <w:top w:val="single" w:sz="4" w:space="0" w:color="auto"/>
              <w:bottom w:val="single" w:sz="4" w:space="0" w:color="auto"/>
            </w:tcBorders>
          </w:tcPr>
          <w:p w14:paraId="3A12B6D0" w14:textId="77777777" w:rsidR="00222CE4" w:rsidRPr="009B1322" w:rsidRDefault="00222CE4" w:rsidP="00A12E52">
            <w:pPr>
              <w:pStyle w:val="Tabletext"/>
              <w:rPr>
                <w:snapToGrid w:val="0"/>
              </w:rPr>
            </w:pPr>
            <w:r w:rsidRPr="009B1322">
              <w:rPr>
                <w:snapToGrid w:val="0"/>
              </w:rPr>
              <w:t>51</w:t>
            </w:r>
          </w:p>
        </w:tc>
        <w:tc>
          <w:tcPr>
            <w:tcW w:w="1417" w:type="pct"/>
            <w:tcBorders>
              <w:top w:val="single" w:sz="4" w:space="0" w:color="auto"/>
              <w:bottom w:val="single" w:sz="4" w:space="0" w:color="auto"/>
            </w:tcBorders>
            <w:vAlign w:val="bottom"/>
          </w:tcPr>
          <w:p w14:paraId="7AFC1D1B" w14:textId="77777777" w:rsidR="00222CE4" w:rsidRPr="009B1322" w:rsidRDefault="00222CE4" w:rsidP="00A12E52">
            <w:pPr>
              <w:pStyle w:val="Tabletext"/>
              <w:rPr>
                <w:snapToGrid w:val="0"/>
              </w:rPr>
            </w:pPr>
            <w:r w:rsidRPr="00295986">
              <w:t>1</w:t>
            </w:r>
            <w:r w:rsidR="00D7157D">
              <w:t>.</w:t>
            </w:r>
            <w:r w:rsidRPr="00295986">
              <w:t>573</w:t>
            </w:r>
          </w:p>
        </w:tc>
        <w:tc>
          <w:tcPr>
            <w:tcW w:w="1878" w:type="pct"/>
            <w:tcBorders>
              <w:top w:val="single" w:sz="4" w:space="0" w:color="auto"/>
              <w:bottom w:val="single" w:sz="4" w:space="0" w:color="auto"/>
            </w:tcBorders>
            <w:vAlign w:val="bottom"/>
          </w:tcPr>
          <w:p w14:paraId="34F582F4" w14:textId="77777777" w:rsidR="00222CE4" w:rsidRPr="009B1322" w:rsidRDefault="00222CE4" w:rsidP="00A12E52">
            <w:pPr>
              <w:pStyle w:val="Tabletext"/>
              <w:rPr>
                <w:snapToGrid w:val="0"/>
              </w:rPr>
            </w:pPr>
            <w:r w:rsidRPr="00295986">
              <w:t>0</w:t>
            </w:r>
            <w:r w:rsidR="00D7157D">
              <w:t>.</w:t>
            </w:r>
            <w:r w:rsidRPr="00295986">
              <w:t>401</w:t>
            </w:r>
          </w:p>
        </w:tc>
      </w:tr>
      <w:tr w:rsidR="00222CE4" w:rsidRPr="009E2595" w14:paraId="2E2BCF12" w14:textId="77777777" w:rsidTr="005D2F9E">
        <w:trPr>
          <w:trHeight w:val="245"/>
          <w:jc w:val="right"/>
        </w:trPr>
        <w:tc>
          <w:tcPr>
            <w:tcW w:w="1705" w:type="pct"/>
            <w:tcBorders>
              <w:top w:val="single" w:sz="4" w:space="0" w:color="auto"/>
              <w:bottom w:val="single" w:sz="4" w:space="0" w:color="auto"/>
            </w:tcBorders>
          </w:tcPr>
          <w:p w14:paraId="25A2D353" w14:textId="77777777" w:rsidR="00222CE4" w:rsidRPr="009B1322" w:rsidRDefault="00222CE4" w:rsidP="00A12E52">
            <w:pPr>
              <w:pStyle w:val="Tabletext"/>
              <w:rPr>
                <w:snapToGrid w:val="0"/>
              </w:rPr>
            </w:pPr>
            <w:r w:rsidRPr="009B1322">
              <w:rPr>
                <w:snapToGrid w:val="0"/>
              </w:rPr>
              <w:t>52</w:t>
            </w:r>
          </w:p>
        </w:tc>
        <w:tc>
          <w:tcPr>
            <w:tcW w:w="1417" w:type="pct"/>
            <w:tcBorders>
              <w:top w:val="single" w:sz="4" w:space="0" w:color="auto"/>
              <w:bottom w:val="single" w:sz="4" w:space="0" w:color="auto"/>
            </w:tcBorders>
            <w:vAlign w:val="bottom"/>
          </w:tcPr>
          <w:p w14:paraId="7291CF92" w14:textId="77777777" w:rsidR="00222CE4" w:rsidRPr="009B1322" w:rsidRDefault="00222CE4" w:rsidP="00A12E52">
            <w:pPr>
              <w:pStyle w:val="Tabletext"/>
              <w:rPr>
                <w:snapToGrid w:val="0"/>
              </w:rPr>
            </w:pPr>
            <w:r w:rsidRPr="00295986">
              <w:t>1</w:t>
            </w:r>
            <w:r w:rsidR="00D7157D">
              <w:t>.</w:t>
            </w:r>
            <w:r w:rsidRPr="00295986">
              <w:t>296</w:t>
            </w:r>
          </w:p>
        </w:tc>
        <w:tc>
          <w:tcPr>
            <w:tcW w:w="1878" w:type="pct"/>
            <w:tcBorders>
              <w:top w:val="single" w:sz="4" w:space="0" w:color="auto"/>
              <w:bottom w:val="single" w:sz="4" w:space="0" w:color="auto"/>
            </w:tcBorders>
            <w:vAlign w:val="bottom"/>
          </w:tcPr>
          <w:p w14:paraId="5ED50BA0" w14:textId="77777777" w:rsidR="00222CE4" w:rsidRPr="009B1322" w:rsidRDefault="00222CE4" w:rsidP="00A12E52">
            <w:pPr>
              <w:pStyle w:val="Tabletext"/>
              <w:rPr>
                <w:snapToGrid w:val="0"/>
              </w:rPr>
            </w:pPr>
            <w:r w:rsidRPr="00295986">
              <w:t>0</w:t>
            </w:r>
            <w:r w:rsidR="00D7157D">
              <w:t>.</w:t>
            </w:r>
            <w:r w:rsidRPr="00295986">
              <w:t>330</w:t>
            </w:r>
          </w:p>
        </w:tc>
      </w:tr>
      <w:tr w:rsidR="00222CE4" w:rsidRPr="009E2595" w14:paraId="1DB12C2A" w14:textId="77777777" w:rsidTr="005D2F9E">
        <w:trPr>
          <w:trHeight w:val="245"/>
          <w:jc w:val="right"/>
        </w:trPr>
        <w:tc>
          <w:tcPr>
            <w:tcW w:w="1705" w:type="pct"/>
            <w:tcBorders>
              <w:top w:val="single" w:sz="4" w:space="0" w:color="auto"/>
              <w:bottom w:val="single" w:sz="4" w:space="0" w:color="auto"/>
            </w:tcBorders>
          </w:tcPr>
          <w:p w14:paraId="61B3A620" w14:textId="77777777" w:rsidR="00222CE4" w:rsidRPr="009B1322" w:rsidRDefault="00222CE4" w:rsidP="00A12E52">
            <w:pPr>
              <w:pStyle w:val="Tabletext"/>
              <w:rPr>
                <w:snapToGrid w:val="0"/>
              </w:rPr>
            </w:pPr>
            <w:r w:rsidRPr="009B1322">
              <w:rPr>
                <w:snapToGrid w:val="0"/>
              </w:rPr>
              <w:t>53</w:t>
            </w:r>
          </w:p>
        </w:tc>
        <w:tc>
          <w:tcPr>
            <w:tcW w:w="1417" w:type="pct"/>
            <w:tcBorders>
              <w:top w:val="single" w:sz="4" w:space="0" w:color="auto"/>
              <w:bottom w:val="single" w:sz="4" w:space="0" w:color="auto"/>
            </w:tcBorders>
            <w:vAlign w:val="bottom"/>
          </w:tcPr>
          <w:p w14:paraId="43F9097E" w14:textId="77777777" w:rsidR="00222CE4" w:rsidRPr="009B1322" w:rsidRDefault="00222CE4" w:rsidP="00A12E52">
            <w:pPr>
              <w:pStyle w:val="Tabletext"/>
              <w:rPr>
                <w:snapToGrid w:val="0"/>
              </w:rPr>
            </w:pPr>
            <w:r w:rsidRPr="00295986">
              <w:t>1</w:t>
            </w:r>
            <w:r w:rsidR="00D7157D">
              <w:t>.</w:t>
            </w:r>
            <w:r w:rsidRPr="00295986">
              <w:t>018</w:t>
            </w:r>
          </w:p>
        </w:tc>
        <w:tc>
          <w:tcPr>
            <w:tcW w:w="1878" w:type="pct"/>
            <w:tcBorders>
              <w:top w:val="single" w:sz="4" w:space="0" w:color="auto"/>
              <w:bottom w:val="single" w:sz="4" w:space="0" w:color="auto"/>
            </w:tcBorders>
            <w:vAlign w:val="bottom"/>
          </w:tcPr>
          <w:p w14:paraId="43EE07E1" w14:textId="77777777" w:rsidR="00222CE4" w:rsidRPr="009B1322" w:rsidRDefault="00222CE4" w:rsidP="00A12E52">
            <w:pPr>
              <w:pStyle w:val="Tabletext"/>
              <w:rPr>
                <w:snapToGrid w:val="0"/>
              </w:rPr>
            </w:pPr>
            <w:r w:rsidRPr="00295986">
              <w:t>0</w:t>
            </w:r>
            <w:r w:rsidR="00D7157D">
              <w:t>.</w:t>
            </w:r>
            <w:r w:rsidRPr="00295986">
              <w:t>260</w:t>
            </w:r>
          </w:p>
        </w:tc>
      </w:tr>
      <w:tr w:rsidR="00222CE4" w:rsidRPr="009E2595" w14:paraId="3F9B2C47" w14:textId="77777777" w:rsidTr="005D2F9E">
        <w:trPr>
          <w:trHeight w:val="245"/>
          <w:jc w:val="right"/>
        </w:trPr>
        <w:tc>
          <w:tcPr>
            <w:tcW w:w="1705" w:type="pct"/>
            <w:tcBorders>
              <w:top w:val="single" w:sz="4" w:space="0" w:color="auto"/>
              <w:bottom w:val="single" w:sz="4" w:space="0" w:color="auto"/>
            </w:tcBorders>
          </w:tcPr>
          <w:p w14:paraId="30F8108A" w14:textId="77777777" w:rsidR="00222CE4" w:rsidRPr="009B1322" w:rsidRDefault="00222CE4" w:rsidP="00A12E52">
            <w:pPr>
              <w:pStyle w:val="Tabletext"/>
              <w:rPr>
                <w:snapToGrid w:val="0"/>
              </w:rPr>
            </w:pPr>
            <w:r w:rsidRPr="009B1322">
              <w:rPr>
                <w:snapToGrid w:val="0"/>
              </w:rPr>
              <w:t>54</w:t>
            </w:r>
          </w:p>
        </w:tc>
        <w:tc>
          <w:tcPr>
            <w:tcW w:w="1417" w:type="pct"/>
            <w:tcBorders>
              <w:top w:val="single" w:sz="4" w:space="0" w:color="auto"/>
              <w:bottom w:val="single" w:sz="4" w:space="0" w:color="auto"/>
            </w:tcBorders>
            <w:vAlign w:val="bottom"/>
          </w:tcPr>
          <w:p w14:paraId="379F4A56" w14:textId="77777777" w:rsidR="00222CE4" w:rsidRPr="009B1322" w:rsidRDefault="00222CE4" w:rsidP="00A12E52">
            <w:pPr>
              <w:pStyle w:val="Tabletext"/>
              <w:rPr>
                <w:snapToGrid w:val="0"/>
              </w:rPr>
            </w:pPr>
            <w:r w:rsidRPr="00295986">
              <w:t>0</w:t>
            </w:r>
            <w:r w:rsidR="00D7157D">
              <w:t>.</w:t>
            </w:r>
            <w:r w:rsidRPr="00295986">
              <w:t>740</w:t>
            </w:r>
          </w:p>
        </w:tc>
        <w:tc>
          <w:tcPr>
            <w:tcW w:w="1878" w:type="pct"/>
            <w:tcBorders>
              <w:top w:val="single" w:sz="4" w:space="0" w:color="auto"/>
              <w:bottom w:val="single" w:sz="4" w:space="0" w:color="auto"/>
            </w:tcBorders>
            <w:vAlign w:val="bottom"/>
          </w:tcPr>
          <w:p w14:paraId="74F394AA" w14:textId="77777777" w:rsidR="00222CE4" w:rsidRPr="009B1322" w:rsidRDefault="00222CE4" w:rsidP="00A12E52">
            <w:pPr>
              <w:pStyle w:val="Tabletext"/>
              <w:rPr>
                <w:snapToGrid w:val="0"/>
              </w:rPr>
            </w:pPr>
            <w:r w:rsidRPr="00295986">
              <w:t>0</w:t>
            </w:r>
            <w:r w:rsidR="00D7157D">
              <w:t>.</w:t>
            </w:r>
            <w:r w:rsidRPr="00295986">
              <w:t>189</w:t>
            </w:r>
          </w:p>
        </w:tc>
      </w:tr>
      <w:tr w:rsidR="00222CE4" w:rsidRPr="009E2595" w14:paraId="34C5A3A8" w14:textId="77777777" w:rsidTr="005D2F9E">
        <w:trPr>
          <w:trHeight w:val="245"/>
          <w:jc w:val="right"/>
        </w:trPr>
        <w:tc>
          <w:tcPr>
            <w:tcW w:w="1705" w:type="pct"/>
            <w:tcBorders>
              <w:top w:val="single" w:sz="4" w:space="0" w:color="auto"/>
              <w:bottom w:val="single" w:sz="12" w:space="0" w:color="auto"/>
            </w:tcBorders>
          </w:tcPr>
          <w:p w14:paraId="3EFE76A3" w14:textId="77777777" w:rsidR="00222CE4" w:rsidRPr="009B1322" w:rsidRDefault="00222CE4" w:rsidP="00A12E52">
            <w:pPr>
              <w:pStyle w:val="Tabletext"/>
              <w:rPr>
                <w:snapToGrid w:val="0"/>
              </w:rPr>
            </w:pPr>
            <w:r w:rsidRPr="009B1322">
              <w:rPr>
                <w:snapToGrid w:val="0"/>
              </w:rPr>
              <w:t>55 and over</w:t>
            </w:r>
          </w:p>
        </w:tc>
        <w:tc>
          <w:tcPr>
            <w:tcW w:w="1417" w:type="pct"/>
            <w:tcBorders>
              <w:top w:val="single" w:sz="4" w:space="0" w:color="auto"/>
              <w:bottom w:val="single" w:sz="12" w:space="0" w:color="auto"/>
            </w:tcBorders>
            <w:vAlign w:val="bottom"/>
          </w:tcPr>
          <w:p w14:paraId="431A12B2" w14:textId="77777777" w:rsidR="00222CE4" w:rsidRPr="009B1322" w:rsidRDefault="00222CE4" w:rsidP="00A12E52">
            <w:pPr>
              <w:pStyle w:val="Tabletext"/>
              <w:rPr>
                <w:snapToGrid w:val="0"/>
              </w:rPr>
            </w:pPr>
            <w:r w:rsidRPr="00295986">
              <w:t>0</w:t>
            </w:r>
            <w:r w:rsidR="00D7157D">
              <w:t>.</w:t>
            </w:r>
            <w:r w:rsidRPr="00295986">
              <w:t>463</w:t>
            </w:r>
          </w:p>
        </w:tc>
        <w:tc>
          <w:tcPr>
            <w:tcW w:w="1878" w:type="pct"/>
            <w:tcBorders>
              <w:top w:val="single" w:sz="4" w:space="0" w:color="auto"/>
              <w:bottom w:val="single" w:sz="12" w:space="0" w:color="auto"/>
            </w:tcBorders>
            <w:vAlign w:val="bottom"/>
          </w:tcPr>
          <w:p w14:paraId="5A4C1B71" w14:textId="77777777" w:rsidR="00222CE4" w:rsidRPr="009B1322" w:rsidRDefault="00222CE4" w:rsidP="00A12E52">
            <w:pPr>
              <w:pStyle w:val="Tabletext"/>
              <w:rPr>
                <w:snapToGrid w:val="0"/>
              </w:rPr>
            </w:pPr>
            <w:r w:rsidRPr="00295986">
              <w:t>0</w:t>
            </w:r>
            <w:r w:rsidR="00D7157D">
              <w:t>.</w:t>
            </w:r>
            <w:r w:rsidRPr="00295986">
              <w:t>118</w:t>
            </w:r>
          </w:p>
        </w:tc>
      </w:tr>
    </w:tbl>
    <w:p w14:paraId="1D242333" w14:textId="3493FC3D" w:rsidR="00647C6B" w:rsidRPr="00A058B6" w:rsidRDefault="00D7157D" w:rsidP="00647C6B">
      <w:pPr>
        <w:pStyle w:val="ActHead5"/>
      </w:pPr>
      <w:bookmarkStart w:id="257" w:name="_Toc188350735"/>
      <w:r w:rsidRPr="00423C34">
        <w:rPr>
          <w:rStyle w:val="CharSectno"/>
        </w:rPr>
        <w:t>19</w:t>
      </w:r>
      <w:r w:rsidR="00647C6B" w:rsidRPr="00A058B6">
        <w:t xml:space="preserve">  Valuation factors—5</w:t>
      </w:r>
      <w:r w:rsidR="001952B3">
        <w:noBreakHyphen/>
      </w:r>
      <w:r w:rsidR="00647C6B" w:rsidRPr="00A058B6">
        <w:t>year guarantee period—CPI indexed pension plus 1% with 5% cap</w:t>
      </w:r>
      <w:bookmarkEnd w:id="257"/>
    </w:p>
    <w:p w14:paraId="0E6713BA"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236C82E4" w14:textId="518C84B7"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14E620C6" w14:textId="77777777" w:rsidR="00647C6B" w:rsidRPr="00A058B6" w:rsidRDefault="00647C6B" w:rsidP="00647C6B">
      <w:pPr>
        <w:pStyle w:val="paragraph"/>
      </w:pPr>
      <w:r w:rsidRPr="00A058B6">
        <w:tab/>
        <w:t>(b)</w:t>
      </w:r>
      <w:r w:rsidRPr="00A058B6">
        <w:tab/>
        <w:t>is indexed in accordance with the consumer price index plus 1% with a cap of 5%</w:t>
      </w:r>
      <w:r w:rsidR="00D7157D">
        <w:t>.</w:t>
      </w:r>
    </w:p>
    <w:p w14:paraId="5B840B65"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31B49926" w14:textId="77777777" w:rsidTr="00963115">
        <w:trPr>
          <w:cantSplit/>
          <w:trHeight w:val="375"/>
          <w:tblHeader/>
          <w:jc w:val="right"/>
        </w:trPr>
        <w:tc>
          <w:tcPr>
            <w:tcW w:w="1705" w:type="pct"/>
            <w:vMerge w:val="restart"/>
            <w:tcBorders>
              <w:top w:val="single" w:sz="12" w:space="0" w:color="auto"/>
              <w:bottom w:val="single" w:sz="12" w:space="0" w:color="auto"/>
            </w:tcBorders>
          </w:tcPr>
          <w:p w14:paraId="73B5F5C2"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26A20C0A" w14:textId="36DFEB31"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w:t>
            </w:r>
            <w:r w:rsidRPr="00A058B6">
              <w:rPr>
                <w:snapToGrid w:val="0"/>
              </w:rPr>
              <w:br/>
              <w:t>CPI indexed pension plus 1% with 5% cap</w:t>
            </w:r>
          </w:p>
        </w:tc>
      </w:tr>
      <w:tr w:rsidR="00647C6B" w:rsidRPr="00A058B6" w14:paraId="640503DF" w14:textId="77777777" w:rsidTr="00963115">
        <w:trPr>
          <w:cantSplit/>
          <w:trHeight w:val="60"/>
          <w:tblHeader/>
          <w:jc w:val="right"/>
        </w:trPr>
        <w:tc>
          <w:tcPr>
            <w:tcW w:w="1705" w:type="pct"/>
            <w:vMerge/>
            <w:tcBorders>
              <w:bottom w:val="single" w:sz="12" w:space="0" w:color="auto"/>
            </w:tcBorders>
          </w:tcPr>
          <w:p w14:paraId="78642583" w14:textId="77777777" w:rsidR="00647C6B" w:rsidRPr="00A058B6" w:rsidRDefault="00647C6B" w:rsidP="00963115">
            <w:pPr>
              <w:pStyle w:val="TableHeading"/>
              <w:rPr>
                <w:snapToGrid w:val="0"/>
              </w:rPr>
            </w:pPr>
          </w:p>
        </w:tc>
        <w:tc>
          <w:tcPr>
            <w:tcW w:w="1429" w:type="pct"/>
            <w:tcBorders>
              <w:bottom w:val="single" w:sz="12" w:space="0" w:color="auto"/>
            </w:tcBorders>
          </w:tcPr>
          <w:p w14:paraId="35000335"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5C87E264" w14:textId="77777777" w:rsidR="00647C6B" w:rsidRPr="00A058B6" w:rsidRDefault="00647C6B" w:rsidP="00963115">
            <w:pPr>
              <w:pStyle w:val="TableHeading"/>
              <w:rPr>
                <w:snapToGrid w:val="0"/>
              </w:rPr>
            </w:pPr>
            <w:r w:rsidRPr="00A058B6">
              <w:rPr>
                <w:snapToGrid w:val="0"/>
              </w:rPr>
              <w:t>Female</w:t>
            </w:r>
          </w:p>
        </w:tc>
      </w:tr>
      <w:tr w:rsidR="00EC092B" w:rsidRPr="009E2595" w14:paraId="371AF0DA" w14:textId="77777777" w:rsidTr="005D2F9E">
        <w:trPr>
          <w:trHeight w:val="245"/>
          <w:jc w:val="right"/>
        </w:trPr>
        <w:tc>
          <w:tcPr>
            <w:tcW w:w="1705" w:type="pct"/>
            <w:tcBorders>
              <w:top w:val="single" w:sz="12" w:space="0" w:color="auto"/>
              <w:bottom w:val="single" w:sz="4" w:space="0" w:color="auto"/>
            </w:tcBorders>
          </w:tcPr>
          <w:p w14:paraId="2F727148" w14:textId="77777777" w:rsidR="00EC092B" w:rsidRPr="009B1322" w:rsidRDefault="00EC092B" w:rsidP="00A12E52">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5470A6E1" w14:textId="77777777" w:rsidR="00EC092B" w:rsidRPr="009B1322" w:rsidRDefault="00EC092B" w:rsidP="00A12E52">
            <w:pPr>
              <w:pStyle w:val="Tabletext"/>
              <w:rPr>
                <w:snapToGrid w:val="0"/>
              </w:rPr>
            </w:pPr>
            <w:r w:rsidRPr="00295986">
              <w:t>22</w:t>
            </w:r>
            <w:r w:rsidR="00D7157D">
              <w:t>.</w:t>
            </w:r>
            <w:r w:rsidRPr="00295986">
              <w:t>0068</w:t>
            </w:r>
          </w:p>
        </w:tc>
        <w:tc>
          <w:tcPr>
            <w:tcW w:w="1866" w:type="pct"/>
            <w:tcBorders>
              <w:top w:val="single" w:sz="12" w:space="0" w:color="auto"/>
              <w:bottom w:val="single" w:sz="4" w:space="0" w:color="auto"/>
            </w:tcBorders>
            <w:vAlign w:val="center"/>
          </w:tcPr>
          <w:p w14:paraId="00BEE9C6" w14:textId="77777777" w:rsidR="00EC092B" w:rsidRPr="009B1322" w:rsidRDefault="00EC092B" w:rsidP="00A12E52">
            <w:pPr>
              <w:pStyle w:val="Tabletext"/>
              <w:rPr>
                <w:snapToGrid w:val="0"/>
              </w:rPr>
            </w:pPr>
            <w:r w:rsidRPr="00295986">
              <w:t>23</w:t>
            </w:r>
            <w:r w:rsidR="00D7157D">
              <w:t>.</w:t>
            </w:r>
            <w:r w:rsidRPr="00295986">
              <w:t>0271</w:t>
            </w:r>
          </w:p>
        </w:tc>
      </w:tr>
      <w:tr w:rsidR="00EC092B" w:rsidRPr="009E2595" w14:paraId="23427592" w14:textId="77777777" w:rsidTr="005D2F9E">
        <w:trPr>
          <w:trHeight w:val="245"/>
          <w:jc w:val="right"/>
        </w:trPr>
        <w:tc>
          <w:tcPr>
            <w:tcW w:w="1705" w:type="pct"/>
            <w:tcBorders>
              <w:top w:val="single" w:sz="4" w:space="0" w:color="auto"/>
              <w:bottom w:val="single" w:sz="4" w:space="0" w:color="auto"/>
            </w:tcBorders>
          </w:tcPr>
          <w:p w14:paraId="1F969D36" w14:textId="77777777" w:rsidR="00EC092B" w:rsidRPr="009B1322" w:rsidRDefault="00EC092B" w:rsidP="00A12E52">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7019E087" w14:textId="77777777" w:rsidR="00EC092B" w:rsidRPr="009B1322" w:rsidRDefault="00EC092B" w:rsidP="00A12E52">
            <w:pPr>
              <w:pStyle w:val="Tabletext"/>
              <w:rPr>
                <w:snapToGrid w:val="0"/>
              </w:rPr>
            </w:pPr>
            <w:r w:rsidRPr="00295986">
              <w:t>21</w:t>
            </w:r>
            <w:r w:rsidR="00D7157D">
              <w:t>.</w:t>
            </w:r>
            <w:r w:rsidRPr="00295986">
              <w:t>5838</w:t>
            </w:r>
          </w:p>
        </w:tc>
        <w:tc>
          <w:tcPr>
            <w:tcW w:w="1866" w:type="pct"/>
            <w:tcBorders>
              <w:top w:val="single" w:sz="4" w:space="0" w:color="auto"/>
              <w:bottom w:val="single" w:sz="4" w:space="0" w:color="auto"/>
            </w:tcBorders>
            <w:vAlign w:val="center"/>
          </w:tcPr>
          <w:p w14:paraId="2BC798ED" w14:textId="77777777" w:rsidR="00EC092B" w:rsidRPr="009B1322" w:rsidRDefault="00EC092B" w:rsidP="00A12E52">
            <w:pPr>
              <w:pStyle w:val="Tabletext"/>
              <w:rPr>
                <w:snapToGrid w:val="0"/>
              </w:rPr>
            </w:pPr>
            <w:r w:rsidRPr="00295986">
              <w:t>22</w:t>
            </w:r>
            <w:r w:rsidR="00D7157D">
              <w:t>.</w:t>
            </w:r>
            <w:r w:rsidRPr="00295986">
              <w:t>6177</w:t>
            </w:r>
          </w:p>
        </w:tc>
      </w:tr>
      <w:tr w:rsidR="00EC092B" w:rsidRPr="009E2595" w14:paraId="3A98D83B" w14:textId="77777777" w:rsidTr="005D2F9E">
        <w:trPr>
          <w:trHeight w:val="245"/>
          <w:jc w:val="right"/>
        </w:trPr>
        <w:tc>
          <w:tcPr>
            <w:tcW w:w="1705" w:type="pct"/>
            <w:tcBorders>
              <w:top w:val="single" w:sz="4" w:space="0" w:color="auto"/>
              <w:bottom w:val="single" w:sz="4" w:space="0" w:color="auto"/>
            </w:tcBorders>
          </w:tcPr>
          <w:p w14:paraId="47A521BA" w14:textId="77777777" w:rsidR="00EC092B" w:rsidRPr="009B1322" w:rsidRDefault="00EC092B" w:rsidP="00A12E52">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250BC58C" w14:textId="77777777" w:rsidR="00EC092B" w:rsidRPr="009B1322" w:rsidRDefault="00EC092B" w:rsidP="00A12E52">
            <w:pPr>
              <w:pStyle w:val="Tabletext"/>
              <w:rPr>
                <w:snapToGrid w:val="0"/>
              </w:rPr>
            </w:pPr>
            <w:r w:rsidRPr="00295986">
              <w:t>21</w:t>
            </w:r>
            <w:r w:rsidR="00D7157D">
              <w:t>.</w:t>
            </w:r>
            <w:r w:rsidRPr="00295986">
              <w:t>1500</w:t>
            </w:r>
          </w:p>
        </w:tc>
        <w:tc>
          <w:tcPr>
            <w:tcW w:w="1866" w:type="pct"/>
            <w:tcBorders>
              <w:top w:val="single" w:sz="4" w:space="0" w:color="auto"/>
              <w:bottom w:val="single" w:sz="4" w:space="0" w:color="auto"/>
            </w:tcBorders>
            <w:vAlign w:val="center"/>
          </w:tcPr>
          <w:p w14:paraId="4FA651B1" w14:textId="77777777" w:rsidR="00EC092B" w:rsidRPr="009B1322" w:rsidRDefault="00EC092B" w:rsidP="00A12E52">
            <w:pPr>
              <w:pStyle w:val="Tabletext"/>
              <w:rPr>
                <w:snapToGrid w:val="0"/>
              </w:rPr>
            </w:pPr>
            <w:r w:rsidRPr="00295986">
              <w:t>22</w:t>
            </w:r>
            <w:r w:rsidR="00D7157D">
              <w:t>.</w:t>
            </w:r>
            <w:r w:rsidRPr="00295986">
              <w:t>1992</w:t>
            </w:r>
          </w:p>
        </w:tc>
      </w:tr>
      <w:tr w:rsidR="00EC092B" w:rsidRPr="009E2595" w14:paraId="5D19C7B3" w14:textId="77777777" w:rsidTr="005D2F9E">
        <w:trPr>
          <w:trHeight w:val="245"/>
          <w:jc w:val="right"/>
        </w:trPr>
        <w:tc>
          <w:tcPr>
            <w:tcW w:w="1705" w:type="pct"/>
            <w:tcBorders>
              <w:top w:val="single" w:sz="4" w:space="0" w:color="auto"/>
              <w:bottom w:val="single" w:sz="4" w:space="0" w:color="auto"/>
            </w:tcBorders>
          </w:tcPr>
          <w:p w14:paraId="14AC1C9D" w14:textId="77777777" w:rsidR="00EC092B" w:rsidRPr="009B1322" w:rsidRDefault="00EC092B" w:rsidP="00A12E52">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29D269F6" w14:textId="77777777" w:rsidR="00EC092B" w:rsidRPr="009B1322" w:rsidRDefault="00EC092B" w:rsidP="00A12E52">
            <w:pPr>
              <w:pStyle w:val="Tabletext"/>
              <w:rPr>
                <w:snapToGrid w:val="0"/>
              </w:rPr>
            </w:pPr>
            <w:r w:rsidRPr="00295986">
              <w:t>20</w:t>
            </w:r>
            <w:r w:rsidR="00D7157D">
              <w:t>.</w:t>
            </w:r>
            <w:r w:rsidRPr="00295986">
              <w:t>7053</w:t>
            </w:r>
          </w:p>
        </w:tc>
        <w:tc>
          <w:tcPr>
            <w:tcW w:w="1866" w:type="pct"/>
            <w:tcBorders>
              <w:top w:val="single" w:sz="4" w:space="0" w:color="auto"/>
              <w:bottom w:val="single" w:sz="4" w:space="0" w:color="auto"/>
            </w:tcBorders>
            <w:vAlign w:val="center"/>
          </w:tcPr>
          <w:p w14:paraId="0837BB51" w14:textId="77777777" w:rsidR="00EC092B" w:rsidRPr="009B1322" w:rsidRDefault="00EC092B" w:rsidP="00A12E52">
            <w:pPr>
              <w:pStyle w:val="Tabletext"/>
              <w:rPr>
                <w:snapToGrid w:val="0"/>
              </w:rPr>
            </w:pPr>
            <w:r w:rsidRPr="00295986">
              <w:t>21</w:t>
            </w:r>
            <w:r w:rsidR="00D7157D">
              <w:t>.</w:t>
            </w:r>
            <w:r w:rsidRPr="00295986">
              <w:t>7705</w:t>
            </w:r>
          </w:p>
        </w:tc>
      </w:tr>
      <w:tr w:rsidR="00EC092B" w:rsidRPr="009E2595" w14:paraId="78730224" w14:textId="77777777" w:rsidTr="005D2F9E">
        <w:trPr>
          <w:trHeight w:val="245"/>
          <w:jc w:val="right"/>
        </w:trPr>
        <w:tc>
          <w:tcPr>
            <w:tcW w:w="1705" w:type="pct"/>
            <w:tcBorders>
              <w:top w:val="single" w:sz="4" w:space="0" w:color="auto"/>
              <w:bottom w:val="single" w:sz="4" w:space="0" w:color="auto"/>
            </w:tcBorders>
          </w:tcPr>
          <w:p w14:paraId="410EFD7C" w14:textId="77777777" w:rsidR="00EC092B" w:rsidRPr="009B1322" w:rsidRDefault="00EC092B" w:rsidP="00A12E52">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771F679E" w14:textId="77777777" w:rsidR="00EC092B" w:rsidRPr="009B1322" w:rsidRDefault="00EC092B" w:rsidP="00A12E52">
            <w:pPr>
              <w:pStyle w:val="Tabletext"/>
              <w:rPr>
                <w:snapToGrid w:val="0"/>
              </w:rPr>
            </w:pPr>
            <w:r w:rsidRPr="00295986">
              <w:t>20</w:t>
            </w:r>
            <w:r w:rsidR="00D7157D">
              <w:t>.</w:t>
            </w:r>
            <w:r w:rsidRPr="00295986">
              <w:t>2492</w:t>
            </w:r>
          </w:p>
        </w:tc>
        <w:tc>
          <w:tcPr>
            <w:tcW w:w="1866" w:type="pct"/>
            <w:tcBorders>
              <w:top w:val="single" w:sz="4" w:space="0" w:color="auto"/>
              <w:bottom w:val="single" w:sz="4" w:space="0" w:color="auto"/>
            </w:tcBorders>
            <w:vAlign w:val="center"/>
          </w:tcPr>
          <w:p w14:paraId="0AD715FB" w14:textId="77777777" w:rsidR="00EC092B" w:rsidRPr="009B1322" w:rsidRDefault="00EC092B" w:rsidP="00A12E52">
            <w:pPr>
              <w:pStyle w:val="Tabletext"/>
              <w:rPr>
                <w:snapToGrid w:val="0"/>
              </w:rPr>
            </w:pPr>
            <w:r w:rsidRPr="00295986">
              <w:t>21</w:t>
            </w:r>
            <w:r w:rsidR="00D7157D">
              <w:t>.</w:t>
            </w:r>
            <w:r w:rsidRPr="00295986">
              <w:t>3314</w:t>
            </w:r>
          </w:p>
        </w:tc>
      </w:tr>
      <w:tr w:rsidR="00EC092B" w:rsidRPr="009E2595" w14:paraId="25CF6181" w14:textId="77777777" w:rsidTr="005D2F9E">
        <w:trPr>
          <w:trHeight w:val="245"/>
          <w:jc w:val="right"/>
        </w:trPr>
        <w:tc>
          <w:tcPr>
            <w:tcW w:w="1705" w:type="pct"/>
            <w:tcBorders>
              <w:top w:val="single" w:sz="4" w:space="0" w:color="auto"/>
              <w:bottom w:val="single" w:sz="4" w:space="0" w:color="auto"/>
            </w:tcBorders>
          </w:tcPr>
          <w:p w14:paraId="6F26159D" w14:textId="77777777" w:rsidR="00EC092B" w:rsidRPr="009B1322" w:rsidRDefault="00EC092B" w:rsidP="00A12E52">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23180FAA" w14:textId="77777777" w:rsidR="00EC092B" w:rsidRPr="009B1322" w:rsidRDefault="00EC092B" w:rsidP="00A12E52">
            <w:pPr>
              <w:pStyle w:val="Tabletext"/>
              <w:rPr>
                <w:snapToGrid w:val="0"/>
              </w:rPr>
            </w:pPr>
            <w:r w:rsidRPr="00295986">
              <w:t>19</w:t>
            </w:r>
            <w:r w:rsidR="00D7157D">
              <w:t>.</w:t>
            </w:r>
            <w:r w:rsidRPr="00295986">
              <w:t>7819</w:t>
            </w:r>
          </w:p>
        </w:tc>
        <w:tc>
          <w:tcPr>
            <w:tcW w:w="1866" w:type="pct"/>
            <w:tcBorders>
              <w:top w:val="single" w:sz="4" w:space="0" w:color="auto"/>
              <w:bottom w:val="single" w:sz="4" w:space="0" w:color="auto"/>
            </w:tcBorders>
            <w:vAlign w:val="center"/>
          </w:tcPr>
          <w:p w14:paraId="6D1DA853" w14:textId="77777777" w:rsidR="00EC092B" w:rsidRPr="009B1322" w:rsidRDefault="00EC092B" w:rsidP="00A12E52">
            <w:pPr>
              <w:pStyle w:val="Tabletext"/>
              <w:rPr>
                <w:snapToGrid w:val="0"/>
              </w:rPr>
            </w:pPr>
            <w:r w:rsidRPr="00295986">
              <w:t>20</w:t>
            </w:r>
            <w:r w:rsidR="00D7157D">
              <w:t>.</w:t>
            </w:r>
            <w:r w:rsidRPr="00295986">
              <w:t>8815</w:t>
            </w:r>
          </w:p>
        </w:tc>
      </w:tr>
      <w:tr w:rsidR="00EC092B" w:rsidRPr="009E2595" w14:paraId="59FA36DA" w14:textId="77777777" w:rsidTr="005D2F9E">
        <w:trPr>
          <w:trHeight w:val="245"/>
          <w:jc w:val="right"/>
        </w:trPr>
        <w:tc>
          <w:tcPr>
            <w:tcW w:w="1705" w:type="pct"/>
            <w:tcBorders>
              <w:top w:val="single" w:sz="4" w:space="0" w:color="auto"/>
              <w:bottom w:val="single" w:sz="4" w:space="0" w:color="auto"/>
            </w:tcBorders>
          </w:tcPr>
          <w:p w14:paraId="1FDC5454" w14:textId="77777777" w:rsidR="00EC092B" w:rsidRPr="009B1322" w:rsidRDefault="00EC092B" w:rsidP="00A12E52">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629BD269" w14:textId="77777777" w:rsidR="00EC092B" w:rsidRPr="009B1322" w:rsidRDefault="00EC092B" w:rsidP="00A12E52">
            <w:pPr>
              <w:pStyle w:val="Tabletext"/>
              <w:rPr>
                <w:snapToGrid w:val="0"/>
              </w:rPr>
            </w:pPr>
            <w:r w:rsidRPr="00295986">
              <w:t>19</w:t>
            </w:r>
            <w:r w:rsidR="00D7157D">
              <w:t>.</w:t>
            </w:r>
            <w:r w:rsidRPr="00295986">
              <w:t>3038</w:t>
            </w:r>
          </w:p>
        </w:tc>
        <w:tc>
          <w:tcPr>
            <w:tcW w:w="1866" w:type="pct"/>
            <w:tcBorders>
              <w:top w:val="single" w:sz="4" w:space="0" w:color="auto"/>
              <w:bottom w:val="single" w:sz="4" w:space="0" w:color="auto"/>
            </w:tcBorders>
            <w:vAlign w:val="center"/>
          </w:tcPr>
          <w:p w14:paraId="0EE3F352" w14:textId="77777777" w:rsidR="00EC092B" w:rsidRPr="009B1322" w:rsidRDefault="00EC092B" w:rsidP="00A12E52">
            <w:pPr>
              <w:pStyle w:val="Tabletext"/>
              <w:rPr>
                <w:snapToGrid w:val="0"/>
              </w:rPr>
            </w:pPr>
            <w:r w:rsidRPr="00295986">
              <w:t>20</w:t>
            </w:r>
            <w:r w:rsidR="00D7157D">
              <w:t>.</w:t>
            </w:r>
            <w:r w:rsidRPr="00295986">
              <w:t>4201</w:t>
            </w:r>
          </w:p>
        </w:tc>
      </w:tr>
      <w:tr w:rsidR="00EC092B" w:rsidRPr="009E2595" w14:paraId="2F2C8EE8" w14:textId="77777777" w:rsidTr="005D2F9E">
        <w:trPr>
          <w:trHeight w:val="245"/>
          <w:jc w:val="right"/>
        </w:trPr>
        <w:tc>
          <w:tcPr>
            <w:tcW w:w="1705" w:type="pct"/>
            <w:tcBorders>
              <w:top w:val="single" w:sz="4" w:space="0" w:color="auto"/>
              <w:bottom w:val="single" w:sz="4" w:space="0" w:color="auto"/>
            </w:tcBorders>
          </w:tcPr>
          <w:p w14:paraId="6F172D86" w14:textId="77777777" w:rsidR="00EC092B" w:rsidRPr="009B1322" w:rsidRDefault="00EC092B" w:rsidP="00A12E52">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673A4FD5" w14:textId="77777777" w:rsidR="00EC092B" w:rsidRPr="009B1322" w:rsidRDefault="00EC092B" w:rsidP="00A12E52">
            <w:pPr>
              <w:pStyle w:val="Tabletext"/>
              <w:rPr>
                <w:snapToGrid w:val="0"/>
              </w:rPr>
            </w:pPr>
            <w:r w:rsidRPr="00295986">
              <w:t>18</w:t>
            </w:r>
            <w:r w:rsidR="00D7157D">
              <w:t>.</w:t>
            </w:r>
            <w:r w:rsidRPr="00295986">
              <w:t>8148</w:t>
            </w:r>
          </w:p>
        </w:tc>
        <w:tc>
          <w:tcPr>
            <w:tcW w:w="1866" w:type="pct"/>
            <w:tcBorders>
              <w:top w:val="single" w:sz="4" w:space="0" w:color="auto"/>
              <w:bottom w:val="single" w:sz="4" w:space="0" w:color="auto"/>
            </w:tcBorders>
            <w:vAlign w:val="center"/>
          </w:tcPr>
          <w:p w14:paraId="43159CC8" w14:textId="77777777" w:rsidR="00EC092B" w:rsidRPr="009B1322" w:rsidRDefault="00EC092B" w:rsidP="00A12E52">
            <w:pPr>
              <w:pStyle w:val="Tabletext"/>
              <w:rPr>
                <w:snapToGrid w:val="0"/>
              </w:rPr>
            </w:pPr>
            <w:r w:rsidRPr="00295986">
              <w:t>19</w:t>
            </w:r>
            <w:r w:rsidR="00D7157D">
              <w:t>.</w:t>
            </w:r>
            <w:r w:rsidRPr="00295986">
              <w:t>9482</w:t>
            </w:r>
          </w:p>
        </w:tc>
      </w:tr>
      <w:tr w:rsidR="00EC092B" w:rsidRPr="009E2595" w14:paraId="2D84EB45" w14:textId="77777777" w:rsidTr="005D2F9E">
        <w:trPr>
          <w:trHeight w:val="245"/>
          <w:jc w:val="right"/>
        </w:trPr>
        <w:tc>
          <w:tcPr>
            <w:tcW w:w="1705" w:type="pct"/>
            <w:tcBorders>
              <w:top w:val="single" w:sz="4" w:space="0" w:color="auto"/>
              <w:bottom w:val="single" w:sz="4" w:space="0" w:color="auto"/>
            </w:tcBorders>
          </w:tcPr>
          <w:p w14:paraId="5B73237C" w14:textId="77777777" w:rsidR="00EC092B" w:rsidRPr="009B1322" w:rsidRDefault="00EC092B" w:rsidP="00A12E52">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6B2537A4" w14:textId="77777777" w:rsidR="00EC092B" w:rsidRPr="009B1322" w:rsidRDefault="00EC092B" w:rsidP="00A12E52">
            <w:pPr>
              <w:pStyle w:val="Tabletext"/>
              <w:rPr>
                <w:snapToGrid w:val="0"/>
              </w:rPr>
            </w:pPr>
            <w:r w:rsidRPr="00295986">
              <w:t>18</w:t>
            </w:r>
            <w:r w:rsidR="00D7157D">
              <w:t>.</w:t>
            </w:r>
            <w:r w:rsidRPr="00295986">
              <w:t>3155</w:t>
            </w:r>
          </w:p>
        </w:tc>
        <w:tc>
          <w:tcPr>
            <w:tcW w:w="1866" w:type="pct"/>
            <w:tcBorders>
              <w:top w:val="single" w:sz="4" w:space="0" w:color="auto"/>
              <w:bottom w:val="single" w:sz="4" w:space="0" w:color="auto"/>
            </w:tcBorders>
            <w:vAlign w:val="center"/>
          </w:tcPr>
          <w:p w14:paraId="0DD4887D" w14:textId="77777777" w:rsidR="00EC092B" w:rsidRPr="009B1322" w:rsidRDefault="00EC092B" w:rsidP="00A12E52">
            <w:pPr>
              <w:pStyle w:val="Tabletext"/>
              <w:rPr>
                <w:snapToGrid w:val="0"/>
              </w:rPr>
            </w:pPr>
            <w:r w:rsidRPr="00295986">
              <w:t>19</w:t>
            </w:r>
            <w:r w:rsidR="00D7157D">
              <w:t>.</w:t>
            </w:r>
            <w:r w:rsidRPr="00295986">
              <w:t>4659</w:t>
            </w:r>
          </w:p>
        </w:tc>
      </w:tr>
      <w:tr w:rsidR="00EC092B" w:rsidRPr="009E2595" w14:paraId="5D01E763" w14:textId="77777777" w:rsidTr="005D2F9E">
        <w:trPr>
          <w:trHeight w:val="245"/>
          <w:jc w:val="right"/>
        </w:trPr>
        <w:tc>
          <w:tcPr>
            <w:tcW w:w="1705" w:type="pct"/>
            <w:tcBorders>
              <w:top w:val="single" w:sz="4" w:space="0" w:color="auto"/>
              <w:bottom w:val="single" w:sz="4" w:space="0" w:color="auto"/>
            </w:tcBorders>
          </w:tcPr>
          <w:p w14:paraId="5F4270F5" w14:textId="77777777" w:rsidR="00EC092B" w:rsidRPr="009B1322" w:rsidRDefault="00EC092B" w:rsidP="00A12E52">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12F45E5E" w14:textId="77777777" w:rsidR="00EC092B" w:rsidRPr="009B1322" w:rsidRDefault="00EC092B" w:rsidP="00A12E52">
            <w:pPr>
              <w:pStyle w:val="Tabletext"/>
              <w:rPr>
                <w:snapToGrid w:val="0"/>
              </w:rPr>
            </w:pPr>
            <w:r w:rsidRPr="00295986">
              <w:t>17</w:t>
            </w:r>
            <w:r w:rsidR="00D7157D">
              <w:t>.</w:t>
            </w:r>
            <w:r w:rsidRPr="00295986">
              <w:t>8062</w:t>
            </w:r>
          </w:p>
        </w:tc>
        <w:tc>
          <w:tcPr>
            <w:tcW w:w="1866" w:type="pct"/>
            <w:tcBorders>
              <w:top w:val="single" w:sz="4" w:space="0" w:color="auto"/>
              <w:bottom w:val="single" w:sz="4" w:space="0" w:color="auto"/>
            </w:tcBorders>
            <w:vAlign w:val="center"/>
          </w:tcPr>
          <w:p w14:paraId="43D4FD30" w14:textId="77777777" w:rsidR="00EC092B" w:rsidRPr="009B1322" w:rsidRDefault="00EC092B" w:rsidP="00A12E52">
            <w:pPr>
              <w:pStyle w:val="Tabletext"/>
              <w:rPr>
                <w:snapToGrid w:val="0"/>
              </w:rPr>
            </w:pPr>
            <w:r w:rsidRPr="00295986">
              <w:t>18</w:t>
            </w:r>
            <w:r w:rsidR="00D7157D">
              <w:t>.</w:t>
            </w:r>
            <w:r w:rsidRPr="00295986">
              <w:t>9732</w:t>
            </w:r>
          </w:p>
        </w:tc>
      </w:tr>
      <w:tr w:rsidR="00EC092B" w:rsidRPr="009E2595" w14:paraId="38849A32" w14:textId="77777777" w:rsidTr="005D2F9E">
        <w:trPr>
          <w:trHeight w:val="245"/>
          <w:jc w:val="right"/>
        </w:trPr>
        <w:tc>
          <w:tcPr>
            <w:tcW w:w="1705" w:type="pct"/>
            <w:tcBorders>
              <w:top w:val="single" w:sz="4" w:space="0" w:color="auto"/>
              <w:bottom w:val="single" w:sz="12" w:space="0" w:color="auto"/>
            </w:tcBorders>
          </w:tcPr>
          <w:p w14:paraId="2D16AFB6" w14:textId="77777777" w:rsidR="00EC092B" w:rsidRPr="009B1322" w:rsidRDefault="00EC092B" w:rsidP="00A12E52">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5A5F9E6D" w14:textId="77777777" w:rsidR="00EC092B" w:rsidRPr="009B1322" w:rsidRDefault="00EC092B" w:rsidP="00A12E52">
            <w:pPr>
              <w:pStyle w:val="Tabletext"/>
              <w:rPr>
                <w:snapToGrid w:val="0"/>
              </w:rPr>
            </w:pPr>
            <w:r w:rsidRPr="00295986">
              <w:t>17</w:t>
            </w:r>
            <w:r w:rsidR="00D7157D">
              <w:t>.</w:t>
            </w:r>
            <w:r w:rsidRPr="00295986">
              <w:t>2885</w:t>
            </w:r>
          </w:p>
        </w:tc>
        <w:tc>
          <w:tcPr>
            <w:tcW w:w="1866" w:type="pct"/>
            <w:tcBorders>
              <w:top w:val="single" w:sz="4" w:space="0" w:color="auto"/>
              <w:bottom w:val="single" w:sz="12" w:space="0" w:color="auto"/>
            </w:tcBorders>
            <w:vAlign w:val="center"/>
          </w:tcPr>
          <w:p w14:paraId="214D961D" w14:textId="77777777" w:rsidR="00EC092B" w:rsidRPr="009B1322" w:rsidRDefault="00EC092B" w:rsidP="00A12E52">
            <w:pPr>
              <w:pStyle w:val="Tabletext"/>
              <w:rPr>
                <w:snapToGrid w:val="0"/>
              </w:rPr>
            </w:pPr>
            <w:r w:rsidRPr="00295986">
              <w:t>18</w:t>
            </w:r>
            <w:r w:rsidR="00D7157D">
              <w:t>.</w:t>
            </w:r>
            <w:r w:rsidRPr="00295986">
              <w:t>4716</w:t>
            </w:r>
          </w:p>
        </w:tc>
      </w:tr>
    </w:tbl>
    <w:p w14:paraId="521C4AD4"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39A5E7DA" w14:textId="77777777" w:rsidTr="00963115">
        <w:trPr>
          <w:cantSplit/>
          <w:trHeight w:val="375"/>
          <w:tblHeader/>
          <w:jc w:val="right"/>
        </w:trPr>
        <w:tc>
          <w:tcPr>
            <w:tcW w:w="1705" w:type="pct"/>
            <w:vMerge w:val="restart"/>
            <w:tcBorders>
              <w:top w:val="single" w:sz="12" w:space="0" w:color="auto"/>
              <w:bottom w:val="single" w:sz="12" w:space="0" w:color="auto"/>
            </w:tcBorders>
          </w:tcPr>
          <w:p w14:paraId="226F789D"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972F175" w14:textId="294F74F0"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w:t>
            </w:r>
            <w:r w:rsidRPr="00A058B6">
              <w:rPr>
                <w:snapToGrid w:val="0"/>
              </w:rPr>
              <w:br/>
              <w:t>CPI indexed pension plus 1% with 5% cap</w:t>
            </w:r>
          </w:p>
        </w:tc>
      </w:tr>
      <w:tr w:rsidR="00647C6B" w:rsidRPr="00A058B6" w14:paraId="3444FCA5" w14:textId="77777777" w:rsidTr="00963115">
        <w:trPr>
          <w:cantSplit/>
          <w:trHeight w:val="40"/>
          <w:tblHeader/>
          <w:jc w:val="right"/>
        </w:trPr>
        <w:tc>
          <w:tcPr>
            <w:tcW w:w="1705" w:type="pct"/>
            <w:vMerge/>
            <w:tcBorders>
              <w:bottom w:val="single" w:sz="12" w:space="0" w:color="auto"/>
            </w:tcBorders>
          </w:tcPr>
          <w:p w14:paraId="2CBC6193" w14:textId="77777777" w:rsidR="00647C6B" w:rsidRPr="00A058B6" w:rsidRDefault="00647C6B" w:rsidP="00963115">
            <w:pPr>
              <w:pStyle w:val="TableHeading"/>
              <w:rPr>
                <w:snapToGrid w:val="0"/>
              </w:rPr>
            </w:pPr>
          </w:p>
        </w:tc>
        <w:tc>
          <w:tcPr>
            <w:tcW w:w="1417" w:type="pct"/>
            <w:tcBorders>
              <w:bottom w:val="single" w:sz="12" w:space="0" w:color="auto"/>
            </w:tcBorders>
          </w:tcPr>
          <w:p w14:paraId="51F813E7"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3520540B" w14:textId="77777777" w:rsidR="00647C6B" w:rsidRPr="00A058B6" w:rsidRDefault="00647C6B" w:rsidP="00963115">
            <w:pPr>
              <w:pStyle w:val="TableHeading"/>
              <w:rPr>
                <w:snapToGrid w:val="0"/>
              </w:rPr>
            </w:pPr>
            <w:r w:rsidRPr="00A058B6">
              <w:rPr>
                <w:snapToGrid w:val="0"/>
              </w:rPr>
              <w:t>Female</w:t>
            </w:r>
          </w:p>
        </w:tc>
      </w:tr>
      <w:tr w:rsidR="00A925F1" w:rsidRPr="009E2595" w14:paraId="0AA6C6FD" w14:textId="77777777" w:rsidTr="005D2F9E">
        <w:trPr>
          <w:trHeight w:val="245"/>
          <w:jc w:val="right"/>
        </w:trPr>
        <w:tc>
          <w:tcPr>
            <w:tcW w:w="1705" w:type="pct"/>
            <w:tcBorders>
              <w:top w:val="single" w:sz="12" w:space="0" w:color="auto"/>
              <w:bottom w:val="single" w:sz="4" w:space="0" w:color="auto"/>
            </w:tcBorders>
          </w:tcPr>
          <w:p w14:paraId="559D06D4" w14:textId="77777777" w:rsidR="00A925F1" w:rsidRPr="00616B26" w:rsidRDefault="00A925F1" w:rsidP="00A12E52">
            <w:pPr>
              <w:pStyle w:val="Tabletext"/>
              <w:rPr>
                <w:snapToGrid w:val="0"/>
              </w:rPr>
            </w:pPr>
            <w:r w:rsidRPr="00616B26">
              <w:rPr>
                <w:snapToGrid w:val="0"/>
              </w:rPr>
              <w:t>Up to 40</w:t>
            </w:r>
          </w:p>
        </w:tc>
        <w:tc>
          <w:tcPr>
            <w:tcW w:w="1417" w:type="pct"/>
            <w:tcBorders>
              <w:top w:val="single" w:sz="12" w:space="0" w:color="auto"/>
              <w:bottom w:val="single" w:sz="4" w:space="0" w:color="auto"/>
            </w:tcBorders>
            <w:vAlign w:val="bottom"/>
          </w:tcPr>
          <w:p w14:paraId="041BD866" w14:textId="77777777" w:rsidR="00A925F1" w:rsidRPr="009B1322" w:rsidRDefault="00A925F1" w:rsidP="00A12E52">
            <w:pPr>
              <w:pStyle w:val="Tabletext"/>
              <w:rPr>
                <w:snapToGrid w:val="0"/>
              </w:rPr>
            </w:pPr>
            <w:r w:rsidRPr="00295986">
              <w:t>2</w:t>
            </w:r>
            <w:r w:rsidR="00D7157D">
              <w:t>.</w:t>
            </w:r>
            <w:r w:rsidRPr="00295986">
              <w:t>622</w:t>
            </w:r>
          </w:p>
        </w:tc>
        <w:tc>
          <w:tcPr>
            <w:tcW w:w="1878" w:type="pct"/>
            <w:tcBorders>
              <w:top w:val="single" w:sz="12" w:space="0" w:color="auto"/>
              <w:bottom w:val="single" w:sz="4" w:space="0" w:color="auto"/>
            </w:tcBorders>
            <w:vAlign w:val="bottom"/>
          </w:tcPr>
          <w:p w14:paraId="3B496B51" w14:textId="77777777" w:rsidR="00A925F1" w:rsidRPr="009B1322" w:rsidRDefault="00A925F1" w:rsidP="00A12E52">
            <w:pPr>
              <w:pStyle w:val="Tabletext"/>
              <w:rPr>
                <w:snapToGrid w:val="0"/>
              </w:rPr>
            </w:pPr>
            <w:r w:rsidRPr="00295986">
              <w:t>1</w:t>
            </w:r>
            <w:r w:rsidR="00D7157D">
              <w:t>.</w:t>
            </w:r>
            <w:r w:rsidRPr="00295986">
              <w:t>117</w:t>
            </w:r>
          </w:p>
        </w:tc>
      </w:tr>
      <w:tr w:rsidR="00A925F1" w:rsidRPr="009E2595" w14:paraId="253E916C" w14:textId="77777777" w:rsidTr="005D2F9E">
        <w:trPr>
          <w:trHeight w:val="245"/>
          <w:jc w:val="right"/>
        </w:trPr>
        <w:tc>
          <w:tcPr>
            <w:tcW w:w="1705" w:type="pct"/>
            <w:tcBorders>
              <w:top w:val="single" w:sz="4" w:space="0" w:color="auto"/>
              <w:bottom w:val="single" w:sz="4" w:space="0" w:color="auto"/>
            </w:tcBorders>
          </w:tcPr>
          <w:p w14:paraId="3B2C931B" w14:textId="77777777" w:rsidR="00A925F1" w:rsidRPr="00616B26" w:rsidRDefault="00A925F1" w:rsidP="00A12E52">
            <w:pPr>
              <w:pStyle w:val="Tabletext"/>
              <w:rPr>
                <w:snapToGrid w:val="0"/>
              </w:rPr>
            </w:pPr>
            <w:r w:rsidRPr="00616B26">
              <w:rPr>
                <w:snapToGrid w:val="0"/>
              </w:rPr>
              <w:t>41</w:t>
            </w:r>
          </w:p>
        </w:tc>
        <w:tc>
          <w:tcPr>
            <w:tcW w:w="1417" w:type="pct"/>
            <w:tcBorders>
              <w:top w:val="single" w:sz="4" w:space="0" w:color="auto"/>
              <w:bottom w:val="single" w:sz="4" w:space="0" w:color="auto"/>
            </w:tcBorders>
            <w:vAlign w:val="bottom"/>
          </w:tcPr>
          <w:p w14:paraId="38143951" w14:textId="77777777" w:rsidR="00A925F1" w:rsidRPr="009B1322" w:rsidRDefault="00A925F1" w:rsidP="00A12E52">
            <w:pPr>
              <w:pStyle w:val="Tabletext"/>
              <w:rPr>
                <w:snapToGrid w:val="0"/>
              </w:rPr>
            </w:pPr>
            <w:r w:rsidRPr="00295986">
              <w:t>2</w:t>
            </w:r>
            <w:r w:rsidR="00D7157D">
              <w:t>.</w:t>
            </w:r>
            <w:r w:rsidRPr="00295986">
              <w:t>535</w:t>
            </w:r>
          </w:p>
        </w:tc>
        <w:tc>
          <w:tcPr>
            <w:tcW w:w="1878" w:type="pct"/>
            <w:tcBorders>
              <w:top w:val="single" w:sz="4" w:space="0" w:color="auto"/>
              <w:bottom w:val="single" w:sz="4" w:space="0" w:color="auto"/>
            </w:tcBorders>
            <w:vAlign w:val="bottom"/>
          </w:tcPr>
          <w:p w14:paraId="7AE7AF57" w14:textId="77777777" w:rsidR="00A925F1" w:rsidRPr="009B1322" w:rsidRDefault="00A925F1" w:rsidP="00A12E52">
            <w:pPr>
              <w:pStyle w:val="Tabletext"/>
              <w:rPr>
                <w:snapToGrid w:val="0"/>
              </w:rPr>
            </w:pPr>
            <w:r w:rsidRPr="00295986">
              <w:t>1</w:t>
            </w:r>
            <w:r w:rsidR="00D7157D">
              <w:t>.</w:t>
            </w:r>
            <w:r w:rsidRPr="00295986">
              <w:t>050</w:t>
            </w:r>
          </w:p>
        </w:tc>
      </w:tr>
      <w:tr w:rsidR="00A925F1" w:rsidRPr="009E2595" w14:paraId="36BBCC8D" w14:textId="77777777" w:rsidTr="005D2F9E">
        <w:trPr>
          <w:trHeight w:val="245"/>
          <w:jc w:val="right"/>
        </w:trPr>
        <w:tc>
          <w:tcPr>
            <w:tcW w:w="1705" w:type="pct"/>
            <w:tcBorders>
              <w:top w:val="single" w:sz="4" w:space="0" w:color="auto"/>
              <w:bottom w:val="single" w:sz="4" w:space="0" w:color="auto"/>
            </w:tcBorders>
          </w:tcPr>
          <w:p w14:paraId="6C5D969A" w14:textId="77777777" w:rsidR="00A925F1" w:rsidRPr="00616B26" w:rsidRDefault="00A925F1" w:rsidP="00A12E52">
            <w:pPr>
              <w:pStyle w:val="Tabletext"/>
              <w:rPr>
                <w:snapToGrid w:val="0"/>
              </w:rPr>
            </w:pPr>
            <w:r w:rsidRPr="00616B26">
              <w:rPr>
                <w:snapToGrid w:val="0"/>
              </w:rPr>
              <w:t>42</w:t>
            </w:r>
          </w:p>
        </w:tc>
        <w:tc>
          <w:tcPr>
            <w:tcW w:w="1417" w:type="pct"/>
            <w:tcBorders>
              <w:top w:val="single" w:sz="4" w:space="0" w:color="auto"/>
              <w:bottom w:val="single" w:sz="4" w:space="0" w:color="auto"/>
            </w:tcBorders>
            <w:vAlign w:val="bottom"/>
          </w:tcPr>
          <w:p w14:paraId="5D677EE4" w14:textId="77777777" w:rsidR="00A925F1" w:rsidRPr="009B1322" w:rsidRDefault="00A925F1" w:rsidP="00A12E52">
            <w:pPr>
              <w:pStyle w:val="Tabletext"/>
              <w:rPr>
                <w:snapToGrid w:val="0"/>
              </w:rPr>
            </w:pPr>
            <w:r w:rsidRPr="00295986">
              <w:t>2</w:t>
            </w:r>
            <w:r w:rsidR="00D7157D">
              <w:t>.</w:t>
            </w:r>
            <w:r w:rsidRPr="00295986">
              <w:t>448</w:t>
            </w:r>
          </w:p>
        </w:tc>
        <w:tc>
          <w:tcPr>
            <w:tcW w:w="1878" w:type="pct"/>
            <w:tcBorders>
              <w:top w:val="single" w:sz="4" w:space="0" w:color="auto"/>
              <w:bottom w:val="single" w:sz="4" w:space="0" w:color="auto"/>
            </w:tcBorders>
            <w:vAlign w:val="bottom"/>
          </w:tcPr>
          <w:p w14:paraId="667BCEDC" w14:textId="77777777" w:rsidR="00A925F1" w:rsidRPr="009B1322" w:rsidRDefault="00A925F1" w:rsidP="00A12E52">
            <w:pPr>
              <w:pStyle w:val="Tabletext"/>
              <w:rPr>
                <w:snapToGrid w:val="0"/>
              </w:rPr>
            </w:pPr>
            <w:r w:rsidRPr="00295986">
              <w:t>0</w:t>
            </w:r>
            <w:r w:rsidR="00D7157D">
              <w:t>.</w:t>
            </w:r>
            <w:r w:rsidRPr="00295986">
              <w:t>983</w:t>
            </w:r>
          </w:p>
        </w:tc>
      </w:tr>
      <w:tr w:rsidR="00A925F1" w:rsidRPr="009E2595" w14:paraId="2864CC13" w14:textId="77777777" w:rsidTr="005D2F9E">
        <w:trPr>
          <w:trHeight w:val="245"/>
          <w:jc w:val="right"/>
        </w:trPr>
        <w:tc>
          <w:tcPr>
            <w:tcW w:w="1705" w:type="pct"/>
            <w:tcBorders>
              <w:top w:val="single" w:sz="4" w:space="0" w:color="auto"/>
              <w:bottom w:val="single" w:sz="4" w:space="0" w:color="auto"/>
            </w:tcBorders>
          </w:tcPr>
          <w:p w14:paraId="5DA31603" w14:textId="77777777" w:rsidR="00A925F1" w:rsidRPr="00616B26" w:rsidRDefault="00A925F1" w:rsidP="00A12E52">
            <w:pPr>
              <w:pStyle w:val="Tabletext"/>
              <w:rPr>
                <w:snapToGrid w:val="0"/>
              </w:rPr>
            </w:pPr>
            <w:r w:rsidRPr="00616B26">
              <w:rPr>
                <w:snapToGrid w:val="0"/>
              </w:rPr>
              <w:t>43</w:t>
            </w:r>
          </w:p>
        </w:tc>
        <w:tc>
          <w:tcPr>
            <w:tcW w:w="1417" w:type="pct"/>
            <w:tcBorders>
              <w:top w:val="single" w:sz="4" w:space="0" w:color="auto"/>
              <w:bottom w:val="single" w:sz="4" w:space="0" w:color="auto"/>
            </w:tcBorders>
            <w:vAlign w:val="bottom"/>
          </w:tcPr>
          <w:p w14:paraId="5490544B" w14:textId="77777777" w:rsidR="00A925F1" w:rsidRPr="009B1322" w:rsidRDefault="00A925F1" w:rsidP="00A12E52">
            <w:pPr>
              <w:pStyle w:val="Tabletext"/>
              <w:rPr>
                <w:snapToGrid w:val="0"/>
              </w:rPr>
            </w:pPr>
            <w:r w:rsidRPr="00295986">
              <w:t>2</w:t>
            </w:r>
            <w:r w:rsidR="00D7157D">
              <w:t>.</w:t>
            </w:r>
            <w:r w:rsidRPr="00295986">
              <w:t>360</w:t>
            </w:r>
          </w:p>
        </w:tc>
        <w:tc>
          <w:tcPr>
            <w:tcW w:w="1878" w:type="pct"/>
            <w:tcBorders>
              <w:top w:val="single" w:sz="4" w:space="0" w:color="auto"/>
              <w:bottom w:val="single" w:sz="4" w:space="0" w:color="auto"/>
            </w:tcBorders>
            <w:vAlign w:val="bottom"/>
          </w:tcPr>
          <w:p w14:paraId="3FFEADF8" w14:textId="77777777" w:rsidR="00A925F1" w:rsidRPr="009B1322" w:rsidRDefault="00A925F1" w:rsidP="00A12E52">
            <w:pPr>
              <w:pStyle w:val="Tabletext"/>
              <w:rPr>
                <w:snapToGrid w:val="0"/>
              </w:rPr>
            </w:pPr>
            <w:r w:rsidRPr="00295986">
              <w:t>0</w:t>
            </w:r>
            <w:r w:rsidR="00D7157D">
              <w:t>.</w:t>
            </w:r>
            <w:r w:rsidRPr="00295986">
              <w:t>916</w:t>
            </w:r>
          </w:p>
        </w:tc>
      </w:tr>
      <w:tr w:rsidR="00A925F1" w:rsidRPr="009E2595" w14:paraId="59938CCB" w14:textId="77777777" w:rsidTr="005D2F9E">
        <w:trPr>
          <w:trHeight w:val="245"/>
          <w:jc w:val="right"/>
        </w:trPr>
        <w:tc>
          <w:tcPr>
            <w:tcW w:w="1705" w:type="pct"/>
            <w:tcBorders>
              <w:top w:val="single" w:sz="4" w:space="0" w:color="auto"/>
              <w:bottom w:val="single" w:sz="4" w:space="0" w:color="auto"/>
            </w:tcBorders>
          </w:tcPr>
          <w:p w14:paraId="3DF5CB98" w14:textId="77777777" w:rsidR="00A925F1" w:rsidRPr="00616B26" w:rsidRDefault="00A925F1" w:rsidP="00A12E52">
            <w:pPr>
              <w:pStyle w:val="Tabletext"/>
              <w:rPr>
                <w:snapToGrid w:val="0"/>
              </w:rPr>
            </w:pPr>
            <w:r w:rsidRPr="00616B26">
              <w:rPr>
                <w:snapToGrid w:val="0"/>
              </w:rPr>
              <w:t>44</w:t>
            </w:r>
          </w:p>
        </w:tc>
        <w:tc>
          <w:tcPr>
            <w:tcW w:w="1417" w:type="pct"/>
            <w:tcBorders>
              <w:top w:val="single" w:sz="4" w:space="0" w:color="auto"/>
              <w:bottom w:val="single" w:sz="4" w:space="0" w:color="auto"/>
            </w:tcBorders>
            <w:vAlign w:val="bottom"/>
          </w:tcPr>
          <w:p w14:paraId="19906621" w14:textId="77777777" w:rsidR="00A925F1" w:rsidRPr="009B1322" w:rsidRDefault="00A925F1" w:rsidP="00A12E52">
            <w:pPr>
              <w:pStyle w:val="Tabletext"/>
              <w:rPr>
                <w:snapToGrid w:val="0"/>
              </w:rPr>
            </w:pPr>
            <w:r w:rsidRPr="00295986">
              <w:t>2</w:t>
            </w:r>
            <w:r w:rsidR="00D7157D">
              <w:t>.</w:t>
            </w:r>
            <w:r w:rsidRPr="00295986">
              <w:t>273</w:t>
            </w:r>
          </w:p>
        </w:tc>
        <w:tc>
          <w:tcPr>
            <w:tcW w:w="1878" w:type="pct"/>
            <w:tcBorders>
              <w:top w:val="single" w:sz="4" w:space="0" w:color="auto"/>
              <w:bottom w:val="single" w:sz="4" w:space="0" w:color="auto"/>
            </w:tcBorders>
            <w:vAlign w:val="bottom"/>
          </w:tcPr>
          <w:p w14:paraId="53AAC6A5" w14:textId="77777777" w:rsidR="00A925F1" w:rsidRPr="009B1322" w:rsidRDefault="00A925F1" w:rsidP="00A12E52">
            <w:pPr>
              <w:pStyle w:val="Tabletext"/>
              <w:rPr>
                <w:snapToGrid w:val="0"/>
              </w:rPr>
            </w:pPr>
            <w:r w:rsidRPr="00295986">
              <w:t>0</w:t>
            </w:r>
            <w:r w:rsidR="00D7157D">
              <w:t>.</w:t>
            </w:r>
            <w:r w:rsidRPr="00295986">
              <w:t>849</w:t>
            </w:r>
          </w:p>
        </w:tc>
      </w:tr>
      <w:tr w:rsidR="00A925F1" w:rsidRPr="009E2595" w14:paraId="46546639" w14:textId="77777777" w:rsidTr="005D2F9E">
        <w:trPr>
          <w:trHeight w:val="245"/>
          <w:jc w:val="right"/>
        </w:trPr>
        <w:tc>
          <w:tcPr>
            <w:tcW w:w="1705" w:type="pct"/>
            <w:tcBorders>
              <w:top w:val="single" w:sz="4" w:space="0" w:color="auto"/>
              <w:bottom w:val="single" w:sz="4" w:space="0" w:color="auto"/>
            </w:tcBorders>
          </w:tcPr>
          <w:p w14:paraId="0C8D3452" w14:textId="77777777" w:rsidR="00A925F1" w:rsidRPr="00616B26" w:rsidRDefault="00A925F1" w:rsidP="00A12E52">
            <w:pPr>
              <w:pStyle w:val="Tabletext"/>
              <w:rPr>
                <w:snapToGrid w:val="0"/>
              </w:rPr>
            </w:pPr>
            <w:r w:rsidRPr="00616B26">
              <w:rPr>
                <w:snapToGrid w:val="0"/>
              </w:rPr>
              <w:t>45</w:t>
            </w:r>
          </w:p>
        </w:tc>
        <w:tc>
          <w:tcPr>
            <w:tcW w:w="1417" w:type="pct"/>
            <w:tcBorders>
              <w:top w:val="single" w:sz="4" w:space="0" w:color="auto"/>
              <w:bottom w:val="single" w:sz="4" w:space="0" w:color="auto"/>
            </w:tcBorders>
            <w:vAlign w:val="bottom"/>
          </w:tcPr>
          <w:p w14:paraId="201CE8D6" w14:textId="77777777" w:rsidR="00A925F1" w:rsidRPr="009B1322" w:rsidRDefault="00A925F1" w:rsidP="00A12E52">
            <w:pPr>
              <w:pStyle w:val="Tabletext"/>
              <w:rPr>
                <w:snapToGrid w:val="0"/>
              </w:rPr>
            </w:pPr>
            <w:r w:rsidRPr="00295986">
              <w:t>2</w:t>
            </w:r>
            <w:r w:rsidR="00D7157D">
              <w:t>.</w:t>
            </w:r>
            <w:r w:rsidRPr="00295986">
              <w:t>185</w:t>
            </w:r>
          </w:p>
        </w:tc>
        <w:tc>
          <w:tcPr>
            <w:tcW w:w="1878" w:type="pct"/>
            <w:tcBorders>
              <w:top w:val="single" w:sz="4" w:space="0" w:color="auto"/>
              <w:bottom w:val="single" w:sz="4" w:space="0" w:color="auto"/>
            </w:tcBorders>
            <w:vAlign w:val="bottom"/>
          </w:tcPr>
          <w:p w14:paraId="101D1251" w14:textId="77777777" w:rsidR="00A925F1" w:rsidRPr="009B1322" w:rsidRDefault="00A925F1" w:rsidP="00A12E52">
            <w:pPr>
              <w:pStyle w:val="Tabletext"/>
              <w:rPr>
                <w:snapToGrid w:val="0"/>
              </w:rPr>
            </w:pPr>
            <w:r w:rsidRPr="00295986">
              <w:t>0</w:t>
            </w:r>
            <w:r w:rsidR="00D7157D">
              <w:t>.</w:t>
            </w:r>
            <w:r w:rsidRPr="00295986">
              <w:t>782</w:t>
            </w:r>
          </w:p>
        </w:tc>
      </w:tr>
      <w:tr w:rsidR="00A925F1" w:rsidRPr="009E2595" w14:paraId="0D30177D" w14:textId="77777777" w:rsidTr="005D2F9E">
        <w:trPr>
          <w:trHeight w:val="245"/>
          <w:jc w:val="right"/>
        </w:trPr>
        <w:tc>
          <w:tcPr>
            <w:tcW w:w="1705" w:type="pct"/>
            <w:tcBorders>
              <w:top w:val="single" w:sz="4" w:space="0" w:color="auto"/>
              <w:bottom w:val="single" w:sz="4" w:space="0" w:color="auto"/>
            </w:tcBorders>
          </w:tcPr>
          <w:p w14:paraId="2EE26669" w14:textId="77777777" w:rsidR="00A925F1" w:rsidRPr="00616B26" w:rsidRDefault="00A925F1" w:rsidP="00A12E52">
            <w:pPr>
              <w:pStyle w:val="Tabletext"/>
              <w:rPr>
                <w:snapToGrid w:val="0"/>
              </w:rPr>
            </w:pPr>
            <w:r w:rsidRPr="00616B26">
              <w:rPr>
                <w:snapToGrid w:val="0"/>
              </w:rPr>
              <w:t>46</w:t>
            </w:r>
          </w:p>
        </w:tc>
        <w:tc>
          <w:tcPr>
            <w:tcW w:w="1417" w:type="pct"/>
            <w:tcBorders>
              <w:top w:val="single" w:sz="4" w:space="0" w:color="auto"/>
              <w:bottom w:val="single" w:sz="4" w:space="0" w:color="auto"/>
            </w:tcBorders>
            <w:vAlign w:val="bottom"/>
          </w:tcPr>
          <w:p w14:paraId="3E7F8B7C" w14:textId="77777777" w:rsidR="00A925F1" w:rsidRPr="009B1322" w:rsidRDefault="00A925F1" w:rsidP="00A12E52">
            <w:pPr>
              <w:pStyle w:val="Tabletext"/>
              <w:rPr>
                <w:snapToGrid w:val="0"/>
              </w:rPr>
            </w:pPr>
            <w:r w:rsidRPr="00295986">
              <w:t>2</w:t>
            </w:r>
            <w:r w:rsidR="00D7157D">
              <w:t>.</w:t>
            </w:r>
            <w:r w:rsidRPr="00295986">
              <w:t>098</w:t>
            </w:r>
          </w:p>
        </w:tc>
        <w:tc>
          <w:tcPr>
            <w:tcW w:w="1878" w:type="pct"/>
            <w:tcBorders>
              <w:top w:val="single" w:sz="4" w:space="0" w:color="auto"/>
              <w:bottom w:val="single" w:sz="4" w:space="0" w:color="auto"/>
            </w:tcBorders>
            <w:vAlign w:val="bottom"/>
          </w:tcPr>
          <w:p w14:paraId="3E16D682" w14:textId="77777777" w:rsidR="00A925F1" w:rsidRPr="009B1322" w:rsidRDefault="00A925F1" w:rsidP="00A12E52">
            <w:pPr>
              <w:pStyle w:val="Tabletext"/>
              <w:rPr>
                <w:snapToGrid w:val="0"/>
              </w:rPr>
            </w:pPr>
            <w:r w:rsidRPr="00295986">
              <w:t>0</w:t>
            </w:r>
            <w:r w:rsidR="00D7157D">
              <w:t>.</w:t>
            </w:r>
            <w:r w:rsidRPr="00295986">
              <w:t>715</w:t>
            </w:r>
          </w:p>
        </w:tc>
      </w:tr>
      <w:tr w:rsidR="00A925F1" w:rsidRPr="009E2595" w14:paraId="45F15959" w14:textId="77777777" w:rsidTr="005D2F9E">
        <w:trPr>
          <w:trHeight w:val="245"/>
          <w:jc w:val="right"/>
        </w:trPr>
        <w:tc>
          <w:tcPr>
            <w:tcW w:w="1705" w:type="pct"/>
            <w:tcBorders>
              <w:top w:val="single" w:sz="4" w:space="0" w:color="auto"/>
              <w:bottom w:val="single" w:sz="4" w:space="0" w:color="auto"/>
            </w:tcBorders>
          </w:tcPr>
          <w:p w14:paraId="0901DD39" w14:textId="77777777" w:rsidR="00A925F1" w:rsidRPr="00616B26" w:rsidRDefault="00A925F1" w:rsidP="00A12E52">
            <w:pPr>
              <w:pStyle w:val="Tabletext"/>
              <w:rPr>
                <w:snapToGrid w:val="0"/>
              </w:rPr>
            </w:pPr>
            <w:r w:rsidRPr="00616B26">
              <w:rPr>
                <w:snapToGrid w:val="0"/>
              </w:rPr>
              <w:t>47</w:t>
            </w:r>
          </w:p>
        </w:tc>
        <w:tc>
          <w:tcPr>
            <w:tcW w:w="1417" w:type="pct"/>
            <w:tcBorders>
              <w:top w:val="single" w:sz="4" w:space="0" w:color="auto"/>
              <w:bottom w:val="single" w:sz="4" w:space="0" w:color="auto"/>
            </w:tcBorders>
            <w:vAlign w:val="bottom"/>
          </w:tcPr>
          <w:p w14:paraId="279079C6" w14:textId="77777777" w:rsidR="00A925F1" w:rsidRPr="009B1322" w:rsidRDefault="00A925F1" w:rsidP="00A12E52">
            <w:pPr>
              <w:pStyle w:val="Tabletext"/>
              <w:rPr>
                <w:snapToGrid w:val="0"/>
              </w:rPr>
            </w:pPr>
            <w:r w:rsidRPr="00295986">
              <w:t>2</w:t>
            </w:r>
            <w:r w:rsidR="00D7157D">
              <w:t>.</w:t>
            </w:r>
            <w:r w:rsidRPr="00295986">
              <w:t>010</w:t>
            </w:r>
          </w:p>
        </w:tc>
        <w:tc>
          <w:tcPr>
            <w:tcW w:w="1878" w:type="pct"/>
            <w:tcBorders>
              <w:top w:val="single" w:sz="4" w:space="0" w:color="auto"/>
              <w:bottom w:val="single" w:sz="4" w:space="0" w:color="auto"/>
            </w:tcBorders>
            <w:vAlign w:val="bottom"/>
          </w:tcPr>
          <w:p w14:paraId="6C9C5EE5" w14:textId="77777777" w:rsidR="00A925F1" w:rsidRPr="009B1322" w:rsidRDefault="00A925F1" w:rsidP="00A12E52">
            <w:pPr>
              <w:pStyle w:val="Tabletext"/>
              <w:rPr>
                <w:snapToGrid w:val="0"/>
              </w:rPr>
            </w:pPr>
            <w:r w:rsidRPr="00295986">
              <w:t>0</w:t>
            </w:r>
            <w:r w:rsidR="00D7157D">
              <w:t>.</w:t>
            </w:r>
            <w:r w:rsidRPr="00295986">
              <w:t>648</w:t>
            </w:r>
          </w:p>
        </w:tc>
      </w:tr>
      <w:tr w:rsidR="00A925F1" w:rsidRPr="009E2595" w14:paraId="1D47B098" w14:textId="77777777" w:rsidTr="005D2F9E">
        <w:trPr>
          <w:trHeight w:val="245"/>
          <w:jc w:val="right"/>
        </w:trPr>
        <w:tc>
          <w:tcPr>
            <w:tcW w:w="1705" w:type="pct"/>
            <w:tcBorders>
              <w:top w:val="single" w:sz="4" w:space="0" w:color="auto"/>
              <w:bottom w:val="single" w:sz="4" w:space="0" w:color="auto"/>
            </w:tcBorders>
          </w:tcPr>
          <w:p w14:paraId="56FD835F" w14:textId="77777777" w:rsidR="00A925F1" w:rsidRPr="00616B26" w:rsidRDefault="00A925F1" w:rsidP="00A12E52">
            <w:pPr>
              <w:pStyle w:val="Tabletext"/>
              <w:rPr>
                <w:snapToGrid w:val="0"/>
              </w:rPr>
            </w:pPr>
            <w:r w:rsidRPr="00616B26">
              <w:rPr>
                <w:snapToGrid w:val="0"/>
              </w:rPr>
              <w:t>48</w:t>
            </w:r>
          </w:p>
        </w:tc>
        <w:tc>
          <w:tcPr>
            <w:tcW w:w="1417" w:type="pct"/>
            <w:tcBorders>
              <w:top w:val="single" w:sz="4" w:space="0" w:color="auto"/>
              <w:bottom w:val="single" w:sz="4" w:space="0" w:color="auto"/>
            </w:tcBorders>
            <w:vAlign w:val="bottom"/>
          </w:tcPr>
          <w:p w14:paraId="56A5BDC2" w14:textId="77777777" w:rsidR="00A925F1" w:rsidRPr="009B1322" w:rsidRDefault="00A925F1" w:rsidP="00A12E52">
            <w:pPr>
              <w:pStyle w:val="Tabletext"/>
              <w:rPr>
                <w:snapToGrid w:val="0"/>
              </w:rPr>
            </w:pPr>
            <w:r w:rsidRPr="00295986">
              <w:t>1</w:t>
            </w:r>
            <w:r w:rsidR="00D7157D">
              <w:t>.</w:t>
            </w:r>
            <w:r w:rsidRPr="00295986">
              <w:t>923</w:t>
            </w:r>
          </w:p>
        </w:tc>
        <w:tc>
          <w:tcPr>
            <w:tcW w:w="1878" w:type="pct"/>
            <w:tcBorders>
              <w:top w:val="single" w:sz="4" w:space="0" w:color="auto"/>
              <w:bottom w:val="single" w:sz="4" w:space="0" w:color="auto"/>
            </w:tcBorders>
            <w:vAlign w:val="bottom"/>
          </w:tcPr>
          <w:p w14:paraId="2F6DAB0C" w14:textId="77777777" w:rsidR="00A925F1" w:rsidRPr="009B1322" w:rsidRDefault="00A925F1" w:rsidP="00A12E52">
            <w:pPr>
              <w:pStyle w:val="Tabletext"/>
              <w:rPr>
                <w:snapToGrid w:val="0"/>
              </w:rPr>
            </w:pPr>
            <w:r w:rsidRPr="00295986">
              <w:t>0</w:t>
            </w:r>
            <w:r w:rsidR="00D7157D">
              <w:t>.</w:t>
            </w:r>
            <w:r w:rsidRPr="00295986">
              <w:t>581</w:t>
            </w:r>
          </w:p>
        </w:tc>
      </w:tr>
      <w:tr w:rsidR="00A925F1" w:rsidRPr="009E2595" w14:paraId="515C77EF" w14:textId="77777777" w:rsidTr="005D2F9E">
        <w:trPr>
          <w:trHeight w:val="245"/>
          <w:jc w:val="right"/>
        </w:trPr>
        <w:tc>
          <w:tcPr>
            <w:tcW w:w="1705" w:type="pct"/>
            <w:tcBorders>
              <w:top w:val="single" w:sz="4" w:space="0" w:color="auto"/>
              <w:bottom w:val="single" w:sz="4" w:space="0" w:color="auto"/>
            </w:tcBorders>
          </w:tcPr>
          <w:p w14:paraId="624E8AC3" w14:textId="77777777" w:rsidR="00A925F1" w:rsidRPr="00616B26" w:rsidRDefault="00A925F1" w:rsidP="00A12E52">
            <w:pPr>
              <w:pStyle w:val="Tabletext"/>
              <w:rPr>
                <w:snapToGrid w:val="0"/>
              </w:rPr>
            </w:pPr>
            <w:r w:rsidRPr="00616B26">
              <w:rPr>
                <w:snapToGrid w:val="0"/>
              </w:rPr>
              <w:t>49</w:t>
            </w:r>
          </w:p>
        </w:tc>
        <w:tc>
          <w:tcPr>
            <w:tcW w:w="1417" w:type="pct"/>
            <w:tcBorders>
              <w:top w:val="single" w:sz="4" w:space="0" w:color="auto"/>
              <w:bottom w:val="single" w:sz="4" w:space="0" w:color="auto"/>
            </w:tcBorders>
            <w:vAlign w:val="bottom"/>
          </w:tcPr>
          <w:p w14:paraId="7A2E48FB" w14:textId="77777777" w:rsidR="00A925F1" w:rsidRPr="009B1322" w:rsidRDefault="00A925F1" w:rsidP="00A12E52">
            <w:pPr>
              <w:pStyle w:val="Tabletext"/>
              <w:rPr>
                <w:snapToGrid w:val="0"/>
              </w:rPr>
            </w:pPr>
            <w:r w:rsidRPr="00295986">
              <w:t>1</w:t>
            </w:r>
            <w:r w:rsidR="00D7157D">
              <w:t>.</w:t>
            </w:r>
            <w:r w:rsidRPr="00295986">
              <w:t>836</w:t>
            </w:r>
          </w:p>
        </w:tc>
        <w:tc>
          <w:tcPr>
            <w:tcW w:w="1878" w:type="pct"/>
            <w:tcBorders>
              <w:top w:val="single" w:sz="4" w:space="0" w:color="auto"/>
              <w:bottom w:val="single" w:sz="4" w:space="0" w:color="auto"/>
            </w:tcBorders>
            <w:vAlign w:val="bottom"/>
          </w:tcPr>
          <w:p w14:paraId="5CB2C5D6" w14:textId="77777777" w:rsidR="00A925F1" w:rsidRPr="009B1322" w:rsidRDefault="00A925F1" w:rsidP="00A12E52">
            <w:pPr>
              <w:pStyle w:val="Tabletext"/>
              <w:rPr>
                <w:snapToGrid w:val="0"/>
              </w:rPr>
            </w:pPr>
            <w:r w:rsidRPr="00295986">
              <w:t>0</w:t>
            </w:r>
            <w:r w:rsidR="00D7157D">
              <w:t>.</w:t>
            </w:r>
            <w:r w:rsidRPr="00295986">
              <w:t>514</w:t>
            </w:r>
          </w:p>
        </w:tc>
      </w:tr>
      <w:tr w:rsidR="00A925F1" w:rsidRPr="009E2595" w14:paraId="7D21CE76" w14:textId="77777777" w:rsidTr="005D2F9E">
        <w:trPr>
          <w:trHeight w:val="245"/>
          <w:jc w:val="right"/>
        </w:trPr>
        <w:tc>
          <w:tcPr>
            <w:tcW w:w="1705" w:type="pct"/>
            <w:tcBorders>
              <w:top w:val="single" w:sz="4" w:space="0" w:color="auto"/>
              <w:bottom w:val="single" w:sz="4" w:space="0" w:color="auto"/>
            </w:tcBorders>
          </w:tcPr>
          <w:p w14:paraId="6371F9D1" w14:textId="77777777" w:rsidR="00A925F1" w:rsidRPr="00616B26" w:rsidRDefault="00A925F1" w:rsidP="00A12E52">
            <w:pPr>
              <w:pStyle w:val="Tabletext"/>
              <w:rPr>
                <w:snapToGrid w:val="0"/>
              </w:rPr>
            </w:pPr>
            <w:r w:rsidRPr="00616B26">
              <w:rPr>
                <w:snapToGrid w:val="0"/>
              </w:rPr>
              <w:t>50</w:t>
            </w:r>
          </w:p>
        </w:tc>
        <w:tc>
          <w:tcPr>
            <w:tcW w:w="1417" w:type="pct"/>
            <w:tcBorders>
              <w:top w:val="single" w:sz="4" w:space="0" w:color="auto"/>
              <w:bottom w:val="single" w:sz="4" w:space="0" w:color="auto"/>
            </w:tcBorders>
            <w:vAlign w:val="bottom"/>
          </w:tcPr>
          <w:p w14:paraId="2689B9A5" w14:textId="77777777" w:rsidR="00A925F1" w:rsidRPr="009B1322" w:rsidRDefault="00A925F1" w:rsidP="00A12E52">
            <w:pPr>
              <w:pStyle w:val="Tabletext"/>
              <w:rPr>
                <w:snapToGrid w:val="0"/>
              </w:rPr>
            </w:pPr>
            <w:r w:rsidRPr="00295986">
              <w:t>1</w:t>
            </w:r>
            <w:r w:rsidR="00D7157D">
              <w:t>.</w:t>
            </w:r>
            <w:r w:rsidRPr="00295986">
              <w:t>748</w:t>
            </w:r>
          </w:p>
        </w:tc>
        <w:tc>
          <w:tcPr>
            <w:tcW w:w="1878" w:type="pct"/>
            <w:tcBorders>
              <w:top w:val="single" w:sz="4" w:space="0" w:color="auto"/>
              <w:bottom w:val="single" w:sz="4" w:space="0" w:color="auto"/>
            </w:tcBorders>
            <w:vAlign w:val="bottom"/>
          </w:tcPr>
          <w:p w14:paraId="0CA3A5F1" w14:textId="77777777" w:rsidR="00A925F1" w:rsidRPr="009B1322" w:rsidRDefault="00A925F1" w:rsidP="00A12E52">
            <w:pPr>
              <w:pStyle w:val="Tabletext"/>
              <w:rPr>
                <w:snapToGrid w:val="0"/>
              </w:rPr>
            </w:pPr>
            <w:r w:rsidRPr="00295986">
              <w:t>0</w:t>
            </w:r>
            <w:r w:rsidR="00D7157D">
              <w:t>.</w:t>
            </w:r>
            <w:r w:rsidRPr="00295986">
              <w:t>447</w:t>
            </w:r>
          </w:p>
        </w:tc>
      </w:tr>
      <w:tr w:rsidR="00A925F1" w:rsidRPr="009E2595" w14:paraId="16A02EAB" w14:textId="77777777" w:rsidTr="005D2F9E">
        <w:trPr>
          <w:trHeight w:val="245"/>
          <w:jc w:val="right"/>
        </w:trPr>
        <w:tc>
          <w:tcPr>
            <w:tcW w:w="1705" w:type="pct"/>
            <w:tcBorders>
              <w:top w:val="single" w:sz="4" w:space="0" w:color="auto"/>
              <w:bottom w:val="single" w:sz="4" w:space="0" w:color="auto"/>
            </w:tcBorders>
          </w:tcPr>
          <w:p w14:paraId="14FA82C0" w14:textId="77777777" w:rsidR="00A925F1" w:rsidRPr="00616B26" w:rsidRDefault="00A925F1" w:rsidP="00A12E52">
            <w:pPr>
              <w:pStyle w:val="Tabletext"/>
              <w:rPr>
                <w:snapToGrid w:val="0"/>
              </w:rPr>
            </w:pPr>
            <w:r w:rsidRPr="00616B26">
              <w:rPr>
                <w:snapToGrid w:val="0"/>
              </w:rPr>
              <w:t>51</w:t>
            </w:r>
          </w:p>
        </w:tc>
        <w:tc>
          <w:tcPr>
            <w:tcW w:w="1417" w:type="pct"/>
            <w:tcBorders>
              <w:top w:val="single" w:sz="4" w:space="0" w:color="auto"/>
              <w:bottom w:val="single" w:sz="4" w:space="0" w:color="auto"/>
            </w:tcBorders>
            <w:vAlign w:val="bottom"/>
          </w:tcPr>
          <w:p w14:paraId="6976B938" w14:textId="77777777" w:rsidR="00A925F1" w:rsidRPr="009B1322" w:rsidRDefault="00A925F1" w:rsidP="00A12E52">
            <w:pPr>
              <w:pStyle w:val="Tabletext"/>
              <w:rPr>
                <w:snapToGrid w:val="0"/>
              </w:rPr>
            </w:pPr>
            <w:r w:rsidRPr="00295986">
              <w:t>1</w:t>
            </w:r>
            <w:r w:rsidR="00D7157D">
              <w:t>.</w:t>
            </w:r>
            <w:r w:rsidRPr="00295986">
              <w:t>486</w:t>
            </w:r>
          </w:p>
        </w:tc>
        <w:tc>
          <w:tcPr>
            <w:tcW w:w="1878" w:type="pct"/>
            <w:tcBorders>
              <w:top w:val="single" w:sz="4" w:space="0" w:color="auto"/>
              <w:bottom w:val="single" w:sz="4" w:space="0" w:color="auto"/>
            </w:tcBorders>
            <w:vAlign w:val="bottom"/>
          </w:tcPr>
          <w:p w14:paraId="0AAC7F66" w14:textId="77777777" w:rsidR="00A925F1" w:rsidRPr="009B1322" w:rsidRDefault="00A925F1" w:rsidP="00A12E52">
            <w:pPr>
              <w:pStyle w:val="Tabletext"/>
              <w:rPr>
                <w:snapToGrid w:val="0"/>
              </w:rPr>
            </w:pPr>
            <w:r w:rsidRPr="00295986">
              <w:t>0</w:t>
            </w:r>
            <w:r w:rsidR="00D7157D">
              <w:t>.</w:t>
            </w:r>
            <w:r w:rsidRPr="00295986">
              <w:t>380</w:t>
            </w:r>
          </w:p>
        </w:tc>
      </w:tr>
      <w:tr w:rsidR="00A925F1" w:rsidRPr="009E2595" w14:paraId="35A7B545" w14:textId="77777777" w:rsidTr="005D2F9E">
        <w:trPr>
          <w:trHeight w:val="245"/>
          <w:jc w:val="right"/>
        </w:trPr>
        <w:tc>
          <w:tcPr>
            <w:tcW w:w="1705" w:type="pct"/>
            <w:tcBorders>
              <w:top w:val="single" w:sz="4" w:space="0" w:color="auto"/>
              <w:bottom w:val="single" w:sz="4" w:space="0" w:color="auto"/>
            </w:tcBorders>
          </w:tcPr>
          <w:p w14:paraId="1A2B1BF5" w14:textId="77777777" w:rsidR="00A925F1" w:rsidRPr="00616B26" w:rsidRDefault="00A925F1" w:rsidP="00A12E52">
            <w:pPr>
              <w:pStyle w:val="Tabletext"/>
              <w:rPr>
                <w:snapToGrid w:val="0"/>
              </w:rPr>
            </w:pPr>
            <w:r w:rsidRPr="00616B26">
              <w:rPr>
                <w:snapToGrid w:val="0"/>
              </w:rPr>
              <w:t>52</w:t>
            </w:r>
          </w:p>
        </w:tc>
        <w:tc>
          <w:tcPr>
            <w:tcW w:w="1417" w:type="pct"/>
            <w:tcBorders>
              <w:top w:val="single" w:sz="4" w:space="0" w:color="auto"/>
              <w:bottom w:val="single" w:sz="4" w:space="0" w:color="auto"/>
            </w:tcBorders>
            <w:vAlign w:val="bottom"/>
          </w:tcPr>
          <w:p w14:paraId="02DC4493" w14:textId="77777777" w:rsidR="00A925F1" w:rsidRPr="009B1322" w:rsidRDefault="00A925F1" w:rsidP="00A12E52">
            <w:pPr>
              <w:pStyle w:val="Tabletext"/>
              <w:rPr>
                <w:snapToGrid w:val="0"/>
              </w:rPr>
            </w:pPr>
            <w:r w:rsidRPr="00295986">
              <w:t>1</w:t>
            </w:r>
            <w:r w:rsidR="00D7157D">
              <w:t>.</w:t>
            </w:r>
            <w:r w:rsidRPr="00295986">
              <w:t>224</w:t>
            </w:r>
          </w:p>
        </w:tc>
        <w:tc>
          <w:tcPr>
            <w:tcW w:w="1878" w:type="pct"/>
            <w:tcBorders>
              <w:top w:val="single" w:sz="4" w:space="0" w:color="auto"/>
              <w:bottom w:val="single" w:sz="4" w:space="0" w:color="auto"/>
            </w:tcBorders>
            <w:vAlign w:val="bottom"/>
          </w:tcPr>
          <w:p w14:paraId="573F6237" w14:textId="77777777" w:rsidR="00A925F1" w:rsidRPr="009B1322" w:rsidRDefault="00A925F1" w:rsidP="00A12E52">
            <w:pPr>
              <w:pStyle w:val="Tabletext"/>
              <w:rPr>
                <w:snapToGrid w:val="0"/>
              </w:rPr>
            </w:pPr>
            <w:r w:rsidRPr="00295986">
              <w:t>0</w:t>
            </w:r>
            <w:r w:rsidR="00D7157D">
              <w:t>.</w:t>
            </w:r>
            <w:r w:rsidRPr="00295986">
              <w:t>313</w:t>
            </w:r>
          </w:p>
        </w:tc>
      </w:tr>
      <w:tr w:rsidR="00A925F1" w:rsidRPr="009E2595" w14:paraId="5F789A1B" w14:textId="77777777" w:rsidTr="005D2F9E">
        <w:trPr>
          <w:trHeight w:val="245"/>
          <w:jc w:val="right"/>
        </w:trPr>
        <w:tc>
          <w:tcPr>
            <w:tcW w:w="1705" w:type="pct"/>
            <w:tcBorders>
              <w:top w:val="single" w:sz="4" w:space="0" w:color="auto"/>
              <w:bottom w:val="single" w:sz="4" w:space="0" w:color="auto"/>
            </w:tcBorders>
          </w:tcPr>
          <w:p w14:paraId="7DE1E803" w14:textId="77777777" w:rsidR="00A925F1" w:rsidRPr="00616B26" w:rsidRDefault="00A925F1" w:rsidP="00A12E52">
            <w:pPr>
              <w:pStyle w:val="Tabletext"/>
              <w:rPr>
                <w:snapToGrid w:val="0"/>
              </w:rPr>
            </w:pPr>
            <w:r w:rsidRPr="00616B26">
              <w:rPr>
                <w:snapToGrid w:val="0"/>
              </w:rPr>
              <w:t>53</w:t>
            </w:r>
          </w:p>
        </w:tc>
        <w:tc>
          <w:tcPr>
            <w:tcW w:w="1417" w:type="pct"/>
            <w:tcBorders>
              <w:top w:val="single" w:sz="4" w:space="0" w:color="auto"/>
              <w:bottom w:val="single" w:sz="4" w:space="0" w:color="auto"/>
            </w:tcBorders>
            <w:vAlign w:val="bottom"/>
          </w:tcPr>
          <w:p w14:paraId="5E8EB406" w14:textId="77777777" w:rsidR="00A925F1" w:rsidRPr="009B1322" w:rsidRDefault="00A925F1" w:rsidP="00A12E52">
            <w:pPr>
              <w:pStyle w:val="Tabletext"/>
              <w:rPr>
                <w:snapToGrid w:val="0"/>
              </w:rPr>
            </w:pPr>
            <w:r w:rsidRPr="00295986">
              <w:t>0</w:t>
            </w:r>
            <w:r w:rsidR="00D7157D">
              <w:t>.</w:t>
            </w:r>
            <w:r w:rsidRPr="00295986">
              <w:t>962</w:t>
            </w:r>
          </w:p>
        </w:tc>
        <w:tc>
          <w:tcPr>
            <w:tcW w:w="1878" w:type="pct"/>
            <w:tcBorders>
              <w:top w:val="single" w:sz="4" w:space="0" w:color="auto"/>
              <w:bottom w:val="single" w:sz="4" w:space="0" w:color="auto"/>
            </w:tcBorders>
            <w:vAlign w:val="bottom"/>
          </w:tcPr>
          <w:p w14:paraId="239D2A9D" w14:textId="77777777" w:rsidR="00A925F1" w:rsidRPr="009B1322" w:rsidRDefault="00A925F1" w:rsidP="00A12E52">
            <w:pPr>
              <w:pStyle w:val="Tabletext"/>
              <w:rPr>
                <w:snapToGrid w:val="0"/>
              </w:rPr>
            </w:pPr>
            <w:r w:rsidRPr="00295986">
              <w:t>0</w:t>
            </w:r>
            <w:r w:rsidR="00D7157D">
              <w:t>.</w:t>
            </w:r>
            <w:r w:rsidRPr="00295986">
              <w:t>246</w:t>
            </w:r>
          </w:p>
        </w:tc>
      </w:tr>
      <w:tr w:rsidR="00A925F1" w:rsidRPr="009E2595" w14:paraId="5FD6F966" w14:textId="77777777" w:rsidTr="005D2F9E">
        <w:trPr>
          <w:trHeight w:val="245"/>
          <w:jc w:val="right"/>
        </w:trPr>
        <w:tc>
          <w:tcPr>
            <w:tcW w:w="1705" w:type="pct"/>
            <w:tcBorders>
              <w:top w:val="single" w:sz="4" w:space="0" w:color="auto"/>
              <w:bottom w:val="single" w:sz="4" w:space="0" w:color="auto"/>
            </w:tcBorders>
          </w:tcPr>
          <w:p w14:paraId="30BCEC2E" w14:textId="77777777" w:rsidR="00A925F1" w:rsidRPr="00616B26" w:rsidRDefault="00A925F1" w:rsidP="00A12E52">
            <w:pPr>
              <w:pStyle w:val="Tabletext"/>
              <w:rPr>
                <w:snapToGrid w:val="0"/>
              </w:rPr>
            </w:pPr>
            <w:r w:rsidRPr="00616B26">
              <w:rPr>
                <w:snapToGrid w:val="0"/>
              </w:rPr>
              <w:t>54</w:t>
            </w:r>
          </w:p>
        </w:tc>
        <w:tc>
          <w:tcPr>
            <w:tcW w:w="1417" w:type="pct"/>
            <w:tcBorders>
              <w:top w:val="single" w:sz="4" w:space="0" w:color="auto"/>
              <w:bottom w:val="single" w:sz="4" w:space="0" w:color="auto"/>
            </w:tcBorders>
            <w:vAlign w:val="bottom"/>
          </w:tcPr>
          <w:p w14:paraId="5ABD698A" w14:textId="77777777" w:rsidR="00A925F1" w:rsidRPr="009B1322" w:rsidRDefault="00A925F1" w:rsidP="00A12E52">
            <w:pPr>
              <w:pStyle w:val="Tabletext"/>
              <w:rPr>
                <w:snapToGrid w:val="0"/>
              </w:rPr>
            </w:pPr>
            <w:r w:rsidRPr="00295986">
              <w:t>0</w:t>
            </w:r>
            <w:r w:rsidR="00D7157D">
              <w:t>.</w:t>
            </w:r>
            <w:r w:rsidRPr="00295986">
              <w:t>699</w:t>
            </w:r>
          </w:p>
        </w:tc>
        <w:tc>
          <w:tcPr>
            <w:tcW w:w="1878" w:type="pct"/>
            <w:tcBorders>
              <w:top w:val="single" w:sz="4" w:space="0" w:color="auto"/>
              <w:bottom w:val="single" w:sz="4" w:space="0" w:color="auto"/>
            </w:tcBorders>
            <w:vAlign w:val="bottom"/>
          </w:tcPr>
          <w:p w14:paraId="2F86C241" w14:textId="77777777" w:rsidR="00A925F1" w:rsidRPr="009B1322" w:rsidRDefault="00A925F1" w:rsidP="00A12E52">
            <w:pPr>
              <w:pStyle w:val="Tabletext"/>
              <w:rPr>
                <w:snapToGrid w:val="0"/>
              </w:rPr>
            </w:pPr>
            <w:r w:rsidRPr="00295986">
              <w:t>0</w:t>
            </w:r>
            <w:r w:rsidR="00D7157D">
              <w:t>.</w:t>
            </w:r>
            <w:r w:rsidRPr="00295986">
              <w:t>179</w:t>
            </w:r>
          </w:p>
        </w:tc>
      </w:tr>
      <w:tr w:rsidR="00A925F1" w:rsidRPr="009E2595" w14:paraId="5FC12CF4" w14:textId="77777777" w:rsidTr="005D2F9E">
        <w:trPr>
          <w:trHeight w:val="245"/>
          <w:jc w:val="right"/>
        </w:trPr>
        <w:tc>
          <w:tcPr>
            <w:tcW w:w="1705" w:type="pct"/>
            <w:tcBorders>
              <w:top w:val="single" w:sz="4" w:space="0" w:color="auto"/>
              <w:bottom w:val="single" w:sz="12" w:space="0" w:color="auto"/>
            </w:tcBorders>
          </w:tcPr>
          <w:p w14:paraId="552AAA53" w14:textId="77777777" w:rsidR="00A925F1" w:rsidRPr="00616B26" w:rsidRDefault="00A925F1" w:rsidP="00A12E52">
            <w:pPr>
              <w:pStyle w:val="Tabletext"/>
              <w:rPr>
                <w:snapToGrid w:val="0"/>
              </w:rPr>
            </w:pPr>
            <w:r w:rsidRPr="00616B26">
              <w:rPr>
                <w:snapToGrid w:val="0"/>
              </w:rPr>
              <w:t>55 and over</w:t>
            </w:r>
          </w:p>
        </w:tc>
        <w:tc>
          <w:tcPr>
            <w:tcW w:w="1417" w:type="pct"/>
            <w:tcBorders>
              <w:top w:val="single" w:sz="4" w:space="0" w:color="auto"/>
              <w:bottom w:val="single" w:sz="12" w:space="0" w:color="auto"/>
            </w:tcBorders>
            <w:vAlign w:val="bottom"/>
          </w:tcPr>
          <w:p w14:paraId="60D51E0C" w14:textId="77777777" w:rsidR="00A925F1" w:rsidRPr="009B1322" w:rsidRDefault="00A925F1" w:rsidP="00A12E52">
            <w:pPr>
              <w:pStyle w:val="Tabletext"/>
              <w:rPr>
                <w:snapToGrid w:val="0"/>
              </w:rPr>
            </w:pPr>
            <w:r w:rsidRPr="00295986">
              <w:t>0</w:t>
            </w:r>
            <w:r w:rsidR="00D7157D">
              <w:t>.</w:t>
            </w:r>
            <w:r w:rsidRPr="00295986">
              <w:t>437</w:t>
            </w:r>
          </w:p>
        </w:tc>
        <w:tc>
          <w:tcPr>
            <w:tcW w:w="1878" w:type="pct"/>
            <w:tcBorders>
              <w:top w:val="single" w:sz="4" w:space="0" w:color="auto"/>
              <w:bottom w:val="single" w:sz="12" w:space="0" w:color="auto"/>
            </w:tcBorders>
            <w:vAlign w:val="bottom"/>
          </w:tcPr>
          <w:p w14:paraId="6AEEA1C7" w14:textId="77777777" w:rsidR="00A925F1" w:rsidRPr="009B1322" w:rsidRDefault="00A925F1" w:rsidP="00A12E52">
            <w:pPr>
              <w:pStyle w:val="Tabletext"/>
              <w:rPr>
                <w:snapToGrid w:val="0"/>
              </w:rPr>
            </w:pPr>
            <w:r w:rsidRPr="00295986">
              <w:t>0</w:t>
            </w:r>
            <w:r w:rsidR="00D7157D">
              <w:t>.</w:t>
            </w:r>
            <w:r w:rsidRPr="00295986">
              <w:t>112</w:t>
            </w:r>
          </w:p>
        </w:tc>
      </w:tr>
    </w:tbl>
    <w:p w14:paraId="10E66895" w14:textId="5AD96D20" w:rsidR="00647C6B" w:rsidRPr="00A058B6" w:rsidRDefault="00D7157D" w:rsidP="00647C6B">
      <w:pPr>
        <w:pStyle w:val="ActHead5"/>
      </w:pPr>
      <w:bookmarkStart w:id="258" w:name="_Toc188350736"/>
      <w:r w:rsidRPr="00423C34">
        <w:rPr>
          <w:rStyle w:val="CharSectno"/>
        </w:rPr>
        <w:t>20</w:t>
      </w:r>
      <w:r w:rsidR="00647C6B" w:rsidRPr="00A058B6">
        <w:t xml:space="preserve">  Valuation factors—5</w:t>
      </w:r>
      <w:r w:rsidR="001952B3">
        <w:noBreakHyphen/>
      </w:r>
      <w:r w:rsidR="00647C6B" w:rsidRPr="00A058B6">
        <w:t>year guarantee period—pension indexed at 3%</w:t>
      </w:r>
      <w:bookmarkEnd w:id="258"/>
    </w:p>
    <w:p w14:paraId="7246CABB"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20DC6764" w14:textId="4BD693E5"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427719C1" w14:textId="77777777" w:rsidR="00647C6B" w:rsidRPr="00A058B6" w:rsidRDefault="00647C6B" w:rsidP="00647C6B">
      <w:pPr>
        <w:pStyle w:val="paragraph"/>
      </w:pPr>
      <w:r w:rsidRPr="00A058B6">
        <w:tab/>
        <w:t>(b)</w:t>
      </w:r>
      <w:r w:rsidRPr="00A058B6">
        <w:tab/>
        <w:t>is indexed at 3%</w:t>
      </w:r>
      <w:r w:rsidR="00D7157D">
        <w:t>.</w:t>
      </w:r>
    </w:p>
    <w:p w14:paraId="6E23E451"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03512BA9" w14:textId="77777777" w:rsidTr="00963115">
        <w:trPr>
          <w:cantSplit/>
          <w:trHeight w:val="375"/>
          <w:tblHeader/>
          <w:jc w:val="right"/>
        </w:trPr>
        <w:tc>
          <w:tcPr>
            <w:tcW w:w="1705" w:type="pct"/>
            <w:vMerge w:val="restart"/>
            <w:tcBorders>
              <w:top w:val="single" w:sz="12" w:space="0" w:color="auto"/>
              <w:bottom w:val="single" w:sz="12" w:space="0" w:color="auto"/>
            </w:tcBorders>
          </w:tcPr>
          <w:p w14:paraId="71FAE425"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410F4EDC" w14:textId="1E6230C7"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period—pension indexed at 3%</w:t>
            </w:r>
          </w:p>
        </w:tc>
      </w:tr>
      <w:tr w:rsidR="00647C6B" w:rsidRPr="00A058B6" w14:paraId="7A937161" w14:textId="77777777" w:rsidTr="00963115">
        <w:trPr>
          <w:cantSplit/>
          <w:trHeight w:val="60"/>
          <w:tblHeader/>
          <w:jc w:val="right"/>
        </w:trPr>
        <w:tc>
          <w:tcPr>
            <w:tcW w:w="1705" w:type="pct"/>
            <w:vMerge/>
            <w:tcBorders>
              <w:bottom w:val="single" w:sz="12" w:space="0" w:color="auto"/>
            </w:tcBorders>
          </w:tcPr>
          <w:p w14:paraId="5C04AEC9" w14:textId="77777777" w:rsidR="00647C6B" w:rsidRPr="00A058B6" w:rsidRDefault="00647C6B" w:rsidP="00963115">
            <w:pPr>
              <w:pStyle w:val="TableHeading"/>
              <w:rPr>
                <w:snapToGrid w:val="0"/>
              </w:rPr>
            </w:pPr>
          </w:p>
        </w:tc>
        <w:tc>
          <w:tcPr>
            <w:tcW w:w="1429" w:type="pct"/>
            <w:tcBorders>
              <w:bottom w:val="single" w:sz="12" w:space="0" w:color="auto"/>
            </w:tcBorders>
          </w:tcPr>
          <w:p w14:paraId="3AB23E4C"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630CBBF4" w14:textId="77777777" w:rsidR="00647C6B" w:rsidRPr="00A058B6" w:rsidRDefault="00647C6B" w:rsidP="00963115">
            <w:pPr>
              <w:pStyle w:val="TableHeading"/>
              <w:rPr>
                <w:snapToGrid w:val="0"/>
              </w:rPr>
            </w:pPr>
            <w:r w:rsidRPr="00A058B6">
              <w:rPr>
                <w:snapToGrid w:val="0"/>
              </w:rPr>
              <w:t>Female</w:t>
            </w:r>
          </w:p>
        </w:tc>
      </w:tr>
      <w:tr w:rsidR="0033222F" w:rsidRPr="009E2595" w14:paraId="2133A1B8" w14:textId="77777777" w:rsidTr="00D32928">
        <w:trPr>
          <w:trHeight w:val="245"/>
          <w:jc w:val="right"/>
        </w:trPr>
        <w:tc>
          <w:tcPr>
            <w:tcW w:w="1705" w:type="pct"/>
            <w:tcBorders>
              <w:top w:val="single" w:sz="12" w:space="0" w:color="auto"/>
              <w:bottom w:val="single" w:sz="4" w:space="0" w:color="auto"/>
            </w:tcBorders>
          </w:tcPr>
          <w:p w14:paraId="05718C1B" w14:textId="77777777" w:rsidR="0033222F" w:rsidRPr="00616B26" w:rsidRDefault="0033222F" w:rsidP="00A12E52">
            <w:pPr>
              <w:pStyle w:val="Tabletext"/>
              <w:rPr>
                <w:snapToGrid w:val="0"/>
              </w:rPr>
            </w:pPr>
            <w:r w:rsidRPr="00616B26">
              <w:rPr>
                <w:snapToGrid w:val="0"/>
              </w:rPr>
              <w:t>55</w:t>
            </w:r>
          </w:p>
        </w:tc>
        <w:tc>
          <w:tcPr>
            <w:tcW w:w="1429" w:type="pct"/>
            <w:tcBorders>
              <w:top w:val="single" w:sz="12" w:space="0" w:color="auto"/>
              <w:bottom w:val="single" w:sz="4" w:space="0" w:color="auto"/>
            </w:tcBorders>
            <w:vAlign w:val="bottom"/>
          </w:tcPr>
          <w:p w14:paraId="701890A4" w14:textId="77777777" w:rsidR="0033222F" w:rsidRPr="009B1322" w:rsidRDefault="0033222F" w:rsidP="00A12E52">
            <w:pPr>
              <w:pStyle w:val="Tabletext"/>
              <w:rPr>
                <w:snapToGrid w:val="0"/>
              </w:rPr>
            </w:pPr>
            <w:r w:rsidRPr="00295986">
              <w:t>21</w:t>
            </w:r>
            <w:r w:rsidR="00D7157D">
              <w:t>.</w:t>
            </w:r>
            <w:r w:rsidRPr="00295986">
              <w:t>0851</w:t>
            </w:r>
          </w:p>
        </w:tc>
        <w:tc>
          <w:tcPr>
            <w:tcW w:w="1866" w:type="pct"/>
            <w:tcBorders>
              <w:top w:val="single" w:sz="12" w:space="0" w:color="auto"/>
              <w:bottom w:val="single" w:sz="4" w:space="0" w:color="auto"/>
            </w:tcBorders>
            <w:vAlign w:val="center"/>
          </w:tcPr>
          <w:p w14:paraId="7971E38D" w14:textId="77777777" w:rsidR="0033222F" w:rsidRPr="009B1322" w:rsidRDefault="0033222F" w:rsidP="00A12E52">
            <w:pPr>
              <w:pStyle w:val="Tabletext"/>
              <w:rPr>
                <w:snapToGrid w:val="0"/>
              </w:rPr>
            </w:pPr>
            <w:r w:rsidRPr="00295986">
              <w:t>22</w:t>
            </w:r>
            <w:r w:rsidR="00D7157D">
              <w:t>.</w:t>
            </w:r>
            <w:r w:rsidRPr="00295986">
              <w:t>0147</w:t>
            </w:r>
          </w:p>
        </w:tc>
      </w:tr>
      <w:tr w:rsidR="0033222F" w:rsidRPr="009E2595" w14:paraId="331C3CA5" w14:textId="77777777" w:rsidTr="00D32928">
        <w:trPr>
          <w:trHeight w:val="245"/>
          <w:jc w:val="right"/>
        </w:trPr>
        <w:tc>
          <w:tcPr>
            <w:tcW w:w="1705" w:type="pct"/>
            <w:tcBorders>
              <w:top w:val="single" w:sz="4" w:space="0" w:color="auto"/>
              <w:bottom w:val="single" w:sz="4" w:space="0" w:color="auto"/>
            </w:tcBorders>
          </w:tcPr>
          <w:p w14:paraId="54CFCF4F" w14:textId="77777777" w:rsidR="0033222F" w:rsidRPr="00616B26" w:rsidRDefault="0033222F" w:rsidP="00A12E52">
            <w:pPr>
              <w:pStyle w:val="Tabletext"/>
              <w:rPr>
                <w:snapToGrid w:val="0"/>
              </w:rPr>
            </w:pPr>
            <w:r w:rsidRPr="00616B26">
              <w:rPr>
                <w:snapToGrid w:val="0"/>
              </w:rPr>
              <w:t>56</w:t>
            </w:r>
          </w:p>
        </w:tc>
        <w:tc>
          <w:tcPr>
            <w:tcW w:w="1429" w:type="pct"/>
            <w:tcBorders>
              <w:top w:val="single" w:sz="4" w:space="0" w:color="auto"/>
              <w:bottom w:val="single" w:sz="4" w:space="0" w:color="auto"/>
            </w:tcBorders>
            <w:vAlign w:val="bottom"/>
          </w:tcPr>
          <w:p w14:paraId="4350DDC5" w14:textId="77777777" w:rsidR="0033222F" w:rsidRPr="009B1322" w:rsidRDefault="0033222F" w:rsidP="00A12E52">
            <w:pPr>
              <w:pStyle w:val="Tabletext"/>
              <w:rPr>
                <w:snapToGrid w:val="0"/>
              </w:rPr>
            </w:pPr>
            <w:r w:rsidRPr="00295986">
              <w:t>20</w:t>
            </w:r>
            <w:r w:rsidR="00D7157D">
              <w:t>.</w:t>
            </w:r>
            <w:r w:rsidRPr="00295986">
              <w:t>6998</w:t>
            </w:r>
          </w:p>
        </w:tc>
        <w:tc>
          <w:tcPr>
            <w:tcW w:w="1866" w:type="pct"/>
            <w:tcBorders>
              <w:top w:val="single" w:sz="4" w:space="0" w:color="auto"/>
              <w:bottom w:val="single" w:sz="4" w:space="0" w:color="auto"/>
            </w:tcBorders>
            <w:vAlign w:val="center"/>
          </w:tcPr>
          <w:p w14:paraId="1058A0C4" w14:textId="77777777" w:rsidR="0033222F" w:rsidRPr="009B1322" w:rsidRDefault="0033222F" w:rsidP="00A12E52">
            <w:pPr>
              <w:pStyle w:val="Tabletext"/>
              <w:rPr>
                <w:snapToGrid w:val="0"/>
              </w:rPr>
            </w:pPr>
            <w:r w:rsidRPr="00295986">
              <w:t>21</w:t>
            </w:r>
            <w:r w:rsidR="00D7157D">
              <w:t>.</w:t>
            </w:r>
            <w:r w:rsidRPr="00295986">
              <w:t>6442</w:t>
            </w:r>
          </w:p>
        </w:tc>
      </w:tr>
      <w:tr w:rsidR="0033222F" w:rsidRPr="009E2595" w14:paraId="210D94D5" w14:textId="77777777" w:rsidTr="00D32928">
        <w:trPr>
          <w:trHeight w:val="245"/>
          <w:jc w:val="right"/>
        </w:trPr>
        <w:tc>
          <w:tcPr>
            <w:tcW w:w="1705" w:type="pct"/>
            <w:tcBorders>
              <w:top w:val="single" w:sz="4" w:space="0" w:color="auto"/>
              <w:bottom w:val="single" w:sz="4" w:space="0" w:color="auto"/>
            </w:tcBorders>
          </w:tcPr>
          <w:p w14:paraId="5D4F5DAE" w14:textId="77777777" w:rsidR="0033222F" w:rsidRPr="00616B26" w:rsidRDefault="0033222F" w:rsidP="00A12E52">
            <w:pPr>
              <w:pStyle w:val="Tabletext"/>
              <w:rPr>
                <w:snapToGrid w:val="0"/>
              </w:rPr>
            </w:pPr>
            <w:r w:rsidRPr="00616B26">
              <w:rPr>
                <w:snapToGrid w:val="0"/>
              </w:rPr>
              <w:t>57</w:t>
            </w:r>
          </w:p>
        </w:tc>
        <w:tc>
          <w:tcPr>
            <w:tcW w:w="1429" w:type="pct"/>
            <w:tcBorders>
              <w:top w:val="single" w:sz="4" w:space="0" w:color="auto"/>
              <w:bottom w:val="single" w:sz="4" w:space="0" w:color="auto"/>
            </w:tcBorders>
            <w:vAlign w:val="bottom"/>
          </w:tcPr>
          <w:p w14:paraId="48C9D0F3" w14:textId="77777777" w:rsidR="0033222F" w:rsidRPr="009B1322" w:rsidRDefault="0033222F" w:rsidP="00A12E52">
            <w:pPr>
              <w:pStyle w:val="Tabletext"/>
              <w:rPr>
                <w:snapToGrid w:val="0"/>
              </w:rPr>
            </w:pPr>
            <w:r w:rsidRPr="00295986">
              <w:t>20</w:t>
            </w:r>
            <w:r w:rsidR="00D7157D">
              <w:t>.</w:t>
            </w:r>
            <w:r w:rsidRPr="00295986">
              <w:t>3037</w:t>
            </w:r>
          </w:p>
        </w:tc>
        <w:tc>
          <w:tcPr>
            <w:tcW w:w="1866" w:type="pct"/>
            <w:tcBorders>
              <w:top w:val="single" w:sz="4" w:space="0" w:color="auto"/>
              <w:bottom w:val="single" w:sz="4" w:space="0" w:color="auto"/>
            </w:tcBorders>
            <w:vAlign w:val="center"/>
          </w:tcPr>
          <w:p w14:paraId="0161D3F8" w14:textId="77777777" w:rsidR="0033222F" w:rsidRPr="009B1322" w:rsidRDefault="0033222F" w:rsidP="00A12E52">
            <w:pPr>
              <w:pStyle w:val="Tabletext"/>
              <w:rPr>
                <w:snapToGrid w:val="0"/>
              </w:rPr>
            </w:pPr>
            <w:r w:rsidRPr="00295986">
              <w:t>21</w:t>
            </w:r>
            <w:r w:rsidR="00D7157D">
              <w:t>.</w:t>
            </w:r>
            <w:r w:rsidRPr="00295986">
              <w:t>2643</w:t>
            </w:r>
          </w:p>
        </w:tc>
      </w:tr>
      <w:tr w:rsidR="0033222F" w:rsidRPr="009E2595" w14:paraId="5583552F" w14:textId="77777777" w:rsidTr="00D32928">
        <w:trPr>
          <w:trHeight w:val="245"/>
          <w:jc w:val="right"/>
        </w:trPr>
        <w:tc>
          <w:tcPr>
            <w:tcW w:w="1705" w:type="pct"/>
            <w:tcBorders>
              <w:top w:val="single" w:sz="4" w:space="0" w:color="auto"/>
              <w:bottom w:val="single" w:sz="4" w:space="0" w:color="auto"/>
            </w:tcBorders>
          </w:tcPr>
          <w:p w14:paraId="21136AA7" w14:textId="77777777" w:rsidR="0033222F" w:rsidRPr="00616B26" w:rsidRDefault="0033222F" w:rsidP="00A12E52">
            <w:pPr>
              <w:pStyle w:val="Tabletext"/>
              <w:rPr>
                <w:snapToGrid w:val="0"/>
              </w:rPr>
            </w:pPr>
            <w:r w:rsidRPr="00616B26">
              <w:rPr>
                <w:snapToGrid w:val="0"/>
              </w:rPr>
              <w:t>58</w:t>
            </w:r>
          </w:p>
        </w:tc>
        <w:tc>
          <w:tcPr>
            <w:tcW w:w="1429" w:type="pct"/>
            <w:tcBorders>
              <w:top w:val="single" w:sz="4" w:space="0" w:color="auto"/>
              <w:bottom w:val="single" w:sz="4" w:space="0" w:color="auto"/>
            </w:tcBorders>
            <w:vAlign w:val="bottom"/>
          </w:tcPr>
          <w:p w14:paraId="00EF3B49" w14:textId="77777777" w:rsidR="0033222F" w:rsidRPr="009B1322" w:rsidRDefault="0033222F" w:rsidP="00A12E52">
            <w:pPr>
              <w:pStyle w:val="Tabletext"/>
              <w:rPr>
                <w:snapToGrid w:val="0"/>
              </w:rPr>
            </w:pPr>
            <w:r w:rsidRPr="00295986">
              <w:t>19</w:t>
            </w:r>
            <w:r w:rsidR="00D7157D">
              <w:t>.</w:t>
            </w:r>
            <w:r w:rsidRPr="00295986">
              <w:t>8964</w:t>
            </w:r>
          </w:p>
        </w:tc>
        <w:tc>
          <w:tcPr>
            <w:tcW w:w="1866" w:type="pct"/>
            <w:tcBorders>
              <w:top w:val="single" w:sz="4" w:space="0" w:color="auto"/>
              <w:bottom w:val="single" w:sz="4" w:space="0" w:color="auto"/>
            </w:tcBorders>
            <w:vAlign w:val="center"/>
          </w:tcPr>
          <w:p w14:paraId="74C21A99" w14:textId="77777777" w:rsidR="0033222F" w:rsidRPr="009B1322" w:rsidRDefault="0033222F" w:rsidP="00A12E52">
            <w:pPr>
              <w:pStyle w:val="Tabletext"/>
              <w:rPr>
                <w:snapToGrid w:val="0"/>
              </w:rPr>
            </w:pPr>
            <w:r w:rsidRPr="00295986">
              <w:t>20</w:t>
            </w:r>
            <w:r w:rsidR="00D7157D">
              <w:t>.</w:t>
            </w:r>
            <w:r w:rsidRPr="00295986">
              <w:t>8741</w:t>
            </w:r>
          </w:p>
        </w:tc>
      </w:tr>
      <w:tr w:rsidR="0033222F" w:rsidRPr="009E2595" w14:paraId="1566BD6A" w14:textId="77777777" w:rsidTr="00D32928">
        <w:trPr>
          <w:trHeight w:val="245"/>
          <w:jc w:val="right"/>
        </w:trPr>
        <w:tc>
          <w:tcPr>
            <w:tcW w:w="1705" w:type="pct"/>
            <w:tcBorders>
              <w:top w:val="single" w:sz="4" w:space="0" w:color="auto"/>
              <w:bottom w:val="single" w:sz="4" w:space="0" w:color="auto"/>
            </w:tcBorders>
          </w:tcPr>
          <w:p w14:paraId="2A67C192" w14:textId="77777777" w:rsidR="0033222F" w:rsidRPr="00616B26" w:rsidRDefault="0033222F" w:rsidP="00A12E52">
            <w:pPr>
              <w:pStyle w:val="Tabletext"/>
              <w:rPr>
                <w:snapToGrid w:val="0"/>
              </w:rPr>
            </w:pPr>
            <w:r w:rsidRPr="00616B26">
              <w:rPr>
                <w:snapToGrid w:val="0"/>
              </w:rPr>
              <w:t>59</w:t>
            </w:r>
          </w:p>
        </w:tc>
        <w:tc>
          <w:tcPr>
            <w:tcW w:w="1429" w:type="pct"/>
            <w:tcBorders>
              <w:top w:val="single" w:sz="4" w:space="0" w:color="auto"/>
              <w:bottom w:val="single" w:sz="4" w:space="0" w:color="auto"/>
            </w:tcBorders>
            <w:vAlign w:val="bottom"/>
          </w:tcPr>
          <w:p w14:paraId="6979BB2E" w14:textId="77777777" w:rsidR="0033222F" w:rsidRPr="009B1322" w:rsidRDefault="0033222F" w:rsidP="00A12E52">
            <w:pPr>
              <w:pStyle w:val="Tabletext"/>
              <w:rPr>
                <w:snapToGrid w:val="0"/>
              </w:rPr>
            </w:pPr>
            <w:r w:rsidRPr="00295986">
              <w:t>19</w:t>
            </w:r>
            <w:r w:rsidR="00D7157D">
              <w:t>.</w:t>
            </w:r>
            <w:r w:rsidRPr="00295986">
              <w:t>4775</w:t>
            </w:r>
          </w:p>
        </w:tc>
        <w:tc>
          <w:tcPr>
            <w:tcW w:w="1866" w:type="pct"/>
            <w:tcBorders>
              <w:top w:val="single" w:sz="4" w:space="0" w:color="auto"/>
              <w:bottom w:val="single" w:sz="4" w:space="0" w:color="auto"/>
            </w:tcBorders>
            <w:vAlign w:val="center"/>
          </w:tcPr>
          <w:p w14:paraId="7E0EB5F0" w14:textId="77777777" w:rsidR="0033222F" w:rsidRPr="009B1322" w:rsidRDefault="0033222F" w:rsidP="00A12E52">
            <w:pPr>
              <w:pStyle w:val="Tabletext"/>
              <w:rPr>
                <w:snapToGrid w:val="0"/>
              </w:rPr>
            </w:pPr>
            <w:r w:rsidRPr="00295986">
              <w:t>20</w:t>
            </w:r>
            <w:r w:rsidR="00D7157D">
              <w:t>.</w:t>
            </w:r>
            <w:r w:rsidRPr="00295986">
              <w:t>4732</w:t>
            </w:r>
          </w:p>
        </w:tc>
      </w:tr>
      <w:tr w:rsidR="0033222F" w:rsidRPr="009E2595" w14:paraId="4E921277" w14:textId="77777777" w:rsidTr="00D32928">
        <w:trPr>
          <w:trHeight w:val="245"/>
          <w:jc w:val="right"/>
        </w:trPr>
        <w:tc>
          <w:tcPr>
            <w:tcW w:w="1705" w:type="pct"/>
            <w:tcBorders>
              <w:top w:val="single" w:sz="4" w:space="0" w:color="auto"/>
              <w:bottom w:val="single" w:sz="4" w:space="0" w:color="auto"/>
            </w:tcBorders>
          </w:tcPr>
          <w:p w14:paraId="217D3D7D" w14:textId="77777777" w:rsidR="0033222F" w:rsidRPr="00616B26" w:rsidRDefault="0033222F" w:rsidP="00A12E52">
            <w:pPr>
              <w:pStyle w:val="Tabletext"/>
              <w:rPr>
                <w:snapToGrid w:val="0"/>
              </w:rPr>
            </w:pPr>
            <w:r w:rsidRPr="00616B26">
              <w:rPr>
                <w:snapToGrid w:val="0"/>
              </w:rPr>
              <w:t>60</w:t>
            </w:r>
          </w:p>
        </w:tc>
        <w:tc>
          <w:tcPr>
            <w:tcW w:w="1429" w:type="pct"/>
            <w:tcBorders>
              <w:top w:val="single" w:sz="4" w:space="0" w:color="auto"/>
              <w:bottom w:val="single" w:sz="4" w:space="0" w:color="auto"/>
            </w:tcBorders>
            <w:vAlign w:val="bottom"/>
          </w:tcPr>
          <w:p w14:paraId="5CAC9DCE" w14:textId="77777777" w:rsidR="0033222F" w:rsidRPr="009B1322" w:rsidRDefault="0033222F" w:rsidP="00A12E52">
            <w:pPr>
              <w:pStyle w:val="Tabletext"/>
              <w:rPr>
                <w:snapToGrid w:val="0"/>
              </w:rPr>
            </w:pPr>
            <w:r w:rsidRPr="00295986">
              <w:t>19</w:t>
            </w:r>
            <w:r w:rsidR="00D7157D">
              <w:t>.</w:t>
            </w:r>
            <w:r w:rsidRPr="00295986">
              <w:t>0471</w:t>
            </w:r>
          </w:p>
        </w:tc>
        <w:tc>
          <w:tcPr>
            <w:tcW w:w="1866" w:type="pct"/>
            <w:tcBorders>
              <w:top w:val="single" w:sz="4" w:space="0" w:color="auto"/>
              <w:bottom w:val="single" w:sz="4" w:space="0" w:color="auto"/>
            </w:tcBorders>
            <w:vAlign w:val="center"/>
          </w:tcPr>
          <w:p w14:paraId="652EC6EB" w14:textId="77777777" w:rsidR="0033222F" w:rsidRPr="009B1322" w:rsidRDefault="0033222F" w:rsidP="00A12E52">
            <w:pPr>
              <w:pStyle w:val="Tabletext"/>
              <w:rPr>
                <w:snapToGrid w:val="0"/>
              </w:rPr>
            </w:pPr>
            <w:r w:rsidRPr="00295986">
              <w:t>20</w:t>
            </w:r>
            <w:r w:rsidR="00D7157D">
              <w:t>.</w:t>
            </w:r>
            <w:r w:rsidRPr="00295986">
              <w:t>0613</w:t>
            </w:r>
          </w:p>
        </w:tc>
      </w:tr>
      <w:tr w:rsidR="0033222F" w:rsidRPr="009E2595" w14:paraId="3C6C99B1" w14:textId="77777777" w:rsidTr="00D32928">
        <w:trPr>
          <w:trHeight w:val="245"/>
          <w:jc w:val="right"/>
        </w:trPr>
        <w:tc>
          <w:tcPr>
            <w:tcW w:w="1705" w:type="pct"/>
            <w:tcBorders>
              <w:top w:val="single" w:sz="4" w:space="0" w:color="auto"/>
              <w:bottom w:val="single" w:sz="4" w:space="0" w:color="auto"/>
            </w:tcBorders>
          </w:tcPr>
          <w:p w14:paraId="54DB4B0D" w14:textId="77777777" w:rsidR="0033222F" w:rsidRPr="00616B26" w:rsidRDefault="0033222F" w:rsidP="00A12E52">
            <w:pPr>
              <w:pStyle w:val="Tabletext"/>
              <w:rPr>
                <w:snapToGrid w:val="0"/>
              </w:rPr>
            </w:pPr>
            <w:r w:rsidRPr="00616B26">
              <w:rPr>
                <w:snapToGrid w:val="0"/>
              </w:rPr>
              <w:t>61</w:t>
            </w:r>
          </w:p>
        </w:tc>
        <w:tc>
          <w:tcPr>
            <w:tcW w:w="1429" w:type="pct"/>
            <w:tcBorders>
              <w:top w:val="single" w:sz="4" w:space="0" w:color="auto"/>
              <w:bottom w:val="single" w:sz="4" w:space="0" w:color="auto"/>
            </w:tcBorders>
            <w:vAlign w:val="bottom"/>
          </w:tcPr>
          <w:p w14:paraId="7BDB1A2B" w14:textId="77777777" w:rsidR="0033222F" w:rsidRPr="009B1322" w:rsidRDefault="0033222F" w:rsidP="00A12E52">
            <w:pPr>
              <w:pStyle w:val="Tabletext"/>
              <w:rPr>
                <w:snapToGrid w:val="0"/>
              </w:rPr>
            </w:pPr>
            <w:r w:rsidRPr="00295986">
              <w:t>18</w:t>
            </w:r>
            <w:r w:rsidR="00D7157D">
              <w:t>.</w:t>
            </w:r>
            <w:r w:rsidRPr="00295986">
              <w:t>6055</w:t>
            </w:r>
          </w:p>
        </w:tc>
        <w:tc>
          <w:tcPr>
            <w:tcW w:w="1866" w:type="pct"/>
            <w:tcBorders>
              <w:top w:val="single" w:sz="4" w:space="0" w:color="auto"/>
              <w:bottom w:val="single" w:sz="4" w:space="0" w:color="auto"/>
            </w:tcBorders>
            <w:vAlign w:val="center"/>
          </w:tcPr>
          <w:p w14:paraId="1F87EBC5" w14:textId="77777777" w:rsidR="0033222F" w:rsidRPr="009B1322" w:rsidRDefault="0033222F" w:rsidP="00A12E52">
            <w:pPr>
              <w:pStyle w:val="Tabletext"/>
              <w:rPr>
                <w:snapToGrid w:val="0"/>
              </w:rPr>
            </w:pPr>
            <w:r w:rsidRPr="00295986">
              <w:t>19</w:t>
            </w:r>
            <w:r w:rsidR="00D7157D">
              <w:t>.</w:t>
            </w:r>
            <w:r w:rsidRPr="00295986">
              <w:t>6377</w:t>
            </w:r>
          </w:p>
        </w:tc>
      </w:tr>
      <w:tr w:rsidR="0033222F" w:rsidRPr="009E2595" w14:paraId="46DB5ECC" w14:textId="77777777" w:rsidTr="00D32928">
        <w:trPr>
          <w:trHeight w:val="245"/>
          <w:jc w:val="right"/>
        </w:trPr>
        <w:tc>
          <w:tcPr>
            <w:tcW w:w="1705" w:type="pct"/>
            <w:tcBorders>
              <w:top w:val="single" w:sz="4" w:space="0" w:color="auto"/>
              <w:bottom w:val="single" w:sz="4" w:space="0" w:color="auto"/>
            </w:tcBorders>
          </w:tcPr>
          <w:p w14:paraId="2D50ECD3" w14:textId="77777777" w:rsidR="0033222F" w:rsidRPr="00616B26" w:rsidRDefault="0033222F" w:rsidP="00A12E52">
            <w:pPr>
              <w:pStyle w:val="Tabletext"/>
              <w:rPr>
                <w:snapToGrid w:val="0"/>
              </w:rPr>
            </w:pPr>
            <w:r w:rsidRPr="00616B26">
              <w:rPr>
                <w:snapToGrid w:val="0"/>
              </w:rPr>
              <w:t>62</w:t>
            </w:r>
          </w:p>
        </w:tc>
        <w:tc>
          <w:tcPr>
            <w:tcW w:w="1429" w:type="pct"/>
            <w:tcBorders>
              <w:top w:val="single" w:sz="4" w:space="0" w:color="auto"/>
              <w:bottom w:val="single" w:sz="4" w:space="0" w:color="auto"/>
            </w:tcBorders>
            <w:vAlign w:val="bottom"/>
          </w:tcPr>
          <w:p w14:paraId="149A261C" w14:textId="77777777" w:rsidR="0033222F" w:rsidRPr="009B1322" w:rsidRDefault="0033222F" w:rsidP="00A12E52">
            <w:pPr>
              <w:pStyle w:val="Tabletext"/>
              <w:rPr>
                <w:snapToGrid w:val="0"/>
              </w:rPr>
            </w:pPr>
            <w:r w:rsidRPr="00295986">
              <w:t>18</w:t>
            </w:r>
            <w:r w:rsidR="00D7157D">
              <w:t>.</w:t>
            </w:r>
            <w:r w:rsidRPr="00295986">
              <w:t>1526</w:t>
            </w:r>
          </w:p>
        </w:tc>
        <w:tc>
          <w:tcPr>
            <w:tcW w:w="1866" w:type="pct"/>
            <w:tcBorders>
              <w:top w:val="single" w:sz="4" w:space="0" w:color="auto"/>
              <w:bottom w:val="single" w:sz="4" w:space="0" w:color="auto"/>
            </w:tcBorders>
            <w:vAlign w:val="center"/>
          </w:tcPr>
          <w:p w14:paraId="78B4B046" w14:textId="77777777" w:rsidR="0033222F" w:rsidRPr="009B1322" w:rsidRDefault="0033222F" w:rsidP="00A12E52">
            <w:pPr>
              <w:pStyle w:val="Tabletext"/>
              <w:rPr>
                <w:snapToGrid w:val="0"/>
              </w:rPr>
            </w:pPr>
            <w:r w:rsidRPr="00295986">
              <w:t>19</w:t>
            </w:r>
            <w:r w:rsidR="00D7157D">
              <w:t>.</w:t>
            </w:r>
            <w:r w:rsidRPr="00295986">
              <w:t>2032</w:t>
            </w:r>
          </w:p>
        </w:tc>
      </w:tr>
      <w:tr w:rsidR="0033222F" w:rsidRPr="009E2595" w14:paraId="5ABABB19" w14:textId="77777777" w:rsidTr="00D32928">
        <w:trPr>
          <w:trHeight w:val="245"/>
          <w:jc w:val="right"/>
        </w:trPr>
        <w:tc>
          <w:tcPr>
            <w:tcW w:w="1705" w:type="pct"/>
            <w:tcBorders>
              <w:top w:val="single" w:sz="4" w:space="0" w:color="auto"/>
              <w:bottom w:val="single" w:sz="4" w:space="0" w:color="auto"/>
            </w:tcBorders>
          </w:tcPr>
          <w:p w14:paraId="68D08B34" w14:textId="77777777" w:rsidR="0033222F" w:rsidRPr="00616B26" w:rsidRDefault="0033222F" w:rsidP="00A12E52">
            <w:pPr>
              <w:pStyle w:val="Tabletext"/>
              <w:rPr>
                <w:snapToGrid w:val="0"/>
              </w:rPr>
            </w:pPr>
            <w:r w:rsidRPr="00616B26">
              <w:rPr>
                <w:snapToGrid w:val="0"/>
              </w:rPr>
              <w:t>63</w:t>
            </w:r>
          </w:p>
        </w:tc>
        <w:tc>
          <w:tcPr>
            <w:tcW w:w="1429" w:type="pct"/>
            <w:tcBorders>
              <w:top w:val="single" w:sz="4" w:space="0" w:color="auto"/>
              <w:bottom w:val="single" w:sz="4" w:space="0" w:color="auto"/>
            </w:tcBorders>
            <w:vAlign w:val="bottom"/>
          </w:tcPr>
          <w:p w14:paraId="23793497" w14:textId="77777777" w:rsidR="0033222F" w:rsidRPr="009B1322" w:rsidRDefault="0033222F" w:rsidP="00A12E52">
            <w:pPr>
              <w:pStyle w:val="Tabletext"/>
              <w:rPr>
                <w:snapToGrid w:val="0"/>
              </w:rPr>
            </w:pPr>
            <w:r w:rsidRPr="00295986">
              <w:t>17</w:t>
            </w:r>
            <w:r w:rsidR="00D7157D">
              <w:t>.</w:t>
            </w:r>
            <w:r w:rsidRPr="00295986">
              <w:t>6889</w:t>
            </w:r>
          </w:p>
        </w:tc>
        <w:tc>
          <w:tcPr>
            <w:tcW w:w="1866" w:type="pct"/>
            <w:tcBorders>
              <w:top w:val="single" w:sz="4" w:space="0" w:color="auto"/>
              <w:bottom w:val="single" w:sz="4" w:space="0" w:color="auto"/>
            </w:tcBorders>
            <w:vAlign w:val="center"/>
          </w:tcPr>
          <w:p w14:paraId="7BE35181" w14:textId="77777777" w:rsidR="0033222F" w:rsidRPr="009B1322" w:rsidRDefault="0033222F" w:rsidP="00A12E52">
            <w:pPr>
              <w:pStyle w:val="Tabletext"/>
              <w:rPr>
                <w:snapToGrid w:val="0"/>
              </w:rPr>
            </w:pPr>
            <w:r w:rsidRPr="00295986">
              <w:t>18</w:t>
            </w:r>
            <w:r w:rsidR="00D7157D">
              <w:t>.</w:t>
            </w:r>
            <w:r w:rsidRPr="00295986">
              <w:t>7579</w:t>
            </w:r>
          </w:p>
        </w:tc>
      </w:tr>
      <w:tr w:rsidR="0033222F" w:rsidRPr="009E2595" w14:paraId="57ABF8AA" w14:textId="77777777" w:rsidTr="00D32928">
        <w:trPr>
          <w:trHeight w:val="245"/>
          <w:jc w:val="right"/>
        </w:trPr>
        <w:tc>
          <w:tcPr>
            <w:tcW w:w="1705" w:type="pct"/>
            <w:tcBorders>
              <w:top w:val="single" w:sz="4" w:space="0" w:color="auto"/>
              <w:bottom w:val="single" w:sz="4" w:space="0" w:color="auto"/>
            </w:tcBorders>
          </w:tcPr>
          <w:p w14:paraId="48A88406" w14:textId="77777777" w:rsidR="0033222F" w:rsidRPr="00616B26" w:rsidRDefault="0033222F" w:rsidP="00A12E52">
            <w:pPr>
              <w:pStyle w:val="Tabletext"/>
              <w:rPr>
                <w:snapToGrid w:val="0"/>
              </w:rPr>
            </w:pPr>
            <w:r w:rsidRPr="00616B26">
              <w:rPr>
                <w:snapToGrid w:val="0"/>
              </w:rPr>
              <w:t>64</w:t>
            </w:r>
          </w:p>
        </w:tc>
        <w:tc>
          <w:tcPr>
            <w:tcW w:w="1429" w:type="pct"/>
            <w:tcBorders>
              <w:top w:val="single" w:sz="4" w:space="0" w:color="auto"/>
              <w:bottom w:val="single" w:sz="4" w:space="0" w:color="auto"/>
            </w:tcBorders>
            <w:vAlign w:val="bottom"/>
          </w:tcPr>
          <w:p w14:paraId="03DDC123" w14:textId="77777777" w:rsidR="0033222F" w:rsidRPr="009B1322" w:rsidRDefault="0033222F" w:rsidP="00A12E52">
            <w:pPr>
              <w:pStyle w:val="Tabletext"/>
              <w:rPr>
                <w:snapToGrid w:val="0"/>
              </w:rPr>
            </w:pPr>
            <w:r w:rsidRPr="00295986">
              <w:t>17</w:t>
            </w:r>
            <w:r w:rsidR="00D7157D">
              <w:t>.</w:t>
            </w:r>
            <w:r w:rsidRPr="00295986">
              <w:t>2146</w:t>
            </w:r>
          </w:p>
        </w:tc>
        <w:tc>
          <w:tcPr>
            <w:tcW w:w="1866" w:type="pct"/>
            <w:tcBorders>
              <w:top w:val="single" w:sz="4" w:space="0" w:color="auto"/>
              <w:bottom w:val="single" w:sz="4" w:space="0" w:color="auto"/>
            </w:tcBorders>
            <w:vAlign w:val="center"/>
          </w:tcPr>
          <w:p w14:paraId="6D46FEDB" w14:textId="77777777" w:rsidR="0033222F" w:rsidRPr="009B1322" w:rsidRDefault="0033222F" w:rsidP="00A12E52">
            <w:pPr>
              <w:pStyle w:val="Tabletext"/>
              <w:rPr>
                <w:snapToGrid w:val="0"/>
              </w:rPr>
            </w:pPr>
            <w:r w:rsidRPr="00295986">
              <w:t>18</w:t>
            </w:r>
            <w:r w:rsidR="00D7157D">
              <w:t>.</w:t>
            </w:r>
            <w:r w:rsidRPr="00295986">
              <w:t>3017</w:t>
            </w:r>
          </w:p>
        </w:tc>
      </w:tr>
      <w:tr w:rsidR="0033222F" w:rsidRPr="009E2595" w14:paraId="548BC794" w14:textId="77777777" w:rsidTr="00D32928">
        <w:trPr>
          <w:trHeight w:val="245"/>
          <w:jc w:val="right"/>
        </w:trPr>
        <w:tc>
          <w:tcPr>
            <w:tcW w:w="1705" w:type="pct"/>
            <w:tcBorders>
              <w:top w:val="single" w:sz="4" w:space="0" w:color="auto"/>
              <w:bottom w:val="single" w:sz="12" w:space="0" w:color="auto"/>
            </w:tcBorders>
          </w:tcPr>
          <w:p w14:paraId="7B6F7B2E" w14:textId="77777777" w:rsidR="0033222F" w:rsidRPr="00616B26" w:rsidRDefault="0033222F" w:rsidP="00A12E52">
            <w:pPr>
              <w:pStyle w:val="Tabletext"/>
              <w:rPr>
                <w:snapToGrid w:val="0"/>
              </w:rPr>
            </w:pPr>
            <w:r w:rsidRPr="00616B26">
              <w:rPr>
                <w:snapToGrid w:val="0"/>
              </w:rPr>
              <w:t>65</w:t>
            </w:r>
          </w:p>
        </w:tc>
        <w:tc>
          <w:tcPr>
            <w:tcW w:w="1429" w:type="pct"/>
            <w:tcBorders>
              <w:top w:val="single" w:sz="4" w:space="0" w:color="auto"/>
              <w:bottom w:val="single" w:sz="12" w:space="0" w:color="auto"/>
            </w:tcBorders>
            <w:vAlign w:val="bottom"/>
          </w:tcPr>
          <w:p w14:paraId="7ED5835A" w14:textId="77777777" w:rsidR="0033222F" w:rsidRPr="009B1322" w:rsidRDefault="0033222F" w:rsidP="00A12E52">
            <w:pPr>
              <w:pStyle w:val="Tabletext"/>
              <w:rPr>
                <w:snapToGrid w:val="0"/>
              </w:rPr>
            </w:pPr>
            <w:r w:rsidRPr="00295986">
              <w:t>16</w:t>
            </w:r>
            <w:r w:rsidR="00D7157D">
              <w:t>.</w:t>
            </w:r>
            <w:r w:rsidRPr="00295986">
              <w:t>7314</w:t>
            </w:r>
          </w:p>
        </w:tc>
        <w:tc>
          <w:tcPr>
            <w:tcW w:w="1866" w:type="pct"/>
            <w:tcBorders>
              <w:top w:val="single" w:sz="4" w:space="0" w:color="auto"/>
              <w:bottom w:val="single" w:sz="12" w:space="0" w:color="auto"/>
            </w:tcBorders>
            <w:vAlign w:val="center"/>
          </w:tcPr>
          <w:p w14:paraId="601D0669" w14:textId="77777777" w:rsidR="0033222F" w:rsidRPr="009B1322" w:rsidRDefault="0033222F" w:rsidP="00A12E52">
            <w:pPr>
              <w:pStyle w:val="Tabletext"/>
              <w:rPr>
                <w:snapToGrid w:val="0"/>
              </w:rPr>
            </w:pPr>
            <w:r w:rsidRPr="00295986">
              <w:t>17</w:t>
            </w:r>
            <w:r w:rsidR="00D7157D">
              <w:t>.</w:t>
            </w:r>
            <w:r w:rsidRPr="00295986">
              <w:t>8362</w:t>
            </w:r>
          </w:p>
        </w:tc>
      </w:tr>
    </w:tbl>
    <w:p w14:paraId="11746604"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3DF21525" w14:textId="77777777" w:rsidTr="00963115">
        <w:trPr>
          <w:cantSplit/>
          <w:trHeight w:val="375"/>
          <w:tblHeader/>
          <w:jc w:val="right"/>
        </w:trPr>
        <w:tc>
          <w:tcPr>
            <w:tcW w:w="1705" w:type="pct"/>
            <w:vMerge w:val="restart"/>
            <w:tcBorders>
              <w:top w:val="single" w:sz="12" w:space="0" w:color="auto"/>
              <w:bottom w:val="single" w:sz="12" w:space="0" w:color="auto"/>
            </w:tcBorders>
          </w:tcPr>
          <w:p w14:paraId="397A547C"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507F942" w14:textId="7691194F"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period—pension indexed at 3%</w:t>
            </w:r>
          </w:p>
        </w:tc>
      </w:tr>
      <w:tr w:rsidR="00647C6B" w:rsidRPr="00A058B6" w14:paraId="3F54BC34" w14:textId="77777777" w:rsidTr="00963115">
        <w:trPr>
          <w:cantSplit/>
          <w:trHeight w:val="60"/>
          <w:tblHeader/>
          <w:jc w:val="right"/>
        </w:trPr>
        <w:tc>
          <w:tcPr>
            <w:tcW w:w="1705" w:type="pct"/>
            <w:vMerge/>
            <w:tcBorders>
              <w:bottom w:val="single" w:sz="12" w:space="0" w:color="auto"/>
            </w:tcBorders>
          </w:tcPr>
          <w:p w14:paraId="0B2200D0"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3285F345"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57D27163" w14:textId="77777777" w:rsidR="00647C6B" w:rsidRPr="00A058B6" w:rsidRDefault="00647C6B" w:rsidP="00963115">
            <w:pPr>
              <w:pStyle w:val="TableHeading"/>
              <w:rPr>
                <w:snapToGrid w:val="0"/>
              </w:rPr>
            </w:pPr>
            <w:r w:rsidRPr="00A058B6">
              <w:rPr>
                <w:snapToGrid w:val="0"/>
              </w:rPr>
              <w:t>Female</w:t>
            </w:r>
          </w:p>
        </w:tc>
      </w:tr>
      <w:tr w:rsidR="0033222F" w:rsidRPr="009E2595" w14:paraId="083299EE" w14:textId="77777777" w:rsidTr="00D32928">
        <w:trPr>
          <w:trHeight w:val="245"/>
          <w:jc w:val="right"/>
        </w:trPr>
        <w:tc>
          <w:tcPr>
            <w:tcW w:w="1705" w:type="pct"/>
            <w:tcBorders>
              <w:top w:val="single" w:sz="12" w:space="0" w:color="auto"/>
              <w:bottom w:val="single" w:sz="4" w:space="0" w:color="auto"/>
            </w:tcBorders>
          </w:tcPr>
          <w:p w14:paraId="30C4FD8B" w14:textId="77777777" w:rsidR="0033222F" w:rsidRPr="00616B26" w:rsidRDefault="0033222F" w:rsidP="00A12E52">
            <w:pPr>
              <w:pStyle w:val="Tabletext"/>
              <w:rPr>
                <w:snapToGrid w:val="0"/>
              </w:rPr>
            </w:pPr>
            <w:r w:rsidRPr="00616B26">
              <w:rPr>
                <w:snapToGrid w:val="0"/>
              </w:rPr>
              <w:t>Up to 40</w:t>
            </w:r>
          </w:p>
        </w:tc>
        <w:tc>
          <w:tcPr>
            <w:tcW w:w="1417" w:type="pct"/>
            <w:tcBorders>
              <w:top w:val="single" w:sz="12" w:space="0" w:color="auto"/>
              <w:bottom w:val="single" w:sz="4" w:space="0" w:color="auto"/>
            </w:tcBorders>
            <w:vAlign w:val="bottom"/>
          </w:tcPr>
          <w:p w14:paraId="103F917E" w14:textId="77777777" w:rsidR="0033222F" w:rsidRPr="009B1322" w:rsidRDefault="0033222F" w:rsidP="00A12E52">
            <w:pPr>
              <w:pStyle w:val="Tabletext"/>
              <w:rPr>
                <w:snapToGrid w:val="0"/>
              </w:rPr>
            </w:pPr>
            <w:r w:rsidRPr="00295986">
              <w:t>2</w:t>
            </w:r>
            <w:r w:rsidR="00D7157D">
              <w:t>.</w:t>
            </w:r>
            <w:r w:rsidRPr="00295986">
              <w:t>408</w:t>
            </w:r>
          </w:p>
        </w:tc>
        <w:tc>
          <w:tcPr>
            <w:tcW w:w="1878" w:type="pct"/>
            <w:tcBorders>
              <w:top w:val="single" w:sz="12" w:space="0" w:color="auto"/>
              <w:bottom w:val="single" w:sz="4" w:space="0" w:color="auto"/>
            </w:tcBorders>
            <w:vAlign w:val="bottom"/>
          </w:tcPr>
          <w:p w14:paraId="71BD5A00" w14:textId="77777777" w:rsidR="0033222F" w:rsidRPr="009B1322" w:rsidRDefault="0033222F" w:rsidP="00A12E52">
            <w:pPr>
              <w:pStyle w:val="Tabletext"/>
              <w:rPr>
                <w:snapToGrid w:val="0"/>
              </w:rPr>
            </w:pPr>
            <w:r w:rsidRPr="00295986">
              <w:t>1</w:t>
            </w:r>
            <w:r w:rsidR="00D7157D">
              <w:t>.</w:t>
            </w:r>
            <w:r w:rsidRPr="00295986">
              <w:t>030</w:t>
            </w:r>
          </w:p>
        </w:tc>
      </w:tr>
      <w:tr w:rsidR="0033222F" w:rsidRPr="009E2595" w14:paraId="17A673CD" w14:textId="77777777" w:rsidTr="00D32928">
        <w:trPr>
          <w:trHeight w:val="245"/>
          <w:jc w:val="right"/>
        </w:trPr>
        <w:tc>
          <w:tcPr>
            <w:tcW w:w="1705" w:type="pct"/>
            <w:tcBorders>
              <w:top w:val="single" w:sz="4" w:space="0" w:color="auto"/>
              <w:bottom w:val="single" w:sz="4" w:space="0" w:color="auto"/>
            </w:tcBorders>
          </w:tcPr>
          <w:p w14:paraId="1847F08B" w14:textId="77777777" w:rsidR="0033222F" w:rsidRPr="00616B26" w:rsidRDefault="0033222F" w:rsidP="00A12E52">
            <w:pPr>
              <w:pStyle w:val="Tabletext"/>
              <w:rPr>
                <w:snapToGrid w:val="0"/>
              </w:rPr>
            </w:pPr>
            <w:r w:rsidRPr="00616B26">
              <w:rPr>
                <w:snapToGrid w:val="0"/>
              </w:rPr>
              <w:t>41</w:t>
            </w:r>
          </w:p>
        </w:tc>
        <w:tc>
          <w:tcPr>
            <w:tcW w:w="1417" w:type="pct"/>
            <w:tcBorders>
              <w:top w:val="single" w:sz="4" w:space="0" w:color="auto"/>
              <w:bottom w:val="single" w:sz="4" w:space="0" w:color="auto"/>
            </w:tcBorders>
            <w:vAlign w:val="bottom"/>
          </w:tcPr>
          <w:p w14:paraId="1AE3B700" w14:textId="77777777" w:rsidR="0033222F" w:rsidRPr="009B1322" w:rsidRDefault="0033222F" w:rsidP="00A12E52">
            <w:pPr>
              <w:pStyle w:val="Tabletext"/>
              <w:rPr>
                <w:snapToGrid w:val="0"/>
              </w:rPr>
            </w:pPr>
            <w:r w:rsidRPr="00295986">
              <w:t>2</w:t>
            </w:r>
            <w:r w:rsidR="00D7157D">
              <w:t>.</w:t>
            </w:r>
            <w:r w:rsidRPr="00295986">
              <w:t>328</w:t>
            </w:r>
          </w:p>
        </w:tc>
        <w:tc>
          <w:tcPr>
            <w:tcW w:w="1878" w:type="pct"/>
            <w:tcBorders>
              <w:top w:val="single" w:sz="4" w:space="0" w:color="auto"/>
              <w:bottom w:val="single" w:sz="4" w:space="0" w:color="auto"/>
            </w:tcBorders>
            <w:vAlign w:val="bottom"/>
          </w:tcPr>
          <w:p w14:paraId="2CF03ED0" w14:textId="77777777" w:rsidR="0033222F" w:rsidRPr="009B1322" w:rsidRDefault="0033222F" w:rsidP="00A12E52">
            <w:pPr>
              <w:pStyle w:val="Tabletext"/>
              <w:rPr>
                <w:snapToGrid w:val="0"/>
              </w:rPr>
            </w:pPr>
            <w:r w:rsidRPr="00295986">
              <w:t>0</w:t>
            </w:r>
            <w:r w:rsidR="00D7157D">
              <w:t>.</w:t>
            </w:r>
            <w:r w:rsidRPr="00295986">
              <w:t>969</w:t>
            </w:r>
          </w:p>
        </w:tc>
      </w:tr>
      <w:tr w:rsidR="0033222F" w:rsidRPr="009E2595" w14:paraId="11D98D8F" w14:textId="77777777" w:rsidTr="00D32928">
        <w:trPr>
          <w:trHeight w:val="245"/>
          <w:jc w:val="right"/>
        </w:trPr>
        <w:tc>
          <w:tcPr>
            <w:tcW w:w="1705" w:type="pct"/>
            <w:tcBorders>
              <w:top w:val="single" w:sz="4" w:space="0" w:color="auto"/>
              <w:bottom w:val="single" w:sz="4" w:space="0" w:color="auto"/>
            </w:tcBorders>
          </w:tcPr>
          <w:p w14:paraId="67B548D3" w14:textId="77777777" w:rsidR="0033222F" w:rsidRPr="00616B26" w:rsidRDefault="0033222F" w:rsidP="00A12E52">
            <w:pPr>
              <w:pStyle w:val="Tabletext"/>
              <w:rPr>
                <w:snapToGrid w:val="0"/>
              </w:rPr>
            </w:pPr>
            <w:r w:rsidRPr="00616B26">
              <w:rPr>
                <w:snapToGrid w:val="0"/>
              </w:rPr>
              <w:t>42</w:t>
            </w:r>
          </w:p>
        </w:tc>
        <w:tc>
          <w:tcPr>
            <w:tcW w:w="1417" w:type="pct"/>
            <w:tcBorders>
              <w:top w:val="single" w:sz="4" w:space="0" w:color="auto"/>
              <w:bottom w:val="single" w:sz="4" w:space="0" w:color="auto"/>
            </w:tcBorders>
            <w:vAlign w:val="bottom"/>
          </w:tcPr>
          <w:p w14:paraId="30B7C030" w14:textId="77777777" w:rsidR="0033222F" w:rsidRPr="009B1322" w:rsidRDefault="0033222F" w:rsidP="00A12E52">
            <w:pPr>
              <w:pStyle w:val="Tabletext"/>
              <w:rPr>
                <w:snapToGrid w:val="0"/>
              </w:rPr>
            </w:pPr>
            <w:r w:rsidRPr="00295986">
              <w:t>2</w:t>
            </w:r>
            <w:r w:rsidR="00D7157D">
              <w:t>.</w:t>
            </w:r>
            <w:r w:rsidRPr="00295986">
              <w:t>247</w:t>
            </w:r>
          </w:p>
        </w:tc>
        <w:tc>
          <w:tcPr>
            <w:tcW w:w="1878" w:type="pct"/>
            <w:tcBorders>
              <w:top w:val="single" w:sz="4" w:space="0" w:color="auto"/>
              <w:bottom w:val="single" w:sz="4" w:space="0" w:color="auto"/>
            </w:tcBorders>
            <w:vAlign w:val="bottom"/>
          </w:tcPr>
          <w:p w14:paraId="1454BCBE" w14:textId="77777777" w:rsidR="0033222F" w:rsidRPr="009B1322" w:rsidRDefault="0033222F" w:rsidP="00A12E52">
            <w:pPr>
              <w:pStyle w:val="Tabletext"/>
              <w:rPr>
                <w:snapToGrid w:val="0"/>
              </w:rPr>
            </w:pPr>
            <w:r w:rsidRPr="00295986">
              <w:t>0</w:t>
            </w:r>
            <w:r w:rsidR="00D7157D">
              <w:t>.</w:t>
            </w:r>
            <w:r w:rsidRPr="00295986">
              <w:t>907</w:t>
            </w:r>
          </w:p>
        </w:tc>
      </w:tr>
      <w:tr w:rsidR="0033222F" w:rsidRPr="009E2595" w14:paraId="48E795E3" w14:textId="77777777" w:rsidTr="00D32928">
        <w:trPr>
          <w:trHeight w:val="245"/>
          <w:jc w:val="right"/>
        </w:trPr>
        <w:tc>
          <w:tcPr>
            <w:tcW w:w="1705" w:type="pct"/>
            <w:tcBorders>
              <w:top w:val="single" w:sz="4" w:space="0" w:color="auto"/>
              <w:bottom w:val="single" w:sz="4" w:space="0" w:color="auto"/>
            </w:tcBorders>
          </w:tcPr>
          <w:p w14:paraId="621853D4" w14:textId="77777777" w:rsidR="0033222F" w:rsidRPr="00616B26" w:rsidRDefault="0033222F" w:rsidP="00A12E52">
            <w:pPr>
              <w:pStyle w:val="Tabletext"/>
              <w:rPr>
                <w:snapToGrid w:val="0"/>
              </w:rPr>
            </w:pPr>
            <w:r w:rsidRPr="00616B26">
              <w:rPr>
                <w:snapToGrid w:val="0"/>
              </w:rPr>
              <w:t>43</w:t>
            </w:r>
          </w:p>
        </w:tc>
        <w:tc>
          <w:tcPr>
            <w:tcW w:w="1417" w:type="pct"/>
            <w:tcBorders>
              <w:top w:val="single" w:sz="4" w:space="0" w:color="auto"/>
              <w:bottom w:val="single" w:sz="4" w:space="0" w:color="auto"/>
            </w:tcBorders>
            <w:vAlign w:val="bottom"/>
          </w:tcPr>
          <w:p w14:paraId="5A54E4A6" w14:textId="77777777" w:rsidR="0033222F" w:rsidRPr="009B1322" w:rsidRDefault="0033222F" w:rsidP="00A12E52">
            <w:pPr>
              <w:pStyle w:val="Tabletext"/>
              <w:rPr>
                <w:snapToGrid w:val="0"/>
              </w:rPr>
            </w:pPr>
            <w:r w:rsidRPr="00295986">
              <w:t>2</w:t>
            </w:r>
            <w:r w:rsidR="00D7157D">
              <w:t>.</w:t>
            </w:r>
            <w:r w:rsidRPr="00295986">
              <w:t>167</w:t>
            </w:r>
          </w:p>
        </w:tc>
        <w:tc>
          <w:tcPr>
            <w:tcW w:w="1878" w:type="pct"/>
            <w:tcBorders>
              <w:top w:val="single" w:sz="4" w:space="0" w:color="auto"/>
              <w:bottom w:val="single" w:sz="4" w:space="0" w:color="auto"/>
            </w:tcBorders>
            <w:vAlign w:val="bottom"/>
          </w:tcPr>
          <w:p w14:paraId="05D49F15" w14:textId="77777777" w:rsidR="0033222F" w:rsidRPr="009B1322" w:rsidRDefault="0033222F" w:rsidP="00A12E52">
            <w:pPr>
              <w:pStyle w:val="Tabletext"/>
              <w:rPr>
                <w:snapToGrid w:val="0"/>
              </w:rPr>
            </w:pPr>
            <w:r w:rsidRPr="00295986">
              <w:t>0</w:t>
            </w:r>
            <w:r w:rsidR="00D7157D">
              <w:t>.</w:t>
            </w:r>
            <w:r w:rsidRPr="00295986">
              <w:t>845</w:t>
            </w:r>
          </w:p>
        </w:tc>
      </w:tr>
      <w:tr w:rsidR="0033222F" w:rsidRPr="009E2595" w14:paraId="47F989DB" w14:textId="77777777" w:rsidTr="00D32928">
        <w:trPr>
          <w:trHeight w:val="245"/>
          <w:jc w:val="right"/>
        </w:trPr>
        <w:tc>
          <w:tcPr>
            <w:tcW w:w="1705" w:type="pct"/>
            <w:tcBorders>
              <w:top w:val="single" w:sz="4" w:space="0" w:color="auto"/>
              <w:bottom w:val="single" w:sz="4" w:space="0" w:color="auto"/>
            </w:tcBorders>
          </w:tcPr>
          <w:p w14:paraId="776DF436" w14:textId="77777777" w:rsidR="0033222F" w:rsidRPr="00616B26" w:rsidRDefault="0033222F" w:rsidP="00A12E52">
            <w:pPr>
              <w:pStyle w:val="Tabletext"/>
              <w:rPr>
                <w:snapToGrid w:val="0"/>
              </w:rPr>
            </w:pPr>
            <w:r w:rsidRPr="00616B26">
              <w:rPr>
                <w:snapToGrid w:val="0"/>
              </w:rPr>
              <w:t>44</w:t>
            </w:r>
          </w:p>
        </w:tc>
        <w:tc>
          <w:tcPr>
            <w:tcW w:w="1417" w:type="pct"/>
            <w:tcBorders>
              <w:top w:val="single" w:sz="4" w:space="0" w:color="auto"/>
              <w:bottom w:val="single" w:sz="4" w:space="0" w:color="auto"/>
            </w:tcBorders>
            <w:vAlign w:val="bottom"/>
          </w:tcPr>
          <w:p w14:paraId="503EB826" w14:textId="77777777" w:rsidR="0033222F" w:rsidRPr="009B1322" w:rsidRDefault="0033222F" w:rsidP="00A12E52">
            <w:pPr>
              <w:pStyle w:val="Tabletext"/>
              <w:rPr>
                <w:snapToGrid w:val="0"/>
              </w:rPr>
            </w:pPr>
            <w:r w:rsidRPr="00295986">
              <w:t>2</w:t>
            </w:r>
            <w:r w:rsidR="00D7157D">
              <w:t>.</w:t>
            </w:r>
            <w:r w:rsidRPr="00295986">
              <w:t>087</w:t>
            </w:r>
          </w:p>
        </w:tc>
        <w:tc>
          <w:tcPr>
            <w:tcW w:w="1878" w:type="pct"/>
            <w:tcBorders>
              <w:top w:val="single" w:sz="4" w:space="0" w:color="auto"/>
              <w:bottom w:val="single" w:sz="4" w:space="0" w:color="auto"/>
            </w:tcBorders>
            <w:vAlign w:val="bottom"/>
          </w:tcPr>
          <w:p w14:paraId="112B5F73" w14:textId="77777777" w:rsidR="0033222F" w:rsidRPr="009B1322" w:rsidRDefault="0033222F" w:rsidP="00A12E52">
            <w:pPr>
              <w:pStyle w:val="Tabletext"/>
              <w:rPr>
                <w:snapToGrid w:val="0"/>
              </w:rPr>
            </w:pPr>
            <w:r w:rsidRPr="00295986">
              <w:t>0</w:t>
            </w:r>
            <w:r w:rsidR="00D7157D">
              <w:t>.</w:t>
            </w:r>
            <w:r w:rsidRPr="00295986">
              <w:t>783</w:t>
            </w:r>
          </w:p>
        </w:tc>
      </w:tr>
      <w:tr w:rsidR="0033222F" w:rsidRPr="009E2595" w14:paraId="687BBDFF" w14:textId="77777777" w:rsidTr="00D32928">
        <w:trPr>
          <w:trHeight w:val="245"/>
          <w:jc w:val="right"/>
        </w:trPr>
        <w:tc>
          <w:tcPr>
            <w:tcW w:w="1705" w:type="pct"/>
            <w:tcBorders>
              <w:top w:val="single" w:sz="4" w:space="0" w:color="auto"/>
              <w:bottom w:val="single" w:sz="4" w:space="0" w:color="auto"/>
            </w:tcBorders>
          </w:tcPr>
          <w:p w14:paraId="4B2A708C" w14:textId="77777777" w:rsidR="0033222F" w:rsidRPr="00616B26" w:rsidRDefault="0033222F" w:rsidP="00A12E52">
            <w:pPr>
              <w:pStyle w:val="Tabletext"/>
              <w:rPr>
                <w:snapToGrid w:val="0"/>
              </w:rPr>
            </w:pPr>
            <w:r w:rsidRPr="00616B26">
              <w:rPr>
                <w:snapToGrid w:val="0"/>
              </w:rPr>
              <w:t>45</w:t>
            </w:r>
          </w:p>
        </w:tc>
        <w:tc>
          <w:tcPr>
            <w:tcW w:w="1417" w:type="pct"/>
            <w:tcBorders>
              <w:top w:val="single" w:sz="4" w:space="0" w:color="auto"/>
              <w:bottom w:val="single" w:sz="4" w:space="0" w:color="auto"/>
            </w:tcBorders>
            <w:vAlign w:val="bottom"/>
          </w:tcPr>
          <w:p w14:paraId="362C8A78" w14:textId="77777777" w:rsidR="0033222F" w:rsidRPr="009B1322" w:rsidRDefault="0033222F" w:rsidP="00A12E52">
            <w:pPr>
              <w:pStyle w:val="Tabletext"/>
              <w:rPr>
                <w:snapToGrid w:val="0"/>
              </w:rPr>
            </w:pPr>
            <w:r w:rsidRPr="00295986">
              <w:t>2</w:t>
            </w:r>
            <w:r w:rsidR="00D7157D">
              <w:t>.</w:t>
            </w:r>
            <w:r w:rsidRPr="00295986">
              <w:t>007</w:t>
            </w:r>
          </w:p>
        </w:tc>
        <w:tc>
          <w:tcPr>
            <w:tcW w:w="1878" w:type="pct"/>
            <w:tcBorders>
              <w:top w:val="single" w:sz="4" w:space="0" w:color="auto"/>
              <w:bottom w:val="single" w:sz="4" w:space="0" w:color="auto"/>
            </w:tcBorders>
            <w:vAlign w:val="bottom"/>
          </w:tcPr>
          <w:p w14:paraId="65C8EEBD" w14:textId="77777777" w:rsidR="0033222F" w:rsidRPr="009B1322" w:rsidRDefault="0033222F" w:rsidP="00A12E52">
            <w:pPr>
              <w:pStyle w:val="Tabletext"/>
              <w:rPr>
                <w:snapToGrid w:val="0"/>
              </w:rPr>
            </w:pPr>
            <w:r w:rsidRPr="00295986">
              <w:t>0</w:t>
            </w:r>
            <w:r w:rsidR="00D7157D">
              <w:t>.</w:t>
            </w:r>
            <w:r w:rsidRPr="00295986">
              <w:t>721</w:t>
            </w:r>
          </w:p>
        </w:tc>
      </w:tr>
      <w:tr w:rsidR="0033222F" w:rsidRPr="009E2595" w14:paraId="3C3A39B2" w14:textId="77777777" w:rsidTr="00D32928">
        <w:trPr>
          <w:trHeight w:val="245"/>
          <w:jc w:val="right"/>
        </w:trPr>
        <w:tc>
          <w:tcPr>
            <w:tcW w:w="1705" w:type="pct"/>
            <w:tcBorders>
              <w:top w:val="single" w:sz="4" w:space="0" w:color="auto"/>
              <w:bottom w:val="single" w:sz="4" w:space="0" w:color="auto"/>
            </w:tcBorders>
          </w:tcPr>
          <w:p w14:paraId="6E34CAB5" w14:textId="77777777" w:rsidR="0033222F" w:rsidRPr="00616B26" w:rsidRDefault="0033222F" w:rsidP="00A12E52">
            <w:pPr>
              <w:pStyle w:val="Tabletext"/>
              <w:rPr>
                <w:snapToGrid w:val="0"/>
              </w:rPr>
            </w:pPr>
            <w:r w:rsidRPr="00616B26">
              <w:rPr>
                <w:snapToGrid w:val="0"/>
              </w:rPr>
              <w:t>46</w:t>
            </w:r>
          </w:p>
        </w:tc>
        <w:tc>
          <w:tcPr>
            <w:tcW w:w="1417" w:type="pct"/>
            <w:tcBorders>
              <w:top w:val="single" w:sz="4" w:space="0" w:color="auto"/>
              <w:bottom w:val="single" w:sz="4" w:space="0" w:color="auto"/>
            </w:tcBorders>
            <w:vAlign w:val="bottom"/>
          </w:tcPr>
          <w:p w14:paraId="7A51713E" w14:textId="77777777" w:rsidR="0033222F" w:rsidRPr="009B1322" w:rsidRDefault="0033222F" w:rsidP="00A12E52">
            <w:pPr>
              <w:pStyle w:val="Tabletext"/>
              <w:rPr>
                <w:snapToGrid w:val="0"/>
              </w:rPr>
            </w:pPr>
            <w:r w:rsidRPr="00295986">
              <w:t>1</w:t>
            </w:r>
            <w:r w:rsidR="00D7157D">
              <w:t>.</w:t>
            </w:r>
            <w:r w:rsidRPr="00295986">
              <w:t>926</w:t>
            </w:r>
          </w:p>
        </w:tc>
        <w:tc>
          <w:tcPr>
            <w:tcW w:w="1878" w:type="pct"/>
            <w:tcBorders>
              <w:top w:val="single" w:sz="4" w:space="0" w:color="auto"/>
              <w:bottom w:val="single" w:sz="4" w:space="0" w:color="auto"/>
            </w:tcBorders>
            <w:vAlign w:val="bottom"/>
          </w:tcPr>
          <w:p w14:paraId="21726285" w14:textId="77777777" w:rsidR="0033222F" w:rsidRPr="009B1322" w:rsidRDefault="0033222F" w:rsidP="00A12E52">
            <w:pPr>
              <w:pStyle w:val="Tabletext"/>
              <w:rPr>
                <w:snapToGrid w:val="0"/>
              </w:rPr>
            </w:pPr>
            <w:r w:rsidRPr="00295986">
              <w:t>0</w:t>
            </w:r>
            <w:r w:rsidR="00D7157D">
              <w:t>.</w:t>
            </w:r>
            <w:r w:rsidRPr="00295986">
              <w:t>659</w:t>
            </w:r>
          </w:p>
        </w:tc>
      </w:tr>
      <w:tr w:rsidR="0033222F" w:rsidRPr="009E2595" w14:paraId="67363E18" w14:textId="77777777" w:rsidTr="00D32928">
        <w:trPr>
          <w:trHeight w:val="245"/>
          <w:jc w:val="right"/>
        </w:trPr>
        <w:tc>
          <w:tcPr>
            <w:tcW w:w="1705" w:type="pct"/>
            <w:tcBorders>
              <w:top w:val="single" w:sz="4" w:space="0" w:color="auto"/>
              <w:bottom w:val="single" w:sz="4" w:space="0" w:color="auto"/>
            </w:tcBorders>
          </w:tcPr>
          <w:p w14:paraId="20C4300B" w14:textId="77777777" w:rsidR="0033222F" w:rsidRPr="00616B26" w:rsidRDefault="0033222F" w:rsidP="00A12E52">
            <w:pPr>
              <w:pStyle w:val="Tabletext"/>
              <w:rPr>
                <w:snapToGrid w:val="0"/>
              </w:rPr>
            </w:pPr>
            <w:r w:rsidRPr="00616B26">
              <w:rPr>
                <w:snapToGrid w:val="0"/>
              </w:rPr>
              <w:t>47</w:t>
            </w:r>
          </w:p>
        </w:tc>
        <w:tc>
          <w:tcPr>
            <w:tcW w:w="1417" w:type="pct"/>
            <w:tcBorders>
              <w:top w:val="single" w:sz="4" w:space="0" w:color="auto"/>
              <w:bottom w:val="single" w:sz="4" w:space="0" w:color="auto"/>
            </w:tcBorders>
            <w:vAlign w:val="bottom"/>
          </w:tcPr>
          <w:p w14:paraId="2173C953" w14:textId="77777777" w:rsidR="0033222F" w:rsidRPr="009B1322" w:rsidRDefault="0033222F" w:rsidP="00A12E52">
            <w:pPr>
              <w:pStyle w:val="Tabletext"/>
              <w:rPr>
                <w:snapToGrid w:val="0"/>
              </w:rPr>
            </w:pPr>
            <w:r w:rsidRPr="00295986">
              <w:t>1</w:t>
            </w:r>
            <w:r w:rsidR="00D7157D">
              <w:t>.</w:t>
            </w:r>
            <w:r w:rsidRPr="00295986">
              <w:t>846</w:t>
            </w:r>
          </w:p>
        </w:tc>
        <w:tc>
          <w:tcPr>
            <w:tcW w:w="1878" w:type="pct"/>
            <w:tcBorders>
              <w:top w:val="single" w:sz="4" w:space="0" w:color="auto"/>
              <w:bottom w:val="single" w:sz="4" w:space="0" w:color="auto"/>
            </w:tcBorders>
            <w:vAlign w:val="bottom"/>
          </w:tcPr>
          <w:p w14:paraId="71FF38E3" w14:textId="77777777" w:rsidR="0033222F" w:rsidRPr="009B1322" w:rsidRDefault="0033222F" w:rsidP="00A12E52">
            <w:pPr>
              <w:pStyle w:val="Tabletext"/>
              <w:rPr>
                <w:snapToGrid w:val="0"/>
              </w:rPr>
            </w:pPr>
            <w:r w:rsidRPr="00295986">
              <w:t>0</w:t>
            </w:r>
            <w:r w:rsidR="00D7157D">
              <w:t>.</w:t>
            </w:r>
            <w:r w:rsidRPr="00295986">
              <w:t>598</w:t>
            </w:r>
          </w:p>
        </w:tc>
      </w:tr>
      <w:tr w:rsidR="0033222F" w:rsidRPr="009E2595" w14:paraId="28D3D4F5" w14:textId="77777777" w:rsidTr="00D32928">
        <w:trPr>
          <w:trHeight w:val="245"/>
          <w:jc w:val="right"/>
        </w:trPr>
        <w:tc>
          <w:tcPr>
            <w:tcW w:w="1705" w:type="pct"/>
            <w:tcBorders>
              <w:top w:val="single" w:sz="4" w:space="0" w:color="auto"/>
              <w:bottom w:val="single" w:sz="4" w:space="0" w:color="auto"/>
            </w:tcBorders>
          </w:tcPr>
          <w:p w14:paraId="26F912A2" w14:textId="77777777" w:rsidR="0033222F" w:rsidRPr="00616B26" w:rsidRDefault="0033222F" w:rsidP="00A12E52">
            <w:pPr>
              <w:pStyle w:val="Tabletext"/>
              <w:rPr>
                <w:snapToGrid w:val="0"/>
              </w:rPr>
            </w:pPr>
            <w:r w:rsidRPr="00616B26">
              <w:rPr>
                <w:snapToGrid w:val="0"/>
              </w:rPr>
              <w:t>48</w:t>
            </w:r>
          </w:p>
        </w:tc>
        <w:tc>
          <w:tcPr>
            <w:tcW w:w="1417" w:type="pct"/>
            <w:tcBorders>
              <w:top w:val="single" w:sz="4" w:space="0" w:color="auto"/>
              <w:bottom w:val="single" w:sz="4" w:space="0" w:color="auto"/>
            </w:tcBorders>
            <w:vAlign w:val="bottom"/>
          </w:tcPr>
          <w:p w14:paraId="3C4CAA9E" w14:textId="77777777" w:rsidR="0033222F" w:rsidRPr="009B1322" w:rsidRDefault="0033222F" w:rsidP="00A12E52">
            <w:pPr>
              <w:pStyle w:val="Tabletext"/>
              <w:rPr>
                <w:snapToGrid w:val="0"/>
              </w:rPr>
            </w:pPr>
            <w:r w:rsidRPr="00295986">
              <w:t>1</w:t>
            </w:r>
            <w:r w:rsidR="00D7157D">
              <w:t>.</w:t>
            </w:r>
            <w:r w:rsidRPr="00295986">
              <w:t>766</w:t>
            </w:r>
          </w:p>
        </w:tc>
        <w:tc>
          <w:tcPr>
            <w:tcW w:w="1878" w:type="pct"/>
            <w:tcBorders>
              <w:top w:val="single" w:sz="4" w:space="0" w:color="auto"/>
              <w:bottom w:val="single" w:sz="4" w:space="0" w:color="auto"/>
            </w:tcBorders>
            <w:vAlign w:val="bottom"/>
          </w:tcPr>
          <w:p w14:paraId="643A3A1A" w14:textId="77777777" w:rsidR="0033222F" w:rsidRPr="009B1322" w:rsidRDefault="0033222F" w:rsidP="00A12E52">
            <w:pPr>
              <w:pStyle w:val="Tabletext"/>
              <w:rPr>
                <w:snapToGrid w:val="0"/>
              </w:rPr>
            </w:pPr>
            <w:r w:rsidRPr="00295986">
              <w:t>0</w:t>
            </w:r>
            <w:r w:rsidR="00D7157D">
              <w:t>.</w:t>
            </w:r>
            <w:r w:rsidRPr="00295986">
              <w:t>536</w:t>
            </w:r>
          </w:p>
        </w:tc>
      </w:tr>
      <w:tr w:rsidR="0033222F" w:rsidRPr="009E2595" w14:paraId="18DFC374" w14:textId="77777777" w:rsidTr="00D32928">
        <w:trPr>
          <w:trHeight w:val="245"/>
          <w:jc w:val="right"/>
        </w:trPr>
        <w:tc>
          <w:tcPr>
            <w:tcW w:w="1705" w:type="pct"/>
            <w:tcBorders>
              <w:top w:val="single" w:sz="4" w:space="0" w:color="auto"/>
              <w:bottom w:val="single" w:sz="4" w:space="0" w:color="auto"/>
            </w:tcBorders>
          </w:tcPr>
          <w:p w14:paraId="619D88DA" w14:textId="77777777" w:rsidR="0033222F" w:rsidRPr="00616B26" w:rsidRDefault="0033222F" w:rsidP="00A12E52">
            <w:pPr>
              <w:pStyle w:val="Tabletext"/>
              <w:rPr>
                <w:snapToGrid w:val="0"/>
              </w:rPr>
            </w:pPr>
            <w:r w:rsidRPr="00616B26">
              <w:rPr>
                <w:snapToGrid w:val="0"/>
              </w:rPr>
              <w:t>49</w:t>
            </w:r>
          </w:p>
        </w:tc>
        <w:tc>
          <w:tcPr>
            <w:tcW w:w="1417" w:type="pct"/>
            <w:tcBorders>
              <w:top w:val="single" w:sz="4" w:space="0" w:color="auto"/>
              <w:bottom w:val="single" w:sz="4" w:space="0" w:color="auto"/>
            </w:tcBorders>
            <w:vAlign w:val="bottom"/>
          </w:tcPr>
          <w:p w14:paraId="739808D4" w14:textId="77777777" w:rsidR="0033222F" w:rsidRPr="009B1322" w:rsidRDefault="0033222F" w:rsidP="00A12E52">
            <w:pPr>
              <w:pStyle w:val="Tabletext"/>
              <w:rPr>
                <w:snapToGrid w:val="0"/>
              </w:rPr>
            </w:pPr>
            <w:r w:rsidRPr="00295986">
              <w:t>1</w:t>
            </w:r>
            <w:r w:rsidR="00D7157D">
              <w:t>.</w:t>
            </w:r>
            <w:r w:rsidRPr="00295986">
              <w:t>685</w:t>
            </w:r>
          </w:p>
        </w:tc>
        <w:tc>
          <w:tcPr>
            <w:tcW w:w="1878" w:type="pct"/>
            <w:tcBorders>
              <w:top w:val="single" w:sz="4" w:space="0" w:color="auto"/>
              <w:bottom w:val="single" w:sz="4" w:space="0" w:color="auto"/>
            </w:tcBorders>
            <w:vAlign w:val="bottom"/>
          </w:tcPr>
          <w:p w14:paraId="2A97B3F7" w14:textId="77777777" w:rsidR="0033222F" w:rsidRPr="009B1322" w:rsidRDefault="0033222F" w:rsidP="00A12E52">
            <w:pPr>
              <w:pStyle w:val="Tabletext"/>
              <w:rPr>
                <w:snapToGrid w:val="0"/>
              </w:rPr>
            </w:pPr>
            <w:r w:rsidRPr="00295986">
              <w:t>0</w:t>
            </w:r>
            <w:r w:rsidR="00D7157D">
              <w:t>.</w:t>
            </w:r>
            <w:r w:rsidRPr="00295986">
              <w:t>474</w:t>
            </w:r>
          </w:p>
        </w:tc>
      </w:tr>
      <w:tr w:rsidR="0033222F" w:rsidRPr="009E2595" w14:paraId="1DA0CECD" w14:textId="77777777" w:rsidTr="00D32928">
        <w:trPr>
          <w:trHeight w:val="245"/>
          <w:jc w:val="right"/>
        </w:trPr>
        <w:tc>
          <w:tcPr>
            <w:tcW w:w="1705" w:type="pct"/>
            <w:tcBorders>
              <w:top w:val="single" w:sz="4" w:space="0" w:color="auto"/>
              <w:bottom w:val="single" w:sz="4" w:space="0" w:color="auto"/>
            </w:tcBorders>
          </w:tcPr>
          <w:p w14:paraId="5B59FFDF" w14:textId="77777777" w:rsidR="0033222F" w:rsidRPr="00616B26" w:rsidRDefault="0033222F" w:rsidP="00A12E52">
            <w:pPr>
              <w:pStyle w:val="Tabletext"/>
              <w:rPr>
                <w:snapToGrid w:val="0"/>
              </w:rPr>
            </w:pPr>
            <w:r w:rsidRPr="00616B26">
              <w:rPr>
                <w:snapToGrid w:val="0"/>
              </w:rPr>
              <w:t>50</w:t>
            </w:r>
          </w:p>
        </w:tc>
        <w:tc>
          <w:tcPr>
            <w:tcW w:w="1417" w:type="pct"/>
            <w:tcBorders>
              <w:top w:val="single" w:sz="4" w:space="0" w:color="auto"/>
              <w:bottom w:val="single" w:sz="4" w:space="0" w:color="auto"/>
            </w:tcBorders>
            <w:vAlign w:val="bottom"/>
          </w:tcPr>
          <w:p w14:paraId="26B9F9D6" w14:textId="77777777" w:rsidR="0033222F" w:rsidRPr="009B1322" w:rsidRDefault="0033222F" w:rsidP="00A12E52">
            <w:pPr>
              <w:pStyle w:val="Tabletext"/>
              <w:rPr>
                <w:snapToGrid w:val="0"/>
              </w:rPr>
            </w:pPr>
            <w:r w:rsidRPr="00295986">
              <w:t>1</w:t>
            </w:r>
            <w:r w:rsidR="00D7157D">
              <w:t>.</w:t>
            </w:r>
            <w:r w:rsidRPr="00295986">
              <w:t>605</w:t>
            </w:r>
          </w:p>
        </w:tc>
        <w:tc>
          <w:tcPr>
            <w:tcW w:w="1878" w:type="pct"/>
            <w:tcBorders>
              <w:top w:val="single" w:sz="4" w:space="0" w:color="auto"/>
              <w:bottom w:val="single" w:sz="4" w:space="0" w:color="auto"/>
            </w:tcBorders>
            <w:vAlign w:val="bottom"/>
          </w:tcPr>
          <w:p w14:paraId="47B248D4" w14:textId="77777777" w:rsidR="0033222F" w:rsidRPr="009B1322" w:rsidRDefault="0033222F" w:rsidP="00A12E52">
            <w:pPr>
              <w:pStyle w:val="Tabletext"/>
              <w:rPr>
                <w:snapToGrid w:val="0"/>
              </w:rPr>
            </w:pPr>
            <w:r w:rsidRPr="00295986">
              <w:t>0</w:t>
            </w:r>
            <w:r w:rsidR="00D7157D">
              <w:t>.</w:t>
            </w:r>
            <w:r w:rsidRPr="00295986">
              <w:t>412</w:t>
            </w:r>
          </w:p>
        </w:tc>
      </w:tr>
      <w:tr w:rsidR="0033222F" w:rsidRPr="009E2595" w14:paraId="1011F19C" w14:textId="77777777" w:rsidTr="00D32928">
        <w:trPr>
          <w:trHeight w:val="245"/>
          <w:jc w:val="right"/>
        </w:trPr>
        <w:tc>
          <w:tcPr>
            <w:tcW w:w="1705" w:type="pct"/>
            <w:tcBorders>
              <w:top w:val="single" w:sz="4" w:space="0" w:color="auto"/>
              <w:bottom w:val="single" w:sz="4" w:space="0" w:color="auto"/>
            </w:tcBorders>
          </w:tcPr>
          <w:p w14:paraId="3D2A4386" w14:textId="77777777" w:rsidR="0033222F" w:rsidRPr="00616B26" w:rsidRDefault="0033222F" w:rsidP="00A12E52">
            <w:pPr>
              <w:pStyle w:val="Tabletext"/>
              <w:rPr>
                <w:snapToGrid w:val="0"/>
              </w:rPr>
            </w:pPr>
            <w:r w:rsidRPr="00616B26">
              <w:rPr>
                <w:snapToGrid w:val="0"/>
              </w:rPr>
              <w:t>51</w:t>
            </w:r>
          </w:p>
        </w:tc>
        <w:tc>
          <w:tcPr>
            <w:tcW w:w="1417" w:type="pct"/>
            <w:tcBorders>
              <w:top w:val="single" w:sz="4" w:space="0" w:color="auto"/>
              <w:bottom w:val="single" w:sz="4" w:space="0" w:color="auto"/>
            </w:tcBorders>
            <w:vAlign w:val="bottom"/>
          </w:tcPr>
          <w:p w14:paraId="196D363C" w14:textId="77777777" w:rsidR="0033222F" w:rsidRPr="009B1322" w:rsidRDefault="0033222F" w:rsidP="00A12E52">
            <w:pPr>
              <w:pStyle w:val="Tabletext"/>
              <w:rPr>
                <w:snapToGrid w:val="0"/>
              </w:rPr>
            </w:pPr>
            <w:r w:rsidRPr="00295986">
              <w:t>1</w:t>
            </w:r>
            <w:r w:rsidR="00D7157D">
              <w:t>.</w:t>
            </w:r>
            <w:r w:rsidRPr="00295986">
              <w:t>364</w:t>
            </w:r>
          </w:p>
        </w:tc>
        <w:tc>
          <w:tcPr>
            <w:tcW w:w="1878" w:type="pct"/>
            <w:tcBorders>
              <w:top w:val="single" w:sz="4" w:space="0" w:color="auto"/>
              <w:bottom w:val="single" w:sz="4" w:space="0" w:color="auto"/>
            </w:tcBorders>
            <w:vAlign w:val="bottom"/>
          </w:tcPr>
          <w:p w14:paraId="0DC66B60" w14:textId="77777777" w:rsidR="0033222F" w:rsidRPr="009B1322" w:rsidRDefault="0033222F" w:rsidP="00A12E52">
            <w:pPr>
              <w:pStyle w:val="Tabletext"/>
              <w:rPr>
                <w:snapToGrid w:val="0"/>
              </w:rPr>
            </w:pPr>
            <w:r w:rsidRPr="00295986">
              <w:t>0</w:t>
            </w:r>
            <w:r w:rsidR="00D7157D">
              <w:t>.</w:t>
            </w:r>
            <w:r w:rsidRPr="00295986">
              <w:t>350</w:t>
            </w:r>
          </w:p>
        </w:tc>
      </w:tr>
      <w:tr w:rsidR="0033222F" w:rsidRPr="009E2595" w14:paraId="758AC2DF" w14:textId="77777777" w:rsidTr="00D32928">
        <w:trPr>
          <w:trHeight w:val="245"/>
          <w:jc w:val="right"/>
        </w:trPr>
        <w:tc>
          <w:tcPr>
            <w:tcW w:w="1705" w:type="pct"/>
            <w:tcBorders>
              <w:top w:val="single" w:sz="4" w:space="0" w:color="auto"/>
              <w:bottom w:val="single" w:sz="4" w:space="0" w:color="auto"/>
            </w:tcBorders>
          </w:tcPr>
          <w:p w14:paraId="1B6E95D6" w14:textId="77777777" w:rsidR="0033222F" w:rsidRPr="00616B26" w:rsidRDefault="0033222F" w:rsidP="00A12E52">
            <w:pPr>
              <w:pStyle w:val="Tabletext"/>
              <w:rPr>
                <w:snapToGrid w:val="0"/>
              </w:rPr>
            </w:pPr>
            <w:r w:rsidRPr="00616B26">
              <w:rPr>
                <w:snapToGrid w:val="0"/>
              </w:rPr>
              <w:t>52</w:t>
            </w:r>
          </w:p>
        </w:tc>
        <w:tc>
          <w:tcPr>
            <w:tcW w:w="1417" w:type="pct"/>
            <w:tcBorders>
              <w:top w:val="single" w:sz="4" w:space="0" w:color="auto"/>
              <w:bottom w:val="single" w:sz="4" w:space="0" w:color="auto"/>
            </w:tcBorders>
            <w:vAlign w:val="bottom"/>
          </w:tcPr>
          <w:p w14:paraId="7C76F400" w14:textId="77777777" w:rsidR="0033222F" w:rsidRPr="009B1322" w:rsidRDefault="0033222F" w:rsidP="00A12E52">
            <w:pPr>
              <w:pStyle w:val="Tabletext"/>
              <w:rPr>
                <w:snapToGrid w:val="0"/>
              </w:rPr>
            </w:pPr>
            <w:r w:rsidRPr="00295986">
              <w:t>1</w:t>
            </w:r>
            <w:r w:rsidR="00D7157D">
              <w:t>.</w:t>
            </w:r>
            <w:r w:rsidRPr="00295986">
              <w:t>124</w:t>
            </w:r>
          </w:p>
        </w:tc>
        <w:tc>
          <w:tcPr>
            <w:tcW w:w="1878" w:type="pct"/>
            <w:tcBorders>
              <w:top w:val="single" w:sz="4" w:space="0" w:color="auto"/>
              <w:bottom w:val="single" w:sz="4" w:space="0" w:color="auto"/>
            </w:tcBorders>
            <w:vAlign w:val="bottom"/>
          </w:tcPr>
          <w:p w14:paraId="7A7BAC37" w14:textId="77777777" w:rsidR="0033222F" w:rsidRPr="009B1322" w:rsidRDefault="0033222F" w:rsidP="00A12E52">
            <w:pPr>
              <w:pStyle w:val="Tabletext"/>
              <w:rPr>
                <w:snapToGrid w:val="0"/>
              </w:rPr>
            </w:pPr>
            <w:r w:rsidRPr="00295986">
              <w:t>0</w:t>
            </w:r>
            <w:r w:rsidR="00D7157D">
              <w:t>.</w:t>
            </w:r>
            <w:r w:rsidRPr="00295986">
              <w:t>288</w:t>
            </w:r>
          </w:p>
        </w:tc>
      </w:tr>
      <w:tr w:rsidR="0033222F" w:rsidRPr="009E2595" w14:paraId="1F5388F8" w14:textId="77777777" w:rsidTr="00D32928">
        <w:trPr>
          <w:trHeight w:val="245"/>
          <w:jc w:val="right"/>
        </w:trPr>
        <w:tc>
          <w:tcPr>
            <w:tcW w:w="1705" w:type="pct"/>
            <w:tcBorders>
              <w:top w:val="single" w:sz="4" w:space="0" w:color="auto"/>
              <w:bottom w:val="single" w:sz="4" w:space="0" w:color="auto"/>
            </w:tcBorders>
          </w:tcPr>
          <w:p w14:paraId="6762DFD1" w14:textId="77777777" w:rsidR="0033222F" w:rsidRPr="00616B26" w:rsidRDefault="0033222F" w:rsidP="00A12E52">
            <w:pPr>
              <w:pStyle w:val="Tabletext"/>
              <w:rPr>
                <w:snapToGrid w:val="0"/>
              </w:rPr>
            </w:pPr>
            <w:r w:rsidRPr="00616B26">
              <w:rPr>
                <w:snapToGrid w:val="0"/>
              </w:rPr>
              <w:t>53</w:t>
            </w:r>
          </w:p>
        </w:tc>
        <w:tc>
          <w:tcPr>
            <w:tcW w:w="1417" w:type="pct"/>
            <w:tcBorders>
              <w:top w:val="single" w:sz="4" w:space="0" w:color="auto"/>
              <w:bottom w:val="single" w:sz="4" w:space="0" w:color="auto"/>
            </w:tcBorders>
            <w:vAlign w:val="bottom"/>
          </w:tcPr>
          <w:p w14:paraId="57314A0A" w14:textId="77777777" w:rsidR="0033222F" w:rsidRPr="009B1322" w:rsidRDefault="0033222F" w:rsidP="00A12E52">
            <w:pPr>
              <w:pStyle w:val="Tabletext"/>
              <w:rPr>
                <w:snapToGrid w:val="0"/>
              </w:rPr>
            </w:pPr>
            <w:r w:rsidRPr="00295986">
              <w:t>0</w:t>
            </w:r>
            <w:r w:rsidR="00D7157D">
              <w:t>.</w:t>
            </w:r>
            <w:r w:rsidRPr="00295986">
              <w:t>883</w:t>
            </w:r>
          </w:p>
        </w:tc>
        <w:tc>
          <w:tcPr>
            <w:tcW w:w="1878" w:type="pct"/>
            <w:tcBorders>
              <w:top w:val="single" w:sz="4" w:space="0" w:color="auto"/>
              <w:bottom w:val="single" w:sz="4" w:space="0" w:color="auto"/>
            </w:tcBorders>
            <w:vAlign w:val="bottom"/>
          </w:tcPr>
          <w:p w14:paraId="18F237CE" w14:textId="77777777" w:rsidR="0033222F" w:rsidRPr="009B1322" w:rsidRDefault="0033222F" w:rsidP="00A12E52">
            <w:pPr>
              <w:pStyle w:val="Tabletext"/>
              <w:rPr>
                <w:snapToGrid w:val="0"/>
              </w:rPr>
            </w:pPr>
            <w:r w:rsidRPr="00295986">
              <w:t>0</w:t>
            </w:r>
            <w:r w:rsidR="00D7157D">
              <w:t>.</w:t>
            </w:r>
            <w:r w:rsidRPr="00295986">
              <w:t>227</w:t>
            </w:r>
          </w:p>
        </w:tc>
      </w:tr>
      <w:tr w:rsidR="0033222F" w:rsidRPr="009E2595" w14:paraId="22F5119C" w14:textId="77777777" w:rsidTr="00D32928">
        <w:trPr>
          <w:trHeight w:val="245"/>
          <w:jc w:val="right"/>
        </w:trPr>
        <w:tc>
          <w:tcPr>
            <w:tcW w:w="1705" w:type="pct"/>
            <w:tcBorders>
              <w:top w:val="single" w:sz="4" w:space="0" w:color="auto"/>
              <w:bottom w:val="single" w:sz="4" w:space="0" w:color="auto"/>
            </w:tcBorders>
          </w:tcPr>
          <w:p w14:paraId="62BA4F3C" w14:textId="77777777" w:rsidR="0033222F" w:rsidRPr="00616B26" w:rsidRDefault="0033222F" w:rsidP="00A12E52">
            <w:pPr>
              <w:pStyle w:val="Tabletext"/>
              <w:rPr>
                <w:snapToGrid w:val="0"/>
              </w:rPr>
            </w:pPr>
            <w:r w:rsidRPr="00616B26">
              <w:rPr>
                <w:snapToGrid w:val="0"/>
              </w:rPr>
              <w:t>54</w:t>
            </w:r>
          </w:p>
        </w:tc>
        <w:tc>
          <w:tcPr>
            <w:tcW w:w="1417" w:type="pct"/>
            <w:tcBorders>
              <w:top w:val="single" w:sz="4" w:space="0" w:color="auto"/>
              <w:bottom w:val="single" w:sz="4" w:space="0" w:color="auto"/>
            </w:tcBorders>
            <w:vAlign w:val="bottom"/>
          </w:tcPr>
          <w:p w14:paraId="207E9308" w14:textId="77777777" w:rsidR="0033222F" w:rsidRPr="009B1322" w:rsidRDefault="0033222F" w:rsidP="00A12E52">
            <w:pPr>
              <w:pStyle w:val="Tabletext"/>
              <w:rPr>
                <w:snapToGrid w:val="0"/>
              </w:rPr>
            </w:pPr>
            <w:r w:rsidRPr="00295986">
              <w:t>0</w:t>
            </w:r>
            <w:r w:rsidR="00D7157D">
              <w:t>.</w:t>
            </w:r>
            <w:r w:rsidRPr="00295986">
              <w:t>642</w:t>
            </w:r>
          </w:p>
        </w:tc>
        <w:tc>
          <w:tcPr>
            <w:tcW w:w="1878" w:type="pct"/>
            <w:tcBorders>
              <w:top w:val="single" w:sz="4" w:space="0" w:color="auto"/>
              <w:bottom w:val="single" w:sz="4" w:space="0" w:color="auto"/>
            </w:tcBorders>
            <w:vAlign w:val="bottom"/>
          </w:tcPr>
          <w:p w14:paraId="32DB5267" w14:textId="77777777" w:rsidR="0033222F" w:rsidRPr="009B1322" w:rsidRDefault="0033222F" w:rsidP="00A12E52">
            <w:pPr>
              <w:pStyle w:val="Tabletext"/>
              <w:rPr>
                <w:snapToGrid w:val="0"/>
              </w:rPr>
            </w:pPr>
            <w:r w:rsidRPr="00295986">
              <w:t>0</w:t>
            </w:r>
            <w:r w:rsidR="00D7157D">
              <w:t>.</w:t>
            </w:r>
            <w:r w:rsidRPr="00295986">
              <w:t>165</w:t>
            </w:r>
          </w:p>
        </w:tc>
      </w:tr>
      <w:tr w:rsidR="0033222F" w:rsidRPr="009E2595" w14:paraId="6C961376" w14:textId="77777777" w:rsidTr="00D32928">
        <w:trPr>
          <w:trHeight w:val="245"/>
          <w:jc w:val="right"/>
        </w:trPr>
        <w:tc>
          <w:tcPr>
            <w:tcW w:w="1705" w:type="pct"/>
            <w:tcBorders>
              <w:top w:val="single" w:sz="4" w:space="0" w:color="auto"/>
              <w:bottom w:val="single" w:sz="12" w:space="0" w:color="auto"/>
            </w:tcBorders>
          </w:tcPr>
          <w:p w14:paraId="2EB15F7F" w14:textId="77777777" w:rsidR="0033222F" w:rsidRPr="00616B26" w:rsidRDefault="0033222F" w:rsidP="00A12E52">
            <w:pPr>
              <w:pStyle w:val="Tabletext"/>
              <w:rPr>
                <w:snapToGrid w:val="0"/>
              </w:rPr>
            </w:pPr>
            <w:r w:rsidRPr="00616B26">
              <w:rPr>
                <w:snapToGrid w:val="0"/>
              </w:rPr>
              <w:t>55 and over</w:t>
            </w:r>
          </w:p>
        </w:tc>
        <w:tc>
          <w:tcPr>
            <w:tcW w:w="1417" w:type="pct"/>
            <w:tcBorders>
              <w:top w:val="single" w:sz="4" w:space="0" w:color="auto"/>
              <w:bottom w:val="single" w:sz="12" w:space="0" w:color="auto"/>
            </w:tcBorders>
            <w:vAlign w:val="bottom"/>
          </w:tcPr>
          <w:p w14:paraId="65A94C19" w14:textId="77777777" w:rsidR="0033222F" w:rsidRPr="009B1322" w:rsidRDefault="0033222F" w:rsidP="00A12E52">
            <w:pPr>
              <w:pStyle w:val="Tabletext"/>
              <w:rPr>
                <w:snapToGrid w:val="0"/>
              </w:rPr>
            </w:pPr>
            <w:r w:rsidRPr="00295986">
              <w:t>0</w:t>
            </w:r>
            <w:r w:rsidR="00D7157D">
              <w:t>.</w:t>
            </w:r>
            <w:r w:rsidRPr="00295986">
              <w:t>401</w:t>
            </w:r>
          </w:p>
        </w:tc>
        <w:tc>
          <w:tcPr>
            <w:tcW w:w="1878" w:type="pct"/>
            <w:tcBorders>
              <w:top w:val="single" w:sz="4" w:space="0" w:color="auto"/>
              <w:bottom w:val="single" w:sz="12" w:space="0" w:color="auto"/>
            </w:tcBorders>
            <w:vAlign w:val="bottom"/>
          </w:tcPr>
          <w:p w14:paraId="2AD9476E" w14:textId="77777777" w:rsidR="0033222F" w:rsidRPr="009B1322" w:rsidRDefault="0033222F" w:rsidP="00A12E52">
            <w:pPr>
              <w:pStyle w:val="Tabletext"/>
              <w:rPr>
                <w:snapToGrid w:val="0"/>
              </w:rPr>
            </w:pPr>
            <w:r w:rsidRPr="00295986">
              <w:t>0</w:t>
            </w:r>
            <w:r w:rsidR="00D7157D">
              <w:t>.</w:t>
            </w:r>
            <w:r w:rsidRPr="00295986">
              <w:t>103</w:t>
            </w:r>
          </w:p>
        </w:tc>
      </w:tr>
    </w:tbl>
    <w:p w14:paraId="5475812A" w14:textId="011B9184" w:rsidR="00950FB8" w:rsidRPr="00A058B6" w:rsidRDefault="00D7157D" w:rsidP="00950FB8">
      <w:pPr>
        <w:pStyle w:val="ActHead5"/>
      </w:pPr>
      <w:bookmarkStart w:id="259" w:name="_Toc188350737"/>
      <w:r w:rsidRPr="00423C34">
        <w:rPr>
          <w:rStyle w:val="CharSectno"/>
        </w:rPr>
        <w:t>21</w:t>
      </w:r>
      <w:r w:rsidR="00950FB8" w:rsidRPr="00B00225">
        <w:t xml:space="preserve">  Valuation factors—5</w:t>
      </w:r>
      <w:r w:rsidR="001952B3">
        <w:noBreakHyphen/>
      </w:r>
      <w:r w:rsidR="00950FB8" w:rsidRPr="00B00225">
        <w:t>year guarantee period—wage indexed pension</w:t>
      </w:r>
      <w:bookmarkEnd w:id="259"/>
    </w:p>
    <w:p w14:paraId="3AE9064B" w14:textId="77777777" w:rsidR="00950FB8" w:rsidRPr="00A058B6" w:rsidRDefault="00950FB8" w:rsidP="00950FB8">
      <w:pPr>
        <w:pStyle w:val="subsection"/>
      </w:pPr>
      <w:r w:rsidRPr="00A058B6">
        <w:tab/>
      </w:r>
      <w:r w:rsidRPr="00A058B6">
        <w:tab/>
        <w:t>The pension valuation factors and reversion valuation factors set out in this clause apply if the pension:</w:t>
      </w:r>
    </w:p>
    <w:p w14:paraId="18A34384" w14:textId="4DEBB80C" w:rsidR="00950FB8" w:rsidRPr="00A058B6" w:rsidRDefault="00950FB8" w:rsidP="00950FB8">
      <w:pPr>
        <w:pStyle w:val="paragraph"/>
      </w:pPr>
      <w:r w:rsidRPr="00A058B6">
        <w:tab/>
        <w:t>(a)</w:t>
      </w:r>
      <w:r w:rsidRPr="00A058B6">
        <w:tab/>
        <w:t>has a 5</w:t>
      </w:r>
      <w:r w:rsidR="001952B3">
        <w:noBreakHyphen/>
      </w:r>
      <w:r w:rsidRPr="00A058B6">
        <w:t>year guarantee period; and</w:t>
      </w:r>
    </w:p>
    <w:p w14:paraId="4A61D161" w14:textId="77777777" w:rsidR="00950FB8" w:rsidRPr="00A058B6" w:rsidRDefault="00950FB8" w:rsidP="007B6220">
      <w:pPr>
        <w:pStyle w:val="paragraph"/>
      </w:pPr>
      <w:r w:rsidRPr="00A058B6">
        <w:tab/>
        <w:t>(b)</w:t>
      </w:r>
      <w:r w:rsidRPr="00A058B6">
        <w:tab/>
        <w:t>is indexed in accordance with</w:t>
      </w:r>
      <w:r w:rsidR="007B6220">
        <w:t xml:space="preserve"> </w:t>
      </w:r>
      <w:r>
        <w:t xml:space="preserve">a </w:t>
      </w:r>
      <w:r w:rsidRPr="00A058B6">
        <w:t>general wage index (for example, average weekly earnings, or average weekly ordinary time earnings, published by the Australian Bureau of Statistics)</w:t>
      </w:r>
      <w:r w:rsidR="00D7157D">
        <w:t>.</w:t>
      </w:r>
    </w:p>
    <w:p w14:paraId="25AA5972" w14:textId="77777777" w:rsidR="00950FB8" w:rsidRPr="00A058B6" w:rsidRDefault="00950FB8" w:rsidP="00950FB8">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950FB8" w:rsidRPr="00A058B6" w14:paraId="2DCF9557" w14:textId="77777777" w:rsidTr="005B61BB">
        <w:trPr>
          <w:cantSplit/>
          <w:trHeight w:val="375"/>
          <w:tblHeader/>
          <w:jc w:val="right"/>
        </w:trPr>
        <w:tc>
          <w:tcPr>
            <w:tcW w:w="1705" w:type="pct"/>
            <w:vMerge w:val="restart"/>
            <w:tcBorders>
              <w:top w:val="single" w:sz="12" w:space="0" w:color="auto"/>
              <w:bottom w:val="single" w:sz="12" w:space="0" w:color="auto"/>
            </w:tcBorders>
          </w:tcPr>
          <w:p w14:paraId="133630C6" w14:textId="77777777" w:rsidR="00950FB8" w:rsidRPr="00A058B6" w:rsidRDefault="00950FB8" w:rsidP="005B61BB">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20F9E4E9" w14:textId="1C90F2B0" w:rsidR="00950FB8" w:rsidRPr="00A058B6" w:rsidRDefault="00950FB8" w:rsidP="005B61BB">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period—wage indexed pension</w:t>
            </w:r>
          </w:p>
        </w:tc>
      </w:tr>
      <w:tr w:rsidR="00950FB8" w:rsidRPr="00A058B6" w14:paraId="64465A6F" w14:textId="77777777" w:rsidTr="005B61BB">
        <w:trPr>
          <w:cantSplit/>
          <w:trHeight w:val="40"/>
          <w:tblHeader/>
          <w:jc w:val="right"/>
        </w:trPr>
        <w:tc>
          <w:tcPr>
            <w:tcW w:w="1705" w:type="pct"/>
            <w:vMerge/>
            <w:tcBorders>
              <w:bottom w:val="single" w:sz="12" w:space="0" w:color="auto"/>
            </w:tcBorders>
          </w:tcPr>
          <w:p w14:paraId="0FA0E427" w14:textId="77777777" w:rsidR="00950FB8" w:rsidRPr="00A058B6" w:rsidRDefault="00950FB8" w:rsidP="005B61BB">
            <w:pPr>
              <w:pStyle w:val="TableHeading"/>
              <w:rPr>
                <w:snapToGrid w:val="0"/>
              </w:rPr>
            </w:pPr>
          </w:p>
        </w:tc>
        <w:tc>
          <w:tcPr>
            <w:tcW w:w="1429" w:type="pct"/>
            <w:tcBorders>
              <w:bottom w:val="single" w:sz="12" w:space="0" w:color="auto"/>
            </w:tcBorders>
          </w:tcPr>
          <w:p w14:paraId="2A5D72D4" w14:textId="77777777" w:rsidR="00950FB8" w:rsidRPr="00A058B6" w:rsidRDefault="00950FB8" w:rsidP="005B61BB">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5E0AED81" w14:textId="77777777" w:rsidR="00950FB8" w:rsidRPr="00A058B6" w:rsidRDefault="00950FB8" w:rsidP="005B61BB">
            <w:pPr>
              <w:pStyle w:val="TableHeading"/>
              <w:rPr>
                <w:snapToGrid w:val="0"/>
              </w:rPr>
            </w:pPr>
            <w:r w:rsidRPr="00A058B6">
              <w:rPr>
                <w:snapToGrid w:val="0"/>
              </w:rPr>
              <w:t>Female</w:t>
            </w:r>
          </w:p>
        </w:tc>
      </w:tr>
      <w:tr w:rsidR="00E716FE" w:rsidRPr="009E2595" w14:paraId="6E2376C5" w14:textId="77777777" w:rsidTr="005B61BB">
        <w:trPr>
          <w:trHeight w:val="245"/>
          <w:jc w:val="right"/>
        </w:trPr>
        <w:tc>
          <w:tcPr>
            <w:tcW w:w="1705" w:type="pct"/>
            <w:tcBorders>
              <w:top w:val="single" w:sz="12" w:space="0" w:color="auto"/>
              <w:bottom w:val="single" w:sz="4" w:space="0" w:color="auto"/>
            </w:tcBorders>
          </w:tcPr>
          <w:p w14:paraId="7A0835BA" w14:textId="77777777" w:rsidR="00E716FE" w:rsidRPr="009B1322" w:rsidRDefault="00E716FE" w:rsidP="00E716FE">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280225DF" w14:textId="77777777" w:rsidR="00E716FE" w:rsidRPr="00E716FE" w:rsidRDefault="00E716FE" w:rsidP="00E716FE">
            <w:pPr>
              <w:pStyle w:val="Tabletext"/>
              <w:rPr>
                <w:snapToGrid w:val="0"/>
                <w:color w:val="000000" w:themeColor="text1"/>
              </w:rPr>
            </w:pPr>
            <w:r w:rsidRPr="00E716FE">
              <w:rPr>
                <w:color w:val="000000" w:themeColor="text1"/>
              </w:rPr>
              <w:t>23</w:t>
            </w:r>
            <w:r w:rsidR="00D7157D">
              <w:rPr>
                <w:color w:val="000000" w:themeColor="text1"/>
              </w:rPr>
              <w:t>.</w:t>
            </w:r>
            <w:r w:rsidRPr="00E716FE">
              <w:rPr>
                <w:color w:val="000000" w:themeColor="text1"/>
              </w:rPr>
              <w:t>5013</w:t>
            </w:r>
          </w:p>
        </w:tc>
        <w:tc>
          <w:tcPr>
            <w:tcW w:w="1866" w:type="pct"/>
            <w:tcBorders>
              <w:top w:val="single" w:sz="12" w:space="0" w:color="auto"/>
              <w:bottom w:val="single" w:sz="4" w:space="0" w:color="auto"/>
            </w:tcBorders>
            <w:vAlign w:val="center"/>
          </w:tcPr>
          <w:p w14:paraId="757394E1" w14:textId="77777777" w:rsidR="00E716FE" w:rsidRPr="00E716FE" w:rsidRDefault="00E716FE" w:rsidP="00E716FE">
            <w:pPr>
              <w:pStyle w:val="Tabletext"/>
              <w:rPr>
                <w:snapToGrid w:val="0"/>
                <w:color w:val="000000" w:themeColor="text1"/>
              </w:rPr>
            </w:pPr>
            <w:r w:rsidRPr="00E716FE">
              <w:rPr>
                <w:color w:val="000000" w:themeColor="text1"/>
              </w:rPr>
              <w:t>24</w:t>
            </w:r>
            <w:r w:rsidR="00D7157D">
              <w:rPr>
                <w:color w:val="000000" w:themeColor="text1"/>
              </w:rPr>
              <w:t>.</w:t>
            </w:r>
            <w:r w:rsidRPr="00E716FE">
              <w:rPr>
                <w:color w:val="000000" w:themeColor="text1"/>
              </w:rPr>
              <w:t>6750</w:t>
            </w:r>
          </w:p>
        </w:tc>
      </w:tr>
      <w:tr w:rsidR="00E716FE" w:rsidRPr="009E2595" w14:paraId="0C4F7371" w14:textId="77777777" w:rsidTr="005B61BB">
        <w:trPr>
          <w:trHeight w:val="245"/>
          <w:jc w:val="right"/>
        </w:trPr>
        <w:tc>
          <w:tcPr>
            <w:tcW w:w="1705" w:type="pct"/>
            <w:tcBorders>
              <w:top w:val="single" w:sz="4" w:space="0" w:color="auto"/>
              <w:bottom w:val="single" w:sz="4" w:space="0" w:color="auto"/>
            </w:tcBorders>
          </w:tcPr>
          <w:p w14:paraId="6190474B" w14:textId="77777777" w:rsidR="00E716FE" w:rsidRPr="009B1322" w:rsidRDefault="00E716FE" w:rsidP="00E716FE">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770BFF74" w14:textId="77777777" w:rsidR="00E716FE" w:rsidRPr="00E716FE" w:rsidRDefault="00E716FE" w:rsidP="00E716FE">
            <w:pPr>
              <w:pStyle w:val="Tabletext"/>
              <w:rPr>
                <w:snapToGrid w:val="0"/>
                <w:color w:val="000000" w:themeColor="text1"/>
              </w:rPr>
            </w:pPr>
            <w:r w:rsidRPr="00E716FE">
              <w:rPr>
                <w:color w:val="000000" w:themeColor="text1"/>
              </w:rPr>
              <w:t>23</w:t>
            </w:r>
            <w:r w:rsidR="00D7157D">
              <w:rPr>
                <w:color w:val="000000" w:themeColor="text1"/>
              </w:rPr>
              <w:t>.</w:t>
            </w:r>
            <w:r w:rsidRPr="00E716FE">
              <w:rPr>
                <w:color w:val="000000" w:themeColor="text1"/>
              </w:rPr>
              <w:t>0141</w:t>
            </w:r>
          </w:p>
        </w:tc>
        <w:tc>
          <w:tcPr>
            <w:tcW w:w="1866" w:type="pct"/>
            <w:tcBorders>
              <w:top w:val="single" w:sz="4" w:space="0" w:color="auto"/>
              <w:bottom w:val="single" w:sz="4" w:space="0" w:color="auto"/>
            </w:tcBorders>
            <w:vAlign w:val="center"/>
          </w:tcPr>
          <w:p w14:paraId="225404F8" w14:textId="77777777" w:rsidR="00E716FE" w:rsidRPr="00E716FE" w:rsidRDefault="00E716FE" w:rsidP="00E716FE">
            <w:pPr>
              <w:pStyle w:val="Tabletext"/>
              <w:rPr>
                <w:snapToGrid w:val="0"/>
                <w:color w:val="000000" w:themeColor="text1"/>
              </w:rPr>
            </w:pPr>
            <w:r w:rsidRPr="00E716FE">
              <w:rPr>
                <w:color w:val="000000" w:themeColor="text1"/>
              </w:rPr>
              <w:t>24</w:t>
            </w:r>
            <w:r w:rsidR="00D7157D">
              <w:rPr>
                <w:color w:val="000000" w:themeColor="text1"/>
              </w:rPr>
              <w:t>.</w:t>
            </w:r>
            <w:r w:rsidRPr="00E716FE">
              <w:rPr>
                <w:color w:val="000000" w:themeColor="text1"/>
              </w:rPr>
              <w:t>1994</w:t>
            </w:r>
          </w:p>
        </w:tc>
      </w:tr>
      <w:tr w:rsidR="00E716FE" w:rsidRPr="009E2595" w14:paraId="7623E7AD" w14:textId="77777777" w:rsidTr="005B61BB">
        <w:trPr>
          <w:trHeight w:val="245"/>
          <w:jc w:val="right"/>
        </w:trPr>
        <w:tc>
          <w:tcPr>
            <w:tcW w:w="1705" w:type="pct"/>
            <w:tcBorders>
              <w:top w:val="single" w:sz="4" w:space="0" w:color="auto"/>
              <w:bottom w:val="single" w:sz="4" w:space="0" w:color="auto"/>
            </w:tcBorders>
          </w:tcPr>
          <w:p w14:paraId="5F0C6541" w14:textId="77777777" w:rsidR="00E716FE" w:rsidRPr="009B1322" w:rsidRDefault="00E716FE" w:rsidP="00E716FE">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79955915" w14:textId="77777777" w:rsidR="00E716FE" w:rsidRPr="00E716FE" w:rsidRDefault="00E716FE" w:rsidP="00E716FE">
            <w:pPr>
              <w:pStyle w:val="Tabletext"/>
              <w:rPr>
                <w:snapToGrid w:val="0"/>
                <w:color w:val="000000" w:themeColor="text1"/>
              </w:rPr>
            </w:pPr>
            <w:r w:rsidRPr="00E716FE">
              <w:rPr>
                <w:color w:val="000000" w:themeColor="text1"/>
              </w:rPr>
              <w:t>22</w:t>
            </w:r>
            <w:r w:rsidR="00D7157D">
              <w:rPr>
                <w:color w:val="000000" w:themeColor="text1"/>
              </w:rPr>
              <w:t>.</w:t>
            </w:r>
            <w:r w:rsidRPr="00E716FE">
              <w:rPr>
                <w:color w:val="000000" w:themeColor="text1"/>
              </w:rPr>
              <w:t>5168</w:t>
            </w:r>
          </w:p>
        </w:tc>
        <w:tc>
          <w:tcPr>
            <w:tcW w:w="1866" w:type="pct"/>
            <w:tcBorders>
              <w:top w:val="single" w:sz="4" w:space="0" w:color="auto"/>
              <w:bottom w:val="single" w:sz="4" w:space="0" w:color="auto"/>
            </w:tcBorders>
            <w:vAlign w:val="center"/>
          </w:tcPr>
          <w:p w14:paraId="71877F19" w14:textId="77777777" w:rsidR="00E716FE" w:rsidRPr="00E716FE" w:rsidRDefault="00E716FE" w:rsidP="00E716FE">
            <w:pPr>
              <w:pStyle w:val="Tabletext"/>
              <w:rPr>
                <w:snapToGrid w:val="0"/>
                <w:color w:val="000000" w:themeColor="text1"/>
              </w:rPr>
            </w:pPr>
            <w:r w:rsidRPr="00E716FE">
              <w:rPr>
                <w:color w:val="000000" w:themeColor="text1"/>
              </w:rPr>
              <w:t>23</w:t>
            </w:r>
            <w:r w:rsidR="00D7157D">
              <w:rPr>
                <w:color w:val="000000" w:themeColor="text1"/>
              </w:rPr>
              <w:t>.</w:t>
            </w:r>
            <w:r w:rsidRPr="00E716FE">
              <w:rPr>
                <w:color w:val="000000" w:themeColor="text1"/>
              </w:rPr>
              <w:t>7152</w:t>
            </w:r>
          </w:p>
        </w:tc>
      </w:tr>
      <w:tr w:rsidR="00E716FE" w:rsidRPr="009E2595" w14:paraId="181AB7F6" w14:textId="77777777" w:rsidTr="005B61BB">
        <w:trPr>
          <w:trHeight w:val="245"/>
          <w:jc w:val="right"/>
        </w:trPr>
        <w:tc>
          <w:tcPr>
            <w:tcW w:w="1705" w:type="pct"/>
            <w:tcBorders>
              <w:top w:val="single" w:sz="4" w:space="0" w:color="auto"/>
              <w:bottom w:val="single" w:sz="4" w:space="0" w:color="auto"/>
            </w:tcBorders>
          </w:tcPr>
          <w:p w14:paraId="5A7BD2F4" w14:textId="77777777" w:rsidR="00E716FE" w:rsidRPr="009B1322" w:rsidRDefault="00E716FE" w:rsidP="00E716FE">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5B58C543" w14:textId="77777777" w:rsidR="00E716FE" w:rsidRPr="00E716FE" w:rsidRDefault="00E716FE" w:rsidP="00E716FE">
            <w:pPr>
              <w:pStyle w:val="Tabletext"/>
              <w:rPr>
                <w:snapToGrid w:val="0"/>
                <w:color w:val="000000" w:themeColor="text1"/>
              </w:rPr>
            </w:pPr>
            <w:r w:rsidRPr="00E716FE">
              <w:rPr>
                <w:color w:val="000000" w:themeColor="text1"/>
              </w:rPr>
              <w:t>22</w:t>
            </w:r>
            <w:r w:rsidR="00D7157D">
              <w:rPr>
                <w:color w:val="000000" w:themeColor="text1"/>
              </w:rPr>
              <w:t>.</w:t>
            </w:r>
            <w:r w:rsidRPr="00E716FE">
              <w:rPr>
                <w:color w:val="000000" w:themeColor="text1"/>
              </w:rPr>
              <w:t>0091</w:t>
            </w:r>
          </w:p>
        </w:tc>
        <w:tc>
          <w:tcPr>
            <w:tcW w:w="1866" w:type="pct"/>
            <w:tcBorders>
              <w:top w:val="single" w:sz="4" w:space="0" w:color="auto"/>
              <w:bottom w:val="single" w:sz="4" w:space="0" w:color="auto"/>
            </w:tcBorders>
            <w:vAlign w:val="center"/>
          </w:tcPr>
          <w:p w14:paraId="77948762" w14:textId="77777777" w:rsidR="00E716FE" w:rsidRPr="00E716FE" w:rsidRDefault="00E716FE" w:rsidP="00E716FE">
            <w:pPr>
              <w:pStyle w:val="Tabletext"/>
              <w:rPr>
                <w:snapToGrid w:val="0"/>
                <w:color w:val="000000" w:themeColor="text1"/>
              </w:rPr>
            </w:pPr>
            <w:r w:rsidRPr="00E716FE">
              <w:rPr>
                <w:color w:val="000000" w:themeColor="text1"/>
              </w:rPr>
              <w:t>23</w:t>
            </w:r>
            <w:r w:rsidR="00D7157D">
              <w:rPr>
                <w:color w:val="000000" w:themeColor="text1"/>
              </w:rPr>
              <w:t>.</w:t>
            </w:r>
            <w:r w:rsidRPr="00E716FE">
              <w:rPr>
                <w:color w:val="000000" w:themeColor="text1"/>
              </w:rPr>
              <w:t>2215</w:t>
            </w:r>
          </w:p>
        </w:tc>
      </w:tr>
      <w:tr w:rsidR="00E716FE" w:rsidRPr="009E2595" w14:paraId="277C0B0F" w14:textId="77777777" w:rsidTr="005B61BB">
        <w:trPr>
          <w:trHeight w:val="245"/>
          <w:jc w:val="right"/>
        </w:trPr>
        <w:tc>
          <w:tcPr>
            <w:tcW w:w="1705" w:type="pct"/>
            <w:tcBorders>
              <w:top w:val="single" w:sz="4" w:space="0" w:color="auto"/>
              <w:bottom w:val="single" w:sz="4" w:space="0" w:color="auto"/>
            </w:tcBorders>
          </w:tcPr>
          <w:p w14:paraId="5410077F" w14:textId="77777777" w:rsidR="00E716FE" w:rsidRPr="009B1322" w:rsidRDefault="00E716FE" w:rsidP="00E716FE">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05FC76A5" w14:textId="77777777" w:rsidR="00E716FE" w:rsidRPr="00E716FE" w:rsidRDefault="00E716FE" w:rsidP="00E716FE">
            <w:pPr>
              <w:pStyle w:val="Tabletext"/>
              <w:rPr>
                <w:snapToGrid w:val="0"/>
                <w:color w:val="000000" w:themeColor="text1"/>
              </w:rPr>
            </w:pPr>
            <w:r w:rsidRPr="00E716FE">
              <w:rPr>
                <w:color w:val="000000" w:themeColor="text1"/>
              </w:rPr>
              <w:t>21</w:t>
            </w:r>
            <w:r w:rsidR="00D7157D">
              <w:rPr>
                <w:color w:val="000000" w:themeColor="text1"/>
              </w:rPr>
              <w:t>.</w:t>
            </w:r>
            <w:r w:rsidRPr="00E716FE">
              <w:rPr>
                <w:color w:val="000000" w:themeColor="text1"/>
              </w:rPr>
              <w:t>4907</w:t>
            </w:r>
          </w:p>
        </w:tc>
        <w:tc>
          <w:tcPr>
            <w:tcW w:w="1866" w:type="pct"/>
            <w:tcBorders>
              <w:top w:val="single" w:sz="4" w:space="0" w:color="auto"/>
              <w:bottom w:val="single" w:sz="4" w:space="0" w:color="auto"/>
            </w:tcBorders>
            <w:vAlign w:val="center"/>
          </w:tcPr>
          <w:p w14:paraId="416053CF" w14:textId="77777777" w:rsidR="00E716FE" w:rsidRPr="00E716FE" w:rsidRDefault="00E716FE" w:rsidP="00E716FE">
            <w:pPr>
              <w:pStyle w:val="Tabletext"/>
              <w:rPr>
                <w:snapToGrid w:val="0"/>
                <w:color w:val="000000" w:themeColor="text1"/>
              </w:rPr>
            </w:pPr>
            <w:r w:rsidRPr="00E716FE">
              <w:rPr>
                <w:color w:val="000000" w:themeColor="text1"/>
              </w:rPr>
              <w:t>22</w:t>
            </w:r>
            <w:r w:rsidR="00D7157D">
              <w:rPr>
                <w:color w:val="000000" w:themeColor="text1"/>
              </w:rPr>
              <w:t>.</w:t>
            </w:r>
            <w:r w:rsidRPr="00E716FE">
              <w:rPr>
                <w:color w:val="000000" w:themeColor="text1"/>
              </w:rPr>
              <w:t>7178</w:t>
            </w:r>
          </w:p>
        </w:tc>
      </w:tr>
      <w:tr w:rsidR="00E716FE" w:rsidRPr="009E2595" w14:paraId="355BA0A9" w14:textId="77777777" w:rsidTr="005B61BB">
        <w:trPr>
          <w:trHeight w:val="245"/>
          <w:jc w:val="right"/>
        </w:trPr>
        <w:tc>
          <w:tcPr>
            <w:tcW w:w="1705" w:type="pct"/>
            <w:tcBorders>
              <w:top w:val="single" w:sz="4" w:space="0" w:color="auto"/>
              <w:bottom w:val="single" w:sz="4" w:space="0" w:color="auto"/>
            </w:tcBorders>
          </w:tcPr>
          <w:p w14:paraId="5CC116A3" w14:textId="77777777" w:rsidR="00E716FE" w:rsidRPr="009B1322" w:rsidRDefault="00E716FE" w:rsidP="00E716FE">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768E6366" w14:textId="77777777" w:rsidR="00E716FE" w:rsidRPr="00E716FE" w:rsidRDefault="00E716FE" w:rsidP="00E716FE">
            <w:pPr>
              <w:pStyle w:val="Tabletext"/>
              <w:rPr>
                <w:snapToGrid w:val="0"/>
                <w:color w:val="000000" w:themeColor="text1"/>
              </w:rPr>
            </w:pPr>
            <w:r w:rsidRPr="00E716FE">
              <w:rPr>
                <w:color w:val="000000" w:themeColor="text1"/>
              </w:rPr>
              <w:t>20</w:t>
            </w:r>
            <w:r w:rsidR="00D7157D">
              <w:rPr>
                <w:color w:val="000000" w:themeColor="text1"/>
              </w:rPr>
              <w:t>.</w:t>
            </w:r>
            <w:r w:rsidRPr="00E716FE">
              <w:rPr>
                <w:color w:val="000000" w:themeColor="text1"/>
              </w:rPr>
              <w:t>9618</w:t>
            </w:r>
          </w:p>
        </w:tc>
        <w:tc>
          <w:tcPr>
            <w:tcW w:w="1866" w:type="pct"/>
            <w:tcBorders>
              <w:top w:val="single" w:sz="4" w:space="0" w:color="auto"/>
              <w:bottom w:val="single" w:sz="4" w:space="0" w:color="auto"/>
            </w:tcBorders>
            <w:vAlign w:val="center"/>
          </w:tcPr>
          <w:p w14:paraId="4F882761" w14:textId="77777777" w:rsidR="00E716FE" w:rsidRPr="00E716FE" w:rsidRDefault="00E716FE" w:rsidP="00E716FE">
            <w:pPr>
              <w:pStyle w:val="Tabletext"/>
              <w:rPr>
                <w:snapToGrid w:val="0"/>
                <w:color w:val="000000" w:themeColor="text1"/>
              </w:rPr>
            </w:pPr>
            <w:r w:rsidRPr="00E716FE">
              <w:rPr>
                <w:color w:val="000000" w:themeColor="text1"/>
              </w:rPr>
              <w:t>22</w:t>
            </w:r>
            <w:r w:rsidR="00D7157D">
              <w:rPr>
                <w:color w:val="000000" w:themeColor="text1"/>
              </w:rPr>
              <w:t>.</w:t>
            </w:r>
            <w:r w:rsidRPr="00E716FE">
              <w:rPr>
                <w:color w:val="000000" w:themeColor="text1"/>
              </w:rPr>
              <w:t>2039</w:t>
            </w:r>
          </w:p>
        </w:tc>
      </w:tr>
      <w:tr w:rsidR="00E716FE" w:rsidRPr="009E2595" w14:paraId="1E8DFC8A" w14:textId="77777777" w:rsidTr="005B61BB">
        <w:trPr>
          <w:trHeight w:val="245"/>
          <w:jc w:val="right"/>
        </w:trPr>
        <w:tc>
          <w:tcPr>
            <w:tcW w:w="1705" w:type="pct"/>
            <w:tcBorders>
              <w:top w:val="single" w:sz="4" w:space="0" w:color="auto"/>
              <w:bottom w:val="single" w:sz="4" w:space="0" w:color="auto"/>
            </w:tcBorders>
          </w:tcPr>
          <w:p w14:paraId="172F46DE" w14:textId="77777777" w:rsidR="00E716FE" w:rsidRPr="009B1322" w:rsidRDefault="00E716FE" w:rsidP="00E716FE">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0BBE7377" w14:textId="77777777" w:rsidR="00E716FE" w:rsidRPr="00E716FE" w:rsidRDefault="00E716FE" w:rsidP="00E716FE">
            <w:pPr>
              <w:pStyle w:val="Tabletext"/>
              <w:rPr>
                <w:snapToGrid w:val="0"/>
                <w:color w:val="000000" w:themeColor="text1"/>
              </w:rPr>
            </w:pPr>
            <w:r w:rsidRPr="00E716FE">
              <w:rPr>
                <w:color w:val="000000" w:themeColor="text1"/>
              </w:rPr>
              <w:t>20</w:t>
            </w:r>
            <w:r w:rsidR="00D7157D">
              <w:rPr>
                <w:color w:val="000000" w:themeColor="text1"/>
              </w:rPr>
              <w:t>.</w:t>
            </w:r>
            <w:r w:rsidRPr="00E716FE">
              <w:rPr>
                <w:color w:val="000000" w:themeColor="text1"/>
              </w:rPr>
              <w:t>4229</w:t>
            </w:r>
          </w:p>
        </w:tc>
        <w:tc>
          <w:tcPr>
            <w:tcW w:w="1866" w:type="pct"/>
            <w:tcBorders>
              <w:top w:val="single" w:sz="4" w:space="0" w:color="auto"/>
              <w:bottom w:val="single" w:sz="4" w:space="0" w:color="auto"/>
            </w:tcBorders>
            <w:vAlign w:val="center"/>
          </w:tcPr>
          <w:p w14:paraId="24605447" w14:textId="77777777" w:rsidR="00E716FE" w:rsidRPr="00E716FE" w:rsidRDefault="00E716FE" w:rsidP="00E716FE">
            <w:pPr>
              <w:pStyle w:val="Tabletext"/>
              <w:rPr>
                <w:snapToGrid w:val="0"/>
                <w:color w:val="000000" w:themeColor="text1"/>
              </w:rPr>
            </w:pPr>
            <w:r w:rsidRPr="00E716FE">
              <w:rPr>
                <w:color w:val="000000" w:themeColor="text1"/>
              </w:rPr>
              <w:t>21</w:t>
            </w:r>
            <w:r w:rsidR="00D7157D">
              <w:rPr>
                <w:color w:val="000000" w:themeColor="text1"/>
              </w:rPr>
              <w:t>.</w:t>
            </w:r>
            <w:r w:rsidRPr="00E716FE">
              <w:rPr>
                <w:color w:val="000000" w:themeColor="text1"/>
              </w:rPr>
              <w:t>6792</w:t>
            </w:r>
          </w:p>
        </w:tc>
      </w:tr>
      <w:tr w:rsidR="00E716FE" w:rsidRPr="009E2595" w14:paraId="27729CDE" w14:textId="77777777" w:rsidTr="005B61BB">
        <w:trPr>
          <w:trHeight w:val="245"/>
          <w:jc w:val="right"/>
        </w:trPr>
        <w:tc>
          <w:tcPr>
            <w:tcW w:w="1705" w:type="pct"/>
            <w:tcBorders>
              <w:top w:val="single" w:sz="4" w:space="0" w:color="auto"/>
              <w:bottom w:val="single" w:sz="4" w:space="0" w:color="auto"/>
            </w:tcBorders>
          </w:tcPr>
          <w:p w14:paraId="481DFE51" w14:textId="77777777" w:rsidR="00E716FE" w:rsidRPr="009B1322" w:rsidRDefault="00E716FE" w:rsidP="00E716FE">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41B24E81" w14:textId="77777777" w:rsidR="00E716FE" w:rsidRPr="00E716FE" w:rsidRDefault="00E716FE" w:rsidP="00E716FE">
            <w:pPr>
              <w:pStyle w:val="Tabletext"/>
              <w:rPr>
                <w:snapToGrid w:val="0"/>
                <w:color w:val="000000" w:themeColor="text1"/>
              </w:rPr>
            </w:pPr>
            <w:r w:rsidRPr="00E716FE">
              <w:rPr>
                <w:color w:val="000000" w:themeColor="text1"/>
              </w:rPr>
              <w:t>19</w:t>
            </w:r>
            <w:r w:rsidR="00D7157D">
              <w:rPr>
                <w:color w:val="000000" w:themeColor="text1"/>
              </w:rPr>
              <w:t>.</w:t>
            </w:r>
            <w:r w:rsidRPr="00E716FE">
              <w:rPr>
                <w:color w:val="000000" w:themeColor="text1"/>
              </w:rPr>
              <w:t>8741</w:t>
            </w:r>
          </w:p>
        </w:tc>
        <w:tc>
          <w:tcPr>
            <w:tcW w:w="1866" w:type="pct"/>
            <w:tcBorders>
              <w:top w:val="single" w:sz="4" w:space="0" w:color="auto"/>
              <w:bottom w:val="single" w:sz="4" w:space="0" w:color="auto"/>
            </w:tcBorders>
            <w:vAlign w:val="center"/>
          </w:tcPr>
          <w:p w14:paraId="707A85F9" w14:textId="77777777" w:rsidR="00E716FE" w:rsidRPr="00E716FE" w:rsidRDefault="00E716FE" w:rsidP="00E716FE">
            <w:pPr>
              <w:pStyle w:val="Tabletext"/>
              <w:rPr>
                <w:snapToGrid w:val="0"/>
                <w:color w:val="000000" w:themeColor="text1"/>
              </w:rPr>
            </w:pPr>
            <w:r w:rsidRPr="00E716FE">
              <w:rPr>
                <w:color w:val="000000" w:themeColor="text1"/>
              </w:rPr>
              <w:t>21</w:t>
            </w:r>
            <w:r w:rsidR="00D7157D">
              <w:rPr>
                <w:color w:val="000000" w:themeColor="text1"/>
              </w:rPr>
              <w:t>.</w:t>
            </w:r>
            <w:r w:rsidRPr="00E716FE">
              <w:rPr>
                <w:color w:val="000000" w:themeColor="text1"/>
              </w:rPr>
              <w:t>1448</w:t>
            </w:r>
          </w:p>
        </w:tc>
      </w:tr>
      <w:tr w:rsidR="00E716FE" w:rsidRPr="009E2595" w14:paraId="30B18100" w14:textId="77777777" w:rsidTr="005B61BB">
        <w:trPr>
          <w:trHeight w:val="245"/>
          <w:jc w:val="right"/>
        </w:trPr>
        <w:tc>
          <w:tcPr>
            <w:tcW w:w="1705" w:type="pct"/>
            <w:tcBorders>
              <w:top w:val="single" w:sz="4" w:space="0" w:color="auto"/>
              <w:bottom w:val="single" w:sz="4" w:space="0" w:color="auto"/>
            </w:tcBorders>
          </w:tcPr>
          <w:p w14:paraId="72F8AA6A" w14:textId="77777777" w:rsidR="00E716FE" w:rsidRPr="009B1322" w:rsidRDefault="00E716FE" w:rsidP="00E716FE">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48AEA66F" w14:textId="77777777" w:rsidR="00E716FE" w:rsidRPr="00E716FE" w:rsidRDefault="00E716FE" w:rsidP="00E716FE">
            <w:pPr>
              <w:pStyle w:val="Tabletext"/>
              <w:rPr>
                <w:snapToGrid w:val="0"/>
                <w:color w:val="000000" w:themeColor="text1"/>
              </w:rPr>
            </w:pPr>
            <w:r w:rsidRPr="00E716FE">
              <w:rPr>
                <w:color w:val="000000" w:themeColor="text1"/>
              </w:rPr>
              <w:t>19</w:t>
            </w:r>
            <w:r w:rsidR="00D7157D">
              <w:rPr>
                <w:color w:val="000000" w:themeColor="text1"/>
              </w:rPr>
              <w:t>.</w:t>
            </w:r>
            <w:r w:rsidRPr="00E716FE">
              <w:rPr>
                <w:color w:val="000000" w:themeColor="text1"/>
              </w:rPr>
              <w:t>3160</w:t>
            </w:r>
          </w:p>
        </w:tc>
        <w:tc>
          <w:tcPr>
            <w:tcW w:w="1866" w:type="pct"/>
            <w:tcBorders>
              <w:top w:val="single" w:sz="4" w:space="0" w:color="auto"/>
              <w:bottom w:val="single" w:sz="4" w:space="0" w:color="auto"/>
            </w:tcBorders>
            <w:vAlign w:val="center"/>
          </w:tcPr>
          <w:p w14:paraId="6F33C8F6" w14:textId="77777777" w:rsidR="00E716FE" w:rsidRPr="00E716FE" w:rsidRDefault="00E716FE" w:rsidP="00E716FE">
            <w:pPr>
              <w:pStyle w:val="Tabletext"/>
              <w:rPr>
                <w:snapToGrid w:val="0"/>
                <w:color w:val="000000" w:themeColor="text1"/>
              </w:rPr>
            </w:pPr>
            <w:r w:rsidRPr="00E716FE">
              <w:rPr>
                <w:color w:val="000000" w:themeColor="text1"/>
              </w:rPr>
              <w:t>20</w:t>
            </w:r>
            <w:r w:rsidR="00D7157D">
              <w:rPr>
                <w:color w:val="000000" w:themeColor="text1"/>
              </w:rPr>
              <w:t>.</w:t>
            </w:r>
            <w:r w:rsidRPr="00E716FE">
              <w:rPr>
                <w:color w:val="000000" w:themeColor="text1"/>
              </w:rPr>
              <w:t>6008</w:t>
            </w:r>
          </w:p>
        </w:tc>
      </w:tr>
      <w:tr w:rsidR="00E716FE" w:rsidRPr="009E2595" w14:paraId="6B8567CA" w14:textId="77777777" w:rsidTr="005B61BB">
        <w:trPr>
          <w:trHeight w:val="245"/>
          <w:jc w:val="right"/>
        </w:trPr>
        <w:tc>
          <w:tcPr>
            <w:tcW w:w="1705" w:type="pct"/>
            <w:tcBorders>
              <w:top w:val="single" w:sz="4" w:space="0" w:color="auto"/>
              <w:bottom w:val="single" w:sz="4" w:space="0" w:color="auto"/>
            </w:tcBorders>
          </w:tcPr>
          <w:p w14:paraId="24AEABC0" w14:textId="77777777" w:rsidR="00E716FE" w:rsidRPr="009B1322" w:rsidRDefault="00E716FE" w:rsidP="00E716FE">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5BFFBAEB" w14:textId="77777777" w:rsidR="00E716FE" w:rsidRPr="00E716FE" w:rsidRDefault="00E716FE" w:rsidP="00E716FE">
            <w:pPr>
              <w:pStyle w:val="Tabletext"/>
              <w:rPr>
                <w:snapToGrid w:val="0"/>
                <w:color w:val="000000" w:themeColor="text1"/>
              </w:rPr>
            </w:pPr>
            <w:r w:rsidRPr="00E716FE">
              <w:rPr>
                <w:color w:val="000000" w:themeColor="text1"/>
              </w:rPr>
              <w:t>18</w:t>
            </w:r>
            <w:r w:rsidR="00D7157D">
              <w:rPr>
                <w:color w:val="000000" w:themeColor="text1"/>
              </w:rPr>
              <w:t>.</w:t>
            </w:r>
            <w:r w:rsidRPr="00E716FE">
              <w:rPr>
                <w:color w:val="000000" w:themeColor="text1"/>
              </w:rPr>
              <w:t>7488</w:t>
            </w:r>
          </w:p>
        </w:tc>
        <w:tc>
          <w:tcPr>
            <w:tcW w:w="1866" w:type="pct"/>
            <w:tcBorders>
              <w:top w:val="single" w:sz="4" w:space="0" w:color="auto"/>
              <w:bottom w:val="single" w:sz="4" w:space="0" w:color="auto"/>
            </w:tcBorders>
            <w:vAlign w:val="center"/>
          </w:tcPr>
          <w:p w14:paraId="7CB29EDC" w14:textId="77777777" w:rsidR="00E716FE" w:rsidRPr="00E716FE" w:rsidRDefault="00E716FE" w:rsidP="00E716FE">
            <w:pPr>
              <w:pStyle w:val="Tabletext"/>
              <w:rPr>
                <w:snapToGrid w:val="0"/>
                <w:color w:val="000000" w:themeColor="text1"/>
              </w:rPr>
            </w:pPr>
            <w:r w:rsidRPr="00E716FE">
              <w:rPr>
                <w:color w:val="000000" w:themeColor="text1"/>
              </w:rPr>
              <w:t>20</w:t>
            </w:r>
            <w:r w:rsidR="00D7157D">
              <w:rPr>
                <w:color w:val="000000" w:themeColor="text1"/>
              </w:rPr>
              <w:t>.</w:t>
            </w:r>
            <w:r w:rsidRPr="00E716FE">
              <w:rPr>
                <w:color w:val="000000" w:themeColor="text1"/>
              </w:rPr>
              <w:t>0474</w:t>
            </w:r>
          </w:p>
        </w:tc>
      </w:tr>
      <w:tr w:rsidR="00E716FE" w:rsidRPr="009E2595" w14:paraId="2A6AD730" w14:textId="77777777" w:rsidTr="005B61BB">
        <w:trPr>
          <w:trHeight w:val="245"/>
          <w:jc w:val="right"/>
        </w:trPr>
        <w:tc>
          <w:tcPr>
            <w:tcW w:w="1705" w:type="pct"/>
            <w:tcBorders>
              <w:top w:val="single" w:sz="4" w:space="0" w:color="auto"/>
              <w:bottom w:val="single" w:sz="12" w:space="0" w:color="auto"/>
            </w:tcBorders>
          </w:tcPr>
          <w:p w14:paraId="77EB929C" w14:textId="77777777" w:rsidR="00E716FE" w:rsidRPr="009B1322" w:rsidRDefault="00E716FE" w:rsidP="00E716FE">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23646FF9" w14:textId="77777777" w:rsidR="00E716FE" w:rsidRPr="00E716FE" w:rsidRDefault="00E716FE" w:rsidP="00E716FE">
            <w:pPr>
              <w:pStyle w:val="Tabletext"/>
              <w:rPr>
                <w:snapToGrid w:val="0"/>
                <w:color w:val="000000" w:themeColor="text1"/>
              </w:rPr>
            </w:pPr>
            <w:r w:rsidRPr="00E716FE">
              <w:rPr>
                <w:color w:val="000000" w:themeColor="text1"/>
              </w:rPr>
              <w:t>18</w:t>
            </w:r>
            <w:r w:rsidR="00D7157D">
              <w:rPr>
                <w:color w:val="000000" w:themeColor="text1"/>
              </w:rPr>
              <w:t>.</w:t>
            </w:r>
            <w:r w:rsidRPr="00E716FE">
              <w:rPr>
                <w:color w:val="000000" w:themeColor="text1"/>
              </w:rPr>
              <w:t>1746</w:t>
            </w:r>
          </w:p>
        </w:tc>
        <w:tc>
          <w:tcPr>
            <w:tcW w:w="1866" w:type="pct"/>
            <w:tcBorders>
              <w:top w:val="single" w:sz="4" w:space="0" w:color="auto"/>
              <w:bottom w:val="single" w:sz="12" w:space="0" w:color="auto"/>
            </w:tcBorders>
            <w:vAlign w:val="center"/>
          </w:tcPr>
          <w:p w14:paraId="5F285C53" w14:textId="77777777" w:rsidR="00E716FE" w:rsidRPr="00E716FE" w:rsidRDefault="00E716FE" w:rsidP="00E716FE">
            <w:pPr>
              <w:pStyle w:val="Tabletext"/>
              <w:rPr>
                <w:snapToGrid w:val="0"/>
                <w:color w:val="000000" w:themeColor="text1"/>
              </w:rPr>
            </w:pPr>
            <w:r w:rsidRPr="00E716FE">
              <w:rPr>
                <w:color w:val="000000" w:themeColor="text1"/>
              </w:rPr>
              <w:t>19</w:t>
            </w:r>
            <w:r w:rsidR="00D7157D">
              <w:rPr>
                <w:color w:val="000000" w:themeColor="text1"/>
              </w:rPr>
              <w:t>.</w:t>
            </w:r>
            <w:r w:rsidRPr="00E716FE">
              <w:rPr>
                <w:color w:val="000000" w:themeColor="text1"/>
              </w:rPr>
              <w:t>4862</w:t>
            </w:r>
          </w:p>
        </w:tc>
      </w:tr>
    </w:tbl>
    <w:p w14:paraId="5FCE09A7" w14:textId="77777777" w:rsidR="00950FB8" w:rsidRPr="00A058B6" w:rsidRDefault="00950FB8" w:rsidP="00950FB8">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950FB8" w:rsidRPr="00A058B6" w14:paraId="37C0C59B" w14:textId="77777777" w:rsidTr="005B61BB">
        <w:trPr>
          <w:cantSplit/>
          <w:trHeight w:val="375"/>
          <w:tblHeader/>
          <w:jc w:val="right"/>
        </w:trPr>
        <w:tc>
          <w:tcPr>
            <w:tcW w:w="1705" w:type="pct"/>
            <w:vMerge w:val="restart"/>
            <w:tcBorders>
              <w:top w:val="single" w:sz="12" w:space="0" w:color="auto"/>
              <w:bottom w:val="single" w:sz="12" w:space="0" w:color="auto"/>
            </w:tcBorders>
          </w:tcPr>
          <w:p w14:paraId="7E5534DD" w14:textId="77777777" w:rsidR="00950FB8" w:rsidRPr="00A058B6" w:rsidRDefault="00950FB8" w:rsidP="005B61BB">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5DA0363" w14:textId="46811BAF" w:rsidR="00950FB8" w:rsidRPr="00A058B6" w:rsidRDefault="00950FB8" w:rsidP="005B61BB">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period—wage indexed pension</w:t>
            </w:r>
          </w:p>
        </w:tc>
      </w:tr>
      <w:tr w:rsidR="00950FB8" w:rsidRPr="00A058B6" w14:paraId="5B68E8D8" w14:textId="77777777" w:rsidTr="005B61BB">
        <w:trPr>
          <w:cantSplit/>
          <w:trHeight w:val="40"/>
          <w:tblHeader/>
          <w:jc w:val="right"/>
        </w:trPr>
        <w:tc>
          <w:tcPr>
            <w:tcW w:w="1705" w:type="pct"/>
            <w:vMerge/>
            <w:tcBorders>
              <w:bottom w:val="single" w:sz="12" w:space="0" w:color="auto"/>
            </w:tcBorders>
          </w:tcPr>
          <w:p w14:paraId="7969A093" w14:textId="77777777" w:rsidR="00950FB8" w:rsidRPr="00A058B6" w:rsidRDefault="00950FB8" w:rsidP="005B61BB">
            <w:pPr>
              <w:pStyle w:val="TableHeading"/>
              <w:rPr>
                <w:snapToGrid w:val="0"/>
              </w:rPr>
            </w:pPr>
          </w:p>
        </w:tc>
        <w:tc>
          <w:tcPr>
            <w:tcW w:w="1417" w:type="pct"/>
            <w:tcBorders>
              <w:bottom w:val="single" w:sz="12" w:space="0" w:color="auto"/>
            </w:tcBorders>
          </w:tcPr>
          <w:p w14:paraId="64421C5D" w14:textId="77777777" w:rsidR="00950FB8" w:rsidRPr="00A058B6" w:rsidRDefault="00950FB8" w:rsidP="005B61BB">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57470A74" w14:textId="77777777" w:rsidR="00950FB8" w:rsidRPr="00A058B6" w:rsidRDefault="00950FB8" w:rsidP="005B61BB">
            <w:pPr>
              <w:pStyle w:val="TableHeading"/>
              <w:rPr>
                <w:snapToGrid w:val="0"/>
              </w:rPr>
            </w:pPr>
            <w:r w:rsidRPr="00A058B6">
              <w:rPr>
                <w:snapToGrid w:val="0"/>
              </w:rPr>
              <w:t>Female</w:t>
            </w:r>
          </w:p>
        </w:tc>
      </w:tr>
      <w:tr w:rsidR="00E716FE" w:rsidRPr="009E2595" w14:paraId="783B821F" w14:textId="77777777" w:rsidTr="005B61BB">
        <w:trPr>
          <w:trHeight w:val="245"/>
          <w:jc w:val="right"/>
        </w:trPr>
        <w:tc>
          <w:tcPr>
            <w:tcW w:w="1705" w:type="pct"/>
            <w:tcBorders>
              <w:top w:val="single" w:sz="12" w:space="0" w:color="auto"/>
              <w:bottom w:val="single" w:sz="4" w:space="0" w:color="auto"/>
            </w:tcBorders>
          </w:tcPr>
          <w:p w14:paraId="62B9851A" w14:textId="77777777" w:rsidR="00E716FE" w:rsidRPr="009B1322" w:rsidRDefault="00E716FE" w:rsidP="00E716FE">
            <w:pPr>
              <w:pStyle w:val="Tabletext"/>
              <w:rPr>
                <w:snapToGrid w:val="0"/>
              </w:rPr>
            </w:pPr>
            <w:r w:rsidRPr="009B1322">
              <w:rPr>
                <w:snapToGrid w:val="0"/>
              </w:rPr>
              <w:t>Up to 40</w:t>
            </w:r>
          </w:p>
        </w:tc>
        <w:tc>
          <w:tcPr>
            <w:tcW w:w="1417" w:type="pct"/>
            <w:tcBorders>
              <w:top w:val="single" w:sz="12" w:space="0" w:color="auto"/>
              <w:bottom w:val="single" w:sz="4" w:space="0" w:color="auto"/>
            </w:tcBorders>
            <w:vAlign w:val="bottom"/>
          </w:tcPr>
          <w:p w14:paraId="02342019"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983</w:t>
            </w:r>
          </w:p>
        </w:tc>
        <w:tc>
          <w:tcPr>
            <w:tcW w:w="1878" w:type="pct"/>
            <w:tcBorders>
              <w:top w:val="single" w:sz="12" w:space="0" w:color="auto"/>
              <w:bottom w:val="single" w:sz="4" w:space="0" w:color="auto"/>
            </w:tcBorders>
            <w:vAlign w:val="bottom"/>
          </w:tcPr>
          <w:p w14:paraId="24C016E8"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263</w:t>
            </w:r>
          </w:p>
        </w:tc>
      </w:tr>
      <w:tr w:rsidR="00E716FE" w:rsidRPr="009E2595" w14:paraId="153C5200" w14:textId="77777777" w:rsidTr="005B61BB">
        <w:trPr>
          <w:trHeight w:val="245"/>
          <w:jc w:val="right"/>
        </w:trPr>
        <w:tc>
          <w:tcPr>
            <w:tcW w:w="1705" w:type="pct"/>
            <w:tcBorders>
              <w:top w:val="single" w:sz="4" w:space="0" w:color="auto"/>
              <w:bottom w:val="single" w:sz="4" w:space="0" w:color="auto"/>
            </w:tcBorders>
          </w:tcPr>
          <w:p w14:paraId="1DFBC6D1" w14:textId="77777777" w:rsidR="00E716FE" w:rsidRPr="009B1322" w:rsidRDefault="00E716FE" w:rsidP="00E716FE">
            <w:pPr>
              <w:pStyle w:val="Tabletext"/>
              <w:rPr>
                <w:snapToGrid w:val="0"/>
              </w:rPr>
            </w:pPr>
            <w:r w:rsidRPr="009B1322">
              <w:rPr>
                <w:snapToGrid w:val="0"/>
              </w:rPr>
              <w:t>41</w:t>
            </w:r>
          </w:p>
        </w:tc>
        <w:tc>
          <w:tcPr>
            <w:tcW w:w="1417" w:type="pct"/>
            <w:tcBorders>
              <w:top w:val="single" w:sz="4" w:space="0" w:color="auto"/>
              <w:bottom w:val="single" w:sz="4" w:space="0" w:color="auto"/>
            </w:tcBorders>
            <w:vAlign w:val="bottom"/>
          </w:tcPr>
          <w:p w14:paraId="5F06F499"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884</w:t>
            </w:r>
          </w:p>
        </w:tc>
        <w:tc>
          <w:tcPr>
            <w:tcW w:w="1878" w:type="pct"/>
            <w:tcBorders>
              <w:top w:val="single" w:sz="4" w:space="0" w:color="auto"/>
              <w:bottom w:val="single" w:sz="4" w:space="0" w:color="auto"/>
            </w:tcBorders>
            <w:vAlign w:val="bottom"/>
          </w:tcPr>
          <w:p w14:paraId="28E28606"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187</w:t>
            </w:r>
          </w:p>
        </w:tc>
      </w:tr>
      <w:tr w:rsidR="00E716FE" w:rsidRPr="009E2595" w14:paraId="53137FC6" w14:textId="77777777" w:rsidTr="005B61BB">
        <w:trPr>
          <w:trHeight w:val="245"/>
          <w:jc w:val="right"/>
        </w:trPr>
        <w:tc>
          <w:tcPr>
            <w:tcW w:w="1705" w:type="pct"/>
            <w:tcBorders>
              <w:top w:val="single" w:sz="4" w:space="0" w:color="auto"/>
              <w:bottom w:val="single" w:sz="4" w:space="0" w:color="auto"/>
            </w:tcBorders>
          </w:tcPr>
          <w:p w14:paraId="462277DB" w14:textId="77777777" w:rsidR="00E716FE" w:rsidRPr="009B1322" w:rsidRDefault="00E716FE" w:rsidP="00E716FE">
            <w:pPr>
              <w:pStyle w:val="Tabletext"/>
              <w:rPr>
                <w:snapToGrid w:val="0"/>
              </w:rPr>
            </w:pPr>
            <w:r w:rsidRPr="009B1322">
              <w:rPr>
                <w:snapToGrid w:val="0"/>
              </w:rPr>
              <w:t>42</w:t>
            </w:r>
          </w:p>
        </w:tc>
        <w:tc>
          <w:tcPr>
            <w:tcW w:w="1417" w:type="pct"/>
            <w:tcBorders>
              <w:top w:val="single" w:sz="4" w:space="0" w:color="auto"/>
              <w:bottom w:val="single" w:sz="4" w:space="0" w:color="auto"/>
            </w:tcBorders>
            <w:vAlign w:val="bottom"/>
          </w:tcPr>
          <w:p w14:paraId="335CECB1"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785</w:t>
            </w:r>
          </w:p>
        </w:tc>
        <w:tc>
          <w:tcPr>
            <w:tcW w:w="1878" w:type="pct"/>
            <w:tcBorders>
              <w:top w:val="single" w:sz="4" w:space="0" w:color="auto"/>
              <w:bottom w:val="single" w:sz="4" w:space="0" w:color="auto"/>
            </w:tcBorders>
            <w:vAlign w:val="bottom"/>
          </w:tcPr>
          <w:p w14:paraId="0EF11DDE"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112</w:t>
            </w:r>
          </w:p>
        </w:tc>
      </w:tr>
      <w:tr w:rsidR="00E716FE" w:rsidRPr="009E2595" w14:paraId="08E5752F" w14:textId="77777777" w:rsidTr="005B61BB">
        <w:trPr>
          <w:trHeight w:val="245"/>
          <w:jc w:val="right"/>
        </w:trPr>
        <w:tc>
          <w:tcPr>
            <w:tcW w:w="1705" w:type="pct"/>
            <w:tcBorders>
              <w:top w:val="single" w:sz="4" w:space="0" w:color="auto"/>
              <w:bottom w:val="single" w:sz="4" w:space="0" w:color="auto"/>
            </w:tcBorders>
          </w:tcPr>
          <w:p w14:paraId="2E19BCA0" w14:textId="77777777" w:rsidR="00E716FE" w:rsidRPr="009B1322" w:rsidRDefault="00E716FE" w:rsidP="00E716FE">
            <w:pPr>
              <w:pStyle w:val="Tabletext"/>
              <w:rPr>
                <w:snapToGrid w:val="0"/>
              </w:rPr>
            </w:pPr>
            <w:r w:rsidRPr="009B1322">
              <w:rPr>
                <w:snapToGrid w:val="0"/>
              </w:rPr>
              <w:t>43</w:t>
            </w:r>
          </w:p>
        </w:tc>
        <w:tc>
          <w:tcPr>
            <w:tcW w:w="1417" w:type="pct"/>
            <w:tcBorders>
              <w:top w:val="single" w:sz="4" w:space="0" w:color="auto"/>
              <w:bottom w:val="single" w:sz="4" w:space="0" w:color="auto"/>
            </w:tcBorders>
            <w:vAlign w:val="bottom"/>
          </w:tcPr>
          <w:p w14:paraId="2C661CF8"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685</w:t>
            </w:r>
          </w:p>
        </w:tc>
        <w:tc>
          <w:tcPr>
            <w:tcW w:w="1878" w:type="pct"/>
            <w:tcBorders>
              <w:top w:val="single" w:sz="4" w:space="0" w:color="auto"/>
              <w:bottom w:val="single" w:sz="4" w:space="0" w:color="auto"/>
            </w:tcBorders>
            <w:vAlign w:val="bottom"/>
          </w:tcPr>
          <w:p w14:paraId="64721D93"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036</w:t>
            </w:r>
          </w:p>
        </w:tc>
      </w:tr>
      <w:tr w:rsidR="00E716FE" w:rsidRPr="009E2595" w14:paraId="2FD9D131" w14:textId="77777777" w:rsidTr="005B61BB">
        <w:trPr>
          <w:trHeight w:val="245"/>
          <w:jc w:val="right"/>
        </w:trPr>
        <w:tc>
          <w:tcPr>
            <w:tcW w:w="1705" w:type="pct"/>
            <w:tcBorders>
              <w:top w:val="single" w:sz="4" w:space="0" w:color="auto"/>
              <w:bottom w:val="single" w:sz="4" w:space="0" w:color="auto"/>
            </w:tcBorders>
          </w:tcPr>
          <w:p w14:paraId="65CD4B50" w14:textId="77777777" w:rsidR="00E716FE" w:rsidRPr="009B1322" w:rsidRDefault="00E716FE" w:rsidP="00E716FE">
            <w:pPr>
              <w:pStyle w:val="Tabletext"/>
              <w:rPr>
                <w:snapToGrid w:val="0"/>
              </w:rPr>
            </w:pPr>
            <w:r w:rsidRPr="009B1322">
              <w:rPr>
                <w:snapToGrid w:val="0"/>
              </w:rPr>
              <w:t>44</w:t>
            </w:r>
          </w:p>
        </w:tc>
        <w:tc>
          <w:tcPr>
            <w:tcW w:w="1417" w:type="pct"/>
            <w:tcBorders>
              <w:top w:val="single" w:sz="4" w:space="0" w:color="auto"/>
              <w:bottom w:val="single" w:sz="4" w:space="0" w:color="auto"/>
            </w:tcBorders>
            <w:vAlign w:val="bottom"/>
          </w:tcPr>
          <w:p w14:paraId="0FCF2198"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586</w:t>
            </w:r>
          </w:p>
        </w:tc>
        <w:tc>
          <w:tcPr>
            <w:tcW w:w="1878" w:type="pct"/>
            <w:tcBorders>
              <w:top w:val="single" w:sz="4" w:space="0" w:color="auto"/>
              <w:bottom w:val="single" w:sz="4" w:space="0" w:color="auto"/>
            </w:tcBorders>
            <w:vAlign w:val="bottom"/>
          </w:tcPr>
          <w:p w14:paraId="18487C6B"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960</w:t>
            </w:r>
          </w:p>
        </w:tc>
      </w:tr>
      <w:tr w:rsidR="00E716FE" w:rsidRPr="009E2595" w14:paraId="6E7FF3E6" w14:textId="77777777" w:rsidTr="005B61BB">
        <w:trPr>
          <w:trHeight w:val="245"/>
          <w:jc w:val="right"/>
        </w:trPr>
        <w:tc>
          <w:tcPr>
            <w:tcW w:w="1705" w:type="pct"/>
            <w:tcBorders>
              <w:top w:val="single" w:sz="4" w:space="0" w:color="auto"/>
              <w:bottom w:val="single" w:sz="4" w:space="0" w:color="auto"/>
            </w:tcBorders>
          </w:tcPr>
          <w:p w14:paraId="523B00BE" w14:textId="77777777" w:rsidR="00E716FE" w:rsidRPr="009B1322" w:rsidRDefault="00E716FE" w:rsidP="00E716FE">
            <w:pPr>
              <w:pStyle w:val="Tabletext"/>
              <w:rPr>
                <w:snapToGrid w:val="0"/>
              </w:rPr>
            </w:pPr>
            <w:r w:rsidRPr="009B1322">
              <w:rPr>
                <w:snapToGrid w:val="0"/>
              </w:rPr>
              <w:t>45</w:t>
            </w:r>
          </w:p>
        </w:tc>
        <w:tc>
          <w:tcPr>
            <w:tcW w:w="1417" w:type="pct"/>
            <w:tcBorders>
              <w:top w:val="single" w:sz="4" w:space="0" w:color="auto"/>
              <w:bottom w:val="single" w:sz="4" w:space="0" w:color="auto"/>
            </w:tcBorders>
            <w:vAlign w:val="bottom"/>
          </w:tcPr>
          <w:p w14:paraId="3C985EDA"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486</w:t>
            </w:r>
          </w:p>
        </w:tc>
        <w:tc>
          <w:tcPr>
            <w:tcW w:w="1878" w:type="pct"/>
            <w:tcBorders>
              <w:top w:val="single" w:sz="4" w:space="0" w:color="auto"/>
              <w:bottom w:val="single" w:sz="4" w:space="0" w:color="auto"/>
            </w:tcBorders>
            <w:vAlign w:val="bottom"/>
          </w:tcPr>
          <w:p w14:paraId="3C7BA544"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884</w:t>
            </w:r>
          </w:p>
        </w:tc>
      </w:tr>
      <w:tr w:rsidR="00E716FE" w:rsidRPr="009E2595" w14:paraId="6FCFC88A" w14:textId="77777777" w:rsidTr="005B61BB">
        <w:trPr>
          <w:trHeight w:val="245"/>
          <w:jc w:val="right"/>
        </w:trPr>
        <w:tc>
          <w:tcPr>
            <w:tcW w:w="1705" w:type="pct"/>
            <w:tcBorders>
              <w:top w:val="single" w:sz="4" w:space="0" w:color="auto"/>
              <w:bottom w:val="single" w:sz="4" w:space="0" w:color="auto"/>
            </w:tcBorders>
          </w:tcPr>
          <w:p w14:paraId="3DBCA25C" w14:textId="77777777" w:rsidR="00E716FE" w:rsidRPr="009B1322" w:rsidRDefault="00E716FE" w:rsidP="00E716FE">
            <w:pPr>
              <w:pStyle w:val="Tabletext"/>
              <w:rPr>
                <w:snapToGrid w:val="0"/>
              </w:rPr>
            </w:pPr>
            <w:r w:rsidRPr="009B1322">
              <w:rPr>
                <w:snapToGrid w:val="0"/>
              </w:rPr>
              <w:t>46</w:t>
            </w:r>
          </w:p>
        </w:tc>
        <w:tc>
          <w:tcPr>
            <w:tcW w:w="1417" w:type="pct"/>
            <w:tcBorders>
              <w:top w:val="single" w:sz="4" w:space="0" w:color="auto"/>
              <w:bottom w:val="single" w:sz="4" w:space="0" w:color="auto"/>
            </w:tcBorders>
            <w:vAlign w:val="bottom"/>
          </w:tcPr>
          <w:p w14:paraId="08AD7B2B"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387</w:t>
            </w:r>
          </w:p>
        </w:tc>
        <w:tc>
          <w:tcPr>
            <w:tcW w:w="1878" w:type="pct"/>
            <w:tcBorders>
              <w:top w:val="single" w:sz="4" w:space="0" w:color="auto"/>
              <w:bottom w:val="single" w:sz="4" w:space="0" w:color="auto"/>
            </w:tcBorders>
            <w:vAlign w:val="bottom"/>
          </w:tcPr>
          <w:p w14:paraId="025AC8A3"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808</w:t>
            </w:r>
          </w:p>
        </w:tc>
      </w:tr>
      <w:tr w:rsidR="00E716FE" w:rsidRPr="009E2595" w14:paraId="28CC15CA" w14:textId="77777777" w:rsidTr="005B61BB">
        <w:trPr>
          <w:trHeight w:val="245"/>
          <w:jc w:val="right"/>
        </w:trPr>
        <w:tc>
          <w:tcPr>
            <w:tcW w:w="1705" w:type="pct"/>
            <w:tcBorders>
              <w:top w:val="single" w:sz="4" w:space="0" w:color="auto"/>
              <w:bottom w:val="single" w:sz="4" w:space="0" w:color="auto"/>
            </w:tcBorders>
          </w:tcPr>
          <w:p w14:paraId="114D403D" w14:textId="77777777" w:rsidR="00E716FE" w:rsidRPr="009B1322" w:rsidRDefault="00E716FE" w:rsidP="00E716FE">
            <w:pPr>
              <w:pStyle w:val="Tabletext"/>
              <w:rPr>
                <w:snapToGrid w:val="0"/>
              </w:rPr>
            </w:pPr>
            <w:r w:rsidRPr="009B1322">
              <w:rPr>
                <w:snapToGrid w:val="0"/>
              </w:rPr>
              <w:t>47</w:t>
            </w:r>
          </w:p>
        </w:tc>
        <w:tc>
          <w:tcPr>
            <w:tcW w:w="1417" w:type="pct"/>
            <w:tcBorders>
              <w:top w:val="single" w:sz="4" w:space="0" w:color="auto"/>
              <w:bottom w:val="single" w:sz="4" w:space="0" w:color="auto"/>
            </w:tcBorders>
            <w:vAlign w:val="bottom"/>
          </w:tcPr>
          <w:p w14:paraId="5BA61024"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287</w:t>
            </w:r>
          </w:p>
        </w:tc>
        <w:tc>
          <w:tcPr>
            <w:tcW w:w="1878" w:type="pct"/>
            <w:tcBorders>
              <w:top w:val="single" w:sz="4" w:space="0" w:color="auto"/>
              <w:bottom w:val="single" w:sz="4" w:space="0" w:color="auto"/>
            </w:tcBorders>
            <w:vAlign w:val="bottom"/>
          </w:tcPr>
          <w:p w14:paraId="0CC626D3"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733</w:t>
            </w:r>
          </w:p>
        </w:tc>
      </w:tr>
      <w:tr w:rsidR="00E716FE" w:rsidRPr="009E2595" w14:paraId="29D3B7B8" w14:textId="77777777" w:rsidTr="005B61BB">
        <w:trPr>
          <w:trHeight w:val="245"/>
          <w:jc w:val="right"/>
        </w:trPr>
        <w:tc>
          <w:tcPr>
            <w:tcW w:w="1705" w:type="pct"/>
            <w:tcBorders>
              <w:top w:val="single" w:sz="4" w:space="0" w:color="auto"/>
              <w:bottom w:val="single" w:sz="4" w:space="0" w:color="auto"/>
            </w:tcBorders>
          </w:tcPr>
          <w:p w14:paraId="386CB582" w14:textId="77777777" w:rsidR="00E716FE" w:rsidRPr="009B1322" w:rsidRDefault="00E716FE" w:rsidP="00E716FE">
            <w:pPr>
              <w:pStyle w:val="Tabletext"/>
              <w:rPr>
                <w:snapToGrid w:val="0"/>
              </w:rPr>
            </w:pPr>
            <w:r w:rsidRPr="009B1322">
              <w:rPr>
                <w:snapToGrid w:val="0"/>
              </w:rPr>
              <w:t>48</w:t>
            </w:r>
          </w:p>
        </w:tc>
        <w:tc>
          <w:tcPr>
            <w:tcW w:w="1417" w:type="pct"/>
            <w:tcBorders>
              <w:top w:val="single" w:sz="4" w:space="0" w:color="auto"/>
              <w:bottom w:val="single" w:sz="4" w:space="0" w:color="auto"/>
            </w:tcBorders>
            <w:vAlign w:val="bottom"/>
          </w:tcPr>
          <w:p w14:paraId="3D7C0EDF"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188</w:t>
            </w:r>
          </w:p>
        </w:tc>
        <w:tc>
          <w:tcPr>
            <w:tcW w:w="1878" w:type="pct"/>
            <w:tcBorders>
              <w:top w:val="single" w:sz="4" w:space="0" w:color="auto"/>
              <w:bottom w:val="single" w:sz="4" w:space="0" w:color="auto"/>
            </w:tcBorders>
            <w:vAlign w:val="bottom"/>
          </w:tcPr>
          <w:p w14:paraId="5B536843"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657</w:t>
            </w:r>
          </w:p>
        </w:tc>
      </w:tr>
      <w:tr w:rsidR="00E716FE" w:rsidRPr="009E2595" w14:paraId="59EBF114" w14:textId="77777777" w:rsidTr="005B61BB">
        <w:trPr>
          <w:trHeight w:val="245"/>
          <w:jc w:val="right"/>
        </w:trPr>
        <w:tc>
          <w:tcPr>
            <w:tcW w:w="1705" w:type="pct"/>
            <w:tcBorders>
              <w:top w:val="single" w:sz="4" w:space="0" w:color="auto"/>
              <w:bottom w:val="single" w:sz="4" w:space="0" w:color="auto"/>
            </w:tcBorders>
          </w:tcPr>
          <w:p w14:paraId="3A3BDE78" w14:textId="77777777" w:rsidR="00E716FE" w:rsidRPr="009B1322" w:rsidRDefault="00E716FE" w:rsidP="00E716FE">
            <w:pPr>
              <w:pStyle w:val="Tabletext"/>
              <w:rPr>
                <w:snapToGrid w:val="0"/>
              </w:rPr>
            </w:pPr>
            <w:r w:rsidRPr="009B1322">
              <w:rPr>
                <w:snapToGrid w:val="0"/>
              </w:rPr>
              <w:t>49</w:t>
            </w:r>
          </w:p>
        </w:tc>
        <w:tc>
          <w:tcPr>
            <w:tcW w:w="1417" w:type="pct"/>
            <w:tcBorders>
              <w:top w:val="single" w:sz="4" w:space="0" w:color="auto"/>
              <w:bottom w:val="single" w:sz="4" w:space="0" w:color="auto"/>
            </w:tcBorders>
            <w:vAlign w:val="bottom"/>
          </w:tcPr>
          <w:p w14:paraId="25D26628" w14:textId="77777777" w:rsidR="00E716FE" w:rsidRPr="00E716FE" w:rsidRDefault="00E716FE" w:rsidP="00E716FE">
            <w:pPr>
              <w:pStyle w:val="Tabletext"/>
              <w:rPr>
                <w:snapToGrid w:val="0"/>
                <w:color w:val="000000" w:themeColor="text1"/>
              </w:rPr>
            </w:pPr>
            <w:r w:rsidRPr="00E716FE">
              <w:rPr>
                <w:color w:val="000000" w:themeColor="text1"/>
              </w:rPr>
              <w:t>2</w:t>
            </w:r>
            <w:r w:rsidR="00D7157D">
              <w:rPr>
                <w:color w:val="000000" w:themeColor="text1"/>
              </w:rPr>
              <w:t>.</w:t>
            </w:r>
            <w:r w:rsidRPr="00E716FE">
              <w:rPr>
                <w:color w:val="000000" w:themeColor="text1"/>
              </w:rPr>
              <w:t>088</w:t>
            </w:r>
          </w:p>
        </w:tc>
        <w:tc>
          <w:tcPr>
            <w:tcW w:w="1878" w:type="pct"/>
            <w:tcBorders>
              <w:top w:val="single" w:sz="4" w:space="0" w:color="auto"/>
              <w:bottom w:val="single" w:sz="4" w:space="0" w:color="auto"/>
            </w:tcBorders>
            <w:vAlign w:val="bottom"/>
          </w:tcPr>
          <w:p w14:paraId="13A5C7BA"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581</w:t>
            </w:r>
          </w:p>
        </w:tc>
      </w:tr>
      <w:tr w:rsidR="00E716FE" w:rsidRPr="009E2595" w14:paraId="6B511A38" w14:textId="77777777" w:rsidTr="005B61BB">
        <w:trPr>
          <w:trHeight w:val="245"/>
          <w:jc w:val="right"/>
        </w:trPr>
        <w:tc>
          <w:tcPr>
            <w:tcW w:w="1705" w:type="pct"/>
            <w:tcBorders>
              <w:top w:val="single" w:sz="4" w:space="0" w:color="auto"/>
              <w:bottom w:val="single" w:sz="4" w:space="0" w:color="auto"/>
            </w:tcBorders>
          </w:tcPr>
          <w:p w14:paraId="4B8C632F" w14:textId="77777777" w:rsidR="00E716FE" w:rsidRPr="009B1322" w:rsidRDefault="00E716FE" w:rsidP="00E716FE">
            <w:pPr>
              <w:pStyle w:val="Tabletext"/>
              <w:rPr>
                <w:snapToGrid w:val="0"/>
              </w:rPr>
            </w:pPr>
            <w:r w:rsidRPr="009B1322">
              <w:rPr>
                <w:snapToGrid w:val="0"/>
              </w:rPr>
              <w:t>50</w:t>
            </w:r>
          </w:p>
        </w:tc>
        <w:tc>
          <w:tcPr>
            <w:tcW w:w="1417" w:type="pct"/>
            <w:tcBorders>
              <w:top w:val="single" w:sz="4" w:space="0" w:color="auto"/>
              <w:bottom w:val="single" w:sz="4" w:space="0" w:color="auto"/>
            </w:tcBorders>
            <w:vAlign w:val="bottom"/>
          </w:tcPr>
          <w:p w14:paraId="63C5D086"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989</w:t>
            </w:r>
          </w:p>
        </w:tc>
        <w:tc>
          <w:tcPr>
            <w:tcW w:w="1878" w:type="pct"/>
            <w:tcBorders>
              <w:top w:val="single" w:sz="4" w:space="0" w:color="auto"/>
              <w:bottom w:val="single" w:sz="4" w:space="0" w:color="auto"/>
            </w:tcBorders>
            <w:vAlign w:val="bottom"/>
          </w:tcPr>
          <w:p w14:paraId="36DD8557"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505</w:t>
            </w:r>
          </w:p>
        </w:tc>
      </w:tr>
      <w:tr w:rsidR="00E716FE" w:rsidRPr="009E2595" w14:paraId="51138A9E" w14:textId="77777777" w:rsidTr="005B61BB">
        <w:trPr>
          <w:trHeight w:val="245"/>
          <w:jc w:val="right"/>
        </w:trPr>
        <w:tc>
          <w:tcPr>
            <w:tcW w:w="1705" w:type="pct"/>
            <w:tcBorders>
              <w:top w:val="single" w:sz="4" w:space="0" w:color="auto"/>
              <w:bottom w:val="single" w:sz="4" w:space="0" w:color="auto"/>
            </w:tcBorders>
          </w:tcPr>
          <w:p w14:paraId="2167B85A" w14:textId="77777777" w:rsidR="00E716FE" w:rsidRPr="009B1322" w:rsidRDefault="00E716FE" w:rsidP="00E716FE">
            <w:pPr>
              <w:pStyle w:val="Tabletext"/>
              <w:rPr>
                <w:snapToGrid w:val="0"/>
              </w:rPr>
            </w:pPr>
            <w:r w:rsidRPr="009B1322">
              <w:rPr>
                <w:snapToGrid w:val="0"/>
              </w:rPr>
              <w:t>51</w:t>
            </w:r>
          </w:p>
        </w:tc>
        <w:tc>
          <w:tcPr>
            <w:tcW w:w="1417" w:type="pct"/>
            <w:tcBorders>
              <w:top w:val="single" w:sz="4" w:space="0" w:color="auto"/>
              <w:bottom w:val="single" w:sz="4" w:space="0" w:color="auto"/>
            </w:tcBorders>
            <w:vAlign w:val="bottom"/>
          </w:tcPr>
          <w:p w14:paraId="23181EA7"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691</w:t>
            </w:r>
          </w:p>
        </w:tc>
        <w:tc>
          <w:tcPr>
            <w:tcW w:w="1878" w:type="pct"/>
            <w:tcBorders>
              <w:top w:val="single" w:sz="4" w:space="0" w:color="auto"/>
              <w:bottom w:val="single" w:sz="4" w:space="0" w:color="auto"/>
            </w:tcBorders>
            <w:vAlign w:val="bottom"/>
          </w:tcPr>
          <w:p w14:paraId="6F5CAADB"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429</w:t>
            </w:r>
          </w:p>
        </w:tc>
      </w:tr>
      <w:tr w:rsidR="00E716FE" w:rsidRPr="009E2595" w14:paraId="2E491329" w14:textId="77777777" w:rsidTr="005B61BB">
        <w:trPr>
          <w:trHeight w:val="245"/>
          <w:jc w:val="right"/>
        </w:trPr>
        <w:tc>
          <w:tcPr>
            <w:tcW w:w="1705" w:type="pct"/>
            <w:tcBorders>
              <w:top w:val="single" w:sz="4" w:space="0" w:color="auto"/>
              <w:bottom w:val="single" w:sz="4" w:space="0" w:color="auto"/>
            </w:tcBorders>
          </w:tcPr>
          <w:p w14:paraId="75B9C15D" w14:textId="77777777" w:rsidR="00E716FE" w:rsidRPr="009B1322" w:rsidRDefault="00E716FE" w:rsidP="00E716FE">
            <w:pPr>
              <w:pStyle w:val="Tabletext"/>
              <w:rPr>
                <w:snapToGrid w:val="0"/>
              </w:rPr>
            </w:pPr>
            <w:r w:rsidRPr="009B1322">
              <w:rPr>
                <w:snapToGrid w:val="0"/>
              </w:rPr>
              <w:t>52</w:t>
            </w:r>
          </w:p>
        </w:tc>
        <w:tc>
          <w:tcPr>
            <w:tcW w:w="1417" w:type="pct"/>
            <w:tcBorders>
              <w:top w:val="single" w:sz="4" w:space="0" w:color="auto"/>
              <w:bottom w:val="single" w:sz="4" w:space="0" w:color="auto"/>
            </w:tcBorders>
            <w:vAlign w:val="bottom"/>
          </w:tcPr>
          <w:p w14:paraId="723BF130"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392</w:t>
            </w:r>
          </w:p>
        </w:tc>
        <w:tc>
          <w:tcPr>
            <w:tcW w:w="1878" w:type="pct"/>
            <w:tcBorders>
              <w:top w:val="single" w:sz="4" w:space="0" w:color="auto"/>
              <w:bottom w:val="single" w:sz="4" w:space="0" w:color="auto"/>
            </w:tcBorders>
            <w:vAlign w:val="bottom"/>
          </w:tcPr>
          <w:p w14:paraId="00A0A791"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354</w:t>
            </w:r>
          </w:p>
        </w:tc>
      </w:tr>
      <w:tr w:rsidR="00E716FE" w:rsidRPr="009E2595" w14:paraId="4077292C" w14:textId="77777777" w:rsidTr="005B61BB">
        <w:trPr>
          <w:trHeight w:val="245"/>
          <w:jc w:val="right"/>
        </w:trPr>
        <w:tc>
          <w:tcPr>
            <w:tcW w:w="1705" w:type="pct"/>
            <w:tcBorders>
              <w:top w:val="single" w:sz="4" w:space="0" w:color="auto"/>
              <w:bottom w:val="single" w:sz="4" w:space="0" w:color="auto"/>
            </w:tcBorders>
          </w:tcPr>
          <w:p w14:paraId="4470C930" w14:textId="77777777" w:rsidR="00E716FE" w:rsidRPr="009B1322" w:rsidRDefault="00E716FE" w:rsidP="00E716FE">
            <w:pPr>
              <w:pStyle w:val="Tabletext"/>
              <w:rPr>
                <w:snapToGrid w:val="0"/>
              </w:rPr>
            </w:pPr>
            <w:r w:rsidRPr="009B1322">
              <w:rPr>
                <w:snapToGrid w:val="0"/>
              </w:rPr>
              <w:t>53</w:t>
            </w:r>
          </w:p>
        </w:tc>
        <w:tc>
          <w:tcPr>
            <w:tcW w:w="1417" w:type="pct"/>
            <w:tcBorders>
              <w:top w:val="single" w:sz="4" w:space="0" w:color="auto"/>
              <w:bottom w:val="single" w:sz="4" w:space="0" w:color="auto"/>
            </w:tcBorders>
            <w:vAlign w:val="bottom"/>
          </w:tcPr>
          <w:p w14:paraId="35E30BBF" w14:textId="77777777" w:rsidR="00E716FE" w:rsidRPr="00E716FE" w:rsidRDefault="00E716FE" w:rsidP="00E716FE">
            <w:pPr>
              <w:pStyle w:val="Tabletext"/>
              <w:rPr>
                <w:snapToGrid w:val="0"/>
                <w:color w:val="000000" w:themeColor="text1"/>
              </w:rPr>
            </w:pPr>
            <w:r w:rsidRPr="00E716FE">
              <w:rPr>
                <w:color w:val="000000" w:themeColor="text1"/>
              </w:rPr>
              <w:t>1</w:t>
            </w:r>
            <w:r w:rsidR="00D7157D">
              <w:rPr>
                <w:color w:val="000000" w:themeColor="text1"/>
              </w:rPr>
              <w:t>.</w:t>
            </w:r>
            <w:r w:rsidRPr="00E716FE">
              <w:rPr>
                <w:color w:val="000000" w:themeColor="text1"/>
              </w:rPr>
              <w:t>094</w:t>
            </w:r>
          </w:p>
        </w:tc>
        <w:tc>
          <w:tcPr>
            <w:tcW w:w="1878" w:type="pct"/>
            <w:tcBorders>
              <w:top w:val="single" w:sz="4" w:space="0" w:color="auto"/>
              <w:bottom w:val="single" w:sz="4" w:space="0" w:color="auto"/>
            </w:tcBorders>
            <w:vAlign w:val="bottom"/>
          </w:tcPr>
          <w:p w14:paraId="62465D53"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278</w:t>
            </w:r>
          </w:p>
        </w:tc>
      </w:tr>
      <w:tr w:rsidR="00E716FE" w:rsidRPr="009E2595" w14:paraId="02E8074B" w14:textId="77777777" w:rsidTr="005B61BB">
        <w:trPr>
          <w:trHeight w:val="245"/>
          <w:jc w:val="right"/>
        </w:trPr>
        <w:tc>
          <w:tcPr>
            <w:tcW w:w="1705" w:type="pct"/>
            <w:tcBorders>
              <w:top w:val="single" w:sz="4" w:space="0" w:color="auto"/>
              <w:bottom w:val="single" w:sz="4" w:space="0" w:color="auto"/>
            </w:tcBorders>
          </w:tcPr>
          <w:p w14:paraId="367345AA" w14:textId="77777777" w:rsidR="00E716FE" w:rsidRPr="009B1322" w:rsidRDefault="00E716FE" w:rsidP="00E716FE">
            <w:pPr>
              <w:pStyle w:val="Tabletext"/>
              <w:rPr>
                <w:snapToGrid w:val="0"/>
              </w:rPr>
            </w:pPr>
            <w:r w:rsidRPr="009B1322">
              <w:rPr>
                <w:snapToGrid w:val="0"/>
              </w:rPr>
              <w:t>54</w:t>
            </w:r>
          </w:p>
        </w:tc>
        <w:tc>
          <w:tcPr>
            <w:tcW w:w="1417" w:type="pct"/>
            <w:tcBorders>
              <w:top w:val="single" w:sz="4" w:space="0" w:color="auto"/>
              <w:bottom w:val="single" w:sz="4" w:space="0" w:color="auto"/>
            </w:tcBorders>
            <w:vAlign w:val="bottom"/>
          </w:tcPr>
          <w:p w14:paraId="7F446BF0"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796</w:t>
            </w:r>
          </w:p>
        </w:tc>
        <w:tc>
          <w:tcPr>
            <w:tcW w:w="1878" w:type="pct"/>
            <w:tcBorders>
              <w:top w:val="single" w:sz="4" w:space="0" w:color="auto"/>
              <w:bottom w:val="single" w:sz="4" w:space="0" w:color="auto"/>
            </w:tcBorders>
            <w:vAlign w:val="bottom"/>
          </w:tcPr>
          <w:p w14:paraId="7EEDC694"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202</w:t>
            </w:r>
          </w:p>
        </w:tc>
      </w:tr>
      <w:tr w:rsidR="00E716FE" w:rsidRPr="009E2595" w14:paraId="7F6A82D2" w14:textId="77777777" w:rsidTr="005B61BB">
        <w:trPr>
          <w:trHeight w:val="245"/>
          <w:jc w:val="right"/>
        </w:trPr>
        <w:tc>
          <w:tcPr>
            <w:tcW w:w="1705" w:type="pct"/>
            <w:tcBorders>
              <w:top w:val="single" w:sz="4" w:space="0" w:color="auto"/>
              <w:bottom w:val="single" w:sz="12" w:space="0" w:color="auto"/>
            </w:tcBorders>
          </w:tcPr>
          <w:p w14:paraId="1A6C6E89" w14:textId="77777777" w:rsidR="00E716FE" w:rsidRPr="009B1322" w:rsidRDefault="00E716FE" w:rsidP="00E716FE">
            <w:pPr>
              <w:pStyle w:val="Tabletext"/>
              <w:rPr>
                <w:snapToGrid w:val="0"/>
              </w:rPr>
            </w:pPr>
            <w:r w:rsidRPr="009B1322">
              <w:rPr>
                <w:snapToGrid w:val="0"/>
              </w:rPr>
              <w:t>55 and over</w:t>
            </w:r>
          </w:p>
        </w:tc>
        <w:tc>
          <w:tcPr>
            <w:tcW w:w="1417" w:type="pct"/>
            <w:tcBorders>
              <w:top w:val="single" w:sz="4" w:space="0" w:color="auto"/>
              <w:bottom w:val="single" w:sz="12" w:space="0" w:color="auto"/>
            </w:tcBorders>
            <w:vAlign w:val="bottom"/>
          </w:tcPr>
          <w:p w14:paraId="4CD950A4"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497</w:t>
            </w:r>
          </w:p>
        </w:tc>
        <w:tc>
          <w:tcPr>
            <w:tcW w:w="1878" w:type="pct"/>
            <w:tcBorders>
              <w:top w:val="single" w:sz="4" w:space="0" w:color="auto"/>
              <w:bottom w:val="single" w:sz="12" w:space="0" w:color="auto"/>
            </w:tcBorders>
            <w:vAlign w:val="bottom"/>
          </w:tcPr>
          <w:p w14:paraId="47F79060" w14:textId="77777777" w:rsidR="00E716FE" w:rsidRPr="00E716FE" w:rsidRDefault="00E716FE" w:rsidP="00E716FE">
            <w:pPr>
              <w:pStyle w:val="Tabletext"/>
              <w:rPr>
                <w:snapToGrid w:val="0"/>
                <w:color w:val="000000" w:themeColor="text1"/>
              </w:rPr>
            </w:pPr>
            <w:r w:rsidRPr="00E716FE">
              <w:rPr>
                <w:color w:val="000000" w:themeColor="text1"/>
              </w:rPr>
              <w:t>0</w:t>
            </w:r>
            <w:r w:rsidR="00D7157D">
              <w:rPr>
                <w:color w:val="000000" w:themeColor="text1"/>
              </w:rPr>
              <w:t>.</w:t>
            </w:r>
            <w:r w:rsidRPr="00E716FE">
              <w:rPr>
                <w:color w:val="000000" w:themeColor="text1"/>
              </w:rPr>
              <w:t>126</w:t>
            </w:r>
          </w:p>
        </w:tc>
      </w:tr>
    </w:tbl>
    <w:p w14:paraId="3429AB39" w14:textId="1765030F" w:rsidR="00971652" w:rsidRPr="00A058B6" w:rsidRDefault="00D7157D" w:rsidP="00971652">
      <w:pPr>
        <w:pStyle w:val="ActHead5"/>
      </w:pPr>
      <w:bookmarkStart w:id="260" w:name="_Toc188350738"/>
      <w:r w:rsidRPr="00423C34">
        <w:rPr>
          <w:rStyle w:val="CharSectno"/>
        </w:rPr>
        <w:t>22</w:t>
      </w:r>
      <w:r w:rsidR="00971652" w:rsidRPr="00A058B6">
        <w:t xml:space="preserve">  Valuation factors—5</w:t>
      </w:r>
      <w:r w:rsidR="001952B3">
        <w:noBreakHyphen/>
      </w:r>
      <w:r w:rsidR="00971652" w:rsidRPr="00A058B6">
        <w:t>year guarantee period—pension</w:t>
      </w:r>
      <w:r w:rsidR="00971652">
        <w:t xml:space="preserve"> indexed at 4%</w:t>
      </w:r>
      <w:bookmarkEnd w:id="260"/>
    </w:p>
    <w:p w14:paraId="3D9A8A24" w14:textId="77777777" w:rsidR="00971652" w:rsidRPr="00A058B6" w:rsidRDefault="00971652" w:rsidP="00971652">
      <w:pPr>
        <w:pStyle w:val="subsection"/>
      </w:pPr>
      <w:r w:rsidRPr="00A058B6">
        <w:tab/>
      </w:r>
      <w:r w:rsidRPr="00A058B6">
        <w:tab/>
        <w:t>The pension valuation factors and reversion valuation factors set out in this clause apply if the pension:</w:t>
      </w:r>
    </w:p>
    <w:p w14:paraId="6CB25826" w14:textId="3D23AB93" w:rsidR="00971652" w:rsidRPr="00A058B6" w:rsidRDefault="00971652" w:rsidP="00971652">
      <w:pPr>
        <w:pStyle w:val="paragraph"/>
      </w:pPr>
      <w:r w:rsidRPr="00A058B6">
        <w:tab/>
        <w:t>(a)</w:t>
      </w:r>
      <w:r w:rsidRPr="00A058B6">
        <w:tab/>
        <w:t>has a 5</w:t>
      </w:r>
      <w:r w:rsidR="001952B3">
        <w:noBreakHyphen/>
      </w:r>
      <w:r w:rsidRPr="00A058B6">
        <w:t>year guarantee period; and</w:t>
      </w:r>
    </w:p>
    <w:p w14:paraId="10EC982D" w14:textId="77777777" w:rsidR="00971652" w:rsidRPr="00A058B6" w:rsidRDefault="00971652" w:rsidP="00971652">
      <w:pPr>
        <w:pStyle w:val="paragraph"/>
      </w:pPr>
      <w:r w:rsidRPr="00A058B6">
        <w:tab/>
        <w:t>(b)</w:t>
      </w:r>
      <w:r w:rsidRPr="00A058B6">
        <w:tab/>
        <w:t xml:space="preserve">is indexed </w:t>
      </w:r>
      <w:r>
        <w:t>at 4%</w:t>
      </w:r>
      <w:r w:rsidR="00D7157D">
        <w:t>.</w:t>
      </w:r>
    </w:p>
    <w:p w14:paraId="5F96BF40" w14:textId="77777777" w:rsidR="00971652" w:rsidRPr="00A058B6" w:rsidRDefault="00971652" w:rsidP="00971652">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971652" w:rsidRPr="00A058B6" w14:paraId="74F5FEB6" w14:textId="77777777" w:rsidTr="00963115">
        <w:trPr>
          <w:cantSplit/>
          <w:trHeight w:val="375"/>
          <w:tblHeader/>
          <w:jc w:val="right"/>
        </w:trPr>
        <w:tc>
          <w:tcPr>
            <w:tcW w:w="1705" w:type="pct"/>
            <w:vMerge w:val="restart"/>
            <w:tcBorders>
              <w:top w:val="single" w:sz="12" w:space="0" w:color="auto"/>
              <w:bottom w:val="single" w:sz="12" w:space="0" w:color="auto"/>
            </w:tcBorders>
          </w:tcPr>
          <w:p w14:paraId="3533F057" w14:textId="77777777" w:rsidR="00971652" w:rsidRPr="00A058B6" w:rsidRDefault="00971652"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2497F746" w14:textId="0C8DFD0C" w:rsidR="00971652" w:rsidRPr="00A058B6" w:rsidRDefault="00971652"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 xml:space="preserve">year guarantee period—pension indexed at </w:t>
            </w:r>
            <w:r>
              <w:rPr>
                <w:snapToGrid w:val="0"/>
              </w:rPr>
              <w:t>4</w:t>
            </w:r>
            <w:r w:rsidRPr="00A058B6">
              <w:rPr>
                <w:snapToGrid w:val="0"/>
              </w:rPr>
              <w:t>%</w:t>
            </w:r>
          </w:p>
        </w:tc>
      </w:tr>
      <w:tr w:rsidR="00971652" w:rsidRPr="00A058B6" w14:paraId="2DFDD29D" w14:textId="77777777" w:rsidTr="00963115">
        <w:trPr>
          <w:cantSplit/>
          <w:trHeight w:val="60"/>
          <w:tblHeader/>
          <w:jc w:val="right"/>
        </w:trPr>
        <w:tc>
          <w:tcPr>
            <w:tcW w:w="1705" w:type="pct"/>
            <w:vMerge/>
            <w:tcBorders>
              <w:bottom w:val="single" w:sz="12" w:space="0" w:color="auto"/>
            </w:tcBorders>
          </w:tcPr>
          <w:p w14:paraId="1C39747F" w14:textId="77777777" w:rsidR="00971652" w:rsidRPr="00A058B6" w:rsidRDefault="00971652" w:rsidP="00963115">
            <w:pPr>
              <w:pStyle w:val="TableHeading"/>
              <w:rPr>
                <w:snapToGrid w:val="0"/>
              </w:rPr>
            </w:pPr>
          </w:p>
        </w:tc>
        <w:tc>
          <w:tcPr>
            <w:tcW w:w="1429" w:type="pct"/>
            <w:tcBorders>
              <w:bottom w:val="single" w:sz="12" w:space="0" w:color="auto"/>
            </w:tcBorders>
          </w:tcPr>
          <w:p w14:paraId="6336E0A9" w14:textId="77777777" w:rsidR="00971652" w:rsidRPr="00A058B6" w:rsidRDefault="00971652"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4B5599E5" w14:textId="77777777" w:rsidR="00971652" w:rsidRPr="00A058B6" w:rsidRDefault="00971652" w:rsidP="00963115">
            <w:pPr>
              <w:pStyle w:val="TableHeading"/>
              <w:rPr>
                <w:snapToGrid w:val="0"/>
              </w:rPr>
            </w:pPr>
            <w:r w:rsidRPr="00A058B6">
              <w:rPr>
                <w:snapToGrid w:val="0"/>
              </w:rPr>
              <w:t>Female</w:t>
            </w:r>
          </w:p>
        </w:tc>
      </w:tr>
      <w:tr w:rsidR="00971652" w:rsidRPr="009E2595" w14:paraId="7594D09C" w14:textId="77777777" w:rsidTr="00055CFA">
        <w:trPr>
          <w:trHeight w:val="245"/>
          <w:jc w:val="right"/>
        </w:trPr>
        <w:tc>
          <w:tcPr>
            <w:tcW w:w="1705" w:type="pct"/>
            <w:tcBorders>
              <w:top w:val="single" w:sz="12" w:space="0" w:color="auto"/>
              <w:bottom w:val="single" w:sz="4" w:space="0" w:color="auto"/>
            </w:tcBorders>
          </w:tcPr>
          <w:p w14:paraId="7D85A480" w14:textId="77777777" w:rsidR="00971652" w:rsidRPr="009B1322" w:rsidRDefault="00971652" w:rsidP="00A12E52">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0B04D00B" w14:textId="77777777" w:rsidR="00971652" w:rsidRPr="009B1322" w:rsidRDefault="00971652" w:rsidP="00A12E52">
            <w:pPr>
              <w:pStyle w:val="Tabletext"/>
              <w:rPr>
                <w:snapToGrid w:val="0"/>
              </w:rPr>
            </w:pPr>
            <w:r w:rsidRPr="00295986">
              <w:t>24</w:t>
            </w:r>
            <w:r w:rsidR="00D7157D">
              <w:t>.</w:t>
            </w:r>
            <w:r w:rsidRPr="00295986">
              <w:t>3944</w:t>
            </w:r>
          </w:p>
        </w:tc>
        <w:tc>
          <w:tcPr>
            <w:tcW w:w="1866" w:type="pct"/>
            <w:tcBorders>
              <w:top w:val="single" w:sz="12" w:space="0" w:color="auto"/>
              <w:bottom w:val="single" w:sz="4" w:space="0" w:color="auto"/>
            </w:tcBorders>
            <w:vAlign w:val="center"/>
          </w:tcPr>
          <w:p w14:paraId="52ADEE1E" w14:textId="77777777" w:rsidR="00971652" w:rsidRPr="009B1322" w:rsidRDefault="00971652" w:rsidP="00A12E52">
            <w:pPr>
              <w:pStyle w:val="Tabletext"/>
              <w:rPr>
                <w:snapToGrid w:val="0"/>
              </w:rPr>
            </w:pPr>
            <w:r w:rsidRPr="00295986">
              <w:t>25</w:t>
            </w:r>
            <w:r w:rsidR="00D7157D">
              <w:t>.</w:t>
            </w:r>
            <w:r w:rsidRPr="00295986">
              <w:t>6636</w:t>
            </w:r>
          </w:p>
        </w:tc>
      </w:tr>
      <w:tr w:rsidR="00971652" w:rsidRPr="009E2595" w14:paraId="001A941E" w14:textId="77777777" w:rsidTr="00055CFA">
        <w:trPr>
          <w:trHeight w:val="245"/>
          <w:jc w:val="right"/>
        </w:trPr>
        <w:tc>
          <w:tcPr>
            <w:tcW w:w="1705" w:type="pct"/>
            <w:tcBorders>
              <w:top w:val="single" w:sz="4" w:space="0" w:color="auto"/>
              <w:bottom w:val="single" w:sz="4" w:space="0" w:color="auto"/>
            </w:tcBorders>
          </w:tcPr>
          <w:p w14:paraId="6913D719" w14:textId="77777777" w:rsidR="00971652" w:rsidRPr="009B1322" w:rsidRDefault="00971652" w:rsidP="00A12E52">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392FBF9C" w14:textId="77777777" w:rsidR="00971652" w:rsidRPr="009B1322" w:rsidRDefault="00971652" w:rsidP="00A12E52">
            <w:pPr>
              <w:pStyle w:val="Tabletext"/>
              <w:rPr>
                <w:snapToGrid w:val="0"/>
              </w:rPr>
            </w:pPr>
            <w:r w:rsidRPr="00295986">
              <w:t>23</w:t>
            </w:r>
            <w:r w:rsidR="00D7157D">
              <w:t>.</w:t>
            </w:r>
            <w:r w:rsidRPr="00295986">
              <w:t>8674</w:t>
            </w:r>
          </w:p>
        </w:tc>
        <w:tc>
          <w:tcPr>
            <w:tcW w:w="1866" w:type="pct"/>
            <w:tcBorders>
              <w:top w:val="single" w:sz="4" w:space="0" w:color="auto"/>
              <w:bottom w:val="single" w:sz="4" w:space="0" w:color="auto"/>
            </w:tcBorders>
            <w:vAlign w:val="center"/>
          </w:tcPr>
          <w:p w14:paraId="77D6A23A" w14:textId="77777777" w:rsidR="00971652" w:rsidRPr="009B1322" w:rsidRDefault="00971652" w:rsidP="00A12E52">
            <w:pPr>
              <w:pStyle w:val="Tabletext"/>
              <w:rPr>
                <w:snapToGrid w:val="0"/>
              </w:rPr>
            </w:pPr>
            <w:r w:rsidRPr="00295986">
              <w:t>25</w:t>
            </w:r>
            <w:r w:rsidR="00D7157D">
              <w:t>.</w:t>
            </w:r>
            <w:r w:rsidRPr="00295986">
              <w:t>1466</w:t>
            </w:r>
          </w:p>
        </w:tc>
      </w:tr>
      <w:tr w:rsidR="00971652" w:rsidRPr="009E2595" w14:paraId="135FF1D0" w14:textId="77777777" w:rsidTr="00055CFA">
        <w:trPr>
          <w:trHeight w:val="245"/>
          <w:jc w:val="right"/>
        </w:trPr>
        <w:tc>
          <w:tcPr>
            <w:tcW w:w="1705" w:type="pct"/>
            <w:tcBorders>
              <w:top w:val="single" w:sz="4" w:space="0" w:color="auto"/>
              <w:bottom w:val="single" w:sz="4" w:space="0" w:color="auto"/>
            </w:tcBorders>
          </w:tcPr>
          <w:p w14:paraId="16B0FEEB" w14:textId="77777777" w:rsidR="00971652" w:rsidRPr="009B1322" w:rsidRDefault="00971652" w:rsidP="00A12E52">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1F3043CF" w14:textId="77777777" w:rsidR="00971652" w:rsidRPr="009B1322" w:rsidRDefault="00971652" w:rsidP="00A12E52">
            <w:pPr>
              <w:pStyle w:val="Tabletext"/>
              <w:rPr>
                <w:snapToGrid w:val="0"/>
              </w:rPr>
            </w:pPr>
            <w:r w:rsidRPr="00295986">
              <w:t>23</w:t>
            </w:r>
            <w:r w:rsidR="00D7157D">
              <w:t>.</w:t>
            </w:r>
            <w:r w:rsidRPr="00295986">
              <w:t>3307</w:t>
            </w:r>
          </w:p>
        </w:tc>
        <w:tc>
          <w:tcPr>
            <w:tcW w:w="1866" w:type="pct"/>
            <w:tcBorders>
              <w:top w:val="single" w:sz="4" w:space="0" w:color="auto"/>
              <w:bottom w:val="single" w:sz="4" w:space="0" w:color="auto"/>
            </w:tcBorders>
            <w:vAlign w:val="center"/>
          </w:tcPr>
          <w:p w14:paraId="19A61428" w14:textId="77777777" w:rsidR="00971652" w:rsidRPr="009B1322" w:rsidRDefault="00971652" w:rsidP="00A12E52">
            <w:pPr>
              <w:pStyle w:val="Tabletext"/>
              <w:rPr>
                <w:snapToGrid w:val="0"/>
              </w:rPr>
            </w:pPr>
            <w:r w:rsidRPr="00295986">
              <w:t>24</w:t>
            </w:r>
            <w:r w:rsidR="00D7157D">
              <w:t>.</w:t>
            </w:r>
            <w:r w:rsidRPr="00295986">
              <w:t>6215</w:t>
            </w:r>
          </w:p>
        </w:tc>
      </w:tr>
      <w:tr w:rsidR="00971652" w:rsidRPr="009E2595" w14:paraId="0BB7D7AC" w14:textId="77777777" w:rsidTr="00055CFA">
        <w:trPr>
          <w:trHeight w:val="245"/>
          <w:jc w:val="right"/>
        </w:trPr>
        <w:tc>
          <w:tcPr>
            <w:tcW w:w="1705" w:type="pct"/>
            <w:tcBorders>
              <w:top w:val="single" w:sz="4" w:space="0" w:color="auto"/>
              <w:bottom w:val="single" w:sz="4" w:space="0" w:color="auto"/>
            </w:tcBorders>
          </w:tcPr>
          <w:p w14:paraId="62CC83A4" w14:textId="77777777" w:rsidR="00971652" w:rsidRPr="009B1322" w:rsidRDefault="00971652" w:rsidP="00A12E52">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5AE30491" w14:textId="77777777" w:rsidR="00971652" w:rsidRPr="009B1322" w:rsidRDefault="00971652" w:rsidP="00A12E52">
            <w:pPr>
              <w:pStyle w:val="Tabletext"/>
              <w:rPr>
                <w:snapToGrid w:val="0"/>
              </w:rPr>
            </w:pPr>
            <w:r w:rsidRPr="00295986">
              <w:t>22</w:t>
            </w:r>
            <w:r w:rsidR="00D7157D">
              <w:t>.</w:t>
            </w:r>
            <w:r w:rsidRPr="00295986">
              <w:t>7841</w:t>
            </w:r>
          </w:p>
        </w:tc>
        <w:tc>
          <w:tcPr>
            <w:tcW w:w="1866" w:type="pct"/>
            <w:tcBorders>
              <w:top w:val="single" w:sz="4" w:space="0" w:color="auto"/>
              <w:bottom w:val="single" w:sz="4" w:space="0" w:color="auto"/>
            </w:tcBorders>
            <w:vAlign w:val="center"/>
          </w:tcPr>
          <w:p w14:paraId="52330E49" w14:textId="77777777" w:rsidR="00971652" w:rsidRPr="009B1322" w:rsidRDefault="00971652" w:rsidP="00A12E52">
            <w:pPr>
              <w:pStyle w:val="Tabletext"/>
              <w:rPr>
                <w:snapToGrid w:val="0"/>
              </w:rPr>
            </w:pPr>
            <w:r w:rsidRPr="00295986">
              <w:t>24</w:t>
            </w:r>
            <w:r w:rsidR="00D7157D">
              <w:t>.</w:t>
            </w:r>
            <w:r w:rsidRPr="00295986">
              <w:t>0872</w:t>
            </w:r>
          </w:p>
        </w:tc>
      </w:tr>
      <w:tr w:rsidR="00971652" w:rsidRPr="009E2595" w14:paraId="0555E703" w14:textId="77777777" w:rsidTr="00055CFA">
        <w:trPr>
          <w:trHeight w:val="245"/>
          <w:jc w:val="right"/>
        </w:trPr>
        <w:tc>
          <w:tcPr>
            <w:tcW w:w="1705" w:type="pct"/>
            <w:tcBorders>
              <w:top w:val="single" w:sz="4" w:space="0" w:color="auto"/>
              <w:bottom w:val="single" w:sz="4" w:space="0" w:color="auto"/>
            </w:tcBorders>
          </w:tcPr>
          <w:p w14:paraId="26D98A19" w14:textId="77777777" w:rsidR="00971652" w:rsidRPr="009B1322" w:rsidRDefault="00971652" w:rsidP="00A12E52">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0293A5CC" w14:textId="77777777" w:rsidR="00971652" w:rsidRPr="009B1322" w:rsidRDefault="00971652" w:rsidP="00A12E52">
            <w:pPr>
              <w:pStyle w:val="Tabletext"/>
              <w:rPr>
                <w:snapToGrid w:val="0"/>
              </w:rPr>
            </w:pPr>
            <w:r w:rsidRPr="00295986">
              <w:t>22</w:t>
            </w:r>
            <w:r w:rsidR="00D7157D">
              <w:t>.</w:t>
            </w:r>
            <w:r w:rsidRPr="00295986">
              <w:t>2273</w:t>
            </w:r>
          </w:p>
        </w:tc>
        <w:tc>
          <w:tcPr>
            <w:tcW w:w="1866" w:type="pct"/>
            <w:tcBorders>
              <w:top w:val="single" w:sz="4" w:space="0" w:color="auto"/>
              <w:bottom w:val="single" w:sz="4" w:space="0" w:color="auto"/>
            </w:tcBorders>
            <w:vAlign w:val="center"/>
          </w:tcPr>
          <w:p w14:paraId="754C25E0" w14:textId="77777777" w:rsidR="00971652" w:rsidRPr="009B1322" w:rsidRDefault="00971652" w:rsidP="00A12E52">
            <w:pPr>
              <w:pStyle w:val="Tabletext"/>
              <w:rPr>
                <w:snapToGrid w:val="0"/>
              </w:rPr>
            </w:pPr>
            <w:r w:rsidRPr="00295986">
              <w:t>23</w:t>
            </w:r>
            <w:r w:rsidR="00D7157D">
              <w:t>.</w:t>
            </w:r>
            <w:r w:rsidRPr="00295986">
              <w:t>5435</w:t>
            </w:r>
          </w:p>
        </w:tc>
      </w:tr>
      <w:tr w:rsidR="00971652" w:rsidRPr="009E2595" w14:paraId="00648BFD" w14:textId="77777777" w:rsidTr="00055CFA">
        <w:trPr>
          <w:trHeight w:val="245"/>
          <w:jc w:val="right"/>
        </w:trPr>
        <w:tc>
          <w:tcPr>
            <w:tcW w:w="1705" w:type="pct"/>
            <w:tcBorders>
              <w:top w:val="single" w:sz="4" w:space="0" w:color="auto"/>
              <w:bottom w:val="single" w:sz="4" w:space="0" w:color="auto"/>
            </w:tcBorders>
          </w:tcPr>
          <w:p w14:paraId="4B8C0008" w14:textId="77777777" w:rsidR="00971652" w:rsidRPr="009B1322" w:rsidRDefault="00971652" w:rsidP="00A12E52">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54EA179C" w14:textId="77777777" w:rsidR="00971652" w:rsidRPr="009B1322" w:rsidRDefault="00971652" w:rsidP="00A12E52">
            <w:pPr>
              <w:pStyle w:val="Tabletext"/>
              <w:rPr>
                <w:snapToGrid w:val="0"/>
              </w:rPr>
            </w:pPr>
            <w:r w:rsidRPr="00295986">
              <w:t>21</w:t>
            </w:r>
            <w:r w:rsidR="00D7157D">
              <w:t>.</w:t>
            </w:r>
            <w:r w:rsidRPr="00295986">
              <w:t>6606</w:t>
            </w:r>
          </w:p>
        </w:tc>
        <w:tc>
          <w:tcPr>
            <w:tcW w:w="1866" w:type="pct"/>
            <w:tcBorders>
              <w:top w:val="single" w:sz="4" w:space="0" w:color="auto"/>
              <w:bottom w:val="single" w:sz="4" w:space="0" w:color="auto"/>
            </w:tcBorders>
            <w:vAlign w:val="center"/>
          </w:tcPr>
          <w:p w14:paraId="33989A4F" w14:textId="77777777" w:rsidR="00971652" w:rsidRPr="009B1322" w:rsidRDefault="00971652" w:rsidP="00A12E52">
            <w:pPr>
              <w:pStyle w:val="Tabletext"/>
              <w:rPr>
                <w:snapToGrid w:val="0"/>
              </w:rPr>
            </w:pPr>
            <w:r w:rsidRPr="00295986">
              <w:t>22</w:t>
            </w:r>
            <w:r w:rsidR="00D7157D">
              <w:t>.</w:t>
            </w:r>
            <w:r w:rsidRPr="00295986">
              <w:t>9900</w:t>
            </w:r>
          </w:p>
        </w:tc>
      </w:tr>
      <w:tr w:rsidR="00971652" w:rsidRPr="009E2595" w14:paraId="2D2D3477" w14:textId="77777777" w:rsidTr="00055CFA">
        <w:trPr>
          <w:trHeight w:val="245"/>
          <w:jc w:val="right"/>
        </w:trPr>
        <w:tc>
          <w:tcPr>
            <w:tcW w:w="1705" w:type="pct"/>
            <w:tcBorders>
              <w:top w:val="single" w:sz="4" w:space="0" w:color="auto"/>
              <w:bottom w:val="single" w:sz="4" w:space="0" w:color="auto"/>
            </w:tcBorders>
          </w:tcPr>
          <w:p w14:paraId="2C5B20BC" w14:textId="77777777" w:rsidR="00971652" w:rsidRPr="009B1322" w:rsidRDefault="00971652" w:rsidP="00A12E52">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3F038C23" w14:textId="77777777" w:rsidR="00971652" w:rsidRPr="009B1322" w:rsidRDefault="00971652" w:rsidP="00A12E52">
            <w:pPr>
              <w:pStyle w:val="Tabletext"/>
              <w:rPr>
                <w:snapToGrid w:val="0"/>
              </w:rPr>
            </w:pPr>
            <w:r w:rsidRPr="00295986">
              <w:t>21</w:t>
            </w:r>
            <w:r w:rsidR="00D7157D">
              <w:t>.</w:t>
            </w:r>
            <w:r w:rsidRPr="00295986">
              <w:t>0845</w:t>
            </w:r>
          </w:p>
        </w:tc>
        <w:tc>
          <w:tcPr>
            <w:tcW w:w="1866" w:type="pct"/>
            <w:tcBorders>
              <w:top w:val="single" w:sz="4" w:space="0" w:color="auto"/>
              <w:bottom w:val="single" w:sz="4" w:space="0" w:color="auto"/>
            </w:tcBorders>
            <w:vAlign w:val="center"/>
          </w:tcPr>
          <w:p w14:paraId="0623F9A7" w14:textId="77777777" w:rsidR="00971652" w:rsidRPr="009B1322" w:rsidRDefault="00971652" w:rsidP="00A12E52">
            <w:pPr>
              <w:pStyle w:val="Tabletext"/>
              <w:rPr>
                <w:snapToGrid w:val="0"/>
              </w:rPr>
            </w:pPr>
            <w:r w:rsidRPr="00295986">
              <w:t>22</w:t>
            </w:r>
            <w:r w:rsidR="00D7157D">
              <w:t>.</w:t>
            </w:r>
            <w:r w:rsidRPr="00295986">
              <w:t>4264</w:t>
            </w:r>
          </w:p>
        </w:tc>
      </w:tr>
      <w:tr w:rsidR="00971652" w:rsidRPr="009E2595" w14:paraId="75EB6A1A" w14:textId="77777777" w:rsidTr="00055CFA">
        <w:trPr>
          <w:trHeight w:val="245"/>
          <w:jc w:val="right"/>
        </w:trPr>
        <w:tc>
          <w:tcPr>
            <w:tcW w:w="1705" w:type="pct"/>
            <w:tcBorders>
              <w:top w:val="single" w:sz="4" w:space="0" w:color="auto"/>
              <w:bottom w:val="single" w:sz="4" w:space="0" w:color="auto"/>
            </w:tcBorders>
          </w:tcPr>
          <w:p w14:paraId="3A4286EF" w14:textId="77777777" w:rsidR="00971652" w:rsidRPr="009B1322" w:rsidRDefault="00971652" w:rsidP="00A12E52">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253F402A" w14:textId="77777777" w:rsidR="00971652" w:rsidRPr="009B1322" w:rsidRDefault="00971652" w:rsidP="00A12E52">
            <w:pPr>
              <w:pStyle w:val="Tabletext"/>
              <w:rPr>
                <w:snapToGrid w:val="0"/>
              </w:rPr>
            </w:pPr>
            <w:r w:rsidRPr="00295986">
              <w:t>20</w:t>
            </w:r>
            <w:r w:rsidR="00D7157D">
              <w:t>.</w:t>
            </w:r>
            <w:r w:rsidRPr="00295986">
              <w:t>4992</w:t>
            </w:r>
          </w:p>
        </w:tc>
        <w:tc>
          <w:tcPr>
            <w:tcW w:w="1866" w:type="pct"/>
            <w:tcBorders>
              <w:top w:val="single" w:sz="4" w:space="0" w:color="auto"/>
              <w:bottom w:val="single" w:sz="4" w:space="0" w:color="auto"/>
            </w:tcBorders>
            <w:vAlign w:val="center"/>
          </w:tcPr>
          <w:p w14:paraId="068D4DB9" w14:textId="77777777" w:rsidR="00971652" w:rsidRPr="009B1322" w:rsidRDefault="00971652" w:rsidP="00A12E52">
            <w:pPr>
              <w:pStyle w:val="Tabletext"/>
              <w:rPr>
                <w:snapToGrid w:val="0"/>
              </w:rPr>
            </w:pPr>
            <w:r w:rsidRPr="00295986">
              <w:t>21</w:t>
            </w:r>
            <w:r w:rsidR="00D7157D">
              <w:t>.</w:t>
            </w:r>
            <w:r w:rsidRPr="00295986">
              <w:t>8536</w:t>
            </w:r>
          </w:p>
        </w:tc>
      </w:tr>
      <w:tr w:rsidR="00971652" w:rsidRPr="009E2595" w14:paraId="0623C83C" w14:textId="77777777" w:rsidTr="00055CFA">
        <w:trPr>
          <w:trHeight w:val="245"/>
          <w:jc w:val="right"/>
        </w:trPr>
        <w:tc>
          <w:tcPr>
            <w:tcW w:w="1705" w:type="pct"/>
            <w:tcBorders>
              <w:top w:val="single" w:sz="4" w:space="0" w:color="auto"/>
              <w:bottom w:val="single" w:sz="4" w:space="0" w:color="auto"/>
            </w:tcBorders>
          </w:tcPr>
          <w:p w14:paraId="6352549D" w14:textId="77777777" w:rsidR="00971652" w:rsidRPr="009B1322" w:rsidRDefault="00971652" w:rsidP="00A12E52">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6884FDE6" w14:textId="77777777" w:rsidR="00971652" w:rsidRPr="009B1322" w:rsidRDefault="00971652" w:rsidP="00A12E52">
            <w:pPr>
              <w:pStyle w:val="Tabletext"/>
              <w:rPr>
                <w:snapToGrid w:val="0"/>
              </w:rPr>
            </w:pPr>
            <w:r w:rsidRPr="00295986">
              <w:t>19</w:t>
            </w:r>
            <w:r w:rsidR="00D7157D">
              <w:t>.</w:t>
            </w:r>
            <w:r w:rsidRPr="00295986">
              <w:t>9053</w:t>
            </w:r>
          </w:p>
        </w:tc>
        <w:tc>
          <w:tcPr>
            <w:tcW w:w="1866" w:type="pct"/>
            <w:tcBorders>
              <w:top w:val="single" w:sz="4" w:space="0" w:color="auto"/>
              <w:bottom w:val="single" w:sz="4" w:space="0" w:color="auto"/>
            </w:tcBorders>
            <w:vAlign w:val="center"/>
          </w:tcPr>
          <w:p w14:paraId="510D4BDA" w14:textId="77777777" w:rsidR="00971652" w:rsidRPr="009B1322" w:rsidRDefault="00971652" w:rsidP="00A12E52">
            <w:pPr>
              <w:pStyle w:val="Tabletext"/>
              <w:rPr>
                <w:snapToGrid w:val="0"/>
              </w:rPr>
            </w:pPr>
            <w:r w:rsidRPr="00295986">
              <w:t>21</w:t>
            </w:r>
            <w:r w:rsidR="00D7157D">
              <w:t>.</w:t>
            </w:r>
            <w:r w:rsidRPr="00295986">
              <w:t>2718</w:t>
            </w:r>
          </w:p>
        </w:tc>
      </w:tr>
      <w:tr w:rsidR="00971652" w:rsidRPr="009E2595" w14:paraId="583615B5" w14:textId="77777777" w:rsidTr="00055CFA">
        <w:trPr>
          <w:trHeight w:val="245"/>
          <w:jc w:val="right"/>
        </w:trPr>
        <w:tc>
          <w:tcPr>
            <w:tcW w:w="1705" w:type="pct"/>
            <w:tcBorders>
              <w:top w:val="single" w:sz="4" w:space="0" w:color="auto"/>
              <w:bottom w:val="single" w:sz="4" w:space="0" w:color="auto"/>
            </w:tcBorders>
          </w:tcPr>
          <w:p w14:paraId="25C557B3" w14:textId="77777777" w:rsidR="00971652" w:rsidRPr="009B1322" w:rsidRDefault="00971652" w:rsidP="00A12E52">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1EC246D2" w14:textId="77777777" w:rsidR="00971652" w:rsidRPr="009B1322" w:rsidRDefault="00971652" w:rsidP="00A12E52">
            <w:pPr>
              <w:pStyle w:val="Tabletext"/>
              <w:rPr>
                <w:snapToGrid w:val="0"/>
              </w:rPr>
            </w:pPr>
            <w:r w:rsidRPr="00295986">
              <w:t>19</w:t>
            </w:r>
            <w:r w:rsidR="00D7157D">
              <w:t>.</w:t>
            </w:r>
            <w:r w:rsidRPr="00295986">
              <w:t>3031</w:t>
            </w:r>
          </w:p>
        </w:tc>
        <w:tc>
          <w:tcPr>
            <w:tcW w:w="1866" w:type="pct"/>
            <w:tcBorders>
              <w:top w:val="single" w:sz="4" w:space="0" w:color="auto"/>
              <w:bottom w:val="single" w:sz="4" w:space="0" w:color="auto"/>
            </w:tcBorders>
            <w:vAlign w:val="center"/>
          </w:tcPr>
          <w:p w14:paraId="1E23A322" w14:textId="77777777" w:rsidR="00971652" w:rsidRPr="009B1322" w:rsidRDefault="00971652" w:rsidP="00A12E52">
            <w:pPr>
              <w:pStyle w:val="Tabletext"/>
              <w:rPr>
                <w:snapToGrid w:val="0"/>
              </w:rPr>
            </w:pPr>
            <w:r w:rsidRPr="00295986">
              <w:t>20</w:t>
            </w:r>
            <w:r w:rsidR="00D7157D">
              <w:t>.</w:t>
            </w:r>
            <w:r w:rsidRPr="00295986">
              <w:t>6814</w:t>
            </w:r>
          </w:p>
        </w:tc>
      </w:tr>
      <w:tr w:rsidR="00971652" w:rsidRPr="009E2595" w14:paraId="0A63EAC4" w14:textId="77777777" w:rsidTr="00055CFA">
        <w:trPr>
          <w:trHeight w:val="245"/>
          <w:jc w:val="right"/>
        </w:trPr>
        <w:tc>
          <w:tcPr>
            <w:tcW w:w="1705" w:type="pct"/>
            <w:tcBorders>
              <w:top w:val="single" w:sz="4" w:space="0" w:color="auto"/>
              <w:bottom w:val="single" w:sz="12" w:space="0" w:color="auto"/>
            </w:tcBorders>
          </w:tcPr>
          <w:p w14:paraId="2DEBB019" w14:textId="77777777" w:rsidR="00971652" w:rsidRPr="009B1322" w:rsidRDefault="00971652" w:rsidP="00A12E52">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45CF85C6" w14:textId="77777777" w:rsidR="00971652" w:rsidRPr="009B1322" w:rsidRDefault="00971652" w:rsidP="00A12E52">
            <w:pPr>
              <w:pStyle w:val="Tabletext"/>
              <w:rPr>
                <w:snapToGrid w:val="0"/>
              </w:rPr>
            </w:pPr>
            <w:r w:rsidRPr="00295986">
              <w:t>18</w:t>
            </w:r>
            <w:r w:rsidR="00D7157D">
              <w:t>.</w:t>
            </w:r>
            <w:r w:rsidRPr="00295986">
              <w:t>6947</w:t>
            </w:r>
          </w:p>
        </w:tc>
        <w:tc>
          <w:tcPr>
            <w:tcW w:w="1866" w:type="pct"/>
            <w:tcBorders>
              <w:top w:val="single" w:sz="4" w:space="0" w:color="auto"/>
              <w:bottom w:val="single" w:sz="12" w:space="0" w:color="auto"/>
            </w:tcBorders>
            <w:vAlign w:val="center"/>
          </w:tcPr>
          <w:p w14:paraId="454BDCD7" w14:textId="77777777" w:rsidR="00971652" w:rsidRPr="009B1322" w:rsidRDefault="00971652" w:rsidP="00A12E52">
            <w:pPr>
              <w:pStyle w:val="Tabletext"/>
              <w:rPr>
                <w:snapToGrid w:val="0"/>
              </w:rPr>
            </w:pPr>
            <w:r w:rsidRPr="00295986">
              <w:t>20</w:t>
            </w:r>
            <w:r w:rsidR="00D7157D">
              <w:t>.</w:t>
            </w:r>
            <w:r w:rsidRPr="00295986">
              <w:t>0840</w:t>
            </w:r>
          </w:p>
        </w:tc>
      </w:tr>
    </w:tbl>
    <w:p w14:paraId="36321FB2" w14:textId="77777777" w:rsidR="00971652" w:rsidRPr="00A058B6" w:rsidRDefault="00971652" w:rsidP="00971652">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971652" w:rsidRPr="00A058B6" w14:paraId="1D8BA0CF" w14:textId="77777777" w:rsidTr="00963115">
        <w:trPr>
          <w:cantSplit/>
          <w:trHeight w:val="375"/>
          <w:tblHeader/>
          <w:jc w:val="right"/>
        </w:trPr>
        <w:tc>
          <w:tcPr>
            <w:tcW w:w="1705" w:type="pct"/>
            <w:vMerge w:val="restart"/>
            <w:tcBorders>
              <w:top w:val="single" w:sz="12" w:space="0" w:color="auto"/>
            </w:tcBorders>
          </w:tcPr>
          <w:p w14:paraId="3BF6B5DF" w14:textId="77777777" w:rsidR="00971652" w:rsidRPr="00A058B6" w:rsidRDefault="00971652"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02AC0D6C" w14:textId="0A221950" w:rsidR="00971652" w:rsidRPr="00A058B6" w:rsidRDefault="00971652"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 xml:space="preserve">year guarantee period—pension indexed at </w:t>
            </w:r>
            <w:r>
              <w:rPr>
                <w:snapToGrid w:val="0"/>
              </w:rPr>
              <w:t>4</w:t>
            </w:r>
            <w:r w:rsidRPr="00A058B6">
              <w:rPr>
                <w:snapToGrid w:val="0"/>
              </w:rPr>
              <w:t>%</w:t>
            </w:r>
          </w:p>
        </w:tc>
      </w:tr>
      <w:tr w:rsidR="00971652" w:rsidRPr="00A058B6" w14:paraId="4DDED9CF" w14:textId="77777777" w:rsidTr="00963115">
        <w:trPr>
          <w:cantSplit/>
          <w:trHeight w:val="60"/>
          <w:tblHeader/>
          <w:jc w:val="right"/>
        </w:trPr>
        <w:tc>
          <w:tcPr>
            <w:tcW w:w="1705" w:type="pct"/>
            <w:vMerge/>
            <w:tcBorders>
              <w:bottom w:val="single" w:sz="12" w:space="0" w:color="auto"/>
            </w:tcBorders>
          </w:tcPr>
          <w:p w14:paraId="10A4DE00" w14:textId="77777777" w:rsidR="00971652" w:rsidRPr="00A058B6" w:rsidRDefault="00971652" w:rsidP="00963115">
            <w:pPr>
              <w:pStyle w:val="TableHeading"/>
              <w:rPr>
                <w:snapToGrid w:val="0"/>
              </w:rPr>
            </w:pPr>
          </w:p>
        </w:tc>
        <w:tc>
          <w:tcPr>
            <w:tcW w:w="1417" w:type="pct"/>
            <w:tcBorders>
              <w:bottom w:val="single" w:sz="12" w:space="0" w:color="auto"/>
            </w:tcBorders>
          </w:tcPr>
          <w:p w14:paraId="1FE56458" w14:textId="77777777" w:rsidR="00971652" w:rsidRPr="00A058B6" w:rsidRDefault="00971652"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3E473C3E" w14:textId="77777777" w:rsidR="00971652" w:rsidRPr="00A058B6" w:rsidRDefault="00971652" w:rsidP="00963115">
            <w:pPr>
              <w:pStyle w:val="TableHeading"/>
              <w:rPr>
                <w:snapToGrid w:val="0"/>
              </w:rPr>
            </w:pPr>
            <w:r w:rsidRPr="00A058B6">
              <w:rPr>
                <w:snapToGrid w:val="0"/>
              </w:rPr>
              <w:t>Female</w:t>
            </w:r>
          </w:p>
        </w:tc>
      </w:tr>
      <w:tr w:rsidR="00971652" w:rsidRPr="009E2595" w14:paraId="0D0EBB8F" w14:textId="77777777" w:rsidTr="00055CFA">
        <w:trPr>
          <w:trHeight w:val="245"/>
          <w:jc w:val="right"/>
        </w:trPr>
        <w:tc>
          <w:tcPr>
            <w:tcW w:w="1705" w:type="pct"/>
            <w:tcBorders>
              <w:top w:val="single" w:sz="12" w:space="0" w:color="auto"/>
              <w:bottom w:val="single" w:sz="4" w:space="0" w:color="auto"/>
            </w:tcBorders>
          </w:tcPr>
          <w:p w14:paraId="7956B862" w14:textId="77777777" w:rsidR="00971652" w:rsidRPr="00616B26" w:rsidRDefault="00971652" w:rsidP="00A12E52">
            <w:pPr>
              <w:pStyle w:val="Tabletext"/>
              <w:rPr>
                <w:snapToGrid w:val="0"/>
              </w:rPr>
            </w:pPr>
            <w:r w:rsidRPr="00616B26">
              <w:rPr>
                <w:snapToGrid w:val="0"/>
              </w:rPr>
              <w:t>Up to 40</w:t>
            </w:r>
          </w:p>
        </w:tc>
        <w:tc>
          <w:tcPr>
            <w:tcW w:w="1417" w:type="pct"/>
            <w:tcBorders>
              <w:top w:val="single" w:sz="12" w:space="0" w:color="auto"/>
              <w:bottom w:val="single" w:sz="4" w:space="0" w:color="auto"/>
            </w:tcBorders>
            <w:vAlign w:val="bottom"/>
          </w:tcPr>
          <w:p w14:paraId="0EEC6DCF" w14:textId="77777777" w:rsidR="00971652" w:rsidRPr="009B1322" w:rsidRDefault="00971652" w:rsidP="00A12E52">
            <w:pPr>
              <w:pStyle w:val="Tabletext"/>
              <w:rPr>
                <w:snapToGrid w:val="0"/>
              </w:rPr>
            </w:pPr>
            <w:r w:rsidRPr="00295986">
              <w:t>3</w:t>
            </w:r>
            <w:r w:rsidR="00D7157D">
              <w:t>.</w:t>
            </w:r>
            <w:r w:rsidRPr="00295986">
              <w:t>207</w:t>
            </w:r>
          </w:p>
        </w:tc>
        <w:tc>
          <w:tcPr>
            <w:tcW w:w="1878" w:type="pct"/>
            <w:tcBorders>
              <w:top w:val="single" w:sz="12" w:space="0" w:color="auto"/>
              <w:bottom w:val="single" w:sz="4" w:space="0" w:color="auto"/>
            </w:tcBorders>
            <w:vAlign w:val="bottom"/>
          </w:tcPr>
          <w:p w14:paraId="1F3D4863" w14:textId="77777777" w:rsidR="00971652" w:rsidRPr="009B1322" w:rsidRDefault="00971652" w:rsidP="00A12E52">
            <w:pPr>
              <w:pStyle w:val="Tabletext"/>
              <w:rPr>
                <w:snapToGrid w:val="0"/>
              </w:rPr>
            </w:pPr>
            <w:r w:rsidRPr="00295986">
              <w:t>1</w:t>
            </w:r>
            <w:r w:rsidR="00D7157D">
              <w:t>.</w:t>
            </w:r>
            <w:r w:rsidRPr="00295986">
              <w:t>353</w:t>
            </w:r>
          </w:p>
        </w:tc>
      </w:tr>
      <w:tr w:rsidR="00971652" w:rsidRPr="009E2595" w14:paraId="302935C4" w14:textId="77777777" w:rsidTr="00055CFA">
        <w:trPr>
          <w:trHeight w:val="245"/>
          <w:jc w:val="right"/>
        </w:trPr>
        <w:tc>
          <w:tcPr>
            <w:tcW w:w="1705" w:type="pct"/>
            <w:tcBorders>
              <w:top w:val="single" w:sz="4" w:space="0" w:color="auto"/>
              <w:bottom w:val="single" w:sz="4" w:space="0" w:color="auto"/>
            </w:tcBorders>
          </w:tcPr>
          <w:p w14:paraId="093E1C44" w14:textId="77777777" w:rsidR="00971652" w:rsidRPr="00616B26" w:rsidRDefault="00971652" w:rsidP="00A12E52">
            <w:pPr>
              <w:pStyle w:val="Tabletext"/>
              <w:rPr>
                <w:snapToGrid w:val="0"/>
              </w:rPr>
            </w:pPr>
            <w:r w:rsidRPr="00616B26">
              <w:rPr>
                <w:snapToGrid w:val="0"/>
              </w:rPr>
              <w:t>41</w:t>
            </w:r>
          </w:p>
        </w:tc>
        <w:tc>
          <w:tcPr>
            <w:tcW w:w="1417" w:type="pct"/>
            <w:tcBorders>
              <w:top w:val="single" w:sz="4" w:space="0" w:color="auto"/>
              <w:bottom w:val="single" w:sz="4" w:space="0" w:color="auto"/>
            </w:tcBorders>
            <w:vAlign w:val="bottom"/>
          </w:tcPr>
          <w:p w14:paraId="2ECF22D6" w14:textId="77777777" w:rsidR="00971652" w:rsidRPr="009B1322" w:rsidRDefault="00971652" w:rsidP="00A12E52">
            <w:pPr>
              <w:pStyle w:val="Tabletext"/>
              <w:rPr>
                <w:snapToGrid w:val="0"/>
              </w:rPr>
            </w:pPr>
            <w:r w:rsidRPr="00295986">
              <w:t>3</w:t>
            </w:r>
            <w:r w:rsidR="00D7157D">
              <w:t>.</w:t>
            </w:r>
            <w:r w:rsidRPr="00295986">
              <w:t>100</w:t>
            </w:r>
          </w:p>
        </w:tc>
        <w:tc>
          <w:tcPr>
            <w:tcW w:w="1878" w:type="pct"/>
            <w:tcBorders>
              <w:top w:val="single" w:sz="4" w:space="0" w:color="auto"/>
              <w:bottom w:val="single" w:sz="4" w:space="0" w:color="auto"/>
            </w:tcBorders>
            <w:vAlign w:val="bottom"/>
          </w:tcPr>
          <w:p w14:paraId="5B78462E" w14:textId="77777777" w:rsidR="00971652" w:rsidRPr="009B1322" w:rsidRDefault="00971652" w:rsidP="00A12E52">
            <w:pPr>
              <w:pStyle w:val="Tabletext"/>
              <w:rPr>
                <w:snapToGrid w:val="0"/>
              </w:rPr>
            </w:pPr>
            <w:r w:rsidRPr="00295986">
              <w:t>1</w:t>
            </w:r>
            <w:r w:rsidR="00D7157D">
              <w:t>.</w:t>
            </w:r>
            <w:r w:rsidRPr="00295986">
              <w:t>272</w:t>
            </w:r>
          </w:p>
        </w:tc>
      </w:tr>
      <w:tr w:rsidR="00971652" w:rsidRPr="009E2595" w14:paraId="4245E333" w14:textId="77777777" w:rsidTr="00055CFA">
        <w:trPr>
          <w:trHeight w:val="245"/>
          <w:jc w:val="right"/>
        </w:trPr>
        <w:tc>
          <w:tcPr>
            <w:tcW w:w="1705" w:type="pct"/>
            <w:tcBorders>
              <w:top w:val="single" w:sz="4" w:space="0" w:color="auto"/>
              <w:bottom w:val="single" w:sz="4" w:space="0" w:color="auto"/>
            </w:tcBorders>
          </w:tcPr>
          <w:p w14:paraId="38007EFD" w14:textId="77777777" w:rsidR="00971652" w:rsidRPr="00616B26" w:rsidRDefault="00971652" w:rsidP="00A12E52">
            <w:pPr>
              <w:pStyle w:val="Tabletext"/>
              <w:rPr>
                <w:snapToGrid w:val="0"/>
              </w:rPr>
            </w:pPr>
            <w:r w:rsidRPr="00616B26">
              <w:rPr>
                <w:snapToGrid w:val="0"/>
              </w:rPr>
              <w:t>42</w:t>
            </w:r>
          </w:p>
        </w:tc>
        <w:tc>
          <w:tcPr>
            <w:tcW w:w="1417" w:type="pct"/>
            <w:tcBorders>
              <w:top w:val="single" w:sz="4" w:space="0" w:color="auto"/>
              <w:bottom w:val="single" w:sz="4" w:space="0" w:color="auto"/>
            </w:tcBorders>
            <w:vAlign w:val="bottom"/>
          </w:tcPr>
          <w:p w14:paraId="06148123" w14:textId="77777777" w:rsidR="00971652" w:rsidRPr="009B1322" w:rsidRDefault="00971652" w:rsidP="00A12E52">
            <w:pPr>
              <w:pStyle w:val="Tabletext"/>
              <w:rPr>
                <w:snapToGrid w:val="0"/>
              </w:rPr>
            </w:pPr>
            <w:r w:rsidRPr="00295986">
              <w:t>2</w:t>
            </w:r>
            <w:r w:rsidR="00D7157D">
              <w:t>.</w:t>
            </w:r>
            <w:r w:rsidRPr="00295986">
              <w:t>993</w:t>
            </w:r>
          </w:p>
        </w:tc>
        <w:tc>
          <w:tcPr>
            <w:tcW w:w="1878" w:type="pct"/>
            <w:tcBorders>
              <w:top w:val="single" w:sz="4" w:space="0" w:color="auto"/>
              <w:bottom w:val="single" w:sz="4" w:space="0" w:color="auto"/>
            </w:tcBorders>
            <w:vAlign w:val="bottom"/>
          </w:tcPr>
          <w:p w14:paraId="5BAACB4B" w14:textId="77777777" w:rsidR="00971652" w:rsidRPr="009B1322" w:rsidRDefault="00971652" w:rsidP="00A12E52">
            <w:pPr>
              <w:pStyle w:val="Tabletext"/>
              <w:rPr>
                <w:snapToGrid w:val="0"/>
              </w:rPr>
            </w:pPr>
            <w:r w:rsidRPr="00295986">
              <w:t>1</w:t>
            </w:r>
            <w:r w:rsidR="00D7157D">
              <w:t>.</w:t>
            </w:r>
            <w:r w:rsidRPr="00295986">
              <w:t>191</w:t>
            </w:r>
          </w:p>
        </w:tc>
      </w:tr>
      <w:tr w:rsidR="00971652" w:rsidRPr="009E2595" w14:paraId="3A2E2A4F" w14:textId="77777777" w:rsidTr="00055CFA">
        <w:trPr>
          <w:trHeight w:val="245"/>
          <w:jc w:val="right"/>
        </w:trPr>
        <w:tc>
          <w:tcPr>
            <w:tcW w:w="1705" w:type="pct"/>
            <w:tcBorders>
              <w:top w:val="single" w:sz="4" w:space="0" w:color="auto"/>
              <w:bottom w:val="single" w:sz="4" w:space="0" w:color="auto"/>
            </w:tcBorders>
          </w:tcPr>
          <w:p w14:paraId="0E29E509" w14:textId="77777777" w:rsidR="00971652" w:rsidRPr="00616B26" w:rsidRDefault="00971652" w:rsidP="00A12E52">
            <w:pPr>
              <w:pStyle w:val="Tabletext"/>
              <w:rPr>
                <w:snapToGrid w:val="0"/>
              </w:rPr>
            </w:pPr>
            <w:r w:rsidRPr="00616B26">
              <w:rPr>
                <w:snapToGrid w:val="0"/>
              </w:rPr>
              <w:t>43</w:t>
            </w:r>
          </w:p>
        </w:tc>
        <w:tc>
          <w:tcPr>
            <w:tcW w:w="1417" w:type="pct"/>
            <w:tcBorders>
              <w:top w:val="single" w:sz="4" w:space="0" w:color="auto"/>
              <w:bottom w:val="single" w:sz="4" w:space="0" w:color="auto"/>
            </w:tcBorders>
            <w:vAlign w:val="bottom"/>
          </w:tcPr>
          <w:p w14:paraId="78444503" w14:textId="77777777" w:rsidR="00971652" w:rsidRPr="009B1322" w:rsidRDefault="00971652" w:rsidP="00A12E52">
            <w:pPr>
              <w:pStyle w:val="Tabletext"/>
              <w:rPr>
                <w:snapToGrid w:val="0"/>
              </w:rPr>
            </w:pPr>
            <w:r w:rsidRPr="00295986">
              <w:t>2</w:t>
            </w:r>
            <w:r w:rsidR="00D7157D">
              <w:t>.</w:t>
            </w:r>
            <w:r w:rsidRPr="00295986">
              <w:t>886</w:t>
            </w:r>
          </w:p>
        </w:tc>
        <w:tc>
          <w:tcPr>
            <w:tcW w:w="1878" w:type="pct"/>
            <w:tcBorders>
              <w:top w:val="single" w:sz="4" w:space="0" w:color="auto"/>
              <w:bottom w:val="single" w:sz="4" w:space="0" w:color="auto"/>
            </w:tcBorders>
            <w:vAlign w:val="bottom"/>
          </w:tcPr>
          <w:p w14:paraId="6E186D83" w14:textId="77777777" w:rsidR="00971652" w:rsidRPr="009B1322" w:rsidRDefault="00971652" w:rsidP="00A12E52">
            <w:pPr>
              <w:pStyle w:val="Tabletext"/>
              <w:rPr>
                <w:snapToGrid w:val="0"/>
              </w:rPr>
            </w:pPr>
            <w:r w:rsidRPr="00295986">
              <w:t>1</w:t>
            </w:r>
            <w:r w:rsidR="00D7157D">
              <w:t>.</w:t>
            </w:r>
            <w:r w:rsidRPr="00295986">
              <w:t>109</w:t>
            </w:r>
          </w:p>
        </w:tc>
      </w:tr>
      <w:tr w:rsidR="00971652" w:rsidRPr="009E2595" w14:paraId="51AD3674" w14:textId="77777777" w:rsidTr="00055CFA">
        <w:trPr>
          <w:trHeight w:val="245"/>
          <w:jc w:val="right"/>
        </w:trPr>
        <w:tc>
          <w:tcPr>
            <w:tcW w:w="1705" w:type="pct"/>
            <w:tcBorders>
              <w:top w:val="single" w:sz="4" w:space="0" w:color="auto"/>
              <w:bottom w:val="single" w:sz="4" w:space="0" w:color="auto"/>
            </w:tcBorders>
          </w:tcPr>
          <w:p w14:paraId="1819EBF3" w14:textId="77777777" w:rsidR="00971652" w:rsidRPr="00616B26" w:rsidRDefault="00971652" w:rsidP="00A12E52">
            <w:pPr>
              <w:pStyle w:val="Tabletext"/>
              <w:rPr>
                <w:snapToGrid w:val="0"/>
              </w:rPr>
            </w:pPr>
            <w:r w:rsidRPr="00616B26">
              <w:rPr>
                <w:snapToGrid w:val="0"/>
              </w:rPr>
              <w:t>44</w:t>
            </w:r>
          </w:p>
        </w:tc>
        <w:tc>
          <w:tcPr>
            <w:tcW w:w="1417" w:type="pct"/>
            <w:tcBorders>
              <w:top w:val="single" w:sz="4" w:space="0" w:color="auto"/>
              <w:bottom w:val="single" w:sz="4" w:space="0" w:color="auto"/>
            </w:tcBorders>
            <w:vAlign w:val="bottom"/>
          </w:tcPr>
          <w:p w14:paraId="357D7530" w14:textId="77777777" w:rsidR="00971652" w:rsidRPr="009B1322" w:rsidRDefault="00971652" w:rsidP="00A12E52">
            <w:pPr>
              <w:pStyle w:val="Tabletext"/>
              <w:rPr>
                <w:snapToGrid w:val="0"/>
              </w:rPr>
            </w:pPr>
            <w:r w:rsidRPr="00295986">
              <w:t>2</w:t>
            </w:r>
            <w:r w:rsidR="00D7157D">
              <w:t>.</w:t>
            </w:r>
            <w:r w:rsidRPr="00295986">
              <w:t>779</w:t>
            </w:r>
          </w:p>
        </w:tc>
        <w:tc>
          <w:tcPr>
            <w:tcW w:w="1878" w:type="pct"/>
            <w:tcBorders>
              <w:top w:val="single" w:sz="4" w:space="0" w:color="auto"/>
              <w:bottom w:val="single" w:sz="4" w:space="0" w:color="auto"/>
            </w:tcBorders>
            <w:vAlign w:val="bottom"/>
          </w:tcPr>
          <w:p w14:paraId="290576D9" w14:textId="77777777" w:rsidR="00971652" w:rsidRPr="009B1322" w:rsidRDefault="00971652" w:rsidP="00A12E52">
            <w:pPr>
              <w:pStyle w:val="Tabletext"/>
              <w:rPr>
                <w:snapToGrid w:val="0"/>
              </w:rPr>
            </w:pPr>
            <w:r w:rsidRPr="00295986">
              <w:t>1</w:t>
            </w:r>
            <w:r w:rsidR="00D7157D">
              <w:t>.</w:t>
            </w:r>
            <w:r w:rsidRPr="00295986">
              <w:t>028</w:t>
            </w:r>
          </w:p>
        </w:tc>
      </w:tr>
      <w:tr w:rsidR="00971652" w:rsidRPr="009E2595" w14:paraId="678BF73B" w14:textId="77777777" w:rsidTr="00055CFA">
        <w:trPr>
          <w:trHeight w:val="245"/>
          <w:jc w:val="right"/>
        </w:trPr>
        <w:tc>
          <w:tcPr>
            <w:tcW w:w="1705" w:type="pct"/>
            <w:tcBorders>
              <w:top w:val="single" w:sz="4" w:space="0" w:color="auto"/>
              <w:bottom w:val="single" w:sz="4" w:space="0" w:color="auto"/>
            </w:tcBorders>
          </w:tcPr>
          <w:p w14:paraId="7D0ECEE3" w14:textId="77777777" w:rsidR="00971652" w:rsidRPr="00616B26" w:rsidRDefault="00971652" w:rsidP="00A12E52">
            <w:pPr>
              <w:pStyle w:val="Tabletext"/>
              <w:rPr>
                <w:snapToGrid w:val="0"/>
              </w:rPr>
            </w:pPr>
            <w:r w:rsidRPr="00616B26">
              <w:rPr>
                <w:snapToGrid w:val="0"/>
              </w:rPr>
              <w:t>45</w:t>
            </w:r>
          </w:p>
        </w:tc>
        <w:tc>
          <w:tcPr>
            <w:tcW w:w="1417" w:type="pct"/>
            <w:tcBorders>
              <w:top w:val="single" w:sz="4" w:space="0" w:color="auto"/>
              <w:bottom w:val="single" w:sz="4" w:space="0" w:color="auto"/>
            </w:tcBorders>
            <w:vAlign w:val="bottom"/>
          </w:tcPr>
          <w:p w14:paraId="3C23D6FF" w14:textId="77777777" w:rsidR="00971652" w:rsidRPr="009B1322" w:rsidRDefault="00971652" w:rsidP="00A12E52">
            <w:pPr>
              <w:pStyle w:val="Tabletext"/>
              <w:rPr>
                <w:snapToGrid w:val="0"/>
              </w:rPr>
            </w:pPr>
            <w:r w:rsidRPr="00295986">
              <w:t>2</w:t>
            </w:r>
            <w:r w:rsidR="00D7157D">
              <w:t>.</w:t>
            </w:r>
            <w:r w:rsidRPr="00295986">
              <w:t>672</w:t>
            </w:r>
          </w:p>
        </w:tc>
        <w:tc>
          <w:tcPr>
            <w:tcW w:w="1878" w:type="pct"/>
            <w:tcBorders>
              <w:top w:val="single" w:sz="4" w:space="0" w:color="auto"/>
              <w:bottom w:val="single" w:sz="4" w:space="0" w:color="auto"/>
            </w:tcBorders>
            <w:vAlign w:val="bottom"/>
          </w:tcPr>
          <w:p w14:paraId="45FBCA48" w14:textId="77777777" w:rsidR="00971652" w:rsidRPr="009B1322" w:rsidRDefault="00971652" w:rsidP="00A12E52">
            <w:pPr>
              <w:pStyle w:val="Tabletext"/>
              <w:rPr>
                <w:snapToGrid w:val="0"/>
              </w:rPr>
            </w:pPr>
            <w:r w:rsidRPr="00295986">
              <w:t>0</w:t>
            </w:r>
            <w:r w:rsidR="00D7157D">
              <w:t>.</w:t>
            </w:r>
            <w:r w:rsidRPr="00295986">
              <w:t>947</w:t>
            </w:r>
          </w:p>
        </w:tc>
      </w:tr>
      <w:tr w:rsidR="00971652" w:rsidRPr="009E2595" w14:paraId="0DA91131" w14:textId="77777777" w:rsidTr="00055CFA">
        <w:trPr>
          <w:trHeight w:val="245"/>
          <w:jc w:val="right"/>
        </w:trPr>
        <w:tc>
          <w:tcPr>
            <w:tcW w:w="1705" w:type="pct"/>
            <w:tcBorders>
              <w:top w:val="single" w:sz="4" w:space="0" w:color="auto"/>
              <w:bottom w:val="single" w:sz="4" w:space="0" w:color="auto"/>
            </w:tcBorders>
          </w:tcPr>
          <w:p w14:paraId="7F9892C8" w14:textId="77777777" w:rsidR="00971652" w:rsidRPr="00616B26" w:rsidRDefault="00971652" w:rsidP="00A12E52">
            <w:pPr>
              <w:pStyle w:val="Tabletext"/>
              <w:rPr>
                <w:snapToGrid w:val="0"/>
              </w:rPr>
            </w:pPr>
            <w:r w:rsidRPr="00616B26">
              <w:rPr>
                <w:snapToGrid w:val="0"/>
              </w:rPr>
              <w:t>46</w:t>
            </w:r>
          </w:p>
        </w:tc>
        <w:tc>
          <w:tcPr>
            <w:tcW w:w="1417" w:type="pct"/>
            <w:tcBorders>
              <w:top w:val="single" w:sz="4" w:space="0" w:color="auto"/>
              <w:bottom w:val="single" w:sz="4" w:space="0" w:color="auto"/>
            </w:tcBorders>
            <w:vAlign w:val="bottom"/>
          </w:tcPr>
          <w:p w14:paraId="1B4408A1" w14:textId="77777777" w:rsidR="00971652" w:rsidRPr="009B1322" w:rsidRDefault="00971652" w:rsidP="00A12E52">
            <w:pPr>
              <w:pStyle w:val="Tabletext"/>
              <w:rPr>
                <w:snapToGrid w:val="0"/>
              </w:rPr>
            </w:pPr>
            <w:r w:rsidRPr="00295986">
              <w:t>2</w:t>
            </w:r>
            <w:r w:rsidR="00D7157D">
              <w:t>.</w:t>
            </w:r>
            <w:r w:rsidRPr="00295986">
              <w:t>565</w:t>
            </w:r>
          </w:p>
        </w:tc>
        <w:tc>
          <w:tcPr>
            <w:tcW w:w="1878" w:type="pct"/>
            <w:tcBorders>
              <w:top w:val="single" w:sz="4" w:space="0" w:color="auto"/>
              <w:bottom w:val="single" w:sz="4" w:space="0" w:color="auto"/>
            </w:tcBorders>
            <w:vAlign w:val="bottom"/>
          </w:tcPr>
          <w:p w14:paraId="1C0BD9A3" w14:textId="77777777" w:rsidR="00971652" w:rsidRPr="009B1322" w:rsidRDefault="00971652" w:rsidP="00A12E52">
            <w:pPr>
              <w:pStyle w:val="Tabletext"/>
              <w:rPr>
                <w:snapToGrid w:val="0"/>
              </w:rPr>
            </w:pPr>
            <w:r w:rsidRPr="00295986">
              <w:t>0</w:t>
            </w:r>
            <w:r w:rsidR="00D7157D">
              <w:t>.</w:t>
            </w:r>
            <w:r w:rsidRPr="00295986">
              <w:t>866</w:t>
            </w:r>
          </w:p>
        </w:tc>
      </w:tr>
      <w:tr w:rsidR="00971652" w:rsidRPr="009E2595" w14:paraId="6953DB9F" w14:textId="77777777" w:rsidTr="00055CFA">
        <w:trPr>
          <w:trHeight w:val="245"/>
          <w:jc w:val="right"/>
        </w:trPr>
        <w:tc>
          <w:tcPr>
            <w:tcW w:w="1705" w:type="pct"/>
            <w:tcBorders>
              <w:top w:val="single" w:sz="4" w:space="0" w:color="auto"/>
              <w:bottom w:val="single" w:sz="4" w:space="0" w:color="auto"/>
            </w:tcBorders>
          </w:tcPr>
          <w:p w14:paraId="2A054983" w14:textId="77777777" w:rsidR="00971652" w:rsidRPr="00616B26" w:rsidRDefault="00971652" w:rsidP="00A12E52">
            <w:pPr>
              <w:pStyle w:val="Tabletext"/>
              <w:rPr>
                <w:snapToGrid w:val="0"/>
              </w:rPr>
            </w:pPr>
            <w:r w:rsidRPr="00616B26">
              <w:rPr>
                <w:snapToGrid w:val="0"/>
              </w:rPr>
              <w:t>47</w:t>
            </w:r>
          </w:p>
        </w:tc>
        <w:tc>
          <w:tcPr>
            <w:tcW w:w="1417" w:type="pct"/>
            <w:tcBorders>
              <w:top w:val="single" w:sz="4" w:space="0" w:color="auto"/>
              <w:bottom w:val="single" w:sz="4" w:space="0" w:color="auto"/>
            </w:tcBorders>
            <w:vAlign w:val="bottom"/>
          </w:tcPr>
          <w:p w14:paraId="27E1EFB9" w14:textId="77777777" w:rsidR="00971652" w:rsidRPr="009B1322" w:rsidRDefault="00971652" w:rsidP="00A12E52">
            <w:pPr>
              <w:pStyle w:val="Tabletext"/>
              <w:rPr>
                <w:snapToGrid w:val="0"/>
              </w:rPr>
            </w:pPr>
            <w:r w:rsidRPr="00295986">
              <w:t>2</w:t>
            </w:r>
            <w:r w:rsidR="00D7157D">
              <w:t>.</w:t>
            </w:r>
            <w:r w:rsidRPr="00295986">
              <w:t>458</w:t>
            </w:r>
          </w:p>
        </w:tc>
        <w:tc>
          <w:tcPr>
            <w:tcW w:w="1878" w:type="pct"/>
            <w:tcBorders>
              <w:top w:val="single" w:sz="4" w:space="0" w:color="auto"/>
              <w:bottom w:val="single" w:sz="4" w:space="0" w:color="auto"/>
            </w:tcBorders>
            <w:vAlign w:val="bottom"/>
          </w:tcPr>
          <w:p w14:paraId="21B64A7A" w14:textId="77777777" w:rsidR="00971652" w:rsidRPr="009B1322" w:rsidRDefault="00971652" w:rsidP="00A12E52">
            <w:pPr>
              <w:pStyle w:val="Tabletext"/>
              <w:rPr>
                <w:snapToGrid w:val="0"/>
              </w:rPr>
            </w:pPr>
            <w:r w:rsidRPr="00295986">
              <w:t>0</w:t>
            </w:r>
            <w:r w:rsidR="00D7157D">
              <w:t>.</w:t>
            </w:r>
            <w:r w:rsidRPr="00295986">
              <w:t>785</w:t>
            </w:r>
          </w:p>
        </w:tc>
      </w:tr>
      <w:tr w:rsidR="00971652" w:rsidRPr="009E2595" w14:paraId="5B51109E" w14:textId="77777777" w:rsidTr="00055CFA">
        <w:trPr>
          <w:trHeight w:val="245"/>
          <w:jc w:val="right"/>
        </w:trPr>
        <w:tc>
          <w:tcPr>
            <w:tcW w:w="1705" w:type="pct"/>
            <w:tcBorders>
              <w:top w:val="single" w:sz="4" w:space="0" w:color="auto"/>
              <w:bottom w:val="single" w:sz="4" w:space="0" w:color="auto"/>
            </w:tcBorders>
          </w:tcPr>
          <w:p w14:paraId="511D5088" w14:textId="77777777" w:rsidR="00971652" w:rsidRPr="00616B26" w:rsidRDefault="00971652" w:rsidP="00A12E52">
            <w:pPr>
              <w:pStyle w:val="Tabletext"/>
              <w:rPr>
                <w:snapToGrid w:val="0"/>
              </w:rPr>
            </w:pPr>
            <w:r w:rsidRPr="00616B26">
              <w:rPr>
                <w:snapToGrid w:val="0"/>
              </w:rPr>
              <w:t>48</w:t>
            </w:r>
          </w:p>
        </w:tc>
        <w:tc>
          <w:tcPr>
            <w:tcW w:w="1417" w:type="pct"/>
            <w:tcBorders>
              <w:top w:val="single" w:sz="4" w:space="0" w:color="auto"/>
              <w:bottom w:val="single" w:sz="4" w:space="0" w:color="auto"/>
            </w:tcBorders>
            <w:vAlign w:val="bottom"/>
          </w:tcPr>
          <w:p w14:paraId="6CA74F37" w14:textId="77777777" w:rsidR="00971652" w:rsidRPr="009B1322" w:rsidRDefault="00971652" w:rsidP="00A12E52">
            <w:pPr>
              <w:pStyle w:val="Tabletext"/>
              <w:rPr>
                <w:snapToGrid w:val="0"/>
              </w:rPr>
            </w:pPr>
            <w:r w:rsidRPr="00295986">
              <w:t>2</w:t>
            </w:r>
            <w:r w:rsidR="00D7157D">
              <w:t>.</w:t>
            </w:r>
            <w:r w:rsidRPr="00295986">
              <w:t>352</w:t>
            </w:r>
          </w:p>
        </w:tc>
        <w:tc>
          <w:tcPr>
            <w:tcW w:w="1878" w:type="pct"/>
            <w:tcBorders>
              <w:top w:val="single" w:sz="4" w:space="0" w:color="auto"/>
              <w:bottom w:val="single" w:sz="4" w:space="0" w:color="auto"/>
            </w:tcBorders>
            <w:vAlign w:val="bottom"/>
          </w:tcPr>
          <w:p w14:paraId="6996DAB4" w14:textId="77777777" w:rsidR="00971652" w:rsidRPr="009B1322" w:rsidRDefault="00971652" w:rsidP="00A12E52">
            <w:pPr>
              <w:pStyle w:val="Tabletext"/>
              <w:rPr>
                <w:snapToGrid w:val="0"/>
              </w:rPr>
            </w:pPr>
            <w:r w:rsidRPr="00295986">
              <w:t>0</w:t>
            </w:r>
            <w:r w:rsidR="00D7157D">
              <w:t>.</w:t>
            </w:r>
            <w:r w:rsidRPr="00295986">
              <w:t>704</w:t>
            </w:r>
          </w:p>
        </w:tc>
      </w:tr>
      <w:tr w:rsidR="00971652" w:rsidRPr="009E2595" w14:paraId="02F430F5" w14:textId="77777777" w:rsidTr="00055CFA">
        <w:trPr>
          <w:trHeight w:val="245"/>
          <w:jc w:val="right"/>
        </w:trPr>
        <w:tc>
          <w:tcPr>
            <w:tcW w:w="1705" w:type="pct"/>
            <w:tcBorders>
              <w:top w:val="single" w:sz="4" w:space="0" w:color="auto"/>
              <w:bottom w:val="single" w:sz="4" w:space="0" w:color="auto"/>
            </w:tcBorders>
          </w:tcPr>
          <w:p w14:paraId="4FF76672" w14:textId="77777777" w:rsidR="00971652" w:rsidRPr="00616B26" w:rsidRDefault="00971652" w:rsidP="00A12E52">
            <w:pPr>
              <w:pStyle w:val="Tabletext"/>
              <w:rPr>
                <w:snapToGrid w:val="0"/>
              </w:rPr>
            </w:pPr>
            <w:r w:rsidRPr="00616B26">
              <w:rPr>
                <w:snapToGrid w:val="0"/>
              </w:rPr>
              <w:t>49</w:t>
            </w:r>
          </w:p>
        </w:tc>
        <w:tc>
          <w:tcPr>
            <w:tcW w:w="1417" w:type="pct"/>
            <w:tcBorders>
              <w:top w:val="single" w:sz="4" w:space="0" w:color="auto"/>
              <w:bottom w:val="single" w:sz="4" w:space="0" w:color="auto"/>
            </w:tcBorders>
            <w:vAlign w:val="bottom"/>
          </w:tcPr>
          <w:p w14:paraId="61221694" w14:textId="77777777" w:rsidR="00971652" w:rsidRPr="009B1322" w:rsidRDefault="00971652" w:rsidP="00A12E52">
            <w:pPr>
              <w:pStyle w:val="Tabletext"/>
              <w:rPr>
                <w:snapToGrid w:val="0"/>
              </w:rPr>
            </w:pPr>
            <w:r w:rsidRPr="00295986">
              <w:t>2</w:t>
            </w:r>
            <w:r w:rsidR="00D7157D">
              <w:t>.</w:t>
            </w:r>
            <w:r w:rsidRPr="00295986">
              <w:t>245</w:t>
            </w:r>
          </w:p>
        </w:tc>
        <w:tc>
          <w:tcPr>
            <w:tcW w:w="1878" w:type="pct"/>
            <w:tcBorders>
              <w:top w:val="single" w:sz="4" w:space="0" w:color="auto"/>
              <w:bottom w:val="single" w:sz="4" w:space="0" w:color="auto"/>
            </w:tcBorders>
            <w:vAlign w:val="bottom"/>
          </w:tcPr>
          <w:p w14:paraId="73C90C92" w14:textId="77777777" w:rsidR="00971652" w:rsidRPr="009B1322" w:rsidRDefault="00971652" w:rsidP="00A12E52">
            <w:pPr>
              <w:pStyle w:val="Tabletext"/>
              <w:rPr>
                <w:snapToGrid w:val="0"/>
              </w:rPr>
            </w:pPr>
            <w:r w:rsidRPr="00295986">
              <w:t>0</w:t>
            </w:r>
            <w:r w:rsidR="00D7157D">
              <w:t>.</w:t>
            </w:r>
            <w:r w:rsidRPr="00295986">
              <w:t>622</w:t>
            </w:r>
          </w:p>
        </w:tc>
      </w:tr>
      <w:tr w:rsidR="00971652" w:rsidRPr="009E2595" w14:paraId="2CD5F02C" w14:textId="77777777" w:rsidTr="00055CFA">
        <w:trPr>
          <w:trHeight w:val="245"/>
          <w:jc w:val="right"/>
        </w:trPr>
        <w:tc>
          <w:tcPr>
            <w:tcW w:w="1705" w:type="pct"/>
            <w:tcBorders>
              <w:top w:val="single" w:sz="4" w:space="0" w:color="auto"/>
              <w:bottom w:val="single" w:sz="4" w:space="0" w:color="auto"/>
            </w:tcBorders>
          </w:tcPr>
          <w:p w14:paraId="6D06DA7A" w14:textId="77777777" w:rsidR="00971652" w:rsidRPr="00616B26" w:rsidRDefault="00971652" w:rsidP="00A12E52">
            <w:pPr>
              <w:pStyle w:val="Tabletext"/>
              <w:rPr>
                <w:snapToGrid w:val="0"/>
              </w:rPr>
            </w:pPr>
            <w:r w:rsidRPr="00616B26">
              <w:rPr>
                <w:snapToGrid w:val="0"/>
              </w:rPr>
              <w:t>50</w:t>
            </w:r>
          </w:p>
        </w:tc>
        <w:tc>
          <w:tcPr>
            <w:tcW w:w="1417" w:type="pct"/>
            <w:tcBorders>
              <w:top w:val="single" w:sz="4" w:space="0" w:color="auto"/>
              <w:bottom w:val="single" w:sz="4" w:space="0" w:color="auto"/>
            </w:tcBorders>
            <w:vAlign w:val="bottom"/>
          </w:tcPr>
          <w:p w14:paraId="3AF8725C" w14:textId="77777777" w:rsidR="00971652" w:rsidRPr="009B1322" w:rsidRDefault="00971652" w:rsidP="00A12E52">
            <w:pPr>
              <w:pStyle w:val="Tabletext"/>
              <w:rPr>
                <w:snapToGrid w:val="0"/>
              </w:rPr>
            </w:pPr>
            <w:r w:rsidRPr="00295986">
              <w:t>2</w:t>
            </w:r>
            <w:r w:rsidR="00D7157D">
              <w:t>.</w:t>
            </w:r>
            <w:r w:rsidRPr="00295986">
              <w:t>138</w:t>
            </w:r>
          </w:p>
        </w:tc>
        <w:tc>
          <w:tcPr>
            <w:tcW w:w="1878" w:type="pct"/>
            <w:tcBorders>
              <w:top w:val="single" w:sz="4" w:space="0" w:color="auto"/>
              <w:bottom w:val="single" w:sz="4" w:space="0" w:color="auto"/>
            </w:tcBorders>
            <w:vAlign w:val="bottom"/>
          </w:tcPr>
          <w:p w14:paraId="6847FD86" w14:textId="77777777" w:rsidR="00971652" w:rsidRPr="009B1322" w:rsidRDefault="00971652" w:rsidP="00A12E52">
            <w:pPr>
              <w:pStyle w:val="Tabletext"/>
              <w:rPr>
                <w:snapToGrid w:val="0"/>
              </w:rPr>
            </w:pPr>
            <w:r w:rsidRPr="00295986">
              <w:t>0</w:t>
            </w:r>
            <w:r w:rsidR="00D7157D">
              <w:t>.</w:t>
            </w:r>
            <w:r w:rsidRPr="00295986">
              <w:t>541</w:t>
            </w:r>
          </w:p>
        </w:tc>
      </w:tr>
      <w:tr w:rsidR="00971652" w:rsidRPr="009E2595" w14:paraId="74748DAD" w14:textId="77777777" w:rsidTr="00055CFA">
        <w:trPr>
          <w:trHeight w:val="245"/>
          <w:jc w:val="right"/>
        </w:trPr>
        <w:tc>
          <w:tcPr>
            <w:tcW w:w="1705" w:type="pct"/>
            <w:tcBorders>
              <w:top w:val="single" w:sz="4" w:space="0" w:color="auto"/>
              <w:bottom w:val="single" w:sz="4" w:space="0" w:color="auto"/>
            </w:tcBorders>
          </w:tcPr>
          <w:p w14:paraId="266B9071" w14:textId="77777777" w:rsidR="00971652" w:rsidRPr="00616B26" w:rsidRDefault="00971652" w:rsidP="00A12E52">
            <w:pPr>
              <w:pStyle w:val="Tabletext"/>
              <w:rPr>
                <w:snapToGrid w:val="0"/>
              </w:rPr>
            </w:pPr>
            <w:r w:rsidRPr="00616B26">
              <w:rPr>
                <w:snapToGrid w:val="0"/>
              </w:rPr>
              <w:t>51</w:t>
            </w:r>
          </w:p>
        </w:tc>
        <w:tc>
          <w:tcPr>
            <w:tcW w:w="1417" w:type="pct"/>
            <w:tcBorders>
              <w:top w:val="single" w:sz="4" w:space="0" w:color="auto"/>
              <w:bottom w:val="single" w:sz="4" w:space="0" w:color="auto"/>
            </w:tcBorders>
            <w:vAlign w:val="bottom"/>
          </w:tcPr>
          <w:p w14:paraId="07910B55" w14:textId="77777777" w:rsidR="00971652" w:rsidRPr="009B1322" w:rsidRDefault="00971652" w:rsidP="00A12E52">
            <w:pPr>
              <w:pStyle w:val="Tabletext"/>
              <w:rPr>
                <w:snapToGrid w:val="0"/>
              </w:rPr>
            </w:pPr>
            <w:r w:rsidRPr="00295986">
              <w:t>1</w:t>
            </w:r>
            <w:r w:rsidR="00D7157D">
              <w:t>.</w:t>
            </w:r>
            <w:r w:rsidRPr="00295986">
              <w:t>817</w:t>
            </w:r>
          </w:p>
        </w:tc>
        <w:tc>
          <w:tcPr>
            <w:tcW w:w="1878" w:type="pct"/>
            <w:tcBorders>
              <w:top w:val="single" w:sz="4" w:space="0" w:color="auto"/>
              <w:bottom w:val="single" w:sz="4" w:space="0" w:color="auto"/>
            </w:tcBorders>
            <w:vAlign w:val="bottom"/>
          </w:tcPr>
          <w:p w14:paraId="626C6BE8" w14:textId="77777777" w:rsidR="00971652" w:rsidRPr="009B1322" w:rsidRDefault="00971652" w:rsidP="00A12E52">
            <w:pPr>
              <w:pStyle w:val="Tabletext"/>
              <w:rPr>
                <w:snapToGrid w:val="0"/>
              </w:rPr>
            </w:pPr>
            <w:r w:rsidRPr="00295986">
              <w:t>0</w:t>
            </w:r>
            <w:r w:rsidR="00D7157D">
              <w:t>.</w:t>
            </w:r>
            <w:r w:rsidRPr="00295986">
              <w:t>460</w:t>
            </w:r>
          </w:p>
        </w:tc>
      </w:tr>
      <w:tr w:rsidR="00971652" w:rsidRPr="009E2595" w14:paraId="54464498" w14:textId="77777777" w:rsidTr="00055CFA">
        <w:trPr>
          <w:trHeight w:val="245"/>
          <w:jc w:val="right"/>
        </w:trPr>
        <w:tc>
          <w:tcPr>
            <w:tcW w:w="1705" w:type="pct"/>
            <w:tcBorders>
              <w:top w:val="single" w:sz="4" w:space="0" w:color="auto"/>
              <w:bottom w:val="single" w:sz="4" w:space="0" w:color="auto"/>
            </w:tcBorders>
          </w:tcPr>
          <w:p w14:paraId="366C235A" w14:textId="77777777" w:rsidR="00971652" w:rsidRPr="00616B26" w:rsidRDefault="00971652" w:rsidP="00A12E52">
            <w:pPr>
              <w:pStyle w:val="Tabletext"/>
              <w:rPr>
                <w:snapToGrid w:val="0"/>
              </w:rPr>
            </w:pPr>
            <w:r w:rsidRPr="00616B26">
              <w:rPr>
                <w:snapToGrid w:val="0"/>
              </w:rPr>
              <w:t>52</w:t>
            </w:r>
          </w:p>
        </w:tc>
        <w:tc>
          <w:tcPr>
            <w:tcW w:w="1417" w:type="pct"/>
            <w:tcBorders>
              <w:top w:val="single" w:sz="4" w:space="0" w:color="auto"/>
              <w:bottom w:val="single" w:sz="4" w:space="0" w:color="auto"/>
            </w:tcBorders>
            <w:vAlign w:val="bottom"/>
          </w:tcPr>
          <w:p w14:paraId="6D95171F" w14:textId="77777777" w:rsidR="00971652" w:rsidRPr="009B1322" w:rsidRDefault="00971652" w:rsidP="00A12E52">
            <w:pPr>
              <w:pStyle w:val="Tabletext"/>
              <w:rPr>
                <w:snapToGrid w:val="0"/>
              </w:rPr>
            </w:pPr>
            <w:r w:rsidRPr="00295986">
              <w:t>1</w:t>
            </w:r>
            <w:r w:rsidR="00D7157D">
              <w:t>.</w:t>
            </w:r>
            <w:r w:rsidRPr="00295986">
              <w:t>496</w:t>
            </w:r>
          </w:p>
        </w:tc>
        <w:tc>
          <w:tcPr>
            <w:tcW w:w="1878" w:type="pct"/>
            <w:tcBorders>
              <w:top w:val="single" w:sz="4" w:space="0" w:color="auto"/>
              <w:bottom w:val="single" w:sz="4" w:space="0" w:color="auto"/>
            </w:tcBorders>
            <w:vAlign w:val="bottom"/>
          </w:tcPr>
          <w:p w14:paraId="0BA501E4" w14:textId="77777777" w:rsidR="00971652" w:rsidRPr="009B1322" w:rsidRDefault="00971652" w:rsidP="00A12E52">
            <w:pPr>
              <w:pStyle w:val="Tabletext"/>
              <w:rPr>
                <w:snapToGrid w:val="0"/>
              </w:rPr>
            </w:pPr>
            <w:r w:rsidRPr="00295986">
              <w:t>0</w:t>
            </w:r>
            <w:r w:rsidR="00D7157D">
              <w:t>.</w:t>
            </w:r>
            <w:r w:rsidRPr="00295986">
              <w:t>379</w:t>
            </w:r>
          </w:p>
        </w:tc>
      </w:tr>
      <w:tr w:rsidR="00971652" w:rsidRPr="009E2595" w14:paraId="462F6D22" w14:textId="77777777" w:rsidTr="00055CFA">
        <w:trPr>
          <w:trHeight w:val="245"/>
          <w:jc w:val="right"/>
        </w:trPr>
        <w:tc>
          <w:tcPr>
            <w:tcW w:w="1705" w:type="pct"/>
            <w:tcBorders>
              <w:top w:val="single" w:sz="4" w:space="0" w:color="auto"/>
              <w:bottom w:val="single" w:sz="4" w:space="0" w:color="auto"/>
            </w:tcBorders>
          </w:tcPr>
          <w:p w14:paraId="26C260F9" w14:textId="77777777" w:rsidR="00971652" w:rsidRPr="00616B26" w:rsidRDefault="00971652" w:rsidP="00A12E52">
            <w:pPr>
              <w:pStyle w:val="Tabletext"/>
              <w:rPr>
                <w:snapToGrid w:val="0"/>
              </w:rPr>
            </w:pPr>
            <w:r w:rsidRPr="00616B26">
              <w:rPr>
                <w:snapToGrid w:val="0"/>
              </w:rPr>
              <w:t>53</w:t>
            </w:r>
          </w:p>
        </w:tc>
        <w:tc>
          <w:tcPr>
            <w:tcW w:w="1417" w:type="pct"/>
            <w:tcBorders>
              <w:top w:val="single" w:sz="4" w:space="0" w:color="auto"/>
              <w:bottom w:val="single" w:sz="4" w:space="0" w:color="auto"/>
            </w:tcBorders>
            <w:vAlign w:val="bottom"/>
          </w:tcPr>
          <w:p w14:paraId="0A0EFD90" w14:textId="77777777" w:rsidR="00971652" w:rsidRPr="009B1322" w:rsidRDefault="00971652" w:rsidP="00A12E52">
            <w:pPr>
              <w:pStyle w:val="Tabletext"/>
              <w:rPr>
                <w:snapToGrid w:val="0"/>
              </w:rPr>
            </w:pPr>
            <w:r w:rsidRPr="00295986">
              <w:t>1</w:t>
            </w:r>
            <w:r w:rsidR="00D7157D">
              <w:t>.</w:t>
            </w:r>
            <w:r w:rsidRPr="00295986">
              <w:t>176</w:t>
            </w:r>
          </w:p>
        </w:tc>
        <w:tc>
          <w:tcPr>
            <w:tcW w:w="1878" w:type="pct"/>
            <w:tcBorders>
              <w:top w:val="single" w:sz="4" w:space="0" w:color="auto"/>
              <w:bottom w:val="single" w:sz="4" w:space="0" w:color="auto"/>
            </w:tcBorders>
            <w:vAlign w:val="bottom"/>
          </w:tcPr>
          <w:p w14:paraId="7C222D43" w14:textId="77777777" w:rsidR="00971652" w:rsidRPr="009B1322" w:rsidRDefault="00971652" w:rsidP="00A12E52">
            <w:pPr>
              <w:pStyle w:val="Tabletext"/>
              <w:rPr>
                <w:snapToGrid w:val="0"/>
              </w:rPr>
            </w:pPr>
            <w:r w:rsidRPr="00295986">
              <w:t>0</w:t>
            </w:r>
            <w:r w:rsidR="00D7157D">
              <w:t>.</w:t>
            </w:r>
            <w:r w:rsidRPr="00295986">
              <w:t>298</w:t>
            </w:r>
          </w:p>
        </w:tc>
      </w:tr>
      <w:tr w:rsidR="00971652" w:rsidRPr="009E2595" w14:paraId="10A97F9E" w14:textId="77777777" w:rsidTr="00055CFA">
        <w:trPr>
          <w:trHeight w:val="245"/>
          <w:jc w:val="right"/>
        </w:trPr>
        <w:tc>
          <w:tcPr>
            <w:tcW w:w="1705" w:type="pct"/>
            <w:tcBorders>
              <w:top w:val="single" w:sz="4" w:space="0" w:color="auto"/>
              <w:bottom w:val="single" w:sz="4" w:space="0" w:color="auto"/>
            </w:tcBorders>
          </w:tcPr>
          <w:p w14:paraId="247A8CB1" w14:textId="77777777" w:rsidR="00971652" w:rsidRPr="00616B26" w:rsidRDefault="00971652" w:rsidP="00A12E52">
            <w:pPr>
              <w:pStyle w:val="Tabletext"/>
              <w:rPr>
                <w:snapToGrid w:val="0"/>
              </w:rPr>
            </w:pPr>
            <w:r w:rsidRPr="00616B26">
              <w:rPr>
                <w:snapToGrid w:val="0"/>
              </w:rPr>
              <w:t>54</w:t>
            </w:r>
          </w:p>
        </w:tc>
        <w:tc>
          <w:tcPr>
            <w:tcW w:w="1417" w:type="pct"/>
            <w:tcBorders>
              <w:top w:val="single" w:sz="4" w:space="0" w:color="auto"/>
              <w:bottom w:val="single" w:sz="4" w:space="0" w:color="auto"/>
            </w:tcBorders>
            <w:vAlign w:val="bottom"/>
          </w:tcPr>
          <w:p w14:paraId="0C7425E4" w14:textId="77777777" w:rsidR="00971652" w:rsidRPr="009B1322" w:rsidRDefault="00971652" w:rsidP="00A12E52">
            <w:pPr>
              <w:pStyle w:val="Tabletext"/>
              <w:rPr>
                <w:snapToGrid w:val="0"/>
              </w:rPr>
            </w:pPr>
            <w:r w:rsidRPr="00295986">
              <w:t>0</w:t>
            </w:r>
            <w:r w:rsidR="00D7157D">
              <w:t>.</w:t>
            </w:r>
            <w:r w:rsidRPr="00295986">
              <w:t>855</w:t>
            </w:r>
          </w:p>
        </w:tc>
        <w:tc>
          <w:tcPr>
            <w:tcW w:w="1878" w:type="pct"/>
            <w:tcBorders>
              <w:top w:val="single" w:sz="4" w:space="0" w:color="auto"/>
              <w:bottom w:val="single" w:sz="4" w:space="0" w:color="auto"/>
            </w:tcBorders>
            <w:vAlign w:val="bottom"/>
          </w:tcPr>
          <w:p w14:paraId="5EDE4928" w14:textId="77777777" w:rsidR="00971652" w:rsidRPr="009B1322" w:rsidRDefault="00971652" w:rsidP="00A12E52">
            <w:pPr>
              <w:pStyle w:val="Tabletext"/>
              <w:rPr>
                <w:snapToGrid w:val="0"/>
              </w:rPr>
            </w:pPr>
            <w:r w:rsidRPr="00295986">
              <w:t>0</w:t>
            </w:r>
            <w:r w:rsidR="00D7157D">
              <w:t>.</w:t>
            </w:r>
            <w:r w:rsidRPr="00295986">
              <w:t>216</w:t>
            </w:r>
          </w:p>
        </w:tc>
      </w:tr>
      <w:tr w:rsidR="00971652" w:rsidRPr="009E2595" w14:paraId="77AB39E2" w14:textId="77777777" w:rsidTr="00055CFA">
        <w:trPr>
          <w:trHeight w:val="245"/>
          <w:jc w:val="right"/>
        </w:trPr>
        <w:tc>
          <w:tcPr>
            <w:tcW w:w="1705" w:type="pct"/>
            <w:tcBorders>
              <w:top w:val="single" w:sz="4" w:space="0" w:color="auto"/>
              <w:bottom w:val="single" w:sz="12" w:space="0" w:color="auto"/>
            </w:tcBorders>
          </w:tcPr>
          <w:p w14:paraId="51917C15" w14:textId="77777777" w:rsidR="00971652" w:rsidRPr="00616B26" w:rsidRDefault="00971652" w:rsidP="00A12E52">
            <w:pPr>
              <w:pStyle w:val="Tabletext"/>
              <w:rPr>
                <w:snapToGrid w:val="0"/>
              </w:rPr>
            </w:pPr>
            <w:r w:rsidRPr="00616B26">
              <w:rPr>
                <w:snapToGrid w:val="0"/>
              </w:rPr>
              <w:t>55 and over</w:t>
            </w:r>
          </w:p>
        </w:tc>
        <w:tc>
          <w:tcPr>
            <w:tcW w:w="1417" w:type="pct"/>
            <w:tcBorders>
              <w:top w:val="single" w:sz="4" w:space="0" w:color="auto"/>
              <w:bottom w:val="single" w:sz="12" w:space="0" w:color="auto"/>
            </w:tcBorders>
            <w:vAlign w:val="bottom"/>
          </w:tcPr>
          <w:p w14:paraId="5552077F" w14:textId="77777777" w:rsidR="00971652" w:rsidRPr="009B1322" w:rsidRDefault="00971652" w:rsidP="00A12E52">
            <w:pPr>
              <w:pStyle w:val="Tabletext"/>
              <w:rPr>
                <w:snapToGrid w:val="0"/>
              </w:rPr>
            </w:pPr>
            <w:r w:rsidRPr="00295986">
              <w:t>0</w:t>
            </w:r>
            <w:r w:rsidR="00D7157D">
              <w:t>.</w:t>
            </w:r>
            <w:r w:rsidRPr="00295986">
              <w:t>534</w:t>
            </w:r>
          </w:p>
        </w:tc>
        <w:tc>
          <w:tcPr>
            <w:tcW w:w="1878" w:type="pct"/>
            <w:tcBorders>
              <w:top w:val="single" w:sz="4" w:space="0" w:color="auto"/>
              <w:bottom w:val="single" w:sz="12" w:space="0" w:color="auto"/>
            </w:tcBorders>
            <w:vAlign w:val="bottom"/>
          </w:tcPr>
          <w:p w14:paraId="46F6731F" w14:textId="77777777" w:rsidR="00971652" w:rsidRPr="009B1322" w:rsidRDefault="00971652" w:rsidP="00A12E52">
            <w:pPr>
              <w:pStyle w:val="Tabletext"/>
              <w:rPr>
                <w:snapToGrid w:val="0"/>
              </w:rPr>
            </w:pPr>
            <w:r w:rsidRPr="00295986">
              <w:t>0</w:t>
            </w:r>
            <w:r w:rsidR="00D7157D">
              <w:t>.</w:t>
            </w:r>
            <w:r w:rsidRPr="00295986">
              <w:t>135</w:t>
            </w:r>
          </w:p>
        </w:tc>
      </w:tr>
    </w:tbl>
    <w:p w14:paraId="7ED89A32" w14:textId="6529542A" w:rsidR="00647C6B" w:rsidRPr="00A058B6" w:rsidRDefault="00D7157D" w:rsidP="00647C6B">
      <w:pPr>
        <w:pStyle w:val="ActHead5"/>
      </w:pPr>
      <w:bookmarkStart w:id="261" w:name="_Toc188350739"/>
      <w:r w:rsidRPr="00423C34">
        <w:rPr>
          <w:rStyle w:val="CharSectno"/>
        </w:rPr>
        <w:t>23</w:t>
      </w:r>
      <w:r w:rsidR="00647C6B" w:rsidRPr="00A058B6">
        <w:t xml:space="preserve">  Valuation factors—5</w:t>
      </w:r>
      <w:r w:rsidR="001952B3">
        <w:noBreakHyphen/>
      </w:r>
      <w:r w:rsidR="00647C6B" w:rsidRPr="00A058B6">
        <w:t>year guarantee period—pension indexed at 5%</w:t>
      </w:r>
      <w:bookmarkEnd w:id="261"/>
    </w:p>
    <w:p w14:paraId="56A05D2F"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6123B900" w14:textId="7BD3A813" w:rsidR="00647C6B" w:rsidRPr="00A058B6" w:rsidRDefault="00647C6B" w:rsidP="00647C6B">
      <w:pPr>
        <w:pStyle w:val="paragraph"/>
      </w:pPr>
      <w:r w:rsidRPr="00A058B6">
        <w:tab/>
        <w:t>(a)</w:t>
      </w:r>
      <w:r w:rsidRPr="00A058B6">
        <w:tab/>
        <w:t>has a 5</w:t>
      </w:r>
      <w:r w:rsidR="001952B3">
        <w:noBreakHyphen/>
      </w:r>
      <w:r w:rsidRPr="00A058B6">
        <w:t>year guarantee period; and</w:t>
      </w:r>
    </w:p>
    <w:p w14:paraId="327D288A" w14:textId="77777777" w:rsidR="00647C6B" w:rsidRPr="00A058B6" w:rsidRDefault="00647C6B" w:rsidP="00647C6B">
      <w:pPr>
        <w:pStyle w:val="paragraph"/>
      </w:pPr>
      <w:r w:rsidRPr="00A058B6">
        <w:tab/>
        <w:t>(b)</w:t>
      </w:r>
      <w:r w:rsidRPr="00A058B6">
        <w:tab/>
        <w:t>is indexed at 5%</w:t>
      </w:r>
      <w:r w:rsidR="00D7157D">
        <w:t>.</w:t>
      </w:r>
    </w:p>
    <w:p w14:paraId="0689136C"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79467CCA" w14:textId="77777777" w:rsidTr="00963115">
        <w:trPr>
          <w:cantSplit/>
          <w:trHeight w:val="375"/>
          <w:tblHeader/>
          <w:jc w:val="right"/>
        </w:trPr>
        <w:tc>
          <w:tcPr>
            <w:tcW w:w="1705" w:type="pct"/>
            <w:vMerge w:val="restart"/>
            <w:tcBorders>
              <w:top w:val="single" w:sz="12" w:space="0" w:color="auto"/>
              <w:bottom w:val="single" w:sz="12" w:space="0" w:color="auto"/>
            </w:tcBorders>
          </w:tcPr>
          <w:p w14:paraId="53BACF2E"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40AAF359" w14:textId="1EBE14DE" w:rsidR="00647C6B" w:rsidRPr="00A058B6" w:rsidRDefault="00647C6B" w:rsidP="00963115">
            <w:pPr>
              <w:pStyle w:val="TableHeading"/>
              <w:rPr>
                <w:snapToGrid w:val="0"/>
              </w:rPr>
            </w:pPr>
            <w:r w:rsidRPr="00A058B6">
              <w:rPr>
                <w:snapToGrid w:val="0"/>
              </w:rPr>
              <w:t>Pension valuation factors</w:t>
            </w:r>
            <w:r w:rsidRPr="00A058B6">
              <w:rPr>
                <w:snapToGrid w:val="0"/>
              </w:rPr>
              <w:br/>
              <w:t>5</w:t>
            </w:r>
            <w:r w:rsidR="001952B3">
              <w:rPr>
                <w:snapToGrid w:val="0"/>
              </w:rPr>
              <w:noBreakHyphen/>
            </w:r>
            <w:r w:rsidRPr="00A058B6">
              <w:rPr>
                <w:snapToGrid w:val="0"/>
              </w:rPr>
              <w:t>year guarantee period—pension indexed at 5%</w:t>
            </w:r>
          </w:p>
        </w:tc>
      </w:tr>
      <w:tr w:rsidR="00647C6B" w:rsidRPr="00A058B6" w14:paraId="77B3D02F" w14:textId="77777777" w:rsidTr="00963115">
        <w:trPr>
          <w:cantSplit/>
          <w:trHeight w:val="60"/>
          <w:tblHeader/>
          <w:jc w:val="right"/>
        </w:trPr>
        <w:tc>
          <w:tcPr>
            <w:tcW w:w="1705" w:type="pct"/>
            <w:vMerge/>
            <w:tcBorders>
              <w:bottom w:val="single" w:sz="12" w:space="0" w:color="auto"/>
            </w:tcBorders>
          </w:tcPr>
          <w:p w14:paraId="202E3AF6" w14:textId="77777777" w:rsidR="00647C6B" w:rsidRPr="00A058B6" w:rsidRDefault="00647C6B" w:rsidP="00963115">
            <w:pPr>
              <w:pStyle w:val="TableHeading"/>
              <w:rPr>
                <w:snapToGrid w:val="0"/>
              </w:rPr>
            </w:pPr>
          </w:p>
        </w:tc>
        <w:tc>
          <w:tcPr>
            <w:tcW w:w="1429" w:type="pct"/>
            <w:tcBorders>
              <w:bottom w:val="single" w:sz="12" w:space="0" w:color="auto"/>
            </w:tcBorders>
          </w:tcPr>
          <w:p w14:paraId="2898A04C"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024A4E8B" w14:textId="77777777" w:rsidR="00647C6B" w:rsidRPr="00A058B6" w:rsidRDefault="00647C6B" w:rsidP="00963115">
            <w:pPr>
              <w:pStyle w:val="TableHeading"/>
              <w:rPr>
                <w:snapToGrid w:val="0"/>
              </w:rPr>
            </w:pPr>
            <w:r w:rsidRPr="00A058B6">
              <w:rPr>
                <w:snapToGrid w:val="0"/>
              </w:rPr>
              <w:t>Female</w:t>
            </w:r>
          </w:p>
        </w:tc>
      </w:tr>
      <w:tr w:rsidR="0033222F" w:rsidRPr="009E2595" w14:paraId="3538506A" w14:textId="77777777" w:rsidTr="00055CFA">
        <w:trPr>
          <w:trHeight w:val="245"/>
          <w:jc w:val="right"/>
        </w:trPr>
        <w:tc>
          <w:tcPr>
            <w:tcW w:w="1705" w:type="pct"/>
            <w:tcBorders>
              <w:top w:val="single" w:sz="12" w:space="0" w:color="auto"/>
              <w:bottom w:val="single" w:sz="4" w:space="0" w:color="auto"/>
            </w:tcBorders>
          </w:tcPr>
          <w:p w14:paraId="484682ED" w14:textId="77777777" w:rsidR="0033222F" w:rsidRPr="00616B26" w:rsidRDefault="0033222F" w:rsidP="00A12E52">
            <w:pPr>
              <w:pStyle w:val="Tabletext"/>
              <w:rPr>
                <w:snapToGrid w:val="0"/>
              </w:rPr>
            </w:pPr>
            <w:r w:rsidRPr="00616B26">
              <w:rPr>
                <w:snapToGrid w:val="0"/>
              </w:rPr>
              <w:t>55</w:t>
            </w:r>
          </w:p>
        </w:tc>
        <w:tc>
          <w:tcPr>
            <w:tcW w:w="1429" w:type="pct"/>
            <w:tcBorders>
              <w:top w:val="single" w:sz="12" w:space="0" w:color="auto"/>
              <w:bottom w:val="single" w:sz="4" w:space="0" w:color="auto"/>
            </w:tcBorders>
            <w:vAlign w:val="bottom"/>
          </w:tcPr>
          <w:p w14:paraId="5419A593" w14:textId="77777777" w:rsidR="0033222F" w:rsidRPr="009B1322" w:rsidRDefault="0033222F" w:rsidP="00A12E52">
            <w:pPr>
              <w:pStyle w:val="Tabletext"/>
              <w:rPr>
                <w:snapToGrid w:val="0"/>
              </w:rPr>
            </w:pPr>
            <w:r w:rsidRPr="00295986">
              <w:t>28</w:t>
            </w:r>
            <w:r w:rsidR="00D7157D">
              <w:t>.</w:t>
            </w:r>
            <w:r w:rsidRPr="00295986">
              <w:t>4838</w:t>
            </w:r>
          </w:p>
        </w:tc>
        <w:tc>
          <w:tcPr>
            <w:tcW w:w="1866" w:type="pct"/>
            <w:tcBorders>
              <w:top w:val="single" w:sz="12" w:space="0" w:color="auto"/>
              <w:bottom w:val="single" w:sz="4" w:space="0" w:color="auto"/>
            </w:tcBorders>
            <w:vAlign w:val="center"/>
          </w:tcPr>
          <w:p w14:paraId="76F1CC52" w14:textId="77777777" w:rsidR="0033222F" w:rsidRPr="009B1322" w:rsidRDefault="0033222F" w:rsidP="00A12E52">
            <w:pPr>
              <w:pStyle w:val="Tabletext"/>
              <w:rPr>
                <w:snapToGrid w:val="0"/>
              </w:rPr>
            </w:pPr>
            <w:r w:rsidRPr="00295986">
              <w:t>30</w:t>
            </w:r>
            <w:r w:rsidR="00D7157D">
              <w:t>.</w:t>
            </w:r>
            <w:r w:rsidRPr="00295986">
              <w:t>2240</w:t>
            </w:r>
          </w:p>
        </w:tc>
      </w:tr>
      <w:tr w:rsidR="0033222F" w:rsidRPr="009E2595" w14:paraId="6182CAFF" w14:textId="77777777" w:rsidTr="00055CFA">
        <w:trPr>
          <w:trHeight w:val="245"/>
          <w:jc w:val="right"/>
        </w:trPr>
        <w:tc>
          <w:tcPr>
            <w:tcW w:w="1705" w:type="pct"/>
            <w:tcBorders>
              <w:top w:val="single" w:sz="4" w:space="0" w:color="auto"/>
              <w:bottom w:val="single" w:sz="4" w:space="0" w:color="auto"/>
            </w:tcBorders>
          </w:tcPr>
          <w:p w14:paraId="4C71B844" w14:textId="77777777" w:rsidR="0033222F" w:rsidRPr="00616B26" w:rsidRDefault="0033222F" w:rsidP="00A12E52">
            <w:pPr>
              <w:pStyle w:val="Tabletext"/>
              <w:rPr>
                <w:snapToGrid w:val="0"/>
              </w:rPr>
            </w:pPr>
            <w:r w:rsidRPr="00616B26">
              <w:rPr>
                <w:snapToGrid w:val="0"/>
              </w:rPr>
              <w:t>56</w:t>
            </w:r>
          </w:p>
        </w:tc>
        <w:tc>
          <w:tcPr>
            <w:tcW w:w="1429" w:type="pct"/>
            <w:tcBorders>
              <w:top w:val="single" w:sz="4" w:space="0" w:color="auto"/>
              <w:bottom w:val="single" w:sz="4" w:space="0" w:color="auto"/>
            </w:tcBorders>
            <w:vAlign w:val="bottom"/>
          </w:tcPr>
          <w:p w14:paraId="41B6E6AA" w14:textId="77777777" w:rsidR="0033222F" w:rsidRPr="009B1322" w:rsidRDefault="0033222F" w:rsidP="00A12E52">
            <w:pPr>
              <w:pStyle w:val="Tabletext"/>
              <w:rPr>
                <w:snapToGrid w:val="0"/>
              </w:rPr>
            </w:pPr>
            <w:r w:rsidRPr="00295986">
              <w:t>27</w:t>
            </w:r>
            <w:r w:rsidR="00D7157D">
              <w:t>.</w:t>
            </w:r>
            <w:r w:rsidRPr="00295986">
              <w:t>7608</w:t>
            </w:r>
          </w:p>
        </w:tc>
        <w:tc>
          <w:tcPr>
            <w:tcW w:w="1866" w:type="pct"/>
            <w:tcBorders>
              <w:top w:val="single" w:sz="4" w:space="0" w:color="auto"/>
              <w:bottom w:val="single" w:sz="4" w:space="0" w:color="auto"/>
            </w:tcBorders>
            <w:vAlign w:val="center"/>
          </w:tcPr>
          <w:p w14:paraId="20BBD90F" w14:textId="77777777" w:rsidR="0033222F" w:rsidRPr="009B1322" w:rsidRDefault="0033222F" w:rsidP="00A12E52">
            <w:pPr>
              <w:pStyle w:val="Tabletext"/>
              <w:rPr>
                <w:snapToGrid w:val="0"/>
              </w:rPr>
            </w:pPr>
            <w:r w:rsidRPr="00295986">
              <w:t>29</w:t>
            </w:r>
            <w:r w:rsidR="00D7157D">
              <w:t>.</w:t>
            </w:r>
            <w:r w:rsidRPr="00295986">
              <w:t>5005</w:t>
            </w:r>
          </w:p>
        </w:tc>
      </w:tr>
      <w:tr w:rsidR="0033222F" w:rsidRPr="009E2595" w14:paraId="1672200F" w14:textId="77777777" w:rsidTr="00055CFA">
        <w:trPr>
          <w:trHeight w:val="245"/>
          <w:jc w:val="right"/>
        </w:trPr>
        <w:tc>
          <w:tcPr>
            <w:tcW w:w="1705" w:type="pct"/>
            <w:tcBorders>
              <w:top w:val="single" w:sz="4" w:space="0" w:color="auto"/>
              <w:bottom w:val="single" w:sz="4" w:space="0" w:color="auto"/>
            </w:tcBorders>
          </w:tcPr>
          <w:p w14:paraId="71B27B77" w14:textId="77777777" w:rsidR="0033222F" w:rsidRPr="00616B26" w:rsidRDefault="0033222F" w:rsidP="00A12E52">
            <w:pPr>
              <w:pStyle w:val="Tabletext"/>
              <w:rPr>
                <w:snapToGrid w:val="0"/>
              </w:rPr>
            </w:pPr>
            <w:r w:rsidRPr="00616B26">
              <w:rPr>
                <w:snapToGrid w:val="0"/>
              </w:rPr>
              <w:t>57</w:t>
            </w:r>
          </w:p>
        </w:tc>
        <w:tc>
          <w:tcPr>
            <w:tcW w:w="1429" w:type="pct"/>
            <w:tcBorders>
              <w:top w:val="single" w:sz="4" w:space="0" w:color="auto"/>
              <w:bottom w:val="single" w:sz="4" w:space="0" w:color="auto"/>
            </w:tcBorders>
            <w:vAlign w:val="bottom"/>
          </w:tcPr>
          <w:p w14:paraId="67377479" w14:textId="77777777" w:rsidR="0033222F" w:rsidRPr="009B1322" w:rsidRDefault="0033222F" w:rsidP="00A12E52">
            <w:pPr>
              <w:pStyle w:val="Tabletext"/>
              <w:rPr>
                <w:snapToGrid w:val="0"/>
              </w:rPr>
            </w:pPr>
            <w:r w:rsidRPr="00295986">
              <w:t>27</w:t>
            </w:r>
            <w:r w:rsidR="00D7157D">
              <w:t>.</w:t>
            </w:r>
            <w:r w:rsidRPr="00295986">
              <w:t>0315</w:t>
            </w:r>
          </w:p>
        </w:tc>
        <w:tc>
          <w:tcPr>
            <w:tcW w:w="1866" w:type="pct"/>
            <w:tcBorders>
              <w:top w:val="single" w:sz="4" w:space="0" w:color="auto"/>
              <w:bottom w:val="single" w:sz="4" w:space="0" w:color="auto"/>
            </w:tcBorders>
            <w:vAlign w:val="center"/>
          </w:tcPr>
          <w:p w14:paraId="557C23B1" w14:textId="77777777" w:rsidR="0033222F" w:rsidRPr="009B1322" w:rsidRDefault="0033222F" w:rsidP="00A12E52">
            <w:pPr>
              <w:pStyle w:val="Tabletext"/>
              <w:rPr>
                <w:snapToGrid w:val="0"/>
              </w:rPr>
            </w:pPr>
            <w:r w:rsidRPr="00295986">
              <w:t>28</w:t>
            </w:r>
            <w:r w:rsidR="00D7157D">
              <w:t>.</w:t>
            </w:r>
            <w:r w:rsidRPr="00295986">
              <w:t>7725</w:t>
            </w:r>
          </w:p>
        </w:tc>
      </w:tr>
      <w:tr w:rsidR="0033222F" w:rsidRPr="009E2595" w14:paraId="460CCC13" w14:textId="77777777" w:rsidTr="00055CFA">
        <w:trPr>
          <w:trHeight w:val="245"/>
          <w:jc w:val="right"/>
        </w:trPr>
        <w:tc>
          <w:tcPr>
            <w:tcW w:w="1705" w:type="pct"/>
            <w:tcBorders>
              <w:top w:val="single" w:sz="4" w:space="0" w:color="auto"/>
              <w:bottom w:val="single" w:sz="4" w:space="0" w:color="auto"/>
            </w:tcBorders>
          </w:tcPr>
          <w:p w14:paraId="3344A25C" w14:textId="77777777" w:rsidR="0033222F" w:rsidRPr="00616B26" w:rsidRDefault="0033222F" w:rsidP="00A12E52">
            <w:pPr>
              <w:pStyle w:val="Tabletext"/>
              <w:rPr>
                <w:snapToGrid w:val="0"/>
              </w:rPr>
            </w:pPr>
            <w:r w:rsidRPr="00616B26">
              <w:rPr>
                <w:snapToGrid w:val="0"/>
              </w:rPr>
              <w:t>58</w:t>
            </w:r>
          </w:p>
        </w:tc>
        <w:tc>
          <w:tcPr>
            <w:tcW w:w="1429" w:type="pct"/>
            <w:tcBorders>
              <w:top w:val="single" w:sz="4" w:space="0" w:color="auto"/>
              <w:bottom w:val="single" w:sz="4" w:space="0" w:color="auto"/>
            </w:tcBorders>
            <w:vAlign w:val="bottom"/>
          </w:tcPr>
          <w:p w14:paraId="6B158520" w14:textId="77777777" w:rsidR="0033222F" w:rsidRPr="009B1322" w:rsidRDefault="0033222F" w:rsidP="00A12E52">
            <w:pPr>
              <w:pStyle w:val="Tabletext"/>
              <w:rPr>
                <w:snapToGrid w:val="0"/>
              </w:rPr>
            </w:pPr>
            <w:r w:rsidRPr="00295986">
              <w:t>26</w:t>
            </w:r>
            <w:r w:rsidR="00D7157D">
              <w:t>.</w:t>
            </w:r>
            <w:r w:rsidRPr="00295986">
              <w:t>2959</w:t>
            </w:r>
          </w:p>
        </w:tc>
        <w:tc>
          <w:tcPr>
            <w:tcW w:w="1866" w:type="pct"/>
            <w:tcBorders>
              <w:top w:val="single" w:sz="4" w:space="0" w:color="auto"/>
              <w:bottom w:val="single" w:sz="4" w:space="0" w:color="auto"/>
            </w:tcBorders>
            <w:vAlign w:val="center"/>
          </w:tcPr>
          <w:p w14:paraId="33A1176F" w14:textId="77777777" w:rsidR="0033222F" w:rsidRPr="009B1322" w:rsidRDefault="0033222F" w:rsidP="00A12E52">
            <w:pPr>
              <w:pStyle w:val="Tabletext"/>
              <w:rPr>
                <w:snapToGrid w:val="0"/>
              </w:rPr>
            </w:pPr>
            <w:r w:rsidRPr="00295986">
              <w:t>28</w:t>
            </w:r>
            <w:r w:rsidR="00D7157D">
              <w:t>.</w:t>
            </w:r>
            <w:r w:rsidRPr="00295986">
              <w:t>0388</w:t>
            </w:r>
          </w:p>
        </w:tc>
      </w:tr>
      <w:tr w:rsidR="0033222F" w:rsidRPr="009E2595" w14:paraId="10A83B40" w14:textId="77777777" w:rsidTr="00055CFA">
        <w:trPr>
          <w:trHeight w:val="245"/>
          <w:jc w:val="right"/>
        </w:trPr>
        <w:tc>
          <w:tcPr>
            <w:tcW w:w="1705" w:type="pct"/>
            <w:tcBorders>
              <w:top w:val="single" w:sz="4" w:space="0" w:color="auto"/>
              <w:bottom w:val="single" w:sz="4" w:space="0" w:color="auto"/>
            </w:tcBorders>
          </w:tcPr>
          <w:p w14:paraId="73FDCB11" w14:textId="77777777" w:rsidR="0033222F" w:rsidRPr="00616B26" w:rsidRDefault="0033222F" w:rsidP="00A12E52">
            <w:pPr>
              <w:pStyle w:val="Tabletext"/>
              <w:rPr>
                <w:snapToGrid w:val="0"/>
              </w:rPr>
            </w:pPr>
            <w:r w:rsidRPr="00616B26">
              <w:rPr>
                <w:snapToGrid w:val="0"/>
              </w:rPr>
              <w:t>59</w:t>
            </w:r>
          </w:p>
        </w:tc>
        <w:tc>
          <w:tcPr>
            <w:tcW w:w="1429" w:type="pct"/>
            <w:tcBorders>
              <w:top w:val="single" w:sz="4" w:space="0" w:color="auto"/>
              <w:bottom w:val="single" w:sz="4" w:space="0" w:color="auto"/>
            </w:tcBorders>
            <w:vAlign w:val="bottom"/>
          </w:tcPr>
          <w:p w14:paraId="6A644708" w14:textId="77777777" w:rsidR="0033222F" w:rsidRPr="009B1322" w:rsidRDefault="0033222F" w:rsidP="00A12E52">
            <w:pPr>
              <w:pStyle w:val="Tabletext"/>
              <w:rPr>
                <w:snapToGrid w:val="0"/>
              </w:rPr>
            </w:pPr>
            <w:r w:rsidRPr="00295986">
              <w:t>25</w:t>
            </w:r>
            <w:r w:rsidR="00D7157D">
              <w:t>.</w:t>
            </w:r>
            <w:r w:rsidRPr="00295986">
              <w:t>5537</w:t>
            </w:r>
          </w:p>
        </w:tc>
        <w:tc>
          <w:tcPr>
            <w:tcW w:w="1866" w:type="pct"/>
            <w:tcBorders>
              <w:top w:val="single" w:sz="4" w:space="0" w:color="auto"/>
              <w:bottom w:val="single" w:sz="4" w:space="0" w:color="auto"/>
            </w:tcBorders>
            <w:vAlign w:val="center"/>
          </w:tcPr>
          <w:p w14:paraId="2405E17D" w14:textId="77777777" w:rsidR="0033222F" w:rsidRPr="009B1322" w:rsidRDefault="0033222F" w:rsidP="00A12E52">
            <w:pPr>
              <w:pStyle w:val="Tabletext"/>
              <w:rPr>
                <w:snapToGrid w:val="0"/>
              </w:rPr>
            </w:pPr>
            <w:r w:rsidRPr="00295986">
              <w:t>27</w:t>
            </w:r>
            <w:r w:rsidR="00D7157D">
              <w:t>.</w:t>
            </w:r>
            <w:r w:rsidRPr="00295986">
              <w:t>2993</w:t>
            </w:r>
          </w:p>
        </w:tc>
      </w:tr>
      <w:tr w:rsidR="0033222F" w:rsidRPr="009E2595" w14:paraId="67F4EEAA" w14:textId="77777777" w:rsidTr="00055CFA">
        <w:trPr>
          <w:trHeight w:val="245"/>
          <w:jc w:val="right"/>
        </w:trPr>
        <w:tc>
          <w:tcPr>
            <w:tcW w:w="1705" w:type="pct"/>
            <w:tcBorders>
              <w:top w:val="single" w:sz="4" w:space="0" w:color="auto"/>
              <w:bottom w:val="single" w:sz="4" w:space="0" w:color="auto"/>
            </w:tcBorders>
          </w:tcPr>
          <w:p w14:paraId="20F5BAA1" w14:textId="77777777" w:rsidR="0033222F" w:rsidRPr="00616B26" w:rsidRDefault="0033222F" w:rsidP="00A12E52">
            <w:pPr>
              <w:pStyle w:val="Tabletext"/>
              <w:rPr>
                <w:snapToGrid w:val="0"/>
              </w:rPr>
            </w:pPr>
            <w:r w:rsidRPr="00616B26">
              <w:rPr>
                <w:snapToGrid w:val="0"/>
              </w:rPr>
              <w:t>60</w:t>
            </w:r>
          </w:p>
        </w:tc>
        <w:tc>
          <w:tcPr>
            <w:tcW w:w="1429" w:type="pct"/>
            <w:tcBorders>
              <w:top w:val="single" w:sz="4" w:space="0" w:color="auto"/>
              <w:bottom w:val="single" w:sz="4" w:space="0" w:color="auto"/>
            </w:tcBorders>
            <w:vAlign w:val="bottom"/>
          </w:tcPr>
          <w:p w14:paraId="0E0564B2" w14:textId="77777777" w:rsidR="0033222F" w:rsidRPr="009B1322" w:rsidRDefault="0033222F" w:rsidP="00A12E52">
            <w:pPr>
              <w:pStyle w:val="Tabletext"/>
              <w:rPr>
                <w:snapToGrid w:val="0"/>
              </w:rPr>
            </w:pPr>
            <w:r w:rsidRPr="00295986">
              <w:t>24</w:t>
            </w:r>
            <w:r w:rsidR="00D7157D">
              <w:t>.</w:t>
            </w:r>
            <w:r w:rsidRPr="00295986">
              <w:t>8054</w:t>
            </w:r>
          </w:p>
        </w:tc>
        <w:tc>
          <w:tcPr>
            <w:tcW w:w="1866" w:type="pct"/>
            <w:tcBorders>
              <w:top w:val="single" w:sz="4" w:space="0" w:color="auto"/>
              <w:bottom w:val="single" w:sz="4" w:space="0" w:color="auto"/>
            </w:tcBorders>
            <w:vAlign w:val="center"/>
          </w:tcPr>
          <w:p w14:paraId="7FF4A899" w14:textId="77777777" w:rsidR="0033222F" w:rsidRPr="009B1322" w:rsidRDefault="0033222F" w:rsidP="00A12E52">
            <w:pPr>
              <w:pStyle w:val="Tabletext"/>
              <w:rPr>
                <w:snapToGrid w:val="0"/>
              </w:rPr>
            </w:pPr>
            <w:r w:rsidRPr="00295986">
              <w:t>26</w:t>
            </w:r>
            <w:r w:rsidR="00D7157D">
              <w:t>.</w:t>
            </w:r>
            <w:r w:rsidRPr="00295986">
              <w:t>5537</w:t>
            </w:r>
          </w:p>
        </w:tc>
      </w:tr>
      <w:tr w:rsidR="0033222F" w:rsidRPr="009E2595" w14:paraId="0E24EABF" w14:textId="77777777" w:rsidTr="00055CFA">
        <w:trPr>
          <w:trHeight w:val="245"/>
          <w:jc w:val="right"/>
        </w:trPr>
        <w:tc>
          <w:tcPr>
            <w:tcW w:w="1705" w:type="pct"/>
            <w:tcBorders>
              <w:top w:val="single" w:sz="4" w:space="0" w:color="auto"/>
              <w:bottom w:val="single" w:sz="4" w:space="0" w:color="auto"/>
            </w:tcBorders>
          </w:tcPr>
          <w:p w14:paraId="3A74DDFA" w14:textId="77777777" w:rsidR="0033222F" w:rsidRPr="00616B26" w:rsidRDefault="0033222F" w:rsidP="00A12E52">
            <w:pPr>
              <w:pStyle w:val="Tabletext"/>
              <w:rPr>
                <w:snapToGrid w:val="0"/>
              </w:rPr>
            </w:pPr>
            <w:r w:rsidRPr="00616B26">
              <w:rPr>
                <w:snapToGrid w:val="0"/>
              </w:rPr>
              <w:t>61</w:t>
            </w:r>
          </w:p>
        </w:tc>
        <w:tc>
          <w:tcPr>
            <w:tcW w:w="1429" w:type="pct"/>
            <w:tcBorders>
              <w:top w:val="single" w:sz="4" w:space="0" w:color="auto"/>
              <w:bottom w:val="single" w:sz="4" w:space="0" w:color="auto"/>
            </w:tcBorders>
            <w:vAlign w:val="bottom"/>
          </w:tcPr>
          <w:p w14:paraId="3074A114" w14:textId="77777777" w:rsidR="0033222F" w:rsidRPr="009B1322" w:rsidRDefault="0033222F" w:rsidP="00A12E52">
            <w:pPr>
              <w:pStyle w:val="Tabletext"/>
              <w:rPr>
                <w:snapToGrid w:val="0"/>
              </w:rPr>
            </w:pPr>
            <w:r w:rsidRPr="00295986">
              <w:t>24</w:t>
            </w:r>
            <w:r w:rsidR="00D7157D">
              <w:t>.</w:t>
            </w:r>
            <w:r w:rsidRPr="00295986">
              <w:t>0518</w:t>
            </w:r>
          </w:p>
        </w:tc>
        <w:tc>
          <w:tcPr>
            <w:tcW w:w="1866" w:type="pct"/>
            <w:tcBorders>
              <w:top w:val="single" w:sz="4" w:space="0" w:color="auto"/>
              <w:bottom w:val="single" w:sz="4" w:space="0" w:color="auto"/>
            </w:tcBorders>
            <w:vAlign w:val="center"/>
          </w:tcPr>
          <w:p w14:paraId="05544D44" w14:textId="77777777" w:rsidR="0033222F" w:rsidRPr="009B1322" w:rsidRDefault="0033222F" w:rsidP="00A12E52">
            <w:pPr>
              <w:pStyle w:val="Tabletext"/>
              <w:rPr>
                <w:snapToGrid w:val="0"/>
              </w:rPr>
            </w:pPr>
            <w:r w:rsidRPr="00295986">
              <w:t>25</w:t>
            </w:r>
            <w:r w:rsidR="00D7157D">
              <w:t>.</w:t>
            </w:r>
            <w:r w:rsidRPr="00295986">
              <w:t>8015</w:t>
            </w:r>
          </w:p>
        </w:tc>
      </w:tr>
      <w:tr w:rsidR="0033222F" w:rsidRPr="009E2595" w14:paraId="3DE2A90B" w14:textId="77777777" w:rsidTr="00055CFA">
        <w:trPr>
          <w:trHeight w:val="245"/>
          <w:jc w:val="right"/>
        </w:trPr>
        <w:tc>
          <w:tcPr>
            <w:tcW w:w="1705" w:type="pct"/>
            <w:tcBorders>
              <w:top w:val="single" w:sz="4" w:space="0" w:color="auto"/>
              <w:bottom w:val="single" w:sz="4" w:space="0" w:color="auto"/>
            </w:tcBorders>
          </w:tcPr>
          <w:p w14:paraId="394E47FA" w14:textId="77777777" w:rsidR="0033222F" w:rsidRPr="00616B26" w:rsidRDefault="0033222F" w:rsidP="00A12E52">
            <w:pPr>
              <w:pStyle w:val="Tabletext"/>
              <w:rPr>
                <w:snapToGrid w:val="0"/>
              </w:rPr>
            </w:pPr>
            <w:r w:rsidRPr="00616B26">
              <w:rPr>
                <w:snapToGrid w:val="0"/>
              </w:rPr>
              <w:t>62</w:t>
            </w:r>
          </w:p>
        </w:tc>
        <w:tc>
          <w:tcPr>
            <w:tcW w:w="1429" w:type="pct"/>
            <w:tcBorders>
              <w:top w:val="single" w:sz="4" w:space="0" w:color="auto"/>
              <w:bottom w:val="single" w:sz="4" w:space="0" w:color="auto"/>
            </w:tcBorders>
            <w:vAlign w:val="bottom"/>
          </w:tcPr>
          <w:p w14:paraId="0B2C0A34" w14:textId="77777777" w:rsidR="0033222F" w:rsidRPr="009B1322" w:rsidRDefault="0033222F" w:rsidP="00A12E52">
            <w:pPr>
              <w:pStyle w:val="Tabletext"/>
              <w:rPr>
                <w:snapToGrid w:val="0"/>
              </w:rPr>
            </w:pPr>
            <w:r w:rsidRPr="00295986">
              <w:t>23</w:t>
            </w:r>
            <w:r w:rsidR="00D7157D">
              <w:t>.</w:t>
            </w:r>
            <w:r w:rsidRPr="00295986">
              <w:t>2930</w:t>
            </w:r>
          </w:p>
        </w:tc>
        <w:tc>
          <w:tcPr>
            <w:tcW w:w="1866" w:type="pct"/>
            <w:tcBorders>
              <w:top w:val="single" w:sz="4" w:space="0" w:color="auto"/>
              <w:bottom w:val="single" w:sz="4" w:space="0" w:color="auto"/>
            </w:tcBorders>
            <w:vAlign w:val="center"/>
          </w:tcPr>
          <w:p w14:paraId="33903233" w14:textId="77777777" w:rsidR="0033222F" w:rsidRPr="009B1322" w:rsidRDefault="0033222F" w:rsidP="00A12E52">
            <w:pPr>
              <w:pStyle w:val="Tabletext"/>
              <w:rPr>
                <w:snapToGrid w:val="0"/>
              </w:rPr>
            </w:pPr>
            <w:r w:rsidRPr="00295986">
              <w:t>25</w:t>
            </w:r>
            <w:r w:rsidR="00D7157D">
              <w:t>.</w:t>
            </w:r>
            <w:r w:rsidRPr="00295986">
              <w:t>0443</w:t>
            </w:r>
          </w:p>
        </w:tc>
      </w:tr>
      <w:tr w:rsidR="0033222F" w:rsidRPr="009E2595" w14:paraId="1E8527C3" w14:textId="77777777" w:rsidTr="00055CFA">
        <w:trPr>
          <w:trHeight w:val="245"/>
          <w:jc w:val="right"/>
        </w:trPr>
        <w:tc>
          <w:tcPr>
            <w:tcW w:w="1705" w:type="pct"/>
            <w:tcBorders>
              <w:top w:val="single" w:sz="4" w:space="0" w:color="auto"/>
              <w:bottom w:val="single" w:sz="4" w:space="0" w:color="auto"/>
            </w:tcBorders>
          </w:tcPr>
          <w:p w14:paraId="3B7BCEA8" w14:textId="77777777" w:rsidR="0033222F" w:rsidRPr="00616B26" w:rsidRDefault="0033222F" w:rsidP="00A12E52">
            <w:pPr>
              <w:pStyle w:val="Tabletext"/>
              <w:rPr>
                <w:snapToGrid w:val="0"/>
              </w:rPr>
            </w:pPr>
            <w:r w:rsidRPr="00616B26">
              <w:rPr>
                <w:snapToGrid w:val="0"/>
              </w:rPr>
              <w:t>63</w:t>
            </w:r>
          </w:p>
        </w:tc>
        <w:tc>
          <w:tcPr>
            <w:tcW w:w="1429" w:type="pct"/>
            <w:tcBorders>
              <w:top w:val="single" w:sz="4" w:space="0" w:color="auto"/>
              <w:bottom w:val="single" w:sz="4" w:space="0" w:color="auto"/>
            </w:tcBorders>
            <w:vAlign w:val="bottom"/>
          </w:tcPr>
          <w:p w14:paraId="17B3DDB3" w14:textId="77777777" w:rsidR="0033222F" w:rsidRPr="009B1322" w:rsidRDefault="0033222F" w:rsidP="00A12E52">
            <w:pPr>
              <w:pStyle w:val="Tabletext"/>
              <w:rPr>
                <w:snapToGrid w:val="0"/>
              </w:rPr>
            </w:pPr>
            <w:r w:rsidRPr="00295986">
              <w:t>22</w:t>
            </w:r>
            <w:r w:rsidR="00D7157D">
              <w:t>.</w:t>
            </w:r>
            <w:r w:rsidRPr="00295986">
              <w:t>5302</w:t>
            </w:r>
          </w:p>
        </w:tc>
        <w:tc>
          <w:tcPr>
            <w:tcW w:w="1866" w:type="pct"/>
            <w:tcBorders>
              <w:top w:val="single" w:sz="4" w:space="0" w:color="auto"/>
              <w:bottom w:val="single" w:sz="4" w:space="0" w:color="auto"/>
            </w:tcBorders>
            <w:vAlign w:val="center"/>
          </w:tcPr>
          <w:p w14:paraId="6A4CC742" w14:textId="77777777" w:rsidR="0033222F" w:rsidRPr="009B1322" w:rsidRDefault="0033222F" w:rsidP="00A12E52">
            <w:pPr>
              <w:pStyle w:val="Tabletext"/>
              <w:rPr>
                <w:snapToGrid w:val="0"/>
              </w:rPr>
            </w:pPr>
            <w:r w:rsidRPr="00295986">
              <w:t>24</w:t>
            </w:r>
            <w:r w:rsidR="00D7157D">
              <w:t>.</w:t>
            </w:r>
            <w:r w:rsidRPr="00295986">
              <w:t>2822</w:t>
            </w:r>
          </w:p>
        </w:tc>
      </w:tr>
      <w:tr w:rsidR="0033222F" w:rsidRPr="009E2595" w14:paraId="5D9DCB76" w14:textId="77777777" w:rsidTr="00055CFA">
        <w:trPr>
          <w:trHeight w:val="245"/>
          <w:jc w:val="right"/>
        </w:trPr>
        <w:tc>
          <w:tcPr>
            <w:tcW w:w="1705" w:type="pct"/>
            <w:tcBorders>
              <w:top w:val="single" w:sz="4" w:space="0" w:color="auto"/>
              <w:bottom w:val="single" w:sz="4" w:space="0" w:color="auto"/>
            </w:tcBorders>
          </w:tcPr>
          <w:p w14:paraId="7553362F" w14:textId="77777777" w:rsidR="0033222F" w:rsidRPr="00616B26" w:rsidRDefault="0033222F" w:rsidP="00A12E52">
            <w:pPr>
              <w:pStyle w:val="Tabletext"/>
              <w:rPr>
                <w:snapToGrid w:val="0"/>
              </w:rPr>
            </w:pPr>
            <w:r w:rsidRPr="00616B26">
              <w:rPr>
                <w:snapToGrid w:val="0"/>
              </w:rPr>
              <w:t>64</w:t>
            </w:r>
          </w:p>
        </w:tc>
        <w:tc>
          <w:tcPr>
            <w:tcW w:w="1429" w:type="pct"/>
            <w:tcBorders>
              <w:top w:val="single" w:sz="4" w:space="0" w:color="auto"/>
              <w:bottom w:val="single" w:sz="4" w:space="0" w:color="auto"/>
            </w:tcBorders>
            <w:vAlign w:val="bottom"/>
          </w:tcPr>
          <w:p w14:paraId="14529AD2" w14:textId="77777777" w:rsidR="0033222F" w:rsidRPr="009B1322" w:rsidRDefault="0033222F" w:rsidP="00A12E52">
            <w:pPr>
              <w:pStyle w:val="Tabletext"/>
              <w:rPr>
                <w:snapToGrid w:val="0"/>
              </w:rPr>
            </w:pPr>
            <w:r w:rsidRPr="00295986">
              <w:t>21</w:t>
            </w:r>
            <w:r w:rsidR="00D7157D">
              <w:t>.</w:t>
            </w:r>
            <w:r w:rsidRPr="00295986">
              <w:t>7635</w:t>
            </w:r>
          </w:p>
        </w:tc>
        <w:tc>
          <w:tcPr>
            <w:tcW w:w="1866" w:type="pct"/>
            <w:tcBorders>
              <w:top w:val="single" w:sz="4" w:space="0" w:color="auto"/>
              <w:bottom w:val="single" w:sz="4" w:space="0" w:color="auto"/>
            </w:tcBorders>
            <w:vAlign w:val="center"/>
          </w:tcPr>
          <w:p w14:paraId="400A1393" w14:textId="77777777" w:rsidR="0033222F" w:rsidRPr="009B1322" w:rsidRDefault="0033222F" w:rsidP="00A12E52">
            <w:pPr>
              <w:pStyle w:val="Tabletext"/>
              <w:rPr>
                <w:snapToGrid w:val="0"/>
              </w:rPr>
            </w:pPr>
            <w:r w:rsidRPr="00295986">
              <w:t>23</w:t>
            </w:r>
            <w:r w:rsidR="00D7157D">
              <w:t>.</w:t>
            </w:r>
            <w:r w:rsidRPr="00295986">
              <w:t>5159</w:t>
            </w:r>
          </w:p>
        </w:tc>
      </w:tr>
      <w:tr w:rsidR="0033222F" w:rsidRPr="009E2595" w14:paraId="1D79E842" w14:textId="77777777" w:rsidTr="00055CFA">
        <w:trPr>
          <w:trHeight w:val="245"/>
          <w:jc w:val="right"/>
        </w:trPr>
        <w:tc>
          <w:tcPr>
            <w:tcW w:w="1705" w:type="pct"/>
            <w:tcBorders>
              <w:top w:val="single" w:sz="4" w:space="0" w:color="auto"/>
              <w:bottom w:val="single" w:sz="12" w:space="0" w:color="auto"/>
            </w:tcBorders>
          </w:tcPr>
          <w:p w14:paraId="09935EA3" w14:textId="77777777" w:rsidR="0033222F" w:rsidRPr="00616B26" w:rsidRDefault="0033222F" w:rsidP="00A12E52">
            <w:pPr>
              <w:pStyle w:val="Tabletext"/>
              <w:rPr>
                <w:snapToGrid w:val="0"/>
              </w:rPr>
            </w:pPr>
            <w:r w:rsidRPr="00616B26">
              <w:rPr>
                <w:snapToGrid w:val="0"/>
              </w:rPr>
              <w:t>65</w:t>
            </w:r>
          </w:p>
        </w:tc>
        <w:tc>
          <w:tcPr>
            <w:tcW w:w="1429" w:type="pct"/>
            <w:tcBorders>
              <w:top w:val="single" w:sz="4" w:space="0" w:color="auto"/>
              <w:bottom w:val="single" w:sz="12" w:space="0" w:color="auto"/>
            </w:tcBorders>
            <w:vAlign w:val="bottom"/>
          </w:tcPr>
          <w:p w14:paraId="75A254D9" w14:textId="77777777" w:rsidR="0033222F" w:rsidRPr="009B1322" w:rsidRDefault="0033222F" w:rsidP="00A12E52">
            <w:pPr>
              <w:pStyle w:val="Tabletext"/>
              <w:rPr>
                <w:snapToGrid w:val="0"/>
              </w:rPr>
            </w:pPr>
            <w:r w:rsidRPr="00295986">
              <w:t>20</w:t>
            </w:r>
            <w:r w:rsidR="00D7157D">
              <w:t>.</w:t>
            </w:r>
            <w:r w:rsidRPr="00295986">
              <w:t>9957</w:t>
            </w:r>
          </w:p>
        </w:tc>
        <w:tc>
          <w:tcPr>
            <w:tcW w:w="1866" w:type="pct"/>
            <w:tcBorders>
              <w:top w:val="single" w:sz="4" w:space="0" w:color="auto"/>
              <w:bottom w:val="single" w:sz="12" w:space="0" w:color="auto"/>
            </w:tcBorders>
            <w:vAlign w:val="center"/>
          </w:tcPr>
          <w:p w14:paraId="6F9E0D87" w14:textId="77777777" w:rsidR="0033222F" w:rsidRPr="009B1322" w:rsidRDefault="0033222F" w:rsidP="00A12E52">
            <w:pPr>
              <w:pStyle w:val="Tabletext"/>
              <w:rPr>
                <w:snapToGrid w:val="0"/>
              </w:rPr>
            </w:pPr>
            <w:r w:rsidRPr="00295986">
              <w:t>22</w:t>
            </w:r>
            <w:r w:rsidR="00D7157D">
              <w:t>.</w:t>
            </w:r>
            <w:r w:rsidRPr="00295986">
              <w:t>7472</w:t>
            </w:r>
          </w:p>
        </w:tc>
      </w:tr>
    </w:tbl>
    <w:p w14:paraId="68CFFB53"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304FC44C" w14:textId="77777777" w:rsidTr="00963115">
        <w:trPr>
          <w:cantSplit/>
          <w:trHeight w:val="375"/>
          <w:tblHeader/>
          <w:jc w:val="right"/>
        </w:trPr>
        <w:tc>
          <w:tcPr>
            <w:tcW w:w="1705" w:type="pct"/>
            <w:vMerge w:val="restart"/>
            <w:tcBorders>
              <w:top w:val="single" w:sz="12" w:space="0" w:color="auto"/>
            </w:tcBorders>
          </w:tcPr>
          <w:p w14:paraId="0DE986B5"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52E18247" w14:textId="342302F2" w:rsidR="00647C6B" w:rsidRPr="00A058B6" w:rsidRDefault="00647C6B" w:rsidP="00963115">
            <w:pPr>
              <w:pStyle w:val="TableHeading"/>
              <w:rPr>
                <w:snapToGrid w:val="0"/>
              </w:rPr>
            </w:pPr>
            <w:r w:rsidRPr="00A058B6">
              <w:rPr>
                <w:snapToGrid w:val="0"/>
              </w:rPr>
              <w:t>Reversion valuation factors</w:t>
            </w:r>
            <w:r w:rsidRPr="00A058B6">
              <w:rPr>
                <w:snapToGrid w:val="0"/>
              </w:rPr>
              <w:br/>
              <w:t>5</w:t>
            </w:r>
            <w:r w:rsidR="001952B3">
              <w:rPr>
                <w:snapToGrid w:val="0"/>
              </w:rPr>
              <w:noBreakHyphen/>
            </w:r>
            <w:r w:rsidRPr="00A058B6">
              <w:rPr>
                <w:snapToGrid w:val="0"/>
              </w:rPr>
              <w:t>year guarantee period—pension indexed at 5%</w:t>
            </w:r>
          </w:p>
        </w:tc>
      </w:tr>
      <w:tr w:rsidR="00647C6B" w:rsidRPr="00A058B6" w14:paraId="79BF550E" w14:textId="77777777" w:rsidTr="00963115">
        <w:trPr>
          <w:cantSplit/>
          <w:trHeight w:val="60"/>
          <w:tblHeader/>
          <w:jc w:val="right"/>
        </w:trPr>
        <w:tc>
          <w:tcPr>
            <w:tcW w:w="1705" w:type="pct"/>
            <w:vMerge/>
            <w:tcBorders>
              <w:bottom w:val="single" w:sz="12" w:space="0" w:color="auto"/>
            </w:tcBorders>
          </w:tcPr>
          <w:p w14:paraId="7F2A5DAA"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17583C98"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2F19542F" w14:textId="77777777" w:rsidR="00647C6B" w:rsidRPr="00A058B6" w:rsidRDefault="00647C6B" w:rsidP="00963115">
            <w:pPr>
              <w:pStyle w:val="TableHeading"/>
              <w:rPr>
                <w:snapToGrid w:val="0"/>
              </w:rPr>
            </w:pPr>
            <w:r w:rsidRPr="00A058B6">
              <w:rPr>
                <w:snapToGrid w:val="0"/>
              </w:rPr>
              <w:t>Female</w:t>
            </w:r>
          </w:p>
        </w:tc>
      </w:tr>
      <w:tr w:rsidR="0033222F" w:rsidRPr="009E2595" w14:paraId="1CD694D9" w14:textId="77777777" w:rsidTr="00055CFA">
        <w:trPr>
          <w:trHeight w:val="245"/>
          <w:jc w:val="right"/>
        </w:trPr>
        <w:tc>
          <w:tcPr>
            <w:tcW w:w="1705" w:type="pct"/>
            <w:tcBorders>
              <w:top w:val="single" w:sz="12" w:space="0" w:color="auto"/>
              <w:bottom w:val="single" w:sz="4" w:space="0" w:color="auto"/>
            </w:tcBorders>
          </w:tcPr>
          <w:p w14:paraId="3C2EECF4" w14:textId="77777777" w:rsidR="0033222F" w:rsidRPr="00616B26" w:rsidRDefault="0033222F" w:rsidP="00A12E52">
            <w:pPr>
              <w:pStyle w:val="Tabletext"/>
              <w:rPr>
                <w:snapToGrid w:val="0"/>
              </w:rPr>
            </w:pPr>
            <w:r w:rsidRPr="00616B26">
              <w:rPr>
                <w:snapToGrid w:val="0"/>
              </w:rPr>
              <w:t>Up to 40</w:t>
            </w:r>
          </w:p>
        </w:tc>
        <w:tc>
          <w:tcPr>
            <w:tcW w:w="1417" w:type="pct"/>
            <w:tcBorders>
              <w:top w:val="single" w:sz="12" w:space="0" w:color="auto"/>
              <w:bottom w:val="single" w:sz="4" w:space="0" w:color="auto"/>
            </w:tcBorders>
            <w:vAlign w:val="bottom"/>
          </w:tcPr>
          <w:p w14:paraId="6F4511A6" w14:textId="77777777" w:rsidR="0033222F" w:rsidRPr="009B1322" w:rsidRDefault="0033222F" w:rsidP="00A12E52">
            <w:pPr>
              <w:pStyle w:val="Tabletext"/>
              <w:rPr>
                <w:snapToGrid w:val="0"/>
              </w:rPr>
            </w:pPr>
            <w:r w:rsidRPr="00295986">
              <w:t>4</w:t>
            </w:r>
            <w:r w:rsidR="00D7157D">
              <w:t>.</w:t>
            </w:r>
            <w:r w:rsidRPr="00295986">
              <w:t>295</w:t>
            </w:r>
          </w:p>
        </w:tc>
        <w:tc>
          <w:tcPr>
            <w:tcW w:w="1878" w:type="pct"/>
            <w:tcBorders>
              <w:top w:val="single" w:sz="12" w:space="0" w:color="auto"/>
              <w:bottom w:val="single" w:sz="4" w:space="0" w:color="auto"/>
            </w:tcBorders>
            <w:vAlign w:val="bottom"/>
          </w:tcPr>
          <w:p w14:paraId="47C2F24F" w14:textId="77777777" w:rsidR="0033222F" w:rsidRPr="009B1322" w:rsidRDefault="0033222F" w:rsidP="00A12E52">
            <w:pPr>
              <w:pStyle w:val="Tabletext"/>
              <w:rPr>
                <w:snapToGrid w:val="0"/>
              </w:rPr>
            </w:pPr>
            <w:r w:rsidRPr="00295986">
              <w:t>1</w:t>
            </w:r>
            <w:r w:rsidR="00D7157D">
              <w:t>.</w:t>
            </w:r>
            <w:r w:rsidRPr="00295986">
              <w:t>787</w:t>
            </w:r>
          </w:p>
        </w:tc>
      </w:tr>
      <w:tr w:rsidR="0033222F" w:rsidRPr="009E2595" w14:paraId="1238EF31" w14:textId="77777777" w:rsidTr="00055CFA">
        <w:trPr>
          <w:trHeight w:val="245"/>
          <w:jc w:val="right"/>
        </w:trPr>
        <w:tc>
          <w:tcPr>
            <w:tcW w:w="1705" w:type="pct"/>
            <w:tcBorders>
              <w:top w:val="single" w:sz="4" w:space="0" w:color="auto"/>
              <w:bottom w:val="single" w:sz="4" w:space="0" w:color="auto"/>
            </w:tcBorders>
          </w:tcPr>
          <w:p w14:paraId="6F18FBA2" w14:textId="77777777" w:rsidR="0033222F" w:rsidRPr="00616B26" w:rsidRDefault="0033222F" w:rsidP="00A12E52">
            <w:pPr>
              <w:pStyle w:val="Tabletext"/>
              <w:rPr>
                <w:snapToGrid w:val="0"/>
              </w:rPr>
            </w:pPr>
            <w:r w:rsidRPr="00616B26">
              <w:rPr>
                <w:snapToGrid w:val="0"/>
              </w:rPr>
              <w:t>41</w:t>
            </w:r>
          </w:p>
        </w:tc>
        <w:tc>
          <w:tcPr>
            <w:tcW w:w="1417" w:type="pct"/>
            <w:tcBorders>
              <w:top w:val="single" w:sz="4" w:space="0" w:color="auto"/>
              <w:bottom w:val="single" w:sz="4" w:space="0" w:color="auto"/>
            </w:tcBorders>
            <w:vAlign w:val="bottom"/>
          </w:tcPr>
          <w:p w14:paraId="2C7A5589" w14:textId="77777777" w:rsidR="0033222F" w:rsidRPr="009B1322" w:rsidRDefault="0033222F" w:rsidP="00A12E52">
            <w:pPr>
              <w:pStyle w:val="Tabletext"/>
              <w:rPr>
                <w:snapToGrid w:val="0"/>
              </w:rPr>
            </w:pPr>
            <w:r w:rsidRPr="00295986">
              <w:t>4</w:t>
            </w:r>
            <w:r w:rsidR="00D7157D">
              <w:t>.</w:t>
            </w:r>
            <w:r w:rsidRPr="00295986">
              <w:t>151</w:t>
            </w:r>
          </w:p>
        </w:tc>
        <w:tc>
          <w:tcPr>
            <w:tcW w:w="1878" w:type="pct"/>
            <w:tcBorders>
              <w:top w:val="single" w:sz="4" w:space="0" w:color="auto"/>
              <w:bottom w:val="single" w:sz="4" w:space="0" w:color="auto"/>
            </w:tcBorders>
            <w:vAlign w:val="bottom"/>
          </w:tcPr>
          <w:p w14:paraId="6C3040F5" w14:textId="77777777" w:rsidR="0033222F" w:rsidRPr="009B1322" w:rsidRDefault="0033222F" w:rsidP="00A12E52">
            <w:pPr>
              <w:pStyle w:val="Tabletext"/>
              <w:rPr>
                <w:snapToGrid w:val="0"/>
              </w:rPr>
            </w:pPr>
            <w:r w:rsidRPr="00295986">
              <w:t>1</w:t>
            </w:r>
            <w:r w:rsidR="00D7157D">
              <w:t>.</w:t>
            </w:r>
            <w:r w:rsidRPr="00295986">
              <w:t>680</w:t>
            </w:r>
          </w:p>
        </w:tc>
      </w:tr>
      <w:tr w:rsidR="0033222F" w:rsidRPr="009E2595" w14:paraId="20326F7D" w14:textId="77777777" w:rsidTr="00055CFA">
        <w:trPr>
          <w:trHeight w:val="245"/>
          <w:jc w:val="right"/>
        </w:trPr>
        <w:tc>
          <w:tcPr>
            <w:tcW w:w="1705" w:type="pct"/>
            <w:tcBorders>
              <w:top w:val="single" w:sz="4" w:space="0" w:color="auto"/>
              <w:bottom w:val="single" w:sz="4" w:space="0" w:color="auto"/>
            </w:tcBorders>
          </w:tcPr>
          <w:p w14:paraId="2D3CEBC4" w14:textId="77777777" w:rsidR="0033222F" w:rsidRPr="00616B26" w:rsidRDefault="0033222F" w:rsidP="00A12E52">
            <w:pPr>
              <w:pStyle w:val="Tabletext"/>
              <w:rPr>
                <w:snapToGrid w:val="0"/>
              </w:rPr>
            </w:pPr>
            <w:r w:rsidRPr="00616B26">
              <w:rPr>
                <w:snapToGrid w:val="0"/>
              </w:rPr>
              <w:t>42</w:t>
            </w:r>
          </w:p>
        </w:tc>
        <w:tc>
          <w:tcPr>
            <w:tcW w:w="1417" w:type="pct"/>
            <w:tcBorders>
              <w:top w:val="single" w:sz="4" w:space="0" w:color="auto"/>
              <w:bottom w:val="single" w:sz="4" w:space="0" w:color="auto"/>
            </w:tcBorders>
            <w:vAlign w:val="bottom"/>
          </w:tcPr>
          <w:p w14:paraId="152D8430" w14:textId="77777777" w:rsidR="0033222F" w:rsidRPr="009B1322" w:rsidRDefault="0033222F" w:rsidP="00A12E52">
            <w:pPr>
              <w:pStyle w:val="Tabletext"/>
              <w:rPr>
                <w:snapToGrid w:val="0"/>
              </w:rPr>
            </w:pPr>
            <w:r w:rsidRPr="00295986">
              <w:t>4</w:t>
            </w:r>
            <w:r w:rsidR="00D7157D">
              <w:t>.</w:t>
            </w:r>
            <w:r w:rsidRPr="00295986">
              <w:t>008</w:t>
            </w:r>
          </w:p>
        </w:tc>
        <w:tc>
          <w:tcPr>
            <w:tcW w:w="1878" w:type="pct"/>
            <w:tcBorders>
              <w:top w:val="single" w:sz="4" w:space="0" w:color="auto"/>
              <w:bottom w:val="single" w:sz="4" w:space="0" w:color="auto"/>
            </w:tcBorders>
            <w:vAlign w:val="bottom"/>
          </w:tcPr>
          <w:p w14:paraId="0E34F1F1" w14:textId="77777777" w:rsidR="0033222F" w:rsidRPr="009B1322" w:rsidRDefault="0033222F" w:rsidP="00A12E52">
            <w:pPr>
              <w:pStyle w:val="Tabletext"/>
              <w:rPr>
                <w:snapToGrid w:val="0"/>
              </w:rPr>
            </w:pPr>
            <w:r w:rsidRPr="00295986">
              <w:t>1</w:t>
            </w:r>
            <w:r w:rsidR="00D7157D">
              <w:t>.</w:t>
            </w:r>
            <w:r w:rsidRPr="00295986">
              <w:t>573</w:t>
            </w:r>
          </w:p>
        </w:tc>
      </w:tr>
      <w:tr w:rsidR="0033222F" w:rsidRPr="009E2595" w14:paraId="220BE877" w14:textId="77777777" w:rsidTr="00055CFA">
        <w:trPr>
          <w:trHeight w:val="245"/>
          <w:jc w:val="right"/>
        </w:trPr>
        <w:tc>
          <w:tcPr>
            <w:tcW w:w="1705" w:type="pct"/>
            <w:tcBorders>
              <w:top w:val="single" w:sz="4" w:space="0" w:color="auto"/>
              <w:bottom w:val="single" w:sz="4" w:space="0" w:color="auto"/>
            </w:tcBorders>
          </w:tcPr>
          <w:p w14:paraId="49EBC615" w14:textId="77777777" w:rsidR="0033222F" w:rsidRPr="00616B26" w:rsidRDefault="0033222F" w:rsidP="00A12E52">
            <w:pPr>
              <w:pStyle w:val="Tabletext"/>
              <w:rPr>
                <w:snapToGrid w:val="0"/>
              </w:rPr>
            </w:pPr>
            <w:r w:rsidRPr="00616B26">
              <w:rPr>
                <w:snapToGrid w:val="0"/>
              </w:rPr>
              <w:t>43</w:t>
            </w:r>
          </w:p>
        </w:tc>
        <w:tc>
          <w:tcPr>
            <w:tcW w:w="1417" w:type="pct"/>
            <w:tcBorders>
              <w:top w:val="single" w:sz="4" w:space="0" w:color="auto"/>
              <w:bottom w:val="single" w:sz="4" w:space="0" w:color="auto"/>
            </w:tcBorders>
            <w:vAlign w:val="bottom"/>
          </w:tcPr>
          <w:p w14:paraId="751AEBE4" w14:textId="77777777" w:rsidR="0033222F" w:rsidRPr="009B1322" w:rsidRDefault="0033222F" w:rsidP="00A12E52">
            <w:pPr>
              <w:pStyle w:val="Tabletext"/>
              <w:rPr>
                <w:snapToGrid w:val="0"/>
              </w:rPr>
            </w:pPr>
            <w:r w:rsidRPr="00295986">
              <w:t>3</w:t>
            </w:r>
            <w:r w:rsidR="00D7157D">
              <w:t>.</w:t>
            </w:r>
            <w:r w:rsidRPr="00295986">
              <w:t>865</w:t>
            </w:r>
          </w:p>
        </w:tc>
        <w:tc>
          <w:tcPr>
            <w:tcW w:w="1878" w:type="pct"/>
            <w:tcBorders>
              <w:top w:val="single" w:sz="4" w:space="0" w:color="auto"/>
              <w:bottom w:val="single" w:sz="4" w:space="0" w:color="auto"/>
            </w:tcBorders>
            <w:vAlign w:val="bottom"/>
          </w:tcPr>
          <w:p w14:paraId="24D888FC" w14:textId="77777777" w:rsidR="0033222F" w:rsidRPr="009B1322" w:rsidRDefault="0033222F" w:rsidP="00A12E52">
            <w:pPr>
              <w:pStyle w:val="Tabletext"/>
              <w:rPr>
                <w:snapToGrid w:val="0"/>
              </w:rPr>
            </w:pPr>
            <w:r w:rsidRPr="00295986">
              <w:t>1</w:t>
            </w:r>
            <w:r w:rsidR="00D7157D">
              <w:t>.</w:t>
            </w:r>
            <w:r w:rsidRPr="00295986">
              <w:t>465</w:t>
            </w:r>
          </w:p>
        </w:tc>
      </w:tr>
      <w:tr w:rsidR="0033222F" w:rsidRPr="009E2595" w14:paraId="69AACD16" w14:textId="77777777" w:rsidTr="00055CFA">
        <w:trPr>
          <w:trHeight w:val="245"/>
          <w:jc w:val="right"/>
        </w:trPr>
        <w:tc>
          <w:tcPr>
            <w:tcW w:w="1705" w:type="pct"/>
            <w:tcBorders>
              <w:top w:val="single" w:sz="4" w:space="0" w:color="auto"/>
              <w:bottom w:val="single" w:sz="4" w:space="0" w:color="auto"/>
            </w:tcBorders>
          </w:tcPr>
          <w:p w14:paraId="3DE1EA8F" w14:textId="77777777" w:rsidR="0033222F" w:rsidRPr="00616B26" w:rsidRDefault="0033222F" w:rsidP="00A12E52">
            <w:pPr>
              <w:pStyle w:val="Tabletext"/>
              <w:rPr>
                <w:snapToGrid w:val="0"/>
              </w:rPr>
            </w:pPr>
            <w:r w:rsidRPr="00616B26">
              <w:rPr>
                <w:snapToGrid w:val="0"/>
              </w:rPr>
              <w:t>44</w:t>
            </w:r>
          </w:p>
        </w:tc>
        <w:tc>
          <w:tcPr>
            <w:tcW w:w="1417" w:type="pct"/>
            <w:tcBorders>
              <w:top w:val="single" w:sz="4" w:space="0" w:color="auto"/>
              <w:bottom w:val="single" w:sz="4" w:space="0" w:color="auto"/>
            </w:tcBorders>
            <w:vAlign w:val="bottom"/>
          </w:tcPr>
          <w:p w14:paraId="1EF034D0" w14:textId="77777777" w:rsidR="0033222F" w:rsidRPr="009B1322" w:rsidRDefault="0033222F" w:rsidP="00A12E52">
            <w:pPr>
              <w:pStyle w:val="Tabletext"/>
              <w:rPr>
                <w:snapToGrid w:val="0"/>
              </w:rPr>
            </w:pPr>
            <w:r w:rsidRPr="00295986">
              <w:t>3</w:t>
            </w:r>
            <w:r w:rsidR="00D7157D">
              <w:t>.</w:t>
            </w:r>
            <w:r w:rsidRPr="00295986">
              <w:t>722</w:t>
            </w:r>
          </w:p>
        </w:tc>
        <w:tc>
          <w:tcPr>
            <w:tcW w:w="1878" w:type="pct"/>
            <w:tcBorders>
              <w:top w:val="single" w:sz="4" w:space="0" w:color="auto"/>
              <w:bottom w:val="single" w:sz="4" w:space="0" w:color="auto"/>
            </w:tcBorders>
            <w:vAlign w:val="bottom"/>
          </w:tcPr>
          <w:p w14:paraId="0026C045" w14:textId="77777777" w:rsidR="0033222F" w:rsidRPr="009B1322" w:rsidRDefault="0033222F" w:rsidP="00A12E52">
            <w:pPr>
              <w:pStyle w:val="Tabletext"/>
              <w:rPr>
                <w:snapToGrid w:val="0"/>
              </w:rPr>
            </w:pPr>
            <w:r w:rsidRPr="00295986">
              <w:t>1</w:t>
            </w:r>
            <w:r w:rsidR="00D7157D">
              <w:t>.</w:t>
            </w:r>
            <w:r w:rsidRPr="00295986">
              <w:t>358</w:t>
            </w:r>
          </w:p>
        </w:tc>
      </w:tr>
      <w:tr w:rsidR="0033222F" w:rsidRPr="009E2595" w14:paraId="514D9CBB" w14:textId="77777777" w:rsidTr="00055CFA">
        <w:trPr>
          <w:trHeight w:val="245"/>
          <w:jc w:val="right"/>
        </w:trPr>
        <w:tc>
          <w:tcPr>
            <w:tcW w:w="1705" w:type="pct"/>
            <w:tcBorders>
              <w:top w:val="single" w:sz="4" w:space="0" w:color="auto"/>
              <w:bottom w:val="single" w:sz="4" w:space="0" w:color="auto"/>
            </w:tcBorders>
          </w:tcPr>
          <w:p w14:paraId="588AC3C5" w14:textId="77777777" w:rsidR="0033222F" w:rsidRPr="00616B26" w:rsidRDefault="0033222F" w:rsidP="00A12E52">
            <w:pPr>
              <w:pStyle w:val="Tabletext"/>
              <w:rPr>
                <w:snapToGrid w:val="0"/>
              </w:rPr>
            </w:pPr>
            <w:r w:rsidRPr="00616B26">
              <w:rPr>
                <w:snapToGrid w:val="0"/>
              </w:rPr>
              <w:t>45</w:t>
            </w:r>
          </w:p>
        </w:tc>
        <w:tc>
          <w:tcPr>
            <w:tcW w:w="1417" w:type="pct"/>
            <w:tcBorders>
              <w:top w:val="single" w:sz="4" w:space="0" w:color="auto"/>
              <w:bottom w:val="single" w:sz="4" w:space="0" w:color="auto"/>
            </w:tcBorders>
            <w:vAlign w:val="bottom"/>
          </w:tcPr>
          <w:p w14:paraId="5E8551AE" w14:textId="77777777" w:rsidR="0033222F" w:rsidRPr="009B1322" w:rsidRDefault="0033222F" w:rsidP="00A12E52">
            <w:pPr>
              <w:pStyle w:val="Tabletext"/>
              <w:rPr>
                <w:snapToGrid w:val="0"/>
              </w:rPr>
            </w:pPr>
            <w:r w:rsidRPr="00295986">
              <w:t>3</w:t>
            </w:r>
            <w:r w:rsidR="00D7157D">
              <w:t>.</w:t>
            </w:r>
            <w:r w:rsidRPr="00295986">
              <w:t>579</w:t>
            </w:r>
          </w:p>
        </w:tc>
        <w:tc>
          <w:tcPr>
            <w:tcW w:w="1878" w:type="pct"/>
            <w:tcBorders>
              <w:top w:val="single" w:sz="4" w:space="0" w:color="auto"/>
              <w:bottom w:val="single" w:sz="4" w:space="0" w:color="auto"/>
            </w:tcBorders>
            <w:vAlign w:val="bottom"/>
          </w:tcPr>
          <w:p w14:paraId="3B9B5661" w14:textId="77777777" w:rsidR="0033222F" w:rsidRPr="009B1322" w:rsidRDefault="0033222F" w:rsidP="00A12E52">
            <w:pPr>
              <w:pStyle w:val="Tabletext"/>
              <w:rPr>
                <w:snapToGrid w:val="0"/>
              </w:rPr>
            </w:pPr>
            <w:r w:rsidRPr="00295986">
              <w:t>1</w:t>
            </w:r>
            <w:r w:rsidR="00D7157D">
              <w:t>.</w:t>
            </w:r>
            <w:r w:rsidRPr="00295986">
              <w:t>251</w:t>
            </w:r>
          </w:p>
        </w:tc>
      </w:tr>
      <w:tr w:rsidR="0033222F" w:rsidRPr="009E2595" w14:paraId="489310A0" w14:textId="77777777" w:rsidTr="00055CFA">
        <w:trPr>
          <w:trHeight w:val="245"/>
          <w:jc w:val="right"/>
        </w:trPr>
        <w:tc>
          <w:tcPr>
            <w:tcW w:w="1705" w:type="pct"/>
            <w:tcBorders>
              <w:top w:val="single" w:sz="4" w:space="0" w:color="auto"/>
              <w:bottom w:val="single" w:sz="4" w:space="0" w:color="auto"/>
            </w:tcBorders>
          </w:tcPr>
          <w:p w14:paraId="29829571" w14:textId="77777777" w:rsidR="0033222F" w:rsidRPr="00616B26" w:rsidRDefault="0033222F" w:rsidP="00A12E52">
            <w:pPr>
              <w:pStyle w:val="Tabletext"/>
              <w:rPr>
                <w:snapToGrid w:val="0"/>
              </w:rPr>
            </w:pPr>
            <w:r w:rsidRPr="00616B26">
              <w:rPr>
                <w:snapToGrid w:val="0"/>
              </w:rPr>
              <w:t>46</w:t>
            </w:r>
          </w:p>
        </w:tc>
        <w:tc>
          <w:tcPr>
            <w:tcW w:w="1417" w:type="pct"/>
            <w:tcBorders>
              <w:top w:val="single" w:sz="4" w:space="0" w:color="auto"/>
              <w:bottom w:val="single" w:sz="4" w:space="0" w:color="auto"/>
            </w:tcBorders>
            <w:vAlign w:val="bottom"/>
          </w:tcPr>
          <w:p w14:paraId="11ABCBEC" w14:textId="77777777" w:rsidR="0033222F" w:rsidRPr="009B1322" w:rsidRDefault="0033222F" w:rsidP="00A12E52">
            <w:pPr>
              <w:pStyle w:val="Tabletext"/>
              <w:rPr>
                <w:snapToGrid w:val="0"/>
              </w:rPr>
            </w:pPr>
            <w:r w:rsidRPr="00295986">
              <w:t>3</w:t>
            </w:r>
            <w:r w:rsidR="00D7157D">
              <w:t>.</w:t>
            </w:r>
            <w:r w:rsidRPr="00295986">
              <w:t>436</w:t>
            </w:r>
          </w:p>
        </w:tc>
        <w:tc>
          <w:tcPr>
            <w:tcW w:w="1878" w:type="pct"/>
            <w:tcBorders>
              <w:top w:val="single" w:sz="4" w:space="0" w:color="auto"/>
              <w:bottom w:val="single" w:sz="4" w:space="0" w:color="auto"/>
            </w:tcBorders>
            <w:vAlign w:val="bottom"/>
          </w:tcPr>
          <w:p w14:paraId="06BAD53C" w14:textId="77777777" w:rsidR="0033222F" w:rsidRPr="009B1322" w:rsidRDefault="0033222F" w:rsidP="00A12E52">
            <w:pPr>
              <w:pStyle w:val="Tabletext"/>
              <w:rPr>
                <w:snapToGrid w:val="0"/>
              </w:rPr>
            </w:pPr>
            <w:r w:rsidRPr="00295986">
              <w:t>1</w:t>
            </w:r>
            <w:r w:rsidR="00D7157D">
              <w:t>.</w:t>
            </w:r>
            <w:r w:rsidRPr="00295986">
              <w:t>144</w:t>
            </w:r>
          </w:p>
        </w:tc>
      </w:tr>
      <w:tr w:rsidR="0033222F" w:rsidRPr="009E2595" w14:paraId="76ADE1E0" w14:textId="77777777" w:rsidTr="00055CFA">
        <w:trPr>
          <w:trHeight w:val="245"/>
          <w:jc w:val="right"/>
        </w:trPr>
        <w:tc>
          <w:tcPr>
            <w:tcW w:w="1705" w:type="pct"/>
            <w:tcBorders>
              <w:top w:val="single" w:sz="4" w:space="0" w:color="auto"/>
              <w:bottom w:val="single" w:sz="4" w:space="0" w:color="auto"/>
            </w:tcBorders>
          </w:tcPr>
          <w:p w14:paraId="4CF19BF2" w14:textId="77777777" w:rsidR="0033222F" w:rsidRPr="00616B26" w:rsidRDefault="0033222F" w:rsidP="00A12E52">
            <w:pPr>
              <w:pStyle w:val="Tabletext"/>
              <w:rPr>
                <w:snapToGrid w:val="0"/>
              </w:rPr>
            </w:pPr>
            <w:r w:rsidRPr="00616B26">
              <w:rPr>
                <w:snapToGrid w:val="0"/>
              </w:rPr>
              <w:t>47</w:t>
            </w:r>
          </w:p>
        </w:tc>
        <w:tc>
          <w:tcPr>
            <w:tcW w:w="1417" w:type="pct"/>
            <w:tcBorders>
              <w:top w:val="single" w:sz="4" w:space="0" w:color="auto"/>
              <w:bottom w:val="single" w:sz="4" w:space="0" w:color="auto"/>
            </w:tcBorders>
            <w:vAlign w:val="bottom"/>
          </w:tcPr>
          <w:p w14:paraId="6BF87A3D" w14:textId="77777777" w:rsidR="0033222F" w:rsidRPr="009B1322" w:rsidRDefault="0033222F" w:rsidP="00A12E52">
            <w:pPr>
              <w:pStyle w:val="Tabletext"/>
              <w:rPr>
                <w:snapToGrid w:val="0"/>
              </w:rPr>
            </w:pPr>
            <w:r w:rsidRPr="00295986">
              <w:t>3</w:t>
            </w:r>
            <w:r w:rsidR="00D7157D">
              <w:t>.</w:t>
            </w:r>
            <w:r w:rsidRPr="00295986">
              <w:t>292</w:t>
            </w:r>
          </w:p>
        </w:tc>
        <w:tc>
          <w:tcPr>
            <w:tcW w:w="1878" w:type="pct"/>
            <w:tcBorders>
              <w:top w:val="single" w:sz="4" w:space="0" w:color="auto"/>
              <w:bottom w:val="single" w:sz="4" w:space="0" w:color="auto"/>
            </w:tcBorders>
            <w:vAlign w:val="bottom"/>
          </w:tcPr>
          <w:p w14:paraId="36766282" w14:textId="77777777" w:rsidR="0033222F" w:rsidRPr="009B1322" w:rsidRDefault="0033222F" w:rsidP="00A12E52">
            <w:pPr>
              <w:pStyle w:val="Tabletext"/>
              <w:rPr>
                <w:snapToGrid w:val="0"/>
              </w:rPr>
            </w:pPr>
            <w:r w:rsidRPr="00295986">
              <w:t>1</w:t>
            </w:r>
            <w:r w:rsidR="00D7157D">
              <w:t>.</w:t>
            </w:r>
            <w:r w:rsidRPr="00295986">
              <w:t>036</w:t>
            </w:r>
          </w:p>
        </w:tc>
      </w:tr>
      <w:tr w:rsidR="0033222F" w:rsidRPr="009E2595" w14:paraId="501D156A" w14:textId="77777777" w:rsidTr="00055CFA">
        <w:trPr>
          <w:trHeight w:val="245"/>
          <w:jc w:val="right"/>
        </w:trPr>
        <w:tc>
          <w:tcPr>
            <w:tcW w:w="1705" w:type="pct"/>
            <w:tcBorders>
              <w:top w:val="single" w:sz="4" w:space="0" w:color="auto"/>
              <w:bottom w:val="single" w:sz="4" w:space="0" w:color="auto"/>
            </w:tcBorders>
          </w:tcPr>
          <w:p w14:paraId="07BF479D" w14:textId="77777777" w:rsidR="0033222F" w:rsidRPr="00616B26" w:rsidRDefault="0033222F" w:rsidP="00A12E52">
            <w:pPr>
              <w:pStyle w:val="Tabletext"/>
              <w:rPr>
                <w:snapToGrid w:val="0"/>
              </w:rPr>
            </w:pPr>
            <w:r w:rsidRPr="00616B26">
              <w:rPr>
                <w:snapToGrid w:val="0"/>
              </w:rPr>
              <w:t>48</w:t>
            </w:r>
          </w:p>
        </w:tc>
        <w:tc>
          <w:tcPr>
            <w:tcW w:w="1417" w:type="pct"/>
            <w:tcBorders>
              <w:top w:val="single" w:sz="4" w:space="0" w:color="auto"/>
              <w:bottom w:val="single" w:sz="4" w:space="0" w:color="auto"/>
            </w:tcBorders>
            <w:vAlign w:val="bottom"/>
          </w:tcPr>
          <w:p w14:paraId="502B019D" w14:textId="77777777" w:rsidR="0033222F" w:rsidRPr="009B1322" w:rsidRDefault="0033222F" w:rsidP="00A12E52">
            <w:pPr>
              <w:pStyle w:val="Tabletext"/>
              <w:rPr>
                <w:snapToGrid w:val="0"/>
              </w:rPr>
            </w:pPr>
            <w:r w:rsidRPr="00295986">
              <w:t>3</w:t>
            </w:r>
            <w:r w:rsidR="00D7157D">
              <w:t>.</w:t>
            </w:r>
            <w:r w:rsidRPr="00295986">
              <w:t>149</w:t>
            </w:r>
          </w:p>
        </w:tc>
        <w:tc>
          <w:tcPr>
            <w:tcW w:w="1878" w:type="pct"/>
            <w:tcBorders>
              <w:top w:val="single" w:sz="4" w:space="0" w:color="auto"/>
              <w:bottom w:val="single" w:sz="4" w:space="0" w:color="auto"/>
            </w:tcBorders>
            <w:vAlign w:val="bottom"/>
          </w:tcPr>
          <w:p w14:paraId="1CE9CAFD" w14:textId="77777777" w:rsidR="0033222F" w:rsidRPr="009B1322" w:rsidRDefault="0033222F" w:rsidP="00A12E52">
            <w:pPr>
              <w:pStyle w:val="Tabletext"/>
              <w:rPr>
                <w:snapToGrid w:val="0"/>
              </w:rPr>
            </w:pPr>
            <w:r w:rsidRPr="00295986">
              <w:t>0</w:t>
            </w:r>
            <w:r w:rsidR="00D7157D">
              <w:t>.</w:t>
            </w:r>
            <w:r w:rsidRPr="00295986">
              <w:t>929</w:t>
            </w:r>
          </w:p>
        </w:tc>
      </w:tr>
      <w:tr w:rsidR="0033222F" w:rsidRPr="009E2595" w14:paraId="3558FA02" w14:textId="77777777" w:rsidTr="00055CFA">
        <w:trPr>
          <w:trHeight w:val="245"/>
          <w:jc w:val="right"/>
        </w:trPr>
        <w:tc>
          <w:tcPr>
            <w:tcW w:w="1705" w:type="pct"/>
            <w:tcBorders>
              <w:top w:val="single" w:sz="4" w:space="0" w:color="auto"/>
              <w:bottom w:val="single" w:sz="4" w:space="0" w:color="auto"/>
            </w:tcBorders>
          </w:tcPr>
          <w:p w14:paraId="06CB649E" w14:textId="77777777" w:rsidR="0033222F" w:rsidRPr="00616B26" w:rsidRDefault="0033222F" w:rsidP="00A12E52">
            <w:pPr>
              <w:pStyle w:val="Tabletext"/>
              <w:rPr>
                <w:snapToGrid w:val="0"/>
              </w:rPr>
            </w:pPr>
            <w:r w:rsidRPr="00616B26">
              <w:rPr>
                <w:snapToGrid w:val="0"/>
              </w:rPr>
              <w:t>49</w:t>
            </w:r>
          </w:p>
        </w:tc>
        <w:tc>
          <w:tcPr>
            <w:tcW w:w="1417" w:type="pct"/>
            <w:tcBorders>
              <w:top w:val="single" w:sz="4" w:space="0" w:color="auto"/>
              <w:bottom w:val="single" w:sz="4" w:space="0" w:color="auto"/>
            </w:tcBorders>
            <w:vAlign w:val="bottom"/>
          </w:tcPr>
          <w:p w14:paraId="43DFC476" w14:textId="77777777" w:rsidR="0033222F" w:rsidRPr="009B1322" w:rsidRDefault="0033222F" w:rsidP="00A12E52">
            <w:pPr>
              <w:pStyle w:val="Tabletext"/>
              <w:rPr>
                <w:snapToGrid w:val="0"/>
              </w:rPr>
            </w:pPr>
            <w:r w:rsidRPr="00295986">
              <w:t>3</w:t>
            </w:r>
            <w:r w:rsidR="00D7157D">
              <w:t>.</w:t>
            </w:r>
            <w:r w:rsidRPr="00295986">
              <w:t>006</w:t>
            </w:r>
          </w:p>
        </w:tc>
        <w:tc>
          <w:tcPr>
            <w:tcW w:w="1878" w:type="pct"/>
            <w:tcBorders>
              <w:top w:val="single" w:sz="4" w:space="0" w:color="auto"/>
              <w:bottom w:val="single" w:sz="4" w:space="0" w:color="auto"/>
            </w:tcBorders>
            <w:vAlign w:val="bottom"/>
          </w:tcPr>
          <w:p w14:paraId="7A80AC25" w14:textId="77777777" w:rsidR="0033222F" w:rsidRPr="009B1322" w:rsidRDefault="0033222F" w:rsidP="00A12E52">
            <w:pPr>
              <w:pStyle w:val="Tabletext"/>
              <w:rPr>
                <w:snapToGrid w:val="0"/>
              </w:rPr>
            </w:pPr>
            <w:r w:rsidRPr="00295986">
              <w:t>0</w:t>
            </w:r>
            <w:r w:rsidR="00D7157D">
              <w:t>.</w:t>
            </w:r>
            <w:r w:rsidRPr="00295986">
              <w:t>822</w:t>
            </w:r>
          </w:p>
        </w:tc>
      </w:tr>
      <w:tr w:rsidR="0033222F" w:rsidRPr="009E2595" w14:paraId="0C2A2287" w14:textId="77777777" w:rsidTr="00055CFA">
        <w:trPr>
          <w:trHeight w:val="245"/>
          <w:jc w:val="right"/>
        </w:trPr>
        <w:tc>
          <w:tcPr>
            <w:tcW w:w="1705" w:type="pct"/>
            <w:tcBorders>
              <w:top w:val="single" w:sz="4" w:space="0" w:color="auto"/>
              <w:bottom w:val="single" w:sz="4" w:space="0" w:color="auto"/>
            </w:tcBorders>
          </w:tcPr>
          <w:p w14:paraId="317BEE3A" w14:textId="77777777" w:rsidR="0033222F" w:rsidRPr="00616B26" w:rsidRDefault="0033222F" w:rsidP="00A12E52">
            <w:pPr>
              <w:pStyle w:val="Tabletext"/>
              <w:rPr>
                <w:snapToGrid w:val="0"/>
              </w:rPr>
            </w:pPr>
            <w:r w:rsidRPr="00616B26">
              <w:rPr>
                <w:snapToGrid w:val="0"/>
              </w:rPr>
              <w:t>50</w:t>
            </w:r>
          </w:p>
        </w:tc>
        <w:tc>
          <w:tcPr>
            <w:tcW w:w="1417" w:type="pct"/>
            <w:tcBorders>
              <w:top w:val="single" w:sz="4" w:space="0" w:color="auto"/>
              <w:bottom w:val="single" w:sz="4" w:space="0" w:color="auto"/>
            </w:tcBorders>
            <w:vAlign w:val="bottom"/>
          </w:tcPr>
          <w:p w14:paraId="7A6EF631" w14:textId="77777777" w:rsidR="0033222F" w:rsidRPr="009B1322" w:rsidRDefault="0033222F" w:rsidP="00A12E52">
            <w:pPr>
              <w:pStyle w:val="Tabletext"/>
              <w:rPr>
                <w:snapToGrid w:val="0"/>
              </w:rPr>
            </w:pPr>
            <w:r w:rsidRPr="00295986">
              <w:t>2</w:t>
            </w:r>
            <w:r w:rsidR="00D7157D">
              <w:t>.</w:t>
            </w:r>
            <w:r w:rsidRPr="00295986">
              <w:t>863</w:t>
            </w:r>
          </w:p>
        </w:tc>
        <w:tc>
          <w:tcPr>
            <w:tcW w:w="1878" w:type="pct"/>
            <w:tcBorders>
              <w:top w:val="single" w:sz="4" w:space="0" w:color="auto"/>
              <w:bottom w:val="single" w:sz="4" w:space="0" w:color="auto"/>
            </w:tcBorders>
            <w:vAlign w:val="bottom"/>
          </w:tcPr>
          <w:p w14:paraId="0DE7AED0" w14:textId="77777777" w:rsidR="0033222F" w:rsidRPr="009B1322" w:rsidRDefault="0033222F" w:rsidP="00A12E52">
            <w:pPr>
              <w:pStyle w:val="Tabletext"/>
              <w:rPr>
                <w:snapToGrid w:val="0"/>
              </w:rPr>
            </w:pPr>
            <w:r w:rsidRPr="00295986">
              <w:t>0</w:t>
            </w:r>
            <w:r w:rsidR="00D7157D">
              <w:t>.</w:t>
            </w:r>
            <w:r w:rsidRPr="00295986">
              <w:t>715</w:t>
            </w:r>
          </w:p>
        </w:tc>
      </w:tr>
      <w:tr w:rsidR="0033222F" w:rsidRPr="009E2595" w14:paraId="3C7DF048" w14:textId="77777777" w:rsidTr="00055CFA">
        <w:trPr>
          <w:trHeight w:val="245"/>
          <w:jc w:val="right"/>
        </w:trPr>
        <w:tc>
          <w:tcPr>
            <w:tcW w:w="1705" w:type="pct"/>
            <w:tcBorders>
              <w:top w:val="single" w:sz="4" w:space="0" w:color="auto"/>
              <w:bottom w:val="single" w:sz="4" w:space="0" w:color="auto"/>
            </w:tcBorders>
          </w:tcPr>
          <w:p w14:paraId="477B5B07" w14:textId="77777777" w:rsidR="0033222F" w:rsidRPr="00616B26" w:rsidRDefault="0033222F" w:rsidP="00A12E52">
            <w:pPr>
              <w:pStyle w:val="Tabletext"/>
              <w:rPr>
                <w:snapToGrid w:val="0"/>
              </w:rPr>
            </w:pPr>
            <w:r w:rsidRPr="00616B26">
              <w:rPr>
                <w:snapToGrid w:val="0"/>
              </w:rPr>
              <w:t>51</w:t>
            </w:r>
          </w:p>
        </w:tc>
        <w:tc>
          <w:tcPr>
            <w:tcW w:w="1417" w:type="pct"/>
            <w:tcBorders>
              <w:top w:val="single" w:sz="4" w:space="0" w:color="auto"/>
              <w:bottom w:val="single" w:sz="4" w:space="0" w:color="auto"/>
            </w:tcBorders>
            <w:vAlign w:val="bottom"/>
          </w:tcPr>
          <w:p w14:paraId="625FE80B" w14:textId="77777777" w:rsidR="0033222F" w:rsidRPr="009B1322" w:rsidRDefault="0033222F" w:rsidP="00A12E52">
            <w:pPr>
              <w:pStyle w:val="Tabletext"/>
              <w:rPr>
                <w:snapToGrid w:val="0"/>
              </w:rPr>
            </w:pPr>
            <w:r w:rsidRPr="00295986">
              <w:t>2</w:t>
            </w:r>
            <w:r w:rsidR="00D7157D">
              <w:t>.</w:t>
            </w:r>
            <w:r w:rsidRPr="00295986">
              <w:t>434</w:t>
            </w:r>
          </w:p>
        </w:tc>
        <w:tc>
          <w:tcPr>
            <w:tcW w:w="1878" w:type="pct"/>
            <w:tcBorders>
              <w:top w:val="single" w:sz="4" w:space="0" w:color="auto"/>
              <w:bottom w:val="single" w:sz="4" w:space="0" w:color="auto"/>
            </w:tcBorders>
            <w:vAlign w:val="bottom"/>
          </w:tcPr>
          <w:p w14:paraId="1455D94C" w14:textId="77777777" w:rsidR="0033222F" w:rsidRPr="009B1322" w:rsidRDefault="0033222F" w:rsidP="00A12E52">
            <w:pPr>
              <w:pStyle w:val="Tabletext"/>
              <w:rPr>
                <w:snapToGrid w:val="0"/>
              </w:rPr>
            </w:pPr>
            <w:r w:rsidRPr="00295986">
              <w:t>0</w:t>
            </w:r>
            <w:r w:rsidR="00D7157D">
              <w:t>.</w:t>
            </w:r>
            <w:r w:rsidRPr="00295986">
              <w:t>608</w:t>
            </w:r>
          </w:p>
        </w:tc>
      </w:tr>
      <w:tr w:rsidR="0033222F" w:rsidRPr="009E2595" w14:paraId="3E0E0353" w14:textId="77777777" w:rsidTr="00055CFA">
        <w:trPr>
          <w:trHeight w:val="245"/>
          <w:jc w:val="right"/>
        </w:trPr>
        <w:tc>
          <w:tcPr>
            <w:tcW w:w="1705" w:type="pct"/>
            <w:tcBorders>
              <w:top w:val="single" w:sz="4" w:space="0" w:color="auto"/>
              <w:bottom w:val="single" w:sz="4" w:space="0" w:color="auto"/>
            </w:tcBorders>
          </w:tcPr>
          <w:p w14:paraId="4677D26C" w14:textId="77777777" w:rsidR="0033222F" w:rsidRPr="00616B26" w:rsidRDefault="0033222F" w:rsidP="00A12E52">
            <w:pPr>
              <w:pStyle w:val="Tabletext"/>
              <w:rPr>
                <w:snapToGrid w:val="0"/>
              </w:rPr>
            </w:pPr>
            <w:r w:rsidRPr="00616B26">
              <w:rPr>
                <w:snapToGrid w:val="0"/>
              </w:rPr>
              <w:t>52</w:t>
            </w:r>
          </w:p>
        </w:tc>
        <w:tc>
          <w:tcPr>
            <w:tcW w:w="1417" w:type="pct"/>
            <w:tcBorders>
              <w:top w:val="single" w:sz="4" w:space="0" w:color="auto"/>
              <w:bottom w:val="single" w:sz="4" w:space="0" w:color="auto"/>
            </w:tcBorders>
            <w:vAlign w:val="bottom"/>
          </w:tcPr>
          <w:p w14:paraId="7DD05205" w14:textId="77777777" w:rsidR="0033222F" w:rsidRPr="009B1322" w:rsidRDefault="0033222F" w:rsidP="00A12E52">
            <w:pPr>
              <w:pStyle w:val="Tabletext"/>
              <w:rPr>
                <w:snapToGrid w:val="0"/>
              </w:rPr>
            </w:pPr>
            <w:r w:rsidRPr="00295986">
              <w:t>2</w:t>
            </w:r>
            <w:r w:rsidR="00D7157D">
              <w:t>.</w:t>
            </w:r>
            <w:r w:rsidRPr="00295986">
              <w:t>004</w:t>
            </w:r>
          </w:p>
        </w:tc>
        <w:tc>
          <w:tcPr>
            <w:tcW w:w="1878" w:type="pct"/>
            <w:tcBorders>
              <w:top w:val="single" w:sz="4" w:space="0" w:color="auto"/>
              <w:bottom w:val="single" w:sz="4" w:space="0" w:color="auto"/>
            </w:tcBorders>
            <w:vAlign w:val="bottom"/>
          </w:tcPr>
          <w:p w14:paraId="3BE79363" w14:textId="77777777" w:rsidR="0033222F" w:rsidRPr="009B1322" w:rsidRDefault="0033222F" w:rsidP="00A12E52">
            <w:pPr>
              <w:pStyle w:val="Tabletext"/>
              <w:rPr>
                <w:snapToGrid w:val="0"/>
              </w:rPr>
            </w:pPr>
            <w:r w:rsidRPr="00295986">
              <w:t>0</w:t>
            </w:r>
            <w:r w:rsidR="00D7157D">
              <w:t>.</w:t>
            </w:r>
            <w:r w:rsidRPr="00295986">
              <w:t>500</w:t>
            </w:r>
          </w:p>
        </w:tc>
      </w:tr>
      <w:tr w:rsidR="0033222F" w:rsidRPr="009E2595" w14:paraId="4A6712F0" w14:textId="77777777" w:rsidTr="00055CFA">
        <w:trPr>
          <w:trHeight w:val="245"/>
          <w:jc w:val="right"/>
        </w:trPr>
        <w:tc>
          <w:tcPr>
            <w:tcW w:w="1705" w:type="pct"/>
            <w:tcBorders>
              <w:top w:val="single" w:sz="4" w:space="0" w:color="auto"/>
              <w:bottom w:val="single" w:sz="4" w:space="0" w:color="auto"/>
            </w:tcBorders>
          </w:tcPr>
          <w:p w14:paraId="3AA25022" w14:textId="77777777" w:rsidR="0033222F" w:rsidRPr="00616B26" w:rsidRDefault="0033222F" w:rsidP="00A12E52">
            <w:pPr>
              <w:pStyle w:val="Tabletext"/>
              <w:rPr>
                <w:snapToGrid w:val="0"/>
              </w:rPr>
            </w:pPr>
            <w:r w:rsidRPr="00616B26">
              <w:rPr>
                <w:snapToGrid w:val="0"/>
              </w:rPr>
              <w:t>53</w:t>
            </w:r>
          </w:p>
        </w:tc>
        <w:tc>
          <w:tcPr>
            <w:tcW w:w="1417" w:type="pct"/>
            <w:tcBorders>
              <w:top w:val="single" w:sz="4" w:space="0" w:color="auto"/>
              <w:bottom w:val="single" w:sz="4" w:space="0" w:color="auto"/>
            </w:tcBorders>
            <w:vAlign w:val="bottom"/>
          </w:tcPr>
          <w:p w14:paraId="7FE8FF0A" w14:textId="77777777" w:rsidR="0033222F" w:rsidRPr="009B1322" w:rsidRDefault="0033222F" w:rsidP="00A12E52">
            <w:pPr>
              <w:pStyle w:val="Tabletext"/>
              <w:rPr>
                <w:snapToGrid w:val="0"/>
              </w:rPr>
            </w:pPr>
            <w:r w:rsidRPr="00295986">
              <w:t>1</w:t>
            </w:r>
            <w:r w:rsidR="00D7157D">
              <w:t>.</w:t>
            </w:r>
            <w:r w:rsidRPr="00295986">
              <w:t>575</w:t>
            </w:r>
          </w:p>
        </w:tc>
        <w:tc>
          <w:tcPr>
            <w:tcW w:w="1878" w:type="pct"/>
            <w:tcBorders>
              <w:top w:val="single" w:sz="4" w:space="0" w:color="auto"/>
              <w:bottom w:val="single" w:sz="4" w:space="0" w:color="auto"/>
            </w:tcBorders>
            <w:vAlign w:val="bottom"/>
          </w:tcPr>
          <w:p w14:paraId="288D28E8" w14:textId="77777777" w:rsidR="0033222F" w:rsidRPr="009B1322" w:rsidRDefault="0033222F" w:rsidP="00A12E52">
            <w:pPr>
              <w:pStyle w:val="Tabletext"/>
              <w:rPr>
                <w:snapToGrid w:val="0"/>
              </w:rPr>
            </w:pPr>
            <w:r w:rsidRPr="00295986">
              <w:t>0</w:t>
            </w:r>
            <w:r w:rsidR="00D7157D">
              <w:t>.</w:t>
            </w:r>
            <w:r w:rsidRPr="00295986">
              <w:t>393</w:t>
            </w:r>
          </w:p>
        </w:tc>
      </w:tr>
      <w:tr w:rsidR="0033222F" w:rsidRPr="009E2595" w14:paraId="796C6869" w14:textId="77777777" w:rsidTr="00055CFA">
        <w:trPr>
          <w:trHeight w:val="245"/>
          <w:jc w:val="right"/>
        </w:trPr>
        <w:tc>
          <w:tcPr>
            <w:tcW w:w="1705" w:type="pct"/>
            <w:tcBorders>
              <w:top w:val="single" w:sz="4" w:space="0" w:color="auto"/>
              <w:bottom w:val="single" w:sz="4" w:space="0" w:color="auto"/>
            </w:tcBorders>
          </w:tcPr>
          <w:p w14:paraId="6F4E660A" w14:textId="77777777" w:rsidR="0033222F" w:rsidRPr="00616B26" w:rsidRDefault="0033222F" w:rsidP="00A12E52">
            <w:pPr>
              <w:pStyle w:val="Tabletext"/>
              <w:rPr>
                <w:snapToGrid w:val="0"/>
              </w:rPr>
            </w:pPr>
            <w:r w:rsidRPr="00616B26">
              <w:rPr>
                <w:snapToGrid w:val="0"/>
              </w:rPr>
              <w:t>54</w:t>
            </w:r>
          </w:p>
        </w:tc>
        <w:tc>
          <w:tcPr>
            <w:tcW w:w="1417" w:type="pct"/>
            <w:tcBorders>
              <w:top w:val="single" w:sz="4" w:space="0" w:color="auto"/>
              <w:bottom w:val="single" w:sz="4" w:space="0" w:color="auto"/>
            </w:tcBorders>
            <w:vAlign w:val="bottom"/>
          </w:tcPr>
          <w:p w14:paraId="2DAD7A35" w14:textId="77777777" w:rsidR="0033222F" w:rsidRPr="009B1322" w:rsidRDefault="0033222F" w:rsidP="00A12E52">
            <w:pPr>
              <w:pStyle w:val="Tabletext"/>
              <w:rPr>
                <w:snapToGrid w:val="0"/>
              </w:rPr>
            </w:pPr>
            <w:r w:rsidRPr="00295986">
              <w:t>1</w:t>
            </w:r>
            <w:r w:rsidR="00D7157D">
              <w:t>.</w:t>
            </w:r>
            <w:r w:rsidRPr="00295986">
              <w:t>145</w:t>
            </w:r>
          </w:p>
        </w:tc>
        <w:tc>
          <w:tcPr>
            <w:tcW w:w="1878" w:type="pct"/>
            <w:tcBorders>
              <w:top w:val="single" w:sz="4" w:space="0" w:color="auto"/>
              <w:bottom w:val="single" w:sz="4" w:space="0" w:color="auto"/>
            </w:tcBorders>
            <w:vAlign w:val="bottom"/>
          </w:tcPr>
          <w:p w14:paraId="7335FE5F" w14:textId="77777777" w:rsidR="0033222F" w:rsidRPr="009B1322" w:rsidRDefault="0033222F" w:rsidP="00A12E52">
            <w:pPr>
              <w:pStyle w:val="Tabletext"/>
              <w:rPr>
                <w:snapToGrid w:val="0"/>
              </w:rPr>
            </w:pPr>
            <w:r w:rsidRPr="00295986">
              <w:t>0</w:t>
            </w:r>
            <w:r w:rsidR="00D7157D">
              <w:t>.</w:t>
            </w:r>
            <w:r w:rsidRPr="00295986">
              <w:t>286</w:t>
            </w:r>
          </w:p>
        </w:tc>
      </w:tr>
      <w:tr w:rsidR="0033222F" w:rsidRPr="009E2595" w14:paraId="1CA1C67A" w14:textId="77777777" w:rsidTr="00055CFA">
        <w:trPr>
          <w:trHeight w:val="245"/>
          <w:jc w:val="right"/>
        </w:trPr>
        <w:tc>
          <w:tcPr>
            <w:tcW w:w="1705" w:type="pct"/>
            <w:tcBorders>
              <w:top w:val="single" w:sz="4" w:space="0" w:color="auto"/>
              <w:bottom w:val="single" w:sz="12" w:space="0" w:color="auto"/>
            </w:tcBorders>
          </w:tcPr>
          <w:p w14:paraId="4EEE858C" w14:textId="77777777" w:rsidR="0033222F" w:rsidRPr="00616B26" w:rsidRDefault="0033222F" w:rsidP="00A12E52">
            <w:pPr>
              <w:pStyle w:val="Tabletext"/>
              <w:rPr>
                <w:snapToGrid w:val="0"/>
              </w:rPr>
            </w:pPr>
            <w:r w:rsidRPr="00616B26">
              <w:rPr>
                <w:snapToGrid w:val="0"/>
              </w:rPr>
              <w:t>55 and over</w:t>
            </w:r>
          </w:p>
        </w:tc>
        <w:tc>
          <w:tcPr>
            <w:tcW w:w="1417" w:type="pct"/>
            <w:tcBorders>
              <w:top w:val="single" w:sz="4" w:space="0" w:color="auto"/>
              <w:bottom w:val="single" w:sz="12" w:space="0" w:color="auto"/>
            </w:tcBorders>
            <w:vAlign w:val="bottom"/>
          </w:tcPr>
          <w:p w14:paraId="2F861A03" w14:textId="77777777" w:rsidR="0033222F" w:rsidRPr="009B1322" w:rsidRDefault="0033222F" w:rsidP="00A12E52">
            <w:pPr>
              <w:pStyle w:val="Tabletext"/>
              <w:rPr>
                <w:snapToGrid w:val="0"/>
              </w:rPr>
            </w:pPr>
            <w:r w:rsidRPr="00295986">
              <w:t>0</w:t>
            </w:r>
            <w:r w:rsidR="00D7157D">
              <w:t>.</w:t>
            </w:r>
            <w:r w:rsidRPr="00295986">
              <w:t>716</w:t>
            </w:r>
          </w:p>
        </w:tc>
        <w:tc>
          <w:tcPr>
            <w:tcW w:w="1878" w:type="pct"/>
            <w:tcBorders>
              <w:top w:val="single" w:sz="4" w:space="0" w:color="auto"/>
              <w:bottom w:val="single" w:sz="12" w:space="0" w:color="auto"/>
            </w:tcBorders>
            <w:vAlign w:val="bottom"/>
          </w:tcPr>
          <w:p w14:paraId="46A0A9E0" w14:textId="77777777" w:rsidR="0033222F" w:rsidRPr="009B1322" w:rsidRDefault="0033222F" w:rsidP="00A12E52">
            <w:pPr>
              <w:pStyle w:val="Tabletext"/>
              <w:rPr>
                <w:snapToGrid w:val="0"/>
              </w:rPr>
            </w:pPr>
            <w:r w:rsidRPr="00295986">
              <w:t>0</w:t>
            </w:r>
            <w:r w:rsidR="00D7157D">
              <w:t>.</w:t>
            </w:r>
            <w:r w:rsidRPr="00295986">
              <w:t>179</w:t>
            </w:r>
          </w:p>
        </w:tc>
      </w:tr>
    </w:tbl>
    <w:p w14:paraId="0547F078" w14:textId="08A282B1" w:rsidR="00647C6B" w:rsidRPr="00A058B6" w:rsidRDefault="00D7157D" w:rsidP="00647C6B">
      <w:pPr>
        <w:pStyle w:val="ActHead5"/>
      </w:pPr>
      <w:bookmarkStart w:id="262" w:name="_Toc188350740"/>
      <w:r w:rsidRPr="00423C34">
        <w:rPr>
          <w:rStyle w:val="CharSectno"/>
        </w:rPr>
        <w:t>24</w:t>
      </w:r>
      <w:r w:rsidR="00647C6B" w:rsidRPr="00A058B6">
        <w:t xml:space="preserve">  Valuation factors—10</w:t>
      </w:r>
      <w:r w:rsidR="001952B3">
        <w:noBreakHyphen/>
      </w:r>
      <w:r w:rsidR="00647C6B" w:rsidRPr="00A058B6">
        <w:t>year guarantee period—pension not indexed</w:t>
      </w:r>
      <w:bookmarkEnd w:id="262"/>
    </w:p>
    <w:p w14:paraId="33E0DD46"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54958A50" w14:textId="2ED7764F"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07E80EA2" w14:textId="77777777" w:rsidR="00647C6B" w:rsidRPr="00A058B6" w:rsidRDefault="00647C6B" w:rsidP="00647C6B">
      <w:pPr>
        <w:pStyle w:val="paragraph"/>
      </w:pPr>
      <w:r w:rsidRPr="00A058B6">
        <w:tab/>
        <w:t>(b)</w:t>
      </w:r>
      <w:r w:rsidRPr="00A058B6">
        <w:tab/>
        <w:t>is not indexed</w:t>
      </w:r>
      <w:r w:rsidR="00D7157D">
        <w:t>.</w:t>
      </w:r>
    </w:p>
    <w:p w14:paraId="6C862215"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24724D3E" w14:textId="77777777" w:rsidTr="00963115">
        <w:trPr>
          <w:cantSplit/>
          <w:trHeight w:val="375"/>
          <w:tblHeader/>
          <w:jc w:val="right"/>
        </w:trPr>
        <w:tc>
          <w:tcPr>
            <w:tcW w:w="1705" w:type="pct"/>
            <w:vMerge w:val="restart"/>
            <w:tcBorders>
              <w:top w:val="single" w:sz="12" w:space="0" w:color="auto"/>
              <w:bottom w:val="single" w:sz="12" w:space="0" w:color="auto"/>
            </w:tcBorders>
          </w:tcPr>
          <w:p w14:paraId="70D67989"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6F016AFD" w14:textId="7DB75601"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period—pension not indexed</w:t>
            </w:r>
          </w:p>
        </w:tc>
      </w:tr>
      <w:tr w:rsidR="00647C6B" w:rsidRPr="00A058B6" w14:paraId="0DCFF18E" w14:textId="77777777" w:rsidTr="00963115">
        <w:trPr>
          <w:cantSplit/>
          <w:trHeight w:val="60"/>
          <w:tblHeader/>
          <w:jc w:val="right"/>
        </w:trPr>
        <w:tc>
          <w:tcPr>
            <w:tcW w:w="1705" w:type="pct"/>
            <w:vMerge/>
            <w:tcBorders>
              <w:bottom w:val="single" w:sz="12" w:space="0" w:color="auto"/>
            </w:tcBorders>
          </w:tcPr>
          <w:p w14:paraId="500A1B90" w14:textId="77777777" w:rsidR="00647C6B" w:rsidRPr="00A058B6" w:rsidRDefault="00647C6B" w:rsidP="00963115">
            <w:pPr>
              <w:pStyle w:val="TableHeading"/>
              <w:rPr>
                <w:snapToGrid w:val="0"/>
              </w:rPr>
            </w:pPr>
          </w:p>
        </w:tc>
        <w:tc>
          <w:tcPr>
            <w:tcW w:w="1429" w:type="pct"/>
            <w:tcBorders>
              <w:bottom w:val="single" w:sz="12" w:space="0" w:color="auto"/>
            </w:tcBorders>
          </w:tcPr>
          <w:p w14:paraId="2ED04D90"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083C5685" w14:textId="77777777" w:rsidR="00647C6B" w:rsidRPr="00A058B6" w:rsidRDefault="00647C6B" w:rsidP="00963115">
            <w:pPr>
              <w:pStyle w:val="TableHeading"/>
              <w:rPr>
                <w:snapToGrid w:val="0"/>
              </w:rPr>
            </w:pPr>
            <w:r w:rsidRPr="00A058B6">
              <w:rPr>
                <w:snapToGrid w:val="0"/>
              </w:rPr>
              <w:t>Female</w:t>
            </w:r>
          </w:p>
        </w:tc>
      </w:tr>
      <w:tr w:rsidR="00CB0E48" w:rsidRPr="009E2595" w14:paraId="13E1D2A0" w14:textId="77777777" w:rsidTr="00055CFA">
        <w:trPr>
          <w:trHeight w:val="245"/>
          <w:jc w:val="right"/>
        </w:trPr>
        <w:tc>
          <w:tcPr>
            <w:tcW w:w="1705" w:type="pct"/>
            <w:tcBorders>
              <w:top w:val="single" w:sz="12" w:space="0" w:color="auto"/>
              <w:bottom w:val="single" w:sz="4" w:space="0" w:color="auto"/>
            </w:tcBorders>
          </w:tcPr>
          <w:p w14:paraId="7D7281C4" w14:textId="77777777" w:rsidR="00CB0E48" w:rsidRPr="00616B26" w:rsidRDefault="00CB0E48" w:rsidP="00A12E52">
            <w:pPr>
              <w:pStyle w:val="Tabletext"/>
              <w:rPr>
                <w:snapToGrid w:val="0"/>
              </w:rPr>
            </w:pPr>
            <w:r w:rsidRPr="00616B26">
              <w:rPr>
                <w:snapToGrid w:val="0"/>
              </w:rPr>
              <w:t>55</w:t>
            </w:r>
          </w:p>
        </w:tc>
        <w:tc>
          <w:tcPr>
            <w:tcW w:w="1429" w:type="pct"/>
            <w:tcBorders>
              <w:top w:val="single" w:sz="12" w:space="0" w:color="auto"/>
              <w:bottom w:val="single" w:sz="4" w:space="0" w:color="auto"/>
            </w:tcBorders>
            <w:vAlign w:val="bottom"/>
          </w:tcPr>
          <w:p w14:paraId="2CE92A59" w14:textId="77777777" w:rsidR="00CB0E48" w:rsidRPr="009B1322" w:rsidRDefault="00CB0E48" w:rsidP="00A12E52">
            <w:pPr>
              <w:pStyle w:val="Tabletext"/>
              <w:rPr>
                <w:snapToGrid w:val="0"/>
              </w:rPr>
            </w:pPr>
            <w:r w:rsidRPr="00295986">
              <w:t>14</w:t>
            </w:r>
            <w:r w:rsidR="00D7157D">
              <w:t>.</w:t>
            </w:r>
            <w:r w:rsidRPr="00295986">
              <w:t>3852</w:t>
            </w:r>
          </w:p>
        </w:tc>
        <w:tc>
          <w:tcPr>
            <w:tcW w:w="1866" w:type="pct"/>
            <w:tcBorders>
              <w:top w:val="single" w:sz="12" w:space="0" w:color="auto"/>
              <w:bottom w:val="single" w:sz="4" w:space="0" w:color="auto"/>
            </w:tcBorders>
            <w:vAlign w:val="center"/>
          </w:tcPr>
          <w:p w14:paraId="080A72C6" w14:textId="77777777" w:rsidR="00CB0E48" w:rsidRPr="009B1322" w:rsidRDefault="00CB0E48" w:rsidP="00A12E52">
            <w:pPr>
              <w:pStyle w:val="Tabletext"/>
              <w:rPr>
                <w:snapToGrid w:val="0"/>
              </w:rPr>
            </w:pPr>
            <w:r w:rsidRPr="00295986">
              <w:t>14</w:t>
            </w:r>
            <w:r w:rsidR="00D7157D">
              <w:t>.</w:t>
            </w:r>
            <w:r w:rsidRPr="00295986">
              <w:t>7457</w:t>
            </w:r>
          </w:p>
        </w:tc>
      </w:tr>
      <w:tr w:rsidR="00CB0E48" w:rsidRPr="009E2595" w14:paraId="03FA0F12" w14:textId="77777777" w:rsidTr="00055CFA">
        <w:trPr>
          <w:trHeight w:val="245"/>
          <w:jc w:val="right"/>
        </w:trPr>
        <w:tc>
          <w:tcPr>
            <w:tcW w:w="1705" w:type="pct"/>
            <w:tcBorders>
              <w:top w:val="single" w:sz="4" w:space="0" w:color="auto"/>
              <w:bottom w:val="single" w:sz="4" w:space="0" w:color="auto"/>
            </w:tcBorders>
          </w:tcPr>
          <w:p w14:paraId="5959FC8B" w14:textId="77777777" w:rsidR="00CB0E48" w:rsidRPr="00616B26" w:rsidRDefault="00CB0E48" w:rsidP="00A12E52">
            <w:pPr>
              <w:pStyle w:val="Tabletext"/>
              <w:rPr>
                <w:snapToGrid w:val="0"/>
              </w:rPr>
            </w:pPr>
            <w:r w:rsidRPr="00616B26">
              <w:rPr>
                <w:snapToGrid w:val="0"/>
              </w:rPr>
              <w:t>56</w:t>
            </w:r>
          </w:p>
        </w:tc>
        <w:tc>
          <w:tcPr>
            <w:tcW w:w="1429" w:type="pct"/>
            <w:tcBorders>
              <w:top w:val="single" w:sz="4" w:space="0" w:color="auto"/>
              <w:bottom w:val="single" w:sz="4" w:space="0" w:color="auto"/>
            </w:tcBorders>
            <w:vAlign w:val="bottom"/>
          </w:tcPr>
          <w:p w14:paraId="6C3A5814" w14:textId="77777777" w:rsidR="00CB0E48" w:rsidRPr="009B1322" w:rsidRDefault="00CB0E48" w:rsidP="00A12E52">
            <w:pPr>
              <w:pStyle w:val="Tabletext"/>
              <w:rPr>
                <w:snapToGrid w:val="0"/>
              </w:rPr>
            </w:pPr>
            <w:r w:rsidRPr="00295986">
              <w:t>14</w:t>
            </w:r>
            <w:r w:rsidR="00D7157D">
              <w:t>.</w:t>
            </w:r>
            <w:r w:rsidRPr="00295986">
              <w:t>2341</w:t>
            </w:r>
          </w:p>
        </w:tc>
        <w:tc>
          <w:tcPr>
            <w:tcW w:w="1866" w:type="pct"/>
            <w:tcBorders>
              <w:top w:val="single" w:sz="4" w:space="0" w:color="auto"/>
              <w:bottom w:val="single" w:sz="4" w:space="0" w:color="auto"/>
            </w:tcBorders>
            <w:vAlign w:val="center"/>
          </w:tcPr>
          <w:p w14:paraId="1551F393" w14:textId="77777777" w:rsidR="00CB0E48" w:rsidRPr="009B1322" w:rsidRDefault="00CB0E48" w:rsidP="00A12E52">
            <w:pPr>
              <w:pStyle w:val="Tabletext"/>
              <w:rPr>
                <w:snapToGrid w:val="0"/>
              </w:rPr>
            </w:pPr>
            <w:r w:rsidRPr="00295986">
              <w:t>14</w:t>
            </w:r>
            <w:r w:rsidR="00D7157D">
              <w:t>.</w:t>
            </w:r>
            <w:r w:rsidRPr="00295986">
              <w:t>6084</w:t>
            </w:r>
          </w:p>
        </w:tc>
      </w:tr>
      <w:tr w:rsidR="00CB0E48" w:rsidRPr="009E2595" w14:paraId="49656F55" w14:textId="77777777" w:rsidTr="00055CFA">
        <w:trPr>
          <w:trHeight w:val="245"/>
          <w:jc w:val="right"/>
        </w:trPr>
        <w:tc>
          <w:tcPr>
            <w:tcW w:w="1705" w:type="pct"/>
            <w:tcBorders>
              <w:top w:val="single" w:sz="4" w:space="0" w:color="auto"/>
              <w:bottom w:val="single" w:sz="4" w:space="0" w:color="auto"/>
            </w:tcBorders>
          </w:tcPr>
          <w:p w14:paraId="2B20CFA6" w14:textId="77777777" w:rsidR="00CB0E48" w:rsidRPr="00616B26" w:rsidRDefault="00CB0E48" w:rsidP="00A12E52">
            <w:pPr>
              <w:pStyle w:val="Tabletext"/>
              <w:rPr>
                <w:snapToGrid w:val="0"/>
              </w:rPr>
            </w:pPr>
            <w:r w:rsidRPr="00616B26">
              <w:rPr>
                <w:snapToGrid w:val="0"/>
              </w:rPr>
              <w:t>57</w:t>
            </w:r>
          </w:p>
        </w:tc>
        <w:tc>
          <w:tcPr>
            <w:tcW w:w="1429" w:type="pct"/>
            <w:tcBorders>
              <w:top w:val="single" w:sz="4" w:space="0" w:color="auto"/>
              <w:bottom w:val="single" w:sz="4" w:space="0" w:color="auto"/>
            </w:tcBorders>
            <w:vAlign w:val="bottom"/>
          </w:tcPr>
          <w:p w14:paraId="24CAF04B" w14:textId="77777777" w:rsidR="00CB0E48" w:rsidRPr="009B1322" w:rsidRDefault="00CB0E48" w:rsidP="00A12E52">
            <w:pPr>
              <w:pStyle w:val="Tabletext"/>
              <w:rPr>
                <w:snapToGrid w:val="0"/>
              </w:rPr>
            </w:pPr>
            <w:r w:rsidRPr="00295986">
              <w:t>14</w:t>
            </w:r>
            <w:r w:rsidR="00D7157D">
              <w:t>.</w:t>
            </w:r>
            <w:r w:rsidRPr="00295986">
              <w:t>0747</w:t>
            </w:r>
          </w:p>
        </w:tc>
        <w:tc>
          <w:tcPr>
            <w:tcW w:w="1866" w:type="pct"/>
            <w:tcBorders>
              <w:top w:val="single" w:sz="4" w:space="0" w:color="auto"/>
              <w:bottom w:val="single" w:sz="4" w:space="0" w:color="auto"/>
            </w:tcBorders>
            <w:vAlign w:val="center"/>
          </w:tcPr>
          <w:p w14:paraId="187130AF" w14:textId="77777777" w:rsidR="00CB0E48" w:rsidRPr="009B1322" w:rsidRDefault="00CB0E48" w:rsidP="00A12E52">
            <w:pPr>
              <w:pStyle w:val="Tabletext"/>
              <w:rPr>
                <w:snapToGrid w:val="0"/>
              </w:rPr>
            </w:pPr>
            <w:r w:rsidRPr="00295986">
              <w:t>14</w:t>
            </w:r>
            <w:r w:rsidR="00D7157D">
              <w:t>.</w:t>
            </w:r>
            <w:r w:rsidRPr="00295986">
              <w:t>4640</w:t>
            </w:r>
          </w:p>
        </w:tc>
      </w:tr>
      <w:tr w:rsidR="00CB0E48" w:rsidRPr="009E2595" w14:paraId="05F2C75A" w14:textId="77777777" w:rsidTr="00055CFA">
        <w:trPr>
          <w:trHeight w:val="245"/>
          <w:jc w:val="right"/>
        </w:trPr>
        <w:tc>
          <w:tcPr>
            <w:tcW w:w="1705" w:type="pct"/>
            <w:tcBorders>
              <w:top w:val="single" w:sz="4" w:space="0" w:color="auto"/>
              <w:bottom w:val="single" w:sz="4" w:space="0" w:color="auto"/>
            </w:tcBorders>
          </w:tcPr>
          <w:p w14:paraId="536CEDD7" w14:textId="77777777" w:rsidR="00CB0E48" w:rsidRPr="00616B26" w:rsidRDefault="00CB0E48" w:rsidP="00A12E52">
            <w:pPr>
              <w:pStyle w:val="Tabletext"/>
              <w:rPr>
                <w:snapToGrid w:val="0"/>
              </w:rPr>
            </w:pPr>
            <w:r w:rsidRPr="00616B26">
              <w:rPr>
                <w:snapToGrid w:val="0"/>
              </w:rPr>
              <w:t>58</w:t>
            </w:r>
          </w:p>
        </w:tc>
        <w:tc>
          <w:tcPr>
            <w:tcW w:w="1429" w:type="pct"/>
            <w:tcBorders>
              <w:top w:val="single" w:sz="4" w:space="0" w:color="auto"/>
              <w:bottom w:val="single" w:sz="4" w:space="0" w:color="auto"/>
            </w:tcBorders>
            <w:vAlign w:val="bottom"/>
          </w:tcPr>
          <w:p w14:paraId="14ED2268" w14:textId="77777777" w:rsidR="00CB0E48" w:rsidRPr="009B1322" w:rsidRDefault="00CB0E48" w:rsidP="00A12E52">
            <w:pPr>
              <w:pStyle w:val="Tabletext"/>
              <w:rPr>
                <w:snapToGrid w:val="0"/>
              </w:rPr>
            </w:pPr>
            <w:r w:rsidRPr="00295986">
              <w:t>13</w:t>
            </w:r>
            <w:r w:rsidR="00D7157D">
              <w:t>.</w:t>
            </w:r>
            <w:r w:rsidRPr="00295986">
              <w:t>9070</w:t>
            </w:r>
          </w:p>
        </w:tc>
        <w:tc>
          <w:tcPr>
            <w:tcW w:w="1866" w:type="pct"/>
            <w:tcBorders>
              <w:top w:val="single" w:sz="4" w:space="0" w:color="auto"/>
              <w:bottom w:val="single" w:sz="4" w:space="0" w:color="auto"/>
            </w:tcBorders>
            <w:vAlign w:val="center"/>
          </w:tcPr>
          <w:p w14:paraId="684DA654" w14:textId="77777777" w:rsidR="00CB0E48" w:rsidRPr="009B1322" w:rsidRDefault="00CB0E48" w:rsidP="00A12E52">
            <w:pPr>
              <w:pStyle w:val="Tabletext"/>
              <w:rPr>
                <w:snapToGrid w:val="0"/>
              </w:rPr>
            </w:pPr>
            <w:r w:rsidRPr="00295986">
              <w:t>14</w:t>
            </w:r>
            <w:r w:rsidR="00D7157D">
              <w:t>.</w:t>
            </w:r>
            <w:r w:rsidRPr="00295986">
              <w:t>3119</w:t>
            </w:r>
          </w:p>
        </w:tc>
      </w:tr>
      <w:tr w:rsidR="00CB0E48" w:rsidRPr="009E2595" w14:paraId="425D4845" w14:textId="77777777" w:rsidTr="00055CFA">
        <w:trPr>
          <w:trHeight w:val="245"/>
          <w:jc w:val="right"/>
        </w:trPr>
        <w:tc>
          <w:tcPr>
            <w:tcW w:w="1705" w:type="pct"/>
            <w:tcBorders>
              <w:top w:val="single" w:sz="4" w:space="0" w:color="auto"/>
              <w:bottom w:val="single" w:sz="4" w:space="0" w:color="auto"/>
            </w:tcBorders>
          </w:tcPr>
          <w:p w14:paraId="4DD66B36" w14:textId="77777777" w:rsidR="00CB0E48" w:rsidRPr="00616B26" w:rsidRDefault="00CB0E48" w:rsidP="00A12E52">
            <w:pPr>
              <w:pStyle w:val="Tabletext"/>
              <w:rPr>
                <w:snapToGrid w:val="0"/>
              </w:rPr>
            </w:pPr>
            <w:r w:rsidRPr="00616B26">
              <w:rPr>
                <w:snapToGrid w:val="0"/>
              </w:rPr>
              <w:t>59</w:t>
            </w:r>
          </w:p>
        </w:tc>
        <w:tc>
          <w:tcPr>
            <w:tcW w:w="1429" w:type="pct"/>
            <w:tcBorders>
              <w:top w:val="single" w:sz="4" w:space="0" w:color="auto"/>
              <w:bottom w:val="single" w:sz="4" w:space="0" w:color="auto"/>
            </w:tcBorders>
            <w:vAlign w:val="bottom"/>
          </w:tcPr>
          <w:p w14:paraId="35DBD434" w14:textId="77777777" w:rsidR="00CB0E48" w:rsidRPr="009B1322" w:rsidRDefault="00CB0E48" w:rsidP="00A12E52">
            <w:pPr>
              <w:pStyle w:val="Tabletext"/>
              <w:rPr>
                <w:snapToGrid w:val="0"/>
              </w:rPr>
            </w:pPr>
            <w:r w:rsidRPr="00295986">
              <w:t>13</w:t>
            </w:r>
            <w:r w:rsidR="00D7157D">
              <w:t>.</w:t>
            </w:r>
            <w:r w:rsidRPr="00295986">
              <w:t>7304</w:t>
            </w:r>
          </w:p>
        </w:tc>
        <w:tc>
          <w:tcPr>
            <w:tcW w:w="1866" w:type="pct"/>
            <w:tcBorders>
              <w:top w:val="single" w:sz="4" w:space="0" w:color="auto"/>
              <w:bottom w:val="single" w:sz="4" w:space="0" w:color="auto"/>
            </w:tcBorders>
            <w:vAlign w:val="center"/>
          </w:tcPr>
          <w:p w14:paraId="4D68A3B5" w14:textId="77777777" w:rsidR="00CB0E48" w:rsidRPr="009B1322" w:rsidRDefault="00CB0E48" w:rsidP="00A12E52">
            <w:pPr>
              <w:pStyle w:val="Tabletext"/>
              <w:rPr>
                <w:snapToGrid w:val="0"/>
              </w:rPr>
            </w:pPr>
            <w:r w:rsidRPr="00295986">
              <w:t>14</w:t>
            </w:r>
            <w:r w:rsidR="00D7157D">
              <w:t>.</w:t>
            </w:r>
            <w:r w:rsidRPr="00295986">
              <w:t>1518</w:t>
            </w:r>
          </w:p>
        </w:tc>
      </w:tr>
      <w:tr w:rsidR="00CB0E48" w:rsidRPr="009E2595" w14:paraId="1A7FFB66" w14:textId="77777777" w:rsidTr="00055CFA">
        <w:trPr>
          <w:trHeight w:val="245"/>
          <w:jc w:val="right"/>
        </w:trPr>
        <w:tc>
          <w:tcPr>
            <w:tcW w:w="1705" w:type="pct"/>
            <w:tcBorders>
              <w:top w:val="single" w:sz="4" w:space="0" w:color="auto"/>
              <w:bottom w:val="single" w:sz="4" w:space="0" w:color="auto"/>
            </w:tcBorders>
          </w:tcPr>
          <w:p w14:paraId="0FAA6007" w14:textId="77777777" w:rsidR="00CB0E48" w:rsidRPr="00616B26" w:rsidRDefault="00CB0E48" w:rsidP="00A12E52">
            <w:pPr>
              <w:pStyle w:val="Tabletext"/>
              <w:rPr>
                <w:snapToGrid w:val="0"/>
              </w:rPr>
            </w:pPr>
            <w:r w:rsidRPr="00616B26">
              <w:rPr>
                <w:snapToGrid w:val="0"/>
              </w:rPr>
              <w:t>60</w:t>
            </w:r>
          </w:p>
        </w:tc>
        <w:tc>
          <w:tcPr>
            <w:tcW w:w="1429" w:type="pct"/>
            <w:tcBorders>
              <w:top w:val="single" w:sz="4" w:space="0" w:color="auto"/>
              <w:bottom w:val="single" w:sz="4" w:space="0" w:color="auto"/>
            </w:tcBorders>
            <w:vAlign w:val="bottom"/>
          </w:tcPr>
          <w:p w14:paraId="1632A1AC" w14:textId="77777777" w:rsidR="00CB0E48" w:rsidRPr="009B1322" w:rsidRDefault="00CB0E48" w:rsidP="00A12E52">
            <w:pPr>
              <w:pStyle w:val="Tabletext"/>
              <w:rPr>
                <w:snapToGrid w:val="0"/>
              </w:rPr>
            </w:pPr>
            <w:r w:rsidRPr="00295986">
              <w:t>13</w:t>
            </w:r>
            <w:r w:rsidR="00D7157D">
              <w:t>.</w:t>
            </w:r>
            <w:r w:rsidRPr="00295986">
              <w:t>5450</w:t>
            </w:r>
          </w:p>
        </w:tc>
        <w:tc>
          <w:tcPr>
            <w:tcW w:w="1866" w:type="pct"/>
            <w:tcBorders>
              <w:top w:val="single" w:sz="4" w:space="0" w:color="auto"/>
              <w:bottom w:val="single" w:sz="4" w:space="0" w:color="auto"/>
            </w:tcBorders>
            <w:vAlign w:val="center"/>
          </w:tcPr>
          <w:p w14:paraId="2F70EEA5" w14:textId="77777777" w:rsidR="00CB0E48" w:rsidRPr="009B1322" w:rsidRDefault="00CB0E48" w:rsidP="00A12E52">
            <w:pPr>
              <w:pStyle w:val="Tabletext"/>
              <w:rPr>
                <w:snapToGrid w:val="0"/>
              </w:rPr>
            </w:pPr>
            <w:r w:rsidRPr="00295986">
              <w:t>13</w:t>
            </w:r>
            <w:r w:rsidR="00D7157D">
              <w:t>.</w:t>
            </w:r>
            <w:r w:rsidRPr="00295986">
              <w:t>9831</w:t>
            </w:r>
          </w:p>
        </w:tc>
      </w:tr>
      <w:tr w:rsidR="00CB0E48" w:rsidRPr="009E2595" w14:paraId="2B2A3C22" w14:textId="77777777" w:rsidTr="00055CFA">
        <w:trPr>
          <w:trHeight w:val="245"/>
          <w:jc w:val="right"/>
        </w:trPr>
        <w:tc>
          <w:tcPr>
            <w:tcW w:w="1705" w:type="pct"/>
            <w:tcBorders>
              <w:top w:val="single" w:sz="4" w:space="0" w:color="auto"/>
              <w:bottom w:val="single" w:sz="4" w:space="0" w:color="auto"/>
            </w:tcBorders>
          </w:tcPr>
          <w:p w14:paraId="3ADC2829" w14:textId="77777777" w:rsidR="00CB0E48" w:rsidRPr="00616B26" w:rsidRDefault="00CB0E48" w:rsidP="00A12E52">
            <w:pPr>
              <w:pStyle w:val="Tabletext"/>
              <w:rPr>
                <w:snapToGrid w:val="0"/>
              </w:rPr>
            </w:pPr>
            <w:r w:rsidRPr="00616B26">
              <w:rPr>
                <w:snapToGrid w:val="0"/>
              </w:rPr>
              <w:t>61</w:t>
            </w:r>
          </w:p>
        </w:tc>
        <w:tc>
          <w:tcPr>
            <w:tcW w:w="1429" w:type="pct"/>
            <w:tcBorders>
              <w:top w:val="single" w:sz="4" w:space="0" w:color="auto"/>
              <w:bottom w:val="single" w:sz="4" w:space="0" w:color="auto"/>
            </w:tcBorders>
            <w:vAlign w:val="bottom"/>
          </w:tcPr>
          <w:p w14:paraId="2AFD77E6" w14:textId="77777777" w:rsidR="00CB0E48" w:rsidRPr="009B1322" w:rsidRDefault="00CB0E48" w:rsidP="00A12E52">
            <w:pPr>
              <w:pStyle w:val="Tabletext"/>
              <w:rPr>
                <w:snapToGrid w:val="0"/>
              </w:rPr>
            </w:pPr>
            <w:r w:rsidRPr="00295986">
              <w:t>13</w:t>
            </w:r>
            <w:r w:rsidR="00D7157D">
              <w:t>.</w:t>
            </w:r>
            <w:r w:rsidRPr="00295986">
              <w:t>3508</w:t>
            </w:r>
          </w:p>
        </w:tc>
        <w:tc>
          <w:tcPr>
            <w:tcW w:w="1866" w:type="pct"/>
            <w:tcBorders>
              <w:top w:val="single" w:sz="4" w:space="0" w:color="auto"/>
              <w:bottom w:val="single" w:sz="4" w:space="0" w:color="auto"/>
            </w:tcBorders>
            <w:vAlign w:val="center"/>
          </w:tcPr>
          <w:p w14:paraId="58ED8593" w14:textId="77777777" w:rsidR="00CB0E48" w:rsidRPr="009B1322" w:rsidRDefault="00CB0E48" w:rsidP="00A12E52">
            <w:pPr>
              <w:pStyle w:val="Tabletext"/>
              <w:rPr>
                <w:snapToGrid w:val="0"/>
              </w:rPr>
            </w:pPr>
            <w:r w:rsidRPr="00295986">
              <w:t>13</w:t>
            </w:r>
            <w:r w:rsidR="00D7157D">
              <w:t>.</w:t>
            </w:r>
            <w:r w:rsidRPr="00295986">
              <w:t>8057</w:t>
            </w:r>
          </w:p>
        </w:tc>
      </w:tr>
      <w:tr w:rsidR="00CB0E48" w:rsidRPr="009E2595" w14:paraId="79AD5205" w14:textId="77777777" w:rsidTr="00055CFA">
        <w:trPr>
          <w:trHeight w:val="245"/>
          <w:jc w:val="right"/>
        </w:trPr>
        <w:tc>
          <w:tcPr>
            <w:tcW w:w="1705" w:type="pct"/>
            <w:tcBorders>
              <w:top w:val="single" w:sz="4" w:space="0" w:color="auto"/>
              <w:bottom w:val="single" w:sz="4" w:space="0" w:color="auto"/>
            </w:tcBorders>
          </w:tcPr>
          <w:p w14:paraId="0E51B521" w14:textId="77777777" w:rsidR="00CB0E48" w:rsidRPr="00616B26" w:rsidRDefault="00CB0E48" w:rsidP="00A12E52">
            <w:pPr>
              <w:pStyle w:val="Tabletext"/>
              <w:rPr>
                <w:snapToGrid w:val="0"/>
              </w:rPr>
            </w:pPr>
            <w:r w:rsidRPr="00616B26">
              <w:rPr>
                <w:snapToGrid w:val="0"/>
              </w:rPr>
              <w:t>62</w:t>
            </w:r>
          </w:p>
        </w:tc>
        <w:tc>
          <w:tcPr>
            <w:tcW w:w="1429" w:type="pct"/>
            <w:tcBorders>
              <w:top w:val="single" w:sz="4" w:space="0" w:color="auto"/>
              <w:bottom w:val="single" w:sz="4" w:space="0" w:color="auto"/>
            </w:tcBorders>
            <w:vAlign w:val="bottom"/>
          </w:tcPr>
          <w:p w14:paraId="6F9E5F1E" w14:textId="77777777" w:rsidR="00CB0E48" w:rsidRPr="009B1322" w:rsidRDefault="00CB0E48" w:rsidP="00A12E52">
            <w:pPr>
              <w:pStyle w:val="Tabletext"/>
              <w:rPr>
                <w:snapToGrid w:val="0"/>
              </w:rPr>
            </w:pPr>
            <w:r w:rsidRPr="00295986">
              <w:t>13</w:t>
            </w:r>
            <w:r w:rsidR="00D7157D">
              <w:t>.</w:t>
            </w:r>
            <w:r w:rsidRPr="00295986">
              <w:t>1474</w:t>
            </w:r>
          </w:p>
        </w:tc>
        <w:tc>
          <w:tcPr>
            <w:tcW w:w="1866" w:type="pct"/>
            <w:tcBorders>
              <w:top w:val="single" w:sz="4" w:space="0" w:color="auto"/>
              <w:bottom w:val="single" w:sz="4" w:space="0" w:color="auto"/>
            </w:tcBorders>
            <w:vAlign w:val="center"/>
          </w:tcPr>
          <w:p w14:paraId="29B40194" w14:textId="77777777" w:rsidR="00CB0E48" w:rsidRPr="009B1322" w:rsidRDefault="00CB0E48" w:rsidP="00A12E52">
            <w:pPr>
              <w:pStyle w:val="Tabletext"/>
              <w:rPr>
                <w:snapToGrid w:val="0"/>
              </w:rPr>
            </w:pPr>
            <w:r w:rsidRPr="00295986">
              <w:t>13</w:t>
            </w:r>
            <w:r w:rsidR="00D7157D">
              <w:t>.</w:t>
            </w:r>
            <w:r w:rsidRPr="00295986">
              <w:t>6194</w:t>
            </w:r>
          </w:p>
        </w:tc>
      </w:tr>
      <w:tr w:rsidR="00CB0E48" w:rsidRPr="009E2595" w14:paraId="13F9FE84" w14:textId="77777777" w:rsidTr="00055CFA">
        <w:trPr>
          <w:trHeight w:val="245"/>
          <w:jc w:val="right"/>
        </w:trPr>
        <w:tc>
          <w:tcPr>
            <w:tcW w:w="1705" w:type="pct"/>
            <w:tcBorders>
              <w:top w:val="single" w:sz="4" w:space="0" w:color="auto"/>
              <w:bottom w:val="single" w:sz="4" w:space="0" w:color="auto"/>
            </w:tcBorders>
          </w:tcPr>
          <w:p w14:paraId="0930800F" w14:textId="77777777" w:rsidR="00CB0E48" w:rsidRPr="00616B26" w:rsidRDefault="00CB0E48" w:rsidP="00A12E52">
            <w:pPr>
              <w:pStyle w:val="Tabletext"/>
              <w:rPr>
                <w:snapToGrid w:val="0"/>
              </w:rPr>
            </w:pPr>
            <w:r w:rsidRPr="00616B26">
              <w:rPr>
                <w:snapToGrid w:val="0"/>
              </w:rPr>
              <w:t>63</w:t>
            </w:r>
          </w:p>
        </w:tc>
        <w:tc>
          <w:tcPr>
            <w:tcW w:w="1429" w:type="pct"/>
            <w:tcBorders>
              <w:top w:val="single" w:sz="4" w:space="0" w:color="auto"/>
              <w:bottom w:val="single" w:sz="4" w:space="0" w:color="auto"/>
            </w:tcBorders>
            <w:vAlign w:val="bottom"/>
          </w:tcPr>
          <w:p w14:paraId="24AD64D7" w14:textId="77777777" w:rsidR="00CB0E48" w:rsidRPr="009B1322" w:rsidRDefault="00CB0E48" w:rsidP="00A12E52">
            <w:pPr>
              <w:pStyle w:val="Tabletext"/>
              <w:rPr>
                <w:snapToGrid w:val="0"/>
              </w:rPr>
            </w:pPr>
            <w:r w:rsidRPr="00295986">
              <w:t>12</w:t>
            </w:r>
            <w:r w:rsidR="00D7157D">
              <w:t>.</w:t>
            </w:r>
            <w:r w:rsidRPr="00295986">
              <w:t>9350</w:t>
            </w:r>
          </w:p>
        </w:tc>
        <w:tc>
          <w:tcPr>
            <w:tcW w:w="1866" w:type="pct"/>
            <w:tcBorders>
              <w:top w:val="single" w:sz="4" w:space="0" w:color="auto"/>
              <w:bottom w:val="single" w:sz="4" w:space="0" w:color="auto"/>
            </w:tcBorders>
            <w:vAlign w:val="center"/>
          </w:tcPr>
          <w:p w14:paraId="2B025816" w14:textId="77777777" w:rsidR="00CB0E48" w:rsidRPr="009B1322" w:rsidRDefault="00CB0E48" w:rsidP="00A12E52">
            <w:pPr>
              <w:pStyle w:val="Tabletext"/>
              <w:rPr>
                <w:snapToGrid w:val="0"/>
              </w:rPr>
            </w:pPr>
            <w:r w:rsidRPr="00295986">
              <w:t>13</w:t>
            </w:r>
            <w:r w:rsidR="00D7157D">
              <w:t>.</w:t>
            </w:r>
            <w:r w:rsidRPr="00295986">
              <w:t>4244</w:t>
            </w:r>
          </w:p>
        </w:tc>
      </w:tr>
      <w:tr w:rsidR="00CB0E48" w:rsidRPr="009E2595" w14:paraId="5C0A9439" w14:textId="77777777" w:rsidTr="00055CFA">
        <w:trPr>
          <w:trHeight w:val="245"/>
          <w:jc w:val="right"/>
        </w:trPr>
        <w:tc>
          <w:tcPr>
            <w:tcW w:w="1705" w:type="pct"/>
            <w:tcBorders>
              <w:top w:val="single" w:sz="4" w:space="0" w:color="auto"/>
              <w:bottom w:val="single" w:sz="4" w:space="0" w:color="auto"/>
            </w:tcBorders>
          </w:tcPr>
          <w:p w14:paraId="78A5BC1B" w14:textId="77777777" w:rsidR="00CB0E48" w:rsidRPr="00616B26" w:rsidRDefault="00CB0E48" w:rsidP="00A12E52">
            <w:pPr>
              <w:pStyle w:val="Tabletext"/>
              <w:rPr>
                <w:snapToGrid w:val="0"/>
              </w:rPr>
            </w:pPr>
            <w:r w:rsidRPr="00616B26">
              <w:rPr>
                <w:snapToGrid w:val="0"/>
              </w:rPr>
              <w:t>64</w:t>
            </w:r>
          </w:p>
        </w:tc>
        <w:tc>
          <w:tcPr>
            <w:tcW w:w="1429" w:type="pct"/>
            <w:tcBorders>
              <w:top w:val="single" w:sz="4" w:space="0" w:color="auto"/>
              <w:bottom w:val="single" w:sz="4" w:space="0" w:color="auto"/>
            </w:tcBorders>
            <w:vAlign w:val="bottom"/>
          </w:tcPr>
          <w:p w14:paraId="092E53D2" w14:textId="77777777" w:rsidR="00CB0E48" w:rsidRPr="009B1322" w:rsidRDefault="00CB0E48" w:rsidP="00A12E52">
            <w:pPr>
              <w:pStyle w:val="Tabletext"/>
              <w:rPr>
                <w:snapToGrid w:val="0"/>
              </w:rPr>
            </w:pPr>
            <w:r w:rsidRPr="00295986">
              <w:t>12</w:t>
            </w:r>
            <w:r w:rsidR="00D7157D">
              <w:t>.</w:t>
            </w:r>
            <w:r w:rsidRPr="00295986">
              <w:t>7136</w:t>
            </w:r>
          </w:p>
        </w:tc>
        <w:tc>
          <w:tcPr>
            <w:tcW w:w="1866" w:type="pct"/>
            <w:tcBorders>
              <w:top w:val="single" w:sz="4" w:space="0" w:color="auto"/>
              <w:bottom w:val="single" w:sz="4" w:space="0" w:color="auto"/>
            </w:tcBorders>
            <w:vAlign w:val="center"/>
          </w:tcPr>
          <w:p w14:paraId="51524414" w14:textId="77777777" w:rsidR="00CB0E48" w:rsidRPr="009B1322" w:rsidRDefault="00CB0E48" w:rsidP="00A12E52">
            <w:pPr>
              <w:pStyle w:val="Tabletext"/>
              <w:rPr>
                <w:snapToGrid w:val="0"/>
              </w:rPr>
            </w:pPr>
            <w:r w:rsidRPr="00295986">
              <w:t>13</w:t>
            </w:r>
            <w:r w:rsidR="00D7157D">
              <w:t>.</w:t>
            </w:r>
            <w:r w:rsidRPr="00295986">
              <w:t>2203</w:t>
            </w:r>
          </w:p>
        </w:tc>
      </w:tr>
      <w:tr w:rsidR="00CB0E48" w:rsidRPr="009E2595" w14:paraId="32474ACC" w14:textId="77777777" w:rsidTr="00055CFA">
        <w:trPr>
          <w:trHeight w:val="245"/>
          <w:jc w:val="right"/>
        </w:trPr>
        <w:tc>
          <w:tcPr>
            <w:tcW w:w="1705" w:type="pct"/>
            <w:tcBorders>
              <w:top w:val="single" w:sz="4" w:space="0" w:color="auto"/>
              <w:bottom w:val="single" w:sz="12" w:space="0" w:color="auto"/>
            </w:tcBorders>
          </w:tcPr>
          <w:p w14:paraId="1CE52A32" w14:textId="77777777" w:rsidR="00CB0E48" w:rsidRPr="00616B26" w:rsidRDefault="00CB0E48" w:rsidP="00A12E52">
            <w:pPr>
              <w:pStyle w:val="Tabletext"/>
              <w:rPr>
                <w:snapToGrid w:val="0"/>
              </w:rPr>
            </w:pPr>
            <w:r w:rsidRPr="00616B26">
              <w:rPr>
                <w:snapToGrid w:val="0"/>
              </w:rPr>
              <w:t>65</w:t>
            </w:r>
          </w:p>
        </w:tc>
        <w:tc>
          <w:tcPr>
            <w:tcW w:w="1429" w:type="pct"/>
            <w:tcBorders>
              <w:top w:val="single" w:sz="4" w:space="0" w:color="auto"/>
              <w:bottom w:val="single" w:sz="12" w:space="0" w:color="auto"/>
            </w:tcBorders>
            <w:vAlign w:val="bottom"/>
          </w:tcPr>
          <w:p w14:paraId="1E9091B0" w14:textId="77777777" w:rsidR="00CB0E48" w:rsidRPr="009B1322" w:rsidRDefault="00CB0E48" w:rsidP="00A12E52">
            <w:pPr>
              <w:pStyle w:val="Tabletext"/>
              <w:rPr>
                <w:snapToGrid w:val="0"/>
              </w:rPr>
            </w:pPr>
            <w:r w:rsidRPr="00295986">
              <w:t>12</w:t>
            </w:r>
            <w:r w:rsidR="00D7157D">
              <w:t>.</w:t>
            </w:r>
            <w:r w:rsidRPr="00295986">
              <w:t>4838</w:t>
            </w:r>
          </w:p>
        </w:tc>
        <w:tc>
          <w:tcPr>
            <w:tcW w:w="1866" w:type="pct"/>
            <w:tcBorders>
              <w:top w:val="single" w:sz="4" w:space="0" w:color="auto"/>
              <w:bottom w:val="single" w:sz="12" w:space="0" w:color="auto"/>
            </w:tcBorders>
            <w:vAlign w:val="center"/>
          </w:tcPr>
          <w:p w14:paraId="2B31D864" w14:textId="77777777" w:rsidR="00CB0E48" w:rsidRPr="009B1322" w:rsidRDefault="00CB0E48" w:rsidP="00A12E52">
            <w:pPr>
              <w:pStyle w:val="Tabletext"/>
              <w:rPr>
                <w:snapToGrid w:val="0"/>
              </w:rPr>
            </w:pPr>
            <w:r w:rsidRPr="00295986">
              <w:t>13</w:t>
            </w:r>
            <w:r w:rsidR="00D7157D">
              <w:t>.</w:t>
            </w:r>
            <w:r w:rsidRPr="00295986">
              <w:t>0079</w:t>
            </w:r>
          </w:p>
        </w:tc>
      </w:tr>
    </w:tbl>
    <w:p w14:paraId="740D3F1C"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15989134" w14:textId="77777777" w:rsidTr="00963115">
        <w:trPr>
          <w:cantSplit/>
          <w:trHeight w:val="375"/>
          <w:tblHeader/>
          <w:jc w:val="right"/>
        </w:trPr>
        <w:tc>
          <w:tcPr>
            <w:tcW w:w="1705" w:type="pct"/>
            <w:vMerge w:val="restart"/>
            <w:tcBorders>
              <w:top w:val="single" w:sz="12" w:space="0" w:color="auto"/>
              <w:bottom w:val="single" w:sz="12" w:space="0" w:color="auto"/>
            </w:tcBorders>
          </w:tcPr>
          <w:p w14:paraId="3B3B0E8E"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63AA4150" w14:textId="1A79D1CF"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period—pension not indexed</w:t>
            </w:r>
          </w:p>
        </w:tc>
      </w:tr>
      <w:tr w:rsidR="00647C6B" w:rsidRPr="00A058B6" w14:paraId="5075D090" w14:textId="77777777" w:rsidTr="00963115">
        <w:trPr>
          <w:cantSplit/>
          <w:trHeight w:val="60"/>
          <w:tblHeader/>
          <w:jc w:val="right"/>
        </w:trPr>
        <w:tc>
          <w:tcPr>
            <w:tcW w:w="1705" w:type="pct"/>
            <w:vMerge/>
            <w:tcBorders>
              <w:bottom w:val="single" w:sz="12" w:space="0" w:color="auto"/>
            </w:tcBorders>
          </w:tcPr>
          <w:p w14:paraId="19072407" w14:textId="77777777" w:rsidR="00647C6B" w:rsidRPr="00A058B6" w:rsidRDefault="00647C6B" w:rsidP="00963115">
            <w:pPr>
              <w:rPr>
                <w:snapToGrid w:val="0"/>
              </w:rPr>
            </w:pPr>
          </w:p>
        </w:tc>
        <w:tc>
          <w:tcPr>
            <w:tcW w:w="1417" w:type="pct"/>
            <w:tcBorders>
              <w:bottom w:val="single" w:sz="12" w:space="0" w:color="auto"/>
            </w:tcBorders>
          </w:tcPr>
          <w:p w14:paraId="41FDD37F"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41A77665" w14:textId="77777777" w:rsidR="00647C6B" w:rsidRPr="00A058B6" w:rsidRDefault="00647C6B" w:rsidP="00963115">
            <w:pPr>
              <w:pStyle w:val="TableHeading"/>
              <w:rPr>
                <w:snapToGrid w:val="0"/>
              </w:rPr>
            </w:pPr>
            <w:r w:rsidRPr="00A058B6">
              <w:rPr>
                <w:snapToGrid w:val="0"/>
              </w:rPr>
              <w:t>Female</w:t>
            </w:r>
          </w:p>
        </w:tc>
      </w:tr>
      <w:tr w:rsidR="00CB0E48" w:rsidRPr="009E2595" w14:paraId="1EE88BBB" w14:textId="77777777" w:rsidTr="00055CFA">
        <w:trPr>
          <w:trHeight w:val="245"/>
          <w:jc w:val="right"/>
        </w:trPr>
        <w:tc>
          <w:tcPr>
            <w:tcW w:w="1705" w:type="pct"/>
            <w:tcBorders>
              <w:top w:val="single" w:sz="12" w:space="0" w:color="auto"/>
              <w:bottom w:val="single" w:sz="4" w:space="0" w:color="auto"/>
            </w:tcBorders>
          </w:tcPr>
          <w:p w14:paraId="52CF1647" w14:textId="77777777" w:rsidR="00CB0E48" w:rsidRPr="009B1322" w:rsidRDefault="00CB0E48" w:rsidP="00A12E52">
            <w:pPr>
              <w:pStyle w:val="Tabletext"/>
              <w:rPr>
                <w:snapToGrid w:val="0"/>
              </w:rPr>
            </w:pPr>
            <w:r w:rsidRPr="009B1322">
              <w:rPr>
                <w:snapToGrid w:val="0"/>
              </w:rPr>
              <w:t>Up to 40</w:t>
            </w:r>
          </w:p>
        </w:tc>
        <w:tc>
          <w:tcPr>
            <w:tcW w:w="1417" w:type="pct"/>
            <w:tcBorders>
              <w:top w:val="single" w:sz="12" w:space="0" w:color="auto"/>
              <w:bottom w:val="single" w:sz="4" w:space="0" w:color="auto"/>
            </w:tcBorders>
            <w:vAlign w:val="bottom"/>
          </w:tcPr>
          <w:p w14:paraId="6D968632" w14:textId="77777777" w:rsidR="00CB0E48" w:rsidRPr="009B1322" w:rsidRDefault="00CB0E48" w:rsidP="00A12E52">
            <w:pPr>
              <w:pStyle w:val="Tabletext"/>
              <w:rPr>
                <w:snapToGrid w:val="0"/>
              </w:rPr>
            </w:pPr>
            <w:r w:rsidRPr="00295986">
              <w:t>1</w:t>
            </w:r>
            <w:r w:rsidR="00D7157D">
              <w:t>.</w:t>
            </w:r>
            <w:r w:rsidRPr="00295986">
              <w:t>001</w:t>
            </w:r>
          </w:p>
        </w:tc>
        <w:tc>
          <w:tcPr>
            <w:tcW w:w="1878" w:type="pct"/>
            <w:tcBorders>
              <w:top w:val="single" w:sz="12" w:space="0" w:color="auto"/>
              <w:bottom w:val="single" w:sz="4" w:space="0" w:color="auto"/>
            </w:tcBorders>
            <w:vAlign w:val="bottom"/>
          </w:tcPr>
          <w:p w14:paraId="42A7154A" w14:textId="77777777" w:rsidR="00CB0E48" w:rsidRPr="009B1322" w:rsidRDefault="00CB0E48" w:rsidP="00A12E52">
            <w:pPr>
              <w:pStyle w:val="Tabletext"/>
              <w:rPr>
                <w:snapToGrid w:val="0"/>
              </w:rPr>
            </w:pPr>
            <w:r w:rsidRPr="00295986">
              <w:t>0</w:t>
            </w:r>
            <w:r w:rsidR="00D7157D">
              <w:t>.</w:t>
            </w:r>
            <w:r w:rsidRPr="00295986">
              <w:t>442</w:t>
            </w:r>
          </w:p>
        </w:tc>
      </w:tr>
      <w:tr w:rsidR="00CB0E48" w:rsidRPr="009E2595" w14:paraId="48316837" w14:textId="77777777" w:rsidTr="00055CFA">
        <w:trPr>
          <w:trHeight w:val="245"/>
          <w:jc w:val="right"/>
        </w:trPr>
        <w:tc>
          <w:tcPr>
            <w:tcW w:w="1705" w:type="pct"/>
            <w:tcBorders>
              <w:top w:val="single" w:sz="4" w:space="0" w:color="auto"/>
              <w:bottom w:val="single" w:sz="4" w:space="0" w:color="auto"/>
            </w:tcBorders>
          </w:tcPr>
          <w:p w14:paraId="5A454239" w14:textId="77777777" w:rsidR="00CB0E48" w:rsidRPr="009B1322" w:rsidRDefault="00CB0E48" w:rsidP="00A12E52">
            <w:pPr>
              <w:pStyle w:val="Tabletext"/>
              <w:rPr>
                <w:snapToGrid w:val="0"/>
              </w:rPr>
            </w:pPr>
            <w:r w:rsidRPr="009B1322">
              <w:rPr>
                <w:snapToGrid w:val="0"/>
              </w:rPr>
              <w:t>41</w:t>
            </w:r>
          </w:p>
        </w:tc>
        <w:tc>
          <w:tcPr>
            <w:tcW w:w="1417" w:type="pct"/>
            <w:tcBorders>
              <w:top w:val="single" w:sz="4" w:space="0" w:color="auto"/>
              <w:bottom w:val="single" w:sz="4" w:space="0" w:color="auto"/>
            </w:tcBorders>
            <w:vAlign w:val="bottom"/>
          </w:tcPr>
          <w:p w14:paraId="2E0A74E0" w14:textId="77777777" w:rsidR="00CB0E48" w:rsidRPr="009B1322" w:rsidRDefault="00CB0E48" w:rsidP="00A12E52">
            <w:pPr>
              <w:pStyle w:val="Tabletext"/>
              <w:rPr>
                <w:snapToGrid w:val="0"/>
              </w:rPr>
            </w:pPr>
            <w:r w:rsidRPr="00295986">
              <w:t>0</w:t>
            </w:r>
            <w:r w:rsidR="00D7157D">
              <w:t>.</w:t>
            </w:r>
            <w:r w:rsidRPr="00295986">
              <w:t>968</w:t>
            </w:r>
          </w:p>
        </w:tc>
        <w:tc>
          <w:tcPr>
            <w:tcW w:w="1878" w:type="pct"/>
            <w:tcBorders>
              <w:top w:val="single" w:sz="4" w:space="0" w:color="auto"/>
              <w:bottom w:val="single" w:sz="4" w:space="0" w:color="auto"/>
            </w:tcBorders>
            <w:vAlign w:val="bottom"/>
          </w:tcPr>
          <w:p w14:paraId="62328BFE" w14:textId="77777777" w:rsidR="00CB0E48" w:rsidRPr="009B1322" w:rsidRDefault="00CB0E48" w:rsidP="00A12E52">
            <w:pPr>
              <w:pStyle w:val="Tabletext"/>
              <w:rPr>
                <w:snapToGrid w:val="0"/>
              </w:rPr>
            </w:pPr>
            <w:r w:rsidRPr="00295986">
              <w:t>0</w:t>
            </w:r>
            <w:r w:rsidR="00D7157D">
              <w:t>.</w:t>
            </w:r>
            <w:r w:rsidRPr="00295986">
              <w:t>416</w:t>
            </w:r>
          </w:p>
        </w:tc>
      </w:tr>
      <w:tr w:rsidR="00CB0E48" w:rsidRPr="009E2595" w14:paraId="0C8BB1F3" w14:textId="77777777" w:rsidTr="00055CFA">
        <w:trPr>
          <w:trHeight w:val="245"/>
          <w:jc w:val="right"/>
        </w:trPr>
        <w:tc>
          <w:tcPr>
            <w:tcW w:w="1705" w:type="pct"/>
            <w:tcBorders>
              <w:top w:val="single" w:sz="4" w:space="0" w:color="auto"/>
              <w:bottom w:val="single" w:sz="4" w:space="0" w:color="auto"/>
            </w:tcBorders>
          </w:tcPr>
          <w:p w14:paraId="2A77D0C3" w14:textId="77777777" w:rsidR="00CB0E48" w:rsidRPr="009B1322" w:rsidRDefault="00CB0E48" w:rsidP="00A12E52">
            <w:pPr>
              <w:pStyle w:val="Tabletext"/>
              <w:rPr>
                <w:snapToGrid w:val="0"/>
              </w:rPr>
            </w:pPr>
            <w:r w:rsidRPr="009B1322">
              <w:rPr>
                <w:snapToGrid w:val="0"/>
              </w:rPr>
              <w:t>42</w:t>
            </w:r>
          </w:p>
        </w:tc>
        <w:tc>
          <w:tcPr>
            <w:tcW w:w="1417" w:type="pct"/>
            <w:tcBorders>
              <w:top w:val="single" w:sz="4" w:space="0" w:color="auto"/>
              <w:bottom w:val="single" w:sz="4" w:space="0" w:color="auto"/>
            </w:tcBorders>
            <w:vAlign w:val="bottom"/>
          </w:tcPr>
          <w:p w14:paraId="519086F4" w14:textId="77777777" w:rsidR="00CB0E48" w:rsidRPr="009B1322" w:rsidRDefault="00CB0E48" w:rsidP="00A12E52">
            <w:pPr>
              <w:pStyle w:val="Tabletext"/>
              <w:rPr>
                <w:snapToGrid w:val="0"/>
              </w:rPr>
            </w:pPr>
            <w:r w:rsidRPr="00295986">
              <w:t>0</w:t>
            </w:r>
            <w:r w:rsidR="00D7157D">
              <w:t>.</w:t>
            </w:r>
            <w:r w:rsidRPr="00295986">
              <w:t>934</w:t>
            </w:r>
          </w:p>
        </w:tc>
        <w:tc>
          <w:tcPr>
            <w:tcW w:w="1878" w:type="pct"/>
            <w:tcBorders>
              <w:top w:val="single" w:sz="4" w:space="0" w:color="auto"/>
              <w:bottom w:val="single" w:sz="4" w:space="0" w:color="auto"/>
            </w:tcBorders>
            <w:vAlign w:val="bottom"/>
          </w:tcPr>
          <w:p w14:paraId="30962EBC" w14:textId="77777777" w:rsidR="00CB0E48" w:rsidRPr="009B1322" w:rsidRDefault="00CB0E48" w:rsidP="00A12E52">
            <w:pPr>
              <w:pStyle w:val="Tabletext"/>
              <w:rPr>
                <w:snapToGrid w:val="0"/>
              </w:rPr>
            </w:pPr>
            <w:r w:rsidRPr="00295986">
              <w:t>0</w:t>
            </w:r>
            <w:r w:rsidR="00D7157D">
              <w:t>.</w:t>
            </w:r>
            <w:r w:rsidRPr="00295986">
              <w:t>389</w:t>
            </w:r>
          </w:p>
        </w:tc>
      </w:tr>
      <w:tr w:rsidR="00CB0E48" w:rsidRPr="009E2595" w14:paraId="6F889216" w14:textId="77777777" w:rsidTr="00055CFA">
        <w:trPr>
          <w:trHeight w:val="245"/>
          <w:jc w:val="right"/>
        </w:trPr>
        <w:tc>
          <w:tcPr>
            <w:tcW w:w="1705" w:type="pct"/>
            <w:tcBorders>
              <w:top w:val="single" w:sz="4" w:space="0" w:color="auto"/>
              <w:bottom w:val="single" w:sz="4" w:space="0" w:color="auto"/>
            </w:tcBorders>
          </w:tcPr>
          <w:p w14:paraId="66366DF9" w14:textId="77777777" w:rsidR="00CB0E48" w:rsidRPr="009B1322" w:rsidRDefault="00CB0E48" w:rsidP="00A12E52">
            <w:pPr>
              <w:pStyle w:val="Tabletext"/>
              <w:rPr>
                <w:snapToGrid w:val="0"/>
              </w:rPr>
            </w:pPr>
            <w:r w:rsidRPr="009B1322">
              <w:rPr>
                <w:snapToGrid w:val="0"/>
              </w:rPr>
              <w:t>43</w:t>
            </w:r>
          </w:p>
        </w:tc>
        <w:tc>
          <w:tcPr>
            <w:tcW w:w="1417" w:type="pct"/>
            <w:tcBorders>
              <w:top w:val="single" w:sz="4" w:space="0" w:color="auto"/>
              <w:bottom w:val="single" w:sz="4" w:space="0" w:color="auto"/>
            </w:tcBorders>
            <w:vAlign w:val="bottom"/>
          </w:tcPr>
          <w:p w14:paraId="5125DA39" w14:textId="77777777" w:rsidR="00CB0E48" w:rsidRPr="009B1322" w:rsidRDefault="00CB0E48" w:rsidP="00A12E52">
            <w:pPr>
              <w:pStyle w:val="Tabletext"/>
              <w:rPr>
                <w:snapToGrid w:val="0"/>
              </w:rPr>
            </w:pPr>
            <w:r w:rsidRPr="00295986">
              <w:t>0</w:t>
            </w:r>
            <w:r w:rsidR="00D7157D">
              <w:t>.</w:t>
            </w:r>
            <w:r w:rsidRPr="00295986">
              <w:t>901</w:t>
            </w:r>
          </w:p>
        </w:tc>
        <w:tc>
          <w:tcPr>
            <w:tcW w:w="1878" w:type="pct"/>
            <w:tcBorders>
              <w:top w:val="single" w:sz="4" w:space="0" w:color="auto"/>
              <w:bottom w:val="single" w:sz="4" w:space="0" w:color="auto"/>
            </w:tcBorders>
            <w:vAlign w:val="bottom"/>
          </w:tcPr>
          <w:p w14:paraId="3431A4B5" w14:textId="77777777" w:rsidR="00CB0E48" w:rsidRPr="009B1322" w:rsidRDefault="00CB0E48" w:rsidP="00A12E52">
            <w:pPr>
              <w:pStyle w:val="Tabletext"/>
              <w:rPr>
                <w:snapToGrid w:val="0"/>
              </w:rPr>
            </w:pPr>
            <w:r w:rsidRPr="00295986">
              <w:t>0</w:t>
            </w:r>
            <w:r w:rsidR="00D7157D">
              <w:t>.</w:t>
            </w:r>
            <w:r w:rsidRPr="00295986">
              <w:t>363</w:t>
            </w:r>
          </w:p>
        </w:tc>
      </w:tr>
      <w:tr w:rsidR="00CB0E48" w:rsidRPr="009E2595" w14:paraId="49075DB6" w14:textId="77777777" w:rsidTr="00055CFA">
        <w:trPr>
          <w:trHeight w:val="245"/>
          <w:jc w:val="right"/>
        </w:trPr>
        <w:tc>
          <w:tcPr>
            <w:tcW w:w="1705" w:type="pct"/>
            <w:tcBorders>
              <w:top w:val="single" w:sz="4" w:space="0" w:color="auto"/>
              <w:bottom w:val="single" w:sz="4" w:space="0" w:color="auto"/>
            </w:tcBorders>
          </w:tcPr>
          <w:p w14:paraId="65594A21" w14:textId="77777777" w:rsidR="00CB0E48" w:rsidRPr="009B1322" w:rsidRDefault="00CB0E48" w:rsidP="00A12E52">
            <w:pPr>
              <w:pStyle w:val="Tabletext"/>
              <w:rPr>
                <w:snapToGrid w:val="0"/>
              </w:rPr>
            </w:pPr>
            <w:r w:rsidRPr="009B1322">
              <w:rPr>
                <w:snapToGrid w:val="0"/>
              </w:rPr>
              <w:t>44</w:t>
            </w:r>
          </w:p>
        </w:tc>
        <w:tc>
          <w:tcPr>
            <w:tcW w:w="1417" w:type="pct"/>
            <w:tcBorders>
              <w:top w:val="single" w:sz="4" w:space="0" w:color="auto"/>
              <w:bottom w:val="single" w:sz="4" w:space="0" w:color="auto"/>
            </w:tcBorders>
            <w:vAlign w:val="bottom"/>
          </w:tcPr>
          <w:p w14:paraId="2D7DC2CF" w14:textId="77777777" w:rsidR="00CB0E48" w:rsidRPr="009B1322" w:rsidRDefault="00CB0E48" w:rsidP="00A12E52">
            <w:pPr>
              <w:pStyle w:val="Tabletext"/>
              <w:rPr>
                <w:snapToGrid w:val="0"/>
              </w:rPr>
            </w:pPr>
            <w:r w:rsidRPr="00295986">
              <w:t>0</w:t>
            </w:r>
            <w:r w:rsidR="00D7157D">
              <w:t>.</w:t>
            </w:r>
            <w:r w:rsidRPr="00295986">
              <w:t>868</w:t>
            </w:r>
          </w:p>
        </w:tc>
        <w:tc>
          <w:tcPr>
            <w:tcW w:w="1878" w:type="pct"/>
            <w:tcBorders>
              <w:top w:val="single" w:sz="4" w:space="0" w:color="auto"/>
              <w:bottom w:val="single" w:sz="4" w:space="0" w:color="auto"/>
            </w:tcBorders>
            <w:vAlign w:val="bottom"/>
          </w:tcPr>
          <w:p w14:paraId="4CA74B7A" w14:textId="77777777" w:rsidR="00CB0E48" w:rsidRPr="009B1322" w:rsidRDefault="00CB0E48" w:rsidP="00A12E52">
            <w:pPr>
              <w:pStyle w:val="Tabletext"/>
              <w:rPr>
                <w:snapToGrid w:val="0"/>
              </w:rPr>
            </w:pPr>
            <w:r w:rsidRPr="00295986">
              <w:t>0</w:t>
            </w:r>
            <w:r w:rsidR="00D7157D">
              <w:t>.</w:t>
            </w:r>
            <w:r w:rsidRPr="00295986">
              <w:t>336</w:t>
            </w:r>
          </w:p>
        </w:tc>
      </w:tr>
      <w:tr w:rsidR="00CB0E48" w:rsidRPr="009E2595" w14:paraId="182B6D33" w14:textId="77777777" w:rsidTr="00055CFA">
        <w:trPr>
          <w:trHeight w:val="245"/>
          <w:jc w:val="right"/>
        </w:trPr>
        <w:tc>
          <w:tcPr>
            <w:tcW w:w="1705" w:type="pct"/>
            <w:tcBorders>
              <w:top w:val="single" w:sz="4" w:space="0" w:color="auto"/>
              <w:bottom w:val="single" w:sz="4" w:space="0" w:color="auto"/>
            </w:tcBorders>
          </w:tcPr>
          <w:p w14:paraId="3AA2F984" w14:textId="77777777" w:rsidR="00CB0E48" w:rsidRPr="009B1322" w:rsidRDefault="00CB0E48" w:rsidP="00A12E52">
            <w:pPr>
              <w:pStyle w:val="Tabletext"/>
              <w:rPr>
                <w:snapToGrid w:val="0"/>
              </w:rPr>
            </w:pPr>
            <w:r w:rsidRPr="009B1322">
              <w:rPr>
                <w:snapToGrid w:val="0"/>
              </w:rPr>
              <w:t>45</w:t>
            </w:r>
          </w:p>
        </w:tc>
        <w:tc>
          <w:tcPr>
            <w:tcW w:w="1417" w:type="pct"/>
            <w:tcBorders>
              <w:top w:val="single" w:sz="4" w:space="0" w:color="auto"/>
              <w:bottom w:val="single" w:sz="4" w:space="0" w:color="auto"/>
            </w:tcBorders>
            <w:vAlign w:val="bottom"/>
          </w:tcPr>
          <w:p w14:paraId="194B1419" w14:textId="77777777" w:rsidR="00CB0E48" w:rsidRPr="009B1322" w:rsidRDefault="00CB0E48" w:rsidP="00A12E52">
            <w:pPr>
              <w:pStyle w:val="Tabletext"/>
              <w:rPr>
                <w:snapToGrid w:val="0"/>
              </w:rPr>
            </w:pPr>
            <w:r w:rsidRPr="00295986">
              <w:t>0</w:t>
            </w:r>
            <w:r w:rsidR="00D7157D">
              <w:t>.</w:t>
            </w:r>
            <w:r w:rsidRPr="00295986">
              <w:t>834</w:t>
            </w:r>
          </w:p>
        </w:tc>
        <w:tc>
          <w:tcPr>
            <w:tcW w:w="1878" w:type="pct"/>
            <w:tcBorders>
              <w:top w:val="single" w:sz="4" w:space="0" w:color="auto"/>
              <w:bottom w:val="single" w:sz="4" w:space="0" w:color="auto"/>
            </w:tcBorders>
            <w:vAlign w:val="bottom"/>
          </w:tcPr>
          <w:p w14:paraId="704EC012" w14:textId="77777777" w:rsidR="00CB0E48" w:rsidRPr="009B1322" w:rsidRDefault="00CB0E48" w:rsidP="00A12E52">
            <w:pPr>
              <w:pStyle w:val="Tabletext"/>
              <w:rPr>
                <w:snapToGrid w:val="0"/>
              </w:rPr>
            </w:pPr>
            <w:r w:rsidRPr="00295986">
              <w:t>0</w:t>
            </w:r>
            <w:r w:rsidR="00D7157D">
              <w:t>.</w:t>
            </w:r>
            <w:r w:rsidRPr="00295986">
              <w:t>310</w:t>
            </w:r>
          </w:p>
        </w:tc>
      </w:tr>
      <w:tr w:rsidR="00CB0E48" w:rsidRPr="009E2595" w14:paraId="76857CB6" w14:textId="77777777" w:rsidTr="00055CFA">
        <w:trPr>
          <w:trHeight w:val="245"/>
          <w:jc w:val="right"/>
        </w:trPr>
        <w:tc>
          <w:tcPr>
            <w:tcW w:w="1705" w:type="pct"/>
            <w:tcBorders>
              <w:top w:val="single" w:sz="4" w:space="0" w:color="auto"/>
              <w:bottom w:val="single" w:sz="4" w:space="0" w:color="auto"/>
            </w:tcBorders>
          </w:tcPr>
          <w:p w14:paraId="5508FE57" w14:textId="77777777" w:rsidR="00CB0E48" w:rsidRPr="009B1322" w:rsidRDefault="00CB0E48" w:rsidP="00A12E52">
            <w:pPr>
              <w:pStyle w:val="Tabletext"/>
              <w:rPr>
                <w:snapToGrid w:val="0"/>
              </w:rPr>
            </w:pPr>
            <w:r w:rsidRPr="009B1322">
              <w:rPr>
                <w:snapToGrid w:val="0"/>
              </w:rPr>
              <w:t>46</w:t>
            </w:r>
          </w:p>
        </w:tc>
        <w:tc>
          <w:tcPr>
            <w:tcW w:w="1417" w:type="pct"/>
            <w:tcBorders>
              <w:top w:val="single" w:sz="4" w:space="0" w:color="auto"/>
              <w:bottom w:val="single" w:sz="4" w:space="0" w:color="auto"/>
            </w:tcBorders>
            <w:vAlign w:val="bottom"/>
          </w:tcPr>
          <w:p w14:paraId="55122E04" w14:textId="77777777" w:rsidR="00CB0E48" w:rsidRPr="009B1322" w:rsidRDefault="00CB0E48" w:rsidP="00A12E52">
            <w:pPr>
              <w:pStyle w:val="Tabletext"/>
              <w:rPr>
                <w:snapToGrid w:val="0"/>
              </w:rPr>
            </w:pPr>
            <w:r w:rsidRPr="00295986">
              <w:t>0</w:t>
            </w:r>
            <w:r w:rsidR="00D7157D">
              <w:t>.</w:t>
            </w:r>
            <w:r w:rsidRPr="00295986">
              <w:t>801</w:t>
            </w:r>
          </w:p>
        </w:tc>
        <w:tc>
          <w:tcPr>
            <w:tcW w:w="1878" w:type="pct"/>
            <w:tcBorders>
              <w:top w:val="single" w:sz="4" w:space="0" w:color="auto"/>
              <w:bottom w:val="single" w:sz="4" w:space="0" w:color="auto"/>
            </w:tcBorders>
            <w:vAlign w:val="bottom"/>
          </w:tcPr>
          <w:p w14:paraId="357C2433" w14:textId="77777777" w:rsidR="00CB0E48" w:rsidRPr="009B1322" w:rsidRDefault="00CB0E48" w:rsidP="00A12E52">
            <w:pPr>
              <w:pStyle w:val="Tabletext"/>
              <w:rPr>
                <w:snapToGrid w:val="0"/>
              </w:rPr>
            </w:pPr>
            <w:r w:rsidRPr="00295986">
              <w:t>0</w:t>
            </w:r>
            <w:r w:rsidR="00D7157D">
              <w:t>.</w:t>
            </w:r>
            <w:r w:rsidRPr="00295986">
              <w:t>283</w:t>
            </w:r>
          </w:p>
        </w:tc>
      </w:tr>
      <w:tr w:rsidR="00CB0E48" w:rsidRPr="009E2595" w14:paraId="5EBAC78F" w14:textId="77777777" w:rsidTr="00055CFA">
        <w:trPr>
          <w:trHeight w:val="245"/>
          <w:jc w:val="right"/>
        </w:trPr>
        <w:tc>
          <w:tcPr>
            <w:tcW w:w="1705" w:type="pct"/>
            <w:tcBorders>
              <w:top w:val="single" w:sz="4" w:space="0" w:color="auto"/>
              <w:bottom w:val="single" w:sz="4" w:space="0" w:color="auto"/>
            </w:tcBorders>
          </w:tcPr>
          <w:p w14:paraId="7A0E3731" w14:textId="77777777" w:rsidR="00CB0E48" w:rsidRPr="009B1322" w:rsidRDefault="00CB0E48" w:rsidP="00A12E52">
            <w:pPr>
              <w:pStyle w:val="Tabletext"/>
              <w:rPr>
                <w:snapToGrid w:val="0"/>
              </w:rPr>
            </w:pPr>
            <w:r w:rsidRPr="009B1322">
              <w:rPr>
                <w:snapToGrid w:val="0"/>
              </w:rPr>
              <w:t>47</w:t>
            </w:r>
          </w:p>
        </w:tc>
        <w:tc>
          <w:tcPr>
            <w:tcW w:w="1417" w:type="pct"/>
            <w:tcBorders>
              <w:top w:val="single" w:sz="4" w:space="0" w:color="auto"/>
              <w:bottom w:val="single" w:sz="4" w:space="0" w:color="auto"/>
            </w:tcBorders>
            <w:vAlign w:val="bottom"/>
          </w:tcPr>
          <w:p w14:paraId="0E68545B" w14:textId="77777777" w:rsidR="00CB0E48" w:rsidRPr="009B1322" w:rsidRDefault="00CB0E48" w:rsidP="00A12E52">
            <w:pPr>
              <w:pStyle w:val="Tabletext"/>
              <w:rPr>
                <w:snapToGrid w:val="0"/>
              </w:rPr>
            </w:pPr>
            <w:r w:rsidRPr="00295986">
              <w:t>0</w:t>
            </w:r>
            <w:r w:rsidR="00D7157D">
              <w:t>.</w:t>
            </w:r>
            <w:r w:rsidRPr="00295986">
              <w:t>768</w:t>
            </w:r>
          </w:p>
        </w:tc>
        <w:tc>
          <w:tcPr>
            <w:tcW w:w="1878" w:type="pct"/>
            <w:tcBorders>
              <w:top w:val="single" w:sz="4" w:space="0" w:color="auto"/>
              <w:bottom w:val="single" w:sz="4" w:space="0" w:color="auto"/>
            </w:tcBorders>
            <w:vAlign w:val="bottom"/>
          </w:tcPr>
          <w:p w14:paraId="5378DCC8" w14:textId="77777777" w:rsidR="00CB0E48" w:rsidRPr="009B1322" w:rsidRDefault="00CB0E48" w:rsidP="00A12E52">
            <w:pPr>
              <w:pStyle w:val="Tabletext"/>
              <w:rPr>
                <w:snapToGrid w:val="0"/>
              </w:rPr>
            </w:pPr>
            <w:r w:rsidRPr="00295986">
              <w:t>0</w:t>
            </w:r>
            <w:r w:rsidR="00D7157D">
              <w:t>.</w:t>
            </w:r>
            <w:r w:rsidRPr="00295986">
              <w:t>257</w:t>
            </w:r>
          </w:p>
        </w:tc>
      </w:tr>
      <w:tr w:rsidR="00CB0E48" w:rsidRPr="009E2595" w14:paraId="32D4B908" w14:textId="77777777" w:rsidTr="00055CFA">
        <w:trPr>
          <w:trHeight w:val="245"/>
          <w:jc w:val="right"/>
        </w:trPr>
        <w:tc>
          <w:tcPr>
            <w:tcW w:w="1705" w:type="pct"/>
            <w:tcBorders>
              <w:top w:val="single" w:sz="4" w:space="0" w:color="auto"/>
              <w:bottom w:val="single" w:sz="4" w:space="0" w:color="auto"/>
            </w:tcBorders>
          </w:tcPr>
          <w:p w14:paraId="3E86B029" w14:textId="77777777" w:rsidR="00CB0E48" w:rsidRPr="009B1322" w:rsidRDefault="00CB0E48" w:rsidP="00A12E52">
            <w:pPr>
              <w:pStyle w:val="Tabletext"/>
              <w:rPr>
                <w:snapToGrid w:val="0"/>
              </w:rPr>
            </w:pPr>
            <w:r w:rsidRPr="009B1322">
              <w:rPr>
                <w:snapToGrid w:val="0"/>
              </w:rPr>
              <w:t>48</w:t>
            </w:r>
          </w:p>
        </w:tc>
        <w:tc>
          <w:tcPr>
            <w:tcW w:w="1417" w:type="pct"/>
            <w:tcBorders>
              <w:top w:val="single" w:sz="4" w:space="0" w:color="auto"/>
              <w:bottom w:val="single" w:sz="4" w:space="0" w:color="auto"/>
            </w:tcBorders>
            <w:vAlign w:val="bottom"/>
          </w:tcPr>
          <w:p w14:paraId="5020EE5C" w14:textId="77777777" w:rsidR="00CB0E48" w:rsidRPr="009B1322" w:rsidRDefault="00CB0E48" w:rsidP="00A12E52">
            <w:pPr>
              <w:pStyle w:val="Tabletext"/>
              <w:rPr>
                <w:snapToGrid w:val="0"/>
              </w:rPr>
            </w:pPr>
            <w:r w:rsidRPr="00295986">
              <w:t>0</w:t>
            </w:r>
            <w:r w:rsidR="00D7157D">
              <w:t>.</w:t>
            </w:r>
            <w:r w:rsidRPr="00295986">
              <w:t>734</w:t>
            </w:r>
          </w:p>
        </w:tc>
        <w:tc>
          <w:tcPr>
            <w:tcW w:w="1878" w:type="pct"/>
            <w:tcBorders>
              <w:top w:val="single" w:sz="4" w:space="0" w:color="auto"/>
              <w:bottom w:val="single" w:sz="4" w:space="0" w:color="auto"/>
            </w:tcBorders>
            <w:vAlign w:val="bottom"/>
          </w:tcPr>
          <w:p w14:paraId="1A65149E" w14:textId="77777777" w:rsidR="00CB0E48" w:rsidRPr="009B1322" w:rsidRDefault="00CB0E48" w:rsidP="00A12E52">
            <w:pPr>
              <w:pStyle w:val="Tabletext"/>
              <w:rPr>
                <w:snapToGrid w:val="0"/>
              </w:rPr>
            </w:pPr>
            <w:r w:rsidRPr="00295986">
              <w:t>0</w:t>
            </w:r>
            <w:r w:rsidR="00D7157D">
              <w:t>.</w:t>
            </w:r>
            <w:r w:rsidRPr="00295986">
              <w:t>230</w:t>
            </w:r>
          </w:p>
        </w:tc>
      </w:tr>
      <w:tr w:rsidR="00CB0E48" w:rsidRPr="009E2595" w14:paraId="314757E9" w14:textId="77777777" w:rsidTr="00055CFA">
        <w:trPr>
          <w:trHeight w:val="245"/>
          <w:jc w:val="right"/>
        </w:trPr>
        <w:tc>
          <w:tcPr>
            <w:tcW w:w="1705" w:type="pct"/>
            <w:tcBorders>
              <w:top w:val="single" w:sz="4" w:space="0" w:color="auto"/>
              <w:bottom w:val="single" w:sz="4" w:space="0" w:color="auto"/>
            </w:tcBorders>
          </w:tcPr>
          <w:p w14:paraId="25CB3443" w14:textId="77777777" w:rsidR="00CB0E48" w:rsidRPr="009B1322" w:rsidRDefault="00CB0E48" w:rsidP="00A12E52">
            <w:pPr>
              <w:pStyle w:val="Tabletext"/>
              <w:rPr>
                <w:snapToGrid w:val="0"/>
              </w:rPr>
            </w:pPr>
            <w:r w:rsidRPr="009B1322">
              <w:rPr>
                <w:snapToGrid w:val="0"/>
              </w:rPr>
              <w:t>49</w:t>
            </w:r>
          </w:p>
        </w:tc>
        <w:tc>
          <w:tcPr>
            <w:tcW w:w="1417" w:type="pct"/>
            <w:tcBorders>
              <w:top w:val="single" w:sz="4" w:space="0" w:color="auto"/>
              <w:bottom w:val="single" w:sz="4" w:space="0" w:color="auto"/>
            </w:tcBorders>
            <w:vAlign w:val="bottom"/>
          </w:tcPr>
          <w:p w14:paraId="7FA0A555" w14:textId="77777777" w:rsidR="00CB0E48" w:rsidRPr="009B1322" w:rsidRDefault="00CB0E48" w:rsidP="00A12E52">
            <w:pPr>
              <w:pStyle w:val="Tabletext"/>
              <w:rPr>
                <w:snapToGrid w:val="0"/>
              </w:rPr>
            </w:pPr>
            <w:r w:rsidRPr="00295986">
              <w:t>0</w:t>
            </w:r>
            <w:r w:rsidR="00D7157D">
              <w:t>.</w:t>
            </w:r>
            <w:r w:rsidRPr="00295986">
              <w:t>701</w:t>
            </w:r>
          </w:p>
        </w:tc>
        <w:tc>
          <w:tcPr>
            <w:tcW w:w="1878" w:type="pct"/>
            <w:tcBorders>
              <w:top w:val="single" w:sz="4" w:space="0" w:color="auto"/>
              <w:bottom w:val="single" w:sz="4" w:space="0" w:color="auto"/>
            </w:tcBorders>
            <w:vAlign w:val="bottom"/>
          </w:tcPr>
          <w:p w14:paraId="50F3BA85" w14:textId="77777777" w:rsidR="00CB0E48" w:rsidRPr="009B1322" w:rsidRDefault="00CB0E48" w:rsidP="00A12E52">
            <w:pPr>
              <w:pStyle w:val="Tabletext"/>
              <w:rPr>
                <w:snapToGrid w:val="0"/>
              </w:rPr>
            </w:pPr>
            <w:r w:rsidRPr="00295986">
              <w:t>0</w:t>
            </w:r>
            <w:r w:rsidR="00D7157D">
              <w:t>.</w:t>
            </w:r>
            <w:r w:rsidRPr="00295986">
              <w:t>203</w:t>
            </w:r>
          </w:p>
        </w:tc>
      </w:tr>
      <w:tr w:rsidR="00CB0E48" w:rsidRPr="009E2595" w14:paraId="6301C448" w14:textId="77777777" w:rsidTr="00055CFA">
        <w:trPr>
          <w:trHeight w:val="245"/>
          <w:jc w:val="right"/>
        </w:trPr>
        <w:tc>
          <w:tcPr>
            <w:tcW w:w="1705" w:type="pct"/>
            <w:tcBorders>
              <w:top w:val="single" w:sz="4" w:space="0" w:color="auto"/>
              <w:bottom w:val="single" w:sz="4" w:space="0" w:color="auto"/>
            </w:tcBorders>
          </w:tcPr>
          <w:p w14:paraId="19044616" w14:textId="77777777" w:rsidR="00CB0E48" w:rsidRPr="009B1322" w:rsidRDefault="00CB0E48" w:rsidP="00A12E52">
            <w:pPr>
              <w:pStyle w:val="Tabletext"/>
              <w:rPr>
                <w:snapToGrid w:val="0"/>
              </w:rPr>
            </w:pPr>
            <w:r w:rsidRPr="009B1322">
              <w:rPr>
                <w:snapToGrid w:val="0"/>
              </w:rPr>
              <w:t>50</w:t>
            </w:r>
          </w:p>
        </w:tc>
        <w:tc>
          <w:tcPr>
            <w:tcW w:w="1417" w:type="pct"/>
            <w:tcBorders>
              <w:top w:val="single" w:sz="4" w:space="0" w:color="auto"/>
              <w:bottom w:val="single" w:sz="4" w:space="0" w:color="auto"/>
            </w:tcBorders>
            <w:vAlign w:val="bottom"/>
          </w:tcPr>
          <w:p w14:paraId="5401758F" w14:textId="77777777" w:rsidR="00CB0E48" w:rsidRPr="009B1322" w:rsidRDefault="00CB0E48" w:rsidP="00A12E52">
            <w:pPr>
              <w:pStyle w:val="Tabletext"/>
              <w:rPr>
                <w:snapToGrid w:val="0"/>
              </w:rPr>
            </w:pPr>
            <w:r w:rsidRPr="00295986">
              <w:t>0</w:t>
            </w:r>
            <w:r w:rsidR="00D7157D">
              <w:t>.</w:t>
            </w:r>
            <w:r w:rsidRPr="00295986">
              <w:t>667</w:t>
            </w:r>
          </w:p>
        </w:tc>
        <w:tc>
          <w:tcPr>
            <w:tcW w:w="1878" w:type="pct"/>
            <w:tcBorders>
              <w:top w:val="single" w:sz="4" w:space="0" w:color="auto"/>
              <w:bottom w:val="single" w:sz="4" w:space="0" w:color="auto"/>
            </w:tcBorders>
            <w:vAlign w:val="bottom"/>
          </w:tcPr>
          <w:p w14:paraId="5707D84C" w14:textId="77777777" w:rsidR="00CB0E48" w:rsidRPr="009B1322" w:rsidRDefault="00CB0E48" w:rsidP="00A12E52">
            <w:pPr>
              <w:pStyle w:val="Tabletext"/>
              <w:rPr>
                <w:snapToGrid w:val="0"/>
              </w:rPr>
            </w:pPr>
            <w:r w:rsidRPr="00295986">
              <w:t>0</w:t>
            </w:r>
            <w:r w:rsidR="00D7157D">
              <w:t>.</w:t>
            </w:r>
            <w:r w:rsidRPr="00295986">
              <w:t>177</w:t>
            </w:r>
          </w:p>
        </w:tc>
      </w:tr>
      <w:tr w:rsidR="00CB0E48" w:rsidRPr="009E2595" w14:paraId="750149A5" w14:textId="77777777" w:rsidTr="00055CFA">
        <w:trPr>
          <w:trHeight w:val="245"/>
          <w:jc w:val="right"/>
        </w:trPr>
        <w:tc>
          <w:tcPr>
            <w:tcW w:w="1705" w:type="pct"/>
            <w:tcBorders>
              <w:top w:val="single" w:sz="4" w:space="0" w:color="auto"/>
              <w:bottom w:val="single" w:sz="4" w:space="0" w:color="auto"/>
            </w:tcBorders>
          </w:tcPr>
          <w:p w14:paraId="55D3F4D7" w14:textId="77777777" w:rsidR="00CB0E48" w:rsidRPr="009B1322" w:rsidRDefault="00CB0E48" w:rsidP="00A12E52">
            <w:pPr>
              <w:pStyle w:val="Tabletext"/>
              <w:rPr>
                <w:snapToGrid w:val="0"/>
              </w:rPr>
            </w:pPr>
            <w:r w:rsidRPr="009B1322">
              <w:rPr>
                <w:snapToGrid w:val="0"/>
              </w:rPr>
              <w:t>51</w:t>
            </w:r>
          </w:p>
        </w:tc>
        <w:tc>
          <w:tcPr>
            <w:tcW w:w="1417" w:type="pct"/>
            <w:tcBorders>
              <w:top w:val="single" w:sz="4" w:space="0" w:color="auto"/>
              <w:bottom w:val="single" w:sz="4" w:space="0" w:color="auto"/>
            </w:tcBorders>
            <w:vAlign w:val="bottom"/>
          </w:tcPr>
          <w:p w14:paraId="3F64D185" w14:textId="77777777" w:rsidR="00CB0E48" w:rsidRPr="009B1322" w:rsidRDefault="00CB0E48" w:rsidP="00A12E52">
            <w:pPr>
              <w:pStyle w:val="Tabletext"/>
              <w:rPr>
                <w:snapToGrid w:val="0"/>
              </w:rPr>
            </w:pPr>
            <w:r w:rsidRPr="00295986">
              <w:t>0</w:t>
            </w:r>
            <w:r w:rsidR="00D7157D">
              <w:t>.</w:t>
            </w:r>
            <w:r w:rsidRPr="00295986">
              <w:t>567</w:t>
            </w:r>
          </w:p>
        </w:tc>
        <w:tc>
          <w:tcPr>
            <w:tcW w:w="1878" w:type="pct"/>
            <w:tcBorders>
              <w:top w:val="single" w:sz="4" w:space="0" w:color="auto"/>
              <w:bottom w:val="single" w:sz="4" w:space="0" w:color="auto"/>
            </w:tcBorders>
            <w:vAlign w:val="bottom"/>
          </w:tcPr>
          <w:p w14:paraId="19C6A6FF" w14:textId="77777777" w:rsidR="00CB0E48" w:rsidRPr="009B1322" w:rsidRDefault="00CB0E48" w:rsidP="00A12E52">
            <w:pPr>
              <w:pStyle w:val="Tabletext"/>
              <w:rPr>
                <w:snapToGrid w:val="0"/>
              </w:rPr>
            </w:pPr>
            <w:r w:rsidRPr="00295986">
              <w:t>0</w:t>
            </w:r>
            <w:r w:rsidR="00D7157D">
              <w:t>.</w:t>
            </w:r>
            <w:r w:rsidRPr="00295986">
              <w:t>150</w:t>
            </w:r>
          </w:p>
        </w:tc>
      </w:tr>
      <w:tr w:rsidR="00CB0E48" w:rsidRPr="009E2595" w14:paraId="7D0BA5B7" w14:textId="77777777" w:rsidTr="00055CFA">
        <w:trPr>
          <w:trHeight w:val="245"/>
          <w:jc w:val="right"/>
        </w:trPr>
        <w:tc>
          <w:tcPr>
            <w:tcW w:w="1705" w:type="pct"/>
            <w:tcBorders>
              <w:top w:val="single" w:sz="4" w:space="0" w:color="auto"/>
              <w:bottom w:val="single" w:sz="4" w:space="0" w:color="auto"/>
            </w:tcBorders>
          </w:tcPr>
          <w:p w14:paraId="4D7323F2" w14:textId="77777777" w:rsidR="00CB0E48" w:rsidRPr="009B1322" w:rsidRDefault="00CB0E48" w:rsidP="00A12E52">
            <w:pPr>
              <w:pStyle w:val="Tabletext"/>
              <w:rPr>
                <w:snapToGrid w:val="0"/>
              </w:rPr>
            </w:pPr>
            <w:r w:rsidRPr="009B1322">
              <w:rPr>
                <w:snapToGrid w:val="0"/>
              </w:rPr>
              <w:t>52</w:t>
            </w:r>
          </w:p>
        </w:tc>
        <w:tc>
          <w:tcPr>
            <w:tcW w:w="1417" w:type="pct"/>
            <w:tcBorders>
              <w:top w:val="single" w:sz="4" w:space="0" w:color="auto"/>
              <w:bottom w:val="single" w:sz="4" w:space="0" w:color="auto"/>
            </w:tcBorders>
            <w:vAlign w:val="bottom"/>
          </w:tcPr>
          <w:p w14:paraId="5536CF0F" w14:textId="77777777" w:rsidR="00CB0E48" w:rsidRPr="009B1322" w:rsidRDefault="00CB0E48" w:rsidP="00A12E52">
            <w:pPr>
              <w:pStyle w:val="Tabletext"/>
              <w:rPr>
                <w:snapToGrid w:val="0"/>
              </w:rPr>
            </w:pPr>
            <w:r w:rsidRPr="00295986">
              <w:t>0</w:t>
            </w:r>
            <w:r w:rsidR="00D7157D">
              <w:t>.</w:t>
            </w:r>
            <w:r w:rsidRPr="00295986">
              <w:t>467</w:t>
            </w:r>
          </w:p>
        </w:tc>
        <w:tc>
          <w:tcPr>
            <w:tcW w:w="1878" w:type="pct"/>
            <w:tcBorders>
              <w:top w:val="single" w:sz="4" w:space="0" w:color="auto"/>
              <w:bottom w:val="single" w:sz="4" w:space="0" w:color="auto"/>
            </w:tcBorders>
            <w:vAlign w:val="bottom"/>
          </w:tcPr>
          <w:p w14:paraId="32B24B9D" w14:textId="77777777" w:rsidR="00CB0E48" w:rsidRPr="009B1322" w:rsidRDefault="00CB0E48" w:rsidP="00A12E52">
            <w:pPr>
              <w:pStyle w:val="Tabletext"/>
              <w:rPr>
                <w:snapToGrid w:val="0"/>
              </w:rPr>
            </w:pPr>
            <w:r w:rsidRPr="00295986">
              <w:t>0</w:t>
            </w:r>
            <w:r w:rsidR="00D7157D">
              <w:t>.</w:t>
            </w:r>
            <w:r w:rsidRPr="00295986">
              <w:t>124</w:t>
            </w:r>
          </w:p>
        </w:tc>
      </w:tr>
      <w:tr w:rsidR="00CB0E48" w:rsidRPr="009E2595" w14:paraId="5526935A" w14:textId="77777777" w:rsidTr="00055CFA">
        <w:trPr>
          <w:trHeight w:val="245"/>
          <w:jc w:val="right"/>
        </w:trPr>
        <w:tc>
          <w:tcPr>
            <w:tcW w:w="1705" w:type="pct"/>
            <w:tcBorders>
              <w:top w:val="single" w:sz="4" w:space="0" w:color="auto"/>
              <w:bottom w:val="single" w:sz="4" w:space="0" w:color="auto"/>
            </w:tcBorders>
          </w:tcPr>
          <w:p w14:paraId="42E15BF6" w14:textId="77777777" w:rsidR="00CB0E48" w:rsidRPr="009B1322" w:rsidRDefault="00CB0E48" w:rsidP="00A12E52">
            <w:pPr>
              <w:pStyle w:val="Tabletext"/>
              <w:rPr>
                <w:snapToGrid w:val="0"/>
              </w:rPr>
            </w:pPr>
            <w:r w:rsidRPr="009B1322">
              <w:rPr>
                <w:snapToGrid w:val="0"/>
              </w:rPr>
              <w:t>53</w:t>
            </w:r>
          </w:p>
        </w:tc>
        <w:tc>
          <w:tcPr>
            <w:tcW w:w="1417" w:type="pct"/>
            <w:tcBorders>
              <w:top w:val="single" w:sz="4" w:space="0" w:color="auto"/>
              <w:bottom w:val="single" w:sz="4" w:space="0" w:color="auto"/>
            </w:tcBorders>
            <w:vAlign w:val="bottom"/>
          </w:tcPr>
          <w:p w14:paraId="5A91B738" w14:textId="77777777" w:rsidR="00CB0E48" w:rsidRPr="009B1322" w:rsidRDefault="00CB0E48" w:rsidP="00A12E52">
            <w:pPr>
              <w:pStyle w:val="Tabletext"/>
              <w:rPr>
                <w:snapToGrid w:val="0"/>
              </w:rPr>
            </w:pPr>
            <w:r w:rsidRPr="00295986">
              <w:t>0</w:t>
            </w:r>
            <w:r w:rsidR="00D7157D">
              <w:t>.</w:t>
            </w:r>
            <w:r w:rsidRPr="00295986">
              <w:t>367</w:t>
            </w:r>
          </w:p>
        </w:tc>
        <w:tc>
          <w:tcPr>
            <w:tcW w:w="1878" w:type="pct"/>
            <w:tcBorders>
              <w:top w:val="single" w:sz="4" w:space="0" w:color="auto"/>
              <w:bottom w:val="single" w:sz="4" w:space="0" w:color="auto"/>
            </w:tcBorders>
            <w:vAlign w:val="bottom"/>
          </w:tcPr>
          <w:p w14:paraId="232ECACB" w14:textId="77777777" w:rsidR="00CB0E48" w:rsidRPr="009B1322" w:rsidRDefault="00CB0E48" w:rsidP="00A12E52">
            <w:pPr>
              <w:pStyle w:val="Tabletext"/>
              <w:rPr>
                <w:snapToGrid w:val="0"/>
              </w:rPr>
            </w:pPr>
            <w:r w:rsidRPr="00295986">
              <w:t>0</w:t>
            </w:r>
            <w:r w:rsidR="00D7157D">
              <w:t>.</w:t>
            </w:r>
            <w:r w:rsidRPr="00295986">
              <w:t>097</w:t>
            </w:r>
          </w:p>
        </w:tc>
      </w:tr>
      <w:tr w:rsidR="00CB0E48" w:rsidRPr="009E2595" w14:paraId="026D5489" w14:textId="77777777" w:rsidTr="00055CFA">
        <w:trPr>
          <w:trHeight w:val="245"/>
          <w:jc w:val="right"/>
        </w:trPr>
        <w:tc>
          <w:tcPr>
            <w:tcW w:w="1705" w:type="pct"/>
            <w:tcBorders>
              <w:top w:val="single" w:sz="4" w:space="0" w:color="auto"/>
              <w:bottom w:val="single" w:sz="4" w:space="0" w:color="auto"/>
            </w:tcBorders>
          </w:tcPr>
          <w:p w14:paraId="43EFDA15" w14:textId="77777777" w:rsidR="00CB0E48" w:rsidRPr="009B1322" w:rsidRDefault="00CB0E48" w:rsidP="00A12E52">
            <w:pPr>
              <w:pStyle w:val="Tabletext"/>
              <w:rPr>
                <w:snapToGrid w:val="0"/>
              </w:rPr>
            </w:pPr>
            <w:r w:rsidRPr="009B1322">
              <w:rPr>
                <w:snapToGrid w:val="0"/>
              </w:rPr>
              <w:t>54</w:t>
            </w:r>
          </w:p>
        </w:tc>
        <w:tc>
          <w:tcPr>
            <w:tcW w:w="1417" w:type="pct"/>
            <w:tcBorders>
              <w:top w:val="single" w:sz="4" w:space="0" w:color="auto"/>
              <w:bottom w:val="single" w:sz="4" w:space="0" w:color="auto"/>
            </w:tcBorders>
            <w:vAlign w:val="bottom"/>
          </w:tcPr>
          <w:p w14:paraId="638E312B" w14:textId="77777777" w:rsidR="00CB0E48" w:rsidRPr="009B1322" w:rsidRDefault="00CB0E48" w:rsidP="00A12E52">
            <w:pPr>
              <w:pStyle w:val="Tabletext"/>
              <w:rPr>
                <w:snapToGrid w:val="0"/>
              </w:rPr>
            </w:pPr>
            <w:r w:rsidRPr="00295986">
              <w:t>0</w:t>
            </w:r>
            <w:r w:rsidR="00D7157D">
              <w:t>.</w:t>
            </w:r>
            <w:r w:rsidRPr="00295986">
              <w:t>267</w:t>
            </w:r>
          </w:p>
        </w:tc>
        <w:tc>
          <w:tcPr>
            <w:tcW w:w="1878" w:type="pct"/>
            <w:tcBorders>
              <w:top w:val="single" w:sz="4" w:space="0" w:color="auto"/>
              <w:bottom w:val="single" w:sz="4" w:space="0" w:color="auto"/>
            </w:tcBorders>
            <w:vAlign w:val="bottom"/>
          </w:tcPr>
          <w:p w14:paraId="61011AC8" w14:textId="77777777" w:rsidR="00CB0E48" w:rsidRPr="009B1322" w:rsidRDefault="00CB0E48" w:rsidP="00A12E52">
            <w:pPr>
              <w:pStyle w:val="Tabletext"/>
              <w:rPr>
                <w:snapToGrid w:val="0"/>
              </w:rPr>
            </w:pPr>
            <w:r w:rsidRPr="00295986">
              <w:t>0</w:t>
            </w:r>
            <w:r w:rsidR="00D7157D">
              <w:t>.</w:t>
            </w:r>
            <w:r w:rsidRPr="00295986">
              <w:t>071</w:t>
            </w:r>
          </w:p>
        </w:tc>
      </w:tr>
      <w:tr w:rsidR="00CB0E48" w:rsidRPr="009E2595" w14:paraId="575ED4A4" w14:textId="77777777" w:rsidTr="00055CFA">
        <w:trPr>
          <w:trHeight w:val="245"/>
          <w:jc w:val="right"/>
        </w:trPr>
        <w:tc>
          <w:tcPr>
            <w:tcW w:w="1705" w:type="pct"/>
            <w:tcBorders>
              <w:top w:val="single" w:sz="4" w:space="0" w:color="auto"/>
              <w:bottom w:val="single" w:sz="12" w:space="0" w:color="auto"/>
            </w:tcBorders>
          </w:tcPr>
          <w:p w14:paraId="3750B222" w14:textId="77777777" w:rsidR="00CB0E48" w:rsidRPr="009B1322" w:rsidRDefault="00CB0E48" w:rsidP="00A12E52">
            <w:pPr>
              <w:pStyle w:val="Tabletext"/>
              <w:rPr>
                <w:snapToGrid w:val="0"/>
              </w:rPr>
            </w:pPr>
            <w:r w:rsidRPr="009B1322">
              <w:rPr>
                <w:snapToGrid w:val="0"/>
              </w:rPr>
              <w:t>55 and over</w:t>
            </w:r>
          </w:p>
        </w:tc>
        <w:tc>
          <w:tcPr>
            <w:tcW w:w="1417" w:type="pct"/>
            <w:tcBorders>
              <w:top w:val="single" w:sz="4" w:space="0" w:color="auto"/>
              <w:bottom w:val="single" w:sz="12" w:space="0" w:color="auto"/>
            </w:tcBorders>
            <w:vAlign w:val="bottom"/>
          </w:tcPr>
          <w:p w14:paraId="2DCE9C32" w14:textId="77777777" w:rsidR="00CB0E48" w:rsidRPr="009B1322" w:rsidRDefault="00CB0E48" w:rsidP="00A12E52">
            <w:pPr>
              <w:pStyle w:val="Tabletext"/>
              <w:rPr>
                <w:snapToGrid w:val="0"/>
              </w:rPr>
            </w:pPr>
            <w:r w:rsidRPr="00295986">
              <w:t>0</w:t>
            </w:r>
            <w:r w:rsidR="00D7157D">
              <w:t>.</w:t>
            </w:r>
            <w:r w:rsidRPr="00295986">
              <w:t>167</w:t>
            </w:r>
          </w:p>
        </w:tc>
        <w:tc>
          <w:tcPr>
            <w:tcW w:w="1878" w:type="pct"/>
            <w:tcBorders>
              <w:top w:val="single" w:sz="4" w:space="0" w:color="auto"/>
              <w:bottom w:val="single" w:sz="12" w:space="0" w:color="auto"/>
            </w:tcBorders>
            <w:vAlign w:val="bottom"/>
          </w:tcPr>
          <w:p w14:paraId="6A4AEC79" w14:textId="77777777" w:rsidR="00CB0E48" w:rsidRPr="009B1322" w:rsidRDefault="00CB0E48" w:rsidP="00A12E52">
            <w:pPr>
              <w:pStyle w:val="Tabletext"/>
              <w:rPr>
                <w:snapToGrid w:val="0"/>
              </w:rPr>
            </w:pPr>
            <w:r w:rsidRPr="00295986">
              <w:t>0</w:t>
            </w:r>
            <w:r w:rsidR="00D7157D">
              <w:t>.</w:t>
            </w:r>
            <w:r w:rsidRPr="00295986">
              <w:t>044</w:t>
            </w:r>
          </w:p>
        </w:tc>
      </w:tr>
    </w:tbl>
    <w:p w14:paraId="6C108CFD" w14:textId="221F0EEE" w:rsidR="00647C6B" w:rsidRPr="00A058B6" w:rsidRDefault="00D7157D" w:rsidP="00647C6B">
      <w:pPr>
        <w:pStyle w:val="ActHead5"/>
      </w:pPr>
      <w:bookmarkStart w:id="263" w:name="_Toc188350741"/>
      <w:r w:rsidRPr="00423C34">
        <w:rPr>
          <w:rStyle w:val="CharSectno"/>
        </w:rPr>
        <w:t>25</w:t>
      </w:r>
      <w:r w:rsidR="00647C6B" w:rsidRPr="00A058B6">
        <w:t xml:space="preserve">  Valuation factors—10</w:t>
      </w:r>
      <w:r w:rsidR="001952B3">
        <w:noBreakHyphen/>
      </w:r>
      <w:r w:rsidR="00647C6B" w:rsidRPr="00A058B6">
        <w:t>year guarantee period—CPI indexed pension</w:t>
      </w:r>
      <w:bookmarkEnd w:id="263"/>
    </w:p>
    <w:p w14:paraId="51FDB7F3"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0D86D0CE" w14:textId="07890327"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0805150E" w14:textId="77777777" w:rsidR="00647C6B" w:rsidRPr="00A058B6" w:rsidRDefault="00647C6B" w:rsidP="00647C6B">
      <w:pPr>
        <w:pStyle w:val="paragraph"/>
      </w:pPr>
      <w:r w:rsidRPr="00A058B6">
        <w:tab/>
        <w:t>(b)</w:t>
      </w:r>
      <w:r w:rsidRPr="00A058B6">
        <w:tab/>
        <w:t>is indexed in accordance with the consumer price index</w:t>
      </w:r>
      <w:r w:rsidR="00D7157D">
        <w:t>.</w:t>
      </w:r>
    </w:p>
    <w:p w14:paraId="46055FA0"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1A1E99B3" w14:textId="77777777" w:rsidTr="00963115">
        <w:trPr>
          <w:cantSplit/>
          <w:trHeight w:val="375"/>
          <w:tblHeader/>
          <w:jc w:val="right"/>
        </w:trPr>
        <w:tc>
          <w:tcPr>
            <w:tcW w:w="1705" w:type="pct"/>
            <w:vMerge w:val="restart"/>
            <w:tcBorders>
              <w:top w:val="single" w:sz="12" w:space="0" w:color="auto"/>
              <w:bottom w:val="single" w:sz="12" w:space="0" w:color="auto"/>
            </w:tcBorders>
          </w:tcPr>
          <w:p w14:paraId="5732570A"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4141F346" w14:textId="007C638C"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period—CPI indexed pension</w:t>
            </w:r>
          </w:p>
        </w:tc>
      </w:tr>
      <w:tr w:rsidR="00647C6B" w:rsidRPr="00A058B6" w14:paraId="13CDF686" w14:textId="77777777" w:rsidTr="00963115">
        <w:trPr>
          <w:cantSplit/>
          <w:trHeight w:val="60"/>
          <w:tblHeader/>
          <w:jc w:val="right"/>
        </w:trPr>
        <w:tc>
          <w:tcPr>
            <w:tcW w:w="1705" w:type="pct"/>
            <w:vMerge/>
            <w:tcBorders>
              <w:bottom w:val="single" w:sz="12" w:space="0" w:color="auto"/>
            </w:tcBorders>
          </w:tcPr>
          <w:p w14:paraId="22FB36A1" w14:textId="77777777" w:rsidR="00647C6B" w:rsidRPr="00A058B6" w:rsidRDefault="00647C6B" w:rsidP="00963115">
            <w:pPr>
              <w:pStyle w:val="TableHeading"/>
              <w:rPr>
                <w:snapToGrid w:val="0"/>
              </w:rPr>
            </w:pPr>
          </w:p>
        </w:tc>
        <w:tc>
          <w:tcPr>
            <w:tcW w:w="1429" w:type="pct"/>
            <w:tcBorders>
              <w:bottom w:val="single" w:sz="12" w:space="0" w:color="auto"/>
            </w:tcBorders>
          </w:tcPr>
          <w:p w14:paraId="1A6B86B9"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2A1C1E95" w14:textId="77777777" w:rsidR="00647C6B" w:rsidRPr="00A058B6" w:rsidRDefault="00647C6B" w:rsidP="00963115">
            <w:pPr>
              <w:pStyle w:val="TableHeading"/>
              <w:rPr>
                <w:snapToGrid w:val="0"/>
              </w:rPr>
            </w:pPr>
            <w:r w:rsidRPr="00A058B6">
              <w:rPr>
                <w:snapToGrid w:val="0"/>
              </w:rPr>
              <w:t>Female</w:t>
            </w:r>
          </w:p>
        </w:tc>
      </w:tr>
      <w:tr w:rsidR="00892335" w:rsidRPr="009E2595" w14:paraId="43B0C43A" w14:textId="77777777" w:rsidTr="00055CFA">
        <w:trPr>
          <w:trHeight w:val="245"/>
          <w:jc w:val="right"/>
        </w:trPr>
        <w:tc>
          <w:tcPr>
            <w:tcW w:w="1705" w:type="pct"/>
            <w:tcBorders>
              <w:top w:val="single" w:sz="12" w:space="0" w:color="auto"/>
              <w:bottom w:val="single" w:sz="4" w:space="0" w:color="auto"/>
            </w:tcBorders>
          </w:tcPr>
          <w:p w14:paraId="5F773597" w14:textId="77777777" w:rsidR="00892335" w:rsidRPr="009B1322" w:rsidRDefault="00892335" w:rsidP="00A12E52">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7B4FC38F" w14:textId="77777777" w:rsidR="00892335" w:rsidRPr="009B1322" w:rsidRDefault="00892335" w:rsidP="00A12E52">
            <w:pPr>
              <w:pStyle w:val="Tabletext"/>
              <w:rPr>
                <w:snapToGrid w:val="0"/>
              </w:rPr>
            </w:pPr>
            <w:r w:rsidRPr="00295986">
              <w:t>19</w:t>
            </w:r>
            <w:r w:rsidR="00D7157D">
              <w:t>.</w:t>
            </w:r>
            <w:r w:rsidRPr="00295986">
              <w:t>7277</w:t>
            </w:r>
          </w:p>
        </w:tc>
        <w:tc>
          <w:tcPr>
            <w:tcW w:w="1866" w:type="pct"/>
            <w:tcBorders>
              <w:top w:val="single" w:sz="12" w:space="0" w:color="auto"/>
              <w:bottom w:val="single" w:sz="4" w:space="0" w:color="auto"/>
            </w:tcBorders>
            <w:vAlign w:val="center"/>
          </w:tcPr>
          <w:p w14:paraId="3E0E3FC2" w14:textId="77777777" w:rsidR="00892335" w:rsidRPr="009B1322" w:rsidRDefault="00892335" w:rsidP="00A12E52">
            <w:pPr>
              <w:pStyle w:val="Tabletext"/>
              <w:rPr>
                <w:snapToGrid w:val="0"/>
              </w:rPr>
            </w:pPr>
            <w:r w:rsidRPr="00295986">
              <w:t>20</w:t>
            </w:r>
            <w:r w:rsidR="00D7157D">
              <w:t>.</w:t>
            </w:r>
            <w:r w:rsidRPr="00295986">
              <w:t>5048</w:t>
            </w:r>
          </w:p>
        </w:tc>
      </w:tr>
      <w:tr w:rsidR="00892335" w:rsidRPr="009E2595" w14:paraId="5CBD8416" w14:textId="77777777" w:rsidTr="00055CFA">
        <w:trPr>
          <w:trHeight w:val="245"/>
          <w:jc w:val="right"/>
        </w:trPr>
        <w:tc>
          <w:tcPr>
            <w:tcW w:w="1705" w:type="pct"/>
            <w:tcBorders>
              <w:top w:val="single" w:sz="4" w:space="0" w:color="auto"/>
              <w:bottom w:val="single" w:sz="4" w:space="0" w:color="auto"/>
            </w:tcBorders>
          </w:tcPr>
          <w:p w14:paraId="6F64BB3C" w14:textId="77777777" w:rsidR="00892335" w:rsidRPr="009B1322" w:rsidRDefault="00892335" w:rsidP="00A12E52">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066FE8A8" w14:textId="77777777" w:rsidR="00892335" w:rsidRPr="009B1322" w:rsidRDefault="00892335" w:rsidP="00A12E52">
            <w:pPr>
              <w:pStyle w:val="Tabletext"/>
              <w:rPr>
                <w:snapToGrid w:val="0"/>
              </w:rPr>
            </w:pPr>
            <w:r w:rsidRPr="00295986">
              <w:t>19</w:t>
            </w:r>
            <w:r w:rsidR="00D7157D">
              <w:t>.</w:t>
            </w:r>
            <w:r w:rsidRPr="00295986">
              <w:t>4010</w:t>
            </w:r>
          </w:p>
        </w:tc>
        <w:tc>
          <w:tcPr>
            <w:tcW w:w="1866" w:type="pct"/>
            <w:tcBorders>
              <w:top w:val="single" w:sz="4" w:space="0" w:color="auto"/>
              <w:bottom w:val="single" w:sz="4" w:space="0" w:color="auto"/>
            </w:tcBorders>
            <w:vAlign w:val="center"/>
          </w:tcPr>
          <w:p w14:paraId="0E3D3240" w14:textId="77777777" w:rsidR="00892335" w:rsidRPr="009B1322" w:rsidRDefault="00892335" w:rsidP="00A12E52">
            <w:pPr>
              <w:pStyle w:val="Tabletext"/>
              <w:rPr>
                <w:snapToGrid w:val="0"/>
              </w:rPr>
            </w:pPr>
            <w:r w:rsidRPr="00295986">
              <w:t>20</w:t>
            </w:r>
            <w:r w:rsidR="00D7157D">
              <w:t>.</w:t>
            </w:r>
            <w:r w:rsidRPr="00295986">
              <w:t>1934</w:t>
            </w:r>
          </w:p>
        </w:tc>
      </w:tr>
      <w:tr w:rsidR="00892335" w:rsidRPr="009E2595" w14:paraId="4409A6EF" w14:textId="77777777" w:rsidTr="00055CFA">
        <w:trPr>
          <w:trHeight w:val="245"/>
          <w:jc w:val="right"/>
        </w:trPr>
        <w:tc>
          <w:tcPr>
            <w:tcW w:w="1705" w:type="pct"/>
            <w:tcBorders>
              <w:top w:val="single" w:sz="4" w:space="0" w:color="auto"/>
              <w:bottom w:val="single" w:sz="4" w:space="0" w:color="auto"/>
            </w:tcBorders>
          </w:tcPr>
          <w:p w14:paraId="6D811ABA" w14:textId="77777777" w:rsidR="00892335" w:rsidRPr="009B1322" w:rsidRDefault="00892335" w:rsidP="00A12E52">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0CEB5081" w14:textId="77777777" w:rsidR="00892335" w:rsidRPr="009B1322" w:rsidRDefault="00892335" w:rsidP="00A12E52">
            <w:pPr>
              <w:pStyle w:val="Tabletext"/>
              <w:rPr>
                <w:snapToGrid w:val="0"/>
              </w:rPr>
            </w:pPr>
            <w:r w:rsidRPr="00295986">
              <w:t>19</w:t>
            </w:r>
            <w:r w:rsidR="00D7157D">
              <w:t>.</w:t>
            </w:r>
            <w:r w:rsidRPr="00295986">
              <w:t>0643</w:t>
            </w:r>
          </w:p>
        </w:tc>
        <w:tc>
          <w:tcPr>
            <w:tcW w:w="1866" w:type="pct"/>
            <w:tcBorders>
              <w:top w:val="single" w:sz="4" w:space="0" w:color="auto"/>
              <w:bottom w:val="single" w:sz="4" w:space="0" w:color="auto"/>
            </w:tcBorders>
            <w:vAlign w:val="center"/>
          </w:tcPr>
          <w:p w14:paraId="3A7C0CF3" w14:textId="77777777" w:rsidR="00892335" w:rsidRPr="009B1322" w:rsidRDefault="00892335" w:rsidP="00A12E52">
            <w:pPr>
              <w:pStyle w:val="Tabletext"/>
              <w:rPr>
                <w:snapToGrid w:val="0"/>
              </w:rPr>
            </w:pPr>
            <w:r w:rsidRPr="00295986">
              <w:t>19</w:t>
            </w:r>
            <w:r w:rsidR="00D7157D">
              <w:t>.</w:t>
            </w:r>
            <w:r w:rsidRPr="00295986">
              <w:t>8729</w:t>
            </w:r>
          </w:p>
        </w:tc>
      </w:tr>
      <w:tr w:rsidR="00892335" w:rsidRPr="009E2595" w14:paraId="4988A7C5" w14:textId="77777777" w:rsidTr="00055CFA">
        <w:trPr>
          <w:trHeight w:val="245"/>
          <w:jc w:val="right"/>
        </w:trPr>
        <w:tc>
          <w:tcPr>
            <w:tcW w:w="1705" w:type="pct"/>
            <w:tcBorders>
              <w:top w:val="single" w:sz="4" w:space="0" w:color="auto"/>
              <w:bottom w:val="single" w:sz="4" w:space="0" w:color="auto"/>
            </w:tcBorders>
          </w:tcPr>
          <w:p w14:paraId="415604CD" w14:textId="77777777" w:rsidR="00892335" w:rsidRPr="009B1322" w:rsidRDefault="00892335" w:rsidP="00A12E52">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1C030E7B" w14:textId="77777777" w:rsidR="00892335" w:rsidRPr="009B1322" w:rsidRDefault="00892335" w:rsidP="00A12E52">
            <w:pPr>
              <w:pStyle w:val="Tabletext"/>
              <w:rPr>
                <w:snapToGrid w:val="0"/>
              </w:rPr>
            </w:pPr>
            <w:r w:rsidRPr="00295986">
              <w:t>18</w:t>
            </w:r>
            <w:r w:rsidR="00D7157D">
              <w:t>.</w:t>
            </w:r>
            <w:r w:rsidRPr="00295986">
              <w:t>7174</w:t>
            </w:r>
          </w:p>
        </w:tc>
        <w:tc>
          <w:tcPr>
            <w:tcW w:w="1866" w:type="pct"/>
            <w:tcBorders>
              <w:top w:val="single" w:sz="4" w:space="0" w:color="auto"/>
              <w:bottom w:val="single" w:sz="4" w:space="0" w:color="auto"/>
            </w:tcBorders>
            <w:vAlign w:val="center"/>
          </w:tcPr>
          <w:p w14:paraId="3C4F4EA3" w14:textId="77777777" w:rsidR="00892335" w:rsidRPr="009B1322" w:rsidRDefault="00892335" w:rsidP="00A12E52">
            <w:pPr>
              <w:pStyle w:val="Tabletext"/>
              <w:rPr>
                <w:snapToGrid w:val="0"/>
              </w:rPr>
            </w:pPr>
            <w:r w:rsidRPr="00295986">
              <w:t>19</w:t>
            </w:r>
            <w:r w:rsidR="00D7157D">
              <w:t>.</w:t>
            </w:r>
            <w:r w:rsidRPr="00295986">
              <w:t>5428</w:t>
            </w:r>
          </w:p>
        </w:tc>
      </w:tr>
      <w:tr w:rsidR="00892335" w:rsidRPr="009E2595" w14:paraId="4CA576F8" w14:textId="77777777" w:rsidTr="00055CFA">
        <w:trPr>
          <w:trHeight w:val="245"/>
          <w:jc w:val="right"/>
        </w:trPr>
        <w:tc>
          <w:tcPr>
            <w:tcW w:w="1705" w:type="pct"/>
            <w:tcBorders>
              <w:top w:val="single" w:sz="4" w:space="0" w:color="auto"/>
              <w:bottom w:val="single" w:sz="4" w:space="0" w:color="auto"/>
            </w:tcBorders>
          </w:tcPr>
          <w:p w14:paraId="1A990144" w14:textId="77777777" w:rsidR="00892335" w:rsidRPr="009B1322" w:rsidRDefault="00892335" w:rsidP="00A12E52">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7AD2593A" w14:textId="77777777" w:rsidR="00892335" w:rsidRPr="009B1322" w:rsidRDefault="00892335" w:rsidP="00A12E52">
            <w:pPr>
              <w:pStyle w:val="Tabletext"/>
              <w:rPr>
                <w:snapToGrid w:val="0"/>
              </w:rPr>
            </w:pPr>
            <w:r w:rsidRPr="00295986">
              <w:t>18</w:t>
            </w:r>
            <w:r w:rsidR="00D7157D">
              <w:t>.</w:t>
            </w:r>
            <w:r w:rsidRPr="00295986">
              <w:t>3603</w:t>
            </w:r>
          </w:p>
        </w:tc>
        <w:tc>
          <w:tcPr>
            <w:tcW w:w="1866" w:type="pct"/>
            <w:tcBorders>
              <w:top w:val="single" w:sz="4" w:space="0" w:color="auto"/>
              <w:bottom w:val="single" w:sz="4" w:space="0" w:color="auto"/>
            </w:tcBorders>
            <w:vAlign w:val="center"/>
          </w:tcPr>
          <w:p w14:paraId="72B609DE" w14:textId="77777777" w:rsidR="00892335" w:rsidRPr="009B1322" w:rsidRDefault="00892335" w:rsidP="00A12E52">
            <w:pPr>
              <w:pStyle w:val="Tabletext"/>
              <w:rPr>
                <w:snapToGrid w:val="0"/>
              </w:rPr>
            </w:pPr>
            <w:r w:rsidRPr="00295986">
              <w:t>19</w:t>
            </w:r>
            <w:r w:rsidR="00D7157D">
              <w:t>.</w:t>
            </w:r>
            <w:r w:rsidRPr="00295986">
              <w:t>2029</w:t>
            </w:r>
          </w:p>
        </w:tc>
      </w:tr>
      <w:tr w:rsidR="00892335" w:rsidRPr="009E2595" w14:paraId="6328F5E4" w14:textId="77777777" w:rsidTr="00055CFA">
        <w:trPr>
          <w:trHeight w:val="245"/>
          <w:jc w:val="right"/>
        </w:trPr>
        <w:tc>
          <w:tcPr>
            <w:tcW w:w="1705" w:type="pct"/>
            <w:tcBorders>
              <w:top w:val="single" w:sz="4" w:space="0" w:color="auto"/>
              <w:bottom w:val="single" w:sz="4" w:space="0" w:color="auto"/>
            </w:tcBorders>
          </w:tcPr>
          <w:p w14:paraId="02D1E289" w14:textId="77777777" w:rsidR="00892335" w:rsidRPr="009B1322" w:rsidRDefault="00892335" w:rsidP="00A12E52">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48EC5E76" w14:textId="77777777" w:rsidR="00892335" w:rsidRPr="009B1322" w:rsidRDefault="00892335" w:rsidP="00A12E52">
            <w:pPr>
              <w:pStyle w:val="Tabletext"/>
              <w:rPr>
                <w:snapToGrid w:val="0"/>
              </w:rPr>
            </w:pPr>
            <w:r w:rsidRPr="00295986">
              <w:t>17</w:t>
            </w:r>
            <w:r w:rsidR="00D7157D">
              <w:t>.</w:t>
            </w:r>
            <w:r w:rsidRPr="00295986">
              <w:t>9934</w:t>
            </w:r>
          </w:p>
        </w:tc>
        <w:tc>
          <w:tcPr>
            <w:tcW w:w="1866" w:type="pct"/>
            <w:tcBorders>
              <w:top w:val="single" w:sz="4" w:space="0" w:color="auto"/>
              <w:bottom w:val="single" w:sz="4" w:space="0" w:color="auto"/>
            </w:tcBorders>
            <w:vAlign w:val="center"/>
          </w:tcPr>
          <w:p w14:paraId="2EF0B3A8" w14:textId="77777777" w:rsidR="00892335" w:rsidRPr="009B1322" w:rsidRDefault="00892335" w:rsidP="00A12E52">
            <w:pPr>
              <w:pStyle w:val="Tabletext"/>
              <w:rPr>
                <w:snapToGrid w:val="0"/>
              </w:rPr>
            </w:pPr>
            <w:r w:rsidRPr="00295986">
              <w:t>18</w:t>
            </w:r>
            <w:r w:rsidR="00D7157D">
              <w:t>.</w:t>
            </w:r>
            <w:r w:rsidRPr="00295986">
              <w:t>8529</w:t>
            </w:r>
          </w:p>
        </w:tc>
      </w:tr>
      <w:tr w:rsidR="00892335" w:rsidRPr="009E2595" w14:paraId="63C024AD" w14:textId="77777777" w:rsidTr="00055CFA">
        <w:trPr>
          <w:trHeight w:val="245"/>
          <w:jc w:val="right"/>
        </w:trPr>
        <w:tc>
          <w:tcPr>
            <w:tcW w:w="1705" w:type="pct"/>
            <w:tcBorders>
              <w:top w:val="single" w:sz="4" w:space="0" w:color="auto"/>
              <w:bottom w:val="single" w:sz="4" w:space="0" w:color="auto"/>
            </w:tcBorders>
          </w:tcPr>
          <w:p w14:paraId="356E1F12" w14:textId="77777777" w:rsidR="00892335" w:rsidRPr="009B1322" w:rsidRDefault="00892335" w:rsidP="00A12E52">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5CAAB6F3" w14:textId="77777777" w:rsidR="00892335" w:rsidRPr="009B1322" w:rsidRDefault="00892335" w:rsidP="00A12E52">
            <w:pPr>
              <w:pStyle w:val="Tabletext"/>
              <w:rPr>
                <w:snapToGrid w:val="0"/>
              </w:rPr>
            </w:pPr>
            <w:r w:rsidRPr="00295986">
              <w:t>17</w:t>
            </w:r>
            <w:r w:rsidR="00D7157D">
              <w:t>.</w:t>
            </w:r>
            <w:r w:rsidRPr="00295986">
              <w:t>6168</w:t>
            </w:r>
          </w:p>
        </w:tc>
        <w:tc>
          <w:tcPr>
            <w:tcW w:w="1866" w:type="pct"/>
            <w:tcBorders>
              <w:top w:val="single" w:sz="4" w:space="0" w:color="auto"/>
              <w:bottom w:val="single" w:sz="4" w:space="0" w:color="auto"/>
            </w:tcBorders>
            <w:vAlign w:val="center"/>
          </w:tcPr>
          <w:p w14:paraId="1C397813" w14:textId="77777777" w:rsidR="00892335" w:rsidRPr="009B1322" w:rsidRDefault="00892335" w:rsidP="00A12E52">
            <w:pPr>
              <w:pStyle w:val="Tabletext"/>
              <w:rPr>
                <w:snapToGrid w:val="0"/>
              </w:rPr>
            </w:pPr>
            <w:r w:rsidRPr="00295986">
              <w:t>18</w:t>
            </w:r>
            <w:r w:rsidR="00D7157D">
              <w:t>.</w:t>
            </w:r>
            <w:r w:rsidRPr="00295986">
              <w:t>4926</w:t>
            </w:r>
          </w:p>
        </w:tc>
      </w:tr>
      <w:tr w:rsidR="00892335" w:rsidRPr="009E2595" w14:paraId="4DF8665D" w14:textId="77777777" w:rsidTr="00055CFA">
        <w:trPr>
          <w:trHeight w:val="245"/>
          <w:jc w:val="right"/>
        </w:trPr>
        <w:tc>
          <w:tcPr>
            <w:tcW w:w="1705" w:type="pct"/>
            <w:tcBorders>
              <w:top w:val="single" w:sz="4" w:space="0" w:color="auto"/>
              <w:bottom w:val="single" w:sz="4" w:space="0" w:color="auto"/>
            </w:tcBorders>
          </w:tcPr>
          <w:p w14:paraId="5D4BEE64" w14:textId="77777777" w:rsidR="00892335" w:rsidRPr="009B1322" w:rsidRDefault="00892335" w:rsidP="00A12E52">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45056199" w14:textId="77777777" w:rsidR="00892335" w:rsidRPr="009B1322" w:rsidRDefault="00892335" w:rsidP="00A12E52">
            <w:pPr>
              <w:pStyle w:val="Tabletext"/>
              <w:rPr>
                <w:snapToGrid w:val="0"/>
              </w:rPr>
            </w:pPr>
            <w:r w:rsidRPr="00295986">
              <w:t>17</w:t>
            </w:r>
            <w:r w:rsidR="00D7157D">
              <w:t>.</w:t>
            </w:r>
            <w:r w:rsidRPr="00295986">
              <w:t>2307</w:t>
            </w:r>
          </w:p>
        </w:tc>
        <w:tc>
          <w:tcPr>
            <w:tcW w:w="1866" w:type="pct"/>
            <w:tcBorders>
              <w:top w:val="single" w:sz="4" w:space="0" w:color="auto"/>
              <w:bottom w:val="single" w:sz="4" w:space="0" w:color="auto"/>
            </w:tcBorders>
            <w:vAlign w:val="center"/>
          </w:tcPr>
          <w:p w14:paraId="7A7DFA4D" w14:textId="77777777" w:rsidR="00892335" w:rsidRPr="009B1322" w:rsidRDefault="00892335" w:rsidP="00A12E52">
            <w:pPr>
              <w:pStyle w:val="Tabletext"/>
              <w:rPr>
                <w:snapToGrid w:val="0"/>
              </w:rPr>
            </w:pPr>
            <w:r w:rsidRPr="00295986">
              <w:t>18</w:t>
            </w:r>
            <w:r w:rsidR="00D7157D">
              <w:t>.</w:t>
            </w:r>
            <w:r w:rsidRPr="00295986">
              <w:t>1226</w:t>
            </w:r>
          </w:p>
        </w:tc>
      </w:tr>
      <w:tr w:rsidR="00892335" w:rsidRPr="009E2595" w14:paraId="120C64D3" w14:textId="77777777" w:rsidTr="00055CFA">
        <w:trPr>
          <w:trHeight w:val="245"/>
          <w:jc w:val="right"/>
        </w:trPr>
        <w:tc>
          <w:tcPr>
            <w:tcW w:w="1705" w:type="pct"/>
            <w:tcBorders>
              <w:top w:val="single" w:sz="4" w:space="0" w:color="auto"/>
              <w:bottom w:val="single" w:sz="4" w:space="0" w:color="auto"/>
            </w:tcBorders>
          </w:tcPr>
          <w:p w14:paraId="4D7BEA81" w14:textId="77777777" w:rsidR="00892335" w:rsidRPr="009B1322" w:rsidRDefault="00892335" w:rsidP="00A12E52">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25E04635" w14:textId="77777777" w:rsidR="00892335" w:rsidRPr="009B1322" w:rsidRDefault="00892335" w:rsidP="00A12E52">
            <w:pPr>
              <w:pStyle w:val="Tabletext"/>
              <w:rPr>
                <w:snapToGrid w:val="0"/>
              </w:rPr>
            </w:pPr>
            <w:r w:rsidRPr="00295986">
              <w:t>16</w:t>
            </w:r>
            <w:r w:rsidR="00D7157D">
              <w:t>.</w:t>
            </w:r>
            <w:r w:rsidRPr="00295986">
              <w:t>8356</w:t>
            </w:r>
          </w:p>
        </w:tc>
        <w:tc>
          <w:tcPr>
            <w:tcW w:w="1866" w:type="pct"/>
            <w:tcBorders>
              <w:top w:val="single" w:sz="4" w:space="0" w:color="auto"/>
              <w:bottom w:val="single" w:sz="4" w:space="0" w:color="auto"/>
            </w:tcBorders>
            <w:vAlign w:val="center"/>
          </w:tcPr>
          <w:p w14:paraId="27F235F3" w14:textId="77777777" w:rsidR="00892335" w:rsidRPr="009B1322" w:rsidRDefault="00892335" w:rsidP="00A12E52">
            <w:pPr>
              <w:pStyle w:val="Tabletext"/>
              <w:rPr>
                <w:snapToGrid w:val="0"/>
              </w:rPr>
            </w:pPr>
            <w:r w:rsidRPr="00295986">
              <w:t>17</w:t>
            </w:r>
            <w:r w:rsidR="00D7157D">
              <w:t>.</w:t>
            </w:r>
            <w:r w:rsidRPr="00295986">
              <w:t>7429</w:t>
            </w:r>
          </w:p>
        </w:tc>
      </w:tr>
      <w:tr w:rsidR="00892335" w:rsidRPr="009E2595" w14:paraId="401181C4" w14:textId="77777777" w:rsidTr="00055CFA">
        <w:trPr>
          <w:trHeight w:val="245"/>
          <w:jc w:val="right"/>
        </w:trPr>
        <w:tc>
          <w:tcPr>
            <w:tcW w:w="1705" w:type="pct"/>
            <w:tcBorders>
              <w:top w:val="single" w:sz="4" w:space="0" w:color="auto"/>
              <w:bottom w:val="single" w:sz="4" w:space="0" w:color="auto"/>
            </w:tcBorders>
          </w:tcPr>
          <w:p w14:paraId="0084B950" w14:textId="77777777" w:rsidR="00892335" w:rsidRPr="009B1322" w:rsidRDefault="00892335" w:rsidP="00A12E52">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7EC5F08D" w14:textId="77777777" w:rsidR="00892335" w:rsidRPr="009B1322" w:rsidRDefault="00892335" w:rsidP="00A12E52">
            <w:pPr>
              <w:pStyle w:val="Tabletext"/>
              <w:rPr>
                <w:snapToGrid w:val="0"/>
              </w:rPr>
            </w:pPr>
            <w:r w:rsidRPr="00295986">
              <w:t>16</w:t>
            </w:r>
            <w:r w:rsidR="00D7157D">
              <w:t>.</w:t>
            </w:r>
            <w:r w:rsidRPr="00295986">
              <w:t>4318</w:t>
            </w:r>
          </w:p>
        </w:tc>
        <w:tc>
          <w:tcPr>
            <w:tcW w:w="1866" w:type="pct"/>
            <w:tcBorders>
              <w:top w:val="single" w:sz="4" w:space="0" w:color="auto"/>
              <w:bottom w:val="single" w:sz="4" w:space="0" w:color="auto"/>
            </w:tcBorders>
            <w:vAlign w:val="center"/>
          </w:tcPr>
          <w:p w14:paraId="0AAA3DCC" w14:textId="77777777" w:rsidR="00892335" w:rsidRPr="009B1322" w:rsidRDefault="00892335" w:rsidP="00A12E52">
            <w:pPr>
              <w:pStyle w:val="Tabletext"/>
              <w:rPr>
                <w:snapToGrid w:val="0"/>
              </w:rPr>
            </w:pPr>
            <w:r w:rsidRPr="00295986">
              <w:t>17</w:t>
            </w:r>
            <w:r w:rsidR="00D7157D">
              <w:t>.</w:t>
            </w:r>
            <w:r w:rsidRPr="00295986">
              <w:t>3541</w:t>
            </w:r>
          </w:p>
        </w:tc>
      </w:tr>
      <w:tr w:rsidR="00892335" w:rsidRPr="009E2595" w14:paraId="40A82F7E" w14:textId="77777777" w:rsidTr="00055CFA">
        <w:trPr>
          <w:trHeight w:val="245"/>
          <w:jc w:val="right"/>
        </w:trPr>
        <w:tc>
          <w:tcPr>
            <w:tcW w:w="1705" w:type="pct"/>
            <w:tcBorders>
              <w:top w:val="single" w:sz="4" w:space="0" w:color="auto"/>
              <w:bottom w:val="single" w:sz="12" w:space="0" w:color="auto"/>
            </w:tcBorders>
          </w:tcPr>
          <w:p w14:paraId="7AAC210E" w14:textId="77777777" w:rsidR="00892335" w:rsidRPr="009B1322" w:rsidRDefault="00892335" w:rsidP="00A12E52">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387D02A8" w14:textId="77777777" w:rsidR="00892335" w:rsidRPr="009B1322" w:rsidRDefault="00892335" w:rsidP="00A12E52">
            <w:pPr>
              <w:pStyle w:val="Tabletext"/>
              <w:rPr>
                <w:snapToGrid w:val="0"/>
              </w:rPr>
            </w:pPr>
            <w:r w:rsidRPr="00295986">
              <w:t>16</w:t>
            </w:r>
            <w:r w:rsidR="00D7157D">
              <w:t>.</w:t>
            </w:r>
            <w:r w:rsidRPr="00295986">
              <w:t>0208</w:t>
            </w:r>
          </w:p>
        </w:tc>
        <w:tc>
          <w:tcPr>
            <w:tcW w:w="1866" w:type="pct"/>
            <w:tcBorders>
              <w:top w:val="single" w:sz="4" w:space="0" w:color="auto"/>
              <w:bottom w:val="single" w:sz="12" w:space="0" w:color="auto"/>
            </w:tcBorders>
            <w:vAlign w:val="center"/>
          </w:tcPr>
          <w:p w14:paraId="2EDBC884" w14:textId="77777777" w:rsidR="00892335" w:rsidRPr="009B1322" w:rsidRDefault="00892335" w:rsidP="00A12E52">
            <w:pPr>
              <w:pStyle w:val="Tabletext"/>
              <w:rPr>
                <w:snapToGrid w:val="0"/>
              </w:rPr>
            </w:pPr>
            <w:r w:rsidRPr="00295986">
              <w:t>16</w:t>
            </w:r>
            <w:r w:rsidR="00D7157D">
              <w:t>.</w:t>
            </w:r>
            <w:r w:rsidRPr="00295986">
              <w:t>9570</w:t>
            </w:r>
          </w:p>
        </w:tc>
      </w:tr>
    </w:tbl>
    <w:p w14:paraId="0F32CFD1"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2FC1EFEA" w14:textId="77777777" w:rsidTr="00963115">
        <w:trPr>
          <w:cantSplit/>
          <w:trHeight w:val="375"/>
          <w:tblHeader/>
          <w:jc w:val="right"/>
        </w:trPr>
        <w:tc>
          <w:tcPr>
            <w:tcW w:w="1705" w:type="pct"/>
            <w:vMerge w:val="restart"/>
            <w:tcBorders>
              <w:top w:val="single" w:sz="12" w:space="0" w:color="auto"/>
              <w:bottom w:val="single" w:sz="12" w:space="0" w:color="auto"/>
            </w:tcBorders>
          </w:tcPr>
          <w:p w14:paraId="2B5B2CA4"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63CC4D64" w14:textId="0B775412"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period—CPI indexed pension</w:t>
            </w:r>
          </w:p>
        </w:tc>
      </w:tr>
      <w:tr w:rsidR="00647C6B" w:rsidRPr="00A058B6" w14:paraId="6B58620D" w14:textId="77777777" w:rsidTr="00963115">
        <w:trPr>
          <w:cantSplit/>
          <w:trHeight w:val="40"/>
          <w:tblHeader/>
          <w:jc w:val="right"/>
        </w:trPr>
        <w:tc>
          <w:tcPr>
            <w:tcW w:w="1705" w:type="pct"/>
            <w:vMerge/>
            <w:tcBorders>
              <w:bottom w:val="single" w:sz="12" w:space="0" w:color="auto"/>
            </w:tcBorders>
          </w:tcPr>
          <w:p w14:paraId="3E1D9DC7"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113AB6DC"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1485C80D" w14:textId="77777777" w:rsidR="00647C6B" w:rsidRPr="00A058B6" w:rsidRDefault="00647C6B" w:rsidP="00963115">
            <w:pPr>
              <w:pStyle w:val="TableHeading"/>
              <w:rPr>
                <w:snapToGrid w:val="0"/>
              </w:rPr>
            </w:pPr>
            <w:r w:rsidRPr="00A058B6">
              <w:rPr>
                <w:snapToGrid w:val="0"/>
              </w:rPr>
              <w:t>Female</w:t>
            </w:r>
          </w:p>
        </w:tc>
      </w:tr>
      <w:tr w:rsidR="00892335" w:rsidRPr="009E2595" w14:paraId="3D880602" w14:textId="77777777" w:rsidTr="00A93E82">
        <w:trPr>
          <w:trHeight w:val="245"/>
          <w:jc w:val="right"/>
        </w:trPr>
        <w:tc>
          <w:tcPr>
            <w:tcW w:w="1705" w:type="pct"/>
            <w:tcBorders>
              <w:top w:val="single" w:sz="12" w:space="0" w:color="auto"/>
              <w:bottom w:val="single" w:sz="4" w:space="0" w:color="auto"/>
            </w:tcBorders>
          </w:tcPr>
          <w:p w14:paraId="38B689EE" w14:textId="77777777" w:rsidR="00892335" w:rsidRPr="009B1322" w:rsidRDefault="00892335" w:rsidP="00A12E52">
            <w:pPr>
              <w:pStyle w:val="Tabletext"/>
              <w:rPr>
                <w:snapToGrid w:val="0"/>
              </w:rPr>
            </w:pPr>
            <w:r w:rsidRPr="009B1322">
              <w:rPr>
                <w:snapToGrid w:val="0"/>
              </w:rPr>
              <w:t>Up to 40</w:t>
            </w:r>
          </w:p>
        </w:tc>
        <w:tc>
          <w:tcPr>
            <w:tcW w:w="1417" w:type="pct"/>
            <w:tcBorders>
              <w:top w:val="single" w:sz="12" w:space="0" w:color="auto"/>
              <w:bottom w:val="single" w:sz="4" w:space="0" w:color="auto"/>
            </w:tcBorders>
            <w:vAlign w:val="bottom"/>
          </w:tcPr>
          <w:p w14:paraId="4DD63704" w14:textId="77777777" w:rsidR="00892335" w:rsidRPr="009B1322" w:rsidRDefault="00892335" w:rsidP="00A12E52">
            <w:pPr>
              <w:pStyle w:val="Tabletext"/>
              <w:rPr>
                <w:snapToGrid w:val="0"/>
              </w:rPr>
            </w:pPr>
            <w:r w:rsidRPr="00295986">
              <w:t>2</w:t>
            </w:r>
            <w:r w:rsidR="00D7157D">
              <w:t>.</w:t>
            </w:r>
            <w:r w:rsidRPr="00295986">
              <w:t>023</w:t>
            </w:r>
          </w:p>
        </w:tc>
        <w:tc>
          <w:tcPr>
            <w:tcW w:w="1878" w:type="pct"/>
            <w:tcBorders>
              <w:top w:val="single" w:sz="12" w:space="0" w:color="auto"/>
              <w:bottom w:val="single" w:sz="4" w:space="0" w:color="auto"/>
            </w:tcBorders>
            <w:vAlign w:val="bottom"/>
          </w:tcPr>
          <w:p w14:paraId="2E098034" w14:textId="77777777" w:rsidR="00892335" w:rsidRPr="009B1322" w:rsidRDefault="00892335" w:rsidP="00A12E52">
            <w:pPr>
              <w:pStyle w:val="Tabletext"/>
              <w:rPr>
                <w:snapToGrid w:val="0"/>
              </w:rPr>
            </w:pPr>
            <w:r w:rsidRPr="00295986">
              <w:t>0</w:t>
            </w:r>
            <w:r w:rsidR="00D7157D">
              <w:t>.</w:t>
            </w:r>
            <w:r w:rsidRPr="00295986">
              <w:t>865</w:t>
            </w:r>
          </w:p>
        </w:tc>
      </w:tr>
      <w:tr w:rsidR="00892335" w:rsidRPr="009E2595" w14:paraId="02889B15" w14:textId="77777777" w:rsidTr="00A93E82">
        <w:trPr>
          <w:trHeight w:val="245"/>
          <w:jc w:val="right"/>
        </w:trPr>
        <w:tc>
          <w:tcPr>
            <w:tcW w:w="1705" w:type="pct"/>
            <w:tcBorders>
              <w:top w:val="single" w:sz="4" w:space="0" w:color="auto"/>
              <w:bottom w:val="single" w:sz="4" w:space="0" w:color="auto"/>
            </w:tcBorders>
          </w:tcPr>
          <w:p w14:paraId="265B60A2" w14:textId="77777777" w:rsidR="00892335" w:rsidRPr="009B1322" w:rsidRDefault="00892335" w:rsidP="00A12E52">
            <w:pPr>
              <w:pStyle w:val="Tabletext"/>
              <w:rPr>
                <w:snapToGrid w:val="0"/>
              </w:rPr>
            </w:pPr>
            <w:r w:rsidRPr="009B1322">
              <w:rPr>
                <w:snapToGrid w:val="0"/>
              </w:rPr>
              <w:t>41</w:t>
            </w:r>
          </w:p>
        </w:tc>
        <w:tc>
          <w:tcPr>
            <w:tcW w:w="1417" w:type="pct"/>
            <w:tcBorders>
              <w:top w:val="single" w:sz="4" w:space="0" w:color="auto"/>
              <w:bottom w:val="single" w:sz="4" w:space="0" w:color="auto"/>
            </w:tcBorders>
            <w:vAlign w:val="bottom"/>
          </w:tcPr>
          <w:p w14:paraId="1A96DB87" w14:textId="77777777" w:rsidR="00892335" w:rsidRPr="009B1322" w:rsidRDefault="00892335" w:rsidP="00A12E52">
            <w:pPr>
              <w:pStyle w:val="Tabletext"/>
              <w:rPr>
                <w:snapToGrid w:val="0"/>
              </w:rPr>
            </w:pPr>
            <w:r w:rsidRPr="00295986">
              <w:t>1</w:t>
            </w:r>
            <w:r w:rsidR="00D7157D">
              <w:t>.</w:t>
            </w:r>
            <w:r w:rsidRPr="00295986">
              <w:t>956</w:t>
            </w:r>
          </w:p>
        </w:tc>
        <w:tc>
          <w:tcPr>
            <w:tcW w:w="1878" w:type="pct"/>
            <w:tcBorders>
              <w:top w:val="single" w:sz="4" w:space="0" w:color="auto"/>
              <w:bottom w:val="single" w:sz="4" w:space="0" w:color="auto"/>
            </w:tcBorders>
            <w:vAlign w:val="bottom"/>
          </w:tcPr>
          <w:p w14:paraId="2870981F" w14:textId="77777777" w:rsidR="00892335" w:rsidRPr="009B1322" w:rsidRDefault="00892335" w:rsidP="00A12E52">
            <w:pPr>
              <w:pStyle w:val="Tabletext"/>
              <w:rPr>
                <w:snapToGrid w:val="0"/>
              </w:rPr>
            </w:pPr>
            <w:r w:rsidRPr="00295986">
              <w:t>0</w:t>
            </w:r>
            <w:r w:rsidR="00D7157D">
              <w:t>.</w:t>
            </w:r>
            <w:r w:rsidRPr="00295986">
              <w:t>814</w:t>
            </w:r>
          </w:p>
        </w:tc>
      </w:tr>
      <w:tr w:rsidR="00892335" w:rsidRPr="009E2595" w14:paraId="68551537" w14:textId="77777777" w:rsidTr="00A93E82">
        <w:trPr>
          <w:trHeight w:val="245"/>
          <w:jc w:val="right"/>
        </w:trPr>
        <w:tc>
          <w:tcPr>
            <w:tcW w:w="1705" w:type="pct"/>
            <w:tcBorders>
              <w:top w:val="single" w:sz="4" w:space="0" w:color="auto"/>
              <w:bottom w:val="single" w:sz="4" w:space="0" w:color="auto"/>
            </w:tcBorders>
          </w:tcPr>
          <w:p w14:paraId="4DB2227C" w14:textId="77777777" w:rsidR="00892335" w:rsidRPr="009B1322" w:rsidRDefault="00892335" w:rsidP="00A12E52">
            <w:pPr>
              <w:pStyle w:val="Tabletext"/>
              <w:rPr>
                <w:snapToGrid w:val="0"/>
              </w:rPr>
            </w:pPr>
            <w:r w:rsidRPr="009B1322">
              <w:rPr>
                <w:snapToGrid w:val="0"/>
              </w:rPr>
              <w:t>42</w:t>
            </w:r>
          </w:p>
        </w:tc>
        <w:tc>
          <w:tcPr>
            <w:tcW w:w="1417" w:type="pct"/>
            <w:tcBorders>
              <w:top w:val="single" w:sz="4" w:space="0" w:color="auto"/>
              <w:bottom w:val="single" w:sz="4" w:space="0" w:color="auto"/>
            </w:tcBorders>
            <w:vAlign w:val="bottom"/>
          </w:tcPr>
          <w:p w14:paraId="45E1CF2F" w14:textId="77777777" w:rsidR="00892335" w:rsidRPr="009B1322" w:rsidRDefault="00892335" w:rsidP="00A12E52">
            <w:pPr>
              <w:pStyle w:val="Tabletext"/>
              <w:rPr>
                <w:snapToGrid w:val="0"/>
              </w:rPr>
            </w:pPr>
            <w:r w:rsidRPr="00295986">
              <w:t>1</w:t>
            </w:r>
            <w:r w:rsidR="00D7157D">
              <w:t>.</w:t>
            </w:r>
            <w:r w:rsidRPr="00295986">
              <w:t>888</w:t>
            </w:r>
          </w:p>
        </w:tc>
        <w:tc>
          <w:tcPr>
            <w:tcW w:w="1878" w:type="pct"/>
            <w:tcBorders>
              <w:top w:val="single" w:sz="4" w:space="0" w:color="auto"/>
              <w:bottom w:val="single" w:sz="4" w:space="0" w:color="auto"/>
            </w:tcBorders>
            <w:vAlign w:val="bottom"/>
          </w:tcPr>
          <w:p w14:paraId="02D60A48" w14:textId="77777777" w:rsidR="00892335" w:rsidRPr="009B1322" w:rsidRDefault="00892335" w:rsidP="00A12E52">
            <w:pPr>
              <w:pStyle w:val="Tabletext"/>
              <w:rPr>
                <w:snapToGrid w:val="0"/>
              </w:rPr>
            </w:pPr>
            <w:r w:rsidRPr="00295986">
              <w:t>0</w:t>
            </w:r>
            <w:r w:rsidR="00D7157D">
              <w:t>.</w:t>
            </w:r>
            <w:r w:rsidRPr="00295986">
              <w:t>762</w:t>
            </w:r>
          </w:p>
        </w:tc>
      </w:tr>
      <w:tr w:rsidR="00892335" w:rsidRPr="009E2595" w14:paraId="27E95C1A" w14:textId="77777777" w:rsidTr="00A93E82">
        <w:trPr>
          <w:trHeight w:val="245"/>
          <w:jc w:val="right"/>
        </w:trPr>
        <w:tc>
          <w:tcPr>
            <w:tcW w:w="1705" w:type="pct"/>
            <w:tcBorders>
              <w:top w:val="single" w:sz="4" w:space="0" w:color="auto"/>
              <w:bottom w:val="single" w:sz="4" w:space="0" w:color="auto"/>
            </w:tcBorders>
          </w:tcPr>
          <w:p w14:paraId="231BCD81" w14:textId="77777777" w:rsidR="00892335" w:rsidRPr="009B1322" w:rsidRDefault="00892335" w:rsidP="00A12E52">
            <w:pPr>
              <w:pStyle w:val="Tabletext"/>
              <w:rPr>
                <w:snapToGrid w:val="0"/>
              </w:rPr>
            </w:pPr>
            <w:r w:rsidRPr="009B1322">
              <w:rPr>
                <w:snapToGrid w:val="0"/>
              </w:rPr>
              <w:t>43</w:t>
            </w:r>
          </w:p>
        </w:tc>
        <w:tc>
          <w:tcPr>
            <w:tcW w:w="1417" w:type="pct"/>
            <w:tcBorders>
              <w:top w:val="single" w:sz="4" w:space="0" w:color="auto"/>
              <w:bottom w:val="single" w:sz="4" w:space="0" w:color="auto"/>
            </w:tcBorders>
            <w:vAlign w:val="bottom"/>
          </w:tcPr>
          <w:p w14:paraId="7CA79544" w14:textId="77777777" w:rsidR="00892335" w:rsidRPr="009B1322" w:rsidRDefault="00892335" w:rsidP="00A12E52">
            <w:pPr>
              <w:pStyle w:val="Tabletext"/>
              <w:rPr>
                <w:snapToGrid w:val="0"/>
              </w:rPr>
            </w:pPr>
            <w:r w:rsidRPr="00295986">
              <w:t>1</w:t>
            </w:r>
            <w:r w:rsidR="00D7157D">
              <w:t>.</w:t>
            </w:r>
            <w:r w:rsidRPr="00295986">
              <w:t>821</w:t>
            </w:r>
          </w:p>
        </w:tc>
        <w:tc>
          <w:tcPr>
            <w:tcW w:w="1878" w:type="pct"/>
            <w:tcBorders>
              <w:top w:val="single" w:sz="4" w:space="0" w:color="auto"/>
              <w:bottom w:val="single" w:sz="4" w:space="0" w:color="auto"/>
            </w:tcBorders>
            <w:vAlign w:val="bottom"/>
          </w:tcPr>
          <w:p w14:paraId="441655E0" w14:textId="77777777" w:rsidR="00892335" w:rsidRPr="009B1322" w:rsidRDefault="00892335" w:rsidP="00A12E52">
            <w:pPr>
              <w:pStyle w:val="Tabletext"/>
              <w:rPr>
                <w:snapToGrid w:val="0"/>
              </w:rPr>
            </w:pPr>
            <w:r w:rsidRPr="00295986">
              <w:t>0</w:t>
            </w:r>
            <w:r w:rsidR="00D7157D">
              <w:t>.</w:t>
            </w:r>
            <w:r w:rsidRPr="00295986">
              <w:t>710</w:t>
            </w:r>
          </w:p>
        </w:tc>
      </w:tr>
      <w:tr w:rsidR="00892335" w:rsidRPr="009E2595" w14:paraId="5B0802D3" w14:textId="77777777" w:rsidTr="00A93E82">
        <w:trPr>
          <w:trHeight w:val="245"/>
          <w:jc w:val="right"/>
        </w:trPr>
        <w:tc>
          <w:tcPr>
            <w:tcW w:w="1705" w:type="pct"/>
            <w:tcBorders>
              <w:top w:val="single" w:sz="4" w:space="0" w:color="auto"/>
              <w:bottom w:val="single" w:sz="4" w:space="0" w:color="auto"/>
            </w:tcBorders>
          </w:tcPr>
          <w:p w14:paraId="3E7F103C" w14:textId="77777777" w:rsidR="00892335" w:rsidRPr="009B1322" w:rsidRDefault="00892335" w:rsidP="00A12E52">
            <w:pPr>
              <w:pStyle w:val="Tabletext"/>
              <w:rPr>
                <w:snapToGrid w:val="0"/>
              </w:rPr>
            </w:pPr>
            <w:r w:rsidRPr="009B1322">
              <w:rPr>
                <w:snapToGrid w:val="0"/>
              </w:rPr>
              <w:t>44</w:t>
            </w:r>
          </w:p>
        </w:tc>
        <w:tc>
          <w:tcPr>
            <w:tcW w:w="1417" w:type="pct"/>
            <w:tcBorders>
              <w:top w:val="single" w:sz="4" w:space="0" w:color="auto"/>
              <w:bottom w:val="single" w:sz="4" w:space="0" w:color="auto"/>
            </w:tcBorders>
            <w:vAlign w:val="bottom"/>
          </w:tcPr>
          <w:p w14:paraId="2B9EAFE1" w14:textId="77777777" w:rsidR="00892335" w:rsidRPr="009B1322" w:rsidRDefault="00892335" w:rsidP="00A12E52">
            <w:pPr>
              <w:pStyle w:val="Tabletext"/>
              <w:rPr>
                <w:snapToGrid w:val="0"/>
              </w:rPr>
            </w:pPr>
            <w:r w:rsidRPr="00295986">
              <w:t>1</w:t>
            </w:r>
            <w:r w:rsidR="00D7157D">
              <w:t>.</w:t>
            </w:r>
            <w:r w:rsidRPr="00295986">
              <w:t>754</w:t>
            </w:r>
          </w:p>
        </w:tc>
        <w:tc>
          <w:tcPr>
            <w:tcW w:w="1878" w:type="pct"/>
            <w:tcBorders>
              <w:top w:val="single" w:sz="4" w:space="0" w:color="auto"/>
              <w:bottom w:val="single" w:sz="4" w:space="0" w:color="auto"/>
            </w:tcBorders>
            <w:vAlign w:val="bottom"/>
          </w:tcPr>
          <w:p w14:paraId="01CE1BAA" w14:textId="77777777" w:rsidR="00892335" w:rsidRPr="009B1322" w:rsidRDefault="00892335" w:rsidP="00A12E52">
            <w:pPr>
              <w:pStyle w:val="Tabletext"/>
              <w:rPr>
                <w:snapToGrid w:val="0"/>
              </w:rPr>
            </w:pPr>
            <w:r w:rsidRPr="00295986">
              <w:t>0</w:t>
            </w:r>
            <w:r w:rsidR="00D7157D">
              <w:t>.</w:t>
            </w:r>
            <w:r w:rsidRPr="00295986">
              <w:t>658</w:t>
            </w:r>
          </w:p>
        </w:tc>
      </w:tr>
      <w:tr w:rsidR="00892335" w:rsidRPr="009E2595" w14:paraId="739064A9" w14:textId="77777777" w:rsidTr="00A93E82">
        <w:trPr>
          <w:trHeight w:val="245"/>
          <w:jc w:val="right"/>
        </w:trPr>
        <w:tc>
          <w:tcPr>
            <w:tcW w:w="1705" w:type="pct"/>
            <w:tcBorders>
              <w:top w:val="single" w:sz="4" w:space="0" w:color="auto"/>
              <w:bottom w:val="single" w:sz="4" w:space="0" w:color="auto"/>
            </w:tcBorders>
          </w:tcPr>
          <w:p w14:paraId="5D615017" w14:textId="77777777" w:rsidR="00892335" w:rsidRPr="009B1322" w:rsidRDefault="00892335" w:rsidP="00A12E52">
            <w:pPr>
              <w:pStyle w:val="Tabletext"/>
              <w:rPr>
                <w:snapToGrid w:val="0"/>
              </w:rPr>
            </w:pPr>
            <w:r w:rsidRPr="009B1322">
              <w:rPr>
                <w:snapToGrid w:val="0"/>
              </w:rPr>
              <w:t>45</w:t>
            </w:r>
          </w:p>
        </w:tc>
        <w:tc>
          <w:tcPr>
            <w:tcW w:w="1417" w:type="pct"/>
            <w:tcBorders>
              <w:top w:val="single" w:sz="4" w:space="0" w:color="auto"/>
              <w:bottom w:val="single" w:sz="4" w:space="0" w:color="auto"/>
            </w:tcBorders>
            <w:vAlign w:val="bottom"/>
          </w:tcPr>
          <w:p w14:paraId="794A615D" w14:textId="77777777" w:rsidR="00892335" w:rsidRPr="009B1322" w:rsidRDefault="00892335" w:rsidP="00A12E52">
            <w:pPr>
              <w:pStyle w:val="Tabletext"/>
              <w:rPr>
                <w:snapToGrid w:val="0"/>
              </w:rPr>
            </w:pPr>
            <w:r w:rsidRPr="00295986">
              <w:t>1</w:t>
            </w:r>
            <w:r w:rsidR="00D7157D">
              <w:t>.</w:t>
            </w:r>
            <w:r w:rsidRPr="00295986">
              <w:t>686</w:t>
            </w:r>
          </w:p>
        </w:tc>
        <w:tc>
          <w:tcPr>
            <w:tcW w:w="1878" w:type="pct"/>
            <w:tcBorders>
              <w:top w:val="single" w:sz="4" w:space="0" w:color="auto"/>
              <w:bottom w:val="single" w:sz="4" w:space="0" w:color="auto"/>
            </w:tcBorders>
            <w:vAlign w:val="bottom"/>
          </w:tcPr>
          <w:p w14:paraId="358612EA" w14:textId="77777777" w:rsidR="00892335" w:rsidRPr="009B1322" w:rsidRDefault="00892335" w:rsidP="00A12E52">
            <w:pPr>
              <w:pStyle w:val="Tabletext"/>
              <w:rPr>
                <w:snapToGrid w:val="0"/>
              </w:rPr>
            </w:pPr>
            <w:r w:rsidRPr="00295986">
              <w:t>0</w:t>
            </w:r>
            <w:r w:rsidR="00D7157D">
              <w:t>.</w:t>
            </w:r>
            <w:r w:rsidRPr="00295986">
              <w:t>606</w:t>
            </w:r>
          </w:p>
        </w:tc>
      </w:tr>
      <w:tr w:rsidR="00892335" w:rsidRPr="009E2595" w14:paraId="3CBE1EF0" w14:textId="77777777" w:rsidTr="00A93E82">
        <w:trPr>
          <w:trHeight w:val="245"/>
          <w:jc w:val="right"/>
        </w:trPr>
        <w:tc>
          <w:tcPr>
            <w:tcW w:w="1705" w:type="pct"/>
            <w:tcBorders>
              <w:top w:val="single" w:sz="4" w:space="0" w:color="auto"/>
              <w:bottom w:val="single" w:sz="4" w:space="0" w:color="auto"/>
            </w:tcBorders>
          </w:tcPr>
          <w:p w14:paraId="05729671" w14:textId="77777777" w:rsidR="00892335" w:rsidRPr="009B1322" w:rsidRDefault="00892335" w:rsidP="00A12E52">
            <w:pPr>
              <w:pStyle w:val="Tabletext"/>
              <w:rPr>
                <w:snapToGrid w:val="0"/>
              </w:rPr>
            </w:pPr>
            <w:r w:rsidRPr="009B1322">
              <w:rPr>
                <w:snapToGrid w:val="0"/>
              </w:rPr>
              <w:t>46</w:t>
            </w:r>
          </w:p>
        </w:tc>
        <w:tc>
          <w:tcPr>
            <w:tcW w:w="1417" w:type="pct"/>
            <w:tcBorders>
              <w:top w:val="single" w:sz="4" w:space="0" w:color="auto"/>
              <w:bottom w:val="single" w:sz="4" w:space="0" w:color="auto"/>
            </w:tcBorders>
            <w:vAlign w:val="bottom"/>
          </w:tcPr>
          <w:p w14:paraId="18022806" w14:textId="77777777" w:rsidR="00892335" w:rsidRPr="009B1322" w:rsidRDefault="00892335" w:rsidP="00A12E52">
            <w:pPr>
              <w:pStyle w:val="Tabletext"/>
              <w:rPr>
                <w:snapToGrid w:val="0"/>
              </w:rPr>
            </w:pPr>
            <w:r w:rsidRPr="00295986">
              <w:t>1</w:t>
            </w:r>
            <w:r w:rsidR="00D7157D">
              <w:t>.</w:t>
            </w:r>
            <w:r w:rsidRPr="00295986">
              <w:t>619</w:t>
            </w:r>
          </w:p>
        </w:tc>
        <w:tc>
          <w:tcPr>
            <w:tcW w:w="1878" w:type="pct"/>
            <w:tcBorders>
              <w:top w:val="single" w:sz="4" w:space="0" w:color="auto"/>
              <w:bottom w:val="single" w:sz="4" w:space="0" w:color="auto"/>
            </w:tcBorders>
            <w:vAlign w:val="bottom"/>
          </w:tcPr>
          <w:p w14:paraId="25C61FC9" w14:textId="77777777" w:rsidR="00892335" w:rsidRPr="009B1322" w:rsidRDefault="00892335" w:rsidP="00A12E52">
            <w:pPr>
              <w:pStyle w:val="Tabletext"/>
              <w:rPr>
                <w:snapToGrid w:val="0"/>
              </w:rPr>
            </w:pPr>
            <w:r w:rsidRPr="00295986">
              <w:t>0</w:t>
            </w:r>
            <w:r w:rsidR="00D7157D">
              <w:t>.</w:t>
            </w:r>
            <w:r w:rsidRPr="00295986">
              <w:t>554</w:t>
            </w:r>
          </w:p>
        </w:tc>
      </w:tr>
      <w:tr w:rsidR="00892335" w:rsidRPr="009E2595" w14:paraId="4CB3F4E0" w14:textId="77777777" w:rsidTr="00A93E82">
        <w:trPr>
          <w:trHeight w:val="245"/>
          <w:jc w:val="right"/>
        </w:trPr>
        <w:tc>
          <w:tcPr>
            <w:tcW w:w="1705" w:type="pct"/>
            <w:tcBorders>
              <w:top w:val="single" w:sz="4" w:space="0" w:color="auto"/>
              <w:bottom w:val="single" w:sz="4" w:space="0" w:color="auto"/>
            </w:tcBorders>
          </w:tcPr>
          <w:p w14:paraId="64B5AA83" w14:textId="77777777" w:rsidR="00892335" w:rsidRPr="009B1322" w:rsidRDefault="00892335" w:rsidP="00A12E52">
            <w:pPr>
              <w:pStyle w:val="Tabletext"/>
              <w:rPr>
                <w:snapToGrid w:val="0"/>
              </w:rPr>
            </w:pPr>
            <w:r w:rsidRPr="009B1322">
              <w:rPr>
                <w:snapToGrid w:val="0"/>
              </w:rPr>
              <w:t>47</w:t>
            </w:r>
          </w:p>
        </w:tc>
        <w:tc>
          <w:tcPr>
            <w:tcW w:w="1417" w:type="pct"/>
            <w:tcBorders>
              <w:top w:val="single" w:sz="4" w:space="0" w:color="auto"/>
              <w:bottom w:val="single" w:sz="4" w:space="0" w:color="auto"/>
            </w:tcBorders>
            <w:vAlign w:val="bottom"/>
          </w:tcPr>
          <w:p w14:paraId="285B4ED0" w14:textId="77777777" w:rsidR="00892335" w:rsidRPr="009B1322" w:rsidRDefault="00892335" w:rsidP="00A12E52">
            <w:pPr>
              <w:pStyle w:val="Tabletext"/>
              <w:rPr>
                <w:snapToGrid w:val="0"/>
              </w:rPr>
            </w:pPr>
            <w:r w:rsidRPr="00295986">
              <w:t>1</w:t>
            </w:r>
            <w:r w:rsidR="00D7157D">
              <w:t>.</w:t>
            </w:r>
            <w:r w:rsidRPr="00295986">
              <w:t>551</w:t>
            </w:r>
          </w:p>
        </w:tc>
        <w:tc>
          <w:tcPr>
            <w:tcW w:w="1878" w:type="pct"/>
            <w:tcBorders>
              <w:top w:val="single" w:sz="4" w:space="0" w:color="auto"/>
              <w:bottom w:val="single" w:sz="4" w:space="0" w:color="auto"/>
            </w:tcBorders>
            <w:vAlign w:val="bottom"/>
          </w:tcPr>
          <w:p w14:paraId="51EB58A1" w14:textId="77777777" w:rsidR="00892335" w:rsidRPr="009B1322" w:rsidRDefault="00892335" w:rsidP="00A12E52">
            <w:pPr>
              <w:pStyle w:val="Tabletext"/>
              <w:rPr>
                <w:snapToGrid w:val="0"/>
              </w:rPr>
            </w:pPr>
            <w:r w:rsidRPr="00295986">
              <w:t>0</w:t>
            </w:r>
            <w:r w:rsidR="00D7157D">
              <w:t>.</w:t>
            </w:r>
            <w:r w:rsidRPr="00295986">
              <w:t>502</w:t>
            </w:r>
          </w:p>
        </w:tc>
      </w:tr>
      <w:tr w:rsidR="00892335" w:rsidRPr="009E2595" w14:paraId="5B998BF8" w14:textId="77777777" w:rsidTr="00A93E82">
        <w:trPr>
          <w:trHeight w:val="245"/>
          <w:jc w:val="right"/>
        </w:trPr>
        <w:tc>
          <w:tcPr>
            <w:tcW w:w="1705" w:type="pct"/>
            <w:tcBorders>
              <w:top w:val="single" w:sz="4" w:space="0" w:color="auto"/>
              <w:bottom w:val="single" w:sz="4" w:space="0" w:color="auto"/>
            </w:tcBorders>
          </w:tcPr>
          <w:p w14:paraId="2EC60DCB" w14:textId="77777777" w:rsidR="00892335" w:rsidRPr="009B1322" w:rsidRDefault="00892335" w:rsidP="00A12E52">
            <w:pPr>
              <w:pStyle w:val="Tabletext"/>
              <w:rPr>
                <w:snapToGrid w:val="0"/>
              </w:rPr>
            </w:pPr>
            <w:r w:rsidRPr="009B1322">
              <w:rPr>
                <w:snapToGrid w:val="0"/>
              </w:rPr>
              <w:t>48</w:t>
            </w:r>
          </w:p>
        </w:tc>
        <w:tc>
          <w:tcPr>
            <w:tcW w:w="1417" w:type="pct"/>
            <w:tcBorders>
              <w:top w:val="single" w:sz="4" w:space="0" w:color="auto"/>
              <w:bottom w:val="single" w:sz="4" w:space="0" w:color="auto"/>
            </w:tcBorders>
            <w:vAlign w:val="bottom"/>
          </w:tcPr>
          <w:p w14:paraId="7F0BE51B" w14:textId="77777777" w:rsidR="00892335" w:rsidRPr="009B1322" w:rsidRDefault="00892335" w:rsidP="00A12E52">
            <w:pPr>
              <w:pStyle w:val="Tabletext"/>
              <w:rPr>
                <w:snapToGrid w:val="0"/>
              </w:rPr>
            </w:pPr>
            <w:r w:rsidRPr="00295986">
              <w:t>1</w:t>
            </w:r>
            <w:r w:rsidR="00D7157D">
              <w:t>.</w:t>
            </w:r>
            <w:r w:rsidRPr="00295986">
              <w:t>484</w:t>
            </w:r>
          </w:p>
        </w:tc>
        <w:tc>
          <w:tcPr>
            <w:tcW w:w="1878" w:type="pct"/>
            <w:tcBorders>
              <w:top w:val="single" w:sz="4" w:space="0" w:color="auto"/>
              <w:bottom w:val="single" w:sz="4" w:space="0" w:color="auto"/>
            </w:tcBorders>
            <w:vAlign w:val="bottom"/>
          </w:tcPr>
          <w:p w14:paraId="06613E24" w14:textId="77777777" w:rsidR="00892335" w:rsidRPr="009B1322" w:rsidRDefault="00892335" w:rsidP="00A12E52">
            <w:pPr>
              <w:pStyle w:val="Tabletext"/>
              <w:rPr>
                <w:snapToGrid w:val="0"/>
              </w:rPr>
            </w:pPr>
            <w:r w:rsidRPr="00295986">
              <w:t>0</w:t>
            </w:r>
            <w:r w:rsidR="00D7157D">
              <w:t>.</w:t>
            </w:r>
            <w:r w:rsidRPr="00295986">
              <w:t>450</w:t>
            </w:r>
          </w:p>
        </w:tc>
      </w:tr>
      <w:tr w:rsidR="00892335" w:rsidRPr="009E2595" w14:paraId="34793F1E" w14:textId="77777777" w:rsidTr="00A93E82">
        <w:trPr>
          <w:trHeight w:val="245"/>
          <w:jc w:val="right"/>
        </w:trPr>
        <w:tc>
          <w:tcPr>
            <w:tcW w:w="1705" w:type="pct"/>
            <w:tcBorders>
              <w:top w:val="single" w:sz="4" w:space="0" w:color="auto"/>
              <w:bottom w:val="single" w:sz="4" w:space="0" w:color="auto"/>
            </w:tcBorders>
          </w:tcPr>
          <w:p w14:paraId="2C9B9F55" w14:textId="77777777" w:rsidR="00892335" w:rsidRPr="009B1322" w:rsidRDefault="00892335" w:rsidP="00A12E52">
            <w:pPr>
              <w:pStyle w:val="Tabletext"/>
              <w:rPr>
                <w:snapToGrid w:val="0"/>
              </w:rPr>
            </w:pPr>
            <w:r w:rsidRPr="009B1322">
              <w:rPr>
                <w:snapToGrid w:val="0"/>
              </w:rPr>
              <w:t>49</w:t>
            </w:r>
          </w:p>
        </w:tc>
        <w:tc>
          <w:tcPr>
            <w:tcW w:w="1417" w:type="pct"/>
            <w:tcBorders>
              <w:top w:val="single" w:sz="4" w:space="0" w:color="auto"/>
              <w:bottom w:val="single" w:sz="4" w:space="0" w:color="auto"/>
            </w:tcBorders>
            <w:vAlign w:val="bottom"/>
          </w:tcPr>
          <w:p w14:paraId="693C4B7B" w14:textId="77777777" w:rsidR="00892335" w:rsidRPr="009B1322" w:rsidRDefault="00892335" w:rsidP="00A12E52">
            <w:pPr>
              <w:pStyle w:val="Tabletext"/>
              <w:rPr>
                <w:snapToGrid w:val="0"/>
              </w:rPr>
            </w:pPr>
            <w:r w:rsidRPr="00295986">
              <w:t>1</w:t>
            </w:r>
            <w:r w:rsidR="00D7157D">
              <w:t>.</w:t>
            </w:r>
            <w:r w:rsidRPr="00295986">
              <w:t>416</w:t>
            </w:r>
          </w:p>
        </w:tc>
        <w:tc>
          <w:tcPr>
            <w:tcW w:w="1878" w:type="pct"/>
            <w:tcBorders>
              <w:top w:val="single" w:sz="4" w:space="0" w:color="auto"/>
              <w:bottom w:val="single" w:sz="4" w:space="0" w:color="auto"/>
            </w:tcBorders>
            <w:vAlign w:val="bottom"/>
          </w:tcPr>
          <w:p w14:paraId="49289216" w14:textId="77777777" w:rsidR="00892335" w:rsidRPr="009B1322" w:rsidRDefault="00892335" w:rsidP="00A12E52">
            <w:pPr>
              <w:pStyle w:val="Tabletext"/>
              <w:rPr>
                <w:snapToGrid w:val="0"/>
              </w:rPr>
            </w:pPr>
            <w:r w:rsidRPr="00295986">
              <w:t>0</w:t>
            </w:r>
            <w:r w:rsidR="00D7157D">
              <w:t>.</w:t>
            </w:r>
            <w:r w:rsidRPr="00295986">
              <w:t>398</w:t>
            </w:r>
          </w:p>
        </w:tc>
      </w:tr>
      <w:tr w:rsidR="00892335" w:rsidRPr="009E2595" w14:paraId="5ECEADDE" w14:textId="77777777" w:rsidTr="00A93E82">
        <w:trPr>
          <w:trHeight w:val="245"/>
          <w:jc w:val="right"/>
        </w:trPr>
        <w:tc>
          <w:tcPr>
            <w:tcW w:w="1705" w:type="pct"/>
            <w:tcBorders>
              <w:top w:val="single" w:sz="4" w:space="0" w:color="auto"/>
              <w:bottom w:val="single" w:sz="4" w:space="0" w:color="auto"/>
            </w:tcBorders>
          </w:tcPr>
          <w:p w14:paraId="2A7735AB" w14:textId="77777777" w:rsidR="00892335" w:rsidRPr="009B1322" w:rsidRDefault="00892335" w:rsidP="00A12E52">
            <w:pPr>
              <w:pStyle w:val="Tabletext"/>
              <w:rPr>
                <w:snapToGrid w:val="0"/>
              </w:rPr>
            </w:pPr>
            <w:r w:rsidRPr="009B1322">
              <w:rPr>
                <w:snapToGrid w:val="0"/>
              </w:rPr>
              <w:t>50</w:t>
            </w:r>
          </w:p>
        </w:tc>
        <w:tc>
          <w:tcPr>
            <w:tcW w:w="1417" w:type="pct"/>
            <w:tcBorders>
              <w:top w:val="single" w:sz="4" w:space="0" w:color="auto"/>
              <w:bottom w:val="single" w:sz="4" w:space="0" w:color="auto"/>
            </w:tcBorders>
            <w:vAlign w:val="bottom"/>
          </w:tcPr>
          <w:p w14:paraId="3A52BDCF" w14:textId="77777777" w:rsidR="00892335" w:rsidRPr="009B1322" w:rsidRDefault="00892335" w:rsidP="00A12E52">
            <w:pPr>
              <w:pStyle w:val="Tabletext"/>
              <w:rPr>
                <w:snapToGrid w:val="0"/>
              </w:rPr>
            </w:pPr>
            <w:r w:rsidRPr="00295986">
              <w:t>1</w:t>
            </w:r>
            <w:r w:rsidR="00D7157D">
              <w:t>.</w:t>
            </w:r>
            <w:r w:rsidRPr="00295986">
              <w:t>349</w:t>
            </w:r>
          </w:p>
        </w:tc>
        <w:tc>
          <w:tcPr>
            <w:tcW w:w="1878" w:type="pct"/>
            <w:tcBorders>
              <w:top w:val="single" w:sz="4" w:space="0" w:color="auto"/>
              <w:bottom w:val="single" w:sz="4" w:space="0" w:color="auto"/>
            </w:tcBorders>
            <w:vAlign w:val="bottom"/>
          </w:tcPr>
          <w:p w14:paraId="13487C21" w14:textId="77777777" w:rsidR="00892335" w:rsidRPr="009B1322" w:rsidRDefault="00892335" w:rsidP="00A12E52">
            <w:pPr>
              <w:pStyle w:val="Tabletext"/>
              <w:rPr>
                <w:snapToGrid w:val="0"/>
              </w:rPr>
            </w:pPr>
            <w:r w:rsidRPr="00295986">
              <w:t>0</w:t>
            </w:r>
            <w:r w:rsidR="00D7157D">
              <w:t>.</w:t>
            </w:r>
            <w:r w:rsidRPr="00295986">
              <w:t>346</w:t>
            </w:r>
          </w:p>
        </w:tc>
      </w:tr>
      <w:tr w:rsidR="00892335" w:rsidRPr="009E2595" w14:paraId="04B1B024" w14:textId="77777777" w:rsidTr="00A93E82">
        <w:trPr>
          <w:trHeight w:val="245"/>
          <w:jc w:val="right"/>
        </w:trPr>
        <w:tc>
          <w:tcPr>
            <w:tcW w:w="1705" w:type="pct"/>
            <w:tcBorders>
              <w:top w:val="single" w:sz="4" w:space="0" w:color="auto"/>
              <w:bottom w:val="single" w:sz="4" w:space="0" w:color="auto"/>
            </w:tcBorders>
          </w:tcPr>
          <w:p w14:paraId="39F0FA1C" w14:textId="77777777" w:rsidR="00892335" w:rsidRPr="009B1322" w:rsidRDefault="00892335" w:rsidP="00A12E52">
            <w:pPr>
              <w:pStyle w:val="Tabletext"/>
              <w:rPr>
                <w:snapToGrid w:val="0"/>
              </w:rPr>
            </w:pPr>
            <w:r w:rsidRPr="009B1322">
              <w:rPr>
                <w:snapToGrid w:val="0"/>
              </w:rPr>
              <w:t>51</w:t>
            </w:r>
          </w:p>
        </w:tc>
        <w:tc>
          <w:tcPr>
            <w:tcW w:w="1417" w:type="pct"/>
            <w:tcBorders>
              <w:top w:val="single" w:sz="4" w:space="0" w:color="auto"/>
              <w:bottom w:val="single" w:sz="4" w:space="0" w:color="auto"/>
            </w:tcBorders>
            <w:vAlign w:val="bottom"/>
          </w:tcPr>
          <w:p w14:paraId="6CB7E38E" w14:textId="77777777" w:rsidR="00892335" w:rsidRPr="009B1322" w:rsidRDefault="00892335" w:rsidP="00A12E52">
            <w:pPr>
              <w:pStyle w:val="Tabletext"/>
              <w:rPr>
                <w:snapToGrid w:val="0"/>
              </w:rPr>
            </w:pPr>
            <w:r w:rsidRPr="00295986">
              <w:t>1</w:t>
            </w:r>
            <w:r w:rsidR="00D7157D">
              <w:t>.</w:t>
            </w:r>
            <w:r w:rsidRPr="00295986">
              <w:t>147</w:t>
            </w:r>
          </w:p>
        </w:tc>
        <w:tc>
          <w:tcPr>
            <w:tcW w:w="1878" w:type="pct"/>
            <w:tcBorders>
              <w:top w:val="single" w:sz="4" w:space="0" w:color="auto"/>
              <w:bottom w:val="single" w:sz="4" w:space="0" w:color="auto"/>
            </w:tcBorders>
            <w:vAlign w:val="bottom"/>
          </w:tcPr>
          <w:p w14:paraId="65A1A131" w14:textId="77777777" w:rsidR="00892335" w:rsidRPr="009B1322" w:rsidRDefault="00892335" w:rsidP="00A12E52">
            <w:pPr>
              <w:pStyle w:val="Tabletext"/>
              <w:rPr>
                <w:snapToGrid w:val="0"/>
              </w:rPr>
            </w:pPr>
            <w:r w:rsidRPr="00295986">
              <w:t>0</w:t>
            </w:r>
            <w:r w:rsidR="00D7157D">
              <w:t>.</w:t>
            </w:r>
            <w:r w:rsidRPr="00295986">
              <w:t>294</w:t>
            </w:r>
          </w:p>
        </w:tc>
      </w:tr>
      <w:tr w:rsidR="00892335" w:rsidRPr="009E2595" w14:paraId="7DB8B1F7" w14:textId="77777777" w:rsidTr="00A93E82">
        <w:trPr>
          <w:trHeight w:val="245"/>
          <w:jc w:val="right"/>
        </w:trPr>
        <w:tc>
          <w:tcPr>
            <w:tcW w:w="1705" w:type="pct"/>
            <w:tcBorders>
              <w:top w:val="single" w:sz="4" w:space="0" w:color="auto"/>
              <w:bottom w:val="single" w:sz="4" w:space="0" w:color="auto"/>
            </w:tcBorders>
          </w:tcPr>
          <w:p w14:paraId="2FBF18AA" w14:textId="77777777" w:rsidR="00892335" w:rsidRPr="009B1322" w:rsidRDefault="00892335" w:rsidP="00A12E52">
            <w:pPr>
              <w:pStyle w:val="Tabletext"/>
              <w:rPr>
                <w:snapToGrid w:val="0"/>
              </w:rPr>
            </w:pPr>
            <w:r w:rsidRPr="009B1322">
              <w:rPr>
                <w:snapToGrid w:val="0"/>
              </w:rPr>
              <w:t>52</w:t>
            </w:r>
          </w:p>
        </w:tc>
        <w:tc>
          <w:tcPr>
            <w:tcW w:w="1417" w:type="pct"/>
            <w:tcBorders>
              <w:top w:val="single" w:sz="4" w:space="0" w:color="auto"/>
              <w:bottom w:val="single" w:sz="4" w:space="0" w:color="auto"/>
            </w:tcBorders>
            <w:vAlign w:val="bottom"/>
          </w:tcPr>
          <w:p w14:paraId="51220574" w14:textId="77777777" w:rsidR="00892335" w:rsidRPr="009B1322" w:rsidRDefault="00892335" w:rsidP="00A12E52">
            <w:pPr>
              <w:pStyle w:val="Tabletext"/>
              <w:rPr>
                <w:snapToGrid w:val="0"/>
              </w:rPr>
            </w:pPr>
            <w:r w:rsidRPr="00295986">
              <w:t>0</w:t>
            </w:r>
            <w:r w:rsidR="00D7157D">
              <w:t>.</w:t>
            </w:r>
            <w:r w:rsidRPr="00295986">
              <w:t>944</w:t>
            </w:r>
          </w:p>
        </w:tc>
        <w:tc>
          <w:tcPr>
            <w:tcW w:w="1878" w:type="pct"/>
            <w:tcBorders>
              <w:top w:val="single" w:sz="4" w:space="0" w:color="auto"/>
              <w:bottom w:val="single" w:sz="4" w:space="0" w:color="auto"/>
            </w:tcBorders>
            <w:vAlign w:val="bottom"/>
          </w:tcPr>
          <w:p w14:paraId="213808DC" w14:textId="77777777" w:rsidR="00892335" w:rsidRPr="009B1322" w:rsidRDefault="00892335" w:rsidP="00A12E52">
            <w:pPr>
              <w:pStyle w:val="Tabletext"/>
              <w:rPr>
                <w:snapToGrid w:val="0"/>
              </w:rPr>
            </w:pPr>
            <w:r w:rsidRPr="00295986">
              <w:t>0</w:t>
            </w:r>
            <w:r w:rsidR="00D7157D">
              <w:t>.</w:t>
            </w:r>
            <w:r w:rsidRPr="00295986">
              <w:t>242</w:t>
            </w:r>
          </w:p>
        </w:tc>
      </w:tr>
      <w:tr w:rsidR="00892335" w:rsidRPr="009E2595" w14:paraId="23F6C14E" w14:textId="77777777" w:rsidTr="00A93E82">
        <w:trPr>
          <w:trHeight w:val="245"/>
          <w:jc w:val="right"/>
        </w:trPr>
        <w:tc>
          <w:tcPr>
            <w:tcW w:w="1705" w:type="pct"/>
            <w:tcBorders>
              <w:top w:val="single" w:sz="4" w:space="0" w:color="auto"/>
              <w:bottom w:val="single" w:sz="4" w:space="0" w:color="auto"/>
            </w:tcBorders>
          </w:tcPr>
          <w:p w14:paraId="31904CF6" w14:textId="77777777" w:rsidR="00892335" w:rsidRPr="009B1322" w:rsidRDefault="00892335" w:rsidP="00A12E52">
            <w:pPr>
              <w:pStyle w:val="Tabletext"/>
              <w:rPr>
                <w:snapToGrid w:val="0"/>
              </w:rPr>
            </w:pPr>
            <w:r w:rsidRPr="009B1322">
              <w:rPr>
                <w:snapToGrid w:val="0"/>
              </w:rPr>
              <w:t>53</w:t>
            </w:r>
          </w:p>
        </w:tc>
        <w:tc>
          <w:tcPr>
            <w:tcW w:w="1417" w:type="pct"/>
            <w:tcBorders>
              <w:top w:val="single" w:sz="4" w:space="0" w:color="auto"/>
              <w:bottom w:val="single" w:sz="4" w:space="0" w:color="auto"/>
            </w:tcBorders>
            <w:vAlign w:val="bottom"/>
          </w:tcPr>
          <w:p w14:paraId="07E55981" w14:textId="77777777" w:rsidR="00892335" w:rsidRPr="009B1322" w:rsidRDefault="00892335" w:rsidP="00A12E52">
            <w:pPr>
              <w:pStyle w:val="Tabletext"/>
              <w:rPr>
                <w:snapToGrid w:val="0"/>
              </w:rPr>
            </w:pPr>
            <w:r w:rsidRPr="00295986">
              <w:t>0</w:t>
            </w:r>
            <w:r w:rsidR="00D7157D">
              <w:t>.</w:t>
            </w:r>
            <w:r w:rsidRPr="00295986">
              <w:t>742</w:t>
            </w:r>
          </w:p>
        </w:tc>
        <w:tc>
          <w:tcPr>
            <w:tcW w:w="1878" w:type="pct"/>
            <w:tcBorders>
              <w:top w:val="single" w:sz="4" w:space="0" w:color="auto"/>
              <w:bottom w:val="single" w:sz="4" w:space="0" w:color="auto"/>
            </w:tcBorders>
            <w:vAlign w:val="bottom"/>
          </w:tcPr>
          <w:p w14:paraId="04A75F11" w14:textId="77777777" w:rsidR="00892335" w:rsidRPr="009B1322" w:rsidRDefault="00892335" w:rsidP="00A12E52">
            <w:pPr>
              <w:pStyle w:val="Tabletext"/>
              <w:rPr>
                <w:snapToGrid w:val="0"/>
              </w:rPr>
            </w:pPr>
            <w:r w:rsidRPr="00295986">
              <w:t>0</w:t>
            </w:r>
            <w:r w:rsidR="00D7157D">
              <w:t>.</w:t>
            </w:r>
            <w:r w:rsidRPr="00295986">
              <w:t>190</w:t>
            </w:r>
          </w:p>
        </w:tc>
      </w:tr>
      <w:tr w:rsidR="00892335" w:rsidRPr="009E2595" w14:paraId="1E2B458C" w14:textId="77777777" w:rsidTr="00A93E82">
        <w:trPr>
          <w:trHeight w:val="245"/>
          <w:jc w:val="right"/>
        </w:trPr>
        <w:tc>
          <w:tcPr>
            <w:tcW w:w="1705" w:type="pct"/>
            <w:tcBorders>
              <w:top w:val="single" w:sz="4" w:space="0" w:color="auto"/>
              <w:bottom w:val="single" w:sz="4" w:space="0" w:color="auto"/>
            </w:tcBorders>
          </w:tcPr>
          <w:p w14:paraId="4C6294AB" w14:textId="77777777" w:rsidR="00892335" w:rsidRPr="009B1322" w:rsidRDefault="00892335" w:rsidP="00A12E52">
            <w:pPr>
              <w:pStyle w:val="Tabletext"/>
              <w:rPr>
                <w:snapToGrid w:val="0"/>
              </w:rPr>
            </w:pPr>
            <w:r w:rsidRPr="009B1322">
              <w:rPr>
                <w:snapToGrid w:val="0"/>
              </w:rPr>
              <w:t>54</w:t>
            </w:r>
          </w:p>
        </w:tc>
        <w:tc>
          <w:tcPr>
            <w:tcW w:w="1417" w:type="pct"/>
            <w:tcBorders>
              <w:top w:val="single" w:sz="4" w:space="0" w:color="auto"/>
              <w:bottom w:val="single" w:sz="4" w:space="0" w:color="auto"/>
            </w:tcBorders>
            <w:vAlign w:val="bottom"/>
          </w:tcPr>
          <w:p w14:paraId="7CEE3AF6" w14:textId="77777777" w:rsidR="00892335" w:rsidRPr="009B1322" w:rsidRDefault="00892335" w:rsidP="00A12E52">
            <w:pPr>
              <w:pStyle w:val="Tabletext"/>
              <w:rPr>
                <w:snapToGrid w:val="0"/>
              </w:rPr>
            </w:pPr>
            <w:r w:rsidRPr="00295986">
              <w:t>0</w:t>
            </w:r>
            <w:r w:rsidR="00D7157D">
              <w:t>.</w:t>
            </w:r>
            <w:r w:rsidRPr="00295986">
              <w:t>540</w:t>
            </w:r>
          </w:p>
        </w:tc>
        <w:tc>
          <w:tcPr>
            <w:tcW w:w="1878" w:type="pct"/>
            <w:tcBorders>
              <w:top w:val="single" w:sz="4" w:space="0" w:color="auto"/>
              <w:bottom w:val="single" w:sz="4" w:space="0" w:color="auto"/>
            </w:tcBorders>
            <w:vAlign w:val="bottom"/>
          </w:tcPr>
          <w:p w14:paraId="5A58DD36" w14:textId="77777777" w:rsidR="00892335" w:rsidRPr="009B1322" w:rsidRDefault="00892335" w:rsidP="00A12E52">
            <w:pPr>
              <w:pStyle w:val="Tabletext"/>
              <w:rPr>
                <w:snapToGrid w:val="0"/>
              </w:rPr>
            </w:pPr>
            <w:r w:rsidRPr="00295986">
              <w:t>0</w:t>
            </w:r>
            <w:r w:rsidR="00D7157D">
              <w:t>.</w:t>
            </w:r>
            <w:r w:rsidRPr="00295986">
              <w:t>138</w:t>
            </w:r>
          </w:p>
        </w:tc>
      </w:tr>
      <w:tr w:rsidR="00892335" w:rsidRPr="009E2595" w14:paraId="7C437DB2" w14:textId="77777777" w:rsidTr="00A93E82">
        <w:trPr>
          <w:trHeight w:val="245"/>
          <w:jc w:val="right"/>
        </w:trPr>
        <w:tc>
          <w:tcPr>
            <w:tcW w:w="1705" w:type="pct"/>
            <w:tcBorders>
              <w:top w:val="single" w:sz="4" w:space="0" w:color="auto"/>
              <w:bottom w:val="single" w:sz="12" w:space="0" w:color="auto"/>
            </w:tcBorders>
          </w:tcPr>
          <w:p w14:paraId="7D17D908" w14:textId="77777777" w:rsidR="00892335" w:rsidRPr="009B1322" w:rsidRDefault="00892335" w:rsidP="00A12E52">
            <w:pPr>
              <w:pStyle w:val="Tabletext"/>
              <w:rPr>
                <w:snapToGrid w:val="0"/>
              </w:rPr>
            </w:pPr>
            <w:r w:rsidRPr="009B1322">
              <w:rPr>
                <w:snapToGrid w:val="0"/>
              </w:rPr>
              <w:t>55 and over</w:t>
            </w:r>
          </w:p>
        </w:tc>
        <w:tc>
          <w:tcPr>
            <w:tcW w:w="1417" w:type="pct"/>
            <w:tcBorders>
              <w:top w:val="single" w:sz="4" w:space="0" w:color="auto"/>
              <w:bottom w:val="single" w:sz="12" w:space="0" w:color="auto"/>
            </w:tcBorders>
            <w:vAlign w:val="bottom"/>
          </w:tcPr>
          <w:p w14:paraId="16EE0B8F" w14:textId="77777777" w:rsidR="00892335" w:rsidRPr="009B1322" w:rsidRDefault="00892335" w:rsidP="00A12E52">
            <w:pPr>
              <w:pStyle w:val="Tabletext"/>
              <w:rPr>
                <w:snapToGrid w:val="0"/>
              </w:rPr>
            </w:pPr>
            <w:r w:rsidRPr="00295986">
              <w:t>0</w:t>
            </w:r>
            <w:r w:rsidR="00D7157D">
              <w:t>.</w:t>
            </w:r>
            <w:r w:rsidRPr="00295986">
              <w:t>337</w:t>
            </w:r>
          </w:p>
        </w:tc>
        <w:tc>
          <w:tcPr>
            <w:tcW w:w="1878" w:type="pct"/>
            <w:tcBorders>
              <w:top w:val="single" w:sz="4" w:space="0" w:color="auto"/>
              <w:bottom w:val="single" w:sz="12" w:space="0" w:color="auto"/>
            </w:tcBorders>
            <w:vAlign w:val="bottom"/>
          </w:tcPr>
          <w:p w14:paraId="453E25F8" w14:textId="77777777" w:rsidR="00892335" w:rsidRPr="009B1322" w:rsidRDefault="00892335" w:rsidP="00A12E52">
            <w:pPr>
              <w:pStyle w:val="Tabletext"/>
              <w:rPr>
                <w:snapToGrid w:val="0"/>
              </w:rPr>
            </w:pPr>
            <w:r w:rsidRPr="00295986">
              <w:t>0</w:t>
            </w:r>
            <w:r w:rsidR="00D7157D">
              <w:t>.</w:t>
            </w:r>
            <w:r w:rsidRPr="00295986">
              <w:t>087</w:t>
            </w:r>
          </w:p>
        </w:tc>
      </w:tr>
    </w:tbl>
    <w:p w14:paraId="443A175D" w14:textId="0127AE7B" w:rsidR="00647C6B" w:rsidRPr="00A058B6" w:rsidRDefault="00D7157D" w:rsidP="00647C6B">
      <w:pPr>
        <w:pStyle w:val="ActHead5"/>
      </w:pPr>
      <w:bookmarkStart w:id="264" w:name="_Toc188350742"/>
      <w:r w:rsidRPr="00423C34">
        <w:rPr>
          <w:rStyle w:val="CharSectno"/>
        </w:rPr>
        <w:t>26</w:t>
      </w:r>
      <w:r w:rsidR="00647C6B" w:rsidRPr="00A058B6">
        <w:t xml:space="preserve">  Valuation factors—10</w:t>
      </w:r>
      <w:r w:rsidR="001952B3">
        <w:noBreakHyphen/>
      </w:r>
      <w:r w:rsidR="00647C6B" w:rsidRPr="00A058B6">
        <w:t>year guarantee period—CPI indexed pension with 5% cap</w:t>
      </w:r>
      <w:bookmarkEnd w:id="264"/>
    </w:p>
    <w:p w14:paraId="039F34D0"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0DB9C3DE" w14:textId="60D1F086"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2A9BC6E2" w14:textId="77777777" w:rsidR="00647C6B" w:rsidRPr="00A058B6" w:rsidRDefault="00647C6B" w:rsidP="00647C6B">
      <w:pPr>
        <w:pStyle w:val="paragraph"/>
      </w:pPr>
      <w:r w:rsidRPr="00A058B6">
        <w:tab/>
        <w:t>(b)</w:t>
      </w:r>
      <w:r w:rsidRPr="00A058B6">
        <w:tab/>
        <w:t>is indexed in accordance with the consumer price index with a cap of 5%</w:t>
      </w:r>
      <w:r w:rsidR="00D7157D">
        <w:t>.</w:t>
      </w:r>
    </w:p>
    <w:p w14:paraId="35299E86"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34C1BD3C" w14:textId="77777777" w:rsidTr="00963115">
        <w:trPr>
          <w:cantSplit/>
          <w:trHeight w:val="375"/>
          <w:tblHeader/>
          <w:jc w:val="right"/>
        </w:trPr>
        <w:tc>
          <w:tcPr>
            <w:tcW w:w="1705" w:type="pct"/>
            <w:vMerge w:val="restart"/>
            <w:tcBorders>
              <w:top w:val="single" w:sz="12" w:space="0" w:color="auto"/>
              <w:left w:val="nil"/>
              <w:bottom w:val="single" w:sz="12" w:space="0" w:color="auto"/>
              <w:right w:val="nil"/>
            </w:tcBorders>
          </w:tcPr>
          <w:p w14:paraId="18B34D07"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left w:val="nil"/>
              <w:bottom w:val="single" w:sz="4" w:space="0" w:color="auto"/>
              <w:right w:val="nil"/>
            </w:tcBorders>
          </w:tcPr>
          <w:p w14:paraId="319ED0EC" w14:textId="71530DBB"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w:t>
            </w:r>
            <w:r w:rsidRPr="00A058B6">
              <w:rPr>
                <w:snapToGrid w:val="0"/>
              </w:rPr>
              <w:br/>
              <w:t>CPI indexed pension with 5% cap</w:t>
            </w:r>
          </w:p>
        </w:tc>
      </w:tr>
      <w:tr w:rsidR="00647C6B" w:rsidRPr="00A058B6" w14:paraId="1B0049CA" w14:textId="77777777" w:rsidTr="00963115">
        <w:trPr>
          <w:cantSplit/>
          <w:trHeight w:val="60"/>
          <w:tblHeader/>
          <w:jc w:val="right"/>
        </w:trPr>
        <w:tc>
          <w:tcPr>
            <w:tcW w:w="1705" w:type="pct"/>
            <w:vMerge/>
            <w:tcBorders>
              <w:top w:val="nil"/>
              <w:left w:val="nil"/>
              <w:bottom w:val="single" w:sz="12" w:space="0" w:color="auto"/>
              <w:right w:val="nil"/>
            </w:tcBorders>
          </w:tcPr>
          <w:p w14:paraId="078575ED" w14:textId="77777777" w:rsidR="00647C6B" w:rsidRPr="00A058B6" w:rsidRDefault="00647C6B" w:rsidP="00963115">
            <w:pPr>
              <w:pStyle w:val="TableHeading"/>
              <w:rPr>
                <w:snapToGrid w:val="0"/>
              </w:rPr>
            </w:pPr>
          </w:p>
        </w:tc>
        <w:tc>
          <w:tcPr>
            <w:tcW w:w="1429" w:type="pct"/>
            <w:tcBorders>
              <w:top w:val="nil"/>
              <w:left w:val="nil"/>
              <w:bottom w:val="single" w:sz="12" w:space="0" w:color="auto"/>
              <w:right w:val="nil"/>
            </w:tcBorders>
          </w:tcPr>
          <w:p w14:paraId="2609B162"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left w:val="nil"/>
              <w:bottom w:val="single" w:sz="12" w:space="0" w:color="auto"/>
              <w:right w:val="nil"/>
            </w:tcBorders>
          </w:tcPr>
          <w:p w14:paraId="5CE6BD7D" w14:textId="77777777" w:rsidR="00647C6B" w:rsidRPr="00A058B6" w:rsidRDefault="00647C6B" w:rsidP="00963115">
            <w:pPr>
              <w:pStyle w:val="TableHeading"/>
              <w:rPr>
                <w:snapToGrid w:val="0"/>
              </w:rPr>
            </w:pPr>
            <w:r w:rsidRPr="00A058B6">
              <w:rPr>
                <w:snapToGrid w:val="0"/>
              </w:rPr>
              <w:t>Female</w:t>
            </w:r>
          </w:p>
        </w:tc>
      </w:tr>
      <w:tr w:rsidR="0060062E" w:rsidRPr="009E2595" w14:paraId="29574FA5" w14:textId="77777777" w:rsidTr="0012682C">
        <w:trPr>
          <w:trHeight w:val="245"/>
          <w:jc w:val="right"/>
        </w:trPr>
        <w:tc>
          <w:tcPr>
            <w:tcW w:w="1705" w:type="pct"/>
            <w:tcBorders>
              <w:top w:val="single" w:sz="12" w:space="0" w:color="auto"/>
              <w:left w:val="nil"/>
              <w:bottom w:val="single" w:sz="4" w:space="0" w:color="auto"/>
              <w:right w:val="nil"/>
            </w:tcBorders>
          </w:tcPr>
          <w:p w14:paraId="751B9B01" w14:textId="77777777" w:rsidR="0060062E" w:rsidRPr="009B1322" w:rsidRDefault="0060062E" w:rsidP="00A12E52">
            <w:pPr>
              <w:pStyle w:val="Tabletext"/>
              <w:rPr>
                <w:snapToGrid w:val="0"/>
              </w:rPr>
            </w:pPr>
            <w:r w:rsidRPr="009B1322">
              <w:rPr>
                <w:snapToGrid w:val="0"/>
              </w:rPr>
              <w:t>55</w:t>
            </w:r>
          </w:p>
        </w:tc>
        <w:tc>
          <w:tcPr>
            <w:tcW w:w="1429" w:type="pct"/>
            <w:tcBorders>
              <w:top w:val="single" w:sz="12" w:space="0" w:color="auto"/>
              <w:left w:val="nil"/>
              <w:bottom w:val="single" w:sz="4" w:space="0" w:color="auto"/>
              <w:right w:val="nil"/>
            </w:tcBorders>
            <w:vAlign w:val="bottom"/>
          </w:tcPr>
          <w:p w14:paraId="3F166049" w14:textId="77777777" w:rsidR="0060062E" w:rsidRPr="009B1322" w:rsidRDefault="0060062E" w:rsidP="00A12E52">
            <w:pPr>
              <w:pStyle w:val="Tabletext"/>
              <w:rPr>
                <w:snapToGrid w:val="0"/>
              </w:rPr>
            </w:pPr>
            <w:r w:rsidRPr="00295986">
              <w:t>19</w:t>
            </w:r>
            <w:r w:rsidR="00D7157D">
              <w:t>.</w:t>
            </w:r>
            <w:r w:rsidRPr="00295986">
              <w:t>4607</w:t>
            </w:r>
          </w:p>
        </w:tc>
        <w:tc>
          <w:tcPr>
            <w:tcW w:w="1866" w:type="pct"/>
            <w:tcBorders>
              <w:top w:val="single" w:sz="12" w:space="0" w:color="auto"/>
              <w:left w:val="nil"/>
              <w:bottom w:val="single" w:sz="4" w:space="0" w:color="auto"/>
              <w:right w:val="nil"/>
            </w:tcBorders>
            <w:vAlign w:val="center"/>
          </w:tcPr>
          <w:p w14:paraId="5878B226" w14:textId="77777777" w:rsidR="0060062E" w:rsidRPr="009B1322" w:rsidRDefault="0060062E" w:rsidP="00A12E52">
            <w:pPr>
              <w:pStyle w:val="Tabletext"/>
              <w:rPr>
                <w:snapToGrid w:val="0"/>
              </w:rPr>
            </w:pPr>
            <w:r w:rsidRPr="00295986">
              <w:t>20</w:t>
            </w:r>
            <w:r w:rsidR="00D7157D">
              <w:t>.</w:t>
            </w:r>
            <w:r w:rsidRPr="00295986">
              <w:t>2138</w:t>
            </w:r>
          </w:p>
        </w:tc>
      </w:tr>
      <w:tr w:rsidR="0060062E" w:rsidRPr="009E2595" w14:paraId="72406A72" w14:textId="77777777" w:rsidTr="0012682C">
        <w:trPr>
          <w:trHeight w:val="245"/>
          <w:jc w:val="right"/>
        </w:trPr>
        <w:tc>
          <w:tcPr>
            <w:tcW w:w="1705" w:type="pct"/>
            <w:tcBorders>
              <w:top w:val="single" w:sz="4" w:space="0" w:color="auto"/>
              <w:left w:val="nil"/>
              <w:bottom w:val="single" w:sz="4" w:space="0" w:color="auto"/>
              <w:right w:val="nil"/>
            </w:tcBorders>
          </w:tcPr>
          <w:p w14:paraId="15973FBD" w14:textId="77777777" w:rsidR="0060062E" w:rsidRPr="009B1322" w:rsidRDefault="0060062E" w:rsidP="00A12E52">
            <w:pPr>
              <w:pStyle w:val="Tabletext"/>
              <w:rPr>
                <w:snapToGrid w:val="0"/>
              </w:rPr>
            </w:pPr>
            <w:r w:rsidRPr="009B1322">
              <w:rPr>
                <w:snapToGrid w:val="0"/>
              </w:rPr>
              <w:t>56</w:t>
            </w:r>
          </w:p>
        </w:tc>
        <w:tc>
          <w:tcPr>
            <w:tcW w:w="1429" w:type="pct"/>
            <w:tcBorders>
              <w:top w:val="single" w:sz="4" w:space="0" w:color="auto"/>
              <w:left w:val="nil"/>
              <w:bottom w:val="single" w:sz="4" w:space="0" w:color="auto"/>
              <w:right w:val="nil"/>
            </w:tcBorders>
            <w:vAlign w:val="bottom"/>
          </w:tcPr>
          <w:p w14:paraId="6675047C" w14:textId="77777777" w:rsidR="0060062E" w:rsidRPr="009B1322" w:rsidRDefault="0060062E" w:rsidP="00A12E52">
            <w:pPr>
              <w:pStyle w:val="Tabletext"/>
              <w:rPr>
                <w:snapToGrid w:val="0"/>
              </w:rPr>
            </w:pPr>
            <w:r w:rsidRPr="00295986">
              <w:t>19</w:t>
            </w:r>
            <w:r w:rsidR="00D7157D">
              <w:t>.</w:t>
            </w:r>
            <w:r w:rsidRPr="00295986">
              <w:t>1440</w:t>
            </w:r>
          </w:p>
        </w:tc>
        <w:tc>
          <w:tcPr>
            <w:tcW w:w="1866" w:type="pct"/>
            <w:tcBorders>
              <w:top w:val="single" w:sz="4" w:space="0" w:color="auto"/>
              <w:left w:val="nil"/>
              <w:bottom w:val="single" w:sz="4" w:space="0" w:color="auto"/>
              <w:right w:val="nil"/>
            </w:tcBorders>
            <w:vAlign w:val="center"/>
          </w:tcPr>
          <w:p w14:paraId="3239E62F" w14:textId="77777777" w:rsidR="0060062E" w:rsidRPr="009B1322" w:rsidRDefault="0060062E" w:rsidP="00A12E52">
            <w:pPr>
              <w:pStyle w:val="Tabletext"/>
              <w:rPr>
                <w:snapToGrid w:val="0"/>
              </w:rPr>
            </w:pPr>
            <w:r w:rsidRPr="00295986">
              <w:t>19</w:t>
            </w:r>
            <w:r w:rsidR="00D7157D">
              <w:t>.</w:t>
            </w:r>
            <w:r w:rsidRPr="00295986">
              <w:t>9126</w:t>
            </w:r>
          </w:p>
        </w:tc>
      </w:tr>
      <w:tr w:rsidR="0060062E" w:rsidRPr="009E2595" w14:paraId="18B59EEF" w14:textId="77777777" w:rsidTr="0012682C">
        <w:trPr>
          <w:trHeight w:val="245"/>
          <w:jc w:val="right"/>
        </w:trPr>
        <w:tc>
          <w:tcPr>
            <w:tcW w:w="1705" w:type="pct"/>
            <w:tcBorders>
              <w:top w:val="single" w:sz="4" w:space="0" w:color="auto"/>
              <w:left w:val="nil"/>
              <w:bottom w:val="single" w:sz="4" w:space="0" w:color="auto"/>
              <w:right w:val="nil"/>
            </w:tcBorders>
          </w:tcPr>
          <w:p w14:paraId="2C407B4C" w14:textId="77777777" w:rsidR="0060062E" w:rsidRPr="009B1322" w:rsidRDefault="0060062E" w:rsidP="00A12E52">
            <w:pPr>
              <w:pStyle w:val="Tabletext"/>
              <w:rPr>
                <w:snapToGrid w:val="0"/>
              </w:rPr>
            </w:pPr>
            <w:r w:rsidRPr="009B1322">
              <w:rPr>
                <w:snapToGrid w:val="0"/>
              </w:rPr>
              <w:t>57</w:t>
            </w:r>
          </w:p>
        </w:tc>
        <w:tc>
          <w:tcPr>
            <w:tcW w:w="1429" w:type="pct"/>
            <w:tcBorders>
              <w:top w:val="single" w:sz="4" w:space="0" w:color="auto"/>
              <w:left w:val="nil"/>
              <w:bottom w:val="single" w:sz="4" w:space="0" w:color="auto"/>
              <w:right w:val="nil"/>
            </w:tcBorders>
            <w:vAlign w:val="bottom"/>
          </w:tcPr>
          <w:p w14:paraId="40C6CB08" w14:textId="77777777" w:rsidR="0060062E" w:rsidRPr="009B1322" w:rsidRDefault="0060062E" w:rsidP="00A12E52">
            <w:pPr>
              <w:pStyle w:val="Tabletext"/>
              <w:rPr>
                <w:snapToGrid w:val="0"/>
              </w:rPr>
            </w:pPr>
            <w:r w:rsidRPr="00295986">
              <w:t>18</w:t>
            </w:r>
            <w:r w:rsidR="00D7157D">
              <w:t>.</w:t>
            </w:r>
            <w:r w:rsidRPr="00295986">
              <w:t>8173</w:t>
            </w:r>
          </w:p>
        </w:tc>
        <w:tc>
          <w:tcPr>
            <w:tcW w:w="1866" w:type="pct"/>
            <w:tcBorders>
              <w:top w:val="single" w:sz="4" w:space="0" w:color="auto"/>
              <w:left w:val="nil"/>
              <w:bottom w:val="single" w:sz="4" w:space="0" w:color="auto"/>
              <w:right w:val="nil"/>
            </w:tcBorders>
            <w:vAlign w:val="center"/>
          </w:tcPr>
          <w:p w14:paraId="2567C321" w14:textId="77777777" w:rsidR="0060062E" w:rsidRPr="009B1322" w:rsidRDefault="0060062E" w:rsidP="00A12E52">
            <w:pPr>
              <w:pStyle w:val="Tabletext"/>
              <w:rPr>
                <w:snapToGrid w:val="0"/>
              </w:rPr>
            </w:pPr>
            <w:r w:rsidRPr="00295986">
              <w:t>19</w:t>
            </w:r>
            <w:r w:rsidR="00D7157D">
              <w:t>.</w:t>
            </w:r>
            <w:r w:rsidRPr="00295986">
              <w:t>6023</w:t>
            </w:r>
          </w:p>
        </w:tc>
      </w:tr>
      <w:tr w:rsidR="0060062E" w:rsidRPr="009E2595" w14:paraId="2CF5CA97" w14:textId="77777777" w:rsidTr="0012682C">
        <w:trPr>
          <w:trHeight w:val="245"/>
          <w:jc w:val="right"/>
        </w:trPr>
        <w:tc>
          <w:tcPr>
            <w:tcW w:w="1705" w:type="pct"/>
            <w:tcBorders>
              <w:top w:val="single" w:sz="4" w:space="0" w:color="auto"/>
              <w:left w:val="nil"/>
              <w:bottom w:val="single" w:sz="4" w:space="0" w:color="auto"/>
              <w:right w:val="nil"/>
            </w:tcBorders>
          </w:tcPr>
          <w:p w14:paraId="0A9EF76A" w14:textId="77777777" w:rsidR="0060062E" w:rsidRPr="009B1322" w:rsidRDefault="0060062E" w:rsidP="00A12E52">
            <w:pPr>
              <w:pStyle w:val="Tabletext"/>
              <w:rPr>
                <w:snapToGrid w:val="0"/>
              </w:rPr>
            </w:pPr>
            <w:r w:rsidRPr="009B1322">
              <w:rPr>
                <w:snapToGrid w:val="0"/>
              </w:rPr>
              <w:t>58</w:t>
            </w:r>
          </w:p>
        </w:tc>
        <w:tc>
          <w:tcPr>
            <w:tcW w:w="1429" w:type="pct"/>
            <w:tcBorders>
              <w:top w:val="single" w:sz="4" w:space="0" w:color="auto"/>
              <w:left w:val="nil"/>
              <w:bottom w:val="single" w:sz="4" w:space="0" w:color="auto"/>
              <w:right w:val="nil"/>
            </w:tcBorders>
            <w:vAlign w:val="bottom"/>
          </w:tcPr>
          <w:p w14:paraId="0F866704" w14:textId="77777777" w:rsidR="0060062E" w:rsidRPr="009B1322" w:rsidRDefault="0060062E" w:rsidP="00A12E52">
            <w:pPr>
              <w:pStyle w:val="Tabletext"/>
              <w:rPr>
                <w:snapToGrid w:val="0"/>
              </w:rPr>
            </w:pPr>
            <w:r w:rsidRPr="00295986">
              <w:t>18</w:t>
            </w:r>
            <w:r w:rsidR="00D7157D">
              <w:t>.</w:t>
            </w:r>
            <w:r w:rsidRPr="00295986">
              <w:t>4805</w:t>
            </w:r>
          </w:p>
        </w:tc>
        <w:tc>
          <w:tcPr>
            <w:tcW w:w="1866" w:type="pct"/>
            <w:tcBorders>
              <w:top w:val="single" w:sz="4" w:space="0" w:color="auto"/>
              <w:left w:val="nil"/>
              <w:bottom w:val="single" w:sz="4" w:space="0" w:color="auto"/>
              <w:right w:val="nil"/>
            </w:tcBorders>
            <w:vAlign w:val="center"/>
          </w:tcPr>
          <w:p w14:paraId="322ABF33" w14:textId="77777777" w:rsidR="0060062E" w:rsidRPr="009B1322" w:rsidRDefault="0060062E" w:rsidP="00A12E52">
            <w:pPr>
              <w:pStyle w:val="Tabletext"/>
              <w:rPr>
                <w:snapToGrid w:val="0"/>
              </w:rPr>
            </w:pPr>
            <w:r w:rsidRPr="00295986">
              <w:t>19</w:t>
            </w:r>
            <w:r w:rsidR="00D7157D">
              <w:t>.</w:t>
            </w:r>
            <w:r w:rsidRPr="00295986">
              <w:t>2824</w:t>
            </w:r>
          </w:p>
        </w:tc>
      </w:tr>
      <w:tr w:rsidR="0060062E" w:rsidRPr="009E2595" w14:paraId="0E813E24" w14:textId="77777777" w:rsidTr="0012682C">
        <w:trPr>
          <w:trHeight w:val="245"/>
          <w:jc w:val="right"/>
        </w:trPr>
        <w:tc>
          <w:tcPr>
            <w:tcW w:w="1705" w:type="pct"/>
            <w:tcBorders>
              <w:top w:val="single" w:sz="4" w:space="0" w:color="auto"/>
              <w:left w:val="nil"/>
              <w:bottom w:val="single" w:sz="4" w:space="0" w:color="auto"/>
              <w:right w:val="nil"/>
            </w:tcBorders>
          </w:tcPr>
          <w:p w14:paraId="6C69CC22" w14:textId="77777777" w:rsidR="0060062E" w:rsidRPr="009B1322" w:rsidRDefault="0060062E" w:rsidP="00A12E52">
            <w:pPr>
              <w:pStyle w:val="Tabletext"/>
              <w:rPr>
                <w:snapToGrid w:val="0"/>
              </w:rPr>
            </w:pPr>
            <w:r w:rsidRPr="009B1322">
              <w:rPr>
                <w:snapToGrid w:val="0"/>
              </w:rPr>
              <w:t>59</w:t>
            </w:r>
          </w:p>
        </w:tc>
        <w:tc>
          <w:tcPr>
            <w:tcW w:w="1429" w:type="pct"/>
            <w:tcBorders>
              <w:top w:val="single" w:sz="4" w:space="0" w:color="auto"/>
              <w:left w:val="nil"/>
              <w:bottom w:val="single" w:sz="4" w:space="0" w:color="auto"/>
              <w:right w:val="nil"/>
            </w:tcBorders>
            <w:vAlign w:val="bottom"/>
          </w:tcPr>
          <w:p w14:paraId="31C926EB" w14:textId="77777777" w:rsidR="0060062E" w:rsidRPr="009B1322" w:rsidRDefault="0060062E" w:rsidP="00A12E52">
            <w:pPr>
              <w:pStyle w:val="Tabletext"/>
              <w:rPr>
                <w:snapToGrid w:val="0"/>
              </w:rPr>
            </w:pPr>
            <w:r w:rsidRPr="00295986">
              <w:t>18</w:t>
            </w:r>
            <w:r w:rsidR="00D7157D">
              <w:t>.</w:t>
            </w:r>
            <w:r w:rsidRPr="00295986">
              <w:t>1335</w:t>
            </w:r>
          </w:p>
        </w:tc>
        <w:tc>
          <w:tcPr>
            <w:tcW w:w="1866" w:type="pct"/>
            <w:tcBorders>
              <w:top w:val="single" w:sz="4" w:space="0" w:color="auto"/>
              <w:left w:val="nil"/>
              <w:bottom w:val="single" w:sz="4" w:space="0" w:color="auto"/>
              <w:right w:val="nil"/>
            </w:tcBorders>
            <w:vAlign w:val="center"/>
          </w:tcPr>
          <w:p w14:paraId="0CE6D4E0" w14:textId="77777777" w:rsidR="0060062E" w:rsidRPr="009B1322" w:rsidRDefault="0060062E" w:rsidP="00A12E52">
            <w:pPr>
              <w:pStyle w:val="Tabletext"/>
              <w:rPr>
                <w:snapToGrid w:val="0"/>
              </w:rPr>
            </w:pPr>
            <w:r w:rsidRPr="00295986">
              <w:t>18</w:t>
            </w:r>
            <w:r w:rsidR="00D7157D">
              <w:t>.</w:t>
            </w:r>
            <w:r w:rsidRPr="00295986">
              <w:t>9527</w:t>
            </w:r>
          </w:p>
        </w:tc>
      </w:tr>
      <w:tr w:rsidR="0060062E" w:rsidRPr="009E2595" w14:paraId="409830E9" w14:textId="77777777" w:rsidTr="0012682C">
        <w:trPr>
          <w:trHeight w:val="245"/>
          <w:jc w:val="right"/>
        </w:trPr>
        <w:tc>
          <w:tcPr>
            <w:tcW w:w="1705" w:type="pct"/>
            <w:tcBorders>
              <w:top w:val="single" w:sz="4" w:space="0" w:color="auto"/>
              <w:left w:val="nil"/>
              <w:bottom w:val="single" w:sz="4" w:space="0" w:color="auto"/>
              <w:right w:val="nil"/>
            </w:tcBorders>
          </w:tcPr>
          <w:p w14:paraId="0F39975D" w14:textId="77777777" w:rsidR="0060062E" w:rsidRPr="009B1322" w:rsidRDefault="0060062E" w:rsidP="00A12E52">
            <w:pPr>
              <w:pStyle w:val="Tabletext"/>
              <w:rPr>
                <w:snapToGrid w:val="0"/>
              </w:rPr>
            </w:pPr>
            <w:r w:rsidRPr="009B1322">
              <w:rPr>
                <w:snapToGrid w:val="0"/>
              </w:rPr>
              <w:t>60</w:t>
            </w:r>
          </w:p>
        </w:tc>
        <w:tc>
          <w:tcPr>
            <w:tcW w:w="1429" w:type="pct"/>
            <w:tcBorders>
              <w:top w:val="single" w:sz="4" w:space="0" w:color="auto"/>
              <w:left w:val="nil"/>
              <w:bottom w:val="single" w:sz="4" w:space="0" w:color="auto"/>
              <w:right w:val="nil"/>
            </w:tcBorders>
            <w:vAlign w:val="bottom"/>
          </w:tcPr>
          <w:p w14:paraId="2F708BAD" w14:textId="77777777" w:rsidR="0060062E" w:rsidRPr="009B1322" w:rsidRDefault="0060062E" w:rsidP="00A12E52">
            <w:pPr>
              <w:pStyle w:val="Tabletext"/>
              <w:rPr>
                <w:snapToGrid w:val="0"/>
              </w:rPr>
            </w:pPr>
            <w:r w:rsidRPr="00295986">
              <w:t>17</w:t>
            </w:r>
            <w:r w:rsidR="00D7157D">
              <w:t>.</w:t>
            </w:r>
            <w:r w:rsidRPr="00295986">
              <w:t>7765</w:t>
            </w:r>
          </w:p>
        </w:tc>
        <w:tc>
          <w:tcPr>
            <w:tcW w:w="1866" w:type="pct"/>
            <w:tcBorders>
              <w:top w:val="single" w:sz="4" w:space="0" w:color="auto"/>
              <w:left w:val="nil"/>
              <w:bottom w:val="single" w:sz="4" w:space="0" w:color="auto"/>
              <w:right w:val="nil"/>
            </w:tcBorders>
            <w:vAlign w:val="center"/>
          </w:tcPr>
          <w:p w14:paraId="0BAB2ADE" w14:textId="77777777" w:rsidR="0060062E" w:rsidRPr="009B1322" w:rsidRDefault="0060062E" w:rsidP="00A12E52">
            <w:pPr>
              <w:pStyle w:val="Tabletext"/>
              <w:rPr>
                <w:snapToGrid w:val="0"/>
              </w:rPr>
            </w:pPr>
            <w:r w:rsidRPr="00295986">
              <w:t>18</w:t>
            </w:r>
            <w:r w:rsidR="00D7157D">
              <w:t>.</w:t>
            </w:r>
            <w:r w:rsidRPr="00295986">
              <w:t>6129</w:t>
            </w:r>
          </w:p>
        </w:tc>
      </w:tr>
      <w:tr w:rsidR="0060062E" w:rsidRPr="009E2595" w14:paraId="40B72883" w14:textId="77777777" w:rsidTr="0012682C">
        <w:trPr>
          <w:trHeight w:val="245"/>
          <w:jc w:val="right"/>
        </w:trPr>
        <w:tc>
          <w:tcPr>
            <w:tcW w:w="1705" w:type="pct"/>
            <w:tcBorders>
              <w:top w:val="single" w:sz="4" w:space="0" w:color="auto"/>
              <w:left w:val="nil"/>
              <w:bottom w:val="single" w:sz="4" w:space="0" w:color="auto"/>
              <w:right w:val="nil"/>
            </w:tcBorders>
          </w:tcPr>
          <w:p w14:paraId="29991F35" w14:textId="77777777" w:rsidR="0060062E" w:rsidRPr="009B1322" w:rsidRDefault="0060062E" w:rsidP="00A12E52">
            <w:pPr>
              <w:pStyle w:val="Tabletext"/>
              <w:rPr>
                <w:snapToGrid w:val="0"/>
              </w:rPr>
            </w:pPr>
            <w:r w:rsidRPr="009B1322">
              <w:rPr>
                <w:snapToGrid w:val="0"/>
              </w:rPr>
              <w:t>61</w:t>
            </w:r>
          </w:p>
        </w:tc>
        <w:tc>
          <w:tcPr>
            <w:tcW w:w="1429" w:type="pct"/>
            <w:tcBorders>
              <w:top w:val="single" w:sz="4" w:space="0" w:color="auto"/>
              <w:left w:val="nil"/>
              <w:bottom w:val="single" w:sz="4" w:space="0" w:color="auto"/>
              <w:right w:val="nil"/>
            </w:tcBorders>
            <w:vAlign w:val="bottom"/>
          </w:tcPr>
          <w:p w14:paraId="724EEF72" w14:textId="77777777" w:rsidR="0060062E" w:rsidRPr="009B1322" w:rsidRDefault="0060062E" w:rsidP="00A12E52">
            <w:pPr>
              <w:pStyle w:val="Tabletext"/>
              <w:rPr>
                <w:snapToGrid w:val="0"/>
              </w:rPr>
            </w:pPr>
            <w:r w:rsidRPr="00295986">
              <w:t>17</w:t>
            </w:r>
            <w:r w:rsidR="00D7157D">
              <w:t>.</w:t>
            </w:r>
            <w:r w:rsidRPr="00295986">
              <w:t>4099</w:t>
            </w:r>
          </w:p>
        </w:tc>
        <w:tc>
          <w:tcPr>
            <w:tcW w:w="1866" w:type="pct"/>
            <w:tcBorders>
              <w:top w:val="single" w:sz="4" w:space="0" w:color="auto"/>
              <w:left w:val="nil"/>
              <w:bottom w:val="single" w:sz="4" w:space="0" w:color="auto"/>
              <w:right w:val="nil"/>
            </w:tcBorders>
            <w:vAlign w:val="center"/>
          </w:tcPr>
          <w:p w14:paraId="5944D549" w14:textId="77777777" w:rsidR="0060062E" w:rsidRPr="009B1322" w:rsidRDefault="0060062E" w:rsidP="00A12E52">
            <w:pPr>
              <w:pStyle w:val="Tabletext"/>
              <w:rPr>
                <w:snapToGrid w:val="0"/>
              </w:rPr>
            </w:pPr>
            <w:r w:rsidRPr="00295986">
              <w:t>18</w:t>
            </w:r>
            <w:r w:rsidR="00D7157D">
              <w:t>.</w:t>
            </w:r>
            <w:r w:rsidRPr="00295986">
              <w:t>2628</w:t>
            </w:r>
          </w:p>
        </w:tc>
      </w:tr>
      <w:tr w:rsidR="0060062E" w:rsidRPr="009E2595" w14:paraId="65F0C0C9" w14:textId="77777777" w:rsidTr="0012682C">
        <w:trPr>
          <w:trHeight w:val="245"/>
          <w:jc w:val="right"/>
        </w:trPr>
        <w:tc>
          <w:tcPr>
            <w:tcW w:w="1705" w:type="pct"/>
            <w:tcBorders>
              <w:top w:val="single" w:sz="4" w:space="0" w:color="auto"/>
              <w:left w:val="nil"/>
              <w:bottom w:val="single" w:sz="4" w:space="0" w:color="auto"/>
              <w:right w:val="nil"/>
            </w:tcBorders>
          </w:tcPr>
          <w:p w14:paraId="4D99FF02" w14:textId="77777777" w:rsidR="0060062E" w:rsidRPr="009B1322" w:rsidRDefault="0060062E" w:rsidP="00A12E52">
            <w:pPr>
              <w:pStyle w:val="Tabletext"/>
              <w:rPr>
                <w:snapToGrid w:val="0"/>
              </w:rPr>
            </w:pPr>
            <w:r w:rsidRPr="009B1322">
              <w:rPr>
                <w:snapToGrid w:val="0"/>
              </w:rPr>
              <w:t>62</w:t>
            </w:r>
          </w:p>
        </w:tc>
        <w:tc>
          <w:tcPr>
            <w:tcW w:w="1429" w:type="pct"/>
            <w:tcBorders>
              <w:top w:val="single" w:sz="4" w:space="0" w:color="auto"/>
              <w:left w:val="nil"/>
              <w:bottom w:val="single" w:sz="4" w:space="0" w:color="auto"/>
              <w:right w:val="nil"/>
            </w:tcBorders>
            <w:vAlign w:val="bottom"/>
          </w:tcPr>
          <w:p w14:paraId="27D8CC44" w14:textId="77777777" w:rsidR="0060062E" w:rsidRPr="009B1322" w:rsidRDefault="0060062E" w:rsidP="00A12E52">
            <w:pPr>
              <w:pStyle w:val="Tabletext"/>
              <w:rPr>
                <w:snapToGrid w:val="0"/>
              </w:rPr>
            </w:pPr>
            <w:r w:rsidRPr="00295986">
              <w:t>17</w:t>
            </w:r>
            <w:r w:rsidR="00D7157D">
              <w:t>.</w:t>
            </w:r>
            <w:r w:rsidRPr="00295986">
              <w:t>0337</w:t>
            </w:r>
          </w:p>
        </w:tc>
        <w:tc>
          <w:tcPr>
            <w:tcW w:w="1866" w:type="pct"/>
            <w:tcBorders>
              <w:top w:val="single" w:sz="4" w:space="0" w:color="auto"/>
              <w:left w:val="nil"/>
              <w:bottom w:val="single" w:sz="4" w:space="0" w:color="auto"/>
              <w:right w:val="nil"/>
            </w:tcBorders>
            <w:vAlign w:val="center"/>
          </w:tcPr>
          <w:p w14:paraId="43210CB1" w14:textId="77777777" w:rsidR="0060062E" w:rsidRPr="009B1322" w:rsidRDefault="0060062E" w:rsidP="00A12E52">
            <w:pPr>
              <w:pStyle w:val="Tabletext"/>
              <w:rPr>
                <w:snapToGrid w:val="0"/>
              </w:rPr>
            </w:pPr>
            <w:r w:rsidRPr="00295986">
              <w:t>17</w:t>
            </w:r>
            <w:r w:rsidR="00D7157D">
              <w:t>.</w:t>
            </w:r>
            <w:r w:rsidRPr="00295986">
              <w:t>9029</w:t>
            </w:r>
          </w:p>
        </w:tc>
      </w:tr>
      <w:tr w:rsidR="0060062E" w:rsidRPr="009E2595" w14:paraId="47048CF7" w14:textId="77777777" w:rsidTr="0012682C">
        <w:trPr>
          <w:trHeight w:val="245"/>
          <w:jc w:val="right"/>
        </w:trPr>
        <w:tc>
          <w:tcPr>
            <w:tcW w:w="1705" w:type="pct"/>
            <w:tcBorders>
              <w:top w:val="single" w:sz="4" w:space="0" w:color="auto"/>
              <w:left w:val="nil"/>
              <w:bottom w:val="single" w:sz="4" w:space="0" w:color="auto"/>
              <w:right w:val="nil"/>
            </w:tcBorders>
          </w:tcPr>
          <w:p w14:paraId="6020BABB" w14:textId="77777777" w:rsidR="0060062E" w:rsidRPr="009B1322" w:rsidRDefault="0060062E" w:rsidP="00A12E52">
            <w:pPr>
              <w:pStyle w:val="Tabletext"/>
              <w:rPr>
                <w:snapToGrid w:val="0"/>
              </w:rPr>
            </w:pPr>
            <w:r w:rsidRPr="009B1322">
              <w:rPr>
                <w:snapToGrid w:val="0"/>
              </w:rPr>
              <w:t>63</w:t>
            </w:r>
          </w:p>
        </w:tc>
        <w:tc>
          <w:tcPr>
            <w:tcW w:w="1429" w:type="pct"/>
            <w:tcBorders>
              <w:top w:val="single" w:sz="4" w:space="0" w:color="auto"/>
              <w:left w:val="nil"/>
              <w:bottom w:val="single" w:sz="4" w:space="0" w:color="auto"/>
              <w:right w:val="nil"/>
            </w:tcBorders>
            <w:vAlign w:val="bottom"/>
          </w:tcPr>
          <w:p w14:paraId="62A87E5C" w14:textId="77777777" w:rsidR="0060062E" w:rsidRPr="009B1322" w:rsidRDefault="0060062E" w:rsidP="00A12E52">
            <w:pPr>
              <w:pStyle w:val="Tabletext"/>
              <w:rPr>
                <w:snapToGrid w:val="0"/>
              </w:rPr>
            </w:pPr>
            <w:r w:rsidRPr="00295986">
              <w:t>16</w:t>
            </w:r>
            <w:r w:rsidR="00D7157D">
              <w:t>.</w:t>
            </w:r>
            <w:r w:rsidRPr="00295986">
              <w:t>6484</w:t>
            </w:r>
          </w:p>
        </w:tc>
        <w:tc>
          <w:tcPr>
            <w:tcW w:w="1866" w:type="pct"/>
            <w:tcBorders>
              <w:top w:val="single" w:sz="4" w:space="0" w:color="auto"/>
              <w:left w:val="nil"/>
              <w:bottom w:val="single" w:sz="4" w:space="0" w:color="auto"/>
              <w:right w:val="nil"/>
            </w:tcBorders>
            <w:vAlign w:val="center"/>
          </w:tcPr>
          <w:p w14:paraId="750474DF" w14:textId="77777777" w:rsidR="0060062E" w:rsidRPr="009B1322" w:rsidRDefault="0060062E" w:rsidP="00A12E52">
            <w:pPr>
              <w:pStyle w:val="Tabletext"/>
              <w:rPr>
                <w:snapToGrid w:val="0"/>
              </w:rPr>
            </w:pPr>
            <w:r w:rsidRPr="00295986">
              <w:t>17</w:t>
            </w:r>
            <w:r w:rsidR="00D7157D">
              <w:t>.</w:t>
            </w:r>
            <w:r w:rsidRPr="00295986">
              <w:t>5333</w:t>
            </w:r>
          </w:p>
        </w:tc>
      </w:tr>
      <w:tr w:rsidR="0060062E" w:rsidRPr="009E2595" w14:paraId="577F6ECF" w14:textId="77777777" w:rsidTr="0012682C">
        <w:trPr>
          <w:trHeight w:val="245"/>
          <w:jc w:val="right"/>
        </w:trPr>
        <w:tc>
          <w:tcPr>
            <w:tcW w:w="1705" w:type="pct"/>
            <w:tcBorders>
              <w:top w:val="single" w:sz="4" w:space="0" w:color="auto"/>
              <w:left w:val="nil"/>
              <w:bottom w:val="single" w:sz="4" w:space="0" w:color="auto"/>
              <w:right w:val="nil"/>
            </w:tcBorders>
          </w:tcPr>
          <w:p w14:paraId="14A0C69C" w14:textId="77777777" w:rsidR="0060062E" w:rsidRPr="009B1322" w:rsidRDefault="0060062E" w:rsidP="00A12E52">
            <w:pPr>
              <w:pStyle w:val="Tabletext"/>
              <w:rPr>
                <w:snapToGrid w:val="0"/>
              </w:rPr>
            </w:pPr>
            <w:r w:rsidRPr="009B1322">
              <w:rPr>
                <w:snapToGrid w:val="0"/>
              </w:rPr>
              <w:t>64</w:t>
            </w:r>
          </w:p>
        </w:tc>
        <w:tc>
          <w:tcPr>
            <w:tcW w:w="1429" w:type="pct"/>
            <w:tcBorders>
              <w:top w:val="single" w:sz="4" w:space="0" w:color="auto"/>
              <w:left w:val="nil"/>
              <w:bottom w:val="single" w:sz="4" w:space="0" w:color="auto"/>
              <w:right w:val="nil"/>
            </w:tcBorders>
            <w:vAlign w:val="bottom"/>
          </w:tcPr>
          <w:p w14:paraId="76F01135" w14:textId="77777777" w:rsidR="0060062E" w:rsidRPr="009B1322" w:rsidRDefault="0060062E" w:rsidP="00A12E52">
            <w:pPr>
              <w:pStyle w:val="Tabletext"/>
              <w:rPr>
                <w:snapToGrid w:val="0"/>
              </w:rPr>
            </w:pPr>
            <w:r w:rsidRPr="00295986">
              <w:t>16</w:t>
            </w:r>
            <w:r w:rsidR="00D7157D">
              <w:t>.</w:t>
            </w:r>
            <w:r w:rsidRPr="00295986">
              <w:t>2543</w:t>
            </w:r>
          </w:p>
        </w:tc>
        <w:tc>
          <w:tcPr>
            <w:tcW w:w="1866" w:type="pct"/>
            <w:tcBorders>
              <w:top w:val="single" w:sz="4" w:space="0" w:color="auto"/>
              <w:left w:val="nil"/>
              <w:bottom w:val="single" w:sz="4" w:space="0" w:color="auto"/>
              <w:right w:val="nil"/>
            </w:tcBorders>
            <w:vAlign w:val="center"/>
          </w:tcPr>
          <w:p w14:paraId="72D1037B" w14:textId="77777777" w:rsidR="0060062E" w:rsidRPr="009B1322" w:rsidRDefault="0060062E" w:rsidP="00A12E52">
            <w:pPr>
              <w:pStyle w:val="Tabletext"/>
              <w:rPr>
                <w:snapToGrid w:val="0"/>
              </w:rPr>
            </w:pPr>
            <w:r w:rsidRPr="00295986">
              <w:t>17</w:t>
            </w:r>
            <w:r w:rsidR="00D7157D">
              <w:t>.</w:t>
            </w:r>
            <w:r w:rsidRPr="00295986">
              <w:t>1545</w:t>
            </w:r>
          </w:p>
        </w:tc>
      </w:tr>
      <w:tr w:rsidR="0060062E" w:rsidRPr="009E2595" w14:paraId="5DF82493" w14:textId="77777777" w:rsidTr="0012682C">
        <w:trPr>
          <w:trHeight w:val="245"/>
          <w:jc w:val="right"/>
        </w:trPr>
        <w:tc>
          <w:tcPr>
            <w:tcW w:w="1705" w:type="pct"/>
            <w:tcBorders>
              <w:top w:val="single" w:sz="4" w:space="0" w:color="auto"/>
              <w:left w:val="nil"/>
              <w:bottom w:val="single" w:sz="12" w:space="0" w:color="auto"/>
              <w:right w:val="nil"/>
            </w:tcBorders>
          </w:tcPr>
          <w:p w14:paraId="4ECACF0B" w14:textId="77777777" w:rsidR="0060062E" w:rsidRPr="009B1322" w:rsidRDefault="0060062E" w:rsidP="00A12E52">
            <w:pPr>
              <w:pStyle w:val="Tabletext"/>
              <w:rPr>
                <w:snapToGrid w:val="0"/>
              </w:rPr>
            </w:pPr>
            <w:r w:rsidRPr="009B1322">
              <w:rPr>
                <w:snapToGrid w:val="0"/>
              </w:rPr>
              <w:t>65</w:t>
            </w:r>
          </w:p>
        </w:tc>
        <w:tc>
          <w:tcPr>
            <w:tcW w:w="1429" w:type="pct"/>
            <w:tcBorders>
              <w:top w:val="single" w:sz="4" w:space="0" w:color="auto"/>
              <w:left w:val="nil"/>
              <w:bottom w:val="single" w:sz="12" w:space="0" w:color="auto"/>
              <w:right w:val="nil"/>
            </w:tcBorders>
            <w:vAlign w:val="bottom"/>
          </w:tcPr>
          <w:p w14:paraId="5575BCA6" w14:textId="77777777" w:rsidR="0060062E" w:rsidRPr="009B1322" w:rsidRDefault="0060062E" w:rsidP="00A12E52">
            <w:pPr>
              <w:pStyle w:val="Tabletext"/>
              <w:rPr>
                <w:snapToGrid w:val="0"/>
              </w:rPr>
            </w:pPr>
            <w:r w:rsidRPr="00295986">
              <w:t>15</w:t>
            </w:r>
            <w:r w:rsidR="00D7157D">
              <w:t>.</w:t>
            </w:r>
            <w:r w:rsidRPr="00295986">
              <w:t>8528</w:t>
            </w:r>
          </w:p>
        </w:tc>
        <w:tc>
          <w:tcPr>
            <w:tcW w:w="1866" w:type="pct"/>
            <w:tcBorders>
              <w:top w:val="single" w:sz="4" w:space="0" w:color="auto"/>
              <w:left w:val="nil"/>
              <w:bottom w:val="single" w:sz="12" w:space="0" w:color="auto"/>
              <w:right w:val="nil"/>
            </w:tcBorders>
            <w:vAlign w:val="center"/>
          </w:tcPr>
          <w:p w14:paraId="20D31C79" w14:textId="77777777" w:rsidR="0060062E" w:rsidRPr="009B1322" w:rsidRDefault="0060062E" w:rsidP="00A12E52">
            <w:pPr>
              <w:pStyle w:val="Tabletext"/>
              <w:rPr>
                <w:snapToGrid w:val="0"/>
              </w:rPr>
            </w:pPr>
            <w:r w:rsidRPr="00295986">
              <w:t>16</w:t>
            </w:r>
            <w:r w:rsidR="00D7157D">
              <w:t>.</w:t>
            </w:r>
            <w:r w:rsidRPr="00295986">
              <w:t>7673</w:t>
            </w:r>
          </w:p>
        </w:tc>
      </w:tr>
    </w:tbl>
    <w:p w14:paraId="139FF458"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126BB375" w14:textId="77777777" w:rsidTr="00963115">
        <w:trPr>
          <w:cantSplit/>
          <w:trHeight w:val="375"/>
          <w:tblHeader/>
          <w:jc w:val="right"/>
        </w:trPr>
        <w:tc>
          <w:tcPr>
            <w:tcW w:w="1705" w:type="pct"/>
            <w:vMerge w:val="restart"/>
            <w:tcBorders>
              <w:top w:val="single" w:sz="12" w:space="0" w:color="auto"/>
              <w:left w:val="nil"/>
              <w:bottom w:val="nil"/>
              <w:right w:val="nil"/>
            </w:tcBorders>
          </w:tcPr>
          <w:p w14:paraId="7A6D9EBE"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left w:val="nil"/>
              <w:bottom w:val="single" w:sz="4" w:space="0" w:color="auto"/>
              <w:right w:val="nil"/>
            </w:tcBorders>
          </w:tcPr>
          <w:p w14:paraId="5A6FE9DD" w14:textId="096CE45A"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w:t>
            </w:r>
            <w:r w:rsidRPr="00A058B6">
              <w:rPr>
                <w:snapToGrid w:val="0"/>
              </w:rPr>
              <w:br/>
              <w:t>CPI indexed pension with 5% cap</w:t>
            </w:r>
          </w:p>
        </w:tc>
      </w:tr>
      <w:tr w:rsidR="00647C6B" w:rsidRPr="00A058B6" w14:paraId="61A229EF" w14:textId="77777777" w:rsidTr="00963115">
        <w:trPr>
          <w:cantSplit/>
          <w:trHeight w:val="60"/>
          <w:tblHeader/>
          <w:jc w:val="right"/>
        </w:trPr>
        <w:tc>
          <w:tcPr>
            <w:tcW w:w="1705" w:type="pct"/>
            <w:vMerge/>
            <w:tcBorders>
              <w:top w:val="nil"/>
              <w:left w:val="nil"/>
              <w:bottom w:val="single" w:sz="12" w:space="0" w:color="auto"/>
              <w:right w:val="nil"/>
            </w:tcBorders>
          </w:tcPr>
          <w:p w14:paraId="48D03FC2" w14:textId="77777777" w:rsidR="00647C6B" w:rsidRPr="00A058B6" w:rsidRDefault="00647C6B" w:rsidP="00963115">
            <w:pPr>
              <w:pStyle w:val="TableHeading"/>
              <w:rPr>
                <w:snapToGrid w:val="0"/>
              </w:rPr>
            </w:pPr>
          </w:p>
        </w:tc>
        <w:tc>
          <w:tcPr>
            <w:tcW w:w="1417" w:type="pct"/>
            <w:tcBorders>
              <w:top w:val="nil"/>
              <w:left w:val="nil"/>
              <w:bottom w:val="single" w:sz="12" w:space="0" w:color="auto"/>
              <w:right w:val="nil"/>
            </w:tcBorders>
          </w:tcPr>
          <w:p w14:paraId="782ACE6A"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left w:val="nil"/>
              <w:bottom w:val="single" w:sz="12" w:space="0" w:color="auto"/>
              <w:right w:val="nil"/>
            </w:tcBorders>
          </w:tcPr>
          <w:p w14:paraId="1D3DA9A7" w14:textId="77777777" w:rsidR="00647C6B" w:rsidRPr="00A058B6" w:rsidRDefault="00647C6B" w:rsidP="00963115">
            <w:pPr>
              <w:pStyle w:val="TableHeading"/>
              <w:rPr>
                <w:snapToGrid w:val="0"/>
              </w:rPr>
            </w:pPr>
            <w:r w:rsidRPr="00A058B6">
              <w:rPr>
                <w:snapToGrid w:val="0"/>
              </w:rPr>
              <w:t>Female</w:t>
            </w:r>
          </w:p>
        </w:tc>
      </w:tr>
      <w:tr w:rsidR="0060062E" w:rsidRPr="009E2595" w14:paraId="39D0C40A" w14:textId="77777777" w:rsidTr="0012682C">
        <w:trPr>
          <w:trHeight w:val="245"/>
          <w:jc w:val="right"/>
        </w:trPr>
        <w:tc>
          <w:tcPr>
            <w:tcW w:w="1705" w:type="pct"/>
            <w:tcBorders>
              <w:top w:val="single" w:sz="12" w:space="0" w:color="auto"/>
              <w:left w:val="nil"/>
              <w:bottom w:val="single" w:sz="4" w:space="0" w:color="auto"/>
              <w:right w:val="nil"/>
            </w:tcBorders>
          </w:tcPr>
          <w:p w14:paraId="252F8D7E" w14:textId="77777777" w:rsidR="0060062E" w:rsidRPr="009B1322" w:rsidRDefault="0060062E" w:rsidP="00A12E52">
            <w:pPr>
              <w:pStyle w:val="Tabletext"/>
              <w:rPr>
                <w:snapToGrid w:val="0"/>
              </w:rPr>
            </w:pPr>
            <w:r w:rsidRPr="009B1322">
              <w:rPr>
                <w:snapToGrid w:val="0"/>
              </w:rPr>
              <w:t>Up to 40</w:t>
            </w:r>
          </w:p>
        </w:tc>
        <w:tc>
          <w:tcPr>
            <w:tcW w:w="1417" w:type="pct"/>
            <w:tcBorders>
              <w:top w:val="single" w:sz="12" w:space="0" w:color="auto"/>
              <w:left w:val="nil"/>
              <w:bottom w:val="single" w:sz="4" w:space="0" w:color="auto"/>
              <w:right w:val="nil"/>
            </w:tcBorders>
            <w:vAlign w:val="bottom"/>
          </w:tcPr>
          <w:p w14:paraId="2C53E22E" w14:textId="77777777" w:rsidR="0060062E" w:rsidRPr="009B1322" w:rsidRDefault="0060062E" w:rsidP="00A12E52">
            <w:pPr>
              <w:pStyle w:val="Tabletext"/>
              <w:rPr>
                <w:snapToGrid w:val="0"/>
              </w:rPr>
            </w:pPr>
            <w:r w:rsidRPr="00295986">
              <w:t>1</w:t>
            </w:r>
            <w:r w:rsidR="00D7157D">
              <w:t>.</w:t>
            </w:r>
            <w:r w:rsidRPr="00295986">
              <w:t>966</w:t>
            </w:r>
          </w:p>
        </w:tc>
        <w:tc>
          <w:tcPr>
            <w:tcW w:w="1878" w:type="pct"/>
            <w:tcBorders>
              <w:top w:val="single" w:sz="12" w:space="0" w:color="auto"/>
              <w:left w:val="nil"/>
              <w:bottom w:val="single" w:sz="4" w:space="0" w:color="auto"/>
              <w:right w:val="nil"/>
            </w:tcBorders>
            <w:vAlign w:val="bottom"/>
          </w:tcPr>
          <w:p w14:paraId="2918DC86" w14:textId="77777777" w:rsidR="0060062E" w:rsidRPr="009B1322" w:rsidRDefault="0060062E" w:rsidP="00A12E52">
            <w:pPr>
              <w:pStyle w:val="Tabletext"/>
              <w:rPr>
                <w:snapToGrid w:val="0"/>
              </w:rPr>
            </w:pPr>
            <w:r w:rsidRPr="00295986">
              <w:t>0</w:t>
            </w:r>
            <w:r w:rsidR="00D7157D">
              <w:t>.</w:t>
            </w:r>
            <w:r w:rsidRPr="00295986">
              <w:t>842</w:t>
            </w:r>
          </w:p>
        </w:tc>
      </w:tr>
      <w:tr w:rsidR="0060062E" w:rsidRPr="009E2595" w14:paraId="2265D595" w14:textId="77777777" w:rsidTr="0012682C">
        <w:trPr>
          <w:trHeight w:val="245"/>
          <w:jc w:val="right"/>
        </w:trPr>
        <w:tc>
          <w:tcPr>
            <w:tcW w:w="1705" w:type="pct"/>
            <w:tcBorders>
              <w:top w:val="single" w:sz="4" w:space="0" w:color="auto"/>
              <w:left w:val="nil"/>
              <w:bottom w:val="single" w:sz="4" w:space="0" w:color="auto"/>
              <w:right w:val="nil"/>
            </w:tcBorders>
          </w:tcPr>
          <w:p w14:paraId="18FD98CA" w14:textId="77777777" w:rsidR="0060062E" w:rsidRPr="009B1322" w:rsidRDefault="0060062E" w:rsidP="00A12E52">
            <w:pPr>
              <w:pStyle w:val="Tabletext"/>
              <w:rPr>
                <w:snapToGrid w:val="0"/>
              </w:rPr>
            </w:pPr>
            <w:r w:rsidRPr="009B1322">
              <w:rPr>
                <w:snapToGrid w:val="0"/>
              </w:rPr>
              <w:t>41</w:t>
            </w:r>
          </w:p>
        </w:tc>
        <w:tc>
          <w:tcPr>
            <w:tcW w:w="1417" w:type="pct"/>
            <w:tcBorders>
              <w:top w:val="single" w:sz="4" w:space="0" w:color="auto"/>
              <w:left w:val="nil"/>
              <w:bottom w:val="single" w:sz="4" w:space="0" w:color="auto"/>
              <w:right w:val="nil"/>
            </w:tcBorders>
            <w:vAlign w:val="bottom"/>
          </w:tcPr>
          <w:p w14:paraId="53DB391A" w14:textId="77777777" w:rsidR="0060062E" w:rsidRPr="009B1322" w:rsidRDefault="0060062E" w:rsidP="00A12E52">
            <w:pPr>
              <w:pStyle w:val="Tabletext"/>
              <w:rPr>
                <w:snapToGrid w:val="0"/>
              </w:rPr>
            </w:pPr>
            <w:r w:rsidRPr="00295986">
              <w:t>1</w:t>
            </w:r>
            <w:r w:rsidR="00D7157D">
              <w:t>.</w:t>
            </w:r>
            <w:r w:rsidRPr="00295986">
              <w:t>901</w:t>
            </w:r>
          </w:p>
        </w:tc>
        <w:tc>
          <w:tcPr>
            <w:tcW w:w="1878" w:type="pct"/>
            <w:tcBorders>
              <w:top w:val="single" w:sz="4" w:space="0" w:color="auto"/>
              <w:left w:val="nil"/>
              <w:bottom w:val="single" w:sz="4" w:space="0" w:color="auto"/>
              <w:right w:val="nil"/>
            </w:tcBorders>
            <w:vAlign w:val="bottom"/>
          </w:tcPr>
          <w:p w14:paraId="1C2A6B5F" w14:textId="77777777" w:rsidR="0060062E" w:rsidRPr="009B1322" w:rsidRDefault="0060062E" w:rsidP="00A12E52">
            <w:pPr>
              <w:pStyle w:val="Tabletext"/>
              <w:rPr>
                <w:snapToGrid w:val="0"/>
              </w:rPr>
            </w:pPr>
            <w:r w:rsidRPr="00295986">
              <w:t>0</w:t>
            </w:r>
            <w:r w:rsidR="00D7157D">
              <w:t>.</w:t>
            </w:r>
            <w:r w:rsidRPr="00295986">
              <w:t>792</w:t>
            </w:r>
          </w:p>
        </w:tc>
      </w:tr>
      <w:tr w:rsidR="0060062E" w:rsidRPr="009E2595" w14:paraId="09241EB9" w14:textId="77777777" w:rsidTr="0012682C">
        <w:trPr>
          <w:trHeight w:val="245"/>
          <w:jc w:val="right"/>
        </w:trPr>
        <w:tc>
          <w:tcPr>
            <w:tcW w:w="1705" w:type="pct"/>
            <w:tcBorders>
              <w:top w:val="single" w:sz="4" w:space="0" w:color="auto"/>
              <w:left w:val="nil"/>
              <w:bottom w:val="single" w:sz="4" w:space="0" w:color="auto"/>
              <w:right w:val="nil"/>
            </w:tcBorders>
          </w:tcPr>
          <w:p w14:paraId="37BF8634" w14:textId="77777777" w:rsidR="0060062E" w:rsidRPr="009B1322" w:rsidRDefault="0060062E" w:rsidP="00A12E52">
            <w:pPr>
              <w:pStyle w:val="Tabletext"/>
              <w:rPr>
                <w:snapToGrid w:val="0"/>
              </w:rPr>
            </w:pPr>
            <w:r w:rsidRPr="009B1322">
              <w:rPr>
                <w:snapToGrid w:val="0"/>
              </w:rPr>
              <w:t>42</w:t>
            </w:r>
          </w:p>
        </w:tc>
        <w:tc>
          <w:tcPr>
            <w:tcW w:w="1417" w:type="pct"/>
            <w:tcBorders>
              <w:top w:val="single" w:sz="4" w:space="0" w:color="auto"/>
              <w:left w:val="nil"/>
              <w:bottom w:val="single" w:sz="4" w:space="0" w:color="auto"/>
              <w:right w:val="nil"/>
            </w:tcBorders>
            <w:vAlign w:val="bottom"/>
          </w:tcPr>
          <w:p w14:paraId="498C40E5" w14:textId="77777777" w:rsidR="0060062E" w:rsidRPr="009B1322" w:rsidRDefault="0060062E" w:rsidP="00A12E52">
            <w:pPr>
              <w:pStyle w:val="Tabletext"/>
              <w:rPr>
                <w:snapToGrid w:val="0"/>
              </w:rPr>
            </w:pPr>
            <w:r w:rsidRPr="00295986">
              <w:t>1</w:t>
            </w:r>
            <w:r w:rsidR="00D7157D">
              <w:t>.</w:t>
            </w:r>
            <w:r w:rsidRPr="00295986">
              <w:t>835</w:t>
            </w:r>
          </w:p>
        </w:tc>
        <w:tc>
          <w:tcPr>
            <w:tcW w:w="1878" w:type="pct"/>
            <w:tcBorders>
              <w:top w:val="single" w:sz="4" w:space="0" w:color="auto"/>
              <w:left w:val="nil"/>
              <w:bottom w:val="single" w:sz="4" w:space="0" w:color="auto"/>
              <w:right w:val="nil"/>
            </w:tcBorders>
            <w:vAlign w:val="bottom"/>
          </w:tcPr>
          <w:p w14:paraId="24A28063" w14:textId="77777777" w:rsidR="0060062E" w:rsidRPr="009B1322" w:rsidRDefault="0060062E" w:rsidP="00A12E52">
            <w:pPr>
              <w:pStyle w:val="Tabletext"/>
              <w:rPr>
                <w:snapToGrid w:val="0"/>
              </w:rPr>
            </w:pPr>
            <w:r w:rsidRPr="00295986">
              <w:t>0</w:t>
            </w:r>
            <w:r w:rsidR="00D7157D">
              <w:t>.</w:t>
            </w:r>
            <w:r w:rsidRPr="00295986">
              <w:t>741</w:t>
            </w:r>
          </w:p>
        </w:tc>
      </w:tr>
      <w:tr w:rsidR="0060062E" w:rsidRPr="009E2595" w14:paraId="6F9B67BE" w14:textId="77777777" w:rsidTr="0012682C">
        <w:trPr>
          <w:trHeight w:val="245"/>
          <w:jc w:val="right"/>
        </w:trPr>
        <w:tc>
          <w:tcPr>
            <w:tcW w:w="1705" w:type="pct"/>
            <w:tcBorders>
              <w:top w:val="single" w:sz="4" w:space="0" w:color="auto"/>
              <w:left w:val="nil"/>
              <w:bottom w:val="single" w:sz="4" w:space="0" w:color="auto"/>
              <w:right w:val="nil"/>
            </w:tcBorders>
          </w:tcPr>
          <w:p w14:paraId="49BB60FE" w14:textId="77777777" w:rsidR="0060062E" w:rsidRPr="009B1322" w:rsidRDefault="0060062E" w:rsidP="00A12E52">
            <w:pPr>
              <w:pStyle w:val="Tabletext"/>
              <w:rPr>
                <w:snapToGrid w:val="0"/>
              </w:rPr>
            </w:pPr>
            <w:r w:rsidRPr="009B1322">
              <w:rPr>
                <w:snapToGrid w:val="0"/>
              </w:rPr>
              <w:t>43</w:t>
            </w:r>
          </w:p>
        </w:tc>
        <w:tc>
          <w:tcPr>
            <w:tcW w:w="1417" w:type="pct"/>
            <w:tcBorders>
              <w:top w:val="single" w:sz="4" w:space="0" w:color="auto"/>
              <w:left w:val="nil"/>
              <w:bottom w:val="single" w:sz="4" w:space="0" w:color="auto"/>
              <w:right w:val="nil"/>
            </w:tcBorders>
            <w:vAlign w:val="bottom"/>
          </w:tcPr>
          <w:p w14:paraId="3484DC8C" w14:textId="77777777" w:rsidR="0060062E" w:rsidRPr="009B1322" w:rsidRDefault="0060062E" w:rsidP="00A12E52">
            <w:pPr>
              <w:pStyle w:val="Tabletext"/>
              <w:rPr>
                <w:snapToGrid w:val="0"/>
              </w:rPr>
            </w:pPr>
            <w:r w:rsidRPr="00295986">
              <w:t>1</w:t>
            </w:r>
            <w:r w:rsidR="00D7157D">
              <w:t>.</w:t>
            </w:r>
            <w:r w:rsidRPr="00295986">
              <w:t>769</w:t>
            </w:r>
          </w:p>
        </w:tc>
        <w:tc>
          <w:tcPr>
            <w:tcW w:w="1878" w:type="pct"/>
            <w:tcBorders>
              <w:top w:val="single" w:sz="4" w:space="0" w:color="auto"/>
              <w:left w:val="nil"/>
              <w:bottom w:val="single" w:sz="4" w:space="0" w:color="auto"/>
              <w:right w:val="nil"/>
            </w:tcBorders>
            <w:vAlign w:val="bottom"/>
          </w:tcPr>
          <w:p w14:paraId="680DAC64" w14:textId="77777777" w:rsidR="0060062E" w:rsidRPr="009B1322" w:rsidRDefault="0060062E" w:rsidP="00A12E52">
            <w:pPr>
              <w:pStyle w:val="Tabletext"/>
              <w:rPr>
                <w:snapToGrid w:val="0"/>
              </w:rPr>
            </w:pPr>
            <w:r w:rsidRPr="00295986">
              <w:t>0</w:t>
            </w:r>
            <w:r w:rsidR="00D7157D">
              <w:t>.</w:t>
            </w:r>
            <w:r w:rsidRPr="00295986">
              <w:t>690</w:t>
            </w:r>
          </w:p>
        </w:tc>
      </w:tr>
      <w:tr w:rsidR="0060062E" w:rsidRPr="009E2595" w14:paraId="7090CEDA" w14:textId="77777777" w:rsidTr="0012682C">
        <w:trPr>
          <w:trHeight w:val="245"/>
          <w:jc w:val="right"/>
        </w:trPr>
        <w:tc>
          <w:tcPr>
            <w:tcW w:w="1705" w:type="pct"/>
            <w:tcBorders>
              <w:top w:val="single" w:sz="4" w:space="0" w:color="auto"/>
              <w:left w:val="nil"/>
              <w:bottom w:val="single" w:sz="4" w:space="0" w:color="auto"/>
              <w:right w:val="nil"/>
            </w:tcBorders>
          </w:tcPr>
          <w:p w14:paraId="37E7E80C" w14:textId="77777777" w:rsidR="0060062E" w:rsidRPr="009B1322" w:rsidRDefault="0060062E" w:rsidP="00A12E52">
            <w:pPr>
              <w:pStyle w:val="Tabletext"/>
              <w:rPr>
                <w:snapToGrid w:val="0"/>
              </w:rPr>
            </w:pPr>
            <w:r w:rsidRPr="009B1322">
              <w:rPr>
                <w:snapToGrid w:val="0"/>
              </w:rPr>
              <w:t>44</w:t>
            </w:r>
          </w:p>
        </w:tc>
        <w:tc>
          <w:tcPr>
            <w:tcW w:w="1417" w:type="pct"/>
            <w:tcBorders>
              <w:top w:val="single" w:sz="4" w:space="0" w:color="auto"/>
              <w:left w:val="nil"/>
              <w:bottom w:val="single" w:sz="4" w:space="0" w:color="auto"/>
              <w:right w:val="nil"/>
            </w:tcBorders>
            <w:vAlign w:val="bottom"/>
          </w:tcPr>
          <w:p w14:paraId="56BDF04C" w14:textId="77777777" w:rsidR="0060062E" w:rsidRPr="009B1322" w:rsidRDefault="0060062E" w:rsidP="00A12E52">
            <w:pPr>
              <w:pStyle w:val="Tabletext"/>
              <w:rPr>
                <w:snapToGrid w:val="0"/>
              </w:rPr>
            </w:pPr>
            <w:r w:rsidRPr="00295986">
              <w:t>1</w:t>
            </w:r>
            <w:r w:rsidR="00D7157D">
              <w:t>.</w:t>
            </w:r>
            <w:r w:rsidRPr="00295986">
              <w:t>704</w:t>
            </w:r>
          </w:p>
        </w:tc>
        <w:tc>
          <w:tcPr>
            <w:tcW w:w="1878" w:type="pct"/>
            <w:tcBorders>
              <w:top w:val="single" w:sz="4" w:space="0" w:color="auto"/>
              <w:left w:val="nil"/>
              <w:bottom w:val="single" w:sz="4" w:space="0" w:color="auto"/>
              <w:right w:val="nil"/>
            </w:tcBorders>
            <w:vAlign w:val="bottom"/>
          </w:tcPr>
          <w:p w14:paraId="4FB86894" w14:textId="77777777" w:rsidR="0060062E" w:rsidRPr="009B1322" w:rsidRDefault="0060062E" w:rsidP="00A12E52">
            <w:pPr>
              <w:pStyle w:val="Tabletext"/>
              <w:rPr>
                <w:snapToGrid w:val="0"/>
              </w:rPr>
            </w:pPr>
            <w:r w:rsidRPr="00295986">
              <w:t>0</w:t>
            </w:r>
            <w:r w:rsidR="00D7157D">
              <w:t>.</w:t>
            </w:r>
            <w:r w:rsidRPr="00295986">
              <w:t>640</w:t>
            </w:r>
          </w:p>
        </w:tc>
      </w:tr>
      <w:tr w:rsidR="0060062E" w:rsidRPr="009E2595" w14:paraId="50AF9F6C" w14:textId="77777777" w:rsidTr="0012682C">
        <w:trPr>
          <w:trHeight w:val="245"/>
          <w:jc w:val="right"/>
        </w:trPr>
        <w:tc>
          <w:tcPr>
            <w:tcW w:w="1705" w:type="pct"/>
            <w:tcBorders>
              <w:top w:val="single" w:sz="4" w:space="0" w:color="auto"/>
              <w:left w:val="nil"/>
              <w:bottom w:val="single" w:sz="4" w:space="0" w:color="auto"/>
              <w:right w:val="nil"/>
            </w:tcBorders>
          </w:tcPr>
          <w:p w14:paraId="7E5C8045" w14:textId="77777777" w:rsidR="0060062E" w:rsidRPr="009B1322" w:rsidRDefault="0060062E" w:rsidP="00A12E52">
            <w:pPr>
              <w:pStyle w:val="Tabletext"/>
              <w:rPr>
                <w:snapToGrid w:val="0"/>
              </w:rPr>
            </w:pPr>
            <w:r w:rsidRPr="009B1322">
              <w:rPr>
                <w:snapToGrid w:val="0"/>
              </w:rPr>
              <w:t>45</w:t>
            </w:r>
          </w:p>
        </w:tc>
        <w:tc>
          <w:tcPr>
            <w:tcW w:w="1417" w:type="pct"/>
            <w:tcBorders>
              <w:top w:val="single" w:sz="4" w:space="0" w:color="auto"/>
              <w:left w:val="nil"/>
              <w:bottom w:val="single" w:sz="4" w:space="0" w:color="auto"/>
              <w:right w:val="nil"/>
            </w:tcBorders>
            <w:vAlign w:val="bottom"/>
          </w:tcPr>
          <w:p w14:paraId="3DB1D9AB" w14:textId="77777777" w:rsidR="0060062E" w:rsidRPr="009B1322" w:rsidRDefault="0060062E" w:rsidP="00A12E52">
            <w:pPr>
              <w:pStyle w:val="Tabletext"/>
              <w:rPr>
                <w:snapToGrid w:val="0"/>
              </w:rPr>
            </w:pPr>
            <w:r w:rsidRPr="00295986">
              <w:t>1</w:t>
            </w:r>
            <w:r w:rsidR="00D7157D">
              <w:t>.</w:t>
            </w:r>
            <w:r w:rsidRPr="00295986">
              <w:t>638</w:t>
            </w:r>
          </w:p>
        </w:tc>
        <w:tc>
          <w:tcPr>
            <w:tcW w:w="1878" w:type="pct"/>
            <w:tcBorders>
              <w:top w:val="single" w:sz="4" w:space="0" w:color="auto"/>
              <w:left w:val="nil"/>
              <w:bottom w:val="single" w:sz="4" w:space="0" w:color="auto"/>
              <w:right w:val="nil"/>
            </w:tcBorders>
            <w:vAlign w:val="bottom"/>
          </w:tcPr>
          <w:p w14:paraId="6AF83FAC" w14:textId="77777777" w:rsidR="0060062E" w:rsidRPr="009B1322" w:rsidRDefault="0060062E" w:rsidP="00A12E52">
            <w:pPr>
              <w:pStyle w:val="Tabletext"/>
              <w:rPr>
                <w:snapToGrid w:val="0"/>
              </w:rPr>
            </w:pPr>
            <w:r w:rsidRPr="00295986">
              <w:t>0</w:t>
            </w:r>
            <w:r w:rsidR="00D7157D">
              <w:t>.</w:t>
            </w:r>
            <w:r w:rsidRPr="00295986">
              <w:t>589</w:t>
            </w:r>
          </w:p>
        </w:tc>
      </w:tr>
      <w:tr w:rsidR="0060062E" w:rsidRPr="009E2595" w14:paraId="358EC5FB" w14:textId="77777777" w:rsidTr="0012682C">
        <w:trPr>
          <w:trHeight w:val="245"/>
          <w:jc w:val="right"/>
        </w:trPr>
        <w:tc>
          <w:tcPr>
            <w:tcW w:w="1705" w:type="pct"/>
            <w:tcBorders>
              <w:top w:val="single" w:sz="4" w:space="0" w:color="auto"/>
              <w:left w:val="nil"/>
              <w:bottom w:val="single" w:sz="4" w:space="0" w:color="auto"/>
              <w:right w:val="nil"/>
            </w:tcBorders>
          </w:tcPr>
          <w:p w14:paraId="7C83C879" w14:textId="77777777" w:rsidR="0060062E" w:rsidRPr="009B1322" w:rsidRDefault="0060062E" w:rsidP="00A12E52">
            <w:pPr>
              <w:pStyle w:val="Tabletext"/>
              <w:rPr>
                <w:snapToGrid w:val="0"/>
              </w:rPr>
            </w:pPr>
            <w:r w:rsidRPr="009B1322">
              <w:rPr>
                <w:snapToGrid w:val="0"/>
              </w:rPr>
              <w:t>46</w:t>
            </w:r>
          </w:p>
        </w:tc>
        <w:tc>
          <w:tcPr>
            <w:tcW w:w="1417" w:type="pct"/>
            <w:tcBorders>
              <w:top w:val="single" w:sz="4" w:space="0" w:color="auto"/>
              <w:left w:val="nil"/>
              <w:bottom w:val="single" w:sz="4" w:space="0" w:color="auto"/>
              <w:right w:val="nil"/>
            </w:tcBorders>
            <w:vAlign w:val="bottom"/>
          </w:tcPr>
          <w:p w14:paraId="66AECCC8" w14:textId="77777777" w:rsidR="0060062E" w:rsidRPr="009B1322" w:rsidRDefault="0060062E" w:rsidP="00A12E52">
            <w:pPr>
              <w:pStyle w:val="Tabletext"/>
              <w:rPr>
                <w:snapToGrid w:val="0"/>
              </w:rPr>
            </w:pPr>
            <w:r w:rsidRPr="00295986">
              <w:t>1</w:t>
            </w:r>
            <w:r w:rsidR="00D7157D">
              <w:t>.</w:t>
            </w:r>
            <w:r w:rsidRPr="00295986">
              <w:t>573</w:t>
            </w:r>
          </w:p>
        </w:tc>
        <w:tc>
          <w:tcPr>
            <w:tcW w:w="1878" w:type="pct"/>
            <w:tcBorders>
              <w:top w:val="single" w:sz="4" w:space="0" w:color="auto"/>
              <w:left w:val="nil"/>
              <w:bottom w:val="single" w:sz="4" w:space="0" w:color="auto"/>
              <w:right w:val="nil"/>
            </w:tcBorders>
            <w:vAlign w:val="bottom"/>
          </w:tcPr>
          <w:p w14:paraId="5AF2F430" w14:textId="77777777" w:rsidR="0060062E" w:rsidRPr="009B1322" w:rsidRDefault="0060062E" w:rsidP="00A12E52">
            <w:pPr>
              <w:pStyle w:val="Tabletext"/>
              <w:rPr>
                <w:snapToGrid w:val="0"/>
              </w:rPr>
            </w:pPr>
            <w:r w:rsidRPr="00295986">
              <w:t>0</w:t>
            </w:r>
            <w:r w:rsidR="00D7157D">
              <w:t>.</w:t>
            </w:r>
            <w:r w:rsidRPr="00295986">
              <w:t>539</w:t>
            </w:r>
          </w:p>
        </w:tc>
      </w:tr>
      <w:tr w:rsidR="0060062E" w:rsidRPr="009E2595" w14:paraId="4F15E178" w14:textId="77777777" w:rsidTr="0012682C">
        <w:trPr>
          <w:trHeight w:val="245"/>
          <w:jc w:val="right"/>
        </w:trPr>
        <w:tc>
          <w:tcPr>
            <w:tcW w:w="1705" w:type="pct"/>
            <w:tcBorders>
              <w:top w:val="single" w:sz="4" w:space="0" w:color="auto"/>
              <w:left w:val="nil"/>
              <w:bottom w:val="single" w:sz="4" w:space="0" w:color="auto"/>
              <w:right w:val="nil"/>
            </w:tcBorders>
          </w:tcPr>
          <w:p w14:paraId="414E0148" w14:textId="77777777" w:rsidR="0060062E" w:rsidRPr="009B1322" w:rsidRDefault="0060062E" w:rsidP="00A12E52">
            <w:pPr>
              <w:pStyle w:val="Tabletext"/>
              <w:rPr>
                <w:snapToGrid w:val="0"/>
              </w:rPr>
            </w:pPr>
            <w:r w:rsidRPr="009B1322">
              <w:rPr>
                <w:snapToGrid w:val="0"/>
              </w:rPr>
              <w:t>47</w:t>
            </w:r>
          </w:p>
        </w:tc>
        <w:tc>
          <w:tcPr>
            <w:tcW w:w="1417" w:type="pct"/>
            <w:tcBorders>
              <w:top w:val="single" w:sz="4" w:space="0" w:color="auto"/>
              <w:left w:val="nil"/>
              <w:bottom w:val="single" w:sz="4" w:space="0" w:color="auto"/>
              <w:right w:val="nil"/>
            </w:tcBorders>
            <w:vAlign w:val="bottom"/>
          </w:tcPr>
          <w:p w14:paraId="6893EB7D" w14:textId="77777777" w:rsidR="0060062E" w:rsidRPr="009B1322" w:rsidRDefault="0060062E" w:rsidP="00A12E52">
            <w:pPr>
              <w:pStyle w:val="Tabletext"/>
              <w:rPr>
                <w:snapToGrid w:val="0"/>
              </w:rPr>
            </w:pPr>
            <w:r w:rsidRPr="00295986">
              <w:t>1</w:t>
            </w:r>
            <w:r w:rsidR="00D7157D">
              <w:t>.</w:t>
            </w:r>
            <w:r w:rsidRPr="00295986">
              <w:t>507</w:t>
            </w:r>
          </w:p>
        </w:tc>
        <w:tc>
          <w:tcPr>
            <w:tcW w:w="1878" w:type="pct"/>
            <w:tcBorders>
              <w:top w:val="single" w:sz="4" w:space="0" w:color="auto"/>
              <w:left w:val="nil"/>
              <w:bottom w:val="single" w:sz="4" w:space="0" w:color="auto"/>
              <w:right w:val="nil"/>
            </w:tcBorders>
            <w:vAlign w:val="bottom"/>
          </w:tcPr>
          <w:p w14:paraId="0DBE0D6E" w14:textId="77777777" w:rsidR="0060062E" w:rsidRPr="009B1322" w:rsidRDefault="0060062E" w:rsidP="00A12E52">
            <w:pPr>
              <w:pStyle w:val="Tabletext"/>
              <w:rPr>
                <w:snapToGrid w:val="0"/>
              </w:rPr>
            </w:pPr>
            <w:r w:rsidRPr="00295986">
              <w:t>0</w:t>
            </w:r>
            <w:r w:rsidR="00D7157D">
              <w:t>.</w:t>
            </w:r>
            <w:r w:rsidRPr="00295986">
              <w:t>488</w:t>
            </w:r>
          </w:p>
        </w:tc>
      </w:tr>
      <w:tr w:rsidR="0060062E" w:rsidRPr="009E2595" w14:paraId="5F4DE4D1" w14:textId="77777777" w:rsidTr="0012682C">
        <w:trPr>
          <w:trHeight w:val="245"/>
          <w:jc w:val="right"/>
        </w:trPr>
        <w:tc>
          <w:tcPr>
            <w:tcW w:w="1705" w:type="pct"/>
            <w:tcBorders>
              <w:top w:val="single" w:sz="4" w:space="0" w:color="auto"/>
              <w:left w:val="nil"/>
              <w:bottom w:val="single" w:sz="4" w:space="0" w:color="auto"/>
              <w:right w:val="nil"/>
            </w:tcBorders>
          </w:tcPr>
          <w:p w14:paraId="15778E64" w14:textId="77777777" w:rsidR="0060062E" w:rsidRPr="009B1322" w:rsidRDefault="0060062E" w:rsidP="00A12E52">
            <w:pPr>
              <w:pStyle w:val="Tabletext"/>
              <w:rPr>
                <w:snapToGrid w:val="0"/>
              </w:rPr>
            </w:pPr>
            <w:r w:rsidRPr="009B1322">
              <w:rPr>
                <w:snapToGrid w:val="0"/>
              </w:rPr>
              <w:t>48</w:t>
            </w:r>
          </w:p>
        </w:tc>
        <w:tc>
          <w:tcPr>
            <w:tcW w:w="1417" w:type="pct"/>
            <w:tcBorders>
              <w:top w:val="single" w:sz="4" w:space="0" w:color="auto"/>
              <w:left w:val="nil"/>
              <w:bottom w:val="single" w:sz="4" w:space="0" w:color="auto"/>
              <w:right w:val="nil"/>
            </w:tcBorders>
            <w:vAlign w:val="bottom"/>
          </w:tcPr>
          <w:p w14:paraId="269E44FB" w14:textId="77777777" w:rsidR="0060062E" w:rsidRPr="009B1322" w:rsidRDefault="0060062E" w:rsidP="00A12E52">
            <w:pPr>
              <w:pStyle w:val="Tabletext"/>
              <w:rPr>
                <w:snapToGrid w:val="0"/>
              </w:rPr>
            </w:pPr>
            <w:r w:rsidRPr="00295986">
              <w:t>1</w:t>
            </w:r>
            <w:r w:rsidR="00D7157D">
              <w:t>.</w:t>
            </w:r>
            <w:r w:rsidRPr="00295986">
              <w:t>442</w:t>
            </w:r>
          </w:p>
        </w:tc>
        <w:tc>
          <w:tcPr>
            <w:tcW w:w="1878" w:type="pct"/>
            <w:tcBorders>
              <w:top w:val="single" w:sz="4" w:space="0" w:color="auto"/>
              <w:left w:val="nil"/>
              <w:bottom w:val="single" w:sz="4" w:space="0" w:color="auto"/>
              <w:right w:val="nil"/>
            </w:tcBorders>
            <w:vAlign w:val="bottom"/>
          </w:tcPr>
          <w:p w14:paraId="20C922EF" w14:textId="77777777" w:rsidR="0060062E" w:rsidRPr="009B1322" w:rsidRDefault="0060062E" w:rsidP="00A12E52">
            <w:pPr>
              <w:pStyle w:val="Tabletext"/>
              <w:rPr>
                <w:snapToGrid w:val="0"/>
              </w:rPr>
            </w:pPr>
            <w:r w:rsidRPr="00295986">
              <w:t>0</w:t>
            </w:r>
            <w:r w:rsidR="00D7157D">
              <w:t>.</w:t>
            </w:r>
            <w:r w:rsidRPr="00295986">
              <w:t>438</w:t>
            </w:r>
          </w:p>
        </w:tc>
      </w:tr>
      <w:tr w:rsidR="0060062E" w:rsidRPr="009E2595" w14:paraId="2C20F7BD" w14:textId="77777777" w:rsidTr="0012682C">
        <w:trPr>
          <w:trHeight w:val="245"/>
          <w:jc w:val="right"/>
        </w:trPr>
        <w:tc>
          <w:tcPr>
            <w:tcW w:w="1705" w:type="pct"/>
            <w:tcBorders>
              <w:top w:val="single" w:sz="4" w:space="0" w:color="auto"/>
              <w:left w:val="nil"/>
              <w:bottom w:val="single" w:sz="4" w:space="0" w:color="auto"/>
              <w:right w:val="nil"/>
            </w:tcBorders>
          </w:tcPr>
          <w:p w14:paraId="4A501665" w14:textId="77777777" w:rsidR="0060062E" w:rsidRPr="009B1322" w:rsidRDefault="0060062E" w:rsidP="00A12E52">
            <w:pPr>
              <w:pStyle w:val="Tabletext"/>
              <w:rPr>
                <w:snapToGrid w:val="0"/>
              </w:rPr>
            </w:pPr>
            <w:r w:rsidRPr="009B1322">
              <w:rPr>
                <w:snapToGrid w:val="0"/>
              </w:rPr>
              <w:t>49</w:t>
            </w:r>
          </w:p>
        </w:tc>
        <w:tc>
          <w:tcPr>
            <w:tcW w:w="1417" w:type="pct"/>
            <w:tcBorders>
              <w:top w:val="single" w:sz="4" w:space="0" w:color="auto"/>
              <w:left w:val="nil"/>
              <w:bottom w:val="single" w:sz="4" w:space="0" w:color="auto"/>
              <w:right w:val="nil"/>
            </w:tcBorders>
            <w:vAlign w:val="bottom"/>
          </w:tcPr>
          <w:p w14:paraId="7D77ECD1" w14:textId="77777777" w:rsidR="0060062E" w:rsidRPr="009B1322" w:rsidRDefault="0060062E" w:rsidP="00A12E52">
            <w:pPr>
              <w:pStyle w:val="Tabletext"/>
              <w:rPr>
                <w:snapToGrid w:val="0"/>
              </w:rPr>
            </w:pPr>
            <w:r w:rsidRPr="00295986">
              <w:t>1</w:t>
            </w:r>
            <w:r w:rsidR="00D7157D">
              <w:t>.</w:t>
            </w:r>
            <w:r w:rsidRPr="00295986">
              <w:t>376</w:t>
            </w:r>
          </w:p>
        </w:tc>
        <w:tc>
          <w:tcPr>
            <w:tcW w:w="1878" w:type="pct"/>
            <w:tcBorders>
              <w:top w:val="single" w:sz="4" w:space="0" w:color="auto"/>
              <w:left w:val="nil"/>
              <w:bottom w:val="single" w:sz="4" w:space="0" w:color="auto"/>
              <w:right w:val="nil"/>
            </w:tcBorders>
            <w:vAlign w:val="bottom"/>
          </w:tcPr>
          <w:p w14:paraId="7CC4FCBE" w14:textId="77777777" w:rsidR="0060062E" w:rsidRPr="009B1322" w:rsidRDefault="0060062E" w:rsidP="00A12E52">
            <w:pPr>
              <w:pStyle w:val="Tabletext"/>
              <w:rPr>
                <w:snapToGrid w:val="0"/>
              </w:rPr>
            </w:pPr>
            <w:r w:rsidRPr="00295986">
              <w:t>0</w:t>
            </w:r>
            <w:r w:rsidR="00D7157D">
              <w:t>.</w:t>
            </w:r>
            <w:r w:rsidRPr="00295986">
              <w:t>387</w:t>
            </w:r>
          </w:p>
        </w:tc>
      </w:tr>
      <w:tr w:rsidR="0060062E" w:rsidRPr="009E2595" w14:paraId="7ED8CAD4" w14:textId="77777777" w:rsidTr="0012682C">
        <w:trPr>
          <w:trHeight w:val="245"/>
          <w:jc w:val="right"/>
        </w:trPr>
        <w:tc>
          <w:tcPr>
            <w:tcW w:w="1705" w:type="pct"/>
            <w:tcBorders>
              <w:top w:val="single" w:sz="4" w:space="0" w:color="auto"/>
              <w:left w:val="nil"/>
              <w:bottom w:val="single" w:sz="4" w:space="0" w:color="auto"/>
              <w:right w:val="nil"/>
            </w:tcBorders>
          </w:tcPr>
          <w:p w14:paraId="07CCEB19" w14:textId="77777777" w:rsidR="0060062E" w:rsidRPr="009B1322" w:rsidRDefault="0060062E" w:rsidP="00A12E52">
            <w:pPr>
              <w:pStyle w:val="Tabletext"/>
              <w:rPr>
                <w:snapToGrid w:val="0"/>
              </w:rPr>
            </w:pPr>
            <w:r w:rsidRPr="009B1322">
              <w:rPr>
                <w:snapToGrid w:val="0"/>
              </w:rPr>
              <w:t>50</w:t>
            </w:r>
          </w:p>
        </w:tc>
        <w:tc>
          <w:tcPr>
            <w:tcW w:w="1417" w:type="pct"/>
            <w:tcBorders>
              <w:top w:val="single" w:sz="4" w:space="0" w:color="auto"/>
              <w:left w:val="nil"/>
              <w:bottom w:val="single" w:sz="4" w:space="0" w:color="auto"/>
              <w:right w:val="nil"/>
            </w:tcBorders>
            <w:vAlign w:val="bottom"/>
          </w:tcPr>
          <w:p w14:paraId="5B63E4F6" w14:textId="77777777" w:rsidR="0060062E" w:rsidRPr="009B1322" w:rsidRDefault="0060062E" w:rsidP="00A12E52">
            <w:pPr>
              <w:pStyle w:val="Tabletext"/>
              <w:rPr>
                <w:snapToGrid w:val="0"/>
              </w:rPr>
            </w:pPr>
            <w:r w:rsidRPr="00295986">
              <w:t>1</w:t>
            </w:r>
            <w:r w:rsidR="00D7157D">
              <w:t>.</w:t>
            </w:r>
            <w:r w:rsidRPr="00295986">
              <w:t>311</w:t>
            </w:r>
          </w:p>
        </w:tc>
        <w:tc>
          <w:tcPr>
            <w:tcW w:w="1878" w:type="pct"/>
            <w:tcBorders>
              <w:top w:val="single" w:sz="4" w:space="0" w:color="auto"/>
              <w:left w:val="nil"/>
              <w:bottom w:val="single" w:sz="4" w:space="0" w:color="auto"/>
              <w:right w:val="nil"/>
            </w:tcBorders>
            <w:vAlign w:val="bottom"/>
          </w:tcPr>
          <w:p w14:paraId="2253AB21" w14:textId="77777777" w:rsidR="0060062E" w:rsidRPr="009B1322" w:rsidRDefault="0060062E" w:rsidP="00A12E52">
            <w:pPr>
              <w:pStyle w:val="Tabletext"/>
              <w:rPr>
                <w:snapToGrid w:val="0"/>
              </w:rPr>
            </w:pPr>
            <w:r w:rsidRPr="00295986">
              <w:t>0</w:t>
            </w:r>
            <w:r w:rsidR="00D7157D">
              <w:t>.</w:t>
            </w:r>
            <w:r w:rsidRPr="00295986">
              <w:t>337</w:t>
            </w:r>
          </w:p>
        </w:tc>
      </w:tr>
      <w:tr w:rsidR="0060062E" w:rsidRPr="009E2595" w14:paraId="7A668141" w14:textId="77777777" w:rsidTr="0012682C">
        <w:trPr>
          <w:trHeight w:val="245"/>
          <w:jc w:val="right"/>
        </w:trPr>
        <w:tc>
          <w:tcPr>
            <w:tcW w:w="1705" w:type="pct"/>
            <w:tcBorders>
              <w:top w:val="single" w:sz="4" w:space="0" w:color="auto"/>
              <w:left w:val="nil"/>
              <w:bottom w:val="single" w:sz="4" w:space="0" w:color="auto"/>
              <w:right w:val="nil"/>
            </w:tcBorders>
          </w:tcPr>
          <w:p w14:paraId="5DEA2FE8" w14:textId="77777777" w:rsidR="0060062E" w:rsidRPr="009B1322" w:rsidRDefault="0060062E" w:rsidP="00A12E52">
            <w:pPr>
              <w:pStyle w:val="Tabletext"/>
              <w:rPr>
                <w:snapToGrid w:val="0"/>
              </w:rPr>
            </w:pPr>
            <w:r w:rsidRPr="009B1322">
              <w:rPr>
                <w:snapToGrid w:val="0"/>
              </w:rPr>
              <w:t>51</w:t>
            </w:r>
          </w:p>
        </w:tc>
        <w:tc>
          <w:tcPr>
            <w:tcW w:w="1417" w:type="pct"/>
            <w:tcBorders>
              <w:top w:val="single" w:sz="4" w:space="0" w:color="auto"/>
              <w:left w:val="nil"/>
              <w:bottom w:val="single" w:sz="4" w:space="0" w:color="auto"/>
              <w:right w:val="nil"/>
            </w:tcBorders>
            <w:vAlign w:val="bottom"/>
          </w:tcPr>
          <w:p w14:paraId="7C3CD216" w14:textId="77777777" w:rsidR="0060062E" w:rsidRPr="009B1322" w:rsidRDefault="0060062E" w:rsidP="00A12E52">
            <w:pPr>
              <w:pStyle w:val="Tabletext"/>
              <w:rPr>
                <w:snapToGrid w:val="0"/>
              </w:rPr>
            </w:pPr>
            <w:r w:rsidRPr="00295986">
              <w:t>1</w:t>
            </w:r>
            <w:r w:rsidR="00D7157D">
              <w:t>.</w:t>
            </w:r>
            <w:r w:rsidRPr="00295986">
              <w:t>114</w:t>
            </w:r>
          </w:p>
        </w:tc>
        <w:tc>
          <w:tcPr>
            <w:tcW w:w="1878" w:type="pct"/>
            <w:tcBorders>
              <w:top w:val="single" w:sz="4" w:space="0" w:color="auto"/>
              <w:left w:val="nil"/>
              <w:bottom w:val="single" w:sz="4" w:space="0" w:color="auto"/>
              <w:right w:val="nil"/>
            </w:tcBorders>
            <w:vAlign w:val="bottom"/>
          </w:tcPr>
          <w:p w14:paraId="44548B08" w14:textId="77777777" w:rsidR="0060062E" w:rsidRPr="009B1322" w:rsidRDefault="0060062E" w:rsidP="00A12E52">
            <w:pPr>
              <w:pStyle w:val="Tabletext"/>
              <w:rPr>
                <w:snapToGrid w:val="0"/>
              </w:rPr>
            </w:pPr>
            <w:r w:rsidRPr="00295986">
              <w:t>0</w:t>
            </w:r>
            <w:r w:rsidR="00D7157D">
              <w:t>.</w:t>
            </w:r>
            <w:r w:rsidRPr="00295986">
              <w:t>286</w:t>
            </w:r>
          </w:p>
        </w:tc>
      </w:tr>
      <w:tr w:rsidR="0060062E" w:rsidRPr="009E2595" w14:paraId="4C3D4AC1" w14:textId="77777777" w:rsidTr="0012682C">
        <w:trPr>
          <w:trHeight w:val="245"/>
          <w:jc w:val="right"/>
        </w:trPr>
        <w:tc>
          <w:tcPr>
            <w:tcW w:w="1705" w:type="pct"/>
            <w:tcBorders>
              <w:top w:val="single" w:sz="4" w:space="0" w:color="auto"/>
              <w:left w:val="nil"/>
              <w:bottom w:val="single" w:sz="4" w:space="0" w:color="auto"/>
              <w:right w:val="nil"/>
            </w:tcBorders>
          </w:tcPr>
          <w:p w14:paraId="4979822A" w14:textId="77777777" w:rsidR="0060062E" w:rsidRPr="009B1322" w:rsidRDefault="0060062E" w:rsidP="00A12E52">
            <w:pPr>
              <w:pStyle w:val="Tabletext"/>
              <w:rPr>
                <w:snapToGrid w:val="0"/>
              </w:rPr>
            </w:pPr>
            <w:r w:rsidRPr="009B1322">
              <w:rPr>
                <w:snapToGrid w:val="0"/>
              </w:rPr>
              <w:t>52</w:t>
            </w:r>
          </w:p>
        </w:tc>
        <w:tc>
          <w:tcPr>
            <w:tcW w:w="1417" w:type="pct"/>
            <w:tcBorders>
              <w:top w:val="single" w:sz="4" w:space="0" w:color="auto"/>
              <w:left w:val="nil"/>
              <w:bottom w:val="single" w:sz="4" w:space="0" w:color="auto"/>
              <w:right w:val="nil"/>
            </w:tcBorders>
            <w:vAlign w:val="bottom"/>
          </w:tcPr>
          <w:p w14:paraId="5583604B" w14:textId="77777777" w:rsidR="0060062E" w:rsidRPr="009B1322" w:rsidRDefault="0060062E" w:rsidP="00A12E52">
            <w:pPr>
              <w:pStyle w:val="Tabletext"/>
              <w:rPr>
                <w:snapToGrid w:val="0"/>
              </w:rPr>
            </w:pPr>
            <w:r w:rsidRPr="00295986">
              <w:t>0</w:t>
            </w:r>
            <w:r w:rsidR="00D7157D">
              <w:t>.</w:t>
            </w:r>
            <w:r w:rsidRPr="00295986">
              <w:t>918</w:t>
            </w:r>
          </w:p>
        </w:tc>
        <w:tc>
          <w:tcPr>
            <w:tcW w:w="1878" w:type="pct"/>
            <w:tcBorders>
              <w:top w:val="single" w:sz="4" w:space="0" w:color="auto"/>
              <w:left w:val="nil"/>
              <w:bottom w:val="single" w:sz="4" w:space="0" w:color="auto"/>
              <w:right w:val="nil"/>
            </w:tcBorders>
            <w:vAlign w:val="bottom"/>
          </w:tcPr>
          <w:p w14:paraId="2C1211B0" w14:textId="77777777" w:rsidR="0060062E" w:rsidRPr="009B1322" w:rsidRDefault="0060062E" w:rsidP="00A12E52">
            <w:pPr>
              <w:pStyle w:val="Tabletext"/>
              <w:rPr>
                <w:snapToGrid w:val="0"/>
              </w:rPr>
            </w:pPr>
            <w:r w:rsidRPr="00295986">
              <w:t>0</w:t>
            </w:r>
            <w:r w:rsidR="00D7157D">
              <w:t>.</w:t>
            </w:r>
            <w:r w:rsidRPr="00295986">
              <w:t>236</w:t>
            </w:r>
          </w:p>
        </w:tc>
      </w:tr>
      <w:tr w:rsidR="0060062E" w:rsidRPr="009E2595" w14:paraId="4834A44F" w14:textId="77777777" w:rsidTr="0012682C">
        <w:trPr>
          <w:trHeight w:val="245"/>
          <w:jc w:val="right"/>
        </w:trPr>
        <w:tc>
          <w:tcPr>
            <w:tcW w:w="1705" w:type="pct"/>
            <w:tcBorders>
              <w:top w:val="single" w:sz="4" w:space="0" w:color="auto"/>
              <w:left w:val="nil"/>
              <w:bottom w:val="single" w:sz="4" w:space="0" w:color="auto"/>
              <w:right w:val="nil"/>
            </w:tcBorders>
          </w:tcPr>
          <w:p w14:paraId="6669A255" w14:textId="77777777" w:rsidR="0060062E" w:rsidRPr="009B1322" w:rsidRDefault="0060062E" w:rsidP="00A12E52">
            <w:pPr>
              <w:pStyle w:val="Tabletext"/>
              <w:rPr>
                <w:snapToGrid w:val="0"/>
              </w:rPr>
            </w:pPr>
            <w:r w:rsidRPr="009B1322">
              <w:rPr>
                <w:snapToGrid w:val="0"/>
              </w:rPr>
              <w:t>53</w:t>
            </w:r>
          </w:p>
        </w:tc>
        <w:tc>
          <w:tcPr>
            <w:tcW w:w="1417" w:type="pct"/>
            <w:tcBorders>
              <w:top w:val="single" w:sz="4" w:space="0" w:color="auto"/>
              <w:left w:val="nil"/>
              <w:bottom w:val="single" w:sz="4" w:space="0" w:color="auto"/>
              <w:right w:val="nil"/>
            </w:tcBorders>
            <w:vAlign w:val="bottom"/>
          </w:tcPr>
          <w:p w14:paraId="7D857702" w14:textId="77777777" w:rsidR="0060062E" w:rsidRPr="009B1322" w:rsidRDefault="0060062E" w:rsidP="00A12E52">
            <w:pPr>
              <w:pStyle w:val="Tabletext"/>
              <w:rPr>
                <w:snapToGrid w:val="0"/>
              </w:rPr>
            </w:pPr>
            <w:r w:rsidRPr="00295986">
              <w:t>0</w:t>
            </w:r>
            <w:r w:rsidR="00D7157D">
              <w:t>.</w:t>
            </w:r>
            <w:r w:rsidRPr="00295986">
              <w:t>721</w:t>
            </w:r>
          </w:p>
        </w:tc>
        <w:tc>
          <w:tcPr>
            <w:tcW w:w="1878" w:type="pct"/>
            <w:tcBorders>
              <w:top w:val="single" w:sz="4" w:space="0" w:color="auto"/>
              <w:left w:val="nil"/>
              <w:bottom w:val="single" w:sz="4" w:space="0" w:color="auto"/>
              <w:right w:val="nil"/>
            </w:tcBorders>
            <w:vAlign w:val="bottom"/>
          </w:tcPr>
          <w:p w14:paraId="043389A8" w14:textId="77777777" w:rsidR="0060062E" w:rsidRPr="009B1322" w:rsidRDefault="0060062E" w:rsidP="00A12E52">
            <w:pPr>
              <w:pStyle w:val="Tabletext"/>
              <w:rPr>
                <w:snapToGrid w:val="0"/>
              </w:rPr>
            </w:pPr>
            <w:r w:rsidRPr="00295986">
              <w:t>0</w:t>
            </w:r>
            <w:r w:rsidR="00D7157D">
              <w:t>.</w:t>
            </w:r>
            <w:r w:rsidRPr="00295986">
              <w:t>185</w:t>
            </w:r>
          </w:p>
        </w:tc>
      </w:tr>
      <w:tr w:rsidR="0060062E" w:rsidRPr="009E2595" w14:paraId="791945EC" w14:textId="77777777" w:rsidTr="0012682C">
        <w:trPr>
          <w:trHeight w:val="245"/>
          <w:jc w:val="right"/>
        </w:trPr>
        <w:tc>
          <w:tcPr>
            <w:tcW w:w="1705" w:type="pct"/>
            <w:tcBorders>
              <w:top w:val="single" w:sz="4" w:space="0" w:color="auto"/>
              <w:left w:val="nil"/>
              <w:bottom w:val="single" w:sz="4" w:space="0" w:color="auto"/>
              <w:right w:val="nil"/>
            </w:tcBorders>
          </w:tcPr>
          <w:p w14:paraId="26903FF8" w14:textId="77777777" w:rsidR="0060062E" w:rsidRPr="009B1322" w:rsidRDefault="0060062E" w:rsidP="00A12E52">
            <w:pPr>
              <w:pStyle w:val="Tabletext"/>
              <w:rPr>
                <w:snapToGrid w:val="0"/>
              </w:rPr>
            </w:pPr>
            <w:r w:rsidRPr="009B1322">
              <w:rPr>
                <w:snapToGrid w:val="0"/>
              </w:rPr>
              <w:t>54</w:t>
            </w:r>
          </w:p>
        </w:tc>
        <w:tc>
          <w:tcPr>
            <w:tcW w:w="1417" w:type="pct"/>
            <w:tcBorders>
              <w:top w:val="single" w:sz="4" w:space="0" w:color="auto"/>
              <w:left w:val="nil"/>
              <w:bottom w:val="single" w:sz="4" w:space="0" w:color="auto"/>
              <w:right w:val="nil"/>
            </w:tcBorders>
            <w:vAlign w:val="bottom"/>
          </w:tcPr>
          <w:p w14:paraId="06F2DBB3" w14:textId="77777777" w:rsidR="0060062E" w:rsidRPr="009B1322" w:rsidRDefault="0060062E" w:rsidP="00A12E52">
            <w:pPr>
              <w:pStyle w:val="Tabletext"/>
              <w:rPr>
                <w:snapToGrid w:val="0"/>
              </w:rPr>
            </w:pPr>
            <w:r w:rsidRPr="00295986">
              <w:t>0</w:t>
            </w:r>
            <w:r w:rsidR="00D7157D">
              <w:t>.</w:t>
            </w:r>
            <w:r w:rsidRPr="00295986">
              <w:t>524</w:t>
            </w:r>
          </w:p>
        </w:tc>
        <w:tc>
          <w:tcPr>
            <w:tcW w:w="1878" w:type="pct"/>
            <w:tcBorders>
              <w:top w:val="single" w:sz="4" w:space="0" w:color="auto"/>
              <w:left w:val="nil"/>
              <w:bottom w:val="single" w:sz="4" w:space="0" w:color="auto"/>
              <w:right w:val="nil"/>
            </w:tcBorders>
            <w:vAlign w:val="bottom"/>
          </w:tcPr>
          <w:p w14:paraId="2DE303E5" w14:textId="77777777" w:rsidR="0060062E" w:rsidRPr="009B1322" w:rsidRDefault="0060062E" w:rsidP="00A12E52">
            <w:pPr>
              <w:pStyle w:val="Tabletext"/>
              <w:rPr>
                <w:snapToGrid w:val="0"/>
              </w:rPr>
            </w:pPr>
            <w:r w:rsidRPr="00295986">
              <w:t>0</w:t>
            </w:r>
            <w:r w:rsidR="00D7157D">
              <w:t>.</w:t>
            </w:r>
            <w:r w:rsidRPr="00295986">
              <w:t>135</w:t>
            </w:r>
          </w:p>
        </w:tc>
      </w:tr>
      <w:tr w:rsidR="0060062E" w:rsidRPr="009E2595" w14:paraId="61BD0232" w14:textId="77777777" w:rsidTr="0012682C">
        <w:trPr>
          <w:trHeight w:val="245"/>
          <w:jc w:val="right"/>
        </w:trPr>
        <w:tc>
          <w:tcPr>
            <w:tcW w:w="1705" w:type="pct"/>
            <w:tcBorders>
              <w:top w:val="single" w:sz="4" w:space="0" w:color="auto"/>
              <w:left w:val="nil"/>
              <w:bottom w:val="single" w:sz="12" w:space="0" w:color="auto"/>
              <w:right w:val="nil"/>
            </w:tcBorders>
          </w:tcPr>
          <w:p w14:paraId="599C77DA" w14:textId="77777777" w:rsidR="0060062E" w:rsidRPr="009B1322" w:rsidRDefault="0060062E" w:rsidP="00A12E52">
            <w:pPr>
              <w:pStyle w:val="Tabletext"/>
              <w:rPr>
                <w:snapToGrid w:val="0"/>
              </w:rPr>
            </w:pPr>
            <w:r w:rsidRPr="009B1322">
              <w:rPr>
                <w:snapToGrid w:val="0"/>
              </w:rPr>
              <w:t>55 and over</w:t>
            </w:r>
          </w:p>
        </w:tc>
        <w:tc>
          <w:tcPr>
            <w:tcW w:w="1417" w:type="pct"/>
            <w:tcBorders>
              <w:top w:val="single" w:sz="4" w:space="0" w:color="auto"/>
              <w:left w:val="nil"/>
              <w:bottom w:val="single" w:sz="12" w:space="0" w:color="auto"/>
              <w:right w:val="nil"/>
            </w:tcBorders>
            <w:vAlign w:val="bottom"/>
          </w:tcPr>
          <w:p w14:paraId="62AECF9E" w14:textId="77777777" w:rsidR="0060062E" w:rsidRPr="009B1322" w:rsidRDefault="0060062E" w:rsidP="00A12E52">
            <w:pPr>
              <w:pStyle w:val="Tabletext"/>
              <w:rPr>
                <w:snapToGrid w:val="0"/>
              </w:rPr>
            </w:pPr>
            <w:r w:rsidRPr="00295986">
              <w:t>0</w:t>
            </w:r>
            <w:r w:rsidR="00D7157D">
              <w:t>.</w:t>
            </w:r>
            <w:r w:rsidRPr="00295986">
              <w:t>328</w:t>
            </w:r>
          </w:p>
        </w:tc>
        <w:tc>
          <w:tcPr>
            <w:tcW w:w="1878" w:type="pct"/>
            <w:tcBorders>
              <w:top w:val="single" w:sz="4" w:space="0" w:color="auto"/>
              <w:left w:val="nil"/>
              <w:bottom w:val="single" w:sz="12" w:space="0" w:color="auto"/>
              <w:right w:val="nil"/>
            </w:tcBorders>
            <w:vAlign w:val="bottom"/>
          </w:tcPr>
          <w:p w14:paraId="675FD00A" w14:textId="77777777" w:rsidR="0060062E" w:rsidRPr="009B1322" w:rsidRDefault="0060062E" w:rsidP="00A12E52">
            <w:pPr>
              <w:pStyle w:val="Tabletext"/>
              <w:rPr>
                <w:snapToGrid w:val="0"/>
              </w:rPr>
            </w:pPr>
            <w:r w:rsidRPr="00295986">
              <w:t>0</w:t>
            </w:r>
            <w:r w:rsidR="00D7157D">
              <w:t>.</w:t>
            </w:r>
            <w:r w:rsidRPr="00295986">
              <w:t>084</w:t>
            </w:r>
          </w:p>
        </w:tc>
      </w:tr>
    </w:tbl>
    <w:p w14:paraId="2B0A2DF4" w14:textId="3C3F4C87" w:rsidR="00647C6B" w:rsidRPr="00A058B6" w:rsidRDefault="00D7157D" w:rsidP="00647C6B">
      <w:pPr>
        <w:pStyle w:val="ActHead5"/>
      </w:pPr>
      <w:bookmarkStart w:id="265" w:name="_Toc188350743"/>
      <w:r w:rsidRPr="00423C34">
        <w:rPr>
          <w:rStyle w:val="CharSectno"/>
        </w:rPr>
        <w:t>27</w:t>
      </w:r>
      <w:r w:rsidR="00647C6B" w:rsidRPr="00A058B6">
        <w:t xml:space="preserve">  Valuation factors—10</w:t>
      </w:r>
      <w:r w:rsidR="001952B3">
        <w:noBreakHyphen/>
      </w:r>
      <w:r w:rsidR="00647C6B" w:rsidRPr="00A058B6">
        <w:t xml:space="preserve">year guarantee period—CPI indexed pension </w:t>
      </w:r>
      <w:r w:rsidR="00A12E52" w:rsidRPr="00A058B6">
        <w:t>plus 1%</w:t>
      </w:r>
      <w:bookmarkEnd w:id="265"/>
    </w:p>
    <w:p w14:paraId="4091B1CC"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305EB5E1" w14:textId="414A0916"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3C743941" w14:textId="77777777" w:rsidR="00612783" w:rsidRDefault="00612783" w:rsidP="00DA50F8">
      <w:pPr>
        <w:pStyle w:val="paragraph"/>
      </w:pPr>
      <w:r w:rsidRPr="00A058B6">
        <w:tab/>
        <w:t>(b)</w:t>
      </w:r>
      <w:r w:rsidRPr="00A058B6">
        <w:tab/>
        <w:t>is indexed in accordance with</w:t>
      </w:r>
      <w:r w:rsidR="00DA50F8">
        <w:t xml:space="preserve"> </w:t>
      </w:r>
      <w:r w:rsidRPr="00A058B6">
        <w:t>the consumer price index plus 1%</w:t>
      </w:r>
      <w:r w:rsidR="00D7157D">
        <w:t>.</w:t>
      </w:r>
    </w:p>
    <w:p w14:paraId="51C53526"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04A8EACF" w14:textId="77777777" w:rsidTr="00963115">
        <w:trPr>
          <w:cantSplit/>
          <w:trHeight w:val="375"/>
          <w:tblHeader/>
          <w:jc w:val="right"/>
        </w:trPr>
        <w:tc>
          <w:tcPr>
            <w:tcW w:w="1705" w:type="pct"/>
            <w:vMerge w:val="restart"/>
            <w:tcBorders>
              <w:top w:val="single" w:sz="12" w:space="0" w:color="auto"/>
              <w:bottom w:val="single" w:sz="12" w:space="0" w:color="auto"/>
            </w:tcBorders>
          </w:tcPr>
          <w:p w14:paraId="1594D809"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0A3093F6" w14:textId="7A2B6994"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w:t>
            </w:r>
            <w:r w:rsidR="00612783" w:rsidRPr="00A058B6">
              <w:rPr>
                <w:snapToGrid w:val="0"/>
              </w:rPr>
              <w:t>—CPI indexed pension plus 1%</w:t>
            </w:r>
          </w:p>
        </w:tc>
      </w:tr>
      <w:tr w:rsidR="00647C6B" w:rsidRPr="00A058B6" w14:paraId="0FAC2BFD" w14:textId="77777777" w:rsidTr="0012682C">
        <w:trPr>
          <w:cantSplit/>
          <w:trHeight w:val="60"/>
          <w:tblHeader/>
          <w:jc w:val="right"/>
        </w:trPr>
        <w:tc>
          <w:tcPr>
            <w:tcW w:w="1705" w:type="pct"/>
            <w:vMerge/>
            <w:tcBorders>
              <w:bottom w:val="single" w:sz="12" w:space="0" w:color="auto"/>
            </w:tcBorders>
            <w:vAlign w:val="bottom"/>
          </w:tcPr>
          <w:p w14:paraId="5F44C1A4" w14:textId="77777777" w:rsidR="00647C6B" w:rsidRPr="00A058B6" w:rsidRDefault="00647C6B" w:rsidP="0012682C">
            <w:pPr>
              <w:pStyle w:val="TableHeading"/>
              <w:rPr>
                <w:snapToGrid w:val="0"/>
              </w:rPr>
            </w:pPr>
          </w:p>
        </w:tc>
        <w:tc>
          <w:tcPr>
            <w:tcW w:w="1429" w:type="pct"/>
            <w:tcBorders>
              <w:top w:val="single" w:sz="4" w:space="0" w:color="auto"/>
              <w:bottom w:val="single" w:sz="12" w:space="0" w:color="auto"/>
            </w:tcBorders>
            <w:vAlign w:val="bottom"/>
          </w:tcPr>
          <w:p w14:paraId="6BC5A47D" w14:textId="77777777" w:rsidR="00647C6B" w:rsidRPr="00A058B6" w:rsidRDefault="00647C6B" w:rsidP="0012682C">
            <w:pPr>
              <w:pStyle w:val="TableHeading"/>
              <w:rPr>
                <w:snapToGrid w:val="0"/>
              </w:rPr>
            </w:pPr>
            <w:r w:rsidRPr="00A058B6">
              <w:rPr>
                <w:snapToGrid w:val="0"/>
              </w:rPr>
              <w:t>Male</w:t>
            </w:r>
          </w:p>
        </w:tc>
        <w:tc>
          <w:tcPr>
            <w:tcW w:w="1866" w:type="pct"/>
            <w:tcBorders>
              <w:top w:val="single" w:sz="4" w:space="0" w:color="auto"/>
              <w:bottom w:val="single" w:sz="12" w:space="0" w:color="auto"/>
            </w:tcBorders>
            <w:vAlign w:val="bottom"/>
          </w:tcPr>
          <w:p w14:paraId="18444F8A" w14:textId="77777777" w:rsidR="00647C6B" w:rsidRPr="00A058B6" w:rsidRDefault="00647C6B" w:rsidP="0012682C">
            <w:pPr>
              <w:pStyle w:val="TableHeading"/>
              <w:rPr>
                <w:snapToGrid w:val="0"/>
              </w:rPr>
            </w:pPr>
            <w:r w:rsidRPr="00A058B6">
              <w:rPr>
                <w:snapToGrid w:val="0"/>
              </w:rPr>
              <w:t>Female</w:t>
            </w:r>
          </w:p>
        </w:tc>
      </w:tr>
      <w:tr w:rsidR="00612783" w:rsidRPr="009E2595" w14:paraId="3DA2612F" w14:textId="77777777" w:rsidTr="0012682C">
        <w:trPr>
          <w:trHeight w:val="245"/>
          <w:jc w:val="right"/>
        </w:trPr>
        <w:tc>
          <w:tcPr>
            <w:tcW w:w="1705" w:type="pct"/>
            <w:tcBorders>
              <w:top w:val="single" w:sz="12" w:space="0" w:color="auto"/>
              <w:bottom w:val="single" w:sz="4" w:space="0" w:color="auto"/>
            </w:tcBorders>
          </w:tcPr>
          <w:p w14:paraId="5B204DFE" w14:textId="77777777" w:rsidR="00612783" w:rsidRPr="009B1322" w:rsidRDefault="00612783" w:rsidP="0028754C">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015CF540" w14:textId="77777777" w:rsidR="00612783" w:rsidRPr="009B1322" w:rsidRDefault="00612783" w:rsidP="0028754C">
            <w:pPr>
              <w:pStyle w:val="Tabletext"/>
              <w:rPr>
                <w:snapToGrid w:val="0"/>
              </w:rPr>
            </w:pPr>
            <w:r w:rsidRPr="00295986">
              <w:t>22</w:t>
            </w:r>
            <w:r w:rsidR="00D7157D">
              <w:t>.</w:t>
            </w:r>
            <w:r w:rsidRPr="00295986">
              <w:t>7176</w:t>
            </w:r>
          </w:p>
        </w:tc>
        <w:tc>
          <w:tcPr>
            <w:tcW w:w="1866" w:type="pct"/>
            <w:tcBorders>
              <w:top w:val="single" w:sz="12" w:space="0" w:color="auto"/>
              <w:bottom w:val="single" w:sz="4" w:space="0" w:color="auto"/>
            </w:tcBorders>
            <w:vAlign w:val="center"/>
          </w:tcPr>
          <w:p w14:paraId="663941E8" w14:textId="77777777" w:rsidR="00612783" w:rsidRPr="009B1322" w:rsidRDefault="00612783" w:rsidP="0028754C">
            <w:pPr>
              <w:pStyle w:val="Tabletext"/>
              <w:rPr>
                <w:snapToGrid w:val="0"/>
              </w:rPr>
            </w:pPr>
            <w:r w:rsidRPr="00295986">
              <w:t>23</w:t>
            </w:r>
            <w:r w:rsidR="00D7157D">
              <w:t>.</w:t>
            </w:r>
            <w:r w:rsidRPr="00295986">
              <w:t>7817</w:t>
            </w:r>
          </w:p>
        </w:tc>
      </w:tr>
      <w:tr w:rsidR="00612783" w:rsidRPr="009E2595" w14:paraId="32B75A7B" w14:textId="77777777" w:rsidTr="0012682C">
        <w:trPr>
          <w:trHeight w:val="245"/>
          <w:jc w:val="right"/>
        </w:trPr>
        <w:tc>
          <w:tcPr>
            <w:tcW w:w="1705" w:type="pct"/>
            <w:tcBorders>
              <w:top w:val="single" w:sz="4" w:space="0" w:color="auto"/>
              <w:bottom w:val="single" w:sz="4" w:space="0" w:color="auto"/>
            </w:tcBorders>
          </w:tcPr>
          <w:p w14:paraId="19772FB4" w14:textId="77777777" w:rsidR="00612783" w:rsidRPr="009B1322" w:rsidRDefault="00612783" w:rsidP="0028754C">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0C6DC7E3" w14:textId="77777777" w:rsidR="00612783" w:rsidRPr="009B1322" w:rsidRDefault="00612783" w:rsidP="0028754C">
            <w:pPr>
              <w:pStyle w:val="Tabletext"/>
              <w:rPr>
                <w:snapToGrid w:val="0"/>
              </w:rPr>
            </w:pPr>
            <w:r w:rsidRPr="00295986">
              <w:t>22</w:t>
            </w:r>
            <w:r w:rsidR="00D7157D">
              <w:t>.</w:t>
            </w:r>
            <w:r w:rsidRPr="00295986">
              <w:t>2705</w:t>
            </w:r>
          </w:p>
        </w:tc>
        <w:tc>
          <w:tcPr>
            <w:tcW w:w="1866" w:type="pct"/>
            <w:tcBorders>
              <w:top w:val="single" w:sz="4" w:space="0" w:color="auto"/>
              <w:bottom w:val="single" w:sz="4" w:space="0" w:color="auto"/>
            </w:tcBorders>
            <w:vAlign w:val="center"/>
          </w:tcPr>
          <w:p w14:paraId="6A9A0B7B" w14:textId="77777777" w:rsidR="00612783" w:rsidRPr="009B1322" w:rsidRDefault="00612783" w:rsidP="0028754C">
            <w:pPr>
              <w:pStyle w:val="Tabletext"/>
              <w:rPr>
                <w:snapToGrid w:val="0"/>
              </w:rPr>
            </w:pPr>
            <w:r w:rsidRPr="00295986">
              <w:t>23</w:t>
            </w:r>
            <w:r w:rsidR="00D7157D">
              <w:t>.</w:t>
            </w:r>
            <w:r w:rsidRPr="00295986">
              <w:t>3471</w:t>
            </w:r>
          </w:p>
        </w:tc>
      </w:tr>
      <w:tr w:rsidR="00612783" w:rsidRPr="009E2595" w14:paraId="16717588" w14:textId="77777777" w:rsidTr="0012682C">
        <w:trPr>
          <w:trHeight w:val="245"/>
          <w:jc w:val="right"/>
        </w:trPr>
        <w:tc>
          <w:tcPr>
            <w:tcW w:w="1705" w:type="pct"/>
            <w:tcBorders>
              <w:top w:val="single" w:sz="4" w:space="0" w:color="auto"/>
              <w:bottom w:val="single" w:sz="4" w:space="0" w:color="auto"/>
            </w:tcBorders>
          </w:tcPr>
          <w:p w14:paraId="3F16F0A2" w14:textId="77777777" w:rsidR="00612783" w:rsidRPr="009B1322" w:rsidRDefault="00612783" w:rsidP="0028754C">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6E1A496C" w14:textId="77777777" w:rsidR="00612783" w:rsidRPr="009B1322" w:rsidRDefault="00612783" w:rsidP="0028754C">
            <w:pPr>
              <w:pStyle w:val="Tabletext"/>
              <w:rPr>
                <w:snapToGrid w:val="0"/>
              </w:rPr>
            </w:pPr>
            <w:r w:rsidRPr="00295986">
              <w:t>21</w:t>
            </w:r>
            <w:r w:rsidR="00D7157D">
              <w:t>.</w:t>
            </w:r>
            <w:r w:rsidRPr="00295986">
              <w:t>8138</w:t>
            </w:r>
          </w:p>
        </w:tc>
        <w:tc>
          <w:tcPr>
            <w:tcW w:w="1866" w:type="pct"/>
            <w:tcBorders>
              <w:top w:val="single" w:sz="4" w:space="0" w:color="auto"/>
              <w:bottom w:val="single" w:sz="4" w:space="0" w:color="auto"/>
            </w:tcBorders>
            <w:vAlign w:val="center"/>
          </w:tcPr>
          <w:p w14:paraId="017F9485" w14:textId="77777777" w:rsidR="00612783" w:rsidRPr="009B1322" w:rsidRDefault="00612783" w:rsidP="0028754C">
            <w:pPr>
              <w:pStyle w:val="Tabletext"/>
              <w:rPr>
                <w:snapToGrid w:val="0"/>
              </w:rPr>
            </w:pPr>
            <w:r w:rsidRPr="00295986">
              <w:t>22</w:t>
            </w:r>
            <w:r w:rsidR="00D7157D">
              <w:t>.</w:t>
            </w:r>
            <w:r w:rsidRPr="00295986">
              <w:t>9039</w:t>
            </w:r>
          </w:p>
        </w:tc>
      </w:tr>
      <w:tr w:rsidR="00612783" w:rsidRPr="009E2595" w14:paraId="48E64022" w14:textId="77777777" w:rsidTr="0012682C">
        <w:trPr>
          <w:trHeight w:val="245"/>
          <w:jc w:val="right"/>
        </w:trPr>
        <w:tc>
          <w:tcPr>
            <w:tcW w:w="1705" w:type="pct"/>
            <w:tcBorders>
              <w:top w:val="single" w:sz="4" w:space="0" w:color="auto"/>
              <w:bottom w:val="single" w:sz="4" w:space="0" w:color="auto"/>
            </w:tcBorders>
          </w:tcPr>
          <w:p w14:paraId="19B69343" w14:textId="77777777" w:rsidR="00612783" w:rsidRPr="009B1322" w:rsidRDefault="00612783" w:rsidP="0028754C">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0C3C40CE" w14:textId="77777777" w:rsidR="00612783" w:rsidRPr="009B1322" w:rsidRDefault="00612783" w:rsidP="0028754C">
            <w:pPr>
              <w:pStyle w:val="Tabletext"/>
              <w:rPr>
                <w:snapToGrid w:val="0"/>
              </w:rPr>
            </w:pPr>
            <w:r w:rsidRPr="00295986">
              <w:t>21</w:t>
            </w:r>
            <w:r w:rsidR="00D7157D">
              <w:t>.</w:t>
            </w:r>
            <w:r w:rsidRPr="00295986">
              <w:t>3477</w:t>
            </w:r>
          </w:p>
        </w:tc>
        <w:tc>
          <w:tcPr>
            <w:tcW w:w="1866" w:type="pct"/>
            <w:tcBorders>
              <w:top w:val="single" w:sz="4" w:space="0" w:color="auto"/>
              <w:bottom w:val="single" w:sz="4" w:space="0" w:color="auto"/>
            </w:tcBorders>
            <w:vAlign w:val="center"/>
          </w:tcPr>
          <w:p w14:paraId="7E8ED74A" w14:textId="77777777" w:rsidR="00612783" w:rsidRPr="009B1322" w:rsidRDefault="00612783" w:rsidP="0028754C">
            <w:pPr>
              <w:pStyle w:val="Tabletext"/>
              <w:rPr>
                <w:snapToGrid w:val="0"/>
              </w:rPr>
            </w:pPr>
            <w:r w:rsidRPr="00295986">
              <w:t>22</w:t>
            </w:r>
            <w:r w:rsidR="00D7157D">
              <w:t>.</w:t>
            </w:r>
            <w:r w:rsidRPr="00295986">
              <w:t>4515</w:t>
            </w:r>
          </w:p>
        </w:tc>
      </w:tr>
      <w:tr w:rsidR="00612783" w:rsidRPr="009E2595" w14:paraId="3FEA42A6" w14:textId="77777777" w:rsidTr="0012682C">
        <w:trPr>
          <w:trHeight w:val="245"/>
          <w:jc w:val="right"/>
        </w:trPr>
        <w:tc>
          <w:tcPr>
            <w:tcW w:w="1705" w:type="pct"/>
            <w:tcBorders>
              <w:top w:val="single" w:sz="4" w:space="0" w:color="auto"/>
              <w:bottom w:val="single" w:sz="4" w:space="0" w:color="auto"/>
            </w:tcBorders>
          </w:tcPr>
          <w:p w14:paraId="44373F87" w14:textId="77777777" w:rsidR="00612783" w:rsidRPr="009B1322" w:rsidRDefault="00612783" w:rsidP="0028754C">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168CFC75" w14:textId="77777777" w:rsidR="00612783" w:rsidRPr="009B1322" w:rsidRDefault="00612783" w:rsidP="0028754C">
            <w:pPr>
              <w:pStyle w:val="Tabletext"/>
              <w:rPr>
                <w:snapToGrid w:val="0"/>
              </w:rPr>
            </w:pPr>
            <w:r w:rsidRPr="00295986">
              <w:t>20</w:t>
            </w:r>
            <w:r w:rsidR="00D7157D">
              <w:t>.</w:t>
            </w:r>
            <w:r w:rsidRPr="00295986">
              <w:t>8722</w:t>
            </w:r>
          </w:p>
        </w:tc>
        <w:tc>
          <w:tcPr>
            <w:tcW w:w="1866" w:type="pct"/>
            <w:tcBorders>
              <w:top w:val="single" w:sz="4" w:space="0" w:color="auto"/>
              <w:bottom w:val="single" w:sz="4" w:space="0" w:color="auto"/>
            </w:tcBorders>
            <w:vAlign w:val="center"/>
          </w:tcPr>
          <w:p w14:paraId="39BDC2E3" w14:textId="77777777" w:rsidR="00612783" w:rsidRPr="009B1322" w:rsidRDefault="00612783" w:rsidP="0028754C">
            <w:pPr>
              <w:pStyle w:val="Tabletext"/>
              <w:rPr>
                <w:snapToGrid w:val="0"/>
              </w:rPr>
            </w:pPr>
            <w:r w:rsidRPr="00295986">
              <w:t>21</w:t>
            </w:r>
            <w:r w:rsidR="00D7157D">
              <w:t>.</w:t>
            </w:r>
            <w:r w:rsidRPr="00295986">
              <w:t>9899</w:t>
            </w:r>
          </w:p>
        </w:tc>
      </w:tr>
      <w:tr w:rsidR="00612783" w:rsidRPr="009E2595" w14:paraId="1D5AA6D1" w14:textId="77777777" w:rsidTr="0012682C">
        <w:trPr>
          <w:trHeight w:val="245"/>
          <w:jc w:val="right"/>
        </w:trPr>
        <w:tc>
          <w:tcPr>
            <w:tcW w:w="1705" w:type="pct"/>
            <w:tcBorders>
              <w:top w:val="single" w:sz="4" w:space="0" w:color="auto"/>
              <w:bottom w:val="single" w:sz="4" w:space="0" w:color="auto"/>
            </w:tcBorders>
          </w:tcPr>
          <w:p w14:paraId="190BBF63" w14:textId="77777777" w:rsidR="00612783" w:rsidRPr="009B1322" w:rsidRDefault="00612783" w:rsidP="0028754C">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72B9EDB6" w14:textId="77777777" w:rsidR="00612783" w:rsidRPr="009B1322" w:rsidRDefault="00612783" w:rsidP="0028754C">
            <w:pPr>
              <w:pStyle w:val="Tabletext"/>
              <w:rPr>
                <w:snapToGrid w:val="0"/>
              </w:rPr>
            </w:pPr>
            <w:r w:rsidRPr="00295986">
              <w:t>20</w:t>
            </w:r>
            <w:r w:rsidR="00D7157D">
              <w:t>.</w:t>
            </w:r>
            <w:r w:rsidRPr="00295986">
              <w:t>3878</w:t>
            </w:r>
          </w:p>
        </w:tc>
        <w:tc>
          <w:tcPr>
            <w:tcW w:w="1866" w:type="pct"/>
            <w:tcBorders>
              <w:top w:val="single" w:sz="4" w:space="0" w:color="auto"/>
              <w:bottom w:val="single" w:sz="4" w:space="0" w:color="auto"/>
            </w:tcBorders>
            <w:vAlign w:val="center"/>
          </w:tcPr>
          <w:p w14:paraId="61E15A86" w14:textId="77777777" w:rsidR="00612783" w:rsidRPr="009B1322" w:rsidRDefault="00612783" w:rsidP="0028754C">
            <w:pPr>
              <w:pStyle w:val="Tabletext"/>
              <w:rPr>
                <w:snapToGrid w:val="0"/>
              </w:rPr>
            </w:pPr>
            <w:r w:rsidRPr="00295986">
              <w:t>21</w:t>
            </w:r>
            <w:r w:rsidR="00D7157D">
              <w:t>.</w:t>
            </w:r>
            <w:r w:rsidRPr="00295986">
              <w:t>5189</w:t>
            </w:r>
          </w:p>
        </w:tc>
      </w:tr>
      <w:tr w:rsidR="00612783" w:rsidRPr="009E2595" w14:paraId="05CD8948" w14:textId="77777777" w:rsidTr="0012682C">
        <w:trPr>
          <w:trHeight w:val="245"/>
          <w:jc w:val="right"/>
        </w:trPr>
        <w:tc>
          <w:tcPr>
            <w:tcW w:w="1705" w:type="pct"/>
            <w:tcBorders>
              <w:top w:val="single" w:sz="4" w:space="0" w:color="auto"/>
              <w:bottom w:val="single" w:sz="4" w:space="0" w:color="auto"/>
            </w:tcBorders>
          </w:tcPr>
          <w:p w14:paraId="39BE5520" w14:textId="77777777" w:rsidR="00612783" w:rsidRPr="009B1322" w:rsidRDefault="00612783" w:rsidP="0028754C">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55D4851D" w14:textId="77777777" w:rsidR="00612783" w:rsidRPr="009B1322" w:rsidRDefault="00612783" w:rsidP="0028754C">
            <w:pPr>
              <w:pStyle w:val="Tabletext"/>
              <w:rPr>
                <w:snapToGrid w:val="0"/>
              </w:rPr>
            </w:pPr>
            <w:r w:rsidRPr="00295986">
              <w:t>19</w:t>
            </w:r>
            <w:r w:rsidR="00D7157D">
              <w:t>.</w:t>
            </w:r>
            <w:r w:rsidRPr="00295986">
              <w:t>8950</w:t>
            </w:r>
          </w:p>
        </w:tc>
        <w:tc>
          <w:tcPr>
            <w:tcW w:w="1866" w:type="pct"/>
            <w:tcBorders>
              <w:top w:val="single" w:sz="4" w:space="0" w:color="auto"/>
              <w:bottom w:val="single" w:sz="4" w:space="0" w:color="auto"/>
            </w:tcBorders>
            <w:vAlign w:val="center"/>
          </w:tcPr>
          <w:p w14:paraId="5503973B" w14:textId="77777777" w:rsidR="00612783" w:rsidRPr="009B1322" w:rsidRDefault="00612783" w:rsidP="0028754C">
            <w:pPr>
              <w:pStyle w:val="Tabletext"/>
              <w:rPr>
                <w:snapToGrid w:val="0"/>
              </w:rPr>
            </w:pPr>
            <w:r w:rsidRPr="00295986">
              <w:t>21</w:t>
            </w:r>
            <w:r w:rsidR="00D7157D">
              <w:t>.</w:t>
            </w:r>
            <w:r w:rsidRPr="00295986">
              <w:t>0384</w:t>
            </w:r>
          </w:p>
        </w:tc>
      </w:tr>
      <w:tr w:rsidR="00612783" w:rsidRPr="009E2595" w14:paraId="43325716" w14:textId="77777777" w:rsidTr="0012682C">
        <w:trPr>
          <w:trHeight w:val="245"/>
          <w:jc w:val="right"/>
        </w:trPr>
        <w:tc>
          <w:tcPr>
            <w:tcW w:w="1705" w:type="pct"/>
            <w:tcBorders>
              <w:top w:val="single" w:sz="4" w:space="0" w:color="auto"/>
              <w:bottom w:val="single" w:sz="4" w:space="0" w:color="auto"/>
            </w:tcBorders>
          </w:tcPr>
          <w:p w14:paraId="39183046" w14:textId="77777777" w:rsidR="00612783" w:rsidRPr="009B1322" w:rsidRDefault="00612783" w:rsidP="0028754C">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7000D235" w14:textId="77777777" w:rsidR="00612783" w:rsidRPr="009B1322" w:rsidRDefault="00612783" w:rsidP="0028754C">
            <w:pPr>
              <w:pStyle w:val="Tabletext"/>
              <w:rPr>
                <w:snapToGrid w:val="0"/>
              </w:rPr>
            </w:pPr>
            <w:r w:rsidRPr="00295986">
              <w:t>19</w:t>
            </w:r>
            <w:r w:rsidR="00D7157D">
              <w:t>.</w:t>
            </w:r>
            <w:r w:rsidRPr="00295986">
              <w:t>3940</w:t>
            </w:r>
          </w:p>
        </w:tc>
        <w:tc>
          <w:tcPr>
            <w:tcW w:w="1866" w:type="pct"/>
            <w:tcBorders>
              <w:top w:val="single" w:sz="4" w:space="0" w:color="auto"/>
              <w:bottom w:val="single" w:sz="4" w:space="0" w:color="auto"/>
            </w:tcBorders>
            <w:vAlign w:val="center"/>
          </w:tcPr>
          <w:p w14:paraId="6A8D20DB" w14:textId="77777777" w:rsidR="00612783" w:rsidRPr="009B1322" w:rsidRDefault="00612783" w:rsidP="0028754C">
            <w:pPr>
              <w:pStyle w:val="Tabletext"/>
              <w:rPr>
                <w:snapToGrid w:val="0"/>
              </w:rPr>
            </w:pPr>
            <w:r w:rsidRPr="00295986">
              <w:t>20</w:t>
            </w:r>
            <w:r w:rsidR="00D7157D">
              <w:t>.</w:t>
            </w:r>
            <w:r w:rsidRPr="00295986">
              <w:t>5492</w:t>
            </w:r>
          </w:p>
        </w:tc>
      </w:tr>
      <w:tr w:rsidR="00612783" w:rsidRPr="009E2595" w14:paraId="72800467" w14:textId="77777777" w:rsidTr="0012682C">
        <w:trPr>
          <w:trHeight w:val="245"/>
          <w:jc w:val="right"/>
        </w:trPr>
        <w:tc>
          <w:tcPr>
            <w:tcW w:w="1705" w:type="pct"/>
            <w:tcBorders>
              <w:top w:val="single" w:sz="4" w:space="0" w:color="auto"/>
              <w:bottom w:val="single" w:sz="4" w:space="0" w:color="auto"/>
            </w:tcBorders>
          </w:tcPr>
          <w:p w14:paraId="7D43C58C" w14:textId="77777777" w:rsidR="00612783" w:rsidRPr="009B1322" w:rsidRDefault="00612783" w:rsidP="0028754C">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2BFE94E8" w14:textId="77777777" w:rsidR="00612783" w:rsidRPr="009B1322" w:rsidRDefault="00612783" w:rsidP="0028754C">
            <w:pPr>
              <w:pStyle w:val="Tabletext"/>
              <w:rPr>
                <w:snapToGrid w:val="0"/>
              </w:rPr>
            </w:pPr>
            <w:r w:rsidRPr="00295986">
              <w:t>18</w:t>
            </w:r>
            <w:r w:rsidR="00D7157D">
              <w:t>.</w:t>
            </w:r>
            <w:r w:rsidRPr="00295986">
              <w:t>8857</w:t>
            </w:r>
          </w:p>
        </w:tc>
        <w:tc>
          <w:tcPr>
            <w:tcW w:w="1866" w:type="pct"/>
            <w:tcBorders>
              <w:top w:val="single" w:sz="4" w:space="0" w:color="auto"/>
              <w:bottom w:val="single" w:sz="4" w:space="0" w:color="auto"/>
            </w:tcBorders>
            <w:vAlign w:val="center"/>
          </w:tcPr>
          <w:p w14:paraId="60A3444C" w14:textId="77777777" w:rsidR="00612783" w:rsidRPr="009B1322" w:rsidRDefault="00612783" w:rsidP="0028754C">
            <w:pPr>
              <w:pStyle w:val="Tabletext"/>
              <w:rPr>
                <w:snapToGrid w:val="0"/>
              </w:rPr>
            </w:pPr>
            <w:r w:rsidRPr="00295986">
              <w:t>20</w:t>
            </w:r>
            <w:r w:rsidR="00D7157D">
              <w:t>.</w:t>
            </w:r>
            <w:r w:rsidRPr="00295986">
              <w:t>0516</w:t>
            </w:r>
          </w:p>
        </w:tc>
      </w:tr>
      <w:tr w:rsidR="00612783" w:rsidRPr="009E2595" w14:paraId="4008F4D5" w14:textId="77777777" w:rsidTr="0012682C">
        <w:trPr>
          <w:trHeight w:val="245"/>
          <w:jc w:val="right"/>
        </w:trPr>
        <w:tc>
          <w:tcPr>
            <w:tcW w:w="1705" w:type="pct"/>
            <w:tcBorders>
              <w:top w:val="single" w:sz="4" w:space="0" w:color="auto"/>
              <w:bottom w:val="single" w:sz="4" w:space="0" w:color="auto"/>
            </w:tcBorders>
          </w:tcPr>
          <w:p w14:paraId="3435D9BB" w14:textId="77777777" w:rsidR="00612783" w:rsidRPr="009B1322" w:rsidRDefault="00612783" w:rsidP="0028754C">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10EEAD95" w14:textId="77777777" w:rsidR="00612783" w:rsidRPr="009B1322" w:rsidRDefault="00612783" w:rsidP="0028754C">
            <w:pPr>
              <w:pStyle w:val="Tabletext"/>
              <w:rPr>
                <w:snapToGrid w:val="0"/>
              </w:rPr>
            </w:pPr>
            <w:r w:rsidRPr="00295986">
              <w:t>18</w:t>
            </w:r>
            <w:r w:rsidR="00D7157D">
              <w:t>.</w:t>
            </w:r>
            <w:r w:rsidRPr="00295986">
              <w:t>3704</w:t>
            </w:r>
          </w:p>
        </w:tc>
        <w:tc>
          <w:tcPr>
            <w:tcW w:w="1866" w:type="pct"/>
            <w:tcBorders>
              <w:top w:val="single" w:sz="4" w:space="0" w:color="auto"/>
              <w:bottom w:val="single" w:sz="4" w:space="0" w:color="auto"/>
            </w:tcBorders>
            <w:vAlign w:val="center"/>
          </w:tcPr>
          <w:p w14:paraId="2F85EE05" w14:textId="77777777" w:rsidR="00612783" w:rsidRPr="009B1322" w:rsidRDefault="00612783" w:rsidP="0028754C">
            <w:pPr>
              <w:pStyle w:val="Tabletext"/>
              <w:rPr>
                <w:snapToGrid w:val="0"/>
              </w:rPr>
            </w:pPr>
            <w:r w:rsidRPr="00295986">
              <w:t>19</w:t>
            </w:r>
            <w:r w:rsidR="00D7157D">
              <w:t>.</w:t>
            </w:r>
            <w:r w:rsidRPr="00295986">
              <w:t>5463</w:t>
            </w:r>
          </w:p>
        </w:tc>
      </w:tr>
      <w:tr w:rsidR="00612783" w:rsidRPr="009E2595" w14:paraId="511980C1" w14:textId="77777777" w:rsidTr="0012682C">
        <w:trPr>
          <w:trHeight w:val="245"/>
          <w:jc w:val="right"/>
        </w:trPr>
        <w:tc>
          <w:tcPr>
            <w:tcW w:w="1705" w:type="pct"/>
            <w:tcBorders>
              <w:top w:val="single" w:sz="4" w:space="0" w:color="auto"/>
              <w:bottom w:val="single" w:sz="12" w:space="0" w:color="auto"/>
            </w:tcBorders>
          </w:tcPr>
          <w:p w14:paraId="32A56001" w14:textId="77777777" w:rsidR="00612783" w:rsidRPr="009B1322" w:rsidRDefault="00612783" w:rsidP="0028754C">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0D60CAED" w14:textId="77777777" w:rsidR="00612783" w:rsidRPr="009B1322" w:rsidRDefault="00612783" w:rsidP="0028754C">
            <w:pPr>
              <w:pStyle w:val="Tabletext"/>
              <w:rPr>
                <w:snapToGrid w:val="0"/>
              </w:rPr>
            </w:pPr>
            <w:r w:rsidRPr="00295986">
              <w:t>17</w:t>
            </w:r>
            <w:r w:rsidR="00D7157D">
              <w:t>.</w:t>
            </w:r>
            <w:r w:rsidRPr="00295986">
              <w:t>8501</w:t>
            </w:r>
          </w:p>
        </w:tc>
        <w:tc>
          <w:tcPr>
            <w:tcW w:w="1866" w:type="pct"/>
            <w:tcBorders>
              <w:top w:val="single" w:sz="4" w:space="0" w:color="auto"/>
              <w:bottom w:val="single" w:sz="12" w:space="0" w:color="auto"/>
            </w:tcBorders>
            <w:vAlign w:val="center"/>
          </w:tcPr>
          <w:p w14:paraId="5555A14A" w14:textId="77777777" w:rsidR="00612783" w:rsidRPr="009B1322" w:rsidRDefault="00612783" w:rsidP="0028754C">
            <w:pPr>
              <w:pStyle w:val="Tabletext"/>
              <w:rPr>
                <w:snapToGrid w:val="0"/>
              </w:rPr>
            </w:pPr>
            <w:r w:rsidRPr="00295986">
              <w:t>19</w:t>
            </w:r>
            <w:r w:rsidR="00D7157D">
              <w:t>.</w:t>
            </w:r>
            <w:r w:rsidRPr="00295986">
              <w:t>0346</w:t>
            </w:r>
          </w:p>
        </w:tc>
      </w:tr>
    </w:tbl>
    <w:p w14:paraId="5A6D4307"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10720176" w14:textId="77777777" w:rsidTr="00963115">
        <w:trPr>
          <w:cantSplit/>
          <w:trHeight w:val="375"/>
          <w:tblHeader/>
          <w:jc w:val="right"/>
        </w:trPr>
        <w:tc>
          <w:tcPr>
            <w:tcW w:w="1705" w:type="pct"/>
            <w:vMerge w:val="restart"/>
            <w:tcBorders>
              <w:top w:val="single" w:sz="12" w:space="0" w:color="auto"/>
            </w:tcBorders>
          </w:tcPr>
          <w:p w14:paraId="2CB1585C"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A977BB8" w14:textId="0027BB80"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w:t>
            </w:r>
            <w:r w:rsidR="00612783" w:rsidRPr="00A058B6">
              <w:rPr>
                <w:snapToGrid w:val="0"/>
              </w:rPr>
              <w:t>—CPI indexed pension plus 1%</w:t>
            </w:r>
          </w:p>
        </w:tc>
      </w:tr>
      <w:tr w:rsidR="00647C6B" w:rsidRPr="00A058B6" w14:paraId="1C19E9E3" w14:textId="77777777" w:rsidTr="00963115">
        <w:trPr>
          <w:cantSplit/>
          <w:trHeight w:val="60"/>
          <w:tblHeader/>
          <w:jc w:val="right"/>
        </w:trPr>
        <w:tc>
          <w:tcPr>
            <w:tcW w:w="1705" w:type="pct"/>
            <w:vMerge/>
            <w:tcBorders>
              <w:bottom w:val="single" w:sz="12" w:space="0" w:color="auto"/>
            </w:tcBorders>
          </w:tcPr>
          <w:p w14:paraId="00AEC784" w14:textId="77777777" w:rsidR="00647C6B" w:rsidRPr="00A058B6" w:rsidRDefault="00647C6B" w:rsidP="00963115">
            <w:pPr>
              <w:pStyle w:val="TableHeading"/>
              <w:rPr>
                <w:snapToGrid w:val="0"/>
              </w:rPr>
            </w:pPr>
          </w:p>
        </w:tc>
        <w:tc>
          <w:tcPr>
            <w:tcW w:w="1417" w:type="pct"/>
            <w:tcBorders>
              <w:bottom w:val="single" w:sz="12" w:space="0" w:color="auto"/>
            </w:tcBorders>
          </w:tcPr>
          <w:p w14:paraId="4C28B68B"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50EFD70D" w14:textId="77777777" w:rsidR="00647C6B" w:rsidRPr="00A058B6" w:rsidRDefault="00647C6B" w:rsidP="00963115">
            <w:pPr>
              <w:pStyle w:val="TableHeading"/>
              <w:rPr>
                <w:snapToGrid w:val="0"/>
              </w:rPr>
            </w:pPr>
            <w:r w:rsidRPr="00A058B6">
              <w:rPr>
                <w:snapToGrid w:val="0"/>
              </w:rPr>
              <w:t>Female</w:t>
            </w:r>
          </w:p>
        </w:tc>
      </w:tr>
      <w:tr w:rsidR="00612783" w:rsidRPr="009E2595" w14:paraId="051F5FC7" w14:textId="77777777" w:rsidTr="006037F5">
        <w:trPr>
          <w:trHeight w:val="245"/>
          <w:jc w:val="right"/>
        </w:trPr>
        <w:tc>
          <w:tcPr>
            <w:tcW w:w="1705" w:type="pct"/>
            <w:tcBorders>
              <w:top w:val="single" w:sz="12" w:space="0" w:color="auto"/>
              <w:bottom w:val="single" w:sz="4" w:space="0" w:color="auto"/>
            </w:tcBorders>
            <w:vAlign w:val="bottom"/>
          </w:tcPr>
          <w:p w14:paraId="292E6CFA" w14:textId="77777777" w:rsidR="00612783" w:rsidRPr="009B1322" w:rsidRDefault="00612783" w:rsidP="006037F5">
            <w:pPr>
              <w:pStyle w:val="Tabletext"/>
              <w:rPr>
                <w:snapToGrid w:val="0"/>
              </w:rPr>
            </w:pPr>
            <w:r w:rsidRPr="009B1322">
              <w:rPr>
                <w:snapToGrid w:val="0"/>
              </w:rPr>
              <w:t>Up to 40</w:t>
            </w:r>
          </w:p>
        </w:tc>
        <w:tc>
          <w:tcPr>
            <w:tcW w:w="1417" w:type="pct"/>
            <w:tcBorders>
              <w:top w:val="single" w:sz="12" w:space="0" w:color="auto"/>
              <w:bottom w:val="single" w:sz="4" w:space="0" w:color="auto"/>
            </w:tcBorders>
            <w:vAlign w:val="bottom"/>
          </w:tcPr>
          <w:p w14:paraId="75177F8B" w14:textId="77777777" w:rsidR="00612783" w:rsidRPr="009B1322" w:rsidRDefault="00612783" w:rsidP="006037F5">
            <w:pPr>
              <w:pStyle w:val="Tabletext"/>
              <w:rPr>
                <w:snapToGrid w:val="0"/>
              </w:rPr>
            </w:pPr>
            <w:r w:rsidRPr="00295986">
              <w:t>2</w:t>
            </w:r>
            <w:r w:rsidR="00D7157D">
              <w:t>.</w:t>
            </w:r>
            <w:r w:rsidRPr="00295986">
              <w:t>704</w:t>
            </w:r>
          </w:p>
        </w:tc>
        <w:tc>
          <w:tcPr>
            <w:tcW w:w="1878" w:type="pct"/>
            <w:tcBorders>
              <w:top w:val="single" w:sz="12" w:space="0" w:color="auto"/>
              <w:bottom w:val="single" w:sz="4" w:space="0" w:color="auto"/>
            </w:tcBorders>
            <w:vAlign w:val="bottom"/>
          </w:tcPr>
          <w:p w14:paraId="2184F7B3" w14:textId="77777777" w:rsidR="00612783" w:rsidRPr="009B1322" w:rsidRDefault="00612783" w:rsidP="006037F5">
            <w:pPr>
              <w:pStyle w:val="Tabletext"/>
              <w:rPr>
                <w:snapToGrid w:val="0"/>
              </w:rPr>
            </w:pPr>
            <w:r w:rsidRPr="00295986">
              <w:t>1</w:t>
            </w:r>
            <w:r w:rsidR="00D7157D">
              <w:t>.</w:t>
            </w:r>
            <w:r w:rsidRPr="00295986">
              <w:t>142</w:t>
            </w:r>
          </w:p>
        </w:tc>
      </w:tr>
      <w:tr w:rsidR="00612783" w:rsidRPr="009E2595" w14:paraId="60A79116" w14:textId="77777777" w:rsidTr="006037F5">
        <w:trPr>
          <w:trHeight w:val="245"/>
          <w:jc w:val="right"/>
        </w:trPr>
        <w:tc>
          <w:tcPr>
            <w:tcW w:w="1705" w:type="pct"/>
            <w:tcBorders>
              <w:top w:val="single" w:sz="4" w:space="0" w:color="auto"/>
              <w:bottom w:val="single" w:sz="4" w:space="0" w:color="auto"/>
            </w:tcBorders>
            <w:vAlign w:val="bottom"/>
          </w:tcPr>
          <w:p w14:paraId="1FAA0F4A" w14:textId="77777777" w:rsidR="00612783" w:rsidRPr="009B1322" w:rsidRDefault="00612783" w:rsidP="006037F5">
            <w:pPr>
              <w:pStyle w:val="Tabletext"/>
              <w:rPr>
                <w:snapToGrid w:val="0"/>
              </w:rPr>
            </w:pPr>
            <w:r w:rsidRPr="009B1322">
              <w:rPr>
                <w:snapToGrid w:val="0"/>
              </w:rPr>
              <w:t>41</w:t>
            </w:r>
          </w:p>
        </w:tc>
        <w:tc>
          <w:tcPr>
            <w:tcW w:w="1417" w:type="pct"/>
            <w:tcBorders>
              <w:top w:val="single" w:sz="4" w:space="0" w:color="auto"/>
              <w:bottom w:val="single" w:sz="4" w:space="0" w:color="auto"/>
            </w:tcBorders>
            <w:vAlign w:val="bottom"/>
          </w:tcPr>
          <w:p w14:paraId="5A1953FC" w14:textId="77777777" w:rsidR="00612783" w:rsidRPr="009B1322" w:rsidRDefault="00612783" w:rsidP="006037F5">
            <w:pPr>
              <w:pStyle w:val="Tabletext"/>
              <w:rPr>
                <w:snapToGrid w:val="0"/>
              </w:rPr>
            </w:pPr>
            <w:r w:rsidRPr="00295986">
              <w:t>2</w:t>
            </w:r>
            <w:r w:rsidR="00D7157D">
              <w:t>.</w:t>
            </w:r>
            <w:r w:rsidRPr="00295986">
              <w:t>614</w:t>
            </w:r>
          </w:p>
        </w:tc>
        <w:tc>
          <w:tcPr>
            <w:tcW w:w="1878" w:type="pct"/>
            <w:tcBorders>
              <w:top w:val="single" w:sz="4" w:space="0" w:color="auto"/>
              <w:bottom w:val="single" w:sz="4" w:space="0" w:color="auto"/>
            </w:tcBorders>
            <w:vAlign w:val="bottom"/>
          </w:tcPr>
          <w:p w14:paraId="18B7DD0A" w14:textId="77777777" w:rsidR="00612783" w:rsidRPr="009B1322" w:rsidRDefault="00612783" w:rsidP="006037F5">
            <w:pPr>
              <w:pStyle w:val="Tabletext"/>
              <w:rPr>
                <w:snapToGrid w:val="0"/>
              </w:rPr>
            </w:pPr>
            <w:r w:rsidRPr="00295986">
              <w:t>1</w:t>
            </w:r>
            <w:r w:rsidR="00D7157D">
              <w:t>.</w:t>
            </w:r>
            <w:r w:rsidRPr="00295986">
              <w:t>073</w:t>
            </w:r>
          </w:p>
        </w:tc>
      </w:tr>
      <w:tr w:rsidR="00612783" w:rsidRPr="009E2595" w14:paraId="5D6B74E0" w14:textId="77777777" w:rsidTr="006037F5">
        <w:trPr>
          <w:trHeight w:val="245"/>
          <w:jc w:val="right"/>
        </w:trPr>
        <w:tc>
          <w:tcPr>
            <w:tcW w:w="1705" w:type="pct"/>
            <w:tcBorders>
              <w:top w:val="single" w:sz="4" w:space="0" w:color="auto"/>
              <w:bottom w:val="single" w:sz="4" w:space="0" w:color="auto"/>
            </w:tcBorders>
            <w:vAlign w:val="bottom"/>
          </w:tcPr>
          <w:p w14:paraId="1775EBA3" w14:textId="77777777" w:rsidR="00612783" w:rsidRPr="009B1322" w:rsidRDefault="00612783" w:rsidP="006037F5">
            <w:pPr>
              <w:pStyle w:val="Tabletext"/>
              <w:rPr>
                <w:snapToGrid w:val="0"/>
              </w:rPr>
            </w:pPr>
            <w:r w:rsidRPr="009B1322">
              <w:rPr>
                <w:snapToGrid w:val="0"/>
              </w:rPr>
              <w:t>42</w:t>
            </w:r>
          </w:p>
        </w:tc>
        <w:tc>
          <w:tcPr>
            <w:tcW w:w="1417" w:type="pct"/>
            <w:tcBorders>
              <w:top w:val="single" w:sz="4" w:space="0" w:color="auto"/>
              <w:bottom w:val="single" w:sz="4" w:space="0" w:color="auto"/>
            </w:tcBorders>
            <w:vAlign w:val="bottom"/>
          </w:tcPr>
          <w:p w14:paraId="21DD7C3F" w14:textId="77777777" w:rsidR="00612783" w:rsidRPr="009B1322" w:rsidRDefault="00612783" w:rsidP="006037F5">
            <w:pPr>
              <w:pStyle w:val="Tabletext"/>
              <w:rPr>
                <w:snapToGrid w:val="0"/>
              </w:rPr>
            </w:pPr>
            <w:r w:rsidRPr="00295986">
              <w:t>2</w:t>
            </w:r>
            <w:r w:rsidR="00D7157D">
              <w:t>.</w:t>
            </w:r>
            <w:r w:rsidRPr="00295986">
              <w:t>524</w:t>
            </w:r>
          </w:p>
        </w:tc>
        <w:tc>
          <w:tcPr>
            <w:tcW w:w="1878" w:type="pct"/>
            <w:tcBorders>
              <w:top w:val="single" w:sz="4" w:space="0" w:color="auto"/>
              <w:bottom w:val="single" w:sz="4" w:space="0" w:color="auto"/>
            </w:tcBorders>
            <w:vAlign w:val="bottom"/>
          </w:tcPr>
          <w:p w14:paraId="48F440EC" w14:textId="77777777" w:rsidR="00612783" w:rsidRPr="009B1322" w:rsidRDefault="00612783" w:rsidP="006037F5">
            <w:pPr>
              <w:pStyle w:val="Tabletext"/>
              <w:rPr>
                <w:snapToGrid w:val="0"/>
              </w:rPr>
            </w:pPr>
            <w:r w:rsidRPr="00295986">
              <w:t>1</w:t>
            </w:r>
            <w:r w:rsidR="00D7157D">
              <w:t>.</w:t>
            </w:r>
            <w:r w:rsidRPr="00295986">
              <w:t>005</w:t>
            </w:r>
          </w:p>
        </w:tc>
      </w:tr>
      <w:tr w:rsidR="00612783" w:rsidRPr="009E2595" w14:paraId="3771A94C" w14:textId="77777777" w:rsidTr="006037F5">
        <w:trPr>
          <w:trHeight w:val="245"/>
          <w:jc w:val="right"/>
        </w:trPr>
        <w:tc>
          <w:tcPr>
            <w:tcW w:w="1705" w:type="pct"/>
            <w:tcBorders>
              <w:top w:val="single" w:sz="4" w:space="0" w:color="auto"/>
              <w:bottom w:val="single" w:sz="4" w:space="0" w:color="auto"/>
            </w:tcBorders>
            <w:vAlign w:val="bottom"/>
          </w:tcPr>
          <w:p w14:paraId="7E6F98BA" w14:textId="77777777" w:rsidR="00612783" w:rsidRPr="009B1322" w:rsidRDefault="00612783" w:rsidP="006037F5">
            <w:pPr>
              <w:pStyle w:val="Tabletext"/>
              <w:rPr>
                <w:snapToGrid w:val="0"/>
              </w:rPr>
            </w:pPr>
            <w:r w:rsidRPr="009B1322">
              <w:rPr>
                <w:snapToGrid w:val="0"/>
              </w:rPr>
              <w:t>43</w:t>
            </w:r>
          </w:p>
        </w:tc>
        <w:tc>
          <w:tcPr>
            <w:tcW w:w="1417" w:type="pct"/>
            <w:tcBorders>
              <w:top w:val="single" w:sz="4" w:space="0" w:color="auto"/>
              <w:bottom w:val="single" w:sz="4" w:space="0" w:color="auto"/>
            </w:tcBorders>
            <w:vAlign w:val="bottom"/>
          </w:tcPr>
          <w:p w14:paraId="1A43123B" w14:textId="77777777" w:rsidR="00612783" w:rsidRPr="009B1322" w:rsidRDefault="00612783" w:rsidP="006037F5">
            <w:pPr>
              <w:pStyle w:val="Tabletext"/>
              <w:rPr>
                <w:snapToGrid w:val="0"/>
              </w:rPr>
            </w:pPr>
            <w:r w:rsidRPr="00295986">
              <w:t>2</w:t>
            </w:r>
            <w:r w:rsidR="00D7157D">
              <w:t>.</w:t>
            </w:r>
            <w:r w:rsidRPr="00295986">
              <w:t>434</w:t>
            </w:r>
          </w:p>
        </w:tc>
        <w:tc>
          <w:tcPr>
            <w:tcW w:w="1878" w:type="pct"/>
            <w:tcBorders>
              <w:top w:val="single" w:sz="4" w:space="0" w:color="auto"/>
              <w:bottom w:val="single" w:sz="4" w:space="0" w:color="auto"/>
            </w:tcBorders>
            <w:vAlign w:val="bottom"/>
          </w:tcPr>
          <w:p w14:paraId="1A1F2240" w14:textId="77777777" w:rsidR="00612783" w:rsidRPr="009B1322" w:rsidRDefault="00612783" w:rsidP="006037F5">
            <w:pPr>
              <w:pStyle w:val="Tabletext"/>
              <w:rPr>
                <w:snapToGrid w:val="0"/>
              </w:rPr>
            </w:pPr>
            <w:r w:rsidRPr="00295986">
              <w:t>0</w:t>
            </w:r>
            <w:r w:rsidR="00D7157D">
              <w:t>.</w:t>
            </w:r>
            <w:r w:rsidRPr="00295986">
              <w:t>936</w:t>
            </w:r>
          </w:p>
        </w:tc>
      </w:tr>
      <w:tr w:rsidR="00612783" w:rsidRPr="009E2595" w14:paraId="15F5F210" w14:textId="77777777" w:rsidTr="006037F5">
        <w:trPr>
          <w:trHeight w:val="245"/>
          <w:jc w:val="right"/>
        </w:trPr>
        <w:tc>
          <w:tcPr>
            <w:tcW w:w="1705" w:type="pct"/>
            <w:tcBorders>
              <w:top w:val="single" w:sz="4" w:space="0" w:color="auto"/>
              <w:bottom w:val="single" w:sz="4" w:space="0" w:color="auto"/>
            </w:tcBorders>
            <w:vAlign w:val="bottom"/>
          </w:tcPr>
          <w:p w14:paraId="1E789D5B" w14:textId="77777777" w:rsidR="00612783" w:rsidRPr="009B1322" w:rsidRDefault="00612783" w:rsidP="006037F5">
            <w:pPr>
              <w:pStyle w:val="Tabletext"/>
              <w:rPr>
                <w:snapToGrid w:val="0"/>
              </w:rPr>
            </w:pPr>
            <w:r w:rsidRPr="009B1322">
              <w:rPr>
                <w:snapToGrid w:val="0"/>
              </w:rPr>
              <w:t>44</w:t>
            </w:r>
          </w:p>
        </w:tc>
        <w:tc>
          <w:tcPr>
            <w:tcW w:w="1417" w:type="pct"/>
            <w:tcBorders>
              <w:top w:val="single" w:sz="4" w:space="0" w:color="auto"/>
              <w:bottom w:val="single" w:sz="4" w:space="0" w:color="auto"/>
            </w:tcBorders>
            <w:vAlign w:val="bottom"/>
          </w:tcPr>
          <w:p w14:paraId="1439703F" w14:textId="77777777" w:rsidR="00612783" w:rsidRPr="009B1322" w:rsidRDefault="00612783" w:rsidP="006037F5">
            <w:pPr>
              <w:pStyle w:val="Tabletext"/>
              <w:rPr>
                <w:snapToGrid w:val="0"/>
              </w:rPr>
            </w:pPr>
            <w:r w:rsidRPr="00295986">
              <w:t>2</w:t>
            </w:r>
            <w:r w:rsidR="00D7157D">
              <w:t>.</w:t>
            </w:r>
            <w:r w:rsidRPr="00295986">
              <w:t>343</w:t>
            </w:r>
          </w:p>
        </w:tc>
        <w:tc>
          <w:tcPr>
            <w:tcW w:w="1878" w:type="pct"/>
            <w:tcBorders>
              <w:top w:val="single" w:sz="4" w:space="0" w:color="auto"/>
              <w:bottom w:val="single" w:sz="4" w:space="0" w:color="auto"/>
            </w:tcBorders>
            <w:vAlign w:val="bottom"/>
          </w:tcPr>
          <w:p w14:paraId="7A93DF99" w14:textId="77777777" w:rsidR="00612783" w:rsidRPr="009B1322" w:rsidRDefault="00612783" w:rsidP="006037F5">
            <w:pPr>
              <w:pStyle w:val="Tabletext"/>
              <w:rPr>
                <w:snapToGrid w:val="0"/>
              </w:rPr>
            </w:pPr>
            <w:r w:rsidRPr="00295986">
              <w:t>0</w:t>
            </w:r>
            <w:r w:rsidR="00D7157D">
              <w:t>.</w:t>
            </w:r>
            <w:r w:rsidRPr="00295986">
              <w:t>868</w:t>
            </w:r>
          </w:p>
        </w:tc>
      </w:tr>
      <w:tr w:rsidR="00612783" w:rsidRPr="009E2595" w14:paraId="484D0F11" w14:textId="77777777" w:rsidTr="006037F5">
        <w:trPr>
          <w:trHeight w:val="245"/>
          <w:jc w:val="right"/>
        </w:trPr>
        <w:tc>
          <w:tcPr>
            <w:tcW w:w="1705" w:type="pct"/>
            <w:tcBorders>
              <w:top w:val="single" w:sz="4" w:space="0" w:color="auto"/>
              <w:bottom w:val="single" w:sz="4" w:space="0" w:color="auto"/>
            </w:tcBorders>
            <w:vAlign w:val="bottom"/>
          </w:tcPr>
          <w:p w14:paraId="1753FE7F" w14:textId="77777777" w:rsidR="00612783" w:rsidRPr="009B1322" w:rsidRDefault="00612783" w:rsidP="006037F5">
            <w:pPr>
              <w:pStyle w:val="Tabletext"/>
              <w:rPr>
                <w:snapToGrid w:val="0"/>
              </w:rPr>
            </w:pPr>
            <w:r w:rsidRPr="009B1322">
              <w:rPr>
                <w:snapToGrid w:val="0"/>
              </w:rPr>
              <w:t>45</w:t>
            </w:r>
          </w:p>
        </w:tc>
        <w:tc>
          <w:tcPr>
            <w:tcW w:w="1417" w:type="pct"/>
            <w:tcBorders>
              <w:top w:val="single" w:sz="4" w:space="0" w:color="auto"/>
              <w:bottom w:val="single" w:sz="4" w:space="0" w:color="auto"/>
            </w:tcBorders>
            <w:vAlign w:val="bottom"/>
          </w:tcPr>
          <w:p w14:paraId="0C5707D6" w14:textId="77777777" w:rsidR="00612783" w:rsidRPr="009B1322" w:rsidRDefault="00612783" w:rsidP="006037F5">
            <w:pPr>
              <w:pStyle w:val="Tabletext"/>
              <w:rPr>
                <w:snapToGrid w:val="0"/>
              </w:rPr>
            </w:pPr>
            <w:r w:rsidRPr="00295986">
              <w:t>2</w:t>
            </w:r>
            <w:r w:rsidR="00D7157D">
              <w:t>.</w:t>
            </w:r>
            <w:r w:rsidRPr="00295986">
              <w:t>253</w:t>
            </w:r>
          </w:p>
        </w:tc>
        <w:tc>
          <w:tcPr>
            <w:tcW w:w="1878" w:type="pct"/>
            <w:tcBorders>
              <w:top w:val="single" w:sz="4" w:space="0" w:color="auto"/>
              <w:bottom w:val="single" w:sz="4" w:space="0" w:color="auto"/>
            </w:tcBorders>
            <w:vAlign w:val="bottom"/>
          </w:tcPr>
          <w:p w14:paraId="01D44AFA" w14:textId="77777777" w:rsidR="00612783" w:rsidRPr="009B1322" w:rsidRDefault="00612783" w:rsidP="006037F5">
            <w:pPr>
              <w:pStyle w:val="Tabletext"/>
              <w:rPr>
                <w:snapToGrid w:val="0"/>
              </w:rPr>
            </w:pPr>
            <w:r w:rsidRPr="00295986">
              <w:t>0</w:t>
            </w:r>
            <w:r w:rsidR="00D7157D">
              <w:t>.</w:t>
            </w:r>
            <w:r w:rsidRPr="00295986">
              <w:t>799</w:t>
            </w:r>
          </w:p>
        </w:tc>
      </w:tr>
      <w:tr w:rsidR="00612783" w:rsidRPr="009E2595" w14:paraId="2A5E09D5" w14:textId="77777777" w:rsidTr="006037F5">
        <w:trPr>
          <w:trHeight w:val="245"/>
          <w:jc w:val="right"/>
        </w:trPr>
        <w:tc>
          <w:tcPr>
            <w:tcW w:w="1705" w:type="pct"/>
            <w:tcBorders>
              <w:top w:val="single" w:sz="4" w:space="0" w:color="auto"/>
              <w:bottom w:val="single" w:sz="4" w:space="0" w:color="auto"/>
            </w:tcBorders>
            <w:vAlign w:val="bottom"/>
          </w:tcPr>
          <w:p w14:paraId="4F47EC7F" w14:textId="77777777" w:rsidR="00612783" w:rsidRPr="009B1322" w:rsidRDefault="00612783" w:rsidP="006037F5">
            <w:pPr>
              <w:pStyle w:val="Tabletext"/>
              <w:rPr>
                <w:snapToGrid w:val="0"/>
              </w:rPr>
            </w:pPr>
            <w:r w:rsidRPr="009B1322">
              <w:rPr>
                <w:snapToGrid w:val="0"/>
              </w:rPr>
              <w:t>46</w:t>
            </w:r>
          </w:p>
        </w:tc>
        <w:tc>
          <w:tcPr>
            <w:tcW w:w="1417" w:type="pct"/>
            <w:tcBorders>
              <w:top w:val="single" w:sz="4" w:space="0" w:color="auto"/>
              <w:bottom w:val="single" w:sz="4" w:space="0" w:color="auto"/>
            </w:tcBorders>
            <w:vAlign w:val="bottom"/>
          </w:tcPr>
          <w:p w14:paraId="1548B582" w14:textId="77777777" w:rsidR="00612783" w:rsidRPr="009B1322" w:rsidRDefault="00612783" w:rsidP="006037F5">
            <w:pPr>
              <w:pStyle w:val="Tabletext"/>
              <w:rPr>
                <w:snapToGrid w:val="0"/>
              </w:rPr>
            </w:pPr>
            <w:r w:rsidRPr="00295986">
              <w:t>2</w:t>
            </w:r>
            <w:r w:rsidR="00D7157D">
              <w:t>.</w:t>
            </w:r>
            <w:r w:rsidRPr="00295986">
              <w:t>163</w:t>
            </w:r>
          </w:p>
        </w:tc>
        <w:tc>
          <w:tcPr>
            <w:tcW w:w="1878" w:type="pct"/>
            <w:tcBorders>
              <w:top w:val="single" w:sz="4" w:space="0" w:color="auto"/>
              <w:bottom w:val="single" w:sz="4" w:space="0" w:color="auto"/>
            </w:tcBorders>
            <w:vAlign w:val="bottom"/>
          </w:tcPr>
          <w:p w14:paraId="2167E8E3" w14:textId="77777777" w:rsidR="00612783" w:rsidRPr="009B1322" w:rsidRDefault="00612783" w:rsidP="006037F5">
            <w:pPr>
              <w:pStyle w:val="Tabletext"/>
              <w:rPr>
                <w:snapToGrid w:val="0"/>
              </w:rPr>
            </w:pPr>
            <w:r w:rsidRPr="00295986">
              <w:t>0</w:t>
            </w:r>
            <w:r w:rsidR="00D7157D">
              <w:t>.</w:t>
            </w:r>
            <w:r w:rsidRPr="00295986">
              <w:t>731</w:t>
            </w:r>
          </w:p>
        </w:tc>
      </w:tr>
      <w:tr w:rsidR="00612783" w:rsidRPr="009E2595" w14:paraId="029E2609" w14:textId="77777777" w:rsidTr="006037F5">
        <w:trPr>
          <w:trHeight w:val="245"/>
          <w:jc w:val="right"/>
        </w:trPr>
        <w:tc>
          <w:tcPr>
            <w:tcW w:w="1705" w:type="pct"/>
            <w:tcBorders>
              <w:top w:val="single" w:sz="4" w:space="0" w:color="auto"/>
              <w:bottom w:val="single" w:sz="4" w:space="0" w:color="auto"/>
            </w:tcBorders>
            <w:vAlign w:val="bottom"/>
          </w:tcPr>
          <w:p w14:paraId="74AC0126" w14:textId="77777777" w:rsidR="00612783" w:rsidRPr="009B1322" w:rsidRDefault="00612783" w:rsidP="006037F5">
            <w:pPr>
              <w:pStyle w:val="Tabletext"/>
              <w:rPr>
                <w:snapToGrid w:val="0"/>
              </w:rPr>
            </w:pPr>
            <w:r w:rsidRPr="009B1322">
              <w:rPr>
                <w:snapToGrid w:val="0"/>
              </w:rPr>
              <w:t>47</w:t>
            </w:r>
          </w:p>
        </w:tc>
        <w:tc>
          <w:tcPr>
            <w:tcW w:w="1417" w:type="pct"/>
            <w:tcBorders>
              <w:top w:val="single" w:sz="4" w:space="0" w:color="auto"/>
              <w:bottom w:val="single" w:sz="4" w:space="0" w:color="auto"/>
            </w:tcBorders>
            <w:vAlign w:val="bottom"/>
          </w:tcPr>
          <w:p w14:paraId="05B507AB" w14:textId="77777777" w:rsidR="00612783" w:rsidRPr="009B1322" w:rsidRDefault="00612783" w:rsidP="006037F5">
            <w:pPr>
              <w:pStyle w:val="Tabletext"/>
              <w:rPr>
                <w:snapToGrid w:val="0"/>
              </w:rPr>
            </w:pPr>
            <w:r w:rsidRPr="00295986">
              <w:t>2</w:t>
            </w:r>
            <w:r w:rsidR="00D7157D">
              <w:t>.</w:t>
            </w:r>
            <w:r w:rsidRPr="00295986">
              <w:t>073</w:t>
            </w:r>
          </w:p>
        </w:tc>
        <w:tc>
          <w:tcPr>
            <w:tcW w:w="1878" w:type="pct"/>
            <w:tcBorders>
              <w:top w:val="single" w:sz="4" w:space="0" w:color="auto"/>
              <w:bottom w:val="single" w:sz="4" w:space="0" w:color="auto"/>
            </w:tcBorders>
            <w:vAlign w:val="bottom"/>
          </w:tcPr>
          <w:p w14:paraId="0CF3DE27" w14:textId="77777777" w:rsidR="00612783" w:rsidRPr="009B1322" w:rsidRDefault="00612783" w:rsidP="006037F5">
            <w:pPr>
              <w:pStyle w:val="Tabletext"/>
              <w:rPr>
                <w:snapToGrid w:val="0"/>
              </w:rPr>
            </w:pPr>
            <w:r w:rsidRPr="00295986">
              <w:t>0</w:t>
            </w:r>
            <w:r w:rsidR="00D7157D">
              <w:t>.</w:t>
            </w:r>
            <w:r w:rsidRPr="00295986">
              <w:t>662</w:t>
            </w:r>
          </w:p>
        </w:tc>
      </w:tr>
      <w:tr w:rsidR="00612783" w:rsidRPr="009E2595" w14:paraId="68A3EF88" w14:textId="77777777" w:rsidTr="006037F5">
        <w:trPr>
          <w:trHeight w:val="245"/>
          <w:jc w:val="right"/>
        </w:trPr>
        <w:tc>
          <w:tcPr>
            <w:tcW w:w="1705" w:type="pct"/>
            <w:tcBorders>
              <w:top w:val="single" w:sz="4" w:space="0" w:color="auto"/>
              <w:bottom w:val="single" w:sz="4" w:space="0" w:color="auto"/>
            </w:tcBorders>
            <w:vAlign w:val="bottom"/>
          </w:tcPr>
          <w:p w14:paraId="0825CCAA" w14:textId="77777777" w:rsidR="00612783" w:rsidRPr="009B1322" w:rsidRDefault="00612783" w:rsidP="006037F5">
            <w:pPr>
              <w:pStyle w:val="Tabletext"/>
              <w:rPr>
                <w:snapToGrid w:val="0"/>
              </w:rPr>
            </w:pPr>
            <w:r w:rsidRPr="009B1322">
              <w:rPr>
                <w:snapToGrid w:val="0"/>
              </w:rPr>
              <w:t>48</w:t>
            </w:r>
          </w:p>
        </w:tc>
        <w:tc>
          <w:tcPr>
            <w:tcW w:w="1417" w:type="pct"/>
            <w:tcBorders>
              <w:top w:val="single" w:sz="4" w:space="0" w:color="auto"/>
              <w:bottom w:val="single" w:sz="4" w:space="0" w:color="auto"/>
            </w:tcBorders>
            <w:vAlign w:val="bottom"/>
          </w:tcPr>
          <w:p w14:paraId="2D293B60" w14:textId="77777777" w:rsidR="00612783" w:rsidRPr="009B1322" w:rsidRDefault="00612783" w:rsidP="006037F5">
            <w:pPr>
              <w:pStyle w:val="Tabletext"/>
              <w:rPr>
                <w:snapToGrid w:val="0"/>
              </w:rPr>
            </w:pPr>
            <w:r w:rsidRPr="00295986">
              <w:t>1</w:t>
            </w:r>
            <w:r w:rsidR="00D7157D">
              <w:t>.</w:t>
            </w:r>
            <w:r w:rsidRPr="00295986">
              <w:t>983</w:t>
            </w:r>
          </w:p>
        </w:tc>
        <w:tc>
          <w:tcPr>
            <w:tcW w:w="1878" w:type="pct"/>
            <w:tcBorders>
              <w:top w:val="single" w:sz="4" w:space="0" w:color="auto"/>
              <w:bottom w:val="single" w:sz="4" w:space="0" w:color="auto"/>
            </w:tcBorders>
            <w:vAlign w:val="bottom"/>
          </w:tcPr>
          <w:p w14:paraId="21D7A364" w14:textId="77777777" w:rsidR="00612783" w:rsidRPr="009B1322" w:rsidRDefault="00612783" w:rsidP="006037F5">
            <w:pPr>
              <w:pStyle w:val="Tabletext"/>
              <w:rPr>
                <w:snapToGrid w:val="0"/>
              </w:rPr>
            </w:pPr>
            <w:r w:rsidRPr="00295986">
              <w:t>0</w:t>
            </w:r>
            <w:r w:rsidR="00D7157D">
              <w:t>.</w:t>
            </w:r>
            <w:r w:rsidRPr="00295986">
              <w:t>594</w:t>
            </w:r>
          </w:p>
        </w:tc>
      </w:tr>
      <w:tr w:rsidR="00612783" w:rsidRPr="009E2595" w14:paraId="4C1B960D" w14:textId="77777777" w:rsidTr="006037F5">
        <w:trPr>
          <w:trHeight w:val="245"/>
          <w:jc w:val="right"/>
        </w:trPr>
        <w:tc>
          <w:tcPr>
            <w:tcW w:w="1705" w:type="pct"/>
            <w:tcBorders>
              <w:top w:val="single" w:sz="4" w:space="0" w:color="auto"/>
              <w:bottom w:val="single" w:sz="4" w:space="0" w:color="auto"/>
            </w:tcBorders>
            <w:vAlign w:val="bottom"/>
          </w:tcPr>
          <w:p w14:paraId="74291F70" w14:textId="77777777" w:rsidR="00612783" w:rsidRPr="009B1322" w:rsidRDefault="00612783" w:rsidP="006037F5">
            <w:pPr>
              <w:pStyle w:val="Tabletext"/>
              <w:rPr>
                <w:snapToGrid w:val="0"/>
              </w:rPr>
            </w:pPr>
            <w:r w:rsidRPr="009B1322">
              <w:rPr>
                <w:snapToGrid w:val="0"/>
              </w:rPr>
              <w:t>49</w:t>
            </w:r>
          </w:p>
        </w:tc>
        <w:tc>
          <w:tcPr>
            <w:tcW w:w="1417" w:type="pct"/>
            <w:tcBorders>
              <w:top w:val="single" w:sz="4" w:space="0" w:color="auto"/>
              <w:bottom w:val="single" w:sz="4" w:space="0" w:color="auto"/>
            </w:tcBorders>
            <w:vAlign w:val="bottom"/>
          </w:tcPr>
          <w:p w14:paraId="68A80AEA" w14:textId="77777777" w:rsidR="00612783" w:rsidRPr="009B1322" w:rsidRDefault="00612783" w:rsidP="006037F5">
            <w:pPr>
              <w:pStyle w:val="Tabletext"/>
              <w:rPr>
                <w:snapToGrid w:val="0"/>
              </w:rPr>
            </w:pPr>
            <w:r w:rsidRPr="00295986">
              <w:t>1</w:t>
            </w:r>
            <w:r w:rsidR="00D7157D">
              <w:t>.</w:t>
            </w:r>
            <w:r w:rsidRPr="00295986">
              <w:t>893</w:t>
            </w:r>
          </w:p>
        </w:tc>
        <w:tc>
          <w:tcPr>
            <w:tcW w:w="1878" w:type="pct"/>
            <w:tcBorders>
              <w:top w:val="single" w:sz="4" w:space="0" w:color="auto"/>
              <w:bottom w:val="single" w:sz="4" w:space="0" w:color="auto"/>
            </w:tcBorders>
            <w:vAlign w:val="bottom"/>
          </w:tcPr>
          <w:p w14:paraId="11B79D56" w14:textId="77777777" w:rsidR="00612783" w:rsidRPr="009B1322" w:rsidRDefault="00612783" w:rsidP="006037F5">
            <w:pPr>
              <w:pStyle w:val="Tabletext"/>
              <w:rPr>
                <w:snapToGrid w:val="0"/>
              </w:rPr>
            </w:pPr>
            <w:r w:rsidRPr="00295986">
              <w:t>0</w:t>
            </w:r>
            <w:r w:rsidR="00D7157D">
              <w:t>.</w:t>
            </w:r>
            <w:r w:rsidRPr="00295986">
              <w:t>525</w:t>
            </w:r>
          </w:p>
        </w:tc>
      </w:tr>
      <w:tr w:rsidR="00612783" w:rsidRPr="009E2595" w14:paraId="1C183552" w14:textId="77777777" w:rsidTr="006037F5">
        <w:trPr>
          <w:trHeight w:val="245"/>
          <w:jc w:val="right"/>
        </w:trPr>
        <w:tc>
          <w:tcPr>
            <w:tcW w:w="1705" w:type="pct"/>
            <w:tcBorders>
              <w:top w:val="single" w:sz="4" w:space="0" w:color="auto"/>
              <w:bottom w:val="single" w:sz="4" w:space="0" w:color="auto"/>
            </w:tcBorders>
            <w:vAlign w:val="bottom"/>
          </w:tcPr>
          <w:p w14:paraId="59585833" w14:textId="77777777" w:rsidR="00612783" w:rsidRPr="009B1322" w:rsidRDefault="00612783" w:rsidP="006037F5">
            <w:pPr>
              <w:pStyle w:val="Tabletext"/>
              <w:rPr>
                <w:snapToGrid w:val="0"/>
              </w:rPr>
            </w:pPr>
            <w:r w:rsidRPr="009B1322">
              <w:rPr>
                <w:snapToGrid w:val="0"/>
              </w:rPr>
              <w:t>50</w:t>
            </w:r>
          </w:p>
        </w:tc>
        <w:tc>
          <w:tcPr>
            <w:tcW w:w="1417" w:type="pct"/>
            <w:tcBorders>
              <w:top w:val="single" w:sz="4" w:space="0" w:color="auto"/>
              <w:bottom w:val="single" w:sz="4" w:space="0" w:color="auto"/>
            </w:tcBorders>
            <w:vAlign w:val="bottom"/>
          </w:tcPr>
          <w:p w14:paraId="2D3C7073" w14:textId="77777777" w:rsidR="00612783" w:rsidRPr="009B1322" w:rsidRDefault="00612783" w:rsidP="006037F5">
            <w:pPr>
              <w:pStyle w:val="Tabletext"/>
              <w:rPr>
                <w:snapToGrid w:val="0"/>
              </w:rPr>
            </w:pPr>
            <w:r w:rsidRPr="00295986">
              <w:t>1</w:t>
            </w:r>
            <w:r w:rsidR="00D7157D">
              <w:t>.</w:t>
            </w:r>
            <w:r w:rsidRPr="00295986">
              <w:t>803</w:t>
            </w:r>
          </w:p>
        </w:tc>
        <w:tc>
          <w:tcPr>
            <w:tcW w:w="1878" w:type="pct"/>
            <w:tcBorders>
              <w:top w:val="single" w:sz="4" w:space="0" w:color="auto"/>
              <w:bottom w:val="single" w:sz="4" w:space="0" w:color="auto"/>
            </w:tcBorders>
            <w:vAlign w:val="bottom"/>
          </w:tcPr>
          <w:p w14:paraId="02B2B00B" w14:textId="77777777" w:rsidR="00612783" w:rsidRPr="009B1322" w:rsidRDefault="00612783" w:rsidP="006037F5">
            <w:pPr>
              <w:pStyle w:val="Tabletext"/>
              <w:rPr>
                <w:snapToGrid w:val="0"/>
              </w:rPr>
            </w:pPr>
            <w:r w:rsidRPr="00295986">
              <w:t>0</w:t>
            </w:r>
            <w:r w:rsidR="00D7157D">
              <w:t>.</w:t>
            </w:r>
            <w:r w:rsidRPr="00295986">
              <w:t>457</w:t>
            </w:r>
          </w:p>
        </w:tc>
      </w:tr>
      <w:tr w:rsidR="00612783" w:rsidRPr="009E2595" w14:paraId="60C6A7A8" w14:textId="77777777" w:rsidTr="006037F5">
        <w:trPr>
          <w:trHeight w:val="245"/>
          <w:jc w:val="right"/>
        </w:trPr>
        <w:tc>
          <w:tcPr>
            <w:tcW w:w="1705" w:type="pct"/>
            <w:tcBorders>
              <w:top w:val="single" w:sz="4" w:space="0" w:color="auto"/>
              <w:bottom w:val="single" w:sz="4" w:space="0" w:color="auto"/>
            </w:tcBorders>
            <w:vAlign w:val="bottom"/>
          </w:tcPr>
          <w:p w14:paraId="67C23B6B" w14:textId="77777777" w:rsidR="00612783" w:rsidRPr="009B1322" w:rsidRDefault="00612783" w:rsidP="006037F5">
            <w:pPr>
              <w:pStyle w:val="Tabletext"/>
              <w:rPr>
                <w:snapToGrid w:val="0"/>
              </w:rPr>
            </w:pPr>
            <w:r w:rsidRPr="009B1322">
              <w:rPr>
                <w:snapToGrid w:val="0"/>
              </w:rPr>
              <w:t>51</w:t>
            </w:r>
          </w:p>
        </w:tc>
        <w:tc>
          <w:tcPr>
            <w:tcW w:w="1417" w:type="pct"/>
            <w:tcBorders>
              <w:top w:val="single" w:sz="4" w:space="0" w:color="auto"/>
              <w:bottom w:val="single" w:sz="4" w:space="0" w:color="auto"/>
            </w:tcBorders>
            <w:vAlign w:val="bottom"/>
          </w:tcPr>
          <w:p w14:paraId="216E644B" w14:textId="77777777" w:rsidR="00612783" w:rsidRPr="009B1322" w:rsidRDefault="00612783" w:rsidP="006037F5">
            <w:pPr>
              <w:pStyle w:val="Tabletext"/>
              <w:rPr>
                <w:snapToGrid w:val="0"/>
              </w:rPr>
            </w:pPr>
            <w:r w:rsidRPr="00295986">
              <w:t>1</w:t>
            </w:r>
            <w:r w:rsidR="00D7157D">
              <w:t>.</w:t>
            </w:r>
            <w:r w:rsidRPr="00295986">
              <w:t>532</w:t>
            </w:r>
          </w:p>
        </w:tc>
        <w:tc>
          <w:tcPr>
            <w:tcW w:w="1878" w:type="pct"/>
            <w:tcBorders>
              <w:top w:val="single" w:sz="4" w:space="0" w:color="auto"/>
              <w:bottom w:val="single" w:sz="4" w:space="0" w:color="auto"/>
            </w:tcBorders>
            <w:vAlign w:val="bottom"/>
          </w:tcPr>
          <w:p w14:paraId="230A64B8" w14:textId="77777777" w:rsidR="00612783" w:rsidRPr="009B1322" w:rsidRDefault="00612783" w:rsidP="006037F5">
            <w:pPr>
              <w:pStyle w:val="Tabletext"/>
              <w:rPr>
                <w:snapToGrid w:val="0"/>
              </w:rPr>
            </w:pPr>
            <w:r w:rsidRPr="00295986">
              <w:t>0</w:t>
            </w:r>
            <w:r w:rsidR="00D7157D">
              <w:t>.</w:t>
            </w:r>
            <w:r w:rsidRPr="00295986">
              <w:t>388</w:t>
            </w:r>
          </w:p>
        </w:tc>
      </w:tr>
      <w:tr w:rsidR="00612783" w:rsidRPr="009E2595" w14:paraId="49A50953" w14:textId="77777777" w:rsidTr="006037F5">
        <w:trPr>
          <w:trHeight w:val="245"/>
          <w:jc w:val="right"/>
        </w:trPr>
        <w:tc>
          <w:tcPr>
            <w:tcW w:w="1705" w:type="pct"/>
            <w:tcBorders>
              <w:top w:val="single" w:sz="4" w:space="0" w:color="auto"/>
              <w:bottom w:val="single" w:sz="4" w:space="0" w:color="auto"/>
            </w:tcBorders>
            <w:vAlign w:val="bottom"/>
          </w:tcPr>
          <w:p w14:paraId="401AB671" w14:textId="77777777" w:rsidR="00612783" w:rsidRPr="009B1322" w:rsidRDefault="00612783" w:rsidP="006037F5">
            <w:pPr>
              <w:pStyle w:val="Tabletext"/>
              <w:rPr>
                <w:snapToGrid w:val="0"/>
              </w:rPr>
            </w:pPr>
            <w:r w:rsidRPr="009B1322">
              <w:rPr>
                <w:snapToGrid w:val="0"/>
              </w:rPr>
              <w:t>52</w:t>
            </w:r>
          </w:p>
        </w:tc>
        <w:tc>
          <w:tcPr>
            <w:tcW w:w="1417" w:type="pct"/>
            <w:tcBorders>
              <w:top w:val="single" w:sz="4" w:space="0" w:color="auto"/>
              <w:bottom w:val="single" w:sz="4" w:space="0" w:color="auto"/>
            </w:tcBorders>
            <w:vAlign w:val="bottom"/>
          </w:tcPr>
          <w:p w14:paraId="5BD5E1CB" w14:textId="77777777" w:rsidR="00612783" w:rsidRPr="009B1322" w:rsidRDefault="00612783" w:rsidP="006037F5">
            <w:pPr>
              <w:pStyle w:val="Tabletext"/>
              <w:rPr>
                <w:snapToGrid w:val="0"/>
              </w:rPr>
            </w:pPr>
            <w:r w:rsidRPr="00295986">
              <w:t>1</w:t>
            </w:r>
            <w:r w:rsidR="00D7157D">
              <w:t>.</w:t>
            </w:r>
            <w:r w:rsidRPr="00295986">
              <w:t>262</w:t>
            </w:r>
          </w:p>
        </w:tc>
        <w:tc>
          <w:tcPr>
            <w:tcW w:w="1878" w:type="pct"/>
            <w:tcBorders>
              <w:top w:val="single" w:sz="4" w:space="0" w:color="auto"/>
              <w:bottom w:val="single" w:sz="4" w:space="0" w:color="auto"/>
            </w:tcBorders>
            <w:vAlign w:val="bottom"/>
          </w:tcPr>
          <w:p w14:paraId="3744134C" w14:textId="77777777" w:rsidR="00612783" w:rsidRPr="009B1322" w:rsidRDefault="00612783" w:rsidP="006037F5">
            <w:pPr>
              <w:pStyle w:val="Tabletext"/>
              <w:rPr>
                <w:snapToGrid w:val="0"/>
              </w:rPr>
            </w:pPr>
            <w:r w:rsidRPr="00295986">
              <w:t>0</w:t>
            </w:r>
            <w:r w:rsidR="00D7157D">
              <w:t>.</w:t>
            </w:r>
            <w:r w:rsidRPr="00295986">
              <w:t>320</w:t>
            </w:r>
          </w:p>
        </w:tc>
      </w:tr>
      <w:tr w:rsidR="00612783" w:rsidRPr="009E2595" w14:paraId="6240CA02" w14:textId="77777777" w:rsidTr="006037F5">
        <w:trPr>
          <w:trHeight w:val="245"/>
          <w:jc w:val="right"/>
        </w:trPr>
        <w:tc>
          <w:tcPr>
            <w:tcW w:w="1705" w:type="pct"/>
            <w:tcBorders>
              <w:top w:val="single" w:sz="4" w:space="0" w:color="auto"/>
              <w:bottom w:val="single" w:sz="4" w:space="0" w:color="auto"/>
            </w:tcBorders>
            <w:vAlign w:val="bottom"/>
          </w:tcPr>
          <w:p w14:paraId="5B639044" w14:textId="77777777" w:rsidR="00612783" w:rsidRPr="009B1322" w:rsidRDefault="00612783" w:rsidP="006037F5">
            <w:pPr>
              <w:pStyle w:val="Tabletext"/>
              <w:rPr>
                <w:snapToGrid w:val="0"/>
              </w:rPr>
            </w:pPr>
            <w:r w:rsidRPr="009B1322">
              <w:rPr>
                <w:snapToGrid w:val="0"/>
              </w:rPr>
              <w:t>53</w:t>
            </w:r>
          </w:p>
        </w:tc>
        <w:tc>
          <w:tcPr>
            <w:tcW w:w="1417" w:type="pct"/>
            <w:tcBorders>
              <w:top w:val="single" w:sz="4" w:space="0" w:color="auto"/>
              <w:bottom w:val="single" w:sz="4" w:space="0" w:color="auto"/>
            </w:tcBorders>
            <w:vAlign w:val="bottom"/>
          </w:tcPr>
          <w:p w14:paraId="15A255C0" w14:textId="77777777" w:rsidR="00612783" w:rsidRPr="009B1322" w:rsidRDefault="00612783" w:rsidP="006037F5">
            <w:pPr>
              <w:pStyle w:val="Tabletext"/>
              <w:rPr>
                <w:snapToGrid w:val="0"/>
              </w:rPr>
            </w:pPr>
            <w:r w:rsidRPr="00295986">
              <w:t>0</w:t>
            </w:r>
            <w:r w:rsidR="00D7157D">
              <w:t>.</w:t>
            </w:r>
            <w:r w:rsidRPr="00295986">
              <w:t>991</w:t>
            </w:r>
          </w:p>
        </w:tc>
        <w:tc>
          <w:tcPr>
            <w:tcW w:w="1878" w:type="pct"/>
            <w:tcBorders>
              <w:top w:val="single" w:sz="4" w:space="0" w:color="auto"/>
              <w:bottom w:val="single" w:sz="4" w:space="0" w:color="auto"/>
            </w:tcBorders>
            <w:vAlign w:val="bottom"/>
          </w:tcPr>
          <w:p w14:paraId="0FC06073" w14:textId="77777777" w:rsidR="00612783" w:rsidRPr="009B1322" w:rsidRDefault="00612783" w:rsidP="006037F5">
            <w:pPr>
              <w:pStyle w:val="Tabletext"/>
              <w:rPr>
                <w:snapToGrid w:val="0"/>
              </w:rPr>
            </w:pPr>
            <w:r w:rsidRPr="00295986">
              <w:t>0</w:t>
            </w:r>
            <w:r w:rsidR="00D7157D">
              <w:t>.</w:t>
            </w:r>
            <w:r w:rsidRPr="00295986">
              <w:t>251</w:t>
            </w:r>
          </w:p>
        </w:tc>
      </w:tr>
      <w:tr w:rsidR="00612783" w:rsidRPr="009E2595" w14:paraId="3B45C5EF" w14:textId="77777777" w:rsidTr="006037F5">
        <w:trPr>
          <w:trHeight w:val="245"/>
          <w:jc w:val="right"/>
        </w:trPr>
        <w:tc>
          <w:tcPr>
            <w:tcW w:w="1705" w:type="pct"/>
            <w:tcBorders>
              <w:top w:val="single" w:sz="4" w:space="0" w:color="auto"/>
              <w:bottom w:val="single" w:sz="4" w:space="0" w:color="auto"/>
            </w:tcBorders>
            <w:vAlign w:val="bottom"/>
          </w:tcPr>
          <w:p w14:paraId="6A928B56" w14:textId="77777777" w:rsidR="00612783" w:rsidRPr="009B1322" w:rsidRDefault="00612783" w:rsidP="006037F5">
            <w:pPr>
              <w:pStyle w:val="Tabletext"/>
              <w:rPr>
                <w:snapToGrid w:val="0"/>
              </w:rPr>
            </w:pPr>
            <w:r w:rsidRPr="009B1322">
              <w:rPr>
                <w:snapToGrid w:val="0"/>
              </w:rPr>
              <w:t>54</w:t>
            </w:r>
          </w:p>
        </w:tc>
        <w:tc>
          <w:tcPr>
            <w:tcW w:w="1417" w:type="pct"/>
            <w:tcBorders>
              <w:top w:val="single" w:sz="4" w:space="0" w:color="auto"/>
              <w:bottom w:val="single" w:sz="4" w:space="0" w:color="auto"/>
            </w:tcBorders>
            <w:vAlign w:val="bottom"/>
          </w:tcPr>
          <w:p w14:paraId="12F84F91" w14:textId="77777777" w:rsidR="00612783" w:rsidRPr="009B1322" w:rsidRDefault="00612783" w:rsidP="006037F5">
            <w:pPr>
              <w:pStyle w:val="Tabletext"/>
              <w:rPr>
                <w:snapToGrid w:val="0"/>
              </w:rPr>
            </w:pPr>
            <w:r w:rsidRPr="00295986">
              <w:t>0</w:t>
            </w:r>
            <w:r w:rsidR="00D7157D">
              <w:t>.</w:t>
            </w:r>
            <w:r w:rsidRPr="00295986">
              <w:t>721</w:t>
            </w:r>
          </w:p>
        </w:tc>
        <w:tc>
          <w:tcPr>
            <w:tcW w:w="1878" w:type="pct"/>
            <w:tcBorders>
              <w:top w:val="single" w:sz="4" w:space="0" w:color="auto"/>
              <w:bottom w:val="single" w:sz="4" w:space="0" w:color="auto"/>
            </w:tcBorders>
            <w:vAlign w:val="bottom"/>
          </w:tcPr>
          <w:p w14:paraId="5B1121AD" w14:textId="77777777" w:rsidR="00612783" w:rsidRPr="009B1322" w:rsidRDefault="00612783" w:rsidP="006037F5">
            <w:pPr>
              <w:pStyle w:val="Tabletext"/>
              <w:rPr>
                <w:snapToGrid w:val="0"/>
              </w:rPr>
            </w:pPr>
            <w:r w:rsidRPr="00295986">
              <w:t>0</w:t>
            </w:r>
            <w:r w:rsidR="00D7157D">
              <w:t>.</w:t>
            </w:r>
            <w:r w:rsidRPr="00295986">
              <w:t>183</w:t>
            </w:r>
          </w:p>
        </w:tc>
      </w:tr>
      <w:tr w:rsidR="00612783" w:rsidRPr="009E2595" w14:paraId="2AE0FE54" w14:textId="77777777" w:rsidTr="006037F5">
        <w:trPr>
          <w:trHeight w:val="245"/>
          <w:jc w:val="right"/>
        </w:trPr>
        <w:tc>
          <w:tcPr>
            <w:tcW w:w="1705" w:type="pct"/>
            <w:tcBorders>
              <w:top w:val="single" w:sz="4" w:space="0" w:color="auto"/>
              <w:bottom w:val="single" w:sz="12" w:space="0" w:color="auto"/>
            </w:tcBorders>
            <w:vAlign w:val="bottom"/>
          </w:tcPr>
          <w:p w14:paraId="7EC744BA" w14:textId="77777777" w:rsidR="00612783" w:rsidRPr="009B1322" w:rsidRDefault="00612783" w:rsidP="006037F5">
            <w:pPr>
              <w:pStyle w:val="Tabletext"/>
              <w:rPr>
                <w:snapToGrid w:val="0"/>
              </w:rPr>
            </w:pPr>
            <w:r w:rsidRPr="009B1322">
              <w:rPr>
                <w:snapToGrid w:val="0"/>
              </w:rPr>
              <w:t>55 and over</w:t>
            </w:r>
          </w:p>
        </w:tc>
        <w:tc>
          <w:tcPr>
            <w:tcW w:w="1417" w:type="pct"/>
            <w:tcBorders>
              <w:top w:val="single" w:sz="4" w:space="0" w:color="auto"/>
              <w:bottom w:val="single" w:sz="12" w:space="0" w:color="auto"/>
            </w:tcBorders>
            <w:vAlign w:val="bottom"/>
          </w:tcPr>
          <w:p w14:paraId="3DA48AC8" w14:textId="77777777" w:rsidR="00612783" w:rsidRPr="009B1322" w:rsidRDefault="00612783" w:rsidP="006037F5">
            <w:pPr>
              <w:pStyle w:val="Tabletext"/>
              <w:rPr>
                <w:snapToGrid w:val="0"/>
              </w:rPr>
            </w:pPr>
            <w:r w:rsidRPr="00295986">
              <w:t>0</w:t>
            </w:r>
            <w:r w:rsidR="00D7157D">
              <w:t>.</w:t>
            </w:r>
            <w:r w:rsidRPr="00295986">
              <w:t>451</w:t>
            </w:r>
          </w:p>
        </w:tc>
        <w:tc>
          <w:tcPr>
            <w:tcW w:w="1878" w:type="pct"/>
            <w:tcBorders>
              <w:top w:val="single" w:sz="4" w:space="0" w:color="auto"/>
              <w:bottom w:val="single" w:sz="12" w:space="0" w:color="auto"/>
            </w:tcBorders>
            <w:vAlign w:val="bottom"/>
          </w:tcPr>
          <w:p w14:paraId="6C6CF431" w14:textId="77777777" w:rsidR="00612783" w:rsidRPr="009B1322" w:rsidRDefault="00612783" w:rsidP="006037F5">
            <w:pPr>
              <w:pStyle w:val="Tabletext"/>
              <w:rPr>
                <w:snapToGrid w:val="0"/>
              </w:rPr>
            </w:pPr>
            <w:r w:rsidRPr="00295986">
              <w:t>0</w:t>
            </w:r>
            <w:r w:rsidR="00D7157D">
              <w:t>.</w:t>
            </w:r>
            <w:r w:rsidRPr="00295986">
              <w:t>114</w:t>
            </w:r>
          </w:p>
        </w:tc>
      </w:tr>
    </w:tbl>
    <w:p w14:paraId="1489A02E" w14:textId="2800F46E" w:rsidR="00647C6B" w:rsidRPr="00A058B6" w:rsidRDefault="00D7157D" w:rsidP="00647C6B">
      <w:pPr>
        <w:pStyle w:val="ActHead5"/>
      </w:pPr>
      <w:bookmarkStart w:id="266" w:name="_Toc188350744"/>
      <w:r w:rsidRPr="00423C34">
        <w:rPr>
          <w:rStyle w:val="CharSectno"/>
        </w:rPr>
        <w:t>28</w:t>
      </w:r>
      <w:r w:rsidR="00647C6B" w:rsidRPr="00A058B6">
        <w:t xml:space="preserve">  Valuation factors—10</w:t>
      </w:r>
      <w:r w:rsidR="001952B3">
        <w:noBreakHyphen/>
      </w:r>
      <w:r w:rsidR="00647C6B" w:rsidRPr="00A058B6">
        <w:t>year guarantee period—CPI indexed pension plus 1% with 5% cap</w:t>
      </w:r>
      <w:bookmarkEnd w:id="266"/>
    </w:p>
    <w:p w14:paraId="7ED2B902"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751079AF" w14:textId="219DBBAA"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14192770" w14:textId="77777777" w:rsidR="00647C6B" w:rsidRPr="00A058B6" w:rsidRDefault="00647C6B" w:rsidP="00647C6B">
      <w:pPr>
        <w:pStyle w:val="paragraph"/>
      </w:pPr>
      <w:r w:rsidRPr="00A058B6">
        <w:tab/>
        <w:t>(b)</w:t>
      </w:r>
      <w:r w:rsidRPr="00A058B6">
        <w:tab/>
        <w:t>is indexed in accordance with the consumer price index plus 1% with a cap of 5%</w:t>
      </w:r>
      <w:r w:rsidR="00D7157D">
        <w:t>.</w:t>
      </w:r>
    </w:p>
    <w:p w14:paraId="240AA6B7"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08CF6E35" w14:textId="77777777" w:rsidTr="00963115">
        <w:trPr>
          <w:cantSplit/>
          <w:trHeight w:val="375"/>
          <w:tblHeader/>
          <w:jc w:val="right"/>
        </w:trPr>
        <w:tc>
          <w:tcPr>
            <w:tcW w:w="1705" w:type="pct"/>
            <w:vMerge w:val="restart"/>
            <w:tcBorders>
              <w:top w:val="single" w:sz="12" w:space="0" w:color="auto"/>
              <w:bottom w:val="single" w:sz="12" w:space="0" w:color="auto"/>
            </w:tcBorders>
          </w:tcPr>
          <w:p w14:paraId="47AA88B5"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744B5381" w14:textId="049C4104"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w:t>
            </w:r>
            <w:r w:rsidRPr="00A058B6">
              <w:rPr>
                <w:snapToGrid w:val="0"/>
              </w:rPr>
              <w:br/>
              <w:t>CPI indexed pension plus 1% with 5% cap</w:t>
            </w:r>
          </w:p>
        </w:tc>
      </w:tr>
      <w:tr w:rsidR="00647C6B" w:rsidRPr="00A058B6" w14:paraId="2BA06CB8" w14:textId="77777777" w:rsidTr="00963115">
        <w:trPr>
          <w:cantSplit/>
          <w:trHeight w:val="60"/>
          <w:tblHeader/>
          <w:jc w:val="right"/>
        </w:trPr>
        <w:tc>
          <w:tcPr>
            <w:tcW w:w="1705" w:type="pct"/>
            <w:vMerge/>
            <w:tcBorders>
              <w:bottom w:val="single" w:sz="12" w:space="0" w:color="auto"/>
            </w:tcBorders>
          </w:tcPr>
          <w:p w14:paraId="18C3A1ED" w14:textId="77777777" w:rsidR="00647C6B" w:rsidRPr="00A058B6" w:rsidRDefault="00647C6B" w:rsidP="00963115">
            <w:pPr>
              <w:pStyle w:val="TableHeading"/>
              <w:rPr>
                <w:snapToGrid w:val="0"/>
              </w:rPr>
            </w:pPr>
          </w:p>
        </w:tc>
        <w:tc>
          <w:tcPr>
            <w:tcW w:w="1429" w:type="pct"/>
            <w:tcBorders>
              <w:top w:val="single" w:sz="4" w:space="0" w:color="auto"/>
              <w:bottom w:val="single" w:sz="12" w:space="0" w:color="auto"/>
            </w:tcBorders>
          </w:tcPr>
          <w:p w14:paraId="2427BD31"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2391CE34" w14:textId="77777777" w:rsidR="00647C6B" w:rsidRPr="00A058B6" w:rsidRDefault="00647C6B" w:rsidP="00963115">
            <w:pPr>
              <w:pStyle w:val="TableHeading"/>
              <w:rPr>
                <w:snapToGrid w:val="0"/>
              </w:rPr>
            </w:pPr>
            <w:r w:rsidRPr="00A058B6">
              <w:rPr>
                <w:snapToGrid w:val="0"/>
              </w:rPr>
              <w:t>Female</w:t>
            </w:r>
          </w:p>
        </w:tc>
      </w:tr>
      <w:tr w:rsidR="00612783" w:rsidRPr="009E2595" w14:paraId="351C6C5D" w14:textId="77777777" w:rsidTr="006037F5">
        <w:trPr>
          <w:trHeight w:val="245"/>
          <w:jc w:val="right"/>
        </w:trPr>
        <w:tc>
          <w:tcPr>
            <w:tcW w:w="1705" w:type="pct"/>
            <w:tcBorders>
              <w:top w:val="single" w:sz="12" w:space="0" w:color="auto"/>
              <w:bottom w:val="single" w:sz="4" w:space="0" w:color="auto"/>
            </w:tcBorders>
            <w:vAlign w:val="bottom"/>
          </w:tcPr>
          <w:p w14:paraId="4477A1CA" w14:textId="77777777" w:rsidR="00612783" w:rsidRPr="009B1322" w:rsidRDefault="00612783" w:rsidP="006037F5">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3C869F25" w14:textId="77777777" w:rsidR="00612783" w:rsidRPr="009B1322" w:rsidRDefault="00612783" w:rsidP="006037F5">
            <w:pPr>
              <w:pStyle w:val="Tabletext"/>
              <w:rPr>
                <w:snapToGrid w:val="0"/>
              </w:rPr>
            </w:pPr>
            <w:r w:rsidRPr="00295986">
              <w:t>22</w:t>
            </w:r>
            <w:r w:rsidR="00D7157D">
              <w:t>.</w:t>
            </w:r>
            <w:r w:rsidRPr="00295986">
              <w:t>0697</w:t>
            </w:r>
          </w:p>
        </w:tc>
        <w:tc>
          <w:tcPr>
            <w:tcW w:w="1866" w:type="pct"/>
            <w:tcBorders>
              <w:top w:val="single" w:sz="4" w:space="0" w:color="auto"/>
              <w:bottom w:val="single" w:sz="4" w:space="0" w:color="auto"/>
            </w:tcBorders>
            <w:vAlign w:val="bottom"/>
          </w:tcPr>
          <w:p w14:paraId="13942357" w14:textId="77777777" w:rsidR="00612783" w:rsidRPr="009B1322" w:rsidRDefault="00612783" w:rsidP="006037F5">
            <w:pPr>
              <w:pStyle w:val="Tabletext"/>
              <w:rPr>
                <w:snapToGrid w:val="0"/>
              </w:rPr>
            </w:pPr>
            <w:r w:rsidRPr="00295986">
              <w:t>23</w:t>
            </w:r>
            <w:r w:rsidR="00D7157D">
              <w:t>.</w:t>
            </w:r>
            <w:r w:rsidRPr="00295986">
              <w:t>0686</w:t>
            </w:r>
          </w:p>
        </w:tc>
      </w:tr>
      <w:tr w:rsidR="00612783" w:rsidRPr="009E2595" w14:paraId="49ACDFD6" w14:textId="77777777" w:rsidTr="006037F5">
        <w:trPr>
          <w:trHeight w:val="245"/>
          <w:jc w:val="right"/>
        </w:trPr>
        <w:tc>
          <w:tcPr>
            <w:tcW w:w="1705" w:type="pct"/>
            <w:tcBorders>
              <w:top w:val="single" w:sz="4" w:space="0" w:color="auto"/>
              <w:bottom w:val="single" w:sz="4" w:space="0" w:color="auto"/>
            </w:tcBorders>
            <w:vAlign w:val="bottom"/>
          </w:tcPr>
          <w:p w14:paraId="1E7608A0" w14:textId="77777777" w:rsidR="00612783" w:rsidRPr="009B1322" w:rsidRDefault="00612783" w:rsidP="006037F5">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313597A0" w14:textId="77777777" w:rsidR="00612783" w:rsidRPr="009B1322" w:rsidRDefault="00612783" w:rsidP="006037F5">
            <w:pPr>
              <w:pStyle w:val="Tabletext"/>
              <w:rPr>
                <w:snapToGrid w:val="0"/>
              </w:rPr>
            </w:pPr>
            <w:r w:rsidRPr="00295986">
              <w:t>21</w:t>
            </w:r>
            <w:r w:rsidR="00D7157D">
              <w:t>.</w:t>
            </w:r>
            <w:r w:rsidRPr="00295986">
              <w:t>6499</w:t>
            </w:r>
          </w:p>
        </w:tc>
        <w:tc>
          <w:tcPr>
            <w:tcW w:w="1866" w:type="pct"/>
            <w:tcBorders>
              <w:top w:val="single" w:sz="4" w:space="0" w:color="auto"/>
              <w:bottom w:val="single" w:sz="4" w:space="0" w:color="auto"/>
            </w:tcBorders>
            <w:vAlign w:val="bottom"/>
          </w:tcPr>
          <w:p w14:paraId="7006A31F" w14:textId="77777777" w:rsidR="00612783" w:rsidRPr="009B1322" w:rsidRDefault="00612783" w:rsidP="006037F5">
            <w:pPr>
              <w:pStyle w:val="Tabletext"/>
              <w:rPr>
                <w:snapToGrid w:val="0"/>
              </w:rPr>
            </w:pPr>
            <w:r w:rsidRPr="00295986">
              <w:t>22</w:t>
            </w:r>
            <w:r w:rsidR="00D7157D">
              <w:t>.</w:t>
            </w:r>
            <w:r w:rsidRPr="00295986">
              <w:t>6621</w:t>
            </w:r>
          </w:p>
        </w:tc>
      </w:tr>
      <w:tr w:rsidR="00612783" w:rsidRPr="009E2595" w14:paraId="6FCE0887" w14:textId="77777777" w:rsidTr="006037F5">
        <w:trPr>
          <w:trHeight w:val="245"/>
          <w:jc w:val="right"/>
        </w:trPr>
        <w:tc>
          <w:tcPr>
            <w:tcW w:w="1705" w:type="pct"/>
            <w:tcBorders>
              <w:top w:val="single" w:sz="4" w:space="0" w:color="auto"/>
              <w:bottom w:val="single" w:sz="4" w:space="0" w:color="auto"/>
            </w:tcBorders>
            <w:vAlign w:val="bottom"/>
          </w:tcPr>
          <w:p w14:paraId="0813ED16" w14:textId="77777777" w:rsidR="00612783" w:rsidRPr="009B1322" w:rsidRDefault="00612783" w:rsidP="006037F5">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7F7B1E62" w14:textId="77777777" w:rsidR="00612783" w:rsidRPr="009B1322" w:rsidRDefault="00612783" w:rsidP="006037F5">
            <w:pPr>
              <w:pStyle w:val="Tabletext"/>
              <w:rPr>
                <w:snapToGrid w:val="0"/>
              </w:rPr>
            </w:pPr>
            <w:r w:rsidRPr="00295986">
              <w:t>21</w:t>
            </w:r>
            <w:r w:rsidR="00D7157D">
              <w:t>.</w:t>
            </w:r>
            <w:r w:rsidRPr="00295986">
              <w:t>2203</w:t>
            </w:r>
          </w:p>
        </w:tc>
        <w:tc>
          <w:tcPr>
            <w:tcW w:w="1866" w:type="pct"/>
            <w:tcBorders>
              <w:top w:val="single" w:sz="4" w:space="0" w:color="auto"/>
              <w:bottom w:val="single" w:sz="4" w:space="0" w:color="auto"/>
            </w:tcBorders>
            <w:vAlign w:val="bottom"/>
          </w:tcPr>
          <w:p w14:paraId="31499B0D" w14:textId="77777777" w:rsidR="00612783" w:rsidRPr="009B1322" w:rsidRDefault="00612783" w:rsidP="006037F5">
            <w:pPr>
              <w:pStyle w:val="Tabletext"/>
              <w:rPr>
                <w:snapToGrid w:val="0"/>
              </w:rPr>
            </w:pPr>
            <w:r w:rsidRPr="00295986">
              <w:t>22</w:t>
            </w:r>
            <w:r w:rsidR="00D7157D">
              <w:t>.</w:t>
            </w:r>
            <w:r w:rsidRPr="00295986">
              <w:t>2469</w:t>
            </w:r>
          </w:p>
        </w:tc>
      </w:tr>
      <w:tr w:rsidR="00612783" w:rsidRPr="009E2595" w14:paraId="7B1A0F88" w14:textId="77777777" w:rsidTr="006037F5">
        <w:trPr>
          <w:trHeight w:val="245"/>
          <w:jc w:val="right"/>
        </w:trPr>
        <w:tc>
          <w:tcPr>
            <w:tcW w:w="1705" w:type="pct"/>
            <w:tcBorders>
              <w:top w:val="single" w:sz="4" w:space="0" w:color="auto"/>
              <w:bottom w:val="single" w:sz="4" w:space="0" w:color="auto"/>
            </w:tcBorders>
            <w:vAlign w:val="bottom"/>
          </w:tcPr>
          <w:p w14:paraId="4E2A15D5" w14:textId="77777777" w:rsidR="00612783" w:rsidRPr="009B1322" w:rsidRDefault="00612783" w:rsidP="006037F5">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3F9470B5" w14:textId="77777777" w:rsidR="00612783" w:rsidRPr="009B1322" w:rsidRDefault="00612783" w:rsidP="006037F5">
            <w:pPr>
              <w:pStyle w:val="Tabletext"/>
              <w:rPr>
                <w:snapToGrid w:val="0"/>
              </w:rPr>
            </w:pPr>
            <w:r w:rsidRPr="00295986">
              <w:t>20</w:t>
            </w:r>
            <w:r w:rsidR="00D7157D">
              <w:t>.</w:t>
            </w:r>
            <w:r w:rsidRPr="00295986">
              <w:t>7810</w:t>
            </w:r>
          </w:p>
        </w:tc>
        <w:tc>
          <w:tcPr>
            <w:tcW w:w="1866" w:type="pct"/>
            <w:tcBorders>
              <w:top w:val="single" w:sz="4" w:space="0" w:color="auto"/>
              <w:bottom w:val="single" w:sz="4" w:space="0" w:color="auto"/>
            </w:tcBorders>
            <w:vAlign w:val="bottom"/>
          </w:tcPr>
          <w:p w14:paraId="3CB4B1E9" w14:textId="77777777" w:rsidR="00612783" w:rsidRPr="009B1322" w:rsidRDefault="00612783" w:rsidP="006037F5">
            <w:pPr>
              <w:pStyle w:val="Tabletext"/>
              <w:rPr>
                <w:snapToGrid w:val="0"/>
              </w:rPr>
            </w:pPr>
            <w:r w:rsidRPr="00295986">
              <w:t>21</w:t>
            </w:r>
            <w:r w:rsidR="00D7157D">
              <w:t>.</w:t>
            </w:r>
            <w:r w:rsidRPr="00295986">
              <w:t>8222</w:t>
            </w:r>
          </w:p>
        </w:tc>
      </w:tr>
      <w:tr w:rsidR="00612783" w:rsidRPr="009E2595" w14:paraId="7ECF9956" w14:textId="77777777" w:rsidTr="006037F5">
        <w:trPr>
          <w:trHeight w:val="245"/>
          <w:jc w:val="right"/>
        </w:trPr>
        <w:tc>
          <w:tcPr>
            <w:tcW w:w="1705" w:type="pct"/>
            <w:tcBorders>
              <w:top w:val="single" w:sz="4" w:space="0" w:color="auto"/>
              <w:bottom w:val="single" w:sz="4" w:space="0" w:color="auto"/>
            </w:tcBorders>
            <w:vAlign w:val="bottom"/>
          </w:tcPr>
          <w:p w14:paraId="31D2D715" w14:textId="77777777" w:rsidR="00612783" w:rsidRPr="009B1322" w:rsidRDefault="00612783" w:rsidP="006037F5">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00921215" w14:textId="77777777" w:rsidR="00612783" w:rsidRPr="009B1322" w:rsidRDefault="00612783" w:rsidP="006037F5">
            <w:pPr>
              <w:pStyle w:val="Tabletext"/>
              <w:rPr>
                <w:snapToGrid w:val="0"/>
              </w:rPr>
            </w:pPr>
            <w:r w:rsidRPr="00295986">
              <w:t>20</w:t>
            </w:r>
            <w:r w:rsidR="00D7157D">
              <w:t>.</w:t>
            </w:r>
            <w:r w:rsidRPr="00295986">
              <w:t>3321</w:t>
            </w:r>
          </w:p>
        </w:tc>
        <w:tc>
          <w:tcPr>
            <w:tcW w:w="1866" w:type="pct"/>
            <w:tcBorders>
              <w:top w:val="single" w:sz="4" w:space="0" w:color="auto"/>
              <w:bottom w:val="single" w:sz="4" w:space="0" w:color="auto"/>
            </w:tcBorders>
            <w:vAlign w:val="bottom"/>
          </w:tcPr>
          <w:p w14:paraId="7ECC4DBF" w14:textId="77777777" w:rsidR="00612783" w:rsidRPr="009B1322" w:rsidRDefault="00612783" w:rsidP="006037F5">
            <w:pPr>
              <w:pStyle w:val="Tabletext"/>
              <w:rPr>
                <w:snapToGrid w:val="0"/>
              </w:rPr>
            </w:pPr>
            <w:r w:rsidRPr="00295986">
              <w:t>21</w:t>
            </w:r>
            <w:r w:rsidR="00D7157D">
              <w:t>.</w:t>
            </w:r>
            <w:r w:rsidRPr="00295986">
              <w:t>3881</w:t>
            </w:r>
          </w:p>
        </w:tc>
      </w:tr>
      <w:tr w:rsidR="00612783" w:rsidRPr="009E2595" w14:paraId="645AE5DA" w14:textId="77777777" w:rsidTr="006037F5">
        <w:trPr>
          <w:trHeight w:val="245"/>
          <w:jc w:val="right"/>
        </w:trPr>
        <w:tc>
          <w:tcPr>
            <w:tcW w:w="1705" w:type="pct"/>
            <w:tcBorders>
              <w:top w:val="single" w:sz="4" w:space="0" w:color="auto"/>
              <w:bottom w:val="single" w:sz="4" w:space="0" w:color="auto"/>
            </w:tcBorders>
            <w:vAlign w:val="bottom"/>
          </w:tcPr>
          <w:p w14:paraId="7D3A74D8" w14:textId="77777777" w:rsidR="00612783" w:rsidRPr="009B1322" w:rsidRDefault="00612783" w:rsidP="006037F5">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46A1855E" w14:textId="77777777" w:rsidR="00612783" w:rsidRPr="009B1322" w:rsidRDefault="00612783" w:rsidP="006037F5">
            <w:pPr>
              <w:pStyle w:val="Tabletext"/>
              <w:rPr>
                <w:snapToGrid w:val="0"/>
              </w:rPr>
            </w:pPr>
            <w:r w:rsidRPr="00295986">
              <w:t>19</w:t>
            </w:r>
            <w:r w:rsidR="00D7157D">
              <w:t>.</w:t>
            </w:r>
            <w:r w:rsidRPr="00295986">
              <w:t>8739</w:t>
            </w:r>
          </w:p>
        </w:tc>
        <w:tc>
          <w:tcPr>
            <w:tcW w:w="1866" w:type="pct"/>
            <w:tcBorders>
              <w:top w:val="single" w:sz="4" w:space="0" w:color="auto"/>
              <w:bottom w:val="single" w:sz="4" w:space="0" w:color="auto"/>
            </w:tcBorders>
            <w:vAlign w:val="bottom"/>
          </w:tcPr>
          <w:p w14:paraId="3D864D93" w14:textId="77777777" w:rsidR="00612783" w:rsidRPr="009B1322" w:rsidRDefault="00612783" w:rsidP="006037F5">
            <w:pPr>
              <w:pStyle w:val="Tabletext"/>
              <w:rPr>
                <w:snapToGrid w:val="0"/>
              </w:rPr>
            </w:pPr>
            <w:r w:rsidRPr="00295986">
              <w:t>20</w:t>
            </w:r>
            <w:r w:rsidR="00D7157D">
              <w:t>.</w:t>
            </w:r>
            <w:r w:rsidRPr="00295986">
              <w:t>9444</w:t>
            </w:r>
          </w:p>
        </w:tc>
      </w:tr>
      <w:tr w:rsidR="00612783" w:rsidRPr="009E2595" w14:paraId="5671D383" w14:textId="77777777" w:rsidTr="006037F5">
        <w:trPr>
          <w:trHeight w:val="245"/>
          <w:jc w:val="right"/>
        </w:trPr>
        <w:tc>
          <w:tcPr>
            <w:tcW w:w="1705" w:type="pct"/>
            <w:tcBorders>
              <w:top w:val="single" w:sz="4" w:space="0" w:color="auto"/>
              <w:bottom w:val="single" w:sz="4" w:space="0" w:color="auto"/>
            </w:tcBorders>
            <w:vAlign w:val="bottom"/>
          </w:tcPr>
          <w:p w14:paraId="0E30DA27" w14:textId="77777777" w:rsidR="00612783" w:rsidRPr="009B1322" w:rsidRDefault="00612783" w:rsidP="006037F5">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032DCA9C" w14:textId="77777777" w:rsidR="00612783" w:rsidRPr="009B1322" w:rsidRDefault="00612783" w:rsidP="006037F5">
            <w:pPr>
              <w:pStyle w:val="Tabletext"/>
              <w:rPr>
                <w:snapToGrid w:val="0"/>
              </w:rPr>
            </w:pPr>
            <w:r w:rsidRPr="00295986">
              <w:t>19</w:t>
            </w:r>
            <w:r w:rsidR="00D7157D">
              <w:t>.</w:t>
            </w:r>
            <w:r w:rsidRPr="00295986">
              <w:t>4070</w:t>
            </w:r>
          </w:p>
        </w:tc>
        <w:tc>
          <w:tcPr>
            <w:tcW w:w="1866" w:type="pct"/>
            <w:tcBorders>
              <w:top w:val="single" w:sz="4" w:space="0" w:color="auto"/>
              <w:bottom w:val="single" w:sz="4" w:space="0" w:color="auto"/>
            </w:tcBorders>
            <w:vAlign w:val="bottom"/>
          </w:tcPr>
          <w:p w14:paraId="0EC27E3E" w14:textId="77777777" w:rsidR="00612783" w:rsidRPr="009B1322" w:rsidRDefault="00612783" w:rsidP="006037F5">
            <w:pPr>
              <w:pStyle w:val="Tabletext"/>
              <w:rPr>
                <w:snapToGrid w:val="0"/>
              </w:rPr>
            </w:pPr>
            <w:r w:rsidRPr="00295986">
              <w:t>20</w:t>
            </w:r>
            <w:r w:rsidR="00D7157D">
              <w:t>.</w:t>
            </w:r>
            <w:r w:rsidRPr="00295986">
              <w:t>4908</w:t>
            </w:r>
          </w:p>
        </w:tc>
      </w:tr>
      <w:tr w:rsidR="00612783" w:rsidRPr="009E2595" w14:paraId="49A3A654" w14:textId="77777777" w:rsidTr="006037F5">
        <w:trPr>
          <w:trHeight w:val="245"/>
          <w:jc w:val="right"/>
        </w:trPr>
        <w:tc>
          <w:tcPr>
            <w:tcW w:w="1705" w:type="pct"/>
            <w:tcBorders>
              <w:top w:val="single" w:sz="4" w:space="0" w:color="auto"/>
              <w:bottom w:val="single" w:sz="4" w:space="0" w:color="auto"/>
            </w:tcBorders>
            <w:vAlign w:val="bottom"/>
          </w:tcPr>
          <w:p w14:paraId="67CC21E7" w14:textId="77777777" w:rsidR="00612783" w:rsidRPr="009B1322" w:rsidRDefault="00612783" w:rsidP="006037F5">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1D3D888A" w14:textId="77777777" w:rsidR="00612783" w:rsidRPr="009B1322" w:rsidRDefault="00612783" w:rsidP="006037F5">
            <w:pPr>
              <w:pStyle w:val="Tabletext"/>
              <w:rPr>
                <w:snapToGrid w:val="0"/>
              </w:rPr>
            </w:pPr>
            <w:r w:rsidRPr="00295986">
              <w:t>18</w:t>
            </w:r>
            <w:r w:rsidR="00D7157D">
              <w:t>.</w:t>
            </w:r>
            <w:r w:rsidRPr="00295986">
              <w:t>9316</w:t>
            </w:r>
          </w:p>
        </w:tc>
        <w:tc>
          <w:tcPr>
            <w:tcW w:w="1866" w:type="pct"/>
            <w:tcBorders>
              <w:top w:val="single" w:sz="4" w:space="0" w:color="auto"/>
              <w:bottom w:val="single" w:sz="4" w:space="0" w:color="auto"/>
            </w:tcBorders>
            <w:vAlign w:val="bottom"/>
          </w:tcPr>
          <w:p w14:paraId="5CABE601" w14:textId="77777777" w:rsidR="00612783" w:rsidRPr="009B1322" w:rsidRDefault="00612783" w:rsidP="006037F5">
            <w:pPr>
              <w:pStyle w:val="Tabletext"/>
              <w:rPr>
                <w:snapToGrid w:val="0"/>
              </w:rPr>
            </w:pPr>
            <w:r w:rsidRPr="00295986">
              <w:t>20</w:t>
            </w:r>
            <w:r w:rsidR="00D7157D">
              <w:t>.</w:t>
            </w:r>
            <w:r w:rsidRPr="00295986">
              <w:t>0282</w:t>
            </w:r>
          </w:p>
        </w:tc>
      </w:tr>
      <w:tr w:rsidR="00612783" w:rsidRPr="009E2595" w14:paraId="23E137F8" w14:textId="77777777" w:rsidTr="006037F5">
        <w:trPr>
          <w:trHeight w:val="245"/>
          <w:jc w:val="right"/>
        </w:trPr>
        <w:tc>
          <w:tcPr>
            <w:tcW w:w="1705" w:type="pct"/>
            <w:tcBorders>
              <w:top w:val="single" w:sz="4" w:space="0" w:color="auto"/>
              <w:bottom w:val="single" w:sz="4" w:space="0" w:color="auto"/>
            </w:tcBorders>
            <w:vAlign w:val="bottom"/>
          </w:tcPr>
          <w:p w14:paraId="2630C8EC" w14:textId="77777777" w:rsidR="00612783" w:rsidRPr="009B1322" w:rsidRDefault="00612783" w:rsidP="006037F5">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3898C87F" w14:textId="77777777" w:rsidR="00612783" w:rsidRPr="009B1322" w:rsidRDefault="00612783" w:rsidP="006037F5">
            <w:pPr>
              <w:pStyle w:val="Tabletext"/>
              <w:rPr>
                <w:snapToGrid w:val="0"/>
              </w:rPr>
            </w:pPr>
            <w:r w:rsidRPr="00295986">
              <w:t>18</w:t>
            </w:r>
            <w:r w:rsidR="00D7157D">
              <w:t>.</w:t>
            </w:r>
            <w:r w:rsidRPr="00295986">
              <w:t>4483</w:t>
            </w:r>
          </w:p>
        </w:tc>
        <w:tc>
          <w:tcPr>
            <w:tcW w:w="1866" w:type="pct"/>
            <w:tcBorders>
              <w:top w:val="single" w:sz="4" w:space="0" w:color="auto"/>
              <w:bottom w:val="single" w:sz="4" w:space="0" w:color="auto"/>
            </w:tcBorders>
            <w:vAlign w:val="bottom"/>
          </w:tcPr>
          <w:p w14:paraId="585083E8" w14:textId="77777777" w:rsidR="00612783" w:rsidRPr="009B1322" w:rsidRDefault="00612783" w:rsidP="006037F5">
            <w:pPr>
              <w:pStyle w:val="Tabletext"/>
              <w:rPr>
                <w:snapToGrid w:val="0"/>
              </w:rPr>
            </w:pPr>
            <w:r w:rsidRPr="00295986">
              <w:t>19</w:t>
            </w:r>
            <w:r w:rsidR="00D7157D">
              <w:t>.</w:t>
            </w:r>
            <w:r w:rsidRPr="00295986">
              <w:t>5570</w:t>
            </w:r>
          </w:p>
        </w:tc>
      </w:tr>
      <w:tr w:rsidR="00612783" w:rsidRPr="009E2595" w14:paraId="1ED01E08" w14:textId="77777777" w:rsidTr="006037F5">
        <w:trPr>
          <w:trHeight w:val="245"/>
          <w:jc w:val="right"/>
        </w:trPr>
        <w:tc>
          <w:tcPr>
            <w:tcW w:w="1705" w:type="pct"/>
            <w:tcBorders>
              <w:top w:val="single" w:sz="4" w:space="0" w:color="auto"/>
              <w:bottom w:val="single" w:sz="4" w:space="0" w:color="auto"/>
            </w:tcBorders>
            <w:vAlign w:val="bottom"/>
          </w:tcPr>
          <w:p w14:paraId="122CF306" w14:textId="77777777" w:rsidR="00612783" w:rsidRPr="009B1322" w:rsidRDefault="00612783" w:rsidP="006037F5">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6173DD0F" w14:textId="77777777" w:rsidR="00612783" w:rsidRPr="009B1322" w:rsidRDefault="00612783" w:rsidP="006037F5">
            <w:pPr>
              <w:pStyle w:val="Tabletext"/>
              <w:rPr>
                <w:snapToGrid w:val="0"/>
              </w:rPr>
            </w:pPr>
            <w:r w:rsidRPr="00295986">
              <w:t>17</w:t>
            </w:r>
            <w:r w:rsidR="00D7157D">
              <w:t>.</w:t>
            </w:r>
            <w:r w:rsidRPr="00295986">
              <w:t>9576</w:t>
            </w:r>
          </w:p>
        </w:tc>
        <w:tc>
          <w:tcPr>
            <w:tcW w:w="1866" w:type="pct"/>
            <w:tcBorders>
              <w:top w:val="single" w:sz="4" w:space="0" w:color="auto"/>
              <w:bottom w:val="single" w:sz="4" w:space="0" w:color="auto"/>
            </w:tcBorders>
            <w:vAlign w:val="bottom"/>
          </w:tcPr>
          <w:p w14:paraId="34F464E9" w14:textId="77777777" w:rsidR="00612783" w:rsidRPr="009B1322" w:rsidRDefault="00612783" w:rsidP="006037F5">
            <w:pPr>
              <w:pStyle w:val="Tabletext"/>
              <w:rPr>
                <w:snapToGrid w:val="0"/>
              </w:rPr>
            </w:pPr>
            <w:r w:rsidRPr="00295986">
              <w:t>19</w:t>
            </w:r>
            <w:r w:rsidR="00D7157D">
              <w:t>.</w:t>
            </w:r>
            <w:r w:rsidRPr="00295986">
              <w:t>0775</w:t>
            </w:r>
          </w:p>
        </w:tc>
      </w:tr>
      <w:tr w:rsidR="00612783" w:rsidRPr="009E2595" w14:paraId="5A10713D" w14:textId="77777777" w:rsidTr="006037F5">
        <w:trPr>
          <w:trHeight w:val="245"/>
          <w:jc w:val="right"/>
        </w:trPr>
        <w:tc>
          <w:tcPr>
            <w:tcW w:w="1705" w:type="pct"/>
            <w:tcBorders>
              <w:top w:val="single" w:sz="4" w:space="0" w:color="auto"/>
              <w:bottom w:val="single" w:sz="12" w:space="0" w:color="auto"/>
            </w:tcBorders>
            <w:vAlign w:val="bottom"/>
          </w:tcPr>
          <w:p w14:paraId="311CD526" w14:textId="77777777" w:rsidR="00612783" w:rsidRPr="009B1322" w:rsidRDefault="00612783" w:rsidP="006037F5">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3A29EE25" w14:textId="77777777" w:rsidR="00612783" w:rsidRPr="009B1322" w:rsidRDefault="00612783" w:rsidP="006037F5">
            <w:pPr>
              <w:pStyle w:val="Tabletext"/>
              <w:rPr>
                <w:snapToGrid w:val="0"/>
              </w:rPr>
            </w:pPr>
            <w:r w:rsidRPr="00295986">
              <w:t>17</w:t>
            </w:r>
            <w:r w:rsidR="00D7157D">
              <w:t>.</w:t>
            </w:r>
            <w:r w:rsidRPr="00295986">
              <w:t>4614</w:t>
            </w:r>
          </w:p>
        </w:tc>
        <w:tc>
          <w:tcPr>
            <w:tcW w:w="1866" w:type="pct"/>
            <w:tcBorders>
              <w:top w:val="single" w:sz="4" w:space="0" w:color="auto"/>
              <w:bottom w:val="single" w:sz="12" w:space="0" w:color="auto"/>
            </w:tcBorders>
            <w:vAlign w:val="bottom"/>
          </w:tcPr>
          <w:p w14:paraId="75A1C506" w14:textId="77777777" w:rsidR="00612783" w:rsidRPr="009B1322" w:rsidRDefault="00612783" w:rsidP="006037F5">
            <w:pPr>
              <w:pStyle w:val="Tabletext"/>
              <w:rPr>
                <w:snapToGrid w:val="0"/>
              </w:rPr>
            </w:pPr>
            <w:r w:rsidRPr="00295986">
              <w:t>18</w:t>
            </w:r>
            <w:r w:rsidR="00D7157D">
              <w:t>.</w:t>
            </w:r>
            <w:r w:rsidRPr="00295986">
              <w:t>5912</w:t>
            </w:r>
          </w:p>
        </w:tc>
      </w:tr>
    </w:tbl>
    <w:p w14:paraId="43D506F4"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78D587A6" w14:textId="77777777" w:rsidTr="00963115">
        <w:trPr>
          <w:cantSplit/>
          <w:trHeight w:val="375"/>
          <w:tblHeader/>
          <w:jc w:val="right"/>
        </w:trPr>
        <w:tc>
          <w:tcPr>
            <w:tcW w:w="1705" w:type="pct"/>
            <w:vMerge w:val="restart"/>
            <w:tcBorders>
              <w:top w:val="single" w:sz="12" w:space="0" w:color="auto"/>
              <w:bottom w:val="single" w:sz="12" w:space="0" w:color="auto"/>
            </w:tcBorders>
          </w:tcPr>
          <w:p w14:paraId="5E7897A7"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535ED9C7" w14:textId="6477446C"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w:t>
            </w:r>
            <w:r w:rsidRPr="00A058B6">
              <w:rPr>
                <w:snapToGrid w:val="0"/>
              </w:rPr>
              <w:br/>
              <w:t>CPI indexed pension plus 1% with 5% cap</w:t>
            </w:r>
          </w:p>
        </w:tc>
      </w:tr>
      <w:tr w:rsidR="00647C6B" w:rsidRPr="00A058B6" w14:paraId="41C70473" w14:textId="77777777" w:rsidTr="00963115">
        <w:trPr>
          <w:cantSplit/>
          <w:trHeight w:val="40"/>
          <w:tblHeader/>
          <w:jc w:val="right"/>
        </w:trPr>
        <w:tc>
          <w:tcPr>
            <w:tcW w:w="1705" w:type="pct"/>
            <w:vMerge/>
            <w:tcBorders>
              <w:bottom w:val="single" w:sz="12" w:space="0" w:color="auto"/>
            </w:tcBorders>
          </w:tcPr>
          <w:p w14:paraId="32C1DBC6" w14:textId="77777777" w:rsidR="00647C6B" w:rsidRPr="00A058B6" w:rsidRDefault="00647C6B" w:rsidP="00963115">
            <w:pPr>
              <w:pStyle w:val="TableHeading"/>
              <w:rPr>
                <w:snapToGrid w:val="0"/>
              </w:rPr>
            </w:pPr>
          </w:p>
        </w:tc>
        <w:tc>
          <w:tcPr>
            <w:tcW w:w="1417" w:type="pct"/>
            <w:tcBorders>
              <w:bottom w:val="single" w:sz="12" w:space="0" w:color="auto"/>
            </w:tcBorders>
          </w:tcPr>
          <w:p w14:paraId="52190722"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253372C7" w14:textId="77777777" w:rsidR="00647C6B" w:rsidRPr="00A058B6" w:rsidRDefault="00647C6B" w:rsidP="00963115">
            <w:pPr>
              <w:pStyle w:val="TableHeading"/>
              <w:rPr>
                <w:snapToGrid w:val="0"/>
              </w:rPr>
            </w:pPr>
            <w:r w:rsidRPr="00A058B6">
              <w:rPr>
                <w:snapToGrid w:val="0"/>
              </w:rPr>
              <w:t>Female</w:t>
            </w:r>
          </w:p>
        </w:tc>
      </w:tr>
      <w:tr w:rsidR="00612783" w:rsidRPr="009E2595" w14:paraId="56BE835F" w14:textId="77777777" w:rsidTr="006037F5">
        <w:trPr>
          <w:trHeight w:val="245"/>
          <w:jc w:val="right"/>
        </w:trPr>
        <w:tc>
          <w:tcPr>
            <w:tcW w:w="1705" w:type="pct"/>
            <w:tcBorders>
              <w:top w:val="single" w:sz="12" w:space="0" w:color="auto"/>
              <w:bottom w:val="single" w:sz="4" w:space="0" w:color="auto"/>
            </w:tcBorders>
          </w:tcPr>
          <w:p w14:paraId="0B02868C" w14:textId="77777777" w:rsidR="00612783" w:rsidRPr="00616B26" w:rsidRDefault="00612783" w:rsidP="0028754C">
            <w:pPr>
              <w:pStyle w:val="Tabletext"/>
              <w:rPr>
                <w:snapToGrid w:val="0"/>
              </w:rPr>
            </w:pPr>
            <w:r w:rsidRPr="00616B26">
              <w:rPr>
                <w:snapToGrid w:val="0"/>
              </w:rPr>
              <w:t>Up to 40</w:t>
            </w:r>
          </w:p>
        </w:tc>
        <w:tc>
          <w:tcPr>
            <w:tcW w:w="1417" w:type="pct"/>
            <w:tcBorders>
              <w:top w:val="single" w:sz="12" w:space="0" w:color="auto"/>
              <w:bottom w:val="single" w:sz="4" w:space="0" w:color="auto"/>
            </w:tcBorders>
            <w:vAlign w:val="bottom"/>
          </w:tcPr>
          <w:p w14:paraId="7AF0695F" w14:textId="77777777" w:rsidR="00612783" w:rsidRPr="009B1322" w:rsidRDefault="00612783" w:rsidP="0028754C">
            <w:pPr>
              <w:pStyle w:val="Tabletext"/>
              <w:rPr>
                <w:snapToGrid w:val="0"/>
              </w:rPr>
            </w:pPr>
            <w:r w:rsidRPr="00295986">
              <w:t>2</w:t>
            </w:r>
            <w:r w:rsidR="00D7157D">
              <w:t>.</w:t>
            </w:r>
            <w:r w:rsidRPr="00295986">
              <w:t>551</w:t>
            </w:r>
          </w:p>
        </w:tc>
        <w:tc>
          <w:tcPr>
            <w:tcW w:w="1878" w:type="pct"/>
            <w:tcBorders>
              <w:top w:val="single" w:sz="12" w:space="0" w:color="auto"/>
              <w:bottom w:val="single" w:sz="4" w:space="0" w:color="auto"/>
            </w:tcBorders>
            <w:vAlign w:val="bottom"/>
          </w:tcPr>
          <w:p w14:paraId="74074A69" w14:textId="77777777" w:rsidR="00612783" w:rsidRPr="009B1322" w:rsidRDefault="00612783" w:rsidP="0028754C">
            <w:pPr>
              <w:pStyle w:val="Tabletext"/>
              <w:rPr>
                <w:snapToGrid w:val="0"/>
              </w:rPr>
            </w:pPr>
            <w:r w:rsidRPr="00295986">
              <w:t>1</w:t>
            </w:r>
            <w:r w:rsidR="00D7157D">
              <w:t>.</w:t>
            </w:r>
            <w:r w:rsidRPr="00295986">
              <w:t>080</w:t>
            </w:r>
          </w:p>
        </w:tc>
      </w:tr>
      <w:tr w:rsidR="00612783" w:rsidRPr="009E2595" w14:paraId="2466D7CD" w14:textId="77777777" w:rsidTr="006037F5">
        <w:trPr>
          <w:trHeight w:val="245"/>
          <w:jc w:val="right"/>
        </w:trPr>
        <w:tc>
          <w:tcPr>
            <w:tcW w:w="1705" w:type="pct"/>
            <w:tcBorders>
              <w:top w:val="single" w:sz="4" w:space="0" w:color="auto"/>
              <w:bottom w:val="single" w:sz="4" w:space="0" w:color="auto"/>
            </w:tcBorders>
          </w:tcPr>
          <w:p w14:paraId="65C2BCA2" w14:textId="77777777" w:rsidR="00612783" w:rsidRPr="00616B26" w:rsidRDefault="00612783" w:rsidP="0028754C">
            <w:pPr>
              <w:pStyle w:val="Tabletext"/>
              <w:rPr>
                <w:snapToGrid w:val="0"/>
              </w:rPr>
            </w:pPr>
            <w:r w:rsidRPr="00616B26">
              <w:rPr>
                <w:snapToGrid w:val="0"/>
              </w:rPr>
              <w:t>41</w:t>
            </w:r>
          </w:p>
        </w:tc>
        <w:tc>
          <w:tcPr>
            <w:tcW w:w="1417" w:type="pct"/>
            <w:tcBorders>
              <w:top w:val="single" w:sz="4" w:space="0" w:color="auto"/>
              <w:bottom w:val="single" w:sz="4" w:space="0" w:color="auto"/>
            </w:tcBorders>
            <w:vAlign w:val="bottom"/>
          </w:tcPr>
          <w:p w14:paraId="7ACB8CFB" w14:textId="77777777" w:rsidR="00612783" w:rsidRPr="009B1322" w:rsidRDefault="00612783" w:rsidP="0028754C">
            <w:pPr>
              <w:pStyle w:val="Tabletext"/>
              <w:rPr>
                <w:snapToGrid w:val="0"/>
              </w:rPr>
            </w:pPr>
            <w:r w:rsidRPr="00295986">
              <w:t>2</w:t>
            </w:r>
            <w:r w:rsidR="00D7157D">
              <w:t>.</w:t>
            </w:r>
            <w:r w:rsidRPr="00295986">
              <w:t>466</w:t>
            </w:r>
          </w:p>
        </w:tc>
        <w:tc>
          <w:tcPr>
            <w:tcW w:w="1878" w:type="pct"/>
            <w:tcBorders>
              <w:top w:val="single" w:sz="4" w:space="0" w:color="auto"/>
              <w:bottom w:val="single" w:sz="4" w:space="0" w:color="auto"/>
            </w:tcBorders>
            <w:vAlign w:val="bottom"/>
          </w:tcPr>
          <w:p w14:paraId="6DEC7C3B" w14:textId="77777777" w:rsidR="00612783" w:rsidRPr="009B1322" w:rsidRDefault="00612783" w:rsidP="0028754C">
            <w:pPr>
              <w:pStyle w:val="Tabletext"/>
              <w:rPr>
                <w:snapToGrid w:val="0"/>
              </w:rPr>
            </w:pPr>
            <w:r w:rsidRPr="00295986">
              <w:t>1</w:t>
            </w:r>
            <w:r w:rsidR="00D7157D">
              <w:t>.</w:t>
            </w:r>
            <w:r w:rsidRPr="00295986">
              <w:t>015</w:t>
            </w:r>
          </w:p>
        </w:tc>
      </w:tr>
      <w:tr w:rsidR="00612783" w:rsidRPr="009E2595" w14:paraId="37D21FAD" w14:textId="77777777" w:rsidTr="006037F5">
        <w:trPr>
          <w:trHeight w:val="245"/>
          <w:jc w:val="right"/>
        </w:trPr>
        <w:tc>
          <w:tcPr>
            <w:tcW w:w="1705" w:type="pct"/>
            <w:tcBorders>
              <w:top w:val="single" w:sz="4" w:space="0" w:color="auto"/>
              <w:bottom w:val="single" w:sz="4" w:space="0" w:color="auto"/>
            </w:tcBorders>
          </w:tcPr>
          <w:p w14:paraId="18718A66" w14:textId="77777777" w:rsidR="00612783" w:rsidRPr="00616B26" w:rsidRDefault="00612783" w:rsidP="0028754C">
            <w:pPr>
              <w:pStyle w:val="Tabletext"/>
              <w:rPr>
                <w:snapToGrid w:val="0"/>
              </w:rPr>
            </w:pPr>
            <w:r w:rsidRPr="00616B26">
              <w:rPr>
                <w:snapToGrid w:val="0"/>
              </w:rPr>
              <w:t>42</w:t>
            </w:r>
          </w:p>
        </w:tc>
        <w:tc>
          <w:tcPr>
            <w:tcW w:w="1417" w:type="pct"/>
            <w:tcBorders>
              <w:top w:val="single" w:sz="4" w:space="0" w:color="auto"/>
              <w:bottom w:val="single" w:sz="4" w:space="0" w:color="auto"/>
            </w:tcBorders>
            <w:vAlign w:val="bottom"/>
          </w:tcPr>
          <w:p w14:paraId="56D72400" w14:textId="77777777" w:rsidR="00612783" w:rsidRPr="009B1322" w:rsidRDefault="00612783" w:rsidP="0028754C">
            <w:pPr>
              <w:pStyle w:val="Tabletext"/>
              <w:rPr>
                <w:snapToGrid w:val="0"/>
              </w:rPr>
            </w:pPr>
            <w:r w:rsidRPr="00295986">
              <w:t>2</w:t>
            </w:r>
            <w:r w:rsidR="00D7157D">
              <w:t>.</w:t>
            </w:r>
            <w:r w:rsidRPr="00295986">
              <w:t>381</w:t>
            </w:r>
          </w:p>
        </w:tc>
        <w:tc>
          <w:tcPr>
            <w:tcW w:w="1878" w:type="pct"/>
            <w:tcBorders>
              <w:top w:val="single" w:sz="4" w:space="0" w:color="auto"/>
              <w:bottom w:val="single" w:sz="4" w:space="0" w:color="auto"/>
            </w:tcBorders>
            <w:vAlign w:val="bottom"/>
          </w:tcPr>
          <w:p w14:paraId="168CEFA4" w14:textId="77777777" w:rsidR="00612783" w:rsidRPr="009B1322" w:rsidRDefault="00612783" w:rsidP="0028754C">
            <w:pPr>
              <w:pStyle w:val="Tabletext"/>
              <w:rPr>
                <w:snapToGrid w:val="0"/>
              </w:rPr>
            </w:pPr>
            <w:r w:rsidRPr="00295986">
              <w:t>0</w:t>
            </w:r>
            <w:r w:rsidR="00D7157D">
              <w:t>.</w:t>
            </w:r>
            <w:r w:rsidRPr="00295986">
              <w:t>950</w:t>
            </w:r>
          </w:p>
        </w:tc>
      </w:tr>
      <w:tr w:rsidR="00612783" w:rsidRPr="009E2595" w14:paraId="45364ECD" w14:textId="77777777" w:rsidTr="006037F5">
        <w:trPr>
          <w:trHeight w:val="245"/>
          <w:jc w:val="right"/>
        </w:trPr>
        <w:tc>
          <w:tcPr>
            <w:tcW w:w="1705" w:type="pct"/>
            <w:tcBorders>
              <w:top w:val="single" w:sz="4" w:space="0" w:color="auto"/>
              <w:bottom w:val="single" w:sz="4" w:space="0" w:color="auto"/>
            </w:tcBorders>
          </w:tcPr>
          <w:p w14:paraId="1315F310" w14:textId="77777777" w:rsidR="00612783" w:rsidRPr="00616B26" w:rsidRDefault="00612783" w:rsidP="0028754C">
            <w:pPr>
              <w:pStyle w:val="Tabletext"/>
              <w:rPr>
                <w:snapToGrid w:val="0"/>
              </w:rPr>
            </w:pPr>
            <w:r w:rsidRPr="00616B26">
              <w:rPr>
                <w:snapToGrid w:val="0"/>
              </w:rPr>
              <w:t>43</w:t>
            </w:r>
          </w:p>
        </w:tc>
        <w:tc>
          <w:tcPr>
            <w:tcW w:w="1417" w:type="pct"/>
            <w:tcBorders>
              <w:top w:val="single" w:sz="4" w:space="0" w:color="auto"/>
              <w:bottom w:val="single" w:sz="4" w:space="0" w:color="auto"/>
            </w:tcBorders>
            <w:vAlign w:val="bottom"/>
          </w:tcPr>
          <w:p w14:paraId="4C1A5DAA" w14:textId="77777777" w:rsidR="00612783" w:rsidRPr="009B1322" w:rsidRDefault="00612783" w:rsidP="0028754C">
            <w:pPr>
              <w:pStyle w:val="Tabletext"/>
              <w:rPr>
                <w:snapToGrid w:val="0"/>
              </w:rPr>
            </w:pPr>
            <w:r w:rsidRPr="00295986">
              <w:t>2</w:t>
            </w:r>
            <w:r w:rsidR="00D7157D">
              <w:t>.</w:t>
            </w:r>
            <w:r w:rsidRPr="00295986">
              <w:t>296</w:t>
            </w:r>
          </w:p>
        </w:tc>
        <w:tc>
          <w:tcPr>
            <w:tcW w:w="1878" w:type="pct"/>
            <w:tcBorders>
              <w:top w:val="single" w:sz="4" w:space="0" w:color="auto"/>
              <w:bottom w:val="single" w:sz="4" w:space="0" w:color="auto"/>
            </w:tcBorders>
            <w:vAlign w:val="bottom"/>
          </w:tcPr>
          <w:p w14:paraId="2A882D15" w14:textId="77777777" w:rsidR="00612783" w:rsidRPr="009B1322" w:rsidRDefault="00612783" w:rsidP="0028754C">
            <w:pPr>
              <w:pStyle w:val="Tabletext"/>
              <w:rPr>
                <w:snapToGrid w:val="0"/>
              </w:rPr>
            </w:pPr>
            <w:r w:rsidRPr="00295986">
              <w:t>0</w:t>
            </w:r>
            <w:r w:rsidR="00D7157D">
              <w:t>.</w:t>
            </w:r>
            <w:r w:rsidRPr="00295986">
              <w:t>885</w:t>
            </w:r>
          </w:p>
        </w:tc>
      </w:tr>
      <w:tr w:rsidR="00612783" w:rsidRPr="009E2595" w14:paraId="333E4A11" w14:textId="77777777" w:rsidTr="006037F5">
        <w:trPr>
          <w:trHeight w:val="245"/>
          <w:jc w:val="right"/>
        </w:trPr>
        <w:tc>
          <w:tcPr>
            <w:tcW w:w="1705" w:type="pct"/>
            <w:tcBorders>
              <w:top w:val="single" w:sz="4" w:space="0" w:color="auto"/>
              <w:bottom w:val="single" w:sz="4" w:space="0" w:color="auto"/>
            </w:tcBorders>
          </w:tcPr>
          <w:p w14:paraId="4F79F5F3" w14:textId="77777777" w:rsidR="00612783" w:rsidRPr="00616B26" w:rsidRDefault="00612783" w:rsidP="0028754C">
            <w:pPr>
              <w:pStyle w:val="Tabletext"/>
              <w:rPr>
                <w:snapToGrid w:val="0"/>
              </w:rPr>
            </w:pPr>
            <w:r w:rsidRPr="00616B26">
              <w:rPr>
                <w:snapToGrid w:val="0"/>
              </w:rPr>
              <w:t>44</w:t>
            </w:r>
          </w:p>
        </w:tc>
        <w:tc>
          <w:tcPr>
            <w:tcW w:w="1417" w:type="pct"/>
            <w:tcBorders>
              <w:top w:val="single" w:sz="4" w:space="0" w:color="auto"/>
              <w:bottom w:val="single" w:sz="4" w:space="0" w:color="auto"/>
            </w:tcBorders>
            <w:vAlign w:val="bottom"/>
          </w:tcPr>
          <w:p w14:paraId="14DD3F33" w14:textId="77777777" w:rsidR="00612783" w:rsidRPr="009B1322" w:rsidRDefault="00612783" w:rsidP="0028754C">
            <w:pPr>
              <w:pStyle w:val="Tabletext"/>
              <w:rPr>
                <w:snapToGrid w:val="0"/>
              </w:rPr>
            </w:pPr>
            <w:r w:rsidRPr="00295986">
              <w:t>2</w:t>
            </w:r>
            <w:r w:rsidR="00D7157D">
              <w:t>.</w:t>
            </w:r>
            <w:r w:rsidRPr="00295986">
              <w:t>211</w:t>
            </w:r>
          </w:p>
        </w:tc>
        <w:tc>
          <w:tcPr>
            <w:tcW w:w="1878" w:type="pct"/>
            <w:tcBorders>
              <w:top w:val="single" w:sz="4" w:space="0" w:color="auto"/>
              <w:bottom w:val="single" w:sz="4" w:space="0" w:color="auto"/>
            </w:tcBorders>
            <w:vAlign w:val="bottom"/>
          </w:tcPr>
          <w:p w14:paraId="06CE4BCA" w14:textId="77777777" w:rsidR="00612783" w:rsidRPr="009B1322" w:rsidRDefault="00612783" w:rsidP="0028754C">
            <w:pPr>
              <w:pStyle w:val="Tabletext"/>
              <w:rPr>
                <w:snapToGrid w:val="0"/>
              </w:rPr>
            </w:pPr>
            <w:r w:rsidRPr="00295986">
              <w:t>0</w:t>
            </w:r>
            <w:r w:rsidR="00D7157D">
              <w:t>.</w:t>
            </w:r>
            <w:r w:rsidRPr="00295986">
              <w:t>821</w:t>
            </w:r>
          </w:p>
        </w:tc>
      </w:tr>
      <w:tr w:rsidR="00612783" w:rsidRPr="009E2595" w14:paraId="52C5DBF9" w14:textId="77777777" w:rsidTr="006037F5">
        <w:trPr>
          <w:trHeight w:val="245"/>
          <w:jc w:val="right"/>
        </w:trPr>
        <w:tc>
          <w:tcPr>
            <w:tcW w:w="1705" w:type="pct"/>
            <w:tcBorders>
              <w:top w:val="single" w:sz="4" w:space="0" w:color="auto"/>
              <w:bottom w:val="single" w:sz="4" w:space="0" w:color="auto"/>
            </w:tcBorders>
          </w:tcPr>
          <w:p w14:paraId="77AC452A" w14:textId="77777777" w:rsidR="00612783" w:rsidRPr="00616B26" w:rsidRDefault="00612783" w:rsidP="0028754C">
            <w:pPr>
              <w:pStyle w:val="Tabletext"/>
              <w:rPr>
                <w:snapToGrid w:val="0"/>
              </w:rPr>
            </w:pPr>
            <w:r w:rsidRPr="00616B26">
              <w:rPr>
                <w:snapToGrid w:val="0"/>
              </w:rPr>
              <w:t>45</w:t>
            </w:r>
          </w:p>
        </w:tc>
        <w:tc>
          <w:tcPr>
            <w:tcW w:w="1417" w:type="pct"/>
            <w:tcBorders>
              <w:top w:val="single" w:sz="4" w:space="0" w:color="auto"/>
              <w:bottom w:val="single" w:sz="4" w:space="0" w:color="auto"/>
            </w:tcBorders>
            <w:vAlign w:val="bottom"/>
          </w:tcPr>
          <w:p w14:paraId="26E6580B" w14:textId="77777777" w:rsidR="00612783" w:rsidRPr="009B1322" w:rsidRDefault="00612783" w:rsidP="0028754C">
            <w:pPr>
              <w:pStyle w:val="Tabletext"/>
              <w:rPr>
                <w:snapToGrid w:val="0"/>
              </w:rPr>
            </w:pPr>
            <w:r w:rsidRPr="00295986">
              <w:t>2</w:t>
            </w:r>
            <w:r w:rsidR="00D7157D">
              <w:t>.</w:t>
            </w:r>
            <w:r w:rsidRPr="00295986">
              <w:t>126</w:t>
            </w:r>
          </w:p>
        </w:tc>
        <w:tc>
          <w:tcPr>
            <w:tcW w:w="1878" w:type="pct"/>
            <w:tcBorders>
              <w:top w:val="single" w:sz="4" w:space="0" w:color="auto"/>
              <w:bottom w:val="single" w:sz="4" w:space="0" w:color="auto"/>
            </w:tcBorders>
            <w:vAlign w:val="bottom"/>
          </w:tcPr>
          <w:p w14:paraId="6DCC542B" w14:textId="77777777" w:rsidR="00612783" w:rsidRPr="009B1322" w:rsidRDefault="00612783" w:rsidP="0028754C">
            <w:pPr>
              <w:pStyle w:val="Tabletext"/>
              <w:rPr>
                <w:snapToGrid w:val="0"/>
              </w:rPr>
            </w:pPr>
            <w:r w:rsidRPr="00295986">
              <w:t>0</w:t>
            </w:r>
            <w:r w:rsidR="00D7157D">
              <w:t>.</w:t>
            </w:r>
            <w:r w:rsidRPr="00295986">
              <w:t>756</w:t>
            </w:r>
          </w:p>
        </w:tc>
      </w:tr>
      <w:tr w:rsidR="00612783" w:rsidRPr="009E2595" w14:paraId="5D90470F" w14:textId="77777777" w:rsidTr="006037F5">
        <w:trPr>
          <w:trHeight w:val="245"/>
          <w:jc w:val="right"/>
        </w:trPr>
        <w:tc>
          <w:tcPr>
            <w:tcW w:w="1705" w:type="pct"/>
            <w:tcBorders>
              <w:top w:val="single" w:sz="4" w:space="0" w:color="auto"/>
              <w:bottom w:val="single" w:sz="4" w:space="0" w:color="auto"/>
            </w:tcBorders>
          </w:tcPr>
          <w:p w14:paraId="0B94BE18" w14:textId="77777777" w:rsidR="00612783" w:rsidRPr="00616B26" w:rsidRDefault="00612783" w:rsidP="0028754C">
            <w:pPr>
              <w:pStyle w:val="Tabletext"/>
              <w:rPr>
                <w:snapToGrid w:val="0"/>
              </w:rPr>
            </w:pPr>
            <w:r w:rsidRPr="00616B26">
              <w:rPr>
                <w:snapToGrid w:val="0"/>
              </w:rPr>
              <w:t>46</w:t>
            </w:r>
          </w:p>
        </w:tc>
        <w:tc>
          <w:tcPr>
            <w:tcW w:w="1417" w:type="pct"/>
            <w:tcBorders>
              <w:top w:val="single" w:sz="4" w:space="0" w:color="auto"/>
              <w:bottom w:val="single" w:sz="4" w:space="0" w:color="auto"/>
            </w:tcBorders>
            <w:vAlign w:val="bottom"/>
          </w:tcPr>
          <w:p w14:paraId="644D6201" w14:textId="77777777" w:rsidR="00612783" w:rsidRPr="009B1322" w:rsidRDefault="00612783" w:rsidP="0028754C">
            <w:pPr>
              <w:pStyle w:val="Tabletext"/>
              <w:rPr>
                <w:snapToGrid w:val="0"/>
              </w:rPr>
            </w:pPr>
            <w:r w:rsidRPr="00295986">
              <w:t>2</w:t>
            </w:r>
            <w:r w:rsidR="00D7157D">
              <w:t>.</w:t>
            </w:r>
            <w:r w:rsidRPr="00295986">
              <w:t>041</w:t>
            </w:r>
          </w:p>
        </w:tc>
        <w:tc>
          <w:tcPr>
            <w:tcW w:w="1878" w:type="pct"/>
            <w:tcBorders>
              <w:top w:val="single" w:sz="4" w:space="0" w:color="auto"/>
              <w:bottom w:val="single" w:sz="4" w:space="0" w:color="auto"/>
            </w:tcBorders>
            <w:vAlign w:val="bottom"/>
          </w:tcPr>
          <w:p w14:paraId="07B59E8D" w14:textId="77777777" w:rsidR="00612783" w:rsidRPr="009B1322" w:rsidRDefault="00612783" w:rsidP="0028754C">
            <w:pPr>
              <w:pStyle w:val="Tabletext"/>
              <w:rPr>
                <w:snapToGrid w:val="0"/>
              </w:rPr>
            </w:pPr>
            <w:r w:rsidRPr="00295986">
              <w:t>0</w:t>
            </w:r>
            <w:r w:rsidR="00D7157D">
              <w:t>.</w:t>
            </w:r>
            <w:r w:rsidRPr="00295986">
              <w:t>691</w:t>
            </w:r>
          </w:p>
        </w:tc>
      </w:tr>
      <w:tr w:rsidR="00612783" w:rsidRPr="009E2595" w14:paraId="483D26B9" w14:textId="77777777" w:rsidTr="006037F5">
        <w:trPr>
          <w:trHeight w:val="245"/>
          <w:jc w:val="right"/>
        </w:trPr>
        <w:tc>
          <w:tcPr>
            <w:tcW w:w="1705" w:type="pct"/>
            <w:tcBorders>
              <w:top w:val="single" w:sz="4" w:space="0" w:color="auto"/>
              <w:bottom w:val="single" w:sz="4" w:space="0" w:color="auto"/>
            </w:tcBorders>
          </w:tcPr>
          <w:p w14:paraId="0303015D" w14:textId="77777777" w:rsidR="00612783" w:rsidRPr="00616B26" w:rsidRDefault="00612783" w:rsidP="0028754C">
            <w:pPr>
              <w:pStyle w:val="Tabletext"/>
              <w:rPr>
                <w:snapToGrid w:val="0"/>
              </w:rPr>
            </w:pPr>
            <w:r w:rsidRPr="00616B26">
              <w:rPr>
                <w:snapToGrid w:val="0"/>
              </w:rPr>
              <w:t>47</w:t>
            </w:r>
          </w:p>
        </w:tc>
        <w:tc>
          <w:tcPr>
            <w:tcW w:w="1417" w:type="pct"/>
            <w:tcBorders>
              <w:top w:val="single" w:sz="4" w:space="0" w:color="auto"/>
              <w:bottom w:val="single" w:sz="4" w:space="0" w:color="auto"/>
            </w:tcBorders>
            <w:vAlign w:val="bottom"/>
          </w:tcPr>
          <w:p w14:paraId="25580A61" w14:textId="77777777" w:rsidR="00612783" w:rsidRPr="009B1322" w:rsidRDefault="00612783" w:rsidP="0028754C">
            <w:pPr>
              <w:pStyle w:val="Tabletext"/>
              <w:rPr>
                <w:snapToGrid w:val="0"/>
              </w:rPr>
            </w:pPr>
            <w:r w:rsidRPr="00295986">
              <w:t>1</w:t>
            </w:r>
            <w:r w:rsidR="00D7157D">
              <w:t>.</w:t>
            </w:r>
            <w:r w:rsidRPr="00295986">
              <w:t>955</w:t>
            </w:r>
          </w:p>
        </w:tc>
        <w:tc>
          <w:tcPr>
            <w:tcW w:w="1878" w:type="pct"/>
            <w:tcBorders>
              <w:top w:val="single" w:sz="4" w:space="0" w:color="auto"/>
              <w:bottom w:val="single" w:sz="4" w:space="0" w:color="auto"/>
            </w:tcBorders>
            <w:vAlign w:val="bottom"/>
          </w:tcPr>
          <w:p w14:paraId="3D92EA8E" w14:textId="77777777" w:rsidR="00612783" w:rsidRPr="009B1322" w:rsidRDefault="00612783" w:rsidP="0028754C">
            <w:pPr>
              <w:pStyle w:val="Tabletext"/>
              <w:rPr>
                <w:snapToGrid w:val="0"/>
              </w:rPr>
            </w:pPr>
            <w:r w:rsidRPr="00295986">
              <w:t>0</w:t>
            </w:r>
            <w:r w:rsidR="00D7157D">
              <w:t>.</w:t>
            </w:r>
            <w:r w:rsidRPr="00295986">
              <w:t>626</w:t>
            </w:r>
          </w:p>
        </w:tc>
      </w:tr>
      <w:tr w:rsidR="00612783" w:rsidRPr="009E2595" w14:paraId="3346F9CB" w14:textId="77777777" w:rsidTr="006037F5">
        <w:trPr>
          <w:trHeight w:val="245"/>
          <w:jc w:val="right"/>
        </w:trPr>
        <w:tc>
          <w:tcPr>
            <w:tcW w:w="1705" w:type="pct"/>
            <w:tcBorders>
              <w:top w:val="single" w:sz="4" w:space="0" w:color="auto"/>
              <w:bottom w:val="single" w:sz="4" w:space="0" w:color="auto"/>
            </w:tcBorders>
          </w:tcPr>
          <w:p w14:paraId="6D035894" w14:textId="77777777" w:rsidR="00612783" w:rsidRPr="00616B26" w:rsidRDefault="00612783" w:rsidP="0028754C">
            <w:pPr>
              <w:pStyle w:val="Tabletext"/>
              <w:rPr>
                <w:snapToGrid w:val="0"/>
              </w:rPr>
            </w:pPr>
            <w:r w:rsidRPr="00616B26">
              <w:rPr>
                <w:snapToGrid w:val="0"/>
              </w:rPr>
              <w:t>48</w:t>
            </w:r>
          </w:p>
        </w:tc>
        <w:tc>
          <w:tcPr>
            <w:tcW w:w="1417" w:type="pct"/>
            <w:tcBorders>
              <w:top w:val="single" w:sz="4" w:space="0" w:color="auto"/>
              <w:bottom w:val="single" w:sz="4" w:space="0" w:color="auto"/>
            </w:tcBorders>
            <w:vAlign w:val="bottom"/>
          </w:tcPr>
          <w:p w14:paraId="346A09A5" w14:textId="77777777" w:rsidR="00612783" w:rsidRPr="009B1322" w:rsidRDefault="00612783" w:rsidP="0028754C">
            <w:pPr>
              <w:pStyle w:val="Tabletext"/>
              <w:rPr>
                <w:snapToGrid w:val="0"/>
              </w:rPr>
            </w:pPr>
            <w:r w:rsidRPr="00295986">
              <w:t>1</w:t>
            </w:r>
            <w:r w:rsidR="00D7157D">
              <w:t>.</w:t>
            </w:r>
            <w:r w:rsidRPr="00295986">
              <w:t>870</w:t>
            </w:r>
          </w:p>
        </w:tc>
        <w:tc>
          <w:tcPr>
            <w:tcW w:w="1878" w:type="pct"/>
            <w:tcBorders>
              <w:top w:val="single" w:sz="4" w:space="0" w:color="auto"/>
              <w:bottom w:val="single" w:sz="4" w:space="0" w:color="auto"/>
            </w:tcBorders>
            <w:vAlign w:val="bottom"/>
          </w:tcPr>
          <w:p w14:paraId="6300DDB9" w14:textId="77777777" w:rsidR="00612783" w:rsidRPr="009B1322" w:rsidRDefault="00612783" w:rsidP="0028754C">
            <w:pPr>
              <w:pStyle w:val="Tabletext"/>
              <w:rPr>
                <w:snapToGrid w:val="0"/>
              </w:rPr>
            </w:pPr>
            <w:r w:rsidRPr="00295986">
              <w:t>0</w:t>
            </w:r>
            <w:r w:rsidR="00D7157D">
              <w:t>.</w:t>
            </w:r>
            <w:r w:rsidRPr="00295986">
              <w:t>561</w:t>
            </w:r>
          </w:p>
        </w:tc>
      </w:tr>
      <w:tr w:rsidR="00612783" w:rsidRPr="009E2595" w14:paraId="6EA4C5FC" w14:textId="77777777" w:rsidTr="006037F5">
        <w:trPr>
          <w:trHeight w:val="245"/>
          <w:jc w:val="right"/>
        </w:trPr>
        <w:tc>
          <w:tcPr>
            <w:tcW w:w="1705" w:type="pct"/>
            <w:tcBorders>
              <w:top w:val="single" w:sz="4" w:space="0" w:color="auto"/>
              <w:bottom w:val="single" w:sz="4" w:space="0" w:color="auto"/>
            </w:tcBorders>
          </w:tcPr>
          <w:p w14:paraId="44E9B6B0" w14:textId="77777777" w:rsidR="00612783" w:rsidRPr="00616B26" w:rsidRDefault="00612783" w:rsidP="0028754C">
            <w:pPr>
              <w:pStyle w:val="Tabletext"/>
              <w:rPr>
                <w:snapToGrid w:val="0"/>
              </w:rPr>
            </w:pPr>
            <w:r w:rsidRPr="00616B26">
              <w:rPr>
                <w:snapToGrid w:val="0"/>
              </w:rPr>
              <w:t>49</w:t>
            </w:r>
          </w:p>
        </w:tc>
        <w:tc>
          <w:tcPr>
            <w:tcW w:w="1417" w:type="pct"/>
            <w:tcBorders>
              <w:top w:val="single" w:sz="4" w:space="0" w:color="auto"/>
              <w:bottom w:val="single" w:sz="4" w:space="0" w:color="auto"/>
            </w:tcBorders>
            <w:vAlign w:val="bottom"/>
          </w:tcPr>
          <w:p w14:paraId="551264E3" w14:textId="77777777" w:rsidR="00612783" w:rsidRPr="009B1322" w:rsidRDefault="00612783" w:rsidP="0028754C">
            <w:pPr>
              <w:pStyle w:val="Tabletext"/>
              <w:rPr>
                <w:snapToGrid w:val="0"/>
              </w:rPr>
            </w:pPr>
            <w:r w:rsidRPr="00295986">
              <w:t>1</w:t>
            </w:r>
            <w:r w:rsidR="00D7157D">
              <w:t>.</w:t>
            </w:r>
            <w:r w:rsidRPr="00295986">
              <w:t>785</w:t>
            </w:r>
          </w:p>
        </w:tc>
        <w:tc>
          <w:tcPr>
            <w:tcW w:w="1878" w:type="pct"/>
            <w:tcBorders>
              <w:top w:val="single" w:sz="4" w:space="0" w:color="auto"/>
              <w:bottom w:val="single" w:sz="4" w:space="0" w:color="auto"/>
            </w:tcBorders>
            <w:vAlign w:val="bottom"/>
          </w:tcPr>
          <w:p w14:paraId="3DB54855" w14:textId="77777777" w:rsidR="00612783" w:rsidRPr="009B1322" w:rsidRDefault="00612783" w:rsidP="0028754C">
            <w:pPr>
              <w:pStyle w:val="Tabletext"/>
              <w:rPr>
                <w:snapToGrid w:val="0"/>
              </w:rPr>
            </w:pPr>
            <w:r w:rsidRPr="00295986">
              <w:t>0</w:t>
            </w:r>
            <w:r w:rsidR="00D7157D">
              <w:t>.</w:t>
            </w:r>
            <w:r w:rsidRPr="00295986">
              <w:t>497</w:t>
            </w:r>
          </w:p>
        </w:tc>
      </w:tr>
      <w:tr w:rsidR="00612783" w:rsidRPr="009E2595" w14:paraId="21C80F9B" w14:textId="77777777" w:rsidTr="006037F5">
        <w:trPr>
          <w:trHeight w:val="245"/>
          <w:jc w:val="right"/>
        </w:trPr>
        <w:tc>
          <w:tcPr>
            <w:tcW w:w="1705" w:type="pct"/>
            <w:tcBorders>
              <w:top w:val="single" w:sz="4" w:space="0" w:color="auto"/>
              <w:bottom w:val="single" w:sz="4" w:space="0" w:color="auto"/>
            </w:tcBorders>
          </w:tcPr>
          <w:p w14:paraId="424C3DF9" w14:textId="77777777" w:rsidR="00612783" w:rsidRPr="00616B26" w:rsidRDefault="00612783" w:rsidP="0028754C">
            <w:pPr>
              <w:pStyle w:val="Tabletext"/>
              <w:rPr>
                <w:snapToGrid w:val="0"/>
              </w:rPr>
            </w:pPr>
            <w:r w:rsidRPr="00616B26">
              <w:rPr>
                <w:snapToGrid w:val="0"/>
              </w:rPr>
              <w:t>50</w:t>
            </w:r>
          </w:p>
        </w:tc>
        <w:tc>
          <w:tcPr>
            <w:tcW w:w="1417" w:type="pct"/>
            <w:tcBorders>
              <w:top w:val="single" w:sz="4" w:space="0" w:color="auto"/>
              <w:bottom w:val="single" w:sz="4" w:space="0" w:color="auto"/>
            </w:tcBorders>
            <w:vAlign w:val="bottom"/>
          </w:tcPr>
          <w:p w14:paraId="01F242D1" w14:textId="77777777" w:rsidR="00612783" w:rsidRPr="009B1322" w:rsidRDefault="00612783" w:rsidP="0028754C">
            <w:pPr>
              <w:pStyle w:val="Tabletext"/>
              <w:rPr>
                <w:snapToGrid w:val="0"/>
              </w:rPr>
            </w:pPr>
            <w:r w:rsidRPr="00295986">
              <w:t>1</w:t>
            </w:r>
            <w:r w:rsidR="00D7157D">
              <w:t>.</w:t>
            </w:r>
            <w:r w:rsidRPr="00295986">
              <w:t>700</w:t>
            </w:r>
          </w:p>
        </w:tc>
        <w:tc>
          <w:tcPr>
            <w:tcW w:w="1878" w:type="pct"/>
            <w:tcBorders>
              <w:top w:val="single" w:sz="4" w:space="0" w:color="auto"/>
              <w:bottom w:val="single" w:sz="4" w:space="0" w:color="auto"/>
            </w:tcBorders>
            <w:vAlign w:val="bottom"/>
          </w:tcPr>
          <w:p w14:paraId="45F9F8BC" w14:textId="77777777" w:rsidR="00612783" w:rsidRPr="009B1322" w:rsidRDefault="00612783" w:rsidP="0028754C">
            <w:pPr>
              <w:pStyle w:val="Tabletext"/>
              <w:rPr>
                <w:snapToGrid w:val="0"/>
              </w:rPr>
            </w:pPr>
            <w:r w:rsidRPr="00295986">
              <w:t>0</w:t>
            </w:r>
            <w:r w:rsidR="00D7157D">
              <w:t>.</w:t>
            </w:r>
            <w:r w:rsidRPr="00295986">
              <w:t>432</w:t>
            </w:r>
          </w:p>
        </w:tc>
      </w:tr>
      <w:tr w:rsidR="00612783" w:rsidRPr="009E2595" w14:paraId="4555F6F0" w14:textId="77777777" w:rsidTr="006037F5">
        <w:trPr>
          <w:trHeight w:val="245"/>
          <w:jc w:val="right"/>
        </w:trPr>
        <w:tc>
          <w:tcPr>
            <w:tcW w:w="1705" w:type="pct"/>
            <w:tcBorders>
              <w:top w:val="single" w:sz="4" w:space="0" w:color="auto"/>
              <w:bottom w:val="single" w:sz="4" w:space="0" w:color="auto"/>
            </w:tcBorders>
          </w:tcPr>
          <w:p w14:paraId="130B667B" w14:textId="77777777" w:rsidR="00612783" w:rsidRPr="00616B26" w:rsidRDefault="00612783" w:rsidP="0028754C">
            <w:pPr>
              <w:pStyle w:val="Tabletext"/>
              <w:rPr>
                <w:snapToGrid w:val="0"/>
              </w:rPr>
            </w:pPr>
            <w:r w:rsidRPr="00616B26">
              <w:rPr>
                <w:snapToGrid w:val="0"/>
              </w:rPr>
              <w:t>51</w:t>
            </w:r>
          </w:p>
        </w:tc>
        <w:tc>
          <w:tcPr>
            <w:tcW w:w="1417" w:type="pct"/>
            <w:tcBorders>
              <w:top w:val="single" w:sz="4" w:space="0" w:color="auto"/>
              <w:bottom w:val="single" w:sz="4" w:space="0" w:color="auto"/>
            </w:tcBorders>
            <w:vAlign w:val="bottom"/>
          </w:tcPr>
          <w:p w14:paraId="376746DD" w14:textId="77777777" w:rsidR="00612783" w:rsidRPr="009B1322" w:rsidRDefault="00612783" w:rsidP="0028754C">
            <w:pPr>
              <w:pStyle w:val="Tabletext"/>
              <w:rPr>
                <w:snapToGrid w:val="0"/>
              </w:rPr>
            </w:pPr>
            <w:r w:rsidRPr="00295986">
              <w:t>1</w:t>
            </w:r>
            <w:r w:rsidR="00D7157D">
              <w:t>.</w:t>
            </w:r>
            <w:r w:rsidRPr="00295986">
              <w:t>445</w:t>
            </w:r>
          </w:p>
        </w:tc>
        <w:tc>
          <w:tcPr>
            <w:tcW w:w="1878" w:type="pct"/>
            <w:tcBorders>
              <w:top w:val="single" w:sz="4" w:space="0" w:color="auto"/>
              <w:bottom w:val="single" w:sz="4" w:space="0" w:color="auto"/>
            </w:tcBorders>
            <w:vAlign w:val="bottom"/>
          </w:tcPr>
          <w:p w14:paraId="10165F62" w14:textId="77777777" w:rsidR="00612783" w:rsidRPr="009B1322" w:rsidRDefault="00612783" w:rsidP="0028754C">
            <w:pPr>
              <w:pStyle w:val="Tabletext"/>
              <w:rPr>
                <w:snapToGrid w:val="0"/>
              </w:rPr>
            </w:pPr>
            <w:r w:rsidRPr="00295986">
              <w:t>0</w:t>
            </w:r>
            <w:r w:rsidR="00D7157D">
              <w:t>.</w:t>
            </w:r>
            <w:r w:rsidRPr="00295986">
              <w:t>367</w:t>
            </w:r>
          </w:p>
        </w:tc>
      </w:tr>
      <w:tr w:rsidR="00612783" w:rsidRPr="009E2595" w14:paraId="4AE47B0D" w14:textId="77777777" w:rsidTr="006037F5">
        <w:trPr>
          <w:trHeight w:val="245"/>
          <w:jc w:val="right"/>
        </w:trPr>
        <w:tc>
          <w:tcPr>
            <w:tcW w:w="1705" w:type="pct"/>
            <w:tcBorders>
              <w:top w:val="single" w:sz="4" w:space="0" w:color="auto"/>
              <w:bottom w:val="single" w:sz="4" w:space="0" w:color="auto"/>
            </w:tcBorders>
          </w:tcPr>
          <w:p w14:paraId="0DEF21D8" w14:textId="77777777" w:rsidR="00612783" w:rsidRPr="00616B26" w:rsidRDefault="00612783" w:rsidP="0028754C">
            <w:pPr>
              <w:pStyle w:val="Tabletext"/>
              <w:rPr>
                <w:snapToGrid w:val="0"/>
              </w:rPr>
            </w:pPr>
            <w:r w:rsidRPr="00616B26">
              <w:rPr>
                <w:snapToGrid w:val="0"/>
              </w:rPr>
              <w:t>52</w:t>
            </w:r>
          </w:p>
        </w:tc>
        <w:tc>
          <w:tcPr>
            <w:tcW w:w="1417" w:type="pct"/>
            <w:tcBorders>
              <w:top w:val="single" w:sz="4" w:space="0" w:color="auto"/>
              <w:bottom w:val="single" w:sz="4" w:space="0" w:color="auto"/>
            </w:tcBorders>
            <w:vAlign w:val="bottom"/>
          </w:tcPr>
          <w:p w14:paraId="29F207FA" w14:textId="77777777" w:rsidR="00612783" w:rsidRPr="009B1322" w:rsidRDefault="00612783" w:rsidP="0028754C">
            <w:pPr>
              <w:pStyle w:val="Tabletext"/>
              <w:rPr>
                <w:snapToGrid w:val="0"/>
              </w:rPr>
            </w:pPr>
            <w:r w:rsidRPr="00295986">
              <w:t>1</w:t>
            </w:r>
            <w:r w:rsidR="00D7157D">
              <w:t>.</w:t>
            </w:r>
            <w:r w:rsidRPr="00295986">
              <w:t>190</w:t>
            </w:r>
          </w:p>
        </w:tc>
        <w:tc>
          <w:tcPr>
            <w:tcW w:w="1878" w:type="pct"/>
            <w:tcBorders>
              <w:top w:val="single" w:sz="4" w:space="0" w:color="auto"/>
              <w:bottom w:val="single" w:sz="4" w:space="0" w:color="auto"/>
            </w:tcBorders>
            <w:vAlign w:val="bottom"/>
          </w:tcPr>
          <w:p w14:paraId="4528D79D" w14:textId="77777777" w:rsidR="00612783" w:rsidRPr="009B1322" w:rsidRDefault="00612783" w:rsidP="0028754C">
            <w:pPr>
              <w:pStyle w:val="Tabletext"/>
              <w:rPr>
                <w:snapToGrid w:val="0"/>
              </w:rPr>
            </w:pPr>
            <w:r w:rsidRPr="00295986">
              <w:t>0</w:t>
            </w:r>
            <w:r w:rsidR="00D7157D">
              <w:t>.</w:t>
            </w:r>
            <w:r w:rsidRPr="00295986">
              <w:t>302</w:t>
            </w:r>
          </w:p>
        </w:tc>
      </w:tr>
      <w:tr w:rsidR="00612783" w:rsidRPr="009E2595" w14:paraId="55CB4F83" w14:textId="77777777" w:rsidTr="006037F5">
        <w:trPr>
          <w:trHeight w:val="245"/>
          <w:jc w:val="right"/>
        </w:trPr>
        <w:tc>
          <w:tcPr>
            <w:tcW w:w="1705" w:type="pct"/>
            <w:tcBorders>
              <w:top w:val="single" w:sz="4" w:space="0" w:color="auto"/>
              <w:bottom w:val="single" w:sz="4" w:space="0" w:color="auto"/>
            </w:tcBorders>
          </w:tcPr>
          <w:p w14:paraId="3A517378" w14:textId="77777777" w:rsidR="00612783" w:rsidRPr="00616B26" w:rsidRDefault="00612783" w:rsidP="0028754C">
            <w:pPr>
              <w:pStyle w:val="Tabletext"/>
              <w:rPr>
                <w:snapToGrid w:val="0"/>
              </w:rPr>
            </w:pPr>
            <w:r w:rsidRPr="00616B26">
              <w:rPr>
                <w:snapToGrid w:val="0"/>
              </w:rPr>
              <w:t>53</w:t>
            </w:r>
          </w:p>
        </w:tc>
        <w:tc>
          <w:tcPr>
            <w:tcW w:w="1417" w:type="pct"/>
            <w:tcBorders>
              <w:top w:val="single" w:sz="4" w:space="0" w:color="auto"/>
              <w:bottom w:val="single" w:sz="4" w:space="0" w:color="auto"/>
            </w:tcBorders>
            <w:vAlign w:val="bottom"/>
          </w:tcPr>
          <w:p w14:paraId="61C7A2F3" w14:textId="77777777" w:rsidR="00612783" w:rsidRPr="009B1322" w:rsidRDefault="00612783" w:rsidP="0028754C">
            <w:pPr>
              <w:pStyle w:val="Tabletext"/>
              <w:rPr>
                <w:snapToGrid w:val="0"/>
              </w:rPr>
            </w:pPr>
            <w:r w:rsidRPr="00295986">
              <w:t>0</w:t>
            </w:r>
            <w:r w:rsidR="00D7157D">
              <w:t>.</w:t>
            </w:r>
            <w:r w:rsidRPr="00295986">
              <w:t>935</w:t>
            </w:r>
          </w:p>
        </w:tc>
        <w:tc>
          <w:tcPr>
            <w:tcW w:w="1878" w:type="pct"/>
            <w:tcBorders>
              <w:top w:val="single" w:sz="4" w:space="0" w:color="auto"/>
              <w:bottom w:val="single" w:sz="4" w:space="0" w:color="auto"/>
            </w:tcBorders>
            <w:vAlign w:val="bottom"/>
          </w:tcPr>
          <w:p w14:paraId="42C334BF" w14:textId="77777777" w:rsidR="00612783" w:rsidRPr="009B1322" w:rsidRDefault="00612783" w:rsidP="0028754C">
            <w:pPr>
              <w:pStyle w:val="Tabletext"/>
              <w:rPr>
                <w:snapToGrid w:val="0"/>
              </w:rPr>
            </w:pPr>
            <w:r w:rsidRPr="00295986">
              <w:t>0</w:t>
            </w:r>
            <w:r w:rsidR="00D7157D">
              <w:t>.</w:t>
            </w:r>
            <w:r w:rsidRPr="00295986">
              <w:t>238</w:t>
            </w:r>
          </w:p>
        </w:tc>
      </w:tr>
      <w:tr w:rsidR="00612783" w:rsidRPr="009E2595" w14:paraId="75298C43" w14:textId="77777777" w:rsidTr="006037F5">
        <w:trPr>
          <w:trHeight w:val="245"/>
          <w:jc w:val="right"/>
        </w:trPr>
        <w:tc>
          <w:tcPr>
            <w:tcW w:w="1705" w:type="pct"/>
            <w:tcBorders>
              <w:top w:val="single" w:sz="4" w:space="0" w:color="auto"/>
              <w:bottom w:val="single" w:sz="4" w:space="0" w:color="auto"/>
            </w:tcBorders>
          </w:tcPr>
          <w:p w14:paraId="73B64368" w14:textId="77777777" w:rsidR="00612783" w:rsidRPr="00616B26" w:rsidRDefault="00612783" w:rsidP="0028754C">
            <w:pPr>
              <w:pStyle w:val="Tabletext"/>
              <w:rPr>
                <w:snapToGrid w:val="0"/>
              </w:rPr>
            </w:pPr>
            <w:r w:rsidRPr="00616B26">
              <w:rPr>
                <w:snapToGrid w:val="0"/>
              </w:rPr>
              <w:t>54</w:t>
            </w:r>
          </w:p>
        </w:tc>
        <w:tc>
          <w:tcPr>
            <w:tcW w:w="1417" w:type="pct"/>
            <w:tcBorders>
              <w:top w:val="single" w:sz="4" w:space="0" w:color="auto"/>
              <w:bottom w:val="single" w:sz="4" w:space="0" w:color="auto"/>
            </w:tcBorders>
            <w:vAlign w:val="bottom"/>
          </w:tcPr>
          <w:p w14:paraId="3244DF6C" w14:textId="77777777" w:rsidR="00612783" w:rsidRPr="009B1322" w:rsidRDefault="00612783" w:rsidP="0028754C">
            <w:pPr>
              <w:pStyle w:val="Tabletext"/>
              <w:rPr>
                <w:snapToGrid w:val="0"/>
              </w:rPr>
            </w:pPr>
            <w:r w:rsidRPr="00295986">
              <w:t>0</w:t>
            </w:r>
            <w:r w:rsidR="00D7157D">
              <w:t>.</w:t>
            </w:r>
            <w:r w:rsidRPr="00295986">
              <w:t>680</w:t>
            </w:r>
          </w:p>
        </w:tc>
        <w:tc>
          <w:tcPr>
            <w:tcW w:w="1878" w:type="pct"/>
            <w:tcBorders>
              <w:top w:val="single" w:sz="4" w:space="0" w:color="auto"/>
              <w:bottom w:val="single" w:sz="4" w:space="0" w:color="auto"/>
            </w:tcBorders>
            <w:vAlign w:val="bottom"/>
          </w:tcPr>
          <w:p w14:paraId="173C08C8" w14:textId="77777777" w:rsidR="00612783" w:rsidRPr="009B1322" w:rsidRDefault="00612783" w:rsidP="0028754C">
            <w:pPr>
              <w:pStyle w:val="Tabletext"/>
              <w:rPr>
                <w:snapToGrid w:val="0"/>
              </w:rPr>
            </w:pPr>
            <w:r w:rsidRPr="00295986">
              <w:t>0</w:t>
            </w:r>
            <w:r w:rsidR="00D7157D">
              <w:t>.</w:t>
            </w:r>
            <w:r w:rsidRPr="00295986">
              <w:t>173</w:t>
            </w:r>
          </w:p>
        </w:tc>
      </w:tr>
      <w:tr w:rsidR="00612783" w:rsidRPr="009E2595" w14:paraId="7D6E0099" w14:textId="77777777" w:rsidTr="006037F5">
        <w:trPr>
          <w:trHeight w:val="245"/>
          <w:jc w:val="right"/>
        </w:trPr>
        <w:tc>
          <w:tcPr>
            <w:tcW w:w="1705" w:type="pct"/>
            <w:tcBorders>
              <w:top w:val="single" w:sz="4" w:space="0" w:color="auto"/>
              <w:bottom w:val="single" w:sz="12" w:space="0" w:color="auto"/>
            </w:tcBorders>
          </w:tcPr>
          <w:p w14:paraId="55F6DB9A" w14:textId="77777777" w:rsidR="00612783" w:rsidRPr="00616B26" w:rsidRDefault="00612783" w:rsidP="0028754C">
            <w:pPr>
              <w:pStyle w:val="Tabletext"/>
              <w:rPr>
                <w:snapToGrid w:val="0"/>
              </w:rPr>
            </w:pPr>
            <w:r w:rsidRPr="00616B26">
              <w:rPr>
                <w:snapToGrid w:val="0"/>
              </w:rPr>
              <w:t>55 and over</w:t>
            </w:r>
          </w:p>
        </w:tc>
        <w:tc>
          <w:tcPr>
            <w:tcW w:w="1417" w:type="pct"/>
            <w:tcBorders>
              <w:top w:val="single" w:sz="4" w:space="0" w:color="auto"/>
              <w:bottom w:val="single" w:sz="12" w:space="0" w:color="auto"/>
            </w:tcBorders>
            <w:vAlign w:val="bottom"/>
          </w:tcPr>
          <w:p w14:paraId="7A53871F" w14:textId="77777777" w:rsidR="00612783" w:rsidRPr="009B1322" w:rsidRDefault="00612783" w:rsidP="0028754C">
            <w:pPr>
              <w:pStyle w:val="Tabletext"/>
              <w:rPr>
                <w:snapToGrid w:val="0"/>
              </w:rPr>
            </w:pPr>
            <w:r w:rsidRPr="00295986">
              <w:t>0</w:t>
            </w:r>
            <w:r w:rsidR="00D7157D">
              <w:t>.</w:t>
            </w:r>
            <w:r w:rsidRPr="00295986">
              <w:t>425</w:t>
            </w:r>
          </w:p>
        </w:tc>
        <w:tc>
          <w:tcPr>
            <w:tcW w:w="1878" w:type="pct"/>
            <w:tcBorders>
              <w:top w:val="single" w:sz="4" w:space="0" w:color="auto"/>
              <w:bottom w:val="single" w:sz="12" w:space="0" w:color="auto"/>
            </w:tcBorders>
            <w:vAlign w:val="bottom"/>
          </w:tcPr>
          <w:p w14:paraId="7173AAD7" w14:textId="77777777" w:rsidR="00612783" w:rsidRPr="009B1322" w:rsidRDefault="00612783" w:rsidP="0028754C">
            <w:pPr>
              <w:pStyle w:val="Tabletext"/>
              <w:rPr>
                <w:snapToGrid w:val="0"/>
              </w:rPr>
            </w:pPr>
            <w:r w:rsidRPr="00295986">
              <w:t>0</w:t>
            </w:r>
            <w:r w:rsidR="00D7157D">
              <w:t>.</w:t>
            </w:r>
            <w:r w:rsidRPr="00295986">
              <w:t>108</w:t>
            </w:r>
          </w:p>
        </w:tc>
      </w:tr>
    </w:tbl>
    <w:p w14:paraId="0019EF96" w14:textId="6F994A43" w:rsidR="00647C6B" w:rsidRPr="00A058B6" w:rsidRDefault="00D7157D" w:rsidP="00647C6B">
      <w:pPr>
        <w:pStyle w:val="ActHead5"/>
      </w:pPr>
      <w:bookmarkStart w:id="267" w:name="_Toc188350745"/>
      <w:r w:rsidRPr="00423C34">
        <w:rPr>
          <w:rStyle w:val="CharSectno"/>
        </w:rPr>
        <w:t>29</w:t>
      </w:r>
      <w:r w:rsidR="00647C6B" w:rsidRPr="00A058B6">
        <w:t xml:space="preserve">  Valuation factors—10</w:t>
      </w:r>
      <w:r w:rsidR="001952B3">
        <w:noBreakHyphen/>
      </w:r>
      <w:r w:rsidR="00647C6B" w:rsidRPr="00A058B6">
        <w:t>year guarantee period—pension indexed at 3%</w:t>
      </w:r>
      <w:bookmarkEnd w:id="267"/>
    </w:p>
    <w:p w14:paraId="7E0906A9"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3B5171F0" w14:textId="5CB399CC"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3E8CE512" w14:textId="77777777" w:rsidR="00647C6B" w:rsidRPr="00A058B6" w:rsidRDefault="00647C6B" w:rsidP="00647C6B">
      <w:pPr>
        <w:pStyle w:val="paragraph"/>
      </w:pPr>
      <w:r w:rsidRPr="00A058B6">
        <w:tab/>
        <w:t>(b)</w:t>
      </w:r>
      <w:r w:rsidRPr="00A058B6">
        <w:tab/>
        <w:t>is indexed at 3%</w:t>
      </w:r>
      <w:r w:rsidR="00D7157D">
        <w:t>.</w:t>
      </w:r>
    </w:p>
    <w:p w14:paraId="3E3CB80F"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3A197819" w14:textId="77777777" w:rsidTr="00963115">
        <w:trPr>
          <w:cantSplit/>
          <w:trHeight w:val="375"/>
          <w:tblHeader/>
          <w:jc w:val="right"/>
        </w:trPr>
        <w:tc>
          <w:tcPr>
            <w:tcW w:w="1705" w:type="pct"/>
            <w:vMerge w:val="restart"/>
            <w:tcBorders>
              <w:top w:val="single" w:sz="12" w:space="0" w:color="auto"/>
              <w:bottom w:val="single" w:sz="12" w:space="0" w:color="auto"/>
            </w:tcBorders>
          </w:tcPr>
          <w:p w14:paraId="3A6DED18"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262D7CCC" w14:textId="7640FFE2"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period—pension indexed at 3%</w:t>
            </w:r>
          </w:p>
        </w:tc>
      </w:tr>
      <w:tr w:rsidR="00647C6B" w:rsidRPr="00A058B6" w14:paraId="1B868FB2" w14:textId="77777777" w:rsidTr="00963115">
        <w:trPr>
          <w:cantSplit/>
          <w:trHeight w:val="40"/>
          <w:tblHeader/>
          <w:jc w:val="right"/>
        </w:trPr>
        <w:tc>
          <w:tcPr>
            <w:tcW w:w="1705" w:type="pct"/>
            <w:vMerge/>
            <w:tcBorders>
              <w:bottom w:val="single" w:sz="12" w:space="0" w:color="auto"/>
            </w:tcBorders>
          </w:tcPr>
          <w:p w14:paraId="7E2136B0" w14:textId="77777777" w:rsidR="00647C6B" w:rsidRPr="00A058B6" w:rsidRDefault="00647C6B" w:rsidP="00963115">
            <w:pPr>
              <w:pStyle w:val="TableHeading"/>
              <w:rPr>
                <w:snapToGrid w:val="0"/>
              </w:rPr>
            </w:pPr>
          </w:p>
        </w:tc>
        <w:tc>
          <w:tcPr>
            <w:tcW w:w="1429" w:type="pct"/>
            <w:tcBorders>
              <w:bottom w:val="single" w:sz="12" w:space="0" w:color="auto"/>
            </w:tcBorders>
          </w:tcPr>
          <w:p w14:paraId="5B3BF572"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26440BD4" w14:textId="77777777" w:rsidR="00647C6B" w:rsidRPr="00A058B6" w:rsidRDefault="00647C6B" w:rsidP="00963115">
            <w:pPr>
              <w:pStyle w:val="TableHeading"/>
              <w:rPr>
                <w:snapToGrid w:val="0"/>
              </w:rPr>
            </w:pPr>
            <w:r w:rsidRPr="00A058B6">
              <w:rPr>
                <w:snapToGrid w:val="0"/>
              </w:rPr>
              <w:t>Female</w:t>
            </w:r>
          </w:p>
        </w:tc>
      </w:tr>
      <w:tr w:rsidR="00612783" w:rsidRPr="009E2595" w14:paraId="0EDF4AD4" w14:textId="77777777" w:rsidTr="00143C85">
        <w:trPr>
          <w:trHeight w:val="245"/>
          <w:jc w:val="right"/>
        </w:trPr>
        <w:tc>
          <w:tcPr>
            <w:tcW w:w="1705" w:type="pct"/>
            <w:tcBorders>
              <w:top w:val="single" w:sz="12" w:space="0" w:color="auto"/>
              <w:bottom w:val="single" w:sz="4" w:space="0" w:color="auto"/>
            </w:tcBorders>
            <w:vAlign w:val="bottom"/>
          </w:tcPr>
          <w:p w14:paraId="144364AD" w14:textId="77777777" w:rsidR="00612783" w:rsidRPr="00616B26" w:rsidRDefault="00612783" w:rsidP="006037F5">
            <w:pPr>
              <w:pStyle w:val="Tabletext"/>
              <w:rPr>
                <w:snapToGrid w:val="0"/>
              </w:rPr>
            </w:pPr>
            <w:r w:rsidRPr="00616B26">
              <w:rPr>
                <w:snapToGrid w:val="0"/>
              </w:rPr>
              <w:t>55</w:t>
            </w:r>
          </w:p>
        </w:tc>
        <w:tc>
          <w:tcPr>
            <w:tcW w:w="1429" w:type="pct"/>
            <w:tcBorders>
              <w:top w:val="single" w:sz="12" w:space="0" w:color="auto"/>
              <w:bottom w:val="single" w:sz="4" w:space="0" w:color="auto"/>
            </w:tcBorders>
            <w:vAlign w:val="bottom"/>
          </w:tcPr>
          <w:p w14:paraId="7879FF7C" w14:textId="77777777" w:rsidR="00612783" w:rsidRPr="00DD19E6" w:rsidRDefault="00612783" w:rsidP="006037F5">
            <w:pPr>
              <w:pStyle w:val="Tabletext"/>
              <w:rPr>
                <w:snapToGrid w:val="0"/>
              </w:rPr>
            </w:pPr>
            <w:r w:rsidRPr="00295986">
              <w:t>21</w:t>
            </w:r>
            <w:r w:rsidR="00D7157D">
              <w:t>.</w:t>
            </w:r>
            <w:r w:rsidRPr="00295986">
              <w:t>1465</w:t>
            </w:r>
          </w:p>
        </w:tc>
        <w:tc>
          <w:tcPr>
            <w:tcW w:w="1866" w:type="pct"/>
            <w:tcBorders>
              <w:top w:val="single" w:sz="12" w:space="0" w:color="auto"/>
              <w:bottom w:val="single" w:sz="4" w:space="0" w:color="auto"/>
            </w:tcBorders>
            <w:vAlign w:val="bottom"/>
          </w:tcPr>
          <w:p w14:paraId="7B4B328D" w14:textId="77777777" w:rsidR="00612783" w:rsidRPr="00DD19E6" w:rsidRDefault="00612783" w:rsidP="006037F5">
            <w:pPr>
              <w:pStyle w:val="Tabletext"/>
              <w:rPr>
                <w:snapToGrid w:val="0"/>
              </w:rPr>
            </w:pPr>
            <w:r w:rsidRPr="00295986">
              <w:t>22</w:t>
            </w:r>
            <w:r w:rsidR="00D7157D">
              <w:t>.</w:t>
            </w:r>
            <w:r w:rsidRPr="00295986">
              <w:t>0554</w:t>
            </w:r>
          </w:p>
        </w:tc>
      </w:tr>
      <w:tr w:rsidR="00612783" w:rsidRPr="009E2595" w14:paraId="465F52F0" w14:textId="77777777" w:rsidTr="00143C85">
        <w:trPr>
          <w:trHeight w:val="245"/>
          <w:jc w:val="right"/>
        </w:trPr>
        <w:tc>
          <w:tcPr>
            <w:tcW w:w="1705" w:type="pct"/>
            <w:tcBorders>
              <w:top w:val="single" w:sz="4" w:space="0" w:color="auto"/>
              <w:bottom w:val="single" w:sz="4" w:space="0" w:color="auto"/>
            </w:tcBorders>
            <w:vAlign w:val="bottom"/>
          </w:tcPr>
          <w:p w14:paraId="27466762" w14:textId="77777777" w:rsidR="00612783" w:rsidRPr="00616B26" w:rsidRDefault="00612783" w:rsidP="006037F5">
            <w:pPr>
              <w:pStyle w:val="Tabletext"/>
              <w:rPr>
                <w:snapToGrid w:val="0"/>
              </w:rPr>
            </w:pPr>
            <w:r w:rsidRPr="00616B26">
              <w:rPr>
                <w:snapToGrid w:val="0"/>
              </w:rPr>
              <w:t>56</w:t>
            </w:r>
          </w:p>
        </w:tc>
        <w:tc>
          <w:tcPr>
            <w:tcW w:w="1429" w:type="pct"/>
            <w:tcBorders>
              <w:top w:val="single" w:sz="4" w:space="0" w:color="auto"/>
              <w:bottom w:val="single" w:sz="4" w:space="0" w:color="auto"/>
            </w:tcBorders>
            <w:vAlign w:val="bottom"/>
          </w:tcPr>
          <w:p w14:paraId="52F8CF33" w14:textId="77777777" w:rsidR="00612783" w:rsidRPr="00DD19E6" w:rsidRDefault="00612783" w:rsidP="006037F5">
            <w:pPr>
              <w:pStyle w:val="Tabletext"/>
              <w:rPr>
                <w:snapToGrid w:val="0"/>
              </w:rPr>
            </w:pPr>
            <w:r w:rsidRPr="00295986">
              <w:t>20</w:t>
            </w:r>
            <w:r w:rsidR="00D7157D">
              <w:t>.</w:t>
            </w:r>
            <w:r w:rsidRPr="00295986">
              <w:t>7644</w:t>
            </w:r>
          </w:p>
        </w:tc>
        <w:tc>
          <w:tcPr>
            <w:tcW w:w="1866" w:type="pct"/>
            <w:tcBorders>
              <w:top w:val="single" w:sz="4" w:space="0" w:color="auto"/>
              <w:bottom w:val="single" w:sz="4" w:space="0" w:color="auto"/>
            </w:tcBorders>
            <w:vAlign w:val="bottom"/>
          </w:tcPr>
          <w:p w14:paraId="2E31C500" w14:textId="77777777" w:rsidR="00612783" w:rsidRPr="00DD19E6" w:rsidRDefault="00612783" w:rsidP="006037F5">
            <w:pPr>
              <w:pStyle w:val="Tabletext"/>
              <w:rPr>
                <w:snapToGrid w:val="0"/>
              </w:rPr>
            </w:pPr>
            <w:r w:rsidRPr="00295986">
              <w:t>21</w:t>
            </w:r>
            <w:r w:rsidR="00D7157D">
              <w:t>.</w:t>
            </w:r>
            <w:r w:rsidRPr="00295986">
              <w:t>6876</w:t>
            </w:r>
          </w:p>
        </w:tc>
      </w:tr>
      <w:tr w:rsidR="00612783" w:rsidRPr="009E2595" w14:paraId="242AAA84" w14:textId="77777777" w:rsidTr="00143C85">
        <w:trPr>
          <w:trHeight w:val="245"/>
          <w:jc w:val="right"/>
        </w:trPr>
        <w:tc>
          <w:tcPr>
            <w:tcW w:w="1705" w:type="pct"/>
            <w:tcBorders>
              <w:top w:val="single" w:sz="4" w:space="0" w:color="auto"/>
              <w:bottom w:val="single" w:sz="4" w:space="0" w:color="auto"/>
            </w:tcBorders>
            <w:vAlign w:val="bottom"/>
          </w:tcPr>
          <w:p w14:paraId="51FD9508" w14:textId="77777777" w:rsidR="00612783" w:rsidRPr="00616B26" w:rsidRDefault="00612783" w:rsidP="006037F5">
            <w:pPr>
              <w:pStyle w:val="Tabletext"/>
              <w:rPr>
                <w:snapToGrid w:val="0"/>
              </w:rPr>
            </w:pPr>
            <w:r w:rsidRPr="00616B26">
              <w:rPr>
                <w:snapToGrid w:val="0"/>
              </w:rPr>
              <w:t>57</w:t>
            </w:r>
          </w:p>
        </w:tc>
        <w:tc>
          <w:tcPr>
            <w:tcW w:w="1429" w:type="pct"/>
            <w:tcBorders>
              <w:top w:val="single" w:sz="4" w:space="0" w:color="auto"/>
              <w:bottom w:val="single" w:sz="4" w:space="0" w:color="auto"/>
            </w:tcBorders>
            <w:vAlign w:val="bottom"/>
          </w:tcPr>
          <w:p w14:paraId="084B3791" w14:textId="77777777" w:rsidR="00612783" w:rsidRPr="00DD19E6" w:rsidRDefault="00612783" w:rsidP="006037F5">
            <w:pPr>
              <w:pStyle w:val="Tabletext"/>
              <w:rPr>
                <w:snapToGrid w:val="0"/>
              </w:rPr>
            </w:pPr>
            <w:r w:rsidRPr="00295986">
              <w:t>20</w:t>
            </w:r>
            <w:r w:rsidR="00D7157D">
              <w:t>.</w:t>
            </w:r>
            <w:r w:rsidRPr="00295986">
              <w:t>3724</w:t>
            </w:r>
          </w:p>
        </w:tc>
        <w:tc>
          <w:tcPr>
            <w:tcW w:w="1866" w:type="pct"/>
            <w:tcBorders>
              <w:top w:val="single" w:sz="4" w:space="0" w:color="auto"/>
              <w:bottom w:val="single" w:sz="4" w:space="0" w:color="auto"/>
            </w:tcBorders>
            <w:vAlign w:val="bottom"/>
          </w:tcPr>
          <w:p w14:paraId="489F591E" w14:textId="77777777" w:rsidR="00612783" w:rsidRPr="00DD19E6" w:rsidRDefault="00612783" w:rsidP="006037F5">
            <w:pPr>
              <w:pStyle w:val="Tabletext"/>
              <w:rPr>
                <w:snapToGrid w:val="0"/>
              </w:rPr>
            </w:pPr>
            <w:r w:rsidRPr="00295986">
              <w:t>21</w:t>
            </w:r>
            <w:r w:rsidR="00D7157D">
              <w:t>.</w:t>
            </w:r>
            <w:r w:rsidRPr="00295986">
              <w:t>3109</w:t>
            </w:r>
          </w:p>
        </w:tc>
      </w:tr>
      <w:tr w:rsidR="00612783" w:rsidRPr="009E2595" w14:paraId="042F0423" w14:textId="77777777" w:rsidTr="00143C85">
        <w:trPr>
          <w:trHeight w:val="245"/>
          <w:jc w:val="right"/>
        </w:trPr>
        <w:tc>
          <w:tcPr>
            <w:tcW w:w="1705" w:type="pct"/>
            <w:tcBorders>
              <w:top w:val="single" w:sz="4" w:space="0" w:color="auto"/>
              <w:bottom w:val="single" w:sz="4" w:space="0" w:color="auto"/>
            </w:tcBorders>
            <w:vAlign w:val="bottom"/>
          </w:tcPr>
          <w:p w14:paraId="13DC62E5" w14:textId="77777777" w:rsidR="00612783" w:rsidRPr="00616B26" w:rsidRDefault="00612783" w:rsidP="006037F5">
            <w:pPr>
              <w:pStyle w:val="Tabletext"/>
              <w:rPr>
                <w:snapToGrid w:val="0"/>
              </w:rPr>
            </w:pPr>
            <w:r w:rsidRPr="00616B26">
              <w:rPr>
                <w:snapToGrid w:val="0"/>
              </w:rPr>
              <w:t>58</w:t>
            </w:r>
          </w:p>
        </w:tc>
        <w:tc>
          <w:tcPr>
            <w:tcW w:w="1429" w:type="pct"/>
            <w:tcBorders>
              <w:top w:val="single" w:sz="4" w:space="0" w:color="auto"/>
              <w:bottom w:val="single" w:sz="4" w:space="0" w:color="auto"/>
            </w:tcBorders>
            <w:vAlign w:val="bottom"/>
          </w:tcPr>
          <w:p w14:paraId="08CAB5F9" w14:textId="77777777" w:rsidR="00612783" w:rsidRPr="00DD19E6" w:rsidRDefault="00612783" w:rsidP="006037F5">
            <w:pPr>
              <w:pStyle w:val="Tabletext"/>
              <w:rPr>
                <w:snapToGrid w:val="0"/>
              </w:rPr>
            </w:pPr>
            <w:r w:rsidRPr="00295986">
              <w:t>19</w:t>
            </w:r>
            <w:r w:rsidR="00D7157D">
              <w:t>.</w:t>
            </w:r>
            <w:r w:rsidRPr="00295986">
              <w:t>9705</w:t>
            </w:r>
          </w:p>
        </w:tc>
        <w:tc>
          <w:tcPr>
            <w:tcW w:w="1866" w:type="pct"/>
            <w:tcBorders>
              <w:top w:val="single" w:sz="4" w:space="0" w:color="auto"/>
              <w:bottom w:val="single" w:sz="4" w:space="0" w:color="auto"/>
            </w:tcBorders>
            <w:vAlign w:val="bottom"/>
          </w:tcPr>
          <w:p w14:paraId="63B3CF92" w14:textId="77777777" w:rsidR="00612783" w:rsidRPr="00DD19E6" w:rsidRDefault="00612783" w:rsidP="006037F5">
            <w:pPr>
              <w:pStyle w:val="Tabletext"/>
              <w:rPr>
                <w:snapToGrid w:val="0"/>
              </w:rPr>
            </w:pPr>
            <w:r w:rsidRPr="00295986">
              <w:t>20</w:t>
            </w:r>
            <w:r w:rsidR="00D7157D">
              <w:t>.</w:t>
            </w:r>
            <w:r w:rsidRPr="00295986">
              <w:t>9246</w:t>
            </w:r>
          </w:p>
        </w:tc>
      </w:tr>
      <w:tr w:rsidR="00612783" w:rsidRPr="009E2595" w14:paraId="6193E6FB" w14:textId="77777777" w:rsidTr="00143C85">
        <w:trPr>
          <w:trHeight w:val="245"/>
          <w:jc w:val="right"/>
        </w:trPr>
        <w:tc>
          <w:tcPr>
            <w:tcW w:w="1705" w:type="pct"/>
            <w:tcBorders>
              <w:top w:val="single" w:sz="4" w:space="0" w:color="auto"/>
              <w:bottom w:val="single" w:sz="4" w:space="0" w:color="auto"/>
            </w:tcBorders>
            <w:vAlign w:val="bottom"/>
          </w:tcPr>
          <w:p w14:paraId="1ABE5C01" w14:textId="77777777" w:rsidR="00612783" w:rsidRPr="00616B26" w:rsidRDefault="00612783" w:rsidP="006037F5">
            <w:pPr>
              <w:pStyle w:val="Tabletext"/>
              <w:rPr>
                <w:snapToGrid w:val="0"/>
              </w:rPr>
            </w:pPr>
            <w:r w:rsidRPr="00616B26">
              <w:rPr>
                <w:snapToGrid w:val="0"/>
              </w:rPr>
              <w:t>59</w:t>
            </w:r>
          </w:p>
        </w:tc>
        <w:tc>
          <w:tcPr>
            <w:tcW w:w="1429" w:type="pct"/>
            <w:tcBorders>
              <w:top w:val="single" w:sz="4" w:space="0" w:color="auto"/>
              <w:bottom w:val="single" w:sz="4" w:space="0" w:color="auto"/>
            </w:tcBorders>
            <w:vAlign w:val="bottom"/>
          </w:tcPr>
          <w:p w14:paraId="13DC4910" w14:textId="77777777" w:rsidR="00612783" w:rsidRPr="00DD19E6" w:rsidRDefault="00612783" w:rsidP="006037F5">
            <w:pPr>
              <w:pStyle w:val="Tabletext"/>
              <w:rPr>
                <w:snapToGrid w:val="0"/>
              </w:rPr>
            </w:pPr>
            <w:r w:rsidRPr="00295986">
              <w:t>19</w:t>
            </w:r>
            <w:r w:rsidR="00D7157D">
              <w:t>.</w:t>
            </w:r>
            <w:r w:rsidRPr="00295986">
              <w:t>5585</w:t>
            </w:r>
          </w:p>
        </w:tc>
        <w:tc>
          <w:tcPr>
            <w:tcW w:w="1866" w:type="pct"/>
            <w:tcBorders>
              <w:top w:val="single" w:sz="4" w:space="0" w:color="auto"/>
              <w:bottom w:val="single" w:sz="4" w:space="0" w:color="auto"/>
            </w:tcBorders>
            <w:vAlign w:val="bottom"/>
          </w:tcPr>
          <w:p w14:paraId="04EBB538" w14:textId="77777777" w:rsidR="00612783" w:rsidRPr="00DD19E6" w:rsidRDefault="00612783" w:rsidP="006037F5">
            <w:pPr>
              <w:pStyle w:val="Tabletext"/>
              <w:rPr>
                <w:snapToGrid w:val="0"/>
              </w:rPr>
            </w:pPr>
            <w:r w:rsidRPr="00295986">
              <w:t>20</w:t>
            </w:r>
            <w:r w:rsidR="00D7157D">
              <w:t>.</w:t>
            </w:r>
            <w:r w:rsidRPr="00295986">
              <w:t>5286</w:t>
            </w:r>
          </w:p>
        </w:tc>
      </w:tr>
      <w:tr w:rsidR="00612783" w:rsidRPr="009E2595" w14:paraId="5E43E7E3" w14:textId="77777777" w:rsidTr="00143C85">
        <w:trPr>
          <w:trHeight w:val="245"/>
          <w:jc w:val="right"/>
        </w:trPr>
        <w:tc>
          <w:tcPr>
            <w:tcW w:w="1705" w:type="pct"/>
            <w:tcBorders>
              <w:top w:val="single" w:sz="4" w:space="0" w:color="auto"/>
              <w:bottom w:val="single" w:sz="4" w:space="0" w:color="auto"/>
            </w:tcBorders>
            <w:vAlign w:val="bottom"/>
          </w:tcPr>
          <w:p w14:paraId="02110986" w14:textId="77777777" w:rsidR="00612783" w:rsidRPr="00616B26" w:rsidRDefault="00612783" w:rsidP="006037F5">
            <w:pPr>
              <w:pStyle w:val="Tabletext"/>
              <w:rPr>
                <w:snapToGrid w:val="0"/>
              </w:rPr>
            </w:pPr>
            <w:r w:rsidRPr="00616B26">
              <w:rPr>
                <w:snapToGrid w:val="0"/>
              </w:rPr>
              <w:t>60</w:t>
            </w:r>
          </w:p>
        </w:tc>
        <w:tc>
          <w:tcPr>
            <w:tcW w:w="1429" w:type="pct"/>
            <w:tcBorders>
              <w:top w:val="single" w:sz="4" w:space="0" w:color="auto"/>
              <w:bottom w:val="single" w:sz="4" w:space="0" w:color="auto"/>
            </w:tcBorders>
            <w:vAlign w:val="bottom"/>
          </w:tcPr>
          <w:p w14:paraId="62A70117" w14:textId="77777777" w:rsidR="00612783" w:rsidRPr="00DD19E6" w:rsidRDefault="00612783" w:rsidP="006037F5">
            <w:pPr>
              <w:pStyle w:val="Tabletext"/>
              <w:rPr>
                <w:snapToGrid w:val="0"/>
              </w:rPr>
            </w:pPr>
            <w:r w:rsidRPr="00295986">
              <w:t>19</w:t>
            </w:r>
            <w:r w:rsidR="00D7157D">
              <w:t>.</w:t>
            </w:r>
            <w:r w:rsidRPr="00295986">
              <w:t>1370</w:t>
            </w:r>
          </w:p>
        </w:tc>
        <w:tc>
          <w:tcPr>
            <w:tcW w:w="1866" w:type="pct"/>
            <w:tcBorders>
              <w:top w:val="single" w:sz="4" w:space="0" w:color="auto"/>
              <w:bottom w:val="single" w:sz="4" w:space="0" w:color="auto"/>
            </w:tcBorders>
            <w:vAlign w:val="bottom"/>
          </w:tcPr>
          <w:p w14:paraId="3BE1BE07" w14:textId="77777777" w:rsidR="00612783" w:rsidRPr="00DD19E6" w:rsidRDefault="00612783" w:rsidP="006037F5">
            <w:pPr>
              <w:pStyle w:val="Tabletext"/>
              <w:rPr>
                <w:snapToGrid w:val="0"/>
              </w:rPr>
            </w:pPr>
            <w:r w:rsidRPr="00295986">
              <w:t>20</w:t>
            </w:r>
            <w:r w:rsidR="00D7157D">
              <w:t>.</w:t>
            </w:r>
            <w:r w:rsidRPr="00295986">
              <w:t>1228</w:t>
            </w:r>
          </w:p>
        </w:tc>
      </w:tr>
      <w:tr w:rsidR="00612783" w:rsidRPr="009E2595" w14:paraId="49741E83" w14:textId="77777777" w:rsidTr="00143C85">
        <w:trPr>
          <w:trHeight w:val="245"/>
          <w:jc w:val="right"/>
        </w:trPr>
        <w:tc>
          <w:tcPr>
            <w:tcW w:w="1705" w:type="pct"/>
            <w:tcBorders>
              <w:top w:val="single" w:sz="4" w:space="0" w:color="auto"/>
              <w:bottom w:val="single" w:sz="4" w:space="0" w:color="auto"/>
            </w:tcBorders>
            <w:vAlign w:val="bottom"/>
          </w:tcPr>
          <w:p w14:paraId="6E23C508" w14:textId="77777777" w:rsidR="00612783" w:rsidRPr="00616B26" w:rsidRDefault="00612783" w:rsidP="006037F5">
            <w:pPr>
              <w:pStyle w:val="Tabletext"/>
              <w:rPr>
                <w:snapToGrid w:val="0"/>
              </w:rPr>
            </w:pPr>
            <w:r w:rsidRPr="00616B26">
              <w:rPr>
                <w:snapToGrid w:val="0"/>
              </w:rPr>
              <w:t>61</w:t>
            </w:r>
          </w:p>
        </w:tc>
        <w:tc>
          <w:tcPr>
            <w:tcW w:w="1429" w:type="pct"/>
            <w:tcBorders>
              <w:top w:val="single" w:sz="4" w:space="0" w:color="auto"/>
              <w:bottom w:val="single" w:sz="4" w:space="0" w:color="auto"/>
            </w:tcBorders>
            <w:vAlign w:val="bottom"/>
          </w:tcPr>
          <w:p w14:paraId="6D4AAE60" w14:textId="77777777" w:rsidR="00612783" w:rsidRPr="00DD19E6" w:rsidRDefault="00612783" w:rsidP="006037F5">
            <w:pPr>
              <w:pStyle w:val="Tabletext"/>
              <w:rPr>
                <w:snapToGrid w:val="0"/>
              </w:rPr>
            </w:pPr>
            <w:r w:rsidRPr="00295986">
              <w:t>18</w:t>
            </w:r>
            <w:r w:rsidR="00D7157D">
              <w:t>.</w:t>
            </w:r>
            <w:r w:rsidRPr="00295986">
              <w:t>7064</w:t>
            </w:r>
          </w:p>
        </w:tc>
        <w:tc>
          <w:tcPr>
            <w:tcW w:w="1866" w:type="pct"/>
            <w:tcBorders>
              <w:top w:val="single" w:sz="4" w:space="0" w:color="auto"/>
              <w:bottom w:val="single" w:sz="4" w:space="0" w:color="auto"/>
            </w:tcBorders>
            <w:vAlign w:val="bottom"/>
          </w:tcPr>
          <w:p w14:paraId="65109D6C" w14:textId="77777777" w:rsidR="00612783" w:rsidRPr="00DD19E6" w:rsidRDefault="00612783" w:rsidP="006037F5">
            <w:pPr>
              <w:pStyle w:val="Tabletext"/>
              <w:rPr>
                <w:snapToGrid w:val="0"/>
              </w:rPr>
            </w:pPr>
            <w:r w:rsidRPr="00295986">
              <w:t>19</w:t>
            </w:r>
            <w:r w:rsidR="00D7157D">
              <w:t>.</w:t>
            </w:r>
            <w:r w:rsidRPr="00295986">
              <w:t>7068</w:t>
            </w:r>
          </w:p>
        </w:tc>
      </w:tr>
      <w:tr w:rsidR="00612783" w:rsidRPr="009E2595" w14:paraId="2B885C77" w14:textId="77777777" w:rsidTr="00143C85">
        <w:trPr>
          <w:trHeight w:val="245"/>
          <w:jc w:val="right"/>
        </w:trPr>
        <w:tc>
          <w:tcPr>
            <w:tcW w:w="1705" w:type="pct"/>
            <w:tcBorders>
              <w:top w:val="single" w:sz="4" w:space="0" w:color="auto"/>
              <w:bottom w:val="single" w:sz="4" w:space="0" w:color="auto"/>
            </w:tcBorders>
            <w:vAlign w:val="bottom"/>
          </w:tcPr>
          <w:p w14:paraId="06C35F1C" w14:textId="77777777" w:rsidR="00612783" w:rsidRPr="00616B26" w:rsidRDefault="00612783" w:rsidP="006037F5">
            <w:pPr>
              <w:pStyle w:val="Tabletext"/>
              <w:rPr>
                <w:snapToGrid w:val="0"/>
              </w:rPr>
            </w:pPr>
            <w:r w:rsidRPr="00616B26">
              <w:rPr>
                <w:snapToGrid w:val="0"/>
              </w:rPr>
              <w:t>62</w:t>
            </w:r>
          </w:p>
        </w:tc>
        <w:tc>
          <w:tcPr>
            <w:tcW w:w="1429" w:type="pct"/>
            <w:tcBorders>
              <w:top w:val="single" w:sz="4" w:space="0" w:color="auto"/>
              <w:bottom w:val="single" w:sz="4" w:space="0" w:color="auto"/>
            </w:tcBorders>
            <w:vAlign w:val="bottom"/>
          </w:tcPr>
          <w:p w14:paraId="10246EA5" w14:textId="77777777" w:rsidR="00612783" w:rsidRPr="00DD19E6" w:rsidRDefault="00612783" w:rsidP="006037F5">
            <w:pPr>
              <w:pStyle w:val="Tabletext"/>
              <w:rPr>
                <w:snapToGrid w:val="0"/>
              </w:rPr>
            </w:pPr>
            <w:r w:rsidRPr="00295986">
              <w:t>18</w:t>
            </w:r>
            <w:r w:rsidR="00D7157D">
              <w:t>.</w:t>
            </w:r>
            <w:r w:rsidRPr="00295986">
              <w:t>2667</w:t>
            </w:r>
          </w:p>
        </w:tc>
        <w:tc>
          <w:tcPr>
            <w:tcW w:w="1866" w:type="pct"/>
            <w:tcBorders>
              <w:top w:val="single" w:sz="4" w:space="0" w:color="auto"/>
              <w:bottom w:val="single" w:sz="4" w:space="0" w:color="auto"/>
            </w:tcBorders>
            <w:vAlign w:val="bottom"/>
          </w:tcPr>
          <w:p w14:paraId="60B56FA1" w14:textId="77777777" w:rsidR="00612783" w:rsidRPr="00DD19E6" w:rsidRDefault="00612783" w:rsidP="006037F5">
            <w:pPr>
              <w:pStyle w:val="Tabletext"/>
              <w:rPr>
                <w:snapToGrid w:val="0"/>
              </w:rPr>
            </w:pPr>
            <w:r w:rsidRPr="00295986">
              <w:t>19</w:t>
            </w:r>
            <w:r w:rsidR="00D7157D">
              <w:t>.</w:t>
            </w:r>
            <w:r w:rsidRPr="00295986">
              <w:t>2814</w:t>
            </w:r>
          </w:p>
        </w:tc>
      </w:tr>
      <w:tr w:rsidR="00612783" w:rsidRPr="009E2595" w14:paraId="71222CF6" w14:textId="77777777" w:rsidTr="00143C85">
        <w:trPr>
          <w:trHeight w:val="245"/>
          <w:jc w:val="right"/>
        </w:trPr>
        <w:tc>
          <w:tcPr>
            <w:tcW w:w="1705" w:type="pct"/>
            <w:tcBorders>
              <w:top w:val="single" w:sz="4" w:space="0" w:color="auto"/>
              <w:bottom w:val="single" w:sz="4" w:space="0" w:color="auto"/>
            </w:tcBorders>
            <w:vAlign w:val="bottom"/>
          </w:tcPr>
          <w:p w14:paraId="29500711" w14:textId="77777777" w:rsidR="00612783" w:rsidRPr="00616B26" w:rsidRDefault="00612783" w:rsidP="006037F5">
            <w:pPr>
              <w:pStyle w:val="Tabletext"/>
              <w:rPr>
                <w:snapToGrid w:val="0"/>
              </w:rPr>
            </w:pPr>
            <w:r w:rsidRPr="00616B26">
              <w:rPr>
                <w:snapToGrid w:val="0"/>
              </w:rPr>
              <w:t>63</w:t>
            </w:r>
          </w:p>
        </w:tc>
        <w:tc>
          <w:tcPr>
            <w:tcW w:w="1429" w:type="pct"/>
            <w:tcBorders>
              <w:top w:val="single" w:sz="4" w:space="0" w:color="auto"/>
              <w:bottom w:val="single" w:sz="4" w:space="0" w:color="auto"/>
            </w:tcBorders>
            <w:vAlign w:val="bottom"/>
          </w:tcPr>
          <w:p w14:paraId="7E2BD5BD" w14:textId="77777777" w:rsidR="00612783" w:rsidRPr="00DD19E6" w:rsidRDefault="00612783" w:rsidP="006037F5">
            <w:pPr>
              <w:pStyle w:val="Tabletext"/>
              <w:rPr>
                <w:snapToGrid w:val="0"/>
              </w:rPr>
            </w:pPr>
            <w:r w:rsidRPr="00295986">
              <w:t>17</w:t>
            </w:r>
            <w:r w:rsidR="00D7157D">
              <w:t>.</w:t>
            </w:r>
            <w:r w:rsidRPr="00295986">
              <w:t>8187</w:t>
            </w:r>
          </w:p>
        </w:tc>
        <w:tc>
          <w:tcPr>
            <w:tcW w:w="1866" w:type="pct"/>
            <w:tcBorders>
              <w:top w:val="single" w:sz="4" w:space="0" w:color="auto"/>
              <w:bottom w:val="single" w:sz="4" w:space="0" w:color="auto"/>
            </w:tcBorders>
            <w:vAlign w:val="bottom"/>
          </w:tcPr>
          <w:p w14:paraId="72B3A732" w14:textId="77777777" w:rsidR="00612783" w:rsidRPr="00DD19E6" w:rsidRDefault="00612783" w:rsidP="006037F5">
            <w:pPr>
              <w:pStyle w:val="Tabletext"/>
              <w:rPr>
                <w:snapToGrid w:val="0"/>
              </w:rPr>
            </w:pPr>
            <w:r w:rsidRPr="00295986">
              <w:t>18</w:t>
            </w:r>
            <w:r w:rsidR="00D7157D">
              <w:t>.</w:t>
            </w:r>
            <w:r w:rsidRPr="00295986">
              <w:t>8470</w:t>
            </w:r>
          </w:p>
        </w:tc>
      </w:tr>
      <w:tr w:rsidR="00612783" w:rsidRPr="009E2595" w14:paraId="16580240" w14:textId="77777777" w:rsidTr="00143C85">
        <w:trPr>
          <w:trHeight w:val="245"/>
          <w:jc w:val="right"/>
        </w:trPr>
        <w:tc>
          <w:tcPr>
            <w:tcW w:w="1705" w:type="pct"/>
            <w:tcBorders>
              <w:top w:val="single" w:sz="4" w:space="0" w:color="auto"/>
              <w:bottom w:val="single" w:sz="4" w:space="0" w:color="auto"/>
            </w:tcBorders>
            <w:vAlign w:val="bottom"/>
          </w:tcPr>
          <w:p w14:paraId="4723C6B0" w14:textId="77777777" w:rsidR="00612783" w:rsidRPr="00616B26" w:rsidRDefault="00612783" w:rsidP="006037F5">
            <w:pPr>
              <w:pStyle w:val="Tabletext"/>
              <w:rPr>
                <w:snapToGrid w:val="0"/>
              </w:rPr>
            </w:pPr>
            <w:r w:rsidRPr="00616B26">
              <w:rPr>
                <w:snapToGrid w:val="0"/>
              </w:rPr>
              <w:t>64</w:t>
            </w:r>
          </w:p>
        </w:tc>
        <w:tc>
          <w:tcPr>
            <w:tcW w:w="1429" w:type="pct"/>
            <w:tcBorders>
              <w:top w:val="single" w:sz="4" w:space="0" w:color="auto"/>
              <w:bottom w:val="single" w:sz="4" w:space="0" w:color="auto"/>
            </w:tcBorders>
            <w:vAlign w:val="bottom"/>
          </w:tcPr>
          <w:p w14:paraId="428A2860" w14:textId="77777777" w:rsidR="00612783" w:rsidRPr="00DD19E6" w:rsidRDefault="00612783" w:rsidP="006037F5">
            <w:pPr>
              <w:pStyle w:val="Tabletext"/>
              <w:rPr>
                <w:snapToGrid w:val="0"/>
              </w:rPr>
            </w:pPr>
            <w:r w:rsidRPr="00295986">
              <w:t>17</w:t>
            </w:r>
            <w:r w:rsidR="00D7157D">
              <w:t>.</w:t>
            </w:r>
            <w:r w:rsidRPr="00295986">
              <w:t>3627</w:t>
            </w:r>
          </w:p>
        </w:tc>
        <w:tc>
          <w:tcPr>
            <w:tcW w:w="1866" w:type="pct"/>
            <w:tcBorders>
              <w:top w:val="single" w:sz="4" w:space="0" w:color="auto"/>
              <w:bottom w:val="single" w:sz="4" w:space="0" w:color="auto"/>
            </w:tcBorders>
            <w:vAlign w:val="bottom"/>
          </w:tcPr>
          <w:p w14:paraId="493BCDEE" w14:textId="77777777" w:rsidR="00612783" w:rsidRPr="00DD19E6" w:rsidRDefault="00612783" w:rsidP="006037F5">
            <w:pPr>
              <w:pStyle w:val="Tabletext"/>
              <w:rPr>
                <w:snapToGrid w:val="0"/>
              </w:rPr>
            </w:pPr>
            <w:r w:rsidRPr="00295986">
              <w:t>18</w:t>
            </w:r>
            <w:r w:rsidR="00D7157D">
              <w:t>.</w:t>
            </w:r>
            <w:r w:rsidRPr="00295986">
              <w:t>4038</w:t>
            </w:r>
          </w:p>
        </w:tc>
      </w:tr>
      <w:tr w:rsidR="00612783" w:rsidRPr="009E2595" w14:paraId="02AB9BEB" w14:textId="77777777" w:rsidTr="00143C85">
        <w:trPr>
          <w:trHeight w:val="245"/>
          <w:jc w:val="right"/>
        </w:trPr>
        <w:tc>
          <w:tcPr>
            <w:tcW w:w="1705" w:type="pct"/>
            <w:tcBorders>
              <w:top w:val="single" w:sz="4" w:space="0" w:color="auto"/>
              <w:bottom w:val="single" w:sz="12" w:space="0" w:color="auto"/>
            </w:tcBorders>
            <w:vAlign w:val="bottom"/>
          </w:tcPr>
          <w:p w14:paraId="495AFC1C" w14:textId="77777777" w:rsidR="00612783" w:rsidRPr="00616B26" w:rsidRDefault="00612783" w:rsidP="006037F5">
            <w:pPr>
              <w:pStyle w:val="Tabletext"/>
              <w:rPr>
                <w:snapToGrid w:val="0"/>
              </w:rPr>
            </w:pPr>
            <w:r w:rsidRPr="00616B26">
              <w:rPr>
                <w:snapToGrid w:val="0"/>
              </w:rPr>
              <w:t>65</w:t>
            </w:r>
          </w:p>
        </w:tc>
        <w:tc>
          <w:tcPr>
            <w:tcW w:w="1429" w:type="pct"/>
            <w:tcBorders>
              <w:top w:val="single" w:sz="4" w:space="0" w:color="auto"/>
              <w:bottom w:val="single" w:sz="12" w:space="0" w:color="auto"/>
            </w:tcBorders>
            <w:vAlign w:val="bottom"/>
          </w:tcPr>
          <w:p w14:paraId="4286941D" w14:textId="77777777" w:rsidR="00612783" w:rsidRPr="00DD19E6" w:rsidRDefault="00612783" w:rsidP="006037F5">
            <w:pPr>
              <w:pStyle w:val="Tabletext"/>
              <w:rPr>
                <w:snapToGrid w:val="0"/>
              </w:rPr>
            </w:pPr>
            <w:r w:rsidRPr="00295986">
              <w:t>16</w:t>
            </w:r>
            <w:r w:rsidR="00D7157D">
              <w:t>.</w:t>
            </w:r>
            <w:r w:rsidRPr="00295986">
              <w:t>9003</w:t>
            </w:r>
          </w:p>
        </w:tc>
        <w:tc>
          <w:tcPr>
            <w:tcW w:w="1866" w:type="pct"/>
            <w:tcBorders>
              <w:top w:val="single" w:sz="4" w:space="0" w:color="auto"/>
              <w:bottom w:val="single" w:sz="12" w:space="0" w:color="auto"/>
            </w:tcBorders>
            <w:vAlign w:val="bottom"/>
          </w:tcPr>
          <w:p w14:paraId="3FED037D" w14:textId="77777777" w:rsidR="00612783" w:rsidRPr="00DD19E6" w:rsidRDefault="00612783" w:rsidP="006037F5">
            <w:pPr>
              <w:pStyle w:val="Tabletext"/>
              <w:rPr>
                <w:snapToGrid w:val="0"/>
              </w:rPr>
            </w:pPr>
            <w:r w:rsidRPr="00295986">
              <w:t>17</w:t>
            </w:r>
            <w:r w:rsidR="00D7157D">
              <w:t>.</w:t>
            </w:r>
            <w:r w:rsidRPr="00295986">
              <w:t>9531</w:t>
            </w:r>
          </w:p>
        </w:tc>
      </w:tr>
    </w:tbl>
    <w:p w14:paraId="0C89411E"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674464D1" w14:textId="77777777" w:rsidTr="00963115">
        <w:trPr>
          <w:cantSplit/>
          <w:trHeight w:val="375"/>
          <w:tblHeader/>
          <w:jc w:val="right"/>
        </w:trPr>
        <w:tc>
          <w:tcPr>
            <w:tcW w:w="1705" w:type="pct"/>
            <w:vMerge w:val="restart"/>
            <w:tcBorders>
              <w:top w:val="single" w:sz="12" w:space="0" w:color="auto"/>
              <w:bottom w:val="single" w:sz="12" w:space="0" w:color="auto"/>
            </w:tcBorders>
          </w:tcPr>
          <w:p w14:paraId="0893DEF7"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BDD63A4" w14:textId="0486F44C"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period—pension indexed at 3%</w:t>
            </w:r>
          </w:p>
        </w:tc>
      </w:tr>
      <w:tr w:rsidR="00647C6B" w:rsidRPr="00A058B6" w14:paraId="527B66B0" w14:textId="77777777" w:rsidTr="00963115">
        <w:trPr>
          <w:cantSplit/>
          <w:trHeight w:val="60"/>
          <w:tblHeader/>
          <w:jc w:val="right"/>
        </w:trPr>
        <w:tc>
          <w:tcPr>
            <w:tcW w:w="1705" w:type="pct"/>
            <w:vMerge/>
            <w:tcBorders>
              <w:bottom w:val="single" w:sz="12" w:space="0" w:color="auto"/>
            </w:tcBorders>
          </w:tcPr>
          <w:p w14:paraId="45DCA1DB" w14:textId="77777777" w:rsidR="00647C6B" w:rsidRPr="00A058B6" w:rsidRDefault="00647C6B" w:rsidP="00963115">
            <w:pPr>
              <w:pStyle w:val="TableHeading"/>
              <w:rPr>
                <w:snapToGrid w:val="0"/>
              </w:rPr>
            </w:pPr>
          </w:p>
        </w:tc>
        <w:tc>
          <w:tcPr>
            <w:tcW w:w="1417" w:type="pct"/>
            <w:tcBorders>
              <w:top w:val="single" w:sz="4" w:space="0" w:color="auto"/>
              <w:bottom w:val="single" w:sz="12" w:space="0" w:color="auto"/>
            </w:tcBorders>
          </w:tcPr>
          <w:p w14:paraId="3C3A3908"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20AAC605" w14:textId="77777777" w:rsidR="00647C6B" w:rsidRPr="00A058B6" w:rsidRDefault="00647C6B" w:rsidP="00963115">
            <w:pPr>
              <w:pStyle w:val="TableHeading"/>
              <w:rPr>
                <w:snapToGrid w:val="0"/>
              </w:rPr>
            </w:pPr>
            <w:r w:rsidRPr="00A058B6">
              <w:rPr>
                <w:snapToGrid w:val="0"/>
              </w:rPr>
              <w:t>Female</w:t>
            </w:r>
          </w:p>
        </w:tc>
      </w:tr>
      <w:tr w:rsidR="00612783" w:rsidRPr="009E2595" w14:paraId="4F507C7F" w14:textId="77777777" w:rsidTr="00143C85">
        <w:trPr>
          <w:trHeight w:val="245"/>
          <w:jc w:val="right"/>
        </w:trPr>
        <w:tc>
          <w:tcPr>
            <w:tcW w:w="1705" w:type="pct"/>
            <w:tcBorders>
              <w:top w:val="single" w:sz="12" w:space="0" w:color="auto"/>
              <w:bottom w:val="single" w:sz="4" w:space="0" w:color="auto"/>
            </w:tcBorders>
          </w:tcPr>
          <w:p w14:paraId="631F429B" w14:textId="77777777" w:rsidR="00612783" w:rsidRPr="00616B26" w:rsidRDefault="00612783" w:rsidP="0028754C">
            <w:pPr>
              <w:pStyle w:val="Tabletext"/>
              <w:rPr>
                <w:snapToGrid w:val="0"/>
              </w:rPr>
            </w:pPr>
            <w:r w:rsidRPr="00616B26">
              <w:rPr>
                <w:snapToGrid w:val="0"/>
              </w:rPr>
              <w:t>Up to 40</w:t>
            </w:r>
          </w:p>
        </w:tc>
        <w:tc>
          <w:tcPr>
            <w:tcW w:w="1417" w:type="pct"/>
            <w:tcBorders>
              <w:top w:val="single" w:sz="12" w:space="0" w:color="auto"/>
              <w:bottom w:val="single" w:sz="4" w:space="0" w:color="auto"/>
            </w:tcBorders>
            <w:vAlign w:val="bottom"/>
          </w:tcPr>
          <w:p w14:paraId="414B17E3" w14:textId="77777777" w:rsidR="00612783" w:rsidRPr="00DD19E6" w:rsidRDefault="00612783" w:rsidP="0028754C">
            <w:pPr>
              <w:pStyle w:val="Tabletext"/>
              <w:rPr>
                <w:snapToGrid w:val="0"/>
              </w:rPr>
            </w:pPr>
            <w:r w:rsidRPr="00295986">
              <w:t>2</w:t>
            </w:r>
            <w:r w:rsidR="00D7157D">
              <w:t>.</w:t>
            </w:r>
            <w:r w:rsidRPr="00295986">
              <w:t>338</w:t>
            </w:r>
          </w:p>
        </w:tc>
        <w:tc>
          <w:tcPr>
            <w:tcW w:w="1878" w:type="pct"/>
            <w:tcBorders>
              <w:top w:val="single" w:sz="12" w:space="0" w:color="auto"/>
              <w:bottom w:val="single" w:sz="4" w:space="0" w:color="auto"/>
            </w:tcBorders>
            <w:vAlign w:val="bottom"/>
          </w:tcPr>
          <w:p w14:paraId="78E048A9" w14:textId="77777777" w:rsidR="00612783" w:rsidRPr="00DD19E6" w:rsidRDefault="00612783" w:rsidP="0028754C">
            <w:pPr>
              <w:pStyle w:val="Tabletext"/>
              <w:rPr>
                <w:snapToGrid w:val="0"/>
              </w:rPr>
            </w:pPr>
            <w:r w:rsidRPr="00295986">
              <w:t>0</w:t>
            </w:r>
            <w:r w:rsidR="00D7157D">
              <w:t>.</w:t>
            </w:r>
            <w:r w:rsidRPr="00295986">
              <w:t>993</w:t>
            </w:r>
          </w:p>
        </w:tc>
      </w:tr>
      <w:tr w:rsidR="00612783" w:rsidRPr="009E2595" w14:paraId="2D3A2E3D" w14:textId="77777777" w:rsidTr="00143C85">
        <w:trPr>
          <w:trHeight w:val="245"/>
          <w:jc w:val="right"/>
        </w:trPr>
        <w:tc>
          <w:tcPr>
            <w:tcW w:w="1705" w:type="pct"/>
            <w:tcBorders>
              <w:top w:val="single" w:sz="4" w:space="0" w:color="auto"/>
              <w:bottom w:val="single" w:sz="4" w:space="0" w:color="auto"/>
            </w:tcBorders>
          </w:tcPr>
          <w:p w14:paraId="5DC4ECC7" w14:textId="77777777" w:rsidR="00612783" w:rsidRPr="00616B26" w:rsidRDefault="00612783" w:rsidP="0028754C">
            <w:pPr>
              <w:pStyle w:val="Tabletext"/>
              <w:rPr>
                <w:snapToGrid w:val="0"/>
              </w:rPr>
            </w:pPr>
            <w:r w:rsidRPr="00616B26">
              <w:rPr>
                <w:snapToGrid w:val="0"/>
              </w:rPr>
              <w:t>41</w:t>
            </w:r>
          </w:p>
        </w:tc>
        <w:tc>
          <w:tcPr>
            <w:tcW w:w="1417" w:type="pct"/>
            <w:tcBorders>
              <w:top w:val="single" w:sz="4" w:space="0" w:color="auto"/>
              <w:bottom w:val="single" w:sz="4" w:space="0" w:color="auto"/>
            </w:tcBorders>
            <w:vAlign w:val="bottom"/>
          </w:tcPr>
          <w:p w14:paraId="66BC638F" w14:textId="77777777" w:rsidR="00612783" w:rsidRPr="00DD19E6" w:rsidRDefault="00612783" w:rsidP="0028754C">
            <w:pPr>
              <w:pStyle w:val="Tabletext"/>
              <w:rPr>
                <w:snapToGrid w:val="0"/>
              </w:rPr>
            </w:pPr>
            <w:r w:rsidRPr="00295986">
              <w:t>2</w:t>
            </w:r>
            <w:r w:rsidR="00D7157D">
              <w:t>.</w:t>
            </w:r>
            <w:r w:rsidRPr="00295986">
              <w:t>260</w:t>
            </w:r>
          </w:p>
        </w:tc>
        <w:tc>
          <w:tcPr>
            <w:tcW w:w="1878" w:type="pct"/>
            <w:tcBorders>
              <w:top w:val="single" w:sz="4" w:space="0" w:color="auto"/>
              <w:bottom w:val="single" w:sz="4" w:space="0" w:color="auto"/>
            </w:tcBorders>
            <w:vAlign w:val="bottom"/>
          </w:tcPr>
          <w:p w14:paraId="644459E9" w14:textId="77777777" w:rsidR="00612783" w:rsidRPr="00DD19E6" w:rsidRDefault="00612783" w:rsidP="0028754C">
            <w:pPr>
              <w:pStyle w:val="Tabletext"/>
              <w:rPr>
                <w:snapToGrid w:val="0"/>
              </w:rPr>
            </w:pPr>
            <w:r w:rsidRPr="00295986">
              <w:t>0</w:t>
            </w:r>
            <w:r w:rsidR="00D7157D">
              <w:t>.</w:t>
            </w:r>
            <w:r w:rsidRPr="00295986">
              <w:t>934</w:t>
            </w:r>
          </w:p>
        </w:tc>
      </w:tr>
      <w:tr w:rsidR="00612783" w:rsidRPr="009E2595" w14:paraId="268D0A39" w14:textId="77777777" w:rsidTr="00143C85">
        <w:trPr>
          <w:trHeight w:val="245"/>
          <w:jc w:val="right"/>
        </w:trPr>
        <w:tc>
          <w:tcPr>
            <w:tcW w:w="1705" w:type="pct"/>
            <w:tcBorders>
              <w:top w:val="single" w:sz="4" w:space="0" w:color="auto"/>
              <w:bottom w:val="single" w:sz="4" w:space="0" w:color="auto"/>
            </w:tcBorders>
          </w:tcPr>
          <w:p w14:paraId="2C0CB7E6" w14:textId="77777777" w:rsidR="00612783" w:rsidRPr="00616B26" w:rsidRDefault="00612783" w:rsidP="0028754C">
            <w:pPr>
              <w:pStyle w:val="Tabletext"/>
              <w:rPr>
                <w:snapToGrid w:val="0"/>
              </w:rPr>
            </w:pPr>
            <w:r w:rsidRPr="00616B26">
              <w:rPr>
                <w:snapToGrid w:val="0"/>
              </w:rPr>
              <w:t>42</w:t>
            </w:r>
          </w:p>
        </w:tc>
        <w:tc>
          <w:tcPr>
            <w:tcW w:w="1417" w:type="pct"/>
            <w:tcBorders>
              <w:top w:val="single" w:sz="4" w:space="0" w:color="auto"/>
              <w:bottom w:val="single" w:sz="4" w:space="0" w:color="auto"/>
            </w:tcBorders>
            <w:vAlign w:val="bottom"/>
          </w:tcPr>
          <w:p w14:paraId="7EF7AEF2" w14:textId="77777777" w:rsidR="00612783" w:rsidRPr="00DD19E6" w:rsidRDefault="00612783" w:rsidP="0028754C">
            <w:pPr>
              <w:pStyle w:val="Tabletext"/>
              <w:rPr>
                <w:snapToGrid w:val="0"/>
              </w:rPr>
            </w:pPr>
            <w:r w:rsidRPr="00295986">
              <w:t>2</w:t>
            </w:r>
            <w:r w:rsidR="00D7157D">
              <w:t>.</w:t>
            </w:r>
            <w:r w:rsidRPr="00295986">
              <w:t>182</w:t>
            </w:r>
          </w:p>
        </w:tc>
        <w:tc>
          <w:tcPr>
            <w:tcW w:w="1878" w:type="pct"/>
            <w:tcBorders>
              <w:top w:val="single" w:sz="4" w:space="0" w:color="auto"/>
              <w:bottom w:val="single" w:sz="4" w:space="0" w:color="auto"/>
            </w:tcBorders>
            <w:vAlign w:val="bottom"/>
          </w:tcPr>
          <w:p w14:paraId="7EFF632F" w14:textId="77777777" w:rsidR="00612783" w:rsidRPr="00DD19E6" w:rsidRDefault="00612783" w:rsidP="0028754C">
            <w:pPr>
              <w:pStyle w:val="Tabletext"/>
              <w:rPr>
                <w:snapToGrid w:val="0"/>
              </w:rPr>
            </w:pPr>
            <w:r w:rsidRPr="00295986">
              <w:t>0</w:t>
            </w:r>
            <w:r w:rsidR="00D7157D">
              <w:t>.</w:t>
            </w:r>
            <w:r w:rsidRPr="00295986">
              <w:t>874</w:t>
            </w:r>
          </w:p>
        </w:tc>
      </w:tr>
      <w:tr w:rsidR="00612783" w:rsidRPr="009E2595" w14:paraId="2BA3390E" w14:textId="77777777" w:rsidTr="00143C85">
        <w:trPr>
          <w:trHeight w:val="245"/>
          <w:jc w:val="right"/>
        </w:trPr>
        <w:tc>
          <w:tcPr>
            <w:tcW w:w="1705" w:type="pct"/>
            <w:tcBorders>
              <w:top w:val="single" w:sz="4" w:space="0" w:color="auto"/>
              <w:bottom w:val="single" w:sz="4" w:space="0" w:color="auto"/>
            </w:tcBorders>
          </w:tcPr>
          <w:p w14:paraId="0BCDE1D6" w14:textId="77777777" w:rsidR="00612783" w:rsidRPr="00616B26" w:rsidRDefault="00612783" w:rsidP="0028754C">
            <w:pPr>
              <w:pStyle w:val="Tabletext"/>
              <w:rPr>
                <w:snapToGrid w:val="0"/>
              </w:rPr>
            </w:pPr>
            <w:r w:rsidRPr="00616B26">
              <w:rPr>
                <w:snapToGrid w:val="0"/>
              </w:rPr>
              <w:t>43</w:t>
            </w:r>
          </w:p>
        </w:tc>
        <w:tc>
          <w:tcPr>
            <w:tcW w:w="1417" w:type="pct"/>
            <w:tcBorders>
              <w:top w:val="single" w:sz="4" w:space="0" w:color="auto"/>
              <w:bottom w:val="single" w:sz="4" w:space="0" w:color="auto"/>
            </w:tcBorders>
            <w:vAlign w:val="bottom"/>
          </w:tcPr>
          <w:p w14:paraId="745D79E6" w14:textId="77777777" w:rsidR="00612783" w:rsidRPr="00DD19E6" w:rsidRDefault="00612783" w:rsidP="0028754C">
            <w:pPr>
              <w:pStyle w:val="Tabletext"/>
              <w:rPr>
                <w:snapToGrid w:val="0"/>
              </w:rPr>
            </w:pPr>
            <w:r w:rsidRPr="00295986">
              <w:t>2</w:t>
            </w:r>
            <w:r w:rsidR="00D7157D">
              <w:t>.</w:t>
            </w:r>
            <w:r w:rsidRPr="00295986">
              <w:t>104</w:t>
            </w:r>
          </w:p>
        </w:tc>
        <w:tc>
          <w:tcPr>
            <w:tcW w:w="1878" w:type="pct"/>
            <w:tcBorders>
              <w:top w:val="single" w:sz="4" w:space="0" w:color="auto"/>
              <w:bottom w:val="single" w:sz="4" w:space="0" w:color="auto"/>
            </w:tcBorders>
            <w:vAlign w:val="bottom"/>
          </w:tcPr>
          <w:p w14:paraId="411A5E5F" w14:textId="77777777" w:rsidR="00612783" w:rsidRPr="00DD19E6" w:rsidRDefault="00612783" w:rsidP="0028754C">
            <w:pPr>
              <w:pStyle w:val="Tabletext"/>
              <w:rPr>
                <w:snapToGrid w:val="0"/>
              </w:rPr>
            </w:pPr>
            <w:r w:rsidRPr="00295986">
              <w:t>0</w:t>
            </w:r>
            <w:r w:rsidR="00D7157D">
              <w:t>.</w:t>
            </w:r>
            <w:r w:rsidRPr="00295986">
              <w:t>815</w:t>
            </w:r>
          </w:p>
        </w:tc>
      </w:tr>
      <w:tr w:rsidR="00612783" w:rsidRPr="009E2595" w14:paraId="727BC5F0" w14:textId="77777777" w:rsidTr="00143C85">
        <w:trPr>
          <w:trHeight w:val="245"/>
          <w:jc w:val="right"/>
        </w:trPr>
        <w:tc>
          <w:tcPr>
            <w:tcW w:w="1705" w:type="pct"/>
            <w:tcBorders>
              <w:top w:val="single" w:sz="4" w:space="0" w:color="auto"/>
              <w:bottom w:val="single" w:sz="4" w:space="0" w:color="auto"/>
            </w:tcBorders>
          </w:tcPr>
          <w:p w14:paraId="2FD0A00F" w14:textId="77777777" w:rsidR="00612783" w:rsidRPr="00616B26" w:rsidRDefault="00612783" w:rsidP="0028754C">
            <w:pPr>
              <w:pStyle w:val="Tabletext"/>
              <w:rPr>
                <w:snapToGrid w:val="0"/>
              </w:rPr>
            </w:pPr>
            <w:r w:rsidRPr="00616B26">
              <w:rPr>
                <w:snapToGrid w:val="0"/>
              </w:rPr>
              <w:t>44</w:t>
            </w:r>
          </w:p>
        </w:tc>
        <w:tc>
          <w:tcPr>
            <w:tcW w:w="1417" w:type="pct"/>
            <w:tcBorders>
              <w:top w:val="single" w:sz="4" w:space="0" w:color="auto"/>
              <w:bottom w:val="single" w:sz="4" w:space="0" w:color="auto"/>
            </w:tcBorders>
            <w:vAlign w:val="bottom"/>
          </w:tcPr>
          <w:p w14:paraId="71992E59" w14:textId="77777777" w:rsidR="00612783" w:rsidRPr="00DD19E6" w:rsidRDefault="00612783" w:rsidP="0028754C">
            <w:pPr>
              <w:pStyle w:val="Tabletext"/>
              <w:rPr>
                <w:snapToGrid w:val="0"/>
              </w:rPr>
            </w:pPr>
            <w:r w:rsidRPr="00295986">
              <w:t>2</w:t>
            </w:r>
            <w:r w:rsidR="00D7157D">
              <w:t>.</w:t>
            </w:r>
            <w:r w:rsidRPr="00295986">
              <w:t>026</w:t>
            </w:r>
          </w:p>
        </w:tc>
        <w:tc>
          <w:tcPr>
            <w:tcW w:w="1878" w:type="pct"/>
            <w:tcBorders>
              <w:top w:val="single" w:sz="4" w:space="0" w:color="auto"/>
              <w:bottom w:val="single" w:sz="4" w:space="0" w:color="auto"/>
            </w:tcBorders>
            <w:vAlign w:val="bottom"/>
          </w:tcPr>
          <w:p w14:paraId="1C93F070" w14:textId="77777777" w:rsidR="00612783" w:rsidRPr="00DD19E6" w:rsidRDefault="00612783" w:rsidP="0028754C">
            <w:pPr>
              <w:pStyle w:val="Tabletext"/>
              <w:rPr>
                <w:snapToGrid w:val="0"/>
              </w:rPr>
            </w:pPr>
            <w:r w:rsidRPr="00295986">
              <w:t>0</w:t>
            </w:r>
            <w:r w:rsidR="00D7157D">
              <w:t>.</w:t>
            </w:r>
            <w:r w:rsidRPr="00295986">
              <w:t>755</w:t>
            </w:r>
          </w:p>
        </w:tc>
      </w:tr>
      <w:tr w:rsidR="00612783" w:rsidRPr="009E2595" w14:paraId="287EFDDB" w14:textId="77777777" w:rsidTr="00143C85">
        <w:trPr>
          <w:trHeight w:val="245"/>
          <w:jc w:val="right"/>
        </w:trPr>
        <w:tc>
          <w:tcPr>
            <w:tcW w:w="1705" w:type="pct"/>
            <w:tcBorders>
              <w:top w:val="single" w:sz="4" w:space="0" w:color="auto"/>
              <w:bottom w:val="single" w:sz="4" w:space="0" w:color="auto"/>
            </w:tcBorders>
          </w:tcPr>
          <w:p w14:paraId="11656C72" w14:textId="77777777" w:rsidR="00612783" w:rsidRPr="00616B26" w:rsidRDefault="00612783" w:rsidP="0028754C">
            <w:pPr>
              <w:pStyle w:val="Tabletext"/>
              <w:rPr>
                <w:snapToGrid w:val="0"/>
              </w:rPr>
            </w:pPr>
            <w:r w:rsidRPr="00616B26">
              <w:rPr>
                <w:snapToGrid w:val="0"/>
              </w:rPr>
              <w:t>45</w:t>
            </w:r>
          </w:p>
        </w:tc>
        <w:tc>
          <w:tcPr>
            <w:tcW w:w="1417" w:type="pct"/>
            <w:tcBorders>
              <w:top w:val="single" w:sz="4" w:space="0" w:color="auto"/>
              <w:bottom w:val="single" w:sz="4" w:space="0" w:color="auto"/>
            </w:tcBorders>
            <w:vAlign w:val="bottom"/>
          </w:tcPr>
          <w:p w14:paraId="7AFE0663" w14:textId="77777777" w:rsidR="00612783" w:rsidRPr="00DD19E6" w:rsidRDefault="00612783" w:rsidP="0028754C">
            <w:pPr>
              <w:pStyle w:val="Tabletext"/>
              <w:rPr>
                <w:snapToGrid w:val="0"/>
              </w:rPr>
            </w:pPr>
            <w:r w:rsidRPr="00295986">
              <w:t>1</w:t>
            </w:r>
            <w:r w:rsidR="00D7157D">
              <w:t>.</w:t>
            </w:r>
            <w:r w:rsidRPr="00295986">
              <w:t>948</w:t>
            </w:r>
          </w:p>
        </w:tc>
        <w:tc>
          <w:tcPr>
            <w:tcW w:w="1878" w:type="pct"/>
            <w:tcBorders>
              <w:top w:val="single" w:sz="4" w:space="0" w:color="auto"/>
              <w:bottom w:val="single" w:sz="4" w:space="0" w:color="auto"/>
            </w:tcBorders>
            <w:vAlign w:val="bottom"/>
          </w:tcPr>
          <w:p w14:paraId="7E47EDE9" w14:textId="77777777" w:rsidR="00612783" w:rsidRPr="00DD19E6" w:rsidRDefault="00612783" w:rsidP="0028754C">
            <w:pPr>
              <w:pStyle w:val="Tabletext"/>
              <w:rPr>
                <w:snapToGrid w:val="0"/>
              </w:rPr>
            </w:pPr>
            <w:r w:rsidRPr="00295986">
              <w:t>0</w:t>
            </w:r>
            <w:r w:rsidR="00D7157D">
              <w:t>.</w:t>
            </w:r>
            <w:r w:rsidRPr="00295986">
              <w:t>695</w:t>
            </w:r>
          </w:p>
        </w:tc>
      </w:tr>
      <w:tr w:rsidR="00612783" w:rsidRPr="009E2595" w14:paraId="7B3BC48A" w14:textId="77777777" w:rsidTr="00143C85">
        <w:trPr>
          <w:trHeight w:val="245"/>
          <w:jc w:val="right"/>
        </w:trPr>
        <w:tc>
          <w:tcPr>
            <w:tcW w:w="1705" w:type="pct"/>
            <w:tcBorders>
              <w:top w:val="single" w:sz="4" w:space="0" w:color="auto"/>
              <w:bottom w:val="single" w:sz="4" w:space="0" w:color="auto"/>
            </w:tcBorders>
          </w:tcPr>
          <w:p w14:paraId="2ADD77ED" w14:textId="77777777" w:rsidR="00612783" w:rsidRPr="00616B26" w:rsidRDefault="00612783" w:rsidP="0028754C">
            <w:pPr>
              <w:pStyle w:val="Tabletext"/>
              <w:rPr>
                <w:snapToGrid w:val="0"/>
              </w:rPr>
            </w:pPr>
            <w:r w:rsidRPr="00616B26">
              <w:rPr>
                <w:snapToGrid w:val="0"/>
              </w:rPr>
              <w:t>46</w:t>
            </w:r>
          </w:p>
        </w:tc>
        <w:tc>
          <w:tcPr>
            <w:tcW w:w="1417" w:type="pct"/>
            <w:tcBorders>
              <w:top w:val="single" w:sz="4" w:space="0" w:color="auto"/>
              <w:bottom w:val="single" w:sz="4" w:space="0" w:color="auto"/>
            </w:tcBorders>
            <w:vAlign w:val="bottom"/>
          </w:tcPr>
          <w:p w14:paraId="0D4E8FE0" w14:textId="77777777" w:rsidR="00612783" w:rsidRPr="00DD19E6" w:rsidRDefault="00612783" w:rsidP="0028754C">
            <w:pPr>
              <w:pStyle w:val="Tabletext"/>
              <w:rPr>
                <w:snapToGrid w:val="0"/>
              </w:rPr>
            </w:pPr>
            <w:r w:rsidRPr="00295986">
              <w:t>1</w:t>
            </w:r>
            <w:r w:rsidR="00D7157D">
              <w:t>.</w:t>
            </w:r>
            <w:r w:rsidRPr="00295986">
              <w:t>870</w:t>
            </w:r>
          </w:p>
        </w:tc>
        <w:tc>
          <w:tcPr>
            <w:tcW w:w="1878" w:type="pct"/>
            <w:tcBorders>
              <w:top w:val="single" w:sz="4" w:space="0" w:color="auto"/>
              <w:bottom w:val="single" w:sz="4" w:space="0" w:color="auto"/>
            </w:tcBorders>
            <w:vAlign w:val="bottom"/>
          </w:tcPr>
          <w:p w14:paraId="19F23083" w14:textId="77777777" w:rsidR="00612783" w:rsidRPr="00DD19E6" w:rsidRDefault="00612783" w:rsidP="0028754C">
            <w:pPr>
              <w:pStyle w:val="Tabletext"/>
              <w:rPr>
                <w:snapToGrid w:val="0"/>
              </w:rPr>
            </w:pPr>
            <w:r w:rsidRPr="00295986">
              <w:t>0</w:t>
            </w:r>
            <w:r w:rsidR="00D7157D">
              <w:t>.</w:t>
            </w:r>
            <w:r w:rsidRPr="00295986">
              <w:t>636</w:t>
            </w:r>
          </w:p>
        </w:tc>
      </w:tr>
      <w:tr w:rsidR="00612783" w:rsidRPr="009E2595" w14:paraId="4AEA8EE2" w14:textId="77777777" w:rsidTr="00143C85">
        <w:trPr>
          <w:trHeight w:val="245"/>
          <w:jc w:val="right"/>
        </w:trPr>
        <w:tc>
          <w:tcPr>
            <w:tcW w:w="1705" w:type="pct"/>
            <w:tcBorders>
              <w:top w:val="single" w:sz="4" w:space="0" w:color="auto"/>
              <w:bottom w:val="single" w:sz="4" w:space="0" w:color="auto"/>
            </w:tcBorders>
          </w:tcPr>
          <w:p w14:paraId="3EEFCFC1" w14:textId="77777777" w:rsidR="00612783" w:rsidRPr="00616B26" w:rsidRDefault="00612783" w:rsidP="0028754C">
            <w:pPr>
              <w:pStyle w:val="Tabletext"/>
              <w:rPr>
                <w:snapToGrid w:val="0"/>
              </w:rPr>
            </w:pPr>
            <w:r w:rsidRPr="00616B26">
              <w:rPr>
                <w:snapToGrid w:val="0"/>
              </w:rPr>
              <w:t>47</w:t>
            </w:r>
          </w:p>
        </w:tc>
        <w:tc>
          <w:tcPr>
            <w:tcW w:w="1417" w:type="pct"/>
            <w:tcBorders>
              <w:top w:val="single" w:sz="4" w:space="0" w:color="auto"/>
              <w:bottom w:val="single" w:sz="4" w:space="0" w:color="auto"/>
            </w:tcBorders>
            <w:vAlign w:val="bottom"/>
          </w:tcPr>
          <w:p w14:paraId="1101EF11" w14:textId="77777777" w:rsidR="00612783" w:rsidRPr="00DD19E6" w:rsidRDefault="00612783" w:rsidP="0028754C">
            <w:pPr>
              <w:pStyle w:val="Tabletext"/>
              <w:rPr>
                <w:snapToGrid w:val="0"/>
              </w:rPr>
            </w:pPr>
            <w:r w:rsidRPr="00295986">
              <w:t>1</w:t>
            </w:r>
            <w:r w:rsidR="00D7157D">
              <w:t>.</w:t>
            </w:r>
            <w:r w:rsidRPr="00295986">
              <w:t>792</w:t>
            </w:r>
          </w:p>
        </w:tc>
        <w:tc>
          <w:tcPr>
            <w:tcW w:w="1878" w:type="pct"/>
            <w:tcBorders>
              <w:top w:val="single" w:sz="4" w:space="0" w:color="auto"/>
              <w:bottom w:val="single" w:sz="4" w:space="0" w:color="auto"/>
            </w:tcBorders>
            <w:vAlign w:val="bottom"/>
          </w:tcPr>
          <w:p w14:paraId="123D0B63" w14:textId="77777777" w:rsidR="00612783" w:rsidRPr="00DD19E6" w:rsidRDefault="00612783" w:rsidP="0028754C">
            <w:pPr>
              <w:pStyle w:val="Tabletext"/>
              <w:rPr>
                <w:snapToGrid w:val="0"/>
              </w:rPr>
            </w:pPr>
            <w:r w:rsidRPr="00295986">
              <w:t>0</w:t>
            </w:r>
            <w:r w:rsidR="00D7157D">
              <w:t>.</w:t>
            </w:r>
            <w:r w:rsidRPr="00295986">
              <w:t>576</w:t>
            </w:r>
          </w:p>
        </w:tc>
      </w:tr>
      <w:tr w:rsidR="00612783" w:rsidRPr="009E2595" w14:paraId="3F5B83B0" w14:textId="77777777" w:rsidTr="00143C85">
        <w:trPr>
          <w:trHeight w:val="245"/>
          <w:jc w:val="right"/>
        </w:trPr>
        <w:tc>
          <w:tcPr>
            <w:tcW w:w="1705" w:type="pct"/>
            <w:tcBorders>
              <w:top w:val="single" w:sz="4" w:space="0" w:color="auto"/>
              <w:bottom w:val="single" w:sz="4" w:space="0" w:color="auto"/>
            </w:tcBorders>
          </w:tcPr>
          <w:p w14:paraId="23785D9A" w14:textId="77777777" w:rsidR="00612783" w:rsidRPr="00616B26" w:rsidRDefault="00612783" w:rsidP="0028754C">
            <w:pPr>
              <w:pStyle w:val="Tabletext"/>
              <w:rPr>
                <w:snapToGrid w:val="0"/>
              </w:rPr>
            </w:pPr>
            <w:r w:rsidRPr="00616B26">
              <w:rPr>
                <w:snapToGrid w:val="0"/>
              </w:rPr>
              <w:t>48</w:t>
            </w:r>
          </w:p>
        </w:tc>
        <w:tc>
          <w:tcPr>
            <w:tcW w:w="1417" w:type="pct"/>
            <w:tcBorders>
              <w:top w:val="single" w:sz="4" w:space="0" w:color="auto"/>
              <w:bottom w:val="single" w:sz="4" w:space="0" w:color="auto"/>
            </w:tcBorders>
            <w:vAlign w:val="bottom"/>
          </w:tcPr>
          <w:p w14:paraId="5BABAD31" w14:textId="77777777" w:rsidR="00612783" w:rsidRPr="00DD19E6" w:rsidRDefault="00612783" w:rsidP="0028754C">
            <w:pPr>
              <w:pStyle w:val="Tabletext"/>
              <w:rPr>
                <w:snapToGrid w:val="0"/>
              </w:rPr>
            </w:pPr>
            <w:r w:rsidRPr="00295986">
              <w:t>1</w:t>
            </w:r>
            <w:r w:rsidR="00D7157D">
              <w:t>.</w:t>
            </w:r>
            <w:r w:rsidRPr="00295986">
              <w:t>714</w:t>
            </w:r>
          </w:p>
        </w:tc>
        <w:tc>
          <w:tcPr>
            <w:tcW w:w="1878" w:type="pct"/>
            <w:tcBorders>
              <w:top w:val="single" w:sz="4" w:space="0" w:color="auto"/>
              <w:bottom w:val="single" w:sz="4" w:space="0" w:color="auto"/>
            </w:tcBorders>
            <w:vAlign w:val="bottom"/>
          </w:tcPr>
          <w:p w14:paraId="64201F3E" w14:textId="77777777" w:rsidR="00612783" w:rsidRPr="00DD19E6" w:rsidRDefault="00612783" w:rsidP="0028754C">
            <w:pPr>
              <w:pStyle w:val="Tabletext"/>
              <w:rPr>
                <w:snapToGrid w:val="0"/>
              </w:rPr>
            </w:pPr>
            <w:r w:rsidRPr="00295986">
              <w:t>0</w:t>
            </w:r>
            <w:r w:rsidR="00D7157D">
              <w:t>.</w:t>
            </w:r>
            <w:r w:rsidRPr="00295986">
              <w:t>517</w:t>
            </w:r>
          </w:p>
        </w:tc>
      </w:tr>
      <w:tr w:rsidR="00612783" w:rsidRPr="009E2595" w14:paraId="3C281E1B" w14:textId="77777777" w:rsidTr="00143C85">
        <w:trPr>
          <w:trHeight w:val="245"/>
          <w:jc w:val="right"/>
        </w:trPr>
        <w:tc>
          <w:tcPr>
            <w:tcW w:w="1705" w:type="pct"/>
            <w:tcBorders>
              <w:top w:val="single" w:sz="4" w:space="0" w:color="auto"/>
              <w:bottom w:val="single" w:sz="4" w:space="0" w:color="auto"/>
            </w:tcBorders>
          </w:tcPr>
          <w:p w14:paraId="34D7BB93" w14:textId="77777777" w:rsidR="00612783" w:rsidRPr="00616B26" w:rsidRDefault="00612783" w:rsidP="0028754C">
            <w:pPr>
              <w:pStyle w:val="Tabletext"/>
              <w:rPr>
                <w:snapToGrid w:val="0"/>
              </w:rPr>
            </w:pPr>
            <w:r w:rsidRPr="00616B26">
              <w:rPr>
                <w:snapToGrid w:val="0"/>
              </w:rPr>
              <w:t>49</w:t>
            </w:r>
          </w:p>
        </w:tc>
        <w:tc>
          <w:tcPr>
            <w:tcW w:w="1417" w:type="pct"/>
            <w:tcBorders>
              <w:top w:val="single" w:sz="4" w:space="0" w:color="auto"/>
              <w:bottom w:val="single" w:sz="4" w:space="0" w:color="auto"/>
            </w:tcBorders>
            <w:vAlign w:val="bottom"/>
          </w:tcPr>
          <w:p w14:paraId="5343B890" w14:textId="77777777" w:rsidR="00612783" w:rsidRPr="00DD19E6" w:rsidRDefault="00612783" w:rsidP="0028754C">
            <w:pPr>
              <w:pStyle w:val="Tabletext"/>
              <w:rPr>
                <w:snapToGrid w:val="0"/>
              </w:rPr>
            </w:pPr>
            <w:r w:rsidRPr="00295986">
              <w:t>1</w:t>
            </w:r>
            <w:r w:rsidR="00D7157D">
              <w:t>.</w:t>
            </w:r>
            <w:r w:rsidRPr="00295986">
              <w:t>636</w:t>
            </w:r>
          </w:p>
        </w:tc>
        <w:tc>
          <w:tcPr>
            <w:tcW w:w="1878" w:type="pct"/>
            <w:tcBorders>
              <w:top w:val="single" w:sz="4" w:space="0" w:color="auto"/>
              <w:bottom w:val="single" w:sz="4" w:space="0" w:color="auto"/>
            </w:tcBorders>
            <w:vAlign w:val="bottom"/>
          </w:tcPr>
          <w:p w14:paraId="680C550F" w14:textId="77777777" w:rsidR="00612783" w:rsidRPr="00DD19E6" w:rsidRDefault="00612783" w:rsidP="0028754C">
            <w:pPr>
              <w:pStyle w:val="Tabletext"/>
              <w:rPr>
                <w:snapToGrid w:val="0"/>
              </w:rPr>
            </w:pPr>
            <w:r w:rsidRPr="00295986">
              <w:t>0</w:t>
            </w:r>
            <w:r w:rsidR="00D7157D">
              <w:t>.</w:t>
            </w:r>
            <w:r w:rsidRPr="00295986">
              <w:t>457</w:t>
            </w:r>
          </w:p>
        </w:tc>
      </w:tr>
      <w:tr w:rsidR="00612783" w:rsidRPr="009E2595" w14:paraId="113D8D7F" w14:textId="77777777" w:rsidTr="00143C85">
        <w:trPr>
          <w:trHeight w:val="245"/>
          <w:jc w:val="right"/>
        </w:trPr>
        <w:tc>
          <w:tcPr>
            <w:tcW w:w="1705" w:type="pct"/>
            <w:tcBorders>
              <w:top w:val="single" w:sz="4" w:space="0" w:color="auto"/>
              <w:bottom w:val="single" w:sz="4" w:space="0" w:color="auto"/>
            </w:tcBorders>
          </w:tcPr>
          <w:p w14:paraId="6A17BCBC" w14:textId="77777777" w:rsidR="00612783" w:rsidRPr="00616B26" w:rsidRDefault="00612783" w:rsidP="0028754C">
            <w:pPr>
              <w:pStyle w:val="Tabletext"/>
              <w:rPr>
                <w:snapToGrid w:val="0"/>
              </w:rPr>
            </w:pPr>
            <w:r w:rsidRPr="00616B26">
              <w:rPr>
                <w:snapToGrid w:val="0"/>
              </w:rPr>
              <w:t>50</w:t>
            </w:r>
          </w:p>
        </w:tc>
        <w:tc>
          <w:tcPr>
            <w:tcW w:w="1417" w:type="pct"/>
            <w:tcBorders>
              <w:top w:val="single" w:sz="4" w:space="0" w:color="auto"/>
              <w:bottom w:val="single" w:sz="4" w:space="0" w:color="auto"/>
            </w:tcBorders>
            <w:vAlign w:val="bottom"/>
          </w:tcPr>
          <w:p w14:paraId="2BB06AB7" w14:textId="77777777" w:rsidR="00612783" w:rsidRPr="00DD19E6" w:rsidRDefault="00612783" w:rsidP="0028754C">
            <w:pPr>
              <w:pStyle w:val="Tabletext"/>
              <w:rPr>
                <w:snapToGrid w:val="0"/>
              </w:rPr>
            </w:pPr>
            <w:r w:rsidRPr="00295986">
              <w:t>1</w:t>
            </w:r>
            <w:r w:rsidR="00D7157D">
              <w:t>.</w:t>
            </w:r>
            <w:r w:rsidRPr="00295986">
              <w:t>558</w:t>
            </w:r>
          </w:p>
        </w:tc>
        <w:tc>
          <w:tcPr>
            <w:tcW w:w="1878" w:type="pct"/>
            <w:tcBorders>
              <w:top w:val="single" w:sz="4" w:space="0" w:color="auto"/>
              <w:bottom w:val="single" w:sz="4" w:space="0" w:color="auto"/>
            </w:tcBorders>
            <w:vAlign w:val="bottom"/>
          </w:tcPr>
          <w:p w14:paraId="29FAAFF8" w14:textId="77777777" w:rsidR="00612783" w:rsidRPr="00DD19E6" w:rsidRDefault="00612783" w:rsidP="0028754C">
            <w:pPr>
              <w:pStyle w:val="Tabletext"/>
              <w:rPr>
                <w:snapToGrid w:val="0"/>
              </w:rPr>
            </w:pPr>
            <w:r w:rsidRPr="00295986">
              <w:t>0</w:t>
            </w:r>
            <w:r w:rsidR="00D7157D">
              <w:t>.</w:t>
            </w:r>
            <w:r w:rsidRPr="00295986">
              <w:t>397</w:t>
            </w:r>
          </w:p>
        </w:tc>
      </w:tr>
      <w:tr w:rsidR="00612783" w:rsidRPr="009E2595" w14:paraId="758CBBC9" w14:textId="77777777" w:rsidTr="00143C85">
        <w:trPr>
          <w:trHeight w:val="245"/>
          <w:jc w:val="right"/>
        </w:trPr>
        <w:tc>
          <w:tcPr>
            <w:tcW w:w="1705" w:type="pct"/>
            <w:tcBorders>
              <w:top w:val="single" w:sz="4" w:space="0" w:color="auto"/>
              <w:bottom w:val="single" w:sz="4" w:space="0" w:color="auto"/>
            </w:tcBorders>
          </w:tcPr>
          <w:p w14:paraId="0169F0CC" w14:textId="77777777" w:rsidR="00612783" w:rsidRPr="00616B26" w:rsidRDefault="00612783" w:rsidP="0028754C">
            <w:pPr>
              <w:pStyle w:val="Tabletext"/>
              <w:rPr>
                <w:snapToGrid w:val="0"/>
              </w:rPr>
            </w:pPr>
            <w:r w:rsidRPr="00616B26">
              <w:rPr>
                <w:snapToGrid w:val="0"/>
              </w:rPr>
              <w:t>51</w:t>
            </w:r>
          </w:p>
        </w:tc>
        <w:tc>
          <w:tcPr>
            <w:tcW w:w="1417" w:type="pct"/>
            <w:tcBorders>
              <w:top w:val="single" w:sz="4" w:space="0" w:color="auto"/>
              <w:bottom w:val="single" w:sz="4" w:space="0" w:color="auto"/>
            </w:tcBorders>
            <w:vAlign w:val="bottom"/>
          </w:tcPr>
          <w:p w14:paraId="5847634D" w14:textId="77777777" w:rsidR="00612783" w:rsidRPr="00DD19E6" w:rsidRDefault="00612783" w:rsidP="0028754C">
            <w:pPr>
              <w:pStyle w:val="Tabletext"/>
              <w:rPr>
                <w:snapToGrid w:val="0"/>
              </w:rPr>
            </w:pPr>
            <w:r w:rsidRPr="00295986">
              <w:t>1</w:t>
            </w:r>
            <w:r w:rsidR="00D7157D">
              <w:t>.</w:t>
            </w:r>
            <w:r w:rsidRPr="00295986">
              <w:t>325</w:t>
            </w:r>
          </w:p>
        </w:tc>
        <w:tc>
          <w:tcPr>
            <w:tcW w:w="1878" w:type="pct"/>
            <w:tcBorders>
              <w:top w:val="single" w:sz="4" w:space="0" w:color="auto"/>
              <w:bottom w:val="single" w:sz="4" w:space="0" w:color="auto"/>
            </w:tcBorders>
            <w:vAlign w:val="bottom"/>
          </w:tcPr>
          <w:p w14:paraId="45B96CB8" w14:textId="77777777" w:rsidR="00612783" w:rsidRPr="00DD19E6" w:rsidRDefault="00612783" w:rsidP="0028754C">
            <w:pPr>
              <w:pStyle w:val="Tabletext"/>
              <w:rPr>
                <w:snapToGrid w:val="0"/>
              </w:rPr>
            </w:pPr>
            <w:r w:rsidRPr="00295986">
              <w:t>0</w:t>
            </w:r>
            <w:r w:rsidR="00D7157D">
              <w:t>.</w:t>
            </w:r>
            <w:r w:rsidRPr="00295986">
              <w:t>338</w:t>
            </w:r>
          </w:p>
        </w:tc>
      </w:tr>
      <w:tr w:rsidR="00612783" w:rsidRPr="009E2595" w14:paraId="0DE55F8F" w14:textId="77777777" w:rsidTr="00143C85">
        <w:trPr>
          <w:trHeight w:val="245"/>
          <w:jc w:val="right"/>
        </w:trPr>
        <w:tc>
          <w:tcPr>
            <w:tcW w:w="1705" w:type="pct"/>
            <w:tcBorders>
              <w:top w:val="single" w:sz="4" w:space="0" w:color="auto"/>
              <w:bottom w:val="single" w:sz="4" w:space="0" w:color="auto"/>
            </w:tcBorders>
          </w:tcPr>
          <w:p w14:paraId="330D1245" w14:textId="77777777" w:rsidR="00612783" w:rsidRPr="00616B26" w:rsidRDefault="00612783" w:rsidP="0028754C">
            <w:pPr>
              <w:pStyle w:val="Tabletext"/>
              <w:rPr>
                <w:snapToGrid w:val="0"/>
              </w:rPr>
            </w:pPr>
            <w:r w:rsidRPr="00616B26">
              <w:rPr>
                <w:snapToGrid w:val="0"/>
              </w:rPr>
              <w:t>52</w:t>
            </w:r>
          </w:p>
        </w:tc>
        <w:tc>
          <w:tcPr>
            <w:tcW w:w="1417" w:type="pct"/>
            <w:tcBorders>
              <w:top w:val="single" w:sz="4" w:space="0" w:color="auto"/>
              <w:bottom w:val="single" w:sz="4" w:space="0" w:color="auto"/>
            </w:tcBorders>
            <w:vAlign w:val="bottom"/>
          </w:tcPr>
          <w:p w14:paraId="1782AB79" w14:textId="77777777" w:rsidR="00612783" w:rsidRPr="00DD19E6" w:rsidRDefault="00612783" w:rsidP="0028754C">
            <w:pPr>
              <w:pStyle w:val="Tabletext"/>
              <w:rPr>
                <w:snapToGrid w:val="0"/>
              </w:rPr>
            </w:pPr>
            <w:r w:rsidRPr="00295986">
              <w:t>1</w:t>
            </w:r>
            <w:r w:rsidR="00D7157D">
              <w:t>.</w:t>
            </w:r>
            <w:r w:rsidRPr="00295986">
              <w:t>091</w:t>
            </w:r>
          </w:p>
        </w:tc>
        <w:tc>
          <w:tcPr>
            <w:tcW w:w="1878" w:type="pct"/>
            <w:tcBorders>
              <w:top w:val="single" w:sz="4" w:space="0" w:color="auto"/>
              <w:bottom w:val="single" w:sz="4" w:space="0" w:color="auto"/>
            </w:tcBorders>
            <w:vAlign w:val="bottom"/>
          </w:tcPr>
          <w:p w14:paraId="0AF90299" w14:textId="77777777" w:rsidR="00612783" w:rsidRPr="00DD19E6" w:rsidRDefault="00612783" w:rsidP="0028754C">
            <w:pPr>
              <w:pStyle w:val="Tabletext"/>
              <w:rPr>
                <w:snapToGrid w:val="0"/>
              </w:rPr>
            </w:pPr>
            <w:r w:rsidRPr="00295986">
              <w:t>0</w:t>
            </w:r>
            <w:r w:rsidR="00D7157D">
              <w:t>.</w:t>
            </w:r>
            <w:r w:rsidRPr="00295986">
              <w:t>278</w:t>
            </w:r>
          </w:p>
        </w:tc>
      </w:tr>
      <w:tr w:rsidR="00612783" w:rsidRPr="009E2595" w14:paraId="1F492916" w14:textId="77777777" w:rsidTr="00143C85">
        <w:trPr>
          <w:trHeight w:val="245"/>
          <w:jc w:val="right"/>
        </w:trPr>
        <w:tc>
          <w:tcPr>
            <w:tcW w:w="1705" w:type="pct"/>
            <w:tcBorders>
              <w:top w:val="single" w:sz="4" w:space="0" w:color="auto"/>
              <w:bottom w:val="single" w:sz="4" w:space="0" w:color="auto"/>
            </w:tcBorders>
          </w:tcPr>
          <w:p w14:paraId="338F985D" w14:textId="77777777" w:rsidR="00612783" w:rsidRPr="00616B26" w:rsidRDefault="00612783" w:rsidP="0028754C">
            <w:pPr>
              <w:pStyle w:val="Tabletext"/>
              <w:rPr>
                <w:snapToGrid w:val="0"/>
              </w:rPr>
            </w:pPr>
            <w:r w:rsidRPr="00616B26">
              <w:rPr>
                <w:snapToGrid w:val="0"/>
              </w:rPr>
              <w:t>53</w:t>
            </w:r>
          </w:p>
        </w:tc>
        <w:tc>
          <w:tcPr>
            <w:tcW w:w="1417" w:type="pct"/>
            <w:tcBorders>
              <w:top w:val="single" w:sz="4" w:space="0" w:color="auto"/>
              <w:bottom w:val="single" w:sz="4" w:space="0" w:color="auto"/>
            </w:tcBorders>
            <w:vAlign w:val="bottom"/>
          </w:tcPr>
          <w:p w14:paraId="26D4F018" w14:textId="77777777" w:rsidR="00612783" w:rsidRPr="00DD19E6" w:rsidRDefault="00612783" w:rsidP="0028754C">
            <w:pPr>
              <w:pStyle w:val="Tabletext"/>
              <w:rPr>
                <w:snapToGrid w:val="0"/>
              </w:rPr>
            </w:pPr>
            <w:r w:rsidRPr="00295986">
              <w:t>0</w:t>
            </w:r>
            <w:r w:rsidR="00D7157D">
              <w:t>.</w:t>
            </w:r>
            <w:r w:rsidRPr="00295986">
              <w:t>857</w:t>
            </w:r>
          </w:p>
        </w:tc>
        <w:tc>
          <w:tcPr>
            <w:tcW w:w="1878" w:type="pct"/>
            <w:tcBorders>
              <w:top w:val="single" w:sz="4" w:space="0" w:color="auto"/>
              <w:bottom w:val="single" w:sz="4" w:space="0" w:color="auto"/>
            </w:tcBorders>
            <w:vAlign w:val="bottom"/>
          </w:tcPr>
          <w:p w14:paraId="520B870F" w14:textId="77777777" w:rsidR="00612783" w:rsidRPr="00DD19E6" w:rsidRDefault="00612783" w:rsidP="0028754C">
            <w:pPr>
              <w:pStyle w:val="Tabletext"/>
              <w:rPr>
                <w:snapToGrid w:val="0"/>
              </w:rPr>
            </w:pPr>
            <w:r w:rsidRPr="00295986">
              <w:t>0</w:t>
            </w:r>
            <w:r w:rsidR="00D7157D">
              <w:t>.</w:t>
            </w:r>
            <w:r w:rsidRPr="00295986">
              <w:t>219</w:t>
            </w:r>
          </w:p>
        </w:tc>
      </w:tr>
      <w:tr w:rsidR="00612783" w:rsidRPr="009E2595" w14:paraId="5F1A8CBA" w14:textId="77777777" w:rsidTr="00143C85">
        <w:trPr>
          <w:trHeight w:val="245"/>
          <w:jc w:val="right"/>
        </w:trPr>
        <w:tc>
          <w:tcPr>
            <w:tcW w:w="1705" w:type="pct"/>
            <w:tcBorders>
              <w:top w:val="single" w:sz="4" w:space="0" w:color="auto"/>
              <w:bottom w:val="single" w:sz="4" w:space="0" w:color="auto"/>
            </w:tcBorders>
          </w:tcPr>
          <w:p w14:paraId="54B9F447" w14:textId="77777777" w:rsidR="00612783" w:rsidRPr="00616B26" w:rsidRDefault="00612783" w:rsidP="0028754C">
            <w:pPr>
              <w:pStyle w:val="Tabletext"/>
              <w:rPr>
                <w:snapToGrid w:val="0"/>
              </w:rPr>
            </w:pPr>
            <w:r w:rsidRPr="00616B26">
              <w:rPr>
                <w:snapToGrid w:val="0"/>
              </w:rPr>
              <w:t>54</w:t>
            </w:r>
          </w:p>
        </w:tc>
        <w:tc>
          <w:tcPr>
            <w:tcW w:w="1417" w:type="pct"/>
            <w:tcBorders>
              <w:top w:val="single" w:sz="4" w:space="0" w:color="auto"/>
              <w:bottom w:val="single" w:sz="4" w:space="0" w:color="auto"/>
            </w:tcBorders>
            <w:vAlign w:val="bottom"/>
          </w:tcPr>
          <w:p w14:paraId="7CDD25F9" w14:textId="77777777" w:rsidR="00612783" w:rsidRPr="00DD19E6" w:rsidRDefault="00612783" w:rsidP="0028754C">
            <w:pPr>
              <w:pStyle w:val="Tabletext"/>
              <w:rPr>
                <w:snapToGrid w:val="0"/>
              </w:rPr>
            </w:pPr>
            <w:r w:rsidRPr="00295986">
              <w:t>0</w:t>
            </w:r>
            <w:r w:rsidR="00D7157D">
              <w:t>.</w:t>
            </w:r>
            <w:r w:rsidRPr="00295986">
              <w:t>623</w:t>
            </w:r>
          </w:p>
        </w:tc>
        <w:tc>
          <w:tcPr>
            <w:tcW w:w="1878" w:type="pct"/>
            <w:tcBorders>
              <w:top w:val="single" w:sz="4" w:space="0" w:color="auto"/>
              <w:bottom w:val="single" w:sz="4" w:space="0" w:color="auto"/>
            </w:tcBorders>
            <w:vAlign w:val="bottom"/>
          </w:tcPr>
          <w:p w14:paraId="4B06CE06" w14:textId="77777777" w:rsidR="00612783" w:rsidRPr="00DD19E6" w:rsidRDefault="00612783" w:rsidP="0028754C">
            <w:pPr>
              <w:pStyle w:val="Tabletext"/>
              <w:rPr>
                <w:snapToGrid w:val="0"/>
              </w:rPr>
            </w:pPr>
            <w:r w:rsidRPr="00295986">
              <w:t>0</w:t>
            </w:r>
            <w:r w:rsidR="00D7157D">
              <w:t>.</w:t>
            </w:r>
            <w:r w:rsidRPr="00295986">
              <w:t>159</w:t>
            </w:r>
          </w:p>
        </w:tc>
      </w:tr>
      <w:tr w:rsidR="00612783" w:rsidRPr="009E2595" w14:paraId="7C9C7A05" w14:textId="77777777" w:rsidTr="00143C85">
        <w:trPr>
          <w:trHeight w:val="245"/>
          <w:jc w:val="right"/>
        </w:trPr>
        <w:tc>
          <w:tcPr>
            <w:tcW w:w="1705" w:type="pct"/>
            <w:tcBorders>
              <w:top w:val="single" w:sz="4" w:space="0" w:color="auto"/>
              <w:bottom w:val="single" w:sz="12" w:space="0" w:color="auto"/>
            </w:tcBorders>
          </w:tcPr>
          <w:p w14:paraId="18959F87" w14:textId="77777777" w:rsidR="00612783" w:rsidRPr="00616B26" w:rsidRDefault="00612783" w:rsidP="0028754C">
            <w:pPr>
              <w:pStyle w:val="Tabletext"/>
              <w:rPr>
                <w:snapToGrid w:val="0"/>
              </w:rPr>
            </w:pPr>
            <w:r w:rsidRPr="00616B26">
              <w:rPr>
                <w:snapToGrid w:val="0"/>
              </w:rPr>
              <w:t>55 and over</w:t>
            </w:r>
          </w:p>
        </w:tc>
        <w:tc>
          <w:tcPr>
            <w:tcW w:w="1417" w:type="pct"/>
            <w:tcBorders>
              <w:top w:val="single" w:sz="4" w:space="0" w:color="auto"/>
              <w:bottom w:val="single" w:sz="12" w:space="0" w:color="auto"/>
            </w:tcBorders>
            <w:vAlign w:val="bottom"/>
          </w:tcPr>
          <w:p w14:paraId="3F15BD5C" w14:textId="77777777" w:rsidR="00612783" w:rsidRPr="00DD19E6" w:rsidRDefault="00612783" w:rsidP="0028754C">
            <w:pPr>
              <w:pStyle w:val="Tabletext"/>
              <w:rPr>
                <w:snapToGrid w:val="0"/>
              </w:rPr>
            </w:pPr>
            <w:r w:rsidRPr="00295986">
              <w:t>0</w:t>
            </w:r>
            <w:r w:rsidR="00D7157D">
              <w:t>.</w:t>
            </w:r>
            <w:r w:rsidRPr="00295986">
              <w:t>390</w:t>
            </w:r>
          </w:p>
        </w:tc>
        <w:tc>
          <w:tcPr>
            <w:tcW w:w="1878" w:type="pct"/>
            <w:tcBorders>
              <w:top w:val="single" w:sz="4" w:space="0" w:color="auto"/>
              <w:bottom w:val="single" w:sz="12" w:space="0" w:color="auto"/>
            </w:tcBorders>
            <w:vAlign w:val="bottom"/>
          </w:tcPr>
          <w:p w14:paraId="400E388E" w14:textId="77777777" w:rsidR="00612783" w:rsidRPr="00DD19E6" w:rsidRDefault="00612783" w:rsidP="0028754C">
            <w:pPr>
              <w:pStyle w:val="Tabletext"/>
              <w:rPr>
                <w:snapToGrid w:val="0"/>
              </w:rPr>
            </w:pPr>
            <w:r w:rsidRPr="00295986">
              <w:t>0</w:t>
            </w:r>
            <w:r w:rsidR="00D7157D">
              <w:t>.</w:t>
            </w:r>
            <w:r w:rsidRPr="00295986">
              <w:t>099</w:t>
            </w:r>
          </w:p>
        </w:tc>
      </w:tr>
    </w:tbl>
    <w:p w14:paraId="1A021B3D" w14:textId="411ABAC3" w:rsidR="006E3A5E" w:rsidRPr="00A058B6" w:rsidRDefault="00D7157D" w:rsidP="006E3A5E">
      <w:pPr>
        <w:pStyle w:val="ActHead5"/>
      </w:pPr>
      <w:bookmarkStart w:id="268" w:name="_Toc188350746"/>
      <w:r w:rsidRPr="00423C34">
        <w:rPr>
          <w:rStyle w:val="CharSectno"/>
        </w:rPr>
        <w:t>30</w:t>
      </w:r>
      <w:r w:rsidR="006E3A5E" w:rsidRPr="00531E05">
        <w:t xml:space="preserve">  Valuation factors—10</w:t>
      </w:r>
      <w:r w:rsidR="001952B3">
        <w:noBreakHyphen/>
      </w:r>
      <w:r w:rsidR="006E3A5E" w:rsidRPr="00531E05">
        <w:t>year guarantee period—wage indexed pension</w:t>
      </w:r>
      <w:bookmarkEnd w:id="268"/>
    </w:p>
    <w:p w14:paraId="5DDBABBB" w14:textId="77777777" w:rsidR="006E3A5E" w:rsidRPr="00A058B6" w:rsidRDefault="006E3A5E" w:rsidP="006E3A5E">
      <w:pPr>
        <w:pStyle w:val="subsection"/>
      </w:pPr>
      <w:r w:rsidRPr="00A058B6">
        <w:tab/>
      </w:r>
      <w:r w:rsidRPr="00A058B6">
        <w:tab/>
        <w:t>The pension valuation factors and reversion valuation factors set out in this clause apply if the pension:</w:t>
      </w:r>
    </w:p>
    <w:p w14:paraId="4F580418" w14:textId="6F89254B" w:rsidR="006E3A5E" w:rsidRPr="00A058B6" w:rsidRDefault="006E3A5E" w:rsidP="006E3A5E">
      <w:pPr>
        <w:pStyle w:val="paragraph"/>
      </w:pPr>
      <w:r w:rsidRPr="00A058B6">
        <w:tab/>
        <w:t>(a)</w:t>
      </w:r>
      <w:r w:rsidRPr="00A058B6">
        <w:tab/>
        <w:t>has a 10</w:t>
      </w:r>
      <w:r w:rsidR="001952B3">
        <w:noBreakHyphen/>
      </w:r>
      <w:r w:rsidRPr="00A058B6">
        <w:t>year guarantee period; and</w:t>
      </w:r>
    </w:p>
    <w:p w14:paraId="7EA1DA6A" w14:textId="77777777" w:rsidR="006E3A5E" w:rsidRPr="00A058B6" w:rsidRDefault="006E3A5E" w:rsidP="005C0F45">
      <w:pPr>
        <w:pStyle w:val="paragraph"/>
      </w:pPr>
      <w:r w:rsidRPr="00A058B6">
        <w:tab/>
        <w:t>(b)</w:t>
      </w:r>
      <w:r w:rsidRPr="00A058B6">
        <w:tab/>
        <w:t>is indexed in accordance with</w:t>
      </w:r>
      <w:r w:rsidR="005C0F45">
        <w:t xml:space="preserve"> </w:t>
      </w:r>
      <w:r>
        <w:t xml:space="preserve">a </w:t>
      </w:r>
      <w:r w:rsidRPr="00A058B6">
        <w:t>general wage index (for example, average weekly earnings, or average weekly ordinary time earnings, published by the Australian Bureau of Statistics)</w:t>
      </w:r>
      <w:r w:rsidR="00D7157D">
        <w:t>.</w:t>
      </w:r>
    </w:p>
    <w:p w14:paraId="22452293" w14:textId="77777777" w:rsidR="006E3A5E" w:rsidRPr="00A058B6" w:rsidRDefault="006E3A5E" w:rsidP="006E3A5E">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E3A5E" w:rsidRPr="00A058B6" w14:paraId="75DCC8AA" w14:textId="77777777" w:rsidTr="005B61BB">
        <w:trPr>
          <w:cantSplit/>
          <w:trHeight w:val="375"/>
          <w:tblHeader/>
          <w:jc w:val="right"/>
        </w:trPr>
        <w:tc>
          <w:tcPr>
            <w:tcW w:w="1705" w:type="pct"/>
            <w:vMerge w:val="restart"/>
            <w:tcBorders>
              <w:top w:val="single" w:sz="12" w:space="0" w:color="auto"/>
              <w:bottom w:val="single" w:sz="12" w:space="0" w:color="auto"/>
            </w:tcBorders>
          </w:tcPr>
          <w:p w14:paraId="514C23DD" w14:textId="77777777" w:rsidR="006E3A5E" w:rsidRPr="00A058B6" w:rsidRDefault="006E3A5E" w:rsidP="005B61BB">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7108B38B" w14:textId="79FF0343" w:rsidR="006E3A5E" w:rsidRPr="00A058B6" w:rsidRDefault="006E3A5E" w:rsidP="005B61BB">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period—wage indexed pension</w:t>
            </w:r>
          </w:p>
        </w:tc>
      </w:tr>
      <w:tr w:rsidR="006E3A5E" w:rsidRPr="00A058B6" w14:paraId="2BE5BB34" w14:textId="77777777" w:rsidTr="005B61BB">
        <w:trPr>
          <w:cantSplit/>
          <w:trHeight w:val="60"/>
          <w:tblHeader/>
          <w:jc w:val="right"/>
        </w:trPr>
        <w:tc>
          <w:tcPr>
            <w:tcW w:w="1705" w:type="pct"/>
            <w:vMerge/>
            <w:tcBorders>
              <w:bottom w:val="single" w:sz="12" w:space="0" w:color="auto"/>
            </w:tcBorders>
            <w:vAlign w:val="bottom"/>
          </w:tcPr>
          <w:p w14:paraId="320B14A0" w14:textId="77777777" w:rsidR="006E3A5E" w:rsidRPr="00A058B6" w:rsidRDefault="006E3A5E" w:rsidP="005B61BB">
            <w:pPr>
              <w:pStyle w:val="TableHeading"/>
              <w:rPr>
                <w:snapToGrid w:val="0"/>
              </w:rPr>
            </w:pPr>
          </w:p>
        </w:tc>
        <w:tc>
          <w:tcPr>
            <w:tcW w:w="1429" w:type="pct"/>
            <w:tcBorders>
              <w:top w:val="single" w:sz="4" w:space="0" w:color="auto"/>
              <w:bottom w:val="single" w:sz="12" w:space="0" w:color="auto"/>
            </w:tcBorders>
            <w:vAlign w:val="bottom"/>
          </w:tcPr>
          <w:p w14:paraId="6E230322" w14:textId="77777777" w:rsidR="006E3A5E" w:rsidRPr="00A058B6" w:rsidRDefault="006E3A5E" w:rsidP="005B61BB">
            <w:pPr>
              <w:pStyle w:val="TableHeading"/>
              <w:rPr>
                <w:snapToGrid w:val="0"/>
              </w:rPr>
            </w:pPr>
            <w:r w:rsidRPr="00A058B6">
              <w:rPr>
                <w:snapToGrid w:val="0"/>
              </w:rPr>
              <w:t>Male</w:t>
            </w:r>
          </w:p>
        </w:tc>
        <w:tc>
          <w:tcPr>
            <w:tcW w:w="1866" w:type="pct"/>
            <w:tcBorders>
              <w:top w:val="single" w:sz="4" w:space="0" w:color="auto"/>
              <w:bottom w:val="single" w:sz="12" w:space="0" w:color="auto"/>
            </w:tcBorders>
            <w:vAlign w:val="bottom"/>
          </w:tcPr>
          <w:p w14:paraId="503C145B" w14:textId="77777777" w:rsidR="006E3A5E" w:rsidRPr="00A058B6" w:rsidRDefault="006E3A5E" w:rsidP="005B61BB">
            <w:pPr>
              <w:pStyle w:val="TableHeading"/>
              <w:rPr>
                <w:snapToGrid w:val="0"/>
              </w:rPr>
            </w:pPr>
            <w:r w:rsidRPr="00A058B6">
              <w:rPr>
                <w:snapToGrid w:val="0"/>
              </w:rPr>
              <w:t>Female</w:t>
            </w:r>
          </w:p>
        </w:tc>
      </w:tr>
      <w:tr w:rsidR="00C01716" w:rsidRPr="009E2595" w14:paraId="0F83646E" w14:textId="77777777" w:rsidTr="005B61BB">
        <w:trPr>
          <w:trHeight w:val="245"/>
          <w:jc w:val="right"/>
        </w:trPr>
        <w:tc>
          <w:tcPr>
            <w:tcW w:w="1705" w:type="pct"/>
            <w:tcBorders>
              <w:top w:val="single" w:sz="12" w:space="0" w:color="auto"/>
              <w:bottom w:val="single" w:sz="4" w:space="0" w:color="auto"/>
            </w:tcBorders>
          </w:tcPr>
          <w:p w14:paraId="274B930F" w14:textId="77777777" w:rsidR="00C01716" w:rsidRPr="009B1322" w:rsidRDefault="00C01716" w:rsidP="00C01716">
            <w:pPr>
              <w:pStyle w:val="Tabletext"/>
              <w:rPr>
                <w:snapToGrid w:val="0"/>
              </w:rPr>
            </w:pPr>
            <w:r w:rsidRPr="009B1322">
              <w:rPr>
                <w:snapToGrid w:val="0"/>
              </w:rPr>
              <w:t>55</w:t>
            </w:r>
          </w:p>
        </w:tc>
        <w:tc>
          <w:tcPr>
            <w:tcW w:w="1429" w:type="pct"/>
            <w:tcBorders>
              <w:top w:val="single" w:sz="12" w:space="0" w:color="auto"/>
              <w:bottom w:val="single" w:sz="4" w:space="0" w:color="auto"/>
            </w:tcBorders>
            <w:vAlign w:val="bottom"/>
          </w:tcPr>
          <w:p w14:paraId="19555FC6" w14:textId="77777777" w:rsidR="00C01716" w:rsidRPr="00C01716" w:rsidRDefault="00C01716" w:rsidP="00C01716">
            <w:pPr>
              <w:pStyle w:val="Tabletext"/>
              <w:rPr>
                <w:snapToGrid w:val="0"/>
                <w:color w:val="000000" w:themeColor="text1"/>
              </w:rPr>
            </w:pPr>
            <w:r w:rsidRPr="00C01716">
              <w:rPr>
                <w:color w:val="000000" w:themeColor="text1"/>
              </w:rPr>
              <w:t>23</w:t>
            </w:r>
            <w:r w:rsidR="00D7157D">
              <w:rPr>
                <w:color w:val="000000" w:themeColor="text1"/>
              </w:rPr>
              <w:t>.</w:t>
            </w:r>
            <w:r w:rsidRPr="00C01716">
              <w:rPr>
                <w:color w:val="000000" w:themeColor="text1"/>
              </w:rPr>
              <w:t>5663</w:t>
            </w:r>
          </w:p>
        </w:tc>
        <w:tc>
          <w:tcPr>
            <w:tcW w:w="1866" w:type="pct"/>
            <w:tcBorders>
              <w:top w:val="single" w:sz="12" w:space="0" w:color="auto"/>
              <w:bottom w:val="single" w:sz="4" w:space="0" w:color="auto"/>
            </w:tcBorders>
            <w:vAlign w:val="center"/>
          </w:tcPr>
          <w:p w14:paraId="7B47E0AE" w14:textId="77777777" w:rsidR="00C01716" w:rsidRPr="00C01716" w:rsidRDefault="00C01716" w:rsidP="00C01716">
            <w:pPr>
              <w:pStyle w:val="Tabletext"/>
              <w:rPr>
                <w:snapToGrid w:val="0"/>
                <w:color w:val="000000" w:themeColor="text1"/>
              </w:rPr>
            </w:pPr>
            <w:r w:rsidRPr="00C01716">
              <w:rPr>
                <w:color w:val="000000" w:themeColor="text1"/>
              </w:rPr>
              <w:t>24</w:t>
            </w:r>
            <w:r w:rsidR="00D7157D">
              <w:rPr>
                <w:color w:val="000000" w:themeColor="text1"/>
              </w:rPr>
              <w:t>.</w:t>
            </w:r>
            <w:r w:rsidRPr="00C01716">
              <w:rPr>
                <w:color w:val="000000" w:themeColor="text1"/>
              </w:rPr>
              <w:t>7180</w:t>
            </w:r>
          </w:p>
        </w:tc>
      </w:tr>
      <w:tr w:rsidR="00C01716" w:rsidRPr="009E2595" w14:paraId="15F93CA5" w14:textId="77777777" w:rsidTr="005B61BB">
        <w:trPr>
          <w:trHeight w:val="245"/>
          <w:jc w:val="right"/>
        </w:trPr>
        <w:tc>
          <w:tcPr>
            <w:tcW w:w="1705" w:type="pct"/>
            <w:tcBorders>
              <w:top w:val="single" w:sz="4" w:space="0" w:color="auto"/>
              <w:bottom w:val="single" w:sz="4" w:space="0" w:color="auto"/>
            </w:tcBorders>
          </w:tcPr>
          <w:p w14:paraId="3EB0951F" w14:textId="77777777" w:rsidR="00C01716" w:rsidRPr="009B1322" w:rsidRDefault="00C01716" w:rsidP="00C01716">
            <w:pPr>
              <w:pStyle w:val="Tabletext"/>
              <w:rPr>
                <w:snapToGrid w:val="0"/>
              </w:rPr>
            </w:pPr>
            <w:r w:rsidRPr="009B1322">
              <w:rPr>
                <w:snapToGrid w:val="0"/>
              </w:rPr>
              <w:t>56</w:t>
            </w:r>
          </w:p>
        </w:tc>
        <w:tc>
          <w:tcPr>
            <w:tcW w:w="1429" w:type="pct"/>
            <w:tcBorders>
              <w:top w:val="single" w:sz="4" w:space="0" w:color="auto"/>
              <w:bottom w:val="single" w:sz="4" w:space="0" w:color="auto"/>
            </w:tcBorders>
            <w:vAlign w:val="bottom"/>
          </w:tcPr>
          <w:p w14:paraId="175592D7" w14:textId="77777777" w:rsidR="00C01716" w:rsidRPr="00C01716" w:rsidRDefault="00C01716" w:rsidP="00C01716">
            <w:pPr>
              <w:pStyle w:val="Tabletext"/>
              <w:rPr>
                <w:snapToGrid w:val="0"/>
                <w:color w:val="000000" w:themeColor="text1"/>
              </w:rPr>
            </w:pPr>
            <w:r w:rsidRPr="00C01716">
              <w:rPr>
                <w:color w:val="000000" w:themeColor="text1"/>
              </w:rPr>
              <w:t>23</w:t>
            </w:r>
            <w:r w:rsidR="00D7157D">
              <w:rPr>
                <w:color w:val="000000" w:themeColor="text1"/>
              </w:rPr>
              <w:t>.</w:t>
            </w:r>
            <w:r w:rsidRPr="00C01716">
              <w:rPr>
                <w:color w:val="000000" w:themeColor="text1"/>
              </w:rPr>
              <w:t>0825</w:t>
            </w:r>
          </w:p>
        </w:tc>
        <w:tc>
          <w:tcPr>
            <w:tcW w:w="1866" w:type="pct"/>
            <w:tcBorders>
              <w:top w:val="single" w:sz="4" w:space="0" w:color="auto"/>
              <w:bottom w:val="single" w:sz="4" w:space="0" w:color="auto"/>
            </w:tcBorders>
            <w:vAlign w:val="center"/>
          </w:tcPr>
          <w:p w14:paraId="48EF0E02" w14:textId="77777777" w:rsidR="00C01716" w:rsidRPr="00C01716" w:rsidRDefault="00C01716" w:rsidP="00C01716">
            <w:pPr>
              <w:pStyle w:val="Tabletext"/>
              <w:rPr>
                <w:snapToGrid w:val="0"/>
                <w:color w:val="000000" w:themeColor="text1"/>
              </w:rPr>
            </w:pPr>
            <w:r w:rsidRPr="00C01716">
              <w:rPr>
                <w:color w:val="000000" w:themeColor="text1"/>
              </w:rPr>
              <w:t>24</w:t>
            </w:r>
            <w:r w:rsidR="00D7157D">
              <w:rPr>
                <w:color w:val="000000" w:themeColor="text1"/>
              </w:rPr>
              <w:t>.</w:t>
            </w:r>
            <w:r w:rsidRPr="00C01716">
              <w:rPr>
                <w:color w:val="000000" w:themeColor="text1"/>
              </w:rPr>
              <w:t>2454</w:t>
            </w:r>
          </w:p>
        </w:tc>
      </w:tr>
      <w:tr w:rsidR="00C01716" w:rsidRPr="009E2595" w14:paraId="516DEF72" w14:textId="77777777" w:rsidTr="005B61BB">
        <w:trPr>
          <w:trHeight w:val="245"/>
          <w:jc w:val="right"/>
        </w:trPr>
        <w:tc>
          <w:tcPr>
            <w:tcW w:w="1705" w:type="pct"/>
            <w:tcBorders>
              <w:top w:val="single" w:sz="4" w:space="0" w:color="auto"/>
              <w:bottom w:val="single" w:sz="4" w:space="0" w:color="auto"/>
            </w:tcBorders>
          </w:tcPr>
          <w:p w14:paraId="15983839" w14:textId="77777777" w:rsidR="00C01716" w:rsidRPr="009B1322" w:rsidRDefault="00C01716" w:rsidP="00C01716">
            <w:pPr>
              <w:pStyle w:val="Tabletext"/>
              <w:rPr>
                <w:snapToGrid w:val="0"/>
              </w:rPr>
            </w:pPr>
            <w:r w:rsidRPr="009B1322">
              <w:rPr>
                <w:snapToGrid w:val="0"/>
              </w:rPr>
              <w:t>57</w:t>
            </w:r>
          </w:p>
        </w:tc>
        <w:tc>
          <w:tcPr>
            <w:tcW w:w="1429" w:type="pct"/>
            <w:tcBorders>
              <w:top w:val="single" w:sz="4" w:space="0" w:color="auto"/>
              <w:bottom w:val="single" w:sz="4" w:space="0" w:color="auto"/>
            </w:tcBorders>
            <w:vAlign w:val="bottom"/>
          </w:tcPr>
          <w:p w14:paraId="0BB1919E" w14:textId="77777777" w:rsidR="00C01716" w:rsidRPr="00C01716" w:rsidRDefault="00C01716" w:rsidP="00C01716">
            <w:pPr>
              <w:pStyle w:val="Tabletext"/>
              <w:rPr>
                <w:snapToGrid w:val="0"/>
                <w:color w:val="000000" w:themeColor="text1"/>
              </w:rPr>
            </w:pPr>
            <w:r w:rsidRPr="00C01716">
              <w:rPr>
                <w:color w:val="000000" w:themeColor="text1"/>
              </w:rPr>
              <w:t>22</w:t>
            </w:r>
            <w:r w:rsidR="00D7157D">
              <w:rPr>
                <w:color w:val="000000" w:themeColor="text1"/>
              </w:rPr>
              <w:t>.</w:t>
            </w:r>
            <w:r w:rsidRPr="00C01716">
              <w:rPr>
                <w:color w:val="000000" w:themeColor="text1"/>
              </w:rPr>
              <w:t>5895</w:t>
            </w:r>
          </w:p>
        </w:tc>
        <w:tc>
          <w:tcPr>
            <w:tcW w:w="1866" w:type="pct"/>
            <w:tcBorders>
              <w:top w:val="single" w:sz="4" w:space="0" w:color="auto"/>
              <w:bottom w:val="single" w:sz="4" w:space="0" w:color="auto"/>
            </w:tcBorders>
            <w:vAlign w:val="center"/>
          </w:tcPr>
          <w:p w14:paraId="362C02A3" w14:textId="77777777" w:rsidR="00C01716" w:rsidRPr="00C01716" w:rsidRDefault="00C01716" w:rsidP="00C01716">
            <w:pPr>
              <w:pStyle w:val="Tabletext"/>
              <w:rPr>
                <w:snapToGrid w:val="0"/>
                <w:color w:val="000000" w:themeColor="text1"/>
              </w:rPr>
            </w:pPr>
            <w:r w:rsidRPr="00C01716">
              <w:rPr>
                <w:color w:val="000000" w:themeColor="text1"/>
              </w:rPr>
              <w:t>23</w:t>
            </w:r>
            <w:r w:rsidR="00D7157D">
              <w:rPr>
                <w:color w:val="000000" w:themeColor="text1"/>
              </w:rPr>
              <w:t>.</w:t>
            </w:r>
            <w:r w:rsidRPr="00C01716">
              <w:rPr>
                <w:color w:val="000000" w:themeColor="text1"/>
              </w:rPr>
              <w:t>7646</w:t>
            </w:r>
          </w:p>
        </w:tc>
      </w:tr>
      <w:tr w:rsidR="00C01716" w:rsidRPr="009E2595" w14:paraId="40AA24E1" w14:textId="77777777" w:rsidTr="005B61BB">
        <w:trPr>
          <w:trHeight w:val="245"/>
          <w:jc w:val="right"/>
        </w:trPr>
        <w:tc>
          <w:tcPr>
            <w:tcW w:w="1705" w:type="pct"/>
            <w:tcBorders>
              <w:top w:val="single" w:sz="4" w:space="0" w:color="auto"/>
              <w:bottom w:val="single" w:sz="4" w:space="0" w:color="auto"/>
            </w:tcBorders>
          </w:tcPr>
          <w:p w14:paraId="0187C627" w14:textId="77777777" w:rsidR="00C01716" w:rsidRPr="009B1322" w:rsidRDefault="00C01716" w:rsidP="00C01716">
            <w:pPr>
              <w:pStyle w:val="Tabletext"/>
              <w:rPr>
                <w:snapToGrid w:val="0"/>
              </w:rPr>
            </w:pPr>
            <w:r w:rsidRPr="009B1322">
              <w:rPr>
                <w:snapToGrid w:val="0"/>
              </w:rPr>
              <w:t>58</w:t>
            </w:r>
          </w:p>
        </w:tc>
        <w:tc>
          <w:tcPr>
            <w:tcW w:w="1429" w:type="pct"/>
            <w:tcBorders>
              <w:top w:val="single" w:sz="4" w:space="0" w:color="auto"/>
              <w:bottom w:val="single" w:sz="4" w:space="0" w:color="auto"/>
            </w:tcBorders>
            <w:vAlign w:val="bottom"/>
          </w:tcPr>
          <w:p w14:paraId="50C9828F" w14:textId="77777777" w:rsidR="00C01716" w:rsidRPr="00C01716" w:rsidRDefault="00C01716" w:rsidP="00C01716">
            <w:pPr>
              <w:pStyle w:val="Tabletext"/>
              <w:rPr>
                <w:snapToGrid w:val="0"/>
                <w:color w:val="000000" w:themeColor="text1"/>
              </w:rPr>
            </w:pPr>
            <w:r w:rsidRPr="00C01716">
              <w:rPr>
                <w:color w:val="000000" w:themeColor="text1"/>
              </w:rPr>
              <w:t>22</w:t>
            </w:r>
            <w:r w:rsidR="00D7157D">
              <w:rPr>
                <w:color w:val="000000" w:themeColor="text1"/>
              </w:rPr>
              <w:t>.</w:t>
            </w:r>
            <w:r w:rsidRPr="00C01716">
              <w:rPr>
                <w:color w:val="000000" w:themeColor="text1"/>
              </w:rPr>
              <w:t>0875</w:t>
            </w:r>
          </w:p>
        </w:tc>
        <w:tc>
          <w:tcPr>
            <w:tcW w:w="1866" w:type="pct"/>
            <w:tcBorders>
              <w:top w:val="single" w:sz="4" w:space="0" w:color="auto"/>
              <w:bottom w:val="single" w:sz="4" w:space="0" w:color="auto"/>
            </w:tcBorders>
            <w:vAlign w:val="center"/>
          </w:tcPr>
          <w:p w14:paraId="5DA29139" w14:textId="77777777" w:rsidR="00C01716" w:rsidRPr="00C01716" w:rsidRDefault="00C01716" w:rsidP="00C01716">
            <w:pPr>
              <w:pStyle w:val="Tabletext"/>
              <w:rPr>
                <w:snapToGrid w:val="0"/>
                <w:color w:val="000000" w:themeColor="text1"/>
              </w:rPr>
            </w:pPr>
            <w:r w:rsidRPr="00C01716">
              <w:rPr>
                <w:color w:val="000000" w:themeColor="text1"/>
              </w:rPr>
              <w:t>23</w:t>
            </w:r>
            <w:r w:rsidR="00D7157D">
              <w:rPr>
                <w:color w:val="000000" w:themeColor="text1"/>
              </w:rPr>
              <w:t>.</w:t>
            </w:r>
            <w:r w:rsidRPr="00C01716">
              <w:rPr>
                <w:color w:val="000000" w:themeColor="text1"/>
              </w:rPr>
              <w:t>2749</w:t>
            </w:r>
          </w:p>
        </w:tc>
      </w:tr>
      <w:tr w:rsidR="00C01716" w:rsidRPr="009E2595" w14:paraId="1DD50333" w14:textId="77777777" w:rsidTr="005B61BB">
        <w:trPr>
          <w:trHeight w:val="245"/>
          <w:jc w:val="right"/>
        </w:trPr>
        <w:tc>
          <w:tcPr>
            <w:tcW w:w="1705" w:type="pct"/>
            <w:tcBorders>
              <w:top w:val="single" w:sz="4" w:space="0" w:color="auto"/>
              <w:bottom w:val="single" w:sz="4" w:space="0" w:color="auto"/>
            </w:tcBorders>
          </w:tcPr>
          <w:p w14:paraId="5A55982A" w14:textId="77777777" w:rsidR="00C01716" w:rsidRPr="009B1322" w:rsidRDefault="00C01716" w:rsidP="00C01716">
            <w:pPr>
              <w:pStyle w:val="Tabletext"/>
              <w:rPr>
                <w:snapToGrid w:val="0"/>
              </w:rPr>
            </w:pPr>
            <w:r w:rsidRPr="009B1322">
              <w:rPr>
                <w:snapToGrid w:val="0"/>
              </w:rPr>
              <w:t>59</w:t>
            </w:r>
          </w:p>
        </w:tc>
        <w:tc>
          <w:tcPr>
            <w:tcW w:w="1429" w:type="pct"/>
            <w:tcBorders>
              <w:top w:val="single" w:sz="4" w:space="0" w:color="auto"/>
              <w:bottom w:val="single" w:sz="4" w:space="0" w:color="auto"/>
            </w:tcBorders>
            <w:vAlign w:val="bottom"/>
          </w:tcPr>
          <w:p w14:paraId="20BB6797" w14:textId="77777777" w:rsidR="00C01716" w:rsidRPr="00C01716" w:rsidRDefault="00C01716" w:rsidP="00C01716">
            <w:pPr>
              <w:pStyle w:val="Tabletext"/>
              <w:rPr>
                <w:snapToGrid w:val="0"/>
                <w:color w:val="000000" w:themeColor="text1"/>
              </w:rPr>
            </w:pPr>
            <w:r w:rsidRPr="00C01716">
              <w:rPr>
                <w:color w:val="000000" w:themeColor="text1"/>
              </w:rPr>
              <w:t>21</w:t>
            </w:r>
            <w:r w:rsidR="00D7157D">
              <w:rPr>
                <w:color w:val="000000" w:themeColor="text1"/>
              </w:rPr>
              <w:t>.</w:t>
            </w:r>
            <w:r w:rsidRPr="00C01716">
              <w:rPr>
                <w:color w:val="000000" w:themeColor="text1"/>
              </w:rPr>
              <w:t>5765</w:t>
            </w:r>
          </w:p>
        </w:tc>
        <w:tc>
          <w:tcPr>
            <w:tcW w:w="1866" w:type="pct"/>
            <w:tcBorders>
              <w:top w:val="single" w:sz="4" w:space="0" w:color="auto"/>
              <w:bottom w:val="single" w:sz="4" w:space="0" w:color="auto"/>
            </w:tcBorders>
            <w:vAlign w:val="center"/>
          </w:tcPr>
          <w:p w14:paraId="5081C7A6" w14:textId="77777777" w:rsidR="00C01716" w:rsidRPr="00C01716" w:rsidRDefault="00C01716" w:rsidP="00C01716">
            <w:pPr>
              <w:pStyle w:val="Tabletext"/>
              <w:rPr>
                <w:snapToGrid w:val="0"/>
                <w:color w:val="000000" w:themeColor="text1"/>
              </w:rPr>
            </w:pPr>
            <w:r w:rsidRPr="00C01716">
              <w:rPr>
                <w:color w:val="000000" w:themeColor="text1"/>
              </w:rPr>
              <w:t>22</w:t>
            </w:r>
            <w:r w:rsidR="00D7157D">
              <w:rPr>
                <w:color w:val="000000" w:themeColor="text1"/>
              </w:rPr>
              <w:t>.</w:t>
            </w:r>
            <w:r w:rsidRPr="00C01716">
              <w:rPr>
                <w:color w:val="000000" w:themeColor="text1"/>
              </w:rPr>
              <w:t>7764</w:t>
            </w:r>
          </w:p>
        </w:tc>
      </w:tr>
      <w:tr w:rsidR="00C01716" w:rsidRPr="009E2595" w14:paraId="33198550" w14:textId="77777777" w:rsidTr="005B61BB">
        <w:trPr>
          <w:trHeight w:val="245"/>
          <w:jc w:val="right"/>
        </w:trPr>
        <w:tc>
          <w:tcPr>
            <w:tcW w:w="1705" w:type="pct"/>
            <w:tcBorders>
              <w:top w:val="single" w:sz="4" w:space="0" w:color="auto"/>
              <w:bottom w:val="single" w:sz="4" w:space="0" w:color="auto"/>
            </w:tcBorders>
          </w:tcPr>
          <w:p w14:paraId="0FE8717B" w14:textId="77777777" w:rsidR="00C01716" w:rsidRPr="009B1322" w:rsidRDefault="00C01716" w:rsidP="00C01716">
            <w:pPr>
              <w:pStyle w:val="Tabletext"/>
              <w:rPr>
                <w:snapToGrid w:val="0"/>
              </w:rPr>
            </w:pPr>
            <w:r w:rsidRPr="009B1322">
              <w:rPr>
                <w:snapToGrid w:val="0"/>
              </w:rPr>
              <w:t>60</w:t>
            </w:r>
          </w:p>
        </w:tc>
        <w:tc>
          <w:tcPr>
            <w:tcW w:w="1429" w:type="pct"/>
            <w:tcBorders>
              <w:top w:val="single" w:sz="4" w:space="0" w:color="auto"/>
              <w:bottom w:val="single" w:sz="4" w:space="0" w:color="auto"/>
            </w:tcBorders>
            <w:vAlign w:val="bottom"/>
          </w:tcPr>
          <w:p w14:paraId="635626C4" w14:textId="77777777" w:rsidR="00C01716" w:rsidRPr="00C01716" w:rsidRDefault="00C01716" w:rsidP="00C01716">
            <w:pPr>
              <w:pStyle w:val="Tabletext"/>
              <w:rPr>
                <w:snapToGrid w:val="0"/>
                <w:color w:val="000000" w:themeColor="text1"/>
              </w:rPr>
            </w:pPr>
            <w:r w:rsidRPr="00C01716">
              <w:rPr>
                <w:color w:val="000000" w:themeColor="text1"/>
              </w:rPr>
              <w:t>21</w:t>
            </w:r>
            <w:r w:rsidR="00D7157D">
              <w:rPr>
                <w:color w:val="000000" w:themeColor="text1"/>
              </w:rPr>
              <w:t>.</w:t>
            </w:r>
            <w:r w:rsidRPr="00C01716">
              <w:rPr>
                <w:color w:val="000000" w:themeColor="text1"/>
              </w:rPr>
              <w:t>0570</w:t>
            </w:r>
          </w:p>
        </w:tc>
        <w:tc>
          <w:tcPr>
            <w:tcW w:w="1866" w:type="pct"/>
            <w:tcBorders>
              <w:top w:val="single" w:sz="4" w:space="0" w:color="auto"/>
              <w:bottom w:val="single" w:sz="4" w:space="0" w:color="auto"/>
            </w:tcBorders>
            <w:vAlign w:val="center"/>
          </w:tcPr>
          <w:p w14:paraId="7B1A180C" w14:textId="77777777" w:rsidR="00C01716" w:rsidRPr="00C01716" w:rsidRDefault="00C01716" w:rsidP="00C01716">
            <w:pPr>
              <w:pStyle w:val="Tabletext"/>
              <w:rPr>
                <w:snapToGrid w:val="0"/>
                <w:color w:val="000000" w:themeColor="text1"/>
              </w:rPr>
            </w:pPr>
            <w:r w:rsidRPr="00C01716">
              <w:rPr>
                <w:color w:val="000000" w:themeColor="text1"/>
              </w:rPr>
              <w:t>22</w:t>
            </w:r>
            <w:r w:rsidR="00D7157D">
              <w:rPr>
                <w:color w:val="000000" w:themeColor="text1"/>
              </w:rPr>
              <w:t>.</w:t>
            </w:r>
            <w:r w:rsidRPr="00C01716">
              <w:rPr>
                <w:color w:val="000000" w:themeColor="text1"/>
              </w:rPr>
              <w:t>2689</w:t>
            </w:r>
          </w:p>
        </w:tc>
      </w:tr>
      <w:tr w:rsidR="00C01716" w:rsidRPr="009E2595" w14:paraId="3C143227" w14:textId="77777777" w:rsidTr="005B61BB">
        <w:trPr>
          <w:trHeight w:val="245"/>
          <w:jc w:val="right"/>
        </w:trPr>
        <w:tc>
          <w:tcPr>
            <w:tcW w:w="1705" w:type="pct"/>
            <w:tcBorders>
              <w:top w:val="single" w:sz="4" w:space="0" w:color="auto"/>
              <w:bottom w:val="single" w:sz="4" w:space="0" w:color="auto"/>
            </w:tcBorders>
          </w:tcPr>
          <w:p w14:paraId="751C18C3" w14:textId="77777777" w:rsidR="00C01716" w:rsidRPr="009B1322" w:rsidRDefault="00C01716" w:rsidP="00C01716">
            <w:pPr>
              <w:pStyle w:val="Tabletext"/>
              <w:rPr>
                <w:snapToGrid w:val="0"/>
              </w:rPr>
            </w:pPr>
            <w:r w:rsidRPr="009B1322">
              <w:rPr>
                <w:snapToGrid w:val="0"/>
              </w:rPr>
              <w:t>61</w:t>
            </w:r>
          </w:p>
        </w:tc>
        <w:tc>
          <w:tcPr>
            <w:tcW w:w="1429" w:type="pct"/>
            <w:tcBorders>
              <w:top w:val="single" w:sz="4" w:space="0" w:color="auto"/>
              <w:bottom w:val="single" w:sz="4" w:space="0" w:color="auto"/>
            </w:tcBorders>
            <w:vAlign w:val="bottom"/>
          </w:tcPr>
          <w:p w14:paraId="51EEF4B6" w14:textId="77777777" w:rsidR="00C01716" w:rsidRPr="00C01716" w:rsidRDefault="00C01716" w:rsidP="00C01716">
            <w:pPr>
              <w:pStyle w:val="Tabletext"/>
              <w:rPr>
                <w:snapToGrid w:val="0"/>
                <w:color w:val="000000" w:themeColor="text1"/>
              </w:rPr>
            </w:pPr>
            <w:r w:rsidRPr="00C01716">
              <w:rPr>
                <w:color w:val="000000" w:themeColor="text1"/>
              </w:rPr>
              <w:t>20</w:t>
            </w:r>
            <w:r w:rsidR="00D7157D">
              <w:rPr>
                <w:color w:val="000000" w:themeColor="text1"/>
              </w:rPr>
              <w:t>.</w:t>
            </w:r>
            <w:r w:rsidRPr="00C01716">
              <w:rPr>
                <w:color w:val="000000" w:themeColor="text1"/>
              </w:rPr>
              <w:t>5298</w:t>
            </w:r>
          </w:p>
        </w:tc>
        <w:tc>
          <w:tcPr>
            <w:tcW w:w="1866" w:type="pct"/>
            <w:tcBorders>
              <w:top w:val="single" w:sz="4" w:space="0" w:color="auto"/>
              <w:bottom w:val="single" w:sz="4" w:space="0" w:color="auto"/>
            </w:tcBorders>
            <w:vAlign w:val="center"/>
          </w:tcPr>
          <w:p w14:paraId="572EDE54" w14:textId="77777777" w:rsidR="00C01716" w:rsidRPr="00C01716" w:rsidRDefault="00C01716" w:rsidP="00C01716">
            <w:pPr>
              <w:pStyle w:val="Tabletext"/>
              <w:rPr>
                <w:snapToGrid w:val="0"/>
                <w:color w:val="000000" w:themeColor="text1"/>
              </w:rPr>
            </w:pPr>
            <w:r w:rsidRPr="00C01716">
              <w:rPr>
                <w:color w:val="000000" w:themeColor="text1"/>
              </w:rPr>
              <w:t>21</w:t>
            </w:r>
            <w:r w:rsidR="00D7157D">
              <w:rPr>
                <w:color w:val="000000" w:themeColor="text1"/>
              </w:rPr>
              <w:t>.</w:t>
            </w:r>
            <w:r w:rsidRPr="00C01716">
              <w:rPr>
                <w:color w:val="000000" w:themeColor="text1"/>
              </w:rPr>
              <w:t>7523</w:t>
            </w:r>
          </w:p>
        </w:tc>
      </w:tr>
      <w:tr w:rsidR="00C01716" w:rsidRPr="009E2595" w14:paraId="5DB149E3" w14:textId="77777777" w:rsidTr="005B61BB">
        <w:trPr>
          <w:trHeight w:val="245"/>
          <w:jc w:val="right"/>
        </w:trPr>
        <w:tc>
          <w:tcPr>
            <w:tcW w:w="1705" w:type="pct"/>
            <w:tcBorders>
              <w:top w:val="single" w:sz="4" w:space="0" w:color="auto"/>
              <w:bottom w:val="single" w:sz="4" w:space="0" w:color="auto"/>
            </w:tcBorders>
          </w:tcPr>
          <w:p w14:paraId="6DD4E2C0" w14:textId="77777777" w:rsidR="00C01716" w:rsidRPr="009B1322" w:rsidRDefault="00C01716" w:rsidP="00C01716">
            <w:pPr>
              <w:pStyle w:val="Tabletext"/>
              <w:rPr>
                <w:snapToGrid w:val="0"/>
              </w:rPr>
            </w:pPr>
            <w:r w:rsidRPr="009B1322">
              <w:rPr>
                <w:snapToGrid w:val="0"/>
              </w:rPr>
              <w:t>62</w:t>
            </w:r>
          </w:p>
        </w:tc>
        <w:tc>
          <w:tcPr>
            <w:tcW w:w="1429" w:type="pct"/>
            <w:tcBorders>
              <w:top w:val="single" w:sz="4" w:space="0" w:color="auto"/>
              <w:bottom w:val="single" w:sz="4" w:space="0" w:color="auto"/>
            </w:tcBorders>
            <w:vAlign w:val="bottom"/>
          </w:tcPr>
          <w:p w14:paraId="1B0BBEC3" w14:textId="77777777" w:rsidR="00C01716" w:rsidRPr="00C01716" w:rsidRDefault="00C01716" w:rsidP="00C01716">
            <w:pPr>
              <w:pStyle w:val="Tabletext"/>
              <w:rPr>
                <w:snapToGrid w:val="0"/>
                <w:color w:val="000000" w:themeColor="text1"/>
              </w:rPr>
            </w:pPr>
            <w:r w:rsidRPr="00C01716">
              <w:rPr>
                <w:color w:val="000000" w:themeColor="text1"/>
              </w:rPr>
              <w:t>19</w:t>
            </w:r>
            <w:r w:rsidR="00D7157D">
              <w:rPr>
                <w:color w:val="000000" w:themeColor="text1"/>
              </w:rPr>
              <w:t>.</w:t>
            </w:r>
            <w:r w:rsidRPr="00C01716">
              <w:rPr>
                <w:color w:val="000000" w:themeColor="text1"/>
              </w:rPr>
              <w:t>9949</w:t>
            </w:r>
          </w:p>
        </w:tc>
        <w:tc>
          <w:tcPr>
            <w:tcW w:w="1866" w:type="pct"/>
            <w:tcBorders>
              <w:top w:val="single" w:sz="4" w:space="0" w:color="auto"/>
              <w:bottom w:val="single" w:sz="4" w:space="0" w:color="auto"/>
            </w:tcBorders>
            <w:vAlign w:val="center"/>
          </w:tcPr>
          <w:p w14:paraId="2CA1FE9B" w14:textId="77777777" w:rsidR="00C01716" w:rsidRPr="00C01716" w:rsidRDefault="00C01716" w:rsidP="00C01716">
            <w:pPr>
              <w:pStyle w:val="Tabletext"/>
              <w:rPr>
                <w:snapToGrid w:val="0"/>
                <w:color w:val="000000" w:themeColor="text1"/>
              </w:rPr>
            </w:pPr>
            <w:r w:rsidRPr="00C01716">
              <w:rPr>
                <w:color w:val="000000" w:themeColor="text1"/>
              </w:rPr>
              <w:t>21</w:t>
            </w:r>
            <w:r w:rsidR="00D7157D">
              <w:rPr>
                <w:color w:val="000000" w:themeColor="text1"/>
              </w:rPr>
              <w:t>.</w:t>
            </w:r>
            <w:r w:rsidRPr="00C01716">
              <w:rPr>
                <w:color w:val="000000" w:themeColor="text1"/>
              </w:rPr>
              <w:t>2276</w:t>
            </w:r>
          </w:p>
        </w:tc>
      </w:tr>
      <w:tr w:rsidR="00C01716" w:rsidRPr="009E2595" w14:paraId="42CDA2A6" w14:textId="77777777" w:rsidTr="005B61BB">
        <w:trPr>
          <w:trHeight w:val="245"/>
          <w:jc w:val="right"/>
        </w:trPr>
        <w:tc>
          <w:tcPr>
            <w:tcW w:w="1705" w:type="pct"/>
            <w:tcBorders>
              <w:top w:val="single" w:sz="4" w:space="0" w:color="auto"/>
              <w:bottom w:val="single" w:sz="4" w:space="0" w:color="auto"/>
            </w:tcBorders>
          </w:tcPr>
          <w:p w14:paraId="756C718A" w14:textId="77777777" w:rsidR="00C01716" w:rsidRPr="009B1322" w:rsidRDefault="00C01716" w:rsidP="00C01716">
            <w:pPr>
              <w:pStyle w:val="Tabletext"/>
              <w:rPr>
                <w:snapToGrid w:val="0"/>
              </w:rPr>
            </w:pPr>
            <w:r w:rsidRPr="009B1322">
              <w:rPr>
                <w:snapToGrid w:val="0"/>
              </w:rPr>
              <w:t>63</w:t>
            </w:r>
          </w:p>
        </w:tc>
        <w:tc>
          <w:tcPr>
            <w:tcW w:w="1429" w:type="pct"/>
            <w:tcBorders>
              <w:top w:val="single" w:sz="4" w:space="0" w:color="auto"/>
              <w:bottom w:val="single" w:sz="4" w:space="0" w:color="auto"/>
            </w:tcBorders>
            <w:vAlign w:val="bottom"/>
          </w:tcPr>
          <w:p w14:paraId="5C4CA06F" w14:textId="77777777" w:rsidR="00C01716" w:rsidRPr="00C01716" w:rsidRDefault="00C01716" w:rsidP="00C01716">
            <w:pPr>
              <w:pStyle w:val="Tabletext"/>
              <w:rPr>
                <w:snapToGrid w:val="0"/>
                <w:color w:val="000000" w:themeColor="text1"/>
              </w:rPr>
            </w:pPr>
            <w:r w:rsidRPr="00C01716">
              <w:rPr>
                <w:color w:val="000000" w:themeColor="text1"/>
              </w:rPr>
              <w:t>19</w:t>
            </w:r>
            <w:r w:rsidR="00D7157D">
              <w:rPr>
                <w:color w:val="000000" w:themeColor="text1"/>
              </w:rPr>
              <w:t>.</w:t>
            </w:r>
            <w:r w:rsidRPr="00C01716">
              <w:rPr>
                <w:color w:val="000000" w:themeColor="text1"/>
              </w:rPr>
              <w:t>4533</w:t>
            </w:r>
          </w:p>
        </w:tc>
        <w:tc>
          <w:tcPr>
            <w:tcW w:w="1866" w:type="pct"/>
            <w:tcBorders>
              <w:top w:val="single" w:sz="4" w:space="0" w:color="auto"/>
              <w:bottom w:val="single" w:sz="4" w:space="0" w:color="auto"/>
            </w:tcBorders>
            <w:vAlign w:val="center"/>
          </w:tcPr>
          <w:p w14:paraId="02B3B259" w14:textId="77777777" w:rsidR="00C01716" w:rsidRPr="00C01716" w:rsidRDefault="00C01716" w:rsidP="00C01716">
            <w:pPr>
              <w:pStyle w:val="Tabletext"/>
              <w:rPr>
                <w:snapToGrid w:val="0"/>
                <w:color w:val="000000" w:themeColor="text1"/>
              </w:rPr>
            </w:pPr>
            <w:r w:rsidRPr="00C01716">
              <w:rPr>
                <w:color w:val="000000" w:themeColor="text1"/>
              </w:rPr>
              <w:t>20</w:t>
            </w:r>
            <w:r w:rsidR="00D7157D">
              <w:rPr>
                <w:color w:val="000000" w:themeColor="text1"/>
              </w:rPr>
              <w:t>.</w:t>
            </w:r>
            <w:r w:rsidRPr="00C01716">
              <w:rPr>
                <w:color w:val="000000" w:themeColor="text1"/>
              </w:rPr>
              <w:t>6951</w:t>
            </w:r>
          </w:p>
        </w:tc>
      </w:tr>
      <w:tr w:rsidR="00C01716" w:rsidRPr="009E2595" w14:paraId="078CB8A2" w14:textId="77777777" w:rsidTr="005B61BB">
        <w:trPr>
          <w:trHeight w:val="245"/>
          <w:jc w:val="right"/>
        </w:trPr>
        <w:tc>
          <w:tcPr>
            <w:tcW w:w="1705" w:type="pct"/>
            <w:tcBorders>
              <w:top w:val="single" w:sz="4" w:space="0" w:color="auto"/>
              <w:bottom w:val="single" w:sz="4" w:space="0" w:color="auto"/>
            </w:tcBorders>
          </w:tcPr>
          <w:p w14:paraId="65E59B7D" w14:textId="77777777" w:rsidR="00C01716" w:rsidRPr="009B1322" w:rsidRDefault="00C01716" w:rsidP="00C01716">
            <w:pPr>
              <w:pStyle w:val="Tabletext"/>
              <w:rPr>
                <w:snapToGrid w:val="0"/>
              </w:rPr>
            </w:pPr>
            <w:r w:rsidRPr="009B1322">
              <w:rPr>
                <w:snapToGrid w:val="0"/>
              </w:rPr>
              <w:t>64</w:t>
            </w:r>
          </w:p>
        </w:tc>
        <w:tc>
          <w:tcPr>
            <w:tcW w:w="1429" w:type="pct"/>
            <w:tcBorders>
              <w:top w:val="single" w:sz="4" w:space="0" w:color="auto"/>
              <w:bottom w:val="single" w:sz="4" w:space="0" w:color="auto"/>
            </w:tcBorders>
            <w:vAlign w:val="bottom"/>
          </w:tcPr>
          <w:p w14:paraId="348AEB71" w14:textId="77777777" w:rsidR="00C01716" w:rsidRPr="00C01716" w:rsidRDefault="00C01716" w:rsidP="00C01716">
            <w:pPr>
              <w:pStyle w:val="Tabletext"/>
              <w:rPr>
                <w:snapToGrid w:val="0"/>
                <w:color w:val="000000" w:themeColor="text1"/>
              </w:rPr>
            </w:pPr>
            <w:r w:rsidRPr="00C01716">
              <w:rPr>
                <w:color w:val="000000" w:themeColor="text1"/>
              </w:rPr>
              <w:t>18</w:t>
            </w:r>
            <w:r w:rsidR="00D7157D">
              <w:rPr>
                <w:color w:val="000000" w:themeColor="text1"/>
              </w:rPr>
              <w:t>.</w:t>
            </w:r>
            <w:r w:rsidRPr="00C01716">
              <w:rPr>
                <w:color w:val="000000" w:themeColor="text1"/>
              </w:rPr>
              <w:t>9055</w:t>
            </w:r>
          </w:p>
        </w:tc>
        <w:tc>
          <w:tcPr>
            <w:tcW w:w="1866" w:type="pct"/>
            <w:tcBorders>
              <w:top w:val="single" w:sz="4" w:space="0" w:color="auto"/>
              <w:bottom w:val="single" w:sz="4" w:space="0" w:color="auto"/>
            </w:tcBorders>
            <w:vAlign w:val="center"/>
          </w:tcPr>
          <w:p w14:paraId="50773082" w14:textId="77777777" w:rsidR="00C01716" w:rsidRPr="00C01716" w:rsidRDefault="00C01716" w:rsidP="00C01716">
            <w:pPr>
              <w:pStyle w:val="Tabletext"/>
              <w:rPr>
                <w:snapToGrid w:val="0"/>
                <w:color w:val="000000" w:themeColor="text1"/>
              </w:rPr>
            </w:pPr>
            <w:r w:rsidRPr="00C01716">
              <w:rPr>
                <w:color w:val="000000" w:themeColor="text1"/>
              </w:rPr>
              <w:t>20</w:t>
            </w:r>
            <w:r w:rsidR="00D7157D">
              <w:rPr>
                <w:color w:val="000000" w:themeColor="text1"/>
              </w:rPr>
              <w:t>.</w:t>
            </w:r>
            <w:r w:rsidRPr="00C01716">
              <w:rPr>
                <w:color w:val="000000" w:themeColor="text1"/>
              </w:rPr>
              <w:t>1554</w:t>
            </w:r>
          </w:p>
        </w:tc>
      </w:tr>
      <w:tr w:rsidR="00C01716" w:rsidRPr="009E2595" w14:paraId="63DF6152" w14:textId="77777777" w:rsidTr="005B61BB">
        <w:trPr>
          <w:trHeight w:val="245"/>
          <w:jc w:val="right"/>
        </w:trPr>
        <w:tc>
          <w:tcPr>
            <w:tcW w:w="1705" w:type="pct"/>
            <w:tcBorders>
              <w:top w:val="single" w:sz="4" w:space="0" w:color="auto"/>
              <w:bottom w:val="single" w:sz="12" w:space="0" w:color="auto"/>
            </w:tcBorders>
          </w:tcPr>
          <w:p w14:paraId="3C93C451" w14:textId="77777777" w:rsidR="00C01716" w:rsidRPr="009B1322" w:rsidRDefault="00C01716" w:rsidP="00C01716">
            <w:pPr>
              <w:pStyle w:val="Tabletext"/>
              <w:rPr>
                <w:snapToGrid w:val="0"/>
              </w:rPr>
            </w:pPr>
            <w:r w:rsidRPr="009B1322">
              <w:rPr>
                <w:snapToGrid w:val="0"/>
              </w:rPr>
              <w:t>65</w:t>
            </w:r>
          </w:p>
        </w:tc>
        <w:tc>
          <w:tcPr>
            <w:tcW w:w="1429" w:type="pct"/>
            <w:tcBorders>
              <w:top w:val="single" w:sz="4" w:space="0" w:color="auto"/>
              <w:bottom w:val="single" w:sz="12" w:space="0" w:color="auto"/>
            </w:tcBorders>
            <w:vAlign w:val="bottom"/>
          </w:tcPr>
          <w:p w14:paraId="0BDF2A60" w14:textId="77777777" w:rsidR="00C01716" w:rsidRPr="00C01716" w:rsidRDefault="00C01716" w:rsidP="00C01716">
            <w:pPr>
              <w:pStyle w:val="Tabletext"/>
              <w:rPr>
                <w:snapToGrid w:val="0"/>
                <w:color w:val="000000" w:themeColor="text1"/>
              </w:rPr>
            </w:pPr>
            <w:r w:rsidRPr="00C01716">
              <w:rPr>
                <w:color w:val="000000" w:themeColor="text1"/>
              </w:rPr>
              <w:t>18</w:t>
            </w:r>
            <w:r w:rsidR="00D7157D">
              <w:rPr>
                <w:color w:val="000000" w:themeColor="text1"/>
              </w:rPr>
              <w:t>.</w:t>
            </w:r>
            <w:r w:rsidRPr="00C01716">
              <w:rPr>
                <w:color w:val="000000" w:themeColor="text1"/>
              </w:rPr>
              <w:t>3535</w:t>
            </w:r>
          </w:p>
        </w:tc>
        <w:tc>
          <w:tcPr>
            <w:tcW w:w="1866" w:type="pct"/>
            <w:tcBorders>
              <w:top w:val="single" w:sz="4" w:space="0" w:color="auto"/>
              <w:bottom w:val="single" w:sz="12" w:space="0" w:color="auto"/>
            </w:tcBorders>
            <w:vAlign w:val="center"/>
          </w:tcPr>
          <w:p w14:paraId="0B695B47" w14:textId="77777777" w:rsidR="00C01716" w:rsidRPr="00C01716" w:rsidRDefault="00C01716" w:rsidP="00C01716">
            <w:pPr>
              <w:pStyle w:val="Tabletext"/>
              <w:rPr>
                <w:snapToGrid w:val="0"/>
                <w:color w:val="000000" w:themeColor="text1"/>
              </w:rPr>
            </w:pPr>
            <w:r w:rsidRPr="00C01716">
              <w:rPr>
                <w:color w:val="000000" w:themeColor="text1"/>
              </w:rPr>
              <w:t>19</w:t>
            </w:r>
            <w:r w:rsidR="00D7157D">
              <w:rPr>
                <w:color w:val="000000" w:themeColor="text1"/>
              </w:rPr>
              <w:t>.</w:t>
            </w:r>
            <w:r w:rsidRPr="00C01716">
              <w:rPr>
                <w:color w:val="000000" w:themeColor="text1"/>
              </w:rPr>
              <w:t>6100</w:t>
            </w:r>
          </w:p>
        </w:tc>
      </w:tr>
    </w:tbl>
    <w:p w14:paraId="0BA57F47" w14:textId="77777777" w:rsidR="006E3A5E" w:rsidRPr="00A058B6" w:rsidRDefault="006E3A5E" w:rsidP="006E3A5E">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E3A5E" w:rsidRPr="00A058B6" w14:paraId="398509AD" w14:textId="77777777" w:rsidTr="005B61BB">
        <w:trPr>
          <w:cantSplit/>
          <w:trHeight w:val="375"/>
          <w:tblHeader/>
          <w:jc w:val="right"/>
        </w:trPr>
        <w:tc>
          <w:tcPr>
            <w:tcW w:w="1705" w:type="pct"/>
            <w:vMerge w:val="restart"/>
            <w:tcBorders>
              <w:top w:val="single" w:sz="12" w:space="0" w:color="auto"/>
            </w:tcBorders>
          </w:tcPr>
          <w:p w14:paraId="67107D44" w14:textId="77777777" w:rsidR="006E3A5E" w:rsidRPr="00A058B6" w:rsidRDefault="006E3A5E" w:rsidP="005B61BB">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7EA27590" w14:textId="292D6617" w:rsidR="006E3A5E" w:rsidRPr="00A058B6" w:rsidRDefault="006E3A5E" w:rsidP="005B61BB">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period—wage indexed pension</w:t>
            </w:r>
          </w:p>
        </w:tc>
      </w:tr>
      <w:tr w:rsidR="006E3A5E" w:rsidRPr="00A058B6" w14:paraId="602A5F5D" w14:textId="77777777" w:rsidTr="005B61BB">
        <w:trPr>
          <w:cantSplit/>
          <w:trHeight w:val="60"/>
          <w:tblHeader/>
          <w:jc w:val="right"/>
        </w:trPr>
        <w:tc>
          <w:tcPr>
            <w:tcW w:w="1705" w:type="pct"/>
            <w:vMerge/>
            <w:tcBorders>
              <w:bottom w:val="single" w:sz="12" w:space="0" w:color="auto"/>
            </w:tcBorders>
          </w:tcPr>
          <w:p w14:paraId="3FD10F22" w14:textId="77777777" w:rsidR="006E3A5E" w:rsidRPr="00A058B6" w:rsidRDefault="006E3A5E" w:rsidP="005B61BB">
            <w:pPr>
              <w:pStyle w:val="TableHeading"/>
              <w:rPr>
                <w:snapToGrid w:val="0"/>
              </w:rPr>
            </w:pPr>
          </w:p>
        </w:tc>
        <w:tc>
          <w:tcPr>
            <w:tcW w:w="1417" w:type="pct"/>
            <w:tcBorders>
              <w:bottom w:val="single" w:sz="12" w:space="0" w:color="auto"/>
            </w:tcBorders>
          </w:tcPr>
          <w:p w14:paraId="523E6AA9" w14:textId="77777777" w:rsidR="006E3A5E" w:rsidRPr="00A058B6" w:rsidRDefault="006E3A5E" w:rsidP="005B61BB">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3F8EB108" w14:textId="77777777" w:rsidR="006E3A5E" w:rsidRPr="00A058B6" w:rsidRDefault="006E3A5E" w:rsidP="005B61BB">
            <w:pPr>
              <w:pStyle w:val="TableHeading"/>
              <w:rPr>
                <w:snapToGrid w:val="0"/>
              </w:rPr>
            </w:pPr>
            <w:r w:rsidRPr="00A058B6">
              <w:rPr>
                <w:snapToGrid w:val="0"/>
              </w:rPr>
              <w:t>Female</w:t>
            </w:r>
          </w:p>
        </w:tc>
      </w:tr>
      <w:tr w:rsidR="00C01716" w:rsidRPr="009E2595" w14:paraId="1D82854F" w14:textId="77777777" w:rsidTr="005B61BB">
        <w:trPr>
          <w:trHeight w:val="245"/>
          <w:jc w:val="right"/>
        </w:trPr>
        <w:tc>
          <w:tcPr>
            <w:tcW w:w="1705" w:type="pct"/>
            <w:tcBorders>
              <w:top w:val="single" w:sz="12" w:space="0" w:color="auto"/>
              <w:bottom w:val="single" w:sz="4" w:space="0" w:color="auto"/>
            </w:tcBorders>
            <w:vAlign w:val="bottom"/>
          </w:tcPr>
          <w:p w14:paraId="54995C5C" w14:textId="77777777" w:rsidR="00C01716" w:rsidRPr="009B1322" w:rsidRDefault="00C01716" w:rsidP="00C01716">
            <w:pPr>
              <w:pStyle w:val="Tabletext"/>
              <w:rPr>
                <w:snapToGrid w:val="0"/>
              </w:rPr>
            </w:pPr>
            <w:r w:rsidRPr="009B1322">
              <w:rPr>
                <w:snapToGrid w:val="0"/>
              </w:rPr>
              <w:t>Up to 40</w:t>
            </w:r>
          </w:p>
        </w:tc>
        <w:tc>
          <w:tcPr>
            <w:tcW w:w="1417" w:type="pct"/>
            <w:tcBorders>
              <w:top w:val="single" w:sz="12" w:space="0" w:color="auto"/>
              <w:bottom w:val="single" w:sz="4" w:space="0" w:color="auto"/>
            </w:tcBorders>
            <w:vAlign w:val="bottom"/>
          </w:tcPr>
          <w:p w14:paraId="1A790CA4"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909</w:t>
            </w:r>
          </w:p>
        </w:tc>
        <w:tc>
          <w:tcPr>
            <w:tcW w:w="1878" w:type="pct"/>
            <w:tcBorders>
              <w:top w:val="single" w:sz="12" w:space="0" w:color="auto"/>
              <w:bottom w:val="single" w:sz="4" w:space="0" w:color="auto"/>
            </w:tcBorders>
            <w:vAlign w:val="bottom"/>
          </w:tcPr>
          <w:p w14:paraId="30E6B38A"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224</w:t>
            </w:r>
          </w:p>
        </w:tc>
      </w:tr>
      <w:tr w:rsidR="00C01716" w:rsidRPr="009E2595" w14:paraId="1C04B063" w14:textId="77777777" w:rsidTr="005B61BB">
        <w:trPr>
          <w:trHeight w:val="245"/>
          <w:jc w:val="right"/>
        </w:trPr>
        <w:tc>
          <w:tcPr>
            <w:tcW w:w="1705" w:type="pct"/>
            <w:tcBorders>
              <w:top w:val="single" w:sz="4" w:space="0" w:color="auto"/>
              <w:bottom w:val="single" w:sz="4" w:space="0" w:color="auto"/>
            </w:tcBorders>
            <w:vAlign w:val="bottom"/>
          </w:tcPr>
          <w:p w14:paraId="3340E8D0" w14:textId="77777777" w:rsidR="00C01716" w:rsidRPr="009B1322" w:rsidRDefault="00C01716" w:rsidP="00C01716">
            <w:pPr>
              <w:pStyle w:val="Tabletext"/>
              <w:rPr>
                <w:snapToGrid w:val="0"/>
              </w:rPr>
            </w:pPr>
            <w:r w:rsidRPr="009B1322">
              <w:rPr>
                <w:snapToGrid w:val="0"/>
              </w:rPr>
              <w:t>41</w:t>
            </w:r>
          </w:p>
        </w:tc>
        <w:tc>
          <w:tcPr>
            <w:tcW w:w="1417" w:type="pct"/>
            <w:tcBorders>
              <w:top w:val="single" w:sz="4" w:space="0" w:color="auto"/>
              <w:bottom w:val="single" w:sz="4" w:space="0" w:color="auto"/>
            </w:tcBorders>
            <w:vAlign w:val="bottom"/>
          </w:tcPr>
          <w:p w14:paraId="5C30477B"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812</w:t>
            </w:r>
          </w:p>
        </w:tc>
        <w:tc>
          <w:tcPr>
            <w:tcW w:w="1878" w:type="pct"/>
            <w:tcBorders>
              <w:top w:val="single" w:sz="4" w:space="0" w:color="auto"/>
              <w:bottom w:val="single" w:sz="4" w:space="0" w:color="auto"/>
            </w:tcBorders>
            <w:vAlign w:val="bottom"/>
          </w:tcPr>
          <w:p w14:paraId="4333244F"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151</w:t>
            </w:r>
          </w:p>
        </w:tc>
      </w:tr>
      <w:tr w:rsidR="00C01716" w:rsidRPr="009E2595" w14:paraId="3A89FB1A" w14:textId="77777777" w:rsidTr="005B61BB">
        <w:trPr>
          <w:trHeight w:val="245"/>
          <w:jc w:val="right"/>
        </w:trPr>
        <w:tc>
          <w:tcPr>
            <w:tcW w:w="1705" w:type="pct"/>
            <w:tcBorders>
              <w:top w:val="single" w:sz="4" w:space="0" w:color="auto"/>
              <w:bottom w:val="single" w:sz="4" w:space="0" w:color="auto"/>
            </w:tcBorders>
            <w:vAlign w:val="bottom"/>
          </w:tcPr>
          <w:p w14:paraId="7AEF7697" w14:textId="77777777" w:rsidR="00C01716" w:rsidRPr="009B1322" w:rsidRDefault="00C01716" w:rsidP="00C01716">
            <w:pPr>
              <w:pStyle w:val="Tabletext"/>
              <w:rPr>
                <w:snapToGrid w:val="0"/>
              </w:rPr>
            </w:pPr>
            <w:r w:rsidRPr="009B1322">
              <w:rPr>
                <w:snapToGrid w:val="0"/>
              </w:rPr>
              <w:t>42</w:t>
            </w:r>
          </w:p>
        </w:tc>
        <w:tc>
          <w:tcPr>
            <w:tcW w:w="1417" w:type="pct"/>
            <w:tcBorders>
              <w:top w:val="single" w:sz="4" w:space="0" w:color="auto"/>
              <w:bottom w:val="single" w:sz="4" w:space="0" w:color="auto"/>
            </w:tcBorders>
            <w:vAlign w:val="bottom"/>
          </w:tcPr>
          <w:p w14:paraId="4FA57AA3"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715</w:t>
            </w:r>
          </w:p>
        </w:tc>
        <w:tc>
          <w:tcPr>
            <w:tcW w:w="1878" w:type="pct"/>
            <w:tcBorders>
              <w:top w:val="single" w:sz="4" w:space="0" w:color="auto"/>
              <w:bottom w:val="single" w:sz="4" w:space="0" w:color="auto"/>
            </w:tcBorders>
            <w:vAlign w:val="bottom"/>
          </w:tcPr>
          <w:p w14:paraId="1A5E9BC1"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077</w:t>
            </w:r>
          </w:p>
        </w:tc>
      </w:tr>
      <w:tr w:rsidR="00C01716" w:rsidRPr="009E2595" w14:paraId="033B579A" w14:textId="77777777" w:rsidTr="005B61BB">
        <w:trPr>
          <w:trHeight w:val="245"/>
          <w:jc w:val="right"/>
        </w:trPr>
        <w:tc>
          <w:tcPr>
            <w:tcW w:w="1705" w:type="pct"/>
            <w:tcBorders>
              <w:top w:val="single" w:sz="4" w:space="0" w:color="auto"/>
              <w:bottom w:val="single" w:sz="4" w:space="0" w:color="auto"/>
            </w:tcBorders>
            <w:vAlign w:val="bottom"/>
          </w:tcPr>
          <w:p w14:paraId="5A72F2EE" w14:textId="77777777" w:rsidR="00C01716" w:rsidRPr="009B1322" w:rsidRDefault="00C01716" w:rsidP="00C01716">
            <w:pPr>
              <w:pStyle w:val="Tabletext"/>
              <w:rPr>
                <w:snapToGrid w:val="0"/>
              </w:rPr>
            </w:pPr>
            <w:r w:rsidRPr="009B1322">
              <w:rPr>
                <w:snapToGrid w:val="0"/>
              </w:rPr>
              <w:t>43</w:t>
            </w:r>
          </w:p>
        </w:tc>
        <w:tc>
          <w:tcPr>
            <w:tcW w:w="1417" w:type="pct"/>
            <w:tcBorders>
              <w:top w:val="single" w:sz="4" w:space="0" w:color="auto"/>
              <w:bottom w:val="single" w:sz="4" w:space="0" w:color="auto"/>
            </w:tcBorders>
            <w:vAlign w:val="bottom"/>
          </w:tcPr>
          <w:p w14:paraId="06DE702D"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618</w:t>
            </w:r>
          </w:p>
        </w:tc>
        <w:tc>
          <w:tcPr>
            <w:tcW w:w="1878" w:type="pct"/>
            <w:tcBorders>
              <w:top w:val="single" w:sz="4" w:space="0" w:color="auto"/>
              <w:bottom w:val="single" w:sz="4" w:space="0" w:color="auto"/>
            </w:tcBorders>
            <w:vAlign w:val="bottom"/>
          </w:tcPr>
          <w:p w14:paraId="1E822E6A"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004</w:t>
            </w:r>
          </w:p>
        </w:tc>
      </w:tr>
      <w:tr w:rsidR="00C01716" w:rsidRPr="009E2595" w14:paraId="43A499EC" w14:textId="77777777" w:rsidTr="005B61BB">
        <w:trPr>
          <w:trHeight w:val="245"/>
          <w:jc w:val="right"/>
        </w:trPr>
        <w:tc>
          <w:tcPr>
            <w:tcW w:w="1705" w:type="pct"/>
            <w:tcBorders>
              <w:top w:val="single" w:sz="4" w:space="0" w:color="auto"/>
              <w:bottom w:val="single" w:sz="4" w:space="0" w:color="auto"/>
            </w:tcBorders>
            <w:vAlign w:val="bottom"/>
          </w:tcPr>
          <w:p w14:paraId="169C602D" w14:textId="77777777" w:rsidR="00C01716" w:rsidRPr="009B1322" w:rsidRDefault="00C01716" w:rsidP="00C01716">
            <w:pPr>
              <w:pStyle w:val="Tabletext"/>
              <w:rPr>
                <w:snapToGrid w:val="0"/>
              </w:rPr>
            </w:pPr>
            <w:r w:rsidRPr="009B1322">
              <w:rPr>
                <w:snapToGrid w:val="0"/>
              </w:rPr>
              <w:t>44</w:t>
            </w:r>
          </w:p>
        </w:tc>
        <w:tc>
          <w:tcPr>
            <w:tcW w:w="1417" w:type="pct"/>
            <w:tcBorders>
              <w:top w:val="single" w:sz="4" w:space="0" w:color="auto"/>
              <w:bottom w:val="single" w:sz="4" w:space="0" w:color="auto"/>
            </w:tcBorders>
            <w:vAlign w:val="bottom"/>
          </w:tcPr>
          <w:p w14:paraId="08225ECB"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521</w:t>
            </w:r>
          </w:p>
        </w:tc>
        <w:tc>
          <w:tcPr>
            <w:tcW w:w="1878" w:type="pct"/>
            <w:tcBorders>
              <w:top w:val="single" w:sz="4" w:space="0" w:color="auto"/>
              <w:bottom w:val="single" w:sz="4" w:space="0" w:color="auto"/>
            </w:tcBorders>
            <w:vAlign w:val="bottom"/>
          </w:tcPr>
          <w:p w14:paraId="299B3DF5"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931</w:t>
            </w:r>
          </w:p>
        </w:tc>
      </w:tr>
      <w:tr w:rsidR="00C01716" w:rsidRPr="009E2595" w14:paraId="7FEF8CFF" w14:textId="77777777" w:rsidTr="005B61BB">
        <w:trPr>
          <w:trHeight w:val="245"/>
          <w:jc w:val="right"/>
        </w:trPr>
        <w:tc>
          <w:tcPr>
            <w:tcW w:w="1705" w:type="pct"/>
            <w:tcBorders>
              <w:top w:val="single" w:sz="4" w:space="0" w:color="auto"/>
              <w:bottom w:val="single" w:sz="4" w:space="0" w:color="auto"/>
            </w:tcBorders>
            <w:vAlign w:val="bottom"/>
          </w:tcPr>
          <w:p w14:paraId="1CB1DC3C" w14:textId="77777777" w:rsidR="00C01716" w:rsidRPr="009B1322" w:rsidRDefault="00C01716" w:rsidP="00C01716">
            <w:pPr>
              <w:pStyle w:val="Tabletext"/>
              <w:rPr>
                <w:snapToGrid w:val="0"/>
              </w:rPr>
            </w:pPr>
            <w:r w:rsidRPr="009B1322">
              <w:rPr>
                <w:snapToGrid w:val="0"/>
              </w:rPr>
              <w:t>45</w:t>
            </w:r>
          </w:p>
        </w:tc>
        <w:tc>
          <w:tcPr>
            <w:tcW w:w="1417" w:type="pct"/>
            <w:tcBorders>
              <w:top w:val="single" w:sz="4" w:space="0" w:color="auto"/>
              <w:bottom w:val="single" w:sz="4" w:space="0" w:color="auto"/>
            </w:tcBorders>
            <w:vAlign w:val="bottom"/>
          </w:tcPr>
          <w:p w14:paraId="6E5ABA0B"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424</w:t>
            </w:r>
          </w:p>
        </w:tc>
        <w:tc>
          <w:tcPr>
            <w:tcW w:w="1878" w:type="pct"/>
            <w:tcBorders>
              <w:top w:val="single" w:sz="4" w:space="0" w:color="auto"/>
              <w:bottom w:val="single" w:sz="4" w:space="0" w:color="auto"/>
            </w:tcBorders>
            <w:vAlign w:val="bottom"/>
          </w:tcPr>
          <w:p w14:paraId="29A02671"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857</w:t>
            </w:r>
          </w:p>
        </w:tc>
      </w:tr>
      <w:tr w:rsidR="00C01716" w:rsidRPr="009E2595" w14:paraId="18C201EA" w14:textId="77777777" w:rsidTr="005B61BB">
        <w:trPr>
          <w:trHeight w:val="245"/>
          <w:jc w:val="right"/>
        </w:trPr>
        <w:tc>
          <w:tcPr>
            <w:tcW w:w="1705" w:type="pct"/>
            <w:tcBorders>
              <w:top w:val="single" w:sz="4" w:space="0" w:color="auto"/>
              <w:bottom w:val="single" w:sz="4" w:space="0" w:color="auto"/>
            </w:tcBorders>
            <w:vAlign w:val="bottom"/>
          </w:tcPr>
          <w:p w14:paraId="24010B93" w14:textId="77777777" w:rsidR="00C01716" w:rsidRPr="009B1322" w:rsidRDefault="00C01716" w:rsidP="00C01716">
            <w:pPr>
              <w:pStyle w:val="Tabletext"/>
              <w:rPr>
                <w:snapToGrid w:val="0"/>
              </w:rPr>
            </w:pPr>
            <w:r w:rsidRPr="009B1322">
              <w:rPr>
                <w:snapToGrid w:val="0"/>
              </w:rPr>
              <w:t>46</w:t>
            </w:r>
          </w:p>
        </w:tc>
        <w:tc>
          <w:tcPr>
            <w:tcW w:w="1417" w:type="pct"/>
            <w:tcBorders>
              <w:top w:val="single" w:sz="4" w:space="0" w:color="auto"/>
              <w:bottom w:val="single" w:sz="4" w:space="0" w:color="auto"/>
            </w:tcBorders>
            <w:vAlign w:val="bottom"/>
          </w:tcPr>
          <w:p w14:paraId="5725C078"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327</w:t>
            </w:r>
          </w:p>
        </w:tc>
        <w:tc>
          <w:tcPr>
            <w:tcW w:w="1878" w:type="pct"/>
            <w:tcBorders>
              <w:top w:val="single" w:sz="4" w:space="0" w:color="auto"/>
              <w:bottom w:val="single" w:sz="4" w:space="0" w:color="auto"/>
            </w:tcBorders>
            <w:vAlign w:val="bottom"/>
          </w:tcPr>
          <w:p w14:paraId="5E55B307"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784</w:t>
            </w:r>
          </w:p>
        </w:tc>
      </w:tr>
      <w:tr w:rsidR="00C01716" w:rsidRPr="009E2595" w14:paraId="02900CF7" w14:textId="77777777" w:rsidTr="005B61BB">
        <w:trPr>
          <w:trHeight w:val="245"/>
          <w:jc w:val="right"/>
        </w:trPr>
        <w:tc>
          <w:tcPr>
            <w:tcW w:w="1705" w:type="pct"/>
            <w:tcBorders>
              <w:top w:val="single" w:sz="4" w:space="0" w:color="auto"/>
              <w:bottom w:val="single" w:sz="4" w:space="0" w:color="auto"/>
            </w:tcBorders>
            <w:vAlign w:val="bottom"/>
          </w:tcPr>
          <w:p w14:paraId="65D036D6" w14:textId="77777777" w:rsidR="00C01716" w:rsidRPr="009B1322" w:rsidRDefault="00C01716" w:rsidP="00C01716">
            <w:pPr>
              <w:pStyle w:val="Tabletext"/>
              <w:rPr>
                <w:snapToGrid w:val="0"/>
              </w:rPr>
            </w:pPr>
            <w:r w:rsidRPr="009B1322">
              <w:rPr>
                <w:snapToGrid w:val="0"/>
              </w:rPr>
              <w:t>47</w:t>
            </w:r>
          </w:p>
        </w:tc>
        <w:tc>
          <w:tcPr>
            <w:tcW w:w="1417" w:type="pct"/>
            <w:tcBorders>
              <w:top w:val="single" w:sz="4" w:space="0" w:color="auto"/>
              <w:bottom w:val="single" w:sz="4" w:space="0" w:color="auto"/>
            </w:tcBorders>
            <w:vAlign w:val="bottom"/>
          </w:tcPr>
          <w:p w14:paraId="7FD49EDB"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230</w:t>
            </w:r>
          </w:p>
        </w:tc>
        <w:tc>
          <w:tcPr>
            <w:tcW w:w="1878" w:type="pct"/>
            <w:tcBorders>
              <w:top w:val="single" w:sz="4" w:space="0" w:color="auto"/>
              <w:bottom w:val="single" w:sz="4" w:space="0" w:color="auto"/>
            </w:tcBorders>
            <w:vAlign w:val="bottom"/>
          </w:tcPr>
          <w:p w14:paraId="1ADF4613"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710</w:t>
            </w:r>
          </w:p>
        </w:tc>
      </w:tr>
      <w:tr w:rsidR="00C01716" w:rsidRPr="009E2595" w14:paraId="297FDAB3" w14:textId="77777777" w:rsidTr="005B61BB">
        <w:trPr>
          <w:trHeight w:val="245"/>
          <w:jc w:val="right"/>
        </w:trPr>
        <w:tc>
          <w:tcPr>
            <w:tcW w:w="1705" w:type="pct"/>
            <w:tcBorders>
              <w:top w:val="single" w:sz="4" w:space="0" w:color="auto"/>
              <w:bottom w:val="single" w:sz="4" w:space="0" w:color="auto"/>
            </w:tcBorders>
            <w:vAlign w:val="bottom"/>
          </w:tcPr>
          <w:p w14:paraId="6B4E0CD6" w14:textId="77777777" w:rsidR="00C01716" w:rsidRPr="009B1322" w:rsidRDefault="00C01716" w:rsidP="00C01716">
            <w:pPr>
              <w:pStyle w:val="Tabletext"/>
              <w:rPr>
                <w:snapToGrid w:val="0"/>
              </w:rPr>
            </w:pPr>
            <w:r w:rsidRPr="009B1322">
              <w:rPr>
                <w:snapToGrid w:val="0"/>
              </w:rPr>
              <w:t>48</w:t>
            </w:r>
          </w:p>
        </w:tc>
        <w:tc>
          <w:tcPr>
            <w:tcW w:w="1417" w:type="pct"/>
            <w:tcBorders>
              <w:top w:val="single" w:sz="4" w:space="0" w:color="auto"/>
              <w:bottom w:val="single" w:sz="4" w:space="0" w:color="auto"/>
            </w:tcBorders>
            <w:vAlign w:val="bottom"/>
          </w:tcPr>
          <w:p w14:paraId="2C4F54EC"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133</w:t>
            </w:r>
          </w:p>
        </w:tc>
        <w:tc>
          <w:tcPr>
            <w:tcW w:w="1878" w:type="pct"/>
            <w:tcBorders>
              <w:top w:val="single" w:sz="4" w:space="0" w:color="auto"/>
              <w:bottom w:val="single" w:sz="4" w:space="0" w:color="auto"/>
            </w:tcBorders>
            <w:vAlign w:val="bottom"/>
          </w:tcPr>
          <w:p w14:paraId="7A79B0C8"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637</w:t>
            </w:r>
          </w:p>
        </w:tc>
      </w:tr>
      <w:tr w:rsidR="00C01716" w:rsidRPr="009E2595" w14:paraId="43CB8E0C" w14:textId="77777777" w:rsidTr="005B61BB">
        <w:trPr>
          <w:trHeight w:val="245"/>
          <w:jc w:val="right"/>
        </w:trPr>
        <w:tc>
          <w:tcPr>
            <w:tcW w:w="1705" w:type="pct"/>
            <w:tcBorders>
              <w:top w:val="single" w:sz="4" w:space="0" w:color="auto"/>
              <w:bottom w:val="single" w:sz="4" w:space="0" w:color="auto"/>
            </w:tcBorders>
            <w:vAlign w:val="bottom"/>
          </w:tcPr>
          <w:p w14:paraId="28F5CA30" w14:textId="77777777" w:rsidR="00C01716" w:rsidRPr="009B1322" w:rsidRDefault="00C01716" w:rsidP="00C01716">
            <w:pPr>
              <w:pStyle w:val="Tabletext"/>
              <w:rPr>
                <w:snapToGrid w:val="0"/>
              </w:rPr>
            </w:pPr>
            <w:r w:rsidRPr="009B1322">
              <w:rPr>
                <w:snapToGrid w:val="0"/>
              </w:rPr>
              <w:t>49</w:t>
            </w:r>
          </w:p>
        </w:tc>
        <w:tc>
          <w:tcPr>
            <w:tcW w:w="1417" w:type="pct"/>
            <w:tcBorders>
              <w:top w:val="single" w:sz="4" w:space="0" w:color="auto"/>
              <w:bottom w:val="single" w:sz="4" w:space="0" w:color="auto"/>
            </w:tcBorders>
            <w:vAlign w:val="bottom"/>
          </w:tcPr>
          <w:p w14:paraId="785A6003" w14:textId="77777777" w:rsidR="00C01716" w:rsidRPr="00C01716" w:rsidRDefault="00C01716" w:rsidP="00C01716">
            <w:pPr>
              <w:pStyle w:val="Tabletext"/>
              <w:rPr>
                <w:snapToGrid w:val="0"/>
                <w:color w:val="000000" w:themeColor="text1"/>
              </w:rPr>
            </w:pPr>
            <w:r w:rsidRPr="00C01716">
              <w:rPr>
                <w:color w:val="000000" w:themeColor="text1"/>
              </w:rPr>
              <w:t>2</w:t>
            </w:r>
            <w:r w:rsidR="00D7157D">
              <w:rPr>
                <w:color w:val="000000" w:themeColor="text1"/>
              </w:rPr>
              <w:t>.</w:t>
            </w:r>
            <w:r w:rsidRPr="00C01716">
              <w:rPr>
                <w:color w:val="000000" w:themeColor="text1"/>
              </w:rPr>
              <w:t>037</w:t>
            </w:r>
          </w:p>
        </w:tc>
        <w:tc>
          <w:tcPr>
            <w:tcW w:w="1878" w:type="pct"/>
            <w:tcBorders>
              <w:top w:val="single" w:sz="4" w:space="0" w:color="auto"/>
              <w:bottom w:val="single" w:sz="4" w:space="0" w:color="auto"/>
            </w:tcBorders>
            <w:vAlign w:val="bottom"/>
          </w:tcPr>
          <w:p w14:paraId="3E22455B"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563</w:t>
            </w:r>
          </w:p>
        </w:tc>
      </w:tr>
      <w:tr w:rsidR="00C01716" w:rsidRPr="009E2595" w14:paraId="2C9F4015" w14:textId="77777777" w:rsidTr="005B61BB">
        <w:trPr>
          <w:trHeight w:val="245"/>
          <w:jc w:val="right"/>
        </w:trPr>
        <w:tc>
          <w:tcPr>
            <w:tcW w:w="1705" w:type="pct"/>
            <w:tcBorders>
              <w:top w:val="single" w:sz="4" w:space="0" w:color="auto"/>
              <w:bottom w:val="single" w:sz="4" w:space="0" w:color="auto"/>
            </w:tcBorders>
            <w:vAlign w:val="bottom"/>
          </w:tcPr>
          <w:p w14:paraId="731541F7" w14:textId="77777777" w:rsidR="00C01716" w:rsidRPr="009B1322" w:rsidRDefault="00C01716" w:rsidP="00C01716">
            <w:pPr>
              <w:pStyle w:val="Tabletext"/>
              <w:rPr>
                <w:snapToGrid w:val="0"/>
              </w:rPr>
            </w:pPr>
            <w:r w:rsidRPr="009B1322">
              <w:rPr>
                <w:snapToGrid w:val="0"/>
              </w:rPr>
              <w:t>50</w:t>
            </w:r>
          </w:p>
        </w:tc>
        <w:tc>
          <w:tcPr>
            <w:tcW w:w="1417" w:type="pct"/>
            <w:tcBorders>
              <w:top w:val="single" w:sz="4" w:space="0" w:color="auto"/>
              <w:bottom w:val="single" w:sz="4" w:space="0" w:color="auto"/>
            </w:tcBorders>
            <w:vAlign w:val="bottom"/>
          </w:tcPr>
          <w:p w14:paraId="1190983F"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940</w:t>
            </w:r>
          </w:p>
        </w:tc>
        <w:tc>
          <w:tcPr>
            <w:tcW w:w="1878" w:type="pct"/>
            <w:tcBorders>
              <w:top w:val="single" w:sz="4" w:space="0" w:color="auto"/>
              <w:bottom w:val="single" w:sz="4" w:space="0" w:color="auto"/>
            </w:tcBorders>
            <w:vAlign w:val="bottom"/>
          </w:tcPr>
          <w:p w14:paraId="732D5192"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490</w:t>
            </w:r>
          </w:p>
        </w:tc>
      </w:tr>
      <w:tr w:rsidR="00C01716" w:rsidRPr="009E2595" w14:paraId="7F7D80B8" w14:textId="77777777" w:rsidTr="005B61BB">
        <w:trPr>
          <w:trHeight w:val="245"/>
          <w:jc w:val="right"/>
        </w:trPr>
        <w:tc>
          <w:tcPr>
            <w:tcW w:w="1705" w:type="pct"/>
            <w:tcBorders>
              <w:top w:val="single" w:sz="4" w:space="0" w:color="auto"/>
              <w:bottom w:val="single" w:sz="4" w:space="0" w:color="auto"/>
            </w:tcBorders>
            <w:vAlign w:val="bottom"/>
          </w:tcPr>
          <w:p w14:paraId="746A2AC9" w14:textId="77777777" w:rsidR="00C01716" w:rsidRPr="009B1322" w:rsidRDefault="00C01716" w:rsidP="00C01716">
            <w:pPr>
              <w:pStyle w:val="Tabletext"/>
              <w:rPr>
                <w:snapToGrid w:val="0"/>
              </w:rPr>
            </w:pPr>
            <w:r w:rsidRPr="009B1322">
              <w:rPr>
                <w:snapToGrid w:val="0"/>
              </w:rPr>
              <w:t>51</w:t>
            </w:r>
          </w:p>
        </w:tc>
        <w:tc>
          <w:tcPr>
            <w:tcW w:w="1417" w:type="pct"/>
            <w:tcBorders>
              <w:top w:val="single" w:sz="4" w:space="0" w:color="auto"/>
              <w:bottom w:val="single" w:sz="4" w:space="0" w:color="auto"/>
            </w:tcBorders>
            <w:vAlign w:val="bottom"/>
          </w:tcPr>
          <w:p w14:paraId="27F853F6"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649</w:t>
            </w:r>
          </w:p>
        </w:tc>
        <w:tc>
          <w:tcPr>
            <w:tcW w:w="1878" w:type="pct"/>
            <w:tcBorders>
              <w:top w:val="single" w:sz="4" w:space="0" w:color="auto"/>
              <w:bottom w:val="single" w:sz="4" w:space="0" w:color="auto"/>
            </w:tcBorders>
            <w:vAlign w:val="bottom"/>
          </w:tcPr>
          <w:p w14:paraId="7CB9D06B"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416</w:t>
            </w:r>
          </w:p>
        </w:tc>
      </w:tr>
      <w:tr w:rsidR="00C01716" w:rsidRPr="009E2595" w14:paraId="3D028B95" w14:textId="77777777" w:rsidTr="005B61BB">
        <w:trPr>
          <w:trHeight w:val="245"/>
          <w:jc w:val="right"/>
        </w:trPr>
        <w:tc>
          <w:tcPr>
            <w:tcW w:w="1705" w:type="pct"/>
            <w:tcBorders>
              <w:top w:val="single" w:sz="4" w:space="0" w:color="auto"/>
              <w:bottom w:val="single" w:sz="4" w:space="0" w:color="auto"/>
            </w:tcBorders>
            <w:vAlign w:val="bottom"/>
          </w:tcPr>
          <w:p w14:paraId="0CC009C2" w14:textId="77777777" w:rsidR="00C01716" w:rsidRPr="009B1322" w:rsidRDefault="00C01716" w:rsidP="00C01716">
            <w:pPr>
              <w:pStyle w:val="Tabletext"/>
              <w:rPr>
                <w:snapToGrid w:val="0"/>
              </w:rPr>
            </w:pPr>
            <w:r w:rsidRPr="009B1322">
              <w:rPr>
                <w:snapToGrid w:val="0"/>
              </w:rPr>
              <w:t>52</w:t>
            </w:r>
          </w:p>
        </w:tc>
        <w:tc>
          <w:tcPr>
            <w:tcW w:w="1417" w:type="pct"/>
            <w:tcBorders>
              <w:top w:val="single" w:sz="4" w:space="0" w:color="auto"/>
              <w:bottom w:val="single" w:sz="4" w:space="0" w:color="auto"/>
            </w:tcBorders>
            <w:vAlign w:val="bottom"/>
          </w:tcPr>
          <w:p w14:paraId="3E431525"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358</w:t>
            </w:r>
          </w:p>
        </w:tc>
        <w:tc>
          <w:tcPr>
            <w:tcW w:w="1878" w:type="pct"/>
            <w:tcBorders>
              <w:top w:val="single" w:sz="4" w:space="0" w:color="auto"/>
              <w:bottom w:val="single" w:sz="4" w:space="0" w:color="auto"/>
            </w:tcBorders>
            <w:vAlign w:val="bottom"/>
          </w:tcPr>
          <w:p w14:paraId="2E8EF2BA"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343</w:t>
            </w:r>
          </w:p>
        </w:tc>
      </w:tr>
      <w:tr w:rsidR="00C01716" w:rsidRPr="009E2595" w14:paraId="3D0F6F15" w14:textId="77777777" w:rsidTr="005B61BB">
        <w:trPr>
          <w:trHeight w:val="245"/>
          <w:jc w:val="right"/>
        </w:trPr>
        <w:tc>
          <w:tcPr>
            <w:tcW w:w="1705" w:type="pct"/>
            <w:tcBorders>
              <w:top w:val="single" w:sz="4" w:space="0" w:color="auto"/>
              <w:bottom w:val="single" w:sz="4" w:space="0" w:color="auto"/>
            </w:tcBorders>
            <w:vAlign w:val="bottom"/>
          </w:tcPr>
          <w:p w14:paraId="25B1ADF2" w14:textId="77777777" w:rsidR="00C01716" w:rsidRPr="009B1322" w:rsidRDefault="00C01716" w:rsidP="00C01716">
            <w:pPr>
              <w:pStyle w:val="Tabletext"/>
              <w:rPr>
                <w:snapToGrid w:val="0"/>
              </w:rPr>
            </w:pPr>
            <w:r w:rsidRPr="009B1322">
              <w:rPr>
                <w:snapToGrid w:val="0"/>
              </w:rPr>
              <w:t>53</w:t>
            </w:r>
          </w:p>
        </w:tc>
        <w:tc>
          <w:tcPr>
            <w:tcW w:w="1417" w:type="pct"/>
            <w:tcBorders>
              <w:top w:val="single" w:sz="4" w:space="0" w:color="auto"/>
              <w:bottom w:val="single" w:sz="4" w:space="0" w:color="auto"/>
            </w:tcBorders>
            <w:vAlign w:val="bottom"/>
          </w:tcPr>
          <w:p w14:paraId="2C6AD616" w14:textId="77777777" w:rsidR="00C01716" w:rsidRPr="00C01716" w:rsidRDefault="00C01716" w:rsidP="00C01716">
            <w:pPr>
              <w:pStyle w:val="Tabletext"/>
              <w:rPr>
                <w:snapToGrid w:val="0"/>
                <w:color w:val="000000" w:themeColor="text1"/>
              </w:rPr>
            </w:pPr>
            <w:r w:rsidRPr="00C01716">
              <w:rPr>
                <w:color w:val="000000" w:themeColor="text1"/>
              </w:rPr>
              <w:t>1</w:t>
            </w:r>
            <w:r w:rsidR="00D7157D">
              <w:rPr>
                <w:color w:val="000000" w:themeColor="text1"/>
              </w:rPr>
              <w:t>.</w:t>
            </w:r>
            <w:r w:rsidRPr="00C01716">
              <w:rPr>
                <w:color w:val="000000" w:themeColor="text1"/>
              </w:rPr>
              <w:t>067</w:t>
            </w:r>
          </w:p>
        </w:tc>
        <w:tc>
          <w:tcPr>
            <w:tcW w:w="1878" w:type="pct"/>
            <w:tcBorders>
              <w:top w:val="single" w:sz="4" w:space="0" w:color="auto"/>
              <w:bottom w:val="single" w:sz="4" w:space="0" w:color="auto"/>
            </w:tcBorders>
            <w:vAlign w:val="bottom"/>
          </w:tcPr>
          <w:p w14:paraId="19A3D42D"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269</w:t>
            </w:r>
          </w:p>
        </w:tc>
      </w:tr>
      <w:tr w:rsidR="00C01716" w:rsidRPr="009E2595" w14:paraId="49AFADE6" w14:textId="77777777" w:rsidTr="005B61BB">
        <w:trPr>
          <w:trHeight w:val="245"/>
          <w:jc w:val="right"/>
        </w:trPr>
        <w:tc>
          <w:tcPr>
            <w:tcW w:w="1705" w:type="pct"/>
            <w:tcBorders>
              <w:top w:val="single" w:sz="4" w:space="0" w:color="auto"/>
              <w:bottom w:val="single" w:sz="4" w:space="0" w:color="auto"/>
            </w:tcBorders>
            <w:vAlign w:val="bottom"/>
          </w:tcPr>
          <w:p w14:paraId="14253CF7" w14:textId="77777777" w:rsidR="00C01716" w:rsidRPr="009B1322" w:rsidRDefault="00C01716" w:rsidP="00C01716">
            <w:pPr>
              <w:pStyle w:val="Tabletext"/>
              <w:rPr>
                <w:snapToGrid w:val="0"/>
              </w:rPr>
            </w:pPr>
            <w:r w:rsidRPr="009B1322">
              <w:rPr>
                <w:snapToGrid w:val="0"/>
              </w:rPr>
              <w:t>54</w:t>
            </w:r>
          </w:p>
        </w:tc>
        <w:tc>
          <w:tcPr>
            <w:tcW w:w="1417" w:type="pct"/>
            <w:tcBorders>
              <w:top w:val="single" w:sz="4" w:space="0" w:color="auto"/>
              <w:bottom w:val="single" w:sz="4" w:space="0" w:color="auto"/>
            </w:tcBorders>
            <w:vAlign w:val="bottom"/>
          </w:tcPr>
          <w:p w14:paraId="73A09C61"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776</w:t>
            </w:r>
          </w:p>
        </w:tc>
        <w:tc>
          <w:tcPr>
            <w:tcW w:w="1878" w:type="pct"/>
            <w:tcBorders>
              <w:top w:val="single" w:sz="4" w:space="0" w:color="auto"/>
              <w:bottom w:val="single" w:sz="4" w:space="0" w:color="auto"/>
            </w:tcBorders>
            <w:vAlign w:val="bottom"/>
          </w:tcPr>
          <w:p w14:paraId="739C2E78"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196</w:t>
            </w:r>
          </w:p>
        </w:tc>
      </w:tr>
      <w:tr w:rsidR="00C01716" w:rsidRPr="009E2595" w14:paraId="6373DB00" w14:textId="77777777" w:rsidTr="005B61BB">
        <w:trPr>
          <w:trHeight w:val="245"/>
          <w:jc w:val="right"/>
        </w:trPr>
        <w:tc>
          <w:tcPr>
            <w:tcW w:w="1705" w:type="pct"/>
            <w:tcBorders>
              <w:top w:val="single" w:sz="4" w:space="0" w:color="auto"/>
              <w:bottom w:val="single" w:sz="12" w:space="0" w:color="auto"/>
            </w:tcBorders>
            <w:vAlign w:val="bottom"/>
          </w:tcPr>
          <w:p w14:paraId="73AF3794" w14:textId="77777777" w:rsidR="00C01716" w:rsidRPr="009B1322" w:rsidRDefault="00C01716" w:rsidP="00C01716">
            <w:pPr>
              <w:pStyle w:val="Tabletext"/>
              <w:rPr>
                <w:snapToGrid w:val="0"/>
              </w:rPr>
            </w:pPr>
            <w:r w:rsidRPr="009B1322">
              <w:rPr>
                <w:snapToGrid w:val="0"/>
              </w:rPr>
              <w:t>55 and over</w:t>
            </w:r>
          </w:p>
        </w:tc>
        <w:tc>
          <w:tcPr>
            <w:tcW w:w="1417" w:type="pct"/>
            <w:tcBorders>
              <w:top w:val="single" w:sz="4" w:space="0" w:color="auto"/>
              <w:bottom w:val="single" w:sz="12" w:space="0" w:color="auto"/>
            </w:tcBorders>
            <w:vAlign w:val="bottom"/>
          </w:tcPr>
          <w:p w14:paraId="23F41F9B"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485</w:t>
            </w:r>
          </w:p>
        </w:tc>
        <w:tc>
          <w:tcPr>
            <w:tcW w:w="1878" w:type="pct"/>
            <w:tcBorders>
              <w:top w:val="single" w:sz="4" w:space="0" w:color="auto"/>
              <w:bottom w:val="single" w:sz="12" w:space="0" w:color="auto"/>
            </w:tcBorders>
            <w:vAlign w:val="bottom"/>
          </w:tcPr>
          <w:p w14:paraId="676D3414" w14:textId="77777777" w:rsidR="00C01716" w:rsidRPr="00C01716" w:rsidRDefault="00C01716" w:rsidP="00C01716">
            <w:pPr>
              <w:pStyle w:val="Tabletext"/>
              <w:rPr>
                <w:snapToGrid w:val="0"/>
                <w:color w:val="000000" w:themeColor="text1"/>
              </w:rPr>
            </w:pPr>
            <w:r w:rsidRPr="00C01716">
              <w:rPr>
                <w:color w:val="000000" w:themeColor="text1"/>
              </w:rPr>
              <w:t>0</w:t>
            </w:r>
            <w:r w:rsidR="00D7157D">
              <w:rPr>
                <w:color w:val="000000" w:themeColor="text1"/>
              </w:rPr>
              <w:t>.</w:t>
            </w:r>
            <w:r w:rsidRPr="00C01716">
              <w:rPr>
                <w:color w:val="000000" w:themeColor="text1"/>
              </w:rPr>
              <w:t>122</w:t>
            </w:r>
          </w:p>
        </w:tc>
      </w:tr>
    </w:tbl>
    <w:p w14:paraId="6EA572E0" w14:textId="4B8C00BF" w:rsidR="00612783" w:rsidRPr="00A058B6" w:rsidRDefault="00D7157D" w:rsidP="00612783">
      <w:pPr>
        <w:pStyle w:val="ActHead5"/>
      </w:pPr>
      <w:bookmarkStart w:id="269" w:name="_Toc188350747"/>
      <w:r w:rsidRPr="00423C34">
        <w:rPr>
          <w:rStyle w:val="CharSectno"/>
        </w:rPr>
        <w:t>31</w:t>
      </w:r>
      <w:r w:rsidR="00612783" w:rsidRPr="00A058B6">
        <w:t xml:space="preserve">  Valuation factors—10</w:t>
      </w:r>
      <w:r w:rsidR="001952B3">
        <w:noBreakHyphen/>
      </w:r>
      <w:r w:rsidR="00612783" w:rsidRPr="00A058B6">
        <w:t>year guarantee period—</w:t>
      </w:r>
      <w:r w:rsidR="00612783">
        <w:t>pension</w:t>
      </w:r>
      <w:r w:rsidR="00612783" w:rsidRPr="00A058B6">
        <w:t xml:space="preserve"> indexed </w:t>
      </w:r>
      <w:r w:rsidR="00612783">
        <w:t>at 4%</w:t>
      </w:r>
      <w:bookmarkEnd w:id="269"/>
    </w:p>
    <w:p w14:paraId="5C350072" w14:textId="77777777" w:rsidR="00612783" w:rsidRPr="00A058B6" w:rsidRDefault="00612783" w:rsidP="00612783">
      <w:pPr>
        <w:pStyle w:val="subsection"/>
      </w:pPr>
      <w:r w:rsidRPr="00A058B6">
        <w:tab/>
      </w:r>
      <w:r w:rsidRPr="00A058B6">
        <w:tab/>
        <w:t>The pension valuation factors and reversion valuation factors set out in this clause apply if the pension:</w:t>
      </w:r>
    </w:p>
    <w:p w14:paraId="785F0607" w14:textId="71F72443" w:rsidR="00612783" w:rsidRPr="00A058B6" w:rsidRDefault="00612783" w:rsidP="00612783">
      <w:pPr>
        <w:pStyle w:val="paragraph"/>
      </w:pPr>
      <w:r w:rsidRPr="00A058B6">
        <w:tab/>
        <w:t>(a)</w:t>
      </w:r>
      <w:r w:rsidRPr="00A058B6">
        <w:tab/>
        <w:t>has a 10</w:t>
      </w:r>
      <w:r w:rsidR="001952B3">
        <w:noBreakHyphen/>
      </w:r>
      <w:r w:rsidRPr="00A058B6">
        <w:t>year guarantee period; and</w:t>
      </w:r>
    </w:p>
    <w:p w14:paraId="70773AF8" w14:textId="77777777" w:rsidR="00612783" w:rsidRDefault="00612783" w:rsidP="00612783">
      <w:pPr>
        <w:pStyle w:val="paragraph"/>
      </w:pPr>
      <w:r w:rsidRPr="00A058B6">
        <w:tab/>
        <w:t>(b)</w:t>
      </w:r>
      <w:r w:rsidRPr="00A058B6">
        <w:tab/>
        <w:t xml:space="preserve">is indexed </w:t>
      </w:r>
      <w:r>
        <w:t>at 4%</w:t>
      </w:r>
      <w:r w:rsidR="00D7157D">
        <w:t>.</w:t>
      </w:r>
    </w:p>
    <w:p w14:paraId="291E22D2" w14:textId="77777777" w:rsidR="00612783" w:rsidRPr="00A058B6" w:rsidRDefault="00612783" w:rsidP="00612783">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12783" w:rsidRPr="00A058B6" w14:paraId="126FAE0A" w14:textId="77777777" w:rsidTr="00963115">
        <w:trPr>
          <w:cantSplit/>
          <w:trHeight w:val="375"/>
          <w:tblHeader/>
          <w:jc w:val="right"/>
        </w:trPr>
        <w:tc>
          <w:tcPr>
            <w:tcW w:w="1705" w:type="pct"/>
            <w:vMerge w:val="restart"/>
            <w:tcBorders>
              <w:top w:val="single" w:sz="12" w:space="0" w:color="auto"/>
              <w:bottom w:val="single" w:sz="12" w:space="0" w:color="auto"/>
            </w:tcBorders>
          </w:tcPr>
          <w:p w14:paraId="042AAD55" w14:textId="77777777" w:rsidR="00612783" w:rsidRPr="00A058B6" w:rsidRDefault="00612783"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74483D97" w14:textId="276E10C5" w:rsidR="00612783" w:rsidRPr="00A058B6" w:rsidRDefault="00612783"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w:t>
            </w:r>
            <w:r>
              <w:t>pension</w:t>
            </w:r>
            <w:r w:rsidRPr="00A058B6">
              <w:t xml:space="preserve"> indexed </w:t>
            </w:r>
            <w:r>
              <w:t>at 4%</w:t>
            </w:r>
          </w:p>
        </w:tc>
      </w:tr>
      <w:tr w:rsidR="00612783" w:rsidRPr="00A058B6" w14:paraId="2D95FA25" w14:textId="77777777" w:rsidTr="00963115">
        <w:trPr>
          <w:cantSplit/>
          <w:trHeight w:val="40"/>
          <w:tblHeader/>
          <w:jc w:val="right"/>
        </w:trPr>
        <w:tc>
          <w:tcPr>
            <w:tcW w:w="1705" w:type="pct"/>
            <w:vMerge/>
            <w:tcBorders>
              <w:bottom w:val="single" w:sz="12" w:space="0" w:color="auto"/>
            </w:tcBorders>
          </w:tcPr>
          <w:p w14:paraId="61746390" w14:textId="77777777" w:rsidR="00612783" w:rsidRPr="00A058B6" w:rsidRDefault="00612783" w:rsidP="00963115">
            <w:pPr>
              <w:pStyle w:val="TableHeading"/>
              <w:rPr>
                <w:snapToGrid w:val="0"/>
              </w:rPr>
            </w:pPr>
          </w:p>
        </w:tc>
        <w:tc>
          <w:tcPr>
            <w:tcW w:w="1429" w:type="pct"/>
            <w:tcBorders>
              <w:top w:val="single" w:sz="4" w:space="0" w:color="auto"/>
              <w:bottom w:val="single" w:sz="12" w:space="0" w:color="auto"/>
            </w:tcBorders>
          </w:tcPr>
          <w:p w14:paraId="491C726A" w14:textId="77777777" w:rsidR="00612783" w:rsidRPr="00A058B6" w:rsidRDefault="00612783"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635E23F3" w14:textId="77777777" w:rsidR="00612783" w:rsidRPr="00A058B6" w:rsidRDefault="00612783" w:rsidP="00963115">
            <w:pPr>
              <w:pStyle w:val="TableHeading"/>
              <w:rPr>
                <w:snapToGrid w:val="0"/>
              </w:rPr>
            </w:pPr>
            <w:r w:rsidRPr="00A058B6">
              <w:rPr>
                <w:snapToGrid w:val="0"/>
              </w:rPr>
              <w:t>Female</w:t>
            </w:r>
          </w:p>
        </w:tc>
      </w:tr>
      <w:tr w:rsidR="00612783" w:rsidRPr="009E2595" w14:paraId="1C647465" w14:textId="77777777" w:rsidTr="00143C85">
        <w:trPr>
          <w:trHeight w:val="245"/>
          <w:jc w:val="right"/>
        </w:trPr>
        <w:tc>
          <w:tcPr>
            <w:tcW w:w="1705" w:type="pct"/>
            <w:tcBorders>
              <w:top w:val="single" w:sz="12" w:space="0" w:color="auto"/>
              <w:bottom w:val="single" w:sz="4" w:space="0" w:color="auto"/>
            </w:tcBorders>
            <w:vAlign w:val="bottom"/>
          </w:tcPr>
          <w:p w14:paraId="6DAA2140" w14:textId="77777777" w:rsidR="00612783" w:rsidRPr="00616B26" w:rsidRDefault="00612783" w:rsidP="00143C85">
            <w:pPr>
              <w:pStyle w:val="Tabletext"/>
              <w:rPr>
                <w:snapToGrid w:val="0"/>
              </w:rPr>
            </w:pPr>
            <w:r w:rsidRPr="00616B26">
              <w:rPr>
                <w:snapToGrid w:val="0"/>
              </w:rPr>
              <w:t>55</w:t>
            </w:r>
          </w:p>
        </w:tc>
        <w:tc>
          <w:tcPr>
            <w:tcW w:w="1429" w:type="pct"/>
            <w:tcBorders>
              <w:top w:val="single" w:sz="12" w:space="0" w:color="auto"/>
              <w:bottom w:val="single" w:sz="4" w:space="0" w:color="auto"/>
            </w:tcBorders>
            <w:vAlign w:val="bottom"/>
          </w:tcPr>
          <w:p w14:paraId="32CA7CDA" w14:textId="77777777" w:rsidR="00612783" w:rsidRPr="00DD19E6" w:rsidRDefault="00612783" w:rsidP="00143C85">
            <w:pPr>
              <w:pStyle w:val="Tabletext"/>
              <w:rPr>
                <w:snapToGrid w:val="0"/>
              </w:rPr>
            </w:pPr>
            <w:r w:rsidRPr="00295986">
              <w:t>24</w:t>
            </w:r>
            <w:r w:rsidR="00D7157D">
              <w:t>.</w:t>
            </w:r>
            <w:r w:rsidRPr="00295986">
              <w:t>4606</w:t>
            </w:r>
          </w:p>
        </w:tc>
        <w:tc>
          <w:tcPr>
            <w:tcW w:w="1866" w:type="pct"/>
            <w:tcBorders>
              <w:top w:val="single" w:sz="12" w:space="0" w:color="auto"/>
              <w:bottom w:val="single" w:sz="4" w:space="0" w:color="auto"/>
            </w:tcBorders>
            <w:vAlign w:val="bottom"/>
          </w:tcPr>
          <w:p w14:paraId="1D24808D" w14:textId="77777777" w:rsidR="00612783" w:rsidRPr="00DD19E6" w:rsidRDefault="00612783" w:rsidP="00143C85">
            <w:pPr>
              <w:pStyle w:val="Tabletext"/>
              <w:rPr>
                <w:snapToGrid w:val="0"/>
              </w:rPr>
            </w:pPr>
            <w:r w:rsidRPr="00295986">
              <w:t>25</w:t>
            </w:r>
            <w:r w:rsidR="00D7157D">
              <w:t>.</w:t>
            </w:r>
            <w:r w:rsidRPr="00295986">
              <w:t>7075</w:t>
            </w:r>
          </w:p>
        </w:tc>
      </w:tr>
      <w:tr w:rsidR="00612783" w:rsidRPr="009E2595" w14:paraId="57F556EB" w14:textId="77777777" w:rsidTr="00143C85">
        <w:trPr>
          <w:trHeight w:val="245"/>
          <w:jc w:val="right"/>
        </w:trPr>
        <w:tc>
          <w:tcPr>
            <w:tcW w:w="1705" w:type="pct"/>
            <w:tcBorders>
              <w:top w:val="single" w:sz="4" w:space="0" w:color="auto"/>
              <w:bottom w:val="single" w:sz="4" w:space="0" w:color="auto"/>
            </w:tcBorders>
            <w:vAlign w:val="bottom"/>
          </w:tcPr>
          <w:p w14:paraId="54D211FE" w14:textId="77777777" w:rsidR="00612783" w:rsidRPr="00616B26" w:rsidRDefault="00612783" w:rsidP="00143C85">
            <w:pPr>
              <w:pStyle w:val="Tabletext"/>
              <w:rPr>
                <w:snapToGrid w:val="0"/>
              </w:rPr>
            </w:pPr>
            <w:r w:rsidRPr="00616B26">
              <w:rPr>
                <w:snapToGrid w:val="0"/>
              </w:rPr>
              <w:t>56</w:t>
            </w:r>
          </w:p>
        </w:tc>
        <w:tc>
          <w:tcPr>
            <w:tcW w:w="1429" w:type="pct"/>
            <w:tcBorders>
              <w:top w:val="single" w:sz="4" w:space="0" w:color="auto"/>
              <w:bottom w:val="single" w:sz="4" w:space="0" w:color="auto"/>
            </w:tcBorders>
            <w:vAlign w:val="bottom"/>
          </w:tcPr>
          <w:p w14:paraId="1A092C2C" w14:textId="77777777" w:rsidR="00612783" w:rsidRPr="00DD19E6" w:rsidRDefault="00612783" w:rsidP="00143C85">
            <w:pPr>
              <w:pStyle w:val="Tabletext"/>
              <w:rPr>
                <w:snapToGrid w:val="0"/>
              </w:rPr>
            </w:pPr>
            <w:r w:rsidRPr="00295986">
              <w:t>23</w:t>
            </w:r>
            <w:r w:rsidR="00D7157D">
              <w:t>.</w:t>
            </w:r>
            <w:r w:rsidRPr="00295986">
              <w:t>9371</w:t>
            </w:r>
          </w:p>
        </w:tc>
        <w:tc>
          <w:tcPr>
            <w:tcW w:w="1866" w:type="pct"/>
            <w:tcBorders>
              <w:top w:val="single" w:sz="4" w:space="0" w:color="auto"/>
              <w:bottom w:val="single" w:sz="4" w:space="0" w:color="auto"/>
            </w:tcBorders>
            <w:vAlign w:val="bottom"/>
          </w:tcPr>
          <w:p w14:paraId="6CF040DD" w14:textId="77777777" w:rsidR="00612783" w:rsidRPr="00DD19E6" w:rsidRDefault="00612783" w:rsidP="00143C85">
            <w:pPr>
              <w:pStyle w:val="Tabletext"/>
              <w:rPr>
                <w:snapToGrid w:val="0"/>
              </w:rPr>
            </w:pPr>
            <w:r w:rsidRPr="00295986">
              <w:t>25</w:t>
            </w:r>
            <w:r w:rsidR="00D7157D">
              <w:t>.</w:t>
            </w:r>
            <w:r w:rsidRPr="00295986">
              <w:t>1935</w:t>
            </w:r>
          </w:p>
        </w:tc>
      </w:tr>
      <w:tr w:rsidR="00612783" w:rsidRPr="009E2595" w14:paraId="57F425B3" w14:textId="77777777" w:rsidTr="00143C85">
        <w:trPr>
          <w:trHeight w:val="245"/>
          <w:jc w:val="right"/>
        </w:trPr>
        <w:tc>
          <w:tcPr>
            <w:tcW w:w="1705" w:type="pct"/>
            <w:tcBorders>
              <w:top w:val="single" w:sz="4" w:space="0" w:color="auto"/>
              <w:bottom w:val="single" w:sz="4" w:space="0" w:color="auto"/>
            </w:tcBorders>
            <w:vAlign w:val="bottom"/>
          </w:tcPr>
          <w:p w14:paraId="7A14604A" w14:textId="77777777" w:rsidR="00612783" w:rsidRPr="00616B26" w:rsidRDefault="00612783" w:rsidP="00143C85">
            <w:pPr>
              <w:pStyle w:val="Tabletext"/>
              <w:rPr>
                <w:snapToGrid w:val="0"/>
              </w:rPr>
            </w:pPr>
            <w:r w:rsidRPr="00616B26">
              <w:rPr>
                <w:snapToGrid w:val="0"/>
              </w:rPr>
              <w:t>57</w:t>
            </w:r>
          </w:p>
        </w:tc>
        <w:tc>
          <w:tcPr>
            <w:tcW w:w="1429" w:type="pct"/>
            <w:tcBorders>
              <w:top w:val="single" w:sz="4" w:space="0" w:color="auto"/>
              <w:bottom w:val="single" w:sz="4" w:space="0" w:color="auto"/>
            </w:tcBorders>
            <w:vAlign w:val="bottom"/>
          </w:tcPr>
          <w:p w14:paraId="7ABEFECD" w14:textId="77777777" w:rsidR="00612783" w:rsidRPr="00DD19E6" w:rsidRDefault="00612783" w:rsidP="00143C85">
            <w:pPr>
              <w:pStyle w:val="Tabletext"/>
              <w:rPr>
                <w:snapToGrid w:val="0"/>
              </w:rPr>
            </w:pPr>
            <w:r w:rsidRPr="00295986">
              <w:t>23</w:t>
            </w:r>
            <w:r w:rsidR="00D7157D">
              <w:t>.</w:t>
            </w:r>
            <w:r w:rsidRPr="00295986">
              <w:t>4048</w:t>
            </w:r>
          </w:p>
        </w:tc>
        <w:tc>
          <w:tcPr>
            <w:tcW w:w="1866" w:type="pct"/>
            <w:tcBorders>
              <w:top w:val="single" w:sz="4" w:space="0" w:color="auto"/>
              <w:bottom w:val="single" w:sz="4" w:space="0" w:color="auto"/>
            </w:tcBorders>
            <w:vAlign w:val="bottom"/>
          </w:tcPr>
          <w:p w14:paraId="0C41EB7F" w14:textId="77777777" w:rsidR="00612783" w:rsidRPr="00DD19E6" w:rsidRDefault="00612783" w:rsidP="00143C85">
            <w:pPr>
              <w:pStyle w:val="Tabletext"/>
              <w:rPr>
                <w:snapToGrid w:val="0"/>
              </w:rPr>
            </w:pPr>
            <w:r w:rsidRPr="00295986">
              <w:t>24</w:t>
            </w:r>
            <w:r w:rsidR="00D7157D">
              <w:t>.</w:t>
            </w:r>
            <w:r w:rsidRPr="00295986">
              <w:t>6717</w:t>
            </w:r>
          </w:p>
        </w:tc>
      </w:tr>
      <w:tr w:rsidR="00612783" w:rsidRPr="009E2595" w14:paraId="546FB67C" w14:textId="77777777" w:rsidTr="00143C85">
        <w:trPr>
          <w:trHeight w:val="245"/>
          <w:jc w:val="right"/>
        </w:trPr>
        <w:tc>
          <w:tcPr>
            <w:tcW w:w="1705" w:type="pct"/>
            <w:tcBorders>
              <w:top w:val="single" w:sz="4" w:space="0" w:color="auto"/>
              <w:bottom w:val="single" w:sz="4" w:space="0" w:color="auto"/>
            </w:tcBorders>
            <w:vAlign w:val="bottom"/>
          </w:tcPr>
          <w:p w14:paraId="4C573791" w14:textId="77777777" w:rsidR="00612783" w:rsidRPr="00616B26" w:rsidRDefault="00612783" w:rsidP="00143C85">
            <w:pPr>
              <w:pStyle w:val="Tabletext"/>
              <w:rPr>
                <w:snapToGrid w:val="0"/>
              </w:rPr>
            </w:pPr>
            <w:r w:rsidRPr="00616B26">
              <w:rPr>
                <w:snapToGrid w:val="0"/>
              </w:rPr>
              <w:t>58</w:t>
            </w:r>
          </w:p>
        </w:tc>
        <w:tc>
          <w:tcPr>
            <w:tcW w:w="1429" w:type="pct"/>
            <w:tcBorders>
              <w:top w:val="single" w:sz="4" w:space="0" w:color="auto"/>
              <w:bottom w:val="single" w:sz="4" w:space="0" w:color="auto"/>
            </w:tcBorders>
            <w:vAlign w:val="bottom"/>
          </w:tcPr>
          <w:p w14:paraId="48FB92F6" w14:textId="77777777" w:rsidR="00612783" w:rsidRPr="00DD19E6" w:rsidRDefault="00612783" w:rsidP="00143C85">
            <w:pPr>
              <w:pStyle w:val="Tabletext"/>
              <w:rPr>
                <w:snapToGrid w:val="0"/>
              </w:rPr>
            </w:pPr>
            <w:r w:rsidRPr="00295986">
              <w:t>22</w:t>
            </w:r>
            <w:r w:rsidR="00D7157D">
              <w:t>.</w:t>
            </w:r>
            <w:r w:rsidRPr="00295986">
              <w:t>8639</w:t>
            </w:r>
          </w:p>
        </w:tc>
        <w:tc>
          <w:tcPr>
            <w:tcW w:w="1866" w:type="pct"/>
            <w:tcBorders>
              <w:top w:val="single" w:sz="4" w:space="0" w:color="auto"/>
              <w:bottom w:val="single" w:sz="4" w:space="0" w:color="auto"/>
            </w:tcBorders>
            <w:vAlign w:val="bottom"/>
          </w:tcPr>
          <w:p w14:paraId="7641C6AC" w14:textId="77777777" w:rsidR="00612783" w:rsidRPr="00DD19E6" w:rsidRDefault="00612783" w:rsidP="00143C85">
            <w:pPr>
              <w:pStyle w:val="Tabletext"/>
              <w:rPr>
                <w:snapToGrid w:val="0"/>
              </w:rPr>
            </w:pPr>
            <w:r w:rsidRPr="00295986">
              <w:t>24</w:t>
            </w:r>
            <w:r w:rsidR="00D7157D">
              <w:t>.</w:t>
            </w:r>
            <w:r w:rsidRPr="00295986">
              <w:t>1417</w:t>
            </w:r>
          </w:p>
        </w:tc>
      </w:tr>
      <w:tr w:rsidR="00612783" w:rsidRPr="009E2595" w14:paraId="119A2372" w14:textId="77777777" w:rsidTr="00143C85">
        <w:trPr>
          <w:trHeight w:val="245"/>
          <w:jc w:val="right"/>
        </w:trPr>
        <w:tc>
          <w:tcPr>
            <w:tcW w:w="1705" w:type="pct"/>
            <w:tcBorders>
              <w:top w:val="single" w:sz="4" w:space="0" w:color="auto"/>
              <w:bottom w:val="single" w:sz="4" w:space="0" w:color="auto"/>
            </w:tcBorders>
            <w:vAlign w:val="bottom"/>
          </w:tcPr>
          <w:p w14:paraId="5CB89294" w14:textId="77777777" w:rsidR="00612783" w:rsidRPr="00616B26" w:rsidRDefault="00612783" w:rsidP="00143C85">
            <w:pPr>
              <w:pStyle w:val="Tabletext"/>
              <w:rPr>
                <w:snapToGrid w:val="0"/>
              </w:rPr>
            </w:pPr>
            <w:r w:rsidRPr="00616B26">
              <w:rPr>
                <w:snapToGrid w:val="0"/>
              </w:rPr>
              <w:t>59</w:t>
            </w:r>
          </w:p>
        </w:tc>
        <w:tc>
          <w:tcPr>
            <w:tcW w:w="1429" w:type="pct"/>
            <w:tcBorders>
              <w:top w:val="single" w:sz="4" w:space="0" w:color="auto"/>
              <w:bottom w:val="single" w:sz="4" w:space="0" w:color="auto"/>
            </w:tcBorders>
            <w:vAlign w:val="bottom"/>
          </w:tcPr>
          <w:p w14:paraId="2FDC284F" w14:textId="77777777" w:rsidR="00612783" w:rsidRPr="00DD19E6" w:rsidRDefault="00612783" w:rsidP="00143C85">
            <w:pPr>
              <w:pStyle w:val="Tabletext"/>
              <w:rPr>
                <w:snapToGrid w:val="0"/>
              </w:rPr>
            </w:pPr>
            <w:r w:rsidRPr="00295986">
              <w:t>22</w:t>
            </w:r>
            <w:r w:rsidR="00D7157D">
              <w:t>.</w:t>
            </w:r>
            <w:r w:rsidRPr="00295986">
              <w:t>3147</w:t>
            </w:r>
          </w:p>
        </w:tc>
        <w:tc>
          <w:tcPr>
            <w:tcW w:w="1866" w:type="pct"/>
            <w:tcBorders>
              <w:top w:val="single" w:sz="4" w:space="0" w:color="auto"/>
              <w:bottom w:val="single" w:sz="4" w:space="0" w:color="auto"/>
            </w:tcBorders>
            <w:vAlign w:val="bottom"/>
          </w:tcPr>
          <w:p w14:paraId="2C0331CC" w14:textId="77777777" w:rsidR="00612783" w:rsidRPr="00DD19E6" w:rsidRDefault="00612783" w:rsidP="00143C85">
            <w:pPr>
              <w:pStyle w:val="Tabletext"/>
              <w:rPr>
                <w:snapToGrid w:val="0"/>
              </w:rPr>
            </w:pPr>
            <w:r w:rsidRPr="00295986">
              <w:t>23</w:t>
            </w:r>
            <w:r w:rsidR="00D7157D">
              <w:t>.</w:t>
            </w:r>
            <w:r w:rsidRPr="00295986">
              <w:t>6032</w:t>
            </w:r>
          </w:p>
        </w:tc>
      </w:tr>
      <w:tr w:rsidR="00612783" w:rsidRPr="009E2595" w14:paraId="7DB51F2E" w14:textId="77777777" w:rsidTr="00143C85">
        <w:trPr>
          <w:trHeight w:val="245"/>
          <w:jc w:val="right"/>
        </w:trPr>
        <w:tc>
          <w:tcPr>
            <w:tcW w:w="1705" w:type="pct"/>
            <w:tcBorders>
              <w:top w:val="single" w:sz="4" w:space="0" w:color="auto"/>
              <w:bottom w:val="single" w:sz="4" w:space="0" w:color="auto"/>
            </w:tcBorders>
            <w:vAlign w:val="bottom"/>
          </w:tcPr>
          <w:p w14:paraId="614E9910" w14:textId="77777777" w:rsidR="00612783" w:rsidRPr="00616B26" w:rsidRDefault="00612783" w:rsidP="00143C85">
            <w:pPr>
              <w:pStyle w:val="Tabletext"/>
              <w:rPr>
                <w:snapToGrid w:val="0"/>
              </w:rPr>
            </w:pPr>
            <w:r w:rsidRPr="00616B26">
              <w:rPr>
                <w:snapToGrid w:val="0"/>
              </w:rPr>
              <w:t>60</w:t>
            </w:r>
          </w:p>
        </w:tc>
        <w:tc>
          <w:tcPr>
            <w:tcW w:w="1429" w:type="pct"/>
            <w:tcBorders>
              <w:top w:val="single" w:sz="4" w:space="0" w:color="auto"/>
              <w:bottom w:val="single" w:sz="4" w:space="0" w:color="auto"/>
            </w:tcBorders>
            <w:vAlign w:val="bottom"/>
          </w:tcPr>
          <w:p w14:paraId="1F52F40C" w14:textId="77777777" w:rsidR="00612783" w:rsidRPr="00DD19E6" w:rsidRDefault="00612783" w:rsidP="00143C85">
            <w:pPr>
              <w:pStyle w:val="Tabletext"/>
              <w:rPr>
                <w:snapToGrid w:val="0"/>
              </w:rPr>
            </w:pPr>
            <w:r w:rsidRPr="00295986">
              <w:t>21</w:t>
            </w:r>
            <w:r w:rsidR="00D7157D">
              <w:t>.</w:t>
            </w:r>
            <w:r w:rsidRPr="00295986">
              <w:t>7576</w:t>
            </w:r>
          </w:p>
        </w:tc>
        <w:tc>
          <w:tcPr>
            <w:tcW w:w="1866" w:type="pct"/>
            <w:tcBorders>
              <w:top w:val="single" w:sz="4" w:space="0" w:color="auto"/>
              <w:bottom w:val="single" w:sz="4" w:space="0" w:color="auto"/>
            </w:tcBorders>
            <w:vAlign w:val="bottom"/>
          </w:tcPr>
          <w:p w14:paraId="4C694627" w14:textId="77777777" w:rsidR="00612783" w:rsidRPr="00DD19E6" w:rsidRDefault="00612783" w:rsidP="00143C85">
            <w:pPr>
              <w:pStyle w:val="Tabletext"/>
              <w:rPr>
                <w:snapToGrid w:val="0"/>
              </w:rPr>
            </w:pPr>
            <w:r w:rsidRPr="00295986">
              <w:t>23</w:t>
            </w:r>
            <w:r w:rsidR="00D7157D">
              <w:t>.</w:t>
            </w:r>
            <w:r w:rsidRPr="00295986">
              <w:t>0563</w:t>
            </w:r>
          </w:p>
        </w:tc>
      </w:tr>
      <w:tr w:rsidR="00612783" w:rsidRPr="009E2595" w14:paraId="77B1674F" w14:textId="77777777" w:rsidTr="00143C85">
        <w:trPr>
          <w:trHeight w:val="245"/>
          <w:jc w:val="right"/>
        </w:trPr>
        <w:tc>
          <w:tcPr>
            <w:tcW w:w="1705" w:type="pct"/>
            <w:tcBorders>
              <w:top w:val="single" w:sz="4" w:space="0" w:color="auto"/>
              <w:bottom w:val="single" w:sz="4" w:space="0" w:color="auto"/>
            </w:tcBorders>
            <w:vAlign w:val="bottom"/>
          </w:tcPr>
          <w:p w14:paraId="287A1FD3" w14:textId="77777777" w:rsidR="00612783" w:rsidRPr="00616B26" w:rsidRDefault="00612783" w:rsidP="00143C85">
            <w:pPr>
              <w:pStyle w:val="Tabletext"/>
              <w:rPr>
                <w:snapToGrid w:val="0"/>
              </w:rPr>
            </w:pPr>
            <w:r w:rsidRPr="00616B26">
              <w:rPr>
                <w:snapToGrid w:val="0"/>
              </w:rPr>
              <w:t>61</w:t>
            </w:r>
          </w:p>
        </w:tc>
        <w:tc>
          <w:tcPr>
            <w:tcW w:w="1429" w:type="pct"/>
            <w:tcBorders>
              <w:top w:val="single" w:sz="4" w:space="0" w:color="auto"/>
              <w:bottom w:val="single" w:sz="4" w:space="0" w:color="auto"/>
            </w:tcBorders>
            <w:vAlign w:val="bottom"/>
          </w:tcPr>
          <w:p w14:paraId="70239BB8" w14:textId="77777777" w:rsidR="00612783" w:rsidRPr="00DD19E6" w:rsidRDefault="00612783" w:rsidP="00143C85">
            <w:pPr>
              <w:pStyle w:val="Tabletext"/>
              <w:rPr>
                <w:snapToGrid w:val="0"/>
              </w:rPr>
            </w:pPr>
            <w:r w:rsidRPr="00295986">
              <w:t>21</w:t>
            </w:r>
            <w:r w:rsidR="00D7157D">
              <w:t>.</w:t>
            </w:r>
            <w:r w:rsidRPr="00295986">
              <w:t>1934</w:t>
            </w:r>
          </w:p>
        </w:tc>
        <w:tc>
          <w:tcPr>
            <w:tcW w:w="1866" w:type="pct"/>
            <w:tcBorders>
              <w:top w:val="single" w:sz="4" w:space="0" w:color="auto"/>
              <w:bottom w:val="single" w:sz="4" w:space="0" w:color="auto"/>
            </w:tcBorders>
            <w:vAlign w:val="bottom"/>
          </w:tcPr>
          <w:p w14:paraId="2119D948" w14:textId="77777777" w:rsidR="00612783" w:rsidRPr="00DD19E6" w:rsidRDefault="00612783" w:rsidP="00143C85">
            <w:pPr>
              <w:pStyle w:val="Tabletext"/>
              <w:rPr>
                <w:snapToGrid w:val="0"/>
              </w:rPr>
            </w:pPr>
            <w:r w:rsidRPr="00295986">
              <w:t>22</w:t>
            </w:r>
            <w:r w:rsidR="00D7157D">
              <w:t>.</w:t>
            </w:r>
            <w:r w:rsidRPr="00295986">
              <w:t>5009</w:t>
            </w:r>
          </w:p>
        </w:tc>
      </w:tr>
      <w:tr w:rsidR="00612783" w:rsidRPr="009E2595" w14:paraId="078FD887" w14:textId="77777777" w:rsidTr="00143C85">
        <w:trPr>
          <w:trHeight w:val="245"/>
          <w:jc w:val="right"/>
        </w:trPr>
        <w:tc>
          <w:tcPr>
            <w:tcW w:w="1705" w:type="pct"/>
            <w:tcBorders>
              <w:top w:val="single" w:sz="4" w:space="0" w:color="auto"/>
              <w:bottom w:val="single" w:sz="4" w:space="0" w:color="auto"/>
            </w:tcBorders>
            <w:vAlign w:val="bottom"/>
          </w:tcPr>
          <w:p w14:paraId="6BD53ED4" w14:textId="77777777" w:rsidR="00612783" w:rsidRPr="00616B26" w:rsidRDefault="00612783" w:rsidP="00143C85">
            <w:pPr>
              <w:pStyle w:val="Tabletext"/>
              <w:rPr>
                <w:snapToGrid w:val="0"/>
              </w:rPr>
            </w:pPr>
            <w:r w:rsidRPr="00616B26">
              <w:rPr>
                <w:snapToGrid w:val="0"/>
              </w:rPr>
              <w:t>62</w:t>
            </w:r>
          </w:p>
        </w:tc>
        <w:tc>
          <w:tcPr>
            <w:tcW w:w="1429" w:type="pct"/>
            <w:tcBorders>
              <w:top w:val="single" w:sz="4" w:space="0" w:color="auto"/>
              <w:bottom w:val="single" w:sz="4" w:space="0" w:color="auto"/>
            </w:tcBorders>
            <w:vAlign w:val="bottom"/>
          </w:tcPr>
          <w:p w14:paraId="6ED8320A" w14:textId="77777777" w:rsidR="00612783" w:rsidRPr="00DD19E6" w:rsidRDefault="00612783" w:rsidP="00143C85">
            <w:pPr>
              <w:pStyle w:val="Tabletext"/>
              <w:rPr>
                <w:snapToGrid w:val="0"/>
              </w:rPr>
            </w:pPr>
            <w:r w:rsidRPr="00295986">
              <w:t>20</w:t>
            </w:r>
            <w:r w:rsidR="00D7157D">
              <w:t>.</w:t>
            </w:r>
            <w:r w:rsidRPr="00295986">
              <w:t>6223</w:t>
            </w:r>
          </w:p>
        </w:tc>
        <w:tc>
          <w:tcPr>
            <w:tcW w:w="1866" w:type="pct"/>
            <w:tcBorders>
              <w:top w:val="single" w:sz="4" w:space="0" w:color="auto"/>
              <w:bottom w:val="single" w:sz="4" w:space="0" w:color="auto"/>
            </w:tcBorders>
            <w:vAlign w:val="bottom"/>
          </w:tcPr>
          <w:p w14:paraId="7704A08A" w14:textId="77777777" w:rsidR="00612783" w:rsidRPr="00DD19E6" w:rsidRDefault="00612783" w:rsidP="00143C85">
            <w:pPr>
              <w:pStyle w:val="Tabletext"/>
              <w:rPr>
                <w:snapToGrid w:val="0"/>
              </w:rPr>
            </w:pPr>
            <w:r w:rsidRPr="00295986">
              <w:t>21</w:t>
            </w:r>
            <w:r w:rsidR="00D7157D">
              <w:t>.</w:t>
            </w:r>
            <w:r w:rsidRPr="00295986">
              <w:t>9380</w:t>
            </w:r>
          </w:p>
        </w:tc>
      </w:tr>
      <w:tr w:rsidR="00612783" w:rsidRPr="009E2595" w14:paraId="373F174C" w14:textId="77777777" w:rsidTr="00143C85">
        <w:trPr>
          <w:trHeight w:val="245"/>
          <w:jc w:val="right"/>
        </w:trPr>
        <w:tc>
          <w:tcPr>
            <w:tcW w:w="1705" w:type="pct"/>
            <w:tcBorders>
              <w:top w:val="single" w:sz="4" w:space="0" w:color="auto"/>
              <w:bottom w:val="single" w:sz="4" w:space="0" w:color="auto"/>
            </w:tcBorders>
            <w:vAlign w:val="bottom"/>
          </w:tcPr>
          <w:p w14:paraId="34727967" w14:textId="77777777" w:rsidR="00612783" w:rsidRPr="00616B26" w:rsidRDefault="00612783" w:rsidP="00143C85">
            <w:pPr>
              <w:pStyle w:val="Tabletext"/>
              <w:rPr>
                <w:snapToGrid w:val="0"/>
              </w:rPr>
            </w:pPr>
            <w:r w:rsidRPr="00616B26">
              <w:rPr>
                <w:snapToGrid w:val="0"/>
              </w:rPr>
              <w:t>63</w:t>
            </w:r>
          </w:p>
        </w:tc>
        <w:tc>
          <w:tcPr>
            <w:tcW w:w="1429" w:type="pct"/>
            <w:tcBorders>
              <w:top w:val="single" w:sz="4" w:space="0" w:color="auto"/>
              <w:bottom w:val="single" w:sz="4" w:space="0" w:color="auto"/>
            </w:tcBorders>
            <w:vAlign w:val="bottom"/>
          </w:tcPr>
          <w:p w14:paraId="26A82D66" w14:textId="77777777" w:rsidR="00612783" w:rsidRPr="00DD19E6" w:rsidRDefault="00612783" w:rsidP="00143C85">
            <w:pPr>
              <w:pStyle w:val="Tabletext"/>
              <w:rPr>
                <w:snapToGrid w:val="0"/>
              </w:rPr>
            </w:pPr>
            <w:r w:rsidRPr="00295986">
              <w:t>20</w:t>
            </w:r>
            <w:r w:rsidR="00D7157D">
              <w:t>.</w:t>
            </w:r>
            <w:r w:rsidRPr="00295986">
              <w:t>0452</w:t>
            </w:r>
          </w:p>
        </w:tc>
        <w:tc>
          <w:tcPr>
            <w:tcW w:w="1866" w:type="pct"/>
            <w:tcBorders>
              <w:top w:val="single" w:sz="4" w:space="0" w:color="auto"/>
              <w:bottom w:val="single" w:sz="4" w:space="0" w:color="auto"/>
            </w:tcBorders>
            <w:vAlign w:val="bottom"/>
          </w:tcPr>
          <w:p w14:paraId="1CE278C0" w14:textId="77777777" w:rsidR="00612783" w:rsidRPr="00DD19E6" w:rsidRDefault="00612783" w:rsidP="00143C85">
            <w:pPr>
              <w:pStyle w:val="Tabletext"/>
              <w:rPr>
                <w:snapToGrid w:val="0"/>
              </w:rPr>
            </w:pPr>
            <w:r w:rsidRPr="00295986">
              <w:t>21</w:t>
            </w:r>
            <w:r w:rsidR="00D7157D">
              <w:t>.</w:t>
            </w:r>
            <w:r w:rsidRPr="00295986">
              <w:t>3679</w:t>
            </w:r>
          </w:p>
        </w:tc>
      </w:tr>
      <w:tr w:rsidR="00612783" w:rsidRPr="009E2595" w14:paraId="67E3D9F0" w14:textId="77777777" w:rsidTr="00143C85">
        <w:trPr>
          <w:trHeight w:val="245"/>
          <w:jc w:val="right"/>
        </w:trPr>
        <w:tc>
          <w:tcPr>
            <w:tcW w:w="1705" w:type="pct"/>
            <w:tcBorders>
              <w:top w:val="single" w:sz="4" w:space="0" w:color="auto"/>
              <w:bottom w:val="single" w:sz="4" w:space="0" w:color="auto"/>
            </w:tcBorders>
            <w:vAlign w:val="bottom"/>
          </w:tcPr>
          <w:p w14:paraId="0A6D8545" w14:textId="77777777" w:rsidR="00612783" w:rsidRPr="00616B26" w:rsidRDefault="00612783" w:rsidP="00143C85">
            <w:pPr>
              <w:pStyle w:val="Tabletext"/>
              <w:rPr>
                <w:snapToGrid w:val="0"/>
              </w:rPr>
            </w:pPr>
            <w:r w:rsidRPr="00616B26">
              <w:rPr>
                <w:snapToGrid w:val="0"/>
              </w:rPr>
              <w:t>64</w:t>
            </w:r>
          </w:p>
        </w:tc>
        <w:tc>
          <w:tcPr>
            <w:tcW w:w="1429" w:type="pct"/>
            <w:tcBorders>
              <w:top w:val="single" w:sz="4" w:space="0" w:color="auto"/>
              <w:bottom w:val="single" w:sz="4" w:space="0" w:color="auto"/>
            </w:tcBorders>
            <w:vAlign w:val="bottom"/>
          </w:tcPr>
          <w:p w14:paraId="269E668F" w14:textId="77777777" w:rsidR="00612783" w:rsidRPr="00DD19E6" w:rsidRDefault="00612783" w:rsidP="00143C85">
            <w:pPr>
              <w:pStyle w:val="Tabletext"/>
              <w:rPr>
                <w:snapToGrid w:val="0"/>
              </w:rPr>
            </w:pPr>
            <w:r w:rsidRPr="00295986">
              <w:t>19</w:t>
            </w:r>
            <w:r w:rsidR="00D7157D">
              <w:t>.</w:t>
            </w:r>
            <w:r w:rsidRPr="00295986">
              <w:t>4627</w:t>
            </w:r>
          </w:p>
        </w:tc>
        <w:tc>
          <w:tcPr>
            <w:tcW w:w="1866" w:type="pct"/>
            <w:tcBorders>
              <w:top w:val="single" w:sz="4" w:space="0" w:color="auto"/>
              <w:bottom w:val="single" w:sz="4" w:space="0" w:color="auto"/>
            </w:tcBorders>
            <w:vAlign w:val="bottom"/>
          </w:tcPr>
          <w:p w14:paraId="25D14229" w14:textId="77777777" w:rsidR="00612783" w:rsidRPr="00DD19E6" w:rsidRDefault="00612783" w:rsidP="00143C85">
            <w:pPr>
              <w:pStyle w:val="Tabletext"/>
              <w:rPr>
                <w:snapToGrid w:val="0"/>
              </w:rPr>
            </w:pPr>
            <w:r w:rsidRPr="00295986">
              <w:t>20</w:t>
            </w:r>
            <w:r w:rsidR="00D7157D">
              <w:t>.</w:t>
            </w:r>
            <w:r w:rsidRPr="00295986">
              <w:t>7915</w:t>
            </w:r>
          </w:p>
        </w:tc>
      </w:tr>
      <w:tr w:rsidR="00612783" w:rsidRPr="009E2595" w14:paraId="1BCC3F9A" w14:textId="77777777" w:rsidTr="00143C85">
        <w:trPr>
          <w:trHeight w:val="245"/>
          <w:jc w:val="right"/>
        </w:trPr>
        <w:tc>
          <w:tcPr>
            <w:tcW w:w="1705" w:type="pct"/>
            <w:tcBorders>
              <w:top w:val="single" w:sz="4" w:space="0" w:color="auto"/>
              <w:bottom w:val="single" w:sz="12" w:space="0" w:color="auto"/>
            </w:tcBorders>
            <w:vAlign w:val="bottom"/>
          </w:tcPr>
          <w:p w14:paraId="2B2CAB20" w14:textId="77777777" w:rsidR="00612783" w:rsidRPr="00616B26" w:rsidRDefault="00612783" w:rsidP="00143C85">
            <w:pPr>
              <w:pStyle w:val="Tabletext"/>
              <w:rPr>
                <w:snapToGrid w:val="0"/>
              </w:rPr>
            </w:pPr>
            <w:r w:rsidRPr="00616B26">
              <w:rPr>
                <w:snapToGrid w:val="0"/>
              </w:rPr>
              <w:t>65</w:t>
            </w:r>
          </w:p>
        </w:tc>
        <w:tc>
          <w:tcPr>
            <w:tcW w:w="1429" w:type="pct"/>
            <w:tcBorders>
              <w:top w:val="single" w:sz="4" w:space="0" w:color="auto"/>
              <w:bottom w:val="single" w:sz="12" w:space="0" w:color="auto"/>
            </w:tcBorders>
            <w:vAlign w:val="bottom"/>
          </w:tcPr>
          <w:p w14:paraId="6BADA36B" w14:textId="77777777" w:rsidR="00612783" w:rsidRPr="00DD19E6" w:rsidRDefault="00612783" w:rsidP="00143C85">
            <w:pPr>
              <w:pStyle w:val="Tabletext"/>
              <w:rPr>
                <w:snapToGrid w:val="0"/>
              </w:rPr>
            </w:pPr>
            <w:r w:rsidRPr="00295986">
              <w:t>18</w:t>
            </w:r>
            <w:r w:rsidR="00D7157D">
              <w:t>.</w:t>
            </w:r>
            <w:r w:rsidRPr="00295986">
              <w:t>8769</w:t>
            </w:r>
          </w:p>
        </w:tc>
        <w:tc>
          <w:tcPr>
            <w:tcW w:w="1866" w:type="pct"/>
            <w:tcBorders>
              <w:top w:val="single" w:sz="4" w:space="0" w:color="auto"/>
              <w:bottom w:val="single" w:sz="12" w:space="0" w:color="auto"/>
            </w:tcBorders>
            <w:vAlign w:val="bottom"/>
          </w:tcPr>
          <w:p w14:paraId="7F6333EE" w14:textId="77777777" w:rsidR="00612783" w:rsidRPr="00DD19E6" w:rsidRDefault="00612783" w:rsidP="00143C85">
            <w:pPr>
              <w:pStyle w:val="Tabletext"/>
              <w:rPr>
                <w:snapToGrid w:val="0"/>
              </w:rPr>
            </w:pPr>
            <w:r w:rsidRPr="00295986">
              <w:t>20</w:t>
            </w:r>
            <w:r w:rsidR="00D7157D">
              <w:t>.</w:t>
            </w:r>
            <w:r w:rsidRPr="00295986">
              <w:t>2101</w:t>
            </w:r>
          </w:p>
        </w:tc>
      </w:tr>
    </w:tbl>
    <w:p w14:paraId="05B0C074" w14:textId="77777777" w:rsidR="00612783" w:rsidRPr="00A058B6" w:rsidRDefault="00612783" w:rsidP="00612783">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12783" w:rsidRPr="00A058B6" w14:paraId="486D0B53" w14:textId="77777777" w:rsidTr="00963115">
        <w:trPr>
          <w:cantSplit/>
          <w:trHeight w:val="375"/>
          <w:tblHeader/>
          <w:jc w:val="right"/>
        </w:trPr>
        <w:tc>
          <w:tcPr>
            <w:tcW w:w="1705" w:type="pct"/>
            <w:vMerge w:val="restart"/>
            <w:tcBorders>
              <w:top w:val="single" w:sz="12" w:space="0" w:color="auto"/>
              <w:bottom w:val="single" w:sz="12" w:space="0" w:color="auto"/>
            </w:tcBorders>
          </w:tcPr>
          <w:p w14:paraId="68D3DCE2" w14:textId="77777777" w:rsidR="00612783" w:rsidRPr="00A058B6" w:rsidRDefault="00612783"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22CDB387" w14:textId="6751C2EE" w:rsidR="00612783" w:rsidRPr="00A058B6" w:rsidRDefault="00612783"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w:t>
            </w:r>
            <w:r>
              <w:t>pension</w:t>
            </w:r>
            <w:r w:rsidRPr="00A058B6">
              <w:t xml:space="preserve"> indexed </w:t>
            </w:r>
            <w:r>
              <w:t>at 4%</w:t>
            </w:r>
          </w:p>
        </w:tc>
      </w:tr>
      <w:tr w:rsidR="00612783" w:rsidRPr="00A058B6" w14:paraId="0C0613A9" w14:textId="77777777" w:rsidTr="00963115">
        <w:trPr>
          <w:cantSplit/>
          <w:trHeight w:val="60"/>
          <w:tblHeader/>
          <w:jc w:val="right"/>
        </w:trPr>
        <w:tc>
          <w:tcPr>
            <w:tcW w:w="1705" w:type="pct"/>
            <w:vMerge/>
            <w:tcBorders>
              <w:bottom w:val="single" w:sz="12" w:space="0" w:color="auto"/>
            </w:tcBorders>
          </w:tcPr>
          <w:p w14:paraId="1A583B5B" w14:textId="77777777" w:rsidR="00612783" w:rsidRPr="00A058B6" w:rsidRDefault="00612783" w:rsidP="00963115">
            <w:pPr>
              <w:pStyle w:val="TableHeading"/>
              <w:rPr>
                <w:snapToGrid w:val="0"/>
              </w:rPr>
            </w:pPr>
          </w:p>
        </w:tc>
        <w:tc>
          <w:tcPr>
            <w:tcW w:w="1417" w:type="pct"/>
            <w:tcBorders>
              <w:top w:val="single" w:sz="4" w:space="0" w:color="auto"/>
              <w:bottom w:val="single" w:sz="12" w:space="0" w:color="auto"/>
            </w:tcBorders>
          </w:tcPr>
          <w:p w14:paraId="45E9E17C" w14:textId="77777777" w:rsidR="00612783" w:rsidRPr="00A058B6" w:rsidRDefault="00612783"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387C1A34" w14:textId="77777777" w:rsidR="00612783" w:rsidRPr="00A058B6" w:rsidRDefault="00612783" w:rsidP="00963115">
            <w:pPr>
              <w:pStyle w:val="TableHeading"/>
              <w:rPr>
                <w:snapToGrid w:val="0"/>
              </w:rPr>
            </w:pPr>
            <w:r w:rsidRPr="00A058B6">
              <w:rPr>
                <w:snapToGrid w:val="0"/>
              </w:rPr>
              <w:t>Female</w:t>
            </w:r>
          </w:p>
        </w:tc>
      </w:tr>
      <w:tr w:rsidR="00612783" w:rsidRPr="009E2595" w14:paraId="118F9C3D" w14:textId="77777777" w:rsidTr="00143C85">
        <w:trPr>
          <w:trHeight w:val="245"/>
          <w:jc w:val="right"/>
        </w:trPr>
        <w:tc>
          <w:tcPr>
            <w:tcW w:w="1705" w:type="pct"/>
            <w:tcBorders>
              <w:top w:val="single" w:sz="12" w:space="0" w:color="auto"/>
              <w:bottom w:val="single" w:sz="4" w:space="0" w:color="auto"/>
            </w:tcBorders>
            <w:vAlign w:val="bottom"/>
          </w:tcPr>
          <w:p w14:paraId="602CFAE8" w14:textId="77777777" w:rsidR="00612783" w:rsidRPr="00DD19E6" w:rsidRDefault="00612783" w:rsidP="00143C85">
            <w:pPr>
              <w:pStyle w:val="Tabletext"/>
              <w:rPr>
                <w:snapToGrid w:val="0"/>
              </w:rPr>
            </w:pPr>
            <w:r w:rsidRPr="00DD19E6">
              <w:rPr>
                <w:snapToGrid w:val="0"/>
              </w:rPr>
              <w:t>Up to 40</w:t>
            </w:r>
          </w:p>
        </w:tc>
        <w:tc>
          <w:tcPr>
            <w:tcW w:w="1417" w:type="pct"/>
            <w:tcBorders>
              <w:top w:val="single" w:sz="12" w:space="0" w:color="auto"/>
              <w:bottom w:val="single" w:sz="4" w:space="0" w:color="auto"/>
            </w:tcBorders>
            <w:vAlign w:val="bottom"/>
          </w:tcPr>
          <w:p w14:paraId="38A27F2E" w14:textId="77777777" w:rsidR="00612783" w:rsidRPr="00DD19E6" w:rsidRDefault="00612783" w:rsidP="00143C85">
            <w:pPr>
              <w:pStyle w:val="Tabletext"/>
              <w:rPr>
                <w:snapToGrid w:val="0"/>
              </w:rPr>
            </w:pPr>
            <w:r w:rsidRPr="00295986">
              <w:t>3</w:t>
            </w:r>
            <w:r w:rsidR="00D7157D">
              <w:t>.</w:t>
            </w:r>
            <w:r w:rsidRPr="00295986">
              <w:t>131</w:t>
            </w:r>
          </w:p>
        </w:tc>
        <w:tc>
          <w:tcPr>
            <w:tcW w:w="1878" w:type="pct"/>
            <w:tcBorders>
              <w:top w:val="single" w:sz="12" w:space="0" w:color="auto"/>
              <w:bottom w:val="single" w:sz="4" w:space="0" w:color="auto"/>
            </w:tcBorders>
            <w:vAlign w:val="bottom"/>
          </w:tcPr>
          <w:p w14:paraId="4CF5ECF0" w14:textId="77777777" w:rsidR="00612783" w:rsidRPr="00DD19E6" w:rsidRDefault="00612783" w:rsidP="00143C85">
            <w:pPr>
              <w:pStyle w:val="Tabletext"/>
              <w:rPr>
                <w:snapToGrid w:val="0"/>
              </w:rPr>
            </w:pPr>
            <w:r w:rsidRPr="00295986">
              <w:t>1</w:t>
            </w:r>
            <w:r w:rsidR="00D7157D">
              <w:t>.</w:t>
            </w:r>
            <w:r w:rsidRPr="00295986">
              <w:t>314</w:t>
            </w:r>
          </w:p>
        </w:tc>
      </w:tr>
      <w:tr w:rsidR="00612783" w:rsidRPr="009E2595" w14:paraId="462F0A52" w14:textId="77777777" w:rsidTr="00143C85">
        <w:trPr>
          <w:trHeight w:val="245"/>
          <w:jc w:val="right"/>
        </w:trPr>
        <w:tc>
          <w:tcPr>
            <w:tcW w:w="1705" w:type="pct"/>
            <w:tcBorders>
              <w:top w:val="single" w:sz="4" w:space="0" w:color="auto"/>
              <w:bottom w:val="single" w:sz="4" w:space="0" w:color="auto"/>
            </w:tcBorders>
            <w:vAlign w:val="bottom"/>
          </w:tcPr>
          <w:p w14:paraId="4D699CF6" w14:textId="77777777" w:rsidR="00612783" w:rsidRPr="00DD19E6" w:rsidRDefault="00612783" w:rsidP="00143C85">
            <w:pPr>
              <w:pStyle w:val="Tabletext"/>
              <w:rPr>
                <w:snapToGrid w:val="0"/>
              </w:rPr>
            </w:pPr>
            <w:r w:rsidRPr="00DD19E6">
              <w:rPr>
                <w:snapToGrid w:val="0"/>
              </w:rPr>
              <w:t>41</w:t>
            </w:r>
          </w:p>
        </w:tc>
        <w:tc>
          <w:tcPr>
            <w:tcW w:w="1417" w:type="pct"/>
            <w:tcBorders>
              <w:top w:val="single" w:sz="4" w:space="0" w:color="auto"/>
              <w:bottom w:val="single" w:sz="4" w:space="0" w:color="auto"/>
            </w:tcBorders>
            <w:vAlign w:val="bottom"/>
          </w:tcPr>
          <w:p w14:paraId="67B76A2C" w14:textId="77777777" w:rsidR="00612783" w:rsidRPr="00DD19E6" w:rsidRDefault="00612783" w:rsidP="00143C85">
            <w:pPr>
              <w:pStyle w:val="Tabletext"/>
              <w:rPr>
                <w:snapToGrid w:val="0"/>
              </w:rPr>
            </w:pPr>
            <w:r w:rsidRPr="00295986">
              <w:t>3</w:t>
            </w:r>
            <w:r w:rsidR="00D7157D">
              <w:t>.</w:t>
            </w:r>
            <w:r w:rsidRPr="00295986">
              <w:t>027</w:t>
            </w:r>
          </w:p>
        </w:tc>
        <w:tc>
          <w:tcPr>
            <w:tcW w:w="1878" w:type="pct"/>
            <w:tcBorders>
              <w:top w:val="single" w:sz="4" w:space="0" w:color="auto"/>
              <w:bottom w:val="single" w:sz="4" w:space="0" w:color="auto"/>
            </w:tcBorders>
            <w:vAlign w:val="bottom"/>
          </w:tcPr>
          <w:p w14:paraId="02710DE7" w14:textId="77777777" w:rsidR="00612783" w:rsidRPr="00DD19E6" w:rsidRDefault="00612783" w:rsidP="00143C85">
            <w:pPr>
              <w:pStyle w:val="Tabletext"/>
              <w:rPr>
                <w:snapToGrid w:val="0"/>
              </w:rPr>
            </w:pPr>
            <w:r w:rsidRPr="00295986">
              <w:t>1</w:t>
            </w:r>
            <w:r w:rsidR="00D7157D">
              <w:t>.</w:t>
            </w:r>
            <w:r w:rsidRPr="00295986">
              <w:t>235</w:t>
            </w:r>
          </w:p>
        </w:tc>
      </w:tr>
      <w:tr w:rsidR="00612783" w:rsidRPr="009E2595" w14:paraId="08DA935F" w14:textId="77777777" w:rsidTr="00143C85">
        <w:trPr>
          <w:trHeight w:val="245"/>
          <w:jc w:val="right"/>
        </w:trPr>
        <w:tc>
          <w:tcPr>
            <w:tcW w:w="1705" w:type="pct"/>
            <w:tcBorders>
              <w:top w:val="single" w:sz="4" w:space="0" w:color="auto"/>
              <w:bottom w:val="single" w:sz="4" w:space="0" w:color="auto"/>
            </w:tcBorders>
            <w:vAlign w:val="bottom"/>
          </w:tcPr>
          <w:p w14:paraId="15ABB67F" w14:textId="77777777" w:rsidR="00612783" w:rsidRPr="00DD19E6" w:rsidRDefault="00612783" w:rsidP="00143C85">
            <w:pPr>
              <w:pStyle w:val="Tabletext"/>
              <w:rPr>
                <w:snapToGrid w:val="0"/>
              </w:rPr>
            </w:pPr>
            <w:r w:rsidRPr="00DD19E6">
              <w:rPr>
                <w:snapToGrid w:val="0"/>
              </w:rPr>
              <w:t>42</w:t>
            </w:r>
          </w:p>
        </w:tc>
        <w:tc>
          <w:tcPr>
            <w:tcW w:w="1417" w:type="pct"/>
            <w:tcBorders>
              <w:top w:val="single" w:sz="4" w:space="0" w:color="auto"/>
              <w:bottom w:val="single" w:sz="4" w:space="0" w:color="auto"/>
            </w:tcBorders>
            <w:vAlign w:val="bottom"/>
          </w:tcPr>
          <w:p w14:paraId="7784F449" w14:textId="77777777" w:rsidR="00612783" w:rsidRPr="00DD19E6" w:rsidRDefault="00612783" w:rsidP="00143C85">
            <w:pPr>
              <w:pStyle w:val="Tabletext"/>
              <w:rPr>
                <w:snapToGrid w:val="0"/>
              </w:rPr>
            </w:pPr>
            <w:r w:rsidRPr="00295986">
              <w:t>2</w:t>
            </w:r>
            <w:r w:rsidR="00D7157D">
              <w:t>.</w:t>
            </w:r>
            <w:r w:rsidRPr="00295986">
              <w:t>922</w:t>
            </w:r>
          </w:p>
        </w:tc>
        <w:tc>
          <w:tcPr>
            <w:tcW w:w="1878" w:type="pct"/>
            <w:tcBorders>
              <w:top w:val="single" w:sz="4" w:space="0" w:color="auto"/>
              <w:bottom w:val="single" w:sz="4" w:space="0" w:color="auto"/>
            </w:tcBorders>
            <w:vAlign w:val="bottom"/>
          </w:tcPr>
          <w:p w14:paraId="429C7FAB" w14:textId="77777777" w:rsidR="00612783" w:rsidRPr="00DD19E6" w:rsidRDefault="00612783" w:rsidP="00143C85">
            <w:pPr>
              <w:pStyle w:val="Tabletext"/>
              <w:rPr>
                <w:snapToGrid w:val="0"/>
              </w:rPr>
            </w:pPr>
            <w:r w:rsidRPr="00295986">
              <w:t>1</w:t>
            </w:r>
            <w:r w:rsidR="00D7157D">
              <w:t>.</w:t>
            </w:r>
            <w:r w:rsidRPr="00295986">
              <w:t>156</w:t>
            </w:r>
          </w:p>
        </w:tc>
      </w:tr>
      <w:tr w:rsidR="00612783" w:rsidRPr="009E2595" w14:paraId="2949BE4E" w14:textId="77777777" w:rsidTr="00143C85">
        <w:trPr>
          <w:trHeight w:val="245"/>
          <w:jc w:val="right"/>
        </w:trPr>
        <w:tc>
          <w:tcPr>
            <w:tcW w:w="1705" w:type="pct"/>
            <w:tcBorders>
              <w:top w:val="single" w:sz="4" w:space="0" w:color="auto"/>
              <w:bottom w:val="single" w:sz="4" w:space="0" w:color="auto"/>
            </w:tcBorders>
            <w:vAlign w:val="bottom"/>
          </w:tcPr>
          <w:p w14:paraId="44546B98" w14:textId="77777777" w:rsidR="00612783" w:rsidRPr="00DD19E6" w:rsidRDefault="00612783" w:rsidP="00143C85">
            <w:pPr>
              <w:pStyle w:val="Tabletext"/>
              <w:rPr>
                <w:snapToGrid w:val="0"/>
              </w:rPr>
            </w:pPr>
            <w:r w:rsidRPr="00DD19E6">
              <w:rPr>
                <w:snapToGrid w:val="0"/>
              </w:rPr>
              <w:t>43</w:t>
            </w:r>
          </w:p>
        </w:tc>
        <w:tc>
          <w:tcPr>
            <w:tcW w:w="1417" w:type="pct"/>
            <w:tcBorders>
              <w:top w:val="single" w:sz="4" w:space="0" w:color="auto"/>
              <w:bottom w:val="single" w:sz="4" w:space="0" w:color="auto"/>
            </w:tcBorders>
            <w:vAlign w:val="bottom"/>
          </w:tcPr>
          <w:p w14:paraId="75B07604" w14:textId="77777777" w:rsidR="00612783" w:rsidRPr="00DD19E6" w:rsidRDefault="00612783" w:rsidP="00143C85">
            <w:pPr>
              <w:pStyle w:val="Tabletext"/>
              <w:rPr>
                <w:snapToGrid w:val="0"/>
              </w:rPr>
            </w:pPr>
            <w:r w:rsidRPr="00295986">
              <w:t>2</w:t>
            </w:r>
            <w:r w:rsidR="00D7157D">
              <w:t>.</w:t>
            </w:r>
            <w:r w:rsidRPr="00295986">
              <w:t>818</w:t>
            </w:r>
          </w:p>
        </w:tc>
        <w:tc>
          <w:tcPr>
            <w:tcW w:w="1878" w:type="pct"/>
            <w:tcBorders>
              <w:top w:val="single" w:sz="4" w:space="0" w:color="auto"/>
              <w:bottom w:val="single" w:sz="4" w:space="0" w:color="auto"/>
            </w:tcBorders>
            <w:vAlign w:val="bottom"/>
          </w:tcPr>
          <w:p w14:paraId="0DAC6274" w14:textId="77777777" w:rsidR="00612783" w:rsidRPr="00DD19E6" w:rsidRDefault="00612783" w:rsidP="00143C85">
            <w:pPr>
              <w:pStyle w:val="Tabletext"/>
              <w:rPr>
                <w:snapToGrid w:val="0"/>
              </w:rPr>
            </w:pPr>
            <w:r w:rsidRPr="00295986">
              <w:t>1</w:t>
            </w:r>
            <w:r w:rsidR="00D7157D">
              <w:t>.</w:t>
            </w:r>
            <w:r w:rsidRPr="00295986">
              <w:t>077</w:t>
            </w:r>
          </w:p>
        </w:tc>
      </w:tr>
      <w:tr w:rsidR="00612783" w:rsidRPr="009E2595" w14:paraId="210A2504" w14:textId="77777777" w:rsidTr="00143C85">
        <w:trPr>
          <w:trHeight w:val="245"/>
          <w:jc w:val="right"/>
        </w:trPr>
        <w:tc>
          <w:tcPr>
            <w:tcW w:w="1705" w:type="pct"/>
            <w:tcBorders>
              <w:top w:val="single" w:sz="4" w:space="0" w:color="auto"/>
              <w:bottom w:val="single" w:sz="4" w:space="0" w:color="auto"/>
            </w:tcBorders>
            <w:vAlign w:val="bottom"/>
          </w:tcPr>
          <w:p w14:paraId="0D1678BA" w14:textId="77777777" w:rsidR="00612783" w:rsidRPr="00DD19E6" w:rsidRDefault="00612783" w:rsidP="00143C85">
            <w:pPr>
              <w:pStyle w:val="Tabletext"/>
              <w:rPr>
                <w:snapToGrid w:val="0"/>
              </w:rPr>
            </w:pPr>
            <w:r w:rsidRPr="00DD19E6">
              <w:rPr>
                <w:snapToGrid w:val="0"/>
              </w:rPr>
              <w:t>44</w:t>
            </w:r>
          </w:p>
        </w:tc>
        <w:tc>
          <w:tcPr>
            <w:tcW w:w="1417" w:type="pct"/>
            <w:tcBorders>
              <w:top w:val="single" w:sz="4" w:space="0" w:color="auto"/>
              <w:bottom w:val="single" w:sz="4" w:space="0" w:color="auto"/>
            </w:tcBorders>
            <w:vAlign w:val="bottom"/>
          </w:tcPr>
          <w:p w14:paraId="32222880" w14:textId="77777777" w:rsidR="00612783" w:rsidRPr="00DD19E6" w:rsidRDefault="00612783" w:rsidP="00143C85">
            <w:pPr>
              <w:pStyle w:val="Tabletext"/>
              <w:rPr>
                <w:snapToGrid w:val="0"/>
              </w:rPr>
            </w:pPr>
            <w:r w:rsidRPr="00295986">
              <w:t>2</w:t>
            </w:r>
            <w:r w:rsidR="00D7157D">
              <w:t>.</w:t>
            </w:r>
            <w:r w:rsidRPr="00295986">
              <w:t>714</w:t>
            </w:r>
          </w:p>
        </w:tc>
        <w:tc>
          <w:tcPr>
            <w:tcW w:w="1878" w:type="pct"/>
            <w:tcBorders>
              <w:top w:val="single" w:sz="4" w:space="0" w:color="auto"/>
              <w:bottom w:val="single" w:sz="4" w:space="0" w:color="auto"/>
            </w:tcBorders>
            <w:vAlign w:val="bottom"/>
          </w:tcPr>
          <w:p w14:paraId="6378816D" w14:textId="77777777" w:rsidR="00612783" w:rsidRPr="00DD19E6" w:rsidRDefault="00612783" w:rsidP="00143C85">
            <w:pPr>
              <w:pStyle w:val="Tabletext"/>
              <w:rPr>
                <w:snapToGrid w:val="0"/>
              </w:rPr>
            </w:pPr>
            <w:r w:rsidRPr="00295986">
              <w:t>0</w:t>
            </w:r>
            <w:r w:rsidR="00D7157D">
              <w:t>.</w:t>
            </w:r>
            <w:r w:rsidRPr="00295986">
              <w:t>998</w:t>
            </w:r>
          </w:p>
        </w:tc>
      </w:tr>
      <w:tr w:rsidR="00612783" w:rsidRPr="009E2595" w14:paraId="689D772A" w14:textId="77777777" w:rsidTr="00143C85">
        <w:trPr>
          <w:trHeight w:val="245"/>
          <w:jc w:val="right"/>
        </w:trPr>
        <w:tc>
          <w:tcPr>
            <w:tcW w:w="1705" w:type="pct"/>
            <w:tcBorders>
              <w:top w:val="single" w:sz="4" w:space="0" w:color="auto"/>
              <w:bottom w:val="single" w:sz="4" w:space="0" w:color="auto"/>
            </w:tcBorders>
            <w:vAlign w:val="bottom"/>
          </w:tcPr>
          <w:p w14:paraId="1D3ACBF1" w14:textId="77777777" w:rsidR="00612783" w:rsidRPr="00DD19E6" w:rsidRDefault="00612783" w:rsidP="00143C85">
            <w:pPr>
              <w:pStyle w:val="Tabletext"/>
              <w:rPr>
                <w:snapToGrid w:val="0"/>
              </w:rPr>
            </w:pPr>
            <w:r w:rsidRPr="00DD19E6">
              <w:rPr>
                <w:snapToGrid w:val="0"/>
              </w:rPr>
              <w:t>45</w:t>
            </w:r>
          </w:p>
        </w:tc>
        <w:tc>
          <w:tcPr>
            <w:tcW w:w="1417" w:type="pct"/>
            <w:tcBorders>
              <w:top w:val="single" w:sz="4" w:space="0" w:color="auto"/>
              <w:bottom w:val="single" w:sz="4" w:space="0" w:color="auto"/>
            </w:tcBorders>
            <w:vAlign w:val="bottom"/>
          </w:tcPr>
          <w:p w14:paraId="73AEACF2" w14:textId="77777777" w:rsidR="00612783" w:rsidRPr="00DD19E6" w:rsidRDefault="00612783" w:rsidP="00143C85">
            <w:pPr>
              <w:pStyle w:val="Tabletext"/>
              <w:rPr>
                <w:snapToGrid w:val="0"/>
              </w:rPr>
            </w:pPr>
            <w:r w:rsidRPr="00295986">
              <w:t>2</w:t>
            </w:r>
            <w:r w:rsidR="00D7157D">
              <w:t>.</w:t>
            </w:r>
            <w:r w:rsidRPr="00295986">
              <w:t>609</w:t>
            </w:r>
          </w:p>
        </w:tc>
        <w:tc>
          <w:tcPr>
            <w:tcW w:w="1878" w:type="pct"/>
            <w:tcBorders>
              <w:top w:val="single" w:sz="4" w:space="0" w:color="auto"/>
              <w:bottom w:val="single" w:sz="4" w:space="0" w:color="auto"/>
            </w:tcBorders>
            <w:vAlign w:val="bottom"/>
          </w:tcPr>
          <w:p w14:paraId="0F2DBC4C" w14:textId="77777777" w:rsidR="00612783" w:rsidRPr="00DD19E6" w:rsidRDefault="00612783" w:rsidP="00143C85">
            <w:pPr>
              <w:pStyle w:val="Tabletext"/>
              <w:rPr>
                <w:snapToGrid w:val="0"/>
              </w:rPr>
            </w:pPr>
            <w:r w:rsidRPr="00295986">
              <w:t>0</w:t>
            </w:r>
            <w:r w:rsidR="00D7157D">
              <w:t>.</w:t>
            </w:r>
            <w:r w:rsidRPr="00295986">
              <w:t>919</w:t>
            </w:r>
          </w:p>
        </w:tc>
      </w:tr>
      <w:tr w:rsidR="00612783" w:rsidRPr="009E2595" w14:paraId="49D4647F" w14:textId="77777777" w:rsidTr="00143C85">
        <w:trPr>
          <w:trHeight w:val="245"/>
          <w:jc w:val="right"/>
        </w:trPr>
        <w:tc>
          <w:tcPr>
            <w:tcW w:w="1705" w:type="pct"/>
            <w:tcBorders>
              <w:top w:val="single" w:sz="4" w:space="0" w:color="auto"/>
              <w:bottom w:val="single" w:sz="4" w:space="0" w:color="auto"/>
            </w:tcBorders>
            <w:vAlign w:val="bottom"/>
          </w:tcPr>
          <w:p w14:paraId="7BF17200" w14:textId="77777777" w:rsidR="00612783" w:rsidRPr="00DD19E6" w:rsidRDefault="00612783" w:rsidP="00143C85">
            <w:pPr>
              <w:pStyle w:val="Tabletext"/>
              <w:rPr>
                <w:snapToGrid w:val="0"/>
              </w:rPr>
            </w:pPr>
            <w:r w:rsidRPr="00DD19E6">
              <w:rPr>
                <w:snapToGrid w:val="0"/>
              </w:rPr>
              <w:t>46</w:t>
            </w:r>
          </w:p>
        </w:tc>
        <w:tc>
          <w:tcPr>
            <w:tcW w:w="1417" w:type="pct"/>
            <w:tcBorders>
              <w:top w:val="single" w:sz="4" w:space="0" w:color="auto"/>
              <w:bottom w:val="single" w:sz="4" w:space="0" w:color="auto"/>
            </w:tcBorders>
            <w:vAlign w:val="bottom"/>
          </w:tcPr>
          <w:p w14:paraId="78AF71D8" w14:textId="77777777" w:rsidR="00612783" w:rsidRPr="00DD19E6" w:rsidRDefault="00612783" w:rsidP="00143C85">
            <w:pPr>
              <w:pStyle w:val="Tabletext"/>
              <w:rPr>
                <w:snapToGrid w:val="0"/>
              </w:rPr>
            </w:pPr>
            <w:r w:rsidRPr="00295986">
              <w:t>2</w:t>
            </w:r>
            <w:r w:rsidR="00D7157D">
              <w:t>.</w:t>
            </w:r>
            <w:r w:rsidRPr="00295986">
              <w:t>505</w:t>
            </w:r>
          </w:p>
        </w:tc>
        <w:tc>
          <w:tcPr>
            <w:tcW w:w="1878" w:type="pct"/>
            <w:tcBorders>
              <w:top w:val="single" w:sz="4" w:space="0" w:color="auto"/>
              <w:bottom w:val="single" w:sz="4" w:space="0" w:color="auto"/>
            </w:tcBorders>
            <w:vAlign w:val="bottom"/>
          </w:tcPr>
          <w:p w14:paraId="7DAF5171" w14:textId="77777777" w:rsidR="00612783" w:rsidRPr="00DD19E6" w:rsidRDefault="00612783" w:rsidP="00143C85">
            <w:pPr>
              <w:pStyle w:val="Tabletext"/>
              <w:rPr>
                <w:snapToGrid w:val="0"/>
              </w:rPr>
            </w:pPr>
            <w:r w:rsidRPr="00295986">
              <w:t>0</w:t>
            </w:r>
            <w:r w:rsidR="00D7157D">
              <w:t>.</w:t>
            </w:r>
            <w:r w:rsidRPr="00295986">
              <w:t>841</w:t>
            </w:r>
          </w:p>
        </w:tc>
      </w:tr>
      <w:tr w:rsidR="00612783" w:rsidRPr="009E2595" w14:paraId="74DAA18E" w14:textId="77777777" w:rsidTr="00143C85">
        <w:trPr>
          <w:trHeight w:val="245"/>
          <w:jc w:val="right"/>
        </w:trPr>
        <w:tc>
          <w:tcPr>
            <w:tcW w:w="1705" w:type="pct"/>
            <w:tcBorders>
              <w:top w:val="single" w:sz="4" w:space="0" w:color="auto"/>
              <w:bottom w:val="single" w:sz="4" w:space="0" w:color="auto"/>
            </w:tcBorders>
            <w:vAlign w:val="bottom"/>
          </w:tcPr>
          <w:p w14:paraId="74202D22" w14:textId="77777777" w:rsidR="00612783" w:rsidRPr="00DD19E6" w:rsidRDefault="00612783" w:rsidP="00143C85">
            <w:pPr>
              <w:pStyle w:val="Tabletext"/>
              <w:rPr>
                <w:snapToGrid w:val="0"/>
              </w:rPr>
            </w:pPr>
            <w:r w:rsidRPr="00DD19E6">
              <w:rPr>
                <w:snapToGrid w:val="0"/>
              </w:rPr>
              <w:t>47</w:t>
            </w:r>
          </w:p>
        </w:tc>
        <w:tc>
          <w:tcPr>
            <w:tcW w:w="1417" w:type="pct"/>
            <w:tcBorders>
              <w:top w:val="single" w:sz="4" w:space="0" w:color="auto"/>
              <w:bottom w:val="single" w:sz="4" w:space="0" w:color="auto"/>
            </w:tcBorders>
            <w:vAlign w:val="bottom"/>
          </w:tcPr>
          <w:p w14:paraId="117058C1" w14:textId="77777777" w:rsidR="00612783" w:rsidRPr="00DD19E6" w:rsidRDefault="00612783" w:rsidP="00143C85">
            <w:pPr>
              <w:pStyle w:val="Tabletext"/>
              <w:rPr>
                <w:snapToGrid w:val="0"/>
              </w:rPr>
            </w:pPr>
            <w:r w:rsidRPr="00295986">
              <w:t>2</w:t>
            </w:r>
            <w:r w:rsidR="00D7157D">
              <w:t>.</w:t>
            </w:r>
            <w:r w:rsidRPr="00295986">
              <w:t>401</w:t>
            </w:r>
          </w:p>
        </w:tc>
        <w:tc>
          <w:tcPr>
            <w:tcW w:w="1878" w:type="pct"/>
            <w:tcBorders>
              <w:top w:val="single" w:sz="4" w:space="0" w:color="auto"/>
              <w:bottom w:val="single" w:sz="4" w:space="0" w:color="auto"/>
            </w:tcBorders>
            <w:vAlign w:val="bottom"/>
          </w:tcPr>
          <w:p w14:paraId="1E09B111" w14:textId="77777777" w:rsidR="00612783" w:rsidRPr="00DD19E6" w:rsidRDefault="00612783" w:rsidP="00143C85">
            <w:pPr>
              <w:pStyle w:val="Tabletext"/>
              <w:rPr>
                <w:snapToGrid w:val="0"/>
              </w:rPr>
            </w:pPr>
            <w:r w:rsidRPr="00295986">
              <w:t>0</w:t>
            </w:r>
            <w:r w:rsidR="00D7157D">
              <w:t>.</w:t>
            </w:r>
            <w:r w:rsidRPr="00295986">
              <w:t>762</w:t>
            </w:r>
          </w:p>
        </w:tc>
      </w:tr>
      <w:tr w:rsidR="00612783" w:rsidRPr="009E2595" w14:paraId="2D498CE2" w14:textId="77777777" w:rsidTr="00143C85">
        <w:trPr>
          <w:trHeight w:val="245"/>
          <w:jc w:val="right"/>
        </w:trPr>
        <w:tc>
          <w:tcPr>
            <w:tcW w:w="1705" w:type="pct"/>
            <w:tcBorders>
              <w:top w:val="single" w:sz="4" w:space="0" w:color="auto"/>
              <w:bottom w:val="single" w:sz="4" w:space="0" w:color="auto"/>
            </w:tcBorders>
            <w:vAlign w:val="bottom"/>
          </w:tcPr>
          <w:p w14:paraId="0274B043" w14:textId="77777777" w:rsidR="00612783" w:rsidRPr="00DD19E6" w:rsidRDefault="00612783" w:rsidP="00143C85">
            <w:pPr>
              <w:pStyle w:val="Tabletext"/>
              <w:rPr>
                <w:snapToGrid w:val="0"/>
              </w:rPr>
            </w:pPr>
            <w:r w:rsidRPr="00DD19E6">
              <w:rPr>
                <w:snapToGrid w:val="0"/>
              </w:rPr>
              <w:t>48</w:t>
            </w:r>
          </w:p>
        </w:tc>
        <w:tc>
          <w:tcPr>
            <w:tcW w:w="1417" w:type="pct"/>
            <w:tcBorders>
              <w:top w:val="single" w:sz="4" w:space="0" w:color="auto"/>
              <w:bottom w:val="single" w:sz="4" w:space="0" w:color="auto"/>
            </w:tcBorders>
            <w:vAlign w:val="bottom"/>
          </w:tcPr>
          <w:p w14:paraId="519AAE90" w14:textId="77777777" w:rsidR="00612783" w:rsidRPr="00DD19E6" w:rsidRDefault="00612783" w:rsidP="00143C85">
            <w:pPr>
              <w:pStyle w:val="Tabletext"/>
              <w:rPr>
                <w:snapToGrid w:val="0"/>
              </w:rPr>
            </w:pPr>
            <w:r w:rsidRPr="00295986">
              <w:t>2</w:t>
            </w:r>
            <w:r w:rsidR="00D7157D">
              <w:t>.</w:t>
            </w:r>
            <w:r w:rsidRPr="00295986">
              <w:t>296</w:t>
            </w:r>
          </w:p>
        </w:tc>
        <w:tc>
          <w:tcPr>
            <w:tcW w:w="1878" w:type="pct"/>
            <w:tcBorders>
              <w:top w:val="single" w:sz="4" w:space="0" w:color="auto"/>
              <w:bottom w:val="single" w:sz="4" w:space="0" w:color="auto"/>
            </w:tcBorders>
            <w:vAlign w:val="bottom"/>
          </w:tcPr>
          <w:p w14:paraId="3627BB4F" w14:textId="77777777" w:rsidR="00612783" w:rsidRPr="00DD19E6" w:rsidRDefault="00612783" w:rsidP="00143C85">
            <w:pPr>
              <w:pStyle w:val="Tabletext"/>
              <w:rPr>
                <w:snapToGrid w:val="0"/>
              </w:rPr>
            </w:pPr>
            <w:r w:rsidRPr="00295986">
              <w:t>0</w:t>
            </w:r>
            <w:r w:rsidR="00D7157D">
              <w:t>.</w:t>
            </w:r>
            <w:r w:rsidRPr="00295986">
              <w:t>683</w:t>
            </w:r>
          </w:p>
        </w:tc>
      </w:tr>
      <w:tr w:rsidR="00612783" w:rsidRPr="009E2595" w14:paraId="6C6E997B" w14:textId="77777777" w:rsidTr="00143C85">
        <w:trPr>
          <w:trHeight w:val="245"/>
          <w:jc w:val="right"/>
        </w:trPr>
        <w:tc>
          <w:tcPr>
            <w:tcW w:w="1705" w:type="pct"/>
            <w:tcBorders>
              <w:top w:val="single" w:sz="4" w:space="0" w:color="auto"/>
              <w:bottom w:val="single" w:sz="4" w:space="0" w:color="auto"/>
            </w:tcBorders>
            <w:vAlign w:val="bottom"/>
          </w:tcPr>
          <w:p w14:paraId="79AE8301" w14:textId="77777777" w:rsidR="00612783" w:rsidRPr="00DD19E6" w:rsidRDefault="00612783" w:rsidP="00143C85">
            <w:pPr>
              <w:pStyle w:val="Tabletext"/>
              <w:rPr>
                <w:snapToGrid w:val="0"/>
              </w:rPr>
            </w:pPr>
            <w:r w:rsidRPr="00DD19E6">
              <w:rPr>
                <w:snapToGrid w:val="0"/>
              </w:rPr>
              <w:t>49</w:t>
            </w:r>
          </w:p>
        </w:tc>
        <w:tc>
          <w:tcPr>
            <w:tcW w:w="1417" w:type="pct"/>
            <w:tcBorders>
              <w:top w:val="single" w:sz="4" w:space="0" w:color="auto"/>
              <w:bottom w:val="single" w:sz="4" w:space="0" w:color="auto"/>
            </w:tcBorders>
            <w:vAlign w:val="bottom"/>
          </w:tcPr>
          <w:p w14:paraId="36E4B373" w14:textId="77777777" w:rsidR="00612783" w:rsidRPr="00DD19E6" w:rsidRDefault="00612783" w:rsidP="00143C85">
            <w:pPr>
              <w:pStyle w:val="Tabletext"/>
              <w:rPr>
                <w:snapToGrid w:val="0"/>
              </w:rPr>
            </w:pPr>
            <w:r w:rsidRPr="00295986">
              <w:t>2</w:t>
            </w:r>
            <w:r w:rsidR="00D7157D">
              <w:t>.</w:t>
            </w:r>
            <w:r w:rsidRPr="00295986">
              <w:t>192</w:t>
            </w:r>
          </w:p>
        </w:tc>
        <w:tc>
          <w:tcPr>
            <w:tcW w:w="1878" w:type="pct"/>
            <w:tcBorders>
              <w:top w:val="single" w:sz="4" w:space="0" w:color="auto"/>
              <w:bottom w:val="single" w:sz="4" w:space="0" w:color="auto"/>
            </w:tcBorders>
            <w:vAlign w:val="bottom"/>
          </w:tcPr>
          <w:p w14:paraId="7EC526CE" w14:textId="77777777" w:rsidR="00612783" w:rsidRPr="00DD19E6" w:rsidRDefault="00612783" w:rsidP="00143C85">
            <w:pPr>
              <w:pStyle w:val="Tabletext"/>
              <w:rPr>
                <w:snapToGrid w:val="0"/>
              </w:rPr>
            </w:pPr>
            <w:r w:rsidRPr="00295986">
              <w:t>0</w:t>
            </w:r>
            <w:r w:rsidR="00D7157D">
              <w:t>.</w:t>
            </w:r>
            <w:r w:rsidRPr="00295986">
              <w:t>604</w:t>
            </w:r>
          </w:p>
        </w:tc>
      </w:tr>
      <w:tr w:rsidR="00612783" w:rsidRPr="009E2595" w14:paraId="777210D9" w14:textId="77777777" w:rsidTr="00143C85">
        <w:trPr>
          <w:trHeight w:val="245"/>
          <w:jc w:val="right"/>
        </w:trPr>
        <w:tc>
          <w:tcPr>
            <w:tcW w:w="1705" w:type="pct"/>
            <w:tcBorders>
              <w:top w:val="single" w:sz="4" w:space="0" w:color="auto"/>
              <w:bottom w:val="single" w:sz="4" w:space="0" w:color="auto"/>
            </w:tcBorders>
            <w:vAlign w:val="bottom"/>
          </w:tcPr>
          <w:p w14:paraId="6A02EC35" w14:textId="77777777" w:rsidR="00612783" w:rsidRPr="00DD19E6" w:rsidRDefault="00612783" w:rsidP="00143C85">
            <w:pPr>
              <w:pStyle w:val="Tabletext"/>
              <w:rPr>
                <w:snapToGrid w:val="0"/>
              </w:rPr>
            </w:pPr>
            <w:r w:rsidRPr="00DD19E6">
              <w:rPr>
                <w:snapToGrid w:val="0"/>
              </w:rPr>
              <w:t>50</w:t>
            </w:r>
          </w:p>
        </w:tc>
        <w:tc>
          <w:tcPr>
            <w:tcW w:w="1417" w:type="pct"/>
            <w:tcBorders>
              <w:top w:val="single" w:sz="4" w:space="0" w:color="auto"/>
              <w:bottom w:val="single" w:sz="4" w:space="0" w:color="auto"/>
            </w:tcBorders>
            <w:vAlign w:val="bottom"/>
          </w:tcPr>
          <w:p w14:paraId="0D2C9615" w14:textId="77777777" w:rsidR="00612783" w:rsidRPr="00DD19E6" w:rsidRDefault="00612783" w:rsidP="00143C85">
            <w:pPr>
              <w:pStyle w:val="Tabletext"/>
              <w:rPr>
                <w:snapToGrid w:val="0"/>
              </w:rPr>
            </w:pPr>
            <w:r w:rsidRPr="00295986">
              <w:t>2</w:t>
            </w:r>
            <w:r w:rsidR="00D7157D">
              <w:t>.</w:t>
            </w:r>
            <w:r w:rsidRPr="00295986">
              <w:t>087</w:t>
            </w:r>
          </w:p>
        </w:tc>
        <w:tc>
          <w:tcPr>
            <w:tcW w:w="1878" w:type="pct"/>
            <w:tcBorders>
              <w:top w:val="single" w:sz="4" w:space="0" w:color="auto"/>
              <w:bottom w:val="single" w:sz="4" w:space="0" w:color="auto"/>
            </w:tcBorders>
            <w:vAlign w:val="bottom"/>
          </w:tcPr>
          <w:p w14:paraId="02865B88" w14:textId="77777777" w:rsidR="00612783" w:rsidRPr="00DD19E6" w:rsidRDefault="00612783" w:rsidP="00143C85">
            <w:pPr>
              <w:pStyle w:val="Tabletext"/>
              <w:rPr>
                <w:snapToGrid w:val="0"/>
              </w:rPr>
            </w:pPr>
            <w:r w:rsidRPr="00295986">
              <w:t>0</w:t>
            </w:r>
            <w:r w:rsidR="00D7157D">
              <w:t>.</w:t>
            </w:r>
            <w:r w:rsidRPr="00295986">
              <w:t>525</w:t>
            </w:r>
          </w:p>
        </w:tc>
      </w:tr>
      <w:tr w:rsidR="00612783" w:rsidRPr="009E2595" w14:paraId="47581EAD" w14:textId="77777777" w:rsidTr="00143C85">
        <w:trPr>
          <w:trHeight w:val="245"/>
          <w:jc w:val="right"/>
        </w:trPr>
        <w:tc>
          <w:tcPr>
            <w:tcW w:w="1705" w:type="pct"/>
            <w:tcBorders>
              <w:top w:val="single" w:sz="4" w:space="0" w:color="auto"/>
              <w:bottom w:val="single" w:sz="4" w:space="0" w:color="auto"/>
            </w:tcBorders>
            <w:vAlign w:val="bottom"/>
          </w:tcPr>
          <w:p w14:paraId="6DFD479F" w14:textId="77777777" w:rsidR="00612783" w:rsidRPr="00DD19E6" w:rsidRDefault="00612783" w:rsidP="00143C85">
            <w:pPr>
              <w:pStyle w:val="Tabletext"/>
              <w:rPr>
                <w:snapToGrid w:val="0"/>
              </w:rPr>
            </w:pPr>
            <w:r w:rsidRPr="00DD19E6">
              <w:rPr>
                <w:snapToGrid w:val="0"/>
              </w:rPr>
              <w:t>51</w:t>
            </w:r>
          </w:p>
        </w:tc>
        <w:tc>
          <w:tcPr>
            <w:tcW w:w="1417" w:type="pct"/>
            <w:tcBorders>
              <w:top w:val="single" w:sz="4" w:space="0" w:color="auto"/>
              <w:bottom w:val="single" w:sz="4" w:space="0" w:color="auto"/>
            </w:tcBorders>
            <w:vAlign w:val="bottom"/>
          </w:tcPr>
          <w:p w14:paraId="28B19A2C" w14:textId="77777777" w:rsidR="00612783" w:rsidRPr="00DD19E6" w:rsidRDefault="00612783" w:rsidP="00143C85">
            <w:pPr>
              <w:pStyle w:val="Tabletext"/>
              <w:rPr>
                <w:snapToGrid w:val="0"/>
              </w:rPr>
            </w:pPr>
            <w:r w:rsidRPr="00295986">
              <w:t>1</w:t>
            </w:r>
            <w:r w:rsidR="00D7157D">
              <w:t>.</w:t>
            </w:r>
            <w:r w:rsidRPr="00295986">
              <w:t>774</w:t>
            </w:r>
          </w:p>
        </w:tc>
        <w:tc>
          <w:tcPr>
            <w:tcW w:w="1878" w:type="pct"/>
            <w:tcBorders>
              <w:top w:val="single" w:sz="4" w:space="0" w:color="auto"/>
              <w:bottom w:val="single" w:sz="4" w:space="0" w:color="auto"/>
            </w:tcBorders>
            <w:vAlign w:val="bottom"/>
          </w:tcPr>
          <w:p w14:paraId="407443C1" w14:textId="77777777" w:rsidR="00612783" w:rsidRPr="00DD19E6" w:rsidRDefault="00612783" w:rsidP="00143C85">
            <w:pPr>
              <w:pStyle w:val="Tabletext"/>
              <w:rPr>
                <w:snapToGrid w:val="0"/>
              </w:rPr>
            </w:pPr>
            <w:r w:rsidRPr="00295986">
              <w:t>0</w:t>
            </w:r>
            <w:r w:rsidR="00D7157D">
              <w:t>.</w:t>
            </w:r>
            <w:r w:rsidRPr="00295986">
              <w:t>447</w:t>
            </w:r>
          </w:p>
        </w:tc>
      </w:tr>
      <w:tr w:rsidR="00612783" w:rsidRPr="009E2595" w14:paraId="63DD7763" w14:textId="77777777" w:rsidTr="00143C85">
        <w:trPr>
          <w:trHeight w:val="245"/>
          <w:jc w:val="right"/>
        </w:trPr>
        <w:tc>
          <w:tcPr>
            <w:tcW w:w="1705" w:type="pct"/>
            <w:tcBorders>
              <w:top w:val="single" w:sz="4" w:space="0" w:color="auto"/>
              <w:bottom w:val="single" w:sz="4" w:space="0" w:color="auto"/>
            </w:tcBorders>
            <w:vAlign w:val="bottom"/>
          </w:tcPr>
          <w:p w14:paraId="1A9DAB57" w14:textId="77777777" w:rsidR="00612783" w:rsidRPr="00DD19E6" w:rsidRDefault="00612783" w:rsidP="00143C85">
            <w:pPr>
              <w:pStyle w:val="Tabletext"/>
              <w:rPr>
                <w:snapToGrid w:val="0"/>
              </w:rPr>
            </w:pPr>
            <w:r w:rsidRPr="00DD19E6">
              <w:rPr>
                <w:snapToGrid w:val="0"/>
              </w:rPr>
              <w:t>52</w:t>
            </w:r>
          </w:p>
        </w:tc>
        <w:tc>
          <w:tcPr>
            <w:tcW w:w="1417" w:type="pct"/>
            <w:tcBorders>
              <w:top w:val="single" w:sz="4" w:space="0" w:color="auto"/>
              <w:bottom w:val="single" w:sz="4" w:space="0" w:color="auto"/>
            </w:tcBorders>
            <w:vAlign w:val="bottom"/>
          </w:tcPr>
          <w:p w14:paraId="2DC2EFF0" w14:textId="77777777" w:rsidR="00612783" w:rsidRPr="00DD19E6" w:rsidRDefault="00612783" w:rsidP="00143C85">
            <w:pPr>
              <w:pStyle w:val="Tabletext"/>
              <w:rPr>
                <w:snapToGrid w:val="0"/>
              </w:rPr>
            </w:pPr>
            <w:r w:rsidRPr="00295986">
              <w:t>1</w:t>
            </w:r>
            <w:r w:rsidR="00D7157D">
              <w:t>.</w:t>
            </w:r>
            <w:r w:rsidRPr="00295986">
              <w:t>461</w:t>
            </w:r>
          </w:p>
        </w:tc>
        <w:tc>
          <w:tcPr>
            <w:tcW w:w="1878" w:type="pct"/>
            <w:tcBorders>
              <w:top w:val="single" w:sz="4" w:space="0" w:color="auto"/>
              <w:bottom w:val="single" w:sz="4" w:space="0" w:color="auto"/>
            </w:tcBorders>
            <w:vAlign w:val="bottom"/>
          </w:tcPr>
          <w:p w14:paraId="2A7BA108" w14:textId="77777777" w:rsidR="00612783" w:rsidRPr="00DD19E6" w:rsidRDefault="00612783" w:rsidP="00143C85">
            <w:pPr>
              <w:pStyle w:val="Tabletext"/>
              <w:rPr>
                <w:snapToGrid w:val="0"/>
              </w:rPr>
            </w:pPr>
            <w:r w:rsidRPr="00295986">
              <w:t>0</w:t>
            </w:r>
            <w:r w:rsidR="00D7157D">
              <w:t>.</w:t>
            </w:r>
            <w:r w:rsidRPr="00295986">
              <w:t>368</w:t>
            </w:r>
          </w:p>
        </w:tc>
      </w:tr>
      <w:tr w:rsidR="00612783" w:rsidRPr="009E2595" w14:paraId="720F7F3A" w14:textId="77777777" w:rsidTr="00143C85">
        <w:trPr>
          <w:trHeight w:val="245"/>
          <w:jc w:val="right"/>
        </w:trPr>
        <w:tc>
          <w:tcPr>
            <w:tcW w:w="1705" w:type="pct"/>
            <w:tcBorders>
              <w:top w:val="single" w:sz="4" w:space="0" w:color="auto"/>
              <w:bottom w:val="single" w:sz="4" w:space="0" w:color="auto"/>
            </w:tcBorders>
            <w:vAlign w:val="bottom"/>
          </w:tcPr>
          <w:p w14:paraId="4239F5BE" w14:textId="77777777" w:rsidR="00612783" w:rsidRPr="00DD19E6" w:rsidRDefault="00612783" w:rsidP="00143C85">
            <w:pPr>
              <w:pStyle w:val="Tabletext"/>
              <w:rPr>
                <w:snapToGrid w:val="0"/>
              </w:rPr>
            </w:pPr>
            <w:r w:rsidRPr="00DD19E6">
              <w:rPr>
                <w:snapToGrid w:val="0"/>
              </w:rPr>
              <w:t>53</w:t>
            </w:r>
          </w:p>
        </w:tc>
        <w:tc>
          <w:tcPr>
            <w:tcW w:w="1417" w:type="pct"/>
            <w:tcBorders>
              <w:top w:val="single" w:sz="4" w:space="0" w:color="auto"/>
              <w:bottom w:val="single" w:sz="4" w:space="0" w:color="auto"/>
            </w:tcBorders>
            <w:vAlign w:val="bottom"/>
          </w:tcPr>
          <w:p w14:paraId="44955FA0" w14:textId="77777777" w:rsidR="00612783" w:rsidRPr="00DD19E6" w:rsidRDefault="00612783" w:rsidP="00143C85">
            <w:pPr>
              <w:pStyle w:val="Tabletext"/>
              <w:rPr>
                <w:snapToGrid w:val="0"/>
              </w:rPr>
            </w:pPr>
            <w:r w:rsidRPr="00295986">
              <w:t>1</w:t>
            </w:r>
            <w:r w:rsidR="00D7157D">
              <w:t>.</w:t>
            </w:r>
            <w:r w:rsidRPr="00295986">
              <w:t>148</w:t>
            </w:r>
          </w:p>
        </w:tc>
        <w:tc>
          <w:tcPr>
            <w:tcW w:w="1878" w:type="pct"/>
            <w:tcBorders>
              <w:top w:val="single" w:sz="4" w:space="0" w:color="auto"/>
              <w:bottom w:val="single" w:sz="4" w:space="0" w:color="auto"/>
            </w:tcBorders>
            <w:vAlign w:val="bottom"/>
          </w:tcPr>
          <w:p w14:paraId="318262A7" w14:textId="77777777" w:rsidR="00612783" w:rsidRPr="00DD19E6" w:rsidRDefault="00612783" w:rsidP="00143C85">
            <w:pPr>
              <w:pStyle w:val="Tabletext"/>
              <w:rPr>
                <w:snapToGrid w:val="0"/>
              </w:rPr>
            </w:pPr>
            <w:r w:rsidRPr="00295986">
              <w:t>0</w:t>
            </w:r>
            <w:r w:rsidR="00D7157D">
              <w:t>.</w:t>
            </w:r>
            <w:r w:rsidRPr="00295986">
              <w:t>289</w:t>
            </w:r>
          </w:p>
        </w:tc>
      </w:tr>
      <w:tr w:rsidR="00612783" w:rsidRPr="009E2595" w14:paraId="4A5D0AF8" w14:textId="77777777" w:rsidTr="00143C85">
        <w:trPr>
          <w:trHeight w:val="245"/>
          <w:jc w:val="right"/>
        </w:trPr>
        <w:tc>
          <w:tcPr>
            <w:tcW w:w="1705" w:type="pct"/>
            <w:tcBorders>
              <w:top w:val="single" w:sz="4" w:space="0" w:color="auto"/>
              <w:bottom w:val="single" w:sz="4" w:space="0" w:color="auto"/>
            </w:tcBorders>
            <w:vAlign w:val="bottom"/>
          </w:tcPr>
          <w:p w14:paraId="5790B6C0" w14:textId="77777777" w:rsidR="00612783" w:rsidRPr="00DD19E6" w:rsidRDefault="00612783" w:rsidP="00143C85">
            <w:pPr>
              <w:pStyle w:val="Tabletext"/>
              <w:rPr>
                <w:snapToGrid w:val="0"/>
              </w:rPr>
            </w:pPr>
            <w:r w:rsidRPr="00DD19E6">
              <w:rPr>
                <w:snapToGrid w:val="0"/>
              </w:rPr>
              <w:t>54</w:t>
            </w:r>
          </w:p>
        </w:tc>
        <w:tc>
          <w:tcPr>
            <w:tcW w:w="1417" w:type="pct"/>
            <w:tcBorders>
              <w:top w:val="single" w:sz="4" w:space="0" w:color="auto"/>
              <w:bottom w:val="single" w:sz="4" w:space="0" w:color="auto"/>
            </w:tcBorders>
            <w:vAlign w:val="bottom"/>
          </w:tcPr>
          <w:p w14:paraId="65BFC621" w14:textId="77777777" w:rsidR="00612783" w:rsidRPr="00DD19E6" w:rsidRDefault="00612783" w:rsidP="00143C85">
            <w:pPr>
              <w:pStyle w:val="Tabletext"/>
              <w:rPr>
                <w:snapToGrid w:val="0"/>
              </w:rPr>
            </w:pPr>
            <w:r w:rsidRPr="00295986">
              <w:t>0</w:t>
            </w:r>
            <w:r w:rsidR="00D7157D">
              <w:t>.</w:t>
            </w:r>
            <w:r w:rsidRPr="00295986">
              <w:t>835</w:t>
            </w:r>
          </w:p>
        </w:tc>
        <w:tc>
          <w:tcPr>
            <w:tcW w:w="1878" w:type="pct"/>
            <w:tcBorders>
              <w:top w:val="single" w:sz="4" w:space="0" w:color="auto"/>
              <w:bottom w:val="single" w:sz="4" w:space="0" w:color="auto"/>
            </w:tcBorders>
            <w:vAlign w:val="bottom"/>
          </w:tcPr>
          <w:p w14:paraId="0920CCCA" w14:textId="77777777" w:rsidR="00612783" w:rsidRPr="00DD19E6" w:rsidRDefault="00612783" w:rsidP="00143C85">
            <w:pPr>
              <w:pStyle w:val="Tabletext"/>
              <w:rPr>
                <w:snapToGrid w:val="0"/>
              </w:rPr>
            </w:pPr>
            <w:r w:rsidRPr="00295986">
              <w:t>0</w:t>
            </w:r>
            <w:r w:rsidR="00D7157D">
              <w:t>.</w:t>
            </w:r>
            <w:r w:rsidRPr="00295986">
              <w:t>210</w:t>
            </w:r>
          </w:p>
        </w:tc>
      </w:tr>
      <w:tr w:rsidR="00612783" w:rsidRPr="009E2595" w14:paraId="084AAD8D" w14:textId="77777777" w:rsidTr="00143C85">
        <w:trPr>
          <w:trHeight w:val="245"/>
          <w:jc w:val="right"/>
        </w:trPr>
        <w:tc>
          <w:tcPr>
            <w:tcW w:w="1705" w:type="pct"/>
            <w:tcBorders>
              <w:top w:val="single" w:sz="4" w:space="0" w:color="auto"/>
              <w:bottom w:val="single" w:sz="12" w:space="0" w:color="auto"/>
            </w:tcBorders>
            <w:vAlign w:val="bottom"/>
          </w:tcPr>
          <w:p w14:paraId="6E7A9EAA" w14:textId="77777777" w:rsidR="00612783" w:rsidRPr="00DD19E6" w:rsidRDefault="00612783" w:rsidP="00143C85">
            <w:pPr>
              <w:pStyle w:val="Tabletext"/>
              <w:rPr>
                <w:snapToGrid w:val="0"/>
              </w:rPr>
            </w:pPr>
            <w:r w:rsidRPr="00DD19E6">
              <w:rPr>
                <w:snapToGrid w:val="0"/>
              </w:rPr>
              <w:t>55 and over</w:t>
            </w:r>
          </w:p>
        </w:tc>
        <w:tc>
          <w:tcPr>
            <w:tcW w:w="1417" w:type="pct"/>
            <w:tcBorders>
              <w:top w:val="single" w:sz="4" w:space="0" w:color="auto"/>
              <w:bottom w:val="single" w:sz="12" w:space="0" w:color="auto"/>
            </w:tcBorders>
            <w:vAlign w:val="bottom"/>
          </w:tcPr>
          <w:p w14:paraId="7125C00A" w14:textId="77777777" w:rsidR="00612783" w:rsidRPr="00DD19E6" w:rsidRDefault="00612783" w:rsidP="00143C85">
            <w:pPr>
              <w:pStyle w:val="Tabletext"/>
              <w:rPr>
                <w:snapToGrid w:val="0"/>
              </w:rPr>
            </w:pPr>
            <w:r w:rsidRPr="00295986">
              <w:t>0</w:t>
            </w:r>
            <w:r w:rsidR="00D7157D">
              <w:t>.</w:t>
            </w:r>
            <w:r w:rsidRPr="00295986">
              <w:t>522</w:t>
            </w:r>
          </w:p>
        </w:tc>
        <w:tc>
          <w:tcPr>
            <w:tcW w:w="1878" w:type="pct"/>
            <w:tcBorders>
              <w:top w:val="single" w:sz="4" w:space="0" w:color="auto"/>
              <w:bottom w:val="single" w:sz="12" w:space="0" w:color="auto"/>
            </w:tcBorders>
            <w:vAlign w:val="bottom"/>
          </w:tcPr>
          <w:p w14:paraId="50452935" w14:textId="77777777" w:rsidR="00612783" w:rsidRPr="00DD19E6" w:rsidRDefault="00612783" w:rsidP="00143C85">
            <w:pPr>
              <w:pStyle w:val="Tabletext"/>
              <w:rPr>
                <w:snapToGrid w:val="0"/>
              </w:rPr>
            </w:pPr>
            <w:r w:rsidRPr="00295986">
              <w:t>0</w:t>
            </w:r>
            <w:r w:rsidR="00D7157D">
              <w:t>.</w:t>
            </w:r>
            <w:r w:rsidRPr="00295986">
              <w:t>131</w:t>
            </w:r>
          </w:p>
        </w:tc>
      </w:tr>
    </w:tbl>
    <w:p w14:paraId="33F09ECA" w14:textId="6C3F592A" w:rsidR="00647C6B" w:rsidRPr="00A058B6" w:rsidRDefault="00D7157D" w:rsidP="00647C6B">
      <w:pPr>
        <w:pStyle w:val="ActHead5"/>
      </w:pPr>
      <w:bookmarkStart w:id="270" w:name="_Toc188350748"/>
      <w:r w:rsidRPr="00423C34">
        <w:rPr>
          <w:rStyle w:val="CharSectno"/>
        </w:rPr>
        <w:t>32</w:t>
      </w:r>
      <w:r w:rsidR="00647C6B" w:rsidRPr="00A058B6">
        <w:t xml:space="preserve">  Valuation factors—10</w:t>
      </w:r>
      <w:r w:rsidR="001952B3">
        <w:noBreakHyphen/>
      </w:r>
      <w:r w:rsidR="00647C6B" w:rsidRPr="00A058B6">
        <w:t>year guarantee period—pension indexed at 5%</w:t>
      </w:r>
      <w:bookmarkEnd w:id="270"/>
    </w:p>
    <w:p w14:paraId="31087770"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w:t>
      </w:r>
    </w:p>
    <w:p w14:paraId="2CDAC52D" w14:textId="7E09C7C9" w:rsidR="00647C6B" w:rsidRPr="00A058B6" w:rsidRDefault="00647C6B" w:rsidP="00647C6B">
      <w:pPr>
        <w:pStyle w:val="paragraph"/>
      </w:pPr>
      <w:r w:rsidRPr="00A058B6">
        <w:tab/>
        <w:t>(a)</w:t>
      </w:r>
      <w:r w:rsidRPr="00A058B6">
        <w:tab/>
        <w:t>has a 10</w:t>
      </w:r>
      <w:r w:rsidR="001952B3">
        <w:noBreakHyphen/>
      </w:r>
      <w:r w:rsidRPr="00A058B6">
        <w:t>year guarantee period; and</w:t>
      </w:r>
    </w:p>
    <w:p w14:paraId="5FCB1FBE" w14:textId="77777777" w:rsidR="00647C6B" w:rsidRPr="00A058B6" w:rsidRDefault="00647C6B" w:rsidP="00647C6B">
      <w:pPr>
        <w:pStyle w:val="paragraph"/>
      </w:pPr>
      <w:r w:rsidRPr="00A058B6">
        <w:tab/>
        <w:t>(b)</w:t>
      </w:r>
      <w:r w:rsidRPr="00A058B6">
        <w:tab/>
        <w:t>is indexed at 5%</w:t>
      </w:r>
      <w:r w:rsidR="00D7157D">
        <w:t>.</w:t>
      </w:r>
    </w:p>
    <w:p w14:paraId="0E8DB868"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76"/>
        <w:gridCol w:w="3102"/>
      </w:tblGrid>
      <w:tr w:rsidR="00647C6B" w:rsidRPr="00A058B6" w14:paraId="0D993E8C" w14:textId="77777777" w:rsidTr="00963115">
        <w:trPr>
          <w:cantSplit/>
          <w:trHeight w:val="375"/>
          <w:tblHeader/>
          <w:jc w:val="right"/>
        </w:trPr>
        <w:tc>
          <w:tcPr>
            <w:tcW w:w="1705" w:type="pct"/>
            <w:vMerge w:val="restart"/>
            <w:tcBorders>
              <w:top w:val="single" w:sz="12" w:space="0" w:color="auto"/>
              <w:bottom w:val="single" w:sz="12" w:space="0" w:color="auto"/>
            </w:tcBorders>
          </w:tcPr>
          <w:p w14:paraId="6DE83556" w14:textId="77777777" w:rsidR="00647C6B" w:rsidRPr="00A058B6" w:rsidRDefault="00647C6B" w:rsidP="00963115">
            <w:pPr>
              <w:pStyle w:val="TableHeading"/>
              <w:rPr>
                <w:snapToGrid w:val="0"/>
              </w:rPr>
            </w:pPr>
            <w:r w:rsidRPr="00A058B6">
              <w:rPr>
                <w:snapToGrid w:val="0"/>
              </w:rPr>
              <w:t>Member’s retirement age</w:t>
            </w:r>
          </w:p>
        </w:tc>
        <w:tc>
          <w:tcPr>
            <w:tcW w:w="3295" w:type="pct"/>
            <w:gridSpan w:val="2"/>
            <w:tcBorders>
              <w:top w:val="single" w:sz="12" w:space="0" w:color="auto"/>
              <w:bottom w:val="single" w:sz="4" w:space="0" w:color="auto"/>
            </w:tcBorders>
          </w:tcPr>
          <w:p w14:paraId="00530FFE" w14:textId="06A16214" w:rsidR="00647C6B" w:rsidRPr="00A058B6" w:rsidRDefault="00647C6B" w:rsidP="00963115">
            <w:pPr>
              <w:pStyle w:val="TableHeading"/>
              <w:rPr>
                <w:snapToGrid w:val="0"/>
              </w:rPr>
            </w:pPr>
            <w:r w:rsidRPr="00A058B6">
              <w:rPr>
                <w:snapToGrid w:val="0"/>
              </w:rPr>
              <w:t>Pension valuation factors</w:t>
            </w:r>
            <w:r w:rsidRPr="00A058B6">
              <w:rPr>
                <w:snapToGrid w:val="0"/>
              </w:rPr>
              <w:br/>
              <w:t>10</w:t>
            </w:r>
            <w:r w:rsidR="001952B3">
              <w:rPr>
                <w:snapToGrid w:val="0"/>
              </w:rPr>
              <w:noBreakHyphen/>
            </w:r>
            <w:r w:rsidRPr="00A058B6">
              <w:rPr>
                <w:snapToGrid w:val="0"/>
              </w:rPr>
              <w:t>year guarantee period—pension indexed at 5%</w:t>
            </w:r>
          </w:p>
        </w:tc>
      </w:tr>
      <w:tr w:rsidR="00647C6B" w:rsidRPr="00A058B6" w14:paraId="62074853" w14:textId="77777777" w:rsidTr="00963115">
        <w:trPr>
          <w:cantSplit/>
          <w:trHeight w:val="40"/>
          <w:tblHeader/>
          <w:jc w:val="right"/>
        </w:trPr>
        <w:tc>
          <w:tcPr>
            <w:tcW w:w="1705" w:type="pct"/>
            <w:vMerge/>
            <w:tcBorders>
              <w:bottom w:val="single" w:sz="12" w:space="0" w:color="auto"/>
            </w:tcBorders>
          </w:tcPr>
          <w:p w14:paraId="4B0127F9" w14:textId="77777777" w:rsidR="00647C6B" w:rsidRPr="00A058B6" w:rsidRDefault="00647C6B" w:rsidP="00963115">
            <w:pPr>
              <w:pStyle w:val="TableHeading"/>
              <w:rPr>
                <w:snapToGrid w:val="0"/>
              </w:rPr>
            </w:pPr>
          </w:p>
        </w:tc>
        <w:tc>
          <w:tcPr>
            <w:tcW w:w="1429" w:type="pct"/>
            <w:tcBorders>
              <w:top w:val="single" w:sz="4" w:space="0" w:color="auto"/>
              <w:bottom w:val="single" w:sz="12" w:space="0" w:color="auto"/>
            </w:tcBorders>
          </w:tcPr>
          <w:p w14:paraId="06675CA0" w14:textId="77777777" w:rsidR="00647C6B" w:rsidRPr="00A058B6" w:rsidRDefault="00647C6B" w:rsidP="00963115">
            <w:pPr>
              <w:pStyle w:val="TableHeading"/>
              <w:rPr>
                <w:snapToGrid w:val="0"/>
              </w:rPr>
            </w:pPr>
            <w:r w:rsidRPr="00A058B6">
              <w:rPr>
                <w:snapToGrid w:val="0"/>
              </w:rPr>
              <w:t>Male</w:t>
            </w:r>
          </w:p>
        </w:tc>
        <w:tc>
          <w:tcPr>
            <w:tcW w:w="1866" w:type="pct"/>
            <w:tcBorders>
              <w:top w:val="single" w:sz="4" w:space="0" w:color="auto"/>
              <w:bottom w:val="single" w:sz="12" w:space="0" w:color="auto"/>
            </w:tcBorders>
          </w:tcPr>
          <w:p w14:paraId="465911A9" w14:textId="77777777" w:rsidR="00647C6B" w:rsidRPr="00A058B6" w:rsidRDefault="00647C6B" w:rsidP="00963115">
            <w:pPr>
              <w:pStyle w:val="TableHeading"/>
              <w:rPr>
                <w:snapToGrid w:val="0"/>
              </w:rPr>
            </w:pPr>
            <w:r w:rsidRPr="00A058B6">
              <w:rPr>
                <w:snapToGrid w:val="0"/>
              </w:rPr>
              <w:t>Female</w:t>
            </w:r>
          </w:p>
        </w:tc>
      </w:tr>
      <w:tr w:rsidR="0028754C" w:rsidRPr="009E2595" w14:paraId="72FA0C7D" w14:textId="77777777" w:rsidTr="00143C85">
        <w:trPr>
          <w:trHeight w:val="245"/>
          <w:jc w:val="right"/>
        </w:trPr>
        <w:tc>
          <w:tcPr>
            <w:tcW w:w="1705" w:type="pct"/>
            <w:tcBorders>
              <w:top w:val="single" w:sz="12" w:space="0" w:color="auto"/>
              <w:bottom w:val="single" w:sz="4" w:space="0" w:color="auto"/>
            </w:tcBorders>
            <w:vAlign w:val="bottom"/>
          </w:tcPr>
          <w:p w14:paraId="4C6E8061" w14:textId="77777777" w:rsidR="0028754C" w:rsidRPr="009361C3" w:rsidRDefault="0028754C" w:rsidP="00143C85">
            <w:pPr>
              <w:pStyle w:val="Tabletext"/>
              <w:rPr>
                <w:snapToGrid w:val="0"/>
              </w:rPr>
            </w:pPr>
            <w:r w:rsidRPr="009361C3">
              <w:rPr>
                <w:snapToGrid w:val="0"/>
              </w:rPr>
              <w:t>55</w:t>
            </w:r>
          </w:p>
        </w:tc>
        <w:tc>
          <w:tcPr>
            <w:tcW w:w="1429" w:type="pct"/>
            <w:tcBorders>
              <w:top w:val="single" w:sz="12" w:space="0" w:color="auto"/>
              <w:bottom w:val="single" w:sz="4" w:space="0" w:color="auto"/>
            </w:tcBorders>
            <w:vAlign w:val="bottom"/>
          </w:tcPr>
          <w:p w14:paraId="463FD61D" w14:textId="77777777" w:rsidR="0028754C" w:rsidRPr="009361C3" w:rsidRDefault="0028754C" w:rsidP="00143C85">
            <w:pPr>
              <w:pStyle w:val="Tabletext"/>
              <w:rPr>
                <w:snapToGrid w:val="0"/>
              </w:rPr>
            </w:pPr>
            <w:r w:rsidRPr="00295986">
              <w:t>28</w:t>
            </w:r>
            <w:r w:rsidR="00D7157D">
              <w:t>.</w:t>
            </w:r>
            <w:r w:rsidRPr="00295986">
              <w:t>5552</w:t>
            </w:r>
          </w:p>
        </w:tc>
        <w:tc>
          <w:tcPr>
            <w:tcW w:w="1866" w:type="pct"/>
            <w:tcBorders>
              <w:top w:val="single" w:sz="12" w:space="0" w:color="auto"/>
              <w:bottom w:val="single" w:sz="4" w:space="0" w:color="auto"/>
            </w:tcBorders>
            <w:vAlign w:val="bottom"/>
          </w:tcPr>
          <w:p w14:paraId="1A05FE50" w14:textId="77777777" w:rsidR="0028754C" w:rsidRPr="009361C3" w:rsidRDefault="0028754C" w:rsidP="00143C85">
            <w:pPr>
              <w:pStyle w:val="Tabletext"/>
              <w:rPr>
                <w:snapToGrid w:val="0"/>
              </w:rPr>
            </w:pPr>
            <w:r w:rsidRPr="00295986">
              <w:t>30</w:t>
            </w:r>
            <w:r w:rsidR="00D7157D">
              <w:t>.</w:t>
            </w:r>
            <w:r w:rsidRPr="00295986">
              <w:t>2712</w:t>
            </w:r>
          </w:p>
        </w:tc>
      </w:tr>
      <w:tr w:rsidR="0028754C" w:rsidRPr="009E2595" w14:paraId="1B37E43E" w14:textId="77777777" w:rsidTr="00143C85">
        <w:trPr>
          <w:trHeight w:val="245"/>
          <w:jc w:val="right"/>
        </w:trPr>
        <w:tc>
          <w:tcPr>
            <w:tcW w:w="1705" w:type="pct"/>
            <w:tcBorders>
              <w:top w:val="single" w:sz="4" w:space="0" w:color="auto"/>
              <w:bottom w:val="single" w:sz="4" w:space="0" w:color="auto"/>
            </w:tcBorders>
            <w:vAlign w:val="bottom"/>
          </w:tcPr>
          <w:p w14:paraId="7DBE17E9" w14:textId="77777777" w:rsidR="0028754C" w:rsidRPr="009361C3" w:rsidRDefault="0028754C" w:rsidP="00143C85">
            <w:pPr>
              <w:pStyle w:val="Tabletext"/>
              <w:rPr>
                <w:snapToGrid w:val="0"/>
              </w:rPr>
            </w:pPr>
            <w:r w:rsidRPr="009361C3">
              <w:rPr>
                <w:snapToGrid w:val="0"/>
              </w:rPr>
              <w:t>56</w:t>
            </w:r>
          </w:p>
        </w:tc>
        <w:tc>
          <w:tcPr>
            <w:tcW w:w="1429" w:type="pct"/>
            <w:tcBorders>
              <w:top w:val="single" w:sz="4" w:space="0" w:color="auto"/>
              <w:bottom w:val="single" w:sz="4" w:space="0" w:color="auto"/>
            </w:tcBorders>
            <w:vAlign w:val="bottom"/>
          </w:tcPr>
          <w:p w14:paraId="00A83345" w14:textId="77777777" w:rsidR="0028754C" w:rsidRPr="009361C3" w:rsidRDefault="0028754C" w:rsidP="00143C85">
            <w:pPr>
              <w:pStyle w:val="Tabletext"/>
              <w:rPr>
                <w:snapToGrid w:val="0"/>
              </w:rPr>
            </w:pPr>
            <w:r w:rsidRPr="00295986">
              <w:t>27</w:t>
            </w:r>
            <w:r w:rsidR="00D7157D">
              <w:t>.</w:t>
            </w:r>
            <w:r w:rsidRPr="00295986">
              <w:t>8359</w:t>
            </w:r>
          </w:p>
        </w:tc>
        <w:tc>
          <w:tcPr>
            <w:tcW w:w="1866" w:type="pct"/>
            <w:tcBorders>
              <w:top w:val="single" w:sz="4" w:space="0" w:color="auto"/>
              <w:bottom w:val="single" w:sz="4" w:space="0" w:color="auto"/>
            </w:tcBorders>
            <w:vAlign w:val="bottom"/>
          </w:tcPr>
          <w:p w14:paraId="4FC387A7" w14:textId="77777777" w:rsidR="0028754C" w:rsidRPr="009361C3" w:rsidRDefault="0028754C" w:rsidP="00143C85">
            <w:pPr>
              <w:pStyle w:val="Tabletext"/>
              <w:rPr>
                <w:snapToGrid w:val="0"/>
              </w:rPr>
            </w:pPr>
            <w:r w:rsidRPr="00295986">
              <w:t>29</w:t>
            </w:r>
            <w:r w:rsidR="00D7157D">
              <w:t>.</w:t>
            </w:r>
            <w:r w:rsidRPr="00295986">
              <w:t>5510</w:t>
            </w:r>
          </w:p>
        </w:tc>
      </w:tr>
      <w:tr w:rsidR="0028754C" w:rsidRPr="009E2595" w14:paraId="2FA73610" w14:textId="77777777" w:rsidTr="00143C85">
        <w:trPr>
          <w:trHeight w:val="245"/>
          <w:jc w:val="right"/>
        </w:trPr>
        <w:tc>
          <w:tcPr>
            <w:tcW w:w="1705" w:type="pct"/>
            <w:tcBorders>
              <w:top w:val="single" w:sz="4" w:space="0" w:color="auto"/>
              <w:bottom w:val="single" w:sz="4" w:space="0" w:color="auto"/>
            </w:tcBorders>
            <w:vAlign w:val="bottom"/>
          </w:tcPr>
          <w:p w14:paraId="4A3BE3E8" w14:textId="77777777" w:rsidR="0028754C" w:rsidRPr="009361C3" w:rsidRDefault="0028754C" w:rsidP="00143C85">
            <w:pPr>
              <w:pStyle w:val="Tabletext"/>
              <w:rPr>
                <w:snapToGrid w:val="0"/>
              </w:rPr>
            </w:pPr>
            <w:r w:rsidRPr="009361C3">
              <w:rPr>
                <w:snapToGrid w:val="0"/>
              </w:rPr>
              <w:t>57</w:t>
            </w:r>
          </w:p>
        </w:tc>
        <w:tc>
          <w:tcPr>
            <w:tcW w:w="1429" w:type="pct"/>
            <w:tcBorders>
              <w:top w:val="single" w:sz="4" w:space="0" w:color="auto"/>
              <w:bottom w:val="single" w:sz="4" w:space="0" w:color="auto"/>
            </w:tcBorders>
            <w:vAlign w:val="bottom"/>
          </w:tcPr>
          <w:p w14:paraId="76A31CC3" w14:textId="77777777" w:rsidR="0028754C" w:rsidRPr="009361C3" w:rsidRDefault="0028754C" w:rsidP="00143C85">
            <w:pPr>
              <w:pStyle w:val="Tabletext"/>
              <w:rPr>
                <w:snapToGrid w:val="0"/>
              </w:rPr>
            </w:pPr>
            <w:r w:rsidRPr="00295986">
              <w:t>27</w:t>
            </w:r>
            <w:r w:rsidR="00D7157D">
              <w:t>.</w:t>
            </w:r>
            <w:r w:rsidRPr="00295986">
              <w:t>1114</w:t>
            </w:r>
          </w:p>
        </w:tc>
        <w:tc>
          <w:tcPr>
            <w:tcW w:w="1866" w:type="pct"/>
            <w:tcBorders>
              <w:top w:val="single" w:sz="4" w:space="0" w:color="auto"/>
              <w:bottom w:val="single" w:sz="4" w:space="0" w:color="auto"/>
            </w:tcBorders>
            <w:vAlign w:val="bottom"/>
          </w:tcPr>
          <w:p w14:paraId="6A934ABD" w14:textId="77777777" w:rsidR="0028754C" w:rsidRPr="009361C3" w:rsidRDefault="0028754C" w:rsidP="00143C85">
            <w:pPr>
              <w:pStyle w:val="Tabletext"/>
              <w:rPr>
                <w:snapToGrid w:val="0"/>
              </w:rPr>
            </w:pPr>
            <w:r w:rsidRPr="00295986">
              <w:t>28</w:t>
            </w:r>
            <w:r w:rsidR="00D7157D">
              <w:t>.</w:t>
            </w:r>
            <w:r w:rsidRPr="00295986">
              <w:t>8267</w:t>
            </w:r>
          </w:p>
        </w:tc>
      </w:tr>
      <w:tr w:rsidR="0028754C" w:rsidRPr="009E2595" w14:paraId="7A48D806" w14:textId="77777777" w:rsidTr="00143C85">
        <w:trPr>
          <w:trHeight w:val="245"/>
          <w:jc w:val="right"/>
        </w:trPr>
        <w:tc>
          <w:tcPr>
            <w:tcW w:w="1705" w:type="pct"/>
            <w:tcBorders>
              <w:top w:val="single" w:sz="4" w:space="0" w:color="auto"/>
              <w:bottom w:val="single" w:sz="4" w:space="0" w:color="auto"/>
            </w:tcBorders>
            <w:vAlign w:val="bottom"/>
          </w:tcPr>
          <w:p w14:paraId="3CD1D1E3" w14:textId="77777777" w:rsidR="0028754C" w:rsidRPr="009361C3" w:rsidRDefault="0028754C" w:rsidP="00143C85">
            <w:pPr>
              <w:pStyle w:val="Tabletext"/>
              <w:rPr>
                <w:snapToGrid w:val="0"/>
              </w:rPr>
            </w:pPr>
            <w:r w:rsidRPr="009361C3">
              <w:rPr>
                <w:snapToGrid w:val="0"/>
              </w:rPr>
              <w:t>58</w:t>
            </w:r>
          </w:p>
        </w:tc>
        <w:tc>
          <w:tcPr>
            <w:tcW w:w="1429" w:type="pct"/>
            <w:tcBorders>
              <w:top w:val="single" w:sz="4" w:space="0" w:color="auto"/>
              <w:bottom w:val="single" w:sz="4" w:space="0" w:color="auto"/>
            </w:tcBorders>
            <w:vAlign w:val="bottom"/>
          </w:tcPr>
          <w:p w14:paraId="586DD5A5" w14:textId="77777777" w:rsidR="0028754C" w:rsidRPr="009361C3" w:rsidRDefault="0028754C" w:rsidP="00143C85">
            <w:pPr>
              <w:pStyle w:val="Tabletext"/>
              <w:rPr>
                <w:snapToGrid w:val="0"/>
              </w:rPr>
            </w:pPr>
            <w:r w:rsidRPr="00295986">
              <w:t>26</w:t>
            </w:r>
            <w:r w:rsidR="00D7157D">
              <w:t>.</w:t>
            </w:r>
            <w:r w:rsidRPr="00295986">
              <w:t>3820</w:t>
            </w:r>
          </w:p>
        </w:tc>
        <w:tc>
          <w:tcPr>
            <w:tcW w:w="1866" w:type="pct"/>
            <w:tcBorders>
              <w:top w:val="single" w:sz="4" w:space="0" w:color="auto"/>
              <w:bottom w:val="single" w:sz="4" w:space="0" w:color="auto"/>
            </w:tcBorders>
            <w:vAlign w:val="bottom"/>
          </w:tcPr>
          <w:p w14:paraId="08A9EF2A" w14:textId="77777777" w:rsidR="0028754C" w:rsidRPr="009361C3" w:rsidRDefault="0028754C" w:rsidP="00143C85">
            <w:pPr>
              <w:pStyle w:val="Tabletext"/>
              <w:rPr>
                <w:snapToGrid w:val="0"/>
              </w:rPr>
            </w:pPr>
            <w:r w:rsidRPr="00295986">
              <w:t>28</w:t>
            </w:r>
            <w:r w:rsidR="00D7157D">
              <w:t>.</w:t>
            </w:r>
            <w:r w:rsidRPr="00295986">
              <w:t>0976</w:t>
            </w:r>
          </w:p>
        </w:tc>
      </w:tr>
      <w:tr w:rsidR="0028754C" w:rsidRPr="009E2595" w14:paraId="00FDAC1D" w14:textId="77777777" w:rsidTr="00143C85">
        <w:trPr>
          <w:trHeight w:val="245"/>
          <w:jc w:val="right"/>
        </w:trPr>
        <w:tc>
          <w:tcPr>
            <w:tcW w:w="1705" w:type="pct"/>
            <w:tcBorders>
              <w:top w:val="single" w:sz="4" w:space="0" w:color="auto"/>
              <w:bottom w:val="single" w:sz="4" w:space="0" w:color="auto"/>
            </w:tcBorders>
            <w:vAlign w:val="bottom"/>
          </w:tcPr>
          <w:p w14:paraId="5794601B" w14:textId="77777777" w:rsidR="0028754C" w:rsidRPr="009361C3" w:rsidRDefault="0028754C" w:rsidP="00143C85">
            <w:pPr>
              <w:pStyle w:val="Tabletext"/>
              <w:rPr>
                <w:snapToGrid w:val="0"/>
              </w:rPr>
            </w:pPr>
            <w:r w:rsidRPr="009361C3">
              <w:rPr>
                <w:snapToGrid w:val="0"/>
              </w:rPr>
              <w:t>59</w:t>
            </w:r>
          </w:p>
        </w:tc>
        <w:tc>
          <w:tcPr>
            <w:tcW w:w="1429" w:type="pct"/>
            <w:tcBorders>
              <w:top w:val="single" w:sz="4" w:space="0" w:color="auto"/>
              <w:bottom w:val="single" w:sz="4" w:space="0" w:color="auto"/>
            </w:tcBorders>
            <w:vAlign w:val="bottom"/>
          </w:tcPr>
          <w:p w14:paraId="7237C472" w14:textId="77777777" w:rsidR="0028754C" w:rsidRPr="009361C3" w:rsidRDefault="0028754C" w:rsidP="00143C85">
            <w:pPr>
              <w:pStyle w:val="Tabletext"/>
              <w:rPr>
                <w:snapToGrid w:val="0"/>
              </w:rPr>
            </w:pPr>
            <w:r w:rsidRPr="00295986">
              <w:t>25</w:t>
            </w:r>
            <w:r w:rsidR="00D7157D">
              <w:t>.</w:t>
            </w:r>
            <w:r w:rsidRPr="00295986">
              <w:t>6479</w:t>
            </w:r>
          </w:p>
        </w:tc>
        <w:tc>
          <w:tcPr>
            <w:tcW w:w="1866" w:type="pct"/>
            <w:tcBorders>
              <w:top w:val="single" w:sz="4" w:space="0" w:color="auto"/>
              <w:bottom w:val="single" w:sz="4" w:space="0" w:color="auto"/>
            </w:tcBorders>
            <w:vAlign w:val="bottom"/>
          </w:tcPr>
          <w:p w14:paraId="6078450B" w14:textId="77777777" w:rsidR="0028754C" w:rsidRPr="009361C3" w:rsidRDefault="0028754C" w:rsidP="00143C85">
            <w:pPr>
              <w:pStyle w:val="Tabletext"/>
              <w:rPr>
                <w:snapToGrid w:val="0"/>
              </w:rPr>
            </w:pPr>
            <w:r w:rsidRPr="00295986">
              <w:t>27</w:t>
            </w:r>
            <w:r w:rsidR="00D7157D">
              <w:t>.</w:t>
            </w:r>
            <w:r w:rsidRPr="00295986">
              <w:t>3637</w:t>
            </w:r>
          </w:p>
        </w:tc>
      </w:tr>
      <w:tr w:rsidR="0028754C" w:rsidRPr="009E2595" w14:paraId="78C91DD5" w14:textId="77777777" w:rsidTr="00143C85">
        <w:trPr>
          <w:trHeight w:val="245"/>
          <w:jc w:val="right"/>
        </w:trPr>
        <w:tc>
          <w:tcPr>
            <w:tcW w:w="1705" w:type="pct"/>
            <w:tcBorders>
              <w:top w:val="single" w:sz="4" w:space="0" w:color="auto"/>
              <w:bottom w:val="single" w:sz="4" w:space="0" w:color="auto"/>
            </w:tcBorders>
            <w:vAlign w:val="bottom"/>
          </w:tcPr>
          <w:p w14:paraId="1EC08457" w14:textId="77777777" w:rsidR="0028754C" w:rsidRPr="009361C3" w:rsidRDefault="0028754C" w:rsidP="00143C85">
            <w:pPr>
              <w:pStyle w:val="Tabletext"/>
              <w:rPr>
                <w:snapToGrid w:val="0"/>
              </w:rPr>
            </w:pPr>
            <w:r w:rsidRPr="009361C3">
              <w:rPr>
                <w:snapToGrid w:val="0"/>
              </w:rPr>
              <w:t>60</w:t>
            </w:r>
          </w:p>
        </w:tc>
        <w:tc>
          <w:tcPr>
            <w:tcW w:w="1429" w:type="pct"/>
            <w:tcBorders>
              <w:top w:val="single" w:sz="4" w:space="0" w:color="auto"/>
              <w:bottom w:val="single" w:sz="4" w:space="0" w:color="auto"/>
            </w:tcBorders>
            <w:vAlign w:val="bottom"/>
          </w:tcPr>
          <w:p w14:paraId="5AA1D319" w14:textId="77777777" w:rsidR="0028754C" w:rsidRPr="009361C3" w:rsidRDefault="0028754C" w:rsidP="00143C85">
            <w:pPr>
              <w:pStyle w:val="Tabletext"/>
              <w:rPr>
                <w:snapToGrid w:val="0"/>
              </w:rPr>
            </w:pPr>
            <w:r w:rsidRPr="00295986">
              <w:t>24</w:t>
            </w:r>
            <w:r w:rsidR="00D7157D">
              <w:t>.</w:t>
            </w:r>
            <w:r w:rsidRPr="00295986">
              <w:t>9100</w:t>
            </w:r>
          </w:p>
        </w:tc>
        <w:tc>
          <w:tcPr>
            <w:tcW w:w="1866" w:type="pct"/>
            <w:tcBorders>
              <w:top w:val="single" w:sz="4" w:space="0" w:color="auto"/>
              <w:bottom w:val="single" w:sz="4" w:space="0" w:color="auto"/>
            </w:tcBorders>
            <w:vAlign w:val="bottom"/>
          </w:tcPr>
          <w:p w14:paraId="0D2C5517" w14:textId="77777777" w:rsidR="0028754C" w:rsidRPr="009361C3" w:rsidRDefault="0028754C" w:rsidP="00143C85">
            <w:pPr>
              <w:pStyle w:val="Tabletext"/>
              <w:rPr>
                <w:snapToGrid w:val="0"/>
              </w:rPr>
            </w:pPr>
            <w:r w:rsidRPr="00295986">
              <w:t>26</w:t>
            </w:r>
            <w:r w:rsidR="00D7157D">
              <w:t>.</w:t>
            </w:r>
            <w:r w:rsidRPr="00295986">
              <w:t>6252</w:t>
            </w:r>
          </w:p>
        </w:tc>
      </w:tr>
      <w:tr w:rsidR="0028754C" w:rsidRPr="009E2595" w14:paraId="3C7B45C4" w14:textId="77777777" w:rsidTr="00143C85">
        <w:trPr>
          <w:trHeight w:val="245"/>
          <w:jc w:val="right"/>
        </w:trPr>
        <w:tc>
          <w:tcPr>
            <w:tcW w:w="1705" w:type="pct"/>
            <w:tcBorders>
              <w:top w:val="single" w:sz="4" w:space="0" w:color="auto"/>
              <w:bottom w:val="single" w:sz="4" w:space="0" w:color="auto"/>
            </w:tcBorders>
            <w:vAlign w:val="bottom"/>
          </w:tcPr>
          <w:p w14:paraId="568A6359" w14:textId="77777777" w:rsidR="0028754C" w:rsidRPr="009361C3" w:rsidRDefault="0028754C" w:rsidP="00143C85">
            <w:pPr>
              <w:pStyle w:val="Tabletext"/>
              <w:rPr>
                <w:snapToGrid w:val="0"/>
              </w:rPr>
            </w:pPr>
            <w:r w:rsidRPr="009361C3">
              <w:rPr>
                <w:snapToGrid w:val="0"/>
              </w:rPr>
              <w:t>61</w:t>
            </w:r>
          </w:p>
        </w:tc>
        <w:tc>
          <w:tcPr>
            <w:tcW w:w="1429" w:type="pct"/>
            <w:tcBorders>
              <w:top w:val="single" w:sz="4" w:space="0" w:color="auto"/>
              <w:bottom w:val="single" w:sz="4" w:space="0" w:color="auto"/>
            </w:tcBorders>
            <w:vAlign w:val="bottom"/>
          </w:tcPr>
          <w:p w14:paraId="161227A0" w14:textId="77777777" w:rsidR="0028754C" w:rsidRPr="009361C3" w:rsidRDefault="0028754C" w:rsidP="00143C85">
            <w:pPr>
              <w:pStyle w:val="Tabletext"/>
              <w:rPr>
                <w:snapToGrid w:val="0"/>
              </w:rPr>
            </w:pPr>
            <w:r w:rsidRPr="00295986">
              <w:t>24</w:t>
            </w:r>
            <w:r w:rsidR="00D7157D">
              <w:t>.</w:t>
            </w:r>
            <w:r w:rsidRPr="00295986">
              <w:t>1691</w:t>
            </w:r>
          </w:p>
        </w:tc>
        <w:tc>
          <w:tcPr>
            <w:tcW w:w="1866" w:type="pct"/>
            <w:tcBorders>
              <w:top w:val="single" w:sz="4" w:space="0" w:color="auto"/>
              <w:bottom w:val="single" w:sz="4" w:space="0" w:color="auto"/>
            </w:tcBorders>
            <w:vAlign w:val="bottom"/>
          </w:tcPr>
          <w:p w14:paraId="5186D3E1" w14:textId="77777777" w:rsidR="0028754C" w:rsidRPr="009361C3" w:rsidRDefault="0028754C" w:rsidP="00143C85">
            <w:pPr>
              <w:pStyle w:val="Tabletext"/>
              <w:rPr>
                <w:snapToGrid w:val="0"/>
              </w:rPr>
            </w:pPr>
            <w:r w:rsidRPr="00295986">
              <w:t>25</w:t>
            </w:r>
            <w:r w:rsidR="00D7157D">
              <w:t>.</w:t>
            </w:r>
            <w:r w:rsidRPr="00295986">
              <w:t>8819</w:t>
            </w:r>
          </w:p>
        </w:tc>
      </w:tr>
      <w:tr w:rsidR="0028754C" w:rsidRPr="009E2595" w14:paraId="5FC51C78" w14:textId="77777777" w:rsidTr="00143C85">
        <w:trPr>
          <w:trHeight w:val="245"/>
          <w:jc w:val="right"/>
        </w:trPr>
        <w:tc>
          <w:tcPr>
            <w:tcW w:w="1705" w:type="pct"/>
            <w:tcBorders>
              <w:top w:val="single" w:sz="4" w:space="0" w:color="auto"/>
              <w:bottom w:val="single" w:sz="4" w:space="0" w:color="auto"/>
            </w:tcBorders>
            <w:vAlign w:val="bottom"/>
          </w:tcPr>
          <w:p w14:paraId="603040AD" w14:textId="77777777" w:rsidR="0028754C" w:rsidRPr="009361C3" w:rsidRDefault="0028754C" w:rsidP="00143C85">
            <w:pPr>
              <w:pStyle w:val="Tabletext"/>
              <w:rPr>
                <w:snapToGrid w:val="0"/>
              </w:rPr>
            </w:pPr>
            <w:r w:rsidRPr="009361C3">
              <w:rPr>
                <w:snapToGrid w:val="0"/>
              </w:rPr>
              <w:t>62</w:t>
            </w:r>
          </w:p>
        </w:tc>
        <w:tc>
          <w:tcPr>
            <w:tcW w:w="1429" w:type="pct"/>
            <w:tcBorders>
              <w:top w:val="single" w:sz="4" w:space="0" w:color="auto"/>
              <w:bottom w:val="single" w:sz="4" w:space="0" w:color="auto"/>
            </w:tcBorders>
            <w:vAlign w:val="bottom"/>
          </w:tcPr>
          <w:p w14:paraId="362E09D6" w14:textId="77777777" w:rsidR="0028754C" w:rsidRPr="009361C3" w:rsidRDefault="0028754C" w:rsidP="00143C85">
            <w:pPr>
              <w:pStyle w:val="Tabletext"/>
              <w:rPr>
                <w:snapToGrid w:val="0"/>
              </w:rPr>
            </w:pPr>
            <w:r w:rsidRPr="00295986">
              <w:t>23</w:t>
            </w:r>
            <w:r w:rsidR="00D7157D">
              <w:t>.</w:t>
            </w:r>
            <w:r w:rsidRPr="00295986">
              <w:t>4258</w:t>
            </w:r>
          </w:p>
        </w:tc>
        <w:tc>
          <w:tcPr>
            <w:tcW w:w="1866" w:type="pct"/>
            <w:tcBorders>
              <w:top w:val="single" w:sz="4" w:space="0" w:color="auto"/>
              <w:bottom w:val="single" w:sz="4" w:space="0" w:color="auto"/>
            </w:tcBorders>
            <w:vAlign w:val="bottom"/>
          </w:tcPr>
          <w:p w14:paraId="1F3C1A2E" w14:textId="77777777" w:rsidR="0028754C" w:rsidRPr="009361C3" w:rsidRDefault="0028754C" w:rsidP="00143C85">
            <w:pPr>
              <w:pStyle w:val="Tabletext"/>
              <w:rPr>
                <w:snapToGrid w:val="0"/>
              </w:rPr>
            </w:pPr>
            <w:r w:rsidRPr="00295986">
              <w:t>25</w:t>
            </w:r>
            <w:r w:rsidR="00D7157D">
              <w:t>.</w:t>
            </w:r>
            <w:r w:rsidRPr="00295986">
              <w:t>1353</w:t>
            </w:r>
          </w:p>
        </w:tc>
      </w:tr>
      <w:tr w:rsidR="0028754C" w:rsidRPr="009E2595" w14:paraId="469835EC" w14:textId="77777777" w:rsidTr="00143C85">
        <w:trPr>
          <w:trHeight w:val="245"/>
          <w:jc w:val="right"/>
        </w:trPr>
        <w:tc>
          <w:tcPr>
            <w:tcW w:w="1705" w:type="pct"/>
            <w:tcBorders>
              <w:top w:val="single" w:sz="4" w:space="0" w:color="auto"/>
              <w:bottom w:val="single" w:sz="4" w:space="0" w:color="auto"/>
            </w:tcBorders>
            <w:vAlign w:val="bottom"/>
          </w:tcPr>
          <w:p w14:paraId="27E2058E" w14:textId="77777777" w:rsidR="0028754C" w:rsidRPr="009361C3" w:rsidRDefault="0028754C" w:rsidP="00143C85">
            <w:pPr>
              <w:pStyle w:val="Tabletext"/>
              <w:rPr>
                <w:snapToGrid w:val="0"/>
              </w:rPr>
            </w:pPr>
            <w:r w:rsidRPr="009361C3">
              <w:rPr>
                <w:snapToGrid w:val="0"/>
              </w:rPr>
              <w:t>63</w:t>
            </w:r>
          </w:p>
        </w:tc>
        <w:tc>
          <w:tcPr>
            <w:tcW w:w="1429" w:type="pct"/>
            <w:tcBorders>
              <w:top w:val="single" w:sz="4" w:space="0" w:color="auto"/>
              <w:bottom w:val="single" w:sz="4" w:space="0" w:color="auto"/>
            </w:tcBorders>
            <w:vAlign w:val="bottom"/>
          </w:tcPr>
          <w:p w14:paraId="24FBE9E3" w14:textId="77777777" w:rsidR="0028754C" w:rsidRPr="009361C3" w:rsidRDefault="0028754C" w:rsidP="00143C85">
            <w:pPr>
              <w:pStyle w:val="Tabletext"/>
              <w:rPr>
                <w:snapToGrid w:val="0"/>
              </w:rPr>
            </w:pPr>
            <w:r w:rsidRPr="00295986">
              <w:t>22</w:t>
            </w:r>
            <w:r w:rsidR="00D7157D">
              <w:t>.</w:t>
            </w:r>
            <w:r w:rsidRPr="00295986">
              <w:t>6810</w:t>
            </w:r>
          </w:p>
        </w:tc>
        <w:tc>
          <w:tcPr>
            <w:tcW w:w="1866" w:type="pct"/>
            <w:tcBorders>
              <w:top w:val="single" w:sz="4" w:space="0" w:color="auto"/>
              <w:bottom w:val="single" w:sz="4" w:space="0" w:color="auto"/>
            </w:tcBorders>
            <w:vAlign w:val="bottom"/>
          </w:tcPr>
          <w:p w14:paraId="6F486003" w14:textId="77777777" w:rsidR="0028754C" w:rsidRPr="009361C3" w:rsidRDefault="0028754C" w:rsidP="00143C85">
            <w:pPr>
              <w:pStyle w:val="Tabletext"/>
              <w:rPr>
                <w:snapToGrid w:val="0"/>
              </w:rPr>
            </w:pPr>
            <w:r w:rsidRPr="00295986">
              <w:t>24</w:t>
            </w:r>
            <w:r w:rsidR="00D7157D">
              <w:t>.</w:t>
            </w:r>
            <w:r w:rsidRPr="00295986">
              <w:t>3859</w:t>
            </w:r>
          </w:p>
        </w:tc>
      </w:tr>
      <w:tr w:rsidR="0028754C" w:rsidRPr="009E2595" w14:paraId="00160390" w14:textId="77777777" w:rsidTr="00143C85">
        <w:trPr>
          <w:trHeight w:val="245"/>
          <w:jc w:val="right"/>
        </w:trPr>
        <w:tc>
          <w:tcPr>
            <w:tcW w:w="1705" w:type="pct"/>
            <w:tcBorders>
              <w:top w:val="single" w:sz="4" w:space="0" w:color="auto"/>
              <w:bottom w:val="single" w:sz="4" w:space="0" w:color="auto"/>
            </w:tcBorders>
            <w:vAlign w:val="bottom"/>
          </w:tcPr>
          <w:p w14:paraId="585968B0" w14:textId="77777777" w:rsidR="0028754C" w:rsidRPr="009361C3" w:rsidRDefault="0028754C" w:rsidP="00143C85">
            <w:pPr>
              <w:pStyle w:val="Tabletext"/>
              <w:rPr>
                <w:snapToGrid w:val="0"/>
              </w:rPr>
            </w:pPr>
            <w:r w:rsidRPr="009361C3">
              <w:rPr>
                <w:snapToGrid w:val="0"/>
              </w:rPr>
              <w:t>64</w:t>
            </w:r>
          </w:p>
        </w:tc>
        <w:tc>
          <w:tcPr>
            <w:tcW w:w="1429" w:type="pct"/>
            <w:tcBorders>
              <w:top w:val="single" w:sz="4" w:space="0" w:color="auto"/>
              <w:bottom w:val="single" w:sz="4" w:space="0" w:color="auto"/>
            </w:tcBorders>
            <w:vAlign w:val="bottom"/>
          </w:tcPr>
          <w:p w14:paraId="79120C7D" w14:textId="77777777" w:rsidR="0028754C" w:rsidRPr="009361C3" w:rsidRDefault="0028754C" w:rsidP="00143C85">
            <w:pPr>
              <w:pStyle w:val="Tabletext"/>
              <w:rPr>
                <w:snapToGrid w:val="0"/>
              </w:rPr>
            </w:pPr>
            <w:r w:rsidRPr="00295986">
              <w:t>21</w:t>
            </w:r>
            <w:r w:rsidR="00D7157D">
              <w:t>.</w:t>
            </w:r>
            <w:r w:rsidRPr="00295986">
              <w:t>9357</w:t>
            </w:r>
          </w:p>
        </w:tc>
        <w:tc>
          <w:tcPr>
            <w:tcW w:w="1866" w:type="pct"/>
            <w:tcBorders>
              <w:top w:val="single" w:sz="4" w:space="0" w:color="auto"/>
              <w:bottom w:val="single" w:sz="4" w:space="0" w:color="auto"/>
            </w:tcBorders>
            <w:vAlign w:val="bottom"/>
          </w:tcPr>
          <w:p w14:paraId="44760E79" w14:textId="77777777" w:rsidR="0028754C" w:rsidRPr="009361C3" w:rsidRDefault="0028754C" w:rsidP="00143C85">
            <w:pPr>
              <w:pStyle w:val="Tabletext"/>
              <w:rPr>
                <w:snapToGrid w:val="0"/>
              </w:rPr>
            </w:pPr>
            <w:r w:rsidRPr="00295986">
              <w:t>23</w:t>
            </w:r>
            <w:r w:rsidR="00D7157D">
              <w:t>.</w:t>
            </w:r>
            <w:r w:rsidRPr="00295986">
              <w:t>6345</w:t>
            </w:r>
          </w:p>
        </w:tc>
      </w:tr>
      <w:tr w:rsidR="0028754C" w:rsidRPr="009E2595" w14:paraId="69AD3A99" w14:textId="77777777" w:rsidTr="00143C85">
        <w:trPr>
          <w:trHeight w:val="245"/>
          <w:jc w:val="right"/>
        </w:trPr>
        <w:tc>
          <w:tcPr>
            <w:tcW w:w="1705" w:type="pct"/>
            <w:tcBorders>
              <w:top w:val="single" w:sz="4" w:space="0" w:color="auto"/>
              <w:bottom w:val="single" w:sz="12" w:space="0" w:color="auto"/>
            </w:tcBorders>
            <w:vAlign w:val="bottom"/>
          </w:tcPr>
          <w:p w14:paraId="6793695A" w14:textId="77777777" w:rsidR="0028754C" w:rsidRPr="009361C3" w:rsidRDefault="0028754C" w:rsidP="00143C85">
            <w:pPr>
              <w:pStyle w:val="Tabletext"/>
              <w:rPr>
                <w:snapToGrid w:val="0"/>
              </w:rPr>
            </w:pPr>
            <w:r w:rsidRPr="009361C3">
              <w:rPr>
                <w:snapToGrid w:val="0"/>
              </w:rPr>
              <w:t>65</w:t>
            </w:r>
          </w:p>
        </w:tc>
        <w:tc>
          <w:tcPr>
            <w:tcW w:w="1429" w:type="pct"/>
            <w:tcBorders>
              <w:top w:val="single" w:sz="4" w:space="0" w:color="auto"/>
              <w:bottom w:val="single" w:sz="12" w:space="0" w:color="auto"/>
            </w:tcBorders>
            <w:vAlign w:val="bottom"/>
          </w:tcPr>
          <w:p w14:paraId="1D3D8AD3" w14:textId="77777777" w:rsidR="0028754C" w:rsidRPr="009361C3" w:rsidRDefault="0028754C" w:rsidP="00143C85">
            <w:pPr>
              <w:pStyle w:val="Tabletext"/>
              <w:rPr>
                <w:snapToGrid w:val="0"/>
              </w:rPr>
            </w:pPr>
            <w:r w:rsidRPr="00295986">
              <w:t>21</w:t>
            </w:r>
            <w:r w:rsidR="00D7157D">
              <w:t>.</w:t>
            </w:r>
            <w:r w:rsidRPr="00295986">
              <w:t>1922</w:t>
            </w:r>
          </w:p>
        </w:tc>
        <w:tc>
          <w:tcPr>
            <w:tcW w:w="1866" w:type="pct"/>
            <w:tcBorders>
              <w:top w:val="single" w:sz="4" w:space="0" w:color="auto"/>
              <w:bottom w:val="single" w:sz="12" w:space="0" w:color="auto"/>
            </w:tcBorders>
            <w:vAlign w:val="bottom"/>
          </w:tcPr>
          <w:p w14:paraId="5D037BB2" w14:textId="77777777" w:rsidR="0028754C" w:rsidRPr="009361C3" w:rsidRDefault="0028754C" w:rsidP="00143C85">
            <w:pPr>
              <w:pStyle w:val="Tabletext"/>
              <w:rPr>
                <w:snapToGrid w:val="0"/>
              </w:rPr>
            </w:pPr>
            <w:r w:rsidRPr="00295986">
              <w:t>22</w:t>
            </w:r>
            <w:r w:rsidR="00D7157D">
              <w:t>.</w:t>
            </w:r>
            <w:r w:rsidRPr="00295986">
              <w:t>8833</w:t>
            </w:r>
          </w:p>
        </w:tc>
      </w:tr>
    </w:tbl>
    <w:p w14:paraId="35ADDEBE" w14:textId="77777777" w:rsidR="00647C6B" w:rsidRPr="00A058B6" w:rsidRDefault="00647C6B" w:rsidP="00647C6B">
      <w:pPr>
        <w:pStyle w:val="Tabletext"/>
      </w:pPr>
    </w:p>
    <w:tbl>
      <w:tblPr>
        <w:tblW w:w="5000" w:type="pct"/>
        <w:jc w:val="right"/>
        <w:tblCellMar>
          <w:left w:w="30" w:type="dxa"/>
          <w:right w:w="30" w:type="dxa"/>
        </w:tblCellMar>
        <w:tblLook w:val="0000" w:firstRow="0" w:lastRow="0" w:firstColumn="0" w:lastColumn="0" w:noHBand="0" w:noVBand="0"/>
      </w:tblPr>
      <w:tblGrid>
        <w:gridCol w:w="2835"/>
        <w:gridCol w:w="2356"/>
        <w:gridCol w:w="3122"/>
      </w:tblGrid>
      <w:tr w:rsidR="00647C6B" w:rsidRPr="00A058B6" w14:paraId="629D191B" w14:textId="77777777" w:rsidTr="00963115">
        <w:trPr>
          <w:cantSplit/>
          <w:trHeight w:val="375"/>
          <w:tblHeader/>
          <w:jc w:val="right"/>
        </w:trPr>
        <w:tc>
          <w:tcPr>
            <w:tcW w:w="1705" w:type="pct"/>
            <w:vMerge w:val="restart"/>
            <w:tcBorders>
              <w:top w:val="single" w:sz="12" w:space="0" w:color="auto"/>
              <w:bottom w:val="single" w:sz="12" w:space="0" w:color="auto"/>
            </w:tcBorders>
          </w:tcPr>
          <w:p w14:paraId="6A46ECB9" w14:textId="77777777" w:rsidR="00647C6B" w:rsidRPr="00A058B6" w:rsidRDefault="00647C6B" w:rsidP="00963115">
            <w:pPr>
              <w:pStyle w:val="TableHeading"/>
              <w:rPr>
                <w:snapToGrid w:val="0"/>
              </w:rPr>
            </w:pPr>
            <w:r w:rsidRPr="00A058B6">
              <w:rPr>
                <w:snapToGrid w:val="0"/>
              </w:rPr>
              <w:t>Member’s age at relevant date (in completed years)</w:t>
            </w:r>
          </w:p>
        </w:tc>
        <w:tc>
          <w:tcPr>
            <w:tcW w:w="3295" w:type="pct"/>
            <w:gridSpan w:val="2"/>
            <w:tcBorders>
              <w:top w:val="single" w:sz="12" w:space="0" w:color="auto"/>
              <w:bottom w:val="single" w:sz="4" w:space="0" w:color="auto"/>
            </w:tcBorders>
          </w:tcPr>
          <w:p w14:paraId="3DF45CE9" w14:textId="3D5E7AED" w:rsidR="00647C6B" w:rsidRPr="00A058B6" w:rsidRDefault="00647C6B" w:rsidP="00963115">
            <w:pPr>
              <w:pStyle w:val="TableHeading"/>
              <w:rPr>
                <w:snapToGrid w:val="0"/>
              </w:rPr>
            </w:pPr>
            <w:r w:rsidRPr="00A058B6">
              <w:rPr>
                <w:snapToGrid w:val="0"/>
              </w:rPr>
              <w:t>Reversion valuation factors</w:t>
            </w:r>
            <w:r w:rsidRPr="00A058B6">
              <w:rPr>
                <w:snapToGrid w:val="0"/>
              </w:rPr>
              <w:br/>
              <w:t>10</w:t>
            </w:r>
            <w:r w:rsidR="001952B3">
              <w:rPr>
                <w:snapToGrid w:val="0"/>
              </w:rPr>
              <w:noBreakHyphen/>
            </w:r>
            <w:r w:rsidRPr="00A058B6">
              <w:rPr>
                <w:snapToGrid w:val="0"/>
              </w:rPr>
              <w:t>year guarantee period—pension indexed at 5%</w:t>
            </w:r>
          </w:p>
        </w:tc>
      </w:tr>
      <w:tr w:rsidR="00647C6B" w:rsidRPr="00A058B6" w14:paraId="3AA44CCF" w14:textId="77777777" w:rsidTr="00963115">
        <w:trPr>
          <w:cantSplit/>
          <w:trHeight w:val="60"/>
          <w:tblHeader/>
          <w:jc w:val="right"/>
        </w:trPr>
        <w:tc>
          <w:tcPr>
            <w:tcW w:w="1705" w:type="pct"/>
            <w:vMerge/>
            <w:tcBorders>
              <w:bottom w:val="single" w:sz="12" w:space="0" w:color="auto"/>
            </w:tcBorders>
          </w:tcPr>
          <w:p w14:paraId="3FD8FF12" w14:textId="77777777" w:rsidR="00647C6B" w:rsidRPr="00A058B6" w:rsidRDefault="00647C6B" w:rsidP="00963115">
            <w:pPr>
              <w:pStyle w:val="TableHeading"/>
              <w:rPr>
                <w:snapToGrid w:val="0"/>
              </w:rPr>
            </w:pPr>
          </w:p>
        </w:tc>
        <w:tc>
          <w:tcPr>
            <w:tcW w:w="1417" w:type="pct"/>
            <w:tcBorders>
              <w:bottom w:val="single" w:sz="12" w:space="0" w:color="auto"/>
            </w:tcBorders>
          </w:tcPr>
          <w:p w14:paraId="02BE1C5A" w14:textId="77777777" w:rsidR="00647C6B" w:rsidRPr="00A058B6" w:rsidRDefault="00647C6B" w:rsidP="00963115">
            <w:pPr>
              <w:pStyle w:val="TableHeading"/>
              <w:rPr>
                <w:snapToGrid w:val="0"/>
              </w:rPr>
            </w:pPr>
            <w:r w:rsidRPr="00A058B6">
              <w:rPr>
                <w:snapToGrid w:val="0"/>
              </w:rPr>
              <w:t>Male</w:t>
            </w:r>
          </w:p>
        </w:tc>
        <w:tc>
          <w:tcPr>
            <w:tcW w:w="1878" w:type="pct"/>
            <w:tcBorders>
              <w:top w:val="single" w:sz="4" w:space="0" w:color="auto"/>
              <w:bottom w:val="single" w:sz="12" w:space="0" w:color="auto"/>
            </w:tcBorders>
          </w:tcPr>
          <w:p w14:paraId="52524EC2" w14:textId="77777777" w:rsidR="00647C6B" w:rsidRPr="00A058B6" w:rsidRDefault="00647C6B" w:rsidP="00963115">
            <w:pPr>
              <w:pStyle w:val="TableHeading"/>
              <w:rPr>
                <w:snapToGrid w:val="0"/>
              </w:rPr>
            </w:pPr>
            <w:r w:rsidRPr="00A058B6">
              <w:rPr>
                <w:snapToGrid w:val="0"/>
              </w:rPr>
              <w:t>Female</w:t>
            </w:r>
          </w:p>
        </w:tc>
      </w:tr>
      <w:tr w:rsidR="0028754C" w:rsidRPr="009E2595" w14:paraId="3636FFBD" w14:textId="77777777" w:rsidTr="00143C85">
        <w:trPr>
          <w:trHeight w:val="245"/>
          <w:jc w:val="right"/>
        </w:trPr>
        <w:tc>
          <w:tcPr>
            <w:tcW w:w="1705" w:type="pct"/>
            <w:tcBorders>
              <w:top w:val="single" w:sz="12" w:space="0" w:color="auto"/>
              <w:bottom w:val="single" w:sz="4" w:space="0" w:color="auto"/>
            </w:tcBorders>
          </w:tcPr>
          <w:p w14:paraId="4C2373FF" w14:textId="77777777" w:rsidR="0028754C" w:rsidRPr="009361C3" w:rsidRDefault="0028754C" w:rsidP="0028754C">
            <w:pPr>
              <w:pStyle w:val="Tabletext"/>
              <w:rPr>
                <w:snapToGrid w:val="0"/>
              </w:rPr>
            </w:pPr>
            <w:r w:rsidRPr="009361C3">
              <w:rPr>
                <w:snapToGrid w:val="0"/>
              </w:rPr>
              <w:t>Up to 40</w:t>
            </w:r>
          </w:p>
        </w:tc>
        <w:tc>
          <w:tcPr>
            <w:tcW w:w="1417" w:type="pct"/>
            <w:tcBorders>
              <w:top w:val="single" w:sz="12" w:space="0" w:color="auto"/>
              <w:bottom w:val="single" w:sz="4" w:space="0" w:color="auto"/>
            </w:tcBorders>
            <w:vAlign w:val="bottom"/>
          </w:tcPr>
          <w:p w14:paraId="0725CC77" w14:textId="77777777" w:rsidR="0028754C" w:rsidRPr="009361C3" w:rsidRDefault="0028754C" w:rsidP="0028754C">
            <w:pPr>
              <w:pStyle w:val="Tabletext"/>
              <w:rPr>
                <w:snapToGrid w:val="0"/>
              </w:rPr>
            </w:pPr>
            <w:r w:rsidRPr="00295986">
              <w:t>4</w:t>
            </w:r>
            <w:r w:rsidR="00D7157D">
              <w:t>.</w:t>
            </w:r>
            <w:r w:rsidRPr="00295986">
              <w:t>213</w:t>
            </w:r>
          </w:p>
        </w:tc>
        <w:tc>
          <w:tcPr>
            <w:tcW w:w="1878" w:type="pct"/>
            <w:tcBorders>
              <w:top w:val="single" w:sz="12" w:space="0" w:color="auto"/>
              <w:bottom w:val="single" w:sz="4" w:space="0" w:color="auto"/>
            </w:tcBorders>
            <w:vAlign w:val="bottom"/>
          </w:tcPr>
          <w:p w14:paraId="5021A801" w14:textId="77777777" w:rsidR="0028754C" w:rsidRPr="009361C3" w:rsidRDefault="0028754C" w:rsidP="0028754C">
            <w:pPr>
              <w:pStyle w:val="Tabletext"/>
              <w:rPr>
                <w:snapToGrid w:val="0"/>
              </w:rPr>
            </w:pPr>
            <w:r w:rsidRPr="00295986">
              <w:t>1</w:t>
            </w:r>
            <w:r w:rsidR="00D7157D">
              <w:t>.</w:t>
            </w:r>
            <w:r w:rsidRPr="00295986">
              <w:t>745</w:t>
            </w:r>
          </w:p>
        </w:tc>
      </w:tr>
      <w:tr w:rsidR="0028754C" w:rsidRPr="009E2595" w14:paraId="1B0FDC88" w14:textId="77777777" w:rsidTr="00143C85">
        <w:trPr>
          <w:trHeight w:val="245"/>
          <w:jc w:val="right"/>
        </w:trPr>
        <w:tc>
          <w:tcPr>
            <w:tcW w:w="1705" w:type="pct"/>
            <w:tcBorders>
              <w:top w:val="single" w:sz="4" w:space="0" w:color="auto"/>
              <w:bottom w:val="single" w:sz="4" w:space="0" w:color="auto"/>
            </w:tcBorders>
          </w:tcPr>
          <w:p w14:paraId="76FDB32C" w14:textId="77777777" w:rsidR="0028754C" w:rsidRPr="009361C3" w:rsidRDefault="0028754C" w:rsidP="0028754C">
            <w:pPr>
              <w:pStyle w:val="Tabletext"/>
              <w:rPr>
                <w:snapToGrid w:val="0"/>
              </w:rPr>
            </w:pPr>
            <w:r w:rsidRPr="009361C3">
              <w:rPr>
                <w:snapToGrid w:val="0"/>
              </w:rPr>
              <w:t>41</w:t>
            </w:r>
          </w:p>
        </w:tc>
        <w:tc>
          <w:tcPr>
            <w:tcW w:w="1417" w:type="pct"/>
            <w:tcBorders>
              <w:top w:val="single" w:sz="4" w:space="0" w:color="auto"/>
              <w:bottom w:val="single" w:sz="4" w:space="0" w:color="auto"/>
            </w:tcBorders>
            <w:vAlign w:val="bottom"/>
          </w:tcPr>
          <w:p w14:paraId="7DCFA40E" w14:textId="77777777" w:rsidR="0028754C" w:rsidRPr="009361C3" w:rsidRDefault="0028754C" w:rsidP="0028754C">
            <w:pPr>
              <w:pStyle w:val="Tabletext"/>
              <w:rPr>
                <w:snapToGrid w:val="0"/>
              </w:rPr>
            </w:pPr>
            <w:r w:rsidRPr="00295986">
              <w:t>4</w:t>
            </w:r>
            <w:r w:rsidR="00D7157D">
              <w:t>.</w:t>
            </w:r>
            <w:r w:rsidRPr="00295986">
              <w:t>073</w:t>
            </w:r>
          </w:p>
        </w:tc>
        <w:tc>
          <w:tcPr>
            <w:tcW w:w="1878" w:type="pct"/>
            <w:tcBorders>
              <w:top w:val="single" w:sz="4" w:space="0" w:color="auto"/>
              <w:bottom w:val="single" w:sz="4" w:space="0" w:color="auto"/>
            </w:tcBorders>
            <w:vAlign w:val="bottom"/>
          </w:tcPr>
          <w:p w14:paraId="21D59DB5" w14:textId="77777777" w:rsidR="0028754C" w:rsidRPr="009361C3" w:rsidRDefault="0028754C" w:rsidP="0028754C">
            <w:pPr>
              <w:pStyle w:val="Tabletext"/>
              <w:rPr>
                <w:snapToGrid w:val="0"/>
              </w:rPr>
            </w:pPr>
            <w:r w:rsidRPr="00295986">
              <w:t>1</w:t>
            </w:r>
            <w:r w:rsidR="00D7157D">
              <w:t>.</w:t>
            </w:r>
            <w:r w:rsidRPr="00295986">
              <w:t>640</w:t>
            </w:r>
          </w:p>
        </w:tc>
      </w:tr>
      <w:tr w:rsidR="0028754C" w:rsidRPr="009E2595" w14:paraId="61463557" w14:textId="77777777" w:rsidTr="00143C85">
        <w:trPr>
          <w:trHeight w:val="245"/>
          <w:jc w:val="right"/>
        </w:trPr>
        <w:tc>
          <w:tcPr>
            <w:tcW w:w="1705" w:type="pct"/>
            <w:tcBorders>
              <w:top w:val="single" w:sz="4" w:space="0" w:color="auto"/>
              <w:bottom w:val="single" w:sz="4" w:space="0" w:color="auto"/>
            </w:tcBorders>
          </w:tcPr>
          <w:p w14:paraId="4A8C1496" w14:textId="77777777" w:rsidR="0028754C" w:rsidRPr="009361C3" w:rsidRDefault="0028754C" w:rsidP="0028754C">
            <w:pPr>
              <w:pStyle w:val="Tabletext"/>
              <w:rPr>
                <w:snapToGrid w:val="0"/>
              </w:rPr>
            </w:pPr>
            <w:r w:rsidRPr="009361C3">
              <w:rPr>
                <w:snapToGrid w:val="0"/>
              </w:rPr>
              <w:t>42</w:t>
            </w:r>
          </w:p>
        </w:tc>
        <w:tc>
          <w:tcPr>
            <w:tcW w:w="1417" w:type="pct"/>
            <w:tcBorders>
              <w:top w:val="single" w:sz="4" w:space="0" w:color="auto"/>
              <w:bottom w:val="single" w:sz="4" w:space="0" w:color="auto"/>
            </w:tcBorders>
            <w:vAlign w:val="bottom"/>
          </w:tcPr>
          <w:p w14:paraId="7AFEADC2" w14:textId="77777777" w:rsidR="0028754C" w:rsidRPr="009361C3" w:rsidRDefault="0028754C" w:rsidP="0028754C">
            <w:pPr>
              <w:pStyle w:val="Tabletext"/>
              <w:rPr>
                <w:snapToGrid w:val="0"/>
              </w:rPr>
            </w:pPr>
            <w:r w:rsidRPr="00295986">
              <w:t>3</w:t>
            </w:r>
            <w:r w:rsidR="00D7157D">
              <w:t>.</w:t>
            </w:r>
            <w:r w:rsidRPr="00295986">
              <w:t>933</w:t>
            </w:r>
          </w:p>
        </w:tc>
        <w:tc>
          <w:tcPr>
            <w:tcW w:w="1878" w:type="pct"/>
            <w:tcBorders>
              <w:top w:val="single" w:sz="4" w:space="0" w:color="auto"/>
              <w:bottom w:val="single" w:sz="4" w:space="0" w:color="auto"/>
            </w:tcBorders>
            <w:vAlign w:val="bottom"/>
          </w:tcPr>
          <w:p w14:paraId="175CE191" w14:textId="77777777" w:rsidR="0028754C" w:rsidRPr="009361C3" w:rsidRDefault="0028754C" w:rsidP="0028754C">
            <w:pPr>
              <w:pStyle w:val="Tabletext"/>
              <w:rPr>
                <w:snapToGrid w:val="0"/>
              </w:rPr>
            </w:pPr>
            <w:r w:rsidRPr="00295986">
              <w:t>1</w:t>
            </w:r>
            <w:r w:rsidR="00D7157D">
              <w:t>.</w:t>
            </w:r>
            <w:r w:rsidRPr="00295986">
              <w:t>536</w:t>
            </w:r>
          </w:p>
        </w:tc>
      </w:tr>
      <w:tr w:rsidR="0028754C" w:rsidRPr="009E2595" w14:paraId="6BCCA4B8" w14:textId="77777777" w:rsidTr="00143C85">
        <w:trPr>
          <w:trHeight w:val="245"/>
          <w:jc w:val="right"/>
        </w:trPr>
        <w:tc>
          <w:tcPr>
            <w:tcW w:w="1705" w:type="pct"/>
            <w:tcBorders>
              <w:top w:val="single" w:sz="4" w:space="0" w:color="auto"/>
              <w:bottom w:val="single" w:sz="4" w:space="0" w:color="auto"/>
            </w:tcBorders>
          </w:tcPr>
          <w:p w14:paraId="5D793740" w14:textId="77777777" w:rsidR="0028754C" w:rsidRPr="009361C3" w:rsidRDefault="0028754C" w:rsidP="0028754C">
            <w:pPr>
              <w:pStyle w:val="Tabletext"/>
              <w:rPr>
                <w:snapToGrid w:val="0"/>
              </w:rPr>
            </w:pPr>
            <w:r w:rsidRPr="009361C3">
              <w:rPr>
                <w:snapToGrid w:val="0"/>
              </w:rPr>
              <w:t>43</w:t>
            </w:r>
          </w:p>
        </w:tc>
        <w:tc>
          <w:tcPr>
            <w:tcW w:w="1417" w:type="pct"/>
            <w:tcBorders>
              <w:top w:val="single" w:sz="4" w:space="0" w:color="auto"/>
              <w:bottom w:val="single" w:sz="4" w:space="0" w:color="auto"/>
            </w:tcBorders>
            <w:vAlign w:val="bottom"/>
          </w:tcPr>
          <w:p w14:paraId="0E497AA1" w14:textId="77777777" w:rsidR="0028754C" w:rsidRPr="009361C3" w:rsidRDefault="0028754C" w:rsidP="0028754C">
            <w:pPr>
              <w:pStyle w:val="Tabletext"/>
              <w:rPr>
                <w:snapToGrid w:val="0"/>
              </w:rPr>
            </w:pPr>
            <w:r w:rsidRPr="00295986">
              <w:t>3</w:t>
            </w:r>
            <w:r w:rsidR="00D7157D">
              <w:t>.</w:t>
            </w:r>
            <w:r w:rsidRPr="00295986">
              <w:t>792</w:t>
            </w:r>
          </w:p>
        </w:tc>
        <w:tc>
          <w:tcPr>
            <w:tcW w:w="1878" w:type="pct"/>
            <w:tcBorders>
              <w:top w:val="single" w:sz="4" w:space="0" w:color="auto"/>
              <w:bottom w:val="single" w:sz="4" w:space="0" w:color="auto"/>
            </w:tcBorders>
            <w:vAlign w:val="bottom"/>
          </w:tcPr>
          <w:p w14:paraId="33F226F0" w14:textId="77777777" w:rsidR="0028754C" w:rsidRPr="009361C3" w:rsidRDefault="0028754C" w:rsidP="0028754C">
            <w:pPr>
              <w:pStyle w:val="Tabletext"/>
              <w:rPr>
                <w:snapToGrid w:val="0"/>
              </w:rPr>
            </w:pPr>
            <w:r w:rsidRPr="00295986">
              <w:t>1</w:t>
            </w:r>
            <w:r w:rsidR="00D7157D">
              <w:t>.</w:t>
            </w:r>
            <w:r w:rsidRPr="00295986">
              <w:t>431</w:t>
            </w:r>
          </w:p>
        </w:tc>
      </w:tr>
      <w:tr w:rsidR="0028754C" w:rsidRPr="009E2595" w14:paraId="570AB83D" w14:textId="77777777" w:rsidTr="00143C85">
        <w:trPr>
          <w:trHeight w:val="245"/>
          <w:jc w:val="right"/>
        </w:trPr>
        <w:tc>
          <w:tcPr>
            <w:tcW w:w="1705" w:type="pct"/>
            <w:tcBorders>
              <w:top w:val="single" w:sz="4" w:space="0" w:color="auto"/>
              <w:bottom w:val="single" w:sz="4" w:space="0" w:color="auto"/>
            </w:tcBorders>
          </w:tcPr>
          <w:p w14:paraId="24D81763" w14:textId="77777777" w:rsidR="0028754C" w:rsidRPr="009361C3" w:rsidRDefault="0028754C" w:rsidP="0028754C">
            <w:pPr>
              <w:pStyle w:val="Tabletext"/>
              <w:rPr>
                <w:snapToGrid w:val="0"/>
              </w:rPr>
            </w:pPr>
            <w:r w:rsidRPr="009361C3">
              <w:rPr>
                <w:snapToGrid w:val="0"/>
              </w:rPr>
              <w:t>44</w:t>
            </w:r>
          </w:p>
        </w:tc>
        <w:tc>
          <w:tcPr>
            <w:tcW w:w="1417" w:type="pct"/>
            <w:tcBorders>
              <w:top w:val="single" w:sz="4" w:space="0" w:color="auto"/>
              <w:bottom w:val="single" w:sz="4" w:space="0" w:color="auto"/>
            </w:tcBorders>
            <w:vAlign w:val="bottom"/>
          </w:tcPr>
          <w:p w14:paraId="11060437" w14:textId="77777777" w:rsidR="0028754C" w:rsidRPr="009361C3" w:rsidRDefault="0028754C" w:rsidP="0028754C">
            <w:pPr>
              <w:pStyle w:val="Tabletext"/>
              <w:rPr>
                <w:snapToGrid w:val="0"/>
              </w:rPr>
            </w:pPr>
            <w:r w:rsidRPr="00295986">
              <w:t>3</w:t>
            </w:r>
            <w:r w:rsidR="00D7157D">
              <w:t>.</w:t>
            </w:r>
            <w:r w:rsidRPr="00295986">
              <w:t>652</w:t>
            </w:r>
          </w:p>
        </w:tc>
        <w:tc>
          <w:tcPr>
            <w:tcW w:w="1878" w:type="pct"/>
            <w:tcBorders>
              <w:top w:val="single" w:sz="4" w:space="0" w:color="auto"/>
              <w:bottom w:val="single" w:sz="4" w:space="0" w:color="auto"/>
            </w:tcBorders>
            <w:vAlign w:val="bottom"/>
          </w:tcPr>
          <w:p w14:paraId="2EDC5DE4" w14:textId="77777777" w:rsidR="0028754C" w:rsidRPr="009361C3" w:rsidRDefault="0028754C" w:rsidP="0028754C">
            <w:pPr>
              <w:pStyle w:val="Tabletext"/>
              <w:rPr>
                <w:snapToGrid w:val="0"/>
              </w:rPr>
            </w:pPr>
            <w:r w:rsidRPr="00295986">
              <w:t>1</w:t>
            </w:r>
            <w:r w:rsidR="00D7157D">
              <w:t>.</w:t>
            </w:r>
            <w:r w:rsidRPr="00295986">
              <w:t>326</w:t>
            </w:r>
          </w:p>
        </w:tc>
      </w:tr>
      <w:tr w:rsidR="0028754C" w:rsidRPr="009E2595" w14:paraId="341568C6" w14:textId="77777777" w:rsidTr="00143C85">
        <w:trPr>
          <w:trHeight w:val="245"/>
          <w:jc w:val="right"/>
        </w:trPr>
        <w:tc>
          <w:tcPr>
            <w:tcW w:w="1705" w:type="pct"/>
            <w:tcBorders>
              <w:top w:val="single" w:sz="4" w:space="0" w:color="auto"/>
              <w:bottom w:val="single" w:sz="4" w:space="0" w:color="auto"/>
            </w:tcBorders>
          </w:tcPr>
          <w:p w14:paraId="514ACFC8" w14:textId="77777777" w:rsidR="0028754C" w:rsidRPr="009361C3" w:rsidRDefault="0028754C" w:rsidP="0028754C">
            <w:pPr>
              <w:pStyle w:val="Tabletext"/>
              <w:rPr>
                <w:snapToGrid w:val="0"/>
              </w:rPr>
            </w:pPr>
            <w:r w:rsidRPr="009361C3">
              <w:rPr>
                <w:snapToGrid w:val="0"/>
              </w:rPr>
              <w:t>45</w:t>
            </w:r>
          </w:p>
        </w:tc>
        <w:tc>
          <w:tcPr>
            <w:tcW w:w="1417" w:type="pct"/>
            <w:tcBorders>
              <w:top w:val="single" w:sz="4" w:space="0" w:color="auto"/>
              <w:bottom w:val="single" w:sz="4" w:space="0" w:color="auto"/>
            </w:tcBorders>
            <w:vAlign w:val="bottom"/>
          </w:tcPr>
          <w:p w14:paraId="3E11FA68" w14:textId="77777777" w:rsidR="0028754C" w:rsidRPr="009361C3" w:rsidRDefault="0028754C" w:rsidP="0028754C">
            <w:pPr>
              <w:pStyle w:val="Tabletext"/>
              <w:rPr>
                <w:snapToGrid w:val="0"/>
              </w:rPr>
            </w:pPr>
            <w:r w:rsidRPr="00295986">
              <w:t>3</w:t>
            </w:r>
            <w:r w:rsidR="00D7157D">
              <w:t>.</w:t>
            </w:r>
            <w:r w:rsidRPr="00295986">
              <w:t>511</w:t>
            </w:r>
          </w:p>
        </w:tc>
        <w:tc>
          <w:tcPr>
            <w:tcW w:w="1878" w:type="pct"/>
            <w:tcBorders>
              <w:top w:val="single" w:sz="4" w:space="0" w:color="auto"/>
              <w:bottom w:val="single" w:sz="4" w:space="0" w:color="auto"/>
            </w:tcBorders>
            <w:vAlign w:val="bottom"/>
          </w:tcPr>
          <w:p w14:paraId="52C03DF3" w14:textId="77777777" w:rsidR="0028754C" w:rsidRPr="009361C3" w:rsidRDefault="0028754C" w:rsidP="0028754C">
            <w:pPr>
              <w:pStyle w:val="Tabletext"/>
              <w:rPr>
                <w:snapToGrid w:val="0"/>
              </w:rPr>
            </w:pPr>
            <w:r w:rsidRPr="00295986">
              <w:t>1</w:t>
            </w:r>
            <w:r w:rsidR="00D7157D">
              <w:t>.</w:t>
            </w:r>
            <w:r w:rsidRPr="00295986">
              <w:t>221</w:t>
            </w:r>
          </w:p>
        </w:tc>
      </w:tr>
      <w:tr w:rsidR="0028754C" w:rsidRPr="009E2595" w14:paraId="4708AACA" w14:textId="77777777" w:rsidTr="00143C85">
        <w:trPr>
          <w:trHeight w:val="245"/>
          <w:jc w:val="right"/>
        </w:trPr>
        <w:tc>
          <w:tcPr>
            <w:tcW w:w="1705" w:type="pct"/>
            <w:tcBorders>
              <w:top w:val="single" w:sz="4" w:space="0" w:color="auto"/>
              <w:bottom w:val="single" w:sz="4" w:space="0" w:color="auto"/>
            </w:tcBorders>
          </w:tcPr>
          <w:p w14:paraId="34613112" w14:textId="77777777" w:rsidR="0028754C" w:rsidRPr="009361C3" w:rsidRDefault="0028754C" w:rsidP="0028754C">
            <w:pPr>
              <w:pStyle w:val="Tabletext"/>
              <w:rPr>
                <w:snapToGrid w:val="0"/>
              </w:rPr>
            </w:pPr>
            <w:r w:rsidRPr="009361C3">
              <w:rPr>
                <w:snapToGrid w:val="0"/>
              </w:rPr>
              <w:t>46</w:t>
            </w:r>
          </w:p>
        </w:tc>
        <w:tc>
          <w:tcPr>
            <w:tcW w:w="1417" w:type="pct"/>
            <w:tcBorders>
              <w:top w:val="single" w:sz="4" w:space="0" w:color="auto"/>
              <w:bottom w:val="single" w:sz="4" w:space="0" w:color="auto"/>
            </w:tcBorders>
            <w:vAlign w:val="bottom"/>
          </w:tcPr>
          <w:p w14:paraId="0FA461C6" w14:textId="77777777" w:rsidR="0028754C" w:rsidRPr="009361C3" w:rsidRDefault="0028754C" w:rsidP="0028754C">
            <w:pPr>
              <w:pStyle w:val="Tabletext"/>
              <w:rPr>
                <w:snapToGrid w:val="0"/>
              </w:rPr>
            </w:pPr>
            <w:r w:rsidRPr="00295986">
              <w:t>3</w:t>
            </w:r>
            <w:r w:rsidR="00D7157D">
              <w:t>.</w:t>
            </w:r>
            <w:r w:rsidRPr="00295986">
              <w:t>371</w:t>
            </w:r>
          </w:p>
        </w:tc>
        <w:tc>
          <w:tcPr>
            <w:tcW w:w="1878" w:type="pct"/>
            <w:tcBorders>
              <w:top w:val="single" w:sz="4" w:space="0" w:color="auto"/>
              <w:bottom w:val="single" w:sz="4" w:space="0" w:color="auto"/>
            </w:tcBorders>
            <w:vAlign w:val="bottom"/>
          </w:tcPr>
          <w:p w14:paraId="3047A16D" w14:textId="77777777" w:rsidR="0028754C" w:rsidRPr="009361C3" w:rsidRDefault="0028754C" w:rsidP="0028754C">
            <w:pPr>
              <w:pStyle w:val="Tabletext"/>
              <w:rPr>
                <w:snapToGrid w:val="0"/>
              </w:rPr>
            </w:pPr>
            <w:r w:rsidRPr="00295986">
              <w:t>1</w:t>
            </w:r>
            <w:r w:rsidR="00D7157D">
              <w:t>.</w:t>
            </w:r>
            <w:r w:rsidRPr="00295986">
              <w:t>117</w:t>
            </w:r>
          </w:p>
        </w:tc>
      </w:tr>
      <w:tr w:rsidR="0028754C" w:rsidRPr="009E2595" w14:paraId="4FF7A404" w14:textId="77777777" w:rsidTr="00143C85">
        <w:trPr>
          <w:trHeight w:val="245"/>
          <w:jc w:val="right"/>
        </w:trPr>
        <w:tc>
          <w:tcPr>
            <w:tcW w:w="1705" w:type="pct"/>
            <w:tcBorders>
              <w:top w:val="single" w:sz="4" w:space="0" w:color="auto"/>
              <w:bottom w:val="single" w:sz="4" w:space="0" w:color="auto"/>
            </w:tcBorders>
          </w:tcPr>
          <w:p w14:paraId="328CD935" w14:textId="77777777" w:rsidR="0028754C" w:rsidRPr="009361C3" w:rsidRDefault="0028754C" w:rsidP="0028754C">
            <w:pPr>
              <w:pStyle w:val="Tabletext"/>
              <w:rPr>
                <w:snapToGrid w:val="0"/>
              </w:rPr>
            </w:pPr>
            <w:r w:rsidRPr="009361C3">
              <w:rPr>
                <w:snapToGrid w:val="0"/>
              </w:rPr>
              <w:t>47</w:t>
            </w:r>
          </w:p>
        </w:tc>
        <w:tc>
          <w:tcPr>
            <w:tcW w:w="1417" w:type="pct"/>
            <w:tcBorders>
              <w:top w:val="single" w:sz="4" w:space="0" w:color="auto"/>
              <w:bottom w:val="single" w:sz="4" w:space="0" w:color="auto"/>
            </w:tcBorders>
            <w:vAlign w:val="bottom"/>
          </w:tcPr>
          <w:p w14:paraId="60758737" w14:textId="77777777" w:rsidR="0028754C" w:rsidRPr="009361C3" w:rsidRDefault="0028754C" w:rsidP="0028754C">
            <w:pPr>
              <w:pStyle w:val="Tabletext"/>
              <w:rPr>
                <w:snapToGrid w:val="0"/>
              </w:rPr>
            </w:pPr>
            <w:r w:rsidRPr="00295986">
              <w:t>3</w:t>
            </w:r>
            <w:r w:rsidR="00D7157D">
              <w:t>.</w:t>
            </w:r>
            <w:r w:rsidRPr="00295986">
              <w:t>230</w:t>
            </w:r>
          </w:p>
        </w:tc>
        <w:tc>
          <w:tcPr>
            <w:tcW w:w="1878" w:type="pct"/>
            <w:tcBorders>
              <w:top w:val="single" w:sz="4" w:space="0" w:color="auto"/>
              <w:bottom w:val="single" w:sz="4" w:space="0" w:color="auto"/>
            </w:tcBorders>
            <w:vAlign w:val="bottom"/>
          </w:tcPr>
          <w:p w14:paraId="17D13554" w14:textId="77777777" w:rsidR="0028754C" w:rsidRPr="009361C3" w:rsidRDefault="0028754C" w:rsidP="0028754C">
            <w:pPr>
              <w:pStyle w:val="Tabletext"/>
              <w:rPr>
                <w:snapToGrid w:val="0"/>
              </w:rPr>
            </w:pPr>
            <w:r w:rsidRPr="00295986">
              <w:t>1</w:t>
            </w:r>
            <w:r w:rsidR="00D7157D">
              <w:t>.</w:t>
            </w:r>
            <w:r w:rsidRPr="00295986">
              <w:t>012</w:t>
            </w:r>
          </w:p>
        </w:tc>
      </w:tr>
      <w:tr w:rsidR="0028754C" w:rsidRPr="009E2595" w14:paraId="56F1F74F" w14:textId="77777777" w:rsidTr="00143C85">
        <w:trPr>
          <w:trHeight w:val="245"/>
          <w:jc w:val="right"/>
        </w:trPr>
        <w:tc>
          <w:tcPr>
            <w:tcW w:w="1705" w:type="pct"/>
            <w:tcBorders>
              <w:top w:val="single" w:sz="4" w:space="0" w:color="auto"/>
              <w:bottom w:val="single" w:sz="4" w:space="0" w:color="auto"/>
            </w:tcBorders>
          </w:tcPr>
          <w:p w14:paraId="6A5C18C0" w14:textId="77777777" w:rsidR="0028754C" w:rsidRPr="009361C3" w:rsidRDefault="0028754C" w:rsidP="0028754C">
            <w:pPr>
              <w:pStyle w:val="Tabletext"/>
              <w:rPr>
                <w:snapToGrid w:val="0"/>
              </w:rPr>
            </w:pPr>
            <w:r w:rsidRPr="009361C3">
              <w:rPr>
                <w:snapToGrid w:val="0"/>
              </w:rPr>
              <w:t>48</w:t>
            </w:r>
          </w:p>
        </w:tc>
        <w:tc>
          <w:tcPr>
            <w:tcW w:w="1417" w:type="pct"/>
            <w:tcBorders>
              <w:top w:val="single" w:sz="4" w:space="0" w:color="auto"/>
              <w:bottom w:val="single" w:sz="4" w:space="0" w:color="auto"/>
            </w:tcBorders>
            <w:vAlign w:val="bottom"/>
          </w:tcPr>
          <w:p w14:paraId="6A2E5BC8" w14:textId="77777777" w:rsidR="0028754C" w:rsidRPr="009361C3" w:rsidRDefault="0028754C" w:rsidP="0028754C">
            <w:pPr>
              <w:pStyle w:val="Tabletext"/>
              <w:rPr>
                <w:snapToGrid w:val="0"/>
              </w:rPr>
            </w:pPr>
            <w:r w:rsidRPr="00295986">
              <w:t>3</w:t>
            </w:r>
            <w:r w:rsidR="00D7157D">
              <w:t>.</w:t>
            </w:r>
            <w:r w:rsidRPr="00295986">
              <w:t>090</w:t>
            </w:r>
          </w:p>
        </w:tc>
        <w:tc>
          <w:tcPr>
            <w:tcW w:w="1878" w:type="pct"/>
            <w:tcBorders>
              <w:top w:val="single" w:sz="4" w:space="0" w:color="auto"/>
              <w:bottom w:val="single" w:sz="4" w:space="0" w:color="auto"/>
            </w:tcBorders>
            <w:vAlign w:val="bottom"/>
          </w:tcPr>
          <w:p w14:paraId="0F84064A" w14:textId="77777777" w:rsidR="0028754C" w:rsidRPr="009361C3" w:rsidRDefault="0028754C" w:rsidP="0028754C">
            <w:pPr>
              <w:pStyle w:val="Tabletext"/>
              <w:rPr>
                <w:snapToGrid w:val="0"/>
              </w:rPr>
            </w:pPr>
            <w:r w:rsidRPr="00295986">
              <w:t>0</w:t>
            </w:r>
            <w:r w:rsidR="00D7157D">
              <w:t>.</w:t>
            </w:r>
            <w:r w:rsidRPr="00295986">
              <w:t>907</w:t>
            </w:r>
          </w:p>
        </w:tc>
      </w:tr>
      <w:tr w:rsidR="0028754C" w:rsidRPr="009E2595" w14:paraId="73814EA3" w14:textId="77777777" w:rsidTr="00143C85">
        <w:trPr>
          <w:trHeight w:val="245"/>
          <w:jc w:val="right"/>
        </w:trPr>
        <w:tc>
          <w:tcPr>
            <w:tcW w:w="1705" w:type="pct"/>
            <w:tcBorders>
              <w:top w:val="single" w:sz="4" w:space="0" w:color="auto"/>
              <w:bottom w:val="single" w:sz="4" w:space="0" w:color="auto"/>
            </w:tcBorders>
          </w:tcPr>
          <w:p w14:paraId="1BA974E8" w14:textId="77777777" w:rsidR="0028754C" w:rsidRPr="009361C3" w:rsidRDefault="0028754C" w:rsidP="0028754C">
            <w:pPr>
              <w:pStyle w:val="Tabletext"/>
              <w:rPr>
                <w:snapToGrid w:val="0"/>
              </w:rPr>
            </w:pPr>
            <w:r w:rsidRPr="009361C3">
              <w:rPr>
                <w:snapToGrid w:val="0"/>
              </w:rPr>
              <w:t>49</w:t>
            </w:r>
          </w:p>
        </w:tc>
        <w:tc>
          <w:tcPr>
            <w:tcW w:w="1417" w:type="pct"/>
            <w:tcBorders>
              <w:top w:val="single" w:sz="4" w:space="0" w:color="auto"/>
              <w:bottom w:val="single" w:sz="4" w:space="0" w:color="auto"/>
            </w:tcBorders>
            <w:vAlign w:val="bottom"/>
          </w:tcPr>
          <w:p w14:paraId="4EF6AEA3" w14:textId="77777777" w:rsidR="0028754C" w:rsidRPr="009361C3" w:rsidRDefault="0028754C" w:rsidP="0028754C">
            <w:pPr>
              <w:pStyle w:val="Tabletext"/>
              <w:rPr>
                <w:snapToGrid w:val="0"/>
              </w:rPr>
            </w:pPr>
            <w:r w:rsidRPr="00295986">
              <w:t>2</w:t>
            </w:r>
            <w:r w:rsidR="00D7157D">
              <w:t>.</w:t>
            </w:r>
            <w:r w:rsidRPr="00295986">
              <w:t>949</w:t>
            </w:r>
          </w:p>
        </w:tc>
        <w:tc>
          <w:tcPr>
            <w:tcW w:w="1878" w:type="pct"/>
            <w:tcBorders>
              <w:top w:val="single" w:sz="4" w:space="0" w:color="auto"/>
              <w:bottom w:val="single" w:sz="4" w:space="0" w:color="auto"/>
            </w:tcBorders>
            <w:vAlign w:val="bottom"/>
          </w:tcPr>
          <w:p w14:paraId="6896928E" w14:textId="77777777" w:rsidR="0028754C" w:rsidRPr="009361C3" w:rsidRDefault="0028754C" w:rsidP="0028754C">
            <w:pPr>
              <w:pStyle w:val="Tabletext"/>
              <w:rPr>
                <w:snapToGrid w:val="0"/>
              </w:rPr>
            </w:pPr>
            <w:r w:rsidRPr="00295986">
              <w:t>0</w:t>
            </w:r>
            <w:r w:rsidR="00D7157D">
              <w:t>.</w:t>
            </w:r>
            <w:r w:rsidRPr="00295986">
              <w:t>803</w:t>
            </w:r>
          </w:p>
        </w:tc>
      </w:tr>
      <w:tr w:rsidR="0028754C" w:rsidRPr="009E2595" w14:paraId="6CAD051D" w14:textId="77777777" w:rsidTr="00143C85">
        <w:trPr>
          <w:trHeight w:val="245"/>
          <w:jc w:val="right"/>
        </w:trPr>
        <w:tc>
          <w:tcPr>
            <w:tcW w:w="1705" w:type="pct"/>
            <w:tcBorders>
              <w:top w:val="single" w:sz="4" w:space="0" w:color="auto"/>
              <w:bottom w:val="single" w:sz="4" w:space="0" w:color="auto"/>
            </w:tcBorders>
          </w:tcPr>
          <w:p w14:paraId="42B2C97D" w14:textId="77777777" w:rsidR="0028754C" w:rsidRPr="009361C3" w:rsidRDefault="0028754C" w:rsidP="0028754C">
            <w:pPr>
              <w:pStyle w:val="Tabletext"/>
              <w:rPr>
                <w:snapToGrid w:val="0"/>
              </w:rPr>
            </w:pPr>
            <w:r w:rsidRPr="009361C3">
              <w:rPr>
                <w:snapToGrid w:val="0"/>
              </w:rPr>
              <w:t>50</w:t>
            </w:r>
          </w:p>
        </w:tc>
        <w:tc>
          <w:tcPr>
            <w:tcW w:w="1417" w:type="pct"/>
            <w:tcBorders>
              <w:top w:val="single" w:sz="4" w:space="0" w:color="auto"/>
              <w:bottom w:val="single" w:sz="4" w:space="0" w:color="auto"/>
            </w:tcBorders>
            <w:vAlign w:val="bottom"/>
          </w:tcPr>
          <w:p w14:paraId="5FE88711" w14:textId="77777777" w:rsidR="0028754C" w:rsidRPr="009361C3" w:rsidRDefault="0028754C" w:rsidP="0028754C">
            <w:pPr>
              <w:pStyle w:val="Tabletext"/>
              <w:rPr>
                <w:snapToGrid w:val="0"/>
              </w:rPr>
            </w:pPr>
            <w:r w:rsidRPr="00295986">
              <w:t>2</w:t>
            </w:r>
            <w:r w:rsidR="00D7157D">
              <w:t>.</w:t>
            </w:r>
            <w:r w:rsidRPr="00295986">
              <w:t>809</w:t>
            </w:r>
          </w:p>
        </w:tc>
        <w:tc>
          <w:tcPr>
            <w:tcW w:w="1878" w:type="pct"/>
            <w:tcBorders>
              <w:top w:val="single" w:sz="4" w:space="0" w:color="auto"/>
              <w:bottom w:val="single" w:sz="4" w:space="0" w:color="auto"/>
            </w:tcBorders>
            <w:vAlign w:val="bottom"/>
          </w:tcPr>
          <w:p w14:paraId="76927C07" w14:textId="77777777" w:rsidR="0028754C" w:rsidRPr="009361C3" w:rsidRDefault="0028754C" w:rsidP="0028754C">
            <w:pPr>
              <w:pStyle w:val="Tabletext"/>
              <w:rPr>
                <w:snapToGrid w:val="0"/>
              </w:rPr>
            </w:pPr>
            <w:r w:rsidRPr="00295986">
              <w:t>0</w:t>
            </w:r>
            <w:r w:rsidR="00D7157D">
              <w:t>.</w:t>
            </w:r>
            <w:r w:rsidRPr="00295986">
              <w:t>698</w:t>
            </w:r>
          </w:p>
        </w:tc>
      </w:tr>
      <w:tr w:rsidR="0028754C" w:rsidRPr="009E2595" w14:paraId="06F0AB0D" w14:textId="77777777" w:rsidTr="00143C85">
        <w:trPr>
          <w:trHeight w:val="245"/>
          <w:jc w:val="right"/>
        </w:trPr>
        <w:tc>
          <w:tcPr>
            <w:tcW w:w="1705" w:type="pct"/>
            <w:tcBorders>
              <w:top w:val="single" w:sz="4" w:space="0" w:color="auto"/>
              <w:bottom w:val="single" w:sz="4" w:space="0" w:color="auto"/>
            </w:tcBorders>
          </w:tcPr>
          <w:p w14:paraId="44AA0B04" w14:textId="77777777" w:rsidR="0028754C" w:rsidRPr="009361C3" w:rsidRDefault="0028754C" w:rsidP="0028754C">
            <w:pPr>
              <w:pStyle w:val="Tabletext"/>
              <w:rPr>
                <w:snapToGrid w:val="0"/>
              </w:rPr>
            </w:pPr>
            <w:r w:rsidRPr="009361C3">
              <w:rPr>
                <w:snapToGrid w:val="0"/>
              </w:rPr>
              <w:t>51</w:t>
            </w:r>
          </w:p>
        </w:tc>
        <w:tc>
          <w:tcPr>
            <w:tcW w:w="1417" w:type="pct"/>
            <w:tcBorders>
              <w:top w:val="single" w:sz="4" w:space="0" w:color="auto"/>
              <w:bottom w:val="single" w:sz="4" w:space="0" w:color="auto"/>
            </w:tcBorders>
            <w:vAlign w:val="bottom"/>
          </w:tcPr>
          <w:p w14:paraId="4A757E6E" w14:textId="77777777" w:rsidR="0028754C" w:rsidRPr="009361C3" w:rsidRDefault="0028754C" w:rsidP="0028754C">
            <w:pPr>
              <w:pStyle w:val="Tabletext"/>
              <w:rPr>
                <w:snapToGrid w:val="0"/>
              </w:rPr>
            </w:pPr>
            <w:r w:rsidRPr="00295986">
              <w:t>2</w:t>
            </w:r>
            <w:r w:rsidR="00D7157D">
              <w:t>.</w:t>
            </w:r>
            <w:r w:rsidRPr="00295986">
              <w:t>388</w:t>
            </w:r>
          </w:p>
        </w:tc>
        <w:tc>
          <w:tcPr>
            <w:tcW w:w="1878" w:type="pct"/>
            <w:tcBorders>
              <w:top w:val="single" w:sz="4" w:space="0" w:color="auto"/>
              <w:bottom w:val="single" w:sz="4" w:space="0" w:color="auto"/>
            </w:tcBorders>
            <w:vAlign w:val="bottom"/>
          </w:tcPr>
          <w:p w14:paraId="188023F8" w14:textId="77777777" w:rsidR="0028754C" w:rsidRPr="009361C3" w:rsidRDefault="0028754C" w:rsidP="0028754C">
            <w:pPr>
              <w:pStyle w:val="Tabletext"/>
              <w:rPr>
                <w:snapToGrid w:val="0"/>
              </w:rPr>
            </w:pPr>
            <w:r w:rsidRPr="00295986">
              <w:t>0</w:t>
            </w:r>
            <w:r w:rsidR="00D7157D">
              <w:t>.</w:t>
            </w:r>
            <w:r w:rsidRPr="00295986">
              <w:t>593</w:t>
            </w:r>
          </w:p>
        </w:tc>
      </w:tr>
      <w:tr w:rsidR="0028754C" w:rsidRPr="009E2595" w14:paraId="6640BA97" w14:textId="77777777" w:rsidTr="00143C85">
        <w:trPr>
          <w:trHeight w:val="245"/>
          <w:jc w:val="right"/>
        </w:trPr>
        <w:tc>
          <w:tcPr>
            <w:tcW w:w="1705" w:type="pct"/>
            <w:tcBorders>
              <w:top w:val="single" w:sz="4" w:space="0" w:color="auto"/>
              <w:bottom w:val="single" w:sz="4" w:space="0" w:color="auto"/>
            </w:tcBorders>
          </w:tcPr>
          <w:p w14:paraId="59DECFE9" w14:textId="77777777" w:rsidR="0028754C" w:rsidRPr="009361C3" w:rsidRDefault="0028754C" w:rsidP="0028754C">
            <w:pPr>
              <w:pStyle w:val="Tabletext"/>
              <w:rPr>
                <w:snapToGrid w:val="0"/>
              </w:rPr>
            </w:pPr>
            <w:r w:rsidRPr="009361C3">
              <w:rPr>
                <w:snapToGrid w:val="0"/>
              </w:rPr>
              <w:t>52</w:t>
            </w:r>
          </w:p>
        </w:tc>
        <w:tc>
          <w:tcPr>
            <w:tcW w:w="1417" w:type="pct"/>
            <w:tcBorders>
              <w:top w:val="single" w:sz="4" w:space="0" w:color="auto"/>
              <w:bottom w:val="single" w:sz="4" w:space="0" w:color="auto"/>
            </w:tcBorders>
            <w:vAlign w:val="bottom"/>
          </w:tcPr>
          <w:p w14:paraId="53DB14B4" w14:textId="77777777" w:rsidR="0028754C" w:rsidRPr="009361C3" w:rsidRDefault="0028754C" w:rsidP="0028754C">
            <w:pPr>
              <w:pStyle w:val="Tabletext"/>
              <w:rPr>
                <w:snapToGrid w:val="0"/>
              </w:rPr>
            </w:pPr>
            <w:r w:rsidRPr="00295986">
              <w:t>1</w:t>
            </w:r>
            <w:r w:rsidR="00D7157D">
              <w:t>.</w:t>
            </w:r>
            <w:r w:rsidRPr="00295986">
              <w:t>966</w:t>
            </w:r>
          </w:p>
        </w:tc>
        <w:tc>
          <w:tcPr>
            <w:tcW w:w="1878" w:type="pct"/>
            <w:tcBorders>
              <w:top w:val="single" w:sz="4" w:space="0" w:color="auto"/>
              <w:bottom w:val="single" w:sz="4" w:space="0" w:color="auto"/>
            </w:tcBorders>
            <w:vAlign w:val="bottom"/>
          </w:tcPr>
          <w:p w14:paraId="16B62F49" w14:textId="77777777" w:rsidR="0028754C" w:rsidRPr="009361C3" w:rsidRDefault="0028754C" w:rsidP="0028754C">
            <w:pPr>
              <w:pStyle w:val="Tabletext"/>
              <w:rPr>
                <w:snapToGrid w:val="0"/>
              </w:rPr>
            </w:pPr>
            <w:r w:rsidRPr="00295986">
              <w:t>0</w:t>
            </w:r>
            <w:r w:rsidR="00D7157D">
              <w:t>.</w:t>
            </w:r>
            <w:r w:rsidRPr="00295986">
              <w:t>489</w:t>
            </w:r>
          </w:p>
        </w:tc>
      </w:tr>
      <w:tr w:rsidR="0028754C" w:rsidRPr="009E2595" w14:paraId="2A52AF98" w14:textId="77777777" w:rsidTr="00143C85">
        <w:trPr>
          <w:trHeight w:val="245"/>
          <w:jc w:val="right"/>
        </w:trPr>
        <w:tc>
          <w:tcPr>
            <w:tcW w:w="1705" w:type="pct"/>
            <w:tcBorders>
              <w:top w:val="single" w:sz="4" w:space="0" w:color="auto"/>
              <w:bottom w:val="single" w:sz="4" w:space="0" w:color="auto"/>
            </w:tcBorders>
          </w:tcPr>
          <w:p w14:paraId="5C432019" w14:textId="77777777" w:rsidR="0028754C" w:rsidRPr="009361C3" w:rsidRDefault="0028754C" w:rsidP="0028754C">
            <w:pPr>
              <w:pStyle w:val="Tabletext"/>
              <w:rPr>
                <w:snapToGrid w:val="0"/>
              </w:rPr>
            </w:pPr>
            <w:r w:rsidRPr="009361C3">
              <w:rPr>
                <w:snapToGrid w:val="0"/>
              </w:rPr>
              <w:t>53</w:t>
            </w:r>
          </w:p>
        </w:tc>
        <w:tc>
          <w:tcPr>
            <w:tcW w:w="1417" w:type="pct"/>
            <w:tcBorders>
              <w:top w:val="single" w:sz="4" w:space="0" w:color="auto"/>
              <w:bottom w:val="single" w:sz="4" w:space="0" w:color="auto"/>
            </w:tcBorders>
            <w:vAlign w:val="bottom"/>
          </w:tcPr>
          <w:p w14:paraId="163358D8" w14:textId="77777777" w:rsidR="0028754C" w:rsidRPr="009361C3" w:rsidRDefault="0028754C" w:rsidP="0028754C">
            <w:pPr>
              <w:pStyle w:val="Tabletext"/>
              <w:rPr>
                <w:snapToGrid w:val="0"/>
              </w:rPr>
            </w:pPr>
            <w:r w:rsidRPr="00295986">
              <w:t>1</w:t>
            </w:r>
            <w:r w:rsidR="00D7157D">
              <w:t>.</w:t>
            </w:r>
            <w:r w:rsidRPr="00295986">
              <w:t>545</w:t>
            </w:r>
          </w:p>
        </w:tc>
        <w:tc>
          <w:tcPr>
            <w:tcW w:w="1878" w:type="pct"/>
            <w:tcBorders>
              <w:top w:val="single" w:sz="4" w:space="0" w:color="auto"/>
              <w:bottom w:val="single" w:sz="4" w:space="0" w:color="auto"/>
            </w:tcBorders>
            <w:vAlign w:val="bottom"/>
          </w:tcPr>
          <w:p w14:paraId="4AE41050" w14:textId="77777777" w:rsidR="0028754C" w:rsidRPr="009361C3" w:rsidRDefault="0028754C" w:rsidP="0028754C">
            <w:pPr>
              <w:pStyle w:val="Tabletext"/>
              <w:rPr>
                <w:snapToGrid w:val="0"/>
              </w:rPr>
            </w:pPr>
            <w:r w:rsidRPr="00295986">
              <w:t>0</w:t>
            </w:r>
            <w:r w:rsidR="00D7157D">
              <w:t>.</w:t>
            </w:r>
            <w:r w:rsidRPr="00295986">
              <w:t>384</w:t>
            </w:r>
          </w:p>
        </w:tc>
      </w:tr>
      <w:tr w:rsidR="0028754C" w:rsidRPr="009E2595" w14:paraId="68371917" w14:textId="77777777" w:rsidTr="00143C85">
        <w:trPr>
          <w:trHeight w:val="245"/>
          <w:jc w:val="right"/>
        </w:trPr>
        <w:tc>
          <w:tcPr>
            <w:tcW w:w="1705" w:type="pct"/>
            <w:tcBorders>
              <w:top w:val="single" w:sz="4" w:space="0" w:color="auto"/>
              <w:bottom w:val="single" w:sz="4" w:space="0" w:color="auto"/>
            </w:tcBorders>
          </w:tcPr>
          <w:p w14:paraId="41272E97" w14:textId="77777777" w:rsidR="0028754C" w:rsidRPr="009361C3" w:rsidRDefault="0028754C" w:rsidP="0028754C">
            <w:pPr>
              <w:pStyle w:val="Tabletext"/>
              <w:rPr>
                <w:snapToGrid w:val="0"/>
              </w:rPr>
            </w:pPr>
            <w:r w:rsidRPr="009361C3">
              <w:rPr>
                <w:snapToGrid w:val="0"/>
              </w:rPr>
              <w:t>54</w:t>
            </w:r>
          </w:p>
        </w:tc>
        <w:tc>
          <w:tcPr>
            <w:tcW w:w="1417" w:type="pct"/>
            <w:tcBorders>
              <w:top w:val="single" w:sz="4" w:space="0" w:color="auto"/>
              <w:bottom w:val="single" w:sz="4" w:space="0" w:color="auto"/>
            </w:tcBorders>
            <w:vAlign w:val="bottom"/>
          </w:tcPr>
          <w:p w14:paraId="17331E91" w14:textId="77777777" w:rsidR="0028754C" w:rsidRPr="009361C3" w:rsidRDefault="0028754C" w:rsidP="0028754C">
            <w:pPr>
              <w:pStyle w:val="Tabletext"/>
              <w:rPr>
                <w:snapToGrid w:val="0"/>
              </w:rPr>
            </w:pPr>
            <w:r w:rsidRPr="00295986">
              <w:t>1</w:t>
            </w:r>
            <w:r w:rsidR="00D7157D">
              <w:t>.</w:t>
            </w:r>
            <w:r w:rsidRPr="00295986">
              <w:t>124</w:t>
            </w:r>
          </w:p>
        </w:tc>
        <w:tc>
          <w:tcPr>
            <w:tcW w:w="1878" w:type="pct"/>
            <w:tcBorders>
              <w:top w:val="single" w:sz="4" w:space="0" w:color="auto"/>
              <w:bottom w:val="single" w:sz="4" w:space="0" w:color="auto"/>
            </w:tcBorders>
            <w:vAlign w:val="bottom"/>
          </w:tcPr>
          <w:p w14:paraId="1F284DA3" w14:textId="77777777" w:rsidR="0028754C" w:rsidRPr="009361C3" w:rsidRDefault="0028754C" w:rsidP="0028754C">
            <w:pPr>
              <w:pStyle w:val="Tabletext"/>
              <w:rPr>
                <w:snapToGrid w:val="0"/>
              </w:rPr>
            </w:pPr>
            <w:r w:rsidRPr="00295986">
              <w:t>0</w:t>
            </w:r>
            <w:r w:rsidR="00D7157D">
              <w:t>.</w:t>
            </w:r>
            <w:r w:rsidRPr="00295986">
              <w:t>279</w:t>
            </w:r>
          </w:p>
        </w:tc>
      </w:tr>
      <w:tr w:rsidR="0028754C" w:rsidRPr="009E2595" w14:paraId="523FC440" w14:textId="77777777" w:rsidTr="00143C85">
        <w:trPr>
          <w:trHeight w:val="245"/>
          <w:jc w:val="right"/>
        </w:trPr>
        <w:tc>
          <w:tcPr>
            <w:tcW w:w="1705" w:type="pct"/>
            <w:tcBorders>
              <w:top w:val="single" w:sz="4" w:space="0" w:color="auto"/>
              <w:bottom w:val="single" w:sz="12" w:space="0" w:color="auto"/>
            </w:tcBorders>
          </w:tcPr>
          <w:p w14:paraId="24CA6E02" w14:textId="77777777" w:rsidR="0028754C" w:rsidRPr="009361C3" w:rsidRDefault="0028754C" w:rsidP="0028754C">
            <w:pPr>
              <w:pStyle w:val="Tabletext"/>
              <w:rPr>
                <w:snapToGrid w:val="0"/>
              </w:rPr>
            </w:pPr>
            <w:r w:rsidRPr="009361C3">
              <w:rPr>
                <w:snapToGrid w:val="0"/>
              </w:rPr>
              <w:t>55 and over</w:t>
            </w:r>
          </w:p>
        </w:tc>
        <w:tc>
          <w:tcPr>
            <w:tcW w:w="1417" w:type="pct"/>
            <w:tcBorders>
              <w:top w:val="single" w:sz="4" w:space="0" w:color="auto"/>
              <w:bottom w:val="single" w:sz="12" w:space="0" w:color="auto"/>
            </w:tcBorders>
            <w:vAlign w:val="bottom"/>
          </w:tcPr>
          <w:p w14:paraId="04EB16BA" w14:textId="77777777" w:rsidR="0028754C" w:rsidRPr="009361C3" w:rsidRDefault="0028754C" w:rsidP="0028754C">
            <w:pPr>
              <w:pStyle w:val="Tabletext"/>
              <w:rPr>
                <w:snapToGrid w:val="0"/>
              </w:rPr>
            </w:pPr>
            <w:r w:rsidRPr="00295986">
              <w:t>0</w:t>
            </w:r>
            <w:r w:rsidR="00D7157D">
              <w:t>.</w:t>
            </w:r>
            <w:r w:rsidRPr="00295986">
              <w:t>702</w:t>
            </w:r>
          </w:p>
        </w:tc>
        <w:tc>
          <w:tcPr>
            <w:tcW w:w="1878" w:type="pct"/>
            <w:tcBorders>
              <w:top w:val="single" w:sz="4" w:space="0" w:color="auto"/>
              <w:bottom w:val="single" w:sz="12" w:space="0" w:color="auto"/>
            </w:tcBorders>
            <w:vAlign w:val="bottom"/>
          </w:tcPr>
          <w:p w14:paraId="49D3826F" w14:textId="77777777" w:rsidR="0028754C" w:rsidRPr="009361C3" w:rsidRDefault="0028754C" w:rsidP="0028754C">
            <w:pPr>
              <w:pStyle w:val="Tabletext"/>
              <w:rPr>
                <w:snapToGrid w:val="0"/>
              </w:rPr>
            </w:pPr>
            <w:r w:rsidRPr="00295986">
              <w:t>0</w:t>
            </w:r>
            <w:r w:rsidR="00D7157D">
              <w:t>.</w:t>
            </w:r>
            <w:r w:rsidRPr="00295986">
              <w:t>174</w:t>
            </w:r>
          </w:p>
        </w:tc>
      </w:tr>
    </w:tbl>
    <w:p w14:paraId="7358A29D" w14:textId="77777777" w:rsidR="00E924F1" w:rsidRPr="00A058B6" w:rsidRDefault="00E84409" w:rsidP="00E924F1">
      <w:pPr>
        <w:pStyle w:val="ActHead2"/>
        <w:pageBreakBefore/>
      </w:pPr>
      <w:bookmarkStart w:id="271" w:name="_Toc188350749"/>
      <w:r w:rsidRPr="00423C34">
        <w:rPr>
          <w:rStyle w:val="CharPartNo"/>
        </w:rPr>
        <w:t>Part 4</w:t>
      </w:r>
      <w:r w:rsidR="00E924F1" w:rsidRPr="00A058B6">
        <w:t>—</w:t>
      </w:r>
      <w:r w:rsidR="00E924F1" w:rsidRPr="00423C34">
        <w:rPr>
          <w:rStyle w:val="CharPartText"/>
        </w:rPr>
        <w:t>Interest relating to current employment—benefit payable only as pension, and member spouse’s age is more than 65 years</w:t>
      </w:r>
      <w:bookmarkEnd w:id="271"/>
    </w:p>
    <w:p w14:paraId="2A63594C" w14:textId="77777777" w:rsidR="00E924F1" w:rsidRPr="00423C34" w:rsidRDefault="00E924F1" w:rsidP="00E924F1">
      <w:pPr>
        <w:pStyle w:val="Header"/>
      </w:pPr>
      <w:r w:rsidRPr="00423C34">
        <w:rPr>
          <w:rStyle w:val="CharDivNo"/>
        </w:rPr>
        <w:t xml:space="preserve"> </w:t>
      </w:r>
      <w:r w:rsidRPr="00423C34">
        <w:rPr>
          <w:rStyle w:val="CharDivText"/>
        </w:rPr>
        <w:t xml:space="preserve"> </w:t>
      </w:r>
    </w:p>
    <w:p w14:paraId="4065809E" w14:textId="256E3330" w:rsidR="00DE3160" w:rsidRDefault="00D7157D" w:rsidP="00DE3160">
      <w:pPr>
        <w:pStyle w:val="ActHead5"/>
      </w:pPr>
      <w:bookmarkStart w:id="272" w:name="_Toc188350750"/>
      <w:r w:rsidRPr="00423C34">
        <w:rPr>
          <w:rStyle w:val="CharSectno"/>
        </w:rPr>
        <w:t>33</w:t>
      </w:r>
      <w:r w:rsidR="00DE3160">
        <w:t xml:space="preserve">  Method—pension </w:t>
      </w:r>
      <w:r w:rsidR="00D80AA2">
        <w:t>has no</w:t>
      </w:r>
      <w:r w:rsidR="00DE3160">
        <w:t xml:space="preserve"> guarantee period</w:t>
      </w:r>
      <w:bookmarkEnd w:id="272"/>
    </w:p>
    <w:p w14:paraId="1103F63B" w14:textId="162E5794" w:rsidR="003734D5" w:rsidRDefault="00EE1FFF" w:rsidP="00EE1FFF">
      <w:pPr>
        <w:pStyle w:val="subsection"/>
      </w:pPr>
      <w:r>
        <w:tab/>
      </w:r>
      <w:r>
        <w:tab/>
        <w:t xml:space="preserve">If the pension has no guarantee period, </w:t>
      </w:r>
      <w:r w:rsidR="00AB0143">
        <w:t>Part 2</w:t>
      </w:r>
      <w:r>
        <w:t xml:space="preserve"> of </w:t>
      </w:r>
      <w:r w:rsidR="006211C7">
        <w:t>Schedule </w:t>
      </w:r>
      <w:r w:rsidR="00E5068A">
        <w:t>5</w:t>
      </w:r>
      <w:r>
        <w:t xml:space="preserve"> applies to the pension as if</w:t>
      </w:r>
      <w:r w:rsidR="003734D5">
        <w:t>:</w:t>
      </w:r>
    </w:p>
    <w:p w14:paraId="6009FE30" w14:textId="77777777" w:rsidR="00101177" w:rsidRDefault="003734D5" w:rsidP="003734D5">
      <w:pPr>
        <w:pStyle w:val="paragraph"/>
      </w:pPr>
      <w:r>
        <w:tab/>
        <w:t>(a)</w:t>
      </w:r>
      <w:r>
        <w:tab/>
      </w:r>
      <w:r w:rsidR="00A8457E">
        <w:t>the member spouse ha</w:t>
      </w:r>
      <w:r w:rsidR="00101177">
        <w:t xml:space="preserve">s </w:t>
      </w:r>
      <w:r w:rsidR="00A8457E">
        <w:t>retired</w:t>
      </w:r>
      <w:r w:rsidR="00101177">
        <w:t>;</w:t>
      </w:r>
      <w:r w:rsidR="00A8457E">
        <w:t xml:space="preserve"> and</w:t>
      </w:r>
    </w:p>
    <w:p w14:paraId="7A695F96" w14:textId="77777777" w:rsidR="00A8457E" w:rsidRDefault="00101177" w:rsidP="003734D5">
      <w:pPr>
        <w:pStyle w:val="paragraph"/>
      </w:pPr>
      <w:r>
        <w:tab/>
        <w:t>(b)</w:t>
      </w:r>
      <w:r>
        <w:tab/>
      </w:r>
      <w:r w:rsidR="00EE1FFF">
        <w:t xml:space="preserve">the </w:t>
      </w:r>
      <w:r w:rsidR="00A8457E">
        <w:t xml:space="preserve">relevant date were the first day of the </w:t>
      </w:r>
      <w:r w:rsidR="00EE1FFF">
        <w:t>member spouse</w:t>
      </w:r>
      <w:r w:rsidR="00A8457E">
        <w:t>’s retirement</w:t>
      </w:r>
      <w:r w:rsidR="00D7157D">
        <w:t>.</w:t>
      </w:r>
    </w:p>
    <w:p w14:paraId="3784E9C4" w14:textId="7FF7E0C5" w:rsidR="00341356" w:rsidRDefault="00D7157D" w:rsidP="00341356">
      <w:pPr>
        <w:pStyle w:val="ActHead5"/>
      </w:pPr>
      <w:bookmarkStart w:id="273" w:name="_Toc188350751"/>
      <w:r w:rsidRPr="00423C34">
        <w:rPr>
          <w:rStyle w:val="CharSectno"/>
        </w:rPr>
        <w:t>34</w:t>
      </w:r>
      <w:r w:rsidR="00341356">
        <w:t xml:space="preserve">  Method—pension has a guarantee period</w:t>
      </w:r>
      <w:bookmarkEnd w:id="273"/>
    </w:p>
    <w:p w14:paraId="0108C9D1" w14:textId="77777777" w:rsidR="00101177" w:rsidRDefault="00341356" w:rsidP="00341356">
      <w:pPr>
        <w:pStyle w:val="subsection"/>
      </w:pPr>
      <w:r>
        <w:tab/>
      </w:r>
      <w:r>
        <w:tab/>
      </w:r>
      <w:r w:rsidR="000C66AF">
        <w:t xml:space="preserve">If the pension has a guarantee period, </w:t>
      </w:r>
      <w:r w:rsidR="006211C7">
        <w:t>Part 3</w:t>
      </w:r>
      <w:r w:rsidR="000C66AF">
        <w:t xml:space="preserve"> of </w:t>
      </w:r>
      <w:r w:rsidR="006211C7">
        <w:t>Schedule </w:t>
      </w:r>
      <w:r w:rsidR="00E5068A">
        <w:t>5</w:t>
      </w:r>
      <w:r w:rsidR="000C66AF">
        <w:t xml:space="preserve"> applies to the pension as if</w:t>
      </w:r>
      <w:r w:rsidR="00101177">
        <w:t>:</w:t>
      </w:r>
    </w:p>
    <w:p w14:paraId="49330096" w14:textId="77777777" w:rsidR="00101177" w:rsidRDefault="00101177" w:rsidP="00101177">
      <w:pPr>
        <w:pStyle w:val="paragraph"/>
      </w:pPr>
      <w:r>
        <w:tab/>
        <w:t>(a)</w:t>
      </w:r>
      <w:r>
        <w:tab/>
        <w:t>the member spouse has retired; and</w:t>
      </w:r>
    </w:p>
    <w:p w14:paraId="44AA5408" w14:textId="77777777" w:rsidR="00101177" w:rsidRDefault="00101177" w:rsidP="00101177">
      <w:pPr>
        <w:pStyle w:val="paragraph"/>
      </w:pPr>
      <w:r>
        <w:tab/>
        <w:t>(b)</w:t>
      </w:r>
      <w:r>
        <w:tab/>
        <w:t>the relevant date were the first day of the member spouse’s retirement</w:t>
      </w:r>
      <w:r w:rsidR="00D7157D">
        <w:t>.</w:t>
      </w:r>
    </w:p>
    <w:p w14:paraId="55669E88" w14:textId="77777777" w:rsidR="00647C6B" w:rsidRPr="00A058B6" w:rsidRDefault="00647C6B" w:rsidP="00647C6B">
      <w:pPr>
        <w:pStyle w:val="ActHead2"/>
        <w:pageBreakBefore/>
      </w:pPr>
      <w:bookmarkStart w:id="274" w:name="_Toc188350752"/>
      <w:r w:rsidRPr="00423C34">
        <w:rPr>
          <w:rStyle w:val="CharPartNo"/>
        </w:rPr>
        <w:t>Part </w:t>
      </w:r>
      <w:r w:rsidR="00B27FC0" w:rsidRPr="00423C34">
        <w:rPr>
          <w:rStyle w:val="CharPartNo"/>
        </w:rPr>
        <w:t>5</w:t>
      </w:r>
      <w:r w:rsidRPr="00A058B6">
        <w:t>—</w:t>
      </w:r>
      <w:r w:rsidRPr="00423C34">
        <w:rPr>
          <w:rStyle w:val="CharPartText"/>
        </w:rPr>
        <w:t>Interest relating to current employment—benefit payable as combination of lump sum and pension</w:t>
      </w:r>
      <w:bookmarkEnd w:id="274"/>
    </w:p>
    <w:p w14:paraId="5CDCA943" w14:textId="77777777" w:rsidR="00637886" w:rsidRPr="00423C34" w:rsidRDefault="00637886" w:rsidP="00637886">
      <w:pPr>
        <w:pStyle w:val="Header"/>
      </w:pPr>
      <w:r w:rsidRPr="00423C34">
        <w:rPr>
          <w:rStyle w:val="CharDivNo"/>
        </w:rPr>
        <w:t xml:space="preserve"> </w:t>
      </w:r>
      <w:r w:rsidRPr="00423C34">
        <w:rPr>
          <w:rStyle w:val="CharDivText"/>
        </w:rPr>
        <w:t xml:space="preserve"> </w:t>
      </w:r>
    </w:p>
    <w:p w14:paraId="185651B9" w14:textId="31534478" w:rsidR="00647C6B" w:rsidRPr="00A058B6" w:rsidRDefault="00D7157D" w:rsidP="00647C6B">
      <w:pPr>
        <w:pStyle w:val="ActHead5"/>
      </w:pPr>
      <w:bookmarkStart w:id="275" w:name="_Toc188350753"/>
      <w:r w:rsidRPr="00423C34">
        <w:rPr>
          <w:rStyle w:val="CharSectno"/>
        </w:rPr>
        <w:t>35</w:t>
      </w:r>
      <w:r w:rsidR="00647C6B" w:rsidRPr="00A058B6">
        <w:t xml:space="preserve">  Method—no restriction on combination of lump sum and pension that may be taken</w:t>
      </w:r>
      <w:bookmarkEnd w:id="275"/>
    </w:p>
    <w:p w14:paraId="4289ECA4" w14:textId="77777777" w:rsidR="00647C6B" w:rsidRPr="00A058B6" w:rsidRDefault="00647C6B" w:rsidP="00647C6B">
      <w:pPr>
        <w:pStyle w:val="subsection"/>
      </w:pPr>
      <w:r w:rsidRPr="00A058B6">
        <w:tab/>
        <w:t>(1)</w:t>
      </w:r>
      <w:r w:rsidRPr="00A058B6">
        <w:tab/>
        <w:t>This clause applies if there is no provision in the eligible superannuation plan in which the interest is held restricting the proportion of the interest that may be taken as a lump sum or as a pension</w:t>
      </w:r>
      <w:r w:rsidR="00D7157D">
        <w:t>.</w:t>
      </w:r>
    </w:p>
    <w:p w14:paraId="40481F87" w14:textId="77777777" w:rsidR="00647C6B" w:rsidRPr="00A058B6" w:rsidRDefault="00647C6B" w:rsidP="00647C6B">
      <w:pPr>
        <w:pStyle w:val="notetext"/>
      </w:pPr>
      <w:r w:rsidRPr="00A058B6">
        <w:t>Note:</w:t>
      </w:r>
      <w:r w:rsidRPr="00A058B6">
        <w:tab/>
        <w:t>The method is based on the assumption that 25% of the interest will be taken as a lump sum and 75% of the interest will be taken as a pension</w:t>
      </w:r>
      <w:r w:rsidR="00D7157D">
        <w:t>.</w:t>
      </w:r>
    </w:p>
    <w:p w14:paraId="29EE509E" w14:textId="77777777" w:rsidR="00647C6B" w:rsidRPr="00A058B6" w:rsidRDefault="00647C6B" w:rsidP="00647C6B">
      <w:pPr>
        <w:pStyle w:val="subsection"/>
      </w:pPr>
      <w:r w:rsidRPr="00A058B6">
        <w:tab/>
        <w:t>(2)</w:t>
      </w:r>
      <w:r w:rsidRPr="00A058B6">
        <w:tab/>
        <w:t>The method is:</w:t>
      </w:r>
    </w:p>
    <w:p w14:paraId="36977752" w14:textId="4405733E" w:rsidR="00647C6B" w:rsidRPr="00A058B6" w:rsidRDefault="00010926" w:rsidP="00647C6B">
      <w:pPr>
        <w:pStyle w:val="subsection2"/>
      </w:pPr>
      <w:r w:rsidRPr="004A7746">
        <w:rPr>
          <w:position w:val="-24"/>
        </w:rPr>
        <w:object w:dxaOrig="2760" w:dyaOrig="700" w14:anchorId="74754D52">
          <v:shape id="_x0000_i1066" type="#_x0000_t75" alt="Start formula open bracket 75 per cent times PV subscript ls close bracket plus open bracket 25 per cent times PV subscript p close bracket end formula" style="width:138.5pt;height:34.85pt" o:ole="">
            <v:imagedata r:id="rId118" o:title=""/>
          </v:shape>
          <o:OLEObject Type="Embed" ProgID="Equation.DSMT4" ShapeID="_x0000_i1066" DrawAspect="Content" ObjectID="_1801634295" r:id="rId119"/>
        </w:object>
      </w:r>
    </w:p>
    <w:p w14:paraId="6BC947EC" w14:textId="77777777" w:rsidR="00647C6B" w:rsidRPr="00A058B6" w:rsidRDefault="00647C6B" w:rsidP="00637886">
      <w:pPr>
        <w:pStyle w:val="subsection2"/>
      </w:pPr>
      <w:r w:rsidRPr="00A058B6">
        <w:t>where:</w:t>
      </w:r>
    </w:p>
    <w:p w14:paraId="23D91F59" w14:textId="3006EE34" w:rsidR="00647C6B" w:rsidRPr="00A058B6" w:rsidRDefault="00647C6B" w:rsidP="00647C6B">
      <w:pPr>
        <w:pStyle w:val="Definition"/>
      </w:pPr>
      <w:r w:rsidRPr="00A058B6">
        <w:rPr>
          <w:b/>
          <w:i/>
        </w:rPr>
        <w:t>PV</w:t>
      </w:r>
      <w:r w:rsidRPr="00A058B6">
        <w:rPr>
          <w:b/>
          <w:i/>
          <w:vertAlign w:val="subscript"/>
        </w:rPr>
        <w:t>ls</w:t>
      </w:r>
      <w:r w:rsidRPr="00A058B6">
        <w:t xml:space="preserve"> </w:t>
      </w:r>
      <w:r w:rsidR="00F55E7A">
        <w:t>means</w:t>
      </w:r>
      <w:r w:rsidR="00F55E7A" w:rsidRPr="00A058B6">
        <w:t xml:space="preserve"> </w:t>
      </w:r>
      <w:r w:rsidRPr="00A058B6">
        <w:t xml:space="preserve">the present value of the lump sum that would apply if the whole benefit were to be taken as a lump sum, calculated using the method set out in </w:t>
      </w:r>
      <w:r w:rsidR="00AB0143">
        <w:t>Part 2</w:t>
      </w:r>
      <w:r w:rsidRPr="00A058B6">
        <w:t xml:space="preserve"> of this Schedule</w:t>
      </w:r>
      <w:r w:rsidR="00D7157D">
        <w:t>.</w:t>
      </w:r>
    </w:p>
    <w:p w14:paraId="5B94617D" w14:textId="77777777" w:rsidR="003B33EE" w:rsidRDefault="00647C6B" w:rsidP="00647C6B">
      <w:pPr>
        <w:pStyle w:val="Definition"/>
      </w:pPr>
      <w:r w:rsidRPr="00A058B6">
        <w:rPr>
          <w:b/>
          <w:i/>
        </w:rPr>
        <w:t>PV</w:t>
      </w:r>
      <w:r w:rsidRPr="00A058B6">
        <w:rPr>
          <w:b/>
          <w:i/>
          <w:vertAlign w:val="subscript"/>
        </w:rPr>
        <w:t>p</w:t>
      </w:r>
      <w:r w:rsidRPr="00A058B6">
        <w:t xml:space="preserve"> </w:t>
      </w:r>
      <w:r w:rsidR="00F55E7A">
        <w:t>means</w:t>
      </w:r>
      <w:r w:rsidR="00F55E7A" w:rsidRPr="00A058B6">
        <w:t xml:space="preserve"> </w:t>
      </w:r>
      <w:r w:rsidRPr="00A058B6">
        <w:t>the present value of the pension that would apply if the whole benefit were to be taken as a pension, calculated using the method</w:t>
      </w:r>
      <w:r w:rsidR="003B33EE">
        <w:t>:</w:t>
      </w:r>
    </w:p>
    <w:p w14:paraId="666CCF2D" w14:textId="77777777" w:rsidR="00647C6B" w:rsidRDefault="003B33EE" w:rsidP="003B33EE">
      <w:pPr>
        <w:pStyle w:val="paragraph"/>
      </w:pPr>
      <w:r>
        <w:tab/>
        <w:t>(a)</w:t>
      </w:r>
      <w:r>
        <w:tab/>
      </w:r>
      <w:r w:rsidR="00647C6B" w:rsidRPr="00A058B6">
        <w:t xml:space="preserve">set out in </w:t>
      </w:r>
      <w:r w:rsidR="006211C7">
        <w:t>Part 3</w:t>
      </w:r>
      <w:r w:rsidR="00647C6B" w:rsidRPr="00A058B6">
        <w:t xml:space="preserve"> of this Schedule</w:t>
      </w:r>
      <w:r>
        <w:t>; or</w:t>
      </w:r>
    </w:p>
    <w:p w14:paraId="7754D839" w14:textId="77777777" w:rsidR="003B33EE" w:rsidRDefault="003B33EE" w:rsidP="003B33EE">
      <w:pPr>
        <w:pStyle w:val="paragraph"/>
      </w:pPr>
      <w:r>
        <w:tab/>
        <w:t>(b)</w:t>
      </w:r>
      <w:r>
        <w:tab/>
      </w:r>
      <w:r w:rsidR="007005F4">
        <w:t xml:space="preserve">that </w:t>
      </w:r>
      <w:r w:rsidR="006C3F56">
        <w:t>appl</w:t>
      </w:r>
      <w:r w:rsidR="007005F4">
        <w:t>ies</w:t>
      </w:r>
      <w:r w:rsidR="006C3F56">
        <w:t xml:space="preserve"> because of </w:t>
      </w:r>
      <w:r w:rsidR="00E84409">
        <w:t>Part 4</w:t>
      </w:r>
      <w:r w:rsidR="006C3F56">
        <w:t xml:space="preserve"> of this Schedule</w:t>
      </w:r>
      <w:r w:rsidR="00D7157D">
        <w:t>.</w:t>
      </w:r>
    </w:p>
    <w:p w14:paraId="0CF7EB9C" w14:textId="63AF1191" w:rsidR="007005F4" w:rsidRPr="007005F4" w:rsidRDefault="007005F4" w:rsidP="007005F4">
      <w:pPr>
        <w:pStyle w:val="notetext"/>
      </w:pPr>
      <w:r>
        <w:t>Note:</w:t>
      </w:r>
      <w:r>
        <w:tab/>
      </w:r>
      <w:r w:rsidR="002F5047">
        <w:t xml:space="preserve">If </w:t>
      </w:r>
      <w:r w:rsidR="00E84409">
        <w:t>Part 4</w:t>
      </w:r>
      <w:r>
        <w:t xml:space="preserve"> </w:t>
      </w:r>
      <w:r w:rsidR="002F5047">
        <w:t>applies, then</w:t>
      </w:r>
      <w:r>
        <w:t xml:space="preserve"> a method in </w:t>
      </w:r>
      <w:r w:rsidR="00AB0143">
        <w:t>Part 2</w:t>
      </w:r>
      <w:r w:rsidR="002F5047">
        <w:t xml:space="preserve"> or 3 of </w:t>
      </w:r>
      <w:r w:rsidR="006211C7">
        <w:t>Schedule </w:t>
      </w:r>
      <w:r w:rsidR="00E5068A">
        <w:t>5</w:t>
      </w:r>
      <w:r w:rsidR="002F5047">
        <w:t xml:space="preserve"> applies</w:t>
      </w:r>
      <w:r w:rsidR="00D7157D">
        <w:t>.</w:t>
      </w:r>
    </w:p>
    <w:p w14:paraId="1E167E8A" w14:textId="3B4B08ED" w:rsidR="00647C6B" w:rsidRPr="00A058B6" w:rsidRDefault="00D7157D" w:rsidP="00647C6B">
      <w:pPr>
        <w:pStyle w:val="ActHead5"/>
      </w:pPr>
      <w:bookmarkStart w:id="276" w:name="_Toc188350754"/>
      <w:r w:rsidRPr="00423C34">
        <w:rPr>
          <w:rStyle w:val="CharSectno"/>
        </w:rPr>
        <w:t>36</w:t>
      </w:r>
      <w:r w:rsidR="00647C6B" w:rsidRPr="00A058B6">
        <w:t xml:space="preserve">  Method—restriction on proportion of pension that may be commuted to lump sum</w:t>
      </w:r>
      <w:bookmarkEnd w:id="276"/>
    </w:p>
    <w:p w14:paraId="600136D1" w14:textId="77777777" w:rsidR="00647C6B" w:rsidRPr="00A058B6" w:rsidRDefault="00647C6B" w:rsidP="00647C6B">
      <w:pPr>
        <w:pStyle w:val="subsection"/>
      </w:pPr>
      <w:r w:rsidRPr="00A058B6">
        <w:tab/>
        <w:t>(1)</w:t>
      </w:r>
      <w:r w:rsidRPr="00A058B6">
        <w:tab/>
        <w:t>This clause applies if:</w:t>
      </w:r>
    </w:p>
    <w:p w14:paraId="29A0E318" w14:textId="77777777" w:rsidR="00647C6B" w:rsidRPr="00A058B6" w:rsidRDefault="00647C6B" w:rsidP="00647C6B">
      <w:pPr>
        <w:pStyle w:val="paragraph"/>
      </w:pPr>
      <w:r w:rsidRPr="00A058B6">
        <w:tab/>
        <w:t>(a)</w:t>
      </w:r>
      <w:r w:rsidRPr="00A058B6">
        <w:tab/>
        <w:t>the benefit in respect of the interest is payable as a pension; and</w:t>
      </w:r>
    </w:p>
    <w:p w14:paraId="1C34CA2A" w14:textId="77777777" w:rsidR="00647C6B" w:rsidRPr="00A058B6" w:rsidRDefault="00647C6B" w:rsidP="00647C6B">
      <w:pPr>
        <w:pStyle w:val="paragraph"/>
      </w:pPr>
      <w:r w:rsidRPr="00A058B6">
        <w:tab/>
        <w:t>(b)</w:t>
      </w:r>
      <w:r w:rsidRPr="00A058B6">
        <w:tab/>
        <w:t>the governing rules of the eligible superannuation plan in which the interest is held restrict the proportion of the pension that may be commuted to a lump sum</w:t>
      </w:r>
      <w:r w:rsidR="00D7157D">
        <w:t>.</w:t>
      </w:r>
    </w:p>
    <w:p w14:paraId="303C7ACF" w14:textId="77777777" w:rsidR="00647C6B" w:rsidRPr="00A058B6" w:rsidRDefault="00647C6B" w:rsidP="00647C6B">
      <w:pPr>
        <w:pStyle w:val="subsection"/>
      </w:pPr>
      <w:r w:rsidRPr="00A058B6">
        <w:tab/>
        <w:t>(2)</w:t>
      </w:r>
      <w:r w:rsidRPr="00A058B6">
        <w:tab/>
        <w:t>The method is:</w:t>
      </w:r>
    </w:p>
    <w:p w14:paraId="1B4030F7" w14:textId="73DCF13C" w:rsidR="008D7DCF" w:rsidRDefault="00572AD0" w:rsidP="008D7DCF">
      <w:pPr>
        <w:pStyle w:val="subsection2"/>
      </w:pPr>
      <w:r w:rsidRPr="00E61469">
        <w:rPr>
          <w:position w:val="-26"/>
        </w:rPr>
        <w:object w:dxaOrig="3820" w:dyaOrig="720" w14:anchorId="532441B7">
          <v:shape id="_x0000_i1067" type="#_x0000_t75" alt="Start formula open bracket Max subscript ls subscript per cent times PV subscript ls close bracket plus open bracket open bracket 1 minus Max subscript ls subscript per cent close bracket times PV subscript p close bracket end formula" style="width:189.85pt;height:37.15pt" o:ole="">
            <v:imagedata r:id="rId120" o:title=""/>
          </v:shape>
          <o:OLEObject Type="Embed" ProgID="Equation.DSMT4" ShapeID="_x0000_i1067" DrawAspect="Content" ObjectID="_1801634296" r:id="rId121"/>
        </w:object>
      </w:r>
    </w:p>
    <w:p w14:paraId="08A33E70" w14:textId="77777777" w:rsidR="00647C6B" w:rsidRPr="00A058B6" w:rsidRDefault="00647C6B" w:rsidP="00647C6B">
      <w:pPr>
        <w:pStyle w:val="subsection2"/>
      </w:pPr>
      <w:r w:rsidRPr="00A058B6">
        <w:t>where:</w:t>
      </w:r>
    </w:p>
    <w:p w14:paraId="799F05D5" w14:textId="77777777" w:rsidR="00647C6B" w:rsidRPr="00A058B6" w:rsidRDefault="00647C6B" w:rsidP="00647C6B">
      <w:pPr>
        <w:pStyle w:val="Definition"/>
      </w:pPr>
      <w:r w:rsidRPr="00A058B6">
        <w:rPr>
          <w:b/>
          <w:i/>
        </w:rPr>
        <w:t>Max</w:t>
      </w:r>
      <w:r w:rsidRPr="00A058B6">
        <w:rPr>
          <w:b/>
          <w:i/>
          <w:vertAlign w:val="subscript"/>
        </w:rPr>
        <w:t>ls%</w:t>
      </w:r>
      <w:r w:rsidRPr="00A058B6">
        <w:t xml:space="preserve"> </w:t>
      </w:r>
      <w:r w:rsidR="00F55E7A">
        <w:t>means</w:t>
      </w:r>
      <w:r w:rsidRPr="00A058B6">
        <w:t>:</w:t>
      </w:r>
    </w:p>
    <w:p w14:paraId="64AFB097" w14:textId="77777777" w:rsidR="00647C6B" w:rsidRPr="00A058B6" w:rsidRDefault="00647C6B" w:rsidP="00647C6B">
      <w:pPr>
        <w:pStyle w:val="paragraph"/>
      </w:pPr>
      <w:r w:rsidRPr="00A058B6">
        <w:tab/>
        <w:t>(a)</w:t>
      </w:r>
      <w:r w:rsidRPr="00A058B6">
        <w:tab/>
        <w:t>the maximum possible amount of pension that may be commuted to a lump sum, expressed as a percentage of the amount of the pension that would be payable if the whole benefit were to be taken as a pension; or</w:t>
      </w:r>
    </w:p>
    <w:p w14:paraId="43168691" w14:textId="420724A9" w:rsidR="00647C6B" w:rsidRPr="00A058B6" w:rsidRDefault="00647C6B" w:rsidP="00647C6B">
      <w:pPr>
        <w:pStyle w:val="paragraph"/>
      </w:pPr>
      <w:r w:rsidRPr="00A058B6">
        <w:tab/>
        <w:t>(b)</w:t>
      </w:r>
      <w:r w:rsidRPr="00A058B6">
        <w:tab/>
        <w:t xml:space="preserve">if the percentage calculated under </w:t>
      </w:r>
      <w:r w:rsidR="00453C86">
        <w:t>paragraph (</w:t>
      </w:r>
      <w:r w:rsidRPr="00A058B6">
        <w:t>a) is greater than 25%—25%</w:t>
      </w:r>
      <w:r w:rsidR="00D7157D">
        <w:t>.</w:t>
      </w:r>
    </w:p>
    <w:p w14:paraId="5235503A" w14:textId="4CB50A99" w:rsidR="00647C6B" w:rsidRPr="00A058B6" w:rsidRDefault="00647C6B" w:rsidP="00647C6B">
      <w:pPr>
        <w:pStyle w:val="Definition"/>
      </w:pPr>
      <w:r w:rsidRPr="00A058B6">
        <w:rPr>
          <w:b/>
          <w:bCs/>
          <w:i/>
          <w:iCs/>
        </w:rPr>
        <w:t>PV</w:t>
      </w:r>
      <w:r w:rsidRPr="00A058B6">
        <w:rPr>
          <w:b/>
          <w:bCs/>
          <w:i/>
          <w:iCs/>
          <w:vertAlign w:val="subscript"/>
        </w:rPr>
        <w:t>ls</w:t>
      </w:r>
      <w:r w:rsidRPr="00A058B6">
        <w:t xml:space="preserve"> </w:t>
      </w:r>
      <w:r w:rsidR="00F55E7A">
        <w:t>means</w:t>
      </w:r>
      <w:r w:rsidR="00F55E7A" w:rsidRPr="00A058B6">
        <w:t xml:space="preserve"> </w:t>
      </w:r>
      <w:r w:rsidRPr="00A058B6">
        <w:t xml:space="preserve">the present value of the lump sum that would apply if the whole benefit could, and were to, be taken as a lump sum, calculated using the method set out in </w:t>
      </w:r>
      <w:r w:rsidR="00AB0143">
        <w:t>Part 2</w:t>
      </w:r>
      <w:r w:rsidRPr="00A058B6">
        <w:t xml:space="preserve"> of this Schedule</w:t>
      </w:r>
      <w:r w:rsidR="00D7157D">
        <w:t>.</w:t>
      </w:r>
    </w:p>
    <w:p w14:paraId="62539BF5" w14:textId="77777777" w:rsidR="008E79F9" w:rsidRDefault="00647C6B" w:rsidP="00647C6B">
      <w:pPr>
        <w:pStyle w:val="Definition"/>
      </w:pPr>
      <w:r w:rsidRPr="00A058B6">
        <w:rPr>
          <w:b/>
          <w:bCs/>
          <w:i/>
          <w:iCs/>
        </w:rPr>
        <w:t>PV</w:t>
      </w:r>
      <w:r w:rsidRPr="00A058B6">
        <w:rPr>
          <w:b/>
          <w:bCs/>
          <w:i/>
          <w:iCs/>
          <w:vertAlign w:val="subscript"/>
        </w:rPr>
        <w:t>p</w:t>
      </w:r>
      <w:r w:rsidRPr="00A058B6">
        <w:t xml:space="preserve"> </w:t>
      </w:r>
      <w:r w:rsidR="00F55E7A">
        <w:t>means</w:t>
      </w:r>
      <w:r w:rsidR="00F55E7A" w:rsidRPr="00A058B6">
        <w:t xml:space="preserve"> </w:t>
      </w:r>
      <w:r w:rsidRPr="00A058B6">
        <w:t>the present value of the pension that would apply if the whole benefit were to be taken as a pension, calculated using the method</w:t>
      </w:r>
      <w:r w:rsidR="008E79F9">
        <w:t>:</w:t>
      </w:r>
    </w:p>
    <w:p w14:paraId="3C92EC82" w14:textId="77777777" w:rsidR="008E79F9" w:rsidRDefault="008E79F9" w:rsidP="008E79F9">
      <w:pPr>
        <w:pStyle w:val="paragraph"/>
      </w:pPr>
      <w:r>
        <w:tab/>
        <w:t>(a)</w:t>
      </w:r>
      <w:r>
        <w:tab/>
      </w:r>
      <w:r w:rsidRPr="00A058B6">
        <w:t xml:space="preserve">set out in </w:t>
      </w:r>
      <w:r w:rsidR="006211C7">
        <w:t>Part 3</w:t>
      </w:r>
      <w:r w:rsidRPr="00A058B6">
        <w:t xml:space="preserve"> of this Schedule</w:t>
      </w:r>
      <w:r>
        <w:t>; or</w:t>
      </w:r>
    </w:p>
    <w:p w14:paraId="6B87FD48" w14:textId="77777777" w:rsidR="008E79F9" w:rsidRDefault="008E79F9" w:rsidP="008E79F9">
      <w:pPr>
        <w:pStyle w:val="paragraph"/>
      </w:pPr>
      <w:r>
        <w:tab/>
        <w:t>(b)</w:t>
      </w:r>
      <w:r>
        <w:tab/>
        <w:t xml:space="preserve">that applies because of </w:t>
      </w:r>
      <w:r w:rsidR="00E84409">
        <w:t>Part 4</w:t>
      </w:r>
      <w:r>
        <w:t xml:space="preserve"> of this Schedule</w:t>
      </w:r>
      <w:r w:rsidR="00D7157D">
        <w:t>.</w:t>
      </w:r>
    </w:p>
    <w:p w14:paraId="5B0CACFD" w14:textId="1F2A460A" w:rsidR="008E79F9" w:rsidRPr="007005F4" w:rsidRDefault="008E79F9" w:rsidP="008E79F9">
      <w:pPr>
        <w:pStyle w:val="notetext"/>
      </w:pPr>
      <w:r>
        <w:t>Note:</w:t>
      </w:r>
      <w:r>
        <w:tab/>
        <w:t xml:space="preserve">If </w:t>
      </w:r>
      <w:r w:rsidR="00E84409">
        <w:t>Part 4</w:t>
      </w:r>
      <w:r>
        <w:t xml:space="preserve"> applies, then a method in </w:t>
      </w:r>
      <w:r w:rsidR="00AB0143">
        <w:t>Part 2</w:t>
      </w:r>
      <w:r>
        <w:t xml:space="preserve"> or 3 of </w:t>
      </w:r>
      <w:r w:rsidR="006211C7">
        <w:t>Schedule </w:t>
      </w:r>
      <w:r w:rsidR="00592B0B">
        <w:t>5</w:t>
      </w:r>
      <w:r>
        <w:t xml:space="preserve"> applies</w:t>
      </w:r>
      <w:r w:rsidR="00D7157D">
        <w:t>.</w:t>
      </w:r>
    </w:p>
    <w:p w14:paraId="10554D3D" w14:textId="5309CF93" w:rsidR="00647C6B" w:rsidRPr="00A058B6" w:rsidRDefault="00D7157D" w:rsidP="00647C6B">
      <w:pPr>
        <w:pStyle w:val="ActHead5"/>
      </w:pPr>
      <w:bookmarkStart w:id="277" w:name="_Toc188350755"/>
      <w:r w:rsidRPr="00423C34">
        <w:rPr>
          <w:rStyle w:val="CharSectno"/>
        </w:rPr>
        <w:t>37</w:t>
      </w:r>
      <w:r w:rsidR="00647C6B" w:rsidRPr="00A058B6">
        <w:t xml:space="preserve">  Method—restriction on lump sum amount that may be converted to pension</w:t>
      </w:r>
      <w:bookmarkEnd w:id="277"/>
    </w:p>
    <w:p w14:paraId="3380E325" w14:textId="77777777" w:rsidR="00647C6B" w:rsidRPr="00A058B6" w:rsidRDefault="00647C6B" w:rsidP="00647C6B">
      <w:pPr>
        <w:pStyle w:val="subsection"/>
      </w:pPr>
      <w:r w:rsidRPr="00A058B6">
        <w:tab/>
        <w:t>(1)</w:t>
      </w:r>
      <w:r w:rsidRPr="00A058B6">
        <w:tab/>
        <w:t>This clause applies if:</w:t>
      </w:r>
    </w:p>
    <w:p w14:paraId="7296CEF1" w14:textId="77777777" w:rsidR="00647C6B" w:rsidRPr="00A058B6" w:rsidRDefault="00647C6B" w:rsidP="00647C6B">
      <w:pPr>
        <w:pStyle w:val="paragraph"/>
      </w:pPr>
      <w:r w:rsidRPr="00A058B6">
        <w:tab/>
        <w:t>(a)</w:t>
      </w:r>
      <w:r w:rsidRPr="00A058B6">
        <w:tab/>
        <w:t>the benefit in respect of the interest is payable as a lump sum; and</w:t>
      </w:r>
    </w:p>
    <w:p w14:paraId="1E8DDEDA" w14:textId="77777777" w:rsidR="00647C6B" w:rsidRPr="00A058B6" w:rsidRDefault="00647C6B" w:rsidP="00647C6B">
      <w:pPr>
        <w:pStyle w:val="paragraph"/>
      </w:pPr>
      <w:r w:rsidRPr="00A058B6">
        <w:tab/>
        <w:t>(b)</w:t>
      </w:r>
      <w:r w:rsidRPr="00A058B6">
        <w:tab/>
        <w:t>the governing rules of the eligible superannuation plan in which the interest is held restrict the amount of the lump sum that may be converted to a pension</w:t>
      </w:r>
      <w:r w:rsidR="00D7157D">
        <w:t>.</w:t>
      </w:r>
    </w:p>
    <w:p w14:paraId="43AB08DE" w14:textId="77777777" w:rsidR="00647C6B" w:rsidRPr="00A058B6" w:rsidRDefault="00647C6B" w:rsidP="00647C6B">
      <w:pPr>
        <w:pStyle w:val="subsection"/>
      </w:pPr>
      <w:r w:rsidRPr="00A058B6">
        <w:tab/>
        <w:t>(2)</w:t>
      </w:r>
      <w:r w:rsidRPr="00A058B6">
        <w:tab/>
        <w:t>The method is:</w:t>
      </w:r>
    </w:p>
    <w:p w14:paraId="138004EB" w14:textId="1D158BC3" w:rsidR="00CD1AFE" w:rsidRDefault="00572AD0" w:rsidP="00CD1AFE">
      <w:pPr>
        <w:pStyle w:val="subsection2"/>
      </w:pPr>
      <w:r w:rsidRPr="009B2237">
        <w:rPr>
          <w:position w:val="-26"/>
        </w:rPr>
        <w:object w:dxaOrig="3780" w:dyaOrig="720" w14:anchorId="30F9FE4B">
          <v:shape id="_x0000_i1068" type="#_x0000_t75" alt="Start formula open bracket open bracket one minus Max subscript p subscript per cent close bracket times PV subscript ls close bracket plus open bracket Max subscript p subscript per cent times PV subscript p close bracket end formula" style="width:185.25pt;height:37.15pt" o:ole="">
            <v:imagedata r:id="rId122" o:title=""/>
          </v:shape>
          <o:OLEObject Type="Embed" ProgID="Equation.DSMT4" ShapeID="_x0000_i1068" DrawAspect="Content" ObjectID="_1801634297" r:id="rId123"/>
        </w:object>
      </w:r>
    </w:p>
    <w:p w14:paraId="31495DCD" w14:textId="77777777" w:rsidR="00647C6B" w:rsidRPr="00A058B6" w:rsidRDefault="00647C6B" w:rsidP="00647C6B">
      <w:pPr>
        <w:pStyle w:val="subsection2"/>
      </w:pPr>
      <w:r w:rsidRPr="00A058B6">
        <w:t>where:</w:t>
      </w:r>
    </w:p>
    <w:p w14:paraId="66A03E50" w14:textId="77777777" w:rsidR="00647C6B" w:rsidRPr="00A058B6" w:rsidRDefault="00647C6B" w:rsidP="00647C6B">
      <w:pPr>
        <w:pStyle w:val="Definition"/>
      </w:pPr>
      <w:r w:rsidRPr="00A058B6">
        <w:rPr>
          <w:b/>
          <w:i/>
        </w:rPr>
        <w:t>Max</w:t>
      </w:r>
      <w:r w:rsidRPr="00A058B6">
        <w:rPr>
          <w:b/>
          <w:i/>
          <w:vertAlign w:val="subscript"/>
        </w:rPr>
        <w:t>p%</w:t>
      </w:r>
      <w:r w:rsidRPr="00A058B6">
        <w:t xml:space="preserve"> </w:t>
      </w:r>
      <w:r w:rsidR="00F55E7A">
        <w:t>means</w:t>
      </w:r>
      <w:r w:rsidRPr="00A058B6">
        <w:t>:</w:t>
      </w:r>
    </w:p>
    <w:p w14:paraId="2C836FC9" w14:textId="77777777" w:rsidR="00647C6B" w:rsidRPr="00A058B6" w:rsidRDefault="00647C6B" w:rsidP="00647C6B">
      <w:pPr>
        <w:pStyle w:val="paragraph"/>
      </w:pPr>
      <w:r w:rsidRPr="00A058B6">
        <w:tab/>
        <w:t>(a)</w:t>
      </w:r>
      <w:r w:rsidRPr="00A058B6">
        <w:tab/>
        <w:t>the maximum possible amount of lump sum that may be converted to a pension</w:t>
      </w:r>
      <w:r w:rsidR="00637886">
        <w:t>,</w:t>
      </w:r>
      <w:r w:rsidRPr="00A058B6">
        <w:t xml:space="preserve"> expressed as a percentage of the amount of the lump sum that would be payable if the whole benefit were to be taken as a lump sum; or</w:t>
      </w:r>
    </w:p>
    <w:p w14:paraId="49643B00" w14:textId="19112C28" w:rsidR="00647C6B" w:rsidRPr="00A058B6" w:rsidRDefault="00647C6B" w:rsidP="00647C6B">
      <w:pPr>
        <w:pStyle w:val="paragraph"/>
      </w:pPr>
      <w:r w:rsidRPr="00A058B6">
        <w:tab/>
        <w:t>(b)</w:t>
      </w:r>
      <w:r w:rsidRPr="00A058B6">
        <w:tab/>
        <w:t xml:space="preserve">if the percentage calculated under </w:t>
      </w:r>
      <w:r w:rsidR="00453C86">
        <w:t>paragraph (</w:t>
      </w:r>
      <w:r w:rsidRPr="00A058B6">
        <w:t>a) is greater than 75%—75%</w:t>
      </w:r>
      <w:r w:rsidR="00D7157D">
        <w:t>.</w:t>
      </w:r>
    </w:p>
    <w:p w14:paraId="253845B2" w14:textId="73375A81" w:rsidR="00647C6B" w:rsidRPr="00A058B6" w:rsidRDefault="00647C6B" w:rsidP="00647C6B">
      <w:pPr>
        <w:pStyle w:val="Definition"/>
      </w:pPr>
      <w:r w:rsidRPr="00A058B6">
        <w:rPr>
          <w:b/>
          <w:bCs/>
          <w:i/>
          <w:iCs/>
        </w:rPr>
        <w:t>PV</w:t>
      </w:r>
      <w:r w:rsidRPr="00A058B6">
        <w:rPr>
          <w:b/>
          <w:bCs/>
          <w:i/>
          <w:iCs/>
          <w:vertAlign w:val="subscript"/>
        </w:rPr>
        <w:t>ls</w:t>
      </w:r>
      <w:r w:rsidRPr="00A058B6">
        <w:t xml:space="preserve"> </w:t>
      </w:r>
      <w:r w:rsidR="00F55E7A">
        <w:t>means</w:t>
      </w:r>
      <w:r w:rsidR="00F55E7A" w:rsidRPr="00A058B6">
        <w:t xml:space="preserve"> </w:t>
      </w:r>
      <w:r w:rsidRPr="00A058B6">
        <w:t xml:space="preserve">the present value of the lump sum that would apply if the whole benefit were to be taken as a lump sum, calculated using the method set out in </w:t>
      </w:r>
      <w:r w:rsidR="00AB0143">
        <w:t>Part 2</w:t>
      </w:r>
      <w:r w:rsidRPr="00A058B6">
        <w:t xml:space="preserve"> of this Schedule</w:t>
      </w:r>
      <w:r w:rsidR="00D7157D">
        <w:t>.</w:t>
      </w:r>
    </w:p>
    <w:p w14:paraId="7AD67735" w14:textId="77777777" w:rsidR="008E79F9" w:rsidRDefault="00647C6B" w:rsidP="00647C6B">
      <w:pPr>
        <w:pStyle w:val="Definition"/>
      </w:pPr>
      <w:r w:rsidRPr="00A058B6">
        <w:rPr>
          <w:b/>
          <w:bCs/>
          <w:i/>
          <w:iCs/>
        </w:rPr>
        <w:t>PV</w:t>
      </w:r>
      <w:r w:rsidRPr="00A058B6">
        <w:rPr>
          <w:b/>
          <w:bCs/>
          <w:i/>
          <w:iCs/>
          <w:vertAlign w:val="subscript"/>
        </w:rPr>
        <w:t>p</w:t>
      </w:r>
      <w:r w:rsidRPr="00A058B6">
        <w:t xml:space="preserve"> </w:t>
      </w:r>
      <w:r w:rsidR="00F55E7A">
        <w:t>means</w:t>
      </w:r>
      <w:r w:rsidR="00F55E7A" w:rsidRPr="00A058B6">
        <w:t xml:space="preserve"> </w:t>
      </w:r>
      <w:r w:rsidRPr="00A058B6">
        <w:t>the present value of the pension that would apply if the whole benefit could, and were to, be taken as a pension, calculated using the method</w:t>
      </w:r>
      <w:r w:rsidR="008E79F9">
        <w:t>:</w:t>
      </w:r>
    </w:p>
    <w:p w14:paraId="10A81947" w14:textId="77777777" w:rsidR="008E79F9" w:rsidRDefault="008E79F9" w:rsidP="008E79F9">
      <w:pPr>
        <w:pStyle w:val="paragraph"/>
      </w:pPr>
      <w:r>
        <w:tab/>
        <w:t>(a)</w:t>
      </w:r>
      <w:r>
        <w:tab/>
      </w:r>
      <w:r w:rsidRPr="00A058B6">
        <w:t xml:space="preserve">set out in </w:t>
      </w:r>
      <w:r w:rsidR="006211C7">
        <w:t>Part 3</w:t>
      </w:r>
      <w:r w:rsidRPr="00A058B6">
        <w:t xml:space="preserve"> of this Schedule</w:t>
      </w:r>
      <w:r>
        <w:t>; or</w:t>
      </w:r>
    </w:p>
    <w:p w14:paraId="1BDE775C" w14:textId="77777777" w:rsidR="008E79F9" w:rsidRDefault="008E79F9" w:rsidP="008E79F9">
      <w:pPr>
        <w:pStyle w:val="paragraph"/>
      </w:pPr>
      <w:r>
        <w:tab/>
        <w:t>(b)</w:t>
      </w:r>
      <w:r>
        <w:tab/>
        <w:t xml:space="preserve">that applies because of </w:t>
      </w:r>
      <w:r w:rsidR="00E84409">
        <w:t>Part 4</w:t>
      </w:r>
      <w:r>
        <w:t xml:space="preserve"> of this Schedule</w:t>
      </w:r>
      <w:r w:rsidR="00D7157D">
        <w:t>.</w:t>
      </w:r>
    </w:p>
    <w:p w14:paraId="4095D199" w14:textId="3ABE9B3C" w:rsidR="008E79F9" w:rsidRPr="007005F4" w:rsidRDefault="008E79F9" w:rsidP="008E79F9">
      <w:pPr>
        <w:pStyle w:val="notetext"/>
      </w:pPr>
      <w:r>
        <w:t>Note:</w:t>
      </w:r>
      <w:r>
        <w:tab/>
        <w:t xml:space="preserve">If </w:t>
      </w:r>
      <w:r w:rsidR="00E84409">
        <w:t>Part 4</w:t>
      </w:r>
      <w:r>
        <w:t xml:space="preserve"> applies, then a method in </w:t>
      </w:r>
      <w:r w:rsidR="00AB0143">
        <w:t>Part 2</w:t>
      </w:r>
      <w:r>
        <w:t xml:space="preserve"> or 3 of </w:t>
      </w:r>
      <w:r w:rsidR="006211C7">
        <w:t>Schedule </w:t>
      </w:r>
      <w:r w:rsidR="00592B0B">
        <w:t>5</w:t>
      </w:r>
      <w:r>
        <w:t xml:space="preserve"> applies</w:t>
      </w:r>
      <w:r w:rsidR="00D7157D">
        <w:t>.</w:t>
      </w:r>
    </w:p>
    <w:p w14:paraId="4E96B7DE" w14:textId="61BAEAB5" w:rsidR="00647C6B" w:rsidRPr="00A058B6" w:rsidRDefault="00D7157D" w:rsidP="00647C6B">
      <w:pPr>
        <w:pStyle w:val="ActHead5"/>
      </w:pPr>
      <w:bookmarkStart w:id="278" w:name="_Toc188350756"/>
      <w:r w:rsidRPr="00423C34">
        <w:rPr>
          <w:rStyle w:val="CharSectno"/>
        </w:rPr>
        <w:t>38</w:t>
      </w:r>
      <w:r w:rsidR="00647C6B" w:rsidRPr="00A058B6">
        <w:t xml:space="preserve">  Conversion of accrued benefit multiple</w:t>
      </w:r>
      <w:bookmarkEnd w:id="278"/>
    </w:p>
    <w:p w14:paraId="07189EF6" w14:textId="0FF9F722" w:rsidR="00647C6B" w:rsidRPr="00A058B6" w:rsidRDefault="00647C6B" w:rsidP="00647C6B">
      <w:pPr>
        <w:pStyle w:val="subsection"/>
      </w:pPr>
      <w:r w:rsidRPr="00A058B6">
        <w:tab/>
        <w:t>(1)</w:t>
      </w:r>
      <w:r w:rsidRPr="00A058B6">
        <w:tab/>
        <w:t>For the purpose of calculating the value of PV</w:t>
      </w:r>
      <w:r w:rsidRPr="00A058B6">
        <w:rPr>
          <w:vertAlign w:val="subscript"/>
        </w:rPr>
        <w:t>ls</w:t>
      </w:r>
      <w:r w:rsidRPr="00A058B6">
        <w:t xml:space="preserve"> under subclause </w:t>
      </w:r>
      <w:r w:rsidR="00D7157D">
        <w:t>35</w:t>
      </w:r>
      <w:r w:rsidRPr="00A058B6">
        <w:t xml:space="preserve">(2), </w:t>
      </w:r>
      <w:r w:rsidR="00D7157D">
        <w:t>36</w:t>
      </w:r>
      <w:r w:rsidRPr="00A058B6">
        <w:t xml:space="preserve">(2) or </w:t>
      </w:r>
      <w:r w:rsidR="00D7157D">
        <w:t>37</w:t>
      </w:r>
      <w:r w:rsidRPr="00A058B6">
        <w:t xml:space="preserve">(2) of this Schedule, if the accrued benefit multiple provided by the trustee under </w:t>
      </w:r>
      <w:r w:rsidR="00AF1E4E">
        <w:t>section 9</w:t>
      </w:r>
      <w:r w:rsidRPr="00A058B6">
        <w:t>0XZB or 90YZR of the Act is expressed as a pension multiple, the multiple must be converted to a lump sum multiple using the commutation factor provided by the trustee under that section</w:t>
      </w:r>
      <w:r w:rsidR="00D7157D">
        <w:t>.</w:t>
      </w:r>
    </w:p>
    <w:p w14:paraId="5696F8A4" w14:textId="4A7CC6E8" w:rsidR="00647C6B" w:rsidRPr="00A058B6" w:rsidRDefault="00647C6B" w:rsidP="00647C6B">
      <w:pPr>
        <w:pStyle w:val="subsection"/>
      </w:pPr>
      <w:r w:rsidRPr="00A058B6">
        <w:tab/>
        <w:t>(2)</w:t>
      </w:r>
      <w:r w:rsidRPr="00A058B6">
        <w:tab/>
        <w:t>For the purpose of calculating the value of PV</w:t>
      </w:r>
      <w:r w:rsidRPr="00A058B6">
        <w:rPr>
          <w:vertAlign w:val="subscript"/>
        </w:rPr>
        <w:t>p</w:t>
      </w:r>
      <w:r w:rsidRPr="00A058B6">
        <w:t xml:space="preserve"> under subclause </w:t>
      </w:r>
      <w:r w:rsidR="00D7157D">
        <w:t>35</w:t>
      </w:r>
      <w:r w:rsidRPr="00A058B6">
        <w:t xml:space="preserve">(2), </w:t>
      </w:r>
      <w:r w:rsidR="00D7157D">
        <w:t>36</w:t>
      </w:r>
      <w:r w:rsidRPr="00A058B6">
        <w:t xml:space="preserve">(2) or </w:t>
      </w:r>
      <w:r w:rsidR="00D7157D">
        <w:t>37</w:t>
      </w:r>
      <w:r w:rsidRPr="00A058B6">
        <w:t xml:space="preserve">(2) of this Schedule, if the accrued benefit multiple provided by the trustee under </w:t>
      </w:r>
      <w:r w:rsidR="00AF1E4E">
        <w:t>section 9</w:t>
      </w:r>
      <w:r w:rsidRPr="00A058B6">
        <w:t>0XZB or 90YZR of the Act is expressed as a lump sum multiple, the multiple must be converted to a pension multiple using the conversion factor provided by the trustee under that section</w:t>
      </w:r>
      <w:r w:rsidR="00D7157D">
        <w:t>.</w:t>
      </w:r>
    </w:p>
    <w:p w14:paraId="78CD8B09" w14:textId="77777777" w:rsidR="00647C6B" w:rsidRPr="00A058B6" w:rsidRDefault="00E5077D" w:rsidP="00647C6B">
      <w:pPr>
        <w:pStyle w:val="ActHead2"/>
        <w:pageBreakBefore/>
      </w:pPr>
      <w:bookmarkStart w:id="279" w:name="_Toc188350757"/>
      <w:r w:rsidRPr="00423C34">
        <w:rPr>
          <w:rStyle w:val="CharPartNo"/>
        </w:rPr>
        <w:t>Part </w:t>
      </w:r>
      <w:r w:rsidR="00B64D57" w:rsidRPr="00423C34">
        <w:rPr>
          <w:rStyle w:val="CharPartNo"/>
        </w:rPr>
        <w:t>6</w:t>
      </w:r>
      <w:r w:rsidR="00647C6B" w:rsidRPr="00A058B6">
        <w:t>—</w:t>
      </w:r>
      <w:r w:rsidR="00647C6B" w:rsidRPr="00423C34">
        <w:rPr>
          <w:rStyle w:val="CharPartText"/>
        </w:rPr>
        <w:t>Interest relating to former employment—benefit payable only as lump sum</w:t>
      </w:r>
      <w:bookmarkEnd w:id="279"/>
    </w:p>
    <w:p w14:paraId="005BC1D9" w14:textId="77777777" w:rsidR="00637886" w:rsidRPr="00423C34" w:rsidRDefault="00637886" w:rsidP="00637886">
      <w:pPr>
        <w:pStyle w:val="Header"/>
      </w:pPr>
      <w:r w:rsidRPr="00423C34">
        <w:rPr>
          <w:rStyle w:val="CharDivNo"/>
        </w:rPr>
        <w:t xml:space="preserve"> </w:t>
      </w:r>
      <w:r w:rsidRPr="00423C34">
        <w:rPr>
          <w:rStyle w:val="CharDivText"/>
        </w:rPr>
        <w:t xml:space="preserve"> </w:t>
      </w:r>
    </w:p>
    <w:p w14:paraId="5B2852C2" w14:textId="2FE79D81" w:rsidR="00647C6B" w:rsidRPr="00A058B6" w:rsidRDefault="00D7157D" w:rsidP="00647C6B">
      <w:pPr>
        <w:pStyle w:val="ActHead5"/>
      </w:pPr>
      <w:bookmarkStart w:id="280" w:name="_Toc188350758"/>
      <w:r w:rsidRPr="00423C34">
        <w:rPr>
          <w:rStyle w:val="CharSectno"/>
        </w:rPr>
        <w:t>39</w:t>
      </w:r>
      <w:r w:rsidR="00647C6B" w:rsidRPr="00A058B6">
        <w:t xml:space="preserve">  Method—lump sum comprising different components</w:t>
      </w:r>
      <w:bookmarkEnd w:id="280"/>
    </w:p>
    <w:p w14:paraId="34FBCDC5" w14:textId="77777777" w:rsidR="00647C6B" w:rsidRPr="00A058B6" w:rsidRDefault="00647C6B" w:rsidP="00647C6B">
      <w:pPr>
        <w:pStyle w:val="subsection"/>
      </w:pPr>
      <w:r w:rsidRPr="00A058B6">
        <w:rPr>
          <w:color w:val="000000"/>
        </w:rPr>
        <w:tab/>
        <w:t>(1)</w:t>
      </w:r>
      <w:r w:rsidRPr="00A058B6">
        <w:rPr>
          <w:color w:val="000000"/>
        </w:rPr>
        <w:tab/>
        <w:t>This clause applies if the lump sum payable in respect of the interest comprises a number of components, the value of which will increase by different rates over the minimum deferral period</w:t>
      </w:r>
      <w:r w:rsidR="00D7157D">
        <w:rPr>
          <w:color w:val="000000"/>
        </w:rPr>
        <w:t>.</w:t>
      </w:r>
    </w:p>
    <w:p w14:paraId="3B11D901" w14:textId="77777777" w:rsidR="00647C6B" w:rsidRDefault="00647C6B" w:rsidP="00647C6B">
      <w:pPr>
        <w:pStyle w:val="subsection"/>
      </w:pPr>
      <w:r w:rsidRPr="00A058B6">
        <w:tab/>
        <w:t>(2)</w:t>
      </w:r>
      <w:r w:rsidRPr="00A058B6">
        <w:tab/>
        <w:t>The gross value of the interest is the sum of the gross value of each component comprising the lump sum, calculated as follows:</w:t>
      </w:r>
    </w:p>
    <w:p w14:paraId="36BEDE6B" w14:textId="1568A0A0" w:rsidR="001C14D7" w:rsidRPr="00A058B6" w:rsidRDefault="00BB6F27" w:rsidP="001C14D7">
      <w:pPr>
        <w:pStyle w:val="subsection2"/>
      </w:pPr>
      <w:r w:rsidRPr="009735C0">
        <w:rPr>
          <w:position w:val="-10"/>
        </w:rPr>
        <w:object w:dxaOrig="1040" w:dyaOrig="420" w14:anchorId="019D63E8">
          <v:shape id="_x0000_i1069" type="#_x0000_t75" alt="Start formula DB times D subscript y subscript plus subscript m end formula" style="width:52.75pt;height:19.7pt" o:ole="">
            <v:imagedata r:id="rId124" o:title=""/>
          </v:shape>
          <o:OLEObject Type="Embed" ProgID="Equation.DSMT4" ShapeID="_x0000_i1069" DrawAspect="Content" ObjectID="_1801634298" r:id="rId125"/>
        </w:object>
      </w:r>
    </w:p>
    <w:p w14:paraId="53678DA8" w14:textId="77777777" w:rsidR="00647C6B" w:rsidRPr="00A058B6" w:rsidRDefault="00647C6B" w:rsidP="00647C6B">
      <w:pPr>
        <w:pStyle w:val="subsection2"/>
      </w:pPr>
      <w:r w:rsidRPr="00A058B6">
        <w:rPr>
          <w:color w:val="000000"/>
        </w:rPr>
        <w:t>where:</w:t>
      </w:r>
    </w:p>
    <w:p w14:paraId="46B23741" w14:textId="77777777" w:rsidR="00647C6B" w:rsidRPr="00A058B6" w:rsidRDefault="00647C6B" w:rsidP="00647C6B">
      <w:pPr>
        <w:pStyle w:val="Definition"/>
      </w:pPr>
      <w:r w:rsidRPr="00A058B6">
        <w:rPr>
          <w:b/>
          <w:i/>
          <w:color w:val="000000"/>
        </w:rPr>
        <w:t>DB</w:t>
      </w:r>
      <w:r w:rsidRPr="00A058B6">
        <w:rPr>
          <w:color w:val="000000"/>
        </w:rPr>
        <w:t xml:space="preserve"> </w:t>
      </w:r>
      <w:r w:rsidR="00F55E7A">
        <w:t>means</w:t>
      </w:r>
      <w:r w:rsidR="00F55E7A" w:rsidRPr="00A058B6">
        <w:t xml:space="preserve"> </w:t>
      </w:r>
      <w:r w:rsidRPr="00A058B6">
        <w:rPr>
          <w:color w:val="000000"/>
        </w:rPr>
        <w:t>the nominal value of the component of the lump sum at the relevant date</w:t>
      </w:r>
      <w:r w:rsidR="00D7157D">
        <w:rPr>
          <w:color w:val="000000"/>
        </w:rPr>
        <w:t>.</w:t>
      </w:r>
    </w:p>
    <w:p w14:paraId="3DFE8E8E" w14:textId="77777777" w:rsidR="00647C6B" w:rsidRPr="00A058B6" w:rsidRDefault="00647C6B" w:rsidP="00647C6B">
      <w:pPr>
        <w:pStyle w:val="Definition"/>
      </w:pPr>
      <w:r w:rsidRPr="00A058B6">
        <w:rPr>
          <w:b/>
          <w:i/>
        </w:rPr>
        <w:t>D</w:t>
      </w:r>
      <w:r w:rsidRPr="00A058B6">
        <w:rPr>
          <w:b/>
          <w:i/>
          <w:vertAlign w:val="subscript"/>
        </w:rPr>
        <w:t>y+m</w:t>
      </w:r>
      <w:r w:rsidRPr="00A058B6">
        <w:t xml:space="preserve"> </w:t>
      </w:r>
      <w:r w:rsidR="00F55E7A">
        <w:t>means</w:t>
      </w:r>
      <w:r w:rsidR="00F55E7A" w:rsidRPr="00A058B6">
        <w:t xml:space="preserve"> </w:t>
      </w:r>
      <w:r w:rsidRPr="00A058B6">
        <w:t xml:space="preserve">the discount valuation factor calculated in accordance with </w:t>
      </w:r>
      <w:r w:rsidR="00B05FD6">
        <w:t>subclause (</w:t>
      </w:r>
      <w:r w:rsidRPr="00A058B6">
        <w:t>3)</w:t>
      </w:r>
      <w:r w:rsidR="00D7157D">
        <w:t>.</w:t>
      </w:r>
    </w:p>
    <w:p w14:paraId="69AFC489" w14:textId="77777777" w:rsidR="00647C6B" w:rsidRDefault="00647C6B" w:rsidP="00647C6B">
      <w:pPr>
        <w:pStyle w:val="subsection"/>
        <w:rPr>
          <w:color w:val="000000"/>
        </w:rPr>
      </w:pPr>
      <w:r w:rsidRPr="00A058B6">
        <w:rPr>
          <w:color w:val="000000"/>
        </w:rPr>
        <w:tab/>
        <w:t>(3)</w:t>
      </w:r>
      <w:r w:rsidRPr="00A058B6">
        <w:rPr>
          <w:color w:val="000000"/>
        </w:rPr>
        <w:tab/>
        <w:t xml:space="preserve">For the purposes of </w:t>
      </w:r>
      <w:r w:rsidR="00B05FD6">
        <w:rPr>
          <w:color w:val="000000"/>
        </w:rPr>
        <w:t>subclause (</w:t>
      </w:r>
      <w:r w:rsidRPr="00A058B6">
        <w:rPr>
          <w:color w:val="000000"/>
        </w:rPr>
        <w:t>2), D</w:t>
      </w:r>
      <w:r w:rsidRPr="00A058B6">
        <w:rPr>
          <w:color w:val="000000"/>
          <w:vertAlign w:val="subscript"/>
        </w:rPr>
        <w:t>y+m</w:t>
      </w:r>
      <w:r w:rsidRPr="00A058B6">
        <w:rPr>
          <w:color w:val="000000"/>
        </w:rPr>
        <w:t xml:space="preserve"> at the relevant date is:</w:t>
      </w:r>
    </w:p>
    <w:p w14:paraId="1713ABA4" w14:textId="71F1C8E8" w:rsidR="000C04F4" w:rsidRPr="00A058B6" w:rsidRDefault="00EB0A87" w:rsidP="000C04F4">
      <w:pPr>
        <w:pStyle w:val="subsection2"/>
      </w:pPr>
      <w:r w:rsidRPr="007C5386">
        <w:rPr>
          <w:position w:val="-44"/>
        </w:rPr>
        <w:object w:dxaOrig="3019" w:dyaOrig="1180" w14:anchorId="0E0E7AE6">
          <v:shape id="_x0000_i1070" type="#_x0000_t75" alt="Start formula start fraction open bracket D subscript y times open bracket 12 minus m close bracket close bracket plus open bracket D subscript y subscript plus subscript 1 times m close bracket over 12 end fraction end formula" style="width:153.15pt;height:61pt" o:ole="">
            <v:imagedata r:id="rId126" o:title=""/>
          </v:shape>
          <o:OLEObject Type="Embed" ProgID="Equation.DSMT4" ShapeID="_x0000_i1070" DrawAspect="Content" ObjectID="_1801634299" r:id="rId127"/>
        </w:object>
      </w:r>
    </w:p>
    <w:p w14:paraId="68AC6D52" w14:textId="77777777" w:rsidR="00647C6B" w:rsidRPr="00A058B6" w:rsidRDefault="00647C6B" w:rsidP="00647C6B">
      <w:pPr>
        <w:pStyle w:val="subsection2"/>
      </w:pPr>
      <w:r w:rsidRPr="00A058B6">
        <w:rPr>
          <w:color w:val="000000"/>
        </w:rPr>
        <w:t>where:</w:t>
      </w:r>
    </w:p>
    <w:p w14:paraId="39EACC37" w14:textId="62E15A9D" w:rsidR="00647C6B" w:rsidRPr="00A058B6" w:rsidRDefault="00647C6B" w:rsidP="00647C6B">
      <w:pPr>
        <w:pStyle w:val="Definition"/>
      </w:pPr>
      <w:r w:rsidRPr="00A058B6">
        <w:rPr>
          <w:b/>
          <w:bCs/>
          <w:i/>
          <w:iCs/>
          <w:color w:val="000000"/>
        </w:rPr>
        <w:t>D</w:t>
      </w:r>
      <w:r w:rsidRPr="00A058B6">
        <w:rPr>
          <w:b/>
          <w:bCs/>
          <w:i/>
          <w:iCs/>
          <w:color w:val="000000"/>
          <w:vertAlign w:val="subscript"/>
        </w:rPr>
        <w:t>y</w:t>
      </w:r>
      <w:r w:rsidRPr="00A058B6">
        <w:rPr>
          <w:color w:val="000000"/>
        </w:rPr>
        <w:t xml:space="preserve"> </w:t>
      </w:r>
      <w:r w:rsidR="00F55E7A">
        <w:t>means</w:t>
      </w:r>
      <w:r w:rsidR="00F55E7A" w:rsidRPr="00A058B6">
        <w:t xml:space="preserve"> </w:t>
      </w:r>
      <w:r w:rsidRPr="00A058B6">
        <w:rPr>
          <w:color w:val="000000"/>
        </w:rPr>
        <w:t xml:space="preserve">the discount valuation factor specified in </w:t>
      </w:r>
      <w:r w:rsidR="005A1165">
        <w:rPr>
          <w:color w:val="000000"/>
        </w:rPr>
        <w:t>clause </w:t>
      </w:r>
      <w:r w:rsidR="00D7157D">
        <w:rPr>
          <w:color w:val="000000"/>
        </w:rPr>
        <w:t>40</w:t>
      </w:r>
      <w:r w:rsidRPr="00A058B6">
        <w:rPr>
          <w:color w:val="000000"/>
        </w:rPr>
        <w:t xml:space="preserve"> in respect of the lump sum at the relevant date on the basis of the minimum deferral period (in complete years) applying to the lump sum at that date</w:t>
      </w:r>
      <w:r w:rsidR="00D7157D">
        <w:rPr>
          <w:color w:val="000000"/>
        </w:rPr>
        <w:t>.</w:t>
      </w:r>
    </w:p>
    <w:p w14:paraId="7FA92342" w14:textId="77777777" w:rsidR="00150AF1" w:rsidRPr="00A058B6" w:rsidRDefault="00150AF1" w:rsidP="00150AF1">
      <w:pPr>
        <w:pStyle w:val="Definition"/>
      </w:pPr>
      <w:r w:rsidRPr="00A058B6">
        <w:rPr>
          <w:b/>
          <w:bCs/>
          <w:i/>
          <w:iCs/>
        </w:rPr>
        <w:t>m</w:t>
      </w:r>
      <w:r w:rsidRPr="00A058B6">
        <w:t xml:space="preserve"> </w:t>
      </w:r>
      <w:r w:rsidR="00F55E7A">
        <w:t>means</w:t>
      </w:r>
      <w:r w:rsidR="00F55E7A" w:rsidRPr="00A058B6">
        <w:t xml:space="preserve"> </w:t>
      </w:r>
      <w:r w:rsidRPr="00A058B6">
        <w:t>the number of complete months of the minimum deferral period applicable to the lump sum at the relevant date that are not included in the remaining complete years of that period at that date</w:t>
      </w:r>
      <w:r w:rsidR="00D7157D">
        <w:t>.</w:t>
      </w:r>
    </w:p>
    <w:p w14:paraId="16BA8D8B" w14:textId="7A5E13FF" w:rsidR="00B94484" w:rsidRPr="00A058B6" w:rsidRDefault="00B94484" w:rsidP="00B94484">
      <w:pPr>
        <w:pStyle w:val="Definition"/>
      </w:pPr>
      <w:r w:rsidRPr="00A058B6">
        <w:rPr>
          <w:b/>
          <w:bCs/>
          <w:i/>
          <w:iCs/>
        </w:rPr>
        <w:t>D</w:t>
      </w:r>
      <w:r w:rsidRPr="00A058B6">
        <w:rPr>
          <w:b/>
          <w:bCs/>
          <w:i/>
          <w:iCs/>
          <w:vertAlign w:val="subscript"/>
        </w:rPr>
        <w:t>y+1</w:t>
      </w:r>
      <w:r w:rsidRPr="00A058B6">
        <w:t xml:space="preserve"> </w:t>
      </w:r>
      <w:r w:rsidR="00F55E7A">
        <w:t>means</w:t>
      </w:r>
      <w:r w:rsidR="00F55E7A" w:rsidRPr="00A058B6">
        <w:t xml:space="preserve"> </w:t>
      </w:r>
      <w:r w:rsidRPr="00A058B6">
        <w:t xml:space="preserve">the discount valuation factor specified in </w:t>
      </w:r>
      <w:r w:rsidR="005A1165">
        <w:t>clause </w:t>
      </w:r>
      <w:r w:rsidR="00D7157D">
        <w:t>40</w:t>
      </w:r>
      <w:r w:rsidRPr="00A058B6">
        <w:t xml:space="preserve"> that would apply in respect of the lump sum at the relevant date if the minimum deferral period (in complete years) applying to the lump sum at that date were one year more than the minimum deferral period applying to the lump sum at that date</w:t>
      </w:r>
      <w:r w:rsidR="00D7157D">
        <w:t>.</w:t>
      </w:r>
    </w:p>
    <w:p w14:paraId="0DD4DD00" w14:textId="77777777" w:rsidR="00647C6B" w:rsidRPr="00A058B6" w:rsidRDefault="00647C6B" w:rsidP="00647C6B">
      <w:pPr>
        <w:pStyle w:val="subsection"/>
      </w:pPr>
      <w:r w:rsidRPr="00A058B6">
        <w:rPr>
          <w:color w:val="000000"/>
        </w:rPr>
        <w:tab/>
        <w:t>(4)</w:t>
      </w:r>
      <w:r w:rsidRPr="00A058B6">
        <w:rPr>
          <w:color w:val="000000"/>
        </w:rPr>
        <w:tab/>
        <w:t xml:space="preserve">For the purpose of calculating the discount valuation factor under </w:t>
      </w:r>
      <w:r w:rsidR="00B05FD6">
        <w:rPr>
          <w:color w:val="000000"/>
        </w:rPr>
        <w:t>subclause (</w:t>
      </w:r>
      <w:r w:rsidRPr="00A058B6">
        <w:rPr>
          <w:color w:val="000000"/>
        </w:rPr>
        <w:t>3):</w:t>
      </w:r>
    </w:p>
    <w:p w14:paraId="3A2EF1C3" w14:textId="77777777" w:rsidR="00647C6B" w:rsidRPr="00A058B6" w:rsidRDefault="00647C6B" w:rsidP="00647C6B">
      <w:pPr>
        <w:pStyle w:val="Definition"/>
      </w:pPr>
      <w:r w:rsidRPr="00A058B6">
        <w:rPr>
          <w:b/>
          <w:i/>
          <w:color w:val="000000"/>
        </w:rPr>
        <w:t>minimum deferral period</w:t>
      </w:r>
      <w:r w:rsidRPr="00A058B6">
        <w:rPr>
          <w:color w:val="000000"/>
        </w:rPr>
        <w:t>, in relation to the benefit payable to the member spouse in respect of the interest, means the period until the earliest date at which the benefit may be paid (other than for death or disability)</w:t>
      </w:r>
      <w:r w:rsidR="00D7157D">
        <w:rPr>
          <w:color w:val="000000"/>
        </w:rPr>
        <w:t>.</w:t>
      </w:r>
    </w:p>
    <w:p w14:paraId="35FD987D" w14:textId="77777777" w:rsidR="00647C6B" w:rsidRPr="00A058B6" w:rsidRDefault="00647C6B" w:rsidP="00647C6B">
      <w:pPr>
        <w:pStyle w:val="Definition"/>
      </w:pPr>
      <w:r w:rsidRPr="00A058B6">
        <w:rPr>
          <w:b/>
          <w:i/>
        </w:rPr>
        <w:t>nominal value</w:t>
      </w:r>
      <w:r w:rsidRPr="00A058B6">
        <w:t>, of a component of a lump sum payable in respect of a superannuation interest at a particular date, means the amount of the component payable (excluding any superannuation contributions surcharge payable in respect of the interest) if the member spouse were able to take, and did take, the benefit in respect of the interest at that date</w:t>
      </w:r>
      <w:r w:rsidR="00D7157D">
        <w:t>.</w:t>
      </w:r>
    </w:p>
    <w:p w14:paraId="5CCFB44C" w14:textId="06320B1C" w:rsidR="00647C6B" w:rsidRPr="00A058B6" w:rsidRDefault="00D7157D" w:rsidP="00647C6B">
      <w:pPr>
        <w:pStyle w:val="ActHead5"/>
      </w:pPr>
      <w:bookmarkStart w:id="281" w:name="_Toc188350759"/>
      <w:r w:rsidRPr="00423C34">
        <w:rPr>
          <w:rStyle w:val="CharSectno"/>
        </w:rPr>
        <w:t>40</w:t>
      </w:r>
      <w:r w:rsidR="00647C6B" w:rsidRPr="00A058B6">
        <w:t xml:space="preserve">  Discount valuation factors</w:t>
      </w:r>
      <w:bookmarkEnd w:id="281"/>
    </w:p>
    <w:p w14:paraId="2744ACFD" w14:textId="31DA2A41" w:rsidR="00647C6B" w:rsidRPr="00A058B6" w:rsidRDefault="00647C6B" w:rsidP="00647C6B">
      <w:pPr>
        <w:pStyle w:val="subsection"/>
      </w:pPr>
      <w:r w:rsidRPr="00A058B6">
        <w:rPr>
          <w:color w:val="000000"/>
        </w:rPr>
        <w:tab/>
        <w:t>(1)</w:t>
      </w:r>
      <w:r w:rsidRPr="00A058B6">
        <w:rPr>
          <w:color w:val="000000"/>
        </w:rPr>
        <w:tab/>
        <w:t>For the purposes of sub</w:t>
      </w:r>
      <w:r w:rsidR="005A1165">
        <w:rPr>
          <w:color w:val="000000"/>
        </w:rPr>
        <w:t>clause </w:t>
      </w:r>
      <w:r w:rsidR="00D7157D">
        <w:rPr>
          <w:color w:val="000000"/>
        </w:rPr>
        <w:t>39</w:t>
      </w:r>
      <w:r w:rsidRPr="00A058B6">
        <w:rPr>
          <w:color w:val="000000"/>
        </w:rPr>
        <w:t>(3), this clause sets out the discount valuation factors</w:t>
      </w:r>
      <w:r w:rsidR="00D7157D">
        <w:rPr>
          <w:color w:val="000000"/>
        </w:rPr>
        <w:t>.</w:t>
      </w:r>
    </w:p>
    <w:p w14:paraId="10AD3689" w14:textId="77777777" w:rsidR="00647C6B" w:rsidRPr="00A058B6" w:rsidRDefault="00647C6B" w:rsidP="00647C6B">
      <w:pPr>
        <w:pStyle w:val="subsection"/>
      </w:pPr>
      <w:r w:rsidRPr="00A058B6">
        <w:tab/>
        <w:t>(2)</w:t>
      </w:r>
      <w:r w:rsidRPr="00A058B6">
        <w:tab/>
        <w:t>Column 2 of the following table sets out the applicable factor for the annual amount of a lump sum that, at the relevant date, is not indexed in respect of the minimum deferral period</w:t>
      </w:r>
      <w:r w:rsidR="00D7157D">
        <w:t>.</w:t>
      </w:r>
    </w:p>
    <w:p w14:paraId="6011EA54" w14:textId="77777777" w:rsidR="00647C6B" w:rsidRPr="00A058B6" w:rsidRDefault="00647C6B" w:rsidP="00647C6B">
      <w:pPr>
        <w:pStyle w:val="subsection"/>
      </w:pPr>
      <w:r w:rsidRPr="00A058B6">
        <w:tab/>
        <w:t>(3)</w:t>
      </w:r>
      <w:r w:rsidRPr="00A058B6">
        <w:tab/>
        <w:t>Column 3 of the following table sets out the applicable factor for the annual amount of a lump sum that, at the relevant date, is indexed in respect of the minimum deferral period in accordance with the consumer price index</w:t>
      </w:r>
      <w:r w:rsidR="00D7157D">
        <w:t>.</w:t>
      </w:r>
    </w:p>
    <w:p w14:paraId="2A577A13" w14:textId="77777777" w:rsidR="00647C6B" w:rsidRPr="00A058B6" w:rsidRDefault="00647C6B" w:rsidP="00647C6B">
      <w:pPr>
        <w:pStyle w:val="subsection"/>
      </w:pPr>
      <w:r w:rsidRPr="00A058B6">
        <w:tab/>
        <w:t>(4)</w:t>
      </w:r>
      <w:r w:rsidRPr="00A058B6">
        <w:tab/>
        <w:t xml:space="preserve">Column 4 of the following table sets out the applicable factor for the annual amount of a lump sum that, at the relevant date, is indexed in respect of the minimum deferral period in accordance with a general wage index (for example, average weekly earnings, or average weekly ordinary time earnings, published by the Australian Bureau of Statistics) or in accordance with any change in the salary payable for the employment in which the member was engaged immediately before </w:t>
      </w:r>
      <w:r w:rsidR="00983C67" w:rsidRPr="00A058B6">
        <w:t>the member</w:t>
      </w:r>
      <w:r w:rsidRPr="00A058B6">
        <w:t xml:space="preserve"> ceased employment</w:t>
      </w:r>
      <w:r w:rsidR="00D7157D">
        <w:t>.</w:t>
      </w:r>
    </w:p>
    <w:p w14:paraId="78F2F168" w14:textId="77777777" w:rsidR="00647C6B" w:rsidRPr="00A058B6" w:rsidRDefault="00647C6B" w:rsidP="00647C6B">
      <w:pPr>
        <w:pStyle w:val="subsection"/>
      </w:pPr>
      <w:r w:rsidRPr="00A058B6">
        <w:tab/>
        <w:t>(5)</w:t>
      </w:r>
      <w:r w:rsidRPr="00A058B6">
        <w:tab/>
        <w:t>If the annual amount of the lump sum at the relevant date is indexed in respect of the minimum deferral period in accordance with a fund crediting rate, the factor is 1</w:t>
      </w:r>
      <w:r w:rsidR="00D7157D">
        <w:t>.</w:t>
      </w:r>
    </w:p>
    <w:p w14:paraId="1B242010" w14:textId="77777777" w:rsidR="00647C6B" w:rsidRPr="00A058B6" w:rsidRDefault="00647C6B" w:rsidP="00647C6B">
      <w:pPr>
        <w:pStyle w:val="Tabletext"/>
      </w:pPr>
    </w:p>
    <w:tbl>
      <w:tblPr>
        <w:tblW w:w="5000" w:type="pct"/>
        <w:tblLook w:val="0000" w:firstRow="0" w:lastRow="0" w:firstColumn="0" w:lastColumn="0" w:noHBand="0" w:noVBand="0"/>
      </w:tblPr>
      <w:tblGrid>
        <w:gridCol w:w="2242"/>
        <w:gridCol w:w="1727"/>
        <w:gridCol w:w="1699"/>
        <w:gridCol w:w="2645"/>
      </w:tblGrid>
      <w:tr w:rsidR="00647C6B" w:rsidRPr="00A058B6" w14:paraId="3E4A929D" w14:textId="77777777" w:rsidTr="00963115">
        <w:trPr>
          <w:cantSplit/>
          <w:tblHeader/>
        </w:trPr>
        <w:tc>
          <w:tcPr>
            <w:tcW w:w="1348" w:type="pct"/>
            <w:vMerge w:val="restart"/>
            <w:tcBorders>
              <w:top w:val="single" w:sz="12" w:space="0" w:color="auto"/>
              <w:left w:val="nil"/>
              <w:right w:val="nil"/>
            </w:tcBorders>
          </w:tcPr>
          <w:p w14:paraId="53EED443" w14:textId="77777777" w:rsidR="00647C6B" w:rsidRPr="00A058B6" w:rsidRDefault="00647C6B" w:rsidP="00963115">
            <w:pPr>
              <w:pStyle w:val="TableHeading"/>
            </w:pPr>
            <w:r w:rsidRPr="00A058B6">
              <w:t>Minimum deferral period for lump sum (in complete years)</w:t>
            </w:r>
          </w:p>
        </w:tc>
        <w:tc>
          <w:tcPr>
            <w:tcW w:w="3652" w:type="pct"/>
            <w:gridSpan w:val="3"/>
            <w:tcBorders>
              <w:top w:val="single" w:sz="12" w:space="0" w:color="auto"/>
              <w:left w:val="nil"/>
              <w:bottom w:val="single" w:sz="4" w:space="0" w:color="auto"/>
              <w:right w:val="nil"/>
            </w:tcBorders>
          </w:tcPr>
          <w:p w14:paraId="0C51EF00" w14:textId="77777777" w:rsidR="00647C6B" w:rsidRPr="00A058B6" w:rsidRDefault="00647C6B" w:rsidP="00963115">
            <w:pPr>
              <w:pStyle w:val="TableHeading"/>
            </w:pPr>
            <w:r w:rsidRPr="00A058B6">
              <w:t>Discount valuation factors</w:t>
            </w:r>
          </w:p>
        </w:tc>
      </w:tr>
      <w:tr w:rsidR="00647C6B" w:rsidRPr="00A058B6" w14:paraId="74BE62DE" w14:textId="77777777" w:rsidTr="00963115">
        <w:trPr>
          <w:cantSplit/>
          <w:tblHeader/>
        </w:trPr>
        <w:tc>
          <w:tcPr>
            <w:tcW w:w="1348" w:type="pct"/>
            <w:vMerge/>
            <w:tcBorders>
              <w:left w:val="nil"/>
              <w:bottom w:val="single" w:sz="12" w:space="0" w:color="auto"/>
              <w:right w:val="nil"/>
            </w:tcBorders>
          </w:tcPr>
          <w:p w14:paraId="4DE7730A" w14:textId="77777777" w:rsidR="00647C6B" w:rsidRPr="00A058B6" w:rsidRDefault="00647C6B" w:rsidP="00963115">
            <w:pPr>
              <w:pStyle w:val="TableHeading"/>
            </w:pPr>
          </w:p>
        </w:tc>
        <w:tc>
          <w:tcPr>
            <w:tcW w:w="1039" w:type="pct"/>
            <w:tcBorders>
              <w:top w:val="single" w:sz="4" w:space="0" w:color="auto"/>
              <w:left w:val="nil"/>
              <w:bottom w:val="single" w:sz="12" w:space="0" w:color="auto"/>
              <w:right w:val="nil"/>
            </w:tcBorders>
          </w:tcPr>
          <w:p w14:paraId="433536F3" w14:textId="77777777" w:rsidR="00647C6B" w:rsidRPr="00A058B6" w:rsidRDefault="00647C6B" w:rsidP="00963115">
            <w:pPr>
              <w:pStyle w:val="TableHeading"/>
            </w:pPr>
            <w:r w:rsidRPr="00A058B6">
              <w:t>Lump sum not indexed</w:t>
            </w:r>
          </w:p>
        </w:tc>
        <w:tc>
          <w:tcPr>
            <w:tcW w:w="1022" w:type="pct"/>
            <w:tcBorders>
              <w:top w:val="single" w:sz="4" w:space="0" w:color="auto"/>
              <w:left w:val="nil"/>
              <w:bottom w:val="single" w:sz="12" w:space="0" w:color="auto"/>
              <w:right w:val="nil"/>
            </w:tcBorders>
          </w:tcPr>
          <w:p w14:paraId="6B89ECD4" w14:textId="77777777" w:rsidR="00647C6B" w:rsidRPr="00A058B6" w:rsidRDefault="00647C6B" w:rsidP="00963115">
            <w:pPr>
              <w:pStyle w:val="TableHeading"/>
            </w:pPr>
            <w:r w:rsidRPr="00A058B6">
              <w:t>Lump sum indexed in line with CPI</w:t>
            </w:r>
          </w:p>
        </w:tc>
        <w:tc>
          <w:tcPr>
            <w:tcW w:w="1591" w:type="pct"/>
            <w:tcBorders>
              <w:top w:val="single" w:sz="4" w:space="0" w:color="auto"/>
              <w:left w:val="nil"/>
              <w:bottom w:val="single" w:sz="12" w:space="0" w:color="auto"/>
              <w:right w:val="nil"/>
            </w:tcBorders>
          </w:tcPr>
          <w:p w14:paraId="254F7814" w14:textId="77777777" w:rsidR="00647C6B" w:rsidRPr="00A058B6" w:rsidRDefault="00647C6B" w:rsidP="00963115">
            <w:pPr>
              <w:pStyle w:val="TableHeading"/>
            </w:pPr>
            <w:r w:rsidRPr="00A058B6">
              <w:t>Lump sum indexed in line with general wage index or salary</w:t>
            </w:r>
          </w:p>
        </w:tc>
      </w:tr>
      <w:tr w:rsidR="00080DC7" w:rsidRPr="00A058B6" w14:paraId="4C2ED6DA" w14:textId="77777777" w:rsidTr="0001540F">
        <w:trPr>
          <w:cantSplit/>
        </w:trPr>
        <w:tc>
          <w:tcPr>
            <w:tcW w:w="1348" w:type="pct"/>
            <w:tcBorders>
              <w:top w:val="single" w:sz="12" w:space="0" w:color="auto"/>
              <w:left w:val="nil"/>
              <w:bottom w:val="single" w:sz="4" w:space="0" w:color="auto"/>
              <w:right w:val="nil"/>
            </w:tcBorders>
          </w:tcPr>
          <w:p w14:paraId="46E3C30D" w14:textId="77777777" w:rsidR="00080DC7" w:rsidRPr="00616B26" w:rsidRDefault="00080DC7" w:rsidP="00080DC7">
            <w:pPr>
              <w:pStyle w:val="Tabletext"/>
              <w:rPr>
                <w:snapToGrid w:val="0"/>
              </w:rPr>
            </w:pPr>
            <w:r w:rsidRPr="00616B26">
              <w:rPr>
                <w:snapToGrid w:val="0"/>
              </w:rPr>
              <w:t>0</w:t>
            </w:r>
          </w:p>
        </w:tc>
        <w:tc>
          <w:tcPr>
            <w:tcW w:w="1039" w:type="pct"/>
            <w:tcBorders>
              <w:top w:val="single" w:sz="12" w:space="0" w:color="auto"/>
              <w:left w:val="nil"/>
              <w:bottom w:val="single" w:sz="4" w:space="0" w:color="auto"/>
              <w:right w:val="nil"/>
            </w:tcBorders>
            <w:vAlign w:val="center"/>
          </w:tcPr>
          <w:p w14:paraId="2ABEB2D9" w14:textId="77777777" w:rsidR="00080DC7" w:rsidRPr="00CC628E" w:rsidRDefault="00080DC7" w:rsidP="00080DC7">
            <w:pPr>
              <w:pStyle w:val="Tabletext"/>
              <w:rPr>
                <w:snapToGrid w:val="0"/>
              </w:rPr>
            </w:pPr>
            <w:r w:rsidRPr="00295986">
              <w:t>1</w:t>
            </w:r>
            <w:r w:rsidR="00D7157D">
              <w:t>.</w:t>
            </w:r>
            <w:r w:rsidRPr="00295986">
              <w:t>000</w:t>
            </w:r>
          </w:p>
        </w:tc>
        <w:tc>
          <w:tcPr>
            <w:tcW w:w="1022" w:type="pct"/>
            <w:tcBorders>
              <w:top w:val="single" w:sz="12" w:space="0" w:color="auto"/>
              <w:left w:val="nil"/>
              <w:bottom w:val="single" w:sz="4" w:space="0" w:color="auto"/>
              <w:right w:val="nil"/>
            </w:tcBorders>
            <w:vAlign w:val="center"/>
          </w:tcPr>
          <w:p w14:paraId="70E00299" w14:textId="77777777" w:rsidR="00080DC7" w:rsidRPr="00CC628E" w:rsidRDefault="00080DC7" w:rsidP="00080DC7">
            <w:pPr>
              <w:pStyle w:val="Tabletext"/>
              <w:rPr>
                <w:snapToGrid w:val="0"/>
              </w:rPr>
            </w:pPr>
            <w:r w:rsidRPr="00295986">
              <w:t>1</w:t>
            </w:r>
            <w:r w:rsidR="00D7157D">
              <w:t>.</w:t>
            </w:r>
            <w:r w:rsidRPr="00295986">
              <w:t>000</w:t>
            </w:r>
          </w:p>
        </w:tc>
        <w:tc>
          <w:tcPr>
            <w:tcW w:w="1591" w:type="pct"/>
            <w:tcBorders>
              <w:top w:val="single" w:sz="12" w:space="0" w:color="auto"/>
              <w:left w:val="nil"/>
              <w:bottom w:val="single" w:sz="4" w:space="0" w:color="auto"/>
              <w:right w:val="nil"/>
            </w:tcBorders>
            <w:vAlign w:val="center"/>
          </w:tcPr>
          <w:p w14:paraId="5CD0AAA1" w14:textId="77777777" w:rsidR="00080DC7" w:rsidRPr="00080DC7" w:rsidRDefault="00080DC7" w:rsidP="00080DC7">
            <w:pPr>
              <w:pStyle w:val="Tabletext"/>
              <w:rPr>
                <w:snapToGrid w:val="0"/>
                <w:color w:val="000000" w:themeColor="text1"/>
              </w:rPr>
            </w:pPr>
            <w:r w:rsidRPr="00080DC7">
              <w:rPr>
                <w:color w:val="000000" w:themeColor="text1"/>
              </w:rPr>
              <w:t>1</w:t>
            </w:r>
            <w:r w:rsidR="00D7157D">
              <w:rPr>
                <w:color w:val="000000" w:themeColor="text1"/>
              </w:rPr>
              <w:t>.</w:t>
            </w:r>
            <w:r w:rsidRPr="00080DC7">
              <w:rPr>
                <w:color w:val="000000" w:themeColor="text1"/>
              </w:rPr>
              <w:t>000</w:t>
            </w:r>
          </w:p>
        </w:tc>
      </w:tr>
      <w:tr w:rsidR="00080DC7" w:rsidRPr="00A058B6" w14:paraId="296E83A7" w14:textId="77777777" w:rsidTr="0001540F">
        <w:trPr>
          <w:cantSplit/>
        </w:trPr>
        <w:tc>
          <w:tcPr>
            <w:tcW w:w="1348" w:type="pct"/>
            <w:tcBorders>
              <w:top w:val="single" w:sz="4" w:space="0" w:color="auto"/>
              <w:left w:val="nil"/>
              <w:bottom w:val="single" w:sz="4" w:space="0" w:color="auto"/>
              <w:right w:val="nil"/>
            </w:tcBorders>
          </w:tcPr>
          <w:p w14:paraId="3BF54668" w14:textId="77777777" w:rsidR="00080DC7" w:rsidRPr="00616B26" w:rsidRDefault="00080DC7" w:rsidP="00080DC7">
            <w:pPr>
              <w:pStyle w:val="Tabletext"/>
              <w:rPr>
                <w:snapToGrid w:val="0"/>
              </w:rPr>
            </w:pPr>
            <w:r w:rsidRPr="00616B26">
              <w:rPr>
                <w:snapToGrid w:val="0"/>
              </w:rPr>
              <w:t>1</w:t>
            </w:r>
          </w:p>
        </w:tc>
        <w:tc>
          <w:tcPr>
            <w:tcW w:w="1039" w:type="pct"/>
            <w:tcBorders>
              <w:top w:val="single" w:sz="4" w:space="0" w:color="auto"/>
              <w:left w:val="nil"/>
              <w:bottom w:val="single" w:sz="4" w:space="0" w:color="auto"/>
              <w:right w:val="nil"/>
            </w:tcBorders>
            <w:vAlign w:val="bottom"/>
          </w:tcPr>
          <w:p w14:paraId="4B9ADC1F" w14:textId="77777777" w:rsidR="00080DC7" w:rsidRPr="00CC628E" w:rsidRDefault="00080DC7" w:rsidP="00080DC7">
            <w:pPr>
              <w:pStyle w:val="Tabletext"/>
              <w:rPr>
                <w:snapToGrid w:val="0"/>
              </w:rPr>
            </w:pPr>
            <w:r w:rsidRPr="00295986">
              <w:t>0</w:t>
            </w:r>
            <w:r w:rsidR="00D7157D">
              <w:t>.</w:t>
            </w:r>
            <w:r w:rsidRPr="00295986">
              <w:t>944</w:t>
            </w:r>
          </w:p>
        </w:tc>
        <w:tc>
          <w:tcPr>
            <w:tcW w:w="1022" w:type="pct"/>
            <w:tcBorders>
              <w:top w:val="single" w:sz="4" w:space="0" w:color="auto"/>
              <w:left w:val="nil"/>
              <w:bottom w:val="single" w:sz="4" w:space="0" w:color="auto"/>
              <w:right w:val="nil"/>
            </w:tcBorders>
            <w:vAlign w:val="bottom"/>
          </w:tcPr>
          <w:p w14:paraId="0EFB7106" w14:textId="77777777" w:rsidR="00080DC7" w:rsidRPr="00CC628E" w:rsidRDefault="00080DC7" w:rsidP="00080DC7">
            <w:pPr>
              <w:pStyle w:val="Tabletext"/>
              <w:rPr>
                <w:snapToGrid w:val="0"/>
              </w:rPr>
            </w:pPr>
            <w:r w:rsidRPr="00295986">
              <w:t>0</w:t>
            </w:r>
            <w:r w:rsidR="00D7157D">
              <w:t>.</w:t>
            </w:r>
            <w:r w:rsidRPr="00295986">
              <w:t>967</w:t>
            </w:r>
          </w:p>
        </w:tc>
        <w:tc>
          <w:tcPr>
            <w:tcW w:w="1591" w:type="pct"/>
            <w:tcBorders>
              <w:top w:val="single" w:sz="4" w:space="0" w:color="auto"/>
              <w:left w:val="nil"/>
              <w:bottom w:val="single" w:sz="4" w:space="0" w:color="auto"/>
              <w:right w:val="nil"/>
            </w:tcBorders>
            <w:vAlign w:val="bottom"/>
          </w:tcPr>
          <w:p w14:paraId="5F2BABE6"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979</w:t>
            </w:r>
          </w:p>
        </w:tc>
      </w:tr>
      <w:tr w:rsidR="00080DC7" w:rsidRPr="00A058B6" w14:paraId="0B763957" w14:textId="77777777" w:rsidTr="0001540F">
        <w:trPr>
          <w:cantSplit/>
        </w:trPr>
        <w:tc>
          <w:tcPr>
            <w:tcW w:w="1348" w:type="pct"/>
            <w:tcBorders>
              <w:top w:val="single" w:sz="4" w:space="0" w:color="auto"/>
              <w:left w:val="nil"/>
              <w:bottom w:val="single" w:sz="4" w:space="0" w:color="auto"/>
              <w:right w:val="nil"/>
            </w:tcBorders>
          </w:tcPr>
          <w:p w14:paraId="0FBD6321" w14:textId="77777777" w:rsidR="00080DC7" w:rsidRPr="00616B26" w:rsidRDefault="00080DC7" w:rsidP="00080DC7">
            <w:pPr>
              <w:pStyle w:val="Tabletext"/>
              <w:rPr>
                <w:snapToGrid w:val="0"/>
              </w:rPr>
            </w:pPr>
            <w:r w:rsidRPr="00616B26">
              <w:rPr>
                <w:snapToGrid w:val="0"/>
              </w:rPr>
              <w:t>2</w:t>
            </w:r>
          </w:p>
        </w:tc>
        <w:tc>
          <w:tcPr>
            <w:tcW w:w="1039" w:type="pct"/>
            <w:tcBorders>
              <w:top w:val="single" w:sz="4" w:space="0" w:color="auto"/>
              <w:left w:val="nil"/>
              <w:bottom w:val="single" w:sz="4" w:space="0" w:color="auto"/>
              <w:right w:val="nil"/>
            </w:tcBorders>
            <w:vAlign w:val="bottom"/>
          </w:tcPr>
          <w:p w14:paraId="6F90AB13" w14:textId="77777777" w:rsidR="00080DC7" w:rsidRPr="00CC628E" w:rsidRDefault="00080DC7" w:rsidP="00080DC7">
            <w:pPr>
              <w:pStyle w:val="Tabletext"/>
              <w:rPr>
                <w:snapToGrid w:val="0"/>
              </w:rPr>
            </w:pPr>
            <w:r w:rsidRPr="00295986">
              <w:t>0</w:t>
            </w:r>
            <w:r w:rsidR="00D7157D">
              <w:t>.</w:t>
            </w:r>
            <w:r w:rsidRPr="00295986">
              <w:t>891</w:t>
            </w:r>
          </w:p>
        </w:tc>
        <w:tc>
          <w:tcPr>
            <w:tcW w:w="1022" w:type="pct"/>
            <w:tcBorders>
              <w:top w:val="single" w:sz="4" w:space="0" w:color="auto"/>
              <w:left w:val="nil"/>
              <w:bottom w:val="single" w:sz="4" w:space="0" w:color="auto"/>
              <w:right w:val="nil"/>
            </w:tcBorders>
            <w:vAlign w:val="bottom"/>
          </w:tcPr>
          <w:p w14:paraId="1BFFD9B0" w14:textId="77777777" w:rsidR="00080DC7" w:rsidRPr="00CC628E" w:rsidRDefault="00080DC7" w:rsidP="00080DC7">
            <w:pPr>
              <w:pStyle w:val="Tabletext"/>
              <w:rPr>
                <w:snapToGrid w:val="0"/>
              </w:rPr>
            </w:pPr>
            <w:r w:rsidRPr="00295986">
              <w:t>0</w:t>
            </w:r>
            <w:r w:rsidR="00D7157D">
              <w:t>.</w:t>
            </w:r>
            <w:r w:rsidRPr="00295986">
              <w:t>936</w:t>
            </w:r>
          </w:p>
        </w:tc>
        <w:tc>
          <w:tcPr>
            <w:tcW w:w="1591" w:type="pct"/>
            <w:tcBorders>
              <w:top w:val="single" w:sz="4" w:space="0" w:color="auto"/>
              <w:left w:val="nil"/>
              <w:bottom w:val="single" w:sz="4" w:space="0" w:color="auto"/>
              <w:right w:val="nil"/>
            </w:tcBorders>
            <w:vAlign w:val="bottom"/>
          </w:tcPr>
          <w:p w14:paraId="414EEA1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958</w:t>
            </w:r>
          </w:p>
        </w:tc>
      </w:tr>
      <w:tr w:rsidR="00080DC7" w:rsidRPr="00A058B6" w14:paraId="74385DFE" w14:textId="77777777" w:rsidTr="0001540F">
        <w:trPr>
          <w:cantSplit/>
        </w:trPr>
        <w:tc>
          <w:tcPr>
            <w:tcW w:w="1348" w:type="pct"/>
            <w:tcBorders>
              <w:top w:val="single" w:sz="4" w:space="0" w:color="auto"/>
              <w:left w:val="nil"/>
              <w:bottom w:val="single" w:sz="4" w:space="0" w:color="auto"/>
              <w:right w:val="nil"/>
            </w:tcBorders>
          </w:tcPr>
          <w:p w14:paraId="518263B2" w14:textId="77777777" w:rsidR="00080DC7" w:rsidRPr="00616B26" w:rsidRDefault="00080DC7" w:rsidP="00080DC7">
            <w:pPr>
              <w:pStyle w:val="Tabletext"/>
              <w:rPr>
                <w:snapToGrid w:val="0"/>
              </w:rPr>
            </w:pPr>
            <w:r w:rsidRPr="00616B26">
              <w:rPr>
                <w:snapToGrid w:val="0"/>
              </w:rPr>
              <w:t>3</w:t>
            </w:r>
          </w:p>
        </w:tc>
        <w:tc>
          <w:tcPr>
            <w:tcW w:w="1039" w:type="pct"/>
            <w:tcBorders>
              <w:top w:val="single" w:sz="4" w:space="0" w:color="auto"/>
              <w:left w:val="nil"/>
              <w:bottom w:val="single" w:sz="4" w:space="0" w:color="auto"/>
              <w:right w:val="nil"/>
            </w:tcBorders>
            <w:vAlign w:val="bottom"/>
          </w:tcPr>
          <w:p w14:paraId="12377A22" w14:textId="77777777" w:rsidR="00080DC7" w:rsidRPr="00CC628E" w:rsidRDefault="00080DC7" w:rsidP="00080DC7">
            <w:pPr>
              <w:pStyle w:val="Tabletext"/>
              <w:rPr>
                <w:snapToGrid w:val="0"/>
              </w:rPr>
            </w:pPr>
            <w:r w:rsidRPr="00295986">
              <w:t>0</w:t>
            </w:r>
            <w:r w:rsidR="00D7157D">
              <w:t>.</w:t>
            </w:r>
            <w:r w:rsidRPr="00295986">
              <w:t>841</w:t>
            </w:r>
          </w:p>
        </w:tc>
        <w:tc>
          <w:tcPr>
            <w:tcW w:w="1022" w:type="pct"/>
            <w:tcBorders>
              <w:top w:val="single" w:sz="4" w:space="0" w:color="auto"/>
              <w:left w:val="nil"/>
              <w:bottom w:val="single" w:sz="4" w:space="0" w:color="auto"/>
              <w:right w:val="nil"/>
            </w:tcBorders>
            <w:vAlign w:val="bottom"/>
          </w:tcPr>
          <w:p w14:paraId="7555355A" w14:textId="77777777" w:rsidR="00080DC7" w:rsidRPr="00CC628E" w:rsidRDefault="00080DC7" w:rsidP="00080DC7">
            <w:pPr>
              <w:pStyle w:val="Tabletext"/>
              <w:rPr>
                <w:snapToGrid w:val="0"/>
              </w:rPr>
            </w:pPr>
            <w:r w:rsidRPr="00295986">
              <w:t>0</w:t>
            </w:r>
            <w:r w:rsidR="00D7157D">
              <w:t>.</w:t>
            </w:r>
            <w:r w:rsidRPr="00295986">
              <w:t>905</w:t>
            </w:r>
          </w:p>
        </w:tc>
        <w:tc>
          <w:tcPr>
            <w:tcW w:w="1591" w:type="pct"/>
            <w:tcBorders>
              <w:top w:val="single" w:sz="4" w:space="0" w:color="auto"/>
              <w:left w:val="nil"/>
              <w:bottom w:val="single" w:sz="4" w:space="0" w:color="auto"/>
              <w:right w:val="nil"/>
            </w:tcBorders>
            <w:vAlign w:val="bottom"/>
          </w:tcPr>
          <w:p w14:paraId="60ECB714"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938</w:t>
            </w:r>
          </w:p>
        </w:tc>
      </w:tr>
      <w:tr w:rsidR="00080DC7" w:rsidRPr="00A058B6" w14:paraId="33F2C60F" w14:textId="77777777" w:rsidTr="0001540F">
        <w:trPr>
          <w:cantSplit/>
        </w:trPr>
        <w:tc>
          <w:tcPr>
            <w:tcW w:w="1348" w:type="pct"/>
            <w:tcBorders>
              <w:top w:val="single" w:sz="4" w:space="0" w:color="auto"/>
              <w:left w:val="nil"/>
              <w:bottom w:val="single" w:sz="4" w:space="0" w:color="auto"/>
              <w:right w:val="nil"/>
            </w:tcBorders>
          </w:tcPr>
          <w:p w14:paraId="317AD069" w14:textId="77777777" w:rsidR="00080DC7" w:rsidRPr="00616B26" w:rsidRDefault="00080DC7" w:rsidP="00080DC7">
            <w:pPr>
              <w:pStyle w:val="Tabletext"/>
              <w:rPr>
                <w:snapToGrid w:val="0"/>
              </w:rPr>
            </w:pPr>
            <w:r w:rsidRPr="00616B26">
              <w:rPr>
                <w:snapToGrid w:val="0"/>
              </w:rPr>
              <w:t>4</w:t>
            </w:r>
          </w:p>
        </w:tc>
        <w:tc>
          <w:tcPr>
            <w:tcW w:w="1039" w:type="pct"/>
            <w:tcBorders>
              <w:top w:val="single" w:sz="4" w:space="0" w:color="auto"/>
              <w:left w:val="nil"/>
              <w:bottom w:val="single" w:sz="4" w:space="0" w:color="auto"/>
              <w:right w:val="nil"/>
            </w:tcBorders>
            <w:vAlign w:val="bottom"/>
          </w:tcPr>
          <w:p w14:paraId="4F9A1ECA" w14:textId="77777777" w:rsidR="00080DC7" w:rsidRPr="00CC628E" w:rsidRDefault="00080DC7" w:rsidP="00080DC7">
            <w:pPr>
              <w:pStyle w:val="Tabletext"/>
              <w:rPr>
                <w:snapToGrid w:val="0"/>
              </w:rPr>
            </w:pPr>
            <w:r w:rsidRPr="00295986">
              <w:t>0</w:t>
            </w:r>
            <w:r w:rsidR="00D7157D">
              <w:t>.</w:t>
            </w:r>
            <w:r w:rsidRPr="00295986">
              <w:t>795</w:t>
            </w:r>
          </w:p>
        </w:tc>
        <w:tc>
          <w:tcPr>
            <w:tcW w:w="1022" w:type="pct"/>
            <w:tcBorders>
              <w:top w:val="single" w:sz="4" w:space="0" w:color="auto"/>
              <w:left w:val="nil"/>
              <w:bottom w:val="single" w:sz="4" w:space="0" w:color="auto"/>
              <w:right w:val="nil"/>
            </w:tcBorders>
            <w:vAlign w:val="bottom"/>
          </w:tcPr>
          <w:p w14:paraId="669C12A2" w14:textId="77777777" w:rsidR="00080DC7" w:rsidRPr="00CC628E" w:rsidRDefault="00080DC7" w:rsidP="00080DC7">
            <w:pPr>
              <w:pStyle w:val="Tabletext"/>
              <w:rPr>
                <w:snapToGrid w:val="0"/>
              </w:rPr>
            </w:pPr>
            <w:r w:rsidRPr="00295986">
              <w:t>0</w:t>
            </w:r>
            <w:r w:rsidR="00D7157D">
              <w:t>.</w:t>
            </w:r>
            <w:r w:rsidRPr="00295986">
              <w:t>876</w:t>
            </w:r>
          </w:p>
        </w:tc>
        <w:tc>
          <w:tcPr>
            <w:tcW w:w="1591" w:type="pct"/>
            <w:tcBorders>
              <w:top w:val="single" w:sz="4" w:space="0" w:color="auto"/>
              <w:left w:val="nil"/>
              <w:bottom w:val="single" w:sz="4" w:space="0" w:color="auto"/>
              <w:right w:val="nil"/>
            </w:tcBorders>
            <w:vAlign w:val="bottom"/>
          </w:tcPr>
          <w:p w14:paraId="0C83B63C"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919</w:t>
            </w:r>
          </w:p>
        </w:tc>
      </w:tr>
      <w:tr w:rsidR="00080DC7" w:rsidRPr="00A058B6" w14:paraId="23CF1B52" w14:textId="77777777" w:rsidTr="0001540F">
        <w:trPr>
          <w:cantSplit/>
        </w:trPr>
        <w:tc>
          <w:tcPr>
            <w:tcW w:w="1348" w:type="pct"/>
            <w:tcBorders>
              <w:top w:val="single" w:sz="4" w:space="0" w:color="auto"/>
              <w:left w:val="nil"/>
              <w:bottom w:val="single" w:sz="4" w:space="0" w:color="auto"/>
              <w:right w:val="nil"/>
            </w:tcBorders>
          </w:tcPr>
          <w:p w14:paraId="03A4F203" w14:textId="77777777" w:rsidR="00080DC7" w:rsidRPr="00616B26" w:rsidRDefault="00080DC7" w:rsidP="00080DC7">
            <w:pPr>
              <w:pStyle w:val="Tabletext"/>
              <w:rPr>
                <w:snapToGrid w:val="0"/>
              </w:rPr>
            </w:pPr>
            <w:r w:rsidRPr="00616B26">
              <w:rPr>
                <w:snapToGrid w:val="0"/>
              </w:rPr>
              <w:t>5</w:t>
            </w:r>
          </w:p>
        </w:tc>
        <w:tc>
          <w:tcPr>
            <w:tcW w:w="1039" w:type="pct"/>
            <w:tcBorders>
              <w:top w:val="single" w:sz="4" w:space="0" w:color="auto"/>
              <w:left w:val="nil"/>
              <w:bottom w:val="single" w:sz="4" w:space="0" w:color="auto"/>
              <w:right w:val="nil"/>
            </w:tcBorders>
            <w:vAlign w:val="bottom"/>
          </w:tcPr>
          <w:p w14:paraId="69E51848" w14:textId="77777777" w:rsidR="00080DC7" w:rsidRPr="00CC628E" w:rsidRDefault="00080DC7" w:rsidP="00080DC7">
            <w:pPr>
              <w:pStyle w:val="Tabletext"/>
              <w:rPr>
                <w:snapToGrid w:val="0"/>
              </w:rPr>
            </w:pPr>
            <w:r w:rsidRPr="00295986">
              <w:t>0</w:t>
            </w:r>
            <w:r w:rsidR="00D7157D">
              <w:t>.</w:t>
            </w:r>
            <w:r w:rsidRPr="00295986">
              <w:t>751</w:t>
            </w:r>
          </w:p>
        </w:tc>
        <w:tc>
          <w:tcPr>
            <w:tcW w:w="1022" w:type="pct"/>
            <w:tcBorders>
              <w:top w:val="single" w:sz="4" w:space="0" w:color="auto"/>
              <w:left w:val="nil"/>
              <w:bottom w:val="single" w:sz="4" w:space="0" w:color="auto"/>
              <w:right w:val="nil"/>
            </w:tcBorders>
            <w:vAlign w:val="bottom"/>
          </w:tcPr>
          <w:p w14:paraId="14E16F08" w14:textId="77777777" w:rsidR="00080DC7" w:rsidRPr="00CC628E" w:rsidRDefault="00080DC7" w:rsidP="00080DC7">
            <w:pPr>
              <w:pStyle w:val="Tabletext"/>
              <w:rPr>
                <w:snapToGrid w:val="0"/>
              </w:rPr>
            </w:pPr>
            <w:r w:rsidRPr="00295986">
              <w:t>0</w:t>
            </w:r>
            <w:r w:rsidR="00D7157D">
              <w:t>.</w:t>
            </w:r>
            <w:r w:rsidRPr="00295986">
              <w:t>848</w:t>
            </w:r>
          </w:p>
        </w:tc>
        <w:tc>
          <w:tcPr>
            <w:tcW w:w="1591" w:type="pct"/>
            <w:tcBorders>
              <w:top w:val="single" w:sz="4" w:space="0" w:color="auto"/>
              <w:left w:val="nil"/>
              <w:bottom w:val="single" w:sz="4" w:space="0" w:color="auto"/>
              <w:right w:val="nil"/>
            </w:tcBorders>
            <w:vAlign w:val="bottom"/>
          </w:tcPr>
          <w:p w14:paraId="276D3676"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900</w:t>
            </w:r>
          </w:p>
        </w:tc>
      </w:tr>
      <w:tr w:rsidR="00080DC7" w:rsidRPr="00A058B6" w14:paraId="6BDDFCCA" w14:textId="77777777" w:rsidTr="0001540F">
        <w:trPr>
          <w:cantSplit/>
        </w:trPr>
        <w:tc>
          <w:tcPr>
            <w:tcW w:w="1348" w:type="pct"/>
            <w:tcBorders>
              <w:top w:val="single" w:sz="4" w:space="0" w:color="auto"/>
              <w:left w:val="nil"/>
              <w:bottom w:val="single" w:sz="4" w:space="0" w:color="auto"/>
              <w:right w:val="nil"/>
            </w:tcBorders>
          </w:tcPr>
          <w:p w14:paraId="5B57D315" w14:textId="77777777" w:rsidR="00080DC7" w:rsidRPr="00616B26" w:rsidRDefault="00080DC7" w:rsidP="00080DC7">
            <w:pPr>
              <w:pStyle w:val="Tabletext"/>
              <w:rPr>
                <w:snapToGrid w:val="0"/>
              </w:rPr>
            </w:pPr>
            <w:r w:rsidRPr="00616B26">
              <w:rPr>
                <w:snapToGrid w:val="0"/>
              </w:rPr>
              <w:t>6</w:t>
            </w:r>
          </w:p>
        </w:tc>
        <w:tc>
          <w:tcPr>
            <w:tcW w:w="1039" w:type="pct"/>
            <w:tcBorders>
              <w:top w:val="single" w:sz="4" w:space="0" w:color="auto"/>
              <w:left w:val="nil"/>
              <w:bottom w:val="single" w:sz="4" w:space="0" w:color="auto"/>
              <w:right w:val="nil"/>
            </w:tcBorders>
            <w:vAlign w:val="bottom"/>
          </w:tcPr>
          <w:p w14:paraId="5349B29B" w14:textId="77777777" w:rsidR="00080DC7" w:rsidRPr="00CC628E" w:rsidRDefault="00080DC7" w:rsidP="00080DC7">
            <w:pPr>
              <w:pStyle w:val="Tabletext"/>
              <w:rPr>
                <w:snapToGrid w:val="0"/>
              </w:rPr>
            </w:pPr>
            <w:r w:rsidRPr="00295986">
              <w:t>0</w:t>
            </w:r>
            <w:r w:rsidR="00D7157D">
              <w:t>.</w:t>
            </w:r>
            <w:r w:rsidRPr="00295986">
              <w:t>710</w:t>
            </w:r>
          </w:p>
        </w:tc>
        <w:tc>
          <w:tcPr>
            <w:tcW w:w="1022" w:type="pct"/>
            <w:tcBorders>
              <w:top w:val="single" w:sz="4" w:space="0" w:color="auto"/>
              <w:left w:val="nil"/>
              <w:bottom w:val="single" w:sz="4" w:space="0" w:color="auto"/>
              <w:right w:val="nil"/>
            </w:tcBorders>
            <w:vAlign w:val="bottom"/>
          </w:tcPr>
          <w:p w14:paraId="4D55C650" w14:textId="77777777" w:rsidR="00080DC7" w:rsidRPr="00CC628E" w:rsidRDefault="00080DC7" w:rsidP="00080DC7">
            <w:pPr>
              <w:pStyle w:val="Tabletext"/>
              <w:rPr>
                <w:snapToGrid w:val="0"/>
              </w:rPr>
            </w:pPr>
            <w:r w:rsidRPr="00295986">
              <w:t>0</w:t>
            </w:r>
            <w:r w:rsidR="00D7157D">
              <w:t>.</w:t>
            </w:r>
            <w:r w:rsidRPr="00295986">
              <w:t>821</w:t>
            </w:r>
          </w:p>
        </w:tc>
        <w:tc>
          <w:tcPr>
            <w:tcW w:w="1591" w:type="pct"/>
            <w:tcBorders>
              <w:top w:val="single" w:sz="4" w:space="0" w:color="auto"/>
              <w:left w:val="nil"/>
              <w:bottom w:val="single" w:sz="4" w:space="0" w:color="auto"/>
              <w:right w:val="nil"/>
            </w:tcBorders>
            <w:vAlign w:val="bottom"/>
          </w:tcPr>
          <w:p w14:paraId="6EA5DB61"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881</w:t>
            </w:r>
          </w:p>
        </w:tc>
      </w:tr>
      <w:tr w:rsidR="00080DC7" w:rsidRPr="00A058B6" w14:paraId="56E6DFD3" w14:textId="77777777" w:rsidTr="0001540F">
        <w:trPr>
          <w:cantSplit/>
        </w:trPr>
        <w:tc>
          <w:tcPr>
            <w:tcW w:w="1348" w:type="pct"/>
            <w:tcBorders>
              <w:top w:val="single" w:sz="4" w:space="0" w:color="auto"/>
              <w:left w:val="nil"/>
              <w:bottom w:val="single" w:sz="4" w:space="0" w:color="auto"/>
              <w:right w:val="nil"/>
            </w:tcBorders>
          </w:tcPr>
          <w:p w14:paraId="3E37C898" w14:textId="77777777" w:rsidR="00080DC7" w:rsidRPr="00616B26" w:rsidRDefault="00080DC7" w:rsidP="00080DC7">
            <w:pPr>
              <w:pStyle w:val="Tabletext"/>
              <w:rPr>
                <w:snapToGrid w:val="0"/>
              </w:rPr>
            </w:pPr>
            <w:r w:rsidRPr="00616B26">
              <w:rPr>
                <w:snapToGrid w:val="0"/>
              </w:rPr>
              <w:t>7</w:t>
            </w:r>
          </w:p>
        </w:tc>
        <w:tc>
          <w:tcPr>
            <w:tcW w:w="1039" w:type="pct"/>
            <w:tcBorders>
              <w:top w:val="single" w:sz="4" w:space="0" w:color="auto"/>
              <w:left w:val="nil"/>
              <w:bottom w:val="single" w:sz="4" w:space="0" w:color="auto"/>
              <w:right w:val="nil"/>
            </w:tcBorders>
            <w:vAlign w:val="bottom"/>
          </w:tcPr>
          <w:p w14:paraId="7D1748C1" w14:textId="77777777" w:rsidR="00080DC7" w:rsidRPr="00CC628E" w:rsidRDefault="00080DC7" w:rsidP="00080DC7">
            <w:pPr>
              <w:pStyle w:val="Tabletext"/>
              <w:rPr>
                <w:snapToGrid w:val="0"/>
              </w:rPr>
            </w:pPr>
            <w:r w:rsidRPr="00295986">
              <w:t>0</w:t>
            </w:r>
            <w:r w:rsidR="00D7157D">
              <w:t>.</w:t>
            </w:r>
            <w:r w:rsidRPr="00295986">
              <w:t>671</w:t>
            </w:r>
          </w:p>
        </w:tc>
        <w:tc>
          <w:tcPr>
            <w:tcW w:w="1022" w:type="pct"/>
            <w:tcBorders>
              <w:top w:val="single" w:sz="4" w:space="0" w:color="auto"/>
              <w:left w:val="nil"/>
              <w:bottom w:val="single" w:sz="4" w:space="0" w:color="auto"/>
              <w:right w:val="nil"/>
            </w:tcBorders>
            <w:vAlign w:val="bottom"/>
          </w:tcPr>
          <w:p w14:paraId="014F16A4" w14:textId="77777777" w:rsidR="00080DC7" w:rsidRPr="00CC628E" w:rsidRDefault="00080DC7" w:rsidP="00080DC7">
            <w:pPr>
              <w:pStyle w:val="Tabletext"/>
              <w:rPr>
                <w:snapToGrid w:val="0"/>
              </w:rPr>
            </w:pPr>
            <w:r w:rsidRPr="00295986">
              <w:t>0</w:t>
            </w:r>
            <w:r w:rsidR="00D7157D">
              <w:t>.</w:t>
            </w:r>
            <w:r w:rsidRPr="00295986">
              <w:t>794</w:t>
            </w:r>
          </w:p>
        </w:tc>
        <w:tc>
          <w:tcPr>
            <w:tcW w:w="1591" w:type="pct"/>
            <w:tcBorders>
              <w:top w:val="single" w:sz="4" w:space="0" w:color="auto"/>
              <w:left w:val="nil"/>
              <w:bottom w:val="single" w:sz="4" w:space="0" w:color="auto"/>
              <w:right w:val="nil"/>
            </w:tcBorders>
            <w:vAlign w:val="bottom"/>
          </w:tcPr>
          <w:p w14:paraId="5224553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863</w:t>
            </w:r>
          </w:p>
        </w:tc>
      </w:tr>
      <w:tr w:rsidR="00080DC7" w:rsidRPr="00A058B6" w14:paraId="6FA86952" w14:textId="77777777" w:rsidTr="0001540F">
        <w:trPr>
          <w:cantSplit/>
        </w:trPr>
        <w:tc>
          <w:tcPr>
            <w:tcW w:w="1348" w:type="pct"/>
            <w:tcBorders>
              <w:top w:val="single" w:sz="4" w:space="0" w:color="auto"/>
              <w:left w:val="nil"/>
              <w:bottom w:val="single" w:sz="4" w:space="0" w:color="auto"/>
              <w:right w:val="nil"/>
            </w:tcBorders>
          </w:tcPr>
          <w:p w14:paraId="72257EB6" w14:textId="77777777" w:rsidR="00080DC7" w:rsidRPr="00616B26" w:rsidRDefault="00080DC7" w:rsidP="00080DC7">
            <w:pPr>
              <w:pStyle w:val="Tabletext"/>
              <w:rPr>
                <w:snapToGrid w:val="0"/>
              </w:rPr>
            </w:pPr>
            <w:r w:rsidRPr="00616B26">
              <w:rPr>
                <w:snapToGrid w:val="0"/>
              </w:rPr>
              <w:t>8</w:t>
            </w:r>
          </w:p>
        </w:tc>
        <w:tc>
          <w:tcPr>
            <w:tcW w:w="1039" w:type="pct"/>
            <w:tcBorders>
              <w:top w:val="single" w:sz="4" w:space="0" w:color="auto"/>
              <w:left w:val="nil"/>
              <w:bottom w:val="single" w:sz="4" w:space="0" w:color="auto"/>
              <w:right w:val="nil"/>
            </w:tcBorders>
            <w:vAlign w:val="bottom"/>
          </w:tcPr>
          <w:p w14:paraId="237AFCE3" w14:textId="77777777" w:rsidR="00080DC7" w:rsidRPr="00CC628E" w:rsidRDefault="00080DC7" w:rsidP="00080DC7">
            <w:pPr>
              <w:pStyle w:val="Tabletext"/>
              <w:rPr>
                <w:snapToGrid w:val="0"/>
              </w:rPr>
            </w:pPr>
            <w:r w:rsidRPr="00295986">
              <w:t>0</w:t>
            </w:r>
            <w:r w:rsidR="00D7157D">
              <w:t>.</w:t>
            </w:r>
            <w:r w:rsidRPr="00295986">
              <w:t>634</w:t>
            </w:r>
          </w:p>
        </w:tc>
        <w:tc>
          <w:tcPr>
            <w:tcW w:w="1022" w:type="pct"/>
            <w:tcBorders>
              <w:top w:val="single" w:sz="4" w:space="0" w:color="auto"/>
              <w:left w:val="nil"/>
              <w:bottom w:val="single" w:sz="4" w:space="0" w:color="auto"/>
              <w:right w:val="nil"/>
            </w:tcBorders>
            <w:vAlign w:val="bottom"/>
          </w:tcPr>
          <w:p w14:paraId="4044522D" w14:textId="77777777" w:rsidR="00080DC7" w:rsidRPr="00CC628E" w:rsidRDefault="00080DC7" w:rsidP="00080DC7">
            <w:pPr>
              <w:pStyle w:val="Tabletext"/>
              <w:rPr>
                <w:snapToGrid w:val="0"/>
              </w:rPr>
            </w:pPr>
            <w:r w:rsidRPr="00295986">
              <w:t>0</w:t>
            </w:r>
            <w:r w:rsidR="00D7157D">
              <w:t>.</w:t>
            </w:r>
            <w:r w:rsidRPr="00295986">
              <w:t>769</w:t>
            </w:r>
          </w:p>
        </w:tc>
        <w:tc>
          <w:tcPr>
            <w:tcW w:w="1591" w:type="pct"/>
            <w:tcBorders>
              <w:top w:val="single" w:sz="4" w:space="0" w:color="auto"/>
              <w:left w:val="nil"/>
              <w:bottom w:val="single" w:sz="4" w:space="0" w:color="auto"/>
              <w:right w:val="nil"/>
            </w:tcBorders>
            <w:vAlign w:val="bottom"/>
          </w:tcPr>
          <w:p w14:paraId="18116DA7"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845</w:t>
            </w:r>
          </w:p>
        </w:tc>
      </w:tr>
      <w:tr w:rsidR="00080DC7" w:rsidRPr="00A058B6" w14:paraId="7E3C16F8" w14:textId="77777777" w:rsidTr="0001540F">
        <w:trPr>
          <w:cantSplit/>
        </w:trPr>
        <w:tc>
          <w:tcPr>
            <w:tcW w:w="1348" w:type="pct"/>
            <w:tcBorders>
              <w:top w:val="single" w:sz="4" w:space="0" w:color="auto"/>
              <w:left w:val="nil"/>
              <w:bottom w:val="single" w:sz="4" w:space="0" w:color="auto"/>
              <w:right w:val="nil"/>
            </w:tcBorders>
          </w:tcPr>
          <w:p w14:paraId="2ADD5DD6" w14:textId="77777777" w:rsidR="00080DC7" w:rsidRPr="00616B26" w:rsidRDefault="00080DC7" w:rsidP="00080DC7">
            <w:pPr>
              <w:pStyle w:val="Tabletext"/>
              <w:rPr>
                <w:snapToGrid w:val="0"/>
              </w:rPr>
            </w:pPr>
            <w:r w:rsidRPr="00616B26">
              <w:rPr>
                <w:snapToGrid w:val="0"/>
              </w:rPr>
              <w:t>9</w:t>
            </w:r>
          </w:p>
        </w:tc>
        <w:tc>
          <w:tcPr>
            <w:tcW w:w="1039" w:type="pct"/>
            <w:tcBorders>
              <w:top w:val="single" w:sz="4" w:space="0" w:color="auto"/>
              <w:left w:val="nil"/>
              <w:bottom w:val="single" w:sz="4" w:space="0" w:color="auto"/>
              <w:right w:val="nil"/>
            </w:tcBorders>
            <w:vAlign w:val="bottom"/>
          </w:tcPr>
          <w:p w14:paraId="096595B7" w14:textId="77777777" w:rsidR="00080DC7" w:rsidRPr="00CC628E" w:rsidRDefault="00080DC7" w:rsidP="00080DC7">
            <w:pPr>
              <w:pStyle w:val="Tabletext"/>
              <w:rPr>
                <w:snapToGrid w:val="0"/>
              </w:rPr>
            </w:pPr>
            <w:r w:rsidRPr="00295986">
              <w:t>0</w:t>
            </w:r>
            <w:r w:rsidR="00D7157D">
              <w:t>.</w:t>
            </w:r>
            <w:r w:rsidRPr="00295986">
              <w:t>600</w:t>
            </w:r>
          </w:p>
        </w:tc>
        <w:tc>
          <w:tcPr>
            <w:tcW w:w="1022" w:type="pct"/>
            <w:tcBorders>
              <w:top w:val="single" w:sz="4" w:space="0" w:color="auto"/>
              <w:left w:val="nil"/>
              <w:bottom w:val="single" w:sz="4" w:space="0" w:color="auto"/>
              <w:right w:val="nil"/>
            </w:tcBorders>
            <w:vAlign w:val="bottom"/>
          </w:tcPr>
          <w:p w14:paraId="192D3F16" w14:textId="77777777" w:rsidR="00080DC7" w:rsidRPr="00CC628E" w:rsidRDefault="00080DC7" w:rsidP="00080DC7">
            <w:pPr>
              <w:pStyle w:val="Tabletext"/>
              <w:rPr>
                <w:snapToGrid w:val="0"/>
              </w:rPr>
            </w:pPr>
            <w:r w:rsidRPr="00295986">
              <w:t>0</w:t>
            </w:r>
            <w:r w:rsidR="00D7157D">
              <w:t>.</w:t>
            </w:r>
            <w:r w:rsidRPr="00295986">
              <w:t>744</w:t>
            </w:r>
          </w:p>
        </w:tc>
        <w:tc>
          <w:tcPr>
            <w:tcW w:w="1591" w:type="pct"/>
            <w:tcBorders>
              <w:top w:val="single" w:sz="4" w:space="0" w:color="auto"/>
              <w:left w:val="nil"/>
              <w:bottom w:val="single" w:sz="4" w:space="0" w:color="auto"/>
              <w:right w:val="nil"/>
            </w:tcBorders>
            <w:vAlign w:val="bottom"/>
          </w:tcPr>
          <w:p w14:paraId="77D9EBE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828</w:t>
            </w:r>
          </w:p>
        </w:tc>
      </w:tr>
      <w:tr w:rsidR="00080DC7" w:rsidRPr="00A058B6" w14:paraId="47F689A1" w14:textId="77777777" w:rsidTr="0001540F">
        <w:trPr>
          <w:cantSplit/>
        </w:trPr>
        <w:tc>
          <w:tcPr>
            <w:tcW w:w="1348" w:type="pct"/>
            <w:tcBorders>
              <w:top w:val="single" w:sz="4" w:space="0" w:color="auto"/>
              <w:left w:val="nil"/>
              <w:bottom w:val="single" w:sz="4" w:space="0" w:color="auto"/>
              <w:right w:val="nil"/>
            </w:tcBorders>
          </w:tcPr>
          <w:p w14:paraId="624A1350" w14:textId="77777777" w:rsidR="00080DC7" w:rsidRPr="00616B26" w:rsidRDefault="00080DC7" w:rsidP="00080DC7">
            <w:pPr>
              <w:pStyle w:val="Tabletext"/>
              <w:rPr>
                <w:snapToGrid w:val="0"/>
              </w:rPr>
            </w:pPr>
            <w:r w:rsidRPr="00616B26">
              <w:rPr>
                <w:snapToGrid w:val="0"/>
              </w:rPr>
              <w:t>10</w:t>
            </w:r>
          </w:p>
        </w:tc>
        <w:tc>
          <w:tcPr>
            <w:tcW w:w="1039" w:type="pct"/>
            <w:tcBorders>
              <w:top w:val="single" w:sz="4" w:space="0" w:color="auto"/>
              <w:left w:val="nil"/>
              <w:bottom w:val="single" w:sz="4" w:space="0" w:color="auto"/>
              <w:right w:val="nil"/>
            </w:tcBorders>
            <w:vAlign w:val="bottom"/>
          </w:tcPr>
          <w:p w14:paraId="4ED3E191" w14:textId="77777777" w:rsidR="00080DC7" w:rsidRPr="00CC628E" w:rsidRDefault="00080DC7" w:rsidP="00080DC7">
            <w:pPr>
              <w:pStyle w:val="Tabletext"/>
              <w:rPr>
                <w:snapToGrid w:val="0"/>
              </w:rPr>
            </w:pPr>
            <w:r w:rsidRPr="00295986">
              <w:t>0</w:t>
            </w:r>
            <w:r w:rsidR="00D7157D">
              <w:t>.</w:t>
            </w:r>
            <w:r w:rsidRPr="00295986">
              <w:t>567</w:t>
            </w:r>
          </w:p>
        </w:tc>
        <w:tc>
          <w:tcPr>
            <w:tcW w:w="1022" w:type="pct"/>
            <w:tcBorders>
              <w:top w:val="single" w:sz="4" w:space="0" w:color="auto"/>
              <w:left w:val="nil"/>
              <w:bottom w:val="single" w:sz="4" w:space="0" w:color="auto"/>
              <w:right w:val="nil"/>
            </w:tcBorders>
            <w:vAlign w:val="bottom"/>
          </w:tcPr>
          <w:p w14:paraId="31815B08" w14:textId="77777777" w:rsidR="00080DC7" w:rsidRPr="00CC628E" w:rsidRDefault="00080DC7" w:rsidP="00080DC7">
            <w:pPr>
              <w:pStyle w:val="Tabletext"/>
              <w:rPr>
                <w:snapToGrid w:val="0"/>
              </w:rPr>
            </w:pPr>
            <w:r w:rsidRPr="00295986">
              <w:t>0</w:t>
            </w:r>
            <w:r w:rsidR="00D7157D">
              <w:t>.</w:t>
            </w:r>
            <w:r w:rsidRPr="00295986">
              <w:t>721</w:t>
            </w:r>
          </w:p>
        </w:tc>
        <w:tc>
          <w:tcPr>
            <w:tcW w:w="1591" w:type="pct"/>
            <w:tcBorders>
              <w:top w:val="single" w:sz="4" w:space="0" w:color="auto"/>
              <w:left w:val="nil"/>
              <w:bottom w:val="single" w:sz="4" w:space="0" w:color="auto"/>
              <w:right w:val="nil"/>
            </w:tcBorders>
            <w:vAlign w:val="bottom"/>
          </w:tcPr>
          <w:p w14:paraId="4A8E163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811</w:t>
            </w:r>
          </w:p>
        </w:tc>
      </w:tr>
      <w:tr w:rsidR="00080DC7" w:rsidRPr="00A058B6" w14:paraId="747A6277" w14:textId="77777777" w:rsidTr="0001540F">
        <w:trPr>
          <w:cantSplit/>
        </w:trPr>
        <w:tc>
          <w:tcPr>
            <w:tcW w:w="1348" w:type="pct"/>
            <w:tcBorders>
              <w:top w:val="single" w:sz="4" w:space="0" w:color="auto"/>
              <w:left w:val="nil"/>
              <w:bottom w:val="single" w:sz="4" w:space="0" w:color="auto"/>
              <w:right w:val="nil"/>
            </w:tcBorders>
          </w:tcPr>
          <w:p w14:paraId="580ABCEE" w14:textId="77777777" w:rsidR="00080DC7" w:rsidRPr="00616B26" w:rsidRDefault="00080DC7" w:rsidP="00080DC7">
            <w:pPr>
              <w:pStyle w:val="Tabletext"/>
              <w:rPr>
                <w:snapToGrid w:val="0"/>
              </w:rPr>
            </w:pPr>
            <w:r w:rsidRPr="00616B26">
              <w:rPr>
                <w:snapToGrid w:val="0"/>
              </w:rPr>
              <w:t>11</w:t>
            </w:r>
          </w:p>
        </w:tc>
        <w:tc>
          <w:tcPr>
            <w:tcW w:w="1039" w:type="pct"/>
            <w:tcBorders>
              <w:top w:val="single" w:sz="4" w:space="0" w:color="auto"/>
              <w:left w:val="nil"/>
              <w:bottom w:val="single" w:sz="4" w:space="0" w:color="auto"/>
              <w:right w:val="nil"/>
            </w:tcBorders>
            <w:vAlign w:val="bottom"/>
          </w:tcPr>
          <w:p w14:paraId="2EFECF54" w14:textId="77777777" w:rsidR="00080DC7" w:rsidRPr="00CC628E" w:rsidRDefault="00080DC7" w:rsidP="00080DC7">
            <w:pPr>
              <w:pStyle w:val="Tabletext"/>
              <w:rPr>
                <w:snapToGrid w:val="0"/>
              </w:rPr>
            </w:pPr>
            <w:r w:rsidRPr="00295986">
              <w:t>0</w:t>
            </w:r>
            <w:r w:rsidR="00D7157D">
              <w:t>.</w:t>
            </w:r>
            <w:r w:rsidRPr="00295986">
              <w:t>537</w:t>
            </w:r>
          </w:p>
        </w:tc>
        <w:tc>
          <w:tcPr>
            <w:tcW w:w="1022" w:type="pct"/>
            <w:tcBorders>
              <w:top w:val="single" w:sz="4" w:space="0" w:color="auto"/>
              <w:left w:val="nil"/>
              <w:bottom w:val="single" w:sz="4" w:space="0" w:color="auto"/>
              <w:right w:val="nil"/>
            </w:tcBorders>
            <w:vAlign w:val="bottom"/>
          </w:tcPr>
          <w:p w14:paraId="00648D54" w14:textId="77777777" w:rsidR="00080DC7" w:rsidRPr="00CC628E" w:rsidRDefault="00080DC7" w:rsidP="00080DC7">
            <w:pPr>
              <w:pStyle w:val="Tabletext"/>
              <w:rPr>
                <w:snapToGrid w:val="0"/>
              </w:rPr>
            </w:pPr>
            <w:r w:rsidRPr="00295986">
              <w:t>0</w:t>
            </w:r>
            <w:r w:rsidR="00D7157D">
              <w:t>.</w:t>
            </w:r>
            <w:r w:rsidRPr="00295986">
              <w:t>698</w:t>
            </w:r>
          </w:p>
        </w:tc>
        <w:tc>
          <w:tcPr>
            <w:tcW w:w="1591" w:type="pct"/>
            <w:tcBorders>
              <w:top w:val="single" w:sz="4" w:space="0" w:color="auto"/>
              <w:left w:val="nil"/>
              <w:bottom w:val="single" w:sz="4" w:space="0" w:color="auto"/>
              <w:right w:val="nil"/>
            </w:tcBorders>
            <w:vAlign w:val="bottom"/>
          </w:tcPr>
          <w:p w14:paraId="2C8E91C1"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795</w:t>
            </w:r>
          </w:p>
        </w:tc>
      </w:tr>
      <w:tr w:rsidR="00080DC7" w:rsidRPr="00A058B6" w14:paraId="7C59F878" w14:textId="77777777" w:rsidTr="0001540F">
        <w:trPr>
          <w:cantSplit/>
        </w:trPr>
        <w:tc>
          <w:tcPr>
            <w:tcW w:w="1348" w:type="pct"/>
            <w:tcBorders>
              <w:top w:val="single" w:sz="4" w:space="0" w:color="auto"/>
              <w:left w:val="nil"/>
              <w:bottom w:val="single" w:sz="4" w:space="0" w:color="auto"/>
              <w:right w:val="nil"/>
            </w:tcBorders>
          </w:tcPr>
          <w:p w14:paraId="16207727" w14:textId="77777777" w:rsidR="00080DC7" w:rsidRPr="00616B26" w:rsidRDefault="00080DC7" w:rsidP="00080DC7">
            <w:pPr>
              <w:pStyle w:val="Tabletext"/>
              <w:rPr>
                <w:snapToGrid w:val="0"/>
              </w:rPr>
            </w:pPr>
            <w:r w:rsidRPr="00616B26">
              <w:rPr>
                <w:snapToGrid w:val="0"/>
              </w:rPr>
              <w:t>12</w:t>
            </w:r>
          </w:p>
        </w:tc>
        <w:tc>
          <w:tcPr>
            <w:tcW w:w="1039" w:type="pct"/>
            <w:tcBorders>
              <w:top w:val="single" w:sz="4" w:space="0" w:color="auto"/>
              <w:left w:val="nil"/>
              <w:bottom w:val="single" w:sz="4" w:space="0" w:color="auto"/>
              <w:right w:val="nil"/>
            </w:tcBorders>
            <w:vAlign w:val="bottom"/>
          </w:tcPr>
          <w:p w14:paraId="7687D9D3" w14:textId="77777777" w:rsidR="00080DC7" w:rsidRPr="00CC628E" w:rsidRDefault="00080DC7" w:rsidP="00080DC7">
            <w:pPr>
              <w:pStyle w:val="Tabletext"/>
              <w:rPr>
                <w:snapToGrid w:val="0"/>
              </w:rPr>
            </w:pPr>
            <w:r w:rsidRPr="00295986">
              <w:t>0</w:t>
            </w:r>
            <w:r w:rsidR="00D7157D">
              <w:t>.</w:t>
            </w:r>
            <w:r w:rsidRPr="00295986">
              <w:t>508</w:t>
            </w:r>
          </w:p>
        </w:tc>
        <w:tc>
          <w:tcPr>
            <w:tcW w:w="1022" w:type="pct"/>
            <w:tcBorders>
              <w:top w:val="single" w:sz="4" w:space="0" w:color="auto"/>
              <w:left w:val="nil"/>
              <w:bottom w:val="single" w:sz="4" w:space="0" w:color="auto"/>
              <w:right w:val="nil"/>
            </w:tcBorders>
            <w:vAlign w:val="bottom"/>
          </w:tcPr>
          <w:p w14:paraId="54BC5881" w14:textId="77777777" w:rsidR="00080DC7" w:rsidRPr="00CC628E" w:rsidRDefault="00080DC7" w:rsidP="00080DC7">
            <w:pPr>
              <w:pStyle w:val="Tabletext"/>
              <w:rPr>
                <w:snapToGrid w:val="0"/>
              </w:rPr>
            </w:pPr>
            <w:r w:rsidRPr="00295986">
              <w:t>0</w:t>
            </w:r>
            <w:r w:rsidR="00D7157D">
              <w:t>.</w:t>
            </w:r>
            <w:r w:rsidRPr="00295986">
              <w:t>676</w:t>
            </w:r>
          </w:p>
        </w:tc>
        <w:tc>
          <w:tcPr>
            <w:tcW w:w="1591" w:type="pct"/>
            <w:tcBorders>
              <w:top w:val="single" w:sz="4" w:space="0" w:color="auto"/>
              <w:left w:val="nil"/>
              <w:bottom w:val="single" w:sz="4" w:space="0" w:color="auto"/>
              <w:right w:val="nil"/>
            </w:tcBorders>
            <w:vAlign w:val="bottom"/>
          </w:tcPr>
          <w:p w14:paraId="589C399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778</w:t>
            </w:r>
          </w:p>
        </w:tc>
      </w:tr>
      <w:tr w:rsidR="00080DC7" w:rsidRPr="00A058B6" w14:paraId="69C286F3" w14:textId="77777777" w:rsidTr="0001540F">
        <w:trPr>
          <w:cantSplit/>
        </w:trPr>
        <w:tc>
          <w:tcPr>
            <w:tcW w:w="1348" w:type="pct"/>
            <w:tcBorders>
              <w:top w:val="single" w:sz="4" w:space="0" w:color="auto"/>
              <w:left w:val="nil"/>
              <w:bottom w:val="single" w:sz="4" w:space="0" w:color="auto"/>
              <w:right w:val="nil"/>
            </w:tcBorders>
          </w:tcPr>
          <w:p w14:paraId="229E10A7" w14:textId="77777777" w:rsidR="00080DC7" w:rsidRPr="00616B26" w:rsidRDefault="00080DC7" w:rsidP="00080DC7">
            <w:pPr>
              <w:pStyle w:val="Tabletext"/>
              <w:rPr>
                <w:snapToGrid w:val="0"/>
              </w:rPr>
            </w:pPr>
            <w:r w:rsidRPr="00616B26">
              <w:rPr>
                <w:snapToGrid w:val="0"/>
              </w:rPr>
              <w:t>13</w:t>
            </w:r>
          </w:p>
        </w:tc>
        <w:tc>
          <w:tcPr>
            <w:tcW w:w="1039" w:type="pct"/>
            <w:tcBorders>
              <w:top w:val="single" w:sz="4" w:space="0" w:color="auto"/>
              <w:left w:val="nil"/>
              <w:bottom w:val="single" w:sz="4" w:space="0" w:color="auto"/>
              <w:right w:val="nil"/>
            </w:tcBorders>
            <w:vAlign w:val="bottom"/>
          </w:tcPr>
          <w:p w14:paraId="24F1904A" w14:textId="77777777" w:rsidR="00080DC7" w:rsidRPr="00CC628E" w:rsidRDefault="00080DC7" w:rsidP="00080DC7">
            <w:pPr>
              <w:pStyle w:val="Tabletext"/>
              <w:rPr>
                <w:snapToGrid w:val="0"/>
              </w:rPr>
            </w:pPr>
            <w:r w:rsidRPr="00295986">
              <w:t>0</w:t>
            </w:r>
            <w:r w:rsidR="00D7157D">
              <w:t>.</w:t>
            </w:r>
            <w:r w:rsidRPr="00295986">
              <w:t>480</w:t>
            </w:r>
          </w:p>
        </w:tc>
        <w:tc>
          <w:tcPr>
            <w:tcW w:w="1022" w:type="pct"/>
            <w:tcBorders>
              <w:top w:val="single" w:sz="4" w:space="0" w:color="auto"/>
              <w:left w:val="nil"/>
              <w:bottom w:val="single" w:sz="4" w:space="0" w:color="auto"/>
              <w:right w:val="nil"/>
            </w:tcBorders>
            <w:vAlign w:val="bottom"/>
          </w:tcPr>
          <w:p w14:paraId="62393482" w14:textId="77777777" w:rsidR="00080DC7" w:rsidRPr="00CC628E" w:rsidRDefault="00080DC7" w:rsidP="00080DC7">
            <w:pPr>
              <w:pStyle w:val="Tabletext"/>
              <w:rPr>
                <w:snapToGrid w:val="0"/>
              </w:rPr>
            </w:pPr>
            <w:r w:rsidRPr="00295986">
              <w:t>0</w:t>
            </w:r>
            <w:r w:rsidR="00D7157D">
              <w:t>.</w:t>
            </w:r>
            <w:r w:rsidRPr="00295986">
              <w:t>655</w:t>
            </w:r>
          </w:p>
        </w:tc>
        <w:tc>
          <w:tcPr>
            <w:tcW w:w="1591" w:type="pct"/>
            <w:tcBorders>
              <w:top w:val="single" w:sz="4" w:space="0" w:color="auto"/>
              <w:left w:val="nil"/>
              <w:bottom w:val="single" w:sz="4" w:space="0" w:color="auto"/>
              <w:right w:val="nil"/>
            </w:tcBorders>
            <w:vAlign w:val="bottom"/>
          </w:tcPr>
          <w:p w14:paraId="47A03FF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762</w:t>
            </w:r>
          </w:p>
        </w:tc>
      </w:tr>
      <w:tr w:rsidR="00080DC7" w:rsidRPr="00A058B6" w14:paraId="462358FD" w14:textId="77777777" w:rsidTr="0001540F">
        <w:trPr>
          <w:cantSplit/>
        </w:trPr>
        <w:tc>
          <w:tcPr>
            <w:tcW w:w="1348" w:type="pct"/>
            <w:tcBorders>
              <w:top w:val="single" w:sz="4" w:space="0" w:color="auto"/>
              <w:left w:val="nil"/>
              <w:bottom w:val="single" w:sz="4" w:space="0" w:color="auto"/>
              <w:right w:val="nil"/>
            </w:tcBorders>
          </w:tcPr>
          <w:p w14:paraId="66BFF629" w14:textId="77777777" w:rsidR="00080DC7" w:rsidRPr="00616B26" w:rsidRDefault="00080DC7" w:rsidP="00080DC7">
            <w:pPr>
              <w:pStyle w:val="Tabletext"/>
              <w:rPr>
                <w:snapToGrid w:val="0"/>
              </w:rPr>
            </w:pPr>
            <w:r w:rsidRPr="00616B26">
              <w:rPr>
                <w:snapToGrid w:val="0"/>
              </w:rPr>
              <w:t>14</w:t>
            </w:r>
          </w:p>
        </w:tc>
        <w:tc>
          <w:tcPr>
            <w:tcW w:w="1039" w:type="pct"/>
            <w:tcBorders>
              <w:top w:val="single" w:sz="4" w:space="0" w:color="auto"/>
              <w:left w:val="nil"/>
              <w:bottom w:val="single" w:sz="4" w:space="0" w:color="auto"/>
              <w:right w:val="nil"/>
            </w:tcBorders>
            <w:vAlign w:val="bottom"/>
          </w:tcPr>
          <w:p w14:paraId="6D537396" w14:textId="77777777" w:rsidR="00080DC7" w:rsidRPr="00CC628E" w:rsidRDefault="00080DC7" w:rsidP="00080DC7">
            <w:pPr>
              <w:pStyle w:val="Tabletext"/>
              <w:rPr>
                <w:snapToGrid w:val="0"/>
              </w:rPr>
            </w:pPr>
            <w:r w:rsidRPr="00295986">
              <w:t>0</w:t>
            </w:r>
            <w:r w:rsidR="00D7157D">
              <w:t>.</w:t>
            </w:r>
            <w:r w:rsidRPr="00295986">
              <w:t>454</w:t>
            </w:r>
          </w:p>
        </w:tc>
        <w:tc>
          <w:tcPr>
            <w:tcW w:w="1022" w:type="pct"/>
            <w:tcBorders>
              <w:top w:val="single" w:sz="4" w:space="0" w:color="auto"/>
              <w:left w:val="nil"/>
              <w:bottom w:val="single" w:sz="4" w:space="0" w:color="auto"/>
              <w:right w:val="nil"/>
            </w:tcBorders>
            <w:vAlign w:val="bottom"/>
          </w:tcPr>
          <w:p w14:paraId="35862286" w14:textId="77777777" w:rsidR="00080DC7" w:rsidRPr="00CC628E" w:rsidRDefault="00080DC7" w:rsidP="00080DC7">
            <w:pPr>
              <w:pStyle w:val="Tabletext"/>
              <w:rPr>
                <w:snapToGrid w:val="0"/>
              </w:rPr>
            </w:pPr>
            <w:r w:rsidRPr="00295986">
              <w:t>0</w:t>
            </w:r>
            <w:r w:rsidR="00D7157D">
              <w:t>.</w:t>
            </w:r>
            <w:r w:rsidRPr="00295986">
              <w:t>634</w:t>
            </w:r>
          </w:p>
        </w:tc>
        <w:tc>
          <w:tcPr>
            <w:tcW w:w="1591" w:type="pct"/>
            <w:tcBorders>
              <w:top w:val="single" w:sz="4" w:space="0" w:color="auto"/>
              <w:left w:val="nil"/>
              <w:bottom w:val="single" w:sz="4" w:space="0" w:color="auto"/>
              <w:right w:val="nil"/>
            </w:tcBorders>
            <w:vAlign w:val="bottom"/>
          </w:tcPr>
          <w:p w14:paraId="75E7513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747</w:t>
            </w:r>
          </w:p>
        </w:tc>
      </w:tr>
      <w:tr w:rsidR="00080DC7" w:rsidRPr="00A058B6" w14:paraId="1616EDE4" w14:textId="77777777" w:rsidTr="0001540F">
        <w:trPr>
          <w:cantSplit/>
        </w:trPr>
        <w:tc>
          <w:tcPr>
            <w:tcW w:w="1348" w:type="pct"/>
            <w:tcBorders>
              <w:top w:val="single" w:sz="4" w:space="0" w:color="auto"/>
              <w:left w:val="nil"/>
              <w:bottom w:val="single" w:sz="4" w:space="0" w:color="auto"/>
              <w:right w:val="nil"/>
            </w:tcBorders>
          </w:tcPr>
          <w:p w14:paraId="5519A9C4" w14:textId="77777777" w:rsidR="00080DC7" w:rsidRPr="00616B26" w:rsidRDefault="00080DC7" w:rsidP="00080DC7">
            <w:pPr>
              <w:pStyle w:val="Tabletext"/>
              <w:rPr>
                <w:snapToGrid w:val="0"/>
              </w:rPr>
            </w:pPr>
            <w:r w:rsidRPr="00616B26">
              <w:rPr>
                <w:snapToGrid w:val="0"/>
              </w:rPr>
              <w:t>15</w:t>
            </w:r>
          </w:p>
        </w:tc>
        <w:tc>
          <w:tcPr>
            <w:tcW w:w="1039" w:type="pct"/>
            <w:tcBorders>
              <w:top w:val="single" w:sz="4" w:space="0" w:color="auto"/>
              <w:left w:val="nil"/>
              <w:bottom w:val="single" w:sz="4" w:space="0" w:color="auto"/>
              <w:right w:val="nil"/>
            </w:tcBorders>
            <w:vAlign w:val="bottom"/>
          </w:tcPr>
          <w:p w14:paraId="5492A576" w14:textId="77777777" w:rsidR="00080DC7" w:rsidRPr="00CC628E" w:rsidRDefault="00080DC7" w:rsidP="00080DC7">
            <w:pPr>
              <w:pStyle w:val="Tabletext"/>
              <w:rPr>
                <w:snapToGrid w:val="0"/>
              </w:rPr>
            </w:pPr>
            <w:r w:rsidRPr="00295986">
              <w:t>0</w:t>
            </w:r>
            <w:r w:rsidR="00D7157D">
              <w:t>.</w:t>
            </w:r>
            <w:r w:rsidRPr="00295986">
              <w:t>430</w:t>
            </w:r>
          </w:p>
        </w:tc>
        <w:tc>
          <w:tcPr>
            <w:tcW w:w="1022" w:type="pct"/>
            <w:tcBorders>
              <w:top w:val="single" w:sz="4" w:space="0" w:color="auto"/>
              <w:left w:val="nil"/>
              <w:bottom w:val="single" w:sz="4" w:space="0" w:color="auto"/>
              <w:right w:val="nil"/>
            </w:tcBorders>
            <w:vAlign w:val="bottom"/>
          </w:tcPr>
          <w:p w14:paraId="18E270DE" w14:textId="77777777" w:rsidR="00080DC7" w:rsidRPr="00CC628E" w:rsidRDefault="00080DC7" w:rsidP="00080DC7">
            <w:pPr>
              <w:pStyle w:val="Tabletext"/>
              <w:rPr>
                <w:snapToGrid w:val="0"/>
              </w:rPr>
            </w:pPr>
            <w:r w:rsidRPr="00295986">
              <w:t>0</w:t>
            </w:r>
            <w:r w:rsidR="00D7157D">
              <w:t>.</w:t>
            </w:r>
            <w:r w:rsidRPr="00295986">
              <w:t>614</w:t>
            </w:r>
          </w:p>
        </w:tc>
        <w:tc>
          <w:tcPr>
            <w:tcW w:w="1591" w:type="pct"/>
            <w:tcBorders>
              <w:top w:val="single" w:sz="4" w:space="0" w:color="auto"/>
              <w:left w:val="nil"/>
              <w:bottom w:val="single" w:sz="4" w:space="0" w:color="auto"/>
              <w:right w:val="nil"/>
            </w:tcBorders>
            <w:vAlign w:val="bottom"/>
          </w:tcPr>
          <w:p w14:paraId="4210B5B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732</w:t>
            </w:r>
          </w:p>
        </w:tc>
      </w:tr>
      <w:tr w:rsidR="00080DC7" w:rsidRPr="00A058B6" w14:paraId="06594F55" w14:textId="77777777" w:rsidTr="0001540F">
        <w:trPr>
          <w:cantSplit/>
        </w:trPr>
        <w:tc>
          <w:tcPr>
            <w:tcW w:w="1348" w:type="pct"/>
            <w:tcBorders>
              <w:top w:val="single" w:sz="4" w:space="0" w:color="auto"/>
              <w:left w:val="nil"/>
              <w:bottom w:val="single" w:sz="4" w:space="0" w:color="auto"/>
              <w:right w:val="nil"/>
            </w:tcBorders>
          </w:tcPr>
          <w:p w14:paraId="08B10C36" w14:textId="77777777" w:rsidR="00080DC7" w:rsidRPr="00616B26" w:rsidRDefault="00080DC7" w:rsidP="00080DC7">
            <w:pPr>
              <w:pStyle w:val="Tabletext"/>
              <w:rPr>
                <w:snapToGrid w:val="0"/>
              </w:rPr>
            </w:pPr>
            <w:r w:rsidRPr="00616B26">
              <w:rPr>
                <w:snapToGrid w:val="0"/>
              </w:rPr>
              <w:t>16</w:t>
            </w:r>
          </w:p>
        </w:tc>
        <w:tc>
          <w:tcPr>
            <w:tcW w:w="1039" w:type="pct"/>
            <w:tcBorders>
              <w:top w:val="single" w:sz="4" w:space="0" w:color="auto"/>
              <w:left w:val="nil"/>
              <w:bottom w:val="single" w:sz="4" w:space="0" w:color="auto"/>
              <w:right w:val="nil"/>
            </w:tcBorders>
            <w:vAlign w:val="bottom"/>
          </w:tcPr>
          <w:p w14:paraId="0B2E38EE" w14:textId="77777777" w:rsidR="00080DC7" w:rsidRPr="00CC628E" w:rsidRDefault="00080DC7" w:rsidP="00080DC7">
            <w:pPr>
              <w:pStyle w:val="Tabletext"/>
              <w:rPr>
                <w:snapToGrid w:val="0"/>
              </w:rPr>
            </w:pPr>
            <w:r w:rsidRPr="00295986">
              <w:t>0</w:t>
            </w:r>
            <w:r w:rsidR="00D7157D">
              <w:t>.</w:t>
            </w:r>
            <w:r w:rsidRPr="00295986">
              <w:t>407</w:t>
            </w:r>
          </w:p>
        </w:tc>
        <w:tc>
          <w:tcPr>
            <w:tcW w:w="1022" w:type="pct"/>
            <w:tcBorders>
              <w:top w:val="single" w:sz="4" w:space="0" w:color="auto"/>
              <w:left w:val="nil"/>
              <w:bottom w:val="single" w:sz="4" w:space="0" w:color="auto"/>
              <w:right w:val="nil"/>
            </w:tcBorders>
            <w:vAlign w:val="bottom"/>
          </w:tcPr>
          <w:p w14:paraId="074AB69D" w14:textId="77777777" w:rsidR="00080DC7" w:rsidRPr="00CC628E" w:rsidRDefault="00080DC7" w:rsidP="00080DC7">
            <w:pPr>
              <w:pStyle w:val="Tabletext"/>
              <w:rPr>
                <w:snapToGrid w:val="0"/>
              </w:rPr>
            </w:pPr>
            <w:r w:rsidRPr="00295986">
              <w:t>0</w:t>
            </w:r>
            <w:r w:rsidR="00D7157D">
              <w:t>.</w:t>
            </w:r>
            <w:r w:rsidRPr="00295986">
              <w:t>594</w:t>
            </w:r>
          </w:p>
        </w:tc>
        <w:tc>
          <w:tcPr>
            <w:tcW w:w="1591" w:type="pct"/>
            <w:tcBorders>
              <w:top w:val="single" w:sz="4" w:space="0" w:color="auto"/>
              <w:left w:val="nil"/>
              <w:bottom w:val="single" w:sz="4" w:space="0" w:color="auto"/>
              <w:right w:val="nil"/>
            </w:tcBorders>
            <w:vAlign w:val="bottom"/>
          </w:tcPr>
          <w:p w14:paraId="584C68B2"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717</w:t>
            </w:r>
          </w:p>
        </w:tc>
      </w:tr>
      <w:tr w:rsidR="00080DC7" w:rsidRPr="00A058B6" w14:paraId="0CC33E68" w14:textId="77777777" w:rsidTr="0001540F">
        <w:trPr>
          <w:cantSplit/>
        </w:trPr>
        <w:tc>
          <w:tcPr>
            <w:tcW w:w="1348" w:type="pct"/>
            <w:tcBorders>
              <w:top w:val="single" w:sz="4" w:space="0" w:color="auto"/>
              <w:left w:val="nil"/>
              <w:bottom w:val="single" w:sz="4" w:space="0" w:color="auto"/>
              <w:right w:val="nil"/>
            </w:tcBorders>
          </w:tcPr>
          <w:p w14:paraId="2B451B1D" w14:textId="77777777" w:rsidR="00080DC7" w:rsidRPr="00616B26" w:rsidRDefault="00080DC7" w:rsidP="00080DC7">
            <w:pPr>
              <w:pStyle w:val="Tabletext"/>
              <w:rPr>
                <w:snapToGrid w:val="0"/>
              </w:rPr>
            </w:pPr>
            <w:r w:rsidRPr="00616B26">
              <w:rPr>
                <w:snapToGrid w:val="0"/>
              </w:rPr>
              <w:t>17</w:t>
            </w:r>
          </w:p>
        </w:tc>
        <w:tc>
          <w:tcPr>
            <w:tcW w:w="1039" w:type="pct"/>
            <w:tcBorders>
              <w:top w:val="single" w:sz="4" w:space="0" w:color="auto"/>
              <w:left w:val="nil"/>
              <w:bottom w:val="single" w:sz="4" w:space="0" w:color="auto"/>
              <w:right w:val="nil"/>
            </w:tcBorders>
            <w:vAlign w:val="bottom"/>
          </w:tcPr>
          <w:p w14:paraId="152DF9F6" w14:textId="77777777" w:rsidR="00080DC7" w:rsidRPr="00CC628E" w:rsidRDefault="00080DC7" w:rsidP="00080DC7">
            <w:pPr>
              <w:pStyle w:val="Tabletext"/>
              <w:rPr>
                <w:snapToGrid w:val="0"/>
              </w:rPr>
            </w:pPr>
            <w:r w:rsidRPr="00295986">
              <w:t>0</w:t>
            </w:r>
            <w:r w:rsidR="00D7157D">
              <w:t>.</w:t>
            </w:r>
            <w:r w:rsidRPr="00295986">
              <w:t>385</w:t>
            </w:r>
          </w:p>
        </w:tc>
        <w:tc>
          <w:tcPr>
            <w:tcW w:w="1022" w:type="pct"/>
            <w:tcBorders>
              <w:top w:val="single" w:sz="4" w:space="0" w:color="auto"/>
              <w:left w:val="nil"/>
              <w:bottom w:val="single" w:sz="4" w:space="0" w:color="auto"/>
              <w:right w:val="nil"/>
            </w:tcBorders>
            <w:vAlign w:val="bottom"/>
          </w:tcPr>
          <w:p w14:paraId="1FDAFE5A" w14:textId="77777777" w:rsidR="00080DC7" w:rsidRPr="00CC628E" w:rsidRDefault="00080DC7" w:rsidP="00080DC7">
            <w:pPr>
              <w:pStyle w:val="Tabletext"/>
              <w:rPr>
                <w:snapToGrid w:val="0"/>
              </w:rPr>
            </w:pPr>
            <w:r w:rsidRPr="00295986">
              <w:t>0</w:t>
            </w:r>
            <w:r w:rsidR="00D7157D">
              <w:t>.</w:t>
            </w:r>
            <w:r w:rsidRPr="00295986">
              <w:t>576</w:t>
            </w:r>
          </w:p>
        </w:tc>
        <w:tc>
          <w:tcPr>
            <w:tcW w:w="1591" w:type="pct"/>
            <w:tcBorders>
              <w:top w:val="single" w:sz="4" w:space="0" w:color="auto"/>
              <w:left w:val="nil"/>
              <w:bottom w:val="single" w:sz="4" w:space="0" w:color="auto"/>
              <w:right w:val="nil"/>
            </w:tcBorders>
            <w:vAlign w:val="bottom"/>
          </w:tcPr>
          <w:p w14:paraId="2F5C8E1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702</w:t>
            </w:r>
          </w:p>
        </w:tc>
      </w:tr>
      <w:tr w:rsidR="00080DC7" w:rsidRPr="00A058B6" w14:paraId="3F95C3D1" w14:textId="77777777" w:rsidTr="0001540F">
        <w:trPr>
          <w:cantSplit/>
        </w:trPr>
        <w:tc>
          <w:tcPr>
            <w:tcW w:w="1348" w:type="pct"/>
            <w:tcBorders>
              <w:top w:val="single" w:sz="4" w:space="0" w:color="auto"/>
              <w:left w:val="nil"/>
              <w:bottom w:val="single" w:sz="4" w:space="0" w:color="auto"/>
              <w:right w:val="nil"/>
            </w:tcBorders>
          </w:tcPr>
          <w:p w14:paraId="393DC48B" w14:textId="77777777" w:rsidR="00080DC7" w:rsidRPr="00616B26" w:rsidRDefault="00080DC7" w:rsidP="00080DC7">
            <w:pPr>
              <w:pStyle w:val="Tabletext"/>
              <w:rPr>
                <w:snapToGrid w:val="0"/>
              </w:rPr>
            </w:pPr>
            <w:r w:rsidRPr="00616B26">
              <w:rPr>
                <w:snapToGrid w:val="0"/>
              </w:rPr>
              <w:t>18</w:t>
            </w:r>
          </w:p>
        </w:tc>
        <w:tc>
          <w:tcPr>
            <w:tcW w:w="1039" w:type="pct"/>
            <w:tcBorders>
              <w:top w:val="single" w:sz="4" w:space="0" w:color="auto"/>
              <w:left w:val="nil"/>
              <w:bottom w:val="single" w:sz="4" w:space="0" w:color="auto"/>
              <w:right w:val="nil"/>
            </w:tcBorders>
            <w:vAlign w:val="bottom"/>
          </w:tcPr>
          <w:p w14:paraId="11A9DB25" w14:textId="77777777" w:rsidR="00080DC7" w:rsidRPr="00CC628E" w:rsidRDefault="00080DC7" w:rsidP="00080DC7">
            <w:pPr>
              <w:pStyle w:val="Tabletext"/>
              <w:rPr>
                <w:snapToGrid w:val="0"/>
              </w:rPr>
            </w:pPr>
            <w:r w:rsidRPr="00295986">
              <w:t>0</w:t>
            </w:r>
            <w:r w:rsidR="00D7157D">
              <w:t>.</w:t>
            </w:r>
            <w:r w:rsidRPr="00295986">
              <w:t>364</w:t>
            </w:r>
          </w:p>
        </w:tc>
        <w:tc>
          <w:tcPr>
            <w:tcW w:w="1022" w:type="pct"/>
            <w:tcBorders>
              <w:top w:val="single" w:sz="4" w:space="0" w:color="auto"/>
              <w:left w:val="nil"/>
              <w:bottom w:val="single" w:sz="4" w:space="0" w:color="auto"/>
              <w:right w:val="nil"/>
            </w:tcBorders>
            <w:vAlign w:val="bottom"/>
          </w:tcPr>
          <w:p w14:paraId="3C48DB54" w14:textId="77777777" w:rsidR="00080DC7" w:rsidRPr="00CC628E" w:rsidRDefault="00080DC7" w:rsidP="00080DC7">
            <w:pPr>
              <w:pStyle w:val="Tabletext"/>
              <w:rPr>
                <w:snapToGrid w:val="0"/>
              </w:rPr>
            </w:pPr>
            <w:r w:rsidRPr="00295986">
              <w:t>0</w:t>
            </w:r>
            <w:r w:rsidR="00D7157D">
              <w:t>.</w:t>
            </w:r>
            <w:r w:rsidRPr="00295986">
              <w:t>557</w:t>
            </w:r>
          </w:p>
        </w:tc>
        <w:tc>
          <w:tcPr>
            <w:tcW w:w="1591" w:type="pct"/>
            <w:tcBorders>
              <w:top w:val="single" w:sz="4" w:space="0" w:color="auto"/>
              <w:left w:val="nil"/>
              <w:bottom w:val="single" w:sz="4" w:space="0" w:color="auto"/>
              <w:right w:val="nil"/>
            </w:tcBorders>
            <w:vAlign w:val="bottom"/>
          </w:tcPr>
          <w:p w14:paraId="52130AE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688</w:t>
            </w:r>
          </w:p>
        </w:tc>
      </w:tr>
      <w:tr w:rsidR="00080DC7" w:rsidRPr="00A058B6" w14:paraId="347A3392" w14:textId="77777777" w:rsidTr="0001540F">
        <w:trPr>
          <w:cantSplit/>
        </w:trPr>
        <w:tc>
          <w:tcPr>
            <w:tcW w:w="1348" w:type="pct"/>
            <w:tcBorders>
              <w:top w:val="single" w:sz="4" w:space="0" w:color="auto"/>
              <w:left w:val="nil"/>
              <w:bottom w:val="single" w:sz="4" w:space="0" w:color="auto"/>
              <w:right w:val="nil"/>
            </w:tcBorders>
          </w:tcPr>
          <w:p w14:paraId="6F85ED7C" w14:textId="77777777" w:rsidR="00080DC7" w:rsidRPr="00616B26" w:rsidRDefault="00080DC7" w:rsidP="00080DC7">
            <w:pPr>
              <w:pStyle w:val="Tabletext"/>
              <w:rPr>
                <w:snapToGrid w:val="0"/>
              </w:rPr>
            </w:pPr>
            <w:r w:rsidRPr="00616B26">
              <w:rPr>
                <w:snapToGrid w:val="0"/>
              </w:rPr>
              <w:t>19</w:t>
            </w:r>
          </w:p>
        </w:tc>
        <w:tc>
          <w:tcPr>
            <w:tcW w:w="1039" w:type="pct"/>
            <w:tcBorders>
              <w:top w:val="single" w:sz="4" w:space="0" w:color="auto"/>
              <w:left w:val="nil"/>
              <w:bottom w:val="single" w:sz="4" w:space="0" w:color="auto"/>
              <w:right w:val="nil"/>
            </w:tcBorders>
            <w:vAlign w:val="bottom"/>
          </w:tcPr>
          <w:p w14:paraId="7FF48F9A" w14:textId="77777777" w:rsidR="00080DC7" w:rsidRPr="00CC628E" w:rsidRDefault="00080DC7" w:rsidP="00080DC7">
            <w:pPr>
              <w:pStyle w:val="Tabletext"/>
              <w:rPr>
                <w:snapToGrid w:val="0"/>
              </w:rPr>
            </w:pPr>
            <w:r w:rsidRPr="00295986">
              <w:t>0</w:t>
            </w:r>
            <w:r w:rsidR="00D7157D">
              <w:t>.</w:t>
            </w:r>
            <w:r w:rsidRPr="00295986">
              <w:t>345</w:t>
            </w:r>
          </w:p>
        </w:tc>
        <w:tc>
          <w:tcPr>
            <w:tcW w:w="1022" w:type="pct"/>
            <w:tcBorders>
              <w:top w:val="single" w:sz="4" w:space="0" w:color="auto"/>
              <w:left w:val="nil"/>
              <w:bottom w:val="single" w:sz="4" w:space="0" w:color="auto"/>
              <w:right w:val="nil"/>
            </w:tcBorders>
            <w:vAlign w:val="bottom"/>
          </w:tcPr>
          <w:p w14:paraId="6435F3F7" w14:textId="77777777" w:rsidR="00080DC7" w:rsidRPr="00CC628E" w:rsidRDefault="00080DC7" w:rsidP="00080DC7">
            <w:pPr>
              <w:pStyle w:val="Tabletext"/>
              <w:rPr>
                <w:snapToGrid w:val="0"/>
              </w:rPr>
            </w:pPr>
            <w:r w:rsidRPr="00295986">
              <w:t>0</w:t>
            </w:r>
            <w:r w:rsidR="00D7157D">
              <w:t>.</w:t>
            </w:r>
            <w:r w:rsidRPr="00295986">
              <w:t>540</w:t>
            </w:r>
          </w:p>
        </w:tc>
        <w:tc>
          <w:tcPr>
            <w:tcW w:w="1591" w:type="pct"/>
            <w:tcBorders>
              <w:top w:val="single" w:sz="4" w:space="0" w:color="auto"/>
              <w:left w:val="nil"/>
              <w:bottom w:val="single" w:sz="4" w:space="0" w:color="auto"/>
              <w:right w:val="nil"/>
            </w:tcBorders>
            <w:vAlign w:val="bottom"/>
          </w:tcPr>
          <w:p w14:paraId="04DD2FAA"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674</w:t>
            </w:r>
          </w:p>
        </w:tc>
      </w:tr>
      <w:tr w:rsidR="00080DC7" w:rsidRPr="00A058B6" w14:paraId="52FB5183" w14:textId="77777777" w:rsidTr="0001540F">
        <w:trPr>
          <w:cantSplit/>
        </w:trPr>
        <w:tc>
          <w:tcPr>
            <w:tcW w:w="1348" w:type="pct"/>
            <w:tcBorders>
              <w:top w:val="single" w:sz="4" w:space="0" w:color="auto"/>
              <w:left w:val="nil"/>
              <w:bottom w:val="single" w:sz="4" w:space="0" w:color="auto"/>
              <w:right w:val="nil"/>
            </w:tcBorders>
          </w:tcPr>
          <w:p w14:paraId="4F194553" w14:textId="77777777" w:rsidR="00080DC7" w:rsidRPr="00616B26" w:rsidRDefault="00080DC7" w:rsidP="00080DC7">
            <w:pPr>
              <w:pStyle w:val="Tabletext"/>
              <w:rPr>
                <w:snapToGrid w:val="0"/>
              </w:rPr>
            </w:pPr>
            <w:r w:rsidRPr="00616B26">
              <w:rPr>
                <w:snapToGrid w:val="0"/>
              </w:rPr>
              <w:t>20</w:t>
            </w:r>
          </w:p>
        </w:tc>
        <w:tc>
          <w:tcPr>
            <w:tcW w:w="1039" w:type="pct"/>
            <w:tcBorders>
              <w:top w:val="single" w:sz="4" w:space="0" w:color="auto"/>
              <w:left w:val="nil"/>
              <w:bottom w:val="single" w:sz="4" w:space="0" w:color="auto"/>
              <w:right w:val="nil"/>
            </w:tcBorders>
            <w:vAlign w:val="bottom"/>
          </w:tcPr>
          <w:p w14:paraId="17856077" w14:textId="77777777" w:rsidR="00080DC7" w:rsidRPr="00CC628E" w:rsidRDefault="00080DC7" w:rsidP="00080DC7">
            <w:pPr>
              <w:pStyle w:val="Tabletext"/>
              <w:rPr>
                <w:snapToGrid w:val="0"/>
              </w:rPr>
            </w:pPr>
            <w:r w:rsidRPr="00295986">
              <w:t>0</w:t>
            </w:r>
            <w:r w:rsidR="00D7157D">
              <w:t>.</w:t>
            </w:r>
            <w:r w:rsidRPr="00295986">
              <w:t>326</w:t>
            </w:r>
          </w:p>
        </w:tc>
        <w:tc>
          <w:tcPr>
            <w:tcW w:w="1022" w:type="pct"/>
            <w:tcBorders>
              <w:top w:val="single" w:sz="4" w:space="0" w:color="auto"/>
              <w:left w:val="nil"/>
              <w:bottom w:val="single" w:sz="4" w:space="0" w:color="auto"/>
              <w:right w:val="nil"/>
            </w:tcBorders>
            <w:vAlign w:val="bottom"/>
          </w:tcPr>
          <w:p w14:paraId="72D26A80" w14:textId="77777777" w:rsidR="00080DC7" w:rsidRPr="00CC628E" w:rsidRDefault="00080DC7" w:rsidP="00080DC7">
            <w:pPr>
              <w:pStyle w:val="Tabletext"/>
              <w:rPr>
                <w:snapToGrid w:val="0"/>
              </w:rPr>
            </w:pPr>
            <w:r w:rsidRPr="00295986">
              <w:t>0</w:t>
            </w:r>
            <w:r w:rsidR="00D7157D">
              <w:t>.</w:t>
            </w:r>
            <w:r w:rsidRPr="00295986">
              <w:t>523</w:t>
            </w:r>
          </w:p>
        </w:tc>
        <w:tc>
          <w:tcPr>
            <w:tcW w:w="1591" w:type="pct"/>
            <w:tcBorders>
              <w:top w:val="single" w:sz="4" w:space="0" w:color="auto"/>
              <w:left w:val="nil"/>
              <w:bottom w:val="single" w:sz="4" w:space="0" w:color="auto"/>
              <w:right w:val="nil"/>
            </w:tcBorders>
            <w:vAlign w:val="bottom"/>
          </w:tcPr>
          <w:p w14:paraId="0D4CB65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660</w:t>
            </w:r>
          </w:p>
        </w:tc>
      </w:tr>
      <w:tr w:rsidR="00080DC7" w:rsidRPr="00A058B6" w14:paraId="25475B39" w14:textId="77777777" w:rsidTr="0001540F">
        <w:trPr>
          <w:cantSplit/>
        </w:trPr>
        <w:tc>
          <w:tcPr>
            <w:tcW w:w="1348" w:type="pct"/>
            <w:tcBorders>
              <w:top w:val="single" w:sz="4" w:space="0" w:color="auto"/>
              <w:left w:val="nil"/>
              <w:bottom w:val="single" w:sz="4" w:space="0" w:color="auto"/>
              <w:right w:val="nil"/>
            </w:tcBorders>
          </w:tcPr>
          <w:p w14:paraId="0E72F3BF" w14:textId="77777777" w:rsidR="00080DC7" w:rsidRPr="00616B26" w:rsidRDefault="00080DC7" w:rsidP="00080DC7">
            <w:pPr>
              <w:pStyle w:val="Tabletext"/>
              <w:rPr>
                <w:snapToGrid w:val="0"/>
              </w:rPr>
            </w:pPr>
            <w:r w:rsidRPr="00616B26">
              <w:rPr>
                <w:snapToGrid w:val="0"/>
              </w:rPr>
              <w:t>21</w:t>
            </w:r>
          </w:p>
        </w:tc>
        <w:tc>
          <w:tcPr>
            <w:tcW w:w="1039" w:type="pct"/>
            <w:tcBorders>
              <w:top w:val="single" w:sz="4" w:space="0" w:color="auto"/>
              <w:left w:val="nil"/>
              <w:bottom w:val="single" w:sz="4" w:space="0" w:color="auto"/>
              <w:right w:val="nil"/>
            </w:tcBorders>
            <w:vAlign w:val="bottom"/>
          </w:tcPr>
          <w:p w14:paraId="6AFDA21A" w14:textId="77777777" w:rsidR="00080DC7" w:rsidRPr="00CC628E" w:rsidRDefault="00080DC7" w:rsidP="00080DC7">
            <w:pPr>
              <w:pStyle w:val="Tabletext"/>
              <w:rPr>
                <w:snapToGrid w:val="0"/>
              </w:rPr>
            </w:pPr>
            <w:r w:rsidRPr="00295986">
              <w:t>0</w:t>
            </w:r>
            <w:r w:rsidR="00D7157D">
              <w:t>.</w:t>
            </w:r>
            <w:r w:rsidRPr="00295986">
              <w:t>309</w:t>
            </w:r>
          </w:p>
        </w:tc>
        <w:tc>
          <w:tcPr>
            <w:tcW w:w="1022" w:type="pct"/>
            <w:tcBorders>
              <w:top w:val="single" w:sz="4" w:space="0" w:color="auto"/>
              <w:left w:val="nil"/>
              <w:bottom w:val="single" w:sz="4" w:space="0" w:color="auto"/>
              <w:right w:val="nil"/>
            </w:tcBorders>
            <w:vAlign w:val="bottom"/>
          </w:tcPr>
          <w:p w14:paraId="1F40B6BC" w14:textId="77777777" w:rsidR="00080DC7" w:rsidRPr="00CC628E" w:rsidRDefault="00080DC7" w:rsidP="00080DC7">
            <w:pPr>
              <w:pStyle w:val="Tabletext"/>
              <w:rPr>
                <w:snapToGrid w:val="0"/>
              </w:rPr>
            </w:pPr>
            <w:r w:rsidRPr="00295986">
              <w:t>0</w:t>
            </w:r>
            <w:r w:rsidR="00D7157D">
              <w:t>.</w:t>
            </w:r>
            <w:r w:rsidRPr="00295986">
              <w:t>506</w:t>
            </w:r>
          </w:p>
        </w:tc>
        <w:tc>
          <w:tcPr>
            <w:tcW w:w="1591" w:type="pct"/>
            <w:tcBorders>
              <w:top w:val="single" w:sz="4" w:space="0" w:color="auto"/>
              <w:left w:val="nil"/>
              <w:bottom w:val="single" w:sz="4" w:space="0" w:color="auto"/>
              <w:right w:val="nil"/>
            </w:tcBorders>
            <w:vAlign w:val="bottom"/>
          </w:tcPr>
          <w:p w14:paraId="10AF045F"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646</w:t>
            </w:r>
          </w:p>
        </w:tc>
      </w:tr>
      <w:tr w:rsidR="00080DC7" w:rsidRPr="00A058B6" w14:paraId="6A1D9E0B" w14:textId="77777777" w:rsidTr="0001540F">
        <w:trPr>
          <w:cantSplit/>
        </w:trPr>
        <w:tc>
          <w:tcPr>
            <w:tcW w:w="1348" w:type="pct"/>
            <w:tcBorders>
              <w:top w:val="single" w:sz="4" w:space="0" w:color="auto"/>
              <w:left w:val="nil"/>
              <w:bottom w:val="single" w:sz="4" w:space="0" w:color="auto"/>
              <w:right w:val="nil"/>
            </w:tcBorders>
          </w:tcPr>
          <w:p w14:paraId="3D8361B7" w14:textId="77777777" w:rsidR="00080DC7" w:rsidRPr="00616B26" w:rsidRDefault="00080DC7" w:rsidP="00080DC7">
            <w:pPr>
              <w:pStyle w:val="Tabletext"/>
              <w:rPr>
                <w:snapToGrid w:val="0"/>
              </w:rPr>
            </w:pPr>
            <w:r w:rsidRPr="00616B26">
              <w:rPr>
                <w:snapToGrid w:val="0"/>
              </w:rPr>
              <w:t>22</w:t>
            </w:r>
          </w:p>
        </w:tc>
        <w:tc>
          <w:tcPr>
            <w:tcW w:w="1039" w:type="pct"/>
            <w:tcBorders>
              <w:top w:val="single" w:sz="4" w:space="0" w:color="auto"/>
              <w:left w:val="nil"/>
              <w:bottom w:val="single" w:sz="4" w:space="0" w:color="auto"/>
              <w:right w:val="nil"/>
            </w:tcBorders>
            <w:vAlign w:val="bottom"/>
          </w:tcPr>
          <w:p w14:paraId="7448724F" w14:textId="77777777" w:rsidR="00080DC7" w:rsidRPr="00CC628E" w:rsidRDefault="00080DC7" w:rsidP="00080DC7">
            <w:pPr>
              <w:pStyle w:val="Tabletext"/>
              <w:rPr>
                <w:snapToGrid w:val="0"/>
              </w:rPr>
            </w:pPr>
            <w:r w:rsidRPr="00295986">
              <w:t>0</w:t>
            </w:r>
            <w:r w:rsidR="00D7157D">
              <w:t>.</w:t>
            </w:r>
            <w:r w:rsidRPr="00295986">
              <w:t>292</w:t>
            </w:r>
          </w:p>
        </w:tc>
        <w:tc>
          <w:tcPr>
            <w:tcW w:w="1022" w:type="pct"/>
            <w:tcBorders>
              <w:top w:val="single" w:sz="4" w:space="0" w:color="auto"/>
              <w:left w:val="nil"/>
              <w:bottom w:val="single" w:sz="4" w:space="0" w:color="auto"/>
              <w:right w:val="nil"/>
            </w:tcBorders>
            <w:vAlign w:val="bottom"/>
          </w:tcPr>
          <w:p w14:paraId="1A562FD2" w14:textId="77777777" w:rsidR="00080DC7" w:rsidRPr="00CC628E" w:rsidRDefault="00080DC7" w:rsidP="00080DC7">
            <w:pPr>
              <w:pStyle w:val="Tabletext"/>
              <w:rPr>
                <w:snapToGrid w:val="0"/>
              </w:rPr>
            </w:pPr>
            <w:r w:rsidRPr="00295986">
              <w:t>0</w:t>
            </w:r>
            <w:r w:rsidR="00D7157D">
              <w:t>.</w:t>
            </w:r>
            <w:r w:rsidRPr="00295986">
              <w:t>490</w:t>
            </w:r>
          </w:p>
        </w:tc>
        <w:tc>
          <w:tcPr>
            <w:tcW w:w="1591" w:type="pct"/>
            <w:tcBorders>
              <w:top w:val="single" w:sz="4" w:space="0" w:color="auto"/>
              <w:left w:val="nil"/>
              <w:bottom w:val="single" w:sz="4" w:space="0" w:color="auto"/>
              <w:right w:val="nil"/>
            </w:tcBorders>
            <w:vAlign w:val="bottom"/>
          </w:tcPr>
          <w:p w14:paraId="77754D26"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633</w:t>
            </w:r>
          </w:p>
        </w:tc>
      </w:tr>
      <w:tr w:rsidR="00080DC7" w:rsidRPr="00A058B6" w14:paraId="41EB35C8" w14:textId="77777777" w:rsidTr="0001540F">
        <w:trPr>
          <w:cantSplit/>
        </w:trPr>
        <w:tc>
          <w:tcPr>
            <w:tcW w:w="1348" w:type="pct"/>
            <w:tcBorders>
              <w:top w:val="single" w:sz="4" w:space="0" w:color="auto"/>
              <w:left w:val="nil"/>
              <w:bottom w:val="single" w:sz="4" w:space="0" w:color="auto"/>
              <w:right w:val="nil"/>
            </w:tcBorders>
          </w:tcPr>
          <w:p w14:paraId="0D44F3ED" w14:textId="77777777" w:rsidR="00080DC7" w:rsidRPr="00616B26" w:rsidRDefault="00080DC7" w:rsidP="00080DC7">
            <w:pPr>
              <w:pStyle w:val="Tabletext"/>
              <w:rPr>
                <w:snapToGrid w:val="0"/>
              </w:rPr>
            </w:pPr>
            <w:r w:rsidRPr="00616B26">
              <w:rPr>
                <w:snapToGrid w:val="0"/>
              </w:rPr>
              <w:t>23</w:t>
            </w:r>
          </w:p>
        </w:tc>
        <w:tc>
          <w:tcPr>
            <w:tcW w:w="1039" w:type="pct"/>
            <w:tcBorders>
              <w:top w:val="single" w:sz="4" w:space="0" w:color="auto"/>
              <w:left w:val="nil"/>
              <w:bottom w:val="single" w:sz="4" w:space="0" w:color="auto"/>
              <w:right w:val="nil"/>
            </w:tcBorders>
            <w:vAlign w:val="bottom"/>
          </w:tcPr>
          <w:p w14:paraId="294E7C1A" w14:textId="77777777" w:rsidR="00080DC7" w:rsidRPr="00CC628E" w:rsidRDefault="00080DC7" w:rsidP="00080DC7">
            <w:pPr>
              <w:pStyle w:val="Tabletext"/>
              <w:rPr>
                <w:snapToGrid w:val="0"/>
              </w:rPr>
            </w:pPr>
            <w:r w:rsidRPr="00295986">
              <w:t>0</w:t>
            </w:r>
            <w:r w:rsidR="00D7157D">
              <w:t>.</w:t>
            </w:r>
            <w:r w:rsidRPr="00295986">
              <w:t>276</w:t>
            </w:r>
          </w:p>
        </w:tc>
        <w:tc>
          <w:tcPr>
            <w:tcW w:w="1022" w:type="pct"/>
            <w:tcBorders>
              <w:top w:val="single" w:sz="4" w:space="0" w:color="auto"/>
              <w:left w:val="nil"/>
              <w:bottom w:val="single" w:sz="4" w:space="0" w:color="auto"/>
              <w:right w:val="nil"/>
            </w:tcBorders>
            <w:vAlign w:val="bottom"/>
          </w:tcPr>
          <w:p w14:paraId="42FBC358" w14:textId="77777777" w:rsidR="00080DC7" w:rsidRPr="00CC628E" w:rsidRDefault="00080DC7" w:rsidP="00080DC7">
            <w:pPr>
              <w:pStyle w:val="Tabletext"/>
              <w:rPr>
                <w:snapToGrid w:val="0"/>
              </w:rPr>
            </w:pPr>
            <w:r w:rsidRPr="00295986">
              <w:t>0</w:t>
            </w:r>
            <w:r w:rsidR="00D7157D">
              <w:t>.</w:t>
            </w:r>
            <w:r w:rsidRPr="00295986">
              <w:t>474</w:t>
            </w:r>
          </w:p>
        </w:tc>
        <w:tc>
          <w:tcPr>
            <w:tcW w:w="1591" w:type="pct"/>
            <w:tcBorders>
              <w:top w:val="single" w:sz="4" w:space="0" w:color="auto"/>
              <w:left w:val="nil"/>
              <w:bottom w:val="single" w:sz="4" w:space="0" w:color="auto"/>
              <w:right w:val="nil"/>
            </w:tcBorders>
            <w:vAlign w:val="bottom"/>
          </w:tcPr>
          <w:p w14:paraId="4F81CEE6"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620</w:t>
            </w:r>
          </w:p>
        </w:tc>
      </w:tr>
      <w:tr w:rsidR="00080DC7" w:rsidRPr="00A058B6" w14:paraId="3B9C3170" w14:textId="77777777" w:rsidTr="0001540F">
        <w:trPr>
          <w:cantSplit/>
        </w:trPr>
        <w:tc>
          <w:tcPr>
            <w:tcW w:w="1348" w:type="pct"/>
            <w:tcBorders>
              <w:top w:val="single" w:sz="4" w:space="0" w:color="auto"/>
              <w:left w:val="nil"/>
              <w:bottom w:val="single" w:sz="4" w:space="0" w:color="auto"/>
              <w:right w:val="nil"/>
            </w:tcBorders>
          </w:tcPr>
          <w:p w14:paraId="777B0688" w14:textId="77777777" w:rsidR="00080DC7" w:rsidRPr="00616B26" w:rsidRDefault="00080DC7" w:rsidP="00080DC7">
            <w:pPr>
              <w:pStyle w:val="Tabletext"/>
              <w:rPr>
                <w:snapToGrid w:val="0"/>
              </w:rPr>
            </w:pPr>
            <w:r w:rsidRPr="00616B26">
              <w:rPr>
                <w:snapToGrid w:val="0"/>
              </w:rPr>
              <w:t>24</w:t>
            </w:r>
          </w:p>
        </w:tc>
        <w:tc>
          <w:tcPr>
            <w:tcW w:w="1039" w:type="pct"/>
            <w:tcBorders>
              <w:top w:val="single" w:sz="4" w:space="0" w:color="auto"/>
              <w:left w:val="nil"/>
              <w:bottom w:val="single" w:sz="4" w:space="0" w:color="auto"/>
              <w:right w:val="nil"/>
            </w:tcBorders>
            <w:vAlign w:val="bottom"/>
          </w:tcPr>
          <w:p w14:paraId="45B6772F" w14:textId="77777777" w:rsidR="00080DC7" w:rsidRPr="00CC628E" w:rsidRDefault="00080DC7" w:rsidP="00080DC7">
            <w:pPr>
              <w:pStyle w:val="Tabletext"/>
              <w:rPr>
                <w:snapToGrid w:val="0"/>
              </w:rPr>
            </w:pPr>
            <w:r w:rsidRPr="00295986">
              <w:t>0</w:t>
            </w:r>
            <w:r w:rsidR="00D7157D">
              <w:t>.</w:t>
            </w:r>
            <w:r w:rsidRPr="00295986">
              <w:t>262</w:t>
            </w:r>
          </w:p>
        </w:tc>
        <w:tc>
          <w:tcPr>
            <w:tcW w:w="1022" w:type="pct"/>
            <w:tcBorders>
              <w:top w:val="single" w:sz="4" w:space="0" w:color="auto"/>
              <w:left w:val="nil"/>
              <w:bottom w:val="single" w:sz="4" w:space="0" w:color="auto"/>
              <w:right w:val="nil"/>
            </w:tcBorders>
            <w:vAlign w:val="bottom"/>
          </w:tcPr>
          <w:p w14:paraId="04070F95" w14:textId="77777777" w:rsidR="00080DC7" w:rsidRPr="00CC628E" w:rsidRDefault="00080DC7" w:rsidP="00080DC7">
            <w:pPr>
              <w:pStyle w:val="Tabletext"/>
              <w:rPr>
                <w:snapToGrid w:val="0"/>
              </w:rPr>
            </w:pPr>
            <w:r w:rsidRPr="00295986">
              <w:t>0</w:t>
            </w:r>
            <w:r w:rsidR="00D7157D">
              <w:t>.</w:t>
            </w:r>
            <w:r w:rsidRPr="00295986">
              <w:t>459</w:t>
            </w:r>
          </w:p>
        </w:tc>
        <w:tc>
          <w:tcPr>
            <w:tcW w:w="1591" w:type="pct"/>
            <w:tcBorders>
              <w:top w:val="single" w:sz="4" w:space="0" w:color="auto"/>
              <w:left w:val="nil"/>
              <w:bottom w:val="single" w:sz="4" w:space="0" w:color="auto"/>
              <w:right w:val="nil"/>
            </w:tcBorders>
            <w:vAlign w:val="bottom"/>
          </w:tcPr>
          <w:p w14:paraId="1DED81E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607</w:t>
            </w:r>
          </w:p>
        </w:tc>
      </w:tr>
      <w:tr w:rsidR="00080DC7" w:rsidRPr="00A058B6" w14:paraId="534C2A41" w14:textId="77777777" w:rsidTr="0001540F">
        <w:trPr>
          <w:cantSplit/>
        </w:trPr>
        <w:tc>
          <w:tcPr>
            <w:tcW w:w="1348" w:type="pct"/>
            <w:tcBorders>
              <w:top w:val="single" w:sz="4" w:space="0" w:color="auto"/>
              <w:left w:val="nil"/>
              <w:bottom w:val="single" w:sz="4" w:space="0" w:color="auto"/>
              <w:right w:val="nil"/>
            </w:tcBorders>
          </w:tcPr>
          <w:p w14:paraId="72215EF7" w14:textId="77777777" w:rsidR="00080DC7" w:rsidRPr="00616B26" w:rsidRDefault="00080DC7" w:rsidP="00080DC7">
            <w:pPr>
              <w:pStyle w:val="Tabletext"/>
              <w:rPr>
                <w:snapToGrid w:val="0"/>
              </w:rPr>
            </w:pPr>
            <w:r w:rsidRPr="00616B26">
              <w:rPr>
                <w:snapToGrid w:val="0"/>
              </w:rPr>
              <w:t>25</w:t>
            </w:r>
          </w:p>
        </w:tc>
        <w:tc>
          <w:tcPr>
            <w:tcW w:w="1039" w:type="pct"/>
            <w:tcBorders>
              <w:top w:val="single" w:sz="4" w:space="0" w:color="auto"/>
              <w:left w:val="nil"/>
              <w:bottom w:val="single" w:sz="4" w:space="0" w:color="auto"/>
              <w:right w:val="nil"/>
            </w:tcBorders>
            <w:vAlign w:val="bottom"/>
          </w:tcPr>
          <w:p w14:paraId="05451C4D" w14:textId="77777777" w:rsidR="00080DC7" w:rsidRPr="00CC628E" w:rsidRDefault="00080DC7" w:rsidP="00080DC7">
            <w:pPr>
              <w:pStyle w:val="Tabletext"/>
              <w:rPr>
                <w:snapToGrid w:val="0"/>
              </w:rPr>
            </w:pPr>
            <w:r w:rsidRPr="00295986">
              <w:t>0</w:t>
            </w:r>
            <w:r w:rsidR="00D7157D">
              <w:t>.</w:t>
            </w:r>
            <w:r w:rsidRPr="00295986">
              <w:t>248</w:t>
            </w:r>
          </w:p>
        </w:tc>
        <w:tc>
          <w:tcPr>
            <w:tcW w:w="1022" w:type="pct"/>
            <w:tcBorders>
              <w:top w:val="single" w:sz="4" w:space="0" w:color="auto"/>
              <w:left w:val="nil"/>
              <w:bottom w:val="single" w:sz="4" w:space="0" w:color="auto"/>
              <w:right w:val="nil"/>
            </w:tcBorders>
            <w:vAlign w:val="bottom"/>
          </w:tcPr>
          <w:p w14:paraId="475B5F1C" w14:textId="77777777" w:rsidR="00080DC7" w:rsidRPr="00CC628E" w:rsidRDefault="00080DC7" w:rsidP="00080DC7">
            <w:pPr>
              <w:pStyle w:val="Tabletext"/>
              <w:rPr>
                <w:snapToGrid w:val="0"/>
              </w:rPr>
            </w:pPr>
            <w:r w:rsidRPr="00295986">
              <w:t>0</w:t>
            </w:r>
            <w:r w:rsidR="00D7157D">
              <w:t>.</w:t>
            </w:r>
            <w:r w:rsidRPr="00295986">
              <w:t>445</w:t>
            </w:r>
          </w:p>
        </w:tc>
        <w:tc>
          <w:tcPr>
            <w:tcW w:w="1591" w:type="pct"/>
            <w:tcBorders>
              <w:top w:val="single" w:sz="4" w:space="0" w:color="auto"/>
              <w:left w:val="nil"/>
              <w:bottom w:val="single" w:sz="4" w:space="0" w:color="auto"/>
              <w:right w:val="nil"/>
            </w:tcBorders>
            <w:vAlign w:val="bottom"/>
          </w:tcPr>
          <w:p w14:paraId="175C844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595</w:t>
            </w:r>
          </w:p>
        </w:tc>
      </w:tr>
      <w:tr w:rsidR="00080DC7" w:rsidRPr="00A058B6" w14:paraId="18071974" w14:textId="77777777" w:rsidTr="0001540F">
        <w:trPr>
          <w:cantSplit/>
        </w:trPr>
        <w:tc>
          <w:tcPr>
            <w:tcW w:w="1348" w:type="pct"/>
            <w:tcBorders>
              <w:top w:val="single" w:sz="4" w:space="0" w:color="auto"/>
              <w:left w:val="nil"/>
              <w:bottom w:val="single" w:sz="4" w:space="0" w:color="auto"/>
              <w:right w:val="nil"/>
            </w:tcBorders>
          </w:tcPr>
          <w:p w14:paraId="2BFDE6DE" w14:textId="77777777" w:rsidR="00080DC7" w:rsidRPr="00616B26" w:rsidRDefault="00080DC7" w:rsidP="00080DC7">
            <w:pPr>
              <w:pStyle w:val="Tabletext"/>
              <w:rPr>
                <w:snapToGrid w:val="0"/>
              </w:rPr>
            </w:pPr>
            <w:r w:rsidRPr="00616B26">
              <w:rPr>
                <w:snapToGrid w:val="0"/>
              </w:rPr>
              <w:t>26</w:t>
            </w:r>
          </w:p>
        </w:tc>
        <w:tc>
          <w:tcPr>
            <w:tcW w:w="1039" w:type="pct"/>
            <w:tcBorders>
              <w:top w:val="single" w:sz="4" w:space="0" w:color="auto"/>
              <w:left w:val="nil"/>
              <w:bottom w:val="single" w:sz="4" w:space="0" w:color="auto"/>
              <w:right w:val="nil"/>
            </w:tcBorders>
            <w:vAlign w:val="bottom"/>
          </w:tcPr>
          <w:p w14:paraId="468E91AA" w14:textId="77777777" w:rsidR="00080DC7" w:rsidRPr="00CC628E" w:rsidRDefault="00080DC7" w:rsidP="00080DC7">
            <w:pPr>
              <w:pStyle w:val="Tabletext"/>
              <w:rPr>
                <w:snapToGrid w:val="0"/>
              </w:rPr>
            </w:pPr>
            <w:r w:rsidRPr="00295986">
              <w:t>0</w:t>
            </w:r>
            <w:r w:rsidR="00D7157D">
              <w:t>.</w:t>
            </w:r>
            <w:r w:rsidRPr="00295986">
              <w:t>234</w:t>
            </w:r>
          </w:p>
        </w:tc>
        <w:tc>
          <w:tcPr>
            <w:tcW w:w="1022" w:type="pct"/>
            <w:tcBorders>
              <w:top w:val="single" w:sz="4" w:space="0" w:color="auto"/>
              <w:left w:val="nil"/>
              <w:bottom w:val="single" w:sz="4" w:space="0" w:color="auto"/>
              <w:right w:val="nil"/>
            </w:tcBorders>
            <w:vAlign w:val="bottom"/>
          </w:tcPr>
          <w:p w14:paraId="6676F761" w14:textId="77777777" w:rsidR="00080DC7" w:rsidRPr="00CC628E" w:rsidRDefault="00080DC7" w:rsidP="00080DC7">
            <w:pPr>
              <w:pStyle w:val="Tabletext"/>
              <w:rPr>
                <w:snapToGrid w:val="0"/>
              </w:rPr>
            </w:pPr>
            <w:r w:rsidRPr="00295986">
              <w:t>0</w:t>
            </w:r>
            <w:r w:rsidR="00D7157D">
              <w:t>.</w:t>
            </w:r>
            <w:r w:rsidRPr="00295986">
              <w:t>430</w:t>
            </w:r>
          </w:p>
        </w:tc>
        <w:tc>
          <w:tcPr>
            <w:tcW w:w="1591" w:type="pct"/>
            <w:tcBorders>
              <w:top w:val="single" w:sz="4" w:space="0" w:color="auto"/>
              <w:left w:val="nil"/>
              <w:bottom w:val="single" w:sz="4" w:space="0" w:color="auto"/>
              <w:right w:val="nil"/>
            </w:tcBorders>
            <w:vAlign w:val="bottom"/>
          </w:tcPr>
          <w:p w14:paraId="7CFD2F2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583</w:t>
            </w:r>
          </w:p>
        </w:tc>
      </w:tr>
      <w:tr w:rsidR="00080DC7" w:rsidRPr="00A058B6" w14:paraId="451C0A27" w14:textId="77777777" w:rsidTr="0001540F">
        <w:trPr>
          <w:cantSplit/>
        </w:trPr>
        <w:tc>
          <w:tcPr>
            <w:tcW w:w="1348" w:type="pct"/>
            <w:tcBorders>
              <w:top w:val="single" w:sz="4" w:space="0" w:color="auto"/>
              <w:left w:val="nil"/>
              <w:bottom w:val="single" w:sz="4" w:space="0" w:color="auto"/>
              <w:right w:val="nil"/>
            </w:tcBorders>
          </w:tcPr>
          <w:p w14:paraId="63683DCC" w14:textId="77777777" w:rsidR="00080DC7" w:rsidRPr="00616B26" w:rsidRDefault="00080DC7" w:rsidP="00080DC7">
            <w:pPr>
              <w:pStyle w:val="Tabletext"/>
              <w:rPr>
                <w:snapToGrid w:val="0"/>
              </w:rPr>
            </w:pPr>
            <w:r w:rsidRPr="00616B26">
              <w:rPr>
                <w:snapToGrid w:val="0"/>
              </w:rPr>
              <w:t>27</w:t>
            </w:r>
          </w:p>
        </w:tc>
        <w:tc>
          <w:tcPr>
            <w:tcW w:w="1039" w:type="pct"/>
            <w:tcBorders>
              <w:top w:val="single" w:sz="4" w:space="0" w:color="auto"/>
              <w:left w:val="nil"/>
              <w:bottom w:val="single" w:sz="4" w:space="0" w:color="auto"/>
              <w:right w:val="nil"/>
            </w:tcBorders>
            <w:vAlign w:val="bottom"/>
          </w:tcPr>
          <w:p w14:paraId="31179FF7" w14:textId="77777777" w:rsidR="00080DC7" w:rsidRPr="00CC628E" w:rsidRDefault="00080DC7" w:rsidP="00080DC7">
            <w:pPr>
              <w:pStyle w:val="Tabletext"/>
              <w:rPr>
                <w:snapToGrid w:val="0"/>
              </w:rPr>
            </w:pPr>
            <w:r w:rsidRPr="00295986">
              <w:t>0</w:t>
            </w:r>
            <w:r w:rsidR="00D7157D">
              <w:t>.</w:t>
            </w:r>
            <w:r w:rsidRPr="00295986">
              <w:t>222</w:t>
            </w:r>
          </w:p>
        </w:tc>
        <w:tc>
          <w:tcPr>
            <w:tcW w:w="1022" w:type="pct"/>
            <w:tcBorders>
              <w:top w:val="single" w:sz="4" w:space="0" w:color="auto"/>
              <w:left w:val="nil"/>
              <w:bottom w:val="single" w:sz="4" w:space="0" w:color="auto"/>
              <w:right w:val="nil"/>
            </w:tcBorders>
            <w:vAlign w:val="bottom"/>
          </w:tcPr>
          <w:p w14:paraId="72608CEF" w14:textId="77777777" w:rsidR="00080DC7" w:rsidRPr="00CC628E" w:rsidRDefault="00080DC7" w:rsidP="00080DC7">
            <w:pPr>
              <w:pStyle w:val="Tabletext"/>
              <w:rPr>
                <w:snapToGrid w:val="0"/>
              </w:rPr>
            </w:pPr>
            <w:r w:rsidRPr="00295986">
              <w:t>0</w:t>
            </w:r>
            <w:r w:rsidR="00D7157D">
              <w:t>.</w:t>
            </w:r>
            <w:r w:rsidRPr="00295986">
              <w:t>417</w:t>
            </w:r>
          </w:p>
        </w:tc>
        <w:tc>
          <w:tcPr>
            <w:tcW w:w="1591" w:type="pct"/>
            <w:tcBorders>
              <w:top w:val="single" w:sz="4" w:space="0" w:color="auto"/>
              <w:left w:val="nil"/>
              <w:bottom w:val="single" w:sz="4" w:space="0" w:color="auto"/>
              <w:right w:val="nil"/>
            </w:tcBorders>
            <w:vAlign w:val="bottom"/>
          </w:tcPr>
          <w:p w14:paraId="7D0BB497"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571</w:t>
            </w:r>
          </w:p>
        </w:tc>
      </w:tr>
      <w:tr w:rsidR="00080DC7" w:rsidRPr="00A058B6" w14:paraId="6D0044E5" w14:textId="77777777" w:rsidTr="0001540F">
        <w:trPr>
          <w:cantSplit/>
        </w:trPr>
        <w:tc>
          <w:tcPr>
            <w:tcW w:w="1348" w:type="pct"/>
            <w:tcBorders>
              <w:top w:val="single" w:sz="4" w:space="0" w:color="auto"/>
              <w:left w:val="nil"/>
              <w:bottom w:val="single" w:sz="4" w:space="0" w:color="auto"/>
              <w:right w:val="nil"/>
            </w:tcBorders>
          </w:tcPr>
          <w:p w14:paraId="5FBE5966" w14:textId="77777777" w:rsidR="00080DC7" w:rsidRPr="00616B26" w:rsidRDefault="00080DC7" w:rsidP="00080DC7">
            <w:pPr>
              <w:pStyle w:val="Tabletext"/>
              <w:rPr>
                <w:snapToGrid w:val="0"/>
              </w:rPr>
            </w:pPr>
            <w:r w:rsidRPr="00616B26">
              <w:rPr>
                <w:snapToGrid w:val="0"/>
              </w:rPr>
              <w:t>28</w:t>
            </w:r>
          </w:p>
        </w:tc>
        <w:tc>
          <w:tcPr>
            <w:tcW w:w="1039" w:type="pct"/>
            <w:tcBorders>
              <w:top w:val="single" w:sz="4" w:space="0" w:color="auto"/>
              <w:left w:val="nil"/>
              <w:bottom w:val="single" w:sz="4" w:space="0" w:color="auto"/>
              <w:right w:val="nil"/>
            </w:tcBorders>
            <w:vAlign w:val="bottom"/>
          </w:tcPr>
          <w:p w14:paraId="24789917" w14:textId="77777777" w:rsidR="00080DC7" w:rsidRPr="00CC628E" w:rsidRDefault="00080DC7" w:rsidP="00080DC7">
            <w:pPr>
              <w:pStyle w:val="Tabletext"/>
              <w:rPr>
                <w:snapToGrid w:val="0"/>
              </w:rPr>
            </w:pPr>
            <w:r w:rsidRPr="00295986">
              <w:t>0</w:t>
            </w:r>
            <w:r w:rsidR="00D7157D">
              <w:t>.</w:t>
            </w:r>
            <w:r w:rsidRPr="00295986">
              <w:t>210</w:t>
            </w:r>
          </w:p>
        </w:tc>
        <w:tc>
          <w:tcPr>
            <w:tcW w:w="1022" w:type="pct"/>
            <w:tcBorders>
              <w:top w:val="single" w:sz="4" w:space="0" w:color="auto"/>
              <w:left w:val="nil"/>
              <w:bottom w:val="single" w:sz="4" w:space="0" w:color="auto"/>
              <w:right w:val="nil"/>
            </w:tcBorders>
            <w:vAlign w:val="bottom"/>
          </w:tcPr>
          <w:p w14:paraId="4195C492" w14:textId="77777777" w:rsidR="00080DC7" w:rsidRPr="00CC628E" w:rsidRDefault="00080DC7" w:rsidP="00080DC7">
            <w:pPr>
              <w:pStyle w:val="Tabletext"/>
              <w:rPr>
                <w:snapToGrid w:val="0"/>
              </w:rPr>
            </w:pPr>
            <w:r w:rsidRPr="00295986">
              <w:t>0</w:t>
            </w:r>
            <w:r w:rsidR="00D7157D">
              <w:t>.</w:t>
            </w:r>
            <w:r w:rsidRPr="00295986">
              <w:t>403</w:t>
            </w:r>
          </w:p>
        </w:tc>
        <w:tc>
          <w:tcPr>
            <w:tcW w:w="1591" w:type="pct"/>
            <w:tcBorders>
              <w:top w:val="single" w:sz="4" w:space="0" w:color="auto"/>
              <w:left w:val="nil"/>
              <w:bottom w:val="single" w:sz="4" w:space="0" w:color="auto"/>
              <w:right w:val="nil"/>
            </w:tcBorders>
            <w:vAlign w:val="bottom"/>
          </w:tcPr>
          <w:p w14:paraId="29A2FE3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559</w:t>
            </w:r>
          </w:p>
        </w:tc>
      </w:tr>
      <w:tr w:rsidR="00080DC7" w:rsidRPr="00A058B6" w14:paraId="1BEEAC4A" w14:textId="77777777" w:rsidTr="0001540F">
        <w:trPr>
          <w:cantSplit/>
        </w:trPr>
        <w:tc>
          <w:tcPr>
            <w:tcW w:w="1348" w:type="pct"/>
            <w:tcBorders>
              <w:top w:val="single" w:sz="4" w:space="0" w:color="auto"/>
              <w:left w:val="nil"/>
              <w:bottom w:val="single" w:sz="4" w:space="0" w:color="auto"/>
              <w:right w:val="nil"/>
            </w:tcBorders>
          </w:tcPr>
          <w:p w14:paraId="3E60041F" w14:textId="77777777" w:rsidR="00080DC7" w:rsidRPr="00616B26" w:rsidRDefault="00080DC7" w:rsidP="00080DC7">
            <w:pPr>
              <w:pStyle w:val="Tabletext"/>
              <w:rPr>
                <w:snapToGrid w:val="0"/>
              </w:rPr>
            </w:pPr>
            <w:r w:rsidRPr="00616B26">
              <w:rPr>
                <w:snapToGrid w:val="0"/>
              </w:rPr>
              <w:t>29</w:t>
            </w:r>
          </w:p>
        </w:tc>
        <w:tc>
          <w:tcPr>
            <w:tcW w:w="1039" w:type="pct"/>
            <w:tcBorders>
              <w:top w:val="single" w:sz="4" w:space="0" w:color="auto"/>
              <w:left w:val="nil"/>
              <w:bottom w:val="single" w:sz="4" w:space="0" w:color="auto"/>
              <w:right w:val="nil"/>
            </w:tcBorders>
            <w:vAlign w:val="bottom"/>
          </w:tcPr>
          <w:p w14:paraId="048AE7B7" w14:textId="77777777" w:rsidR="00080DC7" w:rsidRPr="00CC628E" w:rsidRDefault="00080DC7" w:rsidP="00080DC7">
            <w:pPr>
              <w:pStyle w:val="Tabletext"/>
              <w:rPr>
                <w:snapToGrid w:val="0"/>
              </w:rPr>
            </w:pPr>
            <w:r w:rsidRPr="00295986">
              <w:t>0</w:t>
            </w:r>
            <w:r w:rsidR="00D7157D">
              <w:t>.</w:t>
            </w:r>
            <w:r w:rsidRPr="00295986">
              <w:t>198</w:t>
            </w:r>
          </w:p>
        </w:tc>
        <w:tc>
          <w:tcPr>
            <w:tcW w:w="1022" w:type="pct"/>
            <w:tcBorders>
              <w:top w:val="single" w:sz="4" w:space="0" w:color="auto"/>
              <w:left w:val="nil"/>
              <w:bottom w:val="single" w:sz="4" w:space="0" w:color="auto"/>
              <w:right w:val="nil"/>
            </w:tcBorders>
            <w:vAlign w:val="bottom"/>
          </w:tcPr>
          <w:p w14:paraId="5FE811C6" w14:textId="77777777" w:rsidR="00080DC7" w:rsidRPr="00CC628E" w:rsidRDefault="00080DC7" w:rsidP="00080DC7">
            <w:pPr>
              <w:pStyle w:val="Tabletext"/>
              <w:rPr>
                <w:snapToGrid w:val="0"/>
              </w:rPr>
            </w:pPr>
            <w:r w:rsidRPr="00295986">
              <w:t>0</w:t>
            </w:r>
            <w:r w:rsidR="00D7157D">
              <w:t>.</w:t>
            </w:r>
            <w:r w:rsidRPr="00295986">
              <w:t>391</w:t>
            </w:r>
          </w:p>
        </w:tc>
        <w:tc>
          <w:tcPr>
            <w:tcW w:w="1591" w:type="pct"/>
            <w:tcBorders>
              <w:top w:val="single" w:sz="4" w:space="0" w:color="auto"/>
              <w:left w:val="nil"/>
              <w:bottom w:val="single" w:sz="4" w:space="0" w:color="auto"/>
              <w:right w:val="nil"/>
            </w:tcBorders>
            <w:vAlign w:val="bottom"/>
          </w:tcPr>
          <w:p w14:paraId="64FEBEE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547</w:t>
            </w:r>
          </w:p>
        </w:tc>
      </w:tr>
      <w:tr w:rsidR="00080DC7" w:rsidRPr="00A058B6" w14:paraId="39700674" w14:textId="77777777" w:rsidTr="0001540F">
        <w:trPr>
          <w:cantSplit/>
        </w:trPr>
        <w:tc>
          <w:tcPr>
            <w:tcW w:w="1348" w:type="pct"/>
            <w:tcBorders>
              <w:top w:val="single" w:sz="4" w:space="0" w:color="auto"/>
              <w:left w:val="nil"/>
              <w:bottom w:val="single" w:sz="4" w:space="0" w:color="auto"/>
              <w:right w:val="nil"/>
            </w:tcBorders>
          </w:tcPr>
          <w:p w14:paraId="2E545CD7" w14:textId="77777777" w:rsidR="00080DC7" w:rsidRPr="00616B26" w:rsidRDefault="00080DC7" w:rsidP="00080DC7">
            <w:pPr>
              <w:pStyle w:val="Tabletext"/>
              <w:rPr>
                <w:snapToGrid w:val="0"/>
              </w:rPr>
            </w:pPr>
            <w:r w:rsidRPr="00616B26">
              <w:rPr>
                <w:snapToGrid w:val="0"/>
              </w:rPr>
              <w:t>30</w:t>
            </w:r>
          </w:p>
        </w:tc>
        <w:tc>
          <w:tcPr>
            <w:tcW w:w="1039" w:type="pct"/>
            <w:tcBorders>
              <w:top w:val="single" w:sz="4" w:space="0" w:color="auto"/>
              <w:left w:val="nil"/>
              <w:bottom w:val="single" w:sz="4" w:space="0" w:color="auto"/>
              <w:right w:val="nil"/>
            </w:tcBorders>
            <w:vAlign w:val="bottom"/>
          </w:tcPr>
          <w:p w14:paraId="757A624B" w14:textId="77777777" w:rsidR="00080DC7" w:rsidRPr="00CC628E" w:rsidRDefault="00080DC7" w:rsidP="00080DC7">
            <w:pPr>
              <w:pStyle w:val="Tabletext"/>
              <w:rPr>
                <w:snapToGrid w:val="0"/>
              </w:rPr>
            </w:pPr>
            <w:r w:rsidRPr="00295986">
              <w:t>0</w:t>
            </w:r>
            <w:r w:rsidR="00D7157D">
              <w:t>.</w:t>
            </w:r>
            <w:r w:rsidRPr="00295986">
              <w:t>188</w:t>
            </w:r>
          </w:p>
        </w:tc>
        <w:tc>
          <w:tcPr>
            <w:tcW w:w="1022" w:type="pct"/>
            <w:tcBorders>
              <w:top w:val="single" w:sz="4" w:space="0" w:color="auto"/>
              <w:left w:val="nil"/>
              <w:bottom w:val="single" w:sz="4" w:space="0" w:color="auto"/>
              <w:right w:val="nil"/>
            </w:tcBorders>
            <w:vAlign w:val="bottom"/>
          </w:tcPr>
          <w:p w14:paraId="7319CE4E" w14:textId="77777777" w:rsidR="00080DC7" w:rsidRPr="00CC628E" w:rsidRDefault="00080DC7" w:rsidP="00080DC7">
            <w:pPr>
              <w:pStyle w:val="Tabletext"/>
              <w:rPr>
                <w:snapToGrid w:val="0"/>
              </w:rPr>
            </w:pPr>
            <w:r w:rsidRPr="00295986">
              <w:t>0</w:t>
            </w:r>
            <w:r w:rsidR="00D7157D">
              <w:t>.</w:t>
            </w:r>
            <w:r w:rsidRPr="00295986">
              <w:t>378</w:t>
            </w:r>
          </w:p>
        </w:tc>
        <w:tc>
          <w:tcPr>
            <w:tcW w:w="1591" w:type="pct"/>
            <w:tcBorders>
              <w:top w:val="single" w:sz="4" w:space="0" w:color="auto"/>
              <w:left w:val="nil"/>
              <w:bottom w:val="single" w:sz="4" w:space="0" w:color="auto"/>
              <w:right w:val="nil"/>
            </w:tcBorders>
            <w:vAlign w:val="bottom"/>
          </w:tcPr>
          <w:p w14:paraId="400C784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536</w:t>
            </w:r>
          </w:p>
        </w:tc>
      </w:tr>
      <w:tr w:rsidR="00080DC7" w:rsidRPr="00A058B6" w14:paraId="670DF148" w14:textId="77777777" w:rsidTr="0001540F">
        <w:trPr>
          <w:cantSplit/>
        </w:trPr>
        <w:tc>
          <w:tcPr>
            <w:tcW w:w="1348" w:type="pct"/>
            <w:tcBorders>
              <w:top w:val="single" w:sz="4" w:space="0" w:color="auto"/>
              <w:left w:val="nil"/>
              <w:bottom w:val="single" w:sz="4" w:space="0" w:color="auto"/>
              <w:right w:val="nil"/>
            </w:tcBorders>
          </w:tcPr>
          <w:p w14:paraId="19B459DF" w14:textId="77777777" w:rsidR="00080DC7" w:rsidRPr="00616B26" w:rsidRDefault="00080DC7" w:rsidP="00080DC7">
            <w:pPr>
              <w:pStyle w:val="Tabletext"/>
              <w:rPr>
                <w:snapToGrid w:val="0"/>
              </w:rPr>
            </w:pPr>
            <w:r w:rsidRPr="00616B26">
              <w:rPr>
                <w:snapToGrid w:val="0"/>
              </w:rPr>
              <w:t>31</w:t>
            </w:r>
          </w:p>
        </w:tc>
        <w:tc>
          <w:tcPr>
            <w:tcW w:w="1039" w:type="pct"/>
            <w:tcBorders>
              <w:top w:val="single" w:sz="4" w:space="0" w:color="auto"/>
              <w:left w:val="nil"/>
              <w:bottom w:val="single" w:sz="4" w:space="0" w:color="auto"/>
              <w:right w:val="nil"/>
            </w:tcBorders>
            <w:vAlign w:val="bottom"/>
          </w:tcPr>
          <w:p w14:paraId="36E88FA9" w14:textId="77777777" w:rsidR="00080DC7" w:rsidRPr="00CC628E" w:rsidRDefault="00080DC7" w:rsidP="00080DC7">
            <w:pPr>
              <w:pStyle w:val="Tabletext"/>
              <w:rPr>
                <w:snapToGrid w:val="0"/>
              </w:rPr>
            </w:pPr>
            <w:r w:rsidRPr="00295986">
              <w:t>0</w:t>
            </w:r>
            <w:r w:rsidR="00D7157D">
              <w:t>.</w:t>
            </w:r>
            <w:r w:rsidRPr="00295986">
              <w:t>177</w:t>
            </w:r>
          </w:p>
        </w:tc>
        <w:tc>
          <w:tcPr>
            <w:tcW w:w="1022" w:type="pct"/>
            <w:tcBorders>
              <w:top w:val="single" w:sz="4" w:space="0" w:color="auto"/>
              <w:left w:val="nil"/>
              <w:bottom w:val="single" w:sz="4" w:space="0" w:color="auto"/>
              <w:right w:val="nil"/>
            </w:tcBorders>
            <w:vAlign w:val="bottom"/>
          </w:tcPr>
          <w:p w14:paraId="12DC2375" w14:textId="77777777" w:rsidR="00080DC7" w:rsidRPr="00CC628E" w:rsidRDefault="00080DC7" w:rsidP="00080DC7">
            <w:pPr>
              <w:pStyle w:val="Tabletext"/>
              <w:rPr>
                <w:snapToGrid w:val="0"/>
              </w:rPr>
            </w:pPr>
            <w:r w:rsidRPr="00295986">
              <w:t>0</w:t>
            </w:r>
            <w:r w:rsidR="00D7157D">
              <w:t>.</w:t>
            </w:r>
            <w:r w:rsidRPr="00295986">
              <w:t>366</w:t>
            </w:r>
          </w:p>
        </w:tc>
        <w:tc>
          <w:tcPr>
            <w:tcW w:w="1591" w:type="pct"/>
            <w:tcBorders>
              <w:top w:val="single" w:sz="4" w:space="0" w:color="auto"/>
              <w:left w:val="nil"/>
              <w:bottom w:val="single" w:sz="4" w:space="0" w:color="auto"/>
              <w:right w:val="nil"/>
            </w:tcBorders>
            <w:vAlign w:val="bottom"/>
          </w:tcPr>
          <w:p w14:paraId="224909E9"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525</w:t>
            </w:r>
          </w:p>
        </w:tc>
      </w:tr>
      <w:tr w:rsidR="00080DC7" w:rsidRPr="00A058B6" w14:paraId="299641E5" w14:textId="77777777" w:rsidTr="0001540F">
        <w:trPr>
          <w:cantSplit/>
        </w:trPr>
        <w:tc>
          <w:tcPr>
            <w:tcW w:w="1348" w:type="pct"/>
            <w:tcBorders>
              <w:top w:val="single" w:sz="4" w:space="0" w:color="auto"/>
              <w:left w:val="nil"/>
              <w:bottom w:val="single" w:sz="4" w:space="0" w:color="auto"/>
              <w:right w:val="nil"/>
            </w:tcBorders>
          </w:tcPr>
          <w:p w14:paraId="1CEE357E" w14:textId="77777777" w:rsidR="00080DC7" w:rsidRPr="00616B26" w:rsidRDefault="00080DC7" w:rsidP="00080DC7">
            <w:pPr>
              <w:pStyle w:val="Tabletext"/>
              <w:rPr>
                <w:snapToGrid w:val="0"/>
              </w:rPr>
            </w:pPr>
            <w:r w:rsidRPr="00616B26">
              <w:rPr>
                <w:snapToGrid w:val="0"/>
              </w:rPr>
              <w:t>32</w:t>
            </w:r>
          </w:p>
        </w:tc>
        <w:tc>
          <w:tcPr>
            <w:tcW w:w="1039" w:type="pct"/>
            <w:tcBorders>
              <w:top w:val="single" w:sz="4" w:space="0" w:color="auto"/>
              <w:left w:val="nil"/>
              <w:bottom w:val="single" w:sz="4" w:space="0" w:color="auto"/>
              <w:right w:val="nil"/>
            </w:tcBorders>
            <w:vAlign w:val="bottom"/>
          </w:tcPr>
          <w:p w14:paraId="7986F08C" w14:textId="77777777" w:rsidR="00080DC7" w:rsidRPr="00CC628E" w:rsidRDefault="00080DC7" w:rsidP="00080DC7">
            <w:pPr>
              <w:pStyle w:val="Tabletext"/>
              <w:rPr>
                <w:snapToGrid w:val="0"/>
              </w:rPr>
            </w:pPr>
            <w:r w:rsidRPr="00295986">
              <w:t>0</w:t>
            </w:r>
            <w:r w:rsidR="00D7157D">
              <w:t>.</w:t>
            </w:r>
            <w:r w:rsidRPr="00295986">
              <w:t>168</w:t>
            </w:r>
          </w:p>
        </w:tc>
        <w:tc>
          <w:tcPr>
            <w:tcW w:w="1022" w:type="pct"/>
            <w:tcBorders>
              <w:top w:val="single" w:sz="4" w:space="0" w:color="auto"/>
              <w:left w:val="nil"/>
              <w:bottom w:val="single" w:sz="4" w:space="0" w:color="auto"/>
              <w:right w:val="nil"/>
            </w:tcBorders>
            <w:vAlign w:val="bottom"/>
          </w:tcPr>
          <w:p w14:paraId="48C71987" w14:textId="77777777" w:rsidR="00080DC7" w:rsidRPr="00CC628E" w:rsidRDefault="00080DC7" w:rsidP="00080DC7">
            <w:pPr>
              <w:pStyle w:val="Tabletext"/>
              <w:rPr>
                <w:snapToGrid w:val="0"/>
              </w:rPr>
            </w:pPr>
            <w:r w:rsidRPr="00295986">
              <w:t>0</w:t>
            </w:r>
            <w:r w:rsidR="00D7157D">
              <w:t>.</w:t>
            </w:r>
            <w:r w:rsidRPr="00295986">
              <w:t>354</w:t>
            </w:r>
          </w:p>
        </w:tc>
        <w:tc>
          <w:tcPr>
            <w:tcW w:w="1591" w:type="pct"/>
            <w:tcBorders>
              <w:top w:val="single" w:sz="4" w:space="0" w:color="auto"/>
              <w:left w:val="nil"/>
              <w:bottom w:val="single" w:sz="4" w:space="0" w:color="auto"/>
              <w:right w:val="nil"/>
            </w:tcBorders>
            <w:vAlign w:val="bottom"/>
          </w:tcPr>
          <w:p w14:paraId="192B34D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514</w:t>
            </w:r>
          </w:p>
        </w:tc>
      </w:tr>
      <w:tr w:rsidR="00080DC7" w:rsidRPr="00A058B6" w14:paraId="3F5155DE" w14:textId="77777777" w:rsidTr="0001540F">
        <w:trPr>
          <w:cantSplit/>
        </w:trPr>
        <w:tc>
          <w:tcPr>
            <w:tcW w:w="1348" w:type="pct"/>
            <w:tcBorders>
              <w:top w:val="single" w:sz="4" w:space="0" w:color="auto"/>
              <w:left w:val="nil"/>
              <w:bottom w:val="single" w:sz="4" w:space="0" w:color="auto"/>
              <w:right w:val="nil"/>
            </w:tcBorders>
          </w:tcPr>
          <w:p w14:paraId="046AAD5C" w14:textId="77777777" w:rsidR="00080DC7" w:rsidRPr="00616B26" w:rsidRDefault="00080DC7" w:rsidP="00080DC7">
            <w:pPr>
              <w:pStyle w:val="Tabletext"/>
              <w:rPr>
                <w:snapToGrid w:val="0"/>
              </w:rPr>
            </w:pPr>
            <w:r w:rsidRPr="00616B26">
              <w:rPr>
                <w:snapToGrid w:val="0"/>
              </w:rPr>
              <w:t>33</w:t>
            </w:r>
          </w:p>
        </w:tc>
        <w:tc>
          <w:tcPr>
            <w:tcW w:w="1039" w:type="pct"/>
            <w:tcBorders>
              <w:top w:val="single" w:sz="4" w:space="0" w:color="auto"/>
              <w:left w:val="nil"/>
              <w:bottom w:val="single" w:sz="4" w:space="0" w:color="auto"/>
              <w:right w:val="nil"/>
            </w:tcBorders>
            <w:vAlign w:val="bottom"/>
          </w:tcPr>
          <w:p w14:paraId="0B895A9F" w14:textId="77777777" w:rsidR="00080DC7" w:rsidRPr="00CC628E" w:rsidRDefault="00080DC7" w:rsidP="00080DC7">
            <w:pPr>
              <w:pStyle w:val="Tabletext"/>
              <w:rPr>
                <w:snapToGrid w:val="0"/>
              </w:rPr>
            </w:pPr>
            <w:r w:rsidRPr="00295986">
              <w:t>0</w:t>
            </w:r>
            <w:r w:rsidR="00D7157D">
              <w:t>.</w:t>
            </w:r>
            <w:r w:rsidRPr="00295986">
              <w:t>159</w:t>
            </w:r>
          </w:p>
        </w:tc>
        <w:tc>
          <w:tcPr>
            <w:tcW w:w="1022" w:type="pct"/>
            <w:tcBorders>
              <w:top w:val="single" w:sz="4" w:space="0" w:color="auto"/>
              <w:left w:val="nil"/>
              <w:bottom w:val="single" w:sz="4" w:space="0" w:color="auto"/>
              <w:right w:val="nil"/>
            </w:tcBorders>
            <w:vAlign w:val="bottom"/>
          </w:tcPr>
          <w:p w14:paraId="2F664215" w14:textId="77777777" w:rsidR="00080DC7" w:rsidRPr="00CC628E" w:rsidRDefault="00080DC7" w:rsidP="00080DC7">
            <w:pPr>
              <w:pStyle w:val="Tabletext"/>
              <w:rPr>
                <w:snapToGrid w:val="0"/>
              </w:rPr>
            </w:pPr>
            <w:r w:rsidRPr="00295986">
              <w:t>0</w:t>
            </w:r>
            <w:r w:rsidR="00D7157D">
              <w:t>.</w:t>
            </w:r>
            <w:r w:rsidRPr="00295986">
              <w:t>343</w:t>
            </w:r>
          </w:p>
        </w:tc>
        <w:tc>
          <w:tcPr>
            <w:tcW w:w="1591" w:type="pct"/>
            <w:tcBorders>
              <w:top w:val="single" w:sz="4" w:space="0" w:color="auto"/>
              <w:left w:val="nil"/>
              <w:bottom w:val="single" w:sz="4" w:space="0" w:color="auto"/>
              <w:right w:val="nil"/>
            </w:tcBorders>
            <w:vAlign w:val="bottom"/>
          </w:tcPr>
          <w:p w14:paraId="0101DB9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503</w:t>
            </w:r>
          </w:p>
        </w:tc>
      </w:tr>
      <w:tr w:rsidR="00080DC7" w:rsidRPr="00A058B6" w14:paraId="3E526404" w14:textId="77777777" w:rsidTr="0001540F">
        <w:trPr>
          <w:cantSplit/>
        </w:trPr>
        <w:tc>
          <w:tcPr>
            <w:tcW w:w="1348" w:type="pct"/>
            <w:tcBorders>
              <w:top w:val="single" w:sz="4" w:space="0" w:color="auto"/>
              <w:left w:val="nil"/>
              <w:bottom w:val="single" w:sz="4" w:space="0" w:color="auto"/>
              <w:right w:val="nil"/>
            </w:tcBorders>
          </w:tcPr>
          <w:p w14:paraId="2E57F9B8" w14:textId="77777777" w:rsidR="00080DC7" w:rsidRPr="00616B26" w:rsidRDefault="00080DC7" w:rsidP="00080DC7">
            <w:pPr>
              <w:pStyle w:val="Tabletext"/>
              <w:rPr>
                <w:snapToGrid w:val="0"/>
              </w:rPr>
            </w:pPr>
            <w:r w:rsidRPr="00616B26">
              <w:rPr>
                <w:snapToGrid w:val="0"/>
              </w:rPr>
              <w:t>34</w:t>
            </w:r>
          </w:p>
        </w:tc>
        <w:tc>
          <w:tcPr>
            <w:tcW w:w="1039" w:type="pct"/>
            <w:tcBorders>
              <w:top w:val="single" w:sz="4" w:space="0" w:color="auto"/>
              <w:left w:val="nil"/>
              <w:bottom w:val="single" w:sz="4" w:space="0" w:color="auto"/>
              <w:right w:val="nil"/>
            </w:tcBorders>
            <w:vAlign w:val="bottom"/>
          </w:tcPr>
          <w:p w14:paraId="0013E582" w14:textId="77777777" w:rsidR="00080DC7" w:rsidRPr="00CC628E" w:rsidRDefault="00080DC7" w:rsidP="00080DC7">
            <w:pPr>
              <w:pStyle w:val="Tabletext"/>
              <w:rPr>
                <w:snapToGrid w:val="0"/>
              </w:rPr>
            </w:pPr>
            <w:r w:rsidRPr="00295986">
              <w:t>0</w:t>
            </w:r>
            <w:r w:rsidR="00D7157D">
              <w:t>.</w:t>
            </w:r>
            <w:r w:rsidRPr="00295986">
              <w:t>150</w:t>
            </w:r>
          </w:p>
        </w:tc>
        <w:tc>
          <w:tcPr>
            <w:tcW w:w="1022" w:type="pct"/>
            <w:tcBorders>
              <w:top w:val="single" w:sz="4" w:space="0" w:color="auto"/>
              <w:left w:val="nil"/>
              <w:bottom w:val="single" w:sz="4" w:space="0" w:color="auto"/>
              <w:right w:val="nil"/>
            </w:tcBorders>
            <w:vAlign w:val="bottom"/>
          </w:tcPr>
          <w:p w14:paraId="165861A7" w14:textId="77777777" w:rsidR="00080DC7" w:rsidRPr="00CC628E" w:rsidRDefault="00080DC7" w:rsidP="00080DC7">
            <w:pPr>
              <w:pStyle w:val="Tabletext"/>
              <w:rPr>
                <w:snapToGrid w:val="0"/>
              </w:rPr>
            </w:pPr>
            <w:r w:rsidRPr="00295986">
              <w:t>0</w:t>
            </w:r>
            <w:r w:rsidR="00D7157D">
              <w:t>.</w:t>
            </w:r>
            <w:r w:rsidRPr="00295986">
              <w:t>332</w:t>
            </w:r>
          </w:p>
        </w:tc>
        <w:tc>
          <w:tcPr>
            <w:tcW w:w="1591" w:type="pct"/>
            <w:tcBorders>
              <w:top w:val="single" w:sz="4" w:space="0" w:color="auto"/>
              <w:left w:val="nil"/>
              <w:bottom w:val="single" w:sz="4" w:space="0" w:color="auto"/>
              <w:right w:val="nil"/>
            </w:tcBorders>
            <w:vAlign w:val="bottom"/>
          </w:tcPr>
          <w:p w14:paraId="57A70AB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493</w:t>
            </w:r>
          </w:p>
        </w:tc>
      </w:tr>
      <w:tr w:rsidR="00080DC7" w:rsidRPr="00A058B6" w14:paraId="2801E2F6" w14:textId="77777777" w:rsidTr="0001540F">
        <w:trPr>
          <w:cantSplit/>
        </w:trPr>
        <w:tc>
          <w:tcPr>
            <w:tcW w:w="1348" w:type="pct"/>
            <w:tcBorders>
              <w:top w:val="single" w:sz="4" w:space="0" w:color="auto"/>
              <w:left w:val="nil"/>
              <w:bottom w:val="single" w:sz="4" w:space="0" w:color="auto"/>
              <w:right w:val="nil"/>
            </w:tcBorders>
          </w:tcPr>
          <w:p w14:paraId="79D3BFCC" w14:textId="77777777" w:rsidR="00080DC7" w:rsidRPr="00616B26" w:rsidRDefault="00080DC7" w:rsidP="00080DC7">
            <w:pPr>
              <w:pStyle w:val="Tabletext"/>
              <w:rPr>
                <w:snapToGrid w:val="0"/>
              </w:rPr>
            </w:pPr>
            <w:r w:rsidRPr="00616B26">
              <w:rPr>
                <w:snapToGrid w:val="0"/>
              </w:rPr>
              <w:t>35</w:t>
            </w:r>
          </w:p>
        </w:tc>
        <w:tc>
          <w:tcPr>
            <w:tcW w:w="1039" w:type="pct"/>
            <w:tcBorders>
              <w:top w:val="single" w:sz="4" w:space="0" w:color="auto"/>
              <w:left w:val="nil"/>
              <w:bottom w:val="single" w:sz="4" w:space="0" w:color="auto"/>
              <w:right w:val="nil"/>
            </w:tcBorders>
            <w:vAlign w:val="bottom"/>
          </w:tcPr>
          <w:p w14:paraId="4B71E6DA" w14:textId="77777777" w:rsidR="00080DC7" w:rsidRPr="00CC628E" w:rsidRDefault="00080DC7" w:rsidP="00080DC7">
            <w:pPr>
              <w:pStyle w:val="Tabletext"/>
              <w:rPr>
                <w:snapToGrid w:val="0"/>
              </w:rPr>
            </w:pPr>
            <w:r w:rsidRPr="00295986">
              <w:t>0</w:t>
            </w:r>
            <w:r w:rsidR="00D7157D">
              <w:t>.</w:t>
            </w:r>
            <w:r w:rsidRPr="00295986">
              <w:t>142</w:t>
            </w:r>
          </w:p>
        </w:tc>
        <w:tc>
          <w:tcPr>
            <w:tcW w:w="1022" w:type="pct"/>
            <w:tcBorders>
              <w:top w:val="single" w:sz="4" w:space="0" w:color="auto"/>
              <w:left w:val="nil"/>
              <w:bottom w:val="single" w:sz="4" w:space="0" w:color="auto"/>
              <w:right w:val="nil"/>
            </w:tcBorders>
            <w:vAlign w:val="bottom"/>
          </w:tcPr>
          <w:p w14:paraId="6BB208D7" w14:textId="77777777" w:rsidR="00080DC7" w:rsidRPr="00CC628E" w:rsidRDefault="00080DC7" w:rsidP="00080DC7">
            <w:pPr>
              <w:pStyle w:val="Tabletext"/>
              <w:rPr>
                <w:snapToGrid w:val="0"/>
              </w:rPr>
            </w:pPr>
            <w:r w:rsidRPr="00295986">
              <w:t>0</w:t>
            </w:r>
            <w:r w:rsidR="00D7157D">
              <w:t>.</w:t>
            </w:r>
            <w:r w:rsidRPr="00295986">
              <w:t>321</w:t>
            </w:r>
          </w:p>
        </w:tc>
        <w:tc>
          <w:tcPr>
            <w:tcW w:w="1591" w:type="pct"/>
            <w:tcBorders>
              <w:top w:val="single" w:sz="4" w:space="0" w:color="auto"/>
              <w:left w:val="nil"/>
              <w:bottom w:val="single" w:sz="4" w:space="0" w:color="auto"/>
              <w:right w:val="nil"/>
            </w:tcBorders>
            <w:vAlign w:val="bottom"/>
          </w:tcPr>
          <w:p w14:paraId="280A238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483</w:t>
            </w:r>
          </w:p>
        </w:tc>
      </w:tr>
      <w:tr w:rsidR="00080DC7" w:rsidRPr="00A058B6" w14:paraId="37AA964E" w14:textId="77777777" w:rsidTr="0001540F">
        <w:trPr>
          <w:cantSplit/>
        </w:trPr>
        <w:tc>
          <w:tcPr>
            <w:tcW w:w="1348" w:type="pct"/>
            <w:tcBorders>
              <w:top w:val="single" w:sz="4" w:space="0" w:color="auto"/>
              <w:left w:val="nil"/>
              <w:bottom w:val="single" w:sz="4" w:space="0" w:color="auto"/>
              <w:right w:val="nil"/>
            </w:tcBorders>
          </w:tcPr>
          <w:p w14:paraId="6B6CC6F0" w14:textId="77777777" w:rsidR="00080DC7" w:rsidRPr="00616B26" w:rsidRDefault="00080DC7" w:rsidP="00080DC7">
            <w:pPr>
              <w:pStyle w:val="Tabletext"/>
              <w:rPr>
                <w:snapToGrid w:val="0"/>
              </w:rPr>
            </w:pPr>
            <w:r w:rsidRPr="00616B26">
              <w:rPr>
                <w:snapToGrid w:val="0"/>
              </w:rPr>
              <w:t>36</w:t>
            </w:r>
          </w:p>
        </w:tc>
        <w:tc>
          <w:tcPr>
            <w:tcW w:w="1039" w:type="pct"/>
            <w:tcBorders>
              <w:top w:val="single" w:sz="4" w:space="0" w:color="auto"/>
              <w:left w:val="nil"/>
              <w:bottom w:val="single" w:sz="4" w:space="0" w:color="auto"/>
              <w:right w:val="nil"/>
            </w:tcBorders>
            <w:vAlign w:val="bottom"/>
          </w:tcPr>
          <w:p w14:paraId="4718E1A5" w14:textId="77777777" w:rsidR="00080DC7" w:rsidRPr="00CC628E" w:rsidRDefault="00080DC7" w:rsidP="00080DC7">
            <w:pPr>
              <w:pStyle w:val="Tabletext"/>
              <w:rPr>
                <w:snapToGrid w:val="0"/>
              </w:rPr>
            </w:pPr>
            <w:r w:rsidRPr="00295986">
              <w:t>0</w:t>
            </w:r>
            <w:r w:rsidR="00D7157D">
              <w:t>.</w:t>
            </w:r>
            <w:r w:rsidRPr="00295986">
              <w:t>134</w:t>
            </w:r>
          </w:p>
        </w:tc>
        <w:tc>
          <w:tcPr>
            <w:tcW w:w="1022" w:type="pct"/>
            <w:tcBorders>
              <w:top w:val="single" w:sz="4" w:space="0" w:color="auto"/>
              <w:left w:val="nil"/>
              <w:bottom w:val="single" w:sz="4" w:space="0" w:color="auto"/>
              <w:right w:val="nil"/>
            </w:tcBorders>
            <w:vAlign w:val="bottom"/>
          </w:tcPr>
          <w:p w14:paraId="2095458B" w14:textId="77777777" w:rsidR="00080DC7" w:rsidRPr="00CC628E" w:rsidRDefault="00080DC7" w:rsidP="00080DC7">
            <w:pPr>
              <w:pStyle w:val="Tabletext"/>
              <w:rPr>
                <w:snapToGrid w:val="0"/>
              </w:rPr>
            </w:pPr>
            <w:r w:rsidRPr="00295986">
              <w:t>0</w:t>
            </w:r>
            <w:r w:rsidR="00D7157D">
              <w:t>.</w:t>
            </w:r>
            <w:r w:rsidRPr="00295986">
              <w:t>311</w:t>
            </w:r>
          </w:p>
        </w:tc>
        <w:tc>
          <w:tcPr>
            <w:tcW w:w="1591" w:type="pct"/>
            <w:tcBorders>
              <w:top w:val="single" w:sz="4" w:space="0" w:color="auto"/>
              <w:left w:val="nil"/>
              <w:bottom w:val="single" w:sz="4" w:space="0" w:color="auto"/>
              <w:right w:val="nil"/>
            </w:tcBorders>
            <w:vAlign w:val="bottom"/>
          </w:tcPr>
          <w:p w14:paraId="1999ADBB"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472</w:t>
            </w:r>
          </w:p>
        </w:tc>
      </w:tr>
      <w:tr w:rsidR="00080DC7" w:rsidRPr="00A058B6" w14:paraId="0AEE336D" w14:textId="77777777" w:rsidTr="0001540F">
        <w:trPr>
          <w:cantSplit/>
        </w:trPr>
        <w:tc>
          <w:tcPr>
            <w:tcW w:w="1348" w:type="pct"/>
            <w:tcBorders>
              <w:top w:val="single" w:sz="4" w:space="0" w:color="auto"/>
              <w:left w:val="nil"/>
              <w:bottom w:val="single" w:sz="4" w:space="0" w:color="auto"/>
              <w:right w:val="nil"/>
            </w:tcBorders>
          </w:tcPr>
          <w:p w14:paraId="26551118" w14:textId="77777777" w:rsidR="00080DC7" w:rsidRPr="00616B26" w:rsidRDefault="00080DC7" w:rsidP="00080DC7">
            <w:pPr>
              <w:pStyle w:val="Tabletext"/>
              <w:rPr>
                <w:snapToGrid w:val="0"/>
              </w:rPr>
            </w:pPr>
            <w:r w:rsidRPr="00616B26">
              <w:rPr>
                <w:snapToGrid w:val="0"/>
              </w:rPr>
              <w:t>37</w:t>
            </w:r>
          </w:p>
        </w:tc>
        <w:tc>
          <w:tcPr>
            <w:tcW w:w="1039" w:type="pct"/>
            <w:tcBorders>
              <w:top w:val="single" w:sz="4" w:space="0" w:color="auto"/>
              <w:left w:val="nil"/>
              <w:bottom w:val="single" w:sz="4" w:space="0" w:color="auto"/>
              <w:right w:val="nil"/>
            </w:tcBorders>
            <w:vAlign w:val="bottom"/>
          </w:tcPr>
          <w:p w14:paraId="287D88A2" w14:textId="77777777" w:rsidR="00080DC7" w:rsidRPr="00CC628E" w:rsidRDefault="00080DC7" w:rsidP="00080DC7">
            <w:pPr>
              <w:pStyle w:val="Tabletext"/>
              <w:rPr>
                <w:snapToGrid w:val="0"/>
              </w:rPr>
            </w:pPr>
            <w:r w:rsidRPr="00295986">
              <w:t>0</w:t>
            </w:r>
            <w:r w:rsidR="00D7157D">
              <w:t>.</w:t>
            </w:r>
            <w:r w:rsidRPr="00295986">
              <w:t>127</w:t>
            </w:r>
          </w:p>
        </w:tc>
        <w:tc>
          <w:tcPr>
            <w:tcW w:w="1022" w:type="pct"/>
            <w:tcBorders>
              <w:top w:val="single" w:sz="4" w:space="0" w:color="auto"/>
              <w:left w:val="nil"/>
              <w:bottom w:val="single" w:sz="4" w:space="0" w:color="auto"/>
              <w:right w:val="nil"/>
            </w:tcBorders>
            <w:vAlign w:val="bottom"/>
          </w:tcPr>
          <w:p w14:paraId="72EF6A31" w14:textId="77777777" w:rsidR="00080DC7" w:rsidRPr="00CC628E" w:rsidRDefault="00080DC7" w:rsidP="00080DC7">
            <w:pPr>
              <w:pStyle w:val="Tabletext"/>
              <w:rPr>
                <w:snapToGrid w:val="0"/>
              </w:rPr>
            </w:pPr>
            <w:r w:rsidRPr="00295986">
              <w:t>0</w:t>
            </w:r>
            <w:r w:rsidR="00D7157D">
              <w:t>.</w:t>
            </w:r>
            <w:r w:rsidRPr="00295986">
              <w:t>301</w:t>
            </w:r>
          </w:p>
        </w:tc>
        <w:tc>
          <w:tcPr>
            <w:tcW w:w="1591" w:type="pct"/>
            <w:tcBorders>
              <w:top w:val="single" w:sz="4" w:space="0" w:color="auto"/>
              <w:left w:val="nil"/>
              <w:bottom w:val="single" w:sz="4" w:space="0" w:color="auto"/>
              <w:right w:val="nil"/>
            </w:tcBorders>
            <w:vAlign w:val="bottom"/>
          </w:tcPr>
          <w:p w14:paraId="65C9D49B"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463</w:t>
            </w:r>
          </w:p>
        </w:tc>
      </w:tr>
      <w:tr w:rsidR="00080DC7" w:rsidRPr="00A058B6" w14:paraId="4505C405" w14:textId="77777777" w:rsidTr="0001540F">
        <w:trPr>
          <w:cantSplit/>
        </w:trPr>
        <w:tc>
          <w:tcPr>
            <w:tcW w:w="1348" w:type="pct"/>
            <w:tcBorders>
              <w:top w:val="single" w:sz="4" w:space="0" w:color="auto"/>
              <w:left w:val="nil"/>
              <w:bottom w:val="single" w:sz="4" w:space="0" w:color="auto"/>
              <w:right w:val="nil"/>
            </w:tcBorders>
          </w:tcPr>
          <w:p w14:paraId="6F378C66" w14:textId="77777777" w:rsidR="00080DC7" w:rsidRPr="00616B26" w:rsidRDefault="00080DC7" w:rsidP="00080DC7">
            <w:pPr>
              <w:pStyle w:val="Tabletext"/>
              <w:rPr>
                <w:snapToGrid w:val="0"/>
              </w:rPr>
            </w:pPr>
            <w:r w:rsidRPr="00616B26">
              <w:rPr>
                <w:snapToGrid w:val="0"/>
              </w:rPr>
              <w:t>38</w:t>
            </w:r>
          </w:p>
        </w:tc>
        <w:tc>
          <w:tcPr>
            <w:tcW w:w="1039" w:type="pct"/>
            <w:tcBorders>
              <w:top w:val="single" w:sz="4" w:space="0" w:color="auto"/>
              <w:left w:val="nil"/>
              <w:bottom w:val="single" w:sz="4" w:space="0" w:color="auto"/>
              <w:right w:val="nil"/>
            </w:tcBorders>
            <w:vAlign w:val="bottom"/>
          </w:tcPr>
          <w:p w14:paraId="411220E9" w14:textId="77777777" w:rsidR="00080DC7" w:rsidRPr="00CC628E" w:rsidRDefault="00080DC7" w:rsidP="00080DC7">
            <w:pPr>
              <w:pStyle w:val="Tabletext"/>
              <w:rPr>
                <w:snapToGrid w:val="0"/>
              </w:rPr>
            </w:pPr>
            <w:r w:rsidRPr="00295986">
              <w:t>0</w:t>
            </w:r>
            <w:r w:rsidR="00D7157D">
              <w:t>.</w:t>
            </w:r>
            <w:r w:rsidRPr="00295986">
              <w:t>120</w:t>
            </w:r>
          </w:p>
        </w:tc>
        <w:tc>
          <w:tcPr>
            <w:tcW w:w="1022" w:type="pct"/>
            <w:tcBorders>
              <w:top w:val="single" w:sz="4" w:space="0" w:color="auto"/>
              <w:left w:val="nil"/>
              <w:bottom w:val="single" w:sz="4" w:space="0" w:color="auto"/>
              <w:right w:val="nil"/>
            </w:tcBorders>
            <w:vAlign w:val="bottom"/>
          </w:tcPr>
          <w:p w14:paraId="6F856E39" w14:textId="77777777" w:rsidR="00080DC7" w:rsidRPr="00CC628E" w:rsidRDefault="00080DC7" w:rsidP="00080DC7">
            <w:pPr>
              <w:pStyle w:val="Tabletext"/>
              <w:rPr>
                <w:snapToGrid w:val="0"/>
              </w:rPr>
            </w:pPr>
            <w:r w:rsidRPr="00295986">
              <w:t>0</w:t>
            </w:r>
            <w:r w:rsidR="00D7157D">
              <w:t>.</w:t>
            </w:r>
            <w:r w:rsidRPr="00295986">
              <w:t>291</w:t>
            </w:r>
          </w:p>
        </w:tc>
        <w:tc>
          <w:tcPr>
            <w:tcW w:w="1591" w:type="pct"/>
            <w:tcBorders>
              <w:top w:val="single" w:sz="4" w:space="0" w:color="auto"/>
              <w:left w:val="nil"/>
              <w:bottom w:val="single" w:sz="4" w:space="0" w:color="auto"/>
              <w:right w:val="nil"/>
            </w:tcBorders>
            <w:vAlign w:val="bottom"/>
          </w:tcPr>
          <w:p w14:paraId="6CE269E7"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453</w:t>
            </w:r>
          </w:p>
        </w:tc>
      </w:tr>
      <w:tr w:rsidR="00080DC7" w:rsidRPr="00A058B6" w14:paraId="687A56F3" w14:textId="77777777" w:rsidTr="0001540F">
        <w:trPr>
          <w:cantSplit/>
        </w:trPr>
        <w:tc>
          <w:tcPr>
            <w:tcW w:w="1348" w:type="pct"/>
            <w:tcBorders>
              <w:top w:val="single" w:sz="4" w:space="0" w:color="auto"/>
              <w:left w:val="nil"/>
              <w:bottom w:val="single" w:sz="4" w:space="0" w:color="auto"/>
              <w:right w:val="nil"/>
            </w:tcBorders>
          </w:tcPr>
          <w:p w14:paraId="093DCC76" w14:textId="77777777" w:rsidR="00080DC7" w:rsidRPr="00616B26" w:rsidRDefault="00080DC7" w:rsidP="00080DC7">
            <w:pPr>
              <w:pStyle w:val="Tabletext"/>
              <w:rPr>
                <w:snapToGrid w:val="0"/>
              </w:rPr>
            </w:pPr>
            <w:r w:rsidRPr="00616B26">
              <w:rPr>
                <w:snapToGrid w:val="0"/>
              </w:rPr>
              <w:t>39</w:t>
            </w:r>
          </w:p>
        </w:tc>
        <w:tc>
          <w:tcPr>
            <w:tcW w:w="1039" w:type="pct"/>
            <w:tcBorders>
              <w:top w:val="single" w:sz="4" w:space="0" w:color="auto"/>
              <w:left w:val="nil"/>
              <w:bottom w:val="single" w:sz="4" w:space="0" w:color="auto"/>
              <w:right w:val="nil"/>
            </w:tcBorders>
            <w:vAlign w:val="bottom"/>
          </w:tcPr>
          <w:p w14:paraId="22D979C6" w14:textId="77777777" w:rsidR="00080DC7" w:rsidRPr="00CC628E" w:rsidRDefault="00080DC7" w:rsidP="00080DC7">
            <w:pPr>
              <w:pStyle w:val="Tabletext"/>
              <w:rPr>
                <w:snapToGrid w:val="0"/>
              </w:rPr>
            </w:pPr>
            <w:r w:rsidRPr="00295986">
              <w:t>0</w:t>
            </w:r>
            <w:r w:rsidR="00D7157D">
              <w:t>.</w:t>
            </w:r>
            <w:r w:rsidRPr="00295986">
              <w:t>113</w:t>
            </w:r>
          </w:p>
        </w:tc>
        <w:tc>
          <w:tcPr>
            <w:tcW w:w="1022" w:type="pct"/>
            <w:tcBorders>
              <w:top w:val="single" w:sz="4" w:space="0" w:color="auto"/>
              <w:left w:val="nil"/>
              <w:bottom w:val="single" w:sz="4" w:space="0" w:color="auto"/>
              <w:right w:val="nil"/>
            </w:tcBorders>
            <w:vAlign w:val="bottom"/>
          </w:tcPr>
          <w:p w14:paraId="0C216F88" w14:textId="77777777" w:rsidR="00080DC7" w:rsidRPr="00CC628E" w:rsidRDefault="00080DC7" w:rsidP="00080DC7">
            <w:pPr>
              <w:pStyle w:val="Tabletext"/>
              <w:rPr>
                <w:snapToGrid w:val="0"/>
              </w:rPr>
            </w:pPr>
            <w:r w:rsidRPr="00295986">
              <w:t>0</w:t>
            </w:r>
            <w:r w:rsidR="00D7157D">
              <w:t>.</w:t>
            </w:r>
            <w:r w:rsidRPr="00295986">
              <w:t>281</w:t>
            </w:r>
          </w:p>
        </w:tc>
        <w:tc>
          <w:tcPr>
            <w:tcW w:w="1591" w:type="pct"/>
            <w:tcBorders>
              <w:top w:val="single" w:sz="4" w:space="0" w:color="auto"/>
              <w:left w:val="nil"/>
              <w:bottom w:val="single" w:sz="4" w:space="0" w:color="auto"/>
              <w:right w:val="nil"/>
            </w:tcBorders>
            <w:vAlign w:val="bottom"/>
          </w:tcPr>
          <w:p w14:paraId="79C07CA2"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443</w:t>
            </w:r>
          </w:p>
        </w:tc>
      </w:tr>
      <w:tr w:rsidR="00080DC7" w:rsidRPr="00A058B6" w14:paraId="28838F79" w14:textId="77777777" w:rsidTr="0001540F">
        <w:trPr>
          <w:cantSplit/>
        </w:trPr>
        <w:tc>
          <w:tcPr>
            <w:tcW w:w="1348" w:type="pct"/>
            <w:tcBorders>
              <w:top w:val="single" w:sz="4" w:space="0" w:color="auto"/>
              <w:left w:val="nil"/>
              <w:bottom w:val="single" w:sz="12" w:space="0" w:color="auto"/>
              <w:right w:val="nil"/>
            </w:tcBorders>
          </w:tcPr>
          <w:p w14:paraId="38668B1C" w14:textId="77777777" w:rsidR="00080DC7" w:rsidRPr="00616B26" w:rsidRDefault="00080DC7" w:rsidP="00080DC7">
            <w:pPr>
              <w:pStyle w:val="Tabletext"/>
              <w:rPr>
                <w:snapToGrid w:val="0"/>
              </w:rPr>
            </w:pPr>
            <w:r w:rsidRPr="00616B26">
              <w:rPr>
                <w:snapToGrid w:val="0"/>
              </w:rPr>
              <w:t>40</w:t>
            </w:r>
          </w:p>
        </w:tc>
        <w:tc>
          <w:tcPr>
            <w:tcW w:w="1039" w:type="pct"/>
            <w:tcBorders>
              <w:top w:val="single" w:sz="4" w:space="0" w:color="auto"/>
              <w:left w:val="nil"/>
              <w:bottom w:val="single" w:sz="12" w:space="0" w:color="auto"/>
              <w:right w:val="nil"/>
            </w:tcBorders>
            <w:vAlign w:val="bottom"/>
          </w:tcPr>
          <w:p w14:paraId="50F37B0D" w14:textId="77777777" w:rsidR="00080DC7" w:rsidRPr="00CC628E" w:rsidRDefault="00080DC7" w:rsidP="00080DC7">
            <w:pPr>
              <w:pStyle w:val="Tabletext"/>
              <w:rPr>
                <w:snapToGrid w:val="0"/>
              </w:rPr>
            </w:pPr>
            <w:r w:rsidRPr="00295986">
              <w:t>0</w:t>
            </w:r>
            <w:r w:rsidR="00D7157D">
              <w:t>.</w:t>
            </w:r>
            <w:r w:rsidRPr="00295986">
              <w:t>107</w:t>
            </w:r>
          </w:p>
        </w:tc>
        <w:tc>
          <w:tcPr>
            <w:tcW w:w="1022" w:type="pct"/>
            <w:tcBorders>
              <w:top w:val="single" w:sz="4" w:space="0" w:color="auto"/>
              <w:left w:val="nil"/>
              <w:bottom w:val="single" w:sz="12" w:space="0" w:color="auto"/>
              <w:right w:val="nil"/>
            </w:tcBorders>
            <w:vAlign w:val="bottom"/>
          </w:tcPr>
          <w:p w14:paraId="27C47F4F" w14:textId="77777777" w:rsidR="00080DC7" w:rsidRPr="00CC628E" w:rsidRDefault="00080DC7" w:rsidP="00080DC7">
            <w:pPr>
              <w:pStyle w:val="Tabletext"/>
              <w:rPr>
                <w:snapToGrid w:val="0"/>
              </w:rPr>
            </w:pPr>
            <w:r w:rsidRPr="00295986">
              <w:t>0</w:t>
            </w:r>
            <w:r w:rsidR="00D7157D">
              <w:t>.</w:t>
            </w:r>
            <w:r w:rsidRPr="00295986">
              <w:t>272</w:t>
            </w:r>
          </w:p>
        </w:tc>
        <w:tc>
          <w:tcPr>
            <w:tcW w:w="1591" w:type="pct"/>
            <w:tcBorders>
              <w:top w:val="single" w:sz="4" w:space="0" w:color="auto"/>
              <w:left w:val="nil"/>
              <w:bottom w:val="single" w:sz="12" w:space="0" w:color="auto"/>
              <w:right w:val="nil"/>
            </w:tcBorders>
            <w:vAlign w:val="bottom"/>
          </w:tcPr>
          <w:p w14:paraId="3854CE8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434</w:t>
            </w:r>
          </w:p>
        </w:tc>
      </w:tr>
    </w:tbl>
    <w:p w14:paraId="5A23CF8D" w14:textId="1993D9C1" w:rsidR="00647C6B" w:rsidRPr="00A058B6" w:rsidRDefault="00D7157D" w:rsidP="00647C6B">
      <w:pPr>
        <w:pStyle w:val="ActHead5"/>
      </w:pPr>
      <w:bookmarkStart w:id="282" w:name="_Toc188350760"/>
      <w:r w:rsidRPr="00423C34">
        <w:rPr>
          <w:rStyle w:val="CharSectno"/>
        </w:rPr>
        <w:t>41</w:t>
      </w:r>
      <w:r w:rsidR="00647C6B" w:rsidRPr="00A058B6">
        <w:t xml:space="preserve">  Method—lump sum (other than lump sum comprising different components)</w:t>
      </w:r>
      <w:bookmarkEnd w:id="282"/>
    </w:p>
    <w:p w14:paraId="2ADE2FB6" w14:textId="6189DFE0" w:rsidR="00647C6B" w:rsidRPr="00A058B6" w:rsidRDefault="00647C6B" w:rsidP="00647C6B">
      <w:pPr>
        <w:pStyle w:val="subsection"/>
      </w:pPr>
      <w:r w:rsidRPr="00A058B6">
        <w:rPr>
          <w:color w:val="000000"/>
        </w:rPr>
        <w:tab/>
        <w:t>(1)</w:t>
      </w:r>
      <w:r w:rsidRPr="00A058B6">
        <w:rPr>
          <w:color w:val="000000"/>
        </w:rPr>
        <w:tab/>
        <w:t xml:space="preserve">This clause applies if </w:t>
      </w:r>
      <w:r w:rsidR="005A1165">
        <w:rPr>
          <w:color w:val="000000"/>
        </w:rPr>
        <w:t>clause </w:t>
      </w:r>
      <w:r w:rsidR="00D7157D">
        <w:rPr>
          <w:color w:val="000000"/>
        </w:rPr>
        <w:t>39</w:t>
      </w:r>
      <w:r w:rsidRPr="00A058B6">
        <w:rPr>
          <w:color w:val="000000"/>
        </w:rPr>
        <w:t xml:space="preserve"> of this Schedule does not apply</w:t>
      </w:r>
      <w:r w:rsidR="00D7157D">
        <w:rPr>
          <w:color w:val="000000"/>
        </w:rPr>
        <w:t>.</w:t>
      </w:r>
    </w:p>
    <w:p w14:paraId="28D92AA4" w14:textId="77777777" w:rsidR="00647C6B" w:rsidRDefault="00647C6B" w:rsidP="00647C6B">
      <w:pPr>
        <w:pStyle w:val="subsection"/>
      </w:pPr>
      <w:r w:rsidRPr="00A058B6">
        <w:tab/>
        <w:t>(2)</w:t>
      </w:r>
      <w:r w:rsidRPr="00A058B6">
        <w:tab/>
        <w:t>The method is:</w:t>
      </w:r>
    </w:p>
    <w:p w14:paraId="2E45A108" w14:textId="44F41164" w:rsidR="0001540F" w:rsidRPr="00A058B6" w:rsidRDefault="009B5D57" w:rsidP="0001540F">
      <w:pPr>
        <w:pStyle w:val="subsection2"/>
      </w:pPr>
      <w:r w:rsidRPr="00E42CC3">
        <w:rPr>
          <w:position w:val="-10"/>
        </w:rPr>
        <w:object w:dxaOrig="1040" w:dyaOrig="420" w14:anchorId="5C8D8533">
          <v:shape id="_x0000_i1071" type="#_x0000_t75" alt="Start formula DB times D subscript y subscript plus subscript m end formula" style="width:52.75pt;height:19.7pt" o:ole="">
            <v:imagedata r:id="rId128" o:title=""/>
          </v:shape>
          <o:OLEObject Type="Embed" ProgID="Equation.DSMT4" ShapeID="_x0000_i1071" DrawAspect="Content" ObjectID="_1801634300" r:id="rId129"/>
        </w:object>
      </w:r>
    </w:p>
    <w:p w14:paraId="403F8660" w14:textId="77777777" w:rsidR="00647C6B" w:rsidRPr="00A058B6" w:rsidRDefault="00647C6B" w:rsidP="00647C6B">
      <w:pPr>
        <w:pStyle w:val="subsection2"/>
      </w:pPr>
      <w:r w:rsidRPr="00A058B6">
        <w:rPr>
          <w:color w:val="000000"/>
        </w:rPr>
        <w:t>where:</w:t>
      </w:r>
    </w:p>
    <w:p w14:paraId="6012DBE0" w14:textId="77777777" w:rsidR="00647C6B" w:rsidRPr="00A058B6" w:rsidRDefault="00647C6B" w:rsidP="00647C6B">
      <w:pPr>
        <w:pStyle w:val="Definition"/>
      </w:pPr>
      <w:r w:rsidRPr="00A058B6">
        <w:rPr>
          <w:b/>
          <w:i/>
          <w:color w:val="000000"/>
        </w:rPr>
        <w:t>DB</w:t>
      </w:r>
      <w:r w:rsidRPr="00A058B6">
        <w:rPr>
          <w:color w:val="000000"/>
        </w:rPr>
        <w:t xml:space="preserve"> </w:t>
      </w:r>
      <w:r w:rsidR="005504E4">
        <w:t>means</w:t>
      </w:r>
      <w:r w:rsidR="005504E4" w:rsidRPr="00A058B6">
        <w:t xml:space="preserve"> </w:t>
      </w:r>
      <w:r w:rsidRPr="00A058B6">
        <w:rPr>
          <w:color w:val="000000"/>
        </w:rPr>
        <w:t>the nominal value of the lump sum at the relevant date</w:t>
      </w:r>
      <w:r w:rsidR="00D7157D">
        <w:rPr>
          <w:color w:val="000000"/>
        </w:rPr>
        <w:t>.</w:t>
      </w:r>
    </w:p>
    <w:p w14:paraId="4E8A19C2" w14:textId="015E8106" w:rsidR="00647C6B" w:rsidRPr="00A058B6" w:rsidRDefault="00647C6B" w:rsidP="00647C6B">
      <w:pPr>
        <w:pStyle w:val="Definition"/>
      </w:pPr>
      <w:r w:rsidRPr="00A058B6">
        <w:rPr>
          <w:b/>
          <w:i/>
        </w:rPr>
        <w:t>D</w:t>
      </w:r>
      <w:r w:rsidRPr="00A058B6">
        <w:rPr>
          <w:b/>
          <w:i/>
          <w:vertAlign w:val="subscript"/>
        </w:rPr>
        <w:t>y+m</w:t>
      </w:r>
      <w:r w:rsidRPr="00A058B6">
        <w:t xml:space="preserve"> </w:t>
      </w:r>
      <w:r w:rsidR="005504E4">
        <w:t>means</w:t>
      </w:r>
      <w:r w:rsidR="005504E4" w:rsidRPr="00A058B6">
        <w:t xml:space="preserve"> </w:t>
      </w:r>
      <w:r w:rsidRPr="00A058B6">
        <w:t>the discount valuation factor calculated in accordance with subclauses </w:t>
      </w:r>
      <w:r w:rsidR="00D7157D">
        <w:t>39</w:t>
      </w:r>
      <w:r w:rsidRPr="00A058B6">
        <w:t>(2), (3) and (4)</w:t>
      </w:r>
      <w:r w:rsidR="00D7157D">
        <w:t>.</w:t>
      </w:r>
    </w:p>
    <w:p w14:paraId="230B0B35" w14:textId="1001FFAE" w:rsidR="00647C6B" w:rsidRPr="00A058B6" w:rsidRDefault="00453C86" w:rsidP="00647C6B">
      <w:pPr>
        <w:pStyle w:val="ActHead2"/>
        <w:pageBreakBefore/>
      </w:pPr>
      <w:bookmarkStart w:id="283" w:name="_Toc188350761"/>
      <w:r w:rsidRPr="00423C34">
        <w:rPr>
          <w:rStyle w:val="CharPartNo"/>
        </w:rPr>
        <w:t>Part 7</w:t>
      </w:r>
      <w:r w:rsidR="00647C6B" w:rsidRPr="00A058B6">
        <w:t>—</w:t>
      </w:r>
      <w:r w:rsidR="00647C6B" w:rsidRPr="00423C34">
        <w:rPr>
          <w:rStyle w:val="CharPartText"/>
        </w:rPr>
        <w:t>Interest relating to former employment—benefit payable only as pension</w:t>
      </w:r>
      <w:bookmarkEnd w:id="283"/>
    </w:p>
    <w:p w14:paraId="79B9C106" w14:textId="77777777" w:rsidR="00AA0180" w:rsidRPr="00423C34" w:rsidRDefault="00AA0180" w:rsidP="00AA0180">
      <w:pPr>
        <w:pStyle w:val="Header"/>
      </w:pPr>
      <w:r w:rsidRPr="00423C34">
        <w:rPr>
          <w:rStyle w:val="CharDivNo"/>
        </w:rPr>
        <w:t xml:space="preserve"> </w:t>
      </w:r>
      <w:r w:rsidRPr="00423C34">
        <w:rPr>
          <w:rStyle w:val="CharDivText"/>
        </w:rPr>
        <w:t xml:space="preserve"> </w:t>
      </w:r>
    </w:p>
    <w:p w14:paraId="662EFC09" w14:textId="21888532" w:rsidR="00647C6B" w:rsidRPr="00A058B6" w:rsidRDefault="00D7157D" w:rsidP="00647C6B">
      <w:pPr>
        <w:pStyle w:val="ActHead5"/>
      </w:pPr>
      <w:bookmarkStart w:id="284" w:name="_Toc188350762"/>
      <w:r w:rsidRPr="00423C34">
        <w:rPr>
          <w:rStyle w:val="CharSectno"/>
        </w:rPr>
        <w:t>42</w:t>
      </w:r>
      <w:r w:rsidR="00647C6B" w:rsidRPr="00A058B6">
        <w:t xml:space="preserve">  Method—pension payable periodically</w:t>
      </w:r>
      <w:bookmarkEnd w:id="284"/>
    </w:p>
    <w:p w14:paraId="3387E506" w14:textId="77777777" w:rsidR="00647C6B" w:rsidRPr="00A058B6" w:rsidRDefault="00647C6B" w:rsidP="00647C6B">
      <w:pPr>
        <w:pStyle w:val="subsection"/>
      </w:pPr>
      <w:r w:rsidRPr="00A058B6">
        <w:rPr>
          <w:color w:val="000000"/>
        </w:rPr>
        <w:tab/>
        <w:t>(1)</w:t>
      </w:r>
      <w:r w:rsidRPr="00A058B6">
        <w:rPr>
          <w:color w:val="000000"/>
        </w:rPr>
        <w:tab/>
        <w:t>This clause applies if the amount of the pension that would be payable in respect of the interest is, at the time when payment of the pension commences, a fixed amount or an amount determined by increasing a fixed amount in accordance with an index over the minimum deferral period</w:t>
      </w:r>
      <w:r w:rsidR="00D7157D">
        <w:rPr>
          <w:color w:val="000000"/>
        </w:rPr>
        <w:t>.</w:t>
      </w:r>
    </w:p>
    <w:p w14:paraId="7F69E567" w14:textId="77777777" w:rsidR="00647C6B" w:rsidRPr="00A058B6" w:rsidRDefault="00647C6B" w:rsidP="00647C6B">
      <w:pPr>
        <w:pStyle w:val="subsection"/>
      </w:pPr>
      <w:r w:rsidRPr="00A058B6">
        <w:tab/>
        <w:t>(2)</w:t>
      </w:r>
      <w:r w:rsidRPr="00A058B6">
        <w:tab/>
        <w:t>The method is:</w:t>
      </w:r>
    </w:p>
    <w:p w14:paraId="1C929289" w14:textId="122BA140" w:rsidR="00320675" w:rsidRPr="00A058B6" w:rsidRDefault="005F4D3B" w:rsidP="00320675">
      <w:pPr>
        <w:pStyle w:val="subsection2"/>
      </w:pPr>
      <w:r w:rsidRPr="007019BE">
        <w:rPr>
          <w:position w:val="-26"/>
        </w:rPr>
        <w:object w:dxaOrig="3080" w:dyaOrig="720" w14:anchorId="3C3BCAFC">
          <v:shape id="_x0000_i1072" type="#_x0000_t75" alt="Start formula DBP times open bracket P subscript da plus open bracket R subscript sa times r close bracket close bracket times D subscript y subscript plus subscript m end formula" style="width:154.1pt;height:37.15pt" o:ole="">
            <v:imagedata r:id="rId130" o:title=""/>
          </v:shape>
          <o:OLEObject Type="Embed" ProgID="Equation.DSMT4" ShapeID="_x0000_i1072" DrawAspect="Content" ObjectID="_1801634301" r:id="rId131"/>
        </w:object>
      </w:r>
    </w:p>
    <w:p w14:paraId="3E0C5DD2" w14:textId="77777777" w:rsidR="00647C6B" w:rsidRPr="00A058B6" w:rsidRDefault="00647C6B" w:rsidP="00647C6B">
      <w:pPr>
        <w:pStyle w:val="subsection2"/>
      </w:pPr>
      <w:r w:rsidRPr="00A058B6">
        <w:rPr>
          <w:color w:val="000000"/>
        </w:rPr>
        <w:t>where:</w:t>
      </w:r>
    </w:p>
    <w:p w14:paraId="7B782923" w14:textId="77777777" w:rsidR="00647C6B" w:rsidRPr="00A058B6" w:rsidRDefault="00647C6B" w:rsidP="00647C6B">
      <w:pPr>
        <w:pStyle w:val="Definition"/>
      </w:pPr>
      <w:r w:rsidRPr="00A058B6">
        <w:rPr>
          <w:b/>
          <w:i/>
          <w:color w:val="000000"/>
        </w:rPr>
        <w:t>DBP</w:t>
      </w:r>
      <w:r w:rsidRPr="00A058B6">
        <w:rPr>
          <w:color w:val="000000"/>
        </w:rPr>
        <w:t xml:space="preserve"> </w:t>
      </w:r>
      <w:r w:rsidR="005504E4">
        <w:t>means</w:t>
      </w:r>
      <w:r w:rsidR="005504E4" w:rsidRPr="00A058B6">
        <w:t xml:space="preserve"> </w:t>
      </w:r>
      <w:r w:rsidRPr="00A058B6">
        <w:rPr>
          <w:color w:val="000000"/>
        </w:rPr>
        <w:t>the annual amount of pension at the relevant date if the pension were to commence on completion of the minimum deferral period</w:t>
      </w:r>
      <w:r w:rsidR="00D7157D">
        <w:rPr>
          <w:color w:val="000000"/>
        </w:rPr>
        <w:t>.</w:t>
      </w:r>
    </w:p>
    <w:p w14:paraId="4BCF1A7A" w14:textId="77777777" w:rsidR="00882101" w:rsidRPr="006D63D3" w:rsidRDefault="0010246C" w:rsidP="0010246C">
      <w:pPr>
        <w:pStyle w:val="Definition"/>
      </w:pPr>
      <w:r w:rsidRPr="006D63D3">
        <w:rPr>
          <w:b/>
          <w:i/>
        </w:rPr>
        <w:t>P</w:t>
      </w:r>
      <w:r w:rsidRPr="006D63D3">
        <w:rPr>
          <w:b/>
          <w:i/>
          <w:vertAlign w:val="subscript"/>
        </w:rPr>
        <w:t>da</w:t>
      </w:r>
      <w:r w:rsidRPr="006D63D3">
        <w:rPr>
          <w:vertAlign w:val="subscript"/>
        </w:rPr>
        <w:t xml:space="preserve"> </w:t>
      </w:r>
      <w:r w:rsidR="005504E4">
        <w:t>means</w:t>
      </w:r>
      <w:r w:rsidR="005504E4" w:rsidRPr="00A058B6">
        <w:t xml:space="preserve"> </w:t>
      </w:r>
      <w:r w:rsidRPr="006D63D3">
        <w:t>the pension valuation factor</w:t>
      </w:r>
      <w:r w:rsidR="00364665" w:rsidRPr="006D63D3">
        <w:t xml:space="preserve"> mentioned in</w:t>
      </w:r>
      <w:r w:rsidR="00882101" w:rsidRPr="006D63D3">
        <w:t>:</w:t>
      </w:r>
    </w:p>
    <w:p w14:paraId="63379069" w14:textId="77777777" w:rsidR="00364665" w:rsidRPr="006D63D3" w:rsidRDefault="00364665" w:rsidP="00364665">
      <w:pPr>
        <w:pStyle w:val="paragraph"/>
      </w:pPr>
      <w:r w:rsidRPr="006D63D3">
        <w:tab/>
        <w:t>(a)</w:t>
      </w:r>
      <w:r w:rsidRPr="006D63D3">
        <w:tab/>
      </w:r>
      <w:r w:rsidR="0010246C" w:rsidRPr="006D63D3">
        <w:t xml:space="preserve">the clause of </w:t>
      </w:r>
      <w:r w:rsidR="006211C7">
        <w:t>Part 3</w:t>
      </w:r>
      <w:r w:rsidR="0010246C" w:rsidRPr="006D63D3">
        <w:t xml:space="preserve"> of this Schedule</w:t>
      </w:r>
      <w:r w:rsidRPr="006D63D3">
        <w:t>; or</w:t>
      </w:r>
    </w:p>
    <w:p w14:paraId="65AC0108" w14:textId="77777777" w:rsidR="00AE063B" w:rsidRPr="006D63D3" w:rsidRDefault="00AE063B" w:rsidP="00364665">
      <w:pPr>
        <w:pStyle w:val="paragraph"/>
      </w:pPr>
      <w:r w:rsidRPr="006D63D3">
        <w:tab/>
        <w:t>(b)</w:t>
      </w:r>
      <w:r w:rsidRPr="006D63D3">
        <w:tab/>
        <w:t xml:space="preserve">the clause of </w:t>
      </w:r>
      <w:r w:rsidR="006211C7">
        <w:t>Schedule </w:t>
      </w:r>
      <w:r w:rsidR="00592B0B">
        <w:t>5</w:t>
      </w:r>
      <w:r w:rsidRPr="006D63D3">
        <w:t xml:space="preserve"> that applies because of </w:t>
      </w:r>
      <w:r w:rsidR="00E84409">
        <w:t>Part 4</w:t>
      </w:r>
      <w:r w:rsidRPr="006D63D3">
        <w:t xml:space="preserve"> of this Schedule;</w:t>
      </w:r>
    </w:p>
    <w:p w14:paraId="12B07789" w14:textId="77777777" w:rsidR="0010246C" w:rsidRPr="00A058B6" w:rsidRDefault="0010246C" w:rsidP="00364665">
      <w:pPr>
        <w:pStyle w:val="subsection2"/>
      </w:pPr>
      <w:r w:rsidRPr="006D63D3">
        <w:t>that applies to the pension, its indexation rate (if any), guarantee period (if any) and the member spouse’s age at the end of the minimum deferral period</w:t>
      </w:r>
      <w:r w:rsidR="00D7157D">
        <w:t>.</w:t>
      </w:r>
    </w:p>
    <w:p w14:paraId="16E67E44" w14:textId="2A324E20" w:rsidR="009510BF" w:rsidRPr="007005F4" w:rsidRDefault="009510BF" w:rsidP="009510BF">
      <w:pPr>
        <w:pStyle w:val="notetext"/>
      </w:pPr>
      <w:r>
        <w:t>Note:</w:t>
      </w:r>
      <w:r>
        <w:tab/>
        <w:t xml:space="preserve">If </w:t>
      </w:r>
      <w:r w:rsidR="00E84409">
        <w:t>Part 4</w:t>
      </w:r>
      <w:r>
        <w:t xml:space="preserve"> </w:t>
      </w:r>
      <w:r w:rsidR="00281521">
        <w:t xml:space="preserve">of this Schedule </w:t>
      </w:r>
      <w:r>
        <w:t xml:space="preserve">applies, then a clause in </w:t>
      </w:r>
      <w:r w:rsidR="00AB0143">
        <w:t>Part 2</w:t>
      </w:r>
      <w:r>
        <w:t xml:space="preserve"> or 3 of </w:t>
      </w:r>
      <w:r w:rsidR="006211C7">
        <w:t>Schedule </w:t>
      </w:r>
      <w:r w:rsidR="00592B0B">
        <w:t>5</w:t>
      </w:r>
      <w:r>
        <w:t xml:space="preserve"> applies</w:t>
      </w:r>
      <w:r w:rsidR="00D7157D">
        <w:t>.</w:t>
      </w:r>
    </w:p>
    <w:p w14:paraId="2386B2B9" w14:textId="77777777" w:rsidR="009510BF" w:rsidRDefault="0010246C" w:rsidP="0010246C">
      <w:pPr>
        <w:pStyle w:val="Definition"/>
      </w:pPr>
      <w:r w:rsidRPr="00A058B6">
        <w:rPr>
          <w:b/>
          <w:i/>
        </w:rPr>
        <w:t>R</w:t>
      </w:r>
      <w:r w:rsidRPr="00A058B6">
        <w:rPr>
          <w:b/>
          <w:i/>
          <w:vertAlign w:val="subscript"/>
        </w:rPr>
        <w:t>sa</w:t>
      </w:r>
      <w:r w:rsidRPr="00A058B6">
        <w:t xml:space="preserve"> </w:t>
      </w:r>
      <w:r w:rsidR="005504E4">
        <w:t>means</w:t>
      </w:r>
      <w:r w:rsidR="005504E4" w:rsidRPr="00A058B6">
        <w:t xml:space="preserve"> </w:t>
      </w:r>
      <w:r w:rsidRPr="00A058B6">
        <w:t>the reversion valuation factor mentioned in</w:t>
      </w:r>
      <w:r w:rsidR="009510BF">
        <w:t>:</w:t>
      </w:r>
    </w:p>
    <w:p w14:paraId="018329A5" w14:textId="77777777" w:rsidR="009510BF" w:rsidRDefault="009510BF" w:rsidP="009510BF">
      <w:pPr>
        <w:pStyle w:val="paragraph"/>
      </w:pPr>
      <w:r>
        <w:tab/>
        <w:t>(a)</w:t>
      </w:r>
      <w:r>
        <w:tab/>
      </w:r>
      <w:r w:rsidR="0010246C" w:rsidRPr="00A058B6">
        <w:t xml:space="preserve">the clause of </w:t>
      </w:r>
      <w:r w:rsidR="006211C7">
        <w:t>Part 3</w:t>
      </w:r>
      <w:r w:rsidR="0010246C" w:rsidRPr="00A058B6">
        <w:t xml:space="preserve"> of this Schedule</w:t>
      </w:r>
      <w:r>
        <w:t>; or</w:t>
      </w:r>
    </w:p>
    <w:p w14:paraId="1FE14887" w14:textId="77777777" w:rsidR="009510BF" w:rsidRPr="006D63D3" w:rsidRDefault="009510BF" w:rsidP="009510BF">
      <w:pPr>
        <w:pStyle w:val="paragraph"/>
      </w:pPr>
      <w:r w:rsidRPr="006D63D3">
        <w:tab/>
        <w:t>(b)</w:t>
      </w:r>
      <w:r w:rsidRPr="006D63D3">
        <w:tab/>
        <w:t xml:space="preserve">the clause of </w:t>
      </w:r>
      <w:r w:rsidR="006211C7">
        <w:t>Schedule </w:t>
      </w:r>
      <w:r w:rsidR="00AD4D18">
        <w:t>5</w:t>
      </w:r>
      <w:r w:rsidRPr="006D63D3">
        <w:t xml:space="preserve"> that applies because of </w:t>
      </w:r>
      <w:r w:rsidR="00E84409">
        <w:t>Part 4</w:t>
      </w:r>
      <w:r w:rsidRPr="006D63D3">
        <w:t xml:space="preserve"> of this Schedule;</w:t>
      </w:r>
    </w:p>
    <w:p w14:paraId="20A8359E" w14:textId="77777777" w:rsidR="0010246C" w:rsidRPr="00A058B6" w:rsidRDefault="0010246C" w:rsidP="009510BF">
      <w:pPr>
        <w:pStyle w:val="subsection2"/>
      </w:pPr>
      <w:r w:rsidRPr="00A058B6">
        <w:t>that applies to the pension and the member spouse’s age in completed years at the relevant date</w:t>
      </w:r>
      <w:r w:rsidR="00D7157D">
        <w:t>.</w:t>
      </w:r>
    </w:p>
    <w:p w14:paraId="701DB3D1" w14:textId="03C7D0AD" w:rsidR="00281521" w:rsidRPr="007005F4" w:rsidRDefault="00281521" w:rsidP="00281521">
      <w:pPr>
        <w:pStyle w:val="notetext"/>
      </w:pPr>
      <w:r>
        <w:t>Note:</w:t>
      </w:r>
      <w:r>
        <w:tab/>
        <w:t xml:space="preserve">If </w:t>
      </w:r>
      <w:r w:rsidR="00E84409">
        <w:t>Part 4</w:t>
      </w:r>
      <w:r>
        <w:t xml:space="preserve"> of this Schedule applies, then a clause in </w:t>
      </w:r>
      <w:r w:rsidR="00AB0143">
        <w:t>Part 2</w:t>
      </w:r>
      <w:r>
        <w:t xml:space="preserve"> or 3 of </w:t>
      </w:r>
      <w:r w:rsidR="006211C7">
        <w:t>Schedule </w:t>
      </w:r>
      <w:r w:rsidR="00AD4D18">
        <w:t>5</w:t>
      </w:r>
      <w:r>
        <w:t xml:space="preserve"> applies</w:t>
      </w:r>
      <w:r w:rsidR="00D7157D">
        <w:t>.</w:t>
      </w:r>
    </w:p>
    <w:p w14:paraId="3E885113" w14:textId="200C8DA3" w:rsidR="0010246C" w:rsidRPr="00A058B6" w:rsidRDefault="0010246C" w:rsidP="0010246C">
      <w:pPr>
        <w:pStyle w:val="Definition"/>
      </w:pPr>
      <w:r w:rsidRPr="00A058B6">
        <w:rPr>
          <w:b/>
          <w:i/>
        </w:rPr>
        <w:t>r</w:t>
      </w:r>
      <w:r w:rsidRPr="00A058B6">
        <w:t xml:space="preserve"> </w:t>
      </w:r>
      <w:r w:rsidR="005504E4">
        <w:t>means</w:t>
      </w:r>
      <w:r w:rsidR="005504E4" w:rsidRPr="00A058B6">
        <w:t xml:space="preserve"> </w:t>
      </w:r>
      <w:r w:rsidRPr="00A058B6">
        <w:t>the proportion of pension that a non</w:t>
      </w:r>
      <w:r w:rsidR="001952B3">
        <w:noBreakHyphen/>
      </w:r>
      <w:r w:rsidRPr="00A058B6">
        <w:t xml:space="preserve">member spouse would receive, as the reversionary beneficiary of the member spouse, on the death of the member spouse, as provided by the trustee under </w:t>
      </w:r>
      <w:r w:rsidR="00AF1E4E">
        <w:t>section 9</w:t>
      </w:r>
      <w:r w:rsidRPr="00A058B6">
        <w:t>0XZB or 90YZR of the Act</w:t>
      </w:r>
      <w:r w:rsidR="00D7157D">
        <w:t>.</w:t>
      </w:r>
    </w:p>
    <w:p w14:paraId="0E9B169A" w14:textId="77777777" w:rsidR="007567B8" w:rsidRPr="00A058B6" w:rsidRDefault="007567B8" w:rsidP="007567B8">
      <w:pPr>
        <w:pStyle w:val="Definition"/>
      </w:pPr>
      <w:r w:rsidRPr="00A058B6">
        <w:rPr>
          <w:b/>
          <w:i/>
        </w:rPr>
        <w:t>D</w:t>
      </w:r>
      <w:r w:rsidRPr="00A058B6">
        <w:rPr>
          <w:b/>
          <w:i/>
          <w:vertAlign w:val="subscript"/>
        </w:rPr>
        <w:t>y+m</w:t>
      </w:r>
      <w:r w:rsidRPr="00A058B6">
        <w:t xml:space="preserve"> </w:t>
      </w:r>
      <w:r w:rsidR="005504E4">
        <w:t>means</w:t>
      </w:r>
      <w:r w:rsidR="005504E4" w:rsidRPr="00A058B6">
        <w:t xml:space="preserve"> </w:t>
      </w:r>
      <w:r w:rsidRPr="00A058B6">
        <w:t xml:space="preserve">the discount valuation factor calculated in accordance with </w:t>
      </w:r>
      <w:r w:rsidR="00B05FD6">
        <w:t>subclause (</w:t>
      </w:r>
      <w:r w:rsidRPr="00A058B6">
        <w:t>3)</w:t>
      </w:r>
      <w:r w:rsidR="00D7157D">
        <w:t>.</w:t>
      </w:r>
    </w:p>
    <w:p w14:paraId="6EBEDD78" w14:textId="77777777" w:rsidR="00647C6B" w:rsidRPr="00A058B6" w:rsidRDefault="00647C6B" w:rsidP="00647C6B">
      <w:pPr>
        <w:pStyle w:val="subsection"/>
      </w:pPr>
      <w:r w:rsidRPr="00A058B6">
        <w:rPr>
          <w:color w:val="000000"/>
        </w:rPr>
        <w:tab/>
        <w:t>(3)</w:t>
      </w:r>
      <w:r w:rsidRPr="00A058B6">
        <w:rPr>
          <w:color w:val="000000"/>
        </w:rPr>
        <w:tab/>
        <w:t xml:space="preserve">For the purposes of </w:t>
      </w:r>
      <w:r w:rsidR="00B05FD6">
        <w:rPr>
          <w:color w:val="000000"/>
        </w:rPr>
        <w:t>subclause (</w:t>
      </w:r>
      <w:r w:rsidRPr="00A058B6">
        <w:rPr>
          <w:color w:val="000000"/>
        </w:rPr>
        <w:t>2), the discount valuation factor (</w:t>
      </w:r>
      <w:r w:rsidRPr="00A058B6">
        <w:rPr>
          <w:b/>
          <w:i/>
          <w:color w:val="000000"/>
        </w:rPr>
        <w:t>D</w:t>
      </w:r>
      <w:r w:rsidRPr="00A058B6">
        <w:rPr>
          <w:b/>
          <w:i/>
          <w:color w:val="000000"/>
          <w:vertAlign w:val="subscript"/>
        </w:rPr>
        <w:t>y+m</w:t>
      </w:r>
      <w:r w:rsidRPr="00A058B6">
        <w:rPr>
          <w:color w:val="000000"/>
        </w:rPr>
        <w:t>) at the relevant date is:</w:t>
      </w:r>
    </w:p>
    <w:p w14:paraId="2B434865" w14:textId="28955D80" w:rsidR="00906E5E" w:rsidRPr="00A058B6" w:rsidRDefault="005F4D3B" w:rsidP="00906E5E">
      <w:pPr>
        <w:pStyle w:val="subsection2"/>
      </w:pPr>
      <w:r w:rsidRPr="00CA1D76">
        <w:rPr>
          <w:position w:val="-44"/>
        </w:rPr>
        <w:object w:dxaOrig="3019" w:dyaOrig="1180" w14:anchorId="5CE6F26C">
          <v:shape id="_x0000_i1073" type="#_x0000_t75" alt="Start formula start fraction open bracket D subscript y times open bracket 12 minus m close bracket close bracket plus open bracket D subscript y subscript plus subscript 1 times m close bracket over 12 end fraction end formula" style="width:153.15pt;height:61pt" o:ole="">
            <v:imagedata r:id="rId132" o:title=""/>
          </v:shape>
          <o:OLEObject Type="Embed" ProgID="Equation.DSMT4" ShapeID="_x0000_i1073" DrawAspect="Content" ObjectID="_1801634302" r:id="rId133"/>
        </w:object>
      </w:r>
    </w:p>
    <w:p w14:paraId="4F3D11A6" w14:textId="77777777" w:rsidR="00647C6B" w:rsidRPr="00A058B6" w:rsidRDefault="00647C6B" w:rsidP="00647C6B">
      <w:pPr>
        <w:pStyle w:val="subsection2"/>
      </w:pPr>
      <w:r w:rsidRPr="00A058B6">
        <w:rPr>
          <w:color w:val="000000"/>
        </w:rPr>
        <w:t>where:</w:t>
      </w:r>
    </w:p>
    <w:p w14:paraId="74DAE7AA" w14:textId="7696799E" w:rsidR="00647C6B" w:rsidRPr="00A058B6" w:rsidRDefault="00647C6B" w:rsidP="00647C6B">
      <w:pPr>
        <w:pStyle w:val="Definition"/>
      </w:pPr>
      <w:r w:rsidRPr="00A058B6">
        <w:rPr>
          <w:b/>
          <w:bCs/>
          <w:i/>
          <w:iCs/>
          <w:color w:val="000000"/>
        </w:rPr>
        <w:t>D</w:t>
      </w:r>
      <w:r w:rsidRPr="00A058B6">
        <w:rPr>
          <w:b/>
          <w:bCs/>
          <w:i/>
          <w:iCs/>
          <w:color w:val="000000"/>
          <w:vertAlign w:val="subscript"/>
        </w:rPr>
        <w:t>y</w:t>
      </w:r>
      <w:r w:rsidRPr="00A058B6">
        <w:rPr>
          <w:color w:val="000000"/>
        </w:rPr>
        <w:t xml:space="preserve"> </w:t>
      </w:r>
      <w:r w:rsidR="005504E4">
        <w:t>means</w:t>
      </w:r>
      <w:r w:rsidR="005504E4" w:rsidRPr="00A058B6">
        <w:t xml:space="preserve"> </w:t>
      </w:r>
      <w:r w:rsidRPr="00A058B6">
        <w:rPr>
          <w:color w:val="000000"/>
        </w:rPr>
        <w:t xml:space="preserve">the discount valuation factor mentioned in </w:t>
      </w:r>
      <w:r w:rsidR="005A1165">
        <w:rPr>
          <w:color w:val="000000"/>
        </w:rPr>
        <w:t>clause </w:t>
      </w:r>
      <w:r w:rsidR="00D7157D">
        <w:rPr>
          <w:color w:val="000000"/>
        </w:rPr>
        <w:t>43</w:t>
      </w:r>
      <w:r w:rsidRPr="00A058B6">
        <w:rPr>
          <w:color w:val="000000"/>
        </w:rPr>
        <w:t xml:space="preserve"> that applies to the pension at the relevant date and the minimum deferral period in complete years at that date</w:t>
      </w:r>
      <w:r w:rsidR="00D7157D">
        <w:rPr>
          <w:color w:val="000000"/>
        </w:rPr>
        <w:t>.</w:t>
      </w:r>
    </w:p>
    <w:p w14:paraId="0CF66736" w14:textId="77777777" w:rsidR="0010246C" w:rsidRPr="00A058B6" w:rsidRDefault="0010246C" w:rsidP="0010246C">
      <w:pPr>
        <w:pStyle w:val="Definition"/>
      </w:pPr>
      <w:r w:rsidRPr="00A058B6">
        <w:rPr>
          <w:b/>
          <w:bCs/>
          <w:i/>
          <w:iCs/>
        </w:rPr>
        <w:t>m</w:t>
      </w:r>
      <w:r w:rsidRPr="00A058B6">
        <w:t xml:space="preserve"> </w:t>
      </w:r>
      <w:r w:rsidR="005504E4">
        <w:t>means</w:t>
      </w:r>
      <w:r w:rsidR="005504E4" w:rsidRPr="00A058B6">
        <w:t xml:space="preserve"> </w:t>
      </w:r>
      <w:r w:rsidRPr="00A058B6">
        <w:t>the number of complete months of the minimum deferral period applicable to the pension at the relevant date that are not included in the remaining complete years of that period at that date</w:t>
      </w:r>
      <w:r w:rsidR="00D7157D">
        <w:t>.</w:t>
      </w:r>
    </w:p>
    <w:p w14:paraId="63E23F3B" w14:textId="05C48994" w:rsidR="00C34803" w:rsidRPr="00A058B6" w:rsidRDefault="00C34803" w:rsidP="00C34803">
      <w:pPr>
        <w:pStyle w:val="Definition"/>
      </w:pPr>
      <w:r w:rsidRPr="00A058B6">
        <w:rPr>
          <w:b/>
          <w:bCs/>
          <w:i/>
          <w:iCs/>
        </w:rPr>
        <w:t>D</w:t>
      </w:r>
      <w:r w:rsidRPr="00A058B6">
        <w:rPr>
          <w:b/>
          <w:bCs/>
          <w:i/>
          <w:iCs/>
          <w:vertAlign w:val="subscript"/>
        </w:rPr>
        <w:t>y+1</w:t>
      </w:r>
      <w:r w:rsidRPr="00A058B6">
        <w:t xml:space="preserve"> </w:t>
      </w:r>
      <w:r w:rsidR="005504E4">
        <w:t>means</w:t>
      </w:r>
      <w:r w:rsidR="005504E4" w:rsidRPr="00A058B6">
        <w:t xml:space="preserve"> </w:t>
      </w:r>
      <w:r w:rsidRPr="00A058B6">
        <w:t xml:space="preserve">the discount valuation factor specified in </w:t>
      </w:r>
      <w:r w:rsidR="005A1165">
        <w:t>clause </w:t>
      </w:r>
      <w:r w:rsidR="00D7157D">
        <w:t>43</w:t>
      </w:r>
      <w:r w:rsidRPr="00A058B6">
        <w:t xml:space="preserve"> that would apply in respect of the pension at the relevant date if the minimum deferral period (in complete years) applying to the pension at that date were one year more than the minimum deferral period applying to the pension at that date</w:t>
      </w:r>
      <w:r w:rsidR="00D7157D">
        <w:t>.</w:t>
      </w:r>
    </w:p>
    <w:p w14:paraId="79A0B89C" w14:textId="5FDEAAE3" w:rsidR="00647C6B" w:rsidRPr="00A058B6" w:rsidRDefault="00647C6B" w:rsidP="00647C6B">
      <w:pPr>
        <w:pStyle w:val="subsection"/>
      </w:pPr>
      <w:r w:rsidRPr="00A058B6">
        <w:rPr>
          <w:color w:val="000000"/>
        </w:rPr>
        <w:tab/>
        <w:t>(4)</w:t>
      </w:r>
      <w:r w:rsidRPr="00A058B6">
        <w:rPr>
          <w:color w:val="000000"/>
        </w:rPr>
        <w:tab/>
        <w:t xml:space="preserve">In this clause and </w:t>
      </w:r>
      <w:r w:rsidR="005A1165">
        <w:rPr>
          <w:color w:val="000000"/>
        </w:rPr>
        <w:t>clause </w:t>
      </w:r>
      <w:r w:rsidR="00D7157D">
        <w:rPr>
          <w:color w:val="000000"/>
        </w:rPr>
        <w:t>43</w:t>
      </w:r>
      <w:r w:rsidRPr="00A058B6">
        <w:rPr>
          <w:color w:val="000000"/>
        </w:rPr>
        <w:t>:</w:t>
      </w:r>
    </w:p>
    <w:p w14:paraId="25D73461" w14:textId="77777777" w:rsidR="00647C6B" w:rsidRPr="00A058B6" w:rsidRDefault="00647C6B" w:rsidP="00647C6B">
      <w:pPr>
        <w:pStyle w:val="Definition"/>
      </w:pPr>
      <w:r w:rsidRPr="00A058B6">
        <w:rPr>
          <w:b/>
          <w:i/>
          <w:color w:val="000000"/>
        </w:rPr>
        <w:t>minimum deferral period</w:t>
      </w:r>
      <w:r w:rsidR="00AA0180">
        <w:rPr>
          <w:color w:val="000000"/>
        </w:rPr>
        <w:t xml:space="preserve">, </w:t>
      </w:r>
      <w:r w:rsidRPr="00A058B6">
        <w:rPr>
          <w:color w:val="000000"/>
        </w:rPr>
        <w:t>in relation to the benefit payable to the member spouse in respect of the interest, means the period until the earliest date at which the benefit may be paid (other than for death or disability)</w:t>
      </w:r>
      <w:r w:rsidR="00D7157D">
        <w:rPr>
          <w:color w:val="000000"/>
        </w:rPr>
        <w:t>.</w:t>
      </w:r>
    </w:p>
    <w:p w14:paraId="4C0142E2" w14:textId="7C4EA22C" w:rsidR="00647C6B" w:rsidRPr="00A058B6" w:rsidRDefault="00D7157D" w:rsidP="00647C6B">
      <w:pPr>
        <w:pStyle w:val="ActHead5"/>
      </w:pPr>
      <w:bookmarkStart w:id="285" w:name="_Toc188350763"/>
      <w:r w:rsidRPr="00423C34">
        <w:rPr>
          <w:rStyle w:val="CharSectno"/>
        </w:rPr>
        <w:t>43</w:t>
      </w:r>
      <w:r w:rsidR="00647C6B" w:rsidRPr="00A058B6">
        <w:t xml:space="preserve">  Discount valuation factors</w:t>
      </w:r>
      <w:bookmarkEnd w:id="285"/>
    </w:p>
    <w:p w14:paraId="676FA32D" w14:textId="53C2E25D" w:rsidR="00647C6B" w:rsidRPr="00A058B6" w:rsidRDefault="00647C6B" w:rsidP="00647C6B">
      <w:pPr>
        <w:pStyle w:val="subsection"/>
      </w:pPr>
      <w:r w:rsidRPr="00A058B6">
        <w:rPr>
          <w:color w:val="000000"/>
        </w:rPr>
        <w:tab/>
        <w:t>(1)</w:t>
      </w:r>
      <w:r w:rsidRPr="00A058B6">
        <w:rPr>
          <w:color w:val="000000"/>
        </w:rPr>
        <w:tab/>
        <w:t>For the purposes of sub</w:t>
      </w:r>
      <w:r w:rsidR="005A1165">
        <w:rPr>
          <w:color w:val="000000"/>
        </w:rPr>
        <w:t>clause </w:t>
      </w:r>
      <w:r w:rsidR="00D7157D">
        <w:rPr>
          <w:color w:val="000000"/>
        </w:rPr>
        <w:t>42</w:t>
      </w:r>
      <w:r w:rsidRPr="00A058B6">
        <w:rPr>
          <w:color w:val="000000"/>
        </w:rPr>
        <w:t>(3), this clause sets out the discount valuation factors</w:t>
      </w:r>
      <w:r w:rsidR="00D7157D">
        <w:rPr>
          <w:color w:val="000000"/>
        </w:rPr>
        <w:t>.</w:t>
      </w:r>
    </w:p>
    <w:p w14:paraId="40D3F5B3" w14:textId="77777777" w:rsidR="00647C6B" w:rsidRPr="00A058B6" w:rsidRDefault="00647C6B" w:rsidP="00647C6B">
      <w:pPr>
        <w:pStyle w:val="subsection"/>
      </w:pPr>
      <w:r w:rsidRPr="00A058B6">
        <w:tab/>
        <w:t>(2)</w:t>
      </w:r>
      <w:r w:rsidRPr="00A058B6">
        <w:tab/>
        <w:t>Column 2 of the following table sets out the applicable factor for the annual amount of a pension that, at the relevant date, is not indexed in respect of the minimum deferral period</w:t>
      </w:r>
      <w:r w:rsidR="00D7157D">
        <w:t>.</w:t>
      </w:r>
    </w:p>
    <w:p w14:paraId="1E85B3A3" w14:textId="77777777" w:rsidR="00647C6B" w:rsidRPr="00A058B6" w:rsidRDefault="00647C6B" w:rsidP="00647C6B">
      <w:pPr>
        <w:pStyle w:val="subsection"/>
      </w:pPr>
      <w:r w:rsidRPr="00A058B6">
        <w:tab/>
        <w:t>(3)</w:t>
      </w:r>
      <w:r w:rsidRPr="00A058B6">
        <w:tab/>
        <w:t>Column 3 of the following table sets out the applicable factor for the annual amount of a pension that, at the relevant date, is indexed in respect of the minimum deferral period in accordance with the consumer price index</w:t>
      </w:r>
      <w:r w:rsidR="00D7157D">
        <w:t>.</w:t>
      </w:r>
    </w:p>
    <w:p w14:paraId="0A49455E" w14:textId="77777777" w:rsidR="00647C6B" w:rsidRPr="00A058B6" w:rsidRDefault="00647C6B" w:rsidP="00647C6B">
      <w:pPr>
        <w:pStyle w:val="subsection"/>
      </w:pPr>
      <w:r w:rsidRPr="00A058B6">
        <w:tab/>
        <w:t>(4)</w:t>
      </w:r>
      <w:r w:rsidRPr="00A058B6">
        <w:tab/>
        <w:t>Column 4 of the following table sets out the applicable factor for the annual amount of a pension that, at the relevant date, is indexed in respect of the minimum deferral period in accordance with:</w:t>
      </w:r>
    </w:p>
    <w:p w14:paraId="37F6CFC3" w14:textId="77777777" w:rsidR="00647C6B" w:rsidRPr="00A058B6" w:rsidRDefault="00647C6B" w:rsidP="00647C6B">
      <w:pPr>
        <w:pStyle w:val="paragraph"/>
      </w:pPr>
      <w:r w:rsidRPr="00A058B6">
        <w:tab/>
        <w:t>(a)</w:t>
      </w:r>
      <w:r w:rsidRPr="00A058B6">
        <w:tab/>
        <w:t>a general wage index (for example, average weekly earnings, or average weekly ordinary time earnings, published by the Australian Bureau of Statistics); or</w:t>
      </w:r>
    </w:p>
    <w:p w14:paraId="128D308D" w14:textId="77777777" w:rsidR="00647C6B" w:rsidRPr="00A058B6" w:rsidRDefault="00647C6B" w:rsidP="00647C6B">
      <w:pPr>
        <w:pStyle w:val="paragraph"/>
      </w:pPr>
      <w:r w:rsidRPr="00A058B6">
        <w:tab/>
        <w:t>(b)</w:t>
      </w:r>
      <w:r w:rsidRPr="00A058B6">
        <w:tab/>
        <w:t xml:space="preserve">any change in the salary payable for the employment in which the member was engaged immediately before </w:t>
      </w:r>
      <w:r w:rsidR="00983C67" w:rsidRPr="00A058B6">
        <w:t>the member</w:t>
      </w:r>
      <w:r w:rsidRPr="00A058B6">
        <w:t xml:space="preserve"> ceased employment</w:t>
      </w:r>
      <w:r w:rsidR="00D7157D">
        <w:t>.</w:t>
      </w:r>
    </w:p>
    <w:p w14:paraId="4D8C5A5A" w14:textId="77777777" w:rsidR="00647C6B" w:rsidRPr="00A058B6" w:rsidRDefault="00647C6B" w:rsidP="00647C6B">
      <w:pPr>
        <w:pStyle w:val="subsection"/>
      </w:pPr>
      <w:r w:rsidRPr="00A058B6">
        <w:tab/>
        <w:t>(5)</w:t>
      </w:r>
      <w:r w:rsidRPr="00A058B6">
        <w:tab/>
        <w:t>If the annual amount of the pension at the relevant date is indexed in respect of the minimum deferral period in accordance with a fund crediting rate, the factor is 1</w:t>
      </w:r>
      <w:r w:rsidR="00D7157D">
        <w:t>.</w:t>
      </w:r>
    </w:p>
    <w:p w14:paraId="1C731354" w14:textId="77777777" w:rsidR="00647C6B" w:rsidRPr="00A058B6" w:rsidRDefault="00647C6B" w:rsidP="00647C6B">
      <w:pPr>
        <w:pStyle w:val="Tabletext"/>
      </w:pPr>
    </w:p>
    <w:tbl>
      <w:tblPr>
        <w:tblW w:w="5000" w:type="pct"/>
        <w:tblLook w:val="0000" w:firstRow="0" w:lastRow="0" w:firstColumn="0" w:lastColumn="0" w:noHBand="0" w:noVBand="0"/>
      </w:tblPr>
      <w:tblGrid>
        <w:gridCol w:w="2267"/>
        <w:gridCol w:w="1560"/>
        <w:gridCol w:w="1985"/>
        <w:gridCol w:w="2501"/>
      </w:tblGrid>
      <w:tr w:rsidR="00647C6B" w:rsidRPr="00A058B6" w14:paraId="12EF8B7A" w14:textId="77777777" w:rsidTr="00963115">
        <w:trPr>
          <w:cantSplit/>
          <w:tblHeader/>
        </w:trPr>
        <w:tc>
          <w:tcPr>
            <w:tcW w:w="1364" w:type="pct"/>
            <w:vMerge w:val="restart"/>
            <w:tcBorders>
              <w:top w:val="single" w:sz="12" w:space="0" w:color="auto"/>
              <w:left w:val="nil"/>
              <w:right w:val="nil"/>
            </w:tcBorders>
          </w:tcPr>
          <w:p w14:paraId="05B92ED3" w14:textId="77777777" w:rsidR="00647C6B" w:rsidRPr="00A058B6" w:rsidRDefault="00647C6B" w:rsidP="00963115">
            <w:pPr>
              <w:pStyle w:val="TableHeading"/>
            </w:pPr>
            <w:r w:rsidRPr="00A058B6">
              <w:t>Minimum deferral period for pension (in complete years)</w:t>
            </w:r>
          </w:p>
        </w:tc>
        <w:tc>
          <w:tcPr>
            <w:tcW w:w="3636" w:type="pct"/>
            <w:gridSpan w:val="3"/>
            <w:tcBorders>
              <w:top w:val="single" w:sz="12" w:space="0" w:color="auto"/>
              <w:left w:val="nil"/>
              <w:bottom w:val="single" w:sz="4" w:space="0" w:color="auto"/>
              <w:right w:val="nil"/>
            </w:tcBorders>
          </w:tcPr>
          <w:p w14:paraId="2C45F5B2" w14:textId="77777777" w:rsidR="00647C6B" w:rsidRPr="00A058B6" w:rsidRDefault="00647C6B" w:rsidP="00963115">
            <w:pPr>
              <w:pStyle w:val="TableHeading"/>
            </w:pPr>
            <w:r w:rsidRPr="00A058B6">
              <w:t>Discount valuation factors</w:t>
            </w:r>
          </w:p>
        </w:tc>
      </w:tr>
      <w:tr w:rsidR="00647C6B" w:rsidRPr="00A058B6" w14:paraId="247BDD58" w14:textId="77777777" w:rsidTr="00005701">
        <w:trPr>
          <w:cantSplit/>
          <w:trHeight w:val="575"/>
          <w:tblHeader/>
        </w:trPr>
        <w:tc>
          <w:tcPr>
            <w:tcW w:w="1364" w:type="pct"/>
            <w:vMerge/>
            <w:tcBorders>
              <w:left w:val="nil"/>
              <w:bottom w:val="single" w:sz="12" w:space="0" w:color="auto"/>
              <w:right w:val="nil"/>
            </w:tcBorders>
          </w:tcPr>
          <w:p w14:paraId="0AC68AAF" w14:textId="77777777" w:rsidR="00647C6B" w:rsidRPr="00A058B6" w:rsidRDefault="00647C6B" w:rsidP="00963115">
            <w:pPr>
              <w:pStyle w:val="TableHeading"/>
            </w:pPr>
          </w:p>
        </w:tc>
        <w:tc>
          <w:tcPr>
            <w:tcW w:w="938" w:type="pct"/>
            <w:tcBorders>
              <w:top w:val="single" w:sz="4" w:space="0" w:color="auto"/>
              <w:left w:val="nil"/>
              <w:bottom w:val="single" w:sz="12" w:space="0" w:color="auto"/>
              <w:right w:val="nil"/>
            </w:tcBorders>
          </w:tcPr>
          <w:p w14:paraId="7DC31A5C" w14:textId="77777777" w:rsidR="00647C6B" w:rsidRPr="00A058B6" w:rsidRDefault="00647C6B" w:rsidP="00963115">
            <w:pPr>
              <w:pStyle w:val="TableHeading"/>
            </w:pPr>
            <w:r w:rsidRPr="00A058B6">
              <w:t>Pension not indexed</w:t>
            </w:r>
          </w:p>
        </w:tc>
        <w:tc>
          <w:tcPr>
            <w:tcW w:w="1194" w:type="pct"/>
            <w:tcBorders>
              <w:top w:val="single" w:sz="4" w:space="0" w:color="auto"/>
              <w:left w:val="nil"/>
              <w:bottom w:val="single" w:sz="12" w:space="0" w:color="auto"/>
              <w:right w:val="nil"/>
            </w:tcBorders>
          </w:tcPr>
          <w:p w14:paraId="40D743DE" w14:textId="77777777" w:rsidR="00647C6B" w:rsidRPr="00A058B6" w:rsidRDefault="00647C6B" w:rsidP="00963115">
            <w:pPr>
              <w:pStyle w:val="TableHeading"/>
            </w:pPr>
            <w:r w:rsidRPr="00A058B6">
              <w:t>Pension indexed in line with CPI</w:t>
            </w:r>
          </w:p>
        </w:tc>
        <w:tc>
          <w:tcPr>
            <w:tcW w:w="1504" w:type="pct"/>
            <w:tcBorders>
              <w:top w:val="single" w:sz="4" w:space="0" w:color="auto"/>
              <w:left w:val="nil"/>
              <w:bottom w:val="single" w:sz="12" w:space="0" w:color="auto"/>
              <w:right w:val="nil"/>
            </w:tcBorders>
          </w:tcPr>
          <w:p w14:paraId="1D536CA6" w14:textId="77777777" w:rsidR="00647C6B" w:rsidRPr="00A058B6" w:rsidRDefault="00647C6B" w:rsidP="00963115">
            <w:pPr>
              <w:pStyle w:val="TableHeading"/>
            </w:pPr>
            <w:r w:rsidRPr="00A058B6">
              <w:t>Pension indexed in line with wage index or salary</w:t>
            </w:r>
          </w:p>
        </w:tc>
      </w:tr>
      <w:tr w:rsidR="00080DC7" w:rsidRPr="009E2595" w14:paraId="42CF7F3A" w14:textId="77777777" w:rsidTr="00005701">
        <w:trPr>
          <w:cantSplit/>
        </w:trPr>
        <w:tc>
          <w:tcPr>
            <w:tcW w:w="1364" w:type="pct"/>
            <w:tcBorders>
              <w:top w:val="single" w:sz="12" w:space="0" w:color="auto"/>
              <w:left w:val="nil"/>
              <w:bottom w:val="single" w:sz="4" w:space="0" w:color="auto"/>
              <w:right w:val="nil"/>
            </w:tcBorders>
          </w:tcPr>
          <w:p w14:paraId="3EE745EC" w14:textId="77777777" w:rsidR="00080DC7" w:rsidRPr="00616B26" w:rsidRDefault="00080DC7" w:rsidP="00080DC7">
            <w:pPr>
              <w:pStyle w:val="Tabletext"/>
              <w:rPr>
                <w:snapToGrid w:val="0"/>
              </w:rPr>
            </w:pPr>
            <w:r w:rsidRPr="00616B26">
              <w:rPr>
                <w:snapToGrid w:val="0"/>
              </w:rPr>
              <w:t>0</w:t>
            </w:r>
          </w:p>
        </w:tc>
        <w:tc>
          <w:tcPr>
            <w:tcW w:w="938" w:type="pct"/>
            <w:tcBorders>
              <w:top w:val="single" w:sz="12" w:space="0" w:color="auto"/>
              <w:left w:val="nil"/>
              <w:bottom w:val="single" w:sz="4" w:space="0" w:color="auto"/>
              <w:right w:val="nil"/>
            </w:tcBorders>
            <w:vAlign w:val="center"/>
          </w:tcPr>
          <w:p w14:paraId="4972371D" w14:textId="77777777" w:rsidR="00080DC7" w:rsidRPr="00C971C6" w:rsidRDefault="00080DC7" w:rsidP="00080DC7">
            <w:pPr>
              <w:pStyle w:val="Tabletext"/>
              <w:rPr>
                <w:snapToGrid w:val="0"/>
              </w:rPr>
            </w:pPr>
            <w:r w:rsidRPr="00295986">
              <w:t>1</w:t>
            </w:r>
            <w:r w:rsidR="00D7157D">
              <w:t>.</w:t>
            </w:r>
            <w:r w:rsidRPr="00295986">
              <w:t>000</w:t>
            </w:r>
          </w:p>
        </w:tc>
        <w:tc>
          <w:tcPr>
            <w:tcW w:w="1194" w:type="pct"/>
            <w:tcBorders>
              <w:top w:val="single" w:sz="12" w:space="0" w:color="auto"/>
              <w:left w:val="nil"/>
              <w:bottom w:val="single" w:sz="4" w:space="0" w:color="auto"/>
              <w:right w:val="nil"/>
            </w:tcBorders>
            <w:vAlign w:val="center"/>
          </w:tcPr>
          <w:p w14:paraId="3DB93F35" w14:textId="77777777" w:rsidR="00080DC7" w:rsidRPr="00C971C6" w:rsidRDefault="00080DC7" w:rsidP="00080DC7">
            <w:pPr>
              <w:pStyle w:val="Tabletext"/>
              <w:rPr>
                <w:snapToGrid w:val="0"/>
              </w:rPr>
            </w:pPr>
            <w:r w:rsidRPr="00295986">
              <w:t>1</w:t>
            </w:r>
            <w:r w:rsidR="00D7157D">
              <w:t>.</w:t>
            </w:r>
            <w:r w:rsidRPr="00295986">
              <w:t>000</w:t>
            </w:r>
          </w:p>
        </w:tc>
        <w:tc>
          <w:tcPr>
            <w:tcW w:w="1504" w:type="pct"/>
            <w:tcBorders>
              <w:top w:val="single" w:sz="12" w:space="0" w:color="auto"/>
              <w:left w:val="nil"/>
              <w:bottom w:val="single" w:sz="4" w:space="0" w:color="auto"/>
              <w:right w:val="nil"/>
            </w:tcBorders>
            <w:vAlign w:val="center"/>
          </w:tcPr>
          <w:p w14:paraId="06BAAEC5" w14:textId="77777777" w:rsidR="00080DC7" w:rsidRPr="00080DC7" w:rsidRDefault="00080DC7" w:rsidP="00080DC7">
            <w:pPr>
              <w:pStyle w:val="Tabletext"/>
              <w:rPr>
                <w:snapToGrid w:val="0"/>
                <w:color w:val="000000" w:themeColor="text1"/>
              </w:rPr>
            </w:pPr>
            <w:r w:rsidRPr="00080DC7">
              <w:rPr>
                <w:color w:val="000000" w:themeColor="text1"/>
              </w:rPr>
              <w:t>1</w:t>
            </w:r>
            <w:r w:rsidR="00D7157D">
              <w:rPr>
                <w:color w:val="000000" w:themeColor="text1"/>
              </w:rPr>
              <w:t>.</w:t>
            </w:r>
            <w:r w:rsidRPr="00080DC7">
              <w:rPr>
                <w:color w:val="000000" w:themeColor="text1"/>
              </w:rPr>
              <w:t>000</w:t>
            </w:r>
          </w:p>
        </w:tc>
      </w:tr>
      <w:tr w:rsidR="00080DC7" w:rsidRPr="009E2595" w14:paraId="67B449FA" w14:textId="77777777" w:rsidTr="00005701">
        <w:trPr>
          <w:cantSplit/>
        </w:trPr>
        <w:tc>
          <w:tcPr>
            <w:tcW w:w="1364" w:type="pct"/>
            <w:tcBorders>
              <w:top w:val="single" w:sz="4" w:space="0" w:color="auto"/>
              <w:left w:val="nil"/>
              <w:bottom w:val="single" w:sz="4" w:space="0" w:color="auto"/>
              <w:right w:val="nil"/>
            </w:tcBorders>
          </w:tcPr>
          <w:p w14:paraId="2D50AEBC" w14:textId="77777777" w:rsidR="00080DC7" w:rsidRPr="00616B26" w:rsidRDefault="00080DC7" w:rsidP="00080DC7">
            <w:pPr>
              <w:pStyle w:val="Tabletext"/>
              <w:rPr>
                <w:snapToGrid w:val="0"/>
              </w:rPr>
            </w:pPr>
            <w:r w:rsidRPr="00616B26">
              <w:rPr>
                <w:snapToGrid w:val="0"/>
              </w:rPr>
              <w:t>1</w:t>
            </w:r>
          </w:p>
        </w:tc>
        <w:tc>
          <w:tcPr>
            <w:tcW w:w="938" w:type="pct"/>
            <w:tcBorders>
              <w:top w:val="single" w:sz="4" w:space="0" w:color="auto"/>
              <w:left w:val="nil"/>
              <w:bottom w:val="single" w:sz="4" w:space="0" w:color="auto"/>
              <w:right w:val="nil"/>
            </w:tcBorders>
            <w:vAlign w:val="bottom"/>
          </w:tcPr>
          <w:p w14:paraId="0B4C33E6" w14:textId="77777777" w:rsidR="00080DC7" w:rsidRPr="00C971C6" w:rsidRDefault="00080DC7" w:rsidP="00080DC7">
            <w:pPr>
              <w:pStyle w:val="Tabletext"/>
              <w:rPr>
                <w:snapToGrid w:val="0"/>
              </w:rPr>
            </w:pPr>
            <w:r w:rsidRPr="00295986">
              <w:t>0</w:t>
            </w:r>
            <w:r w:rsidR="00D7157D">
              <w:t>.</w:t>
            </w:r>
            <w:r w:rsidRPr="00295986">
              <w:t>944</w:t>
            </w:r>
          </w:p>
        </w:tc>
        <w:tc>
          <w:tcPr>
            <w:tcW w:w="1194" w:type="pct"/>
            <w:tcBorders>
              <w:top w:val="single" w:sz="4" w:space="0" w:color="auto"/>
              <w:left w:val="nil"/>
              <w:bottom w:val="single" w:sz="4" w:space="0" w:color="auto"/>
              <w:right w:val="nil"/>
            </w:tcBorders>
            <w:vAlign w:val="bottom"/>
          </w:tcPr>
          <w:p w14:paraId="056FAA9E" w14:textId="77777777" w:rsidR="00080DC7" w:rsidRPr="00C971C6" w:rsidRDefault="00080DC7" w:rsidP="00080DC7">
            <w:pPr>
              <w:pStyle w:val="Tabletext"/>
              <w:rPr>
                <w:snapToGrid w:val="0"/>
              </w:rPr>
            </w:pPr>
            <w:r w:rsidRPr="00295986">
              <w:t>0</w:t>
            </w:r>
            <w:r w:rsidR="00D7157D">
              <w:t>.</w:t>
            </w:r>
            <w:r w:rsidRPr="00295986">
              <w:t>967</w:t>
            </w:r>
          </w:p>
        </w:tc>
        <w:tc>
          <w:tcPr>
            <w:tcW w:w="1504" w:type="pct"/>
            <w:tcBorders>
              <w:top w:val="single" w:sz="4" w:space="0" w:color="auto"/>
              <w:left w:val="nil"/>
              <w:bottom w:val="single" w:sz="4" w:space="0" w:color="auto"/>
              <w:right w:val="nil"/>
            </w:tcBorders>
            <w:vAlign w:val="bottom"/>
          </w:tcPr>
          <w:p w14:paraId="27F11B62"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979</w:t>
            </w:r>
          </w:p>
        </w:tc>
      </w:tr>
      <w:tr w:rsidR="00080DC7" w:rsidRPr="009E2595" w14:paraId="08FD40A0" w14:textId="77777777" w:rsidTr="00005701">
        <w:trPr>
          <w:cantSplit/>
        </w:trPr>
        <w:tc>
          <w:tcPr>
            <w:tcW w:w="1364" w:type="pct"/>
            <w:tcBorders>
              <w:top w:val="single" w:sz="4" w:space="0" w:color="auto"/>
              <w:left w:val="nil"/>
              <w:bottom w:val="single" w:sz="4" w:space="0" w:color="auto"/>
              <w:right w:val="nil"/>
            </w:tcBorders>
          </w:tcPr>
          <w:p w14:paraId="0A86F1B0" w14:textId="77777777" w:rsidR="00080DC7" w:rsidRPr="00616B26" w:rsidRDefault="00080DC7" w:rsidP="00080DC7">
            <w:pPr>
              <w:pStyle w:val="Tabletext"/>
              <w:rPr>
                <w:snapToGrid w:val="0"/>
              </w:rPr>
            </w:pPr>
            <w:r w:rsidRPr="00616B26">
              <w:rPr>
                <w:snapToGrid w:val="0"/>
              </w:rPr>
              <w:t>2</w:t>
            </w:r>
          </w:p>
        </w:tc>
        <w:tc>
          <w:tcPr>
            <w:tcW w:w="938" w:type="pct"/>
            <w:tcBorders>
              <w:top w:val="single" w:sz="4" w:space="0" w:color="auto"/>
              <w:left w:val="nil"/>
              <w:bottom w:val="single" w:sz="4" w:space="0" w:color="auto"/>
              <w:right w:val="nil"/>
            </w:tcBorders>
            <w:vAlign w:val="bottom"/>
          </w:tcPr>
          <w:p w14:paraId="75F295B2" w14:textId="77777777" w:rsidR="00080DC7" w:rsidRPr="00C971C6" w:rsidRDefault="00080DC7" w:rsidP="00080DC7">
            <w:pPr>
              <w:pStyle w:val="Tabletext"/>
              <w:rPr>
                <w:snapToGrid w:val="0"/>
              </w:rPr>
            </w:pPr>
            <w:r w:rsidRPr="00295986">
              <w:t>0</w:t>
            </w:r>
            <w:r w:rsidR="00D7157D">
              <w:t>.</w:t>
            </w:r>
            <w:r w:rsidRPr="00295986">
              <w:t>891</w:t>
            </w:r>
          </w:p>
        </w:tc>
        <w:tc>
          <w:tcPr>
            <w:tcW w:w="1194" w:type="pct"/>
            <w:tcBorders>
              <w:top w:val="single" w:sz="4" w:space="0" w:color="auto"/>
              <w:left w:val="nil"/>
              <w:bottom w:val="single" w:sz="4" w:space="0" w:color="auto"/>
              <w:right w:val="nil"/>
            </w:tcBorders>
            <w:vAlign w:val="bottom"/>
          </w:tcPr>
          <w:p w14:paraId="7665C6AC" w14:textId="77777777" w:rsidR="00080DC7" w:rsidRPr="00C971C6" w:rsidRDefault="00080DC7" w:rsidP="00080DC7">
            <w:pPr>
              <w:pStyle w:val="Tabletext"/>
              <w:rPr>
                <w:snapToGrid w:val="0"/>
              </w:rPr>
            </w:pPr>
            <w:r w:rsidRPr="00295986">
              <w:t>0</w:t>
            </w:r>
            <w:r w:rsidR="00D7157D">
              <w:t>.</w:t>
            </w:r>
            <w:r w:rsidRPr="00295986">
              <w:t>936</w:t>
            </w:r>
          </w:p>
        </w:tc>
        <w:tc>
          <w:tcPr>
            <w:tcW w:w="1504" w:type="pct"/>
            <w:tcBorders>
              <w:top w:val="single" w:sz="4" w:space="0" w:color="auto"/>
              <w:left w:val="nil"/>
              <w:bottom w:val="single" w:sz="4" w:space="0" w:color="auto"/>
              <w:right w:val="nil"/>
            </w:tcBorders>
            <w:vAlign w:val="bottom"/>
          </w:tcPr>
          <w:p w14:paraId="39839BD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958</w:t>
            </w:r>
          </w:p>
        </w:tc>
      </w:tr>
      <w:tr w:rsidR="00080DC7" w:rsidRPr="009E2595" w14:paraId="03B226F4" w14:textId="77777777" w:rsidTr="00005701">
        <w:trPr>
          <w:cantSplit/>
        </w:trPr>
        <w:tc>
          <w:tcPr>
            <w:tcW w:w="1364" w:type="pct"/>
            <w:tcBorders>
              <w:top w:val="single" w:sz="4" w:space="0" w:color="auto"/>
              <w:left w:val="nil"/>
              <w:bottom w:val="single" w:sz="4" w:space="0" w:color="auto"/>
              <w:right w:val="nil"/>
            </w:tcBorders>
          </w:tcPr>
          <w:p w14:paraId="76A4E73B" w14:textId="77777777" w:rsidR="00080DC7" w:rsidRPr="00616B26" w:rsidRDefault="00080DC7" w:rsidP="00080DC7">
            <w:pPr>
              <w:pStyle w:val="Tabletext"/>
              <w:rPr>
                <w:snapToGrid w:val="0"/>
              </w:rPr>
            </w:pPr>
            <w:r w:rsidRPr="00616B26">
              <w:rPr>
                <w:snapToGrid w:val="0"/>
              </w:rPr>
              <w:t>3</w:t>
            </w:r>
          </w:p>
        </w:tc>
        <w:tc>
          <w:tcPr>
            <w:tcW w:w="938" w:type="pct"/>
            <w:tcBorders>
              <w:top w:val="single" w:sz="4" w:space="0" w:color="auto"/>
              <w:left w:val="nil"/>
              <w:bottom w:val="single" w:sz="4" w:space="0" w:color="auto"/>
              <w:right w:val="nil"/>
            </w:tcBorders>
            <w:vAlign w:val="bottom"/>
          </w:tcPr>
          <w:p w14:paraId="2F47A99C" w14:textId="77777777" w:rsidR="00080DC7" w:rsidRPr="00C971C6" w:rsidRDefault="00080DC7" w:rsidP="00080DC7">
            <w:pPr>
              <w:pStyle w:val="Tabletext"/>
              <w:rPr>
                <w:snapToGrid w:val="0"/>
              </w:rPr>
            </w:pPr>
            <w:r w:rsidRPr="00295986">
              <w:t>0</w:t>
            </w:r>
            <w:r w:rsidR="00D7157D">
              <w:t>.</w:t>
            </w:r>
            <w:r w:rsidRPr="00295986">
              <w:t>841</w:t>
            </w:r>
          </w:p>
        </w:tc>
        <w:tc>
          <w:tcPr>
            <w:tcW w:w="1194" w:type="pct"/>
            <w:tcBorders>
              <w:top w:val="single" w:sz="4" w:space="0" w:color="auto"/>
              <w:left w:val="nil"/>
              <w:bottom w:val="single" w:sz="4" w:space="0" w:color="auto"/>
              <w:right w:val="nil"/>
            </w:tcBorders>
            <w:vAlign w:val="bottom"/>
          </w:tcPr>
          <w:p w14:paraId="6B42A427" w14:textId="77777777" w:rsidR="00080DC7" w:rsidRPr="00C971C6" w:rsidRDefault="00080DC7" w:rsidP="00080DC7">
            <w:pPr>
              <w:pStyle w:val="Tabletext"/>
              <w:rPr>
                <w:snapToGrid w:val="0"/>
              </w:rPr>
            </w:pPr>
            <w:r w:rsidRPr="00295986">
              <w:t>0</w:t>
            </w:r>
            <w:r w:rsidR="00D7157D">
              <w:t>.</w:t>
            </w:r>
            <w:r w:rsidRPr="00295986">
              <w:t>905</w:t>
            </w:r>
          </w:p>
        </w:tc>
        <w:tc>
          <w:tcPr>
            <w:tcW w:w="1504" w:type="pct"/>
            <w:tcBorders>
              <w:top w:val="single" w:sz="4" w:space="0" w:color="auto"/>
              <w:left w:val="nil"/>
              <w:bottom w:val="single" w:sz="4" w:space="0" w:color="auto"/>
              <w:right w:val="nil"/>
            </w:tcBorders>
            <w:vAlign w:val="bottom"/>
          </w:tcPr>
          <w:p w14:paraId="76A06E3E"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938</w:t>
            </w:r>
          </w:p>
        </w:tc>
      </w:tr>
      <w:tr w:rsidR="00080DC7" w:rsidRPr="009E2595" w14:paraId="268D68C1" w14:textId="77777777" w:rsidTr="00005701">
        <w:trPr>
          <w:cantSplit/>
        </w:trPr>
        <w:tc>
          <w:tcPr>
            <w:tcW w:w="1364" w:type="pct"/>
            <w:tcBorders>
              <w:top w:val="single" w:sz="4" w:space="0" w:color="auto"/>
              <w:left w:val="nil"/>
              <w:bottom w:val="single" w:sz="4" w:space="0" w:color="auto"/>
              <w:right w:val="nil"/>
            </w:tcBorders>
          </w:tcPr>
          <w:p w14:paraId="648D1DCE" w14:textId="77777777" w:rsidR="00080DC7" w:rsidRPr="00616B26" w:rsidRDefault="00080DC7" w:rsidP="00080DC7">
            <w:pPr>
              <w:pStyle w:val="Tabletext"/>
              <w:rPr>
                <w:snapToGrid w:val="0"/>
              </w:rPr>
            </w:pPr>
            <w:r w:rsidRPr="00616B26">
              <w:rPr>
                <w:snapToGrid w:val="0"/>
              </w:rPr>
              <w:t>4</w:t>
            </w:r>
          </w:p>
        </w:tc>
        <w:tc>
          <w:tcPr>
            <w:tcW w:w="938" w:type="pct"/>
            <w:tcBorders>
              <w:top w:val="single" w:sz="4" w:space="0" w:color="auto"/>
              <w:left w:val="nil"/>
              <w:bottom w:val="single" w:sz="4" w:space="0" w:color="auto"/>
              <w:right w:val="nil"/>
            </w:tcBorders>
            <w:vAlign w:val="bottom"/>
          </w:tcPr>
          <w:p w14:paraId="14BD4666" w14:textId="77777777" w:rsidR="00080DC7" w:rsidRPr="00C971C6" w:rsidRDefault="00080DC7" w:rsidP="00080DC7">
            <w:pPr>
              <w:pStyle w:val="Tabletext"/>
              <w:rPr>
                <w:snapToGrid w:val="0"/>
              </w:rPr>
            </w:pPr>
            <w:r w:rsidRPr="00295986">
              <w:t>0</w:t>
            </w:r>
            <w:r w:rsidR="00D7157D">
              <w:t>.</w:t>
            </w:r>
            <w:r w:rsidRPr="00295986">
              <w:t>795</w:t>
            </w:r>
          </w:p>
        </w:tc>
        <w:tc>
          <w:tcPr>
            <w:tcW w:w="1194" w:type="pct"/>
            <w:tcBorders>
              <w:top w:val="single" w:sz="4" w:space="0" w:color="auto"/>
              <w:left w:val="nil"/>
              <w:bottom w:val="single" w:sz="4" w:space="0" w:color="auto"/>
              <w:right w:val="nil"/>
            </w:tcBorders>
            <w:vAlign w:val="bottom"/>
          </w:tcPr>
          <w:p w14:paraId="3C42735F" w14:textId="77777777" w:rsidR="00080DC7" w:rsidRPr="00C971C6" w:rsidRDefault="00080DC7" w:rsidP="00080DC7">
            <w:pPr>
              <w:pStyle w:val="Tabletext"/>
              <w:rPr>
                <w:snapToGrid w:val="0"/>
              </w:rPr>
            </w:pPr>
            <w:r w:rsidRPr="00295986">
              <w:t>0</w:t>
            </w:r>
            <w:r w:rsidR="00D7157D">
              <w:t>.</w:t>
            </w:r>
            <w:r w:rsidRPr="00295986">
              <w:t>876</w:t>
            </w:r>
          </w:p>
        </w:tc>
        <w:tc>
          <w:tcPr>
            <w:tcW w:w="1504" w:type="pct"/>
            <w:tcBorders>
              <w:top w:val="single" w:sz="4" w:space="0" w:color="auto"/>
              <w:left w:val="nil"/>
              <w:bottom w:val="single" w:sz="4" w:space="0" w:color="auto"/>
              <w:right w:val="nil"/>
            </w:tcBorders>
            <w:vAlign w:val="bottom"/>
          </w:tcPr>
          <w:p w14:paraId="5C50E5D1"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919</w:t>
            </w:r>
          </w:p>
        </w:tc>
      </w:tr>
      <w:tr w:rsidR="00080DC7" w:rsidRPr="009E2595" w14:paraId="6F7C977C" w14:textId="77777777" w:rsidTr="00005701">
        <w:trPr>
          <w:cantSplit/>
        </w:trPr>
        <w:tc>
          <w:tcPr>
            <w:tcW w:w="1364" w:type="pct"/>
            <w:tcBorders>
              <w:top w:val="single" w:sz="4" w:space="0" w:color="auto"/>
              <w:left w:val="nil"/>
              <w:bottom w:val="single" w:sz="4" w:space="0" w:color="auto"/>
              <w:right w:val="nil"/>
            </w:tcBorders>
          </w:tcPr>
          <w:p w14:paraId="19F8882F" w14:textId="77777777" w:rsidR="00080DC7" w:rsidRPr="00616B26" w:rsidRDefault="00080DC7" w:rsidP="00080DC7">
            <w:pPr>
              <w:pStyle w:val="Tabletext"/>
              <w:rPr>
                <w:snapToGrid w:val="0"/>
              </w:rPr>
            </w:pPr>
            <w:r w:rsidRPr="00616B26">
              <w:rPr>
                <w:snapToGrid w:val="0"/>
              </w:rPr>
              <w:t>5</w:t>
            </w:r>
          </w:p>
        </w:tc>
        <w:tc>
          <w:tcPr>
            <w:tcW w:w="938" w:type="pct"/>
            <w:tcBorders>
              <w:top w:val="single" w:sz="4" w:space="0" w:color="auto"/>
              <w:left w:val="nil"/>
              <w:bottom w:val="single" w:sz="4" w:space="0" w:color="auto"/>
              <w:right w:val="nil"/>
            </w:tcBorders>
            <w:vAlign w:val="bottom"/>
          </w:tcPr>
          <w:p w14:paraId="6E8D4545" w14:textId="77777777" w:rsidR="00080DC7" w:rsidRPr="00C971C6" w:rsidRDefault="00080DC7" w:rsidP="00080DC7">
            <w:pPr>
              <w:pStyle w:val="Tabletext"/>
              <w:rPr>
                <w:snapToGrid w:val="0"/>
              </w:rPr>
            </w:pPr>
            <w:r w:rsidRPr="00295986">
              <w:t>0</w:t>
            </w:r>
            <w:r w:rsidR="00D7157D">
              <w:t>.</w:t>
            </w:r>
            <w:r w:rsidRPr="00295986">
              <w:t>751</w:t>
            </w:r>
          </w:p>
        </w:tc>
        <w:tc>
          <w:tcPr>
            <w:tcW w:w="1194" w:type="pct"/>
            <w:tcBorders>
              <w:top w:val="single" w:sz="4" w:space="0" w:color="auto"/>
              <w:left w:val="nil"/>
              <w:bottom w:val="single" w:sz="4" w:space="0" w:color="auto"/>
              <w:right w:val="nil"/>
            </w:tcBorders>
            <w:vAlign w:val="bottom"/>
          </w:tcPr>
          <w:p w14:paraId="3CA74BDF" w14:textId="77777777" w:rsidR="00080DC7" w:rsidRPr="00C971C6" w:rsidRDefault="00080DC7" w:rsidP="00080DC7">
            <w:pPr>
              <w:pStyle w:val="Tabletext"/>
              <w:rPr>
                <w:snapToGrid w:val="0"/>
              </w:rPr>
            </w:pPr>
            <w:r w:rsidRPr="00295986">
              <w:t>0</w:t>
            </w:r>
            <w:r w:rsidR="00D7157D">
              <w:t>.</w:t>
            </w:r>
            <w:r w:rsidRPr="00295986">
              <w:t>848</w:t>
            </w:r>
          </w:p>
        </w:tc>
        <w:tc>
          <w:tcPr>
            <w:tcW w:w="1504" w:type="pct"/>
            <w:tcBorders>
              <w:top w:val="single" w:sz="4" w:space="0" w:color="auto"/>
              <w:left w:val="nil"/>
              <w:bottom w:val="single" w:sz="4" w:space="0" w:color="auto"/>
              <w:right w:val="nil"/>
            </w:tcBorders>
            <w:vAlign w:val="bottom"/>
          </w:tcPr>
          <w:p w14:paraId="791681C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900</w:t>
            </w:r>
          </w:p>
        </w:tc>
      </w:tr>
      <w:tr w:rsidR="00080DC7" w:rsidRPr="009E2595" w14:paraId="1CB20327" w14:textId="77777777" w:rsidTr="00005701">
        <w:trPr>
          <w:cantSplit/>
        </w:trPr>
        <w:tc>
          <w:tcPr>
            <w:tcW w:w="1364" w:type="pct"/>
            <w:tcBorders>
              <w:top w:val="single" w:sz="4" w:space="0" w:color="auto"/>
              <w:left w:val="nil"/>
              <w:bottom w:val="single" w:sz="4" w:space="0" w:color="auto"/>
              <w:right w:val="nil"/>
            </w:tcBorders>
          </w:tcPr>
          <w:p w14:paraId="19CC7040" w14:textId="77777777" w:rsidR="00080DC7" w:rsidRPr="00616B26" w:rsidRDefault="00080DC7" w:rsidP="00080DC7">
            <w:pPr>
              <w:pStyle w:val="Tabletext"/>
              <w:rPr>
                <w:snapToGrid w:val="0"/>
              </w:rPr>
            </w:pPr>
            <w:r w:rsidRPr="00616B26">
              <w:rPr>
                <w:snapToGrid w:val="0"/>
              </w:rPr>
              <w:t>6</w:t>
            </w:r>
          </w:p>
        </w:tc>
        <w:tc>
          <w:tcPr>
            <w:tcW w:w="938" w:type="pct"/>
            <w:tcBorders>
              <w:top w:val="single" w:sz="4" w:space="0" w:color="auto"/>
              <w:left w:val="nil"/>
              <w:bottom w:val="single" w:sz="4" w:space="0" w:color="auto"/>
              <w:right w:val="nil"/>
            </w:tcBorders>
            <w:vAlign w:val="bottom"/>
          </w:tcPr>
          <w:p w14:paraId="52FB18FF" w14:textId="77777777" w:rsidR="00080DC7" w:rsidRPr="00C971C6" w:rsidRDefault="00080DC7" w:rsidP="00080DC7">
            <w:pPr>
              <w:pStyle w:val="Tabletext"/>
              <w:rPr>
                <w:snapToGrid w:val="0"/>
              </w:rPr>
            </w:pPr>
            <w:r w:rsidRPr="00295986">
              <w:t>0</w:t>
            </w:r>
            <w:r w:rsidR="00D7157D">
              <w:t>.</w:t>
            </w:r>
            <w:r w:rsidRPr="00295986">
              <w:t>710</w:t>
            </w:r>
          </w:p>
        </w:tc>
        <w:tc>
          <w:tcPr>
            <w:tcW w:w="1194" w:type="pct"/>
            <w:tcBorders>
              <w:top w:val="single" w:sz="4" w:space="0" w:color="auto"/>
              <w:left w:val="nil"/>
              <w:bottom w:val="single" w:sz="4" w:space="0" w:color="auto"/>
              <w:right w:val="nil"/>
            </w:tcBorders>
            <w:vAlign w:val="bottom"/>
          </w:tcPr>
          <w:p w14:paraId="05FACF00" w14:textId="77777777" w:rsidR="00080DC7" w:rsidRPr="00C971C6" w:rsidRDefault="00080DC7" w:rsidP="00080DC7">
            <w:pPr>
              <w:pStyle w:val="Tabletext"/>
              <w:rPr>
                <w:snapToGrid w:val="0"/>
              </w:rPr>
            </w:pPr>
            <w:r w:rsidRPr="00295986">
              <w:t>0</w:t>
            </w:r>
            <w:r w:rsidR="00D7157D">
              <w:t>.</w:t>
            </w:r>
            <w:r w:rsidRPr="00295986">
              <w:t>821</w:t>
            </w:r>
          </w:p>
        </w:tc>
        <w:tc>
          <w:tcPr>
            <w:tcW w:w="1504" w:type="pct"/>
            <w:tcBorders>
              <w:top w:val="single" w:sz="4" w:space="0" w:color="auto"/>
              <w:left w:val="nil"/>
              <w:bottom w:val="single" w:sz="4" w:space="0" w:color="auto"/>
              <w:right w:val="nil"/>
            </w:tcBorders>
            <w:vAlign w:val="bottom"/>
          </w:tcPr>
          <w:p w14:paraId="01E3D6BF"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881</w:t>
            </w:r>
          </w:p>
        </w:tc>
      </w:tr>
      <w:tr w:rsidR="00080DC7" w:rsidRPr="009E2595" w14:paraId="677EA1DD" w14:textId="77777777" w:rsidTr="00005701">
        <w:trPr>
          <w:cantSplit/>
        </w:trPr>
        <w:tc>
          <w:tcPr>
            <w:tcW w:w="1364" w:type="pct"/>
            <w:tcBorders>
              <w:top w:val="single" w:sz="4" w:space="0" w:color="auto"/>
              <w:left w:val="nil"/>
              <w:bottom w:val="single" w:sz="4" w:space="0" w:color="auto"/>
              <w:right w:val="nil"/>
            </w:tcBorders>
          </w:tcPr>
          <w:p w14:paraId="742FB7A0" w14:textId="77777777" w:rsidR="00080DC7" w:rsidRPr="00616B26" w:rsidRDefault="00080DC7" w:rsidP="00080DC7">
            <w:pPr>
              <w:pStyle w:val="Tabletext"/>
              <w:rPr>
                <w:snapToGrid w:val="0"/>
              </w:rPr>
            </w:pPr>
            <w:r w:rsidRPr="00616B26">
              <w:rPr>
                <w:snapToGrid w:val="0"/>
              </w:rPr>
              <w:t>7</w:t>
            </w:r>
          </w:p>
        </w:tc>
        <w:tc>
          <w:tcPr>
            <w:tcW w:w="938" w:type="pct"/>
            <w:tcBorders>
              <w:top w:val="single" w:sz="4" w:space="0" w:color="auto"/>
              <w:left w:val="nil"/>
              <w:bottom w:val="single" w:sz="4" w:space="0" w:color="auto"/>
              <w:right w:val="nil"/>
            </w:tcBorders>
            <w:vAlign w:val="bottom"/>
          </w:tcPr>
          <w:p w14:paraId="65A45867" w14:textId="77777777" w:rsidR="00080DC7" w:rsidRPr="00C971C6" w:rsidRDefault="00080DC7" w:rsidP="00080DC7">
            <w:pPr>
              <w:pStyle w:val="Tabletext"/>
              <w:rPr>
                <w:snapToGrid w:val="0"/>
              </w:rPr>
            </w:pPr>
            <w:r w:rsidRPr="00295986">
              <w:t>0</w:t>
            </w:r>
            <w:r w:rsidR="00D7157D">
              <w:t>.</w:t>
            </w:r>
            <w:r w:rsidRPr="00295986">
              <w:t>671</w:t>
            </w:r>
          </w:p>
        </w:tc>
        <w:tc>
          <w:tcPr>
            <w:tcW w:w="1194" w:type="pct"/>
            <w:tcBorders>
              <w:top w:val="single" w:sz="4" w:space="0" w:color="auto"/>
              <w:left w:val="nil"/>
              <w:bottom w:val="single" w:sz="4" w:space="0" w:color="auto"/>
              <w:right w:val="nil"/>
            </w:tcBorders>
            <w:vAlign w:val="bottom"/>
          </w:tcPr>
          <w:p w14:paraId="6CE05B2E" w14:textId="77777777" w:rsidR="00080DC7" w:rsidRPr="00C971C6" w:rsidRDefault="00080DC7" w:rsidP="00080DC7">
            <w:pPr>
              <w:pStyle w:val="Tabletext"/>
              <w:rPr>
                <w:snapToGrid w:val="0"/>
              </w:rPr>
            </w:pPr>
            <w:r w:rsidRPr="00295986">
              <w:t>0</w:t>
            </w:r>
            <w:r w:rsidR="00D7157D">
              <w:t>.</w:t>
            </w:r>
            <w:r w:rsidRPr="00295986">
              <w:t>794</w:t>
            </w:r>
          </w:p>
        </w:tc>
        <w:tc>
          <w:tcPr>
            <w:tcW w:w="1504" w:type="pct"/>
            <w:tcBorders>
              <w:top w:val="single" w:sz="4" w:space="0" w:color="auto"/>
              <w:left w:val="nil"/>
              <w:bottom w:val="single" w:sz="4" w:space="0" w:color="auto"/>
              <w:right w:val="nil"/>
            </w:tcBorders>
            <w:vAlign w:val="bottom"/>
          </w:tcPr>
          <w:p w14:paraId="7616E5E6"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863</w:t>
            </w:r>
          </w:p>
        </w:tc>
      </w:tr>
      <w:tr w:rsidR="00080DC7" w:rsidRPr="009E2595" w14:paraId="2B549D0C" w14:textId="77777777" w:rsidTr="00005701">
        <w:trPr>
          <w:cantSplit/>
        </w:trPr>
        <w:tc>
          <w:tcPr>
            <w:tcW w:w="1364" w:type="pct"/>
            <w:tcBorders>
              <w:top w:val="single" w:sz="4" w:space="0" w:color="auto"/>
              <w:left w:val="nil"/>
              <w:bottom w:val="single" w:sz="4" w:space="0" w:color="auto"/>
              <w:right w:val="nil"/>
            </w:tcBorders>
          </w:tcPr>
          <w:p w14:paraId="00147820" w14:textId="77777777" w:rsidR="00080DC7" w:rsidRPr="00616B26" w:rsidRDefault="00080DC7" w:rsidP="00080DC7">
            <w:pPr>
              <w:pStyle w:val="Tabletext"/>
              <w:rPr>
                <w:snapToGrid w:val="0"/>
              </w:rPr>
            </w:pPr>
            <w:r w:rsidRPr="00616B26">
              <w:rPr>
                <w:snapToGrid w:val="0"/>
              </w:rPr>
              <w:t>8</w:t>
            </w:r>
          </w:p>
        </w:tc>
        <w:tc>
          <w:tcPr>
            <w:tcW w:w="938" w:type="pct"/>
            <w:tcBorders>
              <w:top w:val="single" w:sz="4" w:space="0" w:color="auto"/>
              <w:left w:val="nil"/>
              <w:bottom w:val="single" w:sz="4" w:space="0" w:color="auto"/>
              <w:right w:val="nil"/>
            </w:tcBorders>
            <w:vAlign w:val="bottom"/>
          </w:tcPr>
          <w:p w14:paraId="2C511920" w14:textId="77777777" w:rsidR="00080DC7" w:rsidRPr="00C971C6" w:rsidRDefault="00080DC7" w:rsidP="00080DC7">
            <w:pPr>
              <w:pStyle w:val="Tabletext"/>
              <w:rPr>
                <w:snapToGrid w:val="0"/>
              </w:rPr>
            </w:pPr>
            <w:r w:rsidRPr="00295986">
              <w:t>0</w:t>
            </w:r>
            <w:r w:rsidR="00D7157D">
              <w:t>.</w:t>
            </w:r>
            <w:r w:rsidRPr="00295986">
              <w:t>634</w:t>
            </w:r>
          </w:p>
        </w:tc>
        <w:tc>
          <w:tcPr>
            <w:tcW w:w="1194" w:type="pct"/>
            <w:tcBorders>
              <w:top w:val="single" w:sz="4" w:space="0" w:color="auto"/>
              <w:left w:val="nil"/>
              <w:bottom w:val="single" w:sz="4" w:space="0" w:color="auto"/>
              <w:right w:val="nil"/>
            </w:tcBorders>
            <w:vAlign w:val="bottom"/>
          </w:tcPr>
          <w:p w14:paraId="3E3DAEA1" w14:textId="77777777" w:rsidR="00080DC7" w:rsidRPr="00C971C6" w:rsidRDefault="00080DC7" w:rsidP="00080DC7">
            <w:pPr>
              <w:pStyle w:val="Tabletext"/>
              <w:rPr>
                <w:snapToGrid w:val="0"/>
              </w:rPr>
            </w:pPr>
            <w:r w:rsidRPr="00295986">
              <w:t>0</w:t>
            </w:r>
            <w:r w:rsidR="00D7157D">
              <w:t>.</w:t>
            </w:r>
            <w:r w:rsidRPr="00295986">
              <w:t>769</w:t>
            </w:r>
          </w:p>
        </w:tc>
        <w:tc>
          <w:tcPr>
            <w:tcW w:w="1504" w:type="pct"/>
            <w:tcBorders>
              <w:top w:val="single" w:sz="4" w:space="0" w:color="auto"/>
              <w:left w:val="nil"/>
              <w:bottom w:val="single" w:sz="4" w:space="0" w:color="auto"/>
              <w:right w:val="nil"/>
            </w:tcBorders>
            <w:vAlign w:val="bottom"/>
          </w:tcPr>
          <w:p w14:paraId="5F611AF9"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845</w:t>
            </w:r>
          </w:p>
        </w:tc>
      </w:tr>
      <w:tr w:rsidR="00080DC7" w:rsidRPr="009E2595" w14:paraId="791F146D" w14:textId="77777777" w:rsidTr="00005701">
        <w:trPr>
          <w:cantSplit/>
        </w:trPr>
        <w:tc>
          <w:tcPr>
            <w:tcW w:w="1364" w:type="pct"/>
            <w:tcBorders>
              <w:top w:val="single" w:sz="4" w:space="0" w:color="auto"/>
              <w:left w:val="nil"/>
              <w:bottom w:val="single" w:sz="4" w:space="0" w:color="auto"/>
              <w:right w:val="nil"/>
            </w:tcBorders>
          </w:tcPr>
          <w:p w14:paraId="68199FFC" w14:textId="77777777" w:rsidR="00080DC7" w:rsidRPr="00616B26" w:rsidRDefault="00080DC7" w:rsidP="00080DC7">
            <w:pPr>
              <w:pStyle w:val="Tabletext"/>
              <w:rPr>
                <w:snapToGrid w:val="0"/>
              </w:rPr>
            </w:pPr>
            <w:r w:rsidRPr="00616B26">
              <w:rPr>
                <w:snapToGrid w:val="0"/>
              </w:rPr>
              <w:t>9</w:t>
            </w:r>
          </w:p>
        </w:tc>
        <w:tc>
          <w:tcPr>
            <w:tcW w:w="938" w:type="pct"/>
            <w:tcBorders>
              <w:top w:val="single" w:sz="4" w:space="0" w:color="auto"/>
              <w:left w:val="nil"/>
              <w:bottom w:val="single" w:sz="4" w:space="0" w:color="auto"/>
              <w:right w:val="nil"/>
            </w:tcBorders>
            <w:vAlign w:val="bottom"/>
          </w:tcPr>
          <w:p w14:paraId="3A1B8374" w14:textId="77777777" w:rsidR="00080DC7" w:rsidRPr="00C971C6" w:rsidRDefault="00080DC7" w:rsidP="00080DC7">
            <w:pPr>
              <w:pStyle w:val="Tabletext"/>
              <w:rPr>
                <w:snapToGrid w:val="0"/>
              </w:rPr>
            </w:pPr>
            <w:r w:rsidRPr="00295986">
              <w:t>0</w:t>
            </w:r>
            <w:r w:rsidR="00D7157D">
              <w:t>.</w:t>
            </w:r>
            <w:r w:rsidRPr="00295986">
              <w:t>600</w:t>
            </w:r>
          </w:p>
        </w:tc>
        <w:tc>
          <w:tcPr>
            <w:tcW w:w="1194" w:type="pct"/>
            <w:tcBorders>
              <w:top w:val="single" w:sz="4" w:space="0" w:color="auto"/>
              <w:left w:val="nil"/>
              <w:bottom w:val="single" w:sz="4" w:space="0" w:color="auto"/>
              <w:right w:val="nil"/>
            </w:tcBorders>
            <w:vAlign w:val="bottom"/>
          </w:tcPr>
          <w:p w14:paraId="4C8ECB1D" w14:textId="77777777" w:rsidR="00080DC7" w:rsidRPr="00C971C6" w:rsidRDefault="00080DC7" w:rsidP="00080DC7">
            <w:pPr>
              <w:pStyle w:val="Tabletext"/>
              <w:rPr>
                <w:snapToGrid w:val="0"/>
              </w:rPr>
            </w:pPr>
            <w:r w:rsidRPr="00295986">
              <w:t>0</w:t>
            </w:r>
            <w:r w:rsidR="00D7157D">
              <w:t>.</w:t>
            </w:r>
            <w:r w:rsidRPr="00295986">
              <w:t>744</w:t>
            </w:r>
          </w:p>
        </w:tc>
        <w:tc>
          <w:tcPr>
            <w:tcW w:w="1504" w:type="pct"/>
            <w:tcBorders>
              <w:top w:val="single" w:sz="4" w:space="0" w:color="auto"/>
              <w:left w:val="nil"/>
              <w:bottom w:val="single" w:sz="4" w:space="0" w:color="auto"/>
              <w:right w:val="nil"/>
            </w:tcBorders>
            <w:vAlign w:val="bottom"/>
          </w:tcPr>
          <w:p w14:paraId="1D12E67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828</w:t>
            </w:r>
          </w:p>
        </w:tc>
      </w:tr>
      <w:tr w:rsidR="00080DC7" w:rsidRPr="009E2595" w14:paraId="1F215446" w14:textId="77777777" w:rsidTr="00005701">
        <w:trPr>
          <w:cantSplit/>
        </w:trPr>
        <w:tc>
          <w:tcPr>
            <w:tcW w:w="1364" w:type="pct"/>
            <w:tcBorders>
              <w:top w:val="single" w:sz="4" w:space="0" w:color="auto"/>
              <w:left w:val="nil"/>
              <w:bottom w:val="single" w:sz="4" w:space="0" w:color="auto"/>
              <w:right w:val="nil"/>
            </w:tcBorders>
          </w:tcPr>
          <w:p w14:paraId="385F8D36" w14:textId="77777777" w:rsidR="00080DC7" w:rsidRPr="00616B26" w:rsidRDefault="00080DC7" w:rsidP="00080DC7">
            <w:pPr>
              <w:pStyle w:val="Tabletext"/>
              <w:rPr>
                <w:snapToGrid w:val="0"/>
              </w:rPr>
            </w:pPr>
            <w:r w:rsidRPr="00616B26">
              <w:rPr>
                <w:snapToGrid w:val="0"/>
              </w:rPr>
              <w:t>10</w:t>
            </w:r>
          </w:p>
        </w:tc>
        <w:tc>
          <w:tcPr>
            <w:tcW w:w="938" w:type="pct"/>
            <w:tcBorders>
              <w:top w:val="single" w:sz="4" w:space="0" w:color="auto"/>
              <w:left w:val="nil"/>
              <w:bottom w:val="single" w:sz="4" w:space="0" w:color="auto"/>
              <w:right w:val="nil"/>
            </w:tcBorders>
            <w:vAlign w:val="bottom"/>
          </w:tcPr>
          <w:p w14:paraId="44B934F2" w14:textId="77777777" w:rsidR="00080DC7" w:rsidRPr="00C971C6" w:rsidRDefault="00080DC7" w:rsidP="00080DC7">
            <w:pPr>
              <w:pStyle w:val="Tabletext"/>
              <w:rPr>
                <w:snapToGrid w:val="0"/>
              </w:rPr>
            </w:pPr>
            <w:r w:rsidRPr="00295986">
              <w:t>0</w:t>
            </w:r>
            <w:r w:rsidR="00D7157D">
              <w:t>.</w:t>
            </w:r>
            <w:r w:rsidRPr="00295986">
              <w:t>567</w:t>
            </w:r>
          </w:p>
        </w:tc>
        <w:tc>
          <w:tcPr>
            <w:tcW w:w="1194" w:type="pct"/>
            <w:tcBorders>
              <w:top w:val="single" w:sz="4" w:space="0" w:color="auto"/>
              <w:left w:val="nil"/>
              <w:bottom w:val="single" w:sz="4" w:space="0" w:color="auto"/>
              <w:right w:val="nil"/>
            </w:tcBorders>
            <w:vAlign w:val="bottom"/>
          </w:tcPr>
          <w:p w14:paraId="10310A13" w14:textId="77777777" w:rsidR="00080DC7" w:rsidRPr="00C971C6" w:rsidRDefault="00080DC7" w:rsidP="00080DC7">
            <w:pPr>
              <w:pStyle w:val="Tabletext"/>
              <w:rPr>
                <w:snapToGrid w:val="0"/>
              </w:rPr>
            </w:pPr>
            <w:r w:rsidRPr="00295986">
              <w:t>0</w:t>
            </w:r>
            <w:r w:rsidR="00D7157D">
              <w:t>.</w:t>
            </w:r>
            <w:r w:rsidRPr="00295986">
              <w:t>721</w:t>
            </w:r>
          </w:p>
        </w:tc>
        <w:tc>
          <w:tcPr>
            <w:tcW w:w="1504" w:type="pct"/>
            <w:tcBorders>
              <w:top w:val="single" w:sz="4" w:space="0" w:color="auto"/>
              <w:left w:val="nil"/>
              <w:bottom w:val="single" w:sz="4" w:space="0" w:color="auto"/>
              <w:right w:val="nil"/>
            </w:tcBorders>
            <w:vAlign w:val="bottom"/>
          </w:tcPr>
          <w:p w14:paraId="445C2C6E"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811</w:t>
            </w:r>
          </w:p>
        </w:tc>
      </w:tr>
      <w:tr w:rsidR="00080DC7" w:rsidRPr="009E2595" w14:paraId="22CBDBB4" w14:textId="77777777" w:rsidTr="00005701">
        <w:trPr>
          <w:cantSplit/>
        </w:trPr>
        <w:tc>
          <w:tcPr>
            <w:tcW w:w="1364" w:type="pct"/>
            <w:tcBorders>
              <w:top w:val="single" w:sz="4" w:space="0" w:color="auto"/>
              <w:left w:val="nil"/>
              <w:bottom w:val="single" w:sz="4" w:space="0" w:color="auto"/>
              <w:right w:val="nil"/>
            </w:tcBorders>
          </w:tcPr>
          <w:p w14:paraId="5CAAD2E0" w14:textId="77777777" w:rsidR="00080DC7" w:rsidRPr="00616B26" w:rsidRDefault="00080DC7" w:rsidP="00080DC7">
            <w:pPr>
              <w:pStyle w:val="Tabletext"/>
              <w:rPr>
                <w:snapToGrid w:val="0"/>
              </w:rPr>
            </w:pPr>
            <w:r w:rsidRPr="00616B26">
              <w:rPr>
                <w:snapToGrid w:val="0"/>
              </w:rPr>
              <w:t>11</w:t>
            </w:r>
          </w:p>
        </w:tc>
        <w:tc>
          <w:tcPr>
            <w:tcW w:w="938" w:type="pct"/>
            <w:tcBorders>
              <w:top w:val="single" w:sz="4" w:space="0" w:color="auto"/>
              <w:left w:val="nil"/>
              <w:bottom w:val="single" w:sz="4" w:space="0" w:color="auto"/>
              <w:right w:val="nil"/>
            </w:tcBorders>
            <w:vAlign w:val="bottom"/>
          </w:tcPr>
          <w:p w14:paraId="2068C63A" w14:textId="77777777" w:rsidR="00080DC7" w:rsidRPr="00C971C6" w:rsidRDefault="00080DC7" w:rsidP="00080DC7">
            <w:pPr>
              <w:pStyle w:val="Tabletext"/>
              <w:rPr>
                <w:snapToGrid w:val="0"/>
              </w:rPr>
            </w:pPr>
            <w:r w:rsidRPr="00295986">
              <w:t>0</w:t>
            </w:r>
            <w:r w:rsidR="00D7157D">
              <w:t>.</w:t>
            </w:r>
            <w:r w:rsidRPr="00295986">
              <w:t>537</w:t>
            </w:r>
          </w:p>
        </w:tc>
        <w:tc>
          <w:tcPr>
            <w:tcW w:w="1194" w:type="pct"/>
            <w:tcBorders>
              <w:top w:val="single" w:sz="4" w:space="0" w:color="auto"/>
              <w:left w:val="nil"/>
              <w:bottom w:val="single" w:sz="4" w:space="0" w:color="auto"/>
              <w:right w:val="nil"/>
            </w:tcBorders>
            <w:vAlign w:val="bottom"/>
          </w:tcPr>
          <w:p w14:paraId="6E89534B" w14:textId="77777777" w:rsidR="00080DC7" w:rsidRPr="00C971C6" w:rsidRDefault="00080DC7" w:rsidP="00080DC7">
            <w:pPr>
              <w:pStyle w:val="Tabletext"/>
              <w:rPr>
                <w:snapToGrid w:val="0"/>
              </w:rPr>
            </w:pPr>
            <w:r w:rsidRPr="00295986">
              <w:t>0</w:t>
            </w:r>
            <w:r w:rsidR="00D7157D">
              <w:t>.</w:t>
            </w:r>
            <w:r w:rsidRPr="00295986">
              <w:t>698</w:t>
            </w:r>
          </w:p>
        </w:tc>
        <w:tc>
          <w:tcPr>
            <w:tcW w:w="1504" w:type="pct"/>
            <w:tcBorders>
              <w:top w:val="single" w:sz="4" w:space="0" w:color="auto"/>
              <w:left w:val="nil"/>
              <w:bottom w:val="single" w:sz="4" w:space="0" w:color="auto"/>
              <w:right w:val="nil"/>
            </w:tcBorders>
            <w:vAlign w:val="bottom"/>
          </w:tcPr>
          <w:p w14:paraId="254D553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795</w:t>
            </w:r>
          </w:p>
        </w:tc>
      </w:tr>
      <w:tr w:rsidR="00080DC7" w:rsidRPr="009E2595" w14:paraId="6FBC606A" w14:textId="77777777" w:rsidTr="00005701">
        <w:trPr>
          <w:cantSplit/>
        </w:trPr>
        <w:tc>
          <w:tcPr>
            <w:tcW w:w="1364" w:type="pct"/>
            <w:tcBorders>
              <w:top w:val="single" w:sz="4" w:space="0" w:color="auto"/>
              <w:left w:val="nil"/>
              <w:bottom w:val="single" w:sz="4" w:space="0" w:color="auto"/>
              <w:right w:val="nil"/>
            </w:tcBorders>
          </w:tcPr>
          <w:p w14:paraId="01B85A5E" w14:textId="77777777" w:rsidR="00080DC7" w:rsidRPr="00616B26" w:rsidRDefault="00080DC7" w:rsidP="00080DC7">
            <w:pPr>
              <w:pStyle w:val="Tabletext"/>
              <w:rPr>
                <w:snapToGrid w:val="0"/>
              </w:rPr>
            </w:pPr>
            <w:r w:rsidRPr="00616B26">
              <w:rPr>
                <w:snapToGrid w:val="0"/>
              </w:rPr>
              <w:t>12</w:t>
            </w:r>
          </w:p>
        </w:tc>
        <w:tc>
          <w:tcPr>
            <w:tcW w:w="938" w:type="pct"/>
            <w:tcBorders>
              <w:top w:val="single" w:sz="4" w:space="0" w:color="auto"/>
              <w:left w:val="nil"/>
              <w:bottom w:val="single" w:sz="4" w:space="0" w:color="auto"/>
              <w:right w:val="nil"/>
            </w:tcBorders>
            <w:vAlign w:val="bottom"/>
          </w:tcPr>
          <w:p w14:paraId="186F70B0" w14:textId="77777777" w:rsidR="00080DC7" w:rsidRPr="00C971C6" w:rsidRDefault="00080DC7" w:rsidP="00080DC7">
            <w:pPr>
              <w:pStyle w:val="Tabletext"/>
              <w:rPr>
                <w:snapToGrid w:val="0"/>
              </w:rPr>
            </w:pPr>
            <w:r w:rsidRPr="00295986">
              <w:t>0</w:t>
            </w:r>
            <w:r w:rsidR="00D7157D">
              <w:t>.</w:t>
            </w:r>
            <w:r w:rsidRPr="00295986">
              <w:t>508</w:t>
            </w:r>
          </w:p>
        </w:tc>
        <w:tc>
          <w:tcPr>
            <w:tcW w:w="1194" w:type="pct"/>
            <w:tcBorders>
              <w:top w:val="single" w:sz="4" w:space="0" w:color="auto"/>
              <w:left w:val="nil"/>
              <w:bottom w:val="single" w:sz="4" w:space="0" w:color="auto"/>
              <w:right w:val="nil"/>
            </w:tcBorders>
            <w:vAlign w:val="bottom"/>
          </w:tcPr>
          <w:p w14:paraId="0642CDAF" w14:textId="77777777" w:rsidR="00080DC7" w:rsidRPr="00C971C6" w:rsidRDefault="00080DC7" w:rsidP="00080DC7">
            <w:pPr>
              <w:pStyle w:val="Tabletext"/>
              <w:rPr>
                <w:snapToGrid w:val="0"/>
              </w:rPr>
            </w:pPr>
            <w:r w:rsidRPr="00295986">
              <w:t>0</w:t>
            </w:r>
            <w:r w:rsidR="00D7157D">
              <w:t>.</w:t>
            </w:r>
            <w:r w:rsidRPr="00295986">
              <w:t>676</w:t>
            </w:r>
          </w:p>
        </w:tc>
        <w:tc>
          <w:tcPr>
            <w:tcW w:w="1504" w:type="pct"/>
            <w:tcBorders>
              <w:top w:val="single" w:sz="4" w:space="0" w:color="auto"/>
              <w:left w:val="nil"/>
              <w:bottom w:val="single" w:sz="4" w:space="0" w:color="auto"/>
              <w:right w:val="nil"/>
            </w:tcBorders>
            <w:vAlign w:val="bottom"/>
          </w:tcPr>
          <w:p w14:paraId="4BD97077"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778</w:t>
            </w:r>
          </w:p>
        </w:tc>
      </w:tr>
      <w:tr w:rsidR="00080DC7" w:rsidRPr="009E2595" w14:paraId="6BFDE4FB" w14:textId="77777777" w:rsidTr="00005701">
        <w:trPr>
          <w:cantSplit/>
        </w:trPr>
        <w:tc>
          <w:tcPr>
            <w:tcW w:w="1364" w:type="pct"/>
            <w:tcBorders>
              <w:top w:val="single" w:sz="4" w:space="0" w:color="auto"/>
              <w:left w:val="nil"/>
              <w:bottom w:val="single" w:sz="4" w:space="0" w:color="auto"/>
              <w:right w:val="nil"/>
            </w:tcBorders>
          </w:tcPr>
          <w:p w14:paraId="28CBC4E3" w14:textId="77777777" w:rsidR="00080DC7" w:rsidRPr="00616B26" w:rsidRDefault="00080DC7" w:rsidP="00080DC7">
            <w:pPr>
              <w:pStyle w:val="Tabletext"/>
              <w:rPr>
                <w:snapToGrid w:val="0"/>
              </w:rPr>
            </w:pPr>
            <w:r w:rsidRPr="00616B26">
              <w:rPr>
                <w:snapToGrid w:val="0"/>
              </w:rPr>
              <w:t>13</w:t>
            </w:r>
          </w:p>
        </w:tc>
        <w:tc>
          <w:tcPr>
            <w:tcW w:w="938" w:type="pct"/>
            <w:tcBorders>
              <w:top w:val="single" w:sz="4" w:space="0" w:color="auto"/>
              <w:left w:val="nil"/>
              <w:bottom w:val="single" w:sz="4" w:space="0" w:color="auto"/>
              <w:right w:val="nil"/>
            </w:tcBorders>
            <w:vAlign w:val="bottom"/>
          </w:tcPr>
          <w:p w14:paraId="2C4CEE0A" w14:textId="77777777" w:rsidR="00080DC7" w:rsidRPr="00C971C6" w:rsidRDefault="00080DC7" w:rsidP="00080DC7">
            <w:pPr>
              <w:pStyle w:val="Tabletext"/>
              <w:rPr>
                <w:snapToGrid w:val="0"/>
              </w:rPr>
            </w:pPr>
            <w:r w:rsidRPr="00295986">
              <w:t>0</w:t>
            </w:r>
            <w:r w:rsidR="00D7157D">
              <w:t>.</w:t>
            </w:r>
            <w:r w:rsidRPr="00295986">
              <w:t>480</w:t>
            </w:r>
          </w:p>
        </w:tc>
        <w:tc>
          <w:tcPr>
            <w:tcW w:w="1194" w:type="pct"/>
            <w:tcBorders>
              <w:top w:val="single" w:sz="4" w:space="0" w:color="auto"/>
              <w:left w:val="nil"/>
              <w:bottom w:val="single" w:sz="4" w:space="0" w:color="auto"/>
              <w:right w:val="nil"/>
            </w:tcBorders>
            <w:vAlign w:val="bottom"/>
          </w:tcPr>
          <w:p w14:paraId="1E54CA9B" w14:textId="77777777" w:rsidR="00080DC7" w:rsidRPr="00C971C6" w:rsidRDefault="00080DC7" w:rsidP="00080DC7">
            <w:pPr>
              <w:pStyle w:val="Tabletext"/>
              <w:rPr>
                <w:snapToGrid w:val="0"/>
              </w:rPr>
            </w:pPr>
            <w:r w:rsidRPr="00295986">
              <w:t>0</w:t>
            </w:r>
            <w:r w:rsidR="00D7157D">
              <w:t>.</w:t>
            </w:r>
            <w:r w:rsidRPr="00295986">
              <w:t>655</w:t>
            </w:r>
          </w:p>
        </w:tc>
        <w:tc>
          <w:tcPr>
            <w:tcW w:w="1504" w:type="pct"/>
            <w:tcBorders>
              <w:top w:val="single" w:sz="4" w:space="0" w:color="auto"/>
              <w:left w:val="nil"/>
              <w:bottom w:val="single" w:sz="4" w:space="0" w:color="auto"/>
              <w:right w:val="nil"/>
            </w:tcBorders>
            <w:vAlign w:val="bottom"/>
          </w:tcPr>
          <w:p w14:paraId="35ED4F09"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762</w:t>
            </w:r>
          </w:p>
        </w:tc>
      </w:tr>
      <w:tr w:rsidR="00080DC7" w:rsidRPr="009E2595" w14:paraId="14BCF189" w14:textId="77777777" w:rsidTr="00005701">
        <w:trPr>
          <w:cantSplit/>
        </w:trPr>
        <w:tc>
          <w:tcPr>
            <w:tcW w:w="1364" w:type="pct"/>
            <w:tcBorders>
              <w:top w:val="single" w:sz="4" w:space="0" w:color="auto"/>
              <w:left w:val="nil"/>
              <w:bottom w:val="single" w:sz="4" w:space="0" w:color="auto"/>
              <w:right w:val="nil"/>
            </w:tcBorders>
          </w:tcPr>
          <w:p w14:paraId="064673CA" w14:textId="77777777" w:rsidR="00080DC7" w:rsidRPr="00616B26" w:rsidRDefault="00080DC7" w:rsidP="00080DC7">
            <w:pPr>
              <w:pStyle w:val="Tabletext"/>
              <w:rPr>
                <w:snapToGrid w:val="0"/>
              </w:rPr>
            </w:pPr>
            <w:r w:rsidRPr="00616B26">
              <w:rPr>
                <w:snapToGrid w:val="0"/>
              </w:rPr>
              <w:t>14</w:t>
            </w:r>
          </w:p>
        </w:tc>
        <w:tc>
          <w:tcPr>
            <w:tcW w:w="938" w:type="pct"/>
            <w:tcBorders>
              <w:top w:val="single" w:sz="4" w:space="0" w:color="auto"/>
              <w:left w:val="nil"/>
              <w:bottom w:val="single" w:sz="4" w:space="0" w:color="auto"/>
              <w:right w:val="nil"/>
            </w:tcBorders>
            <w:vAlign w:val="bottom"/>
          </w:tcPr>
          <w:p w14:paraId="57D4B092" w14:textId="77777777" w:rsidR="00080DC7" w:rsidRPr="00C971C6" w:rsidRDefault="00080DC7" w:rsidP="00080DC7">
            <w:pPr>
              <w:pStyle w:val="Tabletext"/>
              <w:rPr>
                <w:snapToGrid w:val="0"/>
              </w:rPr>
            </w:pPr>
            <w:r w:rsidRPr="00295986">
              <w:t>0</w:t>
            </w:r>
            <w:r w:rsidR="00D7157D">
              <w:t>.</w:t>
            </w:r>
            <w:r w:rsidRPr="00295986">
              <w:t>454</w:t>
            </w:r>
          </w:p>
        </w:tc>
        <w:tc>
          <w:tcPr>
            <w:tcW w:w="1194" w:type="pct"/>
            <w:tcBorders>
              <w:top w:val="single" w:sz="4" w:space="0" w:color="auto"/>
              <w:left w:val="nil"/>
              <w:bottom w:val="single" w:sz="4" w:space="0" w:color="auto"/>
              <w:right w:val="nil"/>
            </w:tcBorders>
            <w:vAlign w:val="bottom"/>
          </w:tcPr>
          <w:p w14:paraId="1586C6FB" w14:textId="77777777" w:rsidR="00080DC7" w:rsidRPr="00C971C6" w:rsidRDefault="00080DC7" w:rsidP="00080DC7">
            <w:pPr>
              <w:pStyle w:val="Tabletext"/>
              <w:rPr>
                <w:snapToGrid w:val="0"/>
              </w:rPr>
            </w:pPr>
            <w:r w:rsidRPr="00295986">
              <w:t>0</w:t>
            </w:r>
            <w:r w:rsidR="00D7157D">
              <w:t>.</w:t>
            </w:r>
            <w:r w:rsidRPr="00295986">
              <w:t>634</w:t>
            </w:r>
          </w:p>
        </w:tc>
        <w:tc>
          <w:tcPr>
            <w:tcW w:w="1504" w:type="pct"/>
            <w:tcBorders>
              <w:top w:val="single" w:sz="4" w:space="0" w:color="auto"/>
              <w:left w:val="nil"/>
              <w:bottom w:val="single" w:sz="4" w:space="0" w:color="auto"/>
              <w:right w:val="nil"/>
            </w:tcBorders>
            <w:vAlign w:val="bottom"/>
          </w:tcPr>
          <w:p w14:paraId="6E8C3AE9"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747</w:t>
            </w:r>
          </w:p>
        </w:tc>
      </w:tr>
      <w:tr w:rsidR="00080DC7" w:rsidRPr="009E2595" w14:paraId="1A30CEE6" w14:textId="77777777" w:rsidTr="00005701">
        <w:trPr>
          <w:cantSplit/>
        </w:trPr>
        <w:tc>
          <w:tcPr>
            <w:tcW w:w="1364" w:type="pct"/>
            <w:tcBorders>
              <w:top w:val="single" w:sz="4" w:space="0" w:color="auto"/>
              <w:left w:val="nil"/>
              <w:bottom w:val="single" w:sz="4" w:space="0" w:color="auto"/>
              <w:right w:val="nil"/>
            </w:tcBorders>
          </w:tcPr>
          <w:p w14:paraId="2F8AD609" w14:textId="77777777" w:rsidR="00080DC7" w:rsidRPr="00616B26" w:rsidRDefault="00080DC7" w:rsidP="00080DC7">
            <w:pPr>
              <w:pStyle w:val="Tabletext"/>
              <w:rPr>
                <w:snapToGrid w:val="0"/>
              </w:rPr>
            </w:pPr>
            <w:r w:rsidRPr="00616B26">
              <w:rPr>
                <w:snapToGrid w:val="0"/>
              </w:rPr>
              <w:t>15</w:t>
            </w:r>
          </w:p>
        </w:tc>
        <w:tc>
          <w:tcPr>
            <w:tcW w:w="938" w:type="pct"/>
            <w:tcBorders>
              <w:top w:val="single" w:sz="4" w:space="0" w:color="auto"/>
              <w:left w:val="nil"/>
              <w:bottom w:val="single" w:sz="4" w:space="0" w:color="auto"/>
              <w:right w:val="nil"/>
            </w:tcBorders>
            <w:vAlign w:val="bottom"/>
          </w:tcPr>
          <w:p w14:paraId="7C41D2C2" w14:textId="77777777" w:rsidR="00080DC7" w:rsidRPr="00C971C6" w:rsidRDefault="00080DC7" w:rsidP="00080DC7">
            <w:pPr>
              <w:pStyle w:val="Tabletext"/>
              <w:rPr>
                <w:snapToGrid w:val="0"/>
              </w:rPr>
            </w:pPr>
            <w:r w:rsidRPr="00295986">
              <w:t>0</w:t>
            </w:r>
            <w:r w:rsidR="00D7157D">
              <w:t>.</w:t>
            </w:r>
            <w:r w:rsidRPr="00295986">
              <w:t>430</w:t>
            </w:r>
          </w:p>
        </w:tc>
        <w:tc>
          <w:tcPr>
            <w:tcW w:w="1194" w:type="pct"/>
            <w:tcBorders>
              <w:top w:val="single" w:sz="4" w:space="0" w:color="auto"/>
              <w:left w:val="nil"/>
              <w:bottom w:val="single" w:sz="4" w:space="0" w:color="auto"/>
              <w:right w:val="nil"/>
            </w:tcBorders>
            <w:vAlign w:val="bottom"/>
          </w:tcPr>
          <w:p w14:paraId="043F653A" w14:textId="77777777" w:rsidR="00080DC7" w:rsidRPr="00C971C6" w:rsidRDefault="00080DC7" w:rsidP="00080DC7">
            <w:pPr>
              <w:pStyle w:val="Tabletext"/>
              <w:rPr>
                <w:snapToGrid w:val="0"/>
              </w:rPr>
            </w:pPr>
            <w:r w:rsidRPr="00295986">
              <w:t>0</w:t>
            </w:r>
            <w:r w:rsidR="00D7157D">
              <w:t>.</w:t>
            </w:r>
            <w:r w:rsidRPr="00295986">
              <w:t>614</w:t>
            </w:r>
          </w:p>
        </w:tc>
        <w:tc>
          <w:tcPr>
            <w:tcW w:w="1504" w:type="pct"/>
            <w:tcBorders>
              <w:top w:val="single" w:sz="4" w:space="0" w:color="auto"/>
              <w:left w:val="nil"/>
              <w:bottom w:val="single" w:sz="4" w:space="0" w:color="auto"/>
              <w:right w:val="nil"/>
            </w:tcBorders>
            <w:vAlign w:val="bottom"/>
          </w:tcPr>
          <w:p w14:paraId="0F1B023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732</w:t>
            </w:r>
          </w:p>
        </w:tc>
      </w:tr>
      <w:tr w:rsidR="00080DC7" w:rsidRPr="009E2595" w14:paraId="5DCC3B11" w14:textId="77777777" w:rsidTr="00005701">
        <w:trPr>
          <w:cantSplit/>
        </w:trPr>
        <w:tc>
          <w:tcPr>
            <w:tcW w:w="1364" w:type="pct"/>
            <w:tcBorders>
              <w:top w:val="single" w:sz="4" w:space="0" w:color="auto"/>
              <w:left w:val="nil"/>
              <w:bottom w:val="single" w:sz="4" w:space="0" w:color="auto"/>
              <w:right w:val="nil"/>
            </w:tcBorders>
          </w:tcPr>
          <w:p w14:paraId="5D7E1C01" w14:textId="77777777" w:rsidR="00080DC7" w:rsidRPr="00616B26" w:rsidRDefault="00080DC7" w:rsidP="00080DC7">
            <w:pPr>
              <w:pStyle w:val="Tabletext"/>
              <w:rPr>
                <w:snapToGrid w:val="0"/>
              </w:rPr>
            </w:pPr>
            <w:r w:rsidRPr="00616B26">
              <w:rPr>
                <w:snapToGrid w:val="0"/>
              </w:rPr>
              <w:t>16</w:t>
            </w:r>
          </w:p>
        </w:tc>
        <w:tc>
          <w:tcPr>
            <w:tcW w:w="938" w:type="pct"/>
            <w:tcBorders>
              <w:top w:val="single" w:sz="4" w:space="0" w:color="auto"/>
              <w:left w:val="nil"/>
              <w:bottom w:val="single" w:sz="4" w:space="0" w:color="auto"/>
              <w:right w:val="nil"/>
            </w:tcBorders>
            <w:vAlign w:val="bottom"/>
          </w:tcPr>
          <w:p w14:paraId="4A053305" w14:textId="77777777" w:rsidR="00080DC7" w:rsidRPr="00C971C6" w:rsidRDefault="00080DC7" w:rsidP="00080DC7">
            <w:pPr>
              <w:pStyle w:val="Tabletext"/>
              <w:rPr>
                <w:snapToGrid w:val="0"/>
              </w:rPr>
            </w:pPr>
            <w:r w:rsidRPr="00295986">
              <w:t>0</w:t>
            </w:r>
            <w:r w:rsidR="00D7157D">
              <w:t>.</w:t>
            </w:r>
            <w:r w:rsidRPr="00295986">
              <w:t>407</w:t>
            </w:r>
          </w:p>
        </w:tc>
        <w:tc>
          <w:tcPr>
            <w:tcW w:w="1194" w:type="pct"/>
            <w:tcBorders>
              <w:top w:val="single" w:sz="4" w:space="0" w:color="auto"/>
              <w:left w:val="nil"/>
              <w:bottom w:val="single" w:sz="4" w:space="0" w:color="auto"/>
              <w:right w:val="nil"/>
            </w:tcBorders>
            <w:vAlign w:val="bottom"/>
          </w:tcPr>
          <w:p w14:paraId="44832CCB" w14:textId="77777777" w:rsidR="00080DC7" w:rsidRPr="00C971C6" w:rsidRDefault="00080DC7" w:rsidP="00080DC7">
            <w:pPr>
              <w:pStyle w:val="Tabletext"/>
              <w:rPr>
                <w:snapToGrid w:val="0"/>
              </w:rPr>
            </w:pPr>
            <w:r w:rsidRPr="00295986">
              <w:t>0</w:t>
            </w:r>
            <w:r w:rsidR="00D7157D">
              <w:t>.</w:t>
            </w:r>
            <w:r w:rsidRPr="00295986">
              <w:t>594</w:t>
            </w:r>
          </w:p>
        </w:tc>
        <w:tc>
          <w:tcPr>
            <w:tcW w:w="1504" w:type="pct"/>
            <w:tcBorders>
              <w:top w:val="single" w:sz="4" w:space="0" w:color="auto"/>
              <w:left w:val="nil"/>
              <w:bottom w:val="single" w:sz="4" w:space="0" w:color="auto"/>
              <w:right w:val="nil"/>
            </w:tcBorders>
            <w:vAlign w:val="bottom"/>
          </w:tcPr>
          <w:p w14:paraId="775A49C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717</w:t>
            </w:r>
          </w:p>
        </w:tc>
      </w:tr>
      <w:tr w:rsidR="00080DC7" w:rsidRPr="009E2595" w14:paraId="0EDECBE2" w14:textId="77777777" w:rsidTr="00005701">
        <w:trPr>
          <w:cantSplit/>
        </w:trPr>
        <w:tc>
          <w:tcPr>
            <w:tcW w:w="1364" w:type="pct"/>
            <w:tcBorders>
              <w:top w:val="single" w:sz="4" w:space="0" w:color="auto"/>
              <w:left w:val="nil"/>
              <w:bottom w:val="single" w:sz="4" w:space="0" w:color="auto"/>
              <w:right w:val="nil"/>
            </w:tcBorders>
          </w:tcPr>
          <w:p w14:paraId="7F02DFCD" w14:textId="77777777" w:rsidR="00080DC7" w:rsidRPr="00616B26" w:rsidRDefault="00080DC7" w:rsidP="00080DC7">
            <w:pPr>
              <w:pStyle w:val="Tabletext"/>
              <w:rPr>
                <w:snapToGrid w:val="0"/>
              </w:rPr>
            </w:pPr>
            <w:r w:rsidRPr="00616B26">
              <w:rPr>
                <w:snapToGrid w:val="0"/>
              </w:rPr>
              <w:t>17</w:t>
            </w:r>
          </w:p>
        </w:tc>
        <w:tc>
          <w:tcPr>
            <w:tcW w:w="938" w:type="pct"/>
            <w:tcBorders>
              <w:top w:val="single" w:sz="4" w:space="0" w:color="auto"/>
              <w:left w:val="nil"/>
              <w:bottom w:val="single" w:sz="4" w:space="0" w:color="auto"/>
              <w:right w:val="nil"/>
            </w:tcBorders>
            <w:vAlign w:val="bottom"/>
          </w:tcPr>
          <w:p w14:paraId="2C50B981" w14:textId="77777777" w:rsidR="00080DC7" w:rsidRPr="00C971C6" w:rsidRDefault="00080DC7" w:rsidP="00080DC7">
            <w:pPr>
              <w:pStyle w:val="Tabletext"/>
              <w:rPr>
                <w:snapToGrid w:val="0"/>
              </w:rPr>
            </w:pPr>
            <w:r w:rsidRPr="00295986">
              <w:t>0</w:t>
            </w:r>
            <w:r w:rsidR="00D7157D">
              <w:t>.</w:t>
            </w:r>
            <w:r w:rsidRPr="00295986">
              <w:t>385</w:t>
            </w:r>
          </w:p>
        </w:tc>
        <w:tc>
          <w:tcPr>
            <w:tcW w:w="1194" w:type="pct"/>
            <w:tcBorders>
              <w:top w:val="single" w:sz="4" w:space="0" w:color="auto"/>
              <w:left w:val="nil"/>
              <w:bottom w:val="single" w:sz="4" w:space="0" w:color="auto"/>
              <w:right w:val="nil"/>
            </w:tcBorders>
            <w:vAlign w:val="bottom"/>
          </w:tcPr>
          <w:p w14:paraId="2FE9516C" w14:textId="77777777" w:rsidR="00080DC7" w:rsidRPr="00C971C6" w:rsidRDefault="00080DC7" w:rsidP="00080DC7">
            <w:pPr>
              <w:pStyle w:val="Tabletext"/>
              <w:rPr>
                <w:snapToGrid w:val="0"/>
              </w:rPr>
            </w:pPr>
            <w:r w:rsidRPr="00295986">
              <w:t>0</w:t>
            </w:r>
            <w:r w:rsidR="00D7157D">
              <w:t>.</w:t>
            </w:r>
            <w:r w:rsidRPr="00295986">
              <w:t>576</w:t>
            </w:r>
          </w:p>
        </w:tc>
        <w:tc>
          <w:tcPr>
            <w:tcW w:w="1504" w:type="pct"/>
            <w:tcBorders>
              <w:top w:val="single" w:sz="4" w:space="0" w:color="auto"/>
              <w:left w:val="nil"/>
              <w:bottom w:val="single" w:sz="4" w:space="0" w:color="auto"/>
              <w:right w:val="nil"/>
            </w:tcBorders>
            <w:vAlign w:val="bottom"/>
          </w:tcPr>
          <w:p w14:paraId="24E5619F"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702</w:t>
            </w:r>
          </w:p>
        </w:tc>
      </w:tr>
      <w:tr w:rsidR="00080DC7" w:rsidRPr="009E2595" w14:paraId="70E915EE" w14:textId="77777777" w:rsidTr="00005701">
        <w:trPr>
          <w:cantSplit/>
        </w:trPr>
        <w:tc>
          <w:tcPr>
            <w:tcW w:w="1364" w:type="pct"/>
            <w:tcBorders>
              <w:top w:val="single" w:sz="4" w:space="0" w:color="auto"/>
              <w:left w:val="nil"/>
              <w:bottom w:val="single" w:sz="4" w:space="0" w:color="auto"/>
              <w:right w:val="nil"/>
            </w:tcBorders>
          </w:tcPr>
          <w:p w14:paraId="14405CA5" w14:textId="77777777" w:rsidR="00080DC7" w:rsidRPr="00616B26" w:rsidRDefault="00080DC7" w:rsidP="00080DC7">
            <w:pPr>
              <w:pStyle w:val="Tabletext"/>
              <w:rPr>
                <w:snapToGrid w:val="0"/>
              </w:rPr>
            </w:pPr>
            <w:r w:rsidRPr="00616B26">
              <w:rPr>
                <w:snapToGrid w:val="0"/>
              </w:rPr>
              <w:t>18</w:t>
            </w:r>
          </w:p>
        </w:tc>
        <w:tc>
          <w:tcPr>
            <w:tcW w:w="938" w:type="pct"/>
            <w:tcBorders>
              <w:top w:val="single" w:sz="4" w:space="0" w:color="auto"/>
              <w:left w:val="nil"/>
              <w:bottom w:val="single" w:sz="4" w:space="0" w:color="auto"/>
              <w:right w:val="nil"/>
            </w:tcBorders>
            <w:vAlign w:val="bottom"/>
          </w:tcPr>
          <w:p w14:paraId="042EDA9F" w14:textId="77777777" w:rsidR="00080DC7" w:rsidRPr="00C971C6" w:rsidRDefault="00080DC7" w:rsidP="00080DC7">
            <w:pPr>
              <w:pStyle w:val="Tabletext"/>
              <w:rPr>
                <w:snapToGrid w:val="0"/>
              </w:rPr>
            </w:pPr>
            <w:r w:rsidRPr="00295986">
              <w:t>0</w:t>
            </w:r>
            <w:r w:rsidR="00D7157D">
              <w:t>.</w:t>
            </w:r>
            <w:r w:rsidRPr="00295986">
              <w:t>364</w:t>
            </w:r>
          </w:p>
        </w:tc>
        <w:tc>
          <w:tcPr>
            <w:tcW w:w="1194" w:type="pct"/>
            <w:tcBorders>
              <w:top w:val="single" w:sz="4" w:space="0" w:color="auto"/>
              <w:left w:val="nil"/>
              <w:bottom w:val="single" w:sz="4" w:space="0" w:color="auto"/>
              <w:right w:val="nil"/>
            </w:tcBorders>
            <w:vAlign w:val="bottom"/>
          </w:tcPr>
          <w:p w14:paraId="1485AD7A" w14:textId="77777777" w:rsidR="00080DC7" w:rsidRPr="00C971C6" w:rsidRDefault="00080DC7" w:rsidP="00080DC7">
            <w:pPr>
              <w:pStyle w:val="Tabletext"/>
              <w:rPr>
                <w:snapToGrid w:val="0"/>
              </w:rPr>
            </w:pPr>
            <w:r w:rsidRPr="00295986">
              <w:t>0</w:t>
            </w:r>
            <w:r w:rsidR="00D7157D">
              <w:t>.</w:t>
            </w:r>
            <w:r w:rsidRPr="00295986">
              <w:t>557</w:t>
            </w:r>
          </w:p>
        </w:tc>
        <w:tc>
          <w:tcPr>
            <w:tcW w:w="1504" w:type="pct"/>
            <w:tcBorders>
              <w:top w:val="single" w:sz="4" w:space="0" w:color="auto"/>
              <w:left w:val="nil"/>
              <w:bottom w:val="single" w:sz="4" w:space="0" w:color="auto"/>
              <w:right w:val="nil"/>
            </w:tcBorders>
            <w:vAlign w:val="bottom"/>
          </w:tcPr>
          <w:p w14:paraId="675CDF22"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688</w:t>
            </w:r>
          </w:p>
        </w:tc>
      </w:tr>
      <w:tr w:rsidR="00080DC7" w:rsidRPr="009E2595" w14:paraId="2B4175B0" w14:textId="77777777" w:rsidTr="00005701">
        <w:trPr>
          <w:cantSplit/>
        </w:trPr>
        <w:tc>
          <w:tcPr>
            <w:tcW w:w="1364" w:type="pct"/>
            <w:tcBorders>
              <w:top w:val="single" w:sz="4" w:space="0" w:color="auto"/>
              <w:left w:val="nil"/>
              <w:bottom w:val="single" w:sz="4" w:space="0" w:color="auto"/>
              <w:right w:val="nil"/>
            </w:tcBorders>
          </w:tcPr>
          <w:p w14:paraId="38FB51F5" w14:textId="77777777" w:rsidR="00080DC7" w:rsidRPr="00616B26" w:rsidRDefault="00080DC7" w:rsidP="00080DC7">
            <w:pPr>
              <w:pStyle w:val="Tabletext"/>
              <w:rPr>
                <w:snapToGrid w:val="0"/>
              </w:rPr>
            </w:pPr>
            <w:r w:rsidRPr="00616B26">
              <w:rPr>
                <w:snapToGrid w:val="0"/>
              </w:rPr>
              <w:t>19</w:t>
            </w:r>
          </w:p>
        </w:tc>
        <w:tc>
          <w:tcPr>
            <w:tcW w:w="938" w:type="pct"/>
            <w:tcBorders>
              <w:top w:val="single" w:sz="4" w:space="0" w:color="auto"/>
              <w:left w:val="nil"/>
              <w:bottom w:val="single" w:sz="4" w:space="0" w:color="auto"/>
              <w:right w:val="nil"/>
            </w:tcBorders>
            <w:vAlign w:val="bottom"/>
          </w:tcPr>
          <w:p w14:paraId="1C83FFA5" w14:textId="77777777" w:rsidR="00080DC7" w:rsidRPr="00C971C6" w:rsidRDefault="00080DC7" w:rsidP="00080DC7">
            <w:pPr>
              <w:pStyle w:val="Tabletext"/>
              <w:rPr>
                <w:snapToGrid w:val="0"/>
              </w:rPr>
            </w:pPr>
            <w:r w:rsidRPr="00295986">
              <w:t>0</w:t>
            </w:r>
            <w:r w:rsidR="00D7157D">
              <w:t>.</w:t>
            </w:r>
            <w:r w:rsidRPr="00295986">
              <w:t>345</w:t>
            </w:r>
          </w:p>
        </w:tc>
        <w:tc>
          <w:tcPr>
            <w:tcW w:w="1194" w:type="pct"/>
            <w:tcBorders>
              <w:top w:val="single" w:sz="4" w:space="0" w:color="auto"/>
              <w:left w:val="nil"/>
              <w:bottom w:val="single" w:sz="4" w:space="0" w:color="auto"/>
              <w:right w:val="nil"/>
            </w:tcBorders>
            <w:vAlign w:val="bottom"/>
          </w:tcPr>
          <w:p w14:paraId="0EF3160A" w14:textId="77777777" w:rsidR="00080DC7" w:rsidRPr="00C971C6" w:rsidRDefault="00080DC7" w:rsidP="00080DC7">
            <w:pPr>
              <w:pStyle w:val="Tabletext"/>
              <w:rPr>
                <w:snapToGrid w:val="0"/>
              </w:rPr>
            </w:pPr>
            <w:r w:rsidRPr="00295986">
              <w:t>0</w:t>
            </w:r>
            <w:r w:rsidR="00D7157D">
              <w:t>.</w:t>
            </w:r>
            <w:r w:rsidRPr="00295986">
              <w:t>540</w:t>
            </w:r>
          </w:p>
        </w:tc>
        <w:tc>
          <w:tcPr>
            <w:tcW w:w="1504" w:type="pct"/>
            <w:tcBorders>
              <w:top w:val="single" w:sz="4" w:space="0" w:color="auto"/>
              <w:left w:val="nil"/>
              <w:bottom w:val="single" w:sz="4" w:space="0" w:color="auto"/>
              <w:right w:val="nil"/>
            </w:tcBorders>
            <w:vAlign w:val="bottom"/>
          </w:tcPr>
          <w:p w14:paraId="1EA140D9"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674</w:t>
            </w:r>
          </w:p>
        </w:tc>
      </w:tr>
      <w:tr w:rsidR="00080DC7" w:rsidRPr="009E2595" w14:paraId="6C09346A" w14:textId="77777777" w:rsidTr="00005701">
        <w:trPr>
          <w:cantSplit/>
        </w:trPr>
        <w:tc>
          <w:tcPr>
            <w:tcW w:w="1364" w:type="pct"/>
            <w:tcBorders>
              <w:top w:val="single" w:sz="4" w:space="0" w:color="auto"/>
              <w:left w:val="nil"/>
              <w:bottom w:val="single" w:sz="4" w:space="0" w:color="auto"/>
              <w:right w:val="nil"/>
            </w:tcBorders>
          </w:tcPr>
          <w:p w14:paraId="094CA4E7" w14:textId="77777777" w:rsidR="00080DC7" w:rsidRPr="00616B26" w:rsidRDefault="00080DC7" w:rsidP="00080DC7">
            <w:pPr>
              <w:pStyle w:val="Tabletext"/>
              <w:rPr>
                <w:snapToGrid w:val="0"/>
              </w:rPr>
            </w:pPr>
            <w:r w:rsidRPr="00616B26">
              <w:rPr>
                <w:snapToGrid w:val="0"/>
              </w:rPr>
              <w:t>20</w:t>
            </w:r>
          </w:p>
        </w:tc>
        <w:tc>
          <w:tcPr>
            <w:tcW w:w="938" w:type="pct"/>
            <w:tcBorders>
              <w:top w:val="single" w:sz="4" w:space="0" w:color="auto"/>
              <w:left w:val="nil"/>
              <w:bottom w:val="single" w:sz="4" w:space="0" w:color="auto"/>
              <w:right w:val="nil"/>
            </w:tcBorders>
            <w:vAlign w:val="bottom"/>
          </w:tcPr>
          <w:p w14:paraId="5C5EDBBA" w14:textId="77777777" w:rsidR="00080DC7" w:rsidRPr="00C971C6" w:rsidRDefault="00080DC7" w:rsidP="00080DC7">
            <w:pPr>
              <w:pStyle w:val="Tabletext"/>
              <w:rPr>
                <w:snapToGrid w:val="0"/>
              </w:rPr>
            </w:pPr>
            <w:r w:rsidRPr="00295986">
              <w:t>0</w:t>
            </w:r>
            <w:r w:rsidR="00D7157D">
              <w:t>.</w:t>
            </w:r>
            <w:r w:rsidRPr="00295986">
              <w:t>326</w:t>
            </w:r>
          </w:p>
        </w:tc>
        <w:tc>
          <w:tcPr>
            <w:tcW w:w="1194" w:type="pct"/>
            <w:tcBorders>
              <w:top w:val="single" w:sz="4" w:space="0" w:color="auto"/>
              <w:left w:val="nil"/>
              <w:bottom w:val="single" w:sz="4" w:space="0" w:color="auto"/>
              <w:right w:val="nil"/>
            </w:tcBorders>
            <w:vAlign w:val="bottom"/>
          </w:tcPr>
          <w:p w14:paraId="3E20560C" w14:textId="77777777" w:rsidR="00080DC7" w:rsidRPr="00C971C6" w:rsidRDefault="00080DC7" w:rsidP="00080DC7">
            <w:pPr>
              <w:pStyle w:val="Tabletext"/>
              <w:rPr>
                <w:snapToGrid w:val="0"/>
              </w:rPr>
            </w:pPr>
            <w:r w:rsidRPr="00295986">
              <w:t>0</w:t>
            </w:r>
            <w:r w:rsidR="00D7157D">
              <w:t>.</w:t>
            </w:r>
            <w:r w:rsidRPr="00295986">
              <w:t>523</w:t>
            </w:r>
          </w:p>
        </w:tc>
        <w:tc>
          <w:tcPr>
            <w:tcW w:w="1504" w:type="pct"/>
            <w:tcBorders>
              <w:top w:val="single" w:sz="4" w:space="0" w:color="auto"/>
              <w:left w:val="nil"/>
              <w:bottom w:val="single" w:sz="4" w:space="0" w:color="auto"/>
              <w:right w:val="nil"/>
            </w:tcBorders>
            <w:vAlign w:val="bottom"/>
          </w:tcPr>
          <w:p w14:paraId="7991DE47"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660</w:t>
            </w:r>
          </w:p>
        </w:tc>
      </w:tr>
      <w:tr w:rsidR="00080DC7" w:rsidRPr="009E2595" w14:paraId="55809C98" w14:textId="77777777" w:rsidTr="00005701">
        <w:trPr>
          <w:cantSplit/>
        </w:trPr>
        <w:tc>
          <w:tcPr>
            <w:tcW w:w="1364" w:type="pct"/>
            <w:tcBorders>
              <w:top w:val="single" w:sz="4" w:space="0" w:color="auto"/>
              <w:left w:val="nil"/>
              <w:bottom w:val="single" w:sz="4" w:space="0" w:color="auto"/>
              <w:right w:val="nil"/>
            </w:tcBorders>
          </w:tcPr>
          <w:p w14:paraId="382CB2A1" w14:textId="77777777" w:rsidR="00080DC7" w:rsidRPr="00616B26" w:rsidRDefault="00080DC7" w:rsidP="00080DC7">
            <w:pPr>
              <w:pStyle w:val="Tabletext"/>
              <w:rPr>
                <w:snapToGrid w:val="0"/>
              </w:rPr>
            </w:pPr>
            <w:r w:rsidRPr="00616B26">
              <w:rPr>
                <w:snapToGrid w:val="0"/>
              </w:rPr>
              <w:t>21</w:t>
            </w:r>
          </w:p>
        </w:tc>
        <w:tc>
          <w:tcPr>
            <w:tcW w:w="938" w:type="pct"/>
            <w:tcBorders>
              <w:top w:val="single" w:sz="4" w:space="0" w:color="auto"/>
              <w:left w:val="nil"/>
              <w:bottom w:val="single" w:sz="4" w:space="0" w:color="auto"/>
              <w:right w:val="nil"/>
            </w:tcBorders>
            <w:vAlign w:val="bottom"/>
          </w:tcPr>
          <w:p w14:paraId="25CDA886" w14:textId="77777777" w:rsidR="00080DC7" w:rsidRPr="00C971C6" w:rsidRDefault="00080DC7" w:rsidP="00080DC7">
            <w:pPr>
              <w:pStyle w:val="Tabletext"/>
              <w:rPr>
                <w:snapToGrid w:val="0"/>
              </w:rPr>
            </w:pPr>
            <w:r w:rsidRPr="00295986">
              <w:t>0</w:t>
            </w:r>
            <w:r w:rsidR="00D7157D">
              <w:t>.</w:t>
            </w:r>
            <w:r w:rsidRPr="00295986">
              <w:t>309</w:t>
            </w:r>
          </w:p>
        </w:tc>
        <w:tc>
          <w:tcPr>
            <w:tcW w:w="1194" w:type="pct"/>
            <w:tcBorders>
              <w:top w:val="single" w:sz="4" w:space="0" w:color="auto"/>
              <w:left w:val="nil"/>
              <w:bottom w:val="single" w:sz="4" w:space="0" w:color="auto"/>
              <w:right w:val="nil"/>
            </w:tcBorders>
            <w:vAlign w:val="bottom"/>
          </w:tcPr>
          <w:p w14:paraId="5DC6F4F2" w14:textId="77777777" w:rsidR="00080DC7" w:rsidRPr="00C971C6" w:rsidRDefault="00080DC7" w:rsidP="00080DC7">
            <w:pPr>
              <w:pStyle w:val="Tabletext"/>
              <w:rPr>
                <w:snapToGrid w:val="0"/>
              </w:rPr>
            </w:pPr>
            <w:r w:rsidRPr="00295986">
              <w:t>0</w:t>
            </w:r>
            <w:r w:rsidR="00D7157D">
              <w:t>.</w:t>
            </w:r>
            <w:r w:rsidRPr="00295986">
              <w:t>506</w:t>
            </w:r>
          </w:p>
        </w:tc>
        <w:tc>
          <w:tcPr>
            <w:tcW w:w="1504" w:type="pct"/>
            <w:tcBorders>
              <w:top w:val="single" w:sz="4" w:space="0" w:color="auto"/>
              <w:left w:val="nil"/>
              <w:bottom w:val="single" w:sz="4" w:space="0" w:color="auto"/>
              <w:right w:val="nil"/>
            </w:tcBorders>
            <w:vAlign w:val="bottom"/>
          </w:tcPr>
          <w:p w14:paraId="34AFC0B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646</w:t>
            </w:r>
          </w:p>
        </w:tc>
      </w:tr>
      <w:tr w:rsidR="00080DC7" w:rsidRPr="009E2595" w14:paraId="588C41EE" w14:textId="77777777" w:rsidTr="00005701">
        <w:trPr>
          <w:cantSplit/>
        </w:trPr>
        <w:tc>
          <w:tcPr>
            <w:tcW w:w="1364" w:type="pct"/>
            <w:tcBorders>
              <w:top w:val="single" w:sz="4" w:space="0" w:color="auto"/>
              <w:left w:val="nil"/>
              <w:bottom w:val="single" w:sz="4" w:space="0" w:color="auto"/>
              <w:right w:val="nil"/>
            </w:tcBorders>
          </w:tcPr>
          <w:p w14:paraId="42045FF1" w14:textId="77777777" w:rsidR="00080DC7" w:rsidRPr="00616B26" w:rsidRDefault="00080DC7" w:rsidP="00080DC7">
            <w:pPr>
              <w:pStyle w:val="Tabletext"/>
              <w:rPr>
                <w:snapToGrid w:val="0"/>
              </w:rPr>
            </w:pPr>
            <w:r w:rsidRPr="00616B26">
              <w:rPr>
                <w:snapToGrid w:val="0"/>
              </w:rPr>
              <w:t>22</w:t>
            </w:r>
          </w:p>
        </w:tc>
        <w:tc>
          <w:tcPr>
            <w:tcW w:w="938" w:type="pct"/>
            <w:tcBorders>
              <w:top w:val="single" w:sz="4" w:space="0" w:color="auto"/>
              <w:left w:val="nil"/>
              <w:bottom w:val="single" w:sz="4" w:space="0" w:color="auto"/>
              <w:right w:val="nil"/>
            </w:tcBorders>
            <w:vAlign w:val="bottom"/>
          </w:tcPr>
          <w:p w14:paraId="3CE16988" w14:textId="77777777" w:rsidR="00080DC7" w:rsidRPr="00C971C6" w:rsidRDefault="00080DC7" w:rsidP="00080DC7">
            <w:pPr>
              <w:pStyle w:val="Tabletext"/>
              <w:rPr>
                <w:snapToGrid w:val="0"/>
              </w:rPr>
            </w:pPr>
            <w:r w:rsidRPr="00295986">
              <w:t>0</w:t>
            </w:r>
            <w:r w:rsidR="00D7157D">
              <w:t>.</w:t>
            </w:r>
            <w:r w:rsidRPr="00295986">
              <w:t>292</w:t>
            </w:r>
          </w:p>
        </w:tc>
        <w:tc>
          <w:tcPr>
            <w:tcW w:w="1194" w:type="pct"/>
            <w:tcBorders>
              <w:top w:val="single" w:sz="4" w:space="0" w:color="auto"/>
              <w:left w:val="nil"/>
              <w:bottom w:val="single" w:sz="4" w:space="0" w:color="auto"/>
              <w:right w:val="nil"/>
            </w:tcBorders>
            <w:vAlign w:val="bottom"/>
          </w:tcPr>
          <w:p w14:paraId="2E9A5D1A" w14:textId="77777777" w:rsidR="00080DC7" w:rsidRPr="00C971C6" w:rsidRDefault="00080DC7" w:rsidP="00080DC7">
            <w:pPr>
              <w:pStyle w:val="Tabletext"/>
              <w:rPr>
                <w:snapToGrid w:val="0"/>
              </w:rPr>
            </w:pPr>
            <w:r w:rsidRPr="00295986">
              <w:t>0</w:t>
            </w:r>
            <w:r w:rsidR="00D7157D">
              <w:t>.</w:t>
            </w:r>
            <w:r w:rsidRPr="00295986">
              <w:t>490</w:t>
            </w:r>
          </w:p>
        </w:tc>
        <w:tc>
          <w:tcPr>
            <w:tcW w:w="1504" w:type="pct"/>
            <w:tcBorders>
              <w:top w:val="single" w:sz="4" w:space="0" w:color="auto"/>
              <w:left w:val="nil"/>
              <w:bottom w:val="single" w:sz="4" w:space="0" w:color="auto"/>
              <w:right w:val="nil"/>
            </w:tcBorders>
            <w:vAlign w:val="bottom"/>
          </w:tcPr>
          <w:p w14:paraId="72F267F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633</w:t>
            </w:r>
          </w:p>
        </w:tc>
      </w:tr>
      <w:tr w:rsidR="00080DC7" w:rsidRPr="009E2595" w14:paraId="3CDBFC2C" w14:textId="77777777" w:rsidTr="00005701">
        <w:trPr>
          <w:cantSplit/>
        </w:trPr>
        <w:tc>
          <w:tcPr>
            <w:tcW w:w="1364" w:type="pct"/>
            <w:tcBorders>
              <w:top w:val="single" w:sz="4" w:space="0" w:color="auto"/>
              <w:left w:val="nil"/>
              <w:bottom w:val="single" w:sz="4" w:space="0" w:color="auto"/>
              <w:right w:val="nil"/>
            </w:tcBorders>
          </w:tcPr>
          <w:p w14:paraId="17CA2C64" w14:textId="77777777" w:rsidR="00080DC7" w:rsidRPr="00616B26" w:rsidRDefault="00080DC7" w:rsidP="00080DC7">
            <w:pPr>
              <w:pStyle w:val="Tabletext"/>
              <w:rPr>
                <w:snapToGrid w:val="0"/>
              </w:rPr>
            </w:pPr>
            <w:r w:rsidRPr="00616B26">
              <w:rPr>
                <w:snapToGrid w:val="0"/>
              </w:rPr>
              <w:t>23</w:t>
            </w:r>
          </w:p>
        </w:tc>
        <w:tc>
          <w:tcPr>
            <w:tcW w:w="938" w:type="pct"/>
            <w:tcBorders>
              <w:top w:val="single" w:sz="4" w:space="0" w:color="auto"/>
              <w:left w:val="nil"/>
              <w:bottom w:val="single" w:sz="4" w:space="0" w:color="auto"/>
              <w:right w:val="nil"/>
            </w:tcBorders>
            <w:vAlign w:val="bottom"/>
          </w:tcPr>
          <w:p w14:paraId="4215C581" w14:textId="77777777" w:rsidR="00080DC7" w:rsidRPr="00C971C6" w:rsidRDefault="00080DC7" w:rsidP="00080DC7">
            <w:pPr>
              <w:pStyle w:val="Tabletext"/>
              <w:rPr>
                <w:snapToGrid w:val="0"/>
              </w:rPr>
            </w:pPr>
            <w:r w:rsidRPr="00295986">
              <w:t>0</w:t>
            </w:r>
            <w:r w:rsidR="00D7157D">
              <w:t>.</w:t>
            </w:r>
            <w:r w:rsidRPr="00295986">
              <w:t>276</w:t>
            </w:r>
          </w:p>
        </w:tc>
        <w:tc>
          <w:tcPr>
            <w:tcW w:w="1194" w:type="pct"/>
            <w:tcBorders>
              <w:top w:val="single" w:sz="4" w:space="0" w:color="auto"/>
              <w:left w:val="nil"/>
              <w:bottom w:val="single" w:sz="4" w:space="0" w:color="auto"/>
              <w:right w:val="nil"/>
            </w:tcBorders>
            <w:vAlign w:val="bottom"/>
          </w:tcPr>
          <w:p w14:paraId="5846C326" w14:textId="77777777" w:rsidR="00080DC7" w:rsidRPr="00C971C6" w:rsidRDefault="00080DC7" w:rsidP="00080DC7">
            <w:pPr>
              <w:pStyle w:val="Tabletext"/>
              <w:rPr>
                <w:snapToGrid w:val="0"/>
              </w:rPr>
            </w:pPr>
            <w:r w:rsidRPr="00295986">
              <w:t>0</w:t>
            </w:r>
            <w:r w:rsidR="00D7157D">
              <w:t>.</w:t>
            </w:r>
            <w:r w:rsidRPr="00295986">
              <w:t>474</w:t>
            </w:r>
          </w:p>
        </w:tc>
        <w:tc>
          <w:tcPr>
            <w:tcW w:w="1504" w:type="pct"/>
            <w:tcBorders>
              <w:top w:val="single" w:sz="4" w:space="0" w:color="auto"/>
              <w:left w:val="nil"/>
              <w:bottom w:val="single" w:sz="4" w:space="0" w:color="auto"/>
              <w:right w:val="nil"/>
            </w:tcBorders>
            <w:vAlign w:val="bottom"/>
          </w:tcPr>
          <w:p w14:paraId="2DB9681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620</w:t>
            </w:r>
          </w:p>
        </w:tc>
      </w:tr>
      <w:tr w:rsidR="00080DC7" w:rsidRPr="009E2595" w14:paraId="17B785A3" w14:textId="77777777" w:rsidTr="00005701">
        <w:trPr>
          <w:cantSplit/>
        </w:trPr>
        <w:tc>
          <w:tcPr>
            <w:tcW w:w="1364" w:type="pct"/>
            <w:tcBorders>
              <w:top w:val="single" w:sz="4" w:space="0" w:color="auto"/>
              <w:left w:val="nil"/>
              <w:bottom w:val="single" w:sz="4" w:space="0" w:color="auto"/>
              <w:right w:val="nil"/>
            </w:tcBorders>
          </w:tcPr>
          <w:p w14:paraId="5E660371" w14:textId="77777777" w:rsidR="00080DC7" w:rsidRPr="00616B26" w:rsidRDefault="00080DC7" w:rsidP="00080DC7">
            <w:pPr>
              <w:pStyle w:val="Tabletext"/>
              <w:rPr>
                <w:snapToGrid w:val="0"/>
              </w:rPr>
            </w:pPr>
            <w:r w:rsidRPr="00616B26">
              <w:rPr>
                <w:snapToGrid w:val="0"/>
              </w:rPr>
              <w:t>24</w:t>
            </w:r>
          </w:p>
        </w:tc>
        <w:tc>
          <w:tcPr>
            <w:tcW w:w="938" w:type="pct"/>
            <w:tcBorders>
              <w:top w:val="single" w:sz="4" w:space="0" w:color="auto"/>
              <w:left w:val="nil"/>
              <w:bottom w:val="single" w:sz="4" w:space="0" w:color="auto"/>
              <w:right w:val="nil"/>
            </w:tcBorders>
            <w:vAlign w:val="bottom"/>
          </w:tcPr>
          <w:p w14:paraId="0A9EEFA1" w14:textId="77777777" w:rsidR="00080DC7" w:rsidRPr="00C971C6" w:rsidRDefault="00080DC7" w:rsidP="00080DC7">
            <w:pPr>
              <w:pStyle w:val="Tabletext"/>
              <w:rPr>
                <w:snapToGrid w:val="0"/>
              </w:rPr>
            </w:pPr>
            <w:r w:rsidRPr="00295986">
              <w:t>0</w:t>
            </w:r>
            <w:r w:rsidR="00D7157D">
              <w:t>.</w:t>
            </w:r>
            <w:r w:rsidRPr="00295986">
              <w:t>262</w:t>
            </w:r>
          </w:p>
        </w:tc>
        <w:tc>
          <w:tcPr>
            <w:tcW w:w="1194" w:type="pct"/>
            <w:tcBorders>
              <w:top w:val="single" w:sz="4" w:space="0" w:color="auto"/>
              <w:left w:val="nil"/>
              <w:bottom w:val="single" w:sz="4" w:space="0" w:color="auto"/>
              <w:right w:val="nil"/>
            </w:tcBorders>
            <w:vAlign w:val="bottom"/>
          </w:tcPr>
          <w:p w14:paraId="0E5BA458" w14:textId="77777777" w:rsidR="00080DC7" w:rsidRPr="00C971C6" w:rsidRDefault="00080DC7" w:rsidP="00080DC7">
            <w:pPr>
              <w:pStyle w:val="Tabletext"/>
              <w:rPr>
                <w:snapToGrid w:val="0"/>
              </w:rPr>
            </w:pPr>
            <w:r w:rsidRPr="00295986">
              <w:t>0</w:t>
            </w:r>
            <w:r w:rsidR="00D7157D">
              <w:t>.</w:t>
            </w:r>
            <w:r w:rsidRPr="00295986">
              <w:t>459</w:t>
            </w:r>
          </w:p>
        </w:tc>
        <w:tc>
          <w:tcPr>
            <w:tcW w:w="1504" w:type="pct"/>
            <w:tcBorders>
              <w:top w:val="single" w:sz="4" w:space="0" w:color="auto"/>
              <w:left w:val="nil"/>
              <w:bottom w:val="single" w:sz="4" w:space="0" w:color="auto"/>
              <w:right w:val="nil"/>
            </w:tcBorders>
            <w:vAlign w:val="bottom"/>
          </w:tcPr>
          <w:p w14:paraId="6CBC87E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607</w:t>
            </w:r>
          </w:p>
        </w:tc>
      </w:tr>
      <w:tr w:rsidR="00080DC7" w:rsidRPr="009E2595" w14:paraId="0124F6E2" w14:textId="77777777" w:rsidTr="00005701">
        <w:trPr>
          <w:cantSplit/>
        </w:trPr>
        <w:tc>
          <w:tcPr>
            <w:tcW w:w="1364" w:type="pct"/>
            <w:tcBorders>
              <w:top w:val="single" w:sz="4" w:space="0" w:color="auto"/>
              <w:left w:val="nil"/>
              <w:bottom w:val="single" w:sz="4" w:space="0" w:color="auto"/>
              <w:right w:val="nil"/>
            </w:tcBorders>
          </w:tcPr>
          <w:p w14:paraId="768E7F79" w14:textId="77777777" w:rsidR="00080DC7" w:rsidRPr="00616B26" w:rsidRDefault="00080DC7" w:rsidP="00080DC7">
            <w:pPr>
              <w:pStyle w:val="Tabletext"/>
              <w:rPr>
                <w:snapToGrid w:val="0"/>
              </w:rPr>
            </w:pPr>
            <w:r w:rsidRPr="00616B26">
              <w:rPr>
                <w:snapToGrid w:val="0"/>
              </w:rPr>
              <w:t>25</w:t>
            </w:r>
          </w:p>
        </w:tc>
        <w:tc>
          <w:tcPr>
            <w:tcW w:w="938" w:type="pct"/>
            <w:tcBorders>
              <w:top w:val="single" w:sz="4" w:space="0" w:color="auto"/>
              <w:left w:val="nil"/>
              <w:bottom w:val="single" w:sz="4" w:space="0" w:color="auto"/>
              <w:right w:val="nil"/>
            </w:tcBorders>
            <w:vAlign w:val="bottom"/>
          </w:tcPr>
          <w:p w14:paraId="53BD4D2D" w14:textId="77777777" w:rsidR="00080DC7" w:rsidRPr="00C971C6" w:rsidRDefault="00080DC7" w:rsidP="00080DC7">
            <w:pPr>
              <w:pStyle w:val="Tabletext"/>
              <w:rPr>
                <w:snapToGrid w:val="0"/>
              </w:rPr>
            </w:pPr>
            <w:r w:rsidRPr="00295986">
              <w:t>0</w:t>
            </w:r>
            <w:r w:rsidR="00D7157D">
              <w:t>.</w:t>
            </w:r>
            <w:r w:rsidRPr="00295986">
              <w:t>248</w:t>
            </w:r>
          </w:p>
        </w:tc>
        <w:tc>
          <w:tcPr>
            <w:tcW w:w="1194" w:type="pct"/>
            <w:tcBorders>
              <w:top w:val="single" w:sz="4" w:space="0" w:color="auto"/>
              <w:left w:val="nil"/>
              <w:bottom w:val="single" w:sz="4" w:space="0" w:color="auto"/>
              <w:right w:val="nil"/>
            </w:tcBorders>
            <w:vAlign w:val="bottom"/>
          </w:tcPr>
          <w:p w14:paraId="204699E1" w14:textId="77777777" w:rsidR="00080DC7" w:rsidRPr="00C971C6" w:rsidRDefault="00080DC7" w:rsidP="00080DC7">
            <w:pPr>
              <w:pStyle w:val="Tabletext"/>
              <w:rPr>
                <w:snapToGrid w:val="0"/>
              </w:rPr>
            </w:pPr>
            <w:r w:rsidRPr="00295986">
              <w:t>0</w:t>
            </w:r>
            <w:r w:rsidR="00D7157D">
              <w:t>.</w:t>
            </w:r>
            <w:r w:rsidRPr="00295986">
              <w:t>445</w:t>
            </w:r>
          </w:p>
        </w:tc>
        <w:tc>
          <w:tcPr>
            <w:tcW w:w="1504" w:type="pct"/>
            <w:tcBorders>
              <w:top w:val="single" w:sz="4" w:space="0" w:color="auto"/>
              <w:left w:val="nil"/>
              <w:bottom w:val="single" w:sz="4" w:space="0" w:color="auto"/>
              <w:right w:val="nil"/>
            </w:tcBorders>
            <w:vAlign w:val="bottom"/>
          </w:tcPr>
          <w:p w14:paraId="4F8A211B"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595</w:t>
            </w:r>
          </w:p>
        </w:tc>
      </w:tr>
      <w:tr w:rsidR="00080DC7" w:rsidRPr="009E2595" w14:paraId="2D68474F" w14:textId="77777777" w:rsidTr="00005701">
        <w:trPr>
          <w:cantSplit/>
        </w:trPr>
        <w:tc>
          <w:tcPr>
            <w:tcW w:w="1364" w:type="pct"/>
            <w:tcBorders>
              <w:top w:val="single" w:sz="4" w:space="0" w:color="auto"/>
              <w:left w:val="nil"/>
              <w:bottom w:val="single" w:sz="4" w:space="0" w:color="auto"/>
              <w:right w:val="nil"/>
            </w:tcBorders>
          </w:tcPr>
          <w:p w14:paraId="021FE910" w14:textId="77777777" w:rsidR="00080DC7" w:rsidRPr="00616B26" w:rsidRDefault="00080DC7" w:rsidP="00080DC7">
            <w:pPr>
              <w:pStyle w:val="Tabletext"/>
              <w:rPr>
                <w:snapToGrid w:val="0"/>
              </w:rPr>
            </w:pPr>
            <w:r w:rsidRPr="00616B26">
              <w:rPr>
                <w:snapToGrid w:val="0"/>
              </w:rPr>
              <w:t>26</w:t>
            </w:r>
          </w:p>
        </w:tc>
        <w:tc>
          <w:tcPr>
            <w:tcW w:w="938" w:type="pct"/>
            <w:tcBorders>
              <w:top w:val="single" w:sz="4" w:space="0" w:color="auto"/>
              <w:left w:val="nil"/>
              <w:bottom w:val="single" w:sz="4" w:space="0" w:color="auto"/>
              <w:right w:val="nil"/>
            </w:tcBorders>
            <w:vAlign w:val="bottom"/>
          </w:tcPr>
          <w:p w14:paraId="1D3CBDB1" w14:textId="77777777" w:rsidR="00080DC7" w:rsidRPr="00C971C6" w:rsidRDefault="00080DC7" w:rsidP="00080DC7">
            <w:pPr>
              <w:pStyle w:val="Tabletext"/>
              <w:rPr>
                <w:snapToGrid w:val="0"/>
              </w:rPr>
            </w:pPr>
            <w:r w:rsidRPr="00295986">
              <w:t>0</w:t>
            </w:r>
            <w:r w:rsidR="00D7157D">
              <w:t>.</w:t>
            </w:r>
            <w:r w:rsidRPr="00295986">
              <w:t>234</w:t>
            </w:r>
          </w:p>
        </w:tc>
        <w:tc>
          <w:tcPr>
            <w:tcW w:w="1194" w:type="pct"/>
            <w:tcBorders>
              <w:top w:val="single" w:sz="4" w:space="0" w:color="auto"/>
              <w:left w:val="nil"/>
              <w:bottom w:val="single" w:sz="4" w:space="0" w:color="auto"/>
              <w:right w:val="nil"/>
            </w:tcBorders>
            <w:vAlign w:val="bottom"/>
          </w:tcPr>
          <w:p w14:paraId="3E45FB17" w14:textId="77777777" w:rsidR="00080DC7" w:rsidRPr="00C971C6" w:rsidRDefault="00080DC7" w:rsidP="00080DC7">
            <w:pPr>
              <w:pStyle w:val="Tabletext"/>
              <w:rPr>
                <w:snapToGrid w:val="0"/>
              </w:rPr>
            </w:pPr>
            <w:r w:rsidRPr="00295986">
              <w:t>0</w:t>
            </w:r>
            <w:r w:rsidR="00D7157D">
              <w:t>.</w:t>
            </w:r>
            <w:r w:rsidRPr="00295986">
              <w:t>430</w:t>
            </w:r>
          </w:p>
        </w:tc>
        <w:tc>
          <w:tcPr>
            <w:tcW w:w="1504" w:type="pct"/>
            <w:tcBorders>
              <w:top w:val="single" w:sz="4" w:space="0" w:color="auto"/>
              <w:left w:val="nil"/>
              <w:bottom w:val="single" w:sz="4" w:space="0" w:color="auto"/>
              <w:right w:val="nil"/>
            </w:tcBorders>
            <w:vAlign w:val="bottom"/>
          </w:tcPr>
          <w:p w14:paraId="1DBE6CFF"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583</w:t>
            </w:r>
          </w:p>
        </w:tc>
      </w:tr>
      <w:tr w:rsidR="00080DC7" w:rsidRPr="009E2595" w14:paraId="70705167" w14:textId="77777777" w:rsidTr="00005701">
        <w:trPr>
          <w:cantSplit/>
        </w:trPr>
        <w:tc>
          <w:tcPr>
            <w:tcW w:w="1364" w:type="pct"/>
            <w:tcBorders>
              <w:top w:val="single" w:sz="4" w:space="0" w:color="auto"/>
              <w:left w:val="nil"/>
              <w:bottom w:val="single" w:sz="4" w:space="0" w:color="auto"/>
              <w:right w:val="nil"/>
            </w:tcBorders>
          </w:tcPr>
          <w:p w14:paraId="14845EEB" w14:textId="77777777" w:rsidR="00080DC7" w:rsidRPr="00616B26" w:rsidRDefault="00080DC7" w:rsidP="00080DC7">
            <w:pPr>
              <w:pStyle w:val="Tabletext"/>
              <w:rPr>
                <w:snapToGrid w:val="0"/>
              </w:rPr>
            </w:pPr>
            <w:r w:rsidRPr="00616B26">
              <w:rPr>
                <w:snapToGrid w:val="0"/>
              </w:rPr>
              <w:t>27</w:t>
            </w:r>
          </w:p>
        </w:tc>
        <w:tc>
          <w:tcPr>
            <w:tcW w:w="938" w:type="pct"/>
            <w:tcBorders>
              <w:top w:val="single" w:sz="4" w:space="0" w:color="auto"/>
              <w:left w:val="nil"/>
              <w:bottom w:val="single" w:sz="4" w:space="0" w:color="auto"/>
              <w:right w:val="nil"/>
            </w:tcBorders>
            <w:vAlign w:val="bottom"/>
          </w:tcPr>
          <w:p w14:paraId="353A2035" w14:textId="77777777" w:rsidR="00080DC7" w:rsidRPr="00C971C6" w:rsidRDefault="00080DC7" w:rsidP="00080DC7">
            <w:pPr>
              <w:pStyle w:val="Tabletext"/>
              <w:rPr>
                <w:snapToGrid w:val="0"/>
              </w:rPr>
            </w:pPr>
            <w:r w:rsidRPr="00295986">
              <w:t>0</w:t>
            </w:r>
            <w:r w:rsidR="00D7157D">
              <w:t>.</w:t>
            </w:r>
            <w:r w:rsidRPr="00295986">
              <w:t>222</w:t>
            </w:r>
          </w:p>
        </w:tc>
        <w:tc>
          <w:tcPr>
            <w:tcW w:w="1194" w:type="pct"/>
            <w:tcBorders>
              <w:top w:val="single" w:sz="4" w:space="0" w:color="auto"/>
              <w:left w:val="nil"/>
              <w:bottom w:val="single" w:sz="4" w:space="0" w:color="auto"/>
              <w:right w:val="nil"/>
            </w:tcBorders>
            <w:vAlign w:val="bottom"/>
          </w:tcPr>
          <w:p w14:paraId="11F26BFF" w14:textId="77777777" w:rsidR="00080DC7" w:rsidRPr="00C971C6" w:rsidRDefault="00080DC7" w:rsidP="00080DC7">
            <w:pPr>
              <w:pStyle w:val="Tabletext"/>
              <w:rPr>
                <w:snapToGrid w:val="0"/>
              </w:rPr>
            </w:pPr>
            <w:r w:rsidRPr="00295986">
              <w:t>0</w:t>
            </w:r>
            <w:r w:rsidR="00D7157D">
              <w:t>.</w:t>
            </w:r>
            <w:r w:rsidRPr="00295986">
              <w:t>417</w:t>
            </w:r>
          </w:p>
        </w:tc>
        <w:tc>
          <w:tcPr>
            <w:tcW w:w="1504" w:type="pct"/>
            <w:tcBorders>
              <w:top w:val="single" w:sz="4" w:space="0" w:color="auto"/>
              <w:left w:val="nil"/>
              <w:bottom w:val="single" w:sz="4" w:space="0" w:color="auto"/>
              <w:right w:val="nil"/>
            </w:tcBorders>
            <w:vAlign w:val="bottom"/>
          </w:tcPr>
          <w:p w14:paraId="1C25C7D7"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571</w:t>
            </w:r>
          </w:p>
        </w:tc>
      </w:tr>
      <w:tr w:rsidR="00080DC7" w:rsidRPr="009E2595" w14:paraId="0A9B7975" w14:textId="77777777" w:rsidTr="00005701">
        <w:trPr>
          <w:cantSplit/>
        </w:trPr>
        <w:tc>
          <w:tcPr>
            <w:tcW w:w="1364" w:type="pct"/>
            <w:tcBorders>
              <w:top w:val="single" w:sz="4" w:space="0" w:color="auto"/>
              <w:left w:val="nil"/>
              <w:bottom w:val="single" w:sz="4" w:space="0" w:color="auto"/>
              <w:right w:val="nil"/>
            </w:tcBorders>
          </w:tcPr>
          <w:p w14:paraId="1FEFD581" w14:textId="77777777" w:rsidR="00080DC7" w:rsidRPr="00616B26" w:rsidRDefault="00080DC7" w:rsidP="00080DC7">
            <w:pPr>
              <w:pStyle w:val="Tabletext"/>
              <w:rPr>
                <w:snapToGrid w:val="0"/>
              </w:rPr>
            </w:pPr>
            <w:r w:rsidRPr="00616B26">
              <w:rPr>
                <w:snapToGrid w:val="0"/>
              </w:rPr>
              <w:t>28</w:t>
            </w:r>
          </w:p>
        </w:tc>
        <w:tc>
          <w:tcPr>
            <w:tcW w:w="938" w:type="pct"/>
            <w:tcBorders>
              <w:top w:val="single" w:sz="4" w:space="0" w:color="auto"/>
              <w:left w:val="nil"/>
              <w:bottom w:val="single" w:sz="4" w:space="0" w:color="auto"/>
              <w:right w:val="nil"/>
            </w:tcBorders>
            <w:vAlign w:val="bottom"/>
          </w:tcPr>
          <w:p w14:paraId="4EDE7DB8" w14:textId="77777777" w:rsidR="00080DC7" w:rsidRPr="00C971C6" w:rsidRDefault="00080DC7" w:rsidP="00080DC7">
            <w:pPr>
              <w:pStyle w:val="Tabletext"/>
              <w:rPr>
                <w:snapToGrid w:val="0"/>
              </w:rPr>
            </w:pPr>
            <w:r w:rsidRPr="00295986">
              <w:t>0</w:t>
            </w:r>
            <w:r w:rsidR="00D7157D">
              <w:t>.</w:t>
            </w:r>
            <w:r w:rsidRPr="00295986">
              <w:t>210</w:t>
            </w:r>
          </w:p>
        </w:tc>
        <w:tc>
          <w:tcPr>
            <w:tcW w:w="1194" w:type="pct"/>
            <w:tcBorders>
              <w:top w:val="single" w:sz="4" w:space="0" w:color="auto"/>
              <w:left w:val="nil"/>
              <w:bottom w:val="single" w:sz="4" w:space="0" w:color="auto"/>
              <w:right w:val="nil"/>
            </w:tcBorders>
            <w:vAlign w:val="bottom"/>
          </w:tcPr>
          <w:p w14:paraId="4889DD1A" w14:textId="77777777" w:rsidR="00080DC7" w:rsidRPr="00C971C6" w:rsidRDefault="00080DC7" w:rsidP="00080DC7">
            <w:pPr>
              <w:pStyle w:val="Tabletext"/>
              <w:rPr>
                <w:snapToGrid w:val="0"/>
              </w:rPr>
            </w:pPr>
            <w:r w:rsidRPr="00295986">
              <w:t>0</w:t>
            </w:r>
            <w:r w:rsidR="00D7157D">
              <w:t>.</w:t>
            </w:r>
            <w:r w:rsidRPr="00295986">
              <w:t>403</w:t>
            </w:r>
          </w:p>
        </w:tc>
        <w:tc>
          <w:tcPr>
            <w:tcW w:w="1504" w:type="pct"/>
            <w:tcBorders>
              <w:top w:val="single" w:sz="4" w:space="0" w:color="auto"/>
              <w:left w:val="nil"/>
              <w:bottom w:val="single" w:sz="4" w:space="0" w:color="auto"/>
              <w:right w:val="nil"/>
            </w:tcBorders>
            <w:vAlign w:val="bottom"/>
          </w:tcPr>
          <w:p w14:paraId="6BF3FF71"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559</w:t>
            </w:r>
          </w:p>
        </w:tc>
      </w:tr>
      <w:tr w:rsidR="00080DC7" w:rsidRPr="009E2595" w14:paraId="3BBF9526" w14:textId="77777777" w:rsidTr="00005701">
        <w:trPr>
          <w:cantSplit/>
        </w:trPr>
        <w:tc>
          <w:tcPr>
            <w:tcW w:w="1364" w:type="pct"/>
            <w:tcBorders>
              <w:top w:val="single" w:sz="4" w:space="0" w:color="auto"/>
              <w:left w:val="nil"/>
              <w:bottom w:val="single" w:sz="4" w:space="0" w:color="auto"/>
              <w:right w:val="nil"/>
            </w:tcBorders>
          </w:tcPr>
          <w:p w14:paraId="098F2418" w14:textId="77777777" w:rsidR="00080DC7" w:rsidRPr="00616B26" w:rsidRDefault="00080DC7" w:rsidP="00080DC7">
            <w:pPr>
              <w:pStyle w:val="Tabletext"/>
              <w:rPr>
                <w:snapToGrid w:val="0"/>
              </w:rPr>
            </w:pPr>
            <w:r w:rsidRPr="00616B26">
              <w:rPr>
                <w:snapToGrid w:val="0"/>
              </w:rPr>
              <w:t>29</w:t>
            </w:r>
          </w:p>
        </w:tc>
        <w:tc>
          <w:tcPr>
            <w:tcW w:w="938" w:type="pct"/>
            <w:tcBorders>
              <w:top w:val="single" w:sz="4" w:space="0" w:color="auto"/>
              <w:left w:val="nil"/>
              <w:bottom w:val="single" w:sz="4" w:space="0" w:color="auto"/>
              <w:right w:val="nil"/>
            </w:tcBorders>
            <w:vAlign w:val="bottom"/>
          </w:tcPr>
          <w:p w14:paraId="53687519" w14:textId="77777777" w:rsidR="00080DC7" w:rsidRPr="00C971C6" w:rsidRDefault="00080DC7" w:rsidP="00080DC7">
            <w:pPr>
              <w:pStyle w:val="Tabletext"/>
              <w:rPr>
                <w:snapToGrid w:val="0"/>
              </w:rPr>
            </w:pPr>
            <w:r w:rsidRPr="00295986">
              <w:t>0</w:t>
            </w:r>
            <w:r w:rsidR="00D7157D">
              <w:t>.</w:t>
            </w:r>
            <w:r w:rsidRPr="00295986">
              <w:t>198</w:t>
            </w:r>
          </w:p>
        </w:tc>
        <w:tc>
          <w:tcPr>
            <w:tcW w:w="1194" w:type="pct"/>
            <w:tcBorders>
              <w:top w:val="single" w:sz="4" w:space="0" w:color="auto"/>
              <w:left w:val="nil"/>
              <w:bottom w:val="single" w:sz="4" w:space="0" w:color="auto"/>
              <w:right w:val="nil"/>
            </w:tcBorders>
            <w:vAlign w:val="bottom"/>
          </w:tcPr>
          <w:p w14:paraId="69612BC0" w14:textId="77777777" w:rsidR="00080DC7" w:rsidRPr="00C971C6" w:rsidRDefault="00080DC7" w:rsidP="00080DC7">
            <w:pPr>
              <w:pStyle w:val="Tabletext"/>
              <w:rPr>
                <w:snapToGrid w:val="0"/>
              </w:rPr>
            </w:pPr>
            <w:r w:rsidRPr="00295986">
              <w:t>0</w:t>
            </w:r>
            <w:r w:rsidR="00D7157D">
              <w:t>.</w:t>
            </w:r>
            <w:r w:rsidRPr="00295986">
              <w:t>391</w:t>
            </w:r>
          </w:p>
        </w:tc>
        <w:tc>
          <w:tcPr>
            <w:tcW w:w="1504" w:type="pct"/>
            <w:tcBorders>
              <w:top w:val="single" w:sz="4" w:space="0" w:color="auto"/>
              <w:left w:val="nil"/>
              <w:bottom w:val="single" w:sz="4" w:space="0" w:color="auto"/>
              <w:right w:val="nil"/>
            </w:tcBorders>
            <w:vAlign w:val="bottom"/>
          </w:tcPr>
          <w:p w14:paraId="4FD865A0"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547</w:t>
            </w:r>
          </w:p>
        </w:tc>
      </w:tr>
      <w:tr w:rsidR="00080DC7" w:rsidRPr="009E2595" w14:paraId="0079E578" w14:textId="77777777" w:rsidTr="00005701">
        <w:trPr>
          <w:cantSplit/>
        </w:trPr>
        <w:tc>
          <w:tcPr>
            <w:tcW w:w="1364" w:type="pct"/>
            <w:tcBorders>
              <w:top w:val="single" w:sz="4" w:space="0" w:color="auto"/>
              <w:left w:val="nil"/>
              <w:bottom w:val="single" w:sz="4" w:space="0" w:color="auto"/>
              <w:right w:val="nil"/>
            </w:tcBorders>
          </w:tcPr>
          <w:p w14:paraId="3FC9AD78" w14:textId="77777777" w:rsidR="00080DC7" w:rsidRPr="00616B26" w:rsidRDefault="00080DC7" w:rsidP="00080DC7">
            <w:pPr>
              <w:pStyle w:val="Tabletext"/>
              <w:rPr>
                <w:snapToGrid w:val="0"/>
              </w:rPr>
            </w:pPr>
            <w:r w:rsidRPr="00616B26">
              <w:rPr>
                <w:snapToGrid w:val="0"/>
              </w:rPr>
              <w:t>30</w:t>
            </w:r>
          </w:p>
        </w:tc>
        <w:tc>
          <w:tcPr>
            <w:tcW w:w="938" w:type="pct"/>
            <w:tcBorders>
              <w:top w:val="single" w:sz="4" w:space="0" w:color="auto"/>
              <w:left w:val="nil"/>
              <w:bottom w:val="single" w:sz="4" w:space="0" w:color="auto"/>
              <w:right w:val="nil"/>
            </w:tcBorders>
            <w:vAlign w:val="bottom"/>
          </w:tcPr>
          <w:p w14:paraId="3710A631" w14:textId="77777777" w:rsidR="00080DC7" w:rsidRPr="00C971C6" w:rsidRDefault="00080DC7" w:rsidP="00080DC7">
            <w:pPr>
              <w:pStyle w:val="Tabletext"/>
              <w:rPr>
                <w:snapToGrid w:val="0"/>
              </w:rPr>
            </w:pPr>
            <w:r w:rsidRPr="00295986">
              <w:t>0</w:t>
            </w:r>
            <w:r w:rsidR="00D7157D">
              <w:t>.</w:t>
            </w:r>
            <w:r w:rsidRPr="00295986">
              <w:t>188</w:t>
            </w:r>
          </w:p>
        </w:tc>
        <w:tc>
          <w:tcPr>
            <w:tcW w:w="1194" w:type="pct"/>
            <w:tcBorders>
              <w:top w:val="single" w:sz="4" w:space="0" w:color="auto"/>
              <w:left w:val="nil"/>
              <w:bottom w:val="single" w:sz="4" w:space="0" w:color="auto"/>
              <w:right w:val="nil"/>
            </w:tcBorders>
            <w:vAlign w:val="bottom"/>
          </w:tcPr>
          <w:p w14:paraId="14C4783A" w14:textId="77777777" w:rsidR="00080DC7" w:rsidRPr="00C971C6" w:rsidRDefault="00080DC7" w:rsidP="00080DC7">
            <w:pPr>
              <w:pStyle w:val="Tabletext"/>
              <w:rPr>
                <w:snapToGrid w:val="0"/>
              </w:rPr>
            </w:pPr>
            <w:r w:rsidRPr="00295986">
              <w:t>0</w:t>
            </w:r>
            <w:r w:rsidR="00D7157D">
              <w:t>.</w:t>
            </w:r>
            <w:r w:rsidRPr="00295986">
              <w:t>378</w:t>
            </w:r>
          </w:p>
        </w:tc>
        <w:tc>
          <w:tcPr>
            <w:tcW w:w="1504" w:type="pct"/>
            <w:tcBorders>
              <w:top w:val="single" w:sz="4" w:space="0" w:color="auto"/>
              <w:left w:val="nil"/>
              <w:bottom w:val="single" w:sz="4" w:space="0" w:color="auto"/>
              <w:right w:val="nil"/>
            </w:tcBorders>
            <w:vAlign w:val="bottom"/>
          </w:tcPr>
          <w:p w14:paraId="5044F50D"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536</w:t>
            </w:r>
          </w:p>
        </w:tc>
      </w:tr>
      <w:tr w:rsidR="00080DC7" w:rsidRPr="009E2595" w14:paraId="2877ABBF" w14:textId="77777777" w:rsidTr="00005701">
        <w:trPr>
          <w:cantSplit/>
        </w:trPr>
        <w:tc>
          <w:tcPr>
            <w:tcW w:w="1364" w:type="pct"/>
            <w:tcBorders>
              <w:top w:val="single" w:sz="4" w:space="0" w:color="auto"/>
              <w:left w:val="nil"/>
              <w:bottom w:val="single" w:sz="4" w:space="0" w:color="auto"/>
              <w:right w:val="nil"/>
            </w:tcBorders>
          </w:tcPr>
          <w:p w14:paraId="5F64D5BA" w14:textId="77777777" w:rsidR="00080DC7" w:rsidRPr="00616B26" w:rsidRDefault="00080DC7" w:rsidP="00080DC7">
            <w:pPr>
              <w:pStyle w:val="Tabletext"/>
              <w:rPr>
                <w:snapToGrid w:val="0"/>
              </w:rPr>
            </w:pPr>
            <w:r w:rsidRPr="00616B26">
              <w:rPr>
                <w:snapToGrid w:val="0"/>
              </w:rPr>
              <w:t>31</w:t>
            </w:r>
          </w:p>
        </w:tc>
        <w:tc>
          <w:tcPr>
            <w:tcW w:w="938" w:type="pct"/>
            <w:tcBorders>
              <w:top w:val="single" w:sz="4" w:space="0" w:color="auto"/>
              <w:left w:val="nil"/>
              <w:bottom w:val="single" w:sz="4" w:space="0" w:color="auto"/>
              <w:right w:val="nil"/>
            </w:tcBorders>
            <w:vAlign w:val="bottom"/>
          </w:tcPr>
          <w:p w14:paraId="3A68360F" w14:textId="77777777" w:rsidR="00080DC7" w:rsidRPr="00C971C6" w:rsidRDefault="00080DC7" w:rsidP="00080DC7">
            <w:pPr>
              <w:pStyle w:val="Tabletext"/>
              <w:rPr>
                <w:snapToGrid w:val="0"/>
              </w:rPr>
            </w:pPr>
            <w:r w:rsidRPr="00295986">
              <w:t>0</w:t>
            </w:r>
            <w:r w:rsidR="00D7157D">
              <w:t>.</w:t>
            </w:r>
            <w:r w:rsidRPr="00295986">
              <w:t>177</w:t>
            </w:r>
          </w:p>
        </w:tc>
        <w:tc>
          <w:tcPr>
            <w:tcW w:w="1194" w:type="pct"/>
            <w:tcBorders>
              <w:top w:val="single" w:sz="4" w:space="0" w:color="auto"/>
              <w:left w:val="nil"/>
              <w:bottom w:val="single" w:sz="4" w:space="0" w:color="auto"/>
              <w:right w:val="nil"/>
            </w:tcBorders>
            <w:vAlign w:val="bottom"/>
          </w:tcPr>
          <w:p w14:paraId="4AEEBB8F" w14:textId="77777777" w:rsidR="00080DC7" w:rsidRPr="00C971C6" w:rsidRDefault="00080DC7" w:rsidP="00080DC7">
            <w:pPr>
              <w:pStyle w:val="Tabletext"/>
              <w:rPr>
                <w:snapToGrid w:val="0"/>
              </w:rPr>
            </w:pPr>
            <w:r w:rsidRPr="00295986">
              <w:t>0</w:t>
            </w:r>
            <w:r w:rsidR="00D7157D">
              <w:t>.</w:t>
            </w:r>
            <w:r w:rsidRPr="00295986">
              <w:t>366</w:t>
            </w:r>
          </w:p>
        </w:tc>
        <w:tc>
          <w:tcPr>
            <w:tcW w:w="1504" w:type="pct"/>
            <w:tcBorders>
              <w:top w:val="single" w:sz="4" w:space="0" w:color="auto"/>
              <w:left w:val="nil"/>
              <w:bottom w:val="single" w:sz="4" w:space="0" w:color="auto"/>
              <w:right w:val="nil"/>
            </w:tcBorders>
            <w:vAlign w:val="bottom"/>
          </w:tcPr>
          <w:p w14:paraId="439E3C2F"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525</w:t>
            </w:r>
          </w:p>
        </w:tc>
      </w:tr>
      <w:tr w:rsidR="00080DC7" w:rsidRPr="009E2595" w14:paraId="5F928D17" w14:textId="77777777" w:rsidTr="00005701">
        <w:trPr>
          <w:cantSplit/>
        </w:trPr>
        <w:tc>
          <w:tcPr>
            <w:tcW w:w="1364" w:type="pct"/>
            <w:tcBorders>
              <w:top w:val="single" w:sz="4" w:space="0" w:color="auto"/>
              <w:left w:val="nil"/>
              <w:bottom w:val="single" w:sz="4" w:space="0" w:color="auto"/>
              <w:right w:val="nil"/>
            </w:tcBorders>
          </w:tcPr>
          <w:p w14:paraId="12047B9B" w14:textId="77777777" w:rsidR="00080DC7" w:rsidRPr="00616B26" w:rsidRDefault="00080DC7" w:rsidP="00080DC7">
            <w:pPr>
              <w:pStyle w:val="Tabletext"/>
              <w:rPr>
                <w:snapToGrid w:val="0"/>
              </w:rPr>
            </w:pPr>
            <w:r w:rsidRPr="00616B26">
              <w:rPr>
                <w:snapToGrid w:val="0"/>
              </w:rPr>
              <w:t>32</w:t>
            </w:r>
          </w:p>
        </w:tc>
        <w:tc>
          <w:tcPr>
            <w:tcW w:w="938" w:type="pct"/>
            <w:tcBorders>
              <w:top w:val="single" w:sz="4" w:space="0" w:color="auto"/>
              <w:left w:val="nil"/>
              <w:bottom w:val="single" w:sz="4" w:space="0" w:color="auto"/>
              <w:right w:val="nil"/>
            </w:tcBorders>
            <w:vAlign w:val="bottom"/>
          </w:tcPr>
          <w:p w14:paraId="5106AC25" w14:textId="77777777" w:rsidR="00080DC7" w:rsidRPr="00C971C6" w:rsidRDefault="00080DC7" w:rsidP="00080DC7">
            <w:pPr>
              <w:pStyle w:val="Tabletext"/>
              <w:rPr>
                <w:snapToGrid w:val="0"/>
              </w:rPr>
            </w:pPr>
            <w:r w:rsidRPr="00295986">
              <w:t>0</w:t>
            </w:r>
            <w:r w:rsidR="00D7157D">
              <w:t>.</w:t>
            </w:r>
            <w:r w:rsidRPr="00295986">
              <w:t>168</w:t>
            </w:r>
          </w:p>
        </w:tc>
        <w:tc>
          <w:tcPr>
            <w:tcW w:w="1194" w:type="pct"/>
            <w:tcBorders>
              <w:top w:val="single" w:sz="4" w:space="0" w:color="auto"/>
              <w:left w:val="nil"/>
              <w:bottom w:val="single" w:sz="4" w:space="0" w:color="auto"/>
              <w:right w:val="nil"/>
            </w:tcBorders>
            <w:vAlign w:val="bottom"/>
          </w:tcPr>
          <w:p w14:paraId="0806E22F" w14:textId="77777777" w:rsidR="00080DC7" w:rsidRPr="00C971C6" w:rsidRDefault="00080DC7" w:rsidP="00080DC7">
            <w:pPr>
              <w:pStyle w:val="Tabletext"/>
              <w:rPr>
                <w:snapToGrid w:val="0"/>
              </w:rPr>
            </w:pPr>
            <w:r w:rsidRPr="00295986">
              <w:t>0</w:t>
            </w:r>
            <w:r w:rsidR="00D7157D">
              <w:t>.</w:t>
            </w:r>
            <w:r w:rsidRPr="00295986">
              <w:t>354</w:t>
            </w:r>
          </w:p>
        </w:tc>
        <w:tc>
          <w:tcPr>
            <w:tcW w:w="1504" w:type="pct"/>
            <w:tcBorders>
              <w:top w:val="single" w:sz="4" w:space="0" w:color="auto"/>
              <w:left w:val="nil"/>
              <w:bottom w:val="single" w:sz="4" w:space="0" w:color="auto"/>
              <w:right w:val="nil"/>
            </w:tcBorders>
            <w:vAlign w:val="bottom"/>
          </w:tcPr>
          <w:p w14:paraId="0B1FD74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514</w:t>
            </w:r>
          </w:p>
        </w:tc>
      </w:tr>
      <w:tr w:rsidR="00080DC7" w:rsidRPr="009E2595" w14:paraId="52C1FB63" w14:textId="77777777" w:rsidTr="00005701">
        <w:trPr>
          <w:cantSplit/>
        </w:trPr>
        <w:tc>
          <w:tcPr>
            <w:tcW w:w="1364" w:type="pct"/>
            <w:tcBorders>
              <w:top w:val="single" w:sz="4" w:space="0" w:color="auto"/>
              <w:left w:val="nil"/>
              <w:bottom w:val="single" w:sz="4" w:space="0" w:color="auto"/>
              <w:right w:val="nil"/>
            </w:tcBorders>
          </w:tcPr>
          <w:p w14:paraId="143BA471" w14:textId="77777777" w:rsidR="00080DC7" w:rsidRPr="00616B26" w:rsidRDefault="00080DC7" w:rsidP="00080DC7">
            <w:pPr>
              <w:pStyle w:val="Tabletext"/>
              <w:rPr>
                <w:snapToGrid w:val="0"/>
              </w:rPr>
            </w:pPr>
            <w:r w:rsidRPr="00616B26">
              <w:rPr>
                <w:snapToGrid w:val="0"/>
              </w:rPr>
              <w:t>33</w:t>
            </w:r>
          </w:p>
        </w:tc>
        <w:tc>
          <w:tcPr>
            <w:tcW w:w="938" w:type="pct"/>
            <w:tcBorders>
              <w:top w:val="single" w:sz="4" w:space="0" w:color="auto"/>
              <w:left w:val="nil"/>
              <w:bottom w:val="single" w:sz="4" w:space="0" w:color="auto"/>
              <w:right w:val="nil"/>
            </w:tcBorders>
            <w:vAlign w:val="bottom"/>
          </w:tcPr>
          <w:p w14:paraId="4F204AE8" w14:textId="77777777" w:rsidR="00080DC7" w:rsidRPr="00C971C6" w:rsidRDefault="00080DC7" w:rsidP="00080DC7">
            <w:pPr>
              <w:pStyle w:val="Tabletext"/>
              <w:rPr>
                <w:snapToGrid w:val="0"/>
              </w:rPr>
            </w:pPr>
            <w:r w:rsidRPr="00295986">
              <w:t>0</w:t>
            </w:r>
            <w:r w:rsidR="00D7157D">
              <w:t>.</w:t>
            </w:r>
            <w:r w:rsidRPr="00295986">
              <w:t>159</w:t>
            </w:r>
          </w:p>
        </w:tc>
        <w:tc>
          <w:tcPr>
            <w:tcW w:w="1194" w:type="pct"/>
            <w:tcBorders>
              <w:top w:val="single" w:sz="4" w:space="0" w:color="auto"/>
              <w:left w:val="nil"/>
              <w:bottom w:val="single" w:sz="4" w:space="0" w:color="auto"/>
              <w:right w:val="nil"/>
            </w:tcBorders>
            <w:vAlign w:val="bottom"/>
          </w:tcPr>
          <w:p w14:paraId="24E6878A" w14:textId="77777777" w:rsidR="00080DC7" w:rsidRPr="00C971C6" w:rsidRDefault="00080DC7" w:rsidP="00080DC7">
            <w:pPr>
              <w:pStyle w:val="Tabletext"/>
              <w:rPr>
                <w:snapToGrid w:val="0"/>
              </w:rPr>
            </w:pPr>
            <w:r w:rsidRPr="00295986">
              <w:t>0</w:t>
            </w:r>
            <w:r w:rsidR="00D7157D">
              <w:t>.</w:t>
            </w:r>
            <w:r w:rsidRPr="00295986">
              <w:t>343</w:t>
            </w:r>
          </w:p>
        </w:tc>
        <w:tc>
          <w:tcPr>
            <w:tcW w:w="1504" w:type="pct"/>
            <w:tcBorders>
              <w:top w:val="single" w:sz="4" w:space="0" w:color="auto"/>
              <w:left w:val="nil"/>
              <w:bottom w:val="single" w:sz="4" w:space="0" w:color="auto"/>
              <w:right w:val="nil"/>
            </w:tcBorders>
            <w:vAlign w:val="bottom"/>
          </w:tcPr>
          <w:p w14:paraId="3AEA8A22"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503</w:t>
            </w:r>
          </w:p>
        </w:tc>
      </w:tr>
      <w:tr w:rsidR="00080DC7" w:rsidRPr="009E2595" w14:paraId="6C7EF41D" w14:textId="77777777" w:rsidTr="00005701">
        <w:trPr>
          <w:cantSplit/>
        </w:trPr>
        <w:tc>
          <w:tcPr>
            <w:tcW w:w="1364" w:type="pct"/>
            <w:tcBorders>
              <w:top w:val="single" w:sz="4" w:space="0" w:color="auto"/>
              <w:left w:val="nil"/>
              <w:bottom w:val="single" w:sz="4" w:space="0" w:color="auto"/>
              <w:right w:val="nil"/>
            </w:tcBorders>
          </w:tcPr>
          <w:p w14:paraId="76D5F847" w14:textId="77777777" w:rsidR="00080DC7" w:rsidRPr="00616B26" w:rsidRDefault="00080DC7" w:rsidP="00080DC7">
            <w:pPr>
              <w:pStyle w:val="Tabletext"/>
              <w:rPr>
                <w:snapToGrid w:val="0"/>
              </w:rPr>
            </w:pPr>
            <w:r w:rsidRPr="00616B26">
              <w:rPr>
                <w:snapToGrid w:val="0"/>
              </w:rPr>
              <w:t>34</w:t>
            </w:r>
          </w:p>
        </w:tc>
        <w:tc>
          <w:tcPr>
            <w:tcW w:w="938" w:type="pct"/>
            <w:tcBorders>
              <w:top w:val="single" w:sz="4" w:space="0" w:color="auto"/>
              <w:left w:val="nil"/>
              <w:bottom w:val="single" w:sz="4" w:space="0" w:color="auto"/>
              <w:right w:val="nil"/>
            </w:tcBorders>
            <w:vAlign w:val="bottom"/>
          </w:tcPr>
          <w:p w14:paraId="09A2AA8A" w14:textId="77777777" w:rsidR="00080DC7" w:rsidRPr="00C971C6" w:rsidRDefault="00080DC7" w:rsidP="00080DC7">
            <w:pPr>
              <w:pStyle w:val="Tabletext"/>
              <w:rPr>
                <w:snapToGrid w:val="0"/>
              </w:rPr>
            </w:pPr>
            <w:r w:rsidRPr="00295986">
              <w:t>0</w:t>
            </w:r>
            <w:r w:rsidR="00D7157D">
              <w:t>.</w:t>
            </w:r>
            <w:r w:rsidRPr="00295986">
              <w:t>150</w:t>
            </w:r>
          </w:p>
        </w:tc>
        <w:tc>
          <w:tcPr>
            <w:tcW w:w="1194" w:type="pct"/>
            <w:tcBorders>
              <w:top w:val="single" w:sz="4" w:space="0" w:color="auto"/>
              <w:left w:val="nil"/>
              <w:bottom w:val="single" w:sz="4" w:space="0" w:color="auto"/>
              <w:right w:val="nil"/>
            </w:tcBorders>
            <w:vAlign w:val="bottom"/>
          </w:tcPr>
          <w:p w14:paraId="40753597" w14:textId="77777777" w:rsidR="00080DC7" w:rsidRPr="00C971C6" w:rsidRDefault="00080DC7" w:rsidP="00080DC7">
            <w:pPr>
              <w:pStyle w:val="Tabletext"/>
              <w:rPr>
                <w:snapToGrid w:val="0"/>
              </w:rPr>
            </w:pPr>
            <w:r w:rsidRPr="00295986">
              <w:t>0</w:t>
            </w:r>
            <w:r w:rsidR="00D7157D">
              <w:t>.</w:t>
            </w:r>
            <w:r w:rsidRPr="00295986">
              <w:t>332</w:t>
            </w:r>
          </w:p>
        </w:tc>
        <w:tc>
          <w:tcPr>
            <w:tcW w:w="1504" w:type="pct"/>
            <w:tcBorders>
              <w:top w:val="single" w:sz="4" w:space="0" w:color="auto"/>
              <w:left w:val="nil"/>
              <w:bottom w:val="single" w:sz="4" w:space="0" w:color="auto"/>
              <w:right w:val="nil"/>
            </w:tcBorders>
            <w:vAlign w:val="bottom"/>
          </w:tcPr>
          <w:p w14:paraId="6B95CA4E"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493</w:t>
            </w:r>
          </w:p>
        </w:tc>
      </w:tr>
      <w:tr w:rsidR="00080DC7" w:rsidRPr="009E2595" w14:paraId="7C288251" w14:textId="77777777" w:rsidTr="00005701">
        <w:trPr>
          <w:cantSplit/>
        </w:trPr>
        <w:tc>
          <w:tcPr>
            <w:tcW w:w="1364" w:type="pct"/>
            <w:tcBorders>
              <w:top w:val="single" w:sz="4" w:space="0" w:color="auto"/>
              <w:left w:val="nil"/>
              <w:bottom w:val="single" w:sz="4" w:space="0" w:color="auto"/>
              <w:right w:val="nil"/>
            </w:tcBorders>
          </w:tcPr>
          <w:p w14:paraId="5D67FE62" w14:textId="77777777" w:rsidR="00080DC7" w:rsidRPr="00616B26" w:rsidRDefault="00080DC7" w:rsidP="00080DC7">
            <w:pPr>
              <w:pStyle w:val="Tabletext"/>
              <w:rPr>
                <w:snapToGrid w:val="0"/>
              </w:rPr>
            </w:pPr>
            <w:r w:rsidRPr="00616B26">
              <w:rPr>
                <w:snapToGrid w:val="0"/>
              </w:rPr>
              <w:t>35</w:t>
            </w:r>
          </w:p>
        </w:tc>
        <w:tc>
          <w:tcPr>
            <w:tcW w:w="938" w:type="pct"/>
            <w:tcBorders>
              <w:top w:val="single" w:sz="4" w:space="0" w:color="auto"/>
              <w:left w:val="nil"/>
              <w:bottom w:val="single" w:sz="4" w:space="0" w:color="auto"/>
              <w:right w:val="nil"/>
            </w:tcBorders>
            <w:vAlign w:val="bottom"/>
          </w:tcPr>
          <w:p w14:paraId="7996ED8F" w14:textId="77777777" w:rsidR="00080DC7" w:rsidRPr="00C971C6" w:rsidRDefault="00080DC7" w:rsidP="00080DC7">
            <w:pPr>
              <w:pStyle w:val="Tabletext"/>
              <w:rPr>
                <w:snapToGrid w:val="0"/>
              </w:rPr>
            </w:pPr>
            <w:r w:rsidRPr="00295986">
              <w:t>0</w:t>
            </w:r>
            <w:r w:rsidR="00D7157D">
              <w:t>.</w:t>
            </w:r>
            <w:r w:rsidRPr="00295986">
              <w:t>142</w:t>
            </w:r>
          </w:p>
        </w:tc>
        <w:tc>
          <w:tcPr>
            <w:tcW w:w="1194" w:type="pct"/>
            <w:tcBorders>
              <w:top w:val="single" w:sz="4" w:space="0" w:color="auto"/>
              <w:left w:val="nil"/>
              <w:bottom w:val="single" w:sz="4" w:space="0" w:color="auto"/>
              <w:right w:val="nil"/>
            </w:tcBorders>
            <w:vAlign w:val="bottom"/>
          </w:tcPr>
          <w:p w14:paraId="2E247FBC" w14:textId="77777777" w:rsidR="00080DC7" w:rsidRPr="00C971C6" w:rsidRDefault="00080DC7" w:rsidP="00080DC7">
            <w:pPr>
              <w:pStyle w:val="Tabletext"/>
              <w:rPr>
                <w:snapToGrid w:val="0"/>
              </w:rPr>
            </w:pPr>
            <w:r w:rsidRPr="00295986">
              <w:t>0</w:t>
            </w:r>
            <w:r w:rsidR="00D7157D">
              <w:t>.</w:t>
            </w:r>
            <w:r w:rsidRPr="00295986">
              <w:t>321</w:t>
            </w:r>
          </w:p>
        </w:tc>
        <w:tc>
          <w:tcPr>
            <w:tcW w:w="1504" w:type="pct"/>
            <w:tcBorders>
              <w:top w:val="single" w:sz="4" w:space="0" w:color="auto"/>
              <w:left w:val="nil"/>
              <w:bottom w:val="single" w:sz="4" w:space="0" w:color="auto"/>
              <w:right w:val="nil"/>
            </w:tcBorders>
            <w:vAlign w:val="bottom"/>
          </w:tcPr>
          <w:p w14:paraId="494521A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483</w:t>
            </w:r>
          </w:p>
        </w:tc>
      </w:tr>
      <w:tr w:rsidR="00080DC7" w:rsidRPr="009E2595" w14:paraId="3760BD6C" w14:textId="77777777" w:rsidTr="00005701">
        <w:trPr>
          <w:cantSplit/>
        </w:trPr>
        <w:tc>
          <w:tcPr>
            <w:tcW w:w="1364" w:type="pct"/>
            <w:tcBorders>
              <w:top w:val="single" w:sz="4" w:space="0" w:color="auto"/>
              <w:left w:val="nil"/>
              <w:bottom w:val="single" w:sz="4" w:space="0" w:color="auto"/>
              <w:right w:val="nil"/>
            </w:tcBorders>
          </w:tcPr>
          <w:p w14:paraId="391C534A" w14:textId="77777777" w:rsidR="00080DC7" w:rsidRPr="00616B26" w:rsidRDefault="00080DC7" w:rsidP="00080DC7">
            <w:pPr>
              <w:pStyle w:val="Tabletext"/>
              <w:rPr>
                <w:snapToGrid w:val="0"/>
              </w:rPr>
            </w:pPr>
            <w:r w:rsidRPr="00616B26">
              <w:rPr>
                <w:snapToGrid w:val="0"/>
              </w:rPr>
              <w:t>36</w:t>
            </w:r>
          </w:p>
        </w:tc>
        <w:tc>
          <w:tcPr>
            <w:tcW w:w="938" w:type="pct"/>
            <w:tcBorders>
              <w:top w:val="single" w:sz="4" w:space="0" w:color="auto"/>
              <w:left w:val="nil"/>
              <w:bottom w:val="single" w:sz="4" w:space="0" w:color="auto"/>
              <w:right w:val="nil"/>
            </w:tcBorders>
            <w:vAlign w:val="bottom"/>
          </w:tcPr>
          <w:p w14:paraId="0EB40D16" w14:textId="77777777" w:rsidR="00080DC7" w:rsidRPr="00C971C6" w:rsidRDefault="00080DC7" w:rsidP="00080DC7">
            <w:pPr>
              <w:pStyle w:val="Tabletext"/>
              <w:rPr>
                <w:snapToGrid w:val="0"/>
              </w:rPr>
            </w:pPr>
            <w:r w:rsidRPr="00295986">
              <w:t>0</w:t>
            </w:r>
            <w:r w:rsidR="00D7157D">
              <w:t>.</w:t>
            </w:r>
            <w:r w:rsidRPr="00295986">
              <w:t>134</w:t>
            </w:r>
          </w:p>
        </w:tc>
        <w:tc>
          <w:tcPr>
            <w:tcW w:w="1194" w:type="pct"/>
            <w:tcBorders>
              <w:top w:val="single" w:sz="4" w:space="0" w:color="auto"/>
              <w:left w:val="nil"/>
              <w:bottom w:val="single" w:sz="4" w:space="0" w:color="auto"/>
              <w:right w:val="nil"/>
            </w:tcBorders>
            <w:vAlign w:val="bottom"/>
          </w:tcPr>
          <w:p w14:paraId="2C66B83F" w14:textId="77777777" w:rsidR="00080DC7" w:rsidRPr="00C971C6" w:rsidRDefault="00080DC7" w:rsidP="00080DC7">
            <w:pPr>
              <w:pStyle w:val="Tabletext"/>
              <w:rPr>
                <w:snapToGrid w:val="0"/>
              </w:rPr>
            </w:pPr>
            <w:r w:rsidRPr="00295986">
              <w:t>0</w:t>
            </w:r>
            <w:r w:rsidR="00D7157D">
              <w:t>.</w:t>
            </w:r>
            <w:r w:rsidRPr="00295986">
              <w:t>311</w:t>
            </w:r>
          </w:p>
        </w:tc>
        <w:tc>
          <w:tcPr>
            <w:tcW w:w="1504" w:type="pct"/>
            <w:tcBorders>
              <w:top w:val="single" w:sz="4" w:space="0" w:color="auto"/>
              <w:left w:val="nil"/>
              <w:bottom w:val="single" w:sz="4" w:space="0" w:color="auto"/>
              <w:right w:val="nil"/>
            </w:tcBorders>
            <w:vAlign w:val="bottom"/>
          </w:tcPr>
          <w:p w14:paraId="7BB705A6"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472</w:t>
            </w:r>
          </w:p>
        </w:tc>
      </w:tr>
      <w:tr w:rsidR="00080DC7" w:rsidRPr="009E2595" w14:paraId="515CFF38" w14:textId="77777777" w:rsidTr="00005701">
        <w:trPr>
          <w:cantSplit/>
          <w:trHeight w:val="97"/>
        </w:trPr>
        <w:tc>
          <w:tcPr>
            <w:tcW w:w="1364" w:type="pct"/>
            <w:tcBorders>
              <w:top w:val="single" w:sz="4" w:space="0" w:color="auto"/>
              <w:left w:val="nil"/>
              <w:bottom w:val="single" w:sz="4" w:space="0" w:color="auto"/>
              <w:right w:val="nil"/>
            </w:tcBorders>
          </w:tcPr>
          <w:p w14:paraId="154FA57D" w14:textId="77777777" w:rsidR="00080DC7" w:rsidRPr="00616B26" w:rsidRDefault="00080DC7" w:rsidP="00080DC7">
            <w:pPr>
              <w:pStyle w:val="Tabletext"/>
              <w:rPr>
                <w:snapToGrid w:val="0"/>
              </w:rPr>
            </w:pPr>
            <w:r w:rsidRPr="00616B26">
              <w:rPr>
                <w:snapToGrid w:val="0"/>
              </w:rPr>
              <w:t>37</w:t>
            </w:r>
          </w:p>
        </w:tc>
        <w:tc>
          <w:tcPr>
            <w:tcW w:w="938" w:type="pct"/>
            <w:tcBorders>
              <w:top w:val="single" w:sz="4" w:space="0" w:color="auto"/>
              <w:left w:val="nil"/>
              <w:bottom w:val="single" w:sz="4" w:space="0" w:color="auto"/>
              <w:right w:val="nil"/>
            </w:tcBorders>
            <w:vAlign w:val="bottom"/>
          </w:tcPr>
          <w:p w14:paraId="2B8C6A4D" w14:textId="77777777" w:rsidR="00080DC7" w:rsidRPr="00C971C6" w:rsidRDefault="00080DC7" w:rsidP="00080DC7">
            <w:pPr>
              <w:pStyle w:val="Tabletext"/>
              <w:rPr>
                <w:snapToGrid w:val="0"/>
              </w:rPr>
            </w:pPr>
            <w:r w:rsidRPr="00295986">
              <w:t>0</w:t>
            </w:r>
            <w:r w:rsidR="00D7157D">
              <w:t>.</w:t>
            </w:r>
            <w:r w:rsidRPr="00295986">
              <w:t>127</w:t>
            </w:r>
          </w:p>
        </w:tc>
        <w:tc>
          <w:tcPr>
            <w:tcW w:w="1194" w:type="pct"/>
            <w:tcBorders>
              <w:top w:val="single" w:sz="4" w:space="0" w:color="auto"/>
              <w:left w:val="nil"/>
              <w:bottom w:val="single" w:sz="4" w:space="0" w:color="auto"/>
              <w:right w:val="nil"/>
            </w:tcBorders>
            <w:vAlign w:val="bottom"/>
          </w:tcPr>
          <w:p w14:paraId="44D6E729" w14:textId="77777777" w:rsidR="00080DC7" w:rsidRPr="00C971C6" w:rsidRDefault="00080DC7" w:rsidP="00080DC7">
            <w:pPr>
              <w:pStyle w:val="Tabletext"/>
              <w:rPr>
                <w:snapToGrid w:val="0"/>
              </w:rPr>
            </w:pPr>
            <w:r w:rsidRPr="00295986">
              <w:t>0</w:t>
            </w:r>
            <w:r w:rsidR="00D7157D">
              <w:t>.</w:t>
            </w:r>
            <w:r w:rsidRPr="00295986">
              <w:t>301</w:t>
            </w:r>
          </w:p>
        </w:tc>
        <w:tc>
          <w:tcPr>
            <w:tcW w:w="1504" w:type="pct"/>
            <w:tcBorders>
              <w:top w:val="single" w:sz="4" w:space="0" w:color="auto"/>
              <w:left w:val="nil"/>
              <w:bottom w:val="single" w:sz="4" w:space="0" w:color="auto"/>
              <w:right w:val="nil"/>
            </w:tcBorders>
            <w:vAlign w:val="bottom"/>
          </w:tcPr>
          <w:p w14:paraId="036EEBE9"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463</w:t>
            </w:r>
          </w:p>
        </w:tc>
      </w:tr>
      <w:tr w:rsidR="00080DC7" w:rsidRPr="009E2595" w14:paraId="3DDCC9FA" w14:textId="77777777" w:rsidTr="00005701">
        <w:trPr>
          <w:cantSplit/>
        </w:trPr>
        <w:tc>
          <w:tcPr>
            <w:tcW w:w="1364" w:type="pct"/>
            <w:tcBorders>
              <w:top w:val="single" w:sz="4" w:space="0" w:color="auto"/>
              <w:left w:val="nil"/>
              <w:bottom w:val="single" w:sz="4" w:space="0" w:color="auto"/>
              <w:right w:val="nil"/>
            </w:tcBorders>
          </w:tcPr>
          <w:p w14:paraId="77B7DC4F" w14:textId="77777777" w:rsidR="00080DC7" w:rsidRPr="00616B26" w:rsidRDefault="00080DC7" w:rsidP="00080DC7">
            <w:pPr>
              <w:pStyle w:val="Tabletext"/>
              <w:rPr>
                <w:snapToGrid w:val="0"/>
              </w:rPr>
            </w:pPr>
            <w:r w:rsidRPr="00616B26">
              <w:rPr>
                <w:snapToGrid w:val="0"/>
              </w:rPr>
              <w:t>38</w:t>
            </w:r>
          </w:p>
        </w:tc>
        <w:tc>
          <w:tcPr>
            <w:tcW w:w="938" w:type="pct"/>
            <w:tcBorders>
              <w:top w:val="single" w:sz="4" w:space="0" w:color="auto"/>
              <w:left w:val="nil"/>
              <w:bottom w:val="single" w:sz="4" w:space="0" w:color="auto"/>
              <w:right w:val="nil"/>
            </w:tcBorders>
            <w:vAlign w:val="bottom"/>
          </w:tcPr>
          <w:p w14:paraId="638BC227" w14:textId="77777777" w:rsidR="00080DC7" w:rsidRPr="00C971C6" w:rsidRDefault="00080DC7" w:rsidP="00080DC7">
            <w:pPr>
              <w:pStyle w:val="Tabletext"/>
              <w:rPr>
                <w:snapToGrid w:val="0"/>
              </w:rPr>
            </w:pPr>
            <w:r w:rsidRPr="00295986">
              <w:t>0</w:t>
            </w:r>
            <w:r w:rsidR="00D7157D">
              <w:t>.</w:t>
            </w:r>
            <w:r w:rsidRPr="00295986">
              <w:t>120</w:t>
            </w:r>
          </w:p>
        </w:tc>
        <w:tc>
          <w:tcPr>
            <w:tcW w:w="1194" w:type="pct"/>
            <w:tcBorders>
              <w:top w:val="single" w:sz="4" w:space="0" w:color="auto"/>
              <w:left w:val="nil"/>
              <w:bottom w:val="single" w:sz="4" w:space="0" w:color="auto"/>
              <w:right w:val="nil"/>
            </w:tcBorders>
            <w:vAlign w:val="bottom"/>
          </w:tcPr>
          <w:p w14:paraId="03A42AF6" w14:textId="77777777" w:rsidR="00080DC7" w:rsidRPr="00C971C6" w:rsidRDefault="00080DC7" w:rsidP="00080DC7">
            <w:pPr>
              <w:pStyle w:val="Tabletext"/>
              <w:rPr>
                <w:snapToGrid w:val="0"/>
              </w:rPr>
            </w:pPr>
            <w:r w:rsidRPr="00295986">
              <w:t>0</w:t>
            </w:r>
            <w:r w:rsidR="00D7157D">
              <w:t>.</w:t>
            </w:r>
            <w:r w:rsidRPr="00295986">
              <w:t>291</w:t>
            </w:r>
          </w:p>
        </w:tc>
        <w:tc>
          <w:tcPr>
            <w:tcW w:w="1504" w:type="pct"/>
            <w:tcBorders>
              <w:top w:val="single" w:sz="4" w:space="0" w:color="auto"/>
              <w:left w:val="nil"/>
              <w:bottom w:val="single" w:sz="4" w:space="0" w:color="auto"/>
              <w:right w:val="nil"/>
            </w:tcBorders>
            <w:vAlign w:val="bottom"/>
          </w:tcPr>
          <w:p w14:paraId="4C10DC35"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453</w:t>
            </w:r>
          </w:p>
        </w:tc>
      </w:tr>
      <w:tr w:rsidR="00080DC7" w:rsidRPr="009E2595" w14:paraId="0820F2A6" w14:textId="77777777" w:rsidTr="00005701">
        <w:trPr>
          <w:cantSplit/>
        </w:trPr>
        <w:tc>
          <w:tcPr>
            <w:tcW w:w="1364" w:type="pct"/>
            <w:tcBorders>
              <w:top w:val="single" w:sz="4" w:space="0" w:color="auto"/>
              <w:left w:val="nil"/>
              <w:bottom w:val="single" w:sz="4" w:space="0" w:color="auto"/>
              <w:right w:val="nil"/>
            </w:tcBorders>
          </w:tcPr>
          <w:p w14:paraId="5A3D44CD" w14:textId="77777777" w:rsidR="00080DC7" w:rsidRPr="00616B26" w:rsidRDefault="00080DC7" w:rsidP="00080DC7">
            <w:pPr>
              <w:pStyle w:val="Tabletext"/>
              <w:rPr>
                <w:snapToGrid w:val="0"/>
              </w:rPr>
            </w:pPr>
            <w:r w:rsidRPr="00616B26">
              <w:rPr>
                <w:snapToGrid w:val="0"/>
              </w:rPr>
              <w:t>39</w:t>
            </w:r>
          </w:p>
        </w:tc>
        <w:tc>
          <w:tcPr>
            <w:tcW w:w="938" w:type="pct"/>
            <w:tcBorders>
              <w:top w:val="single" w:sz="4" w:space="0" w:color="auto"/>
              <w:left w:val="nil"/>
              <w:bottom w:val="single" w:sz="4" w:space="0" w:color="auto"/>
              <w:right w:val="nil"/>
            </w:tcBorders>
            <w:vAlign w:val="bottom"/>
          </w:tcPr>
          <w:p w14:paraId="7B854329" w14:textId="77777777" w:rsidR="00080DC7" w:rsidRPr="00C971C6" w:rsidRDefault="00080DC7" w:rsidP="00080DC7">
            <w:pPr>
              <w:pStyle w:val="Tabletext"/>
              <w:rPr>
                <w:snapToGrid w:val="0"/>
              </w:rPr>
            </w:pPr>
            <w:r w:rsidRPr="00295986">
              <w:t>0</w:t>
            </w:r>
            <w:r w:rsidR="00D7157D">
              <w:t>.</w:t>
            </w:r>
            <w:r w:rsidRPr="00295986">
              <w:t>113</w:t>
            </w:r>
          </w:p>
        </w:tc>
        <w:tc>
          <w:tcPr>
            <w:tcW w:w="1194" w:type="pct"/>
            <w:tcBorders>
              <w:top w:val="single" w:sz="4" w:space="0" w:color="auto"/>
              <w:left w:val="nil"/>
              <w:bottom w:val="single" w:sz="4" w:space="0" w:color="auto"/>
              <w:right w:val="nil"/>
            </w:tcBorders>
            <w:vAlign w:val="bottom"/>
          </w:tcPr>
          <w:p w14:paraId="426E822B" w14:textId="77777777" w:rsidR="00080DC7" w:rsidRPr="00C971C6" w:rsidRDefault="00080DC7" w:rsidP="00080DC7">
            <w:pPr>
              <w:pStyle w:val="Tabletext"/>
              <w:rPr>
                <w:snapToGrid w:val="0"/>
              </w:rPr>
            </w:pPr>
            <w:r w:rsidRPr="00295986">
              <w:t>0</w:t>
            </w:r>
            <w:r w:rsidR="00D7157D">
              <w:t>.</w:t>
            </w:r>
            <w:r w:rsidRPr="00295986">
              <w:t>281</w:t>
            </w:r>
          </w:p>
        </w:tc>
        <w:tc>
          <w:tcPr>
            <w:tcW w:w="1504" w:type="pct"/>
            <w:tcBorders>
              <w:top w:val="single" w:sz="4" w:space="0" w:color="auto"/>
              <w:left w:val="nil"/>
              <w:bottom w:val="single" w:sz="4" w:space="0" w:color="auto"/>
              <w:right w:val="nil"/>
            </w:tcBorders>
            <w:vAlign w:val="bottom"/>
          </w:tcPr>
          <w:p w14:paraId="24847248"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443</w:t>
            </w:r>
          </w:p>
        </w:tc>
      </w:tr>
      <w:tr w:rsidR="00080DC7" w:rsidRPr="009E2595" w14:paraId="32C1C93B" w14:textId="77777777" w:rsidTr="00005701">
        <w:trPr>
          <w:cantSplit/>
        </w:trPr>
        <w:tc>
          <w:tcPr>
            <w:tcW w:w="1364" w:type="pct"/>
            <w:tcBorders>
              <w:top w:val="single" w:sz="4" w:space="0" w:color="auto"/>
              <w:left w:val="nil"/>
              <w:bottom w:val="single" w:sz="12" w:space="0" w:color="auto"/>
              <w:right w:val="nil"/>
            </w:tcBorders>
          </w:tcPr>
          <w:p w14:paraId="73099082" w14:textId="77777777" w:rsidR="00080DC7" w:rsidRPr="00616B26" w:rsidRDefault="00080DC7" w:rsidP="00080DC7">
            <w:pPr>
              <w:pStyle w:val="Tabletext"/>
              <w:rPr>
                <w:snapToGrid w:val="0"/>
              </w:rPr>
            </w:pPr>
            <w:r w:rsidRPr="00616B26">
              <w:rPr>
                <w:snapToGrid w:val="0"/>
              </w:rPr>
              <w:t>40</w:t>
            </w:r>
          </w:p>
        </w:tc>
        <w:tc>
          <w:tcPr>
            <w:tcW w:w="938" w:type="pct"/>
            <w:tcBorders>
              <w:top w:val="single" w:sz="4" w:space="0" w:color="auto"/>
              <w:left w:val="nil"/>
              <w:bottom w:val="single" w:sz="12" w:space="0" w:color="auto"/>
              <w:right w:val="nil"/>
            </w:tcBorders>
            <w:vAlign w:val="bottom"/>
          </w:tcPr>
          <w:p w14:paraId="50F9D2FF" w14:textId="77777777" w:rsidR="00080DC7" w:rsidRPr="00C971C6" w:rsidRDefault="00080DC7" w:rsidP="00080DC7">
            <w:pPr>
              <w:pStyle w:val="Tabletext"/>
              <w:rPr>
                <w:snapToGrid w:val="0"/>
              </w:rPr>
            </w:pPr>
            <w:r w:rsidRPr="00295986">
              <w:t>0</w:t>
            </w:r>
            <w:r w:rsidR="00D7157D">
              <w:t>.</w:t>
            </w:r>
            <w:r w:rsidRPr="00295986">
              <w:t>107</w:t>
            </w:r>
          </w:p>
        </w:tc>
        <w:tc>
          <w:tcPr>
            <w:tcW w:w="1194" w:type="pct"/>
            <w:tcBorders>
              <w:top w:val="single" w:sz="4" w:space="0" w:color="auto"/>
              <w:left w:val="nil"/>
              <w:bottom w:val="single" w:sz="12" w:space="0" w:color="auto"/>
              <w:right w:val="nil"/>
            </w:tcBorders>
            <w:vAlign w:val="bottom"/>
          </w:tcPr>
          <w:p w14:paraId="1B205F93" w14:textId="77777777" w:rsidR="00080DC7" w:rsidRPr="00C971C6" w:rsidRDefault="00080DC7" w:rsidP="00080DC7">
            <w:pPr>
              <w:pStyle w:val="Tabletext"/>
              <w:rPr>
                <w:snapToGrid w:val="0"/>
              </w:rPr>
            </w:pPr>
            <w:r w:rsidRPr="00295986">
              <w:t>0</w:t>
            </w:r>
            <w:r w:rsidR="00D7157D">
              <w:t>.</w:t>
            </w:r>
            <w:r w:rsidRPr="00295986">
              <w:t>272</w:t>
            </w:r>
          </w:p>
        </w:tc>
        <w:tc>
          <w:tcPr>
            <w:tcW w:w="1504" w:type="pct"/>
            <w:tcBorders>
              <w:top w:val="single" w:sz="4" w:space="0" w:color="auto"/>
              <w:left w:val="nil"/>
              <w:bottom w:val="single" w:sz="12" w:space="0" w:color="auto"/>
              <w:right w:val="nil"/>
            </w:tcBorders>
            <w:vAlign w:val="bottom"/>
          </w:tcPr>
          <w:p w14:paraId="43FF4333" w14:textId="77777777" w:rsidR="00080DC7" w:rsidRPr="00080DC7" w:rsidRDefault="00080DC7" w:rsidP="00080DC7">
            <w:pPr>
              <w:pStyle w:val="Tabletext"/>
              <w:rPr>
                <w:snapToGrid w:val="0"/>
                <w:color w:val="000000" w:themeColor="text1"/>
              </w:rPr>
            </w:pPr>
            <w:r w:rsidRPr="00080DC7">
              <w:rPr>
                <w:color w:val="000000" w:themeColor="text1"/>
              </w:rPr>
              <w:t>0</w:t>
            </w:r>
            <w:r w:rsidR="00D7157D">
              <w:rPr>
                <w:color w:val="000000" w:themeColor="text1"/>
              </w:rPr>
              <w:t>.</w:t>
            </w:r>
            <w:r w:rsidRPr="00080DC7">
              <w:rPr>
                <w:color w:val="000000" w:themeColor="text1"/>
              </w:rPr>
              <w:t>434</w:t>
            </w:r>
          </w:p>
        </w:tc>
      </w:tr>
    </w:tbl>
    <w:p w14:paraId="4F519DC5" w14:textId="7672E7F8" w:rsidR="00647C6B" w:rsidRPr="00A058B6" w:rsidRDefault="00D7157D" w:rsidP="00647C6B">
      <w:pPr>
        <w:pStyle w:val="ActHead5"/>
      </w:pPr>
      <w:bookmarkStart w:id="286" w:name="_Toc188350764"/>
      <w:r w:rsidRPr="00423C34">
        <w:rPr>
          <w:rStyle w:val="CharSectno"/>
        </w:rPr>
        <w:t>44</w:t>
      </w:r>
      <w:r w:rsidR="00647C6B" w:rsidRPr="00A058B6">
        <w:t xml:space="preserve">  Method—conversion of lump sum to pension</w:t>
      </w:r>
      <w:bookmarkEnd w:id="286"/>
    </w:p>
    <w:p w14:paraId="091E7765" w14:textId="77777777" w:rsidR="00647C6B" w:rsidRPr="00A058B6" w:rsidRDefault="00647C6B" w:rsidP="00647C6B">
      <w:pPr>
        <w:pStyle w:val="subsection"/>
      </w:pPr>
      <w:r w:rsidRPr="00A058B6">
        <w:rPr>
          <w:color w:val="000000"/>
        </w:rPr>
        <w:tab/>
        <w:t>(1)</w:t>
      </w:r>
      <w:r w:rsidRPr="00A058B6">
        <w:rPr>
          <w:color w:val="000000"/>
        </w:rPr>
        <w:tab/>
        <w:t>This clause applies if the amount of the pension payable in respect of the interest is to be determined by reference to the conversion of a lump sum amount when payment of the pension commences</w:t>
      </w:r>
      <w:r w:rsidR="00D7157D">
        <w:rPr>
          <w:color w:val="000000"/>
        </w:rPr>
        <w:t>.</w:t>
      </w:r>
    </w:p>
    <w:p w14:paraId="70D71596" w14:textId="77777777" w:rsidR="00647C6B" w:rsidRDefault="00647C6B" w:rsidP="00647C6B">
      <w:pPr>
        <w:pStyle w:val="subsection"/>
        <w:rPr>
          <w:color w:val="000000"/>
        </w:rPr>
      </w:pPr>
      <w:r w:rsidRPr="00A058B6">
        <w:rPr>
          <w:color w:val="000000"/>
        </w:rPr>
        <w:tab/>
        <w:t>(2)</w:t>
      </w:r>
      <w:r w:rsidRPr="00A058B6">
        <w:rPr>
          <w:color w:val="000000"/>
        </w:rPr>
        <w:tab/>
        <w:t>The method is:</w:t>
      </w:r>
    </w:p>
    <w:p w14:paraId="066408AB" w14:textId="64F7E07B" w:rsidR="00EC220D" w:rsidRPr="00A058B6" w:rsidRDefault="00FA0B8A" w:rsidP="00EC220D">
      <w:pPr>
        <w:pStyle w:val="subsection2"/>
      </w:pPr>
      <w:r w:rsidRPr="00EC3E3E">
        <w:rPr>
          <w:position w:val="-38"/>
        </w:rPr>
        <w:object w:dxaOrig="3000" w:dyaOrig="840" w14:anchorId="22EF0103">
          <v:shape id="_x0000_i1074" type="#_x0000_t75" alt="Start formula start fraction DB over C subscript da end fraction times open bracket P subscript da plus open bracket R subscript sa times r close bracket close bracket times D subscript y subscript plus subscript m end formula" style="width:149.5pt;height:42.65pt" o:ole="">
            <v:imagedata r:id="rId134" o:title=""/>
          </v:shape>
          <o:OLEObject Type="Embed" ProgID="Equation.DSMT4" ShapeID="_x0000_i1074" DrawAspect="Content" ObjectID="_1801634303" r:id="rId135"/>
        </w:object>
      </w:r>
    </w:p>
    <w:p w14:paraId="46AD2E42" w14:textId="77777777" w:rsidR="00647C6B" w:rsidRPr="00A058B6" w:rsidRDefault="00647C6B" w:rsidP="00647C6B">
      <w:pPr>
        <w:pStyle w:val="subsection2"/>
      </w:pPr>
      <w:r w:rsidRPr="00A058B6">
        <w:rPr>
          <w:color w:val="000000"/>
        </w:rPr>
        <w:t>where:</w:t>
      </w:r>
    </w:p>
    <w:p w14:paraId="7CD48545" w14:textId="77777777" w:rsidR="00E300D2" w:rsidRPr="00A058B6" w:rsidRDefault="00E300D2" w:rsidP="00E300D2">
      <w:pPr>
        <w:pStyle w:val="Definition"/>
      </w:pPr>
      <w:r w:rsidRPr="00A058B6">
        <w:rPr>
          <w:b/>
          <w:i/>
          <w:color w:val="000000"/>
        </w:rPr>
        <w:t>DB</w:t>
      </w:r>
      <w:r w:rsidRPr="00A058B6">
        <w:rPr>
          <w:color w:val="000000"/>
        </w:rPr>
        <w:t xml:space="preserve"> </w:t>
      </w:r>
      <w:r w:rsidR="005C5848">
        <w:t>means</w:t>
      </w:r>
      <w:r w:rsidR="005C5848" w:rsidRPr="00A058B6">
        <w:t xml:space="preserve"> </w:t>
      </w:r>
      <w:r w:rsidRPr="00A058B6">
        <w:rPr>
          <w:color w:val="000000"/>
        </w:rPr>
        <w:t>the nominal value of the lump sum at the relevant date</w:t>
      </w:r>
      <w:r w:rsidR="00D7157D">
        <w:rPr>
          <w:color w:val="000000"/>
        </w:rPr>
        <w:t>.</w:t>
      </w:r>
    </w:p>
    <w:p w14:paraId="0009AC78" w14:textId="77777777" w:rsidR="002A43AE" w:rsidRPr="00A058B6" w:rsidRDefault="002A43AE" w:rsidP="002A43AE">
      <w:pPr>
        <w:pStyle w:val="Definition"/>
      </w:pPr>
      <w:r w:rsidRPr="00A058B6">
        <w:rPr>
          <w:b/>
          <w:i/>
        </w:rPr>
        <w:t>C</w:t>
      </w:r>
      <w:r w:rsidRPr="00A058B6">
        <w:rPr>
          <w:b/>
          <w:i/>
          <w:vertAlign w:val="subscript"/>
        </w:rPr>
        <w:t>da</w:t>
      </w:r>
      <w:r w:rsidRPr="00A058B6">
        <w:t xml:space="preserve"> </w:t>
      </w:r>
      <w:r w:rsidR="005C5848">
        <w:t>means</w:t>
      </w:r>
      <w:r w:rsidR="005C5848" w:rsidRPr="00A058B6">
        <w:t xml:space="preserve"> </w:t>
      </w:r>
      <w:r w:rsidRPr="00A058B6">
        <w:t>the factor that would be used to convert the lump sum to a pension at the end of the minimum deferral period</w:t>
      </w:r>
      <w:r w:rsidR="00D7157D">
        <w:t>.</w:t>
      </w:r>
    </w:p>
    <w:p w14:paraId="0E2A2993" w14:textId="77777777" w:rsidR="000F3381" w:rsidRDefault="00E300D2" w:rsidP="00E300D2">
      <w:pPr>
        <w:pStyle w:val="Definition"/>
      </w:pPr>
      <w:r w:rsidRPr="00A058B6">
        <w:rPr>
          <w:b/>
          <w:i/>
        </w:rPr>
        <w:t>P</w:t>
      </w:r>
      <w:r w:rsidRPr="00A058B6">
        <w:rPr>
          <w:b/>
          <w:i/>
          <w:vertAlign w:val="subscript"/>
        </w:rPr>
        <w:t>da</w:t>
      </w:r>
      <w:r w:rsidRPr="00A058B6">
        <w:rPr>
          <w:vertAlign w:val="subscript"/>
        </w:rPr>
        <w:t xml:space="preserve"> </w:t>
      </w:r>
      <w:r w:rsidR="005C5848">
        <w:t>means</w:t>
      </w:r>
      <w:r w:rsidR="005C5848" w:rsidRPr="00A058B6">
        <w:t xml:space="preserve"> </w:t>
      </w:r>
      <w:r w:rsidRPr="00A058B6">
        <w:t>the pension valuation factor mentioned in</w:t>
      </w:r>
      <w:r w:rsidR="000F3381">
        <w:t>:</w:t>
      </w:r>
    </w:p>
    <w:p w14:paraId="0289A5CE" w14:textId="77777777" w:rsidR="000F3381" w:rsidRDefault="000F3381" w:rsidP="000F3381">
      <w:pPr>
        <w:pStyle w:val="paragraph"/>
      </w:pPr>
      <w:r>
        <w:tab/>
        <w:t>(a)</w:t>
      </w:r>
      <w:r>
        <w:tab/>
      </w:r>
      <w:r w:rsidR="00E300D2" w:rsidRPr="00A058B6">
        <w:t xml:space="preserve">the clause of </w:t>
      </w:r>
      <w:r w:rsidR="006211C7">
        <w:t>Part 3</w:t>
      </w:r>
      <w:r w:rsidR="00E300D2" w:rsidRPr="00A058B6">
        <w:t xml:space="preserve"> of this Schedule</w:t>
      </w:r>
      <w:r>
        <w:t>; or</w:t>
      </w:r>
    </w:p>
    <w:p w14:paraId="75AA6FD9" w14:textId="77777777" w:rsidR="000F3381" w:rsidRPr="006D63D3" w:rsidRDefault="000F3381" w:rsidP="000F3381">
      <w:pPr>
        <w:pStyle w:val="paragraph"/>
      </w:pPr>
      <w:r w:rsidRPr="006D63D3">
        <w:tab/>
        <w:t>(b)</w:t>
      </w:r>
      <w:r w:rsidRPr="006D63D3">
        <w:tab/>
        <w:t xml:space="preserve">the clause of </w:t>
      </w:r>
      <w:r w:rsidR="006211C7">
        <w:t>Schedule </w:t>
      </w:r>
      <w:r w:rsidR="00AD4D18">
        <w:t>5</w:t>
      </w:r>
      <w:r w:rsidRPr="006D63D3">
        <w:t xml:space="preserve"> that applies because of </w:t>
      </w:r>
      <w:r w:rsidR="00E84409">
        <w:t>Part 4</w:t>
      </w:r>
      <w:r w:rsidRPr="006D63D3">
        <w:t xml:space="preserve"> of this Schedule;</w:t>
      </w:r>
    </w:p>
    <w:p w14:paraId="2691BF55" w14:textId="77777777" w:rsidR="00E300D2" w:rsidRPr="00A058B6" w:rsidRDefault="00E300D2" w:rsidP="000F3381">
      <w:pPr>
        <w:pStyle w:val="subsection2"/>
      </w:pPr>
      <w:r w:rsidRPr="00A058B6">
        <w:t>that applies to the pension, its indexation rate (if any), guarantee period (if any) and the member spouse’s age at the end of the minimum deferral period</w:t>
      </w:r>
      <w:r w:rsidR="00D7157D">
        <w:t>.</w:t>
      </w:r>
    </w:p>
    <w:p w14:paraId="4065DCA5" w14:textId="619E42F3" w:rsidR="000F3381" w:rsidRPr="007005F4" w:rsidRDefault="000F3381" w:rsidP="000F3381">
      <w:pPr>
        <w:pStyle w:val="notetext"/>
      </w:pPr>
      <w:r>
        <w:t>Note:</w:t>
      </w:r>
      <w:r>
        <w:tab/>
        <w:t xml:space="preserve">If </w:t>
      </w:r>
      <w:r w:rsidR="00E84409">
        <w:t>Part 4</w:t>
      </w:r>
      <w:r>
        <w:t xml:space="preserve"> of this Schedule applies, then a clause in </w:t>
      </w:r>
      <w:r w:rsidR="00AB0143">
        <w:t>Part 2</w:t>
      </w:r>
      <w:r>
        <w:t xml:space="preserve"> or 3 of </w:t>
      </w:r>
      <w:r w:rsidR="006211C7">
        <w:t>Schedule </w:t>
      </w:r>
      <w:r w:rsidR="00AD4D18">
        <w:t>5</w:t>
      </w:r>
      <w:r>
        <w:t xml:space="preserve"> applies</w:t>
      </w:r>
      <w:r w:rsidR="00D7157D">
        <w:t>.</w:t>
      </w:r>
    </w:p>
    <w:p w14:paraId="1ECE8BB2" w14:textId="77777777" w:rsidR="00515666" w:rsidRDefault="00E300D2" w:rsidP="00E300D2">
      <w:pPr>
        <w:pStyle w:val="Definition"/>
      </w:pPr>
      <w:r w:rsidRPr="00A058B6">
        <w:rPr>
          <w:b/>
          <w:i/>
        </w:rPr>
        <w:t>R</w:t>
      </w:r>
      <w:r w:rsidRPr="00A058B6">
        <w:rPr>
          <w:b/>
          <w:i/>
          <w:vertAlign w:val="subscript"/>
        </w:rPr>
        <w:t>sa</w:t>
      </w:r>
      <w:r w:rsidRPr="00A058B6">
        <w:t xml:space="preserve"> </w:t>
      </w:r>
      <w:r w:rsidR="005C5848">
        <w:t>means</w:t>
      </w:r>
      <w:r w:rsidR="005C5848" w:rsidRPr="00A058B6">
        <w:t xml:space="preserve"> </w:t>
      </w:r>
      <w:r w:rsidRPr="00A058B6">
        <w:t>the reversion valuation factor mentioned in</w:t>
      </w:r>
      <w:r w:rsidR="00515666">
        <w:t>:</w:t>
      </w:r>
    </w:p>
    <w:p w14:paraId="74D1F8C3" w14:textId="77777777" w:rsidR="00515666" w:rsidRDefault="00515666" w:rsidP="00515666">
      <w:pPr>
        <w:pStyle w:val="paragraph"/>
      </w:pPr>
      <w:r>
        <w:tab/>
        <w:t>(a)</w:t>
      </w:r>
      <w:r>
        <w:tab/>
      </w:r>
      <w:r w:rsidR="00E300D2" w:rsidRPr="00A058B6">
        <w:t xml:space="preserve">the clause of </w:t>
      </w:r>
      <w:r w:rsidR="006211C7">
        <w:t>Part 3</w:t>
      </w:r>
      <w:r w:rsidR="00E300D2" w:rsidRPr="00A058B6">
        <w:t xml:space="preserve"> of this Schedule</w:t>
      </w:r>
      <w:r>
        <w:t>; or</w:t>
      </w:r>
    </w:p>
    <w:p w14:paraId="36414D85" w14:textId="77777777" w:rsidR="00515666" w:rsidRPr="006D63D3" w:rsidRDefault="00515666" w:rsidP="00515666">
      <w:pPr>
        <w:pStyle w:val="paragraph"/>
      </w:pPr>
      <w:r w:rsidRPr="006D63D3">
        <w:tab/>
        <w:t>(b)</w:t>
      </w:r>
      <w:r w:rsidRPr="006D63D3">
        <w:tab/>
        <w:t xml:space="preserve">the clause of </w:t>
      </w:r>
      <w:r w:rsidR="006211C7">
        <w:t>Schedule </w:t>
      </w:r>
      <w:r w:rsidR="00AD4D18">
        <w:t>5</w:t>
      </w:r>
      <w:r w:rsidRPr="006D63D3">
        <w:t xml:space="preserve"> that applies because of </w:t>
      </w:r>
      <w:r w:rsidR="00E84409">
        <w:t>Part 4</w:t>
      </w:r>
      <w:r w:rsidRPr="006D63D3">
        <w:t xml:space="preserve"> of this Schedule;</w:t>
      </w:r>
    </w:p>
    <w:p w14:paraId="0247CAC0" w14:textId="77777777" w:rsidR="00E300D2" w:rsidRPr="00A058B6" w:rsidRDefault="00E300D2" w:rsidP="00515666">
      <w:pPr>
        <w:pStyle w:val="subsection2"/>
      </w:pPr>
      <w:r w:rsidRPr="00A058B6">
        <w:t>that applies to the pension and the member spouse’s age in completed years at the relevant date</w:t>
      </w:r>
      <w:r w:rsidR="00D7157D">
        <w:t>.</w:t>
      </w:r>
    </w:p>
    <w:p w14:paraId="1739DCA7" w14:textId="09B10C8B" w:rsidR="00515666" w:rsidRPr="007005F4" w:rsidRDefault="00515666" w:rsidP="00515666">
      <w:pPr>
        <w:pStyle w:val="notetext"/>
      </w:pPr>
      <w:r>
        <w:t>Note:</w:t>
      </w:r>
      <w:r>
        <w:tab/>
        <w:t xml:space="preserve">If </w:t>
      </w:r>
      <w:r w:rsidR="00E84409">
        <w:t>Part 4</w:t>
      </w:r>
      <w:r>
        <w:t xml:space="preserve"> of this Schedule applies, then a clause in </w:t>
      </w:r>
      <w:r w:rsidR="00AB0143">
        <w:t>Part 2</w:t>
      </w:r>
      <w:r>
        <w:t xml:space="preserve"> or 3 of </w:t>
      </w:r>
      <w:r w:rsidR="006211C7">
        <w:t>Schedule </w:t>
      </w:r>
      <w:r w:rsidR="00AD4D18">
        <w:t>5</w:t>
      </w:r>
      <w:r>
        <w:t xml:space="preserve"> applies</w:t>
      </w:r>
      <w:r w:rsidR="00D7157D">
        <w:t>.</w:t>
      </w:r>
    </w:p>
    <w:p w14:paraId="21D2AF4A" w14:textId="1C54A198" w:rsidR="00E300D2" w:rsidRPr="00A058B6" w:rsidRDefault="00E300D2" w:rsidP="00E300D2">
      <w:pPr>
        <w:pStyle w:val="Definition"/>
      </w:pPr>
      <w:r w:rsidRPr="00A058B6">
        <w:rPr>
          <w:b/>
          <w:i/>
        </w:rPr>
        <w:t>r</w:t>
      </w:r>
      <w:r w:rsidRPr="00A058B6">
        <w:t xml:space="preserve"> </w:t>
      </w:r>
      <w:r w:rsidR="005C5848">
        <w:t>means</w:t>
      </w:r>
      <w:r w:rsidR="005C5848" w:rsidRPr="00A058B6">
        <w:t xml:space="preserve"> </w:t>
      </w:r>
      <w:r w:rsidRPr="00A058B6">
        <w:t>the proportion of the pension that a non</w:t>
      </w:r>
      <w:r w:rsidR="001952B3">
        <w:noBreakHyphen/>
      </w:r>
      <w:r w:rsidRPr="00A058B6">
        <w:t xml:space="preserve">member spouse would receive as the reversionary beneficiary of the member spouse on the death of the member spouse, as provided by the trustee under </w:t>
      </w:r>
      <w:r w:rsidR="00AF1E4E">
        <w:t>section 9</w:t>
      </w:r>
      <w:r w:rsidRPr="00A058B6">
        <w:t>0XZB or 90YZR of the Act</w:t>
      </w:r>
      <w:r w:rsidR="00D7157D">
        <w:t>.</w:t>
      </w:r>
    </w:p>
    <w:p w14:paraId="2A9B7257" w14:textId="52264FB9" w:rsidR="002A43AE" w:rsidRPr="00A058B6" w:rsidRDefault="002A43AE" w:rsidP="002A43AE">
      <w:pPr>
        <w:pStyle w:val="Definition"/>
      </w:pPr>
      <w:r w:rsidRPr="00A058B6">
        <w:rPr>
          <w:b/>
          <w:i/>
        </w:rPr>
        <w:t>D</w:t>
      </w:r>
      <w:r w:rsidRPr="00A058B6">
        <w:rPr>
          <w:b/>
          <w:i/>
          <w:vertAlign w:val="subscript"/>
        </w:rPr>
        <w:t>y+m</w:t>
      </w:r>
      <w:r w:rsidRPr="00A058B6">
        <w:t xml:space="preserve"> </w:t>
      </w:r>
      <w:r w:rsidR="005C5848">
        <w:t>means</w:t>
      </w:r>
      <w:r w:rsidR="005C5848" w:rsidRPr="00A058B6">
        <w:t xml:space="preserve"> </w:t>
      </w:r>
      <w:r w:rsidRPr="00A058B6">
        <w:t>the discount valuation factor calculated in accordance with sub</w:t>
      </w:r>
      <w:r w:rsidR="005A1165">
        <w:t>clause </w:t>
      </w:r>
      <w:r w:rsidR="00D7157D">
        <w:t>39</w:t>
      </w:r>
      <w:r w:rsidRPr="00A058B6">
        <w:t>(3) of this Schedule</w:t>
      </w:r>
      <w:r w:rsidR="00D7157D">
        <w:t>.</w:t>
      </w:r>
    </w:p>
    <w:p w14:paraId="287E3FE2" w14:textId="77777777" w:rsidR="00647C6B" w:rsidRPr="00A058B6" w:rsidRDefault="00647C6B" w:rsidP="00647C6B">
      <w:pPr>
        <w:pStyle w:val="subsection"/>
      </w:pPr>
      <w:r w:rsidRPr="00A058B6">
        <w:rPr>
          <w:color w:val="000000"/>
        </w:rPr>
        <w:tab/>
        <w:t>(3)</w:t>
      </w:r>
      <w:r w:rsidRPr="00A058B6">
        <w:rPr>
          <w:color w:val="000000"/>
        </w:rPr>
        <w:tab/>
        <w:t xml:space="preserve">For the purpose of calculating the discount valuation factor under </w:t>
      </w:r>
      <w:r w:rsidR="00B05FD6">
        <w:rPr>
          <w:color w:val="000000"/>
        </w:rPr>
        <w:t>subclause (</w:t>
      </w:r>
      <w:r w:rsidRPr="00A058B6">
        <w:rPr>
          <w:color w:val="000000"/>
        </w:rPr>
        <w:t>2):</w:t>
      </w:r>
    </w:p>
    <w:p w14:paraId="0E65977F" w14:textId="22CD58B5" w:rsidR="00647C6B" w:rsidRPr="00A058B6" w:rsidRDefault="00647C6B" w:rsidP="00647C6B">
      <w:pPr>
        <w:pStyle w:val="Definition"/>
      </w:pPr>
      <w:r w:rsidRPr="00A058B6">
        <w:rPr>
          <w:b/>
          <w:i/>
          <w:color w:val="000000"/>
        </w:rPr>
        <w:t>minimum deferral period</w:t>
      </w:r>
      <w:r w:rsidRPr="00A058B6">
        <w:rPr>
          <w:color w:val="000000"/>
        </w:rPr>
        <w:t xml:space="preserve"> has the meaning given by sub</w:t>
      </w:r>
      <w:r w:rsidR="005A1165">
        <w:rPr>
          <w:color w:val="000000"/>
        </w:rPr>
        <w:t>clause </w:t>
      </w:r>
      <w:r w:rsidR="00D7157D">
        <w:rPr>
          <w:color w:val="000000"/>
        </w:rPr>
        <w:t>39</w:t>
      </w:r>
      <w:r w:rsidRPr="00A058B6">
        <w:rPr>
          <w:color w:val="000000"/>
        </w:rPr>
        <w:t>(4)</w:t>
      </w:r>
      <w:r w:rsidR="00D7157D">
        <w:rPr>
          <w:color w:val="000000"/>
        </w:rPr>
        <w:t>.</w:t>
      </w:r>
    </w:p>
    <w:p w14:paraId="6A71A72B" w14:textId="3AD0CBD4" w:rsidR="00647C6B" w:rsidRPr="00A058B6" w:rsidRDefault="00647C6B" w:rsidP="00647C6B">
      <w:pPr>
        <w:pStyle w:val="Definition"/>
      </w:pPr>
      <w:r w:rsidRPr="00A058B6">
        <w:rPr>
          <w:b/>
          <w:i/>
        </w:rPr>
        <w:t>nominal value</w:t>
      </w:r>
      <w:r w:rsidRPr="00A058B6">
        <w:t xml:space="preserve"> has the meaning given by sub</w:t>
      </w:r>
      <w:r w:rsidR="005A1165">
        <w:t>clause </w:t>
      </w:r>
      <w:r w:rsidR="00D7157D">
        <w:t>39</w:t>
      </w:r>
      <w:r w:rsidRPr="00A058B6">
        <w:t>(4)</w:t>
      </w:r>
      <w:r w:rsidR="00D7157D">
        <w:t>.</w:t>
      </w:r>
    </w:p>
    <w:p w14:paraId="25271A21" w14:textId="77777777" w:rsidR="00647C6B" w:rsidRPr="00A058B6" w:rsidRDefault="00B05FD6" w:rsidP="00647C6B">
      <w:pPr>
        <w:pStyle w:val="ActHead2"/>
        <w:pageBreakBefore/>
      </w:pPr>
      <w:bookmarkStart w:id="287" w:name="_Toc188350765"/>
      <w:r w:rsidRPr="00423C34">
        <w:rPr>
          <w:rStyle w:val="CharPartNo"/>
        </w:rPr>
        <w:t>Part </w:t>
      </w:r>
      <w:r w:rsidR="00F0233C" w:rsidRPr="00423C34">
        <w:rPr>
          <w:rStyle w:val="CharPartNo"/>
        </w:rPr>
        <w:t>8</w:t>
      </w:r>
      <w:r w:rsidR="00647C6B" w:rsidRPr="00A058B6">
        <w:t>—</w:t>
      </w:r>
      <w:r w:rsidR="00647C6B" w:rsidRPr="00423C34">
        <w:rPr>
          <w:rStyle w:val="CharPartText"/>
        </w:rPr>
        <w:t>Interest relating to former employment—benefit payable as combination of lump sum and pension</w:t>
      </w:r>
      <w:bookmarkEnd w:id="287"/>
    </w:p>
    <w:p w14:paraId="682220FA" w14:textId="77777777" w:rsidR="00B66A02" w:rsidRPr="00423C34" w:rsidRDefault="00B66A02" w:rsidP="00B66A02">
      <w:pPr>
        <w:pStyle w:val="Header"/>
      </w:pPr>
      <w:r w:rsidRPr="00423C34">
        <w:rPr>
          <w:rStyle w:val="CharDivNo"/>
        </w:rPr>
        <w:t xml:space="preserve"> </w:t>
      </w:r>
      <w:r w:rsidRPr="00423C34">
        <w:rPr>
          <w:rStyle w:val="CharDivText"/>
        </w:rPr>
        <w:t xml:space="preserve"> </w:t>
      </w:r>
    </w:p>
    <w:p w14:paraId="0058117B" w14:textId="77286711" w:rsidR="00647C6B" w:rsidRPr="00A058B6" w:rsidRDefault="00D7157D" w:rsidP="00647C6B">
      <w:pPr>
        <w:pStyle w:val="ActHead5"/>
      </w:pPr>
      <w:bookmarkStart w:id="288" w:name="_Toc188350766"/>
      <w:r w:rsidRPr="00423C34">
        <w:rPr>
          <w:rStyle w:val="CharSectno"/>
        </w:rPr>
        <w:t>45</w:t>
      </w:r>
      <w:r w:rsidR="00647C6B" w:rsidRPr="00A058B6">
        <w:t xml:space="preserve">  Method—no restriction on combination of lump sum and pension that may be taken</w:t>
      </w:r>
      <w:bookmarkEnd w:id="288"/>
    </w:p>
    <w:p w14:paraId="4DA35C6C" w14:textId="77777777" w:rsidR="00647C6B" w:rsidRPr="00A058B6" w:rsidRDefault="00647C6B" w:rsidP="00647C6B">
      <w:pPr>
        <w:pStyle w:val="subsection"/>
      </w:pPr>
      <w:r w:rsidRPr="00A058B6">
        <w:rPr>
          <w:color w:val="000000"/>
        </w:rPr>
        <w:tab/>
        <w:t>(1)</w:t>
      </w:r>
      <w:r w:rsidRPr="00A058B6">
        <w:rPr>
          <w:color w:val="000000"/>
        </w:rPr>
        <w:tab/>
        <w:t>This clause applies if there is no provision in the governing rules of the eligible superannuation plan in which the interest is held restricting the proportion of the interest that may be taken as a lump sum or as a pension</w:t>
      </w:r>
      <w:r w:rsidR="00D7157D">
        <w:rPr>
          <w:color w:val="000000"/>
        </w:rPr>
        <w:t>.</w:t>
      </w:r>
    </w:p>
    <w:p w14:paraId="0F1D72AE" w14:textId="77777777" w:rsidR="00647C6B" w:rsidRPr="00A058B6" w:rsidRDefault="00647C6B" w:rsidP="00647C6B">
      <w:pPr>
        <w:pStyle w:val="subsection"/>
        <w:rPr>
          <w:color w:val="000000"/>
        </w:rPr>
      </w:pPr>
      <w:r w:rsidRPr="00A058B6">
        <w:rPr>
          <w:color w:val="000000"/>
        </w:rPr>
        <w:tab/>
        <w:t>(2)</w:t>
      </w:r>
      <w:r w:rsidRPr="00A058B6">
        <w:rPr>
          <w:color w:val="000000"/>
        </w:rPr>
        <w:tab/>
        <w:t>The method is:</w:t>
      </w:r>
    </w:p>
    <w:p w14:paraId="77C53E19" w14:textId="7DA6BB1A" w:rsidR="00647C6B" w:rsidRPr="00A058B6" w:rsidRDefault="00070E6A" w:rsidP="00647C6B">
      <w:pPr>
        <w:pStyle w:val="subsection2"/>
      </w:pPr>
      <w:r w:rsidRPr="00960D7D">
        <w:rPr>
          <w:position w:val="-24"/>
        </w:rPr>
        <w:object w:dxaOrig="2760" w:dyaOrig="700" w14:anchorId="46069985">
          <v:shape id="_x0000_i1075" type="#_x0000_t75" alt="Start formula open bracket 75 per cent times PV subscript ls close bracket plus open bracket 25 per cent times PV subscript p close bracket end formula" style="width:138.5pt;height:34.85pt" o:ole="">
            <v:imagedata r:id="rId136" o:title=""/>
          </v:shape>
          <o:OLEObject Type="Embed" ProgID="Equation.DSMT4" ShapeID="_x0000_i1075" DrawAspect="Content" ObjectID="_1801634304" r:id="rId137"/>
        </w:object>
      </w:r>
    </w:p>
    <w:p w14:paraId="64EC2A75" w14:textId="77777777" w:rsidR="00647C6B" w:rsidRPr="00A058B6" w:rsidRDefault="00647C6B" w:rsidP="00647C6B">
      <w:pPr>
        <w:pStyle w:val="subsection2"/>
      </w:pPr>
      <w:r w:rsidRPr="00A058B6">
        <w:rPr>
          <w:color w:val="000000"/>
        </w:rPr>
        <w:t>where:</w:t>
      </w:r>
    </w:p>
    <w:p w14:paraId="5325C190" w14:textId="77777777" w:rsidR="00647C6B" w:rsidRPr="00A058B6" w:rsidRDefault="00647C6B" w:rsidP="00647C6B">
      <w:pPr>
        <w:pStyle w:val="Definition"/>
      </w:pPr>
      <w:r w:rsidRPr="00A058B6">
        <w:rPr>
          <w:b/>
          <w:bCs/>
          <w:i/>
          <w:iCs/>
          <w:color w:val="000000"/>
        </w:rPr>
        <w:t>PV</w:t>
      </w:r>
      <w:r w:rsidRPr="00A058B6">
        <w:rPr>
          <w:b/>
          <w:bCs/>
          <w:i/>
          <w:iCs/>
          <w:color w:val="000000"/>
          <w:vertAlign w:val="subscript"/>
        </w:rPr>
        <w:t>ls</w:t>
      </w:r>
      <w:r w:rsidRPr="00A058B6">
        <w:rPr>
          <w:color w:val="000000"/>
        </w:rPr>
        <w:t xml:space="preserve"> </w:t>
      </w:r>
      <w:r w:rsidR="005C5848">
        <w:t>means</w:t>
      </w:r>
      <w:r w:rsidR="005C5848" w:rsidRPr="00A058B6">
        <w:t xml:space="preserve"> </w:t>
      </w:r>
      <w:r w:rsidRPr="00A058B6">
        <w:rPr>
          <w:color w:val="000000"/>
        </w:rPr>
        <w:t xml:space="preserve">the present value of the lump sum that would apply if the whole benefit were to be taken as a lump sum, calculated using the method set out in </w:t>
      </w:r>
      <w:r w:rsidR="00E5077D" w:rsidRPr="00A058B6">
        <w:rPr>
          <w:color w:val="000000"/>
        </w:rPr>
        <w:t>Part </w:t>
      </w:r>
      <w:r w:rsidR="00B64D57">
        <w:rPr>
          <w:color w:val="000000"/>
        </w:rPr>
        <w:t>6</w:t>
      </w:r>
      <w:r w:rsidRPr="00A058B6">
        <w:rPr>
          <w:color w:val="000000"/>
        </w:rPr>
        <w:t xml:space="preserve"> of this Schedule</w:t>
      </w:r>
      <w:r w:rsidR="00D7157D">
        <w:rPr>
          <w:color w:val="000000"/>
        </w:rPr>
        <w:t>.</w:t>
      </w:r>
    </w:p>
    <w:p w14:paraId="6A7FA334" w14:textId="4DF8A254" w:rsidR="00647C6B" w:rsidRPr="00A058B6" w:rsidRDefault="00647C6B" w:rsidP="00647C6B">
      <w:pPr>
        <w:pStyle w:val="Definition"/>
      </w:pPr>
      <w:r w:rsidRPr="00A058B6">
        <w:rPr>
          <w:b/>
          <w:bCs/>
          <w:i/>
          <w:iCs/>
        </w:rPr>
        <w:t>PV</w:t>
      </w:r>
      <w:r w:rsidRPr="00A058B6">
        <w:rPr>
          <w:b/>
          <w:bCs/>
          <w:i/>
          <w:iCs/>
          <w:vertAlign w:val="subscript"/>
        </w:rPr>
        <w:t>p</w:t>
      </w:r>
      <w:r w:rsidRPr="00A058B6">
        <w:t xml:space="preserve"> </w:t>
      </w:r>
      <w:r w:rsidR="005C5848">
        <w:t>means</w:t>
      </w:r>
      <w:r w:rsidR="005C5848" w:rsidRPr="00A058B6">
        <w:t xml:space="preserve"> </w:t>
      </w:r>
      <w:r w:rsidRPr="00A058B6">
        <w:t xml:space="preserve">the present value of the pension that would apply if the whole benefit were to be taken as a pension, calculated using the method set out in </w:t>
      </w:r>
      <w:r w:rsidR="00453C86">
        <w:t>Part 7</w:t>
      </w:r>
      <w:r w:rsidRPr="00A058B6">
        <w:t xml:space="preserve"> of this Schedule</w:t>
      </w:r>
      <w:r w:rsidR="00D7157D">
        <w:t>.</w:t>
      </w:r>
    </w:p>
    <w:p w14:paraId="3DA4DF54" w14:textId="7479EFC4" w:rsidR="00647C6B" w:rsidRPr="00A058B6" w:rsidRDefault="00D7157D" w:rsidP="00647C6B">
      <w:pPr>
        <w:pStyle w:val="ActHead5"/>
      </w:pPr>
      <w:bookmarkStart w:id="289" w:name="_Toc188350767"/>
      <w:r w:rsidRPr="00423C34">
        <w:rPr>
          <w:rStyle w:val="CharSectno"/>
        </w:rPr>
        <w:t>46</w:t>
      </w:r>
      <w:r w:rsidR="00647C6B" w:rsidRPr="00A058B6">
        <w:t xml:space="preserve">  Method—restriction on proportion of pension that may be commuted to lump sum</w:t>
      </w:r>
      <w:bookmarkEnd w:id="289"/>
    </w:p>
    <w:p w14:paraId="79186065" w14:textId="77777777" w:rsidR="00647C6B" w:rsidRPr="00A058B6" w:rsidRDefault="00647C6B" w:rsidP="00647C6B">
      <w:pPr>
        <w:pStyle w:val="subsection"/>
      </w:pPr>
      <w:r w:rsidRPr="00A058B6">
        <w:rPr>
          <w:color w:val="000000"/>
        </w:rPr>
        <w:tab/>
        <w:t>(1)</w:t>
      </w:r>
      <w:r w:rsidRPr="00A058B6">
        <w:rPr>
          <w:color w:val="000000"/>
        </w:rPr>
        <w:tab/>
        <w:t>This clause applies if:</w:t>
      </w:r>
    </w:p>
    <w:p w14:paraId="3736FC73" w14:textId="77777777" w:rsidR="00647C6B" w:rsidRPr="00A058B6" w:rsidRDefault="00647C6B" w:rsidP="00647C6B">
      <w:pPr>
        <w:pStyle w:val="paragraph"/>
      </w:pPr>
      <w:r w:rsidRPr="00A058B6">
        <w:rPr>
          <w:color w:val="000000"/>
        </w:rPr>
        <w:tab/>
        <w:t>(a)</w:t>
      </w:r>
      <w:r w:rsidRPr="00A058B6">
        <w:rPr>
          <w:color w:val="000000"/>
        </w:rPr>
        <w:tab/>
        <w:t>the benefit in respect of the interest is payable as a pension; and</w:t>
      </w:r>
    </w:p>
    <w:p w14:paraId="537FA80F" w14:textId="77777777" w:rsidR="00647C6B" w:rsidRPr="00A058B6" w:rsidRDefault="00647C6B" w:rsidP="00647C6B">
      <w:pPr>
        <w:pStyle w:val="paragraph"/>
      </w:pPr>
      <w:r w:rsidRPr="00A058B6">
        <w:tab/>
        <w:t>(b)</w:t>
      </w:r>
      <w:r w:rsidRPr="00A058B6">
        <w:tab/>
        <w:t>the governing rules of the eligible superannuation plan in which the interest is held restrict the proportion of the pension that may be commuted to a lump sum</w:t>
      </w:r>
      <w:r w:rsidR="00D7157D">
        <w:t>.</w:t>
      </w:r>
    </w:p>
    <w:p w14:paraId="635F30F2" w14:textId="77777777" w:rsidR="00647C6B" w:rsidRDefault="00647C6B" w:rsidP="00647C6B">
      <w:pPr>
        <w:pStyle w:val="subsection"/>
        <w:rPr>
          <w:color w:val="000000"/>
        </w:rPr>
      </w:pPr>
      <w:r w:rsidRPr="00A058B6">
        <w:rPr>
          <w:color w:val="000000"/>
        </w:rPr>
        <w:tab/>
        <w:t>(2)</w:t>
      </w:r>
      <w:r w:rsidRPr="00A058B6">
        <w:rPr>
          <w:color w:val="000000"/>
        </w:rPr>
        <w:tab/>
        <w:t>The method is:</w:t>
      </w:r>
    </w:p>
    <w:p w14:paraId="55E5AA86" w14:textId="57335ACE" w:rsidR="00676CFB" w:rsidRPr="00A058B6" w:rsidRDefault="00070E6A" w:rsidP="00676CFB">
      <w:pPr>
        <w:pStyle w:val="subsection2"/>
      </w:pPr>
      <w:r w:rsidRPr="00AC4B5F">
        <w:rPr>
          <w:position w:val="-26"/>
        </w:rPr>
        <w:object w:dxaOrig="3820" w:dyaOrig="720" w14:anchorId="063C5D76">
          <v:shape id="_x0000_i1076" type="#_x0000_t75" alt="Start formula open bracket Max subscript ls subscript per cent times PV subscript ls close bracket plus open bracket open bracket 1 minus Max subscript ls subscript per cent close bracket times PV subscript p close bracket end formula" style="width:189.85pt;height:37.15pt" o:ole="">
            <v:imagedata r:id="rId138" o:title=""/>
          </v:shape>
          <o:OLEObject Type="Embed" ProgID="Equation.DSMT4" ShapeID="_x0000_i1076" DrawAspect="Content" ObjectID="_1801634305" r:id="rId139"/>
        </w:object>
      </w:r>
    </w:p>
    <w:p w14:paraId="66CBC51F" w14:textId="77777777" w:rsidR="00647C6B" w:rsidRPr="00A058B6" w:rsidRDefault="00647C6B" w:rsidP="00647C6B">
      <w:pPr>
        <w:pStyle w:val="subsection2"/>
      </w:pPr>
      <w:r w:rsidRPr="00A058B6">
        <w:rPr>
          <w:color w:val="000000"/>
        </w:rPr>
        <w:t>where:</w:t>
      </w:r>
    </w:p>
    <w:p w14:paraId="32562C6D" w14:textId="77777777" w:rsidR="00647C6B" w:rsidRPr="00A058B6" w:rsidRDefault="00647C6B" w:rsidP="00647C6B">
      <w:pPr>
        <w:pStyle w:val="Definition"/>
      </w:pPr>
      <w:r w:rsidRPr="00A058B6">
        <w:rPr>
          <w:b/>
          <w:i/>
          <w:color w:val="000000"/>
        </w:rPr>
        <w:t>Max</w:t>
      </w:r>
      <w:r w:rsidRPr="00A058B6">
        <w:rPr>
          <w:b/>
          <w:i/>
          <w:color w:val="000000"/>
          <w:vertAlign w:val="subscript"/>
        </w:rPr>
        <w:t>ls%</w:t>
      </w:r>
      <w:r w:rsidRPr="000D2CBD">
        <w:rPr>
          <w:color w:val="000000"/>
        </w:rPr>
        <w:t xml:space="preserve"> </w:t>
      </w:r>
      <w:r w:rsidR="005C5848">
        <w:t>means</w:t>
      </w:r>
      <w:r w:rsidRPr="00A058B6">
        <w:rPr>
          <w:color w:val="000000"/>
        </w:rPr>
        <w:t>:</w:t>
      </w:r>
    </w:p>
    <w:p w14:paraId="2EF3163C" w14:textId="77777777" w:rsidR="00647C6B" w:rsidRPr="00A058B6" w:rsidRDefault="00647C6B" w:rsidP="00647C6B">
      <w:pPr>
        <w:pStyle w:val="paragraph"/>
      </w:pPr>
      <w:r w:rsidRPr="00A058B6">
        <w:rPr>
          <w:color w:val="000000"/>
        </w:rPr>
        <w:tab/>
        <w:t>(a)</w:t>
      </w:r>
      <w:r w:rsidRPr="00A058B6">
        <w:rPr>
          <w:color w:val="000000"/>
        </w:rPr>
        <w:tab/>
        <w:t>the maximum amount of pension that, at the end of the minimum deferral period, may be commuted to a lump sum expressed as a percentage of the amount of the pension that would be payable if the whole benefit were to be taken as a pension; or</w:t>
      </w:r>
    </w:p>
    <w:p w14:paraId="3EA8BDF5" w14:textId="68FEA018" w:rsidR="00647C6B" w:rsidRPr="00A058B6" w:rsidRDefault="00647C6B" w:rsidP="00647C6B">
      <w:pPr>
        <w:pStyle w:val="paragraph"/>
      </w:pPr>
      <w:r w:rsidRPr="00A058B6">
        <w:tab/>
        <w:t>(b)</w:t>
      </w:r>
      <w:r w:rsidRPr="00A058B6">
        <w:tab/>
        <w:t xml:space="preserve">if the percentage calculated under </w:t>
      </w:r>
      <w:r w:rsidR="00453C86">
        <w:t>paragraph (</w:t>
      </w:r>
      <w:r w:rsidRPr="00A058B6">
        <w:t>a) is greater than 25%—25%</w:t>
      </w:r>
      <w:r w:rsidR="00D7157D">
        <w:t>.</w:t>
      </w:r>
    </w:p>
    <w:p w14:paraId="6A8C48C0" w14:textId="77777777" w:rsidR="00647C6B" w:rsidRPr="00A058B6" w:rsidRDefault="00647C6B" w:rsidP="00647C6B">
      <w:pPr>
        <w:pStyle w:val="Definition"/>
      </w:pPr>
      <w:r w:rsidRPr="00A058B6">
        <w:rPr>
          <w:b/>
          <w:bCs/>
          <w:i/>
          <w:iCs/>
          <w:color w:val="000000"/>
        </w:rPr>
        <w:t>PV</w:t>
      </w:r>
      <w:r w:rsidRPr="00A058B6">
        <w:rPr>
          <w:b/>
          <w:bCs/>
          <w:i/>
          <w:iCs/>
          <w:color w:val="000000"/>
          <w:vertAlign w:val="subscript"/>
        </w:rPr>
        <w:t>ls</w:t>
      </w:r>
      <w:r w:rsidRPr="00A058B6">
        <w:rPr>
          <w:color w:val="000000"/>
        </w:rPr>
        <w:t xml:space="preserve"> </w:t>
      </w:r>
      <w:r w:rsidR="005C5848">
        <w:t>means</w:t>
      </w:r>
      <w:r w:rsidR="005C5848" w:rsidRPr="00A058B6">
        <w:t xml:space="preserve"> </w:t>
      </w:r>
      <w:r w:rsidRPr="00A058B6">
        <w:rPr>
          <w:color w:val="000000"/>
        </w:rPr>
        <w:t xml:space="preserve">the present value of the lump sum that would apply if the whole benefit were to be taken as a lump sum, calculated using the method set out in </w:t>
      </w:r>
      <w:r w:rsidR="00E5077D" w:rsidRPr="00A058B6">
        <w:rPr>
          <w:color w:val="000000"/>
        </w:rPr>
        <w:t>Part </w:t>
      </w:r>
      <w:r w:rsidR="00B64D57">
        <w:rPr>
          <w:color w:val="000000"/>
        </w:rPr>
        <w:t>6</w:t>
      </w:r>
      <w:r w:rsidRPr="00A058B6">
        <w:rPr>
          <w:color w:val="000000"/>
        </w:rPr>
        <w:t xml:space="preserve"> of this Schedule</w:t>
      </w:r>
      <w:r w:rsidR="00D7157D">
        <w:rPr>
          <w:color w:val="000000"/>
        </w:rPr>
        <w:t>.</w:t>
      </w:r>
    </w:p>
    <w:p w14:paraId="22CFEB68" w14:textId="62D173D0" w:rsidR="00647C6B" w:rsidRPr="00A058B6" w:rsidRDefault="00647C6B" w:rsidP="00647C6B">
      <w:pPr>
        <w:pStyle w:val="Definition"/>
      </w:pPr>
      <w:r w:rsidRPr="00A058B6">
        <w:rPr>
          <w:b/>
          <w:bCs/>
          <w:i/>
          <w:iCs/>
        </w:rPr>
        <w:t>PV</w:t>
      </w:r>
      <w:r w:rsidRPr="00A058B6">
        <w:rPr>
          <w:b/>
          <w:bCs/>
          <w:i/>
          <w:iCs/>
          <w:vertAlign w:val="subscript"/>
        </w:rPr>
        <w:t>p</w:t>
      </w:r>
      <w:r w:rsidRPr="00A058B6">
        <w:t xml:space="preserve"> </w:t>
      </w:r>
      <w:r w:rsidR="005C5848">
        <w:t>means</w:t>
      </w:r>
      <w:r w:rsidR="005C5848" w:rsidRPr="00A058B6">
        <w:t xml:space="preserve"> </w:t>
      </w:r>
      <w:r w:rsidRPr="00A058B6">
        <w:t xml:space="preserve">the present value of the pension that would apply if the whole benefit were to be taken as a pension, calculated using the method set out in </w:t>
      </w:r>
      <w:r w:rsidR="00453C86">
        <w:t>Part 7</w:t>
      </w:r>
      <w:r w:rsidRPr="00A058B6">
        <w:t xml:space="preserve"> of this Schedule</w:t>
      </w:r>
      <w:r w:rsidR="00D7157D">
        <w:t>.</w:t>
      </w:r>
    </w:p>
    <w:p w14:paraId="1D86BFB6" w14:textId="77777777" w:rsidR="00647C6B" w:rsidRPr="00A058B6" w:rsidRDefault="00647C6B" w:rsidP="00647C6B">
      <w:pPr>
        <w:pStyle w:val="subsection"/>
      </w:pPr>
      <w:r w:rsidRPr="00A058B6">
        <w:rPr>
          <w:color w:val="000000"/>
        </w:rPr>
        <w:tab/>
        <w:t>(3)</w:t>
      </w:r>
      <w:r w:rsidRPr="00A058B6">
        <w:rPr>
          <w:color w:val="000000"/>
        </w:rPr>
        <w:tab/>
        <w:t>In this clause:</w:t>
      </w:r>
    </w:p>
    <w:p w14:paraId="5575752B" w14:textId="2005903A" w:rsidR="00647C6B" w:rsidRPr="00A058B6" w:rsidRDefault="00647C6B" w:rsidP="00647C6B">
      <w:pPr>
        <w:pStyle w:val="Definition"/>
      </w:pPr>
      <w:r w:rsidRPr="00A058B6">
        <w:rPr>
          <w:b/>
          <w:i/>
          <w:color w:val="000000"/>
        </w:rPr>
        <w:t>minimum deferral period</w:t>
      </w:r>
      <w:r w:rsidRPr="00A058B6">
        <w:rPr>
          <w:color w:val="000000"/>
        </w:rPr>
        <w:t xml:space="preserve"> has the meaning given by sub</w:t>
      </w:r>
      <w:r w:rsidR="005A1165">
        <w:rPr>
          <w:color w:val="000000"/>
        </w:rPr>
        <w:t>clause </w:t>
      </w:r>
      <w:r w:rsidR="00D7157D">
        <w:rPr>
          <w:color w:val="000000"/>
        </w:rPr>
        <w:t>39</w:t>
      </w:r>
      <w:r w:rsidRPr="00A058B6">
        <w:rPr>
          <w:color w:val="000000"/>
        </w:rPr>
        <w:t>(4) of this Schedule</w:t>
      </w:r>
      <w:r w:rsidR="00D7157D">
        <w:rPr>
          <w:color w:val="000000"/>
        </w:rPr>
        <w:t>.</w:t>
      </w:r>
    </w:p>
    <w:p w14:paraId="161CDA79" w14:textId="107ABC7E" w:rsidR="00647C6B" w:rsidRPr="00A058B6" w:rsidRDefault="00D7157D" w:rsidP="00647C6B">
      <w:pPr>
        <w:pStyle w:val="ActHead5"/>
      </w:pPr>
      <w:bookmarkStart w:id="290" w:name="_Toc188350768"/>
      <w:r w:rsidRPr="00423C34">
        <w:rPr>
          <w:rStyle w:val="CharSectno"/>
        </w:rPr>
        <w:t>47</w:t>
      </w:r>
      <w:r w:rsidR="00647C6B" w:rsidRPr="00A058B6">
        <w:t xml:space="preserve">  Method—restriction on lump sum amount that may be taken as pension</w:t>
      </w:r>
      <w:bookmarkEnd w:id="290"/>
    </w:p>
    <w:p w14:paraId="6BF6245A" w14:textId="77777777" w:rsidR="00647C6B" w:rsidRPr="00A058B6" w:rsidRDefault="00647C6B" w:rsidP="00647C6B">
      <w:pPr>
        <w:pStyle w:val="subsection"/>
      </w:pPr>
      <w:r w:rsidRPr="00A058B6">
        <w:rPr>
          <w:color w:val="000000"/>
        </w:rPr>
        <w:tab/>
        <w:t>(1)</w:t>
      </w:r>
      <w:r w:rsidRPr="00A058B6">
        <w:rPr>
          <w:color w:val="000000"/>
        </w:rPr>
        <w:tab/>
        <w:t>This clause applies if:</w:t>
      </w:r>
    </w:p>
    <w:p w14:paraId="5CDD8D13" w14:textId="77777777" w:rsidR="00647C6B" w:rsidRPr="00A058B6" w:rsidRDefault="00647C6B" w:rsidP="00647C6B">
      <w:pPr>
        <w:pStyle w:val="paragraph"/>
      </w:pPr>
      <w:r w:rsidRPr="00A058B6">
        <w:rPr>
          <w:color w:val="000000"/>
        </w:rPr>
        <w:tab/>
        <w:t>(a)</w:t>
      </w:r>
      <w:r w:rsidRPr="00A058B6">
        <w:rPr>
          <w:color w:val="000000"/>
        </w:rPr>
        <w:tab/>
        <w:t>the benefit in respect of the interest is payable as a lump sum; and</w:t>
      </w:r>
    </w:p>
    <w:p w14:paraId="3A79FFD3" w14:textId="77777777" w:rsidR="00647C6B" w:rsidRPr="00A058B6" w:rsidRDefault="00647C6B" w:rsidP="00647C6B">
      <w:pPr>
        <w:pStyle w:val="paragraph"/>
      </w:pPr>
      <w:r w:rsidRPr="00A058B6">
        <w:tab/>
        <w:t>(b)</w:t>
      </w:r>
      <w:r w:rsidRPr="00A058B6">
        <w:tab/>
        <w:t>the governing rules of the eligible superannuation plan in which the interest is held restrict the amount of the lump sum that may be taken as a pension</w:t>
      </w:r>
      <w:r w:rsidR="00D7157D">
        <w:t>.</w:t>
      </w:r>
    </w:p>
    <w:p w14:paraId="75580708" w14:textId="77777777" w:rsidR="00647C6B" w:rsidRDefault="00647C6B" w:rsidP="00647C6B">
      <w:pPr>
        <w:pStyle w:val="subsection"/>
        <w:rPr>
          <w:color w:val="000000"/>
        </w:rPr>
      </w:pPr>
      <w:r w:rsidRPr="00A058B6">
        <w:rPr>
          <w:color w:val="000000"/>
        </w:rPr>
        <w:tab/>
        <w:t>(2)</w:t>
      </w:r>
      <w:r w:rsidRPr="00A058B6">
        <w:rPr>
          <w:color w:val="000000"/>
        </w:rPr>
        <w:tab/>
        <w:t>The method is:</w:t>
      </w:r>
    </w:p>
    <w:p w14:paraId="4D12C5C0" w14:textId="5BDBA99E" w:rsidR="003266F9" w:rsidRPr="00A058B6" w:rsidRDefault="00EF5FF0" w:rsidP="003266F9">
      <w:pPr>
        <w:pStyle w:val="subsection2"/>
      </w:pPr>
      <w:r w:rsidRPr="00F21CFB">
        <w:rPr>
          <w:position w:val="-26"/>
        </w:rPr>
        <w:object w:dxaOrig="3820" w:dyaOrig="720" w14:anchorId="54DA18AF">
          <v:shape id="_x0000_i1077" type="#_x0000_t75" alt="Start formula open bracket open bracket 1 minus Max subscript p subscript per cent close bracket times PV subscript ls close bracket plus open bracket Max subscript p subscript per cent plus PV subscript p close bracket end formula" style="width:189.85pt;height:34.85pt" o:ole="">
            <v:imagedata r:id="rId140" o:title=""/>
          </v:shape>
          <o:OLEObject Type="Embed" ProgID="Equation.DSMT4" ShapeID="_x0000_i1077" DrawAspect="Content" ObjectID="_1801634306" r:id="rId141"/>
        </w:object>
      </w:r>
    </w:p>
    <w:p w14:paraId="64393CBA" w14:textId="77777777" w:rsidR="00647C6B" w:rsidRPr="00A058B6" w:rsidRDefault="00647C6B" w:rsidP="00647C6B">
      <w:pPr>
        <w:pStyle w:val="subsection2"/>
      </w:pPr>
      <w:r w:rsidRPr="00A058B6">
        <w:rPr>
          <w:color w:val="000000"/>
        </w:rPr>
        <w:t>where:</w:t>
      </w:r>
    </w:p>
    <w:p w14:paraId="02DB8D95" w14:textId="77777777" w:rsidR="00647C6B" w:rsidRPr="00A058B6" w:rsidRDefault="00647C6B" w:rsidP="00647C6B">
      <w:pPr>
        <w:pStyle w:val="Definition"/>
      </w:pPr>
      <w:r w:rsidRPr="00A058B6">
        <w:rPr>
          <w:b/>
          <w:i/>
          <w:color w:val="000000"/>
        </w:rPr>
        <w:t>Max</w:t>
      </w:r>
      <w:r w:rsidRPr="00A058B6">
        <w:rPr>
          <w:b/>
          <w:i/>
          <w:color w:val="000000"/>
          <w:vertAlign w:val="subscript"/>
        </w:rPr>
        <w:t>p%</w:t>
      </w:r>
      <w:r w:rsidRPr="00F21CFB">
        <w:rPr>
          <w:color w:val="000000"/>
        </w:rPr>
        <w:t xml:space="preserve"> </w:t>
      </w:r>
      <w:r w:rsidR="005C5848">
        <w:t>means</w:t>
      </w:r>
      <w:r w:rsidRPr="00A058B6">
        <w:rPr>
          <w:color w:val="000000"/>
        </w:rPr>
        <w:t>:</w:t>
      </w:r>
    </w:p>
    <w:p w14:paraId="3BD330B8" w14:textId="77777777" w:rsidR="00647C6B" w:rsidRPr="00A058B6" w:rsidRDefault="00647C6B" w:rsidP="00647C6B">
      <w:pPr>
        <w:pStyle w:val="paragraph"/>
      </w:pPr>
      <w:r w:rsidRPr="00A058B6">
        <w:rPr>
          <w:color w:val="000000"/>
        </w:rPr>
        <w:tab/>
        <w:t>(a)</w:t>
      </w:r>
      <w:r w:rsidRPr="00A058B6">
        <w:rPr>
          <w:color w:val="000000"/>
        </w:rPr>
        <w:tab/>
        <w:t>the maximum possible amount of lump sum that, at the end of the minimum deferral period, may be converted to a pension expressed as a percentage of the lump sum that would be payable if the whole benefit were to be taken as a lump sum; or</w:t>
      </w:r>
    </w:p>
    <w:p w14:paraId="3000E767" w14:textId="2DC8617A" w:rsidR="00647C6B" w:rsidRPr="00A058B6" w:rsidRDefault="00647C6B" w:rsidP="00647C6B">
      <w:pPr>
        <w:pStyle w:val="paragraph"/>
      </w:pPr>
      <w:r w:rsidRPr="00A058B6">
        <w:tab/>
        <w:t>(b)</w:t>
      </w:r>
      <w:r w:rsidRPr="00A058B6">
        <w:tab/>
        <w:t xml:space="preserve">if the percentage calculated under </w:t>
      </w:r>
      <w:r w:rsidR="00453C86">
        <w:t>paragraph (</w:t>
      </w:r>
      <w:r w:rsidRPr="00A058B6">
        <w:t>a) is greater than 75%—75%</w:t>
      </w:r>
      <w:r w:rsidR="00D7157D">
        <w:t>.</w:t>
      </w:r>
    </w:p>
    <w:p w14:paraId="2DBA1BC2" w14:textId="77777777" w:rsidR="00647C6B" w:rsidRPr="00A058B6" w:rsidRDefault="00647C6B" w:rsidP="00647C6B">
      <w:pPr>
        <w:pStyle w:val="Definition"/>
      </w:pPr>
      <w:r w:rsidRPr="00A058B6">
        <w:rPr>
          <w:b/>
          <w:bCs/>
          <w:i/>
          <w:iCs/>
          <w:color w:val="000000"/>
        </w:rPr>
        <w:t>PV</w:t>
      </w:r>
      <w:r w:rsidRPr="00A058B6">
        <w:rPr>
          <w:b/>
          <w:bCs/>
          <w:i/>
          <w:iCs/>
          <w:color w:val="000000"/>
          <w:vertAlign w:val="subscript"/>
        </w:rPr>
        <w:t>ls</w:t>
      </w:r>
      <w:r w:rsidRPr="00A058B6">
        <w:rPr>
          <w:color w:val="000000"/>
        </w:rPr>
        <w:t xml:space="preserve"> </w:t>
      </w:r>
      <w:r w:rsidR="005C5848">
        <w:t>means</w:t>
      </w:r>
      <w:r w:rsidR="005C5848" w:rsidRPr="00A058B6">
        <w:t xml:space="preserve"> </w:t>
      </w:r>
      <w:r w:rsidRPr="00A058B6">
        <w:rPr>
          <w:color w:val="000000"/>
        </w:rPr>
        <w:t xml:space="preserve">the present value of the lump sum that would apply if the whole benefit were to be taken as a lump sum, calculated using the method set out in </w:t>
      </w:r>
      <w:r w:rsidR="00E5077D" w:rsidRPr="00A058B6">
        <w:rPr>
          <w:color w:val="000000"/>
        </w:rPr>
        <w:t>Part </w:t>
      </w:r>
      <w:r w:rsidR="00B64D57">
        <w:rPr>
          <w:color w:val="000000"/>
        </w:rPr>
        <w:t>6</w:t>
      </w:r>
      <w:r w:rsidRPr="00A058B6">
        <w:rPr>
          <w:color w:val="000000"/>
        </w:rPr>
        <w:t xml:space="preserve"> of this Schedule</w:t>
      </w:r>
      <w:r w:rsidR="00D7157D">
        <w:rPr>
          <w:color w:val="000000"/>
        </w:rPr>
        <w:t>.</w:t>
      </w:r>
    </w:p>
    <w:p w14:paraId="57C7A3F0" w14:textId="081B5E21" w:rsidR="00647C6B" w:rsidRPr="00A058B6" w:rsidRDefault="00647C6B" w:rsidP="00647C6B">
      <w:pPr>
        <w:pStyle w:val="Definition"/>
      </w:pPr>
      <w:r w:rsidRPr="00A058B6">
        <w:rPr>
          <w:b/>
          <w:bCs/>
          <w:i/>
          <w:iCs/>
        </w:rPr>
        <w:t>PV</w:t>
      </w:r>
      <w:r w:rsidRPr="00A058B6">
        <w:rPr>
          <w:b/>
          <w:bCs/>
          <w:i/>
          <w:iCs/>
          <w:vertAlign w:val="subscript"/>
        </w:rPr>
        <w:t>p</w:t>
      </w:r>
      <w:r w:rsidRPr="00A058B6">
        <w:t xml:space="preserve"> </w:t>
      </w:r>
      <w:r w:rsidR="00CD2D41">
        <w:t>means</w:t>
      </w:r>
      <w:r w:rsidR="00CD2D41" w:rsidRPr="00A058B6">
        <w:t xml:space="preserve"> </w:t>
      </w:r>
      <w:r w:rsidRPr="00A058B6">
        <w:t xml:space="preserve">the present value of the pension that would apply if the whole benefit were to be taken as a pension, calculated using the method set out in </w:t>
      </w:r>
      <w:r w:rsidR="00453C86">
        <w:t>Part 7</w:t>
      </w:r>
      <w:r w:rsidRPr="00A058B6">
        <w:t xml:space="preserve"> of this Schedule</w:t>
      </w:r>
      <w:r w:rsidR="00D7157D">
        <w:t>.</w:t>
      </w:r>
    </w:p>
    <w:p w14:paraId="20E90C73" w14:textId="77777777" w:rsidR="00647C6B" w:rsidRPr="00A058B6" w:rsidRDefault="00647C6B" w:rsidP="00647C6B">
      <w:pPr>
        <w:pStyle w:val="subsection"/>
      </w:pPr>
      <w:r w:rsidRPr="00A058B6">
        <w:rPr>
          <w:color w:val="000000"/>
        </w:rPr>
        <w:tab/>
        <w:t>(3)</w:t>
      </w:r>
      <w:r w:rsidRPr="00A058B6">
        <w:rPr>
          <w:color w:val="000000"/>
        </w:rPr>
        <w:tab/>
        <w:t>In this clause:</w:t>
      </w:r>
    </w:p>
    <w:p w14:paraId="278F5E96" w14:textId="293F3643" w:rsidR="00647C6B" w:rsidRPr="00A058B6" w:rsidRDefault="00647C6B" w:rsidP="00647C6B">
      <w:pPr>
        <w:pStyle w:val="Definition"/>
      </w:pPr>
      <w:r w:rsidRPr="00A058B6">
        <w:rPr>
          <w:b/>
          <w:i/>
          <w:color w:val="000000"/>
        </w:rPr>
        <w:t>minimum deferral period</w:t>
      </w:r>
      <w:r w:rsidRPr="00A058B6">
        <w:rPr>
          <w:color w:val="000000"/>
        </w:rPr>
        <w:t xml:space="preserve"> has the meaning given by sub</w:t>
      </w:r>
      <w:r w:rsidR="005A1165">
        <w:rPr>
          <w:color w:val="000000"/>
        </w:rPr>
        <w:t>clause </w:t>
      </w:r>
      <w:r w:rsidR="00D7157D">
        <w:rPr>
          <w:color w:val="000000"/>
        </w:rPr>
        <w:t>39</w:t>
      </w:r>
      <w:r w:rsidRPr="00A058B6">
        <w:rPr>
          <w:color w:val="000000"/>
        </w:rPr>
        <w:t>(4)</w:t>
      </w:r>
      <w:r w:rsidR="00D7157D">
        <w:rPr>
          <w:color w:val="000000"/>
        </w:rPr>
        <w:t>.</w:t>
      </w:r>
    </w:p>
    <w:p w14:paraId="422C6CEB" w14:textId="77777777" w:rsidR="00647C6B" w:rsidRPr="00A058B6" w:rsidRDefault="00647C6B" w:rsidP="00647C6B">
      <w:pPr>
        <w:pStyle w:val="ActHead1"/>
        <w:pageBreakBefore/>
      </w:pPr>
      <w:bookmarkStart w:id="291" w:name="_Toc188350769"/>
      <w:r w:rsidRPr="00423C34">
        <w:rPr>
          <w:rStyle w:val="CharChapNo"/>
        </w:rPr>
        <w:t>Schedule </w:t>
      </w:r>
      <w:r w:rsidR="00C77148" w:rsidRPr="00423C34">
        <w:rPr>
          <w:rStyle w:val="CharChapNo"/>
        </w:rPr>
        <w:t>4</w:t>
      </w:r>
      <w:r w:rsidRPr="00A058B6">
        <w:t>—</w:t>
      </w:r>
      <w:r w:rsidRPr="00423C34">
        <w:rPr>
          <w:rStyle w:val="CharChapText"/>
        </w:rPr>
        <w:t>Method for determining gross value of partially vested accumulation interest</w:t>
      </w:r>
      <w:bookmarkEnd w:id="291"/>
    </w:p>
    <w:p w14:paraId="3D5B57B3" w14:textId="475852A1" w:rsidR="00647C6B" w:rsidRPr="00A058B6" w:rsidRDefault="00647C6B" w:rsidP="00647C6B">
      <w:pPr>
        <w:pStyle w:val="notemargin"/>
      </w:pPr>
      <w:r w:rsidRPr="00A058B6">
        <w:t>(</w:t>
      </w:r>
      <w:r w:rsidR="00CB78B9">
        <w:t>section 5</w:t>
      </w:r>
      <w:r w:rsidR="00485CC2">
        <w:t>5</w:t>
      </w:r>
      <w:r w:rsidR="0052656F">
        <w:t xml:space="preserve"> or 107</w:t>
      </w:r>
      <w:r w:rsidRPr="00A058B6">
        <w:t>)</w:t>
      </w:r>
    </w:p>
    <w:p w14:paraId="7440502E" w14:textId="77777777" w:rsidR="00647C6B" w:rsidRPr="00423C34" w:rsidRDefault="00647C6B" w:rsidP="00647C6B">
      <w:pPr>
        <w:pStyle w:val="Header"/>
      </w:pPr>
      <w:r w:rsidRPr="00423C34">
        <w:rPr>
          <w:rStyle w:val="CharPartNo"/>
        </w:rPr>
        <w:t xml:space="preserve"> </w:t>
      </w:r>
      <w:r w:rsidRPr="00423C34">
        <w:rPr>
          <w:rStyle w:val="CharPartText"/>
        </w:rPr>
        <w:t xml:space="preserve"> </w:t>
      </w:r>
    </w:p>
    <w:p w14:paraId="6250F2F7" w14:textId="77777777" w:rsidR="00690CCB" w:rsidRPr="00423C34" w:rsidRDefault="00690CCB" w:rsidP="00690CCB">
      <w:pPr>
        <w:pStyle w:val="Header"/>
      </w:pPr>
      <w:r w:rsidRPr="00423C34">
        <w:rPr>
          <w:rStyle w:val="CharDivNo"/>
        </w:rPr>
        <w:t xml:space="preserve"> </w:t>
      </w:r>
      <w:r w:rsidRPr="00423C34">
        <w:rPr>
          <w:rStyle w:val="CharDivText"/>
        </w:rPr>
        <w:t xml:space="preserve"> </w:t>
      </w:r>
    </w:p>
    <w:p w14:paraId="5685CA1E" w14:textId="77777777" w:rsidR="00647C6B" w:rsidRPr="00A058B6" w:rsidRDefault="00647C6B" w:rsidP="00647C6B">
      <w:pPr>
        <w:pStyle w:val="ActHead5"/>
      </w:pPr>
      <w:bookmarkStart w:id="292" w:name="_Toc188350770"/>
      <w:r w:rsidRPr="00423C34">
        <w:rPr>
          <w:rStyle w:val="CharSectno"/>
        </w:rPr>
        <w:t>1</w:t>
      </w:r>
      <w:r w:rsidRPr="00A058B6">
        <w:t xml:space="preserve">  Application of </w:t>
      </w:r>
      <w:r w:rsidR="00272C0F">
        <w:t xml:space="preserve">this </w:t>
      </w:r>
      <w:r w:rsidRPr="00A058B6">
        <w:t>Schedule</w:t>
      </w:r>
      <w:bookmarkEnd w:id="292"/>
    </w:p>
    <w:p w14:paraId="65A7B950" w14:textId="77777777" w:rsidR="00647C6B" w:rsidRPr="00A058B6" w:rsidRDefault="00647C6B" w:rsidP="00647C6B">
      <w:pPr>
        <w:pStyle w:val="subsection"/>
      </w:pPr>
      <w:r w:rsidRPr="00A058B6">
        <w:tab/>
      </w:r>
      <w:r w:rsidRPr="00A058B6">
        <w:tab/>
        <w:t>This Schedule sets out the method for determining the gross value, at the relevant date, of a partially vested accumulation interest that is in the growth phase at that date</w:t>
      </w:r>
      <w:r w:rsidR="00D7157D">
        <w:t>.</w:t>
      </w:r>
    </w:p>
    <w:p w14:paraId="6E7D18C9" w14:textId="77777777" w:rsidR="00647C6B" w:rsidRPr="00A058B6" w:rsidRDefault="00647C6B" w:rsidP="00647C6B">
      <w:pPr>
        <w:pStyle w:val="ActHead5"/>
      </w:pPr>
      <w:bookmarkStart w:id="293" w:name="_Toc188350771"/>
      <w:r w:rsidRPr="00423C34">
        <w:rPr>
          <w:rStyle w:val="CharSectno"/>
        </w:rPr>
        <w:t>2</w:t>
      </w:r>
      <w:r w:rsidRPr="00A058B6">
        <w:t xml:space="preserve">  Method</w:t>
      </w:r>
      <w:bookmarkEnd w:id="293"/>
    </w:p>
    <w:p w14:paraId="502CD858" w14:textId="77777777" w:rsidR="00647C6B" w:rsidRDefault="00647C6B" w:rsidP="00647C6B">
      <w:pPr>
        <w:pStyle w:val="subsection"/>
      </w:pPr>
      <w:r w:rsidRPr="00A058B6">
        <w:tab/>
        <w:t>(1)</w:t>
      </w:r>
      <w:r w:rsidRPr="00A058B6">
        <w:tab/>
        <w:t>The method is:</w:t>
      </w:r>
    </w:p>
    <w:p w14:paraId="63749596" w14:textId="4FAB810F" w:rsidR="00272D92" w:rsidRPr="00A058B6" w:rsidRDefault="00EF5FF0" w:rsidP="00272D92">
      <w:pPr>
        <w:pStyle w:val="subsection2"/>
      </w:pPr>
      <w:r w:rsidRPr="00866431">
        <w:rPr>
          <w:position w:val="-26"/>
        </w:rPr>
        <w:object w:dxaOrig="2240" w:dyaOrig="720" w14:anchorId="4DF1E0D8">
          <v:shape id="_x0000_i1078" type="#_x0000_t75" alt="Start formula V plus open bracket open bracket A minus V close bracket times f subscript y subscript plus subscript m close bracket end formula" style="width:111pt;height:37.15pt;mso-position-vertical:absolute" o:ole="">
            <v:imagedata r:id="rId142" o:title=""/>
          </v:shape>
          <o:OLEObject Type="Embed" ProgID="Equation.DSMT4" ShapeID="_x0000_i1078" DrawAspect="Content" ObjectID="_1801634307" r:id="rId143"/>
        </w:object>
      </w:r>
    </w:p>
    <w:p w14:paraId="0A9B91BC" w14:textId="77777777" w:rsidR="00647C6B" w:rsidRPr="00A058B6" w:rsidRDefault="00647C6B" w:rsidP="00647C6B">
      <w:pPr>
        <w:pStyle w:val="subsection2"/>
      </w:pPr>
      <w:r w:rsidRPr="00A058B6">
        <w:t>where:</w:t>
      </w:r>
    </w:p>
    <w:p w14:paraId="0D327E8A" w14:textId="77777777" w:rsidR="003C0F74" w:rsidRPr="00A058B6" w:rsidRDefault="003C0F74" w:rsidP="003C0F74">
      <w:pPr>
        <w:pStyle w:val="Definition"/>
      </w:pPr>
      <w:r w:rsidRPr="00A058B6">
        <w:rPr>
          <w:b/>
          <w:i/>
        </w:rPr>
        <w:t>V</w:t>
      </w:r>
      <w:r w:rsidRPr="00A058B6">
        <w:t xml:space="preserve"> </w:t>
      </w:r>
      <w:r w:rsidR="00CD2D41">
        <w:t>means</w:t>
      </w:r>
      <w:r w:rsidR="00CD2D41" w:rsidRPr="00A058B6">
        <w:t xml:space="preserve"> </w:t>
      </w:r>
      <w:r w:rsidRPr="00A058B6">
        <w:t xml:space="preserve">the value, at the relevant date, of the actual vested benefit in respect of the interest, determined in accordance with </w:t>
      </w:r>
      <w:r w:rsidR="005A1165">
        <w:t>clause 3</w:t>
      </w:r>
      <w:r w:rsidR="00D7157D">
        <w:t>.</w:t>
      </w:r>
    </w:p>
    <w:p w14:paraId="652D322C" w14:textId="77777777" w:rsidR="00647C6B" w:rsidRPr="00A058B6" w:rsidRDefault="00647C6B" w:rsidP="00647C6B">
      <w:pPr>
        <w:pStyle w:val="Definition"/>
      </w:pPr>
      <w:r w:rsidRPr="00A058B6">
        <w:rPr>
          <w:b/>
          <w:bCs/>
          <w:i/>
          <w:iCs/>
        </w:rPr>
        <w:t>A</w:t>
      </w:r>
      <w:r w:rsidRPr="00A058B6">
        <w:t xml:space="preserve"> </w:t>
      </w:r>
      <w:r w:rsidR="00CD2D41">
        <w:t>means</w:t>
      </w:r>
      <w:r w:rsidR="00CD2D41" w:rsidRPr="00A058B6">
        <w:t xml:space="preserve"> </w:t>
      </w:r>
      <w:r w:rsidRPr="00A058B6">
        <w:t xml:space="preserve">the amount that would be the total amount standing to the credit of the member spouse in respect of the interest if the benefit in respect of the interest were fully vested at the relevant date, determined in accordance with </w:t>
      </w:r>
      <w:r w:rsidR="005A1165">
        <w:t>clause </w:t>
      </w:r>
      <w:r w:rsidR="00BB7443">
        <w:t>4</w:t>
      </w:r>
      <w:r w:rsidR="00D7157D">
        <w:t>.</w:t>
      </w:r>
    </w:p>
    <w:p w14:paraId="11EAAB1D" w14:textId="77777777" w:rsidR="00647C6B" w:rsidRPr="00A058B6" w:rsidRDefault="00647C6B" w:rsidP="00647C6B">
      <w:pPr>
        <w:pStyle w:val="Definition"/>
      </w:pPr>
      <w:r w:rsidRPr="00A058B6">
        <w:rPr>
          <w:b/>
          <w:i/>
        </w:rPr>
        <w:t>f</w:t>
      </w:r>
      <w:r w:rsidRPr="00A058B6">
        <w:rPr>
          <w:b/>
          <w:i/>
          <w:vertAlign w:val="subscript"/>
        </w:rPr>
        <w:t>y+m</w:t>
      </w:r>
      <w:r w:rsidRPr="00A058B6">
        <w:t xml:space="preserve"> </w:t>
      </w:r>
      <w:r w:rsidR="00CD2D41">
        <w:t>means</w:t>
      </w:r>
      <w:r w:rsidR="00CD2D41" w:rsidRPr="00A058B6">
        <w:t xml:space="preserve"> </w:t>
      </w:r>
      <w:r w:rsidRPr="00A058B6">
        <w:t xml:space="preserve">the vesting factor at the relevant date calculated in accordance with </w:t>
      </w:r>
      <w:r w:rsidR="00B05FD6">
        <w:t>subclause (</w:t>
      </w:r>
      <w:r w:rsidRPr="00A058B6">
        <w:t>2)</w:t>
      </w:r>
      <w:r w:rsidR="00D7157D">
        <w:t>.</w:t>
      </w:r>
    </w:p>
    <w:p w14:paraId="72B324F0" w14:textId="77777777" w:rsidR="00647C6B" w:rsidRDefault="00647C6B" w:rsidP="00647C6B">
      <w:pPr>
        <w:pStyle w:val="subsection"/>
      </w:pPr>
      <w:r w:rsidRPr="00A058B6">
        <w:tab/>
        <w:t>(2)</w:t>
      </w:r>
      <w:r w:rsidRPr="00A058B6">
        <w:tab/>
        <w:t xml:space="preserve">For the purposes of </w:t>
      </w:r>
      <w:r w:rsidR="00B05FD6">
        <w:t>subclause (</w:t>
      </w:r>
      <w:r w:rsidRPr="00A058B6">
        <w:t>1), the vesting factor (</w:t>
      </w:r>
      <w:r w:rsidRPr="00A058B6">
        <w:rPr>
          <w:b/>
          <w:i/>
        </w:rPr>
        <w:t>f</w:t>
      </w:r>
      <w:r w:rsidRPr="00A058B6">
        <w:rPr>
          <w:b/>
          <w:i/>
          <w:vertAlign w:val="subscript"/>
        </w:rPr>
        <w:t>y+m</w:t>
      </w:r>
      <w:r w:rsidRPr="00A058B6">
        <w:t>) at the relevant date is:</w:t>
      </w:r>
    </w:p>
    <w:p w14:paraId="5D9D0E3C" w14:textId="41BA3185" w:rsidR="000216A1" w:rsidRPr="00A058B6" w:rsidRDefault="00033004" w:rsidP="000216A1">
      <w:pPr>
        <w:pStyle w:val="subsection2"/>
      </w:pPr>
      <w:r w:rsidRPr="00A519BE">
        <w:rPr>
          <w:position w:val="-32"/>
        </w:rPr>
        <w:object w:dxaOrig="2900" w:dyaOrig="1060" w14:anchorId="534B8E31">
          <v:shape id="_x0000_i1079" type="#_x0000_t75" alt="Start formula start fraction open bracket f subscript y times open bracket 12 minus m close bracket close bracket plus open bracket f subscript y subscript plus subscript 1 times m close bracket over 12 end fraction end formula" style="width:144.9pt;height:53.65pt" o:ole="">
            <v:imagedata r:id="rId144" o:title=""/>
          </v:shape>
          <o:OLEObject Type="Embed" ProgID="Equation.DSMT4" ShapeID="_x0000_i1079" DrawAspect="Content" ObjectID="_1801634308" r:id="rId145"/>
        </w:object>
      </w:r>
    </w:p>
    <w:p w14:paraId="6D380828" w14:textId="77777777" w:rsidR="00647C6B" w:rsidRPr="00A058B6" w:rsidRDefault="00647C6B" w:rsidP="00690CCB">
      <w:pPr>
        <w:pStyle w:val="subsection2"/>
      </w:pPr>
      <w:r w:rsidRPr="00A058B6">
        <w:t>where:</w:t>
      </w:r>
    </w:p>
    <w:p w14:paraId="199DEA1C" w14:textId="77777777" w:rsidR="00647C6B" w:rsidRPr="00A058B6" w:rsidRDefault="00647C6B" w:rsidP="00647C6B">
      <w:pPr>
        <w:pStyle w:val="Definition"/>
      </w:pPr>
      <w:r w:rsidRPr="00A058B6">
        <w:rPr>
          <w:b/>
          <w:i/>
        </w:rPr>
        <w:t>f</w:t>
      </w:r>
      <w:r w:rsidRPr="00A058B6">
        <w:rPr>
          <w:b/>
          <w:i/>
          <w:vertAlign w:val="subscript"/>
        </w:rPr>
        <w:t>y</w:t>
      </w:r>
      <w:r w:rsidRPr="00A058B6">
        <w:t xml:space="preserve"> </w:t>
      </w:r>
      <w:r w:rsidR="00FA7704">
        <w:t>means</w:t>
      </w:r>
      <w:r w:rsidR="00FA7704" w:rsidRPr="00A058B6">
        <w:t xml:space="preserve"> </w:t>
      </w:r>
      <w:r w:rsidRPr="00A058B6">
        <w:t>the vesting factor mentioned in clause </w:t>
      </w:r>
      <w:r w:rsidR="00D65FCB">
        <w:t>5</w:t>
      </w:r>
      <w:r w:rsidRPr="00A058B6">
        <w:t xml:space="preserve"> of this Schedule that applies to the relevant vesting period and the length of the member spouse’s membership in the plan in completed years at the relevant date</w:t>
      </w:r>
      <w:r w:rsidR="00D7157D">
        <w:t>.</w:t>
      </w:r>
    </w:p>
    <w:p w14:paraId="5A2AE626" w14:textId="77777777" w:rsidR="003C0F74" w:rsidRPr="00A058B6" w:rsidRDefault="003C0F74" w:rsidP="003C0F74">
      <w:pPr>
        <w:pStyle w:val="Definition"/>
      </w:pPr>
      <w:r w:rsidRPr="00A058B6">
        <w:rPr>
          <w:b/>
          <w:i/>
        </w:rPr>
        <w:t>m</w:t>
      </w:r>
      <w:r w:rsidRPr="00A058B6">
        <w:t xml:space="preserve"> </w:t>
      </w:r>
      <w:r w:rsidR="00FA7704">
        <w:t>means</w:t>
      </w:r>
      <w:r w:rsidR="00FA7704" w:rsidRPr="00A058B6">
        <w:t xml:space="preserve"> </w:t>
      </w:r>
      <w:r w:rsidRPr="00A058B6">
        <w:t>the number of completed months of the member spouse’s membership in the plan at the relevant date that are not included in the completed years of membership at that date</w:t>
      </w:r>
      <w:r w:rsidR="00D7157D">
        <w:t>.</w:t>
      </w:r>
    </w:p>
    <w:p w14:paraId="3ACC1F90" w14:textId="77777777" w:rsidR="00647C6B" w:rsidRPr="00A058B6" w:rsidRDefault="00647C6B" w:rsidP="00647C6B">
      <w:pPr>
        <w:pStyle w:val="Definition"/>
      </w:pPr>
      <w:r w:rsidRPr="00A058B6">
        <w:rPr>
          <w:b/>
          <w:bCs/>
          <w:i/>
          <w:iCs/>
        </w:rPr>
        <w:t>f</w:t>
      </w:r>
      <w:r w:rsidRPr="00A058B6">
        <w:rPr>
          <w:b/>
          <w:bCs/>
          <w:i/>
          <w:iCs/>
          <w:vertAlign w:val="subscript"/>
        </w:rPr>
        <w:t>y+1</w:t>
      </w:r>
      <w:r w:rsidRPr="00A058B6">
        <w:t xml:space="preserve"> </w:t>
      </w:r>
      <w:r w:rsidR="00FA7704">
        <w:t>means</w:t>
      </w:r>
      <w:r w:rsidR="00FA7704" w:rsidRPr="00A058B6">
        <w:t xml:space="preserve"> </w:t>
      </w:r>
      <w:r w:rsidRPr="00A058B6">
        <w:t>the vesting factor mentioned in clause </w:t>
      </w:r>
      <w:r w:rsidR="00D65FCB">
        <w:t>5</w:t>
      </w:r>
      <w:r w:rsidRPr="00A058B6">
        <w:t xml:space="preserve"> of this Schedule that would apply to the relevant vesting period if the member spouse’s length of membership in the plan were one year more than the member spouse’s length of membership in complete years at the relevant date</w:t>
      </w:r>
      <w:r w:rsidR="00D7157D">
        <w:t>.</w:t>
      </w:r>
    </w:p>
    <w:p w14:paraId="43E3B666" w14:textId="77777777" w:rsidR="00647C6B" w:rsidRPr="00A058B6" w:rsidRDefault="00647C6B" w:rsidP="00647C6B">
      <w:pPr>
        <w:pStyle w:val="ActHead5"/>
      </w:pPr>
      <w:bookmarkStart w:id="294" w:name="_Toc188350772"/>
      <w:r w:rsidRPr="00423C34">
        <w:rPr>
          <w:rStyle w:val="CharSectno"/>
        </w:rPr>
        <w:t>3</w:t>
      </w:r>
      <w:r w:rsidRPr="00A058B6">
        <w:t xml:space="preserve">  Actual vested benefit</w:t>
      </w:r>
      <w:bookmarkEnd w:id="294"/>
    </w:p>
    <w:p w14:paraId="11D92DCA" w14:textId="77777777" w:rsidR="00647C6B" w:rsidRPr="00A058B6" w:rsidRDefault="00647C6B" w:rsidP="00647C6B">
      <w:pPr>
        <w:pStyle w:val="subsection"/>
      </w:pPr>
      <w:r w:rsidRPr="00A058B6">
        <w:tab/>
        <w:t>(1)</w:t>
      </w:r>
      <w:r w:rsidRPr="00A058B6">
        <w:tab/>
        <w:t>For the purposes of subclause 2(1), this clause sets out how to determine the value, at the relevant date, of the actual vested benefit (</w:t>
      </w:r>
      <w:r w:rsidRPr="00A058B6">
        <w:rPr>
          <w:b/>
          <w:bCs/>
          <w:i/>
          <w:iCs/>
        </w:rPr>
        <w:t>V</w:t>
      </w:r>
      <w:r w:rsidRPr="00A058B6">
        <w:t>) in respect of the superannuation interest</w:t>
      </w:r>
      <w:r w:rsidR="00D7157D">
        <w:t>.</w:t>
      </w:r>
    </w:p>
    <w:p w14:paraId="53BE63D7" w14:textId="77777777" w:rsidR="00647C6B" w:rsidRPr="00A058B6" w:rsidRDefault="00647C6B" w:rsidP="00647C6B">
      <w:pPr>
        <w:pStyle w:val="subsection"/>
      </w:pPr>
      <w:r w:rsidRPr="00A058B6">
        <w:tab/>
        <w:t>(2)</w:t>
      </w:r>
      <w:r w:rsidRPr="00A058B6">
        <w:tab/>
        <w:t xml:space="preserve">Subject to </w:t>
      </w:r>
      <w:r w:rsidR="00B05FD6">
        <w:t>subclause (</w:t>
      </w:r>
      <w:r w:rsidRPr="00A058B6">
        <w:t>4), if:</w:t>
      </w:r>
    </w:p>
    <w:p w14:paraId="4A09178E" w14:textId="77777777" w:rsidR="00647C6B" w:rsidRPr="00A058B6" w:rsidRDefault="00647C6B" w:rsidP="00647C6B">
      <w:pPr>
        <w:pStyle w:val="paragraph"/>
      </w:pPr>
      <w:r w:rsidRPr="00A058B6">
        <w:tab/>
        <w:t>(a)</w:t>
      </w:r>
      <w:r w:rsidRPr="00A058B6">
        <w:tab/>
        <w:t>a member information statement for the member spouse stating the value of the interest at the relevant date has been provided to the member spouse; and</w:t>
      </w:r>
    </w:p>
    <w:p w14:paraId="59D9845E" w14:textId="77777777" w:rsidR="00647C6B" w:rsidRPr="00A058B6" w:rsidRDefault="00647C6B" w:rsidP="00647C6B">
      <w:pPr>
        <w:pStyle w:val="paragraph"/>
      </w:pPr>
      <w:r w:rsidRPr="00A058B6">
        <w:tab/>
        <w:t>(b)</w:t>
      </w:r>
      <w:r w:rsidRPr="00A058B6">
        <w:tab/>
        <w:t>evidence of the contents of the statement is before the court in the relevant proceeding;</w:t>
      </w:r>
    </w:p>
    <w:p w14:paraId="08B7E591" w14:textId="77777777" w:rsidR="00647C6B" w:rsidRPr="00A058B6" w:rsidRDefault="00647C6B" w:rsidP="00647C6B">
      <w:pPr>
        <w:pStyle w:val="subsection2"/>
      </w:pPr>
      <w:r w:rsidRPr="00A058B6">
        <w:t>the value at the relevant date of the actual vested benefit in respect of the interest is the value of the interest stated in the statement</w:t>
      </w:r>
      <w:r w:rsidR="00D7157D">
        <w:t>.</w:t>
      </w:r>
    </w:p>
    <w:p w14:paraId="11EE8FDF" w14:textId="77777777" w:rsidR="00647C6B" w:rsidRPr="00A058B6" w:rsidRDefault="00647C6B" w:rsidP="00647C6B">
      <w:pPr>
        <w:pStyle w:val="subsection"/>
      </w:pPr>
      <w:r w:rsidRPr="00A058B6">
        <w:tab/>
        <w:t>(3)</w:t>
      </w:r>
      <w:r w:rsidRPr="00A058B6">
        <w:tab/>
        <w:t>If:</w:t>
      </w:r>
    </w:p>
    <w:p w14:paraId="0812073A" w14:textId="77777777" w:rsidR="00647C6B" w:rsidRPr="00A058B6" w:rsidRDefault="00647C6B" w:rsidP="00647C6B">
      <w:pPr>
        <w:pStyle w:val="paragraph"/>
      </w:pPr>
      <w:r w:rsidRPr="00A058B6">
        <w:tab/>
        <w:t>(a)</w:t>
      </w:r>
      <w:r w:rsidRPr="00A058B6">
        <w:tab/>
        <w:t>a statement has been issued by the trustee of the plan in which the interest is held, being a statement that states the value of the benefits (before any taxes or other charges have been deducted) that would have been payable in respect of the interest at the relevant date if the member spouse had voluntarily ceased to be a member of the plan on that date; and</w:t>
      </w:r>
    </w:p>
    <w:p w14:paraId="36ABEBCD" w14:textId="77777777" w:rsidR="00647C6B" w:rsidRPr="00A058B6" w:rsidRDefault="00647C6B" w:rsidP="00647C6B">
      <w:pPr>
        <w:pStyle w:val="paragraph"/>
        <w:keepNext/>
        <w:keepLines/>
      </w:pPr>
      <w:r w:rsidRPr="00A058B6">
        <w:tab/>
        <w:t>(b)</w:t>
      </w:r>
      <w:r w:rsidRPr="00A058B6">
        <w:tab/>
        <w:t>evidence of the contents of the statement is before the court in the relevant proceeding;</w:t>
      </w:r>
    </w:p>
    <w:p w14:paraId="7C81E5FE" w14:textId="77777777" w:rsidR="00647C6B" w:rsidRPr="00A058B6" w:rsidRDefault="00647C6B" w:rsidP="00647C6B">
      <w:pPr>
        <w:pStyle w:val="subsection2"/>
      </w:pPr>
      <w:r w:rsidRPr="00A058B6">
        <w:t>the value at the relevant date of the actual vested benefit in respect of the interest is the value of the interest stated in the statement</w:t>
      </w:r>
      <w:r w:rsidR="00D7157D">
        <w:t>.</w:t>
      </w:r>
    </w:p>
    <w:p w14:paraId="1E614F44" w14:textId="77777777" w:rsidR="00647C6B" w:rsidRPr="00A058B6" w:rsidRDefault="00647C6B" w:rsidP="00647C6B">
      <w:pPr>
        <w:pStyle w:val="subsection"/>
      </w:pPr>
      <w:r w:rsidRPr="00A058B6">
        <w:tab/>
        <w:t>(4)</w:t>
      </w:r>
      <w:r w:rsidRPr="00A058B6">
        <w:tab/>
        <w:t>If:</w:t>
      </w:r>
    </w:p>
    <w:p w14:paraId="162A9F46" w14:textId="77777777" w:rsidR="00647C6B" w:rsidRPr="00A058B6" w:rsidRDefault="00647C6B" w:rsidP="00647C6B">
      <w:pPr>
        <w:pStyle w:val="paragraph"/>
      </w:pPr>
      <w:r w:rsidRPr="00A058B6">
        <w:tab/>
        <w:t>(a)</w:t>
      </w:r>
      <w:r w:rsidRPr="00A058B6">
        <w:tab/>
        <w:t xml:space="preserve">evidence of the contents of a member information statement mentioned in </w:t>
      </w:r>
      <w:r w:rsidR="00B05FD6">
        <w:t>subclause (</w:t>
      </w:r>
      <w:r w:rsidRPr="00A058B6">
        <w:t xml:space="preserve">2) and a statement of the kind mentioned in </w:t>
      </w:r>
      <w:r w:rsidR="00B05FD6">
        <w:t>subclause (</w:t>
      </w:r>
      <w:r w:rsidRPr="00A058B6">
        <w:t>3) is before the court in the relevant proceeding; and</w:t>
      </w:r>
    </w:p>
    <w:p w14:paraId="7C2D036A" w14:textId="77777777" w:rsidR="00647C6B" w:rsidRPr="00A058B6" w:rsidRDefault="00647C6B" w:rsidP="00647C6B">
      <w:pPr>
        <w:pStyle w:val="paragraph"/>
      </w:pPr>
      <w:r w:rsidRPr="00A058B6">
        <w:tab/>
        <w:t>(b)</w:t>
      </w:r>
      <w:r w:rsidRPr="00A058B6">
        <w:tab/>
        <w:t>the value of the interest stated in each statement is not the same;</w:t>
      </w:r>
    </w:p>
    <w:p w14:paraId="65E8E22E" w14:textId="77777777" w:rsidR="00647C6B" w:rsidRPr="00A058B6" w:rsidRDefault="00647C6B" w:rsidP="00647C6B">
      <w:pPr>
        <w:pStyle w:val="subsection2"/>
      </w:pPr>
      <w:r w:rsidRPr="00A058B6">
        <w:t xml:space="preserve">the value at the relevant date of the actual vested benefit in respect of the interest is the value of the interest stated in the statement mentioned in </w:t>
      </w:r>
      <w:r w:rsidR="00B05FD6">
        <w:t>subclause (</w:t>
      </w:r>
      <w:r w:rsidRPr="00A058B6">
        <w:t>3)</w:t>
      </w:r>
      <w:r w:rsidR="00D7157D">
        <w:t>.</w:t>
      </w:r>
    </w:p>
    <w:p w14:paraId="3239F579" w14:textId="77777777" w:rsidR="00647C6B" w:rsidRDefault="00647C6B" w:rsidP="00647C6B">
      <w:pPr>
        <w:pStyle w:val="subsection"/>
      </w:pPr>
      <w:r w:rsidRPr="00A058B6">
        <w:tab/>
        <w:t>(5)</w:t>
      </w:r>
      <w:r w:rsidRPr="00A058B6">
        <w:tab/>
        <w:t xml:space="preserve">If </w:t>
      </w:r>
      <w:r w:rsidR="00B05FD6">
        <w:t>subclause (</w:t>
      </w:r>
      <w:r w:rsidRPr="00A058B6">
        <w:t>2) or (3) does not apply, the value, at the relevant date, of the actual vested benefit in respect of the interest is:</w:t>
      </w:r>
    </w:p>
    <w:p w14:paraId="748AF8F9" w14:textId="5C72E174" w:rsidR="00494B14" w:rsidRDefault="00071A9F" w:rsidP="00494B14">
      <w:pPr>
        <w:pStyle w:val="subsection2"/>
      </w:pPr>
      <w:r w:rsidRPr="003716A3">
        <w:object w:dxaOrig="2079" w:dyaOrig="1160" w14:anchorId="149AD1D5">
          <v:shape id="_x0000_i1080" type="#_x0000_t75" alt="Start formula V1 plus start fraction open bracket V2 minus V1 close bracket times X over D end fraction end formula" style="width:122pt;height:60.1pt" o:ole="">
            <v:imagedata r:id="rId146" o:title=""/>
          </v:shape>
          <o:OLEObject Type="Embed" ProgID="Equation.DSMT4" ShapeID="_x0000_i1080" DrawAspect="Content" ObjectID="_1801634309" r:id="rId147"/>
        </w:object>
      </w:r>
    </w:p>
    <w:p w14:paraId="127E5661" w14:textId="77777777" w:rsidR="00647C6B" w:rsidRPr="00A058B6" w:rsidRDefault="00647C6B" w:rsidP="00647C6B">
      <w:pPr>
        <w:pStyle w:val="subsection2"/>
      </w:pPr>
      <w:r w:rsidRPr="00A058B6">
        <w:t>where:</w:t>
      </w:r>
    </w:p>
    <w:p w14:paraId="13C48CB3" w14:textId="77777777" w:rsidR="003C0F74" w:rsidRPr="00A058B6" w:rsidRDefault="003C0F74" w:rsidP="003C0F74">
      <w:pPr>
        <w:pStyle w:val="Definition"/>
      </w:pPr>
      <w:r w:rsidRPr="00A058B6">
        <w:rPr>
          <w:b/>
          <w:bCs/>
          <w:i/>
          <w:iCs/>
        </w:rPr>
        <w:t>V1</w:t>
      </w:r>
      <w:r w:rsidRPr="00A058B6">
        <w:t xml:space="preserve"> </w:t>
      </w:r>
      <w:r w:rsidR="00FA7704">
        <w:t>means</w:t>
      </w:r>
      <w:r w:rsidR="00FA7704" w:rsidRPr="00A058B6">
        <w:t xml:space="preserve"> </w:t>
      </w:r>
      <w:r w:rsidRPr="00A058B6">
        <w:t>the sum of:</w:t>
      </w:r>
    </w:p>
    <w:p w14:paraId="7656711C" w14:textId="77777777" w:rsidR="003C0F74" w:rsidRPr="00A058B6" w:rsidRDefault="003C0F74" w:rsidP="003C0F74">
      <w:pPr>
        <w:pStyle w:val="paragraph"/>
      </w:pPr>
      <w:r w:rsidRPr="00A058B6">
        <w:tab/>
        <w:t>(a)</w:t>
      </w:r>
      <w:r w:rsidRPr="00A058B6">
        <w:tab/>
        <w:t>the value of the actual vested benefit in respect of the interest at the first valuation date; and</w:t>
      </w:r>
    </w:p>
    <w:p w14:paraId="6D3E4750" w14:textId="77777777" w:rsidR="003C0F74" w:rsidRPr="00A058B6" w:rsidRDefault="003C0F74" w:rsidP="003C0F74">
      <w:pPr>
        <w:pStyle w:val="paragraph"/>
      </w:pPr>
      <w:r w:rsidRPr="00A058B6">
        <w:tab/>
        <w:t>(b)</w:t>
      </w:r>
      <w:r w:rsidRPr="00A058B6">
        <w:tab/>
        <w:t>the value of any benefits rolled over, or transferred, by the member spouse to the plan in which the interest is held (other than regular contributions made by or for the member spouse to the plan) in the period:</w:t>
      </w:r>
    </w:p>
    <w:p w14:paraId="0942C9EB" w14:textId="77777777" w:rsidR="003C0F74" w:rsidRPr="00A058B6" w:rsidRDefault="003C0F74" w:rsidP="003C0F74">
      <w:pPr>
        <w:pStyle w:val="paragraphsub"/>
      </w:pPr>
      <w:r w:rsidRPr="00A058B6">
        <w:tab/>
        <w:t>(i)</w:t>
      </w:r>
      <w:r w:rsidRPr="00A058B6">
        <w:tab/>
        <w:t>starting on the day after the first valuation date; and</w:t>
      </w:r>
    </w:p>
    <w:p w14:paraId="6248E79A" w14:textId="77777777" w:rsidR="003C0F74" w:rsidRPr="00A058B6" w:rsidRDefault="003C0F74" w:rsidP="003C0F74">
      <w:pPr>
        <w:pStyle w:val="paragraphsub"/>
      </w:pPr>
      <w:r w:rsidRPr="00A058B6">
        <w:tab/>
        <w:t>(ii)</w:t>
      </w:r>
      <w:r w:rsidRPr="00A058B6">
        <w:tab/>
        <w:t>ending on the day before the relevant date;</w:t>
      </w:r>
    </w:p>
    <w:p w14:paraId="21E9F7BB" w14:textId="77777777" w:rsidR="003C0F74" w:rsidRPr="00A058B6" w:rsidRDefault="003C0F74" w:rsidP="003C0F74">
      <w:pPr>
        <w:pStyle w:val="paragraph"/>
      </w:pPr>
      <w:r w:rsidRPr="00A058B6">
        <w:tab/>
      </w:r>
      <w:r w:rsidRPr="00A058B6">
        <w:tab/>
        <w:t>less the value of any partial payment of benefits to the member made in that period</w:t>
      </w:r>
      <w:r w:rsidR="00D7157D">
        <w:t>.</w:t>
      </w:r>
    </w:p>
    <w:p w14:paraId="27D19348" w14:textId="77777777" w:rsidR="003C0F74" w:rsidRPr="00A058B6" w:rsidRDefault="003C0F74" w:rsidP="003C0F74">
      <w:pPr>
        <w:pStyle w:val="Definition"/>
      </w:pPr>
      <w:r w:rsidRPr="00A058B6">
        <w:rPr>
          <w:b/>
          <w:bCs/>
          <w:i/>
          <w:iCs/>
        </w:rPr>
        <w:t>V2</w:t>
      </w:r>
      <w:r w:rsidRPr="00A058B6">
        <w:t xml:space="preserve"> </w:t>
      </w:r>
      <w:r w:rsidR="00FA7704">
        <w:t>means</w:t>
      </w:r>
      <w:r w:rsidR="00FA7704" w:rsidRPr="00A058B6">
        <w:t xml:space="preserve"> </w:t>
      </w:r>
      <w:r w:rsidRPr="00A058B6">
        <w:t>the sum of:</w:t>
      </w:r>
    </w:p>
    <w:p w14:paraId="2E0BFC89" w14:textId="77777777" w:rsidR="003C0F74" w:rsidRPr="00A058B6" w:rsidRDefault="003C0F74" w:rsidP="003C0F74">
      <w:pPr>
        <w:pStyle w:val="paragraph"/>
      </w:pPr>
      <w:r w:rsidRPr="00A058B6">
        <w:tab/>
        <w:t>(a)</w:t>
      </w:r>
      <w:r w:rsidRPr="00A058B6">
        <w:tab/>
        <w:t>the value of the actual vested benefit in respect of the interest at the second valuation date; and</w:t>
      </w:r>
    </w:p>
    <w:p w14:paraId="1CE3E345" w14:textId="77777777" w:rsidR="003C0F74" w:rsidRPr="00A058B6" w:rsidRDefault="003C0F74" w:rsidP="003C0F74">
      <w:pPr>
        <w:pStyle w:val="paragraph"/>
        <w:keepNext/>
        <w:keepLines/>
      </w:pPr>
      <w:r w:rsidRPr="00A058B6">
        <w:tab/>
      </w:r>
      <w:r w:rsidRPr="003C0F74">
        <w:t>(b)</w:t>
      </w:r>
      <w:r w:rsidRPr="003C0F74">
        <w:tab/>
        <w:t>the value of any partial payment of benefits made to the member in the period beginning on the day after the relevant date and ending at the end of the second valuation date, less the value of any benefits rolled over, or transferred, by the member spouse to the plan in which the interest is held (other than regular contributions made by or for the member spouse to the plan), and any interest earned on those benefits, in that period</w:t>
      </w:r>
      <w:r w:rsidR="00D7157D">
        <w:t>.</w:t>
      </w:r>
    </w:p>
    <w:p w14:paraId="6D929D30" w14:textId="77777777" w:rsidR="00647C6B" w:rsidRPr="00A058B6" w:rsidRDefault="00647C6B" w:rsidP="00647C6B">
      <w:pPr>
        <w:pStyle w:val="Definition"/>
      </w:pPr>
      <w:r w:rsidRPr="00A058B6">
        <w:rPr>
          <w:b/>
          <w:bCs/>
          <w:i/>
          <w:iCs/>
        </w:rPr>
        <w:t>X</w:t>
      </w:r>
      <w:r w:rsidRPr="00A058B6">
        <w:t xml:space="preserve"> </w:t>
      </w:r>
      <w:r w:rsidR="00FA7704">
        <w:t>means</w:t>
      </w:r>
      <w:r w:rsidR="00FA7704" w:rsidRPr="00A058B6">
        <w:t xml:space="preserve"> </w:t>
      </w:r>
      <w:r w:rsidRPr="00A058B6">
        <w:t>the number of days in the period between the first valuation date and the relevant date (excluding both those dates)</w:t>
      </w:r>
      <w:r w:rsidR="00D7157D">
        <w:t>.</w:t>
      </w:r>
    </w:p>
    <w:p w14:paraId="2CA53373" w14:textId="77777777" w:rsidR="003C0F74" w:rsidRPr="00A058B6" w:rsidRDefault="003C0F74" w:rsidP="003C0F74">
      <w:pPr>
        <w:pStyle w:val="Definition"/>
      </w:pPr>
      <w:r w:rsidRPr="00A058B6">
        <w:rPr>
          <w:b/>
          <w:bCs/>
          <w:i/>
          <w:iCs/>
        </w:rPr>
        <w:t>D</w:t>
      </w:r>
      <w:r w:rsidRPr="00A058B6">
        <w:t xml:space="preserve"> </w:t>
      </w:r>
      <w:r w:rsidR="00FA7704">
        <w:t>means</w:t>
      </w:r>
      <w:r w:rsidR="00FA7704" w:rsidRPr="00A058B6">
        <w:t xml:space="preserve"> </w:t>
      </w:r>
      <w:r w:rsidRPr="00A058B6">
        <w:t>the number of days in the period beginning on the day after the first valuation date and ending at the end of the second valuation date</w:t>
      </w:r>
      <w:r w:rsidR="00D7157D">
        <w:t>.</w:t>
      </w:r>
    </w:p>
    <w:p w14:paraId="58B383BD" w14:textId="77777777" w:rsidR="00647C6B" w:rsidRPr="00A058B6" w:rsidRDefault="00647C6B" w:rsidP="00647C6B">
      <w:pPr>
        <w:pStyle w:val="subsection"/>
      </w:pPr>
      <w:r w:rsidRPr="00A058B6">
        <w:tab/>
        <w:t>(6)</w:t>
      </w:r>
      <w:r w:rsidRPr="00A058B6">
        <w:tab/>
        <w:t xml:space="preserve">For the purpose of determining the value, at the relevant date, of the actual vested benefit in respect of the member spouse’s interest under </w:t>
      </w:r>
      <w:r w:rsidR="00B05FD6">
        <w:t>subclause (</w:t>
      </w:r>
      <w:r w:rsidRPr="00A058B6">
        <w:t>5):</w:t>
      </w:r>
    </w:p>
    <w:p w14:paraId="79D1D601" w14:textId="77777777" w:rsidR="00647C6B" w:rsidRPr="00A058B6" w:rsidRDefault="00647C6B" w:rsidP="00647C6B">
      <w:pPr>
        <w:pStyle w:val="paragraph"/>
      </w:pPr>
      <w:r w:rsidRPr="00A058B6">
        <w:tab/>
        <w:t>(a)</w:t>
      </w:r>
      <w:r w:rsidRPr="00A058B6">
        <w:tab/>
        <w:t>if, in relation to the interest, evidence of the contents of one member information statement only is before the court in the relevant proceeding, and the relevant date is after the valuation date stated in that statement:</w:t>
      </w:r>
    </w:p>
    <w:p w14:paraId="020BD73C"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valuation date stated in that statement; and</w:t>
      </w:r>
    </w:p>
    <w:p w14:paraId="1B4CB772" w14:textId="77777777" w:rsidR="00647C6B" w:rsidRPr="00A058B6" w:rsidRDefault="00647C6B" w:rsidP="00647C6B">
      <w:pPr>
        <w:pStyle w:val="paragraphsub"/>
      </w:pPr>
      <w:r w:rsidRPr="00A058B6">
        <w:tab/>
        <w:t>(ii)</w:t>
      </w:r>
      <w:r w:rsidRPr="00A058B6">
        <w:tab/>
        <w:t xml:space="preserve">the </w:t>
      </w:r>
      <w:r w:rsidRPr="00A058B6">
        <w:rPr>
          <w:b/>
          <w:bCs/>
          <w:i/>
          <w:iCs/>
        </w:rPr>
        <w:t>value of the actual vested benefit in respect of the interest at the first valuation date</w:t>
      </w:r>
      <w:r w:rsidRPr="00A058B6">
        <w:t xml:space="preserve"> is the value of the interest stated in that statement; and</w:t>
      </w:r>
    </w:p>
    <w:p w14:paraId="69264F0E"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a date after the relevant date that is within 28 days before the date when the valuation of the interest is being carried out; and</w:t>
      </w:r>
    </w:p>
    <w:p w14:paraId="7DB3B73B" w14:textId="77777777" w:rsidR="00647C6B" w:rsidRPr="00A058B6" w:rsidRDefault="00647C6B" w:rsidP="00647C6B">
      <w:pPr>
        <w:pStyle w:val="paragraphsub"/>
      </w:pPr>
      <w:r w:rsidRPr="00A058B6">
        <w:tab/>
        <w:t>(iv)</w:t>
      </w:r>
      <w:r w:rsidRPr="00A058B6">
        <w:tab/>
        <w:t xml:space="preserve">the </w:t>
      </w:r>
      <w:r w:rsidRPr="00A058B6">
        <w:rPr>
          <w:b/>
          <w:bCs/>
          <w:i/>
          <w:iCs/>
        </w:rPr>
        <w:t>value of the actual vested benefit in respect of the interest at the second valuation date</w:t>
      </w:r>
      <w:r w:rsidRPr="00A058B6">
        <w:t xml:space="preserve"> is the value of the interest at that date; and</w:t>
      </w:r>
    </w:p>
    <w:p w14:paraId="728948E4" w14:textId="77777777" w:rsidR="00647C6B" w:rsidRPr="00A058B6" w:rsidRDefault="00647C6B" w:rsidP="00647C6B">
      <w:pPr>
        <w:pStyle w:val="paragraph"/>
      </w:pPr>
      <w:r w:rsidRPr="00A058B6">
        <w:tab/>
        <w:t>(b)</w:t>
      </w:r>
      <w:r w:rsidRPr="00A058B6">
        <w:tab/>
        <w:t xml:space="preserve">if, in relation to the interest, evidence of the contents of 2 member information statements is before the court in the relevant proceeding, and the relevant date is between the valuation date stated in one of those statements (the </w:t>
      </w:r>
      <w:r w:rsidRPr="00A058B6">
        <w:rPr>
          <w:b/>
          <w:bCs/>
          <w:i/>
          <w:iCs/>
        </w:rPr>
        <w:t>first statement</w:t>
      </w:r>
      <w:r w:rsidRPr="00A058B6">
        <w:t xml:space="preserve">) and the valuation date stated in the other statement (the </w:t>
      </w:r>
      <w:r w:rsidRPr="00A058B6">
        <w:rPr>
          <w:b/>
          <w:bCs/>
          <w:i/>
          <w:iCs/>
        </w:rPr>
        <w:t>second statement</w:t>
      </w:r>
      <w:r w:rsidRPr="00A058B6">
        <w:t>):</w:t>
      </w:r>
    </w:p>
    <w:p w14:paraId="17BE59C7"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valuation date stated in the first statement; and</w:t>
      </w:r>
    </w:p>
    <w:p w14:paraId="7C86E003" w14:textId="77777777" w:rsidR="00647C6B" w:rsidRPr="00A058B6" w:rsidRDefault="00647C6B" w:rsidP="00647C6B">
      <w:pPr>
        <w:pStyle w:val="paragraphsub"/>
      </w:pPr>
      <w:r w:rsidRPr="00A058B6">
        <w:tab/>
        <w:t>(ii)</w:t>
      </w:r>
      <w:r w:rsidRPr="00A058B6">
        <w:tab/>
        <w:t xml:space="preserve">the </w:t>
      </w:r>
      <w:r w:rsidRPr="00A058B6">
        <w:rPr>
          <w:b/>
          <w:bCs/>
          <w:i/>
          <w:iCs/>
        </w:rPr>
        <w:t>value of the actual vested benefit in respect of the interest at the first valuation date</w:t>
      </w:r>
      <w:r w:rsidRPr="00A058B6">
        <w:t xml:space="preserve"> is the value of the interest stated in the first statement; and</w:t>
      </w:r>
    </w:p>
    <w:p w14:paraId="5D4CC02F"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the valuation date stated in the second statement; and</w:t>
      </w:r>
    </w:p>
    <w:p w14:paraId="6475B6E5" w14:textId="77777777" w:rsidR="00647C6B" w:rsidRPr="00A058B6" w:rsidRDefault="00647C6B" w:rsidP="00647C6B">
      <w:pPr>
        <w:pStyle w:val="paragraphsub"/>
      </w:pPr>
      <w:r w:rsidRPr="00A058B6">
        <w:tab/>
        <w:t>(iv)</w:t>
      </w:r>
      <w:r w:rsidRPr="00A058B6">
        <w:tab/>
        <w:t xml:space="preserve">the </w:t>
      </w:r>
      <w:r w:rsidRPr="00A058B6">
        <w:rPr>
          <w:b/>
          <w:bCs/>
          <w:i/>
          <w:iCs/>
        </w:rPr>
        <w:t>value of the actual vested benefit in respect of the interest at the second valuation date</w:t>
      </w:r>
      <w:r w:rsidRPr="00A058B6">
        <w:t xml:space="preserve"> is the value of the interest stated in the second statement; and</w:t>
      </w:r>
    </w:p>
    <w:p w14:paraId="12F657A5" w14:textId="77777777" w:rsidR="00647C6B" w:rsidRPr="00A058B6" w:rsidRDefault="00647C6B" w:rsidP="00647C6B">
      <w:pPr>
        <w:pStyle w:val="paragraph"/>
      </w:pPr>
      <w:r w:rsidRPr="00A058B6">
        <w:tab/>
        <w:t>(c)</w:t>
      </w:r>
      <w:r w:rsidRPr="00A058B6">
        <w:tab/>
        <w:t>if, in relation to the interest, evidence of the contents of one member information statement only is before the court in the relevant proceeding, and the relevant date is before the valuation date stated in that statement:</w:t>
      </w:r>
    </w:p>
    <w:p w14:paraId="0F8D105D"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date when the interest was acquired by the member spouse; and</w:t>
      </w:r>
    </w:p>
    <w:p w14:paraId="31B974D6" w14:textId="77777777" w:rsidR="00647C6B" w:rsidRPr="00A058B6" w:rsidRDefault="00647C6B" w:rsidP="00647C6B">
      <w:pPr>
        <w:pStyle w:val="paragraphsub"/>
      </w:pPr>
      <w:r w:rsidRPr="00A058B6">
        <w:tab/>
        <w:t>(ii)</w:t>
      </w:r>
      <w:r w:rsidRPr="00A058B6">
        <w:tab/>
        <w:t xml:space="preserve">the </w:t>
      </w:r>
      <w:r w:rsidRPr="00A058B6">
        <w:rPr>
          <w:b/>
          <w:bCs/>
          <w:i/>
          <w:iCs/>
        </w:rPr>
        <w:t>value of the actual vested benefit in respect of the interest at the first valuation date</w:t>
      </w:r>
      <w:r w:rsidRPr="00A058B6">
        <w:t xml:space="preserve"> is the value of the interest at that date; and</w:t>
      </w:r>
    </w:p>
    <w:p w14:paraId="32C4004C"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the valuation date stated in the statement; and</w:t>
      </w:r>
    </w:p>
    <w:p w14:paraId="244C332F" w14:textId="77777777" w:rsidR="00647C6B" w:rsidRPr="00A058B6" w:rsidRDefault="00647C6B" w:rsidP="00647C6B">
      <w:pPr>
        <w:pStyle w:val="paragraphsub"/>
      </w:pPr>
      <w:r w:rsidRPr="00A058B6">
        <w:tab/>
        <w:t>(iv)</w:t>
      </w:r>
      <w:r w:rsidRPr="00A058B6">
        <w:tab/>
        <w:t xml:space="preserve">the </w:t>
      </w:r>
      <w:r w:rsidRPr="00A058B6">
        <w:rPr>
          <w:b/>
          <w:bCs/>
          <w:i/>
          <w:iCs/>
        </w:rPr>
        <w:t>value of the actual vested benefit in respect of the interest at the second valuation date</w:t>
      </w:r>
      <w:r w:rsidRPr="00A058B6">
        <w:t xml:space="preserve"> is the value of the interest stated in the statement; and</w:t>
      </w:r>
    </w:p>
    <w:p w14:paraId="1A54682B" w14:textId="77777777" w:rsidR="00647C6B" w:rsidRPr="00A058B6" w:rsidRDefault="00647C6B" w:rsidP="00647C6B">
      <w:pPr>
        <w:pStyle w:val="paragraph"/>
      </w:pPr>
      <w:r w:rsidRPr="00A058B6">
        <w:tab/>
        <w:t>(d)</w:t>
      </w:r>
      <w:r w:rsidRPr="00A058B6">
        <w:tab/>
        <w:t>in any other case:</w:t>
      </w:r>
    </w:p>
    <w:p w14:paraId="332D0826"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date when the interest was acquired by the member spouse; and</w:t>
      </w:r>
    </w:p>
    <w:p w14:paraId="619E5B11" w14:textId="77777777" w:rsidR="00647C6B" w:rsidRPr="00A058B6" w:rsidRDefault="00647C6B" w:rsidP="00647C6B">
      <w:pPr>
        <w:pStyle w:val="paragraphsub"/>
      </w:pPr>
      <w:r w:rsidRPr="00A058B6">
        <w:tab/>
        <w:t>(ii)</w:t>
      </w:r>
      <w:r w:rsidRPr="00A058B6">
        <w:tab/>
        <w:t xml:space="preserve">the </w:t>
      </w:r>
      <w:r w:rsidRPr="00A058B6">
        <w:rPr>
          <w:b/>
          <w:bCs/>
          <w:i/>
          <w:iCs/>
        </w:rPr>
        <w:t>value of the actual vested benefit in respect of the interest at the first valuation date</w:t>
      </w:r>
      <w:r w:rsidRPr="00A058B6">
        <w:t xml:space="preserve"> is the value of the interest at that date; and</w:t>
      </w:r>
    </w:p>
    <w:p w14:paraId="13187D09"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a date after the relevant date that is within 28 days before the date when the valuation of the interest is being carried out; and</w:t>
      </w:r>
    </w:p>
    <w:p w14:paraId="2D817E4A" w14:textId="77777777" w:rsidR="00647C6B" w:rsidRPr="00A058B6" w:rsidRDefault="00647C6B" w:rsidP="00647C6B">
      <w:pPr>
        <w:pStyle w:val="paragraphsub"/>
      </w:pPr>
      <w:r w:rsidRPr="00A058B6">
        <w:tab/>
        <w:t>(iv)</w:t>
      </w:r>
      <w:r w:rsidRPr="00A058B6">
        <w:tab/>
        <w:t xml:space="preserve">the </w:t>
      </w:r>
      <w:r w:rsidRPr="00A058B6">
        <w:rPr>
          <w:b/>
          <w:bCs/>
          <w:i/>
          <w:iCs/>
        </w:rPr>
        <w:t>value of the actual vested benefit in respect of the interest at the second valuation date</w:t>
      </w:r>
      <w:r w:rsidRPr="00A058B6">
        <w:t xml:space="preserve"> is the value of the interest at that date</w:t>
      </w:r>
      <w:r w:rsidR="00D7157D">
        <w:t>.</w:t>
      </w:r>
    </w:p>
    <w:p w14:paraId="5BD6A350" w14:textId="77777777" w:rsidR="00647C6B" w:rsidRPr="00A058B6" w:rsidRDefault="00647C6B" w:rsidP="00647C6B">
      <w:pPr>
        <w:pStyle w:val="subsection"/>
      </w:pPr>
      <w:r w:rsidRPr="00A058B6">
        <w:tab/>
        <w:t>(7)</w:t>
      </w:r>
      <w:r w:rsidRPr="00A058B6">
        <w:tab/>
        <w:t xml:space="preserve">For </w:t>
      </w:r>
      <w:r w:rsidR="005F1D1D" w:rsidRPr="00A058B6">
        <w:t xml:space="preserve">the purposes of </w:t>
      </w:r>
      <w:r w:rsidRPr="00A058B6">
        <w:t xml:space="preserve">subparagraphs (6)(a)(iv) and (d)(iv), the value of the </w:t>
      </w:r>
      <w:r w:rsidRPr="00A058B6">
        <w:rPr>
          <w:bCs/>
          <w:iCs/>
        </w:rPr>
        <w:t xml:space="preserve">actual vested benefit in respect of the </w:t>
      </w:r>
      <w:r w:rsidRPr="00A058B6">
        <w:t>interest at the second valuation date includes:</w:t>
      </w:r>
    </w:p>
    <w:p w14:paraId="54442A60" w14:textId="77777777" w:rsidR="00647C6B" w:rsidRPr="00A058B6" w:rsidRDefault="00647C6B" w:rsidP="00647C6B">
      <w:pPr>
        <w:pStyle w:val="paragraph"/>
      </w:pPr>
      <w:r w:rsidRPr="00A058B6">
        <w:tab/>
        <w:t>(a)</w:t>
      </w:r>
      <w:r w:rsidRPr="00A058B6">
        <w:tab/>
        <w:t>any amount payable under an earlier payment split that applies in respect of the interest; and</w:t>
      </w:r>
    </w:p>
    <w:p w14:paraId="561A7772" w14:textId="77777777" w:rsidR="00647C6B" w:rsidRPr="00A058B6" w:rsidRDefault="00647C6B" w:rsidP="00647C6B">
      <w:pPr>
        <w:pStyle w:val="paragraph"/>
      </w:pPr>
      <w:r w:rsidRPr="00A058B6">
        <w:tab/>
        <w:t>(b)</w:t>
      </w:r>
      <w:r w:rsidRPr="00A058B6">
        <w:tab/>
        <w:t>the amount of any surcharge debt of the member spouse in respect of the interest</w:t>
      </w:r>
      <w:r w:rsidR="00D7157D">
        <w:t>.</w:t>
      </w:r>
    </w:p>
    <w:p w14:paraId="506530B2" w14:textId="77777777" w:rsidR="00647C6B" w:rsidRPr="00A058B6" w:rsidRDefault="00647C6B" w:rsidP="00647C6B">
      <w:pPr>
        <w:pStyle w:val="subsection"/>
      </w:pPr>
      <w:r w:rsidRPr="00A058B6">
        <w:tab/>
        <w:t>(8)</w:t>
      </w:r>
      <w:r w:rsidRPr="00A058B6">
        <w:tab/>
        <w:t xml:space="preserve">For </w:t>
      </w:r>
      <w:r w:rsidR="00690CCB">
        <w:t xml:space="preserve">the purposes of </w:t>
      </w:r>
      <w:r w:rsidRPr="00A058B6">
        <w:t>this clause, a reference to the value of the interest stated in a statement:</w:t>
      </w:r>
    </w:p>
    <w:p w14:paraId="550A062A" w14:textId="77777777" w:rsidR="00647C6B" w:rsidRPr="00A058B6" w:rsidRDefault="00647C6B" w:rsidP="00647C6B">
      <w:pPr>
        <w:pStyle w:val="paragraph"/>
      </w:pPr>
      <w:r w:rsidRPr="00A058B6">
        <w:tab/>
        <w:t>(a)</w:t>
      </w:r>
      <w:r w:rsidRPr="00A058B6">
        <w:tab/>
        <w:t xml:space="preserve">is a reference to the value stated in the statement, however that value is described (for example, the member’s account balance, share in the plan, </w:t>
      </w:r>
      <w:r w:rsidR="003D403A">
        <w:t xml:space="preserve">or </w:t>
      </w:r>
      <w:r w:rsidRPr="00A058B6">
        <w:t>withdrawal benefit); and</w:t>
      </w:r>
    </w:p>
    <w:p w14:paraId="7C9B4981" w14:textId="77777777" w:rsidR="00647C6B" w:rsidRPr="00A058B6" w:rsidRDefault="00647C6B" w:rsidP="00647C6B">
      <w:pPr>
        <w:pStyle w:val="paragraph"/>
      </w:pPr>
      <w:r w:rsidRPr="00A058B6">
        <w:tab/>
        <w:t>(b)</w:t>
      </w:r>
      <w:r w:rsidRPr="00A058B6">
        <w:tab/>
        <w:t>if 2 or more values are stated in the statement, is taken to be a reference to the value of the benefits (before any taxes or other charges have been deducted) that would have been payable in respect of the interest if the member spouse had voluntarily ceased to be a member of the plan at the date at which the value is stated</w:t>
      </w:r>
      <w:r w:rsidR="00D7157D">
        <w:t>.</w:t>
      </w:r>
    </w:p>
    <w:p w14:paraId="6C5FC84E" w14:textId="77777777" w:rsidR="00647C6B" w:rsidRPr="00A058B6" w:rsidRDefault="00647C6B" w:rsidP="00647C6B">
      <w:pPr>
        <w:pStyle w:val="subsection"/>
      </w:pPr>
      <w:r w:rsidRPr="00A058B6">
        <w:tab/>
        <w:t>(9)</w:t>
      </w:r>
      <w:r w:rsidRPr="00A058B6">
        <w:tab/>
        <w:t>In this clause:</w:t>
      </w:r>
    </w:p>
    <w:p w14:paraId="31944EA6" w14:textId="77777777" w:rsidR="00647C6B" w:rsidRPr="00A058B6" w:rsidRDefault="00647C6B" w:rsidP="00647C6B">
      <w:pPr>
        <w:pStyle w:val="Definition"/>
      </w:pPr>
      <w:r w:rsidRPr="00A058B6">
        <w:rPr>
          <w:b/>
          <w:bCs/>
          <w:i/>
          <w:iCs/>
        </w:rPr>
        <w:t>valuation date</w:t>
      </w:r>
      <w:r w:rsidRPr="00A058B6">
        <w:t>, in relation to a superannuation interest to which a member information statement for the member spouse, or similar statement, applies, means the date as at which the value of the interest is stated in the statement</w:t>
      </w:r>
      <w:r w:rsidR="00D7157D">
        <w:t>.</w:t>
      </w:r>
    </w:p>
    <w:p w14:paraId="219A08F4" w14:textId="77777777" w:rsidR="00647C6B" w:rsidRPr="00A058B6" w:rsidRDefault="0046460D" w:rsidP="00647C6B">
      <w:pPr>
        <w:pStyle w:val="ActHead5"/>
      </w:pPr>
      <w:bookmarkStart w:id="295" w:name="_Toc188350773"/>
      <w:r w:rsidRPr="00423C34">
        <w:rPr>
          <w:rStyle w:val="CharSectno"/>
        </w:rPr>
        <w:t>4</w:t>
      </w:r>
      <w:r w:rsidR="00647C6B" w:rsidRPr="00A058B6">
        <w:t xml:space="preserve">  Total amount standing to credit of member spouse if benefit were fully vested at relevant date</w:t>
      </w:r>
      <w:bookmarkEnd w:id="295"/>
    </w:p>
    <w:p w14:paraId="2D563988" w14:textId="77777777" w:rsidR="00647C6B" w:rsidRPr="00A058B6" w:rsidRDefault="00647C6B" w:rsidP="00647C6B">
      <w:pPr>
        <w:pStyle w:val="subsection"/>
      </w:pPr>
      <w:r w:rsidRPr="00A058B6">
        <w:tab/>
        <w:t>(1)</w:t>
      </w:r>
      <w:r w:rsidRPr="00A058B6">
        <w:tab/>
        <w:t>For the purposes of subclause 2(1), this clause sets out how to determine the amount (</w:t>
      </w:r>
      <w:r w:rsidRPr="00A058B6">
        <w:rPr>
          <w:b/>
          <w:i/>
        </w:rPr>
        <w:t>A</w:t>
      </w:r>
      <w:r w:rsidRPr="00A058B6">
        <w:t>) that would be the total amount standing to the credit of the member spouse in respect of the superannuation interest if the benefit in respect of the interest were fully vested at the relevant date</w:t>
      </w:r>
      <w:r w:rsidR="00D7157D">
        <w:t>.</w:t>
      </w:r>
    </w:p>
    <w:p w14:paraId="5FE9D56B" w14:textId="77777777" w:rsidR="00647C6B" w:rsidRPr="00A058B6" w:rsidRDefault="00647C6B" w:rsidP="00647C6B">
      <w:pPr>
        <w:pStyle w:val="subsection"/>
      </w:pPr>
      <w:r w:rsidRPr="00A058B6">
        <w:tab/>
        <w:t>(2)</w:t>
      </w:r>
      <w:r w:rsidRPr="00A058B6">
        <w:tab/>
        <w:t>If evidence is before the court in the relevant proceeding of the contents of a member information statement for the member spouse that states the total member credit at the relevant date, the amount (</w:t>
      </w:r>
      <w:r w:rsidRPr="00A058B6">
        <w:rPr>
          <w:b/>
          <w:i/>
        </w:rPr>
        <w:t>A</w:t>
      </w:r>
      <w:r w:rsidRPr="00A058B6">
        <w:t>) is the total member credit stated in the statement</w:t>
      </w:r>
      <w:r w:rsidR="00D7157D">
        <w:t>.</w:t>
      </w:r>
    </w:p>
    <w:p w14:paraId="28AD60DC" w14:textId="77777777" w:rsidR="00647C6B" w:rsidRDefault="00647C6B" w:rsidP="00647C6B">
      <w:pPr>
        <w:pStyle w:val="subsection"/>
      </w:pPr>
      <w:r w:rsidRPr="00A058B6">
        <w:tab/>
        <w:t>(3)</w:t>
      </w:r>
      <w:r w:rsidRPr="00A058B6">
        <w:tab/>
        <w:t xml:space="preserve">If </w:t>
      </w:r>
      <w:r w:rsidR="00B05FD6">
        <w:t>subclause (</w:t>
      </w:r>
      <w:r w:rsidRPr="00A058B6">
        <w:t>2) does not apply, the amount (</w:t>
      </w:r>
      <w:r w:rsidRPr="00A058B6">
        <w:rPr>
          <w:b/>
          <w:i/>
        </w:rPr>
        <w:t>A</w:t>
      </w:r>
      <w:r w:rsidRPr="00A058B6">
        <w:t>) is:</w:t>
      </w:r>
    </w:p>
    <w:p w14:paraId="1E699C7C" w14:textId="548158D1" w:rsidR="00D07951" w:rsidRDefault="003D157E" w:rsidP="00D07951">
      <w:pPr>
        <w:pStyle w:val="subsection2"/>
      </w:pPr>
      <w:r w:rsidRPr="0044256F">
        <w:rPr>
          <w:position w:val="-32"/>
        </w:rPr>
        <w:object w:dxaOrig="2140" w:dyaOrig="1040" w14:anchorId="12709EAA">
          <v:shape id="_x0000_i1081" type="#_x0000_t75" alt="Start formula A1 plus start fraction open bracket A2 minus A1 close bracket times X over D end fraction end formula" style="width:106.85pt;height:52.75pt" o:ole="">
            <v:imagedata r:id="rId148" o:title=""/>
          </v:shape>
          <o:OLEObject Type="Embed" ProgID="Equation.DSMT4" ShapeID="_x0000_i1081" DrawAspect="Content" ObjectID="_1801634310" r:id="rId149"/>
        </w:object>
      </w:r>
    </w:p>
    <w:p w14:paraId="54A4FC3D" w14:textId="77777777" w:rsidR="00647C6B" w:rsidRPr="00A058B6" w:rsidRDefault="00647C6B" w:rsidP="00647C6B">
      <w:pPr>
        <w:pStyle w:val="subsection2"/>
      </w:pPr>
      <w:r w:rsidRPr="00A058B6">
        <w:t>where:</w:t>
      </w:r>
    </w:p>
    <w:p w14:paraId="586D9D08" w14:textId="77777777" w:rsidR="00647C6B" w:rsidRPr="00A058B6" w:rsidRDefault="00647C6B" w:rsidP="00647C6B">
      <w:pPr>
        <w:pStyle w:val="Definition"/>
      </w:pPr>
      <w:r w:rsidRPr="00A058B6">
        <w:rPr>
          <w:b/>
          <w:bCs/>
          <w:i/>
          <w:iCs/>
        </w:rPr>
        <w:t>A1</w:t>
      </w:r>
      <w:r w:rsidRPr="00A058B6">
        <w:t xml:space="preserve"> </w:t>
      </w:r>
      <w:r w:rsidR="00251244">
        <w:t>means</w:t>
      </w:r>
      <w:r w:rsidR="00251244" w:rsidRPr="00A058B6">
        <w:t xml:space="preserve"> </w:t>
      </w:r>
      <w:r w:rsidRPr="00A058B6">
        <w:t>the sum of:</w:t>
      </w:r>
    </w:p>
    <w:p w14:paraId="002E12D4" w14:textId="77777777" w:rsidR="00647C6B" w:rsidRPr="00A058B6" w:rsidRDefault="00647C6B" w:rsidP="00647C6B">
      <w:pPr>
        <w:pStyle w:val="paragraph"/>
      </w:pPr>
      <w:r w:rsidRPr="00A058B6">
        <w:tab/>
        <w:t>(a)</w:t>
      </w:r>
      <w:r w:rsidRPr="00A058B6">
        <w:tab/>
        <w:t>the total member credit at the first valuation date; and</w:t>
      </w:r>
    </w:p>
    <w:p w14:paraId="0294F71B" w14:textId="77777777" w:rsidR="00647C6B" w:rsidRPr="00A058B6" w:rsidRDefault="00647C6B" w:rsidP="00647C6B">
      <w:pPr>
        <w:pStyle w:val="paragraph"/>
      </w:pPr>
      <w:r w:rsidRPr="00A058B6">
        <w:tab/>
        <w:t>(b)</w:t>
      </w:r>
      <w:r w:rsidRPr="00A058B6">
        <w:tab/>
        <w:t>the value of any benefits rolled over, or transferred, by the member spouse to the plan in which the interest is held (other than regular contributions made by or for the member spouse to the plan) in the period:</w:t>
      </w:r>
    </w:p>
    <w:p w14:paraId="27D8811B" w14:textId="77777777" w:rsidR="00647C6B" w:rsidRPr="00A058B6" w:rsidRDefault="00647C6B" w:rsidP="00647C6B">
      <w:pPr>
        <w:pStyle w:val="paragraphsub"/>
      </w:pPr>
      <w:r w:rsidRPr="00A058B6">
        <w:tab/>
        <w:t>(i)</w:t>
      </w:r>
      <w:r w:rsidRPr="00A058B6">
        <w:tab/>
        <w:t>starting on the day after the first valuation date; and</w:t>
      </w:r>
    </w:p>
    <w:p w14:paraId="37DDB6CC" w14:textId="77777777" w:rsidR="00647C6B" w:rsidRPr="00A058B6" w:rsidRDefault="00647C6B" w:rsidP="00647C6B">
      <w:pPr>
        <w:pStyle w:val="paragraphsub"/>
      </w:pPr>
      <w:r w:rsidRPr="00A058B6">
        <w:tab/>
        <w:t>(ii)</w:t>
      </w:r>
      <w:r w:rsidRPr="00A058B6">
        <w:tab/>
        <w:t>ending on the day before the relevant date;</w:t>
      </w:r>
    </w:p>
    <w:p w14:paraId="4FBA8D6F" w14:textId="77777777" w:rsidR="00647C6B" w:rsidRPr="00A058B6" w:rsidRDefault="00647C6B" w:rsidP="00647C6B">
      <w:pPr>
        <w:pStyle w:val="paragraph"/>
      </w:pPr>
      <w:r w:rsidRPr="00A058B6">
        <w:tab/>
      </w:r>
      <w:r w:rsidRPr="00A058B6">
        <w:tab/>
        <w:t>less the value of any partial payment of benefits to the member made in that period</w:t>
      </w:r>
      <w:r w:rsidR="00D7157D">
        <w:t>.</w:t>
      </w:r>
    </w:p>
    <w:p w14:paraId="42D0AAE6" w14:textId="77777777" w:rsidR="00647C6B" w:rsidRPr="00A058B6" w:rsidRDefault="00647C6B" w:rsidP="00647C6B">
      <w:pPr>
        <w:pStyle w:val="Definition"/>
      </w:pPr>
      <w:r w:rsidRPr="00A058B6">
        <w:rPr>
          <w:b/>
          <w:bCs/>
          <w:i/>
          <w:iCs/>
        </w:rPr>
        <w:t>A2</w:t>
      </w:r>
      <w:r w:rsidRPr="00A058B6">
        <w:t xml:space="preserve"> </w:t>
      </w:r>
      <w:r w:rsidR="00251244">
        <w:t>means</w:t>
      </w:r>
      <w:r w:rsidR="00251244" w:rsidRPr="00A058B6">
        <w:t xml:space="preserve"> </w:t>
      </w:r>
      <w:r w:rsidRPr="00A058B6">
        <w:t>the sum of:</w:t>
      </w:r>
    </w:p>
    <w:p w14:paraId="5A390FA5" w14:textId="77777777" w:rsidR="00647C6B" w:rsidRPr="00A058B6" w:rsidRDefault="00647C6B" w:rsidP="00647C6B">
      <w:pPr>
        <w:pStyle w:val="paragraph"/>
      </w:pPr>
      <w:r w:rsidRPr="00A058B6">
        <w:tab/>
        <w:t>(a)</w:t>
      </w:r>
      <w:r w:rsidRPr="00A058B6">
        <w:tab/>
        <w:t>the total member credit at the second valuation date; and</w:t>
      </w:r>
    </w:p>
    <w:p w14:paraId="5A1A21D4" w14:textId="77777777" w:rsidR="00647C6B" w:rsidRPr="00A058B6" w:rsidRDefault="00647C6B" w:rsidP="00647C6B">
      <w:pPr>
        <w:pStyle w:val="paragraph"/>
      </w:pPr>
      <w:r w:rsidRPr="00A058B6">
        <w:tab/>
        <w:t>(b)</w:t>
      </w:r>
      <w:r w:rsidRPr="00A058B6">
        <w:tab/>
        <w:t>the value of any partial payment of benefits made to the member in the period beginning on the day after the relevant date and ending at the end of the second valuation date, less the value of any benefits rolled over, or transferred, by the member spouse to the plan in which the interest is held (other than regular contributions made by or for the member spouse to the plan), and any interest earned on those benefits, in that period</w:t>
      </w:r>
      <w:r w:rsidR="00D7157D">
        <w:t>.</w:t>
      </w:r>
    </w:p>
    <w:p w14:paraId="3790A9A4" w14:textId="77777777" w:rsidR="009357DC" w:rsidRPr="00A058B6" w:rsidRDefault="009357DC" w:rsidP="009357DC">
      <w:pPr>
        <w:pStyle w:val="Definition"/>
      </w:pPr>
      <w:r w:rsidRPr="00A058B6">
        <w:rPr>
          <w:b/>
          <w:bCs/>
          <w:i/>
          <w:iCs/>
        </w:rPr>
        <w:t>X</w:t>
      </w:r>
      <w:r w:rsidRPr="00A058B6">
        <w:t xml:space="preserve"> </w:t>
      </w:r>
      <w:r w:rsidR="00251244">
        <w:t>means</w:t>
      </w:r>
      <w:r w:rsidR="00251244" w:rsidRPr="00A058B6">
        <w:t xml:space="preserve"> </w:t>
      </w:r>
      <w:r w:rsidRPr="00A058B6">
        <w:t>the number of days in the period between the first valuation date and the relevant date (excluding both those dates)</w:t>
      </w:r>
      <w:r w:rsidR="00D7157D">
        <w:t>.</w:t>
      </w:r>
    </w:p>
    <w:p w14:paraId="43C8DA6F" w14:textId="77777777" w:rsidR="0044256F" w:rsidRPr="00A058B6" w:rsidRDefault="0044256F" w:rsidP="0044256F">
      <w:pPr>
        <w:pStyle w:val="Definition"/>
      </w:pPr>
      <w:r w:rsidRPr="00A058B6">
        <w:rPr>
          <w:b/>
          <w:bCs/>
          <w:i/>
          <w:iCs/>
        </w:rPr>
        <w:t>D</w:t>
      </w:r>
      <w:r w:rsidRPr="00A058B6">
        <w:t xml:space="preserve"> </w:t>
      </w:r>
      <w:r w:rsidR="00251244">
        <w:t>means</w:t>
      </w:r>
      <w:r w:rsidR="00251244" w:rsidRPr="00A058B6">
        <w:t xml:space="preserve"> </w:t>
      </w:r>
      <w:r w:rsidRPr="00A058B6">
        <w:t>the number of days in the period beginning on the day after the first valuation date and ending at the end of the second valuation date</w:t>
      </w:r>
      <w:r w:rsidR="00D7157D">
        <w:t>.</w:t>
      </w:r>
    </w:p>
    <w:p w14:paraId="0B70B6B5" w14:textId="77777777" w:rsidR="00647C6B" w:rsidRPr="00A058B6" w:rsidRDefault="00647C6B" w:rsidP="00647C6B">
      <w:pPr>
        <w:pStyle w:val="subsection"/>
      </w:pPr>
      <w:r w:rsidRPr="00A058B6">
        <w:tab/>
        <w:t>(4)</w:t>
      </w:r>
      <w:r w:rsidRPr="00A058B6">
        <w:tab/>
        <w:t>For the purpose of determining the amount (</w:t>
      </w:r>
      <w:r w:rsidRPr="00A058B6">
        <w:rPr>
          <w:b/>
          <w:i/>
        </w:rPr>
        <w:t>A</w:t>
      </w:r>
      <w:r w:rsidRPr="00A058B6">
        <w:t xml:space="preserve">) under </w:t>
      </w:r>
      <w:r w:rsidR="00B05FD6">
        <w:t>subclause (</w:t>
      </w:r>
      <w:r w:rsidRPr="00A058B6">
        <w:t>3):</w:t>
      </w:r>
    </w:p>
    <w:p w14:paraId="7E1E042F" w14:textId="77777777" w:rsidR="00647C6B" w:rsidRPr="00A058B6" w:rsidRDefault="00647C6B" w:rsidP="00647C6B">
      <w:pPr>
        <w:pStyle w:val="paragraph"/>
      </w:pPr>
      <w:r w:rsidRPr="00A058B6">
        <w:tab/>
        <w:t>(a)</w:t>
      </w:r>
      <w:r w:rsidRPr="00A058B6">
        <w:tab/>
        <w:t>if, in relation to the interest, evidence of the contents of one member information statement only is before the court in the relevant proceeding, and the relevant date is after the valuation date stated in that statement:</w:t>
      </w:r>
    </w:p>
    <w:p w14:paraId="60937562"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valuation date stated in that statement; and</w:t>
      </w:r>
    </w:p>
    <w:p w14:paraId="140B299D" w14:textId="77777777" w:rsidR="00647C6B" w:rsidRPr="00A058B6" w:rsidRDefault="00647C6B" w:rsidP="00647C6B">
      <w:pPr>
        <w:pStyle w:val="paragraphsub"/>
      </w:pPr>
      <w:r w:rsidRPr="00A058B6">
        <w:tab/>
        <w:t>(ii)</w:t>
      </w:r>
      <w:r w:rsidRPr="00A058B6">
        <w:tab/>
        <w:t xml:space="preserve">the </w:t>
      </w:r>
      <w:r w:rsidRPr="00A058B6">
        <w:rPr>
          <w:b/>
          <w:i/>
        </w:rPr>
        <w:t>total member credit at the first valuation date</w:t>
      </w:r>
      <w:r w:rsidRPr="00A058B6">
        <w:t xml:space="preserve"> is the total member credit stated in that statement; and</w:t>
      </w:r>
    </w:p>
    <w:p w14:paraId="0B482CED"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a date after the relevant date that is within 28 days before the date when the valuation of the interest is being carried out; and</w:t>
      </w:r>
    </w:p>
    <w:p w14:paraId="6AF03F1C" w14:textId="77777777" w:rsidR="00647C6B" w:rsidRPr="00A058B6" w:rsidRDefault="00647C6B" w:rsidP="00647C6B">
      <w:pPr>
        <w:pStyle w:val="paragraphsub"/>
      </w:pPr>
      <w:r w:rsidRPr="00A058B6">
        <w:tab/>
        <w:t>(iv)</w:t>
      </w:r>
      <w:r w:rsidRPr="00A058B6">
        <w:tab/>
        <w:t xml:space="preserve">the </w:t>
      </w:r>
      <w:r w:rsidRPr="00A058B6">
        <w:rPr>
          <w:b/>
          <w:i/>
        </w:rPr>
        <w:t xml:space="preserve">total member credit </w:t>
      </w:r>
      <w:r w:rsidRPr="00A058B6">
        <w:rPr>
          <w:b/>
          <w:bCs/>
          <w:i/>
          <w:iCs/>
        </w:rPr>
        <w:t>at the second valuation date</w:t>
      </w:r>
      <w:r w:rsidRPr="00A058B6">
        <w:t xml:space="preserve"> is the total member credit at that date; and</w:t>
      </w:r>
    </w:p>
    <w:p w14:paraId="1DB20C29" w14:textId="77777777" w:rsidR="00647C6B" w:rsidRPr="00A058B6" w:rsidRDefault="00647C6B" w:rsidP="00647C6B">
      <w:pPr>
        <w:pStyle w:val="paragraph"/>
      </w:pPr>
      <w:r w:rsidRPr="00A058B6">
        <w:tab/>
        <w:t>(b)</w:t>
      </w:r>
      <w:r w:rsidRPr="00A058B6">
        <w:tab/>
        <w:t xml:space="preserve">if, in relation to the interest, evidence of the contents of 2 member information statements is before the court in the relevant proceeding, and the relevant date is between the valuation date stated in one of those statements (the </w:t>
      </w:r>
      <w:r w:rsidRPr="00A058B6">
        <w:rPr>
          <w:b/>
          <w:bCs/>
          <w:i/>
          <w:iCs/>
        </w:rPr>
        <w:t>first statement</w:t>
      </w:r>
      <w:r w:rsidRPr="00A058B6">
        <w:t xml:space="preserve">) and the valuation date stated in the other statement (the </w:t>
      </w:r>
      <w:r w:rsidRPr="00A058B6">
        <w:rPr>
          <w:b/>
          <w:bCs/>
          <w:i/>
          <w:iCs/>
        </w:rPr>
        <w:t>second statement</w:t>
      </w:r>
      <w:r w:rsidRPr="00A058B6">
        <w:t>):</w:t>
      </w:r>
    </w:p>
    <w:p w14:paraId="52894574"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valuation date stated in the first statement; and</w:t>
      </w:r>
    </w:p>
    <w:p w14:paraId="773A54B2" w14:textId="77777777" w:rsidR="00647C6B" w:rsidRPr="00A058B6" w:rsidRDefault="00647C6B" w:rsidP="00647C6B">
      <w:pPr>
        <w:pStyle w:val="paragraphsub"/>
      </w:pPr>
      <w:r w:rsidRPr="00A058B6">
        <w:tab/>
        <w:t>(ii)</w:t>
      </w:r>
      <w:r w:rsidRPr="00A058B6">
        <w:tab/>
        <w:t xml:space="preserve">the </w:t>
      </w:r>
      <w:r w:rsidRPr="00A058B6">
        <w:rPr>
          <w:b/>
          <w:i/>
        </w:rPr>
        <w:t xml:space="preserve">total member credit </w:t>
      </w:r>
      <w:r w:rsidRPr="00A058B6">
        <w:rPr>
          <w:b/>
          <w:bCs/>
          <w:i/>
          <w:iCs/>
        </w:rPr>
        <w:t>at the first valuation date</w:t>
      </w:r>
      <w:r w:rsidRPr="00A058B6">
        <w:t xml:space="preserve"> is the total member credit stated in the first statement; and</w:t>
      </w:r>
    </w:p>
    <w:p w14:paraId="13D01D8A"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the valuation date stated in the second statement; and</w:t>
      </w:r>
    </w:p>
    <w:p w14:paraId="3209E7C3" w14:textId="77777777" w:rsidR="00647C6B" w:rsidRPr="00A058B6" w:rsidRDefault="00647C6B" w:rsidP="00647C6B">
      <w:pPr>
        <w:pStyle w:val="paragraphsub"/>
      </w:pPr>
      <w:r w:rsidRPr="00A058B6">
        <w:tab/>
        <w:t>(iv)</w:t>
      </w:r>
      <w:r w:rsidRPr="00A058B6">
        <w:tab/>
        <w:t xml:space="preserve">the </w:t>
      </w:r>
      <w:r w:rsidRPr="00A058B6">
        <w:rPr>
          <w:b/>
          <w:i/>
        </w:rPr>
        <w:t xml:space="preserve">total member credit </w:t>
      </w:r>
      <w:r w:rsidRPr="00A058B6">
        <w:rPr>
          <w:b/>
          <w:bCs/>
          <w:i/>
          <w:iCs/>
        </w:rPr>
        <w:t>at the second valuation date</w:t>
      </w:r>
      <w:r w:rsidRPr="00A058B6">
        <w:t xml:space="preserve"> is the total member credit stated in the second statement; and</w:t>
      </w:r>
    </w:p>
    <w:p w14:paraId="410CF942" w14:textId="77777777" w:rsidR="00647C6B" w:rsidRPr="00A058B6" w:rsidRDefault="00647C6B" w:rsidP="00647C6B">
      <w:pPr>
        <w:pStyle w:val="paragraph"/>
      </w:pPr>
      <w:r w:rsidRPr="00A058B6">
        <w:tab/>
        <w:t>(c)</w:t>
      </w:r>
      <w:r w:rsidRPr="00A058B6">
        <w:tab/>
        <w:t>if, in relation to the interest, evidence of the contents of one member information statement only is before the court in the relevant proceeding, and the relevant date is before the valuation date stated in that statement:</w:t>
      </w:r>
    </w:p>
    <w:p w14:paraId="29C33584"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date when the interest was acquired by the member spouse; and</w:t>
      </w:r>
    </w:p>
    <w:p w14:paraId="40E8C8F1" w14:textId="77777777" w:rsidR="00647C6B" w:rsidRPr="00A058B6" w:rsidRDefault="00647C6B" w:rsidP="00647C6B">
      <w:pPr>
        <w:pStyle w:val="paragraphsub"/>
      </w:pPr>
      <w:r w:rsidRPr="00A058B6">
        <w:tab/>
        <w:t>(ii)</w:t>
      </w:r>
      <w:r w:rsidRPr="00A058B6">
        <w:tab/>
        <w:t xml:space="preserve">the </w:t>
      </w:r>
      <w:r w:rsidRPr="00A058B6">
        <w:rPr>
          <w:b/>
          <w:i/>
        </w:rPr>
        <w:t xml:space="preserve">total member credit </w:t>
      </w:r>
      <w:r w:rsidRPr="00A058B6">
        <w:rPr>
          <w:b/>
          <w:bCs/>
          <w:i/>
          <w:iCs/>
        </w:rPr>
        <w:t>at the first valuation date</w:t>
      </w:r>
      <w:r w:rsidRPr="00A058B6">
        <w:t xml:space="preserve"> is the total member credit at that date; and</w:t>
      </w:r>
    </w:p>
    <w:p w14:paraId="3D71A409"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the valuation date stated in the statement; and</w:t>
      </w:r>
    </w:p>
    <w:p w14:paraId="4BAEC8FB" w14:textId="77777777" w:rsidR="00647C6B" w:rsidRPr="00A058B6" w:rsidRDefault="00647C6B" w:rsidP="00647C6B">
      <w:pPr>
        <w:pStyle w:val="paragraphsub"/>
      </w:pPr>
      <w:r w:rsidRPr="00A058B6">
        <w:tab/>
        <w:t>(iv)</w:t>
      </w:r>
      <w:r w:rsidRPr="00A058B6">
        <w:tab/>
        <w:t xml:space="preserve">the </w:t>
      </w:r>
      <w:r w:rsidRPr="00A058B6">
        <w:rPr>
          <w:b/>
          <w:i/>
        </w:rPr>
        <w:t xml:space="preserve">total member credit </w:t>
      </w:r>
      <w:r w:rsidRPr="00A058B6">
        <w:rPr>
          <w:b/>
          <w:bCs/>
          <w:i/>
          <w:iCs/>
        </w:rPr>
        <w:t>at the second valuation date</w:t>
      </w:r>
      <w:r w:rsidRPr="00A058B6">
        <w:t xml:space="preserve"> is the total member credit stated in the statement; and</w:t>
      </w:r>
    </w:p>
    <w:p w14:paraId="0B612B9D" w14:textId="77777777" w:rsidR="00647C6B" w:rsidRPr="00A058B6" w:rsidRDefault="00647C6B" w:rsidP="00647C6B">
      <w:pPr>
        <w:pStyle w:val="paragraph"/>
      </w:pPr>
      <w:r w:rsidRPr="00A058B6">
        <w:tab/>
        <w:t>(d)</w:t>
      </w:r>
      <w:r w:rsidRPr="00A058B6">
        <w:tab/>
        <w:t>in any other case:</w:t>
      </w:r>
    </w:p>
    <w:p w14:paraId="29D2E520" w14:textId="77777777" w:rsidR="00647C6B" w:rsidRPr="00A058B6" w:rsidRDefault="00647C6B" w:rsidP="00647C6B">
      <w:pPr>
        <w:pStyle w:val="paragraphsub"/>
      </w:pPr>
      <w:r w:rsidRPr="00A058B6">
        <w:tab/>
        <w:t>(i)</w:t>
      </w:r>
      <w:r w:rsidRPr="00A058B6">
        <w:tab/>
        <w:t xml:space="preserve">the </w:t>
      </w:r>
      <w:r w:rsidRPr="00A058B6">
        <w:rPr>
          <w:b/>
          <w:bCs/>
          <w:i/>
          <w:iCs/>
        </w:rPr>
        <w:t>first valuation date</w:t>
      </w:r>
      <w:r w:rsidRPr="00A058B6">
        <w:t xml:space="preserve"> is the date when the interest was acquired by the member spouse; and</w:t>
      </w:r>
    </w:p>
    <w:p w14:paraId="1AACD438" w14:textId="77777777" w:rsidR="00647C6B" w:rsidRPr="00A058B6" w:rsidRDefault="00647C6B" w:rsidP="00647C6B">
      <w:pPr>
        <w:pStyle w:val="paragraphsub"/>
      </w:pPr>
      <w:r w:rsidRPr="00A058B6">
        <w:tab/>
        <w:t>(ii)</w:t>
      </w:r>
      <w:r w:rsidRPr="00A058B6">
        <w:tab/>
        <w:t xml:space="preserve">the </w:t>
      </w:r>
      <w:r w:rsidRPr="00A058B6">
        <w:rPr>
          <w:b/>
          <w:i/>
        </w:rPr>
        <w:t xml:space="preserve">total member credit </w:t>
      </w:r>
      <w:r w:rsidRPr="00A058B6">
        <w:rPr>
          <w:b/>
          <w:bCs/>
          <w:i/>
          <w:iCs/>
        </w:rPr>
        <w:t>at the first valuation date</w:t>
      </w:r>
      <w:r w:rsidRPr="00A058B6">
        <w:t xml:space="preserve"> is the total member credit at that date; and</w:t>
      </w:r>
    </w:p>
    <w:p w14:paraId="735628C7" w14:textId="77777777" w:rsidR="00647C6B" w:rsidRPr="00A058B6" w:rsidRDefault="00647C6B" w:rsidP="00647C6B">
      <w:pPr>
        <w:pStyle w:val="paragraphsub"/>
      </w:pPr>
      <w:r w:rsidRPr="00A058B6">
        <w:tab/>
        <w:t>(iii)</w:t>
      </w:r>
      <w:r w:rsidRPr="00A058B6">
        <w:tab/>
        <w:t xml:space="preserve">the </w:t>
      </w:r>
      <w:r w:rsidRPr="00A058B6">
        <w:rPr>
          <w:b/>
          <w:bCs/>
          <w:i/>
          <w:iCs/>
        </w:rPr>
        <w:t>second valuation date</w:t>
      </w:r>
      <w:r w:rsidRPr="00A058B6">
        <w:t xml:space="preserve"> is a date after the relevant date that is within 28 days before the date when the valuation of the interest is being carried out; and</w:t>
      </w:r>
    </w:p>
    <w:p w14:paraId="4B676296" w14:textId="77777777" w:rsidR="00647C6B" w:rsidRPr="00A058B6" w:rsidRDefault="00647C6B" w:rsidP="00647C6B">
      <w:pPr>
        <w:pStyle w:val="paragraphsub"/>
      </w:pPr>
      <w:r w:rsidRPr="00A058B6">
        <w:tab/>
        <w:t>(iv)</w:t>
      </w:r>
      <w:r w:rsidRPr="00A058B6">
        <w:tab/>
        <w:t xml:space="preserve">the </w:t>
      </w:r>
      <w:r w:rsidRPr="00A058B6">
        <w:rPr>
          <w:b/>
          <w:i/>
        </w:rPr>
        <w:t xml:space="preserve">total member credit </w:t>
      </w:r>
      <w:r w:rsidRPr="00A058B6">
        <w:rPr>
          <w:b/>
          <w:bCs/>
          <w:i/>
          <w:iCs/>
        </w:rPr>
        <w:t>at the second valuation date</w:t>
      </w:r>
      <w:r w:rsidRPr="00A058B6">
        <w:t xml:space="preserve"> is the total member credit at that date</w:t>
      </w:r>
      <w:r w:rsidR="00D7157D">
        <w:t>.</w:t>
      </w:r>
    </w:p>
    <w:p w14:paraId="583DFDEA" w14:textId="77777777" w:rsidR="00647C6B" w:rsidRPr="00A058B6" w:rsidRDefault="00647C6B" w:rsidP="00647C6B">
      <w:pPr>
        <w:pStyle w:val="subsection"/>
      </w:pPr>
      <w:r w:rsidRPr="00A058B6">
        <w:tab/>
        <w:t>(5)</w:t>
      </w:r>
      <w:r w:rsidRPr="00A058B6">
        <w:tab/>
        <w:t xml:space="preserve">For </w:t>
      </w:r>
      <w:r w:rsidR="005F1D1D" w:rsidRPr="00A058B6">
        <w:t xml:space="preserve">the purposes of </w:t>
      </w:r>
      <w:r w:rsidRPr="00A058B6">
        <w:t>subparagraphs (4)(a)(iv) and (d)(iv), the total member credit at the second valuation date includes:</w:t>
      </w:r>
    </w:p>
    <w:p w14:paraId="5D42E9A6" w14:textId="77777777" w:rsidR="00647C6B" w:rsidRPr="00A058B6" w:rsidRDefault="00647C6B" w:rsidP="00647C6B">
      <w:pPr>
        <w:pStyle w:val="paragraph"/>
      </w:pPr>
      <w:r w:rsidRPr="00A058B6">
        <w:tab/>
        <w:t>(a)</w:t>
      </w:r>
      <w:r w:rsidRPr="00A058B6">
        <w:tab/>
        <w:t>any amount payable under an earlier payment split that applies in respect of the interest; and</w:t>
      </w:r>
    </w:p>
    <w:p w14:paraId="6B0A77DE" w14:textId="77777777" w:rsidR="00647C6B" w:rsidRPr="00A058B6" w:rsidRDefault="00647C6B" w:rsidP="00647C6B">
      <w:pPr>
        <w:pStyle w:val="paragraph"/>
      </w:pPr>
      <w:r w:rsidRPr="00A058B6">
        <w:tab/>
        <w:t>(b)</w:t>
      </w:r>
      <w:r w:rsidRPr="00A058B6">
        <w:tab/>
        <w:t>the amount of any surcharge debt of the member spouse in respect of the interest</w:t>
      </w:r>
      <w:r w:rsidR="00D7157D">
        <w:t>.</w:t>
      </w:r>
    </w:p>
    <w:p w14:paraId="0BA57570" w14:textId="77777777" w:rsidR="00647C6B" w:rsidRPr="00A058B6" w:rsidRDefault="00647C6B" w:rsidP="00647C6B">
      <w:pPr>
        <w:pStyle w:val="subsection"/>
      </w:pPr>
      <w:r w:rsidRPr="00A058B6">
        <w:tab/>
        <w:t>(6)</w:t>
      </w:r>
      <w:r w:rsidRPr="00A058B6">
        <w:tab/>
        <w:t>In this clause:</w:t>
      </w:r>
    </w:p>
    <w:p w14:paraId="659711D7" w14:textId="77777777" w:rsidR="00647C6B" w:rsidRPr="00A058B6" w:rsidRDefault="00647C6B" w:rsidP="00647C6B">
      <w:pPr>
        <w:pStyle w:val="Definition"/>
      </w:pPr>
      <w:r w:rsidRPr="00A058B6">
        <w:rPr>
          <w:b/>
          <w:bCs/>
          <w:i/>
          <w:iCs/>
        </w:rPr>
        <w:t>total member credit</w:t>
      </w:r>
      <w:r w:rsidRPr="00A058B6">
        <w:rPr>
          <w:bCs/>
          <w:iCs/>
        </w:rPr>
        <w:t xml:space="preserve">, in relation to a superannuation interest of a member spouse and a date, means the total </w:t>
      </w:r>
      <w:r w:rsidRPr="00A058B6">
        <w:t>amount that would be standing to the credit of the member spouse in respect of the interest if the benefit in respect of the interest were fully vested at that date</w:t>
      </w:r>
      <w:r w:rsidR="00D7157D">
        <w:t>.</w:t>
      </w:r>
    </w:p>
    <w:p w14:paraId="6F94623C" w14:textId="77777777" w:rsidR="00647C6B" w:rsidRPr="00A058B6" w:rsidRDefault="00647C6B" w:rsidP="00647C6B">
      <w:pPr>
        <w:pStyle w:val="Definition"/>
      </w:pPr>
      <w:r w:rsidRPr="00A058B6">
        <w:rPr>
          <w:b/>
          <w:i/>
        </w:rPr>
        <w:t>valuation date</w:t>
      </w:r>
      <w:r w:rsidRPr="00A058B6">
        <w:t>, in relation to a superannuation interest to which a member information statement applies, means the date as at which the total member credit in respect of the interest is stated in the statement</w:t>
      </w:r>
      <w:r w:rsidR="00D7157D">
        <w:t>.</w:t>
      </w:r>
    </w:p>
    <w:p w14:paraId="2A897EAD" w14:textId="77777777" w:rsidR="00647C6B" w:rsidRPr="00A058B6" w:rsidRDefault="0046460D" w:rsidP="00647C6B">
      <w:pPr>
        <w:pStyle w:val="ActHead5"/>
      </w:pPr>
      <w:bookmarkStart w:id="296" w:name="_Toc188350774"/>
      <w:r w:rsidRPr="00423C34">
        <w:rPr>
          <w:rStyle w:val="CharSectno"/>
        </w:rPr>
        <w:t>5</w:t>
      </w:r>
      <w:r w:rsidR="00647C6B" w:rsidRPr="00A058B6">
        <w:t xml:space="preserve">  Vesting factors</w:t>
      </w:r>
      <w:bookmarkEnd w:id="296"/>
    </w:p>
    <w:p w14:paraId="77CD7575" w14:textId="77777777" w:rsidR="00647C6B" w:rsidRPr="00A058B6" w:rsidRDefault="00647C6B" w:rsidP="00647C6B">
      <w:pPr>
        <w:pStyle w:val="subsection"/>
      </w:pPr>
      <w:r w:rsidRPr="00A058B6">
        <w:tab/>
      </w:r>
      <w:r w:rsidRPr="00A058B6">
        <w:tab/>
        <w:t>This clause sets out the vesting factors</w:t>
      </w:r>
      <w:r w:rsidR="00D7157D">
        <w:t>.</w:t>
      </w:r>
    </w:p>
    <w:p w14:paraId="201FF5B4" w14:textId="77777777" w:rsidR="00647C6B" w:rsidRPr="00A058B6" w:rsidRDefault="00647C6B" w:rsidP="00647C6B">
      <w:pPr>
        <w:pStyle w:val="Tabletext"/>
      </w:pPr>
    </w:p>
    <w:tbl>
      <w:tblPr>
        <w:tblW w:w="5000" w:type="pct"/>
        <w:tblLook w:val="0000" w:firstRow="0" w:lastRow="0" w:firstColumn="0" w:lastColumn="0" w:noHBand="0" w:noVBand="0"/>
      </w:tblPr>
      <w:tblGrid>
        <w:gridCol w:w="1665"/>
        <w:gridCol w:w="1107"/>
        <w:gridCol w:w="1109"/>
        <w:gridCol w:w="1109"/>
        <w:gridCol w:w="1107"/>
        <w:gridCol w:w="1109"/>
        <w:gridCol w:w="1107"/>
      </w:tblGrid>
      <w:tr w:rsidR="00647C6B" w:rsidRPr="00A058B6" w14:paraId="09FA2E00" w14:textId="77777777" w:rsidTr="00FA26AF">
        <w:trPr>
          <w:cantSplit/>
          <w:trHeight w:val="383"/>
          <w:tblHeader/>
        </w:trPr>
        <w:tc>
          <w:tcPr>
            <w:tcW w:w="1001" w:type="pct"/>
            <w:vMerge w:val="restart"/>
            <w:tcBorders>
              <w:top w:val="single" w:sz="12" w:space="0" w:color="auto"/>
              <w:left w:val="nil"/>
              <w:bottom w:val="single" w:sz="12" w:space="0" w:color="auto"/>
              <w:right w:val="nil"/>
            </w:tcBorders>
          </w:tcPr>
          <w:p w14:paraId="0521B8F6" w14:textId="77777777" w:rsidR="00647C6B" w:rsidRPr="00A058B6" w:rsidRDefault="00647C6B" w:rsidP="009C0D79">
            <w:pPr>
              <w:pStyle w:val="TableHeading"/>
            </w:pPr>
            <w:r w:rsidRPr="00A058B6">
              <w:t>Length of membership</w:t>
            </w:r>
            <w:r w:rsidR="001462B9">
              <w:br/>
            </w:r>
            <w:r w:rsidRPr="00A058B6">
              <w:t>(in completed years)</w:t>
            </w:r>
          </w:p>
        </w:tc>
        <w:tc>
          <w:tcPr>
            <w:tcW w:w="3999" w:type="pct"/>
            <w:gridSpan w:val="6"/>
            <w:tcBorders>
              <w:top w:val="single" w:sz="12" w:space="0" w:color="auto"/>
              <w:left w:val="nil"/>
              <w:bottom w:val="single" w:sz="4" w:space="0" w:color="auto"/>
              <w:right w:val="nil"/>
            </w:tcBorders>
          </w:tcPr>
          <w:p w14:paraId="79C15C2D" w14:textId="77777777" w:rsidR="00647C6B" w:rsidRPr="00A058B6" w:rsidRDefault="00647C6B" w:rsidP="009C0D79">
            <w:pPr>
              <w:pStyle w:val="TableHeading"/>
            </w:pPr>
            <w:r w:rsidRPr="00A058B6">
              <w:t>Vesting factors</w:t>
            </w:r>
            <w:r w:rsidRPr="00A058B6">
              <w:br/>
              <w:t>2, 3, 4, 5, 6 and 7 year vesting periods</w:t>
            </w:r>
          </w:p>
        </w:tc>
      </w:tr>
      <w:tr w:rsidR="00647C6B" w:rsidRPr="00A058B6" w14:paraId="4052E09D" w14:textId="77777777" w:rsidTr="00FA26AF">
        <w:trPr>
          <w:cantSplit/>
          <w:trHeight w:val="382"/>
          <w:tblHeader/>
        </w:trPr>
        <w:tc>
          <w:tcPr>
            <w:tcW w:w="1001" w:type="pct"/>
            <w:vMerge/>
            <w:tcBorders>
              <w:top w:val="nil"/>
              <w:left w:val="nil"/>
              <w:bottom w:val="single" w:sz="12" w:space="0" w:color="auto"/>
              <w:right w:val="nil"/>
            </w:tcBorders>
          </w:tcPr>
          <w:p w14:paraId="5DC36F05" w14:textId="77777777" w:rsidR="00647C6B" w:rsidRPr="00A058B6" w:rsidRDefault="00647C6B" w:rsidP="009C0D79">
            <w:pPr>
              <w:pStyle w:val="TableHeading"/>
            </w:pPr>
          </w:p>
        </w:tc>
        <w:tc>
          <w:tcPr>
            <w:tcW w:w="666" w:type="pct"/>
            <w:tcBorders>
              <w:top w:val="nil"/>
              <w:left w:val="nil"/>
              <w:bottom w:val="single" w:sz="12" w:space="0" w:color="auto"/>
              <w:right w:val="nil"/>
            </w:tcBorders>
          </w:tcPr>
          <w:p w14:paraId="2D86F56C" w14:textId="77777777" w:rsidR="00647C6B" w:rsidRPr="00A058B6" w:rsidRDefault="00647C6B" w:rsidP="009C0D79">
            <w:pPr>
              <w:pStyle w:val="TableHeading"/>
            </w:pPr>
            <w:r w:rsidRPr="00A058B6">
              <w:t>2 year vesting period</w:t>
            </w:r>
          </w:p>
        </w:tc>
        <w:tc>
          <w:tcPr>
            <w:tcW w:w="667" w:type="pct"/>
            <w:tcBorders>
              <w:top w:val="single" w:sz="4" w:space="0" w:color="auto"/>
              <w:left w:val="nil"/>
              <w:bottom w:val="single" w:sz="12" w:space="0" w:color="auto"/>
              <w:right w:val="nil"/>
            </w:tcBorders>
          </w:tcPr>
          <w:p w14:paraId="2D820B93" w14:textId="77777777" w:rsidR="00647C6B" w:rsidRPr="00A058B6" w:rsidRDefault="00647C6B" w:rsidP="009C0D79">
            <w:pPr>
              <w:pStyle w:val="TableHeading"/>
            </w:pPr>
            <w:r w:rsidRPr="00A058B6">
              <w:t>3 year vesting period</w:t>
            </w:r>
          </w:p>
        </w:tc>
        <w:tc>
          <w:tcPr>
            <w:tcW w:w="667" w:type="pct"/>
            <w:tcBorders>
              <w:top w:val="single" w:sz="4" w:space="0" w:color="auto"/>
              <w:left w:val="nil"/>
              <w:bottom w:val="single" w:sz="12" w:space="0" w:color="auto"/>
              <w:right w:val="nil"/>
            </w:tcBorders>
          </w:tcPr>
          <w:p w14:paraId="7102C9FC" w14:textId="77777777" w:rsidR="00647C6B" w:rsidRPr="00A058B6" w:rsidRDefault="00647C6B" w:rsidP="009C0D79">
            <w:pPr>
              <w:pStyle w:val="TableHeading"/>
            </w:pPr>
            <w:r w:rsidRPr="00A058B6">
              <w:t>4 year vesting period</w:t>
            </w:r>
          </w:p>
        </w:tc>
        <w:tc>
          <w:tcPr>
            <w:tcW w:w="666" w:type="pct"/>
            <w:tcBorders>
              <w:top w:val="single" w:sz="4" w:space="0" w:color="auto"/>
              <w:left w:val="nil"/>
              <w:bottom w:val="single" w:sz="12" w:space="0" w:color="auto"/>
              <w:right w:val="nil"/>
            </w:tcBorders>
          </w:tcPr>
          <w:p w14:paraId="130BC29C" w14:textId="77777777" w:rsidR="00647C6B" w:rsidRPr="00A058B6" w:rsidRDefault="00647C6B" w:rsidP="009C0D79">
            <w:pPr>
              <w:pStyle w:val="TableHeading"/>
            </w:pPr>
            <w:r w:rsidRPr="00A058B6">
              <w:t>5 year vesting period</w:t>
            </w:r>
          </w:p>
        </w:tc>
        <w:tc>
          <w:tcPr>
            <w:tcW w:w="667" w:type="pct"/>
            <w:tcBorders>
              <w:top w:val="single" w:sz="4" w:space="0" w:color="auto"/>
              <w:left w:val="nil"/>
              <w:bottom w:val="single" w:sz="12" w:space="0" w:color="auto"/>
              <w:right w:val="nil"/>
            </w:tcBorders>
            <w:shd w:val="clear" w:color="auto" w:fill="auto"/>
          </w:tcPr>
          <w:p w14:paraId="45358A1A" w14:textId="77777777" w:rsidR="00647C6B" w:rsidRPr="00A058B6" w:rsidRDefault="00647C6B" w:rsidP="009C0D79">
            <w:pPr>
              <w:pStyle w:val="TableHeading"/>
            </w:pPr>
            <w:r w:rsidRPr="00A058B6">
              <w:t>6 year vesting period</w:t>
            </w:r>
          </w:p>
        </w:tc>
        <w:tc>
          <w:tcPr>
            <w:tcW w:w="666" w:type="pct"/>
            <w:tcBorders>
              <w:top w:val="single" w:sz="4" w:space="0" w:color="auto"/>
              <w:left w:val="nil"/>
              <w:bottom w:val="single" w:sz="12" w:space="0" w:color="auto"/>
              <w:right w:val="nil"/>
            </w:tcBorders>
            <w:shd w:val="clear" w:color="auto" w:fill="auto"/>
          </w:tcPr>
          <w:p w14:paraId="31FFE076" w14:textId="77777777" w:rsidR="00647C6B" w:rsidRPr="00A058B6" w:rsidRDefault="00647C6B" w:rsidP="009C0D79">
            <w:pPr>
              <w:pStyle w:val="TableHeading"/>
            </w:pPr>
            <w:r w:rsidRPr="00A058B6">
              <w:t>7 year vesting period</w:t>
            </w:r>
          </w:p>
        </w:tc>
      </w:tr>
      <w:tr w:rsidR="00647C6B" w:rsidRPr="00A058B6" w14:paraId="6143E417" w14:textId="77777777" w:rsidTr="00FA26AF">
        <w:trPr>
          <w:cantSplit/>
        </w:trPr>
        <w:tc>
          <w:tcPr>
            <w:tcW w:w="1001" w:type="pct"/>
            <w:tcBorders>
              <w:top w:val="single" w:sz="12" w:space="0" w:color="auto"/>
              <w:left w:val="nil"/>
              <w:bottom w:val="single" w:sz="4" w:space="0" w:color="auto"/>
              <w:right w:val="nil"/>
            </w:tcBorders>
          </w:tcPr>
          <w:p w14:paraId="467FC765" w14:textId="77777777" w:rsidR="00647C6B" w:rsidRPr="00A058B6" w:rsidRDefault="00647C6B" w:rsidP="009C0D79">
            <w:pPr>
              <w:pStyle w:val="Tabletext"/>
            </w:pPr>
            <w:r w:rsidRPr="00A058B6">
              <w:t>0</w:t>
            </w:r>
          </w:p>
        </w:tc>
        <w:tc>
          <w:tcPr>
            <w:tcW w:w="666" w:type="pct"/>
            <w:tcBorders>
              <w:top w:val="single" w:sz="12" w:space="0" w:color="auto"/>
              <w:left w:val="nil"/>
              <w:bottom w:val="single" w:sz="4" w:space="0" w:color="auto"/>
              <w:right w:val="nil"/>
            </w:tcBorders>
          </w:tcPr>
          <w:p w14:paraId="2F1137CC" w14:textId="77777777" w:rsidR="00647C6B" w:rsidRPr="00A058B6" w:rsidRDefault="00647C6B" w:rsidP="009C0D79">
            <w:pPr>
              <w:pStyle w:val="Tabletext"/>
            </w:pPr>
            <w:r w:rsidRPr="00A058B6">
              <w:t>0</w:t>
            </w:r>
            <w:r w:rsidR="00D7157D">
              <w:t>.</w:t>
            </w:r>
            <w:r w:rsidRPr="00A058B6">
              <w:t>82</w:t>
            </w:r>
          </w:p>
        </w:tc>
        <w:tc>
          <w:tcPr>
            <w:tcW w:w="667" w:type="pct"/>
            <w:tcBorders>
              <w:top w:val="single" w:sz="12" w:space="0" w:color="auto"/>
              <w:left w:val="nil"/>
              <w:bottom w:val="single" w:sz="4" w:space="0" w:color="auto"/>
              <w:right w:val="nil"/>
            </w:tcBorders>
          </w:tcPr>
          <w:p w14:paraId="4296593D" w14:textId="77777777" w:rsidR="00647C6B" w:rsidRPr="00A058B6" w:rsidRDefault="00647C6B" w:rsidP="009C0D79">
            <w:pPr>
              <w:pStyle w:val="Tabletext"/>
            </w:pPr>
            <w:r w:rsidRPr="00A058B6">
              <w:t>0</w:t>
            </w:r>
            <w:r w:rsidR="00D7157D">
              <w:t>.</w:t>
            </w:r>
            <w:r w:rsidRPr="00A058B6">
              <w:t>77</w:t>
            </w:r>
          </w:p>
        </w:tc>
        <w:tc>
          <w:tcPr>
            <w:tcW w:w="667" w:type="pct"/>
            <w:tcBorders>
              <w:top w:val="single" w:sz="12" w:space="0" w:color="auto"/>
              <w:left w:val="nil"/>
              <w:bottom w:val="single" w:sz="4" w:space="0" w:color="auto"/>
              <w:right w:val="nil"/>
            </w:tcBorders>
          </w:tcPr>
          <w:p w14:paraId="1CEA419E" w14:textId="77777777" w:rsidR="00647C6B" w:rsidRPr="00A058B6" w:rsidRDefault="00647C6B" w:rsidP="009C0D79">
            <w:pPr>
              <w:pStyle w:val="Tabletext"/>
            </w:pPr>
            <w:r w:rsidRPr="00A058B6">
              <w:t>0</w:t>
            </w:r>
            <w:r w:rsidR="00D7157D">
              <w:t>.</w:t>
            </w:r>
            <w:r w:rsidRPr="00A058B6">
              <w:t>74</w:t>
            </w:r>
          </w:p>
        </w:tc>
        <w:tc>
          <w:tcPr>
            <w:tcW w:w="666" w:type="pct"/>
            <w:tcBorders>
              <w:top w:val="single" w:sz="12" w:space="0" w:color="auto"/>
              <w:left w:val="nil"/>
              <w:bottom w:val="single" w:sz="4" w:space="0" w:color="auto"/>
              <w:right w:val="nil"/>
            </w:tcBorders>
          </w:tcPr>
          <w:p w14:paraId="61E416AC" w14:textId="77777777" w:rsidR="00647C6B" w:rsidRPr="00A058B6" w:rsidRDefault="00647C6B" w:rsidP="009C0D79">
            <w:pPr>
              <w:pStyle w:val="Tabletext"/>
            </w:pPr>
            <w:r w:rsidRPr="00A058B6">
              <w:t>0</w:t>
            </w:r>
            <w:r w:rsidR="00D7157D">
              <w:t>.</w:t>
            </w:r>
            <w:r w:rsidRPr="00A058B6">
              <w:t>71</w:t>
            </w:r>
          </w:p>
        </w:tc>
        <w:tc>
          <w:tcPr>
            <w:tcW w:w="667" w:type="pct"/>
            <w:tcBorders>
              <w:top w:val="single" w:sz="12" w:space="0" w:color="auto"/>
              <w:left w:val="nil"/>
              <w:bottom w:val="single" w:sz="4" w:space="0" w:color="auto"/>
              <w:right w:val="nil"/>
            </w:tcBorders>
            <w:shd w:val="clear" w:color="auto" w:fill="auto"/>
          </w:tcPr>
          <w:p w14:paraId="0646C13E" w14:textId="77777777" w:rsidR="00647C6B" w:rsidRPr="00A058B6" w:rsidRDefault="00647C6B" w:rsidP="009C0D79">
            <w:pPr>
              <w:pStyle w:val="Tabletext"/>
            </w:pPr>
            <w:r w:rsidRPr="00A058B6">
              <w:t>0</w:t>
            </w:r>
            <w:r w:rsidR="00D7157D">
              <w:t>.</w:t>
            </w:r>
            <w:r w:rsidRPr="00A058B6">
              <w:t>68</w:t>
            </w:r>
          </w:p>
        </w:tc>
        <w:tc>
          <w:tcPr>
            <w:tcW w:w="666" w:type="pct"/>
            <w:tcBorders>
              <w:top w:val="single" w:sz="12" w:space="0" w:color="auto"/>
              <w:left w:val="nil"/>
              <w:bottom w:val="single" w:sz="4" w:space="0" w:color="auto"/>
              <w:right w:val="nil"/>
            </w:tcBorders>
            <w:shd w:val="clear" w:color="auto" w:fill="auto"/>
          </w:tcPr>
          <w:p w14:paraId="63702B8E" w14:textId="77777777" w:rsidR="00647C6B" w:rsidRPr="00A058B6" w:rsidRDefault="00647C6B" w:rsidP="009C0D79">
            <w:pPr>
              <w:pStyle w:val="Tabletext"/>
            </w:pPr>
            <w:r w:rsidRPr="00A058B6">
              <w:t>0</w:t>
            </w:r>
            <w:r w:rsidR="00D7157D">
              <w:t>.</w:t>
            </w:r>
            <w:r w:rsidRPr="00A058B6">
              <w:t>66</w:t>
            </w:r>
          </w:p>
        </w:tc>
      </w:tr>
      <w:tr w:rsidR="00647C6B" w:rsidRPr="00A058B6" w14:paraId="6814052C" w14:textId="77777777" w:rsidTr="00FA26AF">
        <w:trPr>
          <w:cantSplit/>
        </w:trPr>
        <w:tc>
          <w:tcPr>
            <w:tcW w:w="1001" w:type="pct"/>
            <w:tcBorders>
              <w:top w:val="single" w:sz="4" w:space="0" w:color="auto"/>
              <w:left w:val="nil"/>
              <w:bottom w:val="single" w:sz="4" w:space="0" w:color="auto"/>
              <w:right w:val="nil"/>
            </w:tcBorders>
          </w:tcPr>
          <w:p w14:paraId="049229B7" w14:textId="77777777" w:rsidR="00647C6B" w:rsidRPr="00A058B6" w:rsidRDefault="00647C6B" w:rsidP="009C0D79">
            <w:pPr>
              <w:pStyle w:val="Tabletext"/>
            </w:pPr>
            <w:r w:rsidRPr="00A058B6">
              <w:t>1</w:t>
            </w:r>
          </w:p>
        </w:tc>
        <w:tc>
          <w:tcPr>
            <w:tcW w:w="666" w:type="pct"/>
            <w:tcBorders>
              <w:top w:val="single" w:sz="4" w:space="0" w:color="auto"/>
              <w:left w:val="nil"/>
              <w:bottom w:val="single" w:sz="4" w:space="0" w:color="auto"/>
              <w:right w:val="nil"/>
            </w:tcBorders>
          </w:tcPr>
          <w:p w14:paraId="7656FF69" w14:textId="77777777" w:rsidR="00647C6B" w:rsidRPr="00A058B6" w:rsidRDefault="00647C6B" w:rsidP="009C0D79">
            <w:pPr>
              <w:pStyle w:val="Tabletext"/>
            </w:pPr>
            <w:r w:rsidRPr="00A058B6">
              <w:t>0</w:t>
            </w:r>
            <w:r w:rsidR="00D7157D">
              <w:t>.</w:t>
            </w:r>
            <w:r w:rsidRPr="00A058B6">
              <w:t>88</w:t>
            </w:r>
          </w:p>
        </w:tc>
        <w:tc>
          <w:tcPr>
            <w:tcW w:w="667" w:type="pct"/>
            <w:tcBorders>
              <w:top w:val="single" w:sz="4" w:space="0" w:color="auto"/>
              <w:left w:val="nil"/>
              <w:bottom w:val="single" w:sz="4" w:space="0" w:color="auto"/>
              <w:right w:val="nil"/>
            </w:tcBorders>
          </w:tcPr>
          <w:p w14:paraId="02914640" w14:textId="77777777" w:rsidR="00647C6B" w:rsidRPr="00A058B6" w:rsidRDefault="00647C6B" w:rsidP="009C0D79">
            <w:pPr>
              <w:pStyle w:val="Tabletext"/>
            </w:pPr>
            <w:r w:rsidRPr="00A058B6">
              <w:t>0</w:t>
            </w:r>
            <w:r w:rsidR="00D7157D">
              <w:t>.</w:t>
            </w:r>
            <w:r w:rsidRPr="00A058B6">
              <w:t>84</w:t>
            </w:r>
          </w:p>
        </w:tc>
        <w:tc>
          <w:tcPr>
            <w:tcW w:w="667" w:type="pct"/>
            <w:tcBorders>
              <w:top w:val="single" w:sz="4" w:space="0" w:color="auto"/>
              <w:left w:val="nil"/>
              <w:bottom w:val="single" w:sz="4" w:space="0" w:color="auto"/>
              <w:right w:val="nil"/>
            </w:tcBorders>
          </w:tcPr>
          <w:p w14:paraId="1A40B655" w14:textId="77777777" w:rsidR="00647C6B" w:rsidRPr="00A058B6" w:rsidRDefault="00647C6B" w:rsidP="009C0D79">
            <w:pPr>
              <w:pStyle w:val="Tabletext"/>
            </w:pPr>
            <w:r w:rsidRPr="00A058B6">
              <w:t>0</w:t>
            </w:r>
            <w:r w:rsidR="00D7157D">
              <w:t>.</w:t>
            </w:r>
            <w:r w:rsidRPr="00A058B6">
              <w:t>80</w:t>
            </w:r>
          </w:p>
        </w:tc>
        <w:tc>
          <w:tcPr>
            <w:tcW w:w="666" w:type="pct"/>
            <w:tcBorders>
              <w:top w:val="single" w:sz="4" w:space="0" w:color="auto"/>
              <w:left w:val="nil"/>
              <w:bottom w:val="single" w:sz="4" w:space="0" w:color="auto"/>
              <w:right w:val="nil"/>
            </w:tcBorders>
          </w:tcPr>
          <w:p w14:paraId="3F9F8D62" w14:textId="77777777" w:rsidR="00647C6B" w:rsidRPr="00A058B6" w:rsidRDefault="00647C6B" w:rsidP="009C0D79">
            <w:pPr>
              <w:pStyle w:val="Tabletext"/>
            </w:pPr>
            <w:r w:rsidRPr="00A058B6">
              <w:t>0</w:t>
            </w:r>
            <w:r w:rsidR="00D7157D">
              <w:t>.</w:t>
            </w:r>
            <w:r w:rsidRPr="00A058B6">
              <w:t>77</w:t>
            </w:r>
          </w:p>
        </w:tc>
        <w:tc>
          <w:tcPr>
            <w:tcW w:w="667" w:type="pct"/>
            <w:tcBorders>
              <w:top w:val="single" w:sz="4" w:space="0" w:color="auto"/>
              <w:left w:val="nil"/>
              <w:bottom w:val="single" w:sz="4" w:space="0" w:color="auto"/>
              <w:right w:val="nil"/>
            </w:tcBorders>
            <w:shd w:val="clear" w:color="auto" w:fill="auto"/>
          </w:tcPr>
          <w:p w14:paraId="66FFC36A" w14:textId="77777777" w:rsidR="00647C6B" w:rsidRPr="00A058B6" w:rsidRDefault="00647C6B" w:rsidP="009C0D79">
            <w:pPr>
              <w:pStyle w:val="Tabletext"/>
            </w:pPr>
            <w:r w:rsidRPr="00A058B6">
              <w:t>0</w:t>
            </w:r>
            <w:r w:rsidR="00D7157D">
              <w:t>.</w:t>
            </w:r>
            <w:r w:rsidRPr="00A058B6">
              <w:t>74</w:t>
            </w:r>
          </w:p>
        </w:tc>
        <w:tc>
          <w:tcPr>
            <w:tcW w:w="666" w:type="pct"/>
            <w:tcBorders>
              <w:top w:val="single" w:sz="4" w:space="0" w:color="auto"/>
              <w:left w:val="nil"/>
              <w:bottom w:val="single" w:sz="4" w:space="0" w:color="auto"/>
              <w:right w:val="nil"/>
            </w:tcBorders>
            <w:shd w:val="clear" w:color="auto" w:fill="auto"/>
          </w:tcPr>
          <w:p w14:paraId="7CF8990A" w14:textId="77777777" w:rsidR="00647C6B" w:rsidRPr="00A058B6" w:rsidRDefault="00647C6B" w:rsidP="009C0D79">
            <w:pPr>
              <w:pStyle w:val="Tabletext"/>
            </w:pPr>
            <w:r w:rsidRPr="00A058B6">
              <w:t>0</w:t>
            </w:r>
            <w:r w:rsidR="00D7157D">
              <w:t>.</w:t>
            </w:r>
            <w:r w:rsidRPr="00A058B6">
              <w:t>72</w:t>
            </w:r>
          </w:p>
        </w:tc>
      </w:tr>
      <w:tr w:rsidR="00647C6B" w:rsidRPr="00A058B6" w14:paraId="2EEE2D1D" w14:textId="77777777" w:rsidTr="00FA26AF">
        <w:trPr>
          <w:cantSplit/>
        </w:trPr>
        <w:tc>
          <w:tcPr>
            <w:tcW w:w="1001" w:type="pct"/>
            <w:tcBorders>
              <w:top w:val="single" w:sz="4" w:space="0" w:color="auto"/>
              <w:left w:val="nil"/>
              <w:bottom w:val="single" w:sz="4" w:space="0" w:color="auto"/>
              <w:right w:val="nil"/>
            </w:tcBorders>
          </w:tcPr>
          <w:p w14:paraId="63176297" w14:textId="77777777" w:rsidR="00647C6B" w:rsidRPr="00A058B6" w:rsidRDefault="00647C6B" w:rsidP="009C0D79">
            <w:pPr>
              <w:pStyle w:val="Tabletext"/>
            </w:pPr>
            <w:r w:rsidRPr="00A058B6">
              <w:t>2</w:t>
            </w:r>
          </w:p>
        </w:tc>
        <w:tc>
          <w:tcPr>
            <w:tcW w:w="666" w:type="pct"/>
            <w:tcBorders>
              <w:top w:val="single" w:sz="4" w:space="0" w:color="auto"/>
              <w:left w:val="nil"/>
              <w:bottom w:val="single" w:sz="4" w:space="0" w:color="auto"/>
              <w:right w:val="nil"/>
            </w:tcBorders>
          </w:tcPr>
          <w:p w14:paraId="132E337E" w14:textId="77777777" w:rsidR="00647C6B" w:rsidRPr="00A058B6" w:rsidRDefault="00647C6B" w:rsidP="009C0D79">
            <w:pPr>
              <w:pStyle w:val="Tabletext"/>
            </w:pPr>
            <w:r w:rsidRPr="00A058B6">
              <w:t>1</w:t>
            </w:r>
            <w:r w:rsidR="00D7157D">
              <w:t>.</w:t>
            </w:r>
            <w:r w:rsidRPr="00A058B6">
              <w:t>00</w:t>
            </w:r>
          </w:p>
        </w:tc>
        <w:tc>
          <w:tcPr>
            <w:tcW w:w="667" w:type="pct"/>
            <w:tcBorders>
              <w:top w:val="single" w:sz="4" w:space="0" w:color="auto"/>
              <w:left w:val="nil"/>
              <w:bottom w:val="single" w:sz="4" w:space="0" w:color="auto"/>
              <w:right w:val="nil"/>
            </w:tcBorders>
          </w:tcPr>
          <w:p w14:paraId="6E7A2D2E" w14:textId="77777777" w:rsidR="00647C6B" w:rsidRPr="00A058B6" w:rsidRDefault="00647C6B" w:rsidP="009C0D79">
            <w:pPr>
              <w:pStyle w:val="Tabletext"/>
            </w:pPr>
            <w:r w:rsidRPr="00A058B6">
              <w:t>0</w:t>
            </w:r>
            <w:r w:rsidR="00D7157D">
              <w:t>.</w:t>
            </w:r>
            <w:r w:rsidRPr="00A058B6">
              <w:t>90</w:t>
            </w:r>
          </w:p>
        </w:tc>
        <w:tc>
          <w:tcPr>
            <w:tcW w:w="667" w:type="pct"/>
            <w:tcBorders>
              <w:top w:val="single" w:sz="4" w:space="0" w:color="auto"/>
              <w:left w:val="nil"/>
              <w:bottom w:val="single" w:sz="4" w:space="0" w:color="auto"/>
              <w:right w:val="nil"/>
            </w:tcBorders>
          </w:tcPr>
          <w:p w14:paraId="602437B1" w14:textId="77777777" w:rsidR="00647C6B" w:rsidRPr="00A058B6" w:rsidRDefault="00647C6B" w:rsidP="009C0D79">
            <w:pPr>
              <w:pStyle w:val="Tabletext"/>
            </w:pPr>
            <w:r w:rsidRPr="00A058B6">
              <w:t>0</w:t>
            </w:r>
            <w:r w:rsidR="00D7157D">
              <w:t>.</w:t>
            </w:r>
            <w:r w:rsidRPr="00A058B6">
              <w:t>86</w:t>
            </w:r>
          </w:p>
        </w:tc>
        <w:tc>
          <w:tcPr>
            <w:tcW w:w="666" w:type="pct"/>
            <w:tcBorders>
              <w:top w:val="single" w:sz="4" w:space="0" w:color="auto"/>
              <w:left w:val="nil"/>
              <w:bottom w:val="single" w:sz="4" w:space="0" w:color="auto"/>
              <w:right w:val="nil"/>
            </w:tcBorders>
          </w:tcPr>
          <w:p w14:paraId="68797669" w14:textId="77777777" w:rsidR="00647C6B" w:rsidRPr="00A058B6" w:rsidRDefault="00647C6B" w:rsidP="009C0D79">
            <w:pPr>
              <w:pStyle w:val="Tabletext"/>
            </w:pPr>
            <w:r w:rsidRPr="00A058B6">
              <w:t>0</w:t>
            </w:r>
            <w:r w:rsidR="00D7157D">
              <w:t>.</w:t>
            </w:r>
            <w:r w:rsidRPr="00A058B6">
              <w:t>83</w:t>
            </w:r>
          </w:p>
        </w:tc>
        <w:tc>
          <w:tcPr>
            <w:tcW w:w="667" w:type="pct"/>
            <w:tcBorders>
              <w:top w:val="single" w:sz="4" w:space="0" w:color="auto"/>
              <w:left w:val="nil"/>
              <w:bottom w:val="single" w:sz="4" w:space="0" w:color="auto"/>
              <w:right w:val="nil"/>
            </w:tcBorders>
            <w:shd w:val="clear" w:color="auto" w:fill="auto"/>
          </w:tcPr>
          <w:p w14:paraId="16C096AE" w14:textId="77777777" w:rsidR="00647C6B" w:rsidRPr="00A058B6" w:rsidRDefault="00647C6B" w:rsidP="009C0D79">
            <w:pPr>
              <w:pStyle w:val="Tabletext"/>
            </w:pPr>
            <w:r w:rsidRPr="00A058B6">
              <w:t>0</w:t>
            </w:r>
            <w:r w:rsidR="00D7157D">
              <w:t>.</w:t>
            </w:r>
            <w:r w:rsidRPr="00A058B6">
              <w:t>80</w:t>
            </w:r>
          </w:p>
        </w:tc>
        <w:tc>
          <w:tcPr>
            <w:tcW w:w="666" w:type="pct"/>
            <w:tcBorders>
              <w:top w:val="single" w:sz="4" w:space="0" w:color="auto"/>
              <w:left w:val="nil"/>
              <w:bottom w:val="single" w:sz="4" w:space="0" w:color="auto"/>
              <w:right w:val="nil"/>
            </w:tcBorders>
            <w:shd w:val="clear" w:color="auto" w:fill="auto"/>
          </w:tcPr>
          <w:p w14:paraId="75614057" w14:textId="77777777" w:rsidR="00647C6B" w:rsidRPr="00A058B6" w:rsidRDefault="00647C6B" w:rsidP="009C0D79">
            <w:pPr>
              <w:pStyle w:val="Tabletext"/>
            </w:pPr>
            <w:r w:rsidRPr="00A058B6">
              <w:t>0</w:t>
            </w:r>
            <w:r w:rsidR="00D7157D">
              <w:t>.</w:t>
            </w:r>
            <w:r w:rsidRPr="00A058B6">
              <w:t>77</w:t>
            </w:r>
          </w:p>
        </w:tc>
      </w:tr>
      <w:tr w:rsidR="00647C6B" w:rsidRPr="00A058B6" w14:paraId="1698251B" w14:textId="77777777" w:rsidTr="00FA26AF">
        <w:trPr>
          <w:cantSplit/>
        </w:trPr>
        <w:tc>
          <w:tcPr>
            <w:tcW w:w="1001" w:type="pct"/>
            <w:tcBorders>
              <w:top w:val="single" w:sz="4" w:space="0" w:color="auto"/>
              <w:left w:val="nil"/>
              <w:bottom w:val="single" w:sz="4" w:space="0" w:color="auto"/>
              <w:right w:val="nil"/>
            </w:tcBorders>
          </w:tcPr>
          <w:p w14:paraId="02456D68" w14:textId="77777777" w:rsidR="00647C6B" w:rsidRPr="00A058B6" w:rsidRDefault="00647C6B" w:rsidP="009C0D79">
            <w:pPr>
              <w:pStyle w:val="Tabletext"/>
            </w:pPr>
            <w:r w:rsidRPr="00A058B6">
              <w:t>3</w:t>
            </w:r>
          </w:p>
        </w:tc>
        <w:tc>
          <w:tcPr>
            <w:tcW w:w="666" w:type="pct"/>
            <w:tcBorders>
              <w:top w:val="single" w:sz="4" w:space="0" w:color="auto"/>
              <w:left w:val="nil"/>
              <w:bottom w:val="single" w:sz="4" w:space="0" w:color="auto"/>
              <w:right w:val="nil"/>
            </w:tcBorders>
          </w:tcPr>
          <w:p w14:paraId="3C82E747"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04EF66FD" w14:textId="77777777" w:rsidR="00647C6B" w:rsidRPr="00A058B6" w:rsidRDefault="00647C6B" w:rsidP="009C0D79">
            <w:pPr>
              <w:pStyle w:val="Tabletext"/>
            </w:pPr>
            <w:r w:rsidRPr="00A058B6">
              <w:t>1</w:t>
            </w:r>
            <w:r w:rsidR="00D7157D">
              <w:t>.</w:t>
            </w:r>
            <w:r w:rsidRPr="00A058B6">
              <w:t>00</w:t>
            </w:r>
          </w:p>
        </w:tc>
        <w:tc>
          <w:tcPr>
            <w:tcW w:w="667" w:type="pct"/>
            <w:tcBorders>
              <w:top w:val="single" w:sz="4" w:space="0" w:color="auto"/>
              <w:left w:val="nil"/>
              <w:bottom w:val="single" w:sz="4" w:space="0" w:color="auto"/>
              <w:right w:val="nil"/>
            </w:tcBorders>
          </w:tcPr>
          <w:p w14:paraId="6F4EBA5E" w14:textId="77777777" w:rsidR="00647C6B" w:rsidRPr="00A058B6" w:rsidRDefault="00647C6B" w:rsidP="009C0D79">
            <w:pPr>
              <w:pStyle w:val="Tabletext"/>
            </w:pPr>
            <w:r w:rsidRPr="00A058B6">
              <w:t>0</w:t>
            </w:r>
            <w:r w:rsidR="00D7157D">
              <w:t>.</w:t>
            </w:r>
            <w:r w:rsidRPr="00A058B6">
              <w:t>91</w:t>
            </w:r>
          </w:p>
        </w:tc>
        <w:tc>
          <w:tcPr>
            <w:tcW w:w="666" w:type="pct"/>
            <w:tcBorders>
              <w:top w:val="single" w:sz="4" w:space="0" w:color="auto"/>
              <w:left w:val="nil"/>
              <w:bottom w:val="single" w:sz="4" w:space="0" w:color="auto"/>
              <w:right w:val="nil"/>
            </w:tcBorders>
          </w:tcPr>
          <w:p w14:paraId="3A50ACC6" w14:textId="77777777" w:rsidR="00647C6B" w:rsidRPr="00A058B6" w:rsidRDefault="00647C6B" w:rsidP="009C0D79">
            <w:pPr>
              <w:pStyle w:val="Tabletext"/>
            </w:pPr>
            <w:r w:rsidRPr="00A058B6">
              <w:t>0</w:t>
            </w:r>
            <w:r w:rsidR="00D7157D">
              <w:t>.</w:t>
            </w:r>
            <w:r w:rsidRPr="00A058B6">
              <w:t>88</w:t>
            </w:r>
          </w:p>
        </w:tc>
        <w:tc>
          <w:tcPr>
            <w:tcW w:w="667" w:type="pct"/>
            <w:tcBorders>
              <w:top w:val="single" w:sz="4" w:space="0" w:color="auto"/>
              <w:left w:val="nil"/>
              <w:bottom w:val="single" w:sz="4" w:space="0" w:color="auto"/>
              <w:right w:val="nil"/>
            </w:tcBorders>
            <w:shd w:val="clear" w:color="auto" w:fill="auto"/>
          </w:tcPr>
          <w:p w14:paraId="4400EEE3" w14:textId="77777777" w:rsidR="00647C6B" w:rsidRPr="00A058B6" w:rsidRDefault="00647C6B" w:rsidP="009C0D79">
            <w:pPr>
              <w:pStyle w:val="Tabletext"/>
            </w:pPr>
            <w:r w:rsidRPr="00A058B6">
              <w:t>0</w:t>
            </w:r>
            <w:r w:rsidR="00D7157D">
              <w:t>.</w:t>
            </w:r>
            <w:r w:rsidRPr="00A058B6">
              <w:t>85</w:t>
            </w:r>
          </w:p>
        </w:tc>
        <w:tc>
          <w:tcPr>
            <w:tcW w:w="666" w:type="pct"/>
            <w:tcBorders>
              <w:top w:val="single" w:sz="4" w:space="0" w:color="auto"/>
              <w:left w:val="nil"/>
              <w:bottom w:val="single" w:sz="4" w:space="0" w:color="auto"/>
              <w:right w:val="nil"/>
            </w:tcBorders>
            <w:shd w:val="clear" w:color="auto" w:fill="auto"/>
          </w:tcPr>
          <w:p w14:paraId="72D954D3" w14:textId="77777777" w:rsidR="00647C6B" w:rsidRPr="00A058B6" w:rsidRDefault="00647C6B" w:rsidP="009C0D79">
            <w:pPr>
              <w:pStyle w:val="Tabletext"/>
            </w:pPr>
            <w:r w:rsidRPr="00A058B6">
              <w:t>0</w:t>
            </w:r>
            <w:r w:rsidR="00D7157D">
              <w:t>.</w:t>
            </w:r>
            <w:r w:rsidRPr="00A058B6">
              <w:t>82</w:t>
            </w:r>
          </w:p>
        </w:tc>
      </w:tr>
      <w:tr w:rsidR="00647C6B" w:rsidRPr="00A058B6" w14:paraId="50CFB36B" w14:textId="77777777" w:rsidTr="00FA26AF">
        <w:trPr>
          <w:cantSplit/>
        </w:trPr>
        <w:tc>
          <w:tcPr>
            <w:tcW w:w="1001" w:type="pct"/>
            <w:tcBorders>
              <w:top w:val="single" w:sz="4" w:space="0" w:color="auto"/>
              <w:left w:val="nil"/>
              <w:bottom w:val="single" w:sz="4" w:space="0" w:color="auto"/>
              <w:right w:val="nil"/>
            </w:tcBorders>
          </w:tcPr>
          <w:p w14:paraId="65D4396C" w14:textId="77777777" w:rsidR="00647C6B" w:rsidRPr="00A058B6" w:rsidRDefault="00647C6B" w:rsidP="009C0D79">
            <w:pPr>
              <w:pStyle w:val="Tabletext"/>
            </w:pPr>
            <w:r w:rsidRPr="00A058B6">
              <w:t>4</w:t>
            </w:r>
          </w:p>
        </w:tc>
        <w:tc>
          <w:tcPr>
            <w:tcW w:w="666" w:type="pct"/>
            <w:tcBorders>
              <w:top w:val="single" w:sz="4" w:space="0" w:color="auto"/>
              <w:left w:val="nil"/>
              <w:bottom w:val="single" w:sz="4" w:space="0" w:color="auto"/>
              <w:right w:val="nil"/>
            </w:tcBorders>
          </w:tcPr>
          <w:p w14:paraId="19ABE26B"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7219D1D9"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63946DC3" w14:textId="77777777" w:rsidR="00647C6B" w:rsidRPr="00A058B6" w:rsidRDefault="00647C6B" w:rsidP="009C0D79">
            <w:pPr>
              <w:pStyle w:val="Tabletext"/>
            </w:pPr>
            <w:r w:rsidRPr="00A058B6">
              <w:t>1</w:t>
            </w:r>
            <w:r w:rsidR="00D7157D">
              <w:t>.</w:t>
            </w:r>
            <w:r w:rsidRPr="00A058B6">
              <w:t>00</w:t>
            </w:r>
          </w:p>
        </w:tc>
        <w:tc>
          <w:tcPr>
            <w:tcW w:w="666" w:type="pct"/>
            <w:tcBorders>
              <w:top w:val="single" w:sz="4" w:space="0" w:color="auto"/>
              <w:left w:val="nil"/>
              <w:bottom w:val="single" w:sz="4" w:space="0" w:color="auto"/>
              <w:right w:val="nil"/>
            </w:tcBorders>
          </w:tcPr>
          <w:p w14:paraId="5043BC76" w14:textId="77777777" w:rsidR="00647C6B" w:rsidRPr="00A058B6" w:rsidRDefault="00647C6B" w:rsidP="009C0D79">
            <w:pPr>
              <w:pStyle w:val="Tabletext"/>
            </w:pPr>
            <w:r w:rsidRPr="00A058B6">
              <w:t>0</w:t>
            </w:r>
            <w:r w:rsidR="00D7157D">
              <w:t>.</w:t>
            </w:r>
            <w:r w:rsidRPr="00A058B6">
              <w:t>93</w:t>
            </w:r>
          </w:p>
        </w:tc>
        <w:tc>
          <w:tcPr>
            <w:tcW w:w="667" w:type="pct"/>
            <w:tcBorders>
              <w:top w:val="single" w:sz="4" w:space="0" w:color="auto"/>
              <w:left w:val="nil"/>
              <w:bottom w:val="single" w:sz="4" w:space="0" w:color="auto"/>
              <w:right w:val="nil"/>
            </w:tcBorders>
            <w:shd w:val="clear" w:color="auto" w:fill="auto"/>
          </w:tcPr>
          <w:p w14:paraId="51A1E6EA" w14:textId="77777777" w:rsidR="00647C6B" w:rsidRPr="00A058B6" w:rsidRDefault="00647C6B" w:rsidP="009C0D79">
            <w:pPr>
              <w:pStyle w:val="Tabletext"/>
            </w:pPr>
            <w:r w:rsidRPr="00A058B6">
              <w:t>0</w:t>
            </w:r>
            <w:r w:rsidR="00D7157D">
              <w:t>.</w:t>
            </w:r>
            <w:r w:rsidRPr="00A058B6">
              <w:t>89</w:t>
            </w:r>
          </w:p>
        </w:tc>
        <w:tc>
          <w:tcPr>
            <w:tcW w:w="666" w:type="pct"/>
            <w:tcBorders>
              <w:top w:val="single" w:sz="4" w:space="0" w:color="auto"/>
              <w:left w:val="nil"/>
              <w:bottom w:val="single" w:sz="4" w:space="0" w:color="auto"/>
              <w:right w:val="nil"/>
            </w:tcBorders>
            <w:shd w:val="clear" w:color="auto" w:fill="auto"/>
          </w:tcPr>
          <w:p w14:paraId="4B247600" w14:textId="77777777" w:rsidR="00647C6B" w:rsidRPr="00A058B6" w:rsidRDefault="00647C6B" w:rsidP="009C0D79">
            <w:pPr>
              <w:pStyle w:val="Tabletext"/>
            </w:pPr>
            <w:r w:rsidRPr="00A058B6">
              <w:t>0</w:t>
            </w:r>
            <w:r w:rsidR="00D7157D">
              <w:t>.</w:t>
            </w:r>
            <w:r w:rsidRPr="00A058B6">
              <w:t>86</w:t>
            </w:r>
          </w:p>
        </w:tc>
      </w:tr>
      <w:tr w:rsidR="00647C6B" w:rsidRPr="00A058B6" w14:paraId="5920D491" w14:textId="77777777" w:rsidTr="00FA26AF">
        <w:trPr>
          <w:cantSplit/>
        </w:trPr>
        <w:tc>
          <w:tcPr>
            <w:tcW w:w="1001" w:type="pct"/>
            <w:tcBorders>
              <w:top w:val="single" w:sz="4" w:space="0" w:color="auto"/>
              <w:left w:val="nil"/>
              <w:bottom w:val="single" w:sz="4" w:space="0" w:color="auto"/>
              <w:right w:val="nil"/>
            </w:tcBorders>
          </w:tcPr>
          <w:p w14:paraId="4B22EC68" w14:textId="77777777" w:rsidR="00647C6B" w:rsidRPr="00A058B6" w:rsidRDefault="00647C6B" w:rsidP="009C0D79">
            <w:pPr>
              <w:pStyle w:val="Tabletext"/>
            </w:pPr>
            <w:r w:rsidRPr="00A058B6">
              <w:t>5</w:t>
            </w:r>
          </w:p>
        </w:tc>
        <w:tc>
          <w:tcPr>
            <w:tcW w:w="666" w:type="pct"/>
            <w:tcBorders>
              <w:top w:val="single" w:sz="4" w:space="0" w:color="auto"/>
              <w:left w:val="nil"/>
              <w:bottom w:val="single" w:sz="4" w:space="0" w:color="auto"/>
              <w:right w:val="nil"/>
            </w:tcBorders>
          </w:tcPr>
          <w:p w14:paraId="15D43823"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097A4ED7"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342F4375" w14:textId="77777777" w:rsidR="00647C6B" w:rsidRPr="00A058B6" w:rsidRDefault="00647C6B" w:rsidP="009C0D79">
            <w:pPr>
              <w:pStyle w:val="Tabletext"/>
            </w:pPr>
          </w:p>
        </w:tc>
        <w:tc>
          <w:tcPr>
            <w:tcW w:w="666" w:type="pct"/>
            <w:tcBorders>
              <w:top w:val="single" w:sz="4" w:space="0" w:color="auto"/>
              <w:left w:val="nil"/>
              <w:bottom w:val="single" w:sz="4" w:space="0" w:color="auto"/>
              <w:right w:val="nil"/>
            </w:tcBorders>
          </w:tcPr>
          <w:p w14:paraId="143B9F92" w14:textId="77777777" w:rsidR="00647C6B" w:rsidRPr="00A058B6" w:rsidRDefault="00647C6B" w:rsidP="009C0D79">
            <w:pPr>
              <w:pStyle w:val="Tabletext"/>
            </w:pPr>
            <w:r w:rsidRPr="00A058B6">
              <w:t>1</w:t>
            </w:r>
            <w:r w:rsidR="00D7157D">
              <w:t>.</w:t>
            </w:r>
            <w:r w:rsidRPr="00A058B6">
              <w:t>00</w:t>
            </w:r>
          </w:p>
        </w:tc>
        <w:tc>
          <w:tcPr>
            <w:tcW w:w="667" w:type="pct"/>
            <w:tcBorders>
              <w:top w:val="single" w:sz="4" w:space="0" w:color="auto"/>
              <w:left w:val="nil"/>
              <w:bottom w:val="single" w:sz="4" w:space="0" w:color="auto"/>
              <w:right w:val="nil"/>
            </w:tcBorders>
            <w:shd w:val="clear" w:color="auto" w:fill="auto"/>
          </w:tcPr>
          <w:p w14:paraId="4E656321" w14:textId="77777777" w:rsidR="00647C6B" w:rsidRPr="00A058B6" w:rsidRDefault="00647C6B" w:rsidP="009C0D79">
            <w:pPr>
              <w:pStyle w:val="Tabletext"/>
            </w:pPr>
            <w:r w:rsidRPr="00A058B6">
              <w:t>0</w:t>
            </w:r>
            <w:r w:rsidR="00D7157D">
              <w:t>.</w:t>
            </w:r>
            <w:r w:rsidRPr="00A058B6">
              <w:t>93</w:t>
            </w:r>
          </w:p>
        </w:tc>
        <w:tc>
          <w:tcPr>
            <w:tcW w:w="666" w:type="pct"/>
            <w:tcBorders>
              <w:top w:val="single" w:sz="4" w:space="0" w:color="auto"/>
              <w:left w:val="nil"/>
              <w:bottom w:val="single" w:sz="4" w:space="0" w:color="auto"/>
              <w:right w:val="nil"/>
            </w:tcBorders>
            <w:shd w:val="clear" w:color="auto" w:fill="auto"/>
          </w:tcPr>
          <w:p w14:paraId="2298C095" w14:textId="77777777" w:rsidR="00647C6B" w:rsidRPr="00A058B6" w:rsidRDefault="00647C6B" w:rsidP="009C0D79">
            <w:pPr>
              <w:pStyle w:val="Tabletext"/>
            </w:pPr>
            <w:r w:rsidRPr="00A058B6">
              <w:t>0</w:t>
            </w:r>
            <w:r w:rsidR="00D7157D">
              <w:t>.</w:t>
            </w:r>
            <w:r w:rsidRPr="00A058B6">
              <w:t>90</w:t>
            </w:r>
          </w:p>
        </w:tc>
      </w:tr>
      <w:tr w:rsidR="00647C6B" w:rsidRPr="00A058B6" w14:paraId="4B5E374C" w14:textId="77777777" w:rsidTr="00FA26AF">
        <w:trPr>
          <w:cantSplit/>
        </w:trPr>
        <w:tc>
          <w:tcPr>
            <w:tcW w:w="1001" w:type="pct"/>
            <w:tcBorders>
              <w:top w:val="single" w:sz="4" w:space="0" w:color="auto"/>
              <w:left w:val="nil"/>
              <w:bottom w:val="single" w:sz="4" w:space="0" w:color="auto"/>
              <w:right w:val="nil"/>
            </w:tcBorders>
          </w:tcPr>
          <w:p w14:paraId="5B87A09B" w14:textId="77777777" w:rsidR="00647C6B" w:rsidRPr="00A058B6" w:rsidRDefault="00647C6B" w:rsidP="009C0D79">
            <w:pPr>
              <w:pStyle w:val="Tabletext"/>
            </w:pPr>
            <w:r w:rsidRPr="00A058B6">
              <w:t>6</w:t>
            </w:r>
          </w:p>
        </w:tc>
        <w:tc>
          <w:tcPr>
            <w:tcW w:w="666" w:type="pct"/>
            <w:tcBorders>
              <w:top w:val="single" w:sz="4" w:space="0" w:color="auto"/>
              <w:left w:val="nil"/>
              <w:bottom w:val="single" w:sz="4" w:space="0" w:color="auto"/>
              <w:right w:val="nil"/>
            </w:tcBorders>
          </w:tcPr>
          <w:p w14:paraId="7D2943A8"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33156CB5"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tcPr>
          <w:p w14:paraId="57F82C27" w14:textId="77777777" w:rsidR="00647C6B" w:rsidRPr="00A058B6" w:rsidRDefault="00647C6B" w:rsidP="009C0D79">
            <w:pPr>
              <w:pStyle w:val="Tabletext"/>
            </w:pPr>
          </w:p>
        </w:tc>
        <w:tc>
          <w:tcPr>
            <w:tcW w:w="666" w:type="pct"/>
            <w:tcBorders>
              <w:top w:val="single" w:sz="4" w:space="0" w:color="auto"/>
              <w:left w:val="nil"/>
              <w:bottom w:val="single" w:sz="4" w:space="0" w:color="auto"/>
              <w:right w:val="nil"/>
            </w:tcBorders>
          </w:tcPr>
          <w:p w14:paraId="66C2AA2F" w14:textId="77777777" w:rsidR="00647C6B" w:rsidRPr="00A058B6" w:rsidRDefault="00647C6B" w:rsidP="009C0D79">
            <w:pPr>
              <w:pStyle w:val="Tabletext"/>
            </w:pPr>
          </w:p>
        </w:tc>
        <w:tc>
          <w:tcPr>
            <w:tcW w:w="667" w:type="pct"/>
            <w:tcBorders>
              <w:top w:val="single" w:sz="4" w:space="0" w:color="auto"/>
              <w:left w:val="nil"/>
              <w:bottom w:val="single" w:sz="4" w:space="0" w:color="auto"/>
              <w:right w:val="nil"/>
            </w:tcBorders>
            <w:shd w:val="clear" w:color="auto" w:fill="auto"/>
          </w:tcPr>
          <w:p w14:paraId="5507BAFE" w14:textId="77777777" w:rsidR="00647C6B" w:rsidRPr="00A058B6" w:rsidRDefault="00647C6B" w:rsidP="009C0D79">
            <w:pPr>
              <w:pStyle w:val="Tabletext"/>
            </w:pPr>
            <w:r w:rsidRPr="00A058B6">
              <w:t>1</w:t>
            </w:r>
            <w:r w:rsidR="00D7157D">
              <w:t>.</w:t>
            </w:r>
            <w:r w:rsidRPr="00A058B6">
              <w:t>00</w:t>
            </w:r>
          </w:p>
        </w:tc>
        <w:tc>
          <w:tcPr>
            <w:tcW w:w="666" w:type="pct"/>
            <w:tcBorders>
              <w:top w:val="single" w:sz="4" w:space="0" w:color="auto"/>
              <w:left w:val="nil"/>
              <w:bottom w:val="single" w:sz="4" w:space="0" w:color="auto"/>
              <w:right w:val="nil"/>
            </w:tcBorders>
            <w:shd w:val="clear" w:color="auto" w:fill="auto"/>
          </w:tcPr>
          <w:p w14:paraId="249D8E06" w14:textId="77777777" w:rsidR="00647C6B" w:rsidRPr="00A058B6" w:rsidRDefault="00647C6B" w:rsidP="009C0D79">
            <w:pPr>
              <w:pStyle w:val="Tabletext"/>
            </w:pPr>
            <w:r w:rsidRPr="00A058B6">
              <w:t>0</w:t>
            </w:r>
            <w:r w:rsidR="00D7157D">
              <w:t>.</w:t>
            </w:r>
            <w:r w:rsidRPr="00A058B6">
              <w:t>93</w:t>
            </w:r>
          </w:p>
        </w:tc>
      </w:tr>
      <w:tr w:rsidR="00647C6B" w:rsidRPr="00A058B6" w14:paraId="334E4F5E" w14:textId="77777777" w:rsidTr="00FA26AF">
        <w:trPr>
          <w:cantSplit/>
          <w:trHeight w:val="70"/>
        </w:trPr>
        <w:tc>
          <w:tcPr>
            <w:tcW w:w="1001" w:type="pct"/>
            <w:tcBorders>
              <w:top w:val="single" w:sz="4" w:space="0" w:color="auto"/>
              <w:left w:val="nil"/>
              <w:bottom w:val="single" w:sz="12" w:space="0" w:color="auto"/>
              <w:right w:val="nil"/>
            </w:tcBorders>
          </w:tcPr>
          <w:p w14:paraId="787C4482" w14:textId="77777777" w:rsidR="00647C6B" w:rsidRPr="00A058B6" w:rsidRDefault="00647C6B" w:rsidP="009C0D79">
            <w:pPr>
              <w:pStyle w:val="Tabletext"/>
            </w:pPr>
            <w:r w:rsidRPr="00A058B6">
              <w:t>7</w:t>
            </w:r>
          </w:p>
        </w:tc>
        <w:tc>
          <w:tcPr>
            <w:tcW w:w="666" w:type="pct"/>
            <w:tcBorders>
              <w:top w:val="single" w:sz="4" w:space="0" w:color="auto"/>
              <w:left w:val="nil"/>
              <w:bottom w:val="single" w:sz="12" w:space="0" w:color="auto"/>
              <w:right w:val="nil"/>
            </w:tcBorders>
          </w:tcPr>
          <w:p w14:paraId="525D30A0" w14:textId="77777777" w:rsidR="00647C6B" w:rsidRPr="00A058B6" w:rsidRDefault="00647C6B" w:rsidP="009C0D79">
            <w:pPr>
              <w:pStyle w:val="Tabletext"/>
            </w:pPr>
          </w:p>
        </w:tc>
        <w:tc>
          <w:tcPr>
            <w:tcW w:w="667" w:type="pct"/>
            <w:tcBorders>
              <w:top w:val="single" w:sz="4" w:space="0" w:color="auto"/>
              <w:left w:val="nil"/>
              <w:bottom w:val="single" w:sz="12" w:space="0" w:color="auto"/>
              <w:right w:val="nil"/>
            </w:tcBorders>
          </w:tcPr>
          <w:p w14:paraId="5C1F5EA3" w14:textId="77777777" w:rsidR="00647C6B" w:rsidRPr="00A058B6" w:rsidRDefault="00647C6B" w:rsidP="009C0D79">
            <w:pPr>
              <w:pStyle w:val="Tabletext"/>
            </w:pPr>
          </w:p>
        </w:tc>
        <w:tc>
          <w:tcPr>
            <w:tcW w:w="667" w:type="pct"/>
            <w:tcBorders>
              <w:top w:val="single" w:sz="4" w:space="0" w:color="auto"/>
              <w:left w:val="nil"/>
              <w:bottom w:val="single" w:sz="12" w:space="0" w:color="auto"/>
              <w:right w:val="nil"/>
            </w:tcBorders>
          </w:tcPr>
          <w:p w14:paraId="3A7E7E5D" w14:textId="77777777" w:rsidR="00647C6B" w:rsidRPr="00A058B6" w:rsidRDefault="00647C6B" w:rsidP="009C0D79">
            <w:pPr>
              <w:pStyle w:val="Tabletext"/>
            </w:pPr>
          </w:p>
        </w:tc>
        <w:tc>
          <w:tcPr>
            <w:tcW w:w="666" w:type="pct"/>
            <w:tcBorders>
              <w:top w:val="single" w:sz="4" w:space="0" w:color="auto"/>
              <w:left w:val="nil"/>
              <w:bottom w:val="single" w:sz="12" w:space="0" w:color="auto"/>
              <w:right w:val="nil"/>
            </w:tcBorders>
          </w:tcPr>
          <w:p w14:paraId="21C285E3" w14:textId="77777777" w:rsidR="00647C6B" w:rsidRPr="00A058B6" w:rsidRDefault="00647C6B" w:rsidP="009C0D79">
            <w:pPr>
              <w:pStyle w:val="Tabletext"/>
            </w:pPr>
          </w:p>
        </w:tc>
        <w:tc>
          <w:tcPr>
            <w:tcW w:w="667" w:type="pct"/>
            <w:tcBorders>
              <w:top w:val="single" w:sz="4" w:space="0" w:color="auto"/>
              <w:left w:val="nil"/>
              <w:bottom w:val="single" w:sz="12" w:space="0" w:color="auto"/>
              <w:right w:val="nil"/>
            </w:tcBorders>
            <w:shd w:val="clear" w:color="auto" w:fill="auto"/>
          </w:tcPr>
          <w:p w14:paraId="3E970F9C" w14:textId="77777777" w:rsidR="00647C6B" w:rsidRPr="00A058B6" w:rsidRDefault="00647C6B" w:rsidP="009C0D79">
            <w:pPr>
              <w:pStyle w:val="Tabletext"/>
            </w:pPr>
          </w:p>
        </w:tc>
        <w:tc>
          <w:tcPr>
            <w:tcW w:w="666" w:type="pct"/>
            <w:tcBorders>
              <w:top w:val="single" w:sz="4" w:space="0" w:color="auto"/>
              <w:left w:val="nil"/>
              <w:bottom w:val="single" w:sz="12" w:space="0" w:color="auto"/>
              <w:right w:val="nil"/>
            </w:tcBorders>
            <w:shd w:val="clear" w:color="auto" w:fill="auto"/>
          </w:tcPr>
          <w:p w14:paraId="443EABB6" w14:textId="77777777" w:rsidR="00647C6B" w:rsidRPr="00A058B6" w:rsidRDefault="00647C6B" w:rsidP="009C0D79">
            <w:pPr>
              <w:pStyle w:val="Tabletext"/>
            </w:pPr>
            <w:r w:rsidRPr="00A058B6">
              <w:t>1</w:t>
            </w:r>
            <w:r w:rsidR="00D7157D">
              <w:t>.</w:t>
            </w:r>
            <w:r w:rsidRPr="00A058B6">
              <w:t>00</w:t>
            </w:r>
          </w:p>
        </w:tc>
      </w:tr>
    </w:tbl>
    <w:p w14:paraId="5E47925A" w14:textId="77777777" w:rsidR="00647C6B" w:rsidRPr="00A058B6" w:rsidRDefault="00647C6B" w:rsidP="00647C6B">
      <w:pPr>
        <w:pStyle w:val="Tabletext"/>
      </w:pPr>
    </w:p>
    <w:tbl>
      <w:tblPr>
        <w:tblW w:w="5000" w:type="pct"/>
        <w:tblLook w:val="0000" w:firstRow="0" w:lastRow="0" w:firstColumn="0" w:lastColumn="0" w:noHBand="0" w:noVBand="0"/>
      </w:tblPr>
      <w:tblGrid>
        <w:gridCol w:w="1665"/>
        <w:gridCol w:w="1329"/>
        <w:gridCol w:w="1328"/>
        <w:gridCol w:w="1330"/>
        <w:gridCol w:w="1328"/>
        <w:gridCol w:w="1333"/>
      </w:tblGrid>
      <w:tr w:rsidR="00647C6B" w:rsidRPr="00A058B6" w14:paraId="7B428599" w14:textId="77777777" w:rsidTr="00FA26AF">
        <w:trPr>
          <w:cantSplit/>
          <w:trHeight w:val="383"/>
          <w:tblHeader/>
        </w:trPr>
        <w:tc>
          <w:tcPr>
            <w:tcW w:w="1001" w:type="pct"/>
            <w:vMerge w:val="restart"/>
            <w:tcBorders>
              <w:top w:val="single" w:sz="12" w:space="0" w:color="auto"/>
              <w:left w:val="nil"/>
              <w:bottom w:val="single" w:sz="12" w:space="0" w:color="auto"/>
              <w:right w:val="nil"/>
            </w:tcBorders>
          </w:tcPr>
          <w:p w14:paraId="7AC6724A" w14:textId="77777777" w:rsidR="00647C6B" w:rsidRPr="00A058B6" w:rsidRDefault="00647C6B" w:rsidP="009C0D79">
            <w:pPr>
              <w:pStyle w:val="TableHeading"/>
            </w:pPr>
            <w:r w:rsidRPr="00A058B6">
              <w:t>Length of membership</w:t>
            </w:r>
            <w:r w:rsidR="001462B9">
              <w:br/>
            </w:r>
            <w:r w:rsidRPr="00A058B6">
              <w:t>(in completed years)</w:t>
            </w:r>
          </w:p>
        </w:tc>
        <w:tc>
          <w:tcPr>
            <w:tcW w:w="3999" w:type="pct"/>
            <w:gridSpan w:val="5"/>
            <w:tcBorders>
              <w:top w:val="single" w:sz="12" w:space="0" w:color="auto"/>
              <w:left w:val="nil"/>
              <w:bottom w:val="single" w:sz="4" w:space="0" w:color="auto"/>
              <w:right w:val="nil"/>
            </w:tcBorders>
          </w:tcPr>
          <w:p w14:paraId="2A1B7ACB" w14:textId="77777777" w:rsidR="00647C6B" w:rsidRPr="00A058B6" w:rsidRDefault="00647C6B" w:rsidP="009C0D79">
            <w:pPr>
              <w:pStyle w:val="TableHeading"/>
            </w:pPr>
            <w:r w:rsidRPr="00A058B6">
              <w:t>Vesting factors</w:t>
            </w:r>
            <w:r w:rsidRPr="00A058B6">
              <w:br/>
              <w:t>8, 9, 10, 15 and 20 year vesting periods</w:t>
            </w:r>
          </w:p>
        </w:tc>
      </w:tr>
      <w:tr w:rsidR="00647C6B" w:rsidRPr="00A058B6" w14:paraId="0CE0FDC6" w14:textId="77777777" w:rsidTr="00FA26AF">
        <w:trPr>
          <w:cantSplit/>
          <w:trHeight w:val="382"/>
          <w:tblHeader/>
        </w:trPr>
        <w:tc>
          <w:tcPr>
            <w:tcW w:w="1001" w:type="pct"/>
            <w:vMerge/>
            <w:tcBorders>
              <w:top w:val="nil"/>
              <w:left w:val="nil"/>
              <w:bottom w:val="single" w:sz="12" w:space="0" w:color="auto"/>
              <w:right w:val="nil"/>
            </w:tcBorders>
          </w:tcPr>
          <w:p w14:paraId="420C4634" w14:textId="77777777" w:rsidR="00647C6B" w:rsidRPr="00A058B6" w:rsidRDefault="00647C6B" w:rsidP="009C0D79">
            <w:pPr>
              <w:pStyle w:val="TableHeading"/>
            </w:pPr>
          </w:p>
        </w:tc>
        <w:tc>
          <w:tcPr>
            <w:tcW w:w="799" w:type="pct"/>
            <w:tcBorders>
              <w:top w:val="nil"/>
              <w:left w:val="nil"/>
              <w:bottom w:val="single" w:sz="12" w:space="0" w:color="auto"/>
              <w:right w:val="nil"/>
            </w:tcBorders>
          </w:tcPr>
          <w:p w14:paraId="6BEE0A09" w14:textId="77777777" w:rsidR="00647C6B" w:rsidRPr="00A058B6" w:rsidRDefault="00647C6B" w:rsidP="009C0D79">
            <w:pPr>
              <w:pStyle w:val="TableHeading"/>
            </w:pPr>
            <w:r w:rsidRPr="00A058B6">
              <w:t>8 year vesting period</w:t>
            </w:r>
          </w:p>
        </w:tc>
        <w:tc>
          <w:tcPr>
            <w:tcW w:w="799" w:type="pct"/>
            <w:tcBorders>
              <w:top w:val="single" w:sz="4" w:space="0" w:color="auto"/>
              <w:left w:val="nil"/>
              <w:bottom w:val="single" w:sz="12" w:space="0" w:color="auto"/>
              <w:right w:val="nil"/>
            </w:tcBorders>
          </w:tcPr>
          <w:p w14:paraId="2603F09C" w14:textId="77777777" w:rsidR="00647C6B" w:rsidRPr="00A058B6" w:rsidRDefault="00647C6B" w:rsidP="009C0D79">
            <w:pPr>
              <w:pStyle w:val="TableHeading"/>
            </w:pPr>
            <w:r w:rsidRPr="00A058B6">
              <w:t>9 year vesting period</w:t>
            </w:r>
          </w:p>
        </w:tc>
        <w:tc>
          <w:tcPr>
            <w:tcW w:w="800" w:type="pct"/>
            <w:tcBorders>
              <w:top w:val="single" w:sz="4" w:space="0" w:color="auto"/>
              <w:left w:val="nil"/>
              <w:bottom w:val="single" w:sz="12" w:space="0" w:color="auto"/>
              <w:right w:val="nil"/>
            </w:tcBorders>
          </w:tcPr>
          <w:p w14:paraId="00325589" w14:textId="77777777" w:rsidR="00647C6B" w:rsidRPr="00A058B6" w:rsidRDefault="00647C6B" w:rsidP="009C0D79">
            <w:pPr>
              <w:pStyle w:val="TableHeading"/>
            </w:pPr>
            <w:r w:rsidRPr="00A058B6">
              <w:t>10 year vesting period</w:t>
            </w:r>
          </w:p>
        </w:tc>
        <w:tc>
          <w:tcPr>
            <w:tcW w:w="799" w:type="pct"/>
            <w:tcBorders>
              <w:top w:val="single" w:sz="4" w:space="0" w:color="auto"/>
              <w:left w:val="nil"/>
              <w:bottom w:val="single" w:sz="12" w:space="0" w:color="auto"/>
              <w:right w:val="nil"/>
            </w:tcBorders>
          </w:tcPr>
          <w:p w14:paraId="2608197A" w14:textId="77777777" w:rsidR="00647C6B" w:rsidRPr="00A058B6" w:rsidRDefault="00647C6B" w:rsidP="009C0D79">
            <w:pPr>
              <w:pStyle w:val="TableHeading"/>
            </w:pPr>
            <w:r w:rsidRPr="00A058B6">
              <w:t>15 year vesting period</w:t>
            </w:r>
          </w:p>
        </w:tc>
        <w:tc>
          <w:tcPr>
            <w:tcW w:w="802" w:type="pct"/>
            <w:tcBorders>
              <w:top w:val="single" w:sz="4" w:space="0" w:color="auto"/>
              <w:left w:val="nil"/>
              <w:bottom w:val="single" w:sz="12" w:space="0" w:color="auto"/>
              <w:right w:val="nil"/>
            </w:tcBorders>
          </w:tcPr>
          <w:p w14:paraId="1FC61359" w14:textId="77777777" w:rsidR="00647C6B" w:rsidRPr="00A058B6" w:rsidRDefault="00647C6B" w:rsidP="009C0D79">
            <w:pPr>
              <w:pStyle w:val="TableHeading"/>
            </w:pPr>
            <w:r w:rsidRPr="00A058B6">
              <w:t>20 year vesting period</w:t>
            </w:r>
          </w:p>
        </w:tc>
      </w:tr>
      <w:tr w:rsidR="00647C6B" w:rsidRPr="00A058B6" w14:paraId="1ACBAB16" w14:textId="77777777" w:rsidTr="00FA26AF">
        <w:trPr>
          <w:cantSplit/>
        </w:trPr>
        <w:tc>
          <w:tcPr>
            <w:tcW w:w="1001" w:type="pct"/>
            <w:tcBorders>
              <w:top w:val="single" w:sz="12" w:space="0" w:color="auto"/>
              <w:left w:val="nil"/>
              <w:bottom w:val="single" w:sz="4" w:space="0" w:color="auto"/>
              <w:right w:val="nil"/>
            </w:tcBorders>
          </w:tcPr>
          <w:p w14:paraId="2E745080" w14:textId="77777777" w:rsidR="00647C6B" w:rsidRPr="00A058B6" w:rsidRDefault="00647C6B" w:rsidP="009C0D79">
            <w:pPr>
              <w:pStyle w:val="Tabletext"/>
            </w:pPr>
            <w:r w:rsidRPr="00A058B6">
              <w:t>0</w:t>
            </w:r>
          </w:p>
        </w:tc>
        <w:tc>
          <w:tcPr>
            <w:tcW w:w="799" w:type="pct"/>
            <w:tcBorders>
              <w:top w:val="single" w:sz="12" w:space="0" w:color="auto"/>
              <w:left w:val="nil"/>
              <w:bottom w:val="single" w:sz="4" w:space="0" w:color="auto"/>
              <w:right w:val="nil"/>
            </w:tcBorders>
          </w:tcPr>
          <w:p w14:paraId="3F41017C"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63</w:t>
            </w:r>
          </w:p>
        </w:tc>
        <w:tc>
          <w:tcPr>
            <w:tcW w:w="799" w:type="pct"/>
            <w:tcBorders>
              <w:top w:val="single" w:sz="12" w:space="0" w:color="auto"/>
              <w:left w:val="nil"/>
              <w:bottom w:val="single" w:sz="4" w:space="0" w:color="auto"/>
              <w:right w:val="nil"/>
            </w:tcBorders>
          </w:tcPr>
          <w:p w14:paraId="3BE2DAB9"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61</w:t>
            </w:r>
          </w:p>
        </w:tc>
        <w:tc>
          <w:tcPr>
            <w:tcW w:w="800" w:type="pct"/>
            <w:tcBorders>
              <w:top w:val="single" w:sz="12" w:space="0" w:color="auto"/>
              <w:left w:val="nil"/>
              <w:bottom w:val="single" w:sz="4" w:space="0" w:color="auto"/>
              <w:right w:val="nil"/>
            </w:tcBorders>
          </w:tcPr>
          <w:p w14:paraId="08EDBB89" w14:textId="77777777" w:rsidR="00647C6B" w:rsidRPr="00A058B6" w:rsidRDefault="00647C6B" w:rsidP="009C0D79">
            <w:pPr>
              <w:pStyle w:val="Tabletext"/>
            </w:pPr>
            <w:r w:rsidRPr="00A058B6">
              <w:t>0</w:t>
            </w:r>
            <w:r w:rsidR="00D7157D">
              <w:t>.</w:t>
            </w:r>
            <w:r w:rsidRPr="00A058B6">
              <w:t>60</w:t>
            </w:r>
          </w:p>
        </w:tc>
        <w:tc>
          <w:tcPr>
            <w:tcW w:w="799" w:type="pct"/>
            <w:tcBorders>
              <w:top w:val="single" w:sz="12" w:space="0" w:color="auto"/>
              <w:left w:val="nil"/>
              <w:bottom w:val="single" w:sz="4" w:space="0" w:color="auto"/>
              <w:right w:val="nil"/>
            </w:tcBorders>
          </w:tcPr>
          <w:p w14:paraId="23401F75" w14:textId="77777777" w:rsidR="00647C6B" w:rsidRPr="00A058B6" w:rsidRDefault="00647C6B" w:rsidP="009C0D79">
            <w:pPr>
              <w:pStyle w:val="Tabletext"/>
            </w:pPr>
            <w:r w:rsidRPr="00A058B6">
              <w:t>0</w:t>
            </w:r>
            <w:r w:rsidR="00D7157D">
              <w:t>.</w:t>
            </w:r>
            <w:r w:rsidRPr="00A058B6">
              <w:t>52</w:t>
            </w:r>
          </w:p>
        </w:tc>
        <w:tc>
          <w:tcPr>
            <w:tcW w:w="802" w:type="pct"/>
            <w:tcBorders>
              <w:top w:val="single" w:sz="12" w:space="0" w:color="auto"/>
              <w:left w:val="nil"/>
              <w:bottom w:val="single" w:sz="4" w:space="0" w:color="auto"/>
              <w:right w:val="nil"/>
            </w:tcBorders>
          </w:tcPr>
          <w:p w14:paraId="6E03972E" w14:textId="77777777" w:rsidR="00647C6B" w:rsidRPr="00A058B6" w:rsidRDefault="00647C6B" w:rsidP="009C0D79">
            <w:pPr>
              <w:pStyle w:val="Tabletext"/>
            </w:pPr>
            <w:r w:rsidRPr="00A058B6">
              <w:t>0</w:t>
            </w:r>
            <w:r w:rsidR="00D7157D">
              <w:t>.</w:t>
            </w:r>
            <w:r w:rsidRPr="00A058B6">
              <w:t>47</w:t>
            </w:r>
          </w:p>
        </w:tc>
      </w:tr>
      <w:tr w:rsidR="00647C6B" w:rsidRPr="00A058B6" w14:paraId="53EF1922" w14:textId="77777777" w:rsidTr="00FA26AF">
        <w:trPr>
          <w:cantSplit/>
        </w:trPr>
        <w:tc>
          <w:tcPr>
            <w:tcW w:w="1001" w:type="pct"/>
            <w:tcBorders>
              <w:top w:val="single" w:sz="4" w:space="0" w:color="auto"/>
              <w:left w:val="nil"/>
              <w:bottom w:val="single" w:sz="4" w:space="0" w:color="auto"/>
              <w:right w:val="nil"/>
            </w:tcBorders>
          </w:tcPr>
          <w:p w14:paraId="126F29B6" w14:textId="77777777" w:rsidR="00647C6B" w:rsidRPr="00A058B6" w:rsidRDefault="00647C6B" w:rsidP="009C0D79">
            <w:pPr>
              <w:pStyle w:val="Tabletext"/>
            </w:pPr>
            <w:r w:rsidRPr="00A058B6">
              <w:t>1</w:t>
            </w:r>
          </w:p>
        </w:tc>
        <w:tc>
          <w:tcPr>
            <w:tcW w:w="799" w:type="pct"/>
            <w:tcBorders>
              <w:top w:val="single" w:sz="4" w:space="0" w:color="auto"/>
              <w:left w:val="nil"/>
              <w:bottom w:val="single" w:sz="4" w:space="0" w:color="auto"/>
              <w:right w:val="nil"/>
            </w:tcBorders>
          </w:tcPr>
          <w:p w14:paraId="4D9FDFDE"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69</w:t>
            </w:r>
          </w:p>
        </w:tc>
        <w:tc>
          <w:tcPr>
            <w:tcW w:w="799" w:type="pct"/>
            <w:tcBorders>
              <w:top w:val="single" w:sz="4" w:space="0" w:color="auto"/>
              <w:left w:val="nil"/>
              <w:bottom w:val="single" w:sz="4" w:space="0" w:color="auto"/>
              <w:right w:val="nil"/>
            </w:tcBorders>
          </w:tcPr>
          <w:p w14:paraId="095C1CB2"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67</w:t>
            </w:r>
          </w:p>
        </w:tc>
        <w:tc>
          <w:tcPr>
            <w:tcW w:w="800" w:type="pct"/>
            <w:tcBorders>
              <w:top w:val="single" w:sz="4" w:space="0" w:color="auto"/>
              <w:left w:val="nil"/>
              <w:bottom w:val="single" w:sz="4" w:space="0" w:color="auto"/>
              <w:right w:val="nil"/>
            </w:tcBorders>
          </w:tcPr>
          <w:p w14:paraId="2DC5925C" w14:textId="77777777" w:rsidR="00647C6B" w:rsidRPr="00A058B6" w:rsidRDefault="00647C6B" w:rsidP="009C0D79">
            <w:pPr>
              <w:pStyle w:val="Tabletext"/>
            </w:pPr>
            <w:r w:rsidRPr="00A058B6">
              <w:t>0</w:t>
            </w:r>
            <w:r w:rsidR="00D7157D">
              <w:t>.</w:t>
            </w:r>
            <w:r w:rsidRPr="00A058B6">
              <w:t>65</w:t>
            </w:r>
          </w:p>
        </w:tc>
        <w:tc>
          <w:tcPr>
            <w:tcW w:w="799" w:type="pct"/>
            <w:tcBorders>
              <w:top w:val="single" w:sz="4" w:space="0" w:color="auto"/>
              <w:left w:val="nil"/>
              <w:bottom w:val="single" w:sz="4" w:space="0" w:color="auto"/>
              <w:right w:val="nil"/>
            </w:tcBorders>
          </w:tcPr>
          <w:p w14:paraId="0F8CA805" w14:textId="77777777" w:rsidR="00647C6B" w:rsidRPr="00A058B6" w:rsidRDefault="00647C6B" w:rsidP="009C0D79">
            <w:pPr>
              <w:pStyle w:val="Tabletext"/>
            </w:pPr>
            <w:r w:rsidRPr="00A058B6">
              <w:t>0</w:t>
            </w:r>
            <w:r w:rsidR="00D7157D">
              <w:t>.</w:t>
            </w:r>
            <w:r w:rsidRPr="00A058B6">
              <w:t>57</w:t>
            </w:r>
          </w:p>
        </w:tc>
        <w:tc>
          <w:tcPr>
            <w:tcW w:w="802" w:type="pct"/>
            <w:tcBorders>
              <w:top w:val="single" w:sz="4" w:space="0" w:color="auto"/>
              <w:left w:val="nil"/>
              <w:bottom w:val="single" w:sz="4" w:space="0" w:color="auto"/>
              <w:right w:val="nil"/>
            </w:tcBorders>
          </w:tcPr>
          <w:p w14:paraId="22167E11" w14:textId="77777777" w:rsidR="00647C6B" w:rsidRPr="00A058B6" w:rsidRDefault="00647C6B" w:rsidP="009C0D79">
            <w:pPr>
              <w:pStyle w:val="Tabletext"/>
            </w:pPr>
            <w:r w:rsidRPr="00A058B6">
              <w:t>0</w:t>
            </w:r>
            <w:r w:rsidR="00D7157D">
              <w:t>.</w:t>
            </w:r>
            <w:r w:rsidRPr="00A058B6">
              <w:t>52</w:t>
            </w:r>
          </w:p>
        </w:tc>
      </w:tr>
      <w:tr w:rsidR="00647C6B" w:rsidRPr="00A058B6" w14:paraId="4DB5CD1D" w14:textId="77777777" w:rsidTr="00FA26AF">
        <w:trPr>
          <w:cantSplit/>
        </w:trPr>
        <w:tc>
          <w:tcPr>
            <w:tcW w:w="1001" w:type="pct"/>
            <w:tcBorders>
              <w:top w:val="single" w:sz="4" w:space="0" w:color="auto"/>
              <w:left w:val="nil"/>
              <w:bottom w:val="single" w:sz="4" w:space="0" w:color="auto"/>
              <w:right w:val="nil"/>
            </w:tcBorders>
          </w:tcPr>
          <w:p w14:paraId="16A407B8" w14:textId="77777777" w:rsidR="00647C6B" w:rsidRPr="00A058B6" w:rsidRDefault="00647C6B" w:rsidP="009C0D79">
            <w:pPr>
              <w:pStyle w:val="Tabletext"/>
            </w:pPr>
            <w:r w:rsidRPr="00A058B6">
              <w:t>2</w:t>
            </w:r>
          </w:p>
        </w:tc>
        <w:tc>
          <w:tcPr>
            <w:tcW w:w="799" w:type="pct"/>
            <w:tcBorders>
              <w:top w:val="single" w:sz="4" w:space="0" w:color="auto"/>
              <w:left w:val="nil"/>
              <w:bottom w:val="single" w:sz="4" w:space="0" w:color="auto"/>
              <w:right w:val="nil"/>
            </w:tcBorders>
          </w:tcPr>
          <w:p w14:paraId="2DC8D392"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75</w:t>
            </w:r>
          </w:p>
        </w:tc>
        <w:tc>
          <w:tcPr>
            <w:tcW w:w="799" w:type="pct"/>
            <w:tcBorders>
              <w:top w:val="single" w:sz="4" w:space="0" w:color="auto"/>
              <w:left w:val="nil"/>
              <w:bottom w:val="single" w:sz="4" w:space="0" w:color="auto"/>
              <w:right w:val="nil"/>
            </w:tcBorders>
          </w:tcPr>
          <w:p w14:paraId="0C694496"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72</w:t>
            </w:r>
          </w:p>
        </w:tc>
        <w:tc>
          <w:tcPr>
            <w:tcW w:w="800" w:type="pct"/>
            <w:tcBorders>
              <w:top w:val="single" w:sz="4" w:space="0" w:color="auto"/>
              <w:left w:val="nil"/>
              <w:bottom w:val="single" w:sz="4" w:space="0" w:color="auto"/>
              <w:right w:val="nil"/>
            </w:tcBorders>
          </w:tcPr>
          <w:p w14:paraId="3D78D8FA" w14:textId="77777777" w:rsidR="00647C6B" w:rsidRPr="00A058B6" w:rsidRDefault="00647C6B" w:rsidP="009C0D79">
            <w:pPr>
              <w:pStyle w:val="Tabletext"/>
            </w:pPr>
            <w:r w:rsidRPr="00A058B6">
              <w:t>0</w:t>
            </w:r>
            <w:r w:rsidR="00D7157D">
              <w:t>.</w:t>
            </w:r>
            <w:r w:rsidRPr="00A058B6">
              <w:t>70</w:t>
            </w:r>
          </w:p>
        </w:tc>
        <w:tc>
          <w:tcPr>
            <w:tcW w:w="799" w:type="pct"/>
            <w:tcBorders>
              <w:top w:val="single" w:sz="4" w:space="0" w:color="auto"/>
              <w:left w:val="nil"/>
              <w:bottom w:val="single" w:sz="4" w:space="0" w:color="auto"/>
              <w:right w:val="nil"/>
            </w:tcBorders>
          </w:tcPr>
          <w:p w14:paraId="6028C848" w14:textId="77777777" w:rsidR="00647C6B" w:rsidRPr="00A058B6" w:rsidRDefault="00647C6B" w:rsidP="009C0D79">
            <w:pPr>
              <w:pStyle w:val="Tabletext"/>
            </w:pPr>
            <w:r w:rsidRPr="00A058B6">
              <w:t>0</w:t>
            </w:r>
            <w:r w:rsidR="00D7157D">
              <w:t>.</w:t>
            </w:r>
            <w:r w:rsidRPr="00A058B6">
              <w:t>62</w:t>
            </w:r>
          </w:p>
        </w:tc>
        <w:tc>
          <w:tcPr>
            <w:tcW w:w="802" w:type="pct"/>
            <w:tcBorders>
              <w:top w:val="single" w:sz="4" w:space="0" w:color="auto"/>
              <w:left w:val="nil"/>
              <w:bottom w:val="single" w:sz="4" w:space="0" w:color="auto"/>
              <w:right w:val="nil"/>
            </w:tcBorders>
          </w:tcPr>
          <w:p w14:paraId="17986DB7" w14:textId="77777777" w:rsidR="00647C6B" w:rsidRPr="00A058B6" w:rsidRDefault="00647C6B" w:rsidP="009C0D79">
            <w:pPr>
              <w:pStyle w:val="Tabletext"/>
            </w:pPr>
            <w:r w:rsidRPr="00A058B6">
              <w:t>0</w:t>
            </w:r>
            <w:r w:rsidR="00D7157D">
              <w:t>.</w:t>
            </w:r>
            <w:r w:rsidRPr="00A058B6">
              <w:t>56</w:t>
            </w:r>
          </w:p>
        </w:tc>
      </w:tr>
      <w:tr w:rsidR="00647C6B" w:rsidRPr="00A058B6" w14:paraId="64E4A8D1" w14:textId="77777777" w:rsidTr="00FA26AF">
        <w:trPr>
          <w:cantSplit/>
        </w:trPr>
        <w:tc>
          <w:tcPr>
            <w:tcW w:w="1001" w:type="pct"/>
            <w:tcBorders>
              <w:top w:val="single" w:sz="4" w:space="0" w:color="auto"/>
              <w:left w:val="nil"/>
              <w:bottom w:val="single" w:sz="4" w:space="0" w:color="auto"/>
              <w:right w:val="nil"/>
            </w:tcBorders>
          </w:tcPr>
          <w:p w14:paraId="528A9DE3" w14:textId="77777777" w:rsidR="00647C6B" w:rsidRPr="00A058B6" w:rsidRDefault="00647C6B" w:rsidP="009C0D79">
            <w:pPr>
              <w:pStyle w:val="Tabletext"/>
            </w:pPr>
            <w:r w:rsidRPr="00A058B6">
              <w:t>3</w:t>
            </w:r>
          </w:p>
        </w:tc>
        <w:tc>
          <w:tcPr>
            <w:tcW w:w="799" w:type="pct"/>
            <w:tcBorders>
              <w:top w:val="single" w:sz="4" w:space="0" w:color="auto"/>
              <w:left w:val="nil"/>
              <w:bottom w:val="single" w:sz="4" w:space="0" w:color="auto"/>
              <w:right w:val="nil"/>
            </w:tcBorders>
          </w:tcPr>
          <w:p w14:paraId="2AD7EAD4"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79</w:t>
            </w:r>
          </w:p>
        </w:tc>
        <w:tc>
          <w:tcPr>
            <w:tcW w:w="799" w:type="pct"/>
            <w:tcBorders>
              <w:top w:val="single" w:sz="4" w:space="0" w:color="auto"/>
              <w:left w:val="nil"/>
              <w:bottom w:val="single" w:sz="4" w:space="0" w:color="auto"/>
              <w:right w:val="nil"/>
            </w:tcBorders>
          </w:tcPr>
          <w:p w14:paraId="385886EE"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77</w:t>
            </w:r>
          </w:p>
        </w:tc>
        <w:tc>
          <w:tcPr>
            <w:tcW w:w="800" w:type="pct"/>
            <w:tcBorders>
              <w:top w:val="single" w:sz="4" w:space="0" w:color="auto"/>
              <w:left w:val="nil"/>
              <w:bottom w:val="single" w:sz="4" w:space="0" w:color="auto"/>
              <w:right w:val="nil"/>
            </w:tcBorders>
          </w:tcPr>
          <w:p w14:paraId="373D2FFA" w14:textId="77777777" w:rsidR="00647C6B" w:rsidRPr="00A058B6" w:rsidRDefault="00647C6B" w:rsidP="009C0D79">
            <w:pPr>
              <w:pStyle w:val="Tabletext"/>
            </w:pPr>
            <w:r w:rsidRPr="00A058B6">
              <w:t>0</w:t>
            </w:r>
            <w:r w:rsidR="00D7157D">
              <w:t>.</w:t>
            </w:r>
            <w:r w:rsidRPr="00A058B6">
              <w:t>75</w:t>
            </w:r>
          </w:p>
        </w:tc>
        <w:tc>
          <w:tcPr>
            <w:tcW w:w="799" w:type="pct"/>
            <w:tcBorders>
              <w:top w:val="single" w:sz="4" w:space="0" w:color="auto"/>
              <w:left w:val="nil"/>
              <w:bottom w:val="single" w:sz="4" w:space="0" w:color="auto"/>
              <w:right w:val="nil"/>
            </w:tcBorders>
          </w:tcPr>
          <w:p w14:paraId="416669A7" w14:textId="77777777" w:rsidR="00647C6B" w:rsidRPr="00A058B6" w:rsidRDefault="00647C6B" w:rsidP="009C0D79">
            <w:pPr>
              <w:pStyle w:val="Tabletext"/>
            </w:pPr>
            <w:r w:rsidRPr="00A058B6">
              <w:t>0</w:t>
            </w:r>
            <w:r w:rsidR="00D7157D">
              <w:t>.</w:t>
            </w:r>
            <w:r w:rsidRPr="00A058B6">
              <w:t>66</w:t>
            </w:r>
          </w:p>
        </w:tc>
        <w:tc>
          <w:tcPr>
            <w:tcW w:w="802" w:type="pct"/>
            <w:tcBorders>
              <w:top w:val="single" w:sz="4" w:space="0" w:color="auto"/>
              <w:left w:val="nil"/>
              <w:bottom w:val="single" w:sz="4" w:space="0" w:color="auto"/>
              <w:right w:val="nil"/>
            </w:tcBorders>
          </w:tcPr>
          <w:p w14:paraId="10F011B9" w14:textId="77777777" w:rsidR="00647C6B" w:rsidRPr="00A058B6" w:rsidRDefault="00647C6B" w:rsidP="009C0D79">
            <w:pPr>
              <w:pStyle w:val="Tabletext"/>
            </w:pPr>
            <w:r w:rsidRPr="00A058B6">
              <w:t>0</w:t>
            </w:r>
            <w:r w:rsidR="00D7157D">
              <w:t>.</w:t>
            </w:r>
            <w:r w:rsidRPr="00A058B6">
              <w:t>60</w:t>
            </w:r>
          </w:p>
        </w:tc>
      </w:tr>
      <w:tr w:rsidR="00647C6B" w:rsidRPr="00A058B6" w14:paraId="4B94DCA2" w14:textId="77777777" w:rsidTr="00FA26AF">
        <w:trPr>
          <w:cantSplit/>
        </w:trPr>
        <w:tc>
          <w:tcPr>
            <w:tcW w:w="1001" w:type="pct"/>
            <w:tcBorders>
              <w:top w:val="single" w:sz="4" w:space="0" w:color="auto"/>
              <w:left w:val="nil"/>
              <w:bottom w:val="single" w:sz="4" w:space="0" w:color="auto"/>
              <w:right w:val="nil"/>
            </w:tcBorders>
          </w:tcPr>
          <w:p w14:paraId="332D4620" w14:textId="77777777" w:rsidR="00647C6B" w:rsidRPr="00A058B6" w:rsidRDefault="00647C6B" w:rsidP="009C0D79">
            <w:pPr>
              <w:pStyle w:val="Tabletext"/>
            </w:pPr>
            <w:r w:rsidRPr="00A058B6">
              <w:t>4</w:t>
            </w:r>
          </w:p>
        </w:tc>
        <w:tc>
          <w:tcPr>
            <w:tcW w:w="799" w:type="pct"/>
            <w:tcBorders>
              <w:top w:val="single" w:sz="4" w:space="0" w:color="auto"/>
              <w:left w:val="nil"/>
              <w:bottom w:val="single" w:sz="4" w:space="0" w:color="auto"/>
              <w:right w:val="nil"/>
            </w:tcBorders>
          </w:tcPr>
          <w:p w14:paraId="6AE7F830"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84</w:t>
            </w:r>
          </w:p>
        </w:tc>
        <w:tc>
          <w:tcPr>
            <w:tcW w:w="799" w:type="pct"/>
            <w:tcBorders>
              <w:top w:val="single" w:sz="4" w:space="0" w:color="auto"/>
              <w:left w:val="nil"/>
              <w:bottom w:val="single" w:sz="4" w:space="0" w:color="auto"/>
              <w:right w:val="nil"/>
            </w:tcBorders>
          </w:tcPr>
          <w:p w14:paraId="60293CFA"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81</w:t>
            </w:r>
          </w:p>
        </w:tc>
        <w:tc>
          <w:tcPr>
            <w:tcW w:w="800" w:type="pct"/>
            <w:tcBorders>
              <w:top w:val="single" w:sz="4" w:space="0" w:color="auto"/>
              <w:left w:val="nil"/>
              <w:bottom w:val="single" w:sz="4" w:space="0" w:color="auto"/>
              <w:right w:val="nil"/>
            </w:tcBorders>
          </w:tcPr>
          <w:p w14:paraId="29152042" w14:textId="77777777" w:rsidR="00647C6B" w:rsidRPr="00A058B6" w:rsidRDefault="00647C6B" w:rsidP="009C0D79">
            <w:pPr>
              <w:pStyle w:val="Tabletext"/>
            </w:pPr>
            <w:r w:rsidRPr="00A058B6">
              <w:t>0</w:t>
            </w:r>
            <w:r w:rsidR="00D7157D">
              <w:t>.</w:t>
            </w:r>
            <w:r w:rsidRPr="00A058B6">
              <w:t>79</w:t>
            </w:r>
          </w:p>
        </w:tc>
        <w:tc>
          <w:tcPr>
            <w:tcW w:w="799" w:type="pct"/>
            <w:tcBorders>
              <w:top w:val="single" w:sz="4" w:space="0" w:color="auto"/>
              <w:left w:val="nil"/>
              <w:bottom w:val="single" w:sz="4" w:space="0" w:color="auto"/>
              <w:right w:val="nil"/>
            </w:tcBorders>
          </w:tcPr>
          <w:p w14:paraId="2A834ADC" w14:textId="77777777" w:rsidR="00647C6B" w:rsidRPr="00A058B6" w:rsidRDefault="00647C6B" w:rsidP="009C0D79">
            <w:pPr>
              <w:pStyle w:val="Tabletext"/>
            </w:pPr>
            <w:r w:rsidRPr="00A058B6">
              <w:t>0</w:t>
            </w:r>
            <w:r w:rsidR="00D7157D">
              <w:t>.</w:t>
            </w:r>
            <w:r w:rsidRPr="00A058B6">
              <w:t>70</w:t>
            </w:r>
          </w:p>
        </w:tc>
        <w:tc>
          <w:tcPr>
            <w:tcW w:w="802" w:type="pct"/>
            <w:tcBorders>
              <w:top w:val="single" w:sz="4" w:space="0" w:color="auto"/>
              <w:left w:val="nil"/>
              <w:bottom w:val="single" w:sz="4" w:space="0" w:color="auto"/>
              <w:right w:val="nil"/>
            </w:tcBorders>
          </w:tcPr>
          <w:p w14:paraId="09DBAD52" w14:textId="77777777" w:rsidR="00647C6B" w:rsidRPr="00A058B6" w:rsidRDefault="00647C6B" w:rsidP="009C0D79">
            <w:pPr>
              <w:pStyle w:val="Tabletext"/>
            </w:pPr>
            <w:r w:rsidRPr="00A058B6">
              <w:t>0</w:t>
            </w:r>
            <w:r w:rsidR="00D7157D">
              <w:t>.</w:t>
            </w:r>
            <w:r w:rsidRPr="00A058B6">
              <w:t>63</w:t>
            </w:r>
          </w:p>
        </w:tc>
      </w:tr>
      <w:tr w:rsidR="00647C6B" w:rsidRPr="00A058B6" w14:paraId="6D792772" w14:textId="77777777" w:rsidTr="00FA26AF">
        <w:trPr>
          <w:cantSplit/>
        </w:trPr>
        <w:tc>
          <w:tcPr>
            <w:tcW w:w="1001" w:type="pct"/>
            <w:tcBorders>
              <w:top w:val="single" w:sz="4" w:space="0" w:color="auto"/>
              <w:left w:val="nil"/>
              <w:bottom w:val="single" w:sz="4" w:space="0" w:color="auto"/>
              <w:right w:val="nil"/>
            </w:tcBorders>
          </w:tcPr>
          <w:p w14:paraId="28E11562" w14:textId="77777777" w:rsidR="00647C6B" w:rsidRPr="00A058B6" w:rsidRDefault="00647C6B" w:rsidP="009C0D79">
            <w:pPr>
              <w:pStyle w:val="Tabletext"/>
            </w:pPr>
            <w:r w:rsidRPr="00A058B6">
              <w:t>5</w:t>
            </w:r>
          </w:p>
        </w:tc>
        <w:tc>
          <w:tcPr>
            <w:tcW w:w="799" w:type="pct"/>
            <w:tcBorders>
              <w:top w:val="single" w:sz="4" w:space="0" w:color="auto"/>
              <w:left w:val="nil"/>
              <w:bottom w:val="single" w:sz="4" w:space="0" w:color="auto"/>
              <w:right w:val="nil"/>
            </w:tcBorders>
          </w:tcPr>
          <w:p w14:paraId="5DFE24F8"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87</w:t>
            </w:r>
          </w:p>
        </w:tc>
        <w:tc>
          <w:tcPr>
            <w:tcW w:w="799" w:type="pct"/>
            <w:tcBorders>
              <w:top w:val="single" w:sz="4" w:space="0" w:color="auto"/>
              <w:left w:val="nil"/>
              <w:bottom w:val="single" w:sz="4" w:space="0" w:color="auto"/>
              <w:right w:val="nil"/>
            </w:tcBorders>
          </w:tcPr>
          <w:p w14:paraId="79DD2C29"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84</w:t>
            </w:r>
          </w:p>
        </w:tc>
        <w:tc>
          <w:tcPr>
            <w:tcW w:w="800" w:type="pct"/>
            <w:tcBorders>
              <w:top w:val="single" w:sz="4" w:space="0" w:color="auto"/>
              <w:left w:val="nil"/>
              <w:bottom w:val="single" w:sz="4" w:space="0" w:color="auto"/>
              <w:right w:val="nil"/>
            </w:tcBorders>
          </w:tcPr>
          <w:p w14:paraId="34F41A94" w14:textId="77777777" w:rsidR="00647C6B" w:rsidRPr="00A058B6" w:rsidRDefault="00647C6B" w:rsidP="009C0D79">
            <w:pPr>
              <w:pStyle w:val="Tabletext"/>
            </w:pPr>
            <w:r w:rsidRPr="00A058B6">
              <w:t>0</w:t>
            </w:r>
            <w:r w:rsidR="00D7157D">
              <w:t>.</w:t>
            </w:r>
            <w:r w:rsidRPr="00A058B6">
              <w:t>82</w:t>
            </w:r>
          </w:p>
        </w:tc>
        <w:tc>
          <w:tcPr>
            <w:tcW w:w="799" w:type="pct"/>
            <w:tcBorders>
              <w:top w:val="single" w:sz="4" w:space="0" w:color="auto"/>
              <w:left w:val="nil"/>
              <w:bottom w:val="single" w:sz="4" w:space="0" w:color="auto"/>
              <w:right w:val="nil"/>
            </w:tcBorders>
          </w:tcPr>
          <w:p w14:paraId="13AC7902" w14:textId="77777777" w:rsidR="00647C6B" w:rsidRPr="00A058B6" w:rsidRDefault="00647C6B" w:rsidP="009C0D79">
            <w:pPr>
              <w:pStyle w:val="Tabletext"/>
            </w:pPr>
            <w:r w:rsidRPr="00A058B6">
              <w:t>0</w:t>
            </w:r>
            <w:r w:rsidR="00D7157D">
              <w:t>.</w:t>
            </w:r>
            <w:r w:rsidRPr="00A058B6">
              <w:t>72</w:t>
            </w:r>
          </w:p>
        </w:tc>
        <w:tc>
          <w:tcPr>
            <w:tcW w:w="802" w:type="pct"/>
            <w:tcBorders>
              <w:top w:val="single" w:sz="4" w:space="0" w:color="auto"/>
              <w:left w:val="nil"/>
              <w:bottom w:val="single" w:sz="4" w:space="0" w:color="auto"/>
              <w:right w:val="nil"/>
            </w:tcBorders>
          </w:tcPr>
          <w:p w14:paraId="5AAB0204" w14:textId="77777777" w:rsidR="00647C6B" w:rsidRPr="00A058B6" w:rsidRDefault="00647C6B" w:rsidP="009C0D79">
            <w:pPr>
              <w:pStyle w:val="Tabletext"/>
            </w:pPr>
            <w:r w:rsidRPr="00A058B6">
              <w:t>0</w:t>
            </w:r>
            <w:r w:rsidR="00D7157D">
              <w:t>.</w:t>
            </w:r>
            <w:r w:rsidRPr="00A058B6">
              <w:t>66</w:t>
            </w:r>
          </w:p>
        </w:tc>
      </w:tr>
      <w:tr w:rsidR="00647C6B" w:rsidRPr="00A058B6" w14:paraId="71DAC372" w14:textId="77777777" w:rsidTr="00FA26AF">
        <w:trPr>
          <w:cantSplit/>
        </w:trPr>
        <w:tc>
          <w:tcPr>
            <w:tcW w:w="1001" w:type="pct"/>
            <w:tcBorders>
              <w:top w:val="single" w:sz="4" w:space="0" w:color="auto"/>
              <w:left w:val="nil"/>
              <w:bottom w:val="single" w:sz="4" w:space="0" w:color="auto"/>
              <w:right w:val="nil"/>
            </w:tcBorders>
          </w:tcPr>
          <w:p w14:paraId="5BEB3201" w14:textId="77777777" w:rsidR="00647C6B" w:rsidRPr="00A058B6" w:rsidRDefault="00647C6B" w:rsidP="009C0D79">
            <w:pPr>
              <w:pStyle w:val="Tabletext"/>
            </w:pPr>
            <w:r w:rsidRPr="00A058B6">
              <w:t>6</w:t>
            </w:r>
          </w:p>
        </w:tc>
        <w:tc>
          <w:tcPr>
            <w:tcW w:w="799" w:type="pct"/>
            <w:tcBorders>
              <w:top w:val="single" w:sz="4" w:space="0" w:color="auto"/>
              <w:left w:val="nil"/>
              <w:bottom w:val="single" w:sz="4" w:space="0" w:color="auto"/>
              <w:right w:val="nil"/>
            </w:tcBorders>
          </w:tcPr>
          <w:p w14:paraId="68EA3849"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90</w:t>
            </w:r>
          </w:p>
        </w:tc>
        <w:tc>
          <w:tcPr>
            <w:tcW w:w="799" w:type="pct"/>
            <w:tcBorders>
              <w:top w:val="single" w:sz="4" w:space="0" w:color="auto"/>
              <w:left w:val="nil"/>
              <w:bottom w:val="single" w:sz="4" w:space="0" w:color="auto"/>
              <w:right w:val="nil"/>
            </w:tcBorders>
          </w:tcPr>
          <w:p w14:paraId="7C7E463F"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88</w:t>
            </w:r>
          </w:p>
        </w:tc>
        <w:tc>
          <w:tcPr>
            <w:tcW w:w="800" w:type="pct"/>
            <w:tcBorders>
              <w:top w:val="single" w:sz="4" w:space="0" w:color="auto"/>
              <w:left w:val="nil"/>
              <w:bottom w:val="single" w:sz="4" w:space="0" w:color="auto"/>
              <w:right w:val="nil"/>
            </w:tcBorders>
          </w:tcPr>
          <w:p w14:paraId="1359D726" w14:textId="77777777" w:rsidR="00647C6B" w:rsidRPr="00A058B6" w:rsidRDefault="00647C6B" w:rsidP="009C0D79">
            <w:pPr>
              <w:pStyle w:val="Tabletext"/>
            </w:pPr>
            <w:r w:rsidRPr="00A058B6">
              <w:t>0</w:t>
            </w:r>
            <w:r w:rsidR="00D7157D">
              <w:t>.</w:t>
            </w:r>
            <w:r w:rsidRPr="00A058B6">
              <w:t>85</w:t>
            </w:r>
          </w:p>
        </w:tc>
        <w:tc>
          <w:tcPr>
            <w:tcW w:w="799" w:type="pct"/>
            <w:tcBorders>
              <w:top w:val="single" w:sz="4" w:space="0" w:color="auto"/>
              <w:left w:val="nil"/>
              <w:bottom w:val="single" w:sz="4" w:space="0" w:color="auto"/>
              <w:right w:val="nil"/>
            </w:tcBorders>
          </w:tcPr>
          <w:p w14:paraId="789F94CF" w14:textId="77777777" w:rsidR="00647C6B" w:rsidRPr="00A058B6" w:rsidRDefault="00647C6B" w:rsidP="009C0D79">
            <w:pPr>
              <w:pStyle w:val="Tabletext"/>
            </w:pPr>
            <w:r w:rsidRPr="00A058B6">
              <w:t>0</w:t>
            </w:r>
            <w:r w:rsidR="00D7157D">
              <w:t>.</w:t>
            </w:r>
            <w:r w:rsidRPr="00A058B6">
              <w:t>75</w:t>
            </w:r>
          </w:p>
        </w:tc>
        <w:tc>
          <w:tcPr>
            <w:tcW w:w="802" w:type="pct"/>
            <w:tcBorders>
              <w:top w:val="single" w:sz="4" w:space="0" w:color="auto"/>
              <w:left w:val="nil"/>
              <w:bottom w:val="single" w:sz="4" w:space="0" w:color="auto"/>
              <w:right w:val="nil"/>
            </w:tcBorders>
          </w:tcPr>
          <w:p w14:paraId="1D1CB865" w14:textId="77777777" w:rsidR="00647C6B" w:rsidRPr="00A058B6" w:rsidRDefault="00647C6B" w:rsidP="009C0D79">
            <w:pPr>
              <w:pStyle w:val="Tabletext"/>
            </w:pPr>
            <w:r w:rsidRPr="00A058B6">
              <w:t>0</w:t>
            </w:r>
            <w:r w:rsidR="00D7157D">
              <w:t>.</w:t>
            </w:r>
            <w:r w:rsidRPr="00A058B6">
              <w:t>69</w:t>
            </w:r>
          </w:p>
        </w:tc>
      </w:tr>
      <w:tr w:rsidR="00647C6B" w:rsidRPr="00A058B6" w14:paraId="01F0EF48" w14:textId="77777777" w:rsidTr="00FA26AF">
        <w:trPr>
          <w:cantSplit/>
        </w:trPr>
        <w:tc>
          <w:tcPr>
            <w:tcW w:w="1001" w:type="pct"/>
            <w:tcBorders>
              <w:top w:val="single" w:sz="4" w:space="0" w:color="auto"/>
              <w:left w:val="nil"/>
              <w:bottom w:val="single" w:sz="4" w:space="0" w:color="auto"/>
              <w:right w:val="nil"/>
            </w:tcBorders>
          </w:tcPr>
          <w:p w14:paraId="7088D490" w14:textId="77777777" w:rsidR="00647C6B" w:rsidRPr="00A058B6" w:rsidRDefault="00647C6B" w:rsidP="009C0D79">
            <w:pPr>
              <w:pStyle w:val="Tabletext"/>
            </w:pPr>
            <w:r w:rsidRPr="00A058B6">
              <w:t>7</w:t>
            </w:r>
          </w:p>
        </w:tc>
        <w:tc>
          <w:tcPr>
            <w:tcW w:w="799" w:type="pct"/>
            <w:tcBorders>
              <w:top w:val="single" w:sz="4" w:space="0" w:color="auto"/>
              <w:left w:val="nil"/>
              <w:bottom w:val="single" w:sz="4" w:space="0" w:color="auto"/>
              <w:right w:val="nil"/>
            </w:tcBorders>
          </w:tcPr>
          <w:p w14:paraId="4C4F84BC"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94</w:t>
            </w:r>
          </w:p>
        </w:tc>
        <w:tc>
          <w:tcPr>
            <w:tcW w:w="799" w:type="pct"/>
            <w:tcBorders>
              <w:top w:val="single" w:sz="4" w:space="0" w:color="auto"/>
              <w:left w:val="nil"/>
              <w:bottom w:val="single" w:sz="4" w:space="0" w:color="auto"/>
              <w:right w:val="nil"/>
            </w:tcBorders>
          </w:tcPr>
          <w:p w14:paraId="21A3F3D8"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91</w:t>
            </w:r>
          </w:p>
        </w:tc>
        <w:tc>
          <w:tcPr>
            <w:tcW w:w="800" w:type="pct"/>
            <w:tcBorders>
              <w:top w:val="single" w:sz="4" w:space="0" w:color="auto"/>
              <w:left w:val="nil"/>
              <w:bottom w:val="single" w:sz="4" w:space="0" w:color="auto"/>
              <w:right w:val="nil"/>
            </w:tcBorders>
          </w:tcPr>
          <w:p w14:paraId="29CE6D40" w14:textId="77777777" w:rsidR="00647C6B" w:rsidRPr="00A058B6" w:rsidRDefault="00647C6B" w:rsidP="009C0D79">
            <w:pPr>
              <w:pStyle w:val="Tabletext"/>
            </w:pPr>
            <w:r w:rsidRPr="00A058B6">
              <w:t>0</w:t>
            </w:r>
            <w:r w:rsidR="00D7157D">
              <w:t>.</w:t>
            </w:r>
            <w:r w:rsidRPr="00A058B6">
              <w:t>88</w:t>
            </w:r>
          </w:p>
        </w:tc>
        <w:tc>
          <w:tcPr>
            <w:tcW w:w="799" w:type="pct"/>
            <w:tcBorders>
              <w:top w:val="single" w:sz="4" w:space="0" w:color="auto"/>
              <w:left w:val="nil"/>
              <w:bottom w:val="single" w:sz="4" w:space="0" w:color="auto"/>
              <w:right w:val="nil"/>
            </w:tcBorders>
          </w:tcPr>
          <w:p w14:paraId="6F420A89" w14:textId="77777777" w:rsidR="00647C6B" w:rsidRPr="00A058B6" w:rsidRDefault="00647C6B" w:rsidP="009C0D79">
            <w:pPr>
              <w:pStyle w:val="Tabletext"/>
            </w:pPr>
            <w:r w:rsidRPr="00A058B6">
              <w:t>0</w:t>
            </w:r>
            <w:r w:rsidR="00D7157D">
              <w:t>.</w:t>
            </w:r>
            <w:r w:rsidRPr="00A058B6">
              <w:t>78</w:t>
            </w:r>
          </w:p>
        </w:tc>
        <w:tc>
          <w:tcPr>
            <w:tcW w:w="802" w:type="pct"/>
            <w:tcBorders>
              <w:top w:val="single" w:sz="4" w:space="0" w:color="auto"/>
              <w:left w:val="nil"/>
              <w:bottom w:val="single" w:sz="4" w:space="0" w:color="auto"/>
              <w:right w:val="nil"/>
            </w:tcBorders>
          </w:tcPr>
          <w:p w14:paraId="539B2540" w14:textId="77777777" w:rsidR="00647C6B" w:rsidRPr="00A058B6" w:rsidRDefault="00647C6B" w:rsidP="009C0D79">
            <w:pPr>
              <w:pStyle w:val="Tabletext"/>
            </w:pPr>
            <w:r w:rsidRPr="00A058B6">
              <w:t>0</w:t>
            </w:r>
            <w:r w:rsidR="00D7157D">
              <w:t>.</w:t>
            </w:r>
            <w:r w:rsidRPr="00A058B6">
              <w:t>71</w:t>
            </w:r>
          </w:p>
        </w:tc>
      </w:tr>
      <w:tr w:rsidR="00647C6B" w:rsidRPr="00A058B6" w14:paraId="20A0FB0B" w14:textId="77777777" w:rsidTr="00FA26AF">
        <w:trPr>
          <w:cantSplit/>
        </w:trPr>
        <w:tc>
          <w:tcPr>
            <w:tcW w:w="1001" w:type="pct"/>
            <w:tcBorders>
              <w:top w:val="single" w:sz="4" w:space="0" w:color="auto"/>
              <w:left w:val="nil"/>
              <w:bottom w:val="single" w:sz="4" w:space="0" w:color="auto"/>
              <w:right w:val="nil"/>
            </w:tcBorders>
          </w:tcPr>
          <w:p w14:paraId="13184745" w14:textId="77777777" w:rsidR="00647C6B" w:rsidRPr="00A058B6" w:rsidRDefault="00647C6B" w:rsidP="009C0D79">
            <w:pPr>
              <w:pStyle w:val="Tabletext"/>
            </w:pPr>
            <w:r w:rsidRPr="00A058B6">
              <w:t>8</w:t>
            </w:r>
          </w:p>
        </w:tc>
        <w:tc>
          <w:tcPr>
            <w:tcW w:w="799" w:type="pct"/>
            <w:tcBorders>
              <w:top w:val="single" w:sz="4" w:space="0" w:color="auto"/>
              <w:left w:val="nil"/>
              <w:bottom w:val="single" w:sz="4" w:space="0" w:color="auto"/>
              <w:right w:val="nil"/>
            </w:tcBorders>
          </w:tcPr>
          <w:p w14:paraId="2572D8B2" w14:textId="77777777" w:rsidR="00647C6B" w:rsidRPr="00A058B6" w:rsidRDefault="00647C6B" w:rsidP="009C0D79">
            <w:pPr>
              <w:pStyle w:val="Tabletext"/>
              <w:rPr>
                <w:snapToGrid w:val="0"/>
              </w:rPr>
            </w:pPr>
            <w:r w:rsidRPr="00A058B6">
              <w:rPr>
                <w:snapToGrid w:val="0"/>
              </w:rPr>
              <w:t>1</w:t>
            </w:r>
            <w:r w:rsidR="00D7157D">
              <w:rPr>
                <w:snapToGrid w:val="0"/>
              </w:rPr>
              <w:t>.</w:t>
            </w:r>
            <w:r w:rsidRPr="00A058B6">
              <w:rPr>
                <w:snapToGrid w:val="0"/>
              </w:rPr>
              <w:t>00</w:t>
            </w:r>
          </w:p>
        </w:tc>
        <w:tc>
          <w:tcPr>
            <w:tcW w:w="799" w:type="pct"/>
            <w:tcBorders>
              <w:top w:val="single" w:sz="4" w:space="0" w:color="auto"/>
              <w:left w:val="nil"/>
              <w:bottom w:val="single" w:sz="4" w:space="0" w:color="auto"/>
              <w:right w:val="nil"/>
            </w:tcBorders>
          </w:tcPr>
          <w:p w14:paraId="41EFD8BD" w14:textId="77777777" w:rsidR="00647C6B" w:rsidRPr="00A058B6" w:rsidRDefault="00647C6B" w:rsidP="009C0D79">
            <w:pPr>
              <w:pStyle w:val="Tabletext"/>
              <w:rPr>
                <w:snapToGrid w:val="0"/>
              </w:rPr>
            </w:pPr>
            <w:r w:rsidRPr="00A058B6">
              <w:rPr>
                <w:snapToGrid w:val="0"/>
              </w:rPr>
              <w:t>0</w:t>
            </w:r>
            <w:r w:rsidR="00D7157D">
              <w:rPr>
                <w:snapToGrid w:val="0"/>
              </w:rPr>
              <w:t>.</w:t>
            </w:r>
            <w:r w:rsidRPr="00A058B6">
              <w:rPr>
                <w:snapToGrid w:val="0"/>
              </w:rPr>
              <w:t>94</w:t>
            </w:r>
          </w:p>
        </w:tc>
        <w:tc>
          <w:tcPr>
            <w:tcW w:w="800" w:type="pct"/>
            <w:tcBorders>
              <w:top w:val="single" w:sz="4" w:space="0" w:color="auto"/>
              <w:left w:val="nil"/>
              <w:bottom w:val="single" w:sz="4" w:space="0" w:color="auto"/>
              <w:right w:val="nil"/>
            </w:tcBorders>
          </w:tcPr>
          <w:p w14:paraId="295AADB8" w14:textId="77777777" w:rsidR="00647C6B" w:rsidRPr="00A058B6" w:rsidRDefault="00647C6B" w:rsidP="009C0D79">
            <w:pPr>
              <w:pStyle w:val="Tabletext"/>
            </w:pPr>
            <w:r w:rsidRPr="00A058B6">
              <w:t>0</w:t>
            </w:r>
            <w:r w:rsidR="00D7157D">
              <w:t>.</w:t>
            </w:r>
            <w:r w:rsidRPr="00A058B6">
              <w:t>91</w:t>
            </w:r>
          </w:p>
        </w:tc>
        <w:tc>
          <w:tcPr>
            <w:tcW w:w="799" w:type="pct"/>
            <w:tcBorders>
              <w:top w:val="single" w:sz="4" w:space="0" w:color="auto"/>
              <w:left w:val="nil"/>
              <w:bottom w:val="single" w:sz="4" w:space="0" w:color="auto"/>
              <w:right w:val="nil"/>
            </w:tcBorders>
          </w:tcPr>
          <w:p w14:paraId="16C72445" w14:textId="77777777" w:rsidR="00647C6B" w:rsidRPr="00A058B6" w:rsidRDefault="00647C6B" w:rsidP="009C0D79">
            <w:pPr>
              <w:pStyle w:val="Tabletext"/>
            </w:pPr>
            <w:r w:rsidRPr="00A058B6">
              <w:t>0</w:t>
            </w:r>
            <w:r w:rsidR="00D7157D">
              <w:t>.</w:t>
            </w:r>
            <w:r w:rsidRPr="00A058B6">
              <w:t>81</w:t>
            </w:r>
          </w:p>
        </w:tc>
        <w:tc>
          <w:tcPr>
            <w:tcW w:w="802" w:type="pct"/>
            <w:tcBorders>
              <w:top w:val="single" w:sz="4" w:space="0" w:color="auto"/>
              <w:left w:val="nil"/>
              <w:bottom w:val="single" w:sz="4" w:space="0" w:color="auto"/>
              <w:right w:val="nil"/>
            </w:tcBorders>
          </w:tcPr>
          <w:p w14:paraId="70C715EC" w14:textId="77777777" w:rsidR="00647C6B" w:rsidRPr="00A058B6" w:rsidRDefault="00647C6B" w:rsidP="009C0D79">
            <w:pPr>
              <w:pStyle w:val="Tabletext"/>
            </w:pPr>
            <w:r w:rsidRPr="00A058B6">
              <w:t>0</w:t>
            </w:r>
            <w:r w:rsidR="00D7157D">
              <w:t>.</w:t>
            </w:r>
            <w:r w:rsidRPr="00A058B6">
              <w:t>74</w:t>
            </w:r>
          </w:p>
        </w:tc>
      </w:tr>
      <w:tr w:rsidR="00647C6B" w:rsidRPr="00A058B6" w14:paraId="59B6C73F" w14:textId="77777777" w:rsidTr="00FA26AF">
        <w:trPr>
          <w:cantSplit/>
        </w:trPr>
        <w:tc>
          <w:tcPr>
            <w:tcW w:w="1001" w:type="pct"/>
            <w:tcBorders>
              <w:top w:val="single" w:sz="4" w:space="0" w:color="auto"/>
              <w:left w:val="nil"/>
              <w:bottom w:val="single" w:sz="4" w:space="0" w:color="auto"/>
              <w:right w:val="nil"/>
            </w:tcBorders>
          </w:tcPr>
          <w:p w14:paraId="5ACB95A8" w14:textId="77777777" w:rsidR="00647C6B" w:rsidRPr="00A058B6" w:rsidRDefault="00647C6B" w:rsidP="009C0D79">
            <w:pPr>
              <w:pStyle w:val="Tabletext"/>
            </w:pPr>
            <w:r w:rsidRPr="00A058B6">
              <w:t>9</w:t>
            </w:r>
          </w:p>
        </w:tc>
        <w:tc>
          <w:tcPr>
            <w:tcW w:w="799" w:type="pct"/>
            <w:tcBorders>
              <w:top w:val="single" w:sz="4" w:space="0" w:color="auto"/>
              <w:left w:val="nil"/>
              <w:bottom w:val="single" w:sz="4" w:space="0" w:color="auto"/>
              <w:right w:val="nil"/>
            </w:tcBorders>
          </w:tcPr>
          <w:p w14:paraId="4F3944DE"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6313D5A2" w14:textId="77777777" w:rsidR="00647C6B" w:rsidRPr="00A058B6" w:rsidRDefault="00647C6B" w:rsidP="009C0D79">
            <w:pPr>
              <w:pStyle w:val="Tabletext"/>
            </w:pPr>
            <w:r w:rsidRPr="00A058B6">
              <w:rPr>
                <w:snapToGrid w:val="0"/>
              </w:rPr>
              <w:t>1</w:t>
            </w:r>
            <w:r w:rsidR="00D7157D">
              <w:rPr>
                <w:snapToGrid w:val="0"/>
              </w:rPr>
              <w:t>.</w:t>
            </w:r>
            <w:r w:rsidRPr="00A058B6">
              <w:rPr>
                <w:snapToGrid w:val="0"/>
              </w:rPr>
              <w:t>00</w:t>
            </w:r>
          </w:p>
        </w:tc>
        <w:tc>
          <w:tcPr>
            <w:tcW w:w="800" w:type="pct"/>
            <w:tcBorders>
              <w:top w:val="single" w:sz="4" w:space="0" w:color="auto"/>
              <w:left w:val="nil"/>
              <w:bottom w:val="single" w:sz="4" w:space="0" w:color="auto"/>
              <w:right w:val="nil"/>
            </w:tcBorders>
          </w:tcPr>
          <w:p w14:paraId="0AF791A7" w14:textId="77777777" w:rsidR="00647C6B" w:rsidRPr="00A058B6" w:rsidRDefault="00647C6B" w:rsidP="009C0D79">
            <w:pPr>
              <w:pStyle w:val="Tabletext"/>
            </w:pPr>
            <w:r w:rsidRPr="00A058B6">
              <w:t>0</w:t>
            </w:r>
            <w:r w:rsidR="00D7157D">
              <w:t>.</w:t>
            </w:r>
            <w:r w:rsidRPr="00A058B6">
              <w:t>94</w:t>
            </w:r>
          </w:p>
        </w:tc>
        <w:tc>
          <w:tcPr>
            <w:tcW w:w="799" w:type="pct"/>
            <w:tcBorders>
              <w:top w:val="single" w:sz="4" w:space="0" w:color="auto"/>
              <w:left w:val="nil"/>
              <w:bottom w:val="single" w:sz="4" w:space="0" w:color="auto"/>
              <w:right w:val="nil"/>
            </w:tcBorders>
          </w:tcPr>
          <w:p w14:paraId="569B796D" w14:textId="77777777" w:rsidR="00647C6B" w:rsidRPr="00A058B6" w:rsidRDefault="00647C6B" w:rsidP="009C0D79">
            <w:pPr>
              <w:pStyle w:val="Tabletext"/>
            </w:pPr>
            <w:r w:rsidRPr="00A058B6">
              <w:t>0</w:t>
            </w:r>
            <w:r w:rsidR="00D7157D">
              <w:t>.</w:t>
            </w:r>
            <w:r w:rsidRPr="00A058B6">
              <w:t>84</w:t>
            </w:r>
          </w:p>
        </w:tc>
        <w:tc>
          <w:tcPr>
            <w:tcW w:w="802" w:type="pct"/>
            <w:tcBorders>
              <w:top w:val="single" w:sz="4" w:space="0" w:color="auto"/>
              <w:left w:val="nil"/>
              <w:bottom w:val="single" w:sz="4" w:space="0" w:color="auto"/>
              <w:right w:val="nil"/>
            </w:tcBorders>
          </w:tcPr>
          <w:p w14:paraId="258E288F" w14:textId="77777777" w:rsidR="00647C6B" w:rsidRPr="00A058B6" w:rsidRDefault="00647C6B" w:rsidP="009C0D79">
            <w:pPr>
              <w:pStyle w:val="Tabletext"/>
            </w:pPr>
            <w:r w:rsidRPr="00A058B6">
              <w:t>0</w:t>
            </w:r>
            <w:r w:rsidR="00D7157D">
              <w:t>.</w:t>
            </w:r>
            <w:r w:rsidRPr="00A058B6">
              <w:t>77</w:t>
            </w:r>
          </w:p>
        </w:tc>
      </w:tr>
      <w:tr w:rsidR="00647C6B" w:rsidRPr="00A058B6" w14:paraId="72138DD1" w14:textId="77777777" w:rsidTr="00FA26AF">
        <w:trPr>
          <w:cantSplit/>
        </w:trPr>
        <w:tc>
          <w:tcPr>
            <w:tcW w:w="1001" w:type="pct"/>
            <w:tcBorders>
              <w:top w:val="single" w:sz="4" w:space="0" w:color="auto"/>
              <w:left w:val="nil"/>
              <w:bottom w:val="single" w:sz="4" w:space="0" w:color="auto"/>
              <w:right w:val="nil"/>
            </w:tcBorders>
          </w:tcPr>
          <w:p w14:paraId="540698CC" w14:textId="77777777" w:rsidR="00647C6B" w:rsidRPr="00A058B6" w:rsidRDefault="00647C6B" w:rsidP="009C0D79">
            <w:pPr>
              <w:pStyle w:val="Tabletext"/>
            </w:pPr>
            <w:r w:rsidRPr="00A058B6">
              <w:t>10</w:t>
            </w:r>
          </w:p>
        </w:tc>
        <w:tc>
          <w:tcPr>
            <w:tcW w:w="799" w:type="pct"/>
            <w:tcBorders>
              <w:top w:val="single" w:sz="4" w:space="0" w:color="auto"/>
              <w:left w:val="nil"/>
              <w:bottom w:val="single" w:sz="4" w:space="0" w:color="auto"/>
              <w:right w:val="nil"/>
            </w:tcBorders>
          </w:tcPr>
          <w:p w14:paraId="1C20ACF1"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2C97636E"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46CE508C" w14:textId="77777777" w:rsidR="00647C6B" w:rsidRPr="00A058B6" w:rsidRDefault="00647C6B" w:rsidP="009C0D79">
            <w:pPr>
              <w:pStyle w:val="Tabletext"/>
            </w:pPr>
            <w:r w:rsidRPr="00A058B6">
              <w:t>1</w:t>
            </w:r>
            <w:r w:rsidR="00D7157D">
              <w:t>.</w:t>
            </w:r>
            <w:r w:rsidRPr="00A058B6">
              <w:t>00</w:t>
            </w:r>
          </w:p>
        </w:tc>
        <w:tc>
          <w:tcPr>
            <w:tcW w:w="799" w:type="pct"/>
            <w:tcBorders>
              <w:top w:val="single" w:sz="4" w:space="0" w:color="auto"/>
              <w:left w:val="nil"/>
              <w:bottom w:val="single" w:sz="4" w:space="0" w:color="auto"/>
              <w:right w:val="nil"/>
            </w:tcBorders>
          </w:tcPr>
          <w:p w14:paraId="73F4DFAD" w14:textId="77777777" w:rsidR="00647C6B" w:rsidRPr="00A058B6" w:rsidRDefault="00647C6B" w:rsidP="009C0D79">
            <w:pPr>
              <w:pStyle w:val="Tabletext"/>
            </w:pPr>
            <w:r w:rsidRPr="00A058B6">
              <w:t>0</w:t>
            </w:r>
            <w:r w:rsidR="00D7157D">
              <w:t>.</w:t>
            </w:r>
            <w:r w:rsidRPr="00A058B6">
              <w:t>86</w:t>
            </w:r>
          </w:p>
        </w:tc>
        <w:tc>
          <w:tcPr>
            <w:tcW w:w="802" w:type="pct"/>
            <w:tcBorders>
              <w:top w:val="single" w:sz="4" w:space="0" w:color="auto"/>
              <w:left w:val="nil"/>
              <w:bottom w:val="single" w:sz="4" w:space="0" w:color="auto"/>
              <w:right w:val="nil"/>
            </w:tcBorders>
          </w:tcPr>
          <w:p w14:paraId="1435E15E" w14:textId="77777777" w:rsidR="00647C6B" w:rsidRPr="00A058B6" w:rsidRDefault="00647C6B" w:rsidP="009C0D79">
            <w:pPr>
              <w:pStyle w:val="Tabletext"/>
            </w:pPr>
            <w:r w:rsidRPr="00A058B6">
              <w:t>0</w:t>
            </w:r>
            <w:r w:rsidR="00D7157D">
              <w:t>.</w:t>
            </w:r>
            <w:r w:rsidRPr="00A058B6">
              <w:t>79</w:t>
            </w:r>
          </w:p>
        </w:tc>
      </w:tr>
      <w:tr w:rsidR="00647C6B" w:rsidRPr="00A058B6" w14:paraId="6963CE54" w14:textId="77777777" w:rsidTr="00FA26AF">
        <w:trPr>
          <w:cantSplit/>
        </w:trPr>
        <w:tc>
          <w:tcPr>
            <w:tcW w:w="1001" w:type="pct"/>
            <w:tcBorders>
              <w:top w:val="single" w:sz="4" w:space="0" w:color="auto"/>
              <w:left w:val="nil"/>
              <w:bottom w:val="single" w:sz="4" w:space="0" w:color="auto"/>
              <w:right w:val="nil"/>
            </w:tcBorders>
          </w:tcPr>
          <w:p w14:paraId="73346D61" w14:textId="77777777" w:rsidR="00647C6B" w:rsidRPr="00A058B6" w:rsidRDefault="00647C6B" w:rsidP="009C0D79">
            <w:pPr>
              <w:pStyle w:val="Tabletext"/>
            </w:pPr>
            <w:r w:rsidRPr="00A058B6">
              <w:t>11</w:t>
            </w:r>
          </w:p>
        </w:tc>
        <w:tc>
          <w:tcPr>
            <w:tcW w:w="799" w:type="pct"/>
            <w:tcBorders>
              <w:top w:val="single" w:sz="4" w:space="0" w:color="auto"/>
              <w:left w:val="nil"/>
              <w:bottom w:val="single" w:sz="4" w:space="0" w:color="auto"/>
              <w:right w:val="nil"/>
            </w:tcBorders>
          </w:tcPr>
          <w:p w14:paraId="3D551627"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043FB003"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1A500E67"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0C453873" w14:textId="77777777" w:rsidR="00647C6B" w:rsidRPr="00A058B6" w:rsidRDefault="00647C6B" w:rsidP="009C0D79">
            <w:pPr>
              <w:pStyle w:val="Tabletext"/>
            </w:pPr>
            <w:r w:rsidRPr="00A058B6">
              <w:t>0</w:t>
            </w:r>
            <w:r w:rsidR="00D7157D">
              <w:t>.</w:t>
            </w:r>
            <w:r w:rsidRPr="00A058B6">
              <w:t>89</w:t>
            </w:r>
          </w:p>
        </w:tc>
        <w:tc>
          <w:tcPr>
            <w:tcW w:w="802" w:type="pct"/>
            <w:tcBorders>
              <w:top w:val="single" w:sz="4" w:space="0" w:color="auto"/>
              <w:left w:val="nil"/>
              <w:bottom w:val="single" w:sz="4" w:space="0" w:color="auto"/>
              <w:right w:val="nil"/>
            </w:tcBorders>
          </w:tcPr>
          <w:p w14:paraId="56933BA3" w14:textId="77777777" w:rsidR="00647C6B" w:rsidRPr="00A058B6" w:rsidRDefault="00647C6B" w:rsidP="009C0D79">
            <w:pPr>
              <w:pStyle w:val="Tabletext"/>
            </w:pPr>
            <w:r w:rsidRPr="00A058B6">
              <w:t>0</w:t>
            </w:r>
            <w:r w:rsidR="00D7157D">
              <w:t>.</w:t>
            </w:r>
            <w:r w:rsidRPr="00A058B6">
              <w:t>82</w:t>
            </w:r>
          </w:p>
        </w:tc>
      </w:tr>
      <w:tr w:rsidR="00647C6B" w:rsidRPr="00A058B6" w14:paraId="092349A5" w14:textId="77777777" w:rsidTr="00FA26AF">
        <w:trPr>
          <w:cantSplit/>
        </w:trPr>
        <w:tc>
          <w:tcPr>
            <w:tcW w:w="1001" w:type="pct"/>
            <w:tcBorders>
              <w:top w:val="single" w:sz="4" w:space="0" w:color="auto"/>
              <w:left w:val="nil"/>
              <w:bottom w:val="single" w:sz="4" w:space="0" w:color="auto"/>
              <w:right w:val="nil"/>
            </w:tcBorders>
          </w:tcPr>
          <w:p w14:paraId="34EF5EDB" w14:textId="77777777" w:rsidR="00647C6B" w:rsidRPr="00A058B6" w:rsidRDefault="00647C6B" w:rsidP="009C0D79">
            <w:pPr>
              <w:pStyle w:val="Tabletext"/>
            </w:pPr>
            <w:r w:rsidRPr="00A058B6">
              <w:t>12</w:t>
            </w:r>
          </w:p>
        </w:tc>
        <w:tc>
          <w:tcPr>
            <w:tcW w:w="799" w:type="pct"/>
            <w:tcBorders>
              <w:top w:val="single" w:sz="4" w:space="0" w:color="auto"/>
              <w:left w:val="nil"/>
              <w:bottom w:val="single" w:sz="4" w:space="0" w:color="auto"/>
              <w:right w:val="nil"/>
            </w:tcBorders>
          </w:tcPr>
          <w:p w14:paraId="5E16D870"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2D7A3B92"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454C25AF"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154E75A8" w14:textId="77777777" w:rsidR="00647C6B" w:rsidRPr="00A058B6" w:rsidRDefault="00647C6B" w:rsidP="009C0D79">
            <w:pPr>
              <w:pStyle w:val="Tabletext"/>
            </w:pPr>
            <w:r w:rsidRPr="00A058B6">
              <w:t>0</w:t>
            </w:r>
            <w:r w:rsidR="00D7157D">
              <w:t>.</w:t>
            </w:r>
            <w:r w:rsidRPr="00A058B6">
              <w:t>91</w:t>
            </w:r>
          </w:p>
        </w:tc>
        <w:tc>
          <w:tcPr>
            <w:tcW w:w="802" w:type="pct"/>
            <w:tcBorders>
              <w:top w:val="single" w:sz="4" w:space="0" w:color="auto"/>
              <w:left w:val="nil"/>
              <w:bottom w:val="single" w:sz="4" w:space="0" w:color="auto"/>
              <w:right w:val="nil"/>
            </w:tcBorders>
          </w:tcPr>
          <w:p w14:paraId="7E0461A7" w14:textId="77777777" w:rsidR="00647C6B" w:rsidRPr="00A058B6" w:rsidRDefault="00647C6B" w:rsidP="009C0D79">
            <w:pPr>
              <w:pStyle w:val="Tabletext"/>
            </w:pPr>
            <w:r w:rsidRPr="00A058B6">
              <w:t>0</w:t>
            </w:r>
            <w:r w:rsidR="00D7157D">
              <w:t>.</w:t>
            </w:r>
            <w:r w:rsidRPr="00A058B6">
              <w:t>84</w:t>
            </w:r>
          </w:p>
        </w:tc>
      </w:tr>
      <w:tr w:rsidR="00647C6B" w:rsidRPr="00A058B6" w14:paraId="35FD92C7" w14:textId="77777777" w:rsidTr="00FA26AF">
        <w:trPr>
          <w:cantSplit/>
        </w:trPr>
        <w:tc>
          <w:tcPr>
            <w:tcW w:w="1001" w:type="pct"/>
            <w:tcBorders>
              <w:top w:val="single" w:sz="4" w:space="0" w:color="auto"/>
              <w:left w:val="nil"/>
              <w:bottom w:val="single" w:sz="4" w:space="0" w:color="auto"/>
              <w:right w:val="nil"/>
            </w:tcBorders>
          </w:tcPr>
          <w:p w14:paraId="29CCE9BA" w14:textId="77777777" w:rsidR="00647C6B" w:rsidRPr="00A058B6" w:rsidRDefault="00647C6B" w:rsidP="009C0D79">
            <w:pPr>
              <w:pStyle w:val="Tabletext"/>
            </w:pPr>
            <w:r w:rsidRPr="00A058B6">
              <w:t>13</w:t>
            </w:r>
          </w:p>
        </w:tc>
        <w:tc>
          <w:tcPr>
            <w:tcW w:w="799" w:type="pct"/>
            <w:tcBorders>
              <w:top w:val="single" w:sz="4" w:space="0" w:color="auto"/>
              <w:left w:val="nil"/>
              <w:bottom w:val="single" w:sz="4" w:space="0" w:color="auto"/>
              <w:right w:val="nil"/>
            </w:tcBorders>
          </w:tcPr>
          <w:p w14:paraId="352F538C"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73A4E691"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182E382C"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402DAE40" w14:textId="77777777" w:rsidR="00647C6B" w:rsidRPr="00A058B6" w:rsidRDefault="00647C6B" w:rsidP="009C0D79">
            <w:pPr>
              <w:pStyle w:val="Tabletext"/>
            </w:pPr>
            <w:r w:rsidRPr="00A058B6">
              <w:t>0</w:t>
            </w:r>
            <w:r w:rsidR="00D7157D">
              <w:t>.</w:t>
            </w:r>
            <w:r w:rsidRPr="00A058B6">
              <w:t>94</w:t>
            </w:r>
          </w:p>
        </w:tc>
        <w:tc>
          <w:tcPr>
            <w:tcW w:w="802" w:type="pct"/>
            <w:tcBorders>
              <w:top w:val="single" w:sz="4" w:space="0" w:color="auto"/>
              <w:left w:val="nil"/>
              <w:bottom w:val="single" w:sz="4" w:space="0" w:color="auto"/>
              <w:right w:val="nil"/>
            </w:tcBorders>
          </w:tcPr>
          <w:p w14:paraId="3382A4EB" w14:textId="77777777" w:rsidR="00647C6B" w:rsidRPr="00A058B6" w:rsidRDefault="00647C6B" w:rsidP="009C0D79">
            <w:pPr>
              <w:pStyle w:val="Tabletext"/>
            </w:pPr>
            <w:r w:rsidRPr="00A058B6">
              <w:t>0</w:t>
            </w:r>
            <w:r w:rsidR="00D7157D">
              <w:t>.</w:t>
            </w:r>
            <w:r w:rsidRPr="00A058B6">
              <w:t>87</w:t>
            </w:r>
          </w:p>
        </w:tc>
      </w:tr>
      <w:tr w:rsidR="00647C6B" w:rsidRPr="00A058B6" w14:paraId="2DAA39C1" w14:textId="77777777" w:rsidTr="00FA26AF">
        <w:trPr>
          <w:cantSplit/>
        </w:trPr>
        <w:tc>
          <w:tcPr>
            <w:tcW w:w="1001" w:type="pct"/>
            <w:tcBorders>
              <w:top w:val="single" w:sz="4" w:space="0" w:color="auto"/>
              <w:left w:val="nil"/>
              <w:bottom w:val="single" w:sz="4" w:space="0" w:color="auto"/>
              <w:right w:val="nil"/>
            </w:tcBorders>
          </w:tcPr>
          <w:p w14:paraId="5BF4BA1A" w14:textId="77777777" w:rsidR="00647C6B" w:rsidRPr="00A058B6" w:rsidRDefault="00647C6B" w:rsidP="009C0D79">
            <w:pPr>
              <w:pStyle w:val="Tabletext"/>
            </w:pPr>
            <w:r w:rsidRPr="00A058B6">
              <w:t>14</w:t>
            </w:r>
          </w:p>
        </w:tc>
        <w:tc>
          <w:tcPr>
            <w:tcW w:w="799" w:type="pct"/>
            <w:tcBorders>
              <w:top w:val="single" w:sz="4" w:space="0" w:color="auto"/>
              <w:left w:val="nil"/>
              <w:bottom w:val="single" w:sz="4" w:space="0" w:color="auto"/>
              <w:right w:val="nil"/>
            </w:tcBorders>
          </w:tcPr>
          <w:p w14:paraId="5694612B"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156093C7"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3511F503"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0CF14504" w14:textId="77777777" w:rsidR="00647C6B" w:rsidRPr="00A058B6" w:rsidRDefault="00647C6B" w:rsidP="009C0D79">
            <w:pPr>
              <w:pStyle w:val="Tabletext"/>
            </w:pPr>
            <w:r w:rsidRPr="00A058B6">
              <w:t>0</w:t>
            </w:r>
            <w:r w:rsidR="00D7157D">
              <w:t>.</w:t>
            </w:r>
            <w:r w:rsidRPr="00A058B6">
              <w:t>96</w:t>
            </w:r>
          </w:p>
        </w:tc>
        <w:tc>
          <w:tcPr>
            <w:tcW w:w="802" w:type="pct"/>
            <w:tcBorders>
              <w:top w:val="single" w:sz="4" w:space="0" w:color="auto"/>
              <w:left w:val="nil"/>
              <w:bottom w:val="single" w:sz="4" w:space="0" w:color="auto"/>
              <w:right w:val="nil"/>
            </w:tcBorders>
          </w:tcPr>
          <w:p w14:paraId="1EF16486" w14:textId="77777777" w:rsidR="00647C6B" w:rsidRPr="00A058B6" w:rsidRDefault="00647C6B" w:rsidP="009C0D79">
            <w:pPr>
              <w:pStyle w:val="Tabletext"/>
            </w:pPr>
            <w:r w:rsidRPr="00A058B6">
              <w:t>0</w:t>
            </w:r>
            <w:r w:rsidR="00D7157D">
              <w:t>.</w:t>
            </w:r>
            <w:r w:rsidRPr="00A058B6">
              <w:t>89</w:t>
            </w:r>
          </w:p>
        </w:tc>
      </w:tr>
      <w:tr w:rsidR="00647C6B" w:rsidRPr="00A058B6" w14:paraId="64C7852F" w14:textId="77777777" w:rsidTr="00FA26AF">
        <w:trPr>
          <w:cantSplit/>
        </w:trPr>
        <w:tc>
          <w:tcPr>
            <w:tcW w:w="1001" w:type="pct"/>
            <w:tcBorders>
              <w:top w:val="single" w:sz="4" w:space="0" w:color="auto"/>
              <w:left w:val="nil"/>
              <w:bottom w:val="single" w:sz="4" w:space="0" w:color="auto"/>
              <w:right w:val="nil"/>
            </w:tcBorders>
          </w:tcPr>
          <w:p w14:paraId="7676691E" w14:textId="77777777" w:rsidR="00647C6B" w:rsidRPr="00A058B6" w:rsidRDefault="00647C6B" w:rsidP="009C0D79">
            <w:pPr>
              <w:pStyle w:val="Tabletext"/>
            </w:pPr>
            <w:r w:rsidRPr="00A058B6">
              <w:t>15</w:t>
            </w:r>
          </w:p>
        </w:tc>
        <w:tc>
          <w:tcPr>
            <w:tcW w:w="799" w:type="pct"/>
            <w:tcBorders>
              <w:top w:val="single" w:sz="4" w:space="0" w:color="auto"/>
              <w:left w:val="nil"/>
              <w:bottom w:val="single" w:sz="4" w:space="0" w:color="auto"/>
              <w:right w:val="nil"/>
            </w:tcBorders>
          </w:tcPr>
          <w:p w14:paraId="37AB9318"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4C36C879"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6CB5B21B"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117EA215" w14:textId="77777777" w:rsidR="00647C6B" w:rsidRPr="00A058B6" w:rsidRDefault="00647C6B" w:rsidP="009C0D79">
            <w:pPr>
              <w:pStyle w:val="Tabletext"/>
            </w:pPr>
            <w:r w:rsidRPr="00A058B6">
              <w:t>1</w:t>
            </w:r>
            <w:r w:rsidR="00D7157D">
              <w:t>.</w:t>
            </w:r>
            <w:r w:rsidRPr="00A058B6">
              <w:t>00</w:t>
            </w:r>
          </w:p>
        </w:tc>
        <w:tc>
          <w:tcPr>
            <w:tcW w:w="802" w:type="pct"/>
            <w:tcBorders>
              <w:top w:val="single" w:sz="4" w:space="0" w:color="auto"/>
              <w:left w:val="nil"/>
              <w:bottom w:val="single" w:sz="4" w:space="0" w:color="auto"/>
              <w:right w:val="nil"/>
            </w:tcBorders>
          </w:tcPr>
          <w:p w14:paraId="421CC53D" w14:textId="77777777" w:rsidR="00647C6B" w:rsidRPr="00A058B6" w:rsidRDefault="00647C6B" w:rsidP="009C0D79">
            <w:pPr>
              <w:pStyle w:val="Tabletext"/>
            </w:pPr>
            <w:r w:rsidRPr="00A058B6">
              <w:t>0</w:t>
            </w:r>
            <w:r w:rsidR="00D7157D">
              <w:t>.</w:t>
            </w:r>
            <w:r w:rsidRPr="00A058B6">
              <w:t>91</w:t>
            </w:r>
          </w:p>
        </w:tc>
      </w:tr>
      <w:tr w:rsidR="00647C6B" w:rsidRPr="00A058B6" w14:paraId="4A6A6B7B" w14:textId="77777777" w:rsidTr="00FA26AF">
        <w:trPr>
          <w:cantSplit/>
        </w:trPr>
        <w:tc>
          <w:tcPr>
            <w:tcW w:w="1001" w:type="pct"/>
            <w:tcBorders>
              <w:top w:val="single" w:sz="4" w:space="0" w:color="auto"/>
              <w:left w:val="nil"/>
              <w:bottom w:val="single" w:sz="4" w:space="0" w:color="auto"/>
              <w:right w:val="nil"/>
            </w:tcBorders>
          </w:tcPr>
          <w:p w14:paraId="554D359D" w14:textId="77777777" w:rsidR="00647C6B" w:rsidRPr="00A058B6" w:rsidRDefault="00647C6B" w:rsidP="009C0D79">
            <w:pPr>
              <w:pStyle w:val="Tabletext"/>
            </w:pPr>
            <w:r w:rsidRPr="00A058B6">
              <w:t>16</w:t>
            </w:r>
          </w:p>
        </w:tc>
        <w:tc>
          <w:tcPr>
            <w:tcW w:w="799" w:type="pct"/>
            <w:tcBorders>
              <w:top w:val="single" w:sz="4" w:space="0" w:color="auto"/>
              <w:left w:val="nil"/>
              <w:bottom w:val="single" w:sz="4" w:space="0" w:color="auto"/>
              <w:right w:val="nil"/>
            </w:tcBorders>
          </w:tcPr>
          <w:p w14:paraId="0E0EA433"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62BDFC09"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2D7AD85C"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5CCB1B42" w14:textId="77777777" w:rsidR="00647C6B" w:rsidRPr="00A058B6" w:rsidRDefault="00647C6B" w:rsidP="009C0D79">
            <w:pPr>
              <w:pStyle w:val="Tabletext"/>
            </w:pPr>
          </w:p>
        </w:tc>
        <w:tc>
          <w:tcPr>
            <w:tcW w:w="802" w:type="pct"/>
            <w:tcBorders>
              <w:top w:val="single" w:sz="4" w:space="0" w:color="auto"/>
              <w:left w:val="nil"/>
              <w:bottom w:val="single" w:sz="4" w:space="0" w:color="auto"/>
              <w:right w:val="nil"/>
            </w:tcBorders>
          </w:tcPr>
          <w:p w14:paraId="76E1AB02" w14:textId="77777777" w:rsidR="00647C6B" w:rsidRPr="00A058B6" w:rsidRDefault="00647C6B" w:rsidP="009C0D79">
            <w:pPr>
              <w:pStyle w:val="Tabletext"/>
            </w:pPr>
            <w:r w:rsidRPr="00A058B6">
              <w:t>0</w:t>
            </w:r>
            <w:r w:rsidR="00D7157D">
              <w:t>.</w:t>
            </w:r>
            <w:r w:rsidRPr="00A058B6">
              <w:t>93</w:t>
            </w:r>
          </w:p>
        </w:tc>
      </w:tr>
      <w:tr w:rsidR="00647C6B" w:rsidRPr="00A058B6" w14:paraId="1CFC7CC0" w14:textId="77777777" w:rsidTr="00FA26AF">
        <w:trPr>
          <w:cantSplit/>
        </w:trPr>
        <w:tc>
          <w:tcPr>
            <w:tcW w:w="1001" w:type="pct"/>
            <w:tcBorders>
              <w:top w:val="single" w:sz="4" w:space="0" w:color="auto"/>
              <w:left w:val="nil"/>
              <w:bottom w:val="single" w:sz="4" w:space="0" w:color="auto"/>
              <w:right w:val="nil"/>
            </w:tcBorders>
          </w:tcPr>
          <w:p w14:paraId="6FAA1BFB" w14:textId="77777777" w:rsidR="00647C6B" w:rsidRPr="00A058B6" w:rsidRDefault="00647C6B" w:rsidP="009C0D79">
            <w:pPr>
              <w:pStyle w:val="Tabletext"/>
            </w:pPr>
            <w:r w:rsidRPr="00A058B6">
              <w:t>17</w:t>
            </w:r>
          </w:p>
        </w:tc>
        <w:tc>
          <w:tcPr>
            <w:tcW w:w="799" w:type="pct"/>
            <w:tcBorders>
              <w:top w:val="single" w:sz="4" w:space="0" w:color="auto"/>
              <w:left w:val="nil"/>
              <w:bottom w:val="single" w:sz="4" w:space="0" w:color="auto"/>
              <w:right w:val="nil"/>
            </w:tcBorders>
          </w:tcPr>
          <w:p w14:paraId="6C006544"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6639CFEC"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52EA7211"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0726CE25" w14:textId="77777777" w:rsidR="00647C6B" w:rsidRPr="00A058B6" w:rsidRDefault="00647C6B" w:rsidP="009C0D79">
            <w:pPr>
              <w:pStyle w:val="Tabletext"/>
            </w:pPr>
          </w:p>
        </w:tc>
        <w:tc>
          <w:tcPr>
            <w:tcW w:w="802" w:type="pct"/>
            <w:tcBorders>
              <w:top w:val="single" w:sz="4" w:space="0" w:color="auto"/>
              <w:left w:val="nil"/>
              <w:bottom w:val="single" w:sz="4" w:space="0" w:color="auto"/>
              <w:right w:val="nil"/>
            </w:tcBorders>
          </w:tcPr>
          <w:p w14:paraId="76BF1E5B" w14:textId="77777777" w:rsidR="00647C6B" w:rsidRPr="00A058B6" w:rsidRDefault="00647C6B" w:rsidP="009C0D79">
            <w:pPr>
              <w:pStyle w:val="Tabletext"/>
            </w:pPr>
            <w:r w:rsidRPr="00A058B6">
              <w:t>0</w:t>
            </w:r>
            <w:r w:rsidR="00D7157D">
              <w:t>.</w:t>
            </w:r>
            <w:r w:rsidRPr="00A058B6">
              <w:t>95</w:t>
            </w:r>
          </w:p>
        </w:tc>
      </w:tr>
      <w:tr w:rsidR="00647C6B" w:rsidRPr="00A058B6" w14:paraId="0E494EBF" w14:textId="77777777" w:rsidTr="00FA26AF">
        <w:trPr>
          <w:cantSplit/>
        </w:trPr>
        <w:tc>
          <w:tcPr>
            <w:tcW w:w="1001" w:type="pct"/>
            <w:tcBorders>
              <w:top w:val="single" w:sz="4" w:space="0" w:color="auto"/>
              <w:left w:val="nil"/>
              <w:bottom w:val="single" w:sz="4" w:space="0" w:color="auto"/>
              <w:right w:val="nil"/>
            </w:tcBorders>
          </w:tcPr>
          <w:p w14:paraId="1D4A969D" w14:textId="77777777" w:rsidR="00647C6B" w:rsidRPr="00A058B6" w:rsidRDefault="00647C6B" w:rsidP="009C0D79">
            <w:pPr>
              <w:pStyle w:val="Tabletext"/>
            </w:pPr>
            <w:r w:rsidRPr="00A058B6">
              <w:t>18</w:t>
            </w:r>
          </w:p>
        </w:tc>
        <w:tc>
          <w:tcPr>
            <w:tcW w:w="799" w:type="pct"/>
            <w:tcBorders>
              <w:top w:val="single" w:sz="4" w:space="0" w:color="auto"/>
              <w:left w:val="nil"/>
              <w:bottom w:val="single" w:sz="4" w:space="0" w:color="auto"/>
              <w:right w:val="nil"/>
            </w:tcBorders>
          </w:tcPr>
          <w:p w14:paraId="5180B5BD"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51C8F00C"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24ADD4C7"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3BC896A8" w14:textId="77777777" w:rsidR="00647C6B" w:rsidRPr="00A058B6" w:rsidRDefault="00647C6B" w:rsidP="009C0D79">
            <w:pPr>
              <w:pStyle w:val="Tabletext"/>
            </w:pPr>
          </w:p>
        </w:tc>
        <w:tc>
          <w:tcPr>
            <w:tcW w:w="802" w:type="pct"/>
            <w:tcBorders>
              <w:top w:val="single" w:sz="4" w:space="0" w:color="auto"/>
              <w:left w:val="nil"/>
              <w:bottom w:val="single" w:sz="4" w:space="0" w:color="auto"/>
              <w:right w:val="nil"/>
            </w:tcBorders>
          </w:tcPr>
          <w:p w14:paraId="194885FF" w14:textId="77777777" w:rsidR="00647C6B" w:rsidRPr="00A058B6" w:rsidRDefault="00647C6B" w:rsidP="009C0D79">
            <w:pPr>
              <w:pStyle w:val="Tabletext"/>
            </w:pPr>
            <w:r w:rsidRPr="00A058B6">
              <w:t>0</w:t>
            </w:r>
            <w:r w:rsidR="00D7157D">
              <w:t>.</w:t>
            </w:r>
            <w:r w:rsidRPr="00A058B6">
              <w:t>96</w:t>
            </w:r>
          </w:p>
        </w:tc>
      </w:tr>
      <w:tr w:rsidR="00647C6B" w:rsidRPr="00A058B6" w14:paraId="24BAF3A4" w14:textId="77777777" w:rsidTr="00FA26AF">
        <w:trPr>
          <w:cantSplit/>
        </w:trPr>
        <w:tc>
          <w:tcPr>
            <w:tcW w:w="1001" w:type="pct"/>
            <w:tcBorders>
              <w:top w:val="single" w:sz="4" w:space="0" w:color="auto"/>
              <w:left w:val="nil"/>
              <w:bottom w:val="single" w:sz="4" w:space="0" w:color="auto"/>
              <w:right w:val="nil"/>
            </w:tcBorders>
          </w:tcPr>
          <w:p w14:paraId="2D5EB753" w14:textId="77777777" w:rsidR="00647C6B" w:rsidRPr="00A058B6" w:rsidRDefault="00647C6B" w:rsidP="009C0D79">
            <w:pPr>
              <w:pStyle w:val="Tabletext"/>
            </w:pPr>
            <w:r w:rsidRPr="00A058B6">
              <w:t>19</w:t>
            </w:r>
          </w:p>
        </w:tc>
        <w:tc>
          <w:tcPr>
            <w:tcW w:w="799" w:type="pct"/>
            <w:tcBorders>
              <w:top w:val="single" w:sz="4" w:space="0" w:color="auto"/>
              <w:left w:val="nil"/>
              <w:bottom w:val="single" w:sz="4" w:space="0" w:color="auto"/>
              <w:right w:val="nil"/>
            </w:tcBorders>
          </w:tcPr>
          <w:p w14:paraId="25ABBF00"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48CB204B" w14:textId="77777777" w:rsidR="00647C6B" w:rsidRPr="00A058B6" w:rsidRDefault="00647C6B" w:rsidP="009C0D79">
            <w:pPr>
              <w:pStyle w:val="Tabletext"/>
            </w:pPr>
          </w:p>
        </w:tc>
        <w:tc>
          <w:tcPr>
            <w:tcW w:w="800" w:type="pct"/>
            <w:tcBorders>
              <w:top w:val="single" w:sz="4" w:space="0" w:color="auto"/>
              <w:left w:val="nil"/>
              <w:bottom w:val="single" w:sz="4" w:space="0" w:color="auto"/>
              <w:right w:val="nil"/>
            </w:tcBorders>
          </w:tcPr>
          <w:p w14:paraId="33A2A70D" w14:textId="77777777" w:rsidR="00647C6B" w:rsidRPr="00A058B6" w:rsidRDefault="00647C6B" w:rsidP="009C0D79">
            <w:pPr>
              <w:pStyle w:val="Tabletext"/>
            </w:pPr>
          </w:p>
        </w:tc>
        <w:tc>
          <w:tcPr>
            <w:tcW w:w="799" w:type="pct"/>
            <w:tcBorders>
              <w:top w:val="single" w:sz="4" w:space="0" w:color="auto"/>
              <w:left w:val="nil"/>
              <w:bottom w:val="single" w:sz="4" w:space="0" w:color="auto"/>
              <w:right w:val="nil"/>
            </w:tcBorders>
          </w:tcPr>
          <w:p w14:paraId="01EF7458" w14:textId="77777777" w:rsidR="00647C6B" w:rsidRPr="00A058B6" w:rsidRDefault="00647C6B" w:rsidP="009C0D79">
            <w:pPr>
              <w:pStyle w:val="Tabletext"/>
            </w:pPr>
          </w:p>
        </w:tc>
        <w:tc>
          <w:tcPr>
            <w:tcW w:w="802" w:type="pct"/>
            <w:tcBorders>
              <w:top w:val="single" w:sz="4" w:space="0" w:color="auto"/>
              <w:left w:val="nil"/>
              <w:bottom w:val="single" w:sz="4" w:space="0" w:color="auto"/>
              <w:right w:val="nil"/>
            </w:tcBorders>
          </w:tcPr>
          <w:p w14:paraId="5A4F068B" w14:textId="77777777" w:rsidR="00647C6B" w:rsidRPr="00A058B6" w:rsidRDefault="00647C6B" w:rsidP="009C0D79">
            <w:pPr>
              <w:pStyle w:val="Tabletext"/>
            </w:pPr>
            <w:r w:rsidRPr="00A058B6">
              <w:t>0</w:t>
            </w:r>
            <w:r w:rsidR="00D7157D">
              <w:t>.</w:t>
            </w:r>
            <w:r w:rsidRPr="00A058B6">
              <w:t>98</w:t>
            </w:r>
          </w:p>
        </w:tc>
      </w:tr>
      <w:tr w:rsidR="00647C6B" w:rsidRPr="00A058B6" w14:paraId="3076B6DB" w14:textId="77777777" w:rsidTr="00FA26AF">
        <w:trPr>
          <w:cantSplit/>
        </w:trPr>
        <w:tc>
          <w:tcPr>
            <w:tcW w:w="1001" w:type="pct"/>
            <w:tcBorders>
              <w:top w:val="single" w:sz="4" w:space="0" w:color="auto"/>
              <w:left w:val="nil"/>
              <w:bottom w:val="single" w:sz="12" w:space="0" w:color="auto"/>
              <w:right w:val="nil"/>
            </w:tcBorders>
          </w:tcPr>
          <w:p w14:paraId="3321AFB3" w14:textId="77777777" w:rsidR="00647C6B" w:rsidRPr="00A058B6" w:rsidRDefault="00647C6B" w:rsidP="009C0D79">
            <w:pPr>
              <w:pStyle w:val="Tabletext"/>
            </w:pPr>
            <w:r w:rsidRPr="00A058B6">
              <w:t>20</w:t>
            </w:r>
          </w:p>
        </w:tc>
        <w:tc>
          <w:tcPr>
            <w:tcW w:w="799" w:type="pct"/>
            <w:tcBorders>
              <w:top w:val="single" w:sz="4" w:space="0" w:color="auto"/>
              <w:left w:val="nil"/>
              <w:bottom w:val="single" w:sz="12" w:space="0" w:color="auto"/>
              <w:right w:val="nil"/>
            </w:tcBorders>
          </w:tcPr>
          <w:p w14:paraId="2E5E26B1" w14:textId="77777777" w:rsidR="00647C6B" w:rsidRPr="00A058B6" w:rsidRDefault="00647C6B" w:rsidP="009C0D79">
            <w:pPr>
              <w:pStyle w:val="Tabletext"/>
            </w:pPr>
          </w:p>
        </w:tc>
        <w:tc>
          <w:tcPr>
            <w:tcW w:w="799" w:type="pct"/>
            <w:tcBorders>
              <w:top w:val="single" w:sz="4" w:space="0" w:color="auto"/>
              <w:left w:val="nil"/>
              <w:bottom w:val="single" w:sz="12" w:space="0" w:color="auto"/>
              <w:right w:val="nil"/>
            </w:tcBorders>
          </w:tcPr>
          <w:p w14:paraId="6CFF24C5" w14:textId="77777777" w:rsidR="00647C6B" w:rsidRPr="00A058B6" w:rsidRDefault="00647C6B" w:rsidP="009C0D79">
            <w:pPr>
              <w:pStyle w:val="Tabletext"/>
            </w:pPr>
          </w:p>
        </w:tc>
        <w:tc>
          <w:tcPr>
            <w:tcW w:w="800" w:type="pct"/>
            <w:tcBorders>
              <w:top w:val="single" w:sz="4" w:space="0" w:color="auto"/>
              <w:left w:val="nil"/>
              <w:bottom w:val="single" w:sz="12" w:space="0" w:color="auto"/>
              <w:right w:val="nil"/>
            </w:tcBorders>
          </w:tcPr>
          <w:p w14:paraId="13329CEB" w14:textId="77777777" w:rsidR="00647C6B" w:rsidRPr="00A058B6" w:rsidRDefault="00647C6B" w:rsidP="009C0D79">
            <w:pPr>
              <w:pStyle w:val="Tabletext"/>
            </w:pPr>
          </w:p>
        </w:tc>
        <w:tc>
          <w:tcPr>
            <w:tcW w:w="799" w:type="pct"/>
            <w:tcBorders>
              <w:top w:val="single" w:sz="4" w:space="0" w:color="auto"/>
              <w:left w:val="nil"/>
              <w:bottom w:val="single" w:sz="12" w:space="0" w:color="auto"/>
              <w:right w:val="nil"/>
            </w:tcBorders>
          </w:tcPr>
          <w:p w14:paraId="17BAA6E2" w14:textId="77777777" w:rsidR="00647C6B" w:rsidRPr="00A058B6" w:rsidRDefault="00647C6B" w:rsidP="009C0D79">
            <w:pPr>
              <w:pStyle w:val="Tabletext"/>
            </w:pPr>
          </w:p>
        </w:tc>
        <w:tc>
          <w:tcPr>
            <w:tcW w:w="802" w:type="pct"/>
            <w:tcBorders>
              <w:top w:val="single" w:sz="4" w:space="0" w:color="auto"/>
              <w:left w:val="nil"/>
              <w:bottom w:val="single" w:sz="12" w:space="0" w:color="auto"/>
              <w:right w:val="nil"/>
            </w:tcBorders>
          </w:tcPr>
          <w:p w14:paraId="6EA0F8D3" w14:textId="77777777" w:rsidR="00647C6B" w:rsidRPr="00A058B6" w:rsidRDefault="00647C6B" w:rsidP="009C0D79">
            <w:pPr>
              <w:pStyle w:val="Tabletext"/>
            </w:pPr>
            <w:r w:rsidRPr="00A058B6">
              <w:t>1</w:t>
            </w:r>
            <w:r w:rsidR="00D7157D">
              <w:t>.</w:t>
            </w:r>
            <w:r w:rsidRPr="00A058B6">
              <w:t>00</w:t>
            </w:r>
          </w:p>
        </w:tc>
      </w:tr>
    </w:tbl>
    <w:p w14:paraId="5551C14E" w14:textId="77777777" w:rsidR="00647C6B" w:rsidRPr="00A058B6" w:rsidRDefault="006211C7" w:rsidP="00647C6B">
      <w:pPr>
        <w:pStyle w:val="ActHead1"/>
        <w:pageBreakBefore/>
      </w:pPr>
      <w:bookmarkStart w:id="297" w:name="_Toc188350775"/>
      <w:r w:rsidRPr="00423C34">
        <w:rPr>
          <w:rStyle w:val="CharChapNo"/>
        </w:rPr>
        <w:t>Schedule </w:t>
      </w:r>
      <w:r w:rsidR="00AD4D18" w:rsidRPr="00423C34">
        <w:rPr>
          <w:rStyle w:val="CharChapNo"/>
        </w:rPr>
        <w:t>5</w:t>
      </w:r>
      <w:r w:rsidR="00647C6B" w:rsidRPr="00A058B6">
        <w:t>—</w:t>
      </w:r>
      <w:r w:rsidR="00647C6B" w:rsidRPr="00423C34">
        <w:rPr>
          <w:rStyle w:val="CharChapText"/>
        </w:rPr>
        <w:t>Method for determining gross value of superannuation interest payable as life pension</w:t>
      </w:r>
      <w:r w:rsidR="000527FC" w:rsidRPr="00423C34">
        <w:rPr>
          <w:rStyle w:val="CharChapText"/>
        </w:rPr>
        <w:t xml:space="preserve"> (otherwise than due to invalidity)</w:t>
      </w:r>
      <w:bookmarkEnd w:id="297"/>
    </w:p>
    <w:p w14:paraId="3C71ADB2" w14:textId="7F66C1B9" w:rsidR="00647C6B" w:rsidRPr="00A058B6" w:rsidRDefault="00647C6B" w:rsidP="00647C6B">
      <w:pPr>
        <w:pStyle w:val="notemargin"/>
      </w:pPr>
      <w:r w:rsidRPr="00A058B6">
        <w:t>(</w:t>
      </w:r>
      <w:r w:rsidR="00CB78B9">
        <w:t>section 6</w:t>
      </w:r>
      <w:r w:rsidR="00485CC2">
        <w:t>6</w:t>
      </w:r>
      <w:r w:rsidR="0052656F">
        <w:t xml:space="preserve">, </w:t>
      </w:r>
      <w:r w:rsidR="00F51337">
        <w:t>68</w:t>
      </w:r>
      <w:r w:rsidR="0052656F">
        <w:t xml:space="preserve"> or 72</w:t>
      </w:r>
      <w:r w:rsidRPr="00A058B6">
        <w:t>)</w:t>
      </w:r>
    </w:p>
    <w:p w14:paraId="70214FC4" w14:textId="77777777" w:rsidR="00647C6B" w:rsidRPr="00EF4373" w:rsidRDefault="00881039" w:rsidP="00782124">
      <w:pPr>
        <w:pStyle w:val="ActHead2"/>
      </w:pPr>
      <w:bookmarkStart w:id="298" w:name="_Toc188350776"/>
      <w:r w:rsidRPr="00423C34">
        <w:rPr>
          <w:rStyle w:val="CharPartNo"/>
        </w:rPr>
        <w:t>Part 1</w:t>
      </w:r>
      <w:r w:rsidR="00EF4373" w:rsidRPr="007116AF">
        <w:t>—</w:t>
      </w:r>
      <w:r w:rsidR="00782124" w:rsidRPr="00423C34">
        <w:rPr>
          <w:rStyle w:val="CharPartText"/>
        </w:rPr>
        <w:t>Preliminary</w:t>
      </w:r>
      <w:bookmarkEnd w:id="298"/>
    </w:p>
    <w:p w14:paraId="48FE04B1" w14:textId="77777777" w:rsidR="00A1590A" w:rsidRPr="00423C34" w:rsidRDefault="00A1590A" w:rsidP="00A1590A">
      <w:pPr>
        <w:pStyle w:val="Header"/>
      </w:pPr>
      <w:r w:rsidRPr="00423C34">
        <w:rPr>
          <w:rStyle w:val="CharDivNo"/>
        </w:rPr>
        <w:t xml:space="preserve"> </w:t>
      </w:r>
      <w:r w:rsidRPr="00423C34">
        <w:rPr>
          <w:rStyle w:val="CharDivText"/>
        </w:rPr>
        <w:t xml:space="preserve"> </w:t>
      </w:r>
    </w:p>
    <w:p w14:paraId="5406E91E" w14:textId="77777777" w:rsidR="00647C6B" w:rsidRPr="00A058B6" w:rsidRDefault="0022507A" w:rsidP="00647C6B">
      <w:pPr>
        <w:pStyle w:val="ActHead5"/>
      </w:pPr>
      <w:bookmarkStart w:id="299" w:name="_Toc188350777"/>
      <w:r w:rsidRPr="00423C34">
        <w:rPr>
          <w:rStyle w:val="CharSectno"/>
        </w:rPr>
        <w:t>1</w:t>
      </w:r>
      <w:r w:rsidR="00647C6B" w:rsidRPr="00A058B6">
        <w:t xml:space="preserve">  Application of </w:t>
      </w:r>
      <w:r w:rsidR="00D55791">
        <w:t xml:space="preserve">this </w:t>
      </w:r>
      <w:r w:rsidR="00647C6B" w:rsidRPr="00A058B6">
        <w:t>Schedule</w:t>
      </w:r>
      <w:bookmarkEnd w:id="299"/>
    </w:p>
    <w:p w14:paraId="282A168A" w14:textId="77777777" w:rsidR="005B3648" w:rsidRDefault="00647C6B" w:rsidP="00647C6B">
      <w:pPr>
        <w:pStyle w:val="subsection"/>
      </w:pPr>
      <w:r w:rsidRPr="00A058B6">
        <w:tab/>
      </w:r>
      <w:r w:rsidRPr="00A058B6">
        <w:tab/>
        <w:t>This Schedule sets out the method for determining the gross value, at the relevant date, of a superannuation interest that is in the payment phase at the relevant date, if the benefits in respect of the interest are payable</w:t>
      </w:r>
      <w:r w:rsidR="005B3648">
        <w:t>:</w:t>
      </w:r>
    </w:p>
    <w:p w14:paraId="71AF8286" w14:textId="77777777" w:rsidR="005B3648" w:rsidRDefault="005B3648" w:rsidP="005B3648">
      <w:pPr>
        <w:pStyle w:val="paragraph"/>
      </w:pPr>
      <w:r>
        <w:tab/>
        <w:t>(a)</w:t>
      </w:r>
      <w:r>
        <w:tab/>
      </w:r>
      <w:r w:rsidR="00647C6B" w:rsidRPr="00A058B6">
        <w:t>as a pension for the life of the member spouse</w:t>
      </w:r>
      <w:r>
        <w:t>; and</w:t>
      </w:r>
    </w:p>
    <w:p w14:paraId="752F3913" w14:textId="77777777" w:rsidR="00647C6B" w:rsidRPr="00A058B6" w:rsidRDefault="005B3648" w:rsidP="005B3648">
      <w:pPr>
        <w:pStyle w:val="paragraph"/>
      </w:pPr>
      <w:r>
        <w:tab/>
        <w:t>(b)</w:t>
      </w:r>
      <w:r>
        <w:tab/>
        <w:t xml:space="preserve">not due to the member spouse’s </w:t>
      </w:r>
      <w:r w:rsidR="00EB057B">
        <w:t>invalidity</w:t>
      </w:r>
      <w:r w:rsidR="00D7157D">
        <w:t>.</w:t>
      </w:r>
    </w:p>
    <w:p w14:paraId="2FAD8B69" w14:textId="36B8B416" w:rsidR="00232F7F" w:rsidRPr="00232F7F" w:rsidRDefault="00AB0143" w:rsidP="00232F7F">
      <w:pPr>
        <w:pStyle w:val="ActHead2"/>
        <w:pageBreakBefore/>
      </w:pPr>
      <w:bookmarkStart w:id="300" w:name="f_Check_Lines_above"/>
      <w:bookmarkStart w:id="301" w:name="_Toc188350778"/>
      <w:bookmarkEnd w:id="300"/>
      <w:r w:rsidRPr="00423C34">
        <w:rPr>
          <w:rStyle w:val="CharPartNo"/>
        </w:rPr>
        <w:t>Part 2</w:t>
      </w:r>
      <w:r w:rsidR="00232F7F">
        <w:t>—</w:t>
      </w:r>
      <w:r w:rsidR="00232F7F" w:rsidRPr="00423C34">
        <w:rPr>
          <w:rStyle w:val="CharPartText"/>
        </w:rPr>
        <w:t>Interest has no guarantee period</w:t>
      </w:r>
      <w:r w:rsidR="00D55791" w:rsidRPr="00423C34">
        <w:rPr>
          <w:rStyle w:val="CharPartText"/>
        </w:rPr>
        <w:t>, or guarantee period has already ended</w:t>
      </w:r>
      <w:bookmarkEnd w:id="301"/>
    </w:p>
    <w:p w14:paraId="2FC9F836" w14:textId="77777777" w:rsidR="0080740E" w:rsidRPr="00423C34" w:rsidRDefault="0080740E" w:rsidP="0080740E">
      <w:pPr>
        <w:pStyle w:val="Header"/>
      </w:pPr>
      <w:r w:rsidRPr="00423C34">
        <w:rPr>
          <w:rStyle w:val="CharDivNo"/>
        </w:rPr>
        <w:t xml:space="preserve"> </w:t>
      </w:r>
      <w:r w:rsidRPr="00423C34">
        <w:rPr>
          <w:rStyle w:val="CharDivText"/>
        </w:rPr>
        <w:t xml:space="preserve"> </w:t>
      </w:r>
    </w:p>
    <w:p w14:paraId="72440AE1" w14:textId="77777777" w:rsidR="00D55791" w:rsidRPr="00A058B6" w:rsidRDefault="0022507A" w:rsidP="00D55791">
      <w:pPr>
        <w:pStyle w:val="ActHead5"/>
      </w:pPr>
      <w:bookmarkStart w:id="302" w:name="_Toc188350779"/>
      <w:r w:rsidRPr="00423C34">
        <w:rPr>
          <w:rStyle w:val="CharSectno"/>
        </w:rPr>
        <w:t>2</w:t>
      </w:r>
      <w:r w:rsidR="00D55791" w:rsidRPr="00A058B6">
        <w:t xml:space="preserve">  Application of </w:t>
      </w:r>
      <w:r w:rsidR="00D55791">
        <w:t>this Part</w:t>
      </w:r>
      <w:bookmarkEnd w:id="302"/>
    </w:p>
    <w:p w14:paraId="37623CB8" w14:textId="77777777" w:rsidR="00D55791" w:rsidRDefault="00D55791" w:rsidP="00D55791">
      <w:pPr>
        <w:pStyle w:val="subsection"/>
      </w:pPr>
      <w:r w:rsidRPr="00A058B6">
        <w:tab/>
      </w:r>
      <w:r w:rsidRPr="00A058B6">
        <w:tab/>
        <w:t xml:space="preserve">This </w:t>
      </w:r>
      <w:r>
        <w:t>Part</w:t>
      </w:r>
      <w:r w:rsidRPr="00A058B6">
        <w:t xml:space="preserve"> sets out the method for determining the gross value, at the relevant date, of a superannuation interest that is in the payment phase at the relevant date, if</w:t>
      </w:r>
      <w:r>
        <w:t>:</w:t>
      </w:r>
    </w:p>
    <w:p w14:paraId="4EC036BC" w14:textId="77777777" w:rsidR="00C72F56" w:rsidRDefault="00C72F56" w:rsidP="00C72F56">
      <w:pPr>
        <w:pStyle w:val="paragraph"/>
      </w:pPr>
      <w:r>
        <w:tab/>
        <w:t>(a)</w:t>
      </w:r>
      <w:r>
        <w:tab/>
      </w:r>
      <w:r w:rsidRPr="00A058B6">
        <w:t xml:space="preserve">the </w:t>
      </w:r>
      <w:r>
        <w:t>interest has no guarantee period; or</w:t>
      </w:r>
    </w:p>
    <w:p w14:paraId="3F00A69C" w14:textId="77777777" w:rsidR="00C72F56" w:rsidRPr="00C72F56" w:rsidRDefault="00C72F56" w:rsidP="00C72F56">
      <w:pPr>
        <w:pStyle w:val="paragraph"/>
      </w:pPr>
      <w:r>
        <w:tab/>
        <w:t>(b)</w:t>
      </w:r>
      <w:r>
        <w:tab/>
        <w:t>the interest’s guarantee period has ended</w:t>
      </w:r>
      <w:r w:rsidR="00D7157D">
        <w:t>.</w:t>
      </w:r>
    </w:p>
    <w:p w14:paraId="1704801F" w14:textId="77777777" w:rsidR="00647C6B" w:rsidRPr="00A058B6" w:rsidRDefault="0022507A" w:rsidP="00647C6B">
      <w:pPr>
        <w:pStyle w:val="ActHead5"/>
      </w:pPr>
      <w:bookmarkStart w:id="303" w:name="_Toc188350780"/>
      <w:r w:rsidRPr="00423C34">
        <w:rPr>
          <w:rStyle w:val="CharSectno"/>
        </w:rPr>
        <w:t>3</w:t>
      </w:r>
      <w:r w:rsidR="00647C6B" w:rsidRPr="00A058B6">
        <w:t xml:space="preserve">  Method</w:t>
      </w:r>
      <w:bookmarkEnd w:id="303"/>
    </w:p>
    <w:p w14:paraId="22B3E9C0" w14:textId="77777777" w:rsidR="00647C6B" w:rsidRDefault="00647C6B" w:rsidP="00647C6B">
      <w:pPr>
        <w:pStyle w:val="subsection"/>
      </w:pPr>
      <w:r w:rsidRPr="00A058B6">
        <w:tab/>
        <w:t>(1)</w:t>
      </w:r>
      <w:r w:rsidRPr="00A058B6">
        <w:tab/>
        <w:t>The method is:</w:t>
      </w:r>
    </w:p>
    <w:p w14:paraId="6B1B1EF9" w14:textId="77A0E487" w:rsidR="007547B1" w:rsidRPr="00A058B6" w:rsidRDefault="003D157E" w:rsidP="007547B1">
      <w:pPr>
        <w:pStyle w:val="subsection2"/>
      </w:pPr>
      <w:r w:rsidRPr="00075919">
        <w:rPr>
          <w:position w:val="-26"/>
        </w:rPr>
        <w:object w:dxaOrig="2380" w:dyaOrig="720" w14:anchorId="0583A1C6">
          <v:shape id="_x0000_i1082" type="#_x0000_t75" alt="Start formula B times open bracket P subscript y subscript plus subscript m plus open bracket r times R subscript y subscript plus subscript m close bracket close bracket end formula" style="width:120.15pt;height:34.85pt" o:ole="">
            <v:imagedata r:id="rId150" o:title=""/>
          </v:shape>
          <o:OLEObject Type="Embed" ProgID="Equation.DSMT4" ShapeID="_x0000_i1082" DrawAspect="Content" ObjectID="_1801634311" r:id="rId151"/>
        </w:object>
      </w:r>
    </w:p>
    <w:p w14:paraId="0A802774" w14:textId="77777777" w:rsidR="00647C6B" w:rsidRPr="00A058B6" w:rsidRDefault="00647C6B" w:rsidP="00647C6B">
      <w:pPr>
        <w:pStyle w:val="subsection2"/>
      </w:pPr>
      <w:r w:rsidRPr="00A058B6">
        <w:t>where:</w:t>
      </w:r>
    </w:p>
    <w:p w14:paraId="71763D51" w14:textId="77777777" w:rsidR="00647C6B" w:rsidRPr="00A058B6" w:rsidRDefault="00647C6B" w:rsidP="00647C6B">
      <w:pPr>
        <w:pStyle w:val="Definition"/>
      </w:pPr>
      <w:r w:rsidRPr="00A058B6">
        <w:rPr>
          <w:b/>
          <w:i/>
        </w:rPr>
        <w:t>B</w:t>
      </w:r>
      <w:r w:rsidRPr="00A058B6">
        <w:t xml:space="preserve"> </w:t>
      </w:r>
      <w:r w:rsidR="00251244">
        <w:t>means</w:t>
      </w:r>
      <w:r w:rsidR="00251244" w:rsidRPr="00A058B6">
        <w:t xml:space="preserve"> </w:t>
      </w:r>
      <w:r w:rsidRPr="00A058B6">
        <w:t>the amount of the annual pension benefit payable in respect of the superannuation interest at the relevant date</w:t>
      </w:r>
      <w:r w:rsidR="00D7157D">
        <w:t>.</w:t>
      </w:r>
    </w:p>
    <w:p w14:paraId="601B44C2" w14:textId="77777777" w:rsidR="00647C6B" w:rsidRPr="00A058B6" w:rsidRDefault="00647C6B" w:rsidP="00647C6B">
      <w:pPr>
        <w:pStyle w:val="Definition"/>
      </w:pPr>
      <w:r w:rsidRPr="00A058B6">
        <w:rPr>
          <w:b/>
          <w:i/>
        </w:rPr>
        <w:t>P</w:t>
      </w:r>
      <w:r w:rsidRPr="00A058B6">
        <w:rPr>
          <w:b/>
          <w:i/>
          <w:vertAlign w:val="subscript"/>
        </w:rPr>
        <w:t>y+m</w:t>
      </w:r>
      <w:r w:rsidRPr="00A058B6">
        <w:t xml:space="preserve"> </w:t>
      </w:r>
      <w:r w:rsidR="00251244">
        <w:t>means</w:t>
      </w:r>
      <w:r w:rsidR="00251244" w:rsidRPr="00A058B6">
        <w:t xml:space="preserve"> </w:t>
      </w:r>
      <w:r w:rsidRPr="00A058B6">
        <w:t xml:space="preserve">the pension valuation factor calculated in accordance with </w:t>
      </w:r>
      <w:r w:rsidR="00B05FD6">
        <w:t>subclause (</w:t>
      </w:r>
      <w:r w:rsidRPr="00A058B6">
        <w:t>2)</w:t>
      </w:r>
      <w:r w:rsidR="00D7157D">
        <w:t>.</w:t>
      </w:r>
    </w:p>
    <w:p w14:paraId="1129BBE4" w14:textId="77777777" w:rsidR="00647C6B" w:rsidRPr="00A058B6" w:rsidRDefault="00647C6B" w:rsidP="00647C6B">
      <w:pPr>
        <w:pStyle w:val="Definition"/>
      </w:pPr>
      <w:r w:rsidRPr="00A058B6">
        <w:rPr>
          <w:b/>
          <w:i/>
        </w:rPr>
        <w:t>r</w:t>
      </w:r>
      <w:r w:rsidRPr="00A058B6">
        <w:t xml:space="preserve"> </w:t>
      </w:r>
      <w:r w:rsidR="00251244">
        <w:t>means</w:t>
      </w:r>
      <w:r w:rsidR="00251244" w:rsidRPr="00A058B6">
        <w:t xml:space="preserve"> </w:t>
      </w:r>
      <w:r w:rsidRPr="00A058B6">
        <w:t xml:space="preserve">the proportion of the pension that is payable to any surviving spouse of the member spouse on the death of the member spouse, as provided by the trustee under </w:t>
      </w:r>
      <w:r w:rsidR="00AF1E4E">
        <w:t>section 9</w:t>
      </w:r>
      <w:r w:rsidRPr="00A058B6">
        <w:t>0XZB or 90YZR of the Act</w:t>
      </w:r>
      <w:r w:rsidR="00D7157D">
        <w:t>.</w:t>
      </w:r>
    </w:p>
    <w:p w14:paraId="0919E582" w14:textId="77777777" w:rsidR="00647C6B" w:rsidRPr="00A058B6" w:rsidRDefault="00647C6B" w:rsidP="00647C6B">
      <w:pPr>
        <w:pStyle w:val="Definition"/>
      </w:pPr>
      <w:r w:rsidRPr="00A058B6">
        <w:rPr>
          <w:b/>
          <w:i/>
        </w:rPr>
        <w:t>R</w:t>
      </w:r>
      <w:r w:rsidRPr="00A058B6">
        <w:rPr>
          <w:b/>
          <w:i/>
          <w:vertAlign w:val="subscript"/>
        </w:rPr>
        <w:t>y+m</w:t>
      </w:r>
      <w:r w:rsidRPr="00A058B6">
        <w:t xml:space="preserve"> </w:t>
      </w:r>
      <w:r w:rsidR="00251244">
        <w:t>means</w:t>
      </w:r>
      <w:r w:rsidR="00251244" w:rsidRPr="00A058B6">
        <w:t xml:space="preserve"> </w:t>
      </w:r>
      <w:r w:rsidRPr="00A058B6">
        <w:t xml:space="preserve">the reversion valuation factor calculated in accordance with </w:t>
      </w:r>
      <w:r w:rsidR="00B05FD6">
        <w:t>subclause (</w:t>
      </w:r>
      <w:r w:rsidRPr="00A058B6">
        <w:t>3)</w:t>
      </w:r>
      <w:r w:rsidR="00D7157D">
        <w:t>.</w:t>
      </w:r>
    </w:p>
    <w:p w14:paraId="4186713C" w14:textId="77777777" w:rsidR="00647C6B" w:rsidRDefault="00647C6B" w:rsidP="00647C6B">
      <w:pPr>
        <w:pStyle w:val="subsection"/>
      </w:pPr>
      <w:r w:rsidRPr="00A058B6">
        <w:tab/>
        <w:t>(2)</w:t>
      </w:r>
      <w:r w:rsidRPr="00A058B6">
        <w:tab/>
        <w:t xml:space="preserve">For the purposes of </w:t>
      </w:r>
      <w:r w:rsidR="00B05FD6">
        <w:t>subclause (</w:t>
      </w:r>
      <w:r w:rsidRPr="00A058B6">
        <w:t>1), the pension valuation factor (</w:t>
      </w:r>
      <w:r w:rsidRPr="00A058B6">
        <w:rPr>
          <w:b/>
          <w:i/>
        </w:rPr>
        <w:t>P</w:t>
      </w:r>
      <w:r w:rsidRPr="00A058B6">
        <w:rPr>
          <w:b/>
          <w:i/>
          <w:vertAlign w:val="subscript"/>
        </w:rPr>
        <w:t>y+m</w:t>
      </w:r>
      <w:r w:rsidRPr="00A058B6">
        <w:t>) at the relevant date is:</w:t>
      </w:r>
    </w:p>
    <w:p w14:paraId="5DB2EFCC" w14:textId="48A0B01E" w:rsidR="009C3064" w:rsidRPr="00A058B6" w:rsidRDefault="00AE7F79" w:rsidP="00EB3DA0">
      <w:pPr>
        <w:pStyle w:val="subsection2"/>
      </w:pPr>
      <w:r w:rsidRPr="00EB3DA0">
        <w:object w:dxaOrig="2920" w:dyaOrig="1060" w14:anchorId="25E1DD62">
          <v:shape id="_x0000_i1083" type="#_x0000_t75" alt="Start formula start fraction open bracket P subscript y times open bracket 12 minus m close bracket close bracket plus open bracket P subscript y subscript plus subscript 1 times m close bracket over 12 end fraction end formula" style="width:145.85pt;height:53.65pt" o:ole="">
            <v:imagedata r:id="rId152" o:title=""/>
          </v:shape>
          <o:OLEObject Type="Embed" ProgID="Equation.DSMT4" ShapeID="_x0000_i1083" DrawAspect="Content" ObjectID="_1801634312" r:id="rId153"/>
        </w:object>
      </w:r>
    </w:p>
    <w:p w14:paraId="34A65F9E" w14:textId="77777777" w:rsidR="00647C6B" w:rsidRPr="00A058B6" w:rsidRDefault="00647C6B" w:rsidP="00A1590A">
      <w:pPr>
        <w:pStyle w:val="subsection2"/>
      </w:pPr>
      <w:r w:rsidRPr="00A058B6">
        <w:t>where:</w:t>
      </w:r>
    </w:p>
    <w:p w14:paraId="6DAF0990" w14:textId="77777777" w:rsidR="00647C6B" w:rsidRPr="00A058B6" w:rsidRDefault="00647C6B" w:rsidP="00647C6B">
      <w:pPr>
        <w:pStyle w:val="Definition"/>
      </w:pPr>
      <w:r w:rsidRPr="00A058B6">
        <w:rPr>
          <w:b/>
          <w:i/>
        </w:rPr>
        <w:t>P</w:t>
      </w:r>
      <w:r w:rsidRPr="00A058B6">
        <w:rPr>
          <w:b/>
          <w:i/>
          <w:vertAlign w:val="subscript"/>
        </w:rPr>
        <w:t>y</w:t>
      </w:r>
      <w:r w:rsidRPr="00A058B6">
        <w:t xml:space="preserve"> </w:t>
      </w:r>
      <w:r w:rsidR="00251244">
        <w:t>means</w:t>
      </w:r>
      <w:r w:rsidR="00251244" w:rsidRPr="00A058B6">
        <w:t xml:space="preserve"> </w:t>
      </w:r>
      <w:r w:rsidRPr="00A058B6">
        <w:t>the pension valuation factor mentioned in the relevant clause of this Schedule that applies to the pension and the member spouse’s age in completed years at the relevant date</w:t>
      </w:r>
      <w:r w:rsidR="00D7157D">
        <w:t>.</w:t>
      </w:r>
    </w:p>
    <w:p w14:paraId="6F0EB8FE" w14:textId="77777777" w:rsidR="009357DC" w:rsidRPr="00A058B6" w:rsidRDefault="009357DC" w:rsidP="009357DC">
      <w:pPr>
        <w:pStyle w:val="Definition"/>
      </w:pPr>
      <w:r w:rsidRPr="00A058B6">
        <w:rPr>
          <w:b/>
          <w:i/>
        </w:rPr>
        <w:t>m</w:t>
      </w:r>
      <w:r w:rsidRPr="00A058B6">
        <w:t xml:space="preserve"> </w:t>
      </w:r>
      <w:r w:rsidR="00251244">
        <w:t>means</w:t>
      </w:r>
      <w:r w:rsidR="00251244" w:rsidRPr="00A058B6">
        <w:t xml:space="preserve"> </w:t>
      </w:r>
      <w:r w:rsidRPr="00A058B6">
        <w:t>the number of completed months of the member spouse’s age that are not included in the completed years at the relevant date</w:t>
      </w:r>
      <w:r w:rsidR="00D7157D">
        <w:t>.</w:t>
      </w:r>
    </w:p>
    <w:p w14:paraId="22DBE6D4" w14:textId="77777777" w:rsidR="00647C6B" w:rsidRPr="00A058B6" w:rsidRDefault="00647C6B" w:rsidP="00647C6B">
      <w:pPr>
        <w:pStyle w:val="Definition"/>
      </w:pPr>
      <w:r w:rsidRPr="00A058B6">
        <w:rPr>
          <w:b/>
          <w:i/>
        </w:rPr>
        <w:t>P</w:t>
      </w:r>
      <w:r w:rsidRPr="00A058B6">
        <w:rPr>
          <w:b/>
          <w:i/>
          <w:vertAlign w:val="subscript"/>
        </w:rPr>
        <w:t>y+1</w:t>
      </w:r>
      <w:r w:rsidRPr="00A058B6">
        <w:t xml:space="preserve"> </w:t>
      </w:r>
      <w:r w:rsidR="00251244">
        <w:t>means</w:t>
      </w:r>
      <w:r w:rsidR="00251244" w:rsidRPr="00A058B6">
        <w:t xml:space="preserve"> </w:t>
      </w:r>
      <w:r w:rsidRPr="00A058B6">
        <w:t xml:space="preserve">the pension valuation factor mentioned in the relevant clause of this Schedule that applies to the pension and the member spouse’s age at the completion of the next year after the year mentioned in the definition of the factor </w:t>
      </w:r>
      <w:r w:rsidRPr="00A058B6">
        <w:rPr>
          <w:b/>
          <w:i/>
        </w:rPr>
        <w:t>P</w:t>
      </w:r>
      <w:r w:rsidRPr="00A058B6">
        <w:rPr>
          <w:b/>
          <w:i/>
          <w:vertAlign w:val="subscript"/>
        </w:rPr>
        <w:t>y</w:t>
      </w:r>
      <w:r w:rsidR="00D7157D">
        <w:t>.</w:t>
      </w:r>
    </w:p>
    <w:p w14:paraId="693324E9" w14:textId="77777777" w:rsidR="00647C6B" w:rsidRPr="00A058B6" w:rsidRDefault="00647C6B" w:rsidP="00647C6B">
      <w:pPr>
        <w:pStyle w:val="subsection"/>
      </w:pPr>
      <w:r w:rsidRPr="00A058B6">
        <w:tab/>
        <w:t>(3)</w:t>
      </w:r>
      <w:r w:rsidRPr="00A058B6">
        <w:tab/>
        <w:t xml:space="preserve">For the purposes of </w:t>
      </w:r>
      <w:r w:rsidR="00B05FD6">
        <w:t>subclause (</w:t>
      </w:r>
      <w:r w:rsidRPr="00A058B6">
        <w:t>1), the reversion valuation factor (</w:t>
      </w:r>
      <w:r w:rsidRPr="00A058B6">
        <w:rPr>
          <w:b/>
          <w:i/>
        </w:rPr>
        <w:t>R</w:t>
      </w:r>
      <w:r w:rsidRPr="00A058B6">
        <w:rPr>
          <w:b/>
          <w:i/>
          <w:vertAlign w:val="subscript"/>
        </w:rPr>
        <w:t>y+m</w:t>
      </w:r>
      <w:r w:rsidRPr="00A058B6">
        <w:t>) at the relevant date is:</w:t>
      </w:r>
    </w:p>
    <w:p w14:paraId="6A1BECF0" w14:textId="63548811" w:rsidR="00F845EF" w:rsidRPr="00A058B6" w:rsidRDefault="00AE7F79" w:rsidP="00F845EF">
      <w:pPr>
        <w:pStyle w:val="subsection2"/>
      </w:pPr>
      <w:r w:rsidRPr="00F845EF">
        <w:rPr>
          <w:position w:val="-32"/>
        </w:rPr>
        <w:object w:dxaOrig="3000" w:dyaOrig="1060" w14:anchorId="64F6B1C5">
          <v:shape id="_x0000_i1084" type="#_x0000_t75" alt="Start formula start fraction open bracket R subscript y times open bracket 12 minus m close bracket close bracket plus open bracket R subscript y subscript plus subscript 1 times m close bracket over 12 end fraction end formula" style="width:149.5pt;height:53.65pt" o:ole="">
            <v:imagedata r:id="rId154" o:title=""/>
          </v:shape>
          <o:OLEObject Type="Embed" ProgID="Equation.DSMT4" ShapeID="_x0000_i1084" DrawAspect="Content" ObjectID="_1801634313" r:id="rId155"/>
        </w:object>
      </w:r>
    </w:p>
    <w:p w14:paraId="4C5D9B6A" w14:textId="77777777" w:rsidR="00647C6B" w:rsidRPr="00A058B6" w:rsidRDefault="00647C6B" w:rsidP="00A1590A">
      <w:pPr>
        <w:pStyle w:val="subsection2"/>
      </w:pPr>
      <w:r w:rsidRPr="00A058B6">
        <w:t>where:</w:t>
      </w:r>
    </w:p>
    <w:p w14:paraId="3E1FFE62" w14:textId="77777777" w:rsidR="009357DC" w:rsidRPr="00A058B6" w:rsidRDefault="009357DC" w:rsidP="009357DC">
      <w:pPr>
        <w:pStyle w:val="Definition"/>
      </w:pPr>
      <w:r w:rsidRPr="00A058B6">
        <w:rPr>
          <w:b/>
          <w:i/>
        </w:rPr>
        <w:t>R</w:t>
      </w:r>
      <w:r w:rsidRPr="00A058B6">
        <w:rPr>
          <w:b/>
          <w:i/>
          <w:vertAlign w:val="subscript"/>
        </w:rPr>
        <w:t>y</w:t>
      </w:r>
      <w:r w:rsidRPr="00A058B6">
        <w:t xml:space="preserve"> </w:t>
      </w:r>
      <w:r w:rsidR="00251244">
        <w:t>means</w:t>
      </w:r>
      <w:r w:rsidR="00251244" w:rsidRPr="00A058B6">
        <w:t xml:space="preserve"> </w:t>
      </w:r>
      <w:r w:rsidRPr="00A058B6">
        <w:t>the reversion valuation factor mentioned in the relevant clause of this Schedule that applies to the pension and the member spouse’s age in completed years at the relevant date</w:t>
      </w:r>
      <w:r w:rsidR="00D7157D">
        <w:t>.</w:t>
      </w:r>
    </w:p>
    <w:p w14:paraId="6C6EDD60" w14:textId="77777777" w:rsidR="00A1590A" w:rsidRPr="00A058B6" w:rsidRDefault="00A1590A" w:rsidP="00A1590A">
      <w:pPr>
        <w:pStyle w:val="Definition"/>
      </w:pPr>
      <w:r w:rsidRPr="00A058B6">
        <w:rPr>
          <w:b/>
          <w:i/>
        </w:rPr>
        <w:t>m</w:t>
      </w:r>
      <w:r w:rsidRPr="00A058B6">
        <w:t xml:space="preserve"> </w:t>
      </w:r>
      <w:r w:rsidR="00251244">
        <w:t>means</w:t>
      </w:r>
      <w:r w:rsidR="00251244" w:rsidRPr="00A058B6">
        <w:t xml:space="preserve"> </w:t>
      </w:r>
      <w:r w:rsidRPr="00A058B6">
        <w:t>the number of completed months of the member spouse’s age that are not included in the completed years at the relevant date</w:t>
      </w:r>
      <w:r w:rsidR="00D7157D">
        <w:t>.</w:t>
      </w:r>
    </w:p>
    <w:p w14:paraId="742F9BAA" w14:textId="77777777" w:rsidR="00647C6B" w:rsidRPr="00A058B6" w:rsidRDefault="00647C6B" w:rsidP="00647C6B">
      <w:pPr>
        <w:pStyle w:val="Definition"/>
      </w:pPr>
      <w:r w:rsidRPr="00A058B6">
        <w:rPr>
          <w:b/>
          <w:i/>
        </w:rPr>
        <w:t>R</w:t>
      </w:r>
      <w:r w:rsidRPr="00A058B6">
        <w:rPr>
          <w:b/>
          <w:i/>
          <w:vertAlign w:val="subscript"/>
        </w:rPr>
        <w:t>y+1</w:t>
      </w:r>
      <w:r w:rsidRPr="00A058B6">
        <w:t xml:space="preserve"> </w:t>
      </w:r>
      <w:r w:rsidR="00251244">
        <w:t>means</w:t>
      </w:r>
      <w:r w:rsidR="00251244" w:rsidRPr="00A058B6">
        <w:t xml:space="preserve"> </w:t>
      </w:r>
      <w:r w:rsidRPr="00A058B6">
        <w:t xml:space="preserve">the reversion valuation factor mentioned in the relevant clause of this Schedule that applies to the pension and the member spouse’s age at the completion of the next year after the year mentioned in the definition of the factor </w:t>
      </w:r>
      <w:r w:rsidRPr="00A058B6">
        <w:rPr>
          <w:b/>
          <w:i/>
        </w:rPr>
        <w:t>R</w:t>
      </w:r>
      <w:r w:rsidRPr="00A058B6">
        <w:rPr>
          <w:b/>
          <w:i/>
          <w:vertAlign w:val="subscript"/>
        </w:rPr>
        <w:t>y</w:t>
      </w:r>
      <w:r w:rsidR="00D7157D">
        <w:t>.</w:t>
      </w:r>
    </w:p>
    <w:p w14:paraId="6173C942" w14:textId="77777777" w:rsidR="00647C6B" w:rsidRPr="00A058B6" w:rsidRDefault="0022507A" w:rsidP="00647C6B">
      <w:pPr>
        <w:pStyle w:val="ActHead5"/>
      </w:pPr>
      <w:bookmarkStart w:id="304" w:name="_Toc188350781"/>
      <w:r w:rsidRPr="00423C34">
        <w:rPr>
          <w:rStyle w:val="CharSectno"/>
        </w:rPr>
        <w:t>4</w:t>
      </w:r>
      <w:r w:rsidR="00647C6B" w:rsidRPr="00A058B6">
        <w:t xml:space="preserve">  Valuation factors—pension not indexed</w:t>
      </w:r>
      <w:bookmarkEnd w:id="304"/>
    </w:p>
    <w:p w14:paraId="31FCD699"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 is not indexed</w:t>
      </w:r>
      <w:r w:rsidR="00D7157D">
        <w:t>.</w:t>
      </w:r>
    </w:p>
    <w:p w14:paraId="4BC17B75" w14:textId="77777777" w:rsidR="00647C6B" w:rsidRPr="00A058B6" w:rsidRDefault="00647C6B" w:rsidP="00647C6B">
      <w:pPr>
        <w:pStyle w:val="Tabletext"/>
      </w:pPr>
    </w:p>
    <w:tbl>
      <w:tblPr>
        <w:tblW w:w="5000" w:type="pct"/>
        <w:tblLook w:val="0000" w:firstRow="0" w:lastRow="0" w:firstColumn="0" w:lastColumn="0" w:noHBand="0" w:noVBand="0"/>
      </w:tblPr>
      <w:tblGrid>
        <w:gridCol w:w="1889"/>
        <w:gridCol w:w="1606"/>
        <w:gridCol w:w="1606"/>
        <w:gridCol w:w="1606"/>
        <w:gridCol w:w="1606"/>
      </w:tblGrid>
      <w:tr w:rsidR="00647C6B" w:rsidRPr="00A058B6" w14:paraId="528F8BBE" w14:textId="77777777" w:rsidTr="00FA26AF">
        <w:trPr>
          <w:cantSplit/>
          <w:trHeight w:val="86"/>
          <w:tblHeader/>
        </w:trPr>
        <w:tc>
          <w:tcPr>
            <w:tcW w:w="1136" w:type="pct"/>
            <w:vMerge w:val="restart"/>
            <w:tcBorders>
              <w:top w:val="single" w:sz="12" w:space="0" w:color="auto"/>
              <w:bottom w:val="single" w:sz="12" w:space="0" w:color="auto"/>
            </w:tcBorders>
          </w:tcPr>
          <w:p w14:paraId="58AA031B" w14:textId="77777777" w:rsidR="00647C6B" w:rsidRPr="00A058B6" w:rsidRDefault="00647C6B" w:rsidP="009C0D79">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0D460737" w14:textId="77777777" w:rsidR="00647C6B" w:rsidRPr="00A058B6" w:rsidRDefault="00647C6B" w:rsidP="009C0D79">
            <w:pPr>
              <w:pStyle w:val="TableHeading"/>
            </w:pPr>
            <w:r w:rsidRPr="00A058B6">
              <w:t>Valuation factors—pension not indexed</w:t>
            </w:r>
          </w:p>
        </w:tc>
      </w:tr>
      <w:tr w:rsidR="00647C6B" w:rsidRPr="00A058B6" w14:paraId="4BD79C7E" w14:textId="77777777" w:rsidTr="00FA26AF">
        <w:trPr>
          <w:cantSplit/>
          <w:trHeight w:val="50"/>
          <w:tblHeader/>
        </w:trPr>
        <w:tc>
          <w:tcPr>
            <w:tcW w:w="1136" w:type="pct"/>
            <w:vMerge/>
            <w:tcBorders>
              <w:bottom w:val="single" w:sz="12" w:space="0" w:color="auto"/>
            </w:tcBorders>
          </w:tcPr>
          <w:p w14:paraId="67F0CBCB" w14:textId="77777777" w:rsidR="00647C6B" w:rsidRPr="00A058B6" w:rsidRDefault="00647C6B" w:rsidP="009C0D79">
            <w:pPr>
              <w:pStyle w:val="TableHeading"/>
            </w:pPr>
          </w:p>
        </w:tc>
        <w:tc>
          <w:tcPr>
            <w:tcW w:w="1932" w:type="pct"/>
            <w:gridSpan w:val="2"/>
            <w:tcBorders>
              <w:top w:val="single" w:sz="4" w:space="0" w:color="auto"/>
              <w:bottom w:val="single" w:sz="4" w:space="0" w:color="auto"/>
            </w:tcBorders>
          </w:tcPr>
          <w:p w14:paraId="1BC7076F" w14:textId="77777777" w:rsidR="00647C6B" w:rsidRPr="00A058B6" w:rsidRDefault="00647C6B" w:rsidP="009C0D79">
            <w:pPr>
              <w:pStyle w:val="TableHeading"/>
            </w:pPr>
            <w:r w:rsidRPr="00A058B6">
              <w:t>Males</w:t>
            </w:r>
          </w:p>
        </w:tc>
        <w:tc>
          <w:tcPr>
            <w:tcW w:w="1932" w:type="pct"/>
            <w:gridSpan w:val="2"/>
            <w:tcBorders>
              <w:top w:val="single" w:sz="4" w:space="0" w:color="auto"/>
              <w:bottom w:val="single" w:sz="4" w:space="0" w:color="auto"/>
            </w:tcBorders>
          </w:tcPr>
          <w:p w14:paraId="3D74FB40" w14:textId="77777777" w:rsidR="00647C6B" w:rsidRPr="00A058B6" w:rsidRDefault="00647C6B" w:rsidP="009C0D79">
            <w:pPr>
              <w:pStyle w:val="TableHeading"/>
            </w:pPr>
            <w:r w:rsidRPr="00A058B6">
              <w:t>Females</w:t>
            </w:r>
          </w:p>
        </w:tc>
      </w:tr>
      <w:tr w:rsidR="00647C6B" w:rsidRPr="00A058B6" w14:paraId="32035314" w14:textId="77777777" w:rsidTr="00FA26AF">
        <w:trPr>
          <w:cantSplit/>
          <w:trHeight w:val="50"/>
          <w:tblHeader/>
        </w:trPr>
        <w:tc>
          <w:tcPr>
            <w:tcW w:w="1136" w:type="pct"/>
            <w:vMerge/>
            <w:tcBorders>
              <w:bottom w:val="single" w:sz="12" w:space="0" w:color="auto"/>
            </w:tcBorders>
          </w:tcPr>
          <w:p w14:paraId="299B6A3D" w14:textId="77777777" w:rsidR="00647C6B" w:rsidRPr="00A058B6" w:rsidRDefault="00647C6B" w:rsidP="009C0D79"/>
        </w:tc>
        <w:tc>
          <w:tcPr>
            <w:tcW w:w="966" w:type="pct"/>
            <w:tcBorders>
              <w:top w:val="single" w:sz="4" w:space="0" w:color="auto"/>
              <w:bottom w:val="single" w:sz="12" w:space="0" w:color="auto"/>
            </w:tcBorders>
          </w:tcPr>
          <w:p w14:paraId="4A475F2E"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2F1B4A51" w14:textId="77777777" w:rsidR="00647C6B" w:rsidRPr="00A058B6" w:rsidRDefault="00647C6B" w:rsidP="009C0D79">
            <w:pPr>
              <w:pStyle w:val="TableHeading"/>
            </w:pPr>
            <w:r w:rsidRPr="00A058B6">
              <w:t>Reversion</w:t>
            </w:r>
          </w:p>
        </w:tc>
        <w:tc>
          <w:tcPr>
            <w:tcW w:w="966" w:type="pct"/>
            <w:tcBorders>
              <w:top w:val="single" w:sz="4" w:space="0" w:color="auto"/>
              <w:bottom w:val="single" w:sz="12" w:space="0" w:color="auto"/>
            </w:tcBorders>
          </w:tcPr>
          <w:p w14:paraId="44FEE0C3"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010182CB" w14:textId="77777777" w:rsidR="00647C6B" w:rsidRPr="00A058B6" w:rsidRDefault="00647C6B" w:rsidP="009C0D79">
            <w:pPr>
              <w:pStyle w:val="TableHeading"/>
            </w:pPr>
            <w:r w:rsidRPr="00A058B6">
              <w:t>Reversion</w:t>
            </w:r>
          </w:p>
        </w:tc>
      </w:tr>
      <w:tr w:rsidR="006902CC" w:rsidRPr="009E2595" w14:paraId="3840A12C" w14:textId="77777777" w:rsidTr="006902CC">
        <w:trPr>
          <w:cantSplit/>
        </w:trPr>
        <w:tc>
          <w:tcPr>
            <w:tcW w:w="1136" w:type="pct"/>
            <w:tcBorders>
              <w:top w:val="single" w:sz="12" w:space="0" w:color="auto"/>
              <w:bottom w:val="single" w:sz="4" w:space="0" w:color="auto"/>
            </w:tcBorders>
          </w:tcPr>
          <w:p w14:paraId="4496FBFC" w14:textId="77777777" w:rsidR="006902CC" w:rsidRPr="00616B26" w:rsidRDefault="006902CC" w:rsidP="006902CC">
            <w:pPr>
              <w:pStyle w:val="Tabletext"/>
              <w:rPr>
                <w:snapToGrid w:val="0"/>
              </w:rPr>
            </w:pPr>
            <w:r w:rsidRPr="00616B26">
              <w:rPr>
                <w:snapToGrid w:val="0"/>
              </w:rPr>
              <w:t>18</w:t>
            </w:r>
          </w:p>
        </w:tc>
        <w:tc>
          <w:tcPr>
            <w:tcW w:w="966" w:type="pct"/>
            <w:tcBorders>
              <w:top w:val="single" w:sz="12" w:space="0" w:color="auto"/>
              <w:bottom w:val="single" w:sz="4" w:space="0" w:color="auto"/>
            </w:tcBorders>
            <w:vAlign w:val="bottom"/>
          </w:tcPr>
          <w:p w14:paraId="6F4DD018" w14:textId="77777777" w:rsidR="006902CC" w:rsidRPr="00C971C6" w:rsidRDefault="006902CC" w:rsidP="006902CC">
            <w:pPr>
              <w:pStyle w:val="Tabletext"/>
              <w:rPr>
                <w:snapToGrid w:val="0"/>
              </w:rPr>
            </w:pPr>
            <w:r w:rsidRPr="00295986">
              <w:t>16</w:t>
            </w:r>
            <w:r w:rsidR="00D7157D">
              <w:t>.</w:t>
            </w:r>
            <w:r w:rsidRPr="00295986">
              <w:t>7757</w:t>
            </w:r>
          </w:p>
        </w:tc>
        <w:tc>
          <w:tcPr>
            <w:tcW w:w="966" w:type="pct"/>
            <w:tcBorders>
              <w:top w:val="single" w:sz="12" w:space="0" w:color="auto"/>
              <w:bottom w:val="single" w:sz="4" w:space="0" w:color="auto"/>
            </w:tcBorders>
            <w:vAlign w:val="bottom"/>
          </w:tcPr>
          <w:p w14:paraId="17350D46" w14:textId="77777777" w:rsidR="006902CC" w:rsidRPr="00C971C6" w:rsidRDefault="006902CC" w:rsidP="006902CC">
            <w:pPr>
              <w:pStyle w:val="Tabletext"/>
              <w:rPr>
                <w:snapToGrid w:val="0"/>
              </w:rPr>
            </w:pPr>
            <w:r w:rsidRPr="00295986">
              <w:t>0</w:t>
            </w:r>
            <w:r w:rsidR="00D7157D">
              <w:t>.</w:t>
            </w:r>
            <w:r w:rsidRPr="00295986">
              <w:t>1369</w:t>
            </w:r>
          </w:p>
        </w:tc>
        <w:tc>
          <w:tcPr>
            <w:tcW w:w="966" w:type="pct"/>
            <w:tcBorders>
              <w:top w:val="single" w:sz="12" w:space="0" w:color="auto"/>
              <w:bottom w:val="single" w:sz="4" w:space="0" w:color="auto"/>
            </w:tcBorders>
            <w:vAlign w:val="bottom"/>
          </w:tcPr>
          <w:p w14:paraId="694B0746" w14:textId="77777777" w:rsidR="006902CC" w:rsidRPr="00C971C6" w:rsidRDefault="006902CC" w:rsidP="006902CC">
            <w:pPr>
              <w:pStyle w:val="Tabletext"/>
              <w:rPr>
                <w:snapToGrid w:val="0"/>
              </w:rPr>
            </w:pPr>
            <w:r w:rsidRPr="00295986">
              <w:t>16</w:t>
            </w:r>
            <w:r w:rsidR="00D7157D">
              <w:t>.</w:t>
            </w:r>
            <w:r w:rsidRPr="00295986">
              <w:t>8727</w:t>
            </w:r>
          </w:p>
        </w:tc>
        <w:tc>
          <w:tcPr>
            <w:tcW w:w="966" w:type="pct"/>
            <w:tcBorders>
              <w:top w:val="single" w:sz="12" w:space="0" w:color="auto"/>
              <w:bottom w:val="single" w:sz="4" w:space="0" w:color="auto"/>
            </w:tcBorders>
            <w:vAlign w:val="bottom"/>
          </w:tcPr>
          <w:p w14:paraId="7E630841" w14:textId="77777777" w:rsidR="006902CC" w:rsidRPr="00C971C6" w:rsidRDefault="006902CC" w:rsidP="006902CC">
            <w:pPr>
              <w:pStyle w:val="Tabletext"/>
              <w:rPr>
                <w:snapToGrid w:val="0"/>
              </w:rPr>
            </w:pPr>
            <w:r w:rsidRPr="00295986">
              <w:t>0</w:t>
            </w:r>
            <w:r w:rsidR="00D7157D">
              <w:t>.</w:t>
            </w:r>
            <w:r w:rsidRPr="00295986">
              <w:t>0528</w:t>
            </w:r>
          </w:p>
        </w:tc>
      </w:tr>
      <w:tr w:rsidR="006902CC" w:rsidRPr="009E2595" w14:paraId="5BD1C2FC" w14:textId="77777777" w:rsidTr="006902CC">
        <w:trPr>
          <w:cantSplit/>
        </w:trPr>
        <w:tc>
          <w:tcPr>
            <w:tcW w:w="1136" w:type="pct"/>
            <w:tcBorders>
              <w:top w:val="single" w:sz="4" w:space="0" w:color="auto"/>
              <w:bottom w:val="single" w:sz="4" w:space="0" w:color="auto"/>
            </w:tcBorders>
          </w:tcPr>
          <w:p w14:paraId="2273DCB1" w14:textId="77777777" w:rsidR="006902CC" w:rsidRPr="00616B26" w:rsidRDefault="006902CC" w:rsidP="006902CC">
            <w:pPr>
              <w:pStyle w:val="Tabletext"/>
              <w:rPr>
                <w:snapToGrid w:val="0"/>
              </w:rPr>
            </w:pPr>
            <w:r w:rsidRPr="00616B26">
              <w:rPr>
                <w:snapToGrid w:val="0"/>
              </w:rPr>
              <w:t>19</w:t>
            </w:r>
          </w:p>
        </w:tc>
        <w:tc>
          <w:tcPr>
            <w:tcW w:w="966" w:type="pct"/>
            <w:tcBorders>
              <w:top w:val="single" w:sz="4" w:space="0" w:color="auto"/>
              <w:bottom w:val="single" w:sz="4" w:space="0" w:color="auto"/>
            </w:tcBorders>
            <w:vAlign w:val="bottom"/>
          </w:tcPr>
          <w:p w14:paraId="51E6459F" w14:textId="77777777" w:rsidR="006902CC" w:rsidRPr="00C971C6" w:rsidRDefault="006902CC" w:rsidP="006902CC">
            <w:pPr>
              <w:pStyle w:val="Tabletext"/>
              <w:rPr>
                <w:snapToGrid w:val="0"/>
              </w:rPr>
            </w:pPr>
            <w:r w:rsidRPr="00295986">
              <w:t>16</w:t>
            </w:r>
            <w:r w:rsidR="00D7157D">
              <w:t>.</w:t>
            </w:r>
            <w:r w:rsidRPr="00295986">
              <w:t>7544</w:t>
            </w:r>
          </w:p>
        </w:tc>
        <w:tc>
          <w:tcPr>
            <w:tcW w:w="966" w:type="pct"/>
            <w:tcBorders>
              <w:top w:val="single" w:sz="4" w:space="0" w:color="auto"/>
              <w:bottom w:val="single" w:sz="4" w:space="0" w:color="auto"/>
            </w:tcBorders>
            <w:vAlign w:val="bottom"/>
          </w:tcPr>
          <w:p w14:paraId="0A09BE01" w14:textId="77777777" w:rsidR="006902CC" w:rsidRPr="00C971C6" w:rsidRDefault="006902CC" w:rsidP="006902CC">
            <w:pPr>
              <w:pStyle w:val="Tabletext"/>
              <w:rPr>
                <w:snapToGrid w:val="0"/>
              </w:rPr>
            </w:pPr>
            <w:r w:rsidRPr="00295986">
              <w:t>0</w:t>
            </w:r>
            <w:r w:rsidR="00D7157D">
              <w:t>.</w:t>
            </w:r>
            <w:r w:rsidRPr="00295986">
              <w:t>1439</w:t>
            </w:r>
          </w:p>
        </w:tc>
        <w:tc>
          <w:tcPr>
            <w:tcW w:w="966" w:type="pct"/>
            <w:tcBorders>
              <w:top w:val="single" w:sz="4" w:space="0" w:color="auto"/>
              <w:bottom w:val="single" w:sz="4" w:space="0" w:color="auto"/>
            </w:tcBorders>
            <w:vAlign w:val="bottom"/>
          </w:tcPr>
          <w:p w14:paraId="32CAECA7" w14:textId="77777777" w:rsidR="006902CC" w:rsidRPr="00C971C6" w:rsidRDefault="006902CC" w:rsidP="006902CC">
            <w:pPr>
              <w:pStyle w:val="Tabletext"/>
              <w:rPr>
                <w:snapToGrid w:val="0"/>
              </w:rPr>
            </w:pPr>
            <w:r w:rsidRPr="00295986">
              <w:t>16</w:t>
            </w:r>
            <w:r w:rsidR="00D7157D">
              <w:t>.</w:t>
            </w:r>
            <w:r w:rsidRPr="00295986">
              <w:t>8555</w:t>
            </w:r>
          </w:p>
        </w:tc>
        <w:tc>
          <w:tcPr>
            <w:tcW w:w="966" w:type="pct"/>
            <w:tcBorders>
              <w:top w:val="single" w:sz="4" w:space="0" w:color="auto"/>
              <w:bottom w:val="single" w:sz="4" w:space="0" w:color="auto"/>
            </w:tcBorders>
            <w:vAlign w:val="bottom"/>
          </w:tcPr>
          <w:p w14:paraId="2DE596AA" w14:textId="77777777" w:rsidR="006902CC" w:rsidRPr="00C971C6" w:rsidRDefault="006902CC" w:rsidP="006902CC">
            <w:pPr>
              <w:pStyle w:val="Tabletext"/>
              <w:rPr>
                <w:snapToGrid w:val="0"/>
              </w:rPr>
            </w:pPr>
            <w:r w:rsidRPr="00295986">
              <w:t>0</w:t>
            </w:r>
            <w:r w:rsidR="00D7157D">
              <w:t>.</w:t>
            </w:r>
            <w:r w:rsidRPr="00295986">
              <w:t>0558</w:t>
            </w:r>
          </w:p>
        </w:tc>
      </w:tr>
      <w:tr w:rsidR="006902CC" w:rsidRPr="009E2595" w14:paraId="2D4B7212" w14:textId="77777777" w:rsidTr="006902CC">
        <w:trPr>
          <w:cantSplit/>
        </w:trPr>
        <w:tc>
          <w:tcPr>
            <w:tcW w:w="1136" w:type="pct"/>
            <w:tcBorders>
              <w:top w:val="single" w:sz="4" w:space="0" w:color="auto"/>
              <w:bottom w:val="single" w:sz="4" w:space="0" w:color="auto"/>
            </w:tcBorders>
          </w:tcPr>
          <w:p w14:paraId="1932257A" w14:textId="77777777" w:rsidR="006902CC" w:rsidRPr="00616B26" w:rsidRDefault="006902CC" w:rsidP="006902CC">
            <w:pPr>
              <w:pStyle w:val="Tabletext"/>
              <w:rPr>
                <w:snapToGrid w:val="0"/>
              </w:rPr>
            </w:pPr>
            <w:r w:rsidRPr="00616B26">
              <w:rPr>
                <w:snapToGrid w:val="0"/>
              </w:rPr>
              <w:t>20</w:t>
            </w:r>
          </w:p>
        </w:tc>
        <w:tc>
          <w:tcPr>
            <w:tcW w:w="966" w:type="pct"/>
            <w:tcBorders>
              <w:top w:val="single" w:sz="4" w:space="0" w:color="auto"/>
              <w:bottom w:val="single" w:sz="4" w:space="0" w:color="auto"/>
            </w:tcBorders>
            <w:vAlign w:val="bottom"/>
          </w:tcPr>
          <w:p w14:paraId="33D46A53" w14:textId="77777777" w:rsidR="006902CC" w:rsidRPr="00C971C6" w:rsidRDefault="006902CC" w:rsidP="006902CC">
            <w:pPr>
              <w:pStyle w:val="Tabletext"/>
              <w:rPr>
                <w:snapToGrid w:val="0"/>
              </w:rPr>
            </w:pPr>
            <w:r w:rsidRPr="00295986">
              <w:t>16</w:t>
            </w:r>
            <w:r w:rsidR="00D7157D">
              <w:t>.</w:t>
            </w:r>
            <w:r w:rsidRPr="00295986">
              <w:t>7321</w:t>
            </w:r>
          </w:p>
        </w:tc>
        <w:tc>
          <w:tcPr>
            <w:tcW w:w="966" w:type="pct"/>
            <w:tcBorders>
              <w:top w:val="single" w:sz="4" w:space="0" w:color="auto"/>
              <w:bottom w:val="single" w:sz="4" w:space="0" w:color="auto"/>
            </w:tcBorders>
            <w:vAlign w:val="bottom"/>
          </w:tcPr>
          <w:p w14:paraId="76FFC40C" w14:textId="77777777" w:rsidR="006902CC" w:rsidRPr="00C971C6" w:rsidRDefault="006902CC" w:rsidP="006902CC">
            <w:pPr>
              <w:pStyle w:val="Tabletext"/>
              <w:rPr>
                <w:snapToGrid w:val="0"/>
              </w:rPr>
            </w:pPr>
            <w:r w:rsidRPr="00295986">
              <w:t>0</w:t>
            </w:r>
            <w:r w:rsidR="00D7157D">
              <w:t>.</w:t>
            </w:r>
            <w:r w:rsidRPr="00295986">
              <w:t>1511</w:t>
            </w:r>
          </w:p>
        </w:tc>
        <w:tc>
          <w:tcPr>
            <w:tcW w:w="966" w:type="pct"/>
            <w:tcBorders>
              <w:top w:val="single" w:sz="4" w:space="0" w:color="auto"/>
              <w:bottom w:val="single" w:sz="4" w:space="0" w:color="auto"/>
            </w:tcBorders>
            <w:vAlign w:val="bottom"/>
          </w:tcPr>
          <w:p w14:paraId="4D10EEA7" w14:textId="77777777" w:rsidR="006902CC" w:rsidRPr="00C971C6" w:rsidRDefault="006902CC" w:rsidP="006902CC">
            <w:pPr>
              <w:pStyle w:val="Tabletext"/>
              <w:rPr>
                <w:snapToGrid w:val="0"/>
              </w:rPr>
            </w:pPr>
            <w:r w:rsidRPr="00295986">
              <w:t>16</w:t>
            </w:r>
            <w:r w:rsidR="00D7157D">
              <w:t>.</w:t>
            </w:r>
            <w:r w:rsidRPr="00295986">
              <w:t>8371</w:t>
            </w:r>
          </w:p>
        </w:tc>
        <w:tc>
          <w:tcPr>
            <w:tcW w:w="966" w:type="pct"/>
            <w:tcBorders>
              <w:top w:val="single" w:sz="4" w:space="0" w:color="auto"/>
              <w:bottom w:val="single" w:sz="4" w:space="0" w:color="auto"/>
            </w:tcBorders>
            <w:vAlign w:val="bottom"/>
          </w:tcPr>
          <w:p w14:paraId="1DA064E5" w14:textId="77777777" w:rsidR="006902CC" w:rsidRPr="00C971C6" w:rsidRDefault="006902CC" w:rsidP="006902CC">
            <w:pPr>
              <w:pStyle w:val="Tabletext"/>
              <w:rPr>
                <w:snapToGrid w:val="0"/>
              </w:rPr>
            </w:pPr>
            <w:r w:rsidRPr="00295986">
              <w:t>0</w:t>
            </w:r>
            <w:r w:rsidR="00D7157D">
              <w:t>.</w:t>
            </w:r>
            <w:r w:rsidRPr="00295986">
              <w:t>0590</w:t>
            </w:r>
          </w:p>
        </w:tc>
      </w:tr>
      <w:tr w:rsidR="006902CC" w:rsidRPr="009E2595" w14:paraId="218B154F" w14:textId="77777777" w:rsidTr="006902CC">
        <w:trPr>
          <w:cantSplit/>
        </w:trPr>
        <w:tc>
          <w:tcPr>
            <w:tcW w:w="1136" w:type="pct"/>
            <w:tcBorders>
              <w:top w:val="single" w:sz="4" w:space="0" w:color="auto"/>
              <w:bottom w:val="single" w:sz="4" w:space="0" w:color="auto"/>
            </w:tcBorders>
          </w:tcPr>
          <w:p w14:paraId="4263DDF4" w14:textId="77777777" w:rsidR="006902CC" w:rsidRPr="00616B26" w:rsidRDefault="006902CC" w:rsidP="006902CC">
            <w:pPr>
              <w:pStyle w:val="Tabletext"/>
              <w:rPr>
                <w:snapToGrid w:val="0"/>
              </w:rPr>
            </w:pPr>
            <w:r w:rsidRPr="00616B26">
              <w:rPr>
                <w:snapToGrid w:val="0"/>
              </w:rPr>
              <w:t>21</w:t>
            </w:r>
          </w:p>
        </w:tc>
        <w:tc>
          <w:tcPr>
            <w:tcW w:w="966" w:type="pct"/>
            <w:tcBorders>
              <w:top w:val="single" w:sz="4" w:space="0" w:color="auto"/>
              <w:bottom w:val="single" w:sz="4" w:space="0" w:color="auto"/>
            </w:tcBorders>
            <w:vAlign w:val="bottom"/>
          </w:tcPr>
          <w:p w14:paraId="0C46A313" w14:textId="77777777" w:rsidR="006902CC" w:rsidRPr="00C971C6" w:rsidRDefault="006902CC" w:rsidP="006902CC">
            <w:pPr>
              <w:pStyle w:val="Tabletext"/>
              <w:rPr>
                <w:snapToGrid w:val="0"/>
              </w:rPr>
            </w:pPr>
            <w:r w:rsidRPr="00295986">
              <w:t>16</w:t>
            </w:r>
            <w:r w:rsidR="00D7157D">
              <w:t>.</w:t>
            </w:r>
            <w:r w:rsidRPr="00295986">
              <w:t>7083</w:t>
            </w:r>
          </w:p>
        </w:tc>
        <w:tc>
          <w:tcPr>
            <w:tcW w:w="966" w:type="pct"/>
            <w:tcBorders>
              <w:top w:val="single" w:sz="4" w:space="0" w:color="auto"/>
              <w:bottom w:val="single" w:sz="4" w:space="0" w:color="auto"/>
            </w:tcBorders>
            <w:vAlign w:val="bottom"/>
          </w:tcPr>
          <w:p w14:paraId="0CEAC3AE" w14:textId="77777777" w:rsidR="006902CC" w:rsidRPr="00C971C6" w:rsidRDefault="006902CC" w:rsidP="006902CC">
            <w:pPr>
              <w:pStyle w:val="Tabletext"/>
              <w:rPr>
                <w:snapToGrid w:val="0"/>
              </w:rPr>
            </w:pPr>
            <w:r w:rsidRPr="00295986">
              <w:t>0</w:t>
            </w:r>
            <w:r w:rsidR="00D7157D">
              <w:t>.</w:t>
            </w:r>
            <w:r w:rsidRPr="00295986">
              <w:t>1588</w:t>
            </w:r>
          </w:p>
        </w:tc>
        <w:tc>
          <w:tcPr>
            <w:tcW w:w="966" w:type="pct"/>
            <w:tcBorders>
              <w:top w:val="single" w:sz="4" w:space="0" w:color="auto"/>
              <w:bottom w:val="single" w:sz="4" w:space="0" w:color="auto"/>
            </w:tcBorders>
            <w:vAlign w:val="bottom"/>
          </w:tcPr>
          <w:p w14:paraId="2561B165" w14:textId="77777777" w:rsidR="006902CC" w:rsidRPr="00C971C6" w:rsidRDefault="006902CC" w:rsidP="006902CC">
            <w:pPr>
              <w:pStyle w:val="Tabletext"/>
              <w:rPr>
                <w:snapToGrid w:val="0"/>
              </w:rPr>
            </w:pPr>
            <w:r w:rsidRPr="00295986">
              <w:t>16</w:t>
            </w:r>
            <w:r w:rsidR="00D7157D">
              <w:t>.</w:t>
            </w:r>
            <w:r w:rsidRPr="00295986">
              <w:t>8175</w:t>
            </w:r>
          </w:p>
        </w:tc>
        <w:tc>
          <w:tcPr>
            <w:tcW w:w="966" w:type="pct"/>
            <w:tcBorders>
              <w:top w:val="single" w:sz="4" w:space="0" w:color="auto"/>
              <w:bottom w:val="single" w:sz="4" w:space="0" w:color="auto"/>
            </w:tcBorders>
            <w:vAlign w:val="bottom"/>
          </w:tcPr>
          <w:p w14:paraId="2FDF3899" w14:textId="77777777" w:rsidR="006902CC" w:rsidRPr="00C971C6" w:rsidRDefault="006902CC" w:rsidP="006902CC">
            <w:pPr>
              <w:pStyle w:val="Tabletext"/>
              <w:rPr>
                <w:snapToGrid w:val="0"/>
              </w:rPr>
            </w:pPr>
            <w:r w:rsidRPr="00295986">
              <w:t>0</w:t>
            </w:r>
            <w:r w:rsidR="00D7157D">
              <w:t>.</w:t>
            </w:r>
            <w:r w:rsidRPr="00295986">
              <w:t>0624</w:t>
            </w:r>
          </w:p>
        </w:tc>
      </w:tr>
      <w:tr w:rsidR="006902CC" w:rsidRPr="009E2595" w14:paraId="7DB42558" w14:textId="77777777" w:rsidTr="006902CC">
        <w:trPr>
          <w:cantSplit/>
        </w:trPr>
        <w:tc>
          <w:tcPr>
            <w:tcW w:w="1136" w:type="pct"/>
            <w:tcBorders>
              <w:top w:val="single" w:sz="4" w:space="0" w:color="auto"/>
              <w:bottom w:val="single" w:sz="4" w:space="0" w:color="auto"/>
            </w:tcBorders>
          </w:tcPr>
          <w:p w14:paraId="6FBD355D" w14:textId="77777777" w:rsidR="006902CC" w:rsidRPr="00616B26" w:rsidRDefault="006902CC" w:rsidP="006902CC">
            <w:pPr>
              <w:pStyle w:val="Tabletext"/>
              <w:rPr>
                <w:snapToGrid w:val="0"/>
              </w:rPr>
            </w:pPr>
            <w:r w:rsidRPr="00616B26">
              <w:rPr>
                <w:snapToGrid w:val="0"/>
              </w:rPr>
              <w:t>22</w:t>
            </w:r>
          </w:p>
        </w:tc>
        <w:tc>
          <w:tcPr>
            <w:tcW w:w="966" w:type="pct"/>
            <w:tcBorders>
              <w:top w:val="single" w:sz="4" w:space="0" w:color="auto"/>
              <w:bottom w:val="single" w:sz="4" w:space="0" w:color="auto"/>
            </w:tcBorders>
            <w:vAlign w:val="bottom"/>
          </w:tcPr>
          <w:p w14:paraId="48B51D6E" w14:textId="77777777" w:rsidR="006902CC" w:rsidRPr="00C971C6" w:rsidRDefault="006902CC" w:rsidP="006902CC">
            <w:pPr>
              <w:pStyle w:val="Tabletext"/>
              <w:rPr>
                <w:snapToGrid w:val="0"/>
              </w:rPr>
            </w:pPr>
            <w:r w:rsidRPr="00295986">
              <w:t>16</w:t>
            </w:r>
            <w:r w:rsidR="00D7157D">
              <w:t>.</w:t>
            </w:r>
            <w:r w:rsidRPr="00295986">
              <w:t>6831</w:t>
            </w:r>
          </w:p>
        </w:tc>
        <w:tc>
          <w:tcPr>
            <w:tcW w:w="966" w:type="pct"/>
            <w:tcBorders>
              <w:top w:val="single" w:sz="4" w:space="0" w:color="auto"/>
              <w:bottom w:val="single" w:sz="4" w:space="0" w:color="auto"/>
            </w:tcBorders>
            <w:vAlign w:val="bottom"/>
          </w:tcPr>
          <w:p w14:paraId="6736ED7C" w14:textId="77777777" w:rsidR="006902CC" w:rsidRPr="00C971C6" w:rsidRDefault="006902CC" w:rsidP="006902CC">
            <w:pPr>
              <w:pStyle w:val="Tabletext"/>
              <w:rPr>
                <w:snapToGrid w:val="0"/>
              </w:rPr>
            </w:pPr>
            <w:r w:rsidRPr="00295986">
              <w:t>0</w:t>
            </w:r>
            <w:r w:rsidR="00D7157D">
              <w:t>.</w:t>
            </w:r>
            <w:r w:rsidRPr="00295986">
              <w:t>1670</w:t>
            </w:r>
          </w:p>
        </w:tc>
        <w:tc>
          <w:tcPr>
            <w:tcW w:w="966" w:type="pct"/>
            <w:tcBorders>
              <w:top w:val="single" w:sz="4" w:space="0" w:color="auto"/>
              <w:bottom w:val="single" w:sz="4" w:space="0" w:color="auto"/>
            </w:tcBorders>
            <w:vAlign w:val="bottom"/>
          </w:tcPr>
          <w:p w14:paraId="414196CC" w14:textId="77777777" w:rsidR="006902CC" w:rsidRPr="00C971C6" w:rsidRDefault="006902CC" w:rsidP="006902CC">
            <w:pPr>
              <w:pStyle w:val="Tabletext"/>
              <w:rPr>
                <w:snapToGrid w:val="0"/>
              </w:rPr>
            </w:pPr>
            <w:r w:rsidRPr="00295986">
              <w:t>16</w:t>
            </w:r>
            <w:r w:rsidR="00D7157D">
              <w:t>.</w:t>
            </w:r>
            <w:r w:rsidRPr="00295986">
              <w:t>7966</w:t>
            </w:r>
          </w:p>
        </w:tc>
        <w:tc>
          <w:tcPr>
            <w:tcW w:w="966" w:type="pct"/>
            <w:tcBorders>
              <w:top w:val="single" w:sz="4" w:space="0" w:color="auto"/>
              <w:bottom w:val="single" w:sz="4" w:space="0" w:color="auto"/>
            </w:tcBorders>
            <w:vAlign w:val="bottom"/>
          </w:tcPr>
          <w:p w14:paraId="0C42E768" w14:textId="77777777" w:rsidR="006902CC" w:rsidRPr="00C971C6" w:rsidRDefault="006902CC" w:rsidP="006902CC">
            <w:pPr>
              <w:pStyle w:val="Tabletext"/>
              <w:rPr>
                <w:snapToGrid w:val="0"/>
              </w:rPr>
            </w:pPr>
            <w:r w:rsidRPr="00295986">
              <w:t>0</w:t>
            </w:r>
            <w:r w:rsidR="00D7157D">
              <w:t>.</w:t>
            </w:r>
            <w:r w:rsidRPr="00295986">
              <w:t>0661</w:t>
            </w:r>
          </w:p>
        </w:tc>
      </w:tr>
      <w:tr w:rsidR="006902CC" w:rsidRPr="009E2595" w14:paraId="331C37C2" w14:textId="77777777" w:rsidTr="006902CC">
        <w:trPr>
          <w:cantSplit/>
        </w:trPr>
        <w:tc>
          <w:tcPr>
            <w:tcW w:w="1136" w:type="pct"/>
            <w:tcBorders>
              <w:top w:val="single" w:sz="4" w:space="0" w:color="auto"/>
              <w:bottom w:val="single" w:sz="4" w:space="0" w:color="auto"/>
            </w:tcBorders>
          </w:tcPr>
          <w:p w14:paraId="03099363" w14:textId="77777777" w:rsidR="006902CC" w:rsidRPr="00616B26" w:rsidRDefault="006902CC" w:rsidP="006902CC">
            <w:pPr>
              <w:pStyle w:val="Tabletext"/>
              <w:rPr>
                <w:snapToGrid w:val="0"/>
              </w:rPr>
            </w:pPr>
            <w:r w:rsidRPr="00616B26">
              <w:rPr>
                <w:snapToGrid w:val="0"/>
              </w:rPr>
              <w:t>23</w:t>
            </w:r>
          </w:p>
        </w:tc>
        <w:tc>
          <w:tcPr>
            <w:tcW w:w="966" w:type="pct"/>
            <w:tcBorders>
              <w:top w:val="single" w:sz="4" w:space="0" w:color="auto"/>
              <w:bottom w:val="single" w:sz="4" w:space="0" w:color="auto"/>
            </w:tcBorders>
            <w:vAlign w:val="bottom"/>
          </w:tcPr>
          <w:p w14:paraId="2167FE87" w14:textId="77777777" w:rsidR="006902CC" w:rsidRPr="00C971C6" w:rsidRDefault="006902CC" w:rsidP="006902CC">
            <w:pPr>
              <w:pStyle w:val="Tabletext"/>
              <w:rPr>
                <w:snapToGrid w:val="0"/>
              </w:rPr>
            </w:pPr>
            <w:r w:rsidRPr="00295986">
              <w:t>16</w:t>
            </w:r>
            <w:r w:rsidR="00D7157D">
              <w:t>.</w:t>
            </w:r>
            <w:r w:rsidRPr="00295986">
              <w:t>6565</w:t>
            </w:r>
          </w:p>
        </w:tc>
        <w:tc>
          <w:tcPr>
            <w:tcW w:w="966" w:type="pct"/>
            <w:tcBorders>
              <w:top w:val="single" w:sz="4" w:space="0" w:color="auto"/>
              <w:bottom w:val="single" w:sz="4" w:space="0" w:color="auto"/>
            </w:tcBorders>
            <w:vAlign w:val="bottom"/>
          </w:tcPr>
          <w:p w14:paraId="2D9C586A" w14:textId="77777777" w:rsidR="006902CC" w:rsidRPr="00C971C6" w:rsidRDefault="006902CC" w:rsidP="006902CC">
            <w:pPr>
              <w:pStyle w:val="Tabletext"/>
              <w:rPr>
                <w:snapToGrid w:val="0"/>
              </w:rPr>
            </w:pPr>
            <w:r w:rsidRPr="00295986">
              <w:t>0</w:t>
            </w:r>
            <w:r w:rsidR="00D7157D">
              <w:t>.</w:t>
            </w:r>
            <w:r w:rsidRPr="00295986">
              <w:t>1756</w:t>
            </w:r>
          </w:p>
        </w:tc>
        <w:tc>
          <w:tcPr>
            <w:tcW w:w="966" w:type="pct"/>
            <w:tcBorders>
              <w:top w:val="single" w:sz="4" w:space="0" w:color="auto"/>
              <w:bottom w:val="single" w:sz="4" w:space="0" w:color="auto"/>
            </w:tcBorders>
            <w:vAlign w:val="bottom"/>
          </w:tcPr>
          <w:p w14:paraId="61F89D0B" w14:textId="77777777" w:rsidR="006902CC" w:rsidRPr="00C971C6" w:rsidRDefault="006902CC" w:rsidP="006902CC">
            <w:pPr>
              <w:pStyle w:val="Tabletext"/>
              <w:rPr>
                <w:snapToGrid w:val="0"/>
              </w:rPr>
            </w:pPr>
            <w:r w:rsidRPr="00295986">
              <w:t>16</w:t>
            </w:r>
            <w:r w:rsidR="00D7157D">
              <w:t>.</w:t>
            </w:r>
            <w:r w:rsidRPr="00295986">
              <w:t>7744</w:t>
            </w:r>
          </w:p>
        </w:tc>
        <w:tc>
          <w:tcPr>
            <w:tcW w:w="966" w:type="pct"/>
            <w:tcBorders>
              <w:top w:val="single" w:sz="4" w:space="0" w:color="auto"/>
              <w:bottom w:val="single" w:sz="4" w:space="0" w:color="auto"/>
            </w:tcBorders>
            <w:vAlign w:val="bottom"/>
          </w:tcPr>
          <w:p w14:paraId="19AD943A" w14:textId="77777777" w:rsidR="006902CC" w:rsidRPr="00C971C6" w:rsidRDefault="006902CC" w:rsidP="006902CC">
            <w:pPr>
              <w:pStyle w:val="Tabletext"/>
              <w:rPr>
                <w:snapToGrid w:val="0"/>
              </w:rPr>
            </w:pPr>
            <w:r w:rsidRPr="00295986">
              <w:t>0</w:t>
            </w:r>
            <w:r w:rsidR="00D7157D">
              <w:t>.</w:t>
            </w:r>
            <w:r w:rsidRPr="00295986">
              <w:t>0700</w:t>
            </w:r>
          </w:p>
        </w:tc>
      </w:tr>
      <w:tr w:rsidR="006902CC" w:rsidRPr="009E2595" w14:paraId="44BADD03" w14:textId="77777777" w:rsidTr="006902CC">
        <w:trPr>
          <w:cantSplit/>
        </w:trPr>
        <w:tc>
          <w:tcPr>
            <w:tcW w:w="1136" w:type="pct"/>
            <w:tcBorders>
              <w:top w:val="single" w:sz="4" w:space="0" w:color="auto"/>
              <w:bottom w:val="single" w:sz="4" w:space="0" w:color="auto"/>
            </w:tcBorders>
          </w:tcPr>
          <w:p w14:paraId="5C93DA47" w14:textId="77777777" w:rsidR="006902CC" w:rsidRPr="00616B26" w:rsidRDefault="006902CC" w:rsidP="006902CC">
            <w:pPr>
              <w:pStyle w:val="Tabletext"/>
              <w:rPr>
                <w:snapToGrid w:val="0"/>
              </w:rPr>
            </w:pPr>
            <w:r w:rsidRPr="00616B26">
              <w:rPr>
                <w:snapToGrid w:val="0"/>
              </w:rPr>
              <w:t>24</w:t>
            </w:r>
          </w:p>
        </w:tc>
        <w:tc>
          <w:tcPr>
            <w:tcW w:w="966" w:type="pct"/>
            <w:tcBorders>
              <w:top w:val="single" w:sz="4" w:space="0" w:color="auto"/>
              <w:bottom w:val="single" w:sz="4" w:space="0" w:color="auto"/>
            </w:tcBorders>
            <w:vAlign w:val="bottom"/>
          </w:tcPr>
          <w:p w14:paraId="2F29B69A" w14:textId="77777777" w:rsidR="006902CC" w:rsidRPr="00C971C6" w:rsidRDefault="006902CC" w:rsidP="006902CC">
            <w:pPr>
              <w:pStyle w:val="Tabletext"/>
              <w:rPr>
                <w:snapToGrid w:val="0"/>
              </w:rPr>
            </w:pPr>
            <w:r w:rsidRPr="00295986">
              <w:t>16</w:t>
            </w:r>
            <w:r w:rsidR="00D7157D">
              <w:t>.</w:t>
            </w:r>
            <w:r w:rsidRPr="00295986">
              <w:t>6283</w:t>
            </w:r>
          </w:p>
        </w:tc>
        <w:tc>
          <w:tcPr>
            <w:tcW w:w="966" w:type="pct"/>
            <w:tcBorders>
              <w:top w:val="single" w:sz="4" w:space="0" w:color="auto"/>
              <w:bottom w:val="single" w:sz="4" w:space="0" w:color="auto"/>
            </w:tcBorders>
            <w:vAlign w:val="bottom"/>
          </w:tcPr>
          <w:p w14:paraId="6E4EFF7E" w14:textId="77777777" w:rsidR="006902CC" w:rsidRPr="00C971C6" w:rsidRDefault="006902CC" w:rsidP="006902CC">
            <w:pPr>
              <w:pStyle w:val="Tabletext"/>
              <w:rPr>
                <w:snapToGrid w:val="0"/>
              </w:rPr>
            </w:pPr>
            <w:r w:rsidRPr="00295986">
              <w:t>0</w:t>
            </w:r>
            <w:r w:rsidR="00D7157D">
              <w:t>.</w:t>
            </w:r>
            <w:r w:rsidRPr="00295986">
              <w:t>1846</w:t>
            </w:r>
          </w:p>
        </w:tc>
        <w:tc>
          <w:tcPr>
            <w:tcW w:w="966" w:type="pct"/>
            <w:tcBorders>
              <w:top w:val="single" w:sz="4" w:space="0" w:color="auto"/>
              <w:bottom w:val="single" w:sz="4" w:space="0" w:color="auto"/>
            </w:tcBorders>
            <w:vAlign w:val="bottom"/>
          </w:tcPr>
          <w:p w14:paraId="67AC84E6" w14:textId="77777777" w:rsidR="006902CC" w:rsidRPr="00C971C6" w:rsidRDefault="006902CC" w:rsidP="006902CC">
            <w:pPr>
              <w:pStyle w:val="Tabletext"/>
              <w:rPr>
                <w:snapToGrid w:val="0"/>
              </w:rPr>
            </w:pPr>
            <w:r w:rsidRPr="00295986">
              <w:t>16</w:t>
            </w:r>
            <w:r w:rsidR="00D7157D">
              <w:t>.</w:t>
            </w:r>
            <w:r w:rsidRPr="00295986">
              <w:t>7507</w:t>
            </w:r>
          </w:p>
        </w:tc>
        <w:tc>
          <w:tcPr>
            <w:tcW w:w="966" w:type="pct"/>
            <w:tcBorders>
              <w:top w:val="single" w:sz="4" w:space="0" w:color="auto"/>
              <w:bottom w:val="single" w:sz="4" w:space="0" w:color="auto"/>
            </w:tcBorders>
            <w:vAlign w:val="bottom"/>
          </w:tcPr>
          <w:p w14:paraId="60735CC5" w14:textId="77777777" w:rsidR="006902CC" w:rsidRPr="00C971C6" w:rsidRDefault="006902CC" w:rsidP="006902CC">
            <w:pPr>
              <w:pStyle w:val="Tabletext"/>
              <w:rPr>
                <w:snapToGrid w:val="0"/>
              </w:rPr>
            </w:pPr>
            <w:r w:rsidRPr="00295986">
              <w:t>0</w:t>
            </w:r>
            <w:r w:rsidR="00D7157D">
              <w:t>.</w:t>
            </w:r>
            <w:r w:rsidRPr="00295986">
              <w:t>0742</w:t>
            </w:r>
          </w:p>
        </w:tc>
      </w:tr>
      <w:tr w:rsidR="006902CC" w:rsidRPr="009E2595" w14:paraId="3069C9B3" w14:textId="77777777" w:rsidTr="006902CC">
        <w:trPr>
          <w:cantSplit/>
        </w:trPr>
        <w:tc>
          <w:tcPr>
            <w:tcW w:w="1136" w:type="pct"/>
            <w:tcBorders>
              <w:top w:val="single" w:sz="4" w:space="0" w:color="auto"/>
              <w:bottom w:val="single" w:sz="4" w:space="0" w:color="auto"/>
            </w:tcBorders>
          </w:tcPr>
          <w:p w14:paraId="4FBDA810" w14:textId="77777777" w:rsidR="006902CC" w:rsidRPr="00616B26" w:rsidRDefault="006902CC" w:rsidP="006902CC">
            <w:pPr>
              <w:pStyle w:val="Tabletext"/>
              <w:rPr>
                <w:snapToGrid w:val="0"/>
              </w:rPr>
            </w:pPr>
            <w:r w:rsidRPr="00616B26">
              <w:rPr>
                <w:snapToGrid w:val="0"/>
              </w:rPr>
              <w:t>25</w:t>
            </w:r>
          </w:p>
        </w:tc>
        <w:tc>
          <w:tcPr>
            <w:tcW w:w="966" w:type="pct"/>
            <w:tcBorders>
              <w:top w:val="single" w:sz="4" w:space="0" w:color="auto"/>
              <w:bottom w:val="single" w:sz="4" w:space="0" w:color="auto"/>
            </w:tcBorders>
            <w:vAlign w:val="bottom"/>
          </w:tcPr>
          <w:p w14:paraId="39E53DD6" w14:textId="77777777" w:rsidR="006902CC" w:rsidRPr="00C971C6" w:rsidRDefault="006902CC" w:rsidP="006902CC">
            <w:pPr>
              <w:pStyle w:val="Tabletext"/>
              <w:rPr>
                <w:snapToGrid w:val="0"/>
              </w:rPr>
            </w:pPr>
            <w:r w:rsidRPr="00295986">
              <w:t>16</w:t>
            </w:r>
            <w:r w:rsidR="00D7157D">
              <w:t>.</w:t>
            </w:r>
            <w:r w:rsidRPr="00295986">
              <w:t>5984</w:t>
            </w:r>
          </w:p>
        </w:tc>
        <w:tc>
          <w:tcPr>
            <w:tcW w:w="966" w:type="pct"/>
            <w:tcBorders>
              <w:top w:val="single" w:sz="4" w:space="0" w:color="auto"/>
              <w:bottom w:val="single" w:sz="4" w:space="0" w:color="auto"/>
            </w:tcBorders>
            <w:vAlign w:val="bottom"/>
          </w:tcPr>
          <w:p w14:paraId="2A821448" w14:textId="77777777" w:rsidR="006902CC" w:rsidRPr="00C971C6" w:rsidRDefault="006902CC" w:rsidP="006902CC">
            <w:pPr>
              <w:pStyle w:val="Tabletext"/>
              <w:rPr>
                <w:snapToGrid w:val="0"/>
              </w:rPr>
            </w:pPr>
            <w:r w:rsidRPr="00295986">
              <w:t>0</w:t>
            </w:r>
            <w:r w:rsidR="00D7157D">
              <w:t>.</w:t>
            </w:r>
            <w:r w:rsidRPr="00295986">
              <w:t>1942</w:t>
            </w:r>
          </w:p>
        </w:tc>
        <w:tc>
          <w:tcPr>
            <w:tcW w:w="966" w:type="pct"/>
            <w:tcBorders>
              <w:top w:val="single" w:sz="4" w:space="0" w:color="auto"/>
              <w:bottom w:val="single" w:sz="4" w:space="0" w:color="auto"/>
            </w:tcBorders>
            <w:vAlign w:val="bottom"/>
          </w:tcPr>
          <w:p w14:paraId="5B50EA51" w14:textId="77777777" w:rsidR="006902CC" w:rsidRPr="00C971C6" w:rsidRDefault="006902CC" w:rsidP="006902CC">
            <w:pPr>
              <w:pStyle w:val="Tabletext"/>
              <w:rPr>
                <w:snapToGrid w:val="0"/>
              </w:rPr>
            </w:pPr>
            <w:r w:rsidRPr="00295986">
              <w:t>16</w:t>
            </w:r>
            <w:r w:rsidR="00D7157D">
              <w:t>.</w:t>
            </w:r>
            <w:r w:rsidRPr="00295986">
              <w:t>7257</w:t>
            </w:r>
          </w:p>
        </w:tc>
        <w:tc>
          <w:tcPr>
            <w:tcW w:w="966" w:type="pct"/>
            <w:tcBorders>
              <w:top w:val="single" w:sz="4" w:space="0" w:color="auto"/>
              <w:bottom w:val="single" w:sz="4" w:space="0" w:color="auto"/>
            </w:tcBorders>
            <w:vAlign w:val="bottom"/>
          </w:tcPr>
          <w:p w14:paraId="4A3A0F4D" w14:textId="77777777" w:rsidR="006902CC" w:rsidRPr="00C971C6" w:rsidRDefault="006902CC" w:rsidP="006902CC">
            <w:pPr>
              <w:pStyle w:val="Tabletext"/>
              <w:rPr>
                <w:snapToGrid w:val="0"/>
              </w:rPr>
            </w:pPr>
            <w:r w:rsidRPr="00295986">
              <w:t>0</w:t>
            </w:r>
            <w:r w:rsidR="00D7157D">
              <w:t>.</w:t>
            </w:r>
            <w:r w:rsidRPr="00295986">
              <w:t>0785</w:t>
            </w:r>
          </w:p>
        </w:tc>
      </w:tr>
      <w:tr w:rsidR="006902CC" w:rsidRPr="009E2595" w14:paraId="09D9116C" w14:textId="77777777" w:rsidTr="006902CC">
        <w:trPr>
          <w:cantSplit/>
        </w:trPr>
        <w:tc>
          <w:tcPr>
            <w:tcW w:w="1136" w:type="pct"/>
            <w:tcBorders>
              <w:top w:val="single" w:sz="4" w:space="0" w:color="auto"/>
              <w:bottom w:val="single" w:sz="4" w:space="0" w:color="auto"/>
            </w:tcBorders>
          </w:tcPr>
          <w:p w14:paraId="656BB1DD" w14:textId="77777777" w:rsidR="006902CC" w:rsidRPr="00616B26" w:rsidRDefault="006902CC" w:rsidP="006902CC">
            <w:pPr>
              <w:pStyle w:val="Tabletext"/>
              <w:rPr>
                <w:snapToGrid w:val="0"/>
              </w:rPr>
            </w:pPr>
            <w:r w:rsidRPr="00616B26">
              <w:rPr>
                <w:snapToGrid w:val="0"/>
              </w:rPr>
              <w:t>26</w:t>
            </w:r>
          </w:p>
        </w:tc>
        <w:tc>
          <w:tcPr>
            <w:tcW w:w="966" w:type="pct"/>
            <w:tcBorders>
              <w:top w:val="single" w:sz="4" w:space="0" w:color="auto"/>
              <w:bottom w:val="single" w:sz="4" w:space="0" w:color="auto"/>
            </w:tcBorders>
            <w:vAlign w:val="bottom"/>
          </w:tcPr>
          <w:p w14:paraId="6F936351" w14:textId="77777777" w:rsidR="006902CC" w:rsidRPr="00C971C6" w:rsidRDefault="006902CC" w:rsidP="006902CC">
            <w:pPr>
              <w:pStyle w:val="Tabletext"/>
              <w:rPr>
                <w:snapToGrid w:val="0"/>
              </w:rPr>
            </w:pPr>
            <w:r w:rsidRPr="00295986">
              <w:t>16</w:t>
            </w:r>
            <w:r w:rsidR="00D7157D">
              <w:t>.</w:t>
            </w:r>
            <w:r w:rsidRPr="00295986">
              <w:t>5667</w:t>
            </w:r>
          </w:p>
        </w:tc>
        <w:tc>
          <w:tcPr>
            <w:tcW w:w="966" w:type="pct"/>
            <w:tcBorders>
              <w:top w:val="single" w:sz="4" w:space="0" w:color="auto"/>
              <w:bottom w:val="single" w:sz="4" w:space="0" w:color="auto"/>
            </w:tcBorders>
            <w:vAlign w:val="bottom"/>
          </w:tcPr>
          <w:p w14:paraId="04561A2F" w14:textId="77777777" w:rsidR="006902CC" w:rsidRPr="00C971C6" w:rsidRDefault="006902CC" w:rsidP="006902CC">
            <w:pPr>
              <w:pStyle w:val="Tabletext"/>
              <w:rPr>
                <w:snapToGrid w:val="0"/>
              </w:rPr>
            </w:pPr>
            <w:r w:rsidRPr="00295986">
              <w:t>0</w:t>
            </w:r>
            <w:r w:rsidR="00D7157D">
              <w:t>.</w:t>
            </w:r>
            <w:r w:rsidRPr="00295986">
              <w:t>2044</w:t>
            </w:r>
          </w:p>
        </w:tc>
        <w:tc>
          <w:tcPr>
            <w:tcW w:w="966" w:type="pct"/>
            <w:tcBorders>
              <w:top w:val="single" w:sz="4" w:space="0" w:color="auto"/>
              <w:bottom w:val="single" w:sz="4" w:space="0" w:color="auto"/>
            </w:tcBorders>
            <w:vAlign w:val="bottom"/>
          </w:tcPr>
          <w:p w14:paraId="76372502" w14:textId="77777777" w:rsidR="006902CC" w:rsidRPr="00C971C6" w:rsidRDefault="006902CC" w:rsidP="006902CC">
            <w:pPr>
              <w:pStyle w:val="Tabletext"/>
              <w:rPr>
                <w:snapToGrid w:val="0"/>
              </w:rPr>
            </w:pPr>
            <w:r w:rsidRPr="00295986">
              <w:t>16</w:t>
            </w:r>
            <w:r w:rsidR="00D7157D">
              <w:t>.</w:t>
            </w:r>
            <w:r w:rsidRPr="00295986">
              <w:t>6990</w:t>
            </w:r>
          </w:p>
        </w:tc>
        <w:tc>
          <w:tcPr>
            <w:tcW w:w="966" w:type="pct"/>
            <w:tcBorders>
              <w:top w:val="single" w:sz="4" w:space="0" w:color="auto"/>
              <w:bottom w:val="single" w:sz="4" w:space="0" w:color="auto"/>
            </w:tcBorders>
            <w:vAlign w:val="bottom"/>
          </w:tcPr>
          <w:p w14:paraId="3C93B6D0" w14:textId="77777777" w:rsidR="006902CC" w:rsidRPr="00C971C6" w:rsidRDefault="006902CC" w:rsidP="006902CC">
            <w:pPr>
              <w:pStyle w:val="Tabletext"/>
              <w:rPr>
                <w:snapToGrid w:val="0"/>
              </w:rPr>
            </w:pPr>
            <w:r w:rsidRPr="00295986">
              <w:t>0</w:t>
            </w:r>
            <w:r w:rsidR="00D7157D">
              <w:t>.</w:t>
            </w:r>
            <w:r w:rsidRPr="00295986">
              <w:t>0832</w:t>
            </w:r>
          </w:p>
        </w:tc>
      </w:tr>
      <w:tr w:rsidR="006902CC" w:rsidRPr="009E2595" w14:paraId="23DA083D" w14:textId="77777777" w:rsidTr="006902CC">
        <w:trPr>
          <w:cantSplit/>
        </w:trPr>
        <w:tc>
          <w:tcPr>
            <w:tcW w:w="1136" w:type="pct"/>
            <w:tcBorders>
              <w:top w:val="single" w:sz="4" w:space="0" w:color="auto"/>
              <w:bottom w:val="single" w:sz="4" w:space="0" w:color="auto"/>
            </w:tcBorders>
          </w:tcPr>
          <w:p w14:paraId="677E1720" w14:textId="77777777" w:rsidR="006902CC" w:rsidRPr="00616B26" w:rsidRDefault="006902CC" w:rsidP="006902CC">
            <w:pPr>
              <w:pStyle w:val="Tabletext"/>
              <w:rPr>
                <w:snapToGrid w:val="0"/>
              </w:rPr>
            </w:pPr>
            <w:r w:rsidRPr="00616B26">
              <w:rPr>
                <w:snapToGrid w:val="0"/>
              </w:rPr>
              <w:t>27</w:t>
            </w:r>
          </w:p>
        </w:tc>
        <w:tc>
          <w:tcPr>
            <w:tcW w:w="966" w:type="pct"/>
            <w:tcBorders>
              <w:top w:val="single" w:sz="4" w:space="0" w:color="auto"/>
              <w:bottom w:val="single" w:sz="4" w:space="0" w:color="auto"/>
            </w:tcBorders>
            <w:vAlign w:val="bottom"/>
          </w:tcPr>
          <w:p w14:paraId="6B4A1DFC" w14:textId="77777777" w:rsidR="006902CC" w:rsidRPr="00C971C6" w:rsidRDefault="006902CC" w:rsidP="006902CC">
            <w:pPr>
              <w:pStyle w:val="Tabletext"/>
              <w:rPr>
                <w:snapToGrid w:val="0"/>
              </w:rPr>
            </w:pPr>
            <w:r w:rsidRPr="00295986">
              <w:t>16</w:t>
            </w:r>
            <w:r w:rsidR="00D7157D">
              <w:t>.</w:t>
            </w:r>
            <w:r w:rsidRPr="00295986">
              <w:t>5332</w:t>
            </w:r>
          </w:p>
        </w:tc>
        <w:tc>
          <w:tcPr>
            <w:tcW w:w="966" w:type="pct"/>
            <w:tcBorders>
              <w:top w:val="single" w:sz="4" w:space="0" w:color="auto"/>
              <w:bottom w:val="single" w:sz="4" w:space="0" w:color="auto"/>
            </w:tcBorders>
            <w:vAlign w:val="bottom"/>
          </w:tcPr>
          <w:p w14:paraId="156D33F3" w14:textId="77777777" w:rsidR="006902CC" w:rsidRPr="00C971C6" w:rsidRDefault="006902CC" w:rsidP="006902CC">
            <w:pPr>
              <w:pStyle w:val="Tabletext"/>
              <w:rPr>
                <w:snapToGrid w:val="0"/>
              </w:rPr>
            </w:pPr>
            <w:r w:rsidRPr="00295986">
              <w:t>0</w:t>
            </w:r>
            <w:r w:rsidR="00D7157D">
              <w:t>.</w:t>
            </w:r>
            <w:r w:rsidRPr="00295986">
              <w:t>2150</w:t>
            </w:r>
          </w:p>
        </w:tc>
        <w:tc>
          <w:tcPr>
            <w:tcW w:w="966" w:type="pct"/>
            <w:tcBorders>
              <w:top w:val="single" w:sz="4" w:space="0" w:color="auto"/>
              <w:bottom w:val="single" w:sz="4" w:space="0" w:color="auto"/>
            </w:tcBorders>
            <w:vAlign w:val="bottom"/>
          </w:tcPr>
          <w:p w14:paraId="196EBE3B" w14:textId="77777777" w:rsidR="006902CC" w:rsidRPr="00C971C6" w:rsidRDefault="006902CC" w:rsidP="006902CC">
            <w:pPr>
              <w:pStyle w:val="Tabletext"/>
              <w:rPr>
                <w:snapToGrid w:val="0"/>
              </w:rPr>
            </w:pPr>
            <w:r w:rsidRPr="00295986">
              <w:t>16</w:t>
            </w:r>
            <w:r w:rsidR="00D7157D">
              <w:t>.</w:t>
            </w:r>
            <w:r w:rsidRPr="00295986">
              <w:t>6706</w:t>
            </w:r>
          </w:p>
        </w:tc>
        <w:tc>
          <w:tcPr>
            <w:tcW w:w="966" w:type="pct"/>
            <w:tcBorders>
              <w:top w:val="single" w:sz="4" w:space="0" w:color="auto"/>
              <w:bottom w:val="single" w:sz="4" w:space="0" w:color="auto"/>
            </w:tcBorders>
            <w:vAlign w:val="bottom"/>
          </w:tcPr>
          <w:p w14:paraId="4884A5D0" w14:textId="77777777" w:rsidR="006902CC" w:rsidRPr="00C971C6" w:rsidRDefault="006902CC" w:rsidP="006902CC">
            <w:pPr>
              <w:pStyle w:val="Tabletext"/>
              <w:rPr>
                <w:snapToGrid w:val="0"/>
              </w:rPr>
            </w:pPr>
            <w:r w:rsidRPr="00295986">
              <w:t>0</w:t>
            </w:r>
            <w:r w:rsidR="00D7157D">
              <w:t>.</w:t>
            </w:r>
            <w:r w:rsidRPr="00295986">
              <w:t>0882</w:t>
            </w:r>
          </w:p>
        </w:tc>
      </w:tr>
      <w:tr w:rsidR="006902CC" w:rsidRPr="009E2595" w14:paraId="4C69BD44" w14:textId="77777777" w:rsidTr="006902CC">
        <w:trPr>
          <w:cantSplit/>
        </w:trPr>
        <w:tc>
          <w:tcPr>
            <w:tcW w:w="1136" w:type="pct"/>
            <w:tcBorders>
              <w:top w:val="single" w:sz="4" w:space="0" w:color="auto"/>
              <w:bottom w:val="single" w:sz="4" w:space="0" w:color="auto"/>
            </w:tcBorders>
          </w:tcPr>
          <w:p w14:paraId="7E7AC04F" w14:textId="77777777" w:rsidR="006902CC" w:rsidRPr="00616B26" w:rsidRDefault="006902CC" w:rsidP="006902CC">
            <w:pPr>
              <w:pStyle w:val="Tabletext"/>
              <w:rPr>
                <w:snapToGrid w:val="0"/>
              </w:rPr>
            </w:pPr>
            <w:r w:rsidRPr="00616B26">
              <w:rPr>
                <w:snapToGrid w:val="0"/>
              </w:rPr>
              <w:t>28</w:t>
            </w:r>
          </w:p>
        </w:tc>
        <w:tc>
          <w:tcPr>
            <w:tcW w:w="966" w:type="pct"/>
            <w:tcBorders>
              <w:top w:val="single" w:sz="4" w:space="0" w:color="auto"/>
              <w:bottom w:val="single" w:sz="4" w:space="0" w:color="auto"/>
            </w:tcBorders>
            <w:vAlign w:val="bottom"/>
          </w:tcPr>
          <w:p w14:paraId="463080B9" w14:textId="77777777" w:rsidR="006902CC" w:rsidRPr="00C971C6" w:rsidRDefault="006902CC" w:rsidP="006902CC">
            <w:pPr>
              <w:pStyle w:val="Tabletext"/>
              <w:rPr>
                <w:snapToGrid w:val="0"/>
              </w:rPr>
            </w:pPr>
            <w:r w:rsidRPr="00295986">
              <w:t>16</w:t>
            </w:r>
            <w:r w:rsidR="00D7157D">
              <w:t>.</w:t>
            </w:r>
            <w:r w:rsidRPr="00295986">
              <w:t>4976</w:t>
            </w:r>
          </w:p>
        </w:tc>
        <w:tc>
          <w:tcPr>
            <w:tcW w:w="966" w:type="pct"/>
            <w:tcBorders>
              <w:top w:val="single" w:sz="4" w:space="0" w:color="auto"/>
              <w:bottom w:val="single" w:sz="4" w:space="0" w:color="auto"/>
            </w:tcBorders>
            <w:vAlign w:val="bottom"/>
          </w:tcPr>
          <w:p w14:paraId="4DC713F2" w14:textId="77777777" w:rsidR="006902CC" w:rsidRPr="00C971C6" w:rsidRDefault="006902CC" w:rsidP="006902CC">
            <w:pPr>
              <w:pStyle w:val="Tabletext"/>
              <w:rPr>
                <w:snapToGrid w:val="0"/>
              </w:rPr>
            </w:pPr>
            <w:r w:rsidRPr="00295986">
              <w:t>0</w:t>
            </w:r>
            <w:r w:rsidR="00D7157D">
              <w:t>.</w:t>
            </w:r>
            <w:r w:rsidRPr="00295986">
              <w:t>2264</w:t>
            </w:r>
          </w:p>
        </w:tc>
        <w:tc>
          <w:tcPr>
            <w:tcW w:w="966" w:type="pct"/>
            <w:tcBorders>
              <w:top w:val="single" w:sz="4" w:space="0" w:color="auto"/>
              <w:bottom w:val="single" w:sz="4" w:space="0" w:color="auto"/>
            </w:tcBorders>
            <w:vAlign w:val="bottom"/>
          </w:tcPr>
          <w:p w14:paraId="6955037A" w14:textId="77777777" w:rsidR="006902CC" w:rsidRPr="00C971C6" w:rsidRDefault="006902CC" w:rsidP="006902CC">
            <w:pPr>
              <w:pStyle w:val="Tabletext"/>
              <w:rPr>
                <w:snapToGrid w:val="0"/>
              </w:rPr>
            </w:pPr>
            <w:r w:rsidRPr="00295986">
              <w:t>16</w:t>
            </w:r>
            <w:r w:rsidR="00D7157D">
              <w:t>.</w:t>
            </w:r>
            <w:r w:rsidRPr="00295986">
              <w:t>6405</w:t>
            </w:r>
          </w:p>
        </w:tc>
        <w:tc>
          <w:tcPr>
            <w:tcW w:w="966" w:type="pct"/>
            <w:tcBorders>
              <w:top w:val="single" w:sz="4" w:space="0" w:color="auto"/>
              <w:bottom w:val="single" w:sz="4" w:space="0" w:color="auto"/>
            </w:tcBorders>
            <w:vAlign w:val="bottom"/>
          </w:tcPr>
          <w:p w14:paraId="7D7353FB" w14:textId="77777777" w:rsidR="006902CC" w:rsidRPr="00C971C6" w:rsidRDefault="006902CC" w:rsidP="006902CC">
            <w:pPr>
              <w:pStyle w:val="Tabletext"/>
              <w:rPr>
                <w:snapToGrid w:val="0"/>
              </w:rPr>
            </w:pPr>
            <w:r w:rsidRPr="00295986">
              <w:t>0</w:t>
            </w:r>
            <w:r w:rsidR="00D7157D">
              <w:t>.</w:t>
            </w:r>
            <w:r w:rsidRPr="00295986">
              <w:t>0935</w:t>
            </w:r>
          </w:p>
        </w:tc>
      </w:tr>
      <w:tr w:rsidR="006902CC" w:rsidRPr="009E2595" w14:paraId="3EB9C122" w14:textId="77777777" w:rsidTr="006902CC">
        <w:trPr>
          <w:cantSplit/>
        </w:trPr>
        <w:tc>
          <w:tcPr>
            <w:tcW w:w="1136" w:type="pct"/>
            <w:tcBorders>
              <w:top w:val="single" w:sz="4" w:space="0" w:color="auto"/>
              <w:bottom w:val="single" w:sz="4" w:space="0" w:color="auto"/>
            </w:tcBorders>
          </w:tcPr>
          <w:p w14:paraId="0F8EC7ED" w14:textId="77777777" w:rsidR="006902CC" w:rsidRPr="00616B26" w:rsidRDefault="006902CC" w:rsidP="006902CC">
            <w:pPr>
              <w:pStyle w:val="Tabletext"/>
              <w:rPr>
                <w:snapToGrid w:val="0"/>
              </w:rPr>
            </w:pPr>
            <w:r w:rsidRPr="00616B26">
              <w:rPr>
                <w:snapToGrid w:val="0"/>
              </w:rPr>
              <w:t>29</w:t>
            </w:r>
          </w:p>
        </w:tc>
        <w:tc>
          <w:tcPr>
            <w:tcW w:w="966" w:type="pct"/>
            <w:tcBorders>
              <w:top w:val="single" w:sz="4" w:space="0" w:color="auto"/>
              <w:bottom w:val="single" w:sz="4" w:space="0" w:color="auto"/>
            </w:tcBorders>
            <w:vAlign w:val="bottom"/>
          </w:tcPr>
          <w:p w14:paraId="739889FD" w14:textId="77777777" w:rsidR="006902CC" w:rsidRPr="00C971C6" w:rsidRDefault="006902CC" w:rsidP="006902CC">
            <w:pPr>
              <w:pStyle w:val="Tabletext"/>
              <w:rPr>
                <w:snapToGrid w:val="0"/>
              </w:rPr>
            </w:pPr>
            <w:r w:rsidRPr="00295986">
              <w:t>16</w:t>
            </w:r>
            <w:r w:rsidR="00D7157D">
              <w:t>.</w:t>
            </w:r>
            <w:r w:rsidRPr="00295986">
              <w:t>4601</w:t>
            </w:r>
          </w:p>
        </w:tc>
        <w:tc>
          <w:tcPr>
            <w:tcW w:w="966" w:type="pct"/>
            <w:tcBorders>
              <w:top w:val="single" w:sz="4" w:space="0" w:color="auto"/>
              <w:bottom w:val="single" w:sz="4" w:space="0" w:color="auto"/>
            </w:tcBorders>
            <w:vAlign w:val="bottom"/>
          </w:tcPr>
          <w:p w14:paraId="3DF2A645" w14:textId="77777777" w:rsidR="006902CC" w:rsidRPr="00C971C6" w:rsidRDefault="006902CC" w:rsidP="006902CC">
            <w:pPr>
              <w:pStyle w:val="Tabletext"/>
              <w:rPr>
                <w:snapToGrid w:val="0"/>
              </w:rPr>
            </w:pPr>
            <w:r w:rsidRPr="00295986">
              <w:t>0</w:t>
            </w:r>
            <w:r w:rsidR="00D7157D">
              <w:t>.</w:t>
            </w:r>
            <w:r w:rsidRPr="00295986">
              <w:t>2383</w:t>
            </w:r>
          </w:p>
        </w:tc>
        <w:tc>
          <w:tcPr>
            <w:tcW w:w="966" w:type="pct"/>
            <w:tcBorders>
              <w:top w:val="single" w:sz="4" w:space="0" w:color="auto"/>
              <w:bottom w:val="single" w:sz="4" w:space="0" w:color="auto"/>
            </w:tcBorders>
            <w:vAlign w:val="bottom"/>
          </w:tcPr>
          <w:p w14:paraId="20E18C8B" w14:textId="77777777" w:rsidR="006902CC" w:rsidRPr="00C971C6" w:rsidRDefault="006902CC" w:rsidP="006902CC">
            <w:pPr>
              <w:pStyle w:val="Tabletext"/>
              <w:rPr>
                <w:snapToGrid w:val="0"/>
              </w:rPr>
            </w:pPr>
            <w:r w:rsidRPr="00295986">
              <w:t>16</w:t>
            </w:r>
            <w:r w:rsidR="00D7157D">
              <w:t>.</w:t>
            </w:r>
            <w:r w:rsidRPr="00295986">
              <w:t>6086</w:t>
            </w:r>
          </w:p>
        </w:tc>
        <w:tc>
          <w:tcPr>
            <w:tcW w:w="966" w:type="pct"/>
            <w:tcBorders>
              <w:top w:val="single" w:sz="4" w:space="0" w:color="auto"/>
              <w:bottom w:val="single" w:sz="4" w:space="0" w:color="auto"/>
            </w:tcBorders>
            <w:vAlign w:val="bottom"/>
          </w:tcPr>
          <w:p w14:paraId="07D9846B" w14:textId="77777777" w:rsidR="006902CC" w:rsidRPr="00C971C6" w:rsidRDefault="006902CC" w:rsidP="006902CC">
            <w:pPr>
              <w:pStyle w:val="Tabletext"/>
              <w:rPr>
                <w:snapToGrid w:val="0"/>
              </w:rPr>
            </w:pPr>
            <w:r w:rsidRPr="00295986">
              <w:t>0</w:t>
            </w:r>
            <w:r w:rsidR="00D7157D">
              <w:t>.</w:t>
            </w:r>
            <w:r w:rsidRPr="00295986">
              <w:t>0990</w:t>
            </w:r>
          </w:p>
        </w:tc>
      </w:tr>
      <w:tr w:rsidR="006902CC" w:rsidRPr="009E2595" w14:paraId="59356DA1" w14:textId="77777777" w:rsidTr="006902CC">
        <w:trPr>
          <w:cantSplit/>
        </w:trPr>
        <w:tc>
          <w:tcPr>
            <w:tcW w:w="1136" w:type="pct"/>
            <w:tcBorders>
              <w:top w:val="single" w:sz="4" w:space="0" w:color="auto"/>
              <w:bottom w:val="single" w:sz="4" w:space="0" w:color="auto"/>
            </w:tcBorders>
          </w:tcPr>
          <w:p w14:paraId="7732FB08" w14:textId="77777777" w:rsidR="006902CC" w:rsidRPr="00616B26" w:rsidRDefault="006902CC" w:rsidP="006902CC">
            <w:pPr>
              <w:pStyle w:val="Tabletext"/>
              <w:rPr>
                <w:snapToGrid w:val="0"/>
              </w:rPr>
            </w:pPr>
            <w:r w:rsidRPr="00616B26">
              <w:rPr>
                <w:snapToGrid w:val="0"/>
              </w:rPr>
              <w:t>30</w:t>
            </w:r>
          </w:p>
        </w:tc>
        <w:tc>
          <w:tcPr>
            <w:tcW w:w="966" w:type="pct"/>
            <w:tcBorders>
              <w:top w:val="single" w:sz="4" w:space="0" w:color="auto"/>
              <w:bottom w:val="single" w:sz="4" w:space="0" w:color="auto"/>
            </w:tcBorders>
            <w:vAlign w:val="bottom"/>
          </w:tcPr>
          <w:p w14:paraId="79D55F42" w14:textId="77777777" w:rsidR="006902CC" w:rsidRPr="00C971C6" w:rsidRDefault="006902CC" w:rsidP="006902CC">
            <w:pPr>
              <w:pStyle w:val="Tabletext"/>
              <w:rPr>
                <w:snapToGrid w:val="0"/>
              </w:rPr>
            </w:pPr>
            <w:r w:rsidRPr="00295986">
              <w:t>16</w:t>
            </w:r>
            <w:r w:rsidR="00D7157D">
              <w:t>.</w:t>
            </w:r>
            <w:r w:rsidRPr="00295986">
              <w:t>4203</w:t>
            </w:r>
          </w:p>
        </w:tc>
        <w:tc>
          <w:tcPr>
            <w:tcW w:w="966" w:type="pct"/>
            <w:tcBorders>
              <w:top w:val="single" w:sz="4" w:space="0" w:color="auto"/>
              <w:bottom w:val="single" w:sz="4" w:space="0" w:color="auto"/>
            </w:tcBorders>
            <w:vAlign w:val="bottom"/>
          </w:tcPr>
          <w:p w14:paraId="09B462D6" w14:textId="77777777" w:rsidR="006902CC" w:rsidRPr="00C971C6" w:rsidRDefault="006902CC" w:rsidP="006902CC">
            <w:pPr>
              <w:pStyle w:val="Tabletext"/>
              <w:rPr>
                <w:snapToGrid w:val="0"/>
              </w:rPr>
            </w:pPr>
            <w:r w:rsidRPr="00295986">
              <w:t>0</w:t>
            </w:r>
            <w:r w:rsidR="00D7157D">
              <w:t>.</w:t>
            </w:r>
            <w:r w:rsidRPr="00295986">
              <w:t>2508</w:t>
            </w:r>
          </w:p>
        </w:tc>
        <w:tc>
          <w:tcPr>
            <w:tcW w:w="966" w:type="pct"/>
            <w:tcBorders>
              <w:top w:val="single" w:sz="4" w:space="0" w:color="auto"/>
              <w:bottom w:val="single" w:sz="4" w:space="0" w:color="auto"/>
            </w:tcBorders>
            <w:vAlign w:val="bottom"/>
          </w:tcPr>
          <w:p w14:paraId="684068F5" w14:textId="77777777" w:rsidR="006902CC" w:rsidRPr="00C971C6" w:rsidRDefault="006902CC" w:rsidP="006902CC">
            <w:pPr>
              <w:pStyle w:val="Tabletext"/>
              <w:rPr>
                <w:snapToGrid w:val="0"/>
              </w:rPr>
            </w:pPr>
            <w:r w:rsidRPr="00295986">
              <w:t>16</w:t>
            </w:r>
            <w:r w:rsidR="00D7157D">
              <w:t>.</w:t>
            </w:r>
            <w:r w:rsidRPr="00295986">
              <w:t>5749</w:t>
            </w:r>
          </w:p>
        </w:tc>
        <w:tc>
          <w:tcPr>
            <w:tcW w:w="966" w:type="pct"/>
            <w:tcBorders>
              <w:top w:val="single" w:sz="4" w:space="0" w:color="auto"/>
              <w:bottom w:val="single" w:sz="4" w:space="0" w:color="auto"/>
            </w:tcBorders>
            <w:vAlign w:val="bottom"/>
          </w:tcPr>
          <w:p w14:paraId="0A076835" w14:textId="77777777" w:rsidR="006902CC" w:rsidRPr="00C971C6" w:rsidRDefault="006902CC" w:rsidP="006902CC">
            <w:pPr>
              <w:pStyle w:val="Tabletext"/>
              <w:rPr>
                <w:snapToGrid w:val="0"/>
              </w:rPr>
            </w:pPr>
            <w:r w:rsidRPr="00295986">
              <w:t>0</w:t>
            </w:r>
            <w:r w:rsidR="00D7157D">
              <w:t>.</w:t>
            </w:r>
            <w:r w:rsidRPr="00295986">
              <w:t>1049</w:t>
            </w:r>
          </w:p>
        </w:tc>
      </w:tr>
      <w:tr w:rsidR="006902CC" w:rsidRPr="009E2595" w14:paraId="13CEE891" w14:textId="77777777" w:rsidTr="006902CC">
        <w:trPr>
          <w:cantSplit/>
        </w:trPr>
        <w:tc>
          <w:tcPr>
            <w:tcW w:w="1136" w:type="pct"/>
            <w:tcBorders>
              <w:top w:val="single" w:sz="4" w:space="0" w:color="auto"/>
              <w:bottom w:val="single" w:sz="4" w:space="0" w:color="auto"/>
            </w:tcBorders>
          </w:tcPr>
          <w:p w14:paraId="71BB920D" w14:textId="77777777" w:rsidR="006902CC" w:rsidRPr="00616B26" w:rsidRDefault="006902CC" w:rsidP="006902CC">
            <w:pPr>
              <w:pStyle w:val="Tabletext"/>
              <w:rPr>
                <w:snapToGrid w:val="0"/>
              </w:rPr>
            </w:pPr>
            <w:r w:rsidRPr="00616B26">
              <w:rPr>
                <w:snapToGrid w:val="0"/>
              </w:rPr>
              <w:t>31</w:t>
            </w:r>
          </w:p>
        </w:tc>
        <w:tc>
          <w:tcPr>
            <w:tcW w:w="966" w:type="pct"/>
            <w:tcBorders>
              <w:top w:val="single" w:sz="4" w:space="0" w:color="auto"/>
              <w:bottom w:val="single" w:sz="4" w:space="0" w:color="auto"/>
            </w:tcBorders>
            <w:vAlign w:val="bottom"/>
          </w:tcPr>
          <w:p w14:paraId="43DEF163" w14:textId="77777777" w:rsidR="006902CC" w:rsidRPr="00C971C6" w:rsidRDefault="006902CC" w:rsidP="006902CC">
            <w:pPr>
              <w:pStyle w:val="Tabletext"/>
              <w:rPr>
                <w:snapToGrid w:val="0"/>
              </w:rPr>
            </w:pPr>
            <w:r w:rsidRPr="00295986">
              <w:t>16</w:t>
            </w:r>
            <w:r w:rsidR="00D7157D">
              <w:t>.</w:t>
            </w:r>
            <w:r w:rsidRPr="00295986">
              <w:t>3783</w:t>
            </w:r>
          </w:p>
        </w:tc>
        <w:tc>
          <w:tcPr>
            <w:tcW w:w="966" w:type="pct"/>
            <w:tcBorders>
              <w:top w:val="single" w:sz="4" w:space="0" w:color="auto"/>
              <w:bottom w:val="single" w:sz="4" w:space="0" w:color="auto"/>
            </w:tcBorders>
            <w:vAlign w:val="bottom"/>
          </w:tcPr>
          <w:p w14:paraId="5ADF35C2" w14:textId="77777777" w:rsidR="006902CC" w:rsidRPr="00C971C6" w:rsidRDefault="006902CC" w:rsidP="006902CC">
            <w:pPr>
              <w:pStyle w:val="Tabletext"/>
              <w:rPr>
                <w:snapToGrid w:val="0"/>
              </w:rPr>
            </w:pPr>
            <w:r w:rsidRPr="00295986">
              <w:t>0</w:t>
            </w:r>
            <w:r w:rsidR="00D7157D">
              <w:t>.</w:t>
            </w:r>
            <w:r w:rsidRPr="00295986">
              <w:t>2641</w:t>
            </w:r>
          </w:p>
        </w:tc>
        <w:tc>
          <w:tcPr>
            <w:tcW w:w="966" w:type="pct"/>
            <w:tcBorders>
              <w:top w:val="single" w:sz="4" w:space="0" w:color="auto"/>
              <w:bottom w:val="single" w:sz="4" w:space="0" w:color="auto"/>
            </w:tcBorders>
            <w:vAlign w:val="bottom"/>
          </w:tcPr>
          <w:p w14:paraId="401E48AA" w14:textId="77777777" w:rsidR="006902CC" w:rsidRPr="00C971C6" w:rsidRDefault="006902CC" w:rsidP="006902CC">
            <w:pPr>
              <w:pStyle w:val="Tabletext"/>
              <w:rPr>
                <w:snapToGrid w:val="0"/>
              </w:rPr>
            </w:pPr>
            <w:r w:rsidRPr="00295986">
              <w:t>16</w:t>
            </w:r>
            <w:r w:rsidR="00D7157D">
              <w:t>.</w:t>
            </w:r>
            <w:r w:rsidRPr="00295986">
              <w:t>5391</w:t>
            </w:r>
          </w:p>
        </w:tc>
        <w:tc>
          <w:tcPr>
            <w:tcW w:w="966" w:type="pct"/>
            <w:tcBorders>
              <w:top w:val="single" w:sz="4" w:space="0" w:color="auto"/>
              <w:bottom w:val="single" w:sz="4" w:space="0" w:color="auto"/>
            </w:tcBorders>
            <w:vAlign w:val="bottom"/>
          </w:tcPr>
          <w:p w14:paraId="64D67EE4" w14:textId="77777777" w:rsidR="006902CC" w:rsidRPr="00C971C6" w:rsidRDefault="006902CC" w:rsidP="006902CC">
            <w:pPr>
              <w:pStyle w:val="Tabletext"/>
              <w:rPr>
                <w:snapToGrid w:val="0"/>
              </w:rPr>
            </w:pPr>
            <w:r w:rsidRPr="00295986">
              <w:t>0</w:t>
            </w:r>
            <w:r w:rsidR="00D7157D">
              <w:t>.</w:t>
            </w:r>
            <w:r w:rsidRPr="00295986">
              <w:t>1110</w:t>
            </w:r>
          </w:p>
        </w:tc>
      </w:tr>
      <w:tr w:rsidR="006902CC" w:rsidRPr="009E2595" w14:paraId="72278A55" w14:textId="77777777" w:rsidTr="006902CC">
        <w:trPr>
          <w:cantSplit/>
        </w:trPr>
        <w:tc>
          <w:tcPr>
            <w:tcW w:w="1136" w:type="pct"/>
            <w:tcBorders>
              <w:top w:val="single" w:sz="4" w:space="0" w:color="auto"/>
              <w:bottom w:val="single" w:sz="4" w:space="0" w:color="auto"/>
            </w:tcBorders>
          </w:tcPr>
          <w:p w14:paraId="03BCC032" w14:textId="77777777" w:rsidR="006902CC" w:rsidRPr="00616B26" w:rsidRDefault="006902CC" w:rsidP="006902CC">
            <w:pPr>
              <w:pStyle w:val="Tabletext"/>
              <w:rPr>
                <w:snapToGrid w:val="0"/>
              </w:rPr>
            </w:pPr>
            <w:r w:rsidRPr="00616B26">
              <w:rPr>
                <w:snapToGrid w:val="0"/>
              </w:rPr>
              <w:t>32</w:t>
            </w:r>
          </w:p>
        </w:tc>
        <w:tc>
          <w:tcPr>
            <w:tcW w:w="966" w:type="pct"/>
            <w:tcBorders>
              <w:top w:val="single" w:sz="4" w:space="0" w:color="auto"/>
              <w:bottom w:val="single" w:sz="4" w:space="0" w:color="auto"/>
            </w:tcBorders>
            <w:vAlign w:val="bottom"/>
          </w:tcPr>
          <w:p w14:paraId="7B25F682" w14:textId="77777777" w:rsidR="006902CC" w:rsidRPr="00C971C6" w:rsidRDefault="006902CC" w:rsidP="006902CC">
            <w:pPr>
              <w:pStyle w:val="Tabletext"/>
              <w:rPr>
                <w:snapToGrid w:val="0"/>
              </w:rPr>
            </w:pPr>
            <w:r w:rsidRPr="00295986">
              <w:t>16</w:t>
            </w:r>
            <w:r w:rsidR="00D7157D">
              <w:t>.</w:t>
            </w:r>
            <w:r w:rsidRPr="00295986">
              <w:t>3338</w:t>
            </w:r>
          </w:p>
        </w:tc>
        <w:tc>
          <w:tcPr>
            <w:tcW w:w="966" w:type="pct"/>
            <w:tcBorders>
              <w:top w:val="single" w:sz="4" w:space="0" w:color="auto"/>
              <w:bottom w:val="single" w:sz="4" w:space="0" w:color="auto"/>
            </w:tcBorders>
            <w:vAlign w:val="bottom"/>
          </w:tcPr>
          <w:p w14:paraId="7A6EC9D7" w14:textId="77777777" w:rsidR="006902CC" w:rsidRPr="00C971C6" w:rsidRDefault="006902CC" w:rsidP="006902CC">
            <w:pPr>
              <w:pStyle w:val="Tabletext"/>
              <w:rPr>
                <w:snapToGrid w:val="0"/>
              </w:rPr>
            </w:pPr>
            <w:r w:rsidRPr="00295986">
              <w:t>0</w:t>
            </w:r>
            <w:r w:rsidR="00D7157D">
              <w:t>.</w:t>
            </w:r>
            <w:r w:rsidRPr="00295986">
              <w:t>2780</w:t>
            </w:r>
          </w:p>
        </w:tc>
        <w:tc>
          <w:tcPr>
            <w:tcW w:w="966" w:type="pct"/>
            <w:tcBorders>
              <w:top w:val="single" w:sz="4" w:space="0" w:color="auto"/>
              <w:bottom w:val="single" w:sz="4" w:space="0" w:color="auto"/>
            </w:tcBorders>
            <w:vAlign w:val="bottom"/>
          </w:tcPr>
          <w:p w14:paraId="07423D9C" w14:textId="77777777" w:rsidR="006902CC" w:rsidRPr="00C971C6" w:rsidRDefault="006902CC" w:rsidP="006902CC">
            <w:pPr>
              <w:pStyle w:val="Tabletext"/>
              <w:rPr>
                <w:snapToGrid w:val="0"/>
              </w:rPr>
            </w:pPr>
            <w:r w:rsidRPr="00295986">
              <w:t>16</w:t>
            </w:r>
            <w:r w:rsidR="00D7157D">
              <w:t>.</w:t>
            </w:r>
            <w:r w:rsidRPr="00295986">
              <w:t>5014</w:t>
            </w:r>
          </w:p>
        </w:tc>
        <w:tc>
          <w:tcPr>
            <w:tcW w:w="966" w:type="pct"/>
            <w:tcBorders>
              <w:top w:val="single" w:sz="4" w:space="0" w:color="auto"/>
              <w:bottom w:val="single" w:sz="4" w:space="0" w:color="auto"/>
            </w:tcBorders>
            <w:vAlign w:val="bottom"/>
          </w:tcPr>
          <w:p w14:paraId="134250EF" w14:textId="77777777" w:rsidR="006902CC" w:rsidRPr="00C971C6" w:rsidRDefault="006902CC" w:rsidP="006902CC">
            <w:pPr>
              <w:pStyle w:val="Tabletext"/>
              <w:rPr>
                <w:snapToGrid w:val="0"/>
              </w:rPr>
            </w:pPr>
            <w:r w:rsidRPr="00295986">
              <w:t>0</w:t>
            </w:r>
            <w:r w:rsidR="00D7157D">
              <w:t>.</w:t>
            </w:r>
            <w:r w:rsidRPr="00295986">
              <w:t>1174</w:t>
            </w:r>
          </w:p>
        </w:tc>
      </w:tr>
      <w:tr w:rsidR="006902CC" w:rsidRPr="009E2595" w14:paraId="7A5566CA" w14:textId="77777777" w:rsidTr="006902CC">
        <w:trPr>
          <w:cantSplit/>
        </w:trPr>
        <w:tc>
          <w:tcPr>
            <w:tcW w:w="1136" w:type="pct"/>
            <w:tcBorders>
              <w:top w:val="single" w:sz="4" w:space="0" w:color="auto"/>
              <w:bottom w:val="single" w:sz="4" w:space="0" w:color="auto"/>
            </w:tcBorders>
          </w:tcPr>
          <w:p w14:paraId="71F2D0D8" w14:textId="77777777" w:rsidR="006902CC" w:rsidRPr="00616B26" w:rsidRDefault="006902CC" w:rsidP="006902CC">
            <w:pPr>
              <w:pStyle w:val="Tabletext"/>
              <w:rPr>
                <w:snapToGrid w:val="0"/>
              </w:rPr>
            </w:pPr>
            <w:r w:rsidRPr="00616B26">
              <w:rPr>
                <w:snapToGrid w:val="0"/>
              </w:rPr>
              <w:t>33</w:t>
            </w:r>
          </w:p>
        </w:tc>
        <w:tc>
          <w:tcPr>
            <w:tcW w:w="966" w:type="pct"/>
            <w:tcBorders>
              <w:top w:val="single" w:sz="4" w:space="0" w:color="auto"/>
              <w:bottom w:val="single" w:sz="4" w:space="0" w:color="auto"/>
            </w:tcBorders>
            <w:vAlign w:val="bottom"/>
          </w:tcPr>
          <w:p w14:paraId="0B42D2F3" w14:textId="77777777" w:rsidR="006902CC" w:rsidRPr="00C971C6" w:rsidRDefault="006902CC" w:rsidP="006902CC">
            <w:pPr>
              <w:pStyle w:val="Tabletext"/>
              <w:rPr>
                <w:snapToGrid w:val="0"/>
              </w:rPr>
            </w:pPr>
            <w:r w:rsidRPr="00295986">
              <w:t>16</w:t>
            </w:r>
            <w:r w:rsidR="00D7157D">
              <w:t>.</w:t>
            </w:r>
            <w:r w:rsidRPr="00295986">
              <w:t>2868</w:t>
            </w:r>
          </w:p>
        </w:tc>
        <w:tc>
          <w:tcPr>
            <w:tcW w:w="966" w:type="pct"/>
            <w:tcBorders>
              <w:top w:val="single" w:sz="4" w:space="0" w:color="auto"/>
              <w:bottom w:val="single" w:sz="4" w:space="0" w:color="auto"/>
            </w:tcBorders>
            <w:vAlign w:val="bottom"/>
          </w:tcPr>
          <w:p w14:paraId="1DA37E16" w14:textId="77777777" w:rsidR="006902CC" w:rsidRPr="00C971C6" w:rsidRDefault="006902CC" w:rsidP="006902CC">
            <w:pPr>
              <w:pStyle w:val="Tabletext"/>
              <w:rPr>
                <w:snapToGrid w:val="0"/>
              </w:rPr>
            </w:pPr>
            <w:r w:rsidRPr="00295986">
              <w:t>0</w:t>
            </w:r>
            <w:r w:rsidR="00D7157D">
              <w:t>.</w:t>
            </w:r>
            <w:r w:rsidRPr="00295986">
              <w:t>2926</w:t>
            </w:r>
          </w:p>
        </w:tc>
        <w:tc>
          <w:tcPr>
            <w:tcW w:w="966" w:type="pct"/>
            <w:tcBorders>
              <w:top w:val="single" w:sz="4" w:space="0" w:color="auto"/>
              <w:bottom w:val="single" w:sz="4" w:space="0" w:color="auto"/>
            </w:tcBorders>
            <w:vAlign w:val="bottom"/>
          </w:tcPr>
          <w:p w14:paraId="2428C23F" w14:textId="77777777" w:rsidR="006902CC" w:rsidRPr="00C971C6" w:rsidRDefault="006902CC" w:rsidP="006902CC">
            <w:pPr>
              <w:pStyle w:val="Tabletext"/>
              <w:rPr>
                <w:snapToGrid w:val="0"/>
              </w:rPr>
            </w:pPr>
            <w:r w:rsidRPr="00295986">
              <w:t>16</w:t>
            </w:r>
            <w:r w:rsidR="00D7157D">
              <w:t>.</w:t>
            </w:r>
            <w:r w:rsidRPr="00295986">
              <w:t>4614</w:t>
            </w:r>
          </w:p>
        </w:tc>
        <w:tc>
          <w:tcPr>
            <w:tcW w:w="966" w:type="pct"/>
            <w:tcBorders>
              <w:top w:val="single" w:sz="4" w:space="0" w:color="auto"/>
              <w:bottom w:val="single" w:sz="4" w:space="0" w:color="auto"/>
            </w:tcBorders>
            <w:vAlign w:val="bottom"/>
          </w:tcPr>
          <w:p w14:paraId="4AB0C3D4" w14:textId="77777777" w:rsidR="006902CC" w:rsidRPr="00C971C6" w:rsidRDefault="006902CC" w:rsidP="006902CC">
            <w:pPr>
              <w:pStyle w:val="Tabletext"/>
              <w:rPr>
                <w:snapToGrid w:val="0"/>
              </w:rPr>
            </w:pPr>
            <w:r w:rsidRPr="00295986">
              <w:t>0</w:t>
            </w:r>
            <w:r w:rsidR="00D7157D">
              <w:t>.</w:t>
            </w:r>
            <w:r w:rsidRPr="00295986">
              <w:t>1242</w:t>
            </w:r>
          </w:p>
        </w:tc>
      </w:tr>
      <w:tr w:rsidR="006902CC" w:rsidRPr="009E2595" w14:paraId="300A72F5" w14:textId="77777777" w:rsidTr="006902CC">
        <w:trPr>
          <w:cantSplit/>
        </w:trPr>
        <w:tc>
          <w:tcPr>
            <w:tcW w:w="1136" w:type="pct"/>
            <w:tcBorders>
              <w:top w:val="single" w:sz="4" w:space="0" w:color="auto"/>
              <w:bottom w:val="single" w:sz="4" w:space="0" w:color="auto"/>
            </w:tcBorders>
          </w:tcPr>
          <w:p w14:paraId="39555E3A" w14:textId="77777777" w:rsidR="006902CC" w:rsidRPr="00616B26" w:rsidRDefault="006902CC" w:rsidP="006902CC">
            <w:pPr>
              <w:pStyle w:val="Tabletext"/>
              <w:rPr>
                <w:snapToGrid w:val="0"/>
              </w:rPr>
            </w:pPr>
            <w:r w:rsidRPr="00616B26">
              <w:rPr>
                <w:snapToGrid w:val="0"/>
              </w:rPr>
              <w:t>34</w:t>
            </w:r>
          </w:p>
        </w:tc>
        <w:tc>
          <w:tcPr>
            <w:tcW w:w="966" w:type="pct"/>
            <w:tcBorders>
              <w:top w:val="single" w:sz="4" w:space="0" w:color="auto"/>
              <w:bottom w:val="single" w:sz="4" w:space="0" w:color="auto"/>
            </w:tcBorders>
            <w:vAlign w:val="bottom"/>
          </w:tcPr>
          <w:p w14:paraId="1B0CA0E1" w14:textId="77777777" w:rsidR="006902CC" w:rsidRPr="00C971C6" w:rsidRDefault="006902CC" w:rsidP="006902CC">
            <w:pPr>
              <w:pStyle w:val="Tabletext"/>
              <w:rPr>
                <w:snapToGrid w:val="0"/>
              </w:rPr>
            </w:pPr>
            <w:r w:rsidRPr="00295986">
              <w:t>16</w:t>
            </w:r>
            <w:r w:rsidR="00D7157D">
              <w:t>.</w:t>
            </w:r>
            <w:r w:rsidRPr="00295986">
              <w:t>2371</w:t>
            </w:r>
          </w:p>
        </w:tc>
        <w:tc>
          <w:tcPr>
            <w:tcW w:w="966" w:type="pct"/>
            <w:tcBorders>
              <w:top w:val="single" w:sz="4" w:space="0" w:color="auto"/>
              <w:bottom w:val="single" w:sz="4" w:space="0" w:color="auto"/>
            </w:tcBorders>
            <w:vAlign w:val="bottom"/>
          </w:tcPr>
          <w:p w14:paraId="4E8487FE" w14:textId="77777777" w:rsidR="006902CC" w:rsidRPr="00C971C6" w:rsidRDefault="006902CC" w:rsidP="006902CC">
            <w:pPr>
              <w:pStyle w:val="Tabletext"/>
              <w:rPr>
                <w:snapToGrid w:val="0"/>
              </w:rPr>
            </w:pPr>
            <w:r w:rsidRPr="00295986">
              <w:t>0</w:t>
            </w:r>
            <w:r w:rsidR="00D7157D">
              <w:t>.</w:t>
            </w:r>
            <w:r w:rsidRPr="00295986">
              <w:t>3080</w:t>
            </w:r>
          </w:p>
        </w:tc>
        <w:tc>
          <w:tcPr>
            <w:tcW w:w="966" w:type="pct"/>
            <w:tcBorders>
              <w:top w:val="single" w:sz="4" w:space="0" w:color="auto"/>
              <w:bottom w:val="single" w:sz="4" w:space="0" w:color="auto"/>
            </w:tcBorders>
            <w:vAlign w:val="bottom"/>
          </w:tcPr>
          <w:p w14:paraId="4D61F436" w14:textId="77777777" w:rsidR="006902CC" w:rsidRPr="00C971C6" w:rsidRDefault="006902CC" w:rsidP="006902CC">
            <w:pPr>
              <w:pStyle w:val="Tabletext"/>
              <w:rPr>
                <w:snapToGrid w:val="0"/>
              </w:rPr>
            </w:pPr>
            <w:r w:rsidRPr="00295986">
              <w:t>16</w:t>
            </w:r>
            <w:r w:rsidR="00D7157D">
              <w:t>.</w:t>
            </w:r>
            <w:r w:rsidRPr="00295986">
              <w:t>4191</w:t>
            </w:r>
          </w:p>
        </w:tc>
        <w:tc>
          <w:tcPr>
            <w:tcW w:w="966" w:type="pct"/>
            <w:tcBorders>
              <w:top w:val="single" w:sz="4" w:space="0" w:color="auto"/>
              <w:bottom w:val="single" w:sz="4" w:space="0" w:color="auto"/>
            </w:tcBorders>
            <w:vAlign w:val="bottom"/>
          </w:tcPr>
          <w:p w14:paraId="41E2ACC2" w14:textId="77777777" w:rsidR="006902CC" w:rsidRPr="00C971C6" w:rsidRDefault="006902CC" w:rsidP="006902CC">
            <w:pPr>
              <w:pStyle w:val="Tabletext"/>
              <w:rPr>
                <w:snapToGrid w:val="0"/>
              </w:rPr>
            </w:pPr>
            <w:r w:rsidRPr="00295986">
              <w:t>0</w:t>
            </w:r>
            <w:r w:rsidR="00D7157D">
              <w:t>.</w:t>
            </w:r>
            <w:r w:rsidRPr="00295986">
              <w:t>1312</w:t>
            </w:r>
          </w:p>
        </w:tc>
      </w:tr>
      <w:tr w:rsidR="006902CC" w:rsidRPr="009E2595" w14:paraId="5530B516" w14:textId="77777777" w:rsidTr="006902CC">
        <w:trPr>
          <w:cantSplit/>
        </w:trPr>
        <w:tc>
          <w:tcPr>
            <w:tcW w:w="1136" w:type="pct"/>
            <w:tcBorders>
              <w:top w:val="single" w:sz="4" w:space="0" w:color="auto"/>
              <w:bottom w:val="single" w:sz="4" w:space="0" w:color="auto"/>
            </w:tcBorders>
          </w:tcPr>
          <w:p w14:paraId="1BE8EABC" w14:textId="77777777" w:rsidR="006902CC" w:rsidRPr="00616B26" w:rsidRDefault="006902CC" w:rsidP="006902CC">
            <w:pPr>
              <w:pStyle w:val="Tabletext"/>
              <w:rPr>
                <w:snapToGrid w:val="0"/>
              </w:rPr>
            </w:pPr>
            <w:r w:rsidRPr="00616B26">
              <w:rPr>
                <w:snapToGrid w:val="0"/>
              </w:rPr>
              <w:t>35</w:t>
            </w:r>
          </w:p>
        </w:tc>
        <w:tc>
          <w:tcPr>
            <w:tcW w:w="966" w:type="pct"/>
            <w:tcBorders>
              <w:top w:val="single" w:sz="4" w:space="0" w:color="auto"/>
              <w:bottom w:val="single" w:sz="4" w:space="0" w:color="auto"/>
            </w:tcBorders>
            <w:vAlign w:val="bottom"/>
          </w:tcPr>
          <w:p w14:paraId="5181FDF2" w14:textId="77777777" w:rsidR="006902CC" w:rsidRPr="00C971C6" w:rsidRDefault="006902CC" w:rsidP="006902CC">
            <w:pPr>
              <w:pStyle w:val="Tabletext"/>
              <w:rPr>
                <w:snapToGrid w:val="0"/>
              </w:rPr>
            </w:pPr>
            <w:r w:rsidRPr="00295986">
              <w:t>16</w:t>
            </w:r>
            <w:r w:rsidR="00D7157D">
              <w:t>.</w:t>
            </w:r>
            <w:r w:rsidRPr="00295986">
              <w:t>1846</w:t>
            </w:r>
          </w:p>
        </w:tc>
        <w:tc>
          <w:tcPr>
            <w:tcW w:w="966" w:type="pct"/>
            <w:tcBorders>
              <w:top w:val="single" w:sz="4" w:space="0" w:color="auto"/>
              <w:bottom w:val="single" w:sz="4" w:space="0" w:color="auto"/>
            </w:tcBorders>
            <w:vAlign w:val="bottom"/>
          </w:tcPr>
          <w:p w14:paraId="02F809FB" w14:textId="77777777" w:rsidR="006902CC" w:rsidRPr="00C971C6" w:rsidRDefault="006902CC" w:rsidP="006902CC">
            <w:pPr>
              <w:pStyle w:val="Tabletext"/>
              <w:rPr>
                <w:snapToGrid w:val="0"/>
              </w:rPr>
            </w:pPr>
            <w:r w:rsidRPr="00295986">
              <w:t>0</w:t>
            </w:r>
            <w:r w:rsidR="00D7157D">
              <w:t>.</w:t>
            </w:r>
            <w:r w:rsidRPr="00295986">
              <w:t>3242</w:t>
            </w:r>
          </w:p>
        </w:tc>
        <w:tc>
          <w:tcPr>
            <w:tcW w:w="966" w:type="pct"/>
            <w:tcBorders>
              <w:top w:val="single" w:sz="4" w:space="0" w:color="auto"/>
              <w:bottom w:val="single" w:sz="4" w:space="0" w:color="auto"/>
            </w:tcBorders>
            <w:vAlign w:val="bottom"/>
          </w:tcPr>
          <w:p w14:paraId="00A3863A" w14:textId="77777777" w:rsidR="006902CC" w:rsidRPr="00C971C6" w:rsidRDefault="006902CC" w:rsidP="006902CC">
            <w:pPr>
              <w:pStyle w:val="Tabletext"/>
              <w:rPr>
                <w:snapToGrid w:val="0"/>
              </w:rPr>
            </w:pPr>
            <w:r w:rsidRPr="00295986">
              <w:t>16</w:t>
            </w:r>
            <w:r w:rsidR="00D7157D">
              <w:t>.</w:t>
            </w:r>
            <w:r w:rsidRPr="00295986">
              <w:t>3743</w:t>
            </w:r>
          </w:p>
        </w:tc>
        <w:tc>
          <w:tcPr>
            <w:tcW w:w="966" w:type="pct"/>
            <w:tcBorders>
              <w:top w:val="single" w:sz="4" w:space="0" w:color="auto"/>
              <w:bottom w:val="single" w:sz="4" w:space="0" w:color="auto"/>
            </w:tcBorders>
            <w:vAlign w:val="bottom"/>
          </w:tcPr>
          <w:p w14:paraId="1C6120B6" w14:textId="77777777" w:rsidR="006902CC" w:rsidRPr="00C971C6" w:rsidRDefault="006902CC" w:rsidP="006902CC">
            <w:pPr>
              <w:pStyle w:val="Tabletext"/>
              <w:rPr>
                <w:snapToGrid w:val="0"/>
              </w:rPr>
            </w:pPr>
            <w:r w:rsidRPr="00295986">
              <w:t>0</w:t>
            </w:r>
            <w:r w:rsidR="00D7157D">
              <w:t>.</w:t>
            </w:r>
            <w:r w:rsidRPr="00295986">
              <w:t>1387</w:t>
            </w:r>
          </w:p>
        </w:tc>
      </w:tr>
      <w:tr w:rsidR="006902CC" w:rsidRPr="009E2595" w14:paraId="472EFE66" w14:textId="77777777" w:rsidTr="006902CC">
        <w:trPr>
          <w:cantSplit/>
        </w:trPr>
        <w:tc>
          <w:tcPr>
            <w:tcW w:w="1136" w:type="pct"/>
            <w:tcBorders>
              <w:top w:val="single" w:sz="4" w:space="0" w:color="auto"/>
              <w:bottom w:val="single" w:sz="4" w:space="0" w:color="auto"/>
            </w:tcBorders>
          </w:tcPr>
          <w:p w14:paraId="489FE4EC" w14:textId="77777777" w:rsidR="006902CC" w:rsidRPr="00616B26" w:rsidRDefault="006902CC" w:rsidP="006902CC">
            <w:pPr>
              <w:pStyle w:val="Tabletext"/>
              <w:rPr>
                <w:snapToGrid w:val="0"/>
              </w:rPr>
            </w:pPr>
            <w:r w:rsidRPr="00616B26">
              <w:rPr>
                <w:snapToGrid w:val="0"/>
              </w:rPr>
              <w:t>36</w:t>
            </w:r>
          </w:p>
        </w:tc>
        <w:tc>
          <w:tcPr>
            <w:tcW w:w="966" w:type="pct"/>
            <w:tcBorders>
              <w:top w:val="single" w:sz="4" w:space="0" w:color="auto"/>
              <w:bottom w:val="single" w:sz="4" w:space="0" w:color="auto"/>
            </w:tcBorders>
            <w:vAlign w:val="bottom"/>
          </w:tcPr>
          <w:p w14:paraId="391DFE50" w14:textId="77777777" w:rsidR="006902CC" w:rsidRPr="00C971C6" w:rsidRDefault="006902CC" w:rsidP="006902CC">
            <w:pPr>
              <w:pStyle w:val="Tabletext"/>
              <w:rPr>
                <w:snapToGrid w:val="0"/>
              </w:rPr>
            </w:pPr>
            <w:r w:rsidRPr="00295986">
              <w:t>16</w:t>
            </w:r>
            <w:r w:rsidR="00D7157D">
              <w:t>.</w:t>
            </w:r>
            <w:r w:rsidRPr="00295986">
              <w:t>1292</w:t>
            </w:r>
          </w:p>
        </w:tc>
        <w:tc>
          <w:tcPr>
            <w:tcW w:w="966" w:type="pct"/>
            <w:tcBorders>
              <w:top w:val="single" w:sz="4" w:space="0" w:color="auto"/>
              <w:bottom w:val="single" w:sz="4" w:space="0" w:color="auto"/>
            </w:tcBorders>
            <w:vAlign w:val="bottom"/>
          </w:tcPr>
          <w:p w14:paraId="4EB20EF7" w14:textId="77777777" w:rsidR="006902CC" w:rsidRPr="00C971C6" w:rsidRDefault="006902CC" w:rsidP="006902CC">
            <w:pPr>
              <w:pStyle w:val="Tabletext"/>
              <w:rPr>
                <w:snapToGrid w:val="0"/>
              </w:rPr>
            </w:pPr>
            <w:r w:rsidRPr="00295986">
              <w:t>0</w:t>
            </w:r>
            <w:r w:rsidR="00D7157D">
              <w:t>.</w:t>
            </w:r>
            <w:r w:rsidRPr="00295986">
              <w:t>3412</w:t>
            </w:r>
          </w:p>
        </w:tc>
        <w:tc>
          <w:tcPr>
            <w:tcW w:w="966" w:type="pct"/>
            <w:tcBorders>
              <w:top w:val="single" w:sz="4" w:space="0" w:color="auto"/>
              <w:bottom w:val="single" w:sz="4" w:space="0" w:color="auto"/>
            </w:tcBorders>
            <w:vAlign w:val="bottom"/>
          </w:tcPr>
          <w:p w14:paraId="1FF4F3A6" w14:textId="77777777" w:rsidR="006902CC" w:rsidRPr="00C971C6" w:rsidRDefault="006902CC" w:rsidP="006902CC">
            <w:pPr>
              <w:pStyle w:val="Tabletext"/>
              <w:rPr>
                <w:snapToGrid w:val="0"/>
              </w:rPr>
            </w:pPr>
            <w:r w:rsidRPr="00295986">
              <w:t>16</w:t>
            </w:r>
            <w:r w:rsidR="00D7157D">
              <w:t>.</w:t>
            </w:r>
            <w:r w:rsidRPr="00295986">
              <w:t>3269</w:t>
            </w:r>
          </w:p>
        </w:tc>
        <w:tc>
          <w:tcPr>
            <w:tcW w:w="966" w:type="pct"/>
            <w:tcBorders>
              <w:top w:val="single" w:sz="4" w:space="0" w:color="auto"/>
              <w:bottom w:val="single" w:sz="4" w:space="0" w:color="auto"/>
            </w:tcBorders>
            <w:vAlign w:val="bottom"/>
          </w:tcPr>
          <w:p w14:paraId="1333D996" w14:textId="77777777" w:rsidR="006902CC" w:rsidRPr="00C971C6" w:rsidRDefault="006902CC" w:rsidP="006902CC">
            <w:pPr>
              <w:pStyle w:val="Tabletext"/>
              <w:rPr>
                <w:snapToGrid w:val="0"/>
              </w:rPr>
            </w:pPr>
            <w:r w:rsidRPr="00295986">
              <w:t>0</w:t>
            </w:r>
            <w:r w:rsidR="00D7157D">
              <w:t>.</w:t>
            </w:r>
            <w:r w:rsidRPr="00295986">
              <w:t>1465</w:t>
            </w:r>
          </w:p>
        </w:tc>
      </w:tr>
      <w:tr w:rsidR="006902CC" w:rsidRPr="009E2595" w14:paraId="28BA090B" w14:textId="77777777" w:rsidTr="006902CC">
        <w:trPr>
          <w:cantSplit/>
        </w:trPr>
        <w:tc>
          <w:tcPr>
            <w:tcW w:w="1136" w:type="pct"/>
            <w:tcBorders>
              <w:top w:val="single" w:sz="4" w:space="0" w:color="auto"/>
              <w:bottom w:val="single" w:sz="4" w:space="0" w:color="auto"/>
            </w:tcBorders>
          </w:tcPr>
          <w:p w14:paraId="70E25DA7" w14:textId="77777777" w:rsidR="006902CC" w:rsidRPr="00616B26" w:rsidRDefault="006902CC" w:rsidP="006902CC">
            <w:pPr>
              <w:pStyle w:val="Tabletext"/>
              <w:rPr>
                <w:snapToGrid w:val="0"/>
              </w:rPr>
            </w:pPr>
            <w:r w:rsidRPr="00616B26">
              <w:rPr>
                <w:snapToGrid w:val="0"/>
              </w:rPr>
              <w:t>37</w:t>
            </w:r>
          </w:p>
        </w:tc>
        <w:tc>
          <w:tcPr>
            <w:tcW w:w="966" w:type="pct"/>
            <w:tcBorders>
              <w:top w:val="single" w:sz="4" w:space="0" w:color="auto"/>
              <w:bottom w:val="single" w:sz="4" w:space="0" w:color="auto"/>
            </w:tcBorders>
            <w:vAlign w:val="bottom"/>
          </w:tcPr>
          <w:p w14:paraId="372FBE43" w14:textId="77777777" w:rsidR="006902CC" w:rsidRPr="00C971C6" w:rsidRDefault="006902CC" w:rsidP="006902CC">
            <w:pPr>
              <w:pStyle w:val="Tabletext"/>
              <w:rPr>
                <w:snapToGrid w:val="0"/>
              </w:rPr>
            </w:pPr>
            <w:r w:rsidRPr="00295986">
              <w:t>16</w:t>
            </w:r>
            <w:r w:rsidR="00D7157D">
              <w:t>.</w:t>
            </w:r>
            <w:r w:rsidRPr="00295986">
              <w:t>0709</w:t>
            </w:r>
          </w:p>
        </w:tc>
        <w:tc>
          <w:tcPr>
            <w:tcW w:w="966" w:type="pct"/>
            <w:tcBorders>
              <w:top w:val="single" w:sz="4" w:space="0" w:color="auto"/>
              <w:bottom w:val="single" w:sz="4" w:space="0" w:color="auto"/>
            </w:tcBorders>
            <w:vAlign w:val="bottom"/>
          </w:tcPr>
          <w:p w14:paraId="3DA2EE13" w14:textId="77777777" w:rsidR="006902CC" w:rsidRPr="00C971C6" w:rsidRDefault="006902CC" w:rsidP="006902CC">
            <w:pPr>
              <w:pStyle w:val="Tabletext"/>
              <w:rPr>
                <w:snapToGrid w:val="0"/>
              </w:rPr>
            </w:pPr>
            <w:r w:rsidRPr="00295986">
              <w:t>0</w:t>
            </w:r>
            <w:r w:rsidR="00D7157D">
              <w:t>.</w:t>
            </w:r>
            <w:r w:rsidRPr="00295986">
              <w:t>3589</w:t>
            </w:r>
          </w:p>
        </w:tc>
        <w:tc>
          <w:tcPr>
            <w:tcW w:w="966" w:type="pct"/>
            <w:tcBorders>
              <w:top w:val="single" w:sz="4" w:space="0" w:color="auto"/>
              <w:bottom w:val="single" w:sz="4" w:space="0" w:color="auto"/>
            </w:tcBorders>
            <w:vAlign w:val="bottom"/>
          </w:tcPr>
          <w:p w14:paraId="2E9431A9" w14:textId="77777777" w:rsidR="006902CC" w:rsidRPr="00C971C6" w:rsidRDefault="006902CC" w:rsidP="006902CC">
            <w:pPr>
              <w:pStyle w:val="Tabletext"/>
              <w:rPr>
                <w:snapToGrid w:val="0"/>
              </w:rPr>
            </w:pPr>
            <w:r w:rsidRPr="00295986">
              <w:t>16</w:t>
            </w:r>
            <w:r w:rsidR="00D7157D">
              <w:t>.</w:t>
            </w:r>
            <w:r w:rsidRPr="00295986">
              <w:t>2769</w:t>
            </w:r>
          </w:p>
        </w:tc>
        <w:tc>
          <w:tcPr>
            <w:tcW w:w="966" w:type="pct"/>
            <w:tcBorders>
              <w:top w:val="single" w:sz="4" w:space="0" w:color="auto"/>
              <w:bottom w:val="single" w:sz="4" w:space="0" w:color="auto"/>
            </w:tcBorders>
            <w:vAlign w:val="bottom"/>
          </w:tcPr>
          <w:p w14:paraId="0641E34F" w14:textId="77777777" w:rsidR="006902CC" w:rsidRPr="00C971C6" w:rsidRDefault="006902CC" w:rsidP="006902CC">
            <w:pPr>
              <w:pStyle w:val="Tabletext"/>
              <w:rPr>
                <w:snapToGrid w:val="0"/>
              </w:rPr>
            </w:pPr>
            <w:r w:rsidRPr="00295986">
              <w:t>0</w:t>
            </w:r>
            <w:r w:rsidR="00D7157D">
              <w:t>.</w:t>
            </w:r>
            <w:r w:rsidRPr="00295986">
              <w:t>1546</w:t>
            </w:r>
          </w:p>
        </w:tc>
      </w:tr>
      <w:tr w:rsidR="006902CC" w:rsidRPr="009E2595" w14:paraId="3AD585DC" w14:textId="77777777" w:rsidTr="006902CC">
        <w:trPr>
          <w:cantSplit/>
        </w:trPr>
        <w:tc>
          <w:tcPr>
            <w:tcW w:w="1136" w:type="pct"/>
            <w:tcBorders>
              <w:top w:val="single" w:sz="4" w:space="0" w:color="auto"/>
              <w:bottom w:val="single" w:sz="4" w:space="0" w:color="auto"/>
            </w:tcBorders>
          </w:tcPr>
          <w:p w14:paraId="03F9BF72" w14:textId="77777777" w:rsidR="006902CC" w:rsidRPr="00616B26" w:rsidRDefault="006902CC" w:rsidP="006902CC">
            <w:pPr>
              <w:pStyle w:val="Tabletext"/>
              <w:rPr>
                <w:snapToGrid w:val="0"/>
              </w:rPr>
            </w:pPr>
            <w:r w:rsidRPr="00616B26">
              <w:rPr>
                <w:snapToGrid w:val="0"/>
              </w:rPr>
              <w:t>38</w:t>
            </w:r>
          </w:p>
        </w:tc>
        <w:tc>
          <w:tcPr>
            <w:tcW w:w="966" w:type="pct"/>
            <w:tcBorders>
              <w:top w:val="single" w:sz="4" w:space="0" w:color="auto"/>
              <w:bottom w:val="single" w:sz="4" w:space="0" w:color="auto"/>
            </w:tcBorders>
            <w:vAlign w:val="bottom"/>
          </w:tcPr>
          <w:p w14:paraId="1F3220BA" w14:textId="77777777" w:rsidR="006902CC" w:rsidRPr="00C971C6" w:rsidRDefault="006902CC" w:rsidP="006902CC">
            <w:pPr>
              <w:pStyle w:val="Tabletext"/>
              <w:rPr>
                <w:snapToGrid w:val="0"/>
              </w:rPr>
            </w:pPr>
            <w:r w:rsidRPr="00295986">
              <w:t>16</w:t>
            </w:r>
            <w:r w:rsidR="00D7157D">
              <w:t>.</w:t>
            </w:r>
            <w:r w:rsidRPr="00295986">
              <w:t>0095</w:t>
            </w:r>
          </w:p>
        </w:tc>
        <w:tc>
          <w:tcPr>
            <w:tcW w:w="966" w:type="pct"/>
            <w:tcBorders>
              <w:top w:val="single" w:sz="4" w:space="0" w:color="auto"/>
              <w:bottom w:val="single" w:sz="4" w:space="0" w:color="auto"/>
            </w:tcBorders>
            <w:vAlign w:val="bottom"/>
          </w:tcPr>
          <w:p w14:paraId="611E4EC5" w14:textId="77777777" w:rsidR="006902CC" w:rsidRPr="00C971C6" w:rsidRDefault="006902CC" w:rsidP="006902CC">
            <w:pPr>
              <w:pStyle w:val="Tabletext"/>
              <w:rPr>
                <w:snapToGrid w:val="0"/>
              </w:rPr>
            </w:pPr>
            <w:r w:rsidRPr="00295986">
              <w:t>0</w:t>
            </w:r>
            <w:r w:rsidR="00D7157D">
              <w:t>.</w:t>
            </w:r>
            <w:r w:rsidRPr="00295986">
              <w:t>3774</w:t>
            </w:r>
          </w:p>
        </w:tc>
        <w:tc>
          <w:tcPr>
            <w:tcW w:w="966" w:type="pct"/>
            <w:tcBorders>
              <w:top w:val="single" w:sz="4" w:space="0" w:color="auto"/>
              <w:bottom w:val="single" w:sz="4" w:space="0" w:color="auto"/>
            </w:tcBorders>
            <w:vAlign w:val="bottom"/>
          </w:tcPr>
          <w:p w14:paraId="62C0B52E" w14:textId="77777777" w:rsidR="006902CC" w:rsidRPr="00C971C6" w:rsidRDefault="006902CC" w:rsidP="006902CC">
            <w:pPr>
              <w:pStyle w:val="Tabletext"/>
              <w:rPr>
                <w:snapToGrid w:val="0"/>
              </w:rPr>
            </w:pPr>
            <w:r w:rsidRPr="00295986">
              <w:t>16</w:t>
            </w:r>
            <w:r w:rsidR="00D7157D">
              <w:t>.</w:t>
            </w:r>
            <w:r w:rsidRPr="00295986">
              <w:t>2239</w:t>
            </w:r>
          </w:p>
        </w:tc>
        <w:tc>
          <w:tcPr>
            <w:tcW w:w="966" w:type="pct"/>
            <w:tcBorders>
              <w:top w:val="single" w:sz="4" w:space="0" w:color="auto"/>
              <w:bottom w:val="single" w:sz="4" w:space="0" w:color="auto"/>
            </w:tcBorders>
            <w:vAlign w:val="bottom"/>
          </w:tcPr>
          <w:p w14:paraId="15F388D8" w14:textId="77777777" w:rsidR="006902CC" w:rsidRPr="00C971C6" w:rsidRDefault="006902CC" w:rsidP="006902CC">
            <w:pPr>
              <w:pStyle w:val="Tabletext"/>
              <w:rPr>
                <w:snapToGrid w:val="0"/>
              </w:rPr>
            </w:pPr>
            <w:r w:rsidRPr="00295986">
              <w:t>0</w:t>
            </w:r>
            <w:r w:rsidR="00D7157D">
              <w:t>.</w:t>
            </w:r>
            <w:r w:rsidRPr="00295986">
              <w:t>1632</w:t>
            </w:r>
          </w:p>
        </w:tc>
      </w:tr>
      <w:tr w:rsidR="006902CC" w:rsidRPr="009E2595" w14:paraId="025DE971" w14:textId="77777777" w:rsidTr="006902CC">
        <w:trPr>
          <w:cantSplit/>
        </w:trPr>
        <w:tc>
          <w:tcPr>
            <w:tcW w:w="1136" w:type="pct"/>
            <w:tcBorders>
              <w:top w:val="single" w:sz="4" w:space="0" w:color="auto"/>
              <w:bottom w:val="single" w:sz="4" w:space="0" w:color="auto"/>
            </w:tcBorders>
          </w:tcPr>
          <w:p w14:paraId="2C7D1606" w14:textId="77777777" w:rsidR="006902CC" w:rsidRPr="00616B26" w:rsidRDefault="006902CC" w:rsidP="006902CC">
            <w:pPr>
              <w:pStyle w:val="Tabletext"/>
              <w:rPr>
                <w:snapToGrid w:val="0"/>
              </w:rPr>
            </w:pPr>
            <w:r w:rsidRPr="00616B26">
              <w:rPr>
                <w:snapToGrid w:val="0"/>
              </w:rPr>
              <w:t>39</w:t>
            </w:r>
          </w:p>
        </w:tc>
        <w:tc>
          <w:tcPr>
            <w:tcW w:w="966" w:type="pct"/>
            <w:tcBorders>
              <w:top w:val="single" w:sz="4" w:space="0" w:color="auto"/>
              <w:bottom w:val="single" w:sz="4" w:space="0" w:color="auto"/>
            </w:tcBorders>
            <w:vAlign w:val="bottom"/>
          </w:tcPr>
          <w:p w14:paraId="55C2BA7F" w14:textId="77777777" w:rsidR="006902CC" w:rsidRPr="00C971C6" w:rsidRDefault="006902CC" w:rsidP="006902CC">
            <w:pPr>
              <w:pStyle w:val="Tabletext"/>
              <w:rPr>
                <w:snapToGrid w:val="0"/>
              </w:rPr>
            </w:pPr>
            <w:r w:rsidRPr="00295986">
              <w:t>15</w:t>
            </w:r>
            <w:r w:rsidR="00D7157D">
              <w:t>.</w:t>
            </w:r>
            <w:r w:rsidRPr="00295986">
              <w:t>9448</w:t>
            </w:r>
          </w:p>
        </w:tc>
        <w:tc>
          <w:tcPr>
            <w:tcW w:w="966" w:type="pct"/>
            <w:tcBorders>
              <w:top w:val="single" w:sz="4" w:space="0" w:color="auto"/>
              <w:bottom w:val="single" w:sz="4" w:space="0" w:color="auto"/>
            </w:tcBorders>
            <w:vAlign w:val="bottom"/>
          </w:tcPr>
          <w:p w14:paraId="2A797D91" w14:textId="77777777" w:rsidR="006902CC" w:rsidRPr="00C971C6" w:rsidRDefault="006902CC" w:rsidP="006902CC">
            <w:pPr>
              <w:pStyle w:val="Tabletext"/>
              <w:rPr>
                <w:snapToGrid w:val="0"/>
              </w:rPr>
            </w:pPr>
            <w:r w:rsidRPr="00295986">
              <w:t>0</w:t>
            </w:r>
            <w:r w:rsidR="00D7157D">
              <w:t>.</w:t>
            </w:r>
            <w:r w:rsidRPr="00295986">
              <w:t>3967</w:t>
            </w:r>
          </w:p>
        </w:tc>
        <w:tc>
          <w:tcPr>
            <w:tcW w:w="966" w:type="pct"/>
            <w:tcBorders>
              <w:top w:val="single" w:sz="4" w:space="0" w:color="auto"/>
              <w:bottom w:val="single" w:sz="4" w:space="0" w:color="auto"/>
            </w:tcBorders>
            <w:vAlign w:val="bottom"/>
          </w:tcPr>
          <w:p w14:paraId="11D2FEF1" w14:textId="77777777" w:rsidR="006902CC" w:rsidRPr="00C971C6" w:rsidRDefault="006902CC" w:rsidP="006902CC">
            <w:pPr>
              <w:pStyle w:val="Tabletext"/>
              <w:rPr>
                <w:snapToGrid w:val="0"/>
              </w:rPr>
            </w:pPr>
            <w:r w:rsidRPr="00295986">
              <w:t>16</w:t>
            </w:r>
            <w:r w:rsidR="00D7157D">
              <w:t>.</w:t>
            </w:r>
            <w:r w:rsidRPr="00295986">
              <w:t>1679</w:t>
            </w:r>
          </w:p>
        </w:tc>
        <w:tc>
          <w:tcPr>
            <w:tcW w:w="966" w:type="pct"/>
            <w:tcBorders>
              <w:top w:val="single" w:sz="4" w:space="0" w:color="auto"/>
              <w:bottom w:val="single" w:sz="4" w:space="0" w:color="auto"/>
            </w:tcBorders>
            <w:vAlign w:val="bottom"/>
          </w:tcPr>
          <w:p w14:paraId="668B202A" w14:textId="77777777" w:rsidR="006902CC" w:rsidRPr="00C971C6" w:rsidRDefault="006902CC" w:rsidP="006902CC">
            <w:pPr>
              <w:pStyle w:val="Tabletext"/>
              <w:rPr>
                <w:snapToGrid w:val="0"/>
              </w:rPr>
            </w:pPr>
            <w:r w:rsidRPr="00295986">
              <w:t>0</w:t>
            </w:r>
            <w:r w:rsidR="00D7157D">
              <w:t>.</w:t>
            </w:r>
            <w:r w:rsidRPr="00295986">
              <w:t>1721</w:t>
            </w:r>
          </w:p>
        </w:tc>
      </w:tr>
      <w:tr w:rsidR="006902CC" w:rsidRPr="009E2595" w14:paraId="0BF0E7DB" w14:textId="77777777" w:rsidTr="006902CC">
        <w:trPr>
          <w:cantSplit/>
        </w:trPr>
        <w:tc>
          <w:tcPr>
            <w:tcW w:w="1136" w:type="pct"/>
            <w:tcBorders>
              <w:top w:val="single" w:sz="4" w:space="0" w:color="auto"/>
              <w:bottom w:val="single" w:sz="4" w:space="0" w:color="auto"/>
            </w:tcBorders>
          </w:tcPr>
          <w:p w14:paraId="67D14307" w14:textId="77777777" w:rsidR="006902CC" w:rsidRPr="00616B26" w:rsidRDefault="006902CC" w:rsidP="006902CC">
            <w:pPr>
              <w:pStyle w:val="Tabletext"/>
              <w:rPr>
                <w:snapToGrid w:val="0"/>
              </w:rPr>
            </w:pPr>
            <w:r w:rsidRPr="00616B26">
              <w:rPr>
                <w:snapToGrid w:val="0"/>
              </w:rPr>
              <w:t>40</w:t>
            </w:r>
          </w:p>
        </w:tc>
        <w:tc>
          <w:tcPr>
            <w:tcW w:w="966" w:type="pct"/>
            <w:tcBorders>
              <w:top w:val="single" w:sz="4" w:space="0" w:color="auto"/>
              <w:bottom w:val="single" w:sz="4" w:space="0" w:color="auto"/>
            </w:tcBorders>
            <w:vAlign w:val="bottom"/>
          </w:tcPr>
          <w:p w14:paraId="62055F7A" w14:textId="77777777" w:rsidR="006902CC" w:rsidRPr="00C971C6" w:rsidRDefault="006902CC" w:rsidP="006902CC">
            <w:pPr>
              <w:pStyle w:val="Tabletext"/>
              <w:rPr>
                <w:snapToGrid w:val="0"/>
              </w:rPr>
            </w:pPr>
            <w:r w:rsidRPr="00295986">
              <w:t>15</w:t>
            </w:r>
            <w:r w:rsidR="00D7157D">
              <w:t>.</w:t>
            </w:r>
            <w:r w:rsidRPr="00295986">
              <w:t>8767</w:t>
            </w:r>
          </w:p>
        </w:tc>
        <w:tc>
          <w:tcPr>
            <w:tcW w:w="966" w:type="pct"/>
            <w:tcBorders>
              <w:top w:val="single" w:sz="4" w:space="0" w:color="auto"/>
              <w:bottom w:val="single" w:sz="4" w:space="0" w:color="auto"/>
            </w:tcBorders>
            <w:vAlign w:val="bottom"/>
          </w:tcPr>
          <w:p w14:paraId="032CA670" w14:textId="77777777" w:rsidR="006902CC" w:rsidRPr="00C971C6" w:rsidRDefault="006902CC" w:rsidP="006902CC">
            <w:pPr>
              <w:pStyle w:val="Tabletext"/>
              <w:rPr>
                <w:snapToGrid w:val="0"/>
              </w:rPr>
            </w:pPr>
            <w:r w:rsidRPr="00295986">
              <w:t>0</w:t>
            </w:r>
            <w:r w:rsidR="00D7157D">
              <w:t>.</w:t>
            </w:r>
            <w:r w:rsidRPr="00295986">
              <w:t>4169</w:t>
            </w:r>
          </w:p>
        </w:tc>
        <w:tc>
          <w:tcPr>
            <w:tcW w:w="966" w:type="pct"/>
            <w:tcBorders>
              <w:top w:val="single" w:sz="4" w:space="0" w:color="auto"/>
              <w:bottom w:val="single" w:sz="4" w:space="0" w:color="auto"/>
            </w:tcBorders>
            <w:vAlign w:val="bottom"/>
          </w:tcPr>
          <w:p w14:paraId="62F9C55E" w14:textId="77777777" w:rsidR="006902CC" w:rsidRPr="00C971C6" w:rsidRDefault="006902CC" w:rsidP="006902CC">
            <w:pPr>
              <w:pStyle w:val="Tabletext"/>
              <w:rPr>
                <w:snapToGrid w:val="0"/>
              </w:rPr>
            </w:pPr>
            <w:r w:rsidRPr="00295986">
              <w:t>16</w:t>
            </w:r>
            <w:r w:rsidR="00D7157D">
              <w:t>.</w:t>
            </w:r>
            <w:r w:rsidRPr="00295986">
              <w:t>1087</w:t>
            </w:r>
          </w:p>
        </w:tc>
        <w:tc>
          <w:tcPr>
            <w:tcW w:w="966" w:type="pct"/>
            <w:tcBorders>
              <w:top w:val="single" w:sz="4" w:space="0" w:color="auto"/>
              <w:bottom w:val="single" w:sz="4" w:space="0" w:color="auto"/>
            </w:tcBorders>
            <w:vAlign w:val="bottom"/>
          </w:tcPr>
          <w:p w14:paraId="23158736" w14:textId="77777777" w:rsidR="006902CC" w:rsidRPr="00C971C6" w:rsidRDefault="006902CC" w:rsidP="006902CC">
            <w:pPr>
              <w:pStyle w:val="Tabletext"/>
              <w:rPr>
                <w:snapToGrid w:val="0"/>
              </w:rPr>
            </w:pPr>
            <w:r w:rsidRPr="00295986">
              <w:t>0</w:t>
            </w:r>
            <w:r w:rsidR="00D7157D">
              <w:t>.</w:t>
            </w:r>
            <w:r w:rsidRPr="00295986">
              <w:t>1815</w:t>
            </w:r>
          </w:p>
        </w:tc>
      </w:tr>
      <w:tr w:rsidR="006902CC" w:rsidRPr="009E2595" w14:paraId="50F95545" w14:textId="77777777" w:rsidTr="006902CC">
        <w:trPr>
          <w:cantSplit/>
        </w:trPr>
        <w:tc>
          <w:tcPr>
            <w:tcW w:w="1136" w:type="pct"/>
            <w:tcBorders>
              <w:top w:val="single" w:sz="4" w:space="0" w:color="auto"/>
              <w:bottom w:val="single" w:sz="4" w:space="0" w:color="auto"/>
            </w:tcBorders>
          </w:tcPr>
          <w:p w14:paraId="33FB69BE" w14:textId="77777777" w:rsidR="006902CC" w:rsidRPr="00616B26" w:rsidRDefault="006902CC" w:rsidP="006902CC">
            <w:pPr>
              <w:pStyle w:val="Tabletext"/>
              <w:rPr>
                <w:snapToGrid w:val="0"/>
              </w:rPr>
            </w:pPr>
            <w:r w:rsidRPr="00616B26">
              <w:rPr>
                <w:snapToGrid w:val="0"/>
              </w:rPr>
              <w:t>41</w:t>
            </w:r>
          </w:p>
        </w:tc>
        <w:tc>
          <w:tcPr>
            <w:tcW w:w="966" w:type="pct"/>
            <w:tcBorders>
              <w:top w:val="single" w:sz="4" w:space="0" w:color="auto"/>
              <w:bottom w:val="single" w:sz="4" w:space="0" w:color="auto"/>
            </w:tcBorders>
            <w:vAlign w:val="bottom"/>
          </w:tcPr>
          <w:p w14:paraId="4F1465CE" w14:textId="77777777" w:rsidR="006902CC" w:rsidRPr="00C971C6" w:rsidRDefault="006902CC" w:rsidP="006902CC">
            <w:pPr>
              <w:pStyle w:val="Tabletext"/>
              <w:rPr>
                <w:snapToGrid w:val="0"/>
              </w:rPr>
            </w:pPr>
            <w:r w:rsidRPr="00295986">
              <w:t>15</w:t>
            </w:r>
            <w:r w:rsidR="00D7157D">
              <w:t>.</w:t>
            </w:r>
            <w:r w:rsidRPr="00295986">
              <w:t>8051</w:t>
            </w:r>
          </w:p>
        </w:tc>
        <w:tc>
          <w:tcPr>
            <w:tcW w:w="966" w:type="pct"/>
            <w:tcBorders>
              <w:top w:val="single" w:sz="4" w:space="0" w:color="auto"/>
              <w:bottom w:val="single" w:sz="4" w:space="0" w:color="auto"/>
            </w:tcBorders>
            <w:vAlign w:val="bottom"/>
          </w:tcPr>
          <w:p w14:paraId="5C926A20" w14:textId="77777777" w:rsidR="006902CC" w:rsidRPr="00C971C6" w:rsidRDefault="006902CC" w:rsidP="006902CC">
            <w:pPr>
              <w:pStyle w:val="Tabletext"/>
              <w:rPr>
                <w:snapToGrid w:val="0"/>
              </w:rPr>
            </w:pPr>
            <w:r w:rsidRPr="00295986">
              <w:t>0</w:t>
            </w:r>
            <w:r w:rsidR="00D7157D">
              <w:t>.</w:t>
            </w:r>
            <w:r w:rsidRPr="00295986">
              <w:t>4233</w:t>
            </w:r>
          </w:p>
        </w:tc>
        <w:tc>
          <w:tcPr>
            <w:tcW w:w="966" w:type="pct"/>
            <w:tcBorders>
              <w:top w:val="single" w:sz="4" w:space="0" w:color="auto"/>
              <w:bottom w:val="single" w:sz="4" w:space="0" w:color="auto"/>
            </w:tcBorders>
            <w:vAlign w:val="bottom"/>
          </w:tcPr>
          <w:p w14:paraId="77FE22BE" w14:textId="77777777" w:rsidR="006902CC" w:rsidRPr="00C971C6" w:rsidRDefault="006902CC" w:rsidP="006902CC">
            <w:pPr>
              <w:pStyle w:val="Tabletext"/>
              <w:rPr>
                <w:snapToGrid w:val="0"/>
              </w:rPr>
            </w:pPr>
            <w:r w:rsidRPr="00295986">
              <w:t>16</w:t>
            </w:r>
            <w:r w:rsidR="00D7157D">
              <w:t>.</w:t>
            </w:r>
            <w:r w:rsidRPr="00295986">
              <w:t>0461</w:t>
            </w:r>
          </w:p>
        </w:tc>
        <w:tc>
          <w:tcPr>
            <w:tcW w:w="966" w:type="pct"/>
            <w:tcBorders>
              <w:top w:val="single" w:sz="4" w:space="0" w:color="auto"/>
              <w:bottom w:val="single" w:sz="4" w:space="0" w:color="auto"/>
            </w:tcBorders>
            <w:vAlign w:val="bottom"/>
          </w:tcPr>
          <w:p w14:paraId="6B87BA0C" w14:textId="77777777" w:rsidR="006902CC" w:rsidRPr="00C971C6" w:rsidRDefault="006902CC" w:rsidP="006902CC">
            <w:pPr>
              <w:pStyle w:val="Tabletext"/>
              <w:rPr>
                <w:snapToGrid w:val="0"/>
              </w:rPr>
            </w:pPr>
            <w:r w:rsidRPr="00295986">
              <w:t>0</w:t>
            </w:r>
            <w:r w:rsidR="00D7157D">
              <w:t>.</w:t>
            </w:r>
            <w:r w:rsidRPr="00295986">
              <w:t>1798</w:t>
            </w:r>
          </w:p>
        </w:tc>
      </w:tr>
      <w:tr w:rsidR="006902CC" w:rsidRPr="009E2595" w14:paraId="2A71DDF4" w14:textId="77777777" w:rsidTr="006902CC">
        <w:trPr>
          <w:cantSplit/>
        </w:trPr>
        <w:tc>
          <w:tcPr>
            <w:tcW w:w="1136" w:type="pct"/>
            <w:tcBorders>
              <w:top w:val="single" w:sz="4" w:space="0" w:color="auto"/>
              <w:bottom w:val="single" w:sz="4" w:space="0" w:color="auto"/>
            </w:tcBorders>
          </w:tcPr>
          <w:p w14:paraId="08491C19" w14:textId="77777777" w:rsidR="006902CC" w:rsidRPr="00616B26" w:rsidRDefault="006902CC" w:rsidP="006902CC">
            <w:pPr>
              <w:pStyle w:val="Tabletext"/>
              <w:rPr>
                <w:snapToGrid w:val="0"/>
              </w:rPr>
            </w:pPr>
            <w:r w:rsidRPr="00616B26">
              <w:rPr>
                <w:snapToGrid w:val="0"/>
              </w:rPr>
              <w:t>42</w:t>
            </w:r>
          </w:p>
        </w:tc>
        <w:tc>
          <w:tcPr>
            <w:tcW w:w="966" w:type="pct"/>
            <w:tcBorders>
              <w:top w:val="single" w:sz="4" w:space="0" w:color="auto"/>
              <w:bottom w:val="single" w:sz="4" w:space="0" w:color="auto"/>
            </w:tcBorders>
            <w:vAlign w:val="bottom"/>
          </w:tcPr>
          <w:p w14:paraId="77C7B15D" w14:textId="77777777" w:rsidR="006902CC" w:rsidRPr="00C971C6" w:rsidRDefault="006902CC" w:rsidP="006902CC">
            <w:pPr>
              <w:pStyle w:val="Tabletext"/>
              <w:rPr>
                <w:snapToGrid w:val="0"/>
              </w:rPr>
            </w:pPr>
            <w:r w:rsidRPr="00295986">
              <w:t>15</w:t>
            </w:r>
            <w:r w:rsidR="00D7157D">
              <w:t>.</w:t>
            </w:r>
            <w:r w:rsidRPr="00295986">
              <w:t>7297</w:t>
            </w:r>
          </w:p>
        </w:tc>
        <w:tc>
          <w:tcPr>
            <w:tcW w:w="966" w:type="pct"/>
            <w:tcBorders>
              <w:top w:val="single" w:sz="4" w:space="0" w:color="auto"/>
              <w:bottom w:val="single" w:sz="4" w:space="0" w:color="auto"/>
            </w:tcBorders>
            <w:vAlign w:val="bottom"/>
          </w:tcPr>
          <w:p w14:paraId="42EC2529" w14:textId="77777777" w:rsidR="006902CC" w:rsidRPr="00C971C6" w:rsidRDefault="006902CC" w:rsidP="006902CC">
            <w:pPr>
              <w:pStyle w:val="Tabletext"/>
              <w:rPr>
                <w:snapToGrid w:val="0"/>
              </w:rPr>
            </w:pPr>
            <w:r w:rsidRPr="00295986">
              <w:t>0</w:t>
            </w:r>
            <w:r w:rsidR="00D7157D">
              <w:t>.</w:t>
            </w:r>
            <w:r w:rsidRPr="00295986">
              <w:t>4291</w:t>
            </w:r>
          </w:p>
        </w:tc>
        <w:tc>
          <w:tcPr>
            <w:tcW w:w="966" w:type="pct"/>
            <w:tcBorders>
              <w:top w:val="single" w:sz="4" w:space="0" w:color="auto"/>
              <w:bottom w:val="single" w:sz="4" w:space="0" w:color="auto"/>
            </w:tcBorders>
            <w:vAlign w:val="bottom"/>
          </w:tcPr>
          <w:p w14:paraId="785A70C8" w14:textId="77777777" w:rsidR="006902CC" w:rsidRPr="00C971C6" w:rsidRDefault="006902CC" w:rsidP="006902CC">
            <w:pPr>
              <w:pStyle w:val="Tabletext"/>
              <w:rPr>
                <w:snapToGrid w:val="0"/>
              </w:rPr>
            </w:pPr>
            <w:r w:rsidRPr="00295986">
              <w:t>15</w:t>
            </w:r>
            <w:r w:rsidR="00D7157D">
              <w:t>.</w:t>
            </w:r>
            <w:r w:rsidRPr="00295986">
              <w:t>9801</w:t>
            </w:r>
          </w:p>
        </w:tc>
        <w:tc>
          <w:tcPr>
            <w:tcW w:w="966" w:type="pct"/>
            <w:tcBorders>
              <w:top w:val="single" w:sz="4" w:space="0" w:color="auto"/>
              <w:bottom w:val="single" w:sz="4" w:space="0" w:color="auto"/>
            </w:tcBorders>
            <w:vAlign w:val="bottom"/>
          </w:tcPr>
          <w:p w14:paraId="40A58F29" w14:textId="77777777" w:rsidR="006902CC" w:rsidRPr="00C971C6" w:rsidRDefault="006902CC" w:rsidP="006902CC">
            <w:pPr>
              <w:pStyle w:val="Tabletext"/>
              <w:rPr>
                <w:snapToGrid w:val="0"/>
              </w:rPr>
            </w:pPr>
            <w:r w:rsidRPr="00295986">
              <w:t>0</w:t>
            </w:r>
            <w:r w:rsidR="00D7157D">
              <w:t>.</w:t>
            </w:r>
            <w:r w:rsidRPr="00295986">
              <w:t>1772</w:t>
            </w:r>
          </w:p>
        </w:tc>
      </w:tr>
      <w:tr w:rsidR="006902CC" w:rsidRPr="009E2595" w14:paraId="61EE8B1B" w14:textId="77777777" w:rsidTr="006902CC">
        <w:trPr>
          <w:cantSplit/>
        </w:trPr>
        <w:tc>
          <w:tcPr>
            <w:tcW w:w="1136" w:type="pct"/>
            <w:tcBorders>
              <w:top w:val="single" w:sz="4" w:space="0" w:color="auto"/>
              <w:bottom w:val="single" w:sz="4" w:space="0" w:color="auto"/>
            </w:tcBorders>
          </w:tcPr>
          <w:p w14:paraId="6D5CAD1C" w14:textId="77777777" w:rsidR="006902CC" w:rsidRPr="00616B26" w:rsidRDefault="006902CC" w:rsidP="006902CC">
            <w:pPr>
              <w:pStyle w:val="Tabletext"/>
              <w:rPr>
                <w:snapToGrid w:val="0"/>
              </w:rPr>
            </w:pPr>
            <w:r w:rsidRPr="00616B26">
              <w:rPr>
                <w:snapToGrid w:val="0"/>
              </w:rPr>
              <w:t>43</w:t>
            </w:r>
          </w:p>
        </w:tc>
        <w:tc>
          <w:tcPr>
            <w:tcW w:w="966" w:type="pct"/>
            <w:tcBorders>
              <w:top w:val="single" w:sz="4" w:space="0" w:color="auto"/>
              <w:bottom w:val="single" w:sz="4" w:space="0" w:color="auto"/>
            </w:tcBorders>
            <w:vAlign w:val="bottom"/>
          </w:tcPr>
          <w:p w14:paraId="1769F25A" w14:textId="77777777" w:rsidR="006902CC" w:rsidRPr="00C971C6" w:rsidRDefault="006902CC" w:rsidP="006902CC">
            <w:pPr>
              <w:pStyle w:val="Tabletext"/>
              <w:rPr>
                <w:snapToGrid w:val="0"/>
              </w:rPr>
            </w:pPr>
            <w:r w:rsidRPr="00295986">
              <w:t>15</w:t>
            </w:r>
            <w:r w:rsidR="00D7157D">
              <w:t>.</w:t>
            </w:r>
            <w:r w:rsidRPr="00295986">
              <w:t>6505</w:t>
            </w:r>
          </w:p>
        </w:tc>
        <w:tc>
          <w:tcPr>
            <w:tcW w:w="966" w:type="pct"/>
            <w:tcBorders>
              <w:top w:val="single" w:sz="4" w:space="0" w:color="auto"/>
              <w:bottom w:val="single" w:sz="4" w:space="0" w:color="auto"/>
            </w:tcBorders>
            <w:vAlign w:val="bottom"/>
          </w:tcPr>
          <w:p w14:paraId="56831ED1" w14:textId="77777777" w:rsidR="006902CC" w:rsidRPr="00C971C6" w:rsidRDefault="006902CC" w:rsidP="006902CC">
            <w:pPr>
              <w:pStyle w:val="Tabletext"/>
              <w:rPr>
                <w:snapToGrid w:val="0"/>
              </w:rPr>
            </w:pPr>
            <w:r w:rsidRPr="00295986">
              <w:t>0</w:t>
            </w:r>
            <w:r w:rsidR="00D7157D">
              <w:t>.</w:t>
            </w:r>
            <w:r w:rsidRPr="00295986">
              <w:t>4342</w:t>
            </w:r>
          </w:p>
        </w:tc>
        <w:tc>
          <w:tcPr>
            <w:tcW w:w="966" w:type="pct"/>
            <w:tcBorders>
              <w:top w:val="single" w:sz="4" w:space="0" w:color="auto"/>
              <w:bottom w:val="single" w:sz="4" w:space="0" w:color="auto"/>
            </w:tcBorders>
            <w:vAlign w:val="bottom"/>
          </w:tcPr>
          <w:p w14:paraId="7F4213A2" w14:textId="77777777" w:rsidR="006902CC" w:rsidRPr="00C971C6" w:rsidRDefault="006902CC" w:rsidP="006902CC">
            <w:pPr>
              <w:pStyle w:val="Tabletext"/>
              <w:rPr>
                <w:snapToGrid w:val="0"/>
              </w:rPr>
            </w:pPr>
            <w:r w:rsidRPr="00295986">
              <w:t>15</w:t>
            </w:r>
            <w:r w:rsidR="00D7157D">
              <w:t>.</w:t>
            </w:r>
            <w:r w:rsidRPr="00295986">
              <w:t>9104</w:t>
            </w:r>
          </w:p>
        </w:tc>
        <w:tc>
          <w:tcPr>
            <w:tcW w:w="966" w:type="pct"/>
            <w:tcBorders>
              <w:top w:val="single" w:sz="4" w:space="0" w:color="auto"/>
              <w:bottom w:val="single" w:sz="4" w:space="0" w:color="auto"/>
            </w:tcBorders>
            <w:vAlign w:val="bottom"/>
          </w:tcPr>
          <w:p w14:paraId="24F83AA5" w14:textId="77777777" w:rsidR="006902CC" w:rsidRPr="00C971C6" w:rsidRDefault="006902CC" w:rsidP="006902CC">
            <w:pPr>
              <w:pStyle w:val="Tabletext"/>
              <w:rPr>
                <w:snapToGrid w:val="0"/>
              </w:rPr>
            </w:pPr>
            <w:r w:rsidRPr="00295986">
              <w:t>0</w:t>
            </w:r>
            <w:r w:rsidR="00D7157D">
              <w:t>.</w:t>
            </w:r>
            <w:r w:rsidRPr="00295986">
              <w:t>1738</w:t>
            </w:r>
          </w:p>
        </w:tc>
      </w:tr>
      <w:tr w:rsidR="006902CC" w:rsidRPr="009E2595" w14:paraId="7AE081C9" w14:textId="77777777" w:rsidTr="006902CC">
        <w:trPr>
          <w:cantSplit/>
        </w:trPr>
        <w:tc>
          <w:tcPr>
            <w:tcW w:w="1136" w:type="pct"/>
            <w:tcBorders>
              <w:top w:val="single" w:sz="4" w:space="0" w:color="auto"/>
              <w:bottom w:val="single" w:sz="4" w:space="0" w:color="auto"/>
            </w:tcBorders>
          </w:tcPr>
          <w:p w14:paraId="175B695F" w14:textId="77777777" w:rsidR="006902CC" w:rsidRPr="00616B26" w:rsidRDefault="006902CC" w:rsidP="006902CC">
            <w:pPr>
              <w:pStyle w:val="Tabletext"/>
              <w:rPr>
                <w:snapToGrid w:val="0"/>
              </w:rPr>
            </w:pPr>
            <w:r w:rsidRPr="00616B26">
              <w:rPr>
                <w:snapToGrid w:val="0"/>
              </w:rPr>
              <w:t>44</w:t>
            </w:r>
          </w:p>
        </w:tc>
        <w:tc>
          <w:tcPr>
            <w:tcW w:w="966" w:type="pct"/>
            <w:tcBorders>
              <w:top w:val="single" w:sz="4" w:space="0" w:color="auto"/>
              <w:bottom w:val="single" w:sz="4" w:space="0" w:color="auto"/>
            </w:tcBorders>
            <w:vAlign w:val="bottom"/>
          </w:tcPr>
          <w:p w14:paraId="28E61DD5" w14:textId="77777777" w:rsidR="006902CC" w:rsidRPr="00C971C6" w:rsidRDefault="006902CC" w:rsidP="006902CC">
            <w:pPr>
              <w:pStyle w:val="Tabletext"/>
              <w:rPr>
                <w:snapToGrid w:val="0"/>
              </w:rPr>
            </w:pPr>
            <w:r w:rsidRPr="00295986">
              <w:t>15</w:t>
            </w:r>
            <w:r w:rsidR="00D7157D">
              <w:t>.</w:t>
            </w:r>
            <w:r w:rsidRPr="00295986">
              <w:t>5672</w:t>
            </w:r>
          </w:p>
        </w:tc>
        <w:tc>
          <w:tcPr>
            <w:tcW w:w="966" w:type="pct"/>
            <w:tcBorders>
              <w:top w:val="single" w:sz="4" w:space="0" w:color="auto"/>
              <w:bottom w:val="single" w:sz="4" w:space="0" w:color="auto"/>
            </w:tcBorders>
            <w:vAlign w:val="bottom"/>
          </w:tcPr>
          <w:p w14:paraId="1F133053" w14:textId="77777777" w:rsidR="006902CC" w:rsidRPr="00C971C6" w:rsidRDefault="006902CC" w:rsidP="006902CC">
            <w:pPr>
              <w:pStyle w:val="Tabletext"/>
              <w:rPr>
                <w:snapToGrid w:val="0"/>
              </w:rPr>
            </w:pPr>
            <w:r w:rsidRPr="00295986">
              <w:t>0</w:t>
            </w:r>
            <w:r w:rsidR="00D7157D">
              <w:t>.</w:t>
            </w:r>
            <w:r w:rsidRPr="00295986">
              <w:t>4387</w:t>
            </w:r>
          </w:p>
        </w:tc>
        <w:tc>
          <w:tcPr>
            <w:tcW w:w="966" w:type="pct"/>
            <w:tcBorders>
              <w:top w:val="single" w:sz="4" w:space="0" w:color="auto"/>
              <w:bottom w:val="single" w:sz="4" w:space="0" w:color="auto"/>
            </w:tcBorders>
            <w:vAlign w:val="bottom"/>
          </w:tcPr>
          <w:p w14:paraId="3E319F9E" w14:textId="77777777" w:rsidR="006902CC" w:rsidRPr="00C971C6" w:rsidRDefault="006902CC" w:rsidP="006902CC">
            <w:pPr>
              <w:pStyle w:val="Tabletext"/>
              <w:rPr>
                <w:snapToGrid w:val="0"/>
              </w:rPr>
            </w:pPr>
            <w:r w:rsidRPr="00295986">
              <w:t>15</w:t>
            </w:r>
            <w:r w:rsidR="00D7157D">
              <w:t>.</w:t>
            </w:r>
            <w:r w:rsidRPr="00295986">
              <w:t>8368</w:t>
            </w:r>
          </w:p>
        </w:tc>
        <w:tc>
          <w:tcPr>
            <w:tcW w:w="966" w:type="pct"/>
            <w:tcBorders>
              <w:top w:val="single" w:sz="4" w:space="0" w:color="auto"/>
              <w:bottom w:val="single" w:sz="4" w:space="0" w:color="auto"/>
            </w:tcBorders>
            <w:vAlign w:val="bottom"/>
          </w:tcPr>
          <w:p w14:paraId="10C54479" w14:textId="77777777" w:rsidR="006902CC" w:rsidRPr="00C971C6" w:rsidRDefault="006902CC" w:rsidP="006902CC">
            <w:pPr>
              <w:pStyle w:val="Tabletext"/>
              <w:rPr>
                <w:snapToGrid w:val="0"/>
              </w:rPr>
            </w:pPr>
            <w:r w:rsidRPr="00295986">
              <w:t>0</w:t>
            </w:r>
            <w:r w:rsidR="00D7157D">
              <w:t>.</w:t>
            </w:r>
            <w:r w:rsidRPr="00295986">
              <w:t>1695</w:t>
            </w:r>
          </w:p>
        </w:tc>
      </w:tr>
      <w:tr w:rsidR="006902CC" w:rsidRPr="009E2595" w14:paraId="6BD11454" w14:textId="77777777" w:rsidTr="006902CC">
        <w:trPr>
          <w:cantSplit/>
        </w:trPr>
        <w:tc>
          <w:tcPr>
            <w:tcW w:w="1136" w:type="pct"/>
            <w:tcBorders>
              <w:top w:val="single" w:sz="4" w:space="0" w:color="auto"/>
              <w:bottom w:val="single" w:sz="4" w:space="0" w:color="auto"/>
            </w:tcBorders>
          </w:tcPr>
          <w:p w14:paraId="11E00631" w14:textId="77777777" w:rsidR="006902CC" w:rsidRPr="00616B26" w:rsidRDefault="006902CC" w:rsidP="006902CC">
            <w:pPr>
              <w:pStyle w:val="Tabletext"/>
              <w:rPr>
                <w:snapToGrid w:val="0"/>
              </w:rPr>
            </w:pPr>
            <w:r w:rsidRPr="00616B26">
              <w:rPr>
                <w:snapToGrid w:val="0"/>
              </w:rPr>
              <w:t>45</w:t>
            </w:r>
          </w:p>
        </w:tc>
        <w:tc>
          <w:tcPr>
            <w:tcW w:w="966" w:type="pct"/>
            <w:tcBorders>
              <w:top w:val="single" w:sz="4" w:space="0" w:color="auto"/>
              <w:bottom w:val="single" w:sz="4" w:space="0" w:color="auto"/>
            </w:tcBorders>
            <w:vAlign w:val="bottom"/>
          </w:tcPr>
          <w:p w14:paraId="5A5A372D" w14:textId="77777777" w:rsidR="006902CC" w:rsidRPr="00C971C6" w:rsidRDefault="006902CC" w:rsidP="006902CC">
            <w:pPr>
              <w:pStyle w:val="Tabletext"/>
              <w:rPr>
                <w:snapToGrid w:val="0"/>
              </w:rPr>
            </w:pPr>
            <w:r w:rsidRPr="00295986">
              <w:t>15</w:t>
            </w:r>
            <w:r w:rsidR="00D7157D">
              <w:t>.</w:t>
            </w:r>
            <w:r w:rsidRPr="00295986">
              <w:t>4798</w:t>
            </w:r>
          </w:p>
        </w:tc>
        <w:tc>
          <w:tcPr>
            <w:tcW w:w="966" w:type="pct"/>
            <w:tcBorders>
              <w:top w:val="single" w:sz="4" w:space="0" w:color="auto"/>
              <w:bottom w:val="single" w:sz="4" w:space="0" w:color="auto"/>
            </w:tcBorders>
            <w:vAlign w:val="bottom"/>
          </w:tcPr>
          <w:p w14:paraId="5203AE16" w14:textId="77777777" w:rsidR="006902CC" w:rsidRPr="00C971C6" w:rsidRDefault="006902CC" w:rsidP="006902CC">
            <w:pPr>
              <w:pStyle w:val="Tabletext"/>
              <w:rPr>
                <w:snapToGrid w:val="0"/>
              </w:rPr>
            </w:pPr>
            <w:r w:rsidRPr="00295986">
              <w:t>0</w:t>
            </w:r>
            <w:r w:rsidR="00D7157D">
              <w:t>.</w:t>
            </w:r>
            <w:r w:rsidRPr="00295986">
              <w:t>4422</w:t>
            </w:r>
          </w:p>
        </w:tc>
        <w:tc>
          <w:tcPr>
            <w:tcW w:w="966" w:type="pct"/>
            <w:tcBorders>
              <w:top w:val="single" w:sz="4" w:space="0" w:color="auto"/>
              <w:bottom w:val="single" w:sz="4" w:space="0" w:color="auto"/>
            </w:tcBorders>
            <w:vAlign w:val="bottom"/>
          </w:tcPr>
          <w:p w14:paraId="723A5BAE" w14:textId="77777777" w:rsidR="006902CC" w:rsidRPr="00C971C6" w:rsidRDefault="006902CC" w:rsidP="006902CC">
            <w:pPr>
              <w:pStyle w:val="Tabletext"/>
              <w:rPr>
                <w:snapToGrid w:val="0"/>
              </w:rPr>
            </w:pPr>
            <w:r w:rsidRPr="00295986">
              <w:t>15</w:t>
            </w:r>
            <w:r w:rsidR="00D7157D">
              <w:t>.</w:t>
            </w:r>
            <w:r w:rsidRPr="00295986">
              <w:t>7592</w:t>
            </w:r>
          </w:p>
        </w:tc>
        <w:tc>
          <w:tcPr>
            <w:tcW w:w="966" w:type="pct"/>
            <w:tcBorders>
              <w:top w:val="single" w:sz="4" w:space="0" w:color="auto"/>
              <w:bottom w:val="single" w:sz="4" w:space="0" w:color="auto"/>
            </w:tcBorders>
            <w:vAlign w:val="bottom"/>
          </w:tcPr>
          <w:p w14:paraId="43DC0C4F" w14:textId="77777777" w:rsidR="006902CC" w:rsidRPr="00C971C6" w:rsidRDefault="006902CC" w:rsidP="006902CC">
            <w:pPr>
              <w:pStyle w:val="Tabletext"/>
              <w:rPr>
                <w:snapToGrid w:val="0"/>
              </w:rPr>
            </w:pPr>
            <w:r w:rsidRPr="00295986">
              <w:t>0</w:t>
            </w:r>
            <w:r w:rsidR="00D7157D">
              <w:t>.</w:t>
            </w:r>
            <w:r w:rsidRPr="00295986">
              <w:t>1641</w:t>
            </w:r>
          </w:p>
        </w:tc>
      </w:tr>
      <w:tr w:rsidR="006902CC" w:rsidRPr="009E2595" w14:paraId="16CF2087" w14:textId="77777777" w:rsidTr="006902CC">
        <w:trPr>
          <w:cantSplit/>
        </w:trPr>
        <w:tc>
          <w:tcPr>
            <w:tcW w:w="1136" w:type="pct"/>
            <w:tcBorders>
              <w:top w:val="single" w:sz="4" w:space="0" w:color="auto"/>
              <w:bottom w:val="single" w:sz="4" w:space="0" w:color="auto"/>
            </w:tcBorders>
          </w:tcPr>
          <w:p w14:paraId="4F05CE5B" w14:textId="77777777" w:rsidR="006902CC" w:rsidRPr="00616B26" w:rsidRDefault="006902CC" w:rsidP="006902CC">
            <w:pPr>
              <w:pStyle w:val="Tabletext"/>
              <w:rPr>
                <w:snapToGrid w:val="0"/>
              </w:rPr>
            </w:pPr>
            <w:r w:rsidRPr="00616B26">
              <w:rPr>
                <w:snapToGrid w:val="0"/>
              </w:rPr>
              <w:t>46</w:t>
            </w:r>
          </w:p>
        </w:tc>
        <w:tc>
          <w:tcPr>
            <w:tcW w:w="966" w:type="pct"/>
            <w:tcBorders>
              <w:top w:val="single" w:sz="4" w:space="0" w:color="auto"/>
              <w:bottom w:val="single" w:sz="4" w:space="0" w:color="auto"/>
            </w:tcBorders>
            <w:vAlign w:val="bottom"/>
          </w:tcPr>
          <w:p w14:paraId="2CCA4C01" w14:textId="77777777" w:rsidR="006902CC" w:rsidRPr="00C971C6" w:rsidRDefault="006902CC" w:rsidP="006902CC">
            <w:pPr>
              <w:pStyle w:val="Tabletext"/>
              <w:rPr>
                <w:snapToGrid w:val="0"/>
              </w:rPr>
            </w:pPr>
            <w:r w:rsidRPr="00295986">
              <w:t>15</w:t>
            </w:r>
            <w:r w:rsidR="00D7157D">
              <w:t>.</w:t>
            </w:r>
            <w:r w:rsidRPr="00295986">
              <w:t>3880</w:t>
            </w:r>
          </w:p>
        </w:tc>
        <w:tc>
          <w:tcPr>
            <w:tcW w:w="966" w:type="pct"/>
            <w:tcBorders>
              <w:top w:val="single" w:sz="4" w:space="0" w:color="auto"/>
              <w:bottom w:val="single" w:sz="4" w:space="0" w:color="auto"/>
            </w:tcBorders>
            <w:vAlign w:val="bottom"/>
          </w:tcPr>
          <w:p w14:paraId="67D29F1F" w14:textId="77777777" w:rsidR="006902CC" w:rsidRPr="00C971C6" w:rsidRDefault="006902CC" w:rsidP="006902CC">
            <w:pPr>
              <w:pStyle w:val="Tabletext"/>
              <w:rPr>
                <w:snapToGrid w:val="0"/>
              </w:rPr>
            </w:pPr>
            <w:r w:rsidRPr="00295986">
              <w:t>0</w:t>
            </w:r>
            <w:r w:rsidR="00D7157D">
              <w:t>.</w:t>
            </w:r>
            <w:r w:rsidRPr="00295986">
              <w:t>4448</w:t>
            </w:r>
          </w:p>
        </w:tc>
        <w:tc>
          <w:tcPr>
            <w:tcW w:w="966" w:type="pct"/>
            <w:tcBorders>
              <w:top w:val="single" w:sz="4" w:space="0" w:color="auto"/>
              <w:bottom w:val="single" w:sz="4" w:space="0" w:color="auto"/>
            </w:tcBorders>
            <w:vAlign w:val="bottom"/>
          </w:tcPr>
          <w:p w14:paraId="162F6386" w14:textId="77777777" w:rsidR="006902CC" w:rsidRPr="00C971C6" w:rsidRDefault="006902CC" w:rsidP="006902CC">
            <w:pPr>
              <w:pStyle w:val="Tabletext"/>
              <w:rPr>
                <w:snapToGrid w:val="0"/>
              </w:rPr>
            </w:pPr>
            <w:r w:rsidRPr="00295986">
              <w:t>15</w:t>
            </w:r>
            <w:r w:rsidR="00D7157D">
              <w:t>.</w:t>
            </w:r>
            <w:r w:rsidRPr="00295986">
              <w:t>6773</w:t>
            </w:r>
          </w:p>
        </w:tc>
        <w:tc>
          <w:tcPr>
            <w:tcW w:w="966" w:type="pct"/>
            <w:tcBorders>
              <w:top w:val="single" w:sz="4" w:space="0" w:color="auto"/>
              <w:bottom w:val="single" w:sz="4" w:space="0" w:color="auto"/>
            </w:tcBorders>
            <w:vAlign w:val="bottom"/>
          </w:tcPr>
          <w:p w14:paraId="3309B770" w14:textId="77777777" w:rsidR="006902CC" w:rsidRPr="00C971C6" w:rsidRDefault="006902CC" w:rsidP="006902CC">
            <w:pPr>
              <w:pStyle w:val="Tabletext"/>
              <w:rPr>
                <w:snapToGrid w:val="0"/>
              </w:rPr>
            </w:pPr>
            <w:r w:rsidRPr="00295986">
              <w:t>0</w:t>
            </w:r>
            <w:r w:rsidR="00D7157D">
              <w:t>.</w:t>
            </w:r>
            <w:r w:rsidRPr="00295986">
              <w:t>1577</w:t>
            </w:r>
          </w:p>
        </w:tc>
      </w:tr>
      <w:tr w:rsidR="006902CC" w:rsidRPr="009E2595" w14:paraId="546BA09B" w14:textId="77777777" w:rsidTr="006902CC">
        <w:trPr>
          <w:cantSplit/>
        </w:trPr>
        <w:tc>
          <w:tcPr>
            <w:tcW w:w="1136" w:type="pct"/>
            <w:tcBorders>
              <w:top w:val="single" w:sz="4" w:space="0" w:color="auto"/>
              <w:bottom w:val="single" w:sz="4" w:space="0" w:color="auto"/>
            </w:tcBorders>
          </w:tcPr>
          <w:p w14:paraId="231F908B" w14:textId="77777777" w:rsidR="006902CC" w:rsidRPr="00616B26" w:rsidRDefault="006902CC" w:rsidP="006902CC">
            <w:pPr>
              <w:pStyle w:val="Tabletext"/>
              <w:rPr>
                <w:snapToGrid w:val="0"/>
              </w:rPr>
            </w:pPr>
            <w:r w:rsidRPr="00616B26">
              <w:rPr>
                <w:snapToGrid w:val="0"/>
              </w:rPr>
              <w:t>47</w:t>
            </w:r>
          </w:p>
        </w:tc>
        <w:tc>
          <w:tcPr>
            <w:tcW w:w="966" w:type="pct"/>
            <w:tcBorders>
              <w:top w:val="single" w:sz="4" w:space="0" w:color="auto"/>
              <w:bottom w:val="single" w:sz="4" w:space="0" w:color="auto"/>
            </w:tcBorders>
            <w:vAlign w:val="bottom"/>
          </w:tcPr>
          <w:p w14:paraId="0CF8F280" w14:textId="77777777" w:rsidR="006902CC" w:rsidRPr="00C971C6" w:rsidRDefault="006902CC" w:rsidP="006902CC">
            <w:pPr>
              <w:pStyle w:val="Tabletext"/>
              <w:rPr>
                <w:snapToGrid w:val="0"/>
              </w:rPr>
            </w:pPr>
            <w:r w:rsidRPr="00295986">
              <w:t>15</w:t>
            </w:r>
            <w:r w:rsidR="00D7157D">
              <w:t>.</w:t>
            </w:r>
            <w:r w:rsidRPr="00295986">
              <w:t>2916</w:t>
            </w:r>
          </w:p>
        </w:tc>
        <w:tc>
          <w:tcPr>
            <w:tcW w:w="966" w:type="pct"/>
            <w:tcBorders>
              <w:top w:val="single" w:sz="4" w:space="0" w:color="auto"/>
              <w:bottom w:val="single" w:sz="4" w:space="0" w:color="auto"/>
            </w:tcBorders>
            <w:vAlign w:val="bottom"/>
          </w:tcPr>
          <w:p w14:paraId="457BCF59" w14:textId="77777777" w:rsidR="006902CC" w:rsidRPr="00C971C6" w:rsidRDefault="006902CC" w:rsidP="006902CC">
            <w:pPr>
              <w:pStyle w:val="Tabletext"/>
              <w:rPr>
                <w:snapToGrid w:val="0"/>
              </w:rPr>
            </w:pPr>
            <w:r w:rsidRPr="00295986">
              <w:t>0</w:t>
            </w:r>
            <w:r w:rsidR="00D7157D">
              <w:t>.</w:t>
            </w:r>
            <w:r w:rsidRPr="00295986">
              <w:t>4465</w:t>
            </w:r>
          </w:p>
        </w:tc>
        <w:tc>
          <w:tcPr>
            <w:tcW w:w="966" w:type="pct"/>
            <w:tcBorders>
              <w:top w:val="single" w:sz="4" w:space="0" w:color="auto"/>
              <w:bottom w:val="single" w:sz="4" w:space="0" w:color="auto"/>
            </w:tcBorders>
            <w:vAlign w:val="bottom"/>
          </w:tcPr>
          <w:p w14:paraId="39CE61AC" w14:textId="77777777" w:rsidR="006902CC" w:rsidRPr="00C971C6" w:rsidRDefault="006902CC" w:rsidP="006902CC">
            <w:pPr>
              <w:pStyle w:val="Tabletext"/>
              <w:rPr>
                <w:snapToGrid w:val="0"/>
              </w:rPr>
            </w:pPr>
            <w:r w:rsidRPr="00295986">
              <w:t>15</w:t>
            </w:r>
            <w:r w:rsidR="00D7157D">
              <w:t>.</w:t>
            </w:r>
            <w:r w:rsidRPr="00295986">
              <w:t>5909</w:t>
            </w:r>
          </w:p>
        </w:tc>
        <w:tc>
          <w:tcPr>
            <w:tcW w:w="966" w:type="pct"/>
            <w:tcBorders>
              <w:top w:val="single" w:sz="4" w:space="0" w:color="auto"/>
              <w:bottom w:val="single" w:sz="4" w:space="0" w:color="auto"/>
            </w:tcBorders>
            <w:vAlign w:val="bottom"/>
          </w:tcPr>
          <w:p w14:paraId="3D85E33E" w14:textId="77777777" w:rsidR="006902CC" w:rsidRPr="00C971C6" w:rsidRDefault="006902CC" w:rsidP="006902CC">
            <w:pPr>
              <w:pStyle w:val="Tabletext"/>
              <w:rPr>
                <w:snapToGrid w:val="0"/>
              </w:rPr>
            </w:pPr>
            <w:r w:rsidRPr="00295986">
              <w:t>0</w:t>
            </w:r>
            <w:r w:rsidR="00D7157D">
              <w:t>.</w:t>
            </w:r>
            <w:r w:rsidRPr="00295986">
              <w:t>1501</w:t>
            </w:r>
          </w:p>
        </w:tc>
      </w:tr>
      <w:tr w:rsidR="006902CC" w:rsidRPr="009E2595" w14:paraId="301B2312" w14:textId="77777777" w:rsidTr="006902CC">
        <w:trPr>
          <w:cantSplit/>
        </w:trPr>
        <w:tc>
          <w:tcPr>
            <w:tcW w:w="1136" w:type="pct"/>
            <w:tcBorders>
              <w:top w:val="single" w:sz="4" w:space="0" w:color="auto"/>
              <w:bottom w:val="single" w:sz="4" w:space="0" w:color="auto"/>
            </w:tcBorders>
          </w:tcPr>
          <w:p w14:paraId="3FFD4768" w14:textId="77777777" w:rsidR="006902CC" w:rsidRPr="00616B26" w:rsidRDefault="006902CC" w:rsidP="006902CC">
            <w:pPr>
              <w:pStyle w:val="Tabletext"/>
              <w:rPr>
                <w:snapToGrid w:val="0"/>
              </w:rPr>
            </w:pPr>
            <w:r w:rsidRPr="00616B26">
              <w:rPr>
                <w:snapToGrid w:val="0"/>
              </w:rPr>
              <w:t>48</w:t>
            </w:r>
          </w:p>
        </w:tc>
        <w:tc>
          <w:tcPr>
            <w:tcW w:w="966" w:type="pct"/>
            <w:tcBorders>
              <w:top w:val="single" w:sz="4" w:space="0" w:color="auto"/>
              <w:bottom w:val="single" w:sz="4" w:space="0" w:color="auto"/>
            </w:tcBorders>
            <w:vAlign w:val="bottom"/>
          </w:tcPr>
          <w:p w14:paraId="72A9263D" w14:textId="77777777" w:rsidR="006902CC" w:rsidRPr="00C971C6" w:rsidRDefault="006902CC" w:rsidP="006902CC">
            <w:pPr>
              <w:pStyle w:val="Tabletext"/>
              <w:rPr>
                <w:snapToGrid w:val="0"/>
              </w:rPr>
            </w:pPr>
            <w:r w:rsidRPr="00295986">
              <w:t>15</w:t>
            </w:r>
            <w:r w:rsidR="00D7157D">
              <w:t>.</w:t>
            </w:r>
            <w:r w:rsidRPr="00295986">
              <w:t>1906</w:t>
            </w:r>
          </w:p>
        </w:tc>
        <w:tc>
          <w:tcPr>
            <w:tcW w:w="966" w:type="pct"/>
            <w:tcBorders>
              <w:top w:val="single" w:sz="4" w:space="0" w:color="auto"/>
              <w:bottom w:val="single" w:sz="4" w:space="0" w:color="auto"/>
            </w:tcBorders>
            <w:vAlign w:val="bottom"/>
          </w:tcPr>
          <w:p w14:paraId="5E2CDA9C" w14:textId="77777777" w:rsidR="006902CC" w:rsidRPr="00C971C6" w:rsidRDefault="006902CC" w:rsidP="006902CC">
            <w:pPr>
              <w:pStyle w:val="Tabletext"/>
              <w:rPr>
                <w:snapToGrid w:val="0"/>
              </w:rPr>
            </w:pPr>
            <w:r w:rsidRPr="00295986">
              <w:t>0</w:t>
            </w:r>
            <w:r w:rsidR="00D7157D">
              <w:t>.</w:t>
            </w:r>
            <w:r w:rsidRPr="00295986">
              <w:t>4470</w:t>
            </w:r>
          </w:p>
        </w:tc>
        <w:tc>
          <w:tcPr>
            <w:tcW w:w="966" w:type="pct"/>
            <w:tcBorders>
              <w:top w:val="single" w:sz="4" w:space="0" w:color="auto"/>
              <w:bottom w:val="single" w:sz="4" w:space="0" w:color="auto"/>
            </w:tcBorders>
            <w:vAlign w:val="bottom"/>
          </w:tcPr>
          <w:p w14:paraId="79CB749A" w14:textId="77777777" w:rsidR="006902CC" w:rsidRPr="00C971C6" w:rsidRDefault="006902CC" w:rsidP="006902CC">
            <w:pPr>
              <w:pStyle w:val="Tabletext"/>
              <w:rPr>
                <w:snapToGrid w:val="0"/>
              </w:rPr>
            </w:pPr>
            <w:r w:rsidRPr="00295986">
              <w:t>15</w:t>
            </w:r>
            <w:r w:rsidR="00D7157D">
              <w:t>.</w:t>
            </w:r>
            <w:r w:rsidRPr="00295986">
              <w:t>4997</w:t>
            </w:r>
          </w:p>
        </w:tc>
        <w:tc>
          <w:tcPr>
            <w:tcW w:w="966" w:type="pct"/>
            <w:tcBorders>
              <w:top w:val="single" w:sz="4" w:space="0" w:color="auto"/>
              <w:bottom w:val="single" w:sz="4" w:space="0" w:color="auto"/>
            </w:tcBorders>
            <w:vAlign w:val="bottom"/>
          </w:tcPr>
          <w:p w14:paraId="0D45214C" w14:textId="77777777" w:rsidR="006902CC" w:rsidRPr="00C971C6" w:rsidRDefault="006902CC" w:rsidP="006902CC">
            <w:pPr>
              <w:pStyle w:val="Tabletext"/>
              <w:rPr>
                <w:snapToGrid w:val="0"/>
              </w:rPr>
            </w:pPr>
            <w:r w:rsidRPr="00295986">
              <w:t>0</w:t>
            </w:r>
            <w:r w:rsidR="00D7157D">
              <w:t>.</w:t>
            </w:r>
            <w:r w:rsidRPr="00295986">
              <w:t>1412</w:t>
            </w:r>
          </w:p>
        </w:tc>
      </w:tr>
      <w:tr w:rsidR="006902CC" w:rsidRPr="009E2595" w14:paraId="7E6DFD48" w14:textId="77777777" w:rsidTr="006902CC">
        <w:trPr>
          <w:cantSplit/>
        </w:trPr>
        <w:tc>
          <w:tcPr>
            <w:tcW w:w="1136" w:type="pct"/>
            <w:tcBorders>
              <w:top w:val="single" w:sz="4" w:space="0" w:color="auto"/>
              <w:bottom w:val="single" w:sz="4" w:space="0" w:color="auto"/>
            </w:tcBorders>
          </w:tcPr>
          <w:p w14:paraId="1C1D47CD" w14:textId="77777777" w:rsidR="006902CC" w:rsidRPr="00616B26" w:rsidRDefault="006902CC" w:rsidP="006902CC">
            <w:pPr>
              <w:pStyle w:val="Tabletext"/>
              <w:rPr>
                <w:snapToGrid w:val="0"/>
              </w:rPr>
            </w:pPr>
            <w:r w:rsidRPr="00616B26">
              <w:rPr>
                <w:snapToGrid w:val="0"/>
              </w:rPr>
              <w:t>49</w:t>
            </w:r>
          </w:p>
        </w:tc>
        <w:tc>
          <w:tcPr>
            <w:tcW w:w="966" w:type="pct"/>
            <w:tcBorders>
              <w:top w:val="single" w:sz="4" w:space="0" w:color="auto"/>
              <w:bottom w:val="single" w:sz="4" w:space="0" w:color="auto"/>
            </w:tcBorders>
            <w:vAlign w:val="bottom"/>
          </w:tcPr>
          <w:p w14:paraId="2A584A48" w14:textId="77777777" w:rsidR="006902CC" w:rsidRPr="00C971C6" w:rsidRDefault="006902CC" w:rsidP="006902CC">
            <w:pPr>
              <w:pStyle w:val="Tabletext"/>
              <w:rPr>
                <w:snapToGrid w:val="0"/>
              </w:rPr>
            </w:pPr>
            <w:r w:rsidRPr="00295986">
              <w:t>15</w:t>
            </w:r>
            <w:r w:rsidR="00D7157D">
              <w:t>.</w:t>
            </w:r>
            <w:r w:rsidRPr="00295986">
              <w:t>0846</w:t>
            </w:r>
          </w:p>
        </w:tc>
        <w:tc>
          <w:tcPr>
            <w:tcW w:w="966" w:type="pct"/>
            <w:tcBorders>
              <w:top w:val="single" w:sz="4" w:space="0" w:color="auto"/>
              <w:bottom w:val="single" w:sz="4" w:space="0" w:color="auto"/>
            </w:tcBorders>
            <w:vAlign w:val="bottom"/>
          </w:tcPr>
          <w:p w14:paraId="18267896" w14:textId="77777777" w:rsidR="006902CC" w:rsidRPr="00C971C6" w:rsidRDefault="006902CC" w:rsidP="006902CC">
            <w:pPr>
              <w:pStyle w:val="Tabletext"/>
              <w:rPr>
                <w:snapToGrid w:val="0"/>
              </w:rPr>
            </w:pPr>
            <w:r w:rsidRPr="00295986">
              <w:t>0</w:t>
            </w:r>
            <w:r w:rsidR="00D7157D">
              <w:t>.</w:t>
            </w:r>
            <w:r w:rsidRPr="00295986">
              <w:t>4463</w:t>
            </w:r>
          </w:p>
        </w:tc>
        <w:tc>
          <w:tcPr>
            <w:tcW w:w="966" w:type="pct"/>
            <w:tcBorders>
              <w:top w:val="single" w:sz="4" w:space="0" w:color="auto"/>
              <w:bottom w:val="single" w:sz="4" w:space="0" w:color="auto"/>
            </w:tcBorders>
            <w:vAlign w:val="bottom"/>
          </w:tcPr>
          <w:p w14:paraId="16ECD076" w14:textId="77777777" w:rsidR="006902CC" w:rsidRPr="00C971C6" w:rsidRDefault="006902CC" w:rsidP="006902CC">
            <w:pPr>
              <w:pStyle w:val="Tabletext"/>
              <w:rPr>
                <w:snapToGrid w:val="0"/>
              </w:rPr>
            </w:pPr>
            <w:r w:rsidRPr="00295986">
              <w:t>15</w:t>
            </w:r>
            <w:r w:rsidR="00D7157D">
              <w:t>.</w:t>
            </w:r>
            <w:r w:rsidRPr="00295986">
              <w:t>4035</w:t>
            </w:r>
          </w:p>
        </w:tc>
        <w:tc>
          <w:tcPr>
            <w:tcW w:w="966" w:type="pct"/>
            <w:tcBorders>
              <w:top w:val="single" w:sz="4" w:space="0" w:color="auto"/>
              <w:bottom w:val="single" w:sz="4" w:space="0" w:color="auto"/>
            </w:tcBorders>
            <w:vAlign w:val="bottom"/>
          </w:tcPr>
          <w:p w14:paraId="1605FAAA" w14:textId="77777777" w:rsidR="006902CC" w:rsidRPr="00C971C6" w:rsidRDefault="006902CC" w:rsidP="006902CC">
            <w:pPr>
              <w:pStyle w:val="Tabletext"/>
              <w:rPr>
                <w:snapToGrid w:val="0"/>
              </w:rPr>
            </w:pPr>
            <w:r w:rsidRPr="00295986">
              <w:t>0</w:t>
            </w:r>
            <w:r w:rsidR="00D7157D">
              <w:t>.</w:t>
            </w:r>
            <w:r w:rsidRPr="00295986">
              <w:t>1311</w:t>
            </w:r>
          </w:p>
        </w:tc>
      </w:tr>
      <w:tr w:rsidR="006902CC" w:rsidRPr="009E2595" w14:paraId="4E023117" w14:textId="77777777" w:rsidTr="006902CC">
        <w:trPr>
          <w:cantSplit/>
        </w:trPr>
        <w:tc>
          <w:tcPr>
            <w:tcW w:w="1136" w:type="pct"/>
            <w:tcBorders>
              <w:top w:val="single" w:sz="4" w:space="0" w:color="auto"/>
              <w:bottom w:val="single" w:sz="4" w:space="0" w:color="auto"/>
            </w:tcBorders>
          </w:tcPr>
          <w:p w14:paraId="5C9AB5D4" w14:textId="77777777" w:rsidR="006902CC" w:rsidRPr="00616B26" w:rsidRDefault="006902CC" w:rsidP="006902CC">
            <w:pPr>
              <w:pStyle w:val="Tabletext"/>
              <w:rPr>
                <w:snapToGrid w:val="0"/>
              </w:rPr>
            </w:pPr>
            <w:r w:rsidRPr="00616B26">
              <w:rPr>
                <w:snapToGrid w:val="0"/>
              </w:rPr>
              <w:t>50</w:t>
            </w:r>
          </w:p>
        </w:tc>
        <w:tc>
          <w:tcPr>
            <w:tcW w:w="966" w:type="pct"/>
            <w:tcBorders>
              <w:top w:val="single" w:sz="4" w:space="0" w:color="auto"/>
              <w:bottom w:val="single" w:sz="4" w:space="0" w:color="auto"/>
            </w:tcBorders>
            <w:vAlign w:val="bottom"/>
          </w:tcPr>
          <w:p w14:paraId="363E7DD4" w14:textId="77777777" w:rsidR="006902CC" w:rsidRPr="00C971C6" w:rsidRDefault="006902CC" w:rsidP="006902CC">
            <w:pPr>
              <w:pStyle w:val="Tabletext"/>
              <w:rPr>
                <w:snapToGrid w:val="0"/>
              </w:rPr>
            </w:pPr>
            <w:r w:rsidRPr="00295986">
              <w:t>14</w:t>
            </w:r>
            <w:r w:rsidR="00D7157D">
              <w:t>.</w:t>
            </w:r>
            <w:r w:rsidRPr="00295986">
              <w:t>9731</w:t>
            </w:r>
          </w:p>
        </w:tc>
        <w:tc>
          <w:tcPr>
            <w:tcW w:w="966" w:type="pct"/>
            <w:tcBorders>
              <w:top w:val="single" w:sz="4" w:space="0" w:color="auto"/>
              <w:bottom w:val="single" w:sz="4" w:space="0" w:color="auto"/>
            </w:tcBorders>
            <w:vAlign w:val="bottom"/>
          </w:tcPr>
          <w:p w14:paraId="166DF281" w14:textId="77777777" w:rsidR="006902CC" w:rsidRPr="00C971C6" w:rsidRDefault="006902CC" w:rsidP="006902CC">
            <w:pPr>
              <w:pStyle w:val="Tabletext"/>
              <w:rPr>
                <w:snapToGrid w:val="0"/>
              </w:rPr>
            </w:pPr>
            <w:r w:rsidRPr="00295986">
              <w:t>0</w:t>
            </w:r>
            <w:r w:rsidR="00D7157D">
              <w:t>.</w:t>
            </w:r>
            <w:r w:rsidRPr="00295986">
              <w:t>4445</w:t>
            </w:r>
          </w:p>
        </w:tc>
        <w:tc>
          <w:tcPr>
            <w:tcW w:w="966" w:type="pct"/>
            <w:tcBorders>
              <w:top w:val="single" w:sz="4" w:space="0" w:color="auto"/>
              <w:bottom w:val="single" w:sz="4" w:space="0" w:color="auto"/>
            </w:tcBorders>
            <w:vAlign w:val="bottom"/>
          </w:tcPr>
          <w:p w14:paraId="12FCF317" w14:textId="77777777" w:rsidR="006902CC" w:rsidRPr="00C971C6" w:rsidRDefault="006902CC" w:rsidP="006902CC">
            <w:pPr>
              <w:pStyle w:val="Tabletext"/>
              <w:rPr>
                <w:snapToGrid w:val="0"/>
              </w:rPr>
            </w:pPr>
            <w:r w:rsidRPr="00295986">
              <w:t>15</w:t>
            </w:r>
            <w:r w:rsidR="00D7157D">
              <w:t>.</w:t>
            </w:r>
            <w:r w:rsidRPr="00295986">
              <w:t>3021</w:t>
            </w:r>
          </w:p>
        </w:tc>
        <w:tc>
          <w:tcPr>
            <w:tcW w:w="966" w:type="pct"/>
            <w:tcBorders>
              <w:top w:val="single" w:sz="4" w:space="0" w:color="auto"/>
              <w:bottom w:val="single" w:sz="4" w:space="0" w:color="auto"/>
            </w:tcBorders>
            <w:vAlign w:val="bottom"/>
          </w:tcPr>
          <w:p w14:paraId="0D0683FD" w14:textId="77777777" w:rsidR="006902CC" w:rsidRPr="00C971C6" w:rsidRDefault="006902CC" w:rsidP="006902CC">
            <w:pPr>
              <w:pStyle w:val="Tabletext"/>
              <w:rPr>
                <w:snapToGrid w:val="0"/>
              </w:rPr>
            </w:pPr>
            <w:r w:rsidRPr="00295986">
              <w:t>0</w:t>
            </w:r>
            <w:r w:rsidR="00D7157D">
              <w:t>.</w:t>
            </w:r>
            <w:r w:rsidRPr="00295986">
              <w:t>1195</w:t>
            </w:r>
          </w:p>
        </w:tc>
      </w:tr>
      <w:tr w:rsidR="006902CC" w:rsidRPr="009E2595" w14:paraId="08788F1F" w14:textId="77777777" w:rsidTr="006902CC">
        <w:trPr>
          <w:cantSplit/>
        </w:trPr>
        <w:tc>
          <w:tcPr>
            <w:tcW w:w="1136" w:type="pct"/>
            <w:tcBorders>
              <w:top w:val="single" w:sz="4" w:space="0" w:color="auto"/>
              <w:bottom w:val="single" w:sz="4" w:space="0" w:color="auto"/>
            </w:tcBorders>
          </w:tcPr>
          <w:p w14:paraId="45221154" w14:textId="77777777" w:rsidR="006902CC" w:rsidRPr="00616B26" w:rsidRDefault="006902CC" w:rsidP="006902CC">
            <w:pPr>
              <w:pStyle w:val="Tabletext"/>
              <w:rPr>
                <w:snapToGrid w:val="0"/>
              </w:rPr>
            </w:pPr>
            <w:r w:rsidRPr="00616B26">
              <w:rPr>
                <w:snapToGrid w:val="0"/>
              </w:rPr>
              <w:t>51</w:t>
            </w:r>
          </w:p>
        </w:tc>
        <w:tc>
          <w:tcPr>
            <w:tcW w:w="966" w:type="pct"/>
            <w:tcBorders>
              <w:top w:val="single" w:sz="4" w:space="0" w:color="auto"/>
              <w:bottom w:val="single" w:sz="4" w:space="0" w:color="auto"/>
            </w:tcBorders>
            <w:vAlign w:val="bottom"/>
          </w:tcPr>
          <w:p w14:paraId="46FF926A" w14:textId="77777777" w:rsidR="006902CC" w:rsidRPr="00C971C6" w:rsidRDefault="006902CC" w:rsidP="006902CC">
            <w:pPr>
              <w:pStyle w:val="Tabletext"/>
              <w:rPr>
                <w:snapToGrid w:val="0"/>
              </w:rPr>
            </w:pPr>
            <w:r w:rsidRPr="00295986">
              <w:t>14</w:t>
            </w:r>
            <w:r w:rsidR="00D7157D">
              <w:t>.</w:t>
            </w:r>
            <w:r w:rsidRPr="00295986">
              <w:t>8560</w:t>
            </w:r>
          </w:p>
        </w:tc>
        <w:tc>
          <w:tcPr>
            <w:tcW w:w="966" w:type="pct"/>
            <w:tcBorders>
              <w:top w:val="single" w:sz="4" w:space="0" w:color="auto"/>
              <w:bottom w:val="single" w:sz="4" w:space="0" w:color="auto"/>
            </w:tcBorders>
            <w:vAlign w:val="bottom"/>
          </w:tcPr>
          <w:p w14:paraId="55A0D09C" w14:textId="77777777" w:rsidR="006902CC" w:rsidRPr="00C971C6" w:rsidRDefault="006902CC" w:rsidP="006902CC">
            <w:pPr>
              <w:pStyle w:val="Tabletext"/>
              <w:rPr>
                <w:snapToGrid w:val="0"/>
              </w:rPr>
            </w:pPr>
            <w:r w:rsidRPr="00295986">
              <w:t>0</w:t>
            </w:r>
            <w:r w:rsidR="00D7157D">
              <w:t>.</w:t>
            </w:r>
            <w:r w:rsidRPr="00295986">
              <w:t>3950</w:t>
            </w:r>
          </w:p>
        </w:tc>
        <w:tc>
          <w:tcPr>
            <w:tcW w:w="966" w:type="pct"/>
            <w:tcBorders>
              <w:top w:val="single" w:sz="4" w:space="0" w:color="auto"/>
              <w:bottom w:val="single" w:sz="4" w:space="0" w:color="auto"/>
            </w:tcBorders>
            <w:vAlign w:val="bottom"/>
          </w:tcPr>
          <w:p w14:paraId="156FE44A" w14:textId="77777777" w:rsidR="006902CC" w:rsidRPr="00C971C6" w:rsidRDefault="006902CC" w:rsidP="006902CC">
            <w:pPr>
              <w:pStyle w:val="Tabletext"/>
              <w:rPr>
                <w:snapToGrid w:val="0"/>
              </w:rPr>
            </w:pPr>
            <w:r w:rsidRPr="00295986">
              <w:t>15</w:t>
            </w:r>
            <w:r w:rsidR="00D7157D">
              <w:t>.</w:t>
            </w:r>
            <w:r w:rsidRPr="00295986">
              <w:t>1951</w:t>
            </w:r>
          </w:p>
        </w:tc>
        <w:tc>
          <w:tcPr>
            <w:tcW w:w="966" w:type="pct"/>
            <w:tcBorders>
              <w:top w:val="single" w:sz="4" w:space="0" w:color="auto"/>
              <w:bottom w:val="single" w:sz="4" w:space="0" w:color="auto"/>
            </w:tcBorders>
            <w:vAlign w:val="bottom"/>
          </w:tcPr>
          <w:p w14:paraId="0095A8C7" w14:textId="77777777" w:rsidR="006902CC" w:rsidRPr="00C971C6" w:rsidRDefault="006902CC" w:rsidP="006902CC">
            <w:pPr>
              <w:pStyle w:val="Tabletext"/>
              <w:rPr>
                <w:snapToGrid w:val="0"/>
              </w:rPr>
            </w:pPr>
            <w:r w:rsidRPr="00295986">
              <w:t>0</w:t>
            </w:r>
            <w:r w:rsidR="00D7157D">
              <w:t>.</w:t>
            </w:r>
            <w:r w:rsidRPr="00295986">
              <w:t>1064</w:t>
            </w:r>
          </w:p>
        </w:tc>
      </w:tr>
      <w:tr w:rsidR="006902CC" w:rsidRPr="009E2595" w14:paraId="7FE57876" w14:textId="77777777" w:rsidTr="006902CC">
        <w:trPr>
          <w:cantSplit/>
        </w:trPr>
        <w:tc>
          <w:tcPr>
            <w:tcW w:w="1136" w:type="pct"/>
            <w:tcBorders>
              <w:top w:val="single" w:sz="4" w:space="0" w:color="auto"/>
              <w:bottom w:val="single" w:sz="4" w:space="0" w:color="auto"/>
            </w:tcBorders>
          </w:tcPr>
          <w:p w14:paraId="14174DEA" w14:textId="77777777" w:rsidR="006902CC" w:rsidRPr="00616B26" w:rsidRDefault="006902CC" w:rsidP="006902CC">
            <w:pPr>
              <w:pStyle w:val="Tabletext"/>
              <w:rPr>
                <w:snapToGrid w:val="0"/>
              </w:rPr>
            </w:pPr>
            <w:r w:rsidRPr="00616B26">
              <w:rPr>
                <w:snapToGrid w:val="0"/>
              </w:rPr>
              <w:t>52</w:t>
            </w:r>
          </w:p>
        </w:tc>
        <w:tc>
          <w:tcPr>
            <w:tcW w:w="966" w:type="pct"/>
            <w:tcBorders>
              <w:top w:val="single" w:sz="4" w:space="0" w:color="auto"/>
              <w:bottom w:val="single" w:sz="4" w:space="0" w:color="auto"/>
            </w:tcBorders>
            <w:vAlign w:val="bottom"/>
          </w:tcPr>
          <w:p w14:paraId="5D14CB15" w14:textId="77777777" w:rsidR="006902CC" w:rsidRPr="00C971C6" w:rsidRDefault="006902CC" w:rsidP="006902CC">
            <w:pPr>
              <w:pStyle w:val="Tabletext"/>
              <w:rPr>
                <w:snapToGrid w:val="0"/>
              </w:rPr>
            </w:pPr>
            <w:r w:rsidRPr="00295986">
              <w:t>14</w:t>
            </w:r>
            <w:r w:rsidR="00D7157D">
              <w:t>.</w:t>
            </w:r>
            <w:r w:rsidRPr="00295986">
              <w:t>7321</w:t>
            </w:r>
          </w:p>
        </w:tc>
        <w:tc>
          <w:tcPr>
            <w:tcW w:w="966" w:type="pct"/>
            <w:tcBorders>
              <w:top w:val="single" w:sz="4" w:space="0" w:color="auto"/>
              <w:bottom w:val="single" w:sz="4" w:space="0" w:color="auto"/>
            </w:tcBorders>
            <w:vAlign w:val="bottom"/>
          </w:tcPr>
          <w:p w14:paraId="01BFC840" w14:textId="77777777" w:rsidR="006902CC" w:rsidRPr="00C971C6" w:rsidRDefault="006902CC" w:rsidP="006902CC">
            <w:pPr>
              <w:pStyle w:val="Tabletext"/>
              <w:rPr>
                <w:snapToGrid w:val="0"/>
              </w:rPr>
            </w:pPr>
            <w:r w:rsidRPr="00295986">
              <w:t>0</w:t>
            </w:r>
            <w:r w:rsidR="00D7157D">
              <w:t>.</w:t>
            </w:r>
            <w:r w:rsidRPr="00295986">
              <w:t>3401</w:t>
            </w:r>
          </w:p>
        </w:tc>
        <w:tc>
          <w:tcPr>
            <w:tcW w:w="966" w:type="pct"/>
            <w:tcBorders>
              <w:top w:val="single" w:sz="4" w:space="0" w:color="auto"/>
              <w:bottom w:val="single" w:sz="4" w:space="0" w:color="auto"/>
            </w:tcBorders>
            <w:vAlign w:val="bottom"/>
          </w:tcPr>
          <w:p w14:paraId="3571F25A" w14:textId="77777777" w:rsidR="006902CC" w:rsidRPr="00C971C6" w:rsidRDefault="006902CC" w:rsidP="006902CC">
            <w:pPr>
              <w:pStyle w:val="Tabletext"/>
              <w:rPr>
                <w:snapToGrid w:val="0"/>
              </w:rPr>
            </w:pPr>
            <w:r w:rsidRPr="00295986">
              <w:t>15</w:t>
            </w:r>
            <w:r w:rsidR="00D7157D">
              <w:t>.</w:t>
            </w:r>
            <w:r w:rsidRPr="00295986">
              <w:t>0816</w:t>
            </w:r>
          </w:p>
        </w:tc>
        <w:tc>
          <w:tcPr>
            <w:tcW w:w="966" w:type="pct"/>
            <w:tcBorders>
              <w:top w:val="single" w:sz="4" w:space="0" w:color="auto"/>
              <w:bottom w:val="single" w:sz="4" w:space="0" w:color="auto"/>
            </w:tcBorders>
            <w:vAlign w:val="bottom"/>
          </w:tcPr>
          <w:p w14:paraId="6F6B3BE3" w14:textId="77777777" w:rsidR="006902CC" w:rsidRPr="00C971C6" w:rsidRDefault="006902CC" w:rsidP="006902CC">
            <w:pPr>
              <w:pStyle w:val="Tabletext"/>
              <w:rPr>
                <w:snapToGrid w:val="0"/>
              </w:rPr>
            </w:pPr>
            <w:r w:rsidRPr="00295986">
              <w:t>0</w:t>
            </w:r>
            <w:r w:rsidR="00D7157D">
              <w:t>.</w:t>
            </w:r>
            <w:r w:rsidRPr="00295986">
              <w:t>0919</w:t>
            </w:r>
          </w:p>
        </w:tc>
      </w:tr>
      <w:tr w:rsidR="006902CC" w:rsidRPr="009E2595" w14:paraId="0744681C" w14:textId="77777777" w:rsidTr="006902CC">
        <w:trPr>
          <w:cantSplit/>
        </w:trPr>
        <w:tc>
          <w:tcPr>
            <w:tcW w:w="1136" w:type="pct"/>
            <w:tcBorders>
              <w:top w:val="single" w:sz="4" w:space="0" w:color="auto"/>
              <w:bottom w:val="single" w:sz="4" w:space="0" w:color="auto"/>
            </w:tcBorders>
          </w:tcPr>
          <w:p w14:paraId="214B3098" w14:textId="77777777" w:rsidR="006902CC" w:rsidRPr="00616B26" w:rsidRDefault="006902CC" w:rsidP="006902CC">
            <w:pPr>
              <w:pStyle w:val="Tabletext"/>
              <w:rPr>
                <w:snapToGrid w:val="0"/>
              </w:rPr>
            </w:pPr>
            <w:r w:rsidRPr="00616B26">
              <w:rPr>
                <w:snapToGrid w:val="0"/>
              </w:rPr>
              <w:t>53</w:t>
            </w:r>
          </w:p>
        </w:tc>
        <w:tc>
          <w:tcPr>
            <w:tcW w:w="966" w:type="pct"/>
            <w:tcBorders>
              <w:top w:val="single" w:sz="4" w:space="0" w:color="auto"/>
              <w:bottom w:val="single" w:sz="4" w:space="0" w:color="auto"/>
            </w:tcBorders>
            <w:vAlign w:val="bottom"/>
          </w:tcPr>
          <w:p w14:paraId="5C93F615" w14:textId="77777777" w:rsidR="006902CC" w:rsidRPr="00C971C6" w:rsidRDefault="006902CC" w:rsidP="006902CC">
            <w:pPr>
              <w:pStyle w:val="Tabletext"/>
              <w:rPr>
                <w:snapToGrid w:val="0"/>
              </w:rPr>
            </w:pPr>
            <w:r w:rsidRPr="00295986">
              <w:t>14</w:t>
            </w:r>
            <w:r w:rsidR="00D7157D">
              <w:t>.</w:t>
            </w:r>
            <w:r w:rsidRPr="00295986">
              <w:t>6009</w:t>
            </w:r>
          </w:p>
        </w:tc>
        <w:tc>
          <w:tcPr>
            <w:tcW w:w="966" w:type="pct"/>
            <w:tcBorders>
              <w:top w:val="single" w:sz="4" w:space="0" w:color="auto"/>
              <w:bottom w:val="single" w:sz="4" w:space="0" w:color="auto"/>
            </w:tcBorders>
            <w:vAlign w:val="bottom"/>
          </w:tcPr>
          <w:p w14:paraId="33546CAE" w14:textId="77777777" w:rsidR="006902CC" w:rsidRPr="00C971C6" w:rsidRDefault="006902CC" w:rsidP="006902CC">
            <w:pPr>
              <w:pStyle w:val="Tabletext"/>
              <w:rPr>
                <w:snapToGrid w:val="0"/>
              </w:rPr>
            </w:pPr>
            <w:r w:rsidRPr="00295986">
              <w:t>0</w:t>
            </w:r>
            <w:r w:rsidR="00D7157D">
              <w:t>.</w:t>
            </w:r>
            <w:r w:rsidRPr="00295986">
              <w:t>2796</w:t>
            </w:r>
          </w:p>
        </w:tc>
        <w:tc>
          <w:tcPr>
            <w:tcW w:w="966" w:type="pct"/>
            <w:tcBorders>
              <w:top w:val="single" w:sz="4" w:space="0" w:color="auto"/>
              <w:bottom w:val="single" w:sz="4" w:space="0" w:color="auto"/>
            </w:tcBorders>
            <w:vAlign w:val="bottom"/>
          </w:tcPr>
          <w:p w14:paraId="48DA1C03" w14:textId="77777777" w:rsidR="006902CC" w:rsidRPr="00C971C6" w:rsidRDefault="006902CC" w:rsidP="006902CC">
            <w:pPr>
              <w:pStyle w:val="Tabletext"/>
              <w:rPr>
                <w:snapToGrid w:val="0"/>
              </w:rPr>
            </w:pPr>
            <w:r w:rsidRPr="00295986">
              <w:t>14</w:t>
            </w:r>
            <w:r w:rsidR="00D7157D">
              <w:t>.</w:t>
            </w:r>
            <w:r w:rsidRPr="00295986">
              <w:t>9615</w:t>
            </w:r>
          </w:p>
        </w:tc>
        <w:tc>
          <w:tcPr>
            <w:tcW w:w="966" w:type="pct"/>
            <w:tcBorders>
              <w:top w:val="single" w:sz="4" w:space="0" w:color="auto"/>
              <w:bottom w:val="single" w:sz="4" w:space="0" w:color="auto"/>
            </w:tcBorders>
            <w:vAlign w:val="bottom"/>
          </w:tcPr>
          <w:p w14:paraId="72717FE5" w14:textId="77777777" w:rsidR="006902CC" w:rsidRPr="00C971C6" w:rsidRDefault="006902CC" w:rsidP="006902CC">
            <w:pPr>
              <w:pStyle w:val="Tabletext"/>
              <w:rPr>
                <w:snapToGrid w:val="0"/>
              </w:rPr>
            </w:pPr>
            <w:r w:rsidRPr="00295986">
              <w:t>0</w:t>
            </w:r>
            <w:r w:rsidR="00D7157D">
              <w:t>.</w:t>
            </w:r>
            <w:r w:rsidRPr="00295986">
              <w:t>0757</w:t>
            </w:r>
          </w:p>
        </w:tc>
      </w:tr>
      <w:tr w:rsidR="006902CC" w:rsidRPr="009E2595" w14:paraId="63A89FAF" w14:textId="77777777" w:rsidTr="006902CC">
        <w:trPr>
          <w:cantSplit/>
        </w:trPr>
        <w:tc>
          <w:tcPr>
            <w:tcW w:w="1136" w:type="pct"/>
            <w:tcBorders>
              <w:top w:val="single" w:sz="4" w:space="0" w:color="auto"/>
              <w:bottom w:val="single" w:sz="4" w:space="0" w:color="auto"/>
            </w:tcBorders>
          </w:tcPr>
          <w:p w14:paraId="665AADA5" w14:textId="77777777" w:rsidR="006902CC" w:rsidRPr="00616B26" w:rsidRDefault="006902CC" w:rsidP="006902CC">
            <w:pPr>
              <w:pStyle w:val="Tabletext"/>
              <w:rPr>
                <w:snapToGrid w:val="0"/>
              </w:rPr>
            </w:pPr>
            <w:r w:rsidRPr="00616B26">
              <w:rPr>
                <w:snapToGrid w:val="0"/>
              </w:rPr>
              <w:t>54</w:t>
            </w:r>
          </w:p>
        </w:tc>
        <w:tc>
          <w:tcPr>
            <w:tcW w:w="966" w:type="pct"/>
            <w:tcBorders>
              <w:top w:val="single" w:sz="4" w:space="0" w:color="auto"/>
              <w:bottom w:val="single" w:sz="4" w:space="0" w:color="auto"/>
            </w:tcBorders>
            <w:vAlign w:val="bottom"/>
          </w:tcPr>
          <w:p w14:paraId="3FC48AFA" w14:textId="77777777" w:rsidR="006902CC" w:rsidRPr="00C971C6" w:rsidRDefault="006902CC" w:rsidP="006902CC">
            <w:pPr>
              <w:pStyle w:val="Tabletext"/>
              <w:rPr>
                <w:snapToGrid w:val="0"/>
              </w:rPr>
            </w:pPr>
            <w:r w:rsidRPr="00295986">
              <w:t>14</w:t>
            </w:r>
            <w:r w:rsidR="00D7157D">
              <w:t>.</w:t>
            </w:r>
            <w:r w:rsidRPr="00295986">
              <w:t>4625</w:t>
            </w:r>
          </w:p>
        </w:tc>
        <w:tc>
          <w:tcPr>
            <w:tcW w:w="966" w:type="pct"/>
            <w:tcBorders>
              <w:top w:val="single" w:sz="4" w:space="0" w:color="auto"/>
              <w:bottom w:val="single" w:sz="4" w:space="0" w:color="auto"/>
            </w:tcBorders>
            <w:vAlign w:val="bottom"/>
          </w:tcPr>
          <w:p w14:paraId="72147235" w14:textId="77777777" w:rsidR="006902CC" w:rsidRPr="00C971C6" w:rsidRDefault="006902CC" w:rsidP="006902CC">
            <w:pPr>
              <w:pStyle w:val="Tabletext"/>
              <w:rPr>
                <w:snapToGrid w:val="0"/>
              </w:rPr>
            </w:pPr>
            <w:r w:rsidRPr="00295986">
              <w:t>0</w:t>
            </w:r>
            <w:r w:rsidR="00D7157D">
              <w:t>.</w:t>
            </w:r>
            <w:r w:rsidRPr="00295986">
              <w:t>2127</w:t>
            </w:r>
          </w:p>
        </w:tc>
        <w:tc>
          <w:tcPr>
            <w:tcW w:w="966" w:type="pct"/>
            <w:tcBorders>
              <w:top w:val="single" w:sz="4" w:space="0" w:color="auto"/>
              <w:bottom w:val="single" w:sz="4" w:space="0" w:color="auto"/>
            </w:tcBorders>
            <w:vAlign w:val="bottom"/>
          </w:tcPr>
          <w:p w14:paraId="156E4FD8" w14:textId="77777777" w:rsidR="006902CC" w:rsidRPr="00C971C6" w:rsidRDefault="006902CC" w:rsidP="006902CC">
            <w:pPr>
              <w:pStyle w:val="Tabletext"/>
              <w:rPr>
                <w:snapToGrid w:val="0"/>
              </w:rPr>
            </w:pPr>
            <w:r w:rsidRPr="00295986">
              <w:t>14</w:t>
            </w:r>
            <w:r w:rsidR="00D7157D">
              <w:t>.</w:t>
            </w:r>
            <w:r w:rsidRPr="00295986">
              <w:t>8343</w:t>
            </w:r>
          </w:p>
        </w:tc>
        <w:tc>
          <w:tcPr>
            <w:tcW w:w="966" w:type="pct"/>
            <w:tcBorders>
              <w:top w:val="single" w:sz="4" w:space="0" w:color="auto"/>
              <w:bottom w:val="single" w:sz="4" w:space="0" w:color="auto"/>
            </w:tcBorders>
            <w:vAlign w:val="bottom"/>
          </w:tcPr>
          <w:p w14:paraId="43F9DD39" w14:textId="77777777" w:rsidR="006902CC" w:rsidRPr="00C971C6" w:rsidRDefault="006902CC" w:rsidP="006902CC">
            <w:pPr>
              <w:pStyle w:val="Tabletext"/>
              <w:rPr>
                <w:snapToGrid w:val="0"/>
              </w:rPr>
            </w:pPr>
            <w:r w:rsidRPr="00295986">
              <w:t>0</w:t>
            </w:r>
            <w:r w:rsidR="00D7157D">
              <w:t>.</w:t>
            </w:r>
            <w:r w:rsidRPr="00295986">
              <w:t>0577</w:t>
            </w:r>
          </w:p>
        </w:tc>
      </w:tr>
      <w:tr w:rsidR="006902CC" w:rsidRPr="009E2595" w14:paraId="3C0ADE58" w14:textId="77777777" w:rsidTr="006902CC">
        <w:trPr>
          <w:cantSplit/>
        </w:trPr>
        <w:tc>
          <w:tcPr>
            <w:tcW w:w="1136" w:type="pct"/>
            <w:tcBorders>
              <w:top w:val="single" w:sz="4" w:space="0" w:color="auto"/>
              <w:bottom w:val="single" w:sz="4" w:space="0" w:color="auto"/>
            </w:tcBorders>
          </w:tcPr>
          <w:p w14:paraId="5702DD75" w14:textId="77777777" w:rsidR="006902CC" w:rsidRPr="00616B26" w:rsidRDefault="006902CC" w:rsidP="006902CC">
            <w:pPr>
              <w:pStyle w:val="Tabletext"/>
              <w:rPr>
                <w:snapToGrid w:val="0"/>
              </w:rPr>
            </w:pPr>
            <w:r w:rsidRPr="00616B26">
              <w:rPr>
                <w:snapToGrid w:val="0"/>
              </w:rPr>
              <w:t>55</w:t>
            </w:r>
          </w:p>
        </w:tc>
        <w:tc>
          <w:tcPr>
            <w:tcW w:w="966" w:type="pct"/>
            <w:tcBorders>
              <w:top w:val="single" w:sz="4" w:space="0" w:color="auto"/>
              <w:bottom w:val="single" w:sz="4" w:space="0" w:color="auto"/>
            </w:tcBorders>
            <w:vAlign w:val="bottom"/>
          </w:tcPr>
          <w:p w14:paraId="23F6A606" w14:textId="77777777" w:rsidR="006902CC" w:rsidRPr="00C971C6" w:rsidRDefault="006902CC" w:rsidP="006902CC">
            <w:pPr>
              <w:pStyle w:val="Tabletext"/>
              <w:rPr>
                <w:snapToGrid w:val="0"/>
              </w:rPr>
            </w:pPr>
            <w:r w:rsidRPr="00295986">
              <w:t>14</w:t>
            </w:r>
            <w:r w:rsidR="00D7157D">
              <w:t>.</w:t>
            </w:r>
            <w:r w:rsidRPr="00295986">
              <w:t>3164</w:t>
            </w:r>
          </w:p>
        </w:tc>
        <w:tc>
          <w:tcPr>
            <w:tcW w:w="966" w:type="pct"/>
            <w:tcBorders>
              <w:top w:val="single" w:sz="4" w:space="0" w:color="auto"/>
              <w:bottom w:val="single" w:sz="4" w:space="0" w:color="auto"/>
            </w:tcBorders>
            <w:vAlign w:val="bottom"/>
          </w:tcPr>
          <w:p w14:paraId="484C09D3" w14:textId="77777777" w:rsidR="006902CC" w:rsidRPr="00C971C6" w:rsidRDefault="006902CC" w:rsidP="006902CC">
            <w:pPr>
              <w:pStyle w:val="Tabletext"/>
              <w:rPr>
                <w:snapToGrid w:val="0"/>
              </w:rPr>
            </w:pPr>
            <w:r w:rsidRPr="00295986">
              <w:t>0</w:t>
            </w:r>
            <w:r w:rsidR="00D7157D">
              <w:t>.</w:t>
            </w:r>
            <w:r w:rsidRPr="00295986">
              <w:t>1391</w:t>
            </w:r>
          </w:p>
        </w:tc>
        <w:tc>
          <w:tcPr>
            <w:tcW w:w="966" w:type="pct"/>
            <w:tcBorders>
              <w:top w:val="single" w:sz="4" w:space="0" w:color="auto"/>
              <w:bottom w:val="single" w:sz="4" w:space="0" w:color="auto"/>
            </w:tcBorders>
            <w:vAlign w:val="bottom"/>
          </w:tcPr>
          <w:p w14:paraId="2821AEBB" w14:textId="77777777" w:rsidR="006902CC" w:rsidRPr="00C971C6" w:rsidRDefault="006902CC" w:rsidP="006902CC">
            <w:pPr>
              <w:pStyle w:val="Tabletext"/>
              <w:rPr>
                <w:snapToGrid w:val="0"/>
              </w:rPr>
            </w:pPr>
            <w:r w:rsidRPr="00295986">
              <w:t>14</w:t>
            </w:r>
            <w:r w:rsidR="00D7157D">
              <w:t>.</w:t>
            </w:r>
            <w:r w:rsidRPr="00295986">
              <w:t>7007</w:t>
            </w:r>
          </w:p>
        </w:tc>
        <w:tc>
          <w:tcPr>
            <w:tcW w:w="966" w:type="pct"/>
            <w:tcBorders>
              <w:top w:val="single" w:sz="4" w:space="0" w:color="auto"/>
              <w:bottom w:val="single" w:sz="4" w:space="0" w:color="auto"/>
            </w:tcBorders>
            <w:vAlign w:val="bottom"/>
          </w:tcPr>
          <w:p w14:paraId="2F3915EC" w14:textId="77777777" w:rsidR="006902CC" w:rsidRPr="00C971C6" w:rsidRDefault="006902CC" w:rsidP="006902CC">
            <w:pPr>
              <w:pStyle w:val="Tabletext"/>
              <w:rPr>
                <w:snapToGrid w:val="0"/>
              </w:rPr>
            </w:pPr>
            <w:r w:rsidRPr="00295986">
              <w:t>0</w:t>
            </w:r>
            <w:r w:rsidR="00D7157D">
              <w:t>.</w:t>
            </w:r>
            <w:r w:rsidRPr="00295986">
              <w:t>0378</w:t>
            </w:r>
          </w:p>
        </w:tc>
      </w:tr>
      <w:tr w:rsidR="006902CC" w:rsidRPr="009E2595" w14:paraId="06766A80" w14:textId="77777777" w:rsidTr="006902CC">
        <w:trPr>
          <w:cantSplit/>
        </w:trPr>
        <w:tc>
          <w:tcPr>
            <w:tcW w:w="1136" w:type="pct"/>
            <w:tcBorders>
              <w:top w:val="single" w:sz="4" w:space="0" w:color="auto"/>
              <w:bottom w:val="single" w:sz="4" w:space="0" w:color="auto"/>
            </w:tcBorders>
          </w:tcPr>
          <w:p w14:paraId="0800A71F" w14:textId="77777777" w:rsidR="006902CC" w:rsidRPr="00616B26" w:rsidRDefault="006902CC" w:rsidP="006902CC">
            <w:pPr>
              <w:pStyle w:val="Tabletext"/>
              <w:rPr>
                <w:snapToGrid w:val="0"/>
              </w:rPr>
            </w:pPr>
            <w:r w:rsidRPr="00616B26">
              <w:rPr>
                <w:snapToGrid w:val="0"/>
              </w:rPr>
              <w:t>56</w:t>
            </w:r>
          </w:p>
        </w:tc>
        <w:tc>
          <w:tcPr>
            <w:tcW w:w="966" w:type="pct"/>
            <w:tcBorders>
              <w:top w:val="single" w:sz="4" w:space="0" w:color="auto"/>
              <w:bottom w:val="single" w:sz="4" w:space="0" w:color="auto"/>
            </w:tcBorders>
            <w:vAlign w:val="bottom"/>
          </w:tcPr>
          <w:p w14:paraId="1C17F8E0" w14:textId="77777777" w:rsidR="006902CC" w:rsidRPr="00C971C6" w:rsidRDefault="006902CC" w:rsidP="006902CC">
            <w:pPr>
              <w:pStyle w:val="Tabletext"/>
              <w:rPr>
                <w:snapToGrid w:val="0"/>
              </w:rPr>
            </w:pPr>
            <w:r w:rsidRPr="00295986">
              <w:t>14</w:t>
            </w:r>
            <w:r w:rsidR="00D7157D">
              <w:t>.</w:t>
            </w:r>
            <w:r w:rsidRPr="00295986">
              <w:t>1620</w:t>
            </w:r>
          </w:p>
        </w:tc>
        <w:tc>
          <w:tcPr>
            <w:tcW w:w="966" w:type="pct"/>
            <w:tcBorders>
              <w:top w:val="single" w:sz="4" w:space="0" w:color="auto"/>
              <w:bottom w:val="single" w:sz="4" w:space="0" w:color="auto"/>
            </w:tcBorders>
            <w:vAlign w:val="bottom"/>
          </w:tcPr>
          <w:p w14:paraId="5EB36E15" w14:textId="77777777" w:rsidR="006902CC" w:rsidRPr="00C971C6" w:rsidRDefault="006902CC" w:rsidP="006902CC">
            <w:pPr>
              <w:pStyle w:val="Tabletext"/>
              <w:rPr>
                <w:snapToGrid w:val="0"/>
              </w:rPr>
            </w:pPr>
            <w:r w:rsidRPr="00295986">
              <w:t>0</w:t>
            </w:r>
            <w:r w:rsidR="00D7157D">
              <w:t>.</w:t>
            </w:r>
            <w:r w:rsidRPr="00295986">
              <w:t>1455</w:t>
            </w:r>
          </w:p>
        </w:tc>
        <w:tc>
          <w:tcPr>
            <w:tcW w:w="966" w:type="pct"/>
            <w:tcBorders>
              <w:top w:val="single" w:sz="4" w:space="0" w:color="auto"/>
              <w:bottom w:val="single" w:sz="4" w:space="0" w:color="auto"/>
            </w:tcBorders>
            <w:vAlign w:val="bottom"/>
          </w:tcPr>
          <w:p w14:paraId="24930B20" w14:textId="77777777" w:rsidR="006902CC" w:rsidRPr="00C971C6" w:rsidRDefault="006902CC" w:rsidP="006902CC">
            <w:pPr>
              <w:pStyle w:val="Tabletext"/>
              <w:rPr>
                <w:snapToGrid w:val="0"/>
              </w:rPr>
            </w:pPr>
            <w:r w:rsidRPr="00295986">
              <w:t>14</w:t>
            </w:r>
            <w:r w:rsidR="00D7157D">
              <w:t>.</w:t>
            </w:r>
            <w:r w:rsidRPr="00295986">
              <w:t>5602</w:t>
            </w:r>
          </w:p>
        </w:tc>
        <w:tc>
          <w:tcPr>
            <w:tcW w:w="966" w:type="pct"/>
            <w:tcBorders>
              <w:top w:val="single" w:sz="4" w:space="0" w:color="auto"/>
              <w:bottom w:val="single" w:sz="4" w:space="0" w:color="auto"/>
            </w:tcBorders>
            <w:vAlign w:val="bottom"/>
          </w:tcPr>
          <w:p w14:paraId="381E88E4" w14:textId="77777777" w:rsidR="006902CC" w:rsidRPr="00C971C6" w:rsidRDefault="006902CC" w:rsidP="006902CC">
            <w:pPr>
              <w:pStyle w:val="Tabletext"/>
              <w:rPr>
                <w:snapToGrid w:val="0"/>
              </w:rPr>
            </w:pPr>
            <w:r w:rsidRPr="00295986">
              <w:t>0</w:t>
            </w:r>
            <w:r w:rsidR="00D7157D">
              <w:t>.</w:t>
            </w:r>
            <w:r w:rsidRPr="00295986">
              <w:t>0395</w:t>
            </w:r>
          </w:p>
        </w:tc>
      </w:tr>
      <w:tr w:rsidR="006902CC" w:rsidRPr="009E2595" w14:paraId="4D2BD077" w14:textId="77777777" w:rsidTr="006902CC">
        <w:trPr>
          <w:cantSplit/>
        </w:trPr>
        <w:tc>
          <w:tcPr>
            <w:tcW w:w="1136" w:type="pct"/>
            <w:tcBorders>
              <w:top w:val="single" w:sz="4" w:space="0" w:color="auto"/>
              <w:bottom w:val="single" w:sz="4" w:space="0" w:color="auto"/>
            </w:tcBorders>
          </w:tcPr>
          <w:p w14:paraId="07E0518C" w14:textId="77777777" w:rsidR="006902CC" w:rsidRPr="00616B26" w:rsidRDefault="006902CC" w:rsidP="006902CC">
            <w:pPr>
              <w:pStyle w:val="Tabletext"/>
              <w:rPr>
                <w:snapToGrid w:val="0"/>
              </w:rPr>
            </w:pPr>
            <w:r w:rsidRPr="00616B26">
              <w:rPr>
                <w:snapToGrid w:val="0"/>
              </w:rPr>
              <w:t>57</w:t>
            </w:r>
          </w:p>
        </w:tc>
        <w:tc>
          <w:tcPr>
            <w:tcW w:w="966" w:type="pct"/>
            <w:tcBorders>
              <w:top w:val="single" w:sz="4" w:space="0" w:color="auto"/>
              <w:bottom w:val="single" w:sz="4" w:space="0" w:color="auto"/>
            </w:tcBorders>
            <w:vAlign w:val="bottom"/>
          </w:tcPr>
          <w:p w14:paraId="43A51F4E" w14:textId="77777777" w:rsidR="006902CC" w:rsidRPr="00C971C6" w:rsidRDefault="006902CC" w:rsidP="006902CC">
            <w:pPr>
              <w:pStyle w:val="Tabletext"/>
              <w:rPr>
                <w:snapToGrid w:val="0"/>
              </w:rPr>
            </w:pPr>
            <w:r w:rsidRPr="00295986">
              <w:t>13</w:t>
            </w:r>
            <w:r w:rsidR="00D7157D">
              <w:t>.</w:t>
            </w:r>
            <w:r w:rsidRPr="00295986">
              <w:t>9987</w:t>
            </w:r>
          </w:p>
        </w:tc>
        <w:tc>
          <w:tcPr>
            <w:tcW w:w="966" w:type="pct"/>
            <w:tcBorders>
              <w:top w:val="single" w:sz="4" w:space="0" w:color="auto"/>
              <w:bottom w:val="single" w:sz="4" w:space="0" w:color="auto"/>
            </w:tcBorders>
            <w:vAlign w:val="bottom"/>
          </w:tcPr>
          <w:p w14:paraId="30AEDD10" w14:textId="77777777" w:rsidR="006902CC" w:rsidRPr="00C971C6" w:rsidRDefault="006902CC" w:rsidP="006902CC">
            <w:pPr>
              <w:pStyle w:val="Tabletext"/>
              <w:rPr>
                <w:snapToGrid w:val="0"/>
              </w:rPr>
            </w:pPr>
            <w:r w:rsidRPr="00295986">
              <w:t>0</w:t>
            </w:r>
            <w:r w:rsidR="00D7157D">
              <w:t>.</w:t>
            </w:r>
            <w:r w:rsidRPr="00295986">
              <w:t>1523</w:t>
            </w:r>
          </w:p>
        </w:tc>
        <w:tc>
          <w:tcPr>
            <w:tcW w:w="966" w:type="pct"/>
            <w:tcBorders>
              <w:top w:val="single" w:sz="4" w:space="0" w:color="auto"/>
              <w:bottom w:val="single" w:sz="4" w:space="0" w:color="auto"/>
            </w:tcBorders>
            <w:vAlign w:val="bottom"/>
          </w:tcPr>
          <w:p w14:paraId="3F636D9A" w14:textId="77777777" w:rsidR="006902CC" w:rsidRPr="00C971C6" w:rsidRDefault="006902CC" w:rsidP="006902CC">
            <w:pPr>
              <w:pStyle w:val="Tabletext"/>
              <w:rPr>
                <w:snapToGrid w:val="0"/>
              </w:rPr>
            </w:pPr>
            <w:r w:rsidRPr="00295986">
              <w:t>14</w:t>
            </w:r>
            <w:r w:rsidR="00D7157D">
              <w:t>.</w:t>
            </w:r>
            <w:r w:rsidRPr="00295986">
              <w:t>4126</w:t>
            </w:r>
          </w:p>
        </w:tc>
        <w:tc>
          <w:tcPr>
            <w:tcW w:w="966" w:type="pct"/>
            <w:tcBorders>
              <w:top w:val="single" w:sz="4" w:space="0" w:color="auto"/>
              <w:bottom w:val="single" w:sz="4" w:space="0" w:color="auto"/>
            </w:tcBorders>
            <w:vAlign w:val="bottom"/>
          </w:tcPr>
          <w:p w14:paraId="64708F06" w14:textId="77777777" w:rsidR="006902CC" w:rsidRPr="00C971C6" w:rsidRDefault="006902CC" w:rsidP="006902CC">
            <w:pPr>
              <w:pStyle w:val="Tabletext"/>
              <w:rPr>
                <w:snapToGrid w:val="0"/>
              </w:rPr>
            </w:pPr>
            <w:r w:rsidRPr="00295986">
              <w:t>0</w:t>
            </w:r>
            <w:r w:rsidR="00D7157D">
              <w:t>.</w:t>
            </w:r>
            <w:r w:rsidRPr="00295986">
              <w:t>0413</w:t>
            </w:r>
          </w:p>
        </w:tc>
      </w:tr>
      <w:tr w:rsidR="006902CC" w:rsidRPr="009E2595" w14:paraId="26FF9070" w14:textId="77777777" w:rsidTr="006902CC">
        <w:trPr>
          <w:cantSplit/>
        </w:trPr>
        <w:tc>
          <w:tcPr>
            <w:tcW w:w="1136" w:type="pct"/>
            <w:tcBorders>
              <w:top w:val="single" w:sz="4" w:space="0" w:color="auto"/>
              <w:bottom w:val="single" w:sz="4" w:space="0" w:color="auto"/>
            </w:tcBorders>
          </w:tcPr>
          <w:p w14:paraId="24E945AA" w14:textId="77777777" w:rsidR="006902CC" w:rsidRPr="00616B26" w:rsidRDefault="006902CC" w:rsidP="006902CC">
            <w:pPr>
              <w:pStyle w:val="Tabletext"/>
              <w:rPr>
                <w:snapToGrid w:val="0"/>
              </w:rPr>
            </w:pPr>
            <w:r w:rsidRPr="00616B26">
              <w:rPr>
                <w:snapToGrid w:val="0"/>
              </w:rPr>
              <w:t>58</w:t>
            </w:r>
          </w:p>
        </w:tc>
        <w:tc>
          <w:tcPr>
            <w:tcW w:w="966" w:type="pct"/>
            <w:tcBorders>
              <w:top w:val="single" w:sz="4" w:space="0" w:color="auto"/>
              <w:bottom w:val="single" w:sz="4" w:space="0" w:color="auto"/>
            </w:tcBorders>
            <w:vAlign w:val="bottom"/>
          </w:tcPr>
          <w:p w14:paraId="24225BD5" w14:textId="77777777" w:rsidR="006902CC" w:rsidRPr="00C971C6" w:rsidRDefault="006902CC" w:rsidP="006902CC">
            <w:pPr>
              <w:pStyle w:val="Tabletext"/>
              <w:rPr>
                <w:snapToGrid w:val="0"/>
              </w:rPr>
            </w:pPr>
            <w:r w:rsidRPr="00295986">
              <w:t>13</w:t>
            </w:r>
            <w:r w:rsidR="00D7157D">
              <w:t>.</w:t>
            </w:r>
            <w:r w:rsidRPr="00295986">
              <w:t>8258</w:t>
            </w:r>
          </w:p>
        </w:tc>
        <w:tc>
          <w:tcPr>
            <w:tcW w:w="966" w:type="pct"/>
            <w:tcBorders>
              <w:top w:val="single" w:sz="4" w:space="0" w:color="auto"/>
              <w:bottom w:val="single" w:sz="4" w:space="0" w:color="auto"/>
            </w:tcBorders>
            <w:vAlign w:val="bottom"/>
          </w:tcPr>
          <w:p w14:paraId="5529C262" w14:textId="77777777" w:rsidR="006902CC" w:rsidRPr="00C971C6" w:rsidRDefault="006902CC" w:rsidP="006902CC">
            <w:pPr>
              <w:pStyle w:val="Tabletext"/>
              <w:rPr>
                <w:snapToGrid w:val="0"/>
              </w:rPr>
            </w:pPr>
            <w:r w:rsidRPr="00295986">
              <w:t>0</w:t>
            </w:r>
            <w:r w:rsidR="00D7157D">
              <w:t>.</w:t>
            </w:r>
            <w:r w:rsidRPr="00295986">
              <w:t>1594</w:t>
            </w:r>
          </w:p>
        </w:tc>
        <w:tc>
          <w:tcPr>
            <w:tcW w:w="966" w:type="pct"/>
            <w:tcBorders>
              <w:top w:val="single" w:sz="4" w:space="0" w:color="auto"/>
              <w:bottom w:val="single" w:sz="4" w:space="0" w:color="auto"/>
            </w:tcBorders>
            <w:vAlign w:val="bottom"/>
          </w:tcPr>
          <w:p w14:paraId="3E1318CC" w14:textId="77777777" w:rsidR="006902CC" w:rsidRPr="00C971C6" w:rsidRDefault="006902CC" w:rsidP="006902CC">
            <w:pPr>
              <w:pStyle w:val="Tabletext"/>
              <w:rPr>
                <w:snapToGrid w:val="0"/>
              </w:rPr>
            </w:pPr>
            <w:r w:rsidRPr="00295986">
              <w:t>14</w:t>
            </w:r>
            <w:r w:rsidR="00D7157D">
              <w:t>.</w:t>
            </w:r>
            <w:r w:rsidRPr="00295986">
              <w:t>2566</w:t>
            </w:r>
          </w:p>
        </w:tc>
        <w:tc>
          <w:tcPr>
            <w:tcW w:w="966" w:type="pct"/>
            <w:tcBorders>
              <w:top w:val="single" w:sz="4" w:space="0" w:color="auto"/>
              <w:bottom w:val="single" w:sz="4" w:space="0" w:color="auto"/>
            </w:tcBorders>
            <w:vAlign w:val="bottom"/>
          </w:tcPr>
          <w:p w14:paraId="7DAB12DC" w14:textId="77777777" w:rsidR="006902CC" w:rsidRPr="00C971C6" w:rsidRDefault="006902CC" w:rsidP="006902CC">
            <w:pPr>
              <w:pStyle w:val="Tabletext"/>
              <w:rPr>
                <w:snapToGrid w:val="0"/>
              </w:rPr>
            </w:pPr>
            <w:r w:rsidRPr="00295986">
              <w:t>0</w:t>
            </w:r>
            <w:r w:rsidR="00D7157D">
              <w:t>.</w:t>
            </w:r>
            <w:r w:rsidRPr="00295986">
              <w:t>0432</w:t>
            </w:r>
          </w:p>
        </w:tc>
      </w:tr>
      <w:tr w:rsidR="006902CC" w:rsidRPr="009E2595" w14:paraId="1468A0B0" w14:textId="77777777" w:rsidTr="006902CC">
        <w:trPr>
          <w:cantSplit/>
        </w:trPr>
        <w:tc>
          <w:tcPr>
            <w:tcW w:w="1136" w:type="pct"/>
            <w:tcBorders>
              <w:top w:val="single" w:sz="4" w:space="0" w:color="auto"/>
              <w:bottom w:val="single" w:sz="4" w:space="0" w:color="auto"/>
            </w:tcBorders>
          </w:tcPr>
          <w:p w14:paraId="3554DEBF" w14:textId="77777777" w:rsidR="006902CC" w:rsidRPr="00616B26" w:rsidRDefault="006902CC" w:rsidP="006902CC">
            <w:pPr>
              <w:pStyle w:val="Tabletext"/>
              <w:rPr>
                <w:snapToGrid w:val="0"/>
              </w:rPr>
            </w:pPr>
            <w:r w:rsidRPr="00616B26">
              <w:rPr>
                <w:snapToGrid w:val="0"/>
              </w:rPr>
              <w:t>59</w:t>
            </w:r>
          </w:p>
        </w:tc>
        <w:tc>
          <w:tcPr>
            <w:tcW w:w="966" w:type="pct"/>
            <w:tcBorders>
              <w:top w:val="single" w:sz="4" w:space="0" w:color="auto"/>
              <w:bottom w:val="single" w:sz="4" w:space="0" w:color="auto"/>
            </w:tcBorders>
            <w:vAlign w:val="bottom"/>
          </w:tcPr>
          <w:p w14:paraId="13F218DC" w14:textId="77777777" w:rsidR="006902CC" w:rsidRPr="00C971C6" w:rsidRDefault="006902CC" w:rsidP="006902CC">
            <w:pPr>
              <w:pStyle w:val="Tabletext"/>
              <w:rPr>
                <w:snapToGrid w:val="0"/>
              </w:rPr>
            </w:pPr>
            <w:r w:rsidRPr="00295986">
              <w:t>13</w:t>
            </w:r>
            <w:r w:rsidR="00D7157D">
              <w:t>.</w:t>
            </w:r>
            <w:r w:rsidRPr="00295986">
              <w:t>6425</w:t>
            </w:r>
          </w:p>
        </w:tc>
        <w:tc>
          <w:tcPr>
            <w:tcW w:w="966" w:type="pct"/>
            <w:tcBorders>
              <w:top w:val="single" w:sz="4" w:space="0" w:color="auto"/>
              <w:bottom w:val="single" w:sz="4" w:space="0" w:color="auto"/>
            </w:tcBorders>
            <w:vAlign w:val="bottom"/>
          </w:tcPr>
          <w:p w14:paraId="49B070BC" w14:textId="77777777" w:rsidR="006902CC" w:rsidRPr="00C971C6" w:rsidRDefault="006902CC" w:rsidP="006902CC">
            <w:pPr>
              <w:pStyle w:val="Tabletext"/>
              <w:rPr>
                <w:snapToGrid w:val="0"/>
              </w:rPr>
            </w:pPr>
            <w:r w:rsidRPr="00295986">
              <w:t>0</w:t>
            </w:r>
            <w:r w:rsidR="00D7157D">
              <w:t>.</w:t>
            </w:r>
            <w:r w:rsidRPr="00295986">
              <w:t>1670</w:t>
            </w:r>
          </w:p>
        </w:tc>
        <w:tc>
          <w:tcPr>
            <w:tcW w:w="966" w:type="pct"/>
            <w:tcBorders>
              <w:top w:val="single" w:sz="4" w:space="0" w:color="auto"/>
              <w:bottom w:val="single" w:sz="4" w:space="0" w:color="auto"/>
            </w:tcBorders>
            <w:vAlign w:val="bottom"/>
          </w:tcPr>
          <w:p w14:paraId="10E1BAB6" w14:textId="77777777" w:rsidR="006902CC" w:rsidRPr="00C971C6" w:rsidRDefault="006902CC" w:rsidP="006902CC">
            <w:pPr>
              <w:pStyle w:val="Tabletext"/>
              <w:rPr>
                <w:snapToGrid w:val="0"/>
              </w:rPr>
            </w:pPr>
            <w:r w:rsidRPr="00295986">
              <w:t>14</w:t>
            </w:r>
            <w:r w:rsidR="00D7157D">
              <w:t>.</w:t>
            </w:r>
            <w:r w:rsidRPr="00295986">
              <w:t>0918</w:t>
            </w:r>
          </w:p>
        </w:tc>
        <w:tc>
          <w:tcPr>
            <w:tcW w:w="966" w:type="pct"/>
            <w:tcBorders>
              <w:top w:val="single" w:sz="4" w:space="0" w:color="auto"/>
              <w:bottom w:val="single" w:sz="4" w:space="0" w:color="auto"/>
            </w:tcBorders>
            <w:vAlign w:val="bottom"/>
          </w:tcPr>
          <w:p w14:paraId="3EC48680" w14:textId="77777777" w:rsidR="006902CC" w:rsidRPr="00C971C6" w:rsidRDefault="006902CC" w:rsidP="006902CC">
            <w:pPr>
              <w:pStyle w:val="Tabletext"/>
              <w:rPr>
                <w:snapToGrid w:val="0"/>
              </w:rPr>
            </w:pPr>
            <w:r w:rsidRPr="00295986">
              <w:t>0</w:t>
            </w:r>
            <w:r w:rsidR="00D7157D">
              <w:t>.</w:t>
            </w:r>
            <w:r w:rsidRPr="00295986">
              <w:t>0452</w:t>
            </w:r>
          </w:p>
        </w:tc>
      </w:tr>
      <w:tr w:rsidR="006902CC" w:rsidRPr="009E2595" w14:paraId="494003FE" w14:textId="77777777" w:rsidTr="006902CC">
        <w:trPr>
          <w:cantSplit/>
        </w:trPr>
        <w:tc>
          <w:tcPr>
            <w:tcW w:w="1136" w:type="pct"/>
            <w:tcBorders>
              <w:top w:val="single" w:sz="4" w:space="0" w:color="auto"/>
              <w:bottom w:val="single" w:sz="4" w:space="0" w:color="auto"/>
            </w:tcBorders>
          </w:tcPr>
          <w:p w14:paraId="0CE93EA8" w14:textId="77777777" w:rsidR="006902CC" w:rsidRPr="00616B26" w:rsidRDefault="006902CC" w:rsidP="006902CC">
            <w:pPr>
              <w:pStyle w:val="Tabletext"/>
              <w:rPr>
                <w:snapToGrid w:val="0"/>
              </w:rPr>
            </w:pPr>
            <w:r w:rsidRPr="00616B26">
              <w:rPr>
                <w:snapToGrid w:val="0"/>
              </w:rPr>
              <w:t>60</w:t>
            </w:r>
          </w:p>
        </w:tc>
        <w:tc>
          <w:tcPr>
            <w:tcW w:w="966" w:type="pct"/>
            <w:tcBorders>
              <w:top w:val="single" w:sz="4" w:space="0" w:color="auto"/>
              <w:bottom w:val="single" w:sz="4" w:space="0" w:color="auto"/>
            </w:tcBorders>
            <w:vAlign w:val="bottom"/>
          </w:tcPr>
          <w:p w14:paraId="6B1567C7" w14:textId="77777777" w:rsidR="006902CC" w:rsidRPr="00C971C6" w:rsidRDefault="006902CC" w:rsidP="006902CC">
            <w:pPr>
              <w:pStyle w:val="Tabletext"/>
              <w:rPr>
                <w:snapToGrid w:val="0"/>
              </w:rPr>
            </w:pPr>
            <w:r w:rsidRPr="00295986">
              <w:t>13</w:t>
            </w:r>
            <w:r w:rsidR="00D7157D">
              <w:t>.</w:t>
            </w:r>
            <w:r w:rsidRPr="00295986">
              <w:t>4487</w:t>
            </w:r>
          </w:p>
        </w:tc>
        <w:tc>
          <w:tcPr>
            <w:tcW w:w="966" w:type="pct"/>
            <w:tcBorders>
              <w:top w:val="single" w:sz="4" w:space="0" w:color="auto"/>
              <w:bottom w:val="single" w:sz="4" w:space="0" w:color="auto"/>
            </w:tcBorders>
            <w:vAlign w:val="bottom"/>
          </w:tcPr>
          <w:p w14:paraId="2F3B38B4" w14:textId="77777777" w:rsidR="006902CC" w:rsidRPr="00C971C6" w:rsidRDefault="006902CC" w:rsidP="006902CC">
            <w:pPr>
              <w:pStyle w:val="Tabletext"/>
              <w:rPr>
                <w:snapToGrid w:val="0"/>
              </w:rPr>
            </w:pPr>
            <w:r w:rsidRPr="00295986">
              <w:t>0</w:t>
            </w:r>
            <w:r w:rsidR="00D7157D">
              <w:t>.</w:t>
            </w:r>
            <w:r w:rsidRPr="00295986">
              <w:t>1749</w:t>
            </w:r>
          </w:p>
        </w:tc>
        <w:tc>
          <w:tcPr>
            <w:tcW w:w="966" w:type="pct"/>
            <w:tcBorders>
              <w:top w:val="single" w:sz="4" w:space="0" w:color="auto"/>
              <w:bottom w:val="single" w:sz="4" w:space="0" w:color="auto"/>
            </w:tcBorders>
            <w:vAlign w:val="bottom"/>
          </w:tcPr>
          <w:p w14:paraId="0DFB0B2A" w14:textId="77777777" w:rsidR="006902CC" w:rsidRPr="00C971C6" w:rsidRDefault="006902CC" w:rsidP="006902CC">
            <w:pPr>
              <w:pStyle w:val="Tabletext"/>
              <w:rPr>
                <w:snapToGrid w:val="0"/>
              </w:rPr>
            </w:pPr>
            <w:r w:rsidRPr="00295986">
              <w:t>13</w:t>
            </w:r>
            <w:r w:rsidR="00D7157D">
              <w:t>.</w:t>
            </w:r>
            <w:r w:rsidRPr="00295986">
              <w:t>9174</w:t>
            </w:r>
          </w:p>
        </w:tc>
        <w:tc>
          <w:tcPr>
            <w:tcW w:w="966" w:type="pct"/>
            <w:tcBorders>
              <w:top w:val="single" w:sz="4" w:space="0" w:color="auto"/>
              <w:bottom w:val="single" w:sz="4" w:space="0" w:color="auto"/>
            </w:tcBorders>
            <w:vAlign w:val="bottom"/>
          </w:tcPr>
          <w:p w14:paraId="72E7FF74" w14:textId="77777777" w:rsidR="006902CC" w:rsidRPr="00C971C6" w:rsidRDefault="006902CC" w:rsidP="006902CC">
            <w:pPr>
              <w:pStyle w:val="Tabletext"/>
              <w:rPr>
                <w:snapToGrid w:val="0"/>
              </w:rPr>
            </w:pPr>
            <w:r w:rsidRPr="00295986">
              <w:t>0</w:t>
            </w:r>
            <w:r w:rsidR="00D7157D">
              <w:t>.</w:t>
            </w:r>
            <w:r w:rsidRPr="00295986">
              <w:t>0472</w:t>
            </w:r>
          </w:p>
        </w:tc>
      </w:tr>
      <w:tr w:rsidR="006902CC" w:rsidRPr="009E2595" w14:paraId="5F13E4F8" w14:textId="77777777" w:rsidTr="006902CC">
        <w:trPr>
          <w:cantSplit/>
        </w:trPr>
        <w:tc>
          <w:tcPr>
            <w:tcW w:w="1136" w:type="pct"/>
            <w:tcBorders>
              <w:top w:val="single" w:sz="4" w:space="0" w:color="auto"/>
              <w:bottom w:val="single" w:sz="4" w:space="0" w:color="auto"/>
            </w:tcBorders>
          </w:tcPr>
          <w:p w14:paraId="37E6150B" w14:textId="77777777" w:rsidR="006902CC" w:rsidRPr="00616B26" w:rsidRDefault="006902CC" w:rsidP="006902CC">
            <w:pPr>
              <w:pStyle w:val="Tabletext"/>
              <w:rPr>
                <w:snapToGrid w:val="0"/>
              </w:rPr>
            </w:pPr>
            <w:r w:rsidRPr="00616B26">
              <w:rPr>
                <w:snapToGrid w:val="0"/>
              </w:rPr>
              <w:t>61</w:t>
            </w:r>
          </w:p>
        </w:tc>
        <w:tc>
          <w:tcPr>
            <w:tcW w:w="966" w:type="pct"/>
            <w:tcBorders>
              <w:top w:val="single" w:sz="4" w:space="0" w:color="auto"/>
              <w:bottom w:val="single" w:sz="4" w:space="0" w:color="auto"/>
            </w:tcBorders>
            <w:vAlign w:val="bottom"/>
          </w:tcPr>
          <w:p w14:paraId="10C224CF" w14:textId="77777777" w:rsidR="006902CC" w:rsidRPr="00C971C6" w:rsidRDefault="006902CC" w:rsidP="006902CC">
            <w:pPr>
              <w:pStyle w:val="Tabletext"/>
              <w:rPr>
                <w:snapToGrid w:val="0"/>
              </w:rPr>
            </w:pPr>
            <w:r w:rsidRPr="00295986">
              <w:t>13</w:t>
            </w:r>
            <w:r w:rsidR="00D7157D">
              <w:t>.</w:t>
            </w:r>
            <w:r w:rsidRPr="00295986">
              <w:t>2439</w:t>
            </w:r>
          </w:p>
        </w:tc>
        <w:tc>
          <w:tcPr>
            <w:tcW w:w="966" w:type="pct"/>
            <w:tcBorders>
              <w:top w:val="single" w:sz="4" w:space="0" w:color="auto"/>
              <w:bottom w:val="single" w:sz="4" w:space="0" w:color="auto"/>
            </w:tcBorders>
            <w:vAlign w:val="bottom"/>
          </w:tcPr>
          <w:p w14:paraId="030ADC90" w14:textId="77777777" w:rsidR="006902CC" w:rsidRPr="00C971C6" w:rsidRDefault="006902CC" w:rsidP="006902CC">
            <w:pPr>
              <w:pStyle w:val="Tabletext"/>
              <w:rPr>
                <w:snapToGrid w:val="0"/>
              </w:rPr>
            </w:pPr>
            <w:r w:rsidRPr="00295986">
              <w:t>0</w:t>
            </w:r>
            <w:r w:rsidR="00D7157D">
              <w:t>.</w:t>
            </w:r>
            <w:r w:rsidRPr="00295986">
              <w:t>1833</w:t>
            </w:r>
          </w:p>
        </w:tc>
        <w:tc>
          <w:tcPr>
            <w:tcW w:w="966" w:type="pct"/>
            <w:tcBorders>
              <w:top w:val="single" w:sz="4" w:space="0" w:color="auto"/>
              <w:bottom w:val="single" w:sz="4" w:space="0" w:color="auto"/>
            </w:tcBorders>
            <w:vAlign w:val="bottom"/>
          </w:tcPr>
          <w:p w14:paraId="52BC3F1A" w14:textId="77777777" w:rsidR="006902CC" w:rsidRPr="00C971C6" w:rsidRDefault="006902CC" w:rsidP="006902CC">
            <w:pPr>
              <w:pStyle w:val="Tabletext"/>
              <w:rPr>
                <w:snapToGrid w:val="0"/>
              </w:rPr>
            </w:pPr>
            <w:r w:rsidRPr="00295986">
              <w:t>13</w:t>
            </w:r>
            <w:r w:rsidR="00D7157D">
              <w:t>.</w:t>
            </w:r>
            <w:r w:rsidRPr="00295986">
              <w:t>7324</w:t>
            </w:r>
          </w:p>
        </w:tc>
        <w:tc>
          <w:tcPr>
            <w:tcW w:w="966" w:type="pct"/>
            <w:tcBorders>
              <w:top w:val="single" w:sz="4" w:space="0" w:color="auto"/>
              <w:bottom w:val="single" w:sz="4" w:space="0" w:color="auto"/>
            </w:tcBorders>
            <w:vAlign w:val="bottom"/>
          </w:tcPr>
          <w:p w14:paraId="1ACDAA88" w14:textId="77777777" w:rsidR="006902CC" w:rsidRPr="00C971C6" w:rsidRDefault="006902CC" w:rsidP="006902CC">
            <w:pPr>
              <w:pStyle w:val="Tabletext"/>
              <w:rPr>
                <w:snapToGrid w:val="0"/>
              </w:rPr>
            </w:pPr>
            <w:r w:rsidRPr="00295986">
              <w:t>0</w:t>
            </w:r>
            <w:r w:rsidR="00D7157D">
              <w:t>.</w:t>
            </w:r>
            <w:r w:rsidRPr="00295986">
              <w:t>0494</w:t>
            </w:r>
          </w:p>
        </w:tc>
      </w:tr>
      <w:tr w:rsidR="006902CC" w:rsidRPr="009E2595" w14:paraId="3201C15B" w14:textId="77777777" w:rsidTr="006902CC">
        <w:trPr>
          <w:cantSplit/>
        </w:trPr>
        <w:tc>
          <w:tcPr>
            <w:tcW w:w="1136" w:type="pct"/>
            <w:tcBorders>
              <w:top w:val="single" w:sz="4" w:space="0" w:color="auto"/>
              <w:bottom w:val="single" w:sz="4" w:space="0" w:color="auto"/>
            </w:tcBorders>
          </w:tcPr>
          <w:p w14:paraId="1943D576" w14:textId="77777777" w:rsidR="006902CC" w:rsidRPr="00616B26" w:rsidRDefault="006902CC" w:rsidP="006902CC">
            <w:pPr>
              <w:pStyle w:val="Tabletext"/>
              <w:rPr>
                <w:snapToGrid w:val="0"/>
              </w:rPr>
            </w:pPr>
            <w:r w:rsidRPr="00616B26">
              <w:rPr>
                <w:snapToGrid w:val="0"/>
              </w:rPr>
              <w:t>62</w:t>
            </w:r>
          </w:p>
        </w:tc>
        <w:tc>
          <w:tcPr>
            <w:tcW w:w="966" w:type="pct"/>
            <w:tcBorders>
              <w:top w:val="single" w:sz="4" w:space="0" w:color="auto"/>
              <w:bottom w:val="single" w:sz="4" w:space="0" w:color="auto"/>
            </w:tcBorders>
            <w:vAlign w:val="bottom"/>
          </w:tcPr>
          <w:p w14:paraId="5A60E1C3" w14:textId="77777777" w:rsidR="006902CC" w:rsidRPr="00C971C6" w:rsidRDefault="006902CC" w:rsidP="006902CC">
            <w:pPr>
              <w:pStyle w:val="Tabletext"/>
              <w:rPr>
                <w:snapToGrid w:val="0"/>
              </w:rPr>
            </w:pPr>
            <w:r w:rsidRPr="00295986">
              <w:t>13</w:t>
            </w:r>
            <w:r w:rsidR="00D7157D">
              <w:t>.</w:t>
            </w:r>
            <w:r w:rsidRPr="00295986">
              <w:t>0275</w:t>
            </w:r>
          </w:p>
        </w:tc>
        <w:tc>
          <w:tcPr>
            <w:tcW w:w="966" w:type="pct"/>
            <w:tcBorders>
              <w:top w:val="single" w:sz="4" w:space="0" w:color="auto"/>
              <w:bottom w:val="single" w:sz="4" w:space="0" w:color="auto"/>
            </w:tcBorders>
            <w:vAlign w:val="bottom"/>
          </w:tcPr>
          <w:p w14:paraId="51C1E422" w14:textId="77777777" w:rsidR="006902CC" w:rsidRPr="00C971C6" w:rsidRDefault="006902CC" w:rsidP="006902CC">
            <w:pPr>
              <w:pStyle w:val="Tabletext"/>
              <w:rPr>
                <w:snapToGrid w:val="0"/>
              </w:rPr>
            </w:pPr>
            <w:r w:rsidRPr="00295986">
              <w:t>0</w:t>
            </w:r>
            <w:r w:rsidR="00D7157D">
              <w:t>.</w:t>
            </w:r>
            <w:r w:rsidRPr="00295986">
              <w:t>1920</w:t>
            </w:r>
          </w:p>
        </w:tc>
        <w:tc>
          <w:tcPr>
            <w:tcW w:w="966" w:type="pct"/>
            <w:tcBorders>
              <w:top w:val="single" w:sz="4" w:space="0" w:color="auto"/>
              <w:bottom w:val="single" w:sz="4" w:space="0" w:color="auto"/>
            </w:tcBorders>
            <w:vAlign w:val="bottom"/>
          </w:tcPr>
          <w:p w14:paraId="1659D494" w14:textId="77777777" w:rsidR="006902CC" w:rsidRPr="00C971C6" w:rsidRDefault="006902CC" w:rsidP="006902CC">
            <w:pPr>
              <w:pStyle w:val="Tabletext"/>
              <w:rPr>
                <w:snapToGrid w:val="0"/>
              </w:rPr>
            </w:pPr>
            <w:r w:rsidRPr="00295986">
              <w:t>13</w:t>
            </w:r>
            <w:r w:rsidR="00D7157D">
              <w:t>.</w:t>
            </w:r>
            <w:r w:rsidRPr="00295986">
              <w:t>5371</w:t>
            </w:r>
          </w:p>
        </w:tc>
        <w:tc>
          <w:tcPr>
            <w:tcW w:w="966" w:type="pct"/>
            <w:tcBorders>
              <w:top w:val="single" w:sz="4" w:space="0" w:color="auto"/>
              <w:bottom w:val="single" w:sz="4" w:space="0" w:color="auto"/>
            </w:tcBorders>
            <w:vAlign w:val="bottom"/>
          </w:tcPr>
          <w:p w14:paraId="0F3CFEA5" w14:textId="77777777" w:rsidR="006902CC" w:rsidRPr="00C971C6" w:rsidRDefault="006902CC" w:rsidP="006902CC">
            <w:pPr>
              <w:pStyle w:val="Tabletext"/>
              <w:rPr>
                <w:snapToGrid w:val="0"/>
              </w:rPr>
            </w:pPr>
            <w:r w:rsidRPr="00295986">
              <w:t>0</w:t>
            </w:r>
            <w:r w:rsidR="00D7157D">
              <w:t>.</w:t>
            </w:r>
            <w:r w:rsidRPr="00295986">
              <w:t>0517</w:t>
            </w:r>
          </w:p>
        </w:tc>
      </w:tr>
      <w:tr w:rsidR="006902CC" w:rsidRPr="009E2595" w14:paraId="33FECE14" w14:textId="77777777" w:rsidTr="006902CC">
        <w:trPr>
          <w:cantSplit/>
        </w:trPr>
        <w:tc>
          <w:tcPr>
            <w:tcW w:w="1136" w:type="pct"/>
            <w:tcBorders>
              <w:top w:val="single" w:sz="4" w:space="0" w:color="auto"/>
              <w:bottom w:val="single" w:sz="4" w:space="0" w:color="auto"/>
            </w:tcBorders>
          </w:tcPr>
          <w:p w14:paraId="0863897E" w14:textId="77777777" w:rsidR="006902CC" w:rsidRPr="00616B26" w:rsidRDefault="006902CC" w:rsidP="006902CC">
            <w:pPr>
              <w:pStyle w:val="Tabletext"/>
              <w:rPr>
                <w:snapToGrid w:val="0"/>
              </w:rPr>
            </w:pPr>
            <w:r w:rsidRPr="00616B26">
              <w:rPr>
                <w:snapToGrid w:val="0"/>
              </w:rPr>
              <w:t>63</w:t>
            </w:r>
          </w:p>
        </w:tc>
        <w:tc>
          <w:tcPr>
            <w:tcW w:w="966" w:type="pct"/>
            <w:tcBorders>
              <w:top w:val="single" w:sz="4" w:space="0" w:color="auto"/>
              <w:bottom w:val="single" w:sz="4" w:space="0" w:color="auto"/>
            </w:tcBorders>
            <w:vAlign w:val="bottom"/>
          </w:tcPr>
          <w:p w14:paraId="6D9E5A8C" w14:textId="77777777" w:rsidR="006902CC" w:rsidRPr="00C971C6" w:rsidRDefault="006902CC" w:rsidP="006902CC">
            <w:pPr>
              <w:pStyle w:val="Tabletext"/>
              <w:rPr>
                <w:snapToGrid w:val="0"/>
              </w:rPr>
            </w:pPr>
            <w:r w:rsidRPr="00295986">
              <w:t>12</w:t>
            </w:r>
            <w:r w:rsidR="00D7157D">
              <w:t>.</w:t>
            </w:r>
            <w:r w:rsidRPr="00295986">
              <w:t>7991</w:t>
            </w:r>
          </w:p>
        </w:tc>
        <w:tc>
          <w:tcPr>
            <w:tcW w:w="966" w:type="pct"/>
            <w:tcBorders>
              <w:top w:val="single" w:sz="4" w:space="0" w:color="auto"/>
              <w:bottom w:val="single" w:sz="4" w:space="0" w:color="auto"/>
            </w:tcBorders>
            <w:vAlign w:val="bottom"/>
          </w:tcPr>
          <w:p w14:paraId="6F049A67" w14:textId="77777777" w:rsidR="006902CC" w:rsidRPr="00C971C6" w:rsidRDefault="006902CC" w:rsidP="006902CC">
            <w:pPr>
              <w:pStyle w:val="Tabletext"/>
              <w:rPr>
                <w:snapToGrid w:val="0"/>
              </w:rPr>
            </w:pPr>
            <w:r w:rsidRPr="00295986">
              <w:t>0</w:t>
            </w:r>
            <w:r w:rsidR="00D7157D">
              <w:t>.</w:t>
            </w:r>
            <w:r w:rsidRPr="00295986">
              <w:t>2012</w:t>
            </w:r>
          </w:p>
        </w:tc>
        <w:tc>
          <w:tcPr>
            <w:tcW w:w="966" w:type="pct"/>
            <w:tcBorders>
              <w:top w:val="single" w:sz="4" w:space="0" w:color="auto"/>
              <w:bottom w:val="single" w:sz="4" w:space="0" w:color="auto"/>
            </w:tcBorders>
            <w:vAlign w:val="bottom"/>
          </w:tcPr>
          <w:p w14:paraId="1EA450D7" w14:textId="77777777" w:rsidR="006902CC" w:rsidRPr="00C971C6" w:rsidRDefault="006902CC" w:rsidP="006902CC">
            <w:pPr>
              <w:pStyle w:val="Tabletext"/>
              <w:rPr>
                <w:snapToGrid w:val="0"/>
              </w:rPr>
            </w:pPr>
            <w:r w:rsidRPr="00295986">
              <w:t>13</w:t>
            </w:r>
            <w:r w:rsidR="00D7157D">
              <w:t>.</w:t>
            </w:r>
            <w:r w:rsidRPr="00295986">
              <w:t>3309</w:t>
            </w:r>
          </w:p>
        </w:tc>
        <w:tc>
          <w:tcPr>
            <w:tcW w:w="966" w:type="pct"/>
            <w:tcBorders>
              <w:top w:val="single" w:sz="4" w:space="0" w:color="auto"/>
              <w:bottom w:val="single" w:sz="4" w:space="0" w:color="auto"/>
            </w:tcBorders>
            <w:vAlign w:val="bottom"/>
          </w:tcPr>
          <w:p w14:paraId="20BDFF7B" w14:textId="77777777" w:rsidR="006902CC" w:rsidRPr="00C971C6" w:rsidRDefault="006902CC" w:rsidP="006902CC">
            <w:pPr>
              <w:pStyle w:val="Tabletext"/>
              <w:rPr>
                <w:snapToGrid w:val="0"/>
              </w:rPr>
            </w:pPr>
            <w:r w:rsidRPr="00295986">
              <w:t>0</w:t>
            </w:r>
            <w:r w:rsidR="00D7157D">
              <w:t>.</w:t>
            </w:r>
            <w:r w:rsidRPr="00295986">
              <w:t>0540</w:t>
            </w:r>
          </w:p>
        </w:tc>
      </w:tr>
      <w:tr w:rsidR="006902CC" w:rsidRPr="009E2595" w14:paraId="10D7EBA2" w14:textId="77777777" w:rsidTr="006902CC">
        <w:trPr>
          <w:cantSplit/>
        </w:trPr>
        <w:tc>
          <w:tcPr>
            <w:tcW w:w="1136" w:type="pct"/>
            <w:tcBorders>
              <w:top w:val="single" w:sz="4" w:space="0" w:color="auto"/>
              <w:bottom w:val="single" w:sz="4" w:space="0" w:color="auto"/>
            </w:tcBorders>
          </w:tcPr>
          <w:p w14:paraId="5134982D" w14:textId="77777777" w:rsidR="006902CC" w:rsidRPr="00616B26" w:rsidRDefault="006902CC" w:rsidP="006902CC">
            <w:pPr>
              <w:pStyle w:val="Tabletext"/>
              <w:rPr>
                <w:snapToGrid w:val="0"/>
              </w:rPr>
            </w:pPr>
            <w:r w:rsidRPr="00616B26">
              <w:rPr>
                <w:snapToGrid w:val="0"/>
              </w:rPr>
              <w:t>64</w:t>
            </w:r>
          </w:p>
        </w:tc>
        <w:tc>
          <w:tcPr>
            <w:tcW w:w="966" w:type="pct"/>
            <w:tcBorders>
              <w:top w:val="single" w:sz="4" w:space="0" w:color="auto"/>
              <w:bottom w:val="single" w:sz="4" w:space="0" w:color="auto"/>
            </w:tcBorders>
            <w:vAlign w:val="bottom"/>
          </w:tcPr>
          <w:p w14:paraId="69BED80D" w14:textId="77777777" w:rsidR="006902CC" w:rsidRPr="00C971C6" w:rsidRDefault="006902CC" w:rsidP="006902CC">
            <w:pPr>
              <w:pStyle w:val="Tabletext"/>
              <w:rPr>
                <w:snapToGrid w:val="0"/>
              </w:rPr>
            </w:pPr>
            <w:r w:rsidRPr="00295986">
              <w:t>12</w:t>
            </w:r>
            <w:r w:rsidR="00D7157D">
              <w:t>.</w:t>
            </w:r>
            <w:r w:rsidRPr="00295986">
              <w:t>5581</w:t>
            </w:r>
          </w:p>
        </w:tc>
        <w:tc>
          <w:tcPr>
            <w:tcW w:w="966" w:type="pct"/>
            <w:tcBorders>
              <w:top w:val="single" w:sz="4" w:space="0" w:color="auto"/>
              <w:bottom w:val="single" w:sz="4" w:space="0" w:color="auto"/>
            </w:tcBorders>
            <w:vAlign w:val="bottom"/>
          </w:tcPr>
          <w:p w14:paraId="59736587" w14:textId="77777777" w:rsidR="006902CC" w:rsidRPr="00C971C6" w:rsidRDefault="006902CC" w:rsidP="006902CC">
            <w:pPr>
              <w:pStyle w:val="Tabletext"/>
              <w:rPr>
                <w:snapToGrid w:val="0"/>
              </w:rPr>
            </w:pPr>
            <w:r w:rsidRPr="00295986">
              <w:t>0</w:t>
            </w:r>
            <w:r w:rsidR="00D7157D">
              <w:t>.</w:t>
            </w:r>
            <w:r w:rsidRPr="00295986">
              <w:t>2108</w:t>
            </w:r>
          </w:p>
        </w:tc>
        <w:tc>
          <w:tcPr>
            <w:tcW w:w="966" w:type="pct"/>
            <w:tcBorders>
              <w:top w:val="single" w:sz="4" w:space="0" w:color="auto"/>
              <w:bottom w:val="single" w:sz="4" w:space="0" w:color="auto"/>
            </w:tcBorders>
            <w:vAlign w:val="bottom"/>
          </w:tcPr>
          <w:p w14:paraId="3B0AE115" w14:textId="77777777" w:rsidR="006902CC" w:rsidRPr="00C971C6" w:rsidRDefault="006902CC" w:rsidP="006902CC">
            <w:pPr>
              <w:pStyle w:val="Tabletext"/>
              <w:rPr>
                <w:snapToGrid w:val="0"/>
              </w:rPr>
            </w:pPr>
            <w:r w:rsidRPr="00295986">
              <w:t>13</w:t>
            </w:r>
            <w:r w:rsidR="00D7157D">
              <w:t>.</w:t>
            </w:r>
            <w:r w:rsidRPr="00295986">
              <w:t>1133</w:t>
            </w:r>
          </w:p>
        </w:tc>
        <w:tc>
          <w:tcPr>
            <w:tcW w:w="966" w:type="pct"/>
            <w:tcBorders>
              <w:top w:val="single" w:sz="4" w:space="0" w:color="auto"/>
              <w:bottom w:val="single" w:sz="4" w:space="0" w:color="auto"/>
            </w:tcBorders>
            <w:vAlign w:val="bottom"/>
          </w:tcPr>
          <w:p w14:paraId="2B69B1D4" w14:textId="77777777" w:rsidR="006902CC" w:rsidRPr="00C971C6" w:rsidRDefault="006902CC" w:rsidP="006902CC">
            <w:pPr>
              <w:pStyle w:val="Tabletext"/>
              <w:rPr>
                <w:snapToGrid w:val="0"/>
              </w:rPr>
            </w:pPr>
            <w:r w:rsidRPr="00295986">
              <w:t>0</w:t>
            </w:r>
            <w:r w:rsidR="00D7157D">
              <w:t>.</w:t>
            </w:r>
            <w:r w:rsidRPr="00295986">
              <w:t>0565</w:t>
            </w:r>
          </w:p>
        </w:tc>
      </w:tr>
      <w:tr w:rsidR="006902CC" w:rsidRPr="009E2595" w14:paraId="4A5D09EE" w14:textId="77777777" w:rsidTr="006902CC">
        <w:trPr>
          <w:cantSplit/>
        </w:trPr>
        <w:tc>
          <w:tcPr>
            <w:tcW w:w="1136" w:type="pct"/>
            <w:tcBorders>
              <w:top w:val="single" w:sz="4" w:space="0" w:color="auto"/>
              <w:bottom w:val="single" w:sz="4" w:space="0" w:color="auto"/>
            </w:tcBorders>
          </w:tcPr>
          <w:p w14:paraId="4677629E" w14:textId="77777777" w:rsidR="006902CC" w:rsidRPr="00616B26" w:rsidRDefault="006902CC" w:rsidP="006902CC">
            <w:pPr>
              <w:pStyle w:val="Tabletext"/>
              <w:rPr>
                <w:snapToGrid w:val="0"/>
              </w:rPr>
            </w:pPr>
            <w:r w:rsidRPr="00616B26">
              <w:rPr>
                <w:snapToGrid w:val="0"/>
              </w:rPr>
              <w:t>65</w:t>
            </w:r>
          </w:p>
        </w:tc>
        <w:tc>
          <w:tcPr>
            <w:tcW w:w="966" w:type="pct"/>
            <w:tcBorders>
              <w:top w:val="single" w:sz="4" w:space="0" w:color="auto"/>
              <w:bottom w:val="single" w:sz="4" w:space="0" w:color="auto"/>
            </w:tcBorders>
            <w:vAlign w:val="bottom"/>
          </w:tcPr>
          <w:p w14:paraId="6D0F2D26" w14:textId="77777777" w:rsidR="006902CC" w:rsidRPr="00C971C6" w:rsidRDefault="006902CC" w:rsidP="006902CC">
            <w:pPr>
              <w:pStyle w:val="Tabletext"/>
              <w:rPr>
                <w:snapToGrid w:val="0"/>
              </w:rPr>
            </w:pPr>
            <w:r w:rsidRPr="00295986">
              <w:t>12</w:t>
            </w:r>
            <w:r w:rsidR="00D7157D">
              <w:t>.</w:t>
            </w:r>
            <w:r w:rsidRPr="00295986">
              <w:t>3054</w:t>
            </w:r>
          </w:p>
        </w:tc>
        <w:tc>
          <w:tcPr>
            <w:tcW w:w="966" w:type="pct"/>
            <w:tcBorders>
              <w:top w:val="single" w:sz="4" w:space="0" w:color="auto"/>
              <w:bottom w:val="single" w:sz="4" w:space="0" w:color="auto"/>
            </w:tcBorders>
            <w:vAlign w:val="bottom"/>
          </w:tcPr>
          <w:p w14:paraId="7A43FE44" w14:textId="77777777" w:rsidR="006902CC" w:rsidRPr="00C971C6" w:rsidRDefault="006902CC" w:rsidP="006902CC">
            <w:pPr>
              <w:pStyle w:val="Tabletext"/>
              <w:rPr>
                <w:snapToGrid w:val="0"/>
              </w:rPr>
            </w:pPr>
            <w:r w:rsidRPr="00295986">
              <w:t>0</w:t>
            </w:r>
            <w:r w:rsidR="00D7157D">
              <w:t>.</w:t>
            </w:r>
            <w:r w:rsidRPr="00295986">
              <w:t>2207</w:t>
            </w:r>
          </w:p>
        </w:tc>
        <w:tc>
          <w:tcPr>
            <w:tcW w:w="966" w:type="pct"/>
            <w:tcBorders>
              <w:top w:val="single" w:sz="4" w:space="0" w:color="auto"/>
              <w:bottom w:val="single" w:sz="4" w:space="0" w:color="auto"/>
            </w:tcBorders>
            <w:vAlign w:val="bottom"/>
          </w:tcPr>
          <w:p w14:paraId="1D7E7376" w14:textId="77777777" w:rsidR="006902CC" w:rsidRPr="00C971C6" w:rsidRDefault="006902CC" w:rsidP="006902CC">
            <w:pPr>
              <w:pStyle w:val="Tabletext"/>
              <w:rPr>
                <w:snapToGrid w:val="0"/>
              </w:rPr>
            </w:pPr>
            <w:r w:rsidRPr="00295986">
              <w:t>12</w:t>
            </w:r>
            <w:r w:rsidR="00D7157D">
              <w:t>.</w:t>
            </w:r>
            <w:r w:rsidRPr="00295986">
              <w:t>8850</w:t>
            </w:r>
          </w:p>
        </w:tc>
        <w:tc>
          <w:tcPr>
            <w:tcW w:w="966" w:type="pct"/>
            <w:tcBorders>
              <w:top w:val="single" w:sz="4" w:space="0" w:color="auto"/>
              <w:bottom w:val="single" w:sz="4" w:space="0" w:color="auto"/>
            </w:tcBorders>
            <w:vAlign w:val="bottom"/>
          </w:tcPr>
          <w:p w14:paraId="172039FB" w14:textId="77777777" w:rsidR="006902CC" w:rsidRPr="00C971C6" w:rsidRDefault="006902CC" w:rsidP="006902CC">
            <w:pPr>
              <w:pStyle w:val="Tabletext"/>
              <w:rPr>
                <w:snapToGrid w:val="0"/>
              </w:rPr>
            </w:pPr>
            <w:r w:rsidRPr="00295986">
              <w:t>0</w:t>
            </w:r>
            <w:r w:rsidR="00D7157D">
              <w:t>.</w:t>
            </w:r>
            <w:r w:rsidRPr="00295986">
              <w:t>0590</w:t>
            </w:r>
          </w:p>
        </w:tc>
      </w:tr>
      <w:tr w:rsidR="006902CC" w:rsidRPr="009E2595" w14:paraId="7CCCB8D9" w14:textId="77777777" w:rsidTr="006902CC">
        <w:trPr>
          <w:cantSplit/>
        </w:trPr>
        <w:tc>
          <w:tcPr>
            <w:tcW w:w="1136" w:type="pct"/>
            <w:tcBorders>
              <w:top w:val="single" w:sz="4" w:space="0" w:color="auto"/>
              <w:bottom w:val="single" w:sz="4" w:space="0" w:color="auto"/>
            </w:tcBorders>
          </w:tcPr>
          <w:p w14:paraId="6E52CEB1" w14:textId="77777777" w:rsidR="006902CC" w:rsidRPr="00616B26" w:rsidRDefault="006902CC" w:rsidP="006902CC">
            <w:pPr>
              <w:pStyle w:val="Tabletext"/>
              <w:rPr>
                <w:snapToGrid w:val="0"/>
              </w:rPr>
            </w:pPr>
            <w:r w:rsidRPr="00616B26">
              <w:rPr>
                <w:snapToGrid w:val="0"/>
              </w:rPr>
              <w:t>66</w:t>
            </w:r>
          </w:p>
        </w:tc>
        <w:tc>
          <w:tcPr>
            <w:tcW w:w="966" w:type="pct"/>
            <w:tcBorders>
              <w:top w:val="single" w:sz="4" w:space="0" w:color="auto"/>
              <w:bottom w:val="single" w:sz="4" w:space="0" w:color="auto"/>
            </w:tcBorders>
            <w:vAlign w:val="bottom"/>
          </w:tcPr>
          <w:p w14:paraId="79D05754" w14:textId="77777777" w:rsidR="006902CC" w:rsidRPr="00C971C6" w:rsidRDefault="006902CC" w:rsidP="006902CC">
            <w:pPr>
              <w:pStyle w:val="Tabletext"/>
              <w:rPr>
                <w:snapToGrid w:val="0"/>
              </w:rPr>
            </w:pPr>
            <w:r w:rsidRPr="00295986">
              <w:t>12</w:t>
            </w:r>
            <w:r w:rsidR="00D7157D">
              <w:t>.</w:t>
            </w:r>
            <w:r w:rsidRPr="00295986">
              <w:t>0435</w:t>
            </w:r>
          </w:p>
        </w:tc>
        <w:tc>
          <w:tcPr>
            <w:tcW w:w="966" w:type="pct"/>
            <w:tcBorders>
              <w:top w:val="single" w:sz="4" w:space="0" w:color="auto"/>
              <w:bottom w:val="single" w:sz="4" w:space="0" w:color="auto"/>
            </w:tcBorders>
            <w:vAlign w:val="bottom"/>
          </w:tcPr>
          <w:p w14:paraId="48B33B9C" w14:textId="77777777" w:rsidR="006902CC" w:rsidRPr="00C971C6" w:rsidRDefault="006902CC" w:rsidP="006902CC">
            <w:pPr>
              <w:pStyle w:val="Tabletext"/>
              <w:rPr>
                <w:snapToGrid w:val="0"/>
              </w:rPr>
            </w:pPr>
            <w:r w:rsidRPr="00295986">
              <w:t>0</w:t>
            </w:r>
            <w:r w:rsidR="00D7157D">
              <w:t>.</w:t>
            </w:r>
            <w:r w:rsidRPr="00295986">
              <w:t>2306</w:t>
            </w:r>
          </w:p>
        </w:tc>
        <w:tc>
          <w:tcPr>
            <w:tcW w:w="966" w:type="pct"/>
            <w:tcBorders>
              <w:top w:val="single" w:sz="4" w:space="0" w:color="auto"/>
              <w:bottom w:val="single" w:sz="4" w:space="0" w:color="auto"/>
            </w:tcBorders>
            <w:vAlign w:val="bottom"/>
          </w:tcPr>
          <w:p w14:paraId="1F02A086" w14:textId="77777777" w:rsidR="006902CC" w:rsidRPr="00C971C6" w:rsidRDefault="006902CC" w:rsidP="006902CC">
            <w:pPr>
              <w:pStyle w:val="Tabletext"/>
              <w:rPr>
                <w:snapToGrid w:val="0"/>
              </w:rPr>
            </w:pPr>
            <w:r w:rsidRPr="00295986">
              <w:t>12</w:t>
            </w:r>
            <w:r w:rsidR="00D7157D">
              <w:t>.</w:t>
            </w:r>
            <w:r w:rsidRPr="00295986">
              <w:t>6460</w:t>
            </w:r>
          </w:p>
        </w:tc>
        <w:tc>
          <w:tcPr>
            <w:tcW w:w="966" w:type="pct"/>
            <w:tcBorders>
              <w:top w:val="single" w:sz="4" w:space="0" w:color="auto"/>
              <w:bottom w:val="single" w:sz="4" w:space="0" w:color="auto"/>
            </w:tcBorders>
            <w:vAlign w:val="bottom"/>
          </w:tcPr>
          <w:p w14:paraId="42D4E7C8" w14:textId="77777777" w:rsidR="006902CC" w:rsidRPr="00C971C6" w:rsidRDefault="006902CC" w:rsidP="006902CC">
            <w:pPr>
              <w:pStyle w:val="Tabletext"/>
              <w:rPr>
                <w:snapToGrid w:val="0"/>
              </w:rPr>
            </w:pPr>
            <w:r w:rsidRPr="00295986">
              <w:t>0</w:t>
            </w:r>
            <w:r w:rsidR="00D7157D">
              <w:t>.</w:t>
            </w:r>
            <w:r w:rsidRPr="00295986">
              <w:t>0615</w:t>
            </w:r>
          </w:p>
        </w:tc>
      </w:tr>
      <w:tr w:rsidR="006902CC" w:rsidRPr="009E2595" w14:paraId="0DBD3013" w14:textId="77777777" w:rsidTr="006902CC">
        <w:trPr>
          <w:cantSplit/>
        </w:trPr>
        <w:tc>
          <w:tcPr>
            <w:tcW w:w="1136" w:type="pct"/>
            <w:tcBorders>
              <w:top w:val="single" w:sz="4" w:space="0" w:color="auto"/>
              <w:bottom w:val="single" w:sz="4" w:space="0" w:color="auto"/>
            </w:tcBorders>
          </w:tcPr>
          <w:p w14:paraId="54DC4AD3" w14:textId="77777777" w:rsidR="006902CC" w:rsidRPr="00616B26" w:rsidRDefault="006902CC" w:rsidP="006902CC">
            <w:pPr>
              <w:pStyle w:val="Tabletext"/>
              <w:rPr>
                <w:snapToGrid w:val="0"/>
              </w:rPr>
            </w:pPr>
            <w:r w:rsidRPr="00616B26">
              <w:rPr>
                <w:snapToGrid w:val="0"/>
              </w:rPr>
              <w:t>67</w:t>
            </w:r>
          </w:p>
        </w:tc>
        <w:tc>
          <w:tcPr>
            <w:tcW w:w="966" w:type="pct"/>
            <w:tcBorders>
              <w:top w:val="single" w:sz="4" w:space="0" w:color="auto"/>
              <w:bottom w:val="single" w:sz="4" w:space="0" w:color="auto"/>
            </w:tcBorders>
            <w:vAlign w:val="bottom"/>
          </w:tcPr>
          <w:p w14:paraId="222F735F" w14:textId="77777777" w:rsidR="006902CC" w:rsidRPr="00C971C6" w:rsidRDefault="006902CC" w:rsidP="006902CC">
            <w:pPr>
              <w:pStyle w:val="Tabletext"/>
              <w:rPr>
                <w:snapToGrid w:val="0"/>
              </w:rPr>
            </w:pPr>
            <w:r w:rsidRPr="00295986">
              <w:t>11</w:t>
            </w:r>
            <w:r w:rsidR="00D7157D">
              <w:t>.</w:t>
            </w:r>
            <w:r w:rsidRPr="00295986">
              <w:t>7721</w:t>
            </w:r>
          </w:p>
        </w:tc>
        <w:tc>
          <w:tcPr>
            <w:tcW w:w="966" w:type="pct"/>
            <w:tcBorders>
              <w:top w:val="single" w:sz="4" w:space="0" w:color="auto"/>
              <w:bottom w:val="single" w:sz="4" w:space="0" w:color="auto"/>
            </w:tcBorders>
            <w:vAlign w:val="bottom"/>
          </w:tcPr>
          <w:p w14:paraId="1169BA83" w14:textId="77777777" w:rsidR="006902CC" w:rsidRPr="00C971C6" w:rsidRDefault="006902CC" w:rsidP="006902CC">
            <w:pPr>
              <w:pStyle w:val="Tabletext"/>
              <w:rPr>
                <w:snapToGrid w:val="0"/>
              </w:rPr>
            </w:pPr>
            <w:r w:rsidRPr="00295986">
              <w:t>0</w:t>
            </w:r>
            <w:r w:rsidR="00D7157D">
              <w:t>.</w:t>
            </w:r>
            <w:r w:rsidRPr="00295986">
              <w:t>2406</w:t>
            </w:r>
          </w:p>
        </w:tc>
        <w:tc>
          <w:tcPr>
            <w:tcW w:w="966" w:type="pct"/>
            <w:tcBorders>
              <w:top w:val="single" w:sz="4" w:space="0" w:color="auto"/>
              <w:bottom w:val="single" w:sz="4" w:space="0" w:color="auto"/>
            </w:tcBorders>
            <w:vAlign w:val="bottom"/>
          </w:tcPr>
          <w:p w14:paraId="2024F382" w14:textId="77777777" w:rsidR="006902CC" w:rsidRPr="00C971C6" w:rsidRDefault="006902CC" w:rsidP="006902CC">
            <w:pPr>
              <w:pStyle w:val="Tabletext"/>
              <w:rPr>
                <w:snapToGrid w:val="0"/>
              </w:rPr>
            </w:pPr>
            <w:r w:rsidRPr="00295986">
              <w:t>12</w:t>
            </w:r>
            <w:r w:rsidR="00D7157D">
              <w:t>.</w:t>
            </w:r>
            <w:r w:rsidRPr="00295986">
              <w:t>3975</w:t>
            </w:r>
          </w:p>
        </w:tc>
        <w:tc>
          <w:tcPr>
            <w:tcW w:w="966" w:type="pct"/>
            <w:tcBorders>
              <w:top w:val="single" w:sz="4" w:space="0" w:color="auto"/>
              <w:bottom w:val="single" w:sz="4" w:space="0" w:color="auto"/>
            </w:tcBorders>
            <w:vAlign w:val="bottom"/>
          </w:tcPr>
          <w:p w14:paraId="449E7361" w14:textId="77777777" w:rsidR="006902CC" w:rsidRPr="00C971C6" w:rsidRDefault="006902CC" w:rsidP="006902CC">
            <w:pPr>
              <w:pStyle w:val="Tabletext"/>
              <w:rPr>
                <w:snapToGrid w:val="0"/>
              </w:rPr>
            </w:pPr>
            <w:r w:rsidRPr="00295986">
              <w:t>0</w:t>
            </w:r>
            <w:r w:rsidR="00D7157D">
              <w:t>.</w:t>
            </w:r>
            <w:r w:rsidRPr="00295986">
              <w:t>0640</w:t>
            </w:r>
          </w:p>
        </w:tc>
      </w:tr>
      <w:tr w:rsidR="006902CC" w:rsidRPr="009E2595" w14:paraId="785C708D" w14:textId="77777777" w:rsidTr="006902CC">
        <w:trPr>
          <w:cantSplit/>
        </w:trPr>
        <w:tc>
          <w:tcPr>
            <w:tcW w:w="1136" w:type="pct"/>
            <w:tcBorders>
              <w:top w:val="single" w:sz="4" w:space="0" w:color="auto"/>
              <w:bottom w:val="single" w:sz="4" w:space="0" w:color="auto"/>
            </w:tcBorders>
          </w:tcPr>
          <w:p w14:paraId="2DEA0898" w14:textId="77777777" w:rsidR="006902CC" w:rsidRPr="00616B26" w:rsidRDefault="006902CC" w:rsidP="006902CC">
            <w:pPr>
              <w:pStyle w:val="Tabletext"/>
              <w:rPr>
                <w:snapToGrid w:val="0"/>
              </w:rPr>
            </w:pPr>
            <w:r w:rsidRPr="00616B26">
              <w:rPr>
                <w:snapToGrid w:val="0"/>
              </w:rPr>
              <w:t>68</w:t>
            </w:r>
          </w:p>
        </w:tc>
        <w:tc>
          <w:tcPr>
            <w:tcW w:w="966" w:type="pct"/>
            <w:tcBorders>
              <w:top w:val="single" w:sz="4" w:space="0" w:color="auto"/>
              <w:bottom w:val="single" w:sz="4" w:space="0" w:color="auto"/>
            </w:tcBorders>
            <w:vAlign w:val="bottom"/>
          </w:tcPr>
          <w:p w14:paraId="065871D5" w14:textId="77777777" w:rsidR="006902CC" w:rsidRPr="00C971C6" w:rsidRDefault="006902CC" w:rsidP="006902CC">
            <w:pPr>
              <w:pStyle w:val="Tabletext"/>
              <w:rPr>
                <w:snapToGrid w:val="0"/>
              </w:rPr>
            </w:pPr>
            <w:r w:rsidRPr="00295986">
              <w:t>11</w:t>
            </w:r>
            <w:r w:rsidR="00D7157D">
              <w:t>.</w:t>
            </w:r>
            <w:r w:rsidRPr="00295986">
              <w:t>4908</w:t>
            </w:r>
          </w:p>
        </w:tc>
        <w:tc>
          <w:tcPr>
            <w:tcW w:w="966" w:type="pct"/>
            <w:tcBorders>
              <w:top w:val="single" w:sz="4" w:space="0" w:color="auto"/>
              <w:bottom w:val="single" w:sz="4" w:space="0" w:color="auto"/>
            </w:tcBorders>
            <w:vAlign w:val="bottom"/>
          </w:tcPr>
          <w:p w14:paraId="0A13BE37" w14:textId="77777777" w:rsidR="006902CC" w:rsidRPr="00C971C6" w:rsidRDefault="006902CC" w:rsidP="006902CC">
            <w:pPr>
              <w:pStyle w:val="Tabletext"/>
              <w:rPr>
                <w:snapToGrid w:val="0"/>
              </w:rPr>
            </w:pPr>
            <w:r w:rsidRPr="00295986">
              <w:t>0</w:t>
            </w:r>
            <w:r w:rsidR="00D7157D">
              <w:t>.</w:t>
            </w:r>
            <w:r w:rsidRPr="00295986">
              <w:t>2505</w:t>
            </w:r>
          </w:p>
        </w:tc>
        <w:tc>
          <w:tcPr>
            <w:tcW w:w="966" w:type="pct"/>
            <w:tcBorders>
              <w:top w:val="single" w:sz="4" w:space="0" w:color="auto"/>
              <w:bottom w:val="single" w:sz="4" w:space="0" w:color="auto"/>
            </w:tcBorders>
            <w:vAlign w:val="bottom"/>
          </w:tcPr>
          <w:p w14:paraId="3275028C" w14:textId="77777777" w:rsidR="006902CC" w:rsidRPr="00C971C6" w:rsidRDefault="006902CC" w:rsidP="006902CC">
            <w:pPr>
              <w:pStyle w:val="Tabletext"/>
              <w:rPr>
                <w:snapToGrid w:val="0"/>
              </w:rPr>
            </w:pPr>
            <w:r w:rsidRPr="00295986">
              <w:t>12</w:t>
            </w:r>
            <w:r w:rsidR="00D7157D">
              <w:t>.</w:t>
            </w:r>
            <w:r w:rsidRPr="00295986">
              <w:t>1382</w:t>
            </w:r>
          </w:p>
        </w:tc>
        <w:tc>
          <w:tcPr>
            <w:tcW w:w="966" w:type="pct"/>
            <w:tcBorders>
              <w:top w:val="single" w:sz="4" w:space="0" w:color="auto"/>
              <w:bottom w:val="single" w:sz="4" w:space="0" w:color="auto"/>
            </w:tcBorders>
            <w:vAlign w:val="bottom"/>
          </w:tcPr>
          <w:p w14:paraId="4DEF8209" w14:textId="77777777" w:rsidR="006902CC" w:rsidRPr="00C971C6" w:rsidRDefault="006902CC" w:rsidP="006902CC">
            <w:pPr>
              <w:pStyle w:val="Tabletext"/>
              <w:rPr>
                <w:snapToGrid w:val="0"/>
              </w:rPr>
            </w:pPr>
            <w:r w:rsidRPr="00295986">
              <w:t>0</w:t>
            </w:r>
            <w:r w:rsidR="00D7157D">
              <w:t>.</w:t>
            </w:r>
            <w:r w:rsidRPr="00295986">
              <w:t>0665</w:t>
            </w:r>
          </w:p>
        </w:tc>
      </w:tr>
      <w:tr w:rsidR="006902CC" w:rsidRPr="009E2595" w14:paraId="22C6F716" w14:textId="77777777" w:rsidTr="006902CC">
        <w:trPr>
          <w:cantSplit/>
        </w:trPr>
        <w:tc>
          <w:tcPr>
            <w:tcW w:w="1136" w:type="pct"/>
            <w:tcBorders>
              <w:top w:val="single" w:sz="4" w:space="0" w:color="auto"/>
              <w:bottom w:val="single" w:sz="4" w:space="0" w:color="auto"/>
            </w:tcBorders>
          </w:tcPr>
          <w:p w14:paraId="0D56D6E6" w14:textId="77777777" w:rsidR="006902CC" w:rsidRPr="00616B26" w:rsidRDefault="006902CC" w:rsidP="006902CC">
            <w:pPr>
              <w:pStyle w:val="Tabletext"/>
              <w:rPr>
                <w:snapToGrid w:val="0"/>
              </w:rPr>
            </w:pPr>
            <w:r w:rsidRPr="00616B26">
              <w:rPr>
                <w:snapToGrid w:val="0"/>
              </w:rPr>
              <w:t>69</w:t>
            </w:r>
          </w:p>
        </w:tc>
        <w:tc>
          <w:tcPr>
            <w:tcW w:w="966" w:type="pct"/>
            <w:tcBorders>
              <w:top w:val="single" w:sz="4" w:space="0" w:color="auto"/>
              <w:bottom w:val="single" w:sz="4" w:space="0" w:color="auto"/>
            </w:tcBorders>
            <w:vAlign w:val="bottom"/>
          </w:tcPr>
          <w:p w14:paraId="577EEAD4" w14:textId="77777777" w:rsidR="006902CC" w:rsidRPr="00C971C6" w:rsidRDefault="006902CC" w:rsidP="006902CC">
            <w:pPr>
              <w:pStyle w:val="Tabletext"/>
              <w:rPr>
                <w:snapToGrid w:val="0"/>
              </w:rPr>
            </w:pPr>
            <w:r w:rsidRPr="00295986">
              <w:t>11</w:t>
            </w:r>
            <w:r w:rsidR="00D7157D">
              <w:t>.</w:t>
            </w:r>
            <w:r w:rsidRPr="00295986">
              <w:t>1990</w:t>
            </w:r>
          </w:p>
        </w:tc>
        <w:tc>
          <w:tcPr>
            <w:tcW w:w="966" w:type="pct"/>
            <w:tcBorders>
              <w:top w:val="single" w:sz="4" w:space="0" w:color="auto"/>
              <w:bottom w:val="single" w:sz="4" w:space="0" w:color="auto"/>
            </w:tcBorders>
            <w:vAlign w:val="bottom"/>
          </w:tcPr>
          <w:p w14:paraId="3B03A67A" w14:textId="77777777" w:rsidR="006902CC" w:rsidRPr="00C971C6" w:rsidRDefault="006902CC" w:rsidP="006902CC">
            <w:pPr>
              <w:pStyle w:val="Tabletext"/>
              <w:rPr>
                <w:snapToGrid w:val="0"/>
              </w:rPr>
            </w:pPr>
            <w:r w:rsidRPr="00295986">
              <w:t>0</w:t>
            </w:r>
            <w:r w:rsidR="00D7157D">
              <w:t>.</w:t>
            </w:r>
            <w:r w:rsidRPr="00295986">
              <w:t>2605</w:t>
            </w:r>
          </w:p>
        </w:tc>
        <w:tc>
          <w:tcPr>
            <w:tcW w:w="966" w:type="pct"/>
            <w:tcBorders>
              <w:top w:val="single" w:sz="4" w:space="0" w:color="auto"/>
              <w:bottom w:val="single" w:sz="4" w:space="0" w:color="auto"/>
            </w:tcBorders>
            <w:vAlign w:val="bottom"/>
          </w:tcPr>
          <w:p w14:paraId="16165989" w14:textId="77777777" w:rsidR="006902CC" w:rsidRPr="00C971C6" w:rsidRDefault="006902CC" w:rsidP="006902CC">
            <w:pPr>
              <w:pStyle w:val="Tabletext"/>
              <w:rPr>
                <w:snapToGrid w:val="0"/>
              </w:rPr>
            </w:pPr>
            <w:r w:rsidRPr="00295986">
              <w:t>11</w:t>
            </w:r>
            <w:r w:rsidR="00D7157D">
              <w:t>.</w:t>
            </w:r>
            <w:r w:rsidRPr="00295986">
              <w:t>8674</w:t>
            </w:r>
          </w:p>
        </w:tc>
        <w:tc>
          <w:tcPr>
            <w:tcW w:w="966" w:type="pct"/>
            <w:tcBorders>
              <w:top w:val="single" w:sz="4" w:space="0" w:color="auto"/>
              <w:bottom w:val="single" w:sz="4" w:space="0" w:color="auto"/>
            </w:tcBorders>
            <w:vAlign w:val="bottom"/>
          </w:tcPr>
          <w:p w14:paraId="72758D9F" w14:textId="77777777" w:rsidR="006902CC" w:rsidRPr="00C971C6" w:rsidRDefault="006902CC" w:rsidP="006902CC">
            <w:pPr>
              <w:pStyle w:val="Tabletext"/>
              <w:rPr>
                <w:snapToGrid w:val="0"/>
              </w:rPr>
            </w:pPr>
            <w:r w:rsidRPr="00295986">
              <w:t>0</w:t>
            </w:r>
            <w:r w:rsidR="00D7157D">
              <w:t>.</w:t>
            </w:r>
            <w:r w:rsidRPr="00295986">
              <w:t>0691</w:t>
            </w:r>
          </w:p>
        </w:tc>
      </w:tr>
      <w:tr w:rsidR="006902CC" w:rsidRPr="009E2595" w14:paraId="40DA122C" w14:textId="77777777" w:rsidTr="006902CC">
        <w:trPr>
          <w:cantSplit/>
        </w:trPr>
        <w:tc>
          <w:tcPr>
            <w:tcW w:w="1136" w:type="pct"/>
            <w:tcBorders>
              <w:top w:val="single" w:sz="4" w:space="0" w:color="auto"/>
              <w:bottom w:val="single" w:sz="4" w:space="0" w:color="auto"/>
            </w:tcBorders>
          </w:tcPr>
          <w:p w14:paraId="4601D73E" w14:textId="77777777" w:rsidR="006902CC" w:rsidRPr="00616B26" w:rsidRDefault="006902CC" w:rsidP="006902CC">
            <w:pPr>
              <w:pStyle w:val="Tabletext"/>
              <w:rPr>
                <w:snapToGrid w:val="0"/>
              </w:rPr>
            </w:pPr>
            <w:r w:rsidRPr="00616B26">
              <w:rPr>
                <w:snapToGrid w:val="0"/>
              </w:rPr>
              <w:t>70</w:t>
            </w:r>
          </w:p>
        </w:tc>
        <w:tc>
          <w:tcPr>
            <w:tcW w:w="966" w:type="pct"/>
            <w:tcBorders>
              <w:top w:val="single" w:sz="4" w:space="0" w:color="auto"/>
              <w:bottom w:val="single" w:sz="4" w:space="0" w:color="auto"/>
            </w:tcBorders>
            <w:vAlign w:val="bottom"/>
          </w:tcPr>
          <w:p w14:paraId="4FAB2D9B" w14:textId="77777777" w:rsidR="006902CC" w:rsidRPr="00C971C6" w:rsidRDefault="006902CC" w:rsidP="006902CC">
            <w:pPr>
              <w:pStyle w:val="Tabletext"/>
              <w:rPr>
                <w:snapToGrid w:val="0"/>
              </w:rPr>
            </w:pPr>
            <w:r w:rsidRPr="00295986">
              <w:t>10</w:t>
            </w:r>
            <w:r w:rsidR="00D7157D">
              <w:t>.</w:t>
            </w:r>
            <w:r w:rsidRPr="00295986">
              <w:t>8960</w:t>
            </w:r>
          </w:p>
        </w:tc>
        <w:tc>
          <w:tcPr>
            <w:tcW w:w="966" w:type="pct"/>
            <w:tcBorders>
              <w:top w:val="single" w:sz="4" w:space="0" w:color="auto"/>
              <w:bottom w:val="single" w:sz="4" w:space="0" w:color="auto"/>
            </w:tcBorders>
            <w:vAlign w:val="bottom"/>
          </w:tcPr>
          <w:p w14:paraId="7501631B" w14:textId="77777777" w:rsidR="006902CC" w:rsidRPr="00C971C6" w:rsidRDefault="006902CC" w:rsidP="006902CC">
            <w:pPr>
              <w:pStyle w:val="Tabletext"/>
              <w:rPr>
                <w:snapToGrid w:val="0"/>
              </w:rPr>
            </w:pPr>
            <w:r w:rsidRPr="00295986">
              <w:t>0</w:t>
            </w:r>
            <w:r w:rsidR="00D7157D">
              <w:t>.</w:t>
            </w:r>
            <w:r w:rsidRPr="00295986">
              <w:t>2705</w:t>
            </w:r>
          </w:p>
        </w:tc>
        <w:tc>
          <w:tcPr>
            <w:tcW w:w="966" w:type="pct"/>
            <w:tcBorders>
              <w:top w:val="single" w:sz="4" w:space="0" w:color="auto"/>
              <w:bottom w:val="single" w:sz="4" w:space="0" w:color="auto"/>
            </w:tcBorders>
            <w:vAlign w:val="bottom"/>
          </w:tcPr>
          <w:p w14:paraId="5143EDCE" w14:textId="77777777" w:rsidR="006902CC" w:rsidRPr="00C971C6" w:rsidRDefault="006902CC" w:rsidP="006902CC">
            <w:pPr>
              <w:pStyle w:val="Tabletext"/>
              <w:rPr>
                <w:snapToGrid w:val="0"/>
              </w:rPr>
            </w:pPr>
            <w:r w:rsidRPr="00295986">
              <w:t>11</w:t>
            </w:r>
            <w:r w:rsidR="00D7157D">
              <w:t>.</w:t>
            </w:r>
            <w:r w:rsidRPr="00295986">
              <w:t>5846</w:t>
            </w:r>
          </w:p>
        </w:tc>
        <w:tc>
          <w:tcPr>
            <w:tcW w:w="966" w:type="pct"/>
            <w:tcBorders>
              <w:top w:val="single" w:sz="4" w:space="0" w:color="auto"/>
              <w:bottom w:val="single" w:sz="4" w:space="0" w:color="auto"/>
            </w:tcBorders>
            <w:vAlign w:val="bottom"/>
          </w:tcPr>
          <w:p w14:paraId="3606E05D" w14:textId="77777777" w:rsidR="006902CC" w:rsidRPr="00C971C6" w:rsidRDefault="006902CC" w:rsidP="006902CC">
            <w:pPr>
              <w:pStyle w:val="Tabletext"/>
              <w:rPr>
                <w:snapToGrid w:val="0"/>
              </w:rPr>
            </w:pPr>
            <w:r w:rsidRPr="00295986">
              <w:t>0</w:t>
            </w:r>
            <w:r w:rsidR="00D7157D">
              <w:t>.</w:t>
            </w:r>
            <w:r w:rsidRPr="00295986">
              <w:t>0716</w:t>
            </w:r>
          </w:p>
        </w:tc>
      </w:tr>
      <w:tr w:rsidR="006902CC" w:rsidRPr="009E2595" w14:paraId="66B42886" w14:textId="77777777" w:rsidTr="006902CC">
        <w:trPr>
          <w:cantSplit/>
        </w:trPr>
        <w:tc>
          <w:tcPr>
            <w:tcW w:w="1136" w:type="pct"/>
            <w:tcBorders>
              <w:top w:val="single" w:sz="4" w:space="0" w:color="auto"/>
              <w:bottom w:val="single" w:sz="4" w:space="0" w:color="auto"/>
            </w:tcBorders>
          </w:tcPr>
          <w:p w14:paraId="08F7F948" w14:textId="77777777" w:rsidR="006902CC" w:rsidRPr="00616B26" w:rsidRDefault="006902CC" w:rsidP="006902CC">
            <w:pPr>
              <w:pStyle w:val="Tabletext"/>
              <w:rPr>
                <w:snapToGrid w:val="0"/>
              </w:rPr>
            </w:pPr>
            <w:r w:rsidRPr="00616B26">
              <w:rPr>
                <w:snapToGrid w:val="0"/>
              </w:rPr>
              <w:t>71</w:t>
            </w:r>
          </w:p>
        </w:tc>
        <w:tc>
          <w:tcPr>
            <w:tcW w:w="966" w:type="pct"/>
            <w:tcBorders>
              <w:top w:val="single" w:sz="4" w:space="0" w:color="auto"/>
              <w:bottom w:val="single" w:sz="4" w:space="0" w:color="auto"/>
            </w:tcBorders>
            <w:vAlign w:val="bottom"/>
          </w:tcPr>
          <w:p w14:paraId="2C22E3B9" w14:textId="77777777" w:rsidR="006902CC" w:rsidRPr="00C971C6" w:rsidRDefault="006902CC" w:rsidP="006902CC">
            <w:pPr>
              <w:pStyle w:val="Tabletext"/>
              <w:rPr>
                <w:snapToGrid w:val="0"/>
              </w:rPr>
            </w:pPr>
            <w:r w:rsidRPr="00295986">
              <w:t>10</w:t>
            </w:r>
            <w:r w:rsidR="00D7157D">
              <w:t>.</w:t>
            </w:r>
            <w:r w:rsidRPr="00295986">
              <w:t>5806</w:t>
            </w:r>
          </w:p>
        </w:tc>
        <w:tc>
          <w:tcPr>
            <w:tcW w:w="966" w:type="pct"/>
            <w:tcBorders>
              <w:top w:val="single" w:sz="4" w:space="0" w:color="auto"/>
              <w:bottom w:val="single" w:sz="4" w:space="0" w:color="auto"/>
            </w:tcBorders>
            <w:vAlign w:val="bottom"/>
          </w:tcPr>
          <w:p w14:paraId="5186FC42" w14:textId="77777777" w:rsidR="006902CC" w:rsidRPr="00C971C6" w:rsidRDefault="006902CC" w:rsidP="006902CC">
            <w:pPr>
              <w:pStyle w:val="Tabletext"/>
              <w:rPr>
                <w:snapToGrid w:val="0"/>
              </w:rPr>
            </w:pPr>
            <w:r w:rsidRPr="00295986">
              <w:t>0</w:t>
            </w:r>
            <w:r w:rsidR="00D7157D">
              <w:t>.</w:t>
            </w:r>
            <w:r w:rsidRPr="00295986">
              <w:t>2806</w:t>
            </w:r>
          </w:p>
        </w:tc>
        <w:tc>
          <w:tcPr>
            <w:tcW w:w="966" w:type="pct"/>
            <w:tcBorders>
              <w:top w:val="single" w:sz="4" w:space="0" w:color="auto"/>
              <w:bottom w:val="single" w:sz="4" w:space="0" w:color="auto"/>
            </w:tcBorders>
            <w:vAlign w:val="bottom"/>
          </w:tcPr>
          <w:p w14:paraId="428857D4" w14:textId="77777777" w:rsidR="006902CC" w:rsidRPr="00C971C6" w:rsidRDefault="006902CC" w:rsidP="006902CC">
            <w:pPr>
              <w:pStyle w:val="Tabletext"/>
              <w:rPr>
                <w:snapToGrid w:val="0"/>
              </w:rPr>
            </w:pPr>
            <w:r w:rsidRPr="00295986">
              <w:t>11</w:t>
            </w:r>
            <w:r w:rsidR="00D7157D">
              <w:t>.</w:t>
            </w:r>
            <w:r w:rsidRPr="00295986">
              <w:t>2906</w:t>
            </w:r>
          </w:p>
        </w:tc>
        <w:tc>
          <w:tcPr>
            <w:tcW w:w="966" w:type="pct"/>
            <w:tcBorders>
              <w:top w:val="single" w:sz="4" w:space="0" w:color="auto"/>
              <w:bottom w:val="single" w:sz="4" w:space="0" w:color="auto"/>
            </w:tcBorders>
            <w:vAlign w:val="bottom"/>
          </w:tcPr>
          <w:p w14:paraId="039E306B" w14:textId="77777777" w:rsidR="006902CC" w:rsidRPr="00C971C6" w:rsidRDefault="006902CC" w:rsidP="006902CC">
            <w:pPr>
              <w:pStyle w:val="Tabletext"/>
              <w:rPr>
                <w:snapToGrid w:val="0"/>
              </w:rPr>
            </w:pPr>
            <w:r w:rsidRPr="00295986">
              <w:t>0</w:t>
            </w:r>
            <w:r w:rsidR="00D7157D">
              <w:t>.</w:t>
            </w:r>
            <w:r w:rsidRPr="00295986">
              <w:t>0741</w:t>
            </w:r>
          </w:p>
        </w:tc>
      </w:tr>
      <w:tr w:rsidR="006902CC" w:rsidRPr="009E2595" w14:paraId="088E6510" w14:textId="77777777" w:rsidTr="006902CC">
        <w:trPr>
          <w:cantSplit/>
        </w:trPr>
        <w:tc>
          <w:tcPr>
            <w:tcW w:w="1136" w:type="pct"/>
            <w:tcBorders>
              <w:top w:val="single" w:sz="4" w:space="0" w:color="auto"/>
              <w:bottom w:val="single" w:sz="4" w:space="0" w:color="auto"/>
            </w:tcBorders>
          </w:tcPr>
          <w:p w14:paraId="28838A9A" w14:textId="77777777" w:rsidR="006902CC" w:rsidRPr="00616B26" w:rsidRDefault="006902CC" w:rsidP="006902CC">
            <w:pPr>
              <w:pStyle w:val="Tabletext"/>
              <w:rPr>
                <w:snapToGrid w:val="0"/>
              </w:rPr>
            </w:pPr>
            <w:r w:rsidRPr="00616B26">
              <w:rPr>
                <w:snapToGrid w:val="0"/>
              </w:rPr>
              <w:t>72</w:t>
            </w:r>
          </w:p>
        </w:tc>
        <w:tc>
          <w:tcPr>
            <w:tcW w:w="966" w:type="pct"/>
            <w:tcBorders>
              <w:top w:val="single" w:sz="4" w:space="0" w:color="auto"/>
              <w:bottom w:val="single" w:sz="4" w:space="0" w:color="auto"/>
            </w:tcBorders>
            <w:vAlign w:val="bottom"/>
          </w:tcPr>
          <w:p w14:paraId="5968FB54" w14:textId="77777777" w:rsidR="006902CC" w:rsidRPr="00C971C6" w:rsidRDefault="006902CC" w:rsidP="006902CC">
            <w:pPr>
              <w:pStyle w:val="Tabletext"/>
              <w:rPr>
                <w:snapToGrid w:val="0"/>
              </w:rPr>
            </w:pPr>
            <w:r w:rsidRPr="00295986">
              <w:t>10</w:t>
            </w:r>
            <w:r w:rsidR="00D7157D">
              <w:t>.</w:t>
            </w:r>
            <w:r w:rsidRPr="00295986">
              <w:t>2540</w:t>
            </w:r>
          </w:p>
        </w:tc>
        <w:tc>
          <w:tcPr>
            <w:tcW w:w="966" w:type="pct"/>
            <w:tcBorders>
              <w:top w:val="single" w:sz="4" w:space="0" w:color="auto"/>
              <w:bottom w:val="single" w:sz="4" w:space="0" w:color="auto"/>
            </w:tcBorders>
            <w:vAlign w:val="bottom"/>
          </w:tcPr>
          <w:p w14:paraId="2B7EA700" w14:textId="77777777" w:rsidR="006902CC" w:rsidRPr="00C971C6" w:rsidRDefault="006902CC" w:rsidP="006902CC">
            <w:pPr>
              <w:pStyle w:val="Tabletext"/>
              <w:rPr>
                <w:snapToGrid w:val="0"/>
              </w:rPr>
            </w:pPr>
            <w:r w:rsidRPr="00295986">
              <w:t>0</w:t>
            </w:r>
            <w:r w:rsidR="00D7157D">
              <w:t>.</w:t>
            </w:r>
            <w:r w:rsidRPr="00295986">
              <w:t>2907</w:t>
            </w:r>
          </w:p>
        </w:tc>
        <w:tc>
          <w:tcPr>
            <w:tcW w:w="966" w:type="pct"/>
            <w:tcBorders>
              <w:top w:val="single" w:sz="4" w:space="0" w:color="auto"/>
              <w:bottom w:val="single" w:sz="4" w:space="0" w:color="auto"/>
            </w:tcBorders>
            <w:vAlign w:val="bottom"/>
          </w:tcPr>
          <w:p w14:paraId="34D96A8A" w14:textId="77777777" w:rsidR="006902CC" w:rsidRPr="00C971C6" w:rsidRDefault="006902CC" w:rsidP="006902CC">
            <w:pPr>
              <w:pStyle w:val="Tabletext"/>
              <w:rPr>
                <w:snapToGrid w:val="0"/>
              </w:rPr>
            </w:pPr>
            <w:r w:rsidRPr="00295986">
              <w:t>10</w:t>
            </w:r>
            <w:r w:rsidR="00D7157D">
              <w:t>.</w:t>
            </w:r>
            <w:r w:rsidRPr="00295986">
              <w:t>9860</w:t>
            </w:r>
          </w:p>
        </w:tc>
        <w:tc>
          <w:tcPr>
            <w:tcW w:w="966" w:type="pct"/>
            <w:tcBorders>
              <w:top w:val="single" w:sz="4" w:space="0" w:color="auto"/>
              <w:bottom w:val="single" w:sz="4" w:space="0" w:color="auto"/>
            </w:tcBorders>
            <w:vAlign w:val="bottom"/>
          </w:tcPr>
          <w:p w14:paraId="13D90B2C" w14:textId="77777777" w:rsidR="006902CC" w:rsidRPr="00C971C6" w:rsidRDefault="006902CC" w:rsidP="006902CC">
            <w:pPr>
              <w:pStyle w:val="Tabletext"/>
              <w:rPr>
                <w:snapToGrid w:val="0"/>
              </w:rPr>
            </w:pPr>
            <w:r w:rsidRPr="00295986">
              <w:t>0</w:t>
            </w:r>
            <w:r w:rsidR="00D7157D">
              <w:t>.</w:t>
            </w:r>
            <w:r w:rsidRPr="00295986">
              <w:t>0765</w:t>
            </w:r>
          </w:p>
        </w:tc>
      </w:tr>
      <w:tr w:rsidR="006902CC" w:rsidRPr="009E2595" w14:paraId="034CA49B" w14:textId="77777777" w:rsidTr="006902CC">
        <w:trPr>
          <w:cantSplit/>
        </w:trPr>
        <w:tc>
          <w:tcPr>
            <w:tcW w:w="1136" w:type="pct"/>
            <w:tcBorders>
              <w:top w:val="single" w:sz="4" w:space="0" w:color="auto"/>
              <w:bottom w:val="single" w:sz="4" w:space="0" w:color="auto"/>
            </w:tcBorders>
          </w:tcPr>
          <w:p w14:paraId="59C7D4A1" w14:textId="77777777" w:rsidR="006902CC" w:rsidRPr="00616B26" w:rsidRDefault="006902CC" w:rsidP="006902CC">
            <w:pPr>
              <w:pStyle w:val="Tabletext"/>
              <w:rPr>
                <w:snapToGrid w:val="0"/>
              </w:rPr>
            </w:pPr>
            <w:r w:rsidRPr="00616B26">
              <w:rPr>
                <w:snapToGrid w:val="0"/>
              </w:rPr>
              <w:t>73</w:t>
            </w:r>
          </w:p>
        </w:tc>
        <w:tc>
          <w:tcPr>
            <w:tcW w:w="966" w:type="pct"/>
            <w:tcBorders>
              <w:top w:val="single" w:sz="4" w:space="0" w:color="auto"/>
              <w:bottom w:val="single" w:sz="4" w:space="0" w:color="auto"/>
            </w:tcBorders>
            <w:vAlign w:val="bottom"/>
          </w:tcPr>
          <w:p w14:paraId="6234F8B5" w14:textId="77777777" w:rsidR="006902CC" w:rsidRPr="00C971C6" w:rsidRDefault="006902CC" w:rsidP="006902CC">
            <w:pPr>
              <w:pStyle w:val="Tabletext"/>
              <w:rPr>
                <w:snapToGrid w:val="0"/>
              </w:rPr>
            </w:pPr>
            <w:r w:rsidRPr="00295986">
              <w:t>9</w:t>
            </w:r>
            <w:r w:rsidR="00D7157D">
              <w:t>.</w:t>
            </w:r>
            <w:r w:rsidRPr="00295986">
              <w:t>9162</w:t>
            </w:r>
          </w:p>
        </w:tc>
        <w:tc>
          <w:tcPr>
            <w:tcW w:w="966" w:type="pct"/>
            <w:tcBorders>
              <w:top w:val="single" w:sz="4" w:space="0" w:color="auto"/>
              <w:bottom w:val="single" w:sz="4" w:space="0" w:color="auto"/>
            </w:tcBorders>
            <w:vAlign w:val="bottom"/>
          </w:tcPr>
          <w:p w14:paraId="253617E4" w14:textId="77777777" w:rsidR="006902CC" w:rsidRPr="00C971C6" w:rsidRDefault="006902CC" w:rsidP="006902CC">
            <w:pPr>
              <w:pStyle w:val="Tabletext"/>
              <w:rPr>
                <w:snapToGrid w:val="0"/>
              </w:rPr>
            </w:pPr>
            <w:r w:rsidRPr="00295986">
              <w:t>0</w:t>
            </w:r>
            <w:r w:rsidR="00D7157D">
              <w:t>.</w:t>
            </w:r>
            <w:r w:rsidRPr="00295986">
              <w:t>3006</w:t>
            </w:r>
          </w:p>
        </w:tc>
        <w:tc>
          <w:tcPr>
            <w:tcW w:w="966" w:type="pct"/>
            <w:tcBorders>
              <w:top w:val="single" w:sz="4" w:space="0" w:color="auto"/>
              <w:bottom w:val="single" w:sz="4" w:space="0" w:color="auto"/>
            </w:tcBorders>
            <w:vAlign w:val="bottom"/>
          </w:tcPr>
          <w:p w14:paraId="273F3B07" w14:textId="77777777" w:rsidR="006902CC" w:rsidRPr="00C971C6" w:rsidRDefault="006902CC" w:rsidP="006902CC">
            <w:pPr>
              <w:pStyle w:val="Tabletext"/>
              <w:rPr>
                <w:snapToGrid w:val="0"/>
              </w:rPr>
            </w:pPr>
            <w:r w:rsidRPr="00295986">
              <w:t>10</w:t>
            </w:r>
            <w:r w:rsidR="00D7157D">
              <w:t>.</w:t>
            </w:r>
            <w:r w:rsidRPr="00295986">
              <w:t>6708</w:t>
            </w:r>
          </w:p>
        </w:tc>
        <w:tc>
          <w:tcPr>
            <w:tcW w:w="966" w:type="pct"/>
            <w:tcBorders>
              <w:top w:val="single" w:sz="4" w:space="0" w:color="auto"/>
              <w:bottom w:val="single" w:sz="4" w:space="0" w:color="auto"/>
            </w:tcBorders>
            <w:vAlign w:val="bottom"/>
          </w:tcPr>
          <w:p w14:paraId="3FC85409" w14:textId="77777777" w:rsidR="006902CC" w:rsidRPr="00C971C6" w:rsidRDefault="006902CC" w:rsidP="006902CC">
            <w:pPr>
              <w:pStyle w:val="Tabletext"/>
              <w:rPr>
                <w:snapToGrid w:val="0"/>
              </w:rPr>
            </w:pPr>
            <w:r w:rsidRPr="00295986">
              <w:t>0</w:t>
            </w:r>
            <w:r w:rsidR="00D7157D">
              <w:t>.</w:t>
            </w:r>
            <w:r w:rsidRPr="00295986">
              <w:t>0788</w:t>
            </w:r>
          </w:p>
        </w:tc>
      </w:tr>
      <w:tr w:rsidR="006902CC" w:rsidRPr="009E2595" w14:paraId="78227213" w14:textId="77777777" w:rsidTr="006902CC">
        <w:trPr>
          <w:cantSplit/>
        </w:trPr>
        <w:tc>
          <w:tcPr>
            <w:tcW w:w="1136" w:type="pct"/>
            <w:tcBorders>
              <w:top w:val="single" w:sz="4" w:space="0" w:color="auto"/>
              <w:bottom w:val="single" w:sz="4" w:space="0" w:color="auto"/>
            </w:tcBorders>
          </w:tcPr>
          <w:p w14:paraId="2E537ECA" w14:textId="77777777" w:rsidR="006902CC" w:rsidRPr="00616B26" w:rsidRDefault="006902CC" w:rsidP="006902CC">
            <w:pPr>
              <w:pStyle w:val="Tabletext"/>
              <w:rPr>
                <w:snapToGrid w:val="0"/>
              </w:rPr>
            </w:pPr>
            <w:r w:rsidRPr="00616B26">
              <w:rPr>
                <w:snapToGrid w:val="0"/>
              </w:rPr>
              <w:t>74</w:t>
            </w:r>
          </w:p>
        </w:tc>
        <w:tc>
          <w:tcPr>
            <w:tcW w:w="966" w:type="pct"/>
            <w:tcBorders>
              <w:top w:val="single" w:sz="4" w:space="0" w:color="auto"/>
              <w:bottom w:val="single" w:sz="4" w:space="0" w:color="auto"/>
            </w:tcBorders>
            <w:vAlign w:val="bottom"/>
          </w:tcPr>
          <w:p w14:paraId="5433D2DE" w14:textId="77777777" w:rsidR="006902CC" w:rsidRPr="00C971C6" w:rsidRDefault="006902CC" w:rsidP="006902CC">
            <w:pPr>
              <w:pStyle w:val="Tabletext"/>
              <w:rPr>
                <w:snapToGrid w:val="0"/>
              </w:rPr>
            </w:pPr>
            <w:r w:rsidRPr="00295986">
              <w:t>9</w:t>
            </w:r>
            <w:r w:rsidR="00D7157D">
              <w:t>.</w:t>
            </w:r>
            <w:r w:rsidRPr="00295986">
              <w:t>5681</w:t>
            </w:r>
          </w:p>
        </w:tc>
        <w:tc>
          <w:tcPr>
            <w:tcW w:w="966" w:type="pct"/>
            <w:tcBorders>
              <w:top w:val="single" w:sz="4" w:space="0" w:color="auto"/>
              <w:bottom w:val="single" w:sz="4" w:space="0" w:color="auto"/>
            </w:tcBorders>
            <w:vAlign w:val="bottom"/>
          </w:tcPr>
          <w:p w14:paraId="632D6411" w14:textId="77777777" w:rsidR="006902CC" w:rsidRPr="00C971C6" w:rsidRDefault="006902CC" w:rsidP="006902CC">
            <w:pPr>
              <w:pStyle w:val="Tabletext"/>
              <w:rPr>
                <w:snapToGrid w:val="0"/>
              </w:rPr>
            </w:pPr>
            <w:r w:rsidRPr="00295986">
              <w:t>0</w:t>
            </w:r>
            <w:r w:rsidR="00D7157D">
              <w:t>.</w:t>
            </w:r>
            <w:r w:rsidRPr="00295986">
              <w:t>3104</w:t>
            </w:r>
          </w:p>
        </w:tc>
        <w:tc>
          <w:tcPr>
            <w:tcW w:w="966" w:type="pct"/>
            <w:tcBorders>
              <w:top w:val="single" w:sz="4" w:space="0" w:color="auto"/>
              <w:bottom w:val="single" w:sz="4" w:space="0" w:color="auto"/>
            </w:tcBorders>
            <w:vAlign w:val="bottom"/>
          </w:tcPr>
          <w:p w14:paraId="5F64BCB6" w14:textId="77777777" w:rsidR="006902CC" w:rsidRPr="00C971C6" w:rsidRDefault="006902CC" w:rsidP="006902CC">
            <w:pPr>
              <w:pStyle w:val="Tabletext"/>
              <w:rPr>
                <w:snapToGrid w:val="0"/>
              </w:rPr>
            </w:pPr>
            <w:r w:rsidRPr="00295986">
              <w:t>10</w:t>
            </w:r>
            <w:r w:rsidR="00D7157D">
              <w:t>.</w:t>
            </w:r>
            <w:r w:rsidRPr="00295986">
              <w:t>3449</w:t>
            </w:r>
          </w:p>
        </w:tc>
        <w:tc>
          <w:tcPr>
            <w:tcW w:w="966" w:type="pct"/>
            <w:tcBorders>
              <w:top w:val="single" w:sz="4" w:space="0" w:color="auto"/>
              <w:bottom w:val="single" w:sz="4" w:space="0" w:color="auto"/>
            </w:tcBorders>
            <w:vAlign w:val="bottom"/>
          </w:tcPr>
          <w:p w14:paraId="36A87878" w14:textId="77777777" w:rsidR="006902CC" w:rsidRPr="00C971C6" w:rsidRDefault="006902CC" w:rsidP="006902CC">
            <w:pPr>
              <w:pStyle w:val="Tabletext"/>
              <w:rPr>
                <w:snapToGrid w:val="0"/>
              </w:rPr>
            </w:pPr>
            <w:r w:rsidRPr="00295986">
              <w:t>0</w:t>
            </w:r>
            <w:r w:rsidR="00D7157D">
              <w:t>.</w:t>
            </w:r>
            <w:r w:rsidRPr="00295986">
              <w:t>0810</w:t>
            </w:r>
          </w:p>
        </w:tc>
      </w:tr>
      <w:tr w:rsidR="006902CC" w:rsidRPr="009E2595" w14:paraId="7DCB71A9" w14:textId="77777777" w:rsidTr="006902CC">
        <w:trPr>
          <w:cantSplit/>
        </w:trPr>
        <w:tc>
          <w:tcPr>
            <w:tcW w:w="1136" w:type="pct"/>
            <w:tcBorders>
              <w:top w:val="single" w:sz="4" w:space="0" w:color="auto"/>
              <w:bottom w:val="single" w:sz="4" w:space="0" w:color="auto"/>
            </w:tcBorders>
          </w:tcPr>
          <w:p w14:paraId="5C7F44FA" w14:textId="77777777" w:rsidR="006902CC" w:rsidRPr="00616B26" w:rsidRDefault="006902CC" w:rsidP="006902CC">
            <w:pPr>
              <w:pStyle w:val="Tabletext"/>
              <w:rPr>
                <w:snapToGrid w:val="0"/>
              </w:rPr>
            </w:pPr>
            <w:r w:rsidRPr="00616B26">
              <w:rPr>
                <w:snapToGrid w:val="0"/>
              </w:rPr>
              <w:t>75</w:t>
            </w:r>
          </w:p>
        </w:tc>
        <w:tc>
          <w:tcPr>
            <w:tcW w:w="966" w:type="pct"/>
            <w:tcBorders>
              <w:top w:val="single" w:sz="4" w:space="0" w:color="auto"/>
              <w:bottom w:val="single" w:sz="4" w:space="0" w:color="auto"/>
            </w:tcBorders>
            <w:vAlign w:val="bottom"/>
          </w:tcPr>
          <w:p w14:paraId="19861140" w14:textId="77777777" w:rsidR="006902CC" w:rsidRPr="00C971C6" w:rsidRDefault="006902CC" w:rsidP="006902CC">
            <w:pPr>
              <w:pStyle w:val="Tabletext"/>
              <w:rPr>
                <w:snapToGrid w:val="0"/>
              </w:rPr>
            </w:pPr>
            <w:r w:rsidRPr="00295986">
              <w:t>9</w:t>
            </w:r>
            <w:r w:rsidR="00D7157D">
              <w:t>.</w:t>
            </w:r>
            <w:r w:rsidRPr="00295986">
              <w:t>2103</w:t>
            </w:r>
          </w:p>
        </w:tc>
        <w:tc>
          <w:tcPr>
            <w:tcW w:w="966" w:type="pct"/>
            <w:tcBorders>
              <w:top w:val="single" w:sz="4" w:space="0" w:color="auto"/>
              <w:bottom w:val="single" w:sz="4" w:space="0" w:color="auto"/>
            </w:tcBorders>
            <w:vAlign w:val="bottom"/>
          </w:tcPr>
          <w:p w14:paraId="47508357" w14:textId="77777777" w:rsidR="006902CC" w:rsidRPr="00C971C6" w:rsidRDefault="006902CC" w:rsidP="006902CC">
            <w:pPr>
              <w:pStyle w:val="Tabletext"/>
              <w:rPr>
                <w:snapToGrid w:val="0"/>
              </w:rPr>
            </w:pPr>
            <w:r w:rsidRPr="00295986">
              <w:t>0</w:t>
            </w:r>
            <w:r w:rsidR="00D7157D">
              <w:t>.</w:t>
            </w:r>
            <w:r w:rsidRPr="00295986">
              <w:t>3198</w:t>
            </w:r>
          </w:p>
        </w:tc>
        <w:tc>
          <w:tcPr>
            <w:tcW w:w="966" w:type="pct"/>
            <w:tcBorders>
              <w:top w:val="single" w:sz="4" w:space="0" w:color="auto"/>
              <w:bottom w:val="single" w:sz="4" w:space="0" w:color="auto"/>
            </w:tcBorders>
            <w:vAlign w:val="bottom"/>
          </w:tcPr>
          <w:p w14:paraId="76CB7832" w14:textId="77777777" w:rsidR="006902CC" w:rsidRPr="00C971C6" w:rsidRDefault="006902CC" w:rsidP="006902CC">
            <w:pPr>
              <w:pStyle w:val="Tabletext"/>
              <w:rPr>
                <w:snapToGrid w:val="0"/>
              </w:rPr>
            </w:pPr>
            <w:r w:rsidRPr="00295986">
              <w:t>10</w:t>
            </w:r>
            <w:r w:rsidR="00D7157D">
              <w:t>.</w:t>
            </w:r>
            <w:r w:rsidRPr="00295986">
              <w:t>0075</w:t>
            </w:r>
          </w:p>
        </w:tc>
        <w:tc>
          <w:tcPr>
            <w:tcW w:w="966" w:type="pct"/>
            <w:tcBorders>
              <w:top w:val="single" w:sz="4" w:space="0" w:color="auto"/>
              <w:bottom w:val="single" w:sz="4" w:space="0" w:color="auto"/>
            </w:tcBorders>
            <w:vAlign w:val="bottom"/>
          </w:tcPr>
          <w:p w14:paraId="76CEFCF6" w14:textId="77777777" w:rsidR="006902CC" w:rsidRPr="00C971C6" w:rsidRDefault="006902CC" w:rsidP="006902CC">
            <w:pPr>
              <w:pStyle w:val="Tabletext"/>
              <w:rPr>
                <w:snapToGrid w:val="0"/>
              </w:rPr>
            </w:pPr>
            <w:r w:rsidRPr="00295986">
              <w:t>0</w:t>
            </w:r>
            <w:r w:rsidR="00D7157D">
              <w:t>.</w:t>
            </w:r>
            <w:r w:rsidRPr="00295986">
              <w:t>0832</w:t>
            </w:r>
          </w:p>
        </w:tc>
      </w:tr>
      <w:tr w:rsidR="006902CC" w:rsidRPr="009E2595" w14:paraId="7D74D59E" w14:textId="77777777" w:rsidTr="006902CC">
        <w:trPr>
          <w:cantSplit/>
        </w:trPr>
        <w:tc>
          <w:tcPr>
            <w:tcW w:w="1136" w:type="pct"/>
            <w:tcBorders>
              <w:top w:val="single" w:sz="4" w:space="0" w:color="auto"/>
              <w:bottom w:val="single" w:sz="4" w:space="0" w:color="auto"/>
            </w:tcBorders>
          </w:tcPr>
          <w:p w14:paraId="00D449D3" w14:textId="77777777" w:rsidR="006902CC" w:rsidRPr="00616B26" w:rsidRDefault="006902CC" w:rsidP="006902CC">
            <w:pPr>
              <w:pStyle w:val="Tabletext"/>
              <w:rPr>
                <w:snapToGrid w:val="0"/>
              </w:rPr>
            </w:pPr>
            <w:r w:rsidRPr="00616B26">
              <w:rPr>
                <w:snapToGrid w:val="0"/>
              </w:rPr>
              <w:t>76</w:t>
            </w:r>
          </w:p>
        </w:tc>
        <w:tc>
          <w:tcPr>
            <w:tcW w:w="966" w:type="pct"/>
            <w:tcBorders>
              <w:top w:val="single" w:sz="4" w:space="0" w:color="auto"/>
              <w:bottom w:val="single" w:sz="4" w:space="0" w:color="auto"/>
            </w:tcBorders>
            <w:vAlign w:val="bottom"/>
          </w:tcPr>
          <w:p w14:paraId="6B20C6A4" w14:textId="77777777" w:rsidR="006902CC" w:rsidRPr="00C971C6" w:rsidRDefault="006902CC" w:rsidP="006902CC">
            <w:pPr>
              <w:pStyle w:val="Tabletext"/>
              <w:rPr>
                <w:snapToGrid w:val="0"/>
              </w:rPr>
            </w:pPr>
            <w:r w:rsidRPr="00295986">
              <w:t>8</w:t>
            </w:r>
            <w:r w:rsidR="00D7157D">
              <w:t>.</w:t>
            </w:r>
            <w:r w:rsidRPr="00295986">
              <w:t>8437</w:t>
            </w:r>
          </w:p>
        </w:tc>
        <w:tc>
          <w:tcPr>
            <w:tcW w:w="966" w:type="pct"/>
            <w:tcBorders>
              <w:top w:val="single" w:sz="4" w:space="0" w:color="auto"/>
              <w:bottom w:val="single" w:sz="4" w:space="0" w:color="auto"/>
            </w:tcBorders>
            <w:vAlign w:val="bottom"/>
          </w:tcPr>
          <w:p w14:paraId="63717B1C" w14:textId="77777777" w:rsidR="006902CC" w:rsidRPr="00C971C6" w:rsidRDefault="006902CC" w:rsidP="006902CC">
            <w:pPr>
              <w:pStyle w:val="Tabletext"/>
              <w:rPr>
                <w:snapToGrid w:val="0"/>
              </w:rPr>
            </w:pPr>
            <w:r w:rsidRPr="00295986">
              <w:t>0</w:t>
            </w:r>
            <w:r w:rsidR="00D7157D">
              <w:t>.</w:t>
            </w:r>
            <w:r w:rsidRPr="00295986">
              <w:t>3288</w:t>
            </w:r>
          </w:p>
        </w:tc>
        <w:tc>
          <w:tcPr>
            <w:tcW w:w="966" w:type="pct"/>
            <w:tcBorders>
              <w:top w:val="single" w:sz="4" w:space="0" w:color="auto"/>
              <w:bottom w:val="single" w:sz="4" w:space="0" w:color="auto"/>
            </w:tcBorders>
            <w:vAlign w:val="bottom"/>
          </w:tcPr>
          <w:p w14:paraId="138CDE61" w14:textId="77777777" w:rsidR="006902CC" w:rsidRPr="00C971C6" w:rsidRDefault="006902CC" w:rsidP="006902CC">
            <w:pPr>
              <w:pStyle w:val="Tabletext"/>
              <w:rPr>
                <w:snapToGrid w:val="0"/>
              </w:rPr>
            </w:pPr>
            <w:r w:rsidRPr="00295986">
              <w:t>9</w:t>
            </w:r>
            <w:r w:rsidR="00D7157D">
              <w:t>.</w:t>
            </w:r>
            <w:r w:rsidRPr="00295986">
              <w:t>6570</w:t>
            </w:r>
          </w:p>
        </w:tc>
        <w:tc>
          <w:tcPr>
            <w:tcW w:w="966" w:type="pct"/>
            <w:tcBorders>
              <w:top w:val="single" w:sz="4" w:space="0" w:color="auto"/>
              <w:bottom w:val="single" w:sz="4" w:space="0" w:color="auto"/>
            </w:tcBorders>
            <w:vAlign w:val="bottom"/>
          </w:tcPr>
          <w:p w14:paraId="1E3BF6B9" w14:textId="77777777" w:rsidR="006902CC" w:rsidRPr="00C971C6" w:rsidRDefault="006902CC" w:rsidP="006902CC">
            <w:pPr>
              <w:pStyle w:val="Tabletext"/>
              <w:rPr>
                <w:snapToGrid w:val="0"/>
              </w:rPr>
            </w:pPr>
            <w:r w:rsidRPr="00295986">
              <w:t>0</w:t>
            </w:r>
            <w:r w:rsidR="00D7157D">
              <w:t>.</w:t>
            </w:r>
            <w:r w:rsidRPr="00295986">
              <w:t>0853</w:t>
            </w:r>
          </w:p>
        </w:tc>
      </w:tr>
      <w:tr w:rsidR="006902CC" w:rsidRPr="009E2595" w14:paraId="43A999E3" w14:textId="77777777" w:rsidTr="006902CC">
        <w:trPr>
          <w:cantSplit/>
        </w:trPr>
        <w:tc>
          <w:tcPr>
            <w:tcW w:w="1136" w:type="pct"/>
            <w:tcBorders>
              <w:top w:val="single" w:sz="4" w:space="0" w:color="auto"/>
              <w:bottom w:val="single" w:sz="4" w:space="0" w:color="auto"/>
            </w:tcBorders>
          </w:tcPr>
          <w:p w14:paraId="06341A5E" w14:textId="77777777" w:rsidR="006902CC" w:rsidRPr="00616B26" w:rsidRDefault="006902CC" w:rsidP="006902CC">
            <w:pPr>
              <w:pStyle w:val="Tabletext"/>
              <w:rPr>
                <w:snapToGrid w:val="0"/>
              </w:rPr>
            </w:pPr>
            <w:r w:rsidRPr="00616B26">
              <w:rPr>
                <w:snapToGrid w:val="0"/>
              </w:rPr>
              <w:t>77</w:t>
            </w:r>
          </w:p>
        </w:tc>
        <w:tc>
          <w:tcPr>
            <w:tcW w:w="966" w:type="pct"/>
            <w:tcBorders>
              <w:top w:val="single" w:sz="4" w:space="0" w:color="auto"/>
              <w:bottom w:val="single" w:sz="4" w:space="0" w:color="auto"/>
            </w:tcBorders>
            <w:vAlign w:val="bottom"/>
          </w:tcPr>
          <w:p w14:paraId="17E44751" w14:textId="77777777" w:rsidR="006902CC" w:rsidRPr="00C971C6" w:rsidRDefault="006902CC" w:rsidP="006902CC">
            <w:pPr>
              <w:pStyle w:val="Tabletext"/>
              <w:rPr>
                <w:snapToGrid w:val="0"/>
              </w:rPr>
            </w:pPr>
            <w:r w:rsidRPr="00295986">
              <w:t>8</w:t>
            </w:r>
            <w:r w:rsidR="00D7157D">
              <w:t>.</w:t>
            </w:r>
            <w:r w:rsidRPr="00295986">
              <w:t>4692</w:t>
            </w:r>
          </w:p>
        </w:tc>
        <w:tc>
          <w:tcPr>
            <w:tcW w:w="966" w:type="pct"/>
            <w:tcBorders>
              <w:top w:val="single" w:sz="4" w:space="0" w:color="auto"/>
              <w:bottom w:val="single" w:sz="4" w:space="0" w:color="auto"/>
            </w:tcBorders>
            <w:vAlign w:val="bottom"/>
          </w:tcPr>
          <w:p w14:paraId="2B90A6A0" w14:textId="77777777" w:rsidR="006902CC" w:rsidRPr="00C971C6" w:rsidRDefault="006902CC" w:rsidP="006902CC">
            <w:pPr>
              <w:pStyle w:val="Tabletext"/>
              <w:rPr>
                <w:snapToGrid w:val="0"/>
              </w:rPr>
            </w:pPr>
            <w:r w:rsidRPr="00295986">
              <w:t>0</w:t>
            </w:r>
            <w:r w:rsidR="00D7157D">
              <w:t>.</w:t>
            </w:r>
            <w:r w:rsidRPr="00295986">
              <w:t>3372</w:t>
            </w:r>
          </w:p>
        </w:tc>
        <w:tc>
          <w:tcPr>
            <w:tcW w:w="966" w:type="pct"/>
            <w:tcBorders>
              <w:top w:val="single" w:sz="4" w:space="0" w:color="auto"/>
              <w:bottom w:val="single" w:sz="4" w:space="0" w:color="auto"/>
            </w:tcBorders>
            <w:vAlign w:val="bottom"/>
          </w:tcPr>
          <w:p w14:paraId="67550471" w14:textId="77777777" w:rsidR="006902CC" w:rsidRPr="00C971C6" w:rsidRDefault="006902CC" w:rsidP="006902CC">
            <w:pPr>
              <w:pStyle w:val="Tabletext"/>
              <w:rPr>
                <w:snapToGrid w:val="0"/>
              </w:rPr>
            </w:pPr>
            <w:r w:rsidRPr="00295986">
              <w:t>9</w:t>
            </w:r>
            <w:r w:rsidR="00D7157D">
              <w:t>.</w:t>
            </w:r>
            <w:r w:rsidRPr="00295986">
              <w:t>2950</w:t>
            </w:r>
          </w:p>
        </w:tc>
        <w:tc>
          <w:tcPr>
            <w:tcW w:w="966" w:type="pct"/>
            <w:tcBorders>
              <w:top w:val="single" w:sz="4" w:space="0" w:color="auto"/>
              <w:bottom w:val="single" w:sz="4" w:space="0" w:color="auto"/>
            </w:tcBorders>
            <w:vAlign w:val="bottom"/>
          </w:tcPr>
          <w:p w14:paraId="4398455B" w14:textId="77777777" w:rsidR="006902CC" w:rsidRPr="00C971C6" w:rsidRDefault="006902CC" w:rsidP="006902CC">
            <w:pPr>
              <w:pStyle w:val="Tabletext"/>
              <w:rPr>
                <w:snapToGrid w:val="0"/>
              </w:rPr>
            </w:pPr>
            <w:r w:rsidRPr="00295986">
              <w:t>0</w:t>
            </w:r>
            <w:r w:rsidR="00D7157D">
              <w:t>.</w:t>
            </w:r>
            <w:r w:rsidRPr="00295986">
              <w:t>0874</w:t>
            </w:r>
          </w:p>
        </w:tc>
      </w:tr>
      <w:tr w:rsidR="006902CC" w:rsidRPr="009E2595" w14:paraId="7825BC5D" w14:textId="77777777" w:rsidTr="006902CC">
        <w:trPr>
          <w:cantSplit/>
        </w:trPr>
        <w:tc>
          <w:tcPr>
            <w:tcW w:w="1136" w:type="pct"/>
            <w:tcBorders>
              <w:top w:val="single" w:sz="4" w:space="0" w:color="auto"/>
              <w:bottom w:val="single" w:sz="4" w:space="0" w:color="auto"/>
            </w:tcBorders>
          </w:tcPr>
          <w:p w14:paraId="5C816D88" w14:textId="77777777" w:rsidR="006902CC" w:rsidRPr="00616B26" w:rsidRDefault="006902CC" w:rsidP="006902CC">
            <w:pPr>
              <w:pStyle w:val="Tabletext"/>
              <w:rPr>
                <w:snapToGrid w:val="0"/>
              </w:rPr>
            </w:pPr>
            <w:r w:rsidRPr="00616B26">
              <w:rPr>
                <w:snapToGrid w:val="0"/>
              </w:rPr>
              <w:t>78</w:t>
            </w:r>
          </w:p>
        </w:tc>
        <w:tc>
          <w:tcPr>
            <w:tcW w:w="966" w:type="pct"/>
            <w:tcBorders>
              <w:top w:val="single" w:sz="4" w:space="0" w:color="auto"/>
              <w:bottom w:val="single" w:sz="4" w:space="0" w:color="auto"/>
            </w:tcBorders>
            <w:vAlign w:val="bottom"/>
          </w:tcPr>
          <w:p w14:paraId="6C53F2F7" w14:textId="77777777" w:rsidR="006902CC" w:rsidRPr="00C971C6" w:rsidRDefault="006902CC" w:rsidP="006902CC">
            <w:pPr>
              <w:pStyle w:val="Tabletext"/>
              <w:rPr>
                <w:snapToGrid w:val="0"/>
              </w:rPr>
            </w:pPr>
            <w:r w:rsidRPr="00295986">
              <w:t>8</w:t>
            </w:r>
            <w:r w:rsidR="00D7157D">
              <w:t>.</w:t>
            </w:r>
            <w:r w:rsidRPr="00295986">
              <w:t>0880</w:t>
            </w:r>
          </w:p>
        </w:tc>
        <w:tc>
          <w:tcPr>
            <w:tcW w:w="966" w:type="pct"/>
            <w:tcBorders>
              <w:top w:val="single" w:sz="4" w:space="0" w:color="auto"/>
              <w:bottom w:val="single" w:sz="4" w:space="0" w:color="auto"/>
            </w:tcBorders>
            <w:vAlign w:val="bottom"/>
          </w:tcPr>
          <w:p w14:paraId="6B9CD188" w14:textId="77777777" w:rsidR="006902CC" w:rsidRPr="00C971C6" w:rsidRDefault="006902CC" w:rsidP="006902CC">
            <w:pPr>
              <w:pStyle w:val="Tabletext"/>
              <w:rPr>
                <w:snapToGrid w:val="0"/>
              </w:rPr>
            </w:pPr>
            <w:r w:rsidRPr="00295986">
              <w:t>0</w:t>
            </w:r>
            <w:r w:rsidR="00D7157D">
              <w:t>.</w:t>
            </w:r>
            <w:r w:rsidRPr="00295986">
              <w:t>3450</w:t>
            </w:r>
          </w:p>
        </w:tc>
        <w:tc>
          <w:tcPr>
            <w:tcW w:w="966" w:type="pct"/>
            <w:tcBorders>
              <w:top w:val="single" w:sz="4" w:space="0" w:color="auto"/>
              <w:bottom w:val="single" w:sz="4" w:space="0" w:color="auto"/>
            </w:tcBorders>
            <w:vAlign w:val="bottom"/>
          </w:tcPr>
          <w:p w14:paraId="7A1F4C82" w14:textId="77777777" w:rsidR="006902CC" w:rsidRPr="00C971C6" w:rsidRDefault="006902CC" w:rsidP="006902CC">
            <w:pPr>
              <w:pStyle w:val="Tabletext"/>
              <w:rPr>
                <w:snapToGrid w:val="0"/>
              </w:rPr>
            </w:pPr>
            <w:r w:rsidRPr="00295986">
              <w:t>8</w:t>
            </w:r>
            <w:r w:rsidR="00D7157D">
              <w:t>.</w:t>
            </w:r>
            <w:r w:rsidRPr="00295986">
              <w:t>9229</w:t>
            </w:r>
          </w:p>
        </w:tc>
        <w:tc>
          <w:tcPr>
            <w:tcW w:w="966" w:type="pct"/>
            <w:tcBorders>
              <w:top w:val="single" w:sz="4" w:space="0" w:color="auto"/>
              <w:bottom w:val="single" w:sz="4" w:space="0" w:color="auto"/>
            </w:tcBorders>
            <w:vAlign w:val="bottom"/>
          </w:tcPr>
          <w:p w14:paraId="1DC70C0B" w14:textId="77777777" w:rsidR="006902CC" w:rsidRPr="00C971C6" w:rsidRDefault="006902CC" w:rsidP="006902CC">
            <w:pPr>
              <w:pStyle w:val="Tabletext"/>
              <w:rPr>
                <w:snapToGrid w:val="0"/>
              </w:rPr>
            </w:pPr>
            <w:r w:rsidRPr="00295986">
              <w:t>0</w:t>
            </w:r>
            <w:r w:rsidR="00D7157D">
              <w:t>.</w:t>
            </w:r>
            <w:r w:rsidRPr="00295986">
              <w:t>0894</w:t>
            </w:r>
          </w:p>
        </w:tc>
      </w:tr>
      <w:tr w:rsidR="006902CC" w:rsidRPr="009E2595" w14:paraId="0787CE04" w14:textId="77777777" w:rsidTr="006902CC">
        <w:trPr>
          <w:cantSplit/>
        </w:trPr>
        <w:tc>
          <w:tcPr>
            <w:tcW w:w="1136" w:type="pct"/>
            <w:tcBorders>
              <w:top w:val="single" w:sz="4" w:space="0" w:color="auto"/>
              <w:bottom w:val="single" w:sz="4" w:space="0" w:color="auto"/>
            </w:tcBorders>
          </w:tcPr>
          <w:p w14:paraId="5AB828BB" w14:textId="77777777" w:rsidR="006902CC" w:rsidRPr="00616B26" w:rsidRDefault="006902CC" w:rsidP="006902CC">
            <w:pPr>
              <w:pStyle w:val="Tabletext"/>
              <w:rPr>
                <w:snapToGrid w:val="0"/>
              </w:rPr>
            </w:pPr>
            <w:r w:rsidRPr="00616B26">
              <w:rPr>
                <w:snapToGrid w:val="0"/>
              </w:rPr>
              <w:t>79</w:t>
            </w:r>
          </w:p>
        </w:tc>
        <w:tc>
          <w:tcPr>
            <w:tcW w:w="966" w:type="pct"/>
            <w:tcBorders>
              <w:top w:val="single" w:sz="4" w:space="0" w:color="auto"/>
              <w:bottom w:val="single" w:sz="4" w:space="0" w:color="auto"/>
            </w:tcBorders>
            <w:vAlign w:val="bottom"/>
          </w:tcPr>
          <w:p w14:paraId="65FF6BF7" w14:textId="77777777" w:rsidR="006902CC" w:rsidRPr="00C971C6" w:rsidRDefault="006902CC" w:rsidP="006902CC">
            <w:pPr>
              <w:pStyle w:val="Tabletext"/>
              <w:rPr>
                <w:snapToGrid w:val="0"/>
              </w:rPr>
            </w:pPr>
            <w:r w:rsidRPr="00295986">
              <w:t>7</w:t>
            </w:r>
            <w:r w:rsidR="00D7157D">
              <w:t>.</w:t>
            </w:r>
            <w:r w:rsidRPr="00295986">
              <w:t>7036</w:t>
            </w:r>
          </w:p>
        </w:tc>
        <w:tc>
          <w:tcPr>
            <w:tcW w:w="966" w:type="pct"/>
            <w:tcBorders>
              <w:top w:val="single" w:sz="4" w:space="0" w:color="auto"/>
              <w:bottom w:val="single" w:sz="4" w:space="0" w:color="auto"/>
            </w:tcBorders>
            <w:vAlign w:val="bottom"/>
          </w:tcPr>
          <w:p w14:paraId="12DDE15D" w14:textId="77777777" w:rsidR="006902CC" w:rsidRPr="00C971C6" w:rsidRDefault="006902CC" w:rsidP="006902CC">
            <w:pPr>
              <w:pStyle w:val="Tabletext"/>
              <w:rPr>
                <w:snapToGrid w:val="0"/>
              </w:rPr>
            </w:pPr>
            <w:r w:rsidRPr="00295986">
              <w:t>0</w:t>
            </w:r>
            <w:r w:rsidR="00D7157D">
              <w:t>.</w:t>
            </w:r>
            <w:r w:rsidRPr="00295986">
              <w:t>3519</w:t>
            </w:r>
          </w:p>
        </w:tc>
        <w:tc>
          <w:tcPr>
            <w:tcW w:w="966" w:type="pct"/>
            <w:tcBorders>
              <w:top w:val="single" w:sz="4" w:space="0" w:color="auto"/>
              <w:bottom w:val="single" w:sz="4" w:space="0" w:color="auto"/>
            </w:tcBorders>
            <w:vAlign w:val="bottom"/>
          </w:tcPr>
          <w:p w14:paraId="651B5F36" w14:textId="77777777" w:rsidR="006902CC" w:rsidRPr="00C971C6" w:rsidRDefault="006902CC" w:rsidP="006902CC">
            <w:pPr>
              <w:pStyle w:val="Tabletext"/>
              <w:rPr>
                <w:snapToGrid w:val="0"/>
              </w:rPr>
            </w:pPr>
            <w:r w:rsidRPr="00295986">
              <w:t>8</w:t>
            </w:r>
            <w:r w:rsidR="00D7157D">
              <w:t>.</w:t>
            </w:r>
            <w:r w:rsidRPr="00295986">
              <w:t>5435</w:t>
            </w:r>
          </w:p>
        </w:tc>
        <w:tc>
          <w:tcPr>
            <w:tcW w:w="966" w:type="pct"/>
            <w:tcBorders>
              <w:top w:val="single" w:sz="4" w:space="0" w:color="auto"/>
              <w:bottom w:val="single" w:sz="4" w:space="0" w:color="auto"/>
            </w:tcBorders>
            <w:vAlign w:val="bottom"/>
          </w:tcPr>
          <w:p w14:paraId="66207DD2" w14:textId="77777777" w:rsidR="006902CC" w:rsidRPr="00C971C6" w:rsidRDefault="006902CC" w:rsidP="006902CC">
            <w:pPr>
              <w:pStyle w:val="Tabletext"/>
              <w:rPr>
                <w:snapToGrid w:val="0"/>
              </w:rPr>
            </w:pPr>
            <w:r w:rsidRPr="00295986">
              <w:t>0</w:t>
            </w:r>
            <w:r w:rsidR="00D7157D">
              <w:t>.</w:t>
            </w:r>
            <w:r w:rsidRPr="00295986">
              <w:t>0911</w:t>
            </w:r>
          </w:p>
        </w:tc>
      </w:tr>
      <w:tr w:rsidR="006902CC" w:rsidRPr="009E2595" w14:paraId="5FFD95AB" w14:textId="77777777" w:rsidTr="006902CC">
        <w:trPr>
          <w:cantSplit/>
        </w:trPr>
        <w:tc>
          <w:tcPr>
            <w:tcW w:w="1136" w:type="pct"/>
            <w:tcBorders>
              <w:top w:val="single" w:sz="4" w:space="0" w:color="auto"/>
              <w:bottom w:val="single" w:sz="4" w:space="0" w:color="auto"/>
            </w:tcBorders>
          </w:tcPr>
          <w:p w14:paraId="7FF71211" w14:textId="77777777" w:rsidR="006902CC" w:rsidRPr="00616B26" w:rsidRDefault="006902CC" w:rsidP="006902CC">
            <w:pPr>
              <w:pStyle w:val="Tabletext"/>
              <w:rPr>
                <w:snapToGrid w:val="0"/>
              </w:rPr>
            </w:pPr>
            <w:r w:rsidRPr="00616B26">
              <w:rPr>
                <w:snapToGrid w:val="0"/>
              </w:rPr>
              <w:t>80</w:t>
            </w:r>
          </w:p>
        </w:tc>
        <w:tc>
          <w:tcPr>
            <w:tcW w:w="966" w:type="pct"/>
            <w:tcBorders>
              <w:top w:val="single" w:sz="4" w:space="0" w:color="auto"/>
              <w:bottom w:val="single" w:sz="4" w:space="0" w:color="auto"/>
            </w:tcBorders>
            <w:vAlign w:val="bottom"/>
          </w:tcPr>
          <w:p w14:paraId="447D133B" w14:textId="77777777" w:rsidR="006902CC" w:rsidRPr="00C971C6" w:rsidRDefault="006902CC" w:rsidP="006902CC">
            <w:pPr>
              <w:pStyle w:val="Tabletext"/>
              <w:rPr>
                <w:snapToGrid w:val="0"/>
              </w:rPr>
            </w:pPr>
            <w:r w:rsidRPr="00295986">
              <w:t>7</w:t>
            </w:r>
            <w:r w:rsidR="00D7157D">
              <w:t>.</w:t>
            </w:r>
            <w:r w:rsidRPr="00295986">
              <w:t>3183</w:t>
            </w:r>
          </w:p>
        </w:tc>
        <w:tc>
          <w:tcPr>
            <w:tcW w:w="966" w:type="pct"/>
            <w:tcBorders>
              <w:top w:val="single" w:sz="4" w:space="0" w:color="auto"/>
              <w:bottom w:val="single" w:sz="4" w:space="0" w:color="auto"/>
            </w:tcBorders>
            <w:vAlign w:val="bottom"/>
          </w:tcPr>
          <w:p w14:paraId="0D579E6C" w14:textId="77777777" w:rsidR="006902CC" w:rsidRPr="00C971C6" w:rsidRDefault="006902CC" w:rsidP="006902CC">
            <w:pPr>
              <w:pStyle w:val="Tabletext"/>
              <w:rPr>
                <w:snapToGrid w:val="0"/>
              </w:rPr>
            </w:pPr>
            <w:r w:rsidRPr="00295986">
              <w:t>0</w:t>
            </w:r>
            <w:r w:rsidR="00D7157D">
              <w:t>.</w:t>
            </w:r>
            <w:r w:rsidRPr="00295986">
              <w:t>3576</w:t>
            </w:r>
          </w:p>
        </w:tc>
        <w:tc>
          <w:tcPr>
            <w:tcW w:w="966" w:type="pct"/>
            <w:tcBorders>
              <w:top w:val="single" w:sz="4" w:space="0" w:color="auto"/>
              <w:bottom w:val="single" w:sz="4" w:space="0" w:color="auto"/>
            </w:tcBorders>
            <w:vAlign w:val="bottom"/>
          </w:tcPr>
          <w:p w14:paraId="75653C7E" w14:textId="77777777" w:rsidR="006902CC" w:rsidRPr="00C971C6" w:rsidRDefault="006902CC" w:rsidP="006902CC">
            <w:pPr>
              <w:pStyle w:val="Tabletext"/>
              <w:rPr>
                <w:snapToGrid w:val="0"/>
              </w:rPr>
            </w:pPr>
            <w:r w:rsidRPr="00295986">
              <w:t>8</w:t>
            </w:r>
            <w:r w:rsidR="00D7157D">
              <w:t>.</w:t>
            </w:r>
            <w:r w:rsidRPr="00295986">
              <w:t>1588</w:t>
            </w:r>
          </w:p>
        </w:tc>
        <w:tc>
          <w:tcPr>
            <w:tcW w:w="966" w:type="pct"/>
            <w:tcBorders>
              <w:top w:val="single" w:sz="4" w:space="0" w:color="auto"/>
              <w:bottom w:val="single" w:sz="4" w:space="0" w:color="auto"/>
            </w:tcBorders>
            <w:vAlign w:val="bottom"/>
          </w:tcPr>
          <w:p w14:paraId="47CEB4DE" w14:textId="77777777" w:rsidR="006902CC" w:rsidRPr="00C971C6" w:rsidRDefault="006902CC" w:rsidP="006902CC">
            <w:pPr>
              <w:pStyle w:val="Tabletext"/>
              <w:rPr>
                <w:snapToGrid w:val="0"/>
              </w:rPr>
            </w:pPr>
            <w:r w:rsidRPr="00295986">
              <w:t>0</w:t>
            </w:r>
            <w:r w:rsidR="00D7157D">
              <w:t>.</w:t>
            </w:r>
            <w:r w:rsidRPr="00295986">
              <w:t>0927</w:t>
            </w:r>
          </w:p>
        </w:tc>
      </w:tr>
      <w:tr w:rsidR="006902CC" w:rsidRPr="009E2595" w14:paraId="014E5DDE" w14:textId="77777777" w:rsidTr="006902CC">
        <w:trPr>
          <w:cantSplit/>
        </w:trPr>
        <w:tc>
          <w:tcPr>
            <w:tcW w:w="1136" w:type="pct"/>
            <w:tcBorders>
              <w:top w:val="single" w:sz="4" w:space="0" w:color="auto"/>
              <w:bottom w:val="single" w:sz="4" w:space="0" w:color="auto"/>
            </w:tcBorders>
          </w:tcPr>
          <w:p w14:paraId="1E63A5FA" w14:textId="77777777" w:rsidR="006902CC" w:rsidRPr="00616B26" w:rsidRDefault="006902CC" w:rsidP="006902CC">
            <w:pPr>
              <w:pStyle w:val="Tabletext"/>
              <w:rPr>
                <w:snapToGrid w:val="0"/>
              </w:rPr>
            </w:pPr>
            <w:r w:rsidRPr="00616B26">
              <w:rPr>
                <w:snapToGrid w:val="0"/>
              </w:rPr>
              <w:t>81</w:t>
            </w:r>
          </w:p>
        </w:tc>
        <w:tc>
          <w:tcPr>
            <w:tcW w:w="966" w:type="pct"/>
            <w:tcBorders>
              <w:top w:val="single" w:sz="4" w:space="0" w:color="auto"/>
              <w:bottom w:val="single" w:sz="4" w:space="0" w:color="auto"/>
            </w:tcBorders>
            <w:vAlign w:val="bottom"/>
          </w:tcPr>
          <w:p w14:paraId="6FE32E07" w14:textId="77777777" w:rsidR="006902CC" w:rsidRPr="00C971C6" w:rsidRDefault="006902CC" w:rsidP="006902CC">
            <w:pPr>
              <w:pStyle w:val="Tabletext"/>
              <w:rPr>
                <w:snapToGrid w:val="0"/>
              </w:rPr>
            </w:pPr>
            <w:r w:rsidRPr="00295986">
              <w:t>6</w:t>
            </w:r>
            <w:r w:rsidR="00D7157D">
              <w:t>.</w:t>
            </w:r>
            <w:r w:rsidRPr="00295986">
              <w:t>9349</w:t>
            </w:r>
          </w:p>
        </w:tc>
        <w:tc>
          <w:tcPr>
            <w:tcW w:w="966" w:type="pct"/>
            <w:tcBorders>
              <w:top w:val="single" w:sz="4" w:space="0" w:color="auto"/>
              <w:bottom w:val="single" w:sz="4" w:space="0" w:color="auto"/>
            </w:tcBorders>
            <w:vAlign w:val="bottom"/>
          </w:tcPr>
          <w:p w14:paraId="7969A3F2" w14:textId="77777777" w:rsidR="006902CC" w:rsidRPr="00C971C6" w:rsidRDefault="006902CC" w:rsidP="006902CC">
            <w:pPr>
              <w:pStyle w:val="Tabletext"/>
              <w:rPr>
                <w:snapToGrid w:val="0"/>
              </w:rPr>
            </w:pPr>
            <w:r w:rsidRPr="00295986">
              <w:t>0</w:t>
            </w:r>
            <w:r w:rsidR="00D7157D">
              <w:t>.</w:t>
            </w:r>
            <w:r w:rsidRPr="00295986">
              <w:t>3620</w:t>
            </w:r>
          </w:p>
        </w:tc>
        <w:tc>
          <w:tcPr>
            <w:tcW w:w="966" w:type="pct"/>
            <w:tcBorders>
              <w:top w:val="single" w:sz="4" w:space="0" w:color="auto"/>
              <w:bottom w:val="single" w:sz="4" w:space="0" w:color="auto"/>
            </w:tcBorders>
            <w:vAlign w:val="bottom"/>
          </w:tcPr>
          <w:p w14:paraId="64C38036" w14:textId="77777777" w:rsidR="006902CC" w:rsidRPr="00C971C6" w:rsidRDefault="006902CC" w:rsidP="006902CC">
            <w:pPr>
              <w:pStyle w:val="Tabletext"/>
              <w:rPr>
                <w:snapToGrid w:val="0"/>
              </w:rPr>
            </w:pPr>
            <w:r w:rsidRPr="00295986">
              <w:t>7</w:t>
            </w:r>
            <w:r w:rsidR="00D7157D">
              <w:t>.</w:t>
            </w:r>
            <w:r w:rsidRPr="00295986">
              <w:t>7711</w:t>
            </w:r>
          </w:p>
        </w:tc>
        <w:tc>
          <w:tcPr>
            <w:tcW w:w="966" w:type="pct"/>
            <w:tcBorders>
              <w:top w:val="single" w:sz="4" w:space="0" w:color="auto"/>
              <w:bottom w:val="single" w:sz="4" w:space="0" w:color="auto"/>
            </w:tcBorders>
            <w:vAlign w:val="bottom"/>
          </w:tcPr>
          <w:p w14:paraId="3B1A76DA" w14:textId="77777777" w:rsidR="006902CC" w:rsidRPr="00C971C6" w:rsidRDefault="006902CC" w:rsidP="006902CC">
            <w:pPr>
              <w:pStyle w:val="Tabletext"/>
              <w:rPr>
                <w:snapToGrid w:val="0"/>
              </w:rPr>
            </w:pPr>
            <w:r w:rsidRPr="00295986">
              <w:t>0</w:t>
            </w:r>
            <w:r w:rsidR="00D7157D">
              <w:t>.</w:t>
            </w:r>
            <w:r w:rsidRPr="00295986">
              <w:t>0939</w:t>
            </w:r>
          </w:p>
        </w:tc>
      </w:tr>
      <w:tr w:rsidR="006902CC" w:rsidRPr="009E2595" w14:paraId="68A3287D" w14:textId="77777777" w:rsidTr="006902CC">
        <w:trPr>
          <w:cantSplit/>
        </w:trPr>
        <w:tc>
          <w:tcPr>
            <w:tcW w:w="1136" w:type="pct"/>
            <w:tcBorders>
              <w:top w:val="single" w:sz="4" w:space="0" w:color="auto"/>
              <w:bottom w:val="single" w:sz="4" w:space="0" w:color="auto"/>
            </w:tcBorders>
          </w:tcPr>
          <w:p w14:paraId="3673CADE" w14:textId="77777777" w:rsidR="006902CC" w:rsidRPr="00616B26" w:rsidRDefault="006902CC" w:rsidP="006902CC">
            <w:pPr>
              <w:pStyle w:val="Tabletext"/>
              <w:rPr>
                <w:snapToGrid w:val="0"/>
              </w:rPr>
            </w:pPr>
            <w:r w:rsidRPr="00616B26">
              <w:rPr>
                <w:snapToGrid w:val="0"/>
              </w:rPr>
              <w:t>82</w:t>
            </w:r>
          </w:p>
        </w:tc>
        <w:tc>
          <w:tcPr>
            <w:tcW w:w="966" w:type="pct"/>
            <w:tcBorders>
              <w:top w:val="single" w:sz="4" w:space="0" w:color="auto"/>
              <w:bottom w:val="single" w:sz="4" w:space="0" w:color="auto"/>
            </w:tcBorders>
            <w:vAlign w:val="bottom"/>
          </w:tcPr>
          <w:p w14:paraId="133A697D" w14:textId="77777777" w:rsidR="006902CC" w:rsidRPr="00C971C6" w:rsidRDefault="006902CC" w:rsidP="006902CC">
            <w:pPr>
              <w:pStyle w:val="Tabletext"/>
              <w:rPr>
                <w:snapToGrid w:val="0"/>
              </w:rPr>
            </w:pPr>
            <w:r w:rsidRPr="00295986">
              <w:t>6</w:t>
            </w:r>
            <w:r w:rsidR="00D7157D">
              <w:t>.</w:t>
            </w:r>
            <w:r w:rsidRPr="00295986">
              <w:t>5602</w:t>
            </w:r>
          </w:p>
        </w:tc>
        <w:tc>
          <w:tcPr>
            <w:tcW w:w="966" w:type="pct"/>
            <w:tcBorders>
              <w:top w:val="single" w:sz="4" w:space="0" w:color="auto"/>
              <w:bottom w:val="single" w:sz="4" w:space="0" w:color="auto"/>
            </w:tcBorders>
            <w:vAlign w:val="bottom"/>
          </w:tcPr>
          <w:p w14:paraId="42EDA040" w14:textId="77777777" w:rsidR="006902CC" w:rsidRPr="00C971C6" w:rsidRDefault="006902CC" w:rsidP="006902CC">
            <w:pPr>
              <w:pStyle w:val="Tabletext"/>
              <w:rPr>
                <w:snapToGrid w:val="0"/>
              </w:rPr>
            </w:pPr>
            <w:r w:rsidRPr="00295986">
              <w:t>0</w:t>
            </w:r>
            <w:r w:rsidR="00D7157D">
              <w:t>.</w:t>
            </w:r>
            <w:r w:rsidRPr="00295986">
              <w:t>3647</w:t>
            </w:r>
          </w:p>
        </w:tc>
        <w:tc>
          <w:tcPr>
            <w:tcW w:w="966" w:type="pct"/>
            <w:tcBorders>
              <w:top w:val="single" w:sz="4" w:space="0" w:color="auto"/>
              <w:bottom w:val="single" w:sz="4" w:space="0" w:color="auto"/>
            </w:tcBorders>
            <w:vAlign w:val="bottom"/>
          </w:tcPr>
          <w:p w14:paraId="312987CD" w14:textId="77777777" w:rsidR="006902CC" w:rsidRPr="00C971C6" w:rsidRDefault="006902CC" w:rsidP="006902CC">
            <w:pPr>
              <w:pStyle w:val="Tabletext"/>
              <w:rPr>
                <w:snapToGrid w:val="0"/>
              </w:rPr>
            </w:pPr>
            <w:r w:rsidRPr="00295986">
              <w:t>7</w:t>
            </w:r>
            <w:r w:rsidR="00D7157D">
              <w:t>.</w:t>
            </w:r>
            <w:r w:rsidRPr="00295986">
              <w:t>3853</w:t>
            </w:r>
          </w:p>
        </w:tc>
        <w:tc>
          <w:tcPr>
            <w:tcW w:w="966" w:type="pct"/>
            <w:tcBorders>
              <w:top w:val="single" w:sz="4" w:space="0" w:color="auto"/>
              <w:bottom w:val="single" w:sz="4" w:space="0" w:color="auto"/>
            </w:tcBorders>
            <w:vAlign w:val="bottom"/>
          </w:tcPr>
          <w:p w14:paraId="214B8111" w14:textId="77777777" w:rsidR="006902CC" w:rsidRPr="00C971C6" w:rsidRDefault="006902CC" w:rsidP="006902CC">
            <w:pPr>
              <w:pStyle w:val="Tabletext"/>
              <w:rPr>
                <w:snapToGrid w:val="0"/>
              </w:rPr>
            </w:pPr>
            <w:r w:rsidRPr="00295986">
              <w:t>0</w:t>
            </w:r>
            <w:r w:rsidR="00D7157D">
              <w:t>.</w:t>
            </w:r>
            <w:r w:rsidRPr="00295986">
              <w:t>0949</w:t>
            </w:r>
          </w:p>
        </w:tc>
      </w:tr>
      <w:tr w:rsidR="006902CC" w:rsidRPr="009E2595" w14:paraId="589A1CF5" w14:textId="77777777" w:rsidTr="006902CC">
        <w:trPr>
          <w:cantSplit/>
        </w:trPr>
        <w:tc>
          <w:tcPr>
            <w:tcW w:w="1136" w:type="pct"/>
            <w:tcBorders>
              <w:top w:val="single" w:sz="4" w:space="0" w:color="auto"/>
              <w:bottom w:val="single" w:sz="4" w:space="0" w:color="auto"/>
            </w:tcBorders>
          </w:tcPr>
          <w:p w14:paraId="56552FE8" w14:textId="77777777" w:rsidR="006902CC" w:rsidRPr="00616B26" w:rsidRDefault="006902CC" w:rsidP="006902CC">
            <w:pPr>
              <w:pStyle w:val="Tabletext"/>
              <w:rPr>
                <w:snapToGrid w:val="0"/>
              </w:rPr>
            </w:pPr>
            <w:r w:rsidRPr="00616B26">
              <w:rPr>
                <w:snapToGrid w:val="0"/>
              </w:rPr>
              <w:t>83</w:t>
            </w:r>
          </w:p>
        </w:tc>
        <w:tc>
          <w:tcPr>
            <w:tcW w:w="966" w:type="pct"/>
            <w:tcBorders>
              <w:top w:val="single" w:sz="4" w:space="0" w:color="auto"/>
              <w:bottom w:val="single" w:sz="4" w:space="0" w:color="auto"/>
            </w:tcBorders>
            <w:vAlign w:val="bottom"/>
          </w:tcPr>
          <w:p w14:paraId="1D1BB1B9" w14:textId="77777777" w:rsidR="006902CC" w:rsidRPr="00C971C6" w:rsidRDefault="006902CC" w:rsidP="006902CC">
            <w:pPr>
              <w:pStyle w:val="Tabletext"/>
              <w:rPr>
                <w:snapToGrid w:val="0"/>
              </w:rPr>
            </w:pPr>
            <w:r w:rsidRPr="00295986">
              <w:t>6</w:t>
            </w:r>
            <w:r w:rsidR="00D7157D">
              <w:t>.</w:t>
            </w:r>
            <w:r w:rsidRPr="00295986">
              <w:t>1913</w:t>
            </w:r>
          </w:p>
        </w:tc>
        <w:tc>
          <w:tcPr>
            <w:tcW w:w="966" w:type="pct"/>
            <w:tcBorders>
              <w:top w:val="single" w:sz="4" w:space="0" w:color="auto"/>
              <w:bottom w:val="single" w:sz="4" w:space="0" w:color="auto"/>
            </w:tcBorders>
            <w:vAlign w:val="bottom"/>
          </w:tcPr>
          <w:p w14:paraId="4A7DC2E6" w14:textId="77777777" w:rsidR="006902CC" w:rsidRPr="00C971C6" w:rsidRDefault="006902CC" w:rsidP="006902CC">
            <w:pPr>
              <w:pStyle w:val="Tabletext"/>
              <w:rPr>
                <w:snapToGrid w:val="0"/>
              </w:rPr>
            </w:pPr>
            <w:r w:rsidRPr="00295986">
              <w:t>0</w:t>
            </w:r>
            <w:r w:rsidR="00D7157D">
              <w:t>.</w:t>
            </w:r>
            <w:r w:rsidRPr="00295986">
              <w:t>3658</w:t>
            </w:r>
          </w:p>
        </w:tc>
        <w:tc>
          <w:tcPr>
            <w:tcW w:w="966" w:type="pct"/>
            <w:tcBorders>
              <w:top w:val="single" w:sz="4" w:space="0" w:color="auto"/>
              <w:bottom w:val="single" w:sz="4" w:space="0" w:color="auto"/>
            </w:tcBorders>
            <w:vAlign w:val="bottom"/>
          </w:tcPr>
          <w:p w14:paraId="55AAD057" w14:textId="77777777" w:rsidR="006902CC" w:rsidRPr="00C971C6" w:rsidRDefault="006902CC" w:rsidP="006902CC">
            <w:pPr>
              <w:pStyle w:val="Tabletext"/>
              <w:rPr>
                <w:snapToGrid w:val="0"/>
              </w:rPr>
            </w:pPr>
            <w:r w:rsidRPr="00295986">
              <w:t>7</w:t>
            </w:r>
            <w:r w:rsidR="00D7157D">
              <w:t>.</w:t>
            </w:r>
            <w:r w:rsidRPr="00295986">
              <w:t>0033</w:t>
            </w:r>
          </w:p>
        </w:tc>
        <w:tc>
          <w:tcPr>
            <w:tcW w:w="966" w:type="pct"/>
            <w:tcBorders>
              <w:top w:val="single" w:sz="4" w:space="0" w:color="auto"/>
              <w:bottom w:val="single" w:sz="4" w:space="0" w:color="auto"/>
            </w:tcBorders>
            <w:vAlign w:val="bottom"/>
          </w:tcPr>
          <w:p w14:paraId="15076AD5" w14:textId="77777777" w:rsidR="006902CC" w:rsidRPr="00C971C6" w:rsidRDefault="006902CC" w:rsidP="006902CC">
            <w:pPr>
              <w:pStyle w:val="Tabletext"/>
              <w:rPr>
                <w:snapToGrid w:val="0"/>
              </w:rPr>
            </w:pPr>
            <w:r w:rsidRPr="00295986">
              <w:t>0</w:t>
            </w:r>
            <w:r w:rsidR="00D7157D">
              <w:t>.</w:t>
            </w:r>
            <w:r w:rsidRPr="00295986">
              <w:t>0954</w:t>
            </w:r>
          </w:p>
        </w:tc>
      </w:tr>
      <w:tr w:rsidR="006902CC" w:rsidRPr="009E2595" w14:paraId="2322259A" w14:textId="77777777" w:rsidTr="006902CC">
        <w:trPr>
          <w:cantSplit/>
        </w:trPr>
        <w:tc>
          <w:tcPr>
            <w:tcW w:w="1136" w:type="pct"/>
            <w:tcBorders>
              <w:top w:val="single" w:sz="4" w:space="0" w:color="auto"/>
              <w:bottom w:val="single" w:sz="4" w:space="0" w:color="auto"/>
            </w:tcBorders>
          </w:tcPr>
          <w:p w14:paraId="2B55C9F5" w14:textId="77777777" w:rsidR="006902CC" w:rsidRPr="00616B26" w:rsidRDefault="006902CC" w:rsidP="006902CC">
            <w:pPr>
              <w:pStyle w:val="Tabletext"/>
              <w:rPr>
                <w:snapToGrid w:val="0"/>
              </w:rPr>
            </w:pPr>
            <w:r w:rsidRPr="00616B26">
              <w:rPr>
                <w:snapToGrid w:val="0"/>
              </w:rPr>
              <w:t>84</w:t>
            </w:r>
          </w:p>
        </w:tc>
        <w:tc>
          <w:tcPr>
            <w:tcW w:w="966" w:type="pct"/>
            <w:tcBorders>
              <w:top w:val="single" w:sz="4" w:space="0" w:color="auto"/>
              <w:bottom w:val="single" w:sz="4" w:space="0" w:color="auto"/>
            </w:tcBorders>
            <w:vAlign w:val="bottom"/>
          </w:tcPr>
          <w:p w14:paraId="15318583" w14:textId="77777777" w:rsidR="006902CC" w:rsidRPr="00C971C6" w:rsidRDefault="006902CC" w:rsidP="006902CC">
            <w:pPr>
              <w:pStyle w:val="Tabletext"/>
              <w:rPr>
                <w:snapToGrid w:val="0"/>
              </w:rPr>
            </w:pPr>
            <w:r w:rsidRPr="00295986">
              <w:t>5</w:t>
            </w:r>
            <w:r w:rsidR="00D7157D">
              <w:t>.</w:t>
            </w:r>
            <w:r w:rsidRPr="00295986">
              <w:t>8311</w:t>
            </w:r>
          </w:p>
        </w:tc>
        <w:tc>
          <w:tcPr>
            <w:tcW w:w="966" w:type="pct"/>
            <w:tcBorders>
              <w:top w:val="single" w:sz="4" w:space="0" w:color="auto"/>
              <w:bottom w:val="single" w:sz="4" w:space="0" w:color="auto"/>
            </w:tcBorders>
            <w:vAlign w:val="bottom"/>
          </w:tcPr>
          <w:p w14:paraId="27DBAD56" w14:textId="77777777" w:rsidR="006902CC" w:rsidRPr="00C971C6" w:rsidRDefault="006902CC" w:rsidP="006902CC">
            <w:pPr>
              <w:pStyle w:val="Tabletext"/>
              <w:rPr>
                <w:snapToGrid w:val="0"/>
              </w:rPr>
            </w:pPr>
            <w:r w:rsidRPr="00295986">
              <w:t>0</w:t>
            </w:r>
            <w:r w:rsidR="00D7157D">
              <w:t>.</w:t>
            </w:r>
            <w:r w:rsidRPr="00295986">
              <w:t>3654</w:t>
            </w:r>
          </w:p>
        </w:tc>
        <w:tc>
          <w:tcPr>
            <w:tcW w:w="966" w:type="pct"/>
            <w:tcBorders>
              <w:top w:val="single" w:sz="4" w:space="0" w:color="auto"/>
              <w:bottom w:val="single" w:sz="4" w:space="0" w:color="auto"/>
            </w:tcBorders>
            <w:vAlign w:val="bottom"/>
          </w:tcPr>
          <w:p w14:paraId="31957F4E" w14:textId="77777777" w:rsidR="006902CC" w:rsidRPr="00C971C6" w:rsidRDefault="006902CC" w:rsidP="006902CC">
            <w:pPr>
              <w:pStyle w:val="Tabletext"/>
              <w:rPr>
                <w:snapToGrid w:val="0"/>
              </w:rPr>
            </w:pPr>
            <w:r w:rsidRPr="00295986">
              <w:t>6</w:t>
            </w:r>
            <w:r w:rsidR="00D7157D">
              <w:t>.</w:t>
            </w:r>
            <w:r w:rsidRPr="00295986">
              <w:t>6276</w:t>
            </w:r>
          </w:p>
        </w:tc>
        <w:tc>
          <w:tcPr>
            <w:tcW w:w="966" w:type="pct"/>
            <w:tcBorders>
              <w:top w:val="single" w:sz="4" w:space="0" w:color="auto"/>
              <w:bottom w:val="single" w:sz="4" w:space="0" w:color="auto"/>
            </w:tcBorders>
            <w:vAlign w:val="bottom"/>
          </w:tcPr>
          <w:p w14:paraId="4F419C9D" w14:textId="77777777" w:rsidR="006902CC" w:rsidRPr="00C971C6" w:rsidRDefault="006902CC" w:rsidP="006902CC">
            <w:pPr>
              <w:pStyle w:val="Tabletext"/>
              <w:rPr>
                <w:snapToGrid w:val="0"/>
              </w:rPr>
            </w:pPr>
            <w:r w:rsidRPr="00295986">
              <w:t>0</w:t>
            </w:r>
            <w:r w:rsidR="00D7157D">
              <w:t>.</w:t>
            </w:r>
            <w:r w:rsidRPr="00295986">
              <w:t>0956</w:t>
            </w:r>
          </w:p>
        </w:tc>
      </w:tr>
      <w:tr w:rsidR="006902CC" w:rsidRPr="009E2595" w14:paraId="210E0D0A" w14:textId="77777777" w:rsidTr="006902CC">
        <w:trPr>
          <w:cantSplit/>
        </w:trPr>
        <w:tc>
          <w:tcPr>
            <w:tcW w:w="1136" w:type="pct"/>
            <w:tcBorders>
              <w:top w:val="single" w:sz="4" w:space="0" w:color="auto"/>
              <w:bottom w:val="single" w:sz="4" w:space="0" w:color="auto"/>
            </w:tcBorders>
          </w:tcPr>
          <w:p w14:paraId="7009545E" w14:textId="77777777" w:rsidR="006902CC" w:rsidRPr="00616B26" w:rsidRDefault="006902CC" w:rsidP="006902CC">
            <w:pPr>
              <w:pStyle w:val="Tabletext"/>
              <w:rPr>
                <w:snapToGrid w:val="0"/>
              </w:rPr>
            </w:pPr>
            <w:r w:rsidRPr="00616B26">
              <w:rPr>
                <w:snapToGrid w:val="0"/>
              </w:rPr>
              <w:t>85</w:t>
            </w:r>
          </w:p>
        </w:tc>
        <w:tc>
          <w:tcPr>
            <w:tcW w:w="966" w:type="pct"/>
            <w:tcBorders>
              <w:top w:val="single" w:sz="4" w:space="0" w:color="auto"/>
              <w:bottom w:val="single" w:sz="4" w:space="0" w:color="auto"/>
            </w:tcBorders>
            <w:vAlign w:val="bottom"/>
          </w:tcPr>
          <w:p w14:paraId="30F688AB" w14:textId="77777777" w:rsidR="006902CC" w:rsidRPr="00C971C6" w:rsidRDefault="006902CC" w:rsidP="006902CC">
            <w:pPr>
              <w:pStyle w:val="Tabletext"/>
              <w:rPr>
                <w:snapToGrid w:val="0"/>
              </w:rPr>
            </w:pPr>
            <w:r w:rsidRPr="00295986">
              <w:t>5</w:t>
            </w:r>
            <w:r w:rsidR="00D7157D">
              <w:t>.</w:t>
            </w:r>
            <w:r w:rsidRPr="00295986">
              <w:t>4799</w:t>
            </w:r>
          </w:p>
        </w:tc>
        <w:tc>
          <w:tcPr>
            <w:tcW w:w="966" w:type="pct"/>
            <w:tcBorders>
              <w:top w:val="single" w:sz="4" w:space="0" w:color="auto"/>
              <w:bottom w:val="single" w:sz="4" w:space="0" w:color="auto"/>
            </w:tcBorders>
            <w:vAlign w:val="bottom"/>
          </w:tcPr>
          <w:p w14:paraId="7CE5DEF6" w14:textId="77777777" w:rsidR="006902CC" w:rsidRPr="00C971C6" w:rsidRDefault="006902CC" w:rsidP="006902CC">
            <w:pPr>
              <w:pStyle w:val="Tabletext"/>
              <w:rPr>
                <w:snapToGrid w:val="0"/>
              </w:rPr>
            </w:pPr>
            <w:r w:rsidRPr="00295986">
              <w:t>0</w:t>
            </w:r>
            <w:r w:rsidR="00D7157D">
              <w:t>.</w:t>
            </w:r>
            <w:r w:rsidRPr="00295986">
              <w:t>3635</w:t>
            </w:r>
          </w:p>
        </w:tc>
        <w:tc>
          <w:tcPr>
            <w:tcW w:w="966" w:type="pct"/>
            <w:tcBorders>
              <w:top w:val="single" w:sz="4" w:space="0" w:color="auto"/>
              <w:bottom w:val="single" w:sz="4" w:space="0" w:color="auto"/>
            </w:tcBorders>
            <w:vAlign w:val="bottom"/>
          </w:tcPr>
          <w:p w14:paraId="19A77137" w14:textId="77777777" w:rsidR="006902CC" w:rsidRPr="00C971C6" w:rsidRDefault="006902CC" w:rsidP="006902CC">
            <w:pPr>
              <w:pStyle w:val="Tabletext"/>
              <w:rPr>
                <w:snapToGrid w:val="0"/>
              </w:rPr>
            </w:pPr>
            <w:r w:rsidRPr="00295986">
              <w:t>6</w:t>
            </w:r>
            <w:r w:rsidR="00D7157D">
              <w:t>.</w:t>
            </w:r>
            <w:r w:rsidRPr="00295986">
              <w:t>2517</w:t>
            </w:r>
          </w:p>
        </w:tc>
        <w:tc>
          <w:tcPr>
            <w:tcW w:w="966" w:type="pct"/>
            <w:tcBorders>
              <w:top w:val="single" w:sz="4" w:space="0" w:color="auto"/>
              <w:bottom w:val="single" w:sz="4" w:space="0" w:color="auto"/>
            </w:tcBorders>
            <w:vAlign w:val="bottom"/>
          </w:tcPr>
          <w:p w14:paraId="47AF098C" w14:textId="77777777" w:rsidR="006902CC" w:rsidRPr="00C971C6" w:rsidRDefault="006902CC" w:rsidP="006902CC">
            <w:pPr>
              <w:pStyle w:val="Tabletext"/>
              <w:rPr>
                <w:snapToGrid w:val="0"/>
              </w:rPr>
            </w:pPr>
            <w:r w:rsidRPr="00295986">
              <w:t>0</w:t>
            </w:r>
            <w:r w:rsidR="00D7157D">
              <w:t>.</w:t>
            </w:r>
            <w:r w:rsidRPr="00295986">
              <w:t>0956</w:t>
            </w:r>
          </w:p>
        </w:tc>
      </w:tr>
      <w:tr w:rsidR="006902CC" w:rsidRPr="009E2595" w14:paraId="186120A0" w14:textId="77777777" w:rsidTr="006902CC">
        <w:trPr>
          <w:cantSplit/>
        </w:trPr>
        <w:tc>
          <w:tcPr>
            <w:tcW w:w="1136" w:type="pct"/>
            <w:tcBorders>
              <w:top w:val="single" w:sz="4" w:space="0" w:color="auto"/>
              <w:bottom w:val="single" w:sz="4" w:space="0" w:color="auto"/>
            </w:tcBorders>
          </w:tcPr>
          <w:p w14:paraId="3316EF8E" w14:textId="77777777" w:rsidR="006902CC" w:rsidRPr="00616B26" w:rsidRDefault="006902CC" w:rsidP="006902CC">
            <w:pPr>
              <w:pStyle w:val="Tabletext"/>
              <w:rPr>
                <w:snapToGrid w:val="0"/>
              </w:rPr>
            </w:pPr>
            <w:r w:rsidRPr="00616B26">
              <w:rPr>
                <w:snapToGrid w:val="0"/>
              </w:rPr>
              <w:t>86</w:t>
            </w:r>
          </w:p>
        </w:tc>
        <w:tc>
          <w:tcPr>
            <w:tcW w:w="966" w:type="pct"/>
            <w:tcBorders>
              <w:top w:val="single" w:sz="4" w:space="0" w:color="auto"/>
              <w:bottom w:val="single" w:sz="4" w:space="0" w:color="auto"/>
            </w:tcBorders>
            <w:vAlign w:val="bottom"/>
          </w:tcPr>
          <w:p w14:paraId="11F0F9E6" w14:textId="77777777" w:rsidR="006902CC" w:rsidRPr="00C971C6" w:rsidRDefault="006902CC" w:rsidP="006902CC">
            <w:pPr>
              <w:pStyle w:val="Tabletext"/>
              <w:rPr>
                <w:snapToGrid w:val="0"/>
              </w:rPr>
            </w:pPr>
            <w:r w:rsidRPr="00295986">
              <w:t>5</w:t>
            </w:r>
            <w:r w:rsidR="00D7157D">
              <w:t>.</w:t>
            </w:r>
            <w:r w:rsidRPr="00295986">
              <w:t>1407</w:t>
            </w:r>
          </w:p>
        </w:tc>
        <w:tc>
          <w:tcPr>
            <w:tcW w:w="966" w:type="pct"/>
            <w:tcBorders>
              <w:top w:val="single" w:sz="4" w:space="0" w:color="auto"/>
              <w:bottom w:val="single" w:sz="4" w:space="0" w:color="auto"/>
            </w:tcBorders>
            <w:vAlign w:val="bottom"/>
          </w:tcPr>
          <w:p w14:paraId="64AFA1D4" w14:textId="77777777" w:rsidR="006902CC" w:rsidRPr="00C971C6" w:rsidRDefault="006902CC" w:rsidP="006902CC">
            <w:pPr>
              <w:pStyle w:val="Tabletext"/>
              <w:rPr>
                <w:snapToGrid w:val="0"/>
              </w:rPr>
            </w:pPr>
            <w:r w:rsidRPr="00295986">
              <w:t>0</w:t>
            </w:r>
            <w:r w:rsidR="00D7157D">
              <w:t>.</w:t>
            </w:r>
            <w:r w:rsidRPr="00295986">
              <w:t>3599</w:t>
            </w:r>
          </w:p>
        </w:tc>
        <w:tc>
          <w:tcPr>
            <w:tcW w:w="966" w:type="pct"/>
            <w:tcBorders>
              <w:top w:val="single" w:sz="4" w:space="0" w:color="auto"/>
              <w:bottom w:val="single" w:sz="4" w:space="0" w:color="auto"/>
            </w:tcBorders>
            <w:vAlign w:val="bottom"/>
          </w:tcPr>
          <w:p w14:paraId="40E02179" w14:textId="77777777" w:rsidR="006902CC" w:rsidRPr="00C971C6" w:rsidRDefault="006902CC" w:rsidP="006902CC">
            <w:pPr>
              <w:pStyle w:val="Tabletext"/>
              <w:rPr>
                <w:snapToGrid w:val="0"/>
              </w:rPr>
            </w:pPr>
            <w:r w:rsidRPr="00295986">
              <w:t>5</w:t>
            </w:r>
            <w:r w:rsidR="00D7157D">
              <w:t>.</w:t>
            </w:r>
            <w:r w:rsidRPr="00295986">
              <w:t>8747</w:t>
            </w:r>
          </w:p>
        </w:tc>
        <w:tc>
          <w:tcPr>
            <w:tcW w:w="966" w:type="pct"/>
            <w:tcBorders>
              <w:top w:val="single" w:sz="4" w:space="0" w:color="auto"/>
              <w:bottom w:val="single" w:sz="4" w:space="0" w:color="auto"/>
            </w:tcBorders>
            <w:vAlign w:val="bottom"/>
          </w:tcPr>
          <w:p w14:paraId="71710887" w14:textId="77777777" w:rsidR="006902CC" w:rsidRPr="00C971C6" w:rsidRDefault="006902CC" w:rsidP="006902CC">
            <w:pPr>
              <w:pStyle w:val="Tabletext"/>
              <w:rPr>
                <w:snapToGrid w:val="0"/>
              </w:rPr>
            </w:pPr>
            <w:r w:rsidRPr="00295986">
              <w:t>0</w:t>
            </w:r>
            <w:r w:rsidR="00D7157D">
              <w:t>.</w:t>
            </w:r>
            <w:r w:rsidRPr="00295986">
              <w:t>0955</w:t>
            </w:r>
          </w:p>
        </w:tc>
      </w:tr>
      <w:tr w:rsidR="006902CC" w:rsidRPr="009E2595" w14:paraId="29D763FE" w14:textId="77777777" w:rsidTr="006902CC">
        <w:trPr>
          <w:cantSplit/>
        </w:trPr>
        <w:tc>
          <w:tcPr>
            <w:tcW w:w="1136" w:type="pct"/>
            <w:tcBorders>
              <w:top w:val="single" w:sz="4" w:space="0" w:color="auto"/>
              <w:bottom w:val="single" w:sz="4" w:space="0" w:color="auto"/>
            </w:tcBorders>
          </w:tcPr>
          <w:p w14:paraId="612D5E15" w14:textId="77777777" w:rsidR="006902CC" w:rsidRPr="00616B26" w:rsidRDefault="006902CC" w:rsidP="006902CC">
            <w:pPr>
              <w:pStyle w:val="Tabletext"/>
              <w:rPr>
                <w:snapToGrid w:val="0"/>
              </w:rPr>
            </w:pPr>
            <w:r w:rsidRPr="00616B26">
              <w:rPr>
                <w:snapToGrid w:val="0"/>
              </w:rPr>
              <w:t>87</w:t>
            </w:r>
          </w:p>
        </w:tc>
        <w:tc>
          <w:tcPr>
            <w:tcW w:w="966" w:type="pct"/>
            <w:tcBorders>
              <w:top w:val="single" w:sz="4" w:space="0" w:color="auto"/>
              <w:bottom w:val="single" w:sz="4" w:space="0" w:color="auto"/>
            </w:tcBorders>
            <w:vAlign w:val="bottom"/>
          </w:tcPr>
          <w:p w14:paraId="247F422B" w14:textId="77777777" w:rsidR="006902CC" w:rsidRPr="00C971C6" w:rsidRDefault="006902CC" w:rsidP="006902CC">
            <w:pPr>
              <w:pStyle w:val="Tabletext"/>
              <w:rPr>
                <w:snapToGrid w:val="0"/>
              </w:rPr>
            </w:pPr>
            <w:r w:rsidRPr="00295986">
              <w:t>4</w:t>
            </w:r>
            <w:r w:rsidR="00D7157D">
              <w:t>.</w:t>
            </w:r>
            <w:r w:rsidRPr="00295986">
              <w:t>8134</w:t>
            </w:r>
          </w:p>
        </w:tc>
        <w:tc>
          <w:tcPr>
            <w:tcW w:w="966" w:type="pct"/>
            <w:tcBorders>
              <w:top w:val="single" w:sz="4" w:space="0" w:color="auto"/>
              <w:bottom w:val="single" w:sz="4" w:space="0" w:color="auto"/>
            </w:tcBorders>
            <w:vAlign w:val="bottom"/>
          </w:tcPr>
          <w:p w14:paraId="411A2CBC" w14:textId="77777777" w:rsidR="006902CC" w:rsidRPr="00C971C6" w:rsidRDefault="006902CC" w:rsidP="006902CC">
            <w:pPr>
              <w:pStyle w:val="Tabletext"/>
              <w:rPr>
                <w:snapToGrid w:val="0"/>
              </w:rPr>
            </w:pPr>
            <w:r w:rsidRPr="00295986">
              <w:t>0</w:t>
            </w:r>
            <w:r w:rsidR="00D7157D">
              <w:t>.</w:t>
            </w:r>
            <w:r w:rsidRPr="00295986">
              <w:t>3549</w:t>
            </w:r>
          </w:p>
        </w:tc>
        <w:tc>
          <w:tcPr>
            <w:tcW w:w="966" w:type="pct"/>
            <w:tcBorders>
              <w:top w:val="single" w:sz="4" w:space="0" w:color="auto"/>
              <w:bottom w:val="single" w:sz="4" w:space="0" w:color="auto"/>
            </w:tcBorders>
            <w:vAlign w:val="bottom"/>
          </w:tcPr>
          <w:p w14:paraId="2432FC38" w14:textId="77777777" w:rsidR="006902CC" w:rsidRPr="00C971C6" w:rsidRDefault="006902CC" w:rsidP="006902CC">
            <w:pPr>
              <w:pStyle w:val="Tabletext"/>
              <w:rPr>
                <w:snapToGrid w:val="0"/>
              </w:rPr>
            </w:pPr>
            <w:r w:rsidRPr="00295986">
              <w:t>5</w:t>
            </w:r>
            <w:r w:rsidR="00D7157D">
              <w:t>.</w:t>
            </w:r>
            <w:r w:rsidRPr="00295986">
              <w:t>5060</w:t>
            </w:r>
          </w:p>
        </w:tc>
        <w:tc>
          <w:tcPr>
            <w:tcW w:w="966" w:type="pct"/>
            <w:tcBorders>
              <w:top w:val="single" w:sz="4" w:space="0" w:color="auto"/>
              <w:bottom w:val="single" w:sz="4" w:space="0" w:color="auto"/>
            </w:tcBorders>
            <w:vAlign w:val="bottom"/>
          </w:tcPr>
          <w:p w14:paraId="5302B49A" w14:textId="77777777" w:rsidR="006902CC" w:rsidRPr="00C971C6" w:rsidRDefault="006902CC" w:rsidP="006902CC">
            <w:pPr>
              <w:pStyle w:val="Tabletext"/>
              <w:rPr>
                <w:snapToGrid w:val="0"/>
              </w:rPr>
            </w:pPr>
            <w:r w:rsidRPr="00295986">
              <w:t>0</w:t>
            </w:r>
            <w:r w:rsidR="00D7157D">
              <w:t>.</w:t>
            </w:r>
            <w:r w:rsidRPr="00295986">
              <w:t>0952</w:t>
            </w:r>
          </w:p>
        </w:tc>
      </w:tr>
      <w:tr w:rsidR="006902CC" w:rsidRPr="009E2595" w14:paraId="326CBA69" w14:textId="77777777" w:rsidTr="006902CC">
        <w:trPr>
          <w:cantSplit/>
        </w:trPr>
        <w:tc>
          <w:tcPr>
            <w:tcW w:w="1136" w:type="pct"/>
            <w:tcBorders>
              <w:top w:val="single" w:sz="4" w:space="0" w:color="auto"/>
              <w:bottom w:val="single" w:sz="4" w:space="0" w:color="auto"/>
            </w:tcBorders>
          </w:tcPr>
          <w:p w14:paraId="4723DE44" w14:textId="77777777" w:rsidR="006902CC" w:rsidRPr="00616B26" w:rsidRDefault="006902CC" w:rsidP="006902CC">
            <w:pPr>
              <w:pStyle w:val="Tabletext"/>
              <w:rPr>
                <w:snapToGrid w:val="0"/>
              </w:rPr>
            </w:pPr>
            <w:r w:rsidRPr="00616B26">
              <w:rPr>
                <w:snapToGrid w:val="0"/>
              </w:rPr>
              <w:t>88</w:t>
            </w:r>
          </w:p>
        </w:tc>
        <w:tc>
          <w:tcPr>
            <w:tcW w:w="966" w:type="pct"/>
            <w:tcBorders>
              <w:top w:val="single" w:sz="4" w:space="0" w:color="auto"/>
              <w:bottom w:val="single" w:sz="4" w:space="0" w:color="auto"/>
            </w:tcBorders>
            <w:vAlign w:val="bottom"/>
          </w:tcPr>
          <w:p w14:paraId="4612AC1F" w14:textId="77777777" w:rsidR="006902CC" w:rsidRPr="00C971C6" w:rsidRDefault="006902CC" w:rsidP="006902CC">
            <w:pPr>
              <w:pStyle w:val="Tabletext"/>
              <w:rPr>
                <w:snapToGrid w:val="0"/>
              </w:rPr>
            </w:pPr>
            <w:r w:rsidRPr="00295986">
              <w:t>4</w:t>
            </w:r>
            <w:r w:rsidR="00D7157D">
              <w:t>.</w:t>
            </w:r>
            <w:r w:rsidRPr="00295986">
              <w:t>4983</w:t>
            </w:r>
          </w:p>
        </w:tc>
        <w:tc>
          <w:tcPr>
            <w:tcW w:w="966" w:type="pct"/>
            <w:tcBorders>
              <w:top w:val="single" w:sz="4" w:space="0" w:color="auto"/>
              <w:bottom w:val="single" w:sz="4" w:space="0" w:color="auto"/>
            </w:tcBorders>
            <w:vAlign w:val="bottom"/>
          </w:tcPr>
          <w:p w14:paraId="5561FDCC" w14:textId="77777777" w:rsidR="006902CC" w:rsidRPr="00C971C6" w:rsidRDefault="006902CC" w:rsidP="006902CC">
            <w:pPr>
              <w:pStyle w:val="Tabletext"/>
              <w:rPr>
                <w:snapToGrid w:val="0"/>
              </w:rPr>
            </w:pPr>
            <w:r w:rsidRPr="00295986">
              <w:t>0</w:t>
            </w:r>
            <w:r w:rsidR="00D7157D">
              <w:t>.</w:t>
            </w:r>
            <w:r w:rsidRPr="00295986">
              <w:t>3486</w:t>
            </w:r>
          </w:p>
        </w:tc>
        <w:tc>
          <w:tcPr>
            <w:tcW w:w="966" w:type="pct"/>
            <w:tcBorders>
              <w:top w:val="single" w:sz="4" w:space="0" w:color="auto"/>
              <w:bottom w:val="single" w:sz="4" w:space="0" w:color="auto"/>
            </w:tcBorders>
            <w:vAlign w:val="bottom"/>
          </w:tcPr>
          <w:p w14:paraId="2B526177" w14:textId="77777777" w:rsidR="006902CC" w:rsidRPr="00C971C6" w:rsidRDefault="006902CC" w:rsidP="006902CC">
            <w:pPr>
              <w:pStyle w:val="Tabletext"/>
              <w:rPr>
                <w:snapToGrid w:val="0"/>
              </w:rPr>
            </w:pPr>
            <w:r w:rsidRPr="00295986">
              <w:t>5</w:t>
            </w:r>
            <w:r w:rsidR="00D7157D">
              <w:t>.</w:t>
            </w:r>
            <w:r w:rsidRPr="00295986">
              <w:t>1506</w:t>
            </w:r>
          </w:p>
        </w:tc>
        <w:tc>
          <w:tcPr>
            <w:tcW w:w="966" w:type="pct"/>
            <w:tcBorders>
              <w:top w:val="single" w:sz="4" w:space="0" w:color="auto"/>
              <w:bottom w:val="single" w:sz="4" w:space="0" w:color="auto"/>
            </w:tcBorders>
            <w:vAlign w:val="bottom"/>
          </w:tcPr>
          <w:p w14:paraId="1271CA5B" w14:textId="77777777" w:rsidR="006902CC" w:rsidRPr="00C971C6" w:rsidRDefault="006902CC" w:rsidP="006902CC">
            <w:pPr>
              <w:pStyle w:val="Tabletext"/>
              <w:rPr>
                <w:snapToGrid w:val="0"/>
              </w:rPr>
            </w:pPr>
            <w:r w:rsidRPr="00295986">
              <w:t>0</w:t>
            </w:r>
            <w:r w:rsidR="00D7157D">
              <w:t>.</w:t>
            </w:r>
            <w:r w:rsidRPr="00295986">
              <w:t>0946</w:t>
            </w:r>
          </w:p>
        </w:tc>
      </w:tr>
      <w:tr w:rsidR="006902CC" w:rsidRPr="009E2595" w14:paraId="7E94217B" w14:textId="77777777" w:rsidTr="006902CC">
        <w:trPr>
          <w:cantSplit/>
        </w:trPr>
        <w:tc>
          <w:tcPr>
            <w:tcW w:w="1136" w:type="pct"/>
            <w:tcBorders>
              <w:top w:val="single" w:sz="4" w:space="0" w:color="auto"/>
              <w:bottom w:val="single" w:sz="4" w:space="0" w:color="auto"/>
            </w:tcBorders>
          </w:tcPr>
          <w:p w14:paraId="10380E36" w14:textId="77777777" w:rsidR="006902CC" w:rsidRPr="00616B26" w:rsidRDefault="006902CC" w:rsidP="006902CC">
            <w:pPr>
              <w:pStyle w:val="Tabletext"/>
              <w:rPr>
                <w:snapToGrid w:val="0"/>
              </w:rPr>
            </w:pPr>
            <w:r w:rsidRPr="00616B26">
              <w:rPr>
                <w:snapToGrid w:val="0"/>
              </w:rPr>
              <w:t>89</w:t>
            </w:r>
          </w:p>
        </w:tc>
        <w:tc>
          <w:tcPr>
            <w:tcW w:w="966" w:type="pct"/>
            <w:tcBorders>
              <w:top w:val="single" w:sz="4" w:space="0" w:color="auto"/>
              <w:bottom w:val="single" w:sz="4" w:space="0" w:color="auto"/>
            </w:tcBorders>
            <w:vAlign w:val="bottom"/>
          </w:tcPr>
          <w:p w14:paraId="5185ECB5" w14:textId="77777777" w:rsidR="006902CC" w:rsidRPr="00C971C6" w:rsidRDefault="006902CC" w:rsidP="006902CC">
            <w:pPr>
              <w:pStyle w:val="Tabletext"/>
              <w:rPr>
                <w:snapToGrid w:val="0"/>
              </w:rPr>
            </w:pPr>
            <w:r w:rsidRPr="00295986">
              <w:t>4</w:t>
            </w:r>
            <w:r w:rsidR="00D7157D">
              <w:t>.</w:t>
            </w:r>
            <w:r w:rsidRPr="00295986">
              <w:t>2005</w:t>
            </w:r>
          </w:p>
        </w:tc>
        <w:tc>
          <w:tcPr>
            <w:tcW w:w="966" w:type="pct"/>
            <w:tcBorders>
              <w:top w:val="single" w:sz="4" w:space="0" w:color="auto"/>
              <w:bottom w:val="single" w:sz="4" w:space="0" w:color="auto"/>
            </w:tcBorders>
            <w:vAlign w:val="bottom"/>
          </w:tcPr>
          <w:p w14:paraId="19D6B359" w14:textId="77777777" w:rsidR="006902CC" w:rsidRPr="00C971C6" w:rsidRDefault="006902CC" w:rsidP="006902CC">
            <w:pPr>
              <w:pStyle w:val="Tabletext"/>
              <w:rPr>
                <w:snapToGrid w:val="0"/>
              </w:rPr>
            </w:pPr>
            <w:r w:rsidRPr="00295986">
              <w:t>0</w:t>
            </w:r>
            <w:r w:rsidR="00D7157D">
              <w:t>.</w:t>
            </w:r>
            <w:r w:rsidRPr="00295986">
              <w:t>3408</w:t>
            </w:r>
          </w:p>
        </w:tc>
        <w:tc>
          <w:tcPr>
            <w:tcW w:w="966" w:type="pct"/>
            <w:tcBorders>
              <w:top w:val="single" w:sz="4" w:space="0" w:color="auto"/>
              <w:bottom w:val="single" w:sz="4" w:space="0" w:color="auto"/>
            </w:tcBorders>
            <w:vAlign w:val="bottom"/>
          </w:tcPr>
          <w:p w14:paraId="5CAB1DC5" w14:textId="77777777" w:rsidR="006902CC" w:rsidRPr="00C971C6" w:rsidRDefault="006902CC" w:rsidP="006902CC">
            <w:pPr>
              <w:pStyle w:val="Tabletext"/>
              <w:rPr>
                <w:snapToGrid w:val="0"/>
              </w:rPr>
            </w:pPr>
            <w:r w:rsidRPr="00295986">
              <w:t>4</w:t>
            </w:r>
            <w:r w:rsidR="00D7157D">
              <w:t>.</w:t>
            </w:r>
            <w:r w:rsidRPr="00295986">
              <w:t>8149</w:t>
            </w:r>
          </w:p>
        </w:tc>
        <w:tc>
          <w:tcPr>
            <w:tcW w:w="966" w:type="pct"/>
            <w:tcBorders>
              <w:top w:val="single" w:sz="4" w:space="0" w:color="auto"/>
              <w:bottom w:val="single" w:sz="4" w:space="0" w:color="auto"/>
            </w:tcBorders>
            <w:vAlign w:val="bottom"/>
          </w:tcPr>
          <w:p w14:paraId="2BA1F080" w14:textId="77777777" w:rsidR="006902CC" w:rsidRPr="00C971C6" w:rsidRDefault="006902CC" w:rsidP="006902CC">
            <w:pPr>
              <w:pStyle w:val="Tabletext"/>
              <w:rPr>
                <w:snapToGrid w:val="0"/>
              </w:rPr>
            </w:pPr>
            <w:r w:rsidRPr="00295986">
              <w:t>0</w:t>
            </w:r>
            <w:r w:rsidR="00D7157D">
              <w:t>.</w:t>
            </w:r>
            <w:r w:rsidRPr="00295986">
              <w:t>0938</w:t>
            </w:r>
          </w:p>
        </w:tc>
      </w:tr>
      <w:tr w:rsidR="006902CC" w:rsidRPr="009E2595" w14:paraId="722E2100" w14:textId="77777777" w:rsidTr="006902CC">
        <w:trPr>
          <w:cantSplit/>
        </w:trPr>
        <w:tc>
          <w:tcPr>
            <w:tcW w:w="1136" w:type="pct"/>
            <w:tcBorders>
              <w:top w:val="single" w:sz="4" w:space="0" w:color="auto"/>
              <w:bottom w:val="single" w:sz="4" w:space="0" w:color="auto"/>
            </w:tcBorders>
          </w:tcPr>
          <w:p w14:paraId="13D57ABA" w14:textId="77777777" w:rsidR="006902CC" w:rsidRPr="00616B26" w:rsidRDefault="006902CC" w:rsidP="006902CC">
            <w:pPr>
              <w:pStyle w:val="Tabletext"/>
              <w:rPr>
                <w:snapToGrid w:val="0"/>
              </w:rPr>
            </w:pPr>
            <w:r w:rsidRPr="00616B26">
              <w:rPr>
                <w:snapToGrid w:val="0"/>
              </w:rPr>
              <w:t>90</w:t>
            </w:r>
          </w:p>
        </w:tc>
        <w:tc>
          <w:tcPr>
            <w:tcW w:w="966" w:type="pct"/>
            <w:tcBorders>
              <w:top w:val="single" w:sz="4" w:space="0" w:color="auto"/>
              <w:bottom w:val="single" w:sz="4" w:space="0" w:color="auto"/>
            </w:tcBorders>
            <w:vAlign w:val="bottom"/>
          </w:tcPr>
          <w:p w14:paraId="7FD1DB9A" w14:textId="77777777" w:rsidR="006902CC" w:rsidRPr="00C971C6" w:rsidRDefault="006902CC" w:rsidP="006902CC">
            <w:pPr>
              <w:pStyle w:val="Tabletext"/>
              <w:rPr>
                <w:snapToGrid w:val="0"/>
              </w:rPr>
            </w:pPr>
            <w:r w:rsidRPr="00295986">
              <w:t>3</w:t>
            </w:r>
            <w:r w:rsidR="00D7157D">
              <w:t>.</w:t>
            </w:r>
            <w:r w:rsidRPr="00295986">
              <w:t>9182</w:t>
            </w:r>
          </w:p>
        </w:tc>
        <w:tc>
          <w:tcPr>
            <w:tcW w:w="966" w:type="pct"/>
            <w:tcBorders>
              <w:top w:val="single" w:sz="4" w:space="0" w:color="auto"/>
              <w:bottom w:val="single" w:sz="4" w:space="0" w:color="auto"/>
            </w:tcBorders>
            <w:vAlign w:val="bottom"/>
          </w:tcPr>
          <w:p w14:paraId="30E29F54" w14:textId="77777777" w:rsidR="006902CC" w:rsidRPr="00C971C6" w:rsidRDefault="006902CC" w:rsidP="006902CC">
            <w:pPr>
              <w:pStyle w:val="Tabletext"/>
              <w:rPr>
                <w:snapToGrid w:val="0"/>
              </w:rPr>
            </w:pPr>
            <w:r w:rsidRPr="00295986">
              <w:t>0</w:t>
            </w:r>
            <w:r w:rsidR="00D7157D">
              <w:t>.</w:t>
            </w:r>
            <w:r w:rsidRPr="00295986">
              <w:t>3320</w:t>
            </w:r>
          </w:p>
        </w:tc>
        <w:tc>
          <w:tcPr>
            <w:tcW w:w="966" w:type="pct"/>
            <w:tcBorders>
              <w:top w:val="single" w:sz="4" w:space="0" w:color="auto"/>
              <w:bottom w:val="single" w:sz="4" w:space="0" w:color="auto"/>
            </w:tcBorders>
            <w:vAlign w:val="bottom"/>
          </w:tcPr>
          <w:p w14:paraId="01072114" w14:textId="77777777" w:rsidR="006902CC" w:rsidRPr="00C971C6" w:rsidRDefault="006902CC" w:rsidP="006902CC">
            <w:pPr>
              <w:pStyle w:val="Tabletext"/>
              <w:rPr>
                <w:snapToGrid w:val="0"/>
              </w:rPr>
            </w:pPr>
            <w:r w:rsidRPr="00295986">
              <w:t>4</w:t>
            </w:r>
            <w:r w:rsidR="00D7157D">
              <w:t>.</w:t>
            </w:r>
            <w:r w:rsidRPr="00295986">
              <w:t>5174</w:t>
            </w:r>
          </w:p>
        </w:tc>
        <w:tc>
          <w:tcPr>
            <w:tcW w:w="966" w:type="pct"/>
            <w:tcBorders>
              <w:top w:val="single" w:sz="4" w:space="0" w:color="auto"/>
              <w:bottom w:val="single" w:sz="4" w:space="0" w:color="auto"/>
            </w:tcBorders>
            <w:vAlign w:val="bottom"/>
          </w:tcPr>
          <w:p w14:paraId="098C9B4A" w14:textId="77777777" w:rsidR="006902CC" w:rsidRPr="00C971C6" w:rsidRDefault="006902CC" w:rsidP="006902CC">
            <w:pPr>
              <w:pStyle w:val="Tabletext"/>
              <w:rPr>
                <w:snapToGrid w:val="0"/>
              </w:rPr>
            </w:pPr>
            <w:r w:rsidRPr="00295986">
              <w:t>0</w:t>
            </w:r>
            <w:r w:rsidR="00D7157D">
              <w:t>.</w:t>
            </w:r>
            <w:r w:rsidRPr="00295986">
              <w:t>0923</w:t>
            </w:r>
          </w:p>
        </w:tc>
      </w:tr>
      <w:tr w:rsidR="006902CC" w:rsidRPr="009E2595" w14:paraId="3DECAC16" w14:textId="77777777" w:rsidTr="006902CC">
        <w:trPr>
          <w:cantSplit/>
        </w:trPr>
        <w:tc>
          <w:tcPr>
            <w:tcW w:w="1136" w:type="pct"/>
            <w:tcBorders>
              <w:top w:val="single" w:sz="4" w:space="0" w:color="auto"/>
              <w:bottom w:val="single" w:sz="4" w:space="0" w:color="auto"/>
            </w:tcBorders>
          </w:tcPr>
          <w:p w14:paraId="6EB4EE67" w14:textId="77777777" w:rsidR="006902CC" w:rsidRPr="00616B26" w:rsidRDefault="006902CC" w:rsidP="006902CC">
            <w:pPr>
              <w:pStyle w:val="Tabletext"/>
              <w:rPr>
                <w:snapToGrid w:val="0"/>
              </w:rPr>
            </w:pPr>
            <w:r w:rsidRPr="00616B26">
              <w:rPr>
                <w:snapToGrid w:val="0"/>
              </w:rPr>
              <w:t>91</w:t>
            </w:r>
          </w:p>
        </w:tc>
        <w:tc>
          <w:tcPr>
            <w:tcW w:w="966" w:type="pct"/>
            <w:tcBorders>
              <w:top w:val="single" w:sz="4" w:space="0" w:color="auto"/>
              <w:bottom w:val="single" w:sz="4" w:space="0" w:color="auto"/>
            </w:tcBorders>
            <w:vAlign w:val="bottom"/>
          </w:tcPr>
          <w:p w14:paraId="2E2ACF25" w14:textId="77777777" w:rsidR="006902CC" w:rsidRPr="00C971C6" w:rsidRDefault="006902CC" w:rsidP="006902CC">
            <w:pPr>
              <w:pStyle w:val="Tabletext"/>
              <w:rPr>
                <w:snapToGrid w:val="0"/>
              </w:rPr>
            </w:pPr>
            <w:r w:rsidRPr="00295986">
              <w:t>3</w:t>
            </w:r>
            <w:r w:rsidR="00D7157D">
              <w:t>.</w:t>
            </w:r>
            <w:r w:rsidRPr="00295986">
              <w:t>6605</w:t>
            </w:r>
          </w:p>
        </w:tc>
        <w:tc>
          <w:tcPr>
            <w:tcW w:w="966" w:type="pct"/>
            <w:tcBorders>
              <w:top w:val="single" w:sz="4" w:space="0" w:color="auto"/>
              <w:bottom w:val="single" w:sz="4" w:space="0" w:color="auto"/>
            </w:tcBorders>
            <w:vAlign w:val="bottom"/>
          </w:tcPr>
          <w:p w14:paraId="3B597D4F" w14:textId="77777777" w:rsidR="006902CC" w:rsidRPr="00C971C6" w:rsidRDefault="006902CC" w:rsidP="006902CC">
            <w:pPr>
              <w:pStyle w:val="Tabletext"/>
              <w:rPr>
                <w:snapToGrid w:val="0"/>
              </w:rPr>
            </w:pPr>
            <w:r w:rsidRPr="00295986">
              <w:t>0</w:t>
            </w:r>
            <w:r w:rsidR="00D7157D">
              <w:t>.</w:t>
            </w:r>
            <w:r w:rsidRPr="00295986">
              <w:t>3220</w:t>
            </w:r>
          </w:p>
        </w:tc>
        <w:tc>
          <w:tcPr>
            <w:tcW w:w="966" w:type="pct"/>
            <w:tcBorders>
              <w:top w:val="single" w:sz="4" w:space="0" w:color="auto"/>
              <w:bottom w:val="single" w:sz="4" w:space="0" w:color="auto"/>
            </w:tcBorders>
            <w:vAlign w:val="bottom"/>
          </w:tcPr>
          <w:p w14:paraId="73290262" w14:textId="77777777" w:rsidR="006902CC" w:rsidRPr="00C971C6" w:rsidRDefault="006902CC" w:rsidP="006902CC">
            <w:pPr>
              <w:pStyle w:val="Tabletext"/>
              <w:rPr>
                <w:snapToGrid w:val="0"/>
              </w:rPr>
            </w:pPr>
            <w:r w:rsidRPr="00295986">
              <w:t>4</w:t>
            </w:r>
            <w:r w:rsidR="00D7157D">
              <w:t>.</w:t>
            </w:r>
            <w:r w:rsidRPr="00295986">
              <w:t>2402</w:t>
            </w:r>
          </w:p>
        </w:tc>
        <w:tc>
          <w:tcPr>
            <w:tcW w:w="966" w:type="pct"/>
            <w:tcBorders>
              <w:top w:val="single" w:sz="4" w:space="0" w:color="auto"/>
              <w:bottom w:val="single" w:sz="4" w:space="0" w:color="auto"/>
            </w:tcBorders>
            <w:vAlign w:val="bottom"/>
          </w:tcPr>
          <w:p w14:paraId="074D5CC5" w14:textId="77777777" w:rsidR="006902CC" w:rsidRPr="00C971C6" w:rsidRDefault="006902CC" w:rsidP="006902CC">
            <w:pPr>
              <w:pStyle w:val="Tabletext"/>
              <w:rPr>
                <w:snapToGrid w:val="0"/>
              </w:rPr>
            </w:pPr>
            <w:r w:rsidRPr="00295986">
              <w:t>0</w:t>
            </w:r>
            <w:r w:rsidR="00D7157D">
              <w:t>.</w:t>
            </w:r>
            <w:r w:rsidRPr="00295986">
              <w:t>0907</w:t>
            </w:r>
          </w:p>
        </w:tc>
      </w:tr>
      <w:tr w:rsidR="006902CC" w:rsidRPr="009E2595" w14:paraId="35D01D24" w14:textId="77777777" w:rsidTr="006902CC">
        <w:trPr>
          <w:cantSplit/>
        </w:trPr>
        <w:tc>
          <w:tcPr>
            <w:tcW w:w="1136" w:type="pct"/>
            <w:tcBorders>
              <w:top w:val="single" w:sz="4" w:space="0" w:color="auto"/>
              <w:bottom w:val="single" w:sz="4" w:space="0" w:color="auto"/>
            </w:tcBorders>
          </w:tcPr>
          <w:p w14:paraId="3B929C83" w14:textId="77777777" w:rsidR="006902CC" w:rsidRPr="00616B26" w:rsidRDefault="006902CC" w:rsidP="006902CC">
            <w:pPr>
              <w:pStyle w:val="Tabletext"/>
              <w:rPr>
                <w:snapToGrid w:val="0"/>
              </w:rPr>
            </w:pPr>
            <w:r w:rsidRPr="00616B26">
              <w:rPr>
                <w:snapToGrid w:val="0"/>
              </w:rPr>
              <w:t>92</w:t>
            </w:r>
          </w:p>
        </w:tc>
        <w:tc>
          <w:tcPr>
            <w:tcW w:w="966" w:type="pct"/>
            <w:tcBorders>
              <w:top w:val="single" w:sz="4" w:space="0" w:color="auto"/>
              <w:bottom w:val="single" w:sz="4" w:space="0" w:color="auto"/>
            </w:tcBorders>
            <w:vAlign w:val="bottom"/>
          </w:tcPr>
          <w:p w14:paraId="028B233D" w14:textId="77777777" w:rsidR="006902CC" w:rsidRPr="00C971C6" w:rsidRDefault="006902CC" w:rsidP="006902CC">
            <w:pPr>
              <w:pStyle w:val="Tabletext"/>
              <w:rPr>
                <w:snapToGrid w:val="0"/>
              </w:rPr>
            </w:pPr>
            <w:r w:rsidRPr="00295986">
              <w:t>3</w:t>
            </w:r>
            <w:r w:rsidR="00D7157D">
              <w:t>.</w:t>
            </w:r>
            <w:r w:rsidRPr="00295986">
              <w:t>4268</w:t>
            </w:r>
          </w:p>
        </w:tc>
        <w:tc>
          <w:tcPr>
            <w:tcW w:w="966" w:type="pct"/>
            <w:tcBorders>
              <w:top w:val="single" w:sz="4" w:space="0" w:color="auto"/>
              <w:bottom w:val="single" w:sz="4" w:space="0" w:color="auto"/>
            </w:tcBorders>
            <w:vAlign w:val="bottom"/>
          </w:tcPr>
          <w:p w14:paraId="2ED37FE0" w14:textId="77777777" w:rsidR="006902CC" w:rsidRPr="00C971C6" w:rsidRDefault="006902CC" w:rsidP="006902CC">
            <w:pPr>
              <w:pStyle w:val="Tabletext"/>
              <w:rPr>
                <w:snapToGrid w:val="0"/>
              </w:rPr>
            </w:pPr>
            <w:r w:rsidRPr="00295986">
              <w:t>0</w:t>
            </w:r>
            <w:r w:rsidR="00D7157D">
              <w:t>.</w:t>
            </w:r>
            <w:r w:rsidRPr="00295986">
              <w:t>3111</w:t>
            </w:r>
          </w:p>
        </w:tc>
        <w:tc>
          <w:tcPr>
            <w:tcW w:w="966" w:type="pct"/>
            <w:tcBorders>
              <w:top w:val="single" w:sz="4" w:space="0" w:color="auto"/>
              <w:bottom w:val="single" w:sz="4" w:space="0" w:color="auto"/>
            </w:tcBorders>
            <w:vAlign w:val="bottom"/>
          </w:tcPr>
          <w:p w14:paraId="02DD8E5F" w14:textId="77777777" w:rsidR="006902CC" w:rsidRPr="00C971C6" w:rsidRDefault="006902CC" w:rsidP="006902CC">
            <w:pPr>
              <w:pStyle w:val="Tabletext"/>
              <w:rPr>
                <w:snapToGrid w:val="0"/>
              </w:rPr>
            </w:pPr>
            <w:r w:rsidRPr="00295986">
              <w:t>3</w:t>
            </w:r>
            <w:r w:rsidR="00D7157D">
              <w:t>.</w:t>
            </w:r>
            <w:r w:rsidRPr="00295986">
              <w:t>9851</w:t>
            </w:r>
          </w:p>
        </w:tc>
        <w:tc>
          <w:tcPr>
            <w:tcW w:w="966" w:type="pct"/>
            <w:tcBorders>
              <w:top w:val="single" w:sz="4" w:space="0" w:color="auto"/>
              <w:bottom w:val="single" w:sz="4" w:space="0" w:color="auto"/>
            </w:tcBorders>
            <w:vAlign w:val="bottom"/>
          </w:tcPr>
          <w:p w14:paraId="08AB7C66" w14:textId="77777777" w:rsidR="006902CC" w:rsidRPr="00C971C6" w:rsidRDefault="006902CC" w:rsidP="006902CC">
            <w:pPr>
              <w:pStyle w:val="Tabletext"/>
              <w:rPr>
                <w:snapToGrid w:val="0"/>
              </w:rPr>
            </w:pPr>
            <w:r w:rsidRPr="00295986">
              <w:t>0</w:t>
            </w:r>
            <w:r w:rsidR="00D7157D">
              <w:t>.</w:t>
            </w:r>
            <w:r w:rsidRPr="00295986">
              <w:t>0887</w:t>
            </w:r>
          </w:p>
        </w:tc>
      </w:tr>
      <w:tr w:rsidR="006902CC" w:rsidRPr="009E2595" w14:paraId="011DEB28" w14:textId="77777777" w:rsidTr="006902CC">
        <w:trPr>
          <w:cantSplit/>
        </w:trPr>
        <w:tc>
          <w:tcPr>
            <w:tcW w:w="1136" w:type="pct"/>
            <w:tcBorders>
              <w:top w:val="single" w:sz="4" w:space="0" w:color="auto"/>
              <w:bottom w:val="single" w:sz="4" w:space="0" w:color="auto"/>
            </w:tcBorders>
          </w:tcPr>
          <w:p w14:paraId="0BFAAE83" w14:textId="77777777" w:rsidR="006902CC" w:rsidRPr="00616B26" w:rsidRDefault="006902CC" w:rsidP="006902CC">
            <w:pPr>
              <w:pStyle w:val="Tabletext"/>
              <w:rPr>
                <w:snapToGrid w:val="0"/>
              </w:rPr>
            </w:pPr>
            <w:r w:rsidRPr="00616B26">
              <w:rPr>
                <w:snapToGrid w:val="0"/>
              </w:rPr>
              <w:t>93</w:t>
            </w:r>
          </w:p>
        </w:tc>
        <w:tc>
          <w:tcPr>
            <w:tcW w:w="966" w:type="pct"/>
            <w:tcBorders>
              <w:top w:val="single" w:sz="4" w:space="0" w:color="auto"/>
              <w:bottom w:val="single" w:sz="4" w:space="0" w:color="auto"/>
            </w:tcBorders>
            <w:vAlign w:val="bottom"/>
          </w:tcPr>
          <w:p w14:paraId="2B0583E0" w14:textId="77777777" w:rsidR="006902CC" w:rsidRPr="00C971C6" w:rsidRDefault="006902CC" w:rsidP="006902CC">
            <w:pPr>
              <w:pStyle w:val="Tabletext"/>
              <w:rPr>
                <w:snapToGrid w:val="0"/>
              </w:rPr>
            </w:pPr>
            <w:r w:rsidRPr="00295986">
              <w:t>3</w:t>
            </w:r>
            <w:r w:rsidR="00D7157D">
              <w:t>.</w:t>
            </w:r>
            <w:r w:rsidRPr="00295986">
              <w:t>2237</w:t>
            </w:r>
          </w:p>
        </w:tc>
        <w:tc>
          <w:tcPr>
            <w:tcW w:w="966" w:type="pct"/>
            <w:tcBorders>
              <w:top w:val="single" w:sz="4" w:space="0" w:color="auto"/>
              <w:bottom w:val="single" w:sz="4" w:space="0" w:color="auto"/>
            </w:tcBorders>
            <w:vAlign w:val="bottom"/>
          </w:tcPr>
          <w:p w14:paraId="0DA0E944" w14:textId="77777777" w:rsidR="006902CC" w:rsidRPr="00C971C6" w:rsidRDefault="006902CC" w:rsidP="006902CC">
            <w:pPr>
              <w:pStyle w:val="Tabletext"/>
              <w:rPr>
                <w:snapToGrid w:val="0"/>
              </w:rPr>
            </w:pPr>
            <w:r w:rsidRPr="00295986">
              <w:t>0</w:t>
            </w:r>
            <w:r w:rsidR="00D7157D">
              <w:t>.</w:t>
            </w:r>
            <w:r w:rsidRPr="00295986">
              <w:t>2991</w:t>
            </w:r>
          </w:p>
        </w:tc>
        <w:tc>
          <w:tcPr>
            <w:tcW w:w="966" w:type="pct"/>
            <w:tcBorders>
              <w:top w:val="single" w:sz="4" w:space="0" w:color="auto"/>
              <w:bottom w:val="single" w:sz="4" w:space="0" w:color="auto"/>
            </w:tcBorders>
            <w:vAlign w:val="bottom"/>
          </w:tcPr>
          <w:p w14:paraId="712194B7" w14:textId="77777777" w:rsidR="006902CC" w:rsidRPr="00C971C6" w:rsidRDefault="006902CC" w:rsidP="006902CC">
            <w:pPr>
              <w:pStyle w:val="Tabletext"/>
              <w:rPr>
                <w:snapToGrid w:val="0"/>
              </w:rPr>
            </w:pPr>
            <w:r w:rsidRPr="00295986">
              <w:t>3</w:t>
            </w:r>
            <w:r w:rsidR="00D7157D">
              <w:t>.</w:t>
            </w:r>
            <w:r w:rsidRPr="00295986">
              <w:t>7347</w:t>
            </w:r>
          </w:p>
        </w:tc>
        <w:tc>
          <w:tcPr>
            <w:tcW w:w="966" w:type="pct"/>
            <w:tcBorders>
              <w:top w:val="single" w:sz="4" w:space="0" w:color="auto"/>
              <w:bottom w:val="single" w:sz="4" w:space="0" w:color="auto"/>
            </w:tcBorders>
            <w:vAlign w:val="bottom"/>
          </w:tcPr>
          <w:p w14:paraId="30532778" w14:textId="77777777" w:rsidR="006902CC" w:rsidRPr="00C971C6" w:rsidRDefault="006902CC" w:rsidP="006902CC">
            <w:pPr>
              <w:pStyle w:val="Tabletext"/>
              <w:rPr>
                <w:snapToGrid w:val="0"/>
              </w:rPr>
            </w:pPr>
            <w:r w:rsidRPr="00295986">
              <w:t>0</w:t>
            </w:r>
            <w:r w:rsidR="00D7157D">
              <w:t>.</w:t>
            </w:r>
            <w:r w:rsidRPr="00295986">
              <w:t>0867</w:t>
            </w:r>
          </w:p>
        </w:tc>
      </w:tr>
      <w:tr w:rsidR="006902CC" w:rsidRPr="009E2595" w14:paraId="49F5A6B9" w14:textId="77777777" w:rsidTr="006902CC">
        <w:trPr>
          <w:cantSplit/>
        </w:trPr>
        <w:tc>
          <w:tcPr>
            <w:tcW w:w="1136" w:type="pct"/>
            <w:tcBorders>
              <w:top w:val="single" w:sz="4" w:space="0" w:color="auto"/>
              <w:bottom w:val="single" w:sz="4" w:space="0" w:color="auto"/>
            </w:tcBorders>
          </w:tcPr>
          <w:p w14:paraId="73D318B9" w14:textId="77777777" w:rsidR="006902CC" w:rsidRPr="00616B26" w:rsidRDefault="006902CC" w:rsidP="006902CC">
            <w:pPr>
              <w:pStyle w:val="Tabletext"/>
              <w:rPr>
                <w:snapToGrid w:val="0"/>
              </w:rPr>
            </w:pPr>
            <w:r w:rsidRPr="00616B26">
              <w:rPr>
                <w:snapToGrid w:val="0"/>
              </w:rPr>
              <w:t>94</w:t>
            </w:r>
          </w:p>
        </w:tc>
        <w:tc>
          <w:tcPr>
            <w:tcW w:w="966" w:type="pct"/>
            <w:tcBorders>
              <w:top w:val="single" w:sz="4" w:space="0" w:color="auto"/>
              <w:bottom w:val="single" w:sz="4" w:space="0" w:color="auto"/>
            </w:tcBorders>
            <w:vAlign w:val="bottom"/>
          </w:tcPr>
          <w:p w14:paraId="04685E15" w14:textId="77777777" w:rsidR="006902CC" w:rsidRPr="00C971C6" w:rsidRDefault="006902CC" w:rsidP="006902CC">
            <w:pPr>
              <w:pStyle w:val="Tabletext"/>
              <w:rPr>
                <w:snapToGrid w:val="0"/>
              </w:rPr>
            </w:pPr>
            <w:r w:rsidRPr="00295986">
              <w:t>3</w:t>
            </w:r>
            <w:r w:rsidR="00D7157D">
              <w:t>.</w:t>
            </w:r>
            <w:r w:rsidRPr="00295986">
              <w:t>0533</w:t>
            </w:r>
          </w:p>
        </w:tc>
        <w:tc>
          <w:tcPr>
            <w:tcW w:w="966" w:type="pct"/>
            <w:tcBorders>
              <w:top w:val="single" w:sz="4" w:space="0" w:color="auto"/>
              <w:bottom w:val="single" w:sz="4" w:space="0" w:color="auto"/>
            </w:tcBorders>
            <w:vAlign w:val="bottom"/>
          </w:tcPr>
          <w:p w14:paraId="32EE07CC" w14:textId="77777777" w:rsidR="006902CC" w:rsidRPr="00C971C6" w:rsidRDefault="006902CC" w:rsidP="006902CC">
            <w:pPr>
              <w:pStyle w:val="Tabletext"/>
              <w:rPr>
                <w:snapToGrid w:val="0"/>
              </w:rPr>
            </w:pPr>
            <w:r w:rsidRPr="00295986">
              <w:t>0</w:t>
            </w:r>
            <w:r w:rsidR="00D7157D">
              <w:t>.</w:t>
            </w:r>
            <w:r w:rsidRPr="00295986">
              <w:t>2858</w:t>
            </w:r>
          </w:p>
        </w:tc>
        <w:tc>
          <w:tcPr>
            <w:tcW w:w="966" w:type="pct"/>
            <w:tcBorders>
              <w:top w:val="single" w:sz="4" w:space="0" w:color="auto"/>
              <w:bottom w:val="single" w:sz="4" w:space="0" w:color="auto"/>
            </w:tcBorders>
            <w:vAlign w:val="bottom"/>
          </w:tcPr>
          <w:p w14:paraId="70ADF17A" w14:textId="77777777" w:rsidR="006902CC" w:rsidRPr="00C971C6" w:rsidRDefault="006902CC" w:rsidP="006902CC">
            <w:pPr>
              <w:pStyle w:val="Tabletext"/>
              <w:rPr>
                <w:snapToGrid w:val="0"/>
              </w:rPr>
            </w:pPr>
            <w:r w:rsidRPr="00295986">
              <w:t>3</w:t>
            </w:r>
            <w:r w:rsidR="00D7157D">
              <w:t>.</w:t>
            </w:r>
            <w:r w:rsidRPr="00295986">
              <w:t>4908</w:t>
            </w:r>
          </w:p>
        </w:tc>
        <w:tc>
          <w:tcPr>
            <w:tcW w:w="966" w:type="pct"/>
            <w:tcBorders>
              <w:top w:val="single" w:sz="4" w:space="0" w:color="auto"/>
              <w:bottom w:val="single" w:sz="4" w:space="0" w:color="auto"/>
            </w:tcBorders>
            <w:vAlign w:val="bottom"/>
          </w:tcPr>
          <w:p w14:paraId="5C15C363" w14:textId="77777777" w:rsidR="006902CC" w:rsidRPr="00C971C6" w:rsidRDefault="006902CC" w:rsidP="006902CC">
            <w:pPr>
              <w:pStyle w:val="Tabletext"/>
              <w:rPr>
                <w:snapToGrid w:val="0"/>
              </w:rPr>
            </w:pPr>
            <w:r w:rsidRPr="00295986">
              <w:t>0</w:t>
            </w:r>
            <w:r w:rsidR="00D7157D">
              <w:t>.</w:t>
            </w:r>
            <w:r w:rsidRPr="00295986">
              <w:t>0846</w:t>
            </w:r>
          </w:p>
        </w:tc>
      </w:tr>
      <w:tr w:rsidR="006902CC" w:rsidRPr="009E2595" w14:paraId="672EA45D" w14:textId="77777777" w:rsidTr="006902CC">
        <w:trPr>
          <w:cantSplit/>
        </w:trPr>
        <w:tc>
          <w:tcPr>
            <w:tcW w:w="1136" w:type="pct"/>
            <w:tcBorders>
              <w:top w:val="single" w:sz="4" w:space="0" w:color="auto"/>
              <w:bottom w:val="single" w:sz="4" w:space="0" w:color="auto"/>
            </w:tcBorders>
          </w:tcPr>
          <w:p w14:paraId="7009E76A" w14:textId="77777777" w:rsidR="006902CC" w:rsidRPr="00616B26" w:rsidRDefault="006902CC" w:rsidP="006902CC">
            <w:pPr>
              <w:pStyle w:val="Tabletext"/>
              <w:rPr>
                <w:snapToGrid w:val="0"/>
              </w:rPr>
            </w:pPr>
            <w:r w:rsidRPr="00616B26">
              <w:rPr>
                <w:snapToGrid w:val="0"/>
              </w:rPr>
              <w:t>95</w:t>
            </w:r>
          </w:p>
        </w:tc>
        <w:tc>
          <w:tcPr>
            <w:tcW w:w="966" w:type="pct"/>
            <w:tcBorders>
              <w:top w:val="single" w:sz="4" w:space="0" w:color="auto"/>
              <w:bottom w:val="single" w:sz="4" w:space="0" w:color="auto"/>
            </w:tcBorders>
            <w:vAlign w:val="bottom"/>
          </w:tcPr>
          <w:p w14:paraId="46FFB00A" w14:textId="77777777" w:rsidR="006902CC" w:rsidRPr="00C971C6" w:rsidRDefault="006902CC" w:rsidP="006902CC">
            <w:pPr>
              <w:pStyle w:val="Tabletext"/>
              <w:rPr>
                <w:snapToGrid w:val="0"/>
              </w:rPr>
            </w:pPr>
            <w:r w:rsidRPr="00295986">
              <w:t>2</w:t>
            </w:r>
            <w:r w:rsidR="00D7157D">
              <w:t>.</w:t>
            </w:r>
            <w:r w:rsidRPr="00295986">
              <w:t>8941</w:t>
            </w:r>
          </w:p>
        </w:tc>
        <w:tc>
          <w:tcPr>
            <w:tcW w:w="966" w:type="pct"/>
            <w:tcBorders>
              <w:top w:val="single" w:sz="4" w:space="0" w:color="auto"/>
              <w:bottom w:val="single" w:sz="4" w:space="0" w:color="auto"/>
            </w:tcBorders>
            <w:vAlign w:val="bottom"/>
          </w:tcPr>
          <w:p w14:paraId="5A114413" w14:textId="77777777" w:rsidR="006902CC" w:rsidRPr="00C971C6" w:rsidRDefault="006902CC" w:rsidP="006902CC">
            <w:pPr>
              <w:pStyle w:val="Tabletext"/>
              <w:rPr>
                <w:snapToGrid w:val="0"/>
              </w:rPr>
            </w:pPr>
            <w:r w:rsidRPr="00295986">
              <w:t>0</w:t>
            </w:r>
            <w:r w:rsidR="00D7157D">
              <w:t>.</w:t>
            </w:r>
            <w:r w:rsidRPr="00295986">
              <w:t>2721</w:t>
            </w:r>
          </w:p>
        </w:tc>
        <w:tc>
          <w:tcPr>
            <w:tcW w:w="966" w:type="pct"/>
            <w:tcBorders>
              <w:top w:val="single" w:sz="4" w:space="0" w:color="auto"/>
              <w:bottom w:val="single" w:sz="4" w:space="0" w:color="auto"/>
            </w:tcBorders>
            <w:vAlign w:val="bottom"/>
          </w:tcPr>
          <w:p w14:paraId="636D81F0" w14:textId="77777777" w:rsidR="006902CC" w:rsidRPr="00C971C6" w:rsidRDefault="006902CC" w:rsidP="006902CC">
            <w:pPr>
              <w:pStyle w:val="Tabletext"/>
              <w:rPr>
                <w:snapToGrid w:val="0"/>
              </w:rPr>
            </w:pPr>
            <w:r w:rsidRPr="00295986">
              <w:t>3</w:t>
            </w:r>
            <w:r w:rsidR="00D7157D">
              <w:t>.</w:t>
            </w:r>
            <w:r w:rsidRPr="00295986">
              <w:t>2637</w:t>
            </w:r>
          </w:p>
        </w:tc>
        <w:tc>
          <w:tcPr>
            <w:tcW w:w="966" w:type="pct"/>
            <w:tcBorders>
              <w:top w:val="single" w:sz="4" w:space="0" w:color="auto"/>
              <w:bottom w:val="single" w:sz="4" w:space="0" w:color="auto"/>
            </w:tcBorders>
            <w:vAlign w:val="bottom"/>
          </w:tcPr>
          <w:p w14:paraId="7B1EC9BF" w14:textId="77777777" w:rsidR="006902CC" w:rsidRPr="00C971C6" w:rsidRDefault="006902CC" w:rsidP="006902CC">
            <w:pPr>
              <w:pStyle w:val="Tabletext"/>
              <w:rPr>
                <w:snapToGrid w:val="0"/>
              </w:rPr>
            </w:pPr>
            <w:r w:rsidRPr="00295986">
              <w:t>0</w:t>
            </w:r>
            <w:r w:rsidR="00D7157D">
              <w:t>.</w:t>
            </w:r>
            <w:r w:rsidRPr="00295986">
              <w:t>0823</w:t>
            </w:r>
          </w:p>
        </w:tc>
      </w:tr>
      <w:tr w:rsidR="006902CC" w:rsidRPr="009E2595" w14:paraId="0A508A88" w14:textId="77777777" w:rsidTr="006902CC">
        <w:trPr>
          <w:cantSplit/>
        </w:trPr>
        <w:tc>
          <w:tcPr>
            <w:tcW w:w="1136" w:type="pct"/>
            <w:tcBorders>
              <w:top w:val="single" w:sz="4" w:space="0" w:color="auto"/>
              <w:bottom w:val="single" w:sz="4" w:space="0" w:color="auto"/>
            </w:tcBorders>
          </w:tcPr>
          <w:p w14:paraId="036466EB" w14:textId="77777777" w:rsidR="006902CC" w:rsidRPr="00616B26" w:rsidRDefault="006902CC" w:rsidP="006902CC">
            <w:pPr>
              <w:pStyle w:val="Tabletext"/>
              <w:rPr>
                <w:snapToGrid w:val="0"/>
              </w:rPr>
            </w:pPr>
            <w:r w:rsidRPr="00616B26">
              <w:rPr>
                <w:snapToGrid w:val="0"/>
              </w:rPr>
              <w:t>96</w:t>
            </w:r>
          </w:p>
        </w:tc>
        <w:tc>
          <w:tcPr>
            <w:tcW w:w="966" w:type="pct"/>
            <w:tcBorders>
              <w:top w:val="single" w:sz="4" w:space="0" w:color="auto"/>
              <w:bottom w:val="single" w:sz="4" w:space="0" w:color="auto"/>
            </w:tcBorders>
            <w:vAlign w:val="bottom"/>
          </w:tcPr>
          <w:p w14:paraId="3DCD04C3" w14:textId="77777777" w:rsidR="006902CC" w:rsidRPr="00C971C6" w:rsidRDefault="006902CC" w:rsidP="006902CC">
            <w:pPr>
              <w:pStyle w:val="Tabletext"/>
              <w:rPr>
                <w:snapToGrid w:val="0"/>
              </w:rPr>
            </w:pPr>
            <w:r w:rsidRPr="00295986">
              <w:t>2</w:t>
            </w:r>
            <w:r w:rsidR="00D7157D">
              <w:t>.</w:t>
            </w:r>
            <w:r w:rsidRPr="00295986">
              <w:t>7452</w:t>
            </w:r>
          </w:p>
        </w:tc>
        <w:tc>
          <w:tcPr>
            <w:tcW w:w="966" w:type="pct"/>
            <w:tcBorders>
              <w:top w:val="single" w:sz="4" w:space="0" w:color="auto"/>
              <w:bottom w:val="single" w:sz="4" w:space="0" w:color="auto"/>
            </w:tcBorders>
            <w:vAlign w:val="bottom"/>
          </w:tcPr>
          <w:p w14:paraId="7D3C79F0" w14:textId="77777777" w:rsidR="006902CC" w:rsidRPr="00C971C6" w:rsidRDefault="006902CC" w:rsidP="006902CC">
            <w:pPr>
              <w:pStyle w:val="Tabletext"/>
              <w:rPr>
                <w:snapToGrid w:val="0"/>
              </w:rPr>
            </w:pPr>
            <w:r w:rsidRPr="00295986">
              <w:t>0</w:t>
            </w:r>
            <w:r w:rsidR="00D7157D">
              <w:t>.</w:t>
            </w:r>
            <w:r w:rsidRPr="00295986">
              <w:t>2580</w:t>
            </w:r>
          </w:p>
        </w:tc>
        <w:tc>
          <w:tcPr>
            <w:tcW w:w="966" w:type="pct"/>
            <w:tcBorders>
              <w:top w:val="single" w:sz="4" w:space="0" w:color="auto"/>
              <w:bottom w:val="single" w:sz="4" w:space="0" w:color="auto"/>
            </w:tcBorders>
            <w:vAlign w:val="bottom"/>
          </w:tcPr>
          <w:p w14:paraId="141EE8DF" w14:textId="77777777" w:rsidR="006902CC" w:rsidRPr="00C971C6" w:rsidRDefault="006902CC" w:rsidP="006902CC">
            <w:pPr>
              <w:pStyle w:val="Tabletext"/>
              <w:rPr>
                <w:snapToGrid w:val="0"/>
              </w:rPr>
            </w:pPr>
            <w:r w:rsidRPr="00295986">
              <w:t>3</w:t>
            </w:r>
            <w:r w:rsidR="00D7157D">
              <w:t>.</w:t>
            </w:r>
            <w:r w:rsidRPr="00295986">
              <w:t>0449</w:t>
            </w:r>
          </w:p>
        </w:tc>
        <w:tc>
          <w:tcPr>
            <w:tcW w:w="966" w:type="pct"/>
            <w:tcBorders>
              <w:top w:val="single" w:sz="4" w:space="0" w:color="auto"/>
              <w:bottom w:val="single" w:sz="4" w:space="0" w:color="auto"/>
            </w:tcBorders>
            <w:vAlign w:val="bottom"/>
          </w:tcPr>
          <w:p w14:paraId="00D87015" w14:textId="77777777" w:rsidR="006902CC" w:rsidRPr="00C971C6" w:rsidRDefault="006902CC" w:rsidP="006902CC">
            <w:pPr>
              <w:pStyle w:val="Tabletext"/>
              <w:rPr>
                <w:snapToGrid w:val="0"/>
              </w:rPr>
            </w:pPr>
            <w:r w:rsidRPr="00295986">
              <w:t>0</w:t>
            </w:r>
            <w:r w:rsidR="00D7157D">
              <w:t>.</w:t>
            </w:r>
            <w:r w:rsidRPr="00295986">
              <w:t>0798</w:t>
            </w:r>
          </w:p>
        </w:tc>
      </w:tr>
      <w:tr w:rsidR="006902CC" w:rsidRPr="009E2595" w14:paraId="367579BA" w14:textId="77777777" w:rsidTr="006902CC">
        <w:trPr>
          <w:cantSplit/>
        </w:trPr>
        <w:tc>
          <w:tcPr>
            <w:tcW w:w="1136" w:type="pct"/>
            <w:tcBorders>
              <w:top w:val="single" w:sz="4" w:space="0" w:color="auto"/>
              <w:bottom w:val="single" w:sz="4" w:space="0" w:color="auto"/>
            </w:tcBorders>
          </w:tcPr>
          <w:p w14:paraId="4EDF4006" w14:textId="77777777" w:rsidR="006902CC" w:rsidRPr="00616B26" w:rsidRDefault="006902CC" w:rsidP="006902CC">
            <w:pPr>
              <w:pStyle w:val="Tabletext"/>
              <w:rPr>
                <w:snapToGrid w:val="0"/>
              </w:rPr>
            </w:pPr>
            <w:r w:rsidRPr="00616B26">
              <w:rPr>
                <w:snapToGrid w:val="0"/>
              </w:rPr>
              <w:t>97</w:t>
            </w:r>
          </w:p>
        </w:tc>
        <w:tc>
          <w:tcPr>
            <w:tcW w:w="966" w:type="pct"/>
            <w:tcBorders>
              <w:top w:val="single" w:sz="4" w:space="0" w:color="auto"/>
              <w:bottom w:val="single" w:sz="4" w:space="0" w:color="auto"/>
            </w:tcBorders>
            <w:vAlign w:val="bottom"/>
          </w:tcPr>
          <w:p w14:paraId="65A8097F" w14:textId="77777777" w:rsidR="006902CC" w:rsidRPr="00C971C6" w:rsidRDefault="006902CC" w:rsidP="006902CC">
            <w:pPr>
              <w:pStyle w:val="Tabletext"/>
              <w:rPr>
                <w:snapToGrid w:val="0"/>
              </w:rPr>
            </w:pPr>
            <w:r w:rsidRPr="00295986">
              <w:t>2</w:t>
            </w:r>
            <w:r w:rsidR="00D7157D">
              <w:t>.</w:t>
            </w:r>
            <w:r w:rsidRPr="00295986">
              <w:t>6058</w:t>
            </w:r>
          </w:p>
        </w:tc>
        <w:tc>
          <w:tcPr>
            <w:tcW w:w="966" w:type="pct"/>
            <w:tcBorders>
              <w:top w:val="single" w:sz="4" w:space="0" w:color="auto"/>
              <w:bottom w:val="single" w:sz="4" w:space="0" w:color="auto"/>
            </w:tcBorders>
            <w:vAlign w:val="bottom"/>
          </w:tcPr>
          <w:p w14:paraId="7A813116" w14:textId="77777777" w:rsidR="006902CC" w:rsidRPr="00C971C6" w:rsidRDefault="006902CC" w:rsidP="006902CC">
            <w:pPr>
              <w:pStyle w:val="Tabletext"/>
              <w:rPr>
                <w:snapToGrid w:val="0"/>
              </w:rPr>
            </w:pPr>
            <w:r w:rsidRPr="00295986">
              <w:t>0</w:t>
            </w:r>
            <w:r w:rsidR="00D7157D">
              <w:t>.</w:t>
            </w:r>
            <w:r w:rsidRPr="00295986">
              <w:t>2436</w:t>
            </w:r>
          </w:p>
        </w:tc>
        <w:tc>
          <w:tcPr>
            <w:tcW w:w="966" w:type="pct"/>
            <w:tcBorders>
              <w:top w:val="single" w:sz="4" w:space="0" w:color="auto"/>
              <w:bottom w:val="single" w:sz="4" w:space="0" w:color="auto"/>
            </w:tcBorders>
            <w:vAlign w:val="bottom"/>
          </w:tcPr>
          <w:p w14:paraId="49452508" w14:textId="77777777" w:rsidR="006902CC" w:rsidRPr="00C971C6" w:rsidRDefault="006902CC" w:rsidP="006902CC">
            <w:pPr>
              <w:pStyle w:val="Tabletext"/>
              <w:rPr>
                <w:snapToGrid w:val="0"/>
              </w:rPr>
            </w:pPr>
            <w:r w:rsidRPr="00295986">
              <w:t>2</w:t>
            </w:r>
            <w:r w:rsidR="00D7157D">
              <w:t>.</w:t>
            </w:r>
            <w:r w:rsidRPr="00295986">
              <w:t>8302</w:t>
            </w:r>
          </w:p>
        </w:tc>
        <w:tc>
          <w:tcPr>
            <w:tcW w:w="966" w:type="pct"/>
            <w:tcBorders>
              <w:top w:val="single" w:sz="4" w:space="0" w:color="auto"/>
              <w:bottom w:val="single" w:sz="4" w:space="0" w:color="auto"/>
            </w:tcBorders>
            <w:vAlign w:val="bottom"/>
          </w:tcPr>
          <w:p w14:paraId="7CAA9079" w14:textId="77777777" w:rsidR="006902CC" w:rsidRPr="00C971C6" w:rsidRDefault="006902CC" w:rsidP="006902CC">
            <w:pPr>
              <w:pStyle w:val="Tabletext"/>
              <w:rPr>
                <w:snapToGrid w:val="0"/>
              </w:rPr>
            </w:pPr>
            <w:r w:rsidRPr="00295986">
              <w:t>0</w:t>
            </w:r>
            <w:r w:rsidR="00D7157D">
              <w:t>.</w:t>
            </w:r>
            <w:r w:rsidRPr="00295986">
              <w:t>0773</w:t>
            </w:r>
          </w:p>
        </w:tc>
      </w:tr>
      <w:tr w:rsidR="006902CC" w:rsidRPr="009E2595" w14:paraId="74894DD9" w14:textId="77777777" w:rsidTr="006902CC">
        <w:trPr>
          <w:cantSplit/>
        </w:trPr>
        <w:tc>
          <w:tcPr>
            <w:tcW w:w="1136" w:type="pct"/>
            <w:tcBorders>
              <w:top w:val="single" w:sz="4" w:space="0" w:color="auto"/>
              <w:bottom w:val="single" w:sz="4" w:space="0" w:color="auto"/>
            </w:tcBorders>
          </w:tcPr>
          <w:p w14:paraId="53CBB381" w14:textId="77777777" w:rsidR="006902CC" w:rsidRPr="00616B26" w:rsidRDefault="006902CC" w:rsidP="006902CC">
            <w:pPr>
              <w:pStyle w:val="Tabletext"/>
              <w:rPr>
                <w:snapToGrid w:val="0"/>
              </w:rPr>
            </w:pPr>
            <w:r w:rsidRPr="00616B26">
              <w:rPr>
                <w:snapToGrid w:val="0"/>
              </w:rPr>
              <w:t>98</w:t>
            </w:r>
          </w:p>
        </w:tc>
        <w:tc>
          <w:tcPr>
            <w:tcW w:w="966" w:type="pct"/>
            <w:tcBorders>
              <w:top w:val="single" w:sz="4" w:space="0" w:color="auto"/>
              <w:bottom w:val="single" w:sz="4" w:space="0" w:color="auto"/>
            </w:tcBorders>
            <w:vAlign w:val="bottom"/>
          </w:tcPr>
          <w:p w14:paraId="48B23B06" w14:textId="77777777" w:rsidR="006902CC" w:rsidRPr="00C971C6" w:rsidRDefault="006902CC" w:rsidP="006902CC">
            <w:pPr>
              <w:pStyle w:val="Tabletext"/>
              <w:rPr>
                <w:snapToGrid w:val="0"/>
              </w:rPr>
            </w:pPr>
            <w:r w:rsidRPr="00295986">
              <w:t>2</w:t>
            </w:r>
            <w:r w:rsidR="00D7157D">
              <w:t>.</w:t>
            </w:r>
            <w:r w:rsidRPr="00295986">
              <w:t>4753</w:t>
            </w:r>
          </w:p>
        </w:tc>
        <w:tc>
          <w:tcPr>
            <w:tcW w:w="966" w:type="pct"/>
            <w:tcBorders>
              <w:top w:val="single" w:sz="4" w:space="0" w:color="auto"/>
              <w:bottom w:val="single" w:sz="4" w:space="0" w:color="auto"/>
            </w:tcBorders>
            <w:vAlign w:val="bottom"/>
          </w:tcPr>
          <w:p w14:paraId="788F22E1" w14:textId="77777777" w:rsidR="006902CC" w:rsidRPr="00C971C6" w:rsidRDefault="006902CC" w:rsidP="006902CC">
            <w:pPr>
              <w:pStyle w:val="Tabletext"/>
              <w:rPr>
                <w:snapToGrid w:val="0"/>
              </w:rPr>
            </w:pPr>
            <w:r w:rsidRPr="00295986">
              <w:t>0</w:t>
            </w:r>
            <w:r w:rsidR="00D7157D">
              <w:t>.</w:t>
            </w:r>
            <w:r w:rsidRPr="00295986">
              <w:t>2287</w:t>
            </w:r>
          </w:p>
        </w:tc>
        <w:tc>
          <w:tcPr>
            <w:tcW w:w="966" w:type="pct"/>
            <w:tcBorders>
              <w:top w:val="single" w:sz="4" w:space="0" w:color="auto"/>
              <w:bottom w:val="single" w:sz="4" w:space="0" w:color="auto"/>
            </w:tcBorders>
            <w:vAlign w:val="bottom"/>
          </w:tcPr>
          <w:p w14:paraId="2639F971" w14:textId="77777777" w:rsidR="006902CC" w:rsidRPr="00C971C6" w:rsidRDefault="006902CC" w:rsidP="006902CC">
            <w:pPr>
              <w:pStyle w:val="Tabletext"/>
              <w:rPr>
                <w:snapToGrid w:val="0"/>
              </w:rPr>
            </w:pPr>
            <w:r w:rsidRPr="00295986">
              <w:t>2</w:t>
            </w:r>
            <w:r w:rsidR="00D7157D">
              <w:t>.</w:t>
            </w:r>
            <w:r w:rsidRPr="00295986">
              <w:t>6224</w:t>
            </w:r>
          </w:p>
        </w:tc>
        <w:tc>
          <w:tcPr>
            <w:tcW w:w="966" w:type="pct"/>
            <w:tcBorders>
              <w:top w:val="single" w:sz="4" w:space="0" w:color="auto"/>
              <w:bottom w:val="single" w:sz="4" w:space="0" w:color="auto"/>
            </w:tcBorders>
            <w:vAlign w:val="bottom"/>
          </w:tcPr>
          <w:p w14:paraId="19232684" w14:textId="77777777" w:rsidR="006902CC" w:rsidRPr="00C971C6" w:rsidRDefault="006902CC" w:rsidP="006902CC">
            <w:pPr>
              <w:pStyle w:val="Tabletext"/>
              <w:rPr>
                <w:snapToGrid w:val="0"/>
              </w:rPr>
            </w:pPr>
            <w:r w:rsidRPr="00295986">
              <w:t>0</w:t>
            </w:r>
            <w:r w:rsidR="00D7157D">
              <w:t>.</w:t>
            </w:r>
            <w:r w:rsidRPr="00295986">
              <w:t>0746</w:t>
            </w:r>
          </w:p>
        </w:tc>
      </w:tr>
      <w:tr w:rsidR="006902CC" w:rsidRPr="009E2595" w14:paraId="4B73B478" w14:textId="77777777" w:rsidTr="006902CC">
        <w:trPr>
          <w:cantSplit/>
        </w:trPr>
        <w:tc>
          <w:tcPr>
            <w:tcW w:w="1136" w:type="pct"/>
            <w:tcBorders>
              <w:top w:val="single" w:sz="4" w:space="0" w:color="auto"/>
              <w:bottom w:val="single" w:sz="12" w:space="0" w:color="auto"/>
            </w:tcBorders>
          </w:tcPr>
          <w:p w14:paraId="527C6B00" w14:textId="77777777" w:rsidR="006902CC" w:rsidRPr="00616B26" w:rsidRDefault="00ED15BD" w:rsidP="006902CC">
            <w:pPr>
              <w:pStyle w:val="Tabletext"/>
              <w:rPr>
                <w:snapToGrid w:val="0"/>
              </w:rPr>
            </w:pPr>
            <w:r>
              <w:rPr>
                <w:snapToGrid w:val="0"/>
              </w:rPr>
              <w:t>99 and over</w:t>
            </w:r>
          </w:p>
        </w:tc>
        <w:tc>
          <w:tcPr>
            <w:tcW w:w="966" w:type="pct"/>
            <w:tcBorders>
              <w:top w:val="single" w:sz="4" w:space="0" w:color="auto"/>
              <w:bottom w:val="single" w:sz="12" w:space="0" w:color="auto"/>
            </w:tcBorders>
            <w:vAlign w:val="bottom"/>
          </w:tcPr>
          <w:p w14:paraId="0A21D1DE" w14:textId="77777777" w:rsidR="006902CC" w:rsidRPr="00C971C6" w:rsidRDefault="006902CC" w:rsidP="006902CC">
            <w:pPr>
              <w:pStyle w:val="Tabletext"/>
              <w:rPr>
                <w:snapToGrid w:val="0"/>
              </w:rPr>
            </w:pPr>
            <w:r w:rsidRPr="00295986">
              <w:t>2</w:t>
            </w:r>
            <w:r w:rsidR="00D7157D">
              <w:t>.</w:t>
            </w:r>
            <w:r w:rsidRPr="00295986">
              <w:t>3528</w:t>
            </w:r>
          </w:p>
        </w:tc>
        <w:tc>
          <w:tcPr>
            <w:tcW w:w="966" w:type="pct"/>
            <w:tcBorders>
              <w:top w:val="single" w:sz="4" w:space="0" w:color="auto"/>
              <w:bottom w:val="single" w:sz="12" w:space="0" w:color="auto"/>
            </w:tcBorders>
            <w:vAlign w:val="bottom"/>
          </w:tcPr>
          <w:p w14:paraId="4E7CF695" w14:textId="77777777" w:rsidR="006902CC" w:rsidRPr="00C971C6" w:rsidRDefault="006902CC" w:rsidP="006902CC">
            <w:pPr>
              <w:pStyle w:val="Tabletext"/>
              <w:rPr>
                <w:snapToGrid w:val="0"/>
              </w:rPr>
            </w:pPr>
            <w:r w:rsidRPr="00295986">
              <w:t>0</w:t>
            </w:r>
            <w:r w:rsidR="00D7157D">
              <w:t>.</w:t>
            </w:r>
            <w:r w:rsidRPr="00295986">
              <w:t>2132</w:t>
            </w:r>
          </w:p>
        </w:tc>
        <w:tc>
          <w:tcPr>
            <w:tcW w:w="966" w:type="pct"/>
            <w:tcBorders>
              <w:top w:val="single" w:sz="4" w:space="0" w:color="auto"/>
              <w:bottom w:val="single" w:sz="12" w:space="0" w:color="auto"/>
            </w:tcBorders>
            <w:vAlign w:val="bottom"/>
          </w:tcPr>
          <w:p w14:paraId="2B0C902A" w14:textId="77777777" w:rsidR="006902CC" w:rsidRPr="00C971C6" w:rsidRDefault="006902CC" w:rsidP="006902CC">
            <w:pPr>
              <w:pStyle w:val="Tabletext"/>
              <w:rPr>
                <w:snapToGrid w:val="0"/>
              </w:rPr>
            </w:pPr>
            <w:r w:rsidRPr="00295986">
              <w:t>2</w:t>
            </w:r>
            <w:r w:rsidR="00D7157D">
              <w:t>.</w:t>
            </w:r>
            <w:r w:rsidRPr="00295986">
              <w:t>4160</w:t>
            </w:r>
          </w:p>
        </w:tc>
        <w:tc>
          <w:tcPr>
            <w:tcW w:w="966" w:type="pct"/>
            <w:tcBorders>
              <w:top w:val="single" w:sz="4" w:space="0" w:color="auto"/>
              <w:bottom w:val="single" w:sz="12" w:space="0" w:color="auto"/>
            </w:tcBorders>
            <w:vAlign w:val="bottom"/>
          </w:tcPr>
          <w:p w14:paraId="1C037387" w14:textId="77777777" w:rsidR="006902CC" w:rsidRPr="00C971C6" w:rsidRDefault="006902CC" w:rsidP="006902CC">
            <w:pPr>
              <w:pStyle w:val="Tabletext"/>
              <w:rPr>
                <w:snapToGrid w:val="0"/>
              </w:rPr>
            </w:pPr>
            <w:r w:rsidRPr="00295986">
              <w:t>0</w:t>
            </w:r>
            <w:r w:rsidR="00D7157D">
              <w:t>.</w:t>
            </w:r>
            <w:r w:rsidRPr="00295986">
              <w:t>0716</w:t>
            </w:r>
          </w:p>
        </w:tc>
      </w:tr>
    </w:tbl>
    <w:p w14:paraId="30DF42CD" w14:textId="77777777" w:rsidR="00647C6B" w:rsidRPr="00A058B6" w:rsidRDefault="0022507A" w:rsidP="00647C6B">
      <w:pPr>
        <w:pStyle w:val="ActHead5"/>
      </w:pPr>
      <w:bookmarkStart w:id="305" w:name="_Toc188350782"/>
      <w:r w:rsidRPr="00423C34">
        <w:rPr>
          <w:rStyle w:val="CharSectno"/>
        </w:rPr>
        <w:t>5</w:t>
      </w:r>
      <w:r w:rsidR="00647C6B" w:rsidRPr="00A058B6">
        <w:t xml:space="preserve">  Valuation factors—CPI indexed pension</w:t>
      </w:r>
      <w:bookmarkEnd w:id="305"/>
    </w:p>
    <w:p w14:paraId="001278D6"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 is indexed in accordance with the consumer price index</w:t>
      </w:r>
      <w:r w:rsidR="00D7157D">
        <w:t>.</w:t>
      </w:r>
    </w:p>
    <w:p w14:paraId="5FB24C5C" w14:textId="77777777" w:rsidR="00647C6B" w:rsidRPr="00A058B6" w:rsidRDefault="00647C6B" w:rsidP="00647C6B">
      <w:pPr>
        <w:pStyle w:val="Tabletext"/>
      </w:pPr>
    </w:p>
    <w:tbl>
      <w:tblPr>
        <w:tblW w:w="5000" w:type="pct"/>
        <w:tblLook w:val="0000" w:firstRow="0" w:lastRow="0" w:firstColumn="0" w:lastColumn="0" w:noHBand="0" w:noVBand="0"/>
      </w:tblPr>
      <w:tblGrid>
        <w:gridCol w:w="1889"/>
        <w:gridCol w:w="1606"/>
        <w:gridCol w:w="1606"/>
        <w:gridCol w:w="1606"/>
        <w:gridCol w:w="1606"/>
      </w:tblGrid>
      <w:tr w:rsidR="00647C6B" w:rsidRPr="00A058B6" w14:paraId="1E9D7889" w14:textId="77777777" w:rsidTr="00FA26AF">
        <w:trPr>
          <w:cantSplit/>
          <w:trHeight w:val="256"/>
          <w:tblHeader/>
        </w:trPr>
        <w:tc>
          <w:tcPr>
            <w:tcW w:w="1136" w:type="pct"/>
            <w:vMerge w:val="restart"/>
            <w:tcBorders>
              <w:top w:val="single" w:sz="12" w:space="0" w:color="auto"/>
              <w:bottom w:val="single" w:sz="12" w:space="0" w:color="auto"/>
            </w:tcBorders>
          </w:tcPr>
          <w:p w14:paraId="56283C1D" w14:textId="77777777" w:rsidR="00647C6B" w:rsidRPr="00A058B6" w:rsidRDefault="00647C6B" w:rsidP="009C0D79">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60971214" w14:textId="77777777" w:rsidR="00647C6B" w:rsidRPr="00A058B6" w:rsidRDefault="00647C6B" w:rsidP="009C0D79">
            <w:pPr>
              <w:pStyle w:val="TableHeading"/>
            </w:pPr>
            <w:r w:rsidRPr="00A058B6">
              <w:t>Valuation factors—CPI indexed pension</w:t>
            </w:r>
          </w:p>
        </w:tc>
      </w:tr>
      <w:tr w:rsidR="00647C6B" w:rsidRPr="00A058B6" w14:paraId="5242B046" w14:textId="77777777" w:rsidTr="00FA26AF">
        <w:trPr>
          <w:cantSplit/>
          <w:trHeight w:val="50"/>
          <w:tblHeader/>
        </w:trPr>
        <w:tc>
          <w:tcPr>
            <w:tcW w:w="1136" w:type="pct"/>
            <w:vMerge/>
            <w:tcBorders>
              <w:bottom w:val="single" w:sz="12" w:space="0" w:color="auto"/>
            </w:tcBorders>
          </w:tcPr>
          <w:p w14:paraId="1A25EF7F" w14:textId="77777777" w:rsidR="00647C6B" w:rsidRPr="00A058B6" w:rsidRDefault="00647C6B" w:rsidP="009C0D79">
            <w:pPr>
              <w:pStyle w:val="TableHeading"/>
            </w:pPr>
          </w:p>
        </w:tc>
        <w:tc>
          <w:tcPr>
            <w:tcW w:w="1932" w:type="pct"/>
            <w:gridSpan w:val="2"/>
            <w:tcBorders>
              <w:top w:val="single" w:sz="4" w:space="0" w:color="auto"/>
              <w:bottom w:val="single" w:sz="4" w:space="0" w:color="auto"/>
            </w:tcBorders>
          </w:tcPr>
          <w:p w14:paraId="3C6198CE" w14:textId="77777777" w:rsidR="00647C6B" w:rsidRPr="00A058B6" w:rsidRDefault="00647C6B" w:rsidP="009C0D79">
            <w:pPr>
              <w:pStyle w:val="TableHeading"/>
            </w:pPr>
            <w:r w:rsidRPr="00A058B6">
              <w:t>Males</w:t>
            </w:r>
          </w:p>
        </w:tc>
        <w:tc>
          <w:tcPr>
            <w:tcW w:w="1932" w:type="pct"/>
            <w:gridSpan w:val="2"/>
            <w:tcBorders>
              <w:top w:val="single" w:sz="4" w:space="0" w:color="auto"/>
              <w:bottom w:val="single" w:sz="4" w:space="0" w:color="auto"/>
            </w:tcBorders>
          </w:tcPr>
          <w:p w14:paraId="072FDD1F" w14:textId="77777777" w:rsidR="00647C6B" w:rsidRPr="00A058B6" w:rsidRDefault="00647C6B" w:rsidP="009C0D79">
            <w:pPr>
              <w:pStyle w:val="TableHeading"/>
            </w:pPr>
            <w:r w:rsidRPr="00A058B6">
              <w:t>Females</w:t>
            </w:r>
          </w:p>
        </w:tc>
      </w:tr>
      <w:tr w:rsidR="00647C6B" w:rsidRPr="00A058B6" w14:paraId="40A901AB" w14:textId="77777777" w:rsidTr="00FA26AF">
        <w:trPr>
          <w:cantSplit/>
          <w:trHeight w:val="152"/>
          <w:tblHeader/>
        </w:trPr>
        <w:tc>
          <w:tcPr>
            <w:tcW w:w="1136" w:type="pct"/>
            <w:vMerge/>
            <w:tcBorders>
              <w:bottom w:val="single" w:sz="12" w:space="0" w:color="auto"/>
            </w:tcBorders>
          </w:tcPr>
          <w:p w14:paraId="6371483E" w14:textId="77777777" w:rsidR="00647C6B" w:rsidRPr="00A058B6" w:rsidRDefault="00647C6B" w:rsidP="009C0D79">
            <w:pPr>
              <w:pStyle w:val="TableHeading"/>
            </w:pPr>
          </w:p>
        </w:tc>
        <w:tc>
          <w:tcPr>
            <w:tcW w:w="966" w:type="pct"/>
            <w:tcBorders>
              <w:top w:val="single" w:sz="4" w:space="0" w:color="auto"/>
              <w:bottom w:val="single" w:sz="12" w:space="0" w:color="auto"/>
            </w:tcBorders>
          </w:tcPr>
          <w:p w14:paraId="0BED520F"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2A71D3A1" w14:textId="77777777" w:rsidR="00647C6B" w:rsidRPr="00A058B6" w:rsidRDefault="00647C6B" w:rsidP="009C0D79">
            <w:pPr>
              <w:pStyle w:val="TableHeading"/>
            </w:pPr>
            <w:r w:rsidRPr="00A058B6">
              <w:t>Reversion</w:t>
            </w:r>
          </w:p>
        </w:tc>
        <w:tc>
          <w:tcPr>
            <w:tcW w:w="966" w:type="pct"/>
            <w:tcBorders>
              <w:top w:val="single" w:sz="4" w:space="0" w:color="auto"/>
              <w:bottom w:val="single" w:sz="12" w:space="0" w:color="auto"/>
            </w:tcBorders>
          </w:tcPr>
          <w:p w14:paraId="6BD09A95"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3CC730D4" w14:textId="77777777" w:rsidR="00647C6B" w:rsidRPr="00A058B6" w:rsidRDefault="00647C6B" w:rsidP="009C0D79">
            <w:pPr>
              <w:pStyle w:val="TableHeading"/>
            </w:pPr>
            <w:r w:rsidRPr="00A058B6">
              <w:t>Reversion</w:t>
            </w:r>
          </w:p>
        </w:tc>
      </w:tr>
      <w:tr w:rsidR="006902CC" w:rsidRPr="009E2595" w14:paraId="75ED3051" w14:textId="77777777" w:rsidTr="006902CC">
        <w:trPr>
          <w:cantSplit/>
        </w:trPr>
        <w:tc>
          <w:tcPr>
            <w:tcW w:w="1136" w:type="pct"/>
            <w:tcBorders>
              <w:top w:val="single" w:sz="12" w:space="0" w:color="auto"/>
              <w:bottom w:val="single" w:sz="4" w:space="0" w:color="auto"/>
            </w:tcBorders>
          </w:tcPr>
          <w:p w14:paraId="2EB1CFFE" w14:textId="77777777" w:rsidR="006902CC" w:rsidRPr="00616B26" w:rsidRDefault="006902CC" w:rsidP="006902CC">
            <w:pPr>
              <w:pStyle w:val="Tabletext"/>
              <w:rPr>
                <w:snapToGrid w:val="0"/>
              </w:rPr>
            </w:pPr>
            <w:r w:rsidRPr="00616B26">
              <w:rPr>
                <w:snapToGrid w:val="0"/>
              </w:rPr>
              <w:t>18</w:t>
            </w:r>
          </w:p>
        </w:tc>
        <w:tc>
          <w:tcPr>
            <w:tcW w:w="966" w:type="pct"/>
            <w:tcBorders>
              <w:top w:val="single" w:sz="12" w:space="0" w:color="auto"/>
              <w:bottom w:val="single" w:sz="4" w:space="0" w:color="auto"/>
            </w:tcBorders>
            <w:vAlign w:val="bottom"/>
          </w:tcPr>
          <w:p w14:paraId="76851910" w14:textId="77777777" w:rsidR="006902CC" w:rsidRPr="00C971C6" w:rsidRDefault="006902CC" w:rsidP="006902CC">
            <w:pPr>
              <w:pStyle w:val="Tabletext"/>
              <w:rPr>
                <w:snapToGrid w:val="0"/>
              </w:rPr>
            </w:pPr>
            <w:r w:rsidRPr="00295986">
              <w:t>26</w:t>
            </w:r>
            <w:r w:rsidR="00D7157D">
              <w:t>.</w:t>
            </w:r>
            <w:r w:rsidRPr="00295986">
              <w:t>8371</w:t>
            </w:r>
          </w:p>
        </w:tc>
        <w:tc>
          <w:tcPr>
            <w:tcW w:w="966" w:type="pct"/>
            <w:tcBorders>
              <w:top w:val="single" w:sz="12" w:space="0" w:color="auto"/>
              <w:bottom w:val="single" w:sz="4" w:space="0" w:color="auto"/>
            </w:tcBorders>
            <w:vAlign w:val="bottom"/>
          </w:tcPr>
          <w:p w14:paraId="6B1F7A30" w14:textId="77777777" w:rsidR="006902CC" w:rsidRPr="00C971C6" w:rsidRDefault="006902CC" w:rsidP="006902CC">
            <w:pPr>
              <w:pStyle w:val="Tabletext"/>
              <w:rPr>
                <w:snapToGrid w:val="0"/>
              </w:rPr>
            </w:pPr>
            <w:r w:rsidRPr="00295986">
              <w:t>0</w:t>
            </w:r>
            <w:r w:rsidR="00D7157D">
              <w:t>.</w:t>
            </w:r>
            <w:r w:rsidRPr="00295986">
              <w:t>5966</w:t>
            </w:r>
          </w:p>
        </w:tc>
        <w:tc>
          <w:tcPr>
            <w:tcW w:w="966" w:type="pct"/>
            <w:tcBorders>
              <w:top w:val="single" w:sz="12" w:space="0" w:color="auto"/>
              <w:bottom w:val="single" w:sz="4" w:space="0" w:color="auto"/>
            </w:tcBorders>
            <w:vAlign w:val="bottom"/>
          </w:tcPr>
          <w:p w14:paraId="319F7B8C" w14:textId="77777777" w:rsidR="006902CC" w:rsidRPr="00C971C6" w:rsidRDefault="006902CC" w:rsidP="006902CC">
            <w:pPr>
              <w:pStyle w:val="Tabletext"/>
              <w:rPr>
                <w:snapToGrid w:val="0"/>
              </w:rPr>
            </w:pPr>
            <w:r w:rsidRPr="00295986">
              <w:t>27</w:t>
            </w:r>
            <w:r w:rsidR="00D7157D">
              <w:t>.</w:t>
            </w:r>
            <w:r w:rsidRPr="00295986">
              <w:t>1795</w:t>
            </w:r>
          </w:p>
        </w:tc>
        <w:tc>
          <w:tcPr>
            <w:tcW w:w="966" w:type="pct"/>
            <w:tcBorders>
              <w:top w:val="single" w:sz="12" w:space="0" w:color="auto"/>
              <w:bottom w:val="single" w:sz="4" w:space="0" w:color="auto"/>
            </w:tcBorders>
            <w:vAlign w:val="bottom"/>
          </w:tcPr>
          <w:p w14:paraId="4E538A4B" w14:textId="77777777" w:rsidR="006902CC" w:rsidRPr="00C971C6" w:rsidRDefault="006902CC" w:rsidP="006902CC">
            <w:pPr>
              <w:pStyle w:val="Tabletext"/>
              <w:rPr>
                <w:snapToGrid w:val="0"/>
              </w:rPr>
            </w:pPr>
            <w:r w:rsidRPr="00295986">
              <w:t>0</w:t>
            </w:r>
            <w:r w:rsidR="00D7157D">
              <w:t>.</w:t>
            </w:r>
            <w:r w:rsidRPr="00295986">
              <w:t>2384</w:t>
            </w:r>
          </w:p>
        </w:tc>
      </w:tr>
      <w:tr w:rsidR="006902CC" w:rsidRPr="009E2595" w14:paraId="64F280D7" w14:textId="77777777" w:rsidTr="006902CC">
        <w:trPr>
          <w:cantSplit/>
        </w:trPr>
        <w:tc>
          <w:tcPr>
            <w:tcW w:w="1136" w:type="pct"/>
            <w:tcBorders>
              <w:top w:val="single" w:sz="4" w:space="0" w:color="auto"/>
              <w:bottom w:val="single" w:sz="4" w:space="0" w:color="auto"/>
            </w:tcBorders>
          </w:tcPr>
          <w:p w14:paraId="276381CC" w14:textId="77777777" w:rsidR="006902CC" w:rsidRPr="00616B26" w:rsidRDefault="006902CC" w:rsidP="006902CC">
            <w:pPr>
              <w:pStyle w:val="Tabletext"/>
              <w:rPr>
                <w:snapToGrid w:val="0"/>
              </w:rPr>
            </w:pPr>
            <w:r w:rsidRPr="00616B26">
              <w:rPr>
                <w:snapToGrid w:val="0"/>
              </w:rPr>
              <w:t>19</w:t>
            </w:r>
          </w:p>
        </w:tc>
        <w:tc>
          <w:tcPr>
            <w:tcW w:w="966" w:type="pct"/>
            <w:tcBorders>
              <w:top w:val="single" w:sz="4" w:space="0" w:color="auto"/>
              <w:bottom w:val="single" w:sz="4" w:space="0" w:color="auto"/>
            </w:tcBorders>
            <w:vAlign w:val="bottom"/>
          </w:tcPr>
          <w:p w14:paraId="2F773804" w14:textId="77777777" w:rsidR="006902CC" w:rsidRPr="00C971C6" w:rsidRDefault="006902CC" w:rsidP="006902CC">
            <w:pPr>
              <w:pStyle w:val="Tabletext"/>
              <w:rPr>
                <w:snapToGrid w:val="0"/>
              </w:rPr>
            </w:pPr>
            <w:r w:rsidRPr="00295986">
              <w:t>26</w:t>
            </w:r>
            <w:r w:rsidR="00D7157D">
              <w:t>.</w:t>
            </w:r>
            <w:r w:rsidRPr="00295986">
              <w:t>7347</w:t>
            </w:r>
          </w:p>
        </w:tc>
        <w:tc>
          <w:tcPr>
            <w:tcW w:w="966" w:type="pct"/>
            <w:tcBorders>
              <w:top w:val="single" w:sz="4" w:space="0" w:color="auto"/>
              <w:bottom w:val="single" w:sz="4" w:space="0" w:color="auto"/>
            </w:tcBorders>
            <w:vAlign w:val="bottom"/>
          </w:tcPr>
          <w:p w14:paraId="0BACC12E" w14:textId="77777777" w:rsidR="006902CC" w:rsidRPr="00C971C6" w:rsidRDefault="006902CC" w:rsidP="006902CC">
            <w:pPr>
              <w:pStyle w:val="Tabletext"/>
              <w:rPr>
                <w:snapToGrid w:val="0"/>
              </w:rPr>
            </w:pPr>
            <w:r w:rsidRPr="00295986">
              <w:t>0</w:t>
            </w:r>
            <w:r w:rsidR="00D7157D">
              <w:t>.</w:t>
            </w:r>
            <w:r w:rsidRPr="00295986">
              <w:t>6166</w:t>
            </w:r>
          </w:p>
        </w:tc>
        <w:tc>
          <w:tcPr>
            <w:tcW w:w="966" w:type="pct"/>
            <w:tcBorders>
              <w:top w:val="single" w:sz="4" w:space="0" w:color="auto"/>
              <w:bottom w:val="single" w:sz="4" w:space="0" w:color="auto"/>
            </w:tcBorders>
            <w:vAlign w:val="bottom"/>
          </w:tcPr>
          <w:p w14:paraId="7D7BBF60" w14:textId="77777777" w:rsidR="006902CC" w:rsidRPr="00C971C6" w:rsidRDefault="006902CC" w:rsidP="006902CC">
            <w:pPr>
              <w:pStyle w:val="Tabletext"/>
              <w:rPr>
                <w:snapToGrid w:val="0"/>
              </w:rPr>
            </w:pPr>
            <w:r w:rsidRPr="00295986">
              <w:t>27</w:t>
            </w:r>
            <w:r w:rsidR="00D7157D">
              <w:t>.</w:t>
            </w:r>
            <w:r w:rsidRPr="00295986">
              <w:t>0869</w:t>
            </w:r>
          </w:p>
        </w:tc>
        <w:tc>
          <w:tcPr>
            <w:tcW w:w="966" w:type="pct"/>
            <w:tcBorders>
              <w:top w:val="single" w:sz="4" w:space="0" w:color="auto"/>
              <w:bottom w:val="single" w:sz="4" w:space="0" w:color="auto"/>
            </w:tcBorders>
            <w:vAlign w:val="bottom"/>
          </w:tcPr>
          <w:p w14:paraId="0F69B286" w14:textId="77777777" w:rsidR="006902CC" w:rsidRPr="00C971C6" w:rsidRDefault="006902CC" w:rsidP="006902CC">
            <w:pPr>
              <w:pStyle w:val="Tabletext"/>
              <w:rPr>
                <w:snapToGrid w:val="0"/>
              </w:rPr>
            </w:pPr>
            <w:r w:rsidRPr="00295986">
              <w:t>0</w:t>
            </w:r>
            <w:r w:rsidR="00D7157D">
              <w:t>.</w:t>
            </w:r>
            <w:r w:rsidRPr="00295986">
              <w:t>2470</w:t>
            </w:r>
          </w:p>
        </w:tc>
      </w:tr>
      <w:tr w:rsidR="006902CC" w:rsidRPr="009E2595" w14:paraId="6EEBCC6C" w14:textId="77777777" w:rsidTr="006902CC">
        <w:trPr>
          <w:cantSplit/>
        </w:trPr>
        <w:tc>
          <w:tcPr>
            <w:tcW w:w="1136" w:type="pct"/>
            <w:tcBorders>
              <w:top w:val="single" w:sz="4" w:space="0" w:color="auto"/>
              <w:bottom w:val="single" w:sz="4" w:space="0" w:color="auto"/>
            </w:tcBorders>
          </w:tcPr>
          <w:p w14:paraId="4645A0DB" w14:textId="77777777" w:rsidR="006902CC" w:rsidRPr="00616B26" w:rsidRDefault="006902CC" w:rsidP="006902CC">
            <w:pPr>
              <w:pStyle w:val="Tabletext"/>
              <w:rPr>
                <w:snapToGrid w:val="0"/>
              </w:rPr>
            </w:pPr>
            <w:r w:rsidRPr="00616B26">
              <w:rPr>
                <w:snapToGrid w:val="0"/>
              </w:rPr>
              <w:t>20</w:t>
            </w:r>
          </w:p>
        </w:tc>
        <w:tc>
          <w:tcPr>
            <w:tcW w:w="966" w:type="pct"/>
            <w:tcBorders>
              <w:top w:val="single" w:sz="4" w:space="0" w:color="auto"/>
              <w:bottom w:val="single" w:sz="4" w:space="0" w:color="auto"/>
            </w:tcBorders>
            <w:vAlign w:val="bottom"/>
          </w:tcPr>
          <w:p w14:paraId="7838C8D9" w14:textId="77777777" w:rsidR="006902CC" w:rsidRPr="00C971C6" w:rsidRDefault="006902CC" w:rsidP="006902CC">
            <w:pPr>
              <w:pStyle w:val="Tabletext"/>
              <w:rPr>
                <w:snapToGrid w:val="0"/>
              </w:rPr>
            </w:pPr>
            <w:r w:rsidRPr="00295986">
              <w:t>26</w:t>
            </w:r>
            <w:r w:rsidR="00D7157D">
              <w:t>.</w:t>
            </w:r>
            <w:r w:rsidRPr="00295986">
              <w:t>6291</w:t>
            </w:r>
          </w:p>
        </w:tc>
        <w:tc>
          <w:tcPr>
            <w:tcW w:w="966" w:type="pct"/>
            <w:tcBorders>
              <w:top w:val="single" w:sz="4" w:space="0" w:color="auto"/>
              <w:bottom w:val="single" w:sz="4" w:space="0" w:color="auto"/>
            </w:tcBorders>
            <w:vAlign w:val="bottom"/>
          </w:tcPr>
          <w:p w14:paraId="357E1E20" w14:textId="77777777" w:rsidR="006902CC" w:rsidRPr="00C971C6" w:rsidRDefault="006902CC" w:rsidP="006902CC">
            <w:pPr>
              <w:pStyle w:val="Tabletext"/>
              <w:rPr>
                <w:snapToGrid w:val="0"/>
              </w:rPr>
            </w:pPr>
            <w:r w:rsidRPr="00295986">
              <w:t>0</w:t>
            </w:r>
            <w:r w:rsidR="00D7157D">
              <w:t>.</w:t>
            </w:r>
            <w:r w:rsidRPr="00295986">
              <w:t>6371</w:t>
            </w:r>
          </w:p>
        </w:tc>
        <w:tc>
          <w:tcPr>
            <w:tcW w:w="966" w:type="pct"/>
            <w:tcBorders>
              <w:top w:val="single" w:sz="4" w:space="0" w:color="auto"/>
              <w:bottom w:val="single" w:sz="4" w:space="0" w:color="auto"/>
            </w:tcBorders>
            <w:vAlign w:val="bottom"/>
          </w:tcPr>
          <w:p w14:paraId="42567DAD" w14:textId="77777777" w:rsidR="006902CC" w:rsidRPr="00C971C6" w:rsidRDefault="006902CC" w:rsidP="006902CC">
            <w:pPr>
              <w:pStyle w:val="Tabletext"/>
              <w:rPr>
                <w:snapToGrid w:val="0"/>
              </w:rPr>
            </w:pPr>
            <w:r w:rsidRPr="00295986">
              <w:t>26</w:t>
            </w:r>
            <w:r w:rsidR="00D7157D">
              <w:t>.</w:t>
            </w:r>
            <w:r w:rsidRPr="00295986">
              <w:t>9908</w:t>
            </w:r>
          </w:p>
        </w:tc>
        <w:tc>
          <w:tcPr>
            <w:tcW w:w="966" w:type="pct"/>
            <w:tcBorders>
              <w:top w:val="single" w:sz="4" w:space="0" w:color="auto"/>
              <w:bottom w:val="single" w:sz="4" w:space="0" w:color="auto"/>
            </w:tcBorders>
            <w:vAlign w:val="bottom"/>
          </w:tcPr>
          <w:p w14:paraId="0B203DB4" w14:textId="77777777" w:rsidR="006902CC" w:rsidRPr="00C971C6" w:rsidRDefault="006902CC" w:rsidP="006902CC">
            <w:pPr>
              <w:pStyle w:val="Tabletext"/>
              <w:rPr>
                <w:snapToGrid w:val="0"/>
              </w:rPr>
            </w:pPr>
            <w:r w:rsidRPr="00295986">
              <w:t>0</w:t>
            </w:r>
            <w:r w:rsidR="00D7157D">
              <w:t>.</w:t>
            </w:r>
            <w:r w:rsidRPr="00295986">
              <w:t>2560</w:t>
            </w:r>
          </w:p>
        </w:tc>
      </w:tr>
      <w:tr w:rsidR="006902CC" w:rsidRPr="009E2595" w14:paraId="0EBEB778" w14:textId="77777777" w:rsidTr="006902CC">
        <w:trPr>
          <w:cantSplit/>
        </w:trPr>
        <w:tc>
          <w:tcPr>
            <w:tcW w:w="1136" w:type="pct"/>
            <w:tcBorders>
              <w:top w:val="single" w:sz="4" w:space="0" w:color="auto"/>
              <w:bottom w:val="single" w:sz="4" w:space="0" w:color="auto"/>
            </w:tcBorders>
          </w:tcPr>
          <w:p w14:paraId="670E479D" w14:textId="77777777" w:rsidR="006902CC" w:rsidRPr="00616B26" w:rsidRDefault="006902CC" w:rsidP="006902CC">
            <w:pPr>
              <w:pStyle w:val="Tabletext"/>
              <w:rPr>
                <w:snapToGrid w:val="0"/>
              </w:rPr>
            </w:pPr>
            <w:r w:rsidRPr="00616B26">
              <w:rPr>
                <w:snapToGrid w:val="0"/>
              </w:rPr>
              <w:t>21</w:t>
            </w:r>
          </w:p>
        </w:tc>
        <w:tc>
          <w:tcPr>
            <w:tcW w:w="966" w:type="pct"/>
            <w:tcBorders>
              <w:top w:val="single" w:sz="4" w:space="0" w:color="auto"/>
              <w:bottom w:val="single" w:sz="4" w:space="0" w:color="auto"/>
            </w:tcBorders>
            <w:vAlign w:val="bottom"/>
          </w:tcPr>
          <w:p w14:paraId="29DE3FF5" w14:textId="77777777" w:rsidR="006902CC" w:rsidRPr="00C971C6" w:rsidRDefault="006902CC" w:rsidP="006902CC">
            <w:pPr>
              <w:pStyle w:val="Tabletext"/>
              <w:rPr>
                <w:snapToGrid w:val="0"/>
              </w:rPr>
            </w:pPr>
            <w:r w:rsidRPr="00295986">
              <w:t>26</w:t>
            </w:r>
            <w:r w:rsidR="00D7157D">
              <w:t>.</w:t>
            </w:r>
            <w:r w:rsidRPr="00295986">
              <w:t>5197</w:t>
            </w:r>
          </w:p>
        </w:tc>
        <w:tc>
          <w:tcPr>
            <w:tcW w:w="966" w:type="pct"/>
            <w:tcBorders>
              <w:top w:val="single" w:sz="4" w:space="0" w:color="auto"/>
              <w:bottom w:val="single" w:sz="4" w:space="0" w:color="auto"/>
            </w:tcBorders>
            <w:vAlign w:val="bottom"/>
          </w:tcPr>
          <w:p w14:paraId="4E485F63" w14:textId="77777777" w:rsidR="006902CC" w:rsidRPr="00C971C6" w:rsidRDefault="006902CC" w:rsidP="006902CC">
            <w:pPr>
              <w:pStyle w:val="Tabletext"/>
              <w:rPr>
                <w:snapToGrid w:val="0"/>
              </w:rPr>
            </w:pPr>
            <w:r w:rsidRPr="00295986">
              <w:t>0</w:t>
            </w:r>
            <w:r w:rsidR="00D7157D">
              <w:t>.</w:t>
            </w:r>
            <w:r w:rsidRPr="00295986">
              <w:t>6584</w:t>
            </w:r>
          </w:p>
        </w:tc>
        <w:tc>
          <w:tcPr>
            <w:tcW w:w="966" w:type="pct"/>
            <w:tcBorders>
              <w:top w:val="single" w:sz="4" w:space="0" w:color="auto"/>
              <w:bottom w:val="single" w:sz="4" w:space="0" w:color="auto"/>
            </w:tcBorders>
            <w:vAlign w:val="bottom"/>
          </w:tcPr>
          <w:p w14:paraId="49803A72" w14:textId="77777777" w:rsidR="006902CC" w:rsidRPr="00C971C6" w:rsidRDefault="006902CC" w:rsidP="006902CC">
            <w:pPr>
              <w:pStyle w:val="Tabletext"/>
              <w:rPr>
                <w:snapToGrid w:val="0"/>
              </w:rPr>
            </w:pPr>
            <w:r w:rsidRPr="00295986">
              <w:t>26</w:t>
            </w:r>
            <w:r w:rsidR="00D7157D">
              <w:t>.</w:t>
            </w:r>
            <w:r w:rsidRPr="00295986">
              <w:t>8913</w:t>
            </w:r>
          </w:p>
        </w:tc>
        <w:tc>
          <w:tcPr>
            <w:tcW w:w="966" w:type="pct"/>
            <w:tcBorders>
              <w:top w:val="single" w:sz="4" w:space="0" w:color="auto"/>
              <w:bottom w:val="single" w:sz="4" w:space="0" w:color="auto"/>
            </w:tcBorders>
            <w:vAlign w:val="bottom"/>
          </w:tcPr>
          <w:p w14:paraId="574F0D51" w14:textId="77777777" w:rsidR="006902CC" w:rsidRPr="00C971C6" w:rsidRDefault="006902CC" w:rsidP="006902CC">
            <w:pPr>
              <w:pStyle w:val="Tabletext"/>
              <w:rPr>
                <w:snapToGrid w:val="0"/>
              </w:rPr>
            </w:pPr>
            <w:r w:rsidRPr="00295986">
              <w:t>0</w:t>
            </w:r>
            <w:r w:rsidR="00D7157D">
              <w:t>.</w:t>
            </w:r>
            <w:r w:rsidRPr="00295986">
              <w:t>2653</w:t>
            </w:r>
          </w:p>
        </w:tc>
      </w:tr>
      <w:tr w:rsidR="006902CC" w:rsidRPr="009E2595" w14:paraId="232A175C" w14:textId="77777777" w:rsidTr="006902CC">
        <w:trPr>
          <w:cantSplit/>
        </w:trPr>
        <w:tc>
          <w:tcPr>
            <w:tcW w:w="1136" w:type="pct"/>
            <w:tcBorders>
              <w:top w:val="single" w:sz="4" w:space="0" w:color="auto"/>
              <w:bottom w:val="single" w:sz="4" w:space="0" w:color="auto"/>
            </w:tcBorders>
          </w:tcPr>
          <w:p w14:paraId="45911E4E" w14:textId="77777777" w:rsidR="006902CC" w:rsidRPr="00616B26" w:rsidRDefault="006902CC" w:rsidP="006902CC">
            <w:pPr>
              <w:pStyle w:val="Tabletext"/>
              <w:rPr>
                <w:snapToGrid w:val="0"/>
              </w:rPr>
            </w:pPr>
            <w:r w:rsidRPr="00616B26">
              <w:rPr>
                <w:snapToGrid w:val="0"/>
              </w:rPr>
              <w:t>22</w:t>
            </w:r>
          </w:p>
        </w:tc>
        <w:tc>
          <w:tcPr>
            <w:tcW w:w="966" w:type="pct"/>
            <w:tcBorders>
              <w:top w:val="single" w:sz="4" w:space="0" w:color="auto"/>
              <w:bottom w:val="single" w:sz="4" w:space="0" w:color="auto"/>
            </w:tcBorders>
            <w:vAlign w:val="bottom"/>
          </w:tcPr>
          <w:p w14:paraId="6B447A83" w14:textId="77777777" w:rsidR="006902CC" w:rsidRPr="00C971C6" w:rsidRDefault="006902CC" w:rsidP="006902CC">
            <w:pPr>
              <w:pStyle w:val="Tabletext"/>
              <w:rPr>
                <w:snapToGrid w:val="0"/>
              </w:rPr>
            </w:pPr>
            <w:r w:rsidRPr="00295986">
              <w:t>26</w:t>
            </w:r>
            <w:r w:rsidR="00D7157D">
              <w:t>.</w:t>
            </w:r>
            <w:r w:rsidRPr="00295986">
              <w:t>4064</w:t>
            </w:r>
          </w:p>
        </w:tc>
        <w:tc>
          <w:tcPr>
            <w:tcW w:w="966" w:type="pct"/>
            <w:tcBorders>
              <w:top w:val="single" w:sz="4" w:space="0" w:color="auto"/>
              <w:bottom w:val="single" w:sz="4" w:space="0" w:color="auto"/>
            </w:tcBorders>
            <w:vAlign w:val="bottom"/>
          </w:tcPr>
          <w:p w14:paraId="3D1CEE2C" w14:textId="77777777" w:rsidR="006902CC" w:rsidRPr="00C971C6" w:rsidRDefault="006902CC" w:rsidP="006902CC">
            <w:pPr>
              <w:pStyle w:val="Tabletext"/>
              <w:rPr>
                <w:snapToGrid w:val="0"/>
              </w:rPr>
            </w:pPr>
            <w:r w:rsidRPr="00295986">
              <w:t>0</w:t>
            </w:r>
            <w:r w:rsidR="00D7157D">
              <w:t>.</w:t>
            </w:r>
            <w:r w:rsidRPr="00295986">
              <w:t>6804</w:t>
            </w:r>
          </w:p>
        </w:tc>
        <w:tc>
          <w:tcPr>
            <w:tcW w:w="966" w:type="pct"/>
            <w:tcBorders>
              <w:top w:val="single" w:sz="4" w:space="0" w:color="auto"/>
              <w:bottom w:val="single" w:sz="4" w:space="0" w:color="auto"/>
            </w:tcBorders>
            <w:vAlign w:val="bottom"/>
          </w:tcPr>
          <w:p w14:paraId="19E9EE1F" w14:textId="77777777" w:rsidR="006902CC" w:rsidRPr="00C971C6" w:rsidRDefault="006902CC" w:rsidP="006902CC">
            <w:pPr>
              <w:pStyle w:val="Tabletext"/>
              <w:rPr>
                <w:snapToGrid w:val="0"/>
              </w:rPr>
            </w:pPr>
            <w:r w:rsidRPr="00295986">
              <w:t>26</w:t>
            </w:r>
            <w:r w:rsidR="00D7157D">
              <w:t>.</w:t>
            </w:r>
            <w:r w:rsidRPr="00295986">
              <w:t>7880</w:t>
            </w:r>
          </w:p>
        </w:tc>
        <w:tc>
          <w:tcPr>
            <w:tcW w:w="966" w:type="pct"/>
            <w:tcBorders>
              <w:top w:val="single" w:sz="4" w:space="0" w:color="auto"/>
              <w:bottom w:val="single" w:sz="4" w:space="0" w:color="auto"/>
            </w:tcBorders>
            <w:vAlign w:val="bottom"/>
          </w:tcPr>
          <w:p w14:paraId="3E60D076" w14:textId="77777777" w:rsidR="006902CC" w:rsidRPr="00C971C6" w:rsidRDefault="006902CC" w:rsidP="006902CC">
            <w:pPr>
              <w:pStyle w:val="Tabletext"/>
              <w:rPr>
                <w:snapToGrid w:val="0"/>
              </w:rPr>
            </w:pPr>
            <w:r w:rsidRPr="00295986">
              <w:t>0</w:t>
            </w:r>
            <w:r w:rsidR="00D7157D">
              <w:t>.</w:t>
            </w:r>
            <w:r w:rsidRPr="00295986">
              <w:t>2750</w:t>
            </w:r>
          </w:p>
        </w:tc>
      </w:tr>
      <w:tr w:rsidR="006902CC" w:rsidRPr="009E2595" w14:paraId="3995FF24" w14:textId="77777777" w:rsidTr="006902CC">
        <w:trPr>
          <w:cantSplit/>
        </w:trPr>
        <w:tc>
          <w:tcPr>
            <w:tcW w:w="1136" w:type="pct"/>
            <w:tcBorders>
              <w:top w:val="single" w:sz="4" w:space="0" w:color="auto"/>
              <w:bottom w:val="single" w:sz="4" w:space="0" w:color="auto"/>
            </w:tcBorders>
          </w:tcPr>
          <w:p w14:paraId="20CEEBC1" w14:textId="77777777" w:rsidR="006902CC" w:rsidRPr="00616B26" w:rsidRDefault="006902CC" w:rsidP="006902CC">
            <w:pPr>
              <w:pStyle w:val="Tabletext"/>
              <w:rPr>
                <w:snapToGrid w:val="0"/>
              </w:rPr>
            </w:pPr>
            <w:r w:rsidRPr="00616B26">
              <w:rPr>
                <w:snapToGrid w:val="0"/>
              </w:rPr>
              <w:t>23</w:t>
            </w:r>
          </w:p>
        </w:tc>
        <w:tc>
          <w:tcPr>
            <w:tcW w:w="966" w:type="pct"/>
            <w:tcBorders>
              <w:top w:val="single" w:sz="4" w:space="0" w:color="auto"/>
              <w:bottom w:val="single" w:sz="4" w:space="0" w:color="auto"/>
            </w:tcBorders>
            <w:vAlign w:val="bottom"/>
          </w:tcPr>
          <w:p w14:paraId="3D3721F5" w14:textId="77777777" w:rsidR="006902CC" w:rsidRPr="00470DC9" w:rsidRDefault="006902CC" w:rsidP="006902CC">
            <w:pPr>
              <w:pStyle w:val="Tabletext"/>
              <w:rPr>
                <w:snapToGrid w:val="0"/>
              </w:rPr>
            </w:pPr>
            <w:r w:rsidRPr="00295986">
              <w:t>26</w:t>
            </w:r>
            <w:r w:rsidR="00D7157D">
              <w:t>.</w:t>
            </w:r>
            <w:r w:rsidRPr="00295986">
              <w:t>2893</w:t>
            </w:r>
          </w:p>
        </w:tc>
        <w:tc>
          <w:tcPr>
            <w:tcW w:w="966" w:type="pct"/>
            <w:tcBorders>
              <w:top w:val="single" w:sz="4" w:space="0" w:color="auto"/>
              <w:bottom w:val="single" w:sz="4" w:space="0" w:color="auto"/>
            </w:tcBorders>
            <w:vAlign w:val="bottom"/>
          </w:tcPr>
          <w:p w14:paraId="071E7B7D" w14:textId="77777777" w:rsidR="006902CC" w:rsidRPr="00470DC9" w:rsidRDefault="006902CC" w:rsidP="006902CC">
            <w:pPr>
              <w:pStyle w:val="Tabletext"/>
              <w:rPr>
                <w:snapToGrid w:val="0"/>
              </w:rPr>
            </w:pPr>
            <w:r w:rsidRPr="00295986">
              <w:t>0</w:t>
            </w:r>
            <w:r w:rsidR="00D7157D">
              <w:t>.</w:t>
            </w:r>
            <w:r w:rsidRPr="00295986">
              <w:t>7031</w:t>
            </w:r>
          </w:p>
        </w:tc>
        <w:tc>
          <w:tcPr>
            <w:tcW w:w="966" w:type="pct"/>
            <w:tcBorders>
              <w:top w:val="single" w:sz="4" w:space="0" w:color="auto"/>
              <w:bottom w:val="single" w:sz="4" w:space="0" w:color="auto"/>
            </w:tcBorders>
            <w:vAlign w:val="bottom"/>
          </w:tcPr>
          <w:p w14:paraId="377428D4" w14:textId="77777777" w:rsidR="006902CC" w:rsidRPr="00470DC9" w:rsidRDefault="006902CC" w:rsidP="006902CC">
            <w:pPr>
              <w:pStyle w:val="Tabletext"/>
              <w:rPr>
                <w:snapToGrid w:val="0"/>
              </w:rPr>
            </w:pPr>
            <w:r w:rsidRPr="00295986">
              <w:t>26</w:t>
            </w:r>
            <w:r w:rsidR="00D7157D">
              <w:t>.</w:t>
            </w:r>
            <w:r w:rsidRPr="00295986">
              <w:t>6810</w:t>
            </w:r>
          </w:p>
        </w:tc>
        <w:tc>
          <w:tcPr>
            <w:tcW w:w="966" w:type="pct"/>
            <w:tcBorders>
              <w:top w:val="single" w:sz="4" w:space="0" w:color="auto"/>
              <w:bottom w:val="single" w:sz="4" w:space="0" w:color="auto"/>
            </w:tcBorders>
            <w:vAlign w:val="bottom"/>
          </w:tcPr>
          <w:p w14:paraId="7E4F0C40" w14:textId="77777777" w:rsidR="006902CC" w:rsidRPr="00470DC9" w:rsidRDefault="006902CC" w:rsidP="006902CC">
            <w:pPr>
              <w:pStyle w:val="Tabletext"/>
              <w:rPr>
                <w:snapToGrid w:val="0"/>
              </w:rPr>
            </w:pPr>
            <w:r w:rsidRPr="00295986">
              <w:t>0</w:t>
            </w:r>
            <w:r w:rsidR="00D7157D">
              <w:t>.</w:t>
            </w:r>
            <w:r w:rsidRPr="00295986">
              <w:t>2851</w:t>
            </w:r>
          </w:p>
        </w:tc>
      </w:tr>
      <w:tr w:rsidR="006902CC" w:rsidRPr="009E2595" w14:paraId="55956993" w14:textId="77777777" w:rsidTr="006902CC">
        <w:trPr>
          <w:cantSplit/>
        </w:trPr>
        <w:tc>
          <w:tcPr>
            <w:tcW w:w="1136" w:type="pct"/>
            <w:tcBorders>
              <w:top w:val="single" w:sz="4" w:space="0" w:color="auto"/>
              <w:bottom w:val="single" w:sz="4" w:space="0" w:color="auto"/>
            </w:tcBorders>
          </w:tcPr>
          <w:p w14:paraId="4A69E6B6" w14:textId="77777777" w:rsidR="006902CC" w:rsidRPr="00616B26" w:rsidRDefault="006902CC" w:rsidP="006902CC">
            <w:pPr>
              <w:pStyle w:val="Tabletext"/>
              <w:rPr>
                <w:snapToGrid w:val="0"/>
              </w:rPr>
            </w:pPr>
            <w:r w:rsidRPr="00616B26">
              <w:rPr>
                <w:snapToGrid w:val="0"/>
              </w:rPr>
              <w:t>24</w:t>
            </w:r>
          </w:p>
        </w:tc>
        <w:tc>
          <w:tcPr>
            <w:tcW w:w="966" w:type="pct"/>
            <w:tcBorders>
              <w:top w:val="single" w:sz="4" w:space="0" w:color="auto"/>
              <w:bottom w:val="single" w:sz="4" w:space="0" w:color="auto"/>
            </w:tcBorders>
            <w:vAlign w:val="bottom"/>
          </w:tcPr>
          <w:p w14:paraId="5BC4BDC4" w14:textId="77777777" w:rsidR="006902CC" w:rsidRPr="00470DC9" w:rsidRDefault="006902CC" w:rsidP="006902CC">
            <w:pPr>
              <w:pStyle w:val="Tabletext"/>
              <w:rPr>
                <w:snapToGrid w:val="0"/>
              </w:rPr>
            </w:pPr>
            <w:r w:rsidRPr="00295986">
              <w:t>26</w:t>
            </w:r>
            <w:r w:rsidR="00D7157D">
              <w:t>.</w:t>
            </w:r>
            <w:r w:rsidRPr="00295986">
              <w:t>1681</w:t>
            </w:r>
          </w:p>
        </w:tc>
        <w:tc>
          <w:tcPr>
            <w:tcW w:w="966" w:type="pct"/>
            <w:tcBorders>
              <w:top w:val="single" w:sz="4" w:space="0" w:color="auto"/>
              <w:bottom w:val="single" w:sz="4" w:space="0" w:color="auto"/>
            </w:tcBorders>
            <w:vAlign w:val="bottom"/>
          </w:tcPr>
          <w:p w14:paraId="25B0E664" w14:textId="77777777" w:rsidR="006902CC" w:rsidRPr="00470DC9" w:rsidRDefault="006902CC" w:rsidP="006902CC">
            <w:pPr>
              <w:pStyle w:val="Tabletext"/>
              <w:rPr>
                <w:snapToGrid w:val="0"/>
              </w:rPr>
            </w:pPr>
            <w:r w:rsidRPr="00295986">
              <w:t>0</w:t>
            </w:r>
            <w:r w:rsidR="00D7157D">
              <w:t>.</w:t>
            </w:r>
            <w:r w:rsidRPr="00295986">
              <w:t>7265</w:t>
            </w:r>
          </w:p>
        </w:tc>
        <w:tc>
          <w:tcPr>
            <w:tcW w:w="966" w:type="pct"/>
            <w:tcBorders>
              <w:top w:val="single" w:sz="4" w:space="0" w:color="auto"/>
              <w:bottom w:val="single" w:sz="4" w:space="0" w:color="auto"/>
            </w:tcBorders>
            <w:vAlign w:val="bottom"/>
          </w:tcPr>
          <w:p w14:paraId="0E834A2C" w14:textId="77777777" w:rsidR="006902CC" w:rsidRPr="00470DC9" w:rsidRDefault="006902CC" w:rsidP="006902CC">
            <w:pPr>
              <w:pStyle w:val="Tabletext"/>
              <w:rPr>
                <w:snapToGrid w:val="0"/>
              </w:rPr>
            </w:pPr>
            <w:r w:rsidRPr="00295986">
              <w:t>26</w:t>
            </w:r>
            <w:r w:rsidR="00D7157D">
              <w:t>.</w:t>
            </w:r>
            <w:r w:rsidRPr="00295986">
              <w:t>5701</w:t>
            </w:r>
          </w:p>
        </w:tc>
        <w:tc>
          <w:tcPr>
            <w:tcW w:w="966" w:type="pct"/>
            <w:tcBorders>
              <w:top w:val="single" w:sz="4" w:space="0" w:color="auto"/>
              <w:bottom w:val="single" w:sz="4" w:space="0" w:color="auto"/>
            </w:tcBorders>
            <w:vAlign w:val="bottom"/>
          </w:tcPr>
          <w:p w14:paraId="5DC1242B" w14:textId="77777777" w:rsidR="006902CC" w:rsidRPr="00470DC9" w:rsidRDefault="006902CC" w:rsidP="006902CC">
            <w:pPr>
              <w:pStyle w:val="Tabletext"/>
              <w:rPr>
                <w:snapToGrid w:val="0"/>
              </w:rPr>
            </w:pPr>
            <w:r w:rsidRPr="00295986">
              <w:t>0</w:t>
            </w:r>
            <w:r w:rsidR="00D7157D">
              <w:t>.</w:t>
            </w:r>
            <w:r w:rsidRPr="00295986">
              <w:t>2956</w:t>
            </w:r>
          </w:p>
        </w:tc>
      </w:tr>
      <w:tr w:rsidR="006902CC" w:rsidRPr="009E2595" w14:paraId="5B7EF983" w14:textId="77777777" w:rsidTr="006902CC">
        <w:trPr>
          <w:cantSplit/>
        </w:trPr>
        <w:tc>
          <w:tcPr>
            <w:tcW w:w="1136" w:type="pct"/>
            <w:tcBorders>
              <w:top w:val="single" w:sz="4" w:space="0" w:color="auto"/>
              <w:bottom w:val="single" w:sz="4" w:space="0" w:color="auto"/>
            </w:tcBorders>
          </w:tcPr>
          <w:p w14:paraId="60001214" w14:textId="77777777" w:rsidR="006902CC" w:rsidRPr="00616B26" w:rsidRDefault="006902CC" w:rsidP="006902CC">
            <w:pPr>
              <w:pStyle w:val="Tabletext"/>
              <w:rPr>
                <w:snapToGrid w:val="0"/>
              </w:rPr>
            </w:pPr>
            <w:r w:rsidRPr="00616B26">
              <w:rPr>
                <w:snapToGrid w:val="0"/>
              </w:rPr>
              <w:t>25</w:t>
            </w:r>
          </w:p>
        </w:tc>
        <w:tc>
          <w:tcPr>
            <w:tcW w:w="966" w:type="pct"/>
            <w:tcBorders>
              <w:top w:val="single" w:sz="4" w:space="0" w:color="auto"/>
              <w:bottom w:val="single" w:sz="4" w:space="0" w:color="auto"/>
            </w:tcBorders>
            <w:vAlign w:val="bottom"/>
          </w:tcPr>
          <w:p w14:paraId="7DC275C2" w14:textId="77777777" w:rsidR="006902CC" w:rsidRPr="00470DC9" w:rsidRDefault="006902CC" w:rsidP="006902CC">
            <w:pPr>
              <w:pStyle w:val="Tabletext"/>
              <w:rPr>
                <w:snapToGrid w:val="0"/>
              </w:rPr>
            </w:pPr>
            <w:r w:rsidRPr="00295986">
              <w:t>26</w:t>
            </w:r>
            <w:r w:rsidR="00D7157D">
              <w:t>.</w:t>
            </w:r>
            <w:r w:rsidRPr="00295986">
              <w:t>0427</w:t>
            </w:r>
          </w:p>
        </w:tc>
        <w:tc>
          <w:tcPr>
            <w:tcW w:w="966" w:type="pct"/>
            <w:tcBorders>
              <w:top w:val="single" w:sz="4" w:space="0" w:color="auto"/>
              <w:bottom w:val="single" w:sz="4" w:space="0" w:color="auto"/>
            </w:tcBorders>
            <w:vAlign w:val="bottom"/>
          </w:tcPr>
          <w:p w14:paraId="282C9448" w14:textId="77777777" w:rsidR="006902CC" w:rsidRPr="00470DC9" w:rsidRDefault="006902CC" w:rsidP="006902CC">
            <w:pPr>
              <w:pStyle w:val="Tabletext"/>
              <w:rPr>
                <w:snapToGrid w:val="0"/>
              </w:rPr>
            </w:pPr>
            <w:r w:rsidRPr="00295986">
              <w:t>0</w:t>
            </w:r>
            <w:r w:rsidR="00D7157D">
              <w:t>.</w:t>
            </w:r>
            <w:r w:rsidRPr="00295986">
              <w:t>7507</w:t>
            </w:r>
          </w:p>
        </w:tc>
        <w:tc>
          <w:tcPr>
            <w:tcW w:w="966" w:type="pct"/>
            <w:tcBorders>
              <w:top w:val="single" w:sz="4" w:space="0" w:color="auto"/>
              <w:bottom w:val="single" w:sz="4" w:space="0" w:color="auto"/>
            </w:tcBorders>
            <w:vAlign w:val="bottom"/>
          </w:tcPr>
          <w:p w14:paraId="51414AEC" w14:textId="77777777" w:rsidR="006902CC" w:rsidRPr="00470DC9" w:rsidRDefault="006902CC" w:rsidP="006902CC">
            <w:pPr>
              <w:pStyle w:val="Tabletext"/>
              <w:rPr>
                <w:snapToGrid w:val="0"/>
              </w:rPr>
            </w:pPr>
            <w:r w:rsidRPr="00295986">
              <w:t>26</w:t>
            </w:r>
            <w:r w:rsidR="00D7157D">
              <w:t>.</w:t>
            </w:r>
            <w:r w:rsidRPr="00295986">
              <w:t>4554</w:t>
            </w:r>
          </w:p>
        </w:tc>
        <w:tc>
          <w:tcPr>
            <w:tcW w:w="966" w:type="pct"/>
            <w:tcBorders>
              <w:top w:val="single" w:sz="4" w:space="0" w:color="auto"/>
              <w:bottom w:val="single" w:sz="4" w:space="0" w:color="auto"/>
            </w:tcBorders>
            <w:vAlign w:val="bottom"/>
          </w:tcPr>
          <w:p w14:paraId="50E4257C" w14:textId="77777777" w:rsidR="006902CC" w:rsidRPr="00470DC9" w:rsidRDefault="006902CC" w:rsidP="006902CC">
            <w:pPr>
              <w:pStyle w:val="Tabletext"/>
              <w:rPr>
                <w:snapToGrid w:val="0"/>
              </w:rPr>
            </w:pPr>
            <w:r w:rsidRPr="00295986">
              <w:t>0</w:t>
            </w:r>
            <w:r w:rsidR="00D7157D">
              <w:t>.</w:t>
            </w:r>
            <w:r w:rsidRPr="00295986">
              <w:t>3064</w:t>
            </w:r>
          </w:p>
        </w:tc>
      </w:tr>
      <w:tr w:rsidR="006902CC" w:rsidRPr="009E2595" w14:paraId="53C70A3D" w14:textId="77777777" w:rsidTr="006902CC">
        <w:trPr>
          <w:cantSplit/>
        </w:trPr>
        <w:tc>
          <w:tcPr>
            <w:tcW w:w="1136" w:type="pct"/>
            <w:tcBorders>
              <w:top w:val="single" w:sz="4" w:space="0" w:color="auto"/>
              <w:bottom w:val="single" w:sz="4" w:space="0" w:color="auto"/>
            </w:tcBorders>
          </w:tcPr>
          <w:p w14:paraId="3136ECE9" w14:textId="77777777" w:rsidR="006902CC" w:rsidRPr="00616B26" w:rsidRDefault="006902CC" w:rsidP="006902CC">
            <w:pPr>
              <w:pStyle w:val="Tabletext"/>
              <w:rPr>
                <w:snapToGrid w:val="0"/>
              </w:rPr>
            </w:pPr>
            <w:r w:rsidRPr="00616B26">
              <w:rPr>
                <w:snapToGrid w:val="0"/>
              </w:rPr>
              <w:t>26</w:t>
            </w:r>
          </w:p>
        </w:tc>
        <w:tc>
          <w:tcPr>
            <w:tcW w:w="966" w:type="pct"/>
            <w:tcBorders>
              <w:top w:val="single" w:sz="4" w:space="0" w:color="auto"/>
              <w:bottom w:val="single" w:sz="4" w:space="0" w:color="auto"/>
            </w:tcBorders>
            <w:vAlign w:val="bottom"/>
          </w:tcPr>
          <w:p w14:paraId="232B63B7" w14:textId="77777777" w:rsidR="006902CC" w:rsidRPr="00470DC9" w:rsidRDefault="006902CC" w:rsidP="006902CC">
            <w:pPr>
              <w:pStyle w:val="Tabletext"/>
              <w:rPr>
                <w:snapToGrid w:val="0"/>
              </w:rPr>
            </w:pPr>
            <w:r w:rsidRPr="00295986">
              <w:t>25</w:t>
            </w:r>
            <w:r w:rsidR="00D7157D">
              <w:t>.</w:t>
            </w:r>
            <w:r w:rsidRPr="00295986">
              <w:t>9129</w:t>
            </w:r>
          </w:p>
        </w:tc>
        <w:tc>
          <w:tcPr>
            <w:tcW w:w="966" w:type="pct"/>
            <w:tcBorders>
              <w:top w:val="single" w:sz="4" w:space="0" w:color="auto"/>
              <w:bottom w:val="single" w:sz="4" w:space="0" w:color="auto"/>
            </w:tcBorders>
            <w:vAlign w:val="bottom"/>
          </w:tcPr>
          <w:p w14:paraId="529D1861" w14:textId="77777777" w:rsidR="006902CC" w:rsidRPr="00470DC9" w:rsidRDefault="006902CC" w:rsidP="006902CC">
            <w:pPr>
              <w:pStyle w:val="Tabletext"/>
              <w:rPr>
                <w:snapToGrid w:val="0"/>
              </w:rPr>
            </w:pPr>
            <w:r w:rsidRPr="00295986">
              <w:t>0</w:t>
            </w:r>
            <w:r w:rsidR="00D7157D">
              <w:t>.</w:t>
            </w:r>
            <w:r w:rsidRPr="00295986">
              <w:t>7756</w:t>
            </w:r>
          </w:p>
        </w:tc>
        <w:tc>
          <w:tcPr>
            <w:tcW w:w="966" w:type="pct"/>
            <w:tcBorders>
              <w:top w:val="single" w:sz="4" w:space="0" w:color="auto"/>
              <w:bottom w:val="single" w:sz="4" w:space="0" w:color="auto"/>
            </w:tcBorders>
            <w:vAlign w:val="bottom"/>
          </w:tcPr>
          <w:p w14:paraId="6FBD2437" w14:textId="77777777" w:rsidR="006902CC" w:rsidRPr="00470DC9" w:rsidRDefault="006902CC" w:rsidP="006902CC">
            <w:pPr>
              <w:pStyle w:val="Tabletext"/>
              <w:rPr>
                <w:snapToGrid w:val="0"/>
              </w:rPr>
            </w:pPr>
            <w:r w:rsidRPr="00295986">
              <w:t>26</w:t>
            </w:r>
            <w:r w:rsidR="00D7157D">
              <w:t>.</w:t>
            </w:r>
            <w:r w:rsidRPr="00295986">
              <w:t>3364</w:t>
            </w:r>
          </w:p>
        </w:tc>
        <w:tc>
          <w:tcPr>
            <w:tcW w:w="966" w:type="pct"/>
            <w:tcBorders>
              <w:top w:val="single" w:sz="4" w:space="0" w:color="auto"/>
              <w:bottom w:val="single" w:sz="4" w:space="0" w:color="auto"/>
            </w:tcBorders>
            <w:vAlign w:val="bottom"/>
          </w:tcPr>
          <w:p w14:paraId="46235029" w14:textId="77777777" w:rsidR="006902CC" w:rsidRPr="00470DC9" w:rsidRDefault="006902CC" w:rsidP="006902CC">
            <w:pPr>
              <w:pStyle w:val="Tabletext"/>
              <w:rPr>
                <w:snapToGrid w:val="0"/>
              </w:rPr>
            </w:pPr>
            <w:r w:rsidRPr="00295986">
              <w:t>0</w:t>
            </w:r>
            <w:r w:rsidR="00D7157D">
              <w:t>.</w:t>
            </w:r>
            <w:r w:rsidRPr="00295986">
              <w:t>3176</w:t>
            </w:r>
          </w:p>
        </w:tc>
      </w:tr>
      <w:tr w:rsidR="006902CC" w:rsidRPr="009E2595" w14:paraId="350B2F57" w14:textId="77777777" w:rsidTr="006902CC">
        <w:trPr>
          <w:cantSplit/>
        </w:trPr>
        <w:tc>
          <w:tcPr>
            <w:tcW w:w="1136" w:type="pct"/>
            <w:tcBorders>
              <w:top w:val="single" w:sz="4" w:space="0" w:color="auto"/>
              <w:bottom w:val="single" w:sz="4" w:space="0" w:color="auto"/>
            </w:tcBorders>
          </w:tcPr>
          <w:p w14:paraId="15E09BBB" w14:textId="77777777" w:rsidR="006902CC" w:rsidRPr="00616B26" w:rsidRDefault="006902CC" w:rsidP="006902CC">
            <w:pPr>
              <w:pStyle w:val="Tabletext"/>
              <w:rPr>
                <w:snapToGrid w:val="0"/>
              </w:rPr>
            </w:pPr>
            <w:r w:rsidRPr="00616B26">
              <w:rPr>
                <w:snapToGrid w:val="0"/>
              </w:rPr>
              <w:t>27</w:t>
            </w:r>
          </w:p>
        </w:tc>
        <w:tc>
          <w:tcPr>
            <w:tcW w:w="966" w:type="pct"/>
            <w:tcBorders>
              <w:top w:val="single" w:sz="4" w:space="0" w:color="auto"/>
              <w:bottom w:val="single" w:sz="4" w:space="0" w:color="auto"/>
            </w:tcBorders>
            <w:vAlign w:val="bottom"/>
          </w:tcPr>
          <w:p w14:paraId="64C3190B" w14:textId="77777777" w:rsidR="006902CC" w:rsidRPr="00470DC9" w:rsidRDefault="006902CC" w:rsidP="006902CC">
            <w:pPr>
              <w:pStyle w:val="Tabletext"/>
              <w:rPr>
                <w:snapToGrid w:val="0"/>
              </w:rPr>
            </w:pPr>
            <w:r w:rsidRPr="00295986">
              <w:t>25</w:t>
            </w:r>
            <w:r w:rsidR="00D7157D">
              <w:t>.</w:t>
            </w:r>
            <w:r w:rsidRPr="00295986">
              <w:t>7787</w:t>
            </w:r>
          </w:p>
        </w:tc>
        <w:tc>
          <w:tcPr>
            <w:tcW w:w="966" w:type="pct"/>
            <w:tcBorders>
              <w:top w:val="single" w:sz="4" w:space="0" w:color="auto"/>
              <w:bottom w:val="single" w:sz="4" w:space="0" w:color="auto"/>
            </w:tcBorders>
            <w:vAlign w:val="bottom"/>
          </w:tcPr>
          <w:p w14:paraId="2BA4991C" w14:textId="77777777" w:rsidR="006902CC" w:rsidRPr="00470DC9" w:rsidRDefault="006902CC" w:rsidP="006902CC">
            <w:pPr>
              <w:pStyle w:val="Tabletext"/>
              <w:rPr>
                <w:snapToGrid w:val="0"/>
              </w:rPr>
            </w:pPr>
            <w:r w:rsidRPr="00295986">
              <w:t>0</w:t>
            </w:r>
            <w:r w:rsidR="00D7157D">
              <w:t>.</w:t>
            </w:r>
            <w:r w:rsidRPr="00295986">
              <w:t>8015</w:t>
            </w:r>
          </w:p>
        </w:tc>
        <w:tc>
          <w:tcPr>
            <w:tcW w:w="966" w:type="pct"/>
            <w:tcBorders>
              <w:top w:val="single" w:sz="4" w:space="0" w:color="auto"/>
              <w:bottom w:val="single" w:sz="4" w:space="0" w:color="auto"/>
            </w:tcBorders>
            <w:vAlign w:val="bottom"/>
          </w:tcPr>
          <w:p w14:paraId="6492800A" w14:textId="77777777" w:rsidR="006902CC" w:rsidRPr="00470DC9" w:rsidRDefault="006902CC" w:rsidP="006902CC">
            <w:pPr>
              <w:pStyle w:val="Tabletext"/>
              <w:rPr>
                <w:snapToGrid w:val="0"/>
              </w:rPr>
            </w:pPr>
            <w:r w:rsidRPr="00295986">
              <w:t>26</w:t>
            </w:r>
            <w:r w:rsidR="00D7157D">
              <w:t>.</w:t>
            </w:r>
            <w:r w:rsidRPr="00295986">
              <w:t>2131</w:t>
            </w:r>
          </w:p>
        </w:tc>
        <w:tc>
          <w:tcPr>
            <w:tcW w:w="966" w:type="pct"/>
            <w:tcBorders>
              <w:top w:val="single" w:sz="4" w:space="0" w:color="auto"/>
              <w:bottom w:val="single" w:sz="4" w:space="0" w:color="auto"/>
            </w:tcBorders>
            <w:vAlign w:val="bottom"/>
          </w:tcPr>
          <w:p w14:paraId="6346FAAA" w14:textId="77777777" w:rsidR="006902CC" w:rsidRPr="00470DC9" w:rsidRDefault="006902CC" w:rsidP="006902CC">
            <w:pPr>
              <w:pStyle w:val="Tabletext"/>
              <w:rPr>
                <w:snapToGrid w:val="0"/>
              </w:rPr>
            </w:pPr>
            <w:r w:rsidRPr="00295986">
              <w:t>0</w:t>
            </w:r>
            <w:r w:rsidR="00D7157D">
              <w:t>.</w:t>
            </w:r>
            <w:r w:rsidRPr="00295986">
              <w:t>3293</w:t>
            </w:r>
          </w:p>
        </w:tc>
      </w:tr>
      <w:tr w:rsidR="006902CC" w:rsidRPr="009E2595" w14:paraId="5D7C9844" w14:textId="77777777" w:rsidTr="006902CC">
        <w:trPr>
          <w:cantSplit/>
        </w:trPr>
        <w:tc>
          <w:tcPr>
            <w:tcW w:w="1136" w:type="pct"/>
            <w:tcBorders>
              <w:top w:val="single" w:sz="4" w:space="0" w:color="auto"/>
              <w:bottom w:val="single" w:sz="4" w:space="0" w:color="auto"/>
            </w:tcBorders>
          </w:tcPr>
          <w:p w14:paraId="0923DF72" w14:textId="77777777" w:rsidR="006902CC" w:rsidRPr="00616B26" w:rsidRDefault="006902CC" w:rsidP="006902CC">
            <w:pPr>
              <w:pStyle w:val="Tabletext"/>
              <w:rPr>
                <w:snapToGrid w:val="0"/>
              </w:rPr>
            </w:pPr>
            <w:r w:rsidRPr="00616B26">
              <w:rPr>
                <w:snapToGrid w:val="0"/>
              </w:rPr>
              <w:t>28</w:t>
            </w:r>
          </w:p>
        </w:tc>
        <w:tc>
          <w:tcPr>
            <w:tcW w:w="966" w:type="pct"/>
            <w:tcBorders>
              <w:top w:val="single" w:sz="4" w:space="0" w:color="auto"/>
              <w:bottom w:val="single" w:sz="4" w:space="0" w:color="auto"/>
            </w:tcBorders>
            <w:vAlign w:val="bottom"/>
          </w:tcPr>
          <w:p w14:paraId="403FCCCA" w14:textId="77777777" w:rsidR="006902CC" w:rsidRPr="00470DC9" w:rsidRDefault="006902CC" w:rsidP="006902CC">
            <w:pPr>
              <w:pStyle w:val="Tabletext"/>
              <w:rPr>
                <w:snapToGrid w:val="0"/>
              </w:rPr>
            </w:pPr>
            <w:r w:rsidRPr="00295986">
              <w:t>25</w:t>
            </w:r>
            <w:r w:rsidR="00D7157D">
              <w:t>.</w:t>
            </w:r>
            <w:r w:rsidRPr="00295986">
              <w:t>6397</w:t>
            </w:r>
          </w:p>
        </w:tc>
        <w:tc>
          <w:tcPr>
            <w:tcW w:w="966" w:type="pct"/>
            <w:tcBorders>
              <w:top w:val="single" w:sz="4" w:space="0" w:color="auto"/>
              <w:bottom w:val="single" w:sz="4" w:space="0" w:color="auto"/>
            </w:tcBorders>
            <w:vAlign w:val="bottom"/>
          </w:tcPr>
          <w:p w14:paraId="6AA039F2" w14:textId="77777777" w:rsidR="006902CC" w:rsidRPr="00470DC9" w:rsidRDefault="006902CC" w:rsidP="006902CC">
            <w:pPr>
              <w:pStyle w:val="Tabletext"/>
              <w:rPr>
                <w:snapToGrid w:val="0"/>
              </w:rPr>
            </w:pPr>
            <w:r w:rsidRPr="00295986">
              <w:t>0</w:t>
            </w:r>
            <w:r w:rsidR="00D7157D">
              <w:t>.</w:t>
            </w:r>
            <w:r w:rsidRPr="00295986">
              <w:t>8281</w:t>
            </w:r>
          </w:p>
        </w:tc>
        <w:tc>
          <w:tcPr>
            <w:tcW w:w="966" w:type="pct"/>
            <w:tcBorders>
              <w:top w:val="single" w:sz="4" w:space="0" w:color="auto"/>
              <w:bottom w:val="single" w:sz="4" w:space="0" w:color="auto"/>
            </w:tcBorders>
            <w:vAlign w:val="bottom"/>
          </w:tcPr>
          <w:p w14:paraId="1FDBED94" w14:textId="77777777" w:rsidR="006902CC" w:rsidRPr="00470DC9" w:rsidRDefault="006902CC" w:rsidP="006902CC">
            <w:pPr>
              <w:pStyle w:val="Tabletext"/>
              <w:rPr>
                <w:snapToGrid w:val="0"/>
              </w:rPr>
            </w:pPr>
            <w:r w:rsidRPr="00295986">
              <w:t>26</w:t>
            </w:r>
            <w:r w:rsidR="00D7157D">
              <w:t>.</w:t>
            </w:r>
            <w:r w:rsidRPr="00295986">
              <w:t>0856</w:t>
            </w:r>
          </w:p>
        </w:tc>
        <w:tc>
          <w:tcPr>
            <w:tcW w:w="966" w:type="pct"/>
            <w:tcBorders>
              <w:top w:val="single" w:sz="4" w:space="0" w:color="auto"/>
              <w:bottom w:val="single" w:sz="4" w:space="0" w:color="auto"/>
            </w:tcBorders>
            <w:vAlign w:val="bottom"/>
          </w:tcPr>
          <w:p w14:paraId="5336197C" w14:textId="77777777" w:rsidR="006902CC" w:rsidRPr="00470DC9" w:rsidRDefault="006902CC" w:rsidP="006902CC">
            <w:pPr>
              <w:pStyle w:val="Tabletext"/>
              <w:rPr>
                <w:snapToGrid w:val="0"/>
              </w:rPr>
            </w:pPr>
            <w:r w:rsidRPr="00295986">
              <w:t>0</w:t>
            </w:r>
            <w:r w:rsidR="00D7157D">
              <w:t>.</w:t>
            </w:r>
            <w:r w:rsidRPr="00295986">
              <w:t>3413</w:t>
            </w:r>
          </w:p>
        </w:tc>
      </w:tr>
      <w:tr w:rsidR="006902CC" w:rsidRPr="009E2595" w14:paraId="271F836D" w14:textId="77777777" w:rsidTr="006902CC">
        <w:trPr>
          <w:cantSplit/>
        </w:trPr>
        <w:tc>
          <w:tcPr>
            <w:tcW w:w="1136" w:type="pct"/>
            <w:tcBorders>
              <w:top w:val="single" w:sz="4" w:space="0" w:color="auto"/>
              <w:bottom w:val="single" w:sz="4" w:space="0" w:color="auto"/>
            </w:tcBorders>
          </w:tcPr>
          <w:p w14:paraId="0FEA49F7" w14:textId="77777777" w:rsidR="006902CC" w:rsidRPr="00616B26" w:rsidRDefault="006902CC" w:rsidP="006902CC">
            <w:pPr>
              <w:pStyle w:val="Tabletext"/>
              <w:rPr>
                <w:snapToGrid w:val="0"/>
              </w:rPr>
            </w:pPr>
            <w:r w:rsidRPr="00616B26">
              <w:rPr>
                <w:snapToGrid w:val="0"/>
              </w:rPr>
              <w:t>29</w:t>
            </w:r>
          </w:p>
        </w:tc>
        <w:tc>
          <w:tcPr>
            <w:tcW w:w="966" w:type="pct"/>
            <w:tcBorders>
              <w:top w:val="single" w:sz="4" w:space="0" w:color="auto"/>
              <w:bottom w:val="single" w:sz="4" w:space="0" w:color="auto"/>
            </w:tcBorders>
            <w:vAlign w:val="bottom"/>
          </w:tcPr>
          <w:p w14:paraId="2A24335E" w14:textId="77777777" w:rsidR="006902CC" w:rsidRPr="00470DC9" w:rsidRDefault="006902CC" w:rsidP="006902CC">
            <w:pPr>
              <w:pStyle w:val="Tabletext"/>
              <w:rPr>
                <w:snapToGrid w:val="0"/>
              </w:rPr>
            </w:pPr>
            <w:r w:rsidRPr="00295986">
              <w:t>25</w:t>
            </w:r>
            <w:r w:rsidR="00D7157D">
              <w:t>.</w:t>
            </w:r>
            <w:r w:rsidRPr="00295986">
              <w:t>4961</w:t>
            </w:r>
          </w:p>
        </w:tc>
        <w:tc>
          <w:tcPr>
            <w:tcW w:w="966" w:type="pct"/>
            <w:tcBorders>
              <w:top w:val="single" w:sz="4" w:space="0" w:color="auto"/>
              <w:bottom w:val="single" w:sz="4" w:space="0" w:color="auto"/>
            </w:tcBorders>
            <w:vAlign w:val="bottom"/>
          </w:tcPr>
          <w:p w14:paraId="49D35E30" w14:textId="77777777" w:rsidR="006902CC" w:rsidRPr="00470DC9" w:rsidRDefault="006902CC" w:rsidP="006902CC">
            <w:pPr>
              <w:pStyle w:val="Tabletext"/>
              <w:rPr>
                <w:snapToGrid w:val="0"/>
              </w:rPr>
            </w:pPr>
            <w:r w:rsidRPr="00295986">
              <w:t>0</w:t>
            </w:r>
            <w:r w:rsidR="00D7157D">
              <w:t>.</w:t>
            </w:r>
            <w:r w:rsidRPr="00295986">
              <w:t>8555</w:t>
            </w:r>
          </w:p>
        </w:tc>
        <w:tc>
          <w:tcPr>
            <w:tcW w:w="966" w:type="pct"/>
            <w:tcBorders>
              <w:top w:val="single" w:sz="4" w:space="0" w:color="auto"/>
              <w:bottom w:val="single" w:sz="4" w:space="0" w:color="auto"/>
            </w:tcBorders>
            <w:vAlign w:val="bottom"/>
          </w:tcPr>
          <w:p w14:paraId="4CD12463" w14:textId="77777777" w:rsidR="006902CC" w:rsidRPr="00470DC9" w:rsidRDefault="006902CC" w:rsidP="006902CC">
            <w:pPr>
              <w:pStyle w:val="Tabletext"/>
              <w:rPr>
                <w:snapToGrid w:val="0"/>
              </w:rPr>
            </w:pPr>
            <w:r w:rsidRPr="00295986">
              <w:t>25</w:t>
            </w:r>
            <w:r w:rsidR="00D7157D">
              <w:t>.</w:t>
            </w:r>
            <w:r w:rsidRPr="00295986">
              <w:t>9536</w:t>
            </w:r>
          </w:p>
        </w:tc>
        <w:tc>
          <w:tcPr>
            <w:tcW w:w="966" w:type="pct"/>
            <w:tcBorders>
              <w:top w:val="single" w:sz="4" w:space="0" w:color="auto"/>
              <w:bottom w:val="single" w:sz="4" w:space="0" w:color="auto"/>
            </w:tcBorders>
            <w:vAlign w:val="bottom"/>
          </w:tcPr>
          <w:p w14:paraId="0E6DD8B6" w14:textId="77777777" w:rsidR="006902CC" w:rsidRPr="00470DC9" w:rsidRDefault="006902CC" w:rsidP="006902CC">
            <w:pPr>
              <w:pStyle w:val="Tabletext"/>
              <w:rPr>
                <w:snapToGrid w:val="0"/>
              </w:rPr>
            </w:pPr>
            <w:r w:rsidRPr="00295986">
              <w:t>0</w:t>
            </w:r>
            <w:r w:rsidR="00D7157D">
              <w:t>.</w:t>
            </w:r>
            <w:r w:rsidRPr="00295986">
              <w:t>3537</w:t>
            </w:r>
          </w:p>
        </w:tc>
      </w:tr>
      <w:tr w:rsidR="006902CC" w:rsidRPr="009E2595" w14:paraId="2234ED39" w14:textId="77777777" w:rsidTr="006902CC">
        <w:trPr>
          <w:cantSplit/>
        </w:trPr>
        <w:tc>
          <w:tcPr>
            <w:tcW w:w="1136" w:type="pct"/>
            <w:tcBorders>
              <w:top w:val="single" w:sz="4" w:space="0" w:color="auto"/>
              <w:bottom w:val="single" w:sz="4" w:space="0" w:color="auto"/>
            </w:tcBorders>
          </w:tcPr>
          <w:p w14:paraId="7F01C71C" w14:textId="77777777" w:rsidR="006902CC" w:rsidRPr="00616B26" w:rsidRDefault="006902CC" w:rsidP="006902CC">
            <w:pPr>
              <w:pStyle w:val="Tabletext"/>
              <w:rPr>
                <w:snapToGrid w:val="0"/>
              </w:rPr>
            </w:pPr>
            <w:r w:rsidRPr="00616B26">
              <w:rPr>
                <w:snapToGrid w:val="0"/>
              </w:rPr>
              <w:t>30</w:t>
            </w:r>
          </w:p>
        </w:tc>
        <w:tc>
          <w:tcPr>
            <w:tcW w:w="966" w:type="pct"/>
            <w:tcBorders>
              <w:top w:val="single" w:sz="4" w:space="0" w:color="auto"/>
              <w:bottom w:val="single" w:sz="4" w:space="0" w:color="auto"/>
            </w:tcBorders>
            <w:vAlign w:val="bottom"/>
          </w:tcPr>
          <w:p w14:paraId="02406733" w14:textId="77777777" w:rsidR="006902CC" w:rsidRPr="00470DC9" w:rsidRDefault="006902CC" w:rsidP="006902CC">
            <w:pPr>
              <w:pStyle w:val="Tabletext"/>
              <w:rPr>
                <w:snapToGrid w:val="0"/>
              </w:rPr>
            </w:pPr>
            <w:r w:rsidRPr="00295986">
              <w:t>25</w:t>
            </w:r>
            <w:r w:rsidR="00D7157D">
              <w:t>.</w:t>
            </w:r>
            <w:r w:rsidRPr="00295986">
              <w:t>3476</w:t>
            </w:r>
          </w:p>
        </w:tc>
        <w:tc>
          <w:tcPr>
            <w:tcW w:w="966" w:type="pct"/>
            <w:tcBorders>
              <w:top w:val="single" w:sz="4" w:space="0" w:color="auto"/>
              <w:bottom w:val="single" w:sz="4" w:space="0" w:color="auto"/>
            </w:tcBorders>
            <w:vAlign w:val="bottom"/>
          </w:tcPr>
          <w:p w14:paraId="7BC3C3E6" w14:textId="77777777" w:rsidR="006902CC" w:rsidRPr="00470DC9" w:rsidRDefault="006902CC" w:rsidP="006902CC">
            <w:pPr>
              <w:pStyle w:val="Tabletext"/>
              <w:rPr>
                <w:snapToGrid w:val="0"/>
              </w:rPr>
            </w:pPr>
            <w:r w:rsidRPr="00295986">
              <w:t>0</w:t>
            </w:r>
            <w:r w:rsidR="00D7157D">
              <w:t>.</w:t>
            </w:r>
            <w:r w:rsidRPr="00295986">
              <w:t>8839</w:t>
            </w:r>
          </w:p>
        </w:tc>
        <w:tc>
          <w:tcPr>
            <w:tcW w:w="966" w:type="pct"/>
            <w:tcBorders>
              <w:top w:val="single" w:sz="4" w:space="0" w:color="auto"/>
              <w:bottom w:val="single" w:sz="4" w:space="0" w:color="auto"/>
            </w:tcBorders>
            <w:vAlign w:val="bottom"/>
          </w:tcPr>
          <w:p w14:paraId="203F4D7D" w14:textId="77777777" w:rsidR="006902CC" w:rsidRPr="00470DC9" w:rsidRDefault="006902CC" w:rsidP="006902CC">
            <w:pPr>
              <w:pStyle w:val="Tabletext"/>
              <w:rPr>
                <w:snapToGrid w:val="0"/>
              </w:rPr>
            </w:pPr>
            <w:r w:rsidRPr="00295986">
              <w:t>25</w:t>
            </w:r>
            <w:r w:rsidR="00D7157D">
              <w:t>.</w:t>
            </w:r>
            <w:r w:rsidRPr="00295986">
              <w:t>8170</w:t>
            </w:r>
          </w:p>
        </w:tc>
        <w:tc>
          <w:tcPr>
            <w:tcW w:w="966" w:type="pct"/>
            <w:tcBorders>
              <w:top w:val="single" w:sz="4" w:space="0" w:color="auto"/>
              <w:bottom w:val="single" w:sz="4" w:space="0" w:color="auto"/>
            </w:tcBorders>
            <w:vAlign w:val="bottom"/>
          </w:tcPr>
          <w:p w14:paraId="378C736D" w14:textId="77777777" w:rsidR="006902CC" w:rsidRPr="00470DC9" w:rsidRDefault="006902CC" w:rsidP="006902CC">
            <w:pPr>
              <w:pStyle w:val="Tabletext"/>
              <w:rPr>
                <w:snapToGrid w:val="0"/>
              </w:rPr>
            </w:pPr>
            <w:r w:rsidRPr="00295986">
              <w:t>0</w:t>
            </w:r>
            <w:r w:rsidR="00D7157D">
              <w:t>.</w:t>
            </w:r>
            <w:r w:rsidRPr="00295986">
              <w:t>3665</w:t>
            </w:r>
          </w:p>
        </w:tc>
      </w:tr>
      <w:tr w:rsidR="006902CC" w:rsidRPr="009E2595" w14:paraId="3071C630" w14:textId="77777777" w:rsidTr="006902CC">
        <w:trPr>
          <w:cantSplit/>
        </w:trPr>
        <w:tc>
          <w:tcPr>
            <w:tcW w:w="1136" w:type="pct"/>
            <w:tcBorders>
              <w:top w:val="single" w:sz="4" w:space="0" w:color="auto"/>
              <w:bottom w:val="single" w:sz="4" w:space="0" w:color="auto"/>
            </w:tcBorders>
          </w:tcPr>
          <w:p w14:paraId="637D6844" w14:textId="77777777" w:rsidR="006902CC" w:rsidRPr="00616B26" w:rsidRDefault="006902CC" w:rsidP="006902CC">
            <w:pPr>
              <w:pStyle w:val="Tabletext"/>
              <w:rPr>
                <w:snapToGrid w:val="0"/>
              </w:rPr>
            </w:pPr>
            <w:r w:rsidRPr="00616B26">
              <w:rPr>
                <w:snapToGrid w:val="0"/>
              </w:rPr>
              <w:t>31</w:t>
            </w:r>
          </w:p>
        </w:tc>
        <w:tc>
          <w:tcPr>
            <w:tcW w:w="966" w:type="pct"/>
            <w:tcBorders>
              <w:top w:val="single" w:sz="4" w:space="0" w:color="auto"/>
              <w:bottom w:val="single" w:sz="4" w:space="0" w:color="auto"/>
            </w:tcBorders>
            <w:vAlign w:val="bottom"/>
          </w:tcPr>
          <w:p w14:paraId="5D15DA42" w14:textId="77777777" w:rsidR="006902CC" w:rsidRPr="00470DC9" w:rsidRDefault="006902CC" w:rsidP="006902CC">
            <w:pPr>
              <w:pStyle w:val="Tabletext"/>
              <w:rPr>
                <w:snapToGrid w:val="0"/>
              </w:rPr>
            </w:pPr>
            <w:r w:rsidRPr="00295986">
              <w:t>25</w:t>
            </w:r>
            <w:r w:rsidR="00D7157D">
              <w:t>.</w:t>
            </w:r>
            <w:r w:rsidRPr="00295986">
              <w:t>1940</w:t>
            </w:r>
          </w:p>
        </w:tc>
        <w:tc>
          <w:tcPr>
            <w:tcW w:w="966" w:type="pct"/>
            <w:tcBorders>
              <w:top w:val="single" w:sz="4" w:space="0" w:color="auto"/>
              <w:bottom w:val="single" w:sz="4" w:space="0" w:color="auto"/>
            </w:tcBorders>
            <w:vAlign w:val="bottom"/>
          </w:tcPr>
          <w:p w14:paraId="2A6302D9" w14:textId="77777777" w:rsidR="006902CC" w:rsidRPr="00470DC9" w:rsidRDefault="006902CC" w:rsidP="006902CC">
            <w:pPr>
              <w:pStyle w:val="Tabletext"/>
              <w:rPr>
                <w:snapToGrid w:val="0"/>
              </w:rPr>
            </w:pPr>
            <w:r w:rsidRPr="00295986">
              <w:t>0</w:t>
            </w:r>
            <w:r w:rsidR="00D7157D">
              <w:t>.</w:t>
            </w:r>
            <w:r w:rsidRPr="00295986">
              <w:t>9131</w:t>
            </w:r>
          </w:p>
        </w:tc>
        <w:tc>
          <w:tcPr>
            <w:tcW w:w="966" w:type="pct"/>
            <w:tcBorders>
              <w:top w:val="single" w:sz="4" w:space="0" w:color="auto"/>
              <w:bottom w:val="single" w:sz="4" w:space="0" w:color="auto"/>
            </w:tcBorders>
            <w:vAlign w:val="bottom"/>
          </w:tcPr>
          <w:p w14:paraId="337115C0" w14:textId="77777777" w:rsidR="006902CC" w:rsidRPr="00470DC9" w:rsidRDefault="006902CC" w:rsidP="006902CC">
            <w:pPr>
              <w:pStyle w:val="Tabletext"/>
              <w:rPr>
                <w:snapToGrid w:val="0"/>
              </w:rPr>
            </w:pPr>
            <w:r w:rsidRPr="00295986">
              <w:t>25</w:t>
            </w:r>
            <w:r w:rsidR="00D7157D">
              <w:t>.</w:t>
            </w:r>
            <w:r w:rsidRPr="00295986">
              <w:t>6757</w:t>
            </w:r>
          </w:p>
        </w:tc>
        <w:tc>
          <w:tcPr>
            <w:tcW w:w="966" w:type="pct"/>
            <w:tcBorders>
              <w:top w:val="single" w:sz="4" w:space="0" w:color="auto"/>
              <w:bottom w:val="single" w:sz="4" w:space="0" w:color="auto"/>
            </w:tcBorders>
            <w:vAlign w:val="bottom"/>
          </w:tcPr>
          <w:p w14:paraId="145C3534" w14:textId="77777777" w:rsidR="006902CC" w:rsidRPr="00470DC9" w:rsidRDefault="006902CC" w:rsidP="006902CC">
            <w:pPr>
              <w:pStyle w:val="Tabletext"/>
              <w:rPr>
                <w:snapToGrid w:val="0"/>
              </w:rPr>
            </w:pPr>
            <w:r w:rsidRPr="00295986">
              <w:t>0</w:t>
            </w:r>
            <w:r w:rsidR="00D7157D">
              <w:t>.</w:t>
            </w:r>
            <w:r w:rsidRPr="00295986">
              <w:t>3797</w:t>
            </w:r>
          </w:p>
        </w:tc>
      </w:tr>
      <w:tr w:rsidR="006902CC" w:rsidRPr="009E2595" w14:paraId="66A72638" w14:textId="77777777" w:rsidTr="006902CC">
        <w:trPr>
          <w:cantSplit/>
        </w:trPr>
        <w:tc>
          <w:tcPr>
            <w:tcW w:w="1136" w:type="pct"/>
            <w:tcBorders>
              <w:top w:val="single" w:sz="4" w:space="0" w:color="auto"/>
              <w:bottom w:val="single" w:sz="4" w:space="0" w:color="auto"/>
            </w:tcBorders>
          </w:tcPr>
          <w:p w14:paraId="17CCDF0E" w14:textId="77777777" w:rsidR="006902CC" w:rsidRPr="00616B26" w:rsidRDefault="006902CC" w:rsidP="006902CC">
            <w:pPr>
              <w:pStyle w:val="Tabletext"/>
              <w:rPr>
                <w:snapToGrid w:val="0"/>
              </w:rPr>
            </w:pPr>
            <w:r w:rsidRPr="00616B26">
              <w:rPr>
                <w:snapToGrid w:val="0"/>
              </w:rPr>
              <w:t>32</w:t>
            </w:r>
          </w:p>
        </w:tc>
        <w:tc>
          <w:tcPr>
            <w:tcW w:w="966" w:type="pct"/>
            <w:tcBorders>
              <w:top w:val="single" w:sz="4" w:space="0" w:color="auto"/>
              <w:bottom w:val="single" w:sz="4" w:space="0" w:color="auto"/>
            </w:tcBorders>
            <w:vAlign w:val="bottom"/>
          </w:tcPr>
          <w:p w14:paraId="2995D7BB" w14:textId="77777777" w:rsidR="006902CC" w:rsidRPr="00470DC9" w:rsidRDefault="006902CC" w:rsidP="006902CC">
            <w:pPr>
              <w:pStyle w:val="Tabletext"/>
              <w:rPr>
                <w:snapToGrid w:val="0"/>
              </w:rPr>
            </w:pPr>
            <w:r w:rsidRPr="00295986">
              <w:t>25</w:t>
            </w:r>
            <w:r w:rsidR="00D7157D">
              <w:t>.</w:t>
            </w:r>
            <w:r w:rsidRPr="00295986">
              <w:t>0353</w:t>
            </w:r>
          </w:p>
        </w:tc>
        <w:tc>
          <w:tcPr>
            <w:tcW w:w="966" w:type="pct"/>
            <w:tcBorders>
              <w:top w:val="single" w:sz="4" w:space="0" w:color="auto"/>
              <w:bottom w:val="single" w:sz="4" w:space="0" w:color="auto"/>
            </w:tcBorders>
            <w:vAlign w:val="bottom"/>
          </w:tcPr>
          <w:p w14:paraId="7481EAE3" w14:textId="77777777" w:rsidR="006902CC" w:rsidRPr="00470DC9" w:rsidRDefault="006902CC" w:rsidP="006902CC">
            <w:pPr>
              <w:pStyle w:val="Tabletext"/>
              <w:rPr>
                <w:snapToGrid w:val="0"/>
              </w:rPr>
            </w:pPr>
            <w:r w:rsidRPr="00295986">
              <w:t>0</w:t>
            </w:r>
            <w:r w:rsidR="00D7157D">
              <w:t>.</w:t>
            </w:r>
            <w:r w:rsidRPr="00295986">
              <w:t>9431</w:t>
            </w:r>
          </w:p>
        </w:tc>
        <w:tc>
          <w:tcPr>
            <w:tcW w:w="966" w:type="pct"/>
            <w:tcBorders>
              <w:top w:val="single" w:sz="4" w:space="0" w:color="auto"/>
              <w:bottom w:val="single" w:sz="4" w:space="0" w:color="auto"/>
            </w:tcBorders>
            <w:vAlign w:val="bottom"/>
          </w:tcPr>
          <w:p w14:paraId="371CEB05" w14:textId="77777777" w:rsidR="006902CC" w:rsidRPr="00470DC9" w:rsidRDefault="006902CC" w:rsidP="006902CC">
            <w:pPr>
              <w:pStyle w:val="Tabletext"/>
              <w:rPr>
                <w:snapToGrid w:val="0"/>
              </w:rPr>
            </w:pPr>
            <w:r w:rsidRPr="00295986">
              <w:t>25</w:t>
            </w:r>
            <w:r w:rsidR="00D7157D">
              <w:t>.</w:t>
            </w:r>
            <w:r w:rsidRPr="00295986">
              <w:t>5298</w:t>
            </w:r>
          </w:p>
        </w:tc>
        <w:tc>
          <w:tcPr>
            <w:tcW w:w="966" w:type="pct"/>
            <w:tcBorders>
              <w:top w:val="single" w:sz="4" w:space="0" w:color="auto"/>
              <w:bottom w:val="single" w:sz="4" w:space="0" w:color="auto"/>
            </w:tcBorders>
            <w:vAlign w:val="bottom"/>
          </w:tcPr>
          <w:p w14:paraId="6B70EFA9" w14:textId="77777777" w:rsidR="006902CC" w:rsidRPr="00470DC9" w:rsidRDefault="006902CC" w:rsidP="006902CC">
            <w:pPr>
              <w:pStyle w:val="Tabletext"/>
              <w:rPr>
                <w:snapToGrid w:val="0"/>
              </w:rPr>
            </w:pPr>
            <w:r w:rsidRPr="00295986">
              <w:t>0</w:t>
            </w:r>
            <w:r w:rsidR="00D7157D">
              <w:t>.</w:t>
            </w:r>
            <w:r w:rsidRPr="00295986">
              <w:t>3931</w:t>
            </w:r>
          </w:p>
        </w:tc>
      </w:tr>
      <w:tr w:rsidR="006902CC" w:rsidRPr="009E2595" w14:paraId="12AA4C1F" w14:textId="77777777" w:rsidTr="006902CC">
        <w:trPr>
          <w:cantSplit/>
        </w:trPr>
        <w:tc>
          <w:tcPr>
            <w:tcW w:w="1136" w:type="pct"/>
            <w:tcBorders>
              <w:top w:val="single" w:sz="4" w:space="0" w:color="auto"/>
              <w:bottom w:val="single" w:sz="4" w:space="0" w:color="auto"/>
            </w:tcBorders>
          </w:tcPr>
          <w:p w14:paraId="35722E0D" w14:textId="77777777" w:rsidR="006902CC" w:rsidRPr="00616B26" w:rsidRDefault="006902CC" w:rsidP="006902CC">
            <w:pPr>
              <w:pStyle w:val="Tabletext"/>
              <w:rPr>
                <w:snapToGrid w:val="0"/>
              </w:rPr>
            </w:pPr>
            <w:r w:rsidRPr="00616B26">
              <w:rPr>
                <w:snapToGrid w:val="0"/>
              </w:rPr>
              <w:t>33</w:t>
            </w:r>
          </w:p>
        </w:tc>
        <w:tc>
          <w:tcPr>
            <w:tcW w:w="966" w:type="pct"/>
            <w:tcBorders>
              <w:top w:val="single" w:sz="4" w:space="0" w:color="auto"/>
              <w:bottom w:val="single" w:sz="4" w:space="0" w:color="auto"/>
            </w:tcBorders>
            <w:vAlign w:val="bottom"/>
          </w:tcPr>
          <w:p w14:paraId="785D7E4A" w14:textId="77777777" w:rsidR="006902CC" w:rsidRPr="00470DC9" w:rsidRDefault="006902CC" w:rsidP="006902CC">
            <w:pPr>
              <w:pStyle w:val="Tabletext"/>
              <w:rPr>
                <w:snapToGrid w:val="0"/>
              </w:rPr>
            </w:pPr>
            <w:r w:rsidRPr="00295986">
              <w:t>24</w:t>
            </w:r>
            <w:r w:rsidR="00D7157D">
              <w:t>.</w:t>
            </w:r>
            <w:r w:rsidRPr="00295986">
              <w:t>8713</w:t>
            </w:r>
          </w:p>
        </w:tc>
        <w:tc>
          <w:tcPr>
            <w:tcW w:w="966" w:type="pct"/>
            <w:tcBorders>
              <w:top w:val="single" w:sz="4" w:space="0" w:color="auto"/>
              <w:bottom w:val="single" w:sz="4" w:space="0" w:color="auto"/>
            </w:tcBorders>
            <w:vAlign w:val="bottom"/>
          </w:tcPr>
          <w:p w14:paraId="35C2C75B" w14:textId="77777777" w:rsidR="006902CC" w:rsidRPr="00470DC9" w:rsidRDefault="006902CC" w:rsidP="006902CC">
            <w:pPr>
              <w:pStyle w:val="Tabletext"/>
              <w:rPr>
                <w:snapToGrid w:val="0"/>
              </w:rPr>
            </w:pPr>
            <w:r w:rsidRPr="00295986">
              <w:t>0</w:t>
            </w:r>
            <w:r w:rsidR="00D7157D">
              <w:t>.</w:t>
            </w:r>
            <w:r w:rsidRPr="00295986">
              <w:t>9740</w:t>
            </w:r>
          </w:p>
        </w:tc>
        <w:tc>
          <w:tcPr>
            <w:tcW w:w="966" w:type="pct"/>
            <w:tcBorders>
              <w:top w:val="single" w:sz="4" w:space="0" w:color="auto"/>
              <w:bottom w:val="single" w:sz="4" w:space="0" w:color="auto"/>
            </w:tcBorders>
            <w:vAlign w:val="bottom"/>
          </w:tcPr>
          <w:p w14:paraId="0C66CC3F" w14:textId="77777777" w:rsidR="006902CC" w:rsidRPr="00470DC9" w:rsidRDefault="006902CC" w:rsidP="006902CC">
            <w:pPr>
              <w:pStyle w:val="Tabletext"/>
              <w:rPr>
                <w:snapToGrid w:val="0"/>
              </w:rPr>
            </w:pPr>
            <w:r w:rsidRPr="00295986">
              <w:t>25</w:t>
            </w:r>
            <w:r w:rsidR="00D7157D">
              <w:t>.</w:t>
            </w:r>
            <w:r w:rsidRPr="00295986">
              <w:t>3788</w:t>
            </w:r>
          </w:p>
        </w:tc>
        <w:tc>
          <w:tcPr>
            <w:tcW w:w="966" w:type="pct"/>
            <w:tcBorders>
              <w:top w:val="single" w:sz="4" w:space="0" w:color="auto"/>
              <w:bottom w:val="single" w:sz="4" w:space="0" w:color="auto"/>
            </w:tcBorders>
            <w:vAlign w:val="bottom"/>
          </w:tcPr>
          <w:p w14:paraId="5EB64CB9" w14:textId="77777777" w:rsidR="006902CC" w:rsidRPr="00470DC9" w:rsidRDefault="006902CC" w:rsidP="006902CC">
            <w:pPr>
              <w:pStyle w:val="Tabletext"/>
              <w:rPr>
                <w:snapToGrid w:val="0"/>
              </w:rPr>
            </w:pPr>
            <w:r w:rsidRPr="00295986">
              <w:t>0</w:t>
            </w:r>
            <w:r w:rsidR="00D7157D">
              <w:t>.</w:t>
            </w:r>
            <w:r w:rsidRPr="00295986">
              <w:t>4070</w:t>
            </w:r>
          </w:p>
        </w:tc>
      </w:tr>
      <w:tr w:rsidR="006902CC" w:rsidRPr="009E2595" w14:paraId="515D7C37" w14:textId="77777777" w:rsidTr="006902CC">
        <w:trPr>
          <w:cantSplit/>
        </w:trPr>
        <w:tc>
          <w:tcPr>
            <w:tcW w:w="1136" w:type="pct"/>
            <w:tcBorders>
              <w:top w:val="single" w:sz="4" w:space="0" w:color="auto"/>
              <w:bottom w:val="single" w:sz="4" w:space="0" w:color="auto"/>
            </w:tcBorders>
          </w:tcPr>
          <w:p w14:paraId="2A36FEDB" w14:textId="77777777" w:rsidR="006902CC" w:rsidRPr="00616B26" w:rsidRDefault="006902CC" w:rsidP="006902CC">
            <w:pPr>
              <w:pStyle w:val="Tabletext"/>
              <w:rPr>
                <w:snapToGrid w:val="0"/>
              </w:rPr>
            </w:pPr>
            <w:r w:rsidRPr="00616B26">
              <w:rPr>
                <w:snapToGrid w:val="0"/>
              </w:rPr>
              <w:t>34</w:t>
            </w:r>
          </w:p>
        </w:tc>
        <w:tc>
          <w:tcPr>
            <w:tcW w:w="966" w:type="pct"/>
            <w:tcBorders>
              <w:top w:val="single" w:sz="4" w:space="0" w:color="auto"/>
              <w:bottom w:val="single" w:sz="4" w:space="0" w:color="auto"/>
            </w:tcBorders>
            <w:vAlign w:val="bottom"/>
          </w:tcPr>
          <w:p w14:paraId="1ADBD6E0" w14:textId="77777777" w:rsidR="006902CC" w:rsidRPr="00470DC9" w:rsidRDefault="006902CC" w:rsidP="006902CC">
            <w:pPr>
              <w:pStyle w:val="Tabletext"/>
              <w:rPr>
                <w:snapToGrid w:val="0"/>
              </w:rPr>
            </w:pPr>
            <w:r w:rsidRPr="00295986">
              <w:t>24</w:t>
            </w:r>
            <w:r w:rsidR="00D7157D">
              <w:t>.</w:t>
            </w:r>
            <w:r w:rsidRPr="00295986">
              <w:t>7017</w:t>
            </w:r>
          </w:p>
        </w:tc>
        <w:tc>
          <w:tcPr>
            <w:tcW w:w="966" w:type="pct"/>
            <w:tcBorders>
              <w:top w:val="single" w:sz="4" w:space="0" w:color="auto"/>
              <w:bottom w:val="single" w:sz="4" w:space="0" w:color="auto"/>
            </w:tcBorders>
            <w:vAlign w:val="bottom"/>
          </w:tcPr>
          <w:p w14:paraId="7ECF1581" w14:textId="77777777" w:rsidR="006902CC" w:rsidRPr="00470DC9" w:rsidRDefault="006902CC" w:rsidP="006902CC">
            <w:pPr>
              <w:pStyle w:val="Tabletext"/>
              <w:rPr>
                <w:snapToGrid w:val="0"/>
              </w:rPr>
            </w:pPr>
            <w:r w:rsidRPr="00295986">
              <w:t>1</w:t>
            </w:r>
            <w:r w:rsidR="00D7157D">
              <w:t>.</w:t>
            </w:r>
            <w:r w:rsidRPr="00295986">
              <w:t>0058</w:t>
            </w:r>
          </w:p>
        </w:tc>
        <w:tc>
          <w:tcPr>
            <w:tcW w:w="966" w:type="pct"/>
            <w:tcBorders>
              <w:top w:val="single" w:sz="4" w:space="0" w:color="auto"/>
              <w:bottom w:val="single" w:sz="4" w:space="0" w:color="auto"/>
            </w:tcBorders>
            <w:vAlign w:val="bottom"/>
          </w:tcPr>
          <w:p w14:paraId="6978F6AA" w14:textId="77777777" w:rsidR="006902CC" w:rsidRPr="00470DC9" w:rsidRDefault="006902CC" w:rsidP="006902CC">
            <w:pPr>
              <w:pStyle w:val="Tabletext"/>
              <w:rPr>
                <w:snapToGrid w:val="0"/>
              </w:rPr>
            </w:pPr>
            <w:r w:rsidRPr="00295986">
              <w:t>25</w:t>
            </w:r>
            <w:r w:rsidR="00D7157D">
              <w:t>.</w:t>
            </w:r>
            <w:r w:rsidRPr="00295986">
              <w:t>2228</w:t>
            </w:r>
          </w:p>
        </w:tc>
        <w:tc>
          <w:tcPr>
            <w:tcW w:w="966" w:type="pct"/>
            <w:tcBorders>
              <w:top w:val="single" w:sz="4" w:space="0" w:color="auto"/>
              <w:bottom w:val="single" w:sz="4" w:space="0" w:color="auto"/>
            </w:tcBorders>
            <w:vAlign w:val="bottom"/>
          </w:tcPr>
          <w:p w14:paraId="609BBAE3" w14:textId="77777777" w:rsidR="006902CC" w:rsidRPr="00470DC9" w:rsidRDefault="006902CC" w:rsidP="006902CC">
            <w:pPr>
              <w:pStyle w:val="Tabletext"/>
              <w:rPr>
                <w:snapToGrid w:val="0"/>
              </w:rPr>
            </w:pPr>
            <w:r w:rsidRPr="00295986">
              <w:t>0</w:t>
            </w:r>
            <w:r w:rsidR="00D7157D">
              <w:t>.</w:t>
            </w:r>
            <w:r w:rsidRPr="00295986">
              <w:t>4212</w:t>
            </w:r>
          </w:p>
        </w:tc>
      </w:tr>
      <w:tr w:rsidR="006902CC" w:rsidRPr="009E2595" w14:paraId="7F0E30B7" w14:textId="77777777" w:rsidTr="006902CC">
        <w:trPr>
          <w:cantSplit/>
        </w:trPr>
        <w:tc>
          <w:tcPr>
            <w:tcW w:w="1136" w:type="pct"/>
            <w:tcBorders>
              <w:top w:val="single" w:sz="4" w:space="0" w:color="auto"/>
              <w:bottom w:val="single" w:sz="4" w:space="0" w:color="auto"/>
            </w:tcBorders>
          </w:tcPr>
          <w:p w14:paraId="0A733D73" w14:textId="77777777" w:rsidR="006902CC" w:rsidRPr="00616B26" w:rsidRDefault="006902CC" w:rsidP="006902CC">
            <w:pPr>
              <w:pStyle w:val="Tabletext"/>
              <w:rPr>
                <w:snapToGrid w:val="0"/>
              </w:rPr>
            </w:pPr>
            <w:r w:rsidRPr="00616B26">
              <w:rPr>
                <w:snapToGrid w:val="0"/>
              </w:rPr>
              <w:t>35</w:t>
            </w:r>
          </w:p>
        </w:tc>
        <w:tc>
          <w:tcPr>
            <w:tcW w:w="966" w:type="pct"/>
            <w:tcBorders>
              <w:top w:val="single" w:sz="4" w:space="0" w:color="auto"/>
              <w:bottom w:val="single" w:sz="4" w:space="0" w:color="auto"/>
            </w:tcBorders>
            <w:vAlign w:val="bottom"/>
          </w:tcPr>
          <w:p w14:paraId="020914BC" w14:textId="77777777" w:rsidR="006902CC" w:rsidRPr="00C971C6" w:rsidRDefault="006902CC" w:rsidP="006902CC">
            <w:pPr>
              <w:pStyle w:val="Tabletext"/>
              <w:rPr>
                <w:snapToGrid w:val="0"/>
              </w:rPr>
            </w:pPr>
            <w:r w:rsidRPr="00295986">
              <w:t>24</w:t>
            </w:r>
            <w:r w:rsidR="00D7157D">
              <w:t>.</w:t>
            </w:r>
            <w:r w:rsidRPr="00295986">
              <w:t>5266</w:t>
            </w:r>
          </w:p>
        </w:tc>
        <w:tc>
          <w:tcPr>
            <w:tcW w:w="966" w:type="pct"/>
            <w:tcBorders>
              <w:top w:val="single" w:sz="4" w:space="0" w:color="auto"/>
              <w:bottom w:val="single" w:sz="4" w:space="0" w:color="auto"/>
            </w:tcBorders>
            <w:vAlign w:val="bottom"/>
          </w:tcPr>
          <w:p w14:paraId="316D2D5D" w14:textId="77777777" w:rsidR="006902CC" w:rsidRPr="00C971C6" w:rsidRDefault="006902CC" w:rsidP="006902CC">
            <w:pPr>
              <w:pStyle w:val="Tabletext"/>
              <w:rPr>
                <w:snapToGrid w:val="0"/>
              </w:rPr>
            </w:pPr>
            <w:r w:rsidRPr="00295986">
              <w:t>1</w:t>
            </w:r>
            <w:r w:rsidR="00D7157D">
              <w:t>.</w:t>
            </w:r>
            <w:r w:rsidRPr="00295986">
              <w:t>0384</w:t>
            </w:r>
          </w:p>
        </w:tc>
        <w:tc>
          <w:tcPr>
            <w:tcW w:w="966" w:type="pct"/>
            <w:tcBorders>
              <w:top w:val="single" w:sz="4" w:space="0" w:color="auto"/>
              <w:bottom w:val="single" w:sz="4" w:space="0" w:color="auto"/>
            </w:tcBorders>
            <w:vAlign w:val="bottom"/>
          </w:tcPr>
          <w:p w14:paraId="4472240D" w14:textId="77777777" w:rsidR="006902CC" w:rsidRPr="00C971C6" w:rsidRDefault="006902CC" w:rsidP="006902CC">
            <w:pPr>
              <w:pStyle w:val="Tabletext"/>
              <w:rPr>
                <w:snapToGrid w:val="0"/>
              </w:rPr>
            </w:pPr>
            <w:r w:rsidRPr="00295986">
              <w:t>25</w:t>
            </w:r>
            <w:r w:rsidR="00D7157D">
              <w:t>.</w:t>
            </w:r>
            <w:r w:rsidRPr="00295986">
              <w:t>0613</w:t>
            </w:r>
          </w:p>
        </w:tc>
        <w:tc>
          <w:tcPr>
            <w:tcW w:w="966" w:type="pct"/>
            <w:tcBorders>
              <w:top w:val="single" w:sz="4" w:space="0" w:color="auto"/>
              <w:bottom w:val="single" w:sz="4" w:space="0" w:color="auto"/>
            </w:tcBorders>
            <w:vAlign w:val="bottom"/>
          </w:tcPr>
          <w:p w14:paraId="69DDDA57" w14:textId="77777777" w:rsidR="006902CC" w:rsidRPr="00C971C6" w:rsidRDefault="006902CC" w:rsidP="006902CC">
            <w:pPr>
              <w:pStyle w:val="Tabletext"/>
              <w:rPr>
                <w:snapToGrid w:val="0"/>
              </w:rPr>
            </w:pPr>
            <w:r w:rsidRPr="00295986">
              <w:t>0</w:t>
            </w:r>
            <w:r w:rsidR="00D7157D">
              <w:t>.</w:t>
            </w:r>
            <w:r w:rsidRPr="00295986">
              <w:t>4358</w:t>
            </w:r>
          </w:p>
        </w:tc>
      </w:tr>
      <w:tr w:rsidR="006902CC" w:rsidRPr="009E2595" w14:paraId="109CA758" w14:textId="77777777" w:rsidTr="006902CC">
        <w:trPr>
          <w:cantSplit/>
        </w:trPr>
        <w:tc>
          <w:tcPr>
            <w:tcW w:w="1136" w:type="pct"/>
            <w:tcBorders>
              <w:top w:val="single" w:sz="4" w:space="0" w:color="auto"/>
              <w:bottom w:val="single" w:sz="4" w:space="0" w:color="auto"/>
            </w:tcBorders>
          </w:tcPr>
          <w:p w14:paraId="5E6FD903" w14:textId="77777777" w:rsidR="006902CC" w:rsidRPr="00616B26" w:rsidRDefault="006902CC" w:rsidP="006902CC">
            <w:pPr>
              <w:pStyle w:val="Tabletext"/>
              <w:rPr>
                <w:snapToGrid w:val="0"/>
              </w:rPr>
            </w:pPr>
            <w:r w:rsidRPr="00616B26">
              <w:rPr>
                <w:snapToGrid w:val="0"/>
              </w:rPr>
              <w:t>36</w:t>
            </w:r>
          </w:p>
        </w:tc>
        <w:tc>
          <w:tcPr>
            <w:tcW w:w="966" w:type="pct"/>
            <w:tcBorders>
              <w:top w:val="single" w:sz="4" w:space="0" w:color="auto"/>
              <w:bottom w:val="single" w:sz="4" w:space="0" w:color="auto"/>
            </w:tcBorders>
            <w:vAlign w:val="bottom"/>
          </w:tcPr>
          <w:p w14:paraId="03E51DBD" w14:textId="77777777" w:rsidR="006902CC" w:rsidRPr="00C971C6" w:rsidRDefault="006902CC" w:rsidP="006902CC">
            <w:pPr>
              <w:pStyle w:val="Tabletext"/>
              <w:rPr>
                <w:snapToGrid w:val="0"/>
              </w:rPr>
            </w:pPr>
            <w:r w:rsidRPr="00295986">
              <w:t>24</w:t>
            </w:r>
            <w:r w:rsidR="00D7157D">
              <w:t>.</w:t>
            </w:r>
            <w:r w:rsidRPr="00295986">
              <w:t>3458</w:t>
            </w:r>
          </w:p>
        </w:tc>
        <w:tc>
          <w:tcPr>
            <w:tcW w:w="966" w:type="pct"/>
            <w:tcBorders>
              <w:top w:val="single" w:sz="4" w:space="0" w:color="auto"/>
              <w:bottom w:val="single" w:sz="4" w:space="0" w:color="auto"/>
            </w:tcBorders>
            <w:vAlign w:val="bottom"/>
          </w:tcPr>
          <w:p w14:paraId="07B28061" w14:textId="77777777" w:rsidR="006902CC" w:rsidRPr="00C971C6" w:rsidRDefault="006902CC" w:rsidP="006902CC">
            <w:pPr>
              <w:pStyle w:val="Tabletext"/>
              <w:rPr>
                <w:snapToGrid w:val="0"/>
              </w:rPr>
            </w:pPr>
            <w:r w:rsidRPr="00295986">
              <w:t>1</w:t>
            </w:r>
            <w:r w:rsidR="00D7157D">
              <w:t>.</w:t>
            </w:r>
            <w:r w:rsidRPr="00295986">
              <w:t>0720</w:t>
            </w:r>
          </w:p>
        </w:tc>
        <w:tc>
          <w:tcPr>
            <w:tcW w:w="966" w:type="pct"/>
            <w:tcBorders>
              <w:top w:val="single" w:sz="4" w:space="0" w:color="auto"/>
              <w:bottom w:val="single" w:sz="4" w:space="0" w:color="auto"/>
            </w:tcBorders>
            <w:vAlign w:val="bottom"/>
          </w:tcPr>
          <w:p w14:paraId="65F3BCDD" w14:textId="77777777" w:rsidR="006902CC" w:rsidRPr="00C971C6" w:rsidRDefault="006902CC" w:rsidP="006902CC">
            <w:pPr>
              <w:pStyle w:val="Tabletext"/>
              <w:rPr>
                <w:snapToGrid w:val="0"/>
              </w:rPr>
            </w:pPr>
            <w:r w:rsidRPr="00295986">
              <w:t>24</w:t>
            </w:r>
            <w:r w:rsidR="00D7157D">
              <w:t>.</w:t>
            </w:r>
            <w:r w:rsidRPr="00295986">
              <w:t>8944</w:t>
            </w:r>
          </w:p>
        </w:tc>
        <w:tc>
          <w:tcPr>
            <w:tcW w:w="966" w:type="pct"/>
            <w:tcBorders>
              <w:top w:val="single" w:sz="4" w:space="0" w:color="auto"/>
              <w:bottom w:val="single" w:sz="4" w:space="0" w:color="auto"/>
            </w:tcBorders>
            <w:vAlign w:val="bottom"/>
          </w:tcPr>
          <w:p w14:paraId="52A149E5" w14:textId="77777777" w:rsidR="006902CC" w:rsidRPr="00C971C6" w:rsidRDefault="006902CC" w:rsidP="006902CC">
            <w:pPr>
              <w:pStyle w:val="Tabletext"/>
              <w:rPr>
                <w:snapToGrid w:val="0"/>
              </w:rPr>
            </w:pPr>
            <w:r w:rsidRPr="00295986">
              <w:t>0</w:t>
            </w:r>
            <w:r w:rsidR="00D7157D">
              <w:t>.</w:t>
            </w:r>
            <w:r w:rsidRPr="00295986">
              <w:t>4508</w:t>
            </w:r>
          </w:p>
        </w:tc>
      </w:tr>
      <w:tr w:rsidR="006902CC" w:rsidRPr="009E2595" w14:paraId="28E7A743" w14:textId="77777777" w:rsidTr="006902CC">
        <w:trPr>
          <w:cantSplit/>
        </w:trPr>
        <w:tc>
          <w:tcPr>
            <w:tcW w:w="1136" w:type="pct"/>
            <w:tcBorders>
              <w:top w:val="single" w:sz="4" w:space="0" w:color="auto"/>
              <w:bottom w:val="single" w:sz="4" w:space="0" w:color="auto"/>
            </w:tcBorders>
          </w:tcPr>
          <w:p w14:paraId="64CC8394" w14:textId="77777777" w:rsidR="006902CC" w:rsidRPr="00616B26" w:rsidRDefault="006902CC" w:rsidP="006902CC">
            <w:pPr>
              <w:pStyle w:val="Tabletext"/>
              <w:rPr>
                <w:snapToGrid w:val="0"/>
              </w:rPr>
            </w:pPr>
            <w:r w:rsidRPr="00616B26">
              <w:rPr>
                <w:snapToGrid w:val="0"/>
              </w:rPr>
              <w:t>37</w:t>
            </w:r>
          </w:p>
        </w:tc>
        <w:tc>
          <w:tcPr>
            <w:tcW w:w="966" w:type="pct"/>
            <w:tcBorders>
              <w:top w:val="single" w:sz="4" w:space="0" w:color="auto"/>
              <w:bottom w:val="single" w:sz="4" w:space="0" w:color="auto"/>
            </w:tcBorders>
            <w:vAlign w:val="bottom"/>
          </w:tcPr>
          <w:p w14:paraId="14E0AFD7" w14:textId="77777777" w:rsidR="006902CC" w:rsidRPr="00C971C6" w:rsidRDefault="006902CC" w:rsidP="006902CC">
            <w:pPr>
              <w:pStyle w:val="Tabletext"/>
              <w:rPr>
                <w:snapToGrid w:val="0"/>
              </w:rPr>
            </w:pPr>
            <w:r w:rsidRPr="00295986">
              <w:t>24</w:t>
            </w:r>
            <w:r w:rsidR="00D7157D">
              <w:t>.</w:t>
            </w:r>
            <w:r w:rsidRPr="00295986">
              <w:t>1593</w:t>
            </w:r>
          </w:p>
        </w:tc>
        <w:tc>
          <w:tcPr>
            <w:tcW w:w="966" w:type="pct"/>
            <w:tcBorders>
              <w:top w:val="single" w:sz="4" w:space="0" w:color="auto"/>
              <w:bottom w:val="single" w:sz="4" w:space="0" w:color="auto"/>
            </w:tcBorders>
            <w:vAlign w:val="bottom"/>
          </w:tcPr>
          <w:p w14:paraId="0AC6943D" w14:textId="77777777" w:rsidR="006902CC" w:rsidRPr="00C971C6" w:rsidRDefault="006902CC" w:rsidP="006902CC">
            <w:pPr>
              <w:pStyle w:val="Tabletext"/>
              <w:rPr>
                <w:snapToGrid w:val="0"/>
              </w:rPr>
            </w:pPr>
            <w:r w:rsidRPr="00295986">
              <w:t>1</w:t>
            </w:r>
            <w:r w:rsidR="00D7157D">
              <w:t>.</w:t>
            </w:r>
            <w:r w:rsidRPr="00295986">
              <w:t>1062</w:t>
            </w:r>
          </w:p>
        </w:tc>
        <w:tc>
          <w:tcPr>
            <w:tcW w:w="966" w:type="pct"/>
            <w:tcBorders>
              <w:top w:val="single" w:sz="4" w:space="0" w:color="auto"/>
              <w:bottom w:val="single" w:sz="4" w:space="0" w:color="auto"/>
            </w:tcBorders>
            <w:vAlign w:val="bottom"/>
          </w:tcPr>
          <w:p w14:paraId="7F31A66C" w14:textId="77777777" w:rsidR="006902CC" w:rsidRPr="00C971C6" w:rsidRDefault="006902CC" w:rsidP="006902CC">
            <w:pPr>
              <w:pStyle w:val="Tabletext"/>
              <w:rPr>
                <w:snapToGrid w:val="0"/>
              </w:rPr>
            </w:pPr>
            <w:r w:rsidRPr="00295986">
              <w:t>24</w:t>
            </w:r>
            <w:r w:rsidR="00D7157D">
              <w:t>.</w:t>
            </w:r>
            <w:r w:rsidRPr="00295986">
              <w:t>7219</w:t>
            </w:r>
          </w:p>
        </w:tc>
        <w:tc>
          <w:tcPr>
            <w:tcW w:w="966" w:type="pct"/>
            <w:tcBorders>
              <w:top w:val="single" w:sz="4" w:space="0" w:color="auto"/>
              <w:bottom w:val="single" w:sz="4" w:space="0" w:color="auto"/>
            </w:tcBorders>
            <w:vAlign w:val="bottom"/>
          </w:tcPr>
          <w:p w14:paraId="2ECA7B44" w14:textId="77777777" w:rsidR="006902CC" w:rsidRPr="00C971C6" w:rsidRDefault="006902CC" w:rsidP="006902CC">
            <w:pPr>
              <w:pStyle w:val="Tabletext"/>
              <w:rPr>
                <w:snapToGrid w:val="0"/>
              </w:rPr>
            </w:pPr>
            <w:r w:rsidRPr="00295986">
              <w:t>0</w:t>
            </w:r>
            <w:r w:rsidR="00D7157D">
              <w:t>.</w:t>
            </w:r>
            <w:r w:rsidRPr="00295986">
              <w:t>4661</w:t>
            </w:r>
          </w:p>
        </w:tc>
      </w:tr>
      <w:tr w:rsidR="006902CC" w:rsidRPr="009E2595" w14:paraId="4AA7D114" w14:textId="77777777" w:rsidTr="006902CC">
        <w:trPr>
          <w:cantSplit/>
        </w:trPr>
        <w:tc>
          <w:tcPr>
            <w:tcW w:w="1136" w:type="pct"/>
            <w:tcBorders>
              <w:top w:val="single" w:sz="4" w:space="0" w:color="auto"/>
              <w:bottom w:val="single" w:sz="4" w:space="0" w:color="auto"/>
            </w:tcBorders>
          </w:tcPr>
          <w:p w14:paraId="5A087AB9" w14:textId="77777777" w:rsidR="006902CC" w:rsidRPr="00616B26" w:rsidRDefault="006902CC" w:rsidP="006902CC">
            <w:pPr>
              <w:pStyle w:val="Tabletext"/>
              <w:rPr>
                <w:snapToGrid w:val="0"/>
              </w:rPr>
            </w:pPr>
            <w:r w:rsidRPr="00616B26">
              <w:rPr>
                <w:snapToGrid w:val="0"/>
              </w:rPr>
              <w:t>38</w:t>
            </w:r>
          </w:p>
        </w:tc>
        <w:tc>
          <w:tcPr>
            <w:tcW w:w="966" w:type="pct"/>
            <w:tcBorders>
              <w:top w:val="single" w:sz="4" w:space="0" w:color="auto"/>
              <w:bottom w:val="single" w:sz="4" w:space="0" w:color="auto"/>
            </w:tcBorders>
            <w:vAlign w:val="bottom"/>
          </w:tcPr>
          <w:p w14:paraId="1258ECB1" w14:textId="77777777" w:rsidR="006902CC" w:rsidRPr="00C971C6" w:rsidRDefault="006902CC" w:rsidP="006902CC">
            <w:pPr>
              <w:pStyle w:val="Tabletext"/>
              <w:rPr>
                <w:snapToGrid w:val="0"/>
              </w:rPr>
            </w:pPr>
            <w:r w:rsidRPr="00295986">
              <w:t>23</w:t>
            </w:r>
            <w:r w:rsidR="00D7157D">
              <w:t>.</w:t>
            </w:r>
            <w:r w:rsidRPr="00295986">
              <w:t>9670</w:t>
            </w:r>
          </w:p>
        </w:tc>
        <w:tc>
          <w:tcPr>
            <w:tcW w:w="966" w:type="pct"/>
            <w:tcBorders>
              <w:top w:val="single" w:sz="4" w:space="0" w:color="auto"/>
              <w:bottom w:val="single" w:sz="4" w:space="0" w:color="auto"/>
            </w:tcBorders>
            <w:vAlign w:val="bottom"/>
          </w:tcPr>
          <w:p w14:paraId="787D01D6" w14:textId="77777777" w:rsidR="006902CC" w:rsidRPr="00C971C6" w:rsidRDefault="006902CC" w:rsidP="006902CC">
            <w:pPr>
              <w:pStyle w:val="Tabletext"/>
              <w:rPr>
                <w:snapToGrid w:val="0"/>
              </w:rPr>
            </w:pPr>
            <w:r w:rsidRPr="00295986">
              <w:t>1</w:t>
            </w:r>
            <w:r w:rsidR="00D7157D">
              <w:t>.</w:t>
            </w:r>
            <w:r w:rsidRPr="00295986">
              <w:t>1412</w:t>
            </w:r>
          </w:p>
        </w:tc>
        <w:tc>
          <w:tcPr>
            <w:tcW w:w="966" w:type="pct"/>
            <w:tcBorders>
              <w:top w:val="single" w:sz="4" w:space="0" w:color="auto"/>
              <w:bottom w:val="single" w:sz="4" w:space="0" w:color="auto"/>
            </w:tcBorders>
            <w:vAlign w:val="bottom"/>
          </w:tcPr>
          <w:p w14:paraId="6EBC7024" w14:textId="77777777" w:rsidR="006902CC" w:rsidRPr="00C971C6" w:rsidRDefault="006902CC" w:rsidP="006902CC">
            <w:pPr>
              <w:pStyle w:val="Tabletext"/>
              <w:rPr>
                <w:snapToGrid w:val="0"/>
              </w:rPr>
            </w:pPr>
            <w:r w:rsidRPr="00295986">
              <w:t>24</w:t>
            </w:r>
            <w:r w:rsidR="00D7157D">
              <w:t>.</w:t>
            </w:r>
            <w:r w:rsidRPr="00295986">
              <w:t>5437</w:t>
            </w:r>
          </w:p>
        </w:tc>
        <w:tc>
          <w:tcPr>
            <w:tcW w:w="966" w:type="pct"/>
            <w:tcBorders>
              <w:top w:val="single" w:sz="4" w:space="0" w:color="auto"/>
              <w:bottom w:val="single" w:sz="4" w:space="0" w:color="auto"/>
            </w:tcBorders>
            <w:vAlign w:val="bottom"/>
          </w:tcPr>
          <w:p w14:paraId="4E270997" w14:textId="77777777" w:rsidR="006902CC" w:rsidRPr="00C971C6" w:rsidRDefault="006902CC" w:rsidP="006902CC">
            <w:pPr>
              <w:pStyle w:val="Tabletext"/>
              <w:rPr>
                <w:snapToGrid w:val="0"/>
              </w:rPr>
            </w:pPr>
            <w:r w:rsidRPr="00295986">
              <w:t>0</w:t>
            </w:r>
            <w:r w:rsidR="00D7157D">
              <w:t>.</w:t>
            </w:r>
            <w:r w:rsidRPr="00295986">
              <w:t>4819</w:t>
            </w:r>
          </w:p>
        </w:tc>
      </w:tr>
      <w:tr w:rsidR="006902CC" w:rsidRPr="009E2595" w14:paraId="3C3D8477" w14:textId="77777777" w:rsidTr="006902CC">
        <w:trPr>
          <w:cantSplit/>
        </w:trPr>
        <w:tc>
          <w:tcPr>
            <w:tcW w:w="1136" w:type="pct"/>
            <w:tcBorders>
              <w:top w:val="single" w:sz="4" w:space="0" w:color="auto"/>
              <w:bottom w:val="single" w:sz="4" w:space="0" w:color="auto"/>
            </w:tcBorders>
          </w:tcPr>
          <w:p w14:paraId="230CC356" w14:textId="77777777" w:rsidR="006902CC" w:rsidRPr="00616B26" w:rsidRDefault="006902CC" w:rsidP="006902CC">
            <w:pPr>
              <w:pStyle w:val="Tabletext"/>
              <w:rPr>
                <w:snapToGrid w:val="0"/>
              </w:rPr>
            </w:pPr>
            <w:r w:rsidRPr="00616B26">
              <w:rPr>
                <w:snapToGrid w:val="0"/>
              </w:rPr>
              <w:t>39</w:t>
            </w:r>
          </w:p>
        </w:tc>
        <w:tc>
          <w:tcPr>
            <w:tcW w:w="966" w:type="pct"/>
            <w:tcBorders>
              <w:top w:val="single" w:sz="4" w:space="0" w:color="auto"/>
              <w:bottom w:val="single" w:sz="4" w:space="0" w:color="auto"/>
            </w:tcBorders>
            <w:vAlign w:val="bottom"/>
          </w:tcPr>
          <w:p w14:paraId="3BAE7044" w14:textId="77777777" w:rsidR="006902CC" w:rsidRPr="00C971C6" w:rsidRDefault="006902CC" w:rsidP="006902CC">
            <w:pPr>
              <w:pStyle w:val="Tabletext"/>
              <w:rPr>
                <w:snapToGrid w:val="0"/>
              </w:rPr>
            </w:pPr>
            <w:r w:rsidRPr="00295986">
              <w:t>23</w:t>
            </w:r>
            <w:r w:rsidR="00D7157D">
              <w:t>.</w:t>
            </w:r>
            <w:r w:rsidRPr="00295986">
              <w:t>7686</w:t>
            </w:r>
          </w:p>
        </w:tc>
        <w:tc>
          <w:tcPr>
            <w:tcW w:w="966" w:type="pct"/>
            <w:tcBorders>
              <w:top w:val="single" w:sz="4" w:space="0" w:color="auto"/>
              <w:bottom w:val="single" w:sz="4" w:space="0" w:color="auto"/>
            </w:tcBorders>
            <w:vAlign w:val="bottom"/>
          </w:tcPr>
          <w:p w14:paraId="2E15B91F" w14:textId="77777777" w:rsidR="006902CC" w:rsidRPr="00C971C6" w:rsidRDefault="006902CC" w:rsidP="006902CC">
            <w:pPr>
              <w:pStyle w:val="Tabletext"/>
              <w:rPr>
                <w:snapToGrid w:val="0"/>
              </w:rPr>
            </w:pPr>
            <w:r w:rsidRPr="00295986">
              <w:t>1</w:t>
            </w:r>
            <w:r w:rsidR="00D7157D">
              <w:t>.</w:t>
            </w:r>
            <w:r w:rsidRPr="00295986">
              <w:t>1771</w:t>
            </w:r>
          </w:p>
        </w:tc>
        <w:tc>
          <w:tcPr>
            <w:tcW w:w="966" w:type="pct"/>
            <w:tcBorders>
              <w:top w:val="single" w:sz="4" w:space="0" w:color="auto"/>
              <w:bottom w:val="single" w:sz="4" w:space="0" w:color="auto"/>
            </w:tcBorders>
            <w:vAlign w:val="bottom"/>
          </w:tcPr>
          <w:p w14:paraId="126B9AA1" w14:textId="77777777" w:rsidR="006902CC" w:rsidRPr="00C971C6" w:rsidRDefault="006902CC" w:rsidP="006902CC">
            <w:pPr>
              <w:pStyle w:val="Tabletext"/>
              <w:rPr>
                <w:snapToGrid w:val="0"/>
              </w:rPr>
            </w:pPr>
            <w:r w:rsidRPr="00295986">
              <w:t>24</w:t>
            </w:r>
            <w:r w:rsidR="00D7157D">
              <w:t>.</w:t>
            </w:r>
            <w:r w:rsidRPr="00295986">
              <w:t>3594</w:t>
            </w:r>
          </w:p>
        </w:tc>
        <w:tc>
          <w:tcPr>
            <w:tcW w:w="966" w:type="pct"/>
            <w:tcBorders>
              <w:top w:val="single" w:sz="4" w:space="0" w:color="auto"/>
              <w:bottom w:val="single" w:sz="4" w:space="0" w:color="auto"/>
            </w:tcBorders>
            <w:vAlign w:val="bottom"/>
          </w:tcPr>
          <w:p w14:paraId="4517C717" w14:textId="77777777" w:rsidR="006902CC" w:rsidRPr="00C971C6" w:rsidRDefault="006902CC" w:rsidP="006902CC">
            <w:pPr>
              <w:pStyle w:val="Tabletext"/>
              <w:rPr>
                <w:snapToGrid w:val="0"/>
              </w:rPr>
            </w:pPr>
            <w:r w:rsidRPr="00295986">
              <w:t>0</w:t>
            </w:r>
            <w:r w:rsidR="00D7157D">
              <w:t>.</w:t>
            </w:r>
            <w:r w:rsidRPr="00295986">
              <w:t>4980</w:t>
            </w:r>
          </w:p>
        </w:tc>
      </w:tr>
      <w:tr w:rsidR="006902CC" w:rsidRPr="009E2595" w14:paraId="4B65C584" w14:textId="77777777" w:rsidTr="006902CC">
        <w:trPr>
          <w:cantSplit/>
        </w:trPr>
        <w:tc>
          <w:tcPr>
            <w:tcW w:w="1136" w:type="pct"/>
            <w:tcBorders>
              <w:top w:val="single" w:sz="4" w:space="0" w:color="auto"/>
              <w:bottom w:val="single" w:sz="4" w:space="0" w:color="auto"/>
            </w:tcBorders>
          </w:tcPr>
          <w:p w14:paraId="1F0F8B2B" w14:textId="77777777" w:rsidR="006902CC" w:rsidRPr="00616B26" w:rsidRDefault="006902CC" w:rsidP="006902CC">
            <w:pPr>
              <w:pStyle w:val="Tabletext"/>
              <w:rPr>
                <w:snapToGrid w:val="0"/>
              </w:rPr>
            </w:pPr>
            <w:r w:rsidRPr="00616B26">
              <w:rPr>
                <w:snapToGrid w:val="0"/>
              </w:rPr>
              <w:t>40</w:t>
            </w:r>
          </w:p>
        </w:tc>
        <w:tc>
          <w:tcPr>
            <w:tcW w:w="966" w:type="pct"/>
            <w:tcBorders>
              <w:top w:val="single" w:sz="4" w:space="0" w:color="auto"/>
              <w:bottom w:val="single" w:sz="4" w:space="0" w:color="auto"/>
            </w:tcBorders>
            <w:vAlign w:val="bottom"/>
          </w:tcPr>
          <w:p w14:paraId="325AC478" w14:textId="77777777" w:rsidR="006902CC" w:rsidRPr="00C971C6" w:rsidRDefault="006902CC" w:rsidP="006902CC">
            <w:pPr>
              <w:pStyle w:val="Tabletext"/>
              <w:rPr>
                <w:snapToGrid w:val="0"/>
              </w:rPr>
            </w:pPr>
            <w:r w:rsidRPr="00295986">
              <w:t>23</w:t>
            </w:r>
            <w:r w:rsidR="00D7157D">
              <w:t>.</w:t>
            </w:r>
            <w:r w:rsidRPr="00295986">
              <w:t>5640</w:t>
            </w:r>
          </w:p>
        </w:tc>
        <w:tc>
          <w:tcPr>
            <w:tcW w:w="966" w:type="pct"/>
            <w:tcBorders>
              <w:top w:val="single" w:sz="4" w:space="0" w:color="auto"/>
              <w:bottom w:val="single" w:sz="4" w:space="0" w:color="auto"/>
            </w:tcBorders>
            <w:vAlign w:val="bottom"/>
          </w:tcPr>
          <w:p w14:paraId="5F2FECE2" w14:textId="77777777" w:rsidR="006902CC" w:rsidRPr="00C971C6" w:rsidRDefault="006902CC" w:rsidP="006902CC">
            <w:pPr>
              <w:pStyle w:val="Tabletext"/>
              <w:rPr>
                <w:snapToGrid w:val="0"/>
              </w:rPr>
            </w:pPr>
            <w:r w:rsidRPr="00295986">
              <w:t>1</w:t>
            </w:r>
            <w:r w:rsidR="00D7157D">
              <w:t>.</w:t>
            </w:r>
            <w:r w:rsidRPr="00295986">
              <w:t>2136</w:t>
            </w:r>
          </w:p>
        </w:tc>
        <w:tc>
          <w:tcPr>
            <w:tcW w:w="966" w:type="pct"/>
            <w:tcBorders>
              <w:top w:val="single" w:sz="4" w:space="0" w:color="auto"/>
              <w:bottom w:val="single" w:sz="4" w:space="0" w:color="auto"/>
            </w:tcBorders>
            <w:vAlign w:val="bottom"/>
          </w:tcPr>
          <w:p w14:paraId="4C9F8A45" w14:textId="77777777" w:rsidR="006902CC" w:rsidRPr="00C971C6" w:rsidRDefault="006902CC" w:rsidP="006902CC">
            <w:pPr>
              <w:pStyle w:val="Tabletext"/>
              <w:rPr>
                <w:snapToGrid w:val="0"/>
              </w:rPr>
            </w:pPr>
            <w:r w:rsidRPr="00295986">
              <w:t>24</w:t>
            </w:r>
            <w:r w:rsidR="00D7157D">
              <w:t>.</w:t>
            </w:r>
            <w:r w:rsidRPr="00295986">
              <w:t>1691</w:t>
            </w:r>
          </w:p>
        </w:tc>
        <w:tc>
          <w:tcPr>
            <w:tcW w:w="966" w:type="pct"/>
            <w:tcBorders>
              <w:top w:val="single" w:sz="4" w:space="0" w:color="auto"/>
              <w:bottom w:val="single" w:sz="4" w:space="0" w:color="auto"/>
            </w:tcBorders>
            <w:vAlign w:val="bottom"/>
          </w:tcPr>
          <w:p w14:paraId="1F884FB0" w14:textId="77777777" w:rsidR="006902CC" w:rsidRPr="00C971C6" w:rsidRDefault="006902CC" w:rsidP="006902CC">
            <w:pPr>
              <w:pStyle w:val="Tabletext"/>
              <w:rPr>
                <w:snapToGrid w:val="0"/>
              </w:rPr>
            </w:pPr>
            <w:r w:rsidRPr="00295986">
              <w:t>0</w:t>
            </w:r>
            <w:r w:rsidR="00D7157D">
              <w:t>.</w:t>
            </w:r>
            <w:r w:rsidRPr="00295986">
              <w:t>5144</w:t>
            </w:r>
          </w:p>
        </w:tc>
      </w:tr>
      <w:tr w:rsidR="006902CC" w:rsidRPr="009E2595" w14:paraId="021286BF" w14:textId="77777777" w:rsidTr="006902CC">
        <w:trPr>
          <w:cantSplit/>
        </w:trPr>
        <w:tc>
          <w:tcPr>
            <w:tcW w:w="1136" w:type="pct"/>
            <w:tcBorders>
              <w:top w:val="single" w:sz="4" w:space="0" w:color="auto"/>
              <w:bottom w:val="single" w:sz="4" w:space="0" w:color="auto"/>
            </w:tcBorders>
          </w:tcPr>
          <w:p w14:paraId="1A5723BC" w14:textId="77777777" w:rsidR="006902CC" w:rsidRPr="00616B26" w:rsidRDefault="006902CC" w:rsidP="006902CC">
            <w:pPr>
              <w:pStyle w:val="Tabletext"/>
              <w:rPr>
                <w:snapToGrid w:val="0"/>
              </w:rPr>
            </w:pPr>
            <w:r w:rsidRPr="00616B26">
              <w:rPr>
                <w:snapToGrid w:val="0"/>
              </w:rPr>
              <w:t>41</w:t>
            </w:r>
          </w:p>
        </w:tc>
        <w:tc>
          <w:tcPr>
            <w:tcW w:w="966" w:type="pct"/>
            <w:tcBorders>
              <w:top w:val="single" w:sz="4" w:space="0" w:color="auto"/>
              <w:bottom w:val="single" w:sz="4" w:space="0" w:color="auto"/>
            </w:tcBorders>
            <w:vAlign w:val="bottom"/>
          </w:tcPr>
          <w:p w14:paraId="1C02A16A" w14:textId="77777777" w:rsidR="006902CC" w:rsidRPr="00C971C6" w:rsidRDefault="006902CC" w:rsidP="006902CC">
            <w:pPr>
              <w:pStyle w:val="Tabletext"/>
              <w:rPr>
                <w:snapToGrid w:val="0"/>
              </w:rPr>
            </w:pPr>
            <w:r w:rsidRPr="00295986">
              <w:t>23</w:t>
            </w:r>
            <w:r w:rsidR="00D7157D">
              <w:t>.</w:t>
            </w:r>
            <w:r w:rsidRPr="00295986">
              <w:t>3532</w:t>
            </w:r>
          </w:p>
        </w:tc>
        <w:tc>
          <w:tcPr>
            <w:tcW w:w="966" w:type="pct"/>
            <w:tcBorders>
              <w:top w:val="single" w:sz="4" w:space="0" w:color="auto"/>
              <w:bottom w:val="single" w:sz="4" w:space="0" w:color="auto"/>
            </w:tcBorders>
            <w:vAlign w:val="bottom"/>
          </w:tcPr>
          <w:p w14:paraId="2BF7293D" w14:textId="77777777" w:rsidR="006902CC" w:rsidRPr="00C971C6" w:rsidRDefault="006902CC" w:rsidP="006902CC">
            <w:pPr>
              <w:pStyle w:val="Tabletext"/>
              <w:rPr>
                <w:snapToGrid w:val="0"/>
              </w:rPr>
            </w:pPr>
            <w:r w:rsidRPr="00295986">
              <w:t>1</w:t>
            </w:r>
            <w:r w:rsidR="00D7157D">
              <w:t>.</w:t>
            </w:r>
            <w:r w:rsidRPr="00295986">
              <w:t>2092</w:t>
            </w:r>
          </w:p>
        </w:tc>
        <w:tc>
          <w:tcPr>
            <w:tcW w:w="966" w:type="pct"/>
            <w:tcBorders>
              <w:top w:val="single" w:sz="4" w:space="0" w:color="auto"/>
              <w:bottom w:val="single" w:sz="4" w:space="0" w:color="auto"/>
            </w:tcBorders>
            <w:vAlign w:val="bottom"/>
          </w:tcPr>
          <w:p w14:paraId="43F5D8CF" w14:textId="77777777" w:rsidR="006902CC" w:rsidRPr="00C971C6" w:rsidRDefault="006902CC" w:rsidP="006902CC">
            <w:pPr>
              <w:pStyle w:val="Tabletext"/>
              <w:rPr>
                <w:snapToGrid w:val="0"/>
              </w:rPr>
            </w:pPr>
            <w:r w:rsidRPr="00295986">
              <w:t>23</w:t>
            </w:r>
            <w:r w:rsidR="00D7157D">
              <w:t>.</w:t>
            </w:r>
            <w:r w:rsidRPr="00295986">
              <w:t>9724</w:t>
            </w:r>
          </w:p>
        </w:tc>
        <w:tc>
          <w:tcPr>
            <w:tcW w:w="966" w:type="pct"/>
            <w:tcBorders>
              <w:top w:val="single" w:sz="4" w:space="0" w:color="auto"/>
              <w:bottom w:val="single" w:sz="4" w:space="0" w:color="auto"/>
            </w:tcBorders>
            <w:vAlign w:val="bottom"/>
          </w:tcPr>
          <w:p w14:paraId="498B5A43" w14:textId="77777777" w:rsidR="006902CC" w:rsidRPr="00C971C6" w:rsidRDefault="006902CC" w:rsidP="006902CC">
            <w:pPr>
              <w:pStyle w:val="Tabletext"/>
              <w:rPr>
                <w:snapToGrid w:val="0"/>
              </w:rPr>
            </w:pPr>
            <w:r w:rsidRPr="00295986">
              <w:t>0</w:t>
            </w:r>
            <w:r w:rsidR="00D7157D">
              <w:t>.</w:t>
            </w:r>
            <w:r w:rsidRPr="00295986">
              <w:t>4994</w:t>
            </w:r>
          </w:p>
        </w:tc>
      </w:tr>
      <w:tr w:rsidR="006902CC" w:rsidRPr="009E2595" w14:paraId="1160A12C" w14:textId="77777777" w:rsidTr="006902CC">
        <w:trPr>
          <w:cantSplit/>
        </w:trPr>
        <w:tc>
          <w:tcPr>
            <w:tcW w:w="1136" w:type="pct"/>
            <w:tcBorders>
              <w:top w:val="single" w:sz="4" w:space="0" w:color="auto"/>
              <w:bottom w:val="single" w:sz="4" w:space="0" w:color="auto"/>
            </w:tcBorders>
          </w:tcPr>
          <w:p w14:paraId="1BC80F07" w14:textId="77777777" w:rsidR="006902CC" w:rsidRPr="00616B26" w:rsidRDefault="006902CC" w:rsidP="006902CC">
            <w:pPr>
              <w:pStyle w:val="Tabletext"/>
              <w:rPr>
                <w:snapToGrid w:val="0"/>
              </w:rPr>
            </w:pPr>
            <w:r w:rsidRPr="00616B26">
              <w:rPr>
                <w:snapToGrid w:val="0"/>
              </w:rPr>
              <w:t>42</w:t>
            </w:r>
          </w:p>
        </w:tc>
        <w:tc>
          <w:tcPr>
            <w:tcW w:w="966" w:type="pct"/>
            <w:tcBorders>
              <w:top w:val="single" w:sz="4" w:space="0" w:color="auto"/>
              <w:bottom w:val="single" w:sz="4" w:space="0" w:color="auto"/>
            </w:tcBorders>
            <w:vAlign w:val="bottom"/>
          </w:tcPr>
          <w:p w14:paraId="64F53784" w14:textId="77777777" w:rsidR="006902CC" w:rsidRPr="00C971C6" w:rsidRDefault="006902CC" w:rsidP="006902CC">
            <w:pPr>
              <w:pStyle w:val="Tabletext"/>
              <w:rPr>
                <w:snapToGrid w:val="0"/>
              </w:rPr>
            </w:pPr>
            <w:r w:rsidRPr="00295986">
              <w:t>23</w:t>
            </w:r>
            <w:r w:rsidR="00D7157D">
              <w:t>.</w:t>
            </w:r>
            <w:r w:rsidRPr="00295986">
              <w:t>1360</w:t>
            </w:r>
          </w:p>
        </w:tc>
        <w:tc>
          <w:tcPr>
            <w:tcW w:w="966" w:type="pct"/>
            <w:tcBorders>
              <w:top w:val="single" w:sz="4" w:space="0" w:color="auto"/>
              <w:bottom w:val="single" w:sz="4" w:space="0" w:color="auto"/>
            </w:tcBorders>
            <w:vAlign w:val="bottom"/>
          </w:tcPr>
          <w:p w14:paraId="2E5FA7BC" w14:textId="77777777" w:rsidR="006902CC" w:rsidRPr="00C971C6" w:rsidRDefault="006902CC" w:rsidP="006902CC">
            <w:pPr>
              <w:pStyle w:val="Tabletext"/>
              <w:rPr>
                <w:snapToGrid w:val="0"/>
              </w:rPr>
            </w:pPr>
            <w:r w:rsidRPr="00295986">
              <w:t>1</w:t>
            </w:r>
            <w:r w:rsidR="00D7157D">
              <w:t>.</w:t>
            </w:r>
            <w:r w:rsidRPr="00295986">
              <w:t>2030</w:t>
            </w:r>
          </w:p>
        </w:tc>
        <w:tc>
          <w:tcPr>
            <w:tcW w:w="966" w:type="pct"/>
            <w:tcBorders>
              <w:top w:val="single" w:sz="4" w:space="0" w:color="auto"/>
              <w:bottom w:val="single" w:sz="4" w:space="0" w:color="auto"/>
            </w:tcBorders>
            <w:vAlign w:val="bottom"/>
          </w:tcPr>
          <w:p w14:paraId="26B2968A" w14:textId="77777777" w:rsidR="006902CC" w:rsidRPr="00C971C6" w:rsidRDefault="006902CC" w:rsidP="006902CC">
            <w:pPr>
              <w:pStyle w:val="Tabletext"/>
              <w:rPr>
                <w:snapToGrid w:val="0"/>
              </w:rPr>
            </w:pPr>
            <w:r w:rsidRPr="00295986">
              <w:t>23</w:t>
            </w:r>
            <w:r w:rsidR="00D7157D">
              <w:t>.</w:t>
            </w:r>
            <w:r w:rsidRPr="00295986">
              <w:t>7694</w:t>
            </w:r>
          </w:p>
        </w:tc>
        <w:tc>
          <w:tcPr>
            <w:tcW w:w="966" w:type="pct"/>
            <w:tcBorders>
              <w:top w:val="single" w:sz="4" w:space="0" w:color="auto"/>
              <w:bottom w:val="single" w:sz="4" w:space="0" w:color="auto"/>
            </w:tcBorders>
            <w:vAlign w:val="bottom"/>
          </w:tcPr>
          <w:p w14:paraId="2C45EB4D" w14:textId="77777777" w:rsidR="006902CC" w:rsidRPr="00C971C6" w:rsidRDefault="006902CC" w:rsidP="006902CC">
            <w:pPr>
              <w:pStyle w:val="Tabletext"/>
              <w:rPr>
                <w:snapToGrid w:val="0"/>
              </w:rPr>
            </w:pPr>
            <w:r w:rsidRPr="00295986">
              <w:t>0</w:t>
            </w:r>
            <w:r w:rsidR="00D7157D">
              <w:t>.</w:t>
            </w:r>
            <w:r w:rsidRPr="00295986">
              <w:t>4826</w:t>
            </w:r>
          </w:p>
        </w:tc>
      </w:tr>
      <w:tr w:rsidR="006902CC" w:rsidRPr="009E2595" w14:paraId="133A0936" w14:textId="77777777" w:rsidTr="006902CC">
        <w:trPr>
          <w:cantSplit/>
        </w:trPr>
        <w:tc>
          <w:tcPr>
            <w:tcW w:w="1136" w:type="pct"/>
            <w:tcBorders>
              <w:top w:val="single" w:sz="4" w:space="0" w:color="auto"/>
              <w:bottom w:val="single" w:sz="4" w:space="0" w:color="auto"/>
            </w:tcBorders>
          </w:tcPr>
          <w:p w14:paraId="4313D14D" w14:textId="77777777" w:rsidR="006902CC" w:rsidRPr="00616B26" w:rsidRDefault="006902CC" w:rsidP="006902CC">
            <w:pPr>
              <w:pStyle w:val="Tabletext"/>
              <w:rPr>
                <w:snapToGrid w:val="0"/>
              </w:rPr>
            </w:pPr>
            <w:r w:rsidRPr="00616B26">
              <w:rPr>
                <w:snapToGrid w:val="0"/>
              </w:rPr>
              <w:t>43</w:t>
            </w:r>
          </w:p>
        </w:tc>
        <w:tc>
          <w:tcPr>
            <w:tcW w:w="966" w:type="pct"/>
            <w:tcBorders>
              <w:top w:val="single" w:sz="4" w:space="0" w:color="auto"/>
              <w:bottom w:val="single" w:sz="4" w:space="0" w:color="auto"/>
            </w:tcBorders>
            <w:vAlign w:val="bottom"/>
          </w:tcPr>
          <w:p w14:paraId="6A515947" w14:textId="77777777" w:rsidR="006902CC" w:rsidRPr="00C971C6" w:rsidRDefault="006902CC" w:rsidP="006902CC">
            <w:pPr>
              <w:pStyle w:val="Tabletext"/>
              <w:rPr>
                <w:snapToGrid w:val="0"/>
              </w:rPr>
            </w:pPr>
            <w:r w:rsidRPr="00295986">
              <w:t>22</w:t>
            </w:r>
            <w:r w:rsidR="00D7157D">
              <w:t>.</w:t>
            </w:r>
            <w:r w:rsidRPr="00295986">
              <w:t>9122</w:t>
            </w:r>
          </w:p>
        </w:tc>
        <w:tc>
          <w:tcPr>
            <w:tcW w:w="966" w:type="pct"/>
            <w:tcBorders>
              <w:top w:val="single" w:sz="4" w:space="0" w:color="auto"/>
              <w:bottom w:val="single" w:sz="4" w:space="0" w:color="auto"/>
            </w:tcBorders>
            <w:vAlign w:val="bottom"/>
          </w:tcPr>
          <w:p w14:paraId="4DDADE9F" w14:textId="77777777" w:rsidR="006902CC" w:rsidRPr="00C971C6" w:rsidRDefault="006902CC" w:rsidP="006902CC">
            <w:pPr>
              <w:pStyle w:val="Tabletext"/>
              <w:rPr>
                <w:snapToGrid w:val="0"/>
              </w:rPr>
            </w:pPr>
            <w:r w:rsidRPr="00295986">
              <w:t>1</w:t>
            </w:r>
            <w:r w:rsidR="00D7157D">
              <w:t>.</w:t>
            </w:r>
            <w:r w:rsidRPr="00295986">
              <w:t>1948</w:t>
            </w:r>
          </w:p>
        </w:tc>
        <w:tc>
          <w:tcPr>
            <w:tcW w:w="966" w:type="pct"/>
            <w:tcBorders>
              <w:top w:val="single" w:sz="4" w:space="0" w:color="auto"/>
              <w:bottom w:val="single" w:sz="4" w:space="0" w:color="auto"/>
            </w:tcBorders>
            <w:vAlign w:val="bottom"/>
          </w:tcPr>
          <w:p w14:paraId="609B4DD4" w14:textId="77777777" w:rsidR="006902CC" w:rsidRPr="00C971C6" w:rsidRDefault="006902CC" w:rsidP="006902CC">
            <w:pPr>
              <w:pStyle w:val="Tabletext"/>
              <w:rPr>
                <w:snapToGrid w:val="0"/>
              </w:rPr>
            </w:pPr>
            <w:r w:rsidRPr="00295986">
              <w:t>23</w:t>
            </w:r>
            <w:r w:rsidR="00D7157D">
              <w:t>.</w:t>
            </w:r>
            <w:r w:rsidRPr="00295986">
              <w:t>5598</w:t>
            </w:r>
          </w:p>
        </w:tc>
        <w:tc>
          <w:tcPr>
            <w:tcW w:w="966" w:type="pct"/>
            <w:tcBorders>
              <w:top w:val="single" w:sz="4" w:space="0" w:color="auto"/>
              <w:bottom w:val="single" w:sz="4" w:space="0" w:color="auto"/>
            </w:tcBorders>
            <w:vAlign w:val="bottom"/>
          </w:tcPr>
          <w:p w14:paraId="4105B693" w14:textId="77777777" w:rsidR="006902CC" w:rsidRPr="00C971C6" w:rsidRDefault="006902CC" w:rsidP="006902CC">
            <w:pPr>
              <w:pStyle w:val="Tabletext"/>
              <w:rPr>
                <w:snapToGrid w:val="0"/>
              </w:rPr>
            </w:pPr>
            <w:r w:rsidRPr="00295986">
              <w:t>0</w:t>
            </w:r>
            <w:r w:rsidR="00D7157D">
              <w:t>.</w:t>
            </w:r>
            <w:r w:rsidRPr="00295986">
              <w:t>4640</w:t>
            </w:r>
          </w:p>
        </w:tc>
      </w:tr>
      <w:tr w:rsidR="006902CC" w:rsidRPr="009E2595" w14:paraId="20DD29EC" w14:textId="77777777" w:rsidTr="006902CC">
        <w:trPr>
          <w:cantSplit/>
        </w:trPr>
        <w:tc>
          <w:tcPr>
            <w:tcW w:w="1136" w:type="pct"/>
            <w:tcBorders>
              <w:top w:val="single" w:sz="4" w:space="0" w:color="auto"/>
              <w:bottom w:val="single" w:sz="4" w:space="0" w:color="auto"/>
            </w:tcBorders>
          </w:tcPr>
          <w:p w14:paraId="34800DFF" w14:textId="77777777" w:rsidR="006902CC" w:rsidRPr="00616B26" w:rsidRDefault="006902CC" w:rsidP="006902CC">
            <w:pPr>
              <w:pStyle w:val="Tabletext"/>
              <w:rPr>
                <w:snapToGrid w:val="0"/>
              </w:rPr>
            </w:pPr>
            <w:r w:rsidRPr="00616B26">
              <w:rPr>
                <w:snapToGrid w:val="0"/>
              </w:rPr>
              <w:t>44</w:t>
            </w:r>
          </w:p>
        </w:tc>
        <w:tc>
          <w:tcPr>
            <w:tcW w:w="966" w:type="pct"/>
            <w:tcBorders>
              <w:top w:val="single" w:sz="4" w:space="0" w:color="auto"/>
              <w:bottom w:val="single" w:sz="4" w:space="0" w:color="auto"/>
            </w:tcBorders>
            <w:vAlign w:val="bottom"/>
          </w:tcPr>
          <w:p w14:paraId="2FA5BE03" w14:textId="77777777" w:rsidR="006902CC" w:rsidRPr="00C971C6" w:rsidRDefault="006902CC" w:rsidP="006902CC">
            <w:pPr>
              <w:pStyle w:val="Tabletext"/>
              <w:rPr>
                <w:snapToGrid w:val="0"/>
              </w:rPr>
            </w:pPr>
            <w:r w:rsidRPr="00295986">
              <w:t>22</w:t>
            </w:r>
            <w:r w:rsidR="00D7157D">
              <w:t>.</w:t>
            </w:r>
            <w:r w:rsidRPr="00295986">
              <w:t>6816</w:t>
            </w:r>
          </w:p>
        </w:tc>
        <w:tc>
          <w:tcPr>
            <w:tcW w:w="966" w:type="pct"/>
            <w:tcBorders>
              <w:top w:val="single" w:sz="4" w:space="0" w:color="auto"/>
              <w:bottom w:val="single" w:sz="4" w:space="0" w:color="auto"/>
            </w:tcBorders>
            <w:vAlign w:val="bottom"/>
          </w:tcPr>
          <w:p w14:paraId="047752C8" w14:textId="77777777" w:rsidR="006902CC" w:rsidRPr="00C971C6" w:rsidRDefault="006902CC" w:rsidP="006902CC">
            <w:pPr>
              <w:pStyle w:val="Tabletext"/>
              <w:rPr>
                <w:snapToGrid w:val="0"/>
              </w:rPr>
            </w:pPr>
            <w:r w:rsidRPr="00295986">
              <w:t>1</w:t>
            </w:r>
            <w:r w:rsidR="00D7157D">
              <w:t>.</w:t>
            </w:r>
            <w:r w:rsidRPr="00295986">
              <w:t>1847</w:t>
            </w:r>
          </w:p>
        </w:tc>
        <w:tc>
          <w:tcPr>
            <w:tcW w:w="966" w:type="pct"/>
            <w:tcBorders>
              <w:top w:val="single" w:sz="4" w:space="0" w:color="auto"/>
              <w:bottom w:val="single" w:sz="4" w:space="0" w:color="auto"/>
            </w:tcBorders>
            <w:vAlign w:val="bottom"/>
          </w:tcPr>
          <w:p w14:paraId="70AF8664" w14:textId="77777777" w:rsidR="006902CC" w:rsidRPr="00C971C6" w:rsidRDefault="006902CC" w:rsidP="006902CC">
            <w:pPr>
              <w:pStyle w:val="Tabletext"/>
              <w:rPr>
                <w:snapToGrid w:val="0"/>
              </w:rPr>
            </w:pPr>
            <w:r w:rsidRPr="00295986">
              <w:t>23</w:t>
            </w:r>
            <w:r w:rsidR="00D7157D">
              <w:t>.</w:t>
            </w:r>
            <w:r w:rsidRPr="00295986">
              <w:t>3434</w:t>
            </w:r>
          </w:p>
        </w:tc>
        <w:tc>
          <w:tcPr>
            <w:tcW w:w="966" w:type="pct"/>
            <w:tcBorders>
              <w:top w:val="single" w:sz="4" w:space="0" w:color="auto"/>
              <w:bottom w:val="single" w:sz="4" w:space="0" w:color="auto"/>
            </w:tcBorders>
            <w:vAlign w:val="bottom"/>
          </w:tcPr>
          <w:p w14:paraId="18C38BF6" w14:textId="77777777" w:rsidR="006902CC" w:rsidRPr="00C971C6" w:rsidRDefault="006902CC" w:rsidP="006902CC">
            <w:pPr>
              <w:pStyle w:val="Tabletext"/>
              <w:rPr>
                <w:snapToGrid w:val="0"/>
              </w:rPr>
            </w:pPr>
            <w:r w:rsidRPr="00295986">
              <w:t>0</w:t>
            </w:r>
            <w:r w:rsidR="00D7157D">
              <w:t>.</w:t>
            </w:r>
            <w:r w:rsidRPr="00295986">
              <w:t>4436</w:t>
            </w:r>
          </w:p>
        </w:tc>
      </w:tr>
      <w:tr w:rsidR="006902CC" w:rsidRPr="009E2595" w14:paraId="29B64A18" w14:textId="77777777" w:rsidTr="006902CC">
        <w:trPr>
          <w:cantSplit/>
        </w:trPr>
        <w:tc>
          <w:tcPr>
            <w:tcW w:w="1136" w:type="pct"/>
            <w:tcBorders>
              <w:top w:val="single" w:sz="4" w:space="0" w:color="auto"/>
              <w:bottom w:val="single" w:sz="4" w:space="0" w:color="auto"/>
            </w:tcBorders>
          </w:tcPr>
          <w:p w14:paraId="5F9DF622" w14:textId="77777777" w:rsidR="006902CC" w:rsidRPr="00616B26" w:rsidRDefault="006902CC" w:rsidP="006902CC">
            <w:pPr>
              <w:pStyle w:val="Tabletext"/>
              <w:rPr>
                <w:snapToGrid w:val="0"/>
              </w:rPr>
            </w:pPr>
            <w:r w:rsidRPr="00616B26">
              <w:rPr>
                <w:snapToGrid w:val="0"/>
              </w:rPr>
              <w:t>45</w:t>
            </w:r>
          </w:p>
        </w:tc>
        <w:tc>
          <w:tcPr>
            <w:tcW w:w="966" w:type="pct"/>
            <w:tcBorders>
              <w:top w:val="single" w:sz="4" w:space="0" w:color="auto"/>
              <w:bottom w:val="single" w:sz="4" w:space="0" w:color="auto"/>
            </w:tcBorders>
            <w:vAlign w:val="bottom"/>
          </w:tcPr>
          <w:p w14:paraId="49F8676B" w14:textId="77777777" w:rsidR="006902CC" w:rsidRPr="00C971C6" w:rsidRDefault="006902CC" w:rsidP="006902CC">
            <w:pPr>
              <w:pStyle w:val="Tabletext"/>
              <w:rPr>
                <w:snapToGrid w:val="0"/>
              </w:rPr>
            </w:pPr>
            <w:r w:rsidRPr="00295986">
              <w:t>22</w:t>
            </w:r>
            <w:r w:rsidR="00D7157D">
              <w:t>.</w:t>
            </w:r>
            <w:r w:rsidRPr="00295986">
              <w:t>4443</w:t>
            </w:r>
          </w:p>
        </w:tc>
        <w:tc>
          <w:tcPr>
            <w:tcW w:w="966" w:type="pct"/>
            <w:tcBorders>
              <w:top w:val="single" w:sz="4" w:space="0" w:color="auto"/>
              <w:bottom w:val="single" w:sz="4" w:space="0" w:color="auto"/>
            </w:tcBorders>
            <w:vAlign w:val="bottom"/>
          </w:tcPr>
          <w:p w14:paraId="59A45161" w14:textId="77777777" w:rsidR="006902CC" w:rsidRPr="00C971C6" w:rsidRDefault="006902CC" w:rsidP="006902CC">
            <w:pPr>
              <w:pStyle w:val="Tabletext"/>
              <w:rPr>
                <w:snapToGrid w:val="0"/>
              </w:rPr>
            </w:pPr>
            <w:r w:rsidRPr="00295986">
              <w:t>1</w:t>
            </w:r>
            <w:r w:rsidR="00D7157D">
              <w:t>.</w:t>
            </w:r>
            <w:r w:rsidRPr="00295986">
              <w:t>1724</w:t>
            </w:r>
          </w:p>
        </w:tc>
        <w:tc>
          <w:tcPr>
            <w:tcW w:w="966" w:type="pct"/>
            <w:tcBorders>
              <w:top w:val="single" w:sz="4" w:space="0" w:color="auto"/>
              <w:bottom w:val="single" w:sz="4" w:space="0" w:color="auto"/>
            </w:tcBorders>
            <w:vAlign w:val="bottom"/>
          </w:tcPr>
          <w:p w14:paraId="0FD2EA75" w14:textId="77777777" w:rsidR="006902CC" w:rsidRPr="00C971C6" w:rsidRDefault="006902CC" w:rsidP="006902CC">
            <w:pPr>
              <w:pStyle w:val="Tabletext"/>
              <w:rPr>
                <w:snapToGrid w:val="0"/>
              </w:rPr>
            </w:pPr>
            <w:r w:rsidRPr="00295986">
              <w:t>23</w:t>
            </w:r>
            <w:r w:rsidR="00D7157D">
              <w:t>.</w:t>
            </w:r>
            <w:r w:rsidRPr="00295986">
              <w:t>1201</w:t>
            </w:r>
          </w:p>
        </w:tc>
        <w:tc>
          <w:tcPr>
            <w:tcW w:w="966" w:type="pct"/>
            <w:tcBorders>
              <w:top w:val="single" w:sz="4" w:space="0" w:color="auto"/>
              <w:bottom w:val="single" w:sz="4" w:space="0" w:color="auto"/>
            </w:tcBorders>
            <w:vAlign w:val="bottom"/>
          </w:tcPr>
          <w:p w14:paraId="2979336B" w14:textId="77777777" w:rsidR="006902CC" w:rsidRPr="00C971C6" w:rsidRDefault="006902CC" w:rsidP="006902CC">
            <w:pPr>
              <w:pStyle w:val="Tabletext"/>
              <w:rPr>
                <w:snapToGrid w:val="0"/>
              </w:rPr>
            </w:pPr>
            <w:r w:rsidRPr="00295986">
              <w:t>0</w:t>
            </w:r>
            <w:r w:rsidR="00D7157D">
              <w:t>.</w:t>
            </w:r>
            <w:r w:rsidRPr="00295986">
              <w:t>4212</w:t>
            </w:r>
          </w:p>
        </w:tc>
      </w:tr>
      <w:tr w:rsidR="006902CC" w:rsidRPr="009E2595" w14:paraId="03E079D8" w14:textId="77777777" w:rsidTr="006902CC">
        <w:trPr>
          <w:cantSplit/>
        </w:trPr>
        <w:tc>
          <w:tcPr>
            <w:tcW w:w="1136" w:type="pct"/>
            <w:tcBorders>
              <w:top w:val="single" w:sz="4" w:space="0" w:color="auto"/>
              <w:bottom w:val="single" w:sz="4" w:space="0" w:color="auto"/>
            </w:tcBorders>
          </w:tcPr>
          <w:p w14:paraId="5145335D" w14:textId="77777777" w:rsidR="006902CC" w:rsidRPr="00616B26" w:rsidRDefault="006902CC" w:rsidP="006902CC">
            <w:pPr>
              <w:pStyle w:val="Tabletext"/>
              <w:rPr>
                <w:snapToGrid w:val="0"/>
              </w:rPr>
            </w:pPr>
            <w:r w:rsidRPr="00616B26">
              <w:rPr>
                <w:snapToGrid w:val="0"/>
              </w:rPr>
              <w:t>46</w:t>
            </w:r>
          </w:p>
        </w:tc>
        <w:tc>
          <w:tcPr>
            <w:tcW w:w="966" w:type="pct"/>
            <w:tcBorders>
              <w:top w:val="single" w:sz="4" w:space="0" w:color="auto"/>
              <w:bottom w:val="single" w:sz="4" w:space="0" w:color="auto"/>
            </w:tcBorders>
            <w:vAlign w:val="bottom"/>
          </w:tcPr>
          <w:p w14:paraId="66D05CE9" w14:textId="77777777" w:rsidR="006902CC" w:rsidRPr="00C971C6" w:rsidRDefault="006902CC" w:rsidP="006902CC">
            <w:pPr>
              <w:pStyle w:val="Tabletext"/>
              <w:rPr>
                <w:snapToGrid w:val="0"/>
              </w:rPr>
            </w:pPr>
            <w:r w:rsidRPr="00295986">
              <w:t>22</w:t>
            </w:r>
            <w:r w:rsidR="00D7157D">
              <w:t>.</w:t>
            </w:r>
            <w:r w:rsidRPr="00295986">
              <w:t>2002</w:t>
            </w:r>
          </w:p>
        </w:tc>
        <w:tc>
          <w:tcPr>
            <w:tcW w:w="966" w:type="pct"/>
            <w:tcBorders>
              <w:top w:val="single" w:sz="4" w:space="0" w:color="auto"/>
              <w:bottom w:val="single" w:sz="4" w:space="0" w:color="auto"/>
            </w:tcBorders>
            <w:vAlign w:val="bottom"/>
          </w:tcPr>
          <w:p w14:paraId="62894696" w14:textId="77777777" w:rsidR="006902CC" w:rsidRPr="00C971C6" w:rsidRDefault="006902CC" w:rsidP="006902CC">
            <w:pPr>
              <w:pStyle w:val="Tabletext"/>
              <w:rPr>
                <w:snapToGrid w:val="0"/>
              </w:rPr>
            </w:pPr>
            <w:r w:rsidRPr="00295986">
              <w:t>1</w:t>
            </w:r>
            <w:r w:rsidR="00D7157D">
              <w:t>.</w:t>
            </w:r>
            <w:r w:rsidRPr="00295986">
              <w:t>1579</w:t>
            </w:r>
          </w:p>
        </w:tc>
        <w:tc>
          <w:tcPr>
            <w:tcW w:w="966" w:type="pct"/>
            <w:tcBorders>
              <w:top w:val="single" w:sz="4" w:space="0" w:color="auto"/>
              <w:bottom w:val="single" w:sz="4" w:space="0" w:color="auto"/>
            </w:tcBorders>
            <w:vAlign w:val="bottom"/>
          </w:tcPr>
          <w:p w14:paraId="4765D091" w14:textId="77777777" w:rsidR="006902CC" w:rsidRPr="00C971C6" w:rsidRDefault="006902CC" w:rsidP="006902CC">
            <w:pPr>
              <w:pStyle w:val="Tabletext"/>
              <w:rPr>
                <w:snapToGrid w:val="0"/>
              </w:rPr>
            </w:pPr>
            <w:r w:rsidRPr="00295986">
              <w:t>22</w:t>
            </w:r>
            <w:r w:rsidR="00D7157D">
              <w:t>.</w:t>
            </w:r>
            <w:r w:rsidRPr="00295986">
              <w:t>8896</w:t>
            </w:r>
          </w:p>
        </w:tc>
        <w:tc>
          <w:tcPr>
            <w:tcW w:w="966" w:type="pct"/>
            <w:tcBorders>
              <w:top w:val="single" w:sz="4" w:space="0" w:color="auto"/>
              <w:bottom w:val="single" w:sz="4" w:space="0" w:color="auto"/>
            </w:tcBorders>
            <w:vAlign w:val="bottom"/>
          </w:tcPr>
          <w:p w14:paraId="27FF2FFB" w14:textId="77777777" w:rsidR="006902CC" w:rsidRPr="00C971C6" w:rsidRDefault="006902CC" w:rsidP="006902CC">
            <w:pPr>
              <w:pStyle w:val="Tabletext"/>
              <w:rPr>
                <w:snapToGrid w:val="0"/>
              </w:rPr>
            </w:pPr>
            <w:r w:rsidRPr="00295986">
              <w:t>0</w:t>
            </w:r>
            <w:r w:rsidR="00D7157D">
              <w:t>.</w:t>
            </w:r>
            <w:r w:rsidRPr="00295986">
              <w:t>3969</w:t>
            </w:r>
          </w:p>
        </w:tc>
      </w:tr>
      <w:tr w:rsidR="006902CC" w:rsidRPr="009E2595" w14:paraId="20814179" w14:textId="77777777" w:rsidTr="006902CC">
        <w:trPr>
          <w:cantSplit/>
        </w:trPr>
        <w:tc>
          <w:tcPr>
            <w:tcW w:w="1136" w:type="pct"/>
            <w:tcBorders>
              <w:top w:val="single" w:sz="4" w:space="0" w:color="auto"/>
              <w:bottom w:val="single" w:sz="4" w:space="0" w:color="auto"/>
            </w:tcBorders>
          </w:tcPr>
          <w:p w14:paraId="55AEF5C9" w14:textId="77777777" w:rsidR="006902CC" w:rsidRPr="00616B26" w:rsidRDefault="006902CC" w:rsidP="006902CC">
            <w:pPr>
              <w:pStyle w:val="Tabletext"/>
              <w:rPr>
                <w:snapToGrid w:val="0"/>
              </w:rPr>
            </w:pPr>
            <w:r w:rsidRPr="00616B26">
              <w:rPr>
                <w:snapToGrid w:val="0"/>
              </w:rPr>
              <w:t>47</w:t>
            </w:r>
          </w:p>
        </w:tc>
        <w:tc>
          <w:tcPr>
            <w:tcW w:w="966" w:type="pct"/>
            <w:tcBorders>
              <w:top w:val="single" w:sz="4" w:space="0" w:color="auto"/>
              <w:bottom w:val="single" w:sz="4" w:space="0" w:color="auto"/>
            </w:tcBorders>
            <w:vAlign w:val="bottom"/>
          </w:tcPr>
          <w:p w14:paraId="34180134" w14:textId="77777777" w:rsidR="006902CC" w:rsidRPr="00C971C6" w:rsidRDefault="006902CC" w:rsidP="006902CC">
            <w:pPr>
              <w:pStyle w:val="Tabletext"/>
              <w:rPr>
                <w:snapToGrid w:val="0"/>
              </w:rPr>
            </w:pPr>
            <w:r w:rsidRPr="00295986">
              <w:t>21</w:t>
            </w:r>
            <w:r w:rsidR="00D7157D">
              <w:t>.</w:t>
            </w:r>
            <w:r w:rsidRPr="00295986">
              <w:t>9489</w:t>
            </w:r>
          </w:p>
        </w:tc>
        <w:tc>
          <w:tcPr>
            <w:tcW w:w="966" w:type="pct"/>
            <w:tcBorders>
              <w:top w:val="single" w:sz="4" w:space="0" w:color="auto"/>
              <w:bottom w:val="single" w:sz="4" w:space="0" w:color="auto"/>
            </w:tcBorders>
            <w:vAlign w:val="bottom"/>
          </w:tcPr>
          <w:p w14:paraId="17F2F1EC" w14:textId="77777777" w:rsidR="006902CC" w:rsidRPr="00C971C6" w:rsidRDefault="006902CC" w:rsidP="006902CC">
            <w:pPr>
              <w:pStyle w:val="Tabletext"/>
              <w:rPr>
                <w:snapToGrid w:val="0"/>
              </w:rPr>
            </w:pPr>
            <w:r w:rsidRPr="00295986">
              <w:t>1</w:t>
            </w:r>
            <w:r w:rsidR="00D7157D">
              <w:t>.</w:t>
            </w:r>
            <w:r w:rsidRPr="00295986">
              <w:t>1411</w:t>
            </w:r>
          </w:p>
        </w:tc>
        <w:tc>
          <w:tcPr>
            <w:tcW w:w="966" w:type="pct"/>
            <w:tcBorders>
              <w:top w:val="single" w:sz="4" w:space="0" w:color="auto"/>
              <w:bottom w:val="single" w:sz="4" w:space="0" w:color="auto"/>
            </w:tcBorders>
            <w:vAlign w:val="bottom"/>
          </w:tcPr>
          <w:p w14:paraId="5E37AFE4" w14:textId="77777777" w:rsidR="006902CC" w:rsidRPr="00C971C6" w:rsidRDefault="006902CC" w:rsidP="006902CC">
            <w:pPr>
              <w:pStyle w:val="Tabletext"/>
              <w:rPr>
                <w:snapToGrid w:val="0"/>
              </w:rPr>
            </w:pPr>
            <w:r w:rsidRPr="00295986">
              <w:t>22</w:t>
            </w:r>
            <w:r w:rsidR="00D7157D">
              <w:t>.</w:t>
            </w:r>
            <w:r w:rsidRPr="00295986">
              <w:t>6518</w:t>
            </w:r>
          </w:p>
        </w:tc>
        <w:tc>
          <w:tcPr>
            <w:tcW w:w="966" w:type="pct"/>
            <w:tcBorders>
              <w:top w:val="single" w:sz="4" w:space="0" w:color="auto"/>
              <w:bottom w:val="single" w:sz="4" w:space="0" w:color="auto"/>
            </w:tcBorders>
            <w:vAlign w:val="bottom"/>
          </w:tcPr>
          <w:p w14:paraId="1963B0C5" w14:textId="77777777" w:rsidR="006902CC" w:rsidRPr="00C971C6" w:rsidRDefault="006902CC" w:rsidP="006902CC">
            <w:pPr>
              <w:pStyle w:val="Tabletext"/>
              <w:rPr>
                <w:snapToGrid w:val="0"/>
              </w:rPr>
            </w:pPr>
            <w:r w:rsidRPr="00295986">
              <w:t>0</w:t>
            </w:r>
            <w:r w:rsidR="00D7157D">
              <w:t>.</w:t>
            </w:r>
            <w:r w:rsidRPr="00295986">
              <w:t>3705</w:t>
            </w:r>
          </w:p>
        </w:tc>
      </w:tr>
      <w:tr w:rsidR="006902CC" w:rsidRPr="009E2595" w14:paraId="797C6052" w14:textId="77777777" w:rsidTr="006902CC">
        <w:trPr>
          <w:cantSplit/>
        </w:trPr>
        <w:tc>
          <w:tcPr>
            <w:tcW w:w="1136" w:type="pct"/>
            <w:tcBorders>
              <w:top w:val="single" w:sz="4" w:space="0" w:color="auto"/>
              <w:bottom w:val="single" w:sz="4" w:space="0" w:color="auto"/>
            </w:tcBorders>
          </w:tcPr>
          <w:p w14:paraId="19B97283" w14:textId="77777777" w:rsidR="006902CC" w:rsidRPr="00616B26" w:rsidRDefault="006902CC" w:rsidP="006902CC">
            <w:pPr>
              <w:pStyle w:val="Tabletext"/>
              <w:rPr>
                <w:snapToGrid w:val="0"/>
              </w:rPr>
            </w:pPr>
            <w:r w:rsidRPr="00616B26">
              <w:rPr>
                <w:snapToGrid w:val="0"/>
              </w:rPr>
              <w:t>48</w:t>
            </w:r>
          </w:p>
        </w:tc>
        <w:tc>
          <w:tcPr>
            <w:tcW w:w="966" w:type="pct"/>
            <w:tcBorders>
              <w:top w:val="single" w:sz="4" w:space="0" w:color="auto"/>
              <w:bottom w:val="single" w:sz="4" w:space="0" w:color="auto"/>
            </w:tcBorders>
            <w:vAlign w:val="bottom"/>
          </w:tcPr>
          <w:p w14:paraId="7A6ABDDD" w14:textId="77777777" w:rsidR="006902CC" w:rsidRPr="00C971C6" w:rsidRDefault="006902CC" w:rsidP="006902CC">
            <w:pPr>
              <w:pStyle w:val="Tabletext"/>
              <w:rPr>
                <w:snapToGrid w:val="0"/>
              </w:rPr>
            </w:pPr>
            <w:r w:rsidRPr="00295986">
              <w:t>21</w:t>
            </w:r>
            <w:r w:rsidR="00D7157D">
              <w:t>.</w:t>
            </w:r>
            <w:r w:rsidRPr="00295986">
              <w:t>6905</w:t>
            </w:r>
          </w:p>
        </w:tc>
        <w:tc>
          <w:tcPr>
            <w:tcW w:w="966" w:type="pct"/>
            <w:tcBorders>
              <w:top w:val="single" w:sz="4" w:space="0" w:color="auto"/>
              <w:bottom w:val="single" w:sz="4" w:space="0" w:color="auto"/>
            </w:tcBorders>
            <w:vAlign w:val="bottom"/>
          </w:tcPr>
          <w:p w14:paraId="6C02C2EA" w14:textId="77777777" w:rsidR="006902CC" w:rsidRPr="00C971C6" w:rsidRDefault="006902CC" w:rsidP="006902CC">
            <w:pPr>
              <w:pStyle w:val="Tabletext"/>
              <w:rPr>
                <w:snapToGrid w:val="0"/>
              </w:rPr>
            </w:pPr>
            <w:r w:rsidRPr="00295986">
              <w:t>1</w:t>
            </w:r>
            <w:r w:rsidR="00D7157D">
              <w:t>.</w:t>
            </w:r>
            <w:r w:rsidRPr="00295986">
              <w:t>1218</w:t>
            </w:r>
          </w:p>
        </w:tc>
        <w:tc>
          <w:tcPr>
            <w:tcW w:w="966" w:type="pct"/>
            <w:tcBorders>
              <w:top w:val="single" w:sz="4" w:space="0" w:color="auto"/>
              <w:bottom w:val="single" w:sz="4" w:space="0" w:color="auto"/>
            </w:tcBorders>
            <w:vAlign w:val="bottom"/>
          </w:tcPr>
          <w:p w14:paraId="40FC801F" w14:textId="77777777" w:rsidR="006902CC" w:rsidRPr="00C971C6" w:rsidRDefault="006902CC" w:rsidP="006902CC">
            <w:pPr>
              <w:pStyle w:val="Tabletext"/>
              <w:rPr>
                <w:snapToGrid w:val="0"/>
              </w:rPr>
            </w:pPr>
            <w:r w:rsidRPr="00295986">
              <w:t>22</w:t>
            </w:r>
            <w:r w:rsidR="00D7157D">
              <w:t>.</w:t>
            </w:r>
            <w:r w:rsidRPr="00295986">
              <w:t>4065</w:t>
            </w:r>
          </w:p>
        </w:tc>
        <w:tc>
          <w:tcPr>
            <w:tcW w:w="966" w:type="pct"/>
            <w:tcBorders>
              <w:top w:val="single" w:sz="4" w:space="0" w:color="auto"/>
              <w:bottom w:val="single" w:sz="4" w:space="0" w:color="auto"/>
            </w:tcBorders>
            <w:vAlign w:val="bottom"/>
          </w:tcPr>
          <w:p w14:paraId="31CBFB81" w14:textId="77777777" w:rsidR="006902CC" w:rsidRPr="00C971C6" w:rsidRDefault="006902CC" w:rsidP="006902CC">
            <w:pPr>
              <w:pStyle w:val="Tabletext"/>
              <w:rPr>
                <w:snapToGrid w:val="0"/>
              </w:rPr>
            </w:pPr>
            <w:r w:rsidRPr="00295986">
              <w:t>0</w:t>
            </w:r>
            <w:r w:rsidR="00D7157D">
              <w:t>.</w:t>
            </w:r>
            <w:r w:rsidRPr="00295986">
              <w:t>3420</w:t>
            </w:r>
          </w:p>
        </w:tc>
      </w:tr>
      <w:tr w:rsidR="006902CC" w:rsidRPr="009E2595" w14:paraId="0E186B79" w14:textId="77777777" w:rsidTr="006902CC">
        <w:trPr>
          <w:cantSplit/>
        </w:trPr>
        <w:tc>
          <w:tcPr>
            <w:tcW w:w="1136" w:type="pct"/>
            <w:tcBorders>
              <w:top w:val="single" w:sz="4" w:space="0" w:color="auto"/>
              <w:bottom w:val="single" w:sz="4" w:space="0" w:color="auto"/>
            </w:tcBorders>
          </w:tcPr>
          <w:p w14:paraId="33882F8A" w14:textId="77777777" w:rsidR="006902CC" w:rsidRPr="00616B26" w:rsidRDefault="006902CC" w:rsidP="006902CC">
            <w:pPr>
              <w:pStyle w:val="Tabletext"/>
              <w:rPr>
                <w:snapToGrid w:val="0"/>
              </w:rPr>
            </w:pPr>
            <w:r w:rsidRPr="00616B26">
              <w:rPr>
                <w:snapToGrid w:val="0"/>
              </w:rPr>
              <w:t>49</w:t>
            </w:r>
          </w:p>
        </w:tc>
        <w:tc>
          <w:tcPr>
            <w:tcW w:w="966" w:type="pct"/>
            <w:tcBorders>
              <w:top w:val="single" w:sz="4" w:space="0" w:color="auto"/>
              <w:bottom w:val="single" w:sz="4" w:space="0" w:color="auto"/>
            </w:tcBorders>
            <w:vAlign w:val="bottom"/>
          </w:tcPr>
          <w:p w14:paraId="0A947D74" w14:textId="77777777" w:rsidR="006902CC" w:rsidRPr="00C971C6" w:rsidRDefault="006902CC" w:rsidP="006902CC">
            <w:pPr>
              <w:pStyle w:val="Tabletext"/>
              <w:rPr>
                <w:snapToGrid w:val="0"/>
              </w:rPr>
            </w:pPr>
            <w:r w:rsidRPr="00295986">
              <w:t>21</w:t>
            </w:r>
            <w:r w:rsidR="00D7157D">
              <w:t>.</w:t>
            </w:r>
            <w:r w:rsidRPr="00295986">
              <w:t>4248</w:t>
            </w:r>
          </w:p>
        </w:tc>
        <w:tc>
          <w:tcPr>
            <w:tcW w:w="966" w:type="pct"/>
            <w:tcBorders>
              <w:top w:val="single" w:sz="4" w:space="0" w:color="auto"/>
              <w:bottom w:val="single" w:sz="4" w:space="0" w:color="auto"/>
            </w:tcBorders>
            <w:vAlign w:val="bottom"/>
          </w:tcPr>
          <w:p w14:paraId="7D9D8714" w14:textId="77777777" w:rsidR="006902CC" w:rsidRPr="00C971C6" w:rsidRDefault="006902CC" w:rsidP="006902CC">
            <w:pPr>
              <w:pStyle w:val="Tabletext"/>
              <w:rPr>
                <w:snapToGrid w:val="0"/>
              </w:rPr>
            </w:pPr>
            <w:r w:rsidRPr="00295986">
              <w:t>1</w:t>
            </w:r>
            <w:r w:rsidR="00D7157D">
              <w:t>.</w:t>
            </w:r>
            <w:r w:rsidRPr="00295986">
              <w:t>1001</w:t>
            </w:r>
          </w:p>
        </w:tc>
        <w:tc>
          <w:tcPr>
            <w:tcW w:w="966" w:type="pct"/>
            <w:tcBorders>
              <w:top w:val="single" w:sz="4" w:space="0" w:color="auto"/>
              <w:bottom w:val="single" w:sz="4" w:space="0" w:color="auto"/>
            </w:tcBorders>
            <w:vAlign w:val="bottom"/>
          </w:tcPr>
          <w:p w14:paraId="1F541675" w14:textId="77777777" w:rsidR="006902CC" w:rsidRPr="00C971C6" w:rsidRDefault="006902CC" w:rsidP="006902CC">
            <w:pPr>
              <w:pStyle w:val="Tabletext"/>
              <w:rPr>
                <w:snapToGrid w:val="0"/>
              </w:rPr>
            </w:pPr>
            <w:r w:rsidRPr="00295986">
              <w:t>22</w:t>
            </w:r>
            <w:r w:rsidR="00D7157D">
              <w:t>.</w:t>
            </w:r>
            <w:r w:rsidRPr="00295986">
              <w:t>1533</w:t>
            </w:r>
          </w:p>
        </w:tc>
        <w:tc>
          <w:tcPr>
            <w:tcW w:w="966" w:type="pct"/>
            <w:tcBorders>
              <w:top w:val="single" w:sz="4" w:space="0" w:color="auto"/>
              <w:bottom w:val="single" w:sz="4" w:space="0" w:color="auto"/>
            </w:tcBorders>
            <w:vAlign w:val="bottom"/>
          </w:tcPr>
          <w:p w14:paraId="77EE5AA5" w14:textId="77777777" w:rsidR="006902CC" w:rsidRPr="00C971C6" w:rsidRDefault="006902CC" w:rsidP="006902CC">
            <w:pPr>
              <w:pStyle w:val="Tabletext"/>
              <w:rPr>
                <w:snapToGrid w:val="0"/>
              </w:rPr>
            </w:pPr>
            <w:r w:rsidRPr="00295986">
              <w:t>0</w:t>
            </w:r>
            <w:r w:rsidR="00D7157D">
              <w:t>.</w:t>
            </w:r>
            <w:r w:rsidRPr="00295986">
              <w:t>3114</w:t>
            </w:r>
          </w:p>
        </w:tc>
      </w:tr>
      <w:tr w:rsidR="006902CC" w:rsidRPr="009E2595" w14:paraId="3AA4D62C" w14:textId="77777777" w:rsidTr="006902CC">
        <w:trPr>
          <w:cantSplit/>
        </w:trPr>
        <w:tc>
          <w:tcPr>
            <w:tcW w:w="1136" w:type="pct"/>
            <w:tcBorders>
              <w:top w:val="single" w:sz="4" w:space="0" w:color="auto"/>
              <w:bottom w:val="single" w:sz="4" w:space="0" w:color="auto"/>
            </w:tcBorders>
          </w:tcPr>
          <w:p w14:paraId="59DFBA6D" w14:textId="77777777" w:rsidR="006902CC" w:rsidRPr="00616B26" w:rsidRDefault="006902CC" w:rsidP="006902CC">
            <w:pPr>
              <w:pStyle w:val="Tabletext"/>
              <w:rPr>
                <w:snapToGrid w:val="0"/>
              </w:rPr>
            </w:pPr>
            <w:r w:rsidRPr="00616B26">
              <w:rPr>
                <w:snapToGrid w:val="0"/>
              </w:rPr>
              <w:t>50</w:t>
            </w:r>
          </w:p>
        </w:tc>
        <w:tc>
          <w:tcPr>
            <w:tcW w:w="966" w:type="pct"/>
            <w:tcBorders>
              <w:top w:val="single" w:sz="4" w:space="0" w:color="auto"/>
              <w:bottom w:val="single" w:sz="4" w:space="0" w:color="auto"/>
            </w:tcBorders>
            <w:vAlign w:val="bottom"/>
          </w:tcPr>
          <w:p w14:paraId="76FFCDA6" w14:textId="77777777" w:rsidR="006902CC" w:rsidRPr="00C971C6" w:rsidRDefault="006902CC" w:rsidP="006902CC">
            <w:pPr>
              <w:pStyle w:val="Tabletext"/>
              <w:rPr>
                <w:snapToGrid w:val="0"/>
              </w:rPr>
            </w:pPr>
            <w:r w:rsidRPr="00295986">
              <w:t>21</w:t>
            </w:r>
            <w:r w:rsidR="00D7157D">
              <w:t>.</w:t>
            </w:r>
            <w:r w:rsidRPr="00295986">
              <w:t>1511</w:t>
            </w:r>
          </w:p>
        </w:tc>
        <w:tc>
          <w:tcPr>
            <w:tcW w:w="966" w:type="pct"/>
            <w:tcBorders>
              <w:top w:val="single" w:sz="4" w:space="0" w:color="auto"/>
              <w:bottom w:val="single" w:sz="4" w:space="0" w:color="auto"/>
            </w:tcBorders>
            <w:vAlign w:val="bottom"/>
          </w:tcPr>
          <w:p w14:paraId="4E814247" w14:textId="77777777" w:rsidR="006902CC" w:rsidRPr="00C971C6" w:rsidRDefault="006902CC" w:rsidP="006902CC">
            <w:pPr>
              <w:pStyle w:val="Tabletext"/>
              <w:rPr>
                <w:snapToGrid w:val="0"/>
              </w:rPr>
            </w:pPr>
            <w:r w:rsidRPr="00295986">
              <w:t>1</w:t>
            </w:r>
            <w:r w:rsidR="00D7157D">
              <w:t>.</w:t>
            </w:r>
            <w:r w:rsidRPr="00295986">
              <w:t>0761</w:t>
            </w:r>
          </w:p>
        </w:tc>
        <w:tc>
          <w:tcPr>
            <w:tcW w:w="966" w:type="pct"/>
            <w:tcBorders>
              <w:top w:val="single" w:sz="4" w:space="0" w:color="auto"/>
              <w:bottom w:val="single" w:sz="4" w:space="0" w:color="auto"/>
            </w:tcBorders>
            <w:vAlign w:val="bottom"/>
          </w:tcPr>
          <w:p w14:paraId="4FD88A10" w14:textId="77777777" w:rsidR="006902CC" w:rsidRPr="00C971C6" w:rsidRDefault="006902CC" w:rsidP="006902CC">
            <w:pPr>
              <w:pStyle w:val="Tabletext"/>
              <w:rPr>
                <w:snapToGrid w:val="0"/>
              </w:rPr>
            </w:pPr>
            <w:r w:rsidRPr="00295986">
              <w:t>21</w:t>
            </w:r>
            <w:r w:rsidR="00D7157D">
              <w:t>.</w:t>
            </w:r>
            <w:r w:rsidRPr="00295986">
              <w:t>8922</w:t>
            </w:r>
          </w:p>
        </w:tc>
        <w:tc>
          <w:tcPr>
            <w:tcW w:w="966" w:type="pct"/>
            <w:tcBorders>
              <w:top w:val="single" w:sz="4" w:space="0" w:color="auto"/>
              <w:bottom w:val="single" w:sz="4" w:space="0" w:color="auto"/>
            </w:tcBorders>
            <w:vAlign w:val="bottom"/>
          </w:tcPr>
          <w:p w14:paraId="413573B6" w14:textId="77777777" w:rsidR="006902CC" w:rsidRPr="00C971C6" w:rsidRDefault="006902CC" w:rsidP="006902CC">
            <w:pPr>
              <w:pStyle w:val="Tabletext"/>
              <w:rPr>
                <w:snapToGrid w:val="0"/>
              </w:rPr>
            </w:pPr>
            <w:r w:rsidRPr="00295986">
              <w:t>0</w:t>
            </w:r>
            <w:r w:rsidR="00D7157D">
              <w:t>.</w:t>
            </w:r>
            <w:r w:rsidRPr="00295986">
              <w:t>2786</w:t>
            </w:r>
          </w:p>
        </w:tc>
      </w:tr>
      <w:tr w:rsidR="006902CC" w:rsidRPr="009E2595" w14:paraId="68B58392" w14:textId="77777777" w:rsidTr="006902CC">
        <w:trPr>
          <w:cantSplit/>
        </w:trPr>
        <w:tc>
          <w:tcPr>
            <w:tcW w:w="1136" w:type="pct"/>
            <w:tcBorders>
              <w:top w:val="single" w:sz="4" w:space="0" w:color="auto"/>
              <w:bottom w:val="single" w:sz="4" w:space="0" w:color="auto"/>
            </w:tcBorders>
          </w:tcPr>
          <w:p w14:paraId="60B933A5" w14:textId="77777777" w:rsidR="006902CC" w:rsidRPr="00616B26" w:rsidRDefault="006902CC" w:rsidP="006902CC">
            <w:pPr>
              <w:pStyle w:val="Tabletext"/>
              <w:rPr>
                <w:snapToGrid w:val="0"/>
              </w:rPr>
            </w:pPr>
            <w:r w:rsidRPr="00616B26">
              <w:rPr>
                <w:snapToGrid w:val="0"/>
              </w:rPr>
              <w:t>51</w:t>
            </w:r>
          </w:p>
        </w:tc>
        <w:tc>
          <w:tcPr>
            <w:tcW w:w="966" w:type="pct"/>
            <w:tcBorders>
              <w:top w:val="single" w:sz="4" w:space="0" w:color="auto"/>
              <w:bottom w:val="single" w:sz="4" w:space="0" w:color="auto"/>
            </w:tcBorders>
            <w:vAlign w:val="bottom"/>
          </w:tcPr>
          <w:p w14:paraId="3BFF1CBB" w14:textId="77777777" w:rsidR="006902CC" w:rsidRPr="00C971C6" w:rsidRDefault="006902CC" w:rsidP="006902CC">
            <w:pPr>
              <w:pStyle w:val="Tabletext"/>
              <w:rPr>
                <w:snapToGrid w:val="0"/>
              </w:rPr>
            </w:pPr>
            <w:r w:rsidRPr="00295986">
              <w:t>20</w:t>
            </w:r>
            <w:r w:rsidR="00D7157D">
              <w:t>.</w:t>
            </w:r>
            <w:r w:rsidRPr="00295986">
              <w:t>8694</w:t>
            </w:r>
          </w:p>
        </w:tc>
        <w:tc>
          <w:tcPr>
            <w:tcW w:w="966" w:type="pct"/>
            <w:tcBorders>
              <w:top w:val="single" w:sz="4" w:space="0" w:color="auto"/>
              <w:bottom w:val="single" w:sz="4" w:space="0" w:color="auto"/>
            </w:tcBorders>
            <w:vAlign w:val="bottom"/>
          </w:tcPr>
          <w:p w14:paraId="44FDF8F7" w14:textId="77777777" w:rsidR="006902CC" w:rsidRPr="00C971C6" w:rsidRDefault="006902CC" w:rsidP="006902CC">
            <w:pPr>
              <w:pStyle w:val="Tabletext"/>
              <w:rPr>
                <w:snapToGrid w:val="0"/>
              </w:rPr>
            </w:pPr>
            <w:r w:rsidRPr="00295986">
              <w:t>0</w:t>
            </w:r>
            <w:r w:rsidR="00D7157D">
              <w:t>.</w:t>
            </w:r>
            <w:r w:rsidRPr="00295986">
              <w:t>9391</w:t>
            </w:r>
          </w:p>
        </w:tc>
        <w:tc>
          <w:tcPr>
            <w:tcW w:w="966" w:type="pct"/>
            <w:tcBorders>
              <w:top w:val="single" w:sz="4" w:space="0" w:color="auto"/>
              <w:bottom w:val="single" w:sz="4" w:space="0" w:color="auto"/>
            </w:tcBorders>
            <w:vAlign w:val="bottom"/>
          </w:tcPr>
          <w:p w14:paraId="5E44FD10" w14:textId="77777777" w:rsidR="006902CC" w:rsidRPr="00C971C6" w:rsidRDefault="006902CC" w:rsidP="006902CC">
            <w:pPr>
              <w:pStyle w:val="Tabletext"/>
              <w:rPr>
                <w:snapToGrid w:val="0"/>
              </w:rPr>
            </w:pPr>
            <w:r w:rsidRPr="00295986">
              <w:t>21</w:t>
            </w:r>
            <w:r w:rsidR="00D7157D">
              <w:t>.</w:t>
            </w:r>
            <w:r w:rsidRPr="00295986">
              <w:t>6228</w:t>
            </w:r>
          </w:p>
        </w:tc>
        <w:tc>
          <w:tcPr>
            <w:tcW w:w="966" w:type="pct"/>
            <w:tcBorders>
              <w:top w:val="single" w:sz="4" w:space="0" w:color="auto"/>
              <w:bottom w:val="single" w:sz="4" w:space="0" w:color="auto"/>
            </w:tcBorders>
            <w:vAlign w:val="bottom"/>
          </w:tcPr>
          <w:p w14:paraId="17AD26C8" w14:textId="77777777" w:rsidR="006902CC" w:rsidRPr="00C971C6" w:rsidRDefault="006902CC" w:rsidP="006902CC">
            <w:pPr>
              <w:pStyle w:val="Tabletext"/>
              <w:rPr>
                <w:snapToGrid w:val="0"/>
              </w:rPr>
            </w:pPr>
            <w:r w:rsidRPr="00295986">
              <w:t>0</w:t>
            </w:r>
            <w:r w:rsidR="00D7157D">
              <w:t>.</w:t>
            </w:r>
            <w:r w:rsidRPr="00295986">
              <w:t>2435</w:t>
            </w:r>
          </w:p>
        </w:tc>
      </w:tr>
      <w:tr w:rsidR="006902CC" w:rsidRPr="009E2595" w14:paraId="78A82906" w14:textId="77777777" w:rsidTr="006902CC">
        <w:trPr>
          <w:cantSplit/>
        </w:trPr>
        <w:tc>
          <w:tcPr>
            <w:tcW w:w="1136" w:type="pct"/>
            <w:tcBorders>
              <w:top w:val="single" w:sz="4" w:space="0" w:color="auto"/>
              <w:bottom w:val="single" w:sz="4" w:space="0" w:color="auto"/>
            </w:tcBorders>
          </w:tcPr>
          <w:p w14:paraId="16856BBB" w14:textId="77777777" w:rsidR="006902CC" w:rsidRPr="00616B26" w:rsidRDefault="006902CC" w:rsidP="006902CC">
            <w:pPr>
              <w:pStyle w:val="Tabletext"/>
              <w:rPr>
                <w:snapToGrid w:val="0"/>
              </w:rPr>
            </w:pPr>
            <w:r w:rsidRPr="00616B26">
              <w:rPr>
                <w:snapToGrid w:val="0"/>
              </w:rPr>
              <w:t>52</w:t>
            </w:r>
          </w:p>
        </w:tc>
        <w:tc>
          <w:tcPr>
            <w:tcW w:w="966" w:type="pct"/>
            <w:tcBorders>
              <w:top w:val="single" w:sz="4" w:space="0" w:color="auto"/>
              <w:bottom w:val="single" w:sz="4" w:space="0" w:color="auto"/>
            </w:tcBorders>
            <w:vAlign w:val="bottom"/>
          </w:tcPr>
          <w:p w14:paraId="1782A9CC" w14:textId="77777777" w:rsidR="006902CC" w:rsidRPr="00C971C6" w:rsidRDefault="006902CC" w:rsidP="006902CC">
            <w:pPr>
              <w:pStyle w:val="Tabletext"/>
              <w:rPr>
                <w:snapToGrid w:val="0"/>
              </w:rPr>
            </w:pPr>
            <w:r w:rsidRPr="00295986">
              <w:t>20</w:t>
            </w:r>
            <w:r w:rsidR="00D7157D">
              <w:t>.</w:t>
            </w:r>
            <w:r w:rsidRPr="00295986">
              <w:t>5784</w:t>
            </w:r>
          </w:p>
        </w:tc>
        <w:tc>
          <w:tcPr>
            <w:tcW w:w="966" w:type="pct"/>
            <w:tcBorders>
              <w:top w:val="single" w:sz="4" w:space="0" w:color="auto"/>
              <w:bottom w:val="single" w:sz="4" w:space="0" w:color="auto"/>
            </w:tcBorders>
            <w:vAlign w:val="bottom"/>
          </w:tcPr>
          <w:p w14:paraId="0AB8A7D1" w14:textId="77777777" w:rsidR="006902CC" w:rsidRPr="00C971C6" w:rsidRDefault="006902CC" w:rsidP="006902CC">
            <w:pPr>
              <w:pStyle w:val="Tabletext"/>
              <w:rPr>
                <w:snapToGrid w:val="0"/>
              </w:rPr>
            </w:pPr>
            <w:r w:rsidRPr="00295986">
              <w:t>0</w:t>
            </w:r>
            <w:r w:rsidR="00D7157D">
              <w:t>.</w:t>
            </w:r>
            <w:r w:rsidRPr="00295986">
              <w:t>7940</w:t>
            </w:r>
          </w:p>
        </w:tc>
        <w:tc>
          <w:tcPr>
            <w:tcW w:w="966" w:type="pct"/>
            <w:tcBorders>
              <w:top w:val="single" w:sz="4" w:space="0" w:color="auto"/>
              <w:bottom w:val="single" w:sz="4" w:space="0" w:color="auto"/>
            </w:tcBorders>
            <w:vAlign w:val="bottom"/>
          </w:tcPr>
          <w:p w14:paraId="690AB2F2" w14:textId="77777777" w:rsidR="006902CC" w:rsidRPr="00C971C6" w:rsidRDefault="006902CC" w:rsidP="006902CC">
            <w:pPr>
              <w:pStyle w:val="Tabletext"/>
              <w:rPr>
                <w:snapToGrid w:val="0"/>
              </w:rPr>
            </w:pPr>
            <w:r w:rsidRPr="00295986">
              <w:t>21</w:t>
            </w:r>
            <w:r w:rsidR="00D7157D">
              <w:t>.</w:t>
            </w:r>
            <w:r w:rsidRPr="00295986">
              <w:t>3440</w:t>
            </w:r>
          </w:p>
        </w:tc>
        <w:tc>
          <w:tcPr>
            <w:tcW w:w="966" w:type="pct"/>
            <w:tcBorders>
              <w:top w:val="single" w:sz="4" w:space="0" w:color="auto"/>
              <w:bottom w:val="single" w:sz="4" w:space="0" w:color="auto"/>
            </w:tcBorders>
            <w:vAlign w:val="bottom"/>
          </w:tcPr>
          <w:p w14:paraId="5A7FECB1" w14:textId="77777777" w:rsidR="006902CC" w:rsidRPr="00C971C6" w:rsidRDefault="006902CC" w:rsidP="006902CC">
            <w:pPr>
              <w:pStyle w:val="Tabletext"/>
              <w:rPr>
                <w:snapToGrid w:val="0"/>
              </w:rPr>
            </w:pPr>
            <w:r w:rsidRPr="00295986">
              <w:t>0</w:t>
            </w:r>
            <w:r w:rsidR="00D7157D">
              <w:t>.</w:t>
            </w:r>
            <w:r w:rsidRPr="00295986">
              <w:t>2062</w:t>
            </w:r>
          </w:p>
        </w:tc>
      </w:tr>
      <w:tr w:rsidR="006902CC" w:rsidRPr="009E2595" w14:paraId="758EA4D8" w14:textId="77777777" w:rsidTr="006902CC">
        <w:trPr>
          <w:cantSplit/>
        </w:trPr>
        <w:tc>
          <w:tcPr>
            <w:tcW w:w="1136" w:type="pct"/>
            <w:tcBorders>
              <w:top w:val="single" w:sz="4" w:space="0" w:color="auto"/>
              <w:bottom w:val="single" w:sz="4" w:space="0" w:color="auto"/>
            </w:tcBorders>
          </w:tcPr>
          <w:p w14:paraId="663ACC81" w14:textId="77777777" w:rsidR="006902CC" w:rsidRPr="00616B26" w:rsidRDefault="006902CC" w:rsidP="006902CC">
            <w:pPr>
              <w:pStyle w:val="Tabletext"/>
              <w:rPr>
                <w:snapToGrid w:val="0"/>
              </w:rPr>
            </w:pPr>
            <w:r w:rsidRPr="00616B26">
              <w:rPr>
                <w:snapToGrid w:val="0"/>
              </w:rPr>
              <w:t>53</w:t>
            </w:r>
          </w:p>
        </w:tc>
        <w:tc>
          <w:tcPr>
            <w:tcW w:w="966" w:type="pct"/>
            <w:tcBorders>
              <w:top w:val="single" w:sz="4" w:space="0" w:color="auto"/>
              <w:bottom w:val="single" w:sz="4" w:space="0" w:color="auto"/>
            </w:tcBorders>
            <w:vAlign w:val="bottom"/>
          </w:tcPr>
          <w:p w14:paraId="78C45E7B" w14:textId="77777777" w:rsidR="006902CC" w:rsidRPr="00C971C6" w:rsidRDefault="006902CC" w:rsidP="006902CC">
            <w:pPr>
              <w:pStyle w:val="Tabletext"/>
              <w:rPr>
                <w:snapToGrid w:val="0"/>
              </w:rPr>
            </w:pPr>
            <w:r w:rsidRPr="00295986">
              <w:t>20</w:t>
            </w:r>
            <w:r w:rsidR="00D7157D">
              <w:t>.</w:t>
            </w:r>
            <w:r w:rsidRPr="00295986">
              <w:t>2776</w:t>
            </w:r>
          </w:p>
        </w:tc>
        <w:tc>
          <w:tcPr>
            <w:tcW w:w="966" w:type="pct"/>
            <w:tcBorders>
              <w:top w:val="single" w:sz="4" w:space="0" w:color="auto"/>
              <w:bottom w:val="single" w:sz="4" w:space="0" w:color="auto"/>
            </w:tcBorders>
            <w:vAlign w:val="bottom"/>
          </w:tcPr>
          <w:p w14:paraId="20698AEC" w14:textId="77777777" w:rsidR="006902CC" w:rsidRPr="00C971C6" w:rsidRDefault="006902CC" w:rsidP="006902CC">
            <w:pPr>
              <w:pStyle w:val="Tabletext"/>
              <w:rPr>
                <w:snapToGrid w:val="0"/>
              </w:rPr>
            </w:pPr>
            <w:r w:rsidRPr="00295986">
              <w:t>0</w:t>
            </w:r>
            <w:r w:rsidR="00D7157D">
              <w:t>.</w:t>
            </w:r>
            <w:r w:rsidRPr="00295986">
              <w:t>6406</w:t>
            </w:r>
          </w:p>
        </w:tc>
        <w:tc>
          <w:tcPr>
            <w:tcW w:w="966" w:type="pct"/>
            <w:tcBorders>
              <w:top w:val="single" w:sz="4" w:space="0" w:color="auto"/>
              <w:bottom w:val="single" w:sz="4" w:space="0" w:color="auto"/>
            </w:tcBorders>
            <w:vAlign w:val="bottom"/>
          </w:tcPr>
          <w:p w14:paraId="0C034B7E" w14:textId="77777777" w:rsidR="006902CC" w:rsidRPr="00C971C6" w:rsidRDefault="006902CC" w:rsidP="006902CC">
            <w:pPr>
              <w:pStyle w:val="Tabletext"/>
              <w:rPr>
                <w:snapToGrid w:val="0"/>
              </w:rPr>
            </w:pPr>
            <w:r w:rsidRPr="00295986">
              <w:t>21</w:t>
            </w:r>
            <w:r w:rsidR="00D7157D">
              <w:t>.</w:t>
            </w:r>
            <w:r w:rsidRPr="00295986">
              <w:t>0560</w:t>
            </w:r>
          </w:p>
        </w:tc>
        <w:tc>
          <w:tcPr>
            <w:tcW w:w="966" w:type="pct"/>
            <w:tcBorders>
              <w:top w:val="single" w:sz="4" w:space="0" w:color="auto"/>
              <w:bottom w:val="single" w:sz="4" w:space="0" w:color="auto"/>
            </w:tcBorders>
            <w:vAlign w:val="bottom"/>
          </w:tcPr>
          <w:p w14:paraId="7573C662" w14:textId="77777777" w:rsidR="006902CC" w:rsidRPr="00C971C6" w:rsidRDefault="006902CC" w:rsidP="006902CC">
            <w:pPr>
              <w:pStyle w:val="Tabletext"/>
              <w:rPr>
                <w:snapToGrid w:val="0"/>
              </w:rPr>
            </w:pPr>
            <w:r w:rsidRPr="00295986">
              <w:t>0</w:t>
            </w:r>
            <w:r w:rsidR="00D7157D">
              <w:t>.</w:t>
            </w:r>
            <w:r w:rsidRPr="00295986">
              <w:t>1666</w:t>
            </w:r>
          </w:p>
        </w:tc>
      </w:tr>
      <w:tr w:rsidR="006902CC" w:rsidRPr="009E2595" w14:paraId="2EEFCA5C" w14:textId="77777777" w:rsidTr="006902CC">
        <w:trPr>
          <w:cantSplit/>
        </w:trPr>
        <w:tc>
          <w:tcPr>
            <w:tcW w:w="1136" w:type="pct"/>
            <w:tcBorders>
              <w:top w:val="single" w:sz="4" w:space="0" w:color="auto"/>
              <w:bottom w:val="single" w:sz="4" w:space="0" w:color="auto"/>
            </w:tcBorders>
          </w:tcPr>
          <w:p w14:paraId="7C56ED6C" w14:textId="77777777" w:rsidR="006902CC" w:rsidRPr="00616B26" w:rsidRDefault="006902CC" w:rsidP="006902CC">
            <w:pPr>
              <w:pStyle w:val="Tabletext"/>
              <w:rPr>
                <w:snapToGrid w:val="0"/>
              </w:rPr>
            </w:pPr>
            <w:r w:rsidRPr="00616B26">
              <w:rPr>
                <w:snapToGrid w:val="0"/>
              </w:rPr>
              <w:t>54</w:t>
            </w:r>
          </w:p>
        </w:tc>
        <w:tc>
          <w:tcPr>
            <w:tcW w:w="966" w:type="pct"/>
            <w:tcBorders>
              <w:top w:val="single" w:sz="4" w:space="0" w:color="auto"/>
              <w:bottom w:val="single" w:sz="4" w:space="0" w:color="auto"/>
            </w:tcBorders>
            <w:vAlign w:val="bottom"/>
          </w:tcPr>
          <w:p w14:paraId="2DDF4B49" w14:textId="77777777" w:rsidR="006902CC" w:rsidRPr="00C971C6" w:rsidRDefault="006902CC" w:rsidP="006902CC">
            <w:pPr>
              <w:pStyle w:val="Tabletext"/>
              <w:rPr>
                <w:snapToGrid w:val="0"/>
              </w:rPr>
            </w:pPr>
            <w:r w:rsidRPr="00295986">
              <w:t>19</w:t>
            </w:r>
            <w:r w:rsidR="00D7157D">
              <w:t>.</w:t>
            </w:r>
            <w:r w:rsidRPr="00295986">
              <w:t>9672</w:t>
            </w:r>
          </w:p>
        </w:tc>
        <w:tc>
          <w:tcPr>
            <w:tcW w:w="966" w:type="pct"/>
            <w:tcBorders>
              <w:top w:val="single" w:sz="4" w:space="0" w:color="auto"/>
              <w:bottom w:val="single" w:sz="4" w:space="0" w:color="auto"/>
            </w:tcBorders>
            <w:vAlign w:val="bottom"/>
          </w:tcPr>
          <w:p w14:paraId="6A57FD85" w14:textId="77777777" w:rsidR="006902CC" w:rsidRPr="00C971C6" w:rsidRDefault="006902CC" w:rsidP="006902CC">
            <w:pPr>
              <w:pStyle w:val="Tabletext"/>
              <w:rPr>
                <w:snapToGrid w:val="0"/>
              </w:rPr>
            </w:pPr>
            <w:r w:rsidRPr="00295986">
              <w:t>0</w:t>
            </w:r>
            <w:r w:rsidR="00D7157D">
              <w:t>.</w:t>
            </w:r>
            <w:r w:rsidRPr="00295986">
              <w:t>4783</w:t>
            </w:r>
          </w:p>
        </w:tc>
        <w:tc>
          <w:tcPr>
            <w:tcW w:w="966" w:type="pct"/>
            <w:tcBorders>
              <w:top w:val="single" w:sz="4" w:space="0" w:color="auto"/>
              <w:bottom w:val="single" w:sz="4" w:space="0" w:color="auto"/>
            </w:tcBorders>
            <w:vAlign w:val="bottom"/>
          </w:tcPr>
          <w:p w14:paraId="4CA5B487" w14:textId="77777777" w:rsidR="006902CC" w:rsidRPr="00C971C6" w:rsidRDefault="006902CC" w:rsidP="006902CC">
            <w:pPr>
              <w:pStyle w:val="Tabletext"/>
              <w:rPr>
                <w:snapToGrid w:val="0"/>
              </w:rPr>
            </w:pPr>
            <w:r w:rsidRPr="00295986">
              <w:t>20</w:t>
            </w:r>
            <w:r w:rsidR="00D7157D">
              <w:t>.</w:t>
            </w:r>
            <w:r w:rsidRPr="00295986">
              <w:t>7583</w:t>
            </w:r>
          </w:p>
        </w:tc>
        <w:tc>
          <w:tcPr>
            <w:tcW w:w="966" w:type="pct"/>
            <w:tcBorders>
              <w:top w:val="single" w:sz="4" w:space="0" w:color="auto"/>
              <w:bottom w:val="single" w:sz="4" w:space="0" w:color="auto"/>
            </w:tcBorders>
            <w:vAlign w:val="bottom"/>
          </w:tcPr>
          <w:p w14:paraId="0C0B7763" w14:textId="77777777" w:rsidR="006902CC" w:rsidRPr="00C971C6" w:rsidRDefault="006902CC" w:rsidP="006902CC">
            <w:pPr>
              <w:pStyle w:val="Tabletext"/>
              <w:rPr>
                <w:snapToGrid w:val="0"/>
              </w:rPr>
            </w:pPr>
            <w:r w:rsidRPr="00295986">
              <w:t>0</w:t>
            </w:r>
            <w:r w:rsidR="00D7157D">
              <w:t>.</w:t>
            </w:r>
            <w:r w:rsidRPr="00295986">
              <w:t>1246</w:t>
            </w:r>
          </w:p>
        </w:tc>
      </w:tr>
      <w:tr w:rsidR="006902CC" w:rsidRPr="009E2595" w14:paraId="28AD1FB3" w14:textId="77777777" w:rsidTr="006902CC">
        <w:trPr>
          <w:cantSplit/>
        </w:trPr>
        <w:tc>
          <w:tcPr>
            <w:tcW w:w="1136" w:type="pct"/>
            <w:tcBorders>
              <w:top w:val="single" w:sz="4" w:space="0" w:color="auto"/>
              <w:bottom w:val="single" w:sz="4" w:space="0" w:color="auto"/>
            </w:tcBorders>
          </w:tcPr>
          <w:p w14:paraId="40330A82" w14:textId="77777777" w:rsidR="006902CC" w:rsidRPr="00616B26" w:rsidRDefault="006902CC" w:rsidP="006902CC">
            <w:pPr>
              <w:pStyle w:val="Tabletext"/>
              <w:rPr>
                <w:snapToGrid w:val="0"/>
              </w:rPr>
            </w:pPr>
            <w:r w:rsidRPr="00616B26">
              <w:rPr>
                <w:snapToGrid w:val="0"/>
              </w:rPr>
              <w:t>55</w:t>
            </w:r>
          </w:p>
        </w:tc>
        <w:tc>
          <w:tcPr>
            <w:tcW w:w="966" w:type="pct"/>
            <w:tcBorders>
              <w:top w:val="single" w:sz="4" w:space="0" w:color="auto"/>
              <w:bottom w:val="single" w:sz="4" w:space="0" w:color="auto"/>
            </w:tcBorders>
            <w:vAlign w:val="bottom"/>
          </w:tcPr>
          <w:p w14:paraId="0126E3F7" w14:textId="77777777" w:rsidR="006902CC" w:rsidRPr="00C971C6" w:rsidRDefault="006902CC" w:rsidP="006902CC">
            <w:pPr>
              <w:pStyle w:val="Tabletext"/>
              <w:rPr>
                <w:snapToGrid w:val="0"/>
              </w:rPr>
            </w:pPr>
            <w:r w:rsidRPr="00295986">
              <w:t>19</w:t>
            </w:r>
            <w:r w:rsidR="00D7157D">
              <w:t>.</w:t>
            </w:r>
            <w:r w:rsidRPr="00295986">
              <w:t>6470</w:t>
            </w:r>
          </w:p>
        </w:tc>
        <w:tc>
          <w:tcPr>
            <w:tcW w:w="966" w:type="pct"/>
            <w:tcBorders>
              <w:top w:val="single" w:sz="4" w:space="0" w:color="auto"/>
              <w:bottom w:val="single" w:sz="4" w:space="0" w:color="auto"/>
            </w:tcBorders>
            <w:vAlign w:val="bottom"/>
          </w:tcPr>
          <w:p w14:paraId="4C0419D3" w14:textId="77777777" w:rsidR="006902CC" w:rsidRPr="00C971C6" w:rsidRDefault="006902CC" w:rsidP="006902CC">
            <w:pPr>
              <w:pStyle w:val="Tabletext"/>
              <w:rPr>
                <w:snapToGrid w:val="0"/>
              </w:rPr>
            </w:pPr>
            <w:r w:rsidRPr="00295986">
              <w:t>0</w:t>
            </w:r>
            <w:r w:rsidR="00D7157D">
              <w:t>.</w:t>
            </w:r>
            <w:r w:rsidRPr="00295986">
              <w:t>3069</w:t>
            </w:r>
          </w:p>
        </w:tc>
        <w:tc>
          <w:tcPr>
            <w:tcW w:w="966" w:type="pct"/>
            <w:tcBorders>
              <w:top w:val="single" w:sz="4" w:space="0" w:color="auto"/>
              <w:bottom w:val="single" w:sz="4" w:space="0" w:color="auto"/>
            </w:tcBorders>
            <w:vAlign w:val="bottom"/>
          </w:tcPr>
          <w:p w14:paraId="545F9C1A" w14:textId="77777777" w:rsidR="006902CC" w:rsidRPr="00C971C6" w:rsidRDefault="006902CC" w:rsidP="006902CC">
            <w:pPr>
              <w:pStyle w:val="Tabletext"/>
              <w:rPr>
                <w:snapToGrid w:val="0"/>
              </w:rPr>
            </w:pPr>
            <w:r w:rsidRPr="00295986">
              <w:t>20</w:t>
            </w:r>
            <w:r w:rsidR="00D7157D">
              <w:t>.</w:t>
            </w:r>
            <w:r w:rsidRPr="00295986">
              <w:t>4519</w:t>
            </w:r>
          </w:p>
        </w:tc>
        <w:tc>
          <w:tcPr>
            <w:tcW w:w="966" w:type="pct"/>
            <w:tcBorders>
              <w:top w:val="single" w:sz="4" w:space="0" w:color="auto"/>
              <w:bottom w:val="single" w:sz="4" w:space="0" w:color="auto"/>
            </w:tcBorders>
            <w:vAlign w:val="bottom"/>
          </w:tcPr>
          <w:p w14:paraId="72F47EB0" w14:textId="77777777" w:rsidR="006902CC" w:rsidRPr="00C971C6" w:rsidRDefault="006902CC" w:rsidP="006902CC">
            <w:pPr>
              <w:pStyle w:val="Tabletext"/>
              <w:rPr>
                <w:snapToGrid w:val="0"/>
              </w:rPr>
            </w:pPr>
            <w:r w:rsidRPr="00295986">
              <w:t>0</w:t>
            </w:r>
            <w:r w:rsidR="00D7157D">
              <w:t>.</w:t>
            </w:r>
            <w:r w:rsidRPr="00295986">
              <w:t>0800</w:t>
            </w:r>
          </w:p>
        </w:tc>
      </w:tr>
      <w:tr w:rsidR="006902CC" w:rsidRPr="009E2595" w14:paraId="43DAB776" w14:textId="77777777" w:rsidTr="006902CC">
        <w:trPr>
          <w:cantSplit/>
        </w:trPr>
        <w:tc>
          <w:tcPr>
            <w:tcW w:w="1136" w:type="pct"/>
            <w:tcBorders>
              <w:top w:val="single" w:sz="4" w:space="0" w:color="auto"/>
              <w:bottom w:val="single" w:sz="4" w:space="0" w:color="auto"/>
            </w:tcBorders>
          </w:tcPr>
          <w:p w14:paraId="14A5CFF3" w14:textId="77777777" w:rsidR="006902CC" w:rsidRPr="00616B26" w:rsidRDefault="006902CC" w:rsidP="006902CC">
            <w:pPr>
              <w:pStyle w:val="Tabletext"/>
              <w:rPr>
                <w:snapToGrid w:val="0"/>
              </w:rPr>
            </w:pPr>
            <w:r w:rsidRPr="00616B26">
              <w:rPr>
                <w:snapToGrid w:val="0"/>
              </w:rPr>
              <w:t>56</w:t>
            </w:r>
          </w:p>
        </w:tc>
        <w:tc>
          <w:tcPr>
            <w:tcW w:w="966" w:type="pct"/>
            <w:tcBorders>
              <w:top w:val="single" w:sz="4" w:space="0" w:color="auto"/>
              <w:bottom w:val="single" w:sz="4" w:space="0" w:color="auto"/>
            </w:tcBorders>
            <w:vAlign w:val="bottom"/>
          </w:tcPr>
          <w:p w14:paraId="3827606A" w14:textId="77777777" w:rsidR="006902CC" w:rsidRPr="00C971C6" w:rsidRDefault="006902CC" w:rsidP="006902CC">
            <w:pPr>
              <w:pStyle w:val="Tabletext"/>
              <w:rPr>
                <w:snapToGrid w:val="0"/>
              </w:rPr>
            </w:pPr>
            <w:r w:rsidRPr="00295986">
              <w:t>19</w:t>
            </w:r>
            <w:r w:rsidR="00D7157D">
              <w:t>.</w:t>
            </w:r>
            <w:r w:rsidRPr="00295986">
              <w:t>3164</w:t>
            </w:r>
          </w:p>
        </w:tc>
        <w:tc>
          <w:tcPr>
            <w:tcW w:w="966" w:type="pct"/>
            <w:tcBorders>
              <w:top w:val="single" w:sz="4" w:space="0" w:color="auto"/>
              <w:bottom w:val="single" w:sz="4" w:space="0" w:color="auto"/>
            </w:tcBorders>
            <w:vAlign w:val="bottom"/>
          </w:tcPr>
          <w:p w14:paraId="59AA92C1" w14:textId="77777777" w:rsidR="006902CC" w:rsidRPr="00C971C6" w:rsidRDefault="006902CC" w:rsidP="006902CC">
            <w:pPr>
              <w:pStyle w:val="Tabletext"/>
              <w:rPr>
                <w:snapToGrid w:val="0"/>
              </w:rPr>
            </w:pPr>
            <w:r w:rsidRPr="00295986">
              <w:t>0</w:t>
            </w:r>
            <w:r w:rsidR="00D7157D">
              <w:t>.</w:t>
            </w:r>
            <w:r w:rsidRPr="00295986">
              <w:t>3150</w:t>
            </w:r>
          </w:p>
        </w:tc>
        <w:tc>
          <w:tcPr>
            <w:tcW w:w="966" w:type="pct"/>
            <w:tcBorders>
              <w:top w:val="single" w:sz="4" w:space="0" w:color="auto"/>
              <w:bottom w:val="single" w:sz="4" w:space="0" w:color="auto"/>
            </w:tcBorders>
            <w:vAlign w:val="bottom"/>
          </w:tcPr>
          <w:p w14:paraId="7FCCE48E" w14:textId="77777777" w:rsidR="006902CC" w:rsidRPr="00C971C6" w:rsidRDefault="006902CC" w:rsidP="006902CC">
            <w:pPr>
              <w:pStyle w:val="Tabletext"/>
              <w:rPr>
                <w:snapToGrid w:val="0"/>
              </w:rPr>
            </w:pPr>
            <w:r w:rsidRPr="00295986">
              <w:t>20</w:t>
            </w:r>
            <w:r w:rsidR="00D7157D">
              <w:t>.</w:t>
            </w:r>
            <w:r w:rsidRPr="00295986">
              <w:t>1368</w:t>
            </w:r>
          </w:p>
        </w:tc>
        <w:tc>
          <w:tcPr>
            <w:tcW w:w="966" w:type="pct"/>
            <w:tcBorders>
              <w:top w:val="single" w:sz="4" w:space="0" w:color="auto"/>
              <w:bottom w:val="single" w:sz="4" w:space="0" w:color="auto"/>
            </w:tcBorders>
            <w:vAlign w:val="bottom"/>
          </w:tcPr>
          <w:p w14:paraId="726911BF" w14:textId="77777777" w:rsidR="006902CC" w:rsidRPr="00C971C6" w:rsidRDefault="006902CC" w:rsidP="006902CC">
            <w:pPr>
              <w:pStyle w:val="Tabletext"/>
              <w:rPr>
                <w:snapToGrid w:val="0"/>
              </w:rPr>
            </w:pPr>
            <w:r w:rsidRPr="00295986">
              <w:t>0</w:t>
            </w:r>
            <w:r w:rsidR="00D7157D">
              <w:t>.</w:t>
            </w:r>
            <w:r w:rsidRPr="00295986">
              <w:t>0821</w:t>
            </w:r>
          </w:p>
        </w:tc>
      </w:tr>
      <w:tr w:rsidR="006902CC" w:rsidRPr="009E2595" w14:paraId="64694A57" w14:textId="77777777" w:rsidTr="006902CC">
        <w:trPr>
          <w:cantSplit/>
        </w:trPr>
        <w:tc>
          <w:tcPr>
            <w:tcW w:w="1136" w:type="pct"/>
            <w:tcBorders>
              <w:top w:val="single" w:sz="4" w:space="0" w:color="auto"/>
              <w:bottom w:val="single" w:sz="4" w:space="0" w:color="auto"/>
            </w:tcBorders>
          </w:tcPr>
          <w:p w14:paraId="38BCF313" w14:textId="77777777" w:rsidR="006902CC" w:rsidRPr="00616B26" w:rsidRDefault="006902CC" w:rsidP="006902CC">
            <w:pPr>
              <w:pStyle w:val="Tabletext"/>
              <w:rPr>
                <w:snapToGrid w:val="0"/>
              </w:rPr>
            </w:pPr>
            <w:r w:rsidRPr="00616B26">
              <w:rPr>
                <w:snapToGrid w:val="0"/>
              </w:rPr>
              <w:t>57</w:t>
            </w:r>
          </w:p>
        </w:tc>
        <w:tc>
          <w:tcPr>
            <w:tcW w:w="966" w:type="pct"/>
            <w:tcBorders>
              <w:top w:val="single" w:sz="4" w:space="0" w:color="auto"/>
              <w:bottom w:val="single" w:sz="4" w:space="0" w:color="auto"/>
            </w:tcBorders>
            <w:vAlign w:val="bottom"/>
          </w:tcPr>
          <w:p w14:paraId="43C5E523" w14:textId="77777777" w:rsidR="006902CC" w:rsidRPr="00C971C6" w:rsidRDefault="006902CC" w:rsidP="006902CC">
            <w:pPr>
              <w:pStyle w:val="Tabletext"/>
              <w:rPr>
                <w:snapToGrid w:val="0"/>
              </w:rPr>
            </w:pPr>
            <w:r w:rsidRPr="00295986">
              <w:t>18</w:t>
            </w:r>
            <w:r w:rsidR="00D7157D">
              <w:t>.</w:t>
            </w:r>
            <w:r w:rsidRPr="00295986">
              <w:t>9749</w:t>
            </w:r>
          </w:p>
        </w:tc>
        <w:tc>
          <w:tcPr>
            <w:tcW w:w="966" w:type="pct"/>
            <w:tcBorders>
              <w:top w:val="single" w:sz="4" w:space="0" w:color="auto"/>
              <w:bottom w:val="single" w:sz="4" w:space="0" w:color="auto"/>
            </w:tcBorders>
            <w:vAlign w:val="bottom"/>
          </w:tcPr>
          <w:p w14:paraId="19F44343" w14:textId="77777777" w:rsidR="006902CC" w:rsidRPr="00C971C6" w:rsidRDefault="006902CC" w:rsidP="006902CC">
            <w:pPr>
              <w:pStyle w:val="Tabletext"/>
              <w:rPr>
                <w:snapToGrid w:val="0"/>
              </w:rPr>
            </w:pPr>
            <w:r w:rsidRPr="00295986">
              <w:t>0</w:t>
            </w:r>
            <w:r w:rsidR="00D7157D">
              <w:t>.</w:t>
            </w:r>
            <w:r w:rsidRPr="00295986">
              <w:t>3233</w:t>
            </w:r>
          </w:p>
        </w:tc>
        <w:tc>
          <w:tcPr>
            <w:tcW w:w="966" w:type="pct"/>
            <w:tcBorders>
              <w:top w:val="single" w:sz="4" w:space="0" w:color="auto"/>
              <w:bottom w:val="single" w:sz="4" w:space="0" w:color="auto"/>
            </w:tcBorders>
            <w:vAlign w:val="bottom"/>
          </w:tcPr>
          <w:p w14:paraId="4AC5291F" w14:textId="77777777" w:rsidR="006902CC" w:rsidRPr="00C971C6" w:rsidRDefault="006902CC" w:rsidP="006902CC">
            <w:pPr>
              <w:pStyle w:val="Tabletext"/>
              <w:rPr>
                <w:snapToGrid w:val="0"/>
              </w:rPr>
            </w:pPr>
            <w:r w:rsidRPr="00295986">
              <w:t>19</w:t>
            </w:r>
            <w:r w:rsidR="00D7157D">
              <w:t>.</w:t>
            </w:r>
            <w:r w:rsidRPr="00295986">
              <w:t>8125</w:t>
            </w:r>
          </w:p>
        </w:tc>
        <w:tc>
          <w:tcPr>
            <w:tcW w:w="966" w:type="pct"/>
            <w:tcBorders>
              <w:top w:val="single" w:sz="4" w:space="0" w:color="auto"/>
              <w:bottom w:val="single" w:sz="4" w:space="0" w:color="auto"/>
            </w:tcBorders>
            <w:vAlign w:val="bottom"/>
          </w:tcPr>
          <w:p w14:paraId="08C7648E" w14:textId="77777777" w:rsidR="006902CC" w:rsidRPr="00C971C6" w:rsidRDefault="006902CC" w:rsidP="006902CC">
            <w:pPr>
              <w:pStyle w:val="Tabletext"/>
              <w:rPr>
                <w:snapToGrid w:val="0"/>
              </w:rPr>
            </w:pPr>
            <w:r w:rsidRPr="00295986">
              <w:t>0</w:t>
            </w:r>
            <w:r w:rsidR="00D7157D">
              <w:t>.</w:t>
            </w:r>
            <w:r w:rsidRPr="00295986">
              <w:t>0842</w:t>
            </w:r>
          </w:p>
        </w:tc>
      </w:tr>
      <w:tr w:rsidR="006902CC" w:rsidRPr="009E2595" w14:paraId="138D7715" w14:textId="77777777" w:rsidTr="006902CC">
        <w:trPr>
          <w:cantSplit/>
        </w:trPr>
        <w:tc>
          <w:tcPr>
            <w:tcW w:w="1136" w:type="pct"/>
            <w:tcBorders>
              <w:top w:val="single" w:sz="4" w:space="0" w:color="auto"/>
              <w:bottom w:val="single" w:sz="4" w:space="0" w:color="auto"/>
            </w:tcBorders>
          </w:tcPr>
          <w:p w14:paraId="3655D2A2" w14:textId="77777777" w:rsidR="006902CC" w:rsidRPr="00616B26" w:rsidRDefault="006902CC" w:rsidP="006902CC">
            <w:pPr>
              <w:pStyle w:val="Tabletext"/>
              <w:rPr>
                <w:snapToGrid w:val="0"/>
              </w:rPr>
            </w:pPr>
            <w:r w:rsidRPr="00616B26">
              <w:rPr>
                <w:snapToGrid w:val="0"/>
              </w:rPr>
              <w:t>58</w:t>
            </w:r>
          </w:p>
        </w:tc>
        <w:tc>
          <w:tcPr>
            <w:tcW w:w="966" w:type="pct"/>
            <w:tcBorders>
              <w:top w:val="single" w:sz="4" w:space="0" w:color="auto"/>
              <w:bottom w:val="single" w:sz="4" w:space="0" w:color="auto"/>
            </w:tcBorders>
            <w:vAlign w:val="bottom"/>
          </w:tcPr>
          <w:p w14:paraId="157E6154" w14:textId="77777777" w:rsidR="006902CC" w:rsidRPr="00C971C6" w:rsidRDefault="006902CC" w:rsidP="006902CC">
            <w:pPr>
              <w:pStyle w:val="Tabletext"/>
              <w:rPr>
                <w:snapToGrid w:val="0"/>
              </w:rPr>
            </w:pPr>
            <w:r w:rsidRPr="00295986">
              <w:t>18</w:t>
            </w:r>
            <w:r w:rsidR="00D7157D">
              <w:t>.</w:t>
            </w:r>
            <w:r w:rsidRPr="00295986">
              <w:t>6219</w:t>
            </w:r>
          </w:p>
        </w:tc>
        <w:tc>
          <w:tcPr>
            <w:tcW w:w="966" w:type="pct"/>
            <w:tcBorders>
              <w:top w:val="single" w:sz="4" w:space="0" w:color="auto"/>
              <w:bottom w:val="single" w:sz="4" w:space="0" w:color="auto"/>
            </w:tcBorders>
            <w:vAlign w:val="bottom"/>
          </w:tcPr>
          <w:p w14:paraId="2C688A24" w14:textId="77777777" w:rsidR="006902CC" w:rsidRPr="00C971C6" w:rsidRDefault="006902CC" w:rsidP="006902CC">
            <w:pPr>
              <w:pStyle w:val="Tabletext"/>
              <w:rPr>
                <w:snapToGrid w:val="0"/>
              </w:rPr>
            </w:pPr>
            <w:r w:rsidRPr="00295986">
              <w:t>0</w:t>
            </w:r>
            <w:r w:rsidR="00D7157D">
              <w:t>.</w:t>
            </w:r>
            <w:r w:rsidRPr="00295986">
              <w:t>3319</w:t>
            </w:r>
          </w:p>
        </w:tc>
        <w:tc>
          <w:tcPr>
            <w:tcW w:w="966" w:type="pct"/>
            <w:tcBorders>
              <w:top w:val="single" w:sz="4" w:space="0" w:color="auto"/>
              <w:bottom w:val="single" w:sz="4" w:space="0" w:color="auto"/>
            </w:tcBorders>
            <w:vAlign w:val="bottom"/>
          </w:tcPr>
          <w:p w14:paraId="41884A84" w14:textId="77777777" w:rsidR="006902CC" w:rsidRPr="00C971C6" w:rsidRDefault="006902CC" w:rsidP="006902CC">
            <w:pPr>
              <w:pStyle w:val="Tabletext"/>
              <w:rPr>
                <w:snapToGrid w:val="0"/>
              </w:rPr>
            </w:pPr>
            <w:r w:rsidRPr="00295986">
              <w:t>19</w:t>
            </w:r>
            <w:r w:rsidR="00D7157D">
              <w:t>.</w:t>
            </w:r>
            <w:r w:rsidRPr="00295986">
              <w:t>4778</w:t>
            </w:r>
          </w:p>
        </w:tc>
        <w:tc>
          <w:tcPr>
            <w:tcW w:w="966" w:type="pct"/>
            <w:tcBorders>
              <w:top w:val="single" w:sz="4" w:space="0" w:color="auto"/>
              <w:bottom w:val="single" w:sz="4" w:space="0" w:color="auto"/>
            </w:tcBorders>
            <w:vAlign w:val="bottom"/>
          </w:tcPr>
          <w:p w14:paraId="249F6FB7" w14:textId="77777777" w:rsidR="006902CC" w:rsidRPr="00C971C6" w:rsidRDefault="006902CC" w:rsidP="006902CC">
            <w:pPr>
              <w:pStyle w:val="Tabletext"/>
              <w:rPr>
                <w:snapToGrid w:val="0"/>
              </w:rPr>
            </w:pPr>
            <w:r w:rsidRPr="00295986">
              <w:t>0</w:t>
            </w:r>
            <w:r w:rsidR="00D7157D">
              <w:t>.</w:t>
            </w:r>
            <w:r w:rsidRPr="00295986">
              <w:t>0864</w:t>
            </w:r>
          </w:p>
        </w:tc>
      </w:tr>
      <w:tr w:rsidR="006902CC" w:rsidRPr="009E2595" w14:paraId="68C89AAA" w14:textId="77777777" w:rsidTr="006902CC">
        <w:trPr>
          <w:cantSplit/>
        </w:trPr>
        <w:tc>
          <w:tcPr>
            <w:tcW w:w="1136" w:type="pct"/>
            <w:tcBorders>
              <w:top w:val="single" w:sz="4" w:space="0" w:color="auto"/>
              <w:bottom w:val="single" w:sz="4" w:space="0" w:color="auto"/>
            </w:tcBorders>
          </w:tcPr>
          <w:p w14:paraId="351E0B90" w14:textId="77777777" w:rsidR="006902CC" w:rsidRPr="00616B26" w:rsidRDefault="006902CC" w:rsidP="006902CC">
            <w:pPr>
              <w:pStyle w:val="Tabletext"/>
              <w:rPr>
                <w:snapToGrid w:val="0"/>
              </w:rPr>
            </w:pPr>
            <w:r w:rsidRPr="00616B26">
              <w:rPr>
                <w:snapToGrid w:val="0"/>
              </w:rPr>
              <w:t>59</w:t>
            </w:r>
          </w:p>
        </w:tc>
        <w:tc>
          <w:tcPr>
            <w:tcW w:w="966" w:type="pct"/>
            <w:tcBorders>
              <w:top w:val="single" w:sz="4" w:space="0" w:color="auto"/>
              <w:bottom w:val="single" w:sz="4" w:space="0" w:color="auto"/>
            </w:tcBorders>
            <w:vAlign w:val="bottom"/>
          </w:tcPr>
          <w:p w14:paraId="5CAE7039" w14:textId="77777777" w:rsidR="006902CC" w:rsidRPr="00C971C6" w:rsidRDefault="006902CC" w:rsidP="006902CC">
            <w:pPr>
              <w:pStyle w:val="Tabletext"/>
              <w:rPr>
                <w:snapToGrid w:val="0"/>
              </w:rPr>
            </w:pPr>
            <w:r w:rsidRPr="00295986">
              <w:t>18</w:t>
            </w:r>
            <w:r w:rsidR="00D7157D">
              <w:t>.</w:t>
            </w:r>
            <w:r w:rsidRPr="00295986">
              <w:t>2569</w:t>
            </w:r>
          </w:p>
        </w:tc>
        <w:tc>
          <w:tcPr>
            <w:tcW w:w="966" w:type="pct"/>
            <w:tcBorders>
              <w:top w:val="single" w:sz="4" w:space="0" w:color="auto"/>
              <w:bottom w:val="single" w:sz="4" w:space="0" w:color="auto"/>
            </w:tcBorders>
            <w:vAlign w:val="bottom"/>
          </w:tcPr>
          <w:p w14:paraId="2B141D8A" w14:textId="77777777" w:rsidR="006902CC" w:rsidRPr="00C971C6" w:rsidRDefault="006902CC" w:rsidP="006902CC">
            <w:pPr>
              <w:pStyle w:val="Tabletext"/>
              <w:rPr>
                <w:snapToGrid w:val="0"/>
              </w:rPr>
            </w:pPr>
            <w:r w:rsidRPr="00295986">
              <w:t>0</w:t>
            </w:r>
            <w:r w:rsidR="00D7157D">
              <w:t>.</w:t>
            </w:r>
            <w:r w:rsidRPr="00295986">
              <w:t>3408</w:t>
            </w:r>
          </w:p>
        </w:tc>
        <w:tc>
          <w:tcPr>
            <w:tcW w:w="966" w:type="pct"/>
            <w:tcBorders>
              <w:top w:val="single" w:sz="4" w:space="0" w:color="auto"/>
              <w:bottom w:val="single" w:sz="4" w:space="0" w:color="auto"/>
            </w:tcBorders>
            <w:vAlign w:val="bottom"/>
          </w:tcPr>
          <w:p w14:paraId="3DBE0103" w14:textId="77777777" w:rsidR="006902CC" w:rsidRPr="00C971C6" w:rsidRDefault="006902CC" w:rsidP="006902CC">
            <w:pPr>
              <w:pStyle w:val="Tabletext"/>
              <w:rPr>
                <w:snapToGrid w:val="0"/>
              </w:rPr>
            </w:pPr>
            <w:r w:rsidRPr="00295986">
              <w:t>19</w:t>
            </w:r>
            <w:r w:rsidR="00D7157D">
              <w:t>.</w:t>
            </w:r>
            <w:r w:rsidRPr="00295986">
              <w:t>1323</w:t>
            </w:r>
          </w:p>
        </w:tc>
        <w:tc>
          <w:tcPr>
            <w:tcW w:w="966" w:type="pct"/>
            <w:tcBorders>
              <w:top w:val="single" w:sz="4" w:space="0" w:color="auto"/>
              <w:bottom w:val="single" w:sz="4" w:space="0" w:color="auto"/>
            </w:tcBorders>
            <w:vAlign w:val="bottom"/>
          </w:tcPr>
          <w:p w14:paraId="3D39ADAD" w14:textId="77777777" w:rsidR="006902CC" w:rsidRPr="00C971C6" w:rsidRDefault="006902CC" w:rsidP="006902CC">
            <w:pPr>
              <w:pStyle w:val="Tabletext"/>
              <w:rPr>
                <w:snapToGrid w:val="0"/>
              </w:rPr>
            </w:pPr>
            <w:r w:rsidRPr="00295986">
              <w:t>0</w:t>
            </w:r>
            <w:r w:rsidR="00D7157D">
              <w:t>.</w:t>
            </w:r>
            <w:r w:rsidRPr="00295986">
              <w:t>0886</w:t>
            </w:r>
          </w:p>
        </w:tc>
      </w:tr>
      <w:tr w:rsidR="006902CC" w:rsidRPr="009E2595" w14:paraId="5E0A6087" w14:textId="77777777" w:rsidTr="006902CC">
        <w:trPr>
          <w:cantSplit/>
        </w:trPr>
        <w:tc>
          <w:tcPr>
            <w:tcW w:w="1136" w:type="pct"/>
            <w:tcBorders>
              <w:top w:val="single" w:sz="4" w:space="0" w:color="auto"/>
              <w:bottom w:val="single" w:sz="4" w:space="0" w:color="auto"/>
            </w:tcBorders>
          </w:tcPr>
          <w:p w14:paraId="72E25D45" w14:textId="77777777" w:rsidR="006902CC" w:rsidRPr="00616B26" w:rsidRDefault="006902CC" w:rsidP="006902CC">
            <w:pPr>
              <w:pStyle w:val="Tabletext"/>
              <w:rPr>
                <w:snapToGrid w:val="0"/>
              </w:rPr>
            </w:pPr>
            <w:r w:rsidRPr="00616B26">
              <w:rPr>
                <w:snapToGrid w:val="0"/>
              </w:rPr>
              <w:t>60</w:t>
            </w:r>
          </w:p>
        </w:tc>
        <w:tc>
          <w:tcPr>
            <w:tcW w:w="966" w:type="pct"/>
            <w:tcBorders>
              <w:top w:val="single" w:sz="4" w:space="0" w:color="auto"/>
              <w:bottom w:val="single" w:sz="4" w:space="0" w:color="auto"/>
            </w:tcBorders>
            <w:vAlign w:val="bottom"/>
          </w:tcPr>
          <w:p w14:paraId="71212762" w14:textId="77777777" w:rsidR="006902CC" w:rsidRPr="00C971C6" w:rsidRDefault="006902CC" w:rsidP="006902CC">
            <w:pPr>
              <w:pStyle w:val="Tabletext"/>
              <w:rPr>
                <w:snapToGrid w:val="0"/>
              </w:rPr>
            </w:pPr>
            <w:r w:rsidRPr="00295986">
              <w:t>17</w:t>
            </w:r>
            <w:r w:rsidR="00D7157D">
              <w:t>.</w:t>
            </w:r>
            <w:r w:rsidRPr="00295986">
              <w:t>8798</w:t>
            </w:r>
          </w:p>
        </w:tc>
        <w:tc>
          <w:tcPr>
            <w:tcW w:w="966" w:type="pct"/>
            <w:tcBorders>
              <w:top w:val="single" w:sz="4" w:space="0" w:color="auto"/>
              <w:bottom w:val="single" w:sz="4" w:space="0" w:color="auto"/>
            </w:tcBorders>
            <w:vAlign w:val="bottom"/>
          </w:tcPr>
          <w:p w14:paraId="1FF0DC9B" w14:textId="77777777" w:rsidR="006902CC" w:rsidRPr="00C971C6" w:rsidRDefault="006902CC" w:rsidP="006902CC">
            <w:pPr>
              <w:pStyle w:val="Tabletext"/>
              <w:rPr>
                <w:snapToGrid w:val="0"/>
              </w:rPr>
            </w:pPr>
            <w:r w:rsidRPr="00295986">
              <w:t>0</w:t>
            </w:r>
            <w:r w:rsidR="00D7157D">
              <w:t>.</w:t>
            </w:r>
            <w:r w:rsidRPr="00295986">
              <w:t>3499</w:t>
            </w:r>
          </w:p>
        </w:tc>
        <w:tc>
          <w:tcPr>
            <w:tcW w:w="966" w:type="pct"/>
            <w:tcBorders>
              <w:top w:val="single" w:sz="4" w:space="0" w:color="auto"/>
              <w:bottom w:val="single" w:sz="4" w:space="0" w:color="auto"/>
            </w:tcBorders>
            <w:vAlign w:val="bottom"/>
          </w:tcPr>
          <w:p w14:paraId="764BDF7A" w14:textId="77777777" w:rsidR="006902CC" w:rsidRPr="00C971C6" w:rsidRDefault="006902CC" w:rsidP="006902CC">
            <w:pPr>
              <w:pStyle w:val="Tabletext"/>
              <w:rPr>
                <w:snapToGrid w:val="0"/>
              </w:rPr>
            </w:pPr>
            <w:r w:rsidRPr="00295986">
              <w:t>18</w:t>
            </w:r>
            <w:r w:rsidR="00D7157D">
              <w:t>.</w:t>
            </w:r>
            <w:r w:rsidRPr="00295986">
              <w:t>7754</w:t>
            </w:r>
          </w:p>
        </w:tc>
        <w:tc>
          <w:tcPr>
            <w:tcW w:w="966" w:type="pct"/>
            <w:tcBorders>
              <w:top w:val="single" w:sz="4" w:space="0" w:color="auto"/>
              <w:bottom w:val="single" w:sz="4" w:space="0" w:color="auto"/>
            </w:tcBorders>
            <w:vAlign w:val="bottom"/>
          </w:tcPr>
          <w:p w14:paraId="57C93BDD" w14:textId="77777777" w:rsidR="006902CC" w:rsidRPr="00C971C6" w:rsidRDefault="006902CC" w:rsidP="006902CC">
            <w:pPr>
              <w:pStyle w:val="Tabletext"/>
              <w:rPr>
                <w:snapToGrid w:val="0"/>
              </w:rPr>
            </w:pPr>
            <w:r w:rsidRPr="00295986">
              <w:t>0</w:t>
            </w:r>
            <w:r w:rsidR="00D7157D">
              <w:t>.</w:t>
            </w:r>
            <w:r w:rsidRPr="00295986">
              <w:t>0908</w:t>
            </w:r>
          </w:p>
        </w:tc>
      </w:tr>
      <w:tr w:rsidR="006902CC" w:rsidRPr="009E2595" w14:paraId="16918514" w14:textId="77777777" w:rsidTr="006902CC">
        <w:trPr>
          <w:cantSplit/>
        </w:trPr>
        <w:tc>
          <w:tcPr>
            <w:tcW w:w="1136" w:type="pct"/>
            <w:tcBorders>
              <w:top w:val="single" w:sz="4" w:space="0" w:color="auto"/>
              <w:bottom w:val="single" w:sz="4" w:space="0" w:color="auto"/>
            </w:tcBorders>
          </w:tcPr>
          <w:p w14:paraId="4F2613AD" w14:textId="77777777" w:rsidR="006902CC" w:rsidRPr="00616B26" w:rsidRDefault="006902CC" w:rsidP="006902CC">
            <w:pPr>
              <w:pStyle w:val="Tabletext"/>
              <w:rPr>
                <w:snapToGrid w:val="0"/>
              </w:rPr>
            </w:pPr>
            <w:r w:rsidRPr="00616B26">
              <w:rPr>
                <w:snapToGrid w:val="0"/>
              </w:rPr>
              <w:t>61</w:t>
            </w:r>
          </w:p>
        </w:tc>
        <w:tc>
          <w:tcPr>
            <w:tcW w:w="966" w:type="pct"/>
            <w:tcBorders>
              <w:top w:val="single" w:sz="4" w:space="0" w:color="auto"/>
              <w:bottom w:val="single" w:sz="4" w:space="0" w:color="auto"/>
            </w:tcBorders>
            <w:vAlign w:val="bottom"/>
          </w:tcPr>
          <w:p w14:paraId="02CDBEA0" w14:textId="77777777" w:rsidR="006902CC" w:rsidRPr="00C971C6" w:rsidRDefault="006902CC" w:rsidP="006902CC">
            <w:pPr>
              <w:pStyle w:val="Tabletext"/>
              <w:rPr>
                <w:snapToGrid w:val="0"/>
              </w:rPr>
            </w:pPr>
            <w:r w:rsidRPr="00295986">
              <w:t>17</w:t>
            </w:r>
            <w:r w:rsidR="00D7157D">
              <w:t>.</w:t>
            </w:r>
            <w:r w:rsidRPr="00295986">
              <w:t>4907</w:t>
            </w:r>
          </w:p>
        </w:tc>
        <w:tc>
          <w:tcPr>
            <w:tcW w:w="966" w:type="pct"/>
            <w:tcBorders>
              <w:top w:val="single" w:sz="4" w:space="0" w:color="auto"/>
              <w:bottom w:val="single" w:sz="4" w:space="0" w:color="auto"/>
            </w:tcBorders>
            <w:vAlign w:val="bottom"/>
          </w:tcPr>
          <w:p w14:paraId="2A16AD62" w14:textId="77777777" w:rsidR="006902CC" w:rsidRPr="00C971C6" w:rsidRDefault="006902CC" w:rsidP="006902CC">
            <w:pPr>
              <w:pStyle w:val="Tabletext"/>
              <w:rPr>
                <w:snapToGrid w:val="0"/>
              </w:rPr>
            </w:pPr>
            <w:r w:rsidRPr="00295986">
              <w:t>0</w:t>
            </w:r>
            <w:r w:rsidR="00D7157D">
              <w:t>.</w:t>
            </w:r>
            <w:r w:rsidRPr="00295986">
              <w:t>3591</w:t>
            </w:r>
          </w:p>
        </w:tc>
        <w:tc>
          <w:tcPr>
            <w:tcW w:w="966" w:type="pct"/>
            <w:tcBorders>
              <w:top w:val="single" w:sz="4" w:space="0" w:color="auto"/>
              <w:bottom w:val="single" w:sz="4" w:space="0" w:color="auto"/>
            </w:tcBorders>
            <w:vAlign w:val="bottom"/>
          </w:tcPr>
          <w:p w14:paraId="4306575B" w14:textId="77777777" w:rsidR="006902CC" w:rsidRPr="00C971C6" w:rsidRDefault="006902CC" w:rsidP="006902CC">
            <w:pPr>
              <w:pStyle w:val="Tabletext"/>
              <w:rPr>
                <w:snapToGrid w:val="0"/>
              </w:rPr>
            </w:pPr>
            <w:r w:rsidRPr="00295986">
              <w:t>18</w:t>
            </w:r>
            <w:r w:rsidR="00D7157D">
              <w:t>.</w:t>
            </w:r>
            <w:r w:rsidRPr="00295986">
              <w:t>4062</w:t>
            </w:r>
          </w:p>
        </w:tc>
        <w:tc>
          <w:tcPr>
            <w:tcW w:w="966" w:type="pct"/>
            <w:tcBorders>
              <w:top w:val="single" w:sz="4" w:space="0" w:color="auto"/>
              <w:bottom w:val="single" w:sz="4" w:space="0" w:color="auto"/>
            </w:tcBorders>
            <w:vAlign w:val="bottom"/>
          </w:tcPr>
          <w:p w14:paraId="655204DD" w14:textId="77777777" w:rsidR="006902CC" w:rsidRPr="00C971C6" w:rsidRDefault="006902CC" w:rsidP="006902CC">
            <w:pPr>
              <w:pStyle w:val="Tabletext"/>
              <w:rPr>
                <w:snapToGrid w:val="0"/>
              </w:rPr>
            </w:pPr>
            <w:r w:rsidRPr="00295986">
              <w:t>0</w:t>
            </w:r>
            <w:r w:rsidR="00D7157D">
              <w:t>.</w:t>
            </w:r>
            <w:r w:rsidRPr="00295986">
              <w:t>0932</w:t>
            </w:r>
          </w:p>
        </w:tc>
      </w:tr>
      <w:tr w:rsidR="006902CC" w:rsidRPr="009E2595" w14:paraId="4E7E8ACE" w14:textId="77777777" w:rsidTr="006902CC">
        <w:trPr>
          <w:cantSplit/>
        </w:trPr>
        <w:tc>
          <w:tcPr>
            <w:tcW w:w="1136" w:type="pct"/>
            <w:tcBorders>
              <w:top w:val="single" w:sz="4" w:space="0" w:color="auto"/>
              <w:bottom w:val="single" w:sz="4" w:space="0" w:color="auto"/>
            </w:tcBorders>
          </w:tcPr>
          <w:p w14:paraId="67AB0E3B" w14:textId="77777777" w:rsidR="006902CC" w:rsidRPr="00616B26" w:rsidRDefault="006902CC" w:rsidP="006902CC">
            <w:pPr>
              <w:pStyle w:val="Tabletext"/>
              <w:rPr>
                <w:snapToGrid w:val="0"/>
              </w:rPr>
            </w:pPr>
            <w:r w:rsidRPr="00616B26">
              <w:rPr>
                <w:snapToGrid w:val="0"/>
              </w:rPr>
              <w:t>62</w:t>
            </w:r>
          </w:p>
        </w:tc>
        <w:tc>
          <w:tcPr>
            <w:tcW w:w="966" w:type="pct"/>
            <w:tcBorders>
              <w:top w:val="single" w:sz="4" w:space="0" w:color="auto"/>
              <w:bottom w:val="single" w:sz="4" w:space="0" w:color="auto"/>
            </w:tcBorders>
            <w:vAlign w:val="bottom"/>
          </w:tcPr>
          <w:p w14:paraId="284DCF97" w14:textId="77777777" w:rsidR="006902CC" w:rsidRPr="00C971C6" w:rsidRDefault="006902CC" w:rsidP="006902CC">
            <w:pPr>
              <w:pStyle w:val="Tabletext"/>
              <w:rPr>
                <w:snapToGrid w:val="0"/>
              </w:rPr>
            </w:pPr>
            <w:r w:rsidRPr="00295986">
              <w:t>17</w:t>
            </w:r>
            <w:r w:rsidR="00D7157D">
              <w:t>.</w:t>
            </w:r>
            <w:r w:rsidRPr="00295986">
              <w:t>0891</w:t>
            </w:r>
          </w:p>
        </w:tc>
        <w:tc>
          <w:tcPr>
            <w:tcW w:w="966" w:type="pct"/>
            <w:tcBorders>
              <w:top w:val="single" w:sz="4" w:space="0" w:color="auto"/>
              <w:bottom w:val="single" w:sz="4" w:space="0" w:color="auto"/>
            </w:tcBorders>
            <w:vAlign w:val="bottom"/>
          </w:tcPr>
          <w:p w14:paraId="4C21ABBF" w14:textId="77777777" w:rsidR="006902CC" w:rsidRPr="00C971C6" w:rsidRDefault="006902CC" w:rsidP="006902CC">
            <w:pPr>
              <w:pStyle w:val="Tabletext"/>
              <w:rPr>
                <w:snapToGrid w:val="0"/>
              </w:rPr>
            </w:pPr>
            <w:r w:rsidRPr="00295986">
              <w:t>0</w:t>
            </w:r>
            <w:r w:rsidR="00D7157D">
              <w:t>.</w:t>
            </w:r>
            <w:r w:rsidRPr="00295986">
              <w:t>3687</w:t>
            </w:r>
          </w:p>
        </w:tc>
        <w:tc>
          <w:tcPr>
            <w:tcW w:w="966" w:type="pct"/>
            <w:tcBorders>
              <w:top w:val="single" w:sz="4" w:space="0" w:color="auto"/>
              <w:bottom w:val="single" w:sz="4" w:space="0" w:color="auto"/>
            </w:tcBorders>
            <w:vAlign w:val="bottom"/>
          </w:tcPr>
          <w:p w14:paraId="42C69AB3" w14:textId="77777777" w:rsidR="006902CC" w:rsidRPr="00C971C6" w:rsidRDefault="006902CC" w:rsidP="006902CC">
            <w:pPr>
              <w:pStyle w:val="Tabletext"/>
              <w:rPr>
                <w:snapToGrid w:val="0"/>
              </w:rPr>
            </w:pPr>
            <w:r w:rsidRPr="00295986">
              <w:t>18</w:t>
            </w:r>
            <w:r w:rsidR="00D7157D">
              <w:t>.</w:t>
            </w:r>
            <w:r w:rsidRPr="00295986">
              <w:t>0253</w:t>
            </w:r>
          </w:p>
        </w:tc>
        <w:tc>
          <w:tcPr>
            <w:tcW w:w="966" w:type="pct"/>
            <w:tcBorders>
              <w:top w:val="single" w:sz="4" w:space="0" w:color="auto"/>
              <w:bottom w:val="single" w:sz="4" w:space="0" w:color="auto"/>
            </w:tcBorders>
            <w:vAlign w:val="bottom"/>
          </w:tcPr>
          <w:p w14:paraId="58299679" w14:textId="77777777" w:rsidR="006902CC" w:rsidRPr="00C971C6" w:rsidRDefault="006902CC" w:rsidP="006902CC">
            <w:pPr>
              <w:pStyle w:val="Tabletext"/>
              <w:rPr>
                <w:snapToGrid w:val="0"/>
              </w:rPr>
            </w:pPr>
            <w:r w:rsidRPr="00295986">
              <w:t>0</w:t>
            </w:r>
            <w:r w:rsidR="00D7157D">
              <w:t>.</w:t>
            </w:r>
            <w:r w:rsidRPr="00295986">
              <w:t>0955</w:t>
            </w:r>
          </w:p>
        </w:tc>
      </w:tr>
      <w:tr w:rsidR="006902CC" w:rsidRPr="009E2595" w14:paraId="01CB7A20" w14:textId="77777777" w:rsidTr="006902CC">
        <w:trPr>
          <w:cantSplit/>
        </w:trPr>
        <w:tc>
          <w:tcPr>
            <w:tcW w:w="1136" w:type="pct"/>
            <w:tcBorders>
              <w:top w:val="single" w:sz="4" w:space="0" w:color="auto"/>
              <w:bottom w:val="single" w:sz="4" w:space="0" w:color="auto"/>
            </w:tcBorders>
          </w:tcPr>
          <w:p w14:paraId="679FDB6C" w14:textId="77777777" w:rsidR="006902CC" w:rsidRPr="00616B26" w:rsidRDefault="006902CC" w:rsidP="006902CC">
            <w:pPr>
              <w:pStyle w:val="Tabletext"/>
              <w:rPr>
                <w:snapToGrid w:val="0"/>
              </w:rPr>
            </w:pPr>
            <w:r w:rsidRPr="00616B26">
              <w:rPr>
                <w:snapToGrid w:val="0"/>
              </w:rPr>
              <w:t>63</w:t>
            </w:r>
          </w:p>
        </w:tc>
        <w:tc>
          <w:tcPr>
            <w:tcW w:w="966" w:type="pct"/>
            <w:tcBorders>
              <w:top w:val="single" w:sz="4" w:space="0" w:color="auto"/>
              <w:bottom w:val="single" w:sz="4" w:space="0" w:color="auto"/>
            </w:tcBorders>
            <w:vAlign w:val="bottom"/>
          </w:tcPr>
          <w:p w14:paraId="7AB1AF39" w14:textId="77777777" w:rsidR="006902CC" w:rsidRPr="00C971C6" w:rsidRDefault="006902CC" w:rsidP="006902CC">
            <w:pPr>
              <w:pStyle w:val="Tabletext"/>
              <w:rPr>
                <w:snapToGrid w:val="0"/>
              </w:rPr>
            </w:pPr>
            <w:r w:rsidRPr="00295986">
              <w:t>16</w:t>
            </w:r>
            <w:r w:rsidR="00D7157D">
              <w:t>.</w:t>
            </w:r>
            <w:r w:rsidRPr="00295986">
              <w:t>6750</w:t>
            </w:r>
          </w:p>
        </w:tc>
        <w:tc>
          <w:tcPr>
            <w:tcW w:w="966" w:type="pct"/>
            <w:tcBorders>
              <w:top w:val="single" w:sz="4" w:space="0" w:color="auto"/>
              <w:bottom w:val="single" w:sz="4" w:space="0" w:color="auto"/>
            </w:tcBorders>
            <w:vAlign w:val="bottom"/>
          </w:tcPr>
          <w:p w14:paraId="0D9C1A9E" w14:textId="77777777" w:rsidR="006902CC" w:rsidRPr="00C971C6" w:rsidRDefault="006902CC" w:rsidP="006902CC">
            <w:pPr>
              <w:pStyle w:val="Tabletext"/>
              <w:rPr>
                <w:snapToGrid w:val="0"/>
              </w:rPr>
            </w:pPr>
            <w:r w:rsidRPr="00295986">
              <w:t>0</w:t>
            </w:r>
            <w:r w:rsidR="00D7157D">
              <w:t>.</w:t>
            </w:r>
            <w:r w:rsidRPr="00295986">
              <w:t>3784</w:t>
            </w:r>
          </w:p>
        </w:tc>
        <w:tc>
          <w:tcPr>
            <w:tcW w:w="966" w:type="pct"/>
            <w:tcBorders>
              <w:top w:val="single" w:sz="4" w:space="0" w:color="auto"/>
              <w:bottom w:val="single" w:sz="4" w:space="0" w:color="auto"/>
            </w:tcBorders>
            <w:vAlign w:val="bottom"/>
          </w:tcPr>
          <w:p w14:paraId="38B5CB15" w14:textId="77777777" w:rsidR="006902CC" w:rsidRPr="00C971C6" w:rsidRDefault="006902CC" w:rsidP="006902CC">
            <w:pPr>
              <w:pStyle w:val="Tabletext"/>
              <w:rPr>
                <w:snapToGrid w:val="0"/>
              </w:rPr>
            </w:pPr>
            <w:r w:rsidRPr="00295986">
              <w:t>17</w:t>
            </w:r>
            <w:r w:rsidR="00D7157D">
              <w:t>.</w:t>
            </w:r>
            <w:r w:rsidRPr="00295986">
              <w:t>6325</w:t>
            </w:r>
          </w:p>
        </w:tc>
        <w:tc>
          <w:tcPr>
            <w:tcW w:w="966" w:type="pct"/>
            <w:tcBorders>
              <w:top w:val="single" w:sz="4" w:space="0" w:color="auto"/>
              <w:bottom w:val="single" w:sz="4" w:space="0" w:color="auto"/>
            </w:tcBorders>
            <w:vAlign w:val="bottom"/>
          </w:tcPr>
          <w:p w14:paraId="313CBA7F" w14:textId="77777777" w:rsidR="006902CC" w:rsidRPr="00C971C6" w:rsidRDefault="006902CC" w:rsidP="006902CC">
            <w:pPr>
              <w:pStyle w:val="Tabletext"/>
              <w:rPr>
                <w:snapToGrid w:val="0"/>
              </w:rPr>
            </w:pPr>
            <w:r w:rsidRPr="00295986">
              <w:t>0</w:t>
            </w:r>
            <w:r w:rsidR="00D7157D">
              <w:t>.</w:t>
            </w:r>
            <w:r w:rsidRPr="00295986">
              <w:t>0979</w:t>
            </w:r>
          </w:p>
        </w:tc>
      </w:tr>
      <w:tr w:rsidR="006902CC" w:rsidRPr="009E2595" w14:paraId="00F83695" w14:textId="77777777" w:rsidTr="006902CC">
        <w:trPr>
          <w:cantSplit/>
        </w:trPr>
        <w:tc>
          <w:tcPr>
            <w:tcW w:w="1136" w:type="pct"/>
            <w:tcBorders>
              <w:top w:val="single" w:sz="4" w:space="0" w:color="auto"/>
              <w:bottom w:val="single" w:sz="4" w:space="0" w:color="auto"/>
            </w:tcBorders>
          </w:tcPr>
          <w:p w14:paraId="7618C4E2" w14:textId="77777777" w:rsidR="006902CC" w:rsidRPr="00616B26" w:rsidRDefault="006902CC" w:rsidP="006902CC">
            <w:pPr>
              <w:pStyle w:val="Tabletext"/>
              <w:rPr>
                <w:snapToGrid w:val="0"/>
              </w:rPr>
            </w:pPr>
            <w:r w:rsidRPr="00616B26">
              <w:rPr>
                <w:snapToGrid w:val="0"/>
              </w:rPr>
              <w:t>64</w:t>
            </w:r>
          </w:p>
        </w:tc>
        <w:tc>
          <w:tcPr>
            <w:tcW w:w="966" w:type="pct"/>
            <w:tcBorders>
              <w:top w:val="single" w:sz="4" w:space="0" w:color="auto"/>
              <w:bottom w:val="single" w:sz="4" w:space="0" w:color="auto"/>
            </w:tcBorders>
            <w:vAlign w:val="bottom"/>
          </w:tcPr>
          <w:p w14:paraId="2F461933" w14:textId="77777777" w:rsidR="006902CC" w:rsidRPr="00C971C6" w:rsidRDefault="006902CC" w:rsidP="006902CC">
            <w:pPr>
              <w:pStyle w:val="Tabletext"/>
              <w:rPr>
                <w:snapToGrid w:val="0"/>
              </w:rPr>
            </w:pPr>
            <w:r w:rsidRPr="00295986">
              <w:t>16</w:t>
            </w:r>
            <w:r w:rsidR="00D7157D">
              <w:t>.</w:t>
            </w:r>
            <w:r w:rsidRPr="00295986">
              <w:t>2482</w:t>
            </w:r>
          </w:p>
        </w:tc>
        <w:tc>
          <w:tcPr>
            <w:tcW w:w="966" w:type="pct"/>
            <w:tcBorders>
              <w:top w:val="single" w:sz="4" w:space="0" w:color="auto"/>
              <w:bottom w:val="single" w:sz="4" w:space="0" w:color="auto"/>
            </w:tcBorders>
            <w:vAlign w:val="bottom"/>
          </w:tcPr>
          <w:p w14:paraId="2F41971D" w14:textId="77777777" w:rsidR="006902CC" w:rsidRPr="00C971C6" w:rsidRDefault="006902CC" w:rsidP="006902CC">
            <w:pPr>
              <w:pStyle w:val="Tabletext"/>
              <w:rPr>
                <w:snapToGrid w:val="0"/>
              </w:rPr>
            </w:pPr>
            <w:r w:rsidRPr="00295986">
              <w:t>0</w:t>
            </w:r>
            <w:r w:rsidR="00D7157D">
              <w:t>.</w:t>
            </w:r>
            <w:r w:rsidRPr="00295986">
              <w:t>3883</w:t>
            </w:r>
          </w:p>
        </w:tc>
        <w:tc>
          <w:tcPr>
            <w:tcW w:w="966" w:type="pct"/>
            <w:tcBorders>
              <w:top w:val="single" w:sz="4" w:space="0" w:color="auto"/>
              <w:bottom w:val="single" w:sz="4" w:space="0" w:color="auto"/>
            </w:tcBorders>
            <w:vAlign w:val="bottom"/>
          </w:tcPr>
          <w:p w14:paraId="024F085C" w14:textId="77777777" w:rsidR="006902CC" w:rsidRPr="00C971C6" w:rsidRDefault="006902CC" w:rsidP="006902CC">
            <w:pPr>
              <w:pStyle w:val="Tabletext"/>
              <w:rPr>
                <w:snapToGrid w:val="0"/>
              </w:rPr>
            </w:pPr>
            <w:r w:rsidRPr="00295986">
              <w:t>17</w:t>
            </w:r>
            <w:r w:rsidR="00D7157D">
              <w:t>.</w:t>
            </w:r>
            <w:r w:rsidRPr="00295986">
              <w:t>2275</w:t>
            </w:r>
          </w:p>
        </w:tc>
        <w:tc>
          <w:tcPr>
            <w:tcW w:w="966" w:type="pct"/>
            <w:tcBorders>
              <w:top w:val="single" w:sz="4" w:space="0" w:color="auto"/>
              <w:bottom w:val="single" w:sz="4" w:space="0" w:color="auto"/>
            </w:tcBorders>
            <w:vAlign w:val="bottom"/>
          </w:tcPr>
          <w:p w14:paraId="2D005637" w14:textId="77777777" w:rsidR="006902CC" w:rsidRPr="00C971C6" w:rsidRDefault="006902CC" w:rsidP="006902CC">
            <w:pPr>
              <w:pStyle w:val="Tabletext"/>
              <w:rPr>
                <w:snapToGrid w:val="0"/>
              </w:rPr>
            </w:pPr>
            <w:r w:rsidRPr="00295986">
              <w:t>0</w:t>
            </w:r>
            <w:r w:rsidR="00D7157D">
              <w:t>.</w:t>
            </w:r>
            <w:r w:rsidRPr="00295986">
              <w:t>1004</w:t>
            </w:r>
          </w:p>
        </w:tc>
      </w:tr>
      <w:tr w:rsidR="006902CC" w:rsidRPr="009E2595" w14:paraId="349F9E89" w14:textId="77777777" w:rsidTr="006902CC">
        <w:trPr>
          <w:cantSplit/>
        </w:trPr>
        <w:tc>
          <w:tcPr>
            <w:tcW w:w="1136" w:type="pct"/>
            <w:tcBorders>
              <w:top w:val="single" w:sz="4" w:space="0" w:color="auto"/>
              <w:bottom w:val="single" w:sz="4" w:space="0" w:color="auto"/>
            </w:tcBorders>
          </w:tcPr>
          <w:p w14:paraId="4D5297E4" w14:textId="77777777" w:rsidR="006902CC" w:rsidRPr="00616B26" w:rsidRDefault="006902CC" w:rsidP="006902CC">
            <w:pPr>
              <w:pStyle w:val="Tabletext"/>
              <w:rPr>
                <w:snapToGrid w:val="0"/>
              </w:rPr>
            </w:pPr>
            <w:r w:rsidRPr="00616B26">
              <w:rPr>
                <w:snapToGrid w:val="0"/>
              </w:rPr>
              <w:t>65</w:t>
            </w:r>
          </w:p>
        </w:tc>
        <w:tc>
          <w:tcPr>
            <w:tcW w:w="966" w:type="pct"/>
            <w:tcBorders>
              <w:top w:val="single" w:sz="4" w:space="0" w:color="auto"/>
              <w:bottom w:val="single" w:sz="4" w:space="0" w:color="auto"/>
            </w:tcBorders>
            <w:vAlign w:val="bottom"/>
          </w:tcPr>
          <w:p w14:paraId="7499F4A5" w14:textId="77777777" w:rsidR="006902CC" w:rsidRPr="00C971C6" w:rsidRDefault="006902CC" w:rsidP="006902CC">
            <w:pPr>
              <w:pStyle w:val="Tabletext"/>
              <w:rPr>
                <w:snapToGrid w:val="0"/>
              </w:rPr>
            </w:pPr>
            <w:r w:rsidRPr="00295986">
              <w:t>15</w:t>
            </w:r>
            <w:r w:rsidR="00D7157D">
              <w:t>.</w:t>
            </w:r>
            <w:r w:rsidRPr="00295986">
              <w:t>8102</w:t>
            </w:r>
          </w:p>
        </w:tc>
        <w:tc>
          <w:tcPr>
            <w:tcW w:w="966" w:type="pct"/>
            <w:tcBorders>
              <w:top w:val="single" w:sz="4" w:space="0" w:color="auto"/>
              <w:bottom w:val="single" w:sz="4" w:space="0" w:color="auto"/>
            </w:tcBorders>
            <w:vAlign w:val="bottom"/>
          </w:tcPr>
          <w:p w14:paraId="514B5C0C" w14:textId="77777777" w:rsidR="006902CC" w:rsidRPr="00C971C6" w:rsidRDefault="006902CC" w:rsidP="006902CC">
            <w:pPr>
              <w:pStyle w:val="Tabletext"/>
              <w:rPr>
                <w:snapToGrid w:val="0"/>
              </w:rPr>
            </w:pPr>
            <w:r w:rsidRPr="00295986">
              <w:t>0</w:t>
            </w:r>
            <w:r w:rsidR="00D7157D">
              <w:t>.</w:t>
            </w:r>
            <w:r w:rsidRPr="00295986">
              <w:t>3982</w:t>
            </w:r>
          </w:p>
        </w:tc>
        <w:tc>
          <w:tcPr>
            <w:tcW w:w="966" w:type="pct"/>
            <w:tcBorders>
              <w:top w:val="single" w:sz="4" w:space="0" w:color="auto"/>
              <w:bottom w:val="single" w:sz="4" w:space="0" w:color="auto"/>
            </w:tcBorders>
            <w:vAlign w:val="bottom"/>
          </w:tcPr>
          <w:p w14:paraId="531706CF" w14:textId="77777777" w:rsidR="006902CC" w:rsidRPr="00C971C6" w:rsidRDefault="006902CC" w:rsidP="006902CC">
            <w:pPr>
              <w:pStyle w:val="Tabletext"/>
              <w:rPr>
                <w:snapToGrid w:val="0"/>
              </w:rPr>
            </w:pPr>
            <w:r w:rsidRPr="00295986">
              <w:t>16</w:t>
            </w:r>
            <w:r w:rsidR="00D7157D">
              <w:t>.</w:t>
            </w:r>
            <w:r w:rsidRPr="00295986">
              <w:t>8118</w:t>
            </w:r>
          </w:p>
        </w:tc>
        <w:tc>
          <w:tcPr>
            <w:tcW w:w="966" w:type="pct"/>
            <w:tcBorders>
              <w:top w:val="single" w:sz="4" w:space="0" w:color="auto"/>
              <w:bottom w:val="single" w:sz="4" w:space="0" w:color="auto"/>
            </w:tcBorders>
            <w:vAlign w:val="bottom"/>
          </w:tcPr>
          <w:p w14:paraId="356D13DC" w14:textId="77777777" w:rsidR="006902CC" w:rsidRPr="00C971C6" w:rsidRDefault="006902CC" w:rsidP="006902CC">
            <w:pPr>
              <w:pStyle w:val="Tabletext"/>
              <w:rPr>
                <w:snapToGrid w:val="0"/>
              </w:rPr>
            </w:pPr>
            <w:r w:rsidRPr="00295986">
              <w:t>0</w:t>
            </w:r>
            <w:r w:rsidR="00D7157D">
              <w:t>.</w:t>
            </w:r>
            <w:r w:rsidRPr="00295986">
              <w:t>1028</w:t>
            </w:r>
          </w:p>
        </w:tc>
      </w:tr>
      <w:tr w:rsidR="006902CC" w:rsidRPr="009E2595" w14:paraId="0D07A103" w14:textId="77777777" w:rsidTr="006902CC">
        <w:trPr>
          <w:cantSplit/>
        </w:trPr>
        <w:tc>
          <w:tcPr>
            <w:tcW w:w="1136" w:type="pct"/>
            <w:tcBorders>
              <w:top w:val="single" w:sz="4" w:space="0" w:color="auto"/>
              <w:bottom w:val="single" w:sz="4" w:space="0" w:color="auto"/>
            </w:tcBorders>
          </w:tcPr>
          <w:p w14:paraId="6A91CFC6" w14:textId="77777777" w:rsidR="006902CC" w:rsidRPr="00616B26" w:rsidRDefault="006902CC" w:rsidP="006902CC">
            <w:pPr>
              <w:pStyle w:val="Tabletext"/>
              <w:rPr>
                <w:snapToGrid w:val="0"/>
              </w:rPr>
            </w:pPr>
            <w:r w:rsidRPr="00616B26">
              <w:rPr>
                <w:snapToGrid w:val="0"/>
              </w:rPr>
              <w:t>66</w:t>
            </w:r>
          </w:p>
        </w:tc>
        <w:tc>
          <w:tcPr>
            <w:tcW w:w="966" w:type="pct"/>
            <w:tcBorders>
              <w:top w:val="single" w:sz="4" w:space="0" w:color="auto"/>
              <w:bottom w:val="single" w:sz="4" w:space="0" w:color="auto"/>
            </w:tcBorders>
            <w:vAlign w:val="bottom"/>
          </w:tcPr>
          <w:p w14:paraId="76DCCF3F" w14:textId="77777777" w:rsidR="006902CC" w:rsidRPr="00C971C6" w:rsidRDefault="006902CC" w:rsidP="006902CC">
            <w:pPr>
              <w:pStyle w:val="Tabletext"/>
              <w:rPr>
                <w:snapToGrid w:val="0"/>
              </w:rPr>
            </w:pPr>
            <w:r w:rsidRPr="00295986">
              <w:t>15</w:t>
            </w:r>
            <w:r w:rsidR="00D7157D">
              <w:t>.</w:t>
            </w:r>
            <w:r w:rsidRPr="00295986">
              <w:t>3648</w:t>
            </w:r>
          </w:p>
        </w:tc>
        <w:tc>
          <w:tcPr>
            <w:tcW w:w="966" w:type="pct"/>
            <w:tcBorders>
              <w:top w:val="single" w:sz="4" w:space="0" w:color="auto"/>
              <w:bottom w:val="single" w:sz="4" w:space="0" w:color="auto"/>
            </w:tcBorders>
            <w:vAlign w:val="bottom"/>
          </w:tcPr>
          <w:p w14:paraId="10078872" w14:textId="77777777" w:rsidR="006902CC" w:rsidRPr="00C971C6" w:rsidRDefault="006902CC" w:rsidP="006902CC">
            <w:pPr>
              <w:pStyle w:val="Tabletext"/>
              <w:rPr>
                <w:snapToGrid w:val="0"/>
              </w:rPr>
            </w:pPr>
            <w:r w:rsidRPr="00295986">
              <w:t>0</w:t>
            </w:r>
            <w:r w:rsidR="00D7157D">
              <w:t>.</w:t>
            </w:r>
            <w:r w:rsidRPr="00295986">
              <w:t>4077</w:t>
            </w:r>
          </w:p>
        </w:tc>
        <w:tc>
          <w:tcPr>
            <w:tcW w:w="966" w:type="pct"/>
            <w:tcBorders>
              <w:top w:val="single" w:sz="4" w:space="0" w:color="auto"/>
              <w:bottom w:val="single" w:sz="4" w:space="0" w:color="auto"/>
            </w:tcBorders>
            <w:vAlign w:val="bottom"/>
          </w:tcPr>
          <w:p w14:paraId="0C0A27E7" w14:textId="77777777" w:rsidR="006902CC" w:rsidRPr="00C971C6" w:rsidRDefault="006902CC" w:rsidP="006902CC">
            <w:pPr>
              <w:pStyle w:val="Tabletext"/>
              <w:rPr>
                <w:snapToGrid w:val="0"/>
              </w:rPr>
            </w:pPr>
            <w:r w:rsidRPr="00295986">
              <w:t>16</w:t>
            </w:r>
            <w:r w:rsidR="00D7157D">
              <w:t>.</w:t>
            </w:r>
            <w:r w:rsidRPr="00295986">
              <w:t>3857</w:t>
            </w:r>
          </w:p>
        </w:tc>
        <w:tc>
          <w:tcPr>
            <w:tcW w:w="966" w:type="pct"/>
            <w:tcBorders>
              <w:top w:val="single" w:sz="4" w:space="0" w:color="auto"/>
              <w:bottom w:val="single" w:sz="4" w:space="0" w:color="auto"/>
            </w:tcBorders>
            <w:vAlign w:val="bottom"/>
          </w:tcPr>
          <w:p w14:paraId="7CA97C04" w14:textId="77777777" w:rsidR="006902CC" w:rsidRPr="00C971C6" w:rsidRDefault="006902CC" w:rsidP="006902CC">
            <w:pPr>
              <w:pStyle w:val="Tabletext"/>
              <w:rPr>
                <w:snapToGrid w:val="0"/>
              </w:rPr>
            </w:pPr>
            <w:r w:rsidRPr="00295986">
              <w:t>0</w:t>
            </w:r>
            <w:r w:rsidR="00D7157D">
              <w:t>.</w:t>
            </w:r>
            <w:r w:rsidRPr="00295986">
              <w:t>1051</w:t>
            </w:r>
          </w:p>
        </w:tc>
      </w:tr>
      <w:tr w:rsidR="006902CC" w:rsidRPr="009E2595" w14:paraId="11D26EFC" w14:textId="77777777" w:rsidTr="006902CC">
        <w:trPr>
          <w:cantSplit/>
        </w:trPr>
        <w:tc>
          <w:tcPr>
            <w:tcW w:w="1136" w:type="pct"/>
            <w:tcBorders>
              <w:top w:val="single" w:sz="4" w:space="0" w:color="auto"/>
              <w:bottom w:val="single" w:sz="4" w:space="0" w:color="auto"/>
            </w:tcBorders>
          </w:tcPr>
          <w:p w14:paraId="78B8B7CB" w14:textId="77777777" w:rsidR="006902CC" w:rsidRPr="00616B26" w:rsidRDefault="006902CC" w:rsidP="006902CC">
            <w:pPr>
              <w:pStyle w:val="Tabletext"/>
              <w:rPr>
                <w:snapToGrid w:val="0"/>
              </w:rPr>
            </w:pPr>
            <w:r w:rsidRPr="00616B26">
              <w:rPr>
                <w:snapToGrid w:val="0"/>
              </w:rPr>
              <w:t>67</w:t>
            </w:r>
          </w:p>
        </w:tc>
        <w:tc>
          <w:tcPr>
            <w:tcW w:w="966" w:type="pct"/>
            <w:tcBorders>
              <w:top w:val="single" w:sz="4" w:space="0" w:color="auto"/>
              <w:bottom w:val="single" w:sz="4" w:space="0" w:color="auto"/>
            </w:tcBorders>
            <w:vAlign w:val="bottom"/>
          </w:tcPr>
          <w:p w14:paraId="616FE06E" w14:textId="77777777" w:rsidR="006902CC" w:rsidRPr="00C971C6" w:rsidRDefault="006902CC" w:rsidP="006902CC">
            <w:pPr>
              <w:pStyle w:val="Tabletext"/>
              <w:rPr>
                <w:snapToGrid w:val="0"/>
              </w:rPr>
            </w:pPr>
            <w:r w:rsidRPr="00295986">
              <w:t>14</w:t>
            </w:r>
            <w:r w:rsidR="00D7157D">
              <w:t>.</w:t>
            </w:r>
            <w:r w:rsidRPr="00295986">
              <w:t>9119</w:t>
            </w:r>
          </w:p>
        </w:tc>
        <w:tc>
          <w:tcPr>
            <w:tcW w:w="966" w:type="pct"/>
            <w:tcBorders>
              <w:top w:val="single" w:sz="4" w:space="0" w:color="auto"/>
              <w:bottom w:val="single" w:sz="4" w:space="0" w:color="auto"/>
            </w:tcBorders>
            <w:vAlign w:val="bottom"/>
          </w:tcPr>
          <w:p w14:paraId="1C01B534" w14:textId="77777777" w:rsidR="006902CC" w:rsidRPr="00C971C6" w:rsidRDefault="006902CC" w:rsidP="006902CC">
            <w:pPr>
              <w:pStyle w:val="Tabletext"/>
              <w:rPr>
                <w:snapToGrid w:val="0"/>
              </w:rPr>
            </w:pPr>
            <w:r w:rsidRPr="00295986">
              <w:t>0</w:t>
            </w:r>
            <w:r w:rsidR="00D7157D">
              <w:t>.</w:t>
            </w:r>
            <w:r w:rsidRPr="00295986">
              <w:t>4169</w:t>
            </w:r>
          </w:p>
        </w:tc>
        <w:tc>
          <w:tcPr>
            <w:tcW w:w="966" w:type="pct"/>
            <w:tcBorders>
              <w:top w:val="single" w:sz="4" w:space="0" w:color="auto"/>
              <w:bottom w:val="single" w:sz="4" w:space="0" w:color="auto"/>
            </w:tcBorders>
            <w:vAlign w:val="bottom"/>
          </w:tcPr>
          <w:p w14:paraId="08914C2F" w14:textId="77777777" w:rsidR="006902CC" w:rsidRPr="00C971C6" w:rsidRDefault="006902CC" w:rsidP="006902CC">
            <w:pPr>
              <w:pStyle w:val="Tabletext"/>
              <w:rPr>
                <w:snapToGrid w:val="0"/>
              </w:rPr>
            </w:pPr>
            <w:r w:rsidRPr="00295986">
              <w:t>15</w:t>
            </w:r>
            <w:r w:rsidR="00D7157D">
              <w:t>.</w:t>
            </w:r>
            <w:r w:rsidRPr="00295986">
              <w:t>9513</w:t>
            </w:r>
          </w:p>
        </w:tc>
        <w:tc>
          <w:tcPr>
            <w:tcW w:w="966" w:type="pct"/>
            <w:tcBorders>
              <w:top w:val="single" w:sz="4" w:space="0" w:color="auto"/>
              <w:bottom w:val="single" w:sz="4" w:space="0" w:color="auto"/>
            </w:tcBorders>
            <w:vAlign w:val="bottom"/>
          </w:tcPr>
          <w:p w14:paraId="492454B5" w14:textId="77777777" w:rsidR="006902CC" w:rsidRPr="00C971C6" w:rsidRDefault="006902CC" w:rsidP="006902CC">
            <w:pPr>
              <w:pStyle w:val="Tabletext"/>
              <w:rPr>
                <w:snapToGrid w:val="0"/>
              </w:rPr>
            </w:pPr>
            <w:r w:rsidRPr="00295986">
              <w:t>0</w:t>
            </w:r>
            <w:r w:rsidR="00D7157D">
              <w:t>.</w:t>
            </w:r>
            <w:r w:rsidRPr="00295986">
              <w:t>1073</w:t>
            </w:r>
          </w:p>
        </w:tc>
      </w:tr>
      <w:tr w:rsidR="006902CC" w:rsidRPr="009E2595" w14:paraId="0E966DF9" w14:textId="77777777" w:rsidTr="006902CC">
        <w:trPr>
          <w:cantSplit/>
        </w:trPr>
        <w:tc>
          <w:tcPr>
            <w:tcW w:w="1136" w:type="pct"/>
            <w:tcBorders>
              <w:top w:val="single" w:sz="4" w:space="0" w:color="auto"/>
              <w:bottom w:val="single" w:sz="4" w:space="0" w:color="auto"/>
            </w:tcBorders>
          </w:tcPr>
          <w:p w14:paraId="50F87B1C" w14:textId="77777777" w:rsidR="006902CC" w:rsidRPr="00616B26" w:rsidRDefault="006902CC" w:rsidP="006902CC">
            <w:pPr>
              <w:pStyle w:val="Tabletext"/>
              <w:rPr>
                <w:snapToGrid w:val="0"/>
              </w:rPr>
            </w:pPr>
            <w:r w:rsidRPr="00616B26">
              <w:rPr>
                <w:snapToGrid w:val="0"/>
              </w:rPr>
              <w:t>68</w:t>
            </w:r>
          </w:p>
        </w:tc>
        <w:tc>
          <w:tcPr>
            <w:tcW w:w="966" w:type="pct"/>
            <w:tcBorders>
              <w:top w:val="single" w:sz="4" w:space="0" w:color="auto"/>
              <w:bottom w:val="single" w:sz="4" w:space="0" w:color="auto"/>
            </w:tcBorders>
            <w:vAlign w:val="bottom"/>
          </w:tcPr>
          <w:p w14:paraId="6797B889" w14:textId="77777777" w:rsidR="006902CC" w:rsidRPr="00C971C6" w:rsidRDefault="006902CC" w:rsidP="006902CC">
            <w:pPr>
              <w:pStyle w:val="Tabletext"/>
              <w:rPr>
                <w:snapToGrid w:val="0"/>
              </w:rPr>
            </w:pPr>
            <w:r w:rsidRPr="00295986">
              <w:t>14</w:t>
            </w:r>
            <w:r w:rsidR="00D7157D">
              <w:t>.</w:t>
            </w:r>
            <w:r w:rsidRPr="00295986">
              <w:t>4513</w:t>
            </w:r>
          </w:p>
        </w:tc>
        <w:tc>
          <w:tcPr>
            <w:tcW w:w="966" w:type="pct"/>
            <w:tcBorders>
              <w:top w:val="single" w:sz="4" w:space="0" w:color="auto"/>
              <w:bottom w:val="single" w:sz="4" w:space="0" w:color="auto"/>
            </w:tcBorders>
            <w:vAlign w:val="bottom"/>
          </w:tcPr>
          <w:p w14:paraId="428F5808" w14:textId="77777777" w:rsidR="006902CC" w:rsidRPr="00C971C6" w:rsidRDefault="006902CC" w:rsidP="006902CC">
            <w:pPr>
              <w:pStyle w:val="Tabletext"/>
              <w:rPr>
                <w:snapToGrid w:val="0"/>
              </w:rPr>
            </w:pPr>
            <w:r w:rsidRPr="00295986">
              <w:t>0</w:t>
            </w:r>
            <w:r w:rsidR="00D7157D">
              <w:t>.</w:t>
            </w:r>
            <w:r w:rsidRPr="00295986">
              <w:t>4258</w:t>
            </w:r>
          </w:p>
        </w:tc>
        <w:tc>
          <w:tcPr>
            <w:tcW w:w="966" w:type="pct"/>
            <w:tcBorders>
              <w:top w:val="single" w:sz="4" w:space="0" w:color="auto"/>
              <w:bottom w:val="single" w:sz="4" w:space="0" w:color="auto"/>
            </w:tcBorders>
            <w:vAlign w:val="bottom"/>
          </w:tcPr>
          <w:p w14:paraId="1030F2D7" w14:textId="77777777" w:rsidR="006902CC" w:rsidRPr="00C971C6" w:rsidRDefault="006902CC" w:rsidP="006902CC">
            <w:pPr>
              <w:pStyle w:val="Tabletext"/>
              <w:rPr>
                <w:snapToGrid w:val="0"/>
              </w:rPr>
            </w:pPr>
            <w:r w:rsidRPr="00295986">
              <w:t>15</w:t>
            </w:r>
            <w:r w:rsidR="00D7157D">
              <w:t>.</w:t>
            </w:r>
            <w:r w:rsidRPr="00295986">
              <w:t>5071</w:t>
            </w:r>
          </w:p>
        </w:tc>
        <w:tc>
          <w:tcPr>
            <w:tcW w:w="966" w:type="pct"/>
            <w:tcBorders>
              <w:top w:val="single" w:sz="4" w:space="0" w:color="auto"/>
              <w:bottom w:val="single" w:sz="4" w:space="0" w:color="auto"/>
            </w:tcBorders>
            <w:vAlign w:val="bottom"/>
          </w:tcPr>
          <w:p w14:paraId="40E0E3F8" w14:textId="77777777" w:rsidR="006902CC" w:rsidRPr="00C971C6" w:rsidRDefault="006902CC" w:rsidP="006902CC">
            <w:pPr>
              <w:pStyle w:val="Tabletext"/>
              <w:rPr>
                <w:snapToGrid w:val="0"/>
              </w:rPr>
            </w:pPr>
            <w:r w:rsidRPr="00295986">
              <w:t>0</w:t>
            </w:r>
            <w:r w:rsidR="00D7157D">
              <w:t>.</w:t>
            </w:r>
            <w:r w:rsidRPr="00295986">
              <w:t>1095</w:t>
            </w:r>
          </w:p>
        </w:tc>
      </w:tr>
      <w:tr w:rsidR="006902CC" w:rsidRPr="009E2595" w14:paraId="01921E9C" w14:textId="77777777" w:rsidTr="006902CC">
        <w:trPr>
          <w:cantSplit/>
        </w:trPr>
        <w:tc>
          <w:tcPr>
            <w:tcW w:w="1136" w:type="pct"/>
            <w:tcBorders>
              <w:top w:val="single" w:sz="4" w:space="0" w:color="auto"/>
              <w:bottom w:val="single" w:sz="4" w:space="0" w:color="auto"/>
            </w:tcBorders>
          </w:tcPr>
          <w:p w14:paraId="3C05AADF" w14:textId="77777777" w:rsidR="006902CC" w:rsidRPr="00616B26" w:rsidRDefault="006902CC" w:rsidP="006902CC">
            <w:pPr>
              <w:pStyle w:val="Tabletext"/>
              <w:rPr>
                <w:snapToGrid w:val="0"/>
              </w:rPr>
            </w:pPr>
            <w:r w:rsidRPr="00616B26">
              <w:rPr>
                <w:snapToGrid w:val="0"/>
              </w:rPr>
              <w:t>69</w:t>
            </w:r>
          </w:p>
        </w:tc>
        <w:tc>
          <w:tcPr>
            <w:tcW w:w="966" w:type="pct"/>
            <w:tcBorders>
              <w:top w:val="single" w:sz="4" w:space="0" w:color="auto"/>
              <w:bottom w:val="single" w:sz="4" w:space="0" w:color="auto"/>
            </w:tcBorders>
            <w:vAlign w:val="bottom"/>
          </w:tcPr>
          <w:p w14:paraId="4078F671" w14:textId="77777777" w:rsidR="006902CC" w:rsidRPr="00C971C6" w:rsidRDefault="006902CC" w:rsidP="006902CC">
            <w:pPr>
              <w:pStyle w:val="Tabletext"/>
              <w:rPr>
                <w:snapToGrid w:val="0"/>
              </w:rPr>
            </w:pPr>
            <w:r w:rsidRPr="00295986">
              <w:t>13</w:t>
            </w:r>
            <w:r w:rsidR="00D7157D">
              <w:t>.</w:t>
            </w:r>
            <w:r w:rsidRPr="00295986">
              <w:t>9827</w:t>
            </w:r>
          </w:p>
        </w:tc>
        <w:tc>
          <w:tcPr>
            <w:tcW w:w="966" w:type="pct"/>
            <w:tcBorders>
              <w:top w:val="single" w:sz="4" w:space="0" w:color="auto"/>
              <w:bottom w:val="single" w:sz="4" w:space="0" w:color="auto"/>
            </w:tcBorders>
            <w:vAlign w:val="bottom"/>
          </w:tcPr>
          <w:p w14:paraId="7B932730" w14:textId="77777777" w:rsidR="006902CC" w:rsidRPr="00C971C6" w:rsidRDefault="006902CC" w:rsidP="006902CC">
            <w:pPr>
              <w:pStyle w:val="Tabletext"/>
              <w:rPr>
                <w:snapToGrid w:val="0"/>
              </w:rPr>
            </w:pPr>
            <w:r w:rsidRPr="00295986">
              <w:t>0</w:t>
            </w:r>
            <w:r w:rsidR="00D7157D">
              <w:t>.</w:t>
            </w:r>
            <w:r w:rsidRPr="00295986">
              <w:t>4342</w:t>
            </w:r>
          </w:p>
        </w:tc>
        <w:tc>
          <w:tcPr>
            <w:tcW w:w="966" w:type="pct"/>
            <w:tcBorders>
              <w:top w:val="single" w:sz="4" w:space="0" w:color="auto"/>
              <w:bottom w:val="single" w:sz="4" w:space="0" w:color="auto"/>
            </w:tcBorders>
            <w:vAlign w:val="bottom"/>
          </w:tcPr>
          <w:p w14:paraId="575349FB" w14:textId="77777777" w:rsidR="006902CC" w:rsidRPr="00C971C6" w:rsidRDefault="006902CC" w:rsidP="006902CC">
            <w:pPr>
              <w:pStyle w:val="Tabletext"/>
              <w:rPr>
                <w:snapToGrid w:val="0"/>
              </w:rPr>
            </w:pPr>
            <w:r w:rsidRPr="00295986">
              <w:t>15</w:t>
            </w:r>
            <w:r w:rsidR="00D7157D">
              <w:t>.</w:t>
            </w:r>
            <w:r w:rsidRPr="00295986">
              <w:t>0529</w:t>
            </w:r>
          </w:p>
        </w:tc>
        <w:tc>
          <w:tcPr>
            <w:tcW w:w="966" w:type="pct"/>
            <w:tcBorders>
              <w:top w:val="single" w:sz="4" w:space="0" w:color="auto"/>
              <w:bottom w:val="single" w:sz="4" w:space="0" w:color="auto"/>
            </w:tcBorders>
            <w:vAlign w:val="bottom"/>
          </w:tcPr>
          <w:p w14:paraId="314A119A" w14:textId="77777777" w:rsidR="006902CC" w:rsidRPr="00C971C6" w:rsidRDefault="006902CC" w:rsidP="006902CC">
            <w:pPr>
              <w:pStyle w:val="Tabletext"/>
              <w:rPr>
                <w:snapToGrid w:val="0"/>
              </w:rPr>
            </w:pPr>
            <w:r w:rsidRPr="00295986">
              <w:t>0</w:t>
            </w:r>
            <w:r w:rsidR="00D7157D">
              <w:t>.</w:t>
            </w:r>
            <w:r w:rsidRPr="00295986">
              <w:t>1115</w:t>
            </w:r>
          </w:p>
        </w:tc>
      </w:tr>
      <w:tr w:rsidR="006902CC" w:rsidRPr="009E2595" w14:paraId="1D062CC7" w14:textId="77777777" w:rsidTr="006902CC">
        <w:trPr>
          <w:cantSplit/>
        </w:trPr>
        <w:tc>
          <w:tcPr>
            <w:tcW w:w="1136" w:type="pct"/>
            <w:tcBorders>
              <w:top w:val="single" w:sz="4" w:space="0" w:color="auto"/>
              <w:bottom w:val="single" w:sz="4" w:space="0" w:color="auto"/>
            </w:tcBorders>
          </w:tcPr>
          <w:p w14:paraId="5DACFC18" w14:textId="77777777" w:rsidR="006902CC" w:rsidRPr="00616B26" w:rsidRDefault="006902CC" w:rsidP="006902CC">
            <w:pPr>
              <w:pStyle w:val="Tabletext"/>
              <w:rPr>
                <w:snapToGrid w:val="0"/>
              </w:rPr>
            </w:pPr>
            <w:r w:rsidRPr="00616B26">
              <w:rPr>
                <w:snapToGrid w:val="0"/>
              </w:rPr>
              <w:t>70</w:t>
            </w:r>
          </w:p>
        </w:tc>
        <w:tc>
          <w:tcPr>
            <w:tcW w:w="966" w:type="pct"/>
            <w:tcBorders>
              <w:top w:val="single" w:sz="4" w:space="0" w:color="auto"/>
              <w:bottom w:val="single" w:sz="4" w:space="0" w:color="auto"/>
            </w:tcBorders>
            <w:vAlign w:val="bottom"/>
          </w:tcPr>
          <w:p w14:paraId="5050121D" w14:textId="77777777" w:rsidR="006902CC" w:rsidRPr="00C971C6" w:rsidRDefault="006902CC" w:rsidP="006902CC">
            <w:pPr>
              <w:pStyle w:val="Tabletext"/>
              <w:rPr>
                <w:snapToGrid w:val="0"/>
              </w:rPr>
            </w:pPr>
            <w:r w:rsidRPr="00295986">
              <w:t>13</w:t>
            </w:r>
            <w:r w:rsidR="00D7157D">
              <w:t>.</w:t>
            </w:r>
            <w:r w:rsidRPr="00295986">
              <w:t>5055</w:t>
            </w:r>
          </w:p>
        </w:tc>
        <w:tc>
          <w:tcPr>
            <w:tcW w:w="966" w:type="pct"/>
            <w:tcBorders>
              <w:top w:val="single" w:sz="4" w:space="0" w:color="auto"/>
              <w:bottom w:val="single" w:sz="4" w:space="0" w:color="auto"/>
            </w:tcBorders>
            <w:vAlign w:val="bottom"/>
          </w:tcPr>
          <w:p w14:paraId="2AD3CF55" w14:textId="77777777" w:rsidR="006902CC" w:rsidRPr="00C971C6" w:rsidRDefault="006902CC" w:rsidP="006902CC">
            <w:pPr>
              <w:pStyle w:val="Tabletext"/>
              <w:rPr>
                <w:snapToGrid w:val="0"/>
              </w:rPr>
            </w:pPr>
            <w:r w:rsidRPr="00295986">
              <w:t>0</w:t>
            </w:r>
            <w:r w:rsidR="00D7157D">
              <w:t>.</w:t>
            </w:r>
            <w:r w:rsidRPr="00295986">
              <w:t>4424</w:t>
            </w:r>
          </w:p>
        </w:tc>
        <w:tc>
          <w:tcPr>
            <w:tcW w:w="966" w:type="pct"/>
            <w:tcBorders>
              <w:top w:val="single" w:sz="4" w:space="0" w:color="auto"/>
              <w:bottom w:val="single" w:sz="4" w:space="0" w:color="auto"/>
            </w:tcBorders>
            <w:vAlign w:val="bottom"/>
          </w:tcPr>
          <w:p w14:paraId="1AC5BFD4" w14:textId="77777777" w:rsidR="006902CC" w:rsidRPr="00C971C6" w:rsidRDefault="006902CC" w:rsidP="006902CC">
            <w:pPr>
              <w:pStyle w:val="Tabletext"/>
              <w:rPr>
                <w:snapToGrid w:val="0"/>
              </w:rPr>
            </w:pPr>
            <w:r w:rsidRPr="00295986">
              <w:t>14</w:t>
            </w:r>
            <w:r w:rsidR="00D7157D">
              <w:t>.</w:t>
            </w:r>
            <w:r w:rsidRPr="00295986">
              <w:t>5882</w:t>
            </w:r>
          </w:p>
        </w:tc>
        <w:tc>
          <w:tcPr>
            <w:tcW w:w="966" w:type="pct"/>
            <w:tcBorders>
              <w:top w:val="single" w:sz="4" w:space="0" w:color="auto"/>
              <w:bottom w:val="single" w:sz="4" w:space="0" w:color="auto"/>
            </w:tcBorders>
            <w:vAlign w:val="bottom"/>
          </w:tcPr>
          <w:p w14:paraId="2F5CFA97" w14:textId="77777777" w:rsidR="006902CC" w:rsidRPr="00C971C6" w:rsidRDefault="006902CC" w:rsidP="006902CC">
            <w:pPr>
              <w:pStyle w:val="Tabletext"/>
              <w:rPr>
                <w:snapToGrid w:val="0"/>
              </w:rPr>
            </w:pPr>
            <w:r w:rsidRPr="00295986">
              <w:t>0</w:t>
            </w:r>
            <w:r w:rsidR="00D7157D">
              <w:t>.</w:t>
            </w:r>
            <w:r w:rsidRPr="00295986">
              <w:t>1134</w:t>
            </w:r>
          </w:p>
        </w:tc>
      </w:tr>
      <w:tr w:rsidR="006902CC" w:rsidRPr="009E2595" w14:paraId="5C4037C2" w14:textId="77777777" w:rsidTr="006902CC">
        <w:trPr>
          <w:cantSplit/>
        </w:trPr>
        <w:tc>
          <w:tcPr>
            <w:tcW w:w="1136" w:type="pct"/>
            <w:tcBorders>
              <w:top w:val="single" w:sz="4" w:space="0" w:color="auto"/>
              <w:bottom w:val="single" w:sz="4" w:space="0" w:color="auto"/>
            </w:tcBorders>
          </w:tcPr>
          <w:p w14:paraId="10F0916F" w14:textId="77777777" w:rsidR="006902CC" w:rsidRPr="00616B26" w:rsidRDefault="006902CC" w:rsidP="006902CC">
            <w:pPr>
              <w:pStyle w:val="Tabletext"/>
              <w:rPr>
                <w:snapToGrid w:val="0"/>
              </w:rPr>
            </w:pPr>
            <w:r w:rsidRPr="00616B26">
              <w:rPr>
                <w:snapToGrid w:val="0"/>
              </w:rPr>
              <w:t>71</w:t>
            </w:r>
          </w:p>
        </w:tc>
        <w:tc>
          <w:tcPr>
            <w:tcW w:w="966" w:type="pct"/>
            <w:tcBorders>
              <w:top w:val="single" w:sz="4" w:space="0" w:color="auto"/>
              <w:bottom w:val="single" w:sz="4" w:space="0" w:color="auto"/>
            </w:tcBorders>
            <w:vAlign w:val="bottom"/>
          </w:tcPr>
          <w:p w14:paraId="7807F935" w14:textId="77777777" w:rsidR="006902CC" w:rsidRPr="00C971C6" w:rsidRDefault="006902CC" w:rsidP="006902CC">
            <w:pPr>
              <w:pStyle w:val="Tabletext"/>
              <w:rPr>
                <w:snapToGrid w:val="0"/>
              </w:rPr>
            </w:pPr>
            <w:r w:rsidRPr="00295986">
              <w:t>13</w:t>
            </w:r>
            <w:r w:rsidR="00D7157D">
              <w:t>.</w:t>
            </w:r>
            <w:r w:rsidRPr="00295986">
              <w:t>0189</w:t>
            </w:r>
          </w:p>
        </w:tc>
        <w:tc>
          <w:tcPr>
            <w:tcW w:w="966" w:type="pct"/>
            <w:tcBorders>
              <w:top w:val="single" w:sz="4" w:space="0" w:color="auto"/>
              <w:bottom w:val="single" w:sz="4" w:space="0" w:color="auto"/>
            </w:tcBorders>
            <w:vAlign w:val="bottom"/>
          </w:tcPr>
          <w:p w14:paraId="64F054B2" w14:textId="77777777" w:rsidR="006902CC" w:rsidRPr="00C971C6" w:rsidRDefault="006902CC" w:rsidP="006902CC">
            <w:pPr>
              <w:pStyle w:val="Tabletext"/>
              <w:rPr>
                <w:snapToGrid w:val="0"/>
              </w:rPr>
            </w:pPr>
            <w:r w:rsidRPr="00295986">
              <w:t>0</w:t>
            </w:r>
            <w:r w:rsidR="00D7157D">
              <w:t>.</w:t>
            </w:r>
            <w:r w:rsidRPr="00295986">
              <w:t>4502</w:t>
            </w:r>
          </w:p>
        </w:tc>
        <w:tc>
          <w:tcPr>
            <w:tcW w:w="966" w:type="pct"/>
            <w:tcBorders>
              <w:top w:val="single" w:sz="4" w:space="0" w:color="auto"/>
              <w:bottom w:val="single" w:sz="4" w:space="0" w:color="auto"/>
            </w:tcBorders>
            <w:vAlign w:val="bottom"/>
          </w:tcPr>
          <w:p w14:paraId="72EE26F9" w14:textId="77777777" w:rsidR="006902CC" w:rsidRPr="00C971C6" w:rsidRDefault="006902CC" w:rsidP="006902CC">
            <w:pPr>
              <w:pStyle w:val="Tabletext"/>
              <w:rPr>
                <w:snapToGrid w:val="0"/>
              </w:rPr>
            </w:pPr>
            <w:r w:rsidRPr="00295986">
              <w:t>14</w:t>
            </w:r>
            <w:r w:rsidR="00D7157D">
              <w:t>.</w:t>
            </w:r>
            <w:r w:rsidRPr="00295986">
              <w:t>1147</w:t>
            </w:r>
          </w:p>
        </w:tc>
        <w:tc>
          <w:tcPr>
            <w:tcW w:w="966" w:type="pct"/>
            <w:tcBorders>
              <w:top w:val="single" w:sz="4" w:space="0" w:color="auto"/>
              <w:bottom w:val="single" w:sz="4" w:space="0" w:color="auto"/>
            </w:tcBorders>
            <w:vAlign w:val="bottom"/>
          </w:tcPr>
          <w:p w14:paraId="355A1764" w14:textId="77777777" w:rsidR="006902CC" w:rsidRPr="00C971C6" w:rsidRDefault="006902CC" w:rsidP="006902CC">
            <w:pPr>
              <w:pStyle w:val="Tabletext"/>
              <w:rPr>
                <w:snapToGrid w:val="0"/>
              </w:rPr>
            </w:pPr>
            <w:r w:rsidRPr="00295986">
              <w:t>0</w:t>
            </w:r>
            <w:r w:rsidR="00D7157D">
              <w:t>.</w:t>
            </w:r>
            <w:r w:rsidRPr="00295986">
              <w:t>1152</w:t>
            </w:r>
          </w:p>
        </w:tc>
      </w:tr>
      <w:tr w:rsidR="006902CC" w:rsidRPr="009E2595" w14:paraId="7486B2E8" w14:textId="77777777" w:rsidTr="006902CC">
        <w:trPr>
          <w:cantSplit/>
        </w:trPr>
        <w:tc>
          <w:tcPr>
            <w:tcW w:w="1136" w:type="pct"/>
            <w:tcBorders>
              <w:top w:val="single" w:sz="4" w:space="0" w:color="auto"/>
              <w:bottom w:val="single" w:sz="4" w:space="0" w:color="auto"/>
            </w:tcBorders>
          </w:tcPr>
          <w:p w14:paraId="26A804EA" w14:textId="77777777" w:rsidR="006902CC" w:rsidRPr="00616B26" w:rsidRDefault="006902CC" w:rsidP="006902CC">
            <w:pPr>
              <w:pStyle w:val="Tabletext"/>
              <w:rPr>
                <w:snapToGrid w:val="0"/>
              </w:rPr>
            </w:pPr>
            <w:r w:rsidRPr="00616B26">
              <w:rPr>
                <w:snapToGrid w:val="0"/>
              </w:rPr>
              <w:t>72</w:t>
            </w:r>
          </w:p>
        </w:tc>
        <w:tc>
          <w:tcPr>
            <w:tcW w:w="966" w:type="pct"/>
            <w:tcBorders>
              <w:top w:val="single" w:sz="4" w:space="0" w:color="auto"/>
              <w:bottom w:val="single" w:sz="4" w:space="0" w:color="auto"/>
            </w:tcBorders>
            <w:vAlign w:val="bottom"/>
          </w:tcPr>
          <w:p w14:paraId="16D14D04" w14:textId="77777777" w:rsidR="006902CC" w:rsidRPr="00C971C6" w:rsidRDefault="006902CC" w:rsidP="006902CC">
            <w:pPr>
              <w:pStyle w:val="Tabletext"/>
              <w:rPr>
                <w:snapToGrid w:val="0"/>
              </w:rPr>
            </w:pPr>
            <w:r w:rsidRPr="00295986">
              <w:t>12</w:t>
            </w:r>
            <w:r w:rsidR="00D7157D">
              <w:t>.</w:t>
            </w:r>
            <w:r w:rsidRPr="00295986">
              <w:t>5247</w:t>
            </w:r>
          </w:p>
        </w:tc>
        <w:tc>
          <w:tcPr>
            <w:tcW w:w="966" w:type="pct"/>
            <w:tcBorders>
              <w:top w:val="single" w:sz="4" w:space="0" w:color="auto"/>
              <w:bottom w:val="single" w:sz="4" w:space="0" w:color="auto"/>
            </w:tcBorders>
            <w:vAlign w:val="bottom"/>
          </w:tcPr>
          <w:p w14:paraId="76845B48" w14:textId="77777777" w:rsidR="006902CC" w:rsidRPr="00C971C6" w:rsidRDefault="006902CC" w:rsidP="006902CC">
            <w:pPr>
              <w:pStyle w:val="Tabletext"/>
              <w:rPr>
                <w:snapToGrid w:val="0"/>
              </w:rPr>
            </w:pPr>
            <w:r w:rsidRPr="00295986">
              <w:t>0</w:t>
            </w:r>
            <w:r w:rsidR="00D7157D">
              <w:t>.</w:t>
            </w:r>
            <w:r w:rsidRPr="00295986">
              <w:t>4576</w:t>
            </w:r>
          </w:p>
        </w:tc>
        <w:tc>
          <w:tcPr>
            <w:tcW w:w="966" w:type="pct"/>
            <w:tcBorders>
              <w:top w:val="single" w:sz="4" w:space="0" w:color="auto"/>
              <w:bottom w:val="single" w:sz="4" w:space="0" w:color="auto"/>
            </w:tcBorders>
            <w:vAlign w:val="bottom"/>
          </w:tcPr>
          <w:p w14:paraId="4EAEC846" w14:textId="77777777" w:rsidR="006902CC" w:rsidRPr="00C971C6" w:rsidRDefault="006902CC" w:rsidP="006902CC">
            <w:pPr>
              <w:pStyle w:val="Tabletext"/>
              <w:rPr>
                <w:snapToGrid w:val="0"/>
              </w:rPr>
            </w:pPr>
            <w:r w:rsidRPr="00295986">
              <w:t>13</w:t>
            </w:r>
            <w:r w:rsidR="00D7157D">
              <w:t>.</w:t>
            </w:r>
            <w:r w:rsidRPr="00295986">
              <w:t>6335</w:t>
            </w:r>
          </w:p>
        </w:tc>
        <w:tc>
          <w:tcPr>
            <w:tcW w:w="966" w:type="pct"/>
            <w:tcBorders>
              <w:top w:val="single" w:sz="4" w:space="0" w:color="auto"/>
              <w:bottom w:val="single" w:sz="4" w:space="0" w:color="auto"/>
            </w:tcBorders>
            <w:vAlign w:val="bottom"/>
          </w:tcPr>
          <w:p w14:paraId="22460DA8" w14:textId="77777777" w:rsidR="006902CC" w:rsidRPr="00C971C6" w:rsidRDefault="006902CC" w:rsidP="006902CC">
            <w:pPr>
              <w:pStyle w:val="Tabletext"/>
              <w:rPr>
                <w:snapToGrid w:val="0"/>
              </w:rPr>
            </w:pPr>
            <w:r w:rsidRPr="00295986">
              <w:t>0</w:t>
            </w:r>
            <w:r w:rsidR="00D7157D">
              <w:t>.</w:t>
            </w:r>
            <w:r w:rsidRPr="00295986">
              <w:t>1169</w:t>
            </w:r>
          </w:p>
        </w:tc>
      </w:tr>
      <w:tr w:rsidR="006902CC" w:rsidRPr="009E2595" w14:paraId="48A341E0" w14:textId="77777777" w:rsidTr="006902CC">
        <w:trPr>
          <w:cantSplit/>
        </w:trPr>
        <w:tc>
          <w:tcPr>
            <w:tcW w:w="1136" w:type="pct"/>
            <w:tcBorders>
              <w:top w:val="single" w:sz="4" w:space="0" w:color="auto"/>
              <w:bottom w:val="single" w:sz="4" w:space="0" w:color="auto"/>
            </w:tcBorders>
          </w:tcPr>
          <w:p w14:paraId="6E8A560E" w14:textId="77777777" w:rsidR="006902CC" w:rsidRPr="00616B26" w:rsidRDefault="006902CC" w:rsidP="006902CC">
            <w:pPr>
              <w:pStyle w:val="Tabletext"/>
              <w:rPr>
                <w:snapToGrid w:val="0"/>
              </w:rPr>
            </w:pPr>
            <w:r w:rsidRPr="00616B26">
              <w:rPr>
                <w:snapToGrid w:val="0"/>
              </w:rPr>
              <w:t>73</w:t>
            </w:r>
          </w:p>
        </w:tc>
        <w:tc>
          <w:tcPr>
            <w:tcW w:w="966" w:type="pct"/>
            <w:tcBorders>
              <w:top w:val="single" w:sz="4" w:space="0" w:color="auto"/>
              <w:bottom w:val="single" w:sz="4" w:space="0" w:color="auto"/>
            </w:tcBorders>
            <w:vAlign w:val="bottom"/>
          </w:tcPr>
          <w:p w14:paraId="4C1446F4" w14:textId="77777777" w:rsidR="006902CC" w:rsidRPr="00C971C6" w:rsidRDefault="006902CC" w:rsidP="006902CC">
            <w:pPr>
              <w:pStyle w:val="Tabletext"/>
              <w:rPr>
                <w:snapToGrid w:val="0"/>
              </w:rPr>
            </w:pPr>
            <w:r w:rsidRPr="00295986">
              <w:t>12</w:t>
            </w:r>
            <w:r w:rsidR="00D7157D">
              <w:t>.</w:t>
            </w:r>
            <w:r w:rsidRPr="00295986">
              <w:t>0233</w:t>
            </w:r>
          </w:p>
        </w:tc>
        <w:tc>
          <w:tcPr>
            <w:tcW w:w="966" w:type="pct"/>
            <w:tcBorders>
              <w:top w:val="single" w:sz="4" w:space="0" w:color="auto"/>
              <w:bottom w:val="single" w:sz="4" w:space="0" w:color="auto"/>
            </w:tcBorders>
            <w:vAlign w:val="bottom"/>
          </w:tcPr>
          <w:p w14:paraId="40F2DFD3" w14:textId="77777777" w:rsidR="006902CC" w:rsidRPr="00C971C6" w:rsidRDefault="006902CC" w:rsidP="006902CC">
            <w:pPr>
              <w:pStyle w:val="Tabletext"/>
              <w:rPr>
                <w:snapToGrid w:val="0"/>
              </w:rPr>
            </w:pPr>
            <w:r w:rsidRPr="00295986">
              <w:t>0</w:t>
            </w:r>
            <w:r w:rsidR="00D7157D">
              <w:t>.</w:t>
            </w:r>
            <w:r w:rsidRPr="00295986">
              <w:t>4645</w:t>
            </w:r>
          </w:p>
        </w:tc>
        <w:tc>
          <w:tcPr>
            <w:tcW w:w="966" w:type="pct"/>
            <w:tcBorders>
              <w:top w:val="single" w:sz="4" w:space="0" w:color="auto"/>
              <w:bottom w:val="single" w:sz="4" w:space="0" w:color="auto"/>
            </w:tcBorders>
            <w:vAlign w:val="bottom"/>
          </w:tcPr>
          <w:p w14:paraId="40816BAF" w14:textId="77777777" w:rsidR="006902CC" w:rsidRPr="00C971C6" w:rsidRDefault="006902CC" w:rsidP="006902CC">
            <w:pPr>
              <w:pStyle w:val="Tabletext"/>
              <w:rPr>
                <w:snapToGrid w:val="0"/>
              </w:rPr>
            </w:pPr>
            <w:r w:rsidRPr="00295986">
              <w:t>13</w:t>
            </w:r>
            <w:r w:rsidR="00D7157D">
              <w:t>.</w:t>
            </w:r>
            <w:r w:rsidRPr="00295986">
              <w:t>1451</w:t>
            </w:r>
          </w:p>
        </w:tc>
        <w:tc>
          <w:tcPr>
            <w:tcW w:w="966" w:type="pct"/>
            <w:tcBorders>
              <w:top w:val="single" w:sz="4" w:space="0" w:color="auto"/>
              <w:bottom w:val="single" w:sz="4" w:space="0" w:color="auto"/>
            </w:tcBorders>
            <w:vAlign w:val="bottom"/>
          </w:tcPr>
          <w:p w14:paraId="400CDDBC" w14:textId="77777777" w:rsidR="006902CC" w:rsidRPr="00C971C6" w:rsidRDefault="006902CC" w:rsidP="006902CC">
            <w:pPr>
              <w:pStyle w:val="Tabletext"/>
              <w:rPr>
                <w:snapToGrid w:val="0"/>
              </w:rPr>
            </w:pPr>
            <w:r w:rsidRPr="00295986">
              <w:t>0</w:t>
            </w:r>
            <w:r w:rsidR="00D7157D">
              <w:t>.</w:t>
            </w:r>
            <w:r w:rsidRPr="00295986">
              <w:t>1184</w:t>
            </w:r>
          </w:p>
        </w:tc>
      </w:tr>
      <w:tr w:rsidR="006902CC" w:rsidRPr="009E2595" w14:paraId="4A31A116" w14:textId="77777777" w:rsidTr="006902CC">
        <w:trPr>
          <w:cantSplit/>
        </w:trPr>
        <w:tc>
          <w:tcPr>
            <w:tcW w:w="1136" w:type="pct"/>
            <w:tcBorders>
              <w:top w:val="single" w:sz="4" w:space="0" w:color="auto"/>
              <w:bottom w:val="single" w:sz="4" w:space="0" w:color="auto"/>
            </w:tcBorders>
          </w:tcPr>
          <w:p w14:paraId="3A22FA47" w14:textId="77777777" w:rsidR="006902CC" w:rsidRPr="00616B26" w:rsidRDefault="006902CC" w:rsidP="006902CC">
            <w:pPr>
              <w:pStyle w:val="Tabletext"/>
              <w:rPr>
                <w:snapToGrid w:val="0"/>
              </w:rPr>
            </w:pPr>
            <w:r w:rsidRPr="00616B26">
              <w:rPr>
                <w:snapToGrid w:val="0"/>
              </w:rPr>
              <w:t>74</w:t>
            </w:r>
          </w:p>
        </w:tc>
        <w:tc>
          <w:tcPr>
            <w:tcW w:w="966" w:type="pct"/>
            <w:tcBorders>
              <w:top w:val="single" w:sz="4" w:space="0" w:color="auto"/>
              <w:bottom w:val="single" w:sz="4" w:space="0" w:color="auto"/>
            </w:tcBorders>
            <w:vAlign w:val="bottom"/>
          </w:tcPr>
          <w:p w14:paraId="6AE84FB4" w14:textId="77777777" w:rsidR="006902CC" w:rsidRPr="00C971C6" w:rsidRDefault="006902CC" w:rsidP="006902CC">
            <w:pPr>
              <w:pStyle w:val="Tabletext"/>
              <w:rPr>
                <w:snapToGrid w:val="0"/>
              </w:rPr>
            </w:pPr>
            <w:r w:rsidRPr="00295986">
              <w:t>11</w:t>
            </w:r>
            <w:r w:rsidR="00D7157D">
              <w:t>.</w:t>
            </w:r>
            <w:r w:rsidRPr="00295986">
              <w:t>5162</w:t>
            </w:r>
          </w:p>
        </w:tc>
        <w:tc>
          <w:tcPr>
            <w:tcW w:w="966" w:type="pct"/>
            <w:tcBorders>
              <w:top w:val="single" w:sz="4" w:space="0" w:color="auto"/>
              <w:bottom w:val="single" w:sz="4" w:space="0" w:color="auto"/>
            </w:tcBorders>
            <w:vAlign w:val="bottom"/>
          </w:tcPr>
          <w:p w14:paraId="6D46AB64" w14:textId="77777777" w:rsidR="006902CC" w:rsidRPr="00C971C6" w:rsidRDefault="006902CC" w:rsidP="006902CC">
            <w:pPr>
              <w:pStyle w:val="Tabletext"/>
              <w:rPr>
                <w:snapToGrid w:val="0"/>
              </w:rPr>
            </w:pPr>
            <w:r w:rsidRPr="00295986">
              <w:t>0</w:t>
            </w:r>
            <w:r w:rsidR="00D7157D">
              <w:t>.</w:t>
            </w:r>
            <w:r w:rsidRPr="00295986">
              <w:t>4708</w:t>
            </w:r>
          </w:p>
        </w:tc>
        <w:tc>
          <w:tcPr>
            <w:tcW w:w="966" w:type="pct"/>
            <w:tcBorders>
              <w:top w:val="single" w:sz="4" w:space="0" w:color="auto"/>
              <w:bottom w:val="single" w:sz="4" w:space="0" w:color="auto"/>
            </w:tcBorders>
            <w:vAlign w:val="bottom"/>
          </w:tcPr>
          <w:p w14:paraId="4B2A1709" w14:textId="77777777" w:rsidR="006902CC" w:rsidRPr="00C971C6" w:rsidRDefault="006902CC" w:rsidP="006902CC">
            <w:pPr>
              <w:pStyle w:val="Tabletext"/>
              <w:rPr>
                <w:snapToGrid w:val="0"/>
              </w:rPr>
            </w:pPr>
            <w:r w:rsidRPr="00295986">
              <w:t>12</w:t>
            </w:r>
            <w:r w:rsidR="00D7157D">
              <w:t>.</w:t>
            </w:r>
            <w:r w:rsidRPr="00295986">
              <w:t>6497</w:t>
            </w:r>
          </w:p>
        </w:tc>
        <w:tc>
          <w:tcPr>
            <w:tcW w:w="966" w:type="pct"/>
            <w:tcBorders>
              <w:top w:val="single" w:sz="4" w:space="0" w:color="auto"/>
              <w:bottom w:val="single" w:sz="4" w:space="0" w:color="auto"/>
            </w:tcBorders>
            <w:vAlign w:val="bottom"/>
          </w:tcPr>
          <w:p w14:paraId="28C289EA" w14:textId="77777777" w:rsidR="006902CC" w:rsidRPr="00C971C6" w:rsidRDefault="006902CC" w:rsidP="006902CC">
            <w:pPr>
              <w:pStyle w:val="Tabletext"/>
              <w:rPr>
                <w:snapToGrid w:val="0"/>
              </w:rPr>
            </w:pPr>
            <w:r w:rsidRPr="00295986">
              <w:t>0</w:t>
            </w:r>
            <w:r w:rsidR="00D7157D">
              <w:t>.</w:t>
            </w:r>
            <w:r w:rsidRPr="00295986">
              <w:t>1196</w:t>
            </w:r>
          </w:p>
        </w:tc>
      </w:tr>
      <w:tr w:rsidR="006902CC" w:rsidRPr="009E2595" w14:paraId="5A52A602" w14:textId="77777777" w:rsidTr="006902CC">
        <w:trPr>
          <w:cantSplit/>
        </w:trPr>
        <w:tc>
          <w:tcPr>
            <w:tcW w:w="1136" w:type="pct"/>
            <w:tcBorders>
              <w:top w:val="single" w:sz="4" w:space="0" w:color="auto"/>
              <w:bottom w:val="single" w:sz="4" w:space="0" w:color="auto"/>
            </w:tcBorders>
          </w:tcPr>
          <w:p w14:paraId="6CFDA2FB" w14:textId="77777777" w:rsidR="006902CC" w:rsidRPr="00616B26" w:rsidRDefault="006902CC" w:rsidP="006902CC">
            <w:pPr>
              <w:pStyle w:val="Tabletext"/>
              <w:rPr>
                <w:snapToGrid w:val="0"/>
              </w:rPr>
            </w:pPr>
            <w:r w:rsidRPr="00616B26">
              <w:rPr>
                <w:snapToGrid w:val="0"/>
              </w:rPr>
              <w:t>75</w:t>
            </w:r>
          </w:p>
        </w:tc>
        <w:tc>
          <w:tcPr>
            <w:tcW w:w="966" w:type="pct"/>
            <w:tcBorders>
              <w:top w:val="single" w:sz="4" w:space="0" w:color="auto"/>
              <w:bottom w:val="single" w:sz="4" w:space="0" w:color="auto"/>
            </w:tcBorders>
            <w:vAlign w:val="bottom"/>
          </w:tcPr>
          <w:p w14:paraId="596256CA" w14:textId="77777777" w:rsidR="006902CC" w:rsidRPr="00C971C6" w:rsidRDefault="006902CC" w:rsidP="006902CC">
            <w:pPr>
              <w:pStyle w:val="Tabletext"/>
              <w:rPr>
                <w:snapToGrid w:val="0"/>
              </w:rPr>
            </w:pPr>
            <w:r w:rsidRPr="00295986">
              <w:t>11</w:t>
            </w:r>
            <w:r w:rsidR="00D7157D">
              <w:t>.</w:t>
            </w:r>
            <w:r w:rsidRPr="00295986">
              <w:t>0046</w:t>
            </w:r>
          </w:p>
        </w:tc>
        <w:tc>
          <w:tcPr>
            <w:tcW w:w="966" w:type="pct"/>
            <w:tcBorders>
              <w:top w:val="single" w:sz="4" w:space="0" w:color="auto"/>
              <w:bottom w:val="single" w:sz="4" w:space="0" w:color="auto"/>
            </w:tcBorders>
            <w:vAlign w:val="bottom"/>
          </w:tcPr>
          <w:p w14:paraId="2CA87AE5" w14:textId="77777777" w:rsidR="006902CC" w:rsidRPr="00C971C6" w:rsidRDefault="006902CC" w:rsidP="006902CC">
            <w:pPr>
              <w:pStyle w:val="Tabletext"/>
              <w:rPr>
                <w:snapToGrid w:val="0"/>
              </w:rPr>
            </w:pPr>
            <w:r w:rsidRPr="00295986">
              <w:t>0</w:t>
            </w:r>
            <w:r w:rsidR="00D7157D">
              <w:t>.</w:t>
            </w:r>
            <w:r w:rsidRPr="00295986">
              <w:t>4763</w:t>
            </w:r>
          </w:p>
        </w:tc>
        <w:tc>
          <w:tcPr>
            <w:tcW w:w="966" w:type="pct"/>
            <w:tcBorders>
              <w:top w:val="single" w:sz="4" w:space="0" w:color="auto"/>
              <w:bottom w:val="single" w:sz="4" w:space="0" w:color="auto"/>
            </w:tcBorders>
            <w:vAlign w:val="bottom"/>
          </w:tcPr>
          <w:p w14:paraId="567F722A" w14:textId="77777777" w:rsidR="006902CC" w:rsidRPr="00C971C6" w:rsidRDefault="006902CC" w:rsidP="006902CC">
            <w:pPr>
              <w:pStyle w:val="Tabletext"/>
              <w:rPr>
                <w:snapToGrid w:val="0"/>
              </w:rPr>
            </w:pPr>
            <w:r w:rsidRPr="00295986">
              <w:t>12</w:t>
            </w:r>
            <w:r w:rsidR="00D7157D">
              <w:t>.</w:t>
            </w:r>
            <w:r w:rsidRPr="00295986">
              <w:t>1466</w:t>
            </w:r>
          </w:p>
        </w:tc>
        <w:tc>
          <w:tcPr>
            <w:tcW w:w="966" w:type="pct"/>
            <w:tcBorders>
              <w:top w:val="single" w:sz="4" w:space="0" w:color="auto"/>
              <w:bottom w:val="single" w:sz="4" w:space="0" w:color="auto"/>
            </w:tcBorders>
            <w:vAlign w:val="bottom"/>
          </w:tcPr>
          <w:p w14:paraId="724BA054" w14:textId="77777777" w:rsidR="006902CC" w:rsidRPr="00C971C6" w:rsidRDefault="006902CC" w:rsidP="006902CC">
            <w:pPr>
              <w:pStyle w:val="Tabletext"/>
              <w:rPr>
                <w:snapToGrid w:val="0"/>
              </w:rPr>
            </w:pPr>
            <w:r w:rsidRPr="00295986">
              <w:t>0</w:t>
            </w:r>
            <w:r w:rsidR="00D7157D">
              <w:t>.</w:t>
            </w:r>
            <w:r w:rsidRPr="00295986">
              <w:t>1208</w:t>
            </w:r>
          </w:p>
        </w:tc>
      </w:tr>
      <w:tr w:rsidR="006902CC" w:rsidRPr="009E2595" w14:paraId="08E0FDC6" w14:textId="77777777" w:rsidTr="006902CC">
        <w:trPr>
          <w:cantSplit/>
        </w:trPr>
        <w:tc>
          <w:tcPr>
            <w:tcW w:w="1136" w:type="pct"/>
            <w:tcBorders>
              <w:top w:val="single" w:sz="4" w:space="0" w:color="auto"/>
              <w:bottom w:val="single" w:sz="4" w:space="0" w:color="auto"/>
            </w:tcBorders>
          </w:tcPr>
          <w:p w14:paraId="2FB77F5B" w14:textId="77777777" w:rsidR="006902CC" w:rsidRPr="00616B26" w:rsidRDefault="006902CC" w:rsidP="006902CC">
            <w:pPr>
              <w:pStyle w:val="Tabletext"/>
              <w:rPr>
                <w:snapToGrid w:val="0"/>
              </w:rPr>
            </w:pPr>
            <w:r w:rsidRPr="00616B26">
              <w:rPr>
                <w:snapToGrid w:val="0"/>
              </w:rPr>
              <w:t>76</w:t>
            </w:r>
          </w:p>
        </w:tc>
        <w:tc>
          <w:tcPr>
            <w:tcW w:w="966" w:type="pct"/>
            <w:tcBorders>
              <w:top w:val="single" w:sz="4" w:space="0" w:color="auto"/>
              <w:bottom w:val="single" w:sz="4" w:space="0" w:color="auto"/>
            </w:tcBorders>
            <w:vAlign w:val="bottom"/>
          </w:tcPr>
          <w:p w14:paraId="2D9D9DBA" w14:textId="77777777" w:rsidR="006902CC" w:rsidRPr="00C971C6" w:rsidRDefault="006902CC" w:rsidP="006902CC">
            <w:pPr>
              <w:pStyle w:val="Tabletext"/>
              <w:rPr>
                <w:snapToGrid w:val="0"/>
              </w:rPr>
            </w:pPr>
            <w:r w:rsidRPr="00295986">
              <w:t>10</w:t>
            </w:r>
            <w:r w:rsidR="00D7157D">
              <w:t>.</w:t>
            </w:r>
            <w:r w:rsidRPr="00295986">
              <w:t>4897</w:t>
            </w:r>
          </w:p>
        </w:tc>
        <w:tc>
          <w:tcPr>
            <w:tcW w:w="966" w:type="pct"/>
            <w:tcBorders>
              <w:top w:val="single" w:sz="4" w:space="0" w:color="auto"/>
              <w:bottom w:val="single" w:sz="4" w:space="0" w:color="auto"/>
            </w:tcBorders>
            <w:vAlign w:val="bottom"/>
          </w:tcPr>
          <w:p w14:paraId="12B8AFFB" w14:textId="77777777" w:rsidR="006902CC" w:rsidRPr="00C971C6" w:rsidRDefault="006902CC" w:rsidP="006902CC">
            <w:pPr>
              <w:pStyle w:val="Tabletext"/>
              <w:rPr>
                <w:snapToGrid w:val="0"/>
              </w:rPr>
            </w:pPr>
            <w:r w:rsidRPr="00295986">
              <w:t>0</w:t>
            </w:r>
            <w:r w:rsidR="00D7157D">
              <w:t>.</w:t>
            </w:r>
            <w:r w:rsidRPr="00295986">
              <w:t>4810</w:t>
            </w:r>
          </w:p>
        </w:tc>
        <w:tc>
          <w:tcPr>
            <w:tcW w:w="966" w:type="pct"/>
            <w:tcBorders>
              <w:top w:val="single" w:sz="4" w:space="0" w:color="auto"/>
              <w:bottom w:val="single" w:sz="4" w:space="0" w:color="auto"/>
            </w:tcBorders>
            <w:vAlign w:val="bottom"/>
          </w:tcPr>
          <w:p w14:paraId="5243E7A1" w14:textId="77777777" w:rsidR="006902CC" w:rsidRPr="00C971C6" w:rsidRDefault="006902CC" w:rsidP="006902CC">
            <w:pPr>
              <w:pStyle w:val="Tabletext"/>
              <w:rPr>
                <w:snapToGrid w:val="0"/>
              </w:rPr>
            </w:pPr>
            <w:r w:rsidRPr="00295986">
              <w:t>11</w:t>
            </w:r>
            <w:r w:rsidR="00D7157D">
              <w:t>.</w:t>
            </w:r>
            <w:r w:rsidRPr="00295986">
              <w:t>6345</w:t>
            </w:r>
          </w:p>
        </w:tc>
        <w:tc>
          <w:tcPr>
            <w:tcW w:w="966" w:type="pct"/>
            <w:tcBorders>
              <w:top w:val="single" w:sz="4" w:space="0" w:color="auto"/>
              <w:bottom w:val="single" w:sz="4" w:space="0" w:color="auto"/>
            </w:tcBorders>
            <w:vAlign w:val="bottom"/>
          </w:tcPr>
          <w:p w14:paraId="1219F537" w14:textId="77777777" w:rsidR="006902CC" w:rsidRPr="00C971C6" w:rsidRDefault="006902CC" w:rsidP="006902CC">
            <w:pPr>
              <w:pStyle w:val="Tabletext"/>
              <w:rPr>
                <w:snapToGrid w:val="0"/>
              </w:rPr>
            </w:pPr>
            <w:r w:rsidRPr="00295986">
              <w:t>0</w:t>
            </w:r>
            <w:r w:rsidR="00D7157D">
              <w:t>.</w:t>
            </w:r>
            <w:r w:rsidRPr="00295986">
              <w:t>1218</w:t>
            </w:r>
          </w:p>
        </w:tc>
      </w:tr>
      <w:tr w:rsidR="006902CC" w:rsidRPr="009E2595" w14:paraId="1AD01CFF" w14:textId="77777777" w:rsidTr="006902CC">
        <w:trPr>
          <w:cantSplit/>
        </w:trPr>
        <w:tc>
          <w:tcPr>
            <w:tcW w:w="1136" w:type="pct"/>
            <w:tcBorders>
              <w:top w:val="single" w:sz="4" w:space="0" w:color="auto"/>
              <w:bottom w:val="single" w:sz="4" w:space="0" w:color="auto"/>
            </w:tcBorders>
          </w:tcPr>
          <w:p w14:paraId="3A7450A6" w14:textId="77777777" w:rsidR="006902CC" w:rsidRPr="00616B26" w:rsidRDefault="006902CC" w:rsidP="006902CC">
            <w:pPr>
              <w:pStyle w:val="Tabletext"/>
              <w:rPr>
                <w:snapToGrid w:val="0"/>
              </w:rPr>
            </w:pPr>
            <w:r w:rsidRPr="00616B26">
              <w:rPr>
                <w:snapToGrid w:val="0"/>
              </w:rPr>
              <w:t>77</w:t>
            </w:r>
          </w:p>
        </w:tc>
        <w:tc>
          <w:tcPr>
            <w:tcW w:w="966" w:type="pct"/>
            <w:tcBorders>
              <w:top w:val="single" w:sz="4" w:space="0" w:color="auto"/>
              <w:bottom w:val="single" w:sz="4" w:space="0" w:color="auto"/>
            </w:tcBorders>
            <w:vAlign w:val="bottom"/>
          </w:tcPr>
          <w:p w14:paraId="1B46C13B" w14:textId="77777777" w:rsidR="006902CC" w:rsidRPr="00C971C6" w:rsidRDefault="006902CC" w:rsidP="006902CC">
            <w:pPr>
              <w:pStyle w:val="Tabletext"/>
              <w:rPr>
                <w:snapToGrid w:val="0"/>
              </w:rPr>
            </w:pPr>
            <w:r w:rsidRPr="00295986">
              <w:t>9</w:t>
            </w:r>
            <w:r w:rsidR="00D7157D">
              <w:t>.</w:t>
            </w:r>
            <w:r w:rsidRPr="00295986">
              <w:t>9729</w:t>
            </w:r>
          </w:p>
        </w:tc>
        <w:tc>
          <w:tcPr>
            <w:tcW w:w="966" w:type="pct"/>
            <w:tcBorders>
              <w:top w:val="single" w:sz="4" w:space="0" w:color="auto"/>
              <w:bottom w:val="single" w:sz="4" w:space="0" w:color="auto"/>
            </w:tcBorders>
            <w:vAlign w:val="bottom"/>
          </w:tcPr>
          <w:p w14:paraId="046FAE82" w14:textId="77777777" w:rsidR="006902CC" w:rsidRPr="00C971C6" w:rsidRDefault="006902CC" w:rsidP="006902CC">
            <w:pPr>
              <w:pStyle w:val="Tabletext"/>
              <w:rPr>
                <w:snapToGrid w:val="0"/>
              </w:rPr>
            </w:pPr>
            <w:r w:rsidRPr="00295986">
              <w:t>0</w:t>
            </w:r>
            <w:r w:rsidR="00D7157D">
              <w:t>.</w:t>
            </w:r>
            <w:r w:rsidRPr="00295986">
              <w:t>4847</w:t>
            </w:r>
          </w:p>
        </w:tc>
        <w:tc>
          <w:tcPr>
            <w:tcW w:w="966" w:type="pct"/>
            <w:tcBorders>
              <w:top w:val="single" w:sz="4" w:space="0" w:color="auto"/>
              <w:bottom w:val="single" w:sz="4" w:space="0" w:color="auto"/>
            </w:tcBorders>
            <w:vAlign w:val="bottom"/>
          </w:tcPr>
          <w:p w14:paraId="4B865BEF" w14:textId="77777777" w:rsidR="006902CC" w:rsidRPr="00C971C6" w:rsidRDefault="006902CC" w:rsidP="006902CC">
            <w:pPr>
              <w:pStyle w:val="Tabletext"/>
              <w:rPr>
                <w:snapToGrid w:val="0"/>
              </w:rPr>
            </w:pPr>
            <w:r w:rsidRPr="00295986">
              <w:t>11</w:t>
            </w:r>
            <w:r w:rsidR="00D7157D">
              <w:t>.</w:t>
            </w:r>
            <w:r w:rsidRPr="00295986">
              <w:t>1157</w:t>
            </w:r>
          </w:p>
        </w:tc>
        <w:tc>
          <w:tcPr>
            <w:tcW w:w="966" w:type="pct"/>
            <w:tcBorders>
              <w:top w:val="single" w:sz="4" w:space="0" w:color="auto"/>
              <w:bottom w:val="single" w:sz="4" w:space="0" w:color="auto"/>
            </w:tcBorders>
            <w:vAlign w:val="bottom"/>
          </w:tcPr>
          <w:p w14:paraId="7C81CE31" w14:textId="77777777" w:rsidR="006902CC" w:rsidRPr="00C971C6" w:rsidRDefault="006902CC" w:rsidP="006902CC">
            <w:pPr>
              <w:pStyle w:val="Tabletext"/>
              <w:rPr>
                <w:snapToGrid w:val="0"/>
              </w:rPr>
            </w:pPr>
            <w:r w:rsidRPr="00295986">
              <w:t>0</w:t>
            </w:r>
            <w:r w:rsidR="00D7157D">
              <w:t>.</w:t>
            </w:r>
            <w:r w:rsidRPr="00295986">
              <w:t>1227</w:t>
            </w:r>
          </w:p>
        </w:tc>
      </w:tr>
      <w:tr w:rsidR="006902CC" w:rsidRPr="009E2595" w14:paraId="7EA6F347" w14:textId="77777777" w:rsidTr="006902CC">
        <w:trPr>
          <w:cantSplit/>
        </w:trPr>
        <w:tc>
          <w:tcPr>
            <w:tcW w:w="1136" w:type="pct"/>
            <w:tcBorders>
              <w:top w:val="single" w:sz="4" w:space="0" w:color="auto"/>
              <w:bottom w:val="single" w:sz="4" w:space="0" w:color="auto"/>
            </w:tcBorders>
          </w:tcPr>
          <w:p w14:paraId="3CF52B65" w14:textId="77777777" w:rsidR="006902CC" w:rsidRPr="00616B26" w:rsidRDefault="006902CC" w:rsidP="006902CC">
            <w:pPr>
              <w:pStyle w:val="Tabletext"/>
              <w:rPr>
                <w:snapToGrid w:val="0"/>
              </w:rPr>
            </w:pPr>
            <w:r w:rsidRPr="00616B26">
              <w:rPr>
                <w:snapToGrid w:val="0"/>
              </w:rPr>
              <w:t>78</w:t>
            </w:r>
          </w:p>
        </w:tc>
        <w:tc>
          <w:tcPr>
            <w:tcW w:w="966" w:type="pct"/>
            <w:tcBorders>
              <w:top w:val="single" w:sz="4" w:space="0" w:color="auto"/>
              <w:bottom w:val="single" w:sz="4" w:space="0" w:color="auto"/>
            </w:tcBorders>
            <w:vAlign w:val="bottom"/>
          </w:tcPr>
          <w:p w14:paraId="248E837B" w14:textId="77777777" w:rsidR="006902CC" w:rsidRPr="00C971C6" w:rsidRDefault="006902CC" w:rsidP="006902CC">
            <w:pPr>
              <w:pStyle w:val="Tabletext"/>
              <w:rPr>
                <w:snapToGrid w:val="0"/>
              </w:rPr>
            </w:pPr>
            <w:r w:rsidRPr="00295986">
              <w:t>9</w:t>
            </w:r>
            <w:r w:rsidR="00D7157D">
              <w:t>.</w:t>
            </w:r>
            <w:r w:rsidRPr="00295986">
              <w:t>4561</w:t>
            </w:r>
          </w:p>
        </w:tc>
        <w:tc>
          <w:tcPr>
            <w:tcW w:w="966" w:type="pct"/>
            <w:tcBorders>
              <w:top w:val="single" w:sz="4" w:space="0" w:color="auto"/>
              <w:bottom w:val="single" w:sz="4" w:space="0" w:color="auto"/>
            </w:tcBorders>
            <w:vAlign w:val="bottom"/>
          </w:tcPr>
          <w:p w14:paraId="0A56CB98" w14:textId="77777777" w:rsidR="006902CC" w:rsidRPr="00C971C6" w:rsidRDefault="006902CC" w:rsidP="006902CC">
            <w:pPr>
              <w:pStyle w:val="Tabletext"/>
              <w:rPr>
                <w:snapToGrid w:val="0"/>
              </w:rPr>
            </w:pPr>
            <w:r w:rsidRPr="00295986">
              <w:t>0</w:t>
            </w:r>
            <w:r w:rsidR="00D7157D">
              <w:t>.</w:t>
            </w:r>
            <w:r w:rsidRPr="00295986">
              <w:t>4874</w:t>
            </w:r>
          </w:p>
        </w:tc>
        <w:tc>
          <w:tcPr>
            <w:tcW w:w="966" w:type="pct"/>
            <w:tcBorders>
              <w:top w:val="single" w:sz="4" w:space="0" w:color="auto"/>
              <w:bottom w:val="single" w:sz="4" w:space="0" w:color="auto"/>
            </w:tcBorders>
            <w:vAlign w:val="bottom"/>
          </w:tcPr>
          <w:p w14:paraId="3ECD4BC1" w14:textId="77777777" w:rsidR="006902CC" w:rsidRPr="00C971C6" w:rsidRDefault="006902CC" w:rsidP="006902CC">
            <w:pPr>
              <w:pStyle w:val="Tabletext"/>
              <w:rPr>
                <w:snapToGrid w:val="0"/>
              </w:rPr>
            </w:pPr>
            <w:r w:rsidRPr="00295986">
              <w:t>10</w:t>
            </w:r>
            <w:r w:rsidR="00D7157D">
              <w:t>.</w:t>
            </w:r>
            <w:r w:rsidRPr="00295986">
              <w:t>5924</w:t>
            </w:r>
          </w:p>
        </w:tc>
        <w:tc>
          <w:tcPr>
            <w:tcW w:w="966" w:type="pct"/>
            <w:tcBorders>
              <w:top w:val="single" w:sz="4" w:space="0" w:color="auto"/>
              <w:bottom w:val="single" w:sz="4" w:space="0" w:color="auto"/>
            </w:tcBorders>
            <w:vAlign w:val="bottom"/>
          </w:tcPr>
          <w:p w14:paraId="64DFF42B" w14:textId="77777777" w:rsidR="006902CC" w:rsidRPr="00C971C6" w:rsidRDefault="006902CC" w:rsidP="006902CC">
            <w:pPr>
              <w:pStyle w:val="Tabletext"/>
              <w:rPr>
                <w:snapToGrid w:val="0"/>
              </w:rPr>
            </w:pPr>
            <w:r w:rsidRPr="00295986">
              <w:t>0</w:t>
            </w:r>
            <w:r w:rsidR="00D7157D">
              <w:t>.</w:t>
            </w:r>
            <w:r w:rsidRPr="00295986">
              <w:t>1234</w:t>
            </w:r>
          </w:p>
        </w:tc>
      </w:tr>
      <w:tr w:rsidR="006902CC" w:rsidRPr="009E2595" w14:paraId="28C16A04" w14:textId="77777777" w:rsidTr="006902CC">
        <w:trPr>
          <w:cantSplit/>
        </w:trPr>
        <w:tc>
          <w:tcPr>
            <w:tcW w:w="1136" w:type="pct"/>
            <w:tcBorders>
              <w:top w:val="single" w:sz="4" w:space="0" w:color="auto"/>
              <w:bottom w:val="single" w:sz="4" w:space="0" w:color="auto"/>
            </w:tcBorders>
          </w:tcPr>
          <w:p w14:paraId="65CFECF1" w14:textId="77777777" w:rsidR="006902CC" w:rsidRPr="00616B26" w:rsidRDefault="006902CC" w:rsidP="006902CC">
            <w:pPr>
              <w:pStyle w:val="Tabletext"/>
              <w:rPr>
                <w:snapToGrid w:val="0"/>
              </w:rPr>
            </w:pPr>
            <w:r w:rsidRPr="00616B26">
              <w:rPr>
                <w:snapToGrid w:val="0"/>
              </w:rPr>
              <w:t>79</w:t>
            </w:r>
          </w:p>
        </w:tc>
        <w:tc>
          <w:tcPr>
            <w:tcW w:w="966" w:type="pct"/>
            <w:tcBorders>
              <w:top w:val="single" w:sz="4" w:space="0" w:color="auto"/>
              <w:bottom w:val="single" w:sz="4" w:space="0" w:color="auto"/>
            </w:tcBorders>
            <w:vAlign w:val="bottom"/>
          </w:tcPr>
          <w:p w14:paraId="74C1C705" w14:textId="77777777" w:rsidR="006902CC" w:rsidRPr="00C971C6" w:rsidRDefault="006902CC" w:rsidP="006902CC">
            <w:pPr>
              <w:pStyle w:val="Tabletext"/>
              <w:rPr>
                <w:snapToGrid w:val="0"/>
              </w:rPr>
            </w:pPr>
            <w:r w:rsidRPr="00295986">
              <w:t>8</w:t>
            </w:r>
            <w:r w:rsidR="00D7157D">
              <w:t>.</w:t>
            </w:r>
            <w:r w:rsidRPr="00295986">
              <w:t>9433</w:t>
            </w:r>
          </w:p>
        </w:tc>
        <w:tc>
          <w:tcPr>
            <w:tcW w:w="966" w:type="pct"/>
            <w:tcBorders>
              <w:top w:val="single" w:sz="4" w:space="0" w:color="auto"/>
              <w:bottom w:val="single" w:sz="4" w:space="0" w:color="auto"/>
            </w:tcBorders>
            <w:vAlign w:val="bottom"/>
          </w:tcPr>
          <w:p w14:paraId="48FCF31E" w14:textId="77777777" w:rsidR="006902CC" w:rsidRPr="00C971C6" w:rsidRDefault="006902CC" w:rsidP="006902CC">
            <w:pPr>
              <w:pStyle w:val="Tabletext"/>
              <w:rPr>
                <w:snapToGrid w:val="0"/>
              </w:rPr>
            </w:pPr>
            <w:r w:rsidRPr="00295986">
              <w:t>0</w:t>
            </w:r>
            <w:r w:rsidR="00D7157D">
              <w:t>.</w:t>
            </w:r>
            <w:r w:rsidRPr="00295986">
              <w:t>4887</w:t>
            </w:r>
          </w:p>
        </w:tc>
        <w:tc>
          <w:tcPr>
            <w:tcW w:w="966" w:type="pct"/>
            <w:tcBorders>
              <w:top w:val="single" w:sz="4" w:space="0" w:color="auto"/>
              <w:bottom w:val="single" w:sz="4" w:space="0" w:color="auto"/>
            </w:tcBorders>
            <w:vAlign w:val="bottom"/>
          </w:tcPr>
          <w:p w14:paraId="2B0799BF" w14:textId="77777777" w:rsidR="006902CC" w:rsidRPr="00C971C6" w:rsidRDefault="006902CC" w:rsidP="006902CC">
            <w:pPr>
              <w:pStyle w:val="Tabletext"/>
              <w:rPr>
                <w:snapToGrid w:val="0"/>
              </w:rPr>
            </w:pPr>
            <w:r w:rsidRPr="00295986">
              <w:t>10</w:t>
            </w:r>
            <w:r w:rsidR="00D7157D">
              <w:t>.</w:t>
            </w:r>
            <w:r w:rsidRPr="00295986">
              <w:t>0682</w:t>
            </w:r>
          </w:p>
        </w:tc>
        <w:tc>
          <w:tcPr>
            <w:tcW w:w="966" w:type="pct"/>
            <w:tcBorders>
              <w:top w:val="single" w:sz="4" w:space="0" w:color="auto"/>
              <w:bottom w:val="single" w:sz="4" w:space="0" w:color="auto"/>
            </w:tcBorders>
            <w:vAlign w:val="bottom"/>
          </w:tcPr>
          <w:p w14:paraId="5DA1F1AD" w14:textId="77777777" w:rsidR="006902CC" w:rsidRPr="00C971C6" w:rsidRDefault="006902CC" w:rsidP="006902CC">
            <w:pPr>
              <w:pStyle w:val="Tabletext"/>
              <w:rPr>
                <w:snapToGrid w:val="0"/>
              </w:rPr>
            </w:pPr>
            <w:r w:rsidRPr="00295986">
              <w:t>0</w:t>
            </w:r>
            <w:r w:rsidR="00D7157D">
              <w:t>.</w:t>
            </w:r>
            <w:r w:rsidRPr="00295986">
              <w:t>1238</w:t>
            </w:r>
          </w:p>
        </w:tc>
      </w:tr>
      <w:tr w:rsidR="006902CC" w:rsidRPr="009E2595" w14:paraId="3B4AE276" w14:textId="77777777" w:rsidTr="006902CC">
        <w:trPr>
          <w:cantSplit/>
        </w:trPr>
        <w:tc>
          <w:tcPr>
            <w:tcW w:w="1136" w:type="pct"/>
            <w:tcBorders>
              <w:top w:val="single" w:sz="4" w:space="0" w:color="auto"/>
              <w:bottom w:val="single" w:sz="4" w:space="0" w:color="auto"/>
            </w:tcBorders>
          </w:tcPr>
          <w:p w14:paraId="1F0CF213" w14:textId="77777777" w:rsidR="006902CC" w:rsidRPr="00616B26" w:rsidRDefault="006902CC" w:rsidP="006902CC">
            <w:pPr>
              <w:pStyle w:val="Tabletext"/>
              <w:rPr>
                <w:snapToGrid w:val="0"/>
              </w:rPr>
            </w:pPr>
            <w:r w:rsidRPr="00616B26">
              <w:rPr>
                <w:snapToGrid w:val="0"/>
              </w:rPr>
              <w:t>80</w:t>
            </w:r>
          </w:p>
        </w:tc>
        <w:tc>
          <w:tcPr>
            <w:tcW w:w="966" w:type="pct"/>
            <w:tcBorders>
              <w:top w:val="single" w:sz="4" w:space="0" w:color="auto"/>
              <w:bottom w:val="single" w:sz="4" w:space="0" w:color="auto"/>
            </w:tcBorders>
            <w:vAlign w:val="bottom"/>
          </w:tcPr>
          <w:p w14:paraId="4EAF757A" w14:textId="77777777" w:rsidR="006902CC" w:rsidRPr="00C971C6" w:rsidRDefault="006902CC" w:rsidP="006902CC">
            <w:pPr>
              <w:pStyle w:val="Tabletext"/>
              <w:rPr>
                <w:snapToGrid w:val="0"/>
              </w:rPr>
            </w:pPr>
            <w:r w:rsidRPr="00295986">
              <w:t>8</w:t>
            </w:r>
            <w:r w:rsidR="00D7157D">
              <w:t>.</w:t>
            </w:r>
            <w:r w:rsidRPr="00295986">
              <w:t>4372</w:t>
            </w:r>
          </w:p>
        </w:tc>
        <w:tc>
          <w:tcPr>
            <w:tcW w:w="966" w:type="pct"/>
            <w:tcBorders>
              <w:top w:val="single" w:sz="4" w:space="0" w:color="auto"/>
              <w:bottom w:val="single" w:sz="4" w:space="0" w:color="auto"/>
            </w:tcBorders>
            <w:vAlign w:val="bottom"/>
          </w:tcPr>
          <w:p w14:paraId="3C3ABA76" w14:textId="77777777" w:rsidR="006902CC" w:rsidRPr="00C971C6" w:rsidRDefault="006902CC" w:rsidP="006902CC">
            <w:pPr>
              <w:pStyle w:val="Tabletext"/>
              <w:rPr>
                <w:snapToGrid w:val="0"/>
              </w:rPr>
            </w:pPr>
            <w:r w:rsidRPr="00295986">
              <w:t>0</w:t>
            </w:r>
            <w:r w:rsidR="00D7157D">
              <w:t>.</w:t>
            </w:r>
            <w:r w:rsidRPr="00295986">
              <w:t>4886</w:t>
            </w:r>
          </w:p>
        </w:tc>
        <w:tc>
          <w:tcPr>
            <w:tcW w:w="966" w:type="pct"/>
            <w:tcBorders>
              <w:top w:val="single" w:sz="4" w:space="0" w:color="auto"/>
              <w:bottom w:val="single" w:sz="4" w:space="0" w:color="auto"/>
            </w:tcBorders>
            <w:vAlign w:val="bottom"/>
          </w:tcPr>
          <w:p w14:paraId="34102559" w14:textId="77777777" w:rsidR="006902CC" w:rsidRPr="00C971C6" w:rsidRDefault="006902CC" w:rsidP="006902CC">
            <w:pPr>
              <w:pStyle w:val="Tabletext"/>
              <w:rPr>
                <w:snapToGrid w:val="0"/>
              </w:rPr>
            </w:pPr>
            <w:r w:rsidRPr="00295986">
              <w:t>9</w:t>
            </w:r>
            <w:r w:rsidR="00D7157D">
              <w:t>.</w:t>
            </w:r>
            <w:r w:rsidRPr="00295986">
              <w:t>5455</w:t>
            </w:r>
          </w:p>
        </w:tc>
        <w:tc>
          <w:tcPr>
            <w:tcW w:w="966" w:type="pct"/>
            <w:tcBorders>
              <w:top w:val="single" w:sz="4" w:space="0" w:color="auto"/>
              <w:bottom w:val="single" w:sz="4" w:space="0" w:color="auto"/>
            </w:tcBorders>
            <w:vAlign w:val="bottom"/>
          </w:tcPr>
          <w:p w14:paraId="6A75910F" w14:textId="77777777" w:rsidR="006902CC" w:rsidRPr="00C971C6" w:rsidRDefault="006902CC" w:rsidP="006902CC">
            <w:pPr>
              <w:pStyle w:val="Tabletext"/>
              <w:rPr>
                <w:snapToGrid w:val="0"/>
              </w:rPr>
            </w:pPr>
            <w:r w:rsidRPr="00295986">
              <w:t>0</w:t>
            </w:r>
            <w:r w:rsidR="00D7157D">
              <w:t>.</w:t>
            </w:r>
            <w:r w:rsidRPr="00295986">
              <w:t>1239</w:t>
            </w:r>
          </w:p>
        </w:tc>
      </w:tr>
      <w:tr w:rsidR="006902CC" w:rsidRPr="009E2595" w14:paraId="7A28BF8B" w14:textId="77777777" w:rsidTr="006902CC">
        <w:trPr>
          <w:cantSplit/>
        </w:trPr>
        <w:tc>
          <w:tcPr>
            <w:tcW w:w="1136" w:type="pct"/>
            <w:tcBorders>
              <w:top w:val="single" w:sz="4" w:space="0" w:color="auto"/>
              <w:bottom w:val="single" w:sz="4" w:space="0" w:color="auto"/>
            </w:tcBorders>
          </w:tcPr>
          <w:p w14:paraId="42DEA5EE" w14:textId="77777777" w:rsidR="006902CC" w:rsidRPr="00616B26" w:rsidRDefault="006902CC" w:rsidP="006902CC">
            <w:pPr>
              <w:pStyle w:val="Tabletext"/>
              <w:rPr>
                <w:snapToGrid w:val="0"/>
              </w:rPr>
            </w:pPr>
            <w:r w:rsidRPr="00616B26">
              <w:rPr>
                <w:snapToGrid w:val="0"/>
              </w:rPr>
              <w:t>81</w:t>
            </w:r>
          </w:p>
        </w:tc>
        <w:tc>
          <w:tcPr>
            <w:tcW w:w="966" w:type="pct"/>
            <w:tcBorders>
              <w:top w:val="single" w:sz="4" w:space="0" w:color="auto"/>
              <w:bottom w:val="single" w:sz="4" w:space="0" w:color="auto"/>
            </w:tcBorders>
            <w:vAlign w:val="bottom"/>
          </w:tcPr>
          <w:p w14:paraId="729065DD" w14:textId="77777777" w:rsidR="006902CC" w:rsidRPr="00C971C6" w:rsidRDefault="006902CC" w:rsidP="006902CC">
            <w:pPr>
              <w:pStyle w:val="Tabletext"/>
              <w:rPr>
                <w:snapToGrid w:val="0"/>
              </w:rPr>
            </w:pPr>
            <w:r w:rsidRPr="00295986">
              <w:t>7</w:t>
            </w:r>
            <w:r w:rsidR="00D7157D">
              <w:t>.</w:t>
            </w:r>
            <w:r w:rsidRPr="00295986">
              <w:t>9410</w:t>
            </w:r>
          </w:p>
        </w:tc>
        <w:tc>
          <w:tcPr>
            <w:tcW w:w="966" w:type="pct"/>
            <w:tcBorders>
              <w:top w:val="single" w:sz="4" w:space="0" w:color="auto"/>
              <w:bottom w:val="single" w:sz="4" w:space="0" w:color="auto"/>
            </w:tcBorders>
            <w:vAlign w:val="bottom"/>
          </w:tcPr>
          <w:p w14:paraId="28A0B74A" w14:textId="77777777" w:rsidR="006902CC" w:rsidRPr="00C971C6" w:rsidRDefault="006902CC" w:rsidP="006902CC">
            <w:pPr>
              <w:pStyle w:val="Tabletext"/>
              <w:rPr>
                <w:snapToGrid w:val="0"/>
              </w:rPr>
            </w:pPr>
            <w:r w:rsidRPr="00295986">
              <w:t>0</w:t>
            </w:r>
            <w:r w:rsidR="00D7157D">
              <w:t>.</w:t>
            </w:r>
            <w:r w:rsidRPr="00295986">
              <w:t>4868</w:t>
            </w:r>
          </w:p>
        </w:tc>
        <w:tc>
          <w:tcPr>
            <w:tcW w:w="966" w:type="pct"/>
            <w:tcBorders>
              <w:top w:val="single" w:sz="4" w:space="0" w:color="auto"/>
              <w:bottom w:val="single" w:sz="4" w:space="0" w:color="auto"/>
            </w:tcBorders>
            <w:vAlign w:val="bottom"/>
          </w:tcPr>
          <w:p w14:paraId="38A449DB" w14:textId="77777777" w:rsidR="006902CC" w:rsidRPr="00C971C6" w:rsidRDefault="006902CC" w:rsidP="006902CC">
            <w:pPr>
              <w:pStyle w:val="Tabletext"/>
              <w:rPr>
                <w:snapToGrid w:val="0"/>
              </w:rPr>
            </w:pPr>
            <w:r w:rsidRPr="00295986">
              <w:t>9</w:t>
            </w:r>
            <w:r w:rsidR="00D7157D">
              <w:t>.</w:t>
            </w:r>
            <w:r w:rsidRPr="00295986">
              <w:t>0272</w:t>
            </w:r>
          </w:p>
        </w:tc>
        <w:tc>
          <w:tcPr>
            <w:tcW w:w="966" w:type="pct"/>
            <w:tcBorders>
              <w:top w:val="single" w:sz="4" w:space="0" w:color="auto"/>
              <w:bottom w:val="single" w:sz="4" w:space="0" w:color="auto"/>
            </w:tcBorders>
            <w:vAlign w:val="bottom"/>
          </w:tcPr>
          <w:p w14:paraId="11B22456" w14:textId="77777777" w:rsidR="006902CC" w:rsidRPr="00C971C6" w:rsidRDefault="006902CC" w:rsidP="006902CC">
            <w:pPr>
              <w:pStyle w:val="Tabletext"/>
              <w:rPr>
                <w:snapToGrid w:val="0"/>
              </w:rPr>
            </w:pPr>
            <w:r w:rsidRPr="00295986">
              <w:t>0</w:t>
            </w:r>
            <w:r w:rsidR="00D7157D">
              <w:t>.</w:t>
            </w:r>
            <w:r w:rsidRPr="00295986">
              <w:t>1237</w:t>
            </w:r>
          </w:p>
        </w:tc>
      </w:tr>
      <w:tr w:rsidR="006902CC" w:rsidRPr="009E2595" w14:paraId="7B2EB2EE" w14:textId="77777777" w:rsidTr="006902CC">
        <w:trPr>
          <w:cantSplit/>
        </w:trPr>
        <w:tc>
          <w:tcPr>
            <w:tcW w:w="1136" w:type="pct"/>
            <w:tcBorders>
              <w:top w:val="single" w:sz="4" w:space="0" w:color="auto"/>
              <w:bottom w:val="single" w:sz="4" w:space="0" w:color="auto"/>
            </w:tcBorders>
          </w:tcPr>
          <w:p w14:paraId="08494291" w14:textId="77777777" w:rsidR="006902CC" w:rsidRPr="00616B26" w:rsidRDefault="006902CC" w:rsidP="006902CC">
            <w:pPr>
              <w:pStyle w:val="Tabletext"/>
              <w:rPr>
                <w:snapToGrid w:val="0"/>
              </w:rPr>
            </w:pPr>
            <w:r w:rsidRPr="00616B26">
              <w:rPr>
                <w:snapToGrid w:val="0"/>
              </w:rPr>
              <w:t>82</w:t>
            </w:r>
          </w:p>
        </w:tc>
        <w:tc>
          <w:tcPr>
            <w:tcW w:w="966" w:type="pct"/>
            <w:tcBorders>
              <w:top w:val="single" w:sz="4" w:space="0" w:color="auto"/>
              <w:bottom w:val="single" w:sz="4" w:space="0" w:color="auto"/>
            </w:tcBorders>
            <w:vAlign w:val="bottom"/>
          </w:tcPr>
          <w:p w14:paraId="7D8B6CF2" w14:textId="77777777" w:rsidR="006902CC" w:rsidRPr="00C971C6" w:rsidRDefault="006902CC" w:rsidP="006902CC">
            <w:pPr>
              <w:pStyle w:val="Tabletext"/>
              <w:rPr>
                <w:snapToGrid w:val="0"/>
              </w:rPr>
            </w:pPr>
            <w:r w:rsidRPr="00295986">
              <w:t>7</w:t>
            </w:r>
            <w:r w:rsidR="00D7157D">
              <w:t>.</w:t>
            </w:r>
            <w:r w:rsidRPr="00295986">
              <w:t>4622</w:t>
            </w:r>
          </w:p>
        </w:tc>
        <w:tc>
          <w:tcPr>
            <w:tcW w:w="966" w:type="pct"/>
            <w:tcBorders>
              <w:top w:val="single" w:sz="4" w:space="0" w:color="auto"/>
              <w:bottom w:val="single" w:sz="4" w:space="0" w:color="auto"/>
            </w:tcBorders>
            <w:vAlign w:val="bottom"/>
          </w:tcPr>
          <w:p w14:paraId="68DF6990" w14:textId="77777777" w:rsidR="006902CC" w:rsidRPr="00C971C6" w:rsidRDefault="006902CC" w:rsidP="006902CC">
            <w:pPr>
              <w:pStyle w:val="Tabletext"/>
              <w:rPr>
                <w:snapToGrid w:val="0"/>
              </w:rPr>
            </w:pPr>
            <w:r w:rsidRPr="00295986">
              <w:t>0</w:t>
            </w:r>
            <w:r w:rsidR="00D7157D">
              <w:t>.</w:t>
            </w:r>
            <w:r w:rsidRPr="00295986">
              <w:t>4830</w:t>
            </w:r>
          </w:p>
        </w:tc>
        <w:tc>
          <w:tcPr>
            <w:tcW w:w="966" w:type="pct"/>
            <w:tcBorders>
              <w:top w:val="single" w:sz="4" w:space="0" w:color="auto"/>
              <w:bottom w:val="single" w:sz="4" w:space="0" w:color="auto"/>
            </w:tcBorders>
            <w:vAlign w:val="bottom"/>
          </w:tcPr>
          <w:p w14:paraId="5DE197A5" w14:textId="77777777" w:rsidR="006902CC" w:rsidRPr="00C971C6" w:rsidRDefault="006902CC" w:rsidP="006902CC">
            <w:pPr>
              <w:pStyle w:val="Tabletext"/>
              <w:rPr>
                <w:snapToGrid w:val="0"/>
              </w:rPr>
            </w:pPr>
            <w:r w:rsidRPr="00295986">
              <w:t>8</w:t>
            </w:r>
            <w:r w:rsidR="00D7157D">
              <w:t>.</w:t>
            </w:r>
            <w:r w:rsidRPr="00295986">
              <w:t>5190</w:t>
            </w:r>
          </w:p>
        </w:tc>
        <w:tc>
          <w:tcPr>
            <w:tcW w:w="966" w:type="pct"/>
            <w:tcBorders>
              <w:top w:val="single" w:sz="4" w:space="0" w:color="auto"/>
              <w:bottom w:val="single" w:sz="4" w:space="0" w:color="auto"/>
            </w:tcBorders>
            <w:vAlign w:val="bottom"/>
          </w:tcPr>
          <w:p w14:paraId="32838915" w14:textId="77777777" w:rsidR="006902CC" w:rsidRPr="00C971C6" w:rsidRDefault="006902CC" w:rsidP="006902CC">
            <w:pPr>
              <w:pStyle w:val="Tabletext"/>
              <w:rPr>
                <w:snapToGrid w:val="0"/>
              </w:rPr>
            </w:pPr>
            <w:r w:rsidRPr="00295986">
              <w:t>0</w:t>
            </w:r>
            <w:r w:rsidR="00D7157D">
              <w:t>.</w:t>
            </w:r>
            <w:r w:rsidRPr="00295986">
              <w:t>1231</w:t>
            </w:r>
          </w:p>
        </w:tc>
      </w:tr>
      <w:tr w:rsidR="006902CC" w:rsidRPr="009E2595" w14:paraId="646613D2" w14:textId="77777777" w:rsidTr="006902CC">
        <w:trPr>
          <w:cantSplit/>
        </w:trPr>
        <w:tc>
          <w:tcPr>
            <w:tcW w:w="1136" w:type="pct"/>
            <w:tcBorders>
              <w:top w:val="single" w:sz="4" w:space="0" w:color="auto"/>
              <w:bottom w:val="single" w:sz="4" w:space="0" w:color="auto"/>
            </w:tcBorders>
          </w:tcPr>
          <w:p w14:paraId="49935F87" w14:textId="77777777" w:rsidR="006902CC" w:rsidRPr="00616B26" w:rsidRDefault="006902CC" w:rsidP="006902CC">
            <w:pPr>
              <w:pStyle w:val="Tabletext"/>
              <w:rPr>
                <w:snapToGrid w:val="0"/>
              </w:rPr>
            </w:pPr>
            <w:r w:rsidRPr="00616B26">
              <w:rPr>
                <w:snapToGrid w:val="0"/>
              </w:rPr>
              <w:t>83</w:t>
            </w:r>
          </w:p>
        </w:tc>
        <w:tc>
          <w:tcPr>
            <w:tcW w:w="966" w:type="pct"/>
            <w:tcBorders>
              <w:top w:val="single" w:sz="4" w:space="0" w:color="auto"/>
              <w:bottom w:val="single" w:sz="4" w:space="0" w:color="auto"/>
            </w:tcBorders>
            <w:vAlign w:val="bottom"/>
          </w:tcPr>
          <w:p w14:paraId="35C49CAE" w14:textId="77777777" w:rsidR="006902CC" w:rsidRPr="00C971C6" w:rsidRDefault="006902CC" w:rsidP="006902CC">
            <w:pPr>
              <w:pStyle w:val="Tabletext"/>
              <w:rPr>
                <w:snapToGrid w:val="0"/>
              </w:rPr>
            </w:pPr>
            <w:r w:rsidRPr="00295986">
              <w:t>6</w:t>
            </w:r>
            <w:r w:rsidR="00D7157D">
              <w:t>.</w:t>
            </w:r>
            <w:r w:rsidRPr="00295986">
              <w:t>9972</w:t>
            </w:r>
          </w:p>
        </w:tc>
        <w:tc>
          <w:tcPr>
            <w:tcW w:w="966" w:type="pct"/>
            <w:tcBorders>
              <w:top w:val="single" w:sz="4" w:space="0" w:color="auto"/>
              <w:bottom w:val="single" w:sz="4" w:space="0" w:color="auto"/>
            </w:tcBorders>
            <w:vAlign w:val="bottom"/>
          </w:tcPr>
          <w:p w14:paraId="52BB827F" w14:textId="77777777" w:rsidR="006902CC" w:rsidRPr="00C971C6" w:rsidRDefault="006902CC" w:rsidP="006902CC">
            <w:pPr>
              <w:pStyle w:val="Tabletext"/>
              <w:rPr>
                <w:snapToGrid w:val="0"/>
              </w:rPr>
            </w:pPr>
            <w:r w:rsidRPr="00295986">
              <w:t>0</w:t>
            </w:r>
            <w:r w:rsidR="00D7157D">
              <w:t>.</w:t>
            </w:r>
            <w:r w:rsidRPr="00295986">
              <w:t>4775</w:t>
            </w:r>
          </w:p>
        </w:tc>
        <w:tc>
          <w:tcPr>
            <w:tcW w:w="966" w:type="pct"/>
            <w:tcBorders>
              <w:top w:val="single" w:sz="4" w:space="0" w:color="auto"/>
              <w:bottom w:val="single" w:sz="4" w:space="0" w:color="auto"/>
            </w:tcBorders>
            <w:vAlign w:val="bottom"/>
          </w:tcPr>
          <w:p w14:paraId="7E8A2051" w14:textId="77777777" w:rsidR="006902CC" w:rsidRPr="00C971C6" w:rsidRDefault="006902CC" w:rsidP="006902CC">
            <w:pPr>
              <w:pStyle w:val="Tabletext"/>
              <w:rPr>
                <w:snapToGrid w:val="0"/>
              </w:rPr>
            </w:pPr>
            <w:r w:rsidRPr="00295986">
              <w:t>8</w:t>
            </w:r>
            <w:r w:rsidR="00D7157D">
              <w:t>.</w:t>
            </w:r>
            <w:r w:rsidRPr="00295986">
              <w:t>0228</w:t>
            </w:r>
          </w:p>
        </w:tc>
        <w:tc>
          <w:tcPr>
            <w:tcW w:w="966" w:type="pct"/>
            <w:tcBorders>
              <w:top w:val="single" w:sz="4" w:space="0" w:color="auto"/>
              <w:bottom w:val="single" w:sz="4" w:space="0" w:color="auto"/>
            </w:tcBorders>
            <w:vAlign w:val="bottom"/>
          </w:tcPr>
          <w:p w14:paraId="1406CFFF" w14:textId="77777777" w:rsidR="006902CC" w:rsidRPr="00C971C6" w:rsidRDefault="006902CC" w:rsidP="006902CC">
            <w:pPr>
              <w:pStyle w:val="Tabletext"/>
              <w:rPr>
                <w:snapToGrid w:val="0"/>
              </w:rPr>
            </w:pPr>
            <w:r w:rsidRPr="00295986">
              <w:t>0</w:t>
            </w:r>
            <w:r w:rsidR="00D7157D">
              <w:t>.</w:t>
            </w:r>
            <w:r w:rsidRPr="00295986">
              <w:t>1222</w:t>
            </w:r>
          </w:p>
        </w:tc>
      </w:tr>
      <w:tr w:rsidR="006902CC" w:rsidRPr="009E2595" w14:paraId="0F775CEE" w14:textId="77777777" w:rsidTr="006902CC">
        <w:trPr>
          <w:cantSplit/>
        </w:trPr>
        <w:tc>
          <w:tcPr>
            <w:tcW w:w="1136" w:type="pct"/>
            <w:tcBorders>
              <w:top w:val="single" w:sz="4" w:space="0" w:color="auto"/>
              <w:bottom w:val="single" w:sz="4" w:space="0" w:color="auto"/>
            </w:tcBorders>
          </w:tcPr>
          <w:p w14:paraId="3B13433E" w14:textId="77777777" w:rsidR="006902CC" w:rsidRPr="00616B26" w:rsidRDefault="006902CC" w:rsidP="006902CC">
            <w:pPr>
              <w:pStyle w:val="Tabletext"/>
              <w:rPr>
                <w:snapToGrid w:val="0"/>
              </w:rPr>
            </w:pPr>
            <w:r w:rsidRPr="00616B26">
              <w:rPr>
                <w:snapToGrid w:val="0"/>
              </w:rPr>
              <w:t>84</w:t>
            </w:r>
          </w:p>
        </w:tc>
        <w:tc>
          <w:tcPr>
            <w:tcW w:w="966" w:type="pct"/>
            <w:tcBorders>
              <w:top w:val="single" w:sz="4" w:space="0" w:color="auto"/>
              <w:bottom w:val="single" w:sz="4" w:space="0" w:color="auto"/>
            </w:tcBorders>
            <w:vAlign w:val="bottom"/>
          </w:tcPr>
          <w:p w14:paraId="6D078733" w14:textId="77777777" w:rsidR="006902CC" w:rsidRPr="00C971C6" w:rsidRDefault="006902CC" w:rsidP="006902CC">
            <w:pPr>
              <w:pStyle w:val="Tabletext"/>
              <w:rPr>
                <w:snapToGrid w:val="0"/>
              </w:rPr>
            </w:pPr>
            <w:r w:rsidRPr="00295986">
              <w:t>6</w:t>
            </w:r>
            <w:r w:rsidR="00D7157D">
              <w:t>.</w:t>
            </w:r>
            <w:r w:rsidRPr="00295986">
              <w:t>5488</w:t>
            </w:r>
          </w:p>
        </w:tc>
        <w:tc>
          <w:tcPr>
            <w:tcW w:w="966" w:type="pct"/>
            <w:tcBorders>
              <w:top w:val="single" w:sz="4" w:space="0" w:color="auto"/>
              <w:bottom w:val="single" w:sz="4" w:space="0" w:color="auto"/>
            </w:tcBorders>
            <w:vAlign w:val="bottom"/>
          </w:tcPr>
          <w:p w14:paraId="54DA9C06" w14:textId="77777777" w:rsidR="006902CC" w:rsidRPr="00C971C6" w:rsidRDefault="006902CC" w:rsidP="006902CC">
            <w:pPr>
              <w:pStyle w:val="Tabletext"/>
              <w:rPr>
                <w:snapToGrid w:val="0"/>
              </w:rPr>
            </w:pPr>
            <w:r w:rsidRPr="00295986">
              <w:t>0</w:t>
            </w:r>
            <w:r w:rsidR="00D7157D">
              <w:t>.</w:t>
            </w:r>
            <w:r w:rsidRPr="00295986">
              <w:t>4702</w:t>
            </w:r>
          </w:p>
        </w:tc>
        <w:tc>
          <w:tcPr>
            <w:tcW w:w="966" w:type="pct"/>
            <w:tcBorders>
              <w:top w:val="single" w:sz="4" w:space="0" w:color="auto"/>
              <w:bottom w:val="single" w:sz="4" w:space="0" w:color="auto"/>
            </w:tcBorders>
            <w:vAlign w:val="bottom"/>
          </w:tcPr>
          <w:p w14:paraId="61A06C9E" w14:textId="77777777" w:rsidR="006902CC" w:rsidRPr="00C971C6" w:rsidRDefault="006902CC" w:rsidP="006902CC">
            <w:pPr>
              <w:pStyle w:val="Tabletext"/>
              <w:rPr>
                <w:snapToGrid w:val="0"/>
              </w:rPr>
            </w:pPr>
            <w:r w:rsidRPr="00295986">
              <w:t>7</w:t>
            </w:r>
            <w:r w:rsidR="00D7157D">
              <w:t>.</w:t>
            </w:r>
            <w:r w:rsidRPr="00295986">
              <w:t>5414</w:t>
            </w:r>
          </w:p>
        </w:tc>
        <w:tc>
          <w:tcPr>
            <w:tcW w:w="966" w:type="pct"/>
            <w:tcBorders>
              <w:top w:val="single" w:sz="4" w:space="0" w:color="auto"/>
              <w:bottom w:val="single" w:sz="4" w:space="0" w:color="auto"/>
            </w:tcBorders>
            <w:vAlign w:val="bottom"/>
          </w:tcPr>
          <w:p w14:paraId="6273CC74" w14:textId="77777777" w:rsidR="006902CC" w:rsidRPr="00C971C6" w:rsidRDefault="006902CC" w:rsidP="006902CC">
            <w:pPr>
              <w:pStyle w:val="Tabletext"/>
              <w:rPr>
                <w:snapToGrid w:val="0"/>
              </w:rPr>
            </w:pPr>
            <w:r w:rsidRPr="00295986">
              <w:t>0</w:t>
            </w:r>
            <w:r w:rsidR="00D7157D">
              <w:t>.</w:t>
            </w:r>
            <w:r w:rsidRPr="00295986">
              <w:t>1208</w:t>
            </w:r>
          </w:p>
        </w:tc>
      </w:tr>
      <w:tr w:rsidR="006902CC" w:rsidRPr="009E2595" w14:paraId="1E038129" w14:textId="77777777" w:rsidTr="006902CC">
        <w:trPr>
          <w:cantSplit/>
        </w:trPr>
        <w:tc>
          <w:tcPr>
            <w:tcW w:w="1136" w:type="pct"/>
            <w:tcBorders>
              <w:top w:val="single" w:sz="4" w:space="0" w:color="auto"/>
              <w:bottom w:val="single" w:sz="4" w:space="0" w:color="auto"/>
            </w:tcBorders>
          </w:tcPr>
          <w:p w14:paraId="7134C151" w14:textId="77777777" w:rsidR="006902CC" w:rsidRPr="00616B26" w:rsidRDefault="006902CC" w:rsidP="006902CC">
            <w:pPr>
              <w:pStyle w:val="Tabletext"/>
              <w:rPr>
                <w:snapToGrid w:val="0"/>
              </w:rPr>
            </w:pPr>
            <w:r w:rsidRPr="00616B26">
              <w:rPr>
                <w:snapToGrid w:val="0"/>
              </w:rPr>
              <w:t>85</w:t>
            </w:r>
          </w:p>
        </w:tc>
        <w:tc>
          <w:tcPr>
            <w:tcW w:w="966" w:type="pct"/>
            <w:tcBorders>
              <w:top w:val="single" w:sz="4" w:space="0" w:color="auto"/>
              <w:bottom w:val="single" w:sz="4" w:space="0" w:color="auto"/>
            </w:tcBorders>
            <w:vAlign w:val="bottom"/>
          </w:tcPr>
          <w:p w14:paraId="0FE93CBC" w14:textId="77777777" w:rsidR="006902CC" w:rsidRPr="00C971C6" w:rsidRDefault="006902CC" w:rsidP="006902CC">
            <w:pPr>
              <w:pStyle w:val="Tabletext"/>
              <w:rPr>
                <w:snapToGrid w:val="0"/>
              </w:rPr>
            </w:pPr>
            <w:r w:rsidRPr="00295986">
              <w:t>6</w:t>
            </w:r>
            <w:r w:rsidR="00D7157D">
              <w:t>.</w:t>
            </w:r>
            <w:r w:rsidRPr="00295986">
              <w:t>1172</w:t>
            </w:r>
          </w:p>
        </w:tc>
        <w:tc>
          <w:tcPr>
            <w:tcW w:w="966" w:type="pct"/>
            <w:tcBorders>
              <w:top w:val="single" w:sz="4" w:space="0" w:color="auto"/>
              <w:bottom w:val="single" w:sz="4" w:space="0" w:color="auto"/>
            </w:tcBorders>
            <w:vAlign w:val="bottom"/>
          </w:tcPr>
          <w:p w14:paraId="01CBB8F7" w14:textId="77777777" w:rsidR="006902CC" w:rsidRPr="00C971C6" w:rsidRDefault="006902CC" w:rsidP="006902CC">
            <w:pPr>
              <w:pStyle w:val="Tabletext"/>
              <w:rPr>
                <w:snapToGrid w:val="0"/>
              </w:rPr>
            </w:pPr>
            <w:r w:rsidRPr="00295986">
              <w:t>0</w:t>
            </w:r>
            <w:r w:rsidR="00D7157D">
              <w:t>.</w:t>
            </w:r>
            <w:r w:rsidRPr="00295986">
              <w:t>4614</w:t>
            </w:r>
          </w:p>
        </w:tc>
        <w:tc>
          <w:tcPr>
            <w:tcW w:w="966" w:type="pct"/>
            <w:tcBorders>
              <w:top w:val="single" w:sz="4" w:space="0" w:color="auto"/>
              <w:bottom w:val="single" w:sz="4" w:space="0" w:color="auto"/>
            </w:tcBorders>
            <w:vAlign w:val="bottom"/>
          </w:tcPr>
          <w:p w14:paraId="7F8385D6" w14:textId="77777777" w:rsidR="006902CC" w:rsidRPr="00C971C6" w:rsidRDefault="006902CC" w:rsidP="006902CC">
            <w:pPr>
              <w:pStyle w:val="Tabletext"/>
              <w:rPr>
                <w:snapToGrid w:val="0"/>
              </w:rPr>
            </w:pPr>
            <w:r w:rsidRPr="00295986">
              <w:t>7</w:t>
            </w:r>
            <w:r w:rsidR="00D7157D">
              <w:t>.</w:t>
            </w:r>
            <w:r w:rsidRPr="00295986">
              <w:t>0669</w:t>
            </w:r>
          </w:p>
        </w:tc>
        <w:tc>
          <w:tcPr>
            <w:tcW w:w="966" w:type="pct"/>
            <w:tcBorders>
              <w:top w:val="single" w:sz="4" w:space="0" w:color="auto"/>
              <w:bottom w:val="single" w:sz="4" w:space="0" w:color="auto"/>
            </w:tcBorders>
            <w:vAlign w:val="bottom"/>
          </w:tcPr>
          <w:p w14:paraId="73B26617" w14:textId="77777777" w:rsidR="006902CC" w:rsidRPr="00C971C6" w:rsidRDefault="006902CC" w:rsidP="006902CC">
            <w:pPr>
              <w:pStyle w:val="Tabletext"/>
              <w:rPr>
                <w:snapToGrid w:val="0"/>
              </w:rPr>
            </w:pPr>
            <w:r w:rsidRPr="00295986">
              <w:t>0</w:t>
            </w:r>
            <w:r w:rsidR="00D7157D">
              <w:t>.</w:t>
            </w:r>
            <w:r w:rsidRPr="00295986">
              <w:t>1193</w:t>
            </w:r>
          </w:p>
        </w:tc>
      </w:tr>
      <w:tr w:rsidR="006902CC" w:rsidRPr="009E2595" w14:paraId="51F60A5A" w14:textId="77777777" w:rsidTr="006902CC">
        <w:trPr>
          <w:cantSplit/>
        </w:trPr>
        <w:tc>
          <w:tcPr>
            <w:tcW w:w="1136" w:type="pct"/>
            <w:tcBorders>
              <w:top w:val="single" w:sz="4" w:space="0" w:color="auto"/>
              <w:bottom w:val="single" w:sz="4" w:space="0" w:color="auto"/>
            </w:tcBorders>
          </w:tcPr>
          <w:p w14:paraId="077EBEAA" w14:textId="77777777" w:rsidR="006902CC" w:rsidRPr="00616B26" w:rsidRDefault="006902CC" w:rsidP="006902CC">
            <w:pPr>
              <w:pStyle w:val="Tabletext"/>
              <w:rPr>
                <w:snapToGrid w:val="0"/>
              </w:rPr>
            </w:pPr>
            <w:r w:rsidRPr="00616B26">
              <w:rPr>
                <w:snapToGrid w:val="0"/>
              </w:rPr>
              <w:t>86</w:t>
            </w:r>
          </w:p>
        </w:tc>
        <w:tc>
          <w:tcPr>
            <w:tcW w:w="966" w:type="pct"/>
            <w:tcBorders>
              <w:top w:val="single" w:sz="4" w:space="0" w:color="auto"/>
              <w:bottom w:val="single" w:sz="4" w:space="0" w:color="auto"/>
            </w:tcBorders>
            <w:vAlign w:val="bottom"/>
          </w:tcPr>
          <w:p w14:paraId="24653F26" w14:textId="77777777" w:rsidR="006902CC" w:rsidRPr="00C971C6" w:rsidRDefault="006902CC" w:rsidP="006902CC">
            <w:pPr>
              <w:pStyle w:val="Tabletext"/>
              <w:rPr>
                <w:snapToGrid w:val="0"/>
              </w:rPr>
            </w:pPr>
            <w:r w:rsidRPr="00295986">
              <w:t>5</w:t>
            </w:r>
            <w:r w:rsidR="00D7157D">
              <w:t>.</w:t>
            </w:r>
            <w:r w:rsidRPr="00295986">
              <w:t>7052</w:t>
            </w:r>
          </w:p>
        </w:tc>
        <w:tc>
          <w:tcPr>
            <w:tcW w:w="966" w:type="pct"/>
            <w:tcBorders>
              <w:top w:val="single" w:sz="4" w:space="0" w:color="auto"/>
              <w:bottom w:val="single" w:sz="4" w:space="0" w:color="auto"/>
            </w:tcBorders>
            <w:vAlign w:val="bottom"/>
          </w:tcPr>
          <w:p w14:paraId="5B3461E8" w14:textId="77777777" w:rsidR="006902CC" w:rsidRPr="00C971C6" w:rsidRDefault="006902CC" w:rsidP="006902CC">
            <w:pPr>
              <w:pStyle w:val="Tabletext"/>
              <w:rPr>
                <w:snapToGrid w:val="0"/>
              </w:rPr>
            </w:pPr>
            <w:r w:rsidRPr="00295986">
              <w:t>0</w:t>
            </w:r>
            <w:r w:rsidR="00D7157D">
              <w:t>.</w:t>
            </w:r>
            <w:r w:rsidRPr="00295986">
              <w:t>4510</w:t>
            </w:r>
          </w:p>
        </w:tc>
        <w:tc>
          <w:tcPr>
            <w:tcW w:w="966" w:type="pct"/>
            <w:tcBorders>
              <w:top w:val="single" w:sz="4" w:space="0" w:color="auto"/>
              <w:bottom w:val="single" w:sz="4" w:space="0" w:color="auto"/>
            </w:tcBorders>
            <w:vAlign w:val="bottom"/>
          </w:tcPr>
          <w:p w14:paraId="039CD79A" w14:textId="77777777" w:rsidR="006902CC" w:rsidRPr="00C971C6" w:rsidRDefault="006902CC" w:rsidP="006902CC">
            <w:pPr>
              <w:pStyle w:val="Tabletext"/>
              <w:rPr>
                <w:snapToGrid w:val="0"/>
              </w:rPr>
            </w:pPr>
            <w:r w:rsidRPr="00295986">
              <w:t>6</w:t>
            </w:r>
            <w:r w:rsidR="00D7157D">
              <w:t>.</w:t>
            </w:r>
            <w:r w:rsidRPr="00295986">
              <w:t>5984</w:t>
            </w:r>
          </w:p>
        </w:tc>
        <w:tc>
          <w:tcPr>
            <w:tcW w:w="966" w:type="pct"/>
            <w:tcBorders>
              <w:top w:val="single" w:sz="4" w:space="0" w:color="auto"/>
              <w:bottom w:val="single" w:sz="4" w:space="0" w:color="auto"/>
            </w:tcBorders>
            <w:vAlign w:val="bottom"/>
          </w:tcPr>
          <w:p w14:paraId="3307EC03" w14:textId="77777777" w:rsidR="006902CC" w:rsidRPr="00C971C6" w:rsidRDefault="006902CC" w:rsidP="006902CC">
            <w:pPr>
              <w:pStyle w:val="Tabletext"/>
              <w:rPr>
                <w:snapToGrid w:val="0"/>
              </w:rPr>
            </w:pPr>
            <w:r w:rsidRPr="00295986">
              <w:t>0</w:t>
            </w:r>
            <w:r w:rsidR="00D7157D">
              <w:t>.</w:t>
            </w:r>
            <w:r w:rsidRPr="00295986">
              <w:t>1177</w:t>
            </w:r>
          </w:p>
        </w:tc>
      </w:tr>
      <w:tr w:rsidR="006902CC" w:rsidRPr="009E2595" w14:paraId="024B8A6D" w14:textId="77777777" w:rsidTr="006902CC">
        <w:trPr>
          <w:cantSplit/>
        </w:trPr>
        <w:tc>
          <w:tcPr>
            <w:tcW w:w="1136" w:type="pct"/>
            <w:tcBorders>
              <w:top w:val="single" w:sz="4" w:space="0" w:color="auto"/>
              <w:bottom w:val="single" w:sz="4" w:space="0" w:color="auto"/>
            </w:tcBorders>
          </w:tcPr>
          <w:p w14:paraId="66F801AC" w14:textId="77777777" w:rsidR="006902CC" w:rsidRPr="00616B26" w:rsidRDefault="006902CC" w:rsidP="006902CC">
            <w:pPr>
              <w:pStyle w:val="Tabletext"/>
              <w:rPr>
                <w:snapToGrid w:val="0"/>
              </w:rPr>
            </w:pPr>
            <w:r w:rsidRPr="00616B26">
              <w:rPr>
                <w:snapToGrid w:val="0"/>
              </w:rPr>
              <w:t>87</w:t>
            </w:r>
          </w:p>
        </w:tc>
        <w:tc>
          <w:tcPr>
            <w:tcW w:w="966" w:type="pct"/>
            <w:tcBorders>
              <w:top w:val="single" w:sz="4" w:space="0" w:color="auto"/>
              <w:bottom w:val="single" w:sz="4" w:space="0" w:color="auto"/>
            </w:tcBorders>
            <w:vAlign w:val="bottom"/>
          </w:tcPr>
          <w:p w14:paraId="536521AA" w14:textId="77777777" w:rsidR="006902CC" w:rsidRPr="00C971C6" w:rsidRDefault="006902CC" w:rsidP="006902CC">
            <w:pPr>
              <w:pStyle w:val="Tabletext"/>
              <w:rPr>
                <w:snapToGrid w:val="0"/>
              </w:rPr>
            </w:pPr>
            <w:r w:rsidRPr="00295986">
              <w:t>5</w:t>
            </w:r>
            <w:r w:rsidR="00D7157D">
              <w:t>.</w:t>
            </w:r>
            <w:r w:rsidRPr="00295986">
              <w:t>3123</w:t>
            </w:r>
          </w:p>
        </w:tc>
        <w:tc>
          <w:tcPr>
            <w:tcW w:w="966" w:type="pct"/>
            <w:tcBorders>
              <w:top w:val="single" w:sz="4" w:space="0" w:color="auto"/>
              <w:bottom w:val="single" w:sz="4" w:space="0" w:color="auto"/>
            </w:tcBorders>
            <w:vAlign w:val="bottom"/>
          </w:tcPr>
          <w:p w14:paraId="69C94C19" w14:textId="77777777" w:rsidR="006902CC" w:rsidRPr="00C971C6" w:rsidRDefault="006902CC" w:rsidP="006902CC">
            <w:pPr>
              <w:pStyle w:val="Tabletext"/>
              <w:rPr>
                <w:snapToGrid w:val="0"/>
              </w:rPr>
            </w:pPr>
            <w:r w:rsidRPr="00295986">
              <w:t>0</w:t>
            </w:r>
            <w:r w:rsidR="00D7157D">
              <w:t>.</w:t>
            </w:r>
            <w:r w:rsidRPr="00295986">
              <w:t>4392</w:t>
            </w:r>
          </w:p>
        </w:tc>
        <w:tc>
          <w:tcPr>
            <w:tcW w:w="966" w:type="pct"/>
            <w:tcBorders>
              <w:top w:val="single" w:sz="4" w:space="0" w:color="auto"/>
              <w:bottom w:val="single" w:sz="4" w:space="0" w:color="auto"/>
            </w:tcBorders>
            <w:vAlign w:val="bottom"/>
          </w:tcPr>
          <w:p w14:paraId="6A795703" w14:textId="77777777" w:rsidR="006902CC" w:rsidRPr="00C971C6" w:rsidRDefault="006902CC" w:rsidP="006902CC">
            <w:pPr>
              <w:pStyle w:val="Tabletext"/>
              <w:rPr>
                <w:snapToGrid w:val="0"/>
              </w:rPr>
            </w:pPr>
            <w:r w:rsidRPr="00295986">
              <w:t>6</w:t>
            </w:r>
            <w:r w:rsidR="00D7157D">
              <w:t>.</w:t>
            </w:r>
            <w:r w:rsidRPr="00295986">
              <w:t>1462</w:t>
            </w:r>
          </w:p>
        </w:tc>
        <w:tc>
          <w:tcPr>
            <w:tcW w:w="966" w:type="pct"/>
            <w:tcBorders>
              <w:top w:val="single" w:sz="4" w:space="0" w:color="auto"/>
              <w:bottom w:val="single" w:sz="4" w:space="0" w:color="auto"/>
            </w:tcBorders>
            <w:vAlign w:val="bottom"/>
          </w:tcPr>
          <w:p w14:paraId="4C0BF890" w14:textId="77777777" w:rsidR="006902CC" w:rsidRPr="00C971C6" w:rsidRDefault="006902CC" w:rsidP="006902CC">
            <w:pPr>
              <w:pStyle w:val="Tabletext"/>
              <w:rPr>
                <w:snapToGrid w:val="0"/>
              </w:rPr>
            </w:pPr>
            <w:r w:rsidRPr="00295986">
              <w:t>0</w:t>
            </w:r>
            <w:r w:rsidR="00D7157D">
              <w:t>.</w:t>
            </w:r>
            <w:r w:rsidRPr="00295986">
              <w:t>1158</w:t>
            </w:r>
          </w:p>
        </w:tc>
      </w:tr>
      <w:tr w:rsidR="006902CC" w:rsidRPr="009E2595" w14:paraId="6498C91B" w14:textId="77777777" w:rsidTr="006902CC">
        <w:trPr>
          <w:cantSplit/>
        </w:trPr>
        <w:tc>
          <w:tcPr>
            <w:tcW w:w="1136" w:type="pct"/>
            <w:tcBorders>
              <w:top w:val="single" w:sz="4" w:space="0" w:color="auto"/>
              <w:bottom w:val="single" w:sz="4" w:space="0" w:color="auto"/>
            </w:tcBorders>
          </w:tcPr>
          <w:p w14:paraId="270A3078" w14:textId="77777777" w:rsidR="006902CC" w:rsidRPr="00616B26" w:rsidRDefault="006902CC" w:rsidP="006902CC">
            <w:pPr>
              <w:pStyle w:val="Tabletext"/>
              <w:rPr>
                <w:snapToGrid w:val="0"/>
              </w:rPr>
            </w:pPr>
            <w:r w:rsidRPr="00616B26">
              <w:rPr>
                <w:snapToGrid w:val="0"/>
              </w:rPr>
              <w:t>88</w:t>
            </w:r>
          </w:p>
        </w:tc>
        <w:tc>
          <w:tcPr>
            <w:tcW w:w="966" w:type="pct"/>
            <w:tcBorders>
              <w:top w:val="single" w:sz="4" w:space="0" w:color="auto"/>
              <w:bottom w:val="single" w:sz="4" w:space="0" w:color="auto"/>
            </w:tcBorders>
            <w:vAlign w:val="bottom"/>
          </w:tcPr>
          <w:p w14:paraId="4CF24044" w14:textId="77777777" w:rsidR="006902CC" w:rsidRPr="00C971C6" w:rsidRDefault="006902CC" w:rsidP="006902CC">
            <w:pPr>
              <w:pStyle w:val="Tabletext"/>
              <w:rPr>
                <w:snapToGrid w:val="0"/>
              </w:rPr>
            </w:pPr>
            <w:r w:rsidRPr="00295986">
              <w:t>4</w:t>
            </w:r>
            <w:r w:rsidR="00D7157D">
              <w:t>.</w:t>
            </w:r>
            <w:r w:rsidRPr="00295986">
              <w:t>9382</w:t>
            </w:r>
          </w:p>
        </w:tc>
        <w:tc>
          <w:tcPr>
            <w:tcW w:w="966" w:type="pct"/>
            <w:tcBorders>
              <w:top w:val="single" w:sz="4" w:space="0" w:color="auto"/>
              <w:bottom w:val="single" w:sz="4" w:space="0" w:color="auto"/>
            </w:tcBorders>
            <w:vAlign w:val="bottom"/>
          </w:tcPr>
          <w:p w14:paraId="049844ED" w14:textId="77777777" w:rsidR="006902CC" w:rsidRPr="00C971C6" w:rsidRDefault="006902CC" w:rsidP="006902CC">
            <w:pPr>
              <w:pStyle w:val="Tabletext"/>
              <w:rPr>
                <w:snapToGrid w:val="0"/>
              </w:rPr>
            </w:pPr>
            <w:r w:rsidRPr="00295986">
              <w:t>0</w:t>
            </w:r>
            <w:r w:rsidR="00D7157D">
              <w:t>.</w:t>
            </w:r>
            <w:r w:rsidRPr="00295986">
              <w:t>4262</w:t>
            </w:r>
          </w:p>
        </w:tc>
        <w:tc>
          <w:tcPr>
            <w:tcW w:w="966" w:type="pct"/>
            <w:tcBorders>
              <w:top w:val="single" w:sz="4" w:space="0" w:color="auto"/>
              <w:bottom w:val="single" w:sz="4" w:space="0" w:color="auto"/>
            </w:tcBorders>
            <w:vAlign w:val="bottom"/>
          </w:tcPr>
          <w:p w14:paraId="6098F1DE" w14:textId="77777777" w:rsidR="006902CC" w:rsidRPr="00C971C6" w:rsidRDefault="006902CC" w:rsidP="006902CC">
            <w:pPr>
              <w:pStyle w:val="Tabletext"/>
              <w:rPr>
                <w:snapToGrid w:val="0"/>
              </w:rPr>
            </w:pPr>
            <w:r w:rsidRPr="00295986">
              <w:t>5</w:t>
            </w:r>
            <w:r w:rsidR="00D7157D">
              <w:t>.</w:t>
            </w:r>
            <w:r w:rsidRPr="00295986">
              <w:t>7158</w:t>
            </w:r>
          </w:p>
        </w:tc>
        <w:tc>
          <w:tcPr>
            <w:tcW w:w="966" w:type="pct"/>
            <w:tcBorders>
              <w:top w:val="single" w:sz="4" w:space="0" w:color="auto"/>
              <w:bottom w:val="single" w:sz="4" w:space="0" w:color="auto"/>
            </w:tcBorders>
            <w:vAlign w:val="bottom"/>
          </w:tcPr>
          <w:p w14:paraId="6683AD35" w14:textId="77777777" w:rsidR="006902CC" w:rsidRPr="00C971C6" w:rsidRDefault="006902CC" w:rsidP="006902CC">
            <w:pPr>
              <w:pStyle w:val="Tabletext"/>
              <w:rPr>
                <w:snapToGrid w:val="0"/>
              </w:rPr>
            </w:pPr>
            <w:r w:rsidRPr="00295986">
              <w:t>0</w:t>
            </w:r>
            <w:r w:rsidR="00D7157D">
              <w:t>.</w:t>
            </w:r>
            <w:r w:rsidRPr="00295986">
              <w:t>1138</w:t>
            </w:r>
          </w:p>
        </w:tc>
      </w:tr>
      <w:tr w:rsidR="006902CC" w:rsidRPr="009E2595" w14:paraId="66915AE4" w14:textId="77777777" w:rsidTr="006902CC">
        <w:trPr>
          <w:cantSplit/>
        </w:trPr>
        <w:tc>
          <w:tcPr>
            <w:tcW w:w="1136" w:type="pct"/>
            <w:tcBorders>
              <w:top w:val="single" w:sz="4" w:space="0" w:color="auto"/>
              <w:bottom w:val="single" w:sz="4" w:space="0" w:color="auto"/>
            </w:tcBorders>
          </w:tcPr>
          <w:p w14:paraId="5467FE81" w14:textId="77777777" w:rsidR="006902CC" w:rsidRPr="00616B26" w:rsidRDefault="006902CC" w:rsidP="006902CC">
            <w:pPr>
              <w:pStyle w:val="Tabletext"/>
              <w:rPr>
                <w:snapToGrid w:val="0"/>
              </w:rPr>
            </w:pPr>
            <w:r w:rsidRPr="00616B26">
              <w:rPr>
                <w:snapToGrid w:val="0"/>
              </w:rPr>
              <w:t>89</w:t>
            </w:r>
          </w:p>
        </w:tc>
        <w:tc>
          <w:tcPr>
            <w:tcW w:w="966" w:type="pct"/>
            <w:tcBorders>
              <w:top w:val="single" w:sz="4" w:space="0" w:color="auto"/>
              <w:bottom w:val="single" w:sz="4" w:space="0" w:color="auto"/>
            </w:tcBorders>
            <w:vAlign w:val="bottom"/>
          </w:tcPr>
          <w:p w14:paraId="349B71B5" w14:textId="77777777" w:rsidR="006902CC" w:rsidRPr="00C971C6" w:rsidRDefault="006902CC" w:rsidP="006902CC">
            <w:pPr>
              <w:pStyle w:val="Tabletext"/>
              <w:rPr>
                <w:snapToGrid w:val="0"/>
              </w:rPr>
            </w:pPr>
            <w:r w:rsidRPr="00295986">
              <w:t>4</w:t>
            </w:r>
            <w:r w:rsidR="00D7157D">
              <w:t>.</w:t>
            </w:r>
            <w:r w:rsidRPr="00295986">
              <w:t>5883</w:t>
            </w:r>
          </w:p>
        </w:tc>
        <w:tc>
          <w:tcPr>
            <w:tcW w:w="966" w:type="pct"/>
            <w:tcBorders>
              <w:top w:val="single" w:sz="4" w:space="0" w:color="auto"/>
              <w:bottom w:val="single" w:sz="4" w:space="0" w:color="auto"/>
            </w:tcBorders>
            <w:vAlign w:val="bottom"/>
          </w:tcPr>
          <w:p w14:paraId="4A65F43C" w14:textId="77777777" w:rsidR="006902CC" w:rsidRPr="00C971C6" w:rsidRDefault="006902CC" w:rsidP="006902CC">
            <w:pPr>
              <w:pStyle w:val="Tabletext"/>
              <w:rPr>
                <w:snapToGrid w:val="0"/>
              </w:rPr>
            </w:pPr>
            <w:r w:rsidRPr="00295986">
              <w:t>0</w:t>
            </w:r>
            <w:r w:rsidR="00D7157D">
              <w:t>.</w:t>
            </w:r>
            <w:r w:rsidRPr="00295986">
              <w:t>4120</w:t>
            </w:r>
          </w:p>
        </w:tc>
        <w:tc>
          <w:tcPr>
            <w:tcW w:w="966" w:type="pct"/>
            <w:tcBorders>
              <w:top w:val="single" w:sz="4" w:space="0" w:color="auto"/>
              <w:bottom w:val="single" w:sz="4" w:space="0" w:color="auto"/>
            </w:tcBorders>
            <w:vAlign w:val="bottom"/>
          </w:tcPr>
          <w:p w14:paraId="44578693" w14:textId="77777777" w:rsidR="006902CC" w:rsidRPr="00C971C6" w:rsidRDefault="006902CC" w:rsidP="006902CC">
            <w:pPr>
              <w:pStyle w:val="Tabletext"/>
              <w:rPr>
                <w:snapToGrid w:val="0"/>
              </w:rPr>
            </w:pPr>
            <w:r w:rsidRPr="00295986">
              <w:t>5</w:t>
            </w:r>
            <w:r w:rsidR="00D7157D">
              <w:t>.</w:t>
            </w:r>
            <w:r w:rsidRPr="00295986">
              <w:t>3135</w:t>
            </w:r>
          </w:p>
        </w:tc>
        <w:tc>
          <w:tcPr>
            <w:tcW w:w="966" w:type="pct"/>
            <w:tcBorders>
              <w:top w:val="single" w:sz="4" w:space="0" w:color="auto"/>
              <w:bottom w:val="single" w:sz="4" w:space="0" w:color="auto"/>
            </w:tcBorders>
            <w:vAlign w:val="bottom"/>
          </w:tcPr>
          <w:p w14:paraId="6CD29B01" w14:textId="77777777" w:rsidR="006902CC" w:rsidRPr="00C971C6" w:rsidRDefault="006902CC" w:rsidP="006902CC">
            <w:pPr>
              <w:pStyle w:val="Tabletext"/>
              <w:rPr>
                <w:snapToGrid w:val="0"/>
              </w:rPr>
            </w:pPr>
            <w:r w:rsidRPr="00295986">
              <w:t>0</w:t>
            </w:r>
            <w:r w:rsidR="00D7157D">
              <w:t>.</w:t>
            </w:r>
            <w:r w:rsidRPr="00295986">
              <w:t>1115</w:t>
            </w:r>
          </w:p>
        </w:tc>
      </w:tr>
      <w:tr w:rsidR="006902CC" w:rsidRPr="009E2595" w14:paraId="144C69A0" w14:textId="77777777" w:rsidTr="006902CC">
        <w:trPr>
          <w:cantSplit/>
        </w:trPr>
        <w:tc>
          <w:tcPr>
            <w:tcW w:w="1136" w:type="pct"/>
            <w:tcBorders>
              <w:top w:val="single" w:sz="4" w:space="0" w:color="auto"/>
              <w:bottom w:val="single" w:sz="4" w:space="0" w:color="auto"/>
            </w:tcBorders>
          </w:tcPr>
          <w:p w14:paraId="7158BB76" w14:textId="77777777" w:rsidR="006902CC" w:rsidRPr="00616B26" w:rsidRDefault="006902CC" w:rsidP="006902CC">
            <w:pPr>
              <w:pStyle w:val="Tabletext"/>
              <w:rPr>
                <w:snapToGrid w:val="0"/>
              </w:rPr>
            </w:pPr>
            <w:r w:rsidRPr="00616B26">
              <w:rPr>
                <w:snapToGrid w:val="0"/>
              </w:rPr>
              <w:t>90</w:t>
            </w:r>
          </w:p>
        </w:tc>
        <w:tc>
          <w:tcPr>
            <w:tcW w:w="966" w:type="pct"/>
            <w:tcBorders>
              <w:top w:val="single" w:sz="4" w:space="0" w:color="auto"/>
              <w:bottom w:val="single" w:sz="4" w:space="0" w:color="auto"/>
            </w:tcBorders>
            <w:vAlign w:val="bottom"/>
          </w:tcPr>
          <w:p w14:paraId="741C8783" w14:textId="77777777" w:rsidR="006902CC" w:rsidRPr="00C971C6" w:rsidRDefault="006902CC" w:rsidP="006902CC">
            <w:pPr>
              <w:pStyle w:val="Tabletext"/>
              <w:rPr>
                <w:snapToGrid w:val="0"/>
              </w:rPr>
            </w:pPr>
            <w:r w:rsidRPr="00295986">
              <w:t>4</w:t>
            </w:r>
            <w:r w:rsidR="00D7157D">
              <w:t>.</w:t>
            </w:r>
            <w:r w:rsidRPr="00295986">
              <w:t>2601</w:t>
            </w:r>
          </w:p>
        </w:tc>
        <w:tc>
          <w:tcPr>
            <w:tcW w:w="966" w:type="pct"/>
            <w:tcBorders>
              <w:top w:val="single" w:sz="4" w:space="0" w:color="auto"/>
              <w:bottom w:val="single" w:sz="4" w:space="0" w:color="auto"/>
            </w:tcBorders>
            <w:vAlign w:val="bottom"/>
          </w:tcPr>
          <w:p w14:paraId="0587B14B" w14:textId="77777777" w:rsidR="006902CC" w:rsidRPr="00C971C6" w:rsidRDefault="006902CC" w:rsidP="006902CC">
            <w:pPr>
              <w:pStyle w:val="Tabletext"/>
              <w:rPr>
                <w:snapToGrid w:val="0"/>
              </w:rPr>
            </w:pPr>
            <w:r w:rsidRPr="00295986">
              <w:t>0</w:t>
            </w:r>
            <w:r w:rsidR="00D7157D">
              <w:t>.</w:t>
            </w:r>
            <w:r w:rsidRPr="00295986">
              <w:t>3970</w:t>
            </w:r>
          </w:p>
        </w:tc>
        <w:tc>
          <w:tcPr>
            <w:tcW w:w="966" w:type="pct"/>
            <w:tcBorders>
              <w:top w:val="single" w:sz="4" w:space="0" w:color="auto"/>
              <w:bottom w:val="single" w:sz="4" w:space="0" w:color="auto"/>
            </w:tcBorders>
            <w:vAlign w:val="bottom"/>
          </w:tcPr>
          <w:p w14:paraId="41A931BC" w14:textId="77777777" w:rsidR="006902CC" w:rsidRPr="00C971C6" w:rsidRDefault="006902CC" w:rsidP="006902CC">
            <w:pPr>
              <w:pStyle w:val="Tabletext"/>
              <w:rPr>
                <w:snapToGrid w:val="0"/>
              </w:rPr>
            </w:pPr>
            <w:r w:rsidRPr="00295986">
              <w:t>4</w:t>
            </w:r>
            <w:r w:rsidR="00D7157D">
              <w:t>.</w:t>
            </w:r>
            <w:r w:rsidRPr="00295986">
              <w:t>9587</w:t>
            </w:r>
          </w:p>
        </w:tc>
        <w:tc>
          <w:tcPr>
            <w:tcW w:w="966" w:type="pct"/>
            <w:tcBorders>
              <w:top w:val="single" w:sz="4" w:space="0" w:color="auto"/>
              <w:bottom w:val="single" w:sz="4" w:space="0" w:color="auto"/>
            </w:tcBorders>
            <w:vAlign w:val="bottom"/>
          </w:tcPr>
          <w:p w14:paraId="12E5C893" w14:textId="77777777" w:rsidR="006902CC" w:rsidRPr="00C971C6" w:rsidRDefault="006902CC" w:rsidP="006902CC">
            <w:pPr>
              <w:pStyle w:val="Tabletext"/>
              <w:rPr>
                <w:snapToGrid w:val="0"/>
              </w:rPr>
            </w:pPr>
            <w:r w:rsidRPr="00295986">
              <w:t>0</w:t>
            </w:r>
            <w:r w:rsidR="00D7157D">
              <w:t>.</w:t>
            </w:r>
            <w:r w:rsidRPr="00295986">
              <w:t>1088</w:t>
            </w:r>
          </w:p>
        </w:tc>
      </w:tr>
      <w:tr w:rsidR="006902CC" w:rsidRPr="009E2595" w14:paraId="27D00E1F" w14:textId="77777777" w:rsidTr="006902CC">
        <w:trPr>
          <w:cantSplit/>
        </w:trPr>
        <w:tc>
          <w:tcPr>
            <w:tcW w:w="1136" w:type="pct"/>
            <w:tcBorders>
              <w:top w:val="single" w:sz="4" w:space="0" w:color="auto"/>
              <w:bottom w:val="single" w:sz="4" w:space="0" w:color="auto"/>
            </w:tcBorders>
          </w:tcPr>
          <w:p w14:paraId="527CD7C5" w14:textId="77777777" w:rsidR="006902CC" w:rsidRPr="00616B26" w:rsidRDefault="006902CC" w:rsidP="006902CC">
            <w:pPr>
              <w:pStyle w:val="Tabletext"/>
              <w:rPr>
                <w:snapToGrid w:val="0"/>
              </w:rPr>
            </w:pPr>
            <w:r w:rsidRPr="00616B26">
              <w:rPr>
                <w:snapToGrid w:val="0"/>
              </w:rPr>
              <w:t>91</w:t>
            </w:r>
          </w:p>
        </w:tc>
        <w:tc>
          <w:tcPr>
            <w:tcW w:w="966" w:type="pct"/>
            <w:tcBorders>
              <w:top w:val="single" w:sz="4" w:space="0" w:color="auto"/>
              <w:bottom w:val="single" w:sz="4" w:space="0" w:color="auto"/>
            </w:tcBorders>
            <w:vAlign w:val="bottom"/>
          </w:tcPr>
          <w:p w14:paraId="1A6E86B2" w14:textId="77777777" w:rsidR="006902CC" w:rsidRPr="00C971C6" w:rsidRDefault="006902CC" w:rsidP="006902CC">
            <w:pPr>
              <w:pStyle w:val="Tabletext"/>
              <w:rPr>
                <w:snapToGrid w:val="0"/>
              </w:rPr>
            </w:pPr>
            <w:r w:rsidRPr="00295986">
              <w:t>3</w:t>
            </w:r>
            <w:r w:rsidR="00D7157D">
              <w:t>.</w:t>
            </w:r>
            <w:r w:rsidRPr="00295986">
              <w:t>9629</w:t>
            </w:r>
          </w:p>
        </w:tc>
        <w:tc>
          <w:tcPr>
            <w:tcW w:w="966" w:type="pct"/>
            <w:tcBorders>
              <w:top w:val="single" w:sz="4" w:space="0" w:color="auto"/>
              <w:bottom w:val="single" w:sz="4" w:space="0" w:color="auto"/>
            </w:tcBorders>
            <w:vAlign w:val="bottom"/>
          </w:tcPr>
          <w:p w14:paraId="1D32243F" w14:textId="77777777" w:rsidR="006902CC" w:rsidRPr="00C971C6" w:rsidRDefault="006902CC" w:rsidP="006902CC">
            <w:pPr>
              <w:pStyle w:val="Tabletext"/>
              <w:rPr>
                <w:snapToGrid w:val="0"/>
              </w:rPr>
            </w:pPr>
            <w:r w:rsidRPr="00295986">
              <w:t>0</w:t>
            </w:r>
            <w:r w:rsidR="00D7157D">
              <w:t>.</w:t>
            </w:r>
            <w:r w:rsidRPr="00295986">
              <w:t>3811</w:t>
            </w:r>
          </w:p>
        </w:tc>
        <w:tc>
          <w:tcPr>
            <w:tcW w:w="966" w:type="pct"/>
            <w:tcBorders>
              <w:top w:val="single" w:sz="4" w:space="0" w:color="auto"/>
              <w:bottom w:val="single" w:sz="4" w:space="0" w:color="auto"/>
            </w:tcBorders>
            <w:vAlign w:val="bottom"/>
          </w:tcPr>
          <w:p w14:paraId="27A5469A" w14:textId="77777777" w:rsidR="006902CC" w:rsidRPr="00C971C6" w:rsidRDefault="006902CC" w:rsidP="006902CC">
            <w:pPr>
              <w:pStyle w:val="Tabletext"/>
              <w:rPr>
                <w:snapToGrid w:val="0"/>
              </w:rPr>
            </w:pPr>
            <w:r w:rsidRPr="00295986">
              <w:t>4</w:t>
            </w:r>
            <w:r w:rsidR="00D7157D">
              <w:t>.</w:t>
            </w:r>
            <w:r w:rsidRPr="00295986">
              <w:t>6305</w:t>
            </w:r>
          </w:p>
        </w:tc>
        <w:tc>
          <w:tcPr>
            <w:tcW w:w="966" w:type="pct"/>
            <w:tcBorders>
              <w:top w:val="single" w:sz="4" w:space="0" w:color="auto"/>
              <w:bottom w:val="single" w:sz="4" w:space="0" w:color="auto"/>
            </w:tcBorders>
            <w:vAlign w:val="bottom"/>
          </w:tcPr>
          <w:p w14:paraId="0A9240E3" w14:textId="77777777" w:rsidR="006902CC" w:rsidRPr="00C971C6" w:rsidRDefault="006902CC" w:rsidP="006902CC">
            <w:pPr>
              <w:pStyle w:val="Tabletext"/>
              <w:rPr>
                <w:snapToGrid w:val="0"/>
              </w:rPr>
            </w:pPr>
            <w:r w:rsidRPr="00295986">
              <w:t>0</w:t>
            </w:r>
            <w:r w:rsidR="00D7157D">
              <w:t>.</w:t>
            </w:r>
            <w:r w:rsidRPr="00295986">
              <w:t>1059</w:t>
            </w:r>
          </w:p>
        </w:tc>
      </w:tr>
      <w:tr w:rsidR="006902CC" w:rsidRPr="009E2595" w14:paraId="38158CB4" w14:textId="77777777" w:rsidTr="006902CC">
        <w:trPr>
          <w:cantSplit/>
        </w:trPr>
        <w:tc>
          <w:tcPr>
            <w:tcW w:w="1136" w:type="pct"/>
            <w:tcBorders>
              <w:top w:val="single" w:sz="4" w:space="0" w:color="auto"/>
              <w:bottom w:val="single" w:sz="4" w:space="0" w:color="auto"/>
            </w:tcBorders>
          </w:tcPr>
          <w:p w14:paraId="73BA83F0" w14:textId="77777777" w:rsidR="006902CC" w:rsidRPr="00616B26" w:rsidRDefault="006902CC" w:rsidP="006902CC">
            <w:pPr>
              <w:pStyle w:val="Tabletext"/>
              <w:rPr>
                <w:snapToGrid w:val="0"/>
              </w:rPr>
            </w:pPr>
            <w:r w:rsidRPr="00616B26">
              <w:rPr>
                <w:snapToGrid w:val="0"/>
              </w:rPr>
              <w:t>92</w:t>
            </w:r>
          </w:p>
        </w:tc>
        <w:tc>
          <w:tcPr>
            <w:tcW w:w="966" w:type="pct"/>
            <w:tcBorders>
              <w:top w:val="single" w:sz="4" w:space="0" w:color="auto"/>
              <w:bottom w:val="single" w:sz="4" w:space="0" w:color="auto"/>
            </w:tcBorders>
            <w:vAlign w:val="bottom"/>
          </w:tcPr>
          <w:p w14:paraId="556495BB" w14:textId="77777777" w:rsidR="006902CC" w:rsidRPr="00C971C6" w:rsidRDefault="006902CC" w:rsidP="006902CC">
            <w:pPr>
              <w:pStyle w:val="Tabletext"/>
              <w:rPr>
                <w:snapToGrid w:val="0"/>
              </w:rPr>
            </w:pPr>
            <w:r w:rsidRPr="00295986">
              <w:t>3</w:t>
            </w:r>
            <w:r w:rsidR="00D7157D">
              <w:t>.</w:t>
            </w:r>
            <w:r w:rsidRPr="00295986">
              <w:t>6953</w:t>
            </w:r>
          </w:p>
        </w:tc>
        <w:tc>
          <w:tcPr>
            <w:tcW w:w="966" w:type="pct"/>
            <w:tcBorders>
              <w:top w:val="single" w:sz="4" w:space="0" w:color="auto"/>
              <w:bottom w:val="single" w:sz="4" w:space="0" w:color="auto"/>
            </w:tcBorders>
            <w:vAlign w:val="bottom"/>
          </w:tcPr>
          <w:p w14:paraId="0ED11767" w14:textId="77777777" w:rsidR="006902CC" w:rsidRPr="00C971C6" w:rsidRDefault="006902CC" w:rsidP="006902CC">
            <w:pPr>
              <w:pStyle w:val="Tabletext"/>
              <w:rPr>
                <w:snapToGrid w:val="0"/>
              </w:rPr>
            </w:pPr>
            <w:r w:rsidRPr="00295986">
              <w:t>0</w:t>
            </w:r>
            <w:r w:rsidR="00D7157D">
              <w:t>.</w:t>
            </w:r>
            <w:r w:rsidRPr="00295986">
              <w:t>3647</w:t>
            </w:r>
          </w:p>
        </w:tc>
        <w:tc>
          <w:tcPr>
            <w:tcW w:w="966" w:type="pct"/>
            <w:tcBorders>
              <w:top w:val="single" w:sz="4" w:space="0" w:color="auto"/>
              <w:bottom w:val="single" w:sz="4" w:space="0" w:color="auto"/>
            </w:tcBorders>
            <w:vAlign w:val="bottom"/>
          </w:tcPr>
          <w:p w14:paraId="067B968D" w14:textId="77777777" w:rsidR="006902CC" w:rsidRPr="00C971C6" w:rsidRDefault="006902CC" w:rsidP="006902CC">
            <w:pPr>
              <w:pStyle w:val="Tabletext"/>
              <w:rPr>
                <w:snapToGrid w:val="0"/>
              </w:rPr>
            </w:pPr>
            <w:r w:rsidRPr="00295986">
              <w:t>4</w:t>
            </w:r>
            <w:r w:rsidR="00D7157D">
              <w:t>.</w:t>
            </w:r>
            <w:r w:rsidRPr="00295986">
              <w:t>3304</w:t>
            </w:r>
          </w:p>
        </w:tc>
        <w:tc>
          <w:tcPr>
            <w:tcW w:w="966" w:type="pct"/>
            <w:tcBorders>
              <w:top w:val="single" w:sz="4" w:space="0" w:color="auto"/>
              <w:bottom w:val="single" w:sz="4" w:space="0" w:color="auto"/>
            </w:tcBorders>
            <w:vAlign w:val="bottom"/>
          </w:tcPr>
          <w:p w14:paraId="4E4B4151" w14:textId="77777777" w:rsidR="006902CC" w:rsidRPr="00C971C6" w:rsidRDefault="006902CC" w:rsidP="006902CC">
            <w:pPr>
              <w:pStyle w:val="Tabletext"/>
              <w:rPr>
                <w:snapToGrid w:val="0"/>
              </w:rPr>
            </w:pPr>
            <w:r w:rsidRPr="00295986">
              <w:t>0</w:t>
            </w:r>
            <w:r w:rsidR="00D7157D">
              <w:t>.</w:t>
            </w:r>
            <w:r w:rsidRPr="00295986">
              <w:t>1027</w:t>
            </w:r>
          </w:p>
        </w:tc>
      </w:tr>
      <w:tr w:rsidR="006902CC" w:rsidRPr="009E2595" w14:paraId="02EE7CEF" w14:textId="77777777" w:rsidTr="006902CC">
        <w:trPr>
          <w:cantSplit/>
        </w:trPr>
        <w:tc>
          <w:tcPr>
            <w:tcW w:w="1136" w:type="pct"/>
            <w:tcBorders>
              <w:top w:val="single" w:sz="4" w:space="0" w:color="auto"/>
              <w:bottom w:val="single" w:sz="4" w:space="0" w:color="auto"/>
            </w:tcBorders>
          </w:tcPr>
          <w:p w14:paraId="2DC3ABC9" w14:textId="77777777" w:rsidR="006902CC" w:rsidRPr="00616B26" w:rsidRDefault="006902CC" w:rsidP="006902CC">
            <w:pPr>
              <w:pStyle w:val="Tabletext"/>
              <w:rPr>
                <w:snapToGrid w:val="0"/>
              </w:rPr>
            </w:pPr>
            <w:r w:rsidRPr="00616B26">
              <w:rPr>
                <w:snapToGrid w:val="0"/>
              </w:rPr>
              <w:t>93</w:t>
            </w:r>
          </w:p>
        </w:tc>
        <w:tc>
          <w:tcPr>
            <w:tcW w:w="966" w:type="pct"/>
            <w:tcBorders>
              <w:top w:val="single" w:sz="4" w:space="0" w:color="auto"/>
              <w:bottom w:val="single" w:sz="4" w:space="0" w:color="auto"/>
            </w:tcBorders>
            <w:vAlign w:val="bottom"/>
          </w:tcPr>
          <w:p w14:paraId="46A2020E" w14:textId="77777777" w:rsidR="006902CC" w:rsidRPr="00C971C6" w:rsidRDefault="006902CC" w:rsidP="006902CC">
            <w:pPr>
              <w:pStyle w:val="Tabletext"/>
              <w:rPr>
                <w:snapToGrid w:val="0"/>
              </w:rPr>
            </w:pPr>
            <w:r w:rsidRPr="00295986">
              <w:t>3</w:t>
            </w:r>
            <w:r w:rsidR="00D7157D">
              <w:t>.</w:t>
            </w:r>
            <w:r w:rsidRPr="00295986">
              <w:t>4639</w:t>
            </w:r>
          </w:p>
        </w:tc>
        <w:tc>
          <w:tcPr>
            <w:tcW w:w="966" w:type="pct"/>
            <w:tcBorders>
              <w:top w:val="single" w:sz="4" w:space="0" w:color="auto"/>
              <w:bottom w:val="single" w:sz="4" w:space="0" w:color="auto"/>
            </w:tcBorders>
            <w:vAlign w:val="bottom"/>
          </w:tcPr>
          <w:p w14:paraId="5035AA3A" w14:textId="77777777" w:rsidR="006902CC" w:rsidRPr="00C971C6" w:rsidRDefault="006902CC" w:rsidP="006902CC">
            <w:pPr>
              <w:pStyle w:val="Tabletext"/>
              <w:rPr>
                <w:snapToGrid w:val="0"/>
              </w:rPr>
            </w:pPr>
            <w:r w:rsidRPr="00295986">
              <w:t>0</w:t>
            </w:r>
            <w:r w:rsidR="00D7157D">
              <w:t>.</w:t>
            </w:r>
            <w:r w:rsidRPr="00295986">
              <w:t>3475</w:t>
            </w:r>
          </w:p>
        </w:tc>
        <w:tc>
          <w:tcPr>
            <w:tcW w:w="966" w:type="pct"/>
            <w:tcBorders>
              <w:top w:val="single" w:sz="4" w:space="0" w:color="auto"/>
              <w:bottom w:val="single" w:sz="4" w:space="0" w:color="auto"/>
            </w:tcBorders>
            <w:vAlign w:val="bottom"/>
          </w:tcPr>
          <w:p w14:paraId="35D0566D" w14:textId="77777777" w:rsidR="006902CC" w:rsidRPr="00C971C6" w:rsidRDefault="006902CC" w:rsidP="006902CC">
            <w:pPr>
              <w:pStyle w:val="Tabletext"/>
              <w:rPr>
                <w:snapToGrid w:val="0"/>
              </w:rPr>
            </w:pPr>
            <w:r w:rsidRPr="00295986">
              <w:t>4</w:t>
            </w:r>
            <w:r w:rsidR="00D7157D">
              <w:t>.</w:t>
            </w:r>
            <w:r w:rsidRPr="00295986">
              <w:t>0388</w:t>
            </w:r>
          </w:p>
        </w:tc>
        <w:tc>
          <w:tcPr>
            <w:tcW w:w="966" w:type="pct"/>
            <w:tcBorders>
              <w:top w:val="single" w:sz="4" w:space="0" w:color="auto"/>
              <w:bottom w:val="single" w:sz="4" w:space="0" w:color="auto"/>
            </w:tcBorders>
            <w:vAlign w:val="bottom"/>
          </w:tcPr>
          <w:p w14:paraId="149067E5" w14:textId="77777777" w:rsidR="006902CC" w:rsidRPr="00C971C6" w:rsidRDefault="006902CC" w:rsidP="006902CC">
            <w:pPr>
              <w:pStyle w:val="Tabletext"/>
              <w:rPr>
                <w:snapToGrid w:val="0"/>
              </w:rPr>
            </w:pPr>
            <w:r w:rsidRPr="00295986">
              <w:t>0</w:t>
            </w:r>
            <w:r w:rsidR="00D7157D">
              <w:t>.</w:t>
            </w:r>
            <w:r w:rsidRPr="00295986">
              <w:t>0995</w:t>
            </w:r>
          </w:p>
        </w:tc>
      </w:tr>
      <w:tr w:rsidR="006902CC" w:rsidRPr="009E2595" w14:paraId="058B008A" w14:textId="77777777" w:rsidTr="006902CC">
        <w:trPr>
          <w:cantSplit/>
        </w:trPr>
        <w:tc>
          <w:tcPr>
            <w:tcW w:w="1136" w:type="pct"/>
            <w:tcBorders>
              <w:top w:val="single" w:sz="4" w:space="0" w:color="auto"/>
              <w:bottom w:val="single" w:sz="4" w:space="0" w:color="auto"/>
            </w:tcBorders>
          </w:tcPr>
          <w:p w14:paraId="123B8DE8" w14:textId="77777777" w:rsidR="006902CC" w:rsidRPr="00616B26" w:rsidRDefault="006902CC" w:rsidP="006902CC">
            <w:pPr>
              <w:pStyle w:val="Tabletext"/>
              <w:rPr>
                <w:snapToGrid w:val="0"/>
              </w:rPr>
            </w:pPr>
            <w:r w:rsidRPr="00616B26">
              <w:rPr>
                <w:snapToGrid w:val="0"/>
              </w:rPr>
              <w:t>94</w:t>
            </w:r>
          </w:p>
        </w:tc>
        <w:tc>
          <w:tcPr>
            <w:tcW w:w="966" w:type="pct"/>
            <w:tcBorders>
              <w:top w:val="single" w:sz="4" w:space="0" w:color="auto"/>
              <w:bottom w:val="single" w:sz="4" w:space="0" w:color="auto"/>
            </w:tcBorders>
            <w:vAlign w:val="bottom"/>
          </w:tcPr>
          <w:p w14:paraId="11BFAFCA" w14:textId="77777777" w:rsidR="006902CC" w:rsidRPr="00C971C6" w:rsidRDefault="006902CC" w:rsidP="006902CC">
            <w:pPr>
              <w:pStyle w:val="Tabletext"/>
              <w:rPr>
                <w:snapToGrid w:val="0"/>
              </w:rPr>
            </w:pPr>
            <w:r w:rsidRPr="00295986">
              <w:t>3</w:t>
            </w:r>
            <w:r w:rsidR="00D7157D">
              <w:t>.</w:t>
            </w:r>
            <w:r w:rsidRPr="00295986">
              <w:t>2698</w:t>
            </w:r>
          </w:p>
        </w:tc>
        <w:tc>
          <w:tcPr>
            <w:tcW w:w="966" w:type="pct"/>
            <w:tcBorders>
              <w:top w:val="single" w:sz="4" w:space="0" w:color="auto"/>
              <w:bottom w:val="single" w:sz="4" w:space="0" w:color="auto"/>
            </w:tcBorders>
            <w:vAlign w:val="bottom"/>
          </w:tcPr>
          <w:p w14:paraId="01C78CD6" w14:textId="77777777" w:rsidR="006902CC" w:rsidRPr="00C971C6" w:rsidRDefault="006902CC" w:rsidP="006902CC">
            <w:pPr>
              <w:pStyle w:val="Tabletext"/>
              <w:rPr>
                <w:snapToGrid w:val="0"/>
              </w:rPr>
            </w:pPr>
            <w:r w:rsidRPr="00295986">
              <w:t>0</w:t>
            </w:r>
            <w:r w:rsidR="00D7157D">
              <w:t>.</w:t>
            </w:r>
            <w:r w:rsidRPr="00295986">
              <w:t>3293</w:t>
            </w:r>
          </w:p>
        </w:tc>
        <w:tc>
          <w:tcPr>
            <w:tcW w:w="966" w:type="pct"/>
            <w:tcBorders>
              <w:top w:val="single" w:sz="4" w:space="0" w:color="auto"/>
              <w:bottom w:val="single" w:sz="4" w:space="0" w:color="auto"/>
            </w:tcBorders>
            <w:vAlign w:val="bottom"/>
          </w:tcPr>
          <w:p w14:paraId="5F72A6E9" w14:textId="77777777" w:rsidR="006902CC" w:rsidRPr="00C971C6" w:rsidRDefault="006902CC" w:rsidP="006902CC">
            <w:pPr>
              <w:pStyle w:val="Tabletext"/>
              <w:rPr>
                <w:snapToGrid w:val="0"/>
              </w:rPr>
            </w:pPr>
            <w:r w:rsidRPr="00295986">
              <w:t>3</w:t>
            </w:r>
            <w:r w:rsidR="00D7157D">
              <w:t>.</w:t>
            </w:r>
            <w:r w:rsidRPr="00295986">
              <w:t>7575</w:t>
            </w:r>
          </w:p>
        </w:tc>
        <w:tc>
          <w:tcPr>
            <w:tcW w:w="966" w:type="pct"/>
            <w:tcBorders>
              <w:top w:val="single" w:sz="4" w:space="0" w:color="auto"/>
              <w:bottom w:val="single" w:sz="4" w:space="0" w:color="auto"/>
            </w:tcBorders>
            <w:vAlign w:val="bottom"/>
          </w:tcPr>
          <w:p w14:paraId="4C7A2930" w14:textId="77777777" w:rsidR="006902CC" w:rsidRPr="00C971C6" w:rsidRDefault="006902CC" w:rsidP="006902CC">
            <w:pPr>
              <w:pStyle w:val="Tabletext"/>
              <w:rPr>
                <w:snapToGrid w:val="0"/>
              </w:rPr>
            </w:pPr>
            <w:r w:rsidRPr="00295986">
              <w:t>0</w:t>
            </w:r>
            <w:r w:rsidR="00D7157D">
              <w:t>.</w:t>
            </w:r>
            <w:r w:rsidRPr="00295986">
              <w:t>0963</w:t>
            </w:r>
          </w:p>
        </w:tc>
      </w:tr>
      <w:tr w:rsidR="006902CC" w:rsidRPr="009E2595" w14:paraId="571810B2" w14:textId="77777777" w:rsidTr="006902CC">
        <w:trPr>
          <w:cantSplit/>
        </w:trPr>
        <w:tc>
          <w:tcPr>
            <w:tcW w:w="1136" w:type="pct"/>
            <w:tcBorders>
              <w:top w:val="single" w:sz="4" w:space="0" w:color="auto"/>
              <w:bottom w:val="single" w:sz="4" w:space="0" w:color="auto"/>
            </w:tcBorders>
          </w:tcPr>
          <w:p w14:paraId="40A06967" w14:textId="77777777" w:rsidR="006902CC" w:rsidRPr="00616B26" w:rsidRDefault="006902CC" w:rsidP="006902CC">
            <w:pPr>
              <w:pStyle w:val="Tabletext"/>
              <w:rPr>
                <w:snapToGrid w:val="0"/>
              </w:rPr>
            </w:pPr>
            <w:r w:rsidRPr="00616B26">
              <w:rPr>
                <w:snapToGrid w:val="0"/>
              </w:rPr>
              <w:t>95</w:t>
            </w:r>
          </w:p>
        </w:tc>
        <w:tc>
          <w:tcPr>
            <w:tcW w:w="966" w:type="pct"/>
            <w:tcBorders>
              <w:top w:val="single" w:sz="4" w:space="0" w:color="auto"/>
              <w:bottom w:val="single" w:sz="4" w:space="0" w:color="auto"/>
            </w:tcBorders>
            <w:vAlign w:val="bottom"/>
          </w:tcPr>
          <w:p w14:paraId="64F861E4" w14:textId="77777777" w:rsidR="006902CC" w:rsidRPr="00C971C6" w:rsidRDefault="006902CC" w:rsidP="006902CC">
            <w:pPr>
              <w:pStyle w:val="Tabletext"/>
              <w:rPr>
                <w:snapToGrid w:val="0"/>
              </w:rPr>
            </w:pPr>
            <w:r w:rsidRPr="00295986">
              <w:t>3</w:t>
            </w:r>
            <w:r w:rsidR="00D7157D">
              <w:t>.</w:t>
            </w:r>
            <w:r w:rsidRPr="00295986">
              <w:t>0894</w:t>
            </w:r>
          </w:p>
        </w:tc>
        <w:tc>
          <w:tcPr>
            <w:tcW w:w="966" w:type="pct"/>
            <w:tcBorders>
              <w:top w:val="single" w:sz="4" w:space="0" w:color="auto"/>
              <w:bottom w:val="single" w:sz="4" w:space="0" w:color="auto"/>
            </w:tcBorders>
            <w:vAlign w:val="bottom"/>
          </w:tcPr>
          <w:p w14:paraId="27D060FD" w14:textId="77777777" w:rsidR="006902CC" w:rsidRPr="00C971C6" w:rsidRDefault="006902CC" w:rsidP="006902CC">
            <w:pPr>
              <w:pStyle w:val="Tabletext"/>
              <w:rPr>
                <w:snapToGrid w:val="0"/>
              </w:rPr>
            </w:pPr>
            <w:r w:rsidRPr="00295986">
              <w:t>0</w:t>
            </w:r>
            <w:r w:rsidR="00D7157D">
              <w:t>.</w:t>
            </w:r>
            <w:r w:rsidRPr="00295986">
              <w:t>3111</w:t>
            </w:r>
          </w:p>
        </w:tc>
        <w:tc>
          <w:tcPr>
            <w:tcW w:w="966" w:type="pct"/>
            <w:tcBorders>
              <w:top w:val="single" w:sz="4" w:space="0" w:color="auto"/>
              <w:bottom w:val="single" w:sz="4" w:space="0" w:color="auto"/>
            </w:tcBorders>
            <w:vAlign w:val="bottom"/>
          </w:tcPr>
          <w:p w14:paraId="002598BD" w14:textId="77777777" w:rsidR="006902CC" w:rsidRPr="00C971C6" w:rsidRDefault="006902CC" w:rsidP="006902CC">
            <w:pPr>
              <w:pStyle w:val="Tabletext"/>
              <w:rPr>
                <w:snapToGrid w:val="0"/>
              </w:rPr>
            </w:pPr>
            <w:r w:rsidRPr="00295986">
              <w:t>3</w:t>
            </w:r>
            <w:r w:rsidR="00D7157D">
              <w:t>.</w:t>
            </w:r>
            <w:r w:rsidRPr="00295986">
              <w:t>4972</w:t>
            </w:r>
          </w:p>
        </w:tc>
        <w:tc>
          <w:tcPr>
            <w:tcW w:w="966" w:type="pct"/>
            <w:tcBorders>
              <w:top w:val="single" w:sz="4" w:space="0" w:color="auto"/>
              <w:bottom w:val="single" w:sz="4" w:space="0" w:color="auto"/>
            </w:tcBorders>
            <w:vAlign w:val="bottom"/>
          </w:tcPr>
          <w:p w14:paraId="3D61416F" w14:textId="77777777" w:rsidR="006902CC" w:rsidRPr="00C971C6" w:rsidRDefault="006902CC" w:rsidP="006902CC">
            <w:pPr>
              <w:pStyle w:val="Tabletext"/>
              <w:rPr>
                <w:snapToGrid w:val="0"/>
              </w:rPr>
            </w:pPr>
            <w:r w:rsidRPr="00295986">
              <w:t>0</w:t>
            </w:r>
            <w:r w:rsidR="00D7157D">
              <w:t>.</w:t>
            </w:r>
            <w:r w:rsidRPr="00295986">
              <w:t>0930</w:t>
            </w:r>
          </w:p>
        </w:tc>
      </w:tr>
      <w:tr w:rsidR="006902CC" w:rsidRPr="009E2595" w14:paraId="334163D2" w14:textId="77777777" w:rsidTr="006902CC">
        <w:trPr>
          <w:cantSplit/>
        </w:trPr>
        <w:tc>
          <w:tcPr>
            <w:tcW w:w="1136" w:type="pct"/>
            <w:tcBorders>
              <w:top w:val="single" w:sz="4" w:space="0" w:color="auto"/>
              <w:bottom w:val="single" w:sz="4" w:space="0" w:color="auto"/>
            </w:tcBorders>
          </w:tcPr>
          <w:p w14:paraId="51456EEE" w14:textId="77777777" w:rsidR="006902CC" w:rsidRPr="00616B26" w:rsidRDefault="006902CC" w:rsidP="006902CC">
            <w:pPr>
              <w:pStyle w:val="Tabletext"/>
              <w:rPr>
                <w:snapToGrid w:val="0"/>
              </w:rPr>
            </w:pPr>
            <w:r w:rsidRPr="00616B26">
              <w:rPr>
                <w:snapToGrid w:val="0"/>
              </w:rPr>
              <w:t>96</w:t>
            </w:r>
          </w:p>
        </w:tc>
        <w:tc>
          <w:tcPr>
            <w:tcW w:w="966" w:type="pct"/>
            <w:tcBorders>
              <w:top w:val="single" w:sz="4" w:space="0" w:color="auto"/>
              <w:bottom w:val="single" w:sz="4" w:space="0" w:color="auto"/>
            </w:tcBorders>
            <w:vAlign w:val="bottom"/>
          </w:tcPr>
          <w:p w14:paraId="6FBD7A5F" w14:textId="77777777" w:rsidR="006902CC" w:rsidRPr="00C971C6" w:rsidRDefault="006902CC" w:rsidP="006902CC">
            <w:pPr>
              <w:pStyle w:val="Tabletext"/>
              <w:rPr>
                <w:snapToGrid w:val="0"/>
              </w:rPr>
            </w:pPr>
            <w:r w:rsidRPr="00295986">
              <w:t>2</w:t>
            </w:r>
            <w:r w:rsidR="00D7157D">
              <w:t>.</w:t>
            </w:r>
            <w:r w:rsidRPr="00295986">
              <w:t>9216</w:t>
            </w:r>
          </w:p>
        </w:tc>
        <w:tc>
          <w:tcPr>
            <w:tcW w:w="966" w:type="pct"/>
            <w:tcBorders>
              <w:top w:val="single" w:sz="4" w:space="0" w:color="auto"/>
              <w:bottom w:val="single" w:sz="4" w:space="0" w:color="auto"/>
            </w:tcBorders>
            <w:vAlign w:val="bottom"/>
          </w:tcPr>
          <w:p w14:paraId="530C8D84" w14:textId="77777777" w:rsidR="006902CC" w:rsidRPr="00C971C6" w:rsidRDefault="006902CC" w:rsidP="006902CC">
            <w:pPr>
              <w:pStyle w:val="Tabletext"/>
              <w:rPr>
                <w:snapToGrid w:val="0"/>
              </w:rPr>
            </w:pPr>
            <w:r w:rsidRPr="00295986">
              <w:t>0</w:t>
            </w:r>
            <w:r w:rsidR="00D7157D">
              <w:t>.</w:t>
            </w:r>
            <w:r w:rsidRPr="00295986">
              <w:t>2927</w:t>
            </w:r>
          </w:p>
        </w:tc>
        <w:tc>
          <w:tcPr>
            <w:tcW w:w="966" w:type="pct"/>
            <w:tcBorders>
              <w:top w:val="single" w:sz="4" w:space="0" w:color="auto"/>
              <w:bottom w:val="single" w:sz="4" w:space="0" w:color="auto"/>
            </w:tcBorders>
            <w:vAlign w:val="bottom"/>
          </w:tcPr>
          <w:p w14:paraId="239DD64C" w14:textId="77777777" w:rsidR="006902CC" w:rsidRPr="00C971C6" w:rsidRDefault="006902CC" w:rsidP="006902CC">
            <w:pPr>
              <w:pStyle w:val="Tabletext"/>
              <w:rPr>
                <w:snapToGrid w:val="0"/>
              </w:rPr>
            </w:pPr>
            <w:r w:rsidRPr="00295986">
              <w:t>3</w:t>
            </w:r>
            <w:r w:rsidR="00D7157D">
              <w:t>.</w:t>
            </w:r>
            <w:r w:rsidRPr="00295986">
              <w:t>2485</w:t>
            </w:r>
          </w:p>
        </w:tc>
        <w:tc>
          <w:tcPr>
            <w:tcW w:w="966" w:type="pct"/>
            <w:tcBorders>
              <w:top w:val="single" w:sz="4" w:space="0" w:color="auto"/>
              <w:bottom w:val="single" w:sz="4" w:space="0" w:color="auto"/>
            </w:tcBorders>
            <w:vAlign w:val="bottom"/>
          </w:tcPr>
          <w:p w14:paraId="7932F72D" w14:textId="77777777" w:rsidR="006902CC" w:rsidRPr="00C971C6" w:rsidRDefault="006902CC" w:rsidP="006902CC">
            <w:pPr>
              <w:pStyle w:val="Tabletext"/>
              <w:rPr>
                <w:snapToGrid w:val="0"/>
              </w:rPr>
            </w:pPr>
            <w:r w:rsidRPr="00295986">
              <w:t>0</w:t>
            </w:r>
            <w:r w:rsidR="00D7157D">
              <w:t>.</w:t>
            </w:r>
            <w:r w:rsidRPr="00295986">
              <w:t>0895</w:t>
            </w:r>
          </w:p>
        </w:tc>
      </w:tr>
      <w:tr w:rsidR="006902CC" w:rsidRPr="009E2595" w14:paraId="2B6956E5" w14:textId="77777777" w:rsidTr="006902CC">
        <w:trPr>
          <w:cantSplit/>
        </w:trPr>
        <w:tc>
          <w:tcPr>
            <w:tcW w:w="1136" w:type="pct"/>
            <w:tcBorders>
              <w:top w:val="single" w:sz="4" w:space="0" w:color="auto"/>
              <w:bottom w:val="single" w:sz="4" w:space="0" w:color="auto"/>
            </w:tcBorders>
          </w:tcPr>
          <w:p w14:paraId="6E9F4D79" w14:textId="77777777" w:rsidR="006902CC" w:rsidRPr="00616B26" w:rsidRDefault="006902CC" w:rsidP="006902CC">
            <w:pPr>
              <w:pStyle w:val="Tabletext"/>
              <w:rPr>
                <w:snapToGrid w:val="0"/>
              </w:rPr>
            </w:pPr>
            <w:r w:rsidRPr="00616B26">
              <w:rPr>
                <w:snapToGrid w:val="0"/>
              </w:rPr>
              <w:t>97</w:t>
            </w:r>
          </w:p>
        </w:tc>
        <w:tc>
          <w:tcPr>
            <w:tcW w:w="966" w:type="pct"/>
            <w:tcBorders>
              <w:top w:val="single" w:sz="4" w:space="0" w:color="auto"/>
              <w:bottom w:val="single" w:sz="4" w:space="0" w:color="auto"/>
            </w:tcBorders>
            <w:vAlign w:val="bottom"/>
          </w:tcPr>
          <w:p w14:paraId="706C0128" w14:textId="77777777" w:rsidR="006902CC" w:rsidRPr="00C971C6" w:rsidRDefault="006902CC" w:rsidP="006902CC">
            <w:pPr>
              <w:pStyle w:val="Tabletext"/>
              <w:rPr>
                <w:snapToGrid w:val="0"/>
              </w:rPr>
            </w:pPr>
            <w:r w:rsidRPr="00295986">
              <w:t>2</w:t>
            </w:r>
            <w:r w:rsidR="00D7157D">
              <w:t>.</w:t>
            </w:r>
            <w:r w:rsidRPr="00295986">
              <w:t>7653</w:t>
            </w:r>
          </w:p>
        </w:tc>
        <w:tc>
          <w:tcPr>
            <w:tcW w:w="966" w:type="pct"/>
            <w:tcBorders>
              <w:top w:val="single" w:sz="4" w:space="0" w:color="auto"/>
              <w:bottom w:val="single" w:sz="4" w:space="0" w:color="auto"/>
            </w:tcBorders>
            <w:vAlign w:val="bottom"/>
          </w:tcPr>
          <w:p w14:paraId="7A755270" w14:textId="77777777" w:rsidR="006902CC" w:rsidRPr="00C971C6" w:rsidRDefault="006902CC" w:rsidP="006902CC">
            <w:pPr>
              <w:pStyle w:val="Tabletext"/>
              <w:rPr>
                <w:snapToGrid w:val="0"/>
              </w:rPr>
            </w:pPr>
            <w:r w:rsidRPr="00295986">
              <w:t>0</w:t>
            </w:r>
            <w:r w:rsidR="00D7157D">
              <w:t>.</w:t>
            </w:r>
            <w:r w:rsidRPr="00295986">
              <w:t>2743</w:t>
            </w:r>
          </w:p>
        </w:tc>
        <w:tc>
          <w:tcPr>
            <w:tcW w:w="966" w:type="pct"/>
            <w:tcBorders>
              <w:top w:val="single" w:sz="4" w:space="0" w:color="auto"/>
              <w:bottom w:val="single" w:sz="4" w:space="0" w:color="auto"/>
            </w:tcBorders>
            <w:vAlign w:val="bottom"/>
          </w:tcPr>
          <w:p w14:paraId="01E89D16" w14:textId="77777777" w:rsidR="006902CC" w:rsidRPr="00C971C6" w:rsidRDefault="006902CC" w:rsidP="006902CC">
            <w:pPr>
              <w:pStyle w:val="Tabletext"/>
              <w:rPr>
                <w:snapToGrid w:val="0"/>
              </w:rPr>
            </w:pPr>
            <w:r w:rsidRPr="00295986">
              <w:t>3</w:t>
            </w:r>
            <w:r w:rsidR="00D7157D">
              <w:t>.</w:t>
            </w:r>
            <w:r w:rsidRPr="00295986">
              <w:t>0066</w:t>
            </w:r>
          </w:p>
        </w:tc>
        <w:tc>
          <w:tcPr>
            <w:tcW w:w="966" w:type="pct"/>
            <w:tcBorders>
              <w:top w:val="single" w:sz="4" w:space="0" w:color="auto"/>
              <w:bottom w:val="single" w:sz="4" w:space="0" w:color="auto"/>
            </w:tcBorders>
            <w:vAlign w:val="bottom"/>
          </w:tcPr>
          <w:p w14:paraId="53DEF4FC" w14:textId="77777777" w:rsidR="006902CC" w:rsidRPr="00C971C6" w:rsidRDefault="006902CC" w:rsidP="006902CC">
            <w:pPr>
              <w:pStyle w:val="Tabletext"/>
              <w:rPr>
                <w:snapToGrid w:val="0"/>
              </w:rPr>
            </w:pPr>
            <w:r w:rsidRPr="00295986">
              <w:t>0</w:t>
            </w:r>
            <w:r w:rsidR="00D7157D">
              <w:t>.</w:t>
            </w:r>
            <w:r w:rsidRPr="00295986">
              <w:t>0860</w:t>
            </w:r>
          </w:p>
        </w:tc>
      </w:tr>
      <w:tr w:rsidR="006902CC" w:rsidRPr="009E2595" w14:paraId="4646E9D8" w14:textId="77777777" w:rsidTr="006902CC">
        <w:trPr>
          <w:cantSplit/>
        </w:trPr>
        <w:tc>
          <w:tcPr>
            <w:tcW w:w="1136" w:type="pct"/>
            <w:tcBorders>
              <w:top w:val="single" w:sz="4" w:space="0" w:color="auto"/>
              <w:bottom w:val="single" w:sz="4" w:space="0" w:color="auto"/>
            </w:tcBorders>
          </w:tcPr>
          <w:p w14:paraId="03375687" w14:textId="77777777" w:rsidR="006902CC" w:rsidRPr="00616B26" w:rsidRDefault="006902CC" w:rsidP="006902CC">
            <w:pPr>
              <w:pStyle w:val="Tabletext"/>
              <w:rPr>
                <w:snapToGrid w:val="0"/>
              </w:rPr>
            </w:pPr>
            <w:r w:rsidRPr="00616B26">
              <w:rPr>
                <w:snapToGrid w:val="0"/>
              </w:rPr>
              <w:t>98</w:t>
            </w:r>
          </w:p>
        </w:tc>
        <w:tc>
          <w:tcPr>
            <w:tcW w:w="966" w:type="pct"/>
            <w:tcBorders>
              <w:top w:val="single" w:sz="4" w:space="0" w:color="auto"/>
              <w:bottom w:val="single" w:sz="4" w:space="0" w:color="auto"/>
            </w:tcBorders>
            <w:vAlign w:val="bottom"/>
          </w:tcPr>
          <w:p w14:paraId="7CFF2985" w14:textId="77777777" w:rsidR="006902CC" w:rsidRPr="00C971C6" w:rsidRDefault="006902CC" w:rsidP="006902CC">
            <w:pPr>
              <w:pStyle w:val="Tabletext"/>
              <w:rPr>
                <w:snapToGrid w:val="0"/>
              </w:rPr>
            </w:pPr>
            <w:r w:rsidRPr="00295986">
              <w:t>2</w:t>
            </w:r>
            <w:r w:rsidR="00D7157D">
              <w:t>.</w:t>
            </w:r>
            <w:r w:rsidRPr="00295986">
              <w:t>6196</w:t>
            </w:r>
          </w:p>
        </w:tc>
        <w:tc>
          <w:tcPr>
            <w:tcW w:w="966" w:type="pct"/>
            <w:tcBorders>
              <w:top w:val="single" w:sz="4" w:space="0" w:color="auto"/>
              <w:bottom w:val="single" w:sz="4" w:space="0" w:color="auto"/>
            </w:tcBorders>
            <w:vAlign w:val="bottom"/>
          </w:tcPr>
          <w:p w14:paraId="63E8C129" w14:textId="77777777" w:rsidR="006902CC" w:rsidRPr="00C971C6" w:rsidRDefault="006902CC" w:rsidP="006902CC">
            <w:pPr>
              <w:pStyle w:val="Tabletext"/>
              <w:rPr>
                <w:snapToGrid w:val="0"/>
              </w:rPr>
            </w:pPr>
            <w:r w:rsidRPr="00295986">
              <w:t>0</w:t>
            </w:r>
            <w:r w:rsidR="00D7157D">
              <w:t>.</w:t>
            </w:r>
            <w:r w:rsidRPr="00295986">
              <w:t>2557</w:t>
            </w:r>
          </w:p>
        </w:tc>
        <w:tc>
          <w:tcPr>
            <w:tcW w:w="966" w:type="pct"/>
            <w:tcBorders>
              <w:top w:val="single" w:sz="4" w:space="0" w:color="auto"/>
              <w:bottom w:val="single" w:sz="4" w:space="0" w:color="auto"/>
            </w:tcBorders>
            <w:vAlign w:val="bottom"/>
          </w:tcPr>
          <w:p w14:paraId="73473DC0" w14:textId="77777777" w:rsidR="006902CC" w:rsidRPr="00C971C6" w:rsidRDefault="006902CC" w:rsidP="006902CC">
            <w:pPr>
              <w:pStyle w:val="Tabletext"/>
              <w:rPr>
                <w:snapToGrid w:val="0"/>
              </w:rPr>
            </w:pPr>
            <w:r w:rsidRPr="00295986">
              <w:t>2</w:t>
            </w:r>
            <w:r w:rsidR="00D7157D">
              <w:t>.</w:t>
            </w:r>
            <w:r w:rsidRPr="00295986">
              <w:t>7743</w:t>
            </w:r>
          </w:p>
        </w:tc>
        <w:tc>
          <w:tcPr>
            <w:tcW w:w="966" w:type="pct"/>
            <w:tcBorders>
              <w:top w:val="single" w:sz="4" w:space="0" w:color="auto"/>
              <w:bottom w:val="single" w:sz="4" w:space="0" w:color="auto"/>
            </w:tcBorders>
            <w:vAlign w:val="bottom"/>
          </w:tcPr>
          <w:p w14:paraId="0F18D242" w14:textId="77777777" w:rsidR="006902CC" w:rsidRPr="00C971C6" w:rsidRDefault="006902CC" w:rsidP="006902CC">
            <w:pPr>
              <w:pStyle w:val="Tabletext"/>
              <w:rPr>
                <w:snapToGrid w:val="0"/>
              </w:rPr>
            </w:pPr>
            <w:r w:rsidRPr="00295986">
              <w:t>0</w:t>
            </w:r>
            <w:r w:rsidR="00D7157D">
              <w:t>.</w:t>
            </w:r>
            <w:r w:rsidRPr="00295986">
              <w:t>0824</w:t>
            </w:r>
          </w:p>
        </w:tc>
      </w:tr>
      <w:tr w:rsidR="006902CC" w:rsidRPr="009E2595" w14:paraId="0A455DE0" w14:textId="77777777" w:rsidTr="006902CC">
        <w:trPr>
          <w:cantSplit/>
        </w:trPr>
        <w:tc>
          <w:tcPr>
            <w:tcW w:w="1136" w:type="pct"/>
            <w:tcBorders>
              <w:top w:val="single" w:sz="4" w:space="0" w:color="auto"/>
              <w:bottom w:val="single" w:sz="12" w:space="0" w:color="auto"/>
            </w:tcBorders>
          </w:tcPr>
          <w:p w14:paraId="2985E254" w14:textId="77777777" w:rsidR="006902CC" w:rsidRPr="00616B26" w:rsidRDefault="00ED15BD" w:rsidP="006902CC">
            <w:pPr>
              <w:pStyle w:val="Tabletext"/>
              <w:rPr>
                <w:snapToGrid w:val="0"/>
              </w:rPr>
            </w:pPr>
            <w:r>
              <w:rPr>
                <w:snapToGrid w:val="0"/>
              </w:rPr>
              <w:t>99 and over</w:t>
            </w:r>
          </w:p>
        </w:tc>
        <w:tc>
          <w:tcPr>
            <w:tcW w:w="966" w:type="pct"/>
            <w:tcBorders>
              <w:top w:val="single" w:sz="4" w:space="0" w:color="auto"/>
              <w:bottom w:val="single" w:sz="12" w:space="0" w:color="auto"/>
            </w:tcBorders>
            <w:vAlign w:val="bottom"/>
          </w:tcPr>
          <w:p w14:paraId="104888B6" w14:textId="77777777" w:rsidR="006902CC" w:rsidRPr="00C971C6" w:rsidRDefault="006902CC" w:rsidP="006902CC">
            <w:pPr>
              <w:pStyle w:val="Tabletext"/>
              <w:rPr>
                <w:snapToGrid w:val="0"/>
              </w:rPr>
            </w:pPr>
            <w:r w:rsidRPr="00295986">
              <w:t>2</w:t>
            </w:r>
            <w:r w:rsidR="00D7157D">
              <w:t>.</w:t>
            </w:r>
            <w:r w:rsidRPr="00295986">
              <w:t>4836</w:t>
            </w:r>
          </w:p>
        </w:tc>
        <w:tc>
          <w:tcPr>
            <w:tcW w:w="966" w:type="pct"/>
            <w:tcBorders>
              <w:top w:val="single" w:sz="4" w:space="0" w:color="auto"/>
              <w:bottom w:val="single" w:sz="12" w:space="0" w:color="auto"/>
            </w:tcBorders>
            <w:vAlign w:val="bottom"/>
          </w:tcPr>
          <w:p w14:paraId="49B15993" w14:textId="77777777" w:rsidR="006902CC" w:rsidRPr="00C971C6" w:rsidRDefault="006902CC" w:rsidP="006902CC">
            <w:pPr>
              <w:pStyle w:val="Tabletext"/>
              <w:rPr>
                <w:snapToGrid w:val="0"/>
              </w:rPr>
            </w:pPr>
            <w:r w:rsidRPr="00295986">
              <w:t>0</w:t>
            </w:r>
            <w:r w:rsidR="00D7157D">
              <w:t>.</w:t>
            </w:r>
            <w:r w:rsidRPr="00295986">
              <w:t>2366</w:t>
            </w:r>
          </w:p>
        </w:tc>
        <w:tc>
          <w:tcPr>
            <w:tcW w:w="966" w:type="pct"/>
            <w:tcBorders>
              <w:top w:val="single" w:sz="4" w:space="0" w:color="auto"/>
              <w:bottom w:val="single" w:sz="12" w:space="0" w:color="auto"/>
            </w:tcBorders>
            <w:vAlign w:val="bottom"/>
          </w:tcPr>
          <w:p w14:paraId="33C643BB" w14:textId="77777777" w:rsidR="006902CC" w:rsidRPr="00C971C6" w:rsidRDefault="006902CC" w:rsidP="006902CC">
            <w:pPr>
              <w:pStyle w:val="Tabletext"/>
              <w:rPr>
                <w:snapToGrid w:val="0"/>
              </w:rPr>
            </w:pPr>
            <w:r w:rsidRPr="00295986">
              <w:t>2</w:t>
            </w:r>
            <w:r w:rsidR="00D7157D">
              <w:t>.</w:t>
            </w:r>
            <w:r w:rsidRPr="00295986">
              <w:t>5460</w:t>
            </w:r>
          </w:p>
        </w:tc>
        <w:tc>
          <w:tcPr>
            <w:tcW w:w="966" w:type="pct"/>
            <w:tcBorders>
              <w:top w:val="single" w:sz="4" w:space="0" w:color="auto"/>
              <w:bottom w:val="single" w:sz="12" w:space="0" w:color="auto"/>
            </w:tcBorders>
            <w:vAlign w:val="bottom"/>
          </w:tcPr>
          <w:p w14:paraId="582122EA" w14:textId="77777777" w:rsidR="006902CC" w:rsidRPr="00C971C6" w:rsidRDefault="006902CC" w:rsidP="006902CC">
            <w:pPr>
              <w:pStyle w:val="Tabletext"/>
              <w:rPr>
                <w:snapToGrid w:val="0"/>
              </w:rPr>
            </w:pPr>
            <w:r w:rsidRPr="00295986">
              <w:t>0</w:t>
            </w:r>
            <w:r w:rsidR="00D7157D">
              <w:t>.</w:t>
            </w:r>
            <w:r w:rsidRPr="00295986">
              <w:t>0785</w:t>
            </w:r>
          </w:p>
        </w:tc>
      </w:tr>
    </w:tbl>
    <w:p w14:paraId="222F1F50" w14:textId="77777777" w:rsidR="00647C6B" w:rsidRPr="00A058B6" w:rsidRDefault="0022507A" w:rsidP="00647C6B">
      <w:pPr>
        <w:pStyle w:val="ActHead5"/>
      </w:pPr>
      <w:bookmarkStart w:id="306" w:name="_Toc188350783"/>
      <w:r w:rsidRPr="00423C34">
        <w:rPr>
          <w:rStyle w:val="CharSectno"/>
        </w:rPr>
        <w:t>6</w:t>
      </w:r>
      <w:r w:rsidR="00647C6B" w:rsidRPr="00A058B6">
        <w:t xml:space="preserve">  Valuation factors—CPI indexed pension with 5% cap</w:t>
      </w:r>
      <w:bookmarkEnd w:id="306"/>
    </w:p>
    <w:p w14:paraId="04D0F7BD"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 is indexed in accordance with the consumer price index with a cap of 5%</w:t>
      </w:r>
      <w:r w:rsidR="00D7157D">
        <w:t>.</w:t>
      </w:r>
    </w:p>
    <w:p w14:paraId="5FBCBF90" w14:textId="77777777" w:rsidR="00647C6B" w:rsidRPr="00A058B6" w:rsidRDefault="00647C6B" w:rsidP="00647C6B">
      <w:pPr>
        <w:pStyle w:val="Tabletext"/>
      </w:pPr>
    </w:p>
    <w:tbl>
      <w:tblPr>
        <w:tblW w:w="5000" w:type="pct"/>
        <w:tblLook w:val="0000" w:firstRow="0" w:lastRow="0" w:firstColumn="0" w:lastColumn="0" w:noHBand="0" w:noVBand="0"/>
      </w:tblPr>
      <w:tblGrid>
        <w:gridCol w:w="1889"/>
        <w:gridCol w:w="1606"/>
        <w:gridCol w:w="1606"/>
        <w:gridCol w:w="1606"/>
        <w:gridCol w:w="1606"/>
      </w:tblGrid>
      <w:tr w:rsidR="00647C6B" w:rsidRPr="00A058B6" w14:paraId="3A56C507" w14:textId="77777777" w:rsidTr="00FA26AF">
        <w:trPr>
          <w:cantSplit/>
          <w:trHeight w:val="50"/>
          <w:tblHeader/>
        </w:trPr>
        <w:tc>
          <w:tcPr>
            <w:tcW w:w="1136" w:type="pct"/>
            <w:vMerge w:val="restart"/>
            <w:tcBorders>
              <w:top w:val="single" w:sz="12" w:space="0" w:color="auto"/>
              <w:bottom w:val="single" w:sz="12" w:space="0" w:color="auto"/>
            </w:tcBorders>
          </w:tcPr>
          <w:p w14:paraId="670DD01A" w14:textId="77777777" w:rsidR="00647C6B" w:rsidRPr="00A058B6" w:rsidRDefault="00647C6B" w:rsidP="009C0D79">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17F558A7" w14:textId="77777777" w:rsidR="00647C6B" w:rsidRPr="00A058B6" w:rsidRDefault="00647C6B" w:rsidP="009C0D79">
            <w:pPr>
              <w:pStyle w:val="TableHeading"/>
            </w:pPr>
            <w:r w:rsidRPr="00A058B6">
              <w:t>Valuation factors—CPI indexed pension with 5% cap</w:t>
            </w:r>
          </w:p>
        </w:tc>
      </w:tr>
      <w:tr w:rsidR="00647C6B" w:rsidRPr="00A058B6" w14:paraId="783CA2E3" w14:textId="77777777" w:rsidTr="00FA26AF">
        <w:trPr>
          <w:cantSplit/>
          <w:trHeight w:val="50"/>
          <w:tblHeader/>
        </w:trPr>
        <w:tc>
          <w:tcPr>
            <w:tcW w:w="1136" w:type="pct"/>
            <w:vMerge/>
            <w:tcBorders>
              <w:bottom w:val="single" w:sz="12" w:space="0" w:color="auto"/>
            </w:tcBorders>
          </w:tcPr>
          <w:p w14:paraId="2DD16686" w14:textId="77777777" w:rsidR="00647C6B" w:rsidRPr="00A058B6" w:rsidRDefault="00647C6B" w:rsidP="009C0D79">
            <w:pPr>
              <w:pStyle w:val="TableHeading"/>
            </w:pPr>
          </w:p>
        </w:tc>
        <w:tc>
          <w:tcPr>
            <w:tcW w:w="1932" w:type="pct"/>
            <w:gridSpan w:val="2"/>
            <w:tcBorders>
              <w:bottom w:val="single" w:sz="4" w:space="0" w:color="auto"/>
            </w:tcBorders>
          </w:tcPr>
          <w:p w14:paraId="5556F95F" w14:textId="77777777" w:rsidR="00647C6B" w:rsidRPr="00A058B6" w:rsidRDefault="00647C6B" w:rsidP="009C0D79">
            <w:pPr>
              <w:pStyle w:val="TableHeading"/>
            </w:pPr>
            <w:r w:rsidRPr="00A058B6">
              <w:t>Males</w:t>
            </w:r>
          </w:p>
        </w:tc>
        <w:tc>
          <w:tcPr>
            <w:tcW w:w="1932" w:type="pct"/>
            <w:gridSpan w:val="2"/>
            <w:tcBorders>
              <w:top w:val="single" w:sz="4" w:space="0" w:color="auto"/>
              <w:bottom w:val="single" w:sz="4" w:space="0" w:color="auto"/>
            </w:tcBorders>
          </w:tcPr>
          <w:p w14:paraId="04A9916D" w14:textId="77777777" w:rsidR="00647C6B" w:rsidRPr="00A058B6" w:rsidRDefault="00647C6B" w:rsidP="009C0D79">
            <w:pPr>
              <w:pStyle w:val="TableHeading"/>
            </w:pPr>
            <w:r w:rsidRPr="00A058B6">
              <w:t>Females</w:t>
            </w:r>
          </w:p>
        </w:tc>
      </w:tr>
      <w:tr w:rsidR="00647C6B" w:rsidRPr="00A058B6" w14:paraId="73C89382" w14:textId="77777777" w:rsidTr="00FA26AF">
        <w:trPr>
          <w:cantSplit/>
          <w:trHeight w:val="50"/>
          <w:tblHeader/>
        </w:trPr>
        <w:tc>
          <w:tcPr>
            <w:tcW w:w="1136" w:type="pct"/>
            <w:vMerge/>
            <w:tcBorders>
              <w:bottom w:val="single" w:sz="12" w:space="0" w:color="auto"/>
            </w:tcBorders>
          </w:tcPr>
          <w:p w14:paraId="4941E9AE" w14:textId="77777777" w:rsidR="00647C6B" w:rsidRPr="00A058B6" w:rsidRDefault="00647C6B" w:rsidP="009C0D79">
            <w:pPr>
              <w:pStyle w:val="TableHeading"/>
            </w:pPr>
          </w:p>
        </w:tc>
        <w:tc>
          <w:tcPr>
            <w:tcW w:w="966" w:type="pct"/>
            <w:tcBorders>
              <w:top w:val="single" w:sz="4" w:space="0" w:color="auto"/>
              <w:bottom w:val="single" w:sz="12" w:space="0" w:color="auto"/>
            </w:tcBorders>
          </w:tcPr>
          <w:p w14:paraId="00AEA4F0"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46FA2DCE" w14:textId="77777777" w:rsidR="00647C6B" w:rsidRPr="00A058B6" w:rsidRDefault="00647C6B" w:rsidP="009C0D79">
            <w:pPr>
              <w:pStyle w:val="TableHeading"/>
            </w:pPr>
            <w:r w:rsidRPr="00A058B6">
              <w:t>Reversion</w:t>
            </w:r>
          </w:p>
        </w:tc>
        <w:tc>
          <w:tcPr>
            <w:tcW w:w="966" w:type="pct"/>
            <w:tcBorders>
              <w:top w:val="single" w:sz="4" w:space="0" w:color="auto"/>
              <w:bottom w:val="single" w:sz="12" w:space="0" w:color="auto"/>
            </w:tcBorders>
          </w:tcPr>
          <w:p w14:paraId="06BC0E88"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77863C6A" w14:textId="77777777" w:rsidR="00647C6B" w:rsidRPr="00A058B6" w:rsidRDefault="00647C6B" w:rsidP="009C0D79">
            <w:pPr>
              <w:pStyle w:val="TableHeading"/>
            </w:pPr>
            <w:r w:rsidRPr="00A058B6">
              <w:t>Reversion</w:t>
            </w:r>
          </w:p>
        </w:tc>
      </w:tr>
      <w:tr w:rsidR="006A2074" w:rsidRPr="009E2595" w14:paraId="46B5116A" w14:textId="77777777" w:rsidTr="00F36942">
        <w:trPr>
          <w:cantSplit/>
        </w:trPr>
        <w:tc>
          <w:tcPr>
            <w:tcW w:w="1136" w:type="pct"/>
            <w:tcBorders>
              <w:top w:val="single" w:sz="12" w:space="0" w:color="auto"/>
              <w:bottom w:val="single" w:sz="4" w:space="0" w:color="auto"/>
            </w:tcBorders>
          </w:tcPr>
          <w:p w14:paraId="70CFDCBB" w14:textId="77777777" w:rsidR="006A2074" w:rsidRPr="00616B26" w:rsidRDefault="006A2074" w:rsidP="00F36942">
            <w:pPr>
              <w:pStyle w:val="Tabletext"/>
              <w:rPr>
                <w:snapToGrid w:val="0"/>
              </w:rPr>
            </w:pPr>
            <w:r w:rsidRPr="00616B26">
              <w:rPr>
                <w:snapToGrid w:val="0"/>
              </w:rPr>
              <w:t>18</w:t>
            </w:r>
          </w:p>
        </w:tc>
        <w:tc>
          <w:tcPr>
            <w:tcW w:w="966" w:type="pct"/>
            <w:tcBorders>
              <w:top w:val="single" w:sz="12" w:space="0" w:color="auto"/>
              <w:bottom w:val="single" w:sz="4" w:space="0" w:color="auto"/>
            </w:tcBorders>
            <w:vAlign w:val="bottom"/>
          </w:tcPr>
          <w:p w14:paraId="7153F189" w14:textId="77777777" w:rsidR="006A2074" w:rsidRPr="00C971C6" w:rsidRDefault="006A2074" w:rsidP="00F36942">
            <w:pPr>
              <w:pStyle w:val="Tabletext"/>
              <w:rPr>
                <w:snapToGrid w:val="0"/>
              </w:rPr>
            </w:pPr>
            <w:r w:rsidRPr="00295986">
              <w:t>26</w:t>
            </w:r>
            <w:r w:rsidR="00D7157D">
              <w:t>.</w:t>
            </w:r>
            <w:r w:rsidRPr="00295986">
              <w:t>2549</w:t>
            </w:r>
          </w:p>
        </w:tc>
        <w:tc>
          <w:tcPr>
            <w:tcW w:w="966" w:type="pct"/>
            <w:tcBorders>
              <w:top w:val="single" w:sz="12" w:space="0" w:color="auto"/>
              <w:bottom w:val="single" w:sz="4" w:space="0" w:color="auto"/>
            </w:tcBorders>
            <w:vAlign w:val="bottom"/>
          </w:tcPr>
          <w:p w14:paraId="3C65FB7F" w14:textId="77777777" w:rsidR="006A2074" w:rsidRPr="00C971C6" w:rsidRDefault="006A2074" w:rsidP="00F36942">
            <w:pPr>
              <w:pStyle w:val="Tabletext"/>
              <w:rPr>
                <w:snapToGrid w:val="0"/>
              </w:rPr>
            </w:pPr>
            <w:r w:rsidRPr="00295986">
              <w:t>0</w:t>
            </w:r>
            <w:r w:rsidR="00D7157D">
              <w:t>.</w:t>
            </w:r>
            <w:r w:rsidRPr="00295986">
              <w:t>5602</w:t>
            </w:r>
          </w:p>
        </w:tc>
        <w:tc>
          <w:tcPr>
            <w:tcW w:w="966" w:type="pct"/>
            <w:tcBorders>
              <w:top w:val="single" w:sz="12" w:space="0" w:color="auto"/>
              <w:bottom w:val="single" w:sz="4" w:space="0" w:color="auto"/>
            </w:tcBorders>
            <w:vAlign w:val="bottom"/>
          </w:tcPr>
          <w:p w14:paraId="2F6E122D" w14:textId="77777777" w:rsidR="006A2074" w:rsidRPr="00C971C6" w:rsidRDefault="006A2074" w:rsidP="00F36942">
            <w:pPr>
              <w:pStyle w:val="Tabletext"/>
              <w:rPr>
                <w:snapToGrid w:val="0"/>
              </w:rPr>
            </w:pPr>
            <w:r w:rsidRPr="00295986">
              <w:t>26</w:t>
            </w:r>
            <w:r w:rsidR="00D7157D">
              <w:t>.</w:t>
            </w:r>
            <w:r w:rsidRPr="00295986">
              <w:t>5788</w:t>
            </w:r>
          </w:p>
        </w:tc>
        <w:tc>
          <w:tcPr>
            <w:tcW w:w="966" w:type="pct"/>
            <w:tcBorders>
              <w:top w:val="single" w:sz="12" w:space="0" w:color="auto"/>
              <w:bottom w:val="single" w:sz="4" w:space="0" w:color="auto"/>
            </w:tcBorders>
            <w:vAlign w:val="bottom"/>
          </w:tcPr>
          <w:p w14:paraId="2CBC166D" w14:textId="77777777" w:rsidR="006A2074" w:rsidRPr="00C971C6" w:rsidRDefault="006A2074" w:rsidP="00F36942">
            <w:pPr>
              <w:pStyle w:val="Tabletext"/>
              <w:rPr>
                <w:snapToGrid w:val="0"/>
              </w:rPr>
            </w:pPr>
            <w:r w:rsidRPr="00295986">
              <w:t>0</w:t>
            </w:r>
            <w:r w:rsidR="00D7157D">
              <w:t>.</w:t>
            </w:r>
            <w:r w:rsidRPr="00295986">
              <w:t>2238</w:t>
            </w:r>
          </w:p>
        </w:tc>
      </w:tr>
      <w:tr w:rsidR="006A2074" w:rsidRPr="009E2595" w14:paraId="534EBE6A" w14:textId="77777777" w:rsidTr="00F36942">
        <w:trPr>
          <w:cantSplit/>
        </w:trPr>
        <w:tc>
          <w:tcPr>
            <w:tcW w:w="1136" w:type="pct"/>
            <w:tcBorders>
              <w:top w:val="single" w:sz="4" w:space="0" w:color="auto"/>
              <w:bottom w:val="single" w:sz="4" w:space="0" w:color="auto"/>
            </w:tcBorders>
          </w:tcPr>
          <w:p w14:paraId="2B69E3BB" w14:textId="77777777" w:rsidR="006A2074" w:rsidRPr="00616B26" w:rsidRDefault="006A2074" w:rsidP="00F36942">
            <w:pPr>
              <w:pStyle w:val="Tabletext"/>
              <w:rPr>
                <w:snapToGrid w:val="0"/>
              </w:rPr>
            </w:pPr>
            <w:r w:rsidRPr="00616B26">
              <w:rPr>
                <w:snapToGrid w:val="0"/>
              </w:rPr>
              <w:t>19</w:t>
            </w:r>
          </w:p>
        </w:tc>
        <w:tc>
          <w:tcPr>
            <w:tcW w:w="966" w:type="pct"/>
            <w:tcBorders>
              <w:top w:val="single" w:sz="4" w:space="0" w:color="auto"/>
              <w:bottom w:val="single" w:sz="4" w:space="0" w:color="auto"/>
            </w:tcBorders>
            <w:vAlign w:val="bottom"/>
          </w:tcPr>
          <w:p w14:paraId="185236B5" w14:textId="77777777" w:rsidR="006A2074" w:rsidRPr="00C971C6" w:rsidRDefault="006A2074" w:rsidP="00F36942">
            <w:pPr>
              <w:pStyle w:val="Tabletext"/>
              <w:rPr>
                <w:snapToGrid w:val="0"/>
              </w:rPr>
            </w:pPr>
            <w:r w:rsidRPr="00295986">
              <w:t>26</w:t>
            </w:r>
            <w:r w:rsidR="00D7157D">
              <w:t>.</w:t>
            </w:r>
            <w:r w:rsidRPr="00295986">
              <w:t>1589</w:t>
            </w:r>
          </w:p>
        </w:tc>
        <w:tc>
          <w:tcPr>
            <w:tcW w:w="966" w:type="pct"/>
            <w:tcBorders>
              <w:top w:val="single" w:sz="4" w:space="0" w:color="auto"/>
              <w:bottom w:val="single" w:sz="4" w:space="0" w:color="auto"/>
            </w:tcBorders>
            <w:vAlign w:val="bottom"/>
          </w:tcPr>
          <w:p w14:paraId="250972F4" w14:textId="77777777" w:rsidR="006A2074" w:rsidRPr="00C971C6" w:rsidRDefault="006A2074" w:rsidP="00F36942">
            <w:pPr>
              <w:pStyle w:val="Tabletext"/>
              <w:rPr>
                <w:snapToGrid w:val="0"/>
              </w:rPr>
            </w:pPr>
            <w:r w:rsidRPr="00295986">
              <w:t>0</w:t>
            </w:r>
            <w:r w:rsidR="00D7157D">
              <w:t>.</w:t>
            </w:r>
            <w:r w:rsidRPr="00295986">
              <w:t>5795</w:t>
            </w:r>
          </w:p>
        </w:tc>
        <w:tc>
          <w:tcPr>
            <w:tcW w:w="966" w:type="pct"/>
            <w:tcBorders>
              <w:top w:val="single" w:sz="4" w:space="0" w:color="auto"/>
              <w:bottom w:val="single" w:sz="4" w:space="0" w:color="auto"/>
            </w:tcBorders>
            <w:vAlign w:val="bottom"/>
          </w:tcPr>
          <w:p w14:paraId="768BD321" w14:textId="77777777" w:rsidR="006A2074" w:rsidRPr="00C971C6" w:rsidRDefault="006A2074" w:rsidP="00F36942">
            <w:pPr>
              <w:pStyle w:val="Tabletext"/>
              <w:rPr>
                <w:snapToGrid w:val="0"/>
              </w:rPr>
            </w:pPr>
            <w:r w:rsidRPr="00295986">
              <w:t>26</w:t>
            </w:r>
            <w:r w:rsidR="00D7157D">
              <w:t>.</w:t>
            </w:r>
            <w:r w:rsidRPr="00295986">
              <w:t>4923</w:t>
            </w:r>
          </w:p>
        </w:tc>
        <w:tc>
          <w:tcPr>
            <w:tcW w:w="966" w:type="pct"/>
            <w:tcBorders>
              <w:top w:val="single" w:sz="4" w:space="0" w:color="auto"/>
              <w:bottom w:val="single" w:sz="4" w:space="0" w:color="auto"/>
            </w:tcBorders>
            <w:vAlign w:val="bottom"/>
          </w:tcPr>
          <w:p w14:paraId="6D2F86AE" w14:textId="77777777" w:rsidR="006A2074" w:rsidRPr="00C971C6" w:rsidRDefault="006A2074" w:rsidP="00F36942">
            <w:pPr>
              <w:pStyle w:val="Tabletext"/>
              <w:rPr>
                <w:snapToGrid w:val="0"/>
              </w:rPr>
            </w:pPr>
            <w:r w:rsidRPr="00295986">
              <w:t>0</w:t>
            </w:r>
            <w:r w:rsidR="00D7157D">
              <w:t>.</w:t>
            </w:r>
            <w:r w:rsidRPr="00295986">
              <w:t>2320</w:t>
            </w:r>
          </w:p>
        </w:tc>
      </w:tr>
      <w:tr w:rsidR="006A2074" w:rsidRPr="009E2595" w14:paraId="4CE44853" w14:textId="77777777" w:rsidTr="00F36942">
        <w:trPr>
          <w:cantSplit/>
        </w:trPr>
        <w:tc>
          <w:tcPr>
            <w:tcW w:w="1136" w:type="pct"/>
            <w:tcBorders>
              <w:top w:val="single" w:sz="4" w:space="0" w:color="auto"/>
              <w:bottom w:val="single" w:sz="4" w:space="0" w:color="auto"/>
            </w:tcBorders>
          </w:tcPr>
          <w:p w14:paraId="0EEBD66E" w14:textId="77777777" w:rsidR="006A2074" w:rsidRPr="00616B26" w:rsidRDefault="006A2074" w:rsidP="00F36942">
            <w:pPr>
              <w:pStyle w:val="Tabletext"/>
              <w:rPr>
                <w:snapToGrid w:val="0"/>
              </w:rPr>
            </w:pPr>
            <w:r w:rsidRPr="00616B26">
              <w:rPr>
                <w:snapToGrid w:val="0"/>
              </w:rPr>
              <w:t>20</w:t>
            </w:r>
          </w:p>
        </w:tc>
        <w:tc>
          <w:tcPr>
            <w:tcW w:w="966" w:type="pct"/>
            <w:tcBorders>
              <w:top w:val="single" w:sz="4" w:space="0" w:color="auto"/>
              <w:bottom w:val="single" w:sz="4" w:space="0" w:color="auto"/>
            </w:tcBorders>
            <w:vAlign w:val="bottom"/>
          </w:tcPr>
          <w:p w14:paraId="088DFF59" w14:textId="77777777" w:rsidR="006A2074" w:rsidRPr="00C971C6" w:rsidRDefault="006A2074" w:rsidP="00F36942">
            <w:pPr>
              <w:pStyle w:val="Tabletext"/>
              <w:rPr>
                <w:snapToGrid w:val="0"/>
              </w:rPr>
            </w:pPr>
            <w:r w:rsidRPr="00295986">
              <w:t>26</w:t>
            </w:r>
            <w:r w:rsidR="00D7157D">
              <w:t>.</w:t>
            </w:r>
            <w:r w:rsidRPr="00295986">
              <w:t>0599</w:t>
            </w:r>
          </w:p>
        </w:tc>
        <w:tc>
          <w:tcPr>
            <w:tcW w:w="966" w:type="pct"/>
            <w:tcBorders>
              <w:top w:val="single" w:sz="4" w:space="0" w:color="auto"/>
              <w:bottom w:val="single" w:sz="4" w:space="0" w:color="auto"/>
            </w:tcBorders>
            <w:vAlign w:val="bottom"/>
          </w:tcPr>
          <w:p w14:paraId="4A89B473" w14:textId="77777777" w:rsidR="006A2074" w:rsidRPr="00C971C6" w:rsidRDefault="006A2074" w:rsidP="00F36942">
            <w:pPr>
              <w:pStyle w:val="Tabletext"/>
              <w:rPr>
                <w:snapToGrid w:val="0"/>
              </w:rPr>
            </w:pPr>
            <w:r w:rsidRPr="00295986">
              <w:t>0</w:t>
            </w:r>
            <w:r w:rsidR="00D7157D">
              <w:t>.</w:t>
            </w:r>
            <w:r w:rsidRPr="00295986">
              <w:t>5992</w:t>
            </w:r>
          </w:p>
        </w:tc>
        <w:tc>
          <w:tcPr>
            <w:tcW w:w="966" w:type="pct"/>
            <w:tcBorders>
              <w:top w:val="single" w:sz="4" w:space="0" w:color="auto"/>
              <w:bottom w:val="single" w:sz="4" w:space="0" w:color="auto"/>
            </w:tcBorders>
            <w:vAlign w:val="bottom"/>
          </w:tcPr>
          <w:p w14:paraId="1FDC85AF" w14:textId="77777777" w:rsidR="006A2074" w:rsidRPr="00C971C6" w:rsidRDefault="006A2074" w:rsidP="00F36942">
            <w:pPr>
              <w:pStyle w:val="Tabletext"/>
              <w:rPr>
                <w:snapToGrid w:val="0"/>
              </w:rPr>
            </w:pPr>
            <w:r w:rsidRPr="00295986">
              <w:t>26</w:t>
            </w:r>
            <w:r w:rsidR="00D7157D">
              <w:t>.</w:t>
            </w:r>
            <w:r w:rsidRPr="00295986">
              <w:t>4025</w:t>
            </w:r>
          </w:p>
        </w:tc>
        <w:tc>
          <w:tcPr>
            <w:tcW w:w="966" w:type="pct"/>
            <w:tcBorders>
              <w:top w:val="single" w:sz="4" w:space="0" w:color="auto"/>
              <w:bottom w:val="single" w:sz="4" w:space="0" w:color="auto"/>
            </w:tcBorders>
            <w:vAlign w:val="bottom"/>
          </w:tcPr>
          <w:p w14:paraId="6A013F3F" w14:textId="77777777" w:rsidR="006A2074" w:rsidRPr="00C971C6" w:rsidRDefault="006A2074" w:rsidP="00F36942">
            <w:pPr>
              <w:pStyle w:val="Tabletext"/>
              <w:rPr>
                <w:snapToGrid w:val="0"/>
              </w:rPr>
            </w:pPr>
            <w:r w:rsidRPr="00295986">
              <w:t>0</w:t>
            </w:r>
            <w:r w:rsidR="00D7157D">
              <w:t>.</w:t>
            </w:r>
            <w:r w:rsidRPr="00295986">
              <w:t>2407</w:t>
            </w:r>
          </w:p>
        </w:tc>
      </w:tr>
      <w:tr w:rsidR="006A2074" w:rsidRPr="009E2595" w14:paraId="3AAB163E" w14:textId="77777777" w:rsidTr="00F36942">
        <w:trPr>
          <w:cantSplit/>
        </w:trPr>
        <w:tc>
          <w:tcPr>
            <w:tcW w:w="1136" w:type="pct"/>
            <w:tcBorders>
              <w:top w:val="single" w:sz="4" w:space="0" w:color="auto"/>
              <w:bottom w:val="single" w:sz="4" w:space="0" w:color="auto"/>
            </w:tcBorders>
          </w:tcPr>
          <w:p w14:paraId="6CB77C54" w14:textId="77777777" w:rsidR="006A2074" w:rsidRPr="00616B26" w:rsidRDefault="006A2074" w:rsidP="00F36942">
            <w:pPr>
              <w:pStyle w:val="Tabletext"/>
              <w:rPr>
                <w:snapToGrid w:val="0"/>
              </w:rPr>
            </w:pPr>
            <w:r w:rsidRPr="00616B26">
              <w:rPr>
                <w:snapToGrid w:val="0"/>
              </w:rPr>
              <w:t>21</w:t>
            </w:r>
          </w:p>
        </w:tc>
        <w:tc>
          <w:tcPr>
            <w:tcW w:w="966" w:type="pct"/>
            <w:tcBorders>
              <w:top w:val="single" w:sz="4" w:space="0" w:color="auto"/>
              <w:bottom w:val="single" w:sz="4" w:space="0" w:color="auto"/>
            </w:tcBorders>
            <w:vAlign w:val="bottom"/>
          </w:tcPr>
          <w:p w14:paraId="56299D19" w14:textId="77777777" w:rsidR="006A2074" w:rsidRPr="00C971C6" w:rsidRDefault="006A2074" w:rsidP="00F36942">
            <w:pPr>
              <w:pStyle w:val="Tabletext"/>
              <w:rPr>
                <w:snapToGrid w:val="0"/>
              </w:rPr>
            </w:pPr>
            <w:r w:rsidRPr="00295986">
              <w:t>25</w:t>
            </w:r>
            <w:r w:rsidR="00D7157D">
              <w:t>.</w:t>
            </w:r>
            <w:r w:rsidRPr="00295986">
              <w:t>9571</w:t>
            </w:r>
          </w:p>
        </w:tc>
        <w:tc>
          <w:tcPr>
            <w:tcW w:w="966" w:type="pct"/>
            <w:tcBorders>
              <w:top w:val="single" w:sz="4" w:space="0" w:color="auto"/>
              <w:bottom w:val="single" w:sz="4" w:space="0" w:color="auto"/>
            </w:tcBorders>
            <w:vAlign w:val="bottom"/>
          </w:tcPr>
          <w:p w14:paraId="157CA838" w14:textId="77777777" w:rsidR="006A2074" w:rsidRPr="00C971C6" w:rsidRDefault="006A2074" w:rsidP="00F36942">
            <w:pPr>
              <w:pStyle w:val="Tabletext"/>
              <w:rPr>
                <w:snapToGrid w:val="0"/>
              </w:rPr>
            </w:pPr>
            <w:r w:rsidRPr="00295986">
              <w:t>0</w:t>
            </w:r>
            <w:r w:rsidR="00D7157D">
              <w:t>.</w:t>
            </w:r>
            <w:r w:rsidRPr="00295986">
              <w:t>6197</w:t>
            </w:r>
          </w:p>
        </w:tc>
        <w:tc>
          <w:tcPr>
            <w:tcW w:w="966" w:type="pct"/>
            <w:tcBorders>
              <w:top w:val="single" w:sz="4" w:space="0" w:color="auto"/>
              <w:bottom w:val="single" w:sz="4" w:space="0" w:color="auto"/>
            </w:tcBorders>
            <w:vAlign w:val="bottom"/>
          </w:tcPr>
          <w:p w14:paraId="6A4E218A" w14:textId="77777777" w:rsidR="006A2074" w:rsidRPr="00C971C6" w:rsidRDefault="006A2074" w:rsidP="00F36942">
            <w:pPr>
              <w:pStyle w:val="Tabletext"/>
              <w:rPr>
                <w:snapToGrid w:val="0"/>
              </w:rPr>
            </w:pPr>
            <w:r w:rsidRPr="00295986">
              <w:t>26</w:t>
            </w:r>
            <w:r w:rsidR="00D7157D">
              <w:t>.</w:t>
            </w:r>
            <w:r w:rsidRPr="00295986">
              <w:t>3093</w:t>
            </w:r>
          </w:p>
        </w:tc>
        <w:tc>
          <w:tcPr>
            <w:tcW w:w="966" w:type="pct"/>
            <w:tcBorders>
              <w:top w:val="single" w:sz="4" w:space="0" w:color="auto"/>
              <w:bottom w:val="single" w:sz="4" w:space="0" w:color="auto"/>
            </w:tcBorders>
            <w:vAlign w:val="bottom"/>
          </w:tcPr>
          <w:p w14:paraId="5269A9FC" w14:textId="77777777" w:rsidR="006A2074" w:rsidRPr="00C971C6" w:rsidRDefault="006A2074" w:rsidP="00F36942">
            <w:pPr>
              <w:pStyle w:val="Tabletext"/>
              <w:rPr>
                <w:snapToGrid w:val="0"/>
              </w:rPr>
            </w:pPr>
            <w:r w:rsidRPr="00295986">
              <w:t>0</w:t>
            </w:r>
            <w:r w:rsidR="00D7157D">
              <w:t>.</w:t>
            </w:r>
            <w:r w:rsidRPr="00295986">
              <w:t>2497</w:t>
            </w:r>
          </w:p>
        </w:tc>
      </w:tr>
      <w:tr w:rsidR="006A2074" w:rsidRPr="009E2595" w14:paraId="62609CEB" w14:textId="77777777" w:rsidTr="00F36942">
        <w:trPr>
          <w:cantSplit/>
        </w:trPr>
        <w:tc>
          <w:tcPr>
            <w:tcW w:w="1136" w:type="pct"/>
            <w:tcBorders>
              <w:top w:val="single" w:sz="4" w:space="0" w:color="auto"/>
              <w:bottom w:val="single" w:sz="4" w:space="0" w:color="auto"/>
            </w:tcBorders>
          </w:tcPr>
          <w:p w14:paraId="50811F5D" w14:textId="77777777" w:rsidR="006A2074" w:rsidRPr="00616B26" w:rsidRDefault="006A2074" w:rsidP="00F36942">
            <w:pPr>
              <w:pStyle w:val="Tabletext"/>
              <w:rPr>
                <w:snapToGrid w:val="0"/>
              </w:rPr>
            </w:pPr>
            <w:r w:rsidRPr="00616B26">
              <w:rPr>
                <w:snapToGrid w:val="0"/>
              </w:rPr>
              <w:t>22</w:t>
            </w:r>
          </w:p>
        </w:tc>
        <w:tc>
          <w:tcPr>
            <w:tcW w:w="966" w:type="pct"/>
            <w:tcBorders>
              <w:top w:val="single" w:sz="4" w:space="0" w:color="auto"/>
              <w:bottom w:val="single" w:sz="4" w:space="0" w:color="auto"/>
            </w:tcBorders>
            <w:vAlign w:val="bottom"/>
          </w:tcPr>
          <w:p w14:paraId="049D20A2" w14:textId="77777777" w:rsidR="006A2074" w:rsidRPr="00C971C6" w:rsidRDefault="006A2074" w:rsidP="00F36942">
            <w:pPr>
              <w:pStyle w:val="Tabletext"/>
              <w:rPr>
                <w:snapToGrid w:val="0"/>
              </w:rPr>
            </w:pPr>
            <w:r w:rsidRPr="00295986">
              <w:t>25</w:t>
            </w:r>
            <w:r w:rsidR="00D7157D">
              <w:t>.</w:t>
            </w:r>
            <w:r w:rsidRPr="00295986">
              <w:t>8507</w:t>
            </w:r>
          </w:p>
        </w:tc>
        <w:tc>
          <w:tcPr>
            <w:tcW w:w="966" w:type="pct"/>
            <w:tcBorders>
              <w:top w:val="single" w:sz="4" w:space="0" w:color="auto"/>
              <w:bottom w:val="single" w:sz="4" w:space="0" w:color="auto"/>
            </w:tcBorders>
            <w:vAlign w:val="bottom"/>
          </w:tcPr>
          <w:p w14:paraId="1AF9A545" w14:textId="77777777" w:rsidR="006A2074" w:rsidRPr="00C971C6" w:rsidRDefault="006A2074" w:rsidP="00F36942">
            <w:pPr>
              <w:pStyle w:val="Tabletext"/>
              <w:rPr>
                <w:snapToGrid w:val="0"/>
              </w:rPr>
            </w:pPr>
            <w:r w:rsidRPr="00295986">
              <w:t>0</w:t>
            </w:r>
            <w:r w:rsidR="00D7157D">
              <w:t>.</w:t>
            </w:r>
            <w:r w:rsidRPr="00295986">
              <w:t>6409</w:t>
            </w:r>
          </w:p>
        </w:tc>
        <w:tc>
          <w:tcPr>
            <w:tcW w:w="966" w:type="pct"/>
            <w:tcBorders>
              <w:top w:val="single" w:sz="4" w:space="0" w:color="auto"/>
              <w:bottom w:val="single" w:sz="4" w:space="0" w:color="auto"/>
            </w:tcBorders>
            <w:vAlign w:val="bottom"/>
          </w:tcPr>
          <w:p w14:paraId="7646074E" w14:textId="77777777" w:rsidR="006A2074" w:rsidRPr="00C971C6" w:rsidRDefault="006A2074" w:rsidP="00F36942">
            <w:pPr>
              <w:pStyle w:val="Tabletext"/>
              <w:rPr>
                <w:snapToGrid w:val="0"/>
              </w:rPr>
            </w:pPr>
            <w:r w:rsidRPr="00295986">
              <w:t>26</w:t>
            </w:r>
            <w:r w:rsidR="00D7157D">
              <w:t>.</w:t>
            </w:r>
            <w:r w:rsidRPr="00295986">
              <w:t>2126</w:t>
            </w:r>
          </w:p>
        </w:tc>
        <w:tc>
          <w:tcPr>
            <w:tcW w:w="966" w:type="pct"/>
            <w:tcBorders>
              <w:top w:val="single" w:sz="4" w:space="0" w:color="auto"/>
              <w:bottom w:val="single" w:sz="4" w:space="0" w:color="auto"/>
            </w:tcBorders>
            <w:vAlign w:val="bottom"/>
          </w:tcPr>
          <w:p w14:paraId="779320DC" w14:textId="77777777" w:rsidR="006A2074" w:rsidRPr="00C971C6" w:rsidRDefault="006A2074" w:rsidP="00F36942">
            <w:pPr>
              <w:pStyle w:val="Tabletext"/>
              <w:rPr>
                <w:snapToGrid w:val="0"/>
              </w:rPr>
            </w:pPr>
            <w:r w:rsidRPr="00295986">
              <w:t>0</w:t>
            </w:r>
            <w:r w:rsidR="00D7157D">
              <w:t>.</w:t>
            </w:r>
            <w:r w:rsidRPr="00295986">
              <w:t>2590</w:t>
            </w:r>
          </w:p>
        </w:tc>
      </w:tr>
      <w:tr w:rsidR="006A2074" w:rsidRPr="009E2595" w14:paraId="59123029" w14:textId="77777777" w:rsidTr="00F36942">
        <w:trPr>
          <w:cantSplit/>
        </w:trPr>
        <w:tc>
          <w:tcPr>
            <w:tcW w:w="1136" w:type="pct"/>
            <w:tcBorders>
              <w:top w:val="single" w:sz="4" w:space="0" w:color="auto"/>
              <w:bottom w:val="single" w:sz="4" w:space="0" w:color="auto"/>
            </w:tcBorders>
          </w:tcPr>
          <w:p w14:paraId="2F70CD19" w14:textId="77777777" w:rsidR="006A2074" w:rsidRPr="00616B26" w:rsidRDefault="006A2074" w:rsidP="00F36942">
            <w:pPr>
              <w:pStyle w:val="Tabletext"/>
              <w:rPr>
                <w:snapToGrid w:val="0"/>
              </w:rPr>
            </w:pPr>
            <w:r w:rsidRPr="00616B26">
              <w:rPr>
                <w:snapToGrid w:val="0"/>
              </w:rPr>
              <w:t>23</w:t>
            </w:r>
          </w:p>
        </w:tc>
        <w:tc>
          <w:tcPr>
            <w:tcW w:w="966" w:type="pct"/>
            <w:tcBorders>
              <w:top w:val="single" w:sz="4" w:space="0" w:color="auto"/>
              <w:bottom w:val="single" w:sz="4" w:space="0" w:color="auto"/>
            </w:tcBorders>
            <w:vAlign w:val="bottom"/>
          </w:tcPr>
          <w:p w14:paraId="1578F6E0" w14:textId="77777777" w:rsidR="006A2074" w:rsidRPr="00C971C6" w:rsidRDefault="006A2074" w:rsidP="00F36942">
            <w:pPr>
              <w:pStyle w:val="Tabletext"/>
              <w:rPr>
                <w:snapToGrid w:val="0"/>
              </w:rPr>
            </w:pPr>
            <w:r w:rsidRPr="00295986">
              <w:t>25</w:t>
            </w:r>
            <w:r w:rsidR="00D7157D">
              <w:t>.</w:t>
            </w:r>
            <w:r w:rsidRPr="00295986">
              <w:t>7405</w:t>
            </w:r>
          </w:p>
        </w:tc>
        <w:tc>
          <w:tcPr>
            <w:tcW w:w="966" w:type="pct"/>
            <w:tcBorders>
              <w:top w:val="single" w:sz="4" w:space="0" w:color="auto"/>
              <w:bottom w:val="single" w:sz="4" w:space="0" w:color="auto"/>
            </w:tcBorders>
            <w:vAlign w:val="bottom"/>
          </w:tcPr>
          <w:p w14:paraId="5CA3AB17" w14:textId="77777777" w:rsidR="006A2074" w:rsidRPr="00C971C6" w:rsidRDefault="006A2074" w:rsidP="00F36942">
            <w:pPr>
              <w:pStyle w:val="Tabletext"/>
              <w:rPr>
                <w:snapToGrid w:val="0"/>
              </w:rPr>
            </w:pPr>
            <w:r w:rsidRPr="00295986">
              <w:t>0</w:t>
            </w:r>
            <w:r w:rsidR="00D7157D">
              <w:t>.</w:t>
            </w:r>
            <w:r w:rsidRPr="00295986">
              <w:t>6629</w:t>
            </w:r>
          </w:p>
        </w:tc>
        <w:tc>
          <w:tcPr>
            <w:tcW w:w="966" w:type="pct"/>
            <w:tcBorders>
              <w:top w:val="single" w:sz="4" w:space="0" w:color="auto"/>
              <w:bottom w:val="single" w:sz="4" w:space="0" w:color="auto"/>
            </w:tcBorders>
            <w:vAlign w:val="bottom"/>
          </w:tcPr>
          <w:p w14:paraId="0DE788A5" w14:textId="77777777" w:rsidR="006A2074" w:rsidRPr="00C971C6" w:rsidRDefault="006A2074" w:rsidP="00F36942">
            <w:pPr>
              <w:pStyle w:val="Tabletext"/>
              <w:rPr>
                <w:snapToGrid w:val="0"/>
              </w:rPr>
            </w:pPr>
            <w:r w:rsidRPr="00295986">
              <w:t>26</w:t>
            </w:r>
            <w:r w:rsidR="00D7157D">
              <w:t>.</w:t>
            </w:r>
            <w:r w:rsidRPr="00295986">
              <w:t>1123</w:t>
            </w:r>
          </w:p>
        </w:tc>
        <w:tc>
          <w:tcPr>
            <w:tcW w:w="966" w:type="pct"/>
            <w:tcBorders>
              <w:top w:val="single" w:sz="4" w:space="0" w:color="auto"/>
              <w:bottom w:val="single" w:sz="4" w:space="0" w:color="auto"/>
            </w:tcBorders>
            <w:vAlign w:val="bottom"/>
          </w:tcPr>
          <w:p w14:paraId="0671DC04" w14:textId="77777777" w:rsidR="006A2074" w:rsidRPr="00C971C6" w:rsidRDefault="006A2074" w:rsidP="00F36942">
            <w:pPr>
              <w:pStyle w:val="Tabletext"/>
              <w:rPr>
                <w:snapToGrid w:val="0"/>
              </w:rPr>
            </w:pPr>
            <w:r w:rsidRPr="00295986">
              <w:t>0</w:t>
            </w:r>
            <w:r w:rsidR="00D7157D">
              <w:t>.</w:t>
            </w:r>
            <w:r w:rsidRPr="00295986">
              <w:t>2688</w:t>
            </w:r>
          </w:p>
        </w:tc>
      </w:tr>
      <w:tr w:rsidR="006A2074" w:rsidRPr="009E2595" w14:paraId="164C8F4F" w14:textId="77777777" w:rsidTr="00F36942">
        <w:trPr>
          <w:cantSplit/>
        </w:trPr>
        <w:tc>
          <w:tcPr>
            <w:tcW w:w="1136" w:type="pct"/>
            <w:tcBorders>
              <w:top w:val="single" w:sz="4" w:space="0" w:color="auto"/>
              <w:bottom w:val="single" w:sz="4" w:space="0" w:color="auto"/>
            </w:tcBorders>
          </w:tcPr>
          <w:p w14:paraId="29CE8344" w14:textId="77777777" w:rsidR="006A2074" w:rsidRPr="00616B26" w:rsidRDefault="006A2074" w:rsidP="00F36942">
            <w:pPr>
              <w:pStyle w:val="Tabletext"/>
              <w:rPr>
                <w:snapToGrid w:val="0"/>
              </w:rPr>
            </w:pPr>
            <w:r w:rsidRPr="00616B26">
              <w:rPr>
                <w:snapToGrid w:val="0"/>
              </w:rPr>
              <w:t>24</w:t>
            </w:r>
          </w:p>
        </w:tc>
        <w:tc>
          <w:tcPr>
            <w:tcW w:w="966" w:type="pct"/>
            <w:tcBorders>
              <w:top w:val="single" w:sz="4" w:space="0" w:color="auto"/>
              <w:bottom w:val="single" w:sz="4" w:space="0" w:color="auto"/>
            </w:tcBorders>
            <w:vAlign w:val="bottom"/>
          </w:tcPr>
          <w:p w14:paraId="728E9088" w14:textId="77777777" w:rsidR="006A2074" w:rsidRPr="00C971C6" w:rsidRDefault="006A2074" w:rsidP="00F36942">
            <w:pPr>
              <w:pStyle w:val="Tabletext"/>
              <w:rPr>
                <w:snapToGrid w:val="0"/>
              </w:rPr>
            </w:pPr>
            <w:r w:rsidRPr="00295986">
              <w:t>25</w:t>
            </w:r>
            <w:r w:rsidR="00D7157D">
              <w:t>.</w:t>
            </w:r>
            <w:r w:rsidRPr="00295986">
              <w:t>6263</w:t>
            </w:r>
          </w:p>
        </w:tc>
        <w:tc>
          <w:tcPr>
            <w:tcW w:w="966" w:type="pct"/>
            <w:tcBorders>
              <w:top w:val="single" w:sz="4" w:space="0" w:color="auto"/>
              <w:bottom w:val="single" w:sz="4" w:space="0" w:color="auto"/>
            </w:tcBorders>
            <w:vAlign w:val="bottom"/>
          </w:tcPr>
          <w:p w14:paraId="624BA086" w14:textId="77777777" w:rsidR="006A2074" w:rsidRPr="00C971C6" w:rsidRDefault="006A2074" w:rsidP="00F36942">
            <w:pPr>
              <w:pStyle w:val="Tabletext"/>
              <w:rPr>
                <w:snapToGrid w:val="0"/>
              </w:rPr>
            </w:pPr>
            <w:r w:rsidRPr="00295986">
              <w:t>0</w:t>
            </w:r>
            <w:r w:rsidR="00D7157D">
              <w:t>.</w:t>
            </w:r>
            <w:r w:rsidRPr="00295986">
              <w:t>6855</w:t>
            </w:r>
          </w:p>
        </w:tc>
        <w:tc>
          <w:tcPr>
            <w:tcW w:w="966" w:type="pct"/>
            <w:tcBorders>
              <w:top w:val="single" w:sz="4" w:space="0" w:color="auto"/>
              <w:bottom w:val="single" w:sz="4" w:space="0" w:color="auto"/>
            </w:tcBorders>
            <w:vAlign w:val="bottom"/>
          </w:tcPr>
          <w:p w14:paraId="0A5A1CE9" w14:textId="77777777" w:rsidR="006A2074" w:rsidRPr="00C971C6" w:rsidRDefault="006A2074" w:rsidP="00F36942">
            <w:pPr>
              <w:pStyle w:val="Tabletext"/>
              <w:rPr>
                <w:snapToGrid w:val="0"/>
              </w:rPr>
            </w:pPr>
            <w:r w:rsidRPr="00295986">
              <w:t>26</w:t>
            </w:r>
            <w:r w:rsidR="00D7157D">
              <w:t>.</w:t>
            </w:r>
            <w:r w:rsidRPr="00295986">
              <w:t>0082</w:t>
            </w:r>
          </w:p>
        </w:tc>
        <w:tc>
          <w:tcPr>
            <w:tcW w:w="966" w:type="pct"/>
            <w:tcBorders>
              <w:top w:val="single" w:sz="4" w:space="0" w:color="auto"/>
              <w:bottom w:val="single" w:sz="4" w:space="0" w:color="auto"/>
            </w:tcBorders>
            <w:vAlign w:val="bottom"/>
          </w:tcPr>
          <w:p w14:paraId="3E13BD28" w14:textId="77777777" w:rsidR="006A2074" w:rsidRPr="00C971C6" w:rsidRDefault="006A2074" w:rsidP="00F36942">
            <w:pPr>
              <w:pStyle w:val="Tabletext"/>
              <w:rPr>
                <w:snapToGrid w:val="0"/>
              </w:rPr>
            </w:pPr>
            <w:r w:rsidRPr="00295986">
              <w:t>0</w:t>
            </w:r>
            <w:r w:rsidR="00D7157D">
              <w:t>.</w:t>
            </w:r>
            <w:r w:rsidRPr="00295986">
              <w:t>2789</w:t>
            </w:r>
          </w:p>
        </w:tc>
      </w:tr>
      <w:tr w:rsidR="006A2074" w:rsidRPr="009E2595" w14:paraId="59D77740" w14:textId="77777777" w:rsidTr="00F36942">
        <w:trPr>
          <w:cantSplit/>
        </w:trPr>
        <w:tc>
          <w:tcPr>
            <w:tcW w:w="1136" w:type="pct"/>
            <w:tcBorders>
              <w:top w:val="single" w:sz="4" w:space="0" w:color="auto"/>
              <w:bottom w:val="single" w:sz="4" w:space="0" w:color="auto"/>
            </w:tcBorders>
          </w:tcPr>
          <w:p w14:paraId="12229322" w14:textId="77777777" w:rsidR="006A2074" w:rsidRPr="00616B26" w:rsidRDefault="006A2074" w:rsidP="00F36942">
            <w:pPr>
              <w:pStyle w:val="Tabletext"/>
              <w:rPr>
                <w:snapToGrid w:val="0"/>
              </w:rPr>
            </w:pPr>
            <w:r w:rsidRPr="00616B26">
              <w:rPr>
                <w:snapToGrid w:val="0"/>
              </w:rPr>
              <w:t>25</w:t>
            </w:r>
          </w:p>
        </w:tc>
        <w:tc>
          <w:tcPr>
            <w:tcW w:w="966" w:type="pct"/>
            <w:tcBorders>
              <w:top w:val="single" w:sz="4" w:space="0" w:color="auto"/>
              <w:bottom w:val="single" w:sz="4" w:space="0" w:color="auto"/>
            </w:tcBorders>
            <w:vAlign w:val="bottom"/>
          </w:tcPr>
          <w:p w14:paraId="53733320" w14:textId="77777777" w:rsidR="006A2074" w:rsidRPr="00C971C6" w:rsidRDefault="006A2074" w:rsidP="00F36942">
            <w:pPr>
              <w:pStyle w:val="Tabletext"/>
              <w:rPr>
                <w:snapToGrid w:val="0"/>
              </w:rPr>
            </w:pPr>
            <w:r w:rsidRPr="00295986">
              <w:t>25</w:t>
            </w:r>
            <w:r w:rsidR="00D7157D">
              <w:t>.</w:t>
            </w:r>
            <w:r w:rsidRPr="00295986">
              <w:t>5082</w:t>
            </w:r>
          </w:p>
        </w:tc>
        <w:tc>
          <w:tcPr>
            <w:tcW w:w="966" w:type="pct"/>
            <w:tcBorders>
              <w:top w:val="single" w:sz="4" w:space="0" w:color="auto"/>
              <w:bottom w:val="single" w:sz="4" w:space="0" w:color="auto"/>
            </w:tcBorders>
            <w:vAlign w:val="bottom"/>
          </w:tcPr>
          <w:p w14:paraId="057D402D" w14:textId="77777777" w:rsidR="006A2074" w:rsidRPr="00C971C6" w:rsidRDefault="006A2074" w:rsidP="00F36942">
            <w:pPr>
              <w:pStyle w:val="Tabletext"/>
              <w:rPr>
                <w:snapToGrid w:val="0"/>
              </w:rPr>
            </w:pPr>
            <w:r w:rsidRPr="00295986">
              <w:t>0</w:t>
            </w:r>
            <w:r w:rsidR="00D7157D">
              <w:t>.</w:t>
            </w:r>
            <w:r w:rsidRPr="00295986">
              <w:t>7089</w:t>
            </w:r>
          </w:p>
        </w:tc>
        <w:tc>
          <w:tcPr>
            <w:tcW w:w="966" w:type="pct"/>
            <w:tcBorders>
              <w:top w:val="single" w:sz="4" w:space="0" w:color="auto"/>
              <w:bottom w:val="single" w:sz="4" w:space="0" w:color="auto"/>
            </w:tcBorders>
            <w:vAlign w:val="bottom"/>
          </w:tcPr>
          <w:p w14:paraId="3113A0E4" w14:textId="77777777" w:rsidR="006A2074" w:rsidRPr="00C971C6" w:rsidRDefault="006A2074" w:rsidP="00F36942">
            <w:pPr>
              <w:pStyle w:val="Tabletext"/>
              <w:rPr>
                <w:snapToGrid w:val="0"/>
              </w:rPr>
            </w:pPr>
            <w:r w:rsidRPr="00295986">
              <w:t>25</w:t>
            </w:r>
            <w:r w:rsidR="00D7157D">
              <w:t>.</w:t>
            </w:r>
            <w:r w:rsidRPr="00295986">
              <w:t>9003</w:t>
            </w:r>
          </w:p>
        </w:tc>
        <w:tc>
          <w:tcPr>
            <w:tcW w:w="966" w:type="pct"/>
            <w:tcBorders>
              <w:top w:val="single" w:sz="4" w:space="0" w:color="auto"/>
              <w:bottom w:val="single" w:sz="4" w:space="0" w:color="auto"/>
            </w:tcBorders>
            <w:vAlign w:val="bottom"/>
          </w:tcPr>
          <w:p w14:paraId="59101A8D" w14:textId="77777777" w:rsidR="006A2074" w:rsidRPr="00C971C6" w:rsidRDefault="006A2074" w:rsidP="00F36942">
            <w:pPr>
              <w:pStyle w:val="Tabletext"/>
              <w:rPr>
                <w:snapToGrid w:val="0"/>
              </w:rPr>
            </w:pPr>
            <w:r w:rsidRPr="00295986">
              <w:t>0</w:t>
            </w:r>
            <w:r w:rsidR="00D7157D">
              <w:t>.</w:t>
            </w:r>
            <w:r w:rsidRPr="00295986">
              <w:t>2894</w:t>
            </w:r>
          </w:p>
        </w:tc>
      </w:tr>
      <w:tr w:rsidR="006A2074" w:rsidRPr="009E2595" w14:paraId="46CFC3D0" w14:textId="77777777" w:rsidTr="00F36942">
        <w:trPr>
          <w:cantSplit/>
        </w:trPr>
        <w:tc>
          <w:tcPr>
            <w:tcW w:w="1136" w:type="pct"/>
            <w:tcBorders>
              <w:top w:val="single" w:sz="4" w:space="0" w:color="auto"/>
              <w:bottom w:val="single" w:sz="4" w:space="0" w:color="auto"/>
            </w:tcBorders>
          </w:tcPr>
          <w:p w14:paraId="3A06BEE6" w14:textId="77777777" w:rsidR="006A2074" w:rsidRPr="00616B26" w:rsidRDefault="006A2074" w:rsidP="00F36942">
            <w:pPr>
              <w:pStyle w:val="Tabletext"/>
              <w:rPr>
                <w:snapToGrid w:val="0"/>
              </w:rPr>
            </w:pPr>
            <w:r w:rsidRPr="00616B26">
              <w:rPr>
                <w:snapToGrid w:val="0"/>
              </w:rPr>
              <w:t>26</w:t>
            </w:r>
          </w:p>
        </w:tc>
        <w:tc>
          <w:tcPr>
            <w:tcW w:w="966" w:type="pct"/>
            <w:tcBorders>
              <w:top w:val="single" w:sz="4" w:space="0" w:color="auto"/>
              <w:bottom w:val="single" w:sz="4" w:space="0" w:color="auto"/>
            </w:tcBorders>
            <w:vAlign w:val="bottom"/>
          </w:tcPr>
          <w:p w14:paraId="2FD63F91" w14:textId="77777777" w:rsidR="006A2074" w:rsidRPr="00C971C6" w:rsidRDefault="006A2074" w:rsidP="00F36942">
            <w:pPr>
              <w:pStyle w:val="Tabletext"/>
              <w:rPr>
                <w:snapToGrid w:val="0"/>
              </w:rPr>
            </w:pPr>
            <w:r w:rsidRPr="00295986">
              <w:t>25</w:t>
            </w:r>
            <w:r w:rsidR="00D7157D">
              <w:t>.</w:t>
            </w:r>
            <w:r w:rsidRPr="00295986">
              <w:t>3857</w:t>
            </w:r>
          </w:p>
        </w:tc>
        <w:tc>
          <w:tcPr>
            <w:tcW w:w="966" w:type="pct"/>
            <w:tcBorders>
              <w:top w:val="single" w:sz="4" w:space="0" w:color="auto"/>
              <w:bottom w:val="single" w:sz="4" w:space="0" w:color="auto"/>
            </w:tcBorders>
            <w:vAlign w:val="bottom"/>
          </w:tcPr>
          <w:p w14:paraId="4951787D" w14:textId="77777777" w:rsidR="006A2074" w:rsidRPr="00C971C6" w:rsidRDefault="006A2074" w:rsidP="00F36942">
            <w:pPr>
              <w:pStyle w:val="Tabletext"/>
              <w:rPr>
                <w:snapToGrid w:val="0"/>
              </w:rPr>
            </w:pPr>
            <w:r w:rsidRPr="00295986">
              <w:t>0</w:t>
            </w:r>
            <w:r w:rsidR="00D7157D">
              <w:t>.</w:t>
            </w:r>
            <w:r w:rsidRPr="00295986">
              <w:t>7331</w:t>
            </w:r>
          </w:p>
        </w:tc>
        <w:tc>
          <w:tcPr>
            <w:tcW w:w="966" w:type="pct"/>
            <w:tcBorders>
              <w:top w:val="single" w:sz="4" w:space="0" w:color="auto"/>
              <w:bottom w:val="single" w:sz="4" w:space="0" w:color="auto"/>
            </w:tcBorders>
            <w:vAlign w:val="bottom"/>
          </w:tcPr>
          <w:p w14:paraId="558832F1" w14:textId="77777777" w:rsidR="006A2074" w:rsidRPr="00C971C6" w:rsidRDefault="006A2074" w:rsidP="00F36942">
            <w:pPr>
              <w:pStyle w:val="Tabletext"/>
              <w:rPr>
                <w:snapToGrid w:val="0"/>
              </w:rPr>
            </w:pPr>
            <w:r w:rsidRPr="00295986">
              <w:t>25</w:t>
            </w:r>
            <w:r w:rsidR="00D7157D">
              <w:t>.</w:t>
            </w:r>
            <w:r w:rsidRPr="00295986">
              <w:t>7885</w:t>
            </w:r>
          </w:p>
        </w:tc>
        <w:tc>
          <w:tcPr>
            <w:tcW w:w="966" w:type="pct"/>
            <w:tcBorders>
              <w:top w:val="single" w:sz="4" w:space="0" w:color="auto"/>
              <w:bottom w:val="single" w:sz="4" w:space="0" w:color="auto"/>
            </w:tcBorders>
            <w:vAlign w:val="bottom"/>
          </w:tcPr>
          <w:p w14:paraId="65173817" w14:textId="77777777" w:rsidR="006A2074" w:rsidRPr="00C971C6" w:rsidRDefault="006A2074" w:rsidP="00F36942">
            <w:pPr>
              <w:pStyle w:val="Tabletext"/>
              <w:rPr>
                <w:snapToGrid w:val="0"/>
              </w:rPr>
            </w:pPr>
            <w:r w:rsidRPr="00295986">
              <w:t>0</w:t>
            </w:r>
            <w:r w:rsidR="00D7157D">
              <w:t>.</w:t>
            </w:r>
            <w:r w:rsidRPr="00295986">
              <w:t>3003</w:t>
            </w:r>
          </w:p>
        </w:tc>
      </w:tr>
      <w:tr w:rsidR="006A2074" w:rsidRPr="009E2595" w14:paraId="323E4617" w14:textId="77777777" w:rsidTr="00F36942">
        <w:trPr>
          <w:cantSplit/>
        </w:trPr>
        <w:tc>
          <w:tcPr>
            <w:tcW w:w="1136" w:type="pct"/>
            <w:tcBorders>
              <w:top w:val="single" w:sz="4" w:space="0" w:color="auto"/>
              <w:bottom w:val="single" w:sz="4" w:space="0" w:color="auto"/>
            </w:tcBorders>
          </w:tcPr>
          <w:p w14:paraId="2B97ED43" w14:textId="77777777" w:rsidR="006A2074" w:rsidRPr="00616B26" w:rsidRDefault="006A2074" w:rsidP="00F36942">
            <w:pPr>
              <w:pStyle w:val="Tabletext"/>
              <w:rPr>
                <w:snapToGrid w:val="0"/>
              </w:rPr>
            </w:pPr>
            <w:r w:rsidRPr="00616B26">
              <w:rPr>
                <w:snapToGrid w:val="0"/>
              </w:rPr>
              <w:t>27</w:t>
            </w:r>
          </w:p>
        </w:tc>
        <w:tc>
          <w:tcPr>
            <w:tcW w:w="966" w:type="pct"/>
            <w:tcBorders>
              <w:top w:val="single" w:sz="4" w:space="0" w:color="auto"/>
              <w:bottom w:val="single" w:sz="4" w:space="0" w:color="auto"/>
            </w:tcBorders>
            <w:vAlign w:val="bottom"/>
          </w:tcPr>
          <w:p w14:paraId="7E75EFFD" w14:textId="77777777" w:rsidR="006A2074" w:rsidRPr="00C971C6" w:rsidRDefault="006A2074" w:rsidP="00F36942">
            <w:pPr>
              <w:pStyle w:val="Tabletext"/>
              <w:rPr>
                <w:snapToGrid w:val="0"/>
              </w:rPr>
            </w:pPr>
            <w:r w:rsidRPr="00295986">
              <w:t>25</w:t>
            </w:r>
            <w:r w:rsidR="00D7157D">
              <w:t>.</w:t>
            </w:r>
            <w:r w:rsidRPr="00295986">
              <w:t>2589</w:t>
            </w:r>
          </w:p>
        </w:tc>
        <w:tc>
          <w:tcPr>
            <w:tcW w:w="966" w:type="pct"/>
            <w:tcBorders>
              <w:top w:val="single" w:sz="4" w:space="0" w:color="auto"/>
              <w:bottom w:val="single" w:sz="4" w:space="0" w:color="auto"/>
            </w:tcBorders>
            <w:vAlign w:val="bottom"/>
          </w:tcPr>
          <w:p w14:paraId="0D84B626" w14:textId="77777777" w:rsidR="006A2074" w:rsidRPr="00C971C6" w:rsidRDefault="006A2074" w:rsidP="00F36942">
            <w:pPr>
              <w:pStyle w:val="Tabletext"/>
              <w:rPr>
                <w:snapToGrid w:val="0"/>
              </w:rPr>
            </w:pPr>
            <w:r w:rsidRPr="00295986">
              <w:t>0</w:t>
            </w:r>
            <w:r w:rsidR="00D7157D">
              <w:t>.</w:t>
            </w:r>
            <w:r w:rsidRPr="00295986">
              <w:t>7582</w:t>
            </w:r>
          </w:p>
        </w:tc>
        <w:tc>
          <w:tcPr>
            <w:tcW w:w="966" w:type="pct"/>
            <w:tcBorders>
              <w:top w:val="single" w:sz="4" w:space="0" w:color="auto"/>
              <w:bottom w:val="single" w:sz="4" w:space="0" w:color="auto"/>
            </w:tcBorders>
            <w:vAlign w:val="bottom"/>
          </w:tcPr>
          <w:p w14:paraId="374C7F63" w14:textId="77777777" w:rsidR="006A2074" w:rsidRPr="00C971C6" w:rsidRDefault="006A2074" w:rsidP="00F36942">
            <w:pPr>
              <w:pStyle w:val="Tabletext"/>
              <w:rPr>
                <w:snapToGrid w:val="0"/>
              </w:rPr>
            </w:pPr>
            <w:r w:rsidRPr="00295986">
              <w:t>25</w:t>
            </w:r>
            <w:r w:rsidR="00D7157D">
              <w:t>.</w:t>
            </w:r>
            <w:r w:rsidRPr="00295986">
              <w:t>6724</w:t>
            </w:r>
          </w:p>
        </w:tc>
        <w:tc>
          <w:tcPr>
            <w:tcW w:w="966" w:type="pct"/>
            <w:tcBorders>
              <w:top w:val="single" w:sz="4" w:space="0" w:color="auto"/>
              <w:bottom w:val="single" w:sz="4" w:space="0" w:color="auto"/>
            </w:tcBorders>
            <w:vAlign w:val="bottom"/>
          </w:tcPr>
          <w:p w14:paraId="0CBFB98E" w14:textId="77777777" w:rsidR="006A2074" w:rsidRPr="00C971C6" w:rsidRDefault="006A2074" w:rsidP="00F36942">
            <w:pPr>
              <w:pStyle w:val="Tabletext"/>
              <w:rPr>
                <w:snapToGrid w:val="0"/>
              </w:rPr>
            </w:pPr>
            <w:r w:rsidRPr="00295986">
              <w:t>0</w:t>
            </w:r>
            <w:r w:rsidR="00D7157D">
              <w:t>.</w:t>
            </w:r>
            <w:r w:rsidRPr="00295986">
              <w:t>3116</w:t>
            </w:r>
          </w:p>
        </w:tc>
      </w:tr>
      <w:tr w:rsidR="006A2074" w:rsidRPr="009E2595" w14:paraId="3089DF84" w14:textId="77777777" w:rsidTr="00F36942">
        <w:trPr>
          <w:cantSplit/>
        </w:trPr>
        <w:tc>
          <w:tcPr>
            <w:tcW w:w="1136" w:type="pct"/>
            <w:tcBorders>
              <w:top w:val="single" w:sz="4" w:space="0" w:color="auto"/>
              <w:bottom w:val="single" w:sz="4" w:space="0" w:color="auto"/>
            </w:tcBorders>
          </w:tcPr>
          <w:p w14:paraId="1A13C177" w14:textId="77777777" w:rsidR="006A2074" w:rsidRPr="00616B26" w:rsidRDefault="006A2074" w:rsidP="00F36942">
            <w:pPr>
              <w:pStyle w:val="Tabletext"/>
              <w:rPr>
                <w:snapToGrid w:val="0"/>
              </w:rPr>
            </w:pPr>
            <w:r w:rsidRPr="00616B26">
              <w:rPr>
                <w:snapToGrid w:val="0"/>
              </w:rPr>
              <w:t>28</w:t>
            </w:r>
          </w:p>
        </w:tc>
        <w:tc>
          <w:tcPr>
            <w:tcW w:w="966" w:type="pct"/>
            <w:tcBorders>
              <w:top w:val="single" w:sz="4" w:space="0" w:color="auto"/>
              <w:bottom w:val="single" w:sz="4" w:space="0" w:color="auto"/>
            </w:tcBorders>
            <w:vAlign w:val="bottom"/>
          </w:tcPr>
          <w:p w14:paraId="02F1B54C" w14:textId="77777777" w:rsidR="006A2074" w:rsidRPr="00C971C6" w:rsidRDefault="006A2074" w:rsidP="00F36942">
            <w:pPr>
              <w:pStyle w:val="Tabletext"/>
              <w:rPr>
                <w:snapToGrid w:val="0"/>
              </w:rPr>
            </w:pPr>
            <w:r w:rsidRPr="00295986">
              <w:t>25</w:t>
            </w:r>
            <w:r w:rsidR="00D7157D">
              <w:t>.</w:t>
            </w:r>
            <w:r w:rsidRPr="00295986">
              <w:t>1276</w:t>
            </w:r>
          </w:p>
        </w:tc>
        <w:tc>
          <w:tcPr>
            <w:tcW w:w="966" w:type="pct"/>
            <w:tcBorders>
              <w:top w:val="single" w:sz="4" w:space="0" w:color="auto"/>
              <w:bottom w:val="single" w:sz="4" w:space="0" w:color="auto"/>
            </w:tcBorders>
            <w:vAlign w:val="bottom"/>
          </w:tcPr>
          <w:p w14:paraId="0DC4C788" w14:textId="77777777" w:rsidR="006A2074" w:rsidRPr="00C971C6" w:rsidRDefault="006A2074" w:rsidP="00F36942">
            <w:pPr>
              <w:pStyle w:val="Tabletext"/>
              <w:rPr>
                <w:snapToGrid w:val="0"/>
              </w:rPr>
            </w:pPr>
            <w:r w:rsidRPr="00295986">
              <w:t>0</w:t>
            </w:r>
            <w:r w:rsidR="00D7157D">
              <w:t>.</w:t>
            </w:r>
            <w:r w:rsidRPr="00295986">
              <w:t>7840</w:t>
            </w:r>
          </w:p>
        </w:tc>
        <w:tc>
          <w:tcPr>
            <w:tcW w:w="966" w:type="pct"/>
            <w:tcBorders>
              <w:top w:val="single" w:sz="4" w:space="0" w:color="auto"/>
              <w:bottom w:val="single" w:sz="4" w:space="0" w:color="auto"/>
            </w:tcBorders>
            <w:vAlign w:val="bottom"/>
          </w:tcPr>
          <w:p w14:paraId="5127523F" w14:textId="77777777" w:rsidR="006A2074" w:rsidRPr="00C971C6" w:rsidRDefault="006A2074" w:rsidP="00F36942">
            <w:pPr>
              <w:pStyle w:val="Tabletext"/>
              <w:rPr>
                <w:snapToGrid w:val="0"/>
              </w:rPr>
            </w:pPr>
            <w:r w:rsidRPr="00295986">
              <w:t>25</w:t>
            </w:r>
            <w:r w:rsidR="00D7157D">
              <w:t>.</w:t>
            </w:r>
            <w:r w:rsidRPr="00295986">
              <w:t>5521</w:t>
            </w:r>
          </w:p>
        </w:tc>
        <w:tc>
          <w:tcPr>
            <w:tcW w:w="966" w:type="pct"/>
            <w:tcBorders>
              <w:top w:val="single" w:sz="4" w:space="0" w:color="auto"/>
              <w:bottom w:val="single" w:sz="4" w:space="0" w:color="auto"/>
            </w:tcBorders>
            <w:vAlign w:val="bottom"/>
          </w:tcPr>
          <w:p w14:paraId="6C8B2150" w14:textId="77777777" w:rsidR="006A2074" w:rsidRPr="00C971C6" w:rsidRDefault="006A2074" w:rsidP="00F36942">
            <w:pPr>
              <w:pStyle w:val="Tabletext"/>
              <w:rPr>
                <w:snapToGrid w:val="0"/>
              </w:rPr>
            </w:pPr>
            <w:r w:rsidRPr="00295986">
              <w:t>0</w:t>
            </w:r>
            <w:r w:rsidR="00D7157D">
              <w:t>.</w:t>
            </w:r>
            <w:r w:rsidRPr="00295986">
              <w:t>3233</w:t>
            </w:r>
          </w:p>
        </w:tc>
      </w:tr>
      <w:tr w:rsidR="006A2074" w:rsidRPr="009E2595" w14:paraId="26D4478F" w14:textId="77777777" w:rsidTr="00F36942">
        <w:trPr>
          <w:cantSplit/>
        </w:trPr>
        <w:tc>
          <w:tcPr>
            <w:tcW w:w="1136" w:type="pct"/>
            <w:tcBorders>
              <w:top w:val="single" w:sz="4" w:space="0" w:color="auto"/>
              <w:bottom w:val="single" w:sz="4" w:space="0" w:color="auto"/>
            </w:tcBorders>
          </w:tcPr>
          <w:p w14:paraId="3450A2B2" w14:textId="77777777" w:rsidR="006A2074" w:rsidRPr="00616B26" w:rsidRDefault="006A2074" w:rsidP="00F36942">
            <w:pPr>
              <w:pStyle w:val="Tabletext"/>
              <w:rPr>
                <w:snapToGrid w:val="0"/>
              </w:rPr>
            </w:pPr>
            <w:r w:rsidRPr="00616B26">
              <w:rPr>
                <w:snapToGrid w:val="0"/>
              </w:rPr>
              <w:t>29</w:t>
            </w:r>
          </w:p>
        </w:tc>
        <w:tc>
          <w:tcPr>
            <w:tcW w:w="966" w:type="pct"/>
            <w:tcBorders>
              <w:top w:val="single" w:sz="4" w:space="0" w:color="auto"/>
              <w:bottom w:val="single" w:sz="4" w:space="0" w:color="auto"/>
            </w:tcBorders>
            <w:vAlign w:val="bottom"/>
          </w:tcPr>
          <w:p w14:paraId="147E550B" w14:textId="77777777" w:rsidR="006A2074" w:rsidRPr="00C971C6" w:rsidRDefault="006A2074" w:rsidP="00F36942">
            <w:pPr>
              <w:pStyle w:val="Tabletext"/>
              <w:rPr>
                <w:snapToGrid w:val="0"/>
              </w:rPr>
            </w:pPr>
            <w:r w:rsidRPr="00295986">
              <w:t>24</w:t>
            </w:r>
            <w:r w:rsidR="00D7157D">
              <w:t>.</w:t>
            </w:r>
            <w:r w:rsidRPr="00295986">
              <w:t>9917</w:t>
            </w:r>
          </w:p>
        </w:tc>
        <w:tc>
          <w:tcPr>
            <w:tcW w:w="966" w:type="pct"/>
            <w:tcBorders>
              <w:top w:val="single" w:sz="4" w:space="0" w:color="auto"/>
              <w:bottom w:val="single" w:sz="4" w:space="0" w:color="auto"/>
            </w:tcBorders>
            <w:vAlign w:val="bottom"/>
          </w:tcPr>
          <w:p w14:paraId="4D913A52" w14:textId="77777777" w:rsidR="006A2074" w:rsidRPr="00C971C6" w:rsidRDefault="006A2074" w:rsidP="00F36942">
            <w:pPr>
              <w:pStyle w:val="Tabletext"/>
              <w:rPr>
                <w:snapToGrid w:val="0"/>
              </w:rPr>
            </w:pPr>
            <w:r w:rsidRPr="00295986">
              <w:t>0</w:t>
            </w:r>
            <w:r w:rsidR="00D7157D">
              <w:t>.</w:t>
            </w:r>
            <w:r w:rsidRPr="00295986">
              <w:t>8107</w:t>
            </w:r>
          </w:p>
        </w:tc>
        <w:tc>
          <w:tcPr>
            <w:tcW w:w="966" w:type="pct"/>
            <w:tcBorders>
              <w:top w:val="single" w:sz="4" w:space="0" w:color="auto"/>
              <w:bottom w:val="single" w:sz="4" w:space="0" w:color="auto"/>
            </w:tcBorders>
            <w:vAlign w:val="bottom"/>
          </w:tcPr>
          <w:p w14:paraId="577745E3" w14:textId="77777777" w:rsidR="006A2074" w:rsidRPr="00C971C6" w:rsidRDefault="006A2074" w:rsidP="00F36942">
            <w:pPr>
              <w:pStyle w:val="Tabletext"/>
              <w:rPr>
                <w:snapToGrid w:val="0"/>
              </w:rPr>
            </w:pPr>
            <w:r w:rsidRPr="00295986">
              <w:t>25</w:t>
            </w:r>
            <w:r w:rsidR="00D7157D">
              <w:t>.</w:t>
            </w:r>
            <w:r w:rsidRPr="00295986">
              <w:t>4276</w:t>
            </w:r>
          </w:p>
        </w:tc>
        <w:tc>
          <w:tcPr>
            <w:tcW w:w="966" w:type="pct"/>
            <w:tcBorders>
              <w:top w:val="single" w:sz="4" w:space="0" w:color="auto"/>
              <w:bottom w:val="single" w:sz="4" w:space="0" w:color="auto"/>
            </w:tcBorders>
            <w:vAlign w:val="bottom"/>
          </w:tcPr>
          <w:p w14:paraId="15C0F719" w14:textId="77777777" w:rsidR="006A2074" w:rsidRPr="00C971C6" w:rsidRDefault="006A2074" w:rsidP="00F36942">
            <w:pPr>
              <w:pStyle w:val="Tabletext"/>
              <w:rPr>
                <w:snapToGrid w:val="0"/>
              </w:rPr>
            </w:pPr>
            <w:r w:rsidRPr="00295986">
              <w:t>0</w:t>
            </w:r>
            <w:r w:rsidR="00D7157D">
              <w:t>.</w:t>
            </w:r>
            <w:r w:rsidRPr="00295986">
              <w:t>3354</w:t>
            </w:r>
          </w:p>
        </w:tc>
      </w:tr>
      <w:tr w:rsidR="006A2074" w:rsidRPr="009E2595" w14:paraId="4FFB20CE" w14:textId="77777777" w:rsidTr="00F36942">
        <w:trPr>
          <w:cantSplit/>
        </w:trPr>
        <w:tc>
          <w:tcPr>
            <w:tcW w:w="1136" w:type="pct"/>
            <w:tcBorders>
              <w:top w:val="single" w:sz="4" w:space="0" w:color="auto"/>
              <w:bottom w:val="single" w:sz="4" w:space="0" w:color="auto"/>
            </w:tcBorders>
          </w:tcPr>
          <w:p w14:paraId="38CA0BBF" w14:textId="77777777" w:rsidR="006A2074" w:rsidRPr="00616B26" w:rsidRDefault="006A2074" w:rsidP="00F36942">
            <w:pPr>
              <w:pStyle w:val="Tabletext"/>
              <w:rPr>
                <w:snapToGrid w:val="0"/>
              </w:rPr>
            </w:pPr>
            <w:r w:rsidRPr="00616B26">
              <w:rPr>
                <w:snapToGrid w:val="0"/>
              </w:rPr>
              <w:t>30</w:t>
            </w:r>
          </w:p>
        </w:tc>
        <w:tc>
          <w:tcPr>
            <w:tcW w:w="966" w:type="pct"/>
            <w:tcBorders>
              <w:top w:val="single" w:sz="4" w:space="0" w:color="auto"/>
              <w:bottom w:val="single" w:sz="4" w:space="0" w:color="auto"/>
            </w:tcBorders>
            <w:vAlign w:val="bottom"/>
          </w:tcPr>
          <w:p w14:paraId="3A316D36" w14:textId="77777777" w:rsidR="006A2074" w:rsidRPr="00C971C6" w:rsidRDefault="006A2074" w:rsidP="00F36942">
            <w:pPr>
              <w:pStyle w:val="Tabletext"/>
              <w:rPr>
                <w:snapToGrid w:val="0"/>
              </w:rPr>
            </w:pPr>
            <w:r w:rsidRPr="00295986">
              <w:t>24</w:t>
            </w:r>
            <w:r w:rsidR="00D7157D">
              <w:t>.</w:t>
            </w:r>
            <w:r w:rsidRPr="00295986">
              <w:t>8510</w:t>
            </w:r>
          </w:p>
        </w:tc>
        <w:tc>
          <w:tcPr>
            <w:tcW w:w="966" w:type="pct"/>
            <w:tcBorders>
              <w:top w:val="single" w:sz="4" w:space="0" w:color="auto"/>
              <w:bottom w:val="single" w:sz="4" w:space="0" w:color="auto"/>
            </w:tcBorders>
            <w:vAlign w:val="bottom"/>
          </w:tcPr>
          <w:p w14:paraId="15378DC2" w14:textId="77777777" w:rsidR="006A2074" w:rsidRPr="00C971C6" w:rsidRDefault="006A2074" w:rsidP="00F36942">
            <w:pPr>
              <w:pStyle w:val="Tabletext"/>
              <w:rPr>
                <w:snapToGrid w:val="0"/>
              </w:rPr>
            </w:pPr>
            <w:r w:rsidRPr="00295986">
              <w:t>0</w:t>
            </w:r>
            <w:r w:rsidR="00D7157D">
              <w:t>.</w:t>
            </w:r>
            <w:r w:rsidRPr="00295986">
              <w:t>8383</w:t>
            </w:r>
          </w:p>
        </w:tc>
        <w:tc>
          <w:tcPr>
            <w:tcW w:w="966" w:type="pct"/>
            <w:tcBorders>
              <w:top w:val="single" w:sz="4" w:space="0" w:color="auto"/>
              <w:bottom w:val="single" w:sz="4" w:space="0" w:color="auto"/>
            </w:tcBorders>
            <w:vAlign w:val="bottom"/>
          </w:tcPr>
          <w:p w14:paraId="0F45F67D" w14:textId="77777777" w:rsidR="006A2074" w:rsidRPr="00C971C6" w:rsidRDefault="006A2074" w:rsidP="00F36942">
            <w:pPr>
              <w:pStyle w:val="Tabletext"/>
              <w:rPr>
                <w:snapToGrid w:val="0"/>
              </w:rPr>
            </w:pPr>
            <w:r w:rsidRPr="00295986">
              <w:t>25</w:t>
            </w:r>
            <w:r w:rsidR="00D7157D">
              <w:t>.</w:t>
            </w:r>
            <w:r w:rsidRPr="00295986">
              <w:t>2987</w:t>
            </w:r>
          </w:p>
        </w:tc>
        <w:tc>
          <w:tcPr>
            <w:tcW w:w="966" w:type="pct"/>
            <w:tcBorders>
              <w:top w:val="single" w:sz="4" w:space="0" w:color="auto"/>
              <w:bottom w:val="single" w:sz="4" w:space="0" w:color="auto"/>
            </w:tcBorders>
            <w:vAlign w:val="bottom"/>
          </w:tcPr>
          <w:p w14:paraId="0A0DD6EE" w14:textId="77777777" w:rsidR="006A2074" w:rsidRPr="00C971C6" w:rsidRDefault="006A2074" w:rsidP="00F36942">
            <w:pPr>
              <w:pStyle w:val="Tabletext"/>
              <w:rPr>
                <w:snapToGrid w:val="0"/>
              </w:rPr>
            </w:pPr>
            <w:r w:rsidRPr="00295986">
              <w:t>0</w:t>
            </w:r>
            <w:r w:rsidR="00D7157D">
              <w:t>.</w:t>
            </w:r>
            <w:r w:rsidRPr="00295986">
              <w:t>3478</w:t>
            </w:r>
          </w:p>
        </w:tc>
      </w:tr>
      <w:tr w:rsidR="006A2074" w:rsidRPr="009E2595" w14:paraId="0C992D22" w14:textId="77777777" w:rsidTr="00F36942">
        <w:trPr>
          <w:cantSplit/>
        </w:trPr>
        <w:tc>
          <w:tcPr>
            <w:tcW w:w="1136" w:type="pct"/>
            <w:tcBorders>
              <w:top w:val="single" w:sz="4" w:space="0" w:color="auto"/>
              <w:bottom w:val="single" w:sz="4" w:space="0" w:color="auto"/>
            </w:tcBorders>
          </w:tcPr>
          <w:p w14:paraId="70266F73" w14:textId="77777777" w:rsidR="006A2074" w:rsidRPr="00616B26" w:rsidRDefault="006A2074" w:rsidP="00F36942">
            <w:pPr>
              <w:pStyle w:val="Tabletext"/>
              <w:rPr>
                <w:snapToGrid w:val="0"/>
              </w:rPr>
            </w:pPr>
            <w:r w:rsidRPr="00616B26">
              <w:rPr>
                <w:snapToGrid w:val="0"/>
              </w:rPr>
              <w:t>31</w:t>
            </w:r>
          </w:p>
        </w:tc>
        <w:tc>
          <w:tcPr>
            <w:tcW w:w="966" w:type="pct"/>
            <w:tcBorders>
              <w:top w:val="single" w:sz="4" w:space="0" w:color="auto"/>
              <w:bottom w:val="single" w:sz="4" w:space="0" w:color="auto"/>
            </w:tcBorders>
            <w:vAlign w:val="bottom"/>
          </w:tcPr>
          <w:p w14:paraId="0D8E8F35" w14:textId="77777777" w:rsidR="006A2074" w:rsidRPr="00C971C6" w:rsidRDefault="006A2074" w:rsidP="00F36942">
            <w:pPr>
              <w:pStyle w:val="Tabletext"/>
              <w:rPr>
                <w:snapToGrid w:val="0"/>
              </w:rPr>
            </w:pPr>
            <w:r w:rsidRPr="00295986">
              <w:t>24</w:t>
            </w:r>
            <w:r w:rsidR="00D7157D">
              <w:t>.</w:t>
            </w:r>
            <w:r w:rsidRPr="00295986">
              <w:t>7054</w:t>
            </w:r>
          </w:p>
        </w:tc>
        <w:tc>
          <w:tcPr>
            <w:tcW w:w="966" w:type="pct"/>
            <w:tcBorders>
              <w:top w:val="single" w:sz="4" w:space="0" w:color="auto"/>
              <w:bottom w:val="single" w:sz="4" w:space="0" w:color="auto"/>
            </w:tcBorders>
            <w:vAlign w:val="bottom"/>
          </w:tcPr>
          <w:p w14:paraId="3118A49E" w14:textId="77777777" w:rsidR="006A2074" w:rsidRPr="00C971C6" w:rsidRDefault="006A2074" w:rsidP="00F36942">
            <w:pPr>
              <w:pStyle w:val="Tabletext"/>
              <w:rPr>
                <w:snapToGrid w:val="0"/>
              </w:rPr>
            </w:pPr>
            <w:r w:rsidRPr="00295986">
              <w:t>0</w:t>
            </w:r>
            <w:r w:rsidR="00D7157D">
              <w:t>.</w:t>
            </w:r>
            <w:r w:rsidRPr="00295986">
              <w:t>8666</w:t>
            </w:r>
          </w:p>
        </w:tc>
        <w:tc>
          <w:tcPr>
            <w:tcW w:w="966" w:type="pct"/>
            <w:tcBorders>
              <w:top w:val="single" w:sz="4" w:space="0" w:color="auto"/>
              <w:bottom w:val="single" w:sz="4" w:space="0" w:color="auto"/>
            </w:tcBorders>
            <w:vAlign w:val="bottom"/>
          </w:tcPr>
          <w:p w14:paraId="19701C5D" w14:textId="77777777" w:rsidR="006A2074" w:rsidRPr="00C971C6" w:rsidRDefault="006A2074" w:rsidP="00F36942">
            <w:pPr>
              <w:pStyle w:val="Tabletext"/>
              <w:rPr>
                <w:snapToGrid w:val="0"/>
              </w:rPr>
            </w:pPr>
            <w:r w:rsidRPr="00295986">
              <w:t>25</w:t>
            </w:r>
            <w:r w:rsidR="00D7157D">
              <w:t>.</w:t>
            </w:r>
            <w:r w:rsidRPr="00295986">
              <w:t>1651</w:t>
            </w:r>
          </w:p>
        </w:tc>
        <w:tc>
          <w:tcPr>
            <w:tcW w:w="966" w:type="pct"/>
            <w:tcBorders>
              <w:top w:val="single" w:sz="4" w:space="0" w:color="auto"/>
              <w:bottom w:val="single" w:sz="4" w:space="0" w:color="auto"/>
            </w:tcBorders>
            <w:vAlign w:val="bottom"/>
          </w:tcPr>
          <w:p w14:paraId="7CFCE2E4" w14:textId="77777777" w:rsidR="006A2074" w:rsidRPr="00C971C6" w:rsidRDefault="006A2074" w:rsidP="00F36942">
            <w:pPr>
              <w:pStyle w:val="Tabletext"/>
              <w:rPr>
                <w:snapToGrid w:val="0"/>
              </w:rPr>
            </w:pPr>
            <w:r w:rsidRPr="00295986">
              <w:t>0</w:t>
            </w:r>
            <w:r w:rsidR="00D7157D">
              <w:t>.</w:t>
            </w:r>
            <w:r w:rsidRPr="00295986">
              <w:t>3606</w:t>
            </w:r>
          </w:p>
        </w:tc>
      </w:tr>
      <w:tr w:rsidR="006A2074" w:rsidRPr="009E2595" w14:paraId="53CC34E7" w14:textId="77777777" w:rsidTr="00F36942">
        <w:trPr>
          <w:cantSplit/>
        </w:trPr>
        <w:tc>
          <w:tcPr>
            <w:tcW w:w="1136" w:type="pct"/>
            <w:tcBorders>
              <w:top w:val="single" w:sz="4" w:space="0" w:color="auto"/>
              <w:bottom w:val="single" w:sz="4" w:space="0" w:color="auto"/>
            </w:tcBorders>
          </w:tcPr>
          <w:p w14:paraId="6B651ED5" w14:textId="77777777" w:rsidR="006A2074" w:rsidRPr="00616B26" w:rsidRDefault="006A2074" w:rsidP="00F36942">
            <w:pPr>
              <w:pStyle w:val="Tabletext"/>
              <w:rPr>
                <w:snapToGrid w:val="0"/>
              </w:rPr>
            </w:pPr>
            <w:r w:rsidRPr="00616B26">
              <w:rPr>
                <w:snapToGrid w:val="0"/>
              </w:rPr>
              <w:t>32</w:t>
            </w:r>
          </w:p>
        </w:tc>
        <w:tc>
          <w:tcPr>
            <w:tcW w:w="966" w:type="pct"/>
            <w:tcBorders>
              <w:top w:val="single" w:sz="4" w:space="0" w:color="auto"/>
              <w:bottom w:val="single" w:sz="4" w:space="0" w:color="auto"/>
            </w:tcBorders>
            <w:vAlign w:val="bottom"/>
          </w:tcPr>
          <w:p w14:paraId="215CB509" w14:textId="77777777" w:rsidR="006A2074" w:rsidRPr="00C971C6" w:rsidRDefault="006A2074" w:rsidP="00F36942">
            <w:pPr>
              <w:pStyle w:val="Tabletext"/>
              <w:rPr>
                <w:snapToGrid w:val="0"/>
              </w:rPr>
            </w:pPr>
            <w:r w:rsidRPr="00295986">
              <w:t>24</w:t>
            </w:r>
            <w:r w:rsidR="00D7157D">
              <w:t>.</w:t>
            </w:r>
            <w:r w:rsidRPr="00295986">
              <w:t>5548</w:t>
            </w:r>
          </w:p>
        </w:tc>
        <w:tc>
          <w:tcPr>
            <w:tcW w:w="966" w:type="pct"/>
            <w:tcBorders>
              <w:top w:val="single" w:sz="4" w:space="0" w:color="auto"/>
              <w:bottom w:val="single" w:sz="4" w:space="0" w:color="auto"/>
            </w:tcBorders>
            <w:vAlign w:val="bottom"/>
          </w:tcPr>
          <w:p w14:paraId="7C99E438" w14:textId="77777777" w:rsidR="006A2074" w:rsidRPr="00C971C6" w:rsidRDefault="006A2074" w:rsidP="00F36942">
            <w:pPr>
              <w:pStyle w:val="Tabletext"/>
              <w:rPr>
                <w:snapToGrid w:val="0"/>
              </w:rPr>
            </w:pPr>
            <w:r w:rsidRPr="00295986">
              <w:t>0</w:t>
            </w:r>
            <w:r w:rsidR="00D7157D">
              <w:t>.</w:t>
            </w:r>
            <w:r w:rsidRPr="00295986">
              <w:t>8959</w:t>
            </w:r>
          </w:p>
        </w:tc>
        <w:tc>
          <w:tcPr>
            <w:tcW w:w="966" w:type="pct"/>
            <w:tcBorders>
              <w:top w:val="single" w:sz="4" w:space="0" w:color="auto"/>
              <w:bottom w:val="single" w:sz="4" w:space="0" w:color="auto"/>
            </w:tcBorders>
            <w:vAlign w:val="bottom"/>
          </w:tcPr>
          <w:p w14:paraId="36D54343" w14:textId="77777777" w:rsidR="006A2074" w:rsidRPr="00C971C6" w:rsidRDefault="006A2074" w:rsidP="00F36942">
            <w:pPr>
              <w:pStyle w:val="Tabletext"/>
              <w:rPr>
                <w:snapToGrid w:val="0"/>
              </w:rPr>
            </w:pPr>
            <w:r w:rsidRPr="00295986">
              <w:t>25</w:t>
            </w:r>
            <w:r w:rsidR="00D7157D">
              <w:t>.</w:t>
            </w:r>
            <w:r w:rsidRPr="00295986">
              <w:t>0270</w:t>
            </w:r>
          </w:p>
        </w:tc>
        <w:tc>
          <w:tcPr>
            <w:tcW w:w="966" w:type="pct"/>
            <w:tcBorders>
              <w:top w:val="single" w:sz="4" w:space="0" w:color="auto"/>
              <w:bottom w:val="single" w:sz="4" w:space="0" w:color="auto"/>
            </w:tcBorders>
            <w:vAlign w:val="bottom"/>
          </w:tcPr>
          <w:p w14:paraId="2E823230" w14:textId="77777777" w:rsidR="006A2074" w:rsidRPr="00C971C6" w:rsidRDefault="006A2074" w:rsidP="00F36942">
            <w:pPr>
              <w:pStyle w:val="Tabletext"/>
              <w:rPr>
                <w:snapToGrid w:val="0"/>
              </w:rPr>
            </w:pPr>
            <w:r w:rsidRPr="00295986">
              <w:t>0</w:t>
            </w:r>
            <w:r w:rsidR="00D7157D">
              <w:t>.</w:t>
            </w:r>
            <w:r w:rsidRPr="00295986">
              <w:t>3738</w:t>
            </w:r>
          </w:p>
        </w:tc>
      </w:tr>
      <w:tr w:rsidR="006A2074" w:rsidRPr="009E2595" w14:paraId="20892B69" w14:textId="77777777" w:rsidTr="00F36942">
        <w:trPr>
          <w:cantSplit/>
        </w:trPr>
        <w:tc>
          <w:tcPr>
            <w:tcW w:w="1136" w:type="pct"/>
            <w:tcBorders>
              <w:top w:val="single" w:sz="4" w:space="0" w:color="auto"/>
              <w:bottom w:val="single" w:sz="4" w:space="0" w:color="auto"/>
            </w:tcBorders>
          </w:tcPr>
          <w:p w14:paraId="5C16571C" w14:textId="77777777" w:rsidR="006A2074" w:rsidRPr="00616B26" w:rsidRDefault="006A2074" w:rsidP="00F36942">
            <w:pPr>
              <w:pStyle w:val="Tabletext"/>
              <w:rPr>
                <w:snapToGrid w:val="0"/>
              </w:rPr>
            </w:pPr>
            <w:r w:rsidRPr="00616B26">
              <w:rPr>
                <w:snapToGrid w:val="0"/>
              </w:rPr>
              <w:t>33</w:t>
            </w:r>
          </w:p>
        </w:tc>
        <w:tc>
          <w:tcPr>
            <w:tcW w:w="966" w:type="pct"/>
            <w:tcBorders>
              <w:top w:val="single" w:sz="4" w:space="0" w:color="auto"/>
              <w:bottom w:val="single" w:sz="4" w:space="0" w:color="auto"/>
            </w:tcBorders>
            <w:vAlign w:val="bottom"/>
          </w:tcPr>
          <w:p w14:paraId="6018BB2A" w14:textId="77777777" w:rsidR="006A2074" w:rsidRPr="00C971C6" w:rsidRDefault="006A2074" w:rsidP="00F36942">
            <w:pPr>
              <w:pStyle w:val="Tabletext"/>
              <w:rPr>
                <w:snapToGrid w:val="0"/>
              </w:rPr>
            </w:pPr>
            <w:r w:rsidRPr="00295986">
              <w:t>24</w:t>
            </w:r>
            <w:r w:rsidR="00D7157D">
              <w:t>.</w:t>
            </w:r>
            <w:r w:rsidRPr="00295986">
              <w:t>3990</w:t>
            </w:r>
          </w:p>
        </w:tc>
        <w:tc>
          <w:tcPr>
            <w:tcW w:w="966" w:type="pct"/>
            <w:tcBorders>
              <w:top w:val="single" w:sz="4" w:space="0" w:color="auto"/>
              <w:bottom w:val="single" w:sz="4" w:space="0" w:color="auto"/>
            </w:tcBorders>
            <w:vAlign w:val="bottom"/>
          </w:tcPr>
          <w:p w14:paraId="2FD12CF9" w14:textId="77777777" w:rsidR="006A2074" w:rsidRPr="00C971C6" w:rsidRDefault="006A2074" w:rsidP="00F36942">
            <w:pPr>
              <w:pStyle w:val="Tabletext"/>
              <w:rPr>
                <w:snapToGrid w:val="0"/>
              </w:rPr>
            </w:pPr>
            <w:r w:rsidRPr="00295986">
              <w:t>0</w:t>
            </w:r>
            <w:r w:rsidR="00D7157D">
              <w:t>.</w:t>
            </w:r>
            <w:r w:rsidRPr="00295986">
              <w:t>9260</w:t>
            </w:r>
          </w:p>
        </w:tc>
        <w:tc>
          <w:tcPr>
            <w:tcW w:w="966" w:type="pct"/>
            <w:tcBorders>
              <w:top w:val="single" w:sz="4" w:space="0" w:color="auto"/>
              <w:bottom w:val="single" w:sz="4" w:space="0" w:color="auto"/>
            </w:tcBorders>
            <w:vAlign w:val="bottom"/>
          </w:tcPr>
          <w:p w14:paraId="06B729D2" w14:textId="77777777" w:rsidR="006A2074" w:rsidRPr="00C971C6" w:rsidRDefault="006A2074" w:rsidP="00F36942">
            <w:pPr>
              <w:pStyle w:val="Tabletext"/>
              <w:rPr>
                <w:snapToGrid w:val="0"/>
              </w:rPr>
            </w:pPr>
            <w:r w:rsidRPr="00295986">
              <w:t>24</w:t>
            </w:r>
            <w:r w:rsidR="00D7157D">
              <w:t>.</w:t>
            </w:r>
            <w:r w:rsidRPr="00295986">
              <w:t>8840</w:t>
            </w:r>
          </w:p>
        </w:tc>
        <w:tc>
          <w:tcPr>
            <w:tcW w:w="966" w:type="pct"/>
            <w:tcBorders>
              <w:top w:val="single" w:sz="4" w:space="0" w:color="auto"/>
              <w:bottom w:val="single" w:sz="4" w:space="0" w:color="auto"/>
            </w:tcBorders>
            <w:vAlign w:val="bottom"/>
          </w:tcPr>
          <w:p w14:paraId="3BCC1D34" w14:textId="77777777" w:rsidR="006A2074" w:rsidRPr="00C971C6" w:rsidRDefault="006A2074" w:rsidP="00F36942">
            <w:pPr>
              <w:pStyle w:val="Tabletext"/>
              <w:rPr>
                <w:snapToGrid w:val="0"/>
              </w:rPr>
            </w:pPr>
            <w:r w:rsidRPr="00295986">
              <w:t>0</w:t>
            </w:r>
            <w:r w:rsidR="00D7157D">
              <w:t>.</w:t>
            </w:r>
            <w:r w:rsidRPr="00295986">
              <w:t>3873</w:t>
            </w:r>
          </w:p>
        </w:tc>
      </w:tr>
      <w:tr w:rsidR="006A2074" w:rsidRPr="009E2595" w14:paraId="2D042AB8" w14:textId="77777777" w:rsidTr="00F36942">
        <w:trPr>
          <w:cantSplit/>
        </w:trPr>
        <w:tc>
          <w:tcPr>
            <w:tcW w:w="1136" w:type="pct"/>
            <w:tcBorders>
              <w:top w:val="single" w:sz="4" w:space="0" w:color="auto"/>
              <w:bottom w:val="single" w:sz="4" w:space="0" w:color="auto"/>
            </w:tcBorders>
          </w:tcPr>
          <w:p w14:paraId="4953149D" w14:textId="77777777" w:rsidR="006A2074" w:rsidRPr="00616B26" w:rsidRDefault="006A2074" w:rsidP="00F36942">
            <w:pPr>
              <w:pStyle w:val="Tabletext"/>
              <w:rPr>
                <w:snapToGrid w:val="0"/>
              </w:rPr>
            </w:pPr>
            <w:r w:rsidRPr="00616B26">
              <w:rPr>
                <w:snapToGrid w:val="0"/>
              </w:rPr>
              <w:t>34</w:t>
            </w:r>
          </w:p>
        </w:tc>
        <w:tc>
          <w:tcPr>
            <w:tcW w:w="966" w:type="pct"/>
            <w:tcBorders>
              <w:top w:val="single" w:sz="4" w:space="0" w:color="auto"/>
              <w:bottom w:val="single" w:sz="4" w:space="0" w:color="auto"/>
            </w:tcBorders>
            <w:vAlign w:val="bottom"/>
          </w:tcPr>
          <w:p w14:paraId="134AB117" w14:textId="77777777" w:rsidR="006A2074" w:rsidRPr="00C971C6" w:rsidRDefault="006A2074" w:rsidP="00F36942">
            <w:pPr>
              <w:pStyle w:val="Tabletext"/>
              <w:rPr>
                <w:snapToGrid w:val="0"/>
              </w:rPr>
            </w:pPr>
            <w:r w:rsidRPr="00295986">
              <w:t>24</w:t>
            </w:r>
            <w:r w:rsidR="00D7157D">
              <w:t>.</w:t>
            </w:r>
            <w:r w:rsidRPr="00295986">
              <w:t>2378</w:t>
            </w:r>
          </w:p>
        </w:tc>
        <w:tc>
          <w:tcPr>
            <w:tcW w:w="966" w:type="pct"/>
            <w:tcBorders>
              <w:top w:val="single" w:sz="4" w:space="0" w:color="auto"/>
              <w:bottom w:val="single" w:sz="4" w:space="0" w:color="auto"/>
            </w:tcBorders>
            <w:vAlign w:val="bottom"/>
          </w:tcPr>
          <w:p w14:paraId="337881F8" w14:textId="77777777" w:rsidR="006A2074" w:rsidRPr="00C971C6" w:rsidRDefault="006A2074" w:rsidP="00F36942">
            <w:pPr>
              <w:pStyle w:val="Tabletext"/>
              <w:rPr>
                <w:snapToGrid w:val="0"/>
              </w:rPr>
            </w:pPr>
            <w:r w:rsidRPr="00295986">
              <w:t>0</w:t>
            </w:r>
            <w:r w:rsidR="00D7157D">
              <w:t>.</w:t>
            </w:r>
            <w:r w:rsidRPr="00295986">
              <w:t>9571</w:t>
            </w:r>
          </w:p>
        </w:tc>
        <w:tc>
          <w:tcPr>
            <w:tcW w:w="966" w:type="pct"/>
            <w:tcBorders>
              <w:top w:val="single" w:sz="4" w:space="0" w:color="auto"/>
              <w:bottom w:val="single" w:sz="4" w:space="0" w:color="auto"/>
            </w:tcBorders>
            <w:vAlign w:val="bottom"/>
          </w:tcPr>
          <w:p w14:paraId="311ECCEE" w14:textId="77777777" w:rsidR="006A2074" w:rsidRPr="00C971C6" w:rsidRDefault="006A2074" w:rsidP="00F36942">
            <w:pPr>
              <w:pStyle w:val="Tabletext"/>
              <w:rPr>
                <w:snapToGrid w:val="0"/>
              </w:rPr>
            </w:pPr>
            <w:r w:rsidRPr="00295986">
              <w:t>24</w:t>
            </w:r>
            <w:r w:rsidR="00D7157D">
              <w:t>.</w:t>
            </w:r>
            <w:r w:rsidRPr="00295986">
              <w:t>7361</w:t>
            </w:r>
          </w:p>
        </w:tc>
        <w:tc>
          <w:tcPr>
            <w:tcW w:w="966" w:type="pct"/>
            <w:tcBorders>
              <w:top w:val="single" w:sz="4" w:space="0" w:color="auto"/>
              <w:bottom w:val="single" w:sz="4" w:space="0" w:color="auto"/>
            </w:tcBorders>
            <w:vAlign w:val="bottom"/>
          </w:tcPr>
          <w:p w14:paraId="05A88508" w14:textId="77777777" w:rsidR="006A2074" w:rsidRPr="00C971C6" w:rsidRDefault="006A2074" w:rsidP="00F36942">
            <w:pPr>
              <w:pStyle w:val="Tabletext"/>
              <w:rPr>
                <w:snapToGrid w:val="0"/>
              </w:rPr>
            </w:pPr>
            <w:r w:rsidRPr="00295986">
              <w:t>0</w:t>
            </w:r>
            <w:r w:rsidR="00D7157D">
              <w:t>.</w:t>
            </w:r>
            <w:r w:rsidRPr="00295986">
              <w:t>4011</w:t>
            </w:r>
          </w:p>
        </w:tc>
      </w:tr>
      <w:tr w:rsidR="006A2074" w:rsidRPr="009E2595" w14:paraId="1B7336B7" w14:textId="77777777" w:rsidTr="00F36942">
        <w:trPr>
          <w:cantSplit/>
        </w:trPr>
        <w:tc>
          <w:tcPr>
            <w:tcW w:w="1136" w:type="pct"/>
            <w:tcBorders>
              <w:top w:val="single" w:sz="4" w:space="0" w:color="auto"/>
              <w:bottom w:val="single" w:sz="4" w:space="0" w:color="auto"/>
            </w:tcBorders>
          </w:tcPr>
          <w:p w14:paraId="13E7B222" w14:textId="77777777" w:rsidR="006A2074" w:rsidRPr="00616B26" w:rsidRDefault="006A2074" w:rsidP="00F36942">
            <w:pPr>
              <w:pStyle w:val="Tabletext"/>
              <w:rPr>
                <w:snapToGrid w:val="0"/>
              </w:rPr>
            </w:pPr>
            <w:r w:rsidRPr="00616B26">
              <w:rPr>
                <w:snapToGrid w:val="0"/>
              </w:rPr>
              <w:t>35</w:t>
            </w:r>
          </w:p>
        </w:tc>
        <w:tc>
          <w:tcPr>
            <w:tcW w:w="966" w:type="pct"/>
            <w:tcBorders>
              <w:top w:val="single" w:sz="4" w:space="0" w:color="auto"/>
              <w:bottom w:val="single" w:sz="4" w:space="0" w:color="auto"/>
            </w:tcBorders>
            <w:vAlign w:val="bottom"/>
          </w:tcPr>
          <w:p w14:paraId="3AA97B4C" w14:textId="77777777" w:rsidR="006A2074" w:rsidRPr="00C971C6" w:rsidRDefault="006A2074" w:rsidP="00F36942">
            <w:pPr>
              <w:pStyle w:val="Tabletext"/>
              <w:rPr>
                <w:snapToGrid w:val="0"/>
              </w:rPr>
            </w:pPr>
            <w:r w:rsidRPr="00295986">
              <w:t>24</w:t>
            </w:r>
            <w:r w:rsidR="00D7157D">
              <w:t>.</w:t>
            </w:r>
            <w:r w:rsidRPr="00295986">
              <w:t>0712</w:t>
            </w:r>
          </w:p>
        </w:tc>
        <w:tc>
          <w:tcPr>
            <w:tcW w:w="966" w:type="pct"/>
            <w:tcBorders>
              <w:top w:val="single" w:sz="4" w:space="0" w:color="auto"/>
              <w:bottom w:val="single" w:sz="4" w:space="0" w:color="auto"/>
            </w:tcBorders>
            <w:vAlign w:val="bottom"/>
          </w:tcPr>
          <w:p w14:paraId="12EBEE40" w14:textId="77777777" w:rsidR="006A2074" w:rsidRPr="00C971C6" w:rsidRDefault="006A2074" w:rsidP="00F36942">
            <w:pPr>
              <w:pStyle w:val="Tabletext"/>
              <w:rPr>
                <w:snapToGrid w:val="0"/>
              </w:rPr>
            </w:pPr>
            <w:r w:rsidRPr="00295986">
              <w:t>0</w:t>
            </w:r>
            <w:r w:rsidR="00D7157D">
              <w:t>.</w:t>
            </w:r>
            <w:r w:rsidRPr="00295986">
              <w:t>9890</w:t>
            </w:r>
          </w:p>
        </w:tc>
        <w:tc>
          <w:tcPr>
            <w:tcW w:w="966" w:type="pct"/>
            <w:tcBorders>
              <w:top w:val="single" w:sz="4" w:space="0" w:color="auto"/>
              <w:bottom w:val="single" w:sz="4" w:space="0" w:color="auto"/>
            </w:tcBorders>
            <w:vAlign w:val="bottom"/>
          </w:tcPr>
          <w:p w14:paraId="001FC659" w14:textId="77777777" w:rsidR="006A2074" w:rsidRPr="00C971C6" w:rsidRDefault="006A2074" w:rsidP="00F36942">
            <w:pPr>
              <w:pStyle w:val="Tabletext"/>
              <w:rPr>
                <w:snapToGrid w:val="0"/>
              </w:rPr>
            </w:pPr>
            <w:r w:rsidRPr="00295986">
              <w:t>24</w:t>
            </w:r>
            <w:r w:rsidR="00D7157D">
              <w:t>.</w:t>
            </w:r>
            <w:r w:rsidRPr="00295986">
              <w:t>5828</w:t>
            </w:r>
          </w:p>
        </w:tc>
        <w:tc>
          <w:tcPr>
            <w:tcW w:w="966" w:type="pct"/>
            <w:tcBorders>
              <w:top w:val="single" w:sz="4" w:space="0" w:color="auto"/>
              <w:bottom w:val="single" w:sz="4" w:space="0" w:color="auto"/>
            </w:tcBorders>
            <w:vAlign w:val="bottom"/>
          </w:tcPr>
          <w:p w14:paraId="5E09078B" w14:textId="77777777" w:rsidR="006A2074" w:rsidRPr="00C971C6" w:rsidRDefault="006A2074" w:rsidP="00F36942">
            <w:pPr>
              <w:pStyle w:val="Tabletext"/>
              <w:rPr>
                <w:snapToGrid w:val="0"/>
              </w:rPr>
            </w:pPr>
            <w:r w:rsidRPr="00295986">
              <w:t>0</w:t>
            </w:r>
            <w:r w:rsidR="00D7157D">
              <w:t>.</w:t>
            </w:r>
            <w:r w:rsidRPr="00295986">
              <w:t>4155</w:t>
            </w:r>
          </w:p>
        </w:tc>
      </w:tr>
      <w:tr w:rsidR="006A2074" w:rsidRPr="009E2595" w14:paraId="43336A46" w14:textId="77777777" w:rsidTr="00F36942">
        <w:trPr>
          <w:cantSplit/>
        </w:trPr>
        <w:tc>
          <w:tcPr>
            <w:tcW w:w="1136" w:type="pct"/>
            <w:tcBorders>
              <w:top w:val="single" w:sz="4" w:space="0" w:color="auto"/>
              <w:bottom w:val="single" w:sz="4" w:space="0" w:color="auto"/>
            </w:tcBorders>
          </w:tcPr>
          <w:p w14:paraId="2E06DCD4" w14:textId="77777777" w:rsidR="006A2074" w:rsidRPr="00616B26" w:rsidRDefault="006A2074" w:rsidP="00F36942">
            <w:pPr>
              <w:pStyle w:val="Tabletext"/>
              <w:rPr>
                <w:snapToGrid w:val="0"/>
              </w:rPr>
            </w:pPr>
            <w:r w:rsidRPr="00616B26">
              <w:rPr>
                <w:snapToGrid w:val="0"/>
              </w:rPr>
              <w:t>36</w:t>
            </w:r>
          </w:p>
        </w:tc>
        <w:tc>
          <w:tcPr>
            <w:tcW w:w="966" w:type="pct"/>
            <w:tcBorders>
              <w:top w:val="single" w:sz="4" w:space="0" w:color="auto"/>
              <w:bottom w:val="single" w:sz="4" w:space="0" w:color="auto"/>
            </w:tcBorders>
            <w:vAlign w:val="bottom"/>
          </w:tcPr>
          <w:p w14:paraId="58527C64" w14:textId="77777777" w:rsidR="006A2074" w:rsidRPr="00C971C6" w:rsidRDefault="006A2074" w:rsidP="00F36942">
            <w:pPr>
              <w:pStyle w:val="Tabletext"/>
              <w:rPr>
                <w:snapToGrid w:val="0"/>
              </w:rPr>
            </w:pPr>
            <w:r w:rsidRPr="00295986">
              <w:t>23</w:t>
            </w:r>
            <w:r w:rsidR="00D7157D">
              <w:t>.</w:t>
            </w:r>
            <w:r w:rsidRPr="00295986">
              <w:t>8990</w:t>
            </w:r>
          </w:p>
        </w:tc>
        <w:tc>
          <w:tcPr>
            <w:tcW w:w="966" w:type="pct"/>
            <w:tcBorders>
              <w:top w:val="single" w:sz="4" w:space="0" w:color="auto"/>
              <w:bottom w:val="single" w:sz="4" w:space="0" w:color="auto"/>
            </w:tcBorders>
            <w:vAlign w:val="bottom"/>
          </w:tcPr>
          <w:p w14:paraId="6F7AFE30" w14:textId="77777777" w:rsidR="006A2074" w:rsidRPr="00C971C6" w:rsidRDefault="006A2074" w:rsidP="00F36942">
            <w:pPr>
              <w:pStyle w:val="Tabletext"/>
              <w:rPr>
                <w:snapToGrid w:val="0"/>
              </w:rPr>
            </w:pPr>
            <w:r w:rsidRPr="00295986">
              <w:t>1</w:t>
            </w:r>
            <w:r w:rsidR="00D7157D">
              <w:t>.</w:t>
            </w:r>
            <w:r w:rsidRPr="00295986">
              <w:t>0218</w:t>
            </w:r>
          </w:p>
        </w:tc>
        <w:tc>
          <w:tcPr>
            <w:tcW w:w="966" w:type="pct"/>
            <w:tcBorders>
              <w:top w:val="single" w:sz="4" w:space="0" w:color="auto"/>
              <w:bottom w:val="single" w:sz="4" w:space="0" w:color="auto"/>
            </w:tcBorders>
            <w:vAlign w:val="bottom"/>
          </w:tcPr>
          <w:p w14:paraId="5C766CEC" w14:textId="77777777" w:rsidR="006A2074" w:rsidRPr="00C971C6" w:rsidRDefault="006A2074" w:rsidP="00F36942">
            <w:pPr>
              <w:pStyle w:val="Tabletext"/>
              <w:rPr>
                <w:snapToGrid w:val="0"/>
              </w:rPr>
            </w:pPr>
            <w:r w:rsidRPr="00295986">
              <w:t>24</w:t>
            </w:r>
            <w:r w:rsidR="00D7157D">
              <w:t>.</w:t>
            </w:r>
            <w:r w:rsidRPr="00295986">
              <w:t>4243</w:t>
            </w:r>
          </w:p>
        </w:tc>
        <w:tc>
          <w:tcPr>
            <w:tcW w:w="966" w:type="pct"/>
            <w:tcBorders>
              <w:top w:val="single" w:sz="4" w:space="0" w:color="auto"/>
              <w:bottom w:val="single" w:sz="4" w:space="0" w:color="auto"/>
            </w:tcBorders>
            <w:vAlign w:val="bottom"/>
          </w:tcPr>
          <w:p w14:paraId="463D92BE" w14:textId="77777777" w:rsidR="006A2074" w:rsidRPr="00C971C6" w:rsidRDefault="006A2074" w:rsidP="00F36942">
            <w:pPr>
              <w:pStyle w:val="Tabletext"/>
              <w:rPr>
                <w:snapToGrid w:val="0"/>
              </w:rPr>
            </w:pPr>
            <w:r w:rsidRPr="00295986">
              <w:t>0</w:t>
            </w:r>
            <w:r w:rsidR="00D7157D">
              <w:t>.</w:t>
            </w:r>
            <w:r w:rsidRPr="00295986">
              <w:t>4301</w:t>
            </w:r>
          </w:p>
        </w:tc>
      </w:tr>
      <w:tr w:rsidR="006A2074" w:rsidRPr="009E2595" w14:paraId="61A3C537" w14:textId="77777777" w:rsidTr="00F36942">
        <w:trPr>
          <w:cantSplit/>
        </w:trPr>
        <w:tc>
          <w:tcPr>
            <w:tcW w:w="1136" w:type="pct"/>
            <w:tcBorders>
              <w:top w:val="single" w:sz="4" w:space="0" w:color="auto"/>
              <w:bottom w:val="single" w:sz="4" w:space="0" w:color="auto"/>
            </w:tcBorders>
          </w:tcPr>
          <w:p w14:paraId="2680E4CF" w14:textId="77777777" w:rsidR="006A2074" w:rsidRPr="00616B26" w:rsidRDefault="006A2074" w:rsidP="00F36942">
            <w:pPr>
              <w:pStyle w:val="Tabletext"/>
              <w:rPr>
                <w:snapToGrid w:val="0"/>
              </w:rPr>
            </w:pPr>
            <w:r w:rsidRPr="00616B26">
              <w:rPr>
                <w:snapToGrid w:val="0"/>
              </w:rPr>
              <w:t>37</w:t>
            </w:r>
          </w:p>
        </w:tc>
        <w:tc>
          <w:tcPr>
            <w:tcW w:w="966" w:type="pct"/>
            <w:tcBorders>
              <w:top w:val="single" w:sz="4" w:space="0" w:color="auto"/>
              <w:bottom w:val="single" w:sz="4" w:space="0" w:color="auto"/>
            </w:tcBorders>
            <w:vAlign w:val="bottom"/>
          </w:tcPr>
          <w:p w14:paraId="39D6A9D3" w14:textId="77777777" w:rsidR="006A2074" w:rsidRPr="00C971C6" w:rsidRDefault="006A2074" w:rsidP="00F36942">
            <w:pPr>
              <w:pStyle w:val="Tabletext"/>
              <w:rPr>
                <w:snapToGrid w:val="0"/>
              </w:rPr>
            </w:pPr>
            <w:r w:rsidRPr="00295986">
              <w:t>23</w:t>
            </w:r>
            <w:r w:rsidR="00D7157D">
              <w:t>.</w:t>
            </w:r>
            <w:r w:rsidRPr="00295986">
              <w:t>7212</w:t>
            </w:r>
          </w:p>
        </w:tc>
        <w:tc>
          <w:tcPr>
            <w:tcW w:w="966" w:type="pct"/>
            <w:tcBorders>
              <w:top w:val="single" w:sz="4" w:space="0" w:color="auto"/>
              <w:bottom w:val="single" w:sz="4" w:space="0" w:color="auto"/>
            </w:tcBorders>
            <w:vAlign w:val="bottom"/>
          </w:tcPr>
          <w:p w14:paraId="7B3DC835" w14:textId="77777777" w:rsidR="006A2074" w:rsidRPr="00C971C6" w:rsidRDefault="006A2074" w:rsidP="00F36942">
            <w:pPr>
              <w:pStyle w:val="Tabletext"/>
              <w:rPr>
                <w:snapToGrid w:val="0"/>
              </w:rPr>
            </w:pPr>
            <w:r w:rsidRPr="00295986">
              <w:t>1</w:t>
            </w:r>
            <w:r w:rsidR="00D7157D">
              <w:t>.</w:t>
            </w:r>
            <w:r w:rsidRPr="00295986">
              <w:t>0553</w:t>
            </w:r>
          </w:p>
        </w:tc>
        <w:tc>
          <w:tcPr>
            <w:tcW w:w="966" w:type="pct"/>
            <w:tcBorders>
              <w:top w:val="single" w:sz="4" w:space="0" w:color="auto"/>
              <w:bottom w:val="single" w:sz="4" w:space="0" w:color="auto"/>
            </w:tcBorders>
            <w:vAlign w:val="bottom"/>
          </w:tcPr>
          <w:p w14:paraId="0C36A12D" w14:textId="77777777" w:rsidR="006A2074" w:rsidRPr="00C971C6" w:rsidRDefault="006A2074" w:rsidP="00F36942">
            <w:pPr>
              <w:pStyle w:val="Tabletext"/>
              <w:rPr>
                <w:snapToGrid w:val="0"/>
              </w:rPr>
            </w:pPr>
            <w:r w:rsidRPr="00295986">
              <w:t>24</w:t>
            </w:r>
            <w:r w:rsidR="00D7157D">
              <w:t>.</w:t>
            </w:r>
            <w:r w:rsidRPr="00295986">
              <w:t>2604</w:t>
            </w:r>
          </w:p>
        </w:tc>
        <w:tc>
          <w:tcPr>
            <w:tcW w:w="966" w:type="pct"/>
            <w:tcBorders>
              <w:top w:val="single" w:sz="4" w:space="0" w:color="auto"/>
              <w:bottom w:val="single" w:sz="4" w:space="0" w:color="auto"/>
            </w:tcBorders>
            <w:vAlign w:val="bottom"/>
          </w:tcPr>
          <w:p w14:paraId="26D20202" w14:textId="77777777" w:rsidR="006A2074" w:rsidRPr="00C971C6" w:rsidRDefault="006A2074" w:rsidP="00F36942">
            <w:pPr>
              <w:pStyle w:val="Tabletext"/>
              <w:rPr>
                <w:snapToGrid w:val="0"/>
              </w:rPr>
            </w:pPr>
            <w:r w:rsidRPr="00295986">
              <w:t>0</w:t>
            </w:r>
            <w:r w:rsidR="00D7157D">
              <w:t>.</w:t>
            </w:r>
            <w:r w:rsidRPr="00295986">
              <w:t>4452</w:t>
            </w:r>
          </w:p>
        </w:tc>
      </w:tr>
      <w:tr w:rsidR="006A2074" w:rsidRPr="009E2595" w14:paraId="160E8DC6" w14:textId="77777777" w:rsidTr="00F36942">
        <w:trPr>
          <w:cantSplit/>
        </w:trPr>
        <w:tc>
          <w:tcPr>
            <w:tcW w:w="1136" w:type="pct"/>
            <w:tcBorders>
              <w:top w:val="single" w:sz="4" w:space="0" w:color="auto"/>
              <w:bottom w:val="single" w:sz="4" w:space="0" w:color="auto"/>
            </w:tcBorders>
          </w:tcPr>
          <w:p w14:paraId="62D1BB8D" w14:textId="77777777" w:rsidR="006A2074" w:rsidRPr="00616B26" w:rsidRDefault="006A2074" w:rsidP="00F36942">
            <w:pPr>
              <w:pStyle w:val="Tabletext"/>
              <w:rPr>
                <w:snapToGrid w:val="0"/>
              </w:rPr>
            </w:pPr>
            <w:r w:rsidRPr="00616B26">
              <w:rPr>
                <w:snapToGrid w:val="0"/>
              </w:rPr>
              <w:t>38</w:t>
            </w:r>
          </w:p>
        </w:tc>
        <w:tc>
          <w:tcPr>
            <w:tcW w:w="966" w:type="pct"/>
            <w:tcBorders>
              <w:top w:val="single" w:sz="4" w:space="0" w:color="auto"/>
              <w:bottom w:val="single" w:sz="4" w:space="0" w:color="auto"/>
            </w:tcBorders>
            <w:vAlign w:val="bottom"/>
          </w:tcPr>
          <w:p w14:paraId="2314F1A2" w14:textId="77777777" w:rsidR="006A2074" w:rsidRPr="00C971C6" w:rsidRDefault="006A2074" w:rsidP="00F36942">
            <w:pPr>
              <w:pStyle w:val="Tabletext"/>
              <w:rPr>
                <w:snapToGrid w:val="0"/>
              </w:rPr>
            </w:pPr>
            <w:r w:rsidRPr="00295986">
              <w:t>23</w:t>
            </w:r>
            <w:r w:rsidR="00D7157D">
              <w:t>.</w:t>
            </w:r>
            <w:r w:rsidRPr="00295986">
              <w:t>5377</w:t>
            </w:r>
          </w:p>
        </w:tc>
        <w:tc>
          <w:tcPr>
            <w:tcW w:w="966" w:type="pct"/>
            <w:tcBorders>
              <w:top w:val="single" w:sz="4" w:space="0" w:color="auto"/>
              <w:bottom w:val="single" w:sz="4" w:space="0" w:color="auto"/>
            </w:tcBorders>
            <w:vAlign w:val="bottom"/>
          </w:tcPr>
          <w:p w14:paraId="75868C6B" w14:textId="77777777" w:rsidR="006A2074" w:rsidRPr="00C971C6" w:rsidRDefault="006A2074" w:rsidP="00F36942">
            <w:pPr>
              <w:pStyle w:val="Tabletext"/>
              <w:rPr>
                <w:snapToGrid w:val="0"/>
              </w:rPr>
            </w:pPr>
            <w:r w:rsidRPr="00295986">
              <w:t>1</w:t>
            </w:r>
            <w:r w:rsidR="00D7157D">
              <w:t>.</w:t>
            </w:r>
            <w:r w:rsidRPr="00295986">
              <w:t>0897</w:t>
            </w:r>
          </w:p>
        </w:tc>
        <w:tc>
          <w:tcPr>
            <w:tcW w:w="966" w:type="pct"/>
            <w:tcBorders>
              <w:top w:val="single" w:sz="4" w:space="0" w:color="auto"/>
              <w:bottom w:val="single" w:sz="4" w:space="0" w:color="auto"/>
            </w:tcBorders>
            <w:vAlign w:val="bottom"/>
          </w:tcPr>
          <w:p w14:paraId="45C5EA65" w14:textId="77777777" w:rsidR="006A2074" w:rsidRPr="00C971C6" w:rsidRDefault="006A2074" w:rsidP="00F36942">
            <w:pPr>
              <w:pStyle w:val="Tabletext"/>
              <w:rPr>
                <w:snapToGrid w:val="0"/>
              </w:rPr>
            </w:pPr>
            <w:r w:rsidRPr="00295986">
              <w:t>24</w:t>
            </w:r>
            <w:r w:rsidR="00D7157D">
              <w:t>.</w:t>
            </w:r>
            <w:r w:rsidRPr="00295986">
              <w:t>0907</w:t>
            </w:r>
          </w:p>
        </w:tc>
        <w:tc>
          <w:tcPr>
            <w:tcW w:w="966" w:type="pct"/>
            <w:tcBorders>
              <w:top w:val="single" w:sz="4" w:space="0" w:color="auto"/>
              <w:bottom w:val="single" w:sz="4" w:space="0" w:color="auto"/>
            </w:tcBorders>
            <w:vAlign w:val="bottom"/>
          </w:tcPr>
          <w:p w14:paraId="54BDF28A" w14:textId="77777777" w:rsidR="006A2074" w:rsidRPr="00C971C6" w:rsidRDefault="006A2074" w:rsidP="00F36942">
            <w:pPr>
              <w:pStyle w:val="Tabletext"/>
              <w:rPr>
                <w:snapToGrid w:val="0"/>
              </w:rPr>
            </w:pPr>
            <w:r w:rsidRPr="00295986">
              <w:t>0</w:t>
            </w:r>
            <w:r w:rsidR="00D7157D">
              <w:t>.</w:t>
            </w:r>
            <w:r w:rsidRPr="00295986">
              <w:t>4606</w:t>
            </w:r>
          </w:p>
        </w:tc>
      </w:tr>
      <w:tr w:rsidR="006A2074" w:rsidRPr="009E2595" w14:paraId="114BB29C" w14:textId="77777777" w:rsidTr="00F36942">
        <w:trPr>
          <w:cantSplit/>
        </w:trPr>
        <w:tc>
          <w:tcPr>
            <w:tcW w:w="1136" w:type="pct"/>
            <w:tcBorders>
              <w:top w:val="single" w:sz="4" w:space="0" w:color="auto"/>
              <w:bottom w:val="single" w:sz="4" w:space="0" w:color="auto"/>
            </w:tcBorders>
          </w:tcPr>
          <w:p w14:paraId="47619F26" w14:textId="77777777" w:rsidR="006A2074" w:rsidRPr="00616B26" w:rsidRDefault="006A2074" w:rsidP="00F36942">
            <w:pPr>
              <w:pStyle w:val="Tabletext"/>
              <w:rPr>
                <w:snapToGrid w:val="0"/>
              </w:rPr>
            </w:pPr>
            <w:r w:rsidRPr="00616B26">
              <w:rPr>
                <w:snapToGrid w:val="0"/>
              </w:rPr>
              <w:t>39</w:t>
            </w:r>
          </w:p>
        </w:tc>
        <w:tc>
          <w:tcPr>
            <w:tcW w:w="966" w:type="pct"/>
            <w:tcBorders>
              <w:top w:val="single" w:sz="4" w:space="0" w:color="auto"/>
              <w:bottom w:val="single" w:sz="4" w:space="0" w:color="auto"/>
            </w:tcBorders>
            <w:vAlign w:val="bottom"/>
          </w:tcPr>
          <w:p w14:paraId="072353D1" w14:textId="77777777" w:rsidR="006A2074" w:rsidRPr="00C971C6" w:rsidRDefault="006A2074" w:rsidP="00F36942">
            <w:pPr>
              <w:pStyle w:val="Tabletext"/>
              <w:rPr>
                <w:snapToGrid w:val="0"/>
              </w:rPr>
            </w:pPr>
            <w:r w:rsidRPr="00295986">
              <w:t>23</w:t>
            </w:r>
            <w:r w:rsidR="00D7157D">
              <w:t>.</w:t>
            </w:r>
            <w:r w:rsidRPr="00295986">
              <w:t>3482</w:t>
            </w:r>
          </w:p>
        </w:tc>
        <w:tc>
          <w:tcPr>
            <w:tcW w:w="966" w:type="pct"/>
            <w:tcBorders>
              <w:top w:val="single" w:sz="4" w:space="0" w:color="auto"/>
              <w:bottom w:val="single" w:sz="4" w:space="0" w:color="auto"/>
            </w:tcBorders>
            <w:vAlign w:val="bottom"/>
          </w:tcPr>
          <w:p w14:paraId="715338B0" w14:textId="77777777" w:rsidR="006A2074" w:rsidRPr="00C971C6" w:rsidRDefault="006A2074" w:rsidP="00F36942">
            <w:pPr>
              <w:pStyle w:val="Tabletext"/>
              <w:rPr>
                <w:snapToGrid w:val="0"/>
              </w:rPr>
            </w:pPr>
            <w:r w:rsidRPr="00295986">
              <w:t>1</w:t>
            </w:r>
            <w:r w:rsidR="00D7157D">
              <w:t>.</w:t>
            </w:r>
            <w:r w:rsidRPr="00295986">
              <w:t>1248</w:t>
            </w:r>
          </w:p>
        </w:tc>
        <w:tc>
          <w:tcPr>
            <w:tcW w:w="966" w:type="pct"/>
            <w:tcBorders>
              <w:top w:val="single" w:sz="4" w:space="0" w:color="auto"/>
              <w:bottom w:val="single" w:sz="4" w:space="0" w:color="auto"/>
            </w:tcBorders>
            <w:vAlign w:val="bottom"/>
          </w:tcPr>
          <w:p w14:paraId="20B2A7E2" w14:textId="77777777" w:rsidR="006A2074" w:rsidRPr="00C971C6" w:rsidRDefault="006A2074" w:rsidP="00F36942">
            <w:pPr>
              <w:pStyle w:val="Tabletext"/>
              <w:rPr>
                <w:snapToGrid w:val="0"/>
              </w:rPr>
            </w:pPr>
            <w:r w:rsidRPr="00295986">
              <w:t>23</w:t>
            </w:r>
            <w:r w:rsidR="00D7157D">
              <w:t>.</w:t>
            </w:r>
            <w:r w:rsidRPr="00295986">
              <w:t>9152</w:t>
            </w:r>
          </w:p>
        </w:tc>
        <w:tc>
          <w:tcPr>
            <w:tcW w:w="966" w:type="pct"/>
            <w:tcBorders>
              <w:top w:val="single" w:sz="4" w:space="0" w:color="auto"/>
              <w:bottom w:val="single" w:sz="4" w:space="0" w:color="auto"/>
            </w:tcBorders>
            <w:vAlign w:val="bottom"/>
          </w:tcPr>
          <w:p w14:paraId="00DF4AF8" w14:textId="77777777" w:rsidR="006A2074" w:rsidRPr="00C971C6" w:rsidRDefault="006A2074" w:rsidP="00F36942">
            <w:pPr>
              <w:pStyle w:val="Tabletext"/>
              <w:rPr>
                <w:snapToGrid w:val="0"/>
              </w:rPr>
            </w:pPr>
            <w:r w:rsidRPr="00295986">
              <w:t>0</w:t>
            </w:r>
            <w:r w:rsidR="00D7157D">
              <w:t>.</w:t>
            </w:r>
            <w:r w:rsidRPr="00295986">
              <w:t>4764</w:t>
            </w:r>
          </w:p>
        </w:tc>
      </w:tr>
      <w:tr w:rsidR="006A2074" w:rsidRPr="009E2595" w14:paraId="132335FE" w14:textId="77777777" w:rsidTr="00F36942">
        <w:trPr>
          <w:cantSplit/>
        </w:trPr>
        <w:tc>
          <w:tcPr>
            <w:tcW w:w="1136" w:type="pct"/>
            <w:tcBorders>
              <w:top w:val="single" w:sz="4" w:space="0" w:color="auto"/>
              <w:bottom w:val="single" w:sz="4" w:space="0" w:color="auto"/>
            </w:tcBorders>
          </w:tcPr>
          <w:p w14:paraId="200FCC16" w14:textId="77777777" w:rsidR="006A2074" w:rsidRPr="00616B26" w:rsidRDefault="006A2074" w:rsidP="00F36942">
            <w:pPr>
              <w:pStyle w:val="Tabletext"/>
              <w:rPr>
                <w:snapToGrid w:val="0"/>
              </w:rPr>
            </w:pPr>
            <w:r w:rsidRPr="00616B26">
              <w:rPr>
                <w:snapToGrid w:val="0"/>
              </w:rPr>
              <w:t>40</w:t>
            </w:r>
          </w:p>
        </w:tc>
        <w:tc>
          <w:tcPr>
            <w:tcW w:w="966" w:type="pct"/>
            <w:tcBorders>
              <w:top w:val="single" w:sz="4" w:space="0" w:color="auto"/>
              <w:bottom w:val="single" w:sz="4" w:space="0" w:color="auto"/>
            </w:tcBorders>
            <w:vAlign w:val="bottom"/>
          </w:tcPr>
          <w:p w14:paraId="19153CED" w14:textId="77777777" w:rsidR="006A2074" w:rsidRPr="00C971C6" w:rsidRDefault="006A2074" w:rsidP="00F36942">
            <w:pPr>
              <w:pStyle w:val="Tabletext"/>
              <w:rPr>
                <w:snapToGrid w:val="0"/>
              </w:rPr>
            </w:pPr>
            <w:r w:rsidRPr="00295986">
              <w:t>23</w:t>
            </w:r>
            <w:r w:rsidR="00D7157D">
              <w:t>.</w:t>
            </w:r>
            <w:r w:rsidRPr="00295986">
              <w:t>1527</w:t>
            </w:r>
          </w:p>
        </w:tc>
        <w:tc>
          <w:tcPr>
            <w:tcW w:w="966" w:type="pct"/>
            <w:tcBorders>
              <w:top w:val="single" w:sz="4" w:space="0" w:color="auto"/>
              <w:bottom w:val="single" w:sz="4" w:space="0" w:color="auto"/>
            </w:tcBorders>
            <w:vAlign w:val="bottom"/>
          </w:tcPr>
          <w:p w14:paraId="5ECF1285" w14:textId="77777777" w:rsidR="006A2074" w:rsidRPr="00C971C6" w:rsidRDefault="006A2074" w:rsidP="00F36942">
            <w:pPr>
              <w:pStyle w:val="Tabletext"/>
              <w:rPr>
                <w:snapToGrid w:val="0"/>
              </w:rPr>
            </w:pPr>
            <w:r w:rsidRPr="00295986">
              <w:t>1</w:t>
            </w:r>
            <w:r w:rsidR="00D7157D">
              <w:t>.</w:t>
            </w:r>
            <w:r w:rsidRPr="00295986">
              <w:t>1608</w:t>
            </w:r>
          </w:p>
        </w:tc>
        <w:tc>
          <w:tcPr>
            <w:tcW w:w="966" w:type="pct"/>
            <w:tcBorders>
              <w:top w:val="single" w:sz="4" w:space="0" w:color="auto"/>
              <w:bottom w:val="single" w:sz="4" w:space="0" w:color="auto"/>
            </w:tcBorders>
            <w:vAlign w:val="bottom"/>
          </w:tcPr>
          <w:p w14:paraId="49066646" w14:textId="77777777" w:rsidR="006A2074" w:rsidRPr="00C971C6" w:rsidRDefault="006A2074" w:rsidP="00F36942">
            <w:pPr>
              <w:pStyle w:val="Tabletext"/>
              <w:rPr>
                <w:snapToGrid w:val="0"/>
              </w:rPr>
            </w:pPr>
            <w:r w:rsidRPr="00295986">
              <w:t>23</w:t>
            </w:r>
            <w:r w:rsidR="00D7157D">
              <w:t>.</w:t>
            </w:r>
            <w:r w:rsidRPr="00295986">
              <w:t>7338</w:t>
            </w:r>
          </w:p>
        </w:tc>
        <w:tc>
          <w:tcPr>
            <w:tcW w:w="966" w:type="pct"/>
            <w:tcBorders>
              <w:top w:val="single" w:sz="4" w:space="0" w:color="auto"/>
              <w:bottom w:val="single" w:sz="4" w:space="0" w:color="auto"/>
            </w:tcBorders>
            <w:vAlign w:val="bottom"/>
          </w:tcPr>
          <w:p w14:paraId="158E6772" w14:textId="77777777" w:rsidR="006A2074" w:rsidRPr="00C971C6" w:rsidRDefault="006A2074" w:rsidP="00F36942">
            <w:pPr>
              <w:pStyle w:val="Tabletext"/>
              <w:rPr>
                <w:snapToGrid w:val="0"/>
              </w:rPr>
            </w:pPr>
            <w:r w:rsidRPr="00295986">
              <w:t>0</w:t>
            </w:r>
            <w:r w:rsidR="00D7157D">
              <w:t>.</w:t>
            </w:r>
            <w:r w:rsidRPr="00295986">
              <w:t>4926</w:t>
            </w:r>
          </w:p>
        </w:tc>
      </w:tr>
      <w:tr w:rsidR="006A2074" w:rsidRPr="009E2595" w14:paraId="40255DFC" w14:textId="77777777" w:rsidTr="00F36942">
        <w:trPr>
          <w:cantSplit/>
        </w:trPr>
        <w:tc>
          <w:tcPr>
            <w:tcW w:w="1136" w:type="pct"/>
            <w:tcBorders>
              <w:top w:val="single" w:sz="4" w:space="0" w:color="auto"/>
              <w:bottom w:val="single" w:sz="4" w:space="0" w:color="auto"/>
            </w:tcBorders>
          </w:tcPr>
          <w:p w14:paraId="48DAFFE1" w14:textId="77777777" w:rsidR="006A2074" w:rsidRPr="00616B26" w:rsidRDefault="006A2074" w:rsidP="00F36942">
            <w:pPr>
              <w:pStyle w:val="Tabletext"/>
              <w:rPr>
                <w:snapToGrid w:val="0"/>
              </w:rPr>
            </w:pPr>
            <w:r w:rsidRPr="00616B26">
              <w:rPr>
                <w:snapToGrid w:val="0"/>
              </w:rPr>
              <w:t>41</w:t>
            </w:r>
          </w:p>
        </w:tc>
        <w:tc>
          <w:tcPr>
            <w:tcW w:w="966" w:type="pct"/>
            <w:tcBorders>
              <w:top w:val="single" w:sz="4" w:space="0" w:color="auto"/>
              <w:bottom w:val="single" w:sz="4" w:space="0" w:color="auto"/>
            </w:tcBorders>
            <w:vAlign w:val="bottom"/>
          </w:tcPr>
          <w:p w14:paraId="149733D5" w14:textId="77777777" w:rsidR="006A2074" w:rsidRPr="00C971C6" w:rsidRDefault="006A2074" w:rsidP="00F36942">
            <w:pPr>
              <w:pStyle w:val="Tabletext"/>
              <w:rPr>
                <w:snapToGrid w:val="0"/>
              </w:rPr>
            </w:pPr>
            <w:r w:rsidRPr="00295986">
              <w:t>22</w:t>
            </w:r>
            <w:r w:rsidR="00D7157D">
              <w:t>.</w:t>
            </w:r>
            <w:r w:rsidRPr="00295986">
              <w:t>9510</w:t>
            </w:r>
          </w:p>
        </w:tc>
        <w:tc>
          <w:tcPr>
            <w:tcW w:w="966" w:type="pct"/>
            <w:tcBorders>
              <w:top w:val="single" w:sz="4" w:space="0" w:color="auto"/>
              <w:bottom w:val="single" w:sz="4" w:space="0" w:color="auto"/>
            </w:tcBorders>
            <w:vAlign w:val="bottom"/>
          </w:tcPr>
          <w:p w14:paraId="07AC24BC" w14:textId="77777777" w:rsidR="006A2074" w:rsidRPr="00C971C6" w:rsidRDefault="006A2074" w:rsidP="00F36942">
            <w:pPr>
              <w:pStyle w:val="Tabletext"/>
              <w:rPr>
                <w:snapToGrid w:val="0"/>
              </w:rPr>
            </w:pPr>
            <w:r w:rsidRPr="00295986">
              <w:t>1</w:t>
            </w:r>
            <w:r w:rsidR="00D7157D">
              <w:t>.</w:t>
            </w:r>
            <w:r w:rsidRPr="00295986">
              <w:t>1575</w:t>
            </w:r>
          </w:p>
        </w:tc>
        <w:tc>
          <w:tcPr>
            <w:tcW w:w="966" w:type="pct"/>
            <w:tcBorders>
              <w:top w:val="single" w:sz="4" w:space="0" w:color="auto"/>
              <w:bottom w:val="single" w:sz="4" w:space="0" w:color="auto"/>
            </w:tcBorders>
            <w:vAlign w:val="bottom"/>
          </w:tcPr>
          <w:p w14:paraId="7209F62B" w14:textId="77777777" w:rsidR="006A2074" w:rsidRPr="00C971C6" w:rsidRDefault="006A2074" w:rsidP="00F36942">
            <w:pPr>
              <w:pStyle w:val="Tabletext"/>
              <w:rPr>
                <w:snapToGrid w:val="0"/>
              </w:rPr>
            </w:pPr>
            <w:r w:rsidRPr="00295986">
              <w:t>23</w:t>
            </w:r>
            <w:r w:rsidR="00D7157D">
              <w:t>.</w:t>
            </w:r>
            <w:r w:rsidRPr="00295986">
              <w:t>5460</w:t>
            </w:r>
          </w:p>
        </w:tc>
        <w:tc>
          <w:tcPr>
            <w:tcW w:w="966" w:type="pct"/>
            <w:tcBorders>
              <w:top w:val="single" w:sz="4" w:space="0" w:color="auto"/>
              <w:bottom w:val="single" w:sz="4" w:space="0" w:color="auto"/>
            </w:tcBorders>
            <w:vAlign w:val="bottom"/>
          </w:tcPr>
          <w:p w14:paraId="0335C078" w14:textId="77777777" w:rsidR="006A2074" w:rsidRPr="00C971C6" w:rsidRDefault="006A2074" w:rsidP="00F36942">
            <w:pPr>
              <w:pStyle w:val="Tabletext"/>
              <w:rPr>
                <w:snapToGrid w:val="0"/>
              </w:rPr>
            </w:pPr>
            <w:r w:rsidRPr="00295986">
              <w:t>0</w:t>
            </w:r>
            <w:r w:rsidR="00D7157D">
              <w:t>.</w:t>
            </w:r>
            <w:r w:rsidRPr="00295986">
              <w:t>4786</w:t>
            </w:r>
          </w:p>
        </w:tc>
      </w:tr>
      <w:tr w:rsidR="006A2074" w:rsidRPr="009E2595" w14:paraId="3A7AA412" w14:textId="77777777" w:rsidTr="00F36942">
        <w:trPr>
          <w:cantSplit/>
        </w:trPr>
        <w:tc>
          <w:tcPr>
            <w:tcW w:w="1136" w:type="pct"/>
            <w:tcBorders>
              <w:top w:val="single" w:sz="4" w:space="0" w:color="auto"/>
              <w:bottom w:val="single" w:sz="4" w:space="0" w:color="auto"/>
            </w:tcBorders>
          </w:tcPr>
          <w:p w14:paraId="749374B2" w14:textId="77777777" w:rsidR="006A2074" w:rsidRPr="00616B26" w:rsidRDefault="006A2074" w:rsidP="00F36942">
            <w:pPr>
              <w:pStyle w:val="Tabletext"/>
              <w:rPr>
                <w:snapToGrid w:val="0"/>
              </w:rPr>
            </w:pPr>
            <w:r w:rsidRPr="00616B26">
              <w:rPr>
                <w:snapToGrid w:val="0"/>
              </w:rPr>
              <w:t>42</w:t>
            </w:r>
          </w:p>
        </w:tc>
        <w:tc>
          <w:tcPr>
            <w:tcW w:w="966" w:type="pct"/>
            <w:tcBorders>
              <w:top w:val="single" w:sz="4" w:space="0" w:color="auto"/>
              <w:bottom w:val="single" w:sz="4" w:space="0" w:color="auto"/>
            </w:tcBorders>
            <w:vAlign w:val="bottom"/>
          </w:tcPr>
          <w:p w14:paraId="57F0D3F0" w14:textId="77777777" w:rsidR="006A2074" w:rsidRPr="00C971C6" w:rsidRDefault="006A2074" w:rsidP="00F36942">
            <w:pPr>
              <w:pStyle w:val="Tabletext"/>
              <w:rPr>
                <w:snapToGrid w:val="0"/>
              </w:rPr>
            </w:pPr>
            <w:r w:rsidRPr="00295986">
              <w:t>22</w:t>
            </w:r>
            <w:r w:rsidR="00D7157D">
              <w:t>.</w:t>
            </w:r>
            <w:r w:rsidRPr="00295986">
              <w:t>7430</w:t>
            </w:r>
          </w:p>
        </w:tc>
        <w:tc>
          <w:tcPr>
            <w:tcW w:w="966" w:type="pct"/>
            <w:tcBorders>
              <w:top w:val="single" w:sz="4" w:space="0" w:color="auto"/>
              <w:bottom w:val="single" w:sz="4" w:space="0" w:color="auto"/>
            </w:tcBorders>
            <w:vAlign w:val="bottom"/>
          </w:tcPr>
          <w:p w14:paraId="4CFF8104" w14:textId="77777777" w:rsidR="006A2074" w:rsidRPr="00C971C6" w:rsidRDefault="006A2074" w:rsidP="00F36942">
            <w:pPr>
              <w:pStyle w:val="Tabletext"/>
              <w:rPr>
                <w:snapToGrid w:val="0"/>
              </w:rPr>
            </w:pPr>
            <w:r w:rsidRPr="00295986">
              <w:t>1</w:t>
            </w:r>
            <w:r w:rsidR="00D7157D">
              <w:t>.</w:t>
            </w:r>
            <w:r w:rsidRPr="00295986">
              <w:t>1525</w:t>
            </w:r>
          </w:p>
        </w:tc>
        <w:tc>
          <w:tcPr>
            <w:tcW w:w="966" w:type="pct"/>
            <w:tcBorders>
              <w:top w:val="single" w:sz="4" w:space="0" w:color="auto"/>
              <w:bottom w:val="single" w:sz="4" w:space="0" w:color="auto"/>
            </w:tcBorders>
            <w:vAlign w:val="bottom"/>
          </w:tcPr>
          <w:p w14:paraId="010566B3" w14:textId="77777777" w:rsidR="006A2074" w:rsidRPr="00C971C6" w:rsidRDefault="006A2074" w:rsidP="00F36942">
            <w:pPr>
              <w:pStyle w:val="Tabletext"/>
              <w:rPr>
                <w:snapToGrid w:val="0"/>
              </w:rPr>
            </w:pPr>
            <w:r w:rsidRPr="00295986">
              <w:t>23</w:t>
            </w:r>
            <w:r w:rsidR="00D7157D">
              <w:t>.</w:t>
            </w:r>
            <w:r w:rsidRPr="00295986">
              <w:t>3522</w:t>
            </w:r>
          </w:p>
        </w:tc>
        <w:tc>
          <w:tcPr>
            <w:tcW w:w="966" w:type="pct"/>
            <w:tcBorders>
              <w:top w:val="single" w:sz="4" w:space="0" w:color="auto"/>
              <w:bottom w:val="single" w:sz="4" w:space="0" w:color="auto"/>
            </w:tcBorders>
            <w:vAlign w:val="bottom"/>
          </w:tcPr>
          <w:p w14:paraId="47419840" w14:textId="77777777" w:rsidR="006A2074" w:rsidRPr="00C971C6" w:rsidRDefault="006A2074" w:rsidP="00F36942">
            <w:pPr>
              <w:pStyle w:val="Tabletext"/>
              <w:rPr>
                <w:snapToGrid w:val="0"/>
              </w:rPr>
            </w:pPr>
            <w:r w:rsidRPr="00295986">
              <w:t>0</w:t>
            </w:r>
            <w:r w:rsidR="00D7157D">
              <w:t>.</w:t>
            </w:r>
            <w:r w:rsidRPr="00295986">
              <w:t>4629</w:t>
            </w:r>
          </w:p>
        </w:tc>
      </w:tr>
      <w:tr w:rsidR="006A2074" w:rsidRPr="009E2595" w14:paraId="46D2EDD4" w14:textId="77777777" w:rsidTr="00F36942">
        <w:trPr>
          <w:cantSplit/>
        </w:trPr>
        <w:tc>
          <w:tcPr>
            <w:tcW w:w="1136" w:type="pct"/>
            <w:tcBorders>
              <w:top w:val="single" w:sz="4" w:space="0" w:color="auto"/>
              <w:bottom w:val="single" w:sz="4" w:space="0" w:color="auto"/>
            </w:tcBorders>
          </w:tcPr>
          <w:p w14:paraId="0DF51D29" w14:textId="77777777" w:rsidR="006A2074" w:rsidRPr="00616B26" w:rsidRDefault="006A2074" w:rsidP="00F36942">
            <w:pPr>
              <w:pStyle w:val="Tabletext"/>
              <w:rPr>
                <w:snapToGrid w:val="0"/>
              </w:rPr>
            </w:pPr>
            <w:r w:rsidRPr="00616B26">
              <w:rPr>
                <w:snapToGrid w:val="0"/>
              </w:rPr>
              <w:t>43</w:t>
            </w:r>
          </w:p>
        </w:tc>
        <w:tc>
          <w:tcPr>
            <w:tcW w:w="966" w:type="pct"/>
            <w:tcBorders>
              <w:top w:val="single" w:sz="4" w:space="0" w:color="auto"/>
              <w:bottom w:val="single" w:sz="4" w:space="0" w:color="auto"/>
            </w:tcBorders>
            <w:vAlign w:val="bottom"/>
          </w:tcPr>
          <w:p w14:paraId="0F6C6079" w14:textId="77777777" w:rsidR="006A2074" w:rsidRPr="00C971C6" w:rsidRDefault="006A2074" w:rsidP="00F36942">
            <w:pPr>
              <w:pStyle w:val="Tabletext"/>
              <w:rPr>
                <w:snapToGrid w:val="0"/>
              </w:rPr>
            </w:pPr>
            <w:r w:rsidRPr="00295986">
              <w:t>22</w:t>
            </w:r>
            <w:r w:rsidR="00D7157D">
              <w:t>.</w:t>
            </w:r>
            <w:r w:rsidRPr="00295986">
              <w:t>5285</w:t>
            </w:r>
          </w:p>
        </w:tc>
        <w:tc>
          <w:tcPr>
            <w:tcW w:w="966" w:type="pct"/>
            <w:tcBorders>
              <w:top w:val="single" w:sz="4" w:space="0" w:color="auto"/>
              <w:bottom w:val="single" w:sz="4" w:space="0" w:color="auto"/>
            </w:tcBorders>
            <w:vAlign w:val="bottom"/>
          </w:tcPr>
          <w:p w14:paraId="4BBDCCBC" w14:textId="77777777" w:rsidR="006A2074" w:rsidRPr="00C971C6" w:rsidRDefault="006A2074" w:rsidP="00F36942">
            <w:pPr>
              <w:pStyle w:val="Tabletext"/>
              <w:rPr>
                <w:snapToGrid w:val="0"/>
              </w:rPr>
            </w:pPr>
            <w:r w:rsidRPr="00295986">
              <w:t>1</w:t>
            </w:r>
            <w:r w:rsidR="00D7157D">
              <w:t>.</w:t>
            </w:r>
            <w:r w:rsidRPr="00295986">
              <w:t>1456</w:t>
            </w:r>
          </w:p>
        </w:tc>
        <w:tc>
          <w:tcPr>
            <w:tcW w:w="966" w:type="pct"/>
            <w:tcBorders>
              <w:top w:val="single" w:sz="4" w:space="0" w:color="auto"/>
              <w:bottom w:val="single" w:sz="4" w:space="0" w:color="auto"/>
            </w:tcBorders>
            <w:vAlign w:val="bottom"/>
          </w:tcPr>
          <w:p w14:paraId="4B642CC6" w14:textId="77777777" w:rsidR="006A2074" w:rsidRPr="00C971C6" w:rsidRDefault="006A2074" w:rsidP="00F36942">
            <w:pPr>
              <w:pStyle w:val="Tabletext"/>
              <w:rPr>
                <w:snapToGrid w:val="0"/>
              </w:rPr>
            </w:pPr>
            <w:r w:rsidRPr="00295986">
              <w:t>23</w:t>
            </w:r>
            <w:r w:rsidR="00D7157D">
              <w:t>.</w:t>
            </w:r>
            <w:r w:rsidRPr="00295986">
              <w:t>1517</w:t>
            </w:r>
          </w:p>
        </w:tc>
        <w:tc>
          <w:tcPr>
            <w:tcW w:w="966" w:type="pct"/>
            <w:tcBorders>
              <w:top w:val="single" w:sz="4" w:space="0" w:color="auto"/>
              <w:bottom w:val="single" w:sz="4" w:space="0" w:color="auto"/>
            </w:tcBorders>
            <w:vAlign w:val="bottom"/>
          </w:tcPr>
          <w:p w14:paraId="5D169805" w14:textId="77777777" w:rsidR="006A2074" w:rsidRPr="00C971C6" w:rsidRDefault="006A2074" w:rsidP="00F36942">
            <w:pPr>
              <w:pStyle w:val="Tabletext"/>
              <w:rPr>
                <w:snapToGrid w:val="0"/>
              </w:rPr>
            </w:pPr>
            <w:r w:rsidRPr="00295986">
              <w:t>0</w:t>
            </w:r>
            <w:r w:rsidR="00D7157D">
              <w:t>.</w:t>
            </w:r>
            <w:r w:rsidRPr="00295986">
              <w:t>4455</w:t>
            </w:r>
          </w:p>
        </w:tc>
      </w:tr>
      <w:tr w:rsidR="006A2074" w:rsidRPr="009E2595" w14:paraId="73871B98" w14:textId="77777777" w:rsidTr="00F36942">
        <w:trPr>
          <w:cantSplit/>
        </w:trPr>
        <w:tc>
          <w:tcPr>
            <w:tcW w:w="1136" w:type="pct"/>
            <w:tcBorders>
              <w:top w:val="single" w:sz="4" w:space="0" w:color="auto"/>
              <w:bottom w:val="single" w:sz="4" w:space="0" w:color="auto"/>
            </w:tcBorders>
          </w:tcPr>
          <w:p w14:paraId="24FABB14" w14:textId="77777777" w:rsidR="006A2074" w:rsidRPr="00616B26" w:rsidRDefault="006A2074" w:rsidP="00F36942">
            <w:pPr>
              <w:pStyle w:val="Tabletext"/>
              <w:rPr>
                <w:snapToGrid w:val="0"/>
              </w:rPr>
            </w:pPr>
            <w:r w:rsidRPr="00616B26">
              <w:rPr>
                <w:snapToGrid w:val="0"/>
              </w:rPr>
              <w:t>44</w:t>
            </w:r>
          </w:p>
        </w:tc>
        <w:tc>
          <w:tcPr>
            <w:tcW w:w="966" w:type="pct"/>
            <w:tcBorders>
              <w:top w:val="single" w:sz="4" w:space="0" w:color="auto"/>
              <w:bottom w:val="single" w:sz="4" w:space="0" w:color="auto"/>
            </w:tcBorders>
            <w:vAlign w:val="bottom"/>
          </w:tcPr>
          <w:p w14:paraId="41E7B8AB" w14:textId="77777777" w:rsidR="006A2074" w:rsidRPr="00C971C6" w:rsidRDefault="006A2074" w:rsidP="00F36942">
            <w:pPr>
              <w:pStyle w:val="Tabletext"/>
              <w:rPr>
                <w:snapToGrid w:val="0"/>
              </w:rPr>
            </w:pPr>
            <w:r w:rsidRPr="00295986">
              <w:t>22</w:t>
            </w:r>
            <w:r w:rsidR="00D7157D">
              <w:t>.</w:t>
            </w:r>
            <w:r w:rsidRPr="00295986">
              <w:t>3073</w:t>
            </w:r>
          </w:p>
        </w:tc>
        <w:tc>
          <w:tcPr>
            <w:tcW w:w="966" w:type="pct"/>
            <w:tcBorders>
              <w:top w:val="single" w:sz="4" w:space="0" w:color="auto"/>
              <w:bottom w:val="single" w:sz="4" w:space="0" w:color="auto"/>
            </w:tcBorders>
            <w:vAlign w:val="bottom"/>
          </w:tcPr>
          <w:p w14:paraId="71A4601E" w14:textId="77777777" w:rsidR="006A2074" w:rsidRPr="00C971C6" w:rsidRDefault="006A2074" w:rsidP="00F36942">
            <w:pPr>
              <w:pStyle w:val="Tabletext"/>
              <w:rPr>
                <w:snapToGrid w:val="0"/>
              </w:rPr>
            </w:pPr>
            <w:r w:rsidRPr="00295986">
              <w:t>1</w:t>
            </w:r>
            <w:r w:rsidR="00D7157D">
              <w:t>.</w:t>
            </w:r>
            <w:r w:rsidRPr="00295986">
              <w:t>1368</w:t>
            </w:r>
          </w:p>
        </w:tc>
        <w:tc>
          <w:tcPr>
            <w:tcW w:w="966" w:type="pct"/>
            <w:tcBorders>
              <w:top w:val="single" w:sz="4" w:space="0" w:color="auto"/>
              <w:bottom w:val="single" w:sz="4" w:space="0" w:color="auto"/>
            </w:tcBorders>
            <w:vAlign w:val="bottom"/>
          </w:tcPr>
          <w:p w14:paraId="4A086399" w14:textId="77777777" w:rsidR="006A2074" w:rsidRPr="00C971C6" w:rsidRDefault="006A2074" w:rsidP="00F36942">
            <w:pPr>
              <w:pStyle w:val="Tabletext"/>
              <w:rPr>
                <w:snapToGrid w:val="0"/>
              </w:rPr>
            </w:pPr>
            <w:r w:rsidRPr="00295986">
              <w:t>22</w:t>
            </w:r>
            <w:r w:rsidR="00D7157D">
              <w:t>.</w:t>
            </w:r>
            <w:r w:rsidRPr="00295986">
              <w:t>9447</w:t>
            </w:r>
          </w:p>
        </w:tc>
        <w:tc>
          <w:tcPr>
            <w:tcW w:w="966" w:type="pct"/>
            <w:tcBorders>
              <w:top w:val="single" w:sz="4" w:space="0" w:color="auto"/>
              <w:bottom w:val="single" w:sz="4" w:space="0" w:color="auto"/>
            </w:tcBorders>
            <w:vAlign w:val="bottom"/>
          </w:tcPr>
          <w:p w14:paraId="3EE1B26F" w14:textId="77777777" w:rsidR="006A2074" w:rsidRPr="00C971C6" w:rsidRDefault="006A2074" w:rsidP="00F36942">
            <w:pPr>
              <w:pStyle w:val="Tabletext"/>
              <w:rPr>
                <w:snapToGrid w:val="0"/>
              </w:rPr>
            </w:pPr>
            <w:r w:rsidRPr="00295986">
              <w:t>0</w:t>
            </w:r>
            <w:r w:rsidR="00D7157D">
              <w:t>.</w:t>
            </w:r>
            <w:r w:rsidRPr="00295986">
              <w:t>4262</w:t>
            </w:r>
          </w:p>
        </w:tc>
      </w:tr>
      <w:tr w:rsidR="006A2074" w:rsidRPr="009E2595" w14:paraId="4B0CE3F0" w14:textId="77777777" w:rsidTr="00F36942">
        <w:trPr>
          <w:cantSplit/>
        </w:trPr>
        <w:tc>
          <w:tcPr>
            <w:tcW w:w="1136" w:type="pct"/>
            <w:tcBorders>
              <w:top w:val="single" w:sz="4" w:space="0" w:color="auto"/>
              <w:bottom w:val="single" w:sz="4" w:space="0" w:color="auto"/>
            </w:tcBorders>
          </w:tcPr>
          <w:p w14:paraId="213A9D2B" w14:textId="77777777" w:rsidR="006A2074" w:rsidRPr="00616B26" w:rsidRDefault="006A2074" w:rsidP="00F36942">
            <w:pPr>
              <w:pStyle w:val="Tabletext"/>
              <w:rPr>
                <w:snapToGrid w:val="0"/>
              </w:rPr>
            </w:pPr>
            <w:r w:rsidRPr="00616B26">
              <w:rPr>
                <w:snapToGrid w:val="0"/>
              </w:rPr>
              <w:t>45</w:t>
            </w:r>
          </w:p>
        </w:tc>
        <w:tc>
          <w:tcPr>
            <w:tcW w:w="966" w:type="pct"/>
            <w:tcBorders>
              <w:top w:val="single" w:sz="4" w:space="0" w:color="auto"/>
              <w:bottom w:val="single" w:sz="4" w:space="0" w:color="auto"/>
            </w:tcBorders>
            <w:vAlign w:val="bottom"/>
          </w:tcPr>
          <w:p w14:paraId="60AC3357" w14:textId="77777777" w:rsidR="006A2074" w:rsidRPr="00C971C6" w:rsidRDefault="006A2074" w:rsidP="00F36942">
            <w:pPr>
              <w:pStyle w:val="Tabletext"/>
              <w:rPr>
                <w:snapToGrid w:val="0"/>
              </w:rPr>
            </w:pPr>
            <w:r w:rsidRPr="00295986">
              <w:t>22</w:t>
            </w:r>
            <w:r w:rsidR="00D7157D">
              <w:t>.</w:t>
            </w:r>
            <w:r w:rsidRPr="00295986">
              <w:t>0796</w:t>
            </w:r>
          </w:p>
        </w:tc>
        <w:tc>
          <w:tcPr>
            <w:tcW w:w="966" w:type="pct"/>
            <w:tcBorders>
              <w:top w:val="single" w:sz="4" w:space="0" w:color="auto"/>
              <w:bottom w:val="single" w:sz="4" w:space="0" w:color="auto"/>
            </w:tcBorders>
            <w:vAlign w:val="bottom"/>
          </w:tcPr>
          <w:p w14:paraId="493A7DB3" w14:textId="77777777" w:rsidR="006A2074" w:rsidRPr="00C971C6" w:rsidRDefault="006A2074" w:rsidP="00F36942">
            <w:pPr>
              <w:pStyle w:val="Tabletext"/>
              <w:rPr>
                <w:snapToGrid w:val="0"/>
              </w:rPr>
            </w:pPr>
            <w:r w:rsidRPr="00295986">
              <w:t>1</w:t>
            </w:r>
            <w:r w:rsidR="00D7157D">
              <w:t>.</w:t>
            </w:r>
            <w:r w:rsidRPr="00295986">
              <w:t>1259</w:t>
            </w:r>
          </w:p>
        </w:tc>
        <w:tc>
          <w:tcPr>
            <w:tcW w:w="966" w:type="pct"/>
            <w:tcBorders>
              <w:top w:val="single" w:sz="4" w:space="0" w:color="auto"/>
              <w:bottom w:val="single" w:sz="4" w:space="0" w:color="auto"/>
            </w:tcBorders>
            <w:vAlign w:val="bottom"/>
          </w:tcPr>
          <w:p w14:paraId="63F527D9" w14:textId="77777777" w:rsidR="006A2074" w:rsidRPr="00C971C6" w:rsidRDefault="006A2074" w:rsidP="00F36942">
            <w:pPr>
              <w:pStyle w:val="Tabletext"/>
              <w:rPr>
                <w:snapToGrid w:val="0"/>
              </w:rPr>
            </w:pPr>
            <w:r w:rsidRPr="00295986">
              <w:t>22</w:t>
            </w:r>
            <w:r w:rsidR="00D7157D">
              <w:t>.</w:t>
            </w:r>
            <w:r w:rsidRPr="00295986">
              <w:t>7308</w:t>
            </w:r>
          </w:p>
        </w:tc>
        <w:tc>
          <w:tcPr>
            <w:tcW w:w="966" w:type="pct"/>
            <w:tcBorders>
              <w:top w:val="single" w:sz="4" w:space="0" w:color="auto"/>
              <w:bottom w:val="single" w:sz="4" w:space="0" w:color="auto"/>
            </w:tcBorders>
            <w:vAlign w:val="bottom"/>
          </w:tcPr>
          <w:p w14:paraId="4F069848" w14:textId="77777777" w:rsidR="006A2074" w:rsidRPr="00C971C6" w:rsidRDefault="006A2074" w:rsidP="00F36942">
            <w:pPr>
              <w:pStyle w:val="Tabletext"/>
              <w:rPr>
                <w:snapToGrid w:val="0"/>
              </w:rPr>
            </w:pPr>
            <w:r w:rsidRPr="00295986">
              <w:t>0</w:t>
            </w:r>
            <w:r w:rsidR="00D7157D">
              <w:t>.</w:t>
            </w:r>
            <w:r w:rsidRPr="00295986">
              <w:t>4051</w:t>
            </w:r>
          </w:p>
        </w:tc>
      </w:tr>
      <w:tr w:rsidR="006A2074" w:rsidRPr="009E2595" w14:paraId="68E92464" w14:textId="77777777" w:rsidTr="00F36942">
        <w:trPr>
          <w:cantSplit/>
        </w:trPr>
        <w:tc>
          <w:tcPr>
            <w:tcW w:w="1136" w:type="pct"/>
            <w:tcBorders>
              <w:top w:val="single" w:sz="4" w:space="0" w:color="auto"/>
              <w:bottom w:val="single" w:sz="4" w:space="0" w:color="auto"/>
            </w:tcBorders>
          </w:tcPr>
          <w:p w14:paraId="4891499A" w14:textId="77777777" w:rsidR="006A2074" w:rsidRPr="00616B26" w:rsidRDefault="006A2074" w:rsidP="00F36942">
            <w:pPr>
              <w:pStyle w:val="Tabletext"/>
              <w:rPr>
                <w:snapToGrid w:val="0"/>
              </w:rPr>
            </w:pPr>
            <w:r w:rsidRPr="00616B26">
              <w:rPr>
                <w:snapToGrid w:val="0"/>
              </w:rPr>
              <w:t>46</w:t>
            </w:r>
          </w:p>
        </w:tc>
        <w:tc>
          <w:tcPr>
            <w:tcW w:w="966" w:type="pct"/>
            <w:tcBorders>
              <w:top w:val="single" w:sz="4" w:space="0" w:color="auto"/>
              <w:bottom w:val="single" w:sz="4" w:space="0" w:color="auto"/>
            </w:tcBorders>
            <w:vAlign w:val="bottom"/>
          </w:tcPr>
          <w:p w14:paraId="08C16381" w14:textId="77777777" w:rsidR="006A2074" w:rsidRPr="00C971C6" w:rsidRDefault="006A2074" w:rsidP="00F36942">
            <w:pPr>
              <w:pStyle w:val="Tabletext"/>
              <w:rPr>
                <w:snapToGrid w:val="0"/>
              </w:rPr>
            </w:pPr>
            <w:r w:rsidRPr="00295986">
              <w:t>21</w:t>
            </w:r>
            <w:r w:rsidR="00D7157D">
              <w:t>.</w:t>
            </w:r>
            <w:r w:rsidRPr="00295986">
              <w:t>8450</w:t>
            </w:r>
          </w:p>
        </w:tc>
        <w:tc>
          <w:tcPr>
            <w:tcW w:w="966" w:type="pct"/>
            <w:tcBorders>
              <w:top w:val="single" w:sz="4" w:space="0" w:color="auto"/>
              <w:bottom w:val="single" w:sz="4" w:space="0" w:color="auto"/>
            </w:tcBorders>
            <w:vAlign w:val="bottom"/>
          </w:tcPr>
          <w:p w14:paraId="7E12F512" w14:textId="77777777" w:rsidR="006A2074" w:rsidRPr="00C971C6" w:rsidRDefault="006A2074" w:rsidP="00F36942">
            <w:pPr>
              <w:pStyle w:val="Tabletext"/>
              <w:rPr>
                <w:snapToGrid w:val="0"/>
              </w:rPr>
            </w:pPr>
            <w:r w:rsidRPr="00295986">
              <w:t>1</w:t>
            </w:r>
            <w:r w:rsidR="00D7157D">
              <w:t>.</w:t>
            </w:r>
            <w:r w:rsidRPr="00295986">
              <w:t>1128</w:t>
            </w:r>
          </w:p>
        </w:tc>
        <w:tc>
          <w:tcPr>
            <w:tcW w:w="966" w:type="pct"/>
            <w:tcBorders>
              <w:top w:val="single" w:sz="4" w:space="0" w:color="auto"/>
              <w:bottom w:val="single" w:sz="4" w:space="0" w:color="auto"/>
            </w:tcBorders>
            <w:vAlign w:val="bottom"/>
          </w:tcPr>
          <w:p w14:paraId="3850AFFF" w14:textId="77777777" w:rsidR="006A2074" w:rsidRPr="00C971C6" w:rsidRDefault="006A2074" w:rsidP="00F36942">
            <w:pPr>
              <w:pStyle w:val="Tabletext"/>
              <w:rPr>
                <w:snapToGrid w:val="0"/>
              </w:rPr>
            </w:pPr>
            <w:r w:rsidRPr="00295986">
              <w:t>22</w:t>
            </w:r>
            <w:r w:rsidR="00D7157D">
              <w:t>.</w:t>
            </w:r>
            <w:r w:rsidRPr="00295986">
              <w:t>5098</w:t>
            </w:r>
          </w:p>
        </w:tc>
        <w:tc>
          <w:tcPr>
            <w:tcW w:w="966" w:type="pct"/>
            <w:tcBorders>
              <w:top w:val="single" w:sz="4" w:space="0" w:color="auto"/>
              <w:bottom w:val="single" w:sz="4" w:space="0" w:color="auto"/>
            </w:tcBorders>
            <w:vAlign w:val="bottom"/>
          </w:tcPr>
          <w:p w14:paraId="0A7C983D" w14:textId="77777777" w:rsidR="006A2074" w:rsidRPr="00C971C6" w:rsidRDefault="006A2074" w:rsidP="00F36942">
            <w:pPr>
              <w:pStyle w:val="Tabletext"/>
              <w:rPr>
                <w:snapToGrid w:val="0"/>
              </w:rPr>
            </w:pPr>
            <w:r w:rsidRPr="00295986">
              <w:t>0</w:t>
            </w:r>
            <w:r w:rsidR="00D7157D">
              <w:t>.</w:t>
            </w:r>
            <w:r w:rsidRPr="00295986">
              <w:t>3820</w:t>
            </w:r>
          </w:p>
        </w:tc>
      </w:tr>
      <w:tr w:rsidR="006A2074" w:rsidRPr="009E2595" w14:paraId="66B353D6" w14:textId="77777777" w:rsidTr="00F36942">
        <w:trPr>
          <w:cantSplit/>
        </w:trPr>
        <w:tc>
          <w:tcPr>
            <w:tcW w:w="1136" w:type="pct"/>
            <w:tcBorders>
              <w:top w:val="single" w:sz="4" w:space="0" w:color="auto"/>
              <w:bottom w:val="single" w:sz="4" w:space="0" w:color="auto"/>
            </w:tcBorders>
          </w:tcPr>
          <w:p w14:paraId="5325EE10" w14:textId="77777777" w:rsidR="006A2074" w:rsidRPr="00616B26" w:rsidRDefault="006A2074" w:rsidP="00F36942">
            <w:pPr>
              <w:pStyle w:val="Tabletext"/>
              <w:rPr>
                <w:snapToGrid w:val="0"/>
              </w:rPr>
            </w:pPr>
            <w:r w:rsidRPr="00616B26">
              <w:rPr>
                <w:snapToGrid w:val="0"/>
              </w:rPr>
              <w:t>47</w:t>
            </w:r>
          </w:p>
        </w:tc>
        <w:tc>
          <w:tcPr>
            <w:tcW w:w="966" w:type="pct"/>
            <w:tcBorders>
              <w:top w:val="single" w:sz="4" w:space="0" w:color="auto"/>
              <w:bottom w:val="single" w:sz="4" w:space="0" w:color="auto"/>
            </w:tcBorders>
            <w:vAlign w:val="bottom"/>
          </w:tcPr>
          <w:p w14:paraId="712ABE91" w14:textId="77777777" w:rsidR="006A2074" w:rsidRPr="00C971C6" w:rsidRDefault="006A2074" w:rsidP="00F36942">
            <w:pPr>
              <w:pStyle w:val="Tabletext"/>
              <w:rPr>
                <w:snapToGrid w:val="0"/>
              </w:rPr>
            </w:pPr>
            <w:r w:rsidRPr="00295986">
              <w:t>21</w:t>
            </w:r>
            <w:r w:rsidR="00D7157D">
              <w:t>.</w:t>
            </w:r>
            <w:r w:rsidRPr="00295986">
              <w:t>6033</w:t>
            </w:r>
          </w:p>
        </w:tc>
        <w:tc>
          <w:tcPr>
            <w:tcW w:w="966" w:type="pct"/>
            <w:tcBorders>
              <w:top w:val="single" w:sz="4" w:space="0" w:color="auto"/>
              <w:bottom w:val="single" w:sz="4" w:space="0" w:color="auto"/>
            </w:tcBorders>
            <w:vAlign w:val="bottom"/>
          </w:tcPr>
          <w:p w14:paraId="0FDDA9F4" w14:textId="77777777" w:rsidR="006A2074" w:rsidRPr="00C971C6" w:rsidRDefault="006A2074" w:rsidP="00F36942">
            <w:pPr>
              <w:pStyle w:val="Tabletext"/>
              <w:rPr>
                <w:snapToGrid w:val="0"/>
              </w:rPr>
            </w:pPr>
            <w:r w:rsidRPr="00295986">
              <w:t>1</w:t>
            </w:r>
            <w:r w:rsidR="00D7157D">
              <w:t>.</w:t>
            </w:r>
            <w:r w:rsidRPr="00295986">
              <w:t>0976</w:t>
            </w:r>
          </w:p>
        </w:tc>
        <w:tc>
          <w:tcPr>
            <w:tcW w:w="966" w:type="pct"/>
            <w:tcBorders>
              <w:top w:val="single" w:sz="4" w:space="0" w:color="auto"/>
              <w:bottom w:val="single" w:sz="4" w:space="0" w:color="auto"/>
            </w:tcBorders>
            <w:vAlign w:val="bottom"/>
          </w:tcPr>
          <w:p w14:paraId="45CDB10F" w14:textId="77777777" w:rsidR="006A2074" w:rsidRPr="00C971C6" w:rsidRDefault="006A2074" w:rsidP="00F36942">
            <w:pPr>
              <w:pStyle w:val="Tabletext"/>
              <w:rPr>
                <w:snapToGrid w:val="0"/>
              </w:rPr>
            </w:pPr>
            <w:r w:rsidRPr="00295986">
              <w:t>22</w:t>
            </w:r>
            <w:r w:rsidR="00D7157D">
              <w:t>.</w:t>
            </w:r>
            <w:r w:rsidRPr="00295986">
              <w:t>2816</w:t>
            </w:r>
          </w:p>
        </w:tc>
        <w:tc>
          <w:tcPr>
            <w:tcW w:w="966" w:type="pct"/>
            <w:tcBorders>
              <w:top w:val="single" w:sz="4" w:space="0" w:color="auto"/>
              <w:bottom w:val="single" w:sz="4" w:space="0" w:color="auto"/>
            </w:tcBorders>
            <w:vAlign w:val="bottom"/>
          </w:tcPr>
          <w:p w14:paraId="7F0E67DC" w14:textId="77777777" w:rsidR="006A2074" w:rsidRPr="00C971C6" w:rsidRDefault="006A2074" w:rsidP="00F36942">
            <w:pPr>
              <w:pStyle w:val="Tabletext"/>
              <w:rPr>
                <w:snapToGrid w:val="0"/>
              </w:rPr>
            </w:pPr>
            <w:r w:rsidRPr="00295986">
              <w:t>0</w:t>
            </w:r>
            <w:r w:rsidR="00D7157D">
              <w:t>.</w:t>
            </w:r>
            <w:r w:rsidRPr="00295986">
              <w:t>3569</w:t>
            </w:r>
          </w:p>
        </w:tc>
      </w:tr>
      <w:tr w:rsidR="006A2074" w:rsidRPr="009E2595" w14:paraId="275ED9C5" w14:textId="77777777" w:rsidTr="00F36942">
        <w:trPr>
          <w:cantSplit/>
        </w:trPr>
        <w:tc>
          <w:tcPr>
            <w:tcW w:w="1136" w:type="pct"/>
            <w:tcBorders>
              <w:top w:val="single" w:sz="4" w:space="0" w:color="auto"/>
              <w:bottom w:val="single" w:sz="4" w:space="0" w:color="auto"/>
            </w:tcBorders>
          </w:tcPr>
          <w:p w14:paraId="08A42EC2" w14:textId="77777777" w:rsidR="006A2074" w:rsidRPr="00616B26" w:rsidRDefault="006A2074" w:rsidP="00F36942">
            <w:pPr>
              <w:pStyle w:val="Tabletext"/>
              <w:rPr>
                <w:snapToGrid w:val="0"/>
              </w:rPr>
            </w:pPr>
            <w:r w:rsidRPr="00616B26">
              <w:rPr>
                <w:snapToGrid w:val="0"/>
              </w:rPr>
              <w:t>48</w:t>
            </w:r>
          </w:p>
        </w:tc>
        <w:tc>
          <w:tcPr>
            <w:tcW w:w="966" w:type="pct"/>
            <w:tcBorders>
              <w:top w:val="single" w:sz="4" w:space="0" w:color="auto"/>
              <w:bottom w:val="single" w:sz="4" w:space="0" w:color="auto"/>
            </w:tcBorders>
            <w:vAlign w:val="bottom"/>
          </w:tcPr>
          <w:p w14:paraId="1DA27F2D" w14:textId="77777777" w:rsidR="006A2074" w:rsidRPr="00C971C6" w:rsidRDefault="006A2074" w:rsidP="00F36942">
            <w:pPr>
              <w:pStyle w:val="Tabletext"/>
              <w:rPr>
                <w:snapToGrid w:val="0"/>
              </w:rPr>
            </w:pPr>
            <w:r w:rsidRPr="00295986">
              <w:t>21</w:t>
            </w:r>
            <w:r w:rsidR="00D7157D">
              <w:t>.</w:t>
            </w:r>
            <w:r w:rsidRPr="00295986">
              <w:t>3546</w:t>
            </w:r>
          </w:p>
        </w:tc>
        <w:tc>
          <w:tcPr>
            <w:tcW w:w="966" w:type="pct"/>
            <w:tcBorders>
              <w:top w:val="single" w:sz="4" w:space="0" w:color="auto"/>
              <w:bottom w:val="single" w:sz="4" w:space="0" w:color="auto"/>
            </w:tcBorders>
            <w:vAlign w:val="bottom"/>
          </w:tcPr>
          <w:p w14:paraId="7DF5ABBF" w14:textId="77777777" w:rsidR="006A2074" w:rsidRPr="00C971C6" w:rsidRDefault="006A2074" w:rsidP="00F36942">
            <w:pPr>
              <w:pStyle w:val="Tabletext"/>
              <w:rPr>
                <w:snapToGrid w:val="0"/>
              </w:rPr>
            </w:pPr>
            <w:r w:rsidRPr="00295986">
              <w:t>1</w:t>
            </w:r>
            <w:r w:rsidR="00D7157D">
              <w:t>.</w:t>
            </w:r>
            <w:r w:rsidRPr="00295986">
              <w:t>0799</w:t>
            </w:r>
          </w:p>
        </w:tc>
        <w:tc>
          <w:tcPr>
            <w:tcW w:w="966" w:type="pct"/>
            <w:tcBorders>
              <w:top w:val="single" w:sz="4" w:space="0" w:color="auto"/>
              <w:bottom w:val="single" w:sz="4" w:space="0" w:color="auto"/>
            </w:tcBorders>
            <w:vAlign w:val="bottom"/>
          </w:tcPr>
          <w:p w14:paraId="54CACCC0" w14:textId="77777777" w:rsidR="006A2074" w:rsidRPr="00C971C6" w:rsidRDefault="006A2074" w:rsidP="00F36942">
            <w:pPr>
              <w:pStyle w:val="Tabletext"/>
              <w:rPr>
                <w:snapToGrid w:val="0"/>
              </w:rPr>
            </w:pPr>
            <w:r w:rsidRPr="00295986">
              <w:t>22</w:t>
            </w:r>
            <w:r w:rsidR="00D7157D">
              <w:t>.</w:t>
            </w:r>
            <w:r w:rsidRPr="00295986">
              <w:t>0460</w:t>
            </w:r>
          </w:p>
        </w:tc>
        <w:tc>
          <w:tcPr>
            <w:tcW w:w="966" w:type="pct"/>
            <w:tcBorders>
              <w:top w:val="single" w:sz="4" w:space="0" w:color="auto"/>
              <w:bottom w:val="single" w:sz="4" w:space="0" w:color="auto"/>
            </w:tcBorders>
            <w:vAlign w:val="bottom"/>
          </w:tcPr>
          <w:p w14:paraId="031DC017" w14:textId="77777777" w:rsidR="006A2074" w:rsidRPr="00C971C6" w:rsidRDefault="006A2074" w:rsidP="00F36942">
            <w:pPr>
              <w:pStyle w:val="Tabletext"/>
              <w:rPr>
                <w:snapToGrid w:val="0"/>
              </w:rPr>
            </w:pPr>
            <w:r w:rsidRPr="00295986">
              <w:t>0</w:t>
            </w:r>
            <w:r w:rsidR="00D7157D">
              <w:t>.</w:t>
            </w:r>
            <w:r w:rsidRPr="00295986">
              <w:t>3297</w:t>
            </w:r>
          </w:p>
        </w:tc>
      </w:tr>
      <w:tr w:rsidR="006A2074" w:rsidRPr="009E2595" w14:paraId="509F47AA" w14:textId="77777777" w:rsidTr="00F36942">
        <w:trPr>
          <w:cantSplit/>
        </w:trPr>
        <w:tc>
          <w:tcPr>
            <w:tcW w:w="1136" w:type="pct"/>
            <w:tcBorders>
              <w:top w:val="single" w:sz="4" w:space="0" w:color="auto"/>
              <w:bottom w:val="single" w:sz="4" w:space="0" w:color="auto"/>
            </w:tcBorders>
          </w:tcPr>
          <w:p w14:paraId="7CD522DF" w14:textId="77777777" w:rsidR="006A2074" w:rsidRPr="00616B26" w:rsidRDefault="006A2074" w:rsidP="00F36942">
            <w:pPr>
              <w:pStyle w:val="Tabletext"/>
              <w:rPr>
                <w:snapToGrid w:val="0"/>
              </w:rPr>
            </w:pPr>
            <w:r w:rsidRPr="00616B26">
              <w:rPr>
                <w:snapToGrid w:val="0"/>
              </w:rPr>
              <w:t>49</w:t>
            </w:r>
          </w:p>
        </w:tc>
        <w:tc>
          <w:tcPr>
            <w:tcW w:w="966" w:type="pct"/>
            <w:tcBorders>
              <w:top w:val="single" w:sz="4" w:space="0" w:color="auto"/>
              <w:bottom w:val="single" w:sz="4" w:space="0" w:color="auto"/>
            </w:tcBorders>
            <w:vAlign w:val="bottom"/>
          </w:tcPr>
          <w:p w14:paraId="17A7C0B9" w14:textId="77777777" w:rsidR="006A2074" w:rsidRPr="00C971C6" w:rsidRDefault="006A2074" w:rsidP="00F36942">
            <w:pPr>
              <w:pStyle w:val="Tabletext"/>
              <w:rPr>
                <w:snapToGrid w:val="0"/>
              </w:rPr>
            </w:pPr>
            <w:r w:rsidRPr="00295986">
              <w:t>21</w:t>
            </w:r>
            <w:r w:rsidR="00D7157D">
              <w:t>.</w:t>
            </w:r>
            <w:r w:rsidRPr="00295986">
              <w:t>0987</w:t>
            </w:r>
          </w:p>
        </w:tc>
        <w:tc>
          <w:tcPr>
            <w:tcW w:w="966" w:type="pct"/>
            <w:tcBorders>
              <w:top w:val="single" w:sz="4" w:space="0" w:color="auto"/>
              <w:bottom w:val="single" w:sz="4" w:space="0" w:color="auto"/>
            </w:tcBorders>
            <w:vAlign w:val="bottom"/>
          </w:tcPr>
          <w:p w14:paraId="1999287D" w14:textId="77777777" w:rsidR="006A2074" w:rsidRPr="00C971C6" w:rsidRDefault="006A2074" w:rsidP="00F36942">
            <w:pPr>
              <w:pStyle w:val="Tabletext"/>
              <w:rPr>
                <w:snapToGrid w:val="0"/>
              </w:rPr>
            </w:pPr>
            <w:r w:rsidRPr="00295986">
              <w:t>1</w:t>
            </w:r>
            <w:r w:rsidR="00D7157D">
              <w:t>.</w:t>
            </w:r>
            <w:r w:rsidRPr="00295986">
              <w:t>0599</w:t>
            </w:r>
          </w:p>
        </w:tc>
        <w:tc>
          <w:tcPr>
            <w:tcW w:w="966" w:type="pct"/>
            <w:tcBorders>
              <w:top w:val="single" w:sz="4" w:space="0" w:color="auto"/>
              <w:bottom w:val="single" w:sz="4" w:space="0" w:color="auto"/>
            </w:tcBorders>
            <w:vAlign w:val="bottom"/>
          </w:tcPr>
          <w:p w14:paraId="23B30E7E" w14:textId="77777777" w:rsidR="006A2074" w:rsidRPr="00C971C6" w:rsidRDefault="006A2074" w:rsidP="00F36942">
            <w:pPr>
              <w:pStyle w:val="Tabletext"/>
              <w:rPr>
                <w:snapToGrid w:val="0"/>
              </w:rPr>
            </w:pPr>
            <w:r w:rsidRPr="00295986">
              <w:t>21</w:t>
            </w:r>
            <w:r w:rsidR="00D7157D">
              <w:t>.</w:t>
            </w:r>
            <w:r w:rsidRPr="00295986">
              <w:t>8026</w:t>
            </w:r>
          </w:p>
        </w:tc>
        <w:tc>
          <w:tcPr>
            <w:tcW w:w="966" w:type="pct"/>
            <w:tcBorders>
              <w:top w:val="single" w:sz="4" w:space="0" w:color="auto"/>
              <w:bottom w:val="single" w:sz="4" w:space="0" w:color="auto"/>
            </w:tcBorders>
            <w:vAlign w:val="bottom"/>
          </w:tcPr>
          <w:p w14:paraId="273FAB67" w14:textId="77777777" w:rsidR="006A2074" w:rsidRPr="00C971C6" w:rsidRDefault="006A2074" w:rsidP="00F36942">
            <w:pPr>
              <w:pStyle w:val="Tabletext"/>
              <w:rPr>
                <w:snapToGrid w:val="0"/>
              </w:rPr>
            </w:pPr>
            <w:r w:rsidRPr="00295986">
              <w:t>0</w:t>
            </w:r>
            <w:r w:rsidR="00D7157D">
              <w:t>.</w:t>
            </w:r>
            <w:r w:rsidRPr="00295986">
              <w:t>3004</w:t>
            </w:r>
          </w:p>
        </w:tc>
      </w:tr>
      <w:tr w:rsidR="006A2074" w:rsidRPr="009E2595" w14:paraId="2E215381" w14:textId="77777777" w:rsidTr="00F36942">
        <w:trPr>
          <w:cantSplit/>
        </w:trPr>
        <w:tc>
          <w:tcPr>
            <w:tcW w:w="1136" w:type="pct"/>
            <w:tcBorders>
              <w:top w:val="single" w:sz="4" w:space="0" w:color="auto"/>
              <w:bottom w:val="single" w:sz="4" w:space="0" w:color="auto"/>
            </w:tcBorders>
          </w:tcPr>
          <w:p w14:paraId="098D15E9" w14:textId="77777777" w:rsidR="006A2074" w:rsidRPr="00616B26" w:rsidRDefault="006A2074" w:rsidP="00F36942">
            <w:pPr>
              <w:pStyle w:val="Tabletext"/>
              <w:rPr>
                <w:snapToGrid w:val="0"/>
              </w:rPr>
            </w:pPr>
            <w:r w:rsidRPr="00616B26">
              <w:rPr>
                <w:snapToGrid w:val="0"/>
              </w:rPr>
              <w:t>50</w:t>
            </w:r>
          </w:p>
        </w:tc>
        <w:tc>
          <w:tcPr>
            <w:tcW w:w="966" w:type="pct"/>
            <w:tcBorders>
              <w:top w:val="single" w:sz="4" w:space="0" w:color="auto"/>
              <w:bottom w:val="single" w:sz="4" w:space="0" w:color="auto"/>
            </w:tcBorders>
            <w:vAlign w:val="bottom"/>
          </w:tcPr>
          <w:p w14:paraId="048E3442" w14:textId="77777777" w:rsidR="006A2074" w:rsidRPr="00C971C6" w:rsidRDefault="006A2074" w:rsidP="00F36942">
            <w:pPr>
              <w:pStyle w:val="Tabletext"/>
              <w:rPr>
                <w:snapToGrid w:val="0"/>
              </w:rPr>
            </w:pPr>
            <w:r w:rsidRPr="00295986">
              <w:t>20</w:t>
            </w:r>
            <w:r w:rsidR="00D7157D">
              <w:t>.</w:t>
            </w:r>
            <w:r w:rsidRPr="00295986">
              <w:t>8348</w:t>
            </w:r>
          </w:p>
        </w:tc>
        <w:tc>
          <w:tcPr>
            <w:tcW w:w="966" w:type="pct"/>
            <w:tcBorders>
              <w:top w:val="single" w:sz="4" w:space="0" w:color="auto"/>
              <w:bottom w:val="single" w:sz="4" w:space="0" w:color="auto"/>
            </w:tcBorders>
            <w:vAlign w:val="bottom"/>
          </w:tcPr>
          <w:p w14:paraId="5E778CAF" w14:textId="77777777" w:rsidR="006A2074" w:rsidRPr="00C971C6" w:rsidRDefault="006A2074" w:rsidP="00F36942">
            <w:pPr>
              <w:pStyle w:val="Tabletext"/>
              <w:rPr>
                <w:snapToGrid w:val="0"/>
              </w:rPr>
            </w:pPr>
            <w:r w:rsidRPr="00295986">
              <w:t>1</w:t>
            </w:r>
            <w:r w:rsidR="00D7157D">
              <w:t>.</w:t>
            </w:r>
            <w:r w:rsidRPr="00295986">
              <w:t>0376</w:t>
            </w:r>
          </w:p>
        </w:tc>
        <w:tc>
          <w:tcPr>
            <w:tcW w:w="966" w:type="pct"/>
            <w:tcBorders>
              <w:top w:val="single" w:sz="4" w:space="0" w:color="auto"/>
              <w:bottom w:val="single" w:sz="4" w:space="0" w:color="auto"/>
            </w:tcBorders>
            <w:vAlign w:val="bottom"/>
          </w:tcPr>
          <w:p w14:paraId="2B5D0512" w14:textId="77777777" w:rsidR="006A2074" w:rsidRPr="00C971C6" w:rsidRDefault="006A2074" w:rsidP="00F36942">
            <w:pPr>
              <w:pStyle w:val="Tabletext"/>
              <w:rPr>
                <w:snapToGrid w:val="0"/>
              </w:rPr>
            </w:pPr>
            <w:r w:rsidRPr="00295986">
              <w:t>21</w:t>
            </w:r>
            <w:r w:rsidR="00D7157D">
              <w:t>.</w:t>
            </w:r>
            <w:r w:rsidRPr="00295986">
              <w:t>5513</w:t>
            </w:r>
          </w:p>
        </w:tc>
        <w:tc>
          <w:tcPr>
            <w:tcW w:w="966" w:type="pct"/>
            <w:tcBorders>
              <w:top w:val="single" w:sz="4" w:space="0" w:color="auto"/>
              <w:bottom w:val="single" w:sz="4" w:space="0" w:color="auto"/>
            </w:tcBorders>
            <w:vAlign w:val="bottom"/>
          </w:tcPr>
          <w:p w14:paraId="2A9841CE" w14:textId="77777777" w:rsidR="006A2074" w:rsidRPr="00C971C6" w:rsidRDefault="006A2074" w:rsidP="00F36942">
            <w:pPr>
              <w:pStyle w:val="Tabletext"/>
              <w:rPr>
                <w:snapToGrid w:val="0"/>
              </w:rPr>
            </w:pPr>
            <w:r w:rsidRPr="00295986">
              <w:t>0</w:t>
            </w:r>
            <w:r w:rsidR="00D7157D">
              <w:t>.</w:t>
            </w:r>
            <w:r w:rsidRPr="00295986">
              <w:t>2690</w:t>
            </w:r>
          </w:p>
        </w:tc>
      </w:tr>
      <w:tr w:rsidR="006A2074" w:rsidRPr="009E2595" w14:paraId="1E7E9B8E" w14:textId="77777777" w:rsidTr="00F36942">
        <w:trPr>
          <w:cantSplit/>
        </w:trPr>
        <w:tc>
          <w:tcPr>
            <w:tcW w:w="1136" w:type="pct"/>
            <w:tcBorders>
              <w:top w:val="single" w:sz="4" w:space="0" w:color="auto"/>
              <w:bottom w:val="single" w:sz="4" w:space="0" w:color="auto"/>
            </w:tcBorders>
          </w:tcPr>
          <w:p w14:paraId="4F8D4345" w14:textId="77777777" w:rsidR="006A2074" w:rsidRPr="00616B26" w:rsidRDefault="006A2074" w:rsidP="00F36942">
            <w:pPr>
              <w:pStyle w:val="Tabletext"/>
              <w:rPr>
                <w:snapToGrid w:val="0"/>
              </w:rPr>
            </w:pPr>
            <w:r w:rsidRPr="00616B26">
              <w:rPr>
                <w:snapToGrid w:val="0"/>
              </w:rPr>
              <w:t>51</w:t>
            </w:r>
          </w:p>
        </w:tc>
        <w:tc>
          <w:tcPr>
            <w:tcW w:w="966" w:type="pct"/>
            <w:tcBorders>
              <w:top w:val="single" w:sz="4" w:space="0" w:color="auto"/>
              <w:bottom w:val="single" w:sz="4" w:space="0" w:color="auto"/>
            </w:tcBorders>
            <w:vAlign w:val="bottom"/>
          </w:tcPr>
          <w:p w14:paraId="795A8BE0" w14:textId="77777777" w:rsidR="006A2074" w:rsidRPr="00C971C6" w:rsidRDefault="006A2074" w:rsidP="00F36942">
            <w:pPr>
              <w:pStyle w:val="Tabletext"/>
              <w:rPr>
                <w:snapToGrid w:val="0"/>
              </w:rPr>
            </w:pPr>
            <w:r w:rsidRPr="00295986">
              <w:t>20</w:t>
            </w:r>
            <w:r w:rsidR="00D7157D">
              <w:t>.</w:t>
            </w:r>
            <w:r w:rsidRPr="00295986">
              <w:t>5629</w:t>
            </w:r>
          </w:p>
        </w:tc>
        <w:tc>
          <w:tcPr>
            <w:tcW w:w="966" w:type="pct"/>
            <w:tcBorders>
              <w:top w:val="single" w:sz="4" w:space="0" w:color="auto"/>
              <w:bottom w:val="single" w:sz="4" w:space="0" w:color="auto"/>
            </w:tcBorders>
            <w:vAlign w:val="bottom"/>
          </w:tcPr>
          <w:p w14:paraId="21B4FA1A" w14:textId="77777777" w:rsidR="006A2074" w:rsidRPr="00C971C6" w:rsidRDefault="006A2074" w:rsidP="00F36942">
            <w:pPr>
              <w:pStyle w:val="Tabletext"/>
              <w:rPr>
                <w:snapToGrid w:val="0"/>
              </w:rPr>
            </w:pPr>
            <w:r w:rsidRPr="00295986">
              <w:t>0</w:t>
            </w:r>
            <w:r w:rsidR="00D7157D">
              <w:t>.</w:t>
            </w:r>
            <w:r w:rsidRPr="00295986">
              <w:t>9062</w:t>
            </w:r>
          </w:p>
        </w:tc>
        <w:tc>
          <w:tcPr>
            <w:tcW w:w="966" w:type="pct"/>
            <w:tcBorders>
              <w:top w:val="single" w:sz="4" w:space="0" w:color="auto"/>
              <w:bottom w:val="single" w:sz="4" w:space="0" w:color="auto"/>
            </w:tcBorders>
            <w:vAlign w:val="bottom"/>
          </w:tcPr>
          <w:p w14:paraId="36EB7650" w14:textId="77777777" w:rsidR="006A2074" w:rsidRPr="00C971C6" w:rsidRDefault="006A2074" w:rsidP="00F36942">
            <w:pPr>
              <w:pStyle w:val="Tabletext"/>
              <w:rPr>
                <w:snapToGrid w:val="0"/>
              </w:rPr>
            </w:pPr>
            <w:r w:rsidRPr="00295986">
              <w:t>21</w:t>
            </w:r>
            <w:r w:rsidR="00D7157D">
              <w:t>.</w:t>
            </w:r>
            <w:r w:rsidRPr="00295986">
              <w:t>2919</w:t>
            </w:r>
          </w:p>
        </w:tc>
        <w:tc>
          <w:tcPr>
            <w:tcW w:w="966" w:type="pct"/>
            <w:tcBorders>
              <w:top w:val="single" w:sz="4" w:space="0" w:color="auto"/>
              <w:bottom w:val="single" w:sz="4" w:space="0" w:color="auto"/>
            </w:tcBorders>
            <w:vAlign w:val="bottom"/>
          </w:tcPr>
          <w:p w14:paraId="02269DC1" w14:textId="77777777" w:rsidR="006A2074" w:rsidRPr="00C971C6" w:rsidRDefault="006A2074" w:rsidP="00F36942">
            <w:pPr>
              <w:pStyle w:val="Tabletext"/>
              <w:rPr>
                <w:snapToGrid w:val="0"/>
              </w:rPr>
            </w:pPr>
            <w:r w:rsidRPr="00295986">
              <w:t>0</w:t>
            </w:r>
            <w:r w:rsidR="00D7157D">
              <w:t>.</w:t>
            </w:r>
            <w:r w:rsidRPr="00295986">
              <w:t>2353</w:t>
            </w:r>
          </w:p>
        </w:tc>
      </w:tr>
      <w:tr w:rsidR="006A2074" w:rsidRPr="009E2595" w14:paraId="4AFF7ACE" w14:textId="77777777" w:rsidTr="00F36942">
        <w:trPr>
          <w:cantSplit/>
        </w:trPr>
        <w:tc>
          <w:tcPr>
            <w:tcW w:w="1136" w:type="pct"/>
            <w:tcBorders>
              <w:top w:val="single" w:sz="4" w:space="0" w:color="auto"/>
              <w:bottom w:val="single" w:sz="4" w:space="0" w:color="auto"/>
            </w:tcBorders>
          </w:tcPr>
          <w:p w14:paraId="7A225107" w14:textId="77777777" w:rsidR="006A2074" w:rsidRPr="00616B26" w:rsidRDefault="006A2074" w:rsidP="00F36942">
            <w:pPr>
              <w:pStyle w:val="Tabletext"/>
              <w:rPr>
                <w:snapToGrid w:val="0"/>
              </w:rPr>
            </w:pPr>
            <w:r w:rsidRPr="00616B26">
              <w:rPr>
                <w:snapToGrid w:val="0"/>
              </w:rPr>
              <w:t>52</w:t>
            </w:r>
          </w:p>
        </w:tc>
        <w:tc>
          <w:tcPr>
            <w:tcW w:w="966" w:type="pct"/>
            <w:tcBorders>
              <w:top w:val="single" w:sz="4" w:space="0" w:color="auto"/>
              <w:bottom w:val="single" w:sz="4" w:space="0" w:color="auto"/>
            </w:tcBorders>
            <w:vAlign w:val="bottom"/>
          </w:tcPr>
          <w:p w14:paraId="118B8477" w14:textId="77777777" w:rsidR="006A2074" w:rsidRPr="00C971C6" w:rsidRDefault="006A2074" w:rsidP="00F36942">
            <w:pPr>
              <w:pStyle w:val="Tabletext"/>
              <w:rPr>
                <w:snapToGrid w:val="0"/>
              </w:rPr>
            </w:pPr>
            <w:r w:rsidRPr="00295986">
              <w:t>20</w:t>
            </w:r>
            <w:r w:rsidR="00D7157D">
              <w:t>.</w:t>
            </w:r>
            <w:r w:rsidRPr="00295986">
              <w:t>2818</w:t>
            </w:r>
          </w:p>
        </w:tc>
        <w:tc>
          <w:tcPr>
            <w:tcW w:w="966" w:type="pct"/>
            <w:tcBorders>
              <w:top w:val="single" w:sz="4" w:space="0" w:color="auto"/>
              <w:bottom w:val="single" w:sz="4" w:space="0" w:color="auto"/>
            </w:tcBorders>
            <w:vAlign w:val="bottom"/>
          </w:tcPr>
          <w:p w14:paraId="306573B7" w14:textId="77777777" w:rsidR="006A2074" w:rsidRPr="00C971C6" w:rsidRDefault="006A2074" w:rsidP="00F36942">
            <w:pPr>
              <w:pStyle w:val="Tabletext"/>
              <w:rPr>
                <w:snapToGrid w:val="0"/>
              </w:rPr>
            </w:pPr>
            <w:r w:rsidRPr="00295986">
              <w:t>0</w:t>
            </w:r>
            <w:r w:rsidR="00D7157D">
              <w:t>.</w:t>
            </w:r>
            <w:r w:rsidRPr="00295986">
              <w:t>7668</w:t>
            </w:r>
          </w:p>
        </w:tc>
        <w:tc>
          <w:tcPr>
            <w:tcW w:w="966" w:type="pct"/>
            <w:tcBorders>
              <w:top w:val="single" w:sz="4" w:space="0" w:color="auto"/>
              <w:bottom w:val="single" w:sz="4" w:space="0" w:color="auto"/>
            </w:tcBorders>
            <w:vAlign w:val="bottom"/>
          </w:tcPr>
          <w:p w14:paraId="3F150CF2" w14:textId="77777777" w:rsidR="006A2074" w:rsidRPr="00C971C6" w:rsidRDefault="006A2074" w:rsidP="00F36942">
            <w:pPr>
              <w:pStyle w:val="Tabletext"/>
              <w:rPr>
                <w:snapToGrid w:val="0"/>
              </w:rPr>
            </w:pPr>
            <w:r w:rsidRPr="00295986">
              <w:t>21</w:t>
            </w:r>
            <w:r w:rsidR="00D7157D">
              <w:t>.</w:t>
            </w:r>
            <w:r w:rsidRPr="00295986">
              <w:t>0231</w:t>
            </w:r>
          </w:p>
        </w:tc>
        <w:tc>
          <w:tcPr>
            <w:tcW w:w="966" w:type="pct"/>
            <w:tcBorders>
              <w:top w:val="single" w:sz="4" w:space="0" w:color="auto"/>
              <w:bottom w:val="single" w:sz="4" w:space="0" w:color="auto"/>
            </w:tcBorders>
            <w:vAlign w:val="bottom"/>
          </w:tcPr>
          <w:p w14:paraId="259E751C" w14:textId="77777777" w:rsidR="006A2074" w:rsidRPr="00C971C6" w:rsidRDefault="006A2074" w:rsidP="00F36942">
            <w:pPr>
              <w:pStyle w:val="Tabletext"/>
              <w:rPr>
                <w:snapToGrid w:val="0"/>
              </w:rPr>
            </w:pPr>
            <w:r w:rsidRPr="00295986">
              <w:t>0</w:t>
            </w:r>
            <w:r w:rsidR="00D7157D">
              <w:t>.</w:t>
            </w:r>
            <w:r w:rsidRPr="00295986">
              <w:t>1994</w:t>
            </w:r>
          </w:p>
        </w:tc>
      </w:tr>
      <w:tr w:rsidR="006A2074" w:rsidRPr="009E2595" w14:paraId="617D41E5" w14:textId="77777777" w:rsidTr="00F36942">
        <w:trPr>
          <w:cantSplit/>
        </w:trPr>
        <w:tc>
          <w:tcPr>
            <w:tcW w:w="1136" w:type="pct"/>
            <w:tcBorders>
              <w:top w:val="single" w:sz="4" w:space="0" w:color="auto"/>
              <w:bottom w:val="single" w:sz="4" w:space="0" w:color="auto"/>
            </w:tcBorders>
          </w:tcPr>
          <w:p w14:paraId="4616FD30" w14:textId="77777777" w:rsidR="006A2074" w:rsidRPr="00616B26" w:rsidRDefault="006A2074" w:rsidP="00F36942">
            <w:pPr>
              <w:pStyle w:val="Tabletext"/>
              <w:rPr>
                <w:snapToGrid w:val="0"/>
              </w:rPr>
            </w:pPr>
            <w:r w:rsidRPr="00616B26">
              <w:rPr>
                <w:snapToGrid w:val="0"/>
              </w:rPr>
              <w:t>53</w:t>
            </w:r>
          </w:p>
        </w:tc>
        <w:tc>
          <w:tcPr>
            <w:tcW w:w="966" w:type="pct"/>
            <w:tcBorders>
              <w:top w:val="single" w:sz="4" w:space="0" w:color="auto"/>
              <w:bottom w:val="single" w:sz="4" w:space="0" w:color="auto"/>
            </w:tcBorders>
            <w:vAlign w:val="bottom"/>
          </w:tcPr>
          <w:p w14:paraId="7AFBF7CB" w14:textId="77777777" w:rsidR="006A2074" w:rsidRPr="00C971C6" w:rsidRDefault="006A2074" w:rsidP="00F36942">
            <w:pPr>
              <w:pStyle w:val="Tabletext"/>
              <w:rPr>
                <w:snapToGrid w:val="0"/>
              </w:rPr>
            </w:pPr>
            <w:r w:rsidRPr="00295986">
              <w:t>19</w:t>
            </w:r>
            <w:r w:rsidR="00D7157D">
              <w:t>.</w:t>
            </w:r>
            <w:r w:rsidRPr="00295986">
              <w:t>9910</w:t>
            </w:r>
          </w:p>
        </w:tc>
        <w:tc>
          <w:tcPr>
            <w:tcW w:w="966" w:type="pct"/>
            <w:tcBorders>
              <w:top w:val="single" w:sz="4" w:space="0" w:color="auto"/>
              <w:bottom w:val="single" w:sz="4" w:space="0" w:color="auto"/>
            </w:tcBorders>
            <w:vAlign w:val="bottom"/>
          </w:tcPr>
          <w:p w14:paraId="2F5E3363" w14:textId="77777777" w:rsidR="006A2074" w:rsidRPr="00C971C6" w:rsidRDefault="006A2074" w:rsidP="00F36942">
            <w:pPr>
              <w:pStyle w:val="Tabletext"/>
              <w:rPr>
                <w:snapToGrid w:val="0"/>
              </w:rPr>
            </w:pPr>
            <w:r w:rsidRPr="00295986">
              <w:t>0</w:t>
            </w:r>
            <w:r w:rsidR="00D7157D">
              <w:t>.</w:t>
            </w:r>
            <w:r w:rsidRPr="00295986">
              <w:t>6191</w:t>
            </w:r>
          </w:p>
        </w:tc>
        <w:tc>
          <w:tcPr>
            <w:tcW w:w="966" w:type="pct"/>
            <w:tcBorders>
              <w:top w:val="single" w:sz="4" w:space="0" w:color="auto"/>
              <w:bottom w:val="single" w:sz="4" w:space="0" w:color="auto"/>
            </w:tcBorders>
            <w:vAlign w:val="bottom"/>
          </w:tcPr>
          <w:p w14:paraId="4BE6348E" w14:textId="77777777" w:rsidR="006A2074" w:rsidRPr="00C971C6" w:rsidRDefault="006A2074" w:rsidP="00F36942">
            <w:pPr>
              <w:pStyle w:val="Tabletext"/>
              <w:rPr>
                <w:snapToGrid w:val="0"/>
              </w:rPr>
            </w:pPr>
            <w:r w:rsidRPr="00295986">
              <w:t>20</w:t>
            </w:r>
            <w:r w:rsidR="00D7157D">
              <w:t>.</w:t>
            </w:r>
            <w:r w:rsidRPr="00295986">
              <w:t>7451</w:t>
            </w:r>
          </w:p>
        </w:tc>
        <w:tc>
          <w:tcPr>
            <w:tcW w:w="966" w:type="pct"/>
            <w:tcBorders>
              <w:top w:val="single" w:sz="4" w:space="0" w:color="auto"/>
              <w:bottom w:val="single" w:sz="4" w:space="0" w:color="auto"/>
            </w:tcBorders>
            <w:vAlign w:val="bottom"/>
          </w:tcPr>
          <w:p w14:paraId="597B1263" w14:textId="77777777" w:rsidR="006A2074" w:rsidRPr="00C971C6" w:rsidRDefault="006A2074" w:rsidP="00F36942">
            <w:pPr>
              <w:pStyle w:val="Tabletext"/>
              <w:rPr>
                <w:snapToGrid w:val="0"/>
              </w:rPr>
            </w:pPr>
            <w:r w:rsidRPr="00295986">
              <w:t>0</w:t>
            </w:r>
            <w:r w:rsidR="00D7157D">
              <w:t>.</w:t>
            </w:r>
            <w:r w:rsidRPr="00295986">
              <w:t>1613</w:t>
            </w:r>
          </w:p>
        </w:tc>
      </w:tr>
      <w:tr w:rsidR="006A2074" w:rsidRPr="009E2595" w14:paraId="0E83EA43" w14:textId="77777777" w:rsidTr="00F36942">
        <w:trPr>
          <w:cantSplit/>
        </w:trPr>
        <w:tc>
          <w:tcPr>
            <w:tcW w:w="1136" w:type="pct"/>
            <w:tcBorders>
              <w:top w:val="single" w:sz="4" w:space="0" w:color="auto"/>
              <w:bottom w:val="single" w:sz="4" w:space="0" w:color="auto"/>
            </w:tcBorders>
          </w:tcPr>
          <w:p w14:paraId="1D55D78B" w14:textId="77777777" w:rsidR="006A2074" w:rsidRPr="00616B26" w:rsidRDefault="006A2074" w:rsidP="00F36942">
            <w:pPr>
              <w:pStyle w:val="Tabletext"/>
              <w:rPr>
                <w:snapToGrid w:val="0"/>
              </w:rPr>
            </w:pPr>
            <w:r w:rsidRPr="00616B26">
              <w:rPr>
                <w:snapToGrid w:val="0"/>
              </w:rPr>
              <w:t>54</w:t>
            </w:r>
          </w:p>
        </w:tc>
        <w:tc>
          <w:tcPr>
            <w:tcW w:w="966" w:type="pct"/>
            <w:tcBorders>
              <w:top w:val="single" w:sz="4" w:space="0" w:color="auto"/>
              <w:bottom w:val="single" w:sz="4" w:space="0" w:color="auto"/>
            </w:tcBorders>
            <w:vAlign w:val="bottom"/>
          </w:tcPr>
          <w:p w14:paraId="013AB1D0" w14:textId="77777777" w:rsidR="006A2074" w:rsidRPr="00C971C6" w:rsidRDefault="006A2074" w:rsidP="00F36942">
            <w:pPr>
              <w:pStyle w:val="Tabletext"/>
              <w:rPr>
                <w:snapToGrid w:val="0"/>
              </w:rPr>
            </w:pPr>
            <w:r w:rsidRPr="00295986">
              <w:t>19</w:t>
            </w:r>
            <w:r w:rsidR="00D7157D">
              <w:t>.</w:t>
            </w:r>
            <w:r w:rsidRPr="00295986">
              <w:t>6907</w:t>
            </w:r>
          </w:p>
        </w:tc>
        <w:tc>
          <w:tcPr>
            <w:tcW w:w="966" w:type="pct"/>
            <w:tcBorders>
              <w:top w:val="single" w:sz="4" w:space="0" w:color="auto"/>
              <w:bottom w:val="single" w:sz="4" w:space="0" w:color="auto"/>
            </w:tcBorders>
            <w:vAlign w:val="bottom"/>
          </w:tcPr>
          <w:p w14:paraId="43C42286" w14:textId="77777777" w:rsidR="006A2074" w:rsidRPr="00C971C6" w:rsidRDefault="006A2074" w:rsidP="00F36942">
            <w:pPr>
              <w:pStyle w:val="Tabletext"/>
              <w:rPr>
                <w:snapToGrid w:val="0"/>
              </w:rPr>
            </w:pPr>
            <w:r w:rsidRPr="00295986">
              <w:t>0</w:t>
            </w:r>
            <w:r w:rsidR="00D7157D">
              <w:t>.</w:t>
            </w:r>
            <w:r w:rsidRPr="00295986">
              <w:t>4626</w:t>
            </w:r>
          </w:p>
        </w:tc>
        <w:tc>
          <w:tcPr>
            <w:tcW w:w="966" w:type="pct"/>
            <w:tcBorders>
              <w:top w:val="single" w:sz="4" w:space="0" w:color="auto"/>
              <w:bottom w:val="single" w:sz="4" w:space="0" w:color="auto"/>
            </w:tcBorders>
            <w:vAlign w:val="bottom"/>
          </w:tcPr>
          <w:p w14:paraId="566D3DBB" w14:textId="77777777" w:rsidR="006A2074" w:rsidRPr="00C971C6" w:rsidRDefault="006A2074" w:rsidP="00F36942">
            <w:pPr>
              <w:pStyle w:val="Tabletext"/>
              <w:rPr>
                <w:snapToGrid w:val="0"/>
              </w:rPr>
            </w:pPr>
            <w:r w:rsidRPr="00295986">
              <w:t>20</w:t>
            </w:r>
            <w:r w:rsidR="00D7157D">
              <w:t>.</w:t>
            </w:r>
            <w:r w:rsidRPr="00295986">
              <w:t>4575</w:t>
            </w:r>
          </w:p>
        </w:tc>
        <w:tc>
          <w:tcPr>
            <w:tcW w:w="966" w:type="pct"/>
            <w:tcBorders>
              <w:top w:val="single" w:sz="4" w:space="0" w:color="auto"/>
              <w:bottom w:val="single" w:sz="4" w:space="0" w:color="auto"/>
            </w:tcBorders>
            <w:vAlign w:val="bottom"/>
          </w:tcPr>
          <w:p w14:paraId="37E60613" w14:textId="77777777" w:rsidR="006A2074" w:rsidRPr="00C971C6" w:rsidRDefault="006A2074" w:rsidP="00F36942">
            <w:pPr>
              <w:pStyle w:val="Tabletext"/>
              <w:rPr>
                <w:snapToGrid w:val="0"/>
              </w:rPr>
            </w:pPr>
            <w:r w:rsidRPr="00295986">
              <w:t>0</w:t>
            </w:r>
            <w:r w:rsidR="00D7157D">
              <w:t>.</w:t>
            </w:r>
            <w:r w:rsidRPr="00295986">
              <w:t>1207</w:t>
            </w:r>
          </w:p>
        </w:tc>
      </w:tr>
      <w:tr w:rsidR="006A2074" w:rsidRPr="009E2595" w14:paraId="77556E28" w14:textId="77777777" w:rsidTr="00F36942">
        <w:trPr>
          <w:cantSplit/>
        </w:trPr>
        <w:tc>
          <w:tcPr>
            <w:tcW w:w="1136" w:type="pct"/>
            <w:tcBorders>
              <w:top w:val="single" w:sz="4" w:space="0" w:color="auto"/>
              <w:bottom w:val="single" w:sz="4" w:space="0" w:color="auto"/>
            </w:tcBorders>
          </w:tcPr>
          <w:p w14:paraId="75BEBA45" w14:textId="77777777" w:rsidR="006A2074" w:rsidRPr="00616B26" w:rsidRDefault="006A2074" w:rsidP="00F36942">
            <w:pPr>
              <w:pStyle w:val="Tabletext"/>
              <w:rPr>
                <w:snapToGrid w:val="0"/>
              </w:rPr>
            </w:pPr>
            <w:r w:rsidRPr="00616B26">
              <w:rPr>
                <w:snapToGrid w:val="0"/>
              </w:rPr>
              <w:t>55</w:t>
            </w:r>
          </w:p>
        </w:tc>
        <w:tc>
          <w:tcPr>
            <w:tcW w:w="966" w:type="pct"/>
            <w:tcBorders>
              <w:top w:val="single" w:sz="4" w:space="0" w:color="auto"/>
              <w:bottom w:val="single" w:sz="4" w:space="0" w:color="auto"/>
            </w:tcBorders>
            <w:vAlign w:val="bottom"/>
          </w:tcPr>
          <w:p w14:paraId="30FCD02B" w14:textId="77777777" w:rsidR="006A2074" w:rsidRPr="00C971C6" w:rsidRDefault="006A2074" w:rsidP="00F36942">
            <w:pPr>
              <w:pStyle w:val="Tabletext"/>
              <w:rPr>
                <w:snapToGrid w:val="0"/>
              </w:rPr>
            </w:pPr>
            <w:r w:rsidRPr="00295986">
              <w:t>19</w:t>
            </w:r>
            <w:r w:rsidR="00D7157D">
              <w:t>.</w:t>
            </w:r>
            <w:r w:rsidRPr="00295986">
              <w:t>3805</w:t>
            </w:r>
          </w:p>
        </w:tc>
        <w:tc>
          <w:tcPr>
            <w:tcW w:w="966" w:type="pct"/>
            <w:tcBorders>
              <w:top w:val="single" w:sz="4" w:space="0" w:color="auto"/>
              <w:bottom w:val="single" w:sz="4" w:space="0" w:color="auto"/>
            </w:tcBorders>
            <w:vAlign w:val="bottom"/>
          </w:tcPr>
          <w:p w14:paraId="6DCAD90F" w14:textId="77777777" w:rsidR="006A2074" w:rsidRPr="00C971C6" w:rsidRDefault="006A2074" w:rsidP="00F36942">
            <w:pPr>
              <w:pStyle w:val="Tabletext"/>
              <w:rPr>
                <w:snapToGrid w:val="0"/>
              </w:rPr>
            </w:pPr>
            <w:r w:rsidRPr="00295986">
              <w:t>0</w:t>
            </w:r>
            <w:r w:rsidR="00D7157D">
              <w:t>.</w:t>
            </w:r>
            <w:r w:rsidRPr="00295986">
              <w:t>2970</w:t>
            </w:r>
          </w:p>
        </w:tc>
        <w:tc>
          <w:tcPr>
            <w:tcW w:w="966" w:type="pct"/>
            <w:tcBorders>
              <w:top w:val="single" w:sz="4" w:space="0" w:color="auto"/>
              <w:bottom w:val="single" w:sz="4" w:space="0" w:color="auto"/>
            </w:tcBorders>
            <w:vAlign w:val="bottom"/>
          </w:tcPr>
          <w:p w14:paraId="19F613AE" w14:textId="77777777" w:rsidR="006A2074" w:rsidRPr="00C971C6" w:rsidRDefault="006A2074" w:rsidP="00F36942">
            <w:pPr>
              <w:pStyle w:val="Tabletext"/>
              <w:rPr>
                <w:snapToGrid w:val="0"/>
              </w:rPr>
            </w:pPr>
            <w:r w:rsidRPr="00295986">
              <w:t>20</w:t>
            </w:r>
            <w:r w:rsidR="00D7157D">
              <w:t>.</w:t>
            </w:r>
            <w:r w:rsidRPr="00295986">
              <w:t>1613</w:t>
            </w:r>
          </w:p>
        </w:tc>
        <w:tc>
          <w:tcPr>
            <w:tcW w:w="966" w:type="pct"/>
            <w:tcBorders>
              <w:top w:val="single" w:sz="4" w:space="0" w:color="auto"/>
              <w:bottom w:val="single" w:sz="4" w:space="0" w:color="auto"/>
            </w:tcBorders>
            <w:vAlign w:val="bottom"/>
          </w:tcPr>
          <w:p w14:paraId="105DBE2D" w14:textId="77777777" w:rsidR="006A2074" w:rsidRPr="00C971C6" w:rsidRDefault="006A2074" w:rsidP="00F36942">
            <w:pPr>
              <w:pStyle w:val="Tabletext"/>
              <w:rPr>
                <w:snapToGrid w:val="0"/>
              </w:rPr>
            </w:pPr>
            <w:r w:rsidRPr="00295986">
              <w:t>0</w:t>
            </w:r>
            <w:r w:rsidR="00D7157D">
              <w:t>.</w:t>
            </w:r>
            <w:r w:rsidRPr="00295986">
              <w:t>0776</w:t>
            </w:r>
          </w:p>
        </w:tc>
      </w:tr>
      <w:tr w:rsidR="006A2074" w:rsidRPr="009E2595" w14:paraId="2A550F2B" w14:textId="77777777" w:rsidTr="00F36942">
        <w:trPr>
          <w:cantSplit/>
        </w:trPr>
        <w:tc>
          <w:tcPr>
            <w:tcW w:w="1136" w:type="pct"/>
            <w:tcBorders>
              <w:top w:val="single" w:sz="4" w:space="0" w:color="auto"/>
              <w:bottom w:val="single" w:sz="4" w:space="0" w:color="auto"/>
            </w:tcBorders>
          </w:tcPr>
          <w:p w14:paraId="236FDC02" w14:textId="77777777" w:rsidR="006A2074" w:rsidRPr="00616B26" w:rsidRDefault="006A2074" w:rsidP="00F36942">
            <w:pPr>
              <w:pStyle w:val="Tabletext"/>
              <w:rPr>
                <w:snapToGrid w:val="0"/>
              </w:rPr>
            </w:pPr>
            <w:r w:rsidRPr="00616B26">
              <w:rPr>
                <w:snapToGrid w:val="0"/>
              </w:rPr>
              <w:t>56</w:t>
            </w:r>
          </w:p>
        </w:tc>
        <w:tc>
          <w:tcPr>
            <w:tcW w:w="966" w:type="pct"/>
            <w:tcBorders>
              <w:top w:val="single" w:sz="4" w:space="0" w:color="auto"/>
              <w:bottom w:val="single" w:sz="4" w:space="0" w:color="auto"/>
            </w:tcBorders>
            <w:vAlign w:val="bottom"/>
          </w:tcPr>
          <w:p w14:paraId="15580CB9" w14:textId="77777777" w:rsidR="006A2074" w:rsidRPr="00C971C6" w:rsidRDefault="006A2074" w:rsidP="00F36942">
            <w:pPr>
              <w:pStyle w:val="Tabletext"/>
              <w:rPr>
                <w:snapToGrid w:val="0"/>
              </w:rPr>
            </w:pPr>
            <w:r w:rsidRPr="00295986">
              <w:t>19</w:t>
            </w:r>
            <w:r w:rsidR="00D7157D">
              <w:t>.</w:t>
            </w:r>
            <w:r w:rsidRPr="00295986">
              <w:t>0600</w:t>
            </w:r>
          </w:p>
        </w:tc>
        <w:tc>
          <w:tcPr>
            <w:tcW w:w="966" w:type="pct"/>
            <w:tcBorders>
              <w:top w:val="single" w:sz="4" w:space="0" w:color="auto"/>
              <w:bottom w:val="single" w:sz="4" w:space="0" w:color="auto"/>
            </w:tcBorders>
            <w:vAlign w:val="bottom"/>
          </w:tcPr>
          <w:p w14:paraId="6DECE06F" w14:textId="77777777" w:rsidR="006A2074" w:rsidRPr="00C971C6" w:rsidRDefault="006A2074" w:rsidP="00F36942">
            <w:pPr>
              <w:pStyle w:val="Tabletext"/>
              <w:rPr>
                <w:snapToGrid w:val="0"/>
              </w:rPr>
            </w:pPr>
            <w:r w:rsidRPr="00295986">
              <w:t>0</w:t>
            </w:r>
            <w:r w:rsidR="00D7157D">
              <w:t>.</w:t>
            </w:r>
            <w:r w:rsidRPr="00295986">
              <w:t>3052</w:t>
            </w:r>
          </w:p>
        </w:tc>
        <w:tc>
          <w:tcPr>
            <w:tcW w:w="966" w:type="pct"/>
            <w:tcBorders>
              <w:top w:val="single" w:sz="4" w:space="0" w:color="auto"/>
              <w:bottom w:val="single" w:sz="4" w:space="0" w:color="auto"/>
            </w:tcBorders>
            <w:vAlign w:val="bottom"/>
          </w:tcPr>
          <w:p w14:paraId="336AEA40" w14:textId="77777777" w:rsidR="006A2074" w:rsidRPr="00C971C6" w:rsidRDefault="006A2074" w:rsidP="00F36942">
            <w:pPr>
              <w:pStyle w:val="Tabletext"/>
              <w:rPr>
                <w:snapToGrid w:val="0"/>
              </w:rPr>
            </w:pPr>
            <w:r w:rsidRPr="00295986">
              <w:t>19</w:t>
            </w:r>
            <w:r w:rsidR="00D7157D">
              <w:t>.</w:t>
            </w:r>
            <w:r w:rsidRPr="00295986">
              <w:t>8564</w:t>
            </w:r>
          </w:p>
        </w:tc>
        <w:tc>
          <w:tcPr>
            <w:tcW w:w="966" w:type="pct"/>
            <w:tcBorders>
              <w:top w:val="single" w:sz="4" w:space="0" w:color="auto"/>
              <w:bottom w:val="single" w:sz="4" w:space="0" w:color="auto"/>
            </w:tcBorders>
            <w:vAlign w:val="bottom"/>
          </w:tcPr>
          <w:p w14:paraId="27A970B1" w14:textId="77777777" w:rsidR="006A2074" w:rsidRPr="00C971C6" w:rsidRDefault="006A2074" w:rsidP="00F36942">
            <w:pPr>
              <w:pStyle w:val="Tabletext"/>
              <w:rPr>
                <w:snapToGrid w:val="0"/>
              </w:rPr>
            </w:pPr>
            <w:r w:rsidRPr="00295986">
              <w:t>0</w:t>
            </w:r>
            <w:r w:rsidR="00D7157D">
              <w:t>.</w:t>
            </w:r>
            <w:r w:rsidRPr="00295986">
              <w:t>0797</w:t>
            </w:r>
          </w:p>
        </w:tc>
      </w:tr>
      <w:tr w:rsidR="006A2074" w:rsidRPr="009E2595" w14:paraId="3DEAD97F" w14:textId="77777777" w:rsidTr="00F36942">
        <w:trPr>
          <w:cantSplit/>
        </w:trPr>
        <w:tc>
          <w:tcPr>
            <w:tcW w:w="1136" w:type="pct"/>
            <w:tcBorders>
              <w:top w:val="single" w:sz="4" w:space="0" w:color="auto"/>
              <w:bottom w:val="single" w:sz="4" w:space="0" w:color="auto"/>
            </w:tcBorders>
          </w:tcPr>
          <w:p w14:paraId="1C33A86F" w14:textId="77777777" w:rsidR="006A2074" w:rsidRPr="00616B26" w:rsidRDefault="006A2074" w:rsidP="00F36942">
            <w:pPr>
              <w:pStyle w:val="Tabletext"/>
              <w:rPr>
                <w:snapToGrid w:val="0"/>
              </w:rPr>
            </w:pPr>
            <w:r w:rsidRPr="00616B26">
              <w:rPr>
                <w:snapToGrid w:val="0"/>
              </w:rPr>
              <w:t>57</w:t>
            </w:r>
          </w:p>
        </w:tc>
        <w:tc>
          <w:tcPr>
            <w:tcW w:w="966" w:type="pct"/>
            <w:tcBorders>
              <w:top w:val="single" w:sz="4" w:space="0" w:color="auto"/>
              <w:bottom w:val="single" w:sz="4" w:space="0" w:color="auto"/>
            </w:tcBorders>
            <w:vAlign w:val="bottom"/>
          </w:tcPr>
          <w:p w14:paraId="04D16C91" w14:textId="77777777" w:rsidR="006A2074" w:rsidRPr="00C971C6" w:rsidRDefault="006A2074" w:rsidP="00F36942">
            <w:pPr>
              <w:pStyle w:val="Tabletext"/>
              <w:rPr>
                <w:snapToGrid w:val="0"/>
              </w:rPr>
            </w:pPr>
            <w:r w:rsidRPr="00295986">
              <w:t>18</w:t>
            </w:r>
            <w:r w:rsidR="00D7157D">
              <w:t>.</w:t>
            </w:r>
            <w:r w:rsidRPr="00295986">
              <w:t>7285</w:t>
            </w:r>
          </w:p>
        </w:tc>
        <w:tc>
          <w:tcPr>
            <w:tcW w:w="966" w:type="pct"/>
            <w:tcBorders>
              <w:top w:val="single" w:sz="4" w:space="0" w:color="auto"/>
              <w:bottom w:val="single" w:sz="4" w:space="0" w:color="auto"/>
            </w:tcBorders>
            <w:vAlign w:val="bottom"/>
          </w:tcPr>
          <w:p w14:paraId="713E99AA" w14:textId="77777777" w:rsidR="006A2074" w:rsidRPr="00C971C6" w:rsidRDefault="006A2074" w:rsidP="00F36942">
            <w:pPr>
              <w:pStyle w:val="Tabletext"/>
              <w:rPr>
                <w:snapToGrid w:val="0"/>
              </w:rPr>
            </w:pPr>
            <w:r w:rsidRPr="00295986">
              <w:t>0</w:t>
            </w:r>
            <w:r w:rsidR="00D7157D">
              <w:t>.</w:t>
            </w:r>
            <w:r w:rsidRPr="00295986">
              <w:t>3135</w:t>
            </w:r>
          </w:p>
        </w:tc>
        <w:tc>
          <w:tcPr>
            <w:tcW w:w="966" w:type="pct"/>
            <w:tcBorders>
              <w:top w:val="single" w:sz="4" w:space="0" w:color="auto"/>
              <w:bottom w:val="single" w:sz="4" w:space="0" w:color="auto"/>
            </w:tcBorders>
            <w:vAlign w:val="bottom"/>
          </w:tcPr>
          <w:p w14:paraId="099A084C" w14:textId="77777777" w:rsidR="006A2074" w:rsidRPr="00C971C6" w:rsidRDefault="006A2074" w:rsidP="00F36942">
            <w:pPr>
              <w:pStyle w:val="Tabletext"/>
              <w:rPr>
                <w:snapToGrid w:val="0"/>
              </w:rPr>
            </w:pPr>
            <w:r w:rsidRPr="00295986">
              <w:t>19</w:t>
            </w:r>
            <w:r w:rsidR="00D7157D">
              <w:t>.</w:t>
            </w:r>
            <w:r w:rsidRPr="00295986">
              <w:t>5423</w:t>
            </w:r>
          </w:p>
        </w:tc>
        <w:tc>
          <w:tcPr>
            <w:tcW w:w="966" w:type="pct"/>
            <w:tcBorders>
              <w:top w:val="single" w:sz="4" w:space="0" w:color="auto"/>
              <w:bottom w:val="single" w:sz="4" w:space="0" w:color="auto"/>
            </w:tcBorders>
            <w:vAlign w:val="bottom"/>
          </w:tcPr>
          <w:p w14:paraId="753CF0B2" w14:textId="77777777" w:rsidR="006A2074" w:rsidRPr="00C971C6" w:rsidRDefault="006A2074" w:rsidP="00F36942">
            <w:pPr>
              <w:pStyle w:val="Tabletext"/>
              <w:rPr>
                <w:snapToGrid w:val="0"/>
              </w:rPr>
            </w:pPr>
            <w:r w:rsidRPr="00295986">
              <w:t>0</w:t>
            </w:r>
            <w:r w:rsidR="00D7157D">
              <w:t>.</w:t>
            </w:r>
            <w:r w:rsidRPr="00295986">
              <w:t>0818</w:t>
            </w:r>
          </w:p>
        </w:tc>
      </w:tr>
      <w:tr w:rsidR="006A2074" w:rsidRPr="009E2595" w14:paraId="274C5932" w14:textId="77777777" w:rsidTr="00F36942">
        <w:trPr>
          <w:cantSplit/>
        </w:trPr>
        <w:tc>
          <w:tcPr>
            <w:tcW w:w="1136" w:type="pct"/>
            <w:tcBorders>
              <w:top w:val="single" w:sz="4" w:space="0" w:color="auto"/>
              <w:bottom w:val="single" w:sz="4" w:space="0" w:color="auto"/>
            </w:tcBorders>
          </w:tcPr>
          <w:p w14:paraId="75A6A849" w14:textId="77777777" w:rsidR="006A2074" w:rsidRPr="00616B26" w:rsidRDefault="006A2074" w:rsidP="00F36942">
            <w:pPr>
              <w:pStyle w:val="Tabletext"/>
              <w:rPr>
                <w:snapToGrid w:val="0"/>
              </w:rPr>
            </w:pPr>
            <w:r w:rsidRPr="00616B26">
              <w:rPr>
                <w:snapToGrid w:val="0"/>
              </w:rPr>
              <w:t>58</w:t>
            </w:r>
          </w:p>
        </w:tc>
        <w:tc>
          <w:tcPr>
            <w:tcW w:w="966" w:type="pct"/>
            <w:tcBorders>
              <w:top w:val="single" w:sz="4" w:space="0" w:color="auto"/>
              <w:bottom w:val="single" w:sz="4" w:space="0" w:color="auto"/>
            </w:tcBorders>
            <w:vAlign w:val="bottom"/>
          </w:tcPr>
          <w:p w14:paraId="1592FFD8" w14:textId="77777777" w:rsidR="006A2074" w:rsidRPr="00C971C6" w:rsidRDefault="006A2074" w:rsidP="00F36942">
            <w:pPr>
              <w:pStyle w:val="Tabletext"/>
              <w:rPr>
                <w:snapToGrid w:val="0"/>
              </w:rPr>
            </w:pPr>
            <w:r w:rsidRPr="00295986">
              <w:t>18</w:t>
            </w:r>
            <w:r w:rsidR="00D7157D">
              <w:t>.</w:t>
            </w:r>
            <w:r w:rsidRPr="00295986">
              <w:t>3856</w:t>
            </w:r>
          </w:p>
        </w:tc>
        <w:tc>
          <w:tcPr>
            <w:tcW w:w="966" w:type="pct"/>
            <w:tcBorders>
              <w:top w:val="single" w:sz="4" w:space="0" w:color="auto"/>
              <w:bottom w:val="single" w:sz="4" w:space="0" w:color="auto"/>
            </w:tcBorders>
            <w:vAlign w:val="bottom"/>
          </w:tcPr>
          <w:p w14:paraId="436DB6BE" w14:textId="77777777" w:rsidR="006A2074" w:rsidRPr="00C971C6" w:rsidRDefault="006A2074" w:rsidP="00F36942">
            <w:pPr>
              <w:pStyle w:val="Tabletext"/>
              <w:rPr>
                <w:snapToGrid w:val="0"/>
              </w:rPr>
            </w:pPr>
            <w:r w:rsidRPr="00295986">
              <w:t>0</w:t>
            </w:r>
            <w:r w:rsidR="00D7157D">
              <w:t>.</w:t>
            </w:r>
            <w:r w:rsidRPr="00295986">
              <w:t>3221</w:t>
            </w:r>
          </w:p>
        </w:tc>
        <w:tc>
          <w:tcPr>
            <w:tcW w:w="966" w:type="pct"/>
            <w:tcBorders>
              <w:top w:val="single" w:sz="4" w:space="0" w:color="auto"/>
              <w:bottom w:val="single" w:sz="4" w:space="0" w:color="auto"/>
            </w:tcBorders>
            <w:vAlign w:val="bottom"/>
          </w:tcPr>
          <w:p w14:paraId="6308767B" w14:textId="77777777" w:rsidR="006A2074" w:rsidRPr="00C971C6" w:rsidRDefault="006A2074" w:rsidP="00F36942">
            <w:pPr>
              <w:pStyle w:val="Tabletext"/>
              <w:rPr>
                <w:snapToGrid w:val="0"/>
              </w:rPr>
            </w:pPr>
            <w:r w:rsidRPr="00295986">
              <w:t>19</w:t>
            </w:r>
            <w:r w:rsidR="00D7157D">
              <w:t>.</w:t>
            </w:r>
            <w:r w:rsidRPr="00295986">
              <w:t>2178</w:t>
            </w:r>
          </w:p>
        </w:tc>
        <w:tc>
          <w:tcPr>
            <w:tcW w:w="966" w:type="pct"/>
            <w:tcBorders>
              <w:top w:val="single" w:sz="4" w:space="0" w:color="auto"/>
              <w:bottom w:val="single" w:sz="4" w:space="0" w:color="auto"/>
            </w:tcBorders>
            <w:vAlign w:val="bottom"/>
          </w:tcPr>
          <w:p w14:paraId="56B63642" w14:textId="77777777" w:rsidR="006A2074" w:rsidRPr="00C971C6" w:rsidRDefault="006A2074" w:rsidP="00F36942">
            <w:pPr>
              <w:pStyle w:val="Tabletext"/>
              <w:rPr>
                <w:snapToGrid w:val="0"/>
              </w:rPr>
            </w:pPr>
            <w:r w:rsidRPr="00295986">
              <w:t>0</w:t>
            </w:r>
            <w:r w:rsidR="00D7157D">
              <w:t>.</w:t>
            </w:r>
            <w:r w:rsidRPr="00295986">
              <w:t>0840</w:t>
            </w:r>
          </w:p>
        </w:tc>
      </w:tr>
      <w:tr w:rsidR="006A2074" w:rsidRPr="009E2595" w14:paraId="78A08A3F" w14:textId="77777777" w:rsidTr="00F36942">
        <w:trPr>
          <w:cantSplit/>
        </w:trPr>
        <w:tc>
          <w:tcPr>
            <w:tcW w:w="1136" w:type="pct"/>
            <w:tcBorders>
              <w:top w:val="single" w:sz="4" w:space="0" w:color="auto"/>
              <w:bottom w:val="single" w:sz="4" w:space="0" w:color="auto"/>
            </w:tcBorders>
          </w:tcPr>
          <w:p w14:paraId="37069720" w14:textId="77777777" w:rsidR="006A2074" w:rsidRPr="00616B26" w:rsidRDefault="006A2074" w:rsidP="00F36942">
            <w:pPr>
              <w:pStyle w:val="Tabletext"/>
              <w:rPr>
                <w:snapToGrid w:val="0"/>
              </w:rPr>
            </w:pPr>
            <w:r w:rsidRPr="00616B26">
              <w:rPr>
                <w:snapToGrid w:val="0"/>
              </w:rPr>
              <w:t>59</w:t>
            </w:r>
          </w:p>
        </w:tc>
        <w:tc>
          <w:tcPr>
            <w:tcW w:w="966" w:type="pct"/>
            <w:tcBorders>
              <w:top w:val="single" w:sz="4" w:space="0" w:color="auto"/>
              <w:bottom w:val="single" w:sz="4" w:space="0" w:color="auto"/>
            </w:tcBorders>
            <w:vAlign w:val="bottom"/>
          </w:tcPr>
          <w:p w14:paraId="12E076CD" w14:textId="77777777" w:rsidR="006A2074" w:rsidRPr="00C971C6" w:rsidRDefault="006A2074" w:rsidP="00F36942">
            <w:pPr>
              <w:pStyle w:val="Tabletext"/>
              <w:rPr>
                <w:snapToGrid w:val="0"/>
              </w:rPr>
            </w:pPr>
            <w:r w:rsidRPr="00295986">
              <w:t>18</w:t>
            </w:r>
            <w:r w:rsidR="00D7157D">
              <w:t>.</w:t>
            </w:r>
            <w:r w:rsidRPr="00295986">
              <w:t>0307</w:t>
            </w:r>
          </w:p>
        </w:tc>
        <w:tc>
          <w:tcPr>
            <w:tcW w:w="966" w:type="pct"/>
            <w:tcBorders>
              <w:top w:val="single" w:sz="4" w:space="0" w:color="auto"/>
              <w:bottom w:val="single" w:sz="4" w:space="0" w:color="auto"/>
            </w:tcBorders>
            <w:vAlign w:val="bottom"/>
          </w:tcPr>
          <w:p w14:paraId="483A5796" w14:textId="77777777" w:rsidR="006A2074" w:rsidRPr="00C971C6" w:rsidRDefault="006A2074" w:rsidP="00F36942">
            <w:pPr>
              <w:pStyle w:val="Tabletext"/>
              <w:rPr>
                <w:snapToGrid w:val="0"/>
              </w:rPr>
            </w:pPr>
            <w:r w:rsidRPr="00295986">
              <w:t>0</w:t>
            </w:r>
            <w:r w:rsidR="00D7157D">
              <w:t>.</w:t>
            </w:r>
            <w:r w:rsidRPr="00295986">
              <w:t>3310</w:t>
            </w:r>
          </w:p>
        </w:tc>
        <w:tc>
          <w:tcPr>
            <w:tcW w:w="966" w:type="pct"/>
            <w:tcBorders>
              <w:top w:val="single" w:sz="4" w:space="0" w:color="auto"/>
              <w:bottom w:val="single" w:sz="4" w:space="0" w:color="auto"/>
            </w:tcBorders>
            <w:vAlign w:val="bottom"/>
          </w:tcPr>
          <w:p w14:paraId="013EE96B" w14:textId="77777777" w:rsidR="006A2074" w:rsidRPr="00C971C6" w:rsidRDefault="006A2074" w:rsidP="00F36942">
            <w:pPr>
              <w:pStyle w:val="Tabletext"/>
              <w:rPr>
                <w:snapToGrid w:val="0"/>
              </w:rPr>
            </w:pPr>
            <w:r w:rsidRPr="00295986">
              <w:t>18</w:t>
            </w:r>
            <w:r w:rsidR="00D7157D">
              <w:t>.</w:t>
            </w:r>
            <w:r w:rsidRPr="00295986">
              <w:t>8826</w:t>
            </w:r>
          </w:p>
        </w:tc>
        <w:tc>
          <w:tcPr>
            <w:tcW w:w="966" w:type="pct"/>
            <w:tcBorders>
              <w:top w:val="single" w:sz="4" w:space="0" w:color="auto"/>
              <w:bottom w:val="single" w:sz="4" w:space="0" w:color="auto"/>
            </w:tcBorders>
            <w:vAlign w:val="bottom"/>
          </w:tcPr>
          <w:p w14:paraId="658D4BC4" w14:textId="77777777" w:rsidR="006A2074" w:rsidRPr="00C971C6" w:rsidRDefault="006A2074" w:rsidP="00F36942">
            <w:pPr>
              <w:pStyle w:val="Tabletext"/>
              <w:rPr>
                <w:snapToGrid w:val="0"/>
              </w:rPr>
            </w:pPr>
            <w:r w:rsidRPr="00295986">
              <w:t>0</w:t>
            </w:r>
            <w:r w:rsidR="00D7157D">
              <w:t>.</w:t>
            </w:r>
            <w:r w:rsidRPr="00295986">
              <w:t>0862</w:t>
            </w:r>
          </w:p>
        </w:tc>
      </w:tr>
      <w:tr w:rsidR="006A2074" w:rsidRPr="009E2595" w14:paraId="7A5D960E" w14:textId="77777777" w:rsidTr="00F36942">
        <w:trPr>
          <w:cantSplit/>
        </w:trPr>
        <w:tc>
          <w:tcPr>
            <w:tcW w:w="1136" w:type="pct"/>
            <w:tcBorders>
              <w:top w:val="single" w:sz="4" w:space="0" w:color="auto"/>
              <w:bottom w:val="single" w:sz="4" w:space="0" w:color="auto"/>
            </w:tcBorders>
          </w:tcPr>
          <w:p w14:paraId="41E49BB5" w14:textId="77777777" w:rsidR="006A2074" w:rsidRPr="00616B26" w:rsidRDefault="006A2074" w:rsidP="00F36942">
            <w:pPr>
              <w:pStyle w:val="Tabletext"/>
              <w:rPr>
                <w:snapToGrid w:val="0"/>
              </w:rPr>
            </w:pPr>
            <w:r w:rsidRPr="00616B26">
              <w:rPr>
                <w:snapToGrid w:val="0"/>
              </w:rPr>
              <w:t>60</w:t>
            </w:r>
          </w:p>
        </w:tc>
        <w:tc>
          <w:tcPr>
            <w:tcW w:w="966" w:type="pct"/>
            <w:tcBorders>
              <w:top w:val="single" w:sz="4" w:space="0" w:color="auto"/>
              <w:bottom w:val="single" w:sz="4" w:space="0" w:color="auto"/>
            </w:tcBorders>
            <w:vAlign w:val="bottom"/>
          </w:tcPr>
          <w:p w14:paraId="7A363C4D" w14:textId="77777777" w:rsidR="006A2074" w:rsidRPr="00C971C6" w:rsidRDefault="006A2074" w:rsidP="00F36942">
            <w:pPr>
              <w:pStyle w:val="Tabletext"/>
              <w:rPr>
                <w:snapToGrid w:val="0"/>
              </w:rPr>
            </w:pPr>
            <w:r w:rsidRPr="00295986">
              <w:t>17</w:t>
            </w:r>
            <w:r w:rsidR="00D7157D">
              <w:t>.</w:t>
            </w:r>
            <w:r w:rsidRPr="00295986">
              <w:t>6637</w:t>
            </w:r>
          </w:p>
        </w:tc>
        <w:tc>
          <w:tcPr>
            <w:tcW w:w="966" w:type="pct"/>
            <w:tcBorders>
              <w:top w:val="single" w:sz="4" w:space="0" w:color="auto"/>
              <w:bottom w:val="single" w:sz="4" w:space="0" w:color="auto"/>
            </w:tcBorders>
            <w:vAlign w:val="bottom"/>
          </w:tcPr>
          <w:p w14:paraId="0DB4561A" w14:textId="77777777" w:rsidR="006A2074" w:rsidRPr="00C971C6" w:rsidRDefault="006A2074" w:rsidP="00F36942">
            <w:pPr>
              <w:pStyle w:val="Tabletext"/>
              <w:rPr>
                <w:snapToGrid w:val="0"/>
              </w:rPr>
            </w:pPr>
            <w:r w:rsidRPr="00295986">
              <w:t>0</w:t>
            </w:r>
            <w:r w:rsidR="00D7157D">
              <w:t>.</w:t>
            </w:r>
            <w:r w:rsidRPr="00295986">
              <w:t>3401</w:t>
            </w:r>
          </w:p>
        </w:tc>
        <w:tc>
          <w:tcPr>
            <w:tcW w:w="966" w:type="pct"/>
            <w:tcBorders>
              <w:top w:val="single" w:sz="4" w:space="0" w:color="auto"/>
              <w:bottom w:val="single" w:sz="4" w:space="0" w:color="auto"/>
            </w:tcBorders>
            <w:vAlign w:val="bottom"/>
          </w:tcPr>
          <w:p w14:paraId="5A57EE4C" w14:textId="77777777" w:rsidR="006A2074" w:rsidRPr="00C971C6" w:rsidRDefault="006A2074" w:rsidP="00F36942">
            <w:pPr>
              <w:pStyle w:val="Tabletext"/>
              <w:rPr>
                <w:snapToGrid w:val="0"/>
              </w:rPr>
            </w:pPr>
            <w:r w:rsidRPr="00295986">
              <w:t>18</w:t>
            </w:r>
            <w:r w:rsidR="00D7157D">
              <w:t>.</w:t>
            </w:r>
            <w:r w:rsidRPr="00295986">
              <w:t>5359</w:t>
            </w:r>
          </w:p>
        </w:tc>
        <w:tc>
          <w:tcPr>
            <w:tcW w:w="966" w:type="pct"/>
            <w:tcBorders>
              <w:top w:val="single" w:sz="4" w:space="0" w:color="auto"/>
              <w:bottom w:val="single" w:sz="4" w:space="0" w:color="auto"/>
            </w:tcBorders>
            <w:vAlign w:val="bottom"/>
          </w:tcPr>
          <w:p w14:paraId="7A5DC50E" w14:textId="77777777" w:rsidR="006A2074" w:rsidRPr="00C971C6" w:rsidRDefault="006A2074" w:rsidP="00F36942">
            <w:pPr>
              <w:pStyle w:val="Tabletext"/>
              <w:rPr>
                <w:snapToGrid w:val="0"/>
              </w:rPr>
            </w:pPr>
            <w:r w:rsidRPr="00295986">
              <w:t>0</w:t>
            </w:r>
            <w:r w:rsidR="00D7157D">
              <w:t>.</w:t>
            </w:r>
            <w:r w:rsidRPr="00295986">
              <w:t>0884</w:t>
            </w:r>
          </w:p>
        </w:tc>
      </w:tr>
      <w:tr w:rsidR="006A2074" w:rsidRPr="009E2595" w14:paraId="2C378A40" w14:textId="77777777" w:rsidTr="00F36942">
        <w:trPr>
          <w:cantSplit/>
        </w:trPr>
        <w:tc>
          <w:tcPr>
            <w:tcW w:w="1136" w:type="pct"/>
            <w:tcBorders>
              <w:top w:val="single" w:sz="4" w:space="0" w:color="auto"/>
              <w:bottom w:val="single" w:sz="4" w:space="0" w:color="auto"/>
            </w:tcBorders>
          </w:tcPr>
          <w:p w14:paraId="73528D8B" w14:textId="77777777" w:rsidR="006A2074" w:rsidRPr="00616B26" w:rsidRDefault="006A2074" w:rsidP="00F36942">
            <w:pPr>
              <w:pStyle w:val="Tabletext"/>
              <w:rPr>
                <w:snapToGrid w:val="0"/>
              </w:rPr>
            </w:pPr>
            <w:r w:rsidRPr="00616B26">
              <w:rPr>
                <w:snapToGrid w:val="0"/>
              </w:rPr>
              <w:t>61</w:t>
            </w:r>
          </w:p>
        </w:tc>
        <w:tc>
          <w:tcPr>
            <w:tcW w:w="966" w:type="pct"/>
            <w:tcBorders>
              <w:top w:val="single" w:sz="4" w:space="0" w:color="auto"/>
              <w:bottom w:val="single" w:sz="4" w:space="0" w:color="auto"/>
            </w:tcBorders>
            <w:vAlign w:val="bottom"/>
          </w:tcPr>
          <w:p w14:paraId="410D1471" w14:textId="77777777" w:rsidR="006A2074" w:rsidRPr="00C971C6" w:rsidRDefault="006A2074" w:rsidP="00F36942">
            <w:pPr>
              <w:pStyle w:val="Tabletext"/>
              <w:rPr>
                <w:snapToGrid w:val="0"/>
              </w:rPr>
            </w:pPr>
            <w:r w:rsidRPr="00295986">
              <w:t>17</w:t>
            </w:r>
            <w:r w:rsidR="00D7157D">
              <w:t>.</w:t>
            </w:r>
            <w:r w:rsidRPr="00295986">
              <w:t>2846</w:t>
            </w:r>
          </w:p>
        </w:tc>
        <w:tc>
          <w:tcPr>
            <w:tcW w:w="966" w:type="pct"/>
            <w:tcBorders>
              <w:top w:val="single" w:sz="4" w:space="0" w:color="auto"/>
              <w:bottom w:val="single" w:sz="4" w:space="0" w:color="auto"/>
            </w:tcBorders>
            <w:vAlign w:val="bottom"/>
          </w:tcPr>
          <w:p w14:paraId="2DD61223" w14:textId="77777777" w:rsidR="006A2074" w:rsidRPr="00C971C6" w:rsidRDefault="006A2074" w:rsidP="00F36942">
            <w:pPr>
              <w:pStyle w:val="Tabletext"/>
              <w:rPr>
                <w:snapToGrid w:val="0"/>
              </w:rPr>
            </w:pPr>
            <w:r w:rsidRPr="00295986">
              <w:t>0</w:t>
            </w:r>
            <w:r w:rsidR="00D7157D">
              <w:t>.</w:t>
            </w:r>
            <w:r w:rsidRPr="00295986">
              <w:t>3494</w:t>
            </w:r>
          </w:p>
        </w:tc>
        <w:tc>
          <w:tcPr>
            <w:tcW w:w="966" w:type="pct"/>
            <w:tcBorders>
              <w:top w:val="single" w:sz="4" w:space="0" w:color="auto"/>
              <w:bottom w:val="single" w:sz="4" w:space="0" w:color="auto"/>
            </w:tcBorders>
            <w:vAlign w:val="bottom"/>
          </w:tcPr>
          <w:p w14:paraId="08828F73" w14:textId="77777777" w:rsidR="006A2074" w:rsidRPr="00C971C6" w:rsidRDefault="006A2074" w:rsidP="00F36942">
            <w:pPr>
              <w:pStyle w:val="Tabletext"/>
              <w:rPr>
                <w:snapToGrid w:val="0"/>
              </w:rPr>
            </w:pPr>
            <w:r w:rsidRPr="00295986">
              <w:t>18</w:t>
            </w:r>
            <w:r w:rsidR="00D7157D">
              <w:t>.</w:t>
            </w:r>
            <w:r w:rsidRPr="00295986">
              <w:t>1769</w:t>
            </w:r>
          </w:p>
        </w:tc>
        <w:tc>
          <w:tcPr>
            <w:tcW w:w="966" w:type="pct"/>
            <w:tcBorders>
              <w:top w:val="single" w:sz="4" w:space="0" w:color="auto"/>
              <w:bottom w:val="single" w:sz="4" w:space="0" w:color="auto"/>
            </w:tcBorders>
            <w:vAlign w:val="bottom"/>
          </w:tcPr>
          <w:p w14:paraId="13C5F43D" w14:textId="77777777" w:rsidR="006A2074" w:rsidRPr="00C971C6" w:rsidRDefault="006A2074" w:rsidP="00F36942">
            <w:pPr>
              <w:pStyle w:val="Tabletext"/>
              <w:rPr>
                <w:snapToGrid w:val="0"/>
              </w:rPr>
            </w:pPr>
            <w:r w:rsidRPr="00295986">
              <w:t>0</w:t>
            </w:r>
            <w:r w:rsidR="00D7157D">
              <w:t>.</w:t>
            </w:r>
            <w:r w:rsidRPr="00295986">
              <w:t>0908</w:t>
            </w:r>
          </w:p>
        </w:tc>
      </w:tr>
      <w:tr w:rsidR="006A2074" w:rsidRPr="009E2595" w14:paraId="6076532C" w14:textId="77777777" w:rsidTr="00F36942">
        <w:trPr>
          <w:cantSplit/>
        </w:trPr>
        <w:tc>
          <w:tcPr>
            <w:tcW w:w="1136" w:type="pct"/>
            <w:tcBorders>
              <w:top w:val="single" w:sz="4" w:space="0" w:color="auto"/>
              <w:bottom w:val="single" w:sz="4" w:space="0" w:color="auto"/>
            </w:tcBorders>
          </w:tcPr>
          <w:p w14:paraId="69BF74AA" w14:textId="77777777" w:rsidR="006A2074" w:rsidRPr="00616B26" w:rsidRDefault="006A2074" w:rsidP="00F36942">
            <w:pPr>
              <w:pStyle w:val="Tabletext"/>
              <w:rPr>
                <w:snapToGrid w:val="0"/>
              </w:rPr>
            </w:pPr>
            <w:r w:rsidRPr="00616B26">
              <w:rPr>
                <w:snapToGrid w:val="0"/>
              </w:rPr>
              <w:t>62</w:t>
            </w:r>
          </w:p>
        </w:tc>
        <w:tc>
          <w:tcPr>
            <w:tcW w:w="966" w:type="pct"/>
            <w:tcBorders>
              <w:top w:val="single" w:sz="4" w:space="0" w:color="auto"/>
              <w:bottom w:val="single" w:sz="4" w:space="0" w:color="auto"/>
            </w:tcBorders>
            <w:vAlign w:val="bottom"/>
          </w:tcPr>
          <w:p w14:paraId="70EB9F88" w14:textId="77777777" w:rsidR="006A2074" w:rsidRPr="00C971C6" w:rsidRDefault="006A2074" w:rsidP="00F36942">
            <w:pPr>
              <w:pStyle w:val="Tabletext"/>
              <w:rPr>
                <w:snapToGrid w:val="0"/>
              </w:rPr>
            </w:pPr>
            <w:r w:rsidRPr="00295986">
              <w:t>16</w:t>
            </w:r>
            <w:r w:rsidR="00D7157D">
              <w:t>.</w:t>
            </w:r>
            <w:r w:rsidRPr="00295986">
              <w:t>8930</w:t>
            </w:r>
          </w:p>
        </w:tc>
        <w:tc>
          <w:tcPr>
            <w:tcW w:w="966" w:type="pct"/>
            <w:tcBorders>
              <w:top w:val="single" w:sz="4" w:space="0" w:color="auto"/>
              <w:bottom w:val="single" w:sz="4" w:space="0" w:color="auto"/>
            </w:tcBorders>
            <w:vAlign w:val="bottom"/>
          </w:tcPr>
          <w:p w14:paraId="1A541553" w14:textId="77777777" w:rsidR="006A2074" w:rsidRPr="00C971C6" w:rsidRDefault="006A2074" w:rsidP="00F36942">
            <w:pPr>
              <w:pStyle w:val="Tabletext"/>
              <w:rPr>
                <w:snapToGrid w:val="0"/>
              </w:rPr>
            </w:pPr>
            <w:r w:rsidRPr="00295986">
              <w:t>0</w:t>
            </w:r>
            <w:r w:rsidR="00D7157D">
              <w:t>.</w:t>
            </w:r>
            <w:r w:rsidRPr="00295986">
              <w:t>3590</w:t>
            </w:r>
          </w:p>
        </w:tc>
        <w:tc>
          <w:tcPr>
            <w:tcW w:w="966" w:type="pct"/>
            <w:tcBorders>
              <w:top w:val="single" w:sz="4" w:space="0" w:color="auto"/>
              <w:bottom w:val="single" w:sz="4" w:space="0" w:color="auto"/>
            </w:tcBorders>
            <w:vAlign w:val="bottom"/>
          </w:tcPr>
          <w:p w14:paraId="26C2E0CE" w14:textId="77777777" w:rsidR="006A2074" w:rsidRPr="00C971C6" w:rsidRDefault="006A2074" w:rsidP="00F36942">
            <w:pPr>
              <w:pStyle w:val="Tabletext"/>
              <w:rPr>
                <w:snapToGrid w:val="0"/>
              </w:rPr>
            </w:pPr>
            <w:r w:rsidRPr="00295986">
              <w:t>17</w:t>
            </w:r>
            <w:r w:rsidR="00D7157D">
              <w:t>.</w:t>
            </w:r>
            <w:r w:rsidRPr="00295986">
              <w:t>8063</w:t>
            </w:r>
          </w:p>
        </w:tc>
        <w:tc>
          <w:tcPr>
            <w:tcW w:w="966" w:type="pct"/>
            <w:tcBorders>
              <w:top w:val="single" w:sz="4" w:space="0" w:color="auto"/>
              <w:bottom w:val="single" w:sz="4" w:space="0" w:color="auto"/>
            </w:tcBorders>
            <w:vAlign w:val="bottom"/>
          </w:tcPr>
          <w:p w14:paraId="1D36F589" w14:textId="77777777" w:rsidR="006A2074" w:rsidRPr="00C971C6" w:rsidRDefault="006A2074" w:rsidP="00F36942">
            <w:pPr>
              <w:pStyle w:val="Tabletext"/>
              <w:rPr>
                <w:snapToGrid w:val="0"/>
              </w:rPr>
            </w:pPr>
            <w:r w:rsidRPr="00295986">
              <w:t>0</w:t>
            </w:r>
            <w:r w:rsidR="00D7157D">
              <w:t>.</w:t>
            </w:r>
            <w:r w:rsidRPr="00295986">
              <w:t>0932</w:t>
            </w:r>
          </w:p>
        </w:tc>
      </w:tr>
      <w:tr w:rsidR="006A2074" w:rsidRPr="009E2595" w14:paraId="47DAC9A9" w14:textId="77777777" w:rsidTr="00F36942">
        <w:trPr>
          <w:cantSplit/>
        </w:trPr>
        <w:tc>
          <w:tcPr>
            <w:tcW w:w="1136" w:type="pct"/>
            <w:tcBorders>
              <w:top w:val="single" w:sz="4" w:space="0" w:color="auto"/>
              <w:bottom w:val="single" w:sz="4" w:space="0" w:color="auto"/>
            </w:tcBorders>
          </w:tcPr>
          <w:p w14:paraId="3661A6FC" w14:textId="77777777" w:rsidR="006A2074" w:rsidRPr="00616B26" w:rsidRDefault="006A2074" w:rsidP="00F36942">
            <w:pPr>
              <w:pStyle w:val="Tabletext"/>
              <w:rPr>
                <w:snapToGrid w:val="0"/>
              </w:rPr>
            </w:pPr>
            <w:r w:rsidRPr="00616B26">
              <w:rPr>
                <w:snapToGrid w:val="0"/>
              </w:rPr>
              <w:t>63</w:t>
            </w:r>
          </w:p>
        </w:tc>
        <w:tc>
          <w:tcPr>
            <w:tcW w:w="966" w:type="pct"/>
            <w:tcBorders>
              <w:top w:val="single" w:sz="4" w:space="0" w:color="auto"/>
              <w:bottom w:val="single" w:sz="4" w:space="0" w:color="auto"/>
            </w:tcBorders>
            <w:vAlign w:val="bottom"/>
          </w:tcPr>
          <w:p w14:paraId="5B4FEFE1" w14:textId="77777777" w:rsidR="006A2074" w:rsidRPr="00C971C6" w:rsidRDefault="006A2074" w:rsidP="00F36942">
            <w:pPr>
              <w:pStyle w:val="Tabletext"/>
              <w:rPr>
                <w:snapToGrid w:val="0"/>
              </w:rPr>
            </w:pPr>
            <w:r w:rsidRPr="00295986">
              <w:t>16</w:t>
            </w:r>
            <w:r w:rsidR="00D7157D">
              <w:t>.</w:t>
            </w:r>
            <w:r w:rsidRPr="00295986">
              <w:t>4889</w:t>
            </w:r>
          </w:p>
        </w:tc>
        <w:tc>
          <w:tcPr>
            <w:tcW w:w="966" w:type="pct"/>
            <w:tcBorders>
              <w:top w:val="single" w:sz="4" w:space="0" w:color="auto"/>
              <w:bottom w:val="single" w:sz="4" w:space="0" w:color="auto"/>
            </w:tcBorders>
            <w:vAlign w:val="bottom"/>
          </w:tcPr>
          <w:p w14:paraId="24B27EE1" w14:textId="77777777" w:rsidR="006A2074" w:rsidRPr="00C971C6" w:rsidRDefault="006A2074" w:rsidP="00F36942">
            <w:pPr>
              <w:pStyle w:val="Tabletext"/>
              <w:rPr>
                <w:snapToGrid w:val="0"/>
              </w:rPr>
            </w:pPr>
            <w:r w:rsidRPr="00295986">
              <w:t>0</w:t>
            </w:r>
            <w:r w:rsidR="00D7157D">
              <w:t>.</w:t>
            </w:r>
            <w:r w:rsidRPr="00295986">
              <w:t>3687</w:t>
            </w:r>
          </w:p>
        </w:tc>
        <w:tc>
          <w:tcPr>
            <w:tcW w:w="966" w:type="pct"/>
            <w:tcBorders>
              <w:top w:val="single" w:sz="4" w:space="0" w:color="auto"/>
              <w:bottom w:val="single" w:sz="4" w:space="0" w:color="auto"/>
            </w:tcBorders>
            <w:vAlign w:val="bottom"/>
          </w:tcPr>
          <w:p w14:paraId="6EBA460B" w14:textId="77777777" w:rsidR="006A2074" w:rsidRPr="00C971C6" w:rsidRDefault="006A2074" w:rsidP="00F36942">
            <w:pPr>
              <w:pStyle w:val="Tabletext"/>
              <w:rPr>
                <w:snapToGrid w:val="0"/>
              </w:rPr>
            </w:pPr>
            <w:r w:rsidRPr="00295986">
              <w:t>17</w:t>
            </w:r>
            <w:r w:rsidR="00D7157D">
              <w:t>.</w:t>
            </w:r>
            <w:r w:rsidRPr="00295986">
              <w:t>4236</w:t>
            </w:r>
          </w:p>
        </w:tc>
        <w:tc>
          <w:tcPr>
            <w:tcW w:w="966" w:type="pct"/>
            <w:tcBorders>
              <w:top w:val="single" w:sz="4" w:space="0" w:color="auto"/>
              <w:bottom w:val="single" w:sz="4" w:space="0" w:color="auto"/>
            </w:tcBorders>
            <w:vAlign w:val="bottom"/>
          </w:tcPr>
          <w:p w14:paraId="7B1DF8B2" w14:textId="77777777" w:rsidR="006A2074" w:rsidRPr="00C971C6" w:rsidRDefault="006A2074" w:rsidP="00F36942">
            <w:pPr>
              <w:pStyle w:val="Tabletext"/>
              <w:rPr>
                <w:snapToGrid w:val="0"/>
              </w:rPr>
            </w:pPr>
            <w:r w:rsidRPr="00295986">
              <w:t>0</w:t>
            </w:r>
            <w:r w:rsidR="00D7157D">
              <w:t>.</w:t>
            </w:r>
            <w:r w:rsidRPr="00295986">
              <w:t>0956</w:t>
            </w:r>
          </w:p>
        </w:tc>
      </w:tr>
      <w:tr w:rsidR="006A2074" w:rsidRPr="009E2595" w14:paraId="2D10EEB8" w14:textId="77777777" w:rsidTr="00F36942">
        <w:trPr>
          <w:cantSplit/>
        </w:trPr>
        <w:tc>
          <w:tcPr>
            <w:tcW w:w="1136" w:type="pct"/>
            <w:tcBorders>
              <w:top w:val="single" w:sz="4" w:space="0" w:color="auto"/>
              <w:bottom w:val="single" w:sz="4" w:space="0" w:color="auto"/>
            </w:tcBorders>
          </w:tcPr>
          <w:p w14:paraId="2F77421F" w14:textId="77777777" w:rsidR="006A2074" w:rsidRPr="00616B26" w:rsidRDefault="006A2074" w:rsidP="00F36942">
            <w:pPr>
              <w:pStyle w:val="Tabletext"/>
              <w:rPr>
                <w:snapToGrid w:val="0"/>
              </w:rPr>
            </w:pPr>
            <w:r w:rsidRPr="00616B26">
              <w:rPr>
                <w:snapToGrid w:val="0"/>
              </w:rPr>
              <w:t>64</w:t>
            </w:r>
          </w:p>
        </w:tc>
        <w:tc>
          <w:tcPr>
            <w:tcW w:w="966" w:type="pct"/>
            <w:tcBorders>
              <w:top w:val="single" w:sz="4" w:space="0" w:color="auto"/>
              <w:bottom w:val="single" w:sz="4" w:space="0" w:color="auto"/>
            </w:tcBorders>
            <w:vAlign w:val="bottom"/>
          </w:tcPr>
          <w:p w14:paraId="0D305E0E" w14:textId="77777777" w:rsidR="006A2074" w:rsidRPr="00C971C6" w:rsidRDefault="006A2074" w:rsidP="00F36942">
            <w:pPr>
              <w:pStyle w:val="Tabletext"/>
              <w:rPr>
                <w:snapToGrid w:val="0"/>
              </w:rPr>
            </w:pPr>
            <w:r w:rsidRPr="00295986">
              <w:t>16</w:t>
            </w:r>
            <w:r w:rsidR="00D7157D">
              <w:t>.</w:t>
            </w:r>
            <w:r w:rsidRPr="00295986">
              <w:t>0718</w:t>
            </w:r>
          </w:p>
        </w:tc>
        <w:tc>
          <w:tcPr>
            <w:tcW w:w="966" w:type="pct"/>
            <w:tcBorders>
              <w:top w:val="single" w:sz="4" w:space="0" w:color="auto"/>
              <w:bottom w:val="single" w:sz="4" w:space="0" w:color="auto"/>
            </w:tcBorders>
            <w:vAlign w:val="bottom"/>
          </w:tcPr>
          <w:p w14:paraId="1394FACF" w14:textId="77777777" w:rsidR="006A2074" w:rsidRPr="00C971C6" w:rsidRDefault="006A2074" w:rsidP="00F36942">
            <w:pPr>
              <w:pStyle w:val="Tabletext"/>
              <w:rPr>
                <w:snapToGrid w:val="0"/>
              </w:rPr>
            </w:pPr>
            <w:r w:rsidRPr="00295986">
              <w:t>0</w:t>
            </w:r>
            <w:r w:rsidR="00D7157D">
              <w:t>.</w:t>
            </w:r>
            <w:r w:rsidRPr="00295986">
              <w:t>3787</w:t>
            </w:r>
          </w:p>
        </w:tc>
        <w:tc>
          <w:tcPr>
            <w:tcW w:w="966" w:type="pct"/>
            <w:tcBorders>
              <w:top w:val="single" w:sz="4" w:space="0" w:color="auto"/>
              <w:bottom w:val="single" w:sz="4" w:space="0" w:color="auto"/>
            </w:tcBorders>
            <w:vAlign w:val="bottom"/>
          </w:tcPr>
          <w:p w14:paraId="556681C2" w14:textId="77777777" w:rsidR="006A2074" w:rsidRPr="00C971C6" w:rsidRDefault="006A2074" w:rsidP="00F36942">
            <w:pPr>
              <w:pStyle w:val="Tabletext"/>
              <w:rPr>
                <w:snapToGrid w:val="0"/>
              </w:rPr>
            </w:pPr>
            <w:r w:rsidRPr="00295986">
              <w:t>17</w:t>
            </w:r>
            <w:r w:rsidR="00D7157D">
              <w:t>.</w:t>
            </w:r>
            <w:r w:rsidRPr="00295986">
              <w:t>0288</w:t>
            </w:r>
          </w:p>
        </w:tc>
        <w:tc>
          <w:tcPr>
            <w:tcW w:w="966" w:type="pct"/>
            <w:tcBorders>
              <w:top w:val="single" w:sz="4" w:space="0" w:color="auto"/>
              <w:bottom w:val="single" w:sz="4" w:space="0" w:color="auto"/>
            </w:tcBorders>
            <w:vAlign w:val="bottom"/>
          </w:tcPr>
          <w:p w14:paraId="588CCFE8" w14:textId="77777777" w:rsidR="006A2074" w:rsidRPr="00C971C6" w:rsidRDefault="006A2074" w:rsidP="00F36942">
            <w:pPr>
              <w:pStyle w:val="Tabletext"/>
              <w:rPr>
                <w:snapToGrid w:val="0"/>
              </w:rPr>
            </w:pPr>
            <w:r w:rsidRPr="00295986">
              <w:t>0</w:t>
            </w:r>
            <w:r w:rsidR="00D7157D">
              <w:t>.</w:t>
            </w:r>
            <w:r w:rsidRPr="00295986">
              <w:t>0980</w:t>
            </w:r>
          </w:p>
        </w:tc>
      </w:tr>
      <w:tr w:rsidR="006A2074" w:rsidRPr="009E2595" w14:paraId="7E802148" w14:textId="77777777" w:rsidTr="00F36942">
        <w:trPr>
          <w:cantSplit/>
        </w:trPr>
        <w:tc>
          <w:tcPr>
            <w:tcW w:w="1136" w:type="pct"/>
            <w:tcBorders>
              <w:top w:val="single" w:sz="4" w:space="0" w:color="auto"/>
              <w:bottom w:val="single" w:sz="4" w:space="0" w:color="auto"/>
            </w:tcBorders>
          </w:tcPr>
          <w:p w14:paraId="7DA2D0D9" w14:textId="77777777" w:rsidR="006A2074" w:rsidRPr="00616B26" w:rsidRDefault="006A2074" w:rsidP="00F36942">
            <w:pPr>
              <w:pStyle w:val="Tabletext"/>
              <w:rPr>
                <w:snapToGrid w:val="0"/>
              </w:rPr>
            </w:pPr>
            <w:r w:rsidRPr="00616B26">
              <w:rPr>
                <w:snapToGrid w:val="0"/>
              </w:rPr>
              <w:t>65</w:t>
            </w:r>
          </w:p>
        </w:tc>
        <w:tc>
          <w:tcPr>
            <w:tcW w:w="966" w:type="pct"/>
            <w:tcBorders>
              <w:top w:val="single" w:sz="4" w:space="0" w:color="auto"/>
              <w:bottom w:val="single" w:sz="4" w:space="0" w:color="auto"/>
            </w:tcBorders>
            <w:vAlign w:val="bottom"/>
          </w:tcPr>
          <w:p w14:paraId="6A330406" w14:textId="77777777" w:rsidR="006A2074" w:rsidRPr="00C971C6" w:rsidRDefault="006A2074" w:rsidP="00F36942">
            <w:pPr>
              <w:pStyle w:val="Tabletext"/>
              <w:rPr>
                <w:snapToGrid w:val="0"/>
              </w:rPr>
            </w:pPr>
            <w:r w:rsidRPr="00295986">
              <w:t>15</w:t>
            </w:r>
            <w:r w:rsidR="00D7157D">
              <w:t>.</w:t>
            </w:r>
            <w:r w:rsidRPr="00295986">
              <w:t>6436</w:t>
            </w:r>
          </w:p>
        </w:tc>
        <w:tc>
          <w:tcPr>
            <w:tcW w:w="966" w:type="pct"/>
            <w:tcBorders>
              <w:top w:val="single" w:sz="4" w:space="0" w:color="auto"/>
              <w:bottom w:val="single" w:sz="4" w:space="0" w:color="auto"/>
            </w:tcBorders>
            <w:vAlign w:val="bottom"/>
          </w:tcPr>
          <w:p w14:paraId="422E494C" w14:textId="77777777" w:rsidR="006A2074" w:rsidRPr="00C971C6" w:rsidRDefault="006A2074" w:rsidP="00F36942">
            <w:pPr>
              <w:pStyle w:val="Tabletext"/>
              <w:rPr>
                <w:snapToGrid w:val="0"/>
              </w:rPr>
            </w:pPr>
            <w:r w:rsidRPr="00295986">
              <w:t>0</w:t>
            </w:r>
            <w:r w:rsidR="00D7157D">
              <w:t>.</w:t>
            </w:r>
            <w:r w:rsidRPr="00295986">
              <w:t>3887</w:t>
            </w:r>
          </w:p>
        </w:tc>
        <w:tc>
          <w:tcPr>
            <w:tcW w:w="966" w:type="pct"/>
            <w:tcBorders>
              <w:top w:val="single" w:sz="4" w:space="0" w:color="auto"/>
              <w:bottom w:val="single" w:sz="4" w:space="0" w:color="auto"/>
            </w:tcBorders>
            <w:vAlign w:val="bottom"/>
          </w:tcPr>
          <w:p w14:paraId="04BED0C3" w14:textId="77777777" w:rsidR="006A2074" w:rsidRPr="00C971C6" w:rsidRDefault="006A2074" w:rsidP="00F36942">
            <w:pPr>
              <w:pStyle w:val="Tabletext"/>
              <w:rPr>
                <w:snapToGrid w:val="0"/>
              </w:rPr>
            </w:pPr>
            <w:r w:rsidRPr="00295986">
              <w:t>16</w:t>
            </w:r>
            <w:r w:rsidR="00D7157D">
              <w:t>.</w:t>
            </w:r>
            <w:r w:rsidRPr="00295986">
              <w:t>6231</w:t>
            </w:r>
          </w:p>
        </w:tc>
        <w:tc>
          <w:tcPr>
            <w:tcW w:w="966" w:type="pct"/>
            <w:tcBorders>
              <w:top w:val="single" w:sz="4" w:space="0" w:color="auto"/>
              <w:bottom w:val="single" w:sz="4" w:space="0" w:color="auto"/>
            </w:tcBorders>
            <w:vAlign w:val="bottom"/>
          </w:tcPr>
          <w:p w14:paraId="275B8EC0" w14:textId="77777777" w:rsidR="006A2074" w:rsidRPr="00C971C6" w:rsidRDefault="006A2074" w:rsidP="00F36942">
            <w:pPr>
              <w:pStyle w:val="Tabletext"/>
              <w:rPr>
                <w:snapToGrid w:val="0"/>
              </w:rPr>
            </w:pPr>
            <w:r w:rsidRPr="00295986">
              <w:t>0</w:t>
            </w:r>
            <w:r w:rsidR="00D7157D">
              <w:t>.</w:t>
            </w:r>
            <w:r w:rsidRPr="00295986">
              <w:t>1005</w:t>
            </w:r>
          </w:p>
        </w:tc>
      </w:tr>
      <w:tr w:rsidR="006A2074" w:rsidRPr="009E2595" w14:paraId="1C71D9CD" w14:textId="77777777" w:rsidTr="00F36942">
        <w:trPr>
          <w:cantSplit/>
        </w:trPr>
        <w:tc>
          <w:tcPr>
            <w:tcW w:w="1136" w:type="pct"/>
            <w:tcBorders>
              <w:top w:val="single" w:sz="4" w:space="0" w:color="auto"/>
              <w:bottom w:val="single" w:sz="4" w:space="0" w:color="auto"/>
            </w:tcBorders>
          </w:tcPr>
          <w:p w14:paraId="1489B694" w14:textId="77777777" w:rsidR="006A2074" w:rsidRPr="00616B26" w:rsidRDefault="006A2074" w:rsidP="00F36942">
            <w:pPr>
              <w:pStyle w:val="Tabletext"/>
              <w:rPr>
                <w:snapToGrid w:val="0"/>
              </w:rPr>
            </w:pPr>
            <w:r w:rsidRPr="00616B26">
              <w:rPr>
                <w:snapToGrid w:val="0"/>
              </w:rPr>
              <w:t>66</w:t>
            </w:r>
          </w:p>
        </w:tc>
        <w:tc>
          <w:tcPr>
            <w:tcW w:w="966" w:type="pct"/>
            <w:tcBorders>
              <w:top w:val="single" w:sz="4" w:space="0" w:color="auto"/>
              <w:bottom w:val="single" w:sz="4" w:space="0" w:color="auto"/>
            </w:tcBorders>
            <w:vAlign w:val="bottom"/>
          </w:tcPr>
          <w:p w14:paraId="022E0324" w14:textId="77777777" w:rsidR="006A2074" w:rsidRPr="00C971C6" w:rsidRDefault="006A2074" w:rsidP="00F36942">
            <w:pPr>
              <w:pStyle w:val="Tabletext"/>
              <w:rPr>
                <w:snapToGrid w:val="0"/>
              </w:rPr>
            </w:pPr>
            <w:r w:rsidRPr="00295986">
              <w:t>15</w:t>
            </w:r>
            <w:r w:rsidR="00D7157D">
              <w:t>.</w:t>
            </w:r>
            <w:r w:rsidRPr="00295986">
              <w:t>2077</w:t>
            </w:r>
          </w:p>
        </w:tc>
        <w:tc>
          <w:tcPr>
            <w:tcW w:w="966" w:type="pct"/>
            <w:tcBorders>
              <w:top w:val="single" w:sz="4" w:space="0" w:color="auto"/>
              <w:bottom w:val="single" w:sz="4" w:space="0" w:color="auto"/>
            </w:tcBorders>
            <w:vAlign w:val="bottom"/>
          </w:tcPr>
          <w:p w14:paraId="3A3B3879" w14:textId="77777777" w:rsidR="006A2074" w:rsidRPr="00C971C6" w:rsidRDefault="006A2074" w:rsidP="00F36942">
            <w:pPr>
              <w:pStyle w:val="Tabletext"/>
              <w:rPr>
                <w:snapToGrid w:val="0"/>
              </w:rPr>
            </w:pPr>
            <w:r w:rsidRPr="00295986">
              <w:t>0</w:t>
            </w:r>
            <w:r w:rsidR="00D7157D">
              <w:t>.</w:t>
            </w:r>
            <w:r w:rsidRPr="00295986">
              <w:t>3984</w:t>
            </w:r>
          </w:p>
        </w:tc>
        <w:tc>
          <w:tcPr>
            <w:tcW w:w="966" w:type="pct"/>
            <w:tcBorders>
              <w:top w:val="single" w:sz="4" w:space="0" w:color="auto"/>
              <w:bottom w:val="single" w:sz="4" w:space="0" w:color="auto"/>
            </w:tcBorders>
            <w:vAlign w:val="bottom"/>
          </w:tcPr>
          <w:p w14:paraId="0CF23CE0" w14:textId="77777777" w:rsidR="006A2074" w:rsidRPr="00C971C6" w:rsidRDefault="006A2074" w:rsidP="00F36942">
            <w:pPr>
              <w:pStyle w:val="Tabletext"/>
              <w:rPr>
                <w:snapToGrid w:val="0"/>
              </w:rPr>
            </w:pPr>
            <w:r w:rsidRPr="00295986">
              <w:t>16</w:t>
            </w:r>
            <w:r w:rsidR="00D7157D">
              <w:t>.</w:t>
            </w:r>
            <w:r w:rsidRPr="00295986">
              <w:t>2069</w:t>
            </w:r>
          </w:p>
        </w:tc>
        <w:tc>
          <w:tcPr>
            <w:tcW w:w="966" w:type="pct"/>
            <w:tcBorders>
              <w:top w:val="single" w:sz="4" w:space="0" w:color="auto"/>
              <w:bottom w:val="single" w:sz="4" w:space="0" w:color="auto"/>
            </w:tcBorders>
            <w:vAlign w:val="bottom"/>
          </w:tcPr>
          <w:p w14:paraId="4416095C" w14:textId="77777777" w:rsidR="006A2074" w:rsidRPr="00C971C6" w:rsidRDefault="006A2074" w:rsidP="00F36942">
            <w:pPr>
              <w:pStyle w:val="Tabletext"/>
              <w:rPr>
                <w:snapToGrid w:val="0"/>
              </w:rPr>
            </w:pPr>
            <w:r w:rsidRPr="00295986">
              <w:t>0</w:t>
            </w:r>
            <w:r w:rsidR="00D7157D">
              <w:t>.</w:t>
            </w:r>
            <w:r w:rsidRPr="00295986">
              <w:t>1028</w:t>
            </w:r>
          </w:p>
        </w:tc>
      </w:tr>
      <w:tr w:rsidR="006A2074" w:rsidRPr="009E2595" w14:paraId="43D908B8" w14:textId="77777777" w:rsidTr="00F36942">
        <w:trPr>
          <w:cantSplit/>
        </w:trPr>
        <w:tc>
          <w:tcPr>
            <w:tcW w:w="1136" w:type="pct"/>
            <w:tcBorders>
              <w:top w:val="single" w:sz="4" w:space="0" w:color="auto"/>
              <w:bottom w:val="single" w:sz="4" w:space="0" w:color="auto"/>
            </w:tcBorders>
          </w:tcPr>
          <w:p w14:paraId="56BD5CF8" w14:textId="77777777" w:rsidR="006A2074" w:rsidRPr="00616B26" w:rsidRDefault="006A2074" w:rsidP="00F36942">
            <w:pPr>
              <w:pStyle w:val="Tabletext"/>
              <w:rPr>
                <w:snapToGrid w:val="0"/>
              </w:rPr>
            </w:pPr>
            <w:r w:rsidRPr="00616B26">
              <w:rPr>
                <w:snapToGrid w:val="0"/>
              </w:rPr>
              <w:t>67</w:t>
            </w:r>
          </w:p>
        </w:tc>
        <w:tc>
          <w:tcPr>
            <w:tcW w:w="966" w:type="pct"/>
            <w:tcBorders>
              <w:top w:val="single" w:sz="4" w:space="0" w:color="auto"/>
              <w:bottom w:val="single" w:sz="4" w:space="0" w:color="auto"/>
            </w:tcBorders>
            <w:vAlign w:val="bottom"/>
          </w:tcPr>
          <w:p w14:paraId="39A48B95" w14:textId="77777777" w:rsidR="006A2074" w:rsidRPr="00C971C6" w:rsidRDefault="006A2074" w:rsidP="00F36942">
            <w:pPr>
              <w:pStyle w:val="Tabletext"/>
              <w:rPr>
                <w:snapToGrid w:val="0"/>
              </w:rPr>
            </w:pPr>
            <w:r w:rsidRPr="00295986">
              <w:t>14</w:t>
            </w:r>
            <w:r w:rsidR="00D7157D">
              <w:t>.</w:t>
            </w:r>
            <w:r w:rsidRPr="00295986">
              <w:t>7642</w:t>
            </w:r>
          </w:p>
        </w:tc>
        <w:tc>
          <w:tcPr>
            <w:tcW w:w="966" w:type="pct"/>
            <w:tcBorders>
              <w:top w:val="single" w:sz="4" w:space="0" w:color="auto"/>
              <w:bottom w:val="single" w:sz="4" w:space="0" w:color="auto"/>
            </w:tcBorders>
            <w:vAlign w:val="bottom"/>
          </w:tcPr>
          <w:p w14:paraId="788BA5C6" w14:textId="77777777" w:rsidR="006A2074" w:rsidRPr="00C971C6" w:rsidRDefault="006A2074" w:rsidP="00F36942">
            <w:pPr>
              <w:pStyle w:val="Tabletext"/>
              <w:rPr>
                <w:snapToGrid w:val="0"/>
              </w:rPr>
            </w:pPr>
            <w:r w:rsidRPr="00295986">
              <w:t>0</w:t>
            </w:r>
            <w:r w:rsidR="00D7157D">
              <w:t>.</w:t>
            </w:r>
            <w:r w:rsidRPr="00295986">
              <w:t>4077</w:t>
            </w:r>
          </w:p>
        </w:tc>
        <w:tc>
          <w:tcPr>
            <w:tcW w:w="966" w:type="pct"/>
            <w:tcBorders>
              <w:top w:val="single" w:sz="4" w:space="0" w:color="auto"/>
              <w:bottom w:val="single" w:sz="4" w:space="0" w:color="auto"/>
            </w:tcBorders>
            <w:vAlign w:val="bottom"/>
          </w:tcPr>
          <w:p w14:paraId="2063842F" w14:textId="77777777" w:rsidR="006A2074" w:rsidRPr="00C971C6" w:rsidRDefault="006A2074" w:rsidP="00F36942">
            <w:pPr>
              <w:pStyle w:val="Tabletext"/>
              <w:rPr>
                <w:snapToGrid w:val="0"/>
              </w:rPr>
            </w:pPr>
            <w:r w:rsidRPr="00295986">
              <w:t>15</w:t>
            </w:r>
            <w:r w:rsidR="00D7157D">
              <w:t>.</w:t>
            </w:r>
            <w:r w:rsidRPr="00295986">
              <w:t>7822</w:t>
            </w:r>
          </w:p>
        </w:tc>
        <w:tc>
          <w:tcPr>
            <w:tcW w:w="966" w:type="pct"/>
            <w:tcBorders>
              <w:top w:val="single" w:sz="4" w:space="0" w:color="auto"/>
              <w:bottom w:val="single" w:sz="4" w:space="0" w:color="auto"/>
            </w:tcBorders>
            <w:vAlign w:val="bottom"/>
          </w:tcPr>
          <w:p w14:paraId="24D2BE3E" w14:textId="77777777" w:rsidR="006A2074" w:rsidRPr="00C971C6" w:rsidRDefault="006A2074" w:rsidP="00F36942">
            <w:pPr>
              <w:pStyle w:val="Tabletext"/>
              <w:rPr>
                <w:snapToGrid w:val="0"/>
              </w:rPr>
            </w:pPr>
            <w:r w:rsidRPr="00295986">
              <w:t>0</w:t>
            </w:r>
            <w:r w:rsidR="00D7157D">
              <w:t>.</w:t>
            </w:r>
            <w:r w:rsidRPr="00295986">
              <w:t>1051</w:t>
            </w:r>
          </w:p>
        </w:tc>
      </w:tr>
      <w:tr w:rsidR="006A2074" w:rsidRPr="009E2595" w14:paraId="6BA62004" w14:textId="77777777" w:rsidTr="00F36942">
        <w:trPr>
          <w:cantSplit/>
        </w:trPr>
        <w:tc>
          <w:tcPr>
            <w:tcW w:w="1136" w:type="pct"/>
            <w:tcBorders>
              <w:top w:val="single" w:sz="4" w:space="0" w:color="auto"/>
              <w:bottom w:val="single" w:sz="4" w:space="0" w:color="auto"/>
            </w:tcBorders>
          </w:tcPr>
          <w:p w14:paraId="78305D85" w14:textId="77777777" w:rsidR="006A2074" w:rsidRPr="00616B26" w:rsidRDefault="006A2074" w:rsidP="00F36942">
            <w:pPr>
              <w:pStyle w:val="Tabletext"/>
              <w:rPr>
                <w:snapToGrid w:val="0"/>
              </w:rPr>
            </w:pPr>
            <w:r w:rsidRPr="00616B26">
              <w:rPr>
                <w:snapToGrid w:val="0"/>
              </w:rPr>
              <w:t>68</w:t>
            </w:r>
          </w:p>
        </w:tc>
        <w:tc>
          <w:tcPr>
            <w:tcW w:w="966" w:type="pct"/>
            <w:tcBorders>
              <w:top w:val="single" w:sz="4" w:space="0" w:color="auto"/>
              <w:bottom w:val="single" w:sz="4" w:space="0" w:color="auto"/>
            </w:tcBorders>
            <w:vAlign w:val="bottom"/>
          </w:tcPr>
          <w:p w14:paraId="7280BFFC" w14:textId="77777777" w:rsidR="006A2074" w:rsidRPr="00C971C6" w:rsidRDefault="006A2074" w:rsidP="00F36942">
            <w:pPr>
              <w:pStyle w:val="Tabletext"/>
              <w:rPr>
                <w:snapToGrid w:val="0"/>
              </w:rPr>
            </w:pPr>
            <w:r w:rsidRPr="00295986">
              <w:t>14</w:t>
            </w:r>
            <w:r w:rsidR="00D7157D">
              <w:t>.</w:t>
            </w:r>
            <w:r w:rsidRPr="00295986">
              <w:t>3127</w:t>
            </w:r>
          </w:p>
        </w:tc>
        <w:tc>
          <w:tcPr>
            <w:tcW w:w="966" w:type="pct"/>
            <w:tcBorders>
              <w:top w:val="single" w:sz="4" w:space="0" w:color="auto"/>
              <w:bottom w:val="single" w:sz="4" w:space="0" w:color="auto"/>
            </w:tcBorders>
            <w:vAlign w:val="bottom"/>
          </w:tcPr>
          <w:p w14:paraId="50520C60" w14:textId="77777777" w:rsidR="006A2074" w:rsidRPr="00C971C6" w:rsidRDefault="006A2074" w:rsidP="00F36942">
            <w:pPr>
              <w:pStyle w:val="Tabletext"/>
              <w:rPr>
                <w:snapToGrid w:val="0"/>
              </w:rPr>
            </w:pPr>
            <w:r w:rsidRPr="00295986">
              <w:t>0</w:t>
            </w:r>
            <w:r w:rsidR="00D7157D">
              <w:t>.</w:t>
            </w:r>
            <w:r w:rsidRPr="00295986">
              <w:t>4167</w:t>
            </w:r>
          </w:p>
        </w:tc>
        <w:tc>
          <w:tcPr>
            <w:tcW w:w="966" w:type="pct"/>
            <w:tcBorders>
              <w:top w:val="single" w:sz="4" w:space="0" w:color="auto"/>
              <w:bottom w:val="single" w:sz="4" w:space="0" w:color="auto"/>
            </w:tcBorders>
            <w:vAlign w:val="bottom"/>
          </w:tcPr>
          <w:p w14:paraId="76B19304" w14:textId="77777777" w:rsidR="006A2074" w:rsidRPr="00C971C6" w:rsidRDefault="006A2074" w:rsidP="00F36942">
            <w:pPr>
              <w:pStyle w:val="Tabletext"/>
              <w:rPr>
                <w:snapToGrid w:val="0"/>
              </w:rPr>
            </w:pPr>
            <w:r w:rsidRPr="00295986">
              <w:t>15</w:t>
            </w:r>
            <w:r w:rsidR="00D7157D">
              <w:t>.</w:t>
            </w:r>
            <w:r w:rsidRPr="00295986">
              <w:t>3477</w:t>
            </w:r>
          </w:p>
        </w:tc>
        <w:tc>
          <w:tcPr>
            <w:tcW w:w="966" w:type="pct"/>
            <w:tcBorders>
              <w:top w:val="single" w:sz="4" w:space="0" w:color="auto"/>
              <w:bottom w:val="single" w:sz="4" w:space="0" w:color="auto"/>
            </w:tcBorders>
            <w:vAlign w:val="bottom"/>
          </w:tcPr>
          <w:p w14:paraId="1561FFFC" w14:textId="77777777" w:rsidR="006A2074" w:rsidRPr="00C971C6" w:rsidRDefault="006A2074" w:rsidP="00F36942">
            <w:pPr>
              <w:pStyle w:val="Tabletext"/>
              <w:rPr>
                <w:snapToGrid w:val="0"/>
              </w:rPr>
            </w:pPr>
            <w:r w:rsidRPr="00295986">
              <w:t>0</w:t>
            </w:r>
            <w:r w:rsidR="00D7157D">
              <w:t>.</w:t>
            </w:r>
            <w:r w:rsidRPr="00295986">
              <w:t>1072</w:t>
            </w:r>
          </w:p>
        </w:tc>
      </w:tr>
      <w:tr w:rsidR="006A2074" w:rsidRPr="009E2595" w14:paraId="519BE194" w14:textId="77777777" w:rsidTr="00F36942">
        <w:trPr>
          <w:cantSplit/>
        </w:trPr>
        <w:tc>
          <w:tcPr>
            <w:tcW w:w="1136" w:type="pct"/>
            <w:tcBorders>
              <w:top w:val="single" w:sz="4" w:space="0" w:color="auto"/>
              <w:bottom w:val="single" w:sz="4" w:space="0" w:color="auto"/>
            </w:tcBorders>
          </w:tcPr>
          <w:p w14:paraId="5F271F81" w14:textId="77777777" w:rsidR="006A2074" w:rsidRPr="00616B26" w:rsidRDefault="006A2074" w:rsidP="00F36942">
            <w:pPr>
              <w:pStyle w:val="Tabletext"/>
              <w:rPr>
                <w:snapToGrid w:val="0"/>
              </w:rPr>
            </w:pPr>
            <w:r w:rsidRPr="00616B26">
              <w:rPr>
                <w:snapToGrid w:val="0"/>
              </w:rPr>
              <w:t>69</w:t>
            </w:r>
          </w:p>
        </w:tc>
        <w:tc>
          <w:tcPr>
            <w:tcW w:w="966" w:type="pct"/>
            <w:tcBorders>
              <w:top w:val="single" w:sz="4" w:space="0" w:color="auto"/>
              <w:bottom w:val="single" w:sz="4" w:space="0" w:color="auto"/>
            </w:tcBorders>
            <w:vAlign w:val="bottom"/>
          </w:tcPr>
          <w:p w14:paraId="7AF080FC" w14:textId="77777777" w:rsidR="006A2074" w:rsidRPr="00C971C6" w:rsidRDefault="006A2074" w:rsidP="00F36942">
            <w:pPr>
              <w:pStyle w:val="Tabletext"/>
              <w:rPr>
                <w:snapToGrid w:val="0"/>
              </w:rPr>
            </w:pPr>
            <w:r w:rsidRPr="00295986">
              <w:t>13</w:t>
            </w:r>
            <w:r w:rsidR="00D7157D">
              <w:t>.</w:t>
            </w:r>
            <w:r w:rsidRPr="00295986">
              <w:t>8531</w:t>
            </w:r>
          </w:p>
        </w:tc>
        <w:tc>
          <w:tcPr>
            <w:tcW w:w="966" w:type="pct"/>
            <w:tcBorders>
              <w:top w:val="single" w:sz="4" w:space="0" w:color="auto"/>
              <w:bottom w:val="single" w:sz="4" w:space="0" w:color="auto"/>
            </w:tcBorders>
            <w:vAlign w:val="bottom"/>
          </w:tcPr>
          <w:p w14:paraId="77913DAD" w14:textId="77777777" w:rsidR="006A2074" w:rsidRPr="00C971C6" w:rsidRDefault="006A2074" w:rsidP="00F36942">
            <w:pPr>
              <w:pStyle w:val="Tabletext"/>
              <w:rPr>
                <w:snapToGrid w:val="0"/>
              </w:rPr>
            </w:pPr>
            <w:r w:rsidRPr="00295986">
              <w:t>0</w:t>
            </w:r>
            <w:r w:rsidR="00D7157D">
              <w:t>.</w:t>
            </w:r>
            <w:r w:rsidRPr="00295986">
              <w:t>4253</w:t>
            </w:r>
          </w:p>
        </w:tc>
        <w:tc>
          <w:tcPr>
            <w:tcW w:w="966" w:type="pct"/>
            <w:tcBorders>
              <w:top w:val="single" w:sz="4" w:space="0" w:color="auto"/>
              <w:bottom w:val="single" w:sz="4" w:space="0" w:color="auto"/>
            </w:tcBorders>
            <w:vAlign w:val="bottom"/>
          </w:tcPr>
          <w:p w14:paraId="19F8190D" w14:textId="77777777" w:rsidR="006A2074" w:rsidRPr="00C971C6" w:rsidRDefault="006A2074" w:rsidP="00F36942">
            <w:pPr>
              <w:pStyle w:val="Tabletext"/>
              <w:rPr>
                <w:snapToGrid w:val="0"/>
              </w:rPr>
            </w:pPr>
            <w:r w:rsidRPr="00295986">
              <w:t>14</w:t>
            </w:r>
            <w:r w:rsidR="00D7157D">
              <w:t>.</w:t>
            </w:r>
            <w:r w:rsidRPr="00295986">
              <w:t>9029</w:t>
            </w:r>
          </w:p>
        </w:tc>
        <w:tc>
          <w:tcPr>
            <w:tcW w:w="966" w:type="pct"/>
            <w:tcBorders>
              <w:top w:val="single" w:sz="4" w:space="0" w:color="auto"/>
              <w:bottom w:val="single" w:sz="4" w:space="0" w:color="auto"/>
            </w:tcBorders>
            <w:vAlign w:val="bottom"/>
          </w:tcPr>
          <w:p w14:paraId="5DE5BD4B" w14:textId="77777777" w:rsidR="006A2074" w:rsidRPr="00C971C6" w:rsidRDefault="006A2074" w:rsidP="00F36942">
            <w:pPr>
              <w:pStyle w:val="Tabletext"/>
              <w:rPr>
                <w:snapToGrid w:val="0"/>
              </w:rPr>
            </w:pPr>
            <w:r w:rsidRPr="00295986">
              <w:t>0</w:t>
            </w:r>
            <w:r w:rsidR="00D7157D">
              <w:t>.</w:t>
            </w:r>
            <w:r w:rsidRPr="00295986">
              <w:t>1093</w:t>
            </w:r>
          </w:p>
        </w:tc>
      </w:tr>
      <w:tr w:rsidR="006A2074" w:rsidRPr="009E2595" w14:paraId="6CC42F6F" w14:textId="77777777" w:rsidTr="00F36942">
        <w:trPr>
          <w:cantSplit/>
        </w:trPr>
        <w:tc>
          <w:tcPr>
            <w:tcW w:w="1136" w:type="pct"/>
            <w:tcBorders>
              <w:top w:val="single" w:sz="4" w:space="0" w:color="auto"/>
              <w:bottom w:val="single" w:sz="4" w:space="0" w:color="auto"/>
            </w:tcBorders>
          </w:tcPr>
          <w:p w14:paraId="6429C3DA" w14:textId="77777777" w:rsidR="006A2074" w:rsidRPr="00616B26" w:rsidRDefault="006A2074" w:rsidP="00F36942">
            <w:pPr>
              <w:pStyle w:val="Tabletext"/>
              <w:rPr>
                <w:snapToGrid w:val="0"/>
              </w:rPr>
            </w:pPr>
            <w:r w:rsidRPr="00616B26">
              <w:rPr>
                <w:snapToGrid w:val="0"/>
              </w:rPr>
              <w:t>70</w:t>
            </w:r>
          </w:p>
        </w:tc>
        <w:tc>
          <w:tcPr>
            <w:tcW w:w="966" w:type="pct"/>
            <w:tcBorders>
              <w:top w:val="single" w:sz="4" w:space="0" w:color="auto"/>
              <w:bottom w:val="single" w:sz="4" w:space="0" w:color="auto"/>
            </w:tcBorders>
            <w:vAlign w:val="bottom"/>
          </w:tcPr>
          <w:p w14:paraId="314B8146" w14:textId="77777777" w:rsidR="006A2074" w:rsidRPr="00C971C6" w:rsidRDefault="006A2074" w:rsidP="00F36942">
            <w:pPr>
              <w:pStyle w:val="Tabletext"/>
              <w:rPr>
                <w:snapToGrid w:val="0"/>
              </w:rPr>
            </w:pPr>
            <w:r w:rsidRPr="00295986">
              <w:t>13</w:t>
            </w:r>
            <w:r w:rsidR="00D7157D">
              <w:t>.</w:t>
            </w:r>
            <w:r w:rsidRPr="00295986">
              <w:t>3846</w:t>
            </w:r>
          </w:p>
        </w:tc>
        <w:tc>
          <w:tcPr>
            <w:tcW w:w="966" w:type="pct"/>
            <w:tcBorders>
              <w:top w:val="single" w:sz="4" w:space="0" w:color="auto"/>
              <w:bottom w:val="single" w:sz="4" w:space="0" w:color="auto"/>
            </w:tcBorders>
            <w:vAlign w:val="bottom"/>
          </w:tcPr>
          <w:p w14:paraId="38AB36AB" w14:textId="77777777" w:rsidR="006A2074" w:rsidRPr="00C971C6" w:rsidRDefault="006A2074" w:rsidP="00F36942">
            <w:pPr>
              <w:pStyle w:val="Tabletext"/>
              <w:rPr>
                <w:snapToGrid w:val="0"/>
              </w:rPr>
            </w:pPr>
            <w:r w:rsidRPr="00295986">
              <w:t>0</w:t>
            </w:r>
            <w:r w:rsidR="00D7157D">
              <w:t>.</w:t>
            </w:r>
            <w:r w:rsidRPr="00295986">
              <w:t>4336</w:t>
            </w:r>
          </w:p>
        </w:tc>
        <w:tc>
          <w:tcPr>
            <w:tcW w:w="966" w:type="pct"/>
            <w:tcBorders>
              <w:top w:val="single" w:sz="4" w:space="0" w:color="auto"/>
              <w:bottom w:val="single" w:sz="4" w:space="0" w:color="auto"/>
            </w:tcBorders>
            <w:vAlign w:val="bottom"/>
          </w:tcPr>
          <w:p w14:paraId="1B5D089A" w14:textId="77777777" w:rsidR="006A2074" w:rsidRPr="00C971C6" w:rsidRDefault="006A2074" w:rsidP="00F36942">
            <w:pPr>
              <w:pStyle w:val="Tabletext"/>
              <w:rPr>
                <w:snapToGrid w:val="0"/>
              </w:rPr>
            </w:pPr>
            <w:r w:rsidRPr="00295986">
              <w:t>14</w:t>
            </w:r>
            <w:r w:rsidR="00D7157D">
              <w:t>.</w:t>
            </w:r>
            <w:r w:rsidRPr="00295986">
              <w:t>4475</w:t>
            </w:r>
          </w:p>
        </w:tc>
        <w:tc>
          <w:tcPr>
            <w:tcW w:w="966" w:type="pct"/>
            <w:tcBorders>
              <w:top w:val="single" w:sz="4" w:space="0" w:color="auto"/>
              <w:bottom w:val="single" w:sz="4" w:space="0" w:color="auto"/>
            </w:tcBorders>
            <w:vAlign w:val="bottom"/>
          </w:tcPr>
          <w:p w14:paraId="5B1FC48D" w14:textId="77777777" w:rsidR="006A2074" w:rsidRPr="00C971C6" w:rsidRDefault="006A2074" w:rsidP="00F36942">
            <w:pPr>
              <w:pStyle w:val="Tabletext"/>
              <w:rPr>
                <w:snapToGrid w:val="0"/>
              </w:rPr>
            </w:pPr>
            <w:r w:rsidRPr="00295986">
              <w:t>0</w:t>
            </w:r>
            <w:r w:rsidR="00D7157D">
              <w:t>.</w:t>
            </w:r>
            <w:r w:rsidRPr="00295986">
              <w:t>1113</w:t>
            </w:r>
          </w:p>
        </w:tc>
      </w:tr>
      <w:tr w:rsidR="006A2074" w:rsidRPr="009E2595" w14:paraId="529138F3" w14:textId="77777777" w:rsidTr="00F36942">
        <w:trPr>
          <w:cantSplit/>
        </w:trPr>
        <w:tc>
          <w:tcPr>
            <w:tcW w:w="1136" w:type="pct"/>
            <w:tcBorders>
              <w:top w:val="single" w:sz="4" w:space="0" w:color="auto"/>
              <w:bottom w:val="single" w:sz="4" w:space="0" w:color="auto"/>
            </w:tcBorders>
          </w:tcPr>
          <w:p w14:paraId="3D5CA9D7" w14:textId="77777777" w:rsidR="006A2074" w:rsidRPr="00616B26" w:rsidRDefault="006A2074" w:rsidP="00F36942">
            <w:pPr>
              <w:pStyle w:val="Tabletext"/>
              <w:rPr>
                <w:snapToGrid w:val="0"/>
              </w:rPr>
            </w:pPr>
            <w:r w:rsidRPr="00616B26">
              <w:rPr>
                <w:snapToGrid w:val="0"/>
              </w:rPr>
              <w:t>71</w:t>
            </w:r>
          </w:p>
        </w:tc>
        <w:tc>
          <w:tcPr>
            <w:tcW w:w="966" w:type="pct"/>
            <w:tcBorders>
              <w:top w:val="single" w:sz="4" w:space="0" w:color="auto"/>
              <w:bottom w:val="single" w:sz="4" w:space="0" w:color="auto"/>
            </w:tcBorders>
            <w:vAlign w:val="bottom"/>
          </w:tcPr>
          <w:p w14:paraId="26EC61F7" w14:textId="77777777" w:rsidR="006A2074" w:rsidRPr="00C971C6" w:rsidRDefault="006A2074" w:rsidP="00F36942">
            <w:pPr>
              <w:pStyle w:val="Tabletext"/>
              <w:rPr>
                <w:snapToGrid w:val="0"/>
              </w:rPr>
            </w:pPr>
            <w:r w:rsidRPr="00295986">
              <w:t>12</w:t>
            </w:r>
            <w:r w:rsidR="00D7157D">
              <w:t>.</w:t>
            </w:r>
            <w:r w:rsidRPr="00295986">
              <w:t>9065</w:t>
            </w:r>
          </w:p>
        </w:tc>
        <w:tc>
          <w:tcPr>
            <w:tcW w:w="966" w:type="pct"/>
            <w:tcBorders>
              <w:top w:val="single" w:sz="4" w:space="0" w:color="auto"/>
              <w:bottom w:val="single" w:sz="4" w:space="0" w:color="auto"/>
            </w:tcBorders>
            <w:vAlign w:val="bottom"/>
          </w:tcPr>
          <w:p w14:paraId="557717CC" w14:textId="77777777" w:rsidR="006A2074" w:rsidRPr="00C971C6" w:rsidRDefault="006A2074" w:rsidP="00F36942">
            <w:pPr>
              <w:pStyle w:val="Tabletext"/>
              <w:rPr>
                <w:snapToGrid w:val="0"/>
              </w:rPr>
            </w:pPr>
            <w:r w:rsidRPr="00295986">
              <w:t>0</w:t>
            </w:r>
            <w:r w:rsidR="00D7157D">
              <w:t>.</w:t>
            </w:r>
            <w:r w:rsidRPr="00295986">
              <w:t>4416</w:t>
            </w:r>
          </w:p>
        </w:tc>
        <w:tc>
          <w:tcPr>
            <w:tcW w:w="966" w:type="pct"/>
            <w:tcBorders>
              <w:top w:val="single" w:sz="4" w:space="0" w:color="auto"/>
              <w:bottom w:val="single" w:sz="4" w:space="0" w:color="auto"/>
            </w:tcBorders>
            <w:vAlign w:val="bottom"/>
          </w:tcPr>
          <w:p w14:paraId="54D8C97F" w14:textId="77777777" w:rsidR="006A2074" w:rsidRPr="00C971C6" w:rsidRDefault="006A2074" w:rsidP="00F36942">
            <w:pPr>
              <w:pStyle w:val="Tabletext"/>
              <w:rPr>
                <w:snapToGrid w:val="0"/>
              </w:rPr>
            </w:pPr>
            <w:r w:rsidRPr="00295986">
              <w:t>13</w:t>
            </w:r>
            <w:r w:rsidR="00D7157D">
              <w:t>.</w:t>
            </w:r>
            <w:r w:rsidRPr="00295986">
              <w:t>9831</w:t>
            </w:r>
          </w:p>
        </w:tc>
        <w:tc>
          <w:tcPr>
            <w:tcW w:w="966" w:type="pct"/>
            <w:tcBorders>
              <w:top w:val="single" w:sz="4" w:space="0" w:color="auto"/>
              <w:bottom w:val="single" w:sz="4" w:space="0" w:color="auto"/>
            </w:tcBorders>
            <w:vAlign w:val="bottom"/>
          </w:tcPr>
          <w:p w14:paraId="1BB6E58E" w14:textId="77777777" w:rsidR="006A2074" w:rsidRPr="00C971C6" w:rsidRDefault="006A2074" w:rsidP="00F36942">
            <w:pPr>
              <w:pStyle w:val="Tabletext"/>
              <w:rPr>
                <w:snapToGrid w:val="0"/>
              </w:rPr>
            </w:pPr>
            <w:r w:rsidRPr="00295986">
              <w:t>0</w:t>
            </w:r>
            <w:r w:rsidR="00D7157D">
              <w:t>.</w:t>
            </w:r>
            <w:r w:rsidRPr="00295986">
              <w:t>1132</w:t>
            </w:r>
          </w:p>
        </w:tc>
      </w:tr>
      <w:tr w:rsidR="006A2074" w:rsidRPr="009E2595" w14:paraId="060E7087" w14:textId="77777777" w:rsidTr="00F36942">
        <w:trPr>
          <w:cantSplit/>
        </w:trPr>
        <w:tc>
          <w:tcPr>
            <w:tcW w:w="1136" w:type="pct"/>
            <w:tcBorders>
              <w:top w:val="single" w:sz="4" w:space="0" w:color="auto"/>
              <w:bottom w:val="single" w:sz="4" w:space="0" w:color="auto"/>
            </w:tcBorders>
          </w:tcPr>
          <w:p w14:paraId="28429D3E" w14:textId="77777777" w:rsidR="006A2074" w:rsidRPr="00616B26" w:rsidRDefault="006A2074" w:rsidP="00F36942">
            <w:pPr>
              <w:pStyle w:val="Tabletext"/>
              <w:rPr>
                <w:snapToGrid w:val="0"/>
              </w:rPr>
            </w:pPr>
            <w:r w:rsidRPr="00616B26">
              <w:rPr>
                <w:snapToGrid w:val="0"/>
              </w:rPr>
              <w:t>72</w:t>
            </w:r>
          </w:p>
        </w:tc>
        <w:tc>
          <w:tcPr>
            <w:tcW w:w="966" w:type="pct"/>
            <w:tcBorders>
              <w:top w:val="single" w:sz="4" w:space="0" w:color="auto"/>
              <w:bottom w:val="single" w:sz="4" w:space="0" w:color="auto"/>
            </w:tcBorders>
            <w:vAlign w:val="bottom"/>
          </w:tcPr>
          <w:p w14:paraId="1E971AA2" w14:textId="77777777" w:rsidR="006A2074" w:rsidRPr="00C971C6" w:rsidRDefault="006A2074" w:rsidP="00F36942">
            <w:pPr>
              <w:pStyle w:val="Tabletext"/>
              <w:rPr>
                <w:snapToGrid w:val="0"/>
              </w:rPr>
            </w:pPr>
            <w:r w:rsidRPr="00295986">
              <w:t>12</w:t>
            </w:r>
            <w:r w:rsidR="00D7157D">
              <w:t>.</w:t>
            </w:r>
            <w:r w:rsidRPr="00295986">
              <w:t>4205</w:t>
            </w:r>
          </w:p>
        </w:tc>
        <w:tc>
          <w:tcPr>
            <w:tcW w:w="966" w:type="pct"/>
            <w:tcBorders>
              <w:top w:val="single" w:sz="4" w:space="0" w:color="auto"/>
              <w:bottom w:val="single" w:sz="4" w:space="0" w:color="auto"/>
            </w:tcBorders>
            <w:vAlign w:val="bottom"/>
          </w:tcPr>
          <w:p w14:paraId="25E57ACA" w14:textId="77777777" w:rsidR="006A2074" w:rsidRPr="00C971C6" w:rsidRDefault="006A2074" w:rsidP="00F36942">
            <w:pPr>
              <w:pStyle w:val="Tabletext"/>
              <w:rPr>
                <w:snapToGrid w:val="0"/>
              </w:rPr>
            </w:pPr>
            <w:r w:rsidRPr="00295986">
              <w:t>0</w:t>
            </w:r>
            <w:r w:rsidR="00D7157D">
              <w:t>.</w:t>
            </w:r>
            <w:r w:rsidRPr="00295986">
              <w:t>4492</w:t>
            </w:r>
          </w:p>
        </w:tc>
        <w:tc>
          <w:tcPr>
            <w:tcW w:w="966" w:type="pct"/>
            <w:tcBorders>
              <w:top w:val="single" w:sz="4" w:space="0" w:color="auto"/>
              <w:bottom w:val="single" w:sz="4" w:space="0" w:color="auto"/>
            </w:tcBorders>
            <w:vAlign w:val="bottom"/>
          </w:tcPr>
          <w:p w14:paraId="6FA46B3A" w14:textId="77777777" w:rsidR="006A2074" w:rsidRPr="00C971C6" w:rsidRDefault="006A2074" w:rsidP="00F36942">
            <w:pPr>
              <w:pStyle w:val="Tabletext"/>
              <w:rPr>
                <w:snapToGrid w:val="0"/>
              </w:rPr>
            </w:pPr>
            <w:r w:rsidRPr="00295986">
              <w:t>13</w:t>
            </w:r>
            <w:r w:rsidR="00D7157D">
              <w:t>.</w:t>
            </w:r>
            <w:r w:rsidRPr="00295986">
              <w:t>5108</w:t>
            </w:r>
          </w:p>
        </w:tc>
        <w:tc>
          <w:tcPr>
            <w:tcW w:w="966" w:type="pct"/>
            <w:tcBorders>
              <w:top w:val="single" w:sz="4" w:space="0" w:color="auto"/>
              <w:bottom w:val="single" w:sz="4" w:space="0" w:color="auto"/>
            </w:tcBorders>
            <w:vAlign w:val="bottom"/>
          </w:tcPr>
          <w:p w14:paraId="11B273BA" w14:textId="77777777" w:rsidR="006A2074" w:rsidRPr="00C971C6" w:rsidRDefault="006A2074" w:rsidP="00F36942">
            <w:pPr>
              <w:pStyle w:val="Tabletext"/>
              <w:rPr>
                <w:snapToGrid w:val="0"/>
              </w:rPr>
            </w:pPr>
            <w:r w:rsidRPr="00295986">
              <w:t>0</w:t>
            </w:r>
            <w:r w:rsidR="00D7157D">
              <w:t>.</w:t>
            </w:r>
            <w:r w:rsidRPr="00295986">
              <w:t>1149</w:t>
            </w:r>
          </w:p>
        </w:tc>
      </w:tr>
      <w:tr w:rsidR="006A2074" w:rsidRPr="009E2595" w14:paraId="043D11F6" w14:textId="77777777" w:rsidTr="00F36942">
        <w:trPr>
          <w:cantSplit/>
        </w:trPr>
        <w:tc>
          <w:tcPr>
            <w:tcW w:w="1136" w:type="pct"/>
            <w:tcBorders>
              <w:top w:val="single" w:sz="4" w:space="0" w:color="auto"/>
              <w:bottom w:val="single" w:sz="4" w:space="0" w:color="auto"/>
            </w:tcBorders>
          </w:tcPr>
          <w:p w14:paraId="72FFA93B" w14:textId="77777777" w:rsidR="006A2074" w:rsidRPr="00616B26" w:rsidRDefault="006A2074" w:rsidP="00F36942">
            <w:pPr>
              <w:pStyle w:val="Tabletext"/>
              <w:rPr>
                <w:snapToGrid w:val="0"/>
              </w:rPr>
            </w:pPr>
            <w:r w:rsidRPr="00616B26">
              <w:rPr>
                <w:snapToGrid w:val="0"/>
              </w:rPr>
              <w:t>73</w:t>
            </w:r>
          </w:p>
        </w:tc>
        <w:tc>
          <w:tcPr>
            <w:tcW w:w="966" w:type="pct"/>
            <w:tcBorders>
              <w:top w:val="single" w:sz="4" w:space="0" w:color="auto"/>
              <w:bottom w:val="single" w:sz="4" w:space="0" w:color="auto"/>
            </w:tcBorders>
            <w:vAlign w:val="bottom"/>
          </w:tcPr>
          <w:p w14:paraId="550C337E" w14:textId="77777777" w:rsidR="006A2074" w:rsidRPr="00C971C6" w:rsidRDefault="006A2074" w:rsidP="00F36942">
            <w:pPr>
              <w:pStyle w:val="Tabletext"/>
              <w:rPr>
                <w:snapToGrid w:val="0"/>
              </w:rPr>
            </w:pPr>
            <w:r w:rsidRPr="00295986">
              <w:t>11</w:t>
            </w:r>
            <w:r w:rsidR="00D7157D">
              <w:t>.</w:t>
            </w:r>
            <w:r w:rsidRPr="00295986">
              <w:t>9272</w:t>
            </w:r>
          </w:p>
        </w:tc>
        <w:tc>
          <w:tcPr>
            <w:tcW w:w="966" w:type="pct"/>
            <w:tcBorders>
              <w:top w:val="single" w:sz="4" w:space="0" w:color="auto"/>
              <w:bottom w:val="single" w:sz="4" w:space="0" w:color="auto"/>
            </w:tcBorders>
            <w:vAlign w:val="bottom"/>
          </w:tcPr>
          <w:p w14:paraId="50205ABD" w14:textId="77777777" w:rsidR="006A2074" w:rsidRPr="00C971C6" w:rsidRDefault="006A2074" w:rsidP="00F36942">
            <w:pPr>
              <w:pStyle w:val="Tabletext"/>
              <w:rPr>
                <w:snapToGrid w:val="0"/>
              </w:rPr>
            </w:pPr>
            <w:r w:rsidRPr="00295986">
              <w:t>0</w:t>
            </w:r>
            <w:r w:rsidR="00D7157D">
              <w:t>.</w:t>
            </w:r>
            <w:r w:rsidRPr="00295986">
              <w:t>4564</w:t>
            </w:r>
          </w:p>
        </w:tc>
        <w:tc>
          <w:tcPr>
            <w:tcW w:w="966" w:type="pct"/>
            <w:tcBorders>
              <w:top w:val="single" w:sz="4" w:space="0" w:color="auto"/>
              <w:bottom w:val="single" w:sz="4" w:space="0" w:color="auto"/>
            </w:tcBorders>
            <w:vAlign w:val="bottom"/>
          </w:tcPr>
          <w:p w14:paraId="0445E911" w14:textId="77777777" w:rsidR="006A2074" w:rsidRPr="00C971C6" w:rsidRDefault="006A2074" w:rsidP="00F36942">
            <w:pPr>
              <w:pStyle w:val="Tabletext"/>
              <w:rPr>
                <w:snapToGrid w:val="0"/>
              </w:rPr>
            </w:pPr>
            <w:r w:rsidRPr="00295986">
              <w:t>13</w:t>
            </w:r>
            <w:r w:rsidR="00D7157D">
              <w:t>.</w:t>
            </w:r>
            <w:r w:rsidRPr="00295986">
              <w:t>0310</w:t>
            </w:r>
          </w:p>
        </w:tc>
        <w:tc>
          <w:tcPr>
            <w:tcW w:w="966" w:type="pct"/>
            <w:tcBorders>
              <w:top w:val="single" w:sz="4" w:space="0" w:color="auto"/>
              <w:bottom w:val="single" w:sz="4" w:space="0" w:color="auto"/>
            </w:tcBorders>
            <w:vAlign w:val="bottom"/>
          </w:tcPr>
          <w:p w14:paraId="090AF3F1" w14:textId="77777777" w:rsidR="006A2074" w:rsidRPr="00C971C6" w:rsidRDefault="006A2074" w:rsidP="00F36942">
            <w:pPr>
              <w:pStyle w:val="Tabletext"/>
              <w:rPr>
                <w:snapToGrid w:val="0"/>
              </w:rPr>
            </w:pPr>
            <w:r w:rsidRPr="00295986">
              <w:t>0</w:t>
            </w:r>
            <w:r w:rsidR="00D7157D">
              <w:t>.</w:t>
            </w:r>
            <w:r w:rsidRPr="00295986">
              <w:t>1164</w:t>
            </w:r>
          </w:p>
        </w:tc>
      </w:tr>
      <w:tr w:rsidR="006A2074" w:rsidRPr="009E2595" w14:paraId="45A8AE4F" w14:textId="77777777" w:rsidTr="00F36942">
        <w:trPr>
          <w:cantSplit/>
        </w:trPr>
        <w:tc>
          <w:tcPr>
            <w:tcW w:w="1136" w:type="pct"/>
            <w:tcBorders>
              <w:top w:val="single" w:sz="4" w:space="0" w:color="auto"/>
              <w:bottom w:val="single" w:sz="4" w:space="0" w:color="auto"/>
            </w:tcBorders>
          </w:tcPr>
          <w:p w14:paraId="35E6C0B1" w14:textId="77777777" w:rsidR="006A2074" w:rsidRPr="00616B26" w:rsidRDefault="006A2074" w:rsidP="00F36942">
            <w:pPr>
              <w:pStyle w:val="Tabletext"/>
              <w:rPr>
                <w:snapToGrid w:val="0"/>
              </w:rPr>
            </w:pPr>
            <w:r w:rsidRPr="00616B26">
              <w:rPr>
                <w:snapToGrid w:val="0"/>
              </w:rPr>
              <w:t>74</w:t>
            </w:r>
          </w:p>
        </w:tc>
        <w:tc>
          <w:tcPr>
            <w:tcW w:w="966" w:type="pct"/>
            <w:tcBorders>
              <w:top w:val="single" w:sz="4" w:space="0" w:color="auto"/>
              <w:bottom w:val="single" w:sz="4" w:space="0" w:color="auto"/>
            </w:tcBorders>
            <w:vAlign w:val="bottom"/>
          </w:tcPr>
          <w:p w14:paraId="707B1439" w14:textId="77777777" w:rsidR="006A2074" w:rsidRPr="00C971C6" w:rsidRDefault="006A2074" w:rsidP="00F36942">
            <w:pPr>
              <w:pStyle w:val="Tabletext"/>
              <w:rPr>
                <w:snapToGrid w:val="0"/>
              </w:rPr>
            </w:pPr>
            <w:r w:rsidRPr="00295986">
              <w:t>11</w:t>
            </w:r>
            <w:r w:rsidR="00D7157D">
              <w:t>.</w:t>
            </w:r>
            <w:r w:rsidRPr="00295986">
              <w:t>4278</w:t>
            </w:r>
          </w:p>
        </w:tc>
        <w:tc>
          <w:tcPr>
            <w:tcW w:w="966" w:type="pct"/>
            <w:tcBorders>
              <w:top w:val="single" w:sz="4" w:space="0" w:color="auto"/>
              <w:bottom w:val="single" w:sz="4" w:space="0" w:color="auto"/>
            </w:tcBorders>
            <w:vAlign w:val="bottom"/>
          </w:tcPr>
          <w:p w14:paraId="3CC3CB50" w14:textId="77777777" w:rsidR="006A2074" w:rsidRPr="00C971C6" w:rsidRDefault="006A2074" w:rsidP="00F36942">
            <w:pPr>
              <w:pStyle w:val="Tabletext"/>
              <w:rPr>
                <w:snapToGrid w:val="0"/>
              </w:rPr>
            </w:pPr>
            <w:r w:rsidRPr="00295986">
              <w:t>0</w:t>
            </w:r>
            <w:r w:rsidR="00D7157D">
              <w:t>.</w:t>
            </w:r>
            <w:r w:rsidRPr="00295986">
              <w:t>4629</w:t>
            </w:r>
          </w:p>
        </w:tc>
        <w:tc>
          <w:tcPr>
            <w:tcW w:w="966" w:type="pct"/>
            <w:tcBorders>
              <w:top w:val="single" w:sz="4" w:space="0" w:color="auto"/>
              <w:bottom w:val="single" w:sz="4" w:space="0" w:color="auto"/>
            </w:tcBorders>
            <w:vAlign w:val="bottom"/>
          </w:tcPr>
          <w:p w14:paraId="3E5B9899" w14:textId="77777777" w:rsidR="006A2074" w:rsidRPr="00C971C6" w:rsidRDefault="006A2074" w:rsidP="00F36942">
            <w:pPr>
              <w:pStyle w:val="Tabletext"/>
              <w:rPr>
                <w:snapToGrid w:val="0"/>
              </w:rPr>
            </w:pPr>
            <w:r w:rsidRPr="00295986">
              <w:t>12</w:t>
            </w:r>
            <w:r w:rsidR="00D7157D">
              <w:t>.</w:t>
            </w:r>
            <w:r w:rsidRPr="00295986">
              <w:t>5440</w:t>
            </w:r>
          </w:p>
        </w:tc>
        <w:tc>
          <w:tcPr>
            <w:tcW w:w="966" w:type="pct"/>
            <w:tcBorders>
              <w:top w:val="single" w:sz="4" w:space="0" w:color="auto"/>
              <w:bottom w:val="single" w:sz="4" w:space="0" w:color="auto"/>
            </w:tcBorders>
            <w:vAlign w:val="bottom"/>
          </w:tcPr>
          <w:p w14:paraId="5AFA0BEF" w14:textId="77777777" w:rsidR="006A2074" w:rsidRPr="00C971C6" w:rsidRDefault="006A2074" w:rsidP="00F36942">
            <w:pPr>
              <w:pStyle w:val="Tabletext"/>
              <w:rPr>
                <w:snapToGrid w:val="0"/>
              </w:rPr>
            </w:pPr>
            <w:r w:rsidRPr="00295986">
              <w:t>0</w:t>
            </w:r>
            <w:r w:rsidR="00D7157D">
              <w:t>.</w:t>
            </w:r>
            <w:r w:rsidRPr="00295986">
              <w:t>1178</w:t>
            </w:r>
          </w:p>
        </w:tc>
      </w:tr>
      <w:tr w:rsidR="006A2074" w:rsidRPr="009E2595" w14:paraId="72CA93B3" w14:textId="77777777" w:rsidTr="00F36942">
        <w:trPr>
          <w:cantSplit/>
        </w:trPr>
        <w:tc>
          <w:tcPr>
            <w:tcW w:w="1136" w:type="pct"/>
            <w:tcBorders>
              <w:top w:val="single" w:sz="4" w:space="0" w:color="auto"/>
              <w:bottom w:val="single" w:sz="4" w:space="0" w:color="auto"/>
            </w:tcBorders>
          </w:tcPr>
          <w:p w14:paraId="7333E869" w14:textId="77777777" w:rsidR="006A2074" w:rsidRPr="00616B26" w:rsidRDefault="006A2074" w:rsidP="00F36942">
            <w:pPr>
              <w:pStyle w:val="Tabletext"/>
              <w:rPr>
                <w:snapToGrid w:val="0"/>
              </w:rPr>
            </w:pPr>
            <w:r w:rsidRPr="00616B26">
              <w:rPr>
                <w:snapToGrid w:val="0"/>
              </w:rPr>
              <w:t>75</w:t>
            </w:r>
          </w:p>
        </w:tc>
        <w:tc>
          <w:tcPr>
            <w:tcW w:w="966" w:type="pct"/>
            <w:tcBorders>
              <w:top w:val="single" w:sz="4" w:space="0" w:color="auto"/>
              <w:bottom w:val="single" w:sz="4" w:space="0" w:color="auto"/>
            </w:tcBorders>
            <w:vAlign w:val="bottom"/>
          </w:tcPr>
          <w:p w14:paraId="2967EA93" w14:textId="77777777" w:rsidR="006A2074" w:rsidRPr="00C971C6" w:rsidRDefault="006A2074" w:rsidP="00F36942">
            <w:pPr>
              <w:pStyle w:val="Tabletext"/>
              <w:rPr>
                <w:snapToGrid w:val="0"/>
              </w:rPr>
            </w:pPr>
            <w:r w:rsidRPr="00295986">
              <w:t>10</w:t>
            </w:r>
            <w:r w:rsidR="00D7157D">
              <w:t>.</w:t>
            </w:r>
            <w:r w:rsidRPr="00295986">
              <w:t>9236</w:t>
            </w:r>
          </w:p>
        </w:tc>
        <w:tc>
          <w:tcPr>
            <w:tcW w:w="966" w:type="pct"/>
            <w:tcBorders>
              <w:top w:val="single" w:sz="4" w:space="0" w:color="auto"/>
              <w:bottom w:val="single" w:sz="4" w:space="0" w:color="auto"/>
            </w:tcBorders>
            <w:vAlign w:val="bottom"/>
          </w:tcPr>
          <w:p w14:paraId="129EC892" w14:textId="77777777" w:rsidR="006A2074" w:rsidRPr="00C971C6" w:rsidRDefault="006A2074" w:rsidP="00F36942">
            <w:pPr>
              <w:pStyle w:val="Tabletext"/>
              <w:rPr>
                <w:snapToGrid w:val="0"/>
              </w:rPr>
            </w:pPr>
            <w:r w:rsidRPr="00295986">
              <w:t>0</w:t>
            </w:r>
            <w:r w:rsidR="00D7157D">
              <w:t>.</w:t>
            </w:r>
            <w:r w:rsidRPr="00295986">
              <w:t>4686</w:t>
            </w:r>
          </w:p>
        </w:tc>
        <w:tc>
          <w:tcPr>
            <w:tcW w:w="966" w:type="pct"/>
            <w:tcBorders>
              <w:top w:val="single" w:sz="4" w:space="0" w:color="auto"/>
              <w:bottom w:val="single" w:sz="4" w:space="0" w:color="auto"/>
            </w:tcBorders>
            <w:vAlign w:val="bottom"/>
          </w:tcPr>
          <w:p w14:paraId="7081413C" w14:textId="77777777" w:rsidR="006A2074" w:rsidRPr="00C971C6" w:rsidRDefault="006A2074" w:rsidP="00F36942">
            <w:pPr>
              <w:pStyle w:val="Tabletext"/>
              <w:rPr>
                <w:snapToGrid w:val="0"/>
              </w:rPr>
            </w:pPr>
            <w:r w:rsidRPr="00295986">
              <w:t>12</w:t>
            </w:r>
            <w:r w:rsidR="00D7157D">
              <w:t>.</w:t>
            </w:r>
            <w:r w:rsidRPr="00295986">
              <w:t>0490</w:t>
            </w:r>
          </w:p>
        </w:tc>
        <w:tc>
          <w:tcPr>
            <w:tcW w:w="966" w:type="pct"/>
            <w:tcBorders>
              <w:top w:val="single" w:sz="4" w:space="0" w:color="auto"/>
              <w:bottom w:val="single" w:sz="4" w:space="0" w:color="auto"/>
            </w:tcBorders>
            <w:vAlign w:val="bottom"/>
          </w:tcPr>
          <w:p w14:paraId="29B07D7B" w14:textId="77777777" w:rsidR="006A2074" w:rsidRPr="00C971C6" w:rsidRDefault="006A2074" w:rsidP="00F36942">
            <w:pPr>
              <w:pStyle w:val="Tabletext"/>
              <w:rPr>
                <w:snapToGrid w:val="0"/>
              </w:rPr>
            </w:pPr>
            <w:r w:rsidRPr="00295986">
              <w:t>0</w:t>
            </w:r>
            <w:r w:rsidR="00D7157D">
              <w:t>.</w:t>
            </w:r>
            <w:r w:rsidRPr="00295986">
              <w:t>1190</w:t>
            </w:r>
          </w:p>
        </w:tc>
      </w:tr>
      <w:tr w:rsidR="006A2074" w:rsidRPr="009E2595" w14:paraId="3A3680DC" w14:textId="77777777" w:rsidTr="00F36942">
        <w:trPr>
          <w:cantSplit/>
        </w:trPr>
        <w:tc>
          <w:tcPr>
            <w:tcW w:w="1136" w:type="pct"/>
            <w:tcBorders>
              <w:top w:val="single" w:sz="4" w:space="0" w:color="auto"/>
              <w:bottom w:val="single" w:sz="4" w:space="0" w:color="auto"/>
            </w:tcBorders>
          </w:tcPr>
          <w:p w14:paraId="609126D2" w14:textId="77777777" w:rsidR="006A2074" w:rsidRPr="00616B26" w:rsidRDefault="006A2074" w:rsidP="00F36942">
            <w:pPr>
              <w:pStyle w:val="Tabletext"/>
              <w:rPr>
                <w:snapToGrid w:val="0"/>
              </w:rPr>
            </w:pPr>
            <w:r w:rsidRPr="00616B26">
              <w:rPr>
                <w:snapToGrid w:val="0"/>
              </w:rPr>
              <w:t>76</w:t>
            </w:r>
          </w:p>
        </w:tc>
        <w:tc>
          <w:tcPr>
            <w:tcW w:w="966" w:type="pct"/>
            <w:tcBorders>
              <w:top w:val="single" w:sz="4" w:space="0" w:color="auto"/>
              <w:bottom w:val="single" w:sz="4" w:space="0" w:color="auto"/>
            </w:tcBorders>
            <w:vAlign w:val="bottom"/>
          </w:tcPr>
          <w:p w14:paraId="3B8B3C9A" w14:textId="77777777" w:rsidR="006A2074" w:rsidRPr="00C971C6" w:rsidRDefault="006A2074" w:rsidP="00F36942">
            <w:pPr>
              <w:pStyle w:val="Tabletext"/>
              <w:rPr>
                <w:snapToGrid w:val="0"/>
              </w:rPr>
            </w:pPr>
            <w:r w:rsidRPr="00295986">
              <w:t>10</w:t>
            </w:r>
            <w:r w:rsidR="00D7157D">
              <w:t>.</w:t>
            </w:r>
            <w:r w:rsidRPr="00295986">
              <w:t>4157</w:t>
            </w:r>
          </w:p>
        </w:tc>
        <w:tc>
          <w:tcPr>
            <w:tcW w:w="966" w:type="pct"/>
            <w:tcBorders>
              <w:top w:val="single" w:sz="4" w:space="0" w:color="auto"/>
              <w:bottom w:val="single" w:sz="4" w:space="0" w:color="auto"/>
            </w:tcBorders>
            <w:vAlign w:val="bottom"/>
          </w:tcPr>
          <w:p w14:paraId="67A0B284" w14:textId="77777777" w:rsidR="006A2074" w:rsidRPr="00C971C6" w:rsidRDefault="006A2074" w:rsidP="00F36942">
            <w:pPr>
              <w:pStyle w:val="Tabletext"/>
              <w:rPr>
                <w:snapToGrid w:val="0"/>
              </w:rPr>
            </w:pPr>
            <w:r w:rsidRPr="00295986">
              <w:t>0</w:t>
            </w:r>
            <w:r w:rsidR="00D7157D">
              <w:t>.</w:t>
            </w:r>
            <w:r w:rsidRPr="00295986">
              <w:t>4736</w:t>
            </w:r>
          </w:p>
        </w:tc>
        <w:tc>
          <w:tcPr>
            <w:tcW w:w="966" w:type="pct"/>
            <w:tcBorders>
              <w:top w:val="single" w:sz="4" w:space="0" w:color="auto"/>
              <w:bottom w:val="single" w:sz="4" w:space="0" w:color="auto"/>
            </w:tcBorders>
            <w:vAlign w:val="bottom"/>
          </w:tcPr>
          <w:p w14:paraId="1AED523D" w14:textId="77777777" w:rsidR="006A2074" w:rsidRPr="00C971C6" w:rsidRDefault="006A2074" w:rsidP="00F36942">
            <w:pPr>
              <w:pStyle w:val="Tabletext"/>
              <w:rPr>
                <w:snapToGrid w:val="0"/>
              </w:rPr>
            </w:pPr>
            <w:r w:rsidRPr="00295986">
              <w:t>11</w:t>
            </w:r>
            <w:r w:rsidR="00D7157D">
              <w:t>.</w:t>
            </w:r>
            <w:r w:rsidRPr="00295986">
              <w:t>5448</w:t>
            </w:r>
          </w:p>
        </w:tc>
        <w:tc>
          <w:tcPr>
            <w:tcW w:w="966" w:type="pct"/>
            <w:tcBorders>
              <w:top w:val="single" w:sz="4" w:space="0" w:color="auto"/>
              <w:bottom w:val="single" w:sz="4" w:space="0" w:color="auto"/>
            </w:tcBorders>
            <w:vAlign w:val="bottom"/>
          </w:tcPr>
          <w:p w14:paraId="1D78B14C" w14:textId="77777777" w:rsidR="006A2074" w:rsidRPr="00C971C6" w:rsidRDefault="006A2074" w:rsidP="00F36942">
            <w:pPr>
              <w:pStyle w:val="Tabletext"/>
              <w:rPr>
                <w:snapToGrid w:val="0"/>
              </w:rPr>
            </w:pPr>
            <w:r w:rsidRPr="00295986">
              <w:t>0</w:t>
            </w:r>
            <w:r w:rsidR="00D7157D">
              <w:t>.</w:t>
            </w:r>
            <w:r w:rsidRPr="00295986">
              <w:t>1201</w:t>
            </w:r>
          </w:p>
        </w:tc>
      </w:tr>
      <w:tr w:rsidR="006A2074" w:rsidRPr="009E2595" w14:paraId="3305C994" w14:textId="77777777" w:rsidTr="00F36942">
        <w:trPr>
          <w:cantSplit/>
        </w:trPr>
        <w:tc>
          <w:tcPr>
            <w:tcW w:w="1136" w:type="pct"/>
            <w:tcBorders>
              <w:top w:val="single" w:sz="4" w:space="0" w:color="auto"/>
              <w:bottom w:val="single" w:sz="4" w:space="0" w:color="auto"/>
            </w:tcBorders>
          </w:tcPr>
          <w:p w14:paraId="57FA4000" w14:textId="77777777" w:rsidR="006A2074" w:rsidRPr="00616B26" w:rsidRDefault="006A2074" w:rsidP="00F36942">
            <w:pPr>
              <w:pStyle w:val="Tabletext"/>
              <w:rPr>
                <w:snapToGrid w:val="0"/>
              </w:rPr>
            </w:pPr>
            <w:r w:rsidRPr="00616B26">
              <w:rPr>
                <w:snapToGrid w:val="0"/>
              </w:rPr>
              <w:t>77</w:t>
            </w:r>
          </w:p>
        </w:tc>
        <w:tc>
          <w:tcPr>
            <w:tcW w:w="966" w:type="pct"/>
            <w:tcBorders>
              <w:top w:val="single" w:sz="4" w:space="0" w:color="auto"/>
              <w:bottom w:val="single" w:sz="4" w:space="0" w:color="auto"/>
            </w:tcBorders>
            <w:vAlign w:val="bottom"/>
          </w:tcPr>
          <w:p w14:paraId="3676362A" w14:textId="77777777" w:rsidR="006A2074" w:rsidRPr="00C971C6" w:rsidRDefault="006A2074" w:rsidP="00F36942">
            <w:pPr>
              <w:pStyle w:val="Tabletext"/>
              <w:rPr>
                <w:snapToGrid w:val="0"/>
              </w:rPr>
            </w:pPr>
            <w:r w:rsidRPr="00295986">
              <w:t>9</w:t>
            </w:r>
            <w:r w:rsidR="00D7157D">
              <w:t>.</w:t>
            </w:r>
            <w:r w:rsidRPr="00295986">
              <w:t>9057</w:t>
            </w:r>
          </w:p>
        </w:tc>
        <w:tc>
          <w:tcPr>
            <w:tcW w:w="966" w:type="pct"/>
            <w:tcBorders>
              <w:top w:val="single" w:sz="4" w:space="0" w:color="auto"/>
              <w:bottom w:val="single" w:sz="4" w:space="0" w:color="auto"/>
            </w:tcBorders>
            <w:vAlign w:val="bottom"/>
          </w:tcPr>
          <w:p w14:paraId="7008ADE4" w14:textId="77777777" w:rsidR="006A2074" w:rsidRPr="00C971C6" w:rsidRDefault="006A2074" w:rsidP="00F36942">
            <w:pPr>
              <w:pStyle w:val="Tabletext"/>
              <w:rPr>
                <w:snapToGrid w:val="0"/>
              </w:rPr>
            </w:pPr>
            <w:r w:rsidRPr="00295986">
              <w:t>0</w:t>
            </w:r>
            <w:r w:rsidR="00D7157D">
              <w:t>.</w:t>
            </w:r>
            <w:r w:rsidRPr="00295986">
              <w:t>4776</w:t>
            </w:r>
          </w:p>
        </w:tc>
        <w:tc>
          <w:tcPr>
            <w:tcW w:w="966" w:type="pct"/>
            <w:tcBorders>
              <w:top w:val="single" w:sz="4" w:space="0" w:color="auto"/>
              <w:bottom w:val="single" w:sz="4" w:space="0" w:color="auto"/>
            </w:tcBorders>
            <w:vAlign w:val="bottom"/>
          </w:tcPr>
          <w:p w14:paraId="1803EC5B" w14:textId="77777777" w:rsidR="006A2074" w:rsidRPr="00C971C6" w:rsidRDefault="006A2074" w:rsidP="00F36942">
            <w:pPr>
              <w:pStyle w:val="Tabletext"/>
              <w:rPr>
                <w:snapToGrid w:val="0"/>
              </w:rPr>
            </w:pPr>
            <w:r w:rsidRPr="00295986">
              <w:t>11</w:t>
            </w:r>
            <w:r w:rsidR="00D7157D">
              <w:t>.</w:t>
            </w:r>
            <w:r w:rsidRPr="00295986">
              <w:t>0335</w:t>
            </w:r>
          </w:p>
        </w:tc>
        <w:tc>
          <w:tcPr>
            <w:tcW w:w="966" w:type="pct"/>
            <w:tcBorders>
              <w:top w:val="single" w:sz="4" w:space="0" w:color="auto"/>
              <w:bottom w:val="single" w:sz="4" w:space="0" w:color="auto"/>
            </w:tcBorders>
            <w:vAlign w:val="bottom"/>
          </w:tcPr>
          <w:p w14:paraId="698F2185" w14:textId="77777777" w:rsidR="006A2074" w:rsidRPr="00C971C6" w:rsidRDefault="006A2074" w:rsidP="00F36942">
            <w:pPr>
              <w:pStyle w:val="Tabletext"/>
              <w:rPr>
                <w:snapToGrid w:val="0"/>
              </w:rPr>
            </w:pPr>
            <w:r w:rsidRPr="00295986">
              <w:t>0</w:t>
            </w:r>
            <w:r w:rsidR="00D7157D">
              <w:t>.</w:t>
            </w:r>
            <w:r w:rsidRPr="00295986">
              <w:t>1210</w:t>
            </w:r>
          </w:p>
        </w:tc>
      </w:tr>
      <w:tr w:rsidR="006A2074" w:rsidRPr="009E2595" w14:paraId="577CA420" w14:textId="77777777" w:rsidTr="00F36942">
        <w:trPr>
          <w:cantSplit/>
        </w:trPr>
        <w:tc>
          <w:tcPr>
            <w:tcW w:w="1136" w:type="pct"/>
            <w:tcBorders>
              <w:top w:val="single" w:sz="4" w:space="0" w:color="auto"/>
              <w:bottom w:val="single" w:sz="4" w:space="0" w:color="auto"/>
            </w:tcBorders>
          </w:tcPr>
          <w:p w14:paraId="0012F994" w14:textId="77777777" w:rsidR="006A2074" w:rsidRPr="00616B26" w:rsidRDefault="006A2074" w:rsidP="00F36942">
            <w:pPr>
              <w:pStyle w:val="Tabletext"/>
              <w:rPr>
                <w:snapToGrid w:val="0"/>
              </w:rPr>
            </w:pPr>
            <w:r w:rsidRPr="00616B26">
              <w:rPr>
                <w:snapToGrid w:val="0"/>
              </w:rPr>
              <w:t>78</w:t>
            </w:r>
          </w:p>
        </w:tc>
        <w:tc>
          <w:tcPr>
            <w:tcW w:w="966" w:type="pct"/>
            <w:tcBorders>
              <w:top w:val="single" w:sz="4" w:space="0" w:color="auto"/>
              <w:bottom w:val="single" w:sz="4" w:space="0" w:color="auto"/>
            </w:tcBorders>
            <w:vAlign w:val="bottom"/>
          </w:tcPr>
          <w:p w14:paraId="72FD48D4" w14:textId="77777777" w:rsidR="006A2074" w:rsidRPr="00C971C6" w:rsidRDefault="006A2074" w:rsidP="00F36942">
            <w:pPr>
              <w:pStyle w:val="Tabletext"/>
              <w:rPr>
                <w:snapToGrid w:val="0"/>
              </w:rPr>
            </w:pPr>
            <w:r w:rsidRPr="00295986">
              <w:t>9</w:t>
            </w:r>
            <w:r w:rsidR="00D7157D">
              <w:t>.</w:t>
            </w:r>
            <w:r w:rsidRPr="00295986">
              <w:t>3952</w:t>
            </w:r>
          </w:p>
        </w:tc>
        <w:tc>
          <w:tcPr>
            <w:tcW w:w="966" w:type="pct"/>
            <w:tcBorders>
              <w:top w:val="single" w:sz="4" w:space="0" w:color="auto"/>
              <w:bottom w:val="single" w:sz="4" w:space="0" w:color="auto"/>
            </w:tcBorders>
            <w:vAlign w:val="bottom"/>
          </w:tcPr>
          <w:p w14:paraId="79DFD158" w14:textId="77777777" w:rsidR="006A2074" w:rsidRPr="00C971C6" w:rsidRDefault="006A2074" w:rsidP="00F36942">
            <w:pPr>
              <w:pStyle w:val="Tabletext"/>
              <w:rPr>
                <w:snapToGrid w:val="0"/>
              </w:rPr>
            </w:pPr>
            <w:r w:rsidRPr="00295986">
              <w:t>0</w:t>
            </w:r>
            <w:r w:rsidR="00D7157D">
              <w:t>.</w:t>
            </w:r>
            <w:r w:rsidRPr="00295986">
              <w:t>4806</w:t>
            </w:r>
          </w:p>
        </w:tc>
        <w:tc>
          <w:tcPr>
            <w:tcW w:w="966" w:type="pct"/>
            <w:tcBorders>
              <w:top w:val="single" w:sz="4" w:space="0" w:color="auto"/>
              <w:bottom w:val="single" w:sz="4" w:space="0" w:color="auto"/>
            </w:tcBorders>
            <w:vAlign w:val="bottom"/>
          </w:tcPr>
          <w:p w14:paraId="1A6F0CD7" w14:textId="77777777" w:rsidR="006A2074" w:rsidRPr="00C971C6" w:rsidRDefault="006A2074" w:rsidP="00F36942">
            <w:pPr>
              <w:pStyle w:val="Tabletext"/>
              <w:rPr>
                <w:snapToGrid w:val="0"/>
              </w:rPr>
            </w:pPr>
            <w:r w:rsidRPr="00295986">
              <w:t>10</w:t>
            </w:r>
            <w:r w:rsidR="00D7157D">
              <w:t>.</w:t>
            </w:r>
            <w:r w:rsidRPr="00295986">
              <w:t>5174</w:t>
            </w:r>
          </w:p>
        </w:tc>
        <w:tc>
          <w:tcPr>
            <w:tcW w:w="966" w:type="pct"/>
            <w:tcBorders>
              <w:top w:val="single" w:sz="4" w:space="0" w:color="auto"/>
              <w:bottom w:val="single" w:sz="4" w:space="0" w:color="auto"/>
            </w:tcBorders>
            <w:vAlign w:val="bottom"/>
          </w:tcPr>
          <w:p w14:paraId="314C4EED" w14:textId="77777777" w:rsidR="006A2074" w:rsidRPr="00C971C6" w:rsidRDefault="006A2074" w:rsidP="00F36942">
            <w:pPr>
              <w:pStyle w:val="Tabletext"/>
              <w:rPr>
                <w:snapToGrid w:val="0"/>
              </w:rPr>
            </w:pPr>
            <w:r w:rsidRPr="00295986">
              <w:t>0</w:t>
            </w:r>
            <w:r w:rsidR="00D7157D">
              <w:t>.</w:t>
            </w:r>
            <w:r w:rsidRPr="00295986">
              <w:t>1218</w:t>
            </w:r>
          </w:p>
        </w:tc>
      </w:tr>
      <w:tr w:rsidR="006A2074" w:rsidRPr="009E2595" w14:paraId="52C93A17" w14:textId="77777777" w:rsidTr="00F36942">
        <w:trPr>
          <w:cantSplit/>
        </w:trPr>
        <w:tc>
          <w:tcPr>
            <w:tcW w:w="1136" w:type="pct"/>
            <w:tcBorders>
              <w:top w:val="single" w:sz="4" w:space="0" w:color="auto"/>
              <w:bottom w:val="single" w:sz="4" w:space="0" w:color="auto"/>
            </w:tcBorders>
          </w:tcPr>
          <w:p w14:paraId="63B14B25" w14:textId="77777777" w:rsidR="006A2074" w:rsidRPr="00616B26" w:rsidRDefault="006A2074" w:rsidP="00F36942">
            <w:pPr>
              <w:pStyle w:val="Tabletext"/>
              <w:rPr>
                <w:snapToGrid w:val="0"/>
              </w:rPr>
            </w:pPr>
            <w:r w:rsidRPr="00616B26">
              <w:rPr>
                <w:snapToGrid w:val="0"/>
              </w:rPr>
              <w:t>79</w:t>
            </w:r>
          </w:p>
        </w:tc>
        <w:tc>
          <w:tcPr>
            <w:tcW w:w="966" w:type="pct"/>
            <w:tcBorders>
              <w:top w:val="single" w:sz="4" w:space="0" w:color="auto"/>
              <w:bottom w:val="single" w:sz="4" w:space="0" w:color="auto"/>
            </w:tcBorders>
            <w:vAlign w:val="bottom"/>
          </w:tcPr>
          <w:p w14:paraId="239CBD62" w14:textId="77777777" w:rsidR="006A2074" w:rsidRPr="00C971C6" w:rsidRDefault="006A2074" w:rsidP="00F36942">
            <w:pPr>
              <w:pStyle w:val="Tabletext"/>
              <w:rPr>
                <w:snapToGrid w:val="0"/>
              </w:rPr>
            </w:pPr>
            <w:r w:rsidRPr="00295986">
              <w:t>8</w:t>
            </w:r>
            <w:r w:rsidR="00D7157D">
              <w:t>.</w:t>
            </w:r>
            <w:r w:rsidRPr="00295986">
              <w:t>8884</w:t>
            </w:r>
          </w:p>
        </w:tc>
        <w:tc>
          <w:tcPr>
            <w:tcW w:w="966" w:type="pct"/>
            <w:tcBorders>
              <w:top w:val="single" w:sz="4" w:space="0" w:color="auto"/>
              <w:bottom w:val="single" w:sz="4" w:space="0" w:color="auto"/>
            </w:tcBorders>
            <w:vAlign w:val="bottom"/>
          </w:tcPr>
          <w:p w14:paraId="4F1A2481" w14:textId="77777777" w:rsidR="006A2074" w:rsidRPr="00C971C6" w:rsidRDefault="006A2074" w:rsidP="00F36942">
            <w:pPr>
              <w:pStyle w:val="Tabletext"/>
              <w:rPr>
                <w:snapToGrid w:val="0"/>
              </w:rPr>
            </w:pPr>
            <w:r w:rsidRPr="00295986">
              <w:t>0</w:t>
            </w:r>
            <w:r w:rsidR="00D7157D">
              <w:t>.</w:t>
            </w:r>
            <w:r w:rsidRPr="00295986">
              <w:t>4822</w:t>
            </w:r>
          </w:p>
        </w:tc>
        <w:tc>
          <w:tcPr>
            <w:tcW w:w="966" w:type="pct"/>
            <w:tcBorders>
              <w:top w:val="single" w:sz="4" w:space="0" w:color="auto"/>
              <w:bottom w:val="single" w:sz="4" w:space="0" w:color="auto"/>
            </w:tcBorders>
            <w:vAlign w:val="bottom"/>
          </w:tcPr>
          <w:p w14:paraId="38F742C7" w14:textId="77777777" w:rsidR="006A2074" w:rsidRPr="00C971C6" w:rsidRDefault="006A2074" w:rsidP="00F36942">
            <w:pPr>
              <w:pStyle w:val="Tabletext"/>
              <w:rPr>
                <w:snapToGrid w:val="0"/>
              </w:rPr>
            </w:pPr>
            <w:r w:rsidRPr="00295986">
              <w:t>10</w:t>
            </w:r>
            <w:r w:rsidR="00D7157D">
              <w:t>.</w:t>
            </w:r>
            <w:r w:rsidRPr="00295986">
              <w:t>0000</w:t>
            </w:r>
          </w:p>
        </w:tc>
        <w:tc>
          <w:tcPr>
            <w:tcW w:w="966" w:type="pct"/>
            <w:tcBorders>
              <w:top w:val="single" w:sz="4" w:space="0" w:color="auto"/>
              <w:bottom w:val="single" w:sz="4" w:space="0" w:color="auto"/>
            </w:tcBorders>
            <w:vAlign w:val="bottom"/>
          </w:tcPr>
          <w:p w14:paraId="00C9A4F0" w14:textId="77777777" w:rsidR="006A2074" w:rsidRPr="00C971C6" w:rsidRDefault="006A2074" w:rsidP="00F36942">
            <w:pPr>
              <w:pStyle w:val="Tabletext"/>
              <w:rPr>
                <w:snapToGrid w:val="0"/>
              </w:rPr>
            </w:pPr>
            <w:r w:rsidRPr="00295986">
              <w:t>0</w:t>
            </w:r>
            <w:r w:rsidR="00D7157D">
              <w:t>.</w:t>
            </w:r>
            <w:r w:rsidRPr="00295986">
              <w:t>1223</w:t>
            </w:r>
          </w:p>
        </w:tc>
      </w:tr>
      <w:tr w:rsidR="006A2074" w:rsidRPr="009E2595" w14:paraId="6CE534E1" w14:textId="77777777" w:rsidTr="00F36942">
        <w:trPr>
          <w:cantSplit/>
        </w:trPr>
        <w:tc>
          <w:tcPr>
            <w:tcW w:w="1136" w:type="pct"/>
            <w:tcBorders>
              <w:top w:val="single" w:sz="4" w:space="0" w:color="auto"/>
              <w:bottom w:val="single" w:sz="4" w:space="0" w:color="auto"/>
            </w:tcBorders>
          </w:tcPr>
          <w:p w14:paraId="0CC67953" w14:textId="77777777" w:rsidR="006A2074" w:rsidRPr="00616B26" w:rsidRDefault="006A2074" w:rsidP="00F36942">
            <w:pPr>
              <w:pStyle w:val="Tabletext"/>
              <w:rPr>
                <w:snapToGrid w:val="0"/>
              </w:rPr>
            </w:pPr>
            <w:r w:rsidRPr="00616B26">
              <w:rPr>
                <w:snapToGrid w:val="0"/>
              </w:rPr>
              <w:t>80</w:t>
            </w:r>
          </w:p>
        </w:tc>
        <w:tc>
          <w:tcPr>
            <w:tcW w:w="966" w:type="pct"/>
            <w:tcBorders>
              <w:top w:val="single" w:sz="4" w:space="0" w:color="auto"/>
              <w:bottom w:val="single" w:sz="4" w:space="0" w:color="auto"/>
            </w:tcBorders>
            <w:vAlign w:val="bottom"/>
          </w:tcPr>
          <w:p w14:paraId="3529127C" w14:textId="77777777" w:rsidR="006A2074" w:rsidRPr="00C971C6" w:rsidRDefault="006A2074" w:rsidP="00F36942">
            <w:pPr>
              <w:pStyle w:val="Tabletext"/>
              <w:rPr>
                <w:snapToGrid w:val="0"/>
              </w:rPr>
            </w:pPr>
            <w:r w:rsidRPr="00295986">
              <w:t>8</w:t>
            </w:r>
            <w:r w:rsidR="00D7157D">
              <w:t>.</w:t>
            </w:r>
            <w:r w:rsidRPr="00295986">
              <w:t>3879</w:t>
            </w:r>
          </w:p>
        </w:tc>
        <w:tc>
          <w:tcPr>
            <w:tcW w:w="966" w:type="pct"/>
            <w:tcBorders>
              <w:top w:val="single" w:sz="4" w:space="0" w:color="auto"/>
              <w:bottom w:val="single" w:sz="4" w:space="0" w:color="auto"/>
            </w:tcBorders>
            <w:vAlign w:val="bottom"/>
          </w:tcPr>
          <w:p w14:paraId="03B6F4C5" w14:textId="77777777" w:rsidR="006A2074" w:rsidRPr="00C971C6" w:rsidRDefault="006A2074" w:rsidP="00F36942">
            <w:pPr>
              <w:pStyle w:val="Tabletext"/>
              <w:rPr>
                <w:snapToGrid w:val="0"/>
              </w:rPr>
            </w:pPr>
            <w:r w:rsidRPr="00295986">
              <w:t>0</w:t>
            </w:r>
            <w:r w:rsidR="00D7157D">
              <w:t>.</w:t>
            </w:r>
            <w:r w:rsidRPr="00295986">
              <w:t>4824</w:t>
            </w:r>
          </w:p>
        </w:tc>
        <w:tc>
          <w:tcPr>
            <w:tcW w:w="966" w:type="pct"/>
            <w:tcBorders>
              <w:top w:val="single" w:sz="4" w:space="0" w:color="auto"/>
              <w:bottom w:val="single" w:sz="4" w:space="0" w:color="auto"/>
            </w:tcBorders>
            <w:vAlign w:val="bottom"/>
          </w:tcPr>
          <w:p w14:paraId="1CD8D541" w14:textId="77777777" w:rsidR="006A2074" w:rsidRPr="00C971C6" w:rsidRDefault="006A2074" w:rsidP="00F36942">
            <w:pPr>
              <w:pStyle w:val="Tabletext"/>
              <w:rPr>
                <w:snapToGrid w:val="0"/>
              </w:rPr>
            </w:pPr>
            <w:r w:rsidRPr="00295986">
              <w:t>9</w:t>
            </w:r>
            <w:r w:rsidR="00D7157D">
              <w:t>.</w:t>
            </w:r>
            <w:r w:rsidRPr="00295986">
              <w:t>4838</w:t>
            </w:r>
          </w:p>
        </w:tc>
        <w:tc>
          <w:tcPr>
            <w:tcW w:w="966" w:type="pct"/>
            <w:tcBorders>
              <w:top w:val="single" w:sz="4" w:space="0" w:color="auto"/>
              <w:bottom w:val="single" w:sz="4" w:space="0" w:color="auto"/>
            </w:tcBorders>
            <w:vAlign w:val="bottom"/>
          </w:tcPr>
          <w:p w14:paraId="4579CE1E" w14:textId="77777777" w:rsidR="006A2074" w:rsidRPr="00C971C6" w:rsidRDefault="006A2074" w:rsidP="00F36942">
            <w:pPr>
              <w:pStyle w:val="Tabletext"/>
              <w:rPr>
                <w:snapToGrid w:val="0"/>
              </w:rPr>
            </w:pPr>
            <w:r w:rsidRPr="00295986">
              <w:t>0</w:t>
            </w:r>
            <w:r w:rsidR="00D7157D">
              <w:t>.</w:t>
            </w:r>
            <w:r w:rsidRPr="00295986">
              <w:t>1225</w:t>
            </w:r>
          </w:p>
        </w:tc>
      </w:tr>
      <w:tr w:rsidR="006A2074" w:rsidRPr="009E2595" w14:paraId="31946905" w14:textId="77777777" w:rsidTr="00F36942">
        <w:trPr>
          <w:cantSplit/>
        </w:trPr>
        <w:tc>
          <w:tcPr>
            <w:tcW w:w="1136" w:type="pct"/>
            <w:tcBorders>
              <w:top w:val="single" w:sz="4" w:space="0" w:color="auto"/>
              <w:bottom w:val="single" w:sz="4" w:space="0" w:color="auto"/>
            </w:tcBorders>
          </w:tcPr>
          <w:p w14:paraId="302A8FBB" w14:textId="77777777" w:rsidR="006A2074" w:rsidRPr="00616B26" w:rsidRDefault="006A2074" w:rsidP="00F36942">
            <w:pPr>
              <w:pStyle w:val="Tabletext"/>
              <w:rPr>
                <w:snapToGrid w:val="0"/>
              </w:rPr>
            </w:pPr>
            <w:r w:rsidRPr="00616B26">
              <w:rPr>
                <w:snapToGrid w:val="0"/>
              </w:rPr>
              <w:t>81</w:t>
            </w:r>
          </w:p>
        </w:tc>
        <w:tc>
          <w:tcPr>
            <w:tcW w:w="966" w:type="pct"/>
            <w:tcBorders>
              <w:top w:val="single" w:sz="4" w:space="0" w:color="auto"/>
              <w:bottom w:val="single" w:sz="4" w:space="0" w:color="auto"/>
            </w:tcBorders>
            <w:vAlign w:val="bottom"/>
          </w:tcPr>
          <w:p w14:paraId="6BD8B34D" w14:textId="77777777" w:rsidR="006A2074" w:rsidRPr="00C971C6" w:rsidRDefault="006A2074" w:rsidP="00F36942">
            <w:pPr>
              <w:pStyle w:val="Tabletext"/>
              <w:rPr>
                <w:snapToGrid w:val="0"/>
              </w:rPr>
            </w:pPr>
            <w:r w:rsidRPr="00295986">
              <w:t>7</w:t>
            </w:r>
            <w:r w:rsidR="00D7157D">
              <w:t>.</w:t>
            </w:r>
            <w:r w:rsidRPr="00295986">
              <w:t>8969</w:t>
            </w:r>
          </w:p>
        </w:tc>
        <w:tc>
          <w:tcPr>
            <w:tcW w:w="966" w:type="pct"/>
            <w:tcBorders>
              <w:top w:val="single" w:sz="4" w:space="0" w:color="auto"/>
              <w:bottom w:val="single" w:sz="4" w:space="0" w:color="auto"/>
            </w:tcBorders>
            <w:vAlign w:val="bottom"/>
          </w:tcPr>
          <w:p w14:paraId="73637DEA" w14:textId="77777777" w:rsidR="006A2074" w:rsidRPr="00C971C6" w:rsidRDefault="006A2074" w:rsidP="00F36942">
            <w:pPr>
              <w:pStyle w:val="Tabletext"/>
              <w:rPr>
                <w:snapToGrid w:val="0"/>
              </w:rPr>
            </w:pPr>
            <w:r w:rsidRPr="00295986">
              <w:t>0</w:t>
            </w:r>
            <w:r w:rsidR="00D7157D">
              <w:t>.</w:t>
            </w:r>
            <w:r w:rsidRPr="00295986">
              <w:t>4810</w:t>
            </w:r>
          </w:p>
        </w:tc>
        <w:tc>
          <w:tcPr>
            <w:tcW w:w="966" w:type="pct"/>
            <w:tcBorders>
              <w:top w:val="single" w:sz="4" w:space="0" w:color="auto"/>
              <w:bottom w:val="single" w:sz="4" w:space="0" w:color="auto"/>
            </w:tcBorders>
            <w:vAlign w:val="bottom"/>
          </w:tcPr>
          <w:p w14:paraId="4AE27E68" w14:textId="77777777" w:rsidR="006A2074" w:rsidRPr="00C971C6" w:rsidRDefault="006A2074" w:rsidP="00F36942">
            <w:pPr>
              <w:pStyle w:val="Tabletext"/>
              <w:rPr>
                <w:snapToGrid w:val="0"/>
              </w:rPr>
            </w:pPr>
            <w:r w:rsidRPr="00295986">
              <w:t>8</w:t>
            </w:r>
            <w:r w:rsidR="00D7157D">
              <w:t>.</w:t>
            </w:r>
            <w:r w:rsidRPr="00295986">
              <w:t>9715</w:t>
            </w:r>
          </w:p>
        </w:tc>
        <w:tc>
          <w:tcPr>
            <w:tcW w:w="966" w:type="pct"/>
            <w:tcBorders>
              <w:top w:val="single" w:sz="4" w:space="0" w:color="auto"/>
              <w:bottom w:val="single" w:sz="4" w:space="0" w:color="auto"/>
            </w:tcBorders>
            <w:vAlign w:val="bottom"/>
          </w:tcPr>
          <w:p w14:paraId="6E18341F" w14:textId="77777777" w:rsidR="006A2074" w:rsidRPr="00C971C6" w:rsidRDefault="006A2074" w:rsidP="00F36942">
            <w:pPr>
              <w:pStyle w:val="Tabletext"/>
              <w:rPr>
                <w:snapToGrid w:val="0"/>
              </w:rPr>
            </w:pPr>
            <w:r w:rsidRPr="00295986">
              <w:t>0</w:t>
            </w:r>
            <w:r w:rsidR="00D7157D">
              <w:t>.</w:t>
            </w:r>
            <w:r w:rsidRPr="00295986">
              <w:t>1224</w:t>
            </w:r>
          </w:p>
        </w:tc>
      </w:tr>
      <w:tr w:rsidR="006A2074" w:rsidRPr="009E2595" w14:paraId="548BBECD" w14:textId="77777777" w:rsidTr="00F36942">
        <w:trPr>
          <w:cantSplit/>
        </w:trPr>
        <w:tc>
          <w:tcPr>
            <w:tcW w:w="1136" w:type="pct"/>
            <w:tcBorders>
              <w:top w:val="single" w:sz="4" w:space="0" w:color="auto"/>
              <w:bottom w:val="single" w:sz="4" w:space="0" w:color="auto"/>
            </w:tcBorders>
          </w:tcPr>
          <w:p w14:paraId="258DC40D" w14:textId="77777777" w:rsidR="006A2074" w:rsidRPr="00616B26" w:rsidRDefault="006A2074" w:rsidP="00F36942">
            <w:pPr>
              <w:pStyle w:val="Tabletext"/>
              <w:rPr>
                <w:snapToGrid w:val="0"/>
              </w:rPr>
            </w:pPr>
            <w:r w:rsidRPr="00616B26">
              <w:rPr>
                <w:snapToGrid w:val="0"/>
              </w:rPr>
              <w:t>82</w:t>
            </w:r>
          </w:p>
        </w:tc>
        <w:tc>
          <w:tcPr>
            <w:tcW w:w="966" w:type="pct"/>
            <w:tcBorders>
              <w:top w:val="single" w:sz="4" w:space="0" w:color="auto"/>
              <w:bottom w:val="single" w:sz="4" w:space="0" w:color="auto"/>
            </w:tcBorders>
            <w:vAlign w:val="bottom"/>
          </w:tcPr>
          <w:p w14:paraId="4AA6FB64" w14:textId="77777777" w:rsidR="006A2074" w:rsidRPr="00C971C6" w:rsidRDefault="006A2074" w:rsidP="00F36942">
            <w:pPr>
              <w:pStyle w:val="Tabletext"/>
              <w:rPr>
                <w:snapToGrid w:val="0"/>
              </w:rPr>
            </w:pPr>
            <w:r w:rsidRPr="00295986">
              <w:t>7</w:t>
            </w:r>
            <w:r w:rsidR="00D7157D">
              <w:t>.</w:t>
            </w:r>
            <w:r w:rsidRPr="00295986">
              <w:t>4228</w:t>
            </w:r>
          </w:p>
        </w:tc>
        <w:tc>
          <w:tcPr>
            <w:tcW w:w="966" w:type="pct"/>
            <w:tcBorders>
              <w:top w:val="single" w:sz="4" w:space="0" w:color="auto"/>
              <w:bottom w:val="single" w:sz="4" w:space="0" w:color="auto"/>
            </w:tcBorders>
            <w:vAlign w:val="bottom"/>
          </w:tcPr>
          <w:p w14:paraId="03070EE9" w14:textId="77777777" w:rsidR="006A2074" w:rsidRPr="00C971C6" w:rsidRDefault="006A2074" w:rsidP="00F36942">
            <w:pPr>
              <w:pStyle w:val="Tabletext"/>
              <w:rPr>
                <w:snapToGrid w:val="0"/>
              </w:rPr>
            </w:pPr>
            <w:r w:rsidRPr="00295986">
              <w:t>0</w:t>
            </w:r>
            <w:r w:rsidR="00D7157D">
              <w:t>.</w:t>
            </w:r>
            <w:r w:rsidRPr="00295986">
              <w:t>4775</w:t>
            </w:r>
          </w:p>
        </w:tc>
        <w:tc>
          <w:tcPr>
            <w:tcW w:w="966" w:type="pct"/>
            <w:tcBorders>
              <w:top w:val="single" w:sz="4" w:space="0" w:color="auto"/>
              <w:bottom w:val="single" w:sz="4" w:space="0" w:color="auto"/>
            </w:tcBorders>
            <w:vAlign w:val="bottom"/>
          </w:tcPr>
          <w:p w14:paraId="40D3C37B" w14:textId="77777777" w:rsidR="006A2074" w:rsidRPr="00C971C6" w:rsidRDefault="006A2074" w:rsidP="00F36942">
            <w:pPr>
              <w:pStyle w:val="Tabletext"/>
              <w:rPr>
                <w:snapToGrid w:val="0"/>
              </w:rPr>
            </w:pPr>
            <w:r w:rsidRPr="00295986">
              <w:t>8</w:t>
            </w:r>
            <w:r w:rsidR="00D7157D">
              <w:t>.</w:t>
            </w:r>
            <w:r w:rsidRPr="00295986">
              <w:t>4690</w:t>
            </w:r>
          </w:p>
        </w:tc>
        <w:tc>
          <w:tcPr>
            <w:tcW w:w="966" w:type="pct"/>
            <w:tcBorders>
              <w:top w:val="single" w:sz="4" w:space="0" w:color="auto"/>
              <w:bottom w:val="single" w:sz="4" w:space="0" w:color="auto"/>
            </w:tcBorders>
            <w:vAlign w:val="bottom"/>
          </w:tcPr>
          <w:p w14:paraId="16FF206D" w14:textId="77777777" w:rsidR="006A2074" w:rsidRPr="00C971C6" w:rsidRDefault="006A2074" w:rsidP="00F36942">
            <w:pPr>
              <w:pStyle w:val="Tabletext"/>
              <w:rPr>
                <w:snapToGrid w:val="0"/>
              </w:rPr>
            </w:pPr>
            <w:r w:rsidRPr="00295986">
              <w:t>0</w:t>
            </w:r>
            <w:r w:rsidR="00D7157D">
              <w:t>.</w:t>
            </w:r>
            <w:r w:rsidRPr="00295986">
              <w:t>1218</w:t>
            </w:r>
          </w:p>
        </w:tc>
      </w:tr>
      <w:tr w:rsidR="006A2074" w:rsidRPr="009E2595" w14:paraId="4F36A7E5" w14:textId="77777777" w:rsidTr="00F36942">
        <w:trPr>
          <w:cantSplit/>
        </w:trPr>
        <w:tc>
          <w:tcPr>
            <w:tcW w:w="1136" w:type="pct"/>
            <w:tcBorders>
              <w:top w:val="single" w:sz="4" w:space="0" w:color="auto"/>
              <w:bottom w:val="single" w:sz="4" w:space="0" w:color="auto"/>
            </w:tcBorders>
          </w:tcPr>
          <w:p w14:paraId="1023AA13" w14:textId="77777777" w:rsidR="006A2074" w:rsidRPr="00616B26" w:rsidRDefault="006A2074" w:rsidP="00F36942">
            <w:pPr>
              <w:pStyle w:val="Tabletext"/>
              <w:rPr>
                <w:snapToGrid w:val="0"/>
              </w:rPr>
            </w:pPr>
            <w:r w:rsidRPr="00616B26">
              <w:rPr>
                <w:snapToGrid w:val="0"/>
              </w:rPr>
              <w:t>83</w:t>
            </w:r>
          </w:p>
        </w:tc>
        <w:tc>
          <w:tcPr>
            <w:tcW w:w="966" w:type="pct"/>
            <w:tcBorders>
              <w:top w:val="single" w:sz="4" w:space="0" w:color="auto"/>
              <w:bottom w:val="single" w:sz="4" w:space="0" w:color="auto"/>
            </w:tcBorders>
            <w:vAlign w:val="bottom"/>
          </w:tcPr>
          <w:p w14:paraId="43404816" w14:textId="77777777" w:rsidR="006A2074" w:rsidRPr="00C971C6" w:rsidRDefault="006A2074" w:rsidP="00F36942">
            <w:pPr>
              <w:pStyle w:val="Tabletext"/>
              <w:rPr>
                <w:snapToGrid w:val="0"/>
              </w:rPr>
            </w:pPr>
            <w:r w:rsidRPr="00295986">
              <w:t>6</w:t>
            </w:r>
            <w:r w:rsidR="00D7157D">
              <w:t>.</w:t>
            </w:r>
            <w:r w:rsidRPr="00295986">
              <w:t>9622</w:t>
            </w:r>
          </w:p>
        </w:tc>
        <w:tc>
          <w:tcPr>
            <w:tcW w:w="966" w:type="pct"/>
            <w:tcBorders>
              <w:top w:val="single" w:sz="4" w:space="0" w:color="auto"/>
              <w:bottom w:val="single" w:sz="4" w:space="0" w:color="auto"/>
            </w:tcBorders>
            <w:vAlign w:val="bottom"/>
          </w:tcPr>
          <w:p w14:paraId="141A3BC7" w14:textId="77777777" w:rsidR="006A2074" w:rsidRPr="00C971C6" w:rsidRDefault="006A2074" w:rsidP="00F36942">
            <w:pPr>
              <w:pStyle w:val="Tabletext"/>
              <w:rPr>
                <w:snapToGrid w:val="0"/>
              </w:rPr>
            </w:pPr>
            <w:r w:rsidRPr="00295986">
              <w:t>0</w:t>
            </w:r>
            <w:r w:rsidR="00D7157D">
              <w:t>.</w:t>
            </w:r>
            <w:r w:rsidRPr="00295986">
              <w:t>4723</w:t>
            </w:r>
          </w:p>
        </w:tc>
        <w:tc>
          <w:tcPr>
            <w:tcW w:w="966" w:type="pct"/>
            <w:tcBorders>
              <w:top w:val="single" w:sz="4" w:space="0" w:color="auto"/>
              <w:bottom w:val="single" w:sz="4" w:space="0" w:color="auto"/>
            </w:tcBorders>
            <w:vAlign w:val="bottom"/>
          </w:tcPr>
          <w:p w14:paraId="4D73F538" w14:textId="77777777" w:rsidR="006A2074" w:rsidRPr="00C971C6" w:rsidRDefault="006A2074" w:rsidP="00F36942">
            <w:pPr>
              <w:pStyle w:val="Tabletext"/>
              <w:rPr>
                <w:snapToGrid w:val="0"/>
              </w:rPr>
            </w:pPr>
            <w:r w:rsidRPr="00295986">
              <w:t>7</w:t>
            </w:r>
            <w:r w:rsidR="00D7157D">
              <w:t>.</w:t>
            </w:r>
            <w:r w:rsidRPr="00295986">
              <w:t>9781</w:t>
            </w:r>
          </w:p>
        </w:tc>
        <w:tc>
          <w:tcPr>
            <w:tcW w:w="966" w:type="pct"/>
            <w:tcBorders>
              <w:top w:val="single" w:sz="4" w:space="0" w:color="auto"/>
              <w:bottom w:val="single" w:sz="4" w:space="0" w:color="auto"/>
            </w:tcBorders>
            <w:vAlign w:val="bottom"/>
          </w:tcPr>
          <w:p w14:paraId="74933A76" w14:textId="77777777" w:rsidR="006A2074" w:rsidRPr="00C971C6" w:rsidRDefault="006A2074" w:rsidP="00F36942">
            <w:pPr>
              <w:pStyle w:val="Tabletext"/>
              <w:rPr>
                <w:snapToGrid w:val="0"/>
              </w:rPr>
            </w:pPr>
            <w:r w:rsidRPr="00295986">
              <w:t>0</w:t>
            </w:r>
            <w:r w:rsidR="00D7157D">
              <w:t>.</w:t>
            </w:r>
            <w:r w:rsidRPr="00295986">
              <w:t>1209</w:t>
            </w:r>
          </w:p>
        </w:tc>
      </w:tr>
      <w:tr w:rsidR="006A2074" w:rsidRPr="009E2595" w14:paraId="4F27327E" w14:textId="77777777" w:rsidTr="00F36942">
        <w:trPr>
          <w:cantSplit/>
        </w:trPr>
        <w:tc>
          <w:tcPr>
            <w:tcW w:w="1136" w:type="pct"/>
            <w:tcBorders>
              <w:top w:val="single" w:sz="4" w:space="0" w:color="auto"/>
              <w:bottom w:val="single" w:sz="4" w:space="0" w:color="auto"/>
            </w:tcBorders>
          </w:tcPr>
          <w:p w14:paraId="7ED3CCBC" w14:textId="77777777" w:rsidR="006A2074" w:rsidRPr="00616B26" w:rsidRDefault="006A2074" w:rsidP="00F36942">
            <w:pPr>
              <w:pStyle w:val="Tabletext"/>
              <w:rPr>
                <w:snapToGrid w:val="0"/>
              </w:rPr>
            </w:pPr>
            <w:r w:rsidRPr="00616B26">
              <w:rPr>
                <w:snapToGrid w:val="0"/>
              </w:rPr>
              <w:t>84</w:t>
            </w:r>
          </w:p>
        </w:tc>
        <w:tc>
          <w:tcPr>
            <w:tcW w:w="966" w:type="pct"/>
            <w:tcBorders>
              <w:top w:val="single" w:sz="4" w:space="0" w:color="auto"/>
              <w:bottom w:val="single" w:sz="4" w:space="0" w:color="auto"/>
            </w:tcBorders>
            <w:vAlign w:val="bottom"/>
          </w:tcPr>
          <w:p w14:paraId="1E62529E" w14:textId="77777777" w:rsidR="006A2074" w:rsidRPr="00C971C6" w:rsidRDefault="006A2074" w:rsidP="00F36942">
            <w:pPr>
              <w:pStyle w:val="Tabletext"/>
              <w:rPr>
                <w:snapToGrid w:val="0"/>
              </w:rPr>
            </w:pPr>
            <w:r w:rsidRPr="00295986">
              <w:t>6</w:t>
            </w:r>
            <w:r w:rsidR="00D7157D">
              <w:t>.</w:t>
            </w:r>
            <w:r w:rsidRPr="00295986">
              <w:t>5178</w:t>
            </w:r>
          </w:p>
        </w:tc>
        <w:tc>
          <w:tcPr>
            <w:tcW w:w="966" w:type="pct"/>
            <w:tcBorders>
              <w:top w:val="single" w:sz="4" w:space="0" w:color="auto"/>
              <w:bottom w:val="single" w:sz="4" w:space="0" w:color="auto"/>
            </w:tcBorders>
            <w:vAlign w:val="bottom"/>
          </w:tcPr>
          <w:p w14:paraId="3D0836DD" w14:textId="77777777" w:rsidR="006A2074" w:rsidRPr="00C971C6" w:rsidRDefault="006A2074" w:rsidP="00F36942">
            <w:pPr>
              <w:pStyle w:val="Tabletext"/>
              <w:rPr>
                <w:snapToGrid w:val="0"/>
              </w:rPr>
            </w:pPr>
            <w:r w:rsidRPr="00295986">
              <w:t>0</w:t>
            </w:r>
            <w:r w:rsidR="00D7157D">
              <w:t>.</w:t>
            </w:r>
            <w:r w:rsidRPr="00295986">
              <w:t>4654</w:t>
            </w:r>
          </w:p>
        </w:tc>
        <w:tc>
          <w:tcPr>
            <w:tcW w:w="966" w:type="pct"/>
            <w:tcBorders>
              <w:top w:val="single" w:sz="4" w:space="0" w:color="auto"/>
              <w:bottom w:val="single" w:sz="4" w:space="0" w:color="auto"/>
            </w:tcBorders>
            <w:vAlign w:val="bottom"/>
          </w:tcPr>
          <w:p w14:paraId="7F2D905A" w14:textId="77777777" w:rsidR="006A2074" w:rsidRPr="00C971C6" w:rsidRDefault="006A2074" w:rsidP="00F36942">
            <w:pPr>
              <w:pStyle w:val="Tabletext"/>
              <w:rPr>
                <w:snapToGrid w:val="0"/>
              </w:rPr>
            </w:pPr>
            <w:r w:rsidRPr="00295986">
              <w:t>7</w:t>
            </w:r>
            <w:r w:rsidR="00D7157D">
              <w:t>.</w:t>
            </w:r>
            <w:r w:rsidRPr="00295986">
              <w:t>5015</w:t>
            </w:r>
          </w:p>
        </w:tc>
        <w:tc>
          <w:tcPr>
            <w:tcW w:w="966" w:type="pct"/>
            <w:tcBorders>
              <w:top w:val="single" w:sz="4" w:space="0" w:color="auto"/>
              <w:bottom w:val="single" w:sz="4" w:space="0" w:color="auto"/>
            </w:tcBorders>
            <w:vAlign w:val="bottom"/>
          </w:tcPr>
          <w:p w14:paraId="1207C542" w14:textId="77777777" w:rsidR="006A2074" w:rsidRPr="00C971C6" w:rsidRDefault="006A2074" w:rsidP="00F36942">
            <w:pPr>
              <w:pStyle w:val="Tabletext"/>
              <w:rPr>
                <w:snapToGrid w:val="0"/>
              </w:rPr>
            </w:pPr>
            <w:r w:rsidRPr="00295986">
              <w:t>0</w:t>
            </w:r>
            <w:r w:rsidR="00D7157D">
              <w:t>.</w:t>
            </w:r>
            <w:r w:rsidRPr="00295986">
              <w:t>1196</w:t>
            </w:r>
          </w:p>
        </w:tc>
      </w:tr>
      <w:tr w:rsidR="006A2074" w:rsidRPr="009E2595" w14:paraId="18A7B025" w14:textId="77777777" w:rsidTr="00F36942">
        <w:trPr>
          <w:cantSplit/>
        </w:trPr>
        <w:tc>
          <w:tcPr>
            <w:tcW w:w="1136" w:type="pct"/>
            <w:tcBorders>
              <w:top w:val="single" w:sz="4" w:space="0" w:color="auto"/>
              <w:bottom w:val="single" w:sz="4" w:space="0" w:color="auto"/>
            </w:tcBorders>
          </w:tcPr>
          <w:p w14:paraId="2DC8EA7C" w14:textId="77777777" w:rsidR="006A2074" w:rsidRPr="00616B26" w:rsidRDefault="006A2074" w:rsidP="00F36942">
            <w:pPr>
              <w:pStyle w:val="Tabletext"/>
              <w:rPr>
                <w:snapToGrid w:val="0"/>
              </w:rPr>
            </w:pPr>
            <w:r w:rsidRPr="00616B26">
              <w:rPr>
                <w:snapToGrid w:val="0"/>
              </w:rPr>
              <w:t>85</w:t>
            </w:r>
          </w:p>
        </w:tc>
        <w:tc>
          <w:tcPr>
            <w:tcW w:w="966" w:type="pct"/>
            <w:tcBorders>
              <w:top w:val="single" w:sz="4" w:space="0" w:color="auto"/>
              <w:bottom w:val="single" w:sz="4" w:space="0" w:color="auto"/>
            </w:tcBorders>
            <w:vAlign w:val="bottom"/>
          </w:tcPr>
          <w:p w14:paraId="0FD8614E" w14:textId="77777777" w:rsidR="006A2074" w:rsidRPr="00C971C6" w:rsidRDefault="006A2074" w:rsidP="00F36942">
            <w:pPr>
              <w:pStyle w:val="Tabletext"/>
              <w:rPr>
                <w:snapToGrid w:val="0"/>
              </w:rPr>
            </w:pPr>
            <w:r w:rsidRPr="00295986">
              <w:t>6</w:t>
            </w:r>
            <w:r w:rsidR="00D7157D">
              <w:t>.</w:t>
            </w:r>
            <w:r w:rsidRPr="00295986">
              <w:t>0897</w:t>
            </w:r>
          </w:p>
        </w:tc>
        <w:tc>
          <w:tcPr>
            <w:tcW w:w="966" w:type="pct"/>
            <w:tcBorders>
              <w:top w:val="single" w:sz="4" w:space="0" w:color="auto"/>
              <w:bottom w:val="single" w:sz="4" w:space="0" w:color="auto"/>
            </w:tcBorders>
            <w:vAlign w:val="bottom"/>
          </w:tcPr>
          <w:p w14:paraId="7B19A108" w14:textId="77777777" w:rsidR="006A2074" w:rsidRPr="00C971C6" w:rsidRDefault="006A2074" w:rsidP="00F36942">
            <w:pPr>
              <w:pStyle w:val="Tabletext"/>
              <w:rPr>
                <w:snapToGrid w:val="0"/>
              </w:rPr>
            </w:pPr>
            <w:r w:rsidRPr="00295986">
              <w:t>0</w:t>
            </w:r>
            <w:r w:rsidR="00D7157D">
              <w:t>.</w:t>
            </w:r>
            <w:r w:rsidRPr="00295986">
              <w:t>4570</w:t>
            </w:r>
          </w:p>
        </w:tc>
        <w:tc>
          <w:tcPr>
            <w:tcW w:w="966" w:type="pct"/>
            <w:tcBorders>
              <w:top w:val="single" w:sz="4" w:space="0" w:color="auto"/>
              <w:bottom w:val="single" w:sz="4" w:space="0" w:color="auto"/>
            </w:tcBorders>
            <w:vAlign w:val="bottom"/>
          </w:tcPr>
          <w:p w14:paraId="2143BCD9" w14:textId="77777777" w:rsidR="006A2074" w:rsidRPr="00C971C6" w:rsidRDefault="006A2074" w:rsidP="00F36942">
            <w:pPr>
              <w:pStyle w:val="Tabletext"/>
              <w:rPr>
                <w:snapToGrid w:val="0"/>
              </w:rPr>
            </w:pPr>
            <w:r w:rsidRPr="00295986">
              <w:t>7</w:t>
            </w:r>
            <w:r w:rsidR="00D7157D">
              <w:t>.</w:t>
            </w:r>
            <w:r w:rsidRPr="00295986">
              <w:t>0314</w:t>
            </w:r>
          </w:p>
        </w:tc>
        <w:tc>
          <w:tcPr>
            <w:tcW w:w="966" w:type="pct"/>
            <w:tcBorders>
              <w:top w:val="single" w:sz="4" w:space="0" w:color="auto"/>
              <w:bottom w:val="single" w:sz="4" w:space="0" w:color="auto"/>
            </w:tcBorders>
            <w:vAlign w:val="bottom"/>
          </w:tcPr>
          <w:p w14:paraId="3EB09DEF" w14:textId="77777777" w:rsidR="006A2074" w:rsidRPr="00C971C6" w:rsidRDefault="006A2074" w:rsidP="00F36942">
            <w:pPr>
              <w:pStyle w:val="Tabletext"/>
              <w:rPr>
                <w:snapToGrid w:val="0"/>
              </w:rPr>
            </w:pPr>
            <w:r w:rsidRPr="00295986">
              <w:t>0</w:t>
            </w:r>
            <w:r w:rsidR="00D7157D">
              <w:t>.</w:t>
            </w:r>
            <w:r w:rsidRPr="00295986">
              <w:t>1182</w:t>
            </w:r>
          </w:p>
        </w:tc>
      </w:tr>
      <w:tr w:rsidR="006A2074" w:rsidRPr="009E2595" w14:paraId="13490CFF" w14:textId="77777777" w:rsidTr="00F36942">
        <w:trPr>
          <w:cantSplit/>
        </w:trPr>
        <w:tc>
          <w:tcPr>
            <w:tcW w:w="1136" w:type="pct"/>
            <w:tcBorders>
              <w:top w:val="single" w:sz="4" w:space="0" w:color="auto"/>
              <w:bottom w:val="single" w:sz="4" w:space="0" w:color="auto"/>
            </w:tcBorders>
          </w:tcPr>
          <w:p w14:paraId="741D3881" w14:textId="77777777" w:rsidR="006A2074" w:rsidRPr="00616B26" w:rsidRDefault="006A2074" w:rsidP="00F36942">
            <w:pPr>
              <w:pStyle w:val="Tabletext"/>
              <w:rPr>
                <w:snapToGrid w:val="0"/>
              </w:rPr>
            </w:pPr>
            <w:r w:rsidRPr="00616B26">
              <w:rPr>
                <w:snapToGrid w:val="0"/>
              </w:rPr>
              <w:t>86</w:t>
            </w:r>
          </w:p>
        </w:tc>
        <w:tc>
          <w:tcPr>
            <w:tcW w:w="966" w:type="pct"/>
            <w:tcBorders>
              <w:top w:val="single" w:sz="4" w:space="0" w:color="auto"/>
              <w:bottom w:val="single" w:sz="4" w:space="0" w:color="auto"/>
            </w:tcBorders>
            <w:vAlign w:val="bottom"/>
          </w:tcPr>
          <w:p w14:paraId="200DAE7E" w14:textId="77777777" w:rsidR="006A2074" w:rsidRPr="00C971C6" w:rsidRDefault="006A2074" w:rsidP="00F36942">
            <w:pPr>
              <w:pStyle w:val="Tabletext"/>
              <w:rPr>
                <w:snapToGrid w:val="0"/>
              </w:rPr>
            </w:pPr>
            <w:r w:rsidRPr="00295986">
              <w:t>5</w:t>
            </w:r>
            <w:r w:rsidR="00D7157D">
              <w:t>.</w:t>
            </w:r>
            <w:r w:rsidRPr="00295986">
              <w:t>6809</w:t>
            </w:r>
          </w:p>
        </w:tc>
        <w:tc>
          <w:tcPr>
            <w:tcW w:w="966" w:type="pct"/>
            <w:tcBorders>
              <w:top w:val="single" w:sz="4" w:space="0" w:color="auto"/>
              <w:bottom w:val="single" w:sz="4" w:space="0" w:color="auto"/>
            </w:tcBorders>
            <w:vAlign w:val="bottom"/>
          </w:tcPr>
          <w:p w14:paraId="47EBD48A" w14:textId="77777777" w:rsidR="006A2074" w:rsidRPr="00C971C6" w:rsidRDefault="006A2074" w:rsidP="00F36942">
            <w:pPr>
              <w:pStyle w:val="Tabletext"/>
              <w:rPr>
                <w:snapToGrid w:val="0"/>
              </w:rPr>
            </w:pPr>
            <w:r w:rsidRPr="00295986">
              <w:t>0</w:t>
            </w:r>
            <w:r w:rsidR="00D7157D">
              <w:t>.</w:t>
            </w:r>
            <w:r w:rsidRPr="00295986">
              <w:t>4469</w:t>
            </w:r>
          </w:p>
        </w:tc>
        <w:tc>
          <w:tcPr>
            <w:tcW w:w="966" w:type="pct"/>
            <w:tcBorders>
              <w:top w:val="single" w:sz="4" w:space="0" w:color="auto"/>
              <w:bottom w:val="single" w:sz="4" w:space="0" w:color="auto"/>
            </w:tcBorders>
            <w:vAlign w:val="bottom"/>
          </w:tcPr>
          <w:p w14:paraId="3D4597E3" w14:textId="77777777" w:rsidR="006A2074" w:rsidRPr="00C971C6" w:rsidRDefault="006A2074" w:rsidP="00F36942">
            <w:pPr>
              <w:pStyle w:val="Tabletext"/>
              <w:rPr>
                <w:snapToGrid w:val="0"/>
              </w:rPr>
            </w:pPr>
            <w:r w:rsidRPr="00295986">
              <w:t>6</w:t>
            </w:r>
            <w:r w:rsidR="00D7157D">
              <w:t>.</w:t>
            </w:r>
            <w:r w:rsidRPr="00295986">
              <w:t>5671</w:t>
            </w:r>
          </w:p>
        </w:tc>
        <w:tc>
          <w:tcPr>
            <w:tcW w:w="966" w:type="pct"/>
            <w:tcBorders>
              <w:top w:val="single" w:sz="4" w:space="0" w:color="auto"/>
              <w:bottom w:val="single" w:sz="4" w:space="0" w:color="auto"/>
            </w:tcBorders>
            <w:vAlign w:val="bottom"/>
          </w:tcPr>
          <w:p w14:paraId="31E0AC91" w14:textId="77777777" w:rsidR="006A2074" w:rsidRPr="00C971C6" w:rsidRDefault="006A2074" w:rsidP="00F36942">
            <w:pPr>
              <w:pStyle w:val="Tabletext"/>
              <w:rPr>
                <w:snapToGrid w:val="0"/>
              </w:rPr>
            </w:pPr>
            <w:r w:rsidRPr="00295986">
              <w:t>0</w:t>
            </w:r>
            <w:r w:rsidR="00D7157D">
              <w:t>.</w:t>
            </w:r>
            <w:r w:rsidRPr="00295986">
              <w:t>1167</w:t>
            </w:r>
          </w:p>
        </w:tc>
      </w:tr>
      <w:tr w:rsidR="006A2074" w:rsidRPr="009E2595" w14:paraId="1DC3FE07" w14:textId="77777777" w:rsidTr="00F36942">
        <w:trPr>
          <w:cantSplit/>
        </w:trPr>
        <w:tc>
          <w:tcPr>
            <w:tcW w:w="1136" w:type="pct"/>
            <w:tcBorders>
              <w:top w:val="single" w:sz="4" w:space="0" w:color="auto"/>
              <w:bottom w:val="single" w:sz="4" w:space="0" w:color="auto"/>
            </w:tcBorders>
          </w:tcPr>
          <w:p w14:paraId="74844FB3" w14:textId="77777777" w:rsidR="006A2074" w:rsidRPr="00616B26" w:rsidRDefault="006A2074" w:rsidP="00F36942">
            <w:pPr>
              <w:pStyle w:val="Tabletext"/>
              <w:rPr>
                <w:snapToGrid w:val="0"/>
              </w:rPr>
            </w:pPr>
            <w:r w:rsidRPr="00616B26">
              <w:rPr>
                <w:snapToGrid w:val="0"/>
              </w:rPr>
              <w:t>87</w:t>
            </w:r>
          </w:p>
        </w:tc>
        <w:tc>
          <w:tcPr>
            <w:tcW w:w="966" w:type="pct"/>
            <w:tcBorders>
              <w:top w:val="single" w:sz="4" w:space="0" w:color="auto"/>
              <w:bottom w:val="single" w:sz="4" w:space="0" w:color="auto"/>
            </w:tcBorders>
            <w:vAlign w:val="bottom"/>
          </w:tcPr>
          <w:p w14:paraId="12F287A8" w14:textId="77777777" w:rsidR="006A2074" w:rsidRPr="00C971C6" w:rsidRDefault="006A2074" w:rsidP="00F36942">
            <w:pPr>
              <w:pStyle w:val="Tabletext"/>
              <w:rPr>
                <w:snapToGrid w:val="0"/>
              </w:rPr>
            </w:pPr>
            <w:r w:rsidRPr="00295986">
              <w:t>5</w:t>
            </w:r>
            <w:r w:rsidR="00D7157D">
              <w:t>.</w:t>
            </w:r>
            <w:r w:rsidRPr="00295986">
              <w:t>2909</w:t>
            </w:r>
          </w:p>
        </w:tc>
        <w:tc>
          <w:tcPr>
            <w:tcW w:w="966" w:type="pct"/>
            <w:tcBorders>
              <w:top w:val="single" w:sz="4" w:space="0" w:color="auto"/>
              <w:bottom w:val="single" w:sz="4" w:space="0" w:color="auto"/>
            </w:tcBorders>
            <w:vAlign w:val="bottom"/>
          </w:tcPr>
          <w:p w14:paraId="7D4AF4CB" w14:textId="77777777" w:rsidR="006A2074" w:rsidRPr="00C971C6" w:rsidRDefault="006A2074" w:rsidP="00F36942">
            <w:pPr>
              <w:pStyle w:val="Tabletext"/>
              <w:rPr>
                <w:snapToGrid w:val="0"/>
              </w:rPr>
            </w:pPr>
            <w:r w:rsidRPr="00295986">
              <w:t>0</w:t>
            </w:r>
            <w:r w:rsidR="00D7157D">
              <w:t>.</w:t>
            </w:r>
            <w:r w:rsidRPr="00295986">
              <w:t>4354</w:t>
            </w:r>
          </w:p>
        </w:tc>
        <w:tc>
          <w:tcPr>
            <w:tcW w:w="966" w:type="pct"/>
            <w:tcBorders>
              <w:top w:val="single" w:sz="4" w:space="0" w:color="auto"/>
              <w:bottom w:val="single" w:sz="4" w:space="0" w:color="auto"/>
            </w:tcBorders>
            <w:vAlign w:val="bottom"/>
          </w:tcPr>
          <w:p w14:paraId="3F9E1BDD" w14:textId="77777777" w:rsidR="006A2074" w:rsidRPr="00C971C6" w:rsidRDefault="006A2074" w:rsidP="00F36942">
            <w:pPr>
              <w:pStyle w:val="Tabletext"/>
              <w:rPr>
                <w:snapToGrid w:val="0"/>
              </w:rPr>
            </w:pPr>
            <w:r w:rsidRPr="00295986">
              <w:t>6</w:t>
            </w:r>
            <w:r w:rsidR="00D7157D">
              <w:t>.</w:t>
            </w:r>
            <w:r w:rsidRPr="00295986">
              <w:t>1186</w:t>
            </w:r>
          </w:p>
        </w:tc>
        <w:tc>
          <w:tcPr>
            <w:tcW w:w="966" w:type="pct"/>
            <w:tcBorders>
              <w:top w:val="single" w:sz="4" w:space="0" w:color="auto"/>
              <w:bottom w:val="single" w:sz="4" w:space="0" w:color="auto"/>
            </w:tcBorders>
            <w:vAlign w:val="bottom"/>
          </w:tcPr>
          <w:p w14:paraId="2F9FBA8A" w14:textId="77777777" w:rsidR="006A2074" w:rsidRPr="00C971C6" w:rsidRDefault="006A2074" w:rsidP="00F36942">
            <w:pPr>
              <w:pStyle w:val="Tabletext"/>
              <w:rPr>
                <w:snapToGrid w:val="0"/>
              </w:rPr>
            </w:pPr>
            <w:r w:rsidRPr="00295986">
              <w:t>0</w:t>
            </w:r>
            <w:r w:rsidR="00D7157D">
              <w:t>.</w:t>
            </w:r>
            <w:r w:rsidRPr="00295986">
              <w:t>1149</w:t>
            </w:r>
          </w:p>
        </w:tc>
      </w:tr>
      <w:tr w:rsidR="006A2074" w:rsidRPr="009E2595" w14:paraId="2EDC0332" w14:textId="77777777" w:rsidTr="00F36942">
        <w:trPr>
          <w:cantSplit/>
        </w:trPr>
        <w:tc>
          <w:tcPr>
            <w:tcW w:w="1136" w:type="pct"/>
            <w:tcBorders>
              <w:top w:val="single" w:sz="4" w:space="0" w:color="auto"/>
              <w:bottom w:val="single" w:sz="4" w:space="0" w:color="auto"/>
            </w:tcBorders>
          </w:tcPr>
          <w:p w14:paraId="02F5075F" w14:textId="77777777" w:rsidR="006A2074" w:rsidRPr="00616B26" w:rsidRDefault="006A2074" w:rsidP="00F36942">
            <w:pPr>
              <w:pStyle w:val="Tabletext"/>
              <w:rPr>
                <w:snapToGrid w:val="0"/>
              </w:rPr>
            </w:pPr>
            <w:r w:rsidRPr="00616B26">
              <w:rPr>
                <w:snapToGrid w:val="0"/>
              </w:rPr>
              <w:t>88</w:t>
            </w:r>
          </w:p>
        </w:tc>
        <w:tc>
          <w:tcPr>
            <w:tcW w:w="966" w:type="pct"/>
            <w:tcBorders>
              <w:top w:val="single" w:sz="4" w:space="0" w:color="auto"/>
              <w:bottom w:val="single" w:sz="4" w:space="0" w:color="auto"/>
            </w:tcBorders>
            <w:vAlign w:val="bottom"/>
          </w:tcPr>
          <w:p w14:paraId="0D287D2A" w14:textId="77777777" w:rsidR="006A2074" w:rsidRPr="00C971C6" w:rsidRDefault="006A2074" w:rsidP="00F36942">
            <w:pPr>
              <w:pStyle w:val="Tabletext"/>
              <w:rPr>
                <w:snapToGrid w:val="0"/>
              </w:rPr>
            </w:pPr>
            <w:r w:rsidRPr="00295986">
              <w:t>4</w:t>
            </w:r>
            <w:r w:rsidR="00D7157D">
              <w:t>.</w:t>
            </w:r>
            <w:r w:rsidRPr="00295986">
              <w:t>9195</w:t>
            </w:r>
          </w:p>
        </w:tc>
        <w:tc>
          <w:tcPr>
            <w:tcW w:w="966" w:type="pct"/>
            <w:tcBorders>
              <w:top w:val="single" w:sz="4" w:space="0" w:color="auto"/>
              <w:bottom w:val="single" w:sz="4" w:space="0" w:color="auto"/>
            </w:tcBorders>
            <w:vAlign w:val="bottom"/>
          </w:tcPr>
          <w:p w14:paraId="655669D5" w14:textId="77777777" w:rsidR="006A2074" w:rsidRPr="00C971C6" w:rsidRDefault="006A2074" w:rsidP="00F36942">
            <w:pPr>
              <w:pStyle w:val="Tabletext"/>
              <w:rPr>
                <w:snapToGrid w:val="0"/>
              </w:rPr>
            </w:pPr>
            <w:r w:rsidRPr="00295986">
              <w:t>0</w:t>
            </w:r>
            <w:r w:rsidR="00D7157D">
              <w:t>.</w:t>
            </w:r>
            <w:r w:rsidRPr="00295986">
              <w:t>4227</w:t>
            </w:r>
          </w:p>
        </w:tc>
        <w:tc>
          <w:tcPr>
            <w:tcW w:w="966" w:type="pct"/>
            <w:tcBorders>
              <w:top w:val="single" w:sz="4" w:space="0" w:color="auto"/>
              <w:bottom w:val="single" w:sz="4" w:space="0" w:color="auto"/>
            </w:tcBorders>
            <w:vAlign w:val="bottom"/>
          </w:tcPr>
          <w:p w14:paraId="3F26FC57" w14:textId="77777777" w:rsidR="006A2074" w:rsidRPr="00C971C6" w:rsidRDefault="006A2074" w:rsidP="00F36942">
            <w:pPr>
              <w:pStyle w:val="Tabletext"/>
              <w:rPr>
                <w:snapToGrid w:val="0"/>
              </w:rPr>
            </w:pPr>
            <w:r w:rsidRPr="00295986">
              <w:t>5</w:t>
            </w:r>
            <w:r w:rsidR="00D7157D">
              <w:t>.</w:t>
            </w:r>
            <w:r w:rsidRPr="00295986">
              <w:t>6915</w:t>
            </w:r>
          </w:p>
        </w:tc>
        <w:tc>
          <w:tcPr>
            <w:tcW w:w="966" w:type="pct"/>
            <w:tcBorders>
              <w:top w:val="single" w:sz="4" w:space="0" w:color="auto"/>
              <w:bottom w:val="single" w:sz="4" w:space="0" w:color="auto"/>
            </w:tcBorders>
            <w:vAlign w:val="bottom"/>
          </w:tcPr>
          <w:p w14:paraId="55AB7CB5" w14:textId="77777777" w:rsidR="006A2074" w:rsidRPr="00C971C6" w:rsidRDefault="006A2074" w:rsidP="00F36942">
            <w:pPr>
              <w:pStyle w:val="Tabletext"/>
              <w:rPr>
                <w:snapToGrid w:val="0"/>
              </w:rPr>
            </w:pPr>
            <w:r w:rsidRPr="00295986">
              <w:t>0</w:t>
            </w:r>
            <w:r w:rsidR="00D7157D">
              <w:t>.</w:t>
            </w:r>
            <w:r w:rsidRPr="00295986">
              <w:t>1130</w:t>
            </w:r>
          </w:p>
        </w:tc>
      </w:tr>
      <w:tr w:rsidR="006A2074" w:rsidRPr="009E2595" w14:paraId="293DEF05" w14:textId="77777777" w:rsidTr="00F36942">
        <w:trPr>
          <w:cantSplit/>
        </w:trPr>
        <w:tc>
          <w:tcPr>
            <w:tcW w:w="1136" w:type="pct"/>
            <w:tcBorders>
              <w:top w:val="single" w:sz="4" w:space="0" w:color="auto"/>
              <w:bottom w:val="single" w:sz="4" w:space="0" w:color="auto"/>
            </w:tcBorders>
          </w:tcPr>
          <w:p w14:paraId="49736E07" w14:textId="77777777" w:rsidR="006A2074" w:rsidRPr="00616B26" w:rsidRDefault="006A2074" w:rsidP="00F36942">
            <w:pPr>
              <w:pStyle w:val="Tabletext"/>
              <w:rPr>
                <w:snapToGrid w:val="0"/>
              </w:rPr>
            </w:pPr>
            <w:r w:rsidRPr="00616B26">
              <w:rPr>
                <w:snapToGrid w:val="0"/>
              </w:rPr>
              <w:t>89</w:t>
            </w:r>
          </w:p>
        </w:tc>
        <w:tc>
          <w:tcPr>
            <w:tcW w:w="966" w:type="pct"/>
            <w:tcBorders>
              <w:top w:val="single" w:sz="4" w:space="0" w:color="auto"/>
              <w:bottom w:val="single" w:sz="4" w:space="0" w:color="auto"/>
            </w:tcBorders>
            <w:vAlign w:val="bottom"/>
          </w:tcPr>
          <w:p w14:paraId="6C50ECB7" w14:textId="77777777" w:rsidR="006A2074" w:rsidRPr="00C971C6" w:rsidRDefault="006A2074" w:rsidP="00F36942">
            <w:pPr>
              <w:pStyle w:val="Tabletext"/>
              <w:rPr>
                <w:snapToGrid w:val="0"/>
              </w:rPr>
            </w:pPr>
            <w:r w:rsidRPr="00295986">
              <w:t>4</w:t>
            </w:r>
            <w:r w:rsidR="00D7157D">
              <w:t>.</w:t>
            </w:r>
            <w:r w:rsidRPr="00295986">
              <w:t>5718</w:t>
            </w:r>
          </w:p>
        </w:tc>
        <w:tc>
          <w:tcPr>
            <w:tcW w:w="966" w:type="pct"/>
            <w:tcBorders>
              <w:top w:val="single" w:sz="4" w:space="0" w:color="auto"/>
              <w:bottom w:val="single" w:sz="4" w:space="0" w:color="auto"/>
            </w:tcBorders>
            <w:vAlign w:val="bottom"/>
          </w:tcPr>
          <w:p w14:paraId="77961114" w14:textId="77777777" w:rsidR="006A2074" w:rsidRPr="00C971C6" w:rsidRDefault="006A2074" w:rsidP="00F36942">
            <w:pPr>
              <w:pStyle w:val="Tabletext"/>
              <w:rPr>
                <w:snapToGrid w:val="0"/>
              </w:rPr>
            </w:pPr>
            <w:r w:rsidRPr="00295986">
              <w:t>0</w:t>
            </w:r>
            <w:r w:rsidR="00D7157D">
              <w:t>.</w:t>
            </w:r>
            <w:r w:rsidRPr="00295986">
              <w:t>4088</w:t>
            </w:r>
          </w:p>
        </w:tc>
        <w:tc>
          <w:tcPr>
            <w:tcW w:w="966" w:type="pct"/>
            <w:tcBorders>
              <w:top w:val="single" w:sz="4" w:space="0" w:color="auto"/>
              <w:bottom w:val="single" w:sz="4" w:space="0" w:color="auto"/>
            </w:tcBorders>
            <w:vAlign w:val="bottom"/>
          </w:tcPr>
          <w:p w14:paraId="531A1BFC" w14:textId="77777777" w:rsidR="006A2074" w:rsidRPr="00C971C6" w:rsidRDefault="006A2074" w:rsidP="00F36942">
            <w:pPr>
              <w:pStyle w:val="Tabletext"/>
              <w:rPr>
                <w:snapToGrid w:val="0"/>
              </w:rPr>
            </w:pPr>
            <w:r w:rsidRPr="00295986">
              <w:t>5</w:t>
            </w:r>
            <w:r w:rsidR="00D7157D">
              <w:t>.</w:t>
            </w:r>
            <w:r w:rsidRPr="00295986">
              <w:t>2922</w:t>
            </w:r>
          </w:p>
        </w:tc>
        <w:tc>
          <w:tcPr>
            <w:tcW w:w="966" w:type="pct"/>
            <w:tcBorders>
              <w:top w:val="single" w:sz="4" w:space="0" w:color="auto"/>
              <w:bottom w:val="single" w:sz="4" w:space="0" w:color="auto"/>
            </w:tcBorders>
            <w:vAlign w:val="bottom"/>
          </w:tcPr>
          <w:p w14:paraId="2BB065CB" w14:textId="77777777" w:rsidR="006A2074" w:rsidRPr="00C971C6" w:rsidRDefault="006A2074" w:rsidP="00F36942">
            <w:pPr>
              <w:pStyle w:val="Tabletext"/>
              <w:rPr>
                <w:snapToGrid w:val="0"/>
              </w:rPr>
            </w:pPr>
            <w:r w:rsidRPr="00295986">
              <w:t>0</w:t>
            </w:r>
            <w:r w:rsidR="00D7157D">
              <w:t>.</w:t>
            </w:r>
            <w:r w:rsidRPr="00295986">
              <w:t>1108</w:t>
            </w:r>
          </w:p>
        </w:tc>
      </w:tr>
      <w:tr w:rsidR="006A2074" w:rsidRPr="009E2595" w14:paraId="1FF82D4C" w14:textId="77777777" w:rsidTr="00F36942">
        <w:trPr>
          <w:cantSplit/>
        </w:trPr>
        <w:tc>
          <w:tcPr>
            <w:tcW w:w="1136" w:type="pct"/>
            <w:tcBorders>
              <w:top w:val="single" w:sz="4" w:space="0" w:color="auto"/>
              <w:bottom w:val="single" w:sz="4" w:space="0" w:color="auto"/>
            </w:tcBorders>
          </w:tcPr>
          <w:p w14:paraId="4807573A" w14:textId="77777777" w:rsidR="006A2074" w:rsidRPr="00616B26" w:rsidRDefault="006A2074" w:rsidP="00F36942">
            <w:pPr>
              <w:pStyle w:val="Tabletext"/>
              <w:rPr>
                <w:snapToGrid w:val="0"/>
              </w:rPr>
            </w:pPr>
            <w:r w:rsidRPr="00616B26">
              <w:rPr>
                <w:snapToGrid w:val="0"/>
              </w:rPr>
              <w:t>90</w:t>
            </w:r>
          </w:p>
        </w:tc>
        <w:tc>
          <w:tcPr>
            <w:tcW w:w="966" w:type="pct"/>
            <w:tcBorders>
              <w:top w:val="single" w:sz="4" w:space="0" w:color="auto"/>
              <w:bottom w:val="single" w:sz="4" w:space="0" w:color="auto"/>
            </w:tcBorders>
            <w:vAlign w:val="bottom"/>
          </w:tcPr>
          <w:p w14:paraId="5CAA1FB0" w14:textId="77777777" w:rsidR="006A2074" w:rsidRPr="00C971C6" w:rsidRDefault="006A2074" w:rsidP="00F36942">
            <w:pPr>
              <w:pStyle w:val="Tabletext"/>
              <w:rPr>
                <w:snapToGrid w:val="0"/>
              </w:rPr>
            </w:pPr>
            <w:r w:rsidRPr="00295986">
              <w:t>4</w:t>
            </w:r>
            <w:r w:rsidR="00D7157D">
              <w:t>.</w:t>
            </w:r>
            <w:r w:rsidRPr="00295986">
              <w:t>2456</w:t>
            </w:r>
          </w:p>
        </w:tc>
        <w:tc>
          <w:tcPr>
            <w:tcW w:w="966" w:type="pct"/>
            <w:tcBorders>
              <w:top w:val="single" w:sz="4" w:space="0" w:color="auto"/>
              <w:bottom w:val="single" w:sz="4" w:space="0" w:color="auto"/>
            </w:tcBorders>
            <w:vAlign w:val="bottom"/>
          </w:tcPr>
          <w:p w14:paraId="058E980E" w14:textId="77777777" w:rsidR="006A2074" w:rsidRPr="00C971C6" w:rsidRDefault="006A2074" w:rsidP="00F36942">
            <w:pPr>
              <w:pStyle w:val="Tabletext"/>
              <w:rPr>
                <w:snapToGrid w:val="0"/>
              </w:rPr>
            </w:pPr>
            <w:r w:rsidRPr="00295986">
              <w:t>0</w:t>
            </w:r>
            <w:r w:rsidR="00D7157D">
              <w:t>.</w:t>
            </w:r>
            <w:r w:rsidRPr="00295986">
              <w:t>3941</w:t>
            </w:r>
          </w:p>
        </w:tc>
        <w:tc>
          <w:tcPr>
            <w:tcW w:w="966" w:type="pct"/>
            <w:tcBorders>
              <w:top w:val="single" w:sz="4" w:space="0" w:color="auto"/>
              <w:bottom w:val="single" w:sz="4" w:space="0" w:color="auto"/>
            </w:tcBorders>
            <w:vAlign w:val="bottom"/>
          </w:tcPr>
          <w:p w14:paraId="4A6C00E4" w14:textId="77777777" w:rsidR="006A2074" w:rsidRPr="00C971C6" w:rsidRDefault="006A2074" w:rsidP="00F36942">
            <w:pPr>
              <w:pStyle w:val="Tabletext"/>
              <w:rPr>
                <w:snapToGrid w:val="0"/>
              </w:rPr>
            </w:pPr>
            <w:r w:rsidRPr="00295986">
              <w:t>4</w:t>
            </w:r>
            <w:r w:rsidR="00D7157D">
              <w:t>.</w:t>
            </w:r>
            <w:r w:rsidRPr="00295986">
              <w:t>9399</w:t>
            </w:r>
          </w:p>
        </w:tc>
        <w:tc>
          <w:tcPr>
            <w:tcW w:w="966" w:type="pct"/>
            <w:tcBorders>
              <w:top w:val="single" w:sz="4" w:space="0" w:color="auto"/>
              <w:bottom w:val="single" w:sz="4" w:space="0" w:color="auto"/>
            </w:tcBorders>
            <w:vAlign w:val="bottom"/>
          </w:tcPr>
          <w:p w14:paraId="2C6B0053" w14:textId="77777777" w:rsidR="006A2074" w:rsidRPr="00C971C6" w:rsidRDefault="006A2074" w:rsidP="00F36942">
            <w:pPr>
              <w:pStyle w:val="Tabletext"/>
              <w:rPr>
                <w:snapToGrid w:val="0"/>
              </w:rPr>
            </w:pPr>
            <w:r w:rsidRPr="00295986">
              <w:t>0</w:t>
            </w:r>
            <w:r w:rsidR="00D7157D">
              <w:t>.</w:t>
            </w:r>
            <w:r w:rsidRPr="00295986">
              <w:t>1081</w:t>
            </w:r>
          </w:p>
        </w:tc>
      </w:tr>
      <w:tr w:rsidR="006A2074" w:rsidRPr="009E2595" w14:paraId="2A6190C9" w14:textId="77777777" w:rsidTr="00F36942">
        <w:trPr>
          <w:cantSplit/>
        </w:trPr>
        <w:tc>
          <w:tcPr>
            <w:tcW w:w="1136" w:type="pct"/>
            <w:tcBorders>
              <w:top w:val="single" w:sz="4" w:space="0" w:color="auto"/>
              <w:bottom w:val="single" w:sz="4" w:space="0" w:color="auto"/>
            </w:tcBorders>
          </w:tcPr>
          <w:p w14:paraId="0EEE787B" w14:textId="77777777" w:rsidR="006A2074" w:rsidRPr="00616B26" w:rsidRDefault="006A2074" w:rsidP="00F36942">
            <w:pPr>
              <w:pStyle w:val="Tabletext"/>
              <w:rPr>
                <w:snapToGrid w:val="0"/>
              </w:rPr>
            </w:pPr>
            <w:r w:rsidRPr="00616B26">
              <w:rPr>
                <w:snapToGrid w:val="0"/>
              </w:rPr>
              <w:t>91</w:t>
            </w:r>
          </w:p>
        </w:tc>
        <w:tc>
          <w:tcPr>
            <w:tcW w:w="966" w:type="pct"/>
            <w:tcBorders>
              <w:top w:val="single" w:sz="4" w:space="0" w:color="auto"/>
              <w:bottom w:val="single" w:sz="4" w:space="0" w:color="auto"/>
            </w:tcBorders>
            <w:vAlign w:val="bottom"/>
          </w:tcPr>
          <w:p w14:paraId="6D90BF2D" w14:textId="77777777" w:rsidR="006A2074" w:rsidRPr="00C971C6" w:rsidRDefault="006A2074" w:rsidP="00F36942">
            <w:pPr>
              <w:pStyle w:val="Tabletext"/>
              <w:rPr>
                <w:snapToGrid w:val="0"/>
              </w:rPr>
            </w:pPr>
            <w:r w:rsidRPr="00295986">
              <w:t>3</w:t>
            </w:r>
            <w:r w:rsidR="00D7157D">
              <w:t>.</w:t>
            </w:r>
            <w:r w:rsidRPr="00295986">
              <w:t>9501</w:t>
            </w:r>
          </w:p>
        </w:tc>
        <w:tc>
          <w:tcPr>
            <w:tcW w:w="966" w:type="pct"/>
            <w:tcBorders>
              <w:top w:val="single" w:sz="4" w:space="0" w:color="auto"/>
              <w:bottom w:val="single" w:sz="4" w:space="0" w:color="auto"/>
            </w:tcBorders>
            <w:vAlign w:val="bottom"/>
          </w:tcPr>
          <w:p w14:paraId="65031FE6" w14:textId="77777777" w:rsidR="006A2074" w:rsidRPr="00C971C6" w:rsidRDefault="006A2074" w:rsidP="00F36942">
            <w:pPr>
              <w:pStyle w:val="Tabletext"/>
              <w:rPr>
                <w:snapToGrid w:val="0"/>
              </w:rPr>
            </w:pPr>
            <w:r w:rsidRPr="00295986">
              <w:t>0</w:t>
            </w:r>
            <w:r w:rsidR="00D7157D">
              <w:t>.</w:t>
            </w:r>
            <w:r w:rsidRPr="00295986">
              <w:t>3785</w:t>
            </w:r>
          </w:p>
        </w:tc>
        <w:tc>
          <w:tcPr>
            <w:tcW w:w="966" w:type="pct"/>
            <w:tcBorders>
              <w:top w:val="single" w:sz="4" w:space="0" w:color="auto"/>
              <w:bottom w:val="single" w:sz="4" w:space="0" w:color="auto"/>
            </w:tcBorders>
            <w:vAlign w:val="bottom"/>
          </w:tcPr>
          <w:p w14:paraId="43EBB2D1" w14:textId="77777777" w:rsidR="006A2074" w:rsidRPr="00C971C6" w:rsidRDefault="006A2074" w:rsidP="00F36942">
            <w:pPr>
              <w:pStyle w:val="Tabletext"/>
              <w:rPr>
                <w:snapToGrid w:val="0"/>
              </w:rPr>
            </w:pPr>
            <w:r w:rsidRPr="00295986">
              <w:t>4</w:t>
            </w:r>
            <w:r w:rsidR="00D7157D">
              <w:t>.</w:t>
            </w:r>
            <w:r w:rsidRPr="00295986">
              <w:t>6140</w:t>
            </w:r>
          </w:p>
        </w:tc>
        <w:tc>
          <w:tcPr>
            <w:tcW w:w="966" w:type="pct"/>
            <w:tcBorders>
              <w:top w:val="single" w:sz="4" w:space="0" w:color="auto"/>
              <w:bottom w:val="single" w:sz="4" w:space="0" w:color="auto"/>
            </w:tcBorders>
            <w:vAlign w:val="bottom"/>
          </w:tcPr>
          <w:p w14:paraId="4437C3DB" w14:textId="77777777" w:rsidR="006A2074" w:rsidRPr="00C971C6" w:rsidRDefault="006A2074" w:rsidP="00F36942">
            <w:pPr>
              <w:pStyle w:val="Tabletext"/>
              <w:rPr>
                <w:snapToGrid w:val="0"/>
              </w:rPr>
            </w:pPr>
            <w:r w:rsidRPr="00295986">
              <w:t>0</w:t>
            </w:r>
            <w:r w:rsidR="00D7157D">
              <w:t>.</w:t>
            </w:r>
            <w:r w:rsidRPr="00295986">
              <w:t>1052</w:t>
            </w:r>
          </w:p>
        </w:tc>
      </w:tr>
      <w:tr w:rsidR="006A2074" w:rsidRPr="009E2595" w14:paraId="63261223" w14:textId="77777777" w:rsidTr="00F36942">
        <w:trPr>
          <w:cantSplit/>
        </w:trPr>
        <w:tc>
          <w:tcPr>
            <w:tcW w:w="1136" w:type="pct"/>
            <w:tcBorders>
              <w:top w:val="single" w:sz="4" w:space="0" w:color="auto"/>
              <w:bottom w:val="single" w:sz="4" w:space="0" w:color="auto"/>
            </w:tcBorders>
          </w:tcPr>
          <w:p w14:paraId="7BFC3BE5" w14:textId="77777777" w:rsidR="006A2074" w:rsidRPr="00616B26" w:rsidRDefault="006A2074" w:rsidP="00F36942">
            <w:pPr>
              <w:pStyle w:val="Tabletext"/>
              <w:rPr>
                <w:snapToGrid w:val="0"/>
              </w:rPr>
            </w:pPr>
            <w:r w:rsidRPr="00616B26">
              <w:rPr>
                <w:snapToGrid w:val="0"/>
              </w:rPr>
              <w:t>92</w:t>
            </w:r>
          </w:p>
        </w:tc>
        <w:tc>
          <w:tcPr>
            <w:tcW w:w="966" w:type="pct"/>
            <w:tcBorders>
              <w:top w:val="single" w:sz="4" w:space="0" w:color="auto"/>
              <w:bottom w:val="single" w:sz="4" w:space="0" w:color="auto"/>
            </w:tcBorders>
            <w:vAlign w:val="bottom"/>
          </w:tcPr>
          <w:p w14:paraId="1692A7F8" w14:textId="77777777" w:rsidR="006A2074" w:rsidRPr="00C971C6" w:rsidRDefault="006A2074" w:rsidP="00F36942">
            <w:pPr>
              <w:pStyle w:val="Tabletext"/>
              <w:rPr>
                <w:snapToGrid w:val="0"/>
              </w:rPr>
            </w:pPr>
            <w:r w:rsidRPr="00295986">
              <w:t>3</w:t>
            </w:r>
            <w:r w:rsidR="00D7157D">
              <w:t>.</w:t>
            </w:r>
            <w:r w:rsidRPr="00295986">
              <w:t>6839</w:t>
            </w:r>
          </w:p>
        </w:tc>
        <w:tc>
          <w:tcPr>
            <w:tcW w:w="966" w:type="pct"/>
            <w:tcBorders>
              <w:top w:val="single" w:sz="4" w:space="0" w:color="auto"/>
              <w:bottom w:val="single" w:sz="4" w:space="0" w:color="auto"/>
            </w:tcBorders>
            <w:vAlign w:val="bottom"/>
          </w:tcPr>
          <w:p w14:paraId="13429E9A" w14:textId="77777777" w:rsidR="006A2074" w:rsidRPr="00C971C6" w:rsidRDefault="006A2074" w:rsidP="00F36942">
            <w:pPr>
              <w:pStyle w:val="Tabletext"/>
              <w:rPr>
                <w:snapToGrid w:val="0"/>
              </w:rPr>
            </w:pPr>
            <w:r w:rsidRPr="00295986">
              <w:t>0</w:t>
            </w:r>
            <w:r w:rsidR="00D7157D">
              <w:t>.</w:t>
            </w:r>
            <w:r w:rsidRPr="00295986">
              <w:t>3624</w:t>
            </w:r>
          </w:p>
        </w:tc>
        <w:tc>
          <w:tcPr>
            <w:tcW w:w="966" w:type="pct"/>
            <w:tcBorders>
              <w:top w:val="single" w:sz="4" w:space="0" w:color="auto"/>
              <w:bottom w:val="single" w:sz="4" w:space="0" w:color="auto"/>
            </w:tcBorders>
            <w:vAlign w:val="bottom"/>
          </w:tcPr>
          <w:p w14:paraId="7DCB34B0" w14:textId="77777777" w:rsidR="006A2074" w:rsidRPr="00C971C6" w:rsidRDefault="006A2074" w:rsidP="00F36942">
            <w:pPr>
              <w:pStyle w:val="Tabletext"/>
              <w:rPr>
                <w:snapToGrid w:val="0"/>
              </w:rPr>
            </w:pPr>
            <w:r w:rsidRPr="00295986">
              <w:t>4</w:t>
            </w:r>
            <w:r w:rsidR="00D7157D">
              <w:t>.</w:t>
            </w:r>
            <w:r w:rsidRPr="00295986">
              <w:t>3158</w:t>
            </w:r>
          </w:p>
        </w:tc>
        <w:tc>
          <w:tcPr>
            <w:tcW w:w="966" w:type="pct"/>
            <w:tcBorders>
              <w:top w:val="single" w:sz="4" w:space="0" w:color="auto"/>
              <w:bottom w:val="single" w:sz="4" w:space="0" w:color="auto"/>
            </w:tcBorders>
            <w:vAlign w:val="bottom"/>
          </w:tcPr>
          <w:p w14:paraId="77B12D5C" w14:textId="77777777" w:rsidR="006A2074" w:rsidRPr="00C971C6" w:rsidRDefault="006A2074" w:rsidP="00F36942">
            <w:pPr>
              <w:pStyle w:val="Tabletext"/>
              <w:rPr>
                <w:snapToGrid w:val="0"/>
              </w:rPr>
            </w:pPr>
            <w:r w:rsidRPr="00295986">
              <w:t>0</w:t>
            </w:r>
            <w:r w:rsidR="00D7157D">
              <w:t>.</w:t>
            </w:r>
            <w:r w:rsidRPr="00295986">
              <w:t>1021</w:t>
            </w:r>
          </w:p>
        </w:tc>
      </w:tr>
      <w:tr w:rsidR="006A2074" w:rsidRPr="009E2595" w14:paraId="565F8ACC" w14:textId="77777777" w:rsidTr="00F36942">
        <w:trPr>
          <w:cantSplit/>
        </w:trPr>
        <w:tc>
          <w:tcPr>
            <w:tcW w:w="1136" w:type="pct"/>
            <w:tcBorders>
              <w:top w:val="single" w:sz="4" w:space="0" w:color="auto"/>
              <w:bottom w:val="single" w:sz="4" w:space="0" w:color="auto"/>
            </w:tcBorders>
          </w:tcPr>
          <w:p w14:paraId="4692C253" w14:textId="77777777" w:rsidR="006A2074" w:rsidRPr="00616B26" w:rsidRDefault="006A2074" w:rsidP="00F36942">
            <w:pPr>
              <w:pStyle w:val="Tabletext"/>
              <w:rPr>
                <w:snapToGrid w:val="0"/>
              </w:rPr>
            </w:pPr>
            <w:r w:rsidRPr="00616B26">
              <w:rPr>
                <w:snapToGrid w:val="0"/>
              </w:rPr>
              <w:t>93</w:t>
            </w:r>
          </w:p>
        </w:tc>
        <w:tc>
          <w:tcPr>
            <w:tcW w:w="966" w:type="pct"/>
            <w:tcBorders>
              <w:top w:val="single" w:sz="4" w:space="0" w:color="auto"/>
              <w:bottom w:val="single" w:sz="4" w:space="0" w:color="auto"/>
            </w:tcBorders>
            <w:vAlign w:val="bottom"/>
          </w:tcPr>
          <w:p w14:paraId="0735BC6D" w14:textId="77777777" w:rsidR="006A2074" w:rsidRPr="00C971C6" w:rsidRDefault="006A2074" w:rsidP="00F36942">
            <w:pPr>
              <w:pStyle w:val="Tabletext"/>
              <w:rPr>
                <w:snapToGrid w:val="0"/>
              </w:rPr>
            </w:pPr>
            <w:r w:rsidRPr="00295986">
              <w:t>3</w:t>
            </w:r>
            <w:r w:rsidR="00D7157D">
              <w:t>.</w:t>
            </w:r>
            <w:r w:rsidRPr="00295986">
              <w:t>4538</w:t>
            </w:r>
          </w:p>
        </w:tc>
        <w:tc>
          <w:tcPr>
            <w:tcW w:w="966" w:type="pct"/>
            <w:tcBorders>
              <w:top w:val="single" w:sz="4" w:space="0" w:color="auto"/>
              <w:bottom w:val="single" w:sz="4" w:space="0" w:color="auto"/>
            </w:tcBorders>
            <w:vAlign w:val="bottom"/>
          </w:tcPr>
          <w:p w14:paraId="338A6602" w14:textId="77777777" w:rsidR="006A2074" w:rsidRPr="00C971C6" w:rsidRDefault="006A2074" w:rsidP="00F36942">
            <w:pPr>
              <w:pStyle w:val="Tabletext"/>
              <w:rPr>
                <w:snapToGrid w:val="0"/>
              </w:rPr>
            </w:pPr>
            <w:r w:rsidRPr="00295986">
              <w:t>0</w:t>
            </w:r>
            <w:r w:rsidR="00D7157D">
              <w:t>.</w:t>
            </w:r>
            <w:r w:rsidRPr="00295986">
              <w:t>3454</w:t>
            </w:r>
          </w:p>
        </w:tc>
        <w:tc>
          <w:tcPr>
            <w:tcW w:w="966" w:type="pct"/>
            <w:tcBorders>
              <w:top w:val="single" w:sz="4" w:space="0" w:color="auto"/>
              <w:bottom w:val="single" w:sz="4" w:space="0" w:color="auto"/>
            </w:tcBorders>
            <w:vAlign w:val="bottom"/>
          </w:tcPr>
          <w:p w14:paraId="5F782E58" w14:textId="77777777" w:rsidR="006A2074" w:rsidRPr="00C971C6" w:rsidRDefault="006A2074" w:rsidP="00F36942">
            <w:pPr>
              <w:pStyle w:val="Tabletext"/>
              <w:rPr>
                <w:snapToGrid w:val="0"/>
              </w:rPr>
            </w:pPr>
            <w:r w:rsidRPr="00295986">
              <w:t>4</w:t>
            </w:r>
            <w:r w:rsidR="00D7157D">
              <w:t>.</w:t>
            </w:r>
            <w:r w:rsidRPr="00295986">
              <w:t>0260</w:t>
            </w:r>
          </w:p>
        </w:tc>
        <w:tc>
          <w:tcPr>
            <w:tcW w:w="966" w:type="pct"/>
            <w:tcBorders>
              <w:top w:val="single" w:sz="4" w:space="0" w:color="auto"/>
              <w:bottom w:val="single" w:sz="4" w:space="0" w:color="auto"/>
            </w:tcBorders>
            <w:vAlign w:val="bottom"/>
          </w:tcPr>
          <w:p w14:paraId="2096DB15" w14:textId="77777777" w:rsidR="006A2074" w:rsidRPr="00C971C6" w:rsidRDefault="006A2074" w:rsidP="00F36942">
            <w:pPr>
              <w:pStyle w:val="Tabletext"/>
              <w:rPr>
                <w:snapToGrid w:val="0"/>
              </w:rPr>
            </w:pPr>
            <w:r w:rsidRPr="00295986">
              <w:t>0</w:t>
            </w:r>
            <w:r w:rsidR="00D7157D">
              <w:t>.</w:t>
            </w:r>
            <w:r w:rsidRPr="00295986">
              <w:t>0990</w:t>
            </w:r>
          </w:p>
        </w:tc>
      </w:tr>
      <w:tr w:rsidR="006A2074" w:rsidRPr="009E2595" w14:paraId="5448AA65" w14:textId="77777777" w:rsidTr="00F36942">
        <w:trPr>
          <w:cantSplit/>
        </w:trPr>
        <w:tc>
          <w:tcPr>
            <w:tcW w:w="1136" w:type="pct"/>
            <w:tcBorders>
              <w:top w:val="single" w:sz="4" w:space="0" w:color="auto"/>
              <w:bottom w:val="single" w:sz="4" w:space="0" w:color="auto"/>
            </w:tcBorders>
          </w:tcPr>
          <w:p w14:paraId="2A5C899B" w14:textId="77777777" w:rsidR="006A2074" w:rsidRPr="00616B26" w:rsidRDefault="006A2074" w:rsidP="00F36942">
            <w:pPr>
              <w:pStyle w:val="Tabletext"/>
              <w:rPr>
                <w:snapToGrid w:val="0"/>
              </w:rPr>
            </w:pPr>
            <w:r w:rsidRPr="00616B26">
              <w:rPr>
                <w:snapToGrid w:val="0"/>
              </w:rPr>
              <w:t>94</w:t>
            </w:r>
          </w:p>
        </w:tc>
        <w:tc>
          <w:tcPr>
            <w:tcW w:w="966" w:type="pct"/>
            <w:tcBorders>
              <w:top w:val="single" w:sz="4" w:space="0" w:color="auto"/>
              <w:bottom w:val="single" w:sz="4" w:space="0" w:color="auto"/>
            </w:tcBorders>
            <w:vAlign w:val="bottom"/>
          </w:tcPr>
          <w:p w14:paraId="3B17BC73" w14:textId="77777777" w:rsidR="006A2074" w:rsidRPr="00C971C6" w:rsidRDefault="006A2074" w:rsidP="00F36942">
            <w:pPr>
              <w:pStyle w:val="Tabletext"/>
              <w:rPr>
                <w:snapToGrid w:val="0"/>
              </w:rPr>
            </w:pPr>
            <w:r w:rsidRPr="00295986">
              <w:t>3</w:t>
            </w:r>
            <w:r w:rsidR="00D7157D">
              <w:t>.</w:t>
            </w:r>
            <w:r w:rsidRPr="00295986">
              <w:t>2607</w:t>
            </w:r>
          </w:p>
        </w:tc>
        <w:tc>
          <w:tcPr>
            <w:tcW w:w="966" w:type="pct"/>
            <w:tcBorders>
              <w:top w:val="single" w:sz="4" w:space="0" w:color="auto"/>
              <w:bottom w:val="single" w:sz="4" w:space="0" w:color="auto"/>
            </w:tcBorders>
            <w:vAlign w:val="bottom"/>
          </w:tcPr>
          <w:p w14:paraId="18A56A03" w14:textId="77777777" w:rsidR="006A2074" w:rsidRPr="00C971C6" w:rsidRDefault="006A2074" w:rsidP="00F36942">
            <w:pPr>
              <w:pStyle w:val="Tabletext"/>
              <w:rPr>
                <w:snapToGrid w:val="0"/>
              </w:rPr>
            </w:pPr>
            <w:r w:rsidRPr="00295986">
              <w:t>0</w:t>
            </w:r>
            <w:r w:rsidR="00D7157D">
              <w:t>.</w:t>
            </w:r>
            <w:r w:rsidRPr="00295986">
              <w:t>3274</w:t>
            </w:r>
          </w:p>
        </w:tc>
        <w:tc>
          <w:tcPr>
            <w:tcW w:w="966" w:type="pct"/>
            <w:tcBorders>
              <w:top w:val="single" w:sz="4" w:space="0" w:color="auto"/>
              <w:bottom w:val="single" w:sz="4" w:space="0" w:color="auto"/>
            </w:tcBorders>
            <w:vAlign w:val="bottom"/>
          </w:tcPr>
          <w:p w14:paraId="1CE0AD97" w14:textId="77777777" w:rsidR="006A2074" w:rsidRPr="00C971C6" w:rsidRDefault="006A2074" w:rsidP="00F36942">
            <w:pPr>
              <w:pStyle w:val="Tabletext"/>
              <w:rPr>
                <w:snapToGrid w:val="0"/>
              </w:rPr>
            </w:pPr>
            <w:r w:rsidRPr="00295986">
              <w:t>3</w:t>
            </w:r>
            <w:r w:rsidR="00D7157D">
              <w:t>.</w:t>
            </w:r>
            <w:r w:rsidRPr="00295986">
              <w:t>7463</w:t>
            </w:r>
          </w:p>
        </w:tc>
        <w:tc>
          <w:tcPr>
            <w:tcW w:w="966" w:type="pct"/>
            <w:tcBorders>
              <w:top w:val="single" w:sz="4" w:space="0" w:color="auto"/>
              <w:bottom w:val="single" w:sz="4" w:space="0" w:color="auto"/>
            </w:tcBorders>
            <w:vAlign w:val="bottom"/>
          </w:tcPr>
          <w:p w14:paraId="72702BAE" w14:textId="77777777" w:rsidR="006A2074" w:rsidRPr="00C971C6" w:rsidRDefault="006A2074" w:rsidP="00F36942">
            <w:pPr>
              <w:pStyle w:val="Tabletext"/>
              <w:rPr>
                <w:snapToGrid w:val="0"/>
              </w:rPr>
            </w:pPr>
            <w:r w:rsidRPr="00295986">
              <w:t>0</w:t>
            </w:r>
            <w:r w:rsidR="00D7157D">
              <w:t>.</w:t>
            </w:r>
            <w:r w:rsidRPr="00295986">
              <w:t>0958</w:t>
            </w:r>
          </w:p>
        </w:tc>
      </w:tr>
      <w:tr w:rsidR="006A2074" w:rsidRPr="009E2595" w14:paraId="6DBC205F" w14:textId="77777777" w:rsidTr="00F36942">
        <w:trPr>
          <w:cantSplit/>
        </w:trPr>
        <w:tc>
          <w:tcPr>
            <w:tcW w:w="1136" w:type="pct"/>
            <w:tcBorders>
              <w:top w:val="single" w:sz="4" w:space="0" w:color="auto"/>
              <w:bottom w:val="single" w:sz="4" w:space="0" w:color="auto"/>
            </w:tcBorders>
          </w:tcPr>
          <w:p w14:paraId="02BDCC06" w14:textId="77777777" w:rsidR="006A2074" w:rsidRPr="00616B26" w:rsidRDefault="006A2074" w:rsidP="00F36942">
            <w:pPr>
              <w:pStyle w:val="Tabletext"/>
              <w:rPr>
                <w:snapToGrid w:val="0"/>
              </w:rPr>
            </w:pPr>
            <w:r w:rsidRPr="00616B26">
              <w:rPr>
                <w:snapToGrid w:val="0"/>
              </w:rPr>
              <w:t>95</w:t>
            </w:r>
          </w:p>
        </w:tc>
        <w:tc>
          <w:tcPr>
            <w:tcW w:w="966" w:type="pct"/>
            <w:tcBorders>
              <w:top w:val="single" w:sz="4" w:space="0" w:color="auto"/>
              <w:bottom w:val="single" w:sz="4" w:space="0" w:color="auto"/>
            </w:tcBorders>
            <w:vAlign w:val="bottom"/>
          </w:tcPr>
          <w:p w14:paraId="4648A1CD" w14:textId="77777777" w:rsidR="006A2074" w:rsidRPr="00C971C6" w:rsidRDefault="006A2074" w:rsidP="00F36942">
            <w:pPr>
              <w:pStyle w:val="Tabletext"/>
              <w:rPr>
                <w:snapToGrid w:val="0"/>
              </w:rPr>
            </w:pPr>
            <w:r w:rsidRPr="00295986">
              <w:t>3</w:t>
            </w:r>
            <w:r w:rsidR="00D7157D">
              <w:t>.</w:t>
            </w:r>
            <w:r w:rsidRPr="00295986">
              <w:t>0812</w:t>
            </w:r>
          </w:p>
        </w:tc>
        <w:tc>
          <w:tcPr>
            <w:tcW w:w="966" w:type="pct"/>
            <w:tcBorders>
              <w:top w:val="single" w:sz="4" w:space="0" w:color="auto"/>
              <w:bottom w:val="single" w:sz="4" w:space="0" w:color="auto"/>
            </w:tcBorders>
            <w:vAlign w:val="bottom"/>
          </w:tcPr>
          <w:p w14:paraId="6B7401F9" w14:textId="77777777" w:rsidR="006A2074" w:rsidRPr="00C971C6" w:rsidRDefault="006A2074" w:rsidP="00F36942">
            <w:pPr>
              <w:pStyle w:val="Tabletext"/>
              <w:rPr>
                <w:snapToGrid w:val="0"/>
              </w:rPr>
            </w:pPr>
            <w:r w:rsidRPr="00295986">
              <w:t>0</w:t>
            </w:r>
            <w:r w:rsidR="00D7157D">
              <w:t>.</w:t>
            </w:r>
            <w:r w:rsidRPr="00295986">
              <w:t>3094</w:t>
            </w:r>
          </w:p>
        </w:tc>
        <w:tc>
          <w:tcPr>
            <w:tcW w:w="966" w:type="pct"/>
            <w:tcBorders>
              <w:top w:val="single" w:sz="4" w:space="0" w:color="auto"/>
              <w:bottom w:val="single" w:sz="4" w:space="0" w:color="auto"/>
            </w:tcBorders>
            <w:vAlign w:val="bottom"/>
          </w:tcPr>
          <w:p w14:paraId="5C7CAFC2" w14:textId="77777777" w:rsidR="006A2074" w:rsidRPr="00C971C6" w:rsidRDefault="006A2074" w:rsidP="00F36942">
            <w:pPr>
              <w:pStyle w:val="Tabletext"/>
              <w:rPr>
                <w:snapToGrid w:val="0"/>
              </w:rPr>
            </w:pPr>
            <w:r w:rsidRPr="00295986">
              <w:t>3</w:t>
            </w:r>
            <w:r w:rsidR="00D7157D">
              <w:t>.</w:t>
            </w:r>
            <w:r w:rsidRPr="00295986">
              <w:t>4874</w:t>
            </w:r>
          </w:p>
        </w:tc>
        <w:tc>
          <w:tcPr>
            <w:tcW w:w="966" w:type="pct"/>
            <w:tcBorders>
              <w:top w:val="single" w:sz="4" w:space="0" w:color="auto"/>
              <w:bottom w:val="single" w:sz="4" w:space="0" w:color="auto"/>
            </w:tcBorders>
            <w:vAlign w:val="bottom"/>
          </w:tcPr>
          <w:p w14:paraId="366F7A85" w14:textId="77777777" w:rsidR="006A2074" w:rsidRPr="00C971C6" w:rsidRDefault="006A2074" w:rsidP="00F36942">
            <w:pPr>
              <w:pStyle w:val="Tabletext"/>
              <w:rPr>
                <w:snapToGrid w:val="0"/>
              </w:rPr>
            </w:pPr>
            <w:r w:rsidRPr="00295986">
              <w:t>0</w:t>
            </w:r>
            <w:r w:rsidR="00D7157D">
              <w:t>.</w:t>
            </w:r>
            <w:r w:rsidRPr="00295986">
              <w:t>0925</w:t>
            </w:r>
          </w:p>
        </w:tc>
      </w:tr>
      <w:tr w:rsidR="006A2074" w:rsidRPr="009E2595" w14:paraId="1D981A37" w14:textId="77777777" w:rsidTr="00F36942">
        <w:trPr>
          <w:cantSplit/>
        </w:trPr>
        <w:tc>
          <w:tcPr>
            <w:tcW w:w="1136" w:type="pct"/>
            <w:tcBorders>
              <w:top w:val="single" w:sz="4" w:space="0" w:color="auto"/>
              <w:bottom w:val="single" w:sz="4" w:space="0" w:color="auto"/>
            </w:tcBorders>
          </w:tcPr>
          <w:p w14:paraId="6532D778" w14:textId="77777777" w:rsidR="006A2074" w:rsidRPr="00616B26" w:rsidRDefault="006A2074" w:rsidP="00F36942">
            <w:pPr>
              <w:pStyle w:val="Tabletext"/>
              <w:rPr>
                <w:snapToGrid w:val="0"/>
              </w:rPr>
            </w:pPr>
            <w:r w:rsidRPr="00616B26">
              <w:rPr>
                <w:snapToGrid w:val="0"/>
              </w:rPr>
              <w:t>96</w:t>
            </w:r>
          </w:p>
        </w:tc>
        <w:tc>
          <w:tcPr>
            <w:tcW w:w="966" w:type="pct"/>
            <w:tcBorders>
              <w:top w:val="single" w:sz="4" w:space="0" w:color="auto"/>
              <w:bottom w:val="single" w:sz="4" w:space="0" w:color="auto"/>
            </w:tcBorders>
            <w:vAlign w:val="bottom"/>
          </w:tcPr>
          <w:p w14:paraId="6A80F347" w14:textId="77777777" w:rsidR="006A2074" w:rsidRPr="00C971C6" w:rsidRDefault="006A2074" w:rsidP="00F36942">
            <w:pPr>
              <w:pStyle w:val="Tabletext"/>
              <w:rPr>
                <w:snapToGrid w:val="0"/>
              </w:rPr>
            </w:pPr>
            <w:r w:rsidRPr="00295986">
              <w:t>2</w:t>
            </w:r>
            <w:r w:rsidR="00D7157D">
              <w:t>.</w:t>
            </w:r>
            <w:r w:rsidRPr="00295986">
              <w:t>9142</w:t>
            </w:r>
          </w:p>
        </w:tc>
        <w:tc>
          <w:tcPr>
            <w:tcW w:w="966" w:type="pct"/>
            <w:tcBorders>
              <w:top w:val="single" w:sz="4" w:space="0" w:color="auto"/>
              <w:bottom w:val="single" w:sz="4" w:space="0" w:color="auto"/>
            </w:tcBorders>
            <w:vAlign w:val="bottom"/>
          </w:tcPr>
          <w:p w14:paraId="7001DF14" w14:textId="77777777" w:rsidR="006A2074" w:rsidRPr="00C971C6" w:rsidRDefault="006A2074" w:rsidP="00F36942">
            <w:pPr>
              <w:pStyle w:val="Tabletext"/>
              <w:rPr>
                <w:snapToGrid w:val="0"/>
              </w:rPr>
            </w:pPr>
            <w:r w:rsidRPr="00295986">
              <w:t>0</w:t>
            </w:r>
            <w:r w:rsidR="00D7157D">
              <w:t>.</w:t>
            </w:r>
            <w:r w:rsidRPr="00295986">
              <w:t>2912</w:t>
            </w:r>
          </w:p>
        </w:tc>
        <w:tc>
          <w:tcPr>
            <w:tcW w:w="966" w:type="pct"/>
            <w:tcBorders>
              <w:top w:val="single" w:sz="4" w:space="0" w:color="auto"/>
              <w:bottom w:val="single" w:sz="4" w:space="0" w:color="auto"/>
            </w:tcBorders>
            <w:vAlign w:val="bottom"/>
          </w:tcPr>
          <w:p w14:paraId="12D7FEE0" w14:textId="77777777" w:rsidR="006A2074" w:rsidRPr="00C971C6" w:rsidRDefault="006A2074" w:rsidP="00F36942">
            <w:pPr>
              <w:pStyle w:val="Tabletext"/>
              <w:rPr>
                <w:snapToGrid w:val="0"/>
              </w:rPr>
            </w:pPr>
            <w:r w:rsidRPr="00295986">
              <w:t>3</w:t>
            </w:r>
            <w:r w:rsidR="00D7157D">
              <w:t>.</w:t>
            </w:r>
            <w:r w:rsidRPr="00295986">
              <w:t>2400</w:t>
            </w:r>
          </w:p>
        </w:tc>
        <w:tc>
          <w:tcPr>
            <w:tcW w:w="966" w:type="pct"/>
            <w:tcBorders>
              <w:top w:val="single" w:sz="4" w:space="0" w:color="auto"/>
              <w:bottom w:val="single" w:sz="4" w:space="0" w:color="auto"/>
            </w:tcBorders>
            <w:vAlign w:val="bottom"/>
          </w:tcPr>
          <w:p w14:paraId="03598D8D" w14:textId="77777777" w:rsidR="006A2074" w:rsidRPr="00C971C6" w:rsidRDefault="006A2074" w:rsidP="00F36942">
            <w:pPr>
              <w:pStyle w:val="Tabletext"/>
              <w:rPr>
                <w:snapToGrid w:val="0"/>
              </w:rPr>
            </w:pPr>
            <w:r w:rsidRPr="00295986">
              <w:t>0</w:t>
            </w:r>
            <w:r w:rsidR="00D7157D">
              <w:t>.</w:t>
            </w:r>
            <w:r w:rsidRPr="00295986">
              <w:t>0891</w:t>
            </w:r>
          </w:p>
        </w:tc>
      </w:tr>
      <w:tr w:rsidR="006A2074" w:rsidRPr="009E2595" w14:paraId="159C926A" w14:textId="77777777" w:rsidTr="00F36942">
        <w:trPr>
          <w:cantSplit/>
        </w:trPr>
        <w:tc>
          <w:tcPr>
            <w:tcW w:w="1136" w:type="pct"/>
            <w:tcBorders>
              <w:top w:val="single" w:sz="4" w:space="0" w:color="auto"/>
              <w:bottom w:val="single" w:sz="4" w:space="0" w:color="auto"/>
            </w:tcBorders>
          </w:tcPr>
          <w:p w14:paraId="6F326819" w14:textId="77777777" w:rsidR="006A2074" w:rsidRPr="00616B26" w:rsidRDefault="006A2074" w:rsidP="00F36942">
            <w:pPr>
              <w:pStyle w:val="Tabletext"/>
              <w:rPr>
                <w:snapToGrid w:val="0"/>
              </w:rPr>
            </w:pPr>
            <w:r w:rsidRPr="00616B26">
              <w:rPr>
                <w:snapToGrid w:val="0"/>
              </w:rPr>
              <w:t>97</w:t>
            </w:r>
          </w:p>
        </w:tc>
        <w:tc>
          <w:tcPr>
            <w:tcW w:w="966" w:type="pct"/>
            <w:tcBorders>
              <w:top w:val="single" w:sz="4" w:space="0" w:color="auto"/>
              <w:bottom w:val="single" w:sz="4" w:space="0" w:color="auto"/>
            </w:tcBorders>
            <w:vAlign w:val="bottom"/>
          </w:tcPr>
          <w:p w14:paraId="7BD08927" w14:textId="77777777" w:rsidR="006A2074" w:rsidRPr="00C971C6" w:rsidRDefault="006A2074" w:rsidP="00F36942">
            <w:pPr>
              <w:pStyle w:val="Tabletext"/>
              <w:rPr>
                <w:snapToGrid w:val="0"/>
              </w:rPr>
            </w:pPr>
            <w:r w:rsidRPr="00295986">
              <w:t>2</w:t>
            </w:r>
            <w:r w:rsidR="00D7157D">
              <w:t>.</w:t>
            </w:r>
            <w:r w:rsidRPr="00295986">
              <w:t>7587</w:t>
            </w:r>
          </w:p>
        </w:tc>
        <w:tc>
          <w:tcPr>
            <w:tcW w:w="966" w:type="pct"/>
            <w:tcBorders>
              <w:top w:val="single" w:sz="4" w:space="0" w:color="auto"/>
              <w:bottom w:val="single" w:sz="4" w:space="0" w:color="auto"/>
            </w:tcBorders>
            <w:vAlign w:val="bottom"/>
          </w:tcPr>
          <w:p w14:paraId="0A2AA9F6" w14:textId="77777777" w:rsidR="006A2074" w:rsidRPr="00C971C6" w:rsidRDefault="006A2074" w:rsidP="00F36942">
            <w:pPr>
              <w:pStyle w:val="Tabletext"/>
              <w:rPr>
                <w:snapToGrid w:val="0"/>
              </w:rPr>
            </w:pPr>
            <w:r w:rsidRPr="00295986">
              <w:t>0</w:t>
            </w:r>
            <w:r w:rsidR="00D7157D">
              <w:t>.</w:t>
            </w:r>
            <w:r w:rsidRPr="00295986">
              <w:t>2730</w:t>
            </w:r>
          </w:p>
        </w:tc>
        <w:tc>
          <w:tcPr>
            <w:tcW w:w="966" w:type="pct"/>
            <w:tcBorders>
              <w:top w:val="single" w:sz="4" w:space="0" w:color="auto"/>
              <w:bottom w:val="single" w:sz="4" w:space="0" w:color="auto"/>
            </w:tcBorders>
            <w:vAlign w:val="bottom"/>
          </w:tcPr>
          <w:p w14:paraId="21C70189" w14:textId="77777777" w:rsidR="006A2074" w:rsidRPr="00C971C6" w:rsidRDefault="006A2074" w:rsidP="00F36942">
            <w:pPr>
              <w:pStyle w:val="Tabletext"/>
              <w:rPr>
                <w:snapToGrid w:val="0"/>
              </w:rPr>
            </w:pPr>
            <w:r w:rsidRPr="00295986">
              <w:t>2</w:t>
            </w:r>
            <w:r w:rsidR="00D7157D">
              <w:t>.</w:t>
            </w:r>
            <w:r w:rsidRPr="00295986">
              <w:t>9992</w:t>
            </w:r>
          </w:p>
        </w:tc>
        <w:tc>
          <w:tcPr>
            <w:tcW w:w="966" w:type="pct"/>
            <w:tcBorders>
              <w:top w:val="single" w:sz="4" w:space="0" w:color="auto"/>
              <w:bottom w:val="single" w:sz="4" w:space="0" w:color="auto"/>
            </w:tcBorders>
            <w:vAlign w:val="bottom"/>
          </w:tcPr>
          <w:p w14:paraId="6A929CF7" w14:textId="77777777" w:rsidR="006A2074" w:rsidRPr="00C971C6" w:rsidRDefault="006A2074" w:rsidP="00F36942">
            <w:pPr>
              <w:pStyle w:val="Tabletext"/>
              <w:rPr>
                <w:snapToGrid w:val="0"/>
              </w:rPr>
            </w:pPr>
            <w:r w:rsidRPr="00295986">
              <w:t>0</w:t>
            </w:r>
            <w:r w:rsidR="00D7157D">
              <w:t>.</w:t>
            </w:r>
            <w:r w:rsidRPr="00295986">
              <w:t>0857</w:t>
            </w:r>
          </w:p>
        </w:tc>
      </w:tr>
      <w:tr w:rsidR="006A2074" w:rsidRPr="009E2595" w14:paraId="044DA9BC" w14:textId="77777777" w:rsidTr="00F36942">
        <w:trPr>
          <w:cantSplit/>
        </w:trPr>
        <w:tc>
          <w:tcPr>
            <w:tcW w:w="1136" w:type="pct"/>
            <w:tcBorders>
              <w:top w:val="single" w:sz="4" w:space="0" w:color="auto"/>
              <w:bottom w:val="single" w:sz="4" w:space="0" w:color="auto"/>
            </w:tcBorders>
          </w:tcPr>
          <w:p w14:paraId="32A9A874" w14:textId="77777777" w:rsidR="006A2074" w:rsidRPr="00616B26" w:rsidRDefault="006A2074" w:rsidP="00F36942">
            <w:pPr>
              <w:pStyle w:val="Tabletext"/>
              <w:rPr>
                <w:snapToGrid w:val="0"/>
              </w:rPr>
            </w:pPr>
            <w:r w:rsidRPr="00616B26">
              <w:rPr>
                <w:snapToGrid w:val="0"/>
              </w:rPr>
              <w:t>98</w:t>
            </w:r>
          </w:p>
        </w:tc>
        <w:tc>
          <w:tcPr>
            <w:tcW w:w="966" w:type="pct"/>
            <w:tcBorders>
              <w:top w:val="single" w:sz="4" w:space="0" w:color="auto"/>
              <w:bottom w:val="single" w:sz="4" w:space="0" w:color="auto"/>
            </w:tcBorders>
            <w:vAlign w:val="bottom"/>
          </w:tcPr>
          <w:p w14:paraId="31B0299B" w14:textId="77777777" w:rsidR="006A2074" w:rsidRPr="00C971C6" w:rsidRDefault="006A2074" w:rsidP="00F36942">
            <w:pPr>
              <w:pStyle w:val="Tabletext"/>
              <w:rPr>
                <w:snapToGrid w:val="0"/>
              </w:rPr>
            </w:pPr>
            <w:r w:rsidRPr="00295986">
              <w:t>2</w:t>
            </w:r>
            <w:r w:rsidR="00D7157D">
              <w:t>.</w:t>
            </w:r>
            <w:r w:rsidRPr="00295986">
              <w:t>6137</w:t>
            </w:r>
          </w:p>
        </w:tc>
        <w:tc>
          <w:tcPr>
            <w:tcW w:w="966" w:type="pct"/>
            <w:tcBorders>
              <w:top w:val="single" w:sz="4" w:space="0" w:color="auto"/>
              <w:bottom w:val="single" w:sz="4" w:space="0" w:color="auto"/>
            </w:tcBorders>
            <w:vAlign w:val="bottom"/>
          </w:tcPr>
          <w:p w14:paraId="4E38F361" w14:textId="77777777" w:rsidR="006A2074" w:rsidRPr="00C971C6" w:rsidRDefault="006A2074" w:rsidP="00F36942">
            <w:pPr>
              <w:pStyle w:val="Tabletext"/>
              <w:rPr>
                <w:snapToGrid w:val="0"/>
              </w:rPr>
            </w:pPr>
            <w:r w:rsidRPr="00295986">
              <w:t>0</w:t>
            </w:r>
            <w:r w:rsidR="00D7157D">
              <w:t>.</w:t>
            </w:r>
            <w:r w:rsidRPr="00295986">
              <w:t>2545</w:t>
            </w:r>
          </w:p>
        </w:tc>
        <w:tc>
          <w:tcPr>
            <w:tcW w:w="966" w:type="pct"/>
            <w:tcBorders>
              <w:top w:val="single" w:sz="4" w:space="0" w:color="auto"/>
              <w:bottom w:val="single" w:sz="4" w:space="0" w:color="auto"/>
            </w:tcBorders>
            <w:vAlign w:val="bottom"/>
          </w:tcPr>
          <w:p w14:paraId="79DDA26E" w14:textId="77777777" w:rsidR="006A2074" w:rsidRPr="00C971C6" w:rsidRDefault="006A2074" w:rsidP="00F36942">
            <w:pPr>
              <w:pStyle w:val="Tabletext"/>
              <w:rPr>
                <w:snapToGrid w:val="0"/>
              </w:rPr>
            </w:pPr>
            <w:r w:rsidRPr="00295986">
              <w:t>2</w:t>
            </w:r>
            <w:r w:rsidR="00D7157D">
              <w:t>.</w:t>
            </w:r>
            <w:r w:rsidRPr="00295986">
              <w:t>7680</w:t>
            </w:r>
          </w:p>
        </w:tc>
        <w:tc>
          <w:tcPr>
            <w:tcW w:w="966" w:type="pct"/>
            <w:tcBorders>
              <w:top w:val="single" w:sz="4" w:space="0" w:color="auto"/>
              <w:bottom w:val="single" w:sz="4" w:space="0" w:color="auto"/>
            </w:tcBorders>
            <w:vAlign w:val="bottom"/>
          </w:tcPr>
          <w:p w14:paraId="46AD6021" w14:textId="77777777" w:rsidR="006A2074" w:rsidRPr="00C971C6" w:rsidRDefault="006A2074" w:rsidP="00F36942">
            <w:pPr>
              <w:pStyle w:val="Tabletext"/>
              <w:rPr>
                <w:snapToGrid w:val="0"/>
              </w:rPr>
            </w:pPr>
            <w:r w:rsidRPr="00295986">
              <w:t>0</w:t>
            </w:r>
            <w:r w:rsidR="00D7157D">
              <w:t>.</w:t>
            </w:r>
            <w:r w:rsidRPr="00295986">
              <w:t>0820</w:t>
            </w:r>
          </w:p>
        </w:tc>
      </w:tr>
      <w:tr w:rsidR="006A2074" w:rsidRPr="009E2595" w14:paraId="71E40BC5" w14:textId="77777777" w:rsidTr="00F36942">
        <w:trPr>
          <w:cantSplit/>
        </w:trPr>
        <w:tc>
          <w:tcPr>
            <w:tcW w:w="1136" w:type="pct"/>
            <w:tcBorders>
              <w:top w:val="single" w:sz="4" w:space="0" w:color="auto"/>
              <w:bottom w:val="single" w:sz="12" w:space="0" w:color="auto"/>
            </w:tcBorders>
          </w:tcPr>
          <w:p w14:paraId="3275394F" w14:textId="77777777" w:rsidR="006A2074" w:rsidRPr="00616B26" w:rsidRDefault="00ED15BD" w:rsidP="00F36942">
            <w:pPr>
              <w:pStyle w:val="Tabletext"/>
              <w:rPr>
                <w:snapToGrid w:val="0"/>
              </w:rPr>
            </w:pPr>
            <w:r>
              <w:rPr>
                <w:snapToGrid w:val="0"/>
              </w:rPr>
              <w:t>99 and over</w:t>
            </w:r>
          </w:p>
        </w:tc>
        <w:tc>
          <w:tcPr>
            <w:tcW w:w="966" w:type="pct"/>
            <w:tcBorders>
              <w:top w:val="single" w:sz="4" w:space="0" w:color="auto"/>
              <w:bottom w:val="single" w:sz="12" w:space="0" w:color="auto"/>
            </w:tcBorders>
            <w:vAlign w:val="bottom"/>
          </w:tcPr>
          <w:p w14:paraId="56246563" w14:textId="77777777" w:rsidR="006A2074" w:rsidRPr="00C971C6" w:rsidRDefault="006A2074" w:rsidP="00F36942">
            <w:pPr>
              <w:pStyle w:val="Tabletext"/>
              <w:rPr>
                <w:snapToGrid w:val="0"/>
              </w:rPr>
            </w:pPr>
            <w:r w:rsidRPr="00295986">
              <w:t>2</w:t>
            </w:r>
            <w:r w:rsidR="00D7157D">
              <w:t>.</w:t>
            </w:r>
            <w:r w:rsidRPr="00295986">
              <w:t>4782</w:t>
            </w:r>
          </w:p>
        </w:tc>
        <w:tc>
          <w:tcPr>
            <w:tcW w:w="966" w:type="pct"/>
            <w:tcBorders>
              <w:top w:val="single" w:sz="4" w:space="0" w:color="auto"/>
              <w:bottom w:val="single" w:sz="12" w:space="0" w:color="auto"/>
            </w:tcBorders>
            <w:vAlign w:val="bottom"/>
          </w:tcPr>
          <w:p w14:paraId="4D527110" w14:textId="77777777" w:rsidR="006A2074" w:rsidRPr="00C971C6" w:rsidRDefault="006A2074" w:rsidP="00F36942">
            <w:pPr>
              <w:pStyle w:val="Tabletext"/>
              <w:rPr>
                <w:snapToGrid w:val="0"/>
              </w:rPr>
            </w:pPr>
            <w:r w:rsidRPr="00295986">
              <w:t>0</w:t>
            </w:r>
            <w:r w:rsidR="00D7157D">
              <w:t>.</w:t>
            </w:r>
            <w:r w:rsidRPr="00295986">
              <w:t>2356</w:t>
            </w:r>
          </w:p>
        </w:tc>
        <w:tc>
          <w:tcPr>
            <w:tcW w:w="966" w:type="pct"/>
            <w:tcBorders>
              <w:top w:val="single" w:sz="4" w:space="0" w:color="auto"/>
              <w:bottom w:val="single" w:sz="12" w:space="0" w:color="auto"/>
            </w:tcBorders>
            <w:vAlign w:val="bottom"/>
          </w:tcPr>
          <w:p w14:paraId="6EC85471" w14:textId="77777777" w:rsidR="006A2074" w:rsidRPr="00C971C6" w:rsidRDefault="006A2074" w:rsidP="00F36942">
            <w:pPr>
              <w:pStyle w:val="Tabletext"/>
              <w:rPr>
                <w:snapToGrid w:val="0"/>
              </w:rPr>
            </w:pPr>
            <w:r w:rsidRPr="00295986">
              <w:t>2</w:t>
            </w:r>
            <w:r w:rsidR="00D7157D">
              <w:t>.</w:t>
            </w:r>
            <w:r w:rsidRPr="00295986">
              <w:t>5407</w:t>
            </w:r>
          </w:p>
        </w:tc>
        <w:tc>
          <w:tcPr>
            <w:tcW w:w="966" w:type="pct"/>
            <w:tcBorders>
              <w:top w:val="single" w:sz="4" w:space="0" w:color="auto"/>
              <w:bottom w:val="single" w:sz="12" w:space="0" w:color="auto"/>
            </w:tcBorders>
            <w:vAlign w:val="bottom"/>
          </w:tcPr>
          <w:p w14:paraId="165C66E5" w14:textId="77777777" w:rsidR="006A2074" w:rsidRPr="00C971C6" w:rsidRDefault="006A2074" w:rsidP="00F36942">
            <w:pPr>
              <w:pStyle w:val="Tabletext"/>
              <w:rPr>
                <w:snapToGrid w:val="0"/>
              </w:rPr>
            </w:pPr>
            <w:r w:rsidRPr="00295986">
              <w:t>0</w:t>
            </w:r>
            <w:r w:rsidR="00D7157D">
              <w:t>.</w:t>
            </w:r>
            <w:r w:rsidRPr="00295986">
              <w:t>0782</w:t>
            </w:r>
          </w:p>
        </w:tc>
      </w:tr>
    </w:tbl>
    <w:p w14:paraId="54A487B1" w14:textId="77777777" w:rsidR="00647C6B" w:rsidRPr="00A058B6" w:rsidRDefault="0022507A" w:rsidP="00647C6B">
      <w:pPr>
        <w:pStyle w:val="ActHead5"/>
      </w:pPr>
      <w:bookmarkStart w:id="307" w:name="_Toc188350784"/>
      <w:r w:rsidRPr="00423C34">
        <w:rPr>
          <w:rStyle w:val="CharSectno"/>
        </w:rPr>
        <w:t>7</w:t>
      </w:r>
      <w:r w:rsidR="00647C6B" w:rsidRPr="00A058B6">
        <w:t xml:space="preserve">  Valuation factors—CPI indexed pension </w:t>
      </w:r>
      <w:r w:rsidR="009158D7" w:rsidRPr="00A058B6">
        <w:t>plus 1%</w:t>
      </w:r>
      <w:bookmarkEnd w:id="307"/>
    </w:p>
    <w:p w14:paraId="46F66658" w14:textId="77777777" w:rsidR="009158D7" w:rsidRPr="009158D7" w:rsidRDefault="00647C6B" w:rsidP="001A0F7E">
      <w:pPr>
        <w:pStyle w:val="subsection"/>
      </w:pPr>
      <w:r w:rsidRPr="00A058B6">
        <w:tab/>
      </w:r>
      <w:r w:rsidRPr="00A058B6">
        <w:tab/>
        <w:t>The pension valuation factors and reversion valuation factors set out in this clause apply if the pension is indexed in accordance with</w:t>
      </w:r>
      <w:r w:rsidR="001A0F7E">
        <w:t xml:space="preserve"> </w:t>
      </w:r>
      <w:r w:rsidR="009158D7" w:rsidRPr="00A058B6">
        <w:t>the co</w:t>
      </w:r>
      <w:r w:rsidR="009158D7" w:rsidRPr="009158D7">
        <w:t>nsumer price index plus 1%</w:t>
      </w:r>
      <w:r w:rsidR="00D7157D">
        <w:t>.</w:t>
      </w:r>
    </w:p>
    <w:p w14:paraId="75C11E06" w14:textId="77777777" w:rsidR="00647C6B" w:rsidRPr="00A058B6" w:rsidRDefault="00647C6B" w:rsidP="00647C6B">
      <w:pPr>
        <w:pStyle w:val="Tabletext"/>
      </w:pPr>
    </w:p>
    <w:tbl>
      <w:tblPr>
        <w:tblW w:w="5000" w:type="pct"/>
        <w:tblLook w:val="0000" w:firstRow="0" w:lastRow="0" w:firstColumn="0" w:lastColumn="0" w:noHBand="0" w:noVBand="0"/>
      </w:tblPr>
      <w:tblGrid>
        <w:gridCol w:w="2270"/>
        <w:gridCol w:w="1511"/>
        <w:gridCol w:w="1511"/>
        <w:gridCol w:w="1511"/>
        <w:gridCol w:w="1510"/>
      </w:tblGrid>
      <w:tr w:rsidR="00647C6B" w:rsidRPr="00A058B6" w14:paraId="62EA4B57" w14:textId="77777777" w:rsidTr="00FA26AF">
        <w:trPr>
          <w:cantSplit/>
          <w:trHeight w:val="144"/>
          <w:tblHeader/>
        </w:trPr>
        <w:tc>
          <w:tcPr>
            <w:tcW w:w="1365" w:type="pct"/>
            <w:vMerge w:val="restart"/>
            <w:tcBorders>
              <w:top w:val="single" w:sz="12" w:space="0" w:color="auto"/>
              <w:bottom w:val="single" w:sz="12" w:space="0" w:color="auto"/>
            </w:tcBorders>
          </w:tcPr>
          <w:p w14:paraId="0CA9C724" w14:textId="77777777" w:rsidR="00647C6B" w:rsidRPr="00A058B6" w:rsidRDefault="00647C6B" w:rsidP="009C0D79">
            <w:pPr>
              <w:pStyle w:val="TableHeading"/>
            </w:pPr>
            <w:r w:rsidRPr="00A058B6">
              <w:t>Age at relevant date (in completed years)</w:t>
            </w:r>
          </w:p>
        </w:tc>
        <w:tc>
          <w:tcPr>
            <w:tcW w:w="3635" w:type="pct"/>
            <w:gridSpan w:val="4"/>
            <w:tcBorders>
              <w:top w:val="single" w:sz="12" w:space="0" w:color="auto"/>
              <w:bottom w:val="single" w:sz="4" w:space="0" w:color="auto"/>
            </w:tcBorders>
          </w:tcPr>
          <w:p w14:paraId="68496666" w14:textId="77777777" w:rsidR="00647C6B" w:rsidRPr="00A058B6" w:rsidRDefault="00647C6B" w:rsidP="009C0D79">
            <w:pPr>
              <w:pStyle w:val="TableHeading"/>
            </w:pPr>
            <w:r w:rsidRPr="00A058B6">
              <w:t xml:space="preserve">Valuation factors—CPI indexed pension </w:t>
            </w:r>
            <w:r w:rsidR="009158D7" w:rsidRPr="00A058B6">
              <w:t>plus 1%</w:t>
            </w:r>
          </w:p>
        </w:tc>
      </w:tr>
      <w:tr w:rsidR="00647C6B" w:rsidRPr="00A058B6" w14:paraId="461B55E9" w14:textId="77777777" w:rsidTr="009158D7">
        <w:trPr>
          <w:cantSplit/>
          <w:trHeight w:val="121"/>
          <w:tblHeader/>
        </w:trPr>
        <w:tc>
          <w:tcPr>
            <w:tcW w:w="1365" w:type="pct"/>
            <w:vMerge/>
            <w:tcBorders>
              <w:bottom w:val="single" w:sz="12" w:space="0" w:color="auto"/>
            </w:tcBorders>
          </w:tcPr>
          <w:p w14:paraId="51594536" w14:textId="77777777" w:rsidR="00647C6B" w:rsidRPr="00A058B6" w:rsidRDefault="00647C6B" w:rsidP="009C0D79">
            <w:pPr>
              <w:pStyle w:val="TableHeading"/>
            </w:pPr>
          </w:p>
        </w:tc>
        <w:tc>
          <w:tcPr>
            <w:tcW w:w="1818" w:type="pct"/>
            <w:gridSpan w:val="2"/>
            <w:tcBorders>
              <w:top w:val="single" w:sz="4" w:space="0" w:color="auto"/>
              <w:bottom w:val="single" w:sz="4" w:space="0" w:color="auto"/>
            </w:tcBorders>
          </w:tcPr>
          <w:p w14:paraId="68C10514" w14:textId="77777777" w:rsidR="00647C6B" w:rsidRPr="00A058B6" w:rsidRDefault="00647C6B" w:rsidP="009C0D79">
            <w:pPr>
              <w:pStyle w:val="TableHeading"/>
            </w:pPr>
            <w:r w:rsidRPr="00A058B6">
              <w:t>Males</w:t>
            </w:r>
          </w:p>
        </w:tc>
        <w:tc>
          <w:tcPr>
            <w:tcW w:w="1817" w:type="pct"/>
            <w:gridSpan w:val="2"/>
            <w:tcBorders>
              <w:top w:val="single" w:sz="4" w:space="0" w:color="auto"/>
              <w:bottom w:val="single" w:sz="4" w:space="0" w:color="auto"/>
            </w:tcBorders>
          </w:tcPr>
          <w:p w14:paraId="4FECAFA6" w14:textId="77777777" w:rsidR="00647C6B" w:rsidRPr="00A058B6" w:rsidRDefault="00647C6B" w:rsidP="009C0D79">
            <w:pPr>
              <w:pStyle w:val="TableHeading"/>
            </w:pPr>
            <w:r w:rsidRPr="00A058B6">
              <w:t>Females</w:t>
            </w:r>
          </w:p>
        </w:tc>
      </w:tr>
      <w:tr w:rsidR="00647C6B" w:rsidRPr="00A058B6" w14:paraId="03E072EF" w14:textId="77777777" w:rsidTr="009158D7">
        <w:trPr>
          <w:cantSplit/>
          <w:trHeight w:val="80"/>
          <w:tblHeader/>
        </w:trPr>
        <w:tc>
          <w:tcPr>
            <w:tcW w:w="1365" w:type="pct"/>
            <w:vMerge/>
            <w:tcBorders>
              <w:bottom w:val="single" w:sz="12" w:space="0" w:color="auto"/>
            </w:tcBorders>
          </w:tcPr>
          <w:p w14:paraId="21BBA6FC" w14:textId="77777777" w:rsidR="00647C6B" w:rsidRPr="00A058B6" w:rsidRDefault="00647C6B" w:rsidP="009C0D79">
            <w:pPr>
              <w:pStyle w:val="TableHeading"/>
            </w:pPr>
          </w:p>
        </w:tc>
        <w:tc>
          <w:tcPr>
            <w:tcW w:w="909" w:type="pct"/>
            <w:tcBorders>
              <w:top w:val="single" w:sz="4" w:space="0" w:color="auto"/>
              <w:bottom w:val="single" w:sz="12" w:space="0" w:color="auto"/>
            </w:tcBorders>
          </w:tcPr>
          <w:p w14:paraId="3701D522" w14:textId="77777777" w:rsidR="00647C6B" w:rsidRPr="00A058B6" w:rsidRDefault="00647C6B" w:rsidP="009C0D79">
            <w:pPr>
              <w:pStyle w:val="TableHeading"/>
            </w:pPr>
            <w:r w:rsidRPr="00A058B6">
              <w:t>Pension</w:t>
            </w:r>
          </w:p>
        </w:tc>
        <w:tc>
          <w:tcPr>
            <w:tcW w:w="909" w:type="pct"/>
            <w:tcBorders>
              <w:top w:val="single" w:sz="4" w:space="0" w:color="auto"/>
              <w:bottom w:val="single" w:sz="12" w:space="0" w:color="auto"/>
            </w:tcBorders>
          </w:tcPr>
          <w:p w14:paraId="5C5A4D0C" w14:textId="77777777" w:rsidR="00647C6B" w:rsidRPr="00A058B6" w:rsidRDefault="00647C6B" w:rsidP="009C0D79">
            <w:pPr>
              <w:pStyle w:val="TableHeading"/>
            </w:pPr>
            <w:r w:rsidRPr="00A058B6">
              <w:t>Reversion</w:t>
            </w:r>
          </w:p>
        </w:tc>
        <w:tc>
          <w:tcPr>
            <w:tcW w:w="909" w:type="pct"/>
            <w:tcBorders>
              <w:top w:val="single" w:sz="4" w:space="0" w:color="auto"/>
              <w:bottom w:val="single" w:sz="12" w:space="0" w:color="auto"/>
            </w:tcBorders>
          </w:tcPr>
          <w:p w14:paraId="0F4A9B15" w14:textId="77777777" w:rsidR="00647C6B" w:rsidRPr="00A058B6" w:rsidRDefault="00647C6B" w:rsidP="009C0D79">
            <w:pPr>
              <w:pStyle w:val="TableHeading"/>
            </w:pPr>
            <w:r w:rsidRPr="00A058B6">
              <w:t>Pension</w:t>
            </w:r>
          </w:p>
        </w:tc>
        <w:tc>
          <w:tcPr>
            <w:tcW w:w="908" w:type="pct"/>
            <w:tcBorders>
              <w:top w:val="single" w:sz="4" w:space="0" w:color="auto"/>
              <w:bottom w:val="single" w:sz="12" w:space="0" w:color="auto"/>
            </w:tcBorders>
          </w:tcPr>
          <w:p w14:paraId="3C2C2050" w14:textId="77777777" w:rsidR="00647C6B" w:rsidRPr="00A058B6" w:rsidRDefault="00647C6B" w:rsidP="009C0D79">
            <w:pPr>
              <w:pStyle w:val="TableHeading"/>
            </w:pPr>
            <w:r w:rsidRPr="00A058B6">
              <w:t>Reversion</w:t>
            </w:r>
          </w:p>
        </w:tc>
      </w:tr>
      <w:tr w:rsidR="009158D7" w:rsidRPr="009E2595" w14:paraId="3A5AD661" w14:textId="77777777" w:rsidTr="00F36942">
        <w:trPr>
          <w:cantSplit/>
        </w:trPr>
        <w:tc>
          <w:tcPr>
            <w:tcW w:w="1365" w:type="pct"/>
            <w:tcBorders>
              <w:top w:val="single" w:sz="12" w:space="0" w:color="auto"/>
              <w:bottom w:val="single" w:sz="4" w:space="0" w:color="auto"/>
            </w:tcBorders>
          </w:tcPr>
          <w:p w14:paraId="54A5F471" w14:textId="77777777" w:rsidR="009158D7" w:rsidRPr="00616B26" w:rsidRDefault="009158D7" w:rsidP="00F36942">
            <w:pPr>
              <w:pStyle w:val="Tabletext"/>
              <w:rPr>
                <w:snapToGrid w:val="0"/>
              </w:rPr>
            </w:pPr>
            <w:r w:rsidRPr="00616B26">
              <w:rPr>
                <w:snapToGrid w:val="0"/>
              </w:rPr>
              <w:t>18</w:t>
            </w:r>
          </w:p>
        </w:tc>
        <w:tc>
          <w:tcPr>
            <w:tcW w:w="909" w:type="pct"/>
            <w:tcBorders>
              <w:top w:val="single" w:sz="12" w:space="0" w:color="auto"/>
              <w:bottom w:val="single" w:sz="4" w:space="0" w:color="auto"/>
            </w:tcBorders>
            <w:vAlign w:val="bottom"/>
          </w:tcPr>
          <w:p w14:paraId="7D9F8709" w14:textId="77777777" w:rsidR="009158D7" w:rsidRPr="000F120F" w:rsidRDefault="009158D7" w:rsidP="00F36942">
            <w:pPr>
              <w:pStyle w:val="Tabletext"/>
              <w:rPr>
                <w:snapToGrid w:val="0"/>
              </w:rPr>
            </w:pPr>
            <w:r w:rsidRPr="00295986">
              <w:t>33</w:t>
            </w:r>
            <w:r w:rsidR="00D7157D">
              <w:t>.</w:t>
            </w:r>
            <w:r w:rsidRPr="00295986">
              <w:t>9944</w:t>
            </w:r>
          </w:p>
        </w:tc>
        <w:tc>
          <w:tcPr>
            <w:tcW w:w="909" w:type="pct"/>
            <w:tcBorders>
              <w:top w:val="single" w:sz="12" w:space="0" w:color="auto"/>
              <w:bottom w:val="single" w:sz="4" w:space="0" w:color="auto"/>
            </w:tcBorders>
            <w:vAlign w:val="bottom"/>
          </w:tcPr>
          <w:p w14:paraId="6C0C6B5D" w14:textId="77777777" w:rsidR="009158D7" w:rsidRPr="000F120F" w:rsidRDefault="009158D7" w:rsidP="00F36942">
            <w:pPr>
              <w:pStyle w:val="Tabletext"/>
              <w:rPr>
                <w:snapToGrid w:val="0"/>
              </w:rPr>
            </w:pPr>
            <w:r w:rsidRPr="00295986">
              <w:t>1</w:t>
            </w:r>
            <w:r w:rsidR="00D7157D">
              <w:t>.</w:t>
            </w:r>
            <w:r w:rsidRPr="00295986">
              <w:t>1352</w:t>
            </w:r>
          </w:p>
        </w:tc>
        <w:tc>
          <w:tcPr>
            <w:tcW w:w="909" w:type="pct"/>
            <w:tcBorders>
              <w:top w:val="single" w:sz="12" w:space="0" w:color="auto"/>
              <w:bottom w:val="single" w:sz="4" w:space="0" w:color="auto"/>
            </w:tcBorders>
            <w:vAlign w:val="bottom"/>
          </w:tcPr>
          <w:p w14:paraId="337FBBCF" w14:textId="77777777" w:rsidR="009158D7" w:rsidRPr="000F120F" w:rsidRDefault="009158D7" w:rsidP="00F36942">
            <w:pPr>
              <w:pStyle w:val="Tabletext"/>
              <w:rPr>
                <w:snapToGrid w:val="0"/>
              </w:rPr>
            </w:pPr>
            <w:r w:rsidRPr="00295986">
              <w:t>34</w:t>
            </w:r>
            <w:r w:rsidR="00D7157D">
              <w:t>.</w:t>
            </w:r>
            <w:r w:rsidRPr="00295986">
              <w:t>6019</w:t>
            </w:r>
          </w:p>
        </w:tc>
        <w:tc>
          <w:tcPr>
            <w:tcW w:w="908" w:type="pct"/>
            <w:tcBorders>
              <w:top w:val="single" w:sz="12" w:space="0" w:color="auto"/>
              <w:bottom w:val="single" w:sz="4" w:space="0" w:color="auto"/>
            </w:tcBorders>
            <w:vAlign w:val="bottom"/>
          </w:tcPr>
          <w:p w14:paraId="4654B2C4" w14:textId="77777777" w:rsidR="009158D7" w:rsidRPr="000F120F" w:rsidRDefault="009158D7" w:rsidP="00F36942">
            <w:pPr>
              <w:pStyle w:val="Tabletext"/>
              <w:rPr>
                <w:snapToGrid w:val="0"/>
              </w:rPr>
            </w:pPr>
            <w:r w:rsidRPr="00295986">
              <w:t>0</w:t>
            </w:r>
            <w:r w:rsidR="00D7157D">
              <w:t>.</w:t>
            </w:r>
            <w:r w:rsidRPr="00295986">
              <w:t>4544</w:t>
            </w:r>
          </w:p>
        </w:tc>
      </w:tr>
      <w:tr w:rsidR="009158D7" w:rsidRPr="009E2595" w14:paraId="2F3609F6" w14:textId="77777777" w:rsidTr="00F36942">
        <w:trPr>
          <w:cantSplit/>
        </w:trPr>
        <w:tc>
          <w:tcPr>
            <w:tcW w:w="1365" w:type="pct"/>
            <w:tcBorders>
              <w:top w:val="single" w:sz="4" w:space="0" w:color="auto"/>
              <w:bottom w:val="single" w:sz="4" w:space="0" w:color="auto"/>
            </w:tcBorders>
          </w:tcPr>
          <w:p w14:paraId="49DF2486" w14:textId="77777777" w:rsidR="009158D7" w:rsidRPr="00616B26" w:rsidRDefault="009158D7" w:rsidP="00F36942">
            <w:pPr>
              <w:pStyle w:val="Tabletext"/>
              <w:rPr>
                <w:snapToGrid w:val="0"/>
              </w:rPr>
            </w:pPr>
            <w:r w:rsidRPr="00616B26">
              <w:rPr>
                <w:snapToGrid w:val="0"/>
              </w:rPr>
              <w:t>19</w:t>
            </w:r>
          </w:p>
        </w:tc>
        <w:tc>
          <w:tcPr>
            <w:tcW w:w="909" w:type="pct"/>
            <w:tcBorders>
              <w:top w:val="single" w:sz="4" w:space="0" w:color="auto"/>
              <w:bottom w:val="single" w:sz="4" w:space="0" w:color="auto"/>
            </w:tcBorders>
            <w:vAlign w:val="bottom"/>
          </w:tcPr>
          <w:p w14:paraId="108907FE" w14:textId="77777777" w:rsidR="009158D7" w:rsidRPr="000F120F" w:rsidRDefault="009158D7" w:rsidP="00F36942">
            <w:pPr>
              <w:pStyle w:val="Tabletext"/>
              <w:rPr>
                <w:snapToGrid w:val="0"/>
              </w:rPr>
            </w:pPr>
            <w:r w:rsidRPr="00295986">
              <w:t>33</w:t>
            </w:r>
            <w:r w:rsidR="00D7157D">
              <w:t>.</w:t>
            </w:r>
            <w:r w:rsidRPr="00295986">
              <w:t>7973</w:t>
            </w:r>
          </w:p>
        </w:tc>
        <w:tc>
          <w:tcPr>
            <w:tcW w:w="909" w:type="pct"/>
            <w:tcBorders>
              <w:top w:val="single" w:sz="4" w:space="0" w:color="auto"/>
              <w:bottom w:val="single" w:sz="4" w:space="0" w:color="auto"/>
            </w:tcBorders>
            <w:vAlign w:val="bottom"/>
          </w:tcPr>
          <w:p w14:paraId="7404508B" w14:textId="77777777" w:rsidR="009158D7" w:rsidRPr="000F120F" w:rsidRDefault="009158D7" w:rsidP="00F36942">
            <w:pPr>
              <w:pStyle w:val="Tabletext"/>
              <w:rPr>
                <w:snapToGrid w:val="0"/>
              </w:rPr>
            </w:pPr>
            <w:r w:rsidRPr="00295986">
              <w:t>1</w:t>
            </w:r>
            <w:r w:rsidR="00D7157D">
              <w:t>.</w:t>
            </w:r>
            <w:r w:rsidRPr="00295986">
              <w:t>1633</w:t>
            </w:r>
          </w:p>
        </w:tc>
        <w:tc>
          <w:tcPr>
            <w:tcW w:w="909" w:type="pct"/>
            <w:tcBorders>
              <w:top w:val="single" w:sz="4" w:space="0" w:color="auto"/>
              <w:bottom w:val="single" w:sz="4" w:space="0" w:color="auto"/>
            </w:tcBorders>
            <w:vAlign w:val="bottom"/>
          </w:tcPr>
          <w:p w14:paraId="6492EA51" w14:textId="77777777" w:rsidR="009158D7" w:rsidRPr="000F120F" w:rsidRDefault="009158D7" w:rsidP="00F36942">
            <w:pPr>
              <w:pStyle w:val="Tabletext"/>
              <w:rPr>
                <w:snapToGrid w:val="0"/>
              </w:rPr>
            </w:pPr>
            <w:r w:rsidRPr="00295986">
              <w:t>34</w:t>
            </w:r>
            <w:r w:rsidR="00D7157D">
              <w:t>.</w:t>
            </w:r>
            <w:r w:rsidRPr="00295986">
              <w:t>4175</w:t>
            </w:r>
          </w:p>
        </w:tc>
        <w:tc>
          <w:tcPr>
            <w:tcW w:w="908" w:type="pct"/>
            <w:tcBorders>
              <w:top w:val="single" w:sz="4" w:space="0" w:color="auto"/>
              <w:bottom w:val="single" w:sz="4" w:space="0" w:color="auto"/>
            </w:tcBorders>
            <w:vAlign w:val="bottom"/>
          </w:tcPr>
          <w:p w14:paraId="73340F26" w14:textId="77777777" w:rsidR="009158D7" w:rsidRPr="000F120F" w:rsidRDefault="009158D7" w:rsidP="00F36942">
            <w:pPr>
              <w:pStyle w:val="Tabletext"/>
              <w:rPr>
                <w:snapToGrid w:val="0"/>
              </w:rPr>
            </w:pPr>
            <w:r w:rsidRPr="00295986">
              <w:t>0</w:t>
            </w:r>
            <w:r w:rsidR="00D7157D">
              <w:t>.</w:t>
            </w:r>
            <w:r w:rsidRPr="00295986">
              <w:t>4664</w:t>
            </w:r>
          </w:p>
        </w:tc>
      </w:tr>
      <w:tr w:rsidR="009158D7" w:rsidRPr="009E2595" w14:paraId="18C1D393" w14:textId="77777777" w:rsidTr="00F36942">
        <w:trPr>
          <w:cantSplit/>
        </w:trPr>
        <w:tc>
          <w:tcPr>
            <w:tcW w:w="1365" w:type="pct"/>
            <w:tcBorders>
              <w:top w:val="single" w:sz="4" w:space="0" w:color="auto"/>
              <w:bottom w:val="single" w:sz="4" w:space="0" w:color="auto"/>
            </w:tcBorders>
          </w:tcPr>
          <w:p w14:paraId="4728DE3C" w14:textId="77777777" w:rsidR="009158D7" w:rsidRPr="00616B26" w:rsidRDefault="009158D7" w:rsidP="00F36942">
            <w:pPr>
              <w:pStyle w:val="Tabletext"/>
              <w:rPr>
                <w:snapToGrid w:val="0"/>
              </w:rPr>
            </w:pPr>
            <w:r w:rsidRPr="00616B26">
              <w:rPr>
                <w:snapToGrid w:val="0"/>
              </w:rPr>
              <w:t>20</w:t>
            </w:r>
          </w:p>
        </w:tc>
        <w:tc>
          <w:tcPr>
            <w:tcW w:w="909" w:type="pct"/>
            <w:tcBorders>
              <w:top w:val="single" w:sz="4" w:space="0" w:color="auto"/>
              <w:bottom w:val="single" w:sz="4" w:space="0" w:color="auto"/>
            </w:tcBorders>
            <w:vAlign w:val="bottom"/>
          </w:tcPr>
          <w:p w14:paraId="05E282A9" w14:textId="77777777" w:rsidR="009158D7" w:rsidRPr="000F120F" w:rsidRDefault="009158D7" w:rsidP="00F36942">
            <w:pPr>
              <w:pStyle w:val="Tabletext"/>
              <w:rPr>
                <w:snapToGrid w:val="0"/>
              </w:rPr>
            </w:pPr>
            <w:r w:rsidRPr="00295986">
              <w:t>33</w:t>
            </w:r>
            <w:r w:rsidR="00D7157D">
              <w:t>.</w:t>
            </w:r>
            <w:r w:rsidRPr="00295986">
              <w:t>5958</w:t>
            </w:r>
          </w:p>
        </w:tc>
        <w:tc>
          <w:tcPr>
            <w:tcW w:w="909" w:type="pct"/>
            <w:tcBorders>
              <w:top w:val="single" w:sz="4" w:space="0" w:color="auto"/>
              <w:bottom w:val="single" w:sz="4" w:space="0" w:color="auto"/>
            </w:tcBorders>
            <w:vAlign w:val="bottom"/>
          </w:tcPr>
          <w:p w14:paraId="5DBB3F38" w14:textId="77777777" w:rsidR="009158D7" w:rsidRPr="000F120F" w:rsidRDefault="009158D7" w:rsidP="00F36942">
            <w:pPr>
              <w:pStyle w:val="Tabletext"/>
              <w:rPr>
                <w:snapToGrid w:val="0"/>
              </w:rPr>
            </w:pPr>
            <w:r w:rsidRPr="00295986">
              <w:t>1</w:t>
            </w:r>
            <w:r w:rsidR="00D7157D">
              <w:t>.</w:t>
            </w:r>
            <w:r w:rsidRPr="00295986">
              <w:t>1918</w:t>
            </w:r>
          </w:p>
        </w:tc>
        <w:tc>
          <w:tcPr>
            <w:tcW w:w="909" w:type="pct"/>
            <w:tcBorders>
              <w:top w:val="single" w:sz="4" w:space="0" w:color="auto"/>
              <w:bottom w:val="single" w:sz="4" w:space="0" w:color="auto"/>
            </w:tcBorders>
            <w:vAlign w:val="bottom"/>
          </w:tcPr>
          <w:p w14:paraId="73753F87" w14:textId="77777777" w:rsidR="009158D7" w:rsidRPr="000F120F" w:rsidRDefault="009158D7" w:rsidP="00F36942">
            <w:pPr>
              <w:pStyle w:val="Tabletext"/>
              <w:rPr>
                <w:snapToGrid w:val="0"/>
              </w:rPr>
            </w:pPr>
            <w:r w:rsidRPr="00295986">
              <w:t>34</w:t>
            </w:r>
            <w:r w:rsidR="00D7157D">
              <w:t>.</w:t>
            </w:r>
            <w:r w:rsidRPr="00295986">
              <w:t>2283</w:t>
            </w:r>
          </w:p>
        </w:tc>
        <w:tc>
          <w:tcPr>
            <w:tcW w:w="908" w:type="pct"/>
            <w:tcBorders>
              <w:top w:val="single" w:sz="4" w:space="0" w:color="auto"/>
              <w:bottom w:val="single" w:sz="4" w:space="0" w:color="auto"/>
            </w:tcBorders>
            <w:vAlign w:val="bottom"/>
          </w:tcPr>
          <w:p w14:paraId="7413055E" w14:textId="77777777" w:rsidR="009158D7" w:rsidRPr="000F120F" w:rsidRDefault="009158D7" w:rsidP="00F36942">
            <w:pPr>
              <w:pStyle w:val="Tabletext"/>
              <w:rPr>
                <w:snapToGrid w:val="0"/>
              </w:rPr>
            </w:pPr>
            <w:r w:rsidRPr="00295986">
              <w:t>0</w:t>
            </w:r>
            <w:r w:rsidR="00D7157D">
              <w:t>.</w:t>
            </w:r>
            <w:r w:rsidRPr="00295986">
              <w:t>4789</w:t>
            </w:r>
          </w:p>
        </w:tc>
      </w:tr>
      <w:tr w:rsidR="009158D7" w:rsidRPr="009E2595" w14:paraId="677DDA2A" w14:textId="77777777" w:rsidTr="00F36942">
        <w:trPr>
          <w:cantSplit/>
        </w:trPr>
        <w:tc>
          <w:tcPr>
            <w:tcW w:w="1365" w:type="pct"/>
            <w:tcBorders>
              <w:top w:val="single" w:sz="4" w:space="0" w:color="auto"/>
              <w:bottom w:val="single" w:sz="4" w:space="0" w:color="auto"/>
            </w:tcBorders>
          </w:tcPr>
          <w:p w14:paraId="5EDE5B95" w14:textId="77777777" w:rsidR="009158D7" w:rsidRPr="00616B26" w:rsidRDefault="009158D7" w:rsidP="00F36942">
            <w:pPr>
              <w:pStyle w:val="Tabletext"/>
              <w:rPr>
                <w:snapToGrid w:val="0"/>
              </w:rPr>
            </w:pPr>
            <w:r w:rsidRPr="00616B26">
              <w:rPr>
                <w:snapToGrid w:val="0"/>
              </w:rPr>
              <w:t>21</w:t>
            </w:r>
          </w:p>
        </w:tc>
        <w:tc>
          <w:tcPr>
            <w:tcW w:w="909" w:type="pct"/>
            <w:tcBorders>
              <w:top w:val="single" w:sz="4" w:space="0" w:color="auto"/>
              <w:bottom w:val="single" w:sz="4" w:space="0" w:color="auto"/>
            </w:tcBorders>
            <w:vAlign w:val="bottom"/>
          </w:tcPr>
          <w:p w14:paraId="136C5147" w14:textId="77777777" w:rsidR="009158D7" w:rsidRPr="000F120F" w:rsidRDefault="009158D7" w:rsidP="00F36942">
            <w:pPr>
              <w:pStyle w:val="Tabletext"/>
              <w:rPr>
                <w:snapToGrid w:val="0"/>
              </w:rPr>
            </w:pPr>
            <w:r w:rsidRPr="00295986">
              <w:t>33</w:t>
            </w:r>
            <w:r w:rsidR="00D7157D">
              <w:t>.</w:t>
            </w:r>
            <w:r w:rsidRPr="00295986">
              <w:t>3890</w:t>
            </w:r>
          </w:p>
        </w:tc>
        <w:tc>
          <w:tcPr>
            <w:tcW w:w="909" w:type="pct"/>
            <w:tcBorders>
              <w:top w:val="single" w:sz="4" w:space="0" w:color="auto"/>
              <w:bottom w:val="single" w:sz="4" w:space="0" w:color="auto"/>
            </w:tcBorders>
            <w:vAlign w:val="bottom"/>
          </w:tcPr>
          <w:p w14:paraId="3D76C4B8" w14:textId="77777777" w:rsidR="009158D7" w:rsidRPr="000F120F" w:rsidRDefault="009158D7" w:rsidP="00F36942">
            <w:pPr>
              <w:pStyle w:val="Tabletext"/>
              <w:rPr>
                <w:snapToGrid w:val="0"/>
              </w:rPr>
            </w:pPr>
            <w:r w:rsidRPr="00295986">
              <w:t>1</w:t>
            </w:r>
            <w:r w:rsidR="00D7157D">
              <w:t>.</w:t>
            </w:r>
            <w:r w:rsidRPr="00295986">
              <w:t>2210</w:t>
            </w:r>
          </w:p>
        </w:tc>
        <w:tc>
          <w:tcPr>
            <w:tcW w:w="909" w:type="pct"/>
            <w:tcBorders>
              <w:top w:val="single" w:sz="4" w:space="0" w:color="auto"/>
              <w:bottom w:val="single" w:sz="4" w:space="0" w:color="auto"/>
            </w:tcBorders>
            <w:vAlign w:val="bottom"/>
          </w:tcPr>
          <w:p w14:paraId="10659BF7" w14:textId="77777777" w:rsidR="009158D7" w:rsidRPr="000F120F" w:rsidRDefault="009158D7" w:rsidP="00F36942">
            <w:pPr>
              <w:pStyle w:val="Tabletext"/>
              <w:rPr>
                <w:snapToGrid w:val="0"/>
              </w:rPr>
            </w:pPr>
            <w:r w:rsidRPr="00295986">
              <w:t>34</w:t>
            </w:r>
            <w:r w:rsidR="00D7157D">
              <w:t>.</w:t>
            </w:r>
            <w:r w:rsidRPr="00295986">
              <w:t>0342</w:t>
            </w:r>
          </w:p>
        </w:tc>
        <w:tc>
          <w:tcPr>
            <w:tcW w:w="908" w:type="pct"/>
            <w:tcBorders>
              <w:top w:val="single" w:sz="4" w:space="0" w:color="auto"/>
              <w:bottom w:val="single" w:sz="4" w:space="0" w:color="auto"/>
            </w:tcBorders>
            <w:vAlign w:val="bottom"/>
          </w:tcPr>
          <w:p w14:paraId="251D1365" w14:textId="77777777" w:rsidR="009158D7" w:rsidRPr="000F120F" w:rsidRDefault="009158D7" w:rsidP="00F36942">
            <w:pPr>
              <w:pStyle w:val="Tabletext"/>
              <w:rPr>
                <w:snapToGrid w:val="0"/>
              </w:rPr>
            </w:pPr>
            <w:r w:rsidRPr="00295986">
              <w:t>0</w:t>
            </w:r>
            <w:r w:rsidR="00D7157D">
              <w:t>.</w:t>
            </w:r>
            <w:r w:rsidRPr="00295986">
              <w:t>4917</w:t>
            </w:r>
          </w:p>
        </w:tc>
      </w:tr>
      <w:tr w:rsidR="009158D7" w:rsidRPr="009E2595" w14:paraId="0C83043A" w14:textId="77777777" w:rsidTr="00F36942">
        <w:trPr>
          <w:cantSplit/>
        </w:trPr>
        <w:tc>
          <w:tcPr>
            <w:tcW w:w="1365" w:type="pct"/>
            <w:tcBorders>
              <w:top w:val="single" w:sz="4" w:space="0" w:color="auto"/>
              <w:bottom w:val="single" w:sz="4" w:space="0" w:color="auto"/>
            </w:tcBorders>
          </w:tcPr>
          <w:p w14:paraId="62275A3E" w14:textId="77777777" w:rsidR="009158D7" w:rsidRPr="00616B26" w:rsidRDefault="009158D7" w:rsidP="00F36942">
            <w:pPr>
              <w:pStyle w:val="Tabletext"/>
              <w:rPr>
                <w:snapToGrid w:val="0"/>
              </w:rPr>
            </w:pPr>
            <w:r w:rsidRPr="00616B26">
              <w:rPr>
                <w:snapToGrid w:val="0"/>
              </w:rPr>
              <w:t>22</w:t>
            </w:r>
          </w:p>
        </w:tc>
        <w:tc>
          <w:tcPr>
            <w:tcW w:w="909" w:type="pct"/>
            <w:tcBorders>
              <w:top w:val="single" w:sz="4" w:space="0" w:color="auto"/>
              <w:bottom w:val="single" w:sz="4" w:space="0" w:color="auto"/>
            </w:tcBorders>
            <w:vAlign w:val="bottom"/>
          </w:tcPr>
          <w:p w14:paraId="1ABDE653" w14:textId="77777777" w:rsidR="009158D7" w:rsidRPr="000F120F" w:rsidRDefault="009158D7" w:rsidP="00F36942">
            <w:pPr>
              <w:pStyle w:val="Tabletext"/>
              <w:rPr>
                <w:snapToGrid w:val="0"/>
              </w:rPr>
            </w:pPr>
            <w:r w:rsidRPr="00295986">
              <w:t>33</w:t>
            </w:r>
            <w:r w:rsidR="00D7157D">
              <w:t>.</w:t>
            </w:r>
            <w:r w:rsidRPr="00295986">
              <w:t>1771</w:t>
            </w:r>
          </w:p>
        </w:tc>
        <w:tc>
          <w:tcPr>
            <w:tcW w:w="909" w:type="pct"/>
            <w:tcBorders>
              <w:top w:val="single" w:sz="4" w:space="0" w:color="auto"/>
              <w:bottom w:val="single" w:sz="4" w:space="0" w:color="auto"/>
            </w:tcBorders>
            <w:vAlign w:val="bottom"/>
          </w:tcPr>
          <w:p w14:paraId="0239C3EA" w14:textId="77777777" w:rsidR="009158D7" w:rsidRPr="000F120F" w:rsidRDefault="009158D7" w:rsidP="00F36942">
            <w:pPr>
              <w:pStyle w:val="Tabletext"/>
              <w:rPr>
                <w:snapToGrid w:val="0"/>
              </w:rPr>
            </w:pPr>
            <w:r w:rsidRPr="00295986">
              <w:t>1</w:t>
            </w:r>
            <w:r w:rsidR="00D7157D">
              <w:t>.</w:t>
            </w:r>
            <w:r w:rsidRPr="00295986">
              <w:t>2509</w:t>
            </w:r>
          </w:p>
        </w:tc>
        <w:tc>
          <w:tcPr>
            <w:tcW w:w="909" w:type="pct"/>
            <w:tcBorders>
              <w:top w:val="single" w:sz="4" w:space="0" w:color="auto"/>
              <w:bottom w:val="single" w:sz="4" w:space="0" w:color="auto"/>
            </w:tcBorders>
            <w:vAlign w:val="bottom"/>
          </w:tcPr>
          <w:p w14:paraId="7D1D9F9A" w14:textId="77777777" w:rsidR="009158D7" w:rsidRPr="000F120F" w:rsidRDefault="009158D7" w:rsidP="00F36942">
            <w:pPr>
              <w:pStyle w:val="Tabletext"/>
              <w:rPr>
                <w:snapToGrid w:val="0"/>
              </w:rPr>
            </w:pPr>
            <w:r w:rsidRPr="00295986">
              <w:t>33</w:t>
            </w:r>
            <w:r w:rsidR="00D7157D">
              <w:t>.</w:t>
            </w:r>
            <w:r w:rsidRPr="00295986">
              <w:t>8351</w:t>
            </w:r>
          </w:p>
        </w:tc>
        <w:tc>
          <w:tcPr>
            <w:tcW w:w="908" w:type="pct"/>
            <w:tcBorders>
              <w:top w:val="single" w:sz="4" w:space="0" w:color="auto"/>
              <w:bottom w:val="single" w:sz="4" w:space="0" w:color="auto"/>
            </w:tcBorders>
            <w:vAlign w:val="bottom"/>
          </w:tcPr>
          <w:p w14:paraId="7480CE9B" w14:textId="77777777" w:rsidR="009158D7" w:rsidRPr="000F120F" w:rsidRDefault="009158D7" w:rsidP="00F36942">
            <w:pPr>
              <w:pStyle w:val="Tabletext"/>
              <w:rPr>
                <w:snapToGrid w:val="0"/>
              </w:rPr>
            </w:pPr>
            <w:r w:rsidRPr="00295986">
              <w:t>0</w:t>
            </w:r>
            <w:r w:rsidR="00D7157D">
              <w:t>.</w:t>
            </w:r>
            <w:r w:rsidRPr="00295986">
              <w:t>5048</w:t>
            </w:r>
          </w:p>
        </w:tc>
      </w:tr>
      <w:tr w:rsidR="009158D7" w:rsidRPr="009E2595" w14:paraId="49343EB0" w14:textId="77777777" w:rsidTr="00F36942">
        <w:trPr>
          <w:cantSplit/>
        </w:trPr>
        <w:tc>
          <w:tcPr>
            <w:tcW w:w="1365" w:type="pct"/>
            <w:tcBorders>
              <w:top w:val="single" w:sz="4" w:space="0" w:color="auto"/>
              <w:bottom w:val="single" w:sz="4" w:space="0" w:color="auto"/>
            </w:tcBorders>
          </w:tcPr>
          <w:p w14:paraId="1945D88C" w14:textId="77777777" w:rsidR="009158D7" w:rsidRPr="00616B26" w:rsidRDefault="009158D7" w:rsidP="00F36942">
            <w:pPr>
              <w:pStyle w:val="Tabletext"/>
              <w:rPr>
                <w:snapToGrid w:val="0"/>
              </w:rPr>
            </w:pPr>
            <w:r w:rsidRPr="00616B26">
              <w:rPr>
                <w:snapToGrid w:val="0"/>
              </w:rPr>
              <w:t>23</w:t>
            </w:r>
          </w:p>
        </w:tc>
        <w:tc>
          <w:tcPr>
            <w:tcW w:w="909" w:type="pct"/>
            <w:tcBorders>
              <w:top w:val="single" w:sz="4" w:space="0" w:color="auto"/>
              <w:bottom w:val="single" w:sz="4" w:space="0" w:color="auto"/>
            </w:tcBorders>
            <w:vAlign w:val="bottom"/>
          </w:tcPr>
          <w:p w14:paraId="27914488" w14:textId="77777777" w:rsidR="009158D7" w:rsidRPr="000F120F" w:rsidRDefault="009158D7" w:rsidP="00F36942">
            <w:pPr>
              <w:pStyle w:val="Tabletext"/>
              <w:rPr>
                <w:snapToGrid w:val="0"/>
              </w:rPr>
            </w:pPr>
            <w:r w:rsidRPr="00295986">
              <w:t>32</w:t>
            </w:r>
            <w:r w:rsidR="00D7157D">
              <w:t>.</w:t>
            </w:r>
            <w:r w:rsidRPr="00295986">
              <w:t>9601</w:t>
            </w:r>
          </w:p>
        </w:tc>
        <w:tc>
          <w:tcPr>
            <w:tcW w:w="909" w:type="pct"/>
            <w:tcBorders>
              <w:top w:val="single" w:sz="4" w:space="0" w:color="auto"/>
              <w:bottom w:val="single" w:sz="4" w:space="0" w:color="auto"/>
            </w:tcBorders>
            <w:vAlign w:val="bottom"/>
          </w:tcPr>
          <w:p w14:paraId="0AFEEECD" w14:textId="77777777" w:rsidR="009158D7" w:rsidRPr="000F120F" w:rsidRDefault="009158D7" w:rsidP="00F36942">
            <w:pPr>
              <w:pStyle w:val="Tabletext"/>
              <w:rPr>
                <w:snapToGrid w:val="0"/>
              </w:rPr>
            </w:pPr>
            <w:r w:rsidRPr="00295986">
              <w:t>1</w:t>
            </w:r>
            <w:r w:rsidR="00D7157D">
              <w:t>.</w:t>
            </w:r>
            <w:r w:rsidRPr="00295986">
              <w:t>2815</w:t>
            </w:r>
          </w:p>
        </w:tc>
        <w:tc>
          <w:tcPr>
            <w:tcW w:w="909" w:type="pct"/>
            <w:tcBorders>
              <w:top w:val="single" w:sz="4" w:space="0" w:color="auto"/>
              <w:bottom w:val="single" w:sz="4" w:space="0" w:color="auto"/>
            </w:tcBorders>
            <w:vAlign w:val="bottom"/>
          </w:tcPr>
          <w:p w14:paraId="711BD655" w14:textId="77777777" w:rsidR="009158D7" w:rsidRPr="000F120F" w:rsidRDefault="009158D7" w:rsidP="00F36942">
            <w:pPr>
              <w:pStyle w:val="Tabletext"/>
              <w:rPr>
                <w:snapToGrid w:val="0"/>
              </w:rPr>
            </w:pPr>
            <w:r w:rsidRPr="00295986">
              <w:t>33</w:t>
            </w:r>
            <w:r w:rsidR="00D7157D">
              <w:t>.</w:t>
            </w:r>
            <w:r w:rsidRPr="00295986">
              <w:t>6308</w:t>
            </w:r>
          </w:p>
        </w:tc>
        <w:tc>
          <w:tcPr>
            <w:tcW w:w="908" w:type="pct"/>
            <w:tcBorders>
              <w:top w:val="single" w:sz="4" w:space="0" w:color="auto"/>
              <w:bottom w:val="single" w:sz="4" w:space="0" w:color="auto"/>
            </w:tcBorders>
            <w:vAlign w:val="bottom"/>
          </w:tcPr>
          <w:p w14:paraId="53FA6CFE" w14:textId="77777777" w:rsidR="009158D7" w:rsidRPr="000F120F" w:rsidRDefault="009158D7" w:rsidP="00F36942">
            <w:pPr>
              <w:pStyle w:val="Tabletext"/>
              <w:rPr>
                <w:snapToGrid w:val="0"/>
              </w:rPr>
            </w:pPr>
            <w:r w:rsidRPr="00295986">
              <w:t>0</w:t>
            </w:r>
            <w:r w:rsidR="00D7157D">
              <w:t>.</w:t>
            </w:r>
            <w:r w:rsidRPr="00295986">
              <w:t>5184</w:t>
            </w:r>
          </w:p>
        </w:tc>
      </w:tr>
      <w:tr w:rsidR="009158D7" w:rsidRPr="009E2595" w14:paraId="4FD5DF68" w14:textId="77777777" w:rsidTr="00F36942">
        <w:trPr>
          <w:cantSplit/>
        </w:trPr>
        <w:tc>
          <w:tcPr>
            <w:tcW w:w="1365" w:type="pct"/>
            <w:tcBorders>
              <w:top w:val="single" w:sz="4" w:space="0" w:color="auto"/>
              <w:bottom w:val="single" w:sz="4" w:space="0" w:color="auto"/>
            </w:tcBorders>
          </w:tcPr>
          <w:p w14:paraId="7455CDC9" w14:textId="77777777" w:rsidR="009158D7" w:rsidRPr="00616B26" w:rsidRDefault="009158D7" w:rsidP="00F36942">
            <w:pPr>
              <w:pStyle w:val="Tabletext"/>
              <w:rPr>
                <w:snapToGrid w:val="0"/>
              </w:rPr>
            </w:pPr>
            <w:r w:rsidRPr="00616B26">
              <w:rPr>
                <w:snapToGrid w:val="0"/>
              </w:rPr>
              <w:t>24</w:t>
            </w:r>
          </w:p>
        </w:tc>
        <w:tc>
          <w:tcPr>
            <w:tcW w:w="909" w:type="pct"/>
            <w:tcBorders>
              <w:top w:val="single" w:sz="4" w:space="0" w:color="auto"/>
              <w:bottom w:val="single" w:sz="4" w:space="0" w:color="auto"/>
            </w:tcBorders>
            <w:vAlign w:val="bottom"/>
          </w:tcPr>
          <w:p w14:paraId="1AC48EC9" w14:textId="77777777" w:rsidR="009158D7" w:rsidRPr="000F120F" w:rsidRDefault="009158D7" w:rsidP="00F36942">
            <w:pPr>
              <w:pStyle w:val="Tabletext"/>
              <w:rPr>
                <w:snapToGrid w:val="0"/>
              </w:rPr>
            </w:pPr>
            <w:r w:rsidRPr="00295986">
              <w:t>32</w:t>
            </w:r>
            <w:r w:rsidR="00D7157D">
              <w:t>.</w:t>
            </w:r>
            <w:r w:rsidRPr="00295986">
              <w:t>7377</w:t>
            </w:r>
          </w:p>
        </w:tc>
        <w:tc>
          <w:tcPr>
            <w:tcW w:w="909" w:type="pct"/>
            <w:tcBorders>
              <w:top w:val="single" w:sz="4" w:space="0" w:color="auto"/>
              <w:bottom w:val="single" w:sz="4" w:space="0" w:color="auto"/>
            </w:tcBorders>
            <w:vAlign w:val="bottom"/>
          </w:tcPr>
          <w:p w14:paraId="01A664C1" w14:textId="77777777" w:rsidR="009158D7" w:rsidRPr="000F120F" w:rsidRDefault="009158D7" w:rsidP="00F36942">
            <w:pPr>
              <w:pStyle w:val="Tabletext"/>
              <w:rPr>
                <w:snapToGrid w:val="0"/>
              </w:rPr>
            </w:pPr>
            <w:r w:rsidRPr="00295986">
              <w:t>1</w:t>
            </w:r>
            <w:r w:rsidR="00D7157D">
              <w:t>.</w:t>
            </w:r>
            <w:r w:rsidRPr="00295986">
              <w:t>3128</w:t>
            </w:r>
          </w:p>
        </w:tc>
        <w:tc>
          <w:tcPr>
            <w:tcW w:w="909" w:type="pct"/>
            <w:tcBorders>
              <w:top w:val="single" w:sz="4" w:space="0" w:color="auto"/>
              <w:bottom w:val="single" w:sz="4" w:space="0" w:color="auto"/>
            </w:tcBorders>
            <w:vAlign w:val="bottom"/>
          </w:tcPr>
          <w:p w14:paraId="6773E846" w14:textId="77777777" w:rsidR="009158D7" w:rsidRPr="000F120F" w:rsidRDefault="009158D7" w:rsidP="00F36942">
            <w:pPr>
              <w:pStyle w:val="Tabletext"/>
              <w:rPr>
                <w:snapToGrid w:val="0"/>
              </w:rPr>
            </w:pPr>
            <w:r w:rsidRPr="00295986">
              <w:t>33</w:t>
            </w:r>
            <w:r w:rsidR="00D7157D">
              <w:t>.</w:t>
            </w:r>
            <w:r w:rsidRPr="00295986">
              <w:t>4212</w:t>
            </w:r>
          </w:p>
        </w:tc>
        <w:tc>
          <w:tcPr>
            <w:tcW w:w="908" w:type="pct"/>
            <w:tcBorders>
              <w:top w:val="single" w:sz="4" w:space="0" w:color="auto"/>
              <w:bottom w:val="single" w:sz="4" w:space="0" w:color="auto"/>
            </w:tcBorders>
            <w:vAlign w:val="bottom"/>
          </w:tcPr>
          <w:p w14:paraId="64A2AD0E" w14:textId="77777777" w:rsidR="009158D7" w:rsidRPr="000F120F" w:rsidRDefault="009158D7" w:rsidP="00F36942">
            <w:pPr>
              <w:pStyle w:val="Tabletext"/>
              <w:rPr>
                <w:snapToGrid w:val="0"/>
              </w:rPr>
            </w:pPr>
            <w:r w:rsidRPr="00295986">
              <w:t>0</w:t>
            </w:r>
            <w:r w:rsidR="00D7157D">
              <w:t>.</w:t>
            </w:r>
            <w:r w:rsidRPr="00295986">
              <w:t>5324</w:t>
            </w:r>
          </w:p>
        </w:tc>
      </w:tr>
      <w:tr w:rsidR="009158D7" w:rsidRPr="009E2595" w14:paraId="7C9B8A6B" w14:textId="77777777" w:rsidTr="00F36942">
        <w:trPr>
          <w:cantSplit/>
        </w:trPr>
        <w:tc>
          <w:tcPr>
            <w:tcW w:w="1365" w:type="pct"/>
            <w:tcBorders>
              <w:top w:val="single" w:sz="4" w:space="0" w:color="auto"/>
              <w:bottom w:val="single" w:sz="4" w:space="0" w:color="auto"/>
            </w:tcBorders>
          </w:tcPr>
          <w:p w14:paraId="5AE87325" w14:textId="77777777" w:rsidR="009158D7" w:rsidRPr="00616B26" w:rsidRDefault="009158D7" w:rsidP="00F36942">
            <w:pPr>
              <w:pStyle w:val="Tabletext"/>
              <w:rPr>
                <w:snapToGrid w:val="0"/>
              </w:rPr>
            </w:pPr>
            <w:r w:rsidRPr="00616B26">
              <w:rPr>
                <w:snapToGrid w:val="0"/>
              </w:rPr>
              <w:t>25</w:t>
            </w:r>
          </w:p>
        </w:tc>
        <w:tc>
          <w:tcPr>
            <w:tcW w:w="909" w:type="pct"/>
            <w:tcBorders>
              <w:top w:val="single" w:sz="4" w:space="0" w:color="auto"/>
              <w:bottom w:val="single" w:sz="4" w:space="0" w:color="auto"/>
            </w:tcBorders>
            <w:vAlign w:val="bottom"/>
          </w:tcPr>
          <w:p w14:paraId="22962E88" w14:textId="77777777" w:rsidR="009158D7" w:rsidRPr="000F120F" w:rsidRDefault="009158D7" w:rsidP="00F36942">
            <w:pPr>
              <w:pStyle w:val="Tabletext"/>
              <w:rPr>
                <w:snapToGrid w:val="0"/>
              </w:rPr>
            </w:pPr>
            <w:r w:rsidRPr="00295986">
              <w:t>32</w:t>
            </w:r>
            <w:r w:rsidR="00D7157D">
              <w:t>.</w:t>
            </w:r>
            <w:r w:rsidRPr="00295986">
              <w:t>5099</w:t>
            </w:r>
          </w:p>
        </w:tc>
        <w:tc>
          <w:tcPr>
            <w:tcW w:w="909" w:type="pct"/>
            <w:tcBorders>
              <w:top w:val="single" w:sz="4" w:space="0" w:color="auto"/>
              <w:bottom w:val="single" w:sz="4" w:space="0" w:color="auto"/>
            </w:tcBorders>
            <w:vAlign w:val="bottom"/>
          </w:tcPr>
          <w:p w14:paraId="7683D3F2" w14:textId="77777777" w:rsidR="009158D7" w:rsidRPr="000F120F" w:rsidRDefault="009158D7" w:rsidP="00F36942">
            <w:pPr>
              <w:pStyle w:val="Tabletext"/>
              <w:rPr>
                <w:snapToGrid w:val="0"/>
              </w:rPr>
            </w:pPr>
            <w:r w:rsidRPr="00295986">
              <w:t>1</w:t>
            </w:r>
            <w:r w:rsidR="00D7157D">
              <w:t>.</w:t>
            </w:r>
            <w:r w:rsidRPr="00295986">
              <w:t>3448</w:t>
            </w:r>
          </w:p>
        </w:tc>
        <w:tc>
          <w:tcPr>
            <w:tcW w:w="909" w:type="pct"/>
            <w:tcBorders>
              <w:top w:val="single" w:sz="4" w:space="0" w:color="auto"/>
              <w:bottom w:val="single" w:sz="4" w:space="0" w:color="auto"/>
            </w:tcBorders>
            <w:vAlign w:val="bottom"/>
          </w:tcPr>
          <w:p w14:paraId="3A66E220" w14:textId="77777777" w:rsidR="009158D7" w:rsidRPr="000F120F" w:rsidRDefault="009158D7" w:rsidP="00F36942">
            <w:pPr>
              <w:pStyle w:val="Tabletext"/>
              <w:rPr>
                <w:snapToGrid w:val="0"/>
              </w:rPr>
            </w:pPr>
            <w:r w:rsidRPr="00295986">
              <w:t>33</w:t>
            </w:r>
            <w:r w:rsidR="00D7157D">
              <w:t>.</w:t>
            </w:r>
            <w:r w:rsidRPr="00295986">
              <w:t>2066</w:t>
            </w:r>
          </w:p>
        </w:tc>
        <w:tc>
          <w:tcPr>
            <w:tcW w:w="908" w:type="pct"/>
            <w:tcBorders>
              <w:top w:val="single" w:sz="4" w:space="0" w:color="auto"/>
              <w:bottom w:val="single" w:sz="4" w:space="0" w:color="auto"/>
            </w:tcBorders>
            <w:vAlign w:val="bottom"/>
          </w:tcPr>
          <w:p w14:paraId="17FDBF2B" w14:textId="77777777" w:rsidR="009158D7" w:rsidRPr="000F120F" w:rsidRDefault="009158D7" w:rsidP="00F36942">
            <w:pPr>
              <w:pStyle w:val="Tabletext"/>
              <w:rPr>
                <w:snapToGrid w:val="0"/>
              </w:rPr>
            </w:pPr>
            <w:r w:rsidRPr="00295986">
              <w:t>0</w:t>
            </w:r>
            <w:r w:rsidR="00D7157D">
              <w:t>.</w:t>
            </w:r>
            <w:r w:rsidRPr="00295986">
              <w:t>5466</w:t>
            </w:r>
          </w:p>
        </w:tc>
      </w:tr>
      <w:tr w:rsidR="009158D7" w:rsidRPr="009E2595" w14:paraId="48050F0C" w14:textId="77777777" w:rsidTr="00F36942">
        <w:trPr>
          <w:cantSplit/>
        </w:trPr>
        <w:tc>
          <w:tcPr>
            <w:tcW w:w="1365" w:type="pct"/>
            <w:tcBorders>
              <w:top w:val="single" w:sz="4" w:space="0" w:color="auto"/>
              <w:bottom w:val="single" w:sz="4" w:space="0" w:color="auto"/>
            </w:tcBorders>
          </w:tcPr>
          <w:p w14:paraId="761A14BE" w14:textId="77777777" w:rsidR="009158D7" w:rsidRPr="00616B26" w:rsidRDefault="009158D7" w:rsidP="00F36942">
            <w:pPr>
              <w:pStyle w:val="Tabletext"/>
              <w:rPr>
                <w:snapToGrid w:val="0"/>
              </w:rPr>
            </w:pPr>
            <w:r w:rsidRPr="00616B26">
              <w:rPr>
                <w:snapToGrid w:val="0"/>
              </w:rPr>
              <w:t>26</w:t>
            </w:r>
          </w:p>
        </w:tc>
        <w:tc>
          <w:tcPr>
            <w:tcW w:w="909" w:type="pct"/>
            <w:tcBorders>
              <w:top w:val="single" w:sz="4" w:space="0" w:color="auto"/>
              <w:bottom w:val="single" w:sz="4" w:space="0" w:color="auto"/>
            </w:tcBorders>
            <w:vAlign w:val="bottom"/>
          </w:tcPr>
          <w:p w14:paraId="619AB030" w14:textId="77777777" w:rsidR="009158D7" w:rsidRPr="000F120F" w:rsidRDefault="009158D7" w:rsidP="00F36942">
            <w:pPr>
              <w:pStyle w:val="Tabletext"/>
              <w:rPr>
                <w:snapToGrid w:val="0"/>
              </w:rPr>
            </w:pPr>
            <w:r w:rsidRPr="00295986">
              <w:t>32</w:t>
            </w:r>
            <w:r w:rsidR="00D7157D">
              <w:t>.</w:t>
            </w:r>
            <w:r w:rsidRPr="00295986">
              <w:t>2765</w:t>
            </w:r>
          </w:p>
        </w:tc>
        <w:tc>
          <w:tcPr>
            <w:tcW w:w="909" w:type="pct"/>
            <w:tcBorders>
              <w:top w:val="single" w:sz="4" w:space="0" w:color="auto"/>
              <w:bottom w:val="single" w:sz="4" w:space="0" w:color="auto"/>
            </w:tcBorders>
            <w:vAlign w:val="bottom"/>
          </w:tcPr>
          <w:p w14:paraId="06660253" w14:textId="77777777" w:rsidR="009158D7" w:rsidRPr="000F120F" w:rsidRDefault="009158D7" w:rsidP="00F36942">
            <w:pPr>
              <w:pStyle w:val="Tabletext"/>
              <w:rPr>
                <w:snapToGrid w:val="0"/>
              </w:rPr>
            </w:pPr>
            <w:r w:rsidRPr="00295986">
              <w:t>1</w:t>
            </w:r>
            <w:r w:rsidR="00D7157D">
              <w:t>.</w:t>
            </w:r>
            <w:r w:rsidRPr="00295986">
              <w:t>3775</w:t>
            </w:r>
          </w:p>
        </w:tc>
        <w:tc>
          <w:tcPr>
            <w:tcW w:w="909" w:type="pct"/>
            <w:tcBorders>
              <w:top w:val="single" w:sz="4" w:space="0" w:color="auto"/>
              <w:bottom w:val="single" w:sz="4" w:space="0" w:color="auto"/>
            </w:tcBorders>
            <w:vAlign w:val="bottom"/>
          </w:tcPr>
          <w:p w14:paraId="1273D850" w14:textId="77777777" w:rsidR="009158D7" w:rsidRPr="000F120F" w:rsidRDefault="009158D7" w:rsidP="00F36942">
            <w:pPr>
              <w:pStyle w:val="Tabletext"/>
              <w:rPr>
                <w:snapToGrid w:val="0"/>
              </w:rPr>
            </w:pPr>
            <w:r w:rsidRPr="00295986">
              <w:t>32</w:t>
            </w:r>
            <w:r w:rsidR="00D7157D">
              <w:t>.</w:t>
            </w:r>
            <w:r w:rsidRPr="00295986">
              <w:t>9863</w:t>
            </w:r>
          </w:p>
        </w:tc>
        <w:tc>
          <w:tcPr>
            <w:tcW w:w="908" w:type="pct"/>
            <w:tcBorders>
              <w:top w:val="single" w:sz="4" w:space="0" w:color="auto"/>
              <w:bottom w:val="single" w:sz="4" w:space="0" w:color="auto"/>
            </w:tcBorders>
            <w:vAlign w:val="bottom"/>
          </w:tcPr>
          <w:p w14:paraId="013E2459" w14:textId="77777777" w:rsidR="009158D7" w:rsidRPr="000F120F" w:rsidRDefault="009158D7" w:rsidP="00F36942">
            <w:pPr>
              <w:pStyle w:val="Tabletext"/>
              <w:rPr>
                <w:snapToGrid w:val="0"/>
              </w:rPr>
            </w:pPr>
            <w:r w:rsidRPr="00295986">
              <w:t>0</w:t>
            </w:r>
            <w:r w:rsidR="00D7157D">
              <w:t>.</w:t>
            </w:r>
            <w:r w:rsidRPr="00295986">
              <w:t>5613</w:t>
            </w:r>
          </w:p>
        </w:tc>
      </w:tr>
      <w:tr w:rsidR="009158D7" w:rsidRPr="009E2595" w14:paraId="0C41DA5D" w14:textId="77777777" w:rsidTr="00F36942">
        <w:trPr>
          <w:cantSplit/>
        </w:trPr>
        <w:tc>
          <w:tcPr>
            <w:tcW w:w="1365" w:type="pct"/>
            <w:tcBorders>
              <w:top w:val="single" w:sz="4" w:space="0" w:color="auto"/>
              <w:bottom w:val="single" w:sz="4" w:space="0" w:color="auto"/>
            </w:tcBorders>
          </w:tcPr>
          <w:p w14:paraId="051F195A" w14:textId="77777777" w:rsidR="009158D7" w:rsidRPr="00616B26" w:rsidRDefault="009158D7" w:rsidP="00F36942">
            <w:pPr>
              <w:pStyle w:val="Tabletext"/>
              <w:rPr>
                <w:snapToGrid w:val="0"/>
              </w:rPr>
            </w:pPr>
            <w:r w:rsidRPr="00616B26">
              <w:rPr>
                <w:snapToGrid w:val="0"/>
              </w:rPr>
              <w:t>27</w:t>
            </w:r>
          </w:p>
        </w:tc>
        <w:tc>
          <w:tcPr>
            <w:tcW w:w="909" w:type="pct"/>
            <w:tcBorders>
              <w:top w:val="single" w:sz="4" w:space="0" w:color="auto"/>
              <w:bottom w:val="single" w:sz="4" w:space="0" w:color="auto"/>
            </w:tcBorders>
            <w:vAlign w:val="bottom"/>
          </w:tcPr>
          <w:p w14:paraId="151C5668" w14:textId="77777777" w:rsidR="009158D7" w:rsidRPr="000F120F" w:rsidRDefault="009158D7" w:rsidP="00F36942">
            <w:pPr>
              <w:pStyle w:val="Tabletext"/>
              <w:rPr>
                <w:snapToGrid w:val="0"/>
              </w:rPr>
            </w:pPr>
            <w:r w:rsidRPr="00295986">
              <w:t>32</w:t>
            </w:r>
            <w:r w:rsidR="00D7157D">
              <w:t>.</w:t>
            </w:r>
            <w:r w:rsidRPr="00295986">
              <w:t>0373</w:t>
            </w:r>
          </w:p>
        </w:tc>
        <w:tc>
          <w:tcPr>
            <w:tcW w:w="909" w:type="pct"/>
            <w:tcBorders>
              <w:top w:val="single" w:sz="4" w:space="0" w:color="auto"/>
              <w:bottom w:val="single" w:sz="4" w:space="0" w:color="auto"/>
            </w:tcBorders>
            <w:vAlign w:val="bottom"/>
          </w:tcPr>
          <w:p w14:paraId="7B2B9CE8" w14:textId="77777777" w:rsidR="009158D7" w:rsidRPr="000F120F" w:rsidRDefault="009158D7" w:rsidP="00F36942">
            <w:pPr>
              <w:pStyle w:val="Tabletext"/>
              <w:rPr>
                <w:snapToGrid w:val="0"/>
              </w:rPr>
            </w:pPr>
            <w:r w:rsidRPr="00295986">
              <w:t>1</w:t>
            </w:r>
            <w:r w:rsidR="00D7157D">
              <w:t>.</w:t>
            </w:r>
            <w:r w:rsidRPr="00295986">
              <w:t>4109</w:t>
            </w:r>
          </w:p>
        </w:tc>
        <w:tc>
          <w:tcPr>
            <w:tcW w:w="909" w:type="pct"/>
            <w:tcBorders>
              <w:top w:val="single" w:sz="4" w:space="0" w:color="auto"/>
              <w:bottom w:val="single" w:sz="4" w:space="0" w:color="auto"/>
            </w:tcBorders>
            <w:vAlign w:val="bottom"/>
          </w:tcPr>
          <w:p w14:paraId="532F7B46" w14:textId="77777777" w:rsidR="009158D7" w:rsidRPr="000F120F" w:rsidRDefault="009158D7" w:rsidP="00F36942">
            <w:pPr>
              <w:pStyle w:val="Tabletext"/>
              <w:rPr>
                <w:snapToGrid w:val="0"/>
              </w:rPr>
            </w:pPr>
            <w:r w:rsidRPr="00295986">
              <w:t>32</w:t>
            </w:r>
            <w:r w:rsidR="00D7157D">
              <w:t>.</w:t>
            </w:r>
            <w:r w:rsidRPr="00295986">
              <w:t>7604</w:t>
            </w:r>
          </w:p>
        </w:tc>
        <w:tc>
          <w:tcPr>
            <w:tcW w:w="908" w:type="pct"/>
            <w:tcBorders>
              <w:top w:val="single" w:sz="4" w:space="0" w:color="auto"/>
              <w:bottom w:val="single" w:sz="4" w:space="0" w:color="auto"/>
            </w:tcBorders>
            <w:vAlign w:val="bottom"/>
          </w:tcPr>
          <w:p w14:paraId="5F99042B" w14:textId="77777777" w:rsidR="009158D7" w:rsidRPr="000F120F" w:rsidRDefault="009158D7" w:rsidP="00F36942">
            <w:pPr>
              <w:pStyle w:val="Tabletext"/>
              <w:rPr>
                <w:snapToGrid w:val="0"/>
              </w:rPr>
            </w:pPr>
            <w:r w:rsidRPr="00295986">
              <w:t>0</w:t>
            </w:r>
            <w:r w:rsidR="00D7157D">
              <w:t>.</w:t>
            </w:r>
            <w:r w:rsidRPr="00295986">
              <w:t>5764</w:t>
            </w:r>
          </w:p>
        </w:tc>
      </w:tr>
      <w:tr w:rsidR="009158D7" w:rsidRPr="009E2595" w14:paraId="64361238" w14:textId="77777777" w:rsidTr="00F36942">
        <w:trPr>
          <w:cantSplit/>
        </w:trPr>
        <w:tc>
          <w:tcPr>
            <w:tcW w:w="1365" w:type="pct"/>
            <w:tcBorders>
              <w:top w:val="single" w:sz="4" w:space="0" w:color="auto"/>
              <w:bottom w:val="single" w:sz="4" w:space="0" w:color="auto"/>
            </w:tcBorders>
          </w:tcPr>
          <w:p w14:paraId="5562D51C" w14:textId="77777777" w:rsidR="009158D7" w:rsidRPr="00616B26" w:rsidRDefault="009158D7" w:rsidP="00F36942">
            <w:pPr>
              <w:pStyle w:val="Tabletext"/>
              <w:rPr>
                <w:snapToGrid w:val="0"/>
              </w:rPr>
            </w:pPr>
            <w:r w:rsidRPr="00616B26">
              <w:rPr>
                <w:snapToGrid w:val="0"/>
              </w:rPr>
              <w:t>28</w:t>
            </w:r>
          </w:p>
        </w:tc>
        <w:tc>
          <w:tcPr>
            <w:tcW w:w="909" w:type="pct"/>
            <w:tcBorders>
              <w:top w:val="single" w:sz="4" w:space="0" w:color="auto"/>
              <w:bottom w:val="single" w:sz="4" w:space="0" w:color="auto"/>
            </w:tcBorders>
            <w:vAlign w:val="bottom"/>
          </w:tcPr>
          <w:p w14:paraId="4B967D45" w14:textId="77777777" w:rsidR="009158D7" w:rsidRPr="000F120F" w:rsidRDefault="009158D7" w:rsidP="00F36942">
            <w:pPr>
              <w:pStyle w:val="Tabletext"/>
              <w:rPr>
                <w:snapToGrid w:val="0"/>
              </w:rPr>
            </w:pPr>
            <w:r w:rsidRPr="00295986">
              <w:t>31</w:t>
            </w:r>
            <w:r w:rsidR="00D7157D">
              <w:t>.</w:t>
            </w:r>
            <w:r w:rsidRPr="00295986">
              <w:t>7921</w:t>
            </w:r>
          </w:p>
        </w:tc>
        <w:tc>
          <w:tcPr>
            <w:tcW w:w="909" w:type="pct"/>
            <w:tcBorders>
              <w:top w:val="single" w:sz="4" w:space="0" w:color="auto"/>
              <w:bottom w:val="single" w:sz="4" w:space="0" w:color="auto"/>
            </w:tcBorders>
            <w:vAlign w:val="bottom"/>
          </w:tcPr>
          <w:p w14:paraId="6750A1B2" w14:textId="77777777" w:rsidR="009158D7" w:rsidRPr="000F120F" w:rsidRDefault="009158D7" w:rsidP="00F36942">
            <w:pPr>
              <w:pStyle w:val="Tabletext"/>
              <w:rPr>
                <w:snapToGrid w:val="0"/>
              </w:rPr>
            </w:pPr>
            <w:r w:rsidRPr="00295986">
              <w:t>1</w:t>
            </w:r>
            <w:r w:rsidR="00D7157D">
              <w:t>.</w:t>
            </w:r>
            <w:r w:rsidRPr="00295986">
              <w:t>4452</w:t>
            </w:r>
          </w:p>
        </w:tc>
        <w:tc>
          <w:tcPr>
            <w:tcW w:w="909" w:type="pct"/>
            <w:tcBorders>
              <w:top w:val="single" w:sz="4" w:space="0" w:color="auto"/>
              <w:bottom w:val="single" w:sz="4" w:space="0" w:color="auto"/>
            </w:tcBorders>
            <w:vAlign w:val="bottom"/>
          </w:tcPr>
          <w:p w14:paraId="1B581D81" w14:textId="77777777" w:rsidR="009158D7" w:rsidRPr="000F120F" w:rsidRDefault="009158D7" w:rsidP="00F36942">
            <w:pPr>
              <w:pStyle w:val="Tabletext"/>
              <w:rPr>
                <w:snapToGrid w:val="0"/>
              </w:rPr>
            </w:pPr>
            <w:r w:rsidRPr="00295986">
              <w:t>32</w:t>
            </w:r>
            <w:r w:rsidR="00D7157D">
              <w:t>.</w:t>
            </w:r>
            <w:r w:rsidRPr="00295986">
              <w:t>5289</w:t>
            </w:r>
          </w:p>
        </w:tc>
        <w:tc>
          <w:tcPr>
            <w:tcW w:w="908" w:type="pct"/>
            <w:tcBorders>
              <w:top w:val="single" w:sz="4" w:space="0" w:color="auto"/>
              <w:bottom w:val="single" w:sz="4" w:space="0" w:color="auto"/>
            </w:tcBorders>
            <w:vAlign w:val="bottom"/>
          </w:tcPr>
          <w:p w14:paraId="1E70B0A9" w14:textId="77777777" w:rsidR="009158D7" w:rsidRPr="000F120F" w:rsidRDefault="009158D7" w:rsidP="00F36942">
            <w:pPr>
              <w:pStyle w:val="Tabletext"/>
              <w:rPr>
                <w:snapToGrid w:val="0"/>
              </w:rPr>
            </w:pPr>
            <w:r w:rsidRPr="00295986">
              <w:t>0</w:t>
            </w:r>
            <w:r w:rsidR="00D7157D">
              <w:t>.</w:t>
            </w:r>
            <w:r w:rsidRPr="00295986">
              <w:t>5918</w:t>
            </w:r>
          </w:p>
        </w:tc>
      </w:tr>
      <w:tr w:rsidR="009158D7" w:rsidRPr="009E2595" w14:paraId="401E4C66" w14:textId="77777777" w:rsidTr="00F36942">
        <w:trPr>
          <w:cantSplit/>
        </w:trPr>
        <w:tc>
          <w:tcPr>
            <w:tcW w:w="1365" w:type="pct"/>
            <w:tcBorders>
              <w:top w:val="single" w:sz="4" w:space="0" w:color="auto"/>
              <w:bottom w:val="single" w:sz="4" w:space="0" w:color="auto"/>
            </w:tcBorders>
          </w:tcPr>
          <w:p w14:paraId="0965CB7C" w14:textId="77777777" w:rsidR="009158D7" w:rsidRPr="00616B26" w:rsidRDefault="009158D7" w:rsidP="00F36942">
            <w:pPr>
              <w:pStyle w:val="Tabletext"/>
              <w:rPr>
                <w:snapToGrid w:val="0"/>
              </w:rPr>
            </w:pPr>
            <w:r w:rsidRPr="00616B26">
              <w:rPr>
                <w:snapToGrid w:val="0"/>
              </w:rPr>
              <w:t>29</w:t>
            </w:r>
          </w:p>
        </w:tc>
        <w:tc>
          <w:tcPr>
            <w:tcW w:w="909" w:type="pct"/>
            <w:tcBorders>
              <w:top w:val="single" w:sz="4" w:space="0" w:color="auto"/>
              <w:bottom w:val="single" w:sz="4" w:space="0" w:color="auto"/>
            </w:tcBorders>
            <w:vAlign w:val="bottom"/>
          </w:tcPr>
          <w:p w14:paraId="213BFF0F" w14:textId="77777777" w:rsidR="009158D7" w:rsidRPr="000F120F" w:rsidRDefault="009158D7" w:rsidP="00F36942">
            <w:pPr>
              <w:pStyle w:val="Tabletext"/>
              <w:rPr>
                <w:snapToGrid w:val="0"/>
              </w:rPr>
            </w:pPr>
            <w:r w:rsidRPr="00295986">
              <w:t>31</w:t>
            </w:r>
            <w:r w:rsidR="00D7157D">
              <w:t>.</w:t>
            </w:r>
            <w:r w:rsidRPr="00295986">
              <w:t>5413</w:t>
            </w:r>
          </w:p>
        </w:tc>
        <w:tc>
          <w:tcPr>
            <w:tcW w:w="909" w:type="pct"/>
            <w:tcBorders>
              <w:top w:val="single" w:sz="4" w:space="0" w:color="auto"/>
              <w:bottom w:val="single" w:sz="4" w:space="0" w:color="auto"/>
            </w:tcBorders>
            <w:vAlign w:val="bottom"/>
          </w:tcPr>
          <w:p w14:paraId="15B49FF8" w14:textId="77777777" w:rsidR="009158D7" w:rsidRPr="000F120F" w:rsidRDefault="009158D7" w:rsidP="00F36942">
            <w:pPr>
              <w:pStyle w:val="Tabletext"/>
              <w:rPr>
                <w:snapToGrid w:val="0"/>
              </w:rPr>
            </w:pPr>
            <w:r w:rsidRPr="00295986">
              <w:t>1</w:t>
            </w:r>
            <w:r w:rsidR="00D7157D">
              <w:t>.</w:t>
            </w:r>
            <w:r w:rsidRPr="00295986">
              <w:t>4800</w:t>
            </w:r>
          </w:p>
        </w:tc>
        <w:tc>
          <w:tcPr>
            <w:tcW w:w="909" w:type="pct"/>
            <w:tcBorders>
              <w:top w:val="single" w:sz="4" w:space="0" w:color="auto"/>
              <w:bottom w:val="single" w:sz="4" w:space="0" w:color="auto"/>
            </w:tcBorders>
            <w:vAlign w:val="bottom"/>
          </w:tcPr>
          <w:p w14:paraId="4D69A570" w14:textId="77777777" w:rsidR="009158D7" w:rsidRPr="000F120F" w:rsidRDefault="009158D7" w:rsidP="00F36942">
            <w:pPr>
              <w:pStyle w:val="Tabletext"/>
              <w:rPr>
                <w:snapToGrid w:val="0"/>
              </w:rPr>
            </w:pPr>
            <w:r w:rsidRPr="00295986">
              <w:t>32</w:t>
            </w:r>
            <w:r w:rsidR="00D7157D">
              <w:t>.</w:t>
            </w:r>
            <w:r w:rsidRPr="00295986">
              <w:t>2917</w:t>
            </w:r>
          </w:p>
        </w:tc>
        <w:tc>
          <w:tcPr>
            <w:tcW w:w="908" w:type="pct"/>
            <w:tcBorders>
              <w:top w:val="single" w:sz="4" w:space="0" w:color="auto"/>
              <w:bottom w:val="single" w:sz="4" w:space="0" w:color="auto"/>
            </w:tcBorders>
            <w:vAlign w:val="bottom"/>
          </w:tcPr>
          <w:p w14:paraId="68FCAA4D" w14:textId="77777777" w:rsidR="009158D7" w:rsidRPr="000F120F" w:rsidRDefault="009158D7" w:rsidP="00F36942">
            <w:pPr>
              <w:pStyle w:val="Tabletext"/>
              <w:rPr>
                <w:snapToGrid w:val="0"/>
              </w:rPr>
            </w:pPr>
            <w:r w:rsidRPr="00295986">
              <w:t>0</w:t>
            </w:r>
            <w:r w:rsidR="00D7157D">
              <w:t>.</w:t>
            </w:r>
            <w:r w:rsidRPr="00295986">
              <w:t>6075</w:t>
            </w:r>
          </w:p>
        </w:tc>
      </w:tr>
      <w:tr w:rsidR="009158D7" w:rsidRPr="009E2595" w14:paraId="6D4C491A" w14:textId="77777777" w:rsidTr="00F36942">
        <w:trPr>
          <w:cantSplit/>
        </w:trPr>
        <w:tc>
          <w:tcPr>
            <w:tcW w:w="1365" w:type="pct"/>
            <w:tcBorders>
              <w:top w:val="single" w:sz="4" w:space="0" w:color="auto"/>
              <w:bottom w:val="single" w:sz="4" w:space="0" w:color="auto"/>
            </w:tcBorders>
          </w:tcPr>
          <w:p w14:paraId="6565CBA1" w14:textId="77777777" w:rsidR="009158D7" w:rsidRPr="00616B26" w:rsidRDefault="009158D7" w:rsidP="00F36942">
            <w:pPr>
              <w:pStyle w:val="Tabletext"/>
              <w:rPr>
                <w:snapToGrid w:val="0"/>
              </w:rPr>
            </w:pPr>
            <w:r w:rsidRPr="00616B26">
              <w:rPr>
                <w:snapToGrid w:val="0"/>
              </w:rPr>
              <w:t>30</w:t>
            </w:r>
          </w:p>
        </w:tc>
        <w:tc>
          <w:tcPr>
            <w:tcW w:w="909" w:type="pct"/>
            <w:tcBorders>
              <w:top w:val="single" w:sz="4" w:space="0" w:color="auto"/>
              <w:bottom w:val="single" w:sz="4" w:space="0" w:color="auto"/>
            </w:tcBorders>
            <w:vAlign w:val="bottom"/>
          </w:tcPr>
          <w:p w14:paraId="0D41D2E2" w14:textId="77777777" w:rsidR="009158D7" w:rsidRPr="000F120F" w:rsidRDefault="009158D7" w:rsidP="00F36942">
            <w:pPr>
              <w:pStyle w:val="Tabletext"/>
              <w:rPr>
                <w:snapToGrid w:val="0"/>
              </w:rPr>
            </w:pPr>
            <w:r w:rsidRPr="00295986">
              <w:t>31</w:t>
            </w:r>
            <w:r w:rsidR="00D7157D">
              <w:t>.</w:t>
            </w:r>
            <w:r w:rsidRPr="00295986">
              <w:t>2842</w:t>
            </w:r>
          </w:p>
        </w:tc>
        <w:tc>
          <w:tcPr>
            <w:tcW w:w="909" w:type="pct"/>
            <w:tcBorders>
              <w:top w:val="single" w:sz="4" w:space="0" w:color="auto"/>
              <w:bottom w:val="single" w:sz="4" w:space="0" w:color="auto"/>
            </w:tcBorders>
            <w:vAlign w:val="bottom"/>
          </w:tcPr>
          <w:p w14:paraId="3143D117" w14:textId="77777777" w:rsidR="009158D7" w:rsidRPr="000F120F" w:rsidRDefault="009158D7" w:rsidP="00F36942">
            <w:pPr>
              <w:pStyle w:val="Tabletext"/>
              <w:rPr>
                <w:snapToGrid w:val="0"/>
              </w:rPr>
            </w:pPr>
            <w:r w:rsidRPr="00295986">
              <w:t>1</w:t>
            </w:r>
            <w:r w:rsidR="00D7157D">
              <w:t>.</w:t>
            </w:r>
            <w:r w:rsidRPr="00295986">
              <w:t>5157</w:t>
            </w:r>
          </w:p>
        </w:tc>
        <w:tc>
          <w:tcPr>
            <w:tcW w:w="909" w:type="pct"/>
            <w:tcBorders>
              <w:top w:val="single" w:sz="4" w:space="0" w:color="auto"/>
              <w:bottom w:val="single" w:sz="4" w:space="0" w:color="auto"/>
            </w:tcBorders>
            <w:vAlign w:val="bottom"/>
          </w:tcPr>
          <w:p w14:paraId="11B9208C" w14:textId="77777777" w:rsidR="009158D7" w:rsidRPr="000F120F" w:rsidRDefault="009158D7" w:rsidP="00F36942">
            <w:pPr>
              <w:pStyle w:val="Tabletext"/>
              <w:rPr>
                <w:snapToGrid w:val="0"/>
              </w:rPr>
            </w:pPr>
            <w:r w:rsidRPr="00295986">
              <w:t>32</w:t>
            </w:r>
            <w:r w:rsidR="00D7157D">
              <w:t>.</w:t>
            </w:r>
            <w:r w:rsidRPr="00295986">
              <w:t>0487</w:t>
            </w:r>
          </w:p>
        </w:tc>
        <w:tc>
          <w:tcPr>
            <w:tcW w:w="908" w:type="pct"/>
            <w:tcBorders>
              <w:top w:val="single" w:sz="4" w:space="0" w:color="auto"/>
              <w:bottom w:val="single" w:sz="4" w:space="0" w:color="auto"/>
            </w:tcBorders>
            <w:vAlign w:val="bottom"/>
          </w:tcPr>
          <w:p w14:paraId="06224F63" w14:textId="77777777" w:rsidR="009158D7" w:rsidRPr="000F120F" w:rsidRDefault="009158D7" w:rsidP="00F36942">
            <w:pPr>
              <w:pStyle w:val="Tabletext"/>
              <w:rPr>
                <w:snapToGrid w:val="0"/>
              </w:rPr>
            </w:pPr>
            <w:r w:rsidRPr="00295986">
              <w:t>0</w:t>
            </w:r>
            <w:r w:rsidR="00D7157D">
              <w:t>.</w:t>
            </w:r>
            <w:r w:rsidRPr="00295986">
              <w:t>6235</w:t>
            </w:r>
          </w:p>
        </w:tc>
      </w:tr>
      <w:tr w:rsidR="009158D7" w:rsidRPr="009E2595" w14:paraId="036970C2" w14:textId="77777777" w:rsidTr="00F36942">
        <w:trPr>
          <w:cantSplit/>
        </w:trPr>
        <w:tc>
          <w:tcPr>
            <w:tcW w:w="1365" w:type="pct"/>
            <w:tcBorders>
              <w:top w:val="single" w:sz="4" w:space="0" w:color="auto"/>
              <w:bottom w:val="single" w:sz="4" w:space="0" w:color="auto"/>
            </w:tcBorders>
          </w:tcPr>
          <w:p w14:paraId="229D56DE" w14:textId="77777777" w:rsidR="009158D7" w:rsidRPr="00616B26" w:rsidRDefault="009158D7" w:rsidP="00F36942">
            <w:pPr>
              <w:pStyle w:val="Tabletext"/>
              <w:rPr>
                <w:snapToGrid w:val="0"/>
              </w:rPr>
            </w:pPr>
            <w:r w:rsidRPr="00616B26">
              <w:rPr>
                <w:snapToGrid w:val="0"/>
              </w:rPr>
              <w:t>31</w:t>
            </w:r>
          </w:p>
        </w:tc>
        <w:tc>
          <w:tcPr>
            <w:tcW w:w="909" w:type="pct"/>
            <w:tcBorders>
              <w:top w:val="single" w:sz="4" w:space="0" w:color="auto"/>
              <w:bottom w:val="single" w:sz="4" w:space="0" w:color="auto"/>
            </w:tcBorders>
            <w:vAlign w:val="bottom"/>
          </w:tcPr>
          <w:p w14:paraId="091A5632" w14:textId="77777777" w:rsidR="009158D7" w:rsidRPr="000F120F" w:rsidRDefault="009158D7" w:rsidP="00F36942">
            <w:pPr>
              <w:pStyle w:val="Tabletext"/>
              <w:rPr>
                <w:snapToGrid w:val="0"/>
              </w:rPr>
            </w:pPr>
            <w:r w:rsidRPr="00295986">
              <w:t>31</w:t>
            </w:r>
            <w:r w:rsidR="00D7157D">
              <w:t>.</w:t>
            </w:r>
            <w:r w:rsidRPr="00295986">
              <w:t>0210</w:t>
            </w:r>
          </w:p>
        </w:tc>
        <w:tc>
          <w:tcPr>
            <w:tcW w:w="909" w:type="pct"/>
            <w:tcBorders>
              <w:top w:val="single" w:sz="4" w:space="0" w:color="auto"/>
              <w:bottom w:val="single" w:sz="4" w:space="0" w:color="auto"/>
            </w:tcBorders>
            <w:vAlign w:val="bottom"/>
          </w:tcPr>
          <w:p w14:paraId="526983F2" w14:textId="77777777" w:rsidR="009158D7" w:rsidRPr="000F120F" w:rsidRDefault="009158D7" w:rsidP="00F36942">
            <w:pPr>
              <w:pStyle w:val="Tabletext"/>
              <w:rPr>
                <w:snapToGrid w:val="0"/>
              </w:rPr>
            </w:pPr>
            <w:r w:rsidRPr="00295986">
              <w:t>1</w:t>
            </w:r>
            <w:r w:rsidR="00D7157D">
              <w:t>.</w:t>
            </w:r>
            <w:r w:rsidRPr="00295986">
              <w:t>5520</w:t>
            </w:r>
          </w:p>
        </w:tc>
        <w:tc>
          <w:tcPr>
            <w:tcW w:w="909" w:type="pct"/>
            <w:tcBorders>
              <w:top w:val="single" w:sz="4" w:space="0" w:color="auto"/>
              <w:bottom w:val="single" w:sz="4" w:space="0" w:color="auto"/>
            </w:tcBorders>
            <w:vAlign w:val="bottom"/>
          </w:tcPr>
          <w:p w14:paraId="34F7B534" w14:textId="77777777" w:rsidR="009158D7" w:rsidRPr="000F120F" w:rsidRDefault="009158D7" w:rsidP="00F36942">
            <w:pPr>
              <w:pStyle w:val="Tabletext"/>
              <w:rPr>
                <w:snapToGrid w:val="0"/>
              </w:rPr>
            </w:pPr>
            <w:r w:rsidRPr="00295986">
              <w:t>31</w:t>
            </w:r>
            <w:r w:rsidR="00D7157D">
              <w:t>.</w:t>
            </w:r>
            <w:r w:rsidRPr="00295986">
              <w:t>7997</w:t>
            </w:r>
          </w:p>
        </w:tc>
        <w:tc>
          <w:tcPr>
            <w:tcW w:w="908" w:type="pct"/>
            <w:tcBorders>
              <w:top w:val="single" w:sz="4" w:space="0" w:color="auto"/>
              <w:bottom w:val="single" w:sz="4" w:space="0" w:color="auto"/>
            </w:tcBorders>
            <w:vAlign w:val="bottom"/>
          </w:tcPr>
          <w:p w14:paraId="1DEF6103" w14:textId="77777777" w:rsidR="009158D7" w:rsidRPr="000F120F" w:rsidRDefault="009158D7" w:rsidP="00F36942">
            <w:pPr>
              <w:pStyle w:val="Tabletext"/>
              <w:rPr>
                <w:snapToGrid w:val="0"/>
              </w:rPr>
            </w:pPr>
            <w:r w:rsidRPr="00295986">
              <w:t>0</w:t>
            </w:r>
            <w:r w:rsidR="00D7157D">
              <w:t>.</w:t>
            </w:r>
            <w:r w:rsidRPr="00295986">
              <w:t>6398</w:t>
            </w:r>
          </w:p>
        </w:tc>
      </w:tr>
      <w:tr w:rsidR="009158D7" w:rsidRPr="009E2595" w14:paraId="09E8FCCC" w14:textId="77777777" w:rsidTr="00F36942">
        <w:trPr>
          <w:cantSplit/>
        </w:trPr>
        <w:tc>
          <w:tcPr>
            <w:tcW w:w="1365" w:type="pct"/>
            <w:tcBorders>
              <w:top w:val="single" w:sz="4" w:space="0" w:color="auto"/>
              <w:bottom w:val="single" w:sz="4" w:space="0" w:color="auto"/>
            </w:tcBorders>
          </w:tcPr>
          <w:p w14:paraId="7F176C95" w14:textId="77777777" w:rsidR="009158D7" w:rsidRPr="00616B26" w:rsidRDefault="009158D7" w:rsidP="00F36942">
            <w:pPr>
              <w:pStyle w:val="Tabletext"/>
              <w:rPr>
                <w:snapToGrid w:val="0"/>
              </w:rPr>
            </w:pPr>
            <w:r w:rsidRPr="00616B26">
              <w:rPr>
                <w:snapToGrid w:val="0"/>
              </w:rPr>
              <w:t>32</w:t>
            </w:r>
          </w:p>
        </w:tc>
        <w:tc>
          <w:tcPr>
            <w:tcW w:w="909" w:type="pct"/>
            <w:tcBorders>
              <w:top w:val="single" w:sz="4" w:space="0" w:color="auto"/>
              <w:bottom w:val="single" w:sz="4" w:space="0" w:color="auto"/>
            </w:tcBorders>
            <w:vAlign w:val="bottom"/>
          </w:tcPr>
          <w:p w14:paraId="40AD937A" w14:textId="77777777" w:rsidR="009158D7" w:rsidRPr="000F120F" w:rsidRDefault="009158D7" w:rsidP="00F36942">
            <w:pPr>
              <w:pStyle w:val="Tabletext"/>
              <w:rPr>
                <w:snapToGrid w:val="0"/>
              </w:rPr>
            </w:pPr>
            <w:r w:rsidRPr="00295986">
              <w:t>30</w:t>
            </w:r>
            <w:r w:rsidR="00D7157D">
              <w:t>.</w:t>
            </w:r>
            <w:r w:rsidRPr="00295986">
              <w:t>7515</w:t>
            </w:r>
          </w:p>
        </w:tc>
        <w:tc>
          <w:tcPr>
            <w:tcW w:w="909" w:type="pct"/>
            <w:tcBorders>
              <w:top w:val="single" w:sz="4" w:space="0" w:color="auto"/>
              <w:bottom w:val="single" w:sz="4" w:space="0" w:color="auto"/>
            </w:tcBorders>
            <w:vAlign w:val="bottom"/>
          </w:tcPr>
          <w:p w14:paraId="5DFF9931" w14:textId="77777777" w:rsidR="009158D7" w:rsidRPr="000F120F" w:rsidRDefault="009158D7" w:rsidP="00F36942">
            <w:pPr>
              <w:pStyle w:val="Tabletext"/>
              <w:rPr>
                <w:snapToGrid w:val="0"/>
              </w:rPr>
            </w:pPr>
            <w:r w:rsidRPr="00295986">
              <w:t>1</w:t>
            </w:r>
            <w:r w:rsidR="00D7157D">
              <w:t>.</w:t>
            </w:r>
            <w:r w:rsidRPr="00295986">
              <w:t>5890</w:t>
            </w:r>
          </w:p>
        </w:tc>
        <w:tc>
          <w:tcPr>
            <w:tcW w:w="909" w:type="pct"/>
            <w:tcBorders>
              <w:top w:val="single" w:sz="4" w:space="0" w:color="auto"/>
              <w:bottom w:val="single" w:sz="4" w:space="0" w:color="auto"/>
            </w:tcBorders>
            <w:vAlign w:val="bottom"/>
          </w:tcPr>
          <w:p w14:paraId="31A4DFE4" w14:textId="77777777" w:rsidR="009158D7" w:rsidRPr="000F120F" w:rsidRDefault="009158D7" w:rsidP="00F36942">
            <w:pPr>
              <w:pStyle w:val="Tabletext"/>
              <w:rPr>
                <w:snapToGrid w:val="0"/>
              </w:rPr>
            </w:pPr>
            <w:r w:rsidRPr="00295986">
              <w:t>31</w:t>
            </w:r>
            <w:r w:rsidR="00D7157D">
              <w:t>.</w:t>
            </w:r>
            <w:r w:rsidRPr="00295986">
              <w:t>5450</w:t>
            </w:r>
          </w:p>
        </w:tc>
        <w:tc>
          <w:tcPr>
            <w:tcW w:w="908" w:type="pct"/>
            <w:tcBorders>
              <w:top w:val="single" w:sz="4" w:space="0" w:color="auto"/>
              <w:bottom w:val="single" w:sz="4" w:space="0" w:color="auto"/>
            </w:tcBorders>
            <w:vAlign w:val="bottom"/>
          </w:tcPr>
          <w:p w14:paraId="1D2E07AB" w14:textId="77777777" w:rsidR="009158D7" w:rsidRPr="000F120F" w:rsidRDefault="009158D7" w:rsidP="00F36942">
            <w:pPr>
              <w:pStyle w:val="Tabletext"/>
              <w:rPr>
                <w:snapToGrid w:val="0"/>
              </w:rPr>
            </w:pPr>
            <w:r w:rsidRPr="00295986">
              <w:t>0</w:t>
            </w:r>
            <w:r w:rsidR="00D7157D">
              <w:t>.</w:t>
            </w:r>
            <w:r w:rsidRPr="00295986">
              <w:t>6564</w:t>
            </w:r>
          </w:p>
        </w:tc>
      </w:tr>
      <w:tr w:rsidR="009158D7" w:rsidRPr="009E2595" w14:paraId="2B94936F" w14:textId="77777777" w:rsidTr="00F36942">
        <w:trPr>
          <w:cantSplit/>
        </w:trPr>
        <w:tc>
          <w:tcPr>
            <w:tcW w:w="1365" w:type="pct"/>
            <w:tcBorders>
              <w:top w:val="single" w:sz="4" w:space="0" w:color="auto"/>
              <w:bottom w:val="single" w:sz="4" w:space="0" w:color="auto"/>
            </w:tcBorders>
          </w:tcPr>
          <w:p w14:paraId="4A36D123" w14:textId="77777777" w:rsidR="009158D7" w:rsidRPr="00616B26" w:rsidRDefault="009158D7" w:rsidP="00F36942">
            <w:pPr>
              <w:pStyle w:val="Tabletext"/>
              <w:rPr>
                <w:snapToGrid w:val="0"/>
              </w:rPr>
            </w:pPr>
            <w:r w:rsidRPr="00616B26">
              <w:rPr>
                <w:snapToGrid w:val="0"/>
              </w:rPr>
              <w:t>33</w:t>
            </w:r>
          </w:p>
        </w:tc>
        <w:tc>
          <w:tcPr>
            <w:tcW w:w="909" w:type="pct"/>
            <w:tcBorders>
              <w:top w:val="single" w:sz="4" w:space="0" w:color="auto"/>
              <w:bottom w:val="single" w:sz="4" w:space="0" w:color="auto"/>
            </w:tcBorders>
            <w:vAlign w:val="bottom"/>
          </w:tcPr>
          <w:p w14:paraId="3401F9F1" w14:textId="77777777" w:rsidR="009158D7" w:rsidRPr="000F120F" w:rsidRDefault="009158D7" w:rsidP="00F36942">
            <w:pPr>
              <w:pStyle w:val="Tabletext"/>
              <w:rPr>
                <w:snapToGrid w:val="0"/>
              </w:rPr>
            </w:pPr>
            <w:r w:rsidRPr="00295986">
              <w:t>30</w:t>
            </w:r>
            <w:r w:rsidR="00D7157D">
              <w:t>.</w:t>
            </w:r>
            <w:r w:rsidRPr="00295986">
              <w:t>4757</w:t>
            </w:r>
          </w:p>
        </w:tc>
        <w:tc>
          <w:tcPr>
            <w:tcW w:w="909" w:type="pct"/>
            <w:tcBorders>
              <w:top w:val="single" w:sz="4" w:space="0" w:color="auto"/>
              <w:bottom w:val="single" w:sz="4" w:space="0" w:color="auto"/>
            </w:tcBorders>
            <w:vAlign w:val="bottom"/>
          </w:tcPr>
          <w:p w14:paraId="4ADE5E4E" w14:textId="77777777" w:rsidR="009158D7" w:rsidRPr="000F120F" w:rsidRDefault="009158D7" w:rsidP="00F36942">
            <w:pPr>
              <w:pStyle w:val="Tabletext"/>
              <w:rPr>
                <w:snapToGrid w:val="0"/>
              </w:rPr>
            </w:pPr>
            <w:r w:rsidRPr="00295986">
              <w:t>1</w:t>
            </w:r>
            <w:r w:rsidR="00D7157D">
              <w:t>.</w:t>
            </w:r>
            <w:r w:rsidRPr="00295986">
              <w:t>6268</w:t>
            </w:r>
          </w:p>
        </w:tc>
        <w:tc>
          <w:tcPr>
            <w:tcW w:w="909" w:type="pct"/>
            <w:tcBorders>
              <w:top w:val="single" w:sz="4" w:space="0" w:color="auto"/>
              <w:bottom w:val="single" w:sz="4" w:space="0" w:color="auto"/>
            </w:tcBorders>
            <w:vAlign w:val="bottom"/>
          </w:tcPr>
          <w:p w14:paraId="4FD4A250" w14:textId="77777777" w:rsidR="009158D7" w:rsidRPr="000F120F" w:rsidRDefault="009158D7" w:rsidP="00F36942">
            <w:pPr>
              <w:pStyle w:val="Tabletext"/>
              <w:rPr>
                <w:snapToGrid w:val="0"/>
              </w:rPr>
            </w:pPr>
            <w:r w:rsidRPr="00295986">
              <w:t>31</w:t>
            </w:r>
            <w:r w:rsidR="00D7157D">
              <w:t>.</w:t>
            </w:r>
            <w:r w:rsidRPr="00295986">
              <w:t>2839</w:t>
            </w:r>
          </w:p>
        </w:tc>
        <w:tc>
          <w:tcPr>
            <w:tcW w:w="908" w:type="pct"/>
            <w:tcBorders>
              <w:top w:val="single" w:sz="4" w:space="0" w:color="auto"/>
              <w:bottom w:val="single" w:sz="4" w:space="0" w:color="auto"/>
            </w:tcBorders>
            <w:vAlign w:val="bottom"/>
          </w:tcPr>
          <w:p w14:paraId="2B63B7F2" w14:textId="77777777" w:rsidR="009158D7" w:rsidRPr="000F120F" w:rsidRDefault="009158D7" w:rsidP="00F36942">
            <w:pPr>
              <w:pStyle w:val="Tabletext"/>
              <w:rPr>
                <w:snapToGrid w:val="0"/>
              </w:rPr>
            </w:pPr>
            <w:r w:rsidRPr="00295986">
              <w:t>0</w:t>
            </w:r>
            <w:r w:rsidR="00D7157D">
              <w:t>.</w:t>
            </w:r>
            <w:r w:rsidRPr="00295986">
              <w:t>6732</w:t>
            </w:r>
          </w:p>
        </w:tc>
      </w:tr>
      <w:tr w:rsidR="009158D7" w:rsidRPr="009E2595" w14:paraId="358F1889" w14:textId="77777777" w:rsidTr="00F36942">
        <w:trPr>
          <w:cantSplit/>
        </w:trPr>
        <w:tc>
          <w:tcPr>
            <w:tcW w:w="1365" w:type="pct"/>
            <w:tcBorders>
              <w:top w:val="single" w:sz="4" w:space="0" w:color="auto"/>
              <w:bottom w:val="single" w:sz="4" w:space="0" w:color="auto"/>
            </w:tcBorders>
          </w:tcPr>
          <w:p w14:paraId="7DE8DEF7" w14:textId="77777777" w:rsidR="009158D7" w:rsidRPr="00616B26" w:rsidRDefault="009158D7" w:rsidP="00F36942">
            <w:pPr>
              <w:pStyle w:val="Tabletext"/>
              <w:rPr>
                <w:snapToGrid w:val="0"/>
              </w:rPr>
            </w:pPr>
            <w:r w:rsidRPr="00616B26">
              <w:rPr>
                <w:snapToGrid w:val="0"/>
              </w:rPr>
              <w:t>34</w:t>
            </w:r>
          </w:p>
        </w:tc>
        <w:tc>
          <w:tcPr>
            <w:tcW w:w="909" w:type="pct"/>
            <w:tcBorders>
              <w:top w:val="single" w:sz="4" w:space="0" w:color="auto"/>
              <w:bottom w:val="single" w:sz="4" w:space="0" w:color="auto"/>
            </w:tcBorders>
            <w:vAlign w:val="bottom"/>
          </w:tcPr>
          <w:p w14:paraId="69BE9B2B" w14:textId="77777777" w:rsidR="009158D7" w:rsidRPr="000F120F" w:rsidRDefault="009158D7" w:rsidP="00F36942">
            <w:pPr>
              <w:pStyle w:val="Tabletext"/>
              <w:rPr>
                <w:snapToGrid w:val="0"/>
              </w:rPr>
            </w:pPr>
            <w:r w:rsidRPr="00295986">
              <w:t>30</w:t>
            </w:r>
            <w:r w:rsidR="00D7157D">
              <w:t>.</w:t>
            </w:r>
            <w:r w:rsidRPr="00295986">
              <w:t>1932</w:t>
            </w:r>
          </w:p>
        </w:tc>
        <w:tc>
          <w:tcPr>
            <w:tcW w:w="909" w:type="pct"/>
            <w:tcBorders>
              <w:top w:val="single" w:sz="4" w:space="0" w:color="auto"/>
              <w:bottom w:val="single" w:sz="4" w:space="0" w:color="auto"/>
            </w:tcBorders>
            <w:vAlign w:val="bottom"/>
          </w:tcPr>
          <w:p w14:paraId="5053C11F" w14:textId="77777777" w:rsidR="009158D7" w:rsidRPr="000F120F" w:rsidRDefault="009158D7" w:rsidP="00F36942">
            <w:pPr>
              <w:pStyle w:val="Tabletext"/>
              <w:rPr>
                <w:snapToGrid w:val="0"/>
              </w:rPr>
            </w:pPr>
            <w:r w:rsidRPr="00295986">
              <w:t>1</w:t>
            </w:r>
            <w:r w:rsidR="00D7157D">
              <w:t>.</w:t>
            </w:r>
            <w:r w:rsidRPr="00295986">
              <w:t>6652</w:t>
            </w:r>
          </w:p>
        </w:tc>
        <w:tc>
          <w:tcPr>
            <w:tcW w:w="909" w:type="pct"/>
            <w:tcBorders>
              <w:top w:val="single" w:sz="4" w:space="0" w:color="auto"/>
              <w:bottom w:val="single" w:sz="4" w:space="0" w:color="auto"/>
            </w:tcBorders>
            <w:vAlign w:val="bottom"/>
          </w:tcPr>
          <w:p w14:paraId="3824AFCF" w14:textId="77777777" w:rsidR="009158D7" w:rsidRPr="000F120F" w:rsidRDefault="009158D7" w:rsidP="00F36942">
            <w:pPr>
              <w:pStyle w:val="Tabletext"/>
              <w:rPr>
                <w:snapToGrid w:val="0"/>
              </w:rPr>
            </w:pPr>
            <w:r w:rsidRPr="00295986">
              <w:t>31</w:t>
            </w:r>
            <w:r w:rsidR="00D7157D">
              <w:t>.</w:t>
            </w:r>
            <w:r w:rsidRPr="00295986">
              <w:t>0167</w:t>
            </w:r>
          </w:p>
        </w:tc>
        <w:tc>
          <w:tcPr>
            <w:tcW w:w="908" w:type="pct"/>
            <w:tcBorders>
              <w:top w:val="single" w:sz="4" w:space="0" w:color="auto"/>
              <w:bottom w:val="single" w:sz="4" w:space="0" w:color="auto"/>
            </w:tcBorders>
            <w:vAlign w:val="bottom"/>
          </w:tcPr>
          <w:p w14:paraId="7279611A" w14:textId="77777777" w:rsidR="009158D7" w:rsidRPr="000F120F" w:rsidRDefault="009158D7" w:rsidP="00F36942">
            <w:pPr>
              <w:pStyle w:val="Tabletext"/>
              <w:rPr>
                <w:snapToGrid w:val="0"/>
              </w:rPr>
            </w:pPr>
            <w:r w:rsidRPr="00295986">
              <w:t>0</w:t>
            </w:r>
            <w:r w:rsidR="00D7157D">
              <w:t>.</w:t>
            </w:r>
            <w:r w:rsidRPr="00295986">
              <w:t>6903</w:t>
            </w:r>
          </w:p>
        </w:tc>
      </w:tr>
      <w:tr w:rsidR="009158D7" w:rsidRPr="009E2595" w14:paraId="14F8C1D2" w14:textId="77777777" w:rsidTr="00F36942">
        <w:trPr>
          <w:cantSplit/>
        </w:trPr>
        <w:tc>
          <w:tcPr>
            <w:tcW w:w="1365" w:type="pct"/>
            <w:tcBorders>
              <w:top w:val="single" w:sz="4" w:space="0" w:color="auto"/>
              <w:bottom w:val="single" w:sz="4" w:space="0" w:color="auto"/>
            </w:tcBorders>
          </w:tcPr>
          <w:p w14:paraId="4DACFD6F" w14:textId="77777777" w:rsidR="009158D7" w:rsidRPr="00616B26" w:rsidRDefault="009158D7" w:rsidP="00F36942">
            <w:pPr>
              <w:pStyle w:val="Tabletext"/>
              <w:rPr>
                <w:snapToGrid w:val="0"/>
              </w:rPr>
            </w:pPr>
            <w:r w:rsidRPr="00616B26">
              <w:rPr>
                <w:snapToGrid w:val="0"/>
              </w:rPr>
              <w:t>35</w:t>
            </w:r>
          </w:p>
        </w:tc>
        <w:tc>
          <w:tcPr>
            <w:tcW w:w="909" w:type="pct"/>
            <w:tcBorders>
              <w:top w:val="single" w:sz="4" w:space="0" w:color="auto"/>
              <w:bottom w:val="single" w:sz="4" w:space="0" w:color="auto"/>
            </w:tcBorders>
            <w:vAlign w:val="bottom"/>
          </w:tcPr>
          <w:p w14:paraId="008377F9" w14:textId="77777777" w:rsidR="009158D7" w:rsidRPr="000F120F" w:rsidRDefault="009158D7" w:rsidP="00F36942">
            <w:pPr>
              <w:pStyle w:val="Tabletext"/>
              <w:rPr>
                <w:snapToGrid w:val="0"/>
              </w:rPr>
            </w:pPr>
            <w:r w:rsidRPr="00295986">
              <w:t>29</w:t>
            </w:r>
            <w:r w:rsidR="00D7157D">
              <w:t>.</w:t>
            </w:r>
            <w:r w:rsidRPr="00295986">
              <w:t>9043</w:t>
            </w:r>
          </w:p>
        </w:tc>
        <w:tc>
          <w:tcPr>
            <w:tcW w:w="909" w:type="pct"/>
            <w:tcBorders>
              <w:top w:val="single" w:sz="4" w:space="0" w:color="auto"/>
              <w:bottom w:val="single" w:sz="4" w:space="0" w:color="auto"/>
            </w:tcBorders>
            <w:vAlign w:val="bottom"/>
          </w:tcPr>
          <w:p w14:paraId="4E9E4D78" w14:textId="77777777" w:rsidR="009158D7" w:rsidRPr="000F120F" w:rsidRDefault="009158D7" w:rsidP="00F36942">
            <w:pPr>
              <w:pStyle w:val="Tabletext"/>
              <w:rPr>
                <w:snapToGrid w:val="0"/>
              </w:rPr>
            </w:pPr>
            <w:r w:rsidRPr="00295986">
              <w:t>1</w:t>
            </w:r>
            <w:r w:rsidR="00D7157D">
              <w:t>.</w:t>
            </w:r>
            <w:r w:rsidRPr="00295986">
              <w:t>7043</w:t>
            </w:r>
          </w:p>
        </w:tc>
        <w:tc>
          <w:tcPr>
            <w:tcW w:w="909" w:type="pct"/>
            <w:tcBorders>
              <w:top w:val="single" w:sz="4" w:space="0" w:color="auto"/>
              <w:bottom w:val="single" w:sz="4" w:space="0" w:color="auto"/>
            </w:tcBorders>
            <w:vAlign w:val="bottom"/>
          </w:tcPr>
          <w:p w14:paraId="2A0ECF69" w14:textId="77777777" w:rsidR="009158D7" w:rsidRPr="000F120F" w:rsidRDefault="009158D7" w:rsidP="00F36942">
            <w:pPr>
              <w:pStyle w:val="Tabletext"/>
              <w:rPr>
                <w:snapToGrid w:val="0"/>
              </w:rPr>
            </w:pPr>
            <w:r w:rsidRPr="00295986">
              <w:t>30</w:t>
            </w:r>
            <w:r w:rsidR="00D7157D">
              <w:t>.</w:t>
            </w:r>
            <w:r w:rsidRPr="00295986">
              <w:t>7429</w:t>
            </w:r>
          </w:p>
        </w:tc>
        <w:tc>
          <w:tcPr>
            <w:tcW w:w="908" w:type="pct"/>
            <w:tcBorders>
              <w:top w:val="single" w:sz="4" w:space="0" w:color="auto"/>
              <w:bottom w:val="single" w:sz="4" w:space="0" w:color="auto"/>
            </w:tcBorders>
            <w:vAlign w:val="bottom"/>
          </w:tcPr>
          <w:p w14:paraId="1537B3C8" w14:textId="77777777" w:rsidR="009158D7" w:rsidRPr="000F120F" w:rsidRDefault="009158D7" w:rsidP="00F36942">
            <w:pPr>
              <w:pStyle w:val="Tabletext"/>
              <w:rPr>
                <w:snapToGrid w:val="0"/>
              </w:rPr>
            </w:pPr>
            <w:r w:rsidRPr="00295986">
              <w:t>0</w:t>
            </w:r>
            <w:r w:rsidR="00D7157D">
              <w:t>.</w:t>
            </w:r>
            <w:r w:rsidRPr="00295986">
              <w:t>7078</w:t>
            </w:r>
          </w:p>
        </w:tc>
      </w:tr>
      <w:tr w:rsidR="009158D7" w:rsidRPr="009E2595" w14:paraId="2E3544D7" w14:textId="77777777" w:rsidTr="00F36942">
        <w:trPr>
          <w:cantSplit/>
        </w:trPr>
        <w:tc>
          <w:tcPr>
            <w:tcW w:w="1365" w:type="pct"/>
            <w:tcBorders>
              <w:top w:val="single" w:sz="4" w:space="0" w:color="auto"/>
              <w:bottom w:val="single" w:sz="4" w:space="0" w:color="auto"/>
            </w:tcBorders>
          </w:tcPr>
          <w:p w14:paraId="263057AD" w14:textId="77777777" w:rsidR="009158D7" w:rsidRPr="00616B26" w:rsidRDefault="009158D7" w:rsidP="00F36942">
            <w:pPr>
              <w:pStyle w:val="Tabletext"/>
              <w:rPr>
                <w:snapToGrid w:val="0"/>
              </w:rPr>
            </w:pPr>
            <w:r w:rsidRPr="00616B26">
              <w:rPr>
                <w:snapToGrid w:val="0"/>
              </w:rPr>
              <w:t>36</w:t>
            </w:r>
          </w:p>
        </w:tc>
        <w:tc>
          <w:tcPr>
            <w:tcW w:w="909" w:type="pct"/>
            <w:tcBorders>
              <w:top w:val="single" w:sz="4" w:space="0" w:color="auto"/>
              <w:bottom w:val="single" w:sz="4" w:space="0" w:color="auto"/>
            </w:tcBorders>
            <w:vAlign w:val="bottom"/>
          </w:tcPr>
          <w:p w14:paraId="27A05F24" w14:textId="77777777" w:rsidR="009158D7" w:rsidRPr="000F120F" w:rsidRDefault="009158D7" w:rsidP="00F36942">
            <w:pPr>
              <w:pStyle w:val="Tabletext"/>
              <w:rPr>
                <w:snapToGrid w:val="0"/>
              </w:rPr>
            </w:pPr>
            <w:r w:rsidRPr="00295986">
              <w:t>29</w:t>
            </w:r>
            <w:r w:rsidR="00D7157D">
              <w:t>.</w:t>
            </w:r>
            <w:r w:rsidRPr="00295986">
              <w:t>6088</w:t>
            </w:r>
          </w:p>
        </w:tc>
        <w:tc>
          <w:tcPr>
            <w:tcW w:w="909" w:type="pct"/>
            <w:tcBorders>
              <w:top w:val="single" w:sz="4" w:space="0" w:color="auto"/>
              <w:bottom w:val="single" w:sz="4" w:space="0" w:color="auto"/>
            </w:tcBorders>
            <w:vAlign w:val="bottom"/>
          </w:tcPr>
          <w:p w14:paraId="4E6EB302" w14:textId="77777777" w:rsidR="009158D7" w:rsidRPr="000F120F" w:rsidRDefault="009158D7" w:rsidP="00F36942">
            <w:pPr>
              <w:pStyle w:val="Tabletext"/>
              <w:rPr>
                <w:snapToGrid w:val="0"/>
              </w:rPr>
            </w:pPr>
            <w:r w:rsidRPr="00295986">
              <w:t>1</w:t>
            </w:r>
            <w:r w:rsidR="00D7157D">
              <w:t>.</w:t>
            </w:r>
            <w:r w:rsidRPr="00295986">
              <w:t>7440</w:t>
            </w:r>
          </w:p>
        </w:tc>
        <w:tc>
          <w:tcPr>
            <w:tcW w:w="909" w:type="pct"/>
            <w:tcBorders>
              <w:top w:val="single" w:sz="4" w:space="0" w:color="auto"/>
              <w:bottom w:val="single" w:sz="4" w:space="0" w:color="auto"/>
            </w:tcBorders>
            <w:vAlign w:val="bottom"/>
          </w:tcPr>
          <w:p w14:paraId="07D61FC8" w14:textId="77777777" w:rsidR="009158D7" w:rsidRPr="000F120F" w:rsidRDefault="009158D7" w:rsidP="00F36942">
            <w:pPr>
              <w:pStyle w:val="Tabletext"/>
              <w:rPr>
                <w:snapToGrid w:val="0"/>
              </w:rPr>
            </w:pPr>
            <w:r w:rsidRPr="00295986">
              <w:t>30</w:t>
            </w:r>
            <w:r w:rsidR="00D7157D">
              <w:t>.</w:t>
            </w:r>
            <w:r w:rsidRPr="00295986">
              <w:t>4627</w:t>
            </w:r>
          </w:p>
        </w:tc>
        <w:tc>
          <w:tcPr>
            <w:tcW w:w="908" w:type="pct"/>
            <w:tcBorders>
              <w:top w:val="single" w:sz="4" w:space="0" w:color="auto"/>
              <w:bottom w:val="single" w:sz="4" w:space="0" w:color="auto"/>
            </w:tcBorders>
            <w:vAlign w:val="bottom"/>
          </w:tcPr>
          <w:p w14:paraId="3C8DFD25" w14:textId="77777777" w:rsidR="009158D7" w:rsidRPr="000F120F" w:rsidRDefault="009158D7" w:rsidP="00F36942">
            <w:pPr>
              <w:pStyle w:val="Tabletext"/>
              <w:rPr>
                <w:snapToGrid w:val="0"/>
              </w:rPr>
            </w:pPr>
            <w:r w:rsidRPr="00295986">
              <w:t>0</w:t>
            </w:r>
            <w:r w:rsidR="00D7157D">
              <w:t>.</w:t>
            </w:r>
            <w:r w:rsidRPr="00295986">
              <w:t>7254</w:t>
            </w:r>
          </w:p>
        </w:tc>
      </w:tr>
      <w:tr w:rsidR="009158D7" w:rsidRPr="009E2595" w14:paraId="778CD5EC" w14:textId="77777777" w:rsidTr="00F36942">
        <w:trPr>
          <w:cantSplit/>
        </w:trPr>
        <w:tc>
          <w:tcPr>
            <w:tcW w:w="1365" w:type="pct"/>
            <w:tcBorders>
              <w:top w:val="single" w:sz="4" w:space="0" w:color="auto"/>
              <w:bottom w:val="single" w:sz="4" w:space="0" w:color="auto"/>
            </w:tcBorders>
          </w:tcPr>
          <w:p w14:paraId="4C9EC21F" w14:textId="77777777" w:rsidR="009158D7" w:rsidRPr="00616B26" w:rsidRDefault="009158D7" w:rsidP="00F36942">
            <w:pPr>
              <w:pStyle w:val="Tabletext"/>
              <w:rPr>
                <w:snapToGrid w:val="0"/>
              </w:rPr>
            </w:pPr>
            <w:r w:rsidRPr="00616B26">
              <w:rPr>
                <w:snapToGrid w:val="0"/>
              </w:rPr>
              <w:t>37</w:t>
            </w:r>
          </w:p>
        </w:tc>
        <w:tc>
          <w:tcPr>
            <w:tcW w:w="909" w:type="pct"/>
            <w:tcBorders>
              <w:top w:val="single" w:sz="4" w:space="0" w:color="auto"/>
              <w:bottom w:val="single" w:sz="4" w:space="0" w:color="auto"/>
            </w:tcBorders>
            <w:vAlign w:val="bottom"/>
          </w:tcPr>
          <w:p w14:paraId="018A0D30" w14:textId="77777777" w:rsidR="009158D7" w:rsidRPr="000F120F" w:rsidRDefault="009158D7" w:rsidP="00F36942">
            <w:pPr>
              <w:pStyle w:val="Tabletext"/>
              <w:rPr>
                <w:snapToGrid w:val="0"/>
              </w:rPr>
            </w:pPr>
            <w:r w:rsidRPr="00295986">
              <w:t>29</w:t>
            </w:r>
            <w:r w:rsidR="00D7157D">
              <w:t>.</w:t>
            </w:r>
            <w:r w:rsidRPr="00295986">
              <w:t>3067</w:t>
            </w:r>
          </w:p>
        </w:tc>
        <w:tc>
          <w:tcPr>
            <w:tcW w:w="909" w:type="pct"/>
            <w:tcBorders>
              <w:top w:val="single" w:sz="4" w:space="0" w:color="auto"/>
              <w:bottom w:val="single" w:sz="4" w:space="0" w:color="auto"/>
            </w:tcBorders>
            <w:vAlign w:val="bottom"/>
          </w:tcPr>
          <w:p w14:paraId="28288976" w14:textId="77777777" w:rsidR="009158D7" w:rsidRPr="000F120F" w:rsidRDefault="009158D7" w:rsidP="00F36942">
            <w:pPr>
              <w:pStyle w:val="Tabletext"/>
              <w:rPr>
                <w:snapToGrid w:val="0"/>
              </w:rPr>
            </w:pPr>
            <w:r w:rsidRPr="00295986">
              <w:t>1</w:t>
            </w:r>
            <w:r w:rsidR="00D7157D">
              <w:t>.</w:t>
            </w:r>
            <w:r w:rsidRPr="00295986">
              <w:t>7842</w:t>
            </w:r>
          </w:p>
        </w:tc>
        <w:tc>
          <w:tcPr>
            <w:tcW w:w="909" w:type="pct"/>
            <w:tcBorders>
              <w:top w:val="single" w:sz="4" w:space="0" w:color="auto"/>
              <w:bottom w:val="single" w:sz="4" w:space="0" w:color="auto"/>
            </w:tcBorders>
            <w:vAlign w:val="bottom"/>
          </w:tcPr>
          <w:p w14:paraId="362E2EFD" w14:textId="77777777" w:rsidR="009158D7" w:rsidRPr="000F120F" w:rsidRDefault="009158D7" w:rsidP="00F36942">
            <w:pPr>
              <w:pStyle w:val="Tabletext"/>
              <w:rPr>
                <w:snapToGrid w:val="0"/>
              </w:rPr>
            </w:pPr>
            <w:r w:rsidRPr="00295986">
              <w:t>30</w:t>
            </w:r>
            <w:r w:rsidR="00D7157D">
              <w:t>.</w:t>
            </w:r>
            <w:r w:rsidRPr="00295986">
              <w:t>1758</w:t>
            </w:r>
          </w:p>
        </w:tc>
        <w:tc>
          <w:tcPr>
            <w:tcW w:w="908" w:type="pct"/>
            <w:tcBorders>
              <w:top w:val="single" w:sz="4" w:space="0" w:color="auto"/>
              <w:bottom w:val="single" w:sz="4" w:space="0" w:color="auto"/>
            </w:tcBorders>
            <w:vAlign w:val="bottom"/>
          </w:tcPr>
          <w:p w14:paraId="24CD6AF4" w14:textId="77777777" w:rsidR="009158D7" w:rsidRPr="000F120F" w:rsidRDefault="009158D7" w:rsidP="00F36942">
            <w:pPr>
              <w:pStyle w:val="Tabletext"/>
              <w:rPr>
                <w:snapToGrid w:val="0"/>
              </w:rPr>
            </w:pPr>
            <w:r w:rsidRPr="00295986">
              <w:t>0</w:t>
            </w:r>
            <w:r w:rsidR="00D7157D">
              <w:t>.</w:t>
            </w:r>
            <w:r w:rsidRPr="00295986">
              <w:t>7434</w:t>
            </w:r>
          </w:p>
        </w:tc>
      </w:tr>
      <w:tr w:rsidR="009158D7" w:rsidRPr="009E2595" w14:paraId="796EB33A" w14:textId="77777777" w:rsidTr="00F36942">
        <w:trPr>
          <w:cantSplit/>
        </w:trPr>
        <w:tc>
          <w:tcPr>
            <w:tcW w:w="1365" w:type="pct"/>
            <w:tcBorders>
              <w:top w:val="single" w:sz="4" w:space="0" w:color="auto"/>
              <w:bottom w:val="single" w:sz="4" w:space="0" w:color="auto"/>
            </w:tcBorders>
          </w:tcPr>
          <w:p w14:paraId="70F7C348" w14:textId="77777777" w:rsidR="009158D7" w:rsidRPr="00616B26" w:rsidRDefault="009158D7" w:rsidP="00F36942">
            <w:pPr>
              <w:pStyle w:val="Tabletext"/>
              <w:rPr>
                <w:snapToGrid w:val="0"/>
              </w:rPr>
            </w:pPr>
            <w:r w:rsidRPr="00616B26">
              <w:rPr>
                <w:snapToGrid w:val="0"/>
              </w:rPr>
              <w:t>38</w:t>
            </w:r>
          </w:p>
        </w:tc>
        <w:tc>
          <w:tcPr>
            <w:tcW w:w="909" w:type="pct"/>
            <w:tcBorders>
              <w:top w:val="single" w:sz="4" w:space="0" w:color="auto"/>
              <w:bottom w:val="single" w:sz="4" w:space="0" w:color="auto"/>
            </w:tcBorders>
            <w:vAlign w:val="bottom"/>
          </w:tcPr>
          <w:p w14:paraId="6C0B876E" w14:textId="77777777" w:rsidR="009158D7" w:rsidRPr="000F120F" w:rsidRDefault="009158D7" w:rsidP="00F36942">
            <w:pPr>
              <w:pStyle w:val="Tabletext"/>
              <w:rPr>
                <w:snapToGrid w:val="0"/>
              </w:rPr>
            </w:pPr>
            <w:r w:rsidRPr="00295986">
              <w:t>28</w:t>
            </w:r>
            <w:r w:rsidR="00D7157D">
              <w:t>.</w:t>
            </w:r>
            <w:r w:rsidRPr="00295986">
              <w:t>9979</w:t>
            </w:r>
          </w:p>
        </w:tc>
        <w:tc>
          <w:tcPr>
            <w:tcW w:w="909" w:type="pct"/>
            <w:tcBorders>
              <w:top w:val="single" w:sz="4" w:space="0" w:color="auto"/>
              <w:bottom w:val="single" w:sz="4" w:space="0" w:color="auto"/>
            </w:tcBorders>
            <w:vAlign w:val="bottom"/>
          </w:tcPr>
          <w:p w14:paraId="115784EB" w14:textId="77777777" w:rsidR="009158D7" w:rsidRPr="000F120F" w:rsidRDefault="009158D7" w:rsidP="00F36942">
            <w:pPr>
              <w:pStyle w:val="Tabletext"/>
              <w:rPr>
                <w:snapToGrid w:val="0"/>
              </w:rPr>
            </w:pPr>
            <w:r w:rsidRPr="00295986">
              <w:t>1</w:t>
            </w:r>
            <w:r w:rsidR="00D7157D">
              <w:t>.</w:t>
            </w:r>
            <w:r w:rsidRPr="00295986">
              <w:t>8248</w:t>
            </w:r>
          </w:p>
        </w:tc>
        <w:tc>
          <w:tcPr>
            <w:tcW w:w="909" w:type="pct"/>
            <w:tcBorders>
              <w:top w:val="single" w:sz="4" w:space="0" w:color="auto"/>
              <w:bottom w:val="single" w:sz="4" w:space="0" w:color="auto"/>
            </w:tcBorders>
            <w:vAlign w:val="bottom"/>
          </w:tcPr>
          <w:p w14:paraId="6592EBE2" w14:textId="77777777" w:rsidR="009158D7" w:rsidRPr="000F120F" w:rsidRDefault="009158D7" w:rsidP="00F36942">
            <w:pPr>
              <w:pStyle w:val="Tabletext"/>
              <w:rPr>
                <w:snapToGrid w:val="0"/>
              </w:rPr>
            </w:pPr>
            <w:r w:rsidRPr="00295986">
              <w:t>29</w:t>
            </w:r>
            <w:r w:rsidR="00D7157D">
              <w:t>.</w:t>
            </w:r>
            <w:r w:rsidRPr="00295986">
              <w:t>8821</w:t>
            </w:r>
          </w:p>
        </w:tc>
        <w:tc>
          <w:tcPr>
            <w:tcW w:w="908" w:type="pct"/>
            <w:tcBorders>
              <w:top w:val="single" w:sz="4" w:space="0" w:color="auto"/>
              <w:bottom w:val="single" w:sz="4" w:space="0" w:color="auto"/>
            </w:tcBorders>
            <w:vAlign w:val="bottom"/>
          </w:tcPr>
          <w:p w14:paraId="50702600" w14:textId="77777777" w:rsidR="009158D7" w:rsidRPr="000F120F" w:rsidRDefault="009158D7" w:rsidP="00F36942">
            <w:pPr>
              <w:pStyle w:val="Tabletext"/>
              <w:rPr>
                <w:snapToGrid w:val="0"/>
              </w:rPr>
            </w:pPr>
            <w:r w:rsidRPr="00295986">
              <w:t>0</w:t>
            </w:r>
            <w:r w:rsidR="00D7157D">
              <w:t>.</w:t>
            </w:r>
            <w:r w:rsidRPr="00295986">
              <w:t>7616</w:t>
            </w:r>
          </w:p>
        </w:tc>
      </w:tr>
      <w:tr w:rsidR="009158D7" w:rsidRPr="009E2595" w14:paraId="1846E276" w14:textId="77777777" w:rsidTr="00F36942">
        <w:trPr>
          <w:cantSplit/>
        </w:trPr>
        <w:tc>
          <w:tcPr>
            <w:tcW w:w="1365" w:type="pct"/>
            <w:tcBorders>
              <w:top w:val="single" w:sz="4" w:space="0" w:color="auto"/>
              <w:bottom w:val="single" w:sz="4" w:space="0" w:color="auto"/>
            </w:tcBorders>
          </w:tcPr>
          <w:p w14:paraId="26DEA11F" w14:textId="77777777" w:rsidR="009158D7" w:rsidRPr="00616B26" w:rsidRDefault="009158D7" w:rsidP="00F36942">
            <w:pPr>
              <w:pStyle w:val="Tabletext"/>
              <w:rPr>
                <w:snapToGrid w:val="0"/>
              </w:rPr>
            </w:pPr>
            <w:r w:rsidRPr="00616B26">
              <w:rPr>
                <w:snapToGrid w:val="0"/>
              </w:rPr>
              <w:t>39</w:t>
            </w:r>
          </w:p>
        </w:tc>
        <w:tc>
          <w:tcPr>
            <w:tcW w:w="909" w:type="pct"/>
            <w:tcBorders>
              <w:top w:val="single" w:sz="4" w:space="0" w:color="auto"/>
              <w:bottom w:val="single" w:sz="4" w:space="0" w:color="auto"/>
            </w:tcBorders>
            <w:vAlign w:val="bottom"/>
          </w:tcPr>
          <w:p w14:paraId="45D7EF37" w14:textId="77777777" w:rsidR="009158D7" w:rsidRPr="000F120F" w:rsidRDefault="009158D7" w:rsidP="00F36942">
            <w:pPr>
              <w:pStyle w:val="Tabletext"/>
              <w:rPr>
                <w:snapToGrid w:val="0"/>
              </w:rPr>
            </w:pPr>
            <w:r w:rsidRPr="00295986">
              <w:t>28</w:t>
            </w:r>
            <w:r w:rsidR="00D7157D">
              <w:t>.</w:t>
            </w:r>
            <w:r w:rsidRPr="00295986">
              <w:t>6823</w:t>
            </w:r>
          </w:p>
        </w:tc>
        <w:tc>
          <w:tcPr>
            <w:tcW w:w="909" w:type="pct"/>
            <w:tcBorders>
              <w:top w:val="single" w:sz="4" w:space="0" w:color="auto"/>
              <w:bottom w:val="single" w:sz="4" w:space="0" w:color="auto"/>
            </w:tcBorders>
            <w:vAlign w:val="bottom"/>
          </w:tcPr>
          <w:p w14:paraId="0800D95D" w14:textId="77777777" w:rsidR="009158D7" w:rsidRPr="000F120F" w:rsidRDefault="009158D7" w:rsidP="00F36942">
            <w:pPr>
              <w:pStyle w:val="Tabletext"/>
              <w:rPr>
                <w:snapToGrid w:val="0"/>
              </w:rPr>
            </w:pPr>
            <w:r w:rsidRPr="00295986">
              <w:t>1</w:t>
            </w:r>
            <w:r w:rsidR="00D7157D">
              <w:t>.</w:t>
            </w:r>
            <w:r w:rsidRPr="00295986">
              <w:t>8660</w:t>
            </w:r>
          </w:p>
        </w:tc>
        <w:tc>
          <w:tcPr>
            <w:tcW w:w="909" w:type="pct"/>
            <w:tcBorders>
              <w:top w:val="single" w:sz="4" w:space="0" w:color="auto"/>
              <w:bottom w:val="single" w:sz="4" w:space="0" w:color="auto"/>
            </w:tcBorders>
            <w:vAlign w:val="bottom"/>
          </w:tcPr>
          <w:p w14:paraId="239F8A19" w14:textId="77777777" w:rsidR="009158D7" w:rsidRPr="000F120F" w:rsidRDefault="009158D7" w:rsidP="00F36942">
            <w:pPr>
              <w:pStyle w:val="Tabletext"/>
              <w:rPr>
                <w:snapToGrid w:val="0"/>
              </w:rPr>
            </w:pPr>
            <w:r w:rsidRPr="00295986">
              <w:t>29</w:t>
            </w:r>
            <w:r w:rsidR="00D7157D">
              <w:t>.</w:t>
            </w:r>
            <w:r w:rsidRPr="00295986">
              <w:t>5813</w:t>
            </w:r>
          </w:p>
        </w:tc>
        <w:tc>
          <w:tcPr>
            <w:tcW w:w="908" w:type="pct"/>
            <w:tcBorders>
              <w:top w:val="single" w:sz="4" w:space="0" w:color="auto"/>
              <w:bottom w:val="single" w:sz="4" w:space="0" w:color="auto"/>
            </w:tcBorders>
            <w:vAlign w:val="bottom"/>
          </w:tcPr>
          <w:p w14:paraId="3A81953C" w14:textId="77777777" w:rsidR="009158D7" w:rsidRPr="000F120F" w:rsidRDefault="009158D7" w:rsidP="00F36942">
            <w:pPr>
              <w:pStyle w:val="Tabletext"/>
              <w:rPr>
                <w:snapToGrid w:val="0"/>
              </w:rPr>
            </w:pPr>
            <w:r w:rsidRPr="00295986">
              <w:t>0</w:t>
            </w:r>
            <w:r w:rsidR="00D7157D">
              <w:t>.</w:t>
            </w:r>
            <w:r w:rsidRPr="00295986">
              <w:t>7800</w:t>
            </w:r>
          </w:p>
        </w:tc>
      </w:tr>
      <w:tr w:rsidR="009158D7" w:rsidRPr="009E2595" w14:paraId="67094C89" w14:textId="77777777" w:rsidTr="00F36942">
        <w:trPr>
          <w:cantSplit/>
        </w:trPr>
        <w:tc>
          <w:tcPr>
            <w:tcW w:w="1365" w:type="pct"/>
            <w:tcBorders>
              <w:top w:val="single" w:sz="4" w:space="0" w:color="auto"/>
              <w:bottom w:val="single" w:sz="4" w:space="0" w:color="auto"/>
            </w:tcBorders>
          </w:tcPr>
          <w:p w14:paraId="726A7D2A" w14:textId="77777777" w:rsidR="009158D7" w:rsidRPr="00616B26" w:rsidRDefault="009158D7" w:rsidP="00F36942">
            <w:pPr>
              <w:pStyle w:val="Tabletext"/>
              <w:rPr>
                <w:snapToGrid w:val="0"/>
              </w:rPr>
            </w:pPr>
            <w:r w:rsidRPr="00616B26">
              <w:rPr>
                <w:snapToGrid w:val="0"/>
              </w:rPr>
              <w:t>40</w:t>
            </w:r>
          </w:p>
        </w:tc>
        <w:tc>
          <w:tcPr>
            <w:tcW w:w="909" w:type="pct"/>
            <w:tcBorders>
              <w:top w:val="single" w:sz="4" w:space="0" w:color="auto"/>
              <w:bottom w:val="single" w:sz="4" w:space="0" w:color="auto"/>
            </w:tcBorders>
            <w:vAlign w:val="bottom"/>
          </w:tcPr>
          <w:p w14:paraId="7A50AC37" w14:textId="77777777" w:rsidR="009158D7" w:rsidRPr="000F120F" w:rsidRDefault="009158D7" w:rsidP="00F36942">
            <w:pPr>
              <w:pStyle w:val="Tabletext"/>
              <w:rPr>
                <w:snapToGrid w:val="0"/>
              </w:rPr>
            </w:pPr>
            <w:r w:rsidRPr="00295986">
              <w:t>28</w:t>
            </w:r>
            <w:r w:rsidR="00D7157D">
              <w:t>.</w:t>
            </w:r>
            <w:r w:rsidRPr="00295986">
              <w:t>3598</w:t>
            </w:r>
          </w:p>
        </w:tc>
        <w:tc>
          <w:tcPr>
            <w:tcW w:w="909" w:type="pct"/>
            <w:tcBorders>
              <w:top w:val="single" w:sz="4" w:space="0" w:color="auto"/>
              <w:bottom w:val="single" w:sz="4" w:space="0" w:color="auto"/>
            </w:tcBorders>
            <w:vAlign w:val="bottom"/>
          </w:tcPr>
          <w:p w14:paraId="03EBB2D8" w14:textId="77777777" w:rsidR="009158D7" w:rsidRPr="000F120F" w:rsidRDefault="009158D7" w:rsidP="00F36942">
            <w:pPr>
              <w:pStyle w:val="Tabletext"/>
              <w:rPr>
                <w:snapToGrid w:val="0"/>
              </w:rPr>
            </w:pPr>
            <w:r w:rsidRPr="00295986">
              <w:t>1</w:t>
            </w:r>
            <w:r w:rsidR="00D7157D">
              <w:t>.</w:t>
            </w:r>
            <w:r w:rsidRPr="00295986">
              <w:t>9075</w:t>
            </w:r>
          </w:p>
        </w:tc>
        <w:tc>
          <w:tcPr>
            <w:tcW w:w="909" w:type="pct"/>
            <w:tcBorders>
              <w:top w:val="single" w:sz="4" w:space="0" w:color="auto"/>
              <w:bottom w:val="single" w:sz="4" w:space="0" w:color="auto"/>
            </w:tcBorders>
            <w:vAlign w:val="bottom"/>
          </w:tcPr>
          <w:p w14:paraId="0438BB80" w14:textId="77777777" w:rsidR="009158D7" w:rsidRPr="000F120F" w:rsidRDefault="009158D7" w:rsidP="00F36942">
            <w:pPr>
              <w:pStyle w:val="Tabletext"/>
              <w:rPr>
                <w:snapToGrid w:val="0"/>
              </w:rPr>
            </w:pPr>
            <w:r w:rsidRPr="00295986">
              <w:t>29</w:t>
            </w:r>
            <w:r w:rsidR="00D7157D">
              <w:t>.</w:t>
            </w:r>
            <w:r w:rsidRPr="00295986">
              <w:t>2737</w:t>
            </w:r>
          </w:p>
        </w:tc>
        <w:tc>
          <w:tcPr>
            <w:tcW w:w="908" w:type="pct"/>
            <w:tcBorders>
              <w:top w:val="single" w:sz="4" w:space="0" w:color="auto"/>
              <w:bottom w:val="single" w:sz="4" w:space="0" w:color="auto"/>
            </w:tcBorders>
            <w:vAlign w:val="bottom"/>
          </w:tcPr>
          <w:p w14:paraId="0F7DC55D" w14:textId="77777777" w:rsidR="009158D7" w:rsidRPr="000F120F" w:rsidRDefault="009158D7" w:rsidP="00F36942">
            <w:pPr>
              <w:pStyle w:val="Tabletext"/>
              <w:rPr>
                <w:snapToGrid w:val="0"/>
              </w:rPr>
            </w:pPr>
            <w:r w:rsidRPr="00295986">
              <w:t>0</w:t>
            </w:r>
            <w:r w:rsidR="00D7157D">
              <w:t>.</w:t>
            </w:r>
            <w:r w:rsidRPr="00295986">
              <w:t>7986</w:t>
            </w:r>
          </w:p>
        </w:tc>
      </w:tr>
      <w:tr w:rsidR="009158D7" w:rsidRPr="009E2595" w14:paraId="0A8E150A" w14:textId="77777777" w:rsidTr="00F36942">
        <w:trPr>
          <w:cantSplit/>
        </w:trPr>
        <w:tc>
          <w:tcPr>
            <w:tcW w:w="1365" w:type="pct"/>
            <w:tcBorders>
              <w:top w:val="single" w:sz="4" w:space="0" w:color="auto"/>
              <w:bottom w:val="single" w:sz="4" w:space="0" w:color="auto"/>
            </w:tcBorders>
          </w:tcPr>
          <w:p w14:paraId="6ACA161C" w14:textId="77777777" w:rsidR="009158D7" w:rsidRPr="00616B26" w:rsidRDefault="009158D7" w:rsidP="00F36942">
            <w:pPr>
              <w:pStyle w:val="Tabletext"/>
              <w:rPr>
                <w:snapToGrid w:val="0"/>
              </w:rPr>
            </w:pPr>
            <w:r w:rsidRPr="00616B26">
              <w:rPr>
                <w:snapToGrid w:val="0"/>
              </w:rPr>
              <w:t>41</w:t>
            </w:r>
          </w:p>
        </w:tc>
        <w:tc>
          <w:tcPr>
            <w:tcW w:w="909" w:type="pct"/>
            <w:tcBorders>
              <w:top w:val="single" w:sz="4" w:space="0" w:color="auto"/>
              <w:bottom w:val="single" w:sz="4" w:space="0" w:color="auto"/>
            </w:tcBorders>
            <w:vAlign w:val="bottom"/>
          </w:tcPr>
          <w:p w14:paraId="65BF110D" w14:textId="77777777" w:rsidR="009158D7" w:rsidRPr="000F120F" w:rsidRDefault="009158D7" w:rsidP="00F36942">
            <w:pPr>
              <w:pStyle w:val="Tabletext"/>
              <w:rPr>
                <w:snapToGrid w:val="0"/>
              </w:rPr>
            </w:pPr>
            <w:r w:rsidRPr="00295986">
              <w:t>28</w:t>
            </w:r>
            <w:r w:rsidR="00D7157D">
              <w:t>.</w:t>
            </w:r>
            <w:r w:rsidRPr="00295986">
              <w:t>0303</w:t>
            </w:r>
          </w:p>
        </w:tc>
        <w:tc>
          <w:tcPr>
            <w:tcW w:w="909" w:type="pct"/>
            <w:tcBorders>
              <w:top w:val="single" w:sz="4" w:space="0" w:color="auto"/>
              <w:bottom w:val="single" w:sz="4" w:space="0" w:color="auto"/>
            </w:tcBorders>
            <w:vAlign w:val="bottom"/>
          </w:tcPr>
          <w:p w14:paraId="6DFE1AAD" w14:textId="77777777" w:rsidR="009158D7" w:rsidRPr="000F120F" w:rsidRDefault="009158D7" w:rsidP="00F36942">
            <w:pPr>
              <w:pStyle w:val="Tabletext"/>
              <w:rPr>
                <w:snapToGrid w:val="0"/>
              </w:rPr>
            </w:pPr>
            <w:r w:rsidRPr="00295986">
              <w:t>1</w:t>
            </w:r>
            <w:r w:rsidR="00D7157D">
              <w:t>.</w:t>
            </w:r>
            <w:r w:rsidRPr="00295986">
              <w:t>8845</w:t>
            </w:r>
          </w:p>
        </w:tc>
        <w:tc>
          <w:tcPr>
            <w:tcW w:w="909" w:type="pct"/>
            <w:tcBorders>
              <w:top w:val="single" w:sz="4" w:space="0" w:color="auto"/>
              <w:bottom w:val="single" w:sz="4" w:space="0" w:color="auto"/>
            </w:tcBorders>
            <w:vAlign w:val="bottom"/>
          </w:tcPr>
          <w:p w14:paraId="485261D2" w14:textId="77777777" w:rsidR="009158D7" w:rsidRPr="000F120F" w:rsidRDefault="009158D7" w:rsidP="00F36942">
            <w:pPr>
              <w:pStyle w:val="Tabletext"/>
              <w:rPr>
                <w:snapToGrid w:val="0"/>
              </w:rPr>
            </w:pPr>
            <w:r w:rsidRPr="00295986">
              <w:t>28</w:t>
            </w:r>
            <w:r w:rsidR="00D7157D">
              <w:t>.</w:t>
            </w:r>
            <w:r w:rsidRPr="00295986">
              <w:t>9588</w:t>
            </w:r>
          </w:p>
        </w:tc>
        <w:tc>
          <w:tcPr>
            <w:tcW w:w="908" w:type="pct"/>
            <w:tcBorders>
              <w:top w:val="single" w:sz="4" w:space="0" w:color="auto"/>
              <w:bottom w:val="single" w:sz="4" w:space="0" w:color="auto"/>
            </w:tcBorders>
            <w:vAlign w:val="bottom"/>
          </w:tcPr>
          <w:p w14:paraId="1B7FA29D" w14:textId="77777777" w:rsidR="009158D7" w:rsidRPr="000F120F" w:rsidRDefault="009158D7" w:rsidP="00F36942">
            <w:pPr>
              <w:pStyle w:val="Tabletext"/>
              <w:rPr>
                <w:snapToGrid w:val="0"/>
              </w:rPr>
            </w:pPr>
            <w:r w:rsidRPr="00295986">
              <w:t>0</w:t>
            </w:r>
            <w:r w:rsidR="00D7157D">
              <w:t>.</w:t>
            </w:r>
            <w:r w:rsidRPr="00295986">
              <w:t>7685</w:t>
            </w:r>
          </w:p>
        </w:tc>
      </w:tr>
      <w:tr w:rsidR="009158D7" w:rsidRPr="009E2595" w14:paraId="0DFDBA20" w14:textId="77777777" w:rsidTr="00F36942">
        <w:trPr>
          <w:cantSplit/>
        </w:trPr>
        <w:tc>
          <w:tcPr>
            <w:tcW w:w="1365" w:type="pct"/>
            <w:tcBorders>
              <w:top w:val="single" w:sz="4" w:space="0" w:color="auto"/>
              <w:bottom w:val="single" w:sz="4" w:space="0" w:color="auto"/>
            </w:tcBorders>
          </w:tcPr>
          <w:p w14:paraId="07C9D65C" w14:textId="77777777" w:rsidR="009158D7" w:rsidRPr="00616B26" w:rsidRDefault="009158D7" w:rsidP="00F36942">
            <w:pPr>
              <w:pStyle w:val="Tabletext"/>
              <w:rPr>
                <w:snapToGrid w:val="0"/>
              </w:rPr>
            </w:pPr>
            <w:r w:rsidRPr="00616B26">
              <w:rPr>
                <w:snapToGrid w:val="0"/>
              </w:rPr>
              <w:t>42</w:t>
            </w:r>
          </w:p>
        </w:tc>
        <w:tc>
          <w:tcPr>
            <w:tcW w:w="909" w:type="pct"/>
            <w:tcBorders>
              <w:top w:val="single" w:sz="4" w:space="0" w:color="auto"/>
              <w:bottom w:val="single" w:sz="4" w:space="0" w:color="auto"/>
            </w:tcBorders>
            <w:vAlign w:val="bottom"/>
          </w:tcPr>
          <w:p w14:paraId="653143F6" w14:textId="77777777" w:rsidR="009158D7" w:rsidRPr="000F120F" w:rsidRDefault="009158D7" w:rsidP="00F36942">
            <w:pPr>
              <w:pStyle w:val="Tabletext"/>
              <w:rPr>
                <w:snapToGrid w:val="0"/>
              </w:rPr>
            </w:pPr>
            <w:r w:rsidRPr="00295986">
              <w:t>27</w:t>
            </w:r>
            <w:r w:rsidR="00D7157D">
              <w:t>.</w:t>
            </w:r>
            <w:r w:rsidRPr="00295986">
              <w:t>6940</w:t>
            </w:r>
          </w:p>
        </w:tc>
        <w:tc>
          <w:tcPr>
            <w:tcW w:w="909" w:type="pct"/>
            <w:tcBorders>
              <w:top w:val="single" w:sz="4" w:space="0" w:color="auto"/>
              <w:bottom w:val="single" w:sz="4" w:space="0" w:color="auto"/>
            </w:tcBorders>
            <w:vAlign w:val="bottom"/>
          </w:tcPr>
          <w:p w14:paraId="2E092B94" w14:textId="77777777" w:rsidR="009158D7" w:rsidRPr="000F120F" w:rsidRDefault="009158D7" w:rsidP="00F36942">
            <w:pPr>
              <w:pStyle w:val="Tabletext"/>
              <w:rPr>
                <w:snapToGrid w:val="0"/>
              </w:rPr>
            </w:pPr>
            <w:r w:rsidRPr="00295986">
              <w:t>1</w:t>
            </w:r>
            <w:r w:rsidR="00D7157D">
              <w:t>.</w:t>
            </w:r>
            <w:r w:rsidRPr="00295986">
              <w:t>8589</w:t>
            </w:r>
          </w:p>
        </w:tc>
        <w:tc>
          <w:tcPr>
            <w:tcW w:w="909" w:type="pct"/>
            <w:tcBorders>
              <w:top w:val="single" w:sz="4" w:space="0" w:color="auto"/>
              <w:bottom w:val="single" w:sz="4" w:space="0" w:color="auto"/>
            </w:tcBorders>
            <w:vAlign w:val="bottom"/>
          </w:tcPr>
          <w:p w14:paraId="30D9A63B" w14:textId="77777777" w:rsidR="009158D7" w:rsidRPr="000F120F" w:rsidRDefault="009158D7" w:rsidP="00F36942">
            <w:pPr>
              <w:pStyle w:val="Tabletext"/>
              <w:rPr>
                <w:snapToGrid w:val="0"/>
              </w:rPr>
            </w:pPr>
            <w:r w:rsidRPr="00295986">
              <w:t>28</w:t>
            </w:r>
            <w:r w:rsidR="00D7157D">
              <w:t>.</w:t>
            </w:r>
            <w:r w:rsidRPr="00295986">
              <w:t>6368</w:t>
            </w:r>
          </w:p>
        </w:tc>
        <w:tc>
          <w:tcPr>
            <w:tcW w:w="908" w:type="pct"/>
            <w:tcBorders>
              <w:top w:val="single" w:sz="4" w:space="0" w:color="auto"/>
              <w:bottom w:val="single" w:sz="4" w:space="0" w:color="auto"/>
            </w:tcBorders>
            <w:vAlign w:val="bottom"/>
          </w:tcPr>
          <w:p w14:paraId="28CAFAA1" w14:textId="77777777" w:rsidR="009158D7" w:rsidRPr="000F120F" w:rsidRDefault="009158D7" w:rsidP="00F36942">
            <w:pPr>
              <w:pStyle w:val="Tabletext"/>
              <w:rPr>
                <w:snapToGrid w:val="0"/>
              </w:rPr>
            </w:pPr>
            <w:r w:rsidRPr="00295986">
              <w:t>0</w:t>
            </w:r>
            <w:r w:rsidR="00D7157D">
              <w:t>.</w:t>
            </w:r>
            <w:r w:rsidRPr="00295986">
              <w:t>7361</w:t>
            </w:r>
          </w:p>
        </w:tc>
      </w:tr>
      <w:tr w:rsidR="009158D7" w:rsidRPr="009E2595" w14:paraId="0291D6FF" w14:textId="77777777" w:rsidTr="00F36942">
        <w:trPr>
          <w:cantSplit/>
        </w:trPr>
        <w:tc>
          <w:tcPr>
            <w:tcW w:w="1365" w:type="pct"/>
            <w:tcBorders>
              <w:top w:val="single" w:sz="4" w:space="0" w:color="auto"/>
              <w:bottom w:val="single" w:sz="4" w:space="0" w:color="auto"/>
            </w:tcBorders>
          </w:tcPr>
          <w:p w14:paraId="59DA039D" w14:textId="77777777" w:rsidR="009158D7" w:rsidRPr="00616B26" w:rsidRDefault="009158D7" w:rsidP="00F36942">
            <w:pPr>
              <w:pStyle w:val="Tabletext"/>
              <w:rPr>
                <w:snapToGrid w:val="0"/>
              </w:rPr>
            </w:pPr>
            <w:r w:rsidRPr="00616B26">
              <w:rPr>
                <w:snapToGrid w:val="0"/>
              </w:rPr>
              <w:t>43</w:t>
            </w:r>
          </w:p>
        </w:tc>
        <w:tc>
          <w:tcPr>
            <w:tcW w:w="909" w:type="pct"/>
            <w:tcBorders>
              <w:top w:val="single" w:sz="4" w:space="0" w:color="auto"/>
              <w:bottom w:val="single" w:sz="4" w:space="0" w:color="auto"/>
            </w:tcBorders>
            <w:vAlign w:val="bottom"/>
          </w:tcPr>
          <w:p w14:paraId="1BC97B66" w14:textId="77777777" w:rsidR="009158D7" w:rsidRPr="000F120F" w:rsidRDefault="009158D7" w:rsidP="00F36942">
            <w:pPr>
              <w:pStyle w:val="Tabletext"/>
              <w:rPr>
                <w:snapToGrid w:val="0"/>
              </w:rPr>
            </w:pPr>
            <w:r w:rsidRPr="00295986">
              <w:t>27</w:t>
            </w:r>
            <w:r w:rsidR="00D7157D">
              <w:t>.</w:t>
            </w:r>
            <w:r w:rsidRPr="00295986">
              <w:t>3505</w:t>
            </w:r>
          </w:p>
        </w:tc>
        <w:tc>
          <w:tcPr>
            <w:tcW w:w="909" w:type="pct"/>
            <w:tcBorders>
              <w:top w:val="single" w:sz="4" w:space="0" w:color="auto"/>
              <w:bottom w:val="single" w:sz="4" w:space="0" w:color="auto"/>
            </w:tcBorders>
            <w:vAlign w:val="bottom"/>
          </w:tcPr>
          <w:p w14:paraId="1B8FB7F9" w14:textId="77777777" w:rsidR="009158D7" w:rsidRPr="000F120F" w:rsidRDefault="009158D7" w:rsidP="00F36942">
            <w:pPr>
              <w:pStyle w:val="Tabletext"/>
              <w:rPr>
                <w:snapToGrid w:val="0"/>
              </w:rPr>
            </w:pPr>
            <w:r w:rsidRPr="00295986">
              <w:t>1</w:t>
            </w:r>
            <w:r w:rsidR="00D7157D">
              <w:t>.</w:t>
            </w:r>
            <w:r w:rsidRPr="00295986">
              <w:t>8308</w:t>
            </w:r>
          </w:p>
        </w:tc>
        <w:tc>
          <w:tcPr>
            <w:tcW w:w="909" w:type="pct"/>
            <w:tcBorders>
              <w:top w:val="single" w:sz="4" w:space="0" w:color="auto"/>
              <w:bottom w:val="single" w:sz="4" w:space="0" w:color="auto"/>
            </w:tcBorders>
            <w:vAlign w:val="bottom"/>
          </w:tcPr>
          <w:p w14:paraId="73917C9B" w14:textId="77777777" w:rsidR="009158D7" w:rsidRPr="000F120F" w:rsidRDefault="009158D7" w:rsidP="00F36942">
            <w:pPr>
              <w:pStyle w:val="Tabletext"/>
              <w:rPr>
                <w:snapToGrid w:val="0"/>
              </w:rPr>
            </w:pPr>
            <w:r w:rsidRPr="00295986">
              <w:t>28</w:t>
            </w:r>
            <w:r w:rsidR="00D7157D">
              <w:t>.</w:t>
            </w:r>
            <w:r w:rsidRPr="00295986">
              <w:t>3074</w:t>
            </w:r>
          </w:p>
        </w:tc>
        <w:tc>
          <w:tcPr>
            <w:tcW w:w="908" w:type="pct"/>
            <w:tcBorders>
              <w:top w:val="single" w:sz="4" w:space="0" w:color="auto"/>
              <w:bottom w:val="single" w:sz="4" w:space="0" w:color="auto"/>
            </w:tcBorders>
            <w:vAlign w:val="bottom"/>
          </w:tcPr>
          <w:p w14:paraId="2F664C82" w14:textId="77777777" w:rsidR="009158D7" w:rsidRPr="000F120F" w:rsidRDefault="009158D7" w:rsidP="00F36942">
            <w:pPr>
              <w:pStyle w:val="Tabletext"/>
              <w:rPr>
                <w:snapToGrid w:val="0"/>
              </w:rPr>
            </w:pPr>
            <w:r w:rsidRPr="00295986">
              <w:t>0</w:t>
            </w:r>
            <w:r w:rsidR="00D7157D">
              <w:t>.</w:t>
            </w:r>
            <w:r w:rsidRPr="00295986">
              <w:t>7016</w:t>
            </w:r>
          </w:p>
        </w:tc>
      </w:tr>
      <w:tr w:rsidR="009158D7" w:rsidRPr="009E2595" w14:paraId="6E155B67" w14:textId="77777777" w:rsidTr="00F36942">
        <w:trPr>
          <w:cantSplit/>
        </w:trPr>
        <w:tc>
          <w:tcPr>
            <w:tcW w:w="1365" w:type="pct"/>
            <w:tcBorders>
              <w:top w:val="single" w:sz="4" w:space="0" w:color="auto"/>
              <w:bottom w:val="single" w:sz="4" w:space="0" w:color="auto"/>
            </w:tcBorders>
          </w:tcPr>
          <w:p w14:paraId="2FF197DB" w14:textId="77777777" w:rsidR="009158D7" w:rsidRPr="00616B26" w:rsidRDefault="009158D7" w:rsidP="00F36942">
            <w:pPr>
              <w:pStyle w:val="Tabletext"/>
              <w:rPr>
                <w:snapToGrid w:val="0"/>
              </w:rPr>
            </w:pPr>
            <w:r w:rsidRPr="00616B26">
              <w:rPr>
                <w:snapToGrid w:val="0"/>
              </w:rPr>
              <w:t>44</w:t>
            </w:r>
          </w:p>
        </w:tc>
        <w:tc>
          <w:tcPr>
            <w:tcW w:w="909" w:type="pct"/>
            <w:tcBorders>
              <w:top w:val="single" w:sz="4" w:space="0" w:color="auto"/>
              <w:bottom w:val="single" w:sz="4" w:space="0" w:color="auto"/>
            </w:tcBorders>
            <w:vAlign w:val="bottom"/>
          </w:tcPr>
          <w:p w14:paraId="625B6E45" w14:textId="77777777" w:rsidR="009158D7" w:rsidRPr="000F120F" w:rsidRDefault="009158D7" w:rsidP="00F36942">
            <w:pPr>
              <w:pStyle w:val="Tabletext"/>
              <w:rPr>
                <w:snapToGrid w:val="0"/>
              </w:rPr>
            </w:pPr>
            <w:r w:rsidRPr="00295986">
              <w:t>26</w:t>
            </w:r>
            <w:r w:rsidR="00D7157D">
              <w:t>.</w:t>
            </w:r>
            <w:r w:rsidRPr="00295986">
              <w:t>9997</w:t>
            </w:r>
          </w:p>
        </w:tc>
        <w:tc>
          <w:tcPr>
            <w:tcW w:w="909" w:type="pct"/>
            <w:tcBorders>
              <w:top w:val="single" w:sz="4" w:space="0" w:color="auto"/>
              <w:bottom w:val="single" w:sz="4" w:space="0" w:color="auto"/>
            </w:tcBorders>
            <w:vAlign w:val="bottom"/>
          </w:tcPr>
          <w:p w14:paraId="68A2495F" w14:textId="77777777" w:rsidR="009158D7" w:rsidRPr="000F120F" w:rsidRDefault="009158D7" w:rsidP="00F36942">
            <w:pPr>
              <w:pStyle w:val="Tabletext"/>
              <w:rPr>
                <w:snapToGrid w:val="0"/>
              </w:rPr>
            </w:pPr>
            <w:r w:rsidRPr="00295986">
              <w:t>1</w:t>
            </w:r>
            <w:r w:rsidR="00D7157D">
              <w:t>.</w:t>
            </w:r>
            <w:r w:rsidRPr="00295986">
              <w:t>8000</w:t>
            </w:r>
          </w:p>
        </w:tc>
        <w:tc>
          <w:tcPr>
            <w:tcW w:w="909" w:type="pct"/>
            <w:tcBorders>
              <w:top w:val="single" w:sz="4" w:space="0" w:color="auto"/>
              <w:bottom w:val="single" w:sz="4" w:space="0" w:color="auto"/>
            </w:tcBorders>
            <w:vAlign w:val="bottom"/>
          </w:tcPr>
          <w:p w14:paraId="34E5A877" w14:textId="77777777" w:rsidR="009158D7" w:rsidRPr="000F120F" w:rsidRDefault="009158D7" w:rsidP="00F36942">
            <w:pPr>
              <w:pStyle w:val="Tabletext"/>
              <w:rPr>
                <w:snapToGrid w:val="0"/>
              </w:rPr>
            </w:pPr>
            <w:r w:rsidRPr="00295986">
              <w:t>27</w:t>
            </w:r>
            <w:r w:rsidR="00D7157D">
              <w:t>.</w:t>
            </w:r>
            <w:r w:rsidRPr="00295986">
              <w:t>9705</w:t>
            </w:r>
          </w:p>
        </w:tc>
        <w:tc>
          <w:tcPr>
            <w:tcW w:w="908" w:type="pct"/>
            <w:tcBorders>
              <w:top w:val="single" w:sz="4" w:space="0" w:color="auto"/>
              <w:bottom w:val="single" w:sz="4" w:space="0" w:color="auto"/>
            </w:tcBorders>
            <w:vAlign w:val="bottom"/>
          </w:tcPr>
          <w:p w14:paraId="697CA6BC" w14:textId="77777777" w:rsidR="009158D7" w:rsidRPr="000F120F" w:rsidRDefault="009158D7" w:rsidP="00F36942">
            <w:pPr>
              <w:pStyle w:val="Tabletext"/>
              <w:rPr>
                <w:snapToGrid w:val="0"/>
              </w:rPr>
            </w:pPr>
            <w:r w:rsidRPr="00295986">
              <w:t>0</w:t>
            </w:r>
            <w:r w:rsidR="00D7157D">
              <w:t>.</w:t>
            </w:r>
            <w:r w:rsidRPr="00295986">
              <w:t>6649</w:t>
            </w:r>
          </w:p>
        </w:tc>
      </w:tr>
      <w:tr w:rsidR="009158D7" w:rsidRPr="009E2595" w14:paraId="03F15605" w14:textId="77777777" w:rsidTr="00F36942">
        <w:trPr>
          <w:cantSplit/>
        </w:trPr>
        <w:tc>
          <w:tcPr>
            <w:tcW w:w="1365" w:type="pct"/>
            <w:tcBorders>
              <w:top w:val="single" w:sz="4" w:space="0" w:color="auto"/>
              <w:bottom w:val="single" w:sz="4" w:space="0" w:color="auto"/>
            </w:tcBorders>
          </w:tcPr>
          <w:p w14:paraId="446067D8" w14:textId="77777777" w:rsidR="009158D7" w:rsidRPr="00616B26" w:rsidRDefault="009158D7" w:rsidP="00F36942">
            <w:pPr>
              <w:pStyle w:val="Tabletext"/>
              <w:rPr>
                <w:snapToGrid w:val="0"/>
              </w:rPr>
            </w:pPr>
            <w:r w:rsidRPr="00616B26">
              <w:rPr>
                <w:snapToGrid w:val="0"/>
              </w:rPr>
              <w:t>45</w:t>
            </w:r>
          </w:p>
        </w:tc>
        <w:tc>
          <w:tcPr>
            <w:tcW w:w="909" w:type="pct"/>
            <w:tcBorders>
              <w:top w:val="single" w:sz="4" w:space="0" w:color="auto"/>
              <w:bottom w:val="single" w:sz="4" w:space="0" w:color="auto"/>
            </w:tcBorders>
            <w:vAlign w:val="bottom"/>
          </w:tcPr>
          <w:p w14:paraId="417C92D3" w14:textId="77777777" w:rsidR="009158D7" w:rsidRPr="000F120F" w:rsidRDefault="009158D7" w:rsidP="00F36942">
            <w:pPr>
              <w:pStyle w:val="Tabletext"/>
              <w:rPr>
                <w:snapToGrid w:val="0"/>
              </w:rPr>
            </w:pPr>
            <w:r w:rsidRPr="00295986">
              <w:t>26</w:t>
            </w:r>
            <w:r w:rsidR="00D7157D">
              <w:t>.</w:t>
            </w:r>
            <w:r w:rsidRPr="00295986">
              <w:t>6419</w:t>
            </w:r>
          </w:p>
        </w:tc>
        <w:tc>
          <w:tcPr>
            <w:tcW w:w="909" w:type="pct"/>
            <w:tcBorders>
              <w:top w:val="single" w:sz="4" w:space="0" w:color="auto"/>
              <w:bottom w:val="single" w:sz="4" w:space="0" w:color="auto"/>
            </w:tcBorders>
            <w:vAlign w:val="bottom"/>
          </w:tcPr>
          <w:p w14:paraId="63197BD2" w14:textId="77777777" w:rsidR="009158D7" w:rsidRPr="000F120F" w:rsidRDefault="009158D7" w:rsidP="00F36942">
            <w:pPr>
              <w:pStyle w:val="Tabletext"/>
              <w:rPr>
                <w:snapToGrid w:val="0"/>
              </w:rPr>
            </w:pPr>
            <w:r w:rsidRPr="00295986">
              <w:t>1</w:t>
            </w:r>
            <w:r w:rsidR="00D7157D">
              <w:t>.</w:t>
            </w:r>
            <w:r w:rsidRPr="00295986">
              <w:t>7666</w:t>
            </w:r>
          </w:p>
        </w:tc>
        <w:tc>
          <w:tcPr>
            <w:tcW w:w="909" w:type="pct"/>
            <w:tcBorders>
              <w:top w:val="single" w:sz="4" w:space="0" w:color="auto"/>
              <w:bottom w:val="single" w:sz="4" w:space="0" w:color="auto"/>
            </w:tcBorders>
            <w:vAlign w:val="bottom"/>
          </w:tcPr>
          <w:p w14:paraId="63B018F4" w14:textId="77777777" w:rsidR="009158D7" w:rsidRPr="000F120F" w:rsidRDefault="009158D7" w:rsidP="00F36942">
            <w:pPr>
              <w:pStyle w:val="Tabletext"/>
              <w:rPr>
                <w:snapToGrid w:val="0"/>
              </w:rPr>
            </w:pPr>
            <w:r w:rsidRPr="00295986">
              <w:t>27</w:t>
            </w:r>
            <w:r w:rsidR="00D7157D">
              <w:t>.</w:t>
            </w:r>
            <w:r w:rsidRPr="00295986">
              <w:t>6261</w:t>
            </w:r>
          </w:p>
        </w:tc>
        <w:tc>
          <w:tcPr>
            <w:tcW w:w="908" w:type="pct"/>
            <w:tcBorders>
              <w:top w:val="single" w:sz="4" w:space="0" w:color="auto"/>
              <w:bottom w:val="single" w:sz="4" w:space="0" w:color="auto"/>
            </w:tcBorders>
            <w:vAlign w:val="bottom"/>
          </w:tcPr>
          <w:p w14:paraId="75BA3788" w14:textId="77777777" w:rsidR="009158D7" w:rsidRPr="000F120F" w:rsidRDefault="009158D7" w:rsidP="00F36942">
            <w:pPr>
              <w:pStyle w:val="Tabletext"/>
              <w:rPr>
                <w:snapToGrid w:val="0"/>
              </w:rPr>
            </w:pPr>
            <w:r w:rsidRPr="00295986">
              <w:t>0</w:t>
            </w:r>
            <w:r w:rsidR="00D7157D">
              <w:t>.</w:t>
            </w:r>
            <w:r w:rsidRPr="00295986">
              <w:t>6260</w:t>
            </w:r>
          </w:p>
        </w:tc>
      </w:tr>
      <w:tr w:rsidR="009158D7" w:rsidRPr="009E2595" w14:paraId="0FF408CC" w14:textId="77777777" w:rsidTr="00F36942">
        <w:trPr>
          <w:cantSplit/>
        </w:trPr>
        <w:tc>
          <w:tcPr>
            <w:tcW w:w="1365" w:type="pct"/>
            <w:tcBorders>
              <w:top w:val="single" w:sz="4" w:space="0" w:color="auto"/>
              <w:bottom w:val="single" w:sz="4" w:space="0" w:color="auto"/>
            </w:tcBorders>
          </w:tcPr>
          <w:p w14:paraId="5C7DA9CC" w14:textId="77777777" w:rsidR="009158D7" w:rsidRPr="00616B26" w:rsidRDefault="009158D7" w:rsidP="00F36942">
            <w:pPr>
              <w:pStyle w:val="Tabletext"/>
              <w:rPr>
                <w:snapToGrid w:val="0"/>
              </w:rPr>
            </w:pPr>
            <w:r w:rsidRPr="00616B26">
              <w:rPr>
                <w:snapToGrid w:val="0"/>
              </w:rPr>
              <w:t>46</w:t>
            </w:r>
          </w:p>
        </w:tc>
        <w:tc>
          <w:tcPr>
            <w:tcW w:w="909" w:type="pct"/>
            <w:tcBorders>
              <w:top w:val="single" w:sz="4" w:space="0" w:color="auto"/>
              <w:bottom w:val="single" w:sz="4" w:space="0" w:color="auto"/>
            </w:tcBorders>
            <w:vAlign w:val="bottom"/>
          </w:tcPr>
          <w:p w14:paraId="5BE7E8D9" w14:textId="77777777" w:rsidR="009158D7" w:rsidRPr="000F120F" w:rsidRDefault="009158D7" w:rsidP="00F36942">
            <w:pPr>
              <w:pStyle w:val="Tabletext"/>
              <w:rPr>
                <w:snapToGrid w:val="0"/>
              </w:rPr>
            </w:pPr>
            <w:r w:rsidRPr="00295986">
              <w:t>26</w:t>
            </w:r>
            <w:r w:rsidR="00D7157D">
              <w:t>.</w:t>
            </w:r>
            <w:r w:rsidRPr="00295986">
              <w:t>2769</w:t>
            </w:r>
          </w:p>
        </w:tc>
        <w:tc>
          <w:tcPr>
            <w:tcW w:w="909" w:type="pct"/>
            <w:tcBorders>
              <w:top w:val="single" w:sz="4" w:space="0" w:color="auto"/>
              <w:bottom w:val="single" w:sz="4" w:space="0" w:color="auto"/>
            </w:tcBorders>
            <w:vAlign w:val="bottom"/>
          </w:tcPr>
          <w:p w14:paraId="6ADCC2B1" w14:textId="77777777" w:rsidR="009158D7" w:rsidRPr="000F120F" w:rsidRDefault="009158D7" w:rsidP="00F36942">
            <w:pPr>
              <w:pStyle w:val="Tabletext"/>
              <w:rPr>
                <w:snapToGrid w:val="0"/>
              </w:rPr>
            </w:pPr>
            <w:r w:rsidRPr="00295986">
              <w:t>1</w:t>
            </w:r>
            <w:r w:rsidR="00D7157D">
              <w:t>.</w:t>
            </w:r>
            <w:r w:rsidRPr="00295986">
              <w:t>7303</w:t>
            </w:r>
          </w:p>
        </w:tc>
        <w:tc>
          <w:tcPr>
            <w:tcW w:w="909" w:type="pct"/>
            <w:tcBorders>
              <w:top w:val="single" w:sz="4" w:space="0" w:color="auto"/>
              <w:bottom w:val="single" w:sz="4" w:space="0" w:color="auto"/>
            </w:tcBorders>
            <w:vAlign w:val="bottom"/>
          </w:tcPr>
          <w:p w14:paraId="3225F5CA" w14:textId="77777777" w:rsidR="009158D7" w:rsidRPr="000F120F" w:rsidRDefault="009158D7" w:rsidP="00F36942">
            <w:pPr>
              <w:pStyle w:val="Tabletext"/>
              <w:rPr>
                <w:snapToGrid w:val="0"/>
              </w:rPr>
            </w:pPr>
            <w:r w:rsidRPr="00295986">
              <w:t>27</w:t>
            </w:r>
            <w:r w:rsidR="00D7157D">
              <w:t>.</w:t>
            </w:r>
            <w:r w:rsidRPr="00295986">
              <w:t>2739</w:t>
            </w:r>
          </w:p>
        </w:tc>
        <w:tc>
          <w:tcPr>
            <w:tcW w:w="908" w:type="pct"/>
            <w:tcBorders>
              <w:top w:val="single" w:sz="4" w:space="0" w:color="auto"/>
              <w:bottom w:val="single" w:sz="4" w:space="0" w:color="auto"/>
            </w:tcBorders>
            <w:vAlign w:val="bottom"/>
          </w:tcPr>
          <w:p w14:paraId="75531907" w14:textId="77777777" w:rsidR="009158D7" w:rsidRPr="000F120F" w:rsidRDefault="009158D7" w:rsidP="00F36942">
            <w:pPr>
              <w:pStyle w:val="Tabletext"/>
              <w:rPr>
                <w:snapToGrid w:val="0"/>
              </w:rPr>
            </w:pPr>
            <w:r w:rsidRPr="00295986">
              <w:t>0</w:t>
            </w:r>
            <w:r w:rsidR="00D7157D">
              <w:t>.</w:t>
            </w:r>
            <w:r w:rsidRPr="00295986">
              <w:t>5848</w:t>
            </w:r>
          </w:p>
        </w:tc>
      </w:tr>
      <w:tr w:rsidR="009158D7" w:rsidRPr="009E2595" w14:paraId="491F1647" w14:textId="77777777" w:rsidTr="00F36942">
        <w:trPr>
          <w:cantSplit/>
        </w:trPr>
        <w:tc>
          <w:tcPr>
            <w:tcW w:w="1365" w:type="pct"/>
            <w:tcBorders>
              <w:top w:val="single" w:sz="4" w:space="0" w:color="auto"/>
              <w:bottom w:val="single" w:sz="4" w:space="0" w:color="auto"/>
            </w:tcBorders>
          </w:tcPr>
          <w:p w14:paraId="20023947" w14:textId="77777777" w:rsidR="009158D7" w:rsidRPr="00616B26" w:rsidRDefault="009158D7" w:rsidP="00F36942">
            <w:pPr>
              <w:pStyle w:val="Tabletext"/>
              <w:rPr>
                <w:snapToGrid w:val="0"/>
              </w:rPr>
            </w:pPr>
            <w:r w:rsidRPr="00616B26">
              <w:rPr>
                <w:snapToGrid w:val="0"/>
              </w:rPr>
              <w:t>47</w:t>
            </w:r>
          </w:p>
        </w:tc>
        <w:tc>
          <w:tcPr>
            <w:tcW w:w="909" w:type="pct"/>
            <w:tcBorders>
              <w:top w:val="single" w:sz="4" w:space="0" w:color="auto"/>
              <w:bottom w:val="single" w:sz="4" w:space="0" w:color="auto"/>
            </w:tcBorders>
            <w:vAlign w:val="bottom"/>
          </w:tcPr>
          <w:p w14:paraId="105C10FE" w14:textId="77777777" w:rsidR="009158D7" w:rsidRPr="000F120F" w:rsidRDefault="009158D7" w:rsidP="00F36942">
            <w:pPr>
              <w:pStyle w:val="Tabletext"/>
              <w:rPr>
                <w:snapToGrid w:val="0"/>
              </w:rPr>
            </w:pPr>
            <w:r w:rsidRPr="00295986">
              <w:t>25</w:t>
            </w:r>
            <w:r w:rsidR="00D7157D">
              <w:t>.</w:t>
            </w:r>
            <w:r w:rsidRPr="00295986">
              <w:t>9044</w:t>
            </w:r>
          </w:p>
        </w:tc>
        <w:tc>
          <w:tcPr>
            <w:tcW w:w="909" w:type="pct"/>
            <w:tcBorders>
              <w:top w:val="single" w:sz="4" w:space="0" w:color="auto"/>
              <w:bottom w:val="single" w:sz="4" w:space="0" w:color="auto"/>
            </w:tcBorders>
            <w:vAlign w:val="bottom"/>
          </w:tcPr>
          <w:p w14:paraId="37049C97" w14:textId="77777777" w:rsidR="009158D7" w:rsidRPr="000F120F" w:rsidRDefault="009158D7" w:rsidP="00F36942">
            <w:pPr>
              <w:pStyle w:val="Tabletext"/>
              <w:rPr>
                <w:snapToGrid w:val="0"/>
              </w:rPr>
            </w:pPr>
            <w:r w:rsidRPr="00295986">
              <w:t>1</w:t>
            </w:r>
            <w:r w:rsidR="00D7157D">
              <w:t>.</w:t>
            </w:r>
            <w:r w:rsidRPr="00295986">
              <w:t>6911</w:t>
            </w:r>
          </w:p>
        </w:tc>
        <w:tc>
          <w:tcPr>
            <w:tcW w:w="909" w:type="pct"/>
            <w:tcBorders>
              <w:top w:val="single" w:sz="4" w:space="0" w:color="auto"/>
              <w:bottom w:val="single" w:sz="4" w:space="0" w:color="auto"/>
            </w:tcBorders>
            <w:vAlign w:val="bottom"/>
          </w:tcPr>
          <w:p w14:paraId="46F82F29" w14:textId="77777777" w:rsidR="009158D7" w:rsidRPr="000F120F" w:rsidRDefault="009158D7" w:rsidP="00F36942">
            <w:pPr>
              <w:pStyle w:val="Tabletext"/>
              <w:rPr>
                <w:snapToGrid w:val="0"/>
              </w:rPr>
            </w:pPr>
            <w:r w:rsidRPr="00295986">
              <w:t>26</w:t>
            </w:r>
            <w:r w:rsidR="00D7157D">
              <w:t>.</w:t>
            </w:r>
            <w:r w:rsidRPr="00295986">
              <w:t>9138</w:t>
            </w:r>
          </w:p>
        </w:tc>
        <w:tc>
          <w:tcPr>
            <w:tcW w:w="908" w:type="pct"/>
            <w:tcBorders>
              <w:top w:val="single" w:sz="4" w:space="0" w:color="auto"/>
              <w:bottom w:val="single" w:sz="4" w:space="0" w:color="auto"/>
            </w:tcBorders>
            <w:vAlign w:val="bottom"/>
          </w:tcPr>
          <w:p w14:paraId="3A361DB9" w14:textId="77777777" w:rsidR="009158D7" w:rsidRPr="000F120F" w:rsidRDefault="009158D7" w:rsidP="00F36942">
            <w:pPr>
              <w:pStyle w:val="Tabletext"/>
              <w:rPr>
                <w:snapToGrid w:val="0"/>
              </w:rPr>
            </w:pPr>
            <w:r w:rsidRPr="00295986">
              <w:t>0</w:t>
            </w:r>
            <w:r w:rsidR="00D7157D">
              <w:t>.</w:t>
            </w:r>
            <w:r w:rsidRPr="00295986">
              <w:t>5413</w:t>
            </w:r>
          </w:p>
        </w:tc>
      </w:tr>
      <w:tr w:rsidR="009158D7" w:rsidRPr="009E2595" w14:paraId="33A4B987" w14:textId="77777777" w:rsidTr="00F36942">
        <w:trPr>
          <w:cantSplit/>
        </w:trPr>
        <w:tc>
          <w:tcPr>
            <w:tcW w:w="1365" w:type="pct"/>
            <w:tcBorders>
              <w:top w:val="single" w:sz="4" w:space="0" w:color="auto"/>
              <w:bottom w:val="single" w:sz="4" w:space="0" w:color="auto"/>
            </w:tcBorders>
          </w:tcPr>
          <w:p w14:paraId="48A673FD" w14:textId="77777777" w:rsidR="009158D7" w:rsidRPr="00616B26" w:rsidRDefault="009158D7" w:rsidP="00F36942">
            <w:pPr>
              <w:pStyle w:val="Tabletext"/>
              <w:rPr>
                <w:snapToGrid w:val="0"/>
              </w:rPr>
            </w:pPr>
            <w:r w:rsidRPr="00616B26">
              <w:rPr>
                <w:snapToGrid w:val="0"/>
              </w:rPr>
              <w:t>48</w:t>
            </w:r>
          </w:p>
        </w:tc>
        <w:tc>
          <w:tcPr>
            <w:tcW w:w="909" w:type="pct"/>
            <w:tcBorders>
              <w:top w:val="single" w:sz="4" w:space="0" w:color="auto"/>
              <w:bottom w:val="single" w:sz="4" w:space="0" w:color="auto"/>
            </w:tcBorders>
            <w:vAlign w:val="bottom"/>
          </w:tcPr>
          <w:p w14:paraId="34BC94B7" w14:textId="77777777" w:rsidR="009158D7" w:rsidRPr="000F120F" w:rsidRDefault="009158D7" w:rsidP="00F36942">
            <w:pPr>
              <w:pStyle w:val="Tabletext"/>
              <w:rPr>
                <w:snapToGrid w:val="0"/>
              </w:rPr>
            </w:pPr>
            <w:r w:rsidRPr="00295986">
              <w:t>25</w:t>
            </w:r>
            <w:r w:rsidR="00D7157D">
              <w:t>.</w:t>
            </w:r>
            <w:r w:rsidRPr="00295986">
              <w:t>5248</w:t>
            </w:r>
          </w:p>
        </w:tc>
        <w:tc>
          <w:tcPr>
            <w:tcW w:w="909" w:type="pct"/>
            <w:tcBorders>
              <w:top w:val="single" w:sz="4" w:space="0" w:color="auto"/>
              <w:bottom w:val="single" w:sz="4" w:space="0" w:color="auto"/>
            </w:tcBorders>
            <w:vAlign w:val="bottom"/>
          </w:tcPr>
          <w:p w14:paraId="41A20839" w14:textId="77777777" w:rsidR="009158D7" w:rsidRPr="000F120F" w:rsidRDefault="009158D7" w:rsidP="00F36942">
            <w:pPr>
              <w:pStyle w:val="Tabletext"/>
              <w:rPr>
                <w:snapToGrid w:val="0"/>
              </w:rPr>
            </w:pPr>
            <w:r w:rsidRPr="00295986">
              <w:t>1</w:t>
            </w:r>
            <w:r w:rsidR="00D7157D">
              <w:t>.</w:t>
            </w:r>
            <w:r w:rsidRPr="00295986">
              <w:t>6491</w:t>
            </w:r>
          </w:p>
        </w:tc>
        <w:tc>
          <w:tcPr>
            <w:tcW w:w="909" w:type="pct"/>
            <w:tcBorders>
              <w:top w:val="single" w:sz="4" w:space="0" w:color="auto"/>
              <w:bottom w:val="single" w:sz="4" w:space="0" w:color="auto"/>
            </w:tcBorders>
            <w:vAlign w:val="bottom"/>
          </w:tcPr>
          <w:p w14:paraId="00224116" w14:textId="77777777" w:rsidR="009158D7" w:rsidRPr="000F120F" w:rsidRDefault="009158D7" w:rsidP="00F36942">
            <w:pPr>
              <w:pStyle w:val="Tabletext"/>
              <w:rPr>
                <w:snapToGrid w:val="0"/>
              </w:rPr>
            </w:pPr>
            <w:r w:rsidRPr="00295986">
              <w:t>26</w:t>
            </w:r>
            <w:r w:rsidR="00D7157D">
              <w:t>.</w:t>
            </w:r>
            <w:r w:rsidRPr="00295986">
              <w:t>5458</w:t>
            </w:r>
          </w:p>
        </w:tc>
        <w:tc>
          <w:tcPr>
            <w:tcW w:w="908" w:type="pct"/>
            <w:tcBorders>
              <w:top w:val="single" w:sz="4" w:space="0" w:color="auto"/>
              <w:bottom w:val="single" w:sz="4" w:space="0" w:color="auto"/>
            </w:tcBorders>
            <w:vAlign w:val="bottom"/>
          </w:tcPr>
          <w:p w14:paraId="3D279C52" w14:textId="77777777" w:rsidR="009158D7" w:rsidRPr="000F120F" w:rsidRDefault="009158D7" w:rsidP="00F36942">
            <w:pPr>
              <w:pStyle w:val="Tabletext"/>
              <w:rPr>
                <w:snapToGrid w:val="0"/>
              </w:rPr>
            </w:pPr>
            <w:r w:rsidRPr="00295986">
              <w:t>0</w:t>
            </w:r>
            <w:r w:rsidR="00D7157D">
              <w:t>.</w:t>
            </w:r>
            <w:r w:rsidRPr="00295986">
              <w:t>4955</w:t>
            </w:r>
          </w:p>
        </w:tc>
      </w:tr>
      <w:tr w:rsidR="009158D7" w:rsidRPr="009E2595" w14:paraId="420BDF71" w14:textId="77777777" w:rsidTr="00F36942">
        <w:trPr>
          <w:cantSplit/>
        </w:trPr>
        <w:tc>
          <w:tcPr>
            <w:tcW w:w="1365" w:type="pct"/>
            <w:tcBorders>
              <w:top w:val="single" w:sz="4" w:space="0" w:color="auto"/>
              <w:bottom w:val="single" w:sz="4" w:space="0" w:color="auto"/>
            </w:tcBorders>
          </w:tcPr>
          <w:p w14:paraId="516E39B2" w14:textId="77777777" w:rsidR="009158D7" w:rsidRPr="00616B26" w:rsidRDefault="009158D7" w:rsidP="00F36942">
            <w:pPr>
              <w:pStyle w:val="Tabletext"/>
              <w:rPr>
                <w:snapToGrid w:val="0"/>
              </w:rPr>
            </w:pPr>
            <w:r w:rsidRPr="00616B26">
              <w:rPr>
                <w:snapToGrid w:val="0"/>
              </w:rPr>
              <w:t>49</w:t>
            </w:r>
          </w:p>
        </w:tc>
        <w:tc>
          <w:tcPr>
            <w:tcW w:w="909" w:type="pct"/>
            <w:tcBorders>
              <w:top w:val="single" w:sz="4" w:space="0" w:color="auto"/>
              <w:bottom w:val="single" w:sz="4" w:space="0" w:color="auto"/>
            </w:tcBorders>
            <w:vAlign w:val="bottom"/>
          </w:tcPr>
          <w:p w14:paraId="0CA850B6" w14:textId="77777777" w:rsidR="009158D7" w:rsidRPr="000F120F" w:rsidRDefault="009158D7" w:rsidP="00F36942">
            <w:pPr>
              <w:pStyle w:val="Tabletext"/>
              <w:rPr>
                <w:snapToGrid w:val="0"/>
              </w:rPr>
            </w:pPr>
            <w:r w:rsidRPr="00295986">
              <w:t>25</w:t>
            </w:r>
            <w:r w:rsidR="00D7157D">
              <w:t>.</w:t>
            </w:r>
            <w:r w:rsidRPr="00295986">
              <w:t>1377</w:t>
            </w:r>
          </w:p>
        </w:tc>
        <w:tc>
          <w:tcPr>
            <w:tcW w:w="909" w:type="pct"/>
            <w:tcBorders>
              <w:top w:val="single" w:sz="4" w:space="0" w:color="auto"/>
              <w:bottom w:val="single" w:sz="4" w:space="0" w:color="auto"/>
            </w:tcBorders>
            <w:vAlign w:val="bottom"/>
          </w:tcPr>
          <w:p w14:paraId="302D10F0" w14:textId="77777777" w:rsidR="009158D7" w:rsidRPr="000F120F" w:rsidRDefault="009158D7" w:rsidP="00F36942">
            <w:pPr>
              <w:pStyle w:val="Tabletext"/>
              <w:rPr>
                <w:snapToGrid w:val="0"/>
              </w:rPr>
            </w:pPr>
            <w:r w:rsidRPr="00295986">
              <w:t>1</w:t>
            </w:r>
            <w:r w:rsidR="00D7157D">
              <w:t>.</w:t>
            </w:r>
            <w:r w:rsidRPr="00295986">
              <w:t>6041</w:t>
            </w:r>
          </w:p>
        </w:tc>
        <w:tc>
          <w:tcPr>
            <w:tcW w:w="909" w:type="pct"/>
            <w:tcBorders>
              <w:top w:val="single" w:sz="4" w:space="0" w:color="auto"/>
              <w:bottom w:val="single" w:sz="4" w:space="0" w:color="auto"/>
            </w:tcBorders>
            <w:vAlign w:val="bottom"/>
          </w:tcPr>
          <w:p w14:paraId="4BEF9137" w14:textId="77777777" w:rsidR="009158D7" w:rsidRPr="000F120F" w:rsidRDefault="009158D7" w:rsidP="00F36942">
            <w:pPr>
              <w:pStyle w:val="Tabletext"/>
              <w:rPr>
                <w:snapToGrid w:val="0"/>
              </w:rPr>
            </w:pPr>
            <w:r w:rsidRPr="00295986">
              <w:t>26</w:t>
            </w:r>
            <w:r w:rsidR="00D7157D">
              <w:t>.</w:t>
            </w:r>
            <w:r w:rsidRPr="00295986">
              <w:t>1695</w:t>
            </w:r>
          </w:p>
        </w:tc>
        <w:tc>
          <w:tcPr>
            <w:tcW w:w="908" w:type="pct"/>
            <w:tcBorders>
              <w:top w:val="single" w:sz="4" w:space="0" w:color="auto"/>
              <w:bottom w:val="single" w:sz="4" w:space="0" w:color="auto"/>
            </w:tcBorders>
            <w:vAlign w:val="bottom"/>
          </w:tcPr>
          <w:p w14:paraId="40A2D681" w14:textId="77777777" w:rsidR="009158D7" w:rsidRPr="000F120F" w:rsidRDefault="009158D7" w:rsidP="00F36942">
            <w:pPr>
              <w:pStyle w:val="Tabletext"/>
              <w:rPr>
                <w:snapToGrid w:val="0"/>
              </w:rPr>
            </w:pPr>
            <w:r w:rsidRPr="00295986">
              <w:t>0</w:t>
            </w:r>
            <w:r w:rsidR="00D7157D">
              <w:t>.</w:t>
            </w:r>
            <w:r w:rsidRPr="00295986">
              <w:t>4473</w:t>
            </w:r>
          </w:p>
        </w:tc>
      </w:tr>
      <w:tr w:rsidR="009158D7" w:rsidRPr="009E2595" w14:paraId="1F7A8A7D" w14:textId="77777777" w:rsidTr="00F36942">
        <w:trPr>
          <w:cantSplit/>
        </w:trPr>
        <w:tc>
          <w:tcPr>
            <w:tcW w:w="1365" w:type="pct"/>
            <w:tcBorders>
              <w:top w:val="single" w:sz="4" w:space="0" w:color="auto"/>
              <w:bottom w:val="single" w:sz="4" w:space="0" w:color="auto"/>
            </w:tcBorders>
          </w:tcPr>
          <w:p w14:paraId="5C87BDF4" w14:textId="77777777" w:rsidR="009158D7" w:rsidRPr="00616B26" w:rsidRDefault="009158D7" w:rsidP="00F36942">
            <w:pPr>
              <w:pStyle w:val="Tabletext"/>
              <w:rPr>
                <w:snapToGrid w:val="0"/>
              </w:rPr>
            </w:pPr>
            <w:r w:rsidRPr="00616B26">
              <w:rPr>
                <w:snapToGrid w:val="0"/>
              </w:rPr>
              <w:t>50</w:t>
            </w:r>
          </w:p>
        </w:tc>
        <w:tc>
          <w:tcPr>
            <w:tcW w:w="909" w:type="pct"/>
            <w:tcBorders>
              <w:top w:val="single" w:sz="4" w:space="0" w:color="auto"/>
              <w:bottom w:val="single" w:sz="4" w:space="0" w:color="auto"/>
            </w:tcBorders>
            <w:vAlign w:val="bottom"/>
          </w:tcPr>
          <w:p w14:paraId="5E8F138E" w14:textId="77777777" w:rsidR="009158D7" w:rsidRPr="000F120F" w:rsidRDefault="009158D7" w:rsidP="00F36942">
            <w:pPr>
              <w:pStyle w:val="Tabletext"/>
              <w:rPr>
                <w:snapToGrid w:val="0"/>
              </w:rPr>
            </w:pPr>
            <w:r w:rsidRPr="00295986">
              <w:t>24</w:t>
            </w:r>
            <w:r w:rsidR="00D7157D">
              <w:t>.</w:t>
            </w:r>
            <w:r w:rsidRPr="00295986">
              <w:t>7425</w:t>
            </w:r>
          </w:p>
        </w:tc>
        <w:tc>
          <w:tcPr>
            <w:tcW w:w="909" w:type="pct"/>
            <w:tcBorders>
              <w:top w:val="single" w:sz="4" w:space="0" w:color="auto"/>
              <w:bottom w:val="single" w:sz="4" w:space="0" w:color="auto"/>
            </w:tcBorders>
            <w:vAlign w:val="bottom"/>
          </w:tcPr>
          <w:p w14:paraId="31EE073A" w14:textId="77777777" w:rsidR="009158D7" w:rsidRPr="000F120F" w:rsidRDefault="009158D7" w:rsidP="00F36942">
            <w:pPr>
              <w:pStyle w:val="Tabletext"/>
              <w:rPr>
                <w:snapToGrid w:val="0"/>
              </w:rPr>
            </w:pPr>
            <w:r w:rsidRPr="00295986">
              <w:t>1</w:t>
            </w:r>
            <w:r w:rsidR="00D7157D">
              <w:t>.</w:t>
            </w:r>
            <w:r w:rsidRPr="00295986">
              <w:t>5564</w:t>
            </w:r>
          </w:p>
        </w:tc>
        <w:tc>
          <w:tcPr>
            <w:tcW w:w="909" w:type="pct"/>
            <w:tcBorders>
              <w:top w:val="single" w:sz="4" w:space="0" w:color="auto"/>
              <w:bottom w:val="single" w:sz="4" w:space="0" w:color="auto"/>
            </w:tcBorders>
            <w:vAlign w:val="bottom"/>
          </w:tcPr>
          <w:p w14:paraId="13981157" w14:textId="77777777" w:rsidR="009158D7" w:rsidRPr="000F120F" w:rsidRDefault="009158D7" w:rsidP="00F36942">
            <w:pPr>
              <w:pStyle w:val="Tabletext"/>
              <w:rPr>
                <w:snapToGrid w:val="0"/>
              </w:rPr>
            </w:pPr>
            <w:r w:rsidRPr="00295986">
              <w:t>25</w:t>
            </w:r>
            <w:r w:rsidR="00D7157D">
              <w:t>.</w:t>
            </w:r>
            <w:r w:rsidRPr="00295986">
              <w:t>7850</w:t>
            </w:r>
          </w:p>
        </w:tc>
        <w:tc>
          <w:tcPr>
            <w:tcW w:w="908" w:type="pct"/>
            <w:tcBorders>
              <w:top w:val="single" w:sz="4" w:space="0" w:color="auto"/>
              <w:bottom w:val="single" w:sz="4" w:space="0" w:color="auto"/>
            </w:tcBorders>
            <w:vAlign w:val="bottom"/>
          </w:tcPr>
          <w:p w14:paraId="4BDE0534" w14:textId="77777777" w:rsidR="009158D7" w:rsidRPr="000F120F" w:rsidRDefault="009158D7" w:rsidP="00F36942">
            <w:pPr>
              <w:pStyle w:val="Tabletext"/>
              <w:rPr>
                <w:snapToGrid w:val="0"/>
              </w:rPr>
            </w:pPr>
            <w:r w:rsidRPr="00295986">
              <w:t>0</w:t>
            </w:r>
            <w:r w:rsidR="00D7157D">
              <w:t>.</w:t>
            </w:r>
            <w:r w:rsidRPr="00295986">
              <w:t>3968</w:t>
            </w:r>
          </w:p>
        </w:tc>
      </w:tr>
      <w:tr w:rsidR="009158D7" w:rsidRPr="009E2595" w14:paraId="1A0B624B" w14:textId="77777777" w:rsidTr="00F36942">
        <w:trPr>
          <w:cantSplit/>
        </w:trPr>
        <w:tc>
          <w:tcPr>
            <w:tcW w:w="1365" w:type="pct"/>
            <w:tcBorders>
              <w:top w:val="single" w:sz="4" w:space="0" w:color="auto"/>
              <w:bottom w:val="single" w:sz="4" w:space="0" w:color="auto"/>
            </w:tcBorders>
          </w:tcPr>
          <w:p w14:paraId="3B1F94C8" w14:textId="77777777" w:rsidR="009158D7" w:rsidRPr="00616B26" w:rsidRDefault="009158D7" w:rsidP="00F36942">
            <w:pPr>
              <w:pStyle w:val="Tabletext"/>
              <w:rPr>
                <w:snapToGrid w:val="0"/>
              </w:rPr>
            </w:pPr>
            <w:r w:rsidRPr="00616B26">
              <w:rPr>
                <w:snapToGrid w:val="0"/>
              </w:rPr>
              <w:t>51</w:t>
            </w:r>
          </w:p>
        </w:tc>
        <w:tc>
          <w:tcPr>
            <w:tcW w:w="909" w:type="pct"/>
            <w:tcBorders>
              <w:top w:val="single" w:sz="4" w:space="0" w:color="auto"/>
              <w:bottom w:val="single" w:sz="4" w:space="0" w:color="auto"/>
            </w:tcBorders>
            <w:vAlign w:val="bottom"/>
          </w:tcPr>
          <w:p w14:paraId="459B9F69" w14:textId="77777777" w:rsidR="009158D7" w:rsidRPr="000F120F" w:rsidRDefault="009158D7" w:rsidP="00F36942">
            <w:pPr>
              <w:pStyle w:val="Tabletext"/>
              <w:rPr>
                <w:snapToGrid w:val="0"/>
              </w:rPr>
            </w:pPr>
            <w:r w:rsidRPr="00295986">
              <w:t>24</w:t>
            </w:r>
            <w:r w:rsidR="00D7157D">
              <w:t>.</w:t>
            </w:r>
            <w:r w:rsidRPr="00295986">
              <w:t>3394</w:t>
            </w:r>
          </w:p>
        </w:tc>
        <w:tc>
          <w:tcPr>
            <w:tcW w:w="909" w:type="pct"/>
            <w:tcBorders>
              <w:top w:val="single" w:sz="4" w:space="0" w:color="auto"/>
              <w:bottom w:val="single" w:sz="4" w:space="0" w:color="auto"/>
            </w:tcBorders>
            <w:vAlign w:val="bottom"/>
          </w:tcPr>
          <w:p w14:paraId="7E3F686A" w14:textId="77777777" w:rsidR="009158D7" w:rsidRPr="000F120F" w:rsidRDefault="009158D7" w:rsidP="00F36942">
            <w:pPr>
              <w:pStyle w:val="Tabletext"/>
              <w:rPr>
                <w:snapToGrid w:val="0"/>
              </w:rPr>
            </w:pPr>
            <w:r w:rsidRPr="00295986">
              <w:t>1</w:t>
            </w:r>
            <w:r w:rsidR="00D7157D">
              <w:t>.</w:t>
            </w:r>
            <w:r w:rsidRPr="00295986">
              <w:t>3473</w:t>
            </w:r>
          </w:p>
        </w:tc>
        <w:tc>
          <w:tcPr>
            <w:tcW w:w="909" w:type="pct"/>
            <w:tcBorders>
              <w:top w:val="single" w:sz="4" w:space="0" w:color="auto"/>
              <w:bottom w:val="single" w:sz="4" w:space="0" w:color="auto"/>
            </w:tcBorders>
            <w:vAlign w:val="bottom"/>
          </w:tcPr>
          <w:p w14:paraId="6195B293" w14:textId="77777777" w:rsidR="009158D7" w:rsidRPr="000F120F" w:rsidRDefault="009158D7" w:rsidP="00F36942">
            <w:pPr>
              <w:pStyle w:val="Tabletext"/>
              <w:rPr>
                <w:snapToGrid w:val="0"/>
              </w:rPr>
            </w:pPr>
            <w:r w:rsidRPr="00295986">
              <w:t>25</w:t>
            </w:r>
            <w:r w:rsidR="00D7157D">
              <w:t>.</w:t>
            </w:r>
            <w:r w:rsidRPr="00295986">
              <w:t>3921</w:t>
            </w:r>
          </w:p>
        </w:tc>
        <w:tc>
          <w:tcPr>
            <w:tcW w:w="908" w:type="pct"/>
            <w:tcBorders>
              <w:top w:val="single" w:sz="4" w:space="0" w:color="auto"/>
              <w:bottom w:val="single" w:sz="4" w:space="0" w:color="auto"/>
            </w:tcBorders>
            <w:vAlign w:val="bottom"/>
          </w:tcPr>
          <w:p w14:paraId="46F0AC36" w14:textId="77777777" w:rsidR="009158D7" w:rsidRPr="000F120F" w:rsidRDefault="009158D7" w:rsidP="00F36942">
            <w:pPr>
              <w:pStyle w:val="Tabletext"/>
              <w:rPr>
                <w:snapToGrid w:val="0"/>
              </w:rPr>
            </w:pPr>
            <w:r w:rsidRPr="00295986">
              <w:t>0</w:t>
            </w:r>
            <w:r w:rsidR="00D7157D">
              <w:t>.</w:t>
            </w:r>
            <w:r w:rsidRPr="00295986">
              <w:t>3440</w:t>
            </w:r>
          </w:p>
        </w:tc>
      </w:tr>
      <w:tr w:rsidR="009158D7" w:rsidRPr="009E2595" w14:paraId="64DB5B8C" w14:textId="77777777" w:rsidTr="00F36942">
        <w:trPr>
          <w:cantSplit/>
        </w:trPr>
        <w:tc>
          <w:tcPr>
            <w:tcW w:w="1365" w:type="pct"/>
            <w:tcBorders>
              <w:top w:val="single" w:sz="4" w:space="0" w:color="auto"/>
              <w:bottom w:val="single" w:sz="4" w:space="0" w:color="auto"/>
            </w:tcBorders>
          </w:tcPr>
          <w:p w14:paraId="41C6A672" w14:textId="77777777" w:rsidR="009158D7" w:rsidRPr="00616B26" w:rsidRDefault="009158D7" w:rsidP="00F36942">
            <w:pPr>
              <w:pStyle w:val="Tabletext"/>
              <w:rPr>
                <w:snapToGrid w:val="0"/>
              </w:rPr>
            </w:pPr>
            <w:r w:rsidRPr="00616B26">
              <w:rPr>
                <w:snapToGrid w:val="0"/>
              </w:rPr>
              <w:t>52</w:t>
            </w:r>
          </w:p>
        </w:tc>
        <w:tc>
          <w:tcPr>
            <w:tcW w:w="909" w:type="pct"/>
            <w:tcBorders>
              <w:top w:val="single" w:sz="4" w:space="0" w:color="auto"/>
              <w:bottom w:val="single" w:sz="4" w:space="0" w:color="auto"/>
            </w:tcBorders>
            <w:vAlign w:val="bottom"/>
          </w:tcPr>
          <w:p w14:paraId="7CEC3D06" w14:textId="77777777" w:rsidR="009158D7" w:rsidRPr="000F120F" w:rsidRDefault="009158D7" w:rsidP="00F36942">
            <w:pPr>
              <w:pStyle w:val="Tabletext"/>
              <w:rPr>
                <w:snapToGrid w:val="0"/>
              </w:rPr>
            </w:pPr>
            <w:r w:rsidRPr="00295986">
              <w:t>23</w:t>
            </w:r>
            <w:r w:rsidR="00D7157D">
              <w:t>.</w:t>
            </w:r>
            <w:r w:rsidRPr="00295986">
              <w:t>9268</w:t>
            </w:r>
          </w:p>
        </w:tc>
        <w:tc>
          <w:tcPr>
            <w:tcW w:w="909" w:type="pct"/>
            <w:tcBorders>
              <w:top w:val="single" w:sz="4" w:space="0" w:color="auto"/>
              <w:bottom w:val="single" w:sz="4" w:space="0" w:color="auto"/>
            </w:tcBorders>
            <w:vAlign w:val="bottom"/>
          </w:tcPr>
          <w:p w14:paraId="0DEE18AD" w14:textId="77777777" w:rsidR="009158D7" w:rsidRPr="000F120F" w:rsidRDefault="009158D7" w:rsidP="00F36942">
            <w:pPr>
              <w:pStyle w:val="Tabletext"/>
              <w:rPr>
                <w:snapToGrid w:val="0"/>
              </w:rPr>
            </w:pPr>
            <w:r w:rsidRPr="00295986">
              <w:t>1</w:t>
            </w:r>
            <w:r w:rsidR="00D7157D">
              <w:t>.</w:t>
            </w:r>
            <w:r w:rsidRPr="00295986">
              <w:t>1299</w:t>
            </w:r>
          </w:p>
        </w:tc>
        <w:tc>
          <w:tcPr>
            <w:tcW w:w="909" w:type="pct"/>
            <w:tcBorders>
              <w:top w:val="single" w:sz="4" w:space="0" w:color="auto"/>
              <w:bottom w:val="single" w:sz="4" w:space="0" w:color="auto"/>
            </w:tcBorders>
            <w:vAlign w:val="bottom"/>
          </w:tcPr>
          <w:p w14:paraId="02356451" w14:textId="77777777" w:rsidR="009158D7" w:rsidRPr="000F120F" w:rsidRDefault="009158D7" w:rsidP="00F36942">
            <w:pPr>
              <w:pStyle w:val="Tabletext"/>
              <w:rPr>
                <w:snapToGrid w:val="0"/>
              </w:rPr>
            </w:pPr>
            <w:r w:rsidRPr="00295986">
              <w:t>24</w:t>
            </w:r>
            <w:r w:rsidR="00D7157D">
              <w:t>.</w:t>
            </w:r>
            <w:r w:rsidRPr="00295986">
              <w:t>9893</w:t>
            </w:r>
          </w:p>
        </w:tc>
        <w:tc>
          <w:tcPr>
            <w:tcW w:w="908" w:type="pct"/>
            <w:tcBorders>
              <w:top w:val="single" w:sz="4" w:space="0" w:color="auto"/>
              <w:bottom w:val="single" w:sz="4" w:space="0" w:color="auto"/>
            </w:tcBorders>
            <w:vAlign w:val="bottom"/>
          </w:tcPr>
          <w:p w14:paraId="55562522" w14:textId="77777777" w:rsidR="009158D7" w:rsidRPr="000F120F" w:rsidRDefault="009158D7" w:rsidP="00F36942">
            <w:pPr>
              <w:pStyle w:val="Tabletext"/>
              <w:rPr>
                <w:snapToGrid w:val="0"/>
              </w:rPr>
            </w:pPr>
            <w:r w:rsidRPr="00295986">
              <w:t>0</w:t>
            </w:r>
            <w:r w:rsidR="00D7157D">
              <w:t>.</w:t>
            </w:r>
            <w:r w:rsidRPr="00295986">
              <w:t>2889</w:t>
            </w:r>
          </w:p>
        </w:tc>
      </w:tr>
      <w:tr w:rsidR="009158D7" w:rsidRPr="009E2595" w14:paraId="22AA348E" w14:textId="77777777" w:rsidTr="00F36942">
        <w:trPr>
          <w:cantSplit/>
        </w:trPr>
        <w:tc>
          <w:tcPr>
            <w:tcW w:w="1365" w:type="pct"/>
            <w:tcBorders>
              <w:top w:val="single" w:sz="4" w:space="0" w:color="auto"/>
              <w:bottom w:val="single" w:sz="4" w:space="0" w:color="auto"/>
            </w:tcBorders>
          </w:tcPr>
          <w:p w14:paraId="4E5404AB" w14:textId="77777777" w:rsidR="009158D7" w:rsidRPr="00616B26" w:rsidRDefault="009158D7" w:rsidP="00F36942">
            <w:pPr>
              <w:pStyle w:val="Tabletext"/>
              <w:rPr>
                <w:snapToGrid w:val="0"/>
              </w:rPr>
            </w:pPr>
            <w:r w:rsidRPr="00616B26">
              <w:rPr>
                <w:snapToGrid w:val="0"/>
              </w:rPr>
              <w:t>53</w:t>
            </w:r>
          </w:p>
        </w:tc>
        <w:tc>
          <w:tcPr>
            <w:tcW w:w="909" w:type="pct"/>
            <w:tcBorders>
              <w:top w:val="single" w:sz="4" w:space="0" w:color="auto"/>
              <w:bottom w:val="single" w:sz="4" w:space="0" w:color="auto"/>
            </w:tcBorders>
            <w:vAlign w:val="bottom"/>
          </w:tcPr>
          <w:p w14:paraId="0843E2CD" w14:textId="77777777" w:rsidR="009158D7" w:rsidRPr="000F120F" w:rsidRDefault="009158D7" w:rsidP="00F36942">
            <w:pPr>
              <w:pStyle w:val="Tabletext"/>
              <w:rPr>
                <w:snapToGrid w:val="0"/>
              </w:rPr>
            </w:pPr>
            <w:r w:rsidRPr="00295986">
              <w:t>23</w:t>
            </w:r>
            <w:r w:rsidR="00D7157D">
              <w:t>.</w:t>
            </w:r>
            <w:r w:rsidRPr="00295986">
              <w:t>5045</w:t>
            </w:r>
          </w:p>
        </w:tc>
        <w:tc>
          <w:tcPr>
            <w:tcW w:w="909" w:type="pct"/>
            <w:tcBorders>
              <w:top w:val="single" w:sz="4" w:space="0" w:color="auto"/>
              <w:bottom w:val="single" w:sz="4" w:space="0" w:color="auto"/>
            </w:tcBorders>
            <w:vAlign w:val="bottom"/>
          </w:tcPr>
          <w:p w14:paraId="2F607B4F" w14:textId="77777777" w:rsidR="009158D7" w:rsidRPr="000F120F" w:rsidRDefault="009158D7" w:rsidP="00F36942">
            <w:pPr>
              <w:pStyle w:val="Tabletext"/>
              <w:rPr>
                <w:snapToGrid w:val="0"/>
              </w:rPr>
            </w:pPr>
            <w:r w:rsidRPr="00295986">
              <w:t>0</w:t>
            </w:r>
            <w:r w:rsidR="00D7157D">
              <w:t>.</w:t>
            </w:r>
            <w:r w:rsidRPr="00295986">
              <w:t>9041</w:t>
            </w:r>
          </w:p>
        </w:tc>
        <w:tc>
          <w:tcPr>
            <w:tcW w:w="909" w:type="pct"/>
            <w:tcBorders>
              <w:top w:val="single" w:sz="4" w:space="0" w:color="auto"/>
              <w:bottom w:val="single" w:sz="4" w:space="0" w:color="auto"/>
            </w:tcBorders>
            <w:vAlign w:val="bottom"/>
          </w:tcPr>
          <w:p w14:paraId="23675F51" w14:textId="77777777" w:rsidR="009158D7" w:rsidRPr="000F120F" w:rsidRDefault="009158D7" w:rsidP="00F36942">
            <w:pPr>
              <w:pStyle w:val="Tabletext"/>
              <w:rPr>
                <w:snapToGrid w:val="0"/>
              </w:rPr>
            </w:pPr>
            <w:r w:rsidRPr="00295986">
              <w:t>24</w:t>
            </w:r>
            <w:r w:rsidR="00D7157D">
              <w:t>.</w:t>
            </w:r>
            <w:r w:rsidRPr="00295986">
              <w:t>5773</w:t>
            </w:r>
          </w:p>
        </w:tc>
        <w:tc>
          <w:tcPr>
            <w:tcW w:w="908" w:type="pct"/>
            <w:tcBorders>
              <w:top w:val="single" w:sz="4" w:space="0" w:color="auto"/>
              <w:bottom w:val="single" w:sz="4" w:space="0" w:color="auto"/>
            </w:tcBorders>
            <w:vAlign w:val="bottom"/>
          </w:tcPr>
          <w:p w14:paraId="4FC06331" w14:textId="77777777" w:rsidR="009158D7" w:rsidRPr="000F120F" w:rsidRDefault="009158D7" w:rsidP="00F36942">
            <w:pPr>
              <w:pStyle w:val="Tabletext"/>
              <w:rPr>
                <w:snapToGrid w:val="0"/>
              </w:rPr>
            </w:pPr>
            <w:r w:rsidRPr="00295986">
              <w:t>0</w:t>
            </w:r>
            <w:r w:rsidR="00D7157D">
              <w:t>.</w:t>
            </w:r>
            <w:r w:rsidRPr="00295986">
              <w:t>2315</w:t>
            </w:r>
          </w:p>
        </w:tc>
      </w:tr>
      <w:tr w:rsidR="009158D7" w:rsidRPr="009E2595" w14:paraId="0E8D98D3" w14:textId="77777777" w:rsidTr="00F36942">
        <w:trPr>
          <w:cantSplit/>
        </w:trPr>
        <w:tc>
          <w:tcPr>
            <w:tcW w:w="1365" w:type="pct"/>
            <w:tcBorders>
              <w:top w:val="single" w:sz="4" w:space="0" w:color="auto"/>
              <w:bottom w:val="single" w:sz="4" w:space="0" w:color="auto"/>
            </w:tcBorders>
          </w:tcPr>
          <w:p w14:paraId="76AEF8AF" w14:textId="77777777" w:rsidR="009158D7" w:rsidRPr="00616B26" w:rsidRDefault="009158D7" w:rsidP="00F36942">
            <w:pPr>
              <w:pStyle w:val="Tabletext"/>
              <w:rPr>
                <w:snapToGrid w:val="0"/>
              </w:rPr>
            </w:pPr>
            <w:r w:rsidRPr="00616B26">
              <w:rPr>
                <w:snapToGrid w:val="0"/>
              </w:rPr>
              <w:t>54</w:t>
            </w:r>
          </w:p>
        </w:tc>
        <w:tc>
          <w:tcPr>
            <w:tcW w:w="909" w:type="pct"/>
            <w:tcBorders>
              <w:top w:val="single" w:sz="4" w:space="0" w:color="auto"/>
              <w:bottom w:val="single" w:sz="4" w:space="0" w:color="auto"/>
            </w:tcBorders>
            <w:vAlign w:val="bottom"/>
          </w:tcPr>
          <w:p w14:paraId="31874E42" w14:textId="77777777" w:rsidR="009158D7" w:rsidRPr="000F120F" w:rsidRDefault="009158D7" w:rsidP="00F36942">
            <w:pPr>
              <w:pStyle w:val="Tabletext"/>
              <w:rPr>
                <w:snapToGrid w:val="0"/>
              </w:rPr>
            </w:pPr>
            <w:r w:rsidRPr="00295986">
              <w:t>23</w:t>
            </w:r>
            <w:r w:rsidR="00D7157D">
              <w:t>.</w:t>
            </w:r>
            <w:r w:rsidRPr="00295986">
              <w:t>0729</w:t>
            </w:r>
          </w:p>
        </w:tc>
        <w:tc>
          <w:tcPr>
            <w:tcW w:w="909" w:type="pct"/>
            <w:tcBorders>
              <w:top w:val="single" w:sz="4" w:space="0" w:color="auto"/>
              <w:bottom w:val="single" w:sz="4" w:space="0" w:color="auto"/>
            </w:tcBorders>
            <w:vAlign w:val="bottom"/>
          </w:tcPr>
          <w:p w14:paraId="2ED1F70B" w14:textId="77777777" w:rsidR="009158D7" w:rsidRPr="000F120F" w:rsidRDefault="009158D7" w:rsidP="00F36942">
            <w:pPr>
              <w:pStyle w:val="Tabletext"/>
              <w:rPr>
                <w:snapToGrid w:val="0"/>
              </w:rPr>
            </w:pPr>
            <w:r w:rsidRPr="00295986">
              <w:t>0</w:t>
            </w:r>
            <w:r w:rsidR="00D7157D">
              <w:t>.</w:t>
            </w:r>
            <w:r w:rsidRPr="00295986">
              <w:t>6695</w:t>
            </w:r>
          </w:p>
        </w:tc>
        <w:tc>
          <w:tcPr>
            <w:tcW w:w="909" w:type="pct"/>
            <w:tcBorders>
              <w:top w:val="single" w:sz="4" w:space="0" w:color="auto"/>
              <w:bottom w:val="single" w:sz="4" w:space="0" w:color="auto"/>
            </w:tcBorders>
            <w:vAlign w:val="bottom"/>
          </w:tcPr>
          <w:p w14:paraId="47FF3C42" w14:textId="77777777" w:rsidR="009158D7" w:rsidRPr="000F120F" w:rsidRDefault="009158D7" w:rsidP="00F36942">
            <w:pPr>
              <w:pStyle w:val="Tabletext"/>
              <w:rPr>
                <w:snapToGrid w:val="0"/>
              </w:rPr>
            </w:pPr>
            <w:r w:rsidRPr="00295986">
              <w:t>24</w:t>
            </w:r>
            <w:r w:rsidR="00D7157D">
              <w:t>.</w:t>
            </w:r>
            <w:r w:rsidRPr="00295986">
              <w:t>1555</w:t>
            </w:r>
          </w:p>
        </w:tc>
        <w:tc>
          <w:tcPr>
            <w:tcW w:w="908" w:type="pct"/>
            <w:tcBorders>
              <w:top w:val="single" w:sz="4" w:space="0" w:color="auto"/>
              <w:bottom w:val="single" w:sz="4" w:space="0" w:color="auto"/>
            </w:tcBorders>
            <w:vAlign w:val="bottom"/>
          </w:tcPr>
          <w:p w14:paraId="25B792F5" w14:textId="77777777" w:rsidR="009158D7" w:rsidRPr="000F120F" w:rsidRDefault="009158D7" w:rsidP="00F36942">
            <w:pPr>
              <w:pStyle w:val="Tabletext"/>
              <w:rPr>
                <w:snapToGrid w:val="0"/>
              </w:rPr>
            </w:pPr>
            <w:r w:rsidRPr="00295986">
              <w:t>0</w:t>
            </w:r>
            <w:r w:rsidR="00D7157D">
              <w:t>.</w:t>
            </w:r>
            <w:r w:rsidRPr="00295986">
              <w:t>1716</w:t>
            </w:r>
          </w:p>
        </w:tc>
      </w:tr>
      <w:tr w:rsidR="009158D7" w:rsidRPr="009E2595" w14:paraId="2AC4CD10" w14:textId="77777777" w:rsidTr="00F36942">
        <w:trPr>
          <w:cantSplit/>
        </w:trPr>
        <w:tc>
          <w:tcPr>
            <w:tcW w:w="1365" w:type="pct"/>
            <w:tcBorders>
              <w:top w:val="single" w:sz="4" w:space="0" w:color="auto"/>
              <w:bottom w:val="single" w:sz="4" w:space="0" w:color="auto"/>
            </w:tcBorders>
          </w:tcPr>
          <w:p w14:paraId="692C85A1" w14:textId="77777777" w:rsidR="009158D7" w:rsidRPr="00616B26" w:rsidRDefault="009158D7" w:rsidP="00F36942">
            <w:pPr>
              <w:pStyle w:val="Tabletext"/>
              <w:rPr>
                <w:snapToGrid w:val="0"/>
              </w:rPr>
            </w:pPr>
            <w:r w:rsidRPr="00616B26">
              <w:rPr>
                <w:snapToGrid w:val="0"/>
              </w:rPr>
              <w:t>55</w:t>
            </w:r>
          </w:p>
        </w:tc>
        <w:tc>
          <w:tcPr>
            <w:tcW w:w="909" w:type="pct"/>
            <w:tcBorders>
              <w:top w:val="single" w:sz="4" w:space="0" w:color="auto"/>
              <w:bottom w:val="single" w:sz="4" w:space="0" w:color="auto"/>
            </w:tcBorders>
            <w:vAlign w:val="bottom"/>
          </w:tcPr>
          <w:p w14:paraId="6C0F6D6B" w14:textId="77777777" w:rsidR="009158D7" w:rsidRPr="000F120F" w:rsidRDefault="009158D7" w:rsidP="00F36942">
            <w:pPr>
              <w:pStyle w:val="Tabletext"/>
              <w:rPr>
                <w:snapToGrid w:val="0"/>
              </w:rPr>
            </w:pPr>
            <w:r w:rsidRPr="00295986">
              <w:t>22</w:t>
            </w:r>
            <w:r w:rsidR="00D7157D">
              <w:t>.</w:t>
            </w:r>
            <w:r w:rsidRPr="00295986">
              <w:t>6316</w:t>
            </w:r>
          </w:p>
        </w:tc>
        <w:tc>
          <w:tcPr>
            <w:tcW w:w="909" w:type="pct"/>
            <w:tcBorders>
              <w:top w:val="single" w:sz="4" w:space="0" w:color="auto"/>
              <w:bottom w:val="single" w:sz="4" w:space="0" w:color="auto"/>
            </w:tcBorders>
            <w:vAlign w:val="bottom"/>
          </w:tcPr>
          <w:p w14:paraId="26E58C59" w14:textId="77777777" w:rsidR="009158D7" w:rsidRPr="000F120F" w:rsidRDefault="009158D7" w:rsidP="00F36942">
            <w:pPr>
              <w:pStyle w:val="Tabletext"/>
              <w:rPr>
                <w:snapToGrid w:val="0"/>
              </w:rPr>
            </w:pPr>
            <w:r w:rsidRPr="00295986">
              <w:t>0</w:t>
            </w:r>
            <w:r w:rsidR="00D7157D">
              <w:t>.</w:t>
            </w:r>
            <w:r w:rsidRPr="00295986">
              <w:t>4260</w:t>
            </w:r>
          </w:p>
        </w:tc>
        <w:tc>
          <w:tcPr>
            <w:tcW w:w="909" w:type="pct"/>
            <w:tcBorders>
              <w:top w:val="single" w:sz="4" w:space="0" w:color="auto"/>
              <w:bottom w:val="single" w:sz="4" w:space="0" w:color="auto"/>
            </w:tcBorders>
            <w:vAlign w:val="bottom"/>
          </w:tcPr>
          <w:p w14:paraId="4F45EA27" w14:textId="77777777" w:rsidR="009158D7" w:rsidRPr="000F120F" w:rsidRDefault="009158D7" w:rsidP="00F36942">
            <w:pPr>
              <w:pStyle w:val="Tabletext"/>
              <w:rPr>
                <w:snapToGrid w:val="0"/>
              </w:rPr>
            </w:pPr>
            <w:r w:rsidRPr="00295986">
              <w:t>23</w:t>
            </w:r>
            <w:r w:rsidR="00D7157D">
              <w:t>.</w:t>
            </w:r>
            <w:r w:rsidRPr="00295986">
              <w:t>7253</w:t>
            </w:r>
          </w:p>
        </w:tc>
        <w:tc>
          <w:tcPr>
            <w:tcW w:w="908" w:type="pct"/>
            <w:tcBorders>
              <w:top w:val="single" w:sz="4" w:space="0" w:color="auto"/>
              <w:bottom w:val="single" w:sz="4" w:space="0" w:color="auto"/>
            </w:tcBorders>
            <w:vAlign w:val="bottom"/>
          </w:tcPr>
          <w:p w14:paraId="4834C05F" w14:textId="77777777" w:rsidR="009158D7" w:rsidRPr="000F120F" w:rsidRDefault="009158D7" w:rsidP="00F36942">
            <w:pPr>
              <w:pStyle w:val="Tabletext"/>
              <w:rPr>
                <w:snapToGrid w:val="0"/>
              </w:rPr>
            </w:pPr>
            <w:r w:rsidRPr="00295986">
              <w:t>0</w:t>
            </w:r>
            <w:r w:rsidR="00D7157D">
              <w:t>.</w:t>
            </w:r>
            <w:r w:rsidRPr="00295986">
              <w:t>1093</w:t>
            </w:r>
          </w:p>
        </w:tc>
      </w:tr>
      <w:tr w:rsidR="009158D7" w:rsidRPr="009E2595" w14:paraId="415C7C41" w14:textId="77777777" w:rsidTr="00F36942">
        <w:trPr>
          <w:cantSplit/>
        </w:trPr>
        <w:tc>
          <w:tcPr>
            <w:tcW w:w="1365" w:type="pct"/>
            <w:tcBorders>
              <w:top w:val="single" w:sz="4" w:space="0" w:color="auto"/>
              <w:bottom w:val="single" w:sz="4" w:space="0" w:color="auto"/>
            </w:tcBorders>
          </w:tcPr>
          <w:p w14:paraId="5AFB9C67" w14:textId="77777777" w:rsidR="009158D7" w:rsidRPr="00616B26" w:rsidRDefault="009158D7" w:rsidP="00F36942">
            <w:pPr>
              <w:pStyle w:val="Tabletext"/>
              <w:rPr>
                <w:snapToGrid w:val="0"/>
              </w:rPr>
            </w:pPr>
            <w:r w:rsidRPr="00616B26">
              <w:rPr>
                <w:snapToGrid w:val="0"/>
              </w:rPr>
              <w:t>56</w:t>
            </w:r>
          </w:p>
        </w:tc>
        <w:tc>
          <w:tcPr>
            <w:tcW w:w="909" w:type="pct"/>
            <w:tcBorders>
              <w:top w:val="single" w:sz="4" w:space="0" w:color="auto"/>
              <w:bottom w:val="single" w:sz="4" w:space="0" w:color="auto"/>
            </w:tcBorders>
            <w:vAlign w:val="bottom"/>
          </w:tcPr>
          <w:p w14:paraId="01AC011A" w14:textId="77777777" w:rsidR="009158D7" w:rsidRPr="000F120F" w:rsidRDefault="009158D7" w:rsidP="00F36942">
            <w:pPr>
              <w:pStyle w:val="Tabletext"/>
              <w:rPr>
                <w:snapToGrid w:val="0"/>
              </w:rPr>
            </w:pPr>
            <w:r w:rsidRPr="00295986">
              <w:t>22</w:t>
            </w:r>
            <w:r w:rsidR="00D7157D">
              <w:t>.</w:t>
            </w:r>
            <w:r w:rsidRPr="00295986">
              <w:t>1803</w:t>
            </w:r>
          </w:p>
        </w:tc>
        <w:tc>
          <w:tcPr>
            <w:tcW w:w="909" w:type="pct"/>
            <w:tcBorders>
              <w:top w:val="single" w:sz="4" w:space="0" w:color="auto"/>
              <w:bottom w:val="single" w:sz="4" w:space="0" w:color="auto"/>
            </w:tcBorders>
            <w:vAlign w:val="bottom"/>
          </w:tcPr>
          <w:p w14:paraId="3EB2E237" w14:textId="77777777" w:rsidR="009158D7" w:rsidRPr="000F120F" w:rsidRDefault="009158D7" w:rsidP="00F36942">
            <w:pPr>
              <w:pStyle w:val="Tabletext"/>
              <w:rPr>
                <w:snapToGrid w:val="0"/>
              </w:rPr>
            </w:pPr>
            <w:r w:rsidRPr="00295986">
              <w:t>0</w:t>
            </w:r>
            <w:r w:rsidR="00D7157D">
              <w:t>.</w:t>
            </w:r>
            <w:r w:rsidRPr="00295986">
              <w:t>4337</w:t>
            </w:r>
          </w:p>
        </w:tc>
        <w:tc>
          <w:tcPr>
            <w:tcW w:w="909" w:type="pct"/>
            <w:tcBorders>
              <w:top w:val="single" w:sz="4" w:space="0" w:color="auto"/>
              <w:bottom w:val="single" w:sz="4" w:space="0" w:color="auto"/>
            </w:tcBorders>
            <w:vAlign w:val="bottom"/>
          </w:tcPr>
          <w:p w14:paraId="6F9D326B" w14:textId="77777777" w:rsidR="009158D7" w:rsidRPr="000F120F" w:rsidRDefault="009158D7" w:rsidP="00F36942">
            <w:pPr>
              <w:pStyle w:val="Tabletext"/>
              <w:rPr>
                <w:snapToGrid w:val="0"/>
              </w:rPr>
            </w:pPr>
            <w:r w:rsidRPr="00295986">
              <w:t>23</w:t>
            </w:r>
            <w:r w:rsidR="00D7157D">
              <w:t>.</w:t>
            </w:r>
            <w:r w:rsidRPr="00295986">
              <w:t>2867</w:t>
            </w:r>
          </w:p>
        </w:tc>
        <w:tc>
          <w:tcPr>
            <w:tcW w:w="908" w:type="pct"/>
            <w:tcBorders>
              <w:top w:val="single" w:sz="4" w:space="0" w:color="auto"/>
              <w:bottom w:val="single" w:sz="4" w:space="0" w:color="auto"/>
            </w:tcBorders>
            <w:vAlign w:val="bottom"/>
          </w:tcPr>
          <w:p w14:paraId="7CA42CED" w14:textId="77777777" w:rsidR="009158D7" w:rsidRPr="000F120F" w:rsidRDefault="009158D7" w:rsidP="00F36942">
            <w:pPr>
              <w:pStyle w:val="Tabletext"/>
              <w:rPr>
                <w:snapToGrid w:val="0"/>
              </w:rPr>
            </w:pPr>
            <w:r w:rsidRPr="00295986">
              <w:t>0</w:t>
            </w:r>
            <w:r w:rsidR="00D7157D">
              <w:t>.</w:t>
            </w:r>
            <w:r w:rsidRPr="00295986">
              <w:t>1113</w:t>
            </w:r>
          </w:p>
        </w:tc>
      </w:tr>
      <w:tr w:rsidR="009158D7" w:rsidRPr="009E2595" w14:paraId="0C269A13" w14:textId="77777777" w:rsidTr="00F36942">
        <w:trPr>
          <w:cantSplit/>
        </w:trPr>
        <w:tc>
          <w:tcPr>
            <w:tcW w:w="1365" w:type="pct"/>
            <w:tcBorders>
              <w:top w:val="single" w:sz="4" w:space="0" w:color="auto"/>
              <w:bottom w:val="single" w:sz="4" w:space="0" w:color="auto"/>
            </w:tcBorders>
          </w:tcPr>
          <w:p w14:paraId="1417A2B5" w14:textId="77777777" w:rsidR="009158D7" w:rsidRPr="00616B26" w:rsidRDefault="009158D7" w:rsidP="00F36942">
            <w:pPr>
              <w:pStyle w:val="Tabletext"/>
              <w:rPr>
                <w:snapToGrid w:val="0"/>
              </w:rPr>
            </w:pPr>
            <w:r w:rsidRPr="00616B26">
              <w:rPr>
                <w:snapToGrid w:val="0"/>
              </w:rPr>
              <w:t>57</w:t>
            </w:r>
          </w:p>
        </w:tc>
        <w:tc>
          <w:tcPr>
            <w:tcW w:w="909" w:type="pct"/>
            <w:tcBorders>
              <w:top w:val="single" w:sz="4" w:space="0" w:color="auto"/>
              <w:bottom w:val="single" w:sz="4" w:space="0" w:color="auto"/>
            </w:tcBorders>
            <w:vAlign w:val="bottom"/>
          </w:tcPr>
          <w:p w14:paraId="69C9AC1A" w14:textId="77777777" w:rsidR="009158D7" w:rsidRPr="000F120F" w:rsidRDefault="009158D7" w:rsidP="00F36942">
            <w:pPr>
              <w:pStyle w:val="Tabletext"/>
              <w:rPr>
                <w:snapToGrid w:val="0"/>
              </w:rPr>
            </w:pPr>
            <w:r w:rsidRPr="00295986">
              <w:t>21</w:t>
            </w:r>
            <w:r w:rsidR="00D7157D">
              <w:t>.</w:t>
            </w:r>
            <w:r w:rsidRPr="00295986">
              <w:t>7185</w:t>
            </w:r>
          </w:p>
        </w:tc>
        <w:tc>
          <w:tcPr>
            <w:tcW w:w="909" w:type="pct"/>
            <w:tcBorders>
              <w:top w:val="single" w:sz="4" w:space="0" w:color="auto"/>
              <w:bottom w:val="single" w:sz="4" w:space="0" w:color="auto"/>
            </w:tcBorders>
            <w:vAlign w:val="bottom"/>
          </w:tcPr>
          <w:p w14:paraId="78DC640B" w14:textId="77777777" w:rsidR="009158D7" w:rsidRPr="000F120F" w:rsidRDefault="009158D7" w:rsidP="00F36942">
            <w:pPr>
              <w:pStyle w:val="Tabletext"/>
              <w:rPr>
                <w:snapToGrid w:val="0"/>
              </w:rPr>
            </w:pPr>
            <w:r w:rsidRPr="00295986">
              <w:t>0</w:t>
            </w:r>
            <w:r w:rsidR="00D7157D">
              <w:t>.</w:t>
            </w:r>
            <w:r w:rsidRPr="00295986">
              <w:t>4415</w:t>
            </w:r>
          </w:p>
        </w:tc>
        <w:tc>
          <w:tcPr>
            <w:tcW w:w="909" w:type="pct"/>
            <w:tcBorders>
              <w:top w:val="single" w:sz="4" w:space="0" w:color="auto"/>
              <w:bottom w:val="single" w:sz="4" w:space="0" w:color="auto"/>
            </w:tcBorders>
            <w:vAlign w:val="bottom"/>
          </w:tcPr>
          <w:p w14:paraId="39F6EAD7" w14:textId="77777777" w:rsidR="009158D7" w:rsidRPr="000F120F" w:rsidRDefault="009158D7" w:rsidP="00F36942">
            <w:pPr>
              <w:pStyle w:val="Tabletext"/>
              <w:rPr>
                <w:snapToGrid w:val="0"/>
              </w:rPr>
            </w:pPr>
            <w:r w:rsidRPr="00295986">
              <w:t>22</w:t>
            </w:r>
            <w:r w:rsidR="00D7157D">
              <w:t>.</w:t>
            </w:r>
            <w:r w:rsidRPr="00295986">
              <w:t>8394</w:t>
            </w:r>
          </w:p>
        </w:tc>
        <w:tc>
          <w:tcPr>
            <w:tcW w:w="908" w:type="pct"/>
            <w:tcBorders>
              <w:top w:val="single" w:sz="4" w:space="0" w:color="auto"/>
              <w:bottom w:val="single" w:sz="4" w:space="0" w:color="auto"/>
            </w:tcBorders>
            <w:vAlign w:val="bottom"/>
          </w:tcPr>
          <w:p w14:paraId="509C02DC" w14:textId="77777777" w:rsidR="009158D7" w:rsidRPr="000F120F" w:rsidRDefault="009158D7" w:rsidP="00F36942">
            <w:pPr>
              <w:pStyle w:val="Tabletext"/>
              <w:rPr>
                <w:snapToGrid w:val="0"/>
              </w:rPr>
            </w:pPr>
            <w:r w:rsidRPr="00295986">
              <w:t>0</w:t>
            </w:r>
            <w:r w:rsidR="00D7157D">
              <w:t>.</w:t>
            </w:r>
            <w:r w:rsidRPr="00295986">
              <w:t>1132</w:t>
            </w:r>
          </w:p>
        </w:tc>
      </w:tr>
      <w:tr w:rsidR="009158D7" w:rsidRPr="009E2595" w14:paraId="01F53B89" w14:textId="77777777" w:rsidTr="00F36942">
        <w:trPr>
          <w:cantSplit/>
        </w:trPr>
        <w:tc>
          <w:tcPr>
            <w:tcW w:w="1365" w:type="pct"/>
            <w:tcBorders>
              <w:top w:val="single" w:sz="4" w:space="0" w:color="auto"/>
              <w:bottom w:val="single" w:sz="4" w:space="0" w:color="auto"/>
            </w:tcBorders>
          </w:tcPr>
          <w:p w14:paraId="3FF190D0" w14:textId="77777777" w:rsidR="009158D7" w:rsidRPr="00616B26" w:rsidRDefault="009158D7" w:rsidP="00F36942">
            <w:pPr>
              <w:pStyle w:val="Tabletext"/>
              <w:rPr>
                <w:snapToGrid w:val="0"/>
              </w:rPr>
            </w:pPr>
            <w:r w:rsidRPr="00616B26">
              <w:rPr>
                <w:snapToGrid w:val="0"/>
              </w:rPr>
              <w:t>58</w:t>
            </w:r>
          </w:p>
        </w:tc>
        <w:tc>
          <w:tcPr>
            <w:tcW w:w="909" w:type="pct"/>
            <w:tcBorders>
              <w:top w:val="single" w:sz="4" w:space="0" w:color="auto"/>
              <w:bottom w:val="single" w:sz="4" w:space="0" w:color="auto"/>
            </w:tcBorders>
            <w:vAlign w:val="bottom"/>
          </w:tcPr>
          <w:p w14:paraId="314D4119" w14:textId="77777777" w:rsidR="009158D7" w:rsidRPr="000F120F" w:rsidRDefault="009158D7" w:rsidP="00F36942">
            <w:pPr>
              <w:pStyle w:val="Tabletext"/>
              <w:rPr>
                <w:snapToGrid w:val="0"/>
              </w:rPr>
            </w:pPr>
            <w:r w:rsidRPr="00295986">
              <w:t>21</w:t>
            </w:r>
            <w:r w:rsidR="00D7157D">
              <w:t>.</w:t>
            </w:r>
            <w:r w:rsidRPr="00295986">
              <w:t>2459</w:t>
            </w:r>
          </w:p>
        </w:tc>
        <w:tc>
          <w:tcPr>
            <w:tcW w:w="909" w:type="pct"/>
            <w:tcBorders>
              <w:top w:val="single" w:sz="4" w:space="0" w:color="auto"/>
              <w:bottom w:val="single" w:sz="4" w:space="0" w:color="auto"/>
            </w:tcBorders>
            <w:vAlign w:val="bottom"/>
          </w:tcPr>
          <w:p w14:paraId="7BC72522" w14:textId="77777777" w:rsidR="009158D7" w:rsidRPr="000F120F" w:rsidRDefault="009158D7" w:rsidP="00F36942">
            <w:pPr>
              <w:pStyle w:val="Tabletext"/>
              <w:rPr>
                <w:snapToGrid w:val="0"/>
              </w:rPr>
            </w:pPr>
            <w:r w:rsidRPr="00295986">
              <w:t>0</w:t>
            </w:r>
            <w:r w:rsidR="00D7157D">
              <w:t>.</w:t>
            </w:r>
            <w:r w:rsidRPr="00295986">
              <w:t>4494</w:t>
            </w:r>
          </w:p>
        </w:tc>
        <w:tc>
          <w:tcPr>
            <w:tcW w:w="909" w:type="pct"/>
            <w:tcBorders>
              <w:top w:val="single" w:sz="4" w:space="0" w:color="auto"/>
              <w:bottom w:val="single" w:sz="4" w:space="0" w:color="auto"/>
            </w:tcBorders>
            <w:vAlign w:val="bottom"/>
          </w:tcPr>
          <w:p w14:paraId="21E88D61" w14:textId="77777777" w:rsidR="009158D7" w:rsidRPr="000F120F" w:rsidRDefault="009158D7" w:rsidP="00F36942">
            <w:pPr>
              <w:pStyle w:val="Tabletext"/>
              <w:rPr>
                <w:snapToGrid w:val="0"/>
              </w:rPr>
            </w:pPr>
            <w:r w:rsidRPr="00295986">
              <w:t>22</w:t>
            </w:r>
            <w:r w:rsidR="00D7157D">
              <w:t>.</w:t>
            </w:r>
            <w:r w:rsidRPr="00295986">
              <w:t>3821</w:t>
            </w:r>
          </w:p>
        </w:tc>
        <w:tc>
          <w:tcPr>
            <w:tcW w:w="908" w:type="pct"/>
            <w:tcBorders>
              <w:top w:val="single" w:sz="4" w:space="0" w:color="auto"/>
              <w:bottom w:val="single" w:sz="4" w:space="0" w:color="auto"/>
            </w:tcBorders>
            <w:vAlign w:val="bottom"/>
          </w:tcPr>
          <w:p w14:paraId="718477CF" w14:textId="77777777" w:rsidR="009158D7" w:rsidRPr="000F120F" w:rsidRDefault="009158D7" w:rsidP="00F36942">
            <w:pPr>
              <w:pStyle w:val="Tabletext"/>
              <w:rPr>
                <w:snapToGrid w:val="0"/>
              </w:rPr>
            </w:pPr>
            <w:r w:rsidRPr="00295986">
              <w:t>0</w:t>
            </w:r>
            <w:r w:rsidR="00D7157D">
              <w:t>.</w:t>
            </w:r>
            <w:r w:rsidRPr="00295986">
              <w:t>1152</w:t>
            </w:r>
          </w:p>
        </w:tc>
      </w:tr>
      <w:tr w:rsidR="009158D7" w:rsidRPr="009E2595" w14:paraId="6FA8EC53" w14:textId="77777777" w:rsidTr="00F36942">
        <w:trPr>
          <w:cantSplit/>
        </w:trPr>
        <w:tc>
          <w:tcPr>
            <w:tcW w:w="1365" w:type="pct"/>
            <w:tcBorders>
              <w:top w:val="single" w:sz="4" w:space="0" w:color="auto"/>
              <w:bottom w:val="single" w:sz="4" w:space="0" w:color="auto"/>
            </w:tcBorders>
          </w:tcPr>
          <w:p w14:paraId="37F9A9A6" w14:textId="77777777" w:rsidR="009158D7" w:rsidRPr="00616B26" w:rsidRDefault="009158D7" w:rsidP="00F36942">
            <w:pPr>
              <w:pStyle w:val="Tabletext"/>
              <w:rPr>
                <w:snapToGrid w:val="0"/>
              </w:rPr>
            </w:pPr>
            <w:r w:rsidRPr="00616B26">
              <w:rPr>
                <w:snapToGrid w:val="0"/>
              </w:rPr>
              <w:t>59</w:t>
            </w:r>
          </w:p>
        </w:tc>
        <w:tc>
          <w:tcPr>
            <w:tcW w:w="909" w:type="pct"/>
            <w:tcBorders>
              <w:top w:val="single" w:sz="4" w:space="0" w:color="auto"/>
              <w:bottom w:val="single" w:sz="4" w:space="0" w:color="auto"/>
            </w:tcBorders>
            <w:vAlign w:val="bottom"/>
          </w:tcPr>
          <w:p w14:paraId="7FEE0598" w14:textId="77777777" w:rsidR="009158D7" w:rsidRPr="000F120F" w:rsidRDefault="009158D7" w:rsidP="00F36942">
            <w:pPr>
              <w:pStyle w:val="Tabletext"/>
              <w:rPr>
                <w:snapToGrid w:val="0"/>
              </w:rPr>
            </w:pPr>
            <w:r w:rsidRPr="00295986">
              <w:t>20</w:t>
            </w:r>
            <w:r w:rsidR="00D7157D">
              <w:t>.</w:t>
            </w:r>
            <w:r w:rsidRPr="00295986">
              <w:t>7618</w:t>
            </w:r>
          </w:p>
        </w:tc>
        <w:tc>
          <w:tcPr>
            <w:tcW w:w="909" w:type="pct"/>
            <w:tcBorders>
              <w:top w:val="single" w:sz="4" w:space="0" w:color="auto"/>
              <w:bottom w:val="single" w:sz="4" w:space="0" w:color="auto"/>
            </w:tcBorders>
            <w:vAlign w:val="bottom"/>
          </w:tcPr>
          <w:p w14:paraId="69598337" w14:textId="77777777" w:rsidR="009158D7" w:rsidRPr="000F120F" w:rsidRDefault="009158D7" w:rsidP="00F36942">
            <w:pPr>
              <w:pStyle w:val="Tabletext"/>
              <w:rPr>
                <w:snapToGrid w:val="0"/>
              </w:rPr>
            </w:pPr>
            <w:r w:rsidRPr="00295986">
              <w:t>0</w:t>
            </w:r>
            <w:r w:rsidR="00D7157D">
              <w:t>.</w:t>
            </w:r>
            <w:r w:rsidRPr="00295986">
              <w:t>4575</w:t>
            </w:r>
          </w:p>
        </w:tc>
        <w:tc>
          <w:tcPr>
            <w:tcW w:w="909" w:type="pct"/>
            <w:tcBorders>
              <w:top w:val="single" w:sz="4" w:space="0" w:color="auto"/>
              <w:bottom w:val="single" w:sz="4" w:space="0" w:color="auto"/>
            </w:tcBorders>
            <w:vAlign w:val="bottom"/>
          </w:tcPr>
          <w:p w14:paraId="2A0BBD82" w14:textId="77777777" w:rsidR="009158D7" w:rsidRPr="000F120F" w:rsidRDefault="009158D7" w:rsidP="00F36942">
            <w:pPr>
              <w:pStyle w:val="Tabletext"/>
              <w:rPr>
                <w:snapToGrid w:val="0"/>
              </w:rPr>
            </w:pPr>
            <w:r w:rsidRPr="00295986">
              <w:t>21</w:t>
            </w:r>
            <w:r w:rsidR="00D7157D">
              <w:t>.</w:t>
            </w:r>
            <w:r w:rsidRPr="00295986">
              <w:t>9145</w:t>
            </w:r>
          </w:p>
        </w:tc>
        <w:tc>
          <w:tcPr>
            <w:tcW w:w="908" w:type="pct"/>
            <w:tcBorders>
              <w:top w:val="single" w:sz="4" w:space="0" w:color="auto"/>
              <w:bottom w:val="single" w:sz="4" w:space="0" w:color="auto"/>
            </w:tcBorders>
            <w:vAlign w:val="bottom"/>
          </w:tcPr>
          <w:p w14:paraId="1F71E69E" w14:textId="77777777" w:rsidR="009158D7" w:rsidRPr="000F120F" w:rsidRDefault="009158D7" w:rsidP="00F36942">
            <w:pPr>
              <w:pStyle w:val="Tabletext"/>
              <w:rPr>
                <w:snapToGrid w:val="0"/>
              </w:rPr>
            </w:pPr>
            <w:r w:rsidRPr="00295986">
              <w:t>0</w:t>
            </w:r>
            <w:r w:rsidR="00D7157D">
              <w:t>.</w:t>
            </w:r>
            <w:r w:rsidRPr="00295986">
              <w:t>1172</w:t>
            </w:r>
          </w:p>
        </w:tc>
      </w:tr>
      <w:tr w:rsidR="009158D7" w:rsidRPr="009E2595" w14:paraId="1709B6BE" w14:textId="77777777" w:rsidTr="00F36942">
        <w:trPr>
          <w:cantSplit/>
        </w:trPr>
        <w:tc>
          <w:tcPr>
            <w:tcW w:w="1365" w:type="pct"/>
            <w:tcBorders>
              <w:top w:val="single" w:sz="4" w:space="0" w:color="auto"/>
              <w:bottom w:val="single" w:sz="4" w:space="0" w:color="auto"/>
            </w:tcBorders>
          </w:tcPr>
          <w:p w14:paraId="3E7F1D72" w14:textId="77777777" w:rsidR="009158D7" w:rsidRPr="00616B26" w:rsidRDefault="009158D7" w:rsidP="00F36942">
            <w:pPr>
              <w:pStyle w:val="Tabletext"/>
              <w:rPr>
                <w:snapToGrid w:val="0"/>
              </w:rPr>
            </w:pPr>
            <w:r w:rsidRPr="00616B26">
              <w:rPr>
                <w:snapToGrid w:val="0"/>
              </w:rPr>
              <w:t>60</w:t>
            </w:r>
          </w:p>
        </w:tc>
        <w:tc>
          <w:tcPr>
            <w:tcW w:w="909" w:type="pct"/>
            <w:tcBorders>
              <w:top w:val="single" w:sz="4" w:space="0" w:color="auto"/>
              <w:bottom w:val="single" w:sz="4" w:space="0" w:color="auto"/>
            </w:tcBorders>
            <w:vAlign w:val="bottom"/>
          </w:tcPr>
          <w:p w14:paraId="2D996A78" w14:textId="77777777" w:rsidR="009158D7" w:rsidRPr="000F120F" w:rsidRDefault="009158D7" w:rsidP="00F36942">
            <w:pPr>
              <w:pStyle w:val="Tabletext"/>
              <w:rPr>
                <w:snapToGrid w:val="0"/>
              </w:rPr>
            </w:pPr>
            <w:r w:rsidRPr="00295986">
              <w:t>20</w:t>
            </w:r>
            <w:r w:rsidR="00D7157D">
              <w:t>.</w:t>
            </w:r>
            <w:r w:rsidRPr="00295986">
              <w:t>2665</w:t>
            </w:r>
          </w:p>
        </w:tc>
        <w:tc>
          <w:tcPr>
            <w:tcW w:w="909" w:type="pct"/>
            <w:tcBorders>
              <w:top w:val="single" w:sz="4" w:space="0" w:color="auto"/>
              <w:bottom w:val="single" w:sz="4" w:space="0" w:color="auto"/>
            </w:tcBorders>
            <w:vAlign w:val="bottom"/>
          </w:tcPr>
          <w:p w14:paraId="71963F14" w14:textId="77777777" w:rsidR="009158D7" w:rsidRPr="000F120F" w:rsidRDefault="009158D7" w:rsidP="00F36942">
            <w:pPr>
              <w:pStyle w:val="Tabletext"/>
              <w:rPr>
                <w:snapToGrid w:val="0"/>
              </w:rPr>
            </w:pPr>
            <w:r w:rsidRPr="00295986">
              <w:t>0</w:t>
            </w:r>
            <w:r w:rsidR="00D7157D">
              <w:t>.</w:t>
            </w:r>
            <w:r w:rsidRPr="00295986">
              <w:t>4658</w:t>
            </w:r>
          </w:p>
        </w:tc>
        <w:tc>
          <w:tcPr>
            <w:tcW w:w="909" w:type="pct"/>
            <w:tcBorders>
              <w:top w:val="single" w:sz="4" w:space="0" w:color="auto"/>
              <w:bottom w:val="single" w:sz="4" w:space="0" w:color="auto"/>
            </w:tcBorders>
            <w:vAlign w:val="bottom"/>
          </w:tcPr>
          <w:p w14:paraId="2BFED907" w14:textId="77777777" w:rsidR="009158D7" w:rsidRPr="000F120F" w:rsidRDefault="009158D7" w:rsidP="00F36942">
            <w:pPr>
              <w:pStyle w:val="Tabletext"/>
              <w:rPr>
                <w:snapToGrid w:val="0"/>
              </w:rPr>
            </w:pPr>
            <w:r w:rsidRPr="00295986">
              <w:t>21</w:t>
            </w:r>
            <w:r w:rsidR="00D7157D">
              <w:t>.</w:t>
            </w:r>
            <w:r w:rsidRPr="00295986">
              <w:t>4361</w:t>
            </w:r>
          </w:p>
        </w:tc>
        <w:tc>
          <w:tcPr>
            <w:tcW w:w="908" w:type="pct"/>
            <w:tcBorders>
              <w:top w:val="single" w:sz="4" w:space="0" w:color="auto"/>
              <w:bottom w:val="single" w:sz="4" w:space="0" w:color="auto"/>
            </w:tcBorders>
            <w:vAlign w:val="bottom"/>
          </w:tcPr>
          <w:p w14:paraId="6AD8B7A2" w14:textId="77777777" w:rsidR="009158D7" w:rsidRPr="000F120F" w:rsidRDefault="009158D7" w:rsidP="00F36942">
            <w:pPr>
              <w:pStyle w:val="Tabletext"/>
              <w:rPr>
                <w:snapToGrid w:val="0"/>
              </w:rPr>
            </w:pPr>
            <w:r w:rsidRPr="00295986">
              <w:t>0</w:t>
            </w:r>
            <w:r w:rsidR="00D7157D">
              <w:t>.</w:t>
            </w:r>
            <w:r w:rsidRPr="00295986">
              <w:t>1191</w:t>
            </w:r>
          </w:p>
        </w:tc>
      </w:tr>
      <w:tr w:rsidR="009158D7" w:rsidRPr="009E2595" w14:paraId="397B044A" w14:textId="77777777" w:rsidTr="00F36942">
        <w:trPr>
          <w:cantSplit/>
        </w:trPr>
        <w:tc>
          <w:tcPr>
            <w:tcW w:w="1365" w:type="pct"/>
            <w:tcBorders>
              <w:top w:val="single" w:sz="4" w:space="0" w:color="auto"/>
              <w:bottom w:val="single" w:sz="4" w:space="0" w:color="auto"/>
            </w:tcBorders>
          </w:tcPr>
          <w:p w14:paraId="6AB45849" w14:textId="77777777" w:rsidR="009158D7" w:rsidRPr="00616B26" w:rsidRDefault="009158D7" w:rsidP="00F36942">
            <w:pPr>
              <w:pStyle w:val="Tabletext"/>
              <w:rPr>
                <w:snapToGrid w:val="0"/>
              </w:rPr>
            </w:pPr>
            <w:r w:rsidRPr="00616B26">
              <w:rPr>
                <w:snapToGrid w:val="0"/>
              </w:rPr>
              <w:t>61</w:t>
            </w:r>
          </w:p>
        </w:tc>
        <w:tc>
          <w:tcPr>
            <w:tcW w:w="909" w:type="pct"/>
            <w:tcBorders>
              <w:top w:val="single" w:sz="4" w:space="0" w:color="auto"/>
              <w:bottom w:val="single" w:sz="4" w:space="0" w:color="auto"/>
            </w:tcBorders>
            <w:vAlign w:val="bottom"/>
          </w:tcPr>
          <w:p w14:paraId="23ABCA61" w14:textId="77777777" w:rsidR="009158D7" w:rsidRPr="000F120F" w:rsidRDefault="009158D7" w:rsidP="00F36942">
            <w:pPr>
              <w:pStyle w:val="Tabletext"/>
              <w:rPr>
                <w:snapToGrid w:val="0"/>
              </w:rPr>
            </w:pPr>
            <w:r w:rsidRPr="00295986">
              <w:t>19</w:t>
            </w:r>
            <w:r w:rsidR="00D7157D">
              <w:t>.</w:t>
            </w:r>
            <w:r w:rsidRPr="00295986">
              <w:t>7603</w:t>
            </w:r>
          </w:p>
        </w:tc>
        <w:tc>
          <w:tcPr>
            <w:tcW w:w="909" w:type="pct"/>
            <w:tcBorders>
              <w:top w:val="single" w:sz="4" w:space="0" w:color="auto"/>
              <w:bottom w:val="single" w:sz="4" w:space="0" w:color="auto"/>
            </w:tcBorders>
            <w:vAlign w:val="bottom"/>
          </w:tcPr>
          <w:p w14:paraId="107FA742" w14:textId="77777777" w:rsidR="009158D7" w:rsidRPr="000F120F" w:rsidRDefault="009158D7" w:rsidP="00F36942">
            <w:pPr>
              <w:pStyle w:val="Tabletext"/>
              <w:rPr>
                <w:snapToGrid w:val="0"/>
              </w:rPr>
            </w:pPr>
            <w:r w:rsidRPr="00295986">
              <w:t>0</w:t>
            </w:r>
            <w:r w:rsidR="00D7157D">
              <w:t>.</w:t>
            </w:r>
            <w:r w:rsidRPr="00295986">
              <w:t>4741</w:t>
            </w:r>
          </w:p>
        </w:tc>
        <w:tc>
          <w:tcPr>
            <w:tcW w:w="909" w:type="pct"/>
            <w:tcBorders>
              <w:top w:val="single" w:sz="4" w:space="0" w:color="auto"/>
              <w:bottom w:val="single" w:sz="4" w:space="0" w:color="auto"/>
            </w:tcBorders>
            <w:vAlign w:val="bottom"/>
          </w:tcPr>
          <w:p w14:paraId="0C40556A" w14:textId="77777777" w:rsidR="009158D7" w:rsidRPr="000F120F" w:rsidRDefault="009158D7" w:rsidP="00F36942">
            <w:pPr>
              <w:pStyle w:val="Tabletext"/>
              <w:rPr>
                <w:snapToGrid w:val="0"/>
              </w:rPr>
            </w:pPr>
            <w:r w:rsidRPr="00295986">
              <w:t>20</w:t>
            </w:r>
            <w:r w:rsidR="00D7157D">
              <w:t>.</w:t>
            </w:r>
            <w:r w:rsidRPr="00295986">
              <w:t>9460</w:t>
            </w:r>
          </w:p>
        </w:tc>
        <w:tc>
          <w:tcPr>
            <w:tcW w:w="908" w:type="pct"/>
            <w:tcBorders>
              <w:top w:val="single" w:sz="4" w:space="0" w:color="auto"/>
              <w:bottom w:val="single" w:sz="4" w:space="0" w:color="auto"/>
            </w:tcBorders>
            <w:vAlign w:val="bottom"/>
          </w:tcPr>
          <w:p w14:paraId="1B196D18" w14:textId="77777777" w:rsidR="009158D7" w:rsidRPr="000F120F" w:rsidRDefault="009158D7" w:rsidP="00F36942">
            <w:pPr>
              <w:pStyle w:val="Tabletext"/>
              <w:rPr>
                <w:snapToGrid w:val="0"/>
              </w:rPr>
            </w:pPr>
            <w:r w:rsidRPr="00295986">
              <w:t>0</w:t>
            </w:r>
            <w:r w:rsidR="00D7157D">
              <w:t>.</w:t>
            </w:r>
            <w:r w:rsidRPr="00295986">
              <w:t>1212</w:t>
            </w:r>
          </w:p>
        </w:tc>
      </w:tr>
      <w:tr w:rsidR="009158D7" w:rsidRPr="009E2595" w14:paraId="02EFF41F" w14:textId="77777777" w:rsidTr="00F36942">
        <w:trPr>
          <w:cantSplit/>
        </w:trPr>
        <w:tc>
          <w:tcPr>
            <w:tcW w:w="1365" w:type="pct"/>
            <w:tcBorders>
              <w:top w:val="single" w:sz="4" w:space="0" w:color="auto"/>
              <w:bottom w:val="single" w:sz="4" w:space="0" w:color="auto"/>
            </w:tcBorders>
          </w:tcPr>
          <w:p w14:paraId="3F606B2B" w14:textId="77777777" w:rsidR="009158D7" w:rsidRPr="00616B26" w:rsidRDefault="009158D7" w:rsidP="00F36942">
            <w:pPr>
              <w:pStyle w:val="Tabletext"/>
              <w:rPr>
                <w:snapToGrid w:val="0"/>
              </w:rPr>
            </w:pPr>
            <w:r w:rsidRPr="00616B26">
              <w:rPr>
                <w:snapToGrid w:val="0"/>
              </w:rPr>
              <w:t>62</w:t>
            </w:r>
          </w:p>
        </w:tc>
        <w:tc>
          <w:tcPr>
            <w:tcW w:w="909" w:type="pct"/>
            <w:tcBorders>
              <w:top w:val="single" w:sz="4" w:space="0" w:color="auto"/>
              <w:bottom w:val="single" w:sz="4" w:space="0" w:color="auto"/>
            </w:tcBorders>
            <w:vAlign w:val="bottom"/>
          </w:tcPr>
          <w:p w14:paraId="70FC13C1" w14:textId="77777777" w:rsidR="009158D7" w:rsidRPr="000F120F" w:rsidRDefault="009158D7" w:rsidP="00F36942">
            <w:pPr>
              <w:pStyle w:val="Tabletext"/>
              <w:rPr>
                <w:snapToGrid w:val="0"/>
              </w:rPr>
            </w:pPr>
            <w:r w:rsidRPr="00295986">
              <w:t>19</w:t>
            </w:r>
            <w:r w:rsidR="00D7157D">
              <w:t>.</w:t>
            </w:r>
            <w:r w:rsidRPr="00295986">
              <w:t>2427</w:t>
            </w:r>
          </w:p>
        </w:tc>
        <w:tc>
          <w:tcPr>
            <w:tcW w:w="909" w:type="pct"/>
            <w:tcBorders>
              <w:top w:val="single" w:sz="4" w:space="0" w:color="auto"/>
              <w:bottom w:val="single" w:sz="4" w:space="0" w:color="auto"/>
            </w:tcBorders>
            <w:vAlign w:val="bottom"/>
          </w:tcPr>
          <w:p w14:paraId="118EC9BA" w14:textId="77777777" w:rsidR="009158D7" w:rsidRPr="000F120F" w:rsidRDefault="009158D7" w:rsidP="00F36942">
            <w:pPr>
              <w:pStyle w:val="Tabletext"/>
              <w:rPr>
                <w:snapToGrid w:val="0"/>
              </w:rPr>
            </w:pPr>
            <w:r w:rsidRPr="00295986">
              <w:t>0</w:t>
            </w:r>
            <w:r w:rsidR="00D7157D">
              <w:t>.</w:t>
            </w:r>
            <w:r w:rsidRPr="00295986">
              <w:t>4825</w:t>
            </w:r>
          </w:p>
        </w:tc>
        <w:tc>
          <w:tcPr>
            <w:tcW w:w="909" w:type="pct"/>
            <w:tcBorders>
              <w:top w:val="single" w:sz="4" w:space="0" w:color="auto"/>
              <w:bottom w:val="single" w:sz="4" w:space="0" w:color="auto"/>
            </w:tcBorders>
            <w:vAlign w:val="bottom"/>
          </w:tcPr>
          <w:p w14:paraId="2DDDACBA" w14:textId="77777777" w:rsidR="009158D7" w:rsidRPr="000F120F" w:rsidRDefault="009158D7" w:rsidP="00F36942">
            <w:pPr>
              <w:pStyle w:val="Tabletext"/>
              <w:rPr>
                <w:snapToGrid w:val="0"/>
              </w:rPr>
            </w:pPr>
            <w:r w:rsidRPr="00295986">
              <w:t>20</w:t>
            </w:r>
            <w:r w:rsidR="00D7157D">
              <w:t>.</w:t>
            </w:r>
            <w:r w:rsidRPr="00295986">
              <w:t>4453</w:t>
            </w:r>
          </w:p>
        </w:tc>
        <w:tc>
          <w:tcPr>
            <w:tcW w:w="908" w:type="pct"/>
            <w:tcBorders>
              <w:top w:val="single" w:sz="4" w:space="0" w:color="auto"/>
              <w:bottom w:val="single" w:sz="4" w:space="0" w:color="auto"/>
            </w:tcBorders>
            <w:vAlign w:val="bottom"/>
          </w:tcPr>
          <w:p w14:paraId="2C383257" w14:textId="77777777" w:rsidR="009158D7" w:rsidRPr="000F120F" w:rsidRDefault="009158D7" w:rsidP="00F36942">
            <w:pPr>
              <w:pStyle w:val="Tabletext"/>
              <w:rPr>
                <w:snapToGrid w:val="0"/>
              </w:rPr>
            </w:pPr>
            <w:r w:rsidRPr="00295986">
              <w:t>0</w:t>
            </w:r>
            <w:r w:rsidR="00D7157D">
              <w:t>.</w:t>
            </w:r>
            <w:r w:rsidRPr="00295986">
              <w:t>1232</w:t>
            </w:r>
          </w:p>
        </w:tc>
      </w:tr>
      <w:tr w:rsidR="009158D7" w:rsidRPr="009E2595" w14:paraId="47897E09" w14:textId="77777777" w:rsidTr="00F36942">
        <w:trPr>
          <w:cantSplit/>
        </w:trPr>
        <w:tc>
          <w:tcPr>
            <w:tcW w:w="1365" w:type="pct"/>
            <w:tcBorders>
              <w:top w:val="single" w:sz="4" w:space="0" w:color="auto"/>
              <w:bottom w:val="single" w:sz="4" w:space="0" w:color="auto"/>
            </w:tcBorders>
          </w:tcPr>
          <w:p w14:paraId="4A750BCC" w14:textId="77777777" w:rsidR="009158D7" w:rsidRPr="00616B26" w:rsidRDefault="009158D7" w:rsidP="00F36942">
            <w:pPr>
              <w:pStyle w:val="Tabletext"/>
              <w:rPr>
                <w:snapToGrid w:val="0"/>
              </w:rPr>
            </w:pPr>
            <w:r w:rsidRPr="00616B26">
              <w:rPr>
                <w:snapToGrid w:val="0"/>
              </w:rPr>
              <w:t>63</w:t>
            </w:r>
          </w:p>
        </w:tc>
        <w:tc>
          <w:tcPr>
            <w:tcW w:w="909" w:type="pct"/>
            <w:tcBorders>
              <w:top w:val="single" w:sz="4" w:space="0" w:color="auto"/>
              <w:bottom w:val="single" w:sz="4" w:space="0" w:color="auto"/>
            </w:tcBorders>
            <w:vAlign w:val="bottom"/>
          </w:tcPr>
          <w:p w14:paraId="07527658" w14:textId="77777777" w:rsidR="009158D7" w:rsidRPr="000F120F" w:rsidRDefault="009158D7" w:rsidP="00F36942">
            <w:pPr>
              <w:pStyle w:val="Tabletext"/>
              <w:rPr>
                <w:snapToGrid w:val="0"/>
              </w:rPr>
            </w:pPr>
            <w:r w:rsidRPr="00295986">
              <w:t>18</w:t>
            </w:r>
            <w:r w:rsidR="00D7157D">
              <w:t>.</w:t>
            </w:r>
            <w:r w:rsidRPr="00295986">
              <w:t>7140</w:t>
            </w:r>
          </w:p>
        </w:tc>
        <w:tc>
          <w:tcPr>
            <w:tcW w:w="909" w:type="pct"/>
            <w:tcBorders>
              <w:top w:val="single" w:sz="4" w:space="0" w:color="auto"/>
              <w:bottom w:val="single" w:sz="4" w:space="0" w:color="auto"/>
            </w:tcBorders>
            <w:vAlign w:val="bottom"/>
          </w:tcPr>
          <w:p w14:paraId="0192C14C" w14:textId="77777777" w:rsidR="009158D7" w:rsidRPr="000F120F" w:rsidRDefault="009158D7" w:rsidP="00F36942">
            <w:pPr>
              <w:pStyle w:val="Tabletext"/>
              <w:rPr>
                <w:snapToGrid w:val="0"/>
              </w:rPr>
            </w:pPr>
            <w:r w:rsidRPr="00295986">
              <w:t>0</w:t>
            </w:r>
            <w:r w:rsidR="00D7157D">
              <w:t>.</w:t>
            </w:r>
            <w:r w:rsidRPr="00295986">
              <w:t>4909</w:t>
            </w:r>
          </w:p>
        </w:tc>
        <w:tc>
          <w:tcPr>
            <w:tcW w:w="909" w:type="pct"/>
            <w:tcBorders>
              <w:top w:val="single" w:sz="4" w:space="0" w:color="auto"/>
              <w:bottom w:val="single" w:sz="4" w:space="0" w:color="auto"/>
            </w:tcBorders>
            <w:vAlign w:val="bottom"/>
          </w:tcPr>
          <w:p w14:paraId="760E4457" w14:textId="77777777" w:rsidR="009158D7" w:rsidRPr="000F120F" w:rsidRDefault="009158D7" w:rsidP="00F36942">
            <w:pPr>
              <w:pStyle w:val="Tabletext"/>
              <w:rPr>
                <w:snapToGrid w:val="0"/>
              </w:rPr>
            </w:pPr>
            <w:r w:rsidRPr="00295986">
              <w:t>19</w:t>
            </w:r>
            <w:r w:rsidR="00D7157D">
              <w:t>.</w:t>
            </w:r>
            <w:r w:rsidRPr="00295986">
              <w:t>9336</w:t>
            </w:r>
          </w:p>
        </w:tc>
        <w:tc>
          <w:tcPr>
            <w:tcW w:w="908" w:type="pct"/>
            <w:tcBorders>
              <w:top w:val="single" w:sz="4" w:space="0" w:color="auto"/>
              <w:bottom w:val="single" w:sz="4" w:space="0" w:color="auto"/>
            </w:tcBorders>
            <w:vAlign w:val="bottom"/>
          </w:tcPr>
          <w:p w14:paraId="1C60C59B" w14:textId="77777777" w:rsidR="009158D7" w:rsidRPr="000F120F" w:rsidRDefault="009158D7" w:rsidP="00F36942">
            <w:pPr>
              <w:pStyle w:val="Tabletext"/>
              <w:rPr>
                <w:snapToGrid w:val="0"/>
              </w:rPr>
            </w:pPr>
            <w:r w:rsidRPr="00295986">
              <w:t>0</w:t>
            </w:r>
            <w:r w:rsidR="00D7157D">
              <w:t>.</w:t>
            </w:r>
            <w:r w:rsidRPr="00295986">
              <w:t>1253</w:t>
            </w:r>
          </w:p>
        </w:tc>
      </w:tr>
      <w:tr w:rsidR="009158D7" w:rsidRPr="009E2595" w14:paraId="02FC4159" w14:textId="77777777" w:rsidTr="00F36942">
        <w:trPr>
          <w:cantSplit/>
        </w:trPr>
        <w:tc>
          <w:tcPr>
            <w:tcW w:w="1365" w:type="pct"/>
            <w:tcBorders>
              <w:top w:val="single" w:sz="4" w:space="0" w:color="auto"/>
              <w:bottom w:val="single" w:sz="4" w:space="0" w:color="auto"/>
            </w:tcBorders>
          </w:tcPr>
          <w:p w14:paraId="00B4F7FD" w14:textId="77777777" w:rsidR="009158D7" w:rsidRPr="00616B26" w:rsidRDefault="009158D7" w:rsidP="00F36942">
            <w:pPr>
              <w:pStyle w:val="Tabletext"/>
              <w:rPr>
                <w:snapToGrid w:val="0"/>
              </w:rPr>
            </w:pPr>
            <w:r w:rsidRPr="00616B26">
              <w:rPr>
                <w:snapToGrid w:val="0"/>
              </w:rPr>
              <w:t>64</w:t>
            </w:r>
          </w:p>
        </w:tc>
        <w:tc>
          <w:tcPr>
            <w:tcW w:w="909" w:type="pct"/>
            <w:tcBorders>
              <w:top w:val="single" w:sz="4" w:space="0" w:color="auto"/>
              <w:bottom w:val="single" w:sz="4" w:space="0" w:color="auto"/>
            </w:tcBorders>
            <w:vAlign w:val="bottom"/>
          </w:tcPr>
          <w:p w14:paraId="399A5AC9" w14:textId="77777777" w:rsidR="009158D7" w:rsidRPr="000F120F" w:rsidRDefault="009158D7" w:rsidP="00F36942">
            <w:pPr>
              <w:pStyle w:val="Tabletext"/>
              <w:rPr>
                <w:snapToGrid w:val="0"/>
              </w:rPr>
            </w:pPr>
            <w:r w:rsidRPr="00295986">
              <w:t>18</w:t>
            </w:r>
            <w:r w:rsidR="00D7157D">
              <w:t>.</w:t>
            </w:r>
            <w:r w:rsidRPr="00295986">
              <w:t>1741</w:t>
            </w:r>
          </w:p>
        </w:tc>
        <w:tc>
          <w:tcPr>
            <w:tcW w:w="909" w:type="pct"/>
            <w:tcBorders>
              <w:top w:val="single" w:sz="4" w:space="0" w:color="auto"/>
              <w:bottom w:val="single" w:sz="4" w:space="0" w:color="auto"/>
            </w:tcBorders>
            <w:vAlign w:val="bottom"/>
          </w:tcPr>
          <w:p w14:paraId="71999B7F" w14:textId="77777777" w:rsidR="009158D7" w:rsidRPr="000F120F" w:rsidRDefault="009158D7" w:rsidP="00F36942">
            <w:pPr>
              <w:pStyle w:val="Tabletext"/>
              <w:rPr>
                <w:snapToGrid w:val="0"/>
              </w:rPr>
            </w:pPr>
            <w:r w:rsidRPr="00295986">
              <w:t>0</w:t>
            </w:r>
            <w:r w:rsidR="00D7157D">
              <w:t>.</w:t>
            </w:r>
            <w:r w:rsidRPr="00295986">
              <w:t>4995</w:t>
            </w:r>
          </w:p>
        </w:tc>
        <w:tc>
          <w:tcPr>
            <w:tcW w:w="909" w:type="pct"/>
            <w:tcBorders>
              <w:top w:val="single" w:sz="4" w:space="0" w:color="auto"/>
              <w:bottom w:val="single" w:sz="4" w:space="0" w:color="auto"/>
            </w:tcBorders>
            <w:vAlign w:val="bottom"/>
          </w:tcPr>
          <w:p w14:paraId="2CEF5192" w14:textId="77777777" w:rsidR="009158D7" w:rsidRPr="000F120F" w:rsidRDefault="009158D7" w:rsidP="00F36942">
            <w:pPr>
              <w:pStyle w:val="Tabletext"/>
              <w:rPr>
                <w:snapToGrid w:val="0"/>
              </w:rPr>
            </w:pPr>
            <w:r w:rsidRPr="00295986">
              <w:t>19</w:t>
            </w:r>
            <w:r w:rsidR="00D7157D">
              <w:t>.</w:t>
            </w:r>
            <w:r w:rsidRPr="00295986">
              <w:t>4111</w:t>
            </w:r>
          </w:p>
        </w:tc>
        <w:tc>
          <w:tcPr>
            <w:tcW w:w="908" w:type="pct"/>
            <w:tcBorders>
              <w:top w:val="single" w:sz="4" w:space="0" w:color="auto"/>
              <w:bottom w:val="single" w:sz="4" w:space="0" w:color="auto"/>
            </w:tcBorders>
            <w:vAlign w:val="bottom"/>
          </w:tcPr>
          <w:p w14:paraId="74192062" w14:textId="77777777" w:rsidR="009158D7" w:rsidRPr="000F120F" w:rsidRDefault="009158D7" w:rsidP="00F36942">
            <w:pPr>
              <w:pStyle w:val="Tabletext"/>
              <w:rPr>
                <w:snapToGrid w:val="0"/>
              </w:rPr>
            </w:pPr>
            <w:r w:rsidRPr="00295986">
              <w:t>0</w:t>
            </w:r>
            <w:r w:rsidR="00D7157D">
              <w:t>.</w:t>
            </w:r>
            <w:r w:rsidRPr="00295986">
              <w:t>1273</w:t>
            </w:r>
          </w:p>
        </w:tc>
      </w:tr>
      <w:tr w:rsidR="009158D7" w:rsidRPr="009E2595" w14:paraId="5000099D" w14:textId="77777777" w:rsidTr="00F36942">
        <w:trPr>
          <w:cantSplit/>
        </w:trPr>
        <w:tc>
          <w:tcPr>
            <w:tcW w:w="1365" w:type="pct"/>
            <w:tcBorders>
              <w:top w:val="single" w:sz="4" w:space="0" w:color="auto"/>
              <w:bottom w:val="single" w:sz="4" w:space="0" w:color="auto"/>
            </w:tcBorders>
          </w:tcPr>
          <w:p w14:paraId="22639C9F" w14:textId="77777777" w:rsidR="009158D7" w:rsidRPr="00616B26" w:rsidRDefault="009158D7" w:rsidP="00F36942">
            <w:pPr>
              <w:pStyle w:val="Tabletext"/>
              <w:rPr>
                <w:snapToGrid w:val="0"/>
              </w:rPr>
            </w:pPr>
            <w:r w:rsidRPr="00616B26">
              <w:rPr>
                <w:snapToGrid w:val="0"/>
              </w:rPr>
              <w:t>65</w:t>
            </w:r>
          </w:p>
        </w:tc>
        <w:tc>
          <w:tcPr>
            <w:tcW w:w="909" w:type="pct"/>
            <w:tcBorders>
              <w:top w:val="single" w:sz="4" w:space="0" w:color="auto"/>
              <w:bottom w:val="single" w:sz="4" w:space="0" w:color="auto"/>
            </w:tcBorders>
            <w:vAlign w:val="bottom"/>
          </w:tcPr>
          <w:p w14:paraId="627C3676" w14:textId="77777777" w:rsidR="009158D7" w:rsidRPr="000F120F" w:rsidRDefault="009158D7" w:rsidP="00F36942">
            <w:pPr>
              <w:pStyle w:val="Tabletext"/>
              <w:rPr>
                <w:snapToGrid w:val="0"/>
              </w:rPr>
            </w:pPr>
            <w:r w:rsidRPr="00295986">
              <w:t>17</w:t>
            </w:r>
            <w:r w:rsidR="00D7157D">
              <w:t>.</w:t>
            </w:r>
            <w:r w:rsidRPr="00295986">
              <w:t>6251</w:t>
            </w:r>
          </w:p>
        </w:tc>
        <w:tc>
          <w:tcPr>
            <w:tcW w:w="909" w:type="pct"/>
            <w:tcBorders>
              <w:top w:val="single" w:sz="4" w:space="0" w:color="auto"/>
              <w:bottom w:val="single" w:sz="4" w:space="0" w:color="auto"/>
            </w:tcBorders>
            <w:vAlign w:val="bottom"/>
          </w:tcPr>
          <w:p w14:paraId="52422E46" w14:textId="77777777" w:rsidR="009158D7" w:rsidRPr="000F120F" w:rsidRDefault="009158D7" w:rsidP="00F36942">
            <w:pPr>
              <w:pStyle w:val="Tabletext"/>
              <w:rPr>
                <w:snapToGrid w:val="0"/>
              </w:rPr>
            </w:pPr>
            <w:r w:rsidRPr="00295986">
              <w:t>0</w:t>
            </w:r>
            <w:r w:rsidR="00D7157D">
              <w:t>.</w:t>
            </w:r>
            <w:r w:rsidRPr="00295986">
              <w:t>5078</w:t>
            </w:r>
          </w:p>
        </w:tc>
        <w:tc>
          <w:tcPr>
            <w:tcW w:w="909" w:type="pct"/>
            <w:tcBorders>
              <w:top w:val="single" w:sz="4" w:space="0" w:color="auto"/>
              <w:bottom w:val="single" w:sz="4" w:space="0" w:color="auto"/>
            </w:tcBorders>
            <w:vAlign w:val="bottom"/>
          </w:tcPr>
          <w:p w14:paraId="4FF6125D" w14:textId="77777777" w:rsidR="009158D7" w:rsidRPr="000F120F" w:rsidRDefault="009158D7" w:rsidP="00F36942">
            <w:pPr>
              <w:pStyle w:val="Tabletext"/>
              <w:rPr>
                <w:snapToGrid w:val="0"/>
              </w:rPr>
            </w:pPr>
            <w:r w:rsidRPr="00295986">
              <w:t>18</w:t>
            </w:r>
            <w:r w:rsidR="00D7157D">
              <w:t>.</w:t>
            </w:r>
            <w:r w:rsidRPr="00295986">
              <w:t>8794</w:t>
            </w:r>
          </w:p>
        </w:tc>
        <w:tc>
          <w:tcPr>
            <w:tcW w:w="908" w:type="pct"/>
            <w:tcBorders>
              <w:top w:val="single" w:sz="4" w:space="0" w:color="auto"/>
              <w:bottom w:val="single" w:sz="4" w:space="0" w:color="auto"/>
            </w:tcBorders>
            <w:vAlign w:val="bottom"/>
          </w:tcPr>
          <w:p w14:paraId="2E2B58F2" w14:textId="77777777" w:rsidR="009158D7" w:rsidRPr="000F120F" w:rsidRDefault="009158D7" w:rsidP="00F36942">
            <w:pPr>
              <w:pStyle w:val="Tabletext"/>
              <w:rPr>
                <w:snapToGrid w:val="0"/>
              </w:rPr>
            </w:pPr>
            <w:r w:rsidRPr="00295986">
              <w:t>0</w:t>
            </w:r>
            <w:r w:rsidR="00D7157D">
              <w:t>.</w:t>
            </w:r>
            <w:r w:rsidRPr="00295986">
              <w:t>1293</w:t>
            </w:r>
          </w:p>
        </w:tc>
      </w:tr>
      <w:tr w:rsidR="009158D7" w:rsidRPr="009E2595" w14:paraId="20323301" w14:textId="77777777" w:rsidTr="00F36942">
        <w:trPr>
          <w:cantSplit/>
        </w:trPr>
        <w:tc>
          <w:tcPr>
            <w:tcW w:w="1365" w:type="pct"/>
            <w:tcBorders>
              <w:top w:val="single" w:sz="4" w:space="0" w:color="auto"/>
              <w:bottom w:val="single" w:sz="4" w:space="0" w:color="auto"/>
            </w:tcBorders>
          </w:tcPr>
          <w:p w14:paraId="2C7DB3BD" w14:textId="77777777" w:rsidR="009158D7" w:rsidRPr="00616B26" w:rsidRDefault="009158D7" w:rsidP="00F36942">
            <w:pPr>
              <w:pStyle w:val="Tabletext"/>
              <w:rPr>
                <w:snapToGrid w:val="0"/>
              </w:rPr>
            </w:pPr>
            <w:r w:rsidRPr="00616B26">
              <w:rPr>
                <w:snapToGrid w:val="0"/>
              </w:rPr>
              <w:t>66</w:t>
            </w:r>
          </w:p>
        </w:tc>
        <w:tc>
          <w:tcPr>
            <w:tcW w:w="909" w:type="pct"/>
            <w:tcBorders>
              <w:top w:val="single" w:sz="4" w:space="0" w:color="auto"/>
              <w:bottom w:val="single" w:sz="4" w:space="0" w:color="auto"/>
            </w:tcBorders>
            <w:vAlign w:val="bottom"/>
          </w:tcPr>
          <w:p w14:paraId="6D651C1E" w14:textId="77777777" w:rsidR="009158D7" w:rsidRPr="000F120F" w:rsidRDefault="009158D7" w:rsidP="00F36942">
            <w:pPr>
              <w:pStyle w:val="Tabletext"/>
              <w:rPr>
                <w:snapToGrid w:val="0"/>
              </w:rPr>
            </w:pPr>
            <w:r w:rsidRPr="00295986">
              <w:t>17</w:t>
            </w:r>
            <w:r w:rsidR="00D7157D">
              <w:t>.</w:t>
            </w:r>
            <w:r w:rsidRPr="00295986">
              <w:t>0711</w:t>
            </w:r>
          </w:p>
        </w:tc>
        <w:tc>
          <w:tcPr>
            <w:tcW w:w="909" w:type="pct"/>
            <w:tcBorders>
              <w:top w:val="single" w:sz="4" w:space="0" w:color="auto"/>
              <w:bottom w:val="single" w:sz="4" w:space="0" w:color="auto"/>
            </w:tcBorders>
            <w:vAlign w:val="bottom"/>
          </w:tcPr>
          <w:p w14:paraId="5AF4AF85" w14:textId="77777777" w:rsidR="009158D7" w:rsidRPr="000F120F" w:rsidRDefault="009158D7" w:rsidP="00F36942">
            <w:pPr>
              <w:pStyle w:val="Tabletext"/>
              <w:rPr>
                <w:snapToGrid w:val="0"/>
              </w:rPr>
            </w:pPr>
            <w:r w:rsidRPr="00295986">
              <w:t>0</w:t>
            </w:r>
            <w:r w:rsidR="00D7157D">
              <w:t>.</w:t>
            </w:r>
            <w:r w:rsidRPr="00295986">
              <w:t>5157</w:t>
            </w:r>
          </w:p>
        </w:tc>
        <w:tc>
          <w:tcPr>
            <w:tcW w:w="909" w:type="pct"/>
            <w:tcBorders>
              <w:top w:val="single" w:sz="4" w:space="0" w:color="auto"/>
              <w:bottom w:val="single" w:sz="4" w:space="0" w:color="auto"/>
            </w:tcBorders>
            <w:vAlign w:val="bottom"/>
          </w:tcPr>
          <w:p w14:paraId="77FE6EA2" w14:textId="77777777" w:rsidR="009158D7" w:rsidRPr="000F120F" w:rsidRDefault="009158D7" w:rsidP="00F36942">
            <w:pPr>
              <w:pStyle w:val="Tabletext"/>
              <w:rPr>
                <w:snapToGrid w:val="0"/>
              </w:rPr>
            </w:pPr>
            <w:r w:rsidRPr="00295986">
              <w:t>18</w:t>
            </w:r>
            <w:r w:rsidR="00D7157D">
              <w:t>.</w:t>
            </w:r>
            <w:r w:rsidRPr="00295986">
              <w:t>3393</w:t>
            </w:r>
          </w:p>
        </w:tc>
        <w:tc>
          <w:tcPr>
            <w:tcW w:w="908" w:type="pct"/>
            <w:tcBorders>
              <w:top w:val="single" w:sz="4" w:space="0" w:color="auto"/>
              <w:bottom w:val="single" w:sz="4" w:space="0" w:color="auto"/>
            </w:tcBorders>
            <w:vAlign w:val="bottom"/>
          </w:tcPr>
          <w:p w14:paraId="76E73D93" w14:textId="77777777" w:rsidR="009158D7" w:rsidRPr="000F120F" w:rsidRDefault="009158D7" w:rsidP="00F36942">
            <w:pPr>
              <w:pStyle w:val="Tabletext"/>
              <w:rPr>
                <w:snapToGrid w:val="0"/>
              </w:rPr>
            </w:pPr>
            <w:r w:rsidRPr="00295986">
              <w:t>0</w:t>
            </w:r>
            <w:r w:rsidR="00D7157D">
              <w:t>.</w:t>
            </w:r>
            <w:r w:rsidRPr="00295986">
              <w:t>1312</w:t>
            </w:r>
          </w:p>
        </w:tc>
      </w:tr>
      <w:tr w:rsidR="009158D7" w:rsidRPr="009E2595" w14:paraId="07BCFF3C" w14:textId="77777777" w:rsidTr="00F36942">
        <w:trPr>
          <w:cantSplit/>
        </w:trPr>
        <w:tc>
          <w:tcPr>
            <w:tcW w:w="1365" w:type="pct"/>
            <w:tcBorders>
              <w:top w:val="single" w:sz="4" w:space="0" w:color="auto"/>
              <w:bottom w:val="single" w:sz="4" w:space="0" w:color="auto"/>
            </w:tcBorders>
          </w:tcPr>
          <w:p w14:paraId="40DB77EB" w14:textId="77777777" w:rsidR="009158D7" w:rsidRPr="00616B26" w:rsidRDefault="009158D7" w:rsidP="00F36942">
            <w:pPr>
              <w:pStyle w:val="Tabletext"/>
              <w:rPr>
                <w:snapToGrid w:val="0"/>
              </w:rPr>
            </w:pPr>
            <w:r w:rsidRPr="00616B26">
              <w:rPr>
                <w:snapToGrid w:val="0"/>
              </w:rPr>
              <w:t>67</w:t>
            </w:r>
          </w:p>
        </w:tc>
        <w:tc>
          <w:tcPr>
            <w:tcW w:w="909" w:type="pct"/>
            <w:tcBorders>
              <w:top w:val="single" w:sz="4" w:space="0" w:color="auto"/>
              <w:bottom w:val="single" w:sz="4" w:space="0" w:color="auto"/>
            </w:tcBorders>
            <w:vAlign w:val="bottom"/>
          </w:tcPr>
          <w:p w14:paraId="3E9441F2" w14:textId="77777777" w:rsidR="009158D7" w:rsidRPr="000F120F" w:rsidRDefault="009158D7" w:rsidP="00F36942">
            <w:pPr>
              <w:pStyle w:val="Tabletext"/>
              <w:rPr>
                <w:snapToGrid w:val="0"/>
              </w:rPr>
            </w:pPr>
            <w:r w:rsidRPr="00295986">
              <w:t>16</w:t>
            </w:r>
            <w:r w:rsidR="00D7157D">
              <w:t>.</w:t>
            </w:r>
            <w:r w:rsidRPr="00295986">
              <w:t>5122</w:t>
            </w:r>
          </w:p>
        </w:tc>
        <w:tc>
          <w:tcPr>
            <w:tcW w:w="909" w:type="pct"/>
            <w:tcBorders>
              <w:top w:val="single" w:sz="4" w:space="0" w:color="auto"/>
              <w:bottom w:val="single" w:sz="4" w:space="0" w:color="auto"/>
            </w:tcBorders>
            <w:vAlign w:val="bottom"/>
          </w:tcPr>
          <w:p w14:paraId="58B2B701" w14:textId="77777777" w:rsidR="009158D7" w:rsidRPr="000F120F" w:rsidRDefault="009158D7" w:rsidP="00F36942">
            <w:pPr>
              <w:pStyle w:val="Tabletext"/>
              <w:rPr>
                <w:snapToGrid w:val="0"/>
              </w:rPr>
            </w:pPr>
            <w:r w:rsidRPr="00295986">
              <w:t>0</w:t>
            </w:r>
            <w:r w:rsidR="00D7157D">
              <w:t>.</w:t>
            </w:r>
            <w:r w:rsidRPr="00295986">
              <w:t>5230</w:t>
            </w:r>
          </w:p>
        </w:tc>
        <w:tc>
          <w:tcPr>
            <w:tcW w:w="909" w:type="pct"/>
            <w:tcBorders>
              <w:top w:val="single" w:sz="4" w:space="0" w:color="auto"/>
              <w:bottom w:val="single" w:sz="4" w:space="0" w:color="auto"/>
            </w:tcBorders>
            <w:vAlign w:val="bottom"/>
          </w:tcPr>
          <w:p w14:paraId="5B239640" w14:textId="77777777" w:rsidR="009158D7" w:rsidRPr="000F120F" w:rsidRDefault="009158D7" w:rsidP="00F36942">
            <w:pPr>
              <w:pStyle w:val="Tabletext"/>
              <w:rPr>
                <w:snapToGrid w:val="0"/>
              </w:rPr>
            </w:pPr>
            <w:r w:rsidRPr="00295986">
              <w:t>17</w:t>
            </w:r>
            <w:r w:rsidR="00D7157D">
              <w:t>.</w:t>
            </w:r>
            <w:r w:rsidRPr="00295986">
              <w:t>7930</w:t>
            </w:r>
          </w:p>
        </w:tc>
        <w:tc>
          <w:tcPr>
            <w:tcW w:w="908" w:type="pct"/>
            <w:tcBorders>
              <w:top w:val="single" w:sz="4" w:space="0" w:color="auto"/>
              <w:bottom w:val="single" w:sz="4" w:space="0" w:color="auto"/>
            </w:tcBorders>
            <w:vAlign w:val="bottom"/>
          </w:tcPr>
          <w:p w14:paraId="7F47FCDF" w14:textId="77777777" w:rsidR="009158D7" w:rsidRPr="000F120F" w:rsidRDefault="009158D7" w:rsidP="00F36942">
            <w:pPr>
              <w:pStyle w:val="Tabletext"/>
              <w:rPr>
                <w:snapToGrid w:val="0"/>
              </w:rPr>
            </w:pPr>
            <w:r w:rsidRPr="00295986">
              <w:t>0</w:t>
            </w:r>
            <w:r w:rsidR="00D7157D">
              <w:t>.</w:t>
            </w:r>
            <w:r w:rsidRPr="00295986">
              <w:t>1329</w:t>
            </w:r>
          </w:p>
        </w:tc>
      </w:tr>
      <w:tr w:rsidR="009158D7" w:rsidRPr="009E2595" w14:paraId="42C85370" w14:textId="77777777" w:rsidTr="00F36942">
        <w:trPr>
          <w:cantSplit/>
        </w:trPr>
        <w:tc>
          <w:tcPr>
            <w:tcW w:w="1365" w:type="pct"/>
            <w:tcBorders>
              <w:top w:val="single" w:sz="4" w:space="0" w:color="auto"/>
              <w:bottom w:val="single" w:sz="4" w:space="0" w:color="auto"/>
            </w:tcBorders>
          </w:tcPr>
          <w:p w14:paraId="78985CF6" w14:textId="77777777" w:rsidR="009158D7" w:rsidRPr="00616B26" w:rsidRDefault="009158D7" w:rsidP="00F36942">
            <w:pPr>
              <w:pStyle w:val="Tabletext"/>
              <w:rPr>
                <w:snapToGrid w:val="0"/>
              </w:rPr>
            </w:pPr>
            <w:r w:rsidRPr="00616B26">
              <w:rPr>
                <w:snapToGrid w:val="0"/>
              </w:rPr>
              <w:t>68</w:t>
            </w:r>
          </w:p>
        </w:tc>
        <w:tc>
          <w:tcPr>
            <w:tcW w:w="909" w:type="pct"/>
            <w:tcBorders>
              <w:top w:val="single" w:sz="4" w:space="0" w:color="auto"/>
              <w:bottom w:val="single" w:sz="4" w:space="0" w:color="auto"/>
            </w:tcBorders>
            <w:vAlign w:val="bottom"/>
          </w:tcPr>
          <w:p w14:paraId="0833441A" w14:textId="77777777" w:rsidR="009158D7" w:rsidRPr="000F120F" w:rsidRDefault="009158D7" w:rsidP="00F36942">
            <w:pPr>
              <w:pStyle w:val="Tabletext"/>
              <w:rPr>
                <w:snapToGrid w:val="0"/>
              </w:rPr>
            </w:pPr>
            <w:r w:rsidRPr="00295986">
              <w:t>15</w:t>
            </w:r>
            <w:r w:rsidR="00D7157D">
              <w:t>.</w:t>
            </w:r>
            <w:r w:rsidRPr="00295986">
              <w:t>9483</w:t>
            </w:r>
          </w:p>
        </w:tc>
        <w:tc>
          <w:tcPr>
            <w:tcW w:w="909" w:type="pct"/>
            <w:tcBorders>
              <w:top w:val="single" w:sz="4" w:space="0" w:color="auto"/>
              <w:bottom w:val="single" w:sz="4" w:space="0" w:color="auto"/>
            </w:tcBorders>
            <w:vAlign w:val="bottom"/>
          </w:tcPr>
          <w:p w14:paraId="31C8614E" w14:textId="77777777" w:rsidR="009158D7" w:rsidRPr="000F120F" w:rsidRDefault="009158D7" w:rsidP="00F36942">
            <w:pPr>
              <w:pStyle w:val="Tabletext"/>
              <w:rPr>
                <w:snapToGrid w:val="0"/>
              </w:rPr>
            </w:pPr>
            <w:r w:rsidRPr="00295986">
              <w:t>0</w:t>
            </w:r>
            <w:r w:rsidR="00D7157D">
              <w:t>.</w:t>
            </w:r>
            <w:r w:rsidRPr="00295986">
              <w:t>5297</w:t>
            </w:r>
          </w:p>
        </w:tc>
        <w:tc>
          <w:tcPr>
            <w:tcW w:w="909" w:type="pct"/>
            <w:tcBorders>
              <w:top w:val="single" w:sz="4" w:space="0" w:color="auto"/>
              <w:bottom w:val="single" w:sz="4" w:space="0" w:color="auto"/>
            </w:tcBorders>
            <w:vAlign w:val="bottom"/>
          </w:tcPr>
          <w:p w14:paraId="6F49A83A" w14:textId="77777777" w:rsidR="009158D7" w:rsidRPr="000F120F" w:rsidRDefault="009158D7" w:rsidP="00F36942">
            <w:pPr>
              <w:pStyle w:val="Tabletext"/>
              <w:rPr>
                <w:snapToGrid w:val="0"/>
              </w:rPr>
            </w:pPr>
            <w:r w:rsidRPr="00295986">
              <w:t>17</w:t>
            </w:r>
            <w:r w:rsidR="00D7157D">
              <w:t>.</w:t>
            </w:r>
            <w:r w:rsidRPr="00295986">
              <w:t>2391</w:t>
            </w:r>
          </w:p>
        </w:tc>
        <w:tc>
          <w:tcPr>
            <w:tcW w:w="908" w:type="pct"/>
            <w:tcBorders>
              <w:top w:val="single" w:sz="4" w:space="0" w:color="auto"/>
              <w:bottom w:val="single" w:sz="4" w:space="0" w:color="auto"/>
            </w:tcBorders>
            <w:vAlign w:val="bottom"/>
          </w:tcPr>
          <w:p w14:paraId="77C7B06E" w14:textId="77777777" w:rsidR="009158D7" w:rsidRPr="000F120F" w:rsidRDefault="009158D7" w:rsidP="00F36942">
            <w:pPr>
              <w:pStyle w:val="Tabletext"/>
              <w:rPr>
                <w:snapToGrid w:val="0"/>
              </w:rPr>
            </w:pPr>
            <w:r w:rsidRPr="00295986">
              <w:t>0</w:t>
            </w:r>
            <w:r w:rsidR="00D7157D">
              <w:t>.</w:t>
            </w:r>
            <w:r w:rsidRPr="00295986">
              <w:t>1344</w:t>
            </w:r>
          </w:p>
        </w:tc>
      </w:tr>
      <w:tr w:rsidR="009158D7" w:rsidRPr="009E2595" w14:paraId="52C04848" w14:textId="77777777" w:rsidTr="00F36942">
        <w:trPr>
          <w:cantSplit/>
        </w:trPr>
        <w:tc>
          <w:tcPr>
            <w:tcW w:w="1365" w:type="pct"/>
            <w:tcBorders>
              <w:top w:val="single" w:sz="4" w:space="0" w:color="auto"/>
              <w:bottom w:val="single" w:sz="4" w:space="0" w:color="auto"/>
            </w:tcBorders>
          </w:tcPr>
          <w:p w14:paraId="1A35C3AF" w14:textId="77777777" w:rsidR="009158D7" w:rsidRPr="00616B26" w:rsidRDefault="009158D7" w:rsidP="00F36942">
            <w:pPr>
              <w:pStyle w:val="Tabletext"/>
              <w:rPr>
                <w:snapToGrid w:val="0"/>
              </w:rPr>
            </w:pPr>
            <w:r w:rsidRPr="00616B26">
              <w:rPr>
                <w:snapToGrid w:val="0"/>
              </w:rPr>
              <w:t>69</w:t>
            </w:r>
          </w:p>
        </w:tc>
        <w:tc>
          <w:tcPr>
            <w:tcW w:w="909" w:type="pct"/>
            <w:tcBorders>
              <w:top w:val="single" w:sz="4" w:space="0" w:color="auto"/>
              <w:bottom w:val="single" w:sz="4" w:space="0" w:color="auto"/>
            </w:tcBorders>
            <w:vAlign w:val="bottom"/>
          </w:tcPr>
          <w:p w14:paraId="1BA0DBCE" w14:textId="77777777" w:rsidR="009158D7" w:rsidRPr="000F120F" w:rsidRDefault="009158D7" w:rsidP="00F36942">
            <w:pPr>
              <w:pStyle w:val="Tabletext"/>
              <w:rPr>
                <w:snapToGrid w:val="0"/>
              </w:rPr>
            </w:pPr>
            <w:r w:rsidRPr="00295986">
              <w:t>15</w:t>
            </w:r>
            <w:r w:rsidR="00D7157D">
              <w:t>.</w:t>
            </w:r>
            <w:r w:rsidRPr="00295986">
              <w:t>3793</w:t>
            </w:r>
          </w:p>
        </w:tc>
        <w:tc>
          <w:tcPr>
            <w:tcW w:w="909" w:type="pct"/>
            <w:tcBorders>
              <w:top w:val="single" w:sz="4" w:space="0" w:color="auto"/>
              <w:bottom w:val="single" w:sz="4" w:space="0" w:color="auto"/>
            </w:tcBorders>
            <w:vAlign w:val="bottom"/>
          </w:tcPr>
          <w:p w14:paraId="051D2F67" w14:textId="77777777" w:rsidR="009158D7" w:rsidRPr="000F120F" w:rsidRDefault="009158D7" w:rsidP="00F36942">
            <w:pPr>
              <w:pStyle w:val="Tabletext"/>
              <w:rPr>
                <w:snapToGrid w:val="0"/>
              </w:rPr>
            </w:pPr>
            <w:r w:rsidRPr="00295986">
              <w:t>0</w:t>
            </w:r>
            <w:r w:rsidR="00D7157D">
              <w:t>.</w:t>
            </w:r>
            <w:r w:rsidRPr="00295986">
              <w:t>5359</w:t>
            </w:r>
          </w:p>
        </w:tc>
        <w:tc>
          <w:tcPr>
            <w:tcW w:w="909" w:type="pct"/>
            <w:tcBorders>
              <w:top w:val="single" w:sz="4" w:space="0" w:color="auto"/>
              <w:bottom w:val="single" w:sz="4" w:space="0" w:color="auto"/>
            </w:tcBorders>
            <w:vAlign w:val="bottom"/>
          </w:tcPr>
          <w:p w14:paraId="4BB0336C" w14:textId="77777777" w:rsidR="009158D7" w:rsidRPr="000F120F" w:rsidRDefault="009158D7" w:rsidP="00F36942">
            <w:pPr>
              <w:pStyle w:val="Tabletext"/>
              <w:rPr>
                <w:snapToGrid w:val="0"/>
              </w:rPr>
            </w:pPr>
            <w:r w:rsidRPr="00295986">
              <w:t>16</w:t>
            </w:r>
            <w:r w:rsidR="00D7157D">
              <w:t>.</w:t>
            </w:r>
            <w:r w:rsidRPr="00295986">
              <w:t>6775</w:t>
            </w:r>
          </w:p>
        </w:tc>
        <w:tc>
          <w:tcPr>
            <w:tcW w:w="908" w:type="pct"/>
            <w:tcBorders>
              <w:top w:val="single" w:sz="4" w:space="0" w:color="auto"/>
              <w:bottom w:val="single" w:sz="4" w:space="0" w:color="auto"/>
            </w:tcBorders>
            <w:vAlign w:val="bottom"/>
          </w:tcPr>
          <w:p w14:paraId="41B18822" w14:textId="77777777" w:rsidR="009158D7" w:rsidRPr="000F120F" w:rsidRDefault="009158D7" w:rsidP="00F36942">
            <w:pPr>
              <w:pStyle w:val="Tabletext"/>
              <w:rPr>
                <w:snapToGrid w:val="0"/>
              </w:rPr>
            </w:pPr>
            <w:r w:rsidRPr="00295986">
              <w:t>0</w:t>
            </w:r>
            <w:r w:rsidR="00D7157D">
              <w:t>.</w:t>
            </w:r>
            <w:r w:rsidRPr="00295986">
              <w:t>1358</w:t>
            </w:r>
          </w:p>
        </w:tc>
      </w:tr>
      <w:tr w:rsidR="009158D7" w:rsidRPr="009E2595" w14:paraId="08F9421F" w14:textId="77777777" w:rsidTr="00F36942">
        <w:trPr>
          <w:cantSplit/>
        </w:trPr>
        <w:tc>
          <w:tcPr>
            <w:tcW w:w="1365" w:type="pct"/>
            <w:tcBorders>
              <w:top w:val="single" w:sz="4" w:space="0" w:color="auto"/>
              <w:bottom w:val="single" w:sz="4" w:space="0" w:color="auto"/>
            </w:tcBorders>
          </w:tcPr>
          <w:p w14:paraId="35A1DA62" w14:textId="77777777" w:rsidR="009158D7" w:rsidRPr="00616B26" w:rsidRDefault="009158D7" w:rsidP="00F36942">
            <w:pPr>
              <w:pStyle w:val="Tabletext"/>
              <w:rPr>
                <w:snapToGrid w:val="0"/>
              </w:rPr>
            </w:pPr>
            <w:r w:rsidRPr="00616B26">
              <w:rPr>
                <w:snapToGrid w:val="0"/>
              </w:rPr>
              <w:t>70</w:t>
            </w:r>
          </w:p>
        </w:tc>
        <w:tc>
          <w:tcPr>
            <w:tcW w:w="909" w:type="pct"/>
            <w:tcBorders>
              <w:top w:val="single" w:sz="4" w:space="0" w:color="auto"/>
              <w:bottom w:val="single" w:sz="4" w:space="0" w:color="auto"/>
            </w:tcBorders>
            <w:vAlign w:val="bottom"/>
          </w:tcPr>
          <w:p w14:paraId="1D43AE7B" w14:textId="77777777" w:rsidR="009158D7" w:rsidRPr="000F120F" w:rsidRDefault="009158D7" w:rsidP="00F36942">
            <w:pPr>
              <w:pStyle w:val="Tabletext"/>
              <w:rPr>
                <w:snapToGrid w:val="0"/>
              </w:rPr>
            </w:pPr>
            <w:r w:rsidRPr="00295986">
              <w:t>14</w:t>
            </w:r>
            <w:r w:rsidR="00D7157D">
              <w:t>.</w:t>
            </w:r>
            <w:r w:rsidRPr="00295986">
              <w:t>8045</w:t>
            </w:r>
          </w:p>
        </w:tc>
        <w:tc>
          <w:tcPr>
            <w:tcW w:w="909" w:type="pct"/>
            <w:tcBorders>
              <w:top w:val="single" w:sz="4" w:space="0" w:color="auto"/>
              <w:bottom w:val="single" w:sz="4" w:space="0" w:color="auto"/>
            </w:tcBorders>
            <w:vAlign w:val="bottom"/>
          </w:tcPr>
          <w:p w14:paraId="48896619" w14:textId="77777777" w:rsidR="009158D7" w:rsidRPr="000F120F" w:rsidRDefault="009158D7" w:rsidP="00F36942">
            <w:pPr>
              <w:pStyle w:val="Tabletext"/>
              <w:rPr>
                <w:snapToGrid w:val="0"/>
              </w:rPr>
            </w:pPr>
            <w:r w:rsidRPr="00295986">
              <w:t>0</w:t>
            </w:r>
            <w:r w:rsidR="00D7157D">
              <w:t>.</w:t>
            </w:r>
            <w:r w:rsidRPr="00295986">
              <w:t>5416</w:t>
            </w:r>
          </w:p>
        </w:tc>
        <w:tc>
          <w:tcPr>
            <w:tcW w:w="909" w:type="pct"/>
            <w:tcBorders>
              <w:top w:val="single" w:sz="4" w:space="0" w:color="auto"/>
              <w:bottom w:val="single" w:sz="4" w:space="0" w:color="auto"/>
            </w:tcBorders>
            <w:vAlign w:val="bottom"/>
          </w:tcPr>
          <w:p w14:paraId="5A1E9683" w14:textId="77777777" w:rsidR="009158D7" w:rsidRPr="000F120F" w:rsidRDefault="009158D7" w:rsidP="00F36942">
            <w:pPr>
              <w:pStyle w:val="Tabletext"/>
              <w:rPr>
                <w:snapToGrid w:val="0"/>
              </w:rPr>
            </w:pPr>
            <w:r w:rsidRPr="00295986">
              <w:t>16</w:t>
            </w:r>
            <w:r w:rsidR="00D7157D">
              <w:t>.</w:t>
            </w:r>
            <w:r w:rsidRPr="00295986">
              <w:t>1080</w:t>
            </w:r>
          </w:p>
        </w:tc>
        <w:tc>
          <w:tcPr>
            <w:tcW w:w="908" w:type="pct"/>
            <w:tcBorders>
              <w:top w:val="single" w:sz="4" w:space="0" w:color="auto"/>
              <w:bottom w:val="single" w:sz="4" w:space="0" w:color="auto"/>
            </w:tcBorders>
            <w:vAlign w:val="bottom"/>
          </w:tcPr>
          <w:p w14:paraId="6280F9BA" w14:textId="77777777" w:rsidR="009158D7" w:rsidRPr="000F120F" w:rsidRDefault="009158D7" w:rsidP="00F36942">
            <w:pPr>
              <w:pStyle w:val="Tabletext"/>
              <w:rPr>
                <w:snapToGrid w:val="0"/>
              </w:rPr>
            </w:pPr>
            <w:r w:rsidRPr="00295986">
              <w:t>0</w:t>
            </w:r>
            <w:r w:rsidR="00D7157D">
              <w:t>.</w:t>
            </w:r>
            <w:r w:rsidRPr="00295986">
              <w:t>1372</w:t>
            </w:r>
          </w:p>
        </w:tc>
      </w:tr>
      <w:tr w:rsidR="009158D7" w:rsidRPr="009E2595" w14:paraId="3CBC491F" w14:textId="77777777" w:rsidTr="00F36942">
        <w:trPr>
          <w:cantSplit/>
        </w:trPr>
        <w:tc>
          <w:tcPr>
            <w:tcW w:w="1365" w:type="pct"/>
            <w:tcBorders>
              <w:top w:val="single" w:sz="4" w:space="0" w:color="auto"/>
              <w:bottom w:val="single" w:sz="4" w:space="0" w:color="auto"/>
            </w:tcBorders>
          </w:tcPr>
          <w:p w14:paraId="5D6A41CD" w14:textId="77777777" w:rsidR="009158D7" w:rsidRPr="00616B26" w:rsidRDefault="009158D7" w:rsidP="00F36942">
            <w:pPr>
              <w:pStyle w:val="Tabletext"/>
              <w:rPr>
                <w:snapToGrid w:val="0"/>
              </w:rPr>
            </w:pPr>
            <w:r w:rsidRPr="00616B26">
              <w:rPr>
                <w:snapToGrid w:val="0"/>
              </w:rPr>
              <w:t>71</w:t>
            </w:r>
          </w:p>
        </w:tc>
        <w:tc>
          <w:tcPr>
            <w:tcW w:w="909" w:type="pct"/>
            <w:tcBorders>
              <w:top w:val="single" w:sz="4" w:space="0" w:color="auto"/>
              <w:bottom w:val="single" w:sz="4" w:space="0" w:color="auto"/>
            </w:tcBorders>
            <w:vAlign w:val="bottom"/>
          </w:tcPr>
          <w:p w14:paraId="506B4B8F" w14:textId="77777777" w:rsidR="009158D7" w:rsidRPr="000F120F" w:rsidRDefault="009158D7" w:rsidP="00F36942">
            <w:pPr>
              <w:pStyle w:val="Tabletext"/>
              <w:rPr>
                <w:snapToGrid w:val="0"/>
              </w:rPr>
            </w:pPr>
            <w:r w:rsidRPr="00295986">
              <w:t>14</w:t>
            </w:r>
            <w:r w:rsidR="00D7157D">
              <w:t>.</w:t>
            </w:r>
            <w:r w:rsidRPr="00295986">
              <w:t>2231</w:t>
            </w:r>
          </w:p>
        </w:tc>
        <w:tc>
          <w:tcPr>
            <w:tcW w:w="909" w:type="pct"/>
            <w:tcBorders>
              <w:top w:val="single" w:sz="4" w:space="0" w:color="auto"/>
              <w:bottom w:val="single" w:sz="4" w:space="0" w:color="auto"/>
            </w:tcBorders>
            <w:vAlign w:val="bottom"/>
          </w:tcPr>
          <w:p w14:paraId="3F3E90FB" w14:textId="77777777" w:rsidR="009158D7" w:rsidRPr="000F120F" w:rsidRDefault="009158D7" w:rsidP="00F36942">
            <w:pPr>
              <w:pStyle w:val="Tabletext"/>
              <w:rPr>
                <w:snapToGrid w:val="0"/>
              </w:rPr>
            </w:pPr>
            <w:r w:rsidRPr="00295986">
              <w:t>0</w:t>
            </w:r>
            <w:r w:rsidR="00D7157D">
              <w:t>.</w:t>
            </w:r>
            <w:r w:rsidRPr="00295986">
              <w:t>5469</w:t>
            </w:r>
          </w:p>
        </w:tc>
        <w:tc>
          <w:tcPr>
            <w:tcW w:w="909" w:type="pct"/>
            <w:tcBorders>
              <w:top w:val="single" w:sz="4" w:space="0" w:color="auto"/>
              <w:bottom w:val="single" w:sz="4" w:space="0" w:color="auto"/>
            </w:tcBorders>
            <w:vAlign w:val="bottom"/>
          </w:tcPr>
          <w:p w14:paraId="5E4CB377" w14:textId="77777777" w:rsidR="009158D7" w:rsidRPr="000F120F" w:rsidRDefault="009158D7" w:rsidP="00F36942">
            <w:pPr>
              <w:pStyle w:val="Tabletext"/>
              <w:rPr>
                <w:snapToGrid w:val="0"/>
              </w:rPr>
            </w:pPr>
            <w:r w:rsidRPr="00295986">
              <w:t>15</w:t>
            </w:r>
            <w:r w:rsidR="00D7157D">
              <w:t>.</w:t>
            </w:r>
            <w:r w:rsidRPr="00295986">
              <w:t>5324</w:t>
            </w:r>
          </w:p>
        </w:tc>
        <w:tc>
          <w:tcPr>
            <w:tcW w:w="908" w:type="pct"/>
            <w:tcBorders>
              <w:top w:val="single" w:sz="4" w:space="0" w:color="auto"/>
              <w:bottom w:val="single" w:sz="4" w:space="0" w:color="auto"/>
            </w:tcBorders>
            <w:vAlign w:val="bottom"/>
          </w:tcPr>
          <w:p w14:paraId="3F8DC49B" w14:textId="77777777" w:rsidR="009158D7" w:rsidRPr="000F120F" w:rsidRDefault="009158D7" w:rsidP="00F36942">
            <w:pPr>
              <w:pStyle w:val="Tabletext"/>
              <w:rPr>
                <w:snapToGrid w:val="0"/>
              </w:rPr>
            </w:pPr>
            <w:r w:rsidRPr="00295986">
              <w:t>0</w:t>
            </w:r>
            <w:r w:rsidR="00D7157D">
              <w:t>.</w:t>
            </w:r>
            <w:r w:rsidRPr="00295986">
              <w:t>1383</w:t>
            </w:r>
          </w:p>
        </w:tc>
      </w:tr>
      <w:tr w:rsidR="009158D7" w:rsidRPr="009E2595" w14:paraId="18A0B60B" w14:textId="77777777" w:rsidTr="00F36942">
        <w:trPr>
          <w:cantSplit/>
        </w:trPr>
        <w:tc>
          <w:tcPr>
            <w:tcW w:w="1365" w:type="pct"/>
            <w:tcBorders>
              <w:top w:val="single" w:sz="4" w:space="0" w:color="auto"/>
              <w:bottom w:val="single" w:sz="4" w:space="0" w:color="auto"/>
            </w:tcBorders>
          </w:tcPr>
          <w:p w14:paraId="1E4E09CC" w14:textId="77777777" w:rsidR="009158D7" w:rsidRPr="00616B26" w:rsidRDefault="009158D7" w:rsidP="00F36942">
            <w:pPr>
              <w:pStyle w:val="Tabletext"/>
              <w:rPr>
                <w:snapToGrid w:val="0"/>
              </w:rPr>
            </w:pPr>
            <w:r w:rsidRPr="00616B26">
              <w:rPr>
                <w:snapToGrid w:val="0"/>
              </w:rPr>
              <w:t>72</w:t>
            </w:r>
          </w:p>
        </w:tc>
        <w:tc>
          <w:tcPr>
            <w:tcW w:w="909" w:type="pct"/>
            <w:tcBorders>
              <w:top w:val="single" w:sz="4" w:space="0" w:color="auto"/>
              <w:bottom w:val="single" w:sz="4" w:space="0" w:color="auto"/>
            </w:tcBorders>
            <w:vAlign w:val="bottom"/>
          </w:tcPr>
          <w:p w14:paraId="32DAA14A" w14:textId="77777777" w:rsidR="009158D7" w:rsidRPr="000F120F" w:rsidRDefault="009158D7" w:rsidP="00F36942">
            <w:pPr>
              <w:pStyle w:val="Tabletext"/>
              <w:rPr>
                <w:snapToGrid w:val="0"/>
              </w:rPr>
            </w:pPr>
            <w:r w:rsidRPr="00295986">
              <w:t>13</w:t>
            </w:r>
            <w:r w:rsidR="00D7157D">
              <w:t>.</w:t>
            </w:r>
            <w:r w:rsidRPr="00295986">
              <w:t>6374</w:t>
            </w:r>
          </w:p>
        </w:tc>
        <w:tc>
          <w:tcPr>
            <w:tcW w:w="909" w:type="pct"/>
            <w:tcBorders>
              <w:top w:val="single" w:sz="4" w:space="0" w:color="auto"/>
              <w:bottom w:val="single" w:sz="4" w:space="0" w:color="auto"/>
            </w:tcBorders>
            <w:vAlign w:val="bottom"/>
          </w:tcPr>
          <w:p w14:paraId="086A66FB" w14:textId="77777777" w:rsidR="009158D7" w:rsidRPr="000F120F" w:rsidRDefault="009158D7" w:rsidP="00F36942">
            <w:pPr>
              <w:pStyle w:val="Tabletext"/>
              <w:rPr>
                <w:snapToGrid w:val="0"/>
              </w:rPr>
            </w:pPr>
            <w:r w:rsidRPr="00295986">
              <w:t>0</w:t>
            </w:r>
            <w:r w:rsidR="00D7157D">
              <w:t>.</w:t>
            </w:r>
            <w:r w:rsidRPr="00295986">
              <w:t>5515</w:t>
            </w:r>
          </w:p>
        </w:tc>
        <w:tc>
          <w:tcPr>
            <w:tcW w:w="909" w:type="pct"/>
            <w:tcBorders>
              <w:top w:val="single" w:sz="4" w:space="0" w:color="auto"/>
              <w:bottom w:val="single" w:sz="4" w:space="0" w:color="auto"/>
            </w:tcBorders>
            <w:vAlign w:val="bottom"/>
          </w:tcPr>
          <w:p w14:paraId="74FD6F84" w14:textId="77777777" w:rsidR="009158D7" w:rsidRPr="000F120F" w:rsidRDefault="009158D7" w:rsidP="00F36942">
            <w:pPr>
              <w:pStyle w:val="Tabletext"/>
              <w:rPr>
                <w:snapToGrid w:val="0"/>
              </w:rPr>
            </w:pPr>
            <w:r w:rsidRPr="00295986">
              <w:t>14</w:t>
            </w:r>
            <w:r w:rsidR="00D7157D">
              <w:t>.</w:t>
            </w:r>
            <w:r w:rsidRPr="00295986">
              <w:t>9520</w:t>
            </w:r>
          </w:p>
        </w:tc>
        <w:tc>
          <w:tcPr>
            <w:tcW w:w="908" w:type="pct"/>
            <w:tcBorders>
              <w:top w:val="single" w:sz="4" w:space="0" w:color="auto"/>
              <w:bottom w:val="single" w:sz="4" w:space="0" w:color="auto"/>
            </w:tcBorders>
            <w:vAlign w:val="bottom"/>
          </w:tcPr>
          <w:p w14:paraId="39AC0DF8" w14:textId="77777777" w:rsidR="009158D7" w:rsidRPr="000F120F" w:rsidRDefault="009158D7" w:rsidP="00F36942">
            <w:pPr>
              <w:pStyle w:val="Tabletext"/>
              <w:rPr>
                <w:snapToGrid w:val="0"/>
              </w:rPr>
            </w:pPr>
            <w:r w:rsidRPr="00295986">
              <w:t>0</w:t>
            </w:r>
            <w:r w:rsidR="00D7157D">
              <w:t>.</w:t>
            </w:r>
            <w:r w:rsidRPr="00295986">
              <w:t>1392</w:t>
            </w:r>
          </w:p>
        </w:tc>
      </w:tr>
      <w:tr w:rsidR="009158D7" w:rsidRPr="009E2595" w14:paraId="0DBD9D62" w14:textId="77777777" w:rsidTr="00F36942">
        <w:trPr>
          <w:cantSplit/>
        </w:trPr>
        <w:tc>
          <w:tcPr>
            <w:tcW w:w="1365" w:type="pct"/>
            <w:tcBorders>
              <w:top w:val="single" w:sz="4" w:space="0" w:color="auto"/>
              <w:bottom w:val="single" w:sz="4" w:space="0" w:color="auto"/>
            </w:tcBorders>
          </w:tcPr>
          <w:p w14:paraId="68747A64" w14:textId="77777777" w:rsidR="009158D7" w:rsidRPr="00616B26" w:rsidRDefault="009158D7" w:rsidP="00F36942">
            <w:pPr>
              <w:pStyle w:val="Tabletext"/>
              <w:rPr>
                <w:snapToGrid w:val="0"/>
              </w:rPr>
            </w:pPr>
            <w:r w:rsidRPr="00616B26">
              <w:rPr>
                <w:snapToGrid w:val="0"/>
              </w:rPr>
              <w:t>73</w:t>
            </w:r>
          </w:p>
        </w:tc>
        <w:tc>
          <w:tcPr>
            <w:tcW w:w="909" w:type="pct"/>
            <w:tcBorders>
              <w:top w:val="single" w:sz="4" w:space="0" w:color="auto"/>
              <w:bottom w:val="single" w:sz="4" w:space="0" w:color="auto"/>
            </w:tcBorders>
            <w:vAlign w:val="bottom"/>
          </w:tcPr>
          <w:p w14:paraId="57884996" w14:textId="77777777" w:rsidR="009158D7" w:rsidRPr="000F120F" w:rsidRDefault="009158D7" w:rsidP="00F36942">
            <w:pPr>
              <w:pStyle w:val="Tabletext"/>
              <w:rPr>
                <w:snapToGrid w:val="0"/>
              </w:rPr>
            </w:pPr>
            <w:r w:rsidRPr="00295986">
              <w:t>13</w:t>
            </w:r>
            <w:r w:rsidR="00D7157D">
              <w:t>.</w:t>
            </w:r>
            <w:r w:rsidRPr="00295986">
              <w:t>0479</w:t>
            </w:r>
          </w:p>
        </w:tc>
        <w:tc>
          <w:tcPr>
            <w:tcW w:w="909" w:type="pct"/>
            <w:tcBorders>
              <w:top w:val="single" w:sz="4" w:space="0" w:color="auto"/>
              <w:bottom w:val="single" w:sz="4" w:space="0" w:color="auto"/>
            </w:tcBorders>
            <w:vAlign w:val="bottom"/>
          </w:tcPr>
          <w:p w14:paraId="227BD19E" w14:textId="77777777" w:rsidR="009158D7" w:rsidRPr="000F120F" w:rsidRDefault="009158D7" w:rsidP="00F36942">
            <w:pPr>
              <w:pStyle w:val="Tabletext"/>
              <w:rPr>
                <w:snapToGrid w:val="0"/>
              </w:rPr>
            </w:pPr>
            <w:r w:rsidRPr="00295986">
              <w:t>0</w:t>
            </w:r>
            <w:r w:rsidR="00D7157D">
              <w:t>.</w:t>
            </w:r>
            <w:r w:rsidRPr="00295986">
              <w:t>5555</w:t>
            </w:r>
          </w:p>
        </w:tc>
        <w:tc>
          <w:tcPr>
            <w:tcW w:w="909" w:type="pct"/>
            <w:tcBorders>
              <w:top w:val="single" w:sz="4" w:space="0" w:color="auto"/>
              <w:bottom w:val="single" w:sz="4" w:space="0" w:color="auto"/>
            </w:tcBorders>
            <w:vAlign w:val="bottom"/>
          </w:tcPr>
          <w:p w14:paraId="032550E0" w14:textId="77777777" w:rsidR="009158D7" w:rsidRPr="000F120F" w:rsidRDefault="009158D7" w:rsidP="00F36942">
            <w:pPr>
              <w:pStyle w:val="Tabletext"/>
              <w:rPr>
                <w:snapToGrid w:val="0"/>
              </w:rPr>
            </w:pPr>
            <w:r w:rsidRPr="00295986">
              <w:t>14</w:t>
            </w:r>
            <w:r w:rsidR="00D7157D">
              <w:t>.</w:t>
            </w:r>
            <w:r w:rsidRPr="00295986">
              <w:t>3677</w:t>
            </w:r>
          </w:p>
        </w:tc>
        <w:tc>
          <w:tcPr>
            <w:tcW w:w="908" w:type="pct"/>
            <w:tcBorders>
              <w:top w:val="single" w:sz="4" w:space="0" w:color="auto"/>
              <w:bottom w:val="single" w:sz="4" w:space="0" w:color="auto"/>
            </w:tcBorders>
            <w:vAlign w:val="bottom"/>
          </w:tcPr>
          <w:p w14:paraId="499C56E0" w14:textId="77777777" w:rsidR="009158D7" w:rsidRPr="000F120F" w:rsidRDefault="009158D7" w:rsidP="00F36942">
            <w:pPr>
              <w:pStyle w:val="Tabletext"/>
              <w:rPr>
                <w:snapToGrid w:val="0"/>
              </w:rPr>
            </w:pPr>
            <w:r w:rsidRPr="00295986">
              <w:t>0</w:t>
            </w:r>
            <w:r w:rsidR="00D7157D">
              <w:t>.</w:t>
            </w:r>
            <w:r w:rsidRPr="00295986">
              <w:t>1400</w:t>
            </w:r>
          </w:p>
        </w:tc>
      </w:tr>
      <w:tr w:rsidR="009158D7" w:rsidRPr="009E2595" w14:paraId="24824C62" w14:textId="77777777" w:rsidTr="00F36942">
        <w:trPr>
          <w:cantSplit/>
        </w:trPr>
        <w:tc>
          <w:tcPr>
            <w:tcW w:w="1365" w:type="pct"/>
            <w:tcBorders>
              <w:top w:val="single" w:sz="4" w:space="0" w:color="auto"/>
              <w:bottom w:val="single" w:sz="4" w:space="0" w:color="auto"/>
            </w:tcBorders>
          </w:tcPr>
          <w:p w14:paraId="3E4B6017" w14:textId="77777777" w:rsidR="009158D7" w:rsidRPr="00616B26" w:rsidRDefault="009158D7" w:rsidP="00F36942">
            <w:pPr>
              <w:pStyle w:val="Tabletext"/>
              <w:rPr>
                <w:snapToGrid w:val="0"/>
              </w:rPr>
            </w:pPr>
            <w:r w:rsidRPr="00616B26">
              <w:rPr>
                <w:snapToGrid w:val="0"/>
              </w:rPr>
              <w:t>74</w:t>
            </w:r>
          </w:p>
        </w:tc>
        <w:tc>
          <w:tcPr>
            <w:tcW w:w="909" w:type="pct"/>
            <w:tcBorders>
              <w:top w:val="single" w:sz="4" w:space="0" w:color="auto"/>
              <w:bottom w:val="single" w:sz="4" w:space="0" w:color="auto"/>
            </w:tcBorders>
            <w:vAlign w:val="bottom"/>
          </w:tcPr>
          <w:p w14:paraId="6CB221A1" w14:textId="77777777" w:rsidR="009158D7" w:rsidRPr="000F120F" w:rsidRDefault="009158D7" w:rsidP="00F36942">
            <w:pPr>
              <w:pStyle w:val="Tabletext"/>
              <w:rPr>
                <w:snapToGrid w:val="0"/>
              </w:rPr>
            </w:pPr>
            <w:r w:rsidRPr="00295986">
              <w:t>12</w:t>
            </w:r>
            <w:r w:rsidR="00D7157D">
              <w:t>.</w:t>
            </w:r>
            <w:r w:rsidRPr="00295986">
              <w:t>4563</w:t>
            </w:r>
          </w:p>
        </w:tc>
        <w:tc>
          <w:tcPr>
            <w:tcW w:w="909" w:type="pct"/>
            <w:tcBorders>
              <w:top w:val="single" w:sz="4" w:space="0" w:color="auto"/>
              <w:bottom w:val="single" w:sz="4" w:space="0" w:color="auto"/>
            </w:tcBorders>
            <w:vAlign w:val="bottom"/>
          </w:tcPr>
          <w:p w14:paraId="08C0FE13" w14:textId="77777777" w:rsidR="009158D7" w:rsidRPr="000F120F" w:rsidRDefault="009158D7" w:rsidP="00F36942">
            <w:pPr>
              <w:pStyle w:val="Tabletext"/>
              <w:rPr>
                <w:snapToGrid w:val="0"/>
              </w:rPr>
            </w:pPr>
            <w:r w:rsidRPr="00295986">
              <w:t>0</w:t>
            </w:r>
            <w:r w:rsidR="00D7157D">
              <w:t>.</w:t>
            </w:r>
            <w:r w:rsidRPr="00295986">
              <w:t>5587</w:t>
            </w:r>
          </w:p>
        </w:tc>
        <w:tc>
          <w:tcPr>
            <w:tcW w:w="909" w:type="pct"/>
            <w:tcBorders>
              <w:top w:val="single" w:sz="4" w:space="0" w:color="auto"/>
              <w:bottom w:val="single" w:sz="4" w:space="0" w:color="auto"/>
            </w:tcBorders>
            <w:vAlign w:val="bottom"/>
          </w:tcPr>
          <w:p w14:paraId="6EDFD79F" w14:textId="77777777" w:rsidR="009158D7" w:rsidRPr="000F120F" w:rsidRDefault="009158D7" w:rsidP="00F36942">
            <w:pPr>
              <w:pStyle w:val="Tabletext"/>
              <w:rPr>
                <w:snapToGrid w:val="0"/>
              </w:rPr>
            </w:pPr>
            <w:r w:rsidRPr="00295986">
              <w:t>13</w:t>
            </w:r>
            <w:r w:rsidR="00D7157D">
              <w:t>.</w:t>
            </w:r>
            <w:r w:rsidRPr="00295986">
              <w:t>7795</w:t>
            </w:r>
          </w:p>
        </w:tc>
        <w:tc>
          <w:tcPr>
            <w:tcW w:w="908" w:type="pct"/>
            <w:tcBorders>
              <w:top w:val="single" w:sz="4" w:space="0" w:color="auto"/>
              <w:bottom w:val="single" w:sz="4" w:space="0" w:color="auto"/>
            </w:tcBorders>
            <w:vAlign w:val="bottom"/>
          </w:tcPr>
          <w:p w14:paraId="1C5FDBDC" w14:textId="77777777" w:rsidR="009158D7" w:rsidRPr="000F120F" w:rsidRDefault="009158D7" w:rsidP="00F36942">
            <w:pPr>
              <w:pStyle w:val="Tabletext"/>
              <w:rPr>
                <w:snapToGrid w:val="0"/>
              </w:rPr>
            </w:pPr>
            <w:r w:rsidRPr="00295986">
              <w:t>0</w:t>
            </w:r>
            <w:r w:rsidR="00D7157D">
              <w:t>.</w:t>
            </w:r>
            <w:r w:rsidRPr="00295986">
              <w:t>1405</w:t>
            </w:r>
          </w:p>
        </w:tc>
      </w:tr>
      <w:tr w:rsidR="009158D7" w:rsidRPr="009E2595" w14:paraId="0E6FC148" w14:textId="77777777" w:rsidTr="00F36942">
        <w:trPr>
          <w:cantSplit/>
        </w:trPr>
        <w:tc>
          <w:tcPr>
            <w:tcW w:w="1365" w:type="pct"/>
            <w:tcBorders>
              <w:top w:val="single" w:sz="4" w:space="0" w:color="auto"/>
              <w:bottom w:val="single" w:sz="4" w:space="0" w:color="auto"/>
            </w:tcBorders>
          </w:tcPr>
          <w:p w14:paraId="35B90DB0" w14:textId="77777777" w:rsidR="009158D7" w:rsidRPr="00616B26" w:rsidRDefault="009158D7" w:rsidP="00F36942">
            <w:pPr>
              <w:pStyle w:val="Tabletext"/>
              <w:rPr>
                <w:snapToGrid w:val="0"/>
              </w:rPr>
            </w:pPr>
            <w:r w:rsidRPr="00616B26">
              <w:rPr>
                <w:snapToGrid w:val="0"/>
              </w:rPr>
              <w:t>75</w:t>
            </w:r>
          </w:p>
        </w:tc>
        <w:tc>
          <w:tcPr>
            <w:tcW w:w="909" w:type="pct"/>
            <w:tcBorders>
              <w:top w:val="single" w:sz="4" w:space="0" w:color="auto"/>
              <w:bottom w:val="single" w:sz="4" w:space="0" w:color="auto"/>
            </w:tcBorders>
            <w:vAlign w:val="bottom"/>
          </w:tcPr>
          <w:p w14:paraId="174EFAB9" w14:textId="77777777" w:rsidR="009158D7" w:rsidRPr="000F120F" w:rsidRDefault="009158D7" w:rsidP="00F36942">
            <w:pPr>
              <w:pStyle w:val="Tabletext"/>
              <w:rPr>
                <w:snapToGrid w:val="0"/>
              </w:rPr>
            </w:pPr>
            <w:r w:rsidRPr="00295986">
              <w:t>11</w:t>
            </w:r>
            <w:r w:rsidR="00D7157D">
              <w:t>.</w:t>
            </w:r>
            <w:r w:rsidRPr="00295986">
              <w:t>8639</w:t>
            </w:r>
          </w:p>
        </w:tc>
        <w:tc>
          <w:tcPr>
            <w:tcW w:w="909" w:type="pct"/>
            <w:tcBorders>
              <w:top w:val="single" w:sz="4" w:space="0" w:color="auto"/>
              <w:bottom w:val="single" w:sz="4" w:space="0" w:color="auto"/>
            </w:tcBorders>
            <w:vAlign w:val="bottom"/>
          </w:tcPr>
          <w:p w14:paraId="4BF54042" w14:textId="77777777" w:rsidR="009158D7" w:rsidRPr="000F120F" w:rsidRDefault="009158D7" w:rsidP="00F36942">
            <w:pPr>
              <w:pStyle w:val="Tabletext"/>
              <w:rPr>
                <w:snapToGrid w:val="0"/>
              </w:rPr>
            </w:pPr>
            <w:r w:rsidRPr="00295986">
              <w:t>0</w:t>
            </w:r>
            <w:r w:rsidR="00D7157D">
              <w:t>.</w:t>
            </w:r>
            <w:r w:rsidRPr="00295986">
              <w:t>5610</w:t>
            </w:r>
          </w:p>
        </w:tc>
        <w:tc>
          <w:tcPr>
            <w:tcW w:w="909" w:type="pct"/>
            <w:tcBorders>
              <w:top w:val="single" w:sz="4" w:space="0" w:color="auto"/>
              <w:bottom w:val="single" w:sz="4" w:space="0" w:color="auto"/>
            </w:tcBorders>
            <w:vAlign w:val="bottom"/>
          </w:tcPr>
          <w:p w14:paraId="1AAEEE88" w14:textId="77777777" w:rsidR="009158D7" w:rsidRPr="000F120F" w:rsidRDefault="009158D7" w:rsidP="00F36942">
            <w:pPr>
              <w:pStyle w:val="Tabletext"/>
              <w:rPr>
                <w:snapToGrid w:val="0"/>
              </w:rPr>
            </w:pPr>
            <w:r w:rsidRPr="00295986">
              <w:t>13</w:t>
            </w:r>
            <w:r w:rsidR="00D7157D">
              <w:t>.</w:t>
            </w:r>
            <w:r w:rsidRPr="00295986">
              <w:t>1871</w:t>
            </w:r>
          </w:p>
        </w:tc>
        <w:tc>
          <w:tcPr>
            <w:tcW w:w="908" w:type="pct"/>
            <w:tcBorders>
              <w:top w:val="single" w:sz="4" w:space="0" w:color="auto"/>
              <w:bottom w:val="single" w:sz="4" w:space="0" w:color="auto"/>
            </w:tcBorders>
            <w:vAlign w:val="bottom"/>
          </w:tcPr>
          <w:p w14:paraId="4401A6FB" w14:textId="77777777" w:rsidR="009158D7" w:rsidRPr="000F120F" w:rsidRDefault="009158D7" w:rsidP="00F36942">
            <w:pPr>
              <w:pStyle w:val="Tabletext"/>
              <w:rPr>
                <w:snapToGrid w:val="0"/>
              </w:rPr>
            </w:pPr>
            <w:r w:rsidRPr="00295986">
              <w:t>0</w:t>
            </w:r>
            <w:r w:rsidR="00D7157D">
              <w:t>.</w:t>
            </w:r>
            <w:r w:rsidRPr="00295986">
              <w:t>1408</w:t>
            </w:r>
          </w:p>
        </w:tc>
      </w:tr>
      <w:tr w:rsidR="009158D7" w:rsidRPr="009E2595" w14:paraId="0234AE0F" w14:textId="77777777" w:rsidTr="00F36942">
        <w:trPr>
          <w:cantSplit/>
        </w:trPr>
        <w:tc>
          <w:tcPr>
            <w:tcW w:w="1365" w:type="pct"/>
            <w:tcBorders>
              <w:top w:val="single" w:sz="4" w:space="0" w:color="auto"/>
              <w:bottom w:val="single" w:sz="4" w:space="0" w:color="auto"/>
            </w:tcBorders>
          </w:tcPr>
          <w:p w14:paraId="70568F51" w14:textId="77777777" w:rsidR="009158D7" w:rsidRPr="00616B26" w:rsidRDefault="009158D7" w:rsidP="00F36942">
            <w:pPr>
              <w:pStyle w:val="Tabletext"/>
              <w:rPr>
                <w:snapToGrid w:val="0"/>
              </w:rPr>
            </w:pPr>
            <w:r w:rsidRPr="00616B26">
              <w:rPr>
                <w:snapToGrid w:val="0"/>
              </w:rPr>
              <w:t>76</w:t>
            </w:r>
          </w:p>
        </w:tc>
        <w:tc>
          <w:tcPr>
            <w:tcW w:w="909" w:type="pct"/>
            <w:tcBorders>
              <w:top w:val="single" w:sz="4" w:space="0" w:color="auto"/>
              <w:bottom w:val="single" w:sz="4" w:space="0" w:color="auto"/>
            </w:tcBorders>
            <w:vAlign w:val="bottom"/>
          </w:tcPr>
          <w:p w14:paraId="43C4FE0D" w14:textId="77777777" w:rsidR="009158D7" w:rsidRPr="000F120F" w:rsidRDefault="009158D7" w:rsidP="00F36942">
            <w:pPr>
              <w:pStyle w:val="Tabletext"/>
              <w:rPr>
                <w:snapToGrid w:val="0"/>
              </w:rPr>
            </w:pPr>
            <w:r w:rsidRPr="00295986">
              <w:t>11</w:t>
            </w:r>
            <w:r w:rsidR="00D7157D">
              <w:t>.</w:t>
            </w:r>
            <w:r w:rsidRPr="00295986">
              <w:t>2721</w:t>
            </w:r>
          </w:p>
        </w:tc>
        <w:tc>
          <w:tcPr>
            <w:tcW w:w="909" w:type="pct"/>
            <w:tcBorders>
              <w:top w:val="single" w:sz="4" w:space="0" w:color="auto"/>
              <w:bottom w:val="single" w:sz="4" w:space="0" w:color="auto"/>
            </w:tcBorders>
            <w:vAlign w:val="bottom"/>
          </w:tcPr>
          <w:p w14:paraId="77531AA7" w14:textId="77777777" w:rsidR="009158D7" w:rsidRPr="000F120F" w:rsidRDefault="009158D7" w:rsidP="00F36942">
            <w:pPr>
              <w:pStyle w:val="Tabletext"/>
              <w:rPr>
                <w:snapToGrid w:val="0"/>
              </w:rPr>
            </w:pPr>
            <w:r w:rsidRPr="00295986">
              <w:t>0</w:t>
            </w:r>
            <w:r w:rsidR="00D7157D">
              <w:t>.</w:t>
            </w:r>
            <w:r w:rsidRPr="00295986">
              <w:t>5623</w:t>
            </w:r>
          </w:p>
        </w:tc>
        <w:tc>
          <w:tcPr>
            <w:tcW w:w="909" w:type="pct"/>
            <w:tcBorders>
              <w:top w:val="single" w:sz="4" w:space="0" w:color="auto"/>
              <w:bottom w:val="single" w:sz="4" w:space="0" w:color="auto"/>
            </w:tcBorders>
            <w:vAlign w:val="bottom"/>
          </w:tcPr>
          <w:p w14:paraId="4A326204" w14:textId="77777777" w:rsidR="009158D7" w:rsidRPr="000F120F" w:rsidRDefault="009158D7" w:rsidP="00F36942">
            <w:pPr>
              <w:pStyle w:val="Tabletext"/>
              <w:rPr>
                <w:snapToGrid w:val="0"/>
              </w:rPr>
            </w:pPr>
            <w:r w:rsidRPr="00295986">
              <w:t>12</w:t>
            </w:r>
            <w:r w:rsidR="00D7157D">
              <w:t>.</w:t>
            </w:r>
            <w:r w:rsidRPr="00295986">
              <w:t>5890</w:t>
            </w:r>
          </w:p>
        </w:tc>
        <w:tc>
          <w:tcPr>
            <w:tcW w:w="908" w:type="pct"/>
            <w:tcBorders>
              <w:top w:val="single" w:sz="4" w:space="0" w:color="auto"/>
              <w:bottom w:val="single" w:sz="4" w:space="0" w:color="auto"/>
            </w:tcBorders>
            <w:vAlign w:val="bottom"/>
          </w:tcPr>
          <w:p w14:paraId="09E71C48" w14:textId="77777777" w:rsidR="009158D7" w:rsidRPr="000F120F" w:rsidRDefault="009158D7" w:rsidP="00F36942">
            <w:pPr>
              <w:pStyle w:val="Tabletext"/>
              <w:rPr>
                <w:snapToGrid w:val="0"/>
              </w:rPr>
            </w:pPr>
            <w:r w:rsidRPr="00295986">
              <w:t>0</w:t>
            </w:r>
            <w:r w:rsidR="00D7157D">
              <w:t>.</w:t>
            </w:r>
            <w:r w:rsidRPr="00295986">
              <w:t>1410</w:t>
            </w:r>
          </w:p>
        </w:tc>
      </w:tr>
      <w:tr w:rsidR="009158D7" w:rsidRPr="009E2595" w14:paraId="3841B06E" w14:textId="77777777" w:rsidTr="00F36942">
        <w:trPr>
          <w:cantSplit/>
        </w:trPr>
        <w:tc>
          <w:tcPr>
            <w:tcW w:w="1365" w:type="pct"/>
            <w:tcBorders>
              <w:top w:val="single" w:sz="4" w:space="0" w:color="auto"/>
              <w:bottom w:val="single" w:sz="4" w:space="0" w:color="auto"/>
            </w:tcBorders>
          </w:tcPr>
          <w:p w14:paraId="3A0615E5" w14:textId="77777777" w:rsidR="009158D7" w:rsidRPr="00616B26" w:rsidRDefault="009158D7" w:rsidP="00F36942">
            <w:pPr>
              <w:pStyle w:val="Tabletext"/>
              <w:rPr>
                <w:snapToGrid w:val="0"/>
              </w:rPr>
            </w:pPr>
            <w:r w:rsidRPr="00616B26">
              <w:rPr>
                <w:snapToGrid w:val="0"/>
              </w:rPr>
              <w:t>77</w:t>
            </w:r>
          </w:p>
        </w:tc>
        <w:tc>
          <w:tcPr>
            <w:tcW w:w="909" w:type="pct"/>
            <w:tcBorders>
              <w:top w:val="single" w:sz="4" w:space="0" w:color="auto"/>
              <w:bottom w:val="single" w:sz="4" w:space="0" w:color="auto"/>
            </w:tcBorders>
            <w:vAlign w:val="bottom"/>
          </w:tcPr>
          <w:p w14:paraId="1682BEA0" w14:textId="77777777" w:rsidR="009158D7" w:rsidRPr="000F120F" w:rsidRDefault="009158D7" w:rsidP="00F36942">
            <w:pPr>
              <w:pStyle w:val="Tabletext"/>
              <w:rPr>
                <w:snapToGrid w:val="0"/>
              </w:rPr>
            </w:pPr>
            <w:r w:rsidRPr="00295986">
              <w:t>10</w:t>
            </w:r>
            <w:r w:rsidR="00D7157D">
              <w:t>.</w:t>
            </w:r>
            <w:r w:rsidRPr="00295986">
              <w:t>6824</w:t>
            </w:r>
          </w:p>
        </w:tc>
        <w:tc>
          <w:tcPr>
            <w:tcW w:w="909" w:type="pct"/>
            <w:tcBorders>
              <w:top w:val="single" w:sz="4" w:space="0" w:color="auto"/>
              <w:bottom w:val="single" w:sz="4" w:space="0" w:color="auto"/>
            </w:tcBorders>
            <w:vAlign w:val="bottom"/>
          </w:tcPr>
          <w:p w14:paraId="30D7AEBB" w14:textId="77777777" w:rsidR="009158D7" w:rsidRPr="000F120F" w:rsidRDefault="009158D7" w:rsidP="00F36942">
            <w:pPr>
              <w:pStyle w:val="Tabletext"/>
              <w:rPr>
                <w:snapToGrid w:val="0"/>
              </w:rPr>
            </w:pPr>
            <w:r w:rsidRPr="00295986">
              <w:t>0</w:t>
            </w:r>
            <w:r w:rsidR="00D7157D">
              <w:t>.</w:t>
            </w:r>
            <w:r w:rsidRPr="00295986">
              <w:t>5626</w:t>
            </w:r>
          </w:p>
        </w:tc>
        <w:tc>
          <w:tcPr>
            <w:tcW w:w="909" w:type="pct"/>
            <w:tcBorders>
              <w:top w:val="single" w:sz="4" w:space="0" w:color="auto"/>
              <w:bottom w:val="single" w:sz="4" w:space="0" w:color="auto"/>
            </w:tcBorders>
            <w:vAlign w:val="bottom"/>
          </w:tcPr>
          <w:p w14:paraId="5D571506" w14:textId="77777777" w:rsidR="009158D7" w:rsidRPr="000F120F" w:rsidRDefault="009158D7" w:rsidP="00F36942">
            <w:pPr>
              <w:pStyle w:val="Tabletext"/>
              <w:rPr>
                <w:snapToGrid w:val="0"/>
              </w:rPr>
            </w:pPr>
            <w:r w:rsidRPr="00295986">
              <w:t>11</w:t>
            </w:r>
            <w:r w:rsidR="00D7157D">
              <w:t>.</w:t>
            </w:r>
            <w:r w:rsidRPr="00295986">
              <w:t>9877</w:t>
            </w:r>
          </w:p>
        </w:tc>
        <w:tc>
          <w:tcPr>
            <w:tcW w:w="908" w:type="pct"/>
            <w:tcBorders>
              <w:top w:val="single" w:sz="4" w:space="0" w:color="auto"/>
              <w:bottom w:val="single" w:sz="4" w:space="0" w:color="auto"/>
            </w:tcBorders>
            <w:vAlign w:val="bottom"/>
          </w:tcPr>
          <w:p w14:paraId="70CE5FE4" w14:textId="77777777" w:rsidR="009158D7" w:rsidRPr="000F120F" w:rsidRDefault="009158D7" w:rsidP="00F36942">
            <w:pPr>
              <w:pStyle w:val="Tabletext"/>
              <w:rPr>
                <w:snapToGrid w:val="0"/>
              </w:rPr>
            </w:pPr>
            <w:r w:rsidRPr="00295986">
              <w:t>0</w:t>
            </w:r>
            <w:r w:rsidR="00D7157D">
              <w:t>.</w:t>
            </w:r>
            <w:r w:rsidRPr="00295986">
              <w:t>1411</w:t>
            </w:r>
          </w:p>
        </w:tc>
      </w:tr>
      <w:tr w:rsidR="009158D7" w:rsidRPr="009E2595" w14:paraId="7CC9CEDF" w14:textId="77777777" w:rsidTr="00F36942">
        <w:trPr>
          <w:cantSplit/>
        </w:trPr>
        <w:tc>
          <w:tcPr>
            <w:tcW w:w="1365" w:type="pct"/>
            <w:tcBorders>
              <w:top w:val="single" w:sz="4" w:space="0" w:color="auto"/>
              <w:bottom w:val="single" w:sz="4" w:space="0" w:color="auto"/>
            </w:tcBorders>
          </w:tcPr>
          <w:p w14:paraId="4B1A3684" w14:textId="77777777" w:rsidR="009158D7" w:rsidRPr="00616B26" w:rsidRDefault="009158D7" w:rsidP="00F36942">
            <w:pPr>
              <w:pStyle w:val="Tabletext"/>
              <w:rPr>
                <w:snapToGrid w:val="0"/>
              </w:rPr>
            </w:pPr>
            <w:r w:rsidRPr="00616B26">
              <w:rPr>
                <w:snapToGrid w:val="0"/>
              </w:rPr>
              <w:t>78</w:t>
            </w:r>
          </w:p>
        </w:tc>
        <w:tc>
          <w:tcPr>
            <w:tcW w:w="909" w:type="pct"/>
            <w:tcBorders>
              <w:top w:val="single" w:sz="4" w:space="0" w:color="auto"/>
              <w:bottom w:val="single" w:sz="4" w:space="0" w:color="auto"/>
            </w:tcBorders>
            <w:vAlign w:val="bottom"/>
          </w:tcPr>
          <w:p w14:paraId="47AA3587" w14:textId="77777777" w:rsidR="009158D7" w:rsidRPr="000F120F" w:rsidRDefault="009158D7" w:rsidP="00F36942">
            <w:pPr>
              <w:pStyle w:val="Tabletext"/>
              <w:rPr>
                <w:snapToGrid w:val="0"/>
              </w:rPr>
            </w:pPr>
            <w:r w:rsidRPr="00295986">
              <w:t>10</w:t>
            </w:r>
            <w:r w:rsidR="00D7157D">
              <w:t>.</w:t>
            </w:r>
            <w:r w:rsidRPr="00295986">
              <w:t>0968</w:t>
            </w:r>
          </w:p>
        </w:tc>
        <w:tc>
          <w:tcPr>
            <w:tcW w:w="909" w:type="pct"/>
            <w:tcBorders>
              <w:top w:val="single" w:sz="4" w:space="0" w:color="auto"/>
              <w:bottom w:val="single" w:sz="4" w:space="0" w:color="auto"/>
            </w:tcBorders>
            <w:vAlign w:val="bottom"/>
          </w:tcPr>
          <w:p w14:paraId="67D45222" w14:textId="77777777" w:rsidR="009158D7" w:rsidRPr="000F120F" w:rsidRDefault="009158D7" w:rsidP="00F36942">
            <w:pPr>
              <w:pStyle w:val="Tabletext"/>
              <w:rPr>
                <w:snapToGrid w:val="0"/>
              </w:rPr>
            </w:pPr>
            <w:r w:rsidRPr="00295986">
              <w:t>0</w:t>
            </w:r>
            <w:r w:rsidR="00D7157D">
              <w:t>.</w:t>
            </w:r>
            <w:r w:rsidRPr="00295986">
              <w:t>5616</w:t>
            </w:r>
          </w:p>
        </w:tc>
        <w:tc>
          <w:tcPr>
            <w:tcW w:w="909" w:type="pct"/>
            <w:tcBorders>
              <w:top w:val="single" w:sz="4" w:space="0" w:color="auto"/>
              <w:bottom w:val="single" w:sz="4" w:space="0" w:color="auto"/>
            </w:tcBorders>
            <w:vAlign w:val="bottom"/>
          </w:tcPr>
          <w:p w14:paraId="575FD73D" w14:textId="77777777" w:rsidR="009158D7" w:rsidRPr="000F120F" w:rsidRDefault="009158D7" w:rsidP="00F36942">
            <w:pPr>
              <w:pStyle w:val="Tabletext"/>
              <w:rPr>
                <w:snapToGrid w:val="0"/>
              </w:rPr>
            </w:pPr>
            <w:r w:rsidRPr="00295986">
              <w:t>11</w:t>
            </w:r>
            <w:r w:rsidR="00D7157D">
              <w:t>.</w:t>
            </w:r>
            <w:r w:rsidRPr="00295986">
              <w:t>3860</w:t>
            </w:r>
          </w:p>
        </w:tc>
        <w:tc>
          <w:tcPr>
            <w:tcW w:w="908" w:type="pct"/>
            <w:tcBorders>
              <w:top w:val="single" w:sz="4" w:space="0" w:color="auto"/>
              <w:bottom w:val="single" w:sz="4" w:space="0" w:color="auto"/>
            </w:tcBorders>
            <w:vAlign w:val="bottom"/>
          </w:tcPr>
          <w:p w14:paraId="12D126CA" w14:textId="77777777" w:rsidR="009158D7" w:rsidRPr="000F120F" w:rsidRDefault="009158D7" w:rsidP="00F36942">
            <w:pPr>
              <w:pStyle w:val="Tabletext"/>
              <w:rPr>
                <w:snapToGrid w:val="0"/>
              </w:rPr>
            </w:pPr>
            <w:r w:rsidRPr="00295986">
              <w:t>0</w:t>
            </w:r>
            <w:r w:rsidR="00D7157D">
              <w:t>.</w:t>
            </w:r>
            <w:r w:rsidRPr="00295986">
              <w:t>1409</w:t>
            </w:r>
          </w:p>
        </w:tc>
      </w:tr>
      <w:tr w:rsidR="009158D7" w:rsidRPr="009E2595" w14:paraId="65B372A0" w14:textId="77777777" w:rsidTr="00F36942">
        <w:trPr>
          <w:cantSplit/>
        </w:trPr>
        <w:tc>
          <w:tcPr>
            <w:tcW w:w="1365" w:type="pct"/>
            <w:tcBorders>
              <w:top w:val="single" w:sz="4" w:space="0" w:color="auto"/>
              <w:bottom w:val="single" w:sz="4" w:space="0" w:color="auto"/>
            </w:tcBorders>
          </w:tcPr>
          <w:p w14:paraId="651249C1" w14:textId="77777777" w:rsidR="009158D7" w:rsidRPr="00616B26" w:rsidRDefault="009158D7" w:rsidP="00F36942">
            <w:pPr>
              <w:pStyle w:val="Tabletext"/>
              <w:rPr>
                <w:snapToGrid w:val="0"/>
              </w:rPr>
            </w:pPr>
            <w:r w:rsidRPr="00616B26">
              <w:rPr>
                <w:snapToGrid w:val="0"/>
              </w:rPr>
              <w:t>79</w:t>
            </w:r>
          </w:p>
        </w:tc>
        <w:tc>
          <w:tcPr>
            <w:tcW w:w="909" w:type="pct"/>
            <w:tcBorders>
              <w:top w:val="single" w:sz="4" w:space="0" w:color="auto"/>
              <w:bottom w:val="single" w:sz="4" w:space="0" w:color="auto"/>
            </w:tcBorders>
            <w:vAlign w:val="bottom"/>
          </w:tcPr>
          <w:p w14:paraId="09A45DFD" w14:textId="77777777" w:rsidR="009158D7" w:rsidRPr="000F120F" w:rsidRDefault="009158D7" w:rsidP="00F36942">
            <w:pPr>
              <w:pStyle w:val="Tabletext"/>
              <w:rPr>
                <w:snapToGrid w:val="0"/>
              </w:rPr>
            </w:pPr>
            <w:r w:rsidRPr="00295986">
              <w:t>9</w:t>
            </w:r>
            <w:r w:rsidR="00D7157D">
              <w:t>.</w:t>
            </w:r>
            <w:r w:rsidRPr="00295986">
              <w:t>5197</w:t>
            </w:r>
          </w:p>
        </w:tc>
        <w:tc>
          <w:tcPr>
            <w:tcW w:w="909" w:type="pct"/>
            <w:tcBorders>
              <w:top w:val="single" w:sz="4" w:space="0" w:color="auto"/>
              <w:bottom w:val="single" w:sz="4" w:space="0" w:color="auto"/>
            </w:tcBorders>
            <w:vAlign w:val="bottom"/>
          </w:tcPr>
          <w:p w14:paraId="01B66378" w14:textId="77777777" w:rsidR="009158D7" w:rsidRPr="000F120F" w:rsidRDefault="009158D7" w:rsidP="00F36942">
            <w:pPr>
              <w:pStyle w:val="Tabletext"/>
              <w:rPr>
                <w:snapToGrid w:val="0"/>
              </w:rPr>
            </w:pPr>
            <w:r w:rsidRPr="00295986">
              <w:t>0</w:t>
            </w:r>
            <w:r w:rsidR="00D7157D">
              <w:t>.</w:t>
            </w:r>
            <w:r w:rsidRPr="00295986">
              <w:t>5593</w:t>
            </w:r>
          </w:p>
        </w:tc>
        <w:tc>
          <w:tcPr>
            <w:tcW w:w="909" w:type="pct"/>
            <w:tcBorders>
              <w:top w:val="single" w:sz="4" w:space="0" w:color="auto"/>
              <w:bottom w:val="single" w:sz="4" w:space="0" w:color="auto"/>
            </w:tcBorders>
            <w:vAlign w:val="bottom"/>
          </w:tcPr>
          <w:p w14:paraId="4D129AAE" w14:textId="77777777" w:rsidR="009158D7" w:rsidRPr="000F120F" w:rsidRDefault="009158D7" w:rsidP="00F36942">
            <w:pPr>
              <w:pStyle w:val="Tabletext"/>
              <w:rPr>
                <w:snapToGrid w:val="0"/>
              </w:rPr>
            </w:pPr>
            <w:r w:rsidRPr="00295986">
              <w:t>10</w:t>
            </w:r>
            <w:r w:rsidR="00D7157D">
              <w:t>.</w:t>
            </w:r>
            <w:r w:rsidRPr="00295986">
              <w:t>7874</w:t>
            </w:r>
          </w:p>
        </w:tc>
        <w:tc>
          <w:tcPr>
            <w:tcW w:w="908" w:type="pct"/>
            <w:tcBorders>
              <w:top w:val="single" w:sz="4" w:space="0" w:color="auto"/>
              <w:bottom w:val="single" w:sz="4" w:space="0" w:color="auto"/>
            </w:tcBorders>
            <w:vAlign w:val="bottom"/>
          </w:tcPr>
          <w:p w14:paraId="5DC4E5DF" w14:textId="77777777" w:rsidR="009158D7" w:rsidRPr="000F120F" w:rsidRDefault="009158D7" w:rsidP="00F36942">
            <w:pPr>
              <w:pStyle w:val="Tabletext"/>
              <w:rPr>
                <w:snapToGrid w:val="0"/>
              </w:rPr>
            </w:pPr>
            <w:r w:rsidRPr="00295986">
              <w:t>0</w:t>
            </w:r>
            <w:r w:rsidR="00D7157D">
              <w:t>.</w:t>
            </w:r>
            <w:r w:rsidRPr="00295986">
              <w:t>1404</w:t>
            </w:r>
          </w:p>
        </w:tc>
      </w:tr>
      <w:tr w:rsidR="009158D7" w:rsidRPr="009E2595" w14:paraId="2FE063E5" w14:textId="77777777" w:rsidTr="00F36942">
        <w:trPr>
          <w:cantSplit/>
        </w:trPr>
        <w:tc>
          <w:tcPr>
            <w:tcW w:w="1365" w:type="pct"/>
            <w:tcBorders>
              <w:top w:val="single" w:sz="4" w:space="0" w:color="auto"/>
              <w:bottom w:val="single" w:sz="4" w:space="0" w:color="auto"/>
            </w:tcBorders>
          </w:tcPr>
          <w:p w14:paraId="3041636E" w14:textId="77777777" w:rsidR="009158D7" w:rsidRPr="00616B26" w:rsidRDefault="009158D7" w:rsidP="00F36942">
            <w:pPr>
              <w:pStyle w:val="Tabletext"/>
              <w:rPr>
                <w:snapToGrid w:val="0"/>
              </w:rPr>
            </w:pPr>
            <w:r w:rsidRPr="00616B26">
              <w:rPr>
                <w:snapToGrid w:val="0"/>
              </w:rPr>
              <w:t>80</w:t>
            </w:r>
          </w:p>
        </w:tc>
        <w:tc>
          <w:tcPr>
            <w:tcW w:w="909" w:type="pct"/>
            <w:tcBorders>
              <w:top w:val="single" w:sz="4" w:space="0" w:color="auto"/>
              <w:bottom w:val="single" w:sz="4" w:space="0" w:color="auto"/>
            </w:tcBorders>
            <w:vAlign w:val="bottom"/>
          </w:tcPr>
          <w:p w14:paraId="57903DBD" w14:textId="77777777" w:rsidR="009158D7" w:rsidRPr="000F120F" w:rsidRDefault="009158D7" w:rsidP="00F36942">
            <w:pPr>
              <w:pStyle w:val="Tabletext"/>
              <w:rPr>
                <w:snapToGrid w:val="0"/>
              </w:rPr>
            </w:pPr>
            <w:r w:rsidRPr="00295986">
              <w:t>8</w:t>
            </w:r>
            <w:r w:rsidR="00D7157D">
              <w:t>.</w:t>
            </w:r>
            <w:r w:rsidRPr="00295986">
              <w:t>9538</w:t>
            </w:r>
          </w:p>
        </w:tc>
        <w:tc>
          <w:tcPr>
            <w:tcW w:w="909" w:type="pct"/>
            <w:tcBorders>
              <w:top w:val="single" w:sz="4" w:space="0" w:color="auto"/>
              <w:bottom w:val="single" w:sz="4" w:space="0" w:color="auto"/>
            </w:tcBorders>
            <w:vAlign w:val="bottom"/>
          </w:tcPr>
          <w:p w14:paraId="539D6023" w14:textId="77777777" w:rsidR="009158D7" w:rsidRPr="000F120F" w:rsidRDefault="009158D7" w:rsidP="00F36942">
            <w:pPr>
              <w:pStyle w:val="Tabletext"/>
              <w:rPr>
                <w:snapToGrid w:val="0"/>
              </w:rPr>
            </w:pPr>
            <w:r w:rsidRPr="00295986">
              <w:t>0</w:t>
            </w:r>
            <w:r w:rsidR="00D7157D">
              <w:t>.</w:t>
            </w:r>
            <w:r w:rsidRPr="00295986">
              <w:t>5553</w:t>
            </w:r>
          </w:p>
        </w:tc>
        <w:tc>
          <w:tcPr>
            <w:tcW w:w="909" w:type="pct"/>
            <w:tcBorders>
              <w:top w:val="single" w:sz="4" w:space="0" w:color="auto"/>
              <w:bottom w:val="single" w:sz="4" w:space="0" w:color="auto"/>
            </w:tcBorders>
            <w:vAlign w:val="bottom"/>
          </w:tcPr>
          <w:p w14:paraId="577E0ECE" w14:textId="77777777" w:rsidR="009158D7" w:rsidRPr="000F120F" w:rsidRDefault="009158D7" w:rsidP="00F36942">
            <w:pPr>
              <w:pStyle w:val="Tabletext"/>
              <w:rPr>
                <w:snapToGrid w:val="0"/>
              </w:rPr>
            </w:pPr>
            <w:r w:rsidRPr="00295986">
              <w:t>10</w:t>
            </w:r>
            <w:r w:rsidR="00D7157D">
              <w:t>.</w:t>
            </w:r>
            <w:r w:rsidRPr="00295986">
              <w:t>1949</w:t>
            </w:r>
          </w:p>
        </w:tc>
        <w:tc>
          <w:tcPr>
            <w:tcW w:w="908" w:type="pct"/>
            <w:tcBorders>
              <w:top w:val="single" w:sz="4" w:space="0" w:color="auto"/>
              <w:bottom w:val="single" w:sz="4" w:space="0" w:color="auto"/>
            </w:tcBorders>
            <w:vAlign w:val="bottom"/>
          </w:tcPr>
          <w:p w14:paraId="1A0AEADA" w14:textId="77777777" w:rsidR="009158D7" w:rsidRPr="000F120F" w:rsidRDefault="009158D7" w:rsidP="00F36942">
            <w:pPr>
              <w:pStyle w:val="Tabletext"/>
              <w:rPr>
                <w:snapToGrid w:val="0"/>
              </w:rPr>
            </w:pPr>
            <w:r w:rsidRPr="00295986">
              <w:t>0</w:t>
            </w:r>
            <w:r w:rsidR="00D7157D">
              <w:t>.</w:t>
            </w:r>
            <w:r w:rsidRPr="00295986">
              <w:t>1396</w:t>
            </w:r>
          </w:p>
        </w:tc>
      </w:tr>
      <w:tr w:rsidR="009158D7" w:rsidRPr="009E2595" w14:paraId="1D207FB0" w14:textId="77777777" w:rsidTr="00F36942">
        <w:trPr>
          <w:cantSplit/>
        </w:trPr>
        <w:tc>
          <w:tcPr>
            <w:tcW w:w="1365" w:type="pct"/>
            <w:tcBorders>
              <w:top w:val="single" w:sz="4" w:space="0" w:color="auto"/>
              <w:bottom w:val="single" w:sz="4" w:space="0" w:color="auto"/>
            </w:tcBorders>
          </w:tcPr>
          <w:p w14:paraId="4E651298" w14:textId="77777777" w:rsidR="009158D7" w:rsidRPr="00616B26" w:rsidRDefault="009158D7" w:rsidP="00F36942">
            <w:pPr>
              <w:pStyle w:val="Tabletext"/>
              <w:rPr>
                <w:snapToGrid w:val="0"/>
              </w:rPr>
            </w:pPr>
            <w:r w:rsidRPr="00616B26">
              <w:rPr>
                <w:snapToGrid w:val="0"/>
              </w:rPr>
              <w:t>81</w:t>
            </w:r>
          </w:p>
        </w:tc>
        <w:tc>
          <w:tcPr>
            <w:tcW w:w="909" w:type="pct"/>
            <w:tcBorders>
              <w:top w:val="single" w:sz="4" w:space="0" w:color="auto"/>
              <w:bottom w:val="single" w:sz="4" w:space="0" w:color="auto"/>
            </w:tcBorders>
            <w:vAlign w:val="bottom"/>
          </w:tcPr>
          <w:p w14:paraId="16873939" w14:textId="77777777" w:rsidR="009158D7" w:rsidRPr="000F120F" w:rsidRDefault="009158D7" w:rsidP="00F36942">
            <w:pPr>
              <w:pStyle w:val="Tabletext"/>
              <w:rPr>
                <w:snapToGrid w:val="0"/>
              </w:rPr>
            </w:pPr>
            <w:r w:rsidRPr="00295986">
              <w:t>8</w:t>
            </w:r>
            <w:r w:rsidR="00D7157D">
              <w:t>.</w:t>
            </w:r>
            <w:r w:rsidRPr="00295986">
              <w:t>4024</w:t>
            </w:r>
          </w:p>
        </w:tc>
        <w:tc>
          <w:tcPr>
            <w:tcW w:w="909" w:type="pct"/>
            <w:tcBorders>
              <w:top w:val="single" w:sz="4" w:space="0" w:color="auto"/>
              <w:bottom w:val="single" w:sz="4" w:space="0" w:color="auto"/>
            </w:tcBorders>
            <w:vAlign w:val="bottom"/>
          </w:tcPr>
          <w:p w14:paraId="5CAAF7AD" w14:textId="77777777" w:rsidR="009158D7" w:rsidRPr="000F120F" w:rsidRDefault="009158D7" w:rsidP="00F36942">
            <w:pPr>
              <w:pStyle w:val="Tabletext"/>
              <w:rPr>
                <w:snapToGrid w:val="0"/>
              </w:rPr>
            </w:pPr>
            <w:r w:rsidRPr="00295986">
              <w:t>0</w:t>
            </w:r>
            <w:r w:rsidR="00D7157D">
              <w:t>.</w:t>
            </w:r>
            <w:r w:rsidRPr="00295986">
              <w:t>5496</w:t>
            </w:r>
          </w:p>
        </w:tc>
        <w:tc>
          <w:tcPr>
            <w:tcW w:w="909" w:type="pct"/>
            <w:tcBorders>
              <w:top w:val="single" w:sz="4" w:space="0" w:color="auto"/>
              <w:bottom w:val="single" w:sz="4" w:space="0" w:color="auto"/>
            </w:tcBorders>
            <w:vAlign w:val="bottom"/>
          </w:tcPr>
          <w:p w14:paraId="25EC9BFD" w14:textId="77777777" w:rsidR="009158D7" w:rsidRPr="000F120F" w:rsidRDefault="009158D7" w:rsidP="00F36942">
            <w:pPr>
              <w:pStyle w:val="Tabletext"/>
              <w:rPr>
                <w:snapToGrid w:val="0"/>
              </w:rPr>
            </w:pPr>
            <w:r w:rsidRPr="00295986">
              <w:t>9</w:t>
            </w:r>
            <w:r w:rsidR="00D7157D">
              <w:t>.</w:t>
            </w:r>
            <w:r w:rsidRPr="00295986">
              <w:t>6111</w:t>
            </w:r>
          </w:p>
        </w:tc>
        <w:tc>
          <w:tcPr>
            <w:tcW w:w="908" w:type="pct"/>
            <w:tcBorders>
              <w:top w:val="single" w:sz="4" w:space="0" w:color="auto"/>
              <w:bottom w:val="single" w:sz="4" w:space="0" w:color="auto"/>
            </w:tcBorders>
            <w:vAlign w:val="bottom"/>
          </w:tcPr>
          <w:p w14:paraId="01290138" w14:textId="77777777" w:rsidR="009158D7" w:rsidRPr="000F120F" w:rsidRDefault="009158D7" w:rsidP="00F36942">
            <w:pPr>
              <w:pStyle w:val="Tabletext"/>
              <w:rPr>
                <w:snapToGrid w:val="0"/>
              </w:rPr>
            </w:pPr>
            <w:r w:rsidRPr="00295986">
              <w:t>0</w:t>
            </w:r>
            <w:r w:rsidR="00D7157D">
              <w:t>.</w:t>
            </w:r>
            <w:r w:rsidRPr="00295986">
              <w:t>1385</w:t>
            </w:r>
          </w:p>
        </w:tc>
      </w:tr>
      <w:tr w:rsidR="009158D7" w:rsidRPr="009E2595" w14:paraId="2382D1C8" w14:textId="77777777" w:rsidTr="00F36942">
        <w:trPr>
          <w:cantSplit/>
        </w:trPr>
        <w:tc>
          <w:tcPr>
            <w:tcW w:w="1365" w:type="pct"/>
            <w:tcBorders>
              <w:top w:val="single" w:sz="4" w:space="0" w:color="auto"/>
              <w:bottom w:val="single" w:sz="4" w:space="0" w:color="auto"/>
            </w:tcBorders>
          </w:tcPr>
          <w:p w14:paraId="02CF3B37" w14:textId="77777777" w:rsidR="009158D7" w:rsidRPr="00616B26" w:rsidRDefault="009158D7" w:rsidP="00F36942">
            <w:pPr>
              <w:pStyle w:val="Tabletext"/>
              <w:rPr>
                <w:snapToGrid w:val="0"/>
              </w:rPr>
            </w:pPr>
            <w:r w:rsidRPr="00616B26">
              <w:rPr>
                <w:snapToGrid w:val="0"/>
              </w:rPr>
              <w:t>82</w:t>
            </w:r>
          </w:p>
        </w:tc>
        <w:tc>
          <w:tcPr>
            <w:tcW w:w="909" w:type="pct"/>
            <w:tcBorders>
              <w:top w:val="single" w:sz="4" w:space="0" w:color="auto"/>
              <w:bottom w:val="single" w:sz="4" w:space="0" w:color="auto"/>
            </w:tcBorders>
            <w:vAlign w:val="bottom"/>
          </w:tcPr>
          <w:p w14:paraId="631F5567" w14:textId="77777777" w:rsidR="009158D7" w:rsidRPr="000F120F" w:rsidRDefault="009158D7" w:rsidP="00F36942">
            <w:pPr>
              <w:pStyle w:val="Tabletext"/>
              <w:rPr>
                <w:snapToGrid w:val="0"/>
              </w:rPr>
            </w:pPr>
            <w:r w:rsidRPr="00295986">
              <w:t>7</w:t>
            </w:r>
            <w:r w:rsidR="00D7157D">
              <w:t>.</w:t>
            </w:r>
            <w:r w:rsidRPr="00295986">
              <w:t>8731</w:t>
            </w:r>
          </w:p>
        </w:tc>
        <w:tc>
          <w:tcPr>
            <w:tcW w:w="909" w:type="pct"/>
            <w:tcBorders>
              <w:top w:val="single" w:sz="4" w:space="0" w:color="auto"/>
              <w:bottom w:val="single" w:sz="4" w:space="0" w:color="auto"/>
            </w:tcBorders>
            <w:vAlign w:val="bottom"/>
          </w:tcPr>
          <w:p w14:paraId="441C3D41" w14:textId="77777777" w:rsidR="009158D7" w:rsidRPr="000F120F" w:rsidRDefault="009158D7" w:rsidP="00F36942">
            <w:pPr>
              <w:pStyle w:val="Tabletext"/>
              <w:rPr>
                <w:snapToGrid w:val="0"/>
              </w:rPr>
            </w:pPr>
            <w:r w:rsidRPr="00295986">
              <w:t>0</w:t>
            </w:r>
            <w:r w:rsidR="00D7157D">
              <w:t>.</w:t>
            </w:r>
            <w:r w:rsidRPr="00295986">
              <w:t>5419</w:t>
            </w:r>
          </w:p>
        </w:tc>
        <w:tc>
          <w:tcPr>
            <w:tcW w:w="909" w:type="pct"/>
            <w:tcBorders>
              <w:top w:val="single" w:sz="4" w:space="0" w:color="auto"/>
              <w:bottom w:val="single" w:sz="4" w:space="0" w:color="auto"/>
            </w:tcBorders>
            <w:vAlign w:val="bottom"/>
          </w:tcPr>
          <w:p w14:paraId="0A66BDD5" w14:textId="77777777" w:rsidR="009158D7" w:rsidRPr="000F120F" w:rsidRDefault="009158D7" w:rsidP="00F36942">
            <w:pPr>
              <w:pStyle w:val="Tabletext"/>
              <w:rPr>
                <w:snapToGrid w:val="0"/>
              </w:rPr>
            </w:pPr>
            <w:r w:rsidRPr="00295986">
              <w:t>9</w:t>
            </w:r>
            <w:r w:rsidR="00D7157D">
              <w:t>.</w:t>
            </w:r>
            <w:r w:rsidRPr="00295986">
              <w:t>0423</w:t>
            </w:r>
          </w:p>
        </w:tc>
        <w:tc>
          <w:tcPr>
            <w:tcW w:w="908" w:type="pct"/>
            <w:tcBorders>
              <w:top w:val="single" w:sz="4" w:space="0" w:color="auto"/>
              <w:bottom w:val="single" w:sz="4" w:space="0" w:color="auto"/>
            </w:tcBorders>
            <w:vAlign w:val="bottom"/>
          </w:tcPr>
          <w:p w14:paraId="228D5857" w14:textId="77777777" w:rsidR="009158D7" w:rsidRPr="000F120F" w:rsidRDefault="009158D7" w:rsidP="00F36942">
            <w:pPr>
              <w:pStyle w:val="Tabletext"/>
              <w:rPr>
                <w:snapToGrid w:val="0"/>
              </w:rPr>
            </w:pPr>
            <w:r w:rsidRPr="00295986">
              <w:t>0</w:t>
            </w:r>
            <w:r w:rsidR="00D7157D">
              <w:t>.</w:t>
            </w:r>
            <w:r w:rsidRPr="00295986">
              <w:t>1370</w:t>
            </w:r>
          </w:p>
        </w:tc>
      </w:tr>
      <w:tr w:rsidR="009158D7" w:rsidRPr="009E2595" w14:paraId="4AAC4274" w14:textId="77777777" w:rsidTr="00F36942">
        <w:trPr>
          <w:cantSplit/>
        </w:trPr>
        <w:tc>
          <w:tcPr>
            <w:tcW w:w="1365" w:type="pct"/>
            <w:tcBorders>
              <w:top w:val="single" w:sz="4" w:space="0" w:color="auto"/>
              <w:bottom w:val="single" w:sz="4" w:space="0" w:color="auto"/>
            </w:tcBorders>
          </w:tcPr>
          <w:p w14:paraId="6CB6A6C4" w14:textId="77777777" w:rsidR="009158D7" w:rsidRPr="00616B26" w:rsidRDefault="009158D7" w:rsidP="00F36942">
            <w:pPr>
              <w:pStyle w:val="Tabletext"/>
              <w:rPr>
                <w:snapToGrid w:val="0"/>
              </w:rPr>
            </w:pPr>
            <w:r w:rsidRPr="00616B26">
              <w:rPr>
                <w:snapToGrid w:val="0"/>
              </w:rPr>
              <w:t>83</w:t>
            </w:r>
          </w:p>
        </w:tc>
        <w:tc>
          <w:tcPr>
            <w:tcW w:w="909" w:type="pct"/>
            <w:tcBorders>
              <w:top w:val="single" w:sz="4" w:space="0" w:color="auto"/>
              <w:bottom w:val="single" w:sz="4" w:space="0" w:color="auto"/>
            </w:tcBorders>
            <w:vAlign w:val="bottom"/>
          </w:tcPr>
          <w:p w14:paraId="3628A77D" w14:textId="77777777" w:rsidR="009158D7" w:rsidRPr="000F120F" w:rsidRDefault="009158D7" w:rsidP="00F36942">
            <w:pPr>
              <w:pStyle w:val="Tabletext"/>
              <w:rPr>
                <w:snapToGrid w:val="0"/>
              </w:rPr>
            </w:pPr>
            <w:r w:rsidRPr="00295986">
              <w:t>7</w:t>
            </w:r>
            <w:r w:rsidR="00D7157D">
              <w:t>.</w:t>
            </w:r>
            <w:r w:rsidRPr="00295986">
              <w:t>3620</w:t>
            </w:r>
          </w:p>
        </w:tc>
        <w:tc>
          <w:tcPr>
            <w:tcW w:w="909" w:type="pct"/>
            <w:tcBorders>
              <w:top w:val="single" w:sz="4" w:space="0" w:color="auto"/>
              <w:bottom w:val="single" w:sz="4" w:space="0" w:color="auto"/>
            </w:tcBorders>
            <w:vAlign w:val="bottom"/>
          </w:tcPr>
          <w:p w14:paraId="50AE2AAB" w14:textId="77777777" w:rsidR="009158D7" w:rsidRPr="000F120F" w:rsidRDefault="009158D7" w:rsidP="00F36942">
            <w:pPr>
              <w:pStyle w:val="Tabletext"/>
              <w:rPr>
                <w:snapToGrid w:val="0"/>
              </w:rPr>
            </w:pPr>
            <w:r w:rsidRPr="00295986">
              <w:t>0</w:t>
            </w:r>
            <w:r w:rsidR="00D7157D">
              <w:t>.</w:t>
            </w:r>
            <w:r w:rsidRPr="00295986">
              <w:t>5324</w:t>
            </w:r>
          </w:p>
        </w:tc>
        <w:tc>
          <w:tcPr>
            <w:tcW w:w="909" w:type="pct"/>
            <w:tcBorders>
              <w:top w:val="single" w:sz="4" w:space="0" w:color="auto"/>
              <w:bottom w:val="single" w:sz="4" w:space="0" w:color="auto"/>
            </w:tcBorders>
            <w:vAlign w:val="bottom"/>
          </w:tcPr>
          <w:p w14:paraId="44A7CE2B" w14:textId="77777777" w:rsidR="009158D7" w:rsidRPr="000F120F" w:rsidRDefault="009158D7" w:rsidP="00F36942">
            <w:pPr>
              <w:pStyle w:val="Tabletext"/>
              <w:rPr>
                <w:snapToGrid w:val="0"/>
              </w:rPr>
            </w:pPr>
            <w:r w:rsidRPr="00295986">
              <w:t>8</w:t>
            </w:r>
            <w:r w:rsidR="00D7157D">
              <w:t>.</w:t>
            </w:r>
            <w:r w:rsidRPr="00295986">
              <w:t>4901</w:t>
            </w:r>
          </w:p>
        </w:tc>
        <w:tc>
          <w:tcPr>
            <w:tcW w:w="908" w:type="pct"/>
            <w:tcBorders>
              <w:top w:val="single" w:sz="4" w:space="0" w:color="auto"/>
              <w:bottom w:val="single" w:sz="4" w:space="0" w:color="auto"/>
            </w:tcBorders>
            <w:vAlign w:val="bottom"/>
          </w:tcPr>
          <w:p w14:paraId="749D1E9C" w14:textId="77777777" w:rsidR="009158D7" w:rsidRPr="000F120F" w:rsidRDefault="009158D7" w:rsidP="00F36942">
            <w:pPr>
              <w:pStyle w:val="Tabletext"/>
              <w:rPr>
                <w:snapToGrid w:val="0"/>
              </w:rPr>
            </w:pPr>
            <w:r w:rsidRPr="00295986">
              <w:t>0</w:t>
            </w:r>
            <w:r w:rsidR="00D7157D">
              <w:t>.</w:t>
            </w:r>
            <w:r w:rsidRPr="00295986">
              <w:t>1352</w:t>
            </w:r>
          </w:p>
        </w:tc>
      </w:tr>
      <w:tr w:rsidR="009158D7" w:rsidRPr="009E2595" w14:paraId="531A14E6" w14:textId="77777777" w:rsidTr="00F36942">
        <w:trPr>
          <w:cantSplit/>
        </w:trPr>
        <w:tc>
          <w:tcPr>
            <w:tcW w:w="1365" w:type="pct"/>
            <w:tcBorders>
              <w:top w:val="single" w:sz="4" w:space="0" w:color="auto"/>
              <w:bottom w:val="single" w:sz="4" w:space="0" w:color="auto"/>
            </w:tcBorders>
          </w:tcPr>
          <w:p w14:paraId="4D7E38AD" w14:textId="77777777" w:rsidR="009158D7" w:rsidRPr="00616B26" w:rsidRDefault="009158D7" w:rsidP="00F36942">
            <w:pPr>
              <w:pStyle w:val="Tabletext"/>
              <w:rPr>
                <w:snapToGrid w:val="0"/>
              </w:rPr>
            </w:pPr>
            <w:r w:rsidRPr="00616B26">
              <w:rPr>
                <w:snapToGrid w:val="0"/>
              </w:rPr>
              <w:t>84</w:t>
            </w:r>
          </w:p>
        </w:tc>
        <w:tc>
          <w:tcPr>
            <w:tcW w:w="909" w:type="pct"/>
            <w:tcBorders>
              <w:top w:val="single" w:sz="4" w:space="0" w:color="auto"/>
              <w:bottom w:val="single" w:sz="4" w:space="0" w:color="auto"/>
            </w:tcBorders>
            <w:vAlign w:val="bottom"/>
          </w:tcPr>
          <w:p w14:paraId="7E512B32" w14:textId="77777777" w:rsidR="009158D7" w:rsidRPr="000F120F" w:rsidRDefault="009158D7" w:rsidP="00F36942">
            <w:pPr>
              <w:pStyle w:val="Tabletext"/>
              <w:rPr>
                <w:snapToGrid w:val="0"/>
              </w:rPr>
            </w:pPr>
            <w:r w:rsidRPr="00295986">
              <w:t>6</w:t>
            </w:r>
            <w:r w:rsidR="00D7157D">
              <w:t>.</w:t>
            </w:r>
            <w:r w:rsidRPr="00295986">
              <w:t>8717</w:t>
            </w:r>
          </w:p>
        </w:tc>
        <w:tc>
          <w:tcPr>
            <w:tcW w:w="909" w:type="pct"/>
            <w:tcBorders>
              <w:top w:val="single" w:sz="4" w:space="0" w:color="auto"/>
              <w:bottom w:val="single" w:sz="4" w:space="0" w:color="auto"/>
            </w:tcBorders>
            <w:vAlign w:val="bottom"/>
          </w:tcPr>
          <w:p w14:paraId="0AF32204" w14:textId="77777777" w:rsidR="009158D7" w:rsidRPr="000F120F" w:rsidRDefault="009158D7" w:rsidP="00F36942">
            <w:pPr>
              <w:pStyle w:val="Tabletext"/>
              <w:rPr>
                <w:snapToGrid w:val="0"/>
              </w:rPr>
            </w:pPr>
            <w:r w:rsidRPr="00295986">
              <w:t>0</w:t>
            </w:r>
            <w:r w:rsidR="00D7157D">
              <w:t>.</w:t>
            </w:r>
            <w:r w:rsidRPr="00295986">
              <w:t>5213</w:t>
            </w:r>
          </w:p>
        </w:tc>
        <w:tc>
          <w:tcPr>
            <w:tcW w:w="909" w:type="pct"/>
            <w:tcBorders>
              <w:top w:val="single" w:sz="4" w:space="0" w:color="auto"/>
              <w:bottom w:val="single" w:sz="4" w:space="0" w:color="auto"/>
            </w:tcBorders>
            <w:vAlign w:val="bottom"/>
          </w:tcPr>
          <w:p w14:paraId="2C6CA8E1" w14:textId="77777777" w:rsidR="009158D7" w:rsidRPr="000F120F" w:rsidRDefault="009158D7" w:rsidP="00F36942">
            <w:pPr>
              <w:pStyle w:val="Tabletext"/>
              <w:rPr>
                <w:snapToGrid w:val="0"/>
              </w:rPr>
            </w:pPr>
            <w:r w:rsidRPr="00295986">
              <w:t>7</w:t>
            </w:r>
            <w:r w:rsidR="00D7157D">
              <w:t>.</w:t>
            </w:r>
            <w:r w:rsidRPr="00295986">
              <w:t>9573</w:t>
            </w:r>
          </w:p>
        </w:tc>
        <w:tc>
          <w:tcPr>
            <w:tcW w:w="908" w:type="pct"/>
            <w:tcBorders>
              <w:top w:val="single" w:sz="4" w:space="0" w:color="auto"/>
              <w:bottom w:val="single" w:sz="4" w:space="0" w:color="auto"/>
            </w:tcBorders>
            <w:vAlign w:val="bottom"/>
          </w:tcPr>
          <w:p w14:paraId="5F9786C5" w14:textId="77777777" w:rsidR="009158D7" w:rsidRPr="000F120F" w:rsidRDefault="009158D7" w:rsidP="00F36942">
            <w:pPr>
              <w:pStyle w:val="Tabletext"/>
              <w:rPr>
                <w:snapToGrid w:val="0"/>
              </w:rPr>
            </w:pPr>
            <w:r w:rsidRPr="00295986">
              <w:t>0</w:t>
            </w:r>
            <w:r w:rsidR="00D7157D">
              <w:t>.</w:t>
            </w:r>
            <w:r w:rsidRPr="00295986">
              <w:t>1329</w:t>
            </w:r>
          </w:p>
        </w:tc>
      </w:tr>
      <w:tr w:rsidR="009158D7" w:rsidRPr="009E2595" w14:paraId="5F65E6D9" w14:textId="77777777" w:rsidTr="00F36942">
        <w:trPr>
          <w:cantSplit/>
        </w:trPr>
        <w:tc>
          <w:tcPr>
            <w:tcW w:w="1365" w:type="pct"/>
            <w:tcBorders>
              <w:top w:val="single" w:sz="4" w:space="0" w:color="auto"/>
              <w:bottom w:val="single" w:sz="4" w:space="0" w:color="auto"/>
            </w:tcBorders>
          </w:tcPr>
          <w:p w14:paraId="2AA09386" w14:textId="77777777" w:rsidR="009158D7" w:rsidRPr="00616B26" w:rsidRDefault="009158D7" w:rsidP="00F36942">
            <w:pPr>
              <w:pStyle w:val="Tabletext"/>
              <w:rPr>
                <w:snapToGrid w:val="0"/>
              </w:rPr>
            </w:pPr>
            <w:r w:rsidRPr="00616B26">
              <w:rPr>
                <w:snapToGrid w:val="0"/>
              </w:rPr>
              <w:t>85</w:t>
            </w:r>
          </w:p>
        </w:tc>
        <w:tc>
          <w:tcPr>
            <w:tcW w:w="909" w:type="pct"/>
            <w:tcBorders>
              <w:top w:val="single" w:sz="4" w:space="0" w:color="auto"/>
              <w:bottom w:val="single" w:sz="4" w:space="0" w:color="auto"/>
            </w:tcBorders>
            <w:vAlign w:val="bottom"/>
          </w:tcPr>
          <w:p w14:paraId="6D483898" w14:textId="77777777" w:rsidR="009158D7" w:rsidRPr="000F120F" w:rsidRDefault="009158D7" w:rsidP="00F36942">
            <w:pPr>
              <w:pStyle w:val="Tabletext"/>
              <w:rPr>
                <w:snapToGrid w:val="0"/>
              </w:rPr>
            </w:pPr>
            <w:r w:rsidRPr="00295986">
              <w:t>6</w:t>
            </w:r>
            <w:r w:rsidR="00D7157D">
              <w:t>.</w:t>
            </w:r>
            <w:r w:rsidRPr="00295986">
              <w:t>4021</w:t>
            </w:r>
          </w:p>
        </w:tc>
        <w:tc>
          <w:tcPr>
            <w:tcW w:w="909" w:type="pct"/>
            <w:tcBorders>
              <w:top w:val="single" w:sz="4" w:space="0" w:color="auto"/>
              <w:bottom w:val="single" w:sz="4" w:space="0" w:color="auto"/>
            </w:tcBorders>
            <w:vAlign w:val="bottom"/>
          </w:tcPr>
          <w:p w14:paraId="06B012E9" w14:textId="77777777" w:rsidR="009158D7" w:rsidRPr="000F120F" w:rsidRDefault="009158D7" w:rsidP="00F36942">
            <w:pPr>
              <w:pStyle w:val="Tabletext"/>
              <w:rPr>
                <w:snapToGrid w:val="0"/>
              </w:rPr>
            </w:pPr>
            <w:r w:rsidRPr="00295986">
              <w:t>0</w:t>
            </w:r>
            <w:r w:rsidR="00D7157D">
              <w:t>.</w:t>
            </w:r>
            <w:r w:rsidRPr="00295986">
              <w:t>5087</w:t>
            </w:r>
          </w:p>
        </w:tc>
        <w:tc>
          <w:tcPr>
            <w:tcW w:w="909" w:type="pct"/>
            <w:tcBorders>
              <w:top w:val="single" w:sz="4" w:space="0" w:color="auto"/>
              <w:bottom w:val="single" w:sz="4" w:space="0" w:color="auto"/>
            </w:tcBorders>
            <w:vAlign w:val="bottom"/>
          </w:tcPr>
          <w:p w14:paraId="2BD23981" w14:textId="77777777" w:rsidR="009158D7" w:rsidRPr="000F120F" w:rsidRDefault="009158D7" w:rsidP="00F36942">
            <w:pPr>
              <w:pStyle w:val="Tabletext"/>
              <w:rPr>
                <w:snapToGrid w:val="0"/>
              </w:rPr>
            </w:pPr>
            <w:r w:rsidRPr="00295986">
              <w:t>7</w:t>
            </w:r>
            <w:r w:rsidR="00D7157D">
              <w:t>.</w:t>
            </w:r>
            <w:r w:rsidRPr="00295986">
              <w:t>4354</w:t>
            </w:r>
          </w:p>
        </w:tc>
        <w:tc>
          <w:tcPr>
            <w:tcW w:w="908" w:type="pct"/>
            <w:tcBorders>
              <w:top w:val="single" w:sz="4" w:space="0" w:color="auto"/>
              <w:bottom w:val="single" w:sz="4" w:space="0" w:color="auto"/>
            </w:tcBorders>
            <w:vAlign w:val="bottom"/>
          </w:tcPr>
          <w:p w14:paraId="3AF4E0EE" w14:textId="77777777" w:rsidR="009158D7" w:rsidRPr="000F120F" w:rsidRDefault="009158D7" w:rsidP="00F36942">
            <w:pPr>
              <w:pStyle w:val="Tabletext"/>
              <w:rPr>
                <w:snapToGrid w:val="0"/>
              </w:rPr>
            </w:pPr>
            <w:r w:rsidRPr="00295986">
              <w:t>0</w:t>
            </w:r>
            <w:r w:rsidR="00D7157D">
              <w:t>.</w:t>
            </w:r>
            <w:r w:rsidRPr="00295986">
              <w:t>1305</w:t>
            </w:r>
          </w:p>
        </w:tc>
      </w:tr>
      <w:tr w:rsidR="009158D7" w:rsidRPr="009E2595" w14:paraId="73943CCC" w14:textId="77777777" w:rsidTr="00F36942">
        <w:trPr>
          <w:cantSplit/>
        </w:trPr>
        <w:tc>
          <w:tcPr>
            <w:tcW w:w="1365" w:type="pct"/>
            <w:tcBorders>
              <w:top w:val="single" w:sz="4" w:space="0" w:color="auto"/>
              <w:bottom w:val="single" w:sz="4" w:space="0" w:color="auto"/>
            </w:tcBorders>
          </w:tcPr>
          <w:p w14:paraId="6355EB3F" w14:textId="77777777" w:rsidR="009158D7" w:rsidRPr="00616B26" w:rsidRDefault="009158D7" w:rsidP="00F36942">
            <w:pPr>
              <w:pStyle w:val="Tabletext"/>
              <w:rPr>
                <w:snapToGrid w:val="0"/>
              </w:rPr>
            </w:pPr>
            <w:r w:rsidRPr="00616B26">
              <w:rPr>
                <w:snapToGrid w:val="0"/>
              </w:rPr>
              <w:t>86</w:t>
            </w:r>
          </w:p>
        </w:tc>
        <w:tc>
          <w:tcPr>
            <w:tcW w:w="909" w:type="pct"/>
            <w:tcBorders>
              <w:top w:val="single" w:sz="4" w:space="0" w:color="auto"/>
              <w:bottom w:val="single" w:sz="4" w:space="0" w:color="auto"/>
            </w:tcBorders>
            <w:vAlign w:val="bottom"/>
          </w:tcPr>
          <w:p w14:paraId="722EB69C" w14:textId="77777777" w:rsidR="009158D7" w:rsidRPr="000F120F" w:rsidRDefault="009158D7" w:rsidP="00F36942">
            <w:pPr>
              <w:pStyle w:val="Tabletext"/>
              <w:rPr>
                <w:snapToGrid w:val="0"/>
              </w:rPr>
            </w:pPr>
            <w:r w:rsidRPr="00295986">
              <w:t>5</w:t>
            </w:r>
            <w:r w:rsidR="00D7157D">
              <w:t>.</w:t>
            </w:r>
            <w:r w:rsidRPr="00295986">
              <w:t>9560</w:t>
            </w:r>
          </w:p>
        </w:tc>
        <w:tc>
          <w:tcPr>
            <w:tcW w:w="909" w:type="pct"/>
            <w:tcBorders>
              <w:top w:val="single" w:sz="4" w:space="0" w:color="auto"/>
              <w:bottom w:val="single" w:sz="4" w:space="0" w:color="auto"/>
            </w:tcBorders>
            <w:vAlign w:val="bottom"/>
          </w:tcPr>
          <w:p w14:paraId="05208001" w14:textId="77777777" w:rsidR="009158D7" w:rsidRPr="000F120F" w:rsidRDefault="009158D7" w:rsidP="00F36942">
            <w:pPr>
              <w:pStyle w:val="Tabletext"/>
              <w:rPr>
                <w:snapToGrid w:val="0"/>
              </w:rPr>
            </w:pPr>
            <w:r w:rsidRPr="00295986">
              <w:t>0</w:t>
            </w:r>
            <w:r w:rsidR="00D7157D">
              <w:t>.</w:t>
            </w:r>
            <w:r w:rsidRPr="00295986">
              <w:t>4945</w:t>
            </w:r>
          </w:p>
        </w:tc>
        <w:tc>
          <w:tcPr>
            <w:tcW w:w="909" w:type="pct"/>
            <w:tcBorders>
              <w:top w:val="single" w:sz="4" w:space="0" w:color="auto"/>
              <w:bottom w:val="single" w:sz="4" w:space="0" w:color="auto"/>
            </w:tcBorders>
            <w:vAlign w:val="bottom"/>
          </w:tcPr>
          <w:p w14:paraId="4ADB4742" w14:textId="77777777" w:rsidR="009158D7" w:rsidRPr="000F120F" w:rsidRDefault="009158D7" w:rsidP="00F36942">
            <w:pPr>
              <w:pStyle w:val="Tabletext"/>
              <w:rPr>
                <w:snapToGrid w:val="0"/>
              </w:rPr>
            </w:pPr>
            <w:r w:rsidRPr="00295986">
              <w:t>6</w:t>
            </w:r>
            <w:r w:rsidR="00D7157D">
              <w:t>.</w:t>
            </w:r>
            <w:r w:rsidRPr="00295986">
              <w:t>9234</w:t>
            </w:r>
          </w:p>
        </w:tc>
        <w:tc>
          <w:tcPr>
            <w:tcW w:w="908" w:type="pct"/>
            <w:tcBorders>
              <w:top w:val="single" w:sz="4" w:space="0" w:color="auto"/>
              <w:bottom w:val="single" w:sz="4" w:space="0" w:color="auto"/>
            </w:tcBorders>
            <w:vAlign w:val="bottom"/>
          </w:tcPr>
          <w:p w14:paraId="59497ED9" w14:textId="77777777" w:rsidR="009158D7" w:rsidRPr="000F120F" w:rsidRDefault="009158D7" w:rsidP="00F36942">
            <w:pPr>
              <w:pStyle w:val="Tabletext"/>
              <w:rPr>
                <w:snapToGrid w:val="0"/>
              </w:rPr>
            </w:pPr>
            <w:r w:rsidRPr="00295986">
              <w:t>0</w:t>
            </w:r>
            <w:r w:rsidR="00D7157D">
              <w:t>.</w:t>
            </w:r>
            <w:r w:rsidRPr="00295986">
              <w:t>1281</w:t>
            </w:r>
          </w:p>
        </w:tc>
      </w:tr>
      <w:tr w:rsidR="009158D7" w:rsidRPr="009E2595" w14:paraId="408C0EC7" w14:textId="77777777" w:rsidTr="00F36942">
        <w:trPr>
          <w:cantSplit/>
        </w:trPr>
        <w:tc>
          <w:tcPr>
            <w:tcW w:w="1365" w:type="pct"/>
            <w:tcBorders>
              <w:top w:val="single" w:sz="4" w:space="0" w:color="auto"/>
              <w:bottom w:val="single" w:sz="4" w:space="0" w:color="auto"/>
            </w:tcBorders>
          </w:tcPr>
          <w:p w14:paraId="18ED4284" w14:textId="77777777" w:rsidR="009158D7" w:rsidRPr="00616B26" w:rsidRDefault="009158D7" w:rsidP="00F36942">
            <w:pPr>
              <w:pStyle w:val="Tabletext"/>
              <w:rPr>
                <w:snapToGrid w:val="0"/>
              </w:rPr>
            </w:pPr>
            <w:r w:rsidRPr="00616B26">
              <w:rPr>
                <w:snapToGrid w:val="0"/>
              </w:rPr>
              <w:t>87</w:t>
            </w:r>
          </w:p>
        </w:tc>
        <w:tc>
          <w:tcPr>
            <w:tcW w:w="909" w:type="pct"/>
            <w:tcBorders>
              <w:top w:val="single" w:sz="4" w:space="0" w:color="auto"/>
              <w:bottom w:val="single" w:sz="4" w:space="0" w:color="auto"/>
            </w:tcBorders>
            <w:vAlign w:val="bottom"/>
          </w:tcPr>
          <w:p w14:paraId="611D84B6" w14:textId="77777777" w:rsidR="009158D7" w:rsidRPr="000F120F" w:rsidRDefault="009158D7" w:rsidP="00F36942">
            <w:pPr>
              <w:pStyle w:val="Tabletext"/>
              <w:rPr>
                <w:snapToGrid w:val="0"/>
              </w:rPr>
            </w:pPr>
            <w:r w:rsidRPr="00295986">
              <w:t>5</w:t>
            </w:r>
            <w:r w:rsidR="00D7157D">
              <w:t>.</w:t>
            </w:r>
            <w:r w:rsidRPr="00295986">
              <w:t>5327</w:t>
            </w:r>
          </w:p>
        </w:tc>
        <w:tc>
          <w:tcPr>
            <w:tcW w:w="909" w:type="pct"/>
            <w:tcBorders>
              <w:top w:val="single" w:sz="4" w:space="0" w:color="auto"/>
              <w:bottom w:val="single" w:sz="4" w:space="0" w:color="auto"/>
            </w:tcBorders>
            <w:vAlign w:val="bottom"/>
          </w:tcPr>
          <w:p w14:paraId="44793440" w14:textId="77777777" w:rsidR="009158D7" w:rsidRPr="000F120F" w:rsidRDefault="009158D7" w:rsidP="00F36942">
            <w:pPr>
              <w:pStyle w:val="Tabletext"/>
              <w:rPr>
                <w:snapToGrid w:val="0"/>
              </w:rPr>
            </w:pPr>
            <w:r w:rsidRPr="00295986">
              <w:t>0</w:t>
            </w:r>
            <w:r w:rsidR="00D7157D">
              <w:t>.</w:t>
            </w:r>
            <w:r w:rsidRPr="00295986">
              <w:t>4791</w:t>
            </w:r>
          </w:p>
        </w:tc>
        <w:tc>
          <w:tcPr>
            <w:tcW w:w="909" w:type="pct"/>
            <w:tcBorders>
              <w:top w:val="single" w:sz="4" w:space="0" w:color="auto"/>
              <w:bottom w:val="single" w:sz="4" w:space="0" w:color="auto"/>
            </w:tcBorders>
            <w:vAlign w:val="bottom"/>
          </w:tcPr>
          <w:p w14:paraId="78D657EF" w14:textId="77777777" w:rsidR="009158D7" w:rsidRPr="000F120F" w:rsidRDefault="009158D7" w:rsidP="00F36942">
            <w:pPr>
              <w:pStyle w:val="Tabletext"/>
              <w:rPr>
                <w:snapToGrid w:val="0"/>
              </w:rPr>
            </w:pPr>
            <w:r w:rsidRPr="00295986">
              <w:t>6</w:t>
            </w:r>
            <w:r w:rsidR="00D7157D">
              <w:t>.</w:t>
            </w:r>
            <w:r w:rsidRPr="00295986">
              <w:t>4320</w:t>
            </w:r>
          </w:p>
        </w:tc>
        <w:tc>
          <w:tcPr>
            <w:tcW w:w="908" w:type="pct"/>
            <w:tcBorders>
              <w:top w:val="single" w:sz="4" w:space="0" w:color="auto"/>
              <w:bottom w:val="single" w:sz="4" w:space="0" w:color="auto"/>
            </w:tcBorders>
            <w:vAlign w:val="bottom"/>
          </w:tcPr>
          <w:p w14:paraId="51F8601D" w14:textId="77777777" w:rsidR="009158D7" w:rsidRPr="000F120F" w:rsidRDefault="009158D7" w:rsidP="00F36942">
            <w:pPr>
              <w:pStyle w:val="Tabletext"/>
              <w:rPr>
                <w:snapToGrid w:val="0"/>
              </w:rPr>
            </w:pPr>
            <w:r w:rsidRPr="00295986">
              <w:t>0</w:t>
            </w:r>
            <w:r w:rsidR="00D7157D">
              <w:t>.</w:t>
            </w:r>
            <w:r w:rsidRPr="00295986">
              <w:t>1255</w:t>
            </w:r>
          </w:p>
        </w:tc>
      </w:tr>
      <w:tr w:rsidR="009158D7" w:rsidRPr="009E2595" w14:paraId="406ACC5B" w14:textId="77777777" w:rsidTr="00F36942">
        <w:trPr>
          <w:cantSplit/>
        </w:trPr>
        <w:tc>
          <w:tcPr>
            <w:tcW w:w="1365" w:type="pct"/>
            <w:tcBorders>
              <w:top w:val="single" w:sz="4" w:space="0" w:color="auto"/>
              <w:bottom w:val="single" w:sz="4" w:space="0" w:color="auto"/>
            </w:tcBorders>
          </w:tcPr>
          <w:p w14:paraId="581FC4C1" w14:textId="77777777" w:rsidR="009158D7" w:rsidRPr="00616B26" w:rsidRDefault="009158D7" w:rsidP="00F36942">
            <w:pPr>
              <w:pStyle w:val="Tabletext"/>
              <w:rPr>
                <w:snapToGrid w:val="0"/>
              </w:rPr>
            </w:pPr>
            <w:r w:rsidRPr="00616B26">
              <w:rPr>
                <w:snapToGrid w:val="0"/>
              </w:rPr>
              <w:t>88</w:t>
            </w:r>
          </w:p>
        </w:tc>
        <w:tc>
          <w:tcPr>
            <w:tcW w:w="909" w:type="pct"/>
            <w:tcBorders>
              <w:top w:val="single" w:sz="4" w:space="0" w:color="auto"/>
              <w:bottom w:val="single" w:sz="4" w:space="0" w:color="auto"/>
            </w:tcBorders>
            <w:vAlign w:val="bottom"/>
          </w:tcPr>
          <w:p w14:paraId="55CBFF7F" w14:textId="77777777" w:rsidR="009158D7" w:rsidRPr="000F120F" w:rsidRDefault="009158D7" w:rsidP="00F36942">
            <w:pPr>
              <w:pStyle w:val="Tabletext"/>
              <w:rPr>
                <w:snapToGrid w:val="0"/>
              </w:rPr>
            </w:pPr>
            <w:r w:rsidRPr="00295986">
              <w:t>5</w:t>
            </w:r>
            <w:r w:rsidR="00D7157D">
              <w:t>.</w:t>
            </w:r>
            <w:r w:rsidRPr="00295986">
              <w:t>1316</w:t>
            </w:r>
          </w:p>
        </w:tc>
        <w:tc>
          <w:tcPr>
            <w:tcW w:w="909" w:type="pct"/>
            <w:tcBorders>
              <w:top w:val="single" w:sz="4" w:space="0" w:color="auto"/>
              <w:bottom w:val="single" w:sz="4" w:space="0" w:color="auto"/>
            </w:tcBorders>
            <w:vAlign w:val="bottom"/>
          </w:tcPr>
          <w:p w14:paraId="0E158DBF" w14:textId="77777777" w:rsidR="009158D7" w:rsidRPr="000F120F" w:rsidRDefault="009158D7" w:rsidP="00F36942">
            <w:pPr>
              <w:pStyle w:val="Tabletext"/>
              <w:rPr>
                <w:snapToGrid w:val="0"/>
              </w:rPr>
            </w:pPr>
            <w:r w:rsidRPr="00295986">
              <w:t>0</w:t>
            </w:r>
            <w:r w:rsidR="00D7157D">
              <w:t>.</w:t>
            </w:r>
            <w:r w:rsidRPr="00295986">
              <w:t>4626</w:t>
            </w:r>
          </w:p>
        </w:tc>
        <w:tc>
          <w:tcPr>
            <w:tcW w:w="909" w:type="pct"/>
            <w:tcBorders>
              <w:top w:val="single" w:sz="4" w:space="0" w:color="auto"/>
              <w:bottom w:val="single" w:sz="4" w:space="0" w:color="auto"/>
            </w:tcBorders>
            <w:vAlign w:val="bottom"/>
          </w:tcPr>
          <w:p w14:paraId="6BEB8D5C" w14:textId="77777777" w:rsidR="009158D7" w:rsidRPr="000F120F" w:rsidRDefault="009158D7" w:rsidP="00F36942">
            <w:pPr>
              <w:pStyle w:val="Tabletext"/>
              <w:rPr>
                <w:snapToGrid w:val="0"/>
              </w:rPr>
            </w:pPr>
            <w:r w:rsidRPr="00295986">
              <w:t>5</w:t>
            </w:r>
            <w:r w:rsidR="00D7157D">
              <w:t>.</w:t>
            </w:r>
            <w:r w:rsidRPr="00295986">
              <w:t>9665</w:t>
            </w:r>
          </w:p>
        </w:tc>
        <w:tc>
          <w:tcPr>
            <w:tcW w:w="908" w:type="pct"/>
            <w:tcBorders>
              <w:top w:val="single" w:sz="4" w:space="0" w:color="auto"/>
              <w:bottom w:val="single" w:sz="4" w:space="0" w:color="auto"/>
            </w:tcBorders>
            <w:vAlign w:val="bottom"/>
          </w:tcPr>
          <w:p w14:paraId="469AEC5F" w14:textId="77777777" w:rsidR="009158D7" w:rsidRPr="000F120F" w:rsidRDefault="009158D7" w:rsidP="00F36942">
            <w:pPr>
              <w:pStyle w:val="Tabletext"/>
              <w:rPr>
                <w:snapToGrid w:val="0"/>
              </w:rPr>
            </w:pPr>
            <w:r w:rsidRPr="00295986">
              <w:t>0</w:t>
            </w:r>
            <w:r w:rsidR="00D7157D">
              <w:t>.</w:t>
            </w:r>
            <w:r w:rsidRPr="00295986">
              <w:t>1227</w:t>
            </w:r>
          </w:p>
        </w:tc>
      </w:tr>
      <w:tr w:rsidR="009158D7" w:rsidRPr="009E2595" w14:paraId="4B70A6AD" w14:textId="77777777" w:rsidTr="00F36942">
        <w:trPr>
          <w:cantSplit/>
        </w:trPr>
        <w:tc>
          <w:tcPr>
            <w:tcW w:w="1365" w:type="pct"/>
            <w:tcBorders>
              <w:top w:val="single" w:sz="4" w:space="0" w:color="auto"/>
              <w:bottom w:val="single" w:sz="4" w:space="0" w:color="auto"/>
            </w:tcBorders>
          </w:tcPr>
          <w:p w14:paraId="5C2EA2B6" w14:textId="77777777" w:rsidR="009158D7" w:rsidRPr="00616B26" w:rsidRDefault="009158D7" w:rsidP="00F36942">
            <w:pPr>
              <w:pStyle w:val="Tabletext"/>
              <w:rPr>
                <w:snapToGrid w:val="0"/>
              </w:rPr>
            </w:pPr>
            <w:r w:rsidRPr="00616B26">
              <w:rPr>
                <w:snapToGrid w:val="0"/>
              </w:rPr>
              <w:t>89</w:t>
            </w:r>
          </w:p>
        </w:tc>
        <w:tc>
          <w:tcPr>
            <w:tcW w:w="909" w:type="pct"/>
            <w:tcBorders>
              <w:top w:val="single" w:sz="4" w:space="0" w:color="auto"/>
              <w:bottom w:val="single" w:sz="4" w:space="0" w:color="auto"/>
            </w:tcBorders>
            <w:vAlign w:val="bottom"/>
          </w:tcPr>
          <w:p w14:paraId="0425104A" w14:textId="77777777" w:rsidR="009158D7" w:rsidRPr="000F120F" w:rsidRDefault="009158D7" w:rsidP="00F36942">
            <w:pPr>
              <w:pStyle w:val="Tabletext"/>
              <w:rPr>
                <w:snapToGrid w:val="0"/>
              </w:rPr>
            </w:pPr>
            <w:r w:rsidRPr="00295986">
              <w:t>4</w:t>
            </w:r>
            <w:r w:rsidR="00D7157D">
              <w:t>.</w:t>
            </w:r>
            <w:r w:rsidRPr="00295986">
              <w:t>7579</w:t>
            </w:r>
          </w:p>
        </w:tc>
        <w:tc>
          <w:tcPr>
            <w:tcW w:w="909" w:type="pct"/>
            <w:tcBorders>
              <w:top w:val="single" w:sz="4" w:space="0" w:color="auto"/>
              <w:bottom w:val="single" w:sz="4" w:space="0" w:color="auto"/>
            </w:tcBorders>
            <w:vAlign w:val="bottom"/>
          </w:tcPr>
          <w:p w14:paraId="1CEE9724" w14:textId="77777777" w:rsidR="009158D7" w:rsidRPr="000F120F" w:rsidRDefault="009158D7" w:rsidP="00F36942">
            <w:pPr>
              <w:pStyle w:val="Tabletext"/>
              <w:rPr>
                <w:snapToGrid w:val="0"/>
              </w:rPr>
            </w:pPr>
            <w:r w:rsidRPr="00295986">
              <w:t>0</w:t>
            </w:r>
            <w:r w:rsidR="00D7157D">
              <w:t>.</w:t>
            </w:r>
            <w:r w:rsidRPr="00295986">
              <w:t>4451</w:t>
            </w:r>
          </w:p>
        </w:tc>
        <w:tc>
          <w:tcPr>
            <w:tcW w:w="909" w:type="pct"/>
            <w:tcBorders>
              <w:top w:val="single" w:sz="4" w:space="0" w:color="auto"/>
              <w:bottom w:val="single" w:sz="4" w:space="0" w:color="auto"/>
            </w:tcBorders>
            <w:vAlign w:val="bottom"/>
          </w:tcPr>
          <w:p w14:paraId="0828F2A9" w14:textId="77777777" w:rsidR="009158D7" w:rsidRPr="000F120F" w:rsidRDefault="009158D7" w:rsidP="00F36942">
            <w:pPr>
              <w:pStyle w:val="Tabletext"/>
              <w:rPr>
                <w:snapToGrid w:val="0"/>
              </w:rPr>
            </w:pPr>
            <w:r w:rsidRPr="00295986">
              <w:t>5</w:t>
            </w:r>
            <w:r w:rsidR="00D7157D">
              <w:t>.</w:t>
            </w:r>
            <w:r w:rsidRPr="00295986">
              <w:t>5334</w:t>
            </w:r>
          </w:p>
        </w:tc>
        <w:tc>
          <w:tcPr>
            <w:tcW w:w="908" w:type="pct"/>
            <w:tcBorders>
              <w:top w:val="single" w:sz="4" w:space="0" w:color="auto"/>
              <w:bottom w:val="single" w:sz="4" w:space="0" w:color="auto"/>
            </w:tcBorders>
            <w:vAlign w:val="bottom"/>
          </w:tcPr>
          <w:p w14:paraId="25F1E1D0" w14:textId="77777777" w:rsidR="009158D7" w:rsidRPr="000F120F" w:rsidRDefault="009158D7" w:rsidP="00F36942">
            <w:pPr>
              <w:pStyle w:val="Tabletext"/>
              <w:rPr>
                <w:snapToGrid w:val="0"/>
              </w:rPr>
            </w:pPr>
            <w:r w:rsidRPr="00295986">
              <w:t>0</w:t>
            </w:r>
            <w:r w:rsidR="00D7157D">
              <w:t>.</w:t>
            </w:r>
            <w:r w:rsidRPr="00295986">
              <w:t>1197</w:t>
            </w:r>
          </w:p>
        </w:tc>
      </w:tr>
      <w:tr w:rsidR="009158D7" w:rsidRPr="009E2595" w14:paraId="33DBCEF0" w14:textId="77777777" w:rsidTr="00F36942">
        <w:trPr>
          <w:cantSplit/>
        </w:trPr>
        <w:tc>
          <w:tcPr>
            <w:tcW w:w="1365" w:type="pct"/>
            <w:tcBorders>
              <w:top w:val="single" w:sz="4" w:space="0" w:color="auto"/>
              <w:bottom w:val="single" w:sz="4" w:space="0" w:color="auto"/>
            </w:tcBorders>
          </w:tcPr>
          <w:p w14:paraId="3BB72AF1" w14:textId="77777777" w:rsidR="009158D7" w:rsidRPr="00616B26" w:rsidRDefault="009158D7" w:rsidP="00F36942">
            <w:pPr>
              <w:pStyle w:val="Tabletext"/>
              <w:rPr>
                <w:snapToGrid w:val="0"/>
              </w:rPr>
            </w:pPr>
            <w:r w:rsidRPr="00616B26">
              <w:rPr>
                <w:snapToGrid w:val="0"/>
              </w:rPr>
              <w:t>90</w:t>
            </w:r>
          </w:p>
        </w:tc>
        <w:tc>
          <w:tcPr>
            <w:tcW w:w="909" w:type="pct"/>
            <w:tcBorders>
              <w:top w:val="single" w:sz="4" w:space="0" w:color="auto"/>
              <w:bottom w:val="single" w:sz="4" w:space="0" w:color="auto"/>
            </w:tcBorders>
            <w:vAlign w:val="bottom"/>
          </w:tcPr>
          <w:p w14:paraId="7CF72F32" w14:textId="77777777" w:rsidR="009158D7" w:rsidRPr="000F120F" w:rsidRDefault="009158D7" w:rsidP="00F36942">
            <w:pPr>
              <w:pStyle w:val="Tabletext"/>
              <w:rPr>
                <w:snapToGrid w:val="0"/>
              </w:rPr>
            </w:pPr>
            <w:r w:rsidRPr="00295986">
              <w:t>4</w:t>
            </w:r>
            <w:r w:rsidR="00D7157D">
              <w:t>.</w:t>
            </w:r>
            <w:r w:rsidRPr="00295986">
              <w:t>4089</w:t>
            </w:r>
          </w:p>
        </w:tc>
        <w:tc>
          <w:tcPr>
            <w:tcW w:w="909" w:type="pct"/>
            <w:tcBorders>
              <w:top w:val="single" w:sz="4" w:space="0" w:color="auto"/>
              <w:bottom w:val="single" w:sz="4" w:space="0" w:color="auto"/>
            </w:tcBorders>
            <w:vAlign w:val="bottom"/>
          </w:tcPr>
          <w:p w14:paraId="31DA9497" w14:textId="77777777" w:rsidR="009158D7" w:rsidRPr="000F120F" w:rsidRDefault="009158D7" w:rsidP="00F36942">
            <w:pPr>
              <w:pStyle w:val="Tabletext"/>
              <w:rPr>
                <w:snapToGrid w:val="0"/>
              </w:rPr>
            </w:pPr>
            <w:r w:rsidRPr="00295986">
              <w:t>0</w:t>
            </w:r>
            <w:r w:rsidR="00D7157D">
              <w:t>.</w:t>
            </w:r>
            <w:r w:rsidRPr="00295986">
              <w:t>4270</w:t>
            </w:r>
          </w:p>
        </w:tc>
        <w:tc>
          <w:tcPr>
            <w:tcW w:w="909" w:type="pct"/>
            <w:tcBorders>
              <w:top w:val="single" w:sz="4" w:space="0" w:color="auto"/>
              <w:bottom w:val="single" w:sz="4" w:space="0" w:color="auto"/>
            </w:tcBorders>
            <w:vAlign w:val="bottom"/>
          </w:tcPr>
          <w:p w14:paraId="29832F69" w14:textId="77777777" w:rsidR="009158D7" w:rsidRPr="000F120F" w:rsidRDefault="009158D7" w:rsidP="00F36942">
            <w:pPr>
              <w:pStyle w:val="Tabletext"/>
              <w:rPr>
                <w:snapToGrid w:val="0"/>
              </w:rPr>
            </w:pPr>
            <w:r w:rsidRPr="00295986">
              <w:t>5</w:t>
            </w:r>
            <w:r w:rsidR="00D7157D">
              <w:t>.</w:t>
            </w:r>
            <w:r w:rsidRPr="00295986">
              <w:t>1522</w:t>
            </w:r>
          </w:p>
        </w:tc>
        <w:tc>
          <w:tcPr>
            <w:tcW w:w="908" w:type="pct"/>
            <w:tcBorders>
              <w:top w:val="single" w:sz="4" w:space="0" w:color="auto"/>
              <w:bottom w:val="single" w:sz="4" w:space="0" w:color="auto"/>
            </w:tcBorders>
            <w:vAlign w:val="bottom"/>
          </w:tcPr>
          <w:p w14:paraId="28BE9EB8" w14:textId="77777777" w:rsidR="009158D7" w:rsidRPr="000F120F" w:rsidRDefault="009158D7" w:rsidP="00F36942">
            <w:pPr>
              <w:pStyle w:val="Tabletext"/>
              <w:rPr>
                <w:snapToGrid w:val="0"/>
              </w:rPr>
            </w:pPr>
            <w:r w:rsidRPr="00295986">
              <w:t>0</w:t>
            </w:r>
            <w:r w:rsidR="00D7157D">
              <w:t>.</w:t>
            </w:r>
            <w:r w:rsidRPr="00295986">
              <w:t>1163</w:t>
            </w:r>
          </w:p>
        </w:tc>
      </w:tr>
      <w:tr w:rsidR="009158D7" w:rsidRPr="009E2595" w14:paraId="3656439D" w14:textId="77777777" w:rsidTr="00F36942">
        <w:trPr>
          <w:cantSplit/>
        </w:trPr>
        <w:tc>
          <w:tcPr>
            <w:tcW w:w="1365" w:type="pct"/>
            <w:tcBorders>
              <w:top w:val="single" w:sz="4" w:space="0" w:color="auto"/>
              <w:bottom w:val="single" w:sz="4" w:space="0" w:color="auto"/>
            </w:tcBorders>
          </w:tcPr>
          <w:p w14:paraId="129E9BB7" w14:textId="77777777" w:rsidR="009158D7" w:rsidRPr="00616B26" w:rsidRDefault="009158D7" w:rsidP="00F36942">
            <w:pPr>
              <w:pStyle w:val="Tabletext"/>
              <w:rPr>
                <w:snapToGrid w:val="0"/>
              </w:rPr>
            </w:pPr>
            <w:r w:rsidRPr="00616B26">
              <w:rPr>
                <w:snapToGrid w:val="0"/>
              </w:rPr>
              <w:t>91</w:t>
            </w:r>
          </w:p>
        </w:tc>
        <w:tc>
          <w:tcPr>
            <w:tcW w:w="909" w:type="pct"/>
            <w:tcBorders>
              <w:top w:val="single" w:sz="4" w:space="0" w:color="auto"/>
              <w:bottom w:val="single" w:sz="4" w:space="0" w:color="auto"/>
            </w:tcBorders>
            <w:vAlign w:val="bottom"/>
          </w:tcPr>
          <w:p w14:paraId="69C87CBE" w14:textId="77777777" w:rsidR="009158D7" w:rsidRPr="000F120F" w:rsidRDefault="009158D7" w:rsidP="00F36942">
            <w:pPr>
              <w:pStyle w:val="Tabletext"/>
              <w:rPr>
                <w:snapToGrid w:val="0"/>
              </w:rPr>
            </w:pPr>
            <w:r w:rsidRPr="00295986">
              <w:t>4</w:t>
            </w:r>
            <w:r w:rsidR="00D7157D">
              <w:t>.</w:t>
            </w:r>
            <w:r w:rsidRPr="00295986">
              <w:t>0939</w:t>
            </w:r>
          </w:p>
        </w:tc>
        <w:tc>
          <w:tcPr>
            <w:tcW w:w="909" w:type="pct"/>
            <w:tcBorders>
              <w:top w:val="single" w:sz="4" w:space="0" w:color="auto"/>
              <w:bottom w:val="single" w:sz="4" w:space="0" w:color="auto"/>
            </w:tcBorders>
            <w:vAlign w:val="bottom"/>
          </w:tcPr>
          <w:p w14:paraId="4B6666E1" w14:textId="77777777" w:rsidR="009158D7" w:rsidRPr="000F120F" w:rsidRDefault="009158D7" w:rsidP="00F36942">
            <w:pPr>
              <w:pStyle w:val="Tabletext"/>
              <w:rPr>
                <w:snapToGrid w:val="0"/>
              </w:rPr>
            </w:pPr>
            <w:r w:rsidRPr="00295986">
              <w:t>0</w:t>
            </w:r>
            <w:r w:rsidR="00D7157D">
              <w:t>.</w:t>
            </w:r>
            <w:r w:rsidRPr="00295986">
              <w:t>4082</w:t>
            </w:r>
          </w:p>
        </w:tc>
        <w:tc>
          <w:tcPr>
            <w:tcW w:w="909" w:type="pct"/>
            <w:tcBorders>
              <w:top w:val="single" w:sz="4" w:space="0" w:color="auto"/>
              <w:bottom w:val="single" w:sz="4" w:space="0" w:color="auto"/>
            </w:tcBorders>
            <w:vAlign w:val="bottom"/>
          </w:tcPr>
          <w:p w14:paraId="3285A81F" w14:textId="77777777" w:rsidR="009158D7" w:rsidRPr="000F120F" w:rsidRDefault="009158D7" w:rsidP="00F36942">
            <w:pPr>
              <w:pStyle w:val="Tabletext"/>
              <w:rPr>
                <w:snapToGrid w:val="0"/>
              </w:rPr>
            </w:pPr>
            <w:r w:rsidRPr="00295986">
              <w:t>4</w:t>
            </w:r>
            <w:r w:rsidR="00D7157D">
              <w:t>.</w:t>
            </w:r>
            <w:r w:rsidRPr="00295986">
              <w:t>8007</w:t>
            </w:r>
          </w:p>
        </w:tc>
        <w:tc>
          <w:tcPr>
            <w:tcW w:w="908" w:type="pct"/>
            <w:tcBorders>
              <w:top w:val="single" w:sz="4" w:space="0" w:color="auto"/>
              <w:bottom w:val="single" w:sz="4" w:space="0" w:color="auto"/>
            </w:tcBorders>
            <w:vAlign w:val="bottom"/>
          </w:tcPr>
          <w:p w14:paraId="4C8F73B2" w14:textId="77777777" w:rsidR="009158D7" w:rsidRPr="000F120F" w:rsidRDefault="009158D7" w:rsidP="00F36942">
            <w:pPr>
              <w:pStyle w:val="Tabletext"/>
              <w:rPr>
                <w:snapToGrid w:val="0"/>
              </w:rPr>
            </w:pPr>
            <w:r w:rsidRPr="00295986">
              <w:t>0</w:t>
            </w:r>
            <w:r w:rsidR="00D7157D">
              <w:t>.</w:t>
            </w:r>
            <w:r w:rsidRPr="00295986">
              <w:t>1127</w:t>
            </w:r>
          </w:p>
        </w:tc>
      </w:tr>
      <w:tr w:rsidR="009158D7" w:rsidRPr="009E2595" w14:paraId="328B5575" w14:textId="77777777" w:rsidTr="00F36942">
        <w:trPr>
          <w:cantSplit/>
        </w:trPr>
        <w:tc>
          <w:tcPr>
            <w:tcW w:w="1365" w:type="pct"/>
            <w:tcBorders>
              <w:top w:val="single" w:sz="4" w:space="0" w:color="auto"/>
              <w:bottom w:val="single" w:sz="4" w:space="0" w:color="auto"/>
            </w:tcBorders>
          </w:tcPr>
          <w:p w14:paraId="266CB09C" w14:textId="77777777" w:rsidR="009158D7" w:rsidRPr="00616B26" w:rsidRDefault="009158D7" w:rsidP="00F36942">
            <w:pPr>
              <w:pStyle w:val="Tabletext"/>
              <w:rPr>
                <w:snapToGrid w:val="0"/>
              </w:rPr>
            </w:pPr>
            <w:r w:rsidRPr="00616B26">
              <w:rPr>
                <w:snapToGrid w:val="0"/>
              </w:rPr>
              <w:t>92</w:t>
            </w:r>
          </w:p>
        </w:tc>
        <w:tc>
          <w:tcPr>
            <w:tcW w:w="909" w:type="pct"/>
            <w:tcBorders>
              <w:top w:val="single" w:sz="4" w:space="0" w:color="auto"/>
              <w:bottom w:val="single" w:sz="4" w:space="0" w:color="auto"/>
            </w:tcBorders>
            <w:vAlign w:val="bottom"/>
          </w:tcPr>
          <w:p w14:paraId="32C00A98" w14:textId="77777777" w:rsidR="009158D7" w:rsidRPr="000F120F" w:rsidRDefault="009158D7" w:rsidP="00F36942">
            <w:pPr>
              <w:pStyle w:val="Tabletext"/>
              <w:rPr>
                <w:snapToGrid w:val="0"/>
              </w:rPr>
            </w:pPr>
            <w:r w:rsidRPr="00295986">
              <w:t>3</w:t>
            </w:r>
            <w:r w:rsidR="00D7157D">
              <w:t>.</w:t>
            </w:r>
            <w:r w:rsidRPr="00295986">
              <w:t>8111</w:t>
            </w:r>
          </w:p>
        </w:tc>
        <w:tc>
          <w:tcPr>
            <w:tcW w:w="909" w:type="pct"/>
            <w:tcBorders>
              <w:top w:val="single" w:sz="4" w:space="0" w:color="auto"/>
              <w:bottom w:val="single" w:sz="4" w:space="0" w:color="auto"/>
            </w:tcBorders>
            <w:vAlign w:val="bottom"/>
          </w:tcPr>
          <w:p w14:paraId="0C632C5C" w14:textId="77777777" w:rsidR="009158D7" w:rsidRPr="000F120F" w:rsidRDefault="009158D7" w:rsidP="00F36942">
            <w:pPr>
              <w:pStyle w:val="Tabletext"/>
              <w:rPr>
                <w:snapToGrid w:val="0"/>
              </w:rPr>
            </w:pPr>
            <w:r w:rsidRPr="00295986">
              <w:t>0</w:t>
            </w:r>
            <w:r w:rsidR="00D7157D">
              <w:t>.</w:t>
            </w:r>
            <w:r w:rsidRPr="00295986">
              <w:t>3890</w:t>
            </w:r>
          </w:p>
        </w:tc>
        <w:tc>
          <w:tcPr>
            <w:tcW w:w="909" w:type="pct"/>
            <w:tcBorders>
              <w:top w:val="single" w:sz="4" w:space="0" w:color="auto"/>
              <w:bottom w:val="single" w:sz="4" w:space="0" w:color="auto"/>
            </w:tcBorders>
            <w:vAlign w:val="bottom"/>
          </w:tcPr>
          <w:p w14:paraId="53A96F4E" w14:textId="77777777" w:rsidR="009158D7" w:rsidRPr="000F120F" w:rsidRDefault="009158D7" w:rsidP="00F36942">
            <w:pPr>
              <w:pStyle w:val="Tabletext"/>
              <w:rPr>
                <w:snapToGrid w:val="0"/>
              </w:rPr>
            </w:pPr>
            <w:r w:rsidRPr="00295986">
              <w:t>4</w:t>
            </w:r>
            <w:r w:rsidR="00D7157D">
              <w:t>.</w:t>
            </w:r>
            <w:r w:rsidRPr="00295986">
              <w:t>4801</w:t>
            </w:r>
          </w:p>
        </w:tc>
        <w:tc>
          <w:tcPr>
            <w:tcW w:w="908" w:type="pct"/>
            <w:tcBorders>
              <w:top w:val="single" w:sz="4" w:space="0" w:color="auto"/>
              <w:bottom w:val="single" w:sz="4" w:space="0" w:color="auto"/>
            </w:tcBorders>
            <w:vAlign w:val="bottom"/>
          </w:tcPr>
          <w:p w14:paraId="261FF1C8" w14:textId="77777777" w:rsidR="009158D7" w:rsidRPr="000F120F" w:rsidRDefault="009158D7" w:rsidP="00F36942">
            <w:pPr>
              <w:pStyle w:val="Tabletext"/>
              <w:rPr>
                <w:snapToGrid w:val="0"/>
              </w:rPr>
            </w:pPr>
            <w:r w:rsidRPr="00295986">
              <w:t>0</w:t>
            </w:r>
            <w:r w:rsidR="00D7157D">
              <w:t>.</w:t>
            </w:r>
            <w:r w:rsidRPr="00295986">
              <w:t>1090</w:t>
            </w:r>
          </w:p>
        </w:tc>
      </w:tr>
      <w:tr w:rsidR="009158D7" w:rsidRPr="009E2595" w14:paraId="19B1CABC" w14:textId="77777777" w:rsidTr="00F36942">
        <w:trPr>
          <w:cantSplit/>
        </w:trPr>
        <w:tc>
          <w:tcPr>
            <w:tcW w:w="1365" w:type="pct"/>
            <w:tcBorders>
              <w:top w:val="single" w:sz="4" w:space="0" w:color="auto"/>
              <w:bottom w:val="single" w:sz="4" w:space="0" w:color="auto"/>
            </w:tcBorders>
          </w:tcPr>
          <w:p w14:paraId="265A2E24" w14:textId="77777777" w:rsidR="009158D7" w:rsidRPr="00616B26" w:rsidRDefault="009158D7" w:rsidP="00F36942">
            <w:pPr>
              <w:pStyle w:val="Tabletext"/>
              <w:rPr>
                <w:snapToGrid w:val="0"/>
              </w:rPr>
            </w:pPr>
            <w:r w:rsidRPr="00616B26">
              <w:rPr>
                <w:snapToGrid w:val="0"/>
              </w:rPr>
              <w:t>93</w:t>
            </w:r>
          </w:p>
        </w:tc>
        <w:tc>
          <w:tcPr>
            <w:tcW w:w="909" w:type="pct"/>
            <w:tcBorders>
              <w:top w:val="single" w:sz="4" w:space="0" w:color="auto"/>
              <w:bottom w:val="single" w:sz="4" w:space="0" w:color="auto"/>
            </w:tcBorders>
            <w:vAlign w:val="bottom"/>
          </w:tcPr>
          <w:p w14:paraId="6CA8DD3D" w14:textId="77777777" w:rsidR="009158D7" w:rsidRPr="000F120F" w:rsidRDefault="009158D7" w:rsidP="00F36942">
            <w:pPr>
              <w:pStyle w:val="Tabletext"/>
              <w:rPr>
                <w:snapToGrid w:val="0"/>
              </w:rPr>
            </w:pPr>
            <w:r w:rsidRPr="00295986">
              <w:t>3</w:t>
            </w:r>
            <w:r w:rsidR="00D7157D">
              <w:t>.</w:t>
            </w:r>
            <w:r w:rsidRPr="00295986">
              <w:t>5670</w:t>
            </w:r>
          </w:p>
        </w:tc>
        <w:tc>
          <w:tcPr>
            <w:tcW w:w="909" w:type="pct"/>
            <w:tcBorders>
              <w:top w:val="single" w:sz="4" w:space="0" w:color="auto"/>
              <w:bottom w:val="single" w:sz="4" w:space="0" w:color="auto"/>
            </w:tcBorders>
            <w:vAlign w:val="bottom"/>
          </w:tcPr>
          <w:p w14:paraId="253C55E9" w14:textId="77777777" w:rsidR="009158D7" w:rsidRPr="000F120F" w:rsidRDefault="009158D7" w:rsidP="00F36942">
            <w:pPr>
              <w:pStyle w:val="Tabletext"/>
              <w:rPr>
                <w:snapToGrid w:val="0"/>
              </w:rPr>
            </w:pPr>
            <w:r w:rsidRPr="00295986">
              <w:t>0</w:t>
            </w:r>
            <w:r w:rsidR="00D7157D">
              <w:t>.</w:t>
            </w:r>
            <w:r w:rsidRPr="00295986">
              <w:t>3693</w:t>
            </w:r>
          </w:p>
        </w:tc>
        <w:tc>
          <w:tcPr>
            <w:tcW w:w="909" w:type="pct"/>
            <w:tcBorders>
              <w:top w:val="single" w:sz="4" w:space="0" w:color="auto"/>
              <w:bottom w:val="single" w:sz="4" w:space="0" w:color="auto"/>
            </w:tcBorders>
            <w:vAlign w:val="bottom"/>
          </w:tcPr>
          <w:p w14:paraId="16B8A317" w14:textId="77777777" w:rsidR="009158D7" w:rsidRPr="000F120F" w:rsidRDefault="009158D7" w:rsidP="00F36942">
            <w:pPr>
              <w:pStyle w:val="Tabletext"/>
              <w:rPr>
                <w:snapToGrid w:val="0"/>
              </w:rPr>
            </w:pPr>
            <w:r w:rsidRPr="00295986">
              <w:t>4</w:t>
            </w:r>
            <w:r w:rsidR="00D7157D">
              <w:t>.</w:t>
            </w:r>
            <w:r w:rsidRPr="00295986">
              <w:t>1699</w:t>
            </w:r>
          </w:p>
        </w:tc>
        <w:tc>
          <w:tcPr>
            <w:tcW w:w="908" w:type="pct"/>
            <w:tcBorders>
              <w:top w:val="single" w:sz="4" w:space="0" w:color="auto"/>
              <w:bottom w:val="single" w:sz="4" w:space="0" w:color="auto"/>
            </w:tcBorders>
            <w:vAlign w:val="bottom"/>
          </w:tcPr>
          <w:p w14:paraId="44555BDB" w14:textId="77777777" w:rsidR="009158D7" w:rsidRPr="000F120F" w:rsidRDefault="009158D7" w:rsidP="00F36942">
            <w:pPr>
              <w:pStyle w:val="Tabletext"/>
              <w:rPr>
                <w:snapToGrid w:val="0"/>
              </w:rPr>
            </w:pPr>
            <w:r w:rsidRPr="00295986">
              <w:t>0</w:t>
            </w:r>
            <w:r w:rsidR="00D7157D">
              <w:t>.</w:t>
            </w:r>
            <w:r w:rsidRPr="00295986">
              <w:t>1053</w:t>
            </w:r>
          </w:p>
        </w:tc>
      </w:tr>
      <w:tr w:rsidR="009158D7" w:rsidRPr="009E2595" w14:paraId="044ABDE2" w14:textId="77777777" w:rsidTr="00F36942">
        <w:trPr>
          <w:cantSplit/>
        </w:trPr>
        <w:tc>
          <w:tcPr>
            <w:tcW w:w="1365" w:type="pct"/>
            <w:tcBorders>
              <w:top w:val="single" w:sz="4" w:space="0" w:color="auto"/>
              <w:bottom w:val="single" w:sz="4" w:space="0" w:color="auto"/>
            </w:tcBorders>
          </w:tcPr>
          <w:p w14:paraId="54BB5088" w14:textId="77777777" w:rsidR="009158D7" w:rsidRPr="00616B26" w:rsidRDefault="009158D7" w:rsidP="00F36942">
            <w:pPr>
              <w:pStyle w:val="Tabletext"/>
              <w:rPr>
                <w:snapToGrid w:val="0"/>
              </w:rPr>
            </w:pPr>
            <w:r w:rsidRPr="00616B26">
              <w:rPr>
                <w:snapToGrid w:val="0"/>
              </w:rPr>
              <w:t>94</w:t>
            </w:r>
          </w:p>
        </w:tc>
        <w:tc>
          <w:tcPr>
            <w:tcW w:w="909" w:type="pct"/>
            <w:tcBorders>
              <w:top w:val="single" w:sz="4" w:space="0" w:color="auto"/>
              <w:bottom w:val="single" w:sz="4" w:space="0" w:color="auto"/>
            </w:tcBorders>
            <w:vAlign w:val="bottom"/>
          </w:tcPr>
          <w:p w14:paraId="310D6120" w14:textId="77777777" w:rsidR="009158D7" w:rsidRPr="000F120F" w:rsidRDefault="009158D7" w:rsidP="00F36942">
            <w:pPr>
              <w:pStyle w:val="Tabletext"/>
              <w:rPr>
                <w:snapToGrid w:val="0"/>
              </w:rPr>
            </w:pPr>
            <w:r w:rsidRPr="00295986">
              <w:t>3</w:t>
            </w:r>
            <w:r w:rsidR="00D7157D">
              <w:t>.</w:t>
            </w:r>
            <w:r w:rsidRPr="00295986">
              <w:t>3624</w:t>
            </w:r>
          </w:p>
        </w:tc>
        <w:tc>
          <w:tcPr>
            <w:tcW w:w="909" w:type="pct"/>
            <w:tcBorders>
              <w:top w:val="single" w:sz="4" w:space="0" w:color="auto"/>
              <w:bottom w:val="single" w:sz="4" w:space="0" w:color="auto"/>
            </w:tcBorders>
            <w:vAlign w:val="bottom"/>
          </w:tcPr>
          <w:p w14:paraId="6953DBCB" w14:textId="77777777" w:rsidR="009158D7" w:rsidRPr="000F120F" w:rsidRDefault="009158D7" w:rsidP="00F36942">
            <w:pPr>
              <w:pStyle w:val="Tabletext"/>
              <w:rPr>
                <w:snapToGrid w:val="0"/>
              </w:rPr>
            </w:pPr>
            <w:r w:rsidRPr="00295986">
              <w:t>0</w:t>
            </w:r>
            <w:r w:rsidR="00D7157D">
              <w:t>.</w:t>
            </w:r>
            <w:r w:rsidRPr="00295986">
              <w:t>3488</w:t>
            </w:r>
          </w:p>
        </w:tc>
        <w:tc>
          <w:tcPr>
            <w:tcW w:w="909" w:type="pct"/>
            <w:tcBorders>
              <w:top w:val="single" w:sz="4" w:space="0" w:color="auto"/>
              <w:bottom w:val="single" w:sz="4" w:space="0" w:color="auto"/>
            </w:tcBorders>
            <w:vAlign w:val="bottom"/>
          </w:tcPr>
          <w:p w14:paraId="5123EC69" w14:textId="77777777" w:rsidR="009158D7" w:rsidRPr="000F120F" w:rsidRDefault="009158D7" w:rsidP="00F36942">
            <w:pPr>
              <w:pStyle w:val="Tabletext"/>
              <w:rPr>
                <w:snapToGrid w:val="0"/>
              </w:rPr>
            </w:pPr>
            <w:r w:rsidRPr="00295986">
              <w:t>3</w:t>
            </w:r>
            <w:r w:rsidR="00D7157D">
              <w:t>.</w:t>
            </w:r>
            <w:r w:rsidRPr="00295986">
              <w:t>8718</w:t>
            </w:r>
          </w:p>
        </w:tc>
        <w:tc>
          <w:tcPr>
            <w:tcW w:w="908" w:type="pct"/>
            <w:tcBorders>
              <w:top w:val="single" w:sz="4" w:space="0" w:color="auto"/>
              <w:bottom w:val="single" w:sz="4" w:space="0" w:color="auto"/>
            </w:tcBorders>
            <w:vAlign w:val="bottom"/>
          </w:tcPr>
          <w:p w14:paraId="6A316709" w14:textId="77777777" w:rsidR="009158D7" w:rsidRPr="000F120F" w:rsidRDefault="009158D7" w:rsidP="00F36942">
            <w:pPr>
              <w:pStyle w:val="Tabletext"/>
              <w:rPr>
                <w:snapToGrid w:val="0"/>
              </w:rPr>
            </w:pPr>
            <w:r w:rsidRPr="00295986">
              <w:t>0</w:t>
            </w:r>
            <w:r w:rsidR="00D7157D">
              <w:t>.</w:t>
            </w:r>
            <w:r w:rsidRPr="00295986">
              <w:t>1015</w:t>
            </w:r>
          </w:p>
        </w:tc>
      </w:tr>
      <w:tr w:rsidR="009158D7" w:rsidRPr="009E2595" w14:paraId="067D7A79" w14:textId="77777777" w:rsidTr="00F36942">
        <w:trPr>
          <w:cantSplit/>
        </w:trPr>
        <w:tc>
          <w:tcPr>
            <w:tcW w:w="1365" w:type="pct"/>
            <w:tcBorders>
              <w:top w:val="single" w:sz="4" w:space="0" w:color="auto"/>
              <w:bottom w:val="single" w:sz="4" w:space="0" w:color="auto"/>
            </w:tcBorders>
          </w:tcPr>
          <w:p w14:paraId="42633302" w14:textId="77777777" w:rsidR="009158D7" w:rsidRPr="00616B26" w:rsidRDefault="009158D7" w:rsidP="00F36942">
            <w:pPr>
              <w:pStyle w:val="Tabletext"/>
              <w:rPr>
                <w:snapToGrid w:val="0"/>
              </w:rPr>
            </w:pPr>
            <w:r w:rsidRPr="00616B26">
              <w:rPr>
                <w:snapToGrid w:val="0"/>
              </w:rPr>
              <w:t>95</w:t>
            </w:r>
          </w:p>
        </w:tc>
        <w:tc>
          <w:tcPr>
            <w:tcW w:w="909" w:type="pct"/>
            <w:tcBorders>
              <w:top w:val="single" w:sz="4" w:space="0" w:color="auto"/>
              <w:bottom w:val="single" w:sz="4" w:space="0" w:color="auto"/>
            </w:tcBorders>
            <w:vAlign w:val="bottom"/>
          </w:tcPr>
          <w:p w14:paraId="72A8BE7F" w14:textId="77777777" w:rsidR="009158D7" w:rsidRPr="000F120F" w:rsidRDefault="009158D7" w:rsidP="00F36942">
            <w:pPr>
              <w:pStyle w:val="Tabletext"/>
              <w:rPr>
                <w:snapToGrid w:val="0"/>
              </w:rPr>
            </w:pPr>
            <w:r w:rsidRPr="00295986">
              <w:t>3</w:t>
            </w:r>
            <w:r w:rsidR="00D7157D">
              <w:t>.</w:t>
            </w:r>
            <w:r w:rsidRPr="00295986">
              <w:t>1727</w:t>
            </w:r>
          </w:p>
        </w:tc>
        <w:tc>
          <w:tcPr>
            <w:tcW w:w="909" w:type="pct"/>
            <w:tcBorders>
              <w:top w:val="single" w:sz="4" w:space="0" w:color="auto"/>
              <w:bottom w:val="single" w:sz="4" w:space="0" w:color="auto"/>
            </w:tcBorders>
            <w:vAlign w:val="bottom"/>
          </w:tcPr>
          <w:p w14:paraId="4EA1081F" w14:textId="77777777" w:rsidR="009158D7" w:rsidRPr="000F120F" w:rsidRDefault="009158D7" w:rsidP="00F36942">
            <w:pPr>
              <w:pStyle w:val="Tabletext"/>
              <w:rPr>
                <w:snapToGrid w:val="0"/>
              </w:rPr>
            </w:pPr>
            <w:r w:rsidRPr="00295986">
              <w:t>0</w:t>
            </w:r>
            <w:r w:rsidR="00D7157D">
              <w:t>.</w:t>
            </w:r>
            <w:r w:rsidRPr="00295986">
              <w:t>3284</w:t>
            </w:r>
          </w:p>
        </w:tc>
        <w:tc>
          <w:tcPr>
            <w:tcW w:w="909" w:type="pct"/>
            <w:tcBorders>
              <w:top w:val="single" w:sz="4" w:space="0" w:color="auto"/>
              <w:bottom w:val="single" w:sz="4" w:space="0" w:color="auto"/>
            </w:tcBorders>
            <w:vAlign w:val="bottom"/>
          </w:tcPr>
          <w:p w14:paraId="12C15C04" w14:textId="77777777" w:rsidR="009158D7" w:rsidRPr="000F120F" w:rsidRDefault="009158D7" w:rsidP="00F36942">
            <w:pPr>
              <w:pStyle w:val="Tabletext"/>
              <w:rPr>
                <w:snapToGrid w:val="0"/>
              </w:rPr>
            </w:pPr>
            <w:r w:rsidRPr="00295986">
              <w:t>3</w:t>
            </w:r>
            <w:r w:rsidR="00D7157D">
              <w:t>.</w:t>
            </w:r>
            <w:r w:rsidRPr="00295986">
              <w:t>5969</w:t>
            </w:r>
          </w:p>
        </w:tc>
        <w:tc>
          <w:tcPr>
            <w:tcW w:w="908" w:type="pct"/>
            <w:tcBorders>
              <w:top w:val="single" w:sz="4" w:space="0" w:color="auto"/>
              <w:bottom w:val="single" w:sz="4" w:space="0" w:color="auto"/>
            </w:tcBorders>
            <w:vAlign w:val="bottom"/>
          </w:tcPr>
          <w:p w14:paraId="1EF3B542" w14:textId="77777777" w:rsidR="009158D7" w:rsidRPr="000F120F" w:rsidRDefault="009158D7" w:rsidP="00F36942">
            <w:pPr>
              <w:pStyle w:val="Tabletext"/>
              <w:rPr>
                <w:snapToGrid w:val="0"/>
              </w:rPr>
            </w:pPr>
            <w:r w:rsidRPr="00295986">
              <w:t>0</w:t>
            </w:r>
            <w:r w:rsidR="00D7157D">
              <w:t>.</w:t>
            </w:r>
            <w:r w:rsidRPr="00295986">
              <w:t>0977</w:t>
            </w:r>
          </w:p>
        </w:tc>
      </w:tr>
      <w:tr w:rsidR="009158D7" w:rsidRPr="009E2595" w14:paraId="50FFB1B2" w14:textId="77777777" w:rsidTr="00F36942">
        <w:trPr>
          <w:cantSplit/>
        </w:trPr>
        <w:tc>
          <w:tcPr>
            <w:tcW w:w="1365" w:type="pct"/>
            <w:tcBorders>
              <w:top w:val="single" w:sz="4" w:space="0" w:color="auto"/>
              <w:bottom w:val="single" w:sz="4" w:space="0" w:color="auto"/>
            </w:tcBorders>
          </w:tcPr>
          <w:p w14:paraId="16D0311A" w14:textId="77777777" w:rsidR="009158D7" w:rsidRPr="00616B26" w:rsidRDefault="009158D7" w:rsidP="00F36942">
            <w:pPr>
              <w:pStyle w:val="Tabletext"/>
              <w:rPr>
                <w:snapToGrid w:val="0"/>
              </w:rPr>
            </w:pPr>
            <w:r w:rsidRPr="00616B26">
              <w:rPr>
                <w:snapToGrid w:val="0"/>
              </w:rPr>
              <w:t>96</w:t>
            </w:r>
          </w:p>
        </w:tc>
        <w:tc>
          <w:tcPr>
            <w:tcW w:w="909" w:type="pct"/>
            <w:tcBorders>
              <w:top w:val="single" w:sz="4" w:space="0" w:color="auto"/>
              <w:bottom w:val="single" w:sz="4" w:space="0" w:color="auto"/>
            </w:tcBorders>
            <w:vAlign w:val="bottom"/>
          </w:tcPr>
          <w:p w14:paraId="4BF86E50" w14:textId="77777777" w:rsidR="009158D7" w:rsidRPr="000F120F" w:rsidRDefault="009158D7" w:rsidP="00F36942">
            <w:pPr>
              <w:pStyle w:val="Tabletext"/>
              <w:rPr>
                <w:snapToGrid w:val="0"/>
              </w:rPr>
            </w:pPr>
            <w:r w:rsidRPr="00295986">
              <w:t>2</w:t>
            </w:r>
            <w:r w:rsidR="00D7157D">
              <w:t>.</w:t>
            </w:r>
            <w:r w:rsidRPr="00295986">
              <w:t>9966</w:t>
            </w:r>
          </w:p>
        </w:tc>
        <w:tc>
          <w:tcPr>
            <w:tcW w:w="909" w:type="pct"/>
            <w:tcBorders>
              <w:top w:val="single" w:sz="4" w:space="0" w:color="auto"/>
              <w:bottom w:val="single" w:sz="4" w:space="0" w:color="auto"/>
            </w:tcBorders>
            <w:vAlign w:val="bottom"/>
          </w:tcPr>
          <w:p w14:paraId="14ACD1ED" w14:textId="77777777" w:rsidR="009158D7" w:rsidRPr="000F120F" w:rsidRDefault="009158D7" w:rsidP="00F36942">
            <w:pPr>
              <w:pStyle w:val="Tabletext"/>
              <w:rPr>
                <w:snapToGrid w:val="0"/>
              </w:rPr>
            </w:pPr>
            <w:r w:rsidRPr="00295986">
              <w:t>0</w:t>
            </w:r>
            <w:r w:rsidR="00D7157D">
              <w:t>.</w:t>
            </w:r>
            <w:r w:rsidRPr="00295986">
              <w:t>3080</w:t>
            </w:r>
          </w:p>
        </w:tc>
        <w:tc>
          <w:tcPr>
            <w:tcW w:w="909" w:type="pct"/>
            <w:tcBorders>
              <w:top w:val="single" w:sz="4" w:space="0" w:color="auto"/>
              <w:bottom w:val="single" w:sz="4" w:space="0" w:color="auto"/>
            </w:tcBorders>
            <w:vAlign w:val="bottom"/>
          </w:tcPr>
          <w:p w14:paraId="44FE22ED" w14:textId="77777777" w:rsidR="009158D7" w:rsidRPr="000F120F" w:rsidRDefault="009158D7" w:rsidP="00F36942">
            <w:pPr>
              <w:pStyle w:val="Tabletext"/>
              <w:rPr>
                <w:snapToGrid w:val="0"/>
              </w:rPr>
            </w:pPr>
            <w:r w:rsidRPr="00295986">
              <w:t>3</w:t>
            </w:r>
            <w:r w:rsidR="00D7157D">
              <w:t>.</w:t>
            </w:r>
            <w:r w:rsidRPr="00295986">
              <w:t>3349</w:t>
            </w:r>
          </w:p>
        </w:tc>
        <w:tc>
          <w:tcPr>
            <w:tcW w:w="908" w:type="pct"/>
            <w:tcBorders>
              <w:top w:val="single" w:sz="4" w:space="0" w:color="auto"/>
              <w:bottom w:val="single" w:sz="4" w:space="0" w:color="auto"/>
            </w:tcBorders>
            <w:vAlign w:val="bottom"/>
          </w:tcPr>
          <w:p w14:paraId="648EAFEB" w14:textId="77777777" w:rsidR="009158D7" w:rsidRPr="000F120F" w:rsidRDefault="009158D7" w:rsidP="00F36942">
            <w:pPr>
              <w:pStyle w:val="Tabletext"/>
              <w:rPr>
                <w:snapToGrid w:val="0"/>
              </w:rPr>
            </w:pPr>
            <w:r w:rsidRPr="00295986">
              <w:t>0</w:t>
            </w:r>
            <w:r w:rsidR="00D7157D">
              <w:t>.</w:t>
            </w:r>
            <w:r w:rsidRPr="00295986">
              <w:t>0938</w:t>
            </w:r>
          </w:p>
        </w:tc>
      </w:tr>
      <w:tr w:rsidR="009158D7" w:rsidRPr="009E2595" w14:paraId="30275D9A" w14:textId="77777777" w:rsidTr="00F36942">
        <w:trPr>
          <w:cantSplit/>
        </w:trPr>
        <w:tc>
          <w:tcPr>
            <w:tcW w:w="1365" w:type="pct"/>
            <w:tcBorders>
              <w:top w:val="single" w:sz="4" w:space="0" w:color="auto"/>
              <w:bottom w:val="single" w:sz="4" w:space="0" w:color="auto"/>
            </w:tcBorders>
          </w:tcPr>
          <w:p w14:paraId="7C50E602" w14:textId="77777777" w:rsidR="009158D7" w:rsidRPr="00616B26" w:rsidRDefault="009158D7" w:rsidP="00F36942">
            <w:pPr>
              <w:pStyle w:val="Tabletext"/>
              <w:rPr>
                <w:snapToGrid w:val="0"/>
              </w:rPr>
            </w:pPr>
            <w:r w:rsidRPr="00616B26">
              <w:rPr>
                <w:snapToGrid w:val="0"/>
              </w:rPr>
              <w:t>97</w:t>
            </w:r>
          </w:p>
        </w:tc>
        <w:tc>
          <w:tcPr>
            <w:tcW w:w="909" w:type="pct"/>
            <w:tcBorders>
              <w:top w:val="single" w:sz="4" w:space="0" w:color="auto"/>
              <w:bottom w:val="single" w:sz="4" w:space="0" w:color="auto"/>
            </w:tcBorders>
            <w:vAlign w:val="bottom"/>
          </w:tcPr>
          <w:p w14:paraId="4694CD97" w14:textId="77777777" w:rsidR="009158D7" w:rsidRPr="000F120F" w:rsidRDefault="009158D7" w:rsidP="00F36942">
            <w:pPr>
              <w:pStyle w:val="Tabletext"/>
              <w:rPr>
                <w:snapToGrid w:val="0"/>
              </w:rPr>
            </w:pPr>
            <w:r w:rsidRPr="00295986">
              <w:t>2</w:t>
            </w:r>
            <w:r w:rsidR="00D7157D">
              <w:t>.</w:t>
            </w:r>
            <w:r w:rsidRPr="00295986">
              <w:t>8329</w:t>
            </w:r>
          </w:p>
        </w:tc>
        <w:tc>
          <w:tcPr>
            <w:tcW w:w="909" w:type="pct"/>
            <w:tcBorders>
              <w:top w:val="single" w:sz="4" w:space="0" w:color="auto"/>
              <w:bottom w:val="single" w:sz="4" w:space="0" w:color="auto"/>
            </w:tcBorders>
            <w:vAlign w:val="bottom"/>
          </w:tcPr>
          <w:p w14:paraId="55A0053A" w14:textId="77777777" w:rsidR="009158D7" w:rsidRPr="000F120F" w:rsidRDefault="009158D7" w:rsidP="00F36942">
            <w:pPr>
              <w:pStyle w:val="Tabletext"/>
              <w:rPr>
                <w:snapToGrid w:val="0"/>
              </w:rPr>
            </w:pPr>
            <w:r w:rsidRPr="00295986">
              <w:t>0</w:t>
            </w:r>
            <w:r w:rsidR="00D7157D">
              <w:t>.</w:t>
            </w:r>
            <w:r w:rsidRPr="00295986">
              <w:t>2878</w:t>
            </w:r>
          </w:p>
        </w:tc>
        <w:tc>
          <w:tcPr>
            <w:tcW w:w="909" w:type="pct"/>
            <w:tcBorders>
              <w:top w:val="single" w:sz="4" w:space="0" w:color="auto"/>
              <w:bottom w:val="single" w:sz="4" w:space="0" w:color="auto"/>
            </w:tcBorders>
            <w:vAlign w:val="bottom"/>
          </w:tcPr>
          <w:p w14:paraId="76F56712" w14:textId="77777777" w:rsidR="009158D7" w:rsidRPr="000F120F" w:rsidRDefault="009158D7" w:rsidP="00F36942">
            <w:pPr>
              <w:pStyle w:val="Tabletext"/>
              <w:rPr>
                <w:snapToGrid w:val="0"/>
              </w:rPr>
            </w:pPr>
            <w:r w:rsidRPr="00295986">
              <w:t>3</w:t>
            </w:r>
            <w:r w:rsidR="00D7157D">
              <w:t>.</w:t>
            </w:r>
            <w:r w:rsidRPr="00295986">
              <w:t>0811</w:t>
            </w:r>
          </w:p>
        </w:tc>
        <w:tc>
          <w:tcPr>
            <w:tcW w:w="908" w:type="pct"/>
            <w:tcBorders>
              <w:top w:val="single" w:sz="4" w:space="0" w:color="auto"/>
              <w:bottom w:val="single" w:sz="4" w:space="0" w:color="auto"/>
            </w:tcBorders>
            <w:vAlign w:val="bottom"/>
          </w:tcPr>
          <w:p w14:paraId="3F80180C" w14:textId="77777777" w:rsidR="009158D7" w:rsidRPr="000F120F" w:rsidRDefault="009158D7" w:rsidP="00F36942">
            <w:pPr>
              <w:pStyle w:val="Tabletext"/>
              <w:rPr>
                <w:snapToGrid w:val="0"/>
              </w:rPr>
            </w:pPr>
            <w:r w:rsidRPr="00295986">
              <w:t>0</w:t>
            </w:r>
            <w:r w:rsidR="00D7157D">
              <w:t>.</w:t>
            </w:r>
            <w:r w:rsidRPr="00295986">
              <w:t>0898</w:t>
            </w:r>
          </w:p>
        </w:tc>
      </w:tr>
      <w:tr w:rsidR="009158D7" w:rsidRPr="009E2595" w14:paraId="1B59FA32" w14:textId="77777777" w:rsidTr="00F36942">
        <w:trPr>
          <w:cantSplit/>
        </w:trPr>
        <w:tc>
          <w:tcPr>
            <w:tcW w:w="1365" w:type="pct"/>
            <w:tcBorders>
              <w:top w:val="single" w:sz="4" w:space="0" w:color="auto"/>
              <w:bottom w:val="single" w:sz="4" w:space="0" w:color="auto"/>
            </w:tcBorders>
          </w:tcPr>
          <w:p w14:paraId="713E9D3B" w14:textId="77777777" w:rsidR="009158D7" w:rsidRPr="00616B26" w:rsidRDefault="009158D7" w:rsidP="00F36942">
            <w:pPr>
              <w:pStyle w:val="Tabletext"/>
              <w:rPr>
                <w:snapToGrid w:val="0"/>
              </w:rPr>
            </w:pPr>
            <w:r w:rsidRPr="00616B26">
              <w:rPr>
                <w:snapToGrid w:val="0"/>
              </w:rPr>
              <w:t>98</w:t>
            </w:r>
          </w:p>
        </w:tc>
        <w:tc>
          <w:tcPr>
            <w:tcW w:w="909" w:type="pct"/>
            <w:tcBorders>
              <w:top w:val="single" w:sz="4" w:space="0" w:color="auto"/>
              <w:bottom w:val="single" w:sz="4" w:space="0" w:color="auto"/>
            </w:tcBorders>
            <w:vAlign w:val="bottom"/>
          </w:tcPr>
          <w:p w14:paraId="0A22DACC" w14:textId="77777777" w:rsidR="009158D7" w:rsidRPr="000F120F" w:rsidRDefault="009158D7" w:rsidP="00F36942">
            <w:pPr>
              <w:pStyle w:val="Tabletext"/>
              <w:rPr>
                <w:snapToGrid w:val="0"/>
              </w:rPr>
            </w:pPr>
            <w:r w:rsidRPr="00295986">
              <w:t>2</w:t>
            </w:r>
            <w:r w:rsidR="00D7157D">
              <w:t>.</w:t>
            </w:r>
            <w:r w:rsidRPr="00295986">
              <w:t>6806</w:t>
            </w:r>
          </w:p>
        </w:tc>
        <w:tc>
          <w:tcPr>
            <w:tcW w:w="909" w:type="pct"/>
            <w:tcBorders>
              <w:top w:val="single" w:sz="4" w:space="0" w:color="auto"/>
              <w:bottom w:val="single" w:sz="4" w:space="0" w:color="auto"/>
            </w:tcBorders>
            <w:vAlign w:val="bottom"/>
          </w:tcPr>
          <w:p w14:paraId="7630690C" w14:textId="77777777" w:rsidR="009158D7" w:rsidRPr="000F120F" w:rsidRDefault="009158D7" w:rsidP="00F36942">
            <w:pPr>
              <w:pStyle w:val="Tabletext"/>
              <w:rPr>
                <w:snapToGrid w:val="0"/>
              </w:rPr>
            </w:pPr>
            <w:r w:rsidRPr="00295986">
              <w:t>0</w:t>
            </w:r>
            <w:r w:rsidR="00D7157D">
              <w:t>.</w:t>
            </w:r>
            <w:r w:rsidRPr="00295986">
              <w:t>2674</w:t>
            </w:r>
          </w:p>
        </w:tc>
        <w:tc>
          <w:tcPr>
            <w:tcW w:w="909" w:type="pct"/>
            <w:tcBorders>
              <w:top w:val="single" w:sz="4" w:space="0" w:color="auto"/>
              <w:bottom w:val="single" w:sz="4" w:space="0" w:color="auto"/>
            </w:tcBorders>
            <w:vAlign w:val="bottom"/>
          </w:tcPr>
          <w:p w14:paraId="3A3AE041" w14:textId="77777777" w:rsidR="009158D7" w:rsidRPr="000F120F" w:rsidRDefault="009158D7" w:rsidP="00F36942">
            <w:pPr>
              <w:pStyle w:val="Tabletext"/>
              <w:rPr>
                <w:snapToGrid w:val="0"/>
              </w:rPr>
            </w:pPr>
            <w:r w:rsidRPr="00295986">
              <w:t>2</w:t>
            </w:r>
            <w:r w:rsidR="00D7157D">
              <w:t>.</w:t>
            </w:r>
            <w:r w:rsidRPr="00295986">
              <w:t>8383</w:t>
            </w:r>
          </w:p>
        </w:tc>
        <w:tc>
          <w:tcPr>
            <w:tcW w:w="908" w:type="pct"/>
            <w:tcBorders>
              <w:top w:val="single" w:sz="4" w:space="0" w:color="auto"/>
              <w:bottom w:val="single" w:sz="4" w:space="0" w:color="auto"/>
            </w:tcBorders>
            <w:vAlign w:val="bottom"/>
          </w:tcPr>
          <w:p w14:paraId="7FB9F0DB" w14:textId="77777777" w:rsidR="009158D7" w:rsidRPr="000F120F" w:rsidRDefault="009158D7" w:rsidP="00F36942">
            <w:pPr>
              <w:pStyle w:val="Tabletext"/>
              <w:rPr>
                <w:snapToGrid w:val="0"/>
              </w:rPr>
            </w:pPr>
            <w:r w:rsidRPr="00295986">
              <w:t>0</w:t>
            </w:r>
            <w:r w:rsidR="00D7157D">
              <w:t>.</w:t>
            </w:r>
            <w:r w:rsidRPr="00295986">
              <w:t>0857</w:t>
            </w:r>
          </w:p>
        </w:tc>
      </w:tr>
      <w:tr w:rsidR="009158D7" w:rsidRPr="009E2595" w14:paraId="48F75A93" w14:textId="77777777" w:rsidTr="00F36942">
        <w:trPr>
          <w:cantSplit/>
        </w:trPr>
        <w:tc>
          <w:tcPr>
            <w:tcW w:w="1365" w:type="pct"/>
            <w:tcBorders>
              <w:top w:val="single" w:sz="4" w:space="0" w:color="auto"/>
              <w:bottom w:val="single" w:sz="12" w:space="0" w:color="auto"/>
            </w:tcBorders>
          </w:tcPr>
          <w:p w14:paraId="65E014B9" w14:textId="77777777" w:rsidR="009158D7" w:rsidRPr="00616B26" w:rsidRDefault="00ED15BD" w:rsidP="00F36942">
            <w:pPr>
              <w:pStyle w:val="Tabletext"/>
              <w:rPr>
                <w:snapToGrid w:val="0"/>
              </w:rPr>
            </w:pPr>
            <w:r>
              <w:rPr>
                <w:snapToGrid w:val="0"/>
              </w:rPr>
              <w:t>99 and over</w:t>
            </w:r>
          </w:p>
        </w:tc>
        <w:tc>
          <w:tcPr>
            <w:tcW w:w="909" w:type="pct"/>
            <w:tcBorders>
              <w:top w:val="single" w:sz="4" w:space="0" w:color="auto"/>
              <w:bottom w:val="single" w:sz="12" w:space="0" w:color="auto"/>
            </w:tcBorders>
            <w:vAlign w:val="bottom"/>
          </w:tcPr>
          <w:p w14:paraId="6087DEC3" w14:textId="77777777" w:rsidR="009158D7" w:rsidRPr="000F120F" w:rsidRDefault="009158D7" w:rsidP="00F36942">
            <w:pPr>
              <w:pStyle w:val="Tabletext"/>
              <w:rPr>
                <w:snapToGrid w:val="0"/>
              </w:rPr>
            </w:pPr>
            <w:r w:rsidRPr="00295986">
              <w:t>2</w:t>
            </w:r>
            <w:r w:rsidR="00D7157D">
              <w:t>.</w:t>
            </w:r>
            <w:r w:rsidRPr="00295986">
              <w:t>5386</w:t>
            </w:r>
          </w:p>
        </w:tc>
        <w:tc>
          <w:tcPr>
            <w:tcW w:w="909" w:type="pct"/>
            <w:tcBorders>
              <w:top w:val="single" w:sz="4" w:space="0" w:color="auto"/>
              <w:bottom w:val="single" w:sz="12" w:space="0" w:color="auto"/>
            </w:tcBorders>
            <w:vAlign w:val="bottom"/>
          </w:tcPr>
          <w:p w14:paraId="5779CBB6" w14:textId="77777777" w:rsidR="009158D7" w:rsidRPr="000F120F" w:rsidRDefault="009158D7" w:rsidP="00F36942">
            <w:pPr>
              <w:pStyle w:val="Tabletext"/>
              <w:rPr>
                <w:snapToGrid w:val="0"/>
              </w:rPr>
            </w:pPr>
            <w:r w:rsidRPr="00295986">
              <w:t>0</w:t>
            </w:r>
            <w:r w:rsidR="00D7157D">
              <w:t>.</w:t>
            </w:r>
            <w:r w:rsidRPr="00295986">
              <w:t>2467</w:t>
            </w:r>
          </w:p>
        </w:tc>
        <w:tc>
          <w:tcPr>
            <w:tcW w:w="909" w:type="pct"/>
            <w:tcBorders>
              <w:top w:val="single" w:sz="4" w:space="0" w:color="auto"/>
              <w:bottom w:val="single" w:sz="12" w:space="0" w:color="auto"/>
            </w:tcBorders>
            <w:vAlign w:val="bottom"/>
          </w:tcPr>
          <w:p w14:paraId="7688DC08" w14:textId="77777777" w:rsidR="009158D7" w:rsidRPr="000F120F" w:rsidRDefault="009158D7" w:rsidP="00F36942">
            <w:pPr>
              <w:pStyle w:val="Tabletext"/>
              <w:rPr>
                <w:snapToGrid w:val="0"/>
              </w:rPr>
            </w:pPr>
            <w:r w:rsidRPr="00295986">
              <w:t>2</w:t>
            </w:r>
            <w:r w:rsidR="00D7157D">
              <w:t>.</w:t>
            </w:r>
            <w:r w:rsidRPr="00295986">
              <w:t>6005</w:t>
            </w:r>
          </w:p>
        </w:tc>
        <w:tc>
          <w:tcPr>
            <w:tcW w:w="908" w:type="pct"/>
            <w:tcBorders>
              <w:top w:val="single" w:sz="4" w:space="0" w:color="auto"/>
              <w:bottom w:val="single" w:sz="12" w:space="0" w:color="auto"/>
            </w:tcBorders>
            <w:vAlign w:val="bottom"/>
          </w:tcPr>
          <w:p w14:paraId="7B6E13B7" w14:textId="77777777" w:rsidR="009158D7" w:rsidRPr="000F120F" w:rsidRDefault="009158D7" w:rsidP="00F36942">
            <w:pPr>
              <w:pStyle w:val="Tabletext"/>
              <w:rPr>
                <w:snapToGrid w:val="0"/>
              </w:rPr>
            </w:pPr>
            <w:r w:rsidRPr="00295986">
              <w:t>0</w:t>
            </w:r>
            <w:r w:rsidR="00D7157D">
              <w:t>.</w:t>
            </w:r>
            <w:r w:rsidRPr="00295986">
              <w:t>0814</w:t>
            </w:r>
          </w:p>
        </w:tc>
      </w:tr>
    </w:tbl>
    <w:p w14:paraId="545AA66C" w14:textId="77777777" w:rsidR="00647C6B" w:rsidRPr="00A058B6" w:rsidRDefault="0022507A" w:rsidP="00647C6B">
      <w:pPr>
        <w:pStyle w:val="ActHead5"/>
      </w:pPr>
      <w:bookmarkStart w:id="308" w:name="_Toc188350785"/>
      <w:r w:rsidRPr="00423C34">
        <w:rPr>
          <w:rStyle w:val="CharSectno"/>
        </w:rPr>
        <w:t>8</w:t>
      </w:r>
      <w:r w:rsidR="00647C6B" w:rsidRPr="00A058B6">
        <w:t xml:space="preserve">  Valuation factors—CPI indexed pension plus 1% with 5% cap</w:t>
      </w:r>
      <w:bookmarkEnd w:id="308"/>
    </w:p>
    <w:p w14:paraId="34AF6217"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 is indexed in accordance with the consumer price index plus 1% with a cap of 5%</w:t>
      </w:r>
      <w:r w:rsidR="00D7157D">
        <w:t>.</w:t>
      </w:r>
    </w:p>
    <w:p w14:paraId="4752D290" w14:textId="77777777" w:rsidR="00647C6B" w:rsidRPr="00A058B6" w:rsidRDefault="00647C6B" w:rsidP="00647C6B">
      <w:pPr>
        <w:pStyle w:val="Tabletext"/>
      </w:pPr>
    </w:p>
    <w:tbl>
      <w:tblPr>
        <w:tblW w:w="5000" w:type="pct"/>
        <w:tblLook w:val="0000" w:firstRow="0" w:lastRow="0" w:firstColumn="0" w:lastColumn="0" w:noHBand="0" w:noVBand="0"/>
      </w:tblPr>
      <w:tblGrid>
        <w:gridCol w:w="1889"/>
        <w:gridCol w:w="1606"/>
        <w:gridCol w:w="1606"/>
        <w:gridCol w:w="1606"/>
        <w:gridCol w:w="1606"/>
      </w:tblGrid>
      <w:tr w:rsidR="00647C6B" w:rsidRPr="00A058B6" w14:paraId="31BEB574" w14:textId="77777777" w:rsidTr="00FA26AF">
        <w:trPr>
          <w:cantSplit/>
          <w:trHeight w:val="383"/>
          <w:tblHeader/>
        </w:trPr>
        <w:tc>
          <w:tcPr>
            <w:tcW w:w="1136" w:type="pct"/>
            <w:vMerge w:val="restart"/>
            <w:tcBorders>
              <w:top w:val="single" w:sz="12" w:space="0" w:color="auto"/>
              <w:bottom w:val="single" w:sz="12" w:space="0" w:color="auto"/>
            </w:tcBorders>
          </w:tcPr>
          <w:p w14:paraId="4F64BFB8" w14:textId="77777777" w:rsidR="00647C6B" w:rsidRPr="00A058B6" w:rsidRDefault="00647C6B" w:rsidP="009C0D79">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671BD4C7" w14:textId="77777777" w:rsidR="00647C6B" w:rsidRPr="00A058B6" w:rsidRDefault="00647C6B" w:rsidP="009C0D79">
            <w:pPr>
              <w:pStyle w:val="TableHeading"/>
            </w:pPr>
            <w:r w:rsidRPr="00A058B6">
              <w:t>Valuation factors</w:t>
            </w:r>
            <w:r w:rsidRPr="00A058B6">
              <w:br/>
              <w:t>CPI indexed pension plus 1% with 5% cap</w:t>
            </w:r>
          </w:p>
        </w:tc>
      </w:tr>
      <w:tr w:rsidR="00647C6B" w:rsidRPr="00A058B6" w14:paraId="11BB83A8" w14:textId="77777777" w:rsidTr="00FA26AF">
        <w:trPr>
          <w:cantSplit/>
          <w:trHeight w:val="87"/>
          <w:tblHeader/>
        </w:trPr>
        <w:tc>
          <w:tcPr>
            <w:tcW w:w="1136" w:type="pct"/>
            <w:vMerge/>
            <w:tcBorders>
              <w:bottom w:val="single" w:sz="12" w:space="0" w:color="auto"/>
            </w:tcBorders>
          </w:tcPr>
          <w:p w14:paraId="7C43F0D7" w14:textId="77777777" w:rsidR="00647C6B" w:rsidRPr="00A058B6" w:rsidRDefault="00647C6B" w:rsidP="009C0D79">
            <w:pPr>
              <w:pStyle w:val="TableHeading"/>
            </w:pPr>
          </w:p>
        </w:tc>
        <w:tc>
          <w:tcPr>
            <w:tcW w:w="1932" w:type="pct"/>
            <w:gridSpan w:val="2"/>
            <w:tcBorders>
              <w:top w:val="single" w:sz="4" w:space="0" w:color="auto"/>
              <w:bottom w:val="single" w:sz="4" w:space="0" w:color="auto"/>
            </w:tcBorders>
          </w:tcPr>
          <w:p w14:paraId="557B4FCE" w14:textId="77777777" w:rsidR="00647C6B" w:rsidRPr="00A058B6" w:rsidRDefault="00647C6B" w:rsidP="009C0D79">
            <w:pPr>
              <w:pStyle w:val="TableHeading"/>
            </w:pPr>
            <w:r w:rsidRPr="00A058B6">
              <w:t>Males</w:t>
            </w:r>
          </w:p>
        </w:tc>
        <w:tc>
          <w:tcPr>
            <w:tcW w:w="1932" w:type="pct"/>
            <w:gridSpan w:val="2"/>
            <w:tcBorders>
              <w:top w:val="single" w:sz="4" w:space="0" w:color="auto"/>
              <w:bottom w:val="single" w:sz="4" w:space="0" w:color="auto"/>
            </w:tcBorders>
          </w:tcPr>
          <w:p w14:paraId="76B17AA8" w14:textId="77777777" w:rsidR="00647C6B" w:rsidRPr="00A058B6" w:rsidRDefault="00647C6B" w:rsidP="009C0D79">
            <w:pPr>
              <w:pStyle w:val="TableHeading"/>
            </w:pPr>
            <w:r w:rsidRPr="00A058B6">
              <w:t>Females</w:t>
            </w:r>
          </w:p>
        </w:tc>
      </w:tr>
      <w:tr w:rsidR="00647C6B" w:rsidRPr="00A058B6" w14:paraId="17440409" w14:textId="77777777" w:rsidTr="00FA26AF">
        <w:trPr>
          <w:cantSplit/>
          <w:trHeight w:val="87"/>
          <w:tblHeader/>
        </w:trPr>
        <w:tc>
          <w:tcPr>
            <w:tcW w:w="1136" w:type="pct"/>
            <w:vMerge/>
            <w:tcBorders>
              <w:bottom w:val="single" w:sz="12" w:space="0" w:color="auto"/>
            </w:tcBorders>
          </w:tcPr>
          <w:p w14:paraId="61B68AFD" w14:textId="77777777" w:rsidR="00647C6B" w:rsidRPr="00A058B6" w:rsidRDefault="00647C6B" w:rsidP="009C0D79">
            <w:pPr>
              <w:pStyle w:val="TableHeading"/>
            </w:pPr>
          </w:p>
        </w:tc>
        <w:tc>
          <w:tcPr>
            <w:tcW w:w="966" w:type="pct"/>
            <w:tcBorders>
              <w:top w:val="single" w:sz="4" w:space="0" w:color="auto"/>
              <w:bottom w:val="single" w:sz="12" w:space="0" w:color="auto"/>
            </w:tcBorders>
          </w:tcPr>
          <w:p w14:paraId="32FEE646"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77D4E783" w14:textId="77777777" w:rsidR="00647C6B" w:rsidRPr="00A058B6" w:rsidRDefault="00647C6B" w:rsidP="009C0D79">
            <w:pPr>
              <w:pStyle w:val="TableHeading"/>
            </w:pPr>
            <w:r w:rsidRPr="00A058B6">
              <w:t>Reversion</w:t>
            </w:r>
          </w:p>
        </w:tc>
        <w:tc>
          <w:tcPr>
            <w:tcW w:w="966" w:type="pct"/>
            <w:tcBorders>
              <w:top w:val="single" w:sz="4" w:space="0" w:color="auto"/>
              <w:bottom w:val="single" w:sz="12" w:space="0" w:color="auto"/>
            </w:tcBorders>
          </w:tcPr>
          <w:p w14:paraId="3DC295DC"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6CFBE9C4" w14:textId="77777777" w:rsidR="00647C6B" w:rsidRPr="00A058B6" w:rsidRDefault="00647C6B" w:rsidP="009C0D79">
            <w:pPr>
              <w:pStyle w:val="TableHeading"/>
            </w:pPr>
            <w:r w:rsidRPr="00A058B6">
              <w:t>Reversion</w:t>
            </w:r>
          </w:p>
        </w:tc>
      </w:tr>
      <w:tr w:rsidR="00C217FF" w:rsidRPr="009E2595" w14:paraId="76BF2554" w14:textId="77777777" w:rsidTr="00F36942">
        <w:trPr>
          <w:cantSplit/>
        </w:trPr>
        <w:tc>
          <w:tcPr>
            <w:tcW w:w="1136" w:type="pct"/>
            <w:tcBorders>
              <w:top w:val="single" w:sz="12" w:space="0" w:color="auto"/>
              <w:bottom w:val="single" w:sz="4" w:space="0" w:color="auto"/>
            </w:tcBorders>
          </w:tcPr>
          <w:p w14:paraId="275B7C40" w14:textId="77777777" w:rsidR="00C217FF" w:rsidRPr="00616B26" w:rsidRDefault="00C217FF" w:rsidP="00F36942">
            <w:pPr>
              <w:pStyle w:val="Tabletext"/>
              <w:rPr>
                <w:snapToGrid w:val="0"/>
              </w:rPr>
            </w:pPr>
            <w:r w:rsidRPr="00616B26">
              <w:rPr>
                <w:snapToGrid w:val="0"/>
              </w:rPr>
              <w:t>18</w:t>
            </w:r>
          </w:p>
        </w:tc>
        <w:tc>
          <w:tcPr>
            <w:tcW w:w="966" w:type="pct"/>
            <w:tcBorders>
              <w:top w:val="single" w:sz="12" w:space="0" w:color="auto"/>
              <w:bottom w:val="single" w:sz="4" w:space="0" w:color="auto"/>
            </w:tcBorders>
            <w:vAlign w:val="bottom"/>
          </w:tcPr>
          <w:p w14:paraId="7BBA78D1" w14:textId="77777777" w:rsidR="00C217FF" w:rsidRPr="000F120F" w:rsidRDefault="00C217FF" w:rsidP="00F36942">
            <w:pPr>
              <w:pStyle w:val="Tabletext"/>
              <w:rPr>
                <w:snapToGrid w:val="0"/>
              </w:rPr>
            </w:pPr>
            <w:r w:rsidRPr="00295986">
              <w:t>32</w:t>
            </w:r>
            <w:r w:rsidR="00D7157D">
              <w:t>.</w:t>
            </w:r>
            <w:r w:rsidRPr="00295986">
              <w:t>3410</w:t>
            </w:r>
          </w:p>
        </w:tc>
        <w:tc>
          <w:tcPr>
            <w:tcW w:w="966" w:type="pct"/>
            <w:tcBorders>
              <w:top w:val="single" w:sz="12" w:space="0" w:color="auto"/>
              <w:bottom w:val="single" w:sz="4" w:space="0" w:color="auto"/>
            </w:tcBorders>
            <w:vAlign w:val="bottom"/>
          </w:tcPr>
          <w:p w14:paraId="3BB9D466" w14:textId="77777777" w:rsidR="00C217FF" w:rsidRPr="000F120F" w:rsidRDefault="00C217FF" w:rsidP="00F36942">
            <w:pPr>
              <w:pStyle w:val="Tabletext"/>
              <w:rPr>
                <w:snapToGrid w:val="0"/>
              </w:rPr>
            </w:pPr>
            <w:r w:rsidRPr="00295986">
              <w:t>0</w:t>
            </w:r>
            <w:r w:rsidR="00D7157D">
              <w:t>.</w:t>
            </w:r>
            <w:r w:rsidRPr="00295986">
              <w:t>9964</w:t>
            </w:r>
          </w:p>
        </w:tc>
        <w:tc>
          <w:tcPr>
            <w:tcW w:w="966" w:type="pct"/>
            <w:tcBorders>
              <w:top w:val="single" w:sz="12" w:space="0" w:color="auto"/>
              <w:bottom w:val="single" w:sz="4" w:space="0" w:color="auto"/>
            </w:tcBorders>
            <w:vAlign w:val="bottom"/>
          </w:tcPr>
          <w:p w14:paraId="63162B3D" w14:textId="77777777" w:rsidR="00C217FF" w:rsidRPr="000F120F" w:rsidRDefault="00C217FF" w:rsidP="00F36942">
            <w:pPr>
              <w:pStyle w:val="Tabletext"/>
              <w:rPr>
                <w:snapToGrid w:val="0"/>
              </w:rPr>
            </w:pPr>
            <w:r w:rsidRPr="00295986">
              <w:t>32</w:t>
            </w:r>
            <w:r w:rsidR="00D7157D">
              <w:t>.</w:t>
            </w:r>
            <w:r w:rsidRPr="00295986">
              <w:t>8813</w:t>
            </w:r>
          </w:p>
        </w:tc>
        <w:tc>
          <w:tcPr>
            <w:tcW w:w="966" w:type="pct"/>
            <w:tcBorders>
              <w:top w:val="single" w:sz="12" w:space="0" w:color="auto"/>
              <w:bottom w:val="single" w:sz="4" w:space="0" w:color="auto"/>
            </w:tcBorders>
            <w:vAlign w:val="bottom"/>
          </w:tcPr>
          <w:p w14:paraId="6485A95C" w14:textId="77777777" w:rsidR="00C217FF" w:rsidRPr="000F120F" w:rsidRDefault="00C217FF" w:rsidP="00F36942">
            <w:pPr>
              <w:pStyle w:val="Tabletext"/>
              <w:rPr>
                <w:snapToGrid w:val="0"/>
              </w:rPr>
            </w:pPr>
            <w:r w:rsidRPr="00295986">
              <w:t>0</w:t>
            </w:r>
            <w:r w:rsidR="00D7157D">
              <w:t>.</w:t>
            </w:r>
            <w:r w:rsidRPr="00295986">
              <w:t>3988</w:t>
            </w:r>
          </w:p>
        </w:tc>
      </w:tr>
      <w:tr w:rsidR="00C217FF" w:rsidRPr="009E2595" w14:paraId="42B53175" w14:textId="77777777" w:rsidTr="00F36942">
        <w:trPr>
          <w:cantSplit/>
        </w:trPr>
        <w:tc>
          <w:tcPr>
            <w:tcW w:w="1136" w:type="pct"/>
            <w:tcBorders>
              <w:top w:val="single" w:sz="4" w:space="0" w:color="auto"/>
              <w:bottom w:val="single" w:sz="4" w:space="0" w:color="auto"/>
            </w:tcBorders>
          </w:tcPr>
          <w:p w14:paraId="1E0811D6" w14:textId="77777777" w:rsidR="00C217FF" w:rsidRPr="00616B26" w:rsidRDefault="00C217FF" w:rsidP="00F36942">
            <w:pPr>
              <w:pStyle w:val="Tabletext"/>
              <w:rPr>
                <w:snapToGrid w:val="0"/>
              </w:rPr>
            </w:pPr>
            <w:r w:rsidRPr="00616B26">
              <w:rPr>
                <w:snapToGrid w:val="0"/>
              </w:rPr>
              <w:t>19</w:t>
            </w:r>
          </w:p>
        </w:tc>
        <w:tc>
          <w:tcPr>
            <w:tcW w:w="966" w:type="pct"/>
            <w:tcBorders>
              <w:top w:val="single" w:sz="4" w:space="0" w:color="auto"/>
              <w:bottom w:val="single" w:sz="4" w:space="0" w:color="auto"/>
            </w:tcBorders>
            <w:vAlign w:val="bottom"/>
          </w:tcPr>
          <w:p w14:paraId="36A0FE35" w14:textId="77777777" w:rsidR="00C217FF" w:rsidRPr="000F120F" w:rsidRDefault="00C217FF" w:rsidP="00F36942">
            <w:pPr>
              <w:pStyle w:val="Tabletext"/>
              <w:rPr>
                <w:snapToGrid w:val="0"/>
              </w:rPr>
            </w:pPr>
            <w:r w:rsidRPr="00295986">
              <w:t>32</w:t>
            </w:r>
            <w:r w:rsidR="00D7157D">
              <w:t>.</w:t>
            </w:r>
            <w:r w:rsidRPr="00295986">
              <w:t>1682</w:t>
            </w:r>
          </w:p>
        </w:tc>
        <w:tc>
          <w:tcPr>
            <w:tcW w:w="966" w:type="pct"/>
            <w:tcBorders>
              <w:top w:val="single" w:sz="4" w:space="0" w:color="auto"/>
              <w:bottom w:val="single" w:sz="4" w:space="0" w:color="auto"/>
            </w:tcBorders>
            <w:vAlign w:val="bottom"/>
          </w:tcPr>
          <w:p w14:paraId="59450B52" w14:textId="77777777" w:rsidR="00C217FF" w:rsidRPr="000F120F" w:rsidRDefault="00C217FF" w:rsidP="00F36942">
            <w:pPr>
              <w:pStyle w:val="Tabletext"/>
              <w:rPr>
                <w:snapToGrid w:val="0"/>
              </w:rPr>
            </w:pPr>
            <w:r w:rsidRPr="00295986">
              <w:t>1</w:t>
            </w:r>
            <w:r w:rsidR="00D7157D">
              <w:t>.</w:t>
            </w:r>
            <w:r w:rsidRPr="00295986">
              <w:t>0229</w:t>
            </w:r>
          </w:p>
        </w:tc>
        <w:tc>
          <w:tcPr>
            <w:tcW w:w="966" w:type="pct"/>
            <w:tcBorders>
              <w:top w:val="single" w:sz="4" w:space="0" w:color="auto"/>
              <w:bottom w:val="single" w:sz="4" w:space="0" w:color="auto"/>
            </w:tcBorders>
            <w:vAlign w:val="bottom"/>
          </w:tcPr>
          <w:p w14:paraId="48D04159" w14:textId="77777777" w:rsidR="00C217FF" w:rsidRPr="000F120F" w:rsidRDefault="00C217FF" w:rsidP="00F36942">
            <w:pPr>
              <w:pStyle w:val="Tabletext"/>
              <w:rPr>
                <w:snapToGrid w:val="0"/>
              </w:rPr>
            </w:pPr>
            <w:r w:rsidRPr="00295986">
              <w:t>32</w:t>
            </w:r>
            <w:r w:rsidR="00D7157D">
              <w:t>.</w:t>
            </w:r>
            <w:r w:rsidRPr="00295986">
              <w:t>7206</w:t>
            </w:r>
          </w:p>
        </w:tc>
        <w:tc>
          <w:tcPr>
            <w:tcW w:w="966" w:type="pct"/>
            <w:tcBorders>
              <w:top w:val="single" w:sz="4" w:space="0" w:color="auto"/>
              <w:bottom w:val="single" w:sz="4" w:space="0" w:color="auto"/>
            </w:tcBorders>
            <w:vAlign w:val="bottom"/>
          </w:tcPr>
          <w:p w14:paraId="7867D722" w14:textId="77777777" w:rsidR="00C217FF" w:rsidRPr="000F120F" w:rsidRDefault="00C217FF" w:rsidP="00F36942">
            <w:pPr>
              <w:pStyle w:val="Tabletext"/>
              <w:rPr>
                <w:snapToGrid w:val="0"/>
              </w:rPr>
            </w:pPr>
            <w:r w:rsidRPr="00295986">
              <w:t>0</w:t>
            </w:r>
            <w:r w:rsidR="00D7157D">
              <w:t>.</w:t>
            </w:r>
            <w:r w:rsidRPr="00295986">
              <w:t>4102</w:t>
            </w:r>
          </w:p>
        </w:tc>
      </w:tr>
      <w:tr w:rsidR="00C217FF" w:rsidRPr="009E2595" w14:paraId="2C4FAFB2" w14:textId="77777777" w:rsidTr="00F36942">
        <w:trPr>
          <w:cantSplit/>
        </w:trPr>
        <w:tc>
          <w:tcPr>
            <w:tcW w:w="1136" w:type="pct"/>
            <w:tcBorders>
              <w:top w:val="single" w:sz="4" w:space="0" w:color="auto"/>
              <w:bottom w:val="single" w:sz="4" w:space="0" w:color="auto"/>
            </w:tcBorders>
          </w:tcPr>
          <w:p w14:paraId="3C3723F4" w14:textId="77777777" w:rsidR="00C217FF" w:rsidRPr="00616B26" w:rsidRDefault="00C217FF" w:rsidP="00F36942">
            <w:pPr>
              <w:pStyle w:val="Tabletext"/>
              <w:rPr>
                <w:snapToGrid w:val="0"/>
              </w:rPr>
            </w:pPr>
            <w:r w:rsidRPr="00616B26">
              <w:rPr>
                <w:snapToGrid w:val="0"/>
              </w:rPr>
              <w:t>20</w:t>
            </w:r>
          </w:p>
        </w:tc>
        <w:tc>
          <w:tcPr>
            <w:tcW w:w="966" w:type="pct"/>
            <w:tcBorders>
              <w:top w:val="single" w:sz="4" w:space="0" w:color="auto"/>
              <w:bottom w:val="single" w:sz="4" w:space="0" w:color="auto"/>
            </w:tcBorders>
            <w:vAlign w:val="bottom"/>
          </w:tcPr>
          <w:p w14:paraId="2A6B284D" w14:textId="77777777" w:rsidR="00C217FF" w:rsidRPr="000F120F" w:rsidRDefault="00C217FF" w:rsidP="00F36942">
            <w:pPr>
              <w:pStyle w:val="Tabletext"/>
              <w:rPr>
                <w:snapToGrid w:val="0"/>
              </w:rPr>
            </w:pPr>
            <w:r w:rsidRPr="00295986">
              <w:t>31</w:t>
            </w:r>
            <w:r w:rsidR="00D7157D">
              <w:t>.</w:t>
            </w:r>
            <w:r w:rsidRPr="00295986">
              <w:t>9912</w:t>
            </w:r>
          </w:p>
        </w:tc>
        <w:tc>
          <w:tcPr>
            <w:tcW w:w="966" w:type="pct"/>
            <w:tcBorders>
              <w:top w:val="single" w:sz="4" w:space="0" w:color="auto"/>
              <w:bottom w:val="single" w:sz="4" w:space="0" w:color="auto"/>
            </w:tcBorders>
            <w:vAlign w:val="bottom"/>
          </w:tcPr>
          <w:p w14:paraId="6BF5D196" w14:textId="77777777" w:rsidR="00C217FF" w:rsidRPr="000F120F" w:rsidRDefault="00C217FF" w:rsidP="00F36942">
            <w:pPr>
              <w:pStyle w:val="Tabletext"/>
              <w:rPr>
                <w:snapToGrid w:val="0"/>
              </w:rPr>
            </w:pPr>
            <w:r w:rsidRPr="00295986">
              <w:t>1</w:t>
            </w:r>
            <w:r w:rsidR="00D7157D">
              <w:t>.</w:t>
            </w:r>
            <w:r w:rsidRPr="00295986">
              <w:t>0498</w:t>
            </w:r>
          </w:p>
        </w:tc>
        <w:tc>
          <w:tcPr>
            <w:tcW w:w="966" w:type="pct"/>
            <w:tcBorders>
              <w:top w:val="single" w:sz="4" w:space="0" w:color="auto"/>
              <w:bottom w:val="single" w:sz="4" w:space="0" w:color="auto"/>
            </w:tcBorders>
            <w:vAlign w:val="bottom"/>
          </w:tcPr>
          <w:p w14:paraId="5076497F" w14:textId="77777777" w:rsidR="00C217FF" w:rsidRPr="000F120F" w:rsidRDefault="00C217FF" w:rsidP="00F36942">
            <w:pPr>
              <w:pStyle w:val="Tabletext"/>
              <w:rPr>
                <w:snapToGrid w:val="0"/>
              </w:rPr>
            </w:pPr>
            <w:r w:rsidRPr="00295986">
              <w:t>32</w:t>
            </w:r>
            <w:r w:rsidR="00D7157D">
              <w:t>.</w:t>
            </w:r>
            <w:r w:rsidRPr="00295986">
              <w:t>5555</w:t>
            </w:r>
          </w:p>
        </w:tc>
        <w:tc>
          <w:tcPr>
            <w:tcW w:w="966" w:type="pct"/>
            <w:tcBorders>
              <w:top w:val="single" w:sz="4" w:space="0" w:color="auto"/>
              <w:bottom w:val="single" w:sz="4" w:space="0" w:color="auto"/>
            </w:tcBorders>
            <w:vAlign w:val="bottom"/>
          </w:tcPr>
          <w:p w14:paraId="64EE7D74" w14:textId="77777777" w:rsidR="00C217FF" w:rsidRPr="000F120F" w:rsidRDefault="00C217FF" w:rsidP="00F36942">
            <w:pPr>
              <w:pStyle w:val="Tabletext"/>
              <w:rPr>
                <w:snapToGrid w:val="0"/>
              </w:rPr>
            </w:pPr>
            <w:r w:rsidRPr="00295986">
              <w:t>0</w:t>
            </w:r>
            <w:r w:rsidR="00D7157D">
              <w:t>.</w:t>
            </w:r>
            <w:r w:rsidRPr="00295986">
              <w:t>4219</w:t>
            </w:r>
          </w:p>
        </w:tc>
      </w:tr>
      <w:tr w:rsidR="00C217FF" w:rsidRPr="009E2595" w14:paraId="30A481D9" w14:textId="77777777" w:rsidTr="00F36942">
        <w:trPr>
          <w:cantSplit/>
        </w:trPr>
        <w:tc>
          <w:tcPr>
            <w:tcW w:w="1136" w:type="pct"/>
            <w:tcBorders>
              <w:top w:val="single" w:sz="4" w:space="0" w:color="auto"/>
              <w:bottom w:val="single" w:sz="4" w:space="0" w:color="auto"/>
            </w:tcBorders>
          </w:tcPr>
          <w:p w14:paraId="0814105E" w14:textId="77777777" w:rsidR="00C217FF" w:rsidRPr="00616B26" w:rsidRDefault="00C217FF" w:rsidP="00F36942">
            <w:pPr>
              <w:pStyle w:val="Tabletext"/>
              <w:rPr>
                <w:snapToGrid w:val="0"/>
              </w:rPr>
            </w:pPr>
            <w:r w:rsidRPr="00616B26">
              <w:rPr>
                <w:snapToGrid w:val="0"/>
              </w:rPr>
              <w:t>21</w:t>
            </w:r>
          </w:p>
        </w:tc>
        <w:tc>
          <w:tcPr>
            <w:tcW w:w="966" w:type="pct"/>
            <w:tcBorders>
              <w:top w:val="single" w:sz="4" w:space="0" w:color="auto"/>
              <w:bottom w:val="single" w:sz="4" w:space="0" w:color="auto"/>
            </w:tcBorders>
            <w:vAlign w:val="bottom"/>
          </w:tcPr>
          <w:p w14:paraId="04C48B51" w14:textId="77777777" w:rsidR="00C217FF" w:rsidRPr="000F120F" w:rsidRDefault="00C217FF" w:rsidP="00F36942">
            <w:pPr>
              <w:pStyle w:val="Tabletext"/>
              <w:rPr>
                <w:snapToGrid w:val="0"/>
              </w:rPr>
            </w:pPr>
            <w:r w:rsidRPr="00295986">
              <w:t>31</w:t>
            </w:r>
            <w:r w:rsidR="00D7157D">
              <w:t>.</w:t>
            </w:r>
            <w:r w:rsidRPr="00295986">
              <w:t>8093</w:t>
            </w:r>
          </w:p>
        </w:tc>
        <w:tc>
          <w:tcPr>
            <w:tcW w:w="966" w:type="pct"/>
            <w:tcBorders>
              <w:top w:val="single" w:sz="4" w:space="0" w:color="auto"/>
              <w:bottom w:val="single" w:sz="4" w:space="0" w:color="auto"/>
            </w:tcBorders>
            <w:vAlign w:val="bottom"/>
          </w:tcPr>
          <w:p w14:paraId="03215981" w14:textId="77777777" w:rsidR="00C217FF" w:rsidRPr="000F120F" w:rsidRDefault="00C217FF" w:rsidP="00F36942">
            <w:pPr>
              <w:pStyle w:val="Tabletext"/>
              <w:rPr>
                <w:snapToGrid w:val="0"/>
              </w:rPr>
            </w:pPr>
            <w:r w:rsidRPr="00295986">
              <w:t>1</w:t>
            </w:r>
            <w:r w:rsidR="00D7157D">
              <w:t>.</w:t>
            </w:r>
            <w:r w:rsidRPr="00295986">
              <w:t>0774</w:t>
            </w:r>
          </w:p>
        </w:tc>
        <w:tc>
          <w:tcPr>
            <w:tcW w:w="966" w:type="pct"/>
            <w:tcBorders>
              <w:top w:val="single" w:sz="4" w:space="0" w:color="auto"/>
              <w:bottom w:val="single" w:sz="4" w:space="0" w:color="auto"/>
            </w:tcBorders>
            <w:vAlign w:val="bottom"/>
          </w:tcPr>
          <w:p w14:paraId="31734A62" w14:textId="77777777" w:rsidR="00C217FF" w:rsidRPr="000F120F" w:rsidRDefault="00C217FF" w:rsidP="00F36942">
            <w:pPr>
              <w:pStyle w:val="Tabletext"/>
              <w:rPr>
                <w:snapToGrid w:val="0"/>
              </w:rPr>
            </w:pPr>
            <w:r w:rsidRPr="00295986">
              <w:t>32</w:t>
            </w:r>
            <w:r w:rsidR="00D7157D">
              <w:t>.</w:t>
            </w:r>
            <w:r w:rsidRPr="00295986">
              <w:t>3858</w:t>
            </w:r>
          </w:p>
        </w:tc>
        <w:tc>
          <w:tcPr>
            <w:tcW w:w="966" w:type="pct"/>
            <w:tcBorders>
              <w:top w:val="single" w:sz="4" w:space="0" w:color="auto"/>
              <w:bottom w:val="single" w:sz="4" w:space="0" w:color="auto"/>
            </w:tcBorders>
            <w:vAlign w:val="bottom"/>
          </w:tcPr>
          <w:p w14:paraId="2EF96500" w14:textId="77777777" w:rsidR="00C217FF" w:rsidRPr="000F120F" w:rsidRDefault="00C217FF" w:rsidP="00F36942">
            <w:pPr>
              <w:pStyle w:val="Tabletext"/>
              <w:rPr>
                <w:snapToGrid w:val="0"/>
              </w:rPr>
            </w:pPr>
            <w:r w:rsidRPr="00295986">
              <w:t>0</w:t>
            </w:r>
            <w:r w:rsidR="00D7157D">
              <w:t>.</w:t>
            </w:r>
            <w:r w:rsidRPr="00295986">
              <w:t>4340</w:t>
            </w:r>
          </w:p>
        </w:tc>
      </w:tr>
      <w:tr w:rsidR="00C217FF" w:rsidRPr="009E2595" w14:paraId="60AC34B5" w14:textId="77777777" w:rsidTr="00F36942">
        <w:trPr>
          <w:cantSplit/>
        </w:trPr>
        <w:tc>
          <w:tcPr>
            <w:tcW w:w="1136" w:type="pct"/>
            <w:tcBorders>
              <w:top w:val="single" w:sz="4" w:space="0" w:color="auto"/>
              <w:bottom w:val="single" w:sz="4" w:space="0" w:color="auto"/>
            </w:tcBorders>
          </w:tcPr>
          <w:p w14:paraId="32163B4C" w14:textId="77777777" w:rsidR="00C217FF" w:rsidRPr="00616B26" w:rsidRDefault="00C217FF" w:rsidP="00F36942">
            <w:pPr>
              <w:pStyle w:val="Tabletext"/>
              <w:rPr>
                <w:snapToGrid w:val="0"/>
              </w:rPr>
            </w:pPr>
            <w:r w:rsidRPr="00616B26">
              <w:rPr>
                <w:snapToGrid w:val="0"/>
              </w:rPr>
              <w:t>22</w:t>
            </w:r>
          </w:p>
        </w:tc>
        <w:tc>
          <w:tcPr>
            <w:tcW w:w="966" w:type="pct"/>
            <w:tcBorders>
              <w:top w:val="single" w:sz="4" w:space="0" w:color="auto"/>
              <w:bottom w:val="single" w:sz="4" w:space="0" w:color="auto"/>
            </w:tcBorders>
            <w:vAlign w:val="bottom"/>
          </w:tcPr>
          <w:p w14:paraId="19EDA7CE" w14:textId="77777777" w:rsidR="00C217FF" w:rsidRPr="000F120F" w:rsidRDefault="00C217FF" w:rsidP="00F36942">
            <w:pPr>
              <w:pStyle w:val="Tabletext"/>
              <w:rPr>
                <w:snapToGrid w:val="0"/>
              </w:rPr>
            </w:pPr>
            <w:r w:rsidRPr="00295986">
              <w:t>31</w:t>
            </w:r>
            <w:r w:rsidR="00D7157D">
              <w:t>.</w:t>
            </w:r>
            <w:r w:rsidRPr="00295986">
              <w:t>6225</w:t>
            </w:r>
          </w:p>
        </w:tc>
        <w:tc>
          <w:tcPr>
            <w:tcW w:w="966" w:type="pct"/>
            <w:tcBorders>
              <w:top w:val="single" w:sz="4" w:space="0" w:color="auto"/>
              <w:bottom w:val="single" w:sz="4" w:space="0" w:color="auto"/>
            </w:tcBorders>
            <w:vAlign w:val="bottom"/>
          </w:tcPr>
          <w:p w14:paraId="4D4B5178" w14:textId="77777777" w:rsidR="00C217FF" w:rsidRPr="000F120F" w:rsidRDefault="00C217FF" w:rsidP="00F36942">
            <w:pPr>
              <w:pStyle w:val="Tabletext"/>
              <w:rPr>
                <w:snapToGrid w:val="0"/>
              </w:rPr>
            </w:pPr>
            <w:r w:rsidRPr="00295986">
              <w:t>1</w:t>
            </w:r>
            <w:r w:rsidR="00D7157D">
              <w:t>.</w:t>
            </w:r>
            <w:r w:rsidRPr="00295986">
              <w:t>1058</w:t>
            </w:r>
          </w:p>
        </w:tc>
        <w:tc>
          <w:tcPr>
            <w:tcW w:w="966" w:type="pct"/>
            <w:tcBorders>
              <w:top w:val="single" w:sz="4" w:space="0" w:color="auto"/>
              <w:bottom w:val="single" w:sz="4" w:space="0" w:color="auto"/>
            </w:tcBorders>
            <w:vAlign w:val="bottom"/>
          </w:tcPr>
          <w:p w14:paraId="5D8134F2" w14:textId="77777777" w:rsidR="00C217FF" w:rsidRPr="000F120F" w:rsidRDefault="00C217FF" w:rsidP="00F36942">
            <w:pPr>
              <w:pStyle w:val="Tabletext"/>
              <w:rPr>
                <w:snapToGrid w:val="0"/>
              </w:rPr>
            </w:pPr>
            <w:r w:rsidRPr="00295986">
              <w:t>32</w:t>
            </w:r>
            <w:r w:rsidR="00D7157D">
              <w:t>.</w:t>
            </w:r>
            <w:r w:rsidRPr="00295986">
              <w:t>2113</w:t>
            </w:r>
          </w:p>
        </w:tc>
        <w:tc>
          <w:tcPr>
            <w:tcW w:w="966" w:type="pct"/>
            <w:tcBorders>
              <w:top w:val="single" w:sz="4" w:space="0" w:color="auto"/>
              <w:bottom w:val="single" w:sz="4" w:space="0" w:color="auto"/>
            </w:tcBorders>
            <w:vAlign w:val="bottom"/>
          </w:tcPr>
          <w:p w14:paraId="40D90546" w14:textId="77777777" w:rsidR="00C217FF" w:rsidRPr="000F120F" w:rsidRDefault="00C217FF" w:rsidP="00F36942">
            <w:pPr>
              <w:pStyle w:val="Tabletext"/>
              <w:rPr>
                <w:snapToGrid w:val="0"/>
              </w:rPr>
            </w:pPr>
            <w:r w:rsidRPr="00295986">
              <w:t>0</w:t>
            </w:r>
            <w:r w:rsidR="00D7157D">
              <w:t>.</w:t>
            </w:r>
            <w:r w:rsidRPr="00295986">
              <w:t>4465</w:t>
            </w:r>
          </w:p>
        </w:tc>
      </w:tr>
      <w:tr w:rsidR="00C217FF" w:rsidRPr="009E2595" w14:paraId="34A8A0A0" w14:textId="77777777" w:rsidTr="00F36942">
        <w:trPr>
          <w:cantSplit/>
        </w:trPr>
        <w:tc>
          <w:tcPr>
            <w:tcW w:w="1136" w:type="pct"/>
            <w:tcBorders>
              <w:top w:val="single" w:sz="4" w:space="0" w:color="auto"/>
              <w:bottom w:val="single" w:sz="4" w:space="0" w:color="auto"/>
            </w:tcBorders>
          </w:tcPr>
          <w:p w14:paraId="496EDB45" w14:textId="77777777" w:rsidR="00C217FF" w:rsidRPr="00616B26" w:rsidRDefault="00C217FF" w:rsidP="00F36942">
            <w:pPr>
              <w:pStyle w:val="Tabletext"/>
              <w:rPr>
                <w:snapToGrid w:val="0"/>
              </w:rPr>
            </w:pPr>
            <w:r w:rsidRPr="00616B26">
              <w:rPr>
                <w:snapToGrid w:val="0"/>
              </w:rPr>
              <w:t>23</w:t>
            </w:r>
          </w:p>
        </w:tc>
        <w:tc>
          <w:tcPr>
            <w:tcW w:w="966" w:type="pct"/>
            <w:tcBorders>
              <w:top w:val="single" w:sz="4" w:space="0" w:color="auto"/>
              <w:bottom w:val="single" w:sz="4" w:space="0" w:color="auto"/>
            </w:tcBorders>
            <w:vAlign w:val="bottom"/>
          </w:tcPr>
          <w:p w14:paraId="3CDEC5E6" w14:textId="77777777" w:rsidR="00C217FF" w:rsidRPr="000F120F" w:rsidRDefault="00C217FF" w:rsidP="00F36942">
            <w:pPr>
              <w:pStyle w:val="Tabletext"/>
              <w:rPr>
                <w:snapToGrid w:val="0"/>
              </w:rPr>
            </w:pPr>
            <w:r w:rsidRPr="00295986">
              <w:t>31</w:t>
            </w:r>
            <w:r w:rsidR="00D7157D">
              <w:t>.</w:t>
            </w:r>
            <w:r w:rsidRPr="00295986">
              <w:t>4308</w:t>
            </w:r>
          </w:p>
        </w:tc>
        <w:tc>
          <w:tcPr>
            <w:tcW w:w="966" w:type="pct"/>
            <w:tcBorders>
              <w:top w:val="single" w:sz="4" w:space="0" w:color="auto"/>
              <w:bottom w:val="single" w:sz="4" w:space="0" w:color="auto"/>
            </w:tcBorders>
            <w:vAlign w:val="bottom"/>
          </w:tcPr>
          <w:p w14:paraId="495AEE9B" w14:textId="77777777" w:rsidR="00C217FF" w:rsidRPr="000F120F" w:rsidRDefault="00C217FF" w:rsidP="00F36942">
            <w:pPr>
              <w:pStyle w:val="Tabletext"/>
              <w:rPr>
                <w:snapToGrid w:val="0"/>
              </w:rPr>
            </w:pPr>
            <w:r w:rsidRPr="00295986">
              <w:t>1</w:t>
            </w:r>
            <w:r w:rsidR="00D7157D">
              <w:t>.</w:t>
            </w:r>
            <w:r w:rsidRPr="00295986">
              <w:t>1348</w:t>
            </w:r>
          </w:p>
        </w:tc>
        <w:tc>
          <w:tcPr>
            <w:tcW w:w="966" w:type="pct"/>
            <w:tcBorders>
              <w:top w:val="single" w:sz="4" w:space="0" w:color="auto"/>
              <w:bottom w:val="single" w:sz="4" w:space="0" w:color="auto"/>
            </w:tcBorders>
            <w:vAlign w:val="bottom"/>
          </w:tcPr>
          <w:p w14:paraId="40809949" w14:textId="77777777" w:rsidR="00C217FF" w:rsidRPr="000F120F" w:rsidRDefault="00C217FF" w:rsidP="00F36942">
            <w:pPr>
              <w:pStyle w:val="Tabletext"/>
              <w:rPr>
                <w:snapToGrid w:val="0"/>
              </w:rPr>
            </w:pPr>
            <w:r w:rsidRPr="00295986">
              <w:t>32</w:t>
            </w:r>
            <w:r w:rsidR="00D7157D">
              <w:t>.</w:t>
            </w:r>
            <w:r w:rsidRPr="00295986">
              <w:t>0319</w:t>
            </w:r>
          </w:p>
        </w:tc>
        <w:tc>
          <w:tcPr>
            <w:tcW w:w="966" w:type="pct"/>
            <w:tcBorders>
              <w:top w:val="single" w:sz="4" w:space="0" w:color="auto"/>
              <w:bottom w:val="single" w:sz="4" w:space="0" w:color="auto"/>
            </w:tcBorders>
            <w:vAlign w:val="bottom"/>
          </w:tcPr>
          <w:p w14:paraId="20854B5B" w14:textId="77777777" w:rsidR="00C217FF" w:rsidRPr="000F120F" w:rsidRDefault="00C217FF" w:rsidP="00F36942">
            <w:pPr>
              <w:pStyle w:val="Tabletext"/>
              <w:rPr>
                <w:snapToGrid w:val="0"/>
              </w:rPr>
            </w:pPr>
            <w:r w:rsidRPr="00295986">
              <w:t>0</w:t>
            </w:r>
            <w:r w:rsidR="00D7157D">
              <w:t>.</w:t>
            </w:r>
            <w:r w:rsidRPr="00295986">
              <w:t>4594</w:t>
            </w:r>
          </w:p>
        </w:tc>
      </w:tr>
      <w:tr w:rsidR="00C217FF" w:rsidRPr="009E2595" w14:paraId="4DF5097C" w14:textId="77777777" w:rsidTr="00F36942">
        <w:trPr>
          <w:cantSplit/>
        </w:trPr>
        <w:tc>
          <w:tcPr>
            <w:tcW w:w="1136" w:type="pct"/>
            <w:tcBorders>
              <w:top w:val="single" w:sz="4" w:space="0" w:color="auto"/>
              <w:bottom w:val="single" w:sz="4" w:space="0" w:color="auto"/>
            </w:tcBorders>
          </w:tcPr>
          <w:p w14:paraId="4426E74D" w14:textId="77777777" w:rsidR="00C217FF" w:rsidRPr="00616B26" w:rsidRDefault="00C217FF" w:rsidP="00F36942">
            <w:pPr>
              <w:pStyle w:val="Tabletext"/>
              <w:rPr>
                <w:snapToGrid w:val="0"/>
              </w:rPr>
            </w:pPr>
            <w:r w:rsidRPr="00616B26">
              <w:rPr>
                <w:snapToGrid w:val="0"/>
              </w:rPr>
              <w:t>24</w:t>
            </w:r>
          </w:p>
        </w:tc>
        <w:tc>
          <w:tcPr>
            <w:tcW w:w="966" w:type="pct"/>
            <w:tcBorders>
              <w:top w:val="single" w:sz="4" w:space="0" w:color="auto"/>
              <w:bottom w:val="single" w:sz="4" w:space="0" w:color="auto"/>
            </w:tcBorders>
            <w:vAlign w:val="bottom"/>
          </w:tcPr>
          <w:p w14:paraId="23845243" w14:textId="77777777" w:rsidR="00C217FF" w:rsidRPr="000F120F" w:rsidRDefault="00C217FF" w:rsidP="00F36942">
            <w:pPr>
              <w:pStyle w:val="Tabletext"/>
              <w:rPr>
                <w:snapToGrid w:val="0"/>
              </w:rPr>
            </w:pPr>
            <w:r w:rsidRPr="00295986">
              <w:t>31</w:t>
            </w:r>
            <w:r w:rsidR="00D7157D">
              <w:t>.</w:t>
            </w:r>
            <w:r w:rsidRPr="00295986">
              <w:t>2340</w:t>
            </w:r>
          </w:p>
        </w:tc>
        <w:tc>
          <w:tcPr>
            <w:tcW w:w="966" w:type="pct"/>
            <w:tcBorders>
              <w:top w:val="single" w:sz="4" w:space="0" w:color="auto"/>
              <w:bottom w:val="single" w:sz="4" w:space="0" w:color="auto"/>
            </w:tcBorders>
            <w:vAlign w:val="bottom"/>
          </w:tcPr>
          <w:p w14:paraId="26548D4A" w14:textId="77777777" w:rsidR="00C217FF" w:rsidRPr="000F120F" w:rsidRDefault="00C217FF" w:rsidP="00F36942">
            <w:pPr>
              <w:pStyle w:val="Tabletext"/>
              <w:rPr>
                <w:snapToGrid w:val="0"/>
              </w:rPr>
            </w:pPr>
            <w:r w:rsidRPr="00295986">
              <w:t>1</w:t>
            </w:r>
            <w:r w:rsidR="00D7157D">
              <w:t>.</w:t>
            </w:r>
            <w:r w:rsidRPr="00295986">
              <w:t>1646</w:t>
            </w:r>
          </w:p>
        </w:tc>
        <w:tc>
          <w:tcPr>
            <w:tcW w:w="966" w:type="pct"/>
            <w:tcBorders>
              <w:top w:val="single" w:sz="4" w:space="0" w:color="auto"/>
              <w:bottom w:val="single" w:sz="4" w:space="0" w:color="auto"/>
            </w:tcBorders>
            <w:vAlign w:val="bottom"/>
          </w:tcPr>
          <w:p w14:paraId="14BD0529" w14:textId="77777777" w:rsidR="00C217FF" w:rsidRPr="000F120F" w:rsidRDefault="00C217FF" w:rsidP="00F36942">
            <w:pPr>
              <w:pStyle w:val="Tabletext"/>
              <w:rPr>
                <w:snapToGrid w:val="0"/>
              </w:rPr>
            </w:pPr>
            <w:r w:rsidRPr="00295986">
              <w:t>31</w:t>
            </w:r>
            <w:r w:rsidR="00D7157D">
              <w:t>.</w:t>
            </w:r>
            <w:r w:rsidRPr="00295986">
              <w:t>8474</w:t>
            </w:r>
          </w:p>
        </w:tc>
        <w:tc>
          <w:tcPr>
            <w:tcW w:w="966" w:type="pct"/>
            <w:tcBorders>
              <w:top w:val="single" w:sz="4" w:space="0" w:color="auto"/>
              <w:bottom w:val="single" w:sz="4" w:space="0" w:color="auto"/>
            </w:tcBorders>
            <w:vAlign w:val="bottom"/>
          </w:tcPr>
          <w:p w14:paraId="327BAEFE" w14:textId="77777777" w:rsidR="00C217FF" w:rsidRPr="000F120F" w:rsidRDefault="00C217FF" w:rsidP="00F36942">
            <w:pPr>
              <w:pStyle w:val="Tabletext"/>
              <w:rPr>
                <w:snapToGrid w:val="0"/>
              </w:rPr>
            </w:pPr>
            <w:r w:rsidRPr="00295986">
              <w:t>0</w:t>
            </w:r>
            <w:r w:rsidR="00D7157D">
              <w:t>.</w:t>
            </w:r>
            <w:r w:rsidRPr="00295986">
              <w:t>4727</w:t>
            </w:r>
          </w:p>
        </w:tc>
      </w:tr>
      <w:tr w:rsidR="00C217FF" w:rsidRPr="009E2595" w14:paraId="67FDE036" w14:textId="77777777" w:rsidTr="00F36942">
        <w:trPr>
          <w:cantSplit/>
        </w:trPr>
        <w:tc>
          <w:tcPr>
            <w:tcW w:w="1136" w:type="pct"/>
            <w:tcBorders>
              <w:top w:val="single" w:sz="4" w:space="0" w:color="auto"/>
              <w:bottom w:val="single" w:sz="4" w:space="0" w:color="auto"/>
            </w:tcBorders>
          </w:tcPr>
          <w:p w14:paraId="4C79B143" w14:textId="77777777" w:rsidR="00C217FF" w:rsidRPr="00616B26" w:rsidRDefault="00C217FF" w:rsidP="00F36942">
            <w:pPr>
              <w:pStyle w:val="Tabletext"/>
              <w:rPr>
                <w:snapToGrid w:val="0"/>
              </w:rPr>
            </w:pPr>
            <w:r w:rsidRPr="00616B26">
              <w:rPr>
                <w:snapToGrid w:val="0"/>
              </w:rPr>
              <w:t>25</w:t>
            </w:r>
          </w:p>
        </w:tc>
        <w:tc>
          <w:tcPr>
            <w:tcW w:w="966" w:type="pct"/>
            <w:tcBorders>
              <w:top w:val="single" w:sz="4" w:space="0" w:color="auto"/>
              <w:bottom w:val="single" w:sz="4" w:space="0" w:color="auto"/>
            </w:tcBorders>
            <w:vAlign w:val="bottom"/>
          </w:tcPr>
          <w:p w14:paraId="739241A9" w14:textId="77777777" w:rsidR="00C217FF" w:rsidRPr="000F120F" w:rsidRDefault="00C217FF" w:rsidP="00F36942">
            <w:pPr>
              <w:pStyle w:val="Tabletext"/>
              <w:rPr>
                <w:snapToGrid w:val="0"/>
              </w:rPr>
            </w:pPr>
            <w:r w:rsidRPr="00295986">
              <w:t>31</w:t>
            </w:r>
            <w:r w:rsidR="00D7157D">
              <w:t>.</w:t>
            </w:r>
            <w:r w:rsidRPr="00295986">
              <w:t>0320</w:t>
            </w:r>
          </w:p>
        </w:tc>
        <w:tc>
          <w:tcPr>
            <w:tcW w:w="966" w:type="pct"/>
            <w:tcBorders>
              <w:top w:val="single" w:sz="4" w:space="0" w:color="auto"/>
              <w:bottom w:val="single" w:sz="4" w:space="0" w:color="auto"/>
            </w:tcBorders>
            <w:vAlign w:val="bottom"/>
          </w:tcPr>
          <w:p w14:paraId="4CEDE6EE" w14:textId="77777777" w:rsidR="00C217FF" w:rsidRPr="000F120F" w:rsidRDefault="00C217FF" w:rsidP="00F36942">
            <w:pPr>
              <w:pStyle w:val="Tabletext"/>
              <w:rPr>
                <w:snapToGrid w:val="0"/>
              </w:rPr>
            </w:pPr>
            <w:r w:rsidRPr="00295986">
              <w:t>1</w:t>
            </w:r>
            <w:r w:rsidR="00D7157D">
              <w:t>.</w:t>
            </w:r>
            <w:r w:rsidRPr="00295986">
              <w:t>1951</w:t>
            </w:r>
          </w:p>
        </w:tc>
        <w:tc>
          <w:tcPr>
            <w:tcW w:w="966" w:type="pct"/>
            <w:tcBorders>
              <w:top w:val="single" w:sz="4" w:space="0" w:color="auto"/>
              <w:bottom w:val="single" w:sz="4" w:space="0" w:color="auto"/>
            </w:tcBorders>
            <w:vAlign w:val="bottom"/>
          </w:tcPr>
          <w:p w14:paraId="5DC12016" w14:textId="77777777" w:rsidR="00C217FF" w:rsidRPr="000F120F" w:rsidRDefault="00C217FF" w:rsidP="00F36942">
            <w:pPr>
              <w:pStyle w:val="Tabletext"/>
              <w:rPr>
                <w:snapToGrid w:val="0"/>
              </w:rPr>
            </w:pPr>
            <w:r w:rsidRPr="00295986">
              <w:t>31</w:t>
            </w:r>
            <w:r w:rsidR="00D7157D">
              <w:t>.</w:t>
            </w:r>
            <w:r w:rsidRPr="00295986">
              <w:t>6581</w:t>
            </w:r>
          </w:p>
        </w:tc>
        <w:tc>
          <w:tcPr>
            <w:tcW w:w="966" w:type="pct"/>
            <w:tcBorders>
              <w:top w:val="single" w:sz="4" w:space="0" w:color="auto"/>
              <w:bottom w:val="single" w:sz="4" w:space="0" w:color="auto"/>
            </w:tcBorders>
            <w:vAlign w:val="bottom"/>
          </w:tcPr>
          <w:p w14:paraId="54F8CDD9" w14:textId="77777777" w:rsidR="00C217FF" w:rsidRPr="000F120F" w:rsidRDefault="00C217FF" w:rsidP="00F36942">
            <w:pPr>
              <w:pStyle w:val="Tabletext"/>
              <w:rPr>
                <w:snapToGrid w:val="0"/>
              </w:rPr>
            </w:pPr>
            <w:r w:rsidRPr="00295986">
              <w:t>0</w:t>
            </w:r>
            <w:r w:rsidR="00D7157D">
              <w:t>.</w:t>
            </w:r>
            <w:r w:rsidRPr="00295986">
              <w:t>4863</w:t>
            </w:r>
          </w:p>
        </w:tc>
      </w:tr>
      <w:tr w:rsidR="00C217FF" w:rsidRPr="009E2595" w14:paraId="7E754985" w14:textId="77777777" w:rsidTr="00F36942">
        <w:trPr>
          <w:cantSplit/>
        </w:trPr>
        <w:tc>
          <w:tcPr>
            <w:tcW w:w="1136" w:type="pct"/>
            <w:tcBorders>
              <w:top w:val="single" w:sz="4" w:space="0" w:color="auto"/>
              <w:bottom w:val="single" w:sz="4" w:space="0" w:color="auto"/>
            </w:tcBorders>
          </w:tcPr>
          <w:p w14:paraId="118F646B" w14:textId="77777777" w:rsidR="00C217FF" w:rsidRPr="00616B26" w:rsidRDefault="00C217FF" w:rsidP="00F36942">
            <w:pPr>
              <w:pStyle w:val="Tabletext"/>
              <w:rPr>
                <w:snapToGrid w:val="0"/>
              </w:rPr>
            </w:pPr>
            <w:r w:rsidRPr="00616B26">
              <w:rPr>
                <w:snapToGrid w:val="0"/>
              </w:rPr>
              <w:t>26</w:t>
            </w:r>
          </w:p>
        </w:tc>
        <w:tc>
          <w:tcPr>
            <w:tcW w:w="966" w:type="pct"/>
            <w:tcBorders>
              <w:top w:val="single" w:sz="4" w:space="0" w:color="auto"/>
              <w:bottom w:val="single" w:sz="4" w:space="0" w:color="auto"/>
            </w:tcBorders>
            <w:vAlign w:val="bottom"/>
          </w:tcPr>
          <w:p w14:paraId="450C0675" w14:textId="77777777" w:rsidR="00C217FF" w:rsidRPr="000F120F" w:rsidRDefault="00C217FF" w:rsidP="00F36942">
            <w:pPr>
              <w:pStyle w:val="Tabletext"/>
              <w:rPr>
                <w:snapToGrid w:val="0"/>
              </w:rPr>
            </w:pPr>
            <w:r w:rsidRPr="00295986">
              <w:t>30</w:t>
            </w:r>
            <w:r w:rsidR="00D7157D">
              <w:t>.</w:t>
            </w:r>
            <w:r w:rsidRPr="00295986">
              <w:t>8245</w:t>
            </w:r>
          </w:p>
        </w:tc>
        <w:tc>
          <w:tcPr>
            <w:tcW w:w="966" w:type="pct"/>
            <w:tcBorders>
              <w:top w:val="single" w:sz="4" w:space="0" w:color="auto"/>
              <w:bottom w:val="single" w:sz="4" w:space="0" w:color="auto"/>
            </w:tcBorders>
            <w:vAlign w:val="bottom"/>
          </w:tcPr>
          <w:p w14:paraId="79608912" w14:textId="77777777" w:rsidR="00C217FF" w:rsidRPr="000F120F" w:rsidRDefault="00C217FF" w:rsidP="00F36942">
            <w:pPr>
              <w:pStyle w:val="Tabletext"/>
              <w:rPr>
                <w:snapToGrid w:val="0"/>
              </w:rPr>
            </w:pPr>
            <w:r w:rsidRPr="00295986">
              <w:t>1</w:t>
            </w:r>
            <w:r w:rsidR="00D7157D">
              <w:t>.</w:t>
            </w:r>
            <w:r w:rsidRPr="00295986">
              <w:t>2263</w:t>
            </w:r>
          </w:p>
        </w:tc>
        <w:tc>
          <w:tcPr>
            <w:tcW w:w="966" w:type="pct"/>
            <w:tcBorders>
              <w:top w:val="single" w:sz="4" w:space="0" w:color="auto"/>
              <w:bottom w:val="single" w:sz="4" w:space="0" w:color="auto"/>
            </w:tcBorders>
            <w:vAlign w:val="bottom"/>
          </w:tcPr>
          <w:p w14:paraId="07777E30" w14:textId="77777777" w:rsidR="00C217FF" w:rsidRPr="000F120F" w:rsidRDefault="00C217FF" w:rsidP="00F36942">
            <w:pPr>
              <w:pStyle w:val="Tabletext"/>
              <w:rPr>
                <w:snapToGrid w:val="0"/>
              </w:rPr>
            </w:pPr>
            <w:r w:rsidRPr="00295986">
              <w:t>31</w:t>
            </w:r>
            <w:r w:rsidR="00D7157D">
              <w:t>.</w:t>
            </w:r>
            <w:r w:rsidRPr="00295986">
              <w:t>4635</w:t>
            </w:r>
          </w:p>
        </w:tc>
        <w:tc>
          <w:tcPr>
            <w:tcW w:w="966" w:type="pct"/>
            <w:tcBorders>
              <w:top w:val="single" w:sz="4" w:space="0" w:color="auto"/>
              <w:bottom w:val="single" w:sz="4" w:space="0" w:color="auto"/>
            </w:tcBorders>
            <w:vAlign w:val="bottom"/>
          </w:tcPr>
          <w:p w14:paraId="0E30BAA7" w14:textId="77777777" w:rsidR="00C217FF" w:rsidRPr="000F120F" w:rsidRDefault="00C217FF" w:rsidP="00F36942">
            <w:pPr>
              <w:pStyle w:val="Tabletext"/>
              <w:rPr>
                <w:snapToGrid w:val="0"/>
              </w:rPr>
            </w:pPr>
            <w:r w:rsidRPr="00295986">
              <w:t>0</w:t>
            </w:r>
            <w:r w:rsidR="00D7157D">
              <w:t>.</w:t>
            </w:r>
            <w:r w:rsidRPr="00295986">
              <w:t>5003</w:t>
            </w:r>
          </w:p>
        </w:tc>
      </w:tr>
      <w:tr w:rsidR="00C217FF" w:rsidRPr="009E2595" w14:paraId="147B29C5" w14:textId="77777777" w:rsidTr="00F36942">
        <w:trPr>
          <w:cantSplit/>
        </w:trPr>
        <w:tc>
          <w:tcPr>
            <w:tcW w:w="1136" w:type="pct"/>
            <w:tcBorders>
              <w:top w:val="single" w:sz="4" w:space="0" w:color="auto"/>
              <w:bottom w:val="single" w:sz="4" w:space="0" w:color="auto"/>
            </w:tcBorders>
          </w:tcPr>
          <w:p w14:paraId="74925DA3" w14:textId="77777777" w:rsidR="00C217FF" w:rsidRPr="00616B26" w:rsidRDefault="00C217FF" w:rsidP="00F36942">
            <w:pPr>
              <w:pStyle w:val="Tabletext"/>
              <w:rPr>
                <w:snapToGrid w:val="0"/>
              </w:rPr>
            </w:pPr>
            <w:r w:rsidRPr="00616B26">
              <w:rPr>
                <w:snapToGrid w:val="0"/>
              </w:rPr>
              <w:t>27</w:t>
            </w:r>
          </w:p>
        </w:tc>
        <w:tc>
          <w:tcPr>
            <w:tcW w:w="966" w:type="pct"/>
            <w:tcBorders>
              <w:top w:val="single" w:sz="4" w:space="0" w:color="auto"/>
              <w:bottom w:val="single" w:sz="4" w:space="0" w:color="auto"/>
            </w:tcBorders>
            <w:vAlign w:val="bottom"/>
          </w:tcPr>
          <w:p w14:paraId="2E1F2CD4" w14:textId="77777777" w:rsidR="00C217FF" w:rsidRPr="000F120F" w:rsidRDefault="00C217FF" w:rsidP="00F36942">
            <w:pPr>
              <w:pStyle w:val="Tabletext"/>
              <w:rPr>
                <w:snapToGrid w:val="0"/>
              </w:rPr>
            </w:pPr>
            <w:r w:rsidRPr="00295986">
              <w:t>30</w:t>
            </w:r>
            <w:r w:rsidR="00D7157D">
              <w:t>.</w:t>
            </w:r>
            <w:r w:rsidRPr="00295986">
              <w:t>6116</w:t>
            </w:r>
          </w:p>
        </w:tc>
        <w:tc>
          <w:tcPr>
            <w:tcW w:w="966" w:type="pct"/>
            <w:tcBorders>
              <w:top w:val="single" w:sz="4" w:space="0" w:color="auto"/>
              <w:bottom w:val="single" w:sz="4" w:space="0" w:color="auto"/>
            </w:tcBorders>
            <w:vAlign w:val="bottom"/>
          </w:tcPr>
          <w:p w14:paraId="7D07892B" w14:textId="77777777" w:rsidR="00C217FF" w:rsidRPr="000F120F" w:rsidRDefault="00C217FF" w:rsidP="00F36942">
            <w:pPr>
              <w:pStyle w:val="Tabletext"/>
              <w:rPr>
                <w:snapToGrid w:val="0"/>
              </w:rPr>
            </w:pPr>
            <w:r w:rsidRPr="00295986">
              <w:t>1</w:t>
            </w:r>
            <w:r w:rsidR="00D7157D">
              <w:t>.</w:t>
            </w:r>
            <w:r w:rsidRPr="00295986">
              <w:t>2584</w:t>
            </w:r>
          </w:p>
        </w:tc>
        <w:tc>
          <w:tcPr>
            <w:tcW w:w="966" w:type="pct"/>
            <w:tcBorders>
              <w:top w:val="single" w:sz="4" w:space="0" w:color="auto"/>
              <w:bottom w:val="single" w:sz="4" w:space="0" w:color="auto"/>
            </w:tcBorders>
            <w:vAlign w:val="bottom"/>
          </w:tcPr>
          <w:p w14:paraId="252633C1" w14:textId="77777777" w:rsidR="00C217FF" w:rsidRPr="000F120F" w:rsidRDefault="00C217FF" w:rsidP="00F36942">
            <w:pPr>
              <w:pStyle w:val="Tabletext"/>
              <w:rPr>
                <w:snapToGrid w:val="0"/>
              </w:rPr>
            </w:pPr>
            <w:r w:rsidRPr="00295986">
              <w:t>31</w:t>
            </w:r>
            <w:r w:rsidR="00D7157D">
              <w:t>.</w:t>
            </w:r>
            <w:r w:rsidRPr="00295986">
              <w:t>2634</w:t>
            </w:r>
          </w:p>
        </w:tc>
        <w:tc>
          <w:tcPr>
            <w:tcW w:w="966" w:type="pct"/>
            <w:tcBorders>
              <w:top w:val="single" w:sz="4" w:space="0" w:color="auto"/>
              <w:bottom w:val="single" w:sz="4" w:space="0" w:color="auto"/>
            </w:tcBorders>
            <w:vAlign w:val="bottom"/>
          </w:tcPr>
          <w:p w14:paraId="459C33C7" w14:textId="77777777" w:rsidR="00C217FF" w:rsidRPr="000F120F" w:rsidRDefault="00C217FF" w:rsidP="00F36942">
            <w:pPr>
              <w:pStyle w:val="Tabletext"/>
              <w:rPr>
                <w:snapToGrid w:val="0"/>
              </w:rPr>
            </w:pPr>
            <w:r w:rsidRPr="00295986">
              <w:t>0</w:t>
            </w:r>
            <w:r w:rsidR="00D7157D">
              <w:t>.</w:t>
            </w:r>
            <w:r w:rsidRPr="00295986">
              <w:t>5148</w:t>
            </w:r>
          </w:p>
        </w:tc>
      </w:tr>
      <w:tr w:rsidR="00C217FF" w:rsidRPr="009E2595" w14:paraId="54EED342" w14:textId="77777777" w:rsidTr="00F36942">
        <w:trPr>
          <w:cantSplit/>
        </w:trPr>
        <w:tc>
          <w:tcPr>
            <w:tcW w:w="1136" w:type="pct"/>
            <w:tcBorders>
              <w:top w:val="single" w:sz="4" w:space="0" w:color="auto"/>
              <w:bottom w:val="single" w:sz="4" w:space="0" w:color="auto"/>
            </w:tcBorders>
          </w:tcPr>
          <w:p w14:paraId="53FE2130" w14:textId="77777777" w:rsidR="00C217FF" w:rsidRPr="00616B26" w:rsidRDefault="00C217FF" w:rsidP="00F36942">
            <w:pPr>
              <w:pStyle w:val="Tabletext"/>
              <w:rPr>
                <w:snapToGrid w:val="0"/>
              </w:rPr>
            </w:pPr>
            <w:r w:rsidRPr="00616B26">
              <w:rPr>
                <w:snapToGrid w:val="0"/>
              </w:rPr>
              <w:t>28</w:t>
            </w:r>
          </w:p>
        </w:tc>
        <w:tc>
          <w:tcPr>
            <w:tcW w:w="966" w:type="pct"/>
            <w:tcBorders>
              <w:top w:val="single" w:sz="4" w:space="0" w:color="auto"/>
              <w:bottom w:val="single" w:sz="4" w:space="0" w:color="auto"/>
            </w:tcBorders>
            <w:vAlign w:val="bottom"/>
          </w:tcPr>
          <w:p w14:paraId="574C183C" w14:textId="77777777" w:rsidR="00C217FF" w:rsidRPr="000F120F" w:rsidRDefault="00C217FF" w:rsidP="00F36942">
            <w:pPr>
              <w:pStyle w:val="Tabletext"/>
              <w:rPr>
                <w:snapToGrid w:val="0"/>
              </w:rPr>
            </w:pPr>
            <w:r w:rsidRPr="00295986">
              <w:t>30</w:t>
            </w:r>
            <w:r w:rsidR="00D7157D">
              <w:t>.</w:t>
            </w:r>
            <w:r w:rsidRPr="00295986">
              <w:t>3929</w:t>
            </w:r>
          </w:p>
        </w:tc>
        <w:tc>
          <w:tcPr>
            <w:tcW w:w="966" w:type="pct"/>
            <w:tcBorders>
              <w:top w:val="single" w:sz="4" w:space="0" w:color="auto"/>
              <w:bottom w:val="single" w:sz="4" w:space="0" w:color="auto"/>
            </w:tcBorders>
            <w:vAlign w:val="bottom"/>
          </w:tcPr>
          <w:p w14:paraId="1D4AA1EC" w14:textId="77777777" w:rsidR="00C217FF" w:rsidRPr="000F120F" w:rsidRDefault="00C217FF" w:rsidP="00F36942">
            <w:pPr>
              <w:pStyle w:val="Tabletext"/>
              <w:rPr>
                <w:snapToGrid w:val="0"/>
              </w:rPr>
            </w:pPr>
            <w:r w:rsidRPr="00295986">
              <w:t>1</w:t>
            </w:r>
            <w:r w:rsidR="00D7157D">
              <w:t>.</w:t>
            </w:r>
            <w:r w:rsidRPr="00295986">
              <w:t>2912</w:t>
            </w:r>
          </w:p>
        </w:tc>
        <w:tc>
          <w:tcPr>
            <w:tcW w:w="966" w:type="pct"/>
            <w:tcBorders>
              <w:top w:val="single" w:sz="4" w:space="0" w:color="auto"/>
              <w:bottom w:val="single" w:sz="4" w:space="0" w:color="auto"/>
            </w:tcBorders>
            <w:vAlign w:val="bottom"/>
          </w:tcPr>
          <w:p w14:paraId="53329255" w14:textId="77777777" w:rsidR="00C217FF" w:rsidRPr="000F120F" w:rsidRDefault="00C217FF" w:rsidP="00F36942">
            <w:pPr>
              <w:pStyle w:val="Tabletext"/>
              <w:rPr>
                <w:snapToGrid w:val="0"/>
              </w:rPr>
            </w:pPr>
            <w:r w:rsidRPr="00295986">
              <w:t>31</w:t>
            </w:r>
            <w:r w:rsidR="00D7157D">
              <w:t>.</w:t>
            </w:r>
            <w:r w:rsidRPr="00295986">
              <w:t>0581</w:t>
            </w:r>
          </w:p>
        </w:tc>
        <w:tc>
          <w:tcPr>
            <w:tcW w:w="966" w:type="pct"/>
            <w:tcBorders>
              <w:top w:val="single" w:sz="4" w:space="0" w:color="auto"/>
              <w:bottom w:val="single" w:sz="4" w:space="0" w:color="auto"/>
            </w:tcBorders>
            <w:vAlign w:val="bottom"/>
          </w:tcPr>
          <w:p w14:paraId="5624982D" w14:textId="77777777" w:rsidR="00C217FF" w:rsidRPr="000F120F" w:rsidRDefault="00C217FF" w:rsidP="00F36942">
            <w:pPr>
              <w:pStyle w:val="Tabletext"/>
              <w:rPr>
                <w:snapToGrid w:val="0"/>
              </w:rPr>
            </w:pPr>
            <w:r w:rsidRPr="00295986">
              <w:t>0</w:t>
            </w:r>
            <w:r w:rsidR="00D7157D">
              <w:t>.</w:t>
            </w:r>
            <w:r w:rsidRPr="00295986">
              <w:t>5295</w:t>
            </w:r>
          </w:p>
        </w:tc>
      </w:tr>
      <w:tr w:rsidR="00C217FF" w:rsidRPr="009E2595" w14:paraId="1F8F2345" w14:textId="77777777" w:rsidTr="00F36942">
        <w:trPr>
          <w:cantSplit/>
        </w:trPr>
        <w:tc>
          <w:tcPr>
            <w:tcW w:w="1136" w:type="pct"/>
            <w:tcBorders>
              <w:top w:val="single" w:sz="4" w:space="0" w:color="auto"/>
              <w:bottom w:val="single" w:sz="4" w:space="0" w:color="auto"/>
            </w:tcBorders>
          </w:tcPr>
          <w:p w14:paraId="692B6DCE" w14:textId="77777777" w:rsidR="00C217FF" w:rsidRPr="00616B26" w:rsidRDefault="00C217FF" w:rsidP="00F36942">
            <w:pPr>
              <w:pStyle w:val="Tabletext"/>
              <w:rPr>
                <w:snapToGrid w:val="0"/>
              </w:rPr>
            </w:pPr>
            <w:r w:rsidRPr="00616B26">
              <w:rPr>
                <w:snapToGrid w:val="0"/>
              </w:rPr>
              <w:t>29</w:t>
            </w:r>
          </w:p>
        </w:tc>
        <w:tc>
          <w:tcPr>
            <w:tcW w:w="966" w:type="pct"/>
            <w:tcBorders>
              <w:top w:val="single" w:sz="4" w:space="0" w:color="auto"/>
              <w:bottom w:val="single" w:sz="4" w:space="0" w:color="auto"/>
            </w:tcBorders>
            <w:vAlign w:val="bottom"/>
          </w:tcPr>
          <w:p w14:paraId="42206814" w14:textId="77777777" w:rsidR="00C217FF" w:rsidRPr="000F120F" w:rsidRDefault="00C217FF" w:rsidP="00F36942">
            <w:pPr>
              <w:pStyle w:val="Tabletext"/>
              <w:rPr>
                <w:snapToGrid w:val="0"/>
              </w:rPr>
            </w:pPr>
            <w:r w:rsidRPr="00295986">
              <w:t>30</w:t>
            </w:r>
            <w:r w:rsidR="00D7157D">
              <w:t>.</w:t>
            </w:r>
            <w:r w:rsidRPr="00295986">
              <w:t>1687</w:t>
            </w:r>
          </w:p>
        </w:tc>
        <w:tc>
          <w:tcPr>
            <w:tcW w:w="966" w:type="pct"/>
            <w:tcBorders>
              <w:top w:val="single" w:sz="4" w:space="0" w:color="auto"/>
              <w:bottom w:val="single" w:sz="4" w:space="0" w:color="auto"/>
            </w:tcBorders>
            <w:vAlign w:val="bottom"/>
          </w:tcPr>
          <w:p w14:paraId="7045A4D9" w14:textId="77777777" w:rsidR="00C217FF" w:rsidRPr="000F120F" w:rsidRDefault="00C217FF" w:rsidP="00F36942">
            <w:pPr>
              <w:pStyle w:val="Tabletext"/>
              <w:rPr>
                <w:snapToGrid w:val="0"/>
              </w:rPr>
            </w:pPr>
            <w:r w:rsidRPr="00295986">
              <w:t>1</w:t>
            </w:r>
            <w:r w:rsidR="00D7157D">
              <w:t>.</w:t>
            </w:r>
            <w:r w:rsidRPr="00295986">
              <w:t>3247</w:t>
            </w:r>
          </w:p>
        </w:tc>
        <w:tc>
          <w:tcPr>
            <w:tcW w:w="966" w:type="pct"/>
            <w:tcBorders>
              <w:top w:val="single" w:sz="4" w:space="0" w:color="auto"/>
              <w:bottom w:val="single" w:sz="4" w:space="0" w:color="auto"/>
            </w:tcBorders>
            <w:vAlign w:val="bottom"/>
          </w:tcPr>
          <w:p w14:paraId="3AD21404" w14:textId="77777777" w:rsidR="00C217FF" w:rsidRPr="000F120F" w:rsidRDefault="00C217FF" w:rsidP="00F36942">
            <w:pPr>
              <w:pStyle w:val="Tabletext"/>
              <w:rPr>
                <w:snapToGrid w:val="0"/>
              </w:rPr>
            </w:pPr>
            <w:r w:rsidRPr="00295986">
              <w:t>30</w:t>
            </w:r>
            <w:r w:rsidR="00D7157D">
              <w:t>.</w:t>
            </w:r>
            <w:r w:rsidRPr="00295986">
              <w:t>8472</w:t>
            </w:r>
          </w:p>
        </w:tc>
        <w:tc>
          <w:tcPr>
            <w:tcW w:w="966" w:type="pct"/>
            <w:tcBorders>
              <w:top w:val="single" w:sz="4" w:space="0" w:color="auto"/>
              <w:bottom w:val="single" w:sz="4" w:space="0" w:color="auto"/>
            </w:tcBorders>
            <w:vAlign w:val="bottom"/>
          </w:tcPr>
          <w:p w14:paraId="2856A89C" w14:textId="77777777" w:rsidR="00C217FF" w:rsidRPr="000F120F" w:rsidRDefault="00C217FF" w:rsidP="00F36942">
            <w:pPr>
              <w:pStyle w:val="Tabletext"/>
              <w:rPr>
                <w:snapToGrid w:val="0"/>
              </w:rPr>
            </w:pPr>
            <w:r w:rsidRPr="00295986">
              <w:t>0</w:t>
            </w:r>
            <w:r w:rsidR="00D7157D">
              <w:t>.</w:t>
            </w:r>
            <w:r w:rsidRPr="00295986">
              <w:t>5446</w:t>
            </w:r>
          </w:p>
        </w:tc>
      </w:tr>
      <w:tr w:rsidR="00C217FF" w:rsidRPr="009E2595" w14:paraId="0A664065" w14:textId="77777777" w:rsidTr="00F36942">
        <w:trPr>
          <w:cantSplit/>
        </w:trPr>
        <w:tc>
          <w:tcPr>
            <w:tcW w:w="1136" w:type="pct"/>
            <w:tcBorders>
              <w:top w:val="single" w:sz="4" w:space="0" w:color="auto"/>
              <w:bottom w:val="single" w:sz="4" w:space="0" w:color="auto"/>
            </w:tcBorders>
          </w:tcPr>
          <w:p w14:paraId="5148C331" w14:textId="77777777" w:rsidR="00C217FF" w:rsidRPr="00616B26" w:rsidRDefault="00C217FF" w:rsidP="00F36942">
            <w:pPr>
              <w:pStyle w:val="Tabletext"/>
              <w:rPr>
                <w:snapToGrid w:val="0"/>
              </w:rPr>
            </w:pPr>
            <w:r w:rsidRPr="00616B26">
              <w:rPr>
                <w:snapToGrid w:val="0"/>
              </w:rPr>
              <w:t>30</w:t>
            </w:r>
          </w:p>
        </w:tc>
        <w:tc>
          <w:tcPr>
            <w:tcW w:w="966" w:type="pct"/>
            <w:tcBorders>
              <w:top w:val="single" w:sz="4" w:space="0" w:color="auto"/>
              <w:bottom w:val="single" w:sz="4" w:space="0" w:color="auto"/>
            </w:tcBorders>
            <w:vAlign w:val="bottom"/>
          </w:tcPr>
          <w:p w14:paraId="6F750052" w14:textId="77777777" w:rsidR="00C217FF" w:rsidRPr="000F120F" w:rsidRDefault="00C217FF" w:rsidP="00F36942">
            <w:pPr>
              <w:pStyle w:val="Tabletext"/>
              <w:rPr>
                <w:snapToGrid w:val="0"/>
              </w:rPr>
            </w:pPr>
            <w:r w:rsidRPr="00295986">
              <w:t>29</w:t>
            </w:r>
            <w:r w:rsidR="00D7157D">
              <w:t>.</w:t>
            </w:r>
            <w:r w:rsidRPr="00295986">
              <w:t>9384</w:t>
            </w:r>
          </w:p>
        </w:tc>
        <w:tc>
          <w:tcPr>
            <w:tcW w:w="966" w:type="pct"/>
            <w:tcBorders>
              <w:top w:val="single" w:sz="4" w:space="0" w:color="auto"/>
              <w:bottom w:val="single" w:sz="4" w:space="0" w:color="auto"/>
            </w:tcBorders>
            <w:vAlign w:val="bottom"/>
          </w:tcPr>
          <w:p w14:paraId="769A3B9A" w14:textId="77777777" w:rsidR="00C217FF" w:rsidRPr="000F120F" w:rsidRDefault="00C217FF" w:rsidP="00F36942">
            <w:pPr>
              <w:pStyle w:val="Tabletext"/>
              <w:rPr>
                <w:snapToGrid w:val="0"/>
              </w:rPr>
            </w:pPr>
            <w:r w:rsidRPr="00295986">
              <w:t>1</w:t>
            </w:r>
            <w:r w:rsidR="00D7157D">
              <w:t>.</w:t>
            </w:r>
            <w:r w:rsidRPr="00295986">
              <w:t>3591</w:t>
            </w:r>
          </w:p>
        </w:tc>
        <w:tc>
          <w:tcPr>
            <w:tcW w:w="966" w:type="pct"/>
            <w:tcBorders>
              <w:top w:val="single" w:sz="4" w:space="0" w:color="auto"/>
              <w:bottom w:val="single" w:sz="4" w:space="0" w:color="auto"/>
            </w:tcBorders>
            <w:vAlign w:val="bottom"/>
          </w:tcPr>
          <w:p w14:paraId="15ED7FDB" w14:textId="77777777" w:rsidR="00C217FF" w:rsidRPr="000F120F" w:rsidRDefault="00C217FF" w:rsidP="00F36942">
            <w:pPr>
              <w:pStyle w:val="Tabletext"/>
              <w:rPr>
                <w:snapToGrid w:val="0"/>
              </w:rPr>
            </w:pPr>
            <w:r w:rsidRPr="00295986">
              <w:t>30</w:t>
            </w:r>
            <w:r w:rsidR="00D7157D">
              <w:t>.</w:t>
            </w:r>
            <w:r w:rsidRPr="00295986">
              <w:t>6308</w:t>
            </w:r>
          </w:p>
        </w:tc>
        <w:tc>
          <w:tcPr>
            <w:tcW w:w="966" w:type="pct"/>
            <w:tcBorders>
              <w:top w:val="single" w:sz="4" w:space="0" w:color="auto"/>
              <w:bottom w:val="single" w:sz="4" w:space="0" w:color="auto"/>
            </w:tcBorders>
            <w:vAlign w:val="bottom"/>
          </w:tcPr>
          <w:p w14:paraId="534EA03E" w14:textId="77777777" w:rsidR="00C217FF" w:rsidRPr="000F120F" w:rsidRDefault="00C217FF" w:rsidP="00F36942">
            <w:pPr>
              <w:pStyle w:val="Tabletext"/>
              <w:rPr>
                <w:snapToGrid w:val="0"/>
              </w:rPr>
            </w:pPr>
            <w:r w:rsidRPr="00295986">
              <w:t>0</w:t>
            </w:r>
            <w:r w:rsidR="00D7157D">
              <w:t>.</w:t>
            </w:r>
            <w:r w:rsidRPr="00295986">
              <w:t>5600</w:t>
            </w:r>
          </w:p>
        </w:tc>
      </w:tr>
      <w:tr w:rsidR="00C217FF" w:rsidRPr="009E2595" w14:paraId="5AA9C6E7" w14:textId="77777777" w:rsidTr="00F36942">
        <w:trPr>
          <w:cantSplit/>
        </w:trPr>
        <w:tc>
          <w:tcPr>
            <w:tcW w:w="1136" w:type="pct"/>
            <w:tcBorders>
              <w:top w:val="single" w:sz="4" w:space="0" w:color="auto"/>
              <w:bottom w:val="single" w:sz="4" w:space="0" w:color="auto"/>
            </w:tcBorders>
          </w:tcPr>
          <w:p w14:paraId="0FC11C51" w14:textId="77777777" w:rsidR="00C217FF" w:rsidRPr="00616B26" w:rsidRDefault="00C217FF" w:rsidP="00F36942">
            <w:pPr>
              <w:pStyle w:val="Tabletext"/>
              <w:rPr>
                <w:snapToGrid w:val="0"/>
              </w:rPr>
            </w:pPr>
            <w:r w:rsidRPr="00616B26">
              <w:rPr>
                <w:snapToGrid w:val="0"/>
              </w:rPr>
              <w:t>31</w:t>
            </w:r>
          </w:p>
        </w:tc>
        <w:tc>
          <w:tcPr>
            <w:tcW w:w="966" w:type="pct"/>
            <w:tcBorders>
              <w:top w:val="single" w:sz="4" w:space="0" w:color="auto"/>
              <w:bottom w:val="single" w:sz="4" w:space="0" w:color="auto"/>
            </w:tcBorders>
            <w:vAlign w:val="bottom"/>
          </w:tcPr>
          <w:p w14:paraId="7E67F6AF" w14:textId="77777777" w:rsidR="00C217FF" w:rsidRPr="000F120F" w:rsidRDefault="00C217FF" w:rsidP="00F36942">
            <w:pPr>
              <w:pStyle w:val="Tabletext"/>
              <w:rPr>
                <w:snapToGrid w:val="0"/>
              </w:rPr>
            </w:pPr>
            <w:r w:rsidRPr="00295986">
              <w:t>29</w:t>
            </w:r>
            <w:r w:rsidR="00D7157D">
              <w:t>.</w:t>
            </w:r>
            <w:r w:rsidRPr="00295986">
              <w:t>7023</w:t>
            </w:r>
          </w:p>
        </w:tc>
        <w:tc>
          <w:tcPr>
            <w:tcW w:w="966" w:type="pct"/>
            <w:tcBorders>
              <w:top w:val="single" w:sz="4" w:space="0" w:color="auto"/>
              <w:bottom w:val="single" w:sz="4" w:space="0" w:color="auto"/>
            </w:tcBorders>
            <w:vAlign w:val="bottom"/>
          </w:tcPr>
          <w:p w14:paraId="756F9EAB" w14:textId="77777777" w:rsidR="00C217FF" w:rsidRPr="000F120F" w:rsidRDefault="00C217FF" w:rsidP="00F36942">
            <w:pPr>
              <w:pStyle w:val="Tabletext"/>
              <w:rPr>
                <w:snapToGrid w:val="0"/>
              </w:rPr>
            </w:pPr>
            <w:r w:rsidRPr="00295986">
              <w:t>1</w:t>
            </w:r>
            <w:r w:rsidR="00D7157D">
              <w:t>.</w:t>
            </w:r>
            <w:r w:rsidRPr="00295986">
              <w:t>3941</w:t>
            </w:r>
          </w:p>
        </w:tc>
        <w:tc>
          <w:tcPr>
            <w:tcW w:w="966" w:type="pct"/>
            <w:tcBorders>
              <w:top w:val="single" w:sz="4" w:space="0" w:color="auto"/>
              <w:bottom w:val="single" w:sz="4" w:space="0" w:color="auto"/>
            </w:tcBorders>
            <w:vAlign w:val="bottom"/>
          </w:tcPr>
          <w:p w14:paraId="5626F324" w14:textId="77777777" w:rsidR="00C217FF" w:rsidRPr="000F120F" w:rsidRDefault="00C217FF" w:rsidP="00F36942">
            <w:pPr>
              <w:pStyle w:val="Tabletext"/>
              <w:rPr>
                <w:snapToGrid w:val="0"/>
              </w:rPr>
            </w:pPr>
            <w:r w:rsidRPr="00295986">
              <w:t>30</w:t>
            </w:r>
            <w:r w:rsidR="00D7157D">
              <w:t>.</w:t>
            </w:r>
            <w:r w:rsidRPr="00295986">
              <w:t>4086</w:t>
            </w:r>
          </w:p>
        </w:tc>
        <w:tc>
          <w:tcPr>
            <w:tcW w:w="966" w:type="pct"/>
            <w:tcBorders>
              <w:top w:val="single" w:sz="4" w:space="0" w:color="auto"/>
              <w:bottom w:val="single" w:sz="4" w:space="0" w:color="auto"/>
            </w:tcBorders>
            <w:vAlign w:val="bottom"/>
          </w:tcPr>
          <w:p w14:paraId="2F4A9102" w14:textId="77777777" w:rsidR="00C217FF" w:rsidRPr="000F120F" w:rsidRDefault="00C217FF" w:rsidP="00F36942">
            <w:pPr>
              <w:pStyle w:val="Tabletext"/>
              <w:rPr>
                <w:snapToGrid w:val="0"/>
              </w:rPr>
            </w:pPr>
            <w:r w:rsidRPr="00295986">
              <w:t>0</w:t>
            </w:r>
            <w:r w:rsidR="00D7157D">
              <w:t>.</w:t>
            </w:r>
            <w:r w:rsidRPr="00295986">
              <w:t>5758</w:t>
            </w:r>
          </w:p>
        </w:tc>
      </w:tr>
      <w:tr w:rsidR="00C217FF" w:rsidRPr="009E2595" w14:paraId="37F0A761" w14:textId="77777777" w:rsidTr="00F36942">
        <w:trPr>
          <w:cantSplit/>
        </w:trPr>
        <w:tc>
          <w:tcPr>
            <w:tcW w:w="1136" w:type="pct"/>
            <w:tcBorders>
              <w:top w:val="single" w:sz="4" w:space="0" w:color="auto"/>
              <w:bottom w:val="single" w:sz="4" w:space="0" w:color="auto"/>
            </w:tcBorders>
          </w:tcPr>
          <w:p w14:paraId="3E406934" w14:textId="77777777" w:rsidR="00C217FF" w:rsidRPr="00616B26" w:rsidRDefault="00C217FF" w:rsidP="00F36942">
            <w:pPr>
              <w:pStyle w:val="Tabletext"/>
              <w:rPr>
                <w:snapToGrid w:val="0"/>
              </w:rPr>
            </w:pPr>
            <w:r w:rsidRPr="00616B26">
              <w:rPr>
                <w:snapToGrid w:val="0"/>
              </w:rPr>
              <w:t>32</w:t>
            </w:r>
          </w:p>
        </w:tc>
        <w:tc>
          <w:tcPr>
            <w:tcW w:w="966" w:type="pct"/>
            <w:tcBorders>
              <w:top w:val="single" w:sz="4" w:space="0" w:color="auto"/>
              <w:bottom w:val="single" w:sz="4" w:space="0" w:color="auto"/>
            </w:tcBorders>
            <w:vAlign w:val="bottom"/>
          </w:tcPr>
          <w:p w14:paraId="4810CF33" w14:textId="77777777" w:rsidR="00C217FF" w:rsidRPr="000F120F" w:rsidRDefault="00C217FF" w:rsidP="00F36942">
            <w:pPr>
              <w:pStyle w:val="Tabletext"/>
              <w:rPr>
                <w:snapToGrid w:val="0"/>
              </w:rPr>
            </w:pPr>
            <w:r w:rsidRPr="00295986">
              <w:t>29</w:t>
            </w:r>
            <w:r w:rsidR="00D7157D">
              <w:t>.</w:t>
            </w:r>
            <w:r w:rsidRPr="00295986">
              <w:t>4601</w:t>
            </w:r>
          </w:p>
        </w:tc>
        <w:tc>
          <w:tcPr>
            <w:tcW w:w="966" w:type="pct"/>
            <w:tcBorders>
              <w:top w:val="single" w:sz="4" w:space="0" w:color="auto"/>
              <w:bottom w:val="single" w:sz="4" w:space="0" w:color="auto"/>
            </w:tcBorders>
            <w:vAlign w:val="bottom"/>
          </w:tcPr>
          <w:p w14:paraId="47E9B32A" w14:textId="77777777" w:rsidR="00C217FF" w:rsidRPr="000F120F" w:rsidRDefault="00C217FF" w:rsidP="00F36942">
            <w:pPr>
              <w:pStyle w:val="Tabletext"/>
              <w:rPr>
                <w:snapToGrid w:val="0"/>
              </w:rPr>
            </w:pPr>
            <w:r w:rsidRPr="00295986">
              <w:t>1</w:t>
            </w:r>
            <w:r w:rsidR="00D7157D">
              <w:t>.</w:t>
            </w:r>
            <w:r w:rsidRPr="00295986">
              <w:t>4299</w:t>
            </w:r>
          </w:p>
        </w:tc>
        <w:tc>
          <w:tcPr>
            <w:tcW w:w="966" w:type="pct"/>
            <w:tcBorders>
              <w:top w:val="single" w:sz="4" w:space="0" w:color="auto"/>
              <w:bottom w:val="single" w:sz="4" w:space="0" w:color="auto"/>
            </w:tcBorders>
            <w:vAlign w:val="bottom"/>
          </w:tcPr>
          <w:p w14:paraId="6B8B31B7" w14:textId="77777777" w:rsidR="00C217FF" w:rsidRPr="000F120F" w:rsidRDefault="00C217FF" w:rsidP="00F36942">
            <w:pPr>
              <w:pStyle w:val="Tabletext"/>
              <w:rPr>
                <w:snapToGrid w:val="0"/>
              </w:rPr>
            </w:pPr>
            <w:r w:rsidRPr="00295986">
              <w:t>30</w:t>
            </w:r>
            <w:r w:rsidR="00D7157D">
              <w:t>.</w:t>
            </w:r>
            <w:r w:rsidRPr="00295986">
              <w:t>1808</w:t>
            </w:r>
          </w:p>
        </w:tc>
        <w:tc>
          <w:tcPr>
            <w:tcW w:w="966" w:type="pct"/>
            <w:tcBorders>
              <w:top w:val="single" w:sz="4" w:space="0" w:color="auto"/>
              <w:bottom w:val="single" w:sz="4" w:space="0" w:color="auto"/>
            </w:tcBorders>
            <w:vAlign w:val="bottom"/>
          </w:tcPr>
          <w:p w14:paraId="55FF230E" w14:textId="77777777" w:rsidR="00C217FF" w:rsidRPr="000F120F" w:rsidRDefault="00C217FF" w:rsidP="00F36942">
            <w:pPr>
              <w:pStyle w:val="Tabletext"/>
              <w:rPr>
                <w:snapToGrid w:val="0"/>
              </w:rPr>
            </w:pPr>
            <w:r w:rsidRPr="00295986">
              <w:t>0</w:t>
            </w:r>
            <w:r w:rsidR="00D7157D">
              <w:t>.</w:t>
            </w:r>
            <w:r w:rsidRPr="00295986">
              <w:t>5918</w:t>
            </w:r>
          </w:p>
        </w:tc>
      </w:tr>
      <w:tr w:rsidR="00C217FF" w:rsidRPr="009E2595" w14:paraId="77C3AB23" w14:textId="77777777" w:rsidTr="00F36942">
        <w:trPr>
          <w:cantSplit/>
        </w:trPr>
        <w:tc>
          <w:tcPr>
            <w:tcW w:w="1136" w:type="pct"/>
            <w:tcBorders>
              <w:top w:val="single" w:sz="4" w:space="0" w:color="auto"/>
              <w:bottom w:val="single" w:sz="4" w:space="0" w:color="auto"/>
            </w:tcBorders>
          </w:tcPr>
          <w:p w14:paraId="2651FF2B" w14:textId="77777777" w:rsidR="00C217FF" w:rsidRPr="00616B26" w:rsidRDefault="00C217FF" w:rsidP="00F36942">
            <w:pPr>
              <w:pStyle w:val="Tabletext"/>
              <w:rPr>
                <w:snapToGrid w:val="0"/>
              </w:rPr>
            </w:pPr>
            <w:r w:rsidRPr="00616B26">
              <w:rPr>
                <w:snapToGrid w:val="0"/>
              </w:rPr>
              <w:t>33</w:t>
            </w:r>
          </w:p>
        </w:tc>
        <w:tc>
          <w:tcPr>
            <w:tcW w:w="966" w:type="pct"/>
            <w:tcBorders>
              <w:top w:val="single" w:sz="4" w:space="0" w:color="auto"/>
              <w:bottom w:val="single" w:sz="4" w:space="0" w:color="auto"/>
            </w:tcBorders>
            <w:vAlign w:val="bottom"/>
          </w:tcPr>
          <w:p w14:paraId="32B6E0AD" w14:textId="77777777" w:rsidR="00C217FF" w:rsidRPr="000F120F" w:rsidRDefault="00C217FF" w:rsidP="00F36942">
            <w:pPr>
              <w:pStyle w:val="Tabletext"/>
              <w:rPr>
                <w:snapToGrid w:val="0"/>
              </w:rPr>
            </w:pPr>
            <w:r w:rsidRPr="00295986">
              <w:t>29</w:t>
            </w:r>
            <w:r w:rsidR="00D7157D">
              <w:t>.</w:t>
            </w:r>
            <w:r w:rsidRPr="00295986">
              <w:t>2116</w:t>
            </w:r>
          </w:p>
        </w:tc>
        <w:tc>
          <w:tcPr>
            <w:tcW w:w="966" w:type="pct"/>
            <w:tcBorders>
              <w:top w:val="single" w:sz="4" w:space="0" w:color="auto"/>
              <w:bottom w:val="single" w:sz="4" w:space="0" w:color="auto"/>
            </w:tcBorders>
            <w:vAlign w:val="bottom"/>
          </w:tcPr>
          <w:p w14:paraId="2CD60E56" w14:textId="77777777" w:rsidR="00C217FF" w:rsidRPr="000F120F" w:rsidRDefault="00C217FF" w:rsidP="00F36942">
            <w:pPr>
              <w:pStyle w:val="Tabletext"/>
              <w:rPr>
                <w:snapToGrid w:val="0"/>
              </w:rPr>
            </w:pPr>
            <w:r w:rsidRPr="00295986">
              <w:t>1</w:t>
            </w:r>
            <w:r w:rsidR="00D7157D">
              <w:t>.</w:t>
            </w:r>
            <w:r w:rsidRPr="00295986">
              <w:t>4665</w:t>
            </w:r>
          </w:p>
        </w:tc>
        <w:tc>
          <w:tcPr>
            <w:tcW w:w="966" w:type="pct"/>
            <w:tcBorders>
              <w:top w:val="single" w:sz="4" w:space="0" w:color="auto"/>
              <w:bottom w:val="single" w:sz="4" w:space="0" w:color="auto"/>
            </w:tcBorders>
            <w:vAlign w:val="bottom"/>
          </w:tcPr>
          <w:p w14:paraId="2AF0C9A4" w14:textId="77777777" w:rsidR="00C217FF" w:rsidRPr="000F120F" w:rsidRDefault="00C217FF" w:rsidP="00F36942">
            <w:pPr>
              <w:pStyle w:val="Tabletext"/>
              <w:rPr>
                <w:snapToGrid w:val="0"/>
              </w:rPr>
            </w:pPr>
            <w:r w:rsidRPr="00295986">
              <w:t>29</w:t>
            </w:r>
            <w:r w:rsidR="00D7157D">
              <w:t>.</w:t>
            </w:r>
            <w:r w:rsidRPr="00295986">
              <w:t>9470</w:t>
            </w:r>
          </w:p>
        </w:tc>
        <w:tc>
          <w:tcPr>
            <w:tcW w:w="966" w:type="pct"/>
            <w:tcBorders>
              <w:top w:val="single" w:sz="4" w:space="0" w:color="auto"/>
              <w:bottom w:val="single" w:sz="4" w:space="0" w:color="auto"/>
            </w:tcBorders>
            <w:vAlign w:val="bottom"/>
          </w:tcPr>
          <w:p w14:paraId="72746E98" w14:textId="77777777" w:rsidR="00C217FF" w:rsidRPr="000F120F" w:rsidRDefault="00C217FF" w:rsidP="00F36942">
            <w:pPr>
              <w:pStyle w:val="Tabletext"/>
              <w:rPr>
                <w:snapToGrid w:val="0"/>
              </w:rPr>
            </w:pPr>
            <w:r w:rsidRPr="00295986">
              <w:t>0</w:t>
            </w:r>
            <w:r w:rsidR="00D7157D">
              <w:t>.</w:t>
            </w:r>
            <w:r w:rsidRPr="00295986">
              <w:t>6081</w:t>
            </w:r>
          </w:p>
        </w:tc>
      </w:tr>
      <w:tr w:rsidR="00C217FF" w:rsidRPr="009E2595" w14:paraId="60343C61" w14:textId="77777777" w:rsidTr="00F36942">
        <w:trPr>
          <w:cantSplit/>
        </w:trPr>
        <w:tc>
          <w:tcPr>
            <w:tcW w:w="1136" w:type="pct"/>
            <w:tcBorders>
              <w:top w:val="single" w:sz="4" w:space="0" w:color="auto"/>
              <w:bottom w:val="single" w:sz="4" w:space="0" w:color="auto"/>
            </w:tcBorders>
          </w:tcPr>
          <w:p w14:paraId="2889498A" w14:textId="77777777" w:rsidR="00C217FF" w:rsidRPr="00616B26" w:rsidRDefault="00C217FF" w:rsidP="00F36942">
            <w:pPr>
              <w:pStyle w:val="Tabletext"/>
              <w:rPr>
                <w:snapToGrid w:val="0"/>
              </w:rPr>
            </w:pPr>
            <w:r w:rsidRPr="00616B26">
              <w:rPr>
                <w:snapToGrid w:val="0"/>
              </w:rPr>
              <w:t>34</w:t>
            </w:r>
          </w:p>
        </w:tc>
        <w:tc>
          <w:tcPr>
            <w:tcW w:w="966" w:type="pct"/>
            <w:tcBorders>
              <w:top w:val="single" w:sz="4" w:space="0" w:color="auto"/>
              <w:bottom w:val="single" w:sz="4" w:space="0" w:color="auto"/>
            </w:tcBorders>
            <w:vAlign w:val="bottom"/>
          </w:tcPr>
          <w:p w14:paraId="35D6F54C" w14:textId="77777777" w:rsidR="00C217FF" w:rsidRPr="000F120F" w:rsidRDefault="00C217FF" w:rsidP="00F36942">
            <w:pPr>
              <w:pStyle w:val="Tabletext"/>
              <w:rPr>
                <w:snapToGrid w:val="0"/>
              </w:rPr>
            </w:pPr>
            <w:r w:rsidRPr="00295986">
              <w:t>28</w:t>
            </w:r>
            <w:r w:rsidR="00D7157D">
              <w:t>.</w:t>
            </w:r>
            <w:r w:rsidRPr="00295986">
              <w:t>9567</w:t>
            </w:r>
          </w:p>
        </w:tc>
        <w:tc>
          <w:tcPr>
            <w:tcW w:w="966" w:type="pct"/>
            <w:tcBorders>
              <w:top w:val="single" w:sz="4" w:space="0" w:color="auto"/>
              <w:bottom w:val="single" w:sz="4" w:space="0" w:color="auto"/>
            </w:tcBorders>
            <w:vAlign w:val="bottom"/>
          </w:tcPr>
          <w:p w14:paraId="128D2700" w14:textId="77777777" w:rsidR="00C217FF" w:rsidRPr="000F120F" w:rsidRDefault="00C217FF" w:rsidP="00F36942">
            <w:pPr>
              <w:pStyle w:val="Tabletext"/>
              <w:rPr>
                <w:snapToGrid w:val="0"/>
              </w:rPr>
            </w:pPr>
            <w:r w:rsidRPr="00295986">
              <w:t>1</w:t>
            </w:r>
            <w:r w:rsidR="00D7157D">
              <w:t>.</w:t>
            </w:r>
            <w:r w:rsidRPr="00295986">
              <w:t>5039</w:t>
            </w:r>
          </w:p>
        </w:tc>
        <w:tc>
          <w:tcPr>
            <w:tcW w:w="966" w:type="pct"/>
            <w:tcBorders>
              <w:top w:val="single" w:sz="4" w:space="0" w:color="auto"/>
              <w:bottom w:val="single" w:sz="4" w:space="0" w:color="auto"/>
            </w:tcBorders>
            <w:vAlign w:val="bottom"/>
          </w:tcPr>
          <w:p w14:paraId="4C1DDBEE" w14:textId="77777777" w:rsidR="00C217FF" w:rsidRPr="000F120F" w:rsidRDefault="00C217FF" w:rsidP="00F36942">
            <w:pPr>
              <w:pStyle w:val="Tabletext"/>
              <w:rPr>
                <w:snapToGrid w:val="0"/>
              </w:rPr>
            </w:pPr>
            <w:r w:rsidRPr="00295986">
              <w:t>29</w:t>
            </w:r>
            <w:r w:rsidR="00D7157D">
              <w:t>.</w:t>
            </w:r>
            <w:r w:rsidRPr="00295986">
              <w:t>7072</w:t>
            </w:r>
          </w:p>
        </w:tc>
        <w:tc>
          <w:tcPr>
            <w:tcW w:w="966" w:type="pct"/>
            <w:tcBorders>
              <w:top w:val="single" w:sz="4" w:space="0" w:color="auto"/>
              <w:bottom w:val="single" w:sz="4" w:space="0" w:color="auto"/>
            </w:tcBorders>
            <w:vAlign w:val="bottom"/>
          </w:tcPr>
          <w:p w14:paraId="308B0464" w14:textId="77777777" w:rsidR="00C217FF" w:rsidRPr="000F120F" w:rsidRDefault="00C217FF" w:rsidP="00F36942">
            <w:pPr>
              <w:pStyle w:val="Tabletext"/>
              <w:rPr>
                <w:snapToGrid w:val="0"/>
              </w:rPr>
            </w:pPr>
            <w:r w:rsidRPr="00295986">
              <w:t>0</w:t>
            </w:r>
            <w:r w:rsidR="00D7157D">
              <w:t>.</w:t>
            </w:r>
            <w:r w:rsidRPr="00295986">
              <w:t>6247</w:t>
            </w:r>
          </w:p>
        </w:tc>
      </w:tr>
      <w:tr w:rsidR="00C217FF" w:rsidRPr="009E2595" w14:paraId="629E1A06" w14:textId="77777777" w:rsidTr="00F36942">
        <w:trPr>
          <w:cantSplit/>
        </w:trPr>
        <w:tc>
          <w:tcPr>
            <w:tcW w:w="1136" w:type="pct"/>
            <w:tcBorders>
              <w:top w:val="single" w:sz="4" w:space="0" w:color="auto"/>
              <w:bottom w:val="single" w:sz="4" w:space="0" w:color="auto"/>
            </w:tcBorders>
          </w:tcPr>
          <w:p w14:paraId="4EFD3D17" w14:textId="77777777" w:rsidR="00C217FF" w:rsidRPr="00616B26" w:rsidRDefault="00C217FF" w:rsidP="00F36942">
            <w:pPr>
              <w:pStyle w:val="Tabletext"/>
              <w:rPr>
                <w:snapToGrid w:val="0"/>
              </w:rPr>
            </w:pPr>
            <w:r w:rsidRPr="00616B26">
              <w:rPr>
                <w:snapToGrid w:val="0"/>
              </w:rPr>
              <w:t>35</w:t>
            </w:r>
          </w:p>
        </w:tc>
        <w:tc>
          <w:tcPr>
            <w:tcW w:w="966" w:type="pct"/>
            <w:tcBorders>
              <w:top w:val="single" w:sz="4" w:space="0" w:color="auto"/>
              <w:bottom w:val="single" w:sz="4" w:space="0" w:color="auto"/>
            </w:tcBorders>
            <w:vAlign w:val="bottom"/>
          </w:tcPr>
          <w:p w14:paraId="641D6BC0" w14:textId="77777777" w:rsidR="00C217FF" w:rsidRPr="000F120F" w:rsidRDefault="00C217FF" w:rsidP="00F36942">
            <w:pPr>
              <w:pStyle w:val="Tabletext"/>
              <w:rPr>
                <w:snapToGrid w:val="0"/>
              </w:rPr>
            </w:pPr>
            <w:r w:rsidRPr="00295986">
              <w:t>28</w:t>
            </w:r>
            <w:r w:rsidR="00D7157D">
              <w:t>.</w:t>
            </w:r>
            <w:r w:rsidRPr="00295986">
              <w:t>6955</w:t>
            </w:r>
          </w:p>
        </w:tc>
        <w:tc>
          <w:tcPr>
            <w:tcW w:w="966" w:type="pct"/>
            <w:tcBorders>
              <w:top w:val="single" w:sz="4" w:space="0" w:color="auto"/>
              <w:bottom w:val="single" w:sz="4" w:space="0" w:color="auto"/>
            </w:tcBorders>
            <w:vAlign w:val="bottom"/>
          </w:tcPr>
          <w:p w14:paraId="57BBA121" w14:textId="77777777" w:rsidR="00C217FF" w:rsidRPr="000F120F" w:rsidRDefault="00C217FF" w:rsidP="00F36942">
            <w:pPr>
              <w:pStyle w:val="Tabletext"/>
              <w:rPr>
                <w:snapToGrid w:val="0"/>
              </w:rPr>
            </w:pPr>
            <w:r w:rsidRPr="00295986">
              <w:t>1</w:t>
            </w:r>
            <w:r w:rsidR="00D7157D">
              <w:t>.</w:t>
            </w:r>
            <w:r w:rsidRPr="00295986">
              <w:t>5419</w:t>
            </w:r>
          </w:p>
        </w:tc>
        <w:tc>
          <w:tcPr>
            <w:tcW w:w="966" w:type="pct"/>
            <w:tcBorders>
              <w:top w:val="single" w:sz="4" w:space="0" w:color="auto"/>
              <w:bottom w:val="single" w:sz="4" w:space="0" w:color="auto"/>
            </w:tcBorders>
            <w:vAlign w:val="bottom"/>
          </w:tcPr>
          <w:p w14:paraId="54215CE8" w14:textId="77777777" w:rsidR="00C217FF" w:rsidRPr="000F120F" w:rsidRDefault="00C217FF" w:rsidP="00F36942">
            <w:pPr>
              <w:pStyle w:val="Tabletext"/>
              <w:rPr>
                <w:snapToGrid w:val="0"/>
              </w:rPr>
            </w:pPr>
            <w:r w:rsidRPr="00295986">
              <w:t>29</w:t>
            </w:r>
            <w:r w:rsidR="00D7157D">
              <w:t>.</w:t>
            </w:r>
            <w:r w:rsidRPr="00295986">
              <w:t>4609</w:t>
            </w:r>
          </w:p>
        </w:tc>
        <w:tc>
          <w:tcPr>
            <w:tcW w:w="966" w:type="pct"/>
            <w:tcBorders>
              <w:top w:val="single" w:sz="4" w:space="0" w:color="auto"/>
              <w:bottom w:val="single" w:sz="4" w:space="0" w:color="auto"/>
            </w:tcBorders>
            <w:vAlign w:val="bottom"/>
          </w:tcPr>
          <w:p w14:paraId="1EF61C08" w14:textId="77777777" w:rsidR="00C217FF" w:rsidRPr="000F120F" w:rsidRDefault="00C217FF" w:rsidP="00F36942">
            <w:pPr>
              <w:pStyle w:val="Tabletext"/>
              <w:rPr>
                <w:snapToGrid w:val="0"/>
              </w:rPr>
            </w:pPr>
            <w:r w:rsidRPr="00295986">
              <w:t>0</w:t>
            </w:r>
            <w:r w:rsidR="00D7157D">
              <w:t>.</w:t>
            </w:r>
            <w:r w:rsidRPr="00295986">
              <w:t>6417</w:t>
            </w:r>
          </w:p>
        </w:tc>
      </w:tr>
      <w:tr w:rsidR="00C217FF" w:rsidRPr="009E2595" w14:paraId="6B610391" w14:textId="77777777" w:rsidTr="00F36942">
        <w:trPr>
          <w:cantSplit/>
        </w:trPr>
        <w:tc>
          <w:tcPr>
            <w:tcW w:w="1136" w:type="pct"/>
            <w:tcBorders>
              <w:top w:val="single" w:sz="4" w:space="0" w:color="auto"/>
              <w:bottom w:val="single" w:sz="4" w:space="0" w:color="auto"/>
            </w:tcBorders>
          </w:tcPr>
          <w:p w14:paraId="66593E15" w14:textId="77777777" w:rsidR="00C217FF" w:rsidRPr="00616B26" w:rsidRDefault="00C217FF" w:rsidP="00F36942">
            <w:pPr>
              <w:pStyle w:val="Tabletext"/>
              <w:rPr>
                <w:snapToGrid w:val="0"/>
              </w:rPr>
            </w:pPr>
            <w:r w:rsidRPr="00616B26">
              <w:rPr>
                <w:snapToGrid w:val="0"/>
              </w:rPr>
              <w:t>36</w:t>
            </w:r>
          </w:p>
        </w:tc>
        <w:tc>
          <w:tcPr>
            <w:tcW w:w="966" w:type="pct"/>
            <w:tcBorders>
              <w:top w:val="single" w:sz="4" w:space="0" w:color="auto"/>
              <w:bottom w:val="single" w:sz="4" w:space="0" w:color="auto"/>
            </w:tcBorders>
            <w:vAlign w:val="bottom"/>
          </w:tcPr>
          <w:p w14:paraId="08AF86AC" w14:textId="77777777" w:rsidR="00C217FF" w:rsidRPr="000F120F" w:rsidRDefault="00C217FF" w:rsidP="00F36942">
            <w:pPr>
              <w:pStyle w:val="Tabletext"/>
              <w:rPr>
                <w:snapToGrid w:val="0"/>
              </w:rPr>
            </w:pPr>
            <w:r w:rsidRPr="00295986">
              <w:t>28</w:t>
            </w:r>
            <w:r w:rsidR="00D7157D">
              <w:t>.</w:t>
            </w:r>
            <w:r w:rsidRPr="00295986">
              <w:t>4278</w:t>
            </w:r>
          </w:p>
        </w:tc>
        <w:tc>
          <w:tcPr>
            <w:tcW w:w="966" w:type="pct"/>
            <w:tcBorders>
              <w:top w:val="single" w:sz="4" w:space="0" w:color="auto"/>
              <w:bottom w:val="single" w:sz="4" w:space="0" w:color="auto"/>
            </w:tcBorders>
            <w:vAlign w:val="bottom"/>
          </w:tcPr>
          <w:p w14:paraId="50CE1C32" w14:textId="77777777" w:rsidR="00C217FF" w:rsidRPr="000F120F" w:rsidRDefault="00C217FF" w:rsidP="00F36942">
            <w:pPr>
              <w:pStyle w:val="Tabletext"/>
              <w:rPr>
                <w:snapToGrid w:val="0"/>
              </w:rPr>
            </w:pPr>
            <w:r w:rsidRPr="00295986">
              <w:t>1</w:t>
            </w:r>
            <w:r w:rsidR="00D7157D">
              <w:t>.</w:t>
            </w:r>
            <w:r w:rsidRPr="00295986">
              <w:t>5806</w:t>
            </w:r>
          </w:p>
        </w:tc>
        <w:tc>
          <w:tcPr>
            <w:tcW w:w="966" w:type="pct"/>
            <w:tcBorders>
              <w:top w:val="single" w:sz="4" w:space="0" w:color="auto"/>
              <w:bottom w:val="single" w:sz="4" w:space="0" w:color="auto"/>
            </w:tcBorders>
            <w:vAlign w:val="bottom"/>
          </w:tcPr>
          <w:p w14:paraId="0E1C8E59" w14:textId="77777777" w:rsidR="00C217FF" w:rsidRPr="000F120F" w:rsidRDefault="00C217FF" w:rsidP="00F36942">
            <w:pPr>
              <w:pStyle w:val="Tabletext"/>
              <w:rPr>
                <w:snapToGrid w:val="0"/>
              </w:rPr>
            </w:pPr>
            <w:r w:rsidRPr="00295986">
              <w:t>29</w:t>
            </w:r>
            <w:r w:rsidR="00D7157D">
              <w:t>.</w:t>
            </w:r>
            <w:r w:rsidRPr="00295986">
              <w:t>2084</w:t>
            </w:r>
          </w:p>
        </w:tc>
        <w:tc>
          <w:tcPr>
            <w:tcW w:w="966" w:type="pct"/>
            <w:tcBorders>
              <w:top w:val="single" w:sz="4" w:space="0" w:color="auto"/>
              <w:bottom w:val="single" w:sz="4" w:space="0" w:color="auto"/>
            </w:tcBorders>
            <w:vAlign w:val="bottom"/>
          </w:tcPr>
          <w:p w14:paraId="788D9A2F" w14:textId="77777777" w:rsidR="00C217FF" w:rsidRPr="000F120F" w:rsidRDefault="00C217FF" w:rsidP="00F36942">
            <w:pPr>
              <w:pStyle w:val="Tabletext"/>
              <w:rPr>
                <w:snapToGrid w:val="0"/>
              </w:rPr>
            </w:pPr>
            <w:r w:rsidRPr="00295986">
              <w:t>0</w:t>
            </w:r>
            <w:r w:rsidR="00D7157D">
              <w:t>.</w:t>
            </w:r>
            <w:r w:rsidRPr="00295986">
              <w:t>6590</w:t>
            </w:r>
          </w:p>
        </w:tc>
      </w:tr>
      <w:tr w:rsidR="00C217FF" w:rsidRPr="009E2595" w14:paraId="51CE9B6E" w14:textId="77777777" w:rsidTr="00F36942">
        <w:trPr>
          <w:cantSplit/>
        </w:trPr>
        <w:tc>
          <w:tcPr>
            <w:tcW w:w="1136" w:type="pct"/>
            <w:tcBorders>
              <w:top w:val="single" w:sz="4" w:space="0" w:color="auto"/>
              <w:bottom w:val="single" w:sz="4" w:space="0" w:color="auto"/>
            </w:tcBorders>
          </w:tcPr>
          <w:p w14:paraId="03D2D3AE" w14:textId="77777777" w:rsidR="00C217FF" w:rsidRPr="00616B26" w:rsidRDefault="00C217FF" w:rsidP="00F36942">
            <w:pPr>
              <w:pStyle w:val="Tabletext"/>
              <w:rPr>
                <w:snapToGrid w:val="0"/>
              </w:rPr>
            </w:pPr>
            <w:r w:rsidRPr="00616B26">
              <w:rPr>
                <w:snapToGrid w:val="0"/>
              </w:rPr>
              <w:t>37</w:t>
            </w:r>
          </w:p>
        </w:tc>
        <w:tc>
          <w:tcPr>
            <w:tcW w:w="966" w:type="pct"/>
            <w:tcBorders>
              <w:top w:val="single" w:sz="4" w:space="0" w:color="auto"/>
              <w:bottom w:val="single" w:sz="4" w:space="0" w:color="auto"/>
            </w:tcBorders>
            <w:vAlign w:val="bottom"/>
          </w:tcPr>
          <w:p w14:paraId="4A0F7362" w14:textId="77777777" w:rsidR="00C217FF" w:rsidRPr="000F120F" w:rsidRDefault="00C217FF" w:rsidP="00F36942">
            <w:pPr>
              <w:pStyle w:val="Tabletext"/>
              <w:rPr>
                <w:snapToGrid w:val="0"/>
              </w:rPr>
            </w:pPr>
            <w:r w:rsidRPr="00295986">
              <w:t>28</w:t>
            </w:r>
            <w:r w:rsidR="00D7157D">
              <w:t>.</w:t>
            </w:r>
            <w:r w:rsidRPr="00295986">
              <w:t>1537</w:t>
            </w:r>
          </w:p>
        </w:tc>
        <w:tc>
          <w:tcPr>
            <w:tcW w:w="966" w:type="pct"/>
            <w:tcBorders>
              <w:top w:val="single" w:sz="4" w:space="0" w:color="auto"/>
              <w:bottom w:val="single" w:sz="4" w:space="0" w:color="auto"/>
            </w:tcBorders>
            <w:vAlign w:val="bottom"/>
          </w:tcPr>
          <w:p w14:paraId="4DCA40C8" w14:textId="77777777" w:rsidR="00C217FF" w:rsidRPr="000F120F" w:rsidRDefault="00C217FF" w:rsidP="00F36942">
            <w:pPr>
              <w:pStyle w:val="Tabletext"/>
              <w:rPr>
                <w:snapToGrid w:val="0"/>
              </w:rPr>
            </w:pPr>
            <w:r w:rsidRPr="00295986">
              <w:t>1</w:t>
            </w:r>
            <w:r w:rsidR="00D7157D">
              <w:t>.</w:t>
            </w:r>
            <w:r w:rsidRPr="00295986">
              <w:t>6199</w:t>
            </w:r>
          </w:p>
        </w:tc>
        <w:tc>
          <w:tcPr>
            <w:tcW w:w="966" w:type="pct"/>
            <w:tcBorders>
              <w:top w:val="single" w:sz="4" w:space="0" w:color="auto"/>
              <w:bottom w:val="single" w:sz="4" w:space="0" w:color="auto"/>
            </w:tcBorders>
            <w:vAlign w:val="bottom"/>
          </w:tcPr>
          <w:p w14:paraId="63240BC0" w14:textId="77777777" w:rsidR="00C217FF" w:rsidRPr="000F120F" w:rsidRDefault="00C217FF" w:rsidP="00F36942">
            <w:pPr>
              <w:pStyle w:val="Tabletext"/>
              <w:rPr>
                <w:snapToGrid w:val="0"/>
              </w:rPr>
            </w:pPr>
            <w:r w:rsidRPr="00295986">
              <w:t>28</w:t>
            </w:r>
            <w:r w:rsidR="00D7157D">
              <w:t>.</w:t>
            </w:r>
            <w:r w:rsidRPr="00295986">
              <w:t>9494</w:t>
            </w:r>
          </w:p>
        </w:tc>
        <w:tc>
          <w:tcPr>
            <w:tcW w:w="966" w:type="pct"/>
            <w:tcBorders>
              <w:top w:val="single" w:sz="4" w:space="0" w:color="auto"/>
              <w:bottom w:val="single" w:sz="4" w:space="0" w:color="auto"/>
            </w:tcBorders>
            <w:vAlign w:val="bottom"/>
          </w:tcPr>
          <w:p w14:paraId="78E3AF72" w14:textId="77777777" w:rsidR="00C217FF" w:rsidRPr="000F120F" w:rsidRDefault="00C217FF" w:rsidP="00F36942">
            <w:pPr>
              <w:pStyle w:val="Tabletext"/>
              <w:rPr>
                <w:snapToGrid w:val="0"/>
              </w:rPr>
            </w:pPr>
            <w:r w:rsidRPr="00295986">
              <w:t>0</w:t>
            </w:r>
            <w:r w:rsidR="00D7157D">
              <w:t>.</w:t>
            </w:r>
            <w:r w:rsidRPr="00295986">
              <w:t>6765</w:t>
            </w:r>
          </w:p>
        </w:tc>
      </w:tr>
      <w:tr w:rsidR="00C217FF" w:rsidRPr="009E2595" w14:paraId="44D8678B" w14:textId="77777777" w:rsidTr="00F36942">
        <w:trPr>
          <w:cantSplit/>
        </w:trPr>
        <w:tc>
          <w:tcPr>
            <w:tcW w:w="1136" w:type="pct"/>
            <w:tcBorders>
              <w:top w:val="single" w:sz="4" w:space="0" w:color="auto"/>
              <w:bottom w:val="single" w:sz="4" w:space="0" w:color="auto"/>
            </w:tcBorders>
          </w:tcPr>
          <w:p w14:paraId="7E2D9DE7" w14:textId="77777777" w:rsidR="00C217FF" w:rsidRPr="00616B26" w:rsidRDefault="00C217FF" w:rsidP="00F36942">
            <w:pPr>
              <w:pStyle w:val="Tabletext"/>
              <w:rPr>
                <w:snapToGrid w:val="0"/>
              </w:rPr>
            </w:pPr>
            <w:r w:rsidRPr="00616B26">
              <w:rPr>
                <w:snapToGrid w:val="0"/>
              </w:rPr>
              <w:t>38</w:t>
            </w:r>
          </w:p>
        </w:tc>
        <w:tc>
          <w:tcPr>
            <w:tcW w:w="966" w:type="pct"/>
            <w:tcBorders>
              <w:top w:val="single" w:sz="4" w:space="0" w:color="auto"/>
              <w:bottom w:val="single" w:sz="4" w:space="0" w:color="auto"/>
            </w:tcBorders>
            <w:vAlign w:val="bottom"/>
          </w:tcPr>
          <w:p w14:paraId="370FAA0B" w14:textId="77777777" w:rsidR="00C217FF" w:rsidRPr="000F120F" w:rsidRDefault="00C217FF" w:rsidP="00F36942">
            <w:pPr>
              <w:pStyle w:val="Tabletext"/>
              <w:rPr>
                <w:snapToGrid w:val="0"/>
              </w:rPr>
            </w:pPr>
            <w:r w:rsidRPr="00295986">
              <w:t>27</w:t>
            </w:r>
            <w:r w:rsidR="00D7157D">
              <w:t>.</w:t>
            </w:r>
            <w:r w:rsidRPr="00295986">
              <w:t>8730</w:t>
            </w:r>
          </w:p>
        </w:tc>
        <w:tc>
          <w:tcPr>
            <w:tcW w:w="966" w:type="pct"/>
            <w:tcBorders>
              <w:top w:val="single" w:sz="4" w:space="0" w:color="auto"/>
              <w:bottom w:val="single" w:sz="4" w:space="0" w:color="auto"/>
            </w:tcBorders>
            <w:vAlign w:val="bottom"/>
          </w:tcPr>
          <w:p w14:paraId="6EFB3D0A" w14:textId="77777777" w:rsidR="00C217FF" w:rsidRPr="000F120F" w:rsidRDefault="00C217FF" w:rsidP="00F36942">
            <w:pPr>
              <w:pStyle w:val="Tabletext"/>
              <w:rPr>
                <w:snapToGrid w:val="0"/>
              </w:rPr>
            </w:pPr>
            <w:r w:rsidRPr="00295986">
              <w:t>1</w:t>
            </w:r>
            <w:r w:rsidR="00D7157D">
              <w:t>.</w:t>
            </w:r>
            <w:r w:rsidRPr="00295986">
              <w:t>6597</w:t>
            </w:r>
          </w:p>
        </w:tc>
        <w:tc>
          <w:tcPr>
            <w:tcW w:w="966" w:type="pct"/>
            <w:tcBorders>
              <w:top w:val="single" w:sz="4" w:space="0" w:color="auto"/>
              <w:bottom w:val="single" w:sz="4" w:space="0" w:color="auto"/>
            </w:tcBorders>
            <w:vAlign w:val="bottom"/>
          </w:tcPr>
          <w:p w14:paraId="376188B1" w14:textId="77777777" w:rsidR="00C217FF" w:rsidRPr="000F120F" w:rsidRDefault="00C217FF" w:rsidP="00F36942">
            <w:pPr>
              <w:pStyle w:val="Tabletext"/>
              <w:rPr>
                <w:snapToGrid w:val="0"/>
              </w:rPr>
            </w:pPr>
            <w:r w:rsidRPr="00295986">
              <w:t>28</w:t>
            </w:r>
            <w:r w:rsidR="00D7157D">
              <w:t>.</w:t>
            </w:r>
            <w:r w:rsidRPr="00295986">
              <w:t>6837</w:t>
            </w:r>
          </w:p>
        </w:tc>
        <w:tc>
          <w:tcPr>
            <w:tcW w:w="966" w:type="pct"/>
            <w:tcBorders>
              <w:top w:val="single" w:sz="4" w:space="0" w:color="auto"/>
              <w:bottom w:val="single" w:sz="4" w:space="0" w:color="auto"/>
            </w:tcBorders>
            <w:vAlign w:val="bottom"/>
          </w:tcPr>
          <w:p w14:paraId="33C5C30C" w14:textId="77777777" w:rsidR="00C217FF" w:rsidRPr="000F120F" w:rsidRDefault="00C217FF" w:rsidP="00F36942">
            <w:pPr>
              <w:pStyle w:val="Tabletext"/>
              <w:rPr>
                <w:snapToGrid w:val="0"/>
              </w:rPr>
            </w:pPr>
            <w:r w:rsidRPr="00295986">
              <w:t>0</w:t>
            </w:r>
            <w:r w:rsidR="00D7157D">
              <w:t>.</w:t>
            </w:r>
            <w:r w:rsidRPr="00295986">
              <w:t>6943</w:t>
            </w:r>
          </w:p>
        </w:tc>
      </w:tr>
      <w:tr w:rsidR="00C217FF" w:rsidRPr="009E2595" w14:paraId="07C2C5AB" w14:textId="77777777" w:rsidTr="00F36942">
        <w:trPr>
          <w:cantSplit/>
        </w:trPr>
        <w:tc>
          <w:tcPr>
            <w:tcW w:w="1136" w:type="pct"/>
            <w:tcBorders>
              <w:top w:val="single" w:sz="4" w:space="0" w:color="auto"/>
              <w:bottom w:val="single" w:sz="4" w:space="0" w:color="auto"/>
            </w:tcBorders>
          </w:tcPr>
          <w:p w14:paraId="3D092493" w14:textId="77777777" w:rsidR="00C217FF" w:rsidRPr="00616B26" w:rsidRDefault="00C217FF" w:rsidP="00F36942">
            <w:pPr>
              <w:pStyle w:val="Tabletext"/>
              <w:rPr>
                <w:snapToGrid w:val="0"/>
              </w:rPr>
            </w:pPr>
            <w:r w:rsidRPr="00616B26">
              <w:rPr>
                <w:snapToGrid w:val="0"/>
              </w:rPr>
              <w:t>39</w:t>
            </w:r>
          </w:p>
        </w:tc>
        <w:tc>
          <w:tcPr>
            <w:tcW w:w="966" w:type="pct"/>
            <w:tcBorders>
              <w:top w:val="single" w:sz="4" w:space="0" w:color="auto"/>
              <w:bottom w:val="single" w:sz="4" w:space="0" w:color="auto"/>
            </w:tcBorders>
            <w:vAlign w:val="bottom"/>
          </w:tcPr>
          <w:p w14:paraId="22CCF684" w14:textId="77777777" w:rsidR="00C217FF" w:rsidRPr="000F120F" w:rsidRDefault="00C217FF" w:rsidP="00F36942">
            <w:pPr>
              <w:pStyle w:val="Tabletext"/>
              <w:rPr>
                <w:snapToGrid w:val="0"/>
              </w:rPr>
            </w:pPr>
            <w:r w:rsidRPr="00295986">
              <w:t>27</w:t>
            </w:r>
            <w:r w:rsidR="00D7157D">
              <w:t>.</w:t>
            </w:r>
            <w:r w:rsidRPr="00295986">
              <w:t>5854</w:t>
            </w:r>
          </w:p>
        </w:tc>
        <w:tc>
          <w:tcPr>
            <w:tcW w:w="966" w:type="pct"/>
            <w:tcBorders>
              <w:top w:val="single" w:sz="4" w:space="0" w:color="auto"/>
              <w:bottom w:val="single" w:sz="4" w:space="0" w:color="auto"/>
            </w:tcBorders>
            <w:vAlign w:val="bottom"/>
          </w:tcPr>
          <w:p w14:paraId="2C19FB00" w14:textId="77777777" w:rsidR="00C217FF" w:rsidRPr="000F120F" w:rsidRDefault="00C217FF" w:rsidP="00F36942">
            <w:pPr>
              <w:pStyle w:val="Tabletext"/>
              <w:rPr>
                <w:snapToGrid w:val="0"/>
              </w:rPr>
            </w:pPr>
            <w:r w:rsidRPr="00295986">
              <w:t>1</w:t>
            </w:r>
            <w:r w:rsidR="00D7157D">
              <w:t>.</w:t>
            </w:r>
            <w:r w:rsidRPr="00295986">
              <w:t>7002</w:t>
            </w:r>
          </w:p>
        </w:tc>
        <w:tc>
          <w:tcPr>
            <w:tcW w:w="966" w:type="pct"/>
            <w:tcBorders>
              <w:top w:val="single" w:sz="4" w:space="0" w:color="auto"/>
              <w:bottom w:val="single" w:sz="4" w:space="0" w:color="auto"/>
            </w:tcBorders>
            <w:vAlign w:val="bottom"/>
          </w:tcPr>
          <w:p w14:paraId="7BBEE8B1" w14:textId="77777777" w:rsidR="00C217FF" w:rsidRPr="000F120F" w:rsidRDefault="00C217FF" w:rsidP="00F36942">
            <w:pPr>
              <w:pStyle w:val="Tabletext"/>
              <w:rPr>
                <w:snapToGrid w:val="0"/>
              </w:rPr>
            </w:pPr>
            <w:r w:rsidRPr="00295986">
              <w:t>28</w:t>
            </w:r>
            <w:r w:rsidR="00D7157D">
              <w:t>.</w:t>
            </w:r>
            <w:r w:rsidRPr="00295986">
              <w:t>4111</w:t>
            </w:r>
          </w:p>
        </w:tc>
        <w:tc>
          <w:tcPr>
            <w:tcW w:w="966" w:type="pct"/>
            <w:tcBorders>
              <w:top w:val="single" w:sz="4" w:space="0" w:color="auto"/>
              <w:bottom w:val="single" w:sz="4" w:space="0" w:color="auto"/>
            </w:tcBorders>
            <w:vAlign w:val="bottom"/>
          </w:tcPr>
          <w:p w14:paraId="65F1C942" w14:textId="77777777" w:rsidR="00C217FF" w:rsidRPr="000F120F" w:rsidRDefault="00C217FF" w:rsidP="00F36942">
            <w:pPr>
              <w:pStyle w:val="Tabletext"/>
              <w:rPr>
                <w:snapToGrid w:val="0"/>
              </w:rPr>
            </w:pPr>
            <w:r w:rsidRPr="00295986">
              <w:t>0</w:t>
            </w:r>
            <w:r w:rsidR="00D7157D">
              <w:t>.</w:t>
            </w:r>
            <w:r w:rsidRPr="00295986">
              <w:t>7124</w:t>
            </w:r>
          </w:p>
        </w:tc>
      </w:tr>
      <w:tr w:rsidR="00C217FF" w:rsidRPr="009E2595" w14:paraId="33CB7007" w14:textId="77777777" w:rsidTr="00F36942">
        <w:trPr>
          <w:cantSplit/>
        </w:trPr>
        <w:tc>
          <w:tcPr>
            <w:tcW w:w="1136" w:type="pct"/>
            <w:tcBorders>
              <w:top w:val="single" w:sz="4" w:space="0" w:color="auto"/>
              <w:bottom w:val="single" w:sz="4" w:space="0" w:color="auto"/>
            </w:tcBorders>
          </w:tcPr>
          <w:p w14:paraId="5625D8AF" w14:textId="77777777" w:rsidR="00C217FF" w:rsidRPr="00616B26" w:rsidRDefault="00C217FF" w:rsidP="00F36942">
            <w:pPr>
              <w:pStyle w:val="Tabletext"/>
              <w:rPr>
                <w:snapToGrid w:val="0"/>
              </w:rPr>
            </w:pPr>
            <w:r w:rsidRPr="00616B26">
              <w:rPr>
                <w:snapToGrid w:val="0"/>
              </w:rPr>
              <w:t>40</w:t>
            </w:r>
          </w:p>
        </w:tc>
        <w:tc>
          <w:tcPr>
            <w:tcW w:w="966" w:type="pct"/>
            <w:tcBorders>
              <w:top w:val="single" w:sz="4" w:space="0" w:color="auto"/>
              <w:bottom w:val="single" w:sz="4" w:space="0" w:color="auto"/>
            </w:tcBorders>
            <w:vAlign w:val="bottom"/>
          </w:tcPr>
          <w:p w14:paraId="04F687D2" w14:textId="77777777" w:rsidR="00C217FF" w:rsidRPr="000F120F" w:rsidRDefault="00C217FF" w:rsidP="00F36942">
            <w:pPr>
              <w:pStyle w:val="Tabletext"/>
              <w:rPr>
                <w:snapToGrid w:val="0"/>
              </w:rPr>
            </w:pPr>
            <w:r w:rsidRPr="00295986">
              <w:t>27</w:t>
            </w:r>
            <w:r w:rsidR="00D7157D">
              <w:t>.</w:t>
            </w:r>
            <w:r w:rsidRPr="00295986">
              <w:t>2912</w:t>
            </w:r>
          </w:p>
        </w:tc>
        <w:tc>
          <w:tcPr>
            <w:tcW w:w="966" w:type="pct"/>
            <w:tcBorders>
              <w:top w:val="single" w:sz="4" w:space="0" w:color="auto"/>
              <w:bottom w:val="single" w:sz="4" w:space="0" w:color="auto"/>
            </w:tcBorders>
            <w:vAlign w:val="bottom"/>
          </w:tcPr>
          <w:p w14:paraId="00C53964" w14:textId="77777777" w:rsidR="00C217FF" w:rsidRPr="000F120F" w:rsidRDefault="00C217FF" w:rsidP="00F36942">
            <w:pPr>
              <w:pStyle w:val="Tabletext"/>
              <w:rPr>
                <w:snapToGrid w:val="0"/>
              </w:rPr>
            </w:pPr>
            <w:r w:rsidRPr="00295986">
              <w:t>1</w:t>
            </w:r>
            <w:r w:rsidR="00D7157D">
              <w:t>.</w:t>
            </w:r>
            <w:r w:rsidRPr="00295986">
              <w:t>7410</w:t>
            </w:r>
          </w:p>
        </w:tc>
        <w:tc>
          <w:tcPr>
            <w:tcW w:w="966" w:type="pct"/>
            <w:tcBorders>
              <w:top w:val="single" w:sz="4" w:space="0" w:color="auto"/>
              <w:bottom w:val="single" w:sz="4" w:space="0" w:color="auto"/>
            </w:tcBorders>
            <w:vAlign w:val="bottom"/>
          </w:tcPr>
          <w:p w14:paraId="29376A5A" w14:textId="77777777" w:rsidR="00C217FF" w:rsidRPr="000F120F" w:rsidRDefault="00C217FF" w:rsidP="00F36942">
            <w:pPr>
              <w:pStyle w:val="Tabletext"/>
              <w:rPr>
                <w:snapToGrid w:val="0"/>
              </w:rPr>
            </w:pPr>
            <w:r w:rsidRPr="00295986">
              <w:t>28</w:t>
            </w:r>
            <w:r w:rsidR="00D7157D">
              <w:t>.</w:t>
            </w:r>
            <w:r w:rsidRPr="00295986">
              <w:t>1318</w:t>
            </w:r>
          </w:p>
        </w:tc>
        <w:tc>
          <w:tcPr>
            <w:tcW w:w="966" w:type="pct"/>
            <w:tcBorders>
              <w:top w:val="single" w:sz="4" w:space="0" w:color="auto"/>
              <w:bottom w:val="single" w:sz="4" w:space="0" w:color="auto"/>
            </w:tcBorders>
            <w:vAlign w:val="bottom"/>
          </w:tcPr>
          <w:p w14:paraId="4DF7BAF0" w14:textId="77777777" w:rsidR="00C217FF" w:rsidRPr="000F120F" w:rsidRDefault="00C217FF" w:rsidP="00F36942">
            <w:pPr>
              <w:pStyle w:val="Tabletext"/>
              <w:rPr>
                <w:snapToGrid w:val="0"/>
              </w:rPr>
            </w:pPr>
            <w:r w:rsidRPr="00295986">
              <w:t>0</w:t>
            </w:r>
            <w:r w:rsidR="00D7157D">
              <w:t>.</w:t>
            </w:r>
            <w:r w:rsidRPr="00295986">
              <w:t>7308</w:t>
            </w:r>
          </w:p>
        </w:tc>
      </w:tr>
      <w:tr w:rsidR="00C217FF" w:rsidRPr="009E2595" w14:paraId="108BC02F" w14:textId="77777777" w:rsidTr="00F36942">
        <w:trPr>
          <w:cantSplit/>
        </w:trPr>
        <w:tc>
          <w:tcPr>
            <w:tcW w:w="1136" w:type="pct"/>
            <w:tcBorders>
              <w:top w:val="single" w:sz="4" w:space="0" w:color="auto"/>
              <w:bottom w:val="single" w:sz="4" w:space="0" w:color="auto"/>
            </w:tcBorders>
          </w:tcPr>
          <w:p w14:paraId="1E958ED1" w14:textId="77777777" w:rsidR="00C217FF" w:rsidRPr="00616B26" w:rsidRDefault="00C217FF" w:rsidP="00F36942">
            <w:pPr>
              <w:pStyle w:val="Tabletext"/>
              <w:rPr>
                <w:snapToGrid w:val="0"/>
              </w:rPr>
            </w:pPr>
            <w:r w:rsidRPr="00616B26">
              <w:rPr>
                <w:snapToGrid w:val="0"/>
              </w:rPr>
              <w:t>41</w:t>
            </w:r>
          </w:p>
        </w:tc>
        <w:tc>
          <w:tcPr>
            <w:tcW w:w="966" w:type="pct"/>
            <w:tcBorders>
              <w:top w:val="single" w:sz="4" w:space="0" w:color="auto"/>
              <w:bottom w:val="single" w:sz="4" w:space="0" w:color="auto"/>
            </w:tcBorders>
            <w:vAlign w:val="bottom"/>
          </w:tcPr>
          <w:p w14:paraId="6A94AC55" w14:textId="77777777" w:rsidR="00C217FF" w:rsidRPr="000F120F" w:rsidRDefault="00C217FF" w:rsidP="00F36942">
            <w:pPr>
              <w:pStyle w:val="Tabletext"/>
              <w:rPr>
                <w:snapToGrid w:val="0"/>
              </w:rPr>
            </w:pPr>
            <w:r w:rsidRPr="00295986">
              <w:t>26</w:t>
            </w:r>
            <w:r w:rsidR="00D7157D">
              <w:t>.</w:t>
            </w:r>
            <w:r w:rsidRPr="00295986">
              <w:t>9900</w:t>
            </w:r>
          </w:p>
        </w:tc>
        <w:tc>
          <w:tcPr>
            <w:tcW w:w="966" w:type="pct"/>
            <w:tcBorders>
              <w:top w:val="single" w:sz="4" w:space="0" w:color="auto"/>
              <w:bottom w:val="single" w:sz="4" w:space="0" w:color="auto"/>
            </w:tcBorders>
            <w:vAlign w:val="bottom"/>
          </w:tcPr>
          <w:p w14:paraId="64A432DC" w14:textId="77777777" w:rsidR="00C217FF" w:rsidRPr="000F120F" w:rsidRDefault="00C217FF" w:rsidP="00F36942">
            <w:pPr>
              <w:pStyle w:val="Tabletext"/>
              <w:rPr>
                <w:snapToGrid w:val="0"/>
              </w:rPr>
            </w:pPr>
            <w:r w:rsidRPr="00295986">
              <w:t>1</w:t>
            </w:r>
            <w:r w:rsidR="00D7157D">
              <w:t>.</w:t>
            </w:r>
            <w:r w:rsidRPr="00295986">
              <w:t>7230</w:t>
            </w:r>
          </w:p>
        </w:tc>
        <w:tc>
          <w:tcPr>
            <w:tcW w:w="966" w:type="pct"/>
            <w:tcBorders>
              <w:top w:val="single" w:sz="4" w:space="0" w:color="auto"/>
              <w:bottom w:val="single" w:sz="4" w:space="0" w:color="auto"/>
            </w:tcBorders>
            <w:vAlign w:val="bottom"/>
          </w:tcPr>
          <w:p w14:paraId="0A40170A" w14:textId="77777777" w:rsidR="00C217FF" w:rsidRPr="000F120F" w:rsidRDefault="00C217FF" w:rsidP="00F36942">
            <w:pPr>
              <w:pStyle w:val="Tabletext"/>
              <w:rPr>
                <w:snapToGrid w:val="0"/>
              </w:rPr>
            </w:pPr>
            <w:r w:rsidRPr="00295986">
              <w:t>27</w:t>
            </w:r>
            <w:r w:rsidR="00D7157D">
              <w:t>.</w:t>
            </w:r>
            <w:r w:rsidRPr="00295986">
              <w:t>8453</w:t>
            </w:r>
          </w:p>
        </w:tc>
        <w:tc>
          <w:tcPr>
            <w:tcW w:w="966" w:type="pct"/>
            <w:tcBorders>
              <w:top w:val="single" w:sz="4" w:space="0" w:color="auto"/>
              <w:bottom w:val="single" w:sz="4" w:space="0" w:color="auto"/>
            </w:tcBorders>
            <w:vAlign w:val="bottom"/>
          </w:tcPr>
          <w:p w14:paraId="57C08A70" w14:textId="77777777" w:rsidR="00C217FF" w:rsidRPr="000F120F" w:rsidRDefault="00C217FF" w:rsidP="00F36942">
            <w:pPr>
              <w:pStyle w:val="Tabletext"/>
              <w:rPr>
                <w:snapToGrid w:val="0"/>
              </w:rPr>
            </w:pPr>
            <w:r w:rsidRPr="00295986">
              <w:t>0</w:t>
            </w:r>
            <w:r w:rsidR="00D7157D">
              <w:t>.</w:t>
            </w:r>
            <w:r w:rsidRPr="00295986">
              <w:t>7044</w:t>
            </w:r>
          </w:p>
        </w:tc>
      </w:tr>
      <w:tr w:rsidR="00C217FF" w:rsidRPr="009E2595" w14:paraId="24966079" w14:textId="77777777" w:rsidTr="00F36942">
        <w:trPr>
          <w:cantSplit/>
        </w:trPr>
        <w:tc>
          <w:tcPr>
            <w:tcW w:w="1136" w:type="pct"/>
            <w:tcBorders>
              <w:top w:val="single" w:sz="4" w:space="0" w:color="auto"/>
              <w:bottom w:val="single" w:sz="4" w:space="0" w:color="auto"/>
            </w:tcBorders>
          </w:tcPr>
          <w:p w14:paraId="5C588837" w14:textId="77777777" w:rsidR="00C217FF" w:rsidRPr="00616B26" w:rsidRDefault="00C217FF" w:rsidP="00F36942">
            <w:pPr>
              <w:pStyle w:val="Tabletext"/>
              <w:rPr>
                <w:snapToGrid w:val="0"/>
              </w:rPr>
            </w:pPr>
            <w:r w:rsidRPr="00616B26">
              <w:rPr>
                <w:snapToGrid w:val="0"/>
              </w:rPr>
              <w:t>42</w:t>
            </w:r>
          </w:p>
        </w:tc>
        <w:tc>
          <w:tcPr>
            <w:tcW w:w="966" w:type="pct"/>
            <w:tcBorders>
              <w:top w:val="single" w:sz="4" w:space="0" w:color="auto"/>
              <w:bottom w:val="single" w:sz="4" w:space="0" w:color="auto"/>
            </w:tcBorders>
            <w:vAlign w:val="bottom"/>
          </w:tcPr>
          <w:p w14:paraId="4B6E8836" w14:textId="77777777" w:rsidR="00C217FF" w:rsidRPr="000F120F" w:rsidRDefault="00C217FF" w:rsidP="00F36942">
            <w:pPr>
              <w:pStyle w:val="Tabletext"/>
              <w:rPr>
                <w:snapToGrid w:val="0"/>
              </w:rPr>
            </w:pPr>
            <w:r w:rsidRPr="00295986">
              <w:t>26</w:t>
            </w:r>
            <w:r w:rsidR="00D7157D">
              <w:t>.</w:t>
            </w:r>
            <w:r w:rsidRPr="00295986">
              <w:t>6820</w:t>
            </w:r>
          </w:p>
        </w:tc>
        <w:tc>
          <w:tcPr>
            <w:tcW w:w="966" w:type="pct"/>
            <w:tcBorders>
              <w:top w:val="single" w:sz="4" w:space="0" w:color="auto"/>
              <w:bottom w:val="single" w:sz="4" w:space="0" w:color="auto"/>
            </w:tcBorders>
            <w:vAlign w:val="bottom"/>
          </w:tcPr>
          <w:p w14:paraId="6A6C5E79" w14:textId="77777777" w:rsidR="00C217FF" w:rsidRPr="000F120F" w:rsidRDefault="00C217FF" w:rsidP="00F36942">
            <w:pPr>
              <w:pStyle w:val="Tabletext"/>
              <w:rPr>
                <w:snapToGrid w:val="0"/>
              </w:rPr>
            </w:pPr>
            <w:r w:rsidRPr="00295986">
              <w:t>1</w:t>
            </w:r>
            <w:r w:rsidR="00D7157D">
              <w:t>.</w:t>
            </w:r>
            <w:r w:rsidRPr="00295986">
              <w:t>7025</w:t>
            </w:r>
          </w:p>
        </w:tc>
        <w:tc>
          <w:tcPr>
            <w:tcW w:w="966" w:type="pct"/>
            <w:tcBorders>
              <w:top w:val="single" w:sz="4" w:space="0" w:color="auto"/>
              <w:bottom w:val="single" w:sz="4" w:space="0" w:color="auto"/>
            </w:tcBorders>
            <w:vAlign w:val="bottom"/>
          </w:tcPr>
          <w:p w14:paraId="5A714682" w14:textId="77777777" w:rsidR="00C217FF" w:rsidRPr="000F120F" w:rsidRDefault="00C217FF" w:rsidP="00F36942">
            <w:pPr>
              <w:pStyle w:val="Tabletext"/>
              <w:rPr>
                <w:snapToGrid w:val="0"/>
              </w:rPr>
            </w:pPr>
            <w:r w:rsidRPr="00295986">
              <w:t>27</w:t>
            </w:r>
            <w:r w:rsidR="00D7157D">
              <w:t>.</w:t>
            </w:r>
            <w:r w:rsidRPr="00295986">
              <w:t>5518</w:t>
            </w:r>
          </w:p>
        </w:tc>
        <w:tc>
          <w:tcPr>
            <w:tcW w:w="966" w:type="pct"/>
            <w:tcBorders>
              <w:top w:val="single" w:sz="4" w:space="0" w:color="auto"/>
              <w:bottom w:val="single" w:sz="4" w:space="0" w:color="auto"/>
            </w:tcBorders>
            <w:vAlign w:val="bottom"/>
          </w:tcPr>
          <w:p w14:paraId="46AAE169" w14:textId="77777777" w:rsidR="00C217FF" w:rsidRPr="000F120F" w:rsidRDefault="00C217FF" w:rsidP="00F36942">
            <w:pPr>
              <w:pStyle w:val="Tabletext"/>
              <w:rPr>
                <w:snapToGrid w:val="0"/>
              </w:rPr>
            </w:pPr>
            <w:r w:rsidRPr="00295986">
              <w:t>0</w:t>
            </w:r>
            <w:r w:rsidR="00D7157D">
              <w:t>.</w:t>
            </w:r>
            <w:r w:rsidRPr="00295986">
              <w:t>6760</w:t>
            </w:r>
          </w:p>
        </w:tc>
      </w:tr>
      <w:tr w:rsidR="00C217FF" w:rsidRPr="009E2595" w14:paraId="5970FEA8" w14:textId="77777777" w:rsidTr="00F36942">
        <w:trPr>
          <w:cantSplit/>
        </w:trPr>
        <w:tc>
          <w:tcPr>
            <w:tcW w:w="1136" w:type="pct"/>
            <w:tcBorders>
              <w:top w:val="single" w:sz="4" w:space="0" w:color="auto"/>
              <w:bottom w:val="single" w:sz="4" w:space="0" w:color="auto"/>
            </w:tcBorders>
          </w:tcPr>
          <w:p w14:paraId="37FFC7F1" w14:textId="77777777" w:rsidR="00C217FF" w:rsidRPr="00616B26" w:rsidRDefault="00C217FF" w:rsidP="00F36942">
            <w:pPr>
              <w:pStyle w:val="Tabletext"/>
              <w:rPr>
                <w:snapToGrid w:val="0"/>
              </w:rPr>
            </w:pPr>
            <w:r w:rsidRPr="00616B26">
              <w:rPr>
                <w:snapToGrid w:val="0"/>
              </w:rPr>
              <w:t>43</w:t>
            </w:r>
          </w:p>
        </w:tc>
        <w:tc>
          <w:tcPr>
            <w:tcW w:w="966" w:type="pct"/>
            <w:tcBorders>
              <w:top w:val="single" w:sz="4" w:space="0" w:color="auto"/>
              <w:bottom w:val="single" w:sz="4" w:space="0" w:color="auto"/>
            </w:tcBorders>
            <w:vAlign w:val="bottom"/>
          </w:tcPr>
          <w:p w14:paraId="6AA6350D" w14:textId="77777777" w:rsidR="00C217FF" w:rsidRPr="000F120F" w:rsidRDefault="00C217FF" w:rsidP="00F36942">
            <w:pPr>
              <w:pStyle w:val="Tabletext"/>
              <w:rPr>
                <w:snapToGrid w:val="0"/>
              </w:rPr>
            </w:pPr>
            <w:r w:rsidRPr="00295986">
              <w:t>26</w:t>
            </w:r>
            <w:r w:rsidR="00D7157D">
              <w:t>.</w:t>
            </w:r>
            <w:r w:rsidRPr="00295986">
              <w:t>3668</w:t>
            </w:r>
          </w:p>
        </w:tc>
        <w:tc>
          <w:tcPr>
            <w:tcW w:w="966" w:type="pct"/>
            <w:tcBorders>
              <w:top w:val="single" w:sz="4" w:space="0" w:color="auto"/>
              <w:bottom w:val="single" w:sz="4" w:space="0" w:color="auto"/>
            </w:tcBorders>
            <w:vAlign w:val="bottom"/>
          </w:tcPr>
          <w:p w14:paraId="054E1F06" w14:textId="77777777" w:rsidR="00C217FF" w:rsidRPr="000F120F" w:rsidRDefault="00C217FF" w:rsidP="00F36942">
            <w:pPr>
              <w:pStyle w:val="Tabletext"/>
              <w:rPr>
                <w:snapToGrid w:val="0"/>
              </w:rPr>
            </w:pPr>
            <w:r w:rsidRPr="00295986">
              <w:t>1</w:t>
            </w:r>
            <w:r w:rsidR="00D7157D">
              <w:t>.</w:t>
            </w:r>
            <w:r w:rsidRPr="00295986">
              <w:t>6796</w:t>
            </w:r>
          </w:p>
        </w:tc>
        <w:tc>
          <w:tcPr>
            <w:tcW w:w="966" w:type="pct"/>
            <w:tcBorders>
              <w:top w:val="single" w:sz="4" w:space="0" w:color="auto"/>
              <w:bottom w:val="single" w:sz="4" w:space="0" w:color="auto"/>
            </w:tcBorders>
            <w:vAlign w:val="bottom"/>
          </w:tcPr>
          <w:p w14:paraId="2108E0DB" w14:textId="77777777" w:rsidR="00C217FF" w:rsidRPr="000F120F" w:rsidRDefault="00C217FF" w:rsidP="00F36942">
            <w:pPr>
              <w:pStyle w:val="Tabletext"/>
              <w:rPr>
                <w:snapToGrid w:val="0"/>
              </w:rPr>
            </w:pPr>
            <w:r w:rsidRPr="00295986">
              <w:t>27</w:t>
            </w:r>
            <w:r w:rsidR="00D7157D">
              <w:t>.</w:t>
            </w:r>
            <w:r w:rsidRPr="00295986">
              <w:t>2510</w:t>
            </w:r>
          </w:p>
        </w:tc>
        <w:tc>
          <w:tcPr>
            <w:tcW w:w="966" w:type="pct"/>
            <w:tcBorders>
              <w:top w:val="single" w:sz="4" w:space="0" w:color="auto"/>
              <w:bottom w:val="single" w:sz="4" w:space="0" w:color="auto"/>
            </w:tcBorders>
            <w:vAlign w:val="bottom"/>
          </w:tcPr>
          <w:p w14:paraId="6CA6E375" w14:textId="77777777" w:rsidR="00C217FF" w:rsidRPr="000F120F" w:rsidRDefault="00C217FF" w:rsidP="00F36942">
            <w:pPr>
              <w:pStyle w:val="Tabletext"/>
              <w:rPr>
                <w:snapToGrid w:val="0"/>
              </w:rPr>
            </w:pPr>
            <w:r w:rsidRPr="00295986">
              <w:t>0</w:t>
            </w:r>
            <w:r w:rsidR="00D7157D">
              <w:t>.</w:t>
            </w:r>
            <w:r w:rsidRPr="00295986">
              <w:t>6455</w:t>
            </w:r>
          </w:p>
        </w:tc>
      </w:tr>
      <w:tr w:rsidR="00C217FF" w:rsidRPr="009E2595" w14:paraId="59EBD1AA" w14:textId="77777777" w:rsidTr="00F36942">
        <w:trPr>
          <w:cantSplit/>
        </w:trPr>
        <w:tc>
          <w:tcPr>
            <w:tcW w:w="1136" w:type="pct"/>
            <w:tcBorders>
              <w:top w:val="single" w:sz="4" w:space="0" w:color="auto"/>
              <w:bottom w:val="single" w:sz="4" w:space="0" w:color="auto"/>
            </w:tcBorders>
          </w:tcPr>
          <w:p w14:paraId="5EE6564F" w14:textId="77777777" w:rsidR="00C217FF" w:rsidRPr="00616B26" w:rsidRDefault="00C217FF" w:rsidP="00F36942">
            <w:pPr>
              <w:pStyle w:val="Tabletext"/>
              <w:rPr>
                <w:snapToGrid w:val="0"/>
              </w:rPr>
            </w:pPr>
            <w:r w:rsidRPr="00616B26">
              <w:rPr>
                <w:snapToGrid w:val="0"/>
              </w:rPr>
              <w:t>44</w:t>
            </w:r>
          </w:p>
        </w:tc>
        <w:tc>
          <w:tcPr>
            <w:tcW w:w="966" w:type="pct"/>
            <w:tcBorders>
              <w:top w:val="single" w:sz="4" w:space="0" w:color="auto"/>
              <w:bottom w:val="single" w:sz="4" w:space="0" w:color="auto"/>
            </w:tcBorders>
            <w:vAlign w:val="bottom"/>
          </w:tcPr>
          <w:p w14:paraId="458A0863" w14:textId="77777777" w:rsidR="00C217FF" w:rsidRPr="000F120F" w:rsidRDefault="00C217FF" w:rsidP="00F36942">
            <w:pPr>
              <w:pStyle w:val="Tabletext"/>
              <w:rPr>
                <w:snapToGrid w:val="0"/>
              </w:rPr>
            </w:pPr>
            <w:r w:rsidRPr="00295986">
              <w:t>26</w:t>
            </w:r>
            <w:r w:rsidR="00D7157D">
              <w:t>.</w:t>
            </w:r>
            <w:r w:rsidRPr="00295986">
              <w:t>0444</w:t>
            </w:r>
          </w:p>
        </w:tc>
        <w:tc>
          <w:tcPr>
            <w:tcW w:w="966" w:type="pct"/>
            <w:tcBorders>
              <w:top w:val="single" w:sz="4" w:space="0" w:color="auto"/>
              <w:bottom w:val="single" w:sz="4" w:space="0" w:color="auto"/>
            </w:tcBorders>
            <w:vAlign w:val="bottom"/>
          </w:tcPr>
          <w:p w14:paraId="5B70A930" w14:textId="77777777" w:rsidR="00C217FF" w:rsidRPr="000F120F" w:rsidRDefault="00C217FF" w:rsidP="00F36942">
            <w:pPr>
              <w:pStyle w:val="Tabletext"/>
              <w:rPr>
                <w:snapToGrid w:val="0"/>
              </w:rPr>
            </w:pPr>
            <w:r w:rsidRPr="00295986">
              <w:t>1</w:t>
            </w:r>
            <w:r w:rsidR="00D7157D">
              <w:t>.</w:t>
            </w:r>
            <w:r w:rsidRPr="00295986">
              <w:t>6543</w:t>
            </w:r>
          </w:p>
        </w:tc>
        <w:tc>
          <w:tcPr>
            <w:tcW w:w="966" w:type="pct"/>
            <w:tcBorders>
              <w:top w:val="single" w:sz="4" w:space="0" w:color="auto"/>
              <w:bottom w:val="single" w:sz="4" w:space="0" w:color="auto"/>
            </w:tcBorders>
            <w:vAlign w:val="bottom"/>
          </w:tcPr>
          <w:p w14:paraId="0C176D82" w14:textId="77777777" w:rsidR="00C217FF" w:rsidRPr="000F120F" w:rsidRDefault="00C217FF" w:rsidP="00F36942">
            <w:pPr>
              <w:pStyle w:val="Tabletext"/>
              <w:rPr>
                <w:snapToGrid w:val="0"/>
              </w:rPr>
            </w:pPr>
            <w:r w:rsidRPr="00295986">
              <w:t>26</w:t>
            </w:r>
            <w:r w:rsidR="00D7157D">
              <w:t>.</w:t>
            </w:r>
            <w:r w:rsidRPr="00295986">
              <w:t>9428</w:t>
            </w:r>
          </w:p>
        </w:tc>
        <w:tc>
          <w:tcPr>
            <w:tcW w:w="966" w:type="pct"/>
            <w:tcBorders>
              <w:top w:val="single" w:sz="4" w:space="0" w:color="auto"/>
              <w:bottom w:val="single" w:sz="4" w:space="0" w:color="auto"/>
            </w:tcBorders>
            <w:vAlign w:val="bottom"/>
          </w:tcPr>
          <w:p w14:paraId="79D0CA3F" w14:textId="77777777" w:rsidR="00C217FF" w:rsidRPr="000F120F" w:rsidRDefault="00C217FF" w:rsidP="00F36942">
            <w:pPr>
              <w:pStyle w:val="Tabletext"/>
              <w:rPr>
                <w:snapToGrid w:val="0"/>
              </w:rPr>
            </w:pPr>
            <w:r w:rsidRPr="00295986">
              <w:t>0</w:t>
            </w:r>
            <w:r w:rsidR="00D7157D">
              <w:t>.</w:t>
            </w:r>
            <w:r w:rsidRPr="00295986">
              <w:t>6128</w:t>
            </w:r>
          </w:p>
        </w:tc>
      </w:tr>
      <w:tr w:rsidR="00C217FF" w:rsidRPr="009E2595" w14:paraId="6BC6128E" w14:textId="77777777" w:rsidTr="00F36942">
        <w:trPr>
          <w:cantSplit/>
        </w:trPr>
        <w:tc>
          <w:tcPr>
            <w:tcW w:w="1136" w:type="pct"/>
            <w:tcBorders>
              <w:top w:val="single" w:sz="4" w:space="0" w:color="auto"/>
              <w:bottom w:val="single" w:sz="4" w:space="0" w:color="auto"/>
            </w:tcBorders>
          </w:tcPr>
          <w:p w14:paraId="46D74D7C" w14:textId="77777777" w:rsidR="00C217FF" w:rsidRPr="00616B26" w:rsidRDefault="00C217FF" w:rsidP="00F36942">
            <w:pPr>
              <w:pStyle w:val="Tabletext"/>
              <w:rPr>
                <w:snapToGrid w:val="0"/>
              </w:rPr>
            </w:pPr>
            <w:r w:rsidRPr="00616B26">
              <w:rPr>
                <w:snapToGrid w:val="0"/>
              </w:rPr>
              <w:t>45</w:t>
            </w:r>
          </w:p>
        </w:tc>
        <w:tc>
          <w:tcPr>
            <w:tcW w:w="966" w:type="pct"/>
            <w:tcBorders>
              <w:top w:val="single" w:sz="4" w:space="0" w:color="auto"/>
              <w:bottom w:val="single" w:sz="4" w:space="0" w:color="auto"/>
            </w:tcBorders>
            <w:vAlign w:val="bottom"/>
          </w:tcPr>
          <w:p w14:paraId="4CC46902" w14:textId="77777777" w:rsidR="00C217FF" w:rsidRPr="000F120F" w:rsidRDefault="00C217FF" w:rsidP="00F36942">
            <w:pPr>
              <w:pStyle w:val="Tabletext"/>
              <w:rPr>
                <w:snapToGrid w:val="0"/>
              </w:rPr>
            </w:pPr>
            <w:r w:rsidRPr="00295986">
              <w:t>25</w:t>
            </w:r>
            <w:r w:rsidR="00D7157D">
              <w:t>.</w:t>
            </w:r>
            <w:r w:rsidRPr="00295986">
              <w:t>7150</w:t>
            </w:r>
          </w:p>
        </w:tc>
        <w:tc>
          <w:tcPr>
            <w:tcW w:w="966" w:type="pct"/>
            <w:tcBorders>
              <w:top w:val="single" w:sz="4" w:space="0" w:color="auto"/>
              <w:bottom w:val="single" w:sz="4" w:space="0" w:color="auto"/>
            </w:tcBorders>
            <w:vAlign w:val="bottom"/>
          </w:tcPr>
          <w:p w14:paraId="25FD5F33" w14:textId="77777777" w:rsidR="00C217FF" w:rsidRPr="000F120F" w:rsidRDefault="00C217FF" w:rsidP="00F36942">
            <w:pPr>
              <w:pStyle w:val="Tabletext"/>
              <w:rPr>
                <w:snapToGrid w:val="0"/>
              </w:rPr>
            </w:pPr>
            <w:r w:rsidRPr="00295986">
              <w:t>1</w:t>
            </w:r>
            <w:r w:rsidR="00D7157D">
              <w:t>.</w:t>
            </w:r>
            <w:r w:rsidRPr="00295986">
              <w:t>6263</w:t>
            </w:r>
          </w:p>
        </w:tc>
        <w:tc>
          <w:tcPr>
            <w:tcW w:w="966" w:type="pct"/>
            <w:tcBorders>
              <w:top w:val="single" w:sz="4" w:space="0" w:color="auto"/>
              <w:bottom w:val="single" w:sz="4" w:space="0" w:color="auto"/>
            </w:tcBorders>
            <w:vAlign w:val="bottom"/>
          </w:tcPr>
          <w:p w14:paraId="0439E978" w14:textId="77777777" w:rsidR="00C217FF" w:rsidRPr="000F120F" w:rsidRDefault="00C217FF" w:rsidP="00F36942">
            <w:pPr>
              <w:pStyle w:val="Tabletext"/>
              <w:rPr>
                <w:snapToGrid w:val="0"/>
              </w:rPr>
            </w:pPr>
            <w:r w:rsidRPr="00295986">
              <w:t>26</w:t>
            </w:r>
            <w:r w:rsidR="00D7157D">
              <w:t>.</w:t>
            </w:r>
            <w:r w:rsidRPr="00295986">
              <w:t>6271</w:t>
            </w:r>
          </w:p>
        </w:tc>
        <w:tc>
          <w:tcPr>
            <w:tcW w:w="966" w:type="pct"/>
            <w:tcBorders>
              <w:top w:val="single" w:sz="4" w:space="0" w:color="auto"/>
              <w:bottom w:val="single" w:sz="4" w:space="0" w:color="auto"/>
            </w:tcBorders>
            <w:vAlign w:val="bottom"/>
          </w:tcPr>
          <w:p w14:paraId="3CBE4E13" w14:textId="77777777" w:rsidR="00C217FF" w:rsidRPr="000F120F" w:rsidRDefault="00C217FF" w:rsidP="00F36942">
            <w:pPr>
              <w:pStyle w:val="Tabletext"/>
              <w:rPr>
                <w:snapToGrid w:val="0"/>
              </w:rPr>
            </w:pPr>
            <w:r w:rsidRPr="00295986">
              <w:t>0</w:t>
            </w:r>
            <w:r w:rsidR="00D7157D">
              <w:t>.</w:t>
            </w:r>
            <w:r w:rsidRPr="00295986">
              <w:t>5779</w:t>
            </w:r>
          </w:p>
        </w:tc>
      </w:tr>
      <w:tr w:rsidR="00C217FF" w:rsidRPr="009E2595" w14:paraId="0E3C4E47" w14:textId="77777777" w:rsidTr="00F36942">
        <w:trPr>
          <w:cantSplit/>
        </w:trPr>
        <w:tc>
          <w:tcPr>
            <w:tcW w:w="1136" w:type="pct"/>
            <w:tcBorders>
              <w:top w:val="single" w:sz="4" w:space="0" w:color="auto"/>
              <w:bottom w:val="single" w:sz="4" w:space="0" w:color="auto"/>
            </w:tcBorders>
          </w:tcPr>
          <w:p w14:paraId="28C2C1C1" w14:textId="77777777" w:rsidR="00C217FF" w:rsidRPr="00616B26" w:rsidRDefault="00C217FF" w:rsidP="00F36942">
            <w:pPr>
              <w:pStyle w:val="Tabletext"/>
              <w:rPr>
                <w:snapToGrid w:val="0"/>
              </w:rPr>
            </w:pPr>
            <w:r w:rsidRPr="00616B26">
              <w:rPr>
                <w:snapToGrid w:val="0"/>
              </w:rPr>
              <w:t>46</w:t>
            </w:r>
          </w:p>
        </w:tc>
        <w:tc>
          <w:tcPr>
            <w:tcW w:w="966" w:type="pct"/>
            <w:tcBorders>
              <w:top w:val="single" w:sz="4" w:space="0" w:color="auto"/>
              <w:bottom w:val="single" w:sz="4" w:space="0" w:color="auto"/>
            </w:tcBorders>
            <w:vAlign w:val="bottom"/>
          </w:tcPr>
          <w:p w14:paraId="528FDFCE" w14:textId="77777777" w:rsidR="00C217FF" w:rsidRPr="000F120F" w:rsidRDefault="00C217FF" w:rsidP="00F36942">
            <w:pPr>
              <w:pStyle w:val="Tabletext"/>
              <w:rPr>
                <w:snapToGrid w:val="0"/>
              </w:rPr>
            </w:pPr>
            <w:r w:rsidRPr="00295986">
              <w:t>25</w:t>
            </w:r>
            <w:r w:rsidR="00D7157D">
              <w:t>.</w:t>
            </w:r>
            <w:r w:rsidRPr="00295986">
              <w:t>3783</w:t>
            </w:r>
          </w:p>
        </w:tc>
        <w:tc>
          <w:tcPr>
            <w:tcW w:w="966" w:type="pct"/>
            <w:tcBorders>
              <w:top w:val="single" w:sz="4" w:space="0" w:color="auto"/>
              <w:bottom w:val="single" w:sz="4" w:space="0" w:color="auto"/>
            </w:tcBorders>
            <w:vAlign w:val="bottom"/>
          </w:tcPr>
          <w:p w14:paraId="7489C1BE" w14:textId="77777777" w:rsidR="00C217FF" w:rsidRPr="000F120F" w:rsidRDefault="00C217FF" w:rsidP="00F36942">
            <w:pPr>
              <w:pStyle w:val="Tabletext"/>
              <w:rPr>
                <w:snapToGrid w:val="0"/>
              </w:rPr>
            </w:pPr>
            <w:r w:rsidRPr="00295986">
              <w:t>1</w:t>
            </w:r>
            <w:r w:rsidR="00D7157D">
              <w:t>.</w:t>
            </w:r>
            <w:r w:rsidRPr="00295986">
              <w:t>5955</w:t>
            </w:r>
          </w:p>
        </w:tc>
        <w:tc>
          <w:tcPr>
            <w:tcW w:w="966" w:type="pct"/>
            <w:tcBorders>
              <w:top w:val="single" w:sz="4" w:space="0" w:color="auto"/>
              <w:bottom w:val="single" w:sz="4" w:space="0" w:color="auto"/>
            </w:tcBorders>
            <w:vAlign w:val="bottom"/>
          </w:tcPr>
          <w:p w14:paraId="63DA830B" w14:textId="77777777" w:rsidR="00C217FF" w:rsidRPr="000F120F" w:rsidRDefault="00C217FF" w:rsidP="00F36942">
            <w:pPr>
              <w:pStyle w:val="Tabletext"/>
              <w:rPr>
                <w:snapToGrid w:val="0"/>
              </w:rPr>
            </w:pPr>
            <w:r w:rsidRPr="00295986">
              <w:t>26</w:t>
            </w:r>
            <w:r w:rsidR="00D7157D">
              <w:t>.</w:t>
            </w:r>
            <w:r w:rsidRPr="00295986">
              <w:t>3036</w:t>
            </w:r>
          </w:p>
        </w:tc>
        <w:tc>
          <w:tcPr>
            <w:tcW w:w="966" w:type="pct"/>
            <w:tcBorders>
              <w:top w:val="single" w:sz="4" w:space="0" w:color="auto"/>
              <w:bottom w:val="single" w:sz="4" w:space="0" w:color="auto"/>
            </w:tcBorders>
            <w:vAlign w:val="bottom"/>
          </w:tcPr>
          <w:p w14:paraId="50E221EC" w14:textId="77777777" w:rsidR="00C217FF" w:rsidRPr="000F120F" w:rsidRDefault="00C217FF" w:rsidP="00F36942">
            <w:pPr>
              <w:pStyle w:val="Tabletext"/>
              <w:rPr>
                <w:snapToGrid w:val="0"/>
              </w:rPr>
            </w:pPr>
            <w:r w:rsidRPr="00295986">
              <w:t>0</w:t>
            </w:r>
            <w:r w:rsidR="00D7157D">
              <w:t>.</w:t>
            </w:r>
            <w:r w:rsidRPr="00295986">
              <w:t>5408</w:t>
            </w:r>
          </w:p>
        </w:tc>
      </w:tr>
      <w:tr w:rsidR="00C217FF" w:rsidRPr="009E2595" w14:paraId="57980FA7" w14:textId="77777777" w:rsidTr="00F36942">
        <w:trPr>
          <w:cantSplit/>
        </w:trPr>
        <w:tc>
          <w:tcPr>
            <w:tcW w:w="1136" w:type="pct"/>
            <w:tcBorders>
              <w:top w:val="single" w:sz="4" w:space="0" w:color="auto"/>
              <w:bottom w:val="single" w:sz="4" w:space="0" w:color="auto"/>
            </w:tcBorders>
          </w:tcPr>
          <w:p w14:paraId="3A93B0B7" w14:textId="77777777" w:rsidR="00C217FF" w:rsidRPr="00616B26" w:rsidRDefault="00C217FF" w:rsidP="00F36942">
            <w:pPr>
              <w:pStyle w:val="Tabletext"/>
              <w:rPr>
                <w:snapToGrid w:val="0"/>
              </w:rPr>
            </w:pPr>
            <w:r w:rsidRPr="00616B26">
              <w:rPr>
                <w:snapToGrid w:val="0"/>
              </w:rPr>
              <w:t>47</w:t>
            </w:r>
          </w:p>
        </w:tc>
        <w:tc>
          <w:tcPr>
            <w:tcW w:w="966" w:type="pct"/>
            <w:tcBorders>
              <w:top w:val="single" w:sz="4" w:space="0" w:color="auto"/>
              <w:bottom w:val="single" w:sz="4" w:space="0" w:color="auto"/>
            </w:tcBorders>
            <w:vAlign w:val="bottom"/>
          </w:tcPr>
          <w:p w14:paraId="4EEF3BCA" w14:textId="77777777" w:rsidR="00C217FF" w:rsidRPr="000F120F" w:rsidRDefault="00C217FF" w:rsidP="00F36942">
            <w:pPr>
              <w:pStyle w:val="Tabletext"/>
              <w:rPr>
                <w:snapToGrid w:val="0"/>
              </w:rPr>
            </w:pPr>
            <w:r w:rsidRPr="00295986">
              <w:t>25</w:t>
            </w:r>
            <w:r w:rsidR="00D7157D">
              <w:t>.</w:t>
            </w:r>
            <w:r w:rsidRPr="00295986">
              <w:t>0341</w:t>
            </w:r>
          </w:p>
        </w:tc>
        <w:tc>
          <w:tcPr>
            <w:tcW w:w="966" w:type="pct"/>
            <w:tcBorders>
              <w:top w:val="single" w:sz="4" w:space="0" w:color="auto"/>
              <w:bottom w:val="single" w:sz="4" w:space="0" w:color="auto"/>
            </w:tcBorders>
            <w:vAlign w:val="bottom"/>
          </w:tcPr>
          <w:p w14:paraId="4AD59005" w14:textId="77777777" w:rsidR="00C217FF" w:rsidRPr="000F120F" w:rsidRDefault="00C217FF" w:rsidP="00F36942">
            <w:pPr>
              <w:pStyle w:val="Tabletext"/>
              <w:rPr>
                <w:snapToGrid w:val="0"/>
              </w:rPr>
            </w:pPr>
            <w:r w:rsidRPr="00295986">
              <w:t>1</w:t>
            </w:r>
            <w:r w:rsidR="00D7157D">
              <w:t>.</w:t>
            </w:r>
            <w:r w:rsidRPr="00295986">
              <w:t>5621</w:t>
            </w:r>
          </w:p>
        </w:tc>
        <w:tc>
          <w:tcPr>
            <w:tcW w:w="966" w:type="pct"/>
            <w:tcBorders>
              <w:top w:val="single" w:sz="4" w:space="0" w:color="auto"/>
              <w:bottom w:val="single" w:sz="4" w:space="0" w:color="auto"/>
            </w:tcBorders>
            <w:vAlign w:val="bottom"/>
          </w:tcPr>
          <w:p w14:paraId="7E02EF46" w14:textId="77777777" w:rsidR="00C217FF" w:rsidRPr="000F120F" w:rsidRDefault="00C217FF" w:rsidP="00F36942">
            <w:pPr>
              <w:pStyle w:val="Tabletext"/>
              <w:rPr>
                <w:snapToGrid w:val="0"/>
              </w:rPr>
            </w:pPr>
            <w:r w:rsidRPr="00295986">
              <w:t>25</w:t>
            </w:r>
            <w:r w:rsidR="00D7157D">
              <w:t>.</w:t>
            </w:r>
            <w:r w:rsidRPr="00295986">
              <w:t>9724</w:t>
            </w:r>
          </w:p>
        </w:tc>
        <w:tc>
          <w:tcPr>
            <w:tcW w:w="966" w:type="pct"/>
            <w:tcBorders>
              <w:top w:val="single" w:sz="4" w:space="0" w:color="auto"/>
              <w:bottom w:val="single" w:sz="4" w:space="0" w:color="auto"/>
            </w:tcBorders>
            <w:vAlign w:val="bottom"/>
          </w:tcPr>
          <w:p w14:paraId="51A23A01" w14:textId="77777777" w:rsidR="00C217FF" w:rsidRPr="000F120F" w:rsidRDefault="00C217FF" w:rsidP="00F36942">
            <w:pPr>
              <w:pStyle w:val="Tabletext"/>
              <w:rPr>
                <w:snapToGrid w:val="0"/>
              </w:rPr>
            </w:pPr>
            <w:r w:rsidRPr="00295986">
              <w:t>0</w:t>
            </w:r>
            <w:r w:rsidR="00D7157D">
              <w:t>.</w:t>
            </w:r>
            <w:r w:rsidRPr="00295986">
              <w:t>5014</w:t>
            </w:r>
          </w:p>
        </w:tc>
      </w:tr>
      <w:tr w:rsidR="00C217FF" w:rsidRPr="009E2595" w14:paraId="5805DA46" w14:textId="77777777" w:rsidTr="00F36942">
        <w:trPr>
          <w:cantSplit/>
        </w:trPr>
        <w:tc>
          <w:tcPr>
            <w:tcW w:w="1136" w:type="pct"/>
            <w:tcBorders>
              <w:top w:val="single" w:sz="4" w:space="0" w:color="auto"/>
              <w:bottom w:val="single" w:sz="4" w:space="0" w:color="auto"/>
            </w:tcBorders>
          </w:tcPr>
          <w:p w14:paraId="7F9D6AF5" w14:textId="77777777" w:rsidR="00C217FF" w:rsidRPr="00616B26" w:rsidRDefault="00C217FF" w:rsidP="00F36942">
            <w:pPr>
              <w:pStyle w:val="Tabletext"/>
              <w:rPr>
                <w:snapToGrid w:val="0"/>
              </w:rPr>
            </w:pPr>
            <w:r w:rsidRPr="00616B26">
              <w:rPr>
                <w:snapToGrid w:val="0"/>
              </w:rPr>
              <w:t>48</w:t>
            </w:r>
          </w:p>
        </w:tc>
        <w:tc>
          <w:tcPr>
            <w:tcW w:w="966" w:type="pct"/>
            <w:tcBorders>
              <w:top w:val="single" w:sz="4" w:space="0" w:color="auto"/>
              <w:bottom w:val="single" w:sz="4" w:space="0" w:color="auto"/>
            </w:tcBorders>
            <w:vAlign w:val="bottom"/>
          </w:tcPr>
          <w:p w14:paraId="551D2B6B" w14:textId="77777777" w:rsidR="00C217FF" w:rsidRPr="000F120F" w:rsidRDefault="00C217FF" w:rsidP="00F36942">
            <w:pPr>
              <w:pStyle w:val="Tabletext"/>
              <w:rPr>
                <w:snapToGrid w:val="0"/>
              </w:rPr>
            </w:pPr>
            <w:r w:rsidRPr="00295986">
              <w:t>24</w:t>
            </w:r>
            <w:r w:rsidR="00D7157D">
              <w:t>.</w:t>
            </w:r>
            <w:r w:rsidRPr="00295986">
              <w:t>6827</w:t>
            </w:r>
          </w:p>
        </w:tc>
        <w:tc>
          <w:tcPr>
            <w:tcW w:w="966" w:type="pct"/>
            <w:tcBorders>
              <w:top w:val="single" w:sz="4" w:space="0" w:color="auto"/>
              <w:bottom w:val="single" w:sz="4" w:space="0" w:color="auto"/>
            </w:tcBorders>
            <w:vAlign w:val="bottom"/>
          </w:tcPr>
          <w:p w14:paraId="5B178FCC" w14:textId="77777777" w:rsidR="00C217FF" w:rsidRPr="000F120F" w:rsidRDefault="00C217FF" w:rsidP="00F36942">
            <w:pPr>
              <w:pStyle w:val="Tabletext"/>
              <w:rPr>
                <w:snapToGrid w:val="0"/>
              </w:rPr>
            </w:pPr>
            <w:r w:rsidRPr="00295986">
              <w:t>1</w:t>
            </w:r>
            <w:r w:rsidR="00D7157D">
              <w:t>.</w:t>
            </w:r>
            <w:r w:rsidRPr="00295986">
              <w:t>5258</w:t>
            </w:r>
          </w:p>
        </w:tc>
        <w:tc>
          <w:tcPr>
            <w:tcW w:w="966" w:type="pct"/>
            <w:tcBorders>
              <w:top w:val="single" w:sz="4" w:space="0" w:color="auto"/>
              <w:bottom w:val="single" w:sz="4" w:space="0" w:color="auto"/>
            </w:tcBorders>
            <w:vAlign w:val="bottom"/>
          </w:tcPr>
          <w:p w14:paraId="31F45C7A" w14:textId="77777777" w:rsidR="00C217FF" w:rsidRPr="000F120F" w:rsidRDefault="00C217FF" w:rsidP="00F36942">
            <w:pPr>
              <w:pStyle w:val="Tabletext"/>
              <w:rPr>
                <w:snapToGrid w:val="0"/>
              </w:rPr>
            </w:pPr>
            <w:r w:rsidRPr="00295986">
              <w:t>25</w:t>
            </w:r>
            <w:r w:rsidR="00D7157D">
              <w:t>.</w:t>
            </w:r>
            <w:r w:rsidRPr="00295986">
              <w:t>6331</w:t>
            </w:r>
          </w:p>
        </w:tc>
        <w:tc>
          <w:tcPr>
            <w:tcW w:w="966" w:type="pct"/>
            <w:tcBorders>
              <w:top w:val="single" w:sz="4" w:space="0" w:color="auto"/>
              <w:bottom w:val="single" w:sz="4" w:space="0" w:color="auto"/>
            </w:tcBorders>
            <w:vAlign w:val="bottom"/>
          </w:tcPr>
          <w:p w14:paraId="068C8639" w14:textId="77777777" w:rsidR="00C217FF" w:rsidRPr="000F120F" w:rsidRDefault="00C217FF" w:rsidP="00F36942">
            <w:pPr>
              <w:pStyle w:val="Tabletext"/>
              <w:rPr>
                <w:snapToGrid w:val="0"/>
              </w:rPr>
            </w:pPr>
            <w:r w:rsidRPr="00295986">
              <w:t>0</w:t>
            </w:r>
            <w:r w:rsidR="00D7157D">
              <w:t>.</w:t>
            </w:r>
            <w:r w:rsidRPr="00295986">
              <w:t>4598</w:t>
            </w:r>
          </w:p>
        </w:tc>
      </w:tr>
      <w:tr w:rsidR="00C217FF" w:rsidRPr="009E2595" w14:paraId="5D196B7E" w14:textId="77777777" w:rsidTr="00F36942">
        <w:trPr>
          <w:cantSplit/>
        </w:trPr>
        <w:tc>
          <w:tcPr>
            <w:tcW w:w="1136" w:type="pct"/>
            <w:tcBorders>
              <w:top w:val="single" w:sz="4" w:space="0" w:color="auto"/>
              <w:bottom w:val="single" w:sz="4" w:space="0" w:color="auto"/>
            </w:tcBorders>
          </w:tcPr>
          <w:p w14:paraId="739397A7" w14:textId="77777777" w:rsidR="00C217FF" w:rsidRPr="00616B26" w:rsidRDefault="00C217FF" w:rsidP="00F36942">
            <w:pPr>
              <w:pStyle w:val="Tabletext"/>
              <w:rPr>
                <w:snapToGrid w:val="0"/>
              </w:rPr>
            </w:pPr>
            <w:r w:rsidRPr="00616B26">
              <w:rPr>
                <w:snapToGrid w:val="0"/>
              </w:rPr>
              <w:t>49</w:t>
            </w:r>
          </w:p>
        </w:tc>
        <w:tc>
          <w:tcPr>
            <w:tcW w:w="966" w:type="pct"/>
            <w:tcBorders>
              <w:top w:val="single" w:sz="4" w:space="0" w:color="auto"/>
              <w:bottom w:val="single" w:sz="4" w:space="0" w:color="auto"/>
            </w:tcBorders>
            <w:vAlign w:val="bottom"/>
          </w:tcPr>
          <w:p w14:paraId="002DD4E9" w14:textId="77777777" w:rsidR="00C217FF" w:rsidRPr="000F120F" w:rsidRDefault="00C217FF" w:rsidP="00F36942">
            <w:pPr>
              <w:pStyle w:val="Tabletext"/>
              <w:rPr>
                <w:snapToGrid w:val="0"/>
              </w:rPr>
            </w:pPr>
            <w:r w:rsidRPr="00295986">
              <w:t>24</w:t>
            </w:r>
            <w:r w:rsidR="00D7157D">
              <w:t>.</w:t>
            </w:r>
            <w:r w:rsidRPr="00295986">
              <w:t>3239</w:t>
            </w:r>
          </w:p>
        </w:tc>
        <w:tc>
          <w:tcPr>
            <w:tcW w:w="966" w:type="pct"/>
            <w:tcBorders>
              <w:top w:val="single" w:sz="4" w:space="0" w:color="auto"/>
              <w:bottom w:val="single" w:sz="4" w:space="0" w:color="auto"/>
            </w:tcBorders>
            <w:vAlign w:val="bottom"/>
          </w:tcPr>
          <w:p w14:paraId="794DB034" w14:textId="77777777" w:rsidR="00C217FF" w:rsidRPr="000F120F" w:rsidRDefault="00C217FF" w:rsidP="00F36942">
            <w:pPr>
              <w:pStyle w:val="Tabletext"/>
              <w:rPr>
                <w:snapToGrid w:val="0"/>
              </w:rPr>
            </w:pPr>
            <w:r w:rsidRPr="00295986">
              <w:t>1</w:t>
            </w:r>
            <w:r w:rsidR="00D7157D">
              <w:t>.</w:t>
            </w:r>
            <w:r w:rsidRPr="00295986">
              <w:t>4866</w:t>
            </w:r>
          </w:p>
        </w:tc>
        <w:tc>
          <w:tcPr>
            <w:tcW w:w="966" w:type="pct"/>
            <w:tcBorders>
              <w:top w:val="single" w:sz="4" w:space="0" w:color="auto"/>
              <w:bottom w:val="single" w:sz="4" w:space="0" w:color="auto"/>
            </w:tcBorders>
            <w:vAlign w:val="bottom"/>
          </w:tcPr>
          <w:p w14:paraId="346DB89F" w14:textId="77777777" w:rsidR="00C217FF" w:rsidRPr="000F120F" w:rsidRDefault="00C217FF" w:rsidP="00F36942">
            <w:pPr>
              <w:pStyle w:val="Tabletext"/>
              <w:rPr>
                <w:snapToGrid w:val="0"/>
              </w:rPr>
            </w:pPr>
            <w:r w:rsidRPr="00295986">
              <w:t>25</w:t>
            </w:r>
            <w:r w:rsidR="00D7157D">
              <w:t>.</w:t>
            </w:r>
            <w:r w:rsidRPr="00295986">
              <w:t>2856</w:t>
            </w:r>
          </w:p>
        </w:tc>
        <w:tc>
          <w:tcPr>
            <w:tcW w:w="966" w:type="pct"/>
            <w:tcBorders>
              <w:top w:val="single" w:sz="4" w:space="0" w:color="auto"/>
              <w:bottom w:val="single" w:sz="4" w:space="0" w:color="auto"/>
            </w:tcBorders>
            <w:vAlign w:val="bottom"/>
          </w:tcPr>
          <w:p w14:paraId="70508C0B" w14:textId="77777777" w:rsidR="00C217FF" w:rsidRPr="000F120F" w:rsidRDefault="00C217FF" w:rsidP="00F36942">
            <w:pPr>
              <w:pStyle w:val="Tabletext"/>
              <w:rPr>
                <w:snapToGrid w:val="0"/>
              </w:rPr>
            </w:pPr>
            <w:r w:rsidRPr="00295986">
              <w:t>0</w:t>
            </w:r>
            <w:r w:rsidR="00D7157D">
              <w:t>.</w:t>
            </w:r>
            <w:r w:rsidRPr="00295986">
              <w:t>4158</w:t>
            </w:r>
          </w:p>
        </w:tc>
      </w:tr>
      <w:tr w:rsidR="00C217FF" w:rsidRPr="009E2595" w14:paraId="1809C06E" w14:textId="77777777" w:rsidTr="00F36942">
        <w:trPr>
          <w:cantSplit/>
        </w:trPr>
        <w:tc>
          <w:tcPr>
            <w:tcW w:w="1136" w:type="pct"/>
            <w:tcBorders>
              <w:top w:val="single" w:sz="4" w:space="0" w:color="auto"/>
              <w:bottom w:val="single" w:sz="4" w:space="0" w:color="auto"/>
            </w:tcBorders>
          </w:tcPr>
          <w:p w14:paraId="333DB763" w14:textId="77777777" w:rsidR="00C217FF" w:rsidRPr="00616B26" w:rsidRDefault="00C217FF" w:rsidP="00F36942">
            <w:pPr>
              <w:pStyle w:val="Tabletext"/>
              <w:rPr>
                <w:snapToGrid w:val="0"/>
              </w:rPr>
            </w:pPr>
            <w:r w:rsidRPr="00616B26">
              <w:rPr>
                <w:snapToGrid w:val="0"/>
              </w:rPr>
              <w:t>50</w:t>
            </w:r>
          </w:p>
        </w:tc>
        <w:tc>
          <w:tcPr>
            <w:tcW w:w="966" w:type="pct"/>
            <w:tcBorders>
              <w:top w:val="single" w:sz="4" w:space="0" w:color="auto"/>
              <w:bottom w:val="single" w:sz="4" w:space="0" w:color="auto"/>
            </w:tcBorders>
            <w:vAlign w:val="bottom"/>
          </w:tcPr>
          <w:p w14:paraId="61B1190B" w14:textId="77777777" w:rsidR="00C217FF" w:rsidRPr="000F120F" w:rsidRDefault="00C217FF" w:rsidP="00F36942">
            <w:pPr>
              <w:pStyle w:val="Tabletext"/>
              <w:rPr>
                <w:snapToGrid w:val="0"/>
              </w:rPr>
            </w:pPr>
            <w:r w:rsidRPr="00295986">
              <w:t>23</w:t>
            </w:r>
            <w:r w:rsidR="00D7157D">
              <w:t>.</w:t>
            </w:r>
            <w:r w:rsidRPr="00295986">
              <w:t>9568</w:t>
            </w:r>
          </w:p>
        </w:tc>
        <w:tc>
          <w:tcPr>
            <w:tcW w:w="966" w:type="pct"/>
            <w:tcBorders>
              <w:top w:val="single" w:sz="4" w:space="0" w:color="auto"/>
              <w:bottom w:val="single" w:sz="4" w:space="0" w:color="auto"/>
            </w:tcBorders>
            <w:vAlign w:val="bottom"/>
          </w:tcPr>
          <w:p w14:paraId="621AB128" w14:textId="77777777" w:rsidR="00C217FF" w:rsidRPr="000F120F" w:rsidRDefault="00C217FF" w:rsidP="00F36942">
            <w:pPr>
              <w:pStyle w:val="Tabletext"/>
              <w:rPr>
                <w:snapToGrid w:val="0"/>
              </w:rPr>
            </w:pPr>
            <w:r w:rsidRPr="00295986">
              <w:t>1</w:t>
            </w:r>
            <w:r w:rsidR="00D7157D">
              <w:t>.</w:t>
            </w:r>
            <w:r w:rsidRPr="00295986">
              <w:t>4448</w:t>
            </w:r>
          </w:p>
        </w:tc>
        <w:tc>
          <w:tcPr>
            <w:tcW w:w="966" w:type="pct"/>
            <w:tcBorders>
              <w:top w:val="single" w:sz="4" w:space="0" w:color="auto"/>
              <w:bottom w:val="single" w:sz="4" w:space="0" w:color="auto"/>
            </w:tcBorders>
            <w:vAlign w:val="bottom"/>
          </w:tcPr>
          <w:p w14:paraId="350B3688" w14:textId="77777777" w:rsidR="00C217FF" w:rsidRPr="000F120F" w:rsidRDefault="00C217FF" w:rsidP="00F36942">
            <w:pPr>
              <w:pStyle w:val="Tabletext"/>
              <w:rPr>
                <w:snapToGrid w:val="0"/>
              </w:rPr>
            </w:pPr>
            <w:r w:rsidRPr="00295986">
              <w:t>24</w:t>
            </w:r>
            <w:r w:rsidR="00D7157D">
              <w:t>.</w:t>
            </w:r>
            <w:r w:rsidRPr="00295986">
              <w:t>9299</w:t>
            </w:r>
          </w:p>
        </w:tc>
        <w:tc>
          <w:tcPr>
            <w:tcW w:w="966" w:type="pct"/>
            <w:tcBorders>
              <w:top w:val="single" w:sz="4" w:space="0" w:color="auto"/>
              <w:bottom w:val="single" w:sz="4" w:space="0" w:color="auto"/>
            </w:tcBorders>
            <w:vAlign w:val="bottom"/>
          </w:tcPr>
          <w:p w14:paraId="0A37C192" w14:textId="77777777" w:rsidR="00C217FF" w:rsidRPr="000F120F" w:rsidRDefault="00C217FF" w:rsidP="00F36942">
            <w:pPr>
              <w:pStyle w:val="Tabletext"/>
              <w:rPr>
                <w:snapToGrid w:val="0"/>
              </w:rPr>
            </w:pPr>
            <w:r w:rsidRPr="00295986">
              <w:t>0</w:t>
            </w:r>
            <w:r w:rsidR="00D7157D">
              <w:t>.</w:t>
            </w:r>
            <w:r w:rsidRPr="00295986">
              <w:t>3695</w:t>
            </w:r>
          </w:p>
        </w:tc>
      </w:tr>
      <w:tr w:rsidR="00C217FF" w:rsidRPr="009E2595" w14:paraId="7BBBBC9C" w14:textId="77777777" w:rsidTr="00F36942">
        <w:trPr>
          <w:cantSplit/>
        </w:trPr>
        <w:tc>
          <w:tcPr>
            <w:tcW w:w="1136" w:type="pct"/>
            <w:tcBorders>
              <w:top w:val="single" w:sz="4" w:space="0" w:color="auto"/>
              <w:bottom w:val="single" w:sz="4" w:space="0" w:color="auto"/>
            </w:tcBorders>
          </w:tcPr>
          <w:p w14:paraId="4927ECE4" w14:textId="77777777" w:rsidR="00C217FF" w:rsidRPr="00616B26" w:rsidRDefault="00C217FF" w:rsidP="00F36942">
            <w:pPr>
              <w:pStyle w:val="Tabletext"/>
              <w:rPr>
                <w:snapToGrid w:val="0"/>
              </w:rPr>
            </w:pPr>
            <w:r w:rsidRPr="00616B26">
              <w:rPr>
                <w:snapToGrid w:val="0"/>
              </w:rPr>
              <w:t>51</w:t>
            </w:r>
          </w:p>
        </w:tc>
        <w:tc>
          <w:tcPr>
            <w:tcW w:w="966" w:type="pct"/>
            <w:tcBorders>
              <w:top w:val="single" w:sz="4" w:space="0" w:color="auto"/>
              <w:bottom w:val="single" w:sz="4" w:space="0" w:color="auto"/>
            </w:tcBorders>
            <w:vAlign w:val="bottom"/>
          </w:tcPr>
          <w:p w14:paraId="1BB7B1C2" w14:textId="77777777" w:rsidR="00C217FF" w:rsidRPr="000F120F" w:rsidRDefault="00C217FF" w:rsidP="00F36942">
            <w:pPr>
              <w:pStyle w:val="Tabletext"/>
              <w:rPr>
                <w:snapToGrid w:val="0"/>
              </w:rPr>
            </w:pPr>
            <w:r w:rsidRPr="00295986">
              <w:t>23</w:t>
            </w:r>
            <w:r w:rsidR="00D7157D">
              <w:t>.</w:t>
            </w:r>
            <w:r w:rsidRPr="00295986">
              <w:t>5816</w:t>
            </w:r>
          </w:p>
        </w:tc>
        <w:tc>
          <w:tcPr>
            <w:tcW w:w="966" w:type="pct"/>
            <w:tcBorders>
              <w:top w:val="single" w:sz="4" w:space="0" w:color="auto"/>
              <w:bottom w:val="single" w:sz="4" w:space="0" w:color="auto"/>
            </w:tcBorders>
            <w:vAlign w:val="bottom"/>
          </w:tcPr>
          <w:p w14:paraId="712B2B87" w14:textId="77777777" w:rsidR="00C217FF" w:rsidRPr="000F120F" w:rsidRDefault="00C217FF" w:rsidP="00F36942">
            <w:pPr>
              <w:pStyle w:val="Tabletext"/>
              <w:rPr>
                <w:snapToGrid w:val="0"/>
              </w:rPr>
            </w:pPr>
            <w:r w:rsidRPr="00295986">
              <w:t>1</w:t>
            </w:r>
            <w:r w:rsidR="00D7157D">
              <w:t>.</w:t>
            </w:r>
            <w:r w:rsidRPr="00295986">
              <w:t>2528</w:t>
            </w:r>
          </w:p>
        </w:tc>
        <w:tc>
          <w:tcPr>
            <w:tcW w:w="966" w:type="pct"/>
            <w:tcBorders>
              <w:top w:val="single" w:sz="4" w:space="0" w:color="auto"/>
              <w:bottom w:val="single" w:sz="4" w:space="0" w:color="auto"/>
            </w:tcBorders>
            <w:vAlign w:val="bottom"/>
          </w:tcPr>
          <w:p w14:paraId="2031C1E5" w14:textId="77777777" w:rsidR="00C217FF" w:rsidRPr="000F120F" w:rsidRDefault="00C217FF" w:rsidP="00F36942">
            <w:pPr>
              <w:pStyle w:val="Tabletext"/>
              <w:rPr>
                <w:snapToGrid w:val="0"/>
              </w:rPr>
            </w:pPr>
            <w:r w:rsidRPr="00295986">
              <w:t>24</w:t>
            </w:r>
            <w:r w:rsidR="00D7157D">
              <w:t>.</w:t>
            </w:r>
            <w:r w:rsidRPr="00295986">
              <w:t>5656</w:t>
            </w:r>
          </w:p>
        </w:tc>
        <w:tc>
          <w:tcPr>
            <w:tcW w:w="966" w:type="pct"/>
            <w:tcBorders>
              <w:top w:val="single" w:sz="4" w:space="0" w:color="auto"/>
              <w:bottom w:val="single" w:sz="4" w:space="0" w:color="auto"/>
            </w:tcBorders>
            <w:vAlign w:val="bottom"/>
          </w:tcPr>
          <w:p w14:paraId="2FE83EBE" w14:textId="77777777" w:rsidR="00C217FF" w:rsidRPr="000F120F" w:rsidRDefault="00C217FF" w:rsidP="00F36942">
            <w:pPr>
              <w:pStyle w:val="Tabletext"/>
              <w:rPr>
                <w:snapToGrid w:val="0"/>
              </w:rPr>
            </w:pPr>
            <w:r w:rsidRPr="00295986">
              <w:t>0</w:t>
            </w:r>
            <w:r w:rsidR="00D7157D">
              <w:t>.</w:t>
            </w:r>
            <w:r w:rsidRPr="00295986">
              <w:t>3208</w:t>
            </w:r>
          </w:p>
        </w:tc>
      </w:tr>
      <w:tr w:rsidR="00C217FF" w:rsidRPr="009E2595" w14:paraId="708DF32B" w14:textId="77777777" w:rsidTr="00F36942">
        <w:trPr>
          <w:cantSplit/>
        </w:trPr>
        <w:tc>
          <w:tcPr>
            <w:tcW w:w="1136" w:type="pct"/>
            <w:tcBorders>
              <w:top w:val="single" w:sz="4" w:space="0" w:color="auto"/>
              <w:bottom w:val="single" w:sz="4" w:space="0" w:color="auto"/>
            </w:tcBorders>
          </w:tcPr>
          <w:p w14:paraId="6C3FB8B6" w14:textId="77777777" w:rsidR="00C217FF" w:rsidRPr="00616B26" w:rsidRDefault="00C217FF" w:rsidP="00F36942">
            <w:pPr>
              <w:pStyle w:val="Tabletext"/>
              <w:rPr>
                <w:snapToGrid w:val="0"/>
              </w:rPr>
            </w:pPr>
            <w:r w:rsidRPr="00616B26">
              <w:rPr>
                <w:snapToGrid w:val="0"/>
              </w:rPr>
              <w:t>52</w:t>
            </w:r>
          </w:p>
        </w:tc>
        <w:tc>
          <w:tcPr>
            <w:tcW w:w="966" w:type="pct"/>
            <w:tcBorders>
              <w:top w:val="single" w:sz="4" w:space="0" w:color="auto"/>
              <w:bottom w:val="single" w:sz="4" w:space="0" w:color="auto"/>
            </w:tcBorders>
            <w:vAlign w:val="bottom"/>
          </w:tcPr>
          <w:p w14:paraId="639E0AB0" w14:textId="77777777" w:rsidR="00C217FF" w:rsidRPr="000F120F" w:rsidRDefault="00C217FF" w:rsidP="00F36942">
            <w:pPr>
              <w:pStyle w:val="Tabletext"/>
              <w:rPr>
                <w:snapToGrid w:val="0"/>
              </w:rPr>
            </w:pPr>
            <w:r w:rsidRPr="00295986">
              <w:t>23</w:t>
            </w:r>
            <w:r w:rsidR="00D7157D">
              <w:t>.</w:t>
            </w:r>
            <w:r w:rsidRPr="00295986">
              <w:t>1970</w:t>
            </w:r>
          </w:p>
        </w:tc>
        <w:tc>
          <w:tcPr>
            <w:tcW w:w="966" w:type="pct"/>
            <w:tcBorders>
              <w:top w:val="single" w:sz="4" w:space="0" w:color="auto"/>
              <w:bottom w:val="single" w:sz="4" w:space="0" w:color="auto"/>
            </w:tcBorders>
            <w:vAlign w:val="bottom"/>
          </w:tcPr>
          <w:p w14:paraId="410CE36B" w14:textId="77777777" w:rsidR="00C217FF" w:rsidRPr="000F120F" w:rsidRDefault="00C217FF" w:rsidP="00F36942">
            <w:pPr>
              <w:pStyle w:val="Tabletext"/>
              <w:rPr>
                <w:snapToGrid w:val="0"/>
              </w:rPr>
            </w:pPr>
            <w:r w:rsidRPr="00295986">
              <w:t>1</w:t>
            </w:r>
            <w:r w:rsidR="00D7157D">
              <w:t>.</w:t>
            </w:r>
            <w:r w:rsidRPr="00295986">
              <w:t>0524</w:t>
            </w:r>
          </w:p>
        </w:tc>
        <w:tc>
          <w:tcPr>
            <w:tcW w:w="966" w:type="pct"/>
            <w:tcBorders>
              <w:top w:val="single" w:sz="4" w:space="0" w:color="auto"/>
              <w:bottom w:val="single" w:sz="4" w:space="0" w:color="auto"/>
            </w:tcBorders>
            <w:vAlign w:val="bottom"/>
          </w:tcPr>
          <w:p w14:paraId="267D65C7" w14:textId="77777777" w:rsidR="00C217FF" w:rsidRPr="000F120F" w:rsidRDefault="00C217FF" w:rsidP="00F36942">
            <w:pPr>
              <w:pStyle w:val="Tabletext"/>
              <w:rPr>
                <w:snapToGrid w:val="0"/>
              </w:rPr>
            </w:pPr>
            <w:r w:rsidRPr="00295986">
              <w:t>24</w:t>
            </w:r>
            <w:r w:rsidR="00D7157D">
              <w:t>.</w:t>
            </w:r>
            <w:r w:rsidRPr="00295986">
              <w:t>1916</w:t>
            </w:r>
          </w:p>
        </w:tc>
        <w:tc>
          <w:tcPr>
            <w:tcW w:w="966" w:type="pct"/>
            <w:tcBorders>
              <w:top w:val="single" w:sz="4" w:space="0" w:color="auto"/>
              <w:bottom w:val="single" w:sz="4" w:space="0" w:color="auto"/>
            </w:tcBorders>
            <w:vAlign w:val="bottom"/>
          </w:tcPr>
          <w:p w14:paraId="33B637F8" w14:textId="77777777" w:rsidR="00C217FF" w:rsidRPr="000F120F" w:rsidRDefault="00C217FF" w:rsidP="00F36942">
            <w:pPr>
              <w:pStyle w:val="Tabletext"/>
              <w:rPr>
                <w:snapToGrid w:val="0"/>
              </w:rPr>
            </w:pPr>
            <w:r w:rsidRPr="00295986">
              <w:t>0</w:t>
            </w:r>
            <w:r w:rsidR="00D7157D">
              <w:t>.</w:t>
            </w:r>
            <w:r w:rsidRPr="00295986">
              <w:t>2699</w:t>
            </w:r>
          </w:p>
        </w:tc>
      </w:tr>
      <w:tr w:rsidR="00C217FF" w:rsidRPr="009E2595" w14:paraId="79E51CB4" w14:textId="77777777" w:rsidTr="00F36942">
        <w:trPr>
          <w:cantSplit/>
        </w:trPr>
        <w:tc>
          <w:tcPr>
            <w:tcW w:w="1136" w:type="pct"/>
            <w:tcBorders>
              <w:top w:val="single" w:sz="4" w:space="0" w:color="auto"/>
              <w:bottom w:val="single" w:sz="4" w:space="0" w:color="auto"/>
            </w:tcBorders>
          </w:tcPr>
          <w:p w14:paraId="10B69CCE" w14:textId="77777777" w:rsidR="00C217FF" w:rsidRPr="00616B26" w:rsidRDefault="00C217FF" w:rsidP="00F36942">
            <w:pPr>
              <w:pStyle w:val="Tabletext"/>
              <w:rPr>
                <w:snapToGrid w:val="0"/>
              </w:rPr>
            </w:pPr>
            <w:r w:rsidRPr="00616B26">
              <w:rPr>
                <w:snapToGrid w:val="0"/>
              </w:rPr>
              <w:t>53</w:t>
            </w:r>
          </w:p>
        </w:tc>
        <w:tc>
          <w:tcPr>
            <w:tcW w:w="966" w:type="pct"/>
            <w:tcBorders>
              <w:top w:val="single" w:sz="4" w:space="0" w:color="auto"/>
              <w:bottom w:val="single" w:sz="4" w:space="0" w:color="auto"/>
            </w:tcBorders>
            <w:vAlign w:val="bottom"/>
          </w:tcPr>
          <w:p w14:paraId="48AA38C4" w14:textId="77777777" w:rsidR="00C217FF" w:rsidRPr="000F120F" w:rsidRDefault="00C217FF" w:rsidP="00F36942">
            <w:pPr>
              <w:pStyle w:val="Tabletext"/>
              <w:rPr>
                <w:snapToGrid w:val="0"/>
              </w:rPr>
            </w:pPr>
            <w:r w:rsidRPr="00295986">
              <w:t>22</w:t>
            </w:r>
            <w:r w:rsidR="00D7157D">
              <w:t>.</w:t>
            </w:r>
            <w:r w:rsidRPr="00295986">
              <w:t>8025</w:t>
            </w:r>
          </w:p>
        </w:tc>
        <w:tc>
          <w:tcPr>
            <w:tcW w:w="966" w:type="pct"/>
            <w:tcBorders>
              <w:top w:val="single" w:sz="4" w:space="0" w:color="auto"/>
              <w:bottom w:val="single" w:sz="4" w:space="0" w:color="auto"/>
            </w:tcBorders>
            <w:vAlign w:val="bottom"/>
          </w:tcPr>
          <w:p w14:paraId="45509E4E" w14:textId="77777777" w:rsidR="00C217FF" w:rsidRPr="000F120F" w:rsidRDefault="00C217FF" w:rsidP="00F36942">
            <w:pPr>
              <w:pStyle w:val="Tabletext"/>
              <w:rPr>
                <w:snapToGrid w:val="0"/>
              </w:rPr>
            </w:pPr>
            <w:r w:rsidRPr="00295986">
              <w:t>0</w:t>
            </w:r>
            <w:r w:rsidR="00D7157D">
              <w:t>.</w:t>
            </w:r>
            <w:r w:rsidRPr="00295986">
              <w:t>8435</w:t>
            </w:r>
          </w:p>
        </w:tc>
        <w:tc>
          <w:tcPr>
            <w:tcW w:w="966" w:type="pct"/>
            <w:tcBorders>
              <w:top w:val="single" w:sz="4" w:space="0" w:color="auto"/>
              <w:bottom w:val="single" w:sz="4" w:space="0" w:color="auto"/>
            </w:tcBorders>
            <w:vAlign w:val="bottom"/>
          </w:tcPr>
          <w:p w14:paraId="40D5EDC7" w14:textId="77777777" w:rsidR="00C217FF" w:rsidRPr="000F120F" w:rsidRDefault="00C217FF" w:rsidP="00F36942">
            <w:pPr>
              <w:pStyle w:val="Tabletext"/>
              <w:rPr>
                <w:snapToGrid w:val="0"/>
              </w:rPr>
            </w:pPr>
            <w:r w:rsidRPr="00295986">
              <w:t>23</w:t>
            </w:r>
            <w:r w:rsidR="00D7157D">
              <w:t>.</w:t>
            </w:r>
            <w:r w:rsidRPr="00295986">
              <w:t>8081</w:t>
            </w:r>
          </w:p>
        </w:tc>
        <w:tc>
          <w:tcPr>
            <w:tcW w:w="966" w:type="pct"/>
            <w:tcBorders>
              <w:top w:val="single" w:sz="4" w:space="0" w:color="auto"/>
              <w:bottom w:val="single" w:sz="4" w:space="0" w:color="auto"/>
            </w:tcBorders>
            <w:vAlign w:val="bottom"/>
          </w:tcPr>
          <w:p w14:paraId="6A0FC428" w14:textId="77777777" w:rsidR="00C217FF" w:rsidRPr="000F120F" w:rsidRDefault="00C217FF" w:rsidP="00F36942">
            <w:pPr>
              <w:pStyle w:val="Tabletext"/>
              <w:rPr>
                <w:snapToGrid w:val="0"/>
              </w:rPr>
            </w:pPr>
            <w:r w:rsidRPr="00295986">
              <w:t>0</w:t>
            </w:r>
            <w:r w:rsidR="00D7157D">
              <w:t>.</w:t>
            </w:r>
            <w:r w:rsidRPr="00295986">
              <w:t>2166</w:t>
            </w:r>
          </w:p>
        </w:tc>
      </w:tr>
      <w:tr w:rsidR="00C217FF" w:rsidRPr="009E2595" w14:paraId="1E450F32" w14:textId="77777777" w:rsidTr="00F36942">
        <w:trPr>
          <w:cantSplit/>
        </w:trPr>
        <w:tc>
          <w:tcPr>
            <w:tcW w:w="1136" w:type="pct"/>
            <w:tcBorders>
              <w:top w:val="single" w:sz="4" w:space="0" w:color="auto"/>
              <w:bottom w:val="single" w:sz="4" w:space="0" w:color="auto"/>
            </w:tcBorders>
          </w:tcPr>
          <w:p w14:paraId="658B0DFD" w14:textId="77777777" w:rsidR="00C217FF" w:rsidRPr="00616B26" w:rsidRDefault="00C217FF" w:rsidP="00F36942">
            <w:pPr>
              <w:pStyle w:val="Tabletext"/>
              <w:rPr>
                <w:snapToGrid w:val="0"/>
              </w:rPr>
            </w:pPr>
            <w:r w:rsidRPr="00616B26">
              <w:rPr>
                <w:snapToGrid w:val="0"/>
              </w:rPr>
              <w:t>54</w:t>
            </w:r>
          </w:p>
        </w:tc>
        <w:tc>
          <w:tcPr>
            <w:tcW w:w="966" w:type="pct"/>
            <w:tcBorders>
              <w:top w:val="single" w:sz="4" w:space="0" w:color="auto"/>
              <w:bottom w:val="single" w:sz="4" w:space="0" w:color="auto"/>
            </w:tcBorders>
            <w:vAlign w:val="bottom"/>
          </w:tcPr>
          <w:p w14:paraId="22A492A1" w14:textId="77777777" w:rsidR="00C217FF" w:rsidRPr="000F120F" w:rsidRDefault="00C217FF" w:rsidP="00F36942">
            <w:pPr>
              <w:pStyle w:val="Tabletext"/>
              <w:rPr>
                <w:snapToGrid w:val="0"/>
              </w:rPr>
            </w:pPr>
            <w:r w:rsidRPr="00295986">
              <w:t>22</w:t>
            </w:r>
            <w:r w:rsidR="00D7157D">
              <w:t>.</w:t>
            </w:r>
            <w:r w:rsidRPr="00295986">
              <w:t>3985</w:t>
            </w:r>
          </w:p>
        </w:tc>
        <w:tc>
          <w:tcPr>
            <w:tcW w:w="966" w:type="pct"/>
            <w:tcBorders>
              <w:top w:val="single" w:sz="4" w:space="0" w:color="auto"/>
              <w:bottom w:val="single" w:sz="4" w:space="0" w:color="auto"/>
            </w:tcBorders>
            <w:vAlign w:val="bottom"/>
          </w:tcPr>
          <w:p w14:paraId="1E99FDA9" w14:textId="77777777" w:rsidR="00C217FF" w:rsidRPr="000F120F" w:rsidRDefault="00C217FF" w:rsidP="00F36942">
            <w:pPr>
              <w:pStyle w:val="Tabletext"/>
              <w:rPr>
                <w:snapToGrid w:val="0"/>
              </w:rPr>
            </w:pPr>
            <w:r w:rsidRPr="00295986">
              <w:t>0</w:t>
            </w:r>
            <w:r w:rsidR="00D7157D">
              <w:t>.</w:t>
            </w:r>
            <w:r w:rsidRPr="00295986">
              <w:t>6257</w:t>
            </w:r>
          </w:p>
        </w:tc>
        <w:tc>
          <w:tcPr>
            <w:tcW w:w="966" w:type="pct"/>
            <w:tcBorders>
              <w:top w:val="single" w:sz="4" w:space="0" w:color="auto"/>
              <w:bottom w:val="single" w:sz="4" w:space="0" w:color="auto"/>
            </w:tcBorders>
            <w:vAlign w:val="bottom"/>
          </w:tcPr>
          <w:p w14:paraId="14A507B3" w14:textId="77777777" w:rsidR="00C217FF" w:rsidRPr="000F120F" w:rsidRDefault="00C217FF" w:rsidP="00F36942">
            <w:pPr>
              <w:pStyle w:val="Tabletext"/>
              <w:rPr>
                <w:snapToGrid w:val="0"/>
              </w:rPr>
            </w:pPr>
            <w:r w:rsidRPr="00295986">
              <w:t>23</w:t>
            </w:r>
            <w:r w:rsidR="00D7157D">
              <w:t>.</w:t>
            </w:r>
            <w:r w:rsidRPr="00295986">
              <w:t>4148</w:t>
            </w:r>
          </w:p>
        </w:tc>
        <w:tc>
          <w:tcPr>
            <w:tcW w:w="966" w:type="pct"/>
            <w:tcBorders>
              <w:top w:val="single" w:sz="4" w:space="0" w:color="auto"/>
              <w:bottom w:val="single" w:sz="4" w:space="0" w:color="auto"/>
            </w:tcBorders>
            <w:vAlign w:val="bottom"/>
          </w:tcPr>
          <w:p w14:paraId="1A252690" w14:textId="77777777" w:rsidR="00C217FF" w:rsidRPr="000F120F" w:rsidRDefault="00C217FF" w:rsidP="00F36942">
            <w:pPr>
              <w:pStyle w:val="Tabletext"/>
              <w:rPr>
                <w:snapToGrid w:val="0"/>
              </w:rPr>
            </w:pPr>
            <w:r w:rsidRPr="00295986">
              <w:t>0</w:t>
            </w:r>
            <w:r w:rsidR="00D7157D">
              <w:t>.</w:t>
            </w:r>
            <w:r w:rsidRPr="00295986">
              <w:t>1609</w:t>
            </w:r>
          </w:p>
        </w:tc>
      </w:tr>
      <w:tr w:rsidR="00C217FF" w:rsidRPr="009E2595" w14:paraId="3D163B61" w14:textId="77777777" w:rsidTr="00F36942">
        <w:trPr>
          <w:cantSplit/>
        </w:trPr>
        <w:tc>
          <w:tcPr>
            <w:tcW w:w="1136" w:type="pct"/>
            <w:tcBorders>
              <w:top w:val="single" w:sz="4" w:space="0" w:color="auto"/>
              <w:bottom w:val="single" w:sz="4" w:space="0" w:color="auto"/>
            </w:tcBorders>
          </w:tcPr>
          <w:p w14:paraId="5A64C36F" w14:textId="77777777" w:rsidR="00C217FF" w:rsidRPr="00616B26" w:rsidRDefault="00C217FF" w:rsidP="00F36942">
            <w:pPr>
              <w:pStyle w:val="Tabletext"/>
              <w:rPr>
                <w:snapToGrid w:val="0"/>
              </w:rPr>
            </w:pPr>
            <w:r w:rsidRPr="00616B26">
              <w:rPr>
                <w:snapToGrid w:val="0"/>
              </w:rPr>
              <w:t>55</w:t>
            </w:r>
          </w:p>
        </w:tc>
        <w:tc>
          <w:tcPr>
            <w:tcW w:w="966" w:type="pct"/>
            <w:tcBorders>
              <w:top w:val="single" w:sz="4" w:space="0" w:color="auto"/>
              <w:bottom w:val="single" w:sz="4" w:space="0" w:color="auto"/>
            </w:tcBorders>
            <w:vAlign w:val="bottom"/>
          </w:tcPr>
          <w:p w14:paraId="66AA6418" w14:textId="77777777" w:rsidR="00C217FF" w:rsidRPr="000F120F" w:rsidRDefault="00C217FF" w:rsidP="00F36942">
            <w:pPr>
              <w:pStyle w:val="Tabletext"/>
              <w:rPr>
                <w:snapToGrid w:val="0"/>
              </w:rPr>
            </w:pPr>
            <w:r w:rsidRPr="00295986">
              <w:t>21</w:t>
            </w:r>
            <w:r w:rsidR="00D7157D">
              <w:t>.</w:t>
            </w:r>
            <w:r w:rsidRPr="00295986">
              <w:t>9847</w:t>
            </w:r>
          </w:p>
        </w:tc>
        <w:tc>
          <w:tcPr>
            <w:tcW w:w="966" w:type="pct"/>
            <w:tcBorders>
              <w:top w:val="single" w:sz="4" w:space="0" w:color="auto"/>
              <w:bottom w:val="single" w:sz="4" w:space="0" w:color="auto"/>
            </w:tcBorders>
            <w:vAlign w:val="bottom"/>
          </w:tcPr>
          <w:p w14:paraId="31CEE6B4" w14:textId="77777777" w:rsidR="00C217FF" w:rsidRPr="000F120F" w:rsidRDefault="00C217FF" w:rsidP="00F36942">
            <w:pPr>
              <w:pStyle w:val="Tabletext"/>
              <w:rPr>
                <w:snapToGrid w:val="0"/>
              </w:rPr>
            </w:pPr>
            <w:r w:rsidRPr="00295986">
              <w:t>0</w:t>
            </w:r>
            <w:r w:rsidR="00D7157D">
              <w:t>.</w:t>
            </w:r>
            <w:r w:rsidRPr="00295986">
              <w:t>3988</w:t>
            </w:r>
          </w:p>
        </w:tc>
        <w:tc>
          <w:tcPr>
            <w:tcW w:w="966" w:type="pct"/>
            <w:tcBorders>
              <w:top w:val="single" w:sz="4" w:space="0" w:color="auto"/>
              <w:bottom w:val="single" w:sz="4" w:space="0" w:color="auto"/>
            </w:tcBorders>
            <w:vAlign w:val="bottom"/>
          </w:tcPr>
          <w:p w14:paraId="69755623" w14:textId="77777777" w:rsidR="00C217FF" w:rsidRPr="000F120F" w:rsidRDefault="00C217FF" w:rsidP="00F36942">
            <w:pPr>
              <w:pStyle w:val="Tabletext"/>
              <w:rPr>
                <w:snapToGrid w:val="0"/>
              </w:rPr>
            </w:pPr>
            <w:r w:rsidRPr="00295986">
              <w:t>23</w:t>
            </w:r>
            <w:r w:rsidR="00D7157D">
              <w:t>.</w:t>
            </w:r>
            <w:r w:rsidRPr="00295986">
              <w:t>0130</w:t>
            </w:r>
          </w:p>
        </w:tc>
        <w:tc>
          <w:tcPr>
            <w:tcW w:w="966" w:type="pct"/>
            <w:tcBorders>
              <w:top w:val="single" w:sz="4" w:space="0" w:color="auto"/>
              <w:bottom w:val="single" w:sz="4" w:space="0" w:color="auto"/>
            </w:tcBorders>
            <w:vAlign w:val="bottom"/>
          </w:tcPr>
          <w:p w14:paraId="5576793F" w14:textId="77777777" w:rsidR="00C217FF" w:rsidRPr="000F120F" w:rsidRDefault="00C217FF" w:rsidP="00F36942">
            <w:pPr>
              <w:pStyle w:val="Tabletext"/>
              <w:rPr>
                <w:snapToGrid w:val="0"/>
              </w:rPr>
            </w:pPr>
            <w:r w:rsidRPr="00295986">
              <w:t>0</w:t>
            </w:r>
            <w:r w:rsidR="00D7157D">
              <w:t>.</w:t>
            </w:r>
            <w:r w:rsidRPr="00295986">
              <w:t>1026</w:t>
            </w:r>
          </w:p>
        </w:tc>
      </w:tr>
      <w:tr w:rsidR="00C217FF" w:rsidRPr="009E2595" w14:paraId="0441AC3D" w14:textId="77777777" w:rsidTr="00F36942">
        <w:trPr>
          <w:cantSplit/>
        </w:trPr>
        <w:tc>
          <w:tcPr>
            <w:tcW w:w="1136" w:type="pct"/>
            <w:tcBorders>
              <w:top w:val="single" w:sz="4" w:space="0" w:color="auto"/>
              <w:bottom w:val="single" w:sz="4" w:space="0" w:color="auto"/>
            </w:tcBorders>
          </w:tcPr>
          <w:p w14:paraId="18F0DBBF" w14:textId="77777777" w:rsidR="00C217FF" w:rsidRPr="00616B26" w:rsidRDefault="00C217FF" w:rsidP="00F36942">
            <w:pPr>
              <w:pStyle w:val="Tabletext"/>
              <w:rPr>
                <w:snapToGrid w:val="0"/>
              </w:rPr>
            </w:pPr>
            <w:r w:rsidRPr="00616B26">
              <w:rPr>
                <w:snapToGrid w:val="0"/>
              </w:rPr>
              <w:t>56</w:t>
            </w:r>
          </w:p>
        </w:tc>
        <w:tc>
          <w:tcPr>
            <w:tcW w:w="966" w:type="pct"/>
            <w:tcBorders>
              <w:top w:val="single" w:sz="4" w:space="0" w:color="auto"/>
              <w:bottom w:val="single" w:sz="4" w:space="0" w:color="auto"/>
            </w:tcBorders>
            <w:vAlign w:val="bottom"/>
          </w:tcPr>
          <w:p w14:paraId="6B2AEA41" w14:textId="77777777" w:rsidR="00C217FF" w:rsidRPr="000F120F" w:rsidRDefault="00C217FF" w:rsidP="00F36942">
            <w:pPr>
              <w:pStyle w:val="Tabletext"/>
              <w:rPr>
                <w:snapToGrid w:val="0"/>
              </w:rPr>
            </w:pPr>
            <w:r w:rsidRPr="00295986">
              <w:t>21</w:t>
            </w:r>
            <w:r w:rsidR="00D7157D">
              <w:t>.</w:t>
            </w:r>
            <w:r w:rsidRPr="00295986">
              <w:t>5608</w:t>
            </w:r>
          </w:p>
        </w:tc>
        <w:tc>
          <w:tcPr>
            <w:tcW w:w="966" w:type="pct"/>
            <w:tcBorders>
              <w:top w:val="single" w:sz="4" w:space="0" w:color="auto"/>
              <w:bottom w:val="single" w:sz="4" w:space="0" w:color="auto"/>
            </w:tcBorders>
            <w:vAlign w:val="bottom"/>
          </w:tcPr>
          <w:p w14:paraId="68699E78" w14:textId="77777777" w:rsidR="00C217FF" w:rsidRPr="000F120F" w:rsidRDefault="00C217FF" w:rsidP="00F36942">
            <w:pPr>
              <w:pStyle w:val="Tabletext"/>
              <w:rPr>
                <w:snapToGrid w:val="0"/>
              </w:rPr>
            </w:pPr>
            <w:r w:rsidRPr="00295986">
              <w:t>0</w:t>
            </w:r>
            <w:r w:rsidR="00D7157D">
              <w:t>.</w:t>
            </w:r>
            <w:r w:rsidRPr="00295986">
              <w:t>4066</w:t>
            </w:r>
          </w:p>
        </w:tc>
        <w:tc>
          <w:tcPr>
            <w:tcW w:w="966" w:type="pct"/>
            <w:tcBorders>
              <w:top w:val="single" w:sz="4" w:space="0" w:color="auto"/>
              <w:bottom w:val="single" w:sz="4" w:space="0" w:color="auto"/>
            </w:tcBorders>
            <w:vAlign w:val="bottom"/>
          </w:tcPr>
          <w:p w14:paraId="36F1604C" w14:textId="77777777" w:rsidR="00C217FF" w:rsidRPr="000F120F" w:rsidRDefault="00C217FF" w:rsidP="00F36942">
            <w:pPr>
              <w:pStyle w:val="Tabletext"/>
              <w:rPr>
                <w:snapToGrid w:val="0"/>
              </w:rPr>
            </w:pPr>
            <w:r w:rsidRPr="00295986">
              <w:t>22</w:t>
            </w:r>
            <w:r w:rsidR="00D7157D">
              <w:t>.</w:t>
            </w:r>
            <w:r w:rsidRPr="00295986">
              <w:t>6026</w:t>
            </w:r>
          </w:p>
        </w:tc>
        <w:tc>
          <w:tcPr>
            <w:tcW w:w="966" w:type="pct"/>
            <w:tcBorders>
              <w:top w:val="single" w:sz="4" w:space="0" w:color="auto"/>
              <w:bottom w:val="single" w:sz="4" w:space="0" w:color="auto"/>
            </w:tcBorders>
            <w:vAlign w:val="bottom"/>
          </w:tcPr>
          <w:p w14:paraId="6508235E" w14:textId="77777777" w:rsidR="00C217FF" w:rsidRPr="000F120F" w:rsidRDefault="00C217FF" w:rsidP="00F36942">
            <w:pPr>
              <w:pStyle w:val="Tabletext"/>
              <w:rPr>
                <w:snapToGrid w:val="0"/>
              </w:rPr>
            </w:pPr>
            <w:r w:rsidRPr="00295986">
              <w:t>0</w:t>
            </w:r>
            <w:r w:rsidR="00D7157D">
              <w:t>.</w:t>
            </w:r>
            <w:r w:rsidRPr="00295986">
              <w:t>1047</w:t>
            </w:r>
          </w:p>
        </w:tc>
      </w:tr>
      <w:tr w:rsidR="00C217FF" w:rsidRPr="009E2595" w14:paraId="730771C3" w14:textId="77777777" w:rsidTr="00F36942">
        <w:trPr>
          <w:cantSplit/>
        </w:trPr>
        <w:tc>
          <w:tcPr>
            <w:tcW w:w="1136" w:type="pct"/>
            <w:tcBorders>
              <w:top w:val="single" w:sz="4" w:space="0" w:color="auto"/>
              <w:bottom w:val="single" w:sz="4" w:space="0" w:color="auto"/>
            </w:tcBorders>
          </w:tcPr>
          <w:p w14:paraId="66794087" w14:textId="77777777" w:rsidR="00C217FF" w:rsidRPr="00616B26" w:rsidRDefault="00C217FF" w:rsidP="00F36942">
            <w:pPr>
              <w:pStyle w:val="Tabletext"/>
              <w:rPr>
                <w:snapToGrid w:val="0"/>
              </w:rPr>
            </w:pPr>
            <w:r w:rsidRPr="00616B26">
              <w:rPr>
                <w:snapToGrid w:val="0"/>
              </w:rPr>
              <w:t>57</w:t>
            </w:r>
          </w:p>
        </w:tc>
        <w:tc>
          <w:tcPr>
            <w:tcW w:w="966" w:type="pct"/>
            <w:tcBorders>
              <w:top w:val="single" w:sz="4" w:space="0" w:color="auto"/>
              <w:bottom w:val="single" w:sz="4" w:space="0" w:color="auto"/>
            </w:tcBorders>
            <w:vAlign w:val="bottom"/>
          </w:tcPr>
          <w:p w14:paraId="54AD66DD" w14:textId="77777777" w:rsidR="00C217FF" w:rsidRPr="000F120F" w:rsidRDefault="00C217FF" w:rsidP="00F36942">
            <w:pPr>
              <w:pStyle w:val="Tabletext"/>
              <w:rPr>
                <w:snapToGrid w:val="0"/>
              </w:rPr>
            </w:pPr>
            <w:r w:rsidRPr="00295986">
              <w:t>21</w:t>
            </w:r>
            <w:r w:rsidR="00D7157D">
              <w:t>.</w:t>
            </w:r>
            <w:r w:rsidRPr="00295986">
              <w:t>1262</w:t>
            </w:r>
          </w:p>
        </w:tc>
        <w:tc>
          <w:tcPr>
            <w:tcW w:w="966" w:type="pct"/>
            <w:tcBorders>
              <w:top w:val="single" w:sz="4" w:space="0" w:color="auto"/>
              <w:bottom w:val="single" w:sz="4" w:space="0" w:color="auto"/>
            </w:tcBorders>
            <w:vAlign w:val="bottom"/>
          </w:tcPr>
          <w:p w14:paraId="1B5014BD" w14:textId="77777777" w:rsidR="00C217FF" w:rsidRPr="000F120F" w:rsidRDefault="00C217FF" w:rsidP="00F36942">
            <w:pPr>
              <w:pStyle w:val="Tabletext"/>
              <w:rPr>
                <w:snapToGrid w:val="0"/>
              </w:rPr>
            </w:pPr>
            <w:r w:rsidRPr="00295986">
              <w:t>0</w:t>
            </w:r>
            <w:r w:rsidR="00D7157D">
              <w:t>.</w:t>
            </w:r>
            <w:r w:rsidRPr="00295986">
              <w:t>4147</w:t>
            </w:r>
          </w:p>
        </w:tc>
        <w:tc>
          <w:tcPr>
            <w:tcW w:w="966" w:type="pct"/>
            <w:tcBorders>
              <w:top w:val="single" w:sz="4" w:space="0" w:color="auto"/>
              <w:bottom w:val="single" w:sz="4" w:space="0" w:color="auto"/>
            </w:tcBorders>
            <w:vAlign w:val="bottom"/>
          </w:tcPr>
          <w:p w14:paraId="6A385213" w14:textId="77777777" w:rsidR="00C217FF" w:rsidRPr="000F120F" w:rsidRDefault="00C217FF" w:rsidP="00F36942">
            <w:pPr>
              <w:pStyle w:val="Tabletext"/>
              <w:rPr>
                <w:snapToGrid w:val="0"/>
              </w:rPr>
            </w:pPr>
            <w:r w:rsidRPr="00295986">
              <w:t>22</w:t>
            </w:r>
            <w:r w:rsidR="00D7157D">
              <w:t>.</w:t>
            </w:r>
            <w:r w:rsidRPr="00295986">
              <w:t>1832</w:t>
            </w:r>
          </w:p>
        </w:tc>
        <w:tc>
          <w:tcPr>
            <w:tcW w:w="966" w:type="pct"/>
            <w:tcBorders>
              <w:top w:val="single" w:sz="4" w:space="0" w:color="auto"/>
              <w:bottom w:val="single" w:sz="4" w:space="0" w:color="auto"/>
            </w:tcBorders>
            <w:vAlign w:val="bottom"/>
          </w:tcPr>
          <w:p w14:paraId="0DB1A4AE" w14:textId="77777777" w:rsidR="00C217FF" w:rsidRPr="000F120F" w:rsidRDefault="00C217FF" w:rsidP="00F36942">
            <w:pPr>
              <w:pStyle w:val="Tabletext"/>
              <w:rPr>
                <w:snapToGrid w:val="0"/>
              </w:rPr>
            </w:pPr>
            <w:r w:rsidRPr="00295986">
              <w:t>0</w:t>
            </w:r>
            <w:r w:rsidR="00D7157D">
              <w:t>.</w:t>
            </w:r>
            <w:r w:rsidRPr="00295986">
              <w:t>1067</w:t>
            </w:r>
          </w:p>
        </w:tc>
      </w:tr>
      <w:tr w:rsidR="00C217FF" w:rsidRPr="009E2595" w14:paraId="642F11F2" w14:textId="77777777" w:rsidTr="00F36942">
        <w:trPr>
          <w:cantSplit/>
        </w:trPr>
        <w:tc>
          <w:tcPr>
            <w:tcW w:w="1136" w:type="pct"/>
            <w:tcBorders>
              <w:top w:val="single" w:sz="4" w:space="0" w:color="auto"/>
              <w:bottom w:val="single" w:sz="4" w:space="0" w:color="auto"/>
            </w:tcBorders>
          </w:tcPr>
          <w:p w14:paraId="7FA43BC6" w14:textId="77777777" w:rsidR="00C217FF" w:rsidRPr="00616B26" w:rsidRDefault="00C217FF" w:rsidP="00F36942">
            <w:pPr>
              <w:pStyle w:val="Tabletext"/>
              <w:rPr>
                <w:snapToGrid w:val="0"/>
              </w:rPr>
            </w:pPr>
            <w:r w:rsidRPr="00616B26">
              <w:rPr>
                <w:snapToGrid w:val="0"/>
              </w:rPr>
              <w:t>58</w:t>
            </w:r>
          </w:p>
        </w:tc>
        <w:tc>
          <w:tcPr>
            <w:tcW w:w="966" w:type="pct"/>
            <w:tcBorders>
              <w:top w:val="single" w:sz="4" w:space="0" w:color="auto"/>
              <w:bottom w:val="single" w:sz="4" w:space="0" w:color="auto"/>
            </w:tcBorders>
            <w:vAlign w:val="bottom"/>
          </w:tcPr>
          <w:p w14:paraId="5A961789" w14:textId="77777777" w:rsidR="00C217FF" w:rsidRPr="000F120F" w:rsidRDefault="00C217FF" w:rsidP="00F36942">
            <w:pPr>
              <w:pStyle w:val="Tabletext"/>
              <w:rPr>
                <w:snapToGrid w:val="0"/>
              </w:rPr>
            </w:pPr>
            <w:r w:rsidRPr="00295986">
              <w:t>20</w:t>
            </w:r>
            <w:r w:rsidR="00D7157D">
              <w:t>.</w:t>
            </w:r>
            <w:r w:rsidRPr="00295986">
              <w:t>6805</w:t>
            </w:r>
          </w:p>
        </w:tc>
        <w:tc>
          <w:tcPr>
            <w:tcW w:w="966" w:type="pct"/>
            <w:tcBorders>
              <w:top w:val="single" w:sz="4" w:space="0" w:color="auto"/>
              <w:bottom w:val="single" w:sz="4" w:space="0" w:color="auto"/>
            </w:tcBorders>
            <w:vAlign w:val="bottom"/>
          </w:tcPr>
          <w:p w14:paraId="4B11BF4E" w14:textId="77777777" w:rsidR="00C217FF" w:rsidRPr="000F120F" w:rsidRDefault="00C217FF" w:rsidP="00F36942">
            <w:pPr>
              <w:pStyle w:val="Tabletext"/>
              <w:rPr>
                <w:snapToGrid w:val="0"/>
              </w:rPr>
            </w:pPr>
            <w:r w:rsidRPr="00295986">
              <w:t>0</w:t>
            </w:r>
            <w:r w:rsidR="00D7157D">
              <w:t>.</w:t>
            </w:r>
            <w:r w:rsidRPr="00295986">
              <w:t>4228</w:t>
            </w:r>
          </w:p>
        </w:tc>
        <w:tc>
          <w:tcPr>
            <w:tcW w:w="966" w:type="pct"/>
            <w:tcBorders>
              <w:top w:val="single" w:sz="4" w:space="0" w:color="auto"/>
              <w:bottom w:val="single" w:sz="4" w:space="0" w:color="auto"/>
            </w:tcBorders>
            <w:vAlign w:val="bottom"/>
          </w:tcPr>
          <w:p w14:paraId="02E4F9B1" w14:textId="77777777" w:rsidR="00C217FF" w:rsidRPr="000F120F" w:rsidRDefault="00C217FF" w:rsidP="00F36942">
            <w:pPr>
              <w:pStyle w:val="Tabletext"/>
              <w:rPr>
                <w:snapToGrid w:val="0"/>
              </w:rPr>
            </w:pPr>
            <w:r w:rsidRPr="00295986">
              <w:t>21</w:t>
            </w:r>
            <w:r w:rsidR="00D7157D">
              <w:t>.</w:t>
            </w:r>
            <w:r w:rsidRPr="00295986">
              <w:t>7537</w:t>
            </w:r>
          </w:p>
        </w:tc>
        <w:tc>
          <w:tcPr>
            <w:tcW w:w="966" w:type="pct"/>
            <w:tcBorders>
              <w:top w:val="single" w:sz="4" w:space="0" w:color="auto"/>
              <w:bottom w:val="single" w:sz="4" w:space="0" w:color="auto"/>
            </w:tcBorders>
            <w:vAlign w:val="bottom"/>
          </w:tcPr>
          <w:p w14:paraId="254BB36D" w14:textId="77777777" w:rsidR="00C217FF" w:rsidRPr="000F120F" w:rsidRDefault="00C217FF" w:rsidP="00F36942">
            <w:pPr>
              <w:pStyle w:val="Tabletext"/>
              <w:rPr>
                <w:snapToGrid w:val="0"/>
              </w:rPr>
            </w:pPr>
            <w:r w:rsidRPr="00295986">
              <w:t>0</w:t>
            </w:r>
            <w:r w:rsidR="00D7157D">
              <w:t>.</w:t>
            </w:r>
            <w:r w:rsidRPr="00295986">
              <w:t>1087</w:t>
            </w:r>
          </w:p>
        </w:tc>
      </w:tr>
      <w:tr w:rsidR="00C217FF" w:rsidRPr="009E2595" w14:paraId="0A4F5A72" w14:textId="77777777" w:rsidTr="00F36942">
        <w:trPr>
          <w:cantSplit/>
        </w:trPr>
        <w:tc>
          <w:tcPr>
            <w:tcW w:w="1136" w:type="pct"/>
            <w:tcBorders>
              <w:top w:val="single" w:sz="4" w:space="0" w:color="auto"/>
              <w:bottom w:val="single" w:sz="4" w:space="0" w:color="auto"/>
            </w:tcBorders>
          </w:tcPr>
          <w:p w14:paraId="7CD06E57" w14:textId="77777777" w:rsidR="00C217FF" w:rsidRPr="00616B26" w:rsidRDefault="00C217FF" w:rsidP="00F36942">
            <w:pPr>
              <w:pStyle w:val="Tabletext"/>
              <w:rPr>
                <w:snapToGrid w:val="0"/>
              </w:rPr>
            </w:pPr>
            <w:r w:rsidRPr="00616B26">
              <w:rPr>
                <w:snapToGrid w:val="0"/>
              </w:rPr>
              <w:t>59</w:t>
            </w:r>
          </w:p>
        </w:tc>
        <w:tc>
          <w:tcPr>
            <w:tcW w:w="966" w:type="pct"/>
            <w:tcBorders>
              <w:top w:val="single" w:sz="4" w:space="0" w:color="auto"/>
              <w:bottom w:val="single" w:sz="4" w:space="0" w:color="auto"/>
            </w:tcBorders>
            <w:vAlign w:val="bottom"/>
          </w:tcPr>
          <w:p w14:paraId="6326025B" w14:textId="77777777" w:rsidR="00C217FF" w:rsidRPr="000F120F" w:rsidRDefault="00C217FF" w:rsidP="00F36942">
            <w:pPr>
              <w:pStyle w:val="Tabletext"/>
              <w:rPr>
                <w:snapToGrid w:val="0"/>
              </w:rPr>
            </w:pPr>
            <w:r w:rsidRPr="00295986">
              <w:t>20</w:t>
            </w:r>
            <w:r w:rsidR="00D7157D">
              <w:t>.</w:t>
            </w:r>
            <w:r w:rsidRPr="00295986">
              <w:t>2231</w:t>
            </w:r>
          </w:p>
        </w:tc>
        <w:tc>
          <w:tcPr>
            <w:tcW w:w="966" w:type="pct"/>
            <w:tcBorders>
              <w:top w:val="single" w:sz="4" w:space="0" w:color="auto"/>
              <w:bottom w:val="single" w:sz="4" w:space="0" w:color="auto"/>
            </w:tcBorders>
            <w:vAlign w:val="bottom"/>
          </w:tcPr>
          <w:p w14:paraId="4435358D" w14:textId="77777777" w:rsidR="00C217FF" w:rsidRPr="000F120F" w:rsidRDefault="00C217FF" w:rsidP="00F36942">
            <w:pPr>
              <w:pStyle w:val="Tabletext"/>
              <w:rPr>
                <w:snapToGrid w:val="0"/>
              </w:rPr>
            </w:pPr>
            <w:r w:rsidRPr="00295986">
              <w:t>0</w:t>
            </w:r>
            <w:r w:rsidR="00D7157D">
              <w:t>.</w:t>
            </w:r>
            <w:r w:rsidRPr="00295986">
              <w:t>4312</w:t>
            </w:r>
          </w:p>
        </w:tc>
        <w:tc>
          <w:tcPr>
            <w:tcW w:w="966" w:type="pct"/>
            <w:tcBorders>
              <w:top w:val="single" w:sz="4" w:space="0" w:color="auto"/>
              <w:bottom w:val="single" w:sz="4" w:space="0" w:color="auto"/>
            </w:tcBorders>
            <w:vAlign w:val="bottom"/>
          </w:tcPr>
          <w:p w14:paraId="4854298E" w14:textId="77777777" w:rsidR="00C217FF" w:rsidRPr="000F120F" w:rsidRDefault="00C217FF" w:rsidP="00F36942">
            <w:pPr>
              <w:pStyle w:val="Tabletext"/>
              <w:rPr>
                <w:snapToGrid w:val="0"/>
              </w:rPr>
            </w:pPr>
            <w:r w:rsidRPr="00295986">
              <w:t>21</w:t>
            </w:r>
            <w:r w:rsidR="00D7157D">
              <w:t>.</w:t>
            </w:r>
            <w:r w:rsidRPr="00295986">
              <w:t>3137</w:t>
            </w:r>
          </w:p>
        </w:tc>
        <w:tc>
          <w:tcPr>
            <w:tcW w:w="966" w:type="pct"/>
            <w:tcBorders>
              <w:top w:val="single" w:sz="4" w:space="0" w:color="auto"/>
              <w:bottom w:val="single" w:sz="4" w:space="0" w:color="auto"/>
            </w:tcBorders>
            <w:vAlign w:val="bottom"/>
          </w:tcPr>
          <w:p w14:paraId="5FCB036D" w14:textId="77777777" w:rsidR="00C217FF" w:rsidRPr="000F120F" w:rsidRDefault="00C217FF" w:rsidP="00F36942">
            <w:pPr>
              <w:pStyle w:val="Tabletext"/>
              <w:rPr>
                <w:snapToGrid w:val="0"/>
              </w:rPr>
            </w:pPr>
            <w:r w:rsidRPr="00295986">
              <w:t>0</w:t>
            </w:r>
            <w:r w:rsidR="00D7157D">
              <w:t>.</w:t>
            </w:r>
            <w:r w:rsidRPr="00295986">
              <w:t>1107</w:t>
            </w:r>
          </w:p>
        </w:tc>
      </w:tr>
      <w:tr w:rsidR="00C217FF" w:rsidRPr="009E2595" w14:paraId="4DA0526C" w14:textId="77777777" w:rsidTr="00F36942">
        <w:trPr>
          <w:cantSplit/>
        </w:trPr>
        <w:tc>
          <w:tcPr>
            <w:tcW w:w="1136" w:type="pct"/>
            <w:tcBorders>
              <w:top w:val="single" w:sz="4" w:space="0" w:color="auto"/>
              <w:bottom w:val="single" w:sz="4" w:space="0" w:color="auto"/>
            </w:tcBorders>
          </w:tcPr>
          <w:p w14:paraId="214D85D5" w14:textId="77777777" w:rsidR="00C217FF" w:rsidRPr="00616B26" w:rsidRDefault="00C217FF" w:rsidP="00F36942">
            <w:pPr>
              <w:pStyle w:val="Tabletext"/>
              <w:rPr>
                <w:snapToGrid w:val="0"/>
              </w:rPr>
            </w:pPr>
            <w:r w:rsidRPr="00616B26">
              <w:rPr>
                <w:snapToGrid w:val="0"/>
              </w:rPr>
              <w:t>60</w:t>
            </w:r>
          </w:p>
        </w:tc>
        <w:tc>
          <w:tcPr>
            <w:tcW w:w="966" w:type="pct"/>
            <w:tcBorders>
              <w:top w:val="single" w:sz="4" w:space="0" w:color="auto"/>
              <w:bottom w:val="single" w:sz="4" w:space="0" w:color="auto"/>
            </w:tcBorders>
            <w:vAlign w:val="bottom"/>
          </w:tcPr>
          <w:p w14:paraId="3613FB9F" w14:textId="77777777" w:rsidR="00C217FF" w:rsidRPr="000F120F" w:rsidRDefault="00C217FF" w:rsidP="00F36942">
            <w:pPr>
              <w:pStyle w:val="Tabletext"/>
              <w:rPr>
                <w:snapToGrid w:val="0"/>
              </w:rPr>
            </w:pPr>
            <w:r w:rsidRPr="00295986">
              <w:t>19</w:t>
            </w:r>
            <w:r w:rsidR="00D7157D">
              <w:t>.</w:t>
            </w:r>
            <w:r w:rsidRPr="00295986">
              <w:t>7542</w:t>
            </w:r>
          </w:p>
        </w:tc>
        <w:tc>
          <w:tcPr>
            <w:tcW w:w="966" w:type="pct"/>
            <w:tcBorders>
              <w:top w:val="single" w:sz="4" w:space="0" w:color="auto"/>
              <w:bottom w:val="single" w:sz="4" w:space="0" w:color="auto"/>
            </w:tcBorders>
            <w:vAlign w:val="bottom"/>
          </w:tcPr>
          <w:p w14:paraId="37A8C1ED" w14:textId="77777777" w:rsidR="00C217FF" w:rsidRPr="000F120F" w:rsidRDefault="00C217FF" w:rsidP="00F36942">
            <w:pPr>
              <w:pStyle w:val="Tabletext"/>
              <w:rPr>
                <w:snapToGrid w:val="0"/>
              </w:rPr>
            </w:pPr>
            <w:r w:rsidRPr="00295986">
              <w:t>0</w:t>
            </w:r>
            <w:r w:rsidR="00D7157D">
              <w:t>.</w:t>
            </w:r>
            <w:r w:rsidRPr="00295986">
              <w:t>4397</w:t>
            </w:r>
          </w:p>
        </w:tc>
        <w:tc>
          <w:tcPr>
            <w:tcW w:w="966" w:type="pct"/>
            <w:tcBorders>
              <w:top w:val="single" w:sz="4" w:space="0" w:color="auto"/>
              <w:bottom w:val="single" w:sz="4" w:space="0" w:color="auto"/>
            </w:tcBorders>
            <w:vAlign w:val="bottom"/>
          </w:tcPr>
          <w:p w14:paraId="60247FA8" w14:textId="77777777" w:rsidR="00C217FF" w:rsidRPr="000F120F" w:rsidRDefault="00C217FF" w:rsidP="00F36942">
            <w:pPr>
              <w:pStyle w:val="Tabletext"/>
              <w:rPr>
                <w:snapToGrid w:val="0"/>
              </w:rPr>
            </w:pPr>
            <w:r w:rsidRPr="00295986">
              <w:t>20</w:t>
            </w:r>
            <w:r w:rsidR="00D7157D">
              <w:t>.</w:t>
            </w:r>
            <w:r w:rsidRPr="00295986">
              <w:t>8626</w:t>
            </w:r>
          </w:p>
        </w:tc>
        <w:tc>
          <w:tcPr>
            <w:tcW w:w="966" w:type="pct"/>
            <w:tcBorders>
              <w:top w:val="single" w:sz="4" w:space="0" w:color="auto"/>
              <w:bottom w:val="single" w:sz="4" w:space="0" w:color="auto"/>
            </w:tcBorders>
            <w:vAlign w:val="bottom"/>
          </w:tcPr>
          <w:p w14:paraId="734232B6" w14:textId="77777777" w:rsidR="00C217FF" w:rsidRPr="000F120F" w:rsidRDefault="00C217FF" w:rsidP="00F36942">
            <w:pPr>
              <w:pStyle w:val="Tabletext"/>
              <w:rPr>
                <w:snapToGrid w:val="0"/>
              </w:rPr>
            </w:pPr>
            <w:r w:rsidRPr="00295986">
              <w:t>0</w:t>
            </w:r>
            <w:r w:rsidR="00D7157D">
              <w:t>.</w:t>
            </w:r>
            <w:r w:rsidRPr="00295986">
              <w:t>1128</w:t>
            </w:r>
          </w:p>
        </w:tc>
      </w:tr>
      <w:tr w:rsidR="00C217FF" w:rsidRPr="009E2595" w14:paraId="7903229F" w14:textId="77777777" w:rsidTr="00F36942">
        <w:trPr>
          <w:cantSplit/>
        </w:trPr>
        <w:tc>
          <w:tcPr>
            <w:tcW w:w="1136" w:type="pct"/>
            <w:tcBorders>
              <w:top w:val="single" w:sz="4" w:space="0" w:color="auto"/>
              <w:bottom w:val="single" w:sz="4" w:space="0" w:color="auto"/>
            </w:tcBorders>
          </w:tcPr>
          <w:p w14:paraId="1A86DF11" w14:textId="77777777" w:rsidR="00C217FF" w:rsidRPr="00616B26" w:rsidRDefault="00C217FF" w:rsidP="00F36942">
            <w:pPr>
              <w:pStyle w:val="Tabletext"/>
              <w:rPr>
                <w:snapToGrid w:val="0"/>
              </w:rPr>
            </w:pPr>
            <w:r w:rsidRPr="00616B26">
              <w:rPr>
                <w:snapToGrid w:val="0"/>
              </w:rPr>
              <w:t>61</w:t>
            </w:r>
          </w:p>
        </w:tc>
        <w:tc>
          <w:tcPr>
            <w:tcW w:w="966" w:type="pct"/>
            <w:tcBorders>
              <w:top w:val="single" w:sz="4" w:space="0" w:color="auto"/>
              <w:bottom w:val="single" w:sz="4" w:space="0" w:color="auto"/>
            </w:tcBorders>
            <w:vAlign w:val="bottom"/>
          </w:tcPr>
          <w:p w14:paraId="43283CE2" w14:textId="77777777" w:rsidR="00C217FF" w:rsidRPr="000F120F" w:rsidRDefault="00C217FF" w:rsidP="00F36942">
            <w:pPr>
              <w:pStyle w:val="Tabletext"/>
              <w:rPr>
                <w:snapToGrid w:val="0"/>
              </w:rPr>
            </w:pPr>
            <w:r w:rsidRPr="00295986">
              <w:t>19</w:t>
            </w:r>
            <w:r w:rsidR="00D7157D">
              <w:t>.</w:t>
            </w:r>
            <w:r w:rsidRPr="00295986">
              <w:t>2740</w:t>
            </w:r>
          </w:p>
        </w:tc>
        <w:tc>
          <w:tcPr>
            <w:tcW w:w="966" w:type="pct"/>
            <w:tcBorders>
              <w:top w:val="single" w:sz="4" w:space="0" w:color="auto"/>
              <w:bottom w:val="single" w:sz="4" w:space="0" w:color="auto"/>
            </w:tcBorders>
            <w:vAlign w:val="bottom"/>
          </w:tcPr>
          <w:p w14:paraId="79B47C4B" w14:textId="77777777" w:rsidR="00C217FF" w:rsidRPr="000F120F" w:rsidRDefault="00C217FF" w:rsidP="00F36942">
            <w:pPr>
              <w:pStyle w:val="Tabletext"/>
              <w:rPr>
                <w:snapToGrid w:val="0"/>
              </w:rPr>
            </w:pPr>
            <w:r w:rsidRPr="00295986">
              <w:t>0</w:t>
            </w:r>
            <w:r w:rsidR="00D7157D">
              <w:t>.</w:t>
            </w:r>
            <w:r w:rsidRPr="00295986">
              <w:t>4483</w:t>
            </w:r>
          </w:p>
        </w:tc>
        <w:tc>
          <w:tcPr>
            <w:tcW w:w="966" w:type="pct"/>
            <w:tcBorders>
              <w:top w:val="single" w:sz="4" w:space="0" w:color="auto"/>
              <w:bottom w:val="single" w:sz="4" w:space="0" w:color="auto"/>
            </w:tcBorders>
            <w:vAlign w:val="bottom"/>
          </w:tcPr>
          <w:p w14:paraId="1C11536B" w14:textId="77777777" w:rsidR="00C217FF" w:rsidRPr="000F120F" w:rsidRDefault="00C217FF" w:rsidP="00F36942">
            <w:pPr>
              <w:pStyle w:val="Tabletext"/>
              <w:rPr>
                <w:snapToGrid w:val="0"/>
              </w:rPr>
            </w:pPr>
            <w:r w:rsidRPr="00295986">
              <w:t>20</w:t>
            </w:r>
            <w:r w:rsidR="00D7157D">
              <w:t>.</w:t>
            </w:r>
            <w:r w:rsidRPr="00295986">
              <w:t>3997</w:t>
            </w:r>
          </w:p>
        </w:tc>
        <w:tc>
          <w:tcPr>
            <w:tcW w:w="966" w:type="pct"/>
            <w:tcBorders>
              <w:top w:val="single" w:sz="4" w:space="0" w:color="auto"/>
              <w:bottom w:val="single" w:sz="4" w:space="0" w:color="auto"/>
            </w:tcBorders>
            <w:vAlign w:val="bottom"/>
          </w:tcPr>
          <w:p w14:paraId="5FB9E13F" w14:textId="77777777" w:rsidR="00C217FF" w:rsidRPr="000F120F" w:rsidRDefault="00C217FF" w:rsidP="00F36942">
            <w:pPr>
              <w:pStyle w:val="Tabletext"/>
              <w:rPr>
                <w:snapToGrid w:val="0"/>
              </w:rPr>
            </w:pPr>
            <w:r w:rsidRPr="00295986">
              <w:t>0</w:t>
            </w:r>
            <w:r w:rsidR="00D7157D">
              <w:t>.</w:t>
            </w:r>
            <w:r w:rsidRPr="00295986">
              <w:t>1149</w:t>
            </w:r>
          </w:p>
        </w:tc>
      </w:tr>
      <w:tr w:rsidR="00C217FF" w:rsidRPr="009E2595" w14:paraId="4FC2383A" w14:textId="77777777" w:rsidTr="00F36942">
        <w:trPr>
          <w:cantSplit/>
        </w:trPr>
        <w:tc>
          <w:tcPr>
            <w:tcW w:w="1136" w:type="pct"/>
            <w:tcBorders>
              <w:top w:val="single" w:sz="4" w:space="0" w:color="auto"/>
              <w:bottom w:val="single" w:sz="4" w:space="0" w:color="auto"/>
            </w:tcBorders>
          </w:tcPr>
          <w:p w14:paraId="08542DD1" w14:textId="77777777" w:rsidR="00C217FF" w:rsidRPr="00616B26" w:rsidRDefault="00C217FF" w:rsidP="00F36942">
            <w:pPr>
              <w:pStyle w:val="Tabletext"/>
              <w:rPr>
                <w:snapToGrid w:val="0"/>
              </w:rPr>
            </w:pPr>
            <w:r w:rsidRPr="00616B26">
              <w:rPr>
                <w:snapToGrid w:val="0"/>
              </w:rPr>
              <w:t>62</w:t>
            </w:r>
          </w:p>
        </w:tc>
        <w:tc>
          <w:tcPr>
            <w:tcW w:w="966" w:type="pct"/>
            <w:tcBorders>
              <w:top w:val="single" w:sz="4" w:space="0" w:color="auto"/>
              <w:bottom w:val="single" w:sz="4" w:space="0" w:color="auto"/>
            </w:tcBorders>
            <w:vAlign w:val="bottom"/>
          </w:tcPr>
          <w:p w14:paraId="206E6EBD" w14:textId="77777777" w:rsidR="00C217FF" w:rsidRPr="000F120F" w:rsidRDefault="00C217FF" w:rsidP="00F36942">
            <w:pPr>
              <w:pStyle w:val="Tabletext"/>
              <w:rPr>
                <w:snapToGrid w:val="0"/>
              </w:rPr>
            </w:pPr>
            <w:r w:rsidRPr="00295986">
              <w:t>18</w:t>
            </w:r>
            <w:r w:rsidR="00D7157D">
              <w:t>.</w:t>
            </w:r>
            <w:r w:rsidRPr="00295986">
              <w:t>7822</w:t>
            </w:r>
          </w:p>
        </w:tc>
        <w:tc>
          <w:tcPr>
            <w:tcW w:w="966" w:type="pct"/>
            <w:tcBorders>
              <w:top w:val="single" w:sz="4" w:space="0" w:color="auto"/>
              <w:bottom w:val="single" w:sz="4" w:space="0" w:color="auto"/>
            </w:tcBorders>
            <w:vAlign w:val="bottom"/>
          </w:tcPr>
          <w:p w14:paraId="479B0AE6" w14:textId="77777777" w:rsidR="00C217FF" w:rsidRPr="000F120F" w:rsidRDefault="00C217FF" w:rsidP="00F36942">
            <w:pPr>
              <w:pStyle w:val="Tabletext"/>
              <w:rPr>
                <w:snapToGrid w:val="0"/>
              </w:rPr>
            </w:pPr>
            <w:r w:rsidRPr="00295986">
              <w:t>0</w:t>
            </w:r>
            <w:r w:rsidR="00D7157D">
              <w:t>.</w:t>
            </w:r>
            <w:r w:rsidRPr="00295986">
              <w:t>4571</w:t>
            </w:r>
          </w:p>
        </w:tc>
        <w:tc>
          <w:tcPr>
            <w:tcW w:w="966" w:type="pct"/>
            <w:tcBorders>
              <w:top w:val="single" w:sz="4" w:space="0" w:color="auto"/>
              <w:bottom w:val="single" w:sz="4" w:space="0" w:color="auto"/>
            </w:tcBorders>
            <w:vAlign w:val="bottom"/>
          </w:tcPr>
          <w:p w14:paraId="21FDE2E9" w14:textId="77777777" w:rsidR="00C217FF" w:rsidRPr="000F120F" w:rsidRDefault="00C217FF" w:rsidP="00F36942">
            <w:pPr>
              <w:pStyle w:val="Tabletext"/>
              <w:rPr>
                <w:snapToGrid w:val="0"/>
              </w:rPr>
            </w:pPr>
            <w:r w:rsidRPr="00295986">
              <w:t>19</w:t>
            </w:r>
            <w:r w:rsidR="00D7157D">
              <w:t>.</w:t>
            </w:r>
            <w:r w:rsidRPr="00295986">
              <w:t>9257</w:t>
            </w:r>
          </w:p>
        </w:tc>
        <w:tc>
          <w:tcPr>
            <w:tcW w:w="966" w:type="pct"/>
            <w:tcBorders>
              <w:top w:val="single" w:sz="4" w:space="0" w:color="auto"/>
              <w:bottom w:val="single" w:sz="4" w:space="0" w:color="auto"/>
            </w:tcBorders>
            <w:vAlign w:val="bottom"/>
          </w:tcPr>
          <w:p w14:paraId="23F6D7D1" w14:textId="77777777" w:rsidR="00C217FF" w:rsidRPr="000F120F" w:rsidRDefault="00C217FF" w:rsidP="00F36942">
            <w:pPr>
              <w:pStyle w:val="Tabletext"/>
              <w:rPr>
                <w:snapToGrid w:val="0"/>
              </w:rPr>
            </w:pPr>
            <w:r w:rsidRPr="00295986">
              <w:t>0</w:t>
            </w:r>
            <w:r w:rsidR="00D7157D">
              <w:t>.</w:t>
            </w:r>
            <w:r w:rsidRPr="00295986">
              <w:t>1171</w:t>
            </w:r>
          </w:p>
        </w:tc>
      </w:tr>
      <w:tr w:rsidR="00C217FF" w:rsidRPr="009E2595" w14:paraId="59F2675A" w14:textId="77777777" w:rsidTr="00F36942">
        <w:trPr>
          <w:cantSplit/>
        </w:trPr>
        <w:tc>
          <w:tcPr>
            <w:tcW w:w="1136" w:type="pct"/>
            <w:tcBorders>
              <w:top w:val="single" w:sz="4" w:space="0" w:color="auto"/>
              <w:bottom w:val="single" w:sz="4" w:space="0" w:color="auto"/>
            </w:tcBorders>
          </w:tcPr>
          <w:p w14:paraId="68F3F7F6" w14:textId="77777777" w:rsidR="00C217FF" w:rsidRPr="00616B26" w:rsidRDefault="00C217FF" w:rsidP="00F36942">
            <w:pPr>
              <w:pStyle w:val="Tabletext"/>
              <w:rPr>
                <w:snapToGrid w:val="0"/>
              </w:rPr>
            </w:pPr>
            <w:r w:rsidRPr="00616B26">
              <w:rPr>
                <w:snapToGrid w:val="0"/>
              </w:rPr>
              <w:t>63</w:t>
            </w:r>
          </w:p>
        </w:tc>
        <w:tc>
          <w:tcPr>
            <w:tcW w:w="966" w:type="pct"/>
            <w:tcBorders>
              <w:top w:val="single" w:sz="4" w:space="0" w:color="auto"/>
              <w:bottom w:val="single" w:sz="4" w:space="0" w:color="auto"/>
            </w:tcBorders>
            <w:vAlign w:val="bottom"/>
          </w:tcPr>
          <w:p w14:paraId="727C91F9" w14:textId="77777777" w:rsidR="00C217FF" w:rsidRPr="000F120F" w:rsidRDefault="00C217FF" w:rsidP="00F36942">
            <w:pPr>
              <w:pStyle w:val="Tabletext"/>
              <w:rPr>
                <w:snapToGrid w:val="0"/>
              </w:rPr>
            </w:pPr>
            <w:r w:rsidRPr="00295986">
              <w:t>18</w:t>
            </w:r>
            <w:r w:rsidR="00D7157D">
              <w:t>.</w:t>
            </w:r>
            <w:r w:rsidRPr="00295986">
              <w:t>2789</w:t>
            </w:r>
          </w:p>
        </w:tc>
        <w:tc>
          <w:tcPr>
            <w:tcW w:w="966" w:type="pct"/>
            <w:tcBorders>
              <w:top w:val="single" w:sz="4" w:space="0" w:color="auto"/>
              <w:bottom w:val="single" w:sz="4" w:space="0" w:color="auto"/>
            </w:tcBorders>
            <w:vAlign w:val="bottom"/>
          </w:tcPr>
          <w:p w14:paraId="2FF8F618" w14:textId="77777777" w:rsidR="00C217FF" w:rsidRPr="000F120F" w:rsidRDefault="00C217FF" w:rsidP="00F36942">
            <w:pPr>
              <w:pStyle w:val="Tabletext"/>
              <w:rPr>
                <w:snapToGrid w:val="0"/>
              </w:rPr>
            </w:pPr>
            <w:r w:rsidRPr="00295986">
              <w:t>0</w:t>
            </w:r>
            <w:r w:rsidR="00D7157D">
              <w:t>.</w:t>
            </w:r>
            <w:r w:rsidRPr="00295986">
              <w:t>4659</w:t>
            </w:r>
          </w:p>
        </w:tc>
        <w:tc>
          <w:tcPr>
            <w:tcW w:w="966" w:type="pct"/>
            <w:tcBorders>
              <w:top w:val="single" w:sz="4" w:space="0" w:color="auto"/>
              <w:bottom w:val="single" w:sz="4" w:space="0" w:color="auto"/>
            </w:tcBorders>
            <w:vAlign w:val="bottom"/>
          </w:tcPr>
          <w:p w14:paraId="7D05BB46" w14:textId="77777777" w:rsidR="00C217FF" w:rsidRPr="000F120F" w:rsidRDefault="00C217FF" w:rsidP="00F36942">
            <w:pPr>
              <w:pStyle w:val="Tabletext"/>
              <w:rPr>
                <w:snapToGrid w:val="0"/>
              </w:rPr>
            </w:pPr>
            <w:r w:rsidRPr="00295986">
              <w:t>19</w:t>
            </w:r>
            <w:r w:rsidR="00D7157D">
              <w:t>.</w:t>
            </w:r>
            <w:r w:rsidRPr="00295986">
              <w:t>4405</w:t>
            </w:r>
          </w:p>
        </w:tc>
        <w:tc>
          <w:tcPr>
            <w:tcW w:w="966" w:type="pct"/>
            <w:tcBorders>
              <w:top w:val="single" w:sz="4" w:space="0" w:color="auto"/>
              <w:bottom w:val="single" w:sz="4" w:space="0" w:color="auto"/>
            </w:tcBorders>
            <w:vAlign w:val="bottom"/>
          </w:tcPr>
          <w:p w14:paraId="5FEE7459" w14:textId="77777777" w:rsidR="00C217FF" w:rsidRPr="000F120F" w:rsidRDefault="00C217FF" w:rsidP="00F36942">
            <w:pPr>
              <w:pStyle w:val="Tabletext"/>
              <w:rPr>
                <w:snapToGrid w:val="0"/>
              </w:rPr>
            </w:pPr>
            <w:r w:rsidRPr="00295986">
              <w:t>0</w:t>
            </w:r>
            <w:r w:rsidR="00D7157D">
              <w:t>.</w:t>
            </w:r>
            <w:r w:rsidRPr="00295986">
              <w:t>1192</w:t>
            </w:r>
          </w:p>
        </w:tc>
      </w:tr>
      <w:tr w:rsidR="00C217FF" w:rsidRPr="009E2595" w14:paraId="387D283C" w14:textId="77777777" w:rsidTr="00F36942">
        <w:trPr>
          <w:cantSplit/>
        </w:trPr>
        <w:tc>
          <w:tcPr>
            <w:tcW w:w="1136" w:type="pct"/>
            <w:tcBorders>
              <w:top w:val="single" w:sz="4" w:space="0" w:color="auto"/>
              <w:bottom w:val="single" w:sz="4" w:space="0" w:color="auto"/>
            </w:tcBorders>
          </w:tcPr>
          <w:p w14:paraId="4373CC8D" w14:textId="77777777" w:rsidR="00C217FF" w:rsidRPr="00616B26" w:rsidRDefault="00C217FF" w:rsidP="00F36942">
            <w:pPr>
              <w:pStyle w:val="Tabletext"/>
              <w:rPr>
                <w:snapToGrid w:val="0"/>
              </w:rPr>
            </w:pPr>
            <w:r w:rsidRPr="00616B26">
              <w:rPr>
                <w:snapToGrid w:val="0"/>
              </w:rPr>
              <w:t>64</w:t>
            </w:r>
          </w:p>
        </w:tc>
        <w:tc>
          <w:tcPr>
            <w:tcW w:w="966" w:type="pct"/>
            <w:tcBorders>
              <w:top w:val="single" w:sz="4" w:space="0" w:color="auto"/>
              <w:bottom w:val="single" w:sz="4" w:space="0" w:color="auto"/>
            </w:tcBorders>
            <w:vAlign w:val="bottom"/>
          </w:tcPr>
          <w:p w14:paraId="4C7B036E" w14:textId="77777777" w:rsidR="00C217FF" w:rsidRPr="000F120F" w:rsidRDefault="00C217FF" w:rsidP="00F36942">
            <w:pPr>
              <w:pStyle w:val="Tabletext"/>
              <w:rPr>
                <w:snapToGrid w:val="0"/>
              </w:rPr>
            </w:pPr>
            <w:r w:rsidRPr="00295986">
              <w:t>17</w:t>
            </w:r>
            <w:r w:rsidR="00D7157D">
              <w:t>.</w:t>
            </w:r>
            <w:r w:rsidRPr="00295986">
              <w:t>7639</w:t>
            </w:r>
          </w:p>
        </w:tc>
        <w:tc>
          <w:tcPr>
            <w:tcW w:w="966" w:type="pct"/>
            <w:tcBorders>
              <w:top w:val="single" w:sz="4" w:space="0" w:color="auto"/>
              <w:bottom w:val="single" w:sz="4" w:space="0" w:color="auto"/>
            </w:tcBorders>
            <w:vAlign w:val="bottom"/>
          </w:tcPr>
          <w:p w14:paraId="263F745F" w14:textId="77777777" w:rsidR="00C217FF" w:rsidRPr="000F120F" w:rsidRDefault="00C217FF" w:rsidP="00F36942">
            <w:pPr>
              <w:pStyle w:val="Tabletext"/>
              <w:rPr>
                <w:snapToGrid w:val="0"/>
              </w:rPr>
            </w:pPr>
            <w:r w:rsidRPr="00295986">
              <w:t>0</w:t>
            </w:r>
            <w:r w:rsidR="00D7157D">
              <w:t>.</w:t>
            </w:r>
            <w:r w:rsidRPr="00295986">
              <w:t>4748</w:t>
            </w:r>
          </w:p>
        </w:tc>
        <w:tc>
          <w:tcPr>
            <w:tcW w:w="966" w:type="pct"/>
            <w:tcBorders>
              <w:top w:val="single" w:sz="4" w:space="0" w:color="auto"/>
              <w:bottom w:val="single" w:sz="4" w:space="0" w:color="auto"/>
            </w:tcBorders>
            <w:vAlign w:val="bottom"/>
          </w:tcPr>
          <w:p w14:paraId="6B601915" w14:textId="77777777" w:rsidR="00C217FF" w:rsidRPr="000F120F" w:rsidRDefault="00C217FF" w:rsidP="00F36942">
            <w:pPr>
              <w:pStyle w:val="Tabletext"/>
              <w:rPr>
                <w:snapToGrid w:val="0"/>
              </w:rPr>
            </w:pPr>
            <w:r w:rsidRPr="00295986">
              <w:t>18</w:t>
            </w:r>
            <w:r w:rsidR="00D7157D">
              <w:t>.</w:t>
            </w:r>
            <w:r w:rsidRPr="00295986">
              <w:t>9441</w:t>
            </w:r>
          </w:p>
        </w:tc>
        <w:tc>
          <w:tcPr>
            <w:tcW w:w="966" w:type="pct"/>
            <w:tcBorders>
              <w:top w:val="single" w:sz="4" w:space="0" w:color="auto"/>
              <w:bottom w:val="single" w:sz="4" w:space="0" w:color="auto"/>
            </w:tcBorders>
            <w:vAlign w:val="bottom"/>
          </w:tcPr>
          <w:p w14:paraId="60AF19C9" w14:textId="77777777" w:rsidR="00C217FF" w:rsidRPr="000F120F" w:rsidRDefault="00C217FF" w:rsidP="00F36942">
            <w:pPr>
              <w:pStyle w:val="Tabletext"/>
              <w:rPr>
                <w:snapToGrid w:val="0"/>
              </w:rPr>
            </w:pPr>
            <w:r w:rsidRPr="00295986">
              <w:t>0</w:t>
            </w:r>
            <w:r w:rsidR="00D7157D">
              <w:t>.</w:t>
            </w:r>
            <w:r w:rsidRPr="00295986">
              <w:t>1214</w:t>
            </w:r>
          </w:p>
        </w:tc>
      </w:tr>
      <w:tr w:rsidR="00C217FF" w:rsidRPr="009E2595" w14:paraId="0B205941" w14:textId="77777777" w:rsidTr="00F36942">
        <w:trPr>
          <w:cantSplit/>
        </w:trPr>
        <w:tc>
          <w:tcPr>
            <w:tcW w:w="1136" w:type="pct"/>
            <w:tcBorders>
              <w:top w:val="single" w:sz="4" w:space="0" w:color="auto"/>
              <w:bottom w:val="single" w:sz="4" w:space="0" w:color="auto"/>
            </w:tcBorders>
          </w:tcPr>
          <w:p w14:paraId="347D5512" w14:textId="77777777" w:rsidR="00C217FF" w:rsidRPr="00616B26" w:rsidRDefault="00C217FF" w:rsidP="00F36942">
            <w:pPr>
              <w:pStyle w:val="Tabletext"/>
              <w:rPr>
                <w:snapToGrid w:val="0"/>
              </w:rPr>
            </w:pPr>
            <w:r w:rsidRPr="00616B26">
              <w:rPr>
                <w:snapToGrid w:val="0"/>
              </w:rPr>
              <w:t>65</w:t>
            </w:r>
          </w:p>
        </w:tc>
        <w:tc>
          <w:tcPr>
            <w:tcW w:w="966" w:type="pct"/>
            <w:tcBorders>
              <w:top w:val="single" w:sz="4" w:space="0" w:color="auto"/>
              <w:bottom w:val="single" w:sz="4" w:space="0" w:color="auto"/>
            </w:tcBorders>
            <w:vAlign w:val="bottom"/>
          </w:tcPr>
          <w:p w14:paraId="4735741F" w14:textId="77777777" w:rsidR="00C217FF" w:rsidRPr="000F120F" w:rsidRDefault="00C217FF" w:rsidP="00F36942">
            <w:pPr>
              <w:pStyle w:val="Tabletext"/>
              <w:rPr>
                <w:snapToGrid w:val="0"/>
              </w:rPr>
            </w:pPr>
            <w:r w:rsidRPr="00295986">
              <w:t>17</w:t>
            </w:r>
            <w:r w:rsidR="00D7157D">
              <w:t>.</w:t>
            </w:r>
            <w:r w:rsidRPr="00295986">
              <w:t>2393</w:t>
            </w:r>
          </w:p>
        </w:tc>
        <w:tc>
          <w:tcPr>
            <w:tcW w:w="966" w:type="pct"/>
            <w:tcBorders>
              <w:top w:val="single" w:sz="4" w:space="0" w:color="auto"/>
              <w:bottom w:val="single" w:sz="4" w:space="0" w:color="auto"/>
            </w:tcBorders>
            <w:vAlign w:val="bottom"/>
          </w:tcPr>
          <w:p w14:paraId="68B4A845" w14:textId="77777777" w:rsidR="00C217FF" w:rsidRPr="000F120F" w:rsidRDefault="00C217FF" w:rsidP="00F36942">
            <w:pPr>
              <w:pStyle w:val="Tabletext"/>
              <w:rPr>
                <w:snapToGrid w:val="0"/>
              </w:rPr>
            </w:pPr>
            <w:r w:rsidRPr="00295986">
              <w:t>0</w:t>
            </w:r>
            <w:r w:rsidR="00D7157D">
              <w:t>.</w:t>
            </w:r>
            <w:r w:rsidRPr="00295986">
              <w:t>4836</w:t>
            </w:r>
          </w:p>
        </w:tc>
        <w:tc>
          <w:tcPr>
            <w:tcW w:w="966" w:type="pct"/>
            <w:tcBorders>
              <w:top w:val="single" w:sz="4" w:space="0" w:color="auto"/>
              <w:bottom w:val="single" w:sz="4" w:space="0" w:color="auto"/>
            </w:tcBorders>
            <w:vAlign w:val="bottom"/>
          </w:tcPr>
          <w:p w14:paraId="75A84531" w14:textId="77777777" w:rsidR="00C217FF" w:rsidRPr="000F120F" w:rsidRDefault="00C217FF" w:rsidP="00F36942">
            <w:pPr>
              <w:pStyle w:val="Tabletext"/>
              <w:rPr>
                <w:snapToGrid w:val="0"/>
              </w:rPr>
            </w:pPr>
            <w:r w:rsidRPr="00295986">
              <w:t>18</w:t>
            </w:r>
            <w:r w:rsidR="00D7157D">
              <w:t>.</w:t>
            </w:r>
            <w:r w:rsidRPr="00295986">
              <w:t>4381</w:t>
            </w:r>
          </w:p>
        </w:tc>
        <w:tc>
          <w:tcPr>
            <w:tcW w:w="966" w:type="pct"/>
            <w:tcBorders>
              <w:top w:val="single" w:sz="4" w:space="0" w:color="auto"/>
              <w:bottom w:val="single" w:sz="4" w:space="0" w:color="auto"/>
            </w:tcBorders>
            <w:vAlign w:val="bottom"/>
          </w:tcPr>
          <w:p w14:paraId="537358BE" w14:textId="77777777" w:rsidR="00C217FF" w:rsidRPr="000F120F" w:rsidRDefault="00C217FF" w:rsidP="00F36942">
            <w:pPr>
              <w:pStyle w:val="Tabletext"/>
              <w:rPr>
                <w:snapToGrid w:val="0"/>
              </w:rPr>
            </w:pPr>
            <w:r w:rsidRPr="00295986">
              <w:t>0</w:t>
            </w:r>
            <w:r w:rsidR="00D7157D">
              <w:t>.</w:t>
            </w:r>
            <w:r w:rsidRPr="00295986">
              <w:t>1235</w:t>
            </w:r>
          </w:p>
        </w:tc>
      </w:tr>
      <w:tr w:rsidR="00C217FF" w:rsidRPr="009E2595" w14:paraId="527B55AF" w14:textId="77777777" w:rsidTr="00F36942">
        <w:trPr>
          <w:cantSplit/>
        </w:trPr>
        <w:tc>
          <w:tcPr>
            <w:tcW w:w="1136" w:type="pct"/>
            <w:tcBorders>
              <w:top w:val="single" w:sz="4" w:space="0" w:color="auto"/>
              <w:bottom w:val="single" w:sz="4" w:space="0" w:color="auto"/>
            </w:tcBorders>
          </w:tcPr>
          <w:p w14:paraId="730CB920" w14:textId="77777777" w:rsidR="00C217FF" w:rsidRPr="00616B26" w:rsidRDefault="00C217FF" w:rsidP="00F36942">
            <w:pPr>
              <w:pStyle w:val="Tabletext"/>
              <w:rPr>
                <w:snapToGrid w:val="0"/>
              </w:rPr>
            </w:pPr>
            <w:r w:rsidRPr="00616B26">
              <w:rPr>
                <w:snapToGrid w:val="0"/>
              </w:rPr>
              <w:t>66</w:t>
            </w:r>
          </w:p>
        </w:tc>
        <w:tc>
          <w:tcPr>
            <w:tcW w:w="966" w:type="pct"/>
            <w:tcBorders>
              <w:top w:val="single" w:sz="4" w:space="0" w:color="auto"/>
              <w:bottom w:val="single" w:sz="4" w:space="0" w:color="auto"/>
            </w:tcBorders>
            <w:vAlign w:val="bottom"/>
          </w:tcPr>
          <w:p w14:paraId="4A26E867" w14:textId="77777777" w:rsidR="00C217FF" w:rsidRPr="000F120F" w:rsidRDefault="00C217FF" w:rsidP="00F36942">
            <w:pPr>
              <w:pStyle w:val="Tabletext"/>
              <w:rPr>
                <w:snapToGrid w:val="0"/>
              </w:rPr>
            </w:pPr>
            <w:r w:rsidRPr="00295986">
              <w:t>16</w:t>
            </w:r>
            <w:r w:rsidR="00D7157D">
              <w:t>.</w:t>
            </w:r>
            <w:r w:rsidRPr="00295986">
              <w:t>7091</w:t>
            </w:r>
          </w:p>
        </w:tc>
        <w:tc>
          <w:tcPr>
            <w:tcW w:w="966" w:type="pct"/>
            <w:tcBorders>
              <w:top w:val="single" w:sz="4" w:space="0" w:color="auto"/>
              <w:bottom w:val="single" w:sz="4" w:space="0" w:color="auto"/>
            </w:tcBorders>
            <w:vAlign w:val="bottom"/>
          </w:tcPr>
          <w:p w14:paraId="51AE80EC" w14:textId="77777777" w:rsidR="00C217FF" w:rsidRPr="000F120F" w:rsidRDefault="00C217FF" w:rsidP="00F36942">
            <w:pPr>
              <w:pStyle w:val="Tabletext"/>
              <w:rPr>
                <w:snapToGrid w:val="0"/>
              </w:rPr>
            </w:pPr>
            <w:r w:rsidRPr="00295986">
              <w:t>0</w:t>
            </w:r>
            <w:r w:rsidR="00D7157D">
              <w:t>.</w:t>
            </w:r>
            <w:r w:rsidRPr="00295986">
              <w:t>4919</w:t>
            </w:r>
          </w:p>
        </w:tc>
        <w:tc>
          <w:tcPr>
            <w:tcW w:w="966" w:type="pct"/>
            <w:tcBorders>
              <w:top w:val="single" w:sz="4" w:space="0" w:color="auto"/>
              <w:bottom w:val="single" w:sz="4" w:space="0" w:color="auto"/>
            </w:tcBorders>
            <w:vAlign w:val="bottom"/>
          </w:tcPr>
          <w:p w14:paraId="2E94BED8" w14:textId="77777777" w:rsidR="00C217FF" w:rsidRPr="000F120F" w:rsidRDefault="00C217FF" w:rsidP="00F36942">
            <w:pPr>
              <w:pStyle w:val="Tabletext"/>
              <w:rPr>
                <w:snapToGrid w:val="0"/>
              </w:rPr>
            </w:pPr>
            <w:r w:rsidRPr="00295986">
              <w:t>17</w:t>
            </w:r>
            <w:r w:rsidR="00D7157D">
              <w:t>.</w:t>
            </w:r>
            <w:r w:rsidRPr="00295986">
              <w:t>9231</w:t>
            </w:r>
          </w:p>
        </w:tc>
        <w:tc>
          <w:tcPr>
            <w:tcW w:w="966" w:type="pct"/>
            <w:tcBorders>
              <w:top w:val="single" w:sz="4" w:space="0" w:color="auto"/>
              <w:bottom w:val="single" w:sz="4" w:space="0" w:color="auto"/>
            </w:tcBorders>
            <w:vAlign w:val="bottom"/>
          </w:tcPr>
          <w:p w14:paraId="1B6A2788" w14:textId="77777777" w:rsidR="00C217FF" w:rsidRPr="000F120F" w:rsidRDefault="00C217FF" w:rsidP="00F36942">
            <w:pPr>
              <w:pStyle w:val="Tabletext"/>
              <w:rPr>
                <w:snapToGrid w:val="0"/>
              </w:rPr>
            </w:pPr>
            <w:r w:rsidRPr="00295986">
              <w:t>0</w:t>
            </w:r>
            <w:r w:rsidR="00D7157D">
              <w:t>.</w:t>
            </w:r>
            <w:r w:rsidRPr="00295986">
              <w:t>1254</w:t>
            </w:r>
          </w:p>
        </w:tc>
      </w:tr>
      <w:tr w:rsidR="00C217FF" w:rsidRPr="009E2595" w14:paraId="0EC45244" w14:textId="77777777" w:rsidTr="00F36942">
        <w:trPr>
          <w:cantSplit/>
        </w:trPr>
        <w:tc>
          <w:tcPr>
            <w:tcW w:w="1136" w:type="pct"/>
            <w:tcBorders>
              <w:top w:val="single" w:sz="4" w:space="0" w:color="auto"/>
              <w:bottom w:val="single" w:sz="4" w:space="0" w:color="auto"/>
            </w:tcBorders>
          </w:tcPr>
          <w:p w14:paraId="60930D23" w14:textId="77777777" w:rsidR="00C217FF" w:rsidRPr="00616B26" w:rsidRDefault="00C217FF" w:rsidP="00F36942">
            <w:pPr>
              <w:pStyle w:val="Tabletext"/>
              <w:rPr>
                <w:snapToGrid w:val="0"/>
              </w:rPr>
            </w:pPr>
            <w:r w:rsidRPr="00616B26">
              <w:rPr>
                <w:snapToGrid w:val="0"/>
              </w:rPr>
              <w:t>67</w:t>
            </w:r>
          </w:p>
        </w:tc>
        <w:tc>
          <w:tcPr>
            <w:tcW w:w="966" w:type="pct"/>
            <w:tcBorders>
              <w:top w:val="single" w:sz="4" w:space="0" w:color="auto"/>
              <w:bottom w:val="single" w:sz="4" w:space="0" w:color="auto"/>
            </w:tcBorders>
            <w:vAlign w:val="bottom"/>
          </w:tcPr>
          <w:p w14:paraId="046BED82" w14:textId="77777777" w:rsidR="00C217FF" w:rsidRPr="000F120F" w:rsidRDefault="00C217FF" w:rsidP="00F36942">
            <w:pPr>
              <w:pStyle w:val="Tabletext"/>
              <w:rPr>
                <w:snapToGrid w:val="0"/>
              </w:rPr>
            </w:pPr>
            <w:r w:rsidRPr="00295986">
              <w:t>16</w:t>
            </w:r>
            <w:r w:rsidR="00D7157D">
              <w:t>.</w:t>
            </w:r>
            <w:r w:rsidRPr="00295986">
              <w:t>1733</w:t>
            </w:r>
          </w:p>
        </w:tc>
        <w:tc>
          <w:tcPr>
            <w:tcW w:w="966" w:type="pct"/>
            <w:tcBorders>
              <w:top w:val="single" w:sz="4" w:space="0" w:color="auto"/>
              <w:bottom w:val="single" w:sz="4" w:space="0" w:color="auto"/>
            </w:tcBorders>
            <w:vAlign w:val="bottom"/>
          </w:tcPr>
          <w:p w14:paraId="3B833605" w14:textId="77777777" w:rsidR="00C217FF" w:rsidRPr="000F120F" w:rsidRDefault="00C217FF" w:rsidP="00F36942">
            <w:pPr>
              <w:pStyle w:val="Tabletext"/>
              <w:rPr>
                <w:snapToGrid w:val="0"/>
              </w:rPr>
            </w:pPr>
            <w:r w:rsidRPr="00295986">
              <w:t>0</w:t>
            </w:r>
            <w:r w:rsidR="00D7157D">
              <w:t>.</w:t>
            </w:r>
            <w:r w:rsidRPr="00295986">
              <w:t>4997</w:t>
            </w:r>
          </w:p>
        </w:tc>
        <w:tc>
          <w:tcPr>
            <w:tcW w:w="966" w:type="pct"/>
            <w:tcBorders>
              <w:top w:val="single" w:sz="4" w:space="0" w:color="auto"/>
              <w:bottom w:val="single" w:sz="4" w:space="0" w:color="auto"/>
            </w:tcBorders>
            <w:vAlign w:val="bottom"/>
          </w:tcPr>
          <w:p w14:paraId="33BC3496" w14:textId="77777777" w:rsidR="00C217FF" w:rsidRPr="000F120F" w:rsidRDefault="00C217FF" w:rsidP="00F36942">
            <w:pPr>
              <w:pStyle w:val="Tabletext"/>
              <w:rPr>
                <w:snapToGrid w:val="0"/>
              </w:rPr>
            </w:pPr>
            <w:r w:rsidRPr="00295986">
              <w:t>17</w:t>
            </w:r>
            <w:r w:rsidR="00D7157D">
              <w:t>.</w:t>
            </w:r>
            <w:r w:rsidRPr="00295986">
              <w:t>4014</w:t>
            </w:r>
          </w:p>
        </w:tc>
        <w:tc>
          <w:tcPr>
            <w:tcW w:w="966" w:type="pct"/>
            <w:tcBorders>
              <w:top w:val="single" w:sz="4" w:space="0" w:color="auto"/>
              <w:bottom w:val="single" w:sz="4" w:space="0" w:color="auto"/>
            </w:tcBorders>
            <w:vAlign w:val="bottom"/>
          </w:tcPr>
          <w:p w14:paraId="563A1F01" w14:textId="77777777" w:rsidR="00C217FF" w:rsidRPr="000F120F" w:rsidRDefault="00C217FF" w:rsidP="00F36942">
            <w:pPr>
              <w:pStyle w:val="Tabletext"/>
              <w:rPr>
                <w:snapToGrid w:val="0"/>
              </w:rPr>
            </w:pPr>
            <w:r w:rsidRPr="00295986">
              <w:t>0</w:t>
            </w:r>
            <w:r w:rsidR="00D7157D">
              <w:t>.</w:t>
            </w:r>
            <w:r w:rsidRPr="00295986">
              <w:t>1273</w:t>
            </w:r>
          </w:p>
        </w:tc>
      </w:tr>
      <w:tr w:rsidR="00C217FF" w:rsidRPr="009E2595" w14:paraId="10E6B75F" w14:textId="77777777" w:rsidTr="00F36942">
        <w:trPr>
          <w:cantSplit/>
        </w:trPr>
        <w:tc>
          <w:tcPr>
            <w:tcW w:w="1136" w:type="pct"/>
            <w:tcBorders>
              <w:top w:val="single" w:sz="4" w:space="0" w:color="auto"/>
              <w:bottom w:val="single" w:sz="4" w:space="0" w:color="auto"/>
            </w:tcBorders>
          </w:tcPr>
          <w:p w14:paraId="1C94B992" w14:textId="77777777" w:rsidR="00C217FF" w:rsidRPr="00616B26" w:rsidRDefault="00C217FF" w:rsidP="00F36942">
            <w:pPr>
              <w:pStyle w:val="Tabletext"/>
              <w:rPr>
                <w:snapToGrid w:val="0"/>
              </w:rPr>
            </w:pPr>
            <w:r w:rsidRPr="00616B26">
              <w:rPr>
                <w:snapToGrid w:val="0"/>
              </w:rPr>
              <w:t>68</w:t>
            </w:r>
          </w:p>
        </w:tc>
        <w:tc>
          <w:tcPr>
            <w:tcW w:w="966" w:type="pct"/>
            <w:tcBorders>
              <w:top w:val="single" w:sz="4" w:space="0" w:color="auto"/>
              <w:bottom w:val="single" w:sz="4" w:space="0" w:color="auto"/>
            </w:tcBorders>
            <w:vAlign w:val="bottom"/>
          </w:tcPr>
          <w:p w14:paraId="109FD8BA" w14:textId="77777777" w:rsidR="00C217FF" w:rsidRPr="000F120F" w:rsidRDefault="00C217FF" w:rsidP="00F36942">
            <w:pPr>
              <w:pStyle w:val="Tabletext"/>
              <w:rPr>
                <w:snapToGrid w:val="0"/>
              </w:rPr>
            </w:pPr>
            <w:r w:rsidRPr="00295986">
              <w:t>15</w:t>
            </w:r>
            <w:r w:rsidR="00D7157D">
              <w:t>.</w:t>
            </w:r>
            <w:r w:rsidRPr="00295986">
              <w:t>6319</w:t>
            </w:r>
          </w:p>
        </w:tc>
        <w:tc>
          <w:tcPr>
            <w:tcW w:w="966" w:type="pct"/>
            <w:tcBorders>
              <w:top w:val="single" w:sz="4" w:space="0" w:color="auto"/>
              <w:bottom w:val="single" w:sz="4" w:space="0" w:color="auto"/>
            </w:tcBorders>
            <w:vAlign w:val="bottom"/>
          </w:tcPr>
          <w:p w14:paraId="5F4A245F" w14:textId="77777777" w:rsidR="00C217FF" w:rsidRPr="000F120F" w:rsidRDefault="00C217FF" w:rsidP="00F36942">
            <w:pPr>
              <w:pStyle w:val="Tabletext"/>
              <w:rPr>
                <w:snapToGrid w:val="0"/>
              </w:rPr>
            </w:pPr>
            <w:r w:rsidRPr="00295986">
              <w:t>0</w:t>
            </w:r>
            <w:r w:rsidR="00D7157D">
              <w:t>.</w:t>
            </w:r>
            <w:r w:rsidRPr="00295986">
              <w:t>5069</w:t>
            </w:r>
          </w:p>
        </w:tc>
        <w:tc>
          <w:tcPr>
            <w:tcW w:w="966" w:type="pct"/>
            <w:tcBorders>
              <w:top w:val="single" w:sz="4" w:space="0" w:color="auto"/>
              <w:bottom w:val="single" w:sz="4" w:space="0" w:color="auto"/>
            </w:tcBorders>
            <w:vAlign w:val="bottom"/>
          </w:tcPr>
          <w:p w14:paraId="3A623152" w14:textId="77777777" w:rsidR="00C217FF" w:rsidRPr="000F120F" w:rsidRDefault="00C217FF" w:rsidP="00F36942">
            <w:pPr>
              <w:pStyle w:val="Tabletext"/>
              <w:rPr>
                <w:snapToGrid w:val="0"/>
              </w:rPr>
            </w:pPr>
            <w:r w:rsidRPr="00295986">
              <w:t>16</w:t>
            </w:r>
            <w:r w:rsidR="00D7157D">
              <w:t>.</w:t>
            </w:r>
            <w:r w:rsidRPr="00295986">
              <w:t>8716</w:t>
            </w:r>
          </w:p>
        </w:tc>
        <w:tc>
          <w:tcPr>
            <w:tcW w:w="966" w:type="pct"/>
            <w:tcBorders>
              <w:top w:val="single" w:sz="4" w:space="0" w:color="auto"/>
              <w:bottom w:val="single" w:sz="4" w:space="0" w:color="auto"/>
            </w:tcBorders>
            <w:vAlign w:val="bottom"/>
          </w:tcPr>
          <w:p w14:paraId="640AE457" w14:textId="77777777" w:rsidR="00C217FF" w:rsidRPr="000F120F" w:rsidRDefault="00C217FF" w:rsidP="00F36942">
            <w:pPr>
              <w:pStyle w:val="Tabletext"/>
              <w:rPr>
                <w:snapToGrid w:val="0"/>
              </w:rPr>
            </w:pPr>
            <w:r w:rsidRPr="00295986">
              <w:t>0</w:t>
            </w:r>
            <w:r w:rsidR="00D7157D">
              <w:t>.</w:t>
            </w:r>
            <w:r w:rsidRPr="00295986">
              <w:t>1290</w:t>
            </w:r>
          </w:p>
        </w:tc>
      </w:tr>
      <w:tr w:rsidR="00C217FF" w:rsidRPr="009E2595" w14:paraId="729291F6" w14:textId="77777777" w:rsidTr="00F36942">
        <w:trPr>
          <w:cantSplit/>
        </w:trPr>
        <w:tc>
          <w:tcPr>
            <w:tcW w:w="1136" w:type="pct"/>
            <w:tcBorders>
              <w:top w:val="single" w:sz="4" w:space="0" w:color="auto"/>
              <w:bottom w:val="single" w:sz="4" w:space="0" w:color="auto"/>
            </w:tcBorders>
          </w:tcPr>
          <w:p w14:paraId="7E158236" w14:textId="77777777" w:rsidR="00C217FF" w:rsidRPr="00616B26" w:rsidRDefault="00C217FF" w:rsidP="00F36942">
            <w:pPr>
              <w:pStyle w:val="Tabletext"/>
              <w:rPr>
                <w:snapToGrid w:val="0"/>
              </w:rPr>
            </w:pPr>
            <w:r w:rsidRPr="00616B26">
              <w:rPr>
                <w:snapToGrid w:val="0"/>
              </w:rPr>
              <w:t>69</w:t>
            </w:r>
          </w:p>
        </w:tc>
        <w:tc>
          <w:tcPr>
            <w:tcW w:w="966" w:type="pct"/>
            <w:tcBorders>
              <w:top w:val="single" w:sz="4" w:space="0" w:color="auto"/>
              <w:bottom w:val="single" w:sz="4" w:space="0" w:color="auto"/>
            </w:tcBorders>
            <w:vAlign w:val="bottom"/>
          </w:tcPr>
          <w:p w14:paraId="1A31557E" w14:textId="77777777" w:rsidR="00C217FF" w:rsidRPr="000F120F" w:rsidRDefault="00C217FF" w:rsidP="00F36942">
            <w:pPr>
              <w:pStyle w:val="Tabletext"/>
              <w:rPr>
                <w:snapToGrid w:val="0"/>
              </w:rPr>
            </w:pPr>
            <w:r w:rsidRPr="00295986">
              <w:t>15</w:t>
            </w:r>
            <w:r w:rsidR="00D7157D">
              <w:t>.</w:t>
            </w:r>
            <w:r w:rsidRPr="00295986">
              <w:t>0846</w:t>
            </w:r>
          </w:p>
        </w:tc>
        <w:tc>
          <w:tcPr>
            <w:tcW w:w="966" w:type="pct"/>
            <w:tcBorders>
              <w:top w:val="single" w:sz="4" w:space="0" w:color="auto"/>
              <w:bottom w:val="single" w:sz="4" w:space="0" w:color="auto"/>
            </w:tcBorders>
            <w:vAlign w:val="bottom"/>
          </w:tcPr>
          <w:p w14:paraId="71A9909F" w14:textId="77777777" w:rsidR="00C217FF" w:rsidRPr="000F120F" w:rsidRDefault="00C217FF" w:rsidP="00F36942">
            <w:pPr>
              <w:pStyle w:val="Tabletext"/>
              <w:rPr>
                <w:snapToGrid w:val="0"/>
              </w:rPr>
            </w:pPr>
            <w:r w:rsidRPr="00295986">
              <w:t>0</w:t>
            </w:r>
            <w:r w:rsidR="00D7157D">
              <w:t>.</w:t>
            </w:r>
            <w:r w:rsidRPr="00295986">
              <w:t>5137</w:t>
            </w:r>
          </w:p>
        </w:tc>
        <w:tc>
          <w:tcPr>
            <w:tcW w:w="966" w:type="pct"/>
            <w:tcBorders>
              <w:top w:val="single" w:sz="4" w:space="0" w:color="auto"/>
              <w:bottom w:val="single" w:sz="4" w:space="0" w:color="auto"/>
            </w:tcBorders>
            <w:vAlign w:val="bottom"/>
          </w:tcPr>
          <w:p w14:paraId="111E1967" w14:textId="77777777" w:rsidR="00C217FF" w:rsidRPr="000F120F" w:rsidRDefault="00C217FF" w:rsidP="00F36942">
            <w:pPr>
              <w:pStyle w:val="Tabletext"/>
              <w:rPr>
                <w:snapToGrid w:val="0"/>
              </w:rPr>
            </w:pPr>
            <w:r w:rsidRPr="00295986">
              <w:t>16</w:t>
            </w:r>
            <w:r w:rsidR="00D7157D">
              <w:t>.</w:t>
            </w:r>
            <w:r w:rsidRPr="00295986">
              <w:t>3334</w:t>
            </w:r>
          </w:p>
        </w:tc>
        <w:tc>
          <w:tcPr>
            <w:tcW w:w="966" w:type="pct"/>
            <w:tcBorders>
              <w:top w:val="single" w:sz="4" w:space="0" w:color="auto"/>
              <w:bottom w:val="single" w:sz="4" w:space="0" w:color="auto"/>
            </w:tcBorders>
            <w:vAlign w:val="bottom"/>
          </w:tcPr>
          <w:p w14:paraId="4AC13EC9" w14:textId="77777777" w:rsidR="00C217FF" w:rsidRPr="000F120F" w:rsidRDefault="00C217FF" w:rsidP="00F36942">
            <w:pPr>
              <w:pStyle w:val="Tabletext"/>
              <w:rPr>
                <w:snapToGrid w:val="0"/>
              </w:rPr>
            </w:pPr>
            <w:r w:rsidRPr="00295986">
              <w:t>0</w:t>
            </w:r>
            <w:r w:rsidR="00D7157D">
              <w:t>.</w:t>
            </w:r>
            <w:r w:rsidRPr="00295986">
              <w:t>1305</w:t>
            </w:r>
          </w:p>
        </w:tc>
      </w:tr>
      <w:tr w:rsidR="00C217FF" w:rsidRPr="009E2595" w14:paraId="3F18BAB0" w14:textId="77777777" w:rsidTr="00F36942">
        <w:trPr>
          <w:cantSplit/>
        </w:trPr>
        <w:tc>
          <w:tcPr>
            <w:tcW w:w="1136" w:type="pct"/>
            <w:tcBorders>
              <w:top w:val="single" w:sz="4" w:space="0" w:color="auto"/>
              <w:bottom w:val="single" w:sz="4" w:space="0" w:color="auto"/>
            </w:tcBorders>
          </w:tcPr>
          <w:p w14:paraId="7BF68E9D" w14:textId="77777777" w:rsidR="00C217FF" w:rsidRPr="00616B26" w:rsidRDefault="00C217FF" w:rsidP="00F36942">
            <w:pPr>
              <w:pStyle w:val="Tabletext"/>
              <w:rPr>
                <w:snapToGrid w:val="0"/>
              </w:rPr>
            </w:pPr>
            <w:r w:rsidRPr="00616B26">
              <w:rPr>
                <w:snapToGrid w:val="0"/>
              </w:rPr>
              <w:t>70</w:t>
            </w:r>
          </w:p>
        </w:tc>
        <w:tc>
          <w:tcPr>
            <w:tcW w:w="966" w:type="pct"/>
            <w:tcBorders>
              <w:top w:val="single" w:sz="4" w:space="0" w:color="auto"/>
              <w:bottom w:val="single" w:sz="4" w:space="0" w:color="auto"/>
            </w:tcBorders>
            <w:vAlign w:val="bottom"/>
          </w:tcPr>
          <w:p w14:paraId="3CCA0DCE" w14:textId="77777777" w:rsidR="00C217FF" w:rsidRPr="000F120F" w:rsidRDefault="00C217FF" w:rsidP="00F36942">
            <w:pPr>
              <w:pStyle w:val="Tabletext"/>
              <w:rPr>
                <w:snapToGrid w:val="0"/>
              </w:rPr>
            </w:pPr>
            <w:r w:rsidRPr="00295986">
              <w:t>14</w:t>
            </w:r>
            <w:r w:rsidR="00D7157D">
              <w:t>.</w:t>
            </w:r>
            <w:r w:rsidRPr="00295986">
              <w:t>5310</w:t>
            </w:r>
          </w:p>
        </w:tc>
        <w:tc>
          <w:tcPr>
            <w:tcW w:w="966" w:type="pct"/>
            <w:tcBorders>
              <w:top w:val="single" w:sz="4" w:space="0" w:color="auto"/>
              <w:bottom w:val="single" w:sz="4" w:space="0" w:color="auto"/>
            </w:tcBorders>
            <w:vAlign w:val="bottom"/>
          </w:tcPr>
          <w:p w14:paraId="2E80598D" w14:textId="77777777" w:rsidR="00C217FF" w:rsidRPr="000F120F" w:rsidRDefault="00C217FF" w:rsidP="00F36942">
            <w:pPr>
              <w:pStyle w:val="Tabletext"/>
              <w:rPr>
                <w:snapToGrid w:val="0"/>
              </w:rPr>
            </w:pPr>
            <w:r w:rsidRPr="00295986">
              <w:t>0</w:t>
            </w:r>
            <w:r w:rsidR="00D7157D">
              <w:t>.</w:t>
            </w:r>
            <w:r w:rsidRPr="00295986">
              <w:t>5200</w:t>
            </w:r>
          </w:p>
        </w:tc>
        <w:tc>
          <w:tcPr>
            <w:tcW w:w="966" w:type="pct"/>
            <w:tcBorders>
              <w:top w:val="single" w:sz="4" w:space="0" w:color="auto"/>
              <w:bottom w:val="single" w:sz="4" w:space="0" w:color="auto"/>
            </w:tcBorders>
            <w:vAlign w:val="bottom"/>
          </w:tcPr>
          <w:p w14:paraId="0CF8352A" w14:textId="77777777" w:rsidR="00C217FF" w:rsidRPr="000F120F" w:rsidRDefault="00C217FF" w:rsidP="00F36942">
            <w:pPr>
              <w:pStyle w:val="Tabletext"/>
              <w:rPr>
                <w:snapToGrid w:val="0"/>
              </w:rPr>
            </w:pPr>
            <w:r w:rsidRPr="00295986">
              <w:t>15</w:t>
            </w:r>
            <w:r w:rsidR="00D7157D">
              <w:t>.</w:t>
            </w:r>
            <w:r w:rsidRPr="00295986">
              <w:t>7867</w:t>
            </w:r>
          </w:p>
        </w:tc>
        <w:tc>
          <w:tcPr>
            <w:tcW w:w="966" w:type="pct"/>
            <w:tcBorders>
              <w:top w:val="single" w:sz="4" w:space="0" w:color="auto"/>
              <w:bottom w:val="single" w:sz="4" w:space="0" w:color="auto"/>
            </w:tcBorders>
            <w:vAlign w:val="bottom"/>
          </w:tcPr>
          <w:p w14:paraId="291C55EA" w14:textId="77777777" w:rsidR="00C217FF" w:rsidRPr="000F120F" w:rsidRDefault="00C217FF" w:rsidP="00F36942">
            <w:pPr>
              <w:pStyle w:val="Tabletext"/>
              <w:rPr>
                <w:snapToGrid w:val="0"/>
              </w:rPr>
            </w:pPr>
            <w:r w:rsidRPr="00295986">
              <w:t>0</w:t>
            </w:r>
            <w:r w:rsidR="00D7157D">
              <w:t>.</w:t>
            </w:r>
            <w:r w:rsidRPr="00295986">
              <w:t>1320</w:t>
            </w:r>
          </w:p>
        </w:tc>
      </w:tr>
      <w:tr w:rsidR="00C217FF" w:rsidRPr="009E2595" w14:paraId="350C5D24" w14:textId="77777777" w:rsidTr="00F36942">
        <w:trPr>
          <w:cantSplit/>
        </w:trPr>
        <w:tc>
          <w:tcPr>
            <w:tcW w:w="1136" w:type="pct"/>
            <w:tcBorders>
              <w:top w:val="single" w:sz="4" w:space="0" w:color="auto"/>
              <w:bottom w:val="single" w:sz="4" w:space="0" w:color="auto"/>
            </w:tcBorders>
          </w:tcPr>
          <w:p w14:paraId="32BED31F" w14:textId="77777777" w:rsidR="00C217FF" w:rsidRPr="00616B26" w:rsidRDefault="00C217FF" w:rsidP="00F36942">
            <w:pPr>
              <w:pStyle w:val="Tabletext"/>
              <w:rPr>
                <w:snapToGrid w:val="0"/>
              </w:rPr>
            </w:pPr>
            <w:r w:rsidRPr="00616B26">
              <w:rPr>
                <w:snapToGrid w:val="0"/>
              </w:rPr>
              <w:t>71</w:t>
            </w:r>
          </w:p>
        </w:tc>
        <w:tc>
          <w:tcPr>
            <w:tcW w:w="966" w:type="pct"/>
            <w:tcBorders>
              <w:top w:val="single" w:sz="4" w:space="0" w:color="auto"/>
              <w:bottom w:val="single" w:sz="4" w:space="0" w:color="auto"/>
            </w:tcBorders>
            <w:vAlign w:val="bottom"/>
          </w:tcPr>
          <w:p w14:paraId="5DB6164A" w14:textId="77777777" w:rsidR="00C217FF" w:rsidRPr="000F120F" w:rsidRDefault="00C217FF" w:rsidP="00F36942">
            <w:pPr>
              <w:pStyle w:val="Tabletext"/>
              <w:rPr>
                <w:snapToGrid w:val="0"/>
              </w:rPr>
            </w:pPr>
            <w:r w:rsidRPr="00295986">
              <w:t>13</w:t>
            </w:r>
            <w:r w:rsidR="00D7157D">
              <w:t>.</w:t>
            </w:r>
            <w:r w:rsidRPr="00295986">
              <w:t>9701</w:t>
            </w:r>
          </w:p>
        </w:tc>
        <w:tc>
          <w:tcPr>
            <w:tcW w:w="966" w:type="pct"/>
            <w:tcBorders>
              <w:top w:val="single" w:sz="4" w:space="0" w:color="auto"/>
              <w:bottom w:val="single" w:sz="4" w:space="0" w:color="auto"/>
            </w:tcBorders>
            <w:vAlign w:val="bottom"/>
          </w:tcPr>
          <w:p w14:paraId="2D820068" w14:textId="77777777" w:rsidR="00C217FF" w:rsidRPr="000F120F" w:rsidRDefault="00C217FF" w:rsidP="00F36942">
            <w:pPr>
              <w:pStyle w:val="Tabletext"/>
              <w:rPr>
                <w:snapToGrid w:val="0"/>
              </w:rPr>
            </w:pPr>
            <w:r w:rsidRPr="00295986">
              <w:t>0</w:t>
            </w:r>
            <w:r w:rsidR="00D7157D">
              <w:t>.</w:t>
            </w:r>
            <w:r w:rsidRPr="00295986">
              <w:t>5259</w:t>
            </w:r>
          </w:p>
        </w:tc>
        <w:tc>
          <w:tcPr>
            <w:tcW w:w="966" w:type="pct"/>
            <w:tcBorders>
              <w:top w:val="single" w:sz="4" w:space="0" w:color="auto"/>
              <w:bottom w:val="single" w:sz="4" w:space="0" w:color="auto"/>
            </w:tcBorders>
            <w:vAlign w:val="bottom"/>
          </w:tcPr>
          <w:p w14:paraId="6F56625B" w14:textId="77777777" w:rsidR="00C217FF" w:rsidRPr="000F120F" w:rsidRDefault="00C217FF" w:rsidP="00F36942">
            <w:pPr>
              <w:pStyle w:val="Tabletext"/>
              <w:rPr>
                <w:snapToGrid w:val="0"/>
              </w:rPr>
            </w:pPr>
            <w:r w:rsidRPr="00295986">
              <w:t>15</w:t>
            </w:r>
            <w:r w:rsidR="00D7157D">
              <w:t>.</w:t>
            </w:r>
            <w:r w:rsidRPr="00295986">
              <w:t>2333</w:t>
            </w:r>
          </w:p>
        </w:tc>
        <w:tc>
          <w:tcPr>
            <w:tcW w:w="966" w:type="pct"/>
            <w:tcBorders>
              <w:top w:val="single" w:sz="4" w:space="0" w:color="auto"/>
              <w:bottom w:val="single" w:sz="4" w:space="0" w:color="auto"/>
            </w:tcBorders>
            <w:vAlign w:val="bottom"/>
          </w:tcPr>
          <w:p w14:paraId="60082F53" w14:textId="77777777" w:rsidR="00C217FF" w:rsidRPr="000F120F" w:rsidRDefault="00C217FF" w:rsidP="00F36942">
            <w:pPr>
              <w:pStyle w:val="Tabletext"/>
              <w:rPr>
                <w:snapToGrid w:val="0"/>
              </w:rPr>
            </w:pPr>
            <w:r w:rsidRPr="00295986">
              <w:t>0</w:t>
            </w:r>
            <w:r w:rsidR="00D7157D">
              <w:t>.</w:t>
            </w:r>
            <w:r w:rsidRPr="00295986">
              <w:t>1333</w:t>
            </w:r>
          </w:p>
        </w:tc>
      </w:tr>
      <w:tr w:rsidR="00C217FF" w:rsidRPr="009E2595" w14:paraId="13B5FD5D" w14:textId="77777777" w:rsidTr="00F36942">
        <w:trPr>
          <w:cantSplit/>
        </w:trPr>
        <w:tc>
          <w:tcPr>
            <w:tcW w:w="1136" w:type="pct"/>
            <w:tcBorders>
              <w:top w:val="single" w:sz="4" w:space="0" w:color="auto"/>
              <w:bottom w:val="single" w:sz="4" w:space="0" w:color="auto"/>
            </w:tcBorders>
          </w:tcPr>
          <w:p w14:paraId="365E0DB0" w14:textId="77777777" w:rsidR="00C217FF" w:rsidRPr="00616B26" w:rsidRDefault="00C217FF" w:rsidP="00F36942">
            <w:pPr>
              <w:pStyle w:val="Tabletext"/>
              <w:rPr>
                <w:snapToGrid w:val="0"/>
              </w:rPr>
            </w:pPr>
            <w:r w:rsidRPr="00616B26">
              <w:rPr>
                <w:snapToGrid w:val="0"/>
              </w:rPr>
              <w:t>72</w:t>
            </w:r>
          </w:p>
        </w:tc>
        <w:tc>
          <w:tcPr>
            <w:tcW w:w="966" w:type="pct"/>
            <w:tcBorders>
              <w:top w:val="single" w:sz="4" w:space="0" w:color="auto"/>
              <w:bottom w:val="single" w:sz="4" w:space="0" w:color="auto"/>
            </w:tcBorders>
            <w:vAlign w:val="bottom"/>
          </w:tcPr>
          <w:p w14:paraId="513FEA16" w14:textId="77777777" w:rsidR="00C217FF" w:rsidRPr="000F120F" w:rsidRDefault="00C217FF" w:rsidP="00F36942">
            <w:pPr>
              <w:pStyle w:val="Tabletext"/>
              <w:rPr>
                <w:snapToGrid w:val="0"/>
              </w:rPr>
            </w:pPr>
            <w:r w:rsidRPr="00295986">
              <w:t>13</w:t>
            </w:r>
            <w:r w:rsidR="00D7157D">
              <w:t>.</w:t>
            </w:r>
            <w:r w:rsidRPr="00295986">
              <w:t>4040</w:t>
            </w:r>
          </w:p>
        </w:tc>
        <w:tc>
          <w:tcPr>
            <w:tcW w:w="966" w:type="pct"/>
            <w:tcBorders>
              <w:top w:val="single" w:sz="4" w:space="0" w:color="auto"/>
              <w:bottom w:val="single" w:sz="4" w:space="0" w:color="auto"/>
            </w:tcBorders>
            <w:vAlign w:val="bottom"/>
          </w:tcPr>
          <w:p w14:paraId="1C041CF8" w14:textId="77777777" w:rsidR="00C217FF" w:rsidRPr="000F120F" w:rsidRDefault="00C217FF" w:rsidP="00F36942">
            <w:pPr>
              <w:pStyle w:val="Tabletext"/>
              <w:rPr>
                <w:snapToGrid w:val="0"/>
              </w:rPr>
            </w:pPr>
            <w:r w:rsidRPr="00295986">
              <w:t>0</w:t>
            </w:r>
            <w:r w:rsidR="00D7157D">
              <w:t>.</w:t>
            </w:r>
            <w:r w:rsidRPr="00295986">
              <w:t>5312</w:t>
            </w:r>
          </w:p>
        </w:tc>
        <w:tc>
          <w:tcPr>
            <w:tcW w:w="966" w:type="pct"/>
            <w:tcBorders>
              <w:top w:val="single" w:sz="4" w:space="0" w:color="auto"/>
              <w:bottom w:val="single" w:sz="4" w:space="0" w:color="auto"/>
            </w:tcBorders>
            <w:vAlign w:val="bottom"/>
          </w:tcPr>
          <w:p w14:paraId="64D81ACD" w14:textId="77777777" w:rsidR="00C217FF" w:rsidRPr="000F120F" w:rsidRDefault="00C217FF" w:rsidP="00F36942">
            <w:pPr>
              <w:pStyle w:val="Tabletext"/>
              <w:rPr>
                <w:snapToGrid w:val="0"/>
              </w:rPr>
            </w:pPr>
            <w:r w:rsidRPr="00295986">
              <w:t>14</w:t>
            </w:r>
            <w:r w:rsidR="00D7157D">
              <w:t>.</w:t>
            </w:r>
            <w:r w:rsidRPr="00295986">
              <w:t>6744</w:t>
            </w:r>
          </w:p>
        </w:tc>
        <w:tc>
          <w:tcPr>
            <w:tcW w:w="966" w:type="pct"/>
            <w:tcBorders>
              <w:top w:val="single" w:sz="4" w:space="0" w:color="auto"/>
              <w:bottom w:val="single" w:sz="4" w:space="0" w:color="auto"/>
            </w:tcBorders>
            <w:vAlign w:val="bottom"/>
          </w:tcPr>
          <w:p w14:paraId="518919F7" w14:textId="77777777" w:rsidR="00C217FF" w:rsidRPr="000F120F" w:rsidRDefault="00C217FF" w:rsidP="00F36942">
            <w:pPr>
              <w:pStyle w:val="Tabletext"/>
              <w:rPr>
                <w:snapToGrid w:val="0"/>
              </w:rPr>
            </w:pPr>
            <w:r w:rsidRPr="00295986">
              <w:t>0</w:t>
            </w:r>
            <w:r w:rsidR="00D7157D">
              <w:t>.</w:t>
            </w:r>
            <w:r w:rsidRPr="00295986">
              <w:t>1344</w:t>
            </w:r>
          </w:p>
        </w:tc>
      </w:tr>
      <w:tr w:rsidR="00C217FF" w:rsidRPr="009E2595" w14:paraId="095F35DD" w14:textId="77777777" w:rsidTr="00F36942">
        <w:trPr>
          <w:cantSplit/>
        </w:trPr>
        <w:tc>
          <w:tcPr>
            <w:tcW w:w="1136" w:type="pct"/>
            <w:tcBorders>
              <w:top w:val="single" w:sz="4" w:space="0" w:color="auto"/>
              <w:bottom w:val="single" w:sz="4" w:space="0" w:color="auto"/>
            </w:tcBorders>
          </w:tcPr>
          <w:p w14:paraId="47C58A16" w14:textId="77777777" w:rsidR="00C217FF" w:rsidRPr="00616B26" w:rsidRDefault="00C217FF" w:rsidP="00F36942">
            <w:pPr>
              <w:pStyle w:val="Tabletext"/>
              <w:rPr>
                <w:snapToGrid w:val="0"/>
              </w:rPr>
            </w:pPr>
            <w:r w:rsidRPr="00616B26">
              <w:rPr>
                <w:snapToGrid w:val="0"/>
              </w:rPr>
              <w:t>73</w:t>
            </w:r>
          </w:p>
        </w:tc>
        <w:tc>
          <w:tcPr>
            <w:tcW w:w="966" w:type="pct"/>
            <w:tcBorders>
              <w:top w:val="single" w:sz="4" w:space="0" w:color="auto"/>
              <w:bottom w:val="single" w:sz="4" w:space="0" w:color="auto"/>
            </w:tcBorders>
            <w:vAlign w:val="bottom"/>
          </w:tcPr>
          <w:p w14:paraId="004F5BC4" w14:textId="77777777" w:rsidR="00C217FF" w:rsidRPr="000F120F" w:rsidRDefault="00C217FF" w:rsidP="00F36942">
            <w:pPr>
              <w:pStyle w:val="Tabletext"/>
              <w:rPr>
                <w:snapToGrid w:val="0"/>
              </w:rPr>
            </w:pPr>
            <w:r w:rsidRPr="00295986">
              <w:t>12</w:t>
            </w:r>
            <w:r w:rsidR="00D7157D">
              <w:t>.</w:t>
            </w:r>
            <w:r w:rsidRPr="00295986">
              <w:t>8334</w:t>
            </w:r>
          </w:p>
        </w:tc>
        <w:tc>
          <w:tcPr>
            <w:tcW w:w="966" w:type="pct"/>
            <w:tcBorders>
              <w:top w:val="single" w:sz="4" w:space="0" w:color="auto"/>
              <w:bottom w:val="single" w:sz="4" w:space="0" w:color="auto"/>
            </w:tcBorders>
            <w:vAlign w:val="bottom"/>
          </w:tcPr>
          <w:p w14:paraId="7F8025A6" w14:textId="77777777" w:rsidR="00C217FF" w:rsidRPr="000F120F" w:rsidRDefault="00C217FF" w:rsidP="00F36942">
            <w:pPr>
              <w:pStyle w:val="Tabletext"/>
              <w:rPr>
                <w:snapToGrid w:val="0"/>
              </w:rPr>
            </w:pPr>
            <w:r w:rsidRPr="00295986">
              <w:t>0</w:t>
            </w:r>
            <w:r w:rsidR="00D7157D">
              <w:t>.</w:t>
            </w:r>
            <w:r w:rsidRPr="00295986">
              <w:t>5359</w:t>
            </w:r>
          </w:p>
        </w:tc>
        <w:tc>
          <w:tcPr>
            <w:tcW w:w="966" w:type="pct"/>
            <w:tcBorders>
              <w:top w:val="single" w:sz="4" w:space="0" w:color="auto"/>
              <w:bottom w:val="single" w:sz="4" w:space="0" w:color="auto"/>
            </w:tcBorders>
            <w:vAlign w:val="bottom"/>
          </w:tcPr>
          <w:p w14:paraId="72313B07" w14:textId="77777777" w:rsidR="00C217FF" w:rsidRPr="000F120F" w:rsidRDefault="00C217FF" w:rsidP="00F36942">
            <w:pPr>
              <w:pStyle w:val="Tabletext"/>
              <w:rPr>
                <w:snapToGrid w:val="0"/>
              </w:rPr>
            </w:pPr>
            <w:r w:rsidRPr="00295986">
              <w:t>14</w:t>
            </w:r>
            <w:r w:rsidR="00D7157D">
              <w:t>.</w:t>
            </w:r>
            <w:r w:rsidRPr="00295986">
              <w:t>1107</w:t>
            </w:r>
          </w:p>
        </w:tc>
        <w:tc>
          <w:tcPr>
            <w:tcW w:w="966" w:type="pct"/>
            <w:tcBorders>
              <w:top w:val="single" w:sz="4" w:space="0" w:color="auto"/>
              <w:bottom w:val="single" w:sz="4" w:space="0" w:color="auto"/>
            </w:tcBorders>
            <w:vAlign w:val="bottom"/>
          </w:tcPr>
          <w:p w14:paraId="65B26F28" w14:textId="77777777" w:rsidR="00C217FF" w:rsidRPr="000F120F" w:rsidRDefault="00C217FF" w:rsidP="00F36942">
            <w:pPr>
              <w:pStyle w:val="Tabletext"/>
              <w:rPr>
                <w:snapToGrid w:val="0"/>
              </w:rPr>
            </w:pPr>
            <w:r w:rsidRPr="00295986">
              <w:t>0</w:t>
            </w:r>
            <w:r w:rsidR="00D7157D">
              <w:t>.</w:t>
            </w:r>
            <w:r w:rsidRPr="00295986">
              <w:t>1353</w:t>
            </w:r>
          </w:p>
        </w:tc>
      </w:tr>
      <w:tr w:rsidR="00C217FF" w:rsidRPr="009E2595" w14:paraId="750F8A25" w14:textId="77777777" w:rsidTr="00F36942">
        <w:trPr>
          <w:cantSplit/>
        </w:trPr>
        <w:tc>
          <w:tcPr>
            <w:tcW w:w="1136" w:type="pct"/>
            <w:tcBorders>
              <w:top w:val="single" w:sz="4" w:space="0" w:color="auto"/>
              <w:bottom w:val="single" w:sz="4" w:space="0" w:color="auto"/>
            </w:tcBorders>
          </w:tcPr>
          <w:p w14:paraId="24A21B14" w14:textId="77777777" w:rsidR="00C217FF" w:rsidRPr="00616B26" w:rsidRDefault="00C217FF" w:rsidP="00F36942">
            <w:pPr>
              <w:pStyle w:val="Tabletext"/>
              <w:rPr>
                <w:snapToGrid w:val="0"/>
              </w:rPr>
            </w:pPr>
            <w:r w:rsidRPr="00616B26">
              <w:rPr>
                <w:snapToGrid w:val="0"/>
              </w:rPr>
              <w:t>74</w:t>
            </w:r>
          </w:p>
        </w:tc>
        <w:tc>
          <w:tcPr>
            <w:tcW w:w="966" w:type="pct"/>
            <w:tcBorders>
              <w:top w:val="single" w:sz="4" w:space="0" w:color="auto"/>
              <w:bottom w:val="single" w:sz="4" w:space="0" w:color="auto"/>
            </w:tcBorders>
            <w:vAlign w:val="bottom"/>
          </w:tcPr>
          <w:p w14:paraId="79F5A627" w14:textId="77777777" w:rsidR="00C217FF" w:rsidRPr="000F120F" w:rsidRDefault="00C217FF" w:rsidP="00F36942">
            <w:pPr>
              <w:pStyle w:val="Tabletext"/>
              <w:rPr>
                <w:snapToGrid w:val="0"/>
              </w:rPr>
            </w:pPr>
            <w:r w:rsidRPr="00295986">
              <w:t>12</w:t>
            </w:r>
            <w:r w:rsidR="00D7157D">
              <w:t>.</w:t>
            </w:r>
            <w:r w:rsidRPr="00295986">
              <w:t>2598</w:t>
            </w:r>
          </w:p>
        </w:tc>
        <w:tc>
          <w:tcPr>
            <w:tcW w:w="966" w:type="pct"/>
            <w:tcBorders>
              <w:top w:val="single" w:sz="4" w:space="0" w:color="auto"/>
              <w:bottom w:val="single" w:sz="4" w:space="0" w:color="auto"/>
            </w:tcBorders>
            <w:vAlign w:val="bottom"/>
          </w:tcPr>
          <w:p w14:paraId="5FF428D7" w14:textId="77777777" w:rsidR="00C217FF" w:rsidRPr="000F120F" w:rsidRDefault="00C217FF" w:rsidP="00F36942">
            <w:pPr>
              <w:pStyle w:val="Tabletext"/>
              <w:rPr>
                <w:snapToGrid w:val="0"/>
              </w:rPr>
            </w:pPr>
            <w:r w:rsidRPr="00295986">
              <w:t>0</w:t>
            </w:r>
            <w:r w:rsidR="00D7157D">
              <w:t>.</w:t>
            </w:r>
            <w:r w:rsidRPr="00295986">
              <w:t>5398</w:t>
            </w:r>
          </w:p>
        </w:tc>
        <w:tc>
          <w:tcPr>
            <w:tcW w:w="966" w:type="pct"/>
            <w:tcBorders>
              <w:top w:val="single" w:sz="4" w:space="0" w:color="auto"/>
              <w:bottom w:val="single" w:sz="4" w:space="0" w:color="auto"/>
            </w:tcBorders>
            <w:vAlign w:val="bottom"/>
          </w:tcPr>
          <w:p w14:paraId="34CFB7EB" w14:textId="77777777" w:rsidR="00C217FF" w:rsidRPr="000F120F" w:rsidRDefault="00C217FF" w:rsidP="00F36942">
            <w:pPr>
              <w:pStyle w:val="Tabletext"/>
              <w:rPr>
                <w:snapToGrid w:val="0"/>
              </w:rPr>
            </w:pPr>
            <w:r w:rsidRPr="00295986">
              <w:t>13</w:t>
            </w:r>
            <w:r w:rsidR="00D7157D">
              <w:t>.</w:t>
            </w:r>
            <w:r w:rsidRPr="00295986">
              <w:t>5425</w:t>
            </w:r>
          </w:p>
        </w:tc>
        <w:tc>
          <w:tcPr>
            <w:tcW w:w="966" w:type="pct"/>
            <w:tcBorders>
              <w:top w:val="single" w:sz="4" w:space="0" w:color="auto"/>
              <w:bottom w:val="single" w:sz="4" w:space="0" w:color="auto"/>
            </w:tcBorders>
            <w:vAlign w:val="bottom"/>
          </w:tcPr>
          <w:p w14:paraId="1FCF76DC" w14:textId="77777777" w:rsidR="00C217FF" w:rsidRPr="000F120F" w:rsidRDefault="00C217FF" w:rsidP="00F36942">
            <w:pPr>
              <w:pStyle w:val="Tabletext"/>
              <w:rPr>
                <w:snapToGrid w:val="0"/>
              </w:rPr>
            </w:pPr>
            <w:r w:rsidRPr="00295986">
              <w:t>0</w:t>
            </w:r>
            <w:r w:rsidR="00D7157D">
              <w:t>.</w:t>
            </w:r>
            <w:r w:rsidRPr="00295986">
              <w:t>1360</w:t>
            </w:r>
          </w:p>
        </w:tc>
      </w:tr>
      <w:tr w:rsidR="00C217FF" w:rsidRPr="009E2595" w14:paraId="3619E4B2" w14:textId="77777777" w:rsidTr="00F36942">
        <w:trPr>
          <w:cantSplit/>
        </w:trPr>
        <w:tc>
          <w:tcPr>
            <w:tcW w:w="1136" w:type="pct"/>
            <w:tcBorders>
              <w:top w:val="single" w:sz="4" w:space="0" w:color="auto"/>
              <w:bottom w:val="single" w:sz="4" w:space="0" w:color="auto"/>
            </w:tcBorders>
          </w:tcPr>
          <w:p w14:paraId="70339E6E" w14:textId="77777777" w:rsidR="00C217FF" w:rsidRPr="00616B26" w:rsidRDefault="00C217FF" w:rsidP="00F36942">
            <w:pPr>
              <w:pStyle w:val="Tabletext"/>
              <w:rPr>
                <w:snapToGrid w:val="0"/>
              </w:rPr>
            </w:pPr>
            <w:r w:rsidRPr="00616B26">
              <w:rPr>
                <w:snapToGrid w:val="0"/>
              </w:rPr>
              <w:t>75</w:t>
            </w:r>
          </w:p>
        </w:tc>
        <w:tc>
          <w:tcPr>
            <w:tcW w:w="966" w:type="pct"/>
            <w:tcBorders>
              <w:top w:val="single" w:sz="4" w:space="0" w:color="auto"/>
              <w:bottom w:val="single" w:sz="4" w:space="0" w:color="auto"/>
            </w:tcBorders>
            <w:vAlign w:val="bottom"/>
          </w:tcPr>
          <w:p w14:paraId="0751DEDF" w14:textId="77777777" w:rsidR="00C217FF" w:rsidRPr="000F120F" w:rsidRDefault="00C217FF" w:rsidP="00F36942">
            <w:pPr>
              <w:pStyle w:val="Tabletext"/>
              <w:rPr>
                <w:snapToGrid w:val="0"/>
              </w:rPr>
            </w:pPr>
            <w:r w:rsidRPr="00295986">
              <w:t>11</w:t>
            </w:r>
            <w:r w:rsidR="00D7157D">
              <w:t>.</w:t>
            </w:r>
            <w:r w:rsidRPr="00295986">
              <w:t>6846</w:t>
            </w:r>
          </w:p>
        </w:tc>
        <w:tc>
          <w:tcPr>
            <w:tcW w:w="966" w:type="pct"/>
            <w:tcBorders>
              <w:top w:val="single" w:sz="4" w:space="0" w:color="auto"/>
              <w:bottom w:val="single" w:sz="4" w:space="0" w:color="auto"/>
            </w:tcBorders>
            <w:vAlign w:val="bottom"/>
          </w:tcPr>
          <w:p w14:paraId="6ADFBCB1" w14:textId="77777777" w:rsidR="00C217FF" w:rsidRPr="000F120F" w:rsidRDefault="00C217FF" w:rsidP="00F36942">
            <w:pPr>
              <w:pStyle w:val="Tabletext"/>
              <w:rPr>
                <w:snapToGrid w:val="0"/>
              </w:rPr>
            </w:pPr>
            <w:r w:rsidRPr="00295986">
              <w:t>0</w:t>
            </w:r>
            <w:r w:rsidR="00D7157D">
              <w:t>.</w:t>
            </w:r>
            <w:r w:rsidRPr="00295986">
              <w:t>5428</w:t>
            </w:r>
          </w:p>
        </w:tc>
        <w:tc>
          <w:tcPr>
            <w:tcW w:w="966" w:type="pct"/>
            <w:tcBorders>
              <w:top w:val="single" w:sz="4" w:space="0" w:color="auto"/>
              <w:bottom w:val="single" w:sz="4" w:space="0" w:color="auto"/>
            </w:tcBorders>
            <w:vAlign w:val="bottom"/>
          </w:tcPr>
          <w:p w14:paraId="2456CE89" w14:textId="77777777" w:rsidR="00C217FF" w:rsidRPr="000F120F" w:rsidRDefault="00C217FF" w:rsidP="00F36942">
            <w:pPr>
              <w:pStyle w:val="Tabletext"/>
              <w:rPr>
                <w:snapToGrid w:val="0"/>
              </w:rPr>
            </w:pPr>
            <w:r w:rsidRPr="00295986">
              <w:t>12</w:t>
            </w:r>
            <w:r w:rsidR="00D7157D">
              <w:t>.</w:t>
            </w:r>
            <w:r w:rsidRPr="00295986">
              <w:t>9692</w:t>
            </w:r>
          </w:p>
        </w:tc>
        <w:tc>
          <w:tcPr>
            <w:tcW w:w="966" w:type="pct"/>
            <w:tcBorders>
              <w:top w:val="single" w:sz="4" w:space="0" w:color="auto"/>
              <w:bottom w:val="single" w:sz="4" w:space="0" w:color="auto"/>
            </w:tcBorders>
            <w:vAlign w:val="bottom"/>
          </w:tcPr>
          <w:p w14:paraId="313E178A" w14:textId="77777777" w:rsidR="00C217FF" w:rsidRPr="000F120F" w:rsidRDefault="00C217FF" w:rsidP="00F36942">
            <w:pPr>
              <w:pStyle w:val="Tabletext"/>
              <w:rPr>
                <w:snapToGrid w:val="0"/>
              </w:rPr>
            </w:pPr>
            <w:r w:rsidRPr="00295986">
              <w:t>0</w:t>
            </w:r>
            <w:r w:rsidR="00D7157D">
              <w:t>.</w:t>
            </w:r>
            <w:r w:rsidRPr="00295986">
              <w:t>1365</w:t>
            </w:r>
          </w:p>
        </w:tc>
      </w:tr>
      <w:tr w:rsidR="00C217FF" w:rsidRPr="009E2595" w14:paraId="62FEC61D" w14:textId="77777777" w:rsidTr="00F36942">
        <w:trPr>
          <w:cantSplit/>
        </w:trPr>
        <w:tc>
          <w:tcPr>
            <w:tcW w:w="1136" w:type="pct"/>
            <w:tcBorders>
              <w:top w:val="single" w:sz="4" w:space="0" w:color="auto"/>
              <w:bottom w:val="single" w:sz="4" w:space="0" w:color="auto"/>
            </w:tcBorders>
          </w:tcPr>
          <w:p w14:paraId="1A675928" w14:textId="77777777" w:rsidR="00C217FF" w:rsidRPr="00616B26" w:rsidRDefault="00C217FF" w:rsidP="00F36942">
            <w:pPr>
              <w:pStyle w:val="Tabletext"/>
              <w:rPr>
                <w:snapToGrid w:val="0"/>
              </w:rPr>
            </w:pPr>
            <w:r w:rsidRPr="00616B26">
              <w:rPr>
                <w:snapToGrid w:val="0"/>
              </w:rPr>
              <w:t>76</w:t>
            </w:r>
          </w:p>
        </w:tc>
        <w:tc>
          <w:tcPr>
            <w:tcW w:w="966" w:type="pct"/>
            <w:tcBorders>
              <w:top w:val="single" w:sz="4" w:space="0" w:color="auto"/>
              <w:bottom w:val="single" w:sz="4" w:space="0" w:color="auto"/>
            </w:tcBorders>
            <w:vAlign w:val="bottom"/>
          </w:tcPr>
          <w:p w14:paraId="09D41ADE" w14:textId="77777777" w:rsidR="00C217FF" w:rsidRPr="000F120F" w:rsidRDefault="00C217FF" w:rsidP="00F36942">
            <w:pPr>
              <w:pStyle w:val="Tabletext"/>
              <w:rPr>
                <w:snapToGrid w:val="0"/>
              </w:rPr>
            </w:pPr>
            <w:r w:rsidRPr="00295986">
              <w:t>11</w:t>
            </w:r>
            <w:r w:rsidR="00D7157D">
              <w:t>.</w:t>
            </w:r>
            <w:r w:rsidRPr="00295986">
              <w:t>1091</w:t>
            </w:r>
          </w:p>
        </w:tc>
        <w:tc>
          <w:tcPr>
            <w:tcW w:w="966" w:type="pct"/>
            <w:tcBorders>
              <w:top w:val="single" w:sz="4" w:space="0" w:color="auto"/>
              <w:bottom w:val="single" w:sz="4" w:space="0" w:color="auto"/>
            </w:tcBorders>
            <w:vAlign w:val="bottom"/>
          </w:tcPr>
          <w:p w14:paraId="29176721" w14:textId="77777777" w:rsidR="00C217FF" w:rsidRPr="000F120F" w:rsidRDefault="00C217FF" w:rsidP="00F36942">
            <w:pPr>
              <w:pStyle w:val="Tabletext"/>
              <w:rPr>
                <w:snapToGrid w:val="0"/>
              </w:rPr>
            </w:pPr>
            <w:r w:rsidRPr="00295986">
              <w:t>0</w:t>
            </w:r>
            <w:r w:rsidR="00D7157D">
              <w:t>.</w:t>
            </w:r>
            <w:r w:rsidRPr="00295986">
              <w:t>5449</w:t>
            </w:r>
          </w:p>
        </w:tc>
        <w:tc>
          <w:tcPr>
            <w:tcW w:w="966" w:type="pct"/>
            <w:tcBorders>
              <w:top w:val="single" w:sz="4" w:space="0" w:color="auto"/>
              <w:bottom w:val="single" w:sz="4" w:space="0" w:color="auto"/>
            </w:tcBorders>
            <w:vAlign w:val="bottom"/>
          </w:tcPr>
          <w:p w14:paraId="01DC2479" w14:textId="77777777" w:rsidR="00C217FF" w:rsidRPr="000F120F" w:rsidRDefault="00C217FF" w:rsidP="00F36942">
            <w:pPr>
              <w:pStyle w:val="Tabletext"/>
              <w:rPr>
                <w:snapToGrid w:val="0"/>
              </w:rPr>
            </w:pPr>
            <w:r w:rsidRPr="00295986">
              <w:t>12</w:t>
            </w:r>
            <w:r w:rsidR="00D7157D">
              <w:t>.</w:t>
            </w:r>
            <w:r w:rsidRPr="00295986">
              <w:t>3895</w:t>
            </w:r>
          </w:p>
        </w:tc>
        <w:tc>
          <w:tcPr>
            <w:tcW w:w="966" w:type="pct"/>
            <w:tcBorders>
              <w:top w:val="single" w:sz="4" w:space="0" w:color="auto"/>
              <w:bottom w:val="single" w:sz="4" w:space="0" w:color="auto"/>
            </w:tcBorders>
            <w:vAlign w:val="bottom"/>
          </w:tcPr>
          <w:p w14:paraId="756FF45F" w14:textId="77777777" w:rsidR="00C217FF" w:rsidRPr="000F120F" w:rsidRDefault="00C217FF" w:rsidP="00F36942">
            <w:pPr>
              <w:pStyle w:val="Tabletext"/>
              <w:rPr>
                <w:snapToGrid w:val="0"/>
              </w:rPr>
            </w:pPr>
            <w:r w:rsidRPr="00295986">
              <w:t>0</w:t>
            </w:r>
            <w:r w:rsidR="00D7157D">
              <w:t>.</w:t>
            </w:r>
            <w:r w:rsidRPr="00295986">
              <w:t>1369</w:t>
            </w:r>
          </w:p>
        </w:tc>
      </w:tr>
      <w:tr w:rsidR="00C217FF" w:rsidRPr="009E2595" w14:paraId="6DA0B277" w14:textId="77777777" w:rsidTr="00F36942">
        <w:trPr>
          <w:cantSplit/>
        </w:trPr>
        <w:tc>
          <w:tcPr>
            <w:tcW w:w="1136" w:type="pct"/>
            <w:tcBorders>
              <w:top w:val="single" w:sz="4" w:space="0" w:color="auto"/>
              <w:bottom w:val="single" w:sz="4" w:space="0" w:color="auto"/>
            </w:tcBorders>
          </w:tcPr>
          <w:p w14:paraId="63034324" w14:textId="77777777" w:rsidR="00C217FF" w:rsidRPr="00616B26" w:rsidRDefault="00C217FF" w:rsidP="00F36942">
            <w:pPr>
              <w:pStyle w:val="Tabletext"/>
              <w:rPr>
                <w:snapToGrid w:val="0"/>
              </w:rPr>
            </w:pPr>
            <w:r w:rsidRPr="00616B26">
              <w:rPr>
                <w:snapToGrid w:val="0"/>
              </w:rPr>
              <w:t>77</w:t>
            </w:r>
          </w:p>
        </w:tc>
        <w:tc>
          <w:tcPr>
            <w:tcW w:w="966" w:type="pct"/>
            <w:tcBorders>
              <w:top w:val="single" w:sz="4" w:space="0" w:color="auto"/>
              <w:bottom w:val="single" w:sz="4" w:space="0" w:color="auto"/>
            </w:tcBorders>
            <w:vAlign w:val="bottom"/>
          </w:tcPr>
          <w:p w14:paraId="0F33988B" w14:textId="77777777" w:rsidR="00C217FF" w:rsidRPr="000F120F" w:rsidRDefault="00C217FF" w:rsidP="00F36942">
            <w:pPr>
              <w:pStyle w:val="Tabletext"/>
              <w:rPr>
                <w:snapToGrid w:val="0"/>
              </w:rPr>
            </w:pPr>
            <w:r w:rsidRPr="00295986">
              <w:t>10</w:t>
            </w:r>
            <w:r w:rsidR="00D7157D">
              <w:t>.</w:t>
            </w:r>
            <w:r w:rsidRPr="00295986">
              <w:t>5349</w:t>
            </w:r>
          </w:p>
        </w:tc>
        <w:tc>
          <w:tcPr>
            <w:tcW w:w="966" w:type="pct"/>
            <w:tcBorders>
              <w:top w:val="single" w:sz="4" w:space="0" w:color="auto"/>
              <w:bottom w:val="single" w:sz="4" w:space="0" w:color="auto"/>
            </w:tcBorders>
            <w:vAlign w:val="bottom"/>
          </w:tcPr>
          <w:p w14:paraId="496FC584" w14:textId="77777777" w:rsidR="00C217FF" w:rsidRPr="000F120F" w:rsidRDefault="00C217FF" w:rsidP="00F36942">
            <w:pPr>
              <w:pStyle w:val="Tabletext"/>
              <w:rPr>
                <w:snapToGrid w:val="0"/>
              </w:rPr>
            </w:pPr>
            <w:r w:rsidRPr="00295986">
              <w:t>0</w:t>
            </w:r>
            <w:r w:rsidR="00D7157D">
              <w:t>.</w:t>
            </w:r>
            <w:r w:rsidRPr="00295986">
              <w:t>5460</w:t>
            </w:r>
          </w:p>
        </w:tc>
        <w:tc>
          <w:tcPr>
            <w:tcW w:w="966" w:type="pct"/>
            <w:tcBorders>
              <w:top w:val="single" w:sz="4" w:space="0" w:color="auto"/>
              <w:bottom w:val="single" w:sz="4" w:space="0" w:color="auto"/>
            </w:tcBorders>
            <w:vAlign w:val="bottom"/>
          </w:tcPr>
          <w:p w14:paraId="5FF93B8F" w14:textId="77777777" w:rsidR="00C217FF" w:rsidRPr="000F120F" w:rsidRDefault="00C217FF" w:rsidP="00F36942">
            <w:pPr>
              <w:pStyle w:val="Tabletext"/>
              <w:rPr>
                <w:snapToGrid w:val="0"/>
              </w:rPr>
            </w:pPr>
            <w:r w:rsidRPr="00295986">
              <w:t>11</w:t>
            </w:r>
            <w:r w:rsidR="00D7157D">
              <w:t>.</w:t>
            </w:r>
            <w:r w:rsidRPr="00295986">
              <w:t>8058</w:t>
            </w:r>
          </w:p>
        </w:tc>
        <w:tc>
          <w:tcPr>
            <w:tcW w:w="966" w:type="pct"/>
            <w:tcBorders>
              <w:top w:val="single" w:sz="4" w:space="0" w:color="auto"/>
              <w:bottom w:val="single" w:sz="4" w:space="0" w:color="auto"/>
            </w:tcBorders>
            <w:vAlign w:val="bottom"/>
          </w:tcPr>
          <w:p w14:paraId="776EB849" w14:textId="77777777" w:rsidR="00C217FF" w:rsidRPr="000F120F" w:rsidRDefault="00C217FF" w:rsidP="00F36942">
            <w:pPr>
              <w:pStyle w:val="Tabletext"/>
              <w:rPr>
                <w:snapToGrid w:val="0"/>
              </w:rPr>
            </w:pPr>
            <w:r w:rsidRPr="00295986">
              <w:t>0</w:t>
            </w:r>
            <w:r w:rsidR="00D7157D">
              <w:t>.</w:t>
            </w:r>
            <w:r w:rsidRPr="00295986">
              <w:t>1372</w:t>
            </w:r>
          </w:p>
        </w:tc>
      </w:tr>
      <w:tr w:rsidR="00C217FF" w:rsidRPr="009E2595" w14:paraId="041461A0" w14:textId="77777777" w:rsidTr="00F36942">
        <w:trPr>
          <w:cantSplit/>
        </w:trPr>
        <w:tc>
          <w:tcPr>
            <w:tcW w:w="1136" w:type="pct"/>
            <w:tcBorders>
              <w:top w:val="single" w:sz="4" w:space="0" w:color="auto"/>
              <w:bottom w:val="single" w:sz="4" w:space="0" w:color="auto"/>
            </w:tcBorders>
          </w:tcPr>
          <w:p w14:paraId="48EB7970" w14:textId="77777777" w:rsidR="00C217FF" w:rsidRPr="00616B26" w:rsidRDefault="00C217FF" w:rsidP="00F36942">
            <w:pPr>
              <w:pStyle w:val="Tabletext"/>
              <w:rPr>
                <w:snapToGrid w:val="0"/>
              </w:rPr>
            </w:pPr>
            <w:r w:rsidRPr="00616B26">
              <w:rPr>
                <w:snapToGrid w:val="0"/>
              </w:rPr>
              <w:t>78</w:t>
            </w:r>
          </w:p>
        </w:tc>
        <w:tc>
          <w:tcPr>
            <w:tcW w:w="966" w:type="pct"/>
            <w:tcBorders>
              <w:top w:val="single" w:sz="4" w:space="0" w:color="auto"/>
              <w:bottom w:val="single" w:sz="4" w:space="0" w:color="auto"/>
            </w:tcBorders>
            <w:vAlign w:val="bottom"/>
          </w:tcPr>
          <w:p w14:paraId="0C9EA16C" w14:textId="77777777" w:rsidR="00C217FF" w:rsidRPr="000F120F" w:rsidRDefault="00C217FF" w:rsidP="00F36942">
            <w:pPr>
              <w:pStyle w:val="Tabletext"/>
              <w:rPr>
                <w:snapToGrid w:val="0"/>
              </w:rPr>
            </w:pPr>
            <w:r w:rsidRPr="00295986">
              <w:t>9</w:t>
            </w:r>
            <w:r w:rsidR="00D7157D">
              <w:t>.</w:t>
            </w:r>
            <w:r w:rsidRPr="00295986">
              <w:t>9639</w:t>
            </w:r>
          </w:p>
        </w:tc>
        <w:tc>
          <w:tcPr>
            <w:tcW w:w="966" w:type="pct"/>
            <w:tcBorders>
              <w:top w:val="single" w:sz="4" w:space="0" w:color="auto"/>
              <w:bottom w:val="single" w:sz="4" w:space="0" w:color="auto"/>
            </w:tcBorders>
            <w:vAlign w:val="bottom"/>
          </w:tcPr>
          <w:p w14:paraId="3CA356A5" w14:textId="77777777" w:rsidR="00C217FF" w:rsidRPr="000F120F" w:rsidRDefault="00C217FF" w:rsidP="00F36942">
            <w:pPr>
              <w:pStyle w:val="Tabletext"/>
              <w:rPr>
                <w:snapToGrid w:val="0"/>
              </w:rPr>
            </w:pPr>
            <w:r w:rsidRPr="00295986">
              <w:t>0</w:t>
            </w:r>
            <w:r w:rsidR="00D7157D">
              <w:t>.</w:t>
            </w:r>
            <w:r w:rsidRPr="00295986">
              <w:t>5459</w:t>
            </w:r>
          </w:p>
        </w:tc>
        <w:tc>
          <w:tcPr>
            <w:tcW w:w="966" w:type="pct"/>
            <w:tcBorders>
              <w:top w:val="single" w:sz="4" w:space="0" w:color="auto"/>
              <w:bottom w:val="single" w:sz="4" w:space="0" w:color="auto"/>
            </w:tcBorders>
            <w:vAlign w:val="bottom"/>
          </w:tcPr>
          <w:p w14:paraId="613FCA70" w14:textId="77777777" w:rsidR="00C217FF" w:rsidRPr="000F120F" w:rsidRDefault="00C217FF" w:rsidP="00F36942">
            <w:pPr>
              <w:pStyle w:val="Tabletext"/>
              <w:rPr>
                <w:snapToGrid w:val="0"/>
              </w:rPr>
            </w:pPr>
            <w:r w:rsidRPr="00295986">
              <w:t>11</w:t>
            </w:r>
            <w:r w:rsidR="00D7157D">
              <w:t>.</w:t>
            </w:r>
            <w:r w:rsidRPr="00295986">
              <w:t>2207</w:t>
            </w:r>
          </w:p>
        </w:tc>
        <w:tc>
          <w:tcPr>
            <w:tcW w:w="966" w:type="pct"/>
            <w:tcBorders>
              <w:top w:val="single" w:sz="4" w:space="0" w:color="auto"/>
              <w:bottom w:val="single" w:sz="4" w:space="0" w:color="auto"/>
            </w:tcBorders>
            <w:vAlign w:val="bottom"/>
          </w:tcPr>
          <w:p w14:paraId="67460400" w14:textId="77777777" w:rsidR="00C217FF" w:rsidRPr="000F120F" w:rsidRDefault="00C217FF" w:rsidP="00F36942">
            <w:pPr>
              <w:pStyle w:val="Tabletext"/>
              <w:rPr>
                <w:snapToGrid w:val="0"/>
              </w:rPr>
            </w:pPr>
            <w:r w:rsidRPr="00295986">
              <w:t>0</w:t>
            </w:r>
            <w:r w:rsidR="00D7157D">
              <w:t>.</w:t>
            </w:r>
            <w:r w:rsidRPr="00295986">
              <w:t>1372</w:t>
            </w:r>
          </w:p>
        </w:tc>
      </w:tr>
      <w:tr w:rsidR="00C217FF" w:rsidRPr="009E2595" w14:paraId="43267B05" w14:textId="77777777" w:rsidTr="00F36942">
        <w:trPr>
          <w:cantSplit/>
        </w:trPr>
        <w:tc>
          <w:tcPr>
            <w:tcW w:w="1136" w:type="pct"/>
            <w:tcBorders>
              <w:top w:val="single" w:sz="4" w:space="0" w:color="auto"/>
              <w:bottom w:val="single" w:sz="4" w:space="0" w:color="auto"/>
            </w:tcBorders>
          </w:tcPr>
          <w:p w14:paraId="1CF1E0A3" w14:textId="77777777" w:rsidR="00C217FF" w:rsidRPr="00616B26" w:rsidRDefault="00C217FF" w:rsidP="00F36942">
            <w:pPr>
              <w:pStyle w:val="Tabletext"/>
              <w:rPr>
                <w:snapToGrid w:val="0"/>
              </w:rPr>
            </w:pPr>
            <w:r w:rsidRPr="00616B26">
              <w:rPr>
                <w:snapToGrid w:val="0"/>
              </w:rPr>
              <w:t>79</w:t>
            </w:r>
          </w:p>
        </w:tc>
        <w:tc>
          <w:tcPr>
            <w:tcW w:w="966" w:type="pct"/>
            <w:tcBorders>
              <w:top w:val="single" w:sz="4" w:space="0" w:color="auto"/>
              <w:bottom w:val="single" w:sz="4" w:space="0" w:color="auto"/>
            </w:tcBorders>
            <w:vAlign w:val="bottom"/>
          </w:tcPr>
          <w:p w14:paraId="064398D2" w14:textId="77777777" w:rsidR="00C217FF" w:rsidRPr="000F120F" w:rsidRDefault="00C217FF" w:rsidP="00F36942">
            <w:pPr>
              <w:pStyle w:val="Tabletext"/>
              <w:rPr>
                <w:snapToGrid w:val="0"/>
              </w:rPr>
            </w:pPr>
            <w:r w:rsidRPr="00295986">
              <w:t>9</w:t>
            </w:r>
            <w:r w:rsidR="00D7157D">
              <w:t>.</w:t>
            </w:r>
            <w:r w:rsidRPr="00295986">
              <w:t>4003</w:t>
            </w:r>
          </w:p>
        </w:tc>
        <w:tc>
          <w:tcPr>
            <w:tcW w:w="966" w:type="pct"/>
            <w:tcBorders>
              <w:top w:val="single" w:sz="4" w:space="0" w:color="auto"/>
              <w:bottom w:val="single" w:sz="4" w:space="0" w:color="auto"/>
            </w:tcBorders>
            <w:vAlign w:val="bottom"/>
          </w:tcPr>
          <w:p w14:paraId="6A4A6E54" w14:textId="77777777" w:rsidR="00C217FF" w:rsidRPr="000F120F" w:rsidRDefault="00C217FF" w:rsidP="00F36942">
            <w:pPr>
              <w:pStyle w:val="Tabletext"/>
              <w:rPr>
                <w:snapToGrid w:val="0"/>
              </w:rPr>
            </w:pPr>
            <w:r w:rsidRPr="00295986">
              <w:t>0</w:t>
            </w:r>
            <w:r w:rsidR="00D7157D">
              <w:t>.</w:t>
            </w:r>
            <w:r w:rsidRPr="00295986">
              <w:t>5443</w:t>
            </w:r>
          </w:p>
        </w:tc>
        <w:tc>
          <w:tcPr>
            <w:tcW w:w="966" w:type="pct"/>
            <w:tcBorders>
              <w:top w:val="single" w:sz="4" w:space="0" w:color="auto"/>
              <w:bottom w:val="single" w:sz="4" w:space="0" w:color="auto"/>
            </w:tcBorders>
            <w:vAlign w:val="bottom"/>
          </w:tcPr>
          <w:p w14:paraId="447775A4" w14:textId="77777777" w:rsidR="00C217FF" w:rsidRPr="000F120F" w:rsidRDefault="00C217FF" w:rsidP="00F36942">
            <w:pPr>
              <w:pStyle w:val="Tabletext"/>
              <w:rPr>
                <w:snapToGrid w:val="0"/>
              </w:rPr>
            </w:pPr>
            <w:r w:rsidRPr="00295986">
              <w:t>10</w:t>
            </w:r>
            <w:r w:rsidR="00D7157D">
              <w:t>.</w:t>
            </w:r>
            <w:r w:rsidRPr="00295986">
              <w:t>6379</w:t>
            </w:r>
          </w:p>
        </w:tc>
        <w:tc>
          <w:tcPr>
            <w:tcW w:w="966" w:type="pct"/>
            <w:tcBorders>
              <w:top w:val="single" w:sz="4" w:space="0" w:color="auto"/>
              <w:bottom w:val="single" w:sz="4" w:space="0" w:color="auto"/>
            </w:tcBorders>
            <w:vAlign w:val="bottom"/>
          </w:tcPr>
          <w:p w14:paraId="35E8E859" w14:textId="77777777" w:rsidR="00C217FF" w:rsidRPr="000F120F" w:rsidRDefault="00C217FF" w:rsidP="00F36942">
            <w:pPr>
              <w:pStyle w:val="Tabletext"/>
              <w:rPr>
                <w:snapToGrid w:val="0"/>
              </w:rPr>
            </w:pPr>
            <w:r w:rsidRPr="00295986">
              <w:t>0</w:t>
            </w:r>
            <w:r w:rsidR="00D7157D">
              <w:t>.</w:t>
            </w:r>
            <w:r w:rsidRPr="00295986">
              <w:t>1369</w:t>
            </w:r>
          </w:p>
        </w:tc>
      </w:tr>
      <w:tr w:rsidR="00C217FF" w:rsidRPr="009E2595" w14:paraId="40290A6A" w14:textId="77777777" w:rsidTr="00F36942">
        <w:trPr>
          <w:cantSplit/>
        </w:trPr>
        <w:tc>
          <w:tcPr>
            <w:tcW w:w="1136" w:type="pct"/>
            <w:tcBorders>
              <w:top w:val="single" w:sz="4" w:space="0" w:color="auto"/>
              <w:bottom w:val="single" w:sz="4" w:space="0" w:color="auto"/>
            </w:tcBorders>
          </w:tcPr>
          <w:p w14:paraId="364A3CBE" w14:textId="77777777" w:rsidR="00C217FF" w:rsidRPr="00616B26" w:rsidRDefault="00C217FF" w:rsidP="00F36942">
            <w:pPr>
              <w:pStyle w:val="Tabletext"/>
              <w:rPr>
                <w:snapToGrid w:val="0"/>
              </w:rPr>
            </w:pPr>
            <w:r w:rsidRPr="00616B26">
              <w:rPr>
                <w:snapToGrid w:val="0"/>
              </w:rPr>
              <w:t>80</w:t>
            </w:r>
          </w:p>
        </w:tc>
        <w:tc>
          <w:tcPr>
            <w:tcW w:w="966" w:type="pct"/>
            <w:tcBorders>
              <w:top w:val="single" w:sz="4" w:space="0" w:color="auto"/>
              <w:bottom w:val="single" w:sz="4" w:space="0" w:color="auto"/>
            </w:tcBorders>
            <w:vAlign w:val="bottom"/>
          </w:tcPr>
          <w:p w14:paraId="59091B44" w14:textId="77777777" w:rsidR="00C217FF" w:rsidRPr="000F120F" w:rsidRDefault="00C217FF" w:rsidP="00F36942">
            <w:pPr>
              <w:pStyle w:val="Tabletext"/>
              <w:rPr>
                <w:snapToGrid w:val="0"/>
              </w:rPr>
            </w:pPr>
            <w:r w:rsidRPr="00295986">
              <w:t>8</w:t>
            </w:r>
            <w:r w:rsidR="00D7157D">
              <w:t>.</w:t>
            </w:r>
            <w:r w:rsidRPr="00295986">
              <w:t>8470</w:t>
            </w:r>
          </w:p>
        </w:tc>
        <w:tc>
          <w:tcPr>
            <w:tcW w:w="966" w:type="pct"/>
            <w:tcBorders>
              <w:top w:val="single" w:sz="4" w:space="0" w:color="auto"/>
              <w:bottom w:val="single" w:sz="4" w:space="0" w:color="auto"/>
            </w:tcBorders>
            <w:vAlign w:val="bottom"/>
          </w:tcPr>
          <w:p w14:paraId="4D67DC2A" w14:textId="77777777" w:rsidR="00C217FF" w:rsidRPr="000F120F" w:rsidRDefault="00C217FF" w:rsidP="00F36942">
            <w:pPr>
              <w:pStyle w:val="Tabletext"/>
              <w:rPr>
                <w:snapToGrid w:val="0"/>
              </w:rPr>
            </w:pPr>
            <w:r w:rsidRPr="00295986">
              <w:t>0</w:t>
            </w:r>
            <w:r w:rsidR="00D7157D">
              <w:t>.</w:t>
            </w:r>
            <w:r w:rsidRPr="00295986">
              <w:t>5412</w:t>
            </w:r>
          </w:p>
        </w:tc>
        <w:tc>
          <w:tcPr>
            <w:tcW w:w="966" w:type="pct"/>
            <w:tcBorders>
              <w:top w:val="single" w:sz="4" w:space="0" w:color="auto"/>
              <w:bottom w:val="single" w:sz="4" w:space="0" w:color="auto"/>
            </w:tcBorders>
            <w:vAlign w:val="bottom"/>
          </w:tcPr>
          <w:p w14:paraId="247616A5" w14:textId="77777777" w:rsidR="00C217FF" w:rsidRPr="000F120F" w:rsidRDefault="00C217FF" w:rsidP="00F36942">
            <w:pPr>
              <w:pStyle w:val="Tabletext"/>
              <w:rPr>
                <w:snapToGrid w:val="0"/>
              </w:rPr>
            </w:pPr>
            <w:r w:rsidRPr="00295986">
              <w:t>10</w:t>
            </w:r>
            <w:r w:rsidR="00D7157D">
              <w:t>.</w:t>
            </w:r>
            <w:r w:rsidRPr="00295986">
              <w:t>0601</w:t>
            </w:r>
          </w:p>
        </w:tc>
        <w:tc>
          <w:tcPr>
            <w:tcW w:w="966" w:type="pct"/>
            <w:tcBorders>
              <w:top w:val="single" w:sz="4" w:space="0" w:color="auto"/>
              <w:bottom w:val="single" w:sz="4" w:space="0" w:color="auto"/>
            </w:tcBorders>
            <w:vAlign w:val="bottom"/>
          </w:tcPr>
          <w:p w14:paraId="614F742F" w14:textId="77777777" w:rsidR="00C217FF" w:rsidRPr="000F120F" w:rsidRDefault="00C217FF" w:rsidP="00F36942">
            <w:pPr>
              <w:pStyle w:val="Tabletext"/>
              <w:rPr>
                <w:snapToGrid w:val="0"/>
              </w:rPr>
            </w:pPr>
            <w:r w:rsidRPr="00295986">
              <w:t>0</w:t>
            </w:r>
            <w:r w:rsidR="00D7157D">
              <w:t>.</w:t>
            </w:r>
            <w:r w:rsidRPr="00295986">
              <w:t>1363</w:t>
            </w:r>
          </w:p>
        </w:tc>
      </w:tr>
      <w:tr w:rsidR="00C217FF" w:rsidRPr="009E2595" w14:paraId="66595375" w14:textId="77777777" w:rsidTr="00F36942">
        <w:trPr>
          <w:cantSplit/>
        </w:trPr>
        <w:tc>
          <w:tcPr>
            <w:tcW w:w="1136" w:type="pct"/>
            <w:tcBorders>
              <w:top w:val="single" w:sz="4" w:space="0" w:color="auto"/>
              <w:bottom w:val="single" w:sz="4" w:space="0" w:color="auto"/>
            </w:tcBorders>
          </w:tcPr>
          <w:p w14:paraId="01814819" w14:textId="77777777" w:rsidR="00C217FF" w:rsidRPr="00616B26" w:rsidRDefault="00C217FF" w:rsidP="00F36942">
            <w:pPr>
              <w:pStyle w:val="Tabletext"/>
              <w:rPr>
                <w:snapToGrid w:val="0"/>
              </w:rPr>
            </w:pPr>
            <w:r w:rsidRPr="00616B26">
              <w:rPr>
                <w:snapToGrid w:val="0"/>
              </w:rPr>
              <w:t>81</w:t>
            </w:r>
          </w:p>
        </w:tc>
        <w:tc>
          <w:tcPr>
            <w:tcW w:w="966" w:type="pct"/>
            <w:tcBorders>
              <w:top w:val="single" w:sz="4" w:space="0" w:color="auto"/>
              <w:bottom w:val="single" w:sz="4" w:space="0" w:color="auto"/>
            </w:tcBorders>
            <w:vAlign w:val="bottom"/>
          </w:tcPr>
          <w:p w14:paraId="57B7946A" w14:textId="77777777" w:rsidR="00C217FF" w:rsidRPr="000F120F" w:rsidRDefault="00C217FF" w:rsidP="00F36942">
            <w:pPr>
              <w:pStyle w:val="Tabletext"/>
              <w:rPr>
                <w:snapToGrid w:val="0"/>
              </w:rPr>
            </w:pPr>
            <w:r w:rsidRPr="00295986">
              <w:t>8</w:t>
            </w:r>
            <w:r w:rsidR="00D7157D">
              <w:t>.</w:t>
            </w:r>
            <w:r w:rsidRPr="00295986">
              <w:t>3072</w:t>
            </w:r>
          </w:p>
        </w:tc>
        <w:tc>
          <w:tcPr>
            <w:tcW w:w="966" w:type="pct"/>
            <w:tcBorders>
              <w:top w:val="single" w:sz="4" w:space="0" w:color="auto"/>
              <w:bottom w:val="single" w:sz="4" w:space="0" w:color="auto"/>
            </w:tcBorders>
            <w:vAlign w:val="bottom"/>
          </w:tcPr>
          <w:p w14:paraId="38C57C3A" w14:textId="77777777" w:rsidR="00C217FF" w:rsidRPr="000F120F" w:rsidRDefault="00C217FF" w:rsidP="00F36942">
            <w:pPr>
              <w:pStyle w:val="Tabletext"/>
              <w:rPr>
                <w:snapToGrid w:val="0"/>
              </w:rPr>
            </w:pPr>
            <w:r w:rsidRPr="00295986">
              <w:t>0</w:t>
            </w:r>
            <w:r w:rsidR="00D7157D">
              <w:t>.</w:t>
            </w:r>
            <w:r w:rsidRPr="00295986">
              <w:t>5364</w:t>
            </w:r>
          </w:p>
        </w:tc>
        <w:tc>
          <w:tcPr>
            <w:tcW w:w="966" w:type="pct"/>
            <w:tcBorders>
              <w:top w:val="single" w:sz="4" w:space="0" w:color="auto"/>
              <w:bottom w:val="single" w:sz="4" w:space="0" w:color="auto"/>
            </w:tcBorders>
            <w:vAlign w:val="bottom"/>
          </w:tcPr>
          <w:p w14:paraId="0B3B9A96" w14:textId="77777777" w:rsidR="00C217FF" w:rsidRPr="000F120F" w:rsidRDefault="00C217FF" w:rsidP="00F36942">
            <w:pPr>
              <w:pStyle w:val="Tabletext"/>
              <w:rPr>
                <w:snapToGrid w:val="0"/>
              </w:rPr>
            </w:pPr>
            <w:r w:rsidRPr="00295986">
              <w:t>9</w:t>
            </w:r>
            <w:r w:rsidR="00D7157D">
              <w:t>.</w:t>
            </w:r>
            <w:r w:rsidRPr="00295986">
              <w:t>4901</w:t>
            </w:r>
          </w:p>
        </w:tc>
        <w:tc>
          <w:tcPr>
            <w:tcW w:w="966" w:type="pct"/>
            <w:tcBorders>
              <w:top w:val="single" w:sz="4" w:space="0" w:color="auto"/>
              <w:bottom w:val="single" w:sz="4" w:space="0" w:color="auto"/>
            </w:tcBorders>
            <w:vAlign w:val="bottom"/>
          </w:tcPr>
          <w:p w14:paraId="08A613FC" w14:textId="77777777" w:rsidR="00C217FF" w:rsidRPr="000F120F" w:rsidRDefault="00C217FF" w:rsidP="00F36942">
            <w:pPr>
              <w:pStyle w:val="Tabletext"/>
              <w:rPr>
                <w:snapToGrid w:val="0"/>
              </w:rPr>
            </w:pPr>
            <w:r w:rsidRPr="00295986">
              <w:t>0</w:t>
            </w:r>
            <w:r w:rsidR="00D7157D">
              <w:t>.</w:t>
            </w:r>
            <w:r w:rsidRPr="00295986">
              <w:t>1354</w:t>
            </w:r>
          </w:p>
        </w:tc>
      </w:tr>
      <w:tr w:rsidR="00C217FF" w:rsidRPr="009E2595" w14:paraId="1DA2410E" w14:textId="77777777" w:rsidTr="00F36942">
        <w:trPr>
          <w:cantSplit/>
        </w:trPr>
        <w:tc>
          <w:tcPr>
            <w:tcW w:w="1136" w:type="pct"/>
            <w:tcBorders>
              <w:top w:val="single" w:sz="4" w:space="0" w:color="auto"/>
              <w:bottom w:val="single" w:sz="4" w:space="0" w:color="auto"/>
            </w:tcBorders>
          </w:tcPr>
          <w:p w14:paraId="0BE39017" w14:textId="77777777" w:rsidR="00C217FF" w:rsidRPr="00616B26" w:rsidRDefault="00C217FF" w:rsidP="00F36942">
            <w:pPr>
              <w:pStyle w:val="Tabletext"/>
              <w:rPr>
                <w:snapToGrid w:val="0"/>
              </w:rPr>
            </w:pPr>
            <w:r w:rsidRPr="00616B26">
              <w:rPr>
                <w:snapToGrid w:val="0"/>
              </w:rPr>
              <w:t>82</w:t>
            </w:r>
          </w:p>
        </w:tc>
        <w:tc>
          <w:tcPr>
            <w:tcW w:w="966" w:type="pct"/>
            <w:tcBorders>
              <w:top w:val="single" w:sz="4" w:space="0" w:color="auto"/>
              <w:bottom w:val="single" w:sz="4" w:space="0" w:color="auto"/>
            </w:tcBorders>
            <w:vAlign w:val="bottom"/>
          </w:tcPr>
          <w:p w14:paraId="341B7B01" w14:textId="77777777" w:rsidR="00C217FF" w:rsidRPr="000F120F" w:rsidRDefault="00C217FF" w:rsidP="00F36942">
            <w:pPr>
              <w:pStyle w:val="Tabletext"/>
              <w:rPr>
                <w:snapToGrid w:val="0"/>
              </w:rPr>
            </w:pPr>
            <w:r w:rsidRPr="00295986">
              <w:t>7</w:t>
            </w:r>
            <w:r w:rsidR="00D7157D">
              <w:t>.</w:t>
            </w:r>
            <w:r w:rsidRPr="00295986">
              <w:t>7884</w:t>
            </w:r>
          </w:p>
        </w:tc>
        <w:tc>
          <w:tcPr>
            <w:tcW w:w="966" w:type="pct"/>
            <w:tcBorders>
              <w:top w:val="single" w:sz="4" w:space="0" w:color="auto"/>
              <w:bottom w:val="single" w:sz="4" w:space="0" w:color="auto"/>
            </w:tcBorders>
            <w:vAlign w:val="bottom"/>
          </w:tcPr>
          <w:p w14:paraId="1D4A9521" w14:textId="77777777" w:rsidR="00C217FF" w:rsidRPr="000F120F" w:rsidRDefault="00C217FF" w:rsidP="00F36942">
            <w:pPr>
              <w:pStyle w:val="Tabletext"/>
              <w:rPr>
                <w:snapToGrid w:val="0"/>
              </w:rPr>
            </w:pPr>
            <w:r w:rsidRPr="00295986">
              <w:t>0</w:t>
            </w:r>
            <w:r w:rsidR="00D7157D">
              <w:t>.</w:t>
            </w:r>
            <w:r w:rsidRPr="00295986">
              <w:t>5295</w:t>
            </w:r>
          </w:p>
        </w:tc>
        <w:tc>
          <w:tcPr>
            <w:tcW w:w="966" w:type="pct"/>
            <w:tcBorders>
              <w:top w:val="single" w:sz="4" w:space="0" w:color="auto"/>
              <w:bottom w:val="single" w:sz="4" w:space="0" w:color="auto"/>
            </w:tcBorders>
            <w:vAlign w:val="bottom"/>
          </w:tcPr>
          <w:p w14:paraId="5147DC91" w14:textId="77777777" w:rsidR="00C217FF" w:rsidRPr="000F120F" w:rsidRDefault="00C217FF" w:rsidP="00F36942">
            <w:pPr>
              <w:pStyle w:val="Tabletext"/>
              <w:rPr>
                <w:snapToGrid w:val="0"/>
              </w:rPr>
            </w:pPr>
            <w:r w:rsidRPr="00295986">
              <w:t>8</w:t>
            </w:r>
            <w:r w:rsidR="00D7157D">
              <w:t>.</w:t>
            </w:r>
            <w:r w:rsidRPr="00295986">
              <w:t>9341</w:t>
            </w:r>
          </w:p>
        </w:tc>
        <w:tc>
          <w:tcPr>
            <w:tcW w:w="966" w:type="pct"/>
            <w:tcBorders>
              <w:top w:val="single" w:sz="4" w:space="0" w:color="auto"/>
              <w:bottom w:val="single" w:sz="4" w:space="0" w:color="auto"/>
            </w:tcBorders>
            <w:vAlign w:val="bottom"/>
          </w:tcPr>
          <w:p w14:paraId="4CE58EC0" w14:textId="77777777" w:rsidR="00C217FF" w:rsidRPr="000F120F" w:rsidRDefault="00C217FF" w:rsidP="00F36942">
            <w:pPr>
              <w:pStyle w:val="Tabletext"/>
              <w:rPr>
                <w:snapToGrid w:val="0"/>
              </w:rPr>
            </w:pPr>
            <w:r w:rsidRPr="00295986">
              <w:t>0</w:t>
            </w:r>
            <w:r w:rsidR="00D7157D">
              <w:t>.</w:t>
            </w:r>
            <w:r w:rsidRPr="00295986">
              <w:t>1341</w:t>
            </w:r>
          </w:p>
        </w:tc>
      </w:tr>
      <w:tr w:rsidR="00C217FF" w:rsidRPr="009E2595" w14:paraId="1DA76C08" w14:textId="77777777" w:rsidTr="00F36942">
        <w:trPr>
          <w:cantSplit/>
        </w:trPr>
        <w:tc>
          <w:tcPr>
            <w:tcW w:w="1136" w:type="pct"/>
            <w:tcBorders>
              <w:top w:val="single" w:sz="4" w:space="0" w:color="auto"/>
              <w:bottom w:val="single" w:sz="4" w:space="0" w:color="auto"/>
            </w:tcBorders>
          </w:tcPr>
          <w:p w14:paraId="74A67FBD" w14:textId="77777777" w:rsidR="00C217FF" w:rsidRPr="00616B26" w:rsidRDefault="00C217FF" w:rsidP="00F36942">
            <w:pPr>
              <w:pStyle w:val="Tabletext"/>
              <w:rPr>
                <w:snapToGrid w:val="0"/>
              </w:rPr>
            </w:pPr>
            <w:r w:rsidRPr="00616B26">
              <w:rPr>
                <w:snapToGrid w:val="0"/>
              </w:rPr>
              <w:t>83</w:t>
            </w:r>
          </w:p>
        </w:tc>
        <w:tc>
          <w:tcPr>
            <w:tcW w:w="966" w:type="pct"/>
            <w:tcBorders>
              <w:top w:val="single" w:sz="4" w:space="0" w:color="auto"/>
              <w:bottom w:val="single" w:sz="4" w:space="0" w:color="auto"/>
            </w:tcBorders>
            <w:vAlign w:val="bottom"/>
          </w:tcPr>
          <w:p w14:paraId="327F64B4" w14:textId="77777777" w:rsidR="00C217FF" w:rsidRPr="000F120F" w:rsidRDefault="00C217FF" w:rsidP="00F36942">
            <w:pPr>
              <w:pStyle w:val="Tabletext"/>
              <w:rPr>
                <w:snapToGrid w:val="0"/>
              </w:rPr>
            </w:pPr>
            <w:r w:rsidRPr="00295986">
              <w:t>7</w:t>
            </w:r>
            <w:r w:rsidR="00D7157D">
              <w:t>.</w:t>
            </w:r>
            <w:r w:rsidRPr="00295986">
              <w:t>2869</w:t>
            </w:r>
          </w:p>
        </w:tc>
        <w:tc>
          <w:tcPr>
            <w:tcW w:w="966" w:type="pct"/>
            <w:tcBorders>
              <w:top w:val="single" w:sz="4" w:space="0" w:color="auto"/>
              <w:bottom w:val="single" w:sz="4" w:space="0" w:color="auto"/>
            </w:tcBorders>
            <w:vAlign w:val="bottom"/>
          </w:tcPr>
          <w:p w14:paraId="5C472EB9" w14:textId="77777777" w:rsidR="00C217FF" w:rsidRPr="000F120F" w:rsidRDefault="00C217FF" w:rsidP="00F36942">
            <w:pPr>
              <w:pStyle w:val="Tabletext"/>
              <w:rPr>
                <w:snapToGrid w:val="0"/>
              </w:rPr>
            </w:pPr>
            <w:r w:rsidRPr="00295986">
              <w:t>0</w:t>
            </w:r>
            <w:r w:rsidR="00D7157D">
              <w:t>.</w:t>
            </w:r>
            <w:r w:rsidRPr="00295986">
              <w:t>5209</w:t>
            </w:r>
          </w:p>
        </w:tc>
        <w:tc>
          <w:tcPr>
            <w:tcW w:w="966" w:type="pct"/>
            <w:tcBorders>
              <w:top w:val="single" w:sz="4" w:space="0" w:color="auto"/>
              <w:bottom w:val="single" w:sz="4" w:space="0" w:color="auto"/>
            </w:tcBorders>
            <w:vAlign w:val="bottom"/>
          </w:tcPr>
          <w:p w14:paraId="31D8472D" w14:textId="77777777" w:rsidR="00C217FF" w:rsidRPr="000F120F" w:rsidRDefault="00C217FF" w:rsidP="00F36942">
            <w:pPr>
              <w:pStyle w:val="Tabletext"/>
              <w:rPr>
                <w:snapToGrid w:val="0"/>
              </w:rPr>
            </w:pPr>
            <w:r w:rsidRPr="00295986">
              <w:t>8</w:t>
            </w:r>
            <w:r w:rsidR="00D7157D">
              <w:t>.</w:t>
            </w:r>
            <w:r w:rsidRPr="00295986">
              <w:t>3936</w:t>
            </w:r>
          </w:p>
        </w:tc>
        <w:tc>
          <w:tcPr>
            <w:tcW w:w="966" w:type="pct"/>
            <w:tcBorders>
              <w:top w:val="single" w:sz="4" w:space="0" w:color="auto"/>
              <w:bottom w:val="single" w:sz="4" w:space="0" w:color="auto"/>
            </w:tcBorders>
            <w:vAlign w:val="bottom"/>
          </w:tcPr>
          <w:p w14:paraId="512F4643" w14:textId="77777777" w:rsidR="00C217FF" w:rsidRPr="000F120F" w:rsidRDefault="00C217FF" w:rsidP="00F36942">
            <w:pPr>
              <w:pStyle w:val="Tabletext"/>
              <w:rPr>
                <w:snapToGrid w:val="0"/>
              </w:rPr>
            </w:pPr>
            <w:r w:rsidRPr="00295986">
              <w:t>0</w:t>
            </w:r>
            <w:r w:rsidR="00D7157D">
              <w:t>.</w:t>
            </w:r>
            <w:r w:rsidRPr="00295986">
              <w:t>1324</w:t>
            </w:r>
          </w:p>
        </w:tc>
      </w:tr>
      <w:tr w:rsidR="00C217FF" w:rsidRPr="009E2595" w14:paraId="2B15ADCA" w14:textId="77777777" w:rsidTr="00F36942">
        <w:trPr>
          <w:cantSplit/>
        </w:trPr>
        <w:tc>
          <w:tcPr>
            <w:tcW w:w="1136" w:type="pct"/>
            <w:tcBorders>
              <w:top w:val="single" w:sz="4" w:space="0" w:color="auto"/>
              <w:bottom w:val="single" w:sz="4" w:space="0" w:color="auto"/>
            </w:tcBorders>
          </w:tcPr>
          <w:p w14:paraId="3AE833C4" w14:textId="77777777" w:rsidR="00C217FF" w:rsidRPr="00616B26" w:rsidRDefault="00C217FF" w:rsidP="00F36942">
            <w:pPr>
              <w:pStyle w:val="Tabletext"/>
              <w:rPr>
                <w:snapToGrid w:val="0"/>
              </w:rPr>
            </w:pPr>
            <w:r w:rsidRPr="00616B26">
              <w:rPr>
                <w:snapToGrid w:val="0"/>
              </w:rPr>
              <w:t>84</w:t>
            </w:r>
          </w:p>
        </w:tc>
        <w:tc>
          <w:tcPr>
            <w:tcW w:w="966" w:type="pct"/>
            <w:tcBorders>
              <w:top w:val="single" w:sz="4" w:space="0" w:color="auto"/>
              <w:bottom w:val="single" w:sz="4" w:space="0" w:color="auto"/>
            </w:tcBorders>
            <w:vAlign w:val="bottom"/>
          </w:tcPr>
          <w:p w14:paraId="7916BD44" w14:textId="77777777" w:rsidR="00C217FF" w:rsidRPr="000F120F" w:rsidRDefault="00C217FF" w:rsidP="00F36942">
            <w:pPr>
              <w:pStyle w:val="Tabletext"/>
              <w:rPr>
                <w:snapToGrid w:val="0"/>
              </w:rPr>
            </w:pPr>
            <w:r w:rsidRPr="00295986">
              <w:t>6</w:t>
            </w:r>
            <w:r w:rsidR="00D7157D">
              <w:t>.</w:t>
            </w:r>
            <w:r w:rsidRPr="00295986">
              <w:t>8053</w:t>
            </w:r>
          </w:p>
        </w:tc>
        <w:tc>
          <w:tcPr>
            <w:tcW w:w="966" w:type="pct"/>
            <w:tcBorders>
              <w:top w:val="single" w:sz="4" w:space="0" w:color="auto"/>
              <w:bottom w:val="single" w:sz="4" w:space="0" w:color="auto"/>
            </w:tcBorders>
            <w:vAlign w:val="bottom"/>
          </w:tcPr>
          <w:p w14:paraId="7867DC73" w14:textId="77777777" w:rsidR="00C217FF" w:rsidRPr="000F120F" w:rsidRDefault="00C217FF" w:rsidP="00F36942">
            <w:pPr>
              <w:pStyle w:val="Tabletext"/>
              <w:rPr>
                <w:snapToGrid w:val="0"/>
              </w:rPr>
            </w:pPr>
            <w:r w:rsidRPr="00295986">
              <w:t>0</w:t>
            </w:r>
            <w:r w:rsidR="00D7157D">
              <w:t>.</w:t>
            </w:r>
            <w:r w:rsidRPr="00295986">
              <w:t>5106</w:t>
            </w:r>
          </w:p>
        </w:tc>
        <w:tc>
          <w:tcPr>
            <w:tcW w:w="966" w:type="pct"/>
            <w:tcBorders>
              <w:top w:val="single" w:sz="4" w:space="0" w:color="auto"/>
              <w:bottom w:val="single" w:sz="4" w:space="0" w:color="auto"/>
            </w:tcBorders>
            <w:vAlign w:val="bottom"/>
          </w:tcPr>
          <w:p w14:paraId="438126A2" w14:textId="77777777" w:rsidR="00C217FF" w:rsidRPr="000F120F" w:rsidRDefault="00C217FF" w:rsidP="00F36942">
            <w:pPr>
              <w:pStyle w:val="Tabletext"/>
              <w:rPr>
                <w:snapToGrid w:val="0"/>
              </w:rPr>
            </w:pPr>
            <w:r w:rsidRPr="00295986">
              <w:t>7</w:t>
            </w:r>
            <w:r w:rsidR="00D7157D">
              <w:t>.</w:t>
            </w:r>
            <w:r w:rsidRPr="00295986">
              <w:t>8716</w:t>
            </w:r>
          </w:p>
        </w:tc>
        <w:tc>
          <w:tcPr>
            <w:tcW w:w="966" w:type="pct"/>
            <w:tcBorders>
              <w:top w:val="single" w:sz="4" w:space="0" w:color="auto"/>
              <w:bottom w:val="single" w:sz="4" w:space="0" w:color="auto"/>
            </w:tcBorders>
            <w:vAlign w:val="bottom"/>
          </w:tcPr>
          <w:p w14:paraId="4CB3DC42" w14:textId="77777777" w:rsidR="00C217FF" w:rsidRPr="000F120F" w:rsidRDefault="00C217FF" w:rsidP="00F36942">
            <w:pPr>
              <w:pStyle w:val="Tabletext"/>
              <w:rPr>
                <w:snapToGrid w:val="0"/>
              </w:rPr>
            </w:pPr>
            <w:r w:rsidRPr="00295986">
              <w:t>0</w:t>
            </w:r>
            <w:r w:rsidR="00D7157D">
              <w:t>.</w:t>
            </w:r>
            <w:r w:rsidRPr="00295986">
              <w:t>1304</w:t>
            </w:r>
          </w:p>
        </w:tc>
      </w:tr>
      <w:tr w:rsidR="00C217FF" w:rsidRPr="009E2595" w14:paraId="4263D63F" w14:textId="77777777" w:rsidTr="00F36942">
        <w:trPr>
          <w:cantSplit/>
        </w:trPr>
        <w:tc>
          <w:tcPr>
            <w:tcW w:w="1136" w:type="pct"/>
            <w:tcBorders>
              <w:top w:val="single" w:sz="4" w:space="0" w:color="auto"/>
              <w:bottom w:val="single" w:sz="4" w:space="0" w:color="auto"/>
            </w:tcBorders>
          </w:tcPr>
          <w:p w14:paraId="79B8E1BD" w14:textId="77777777" w:rsidR="00C217FF" w:rsidRPr="00616B26" w:rsidRDefault="00C217FF" w:rsidP="00F36942">
            <w:pPr>
              <w:pStyle w:val="Tabletext"/>
              <w:rPr>
                <w:snapToGrid w:val="0"/>
              </w:rPr>
            </w:pPr>
            <w:r w:rsidRPr="00616B26">
              <w:rPr>
                <w:snapToGrid w:val="0"/>
              </w:rPr>
              <w:t>85</w:t>
            </w:r>
          </w:p>
        </w:tc>
        <w:tc>
          <w:tcPr>
            <w:tcW w:w="966" w:type="pct"/>
            <w:tcBorders>
              <w:top w:val="single" w:sz="4" w:space="0" w:color="auto"/>
              <w:bottom w:val="single" w:sz="4" w:space="0" w:color="auto"/>
            </w:tcBorders>
            <w:vAlign w:val="bottom"/>
          </w:tcPr>
          <w:p w14:paraId="44B91B2D" w14:textId="77777777" w:rsidR="00C217FF" w:rsidRPr="000F120F" w:rsidRDefault="00C217FF" w:rsidP="00F36942">
            <w:pPr>
              <w:pStyle w:val="Tabletext"/>
              <w:rPr>
                <w:snapToGrid w:val="0"/>
              </w:rPr>
            </w:pPr>
            <w:r w:rsidRPr="00295986">
              <w:t>6</w:t>
            </w:r>
            <w:r w:rsidR="00D7157D">
              <w:t>.</w:t>
            </w:r>
            <w:r w:rsidRPr="00295986">
              <w:t>3436</w:t>
            </w:r>
          </w:p>
        </w:tc>
        <w:tc>
          <w:tcPr>
            <w:tcW w:w="966" w:type="pct"/>
            <w:tcBorders>
              <w:top w:val="single" w:sz="4" w:space="0" w:color="auto"/>
              <w:bottom w:val="single" w:sz="4" w:space="0" w:color="auto"/>
            </w:tcBorders>
            <w:vAlign w:val="bottom"/>
          </w:tcPr>
          <w:p w14:paraId="0C546F95" w14:textId="77777777" w:rsidR="00C217FF" w:rsidRPr="000F120F" w:rsidRDefault="00C217FF" w:rsidP="00F36942">
            <w:pPr>
              <w:pStyle w:val="Tabletext"/>
              <w:rPr>
                <w:snapToGrid w:val="0"/>
              </w:rPr>
            </w:pPr>
            <w:r w:rsidRPr="00295986">
              <w:t>0</w:t>
            </w:r>
            <w:r w:rsidR="00D7157D">
              <w:t>.</w:t>
            </w:r>
            <w:r w:rsidRPr="00295986">
              <w:t>4988</w:t>
            </w:r>
          </w:p>
        </w:tc>
        <w:tc>
          <w:tcPr>
            <w:tcW w:w="966" w:type="pct"/>
            <w:tcBorders>
              <w:top w:val="single" w:sz="4" w:space="0" w:color="auto"/>
              <w:bottom w:val="single" w:sz="4" w:space="0" w:color="auto"/>
            </w:tcBorders>
            <w:vAlign w:val="bottom"/>
          </w:tcPr>
          <w:p w14:paraId="1E495FA1" w14:textId="77777777" w:rsidR="00C217FF" w:rsidRPr="000F120F" w:rsidRDefault="00C217FF" w:rsidP="00F36942">
            <w:pPr>
              <w:pStyle w:val="Tabletext"/>
              <w:rPr>
                <w:snapToGrid w:val="0"/>
              </w:rPr>
            </w:pPr>
            <w:r w:rsidRPr="00295986">
              <w:t>7</w:t>
            </w:r>
            <w:r w:rsidR="00D7157D">
              <w:t>.</w:t>
            </w:r>
            <w:r w:rsidRPr="00295986">
              <w:t>3596</w:t>
            </w:r>
          </w:p>
        </w:tc>
        <w:tc>
          <w:tcPr>
            <w:tcW w:w="966" w:type="pct"/>
            <w:tcBorders>
              <w:top w:val="single" w:sz="4" w:space="0" w:color="auto"/>
              <w:bottom w:val="single" w:sz="4" w:space="0" w:color="auto"/>
            </w:tcBorders>
            <w:vAlign w:val="bottom"/>
          </w:tcPr>
          <w:p w14:paraId="7FE65550" w14:textId="77777777" w:rsidR="00C217FF" w:rsidRPr="000F120F" w:rsidRDefault="00C217FF" w:rsidP="00F36942">
            <w:pPr>
              <w:pStyle w:val="Tabletext"/>
              <w:rPr>
                <w:snapToGrid w:val="0"/>
              </w:rPr>
            </w:pPr>
            <w:r w:rsidRPr="00295986">
              <w:t>0</w:t>
            </w:r>
            <w:r w:rsidR="00D7157D">
              <w:t>.</w:t>
            </w:r>
            <w:r w:rsidRPr="00295986">
              <w:t>1282</w:t>
            </w:r>
          </w:p>
        </w:tc>
      </w:tr>
      <w:tr w:rsidR="00C217FF" w:rsidRPr="009E2595" w14:paraId="03D2AC5D" w14:textId="77777777" w:rsidTr="00F36942">
        <w:trPr>
          <w:cantSplit/>
        </w:trPr>
        <w:tc>
          <w:tcPr>
            <w:tcW w:w="1136" w:type="pct"/>
            <w:tcBorders>
              <w:top w:val="single" w:sz="4" w:space="0" w:color="auto"/>
              <w:bottom w:val="single" w:sz="4" w:space="0" w:color="auto"/>
            </w:tcBorders>
          </w:tcPr>
          <w:p w14:paraId="0B1F1637" w14:textId="77777777" w:rsidR="00C217FF" w:rsidRPr="00616B26" w:rsidRDefault="00C217FF" w:rsidP="00F36942">
            <w:pPr>
              <w:pStyle w:val="Tabletext"/>
              <w:rPr>
                <w:snapToGrid w:val="0"/>
              </w:rPr>
            </w:pPr>
            <w:r w:rsidRPr="00616B26">
              <w:rPr>
                <w:snapToGrid w:val="0"/>
              </w:rPr>
              <w:t>86</w:t>
            </w:r>
          </w:p>
        </w:tc>
        <w:tc>
          <w:tcPr>
            <w:tcW w:w="966" w:type="pct"/>
            <w:tcBorders>
              <w:top w:val="single" w:sz="4" w:space="0" w:color="auto"/>
              <w:bottom w:val="single" w:sz="4" w:space="0" w:color="auto"/>
            </w:tcBorders>
            <w:vAlign w:val="bottom"/>
          </w:tcPr>
          <w:p w14:paraId="42A401F7" w14:textId="77777777" w:rsidR="00C217FF" w:rsidRPr="000F120F" w:rsidRDefault="00C217FF" w:rsidP="00F36942">
            <w:pPr>
              <w:pStyle w:val="Tabletext"/>
              <w:rPr>
                <w:snapToGrid w:val="0"/>
              </w:rPr>
            </w:pPr>
            <w:r w:rsidRPr="00295986">
              <w:t>5</w:t>
            </w:r>
            <w:r w:rsidR="00D7157D">
              <w:t>.</w:t>
            </w:r>
            <w:r w:rsidRPr="00295986">
              <w:t>9046</w:t>
            </w:r>
          </w:p>
        </w:tc>
        <w:tc>
          <w:tcPr>
            <w:tcW w:w="966" w:type="pct"/>
            <w:tcBorders>
              <w:top w:val="single" w:sz="4" w:space="0" w:color="auto"/>
              <w:bottom w:val="single" w:sz="4" w:space="0" w:color="auto"/>
            </w:tcBorders>
            <w:vAlign w:val="bottom"/>
          </w:tcPr>
          <w:p w14:paraId="28EC2D3C" w14:textId="77777777" w:rsidR="00C217FF" w:rsidRPr="000F120F" w:rsidRDefault="00C217FF" w:rsidP="00F36942">
            <w:pPr>
              <w:pStyle w:val="Tabletext"/>
              <w:rPr>
                <w:snapToGrid w:val="0"/>
              </w:rPr>
            </w:pPr>
            <w:r w:rsidRPr="00295986">
              <w:t>0</w:t>
            </w:r>
            <w:r w:rsidR="00D7157D">
              <w:t>.</w:t>
            </w:r>
            <w:r w:rsidRPr="00295986">
              <w:t>4855</w:t>
            </w:r>
          </w:p>
        </w:tc>
        <w:tc>
          <w:tcPr>
            <w:tcW w:w="966" w:type="pct"/>
            <w:tcBorders>
              <w:top w:val="single" w:sz="4" w:space="0" w:color="auto"/>
              <w:bottom w:val="single" w:sz="4" w:space="0" w:color="auto"/>
            </w:tcBorders>
            <w:vAlign w:val="bottom"/>
          </w:tcPr>
          <w:p w14:paraId="07901BBC" w14:textId="77777777" w:rsidR="00C217FF" w:rsidRPr="000F120F" w:rsidRDefault="00C217FF" w:rsidP="00F36942">
            <w:pPr>
              <w:pStyle w:val="Tabletext"/>
              <w:rPr>
                <w:snapToGrid w:val="0"/>
              </w:rPr>
            </w:pPr>
            <w:r w:rsidRPr="00295986">
              <w:t>6</w:t>
            </w:r>
            <w:r w:rsidR="00D7157D">
              <w:t>.</w:t>
            </w:r>
            <w:r w:rsidRPr="00295986">
              <w:t>8566</w:t>
            </w:r>
          </w:p>
        </w:tc>
        <w:tc>
          <w:tcPr>
            <w:tcW w:w="966" w:type="pct"/>
            <w:tcBorders>
              <w:top w:val="single" w:sz="4" w:space="0" w:color="auto"/>
              <w:bottom w:val="single" w:sz="4" w:space="0" w:color="auto"/>
            </w:tcBorders>
            <w:vAlign w:val="bottom"/>
          </w:tcPr>
          <w:p w14:paraId="3E84B2F8" w14:textId="77777777" w:rsidR="00C217FF" w:rsidRPr="000F120F" w:rsidRDefault="00C217FF" w:rsidP="00F36942">
            <w:pPr>
              <w:pStyle w:val="Tabletext"/>
              <w:rPr>
                <w:snapToGrid w:val="0"/>
              </w:rPr>
            </w:pPr>
            <w:r w:rsidRPr="00295986">
              <w:t>0</w:t>
            </w:r>
            <w:r w:rsidR="00D7157D">
              <w:t>.</w:t>
            </w:r>
            <w:r w:rsidRPr="00295986">
              <w:t>1259</w:t>
            </w:r>
          </w:p>
        </w:tc>
      </w:tr>
      <w:tr w:rsidR="00C217FF" w:rsidRPr="009E2595" w14:paraId="712F7157" w14:textId="77777777" w:rsidTr="00F36942">
        <w:trPr>
          <w:cantSplit/>
        </w:trPr>
        <w:tc>
          <w:tcPr>
            <w:tcW w:w="1136" w:type="pct"/>
            <w:tcBorders>
              <w:top w:val="single" w:sz="4" w:space="0" w:color="auto"/>
              <w:bottom w:val="single" w:sz="4" w:space="0" w:color="auto"/>
            </w:tcBorders>
          </w:tcPr>
          <w:p w14:paraId="442B1E36" w14:textId="77777777" w:rsidR="00C217FF" w:rsidRPr="00616B26" w:rsidRDefault="00C217FF" w:rsidP="00F36942">
            <w:pPr>
              <w:pStyle w:val="Tabletext"/>
              <w:rPr>
                <w:snapToGrid w:val="0"/>
              </w:rPr>
            </w:pPr>
            <w:r w:rsidRPr="00616B26">
              <w:rPr>
                <w:snapToGrid w:val="0"/>
              </w:rPr>
              <w:t>87</w:t>
            </w:r>
          </w:p>
        </w:tc>
        <w:tc>
          <w:tcPr>
            <w:tcW w:w="966" w:type="pct"/>
            <w:tcBorders>
              <w:top w:val="single" w:sz="4" w:space="0" w:color="auto"/>
              <w:bottom w:val="single" w:sz="4" w:space="0" w:color="auto"/>
            </w:tcBorders>
            <w:vAlign w:val="bottom"/>
          </w:tcPr>
          <w:p w14:paraId="4532E0D2" w14:textId="77777777" w:rsidR="00C217FF" w:rsidRPr="000F120F" w:rsidRDefault="00C217FF" w:rsidP="00F36942">
            <w:pPr>
              <w:pStyle w:val="Tabletext"/>
              <w:rPr>
                <w:snapToGrid w:val="0"/>
              </w:rPr>
            </w:pPr>
            <w:r w:rsidRPr="00295986">
              <w:t>5</w:t>
            </w:r>
            <w:r w:rsidR="00D7157D">
              <w:t>.</w:t>
            </w:r>
            <w:r w:rsidRPr="00295986">
              <w:t>4876</w:t>
            </w:r>
          </w:p>
        </w:tc>
        <w:tc>
          <w:tcPr>
            <w:tcW w:w="966" w:type="pct"/>
            <w:tcBorders>
              <w:top w:val="single" w:sz="4" w:space="0" w:color="auto"/>
              <w:bottom w:val="single" w:sz="4" w:space="0" w:color="auto"/>
            </w:tcBorders>
            <w:vAlign w:val="bottom"/>
          </w:tcPr>
          <w:p w14:paraId="4BE7C502" w14:textId="77777777" w:rsidR="00C217FF" w:rsidRPr="000F120F" w:rsidRDefault="00C217FF" w:rsidP="00F36942">
            <w:pPr>
              <w:pStyle w:val="Tabletext"/>
              <w:rPr>
                <w:snapToGrid w:val="0"/>
              </w:rPr>
            </w:pPr>
            <w:r w:rsidRPr="00295986">
              <w:t>0</w:t>
            </w:r>
            <w:r w:rsidR="00D7157D">
              <w:t>.</w:t>
            </w:r>
            <w:r w:rsidRPr="00295986">
              <w:t>4708</w:t>
            </w:r>
          </w:p>
        </w:tc>
        <w:tc>
          <w:tcPr>
            <w:tcW w:w="966" w:type="pct"/>
            <w:tcBorders>
              <w:top w:val="single" w:sz="4" w:space="0" w:color="auto"/>
              <w:bottom w:val="single" w:sz="4" w:space="0" w:color="auto"/>
            </w:tcBorders>
            <w:vAlign w:val="bottom"/>
          </w:tcPr>
          <w:p w14:paraId="157DCD13" w14:textId="77777777" w:rsidR="00C217FF" w:rsidRPr="000F120F" w:rsidRDefault="00C217FF" w:rsidP="00F36942">
            <w:pPr>
              <w:pStyle w:val="Tabletext"/>
              <w:rPr>
                <w:snapToGrid w:val="0"/>
              </w:rPr>
            </w:pPr>
            <w:r w:rsidRPr="00295986">
              <w:t>6</w:t>
            </w:r>
            <w:r w:rsidR="00D7157D">
              <w:t>.</w:t>
            </w:r>
            <w:r w:rsidRPr="00295986">
              <w:t>3734</w:t>
            </w:r>
          </w:p>
        </w:tc>
        <w:tc>
          <w:tcPr>
            <w:tcW w:w="966" w:type="pct"/>
            <w:tcBorders>
              <w:top w:val="single" w:sz="4" w:space="0" w:color="auto"/>
              <w:bottom w:val="single" w:sz="4" w:space="0" w:color="auto"/>
            </w:tcBorders>
            <w:vAlign w:val="bottom"/>
          </w:tcPr>
          <w:p w14:paraId="1631023C" w14:textId="77777777" w:rsidR="00C217FF" w:rsidRPr="000F120F" w:rsidRDefault="00C217FF" w:rsidP="00F36942">
            <w:pPr>
              <w:pStyle w:val="Tabletext"/>
              <w:rPr>
                <w:snapToGrid w:val="0"/>
              </w:rPr>
            </w:pPr>
            <w:r w:rsidRPr="00295986">
              <w:t>0</w:t>
            </w:r>
            <w:r w:rsidR="00D7157D">
              <w:t>.</w:t>
            </w:r>
            <w:r w:rsidRPr="00295986">
              <w:t>1235</w:t>
            </w:r>
          </w:p>
        </w:tc>
      </w:tr>
      <w:tr w:rsidR="00C217FF" w:rsidRPr="009E2595" w14:paraId="3F9F7E42" w14:textId="77777777" w:rsidTr="00F36942">
        <w:trPr>
          <w:cantSplit/>
        </w:trPr>
        <w:tc>
          <w:tcPr>
            <w:tcW w:w="1136" w:type="pct"/>
            <w:tcBorders>
              <w:top w:val="single" w:sz="4" w:space="0" w:color="auto"/>
              <w:bottom w:val="single" w:sz="4" w:space="0" w:color="auto"/>
            </w:tcBorders>
          </w:tcPr>
          <w:p w14:paraId="441C03A0" w14:textId="77777777" w:rsidR="00C217FF" w:rsidRPr="00616B26" w:rsidRDefault="00C217FF" w:rsidP="00F36942">
            <w:pPr>
              <w:pStyle w:val="Tabletext"/>
              <w:rPr>
                <w:snapToGrid w:val="0"/>
              </w:rPr>
            </w:pPr>
            <w:r w:rsidRPr="00616B26">
              <w:rPr>
                <w:snapToGrid w:val="0"/>
              </w:rPr>
              <w:t>88</w:t>
            </w:r>
          </w:p>
        </w:tc>
        <w:tc>
          <w:tcPr>
            <w:tcW w:w="966" w:type="pct"/>
            <w:tcBorders>
              <w:top w:val="single" w:sz="4" w:space="0" w:color="auto"/>
              <w:bottom w:val="single" w:sz="4" w:space="0" w:color="auto"/>
            </w:tcBorders>
            <w:vAlign w:val="bottom"/>
          </w:tcPr>
          <w:p w14:paraId="01C3F60F" w14:textId="77777777" w:rsidR="00C217FF" w:rsidRPr="000F120F" w:rsidRDefault="00C217FF" w:rsidP="00F36942">
            <w:pPr>
              <w:pStyle w:val="Tabletext"/>
              <w:rPr>
                <w:snapToGrid w:val="0"/>
              </w:rPr>
            </w:pPr>
            <w:r w:rsidRPr="00295986">
              <w:t>5</w:t>
            </w:r>
            <w:r w:rsidR="00D7157D">
              <w:t>.</w:t>
            </w:r>
            <w:r w:rsidRPr="00295986">
              <w:t>0921</w:t>
            </w:r>
          </w:p>
        </w:tc>
        <w:tc>
          <w:tcPr>
            <w:tcW w:w="966" w:type="pct"/>
            <w:tcBorders>
              <w:top w:val="single" w:sz="4" w:space="0" w:color="auto"/>
              <w:bottom w:val="single" w:sz="4" w:space="0" w:color="auto"/>
            </w:tcBorders>
            <w:vAlign w:val="bottom"/>
          </w:tcPr>
          <w:p w14:paraId="55C34443" w14:textId="77777777" w:rsidR="00C217FF" w:rsidRPr="000F120F" w:rsidRDefault="00C217FF" w:rsidP="00F36942">
            <w:pPr>
              <w:pStyle w:val="Tabletext"/>
              <w:rPr>
                <w:snapToGrid w:val="0"/>
              </w:rPr>
            </w:pPr>
            <w:r w:rsidRPr="00295986">
              <w:t>0</w:t>
            </w:r>
            <w:r w:rsidR="00D7157D">
              <w:t>.</w:t>
            </w:r>
            <w:r w:rsidRPr="00295986">
              <w:t>4550</w:t>
            </w:r>
          </w:p>
        </w:tc>
        <w:tc>
          <w:tcPr>
            <w:tcW w:w="966" w:type="pct"/>
            <w:tcBorders>
              <w:top w:val="single" w:sz="4" w:space="0" w:color="auto"/>
              <w:bottom w:val="single" w:sz="4" w:space="0" w:color="auto"/>
            </w:tcBorders>
            <w:vAlign w:val="bottom"/>
          </w:tcPr>
          <w:p w14:paraId="3F1E9BA1" w14:textId="77777777" w:rsidR="00C217FF" w:rsidRPr="000F120F" w:rsidRDefault="00C217FF" w:rsidP="00F36942">
            <w:pPr>
              <w:pStyle w:val="Tabletext"/>
              <w:rPr>
                <w:snapToGrid w:val="0"/>
              </w:rPr>
            </w:pPr>
            <w:r w:rsidRPr="00295986">
              <w:t>5</w:t>
            </w:r>
            <w:r w:rsidR="00D7157D">
              <w:t>.</w:t>
            </w:r>
            <w:r w:rsidRPr="00295986">
              <w:t>9152</w:t>
            </w:r>
          </w:p>
        </w:tc>
        <w:tc>
          <w:tcPr>
            <w:tcW w:w="966" w:type="pct"/>
            <w:tcBorders>
              <w:top w:val="single" w:sz="4" w:space="0" w:color="auto"/>
              <w:bottom w:val="single" w:sz="4" w:space="0" w:color="auto"/>
            </w:tcBorders>
            <w:vAlign w:val="bottom"/>
          </w:tcPr>
          <w:p w14:paraId="14453F71" w14:textId="77777777" w:rsidR="00C217FF" w:rsidRPr="000F120F" w:rsidRDefault="00C217FF" w:rsidP="00F36942">
            <w:pPr>
              <w:pStyle w:val="Tabletext"/>
              <w:rPr>
                <w:snapToGrid w:val="0"/>
              </w:rPr>
            </w:pPr>
            <w:r w:rsidRPr="00295986">
              <w:t>0</w:t>
            </w:r>
            <w:r w:rsidR="00D7157D">
              <w:t>.</w:t>
            </w:r>
            <w:r w:rsidRPr="00295986">
              <w:t>1209</w:t>
            </w:r>
          </w:p>
        </w:tc>
      </w:tr>
      <w:tr w:rsidR="00C217FF" w:rsidRPr="009E2595" w14:paraId="4F2AF372" w14:textId="77777777" w:rsidTr="00F36942">
        <w:trPr>
          <w:cantSplit/>
        </w:trPr>
        <w:tc>
          <w:tcPr>
            <w:tcW w:w="1136" w:type="pct"/>
            <w:tcBorders>
              <w:top w:val="single" w:sz="4" w:space="0" w:color="auto"/>
              <w:bottom w:val="single" w:sz="4" w:space="0" w:color="auto"/>
            </w:tcBorders>
          </w:tcPr>
          <w:p w14:paraId="64BB8A42" w14:textId="77777777" w:rsidR="00C217FF" w:rsidRPr="00616B26" w:rsidRDefault="00C217FF" w:rsidP="00F36942">
            <w:pPr>
              <w:pStyle w:val="Tabletext"/>
              <w:rPr>
                <w:snapToGrid w:val="0"/>
              </w:rPr>
            </w:pPr>
            <w:r w:rsidRPr="00616B26">
              <w:rPr>
                <w:snapToGrid w:val="0"/>
              </w:rPr>
              <w:t>89</w:t>
            </w:r>
          </w:p>
        </w:tc>
        <w:tc>
          <w:tcPr>
            <w:tcW w:w="966" w:type="pct"/>
            <w:tcBorders>
              <w:top w:val="single" w:sz="4" w:space="0" w:color="auto"/>
              <w:bottom w:val="single" w:sz="4" w:space="0" w:color="auto"/>
            </w:tcBorders>
            <w:vAlign w:val="bottom"/>
          </w:tcPr>
          <w:p w14:paraId="09B3EF7B" w14:textId="77777777" w:rsidR="00C217FF" w:rsidRPr="000F120F" w:rsidRDefault="00C217FF" w:rsidP="00F36942">
            <w:pPr>
              <w:pStyle w:val="Tabletext"/>
              <w:rPr>
                <w:snapToGrid w:val="0"/>
              </w:rPr>
            </w:pPr>
            <w:r w:rsidRPr="00295986">
              <w:t>4</w:t>
            </w:r>
            <w:r w:rsidR="00D7157D">
              <w:t>.</w:t>
            </w:r>
            <w:r w:rsidRPr="00295986">
              <w:t>7233</w:t>
            </w:r>
          </w:p>
        </w:tc>
        <w:tc>
          <w:tcPr>
            <w:tcW w:w="966" w:type="pct"/>
            <w:tcBorders>
              <w:top w:val="single" w:sz="4" w:space="0" w:color="auto"/>
              <w:bottom w:val="single" w:sz="4" w:space="0" w:color="auto"/>
            </w:tcBorders>
            <w:vAlign w:val="bottom"/>
          </w:tcPr>
          <w:p w14:paraId="56F6EB91" w14:textId="77777777" w:rsidR="00C217FF" w:rsidRPr="000F120F" w:rsidRDefault="00C217FF" w:rsidP="00F36942">
            <w:pPr>
              <w:pStyle w:val="Tabletext"/>
              <w:rPr>
                <w:snapToGrid w:val="0"/>
              </w:rPr>
            </w:pPr>
            <w:r w:rsidRPr="00295986">
              <w:t>0</w:t>
            </w:r>
            <w:r w:rsidR="00D7157D">
              <w:t>.</w:t>
            </w:r>
            <w:r w:rsidRPr="00295986">
              <w:t>4382</w:t>
            </w:r>
          </w:p>
        </w:tc>
        <w:tc>
          <w:tcPr>
            <w:tcW w:w="966" w:type="pct"/>
            <w:tcBorders>
              <w:top w:val="single" w:sz="4" w:space="0" w:color="auto"/>
              <w:bottom w:val="single" w:sz="4" w:space="0" w:color="auto"/>
            </w:tcBorders>
            <w:vAlign w:val="bottom"/>
          </w:tcPr>
          <w:p w14:paraId="59B8081E" w14:textId="77777777" w:rsidR="00C217FF" w:rsidRPr="000F120F" w:rsidRDefault="00C217FF" w:rsidP="00F36942">
            <w:pPr>
              <w:pStyle w:val="Tabletext"/>
              <w:rPr>
                <w:snapToGrid w:val="0"/>
              </w:rPr>
            </w:pPr>
            <w:r w:rsidRPr="00295986">
              <w:t>5</w:t>
            </w:r>
            <w:r w:rsidR="00D7157D">
              <w:t>.</w:t>
            </w:r>
            <w:r w:rsidRPr="00295986">
              <w:t>4884</w:t>
            </w:r>
          </w:p>
        </w:tc>
        <w:tc>
          <w:tcPr>
            <w:tcW w:w="966" w:type="pct"/>
            <w:tcBorders>
              <w:top w:val="single" w:sz="4" w:space="0" w:color="auto"/>
              <w:bottom w:val="single" w:sz="4" w:space="0" w:color="auto"/>
            </w:tcBorders>
            <w:vAlign w:val="bottom"/>
          </w:tcPr>
          <w:p w14:paraId="041C5D10" w14:textId="77777777" w:rsidR="00C217FF" w:rsidRPr="000F120F" w:rsidRDefault="00C217FF" w:rsidP="00F36942">
            <w:pPr>
              <w:pStyle w:val="Tabletext"/>
              <w:rPr>
                <w:snapToGrid w:val="0"/>
              </w:rPr>
            </w:pPr>
            <w:r w:rsidRPr="00295986">
              <w:t>0</w:t>
            </w:r>
            <w:r w:rsidR="00D7157D">
              <w:t>.</w:t>
            </w:r>
            <w:r w:rsidRPr="00295986">
              <w:t>1180</w:t>
            </w:r>
          </w:p>
        </w:tc>
      </w:tr>
      <w:tr w:rsidR="00C217FF" w:rsidRPr="009E2595" w14:paraId="60E124D7" w14:textId="77777777" w:rsidTr="00F36942">
        <w:trPr>
          <w:cantSplit/>
        </w:trPr>
        <w:tc>
          <w:tcPr>
            <w:tcW w:w="1136" w:type="pct"/>
            <w:tcBorders>
              <w:top w:val="single" w:sz="4" w:space="0" w:color="auto"/>
              <w:bottom w:val="single" w:sz="4" w:space="0" w:color="auto"/>
            </w:tcBorders>
          </w:tcPr>
          <w:p w14:paraId="3DCA44F1" w14:textId="77777777" w:rsidR="00C217FF" w:rsidRPr="00616B26" w:rsidRDefault="00C217FF" w:rsidP="00F36942">
            <w:pPr>
              <w:pStyle w:val="Tabletext"/>
              <w:rPr>
                <w:snapToGrid w:val="0"/>
              </w:rPr>
            </w:pPr>
            <w:r w:rsidRPr="00616B26">
              <w:rPr>
                <w:snapToGrid w:val="0"/>
              </w:rPr>
              <w:t>90</w:t>
            </w:r>
          </w:p>
        </w:tc>
        <w:tc>
          <w:tcPr>
            <w:tcW w:w="966" w:type="pct"/>
            <w:tcBorders>
              <w:top w:val="single" w:sz="4" w:space="0" w:color="auto"/>
              <w:bottom w:val="single" w:sz="4" w:space="0" w:color="auto"/>
            </w:tcBorders>
            <w:vAlign w:val="bottom"/>
          </w:tcPr>
          <w:p w14:paraId="13C393F1" w14:textId="77777777" w:rsidR="00C217FF" w:rsidRPr="000F120F" w:rsidRDefault="00C217FF" w:rsidP="00F36942">
            <w:pPr>
              <w:pStyle w:val="Tabletext"/>
              <w:rPr>
                <w:snapToGrid w:val="0"/>
              </w:rPr>
            </w:pPr>
            <w:r w:rsidRPr="00295986">
              <w:t>4</w:t>
            </w:r>
            <w:r w:rsidR="00D7157D">
              <w:t>.</w:t>
            </w:r>
            <w:r w:rsidRPr="00295986">
              <w:t>3785</w:t>
            </w:r>
          </w:p>
        </w:tc>
        <w:tc>
          <w:tcPr>
            <w:tcW w:w="966" w:type="pct"/>
            <w:tcBorders>
              <w:top w:val="single" w:sz="4" w:space="0" w:color="auto"/>
              <w:bottom w:val="single" w:sz="4" w:space="0" w:color="auto"/>
            </w:tcBorders>
            <w:vAlign w:val="bottom"/>
          </w:tcPr>
          <w:p w14:paraId="510F357A" w14:textId="77777777" w:rsidR="00C217FF" w:rsidRPr="000F120F" w:rsidRDefault="00C217FF" w:rsidP="00F36942">
            <w:pPr>
              <w:pStyle w:val="Tabletext"/>
              <w:rPr>
                <w:snapToGrid w:val="0"/>
              </w:rPr>
            </w:pPr>
            <w:r w:rsidRPr="00295986">
              <w:t>0</w:t>
            </w:r>
            <w:r w:rsidR="00D7157D">
              <w:t>.</w:t>
            </w:r>
            <w:r w:rsidRPr="00295986">
              <w:t>4208</w:t>
            </w:r>
          </w:p>
        </w:tc>
        <w:tc>
          <w:tcPr>
            <w:tcW w:w="966" w:type="pct"/>
            <w:tcBorders>
              <w:top w:val="single" w:sz="4" w:space="0" w:color="auto"/>
              <w:bottom w:val="single" w:sz="4" w:space="0" w:color="auto"/>
            </w:tcBorders>
            <w:vAlign w:val="bottom"/>
          </w:tcPr>
          <w:p w14:paraId="4F837A9C" w14:textId="77777777" w:rsidR="00C217FF" w:rsidRPr="000F120F" w:rsidRDefault="00C217FF" w:rsidP="00F36942">
            <w:pPr>
              <w:pStyle w:val="Tabletext"/>
              <w:rPr>
                <w:snapToGrid w:val="0"/>
              </w:rPr>
            </w:pPr>
            <w:r w:rsidRPr="00295986">
              <w:t>5</w:t>
            </w:r>
            <w:r w:rsidR="00D7157D">
              <w:t>.</w:t>
            </w:r>
            <w:r w:rsidRPr="00295986">
              <w:t>1126</w:t>
            </w:r>
          </w:p>
        </w:tc>
        <w:tc>
          <w:tcPr>
            <w:tcW w:w="966" w:type="pct"/>
            <w:tcBorders>
              <w:top w:val="single" w:sz="4" w:space="0" w:color="auto"/>
              <w:bottom w:val="single" w:sz="4" w:space="0" w:color="auto"/>
            </w:tcBorders>
            <w:vAlign w:val="bottom"/>
          </w:tcPr>
          <w:p w14:paraId="0203A517" w14:textId="77777777" w:rsidR="00C217FF" w:rsidRPr="000F120F" w:rsidRDefault="00C217FF" w:rsidP="00F36942">
            <w:pPr>
              <w:pStyle w:val="Tabletext"/>
              <w:rPr>
                <w:snapToGrid w:val="0"/>
              </w:rPr>
            </w:pPr>
            <w:r w:rsidRPr="00295986">
              <w:t>0</w:t>
            </w:r>
            <w:r w:rsidR="00D7157D">
              <w:t>.</w:t>
            </w:r>
            <w:r w:rsidRPr="00295986">
              <w:t>1148</w:t>
            </w:r>
          </w:p>
        </w:tc>
      </w:tr>
      <w:tr w:rsidR="00C217FF" w:rsidRPr="009E2595" w14:paraId="780EF635" w14:textId="77777777" w:rsidTr="00F36942">
        <w:trPr>
          <w:cantSplit/>
        </w:trPr>
        <w:tc>
          <w:tcPr>
            <w:tcW w:w="1136" w:type="pct"/>
            <w:tcBorders>
              <w:top w:val="single" w:sz="4" w:space="0" w:color="auto"/>
              <w:bottom w:val="single" w:sz="4" w:space="0" w:color="auto"/>
            </w:tcBorders>
          </w:tcPr>
          <w:p w14:paraId="384F42DF" w14:textId="77777777" w:rsidR="00C217FF" w:rsidRPr="00616B26" w:rsidRDefault="00C217FF" w:rsidP="00F36942">
            <w:pPr>
              <w:pStyle w:val="Tabletext"/>
              <w:rPr>
                <w:snapToGrid w:val="0"/>
              </w:rPr>
            </w:pPr>
            <w:r w:rsidRPr="00616B26">
              <w:rPr>
                <w:snapToGrid w:val="0"/>
              </w:rPr>
              <w:t>91</w:t>
            </w:r>
          </w:p>
        </w:tc>
        <w:tc>
          <w:tcPr>
            <w:tcW w:w="966" w:type="pct"/>
            <w:tcBorders>
              <w:top w:val="single" w:sz="4" w:space="0" w:color="auto"/>
              <w:bottom w:val="single" w:sz="4" w:space="0" w:color="auto"/>
            </w:tcBorders>
            <w:vAlign w:val="bottom"/>
          </w:tcPr>
          <w:p w14:paraId="53C52BAB" w14:textId="77777777" w:rsidR="00C217FF" w:rsidRPr="000F120F" w:rsidRDefault="00C217FF" w:rsidP="00F36942">
            <w:pPr>
              <w:pStyle w:val="Tabletext"/>
              <w:rPr>
                <w:snapToGrid w:val="0"/>
              </w:rPr>
            </w:pPr>
            <w:r w:rsidRPr="00295986">
              <w:t>4</w:t>
            </w:r>
            <w:r w:rsidR="00D7157D">
              <w:t>.</w:t>
            </w:r>
            <w:r w:rsidRPr="00295986">
              <w:t>0672</w:t>
            </w:r>
          </w:p>
        </w:tc>
        <w:tc>
          <w:tcPr>
            <w:tcW w:w="966" w:type="pct"/>
            <w:tcBorders>
              <w:top w:val="single" w:sz="4" w:space="0" w:color="auto"/>
              <w:bottom w:val="single" w:sz="4" w:space="0" w:color="auto"/>
            </w:tcBorders>
            <w:vAlign w:val="bottom"/>
          </w:tcPr>
          <w:p w14:paraId="4E2923F9" w14:textId="77777777" w:rsidR="00C217FF" w:rsidRPr="000F120F" w:rsidRDefault="00C217FF" w:rsidP="00F36942">
            <w:pPr>
              <w:pStyle w:val="Tabletext"/>
              <w:rPr>
                <w:snapToGrid w:val="0"/>
              </w:rPr>
            </w:pPr>
            <w:r w:rsidRPr="00295986">
              <w:t>0</w:t>
            </w:r>
            <w:r w:rsidR="00D7157D">
              <w:t>.</w:t>
            </w:r>
            <w:r w:rsidRPr="00295986">
              <w:t>4026</w:t>
            </w:r>
          </w:p>
        </w:tc>
        <w:tc>
          <w:tcPr>
            <w:tcW w:w="966" w:type="pct"/>
            <w:tcBorders>
              <w:top w:val="single" w:sz="4" w:space="0" w:color="auto"/>
              <w:bottom w:val="single" w:sz="4" w:space="0" w:color="auto"/>
            </w:tcBorders>
            <w:vAlign w:val="bottom"/>
          </w:tcPr>
          <w:p w14:paraId="1B55F408" w14:textId="77777777" w:rsidR="00C217FF" w:rsidRPr="000F120F" w:rsidRDefault="00C217FF" w:rsidP="00F36942">
            <w:pPr>
              <w:pStyle w:val="Tabletext"/>
              <w:rPr>
                <w:snapToGrid w:val="0"/>
              </w:rPr>
            </w:pPr>
            <w:r w:rsidRPr="00295986">
              <w:t>4</w:t>
            </w:r>
            <w:r w:rsidR="00D7157D">
              <w:t>.</w:t>
            </w:r>
            <w:r w:rsidRPr="00295986">
              <w:t>7660</w:t>
            </w:r>
          </w:p>
        </w:tc>
        <w:tc>
          <w:tcPr>
            <w:tcW w:w="966" w:type="pct"/>
            <w:tcBorders>
              <w:top w:val="single" w:sz="4" w:space="0" w:color="auto"/>
              <w:bottom w:val="single" w:sz="4" w:space="0" w:color="auto"/>
            </w:tcBorders>
            <w:vAlign w:val="bottom"/>
          </w:tcPr>
          <w:p w14:paraId="4B7F91F3" w14:textId="77777777" w:rsidR="00C217FF" w:rsidRPr="000F120F" w:rsidRDefault="00C217FF" w:rsidP="00F36942">
            <w:pPr>
              <w:pStyle w:val="Tabletext"/>
              <w:rPr>
                <w:snapToGrid w:val="0"/>
              </w:rPr>
            </w:pPr>
            <w:r w:rsidRPr="00295986">
              <w:t>0</w:t>
            </w:r>
            <w:r w:rsidR="00D7157D">
              <w:t>.</w:t>
            </w:r>
            <w:r w:rsidRPr="00295986">
              <w:t>1113</w:t>
            </w:r>
          </w:p>
        </w:tc>
      </w:tr>
      <w:tr w:rsidR="00C217FF" w:rsidRPr="009E2595" w14:paraId="77D7FD9E" w14:textId="77777777" w:rsidTr="00F36942">
        <w:trPr>
          <w:cantSplit/>
        </w:trPr>
        <w:tc>
          <w:tcPr>
            <w:tcW w:w="1136" w:type="pct"/>
            <w:tcBorders>
              <w:top w:val="single" w:sz="4" w:space="0" w:color="auto"/>
              <w:bottom w:val="single" w:sz="4" w:space="0" w:color="auto"/>
            </w:tcBorders>
          </w:tcPr>
          <w:p w14:paraId="710854C6" w14:textId="77777777" w:rsidR="00C217FF" w:rsidRPr="00616B26" w:rsidRDefault="00C217FF" w:rsidP="00F36942">
            <w:pPr>
              <w:pStyle w:val="Tabletext"/>
              <w:rPr>
                <w:snapToGrid w:val="0"/>
              </w:rPr>
            </w:pPr>
            <w:r w:rsidRPr="00616B26">
              <w:rPr>
                <w:snapToGrid w:val="0"/>
              </w:rPr>
              <w:t>92</w:t>
            </w:r>
          </w:p>
        </w:tc>
        <w:tc>
          <w:tcPr>
            <w:tcW w:w="966" w:type="pct"/>
            <w:tcBorders>
              <w:top w:val="single" w:sz="4" w:space="0" w:color="auto"/>
              <w:bottom w:val="single" w:sz="4" w:space="0" w:color="auto"/>
            </w:tcBorders>
            <w:vAlign w:val="bottom"/>
          </w:tcPr>
          <w:p w14:paraId="67A92424" w14:textId="77777777" w:rsidR="00C217FF" w:rsidRPr="000F120F" w:rsidRDefault="00C217FF" w:rsidP="00F36942">
            <w:pPr>
              <w:pStyle w:val="Tabletext"/>
              <w:rPr>
                <w:snapToGrid w:val="0"/>
              </w:rPr>
            </w:pPr>
            <w:r w:rsidRPr="00295986">
              <w:t>3</w:t>
            </w:r>
            <w:r w:rsidR="00D7157D">
              <w:t>.</w:t>
            </w:r>
            <w:r w:rsidRPr="00295986">
              <w:t>7875</w:t>
            </w:r>
          </w:p>
        </w:tc>
        <w:tc>
          <w:tcPr>
            <w:tcW w:w="966" w:type="pct"/>
            <w:tcBorders>
              <w:top w:val="single" w:sz="4" w:space="0" w:color="auto"/>
              <w:bottom w:val="single" w:sz="4" w:space="0" w:color="auto"/>
            </w:tcBorders>
            <w:vAlign w:val="bottom"/>
          </w:tcPr>
          <w:p w14:paraId="5EDC6ECA" w14:textId="77777777" w:rsidR="00C217FF" w:rsidRPr="000F120F" w:rsidRDefault="00C217FF" w:rsidP="00F36942">
            <w:pPr>
              <w:pStyle w:val="Tabletext"/>
              <w:rPr>
                <w:snapToGrid w:val="0"/>
              </w:rPr>
            </w:pPr>
            <w:r w:rsidRPr="00295986">
              <w:t>0</w:t>
            </w:r>
            <w:r w:rsidR="00D7157D">
              <w:t>.</w:t>
            </w:r>
            <w:r w:rsidRPr="00295986">
              <w:t>3840</w:t>
            </w:r>
          </w:p>
        </w:tc>
        <w:tc>
          <w:tcPr>
            <w:tcW w:w="966" w:type="pct"/>
            <w:tcBorders>
              <w:top w:val="single" w:sz="4" w:space="0" w:color="auto"/>
              <w:bottom w:val="single" w:sz="4" w:space="0" w:color="auto"/>
            </w:tcBorders>
            <w:vAlign w:val="bottom"/>
          </w:tcPr>
          <w:p w14:paraId="499322EF" w14:textId="77777777" w:rsidR="00C217FF" w:rsidRPr="000F120F" w:rsidRDefault="00C217FF" w:rsidP="00F36942">
            <w:pPr>
              <w:pStyle w:val="Tabletext"/>
              <w:rPr>
                <w:snapToGrid w:val="0"/>
              </w:rPr>
            </w:pPr>
            <w:r w:rsidRPr="00295986">
              <w:t>4</w:t>
            </w:r>
            <w:r w:rsidR="00D7157D">
              <w:t>.</w:t>
            </w:r>
            <w:r w:rsidRPr="00295986">
              <w:t>4496</w:t>
            </w:r>
          </w:p>
        </w:tc>
        <w:tc>
          <w:tcPr>
            <w:tcW w:w="966" w:type="pct"/>
            <w:tcBorders>
              <w:top w:val="single" w:sz="4" w:space="0" w:color="auto"/>
              <w:bottom w:val="single" w:sz="4" w:space="0" w:color="auto"/>
            </w:tcBorders>
            <w:vAlign w:val="bottom"/>
          </w:tcPr>
          <w:p w14:paraId="2CB005B7" w14:textId="77777777" w:rsidR="00C217FF" w:rsidRPr="000F120F" w:rsidRDefault="00C217FF" w:rsidP="00F36942">
            <w:pPr>
              <w:pStyle w:val="Tabletext"/>
              <w:rPr>
                <w:snapToGrid w:val="0"/>
              </w:rPr>
            </w:pPr>
            <w:r w:rsidRPr="00295986">
              <w:t>0</w:t>
            </w:r>
            <w:r w:rsidR="00D7157D">
              <w:t>.</w:t>
            </w:r>
            <w:r w:rsidRPr="00295986">
              <w:t>1077</w:t>
            </w:r>
          </w:p>
        </w:tc>
      </w:tr>
      <w:tr w:rsidR="00C217FF" w:rsidRPr="009E2595" w14:paraId="064D51A6" w14:textId="77777777" w:rsidTr="00F36942">
        <w:trPr>
          <w:cantSplit/>
        </w:trPr>
        <w:tc>
          <w:tcPr>
            <w:tcW w:w="1136" w:type="pct"/>
            <w:tcBorders>
              <w:top w:val="single" w:sz="4" w:space="0" w:color="auto"/>
              <w:bottom w:val="single" w:sz="4" w:space="0" w:color="auto"/>
            </w:tcBorders>
          </w:tcPr>
          <w:p w14:paraId="342982D2" w14:textId="77777777" w:rsidR="00C217FF" w:rsidRPr="00616B26" w:rsidRDefault="00C217FF" w:rsidP="00F36942">
            <w:pPr>
              <w:pStyle w:val="Tabletext"/>
              <w:rPr>
                <w:snapToGrid w:val="0"/>
              </w:rPr>
            </w:pPr>
            <w:r w:rsidRPr="00616B26">
              <w:rPr>
                <w:snapToGrid w:val="0"/>
              </w:rPr>
              <w:t>93</w:t>
            </w:r>
          </w:p>
        </w:tc>
        <w:tc>
          <w:tcPr>
            <w:tcW w:w="966" w:type="pct"/>
            <w:tcBorders>
              <w:top w:val="single" w:sz="4" w:space="0" w:color="auto"/>
              <w:bottom w:val="single" w:sz="4" w:space="0" w:color="auto"/>
            </w:tcBorders>
            <w:vAlign w:val="bottom"/>
          </w:tcPr>
          <w:p w14:paraId="378C85D6" w14:textId="77777777" w:rsidR="00C217FF" w:rsidRPr="000F120F" w:rsidRDefault="00C217FF" w:rsidP="00F36942">
            <w:pPr>
              <w:pStyle w:val="Tabletext"/>
              <w:rPr>
                <w:snapToGrid w:val="0"/>
              </w:rPr>
            </w:pPr>
            <w:r w:rsidRPr="00295986">
              <w:t>3</w:t>
            </w:r>
            <w:r w:rsidR="00D7157D">
              <w:t>.</w:t>
            </w:r>
            <w:r w:rsidRPr="00295986">
              <w:t>5460</w:t>
            </w:r>
          </w:p>
        </w:tc>
        <w:tc>
          <w:tcPr>
            <w:tcW w:w="966" w:type="pct"/>
            <w:tcBorders>
              <w:top w:val="single" w:sz="4" w:space="0" w:color="auto"/>
              <w:bottom w:val="single" w:sz="4" w:space="0" w:color="auto"/>
            </w:tcBorders>
            <w:vAlign w:val="bottom"/>
          </w:tcPr>
          <w:p w14:paraId="24F72A87" w14:textId="77777777" w:rsidR="00C217FF" w:rsidRPr="000F120F" w:rsidRDefault="00C217FF" w:rsidP="00F36942">
            <w:pPr>
              <w:pStyle w:val="Tabletext"/>
              <w:rPr>
                <w:snapToGrid w:val="0"/>
              </w:rPr>
            </w:pPr>
            <w:r w:rsidRPr="00295986">
              <w:t>0</w:t>
            </w:r>
            <w:r w:rsidR="00D7157D">
              <w:t>.</w:t>
            </w:r>
            <w:r w:rsidRPr="00295986">
              <w:t>3648</w:t>
            </w:r>
          </w:p>
        </w:tc>
        <w:tc>
          <w:tcPr>
            <w:tcW w:w="966" w:type="pct"/>
            <w:tcBorders>
              <w:top w:val="single" w:sz="4" w:space="0" w:color="auto"/>
              <w:bottom w:val="single" w:sz="4" w:space="0" w:color="auto"/>
            </w:tcBorders>
            <w:vAlign w:val="bottom"/>
          </w:tcPr>
          <w:p w14:paraId="392730F8" w14:textId="77777777" w:rsidR="00C217FF" w:rsidRPr="000F120F" w:rsidRDefault="00C217FF" w:rsidP="00F36942">
            <w:pPr>
              <w:pStyle w:val="Tabletext"/>
              <w:rPr>
                <w:snapToGrid w:val="0"/>
              </w:rPr>
            </w:pPr>
            <w:r w:rsidRPr="00295986">
              <w:t>4</w:t>
            </w:r>
            <w:r w:rsidR="00D7157D">
              <w:t>.</w:t>
            </w:r>
            <w:r w:rsidRPr="00295986">
              <w:t>1432</w:t>
            </w:r>
          </w:p>
        </w:tc>
        <w:tc>
          <w:tcPr>
            <w:tcW w:w="966" w:type="pct"/>
            <w:tcBorders>
              <w:top w:val="single" w:sz="4" w:space="0" w:color="auto"/>
              <w:bottom w:val="single" w:sz="4" w:space="0" w:color="auto"/>
            </w:tcBorders>
            <w:vAlign w:val="bottom"/>
          </w:tcPr>
          <w:p w14:paraId="2F8E6F37" w14:textId="77777777" w:rsidR="00C217FF" w:rsidRPr="000F120F" w:rsidRDefault="00C217FF" w:rsidP="00F36942">
            <w:pPr>
              <w:pStyle w:val="Tabletext"/>
              <w:rPr>
                <w:snapToGrid w:val="0"/>
              </w:rPr>
            </w:pPr>
            <w:r w:rsidRPr="00295986">
              <w:t>0</w:t>
            </w:r>
            <w:r w:rsidR="00D7157D">
              <w:t>.</w:t>
            </w:r>
            <w:r w:rsidRPr="00295986">
              <w:t>1041</w:t>
            </w:r>
          </w:p>
        </w:tc>
      </w:tr>
      <w:tr w:rsidR="00C217FF" w:rsidRPr="009E2595" w14:paraId="7DC40A2C" w14:textId="77777777" w:rsidTr="00F36942">
        <w:trPr>
          <w:cantSplit/>
        </w:trPr>
        <w:tc>
          <w:tcPr>
            <w:tcW w:w="1136" w:type="pct"/>
            <w:tcBorders>
              <w:top w:val="single" w:sz="4" w:space="0" w:color="auto"/>
              <w:bottom w:val="single" w:sz="4" w:space="0" w:color="auto"/>
            </w:tcBorders>
          </w:tcPr>
          <w:p w14:paraId="5F41F76A" w14:textId="77777777" w:rsidR="00C217FF" w:rsidRPr="00616B26" w:rsidRDefault="00C217FF" w:rsidP="00F36942">
            <w:pPr>
              <w:pStyle w:val="Tabletext"/>
              <w:rPr>
                <w:snapToGrid w:val="0"/>
              </w:rPr>
            </w:pPr>
            <w:r w:rsidRPr="00616B26">
              <w:rPr>
                <w:snapToGrid w:val="0"/>
              </w:rPr>
              <w:t>94</w:t>
            </w:r>
          </w:p>
        </w:tc>
        <w:tc>
          <w:tcPr>
            <w:tcW w:w="966" w:type="pct"/>
            <w:tcBorders>
              <w:top w:val="single" w:sz="4" w:space="0" w:color="auto"/>
              <w:bottom w:val="single" w:sz="4" w:space="0" w:color="auto"/>
            </w:tcBorders>
            <w:vAlign w:val="bottom"/>
          </w:tcPr>
          <w:p w14:paraId="00BD7A7F" w14:textId="77777777" w:rsidR="00C217FF" w:rsidRPr="000F120F" w:rsidRDefault="00C217FF" w:rsidP="00F36942">
            <w:pPr>
              <w:pStyle w:val="Tabletext"/>
              <w:rPr>
                <w:snapToGrid w:val="0"/>
              </w:rPr>
            </w:pPr>
            <w:r w:rsidRPr="00295986">
              <w:t>3</w:t>
            </w:r>
            <w:r w:rsidR="00D7157D">
              <w:t>.</w:t>
            </w:r>
            <w:r w:rsidRPr="00295986">
              <w:t>3436</w:t>
            </w:r>
          </w:p>
        </w:tc>
        <w:tc>
          <w:tcPr>
            <w:tcW w:w="966" w:type="pct"/>
            <w:tcBorders>
              <w:top w:val="single" w:sz="4" w:space="0" w:color="auto"/>
              <w:bottom w:val="single" w:sz="4" w:space="0" w:color="auto"/>
            </w:tcBorders>
            <w:vAlign w:val="bottom"/>
          </w:tcPr>
          <w:p w14:paraId="00111D94" w14:textId="77777777" w:rsidR="00C217FF" w:rsidRPr="000F120F" w:rsidRDefault="00C217FF" w:rsidP="00F36942">
            <w:pPr>
              <w:pStyle w:val="Tabletext"/>
              <w:rPr>
                <w:snapToGrid w:val="0"/>
              </w:rPr>
            </w:pPr>
            <w:r w:rsidRPr="00295986">
              <w:t>0</w:t>
            </w:r>
            <w:r w:rsidR="00D7157D">
              <w:t>.</w:t>
            </w:r>
            <w:r w:rsidRPr="00295986">
              <w:t>3448</w:t>
            </w:r>
          </w:p>
        </w:tc>
        <w:tc>
          <w:tcPr>
            <w:tcW w:w="966" w:type="pct"/>
            <w:tcBorders>
              <w:top w:val="single" w:sz="4" w:space="0" w:color="auto"/>
              <w:bottom w:val="single" w:sz="4" w:space="0" w:color="auto"/>
            </w:tcBorders>
            <w:vAlign w:val="bottom"/>
          </w:tcPr>
          <w:p w14:paraId="2BA8562A" w14:textId="77777777" w:rsidR="00C217FF" w:rsidRPr="000F120F" w:rsidRDefault="00C217FF" w:rsidP="00F36942">
            <w:pPr>
              <w:pStyle w:val="Tabletext"/>
              <w:rPr>
                <w:snapToGrid w:val="0"/>
              </w:rPr>
            </w:pPr>
            <w:r w:rsidRPr="00295986">
              <w:t>3</w:t>
            </w:r>
            <w:r w:rsidR="00D7157D">
              <w:t>.</w:t>
            </w:r>
            <w:r w:rsidRPr="00295986">
              <w:t>8486</w:t>
            </w:r>
          </w:p>
        </w:tc>
        <w:tc>
          <w:tcPr>
            <w:tcW w:w="966" w:type="pct"/>
            <w:tcBorders>
              <w:top w:val="single" w:sz="4" w:space="0" w:color="auto"/>
              <w:bottom w:val="single" w:sz="4" w:space="0" w:color="auto"/>
            </w:tcBorders>
            <w:vAlign w:val="bottom"/>
          </w:tcPr>
          <w:p w14:paraId="73FE4C5A" w14:textId="77777777" w:rsidR="00C217FF" w:rsidRPr="000F120F" w:rsidRDefault="00C217FF" w:rsidP="00F36942">
            <w:pPr>
              <w:pStyle w:val="Tabletext"/>
              <w:rPr>
                <w:snapToGrid w:val="0"/>
              </w:rPr>
            </w:pPr>
            <w:r w:rsidRPr="00295986">
              <w:t>0</w:t>
            </w:r>
            <w:r w:rsidR="00D7157D">
              <w:t>.</w:t>
            </w:r>
            <w:r w:rsidRPr="00295986">
              <w:t>1005</w:t>
            </w:r>
          </w:p>
        </w:tc>
      </w:tr>
      <w:tr w:rsidR="00C217FF" w:rsidRPr="009E2595" w14:paraId="797F143B" w14:textId="77777777" w:rsidTr="00F36942">
        <w:trPr>
          <w:cantSplit/>
        </w:trPr>
        <w:tc>
          <w:tcPr>
            <w:tcW w:w="1136" w:type="pct"/>
            <w:tcBorders>
              <w:top w:val="single" w:sz="4" w:space="0" w:color="auto"/>
              <w:bottom w:val="single" w:sz="4" w:space="0" w:color="auto"/>
            </w:tcBorders>
          </w:tcPr>
          <w:p w14:paraId="64C72AC0" w14:textId="77777777" w:rsidR="00C217FF" w:rsidRPr="00616B26" w:rsidRDefault="00C217FF" w:rsidP="00F36942">
            <w:pPr>
              <w:pStyle w:val="Tabletext"/>
              <w:rPr>
                <w:snapToGrid w:val="0"/>
              </w:rPr>
            </w:pPr>
            <w:r w:rsidRPr="00616B26">
              <w:rPr>
                <w:snapToGrid w:val="0"/>
              </w:rPr>
              <w:t>95</w:t>
            </w:r>
          </w:p>
        </w:tc>
        <w:tc>
          <w:tcPr>
            <w:tcW w:w="966" w:type="pct"/>
            <w:tcBorders>
              <w:top w:val="single" w:sz="4" w:space="0" w:color="auto"/>
              <w:bottom w:val="single" w:sz="4" w:space="0" w:color="auto"/>
            </w:tcBorders>
            <w:vAlign w:val="bottom"/>
          </w:tcPr>
          <w:p w14:paraId="47BFEFD3" w14:textId="77777777" w:rsidR="00C217FF" w:rsidRPr="000F120F" w:rsidRDefault="00C217FF" w:rsidP="00F36942">
            <w:pPr>
              <w:pStyle w:val="Tabletext"/>
              <w:rPr>
                <w:snapToGrid w:val="0"/>
              </w:rPr>
            </w:pPr>
            <w:r w:rsidRPr="00295986">
              <w:t>3</w:t>
            </w:r>
            <w:r w:rsidR="00D7157D">
              <w:t>.</w:t>
            </w:r>
            <w:r w:rsidRPr="00295986">
              <w:t>1558</w:t>
            </w:r>
          </w:p>
        </w:tc>
        <w:tc>
          <w:tcPr>
            <w:tcW w:w="966" w:type="pct"/>
            <w:tcBorders>
              <w:top w:val="single" w:sz="4" w:space="0" w:color="auto"/>
              <w:bottom w:val="single" w:sz="4" w:space="0" w:color="auto"/>
            </w:tcBorders>
            <w:vAlign w:val="bottom"/>
          </w:tcPr>
          <w:p w14:paraId="296056F5" w14:textId="77777777" w:rsidR="00C217FF" w:rsidRPr="000F120F" w:rsidRDefault="00C217FF" w:rsidP="00F36942">
            <w:pPr>
              <w:pStyle w:val="Tabletext"/>
              <w:rPr>
                <w:snapToGrid w:val="0"/>
              </w:rPr>
            </w:pPr>
            <w:r w:rsidRPr="00295986">
              <w:t>0</w:t>
            </w:r>
            <w:r w:rsidR="00D7157D">
              <w:t>.</w:t>
            </w:r>
            <w:r w:rsidRPr="00295986">
              <w:t>3249</w:t>
            </w:r>
          </w:p>
        </w:tc>
        <w:tc>
          <w:tcPr>
            <w:tcW w:w="966" w:type="pct"/>
            <w:tcBorders>
              <w:top w:val="single" w:sz="4" w:space="0" w:color="auto"/>
              <w:bottom w:val="single" w:sz="4" w:space="0" w:color="auto"/>
            </w:tcBorders>
            <w:vAlign w:val="bottom"/>
          </w:tcPr>
          <w:p w14:paraId="6FF4BEA8" w14:textId="77777777" w:rsidR="00C217FF" w:rsidRPr="000F120F" w:rsidRDefault="00C217FF" w:rsidP="00F36942">
            <w:pPr>
              <w:pStyle w:val="Tabletext"/>
              <w:rPr>
                <w:snapToGrid w:val="0"/>
              </w:rPr>
            </w:pPr>
            <w:r w:rsidRPr="00295986">
              <w:t>3</w:t>
            </w:r>
            <w:r w:rsidR="00D7157D">
              <w:t>.</w:t>
            </w:r>
            <w:r w:rsidRPr="00295986">
              <w:t>5766</w:t>
            </w:r>
          </w:p>
        </w:tc>
        <w:tc>
          <w:tcPr>
            <w:tcW w:w="966" w:type="pct"/>
            <w:tcBorders>
              <w:top w:val="single" w:sz="4" w:space="0" w:color="auto"/>
              <w:bottom w:val="single" w:sz="4" w:space="0" w:color="auto"/>
            </w:tcBorders>
            <w:vAlign w:val="bottom"/>
          </w:tcPr>
          <w:p w14:paraId="1B432214" w14:textId="77777777" w:rsidR="00C217FF" w:rsidRPr="000F120F" w:rsidRDefault="00C217FF" w:rsidP="00F36942">
            <w:pPr>
              <w:pStyle w:val="Tabletext"/>
              <w:rPr>
                <w:snapToGrid w:val="0"/>
              </w:rPr>
            </w:pPr>
            <w:r w:rsidRPr="00295986">
              <w:t>0</w:t>
            </w:r>
            <w:r w:rsidR="00D7157D">
              <w:t>.</w:t>
            </w:r>
            <w:r w:rsidRPr="00295986">
              <w:t>0967</w:t>
            </w:r>
          </w:p>
        </w:tc>
      </w:tr>
      <w:tr w:rsidR="00C217FF" w:rsidRPr="009E2595" w14:paraId="6BA864FB" w14:textId="77777777" w:rsidTr="00F36942">
        <w:trPr>
          <w:cantSplit/>
        </w:trPr>
        <w:tc>
          <w:tcPr>
            <w:tcW w:w="1136" w:type="pct"/>
            <w:tcBorders>
              <w:top w:val="single" w:sz="4" w:space="0" w:color="auto"/>
              <w:bottom w:val="single" w:sz="4" w:space="0" w:color="auto"/>
            </w:tcBorders>
          </w:tcPr>
          <w:p w14:paraId="1B3819C4" w14:textId="77777777" w:rsidR="00C217FF" w:rsidRPr="00616B26" w:rsidRDefault="00C217FF" w:rsidP="00F36942">
            <w:pPr>
              <w:pStyle w:val="Tabletext"/>
              <w:rPr>
                <w:snapToGrid w:val="0"/>
              </w:rPr>
            </w:pPr>
            <w:r w:rsidRPr="00616B26">
              <w:rPr>
                <w:snapToGrid w:val="0"/>
              </w:rPr>
              <w:t>96</w:t>
            </w:r>
          </w:p>
        </w:tc>
        <w:tc>
          <w:tcPr>
            <w:tcW w:w="966" w:type="pct"/>
            <w:tcBorders>
              <w:top w:val="single" w:sz="4" w:space="0" w:color="auto"/>
              <w:bottom w:val="single" w:sz="4" w:space="0" w:color="auto"/>
            </w:tcBorders>
            <w:vAlign w:val="bottom"/>
          </w:tcPr>
          <w:p w14:paraId="52413145" w14:textId="77777777" w:rsidR="00C217FF" w:rsidRPr="000F120F" w:rsidRDefault="00C217FF" w:rsidP="00F36942">
            <w:pPr>
              <w:pStyle w:val="Tabletext"/>
              <w:rPr>
                <w:snapToGrid w:val="0"/>
              </w:rPr>
            </w:pPr>
            <w:r w:rsidRPr="00295986">
              <w:t>2</w:t>
            </w:r>
            <w:r w:rsidR="00D7157D">
              <w:t>.</w:t>
            </w:r>
            <w:r w:rsidRPr="00295986">
              <w:t>9814</w:t>
            </w:r>
          </w:p>
        </w:tc>
        <w:tc>
          <w:tcPr>
            <w:tcW w:w="966" w:type="pct"/>
            <w:tcBorders>
              <w:top w:val="single" w:sz="4" w:space="0" w:color="auto"/>
              <w:bottom w:val="single" w:sz="4" w:space="0" w:color="auto"/>
            </w:tcBorders>
            <w:vAlign w:val="bottom"/>
          </w:tcPr>
          <w:p w14:paraId="2A0BFF55" w14:textId="77777777" w:rsidR="00C217FF" w:rsidRPr="000F120F" w:rsidRDefault="00C217FF" w:rsidP="00F36942">
            <w:pPr>
              <w:pStyle w:val="Tabletext"/>
              <w:rPr>
                <w:snapToGrid w:val="0"/>
              </w:rPr>
            </w:pPr>
            <w:r w:rsidRPr="00295986">
              <w:t>0</w:t>
            </w:r>
            <w:r w:rsidR="00D7157D">
              <w:t>.</w:t>
            </w:r>
            <w:r w:rsidRPr="00295986">
              <w:t>3049</w:t>
            </w:r>
          </w:p>
        </w:tc>
        <w:tc>
          <w:tcPr>
            <w:tcW w:w="966" w:type="pct"/>
            <w:tcBorders>
              <w:top w:val="single" w:sz="4" w:space="0" w:color="auto"/>
              <w:bottom w:val="single" w:sz="4" w:space="0" w:color="auto"/>
            </w:tcBorders>
            <w:vAlign w:val="bottom"/>
          </w:tcPr>
          <w:p w14:paraId="294F1C7F" w14:textId="77777777" w:rsidR="00C217FF" w:rsidRPr="000F120F" w:rsidRDefault="00C217FF" w:rsidP="00F36942">
            <w:pPr>
              <w:pStyle w:val="Tabletext"/>
              <w:rPr>
                <w:snapToGrid w:val="0"/>
              </w:rPr>
            </w:pPr>
            <w:r w:rsidRPr="00295986">
              <w:t>3</w:t>
            </w:r>
            <w:r w:rsidR="00D7157D">
              <w:t>.</w:t>
            </w:r>
            <w:r w:rsidRPr="00295986">
              <w:t>3174</w:t>
            </w:r>
          </w:p>
        </w:tc>
        <w:tc>
          <w:tcPr>
            <w:tcW w:w="966" w:type="pct"/>
            <w:tcBorders>
              <w:top w:val="single" w:sz="4" w:space="0" w:color="auto"/>
              <w:bottom w:val="single" w:sz="4" w:space="0" w:color="auto"/>
            </w:tcBorders>
            <w:vAlign w:val="bottom"/>
          </w:tcPr>
          <w:p w14:paraId="5B050BF4" w14:textId="77777777" w:rsidR="00C217FF" w:rsidRPr="000F120F" w:rsidRDefault="00C217FF" w:rsidP="00F36942">
            <w:pPr>
              <w:pStyle w:val="Tabletext"/>
              <w:rPr>
                <w:snapToGrid w:val="0"/>
              </w:rPr>
            </w:pPr>
            <w:r w:rsidRPr="00295986">
              <w:t>0</w:t>
            </w:r>
            <w:r w:rsidR="00D7157D">
              <w:t>.</w:t>
            </w:r>
            <w:r w:rsidRPr="00295986">
              <w:t>0929</w:t>
            </w:r>
          </w:p>
        </w:tc>
      </w:tr>
      <w:tr w:rsidR="00C217FF" w:rsidRPr="009E2595" w14:paraId="66D49E61" w14:textId="77777777" w:rsidTr="00F36942">
        <w:trPr>
          <w:cantSplit/>
        </w:trPr>
        <w:tc>
          <w:tcPr>
            <w:tcW w:w="1136" w:type="pct"/>
            <w:tcBorders>
              <w:top w:val="single" w:sz="4" w:space="0" w:color="auto"/>
              <w:bottom w:val="single" w:sz="4" w:space="0" w:color="auto"/>
            </w:tcBorders>
          </w:tcPr>
          <w:p w14:paraId="3636ED1E" w14:textId="77777777" w:rsidR="00C217FF" w:rsidRPr="00616B26" w:rsidRDefault="00C217FF" w:rsidP="00F36942">
            <w:pPr>
              <w:pStyle w:val="Tabletext"/>
              <w:rPr>
                <w:snapToGrid w:val="0"/>
              </w:rPr>
            </w:pPr>
            <w:r w:rsidRPr="00616B26">
              <w:rPr>
                <w:snapToGrid w:val="0"/>
              </w:rPr>
              <w:t>97</w:t>
            </w:r>
          </w:p>
        </w:tc>
        <w:tc>
          <w:tcPr>
            <w:tcW w:w="966" w:type="pct"/>
            <w:tcBorders>
              <w:top w:val="single" w:sz="4" w:space="0" w:color="auto"/>
              <w:bottom w:val="single" w:sz="4" w:space="0" w:color="auto"/>
            </w:tcBorders>
            <w:vAlign w:val="bottom"/>
          </w:tcPr>
          <w:p w14:paraId="74335C28" w14:textId="77777777" w:rsidR="00C217FF" w:rsidRPr="000F120F" w:rsidRDefault="00C217FF" w:rsidP="00F36942">
            <w:pPr>
              <w:pStyle w:val="Tabletext"/>
              <w:rPr>
                <w:snapToGrid w:val="0"/>
              </w:rPr>
            </w:pPr>
            <w:r w:rsidRPr="00295986">
              <w:t>2</w:t>
            </w:r>
            <w:r w:rsidR="00D7157D">
              <w:t>.</w:t>
            </w:r>
            <w:r w:rsidRPr="00295986">
              <w:t>8192</w:t>
            </w:r>
          </w:p>
        </w:tc>
        <w:tc>
          <w:tcPr>
            <w:tcW w:w="966" w:type="pct"/>
            <w:tcBorders>
              <w:top w:val="single" w:sz="4" w:space="0" w:color="auto"/>
              <w:bottom w:val="single" w:sz="4" w:space="0" w:color="auto"/>
            </w:tcBorders>
            <w:vAlign w:val="bottom"/>
          </w:tcPr>
          <w:p w14:paraId="71635693" w14:textId="77777777" w:rsidR="00C217FF" w:rsidRPr="000F120F" w:rsidRDefault="00C217FF" w:rsidP="00F36942">
            <w:pPr>
              <w:pStyle w:val="Tabletext"/>
              <w:rPr>
                <w:snapToGrid w:val="0"/>
              </w:rPr>
            </w:pPr>
            <w:r w:rsidRPr="00295986">
              <w:t>0</w:t>
            </w:r>
            <w:r w:rsidR="00D7157D">
              <w:t>.</w:t>
            </w:r>
            <w:r w:rsidRPr="00295986">
              <w:t>2850</w:t>
            </w:r>
          </w:p>
        </w:tc>
        <w:tc>
          <w:tcPr>
            <w:tcW w:w="966" w:type="pct"/>
            <w:tcBorders>
              <w:top w:val="single" w:sz="4" w:space="0" w:color="auto"/>
              <w:bottom w:val="single" w:sz="4" w:space="0" w:color="auto"/>
            </w:tcBorders>
            <w:vAlign w:val="bottom"/>
          </w:tcPr>
          <w:p w14:paraId="0AFD42E9" w14:textId="77777777" w:rsidR="00C217FF" w:rsidRPr="000F120F" w:rsidRDefault="00C217FF" w:rsidP="00F36942">
            <w:pPr>
              <w:pStyle w:val="Tabletext"/>
              <w:rPr>
                <w:snapToGrid w:val="0"/>
              </w:rPr>
            </w:pPr>
            <w:r w:rsidRPr="00295986">
              <w:t>3</w:t>
            </w:r>
            <w:r w:rsidR="00D7157D">
              <w:t>.</w:t>
            </w:r>
            <w:r w:rsidRPr="00295986">
              <w:t>0660</w:t>
            </w:r>
          </w:p>
        </w:tc>
        <w:tc>
          <w:tcPr>
            <w:tcW w:w="966" w:type="pct"/>
            <w:tcBorders>
              <w:top w:val="single" w:sz="4" w:space="0" w:color="auto"/>
              <w:bottom w:val="single" w:sz="4" w:space="0" w:color="auto"/>
            </w:tcBorders>
            <w:vAlign w:val="bottom"/>
          </w:tcPr>
          <w:p w14:paraId="30FCA1B6" w14:textId="77777777" w:rsidR="00C217FF" w:rsidRPr="000F120F" w:rsidRDefault="00C217FF" w:rsidP="00F36942">
            <w:pPr>
              <w:pStyle w:val="Tabletext"/>
              <w:rPr>
                <w:snapToGrid w:val="0"/>
              </w:rPr>
            </w:pPr>
            <w:r w:rsidRPr="00295986">
              <w:t>0</w:t>
            </w:r>
            <w:r w:rsidR="00D7157D">
              <w:t>.</w:t>
            </w:r>
            <w:r w:rsidRPr="00295986">
              <w:t>0890</w:t>
            </w:r>
          </w:p>
        </w:tc>
      </w:tr>
      <w:tr w:rsidR="00C217FF" w:rsidRPr="009E2595" w14:paraId="5FF0AF1B" w14:textId="77777777" w:rsidTr="00F36942">
        <w:trPr>
          <w:cantSplit/>
        </w:trPr>
        <w:tc>
          <w:tcPr>
            <w:tcW w:w="1136" w:type="pct"/>
            <w:tcBorders>
              <w:top w:val="single" w:sz="4" w:space="0" w:color="auto"/>
              <w:bottom w:val="single" w:sz="4" w:space="0" w:color="auto"/>
            </w:tcBorders>
          </w:tcPr>
          <w:p w14:paraId="05CCD239" w14:textId="77777777" w:rsidR="00C217FF" w:rsidRPr="00616B26" w:rsidRDefault="00C217FF" w:rsidP="00F36942">
            <w:pPr>
              <w:pStyle w:val="Tabletext"/>
              <w:rPr>
                <w:snapToGrid w:val="0"/>
              </w:rPr>
            </w:pPr>
            <w:r w:rsidRPr="00616B26">
              <w:rPr>
                <w:snapToGrid w:val="0"/>
              </w:rPr>
              <w:t>98</w:t>
            </w:r>
          </w:p>
        </w:tc>
        <w:tc>
          <w:tcPr>
            <w:tcW w:w="966" w:type="pct"/>
            <w:tcBorders>
              <w:top w:val="single" w:sz="4" w:space="0" w:color="auto"/>
              <w:bottom w:val="single" w:sz="4" w:space="0" w:color="auto"/>
            </w:tcBorders>
            <w:vAlign w:val="bottom"/>
          </w:tcPr>
          <w:p w14:paraId="1DA9862A" w14:textId="77777777" w:rsidR="00C217FF" w:rsidRPr="000F120F" w:rsidRDefault="00C217FF" w:rsidP="00F36942">
            <w:pPr>
              <w:pStyle w:val="Tabletext"/>
              <w:rPr>
                <w:snapToGrid w:val="0"/>
              </w:rPr>
            </w:pPr>
            <w:r w:rsidRPr="00295986">
              <w:t>2</w:t>
            </w:r>
            <w:r w:rsidR="00D7157D">
              <w:t>.</w:t>
            </w:r>
            <w:r w:rsidRPr="00295986">
              <w:t>6682</w:t>
            </w:r>
          </w:p>
        </w:tc>
        <w:tc>
          <w:tcPr>
            <w:tcW w:w="966" w:type="pct"/>
            <w:tcBorders>
              <w:top w:val="single" w:sz="4" w:space="0" w:color="auto"/>
              <w:bottom w:val="single" w:sz="4" w:space="0" w:color="auto"/>
            </w:tcBorders>
            <w:vAlign w:val="bottom"/>
          </w:tcPr>
          <w:p w14:paraId="0B8CA83E" w14:textId="77777777" w:rsidR="00C217FF" w:rsidRPr="000F120F" w:rsidRDefault="00C217FF" w:rsidP="00F36942">
            <w:pPr>
              <w:pStyle w:val="Tabletext"/>
              <w:rPr>
                <w:snapToGrid w:val="0"/>
              </w:rPr>
            </w:pPr>
            <w:r w:rsidRPr="00295986">
              <w:t>0</w:t>
            </w:r>
            <w:r w:rsidR="00D7157D">
              <w:t>.</w:t>
            </w:r>
            <w:r w:rsidRPr="00295986">
              <w:t>2650</w:t>
            </w:r>
          </w:p>
        </w:tc>
        <w:tc>
          <w:tcPr>
            <w:tcW w:w="966" w:type="pct"/>
            <w:tcBorders>
              <w:top w:val="single" w:sz="4" w:space="0" w:color="auto"/>
              <w:bottom w:val="single" w:sz="4" w:space="0" w:color="auto"/>
            </w:tcBorders>
            <w:vAlign w:val="bottom"/>
          </w:tcPr>
          <w:p w14:paraId="2E1F01BB" w14:textId="77777777" w:rsidR="00C217FF" w:rsidRPr="000F120F" w:rsidRDefault="00C217FF" w:rsidP="00F36942">
            <w:pPr>
              <w:pStyle w:val="Tabletext"/>
              <w:rPr>
                <w:snapToGrid w:val="0"/>
              </w:rPr>
            </w:pPr>
            <w:r w:rsidRPr="00295986">
              <w:t>2</w:t>
            </w:r>
            <w:r w:rsidR="00D7157D">
              <w:t>.</w:t>
            </w:r>
            <w:r w:rsidRPr="00295986">
              <w:t>8253</w:t>
            </w:r>
          </w:p>
        </w:tc>
        <w:tc>
          <w:tcPr>
            <w:tcW w:w="966" w:type="pct"/>
            <w:tcBorders>
              <w:top w:val="single" w:sz="4" w:space="0" w:color="auto"/>
              <w:bottom w:val="single" w:sz="4" w:space="0" w:color="auto"/>
            </w:tcBorders>
            <w:vAlign w:val="bottom"/>
          </w:tcPr>
          <w:p w14:paraId="7692270A" w14:textId="77777777" w:rsidR="00C217FF" w:rsidRPr="000F120F" w:rsidRDefault="00C217FF" w:rsidP="00F36942">
            <w:pPr>
              <w:pStyle w:val="Tabletext"/>
              <w:rPr>
                <w:snapToGrid w:val="0"/>
              </w:rPr>
            </w:pPr>
            <w:r w:rsidRPr="00295986">
              <w:t>0</w:t>
            </w:r>
            <w:r w:rsidR="00D7157D">
              <w:t>.</w:t>
            </w:r>
            <w:r w:rsidRPr="00295986">
              <w:t>0850</w:t>
            </w:r>
          </w:p>
        </w:tc>
      </w:tr>
      <w:tr w:rsidR="00C217FF" w:rsidRPr="009E2595" w14:paraId="45EE5FF3" w14:textId="77777777" w:rsidTr="00F36942">
        <w:trPr>
          <w:cantSplit/>
        </w:trPr>
        <w:tc>
          <w:tcPr>
            <w:tcW w:w="1136" w:type="pct"/>
            <w:tcBorders>
              <w:top w:val="single" w:sz="4" w:space="0" w:color="auto"/>
              <w:bottom w:val="single" w:sz="12" w:space="0" w:color="auto"/>
            </w:tcBorders>
          </w:tcPr>
          <w:p w14:paraId="2F7A7E0B" w14:textId="77777777" w:rsidR="00C217FF" w:rsidRPr="00616B26" w:rsidRDefault="00ED15BD" w:rsidP="00F36942">
            <w:pPr>
              <w:pStyle w:val="Tabletext"/>
              <w:rPr>
                <w:snapToGrid w:val="0"/>
              </w:rPr>
            </w:pPr>
            <w:r>
              <w:rPr>
                <w:snapToGrid w:val="0"/>
              </w:rPr>
              <w:t>99 and over</w:t>
            </w:r>
          </w:p>
        </w:tc>
        <w:tc>
          <w:tcPr>
            <w:tcW w:w="966" w:type="pct"/>
            <w:tcBorders>
              <w:top w:val="single" w:sz="4" w:space="0" w:color="auto"/>
              <w:bottom w:val="single" w:sz="12" w:space="0" w:color="auto"/>
            </w:tcBorders>
            <w:vAlign w:val="bottom"/>
          </w:tcPr>
          <w:p w14:paraId="094240AB" w14:textId="77777777" w:rsidR="00C217FF" w:rsidRPr="000F120F" w:rsidRDefault="00C217FF" w:rsidP="00F36942">
            <w:pPr>
              <w:pStyle w:val="Tabletext"/>
              <w:rPr>
                <w:snapToGrid w:val="0"/>
              </w:rPr>
            </w:pPr>
            <w:r w:rsidRPr="00295986">
              <w:t>2</w:t>
            </w:r>
            <w:r w:rsidR="00D7157D">
              <w:t>.</w:t>
            </w:r>
            <w:r w:rsidRPr="00295986">
              <w:t>5274</w:t>
            </w:r>
          </w:p>
        </w:tc>
        <w:tc>
          <w:tcPr>
            <w:tcW w:w="966" w:type="pct"/>
            <w:tcBorders>
              <w:top w:val="single" w:sz="4" w:space="0" w:color="auto"/>
              <w:bottom w:val="single" w:sz="12" w:space="0" w:color="auto"/>
            </w:tcBorders>
            <w:vAlign w:val="bottom"/>
          </w:tcPr>
          <w:p w14:paraId="4DB79D56" w14:textId="77777777" w:rsidR="00C217FF" w:rsidRPr="000F120F" w:rsidRDefault="00C217FF" w:rsidP="00F36942">
            <w:pPr>
              <w:pStyle w:val="Tabletext"/>
              <w:rPr>
                <w:snapToGrid w:val="0"/>
              </w:rPr>
            </w:pPr>
            <w:r w:rsidRPr="00295986">
              <w:t>0</w:t>
            </w:r>
            <w:r w:rsidR="00D7157D">
              <w:t>.</w:t>
            </w:r>
            <w:r w:rsidRPr="00295986">
              <w:t>2446</w:t>
            </w:r>
          </w:p>
        </w:tc>
        <w:tc>
          <w:tcPr>
            <w:tcW w:w="966" w:type="pct"/>
            <w:tcBorders>
              <w:top w:val="single" w:sz="4" w:space="0" w:color="auto"/>
              <w:bottom w:val="single" w:sz="12" w:space="0" w:color="auto"/>
            </w:tcBorders>
            <w:vAlign w:val="bottom"/>
          </w:tcPr>
          <w:p w14:paraId="181BD572" w14:textId="77777777" w:rsidR="00C217FF" w:rsidRPr="000F120F" w:rsidRDefault="00C217FF" w:rsidP="00F36942">
            <w:pPr>
              <w:pStyle w:val="Tabletext"/>
              <w:rPr>
                <w:snapToGrid w:val="0"/>
              </w:rPr>
            </w:pPr>
            <w:r w:rsidRPr="00295986">
              <w:t>2</w:t>
            </w:r>
            <w:r w:rsidR="00D7157D">
              <w:t>.</w:t>
            </w:r>
            <w:r w:rsidRPr="00295986">
              <w:t>5895</w:t>
            </w:r>
          </w:p>
        </w:tc>
        <w:tc>
          <w:tcPr>
            <w:tcW w:w="966" w:type="pct"/>
            <w:tcBorders>
              <w:top w:val="single" w:sz="4" w:space="0" w:color="auto"/>
              <w:bottom w:val="single" w:sz="12" w:space="0" w:color="auto"/>
            </w:tcBorders>
            <w:vAlign w:val="bottom"/>
          </w:tcPr>
          <w:p w14:paraId="7ED82AC9" w14:textId="77777777" w:rsidR="00C217FF" w:rsidRPr="000F120F" w:rsidRDefault="00C217FF" w:rsidP="00F36942">
            <w:pPr>
              <w:pStyle w:val="Tabletext"/>
              <w:rPr>
                <w:snapToGrid w:val="0"/>
              </w:rPr>
            </w:pPr>
            <w:r w:rsidRPr="00295986">
              <w:t>0</w:t>
            </w:r>
            <w:r w:rsidR="00D7157D">
              <w:t>.</w:t>
            </w:r>
            <w:r w:rsidRPr="00295986">
              <w:t>0808</w:t>
            </w:r>
          </w:p>
        </w:tc>
      </w:tr>
    </w:tbl>
    <w:p w14:paraId="64E3BBBA" w14:textId="77777777" w:rsidR="00647C6B" w:rsidRPr="00A058B6" w:rsidRDefault="0022507A" w:rsidP="00647C6B">
      <w:pPr>
        <w:pStyle w:val="ActHead5"/>
      </w:pPr>
      <w:bookmarkStart w:id="309" w:name="_Toc188350786"/>
      <w:r w:rsidRPr="00423C34">
        <w:rPr>
          <w:rStyle w:val="CharSectno"/>
        </w:rPr>
        <w:t>9</w:t>
      </w:r>
      <w:r w:rsidR="00647C6B" w:rsidRPr="00A058B6">
        <w:t xml:space="preserve">  Valuation factors—pension indexed at 3%</w:t>
      </w:r>
      <w:bookmarkEnd w:id="309"/>
    </w:p>
    <w:p w14:paraId="0FA5AF3B"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 is indexed at 3%</w:t>
      </w:r>
      <w:r w:rsidR="00D7157D">
        <w:t>.</w:t>
      </w:r>
    </w:p>
    <w:p w14:paraId="62402A0C" w14:textId="77777777" w:rsidR="00647C6B" w:rsidRPr="00A058B6" w:rsidRDefault="00647C6B" w:rsidP="00647C6B">
      <w:pPr>
        <w:pStyle w:val="Tabletext"/>
      </w:pPr>
    </w:p>
    <w:tbl>
      <w:tblPr>
        <w:tblW w:w="5000" w:type="pct"/>
        <w:tblLook w:val="0000" w:firstRow="0" w:lastRow="0" w:firstColumn="0" w:lastColumn="0" w:noHBand="0" w:noVBand="0"/>
      </w:tblPr>
      <w:tblGrid>
        <w:gridCol w:w="1889"/>
        <w:gridCol w:w="1606"/>
        <w:gridCol w:w="1606"/>
        <w:gridCol w:w="1606"/>
        <w:gridCol w:w="1606"/>
      </w:tblGrid>
      <w:tr w:rsidR="00647C6B" w:rsidRPr="00A058B6" w14:paraId="02219A01" w14:textId="77777777" w:rsidTr="00FA26AF">
        <w:trPr>
          <w:cantSplit/>
          <w:trHeight w:val="383"/>
          <w:tblHeader/>
        </w:trPr>
        <w:tc>
          <w:tcPr>
            <w:tcW w:w="1136" w:type="pct"/>
            <w:vMerge w:val="restart"/>
            <w:tcBorders>
              <w:top w:val="single" w:sz="12" w:space="0" w:color="auto"/>
              <w:bottom w:val="single" w:sz="12" w:space="0" w:color="auto"/>
            </w:tcBorders>
          </w:tcPr>
          <w:p w14:paraId="5299F05D" w14:textId="77777777" w:rsidR="00647C6B" w:rsidRPr="00A058B6" w:rsidRDefault="00647C6B" w:rsidP="009C0D79">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76A7101A" w14:textId="77777777" w:rsidR="00647C6B" w:rsidRPr="00A058B6" w:rsidRDefault="00647C6B" w:rsidP="009C0D79">
            <w:pPr>
              <w:pStyle w:val="TableHeading"/>
            </w:pPr>
            <w:r w:rsidRPr="00A058B6">
              <w:t>Valuation factors—pension indexed at 3%</w:t>
            </w:r>
          </w:p>
        </w:tc>
      </w:tr>
      <w:tr w:rsidR="00647C6B" w:rsidRPr="00A058B6" w14:paraId="01E40EC5" w14:textId="77777777" w:rsidTr="00FA26AF">
        <w:trPr>
          <w:cantSplit/>
          <w:trHeight w:val="383"/>
          <w:tblHeader/>
        </w:trPr>
        <w:tc>
          <w:tcPr>
            <w:tcW w:w="1136" w:type="pct"/>
            <w:vMerge/>
            <w:tcBorders>
              <w:bottom w:val="single" w:sz="12" w:space="0" w:color="auto"/>
            </w:tcBorders>
          </w:tcPr>
          <w:p w14:paraId="5E1DC2D9" w14:textId="77777777" w:rsidR="00647C6B" w:rsidRPr="00A058B6" w:rsidRDefault="00647C6B" w:rsidP="009C0D79">
            <w:pPr>
              <w:pStyle w:val="TableHeading"/>
            </w:pPr>
          </w:p>
        </w:tc>
        <w:tc>
          <w:tcPr>
            <w:tcW w:w="1932" w:type="pct"/>
            <w:gridSpan w:val="2"/>
            <w:tcBorders>
              <w:top w:val="single" w:sz="4" w:space="0" w:color="auto"/>
              <w:bottom w:val="single" w:sz="4" w:space="0" w:color="auto"/>
            </w:tcBorders>
          </w:tcPr>
          <w:p w14:paraId="36C8D84D" w14:textId="77777777" w:rsidR="00647C6B" w:rsidRPr="00A058B6" w:rsidRDefault="00647C6B" w:rsidP="009C0D79">
            <w:pPr>
              <w:pStyle w:val="TableHeading"/>
            </w:pPr>
            <w:r w:rsidRPr="00A058B6">
              <w:t>Males</w:t>
            </w:r>
          </w:p>
        </w:tc>
        <w:tc>
          <w:tcPr>
            <w:tcW w:w="1932" w:type="pct"/>
            <w:gridSpan w:val="2"/>
            <w:tcBorders>
              <w:top w:val="single" w:sz="4" w:space="0" w:color="auto"/>
              <w:bottom w:val="single" w:sz="4" w:space="0" w:color="auto"/>
            </w:tcBorders>
          </w:tcPr>
          <w:p w14:paraId="521EC7CE" w14:textId="77777777" w:rsidR="00647C6B" w:rsidRPr="00A058B6" w:rsidRDefault="00647C6B" w:rsidP="009C0D79">
            <w:pPr>
              <w:pStyle w:val="TableHeading"/>
            </w:pPr>
            <w:r w:rsidRPr="00A058B6">
              <w:t>Females</w:t>
            </w:r>
          </w:p>
        </w:tc>
      </w:tr>
      <w:tr w:rsidR="00647C6B" w:rsidRPr="00A058B6" w14:paraId="7F78393F" w14:textId="77777777" w:rsidTr="00FA26AF">
        <w:trPr>
          <w:cantSplit/>
          <w:trHeight w:val="382"/>
          <w:tblHeader/>
        </w:trPr>
        <w:tc>
          <w:tcPr>
            <w:tcW w:w="1136" w:type="pct"/>
            <w:vMerge/>
            <w:tcBorders>
              <w:bottom w:val="single" w:sz="12" w:space="0" w:color="auto"/>
            </w:tcBorders>
          </w:tcPr>
          <w:p w14:paraId="25174262" w14:textId="77777777" w:rsidR="00647C6B" w:rsidRPr="00A058B6" w:rsidRDefault="00647C6B" w:rsidP="009C0D79">
            <w:pPr>
              <w:pStyle w:val="TableHeading"/>
            </w:pPr>
          </w:p>
        </w:tc>
        <w:tc>
          <w:tcPr>
            <w:tcW w:w="966" w:type="pct"/>
            <w:tcBorders>
              <w:top w:val="single" w:sz="4" w:space="0" w:color="auto"/>
              <w:bottom w:val="single" w:sz="12" w:space="0" w:color="auto"/>
            </w:tcBorders>
          </w:tcPr>
          <w:p w14:paraId="085A6088"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0E35EAFF" w14:textId="77777777" w:rsidR="00647C6B" w:rsidRPr="00A058B6" w:rsidRDefault="00647C6B" w:rsidP="009C0D79">
            <w:pPr>
              <w:pStyle w:val="TableHeading"/>
            </w:pPr>
            <w:r w:rsidRPr="00A058B6">
              <w:t>Reversion</w:t>
            </w:r>
          </w:p>
        </w:tc>
        <w:tc>
          <w:tcPr>
            <w:tcW w:w="966" w:type="pct"/>
            <w:tcBorders>
              <w:top w:val="single" w:sz="4" w:space="0" w:color="auto"/>
              <w:bottom w:val="single" w:sz="12" w:space="0" w:color="auto"/>
            </w:tcBorders>
          </w:tcPr>
          <w:p w14:paraId="4584E4D8"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164C12C1" w14:textId="77777777" w:rsidR="00647C6B" w:rsidRPr="00A058B6" w:rsidRDefault="00647C6B" w:rsidP="009C0D79">
            <w:pPr>
              <w:pStyle w:val="TableHeading"/>
            </w:pPr>
            <w:r w:rsidRPr="00A058B6">
              <w:t>Reversion</w:t>
            </w:r>
          </w:p>
        </w:tc>
      </w:tr>
      <w:tr w:rsidR="000E5239" w:rsidRPr="009E2595" w14:paraId="325E7FA5" w14:textId="77777777" w:rsidTr="00F36942">
        <w:trPr>
          <w:cantSplit/>
        </w:trPr>
        <w:tc>
          <w:tcPr>
            <w:tcW w:w="1136" w:type="pct"/>
            <w:tcBorders>
              <w:top w:val="single" w:sz="12" w:space="0" w:color="auto"/>
              <w:bottom w:val="single" w:sz="4" w:space="0" w:color="auto"/>
            </w:tcBorders>
          </w:tcPr>
          <w:p w14:paraId="42391C80" w14:textId="77777777" w:rsidR="000E5239" w:rsidRPr="00616B26" w:rsidRDefault="000E5239" w:rsidP="00F36942">
            <w:pPr>
              <w:pStyle w:val="Tabletext"/>
              <w:rPr>
                <w:snapToGrid w:val="0"/>
              </w:rPr>
            </w:pPr>
            <w:r w:rsidRPr="00616B26">
              <w:rPr>
                <w:snapToGrid w:val="0"/>
              </w:rPr>
              <w:t>18</w:t>
            </w:r>
          </w:p>
        </w:tc>
        <w:tc>
          <w:tcPr>
            <w:tcW w:w="966" w:type="pct"/>
            <w:tcBorders>
              <w:top w:val="single" w:sz="12" w:space="0" w:color="auto"/>
              <w:bottom w:val="single" w:sz="4" w:space="0" w:color="auto"/>
            </w:tcBorders>
            <w:vAlign w:val="bottom"/>
          </w:tcPr>
          <w:p w14:paraId="240722A8" w14:textId="77777777" w:rsidR="000E5239" w:rsidRPr="000F120F" w:rsidRDefault="000E5239" w:rsidP="00F36942">
            <w:pPr>
              <w:pStyle w:val="Tabletext"/>
              <w:rPr>
                <w:snapToGrid w:val="0"/>
              </w:rPr>
            </w:pPr>
            <w:r w:rsidRPr="00295986">
              <w:t>30</w:t>
            </w:r>
            <w:r w:rsidR="00D7157D">
              <w:t>.</w:t>
            </w:r>
            <w:r w:rsidRPr="00295986">
              <w:t>0845</w:t>
            </w:r>
          </w:p>
        </w:tc>
        <w:tc>
          <w:tcPr>
            <w:tcW w:w="966" w:type="pct"/>
            <w:tcBorders>
              <w:top w:val="single" w:sz="12" w:space="0" w:color="auto"/>
              <w:bottom w:val="single" w:sz="4" w:space="0" w:color="auto"/>
            </w:tcBorders>
            <w:vAlign w:val="bottom"/>
          </w:tcPr>
          <w:p w14:paraId="40C95DCC" w14:textId="77777777" w:rsidR="000E5239" w:rsidRPr="000F120F" w:rsidRDefault="000E5239" w:rsidP="00F36942">
            <w:pPr>
              <w:pStyle w:val="Tabletext"/>
              <w:rPr>
                <w:snapToGrid w:val="0"/>
              </w:rPr>
            </w:pPr>
            <w:r w:rsidRPr="00295986">
              <w:t>0</w:t>
            </w:r>
            <w:r w:rsidR="00D7157D">
              <w:t>.</w:t>
            </w:r>
            <w:r w:rsidRPr="00295986">
              <w:t>8206</w:t>
            </w:r>
          </w:p>
        </w:tc>
        <w:tc>
          <w:tcPr>
            <w:tcW w:w="966" w:type="pct"/>
            <w:tcBorders>
              <w:top w:val="single" w:sz="12" w:space="0" w:color="auto"/>
              <w:bottom w:val="single" w:sz="4" w:space="0" w:color="auto"/>
            </w:tcBorders>
            <w:vAlign w:val="bottom"/>
          </w:tcPr>
          <w:p w14:paraId="082041FD" w14:textId="77777777" w:rsidR="000E5239" w:rsidRPr="000F120F" w:rsidRDefault="000E5239" w:rsidP="00F36942">
            <w:pPr>
              <w:pStyle w:val="Tabletext"/>
              <w:rPr>
                <w:snapToGrid w:val="0"/>
              </w:rPr>
            </w:pPr>
            <w:r w:rsidRPr="00295986">
              <w:t>30</w:t>
            </w:r>
            <w:r w:rsidR="00D7157D">
              <w:t>.</w:t>
            </w:r>
            <w:r w:rsidRPr="00295986">
              <w:t>5387</w:t>
            </w:r>
          </w:p>
        </w:tc>
        <w:tc>
          <w:tcPr>
            <w:tcW w:w="966" w:type="pct"/>
            <w:tcBorders>
              <w:top w:val="single" w:sz="12" w:space="0" w:color="auto"/>
              <w:bottom w:val="single" w:sz="4" w:space="0" w:color="auto"/>
            </w:tcBorders>
            <w:vAlign w:val="bottom"/>
          </w:tcPr>
          <w:p w14:paraId="58904972" w14:textId="77777777" w:rsidR="000E5239" w:rsidRPr="000F120F" w:rsidRDefault="000E5239" w:rsidP="00F36942">
            <w:pPr>
              <w:pStyle w:val="Tabletext"/>
              <w:rPr>
                <w:snapToGrid w:val="0"/>
              </w:rPr>
            </w:pPr>
            <w:r w:rsidRPr="00295986">
              <w:t>0</w:t>
            </w:r>
            <w:r w:rsidR="00D7157D">
              <w:t>.</w:t>
            </w:r>
            <w:r w:rsidRPr="00295986">
              <w:t>3284</w:t>
            </w:r>
          </w:p>
        </w:tc>
      </w:tr>
      <w:tr w:rsidR="000E5239" w:rsidRPr="009E2595" w14:paraId="1EE49A5A" w14:textId="77777777" w:rsidTr="00F36942">
        <w:trPr>
          <w:cantSplit/>
        </w:trPr>
        <w:tc>
          <w:tcPr>
            <w:tcW w:w="1136" w:type="pct"/>
            <w:tcBorders>
              <w:top w:val="single" w:sz="4" w:space="0" w:color="auto"/>
              <w:bottom w:val="single" w:sz="4" w:space="0" w:color="auto"/>
            </w:tcBorders>
          </w:tcPr>
          <w:p w14:paraId="6E539FA0" w14:textId="77777777" w:rsidR="000E5239" w:rsidRPr="00616B26" w:rsidRDefault="000E5239" w:rsidP="00F36942">
            <w:pPr>
              <w:pStyle w:val="Tabletext"/>
              <w:rPr>
                <w:snapToGrid w:val="0"/>
              </w:rPr>
            </w:pPr>
            <w:r w:rsidRPr="00616B26">
              <w:rPr>
                <w:snapToGrid w:val="0"/>
              </w:rPr>
              <w:t>19</w:t>
            </w:r>
          </w:p>
        </w:tc>
        <w:tc>
          <w:tcPr>
            <w:tcW w:w="966" w:type="pct"/>
            <w:tcBorders>
              <w:top w:val="single" w:sz="4" w:space="0" w:color="auto"/>
              <w:bottom w:val="single" w:sz="4" w:space="0" w:color="auto"/>
            </w:tcBorders>
            <w:vAlign w:val="bottom"/>
          </w:tcPr>
          <w:p w14:paraId="191FB04B" w14:textId="77777777" w:rsidR="000E5239" w:rsidRPr="000F120F" w:rsidRDefault="000E5239" w:rsidP="00F36942">
            <w:pPr>
              <w:pStyle w:val="Tabletext"/>
              <w:rPr>
                <w:snapToGrid w:val="0"/>
              </w:rPr>
            </w:pPr>
            <w:r w:rsidRPr="00295986">
              <w:t>29</w:t>
            </w:r>
            <w:r w:rsidR="00D7157D">
              <w:t>.</w:t>
            </w:r>
            <w:r w:rsidRPr="00295986">
              <w:t>9426</w:t>
            </w:r>
          </w:p>
        </w:tc>
        <w:tc>
          <w:tcPr>
            <w:tcW w:w="966" w:type="pct"/>
            <w:tcBorders>
              <w:top w:val="single" w:sz="4" w:space="0" w:color="auto"/>
              <w:bottom w:val="single" w:sz="4" w:space="0" w:color="auto"/>
            </w:tcBorders>
            <w:vAlign w:val="bottom"/>
          </w:tcPr>
          <w:p w14:paraId="6FBAE7C3" w14:textId="77777777" w:rsidR="000E5239" w:rsidRPr="000F120F" w:rsidRDefault="000E5239" w:rsidP="00F36942">
            <w:pPr>
              <w:pStyle w:val="Tabletext"/>
              <w:rPr>
                <w:snapToGrid w:val="0"/>
              </w:rPr>
            </w:pPr>
            <w:r w:rsidRPr="00295986">
              <w:t>0</w:t>
            </w:r>
            <w:r w:rsidR="00D7157D">
              <w:t>.</w:t>
            </w:r>
            <w:r w:rsidRPr="00295986">
              <w:t>8447</w:t>
            </w:r>
          </w:p>
        </w:tc>
        <w:tc>
          <w:tcPr>
            <w:tcW w:w="966" w:type="pct"/>
            <w:tcBorders>
              <w:top w:val="single" w:sz="4" w:space="0" w:color="auto"/>
              <w:bottom w:val="single" w:sz="4" w:space="0" w:color="auto"/>
            </w:tcBorders>
            <w:vAlign w:val="bottom"/>
          </w:tcPr>
          <w:p w14:paraId="705A1EB8" w14:textId="77777777" w:rsidR="000E5239" w:rsidRPr="000F120F" w:rsidRDefault="000E5239" w:rsidP="00F36942">
            <w:pPr>
              <w:pStyle w:val="Tabletext"/>
              <w:rPr>
                <w:snapToGrid w:val="0"/>
              </w:rPr>
            </w:pPr>
            <w:r w:rsidRPr="00295986">
              <w:t>30</w:t>
            </w:r>
            <w:r w:rsidR="00D7157D">
              <w:t>.</w:t>
            </w:r>
            <w:r w:rsidRPr="00295986">
              <w:t>4081</w:t>
            </w:r>
          </w:p>
        </w:tc>
        <w:tc>
          <w:tcPr>
            <w:tcW w:w="966" w:type="pct"/>
            <w:tcBorders>
              <w:top w:val="single" w:sz="4" w:space="0" w:color="auto"/>
              <w:bottom w:val="single" w:sz="4" w:space="0" w:color="auto"/>
            </w:tcBorders>
            <w:vAlign w:val="bottom"/>
          </w:tcPr>
          <w:p w14:paraId="4C5974DA" w14:textId="77777777" w:rsidR="000E5239" w:rsidRPr="000F120F" w:rsidRDefault="000E5239" w:rsidP="00F36942">
            <w:pPr>
              <w:pStyle w:val="Tabletext"/>
              <w:rPr>
                <w:snapToGrid w:val="0"/>
              </w:rPr>
            </w:pPr>
            <w:r w:rsidRPr="00295986">
              <w:t>0</w:t>
            </w:r>
            <w:r w:rsidR="00D7157D">
              <w:t>.</w:t>
            </w:r>
            <w:r w:rsidRPr="00295986">
              <w:t>3387</w:t>
            </w:r>
          </w:p>
        </w:tc>
      </w:tr>
      <w:tr w:rsidR="000E5239" w:rsidRPr="009E2595" w14:paraId="3B48BBDA" w14:textId="77777777" w:rsidTr="00F36942">
        <w:trPr>
          <w:cantSplit/>
        </w:trPr>
        <w:tc>
          <w:tcPr>
            <w:tcW w:w="1136" w:type="pct"/>
            <w:tcBorders>
              <w:top w:val="single" w:sz="4" w:space="0" w:color="auto"/>
              <w:bottom w:val="single" w:sz="4" w:space="0" w:color="auto"/>
            </w:tcBorders>
          </w:tcPr>
          <w:p w14:paraId="4302294A" w14:textId="77777777" w:rsidR="000E5239" w:rsidRPr="00616B26" w:rsidRDefault="000E5239" w:rsidP="00F36942">
            <w:pPr>
              <w:pStyle w:val="Tabletext"/>
              <w:rPr>
                <w:snapToGrid w:val="0"/>
              </w:rPr>
            </w:pPr>
            <w:r w:rsidRPr="00616B26">
              <w:rPr>
                <w:snapToGrid w:val="0"/>
              </w:rPr>
              <w:t>20</w:t>
            </w:r>
          </w:p>
        </w:tc>
        <w:tc>
          <w:tcPr>
            <w:tcW w:w="966" w:type="pct"/>
            <w:tcBorders>
              <w:top w:val="single" w:sz="4" w:space="0" w:color="auto"/>
              <w:bottom w:val="single" w:sz="4" w:space="0" w:color="auto"/>
            </w:tcBorders>
            <w:vAlign w:val="bottom"/>
          </w:tcPr>
          <w:p w14:paraId="44F6D75F" w14:textId="77777777" w:rsidR="000E5239" w:rsidRPr="000F120F" w:rsidRDefault="000E5239" w:rsidP="00F36942">
            <w:pPr>
              <w:pStyle w:val="Tabletext"/>
              <w:rPr>
                <w:snapToGrid w:val="0"/>
              </w:rPr>
            </w:pPr>
            <w:r w:rsidRPr="00295986">
              <w:t>29</w:t>
            </w:r>
            <w:r w:rsidR="00D7157D">
              <w:t>.</w:t>
            </w:r>
            <w:r w:rsidRPr="00295986">
              <w:t>7969</w:t>
            </w:r>
          </w:p>
        </w:tc>
        <w:tc>
          <w:tcPr>
            <w:tcW w:w="966" w:type="pct"/>
            <w:tcBorders>
              <w:top w:val="single" w:sz="4" w:space="0" w:color="auto"/>
              <w:bottom w:val="single" w:sz="4" w:space="0" w:color="auto"/>
            </w:tcBorders>
            <w:vAlign w:val="bottom"/>
          </w:tcPr>
          <w:p w14:paraId="4CB12909" w14:textId="77777777" w:rsidR="000E5239" w:rsidRPr="000F120F" w:rsidRDefault="000E5239" w:rsidP="00F36942">
            <w:pPr>
              <w:pStyle w:val="Tabletext"/>
              <w:rPr>
                <w:snapToGrid w:val="0"/>
              </w:rPr>
            </w:pPr>
            <w:r w:rsidRPr="00295986">
              <w:t>0</w:t>
            </w:r>
            <w:r w:rsidR="00D7157D">
              <w:t>.</w:t>
            </w:r>
            <w:r w:rsidRPr="00295986">
              <w:t>8691</w:t>
            </w:r>
          </w:p>
        </w:tc>
        <w:tc>
          <w:tcPr>
            <w:tcW w:w="966" w:type="pct"/>
            <w:tcBorders>
              <w:top w:val="single" w:sz="4" w:space="0" w:color="auto"/>
              <w:bottom w:val="single" w:sz="4" w:space="0" w:color="auto"/>
            </w:tcBorders>
            <w:vAlign w:val="bottom"/>
          </w:tcPr>
          <w:p w14:paraId="438009B9" w14:textId="77777777" w:rsidR="000E5239" w:rsidRPr="000F120F" w:rsidRDefault="000E5239" w:rsidP="00F36942">
            <w:pPr>
              <w:pStyle w:val="Tabletext"/>
              <w:rPr>
                <w:snapToGrid w:val="0"/>
              </w:rPr>
            </w:pPr>
            <w:r w:rsidRPr="00295986">
              <w:t>30</w:t>
            </w:r>
            <w:r w:rsidR="00D7157D">
              <w:t>.</w:t>
            </w:r>
            <w:r w:rsidRPr="00295986">
              <w:t>2734</w:t>
            </w:r>
          </w:p>
        </w:tc>
        <w:tc>
          <w:tcPr>
            <w:tcW w:w="966" w:type="pct"/>
            <w:tcBorders>
              <w:top w:val="single" w:sz="4" w:space="0" w:color="auto"/>
              <w:bottom w:val="single" w:sz="4" w:space="0" w:color="auto"/>
            </w:tcBorders>
            <w:vAlign w:val="bottom"/>
          </w:tcPr>
          <w:p w14:paraId="2201D4AD" w14:textId="77777777" w:rsidR="000E5239" w:rsidRPr="000F120F" w:rsidRDefault="000E5239" w:rsidP="00F36942">
            <w:pPr>
              <w:pStyle w:val="Tabletext"/>
              <w:rPr>
                <w:snapToGrid w:val="0"/>
              </w:rPr>
            </w:pPr>
            <w:r w:rsidRPr="00295986">
              <w:t>0</w:t>
            </w:r>
            <w:r w:rsidR="00D7157D">
              <w:t>.</w:t>
            </w:r>
            <w:r w:rsidRPr="00295986">
              <w:t>3494</w:t>
            </w:r>
          </w:p>
        </w:tc>
      </w:tr>
      <w:tr w:rsidR="000E5239" w:rsidRPr="009E2595" w14:paraId="6793EEF1" w14:textId="77777777" w:rsidTr="00F36942">
        <w:trPr>
          <w:cantSplit/>
        </w:trPr>
        <w:tc>
          <w:tcPr>
            <w:tcW w:w="1136" w:type="pct"/>
            <w:tcBorders>
              <w:top w:val="single" w:sz="4" w:space="0" w:color="auto"/>
              <w:bottom w:val="single" w:sz="4" w:space="0" w:color="auto"/>
            </w:tcBorders>
          </w:tcPr>
          <w:p w14:paraId="705B6D37" w14:textId="77777777" w:rsidR="000E5239" w:rsidRPr="00616B26" w:rsidRDefault="000E5239" w:rsidP="00F36942">
            <w:pPr>
              <w:pStyle w:val="Tabletext"/>
              <w:rPr>
                <w:snapToGrid w:val="0"/>
              </w:rPr>
            </w:pPr>
            <w:r w:rsidRPr="00616B26">
              <w:rPr>
                <w:snapToGrid w:val="0"/>
              </w:rPr>
              <w:t>21</w:t>
            </w:r>
          </w:p>
        </w:tc>
        <w:tc>
          <w:tcPr>
            <w:tcW w:w="966" w:type="pct"/>
            <w:tcBorders>
              <w:top w:val="single" w:sz="4" w:space="0" w:color="auto"/>
              <w:bottom w:val="single" w:sz="4" w:space="0" w:color="auto"/>
            </w:tcBorders>
            <w:vAlign w:val="bottom"/>
          </w:tcPr>
          <w:p w14:paraId="7E79BAB5" w14:textId="77777777" w:rsidR="000E5239" w:rsidRPr="000F120F" w:rsidRDefault="000E5239" w:rsidP="00F36942">
            <w:pPr>
              <w:pStyle w:val="Tabletext"/>
              <w:rPr>
                <w:snapToGrid w:val="0"/>
              </w:rPr>
            </w:pPr>
            <w:r w:rsidRPr="00295986">
              <w:t>29</w:t>
            </w:r>
            <w:r w:rsidR="00D7157D">
              <w:t>.</w:t>
            </w:r>
            <w:r w:rsidRPr="00295986">
              <w:t>6466</w:t>
            </w:r>
          </w:p>
        </w:tc>
        <w:tc>
          <w:tcPr>
            <w:tcW w:w="966" w:type="pct"/>
            <w:tcBorders>
              <w:top w:val="single" w:sz="4" w:space="0" w:color="auto"/>
              <w:bottom w:val="single" w:sz="4" w:space="0" w:color="auto"/>
            </w:tcBorders>
            <w:vAlign w:val="bottom"/>
          </w:tcPr>
          <w:p w14:paraId="1EFCA8F8" w14:textId="77777777" w:rsidR="000E5239" w:rsidRPr="000F120F" w:rsidRDefault="000E5239" w:rsidP="00F36942">
            <w:pPr>
              <w:pStyle w:val="Tabletext"/>
              <w:rPr>
                <w:snapToGrid w:val="0"/>
              </w:rPr>
            </w:pPr>
            <w:r w:rsidRPr="00295986">
              <w:t>0</w:t>
            </w:r>
            <w:r w:rsidR="00D7157D">
              <w:t>.</w:t>
            </w:r>
            <w:r w:rsidRPr="00295986">
              <w:t>8944</w:t>
            </w:r>
          </w:p>
        </w:tc>
        <w:tc>
          <w:tcPr>
            <w:tcW w:w="966" w:type="pct"/>
            <w:tcBorders>
              <w:top w:val="single" w:sz="4" w:space="0" w:color="auto"/>
              <w:bottom w:val="single" w:sz="4" w:space="0" w:color="auto"/>
            </w:tcBorders>
            <w:vAlign w:val="bottom"/>
          </w:tcPr>
          <w:p w14:paraId="5DEAE545" w14:textId="77777777" w:rsidR="000E5239" w:rsidRPr="000F120F" w:rsidRDefault="000E5239" w:rsidP="00F36942">
            <w:pPr>
              <w:pStyle w:val="Tabletext"/>
              <w:rPr>
                <w:snapToGrid w:val="0"/>
              </w:rPr>
            </w:pPr>
            <w:r w:rsidRPr="00295986">
              <w:t>30</w:t>
            </w:r>
            <w:r w:rsidR="00D7157D">
              <w:t>.</w:t>
            </w:r>
            <w:r w:rsidRPr="00295986">
              <w:t>1345</w:t>
            </w:r>
          </w:p>
        </w:tc>
        <w:tc>
          <w:tcPr>
            <w:tcW w:w="966" w:type="pct"/>
            <w:tcBorders>
              <w:top w:val="single" w:sz="4" w:space="0" w:color="auto"/>
              <w:bottom w:val="single" w:sz="4" w:space="0" w:color="auto"/>
            </w:tcBorders>
            <w:vAlign w:val="bottom"/>
          </w:tcPr>
          <w:p w14:paraId="176A643B" w14:textId="77777777" w:rsidR="000E5239" w:rsidRPr="000F120F" w:rsidRDefault="000E5239" w:rsidP="00F36942">
            <w:pPr>
              <w:pStyle w:val="Tabletext"/>
              <w:rPr>
                <w:snapToGrid w:val="0"/>
              </w:rPr>
            </w:pPr>
            <w:r w:rsidRPr="00295986">
              <w:t>0</w:t>
            </w:r>
            <w:r w:rsidR="00D7157D">
              <w:t>.</w:t>
            </w:r>
            <w:r w:rsidRPr="00295986">
              <w:t>3604</w:t>
            </w:r>
          </w:p>
        </w:tc>
      </w:tr>
      <w:tr w:rsidR="000E5239" w:rsidRPr="009E2595" w14:paraId="4CC6BE0E" w14:textId="77777777" w:rsidTr="00F36942">
        <w:trPr>
          <w:cantSplit/>
        </w:trPr>
        <w:tc>
          <w:tcPr>
            <w:tcW w:w="1136" w:type="pct"/>
            <w:tcBorders>
              <w:top w:val="single" w:sz="4" w:space="0" w:color="auto"/>
              <w:bottom w:val="single" w:sz="4" w:space="0" w:color="auto"/>
            </w:tcBorders>
          </w:tcPr>
          <w:p w14:paraId="314286A4" w14:textId="77777777" w:rsidR="000E5239" w:rsidRPr="00616B26" w:rsidRDefault="000E5239" w:rsidP="00F36942">
            <w:pPr>
              <w:pStyle w:val="Tabletext"/>
              <w:rPr>
                <w:snapToGrid w:val="0"/>
              </w:rPr>
            </w:pPr>
            <w:r w:rsidRPr="00616B26">
              <w:rPr>
                <w:snapToGrid w:val="0"/>
              </w:rPr>
              <w:t>22</w:t>
            </w:r>
          </w:p>
        </w:tc>
        <w:tc>
          <w:tcPr>
            <w:tcW w:w="966" w:type="pct"/>
            <w:tcBorders>
              <w:top w:val="single" w:sz="4" w:space="0" w:color="auto"/>
              <w:bottom w:val="single" w:sz="4" w:space="0" w:color="auto"/>
            </w:tcBorders>
            <w:vAlign w:val="bottom"/>
          </w:tcPr>
          <w:p w14:paraId="60341B6A" w14:textId="77777777" w:rsidR="000E5239" w:rsidRPr="000F120F" w:rsidRDefault="000E5239" w:rsidP="00F36942">
            <w:pPr>
              <w:pStyle w:val="Tabletext"/>
              <w:rPr>
                <w:snapToGrid w:val="0"/>
              </w:rPr>
            </w:pPr>
            <w:r w:rsidRPr="00295986">
              <w:t>29</w:t>
            </w:r>
            <w:r w:rsidR="00D7157D">
              <w:t>.</w:t>
            </w:r>
            <w:r w:rsidRPr="00295986">
              <w:t>4919</w:t>
            </w:r>
          </w:p>
        </w:tc>
        <w:tc>
          <w:tcPr>
            <w:tcW w:w="966" w:type="pct"/>
            <w:tcBorders>
              <w:top w:val="single" w:sz="4" w:space="0" w:color="auto"/>
              <w:bottom w:val="single" w:sz="4" w:space="0" w:color="auto"/>
            </w:tcBorders>
            <w:vAlign w:val="bottom"/>
          </w:tcPr>
          <w:p w14:paraId="4A0CA98B" w14:textId="77777777" w:rsidR="000E5239" w:rsidRPr="000F120F" w:rsidRDefault="000E5239" w:rsidP="00F36942">
            <w:pPr>
              <w:pStyle w:val="Tabletext"/>
              <w:rPr>
                <w:snapToGrid w:val="0"/>
              </w:rPr>
            </w:pPr>
            <w:r w:rsidRPr="00295986">
              <w:t>0</w:t>
            </w:r>
            <w:r w:rsidR="00D7157D">
              <w:t>.</w:t>
            </w:r>
            <w:r w:rsidRPr="00295986">
              <w:t>9203</w:t>
            </w:r>
          </w:p>
        </w:tc>
        <w:tc>
          <w:tcPr>
            <w:tcW w:w="966" w:type="pct"/>
            <w:tcBorders>
              <w:top w:val="single" w:sz="4" w:space="0" w:color="auto"/>
              <w:bottom w:val="single" w:sz="4" w:space="0" w:color="auto"/>
            </w:tcBorders>
            <w:vAlign w:val="bottom"/>
          </w:tcPr>
          <w:p w14:paraId="62D112E2" w14:textId="77777777" w:rsidR="000E5239" w:rsidRPr="000F120F" w:rsidRDefault="000E5239" w:rsidP="00F36942">
            <w:pPr>
              <w:pStyle w:val="Tabletext"/>
              <w:rPr>
                <w:snapToGrid w:val="0"/>
              </w:rPr>
            </w:pPr>
            <w:r w:rsidRPr="00295986">
              <w:t>29</w:t>
            </w:r>
            <w:r w:rsidR="00D7157D">
              <w:t>.</w:t>
            </w:r>
            <w:r w:rsidRPr="00295986">
              <w:t>9913</w:t>
            </w:r>
          </w:p>
        </w:tc>
        <w:tc>
          <w:tcPr>
            <w:tcW w:w="966" w:type="pct"/>
            <w:tcBorders>
              <w:top w:val="single" w:sz="4" w:space="0" w:color="auto"/>
              <w:bottom w:val="single" w:sz="4" w:space="0" w:color="auto"/>
            </w:tcBorders>
            <w:vAlign w:val="bottom"/>
          </w:tcPr>
          <w:p w14:paraId="09CE5CB2" w14:textId="77777777" w:rsidR="000E5239" w:rsidRPr="000F120F" w:rsidRDefault="000E5239" w:rsidP="00F36942">
            <w:pPr>
              <w:pStyle w:val="Tabletext"/>
              <w:rPr>
                <w:snapToGrid w:val="0"/>
              </w:rPr>
            </w:pPr>
            <w:r w:rsidRPr="00295986">
              <w:t>0</w:t>
            </w:r>
            <w:r w:rsidR="00D7157D">
              <w:t>.</w:t>
            </w:r>
            <w:r w:rsidRPr="00295986">
              <w:t>3719</w:t>
            </w:r>
          </w:p>
        </w:tc>
      </w:tr>
      <w:tr w:rsidR="000E5239" w:rsidRPr="009E2595" w14:paraId="0FDD6AEE" w14:textId="77777777" w:rsidTr="00F36942">
        <w:trPr>
          <w:cantSplit/>
        </w:trPr>
        <w:tc>
          <w:tcPr>
            <w:tcW w:w="1136" w:type="pct"/>
            <w:tcBorders>
              <w:top w:val="single" w:sz="4" w:space="0" w:color="auto"/>
              <w:bottom w:val="single" w:sz="4" w:space="0" w:color="auto"/>
            </w:tcBorders>
          </w:tcPr>
          <w:p w14:paraId="7F75EB0F" w14:textId="77777777" w:rsidR="000E5239" w:rsidRPr="00616B26" w:rsidRDefault="000E5239" w:rsidP="00F36942">
            <w:pPr>
              <w:pStyle w:val="Tabletext"/>
              <w:rPr>
                <w:snapToGrid w:val="0"/>
              </w:rPr>
            </w:pPr>
            <w:r w:rsidRPr="00616B26">
              <w:rPr>
                <w:snapToGrid w:val="0"/>
              </w:rPr>
              <w:t>23</w:t>
            </w:r>
          </w:p>
        </w:tc>
        <w:tc>
          <w:tcPr>
            <w:tcW w:w="966" w:type="pct"/>
            <w:tcBorders>
              <w:top w:val="single" w:sz="4" w:space="0" w:color="auto"/>
              <w:bottom w:val="single" w:sz="4" w:space="0" w:color="auto"/>
            </w:tcBorders>
            <w:vAlign w:val="bottom"/>
          </w:tcPr>
          <w:p w14:paraId="69C7A5B1" w14:textId="77777777" w:rsidR="000E5239" w:rsidRPr="000F120F" w:rsidRDefault="000E5239" w:rsidP="00F36942">
            <w:pPr>
              <w:pStyle w:val="Tabletext"/>
              <w:rPr>
                <w:snapToGrid w:val="0"/>
              </w:rPr>
            </w:pPr>
            <w:r w:rsidRPr="00295986">
              <w:t>29</w:t>
            </w:r>
            <w:r w:rsidR="00D7157D">
              <w:t>.</w:t>
            </w:r>
            <w:r w:rsidRPr="00295986">
              <w:t>3327</w:t>
            </w:r>
          </w:p>
        </w:tc>
        <w:tc>
          <w:tcPr>
            <w:tcW w:w="966" w:type="pct"/>
            <w:tcBorders>
              <w:top w:val="single" w:sz="4" w:space="0" w:color="auto"/>
              <w:bottom w:val="single" w:sz="4" w:space="0" w:color="auto"/>
            </w:tcBorders>
            <w:vAlign w:val="bottom"/>
          </w:tcPr>
          <w:p w14:paraId="2B2C7242" w14:textId="77777777" w:rsidR="000E5239" w:rsidRPr="000F120F" w:rsidRDefault="000E5239" w:rsidP="00F36942">
            <w:pPr>
              <w:pStyle w:val="Tabletext"/>
              <w:rPr>
                <w:snapToGrid w:val="0"/>
              </w:rPr>
            </w:pPr>
            <w:r w:rsidRPr="00295986">
              <w:t>0</w:t>
            </w:r>
            <w:r w:rsidR="00D7157D">
              <w:t>.</w:t>
            </w:r>
            <w:r w:rsidRPr="00295986">
              <w:t>9469</w:t>
            </w:r>
          </w:p>
        </w:tc>
        <w:tc>
          <w:tcPr>
            <w:tcW w:w="966" w:type="pct"/>
            <w:tcBorders>
              <w:top w:val="single" w:sz="4" w:space="0" w:color="auto"/>
              <w:bottom w:val="single" w:sz="4" w:space="0" w:color="auto"/>
            </w:tcBorders>
            <w:vAlign w:val="bottom"/>
          </w:tcPr>
          <w:p w14:paraId="63282A96" w14:textId="77777777" w:rsidR="000E5239" w:rsidRPr="000F120F" w:rsidRDefault="000E5239" w:rsidP="00F36942">
            <w:pPr>
              <w:pStyle w:val="Tabletext"/>
              <w:rPr>
                <w:snapToGrid w:val="0"/>
              </w:rPr>
            </w:pPr>
            <w:r w:rsidRPr="00295986">
              <w:t>29</w:t>
            </w:r>
            <w:r w:rsidR="00D7157D">
              <w:t>.</w:t>
            </w:r>
            <w:r w:rsidRPr="00295986">
              <w:t>8436</w:t>
            </w:r>
          </w:p>
        </w:tc>
        <w:tc>
          <w:tcPr>
            <w:tcW w:w="966" w:type="pct"/>
            <w:tcBorders>
              <w:top w:val="single" w:sz="4" w:space="0" w:color="auto"/>
              <w:bottom w:val="single" w:sz="4" w:space="0" w:color="auto"/>
            </w:tcBorders>
            <w:vAlign w:val="bottom"/>
          </w:tcPr>
          <w:p w14:paraId="16F6A9D1" w14:textId="77777777" w:rsidR="000E5239" w:rsidRPr="000F120F" w:rsidRDefault="000E5239" w:rsidP="00F36942">
            <w:pPr>
              <w:pStyle w:val="Tabletext"/>
              <w:rPr>
                <w:snapToGrid w:val="0"/>
              </w:rPr>
            </w:pPr>
            <w:r w:rsidRPr="00295986">
              <w:t>0</w:t>
            </w:r>
            <w:r w:rsidR="00D7157D">
              <w:t>.</w:t>
            </w:r>
            <w:r w:rsidRPr="00295986">
              <w:t>3837</w:t>
            </w:r>
          </w:p>
        </w:tc>
      </w:tr>
      <w:tr w:rsidR="000E5239" w:rsidRPr="009E2595" w14:paraId="57FA5D63" w14:textId="77777777" w:rsidTr="00F36942">
        <w:trPr>
          <w:cantSplit/>
        </w:trPr>
        <w:tc>
          <w:tcPr>
            <w:tcW w:w="1136" w:type="pct"/>
            <w:tcBorders>
              <w:top w:val="single" w:sz="4" w:space="0" w:color="auto"/>
              <w:bottom w:val="single" w:sz="4" w:space="0" w:color="auto"/>
            </w:tcBorders>
          </w:tcPr>
          <w:p w14:paraId="3C5BE22F" w14:textId="77777777" w:rsidR="000E5239" w:rsidRPr="00616B26" w:rsidRDefault="000E5239" w:rsidP="00F36942">
            <w:pPr>
              <w:pStyle w:val="Tabletext"/>
              <w:rPr>
                <w:snapToGrid w:val="0"/>
              </w:rPr>
            </w:pPr>
            <w:r w:rsidRPr="00616B26">
              <w:rPr>
                <w:snapToGrid w:val="0"/>
              </w:rPr>
              <w:t>24</w:t>
            </w:r>
          </w:p>
        </w:tc>
        <w:tc>
          <w:tcPr>
            <w:tcW w:w="966" w:type="pct"/>
            <w:tcBorders>
              <w:top w:val="single" w:sz="4" w:space="0" w:color="auto"/>
              <w:bottom w:val="single" w:sz="4" w:space="0" w:color="auto"/>
            </w:tcBorders>
            <w:vAlign w:val="bottom"/>
          </w:tcPr>
          <w:p w14:paraId="2C0107FB" w14:textId="77777777" w:rsidR="000E5239" w:rsidRPr="000F120F" w:rsidRDefault="000E5239" w:rsidP="00F36942">
            <w:pPr>
              <w:pStyle w:val="Tabletext"/>
              <w:rPr>
                <w:snapToGrid w:val="0"/>
              </w:rPr>
            </w:pPr>
            <w:r w:rsidRPr="00295986">
              <w:t>29</w:t>
            </w:r>
            <w:r w:rsidR="00D7157D">
              <w:t>.</w:t>
            </w:r>
            <w:r w:rsidRPr="00295986">
              <w:t>1687</w:t>
            </w:r>
          </w:p>
        </w:tc>
        <w:tc>
          <w:tcPr>
            <w:tcW w:w="966" w:type="pct"/>
            <w:tcBorders>
              <w:top w:val="single" w:sz="4" w:space="0" w:color="auto"/>
              <w:bottom w:val="single" w:sz="4" w:space="0" w:color="auto"/>
            </w:tcBorders>
            <w:vAlign w:val="bottom"/>
          </w:tcPr>
          <w:p w14:paraId="3E9BF908" w14:textId="77777777" w:rsidR="000E5239" w:rsidRPr="000F120F" w:rsidRDefault="000E5239" w:rsidP="00F36942">
            <w:pPr>
              <w:pStyle w:val="Tabletext"/>
              <w:rPr>
                <w:snapToGrid w:val="0"/>
              </w:rPr>
            </w:pPr>
            <w:r w:rsidRPr="00295986">
              <w:t>0</w:t>
            </w:r>
            <w:r w:rsidR="00D7157D">
              <w:t>.</w:t>
            </w:r>
            <w:r w:rsidRPr="00295986">
              <w:t>9743</w:t>
            </w:r>
          </w:p>
        </w:tc>
        <w:tc>
          <w:tcPr>
            <w:tcW w:w="966" w:type="pct"/>
            <w:tcBorders>
              <w:top w:val="single" w:sz="4" w:space="0" w:color="auto"/>
              <w:bottom w:val="single" w:sz="4" w:space="0" w:color="auto"/>
            </w:tcBorders>
            <w:vAlign w:val="bottom"/>
          </w:tcPr>
          <w:p w14:paraId="00AD8160" w14:textId="77777777" w:rsidR="000E5239" w:rsidRPr="000F120F" w:rsidRDefault="000E5239" w:rsidP="00F36942">
            <w:pPr>
              <w:pStyle w:val="Tabletext"/>
              <w:rPr>
                <w:snapToGrid w:val="0"/>
              </w:rPr>
            </w:pPr>
            <w:r w:rsidRPr="00295986">
              <w:t>29</w:t>
            </w:r>
            <w:r w:rsidR="00D7157D">
              <w:t>.</w:t>
            </w:r>
            <w:r w:rsidRPr="00295986">
              <w:t>6912</w:t>
            </w:r>
          </w:p>
        </w:tc>
        <w:tc>
          <w:tcPr>
            <w:tcW w:w="966" w:type="pct"/>
            <w:tcBorders>
              <w:top w:val="single" w:sz="4" w:space="0" w:color="auto"/>
              <w:bottom w:val="single" w:sz="4" w:space="0" w:color="auto"/>
            </w:tcBorders>
            <w:vAlign w:val="bottom"/>
          </w:tcPr>
          <w:p w14:paraId="1B48EEB5" w14:textId="77777777" w:rsidR="000E5239" w:rsidRPr="000F120F" w:rsidRDefault="000E5239" w:rsidP="00F36942">
            <w:pPr>
              <w:pStyle w:val="Tabletext"/>
              <w:rPr>
                <w:snapToGrid w:val="0"/>
              </w:rPr>
            </w:pPr>
            <w:r w:rsidRPr="00295986">
              <w:t>0</w:t>
            </w:r>
            <w:r w:rsidR="00D7157D">
              <w:t>.</w:t>
            </w:r>
            <w:r w:rsidRPr="00295986">
              <w:t>3959</w:t>
            </w:r>
          </w:p>
        </w:tc>
      </w:tr>
      <w:tr w:rsidR="000E5239" w:rsidRPr="009E2595" w14:paraId="6FDA9260" w14:textId="77777777" w:rsidTr="00F36942">
        <w:trPr>
          <w:cantSplit/>
        </w:trPr>
        <w:tc>
          <w:tcPr>
            <w:tcW w:w="1136" w:type="pct"/>
            <w:tcBorders>
              <w:top w:val="single" w:sz="4" w:space="0" w:color="auto"/>
              <w:bottom w:val="single" w:sz="4" w:space="0" w:color="auto"/>
            </w:tcBorders>
          </w:tcPr>
          <w:p w14:paraId="3ADD76D2" w14:textId="77777777" w:rsidR="000E5239" w:rsidRPr="00616B26" w:rsidRDefault="000E5239" w:rsidP="00F36942">
            <w:pPr>
              <w:pStyle w:val="Tabletext"/>
              <w:rPr>
                <w:snapToGrid w:val="0"/>
              </w:rPr>
            </w:pPr>
            <w:r w:rsidRPr="00616B26">
              <w:rPr>
                <w:snapToGrid w:val="0"/>
              </w:rPr>
              <w:t>25</w:t>
            </w:r>
          </w:p>
        </w:tc>
        <w:tc>
          <w:tcPr>
            <w:tcW w:w="966" w:type="pct"/>
            <w:tcBorders>
              <w:top w:val="single" w:sz="4" w:space="0" w:color="auto"/>
              <w:bottom w:val="single" w:sz="4" w:space="0" w:color="auto"/>
            </w:tcBorders>
            <w:vAlign w:val="bottom"/>
          </w:tcPr>
          <w:p w14:paraId="5D241BF9" w14:textId="77777777" w:rsidR="000E5239" w:rsidRPr="000F120F" w:rsidRDefault="000E5239" w:rsidP="00F36942">
            <w:pPr>
              <w:pStyle w:val="Tabletext"/>
              <w:rPr>
                <w:snapToGrid w:val="0"/>
              </w:rPr>
            </w:pPr>
            <w:r w:rsidRPr="00295986">
              <w:t>28</w:t>
            </w:r>
            <w:r w:rsidR="00D7157D">
              <w:t>.</w:t>
            </w:r>
            <w:r w:rsidRPr="00295986">
              <w:t>9999</w:t>
            </w:r>
          </w:p>
        </w:tc>
        <w:tc>
          <w:tcPr>
            <w:tcW w:w="966" w:type="pct"/>
            <w:tcBorders>
              <w:top w:val="single" w:sz="4" w:space="0" w:color="auto"/>
              <w:bottom w:val="single" w:sz="4" w:space="0" w:color="auto"/>
            </w:tcBorders>
            <w:vAlign w:val="bottom"/>
          </w:tcPr>
          <w:p w14:paraId="4D51F673" w14:textId="77777777" w:rsidR="000E5239" w:rsidRPr="000F120F" w:rsidRDefault="000E5239" w:rsidP="00F36942">
            <w:pPr>
              <w:pStyle w:val="Tabletext"/>
              <w:rPr>
                <w:snapToGrid w:val="0"/>
              </w:rPr>
            </w:pPr>
            <w:r w:rsidRPr="00295986">
              <w:t>1</w:t>
            </w:r>
            <w:r w:rsidR="00D7157D">
              <w:t>.</w:t>
            </w:r>
            <w:r w:rsidRPr="00295986">
              <w:t>0025</w:t>
            </w:r>
          </w:p>
        </w:tc>
        <w:tc>
          <w:tcPr>
            <w:tcW w:w="966" w:type="pct"/>
            <w:tcBorders>
              <w:top w:val="single" w:sz="4" w:space="0" w:color="auto"/>
              <w:bottom w:val="single" w:sz="4" w:space="0" w:color="auto"/>
            </w:tcBorders>
            <w:vAlign w:val="bottom"/>
          </w:tcPr>
          <w:p w14:paraId="5C686F32" w14:textId="77777777" w:rsidR="000E5239" w:rsidRPr="000F120F" w:rsidRDefault="000E5239" w:rsidP="00F36942">
            <w:pPr>
              <w:pStyle w:val="Tabletext"/>
              <w:rPr>
                <w:snapToGrid w:val="0"/>
              </w:rPr>
            </w:pPr>
            <w:r w:rsidRPr="00295986">
              <w:t>29</w:t>
            </w:r>
            <w:r w:rsidR="00D7157D">
              <w:t>.</w:t>
            </w:r>
            <w:r w:rsidRPr="00295986">
              <w:t>5344</w:t>
            </w:r>
          </w:p>
        </w:tc>
        <w:tc>
          <w:tcPr>
            <w:tcW w:w="966" w:type="pct"/>
            <w:tcBorders>
              <w:top w:val="single" w:sz="4" w:space="0" w:color="auto"/>
              <w:bottom w:val="single" w:sz="4" w:space="0" w:color="auto"/>
            </w:tcBorders>
            <w:vAlign w:val="bottom"/>
          </w:tcPr>
          <w:p w14:paraId="2D7EADB4" w14:textId="77777777" w:rsidR="000E5239" w:rsidRPr="000F120F" w:rsidRDefault="000E5239" w:rsidP="00F36942">
            <w:pPr>
              <w:pStyle w:val="Tabletext"/>
              <w:rPr>
                <w:snapToGrid w:val="0"/>
              </w:rPr>
            </w:pPr>
            <w:r w:rsidRPr="00295986">
              <w:t>0</w:t>
            </w:r>
            <w:r w:rsidR="00D7157D">
              <w:t>.</w:t>
            </w:r>
            <w:r w:rsidRPr="00295986">
              <w:t>4085</w:t>
            </w:r>
          </w:p>
        </w:tc>
      </w:tr>
      <w:tr w:rsidR="000E5239" w:rsidRPr="009E2595" w14:paraId="6A6EAC16" w14:textId="77777777" w:rsidTr="00F36942">
        <w:trPr>
          <w:cantSplit/>
        </w:trPr>
        <w:tc>
          <w:tcPr>
            <w:tcW w:w="1136" w:type="pct"/>
            <w:tcBorders>
              <w:top w:val="single" w:sz="4" w:space="0" w:color="auto"/>
              <w:bottom w:val="single" w:sz="4" w:space="0" w:color="auto"/>
            </w:tcBorders>
          </w:tcPr>
          <w:p w14:paraId="2F2E71B9" w14:textId="77777777" w:rsidR="000E5239" w:rsidRPr="00616B26" w:rsidRDefault="000E5239" w:rsidP="00F36942">
            <w:pPr>
              <w:pStyle w:val="Tabletext"/>
              <w:rPr>
                <w:snapToGrid w:val="0"/>
              </w:rPr>
            </w:pPr>
            <w:r w:rsidRPr="00616B26">
              <w:rPr>
                <w:snapToGrid w:val="0"/>
              </w:rPr>
              <w:t>26</w:t>
            </w:r>
          </w:p>
        </w:tc>
        <w:tc>
          <w:tcPr>
            <w:tcW w:w="966" w:type="pct"/>
            <w:tcBorders>
              <w:top w:val="single" w:sz="4" w:space="0" w:color="auto"/>
              <w:bottom w:val="single" w:sz="4" w:space="0" w:color="auto"/>
            </w:tcBorders>
            <w:vAlign w:val="bottom"/>
          </w:tcPr>
          <w:p w14:paraId="23CDA1FF" w14:textId="77777777" w:rsidR="000E5239" w:rsidRPr="000F120F" w:rsidRDefault="000E5239" w:rsidP="00F36942">
            <w:pPr>
              <w:pStyle w:val="Tabletext"/>
              <w:rPr>
                <w:snapToGrid w:val="0"/>
              </w:rPr>
            </w:pPr>
            <w:r w:rsidRPr="00295986">
              <w:t>28</w:t>
            </w:r>
            <w:r w:rsidR="00D7157D">
              <w:t>.</w:t>
            </w:r>
            <w:r w:rsidRPr="00295986">
              <w:t>8260</w:t>
            </w:r>
          </w:p>
        </w:tc>
        <w:tc>
          <w:tcPr>
            <w:tcW w:w="966" w:type="pct"/>
            <w:tcBorders>
              <w:top w:val="single" w:sz="4" w:space="0" w:color="auto"/>
              <w:bottom w:val="single" w:sz="4" w:space="0" w:color="auto"/>
            </w:tcBorders>
            <w:vAlign w:val="bottom"/>
          </w:tcPr>
          <w:p w14:paraId="22CC7AAC" w14:textId="77777777" w:rsidR="000E5239" w:rsidRPr="000F120F" w:rsidRDefault="000E5239" w:rsidP="00F36942">
            <w:pPr>
              <w:pStyle w:val="Tabletext"/>
              <w:rPr>
                <w:snapToGrid w:val="0"/>
              </w:rPr>
            </w:pPr>
            <w:r w:rsidRPr="00295986">
              <w:t>1</w:t>
            </w:r>
            <w:r w:rsidR="00D7157D">
              <w:t>.</w:t>
            </w:r>
            <w:r w:rsidRPr="00295986">
              <w:t>0314</w:t>
            </w:r>
          </w:p>
        </w:tc>
        <w:tc>
          <w:tcPr>
            <w:tcW w:w="966" w:type="pct"/>
            <w:tcBorders>
              <w:top w:val="single" w:sz="4" w:space="0" w:color="auto"/>
              <w:bottom w:val="single" w:sz="4" w:space="0" w:color="auto"/>
            </w:tcBorders>
            <w:vAlign w:val="bottom"/>
          </w:tcPr>
          <w:p w14:paraId="198AD375" w14:textId="77777777" w:rsidR="000E5239" w:rsidRPr="000F120F" w:rsidRDefault="000E5239" w:rsidP="00F36942">
            <w:pPr>
              <w:pStyle w:val="Tabletext"/>
              <w:rPr>
                <w:snapToGrid w:val="0"/>
              </w:rPr>
            </w:pPr>
            <w:r w:rsidRPr="00295986">
              <w:t>29</w:t>
            </w:r>
            <w:r w:rsidR="00D7157D">
              <w:t>.</w:t>
            </w:r>
            <w:r w:rsidRPr="00295986">
              <w:t>3727</w:t>
            </w:r>
          </w:p>
        </w:tc>
        <w:tc>
          <w:tcPr>
            <w:tcW w:w="966" w:type="pct"/>
            <w:tcBorders>
              <w:top w:val="single" w:sz="4" w:space="0" w:color="auto"/>
              <w:bottom w:val="single" w:sz="4" w:space="0" w:color="auto"/>
            </w:tcBorders>
            <w:vAlign w:val="bottom"/>
          </w:tcPr>
          <w:p w14:paraId="7DDEE11A" w14:textId="77777777" w:rsidR="000E5239" w:rsidRPr="000F120F" w:rsidRDefault="000E5239" w:rsidP="00F36942">
            <w:pPr>
              <w:pStyle w:val="Tabletext"/>
              <w:rPr>
                <w:snapToGrid w:val="0"/>
              </w:rPr>
            </w:pPr>
            <w:r w:rsidRPr="00295986">
              <w:t>0</w:t>
            </w:r>
            <w:r w:rsidR="00D7157D">
              <w:t>.</w:t>
            </w:r>
            <w:r w:rsidRPr="00295986">
              <w:t>4214</w:t>
            </w:r>
          </w:p>
        </w:tc>
      </w:tr>
      <w:tr w:rsidR="000E5239" w:rsidRPr="009E2595" w14:paraId="07E90AB8" w14:textId="77777777" w:rsidTr="00F36942">
        <w:trPr>
          <w:cantSplit/>
        </w:trPr>
        <w:tc>
          <w:tcPr>
            <w:tcW w:w="1136" w:type="pct"/>
            <w:tcBorders>
              <w:top w:val="single" w:sz="4" w:space="0" w:color="auto"/>
              <w:bottom w:val="single" w:sz="4" w:space="0" w:color="auto"/>
            </w:tcBorders>
          </w:tcPr>
          <w:p w14:paraId="32CCBBC2" w14:textId="77777777" w:rsidR="000E5239" w:rsidRPr="00616B26" w:rsidRDefault="000E5239" w:rsidP="00F36942">
            <w:pPr>
              <w:pStyle w:val="Tabletext"/>
              <w:rPr>
                <w:snapToGrid w:val="0"/>
              </w:rPr>
            </w:pPr>
            <w:r w:rsidRPr="00616B26">
              <w:rPr>
                <w:snapToGrid w:val="0"/>
              </w:rPr>
              <w:t>27</w:t>
            </w:r>
          </w:p>
        </w:tc>
        <w:tc>
          <w:tcPr>
            <w:tcW w:w="966" w:type="pct"/>
            <w:tcBorders>
              <w:top w:val="single" w:sz="4" w:space="0" w:color="auto"/>
              <w:bottom w:val="single" w:sz="4" w:space="0" w:color="auto"/>
            </w:tcBorders>
            <w:vAlign w:val="bottom"/>
          </w:tcPr>
          <w:p w14:paraId="734BCD4D" w14:textId="77777777" w:rsidR="000E5239" w:rsidRPr="000F120F" w:rsidRDefault="000E5239" w:rsidP="00F36942">
            <w:pPr>
              <w:pStyle w:val="Tabletext"/>
              <w:rPr>
                <w:snapToGrid w:val="0"/>
              </w:rPr>
            </w:pPr>
            <w:r w:rsidRPr="00295986">
              <w:t>28</w:t>
            </w:r>
            <w:r w:rsidR="00D7157D">
              <w:t>.</w:t>
            </w:r>
            <w:r w:rsidRPr="00295986">
              <w:t>6470</w:t>
            </w:r>
          </w:p>
        </w:tc>
        <w:tc>
          <w:tcPr>
            <w:tcW w:w="966" w:type="pct"/>
            <w:tcBorders>
              <w:top w:val="single" w:sz="4" w:space="0" w:color="auto"/>
              <w:bottom w:val="single" w:sz="4" w:space="0" w:color="auto"/>
            </w:tcBorders>
            <w:vAlign w:val="bottom"/>
          </w:tcPr>
          <w:p w14:paraId="3E0FFC48" w14:textId="77777777" w:rsidR="000E5239" w:rsidRPr="000F120F" w:rsidRDefault="000E5239" w:rsidP="00F36942">
            <w:pPr>
              <w:pStyle w:val="Tabletext"/>
              <w:rPr>
                <w:snapToGrid w:val="0"/>
              </w:rPr>
            </w:pPr>
            <w:r w:rsidRPr="00295986">
              <w:t>1</w:t>
            </w:r>
            <w:r w:rsidR="00D7157D">
              <w:t>.</w:t>
            </w:r>
            <w:r w:rsidRPr="00295986">
              <w:t>0611</w:t>
            </w:r>
          </w:p>
        </w:tc>
        <w:tc>
          <w:tcPr>
            <w:tcW w:w="966" w:type="pct"/>
            <w:tcBorders>
              <w:top w:val="single" w:sz="4" w:space="0" w:color="auto"/>
              <w:bottom w:val="single" w:sz="4" w:space="0" w:color="auto"/>
            </w:tcBorders>
            <w:vAlign w:val="bottom"/>
          </w:tcPr>
          <w:p w14:paraId="064E32FF" w14:textId="77777777" w:rsidR="000E5239" w:rsidRPr="000F120F" w:rsidRDefault="000E5239" w:rsidP="00F36942">
            <w:pPr>
              <w:pStyle w:val="Tabletext"/>
              <w:rPr>
                <w:snapToGrid w:val="0"/>
              </w:rPr>
            </w:pPr>
            <w:r w:rsidRPr="00295986">
              <w:t>29</w:t>
            </w:r>
            <w:r w:rsidR="00D7157D">
              <w:t>.</w:t>
            </w:r>
            <w:r w:rsidRPr="00295986">
              <w:t>2059</w:t>
            </w:r>
          </w:p>
        </w:tc>
        <w:tc>
          <w:tcPr>
            <w:tcW w:w="966" w:type="pct"/>
            <w:tcBorders>
              <w:top w:val="single" w:sz="4" w:space="0" w:color="auto"/>
              <w:bottom w:val="single" w:sz="4" w:space="0" w:color="auto"/>
            </w:tcBorders>
            <w:vAlign w:val="bottom"/>
          </w:tcPr>
          <w:p w14:paraId="01071624" w14:textId="77777777" w:rsidR="000E5239" w:rsidRPr="000F120F" w:rsidRDefault="000E5239" w:rsidP="00F36942">
            <w:pPr>
              <w:pStyle w:val="Tabletext"/>
              <w:rPr>
                <w:snapToGrid w:val="0"/>
              </w:rPr>
            </w:pPr>
            <w:r w:rsidRPr="00295986">
              <w:t>0</w:t>
            </w:r>
            <w:r w:rsidR="00D7157D">
              <w:t>.</w:t>
            </w:r>
            <w:r w:rsidRPr="00295986">
              <w:t>4349</w:t>
            </w:r>
          </w:p>
        </w:tc>
      </w:tr>
      <w:tr w:rsidR="000E5239" w:rsidRPr="009E2595" w14:paraId="365396C9" w14:textId="77777777" w:rsidTr="00F36942">
        <w:trPr>
          <w:cantSplit/>
        </w:trPr>
        <w:tc>
          <w:tcPr>
            <w:tcW w:w="1136" w:type="pct"/>
            <w:tcBorders>
              <w:top w:val="single" w:sz="4" w:space="0" w:color="auto"/>
              <w:bottom w:val="single" w:sz="4" w:space="0" w:color="auto"/>
            </w:tcBorders>
          </w:tcPr>
          <w:p w14:paraId="124CEBB2" w14:textId="77777777" w:rsidR="000E5239" w:rsidRPr="00616B26" w:rsidRDefault="000E5239" w:rsidP="00F36942">
            <w:pPr>
              <w:pStyle w:val="Tabletext"/>
              <w:rPr>
                <w:snapToGrid w:val="0"/>
              </w:rPr>
            </w:pPr>
            <w:r w:rsidRPr="00616B26">
              <w:rPr>
                <w:snapToGrid w:val="0"/>
              </w:rPr>
              <w:t>28</w:t>
            </w:r>
          </w:p>
        </w:tc>
        <w:tc>
          <w:tcPr>
            <w:tcW w:w="966" w:type="pct"/>
            <w:tcBorders>
              <w:top w:val="single" w:sz="4" w:space="0" w:color="auto"/>
              <w:bottom w:val="single" w:sz="4" w:space="0" w:color="auto"/>
            </w:tcBorders>
            <w:vAlign w:val="bottom"/>
          </w:tcPr>
          <w:p w14:paraId="2BFAC925" w14:textId="77777777" w:rsidR="000E5239" w:rsidRPr="000F120F" w:rsidRDefault="000E5239" w:rsidP="00F36942">
            <w:pPr>
              <w:pStyle w:val="Tabletext"/>
              <w:rPr>
                <w:snapToGrid w:val="0"/>
              </w:rPr>
            </w:pPr>
            <w:r w:rsidRPr="00295986">
              <w:t>28</w:t>
            </w:r>
            <w:r w:rsidR="00D7157D">
              <w:t>.</w:t>
            </w:r>
            <w:r w:rsidRPr="00295986">
              <w:t>4627</w:t>
            </w:r>
          </w:p>
        </w:tc>
        <w:tc>
          <w:tcPr>
            <w:tcW w:w="966" w:type="pct"/>
            <w:tcBorders>
              <w:top w:val="single" w:sz="4" w:space="0" w:color="auto"/>
              <w:bottom w:val="single" w:sz="4" w:space="0" w:color="auto"/>
            </w:tcBorders>
            <w:vAlign w:val="bottom"/>
          </w:tcPr>
          <w:p w14:paraId="4F03587C" w14:textId="77777777" w:rsidR="000E5239" w:rsidRPr="000F120F" w:rsidRDefault="000E5239" w:rsidP="00F36942">
            <w:pPr>
              <w:pStyle w:val="Tabletext"/>
              <w:rPr>
                <w:snapToGrid w:val="0"/>
              </w:rPr>
            </w:pPr>
            <w:r w:rsidRPr="00295986">
              <w:t>1</w:t>
            </w:r>
            <w:r w:rsidR="00D7157D">
              <w:t>.</w:t>
            </w:r>
            <w:r w:rsidRPr="00295986">
              <w:t>0917</w:t>
            </w:r>
          </w:p>
        </w:tc>
        <w:tc>
          <w:tcPr>
            <w:tcW w:w="966" w:type="pct"/>
            <w:tcBorders>
              <w:top w:val="single" w:sz="4" w:space="0" w:color="auto"/>
              <w:bottom w:val="single" w:sz="4" w:space="0" w:color="auto"/>
            </w:tcBorders>
            <w:vAlign w:val="bottom"/>
          </w:tcPr>
          <w:p w14:paraId="4E666C8B" w14:textId="77777777" w:rsidR="000E5239" w:rsidRPr="000F120F" w:rsidRDefault="000E5239" w:rsidP="00F36942">
            <w:pPr>
              <w:pStyle w:val="Tabletext"/>
              <w:rPr>
                <w:snapToGrid w:val="0"/>
              </w:rPr>
            </w:pPr>
            <w:r w:rsidRPr="00295986">
              <w:t>29</w:t>
            </w:r>
            <w:r w:rsidR="00D7157D">
              <w:t>.</w:t>
            </w:r>
            <w:r w:rsidRPr="00295986">
              <w:t>0342</w:t>
            </w:r>
          </w:p>
        </w:tc>
        <w:tc>
          <w:tcPr>
            <w:tcW w:w="966" w:type="pct"/>
            <w:tcBorders>
              <w:top w:val="single" w:sz="4" w:space="0" w:color="auto"/>
              <w:bottom w:val="single" w:sz="4" w:space="0" w:color="auto"/>
            </w:tcBorders>
            <w:vAlign w:val="bottom"/>
          </w:tcPr>
          <w:p w14:paraId="4A5EEA69" w14:textId="77777777" w:rsidR="000E5239" w:rsidRPr="000F120F" w:rsidRDefault="000E5239" w:rsidP="00F36942">
            <w:pPr>
              <w:pStyle w:val="Tabletext"/>
              <w:rPr>
                <w:snapToGrid w:val="0"/>
              </w:rPr>
            </w:pPr>
            <w:r w:rsidRPr="00295986">
              <w:t>0</w:t>
            </w:r>
            <w:r w:rsidR="00D7157D">
              <w:t>.</w:t>
            </w:r>
            <w:r w:rsidRPr="00295986">
              <w:t>4486</w:t>
            </w:r>
          </w:p>
        </w:tc>
      </w:tr>
      <w:tr w:rsidR="000E5239" w:rsidRPr="009E2595" w14:paraId="7A199D61" w14:textId="77777777" w:rsidTr="00F36942">
        <w:trPr>
          <w:cantSplit/>
        </w:trPr>
        <w:tc>
          <w:tcPr>
            <w:tcW w:w="1136" w:type="pct"/>
            <w:tcBorders>
              <w:top w:val="single" w:sz="4" w:space="0" w:color="auto"/>
              <w:bottom w:val="single" w:sz="4" w:space="0" w:color="auto"/>
            </w:tcBorders>
          </w:tcPr>
          <w:p w14:paraId="3FCC724A" w14:textId="77777777" w:rsidR="000E5239" w:rsidRPr="00616B26" w:rsidRDefault="000E5239" w:rsidP="00F36942">
            <w:pPr>
              <w:pStyle w:val="Tabletext"/>
              <w:rPr>
                <w:snapToGrid w:val="0"/>
              </w:rPr>
            </w:pPr>
            <w:r w:rsidRPr="00616B26">
              <w:rPr>
                <w:snapToGrid w:val="0"/>
              </w:rPr>
              <w:t>29</w:t>
            </w:r>
          </w:p>
        </w:tc>
        <w:tc>
          <w:tcPr>
            <w:tcW w:w="966" w:type="pct"/>
            <w:tcBorders>
              <w:top w:val="single" w:sz="4" w:space="0" w:color="auto"/>
              <w:bottom w:val="single" w:sz="4" w:space="0" w:color="auto"/>
            </w:tcBorders>
            <w:vAlign w:val="bottom"/>
          </w:tcPr>
          <w:p w14:paraId="21494F7C" w14:textId="77777777" w:rsidR="000E5239" w:rsidRPr="000F120F" w:rsidRDefault="000E5239" w:rsidP="00F36942">
            <w:pPr>
              <w:pStyle w:val="Tabletext"/>
              <w:rPr>
                <w:snapToGrid w:val="0"/>
              </w:rPr>
            </w:pPr>
            <w:r w:rsidRPr="00295986">
              <w:t>28</w:t>
            </w:r>
            <w:r w:rsidR="00D7157D">
              <w:t>.</w:t>
            </w:r>
            <w:r w:rsidRPr="00295986">
              <w:t>2731</w:t>
            </w:r>
          </w:p>
        </w:tc>
        <w:tc>
          <w:tcPr>
            <w:tcW w:w="966" w:type="pct"/>
            <w:tcBorders>
              <w:top w:val="single" w:sz="4" w:space="0" w:color="auto"/>
              <w:bottom w:val="single" w:sz="4" w:space="0" w:color="auto"/>
            </w:tcBorders>
            <w:vAlign w:val="bottom"/>
          </w:tcPr>
          <w:p w14:paraId="147B1048" w14:textId="77777777" w:rsidR="000E5239" w:rsidRPr="000F120F" w:rsidRDefault="000E5239" w:rsidP="00F36942">
            <w:pPr>
              <w:pStyle w:val="Tabletext"/>
              <w:rPr>
                <w:snapToGrid w:val="0"/>
              </w:rPr>
            </w:pPr>
            <w:r w:rsidRPr="00295986">
              <w:t>1</w:t>
            </w:r>
            <w:r w:rsidR="00D7157D">
              <w:t>.</w:t>
            </w:r>
            <w:r w:rsidRPr="00295986">
              <w:t>1230</w:t>
            </w:r>
          </w:p>
        </w:tc>
        <w:tc>
          <w:tcPr>
            <w:tcW w:w="966" w:type="pct"/>
            <w:tcBorders>
              <w:top w:val="single" w:sz="4" w:space="0" w:color="auto"/>
              <w:bottom w:val="single" w:sz="4" w:space="0" w:color="auto"/>
            </w:tcBorders>
            <w:vAlign w:val="bottom"/>
          </w:tcPr>
          <w:p w14:paraId="502C5187" w14:textId="77777777" w:rsidR="000E5239" w:rsidRPr="000F120F" w:rsidRDefault="000E5239" w:rsidP="00F36942">
            <w:pPr>
              <w:pStyle w:val="Tabletext"/>
              <w:rPr>
                <w:snapToGrid w:val="0"/>
              </w:rPr>
            </w:pPr>
            <w:r w:rsidRPr="00295986">
              <w:t>28</w:t>
            </w:r>
            <w:r w:rsidR="00D7157D">
              <w:t>.</w:t>
            </w:r>
            <w:r w:rsidRPr="00295986">
              <w:t>8574</w:t>
            </w:r>
          </w:p>
        </w:tc>
        <w:tc>
          <w:tcPr>
            <w:tcW w:w="966" w:type="pct"/>
            <w:tcBorders>
              <w:top w:val="single" w:sz="4" w:space="0" w:color="auto"/>
              <w:bottom w:val="single" w:sz="4" w:space="0" w:color="auto"/>
            </w:tcBorders>
            <w:vAlign w:val="bottom"/>
          </w:tcPr>
          <w:p w14:paraId="4F408ACC" w14:textId="77777777" w:rsidR="000E5239" w:rsidRPr="000F120F" w:rsidRDefault="000E5239" w:rsidP="00F36942">
            <w:pPr>
              <w:pStyle w:val="Tabletext"/>
              <w:rPr>
                <w:snapToGrid w:val="0"/>
              </w:rPr>
            </w:pPr>
            <w:r w:rsidRPr="00295986">
              <w:t>0</w:t>
            </w:r>
            <w:r w:rsidR="00D7157D">
              <w:t>.</w:t>
            </w:r>
            <w:r w:rsidRPr="00295986">
              <w:t>4627</w:t>
            </w:r>
          </w:p>
        </w:tc>
      </w:tr>
      <w:tr w:rsidR="000E5239" w:rsidRPr="009E2595" w14:paraId="2625C8BA" w14:textId="77777777" w:rsidTr="00F36942">
        <w:trPr>
          <w:cantSplit/>
        </w:trPr>
        <w:tc>
          <w:tcPr>
            <w:tcW w:w="1136" w:type="pct"/>
            <w:tcBorders>
              <w:top w:val="single" w:sz="4" w:space="0" w:color="auto"/>
              <w:bottom w:val="single" w:sz="4" w:space="0" w:color="auto"/>
            </w:tcBorders>
          </w:tcPr>
          <w:p w14:paraId="43B79A4F" w14:textId="77777777" w:rsidR="000E5239" w:rsidRPr="00616B26" w:rsidRDefault="000E5239" w:rsidP="00F36942">
            <w:pPr>
              <w:pStyle w:val="Tabletext"/>
              <w:rPr>
                <w:snapToGrid w:val="0"/>
              </w:rPr>
            </w:pPr>
            <w:r w:rsidRPr="00616B26">
              <w:rPr>
                <w:snapToGrid w:val="0"/>
              </w:rPr>
              <w:t>30</w:t>
            </w:r>
          </w:p>
        </w:tc>
        <w:tc>
          <w:tcPr>
            <w:tcW w:w="966" w:type="pct"/>
            <w:tcBorders>
              <w:top w:val="single" w:sz="4" w:space="0" w:color="auto"/>
              <w:bottom w:val="single" w:sz="4" w:space="0" w:color="auto"/>
            </w:tcBorders>
            <w:vAlign w:val="bottom"/>
          </w:tcPr>
          <w:p w14:paraId="75A79D24" w14:textId="77777777" w:rsidR="000E5239" w:rsidRPr="000F120F" w:rsidRDefault="000E5239" w:rsidP="00F36942">
            <w:pPr>
              <w:pStyle w:val="Tabletext"/>
              <w:rPr>
                <w:snapToGrid w:val="0"/>
              </w:rPr>
            </w:pPr>
            <w:r w:rsidRPr="00295986">
              <w:t>28</w:t>
            </w:r>
            <w:r w:rsidR="00D7157D">
              <w:t>.</w:t>
            </w:r>
            <w:r w:rsidRPr="00295986">
              <w:t>0779</w:t>
            </w:r>
          </w:p>
        </w:tc>
        <w:tc>
          <w:tcPr>
            <w:tcW w:w="966" w:type="pct"/>
            <w:tcBorders>
              <w:top w:val="single" w:sz="4" w:space="0" w:color="auto"/>
              <w:bottom w:val="single" w:sz="4" w:space="0" w:color="auto"/>
            </w:tcBorders>
            <w:vAlign w:val="bottom"/>
          </w:tcPr>
          <w:p w14:paraId="3A44631E" w14:textId="77777777" w:rsidR="000E5239" w:rsidRPr="000F120F" w:rsidRDefault="000E5239" w:rsidP="00F36942">
            <w:pPr>
              <w:pStyle w:val="Tabletext"/>
              <w:rPr>
                <w:snapToGrid w:val="0"/>
              </w:rPr>
            </w:pPr>
            <w:r w:rsidRPr="00295986">
              <w:t>1</w:t>
            </w:r>
            <w:r w:rsidR="00D7157D">
              <w:t>.</w:t>
            </w:r>
            <w:r w:rsidRPr="00295986">
              <w:t>1552</w:t>
            </w:r>
          </w:p>
        </w:tc>
        <w:tc>
          <w:tcPr>
            <w:tcW w:w="966" w:type="pct"/>
            <w:tcBorders>
              <w:top w:val="single" w:sz="4" w:space="0" w:color="auto"/>
              <w:bottom w:val="single" w:sz="4" w:space="0" w:color="auto"/>
            </w:tcBorders>
            <w:vAlign w:val="bottom"/>
          </w:tcPr>
          <w:p w14:paraId="6C9B453F" w14:textId="77777777" w:rsidR="000E5239" w:rsidRPr="000F120F" w:rsidRDefault="000E5239" w:rsidP="00F36942">
            <w:pPr>
              <w:pStyle w:val="Tabletext"/>
              <w:rPr>
                <w:snapToGrid w:val="0"/>
              </w:rPr>
            </w:pPr>
            <w:r w:rsidRPr="00295986">
              <w:t>28</w:t>
            </w:r>
            <w:r w:rsidR="00D7157D">
              <w:t>.</w:t>
            </w:r>
            <w:r w:rsidRPr="00295986">
              <w:t>6754</w:t>
            </w:r>
          </w:p>
        </w:tc>
        <w:tc>
          <w:tcPr>
            <w:tcW w:w="966" w:type="pct"/>
            <w:tcBorders>
              <w:top w:val="single" w:sz="4" w:space="0" w:color="auto"/>
              <w:bottom w:val="single" w:sz="4" w:space="0" w:color="auto"/>
            </w:tcBorders>
            <w:vAlign w:val="bottom"/>
          </w:tcPr>
          <w:p w14:paraId="1BBC6971" w14:textId="77777777" w:rsidR="000E5239" w:rsidRPr="000F120F" w:rsidRDefault="000E5239" w:rsidP="00F36942">
            <w:pPr>
              <w:pStyle w:val="Tabletext"/>
              <w:rPr>
                <w:snapToGrid w:val="0"/>
              </w:rPr>
            </w:pPr>
            <w:r w:rsidRPr="00295986">
              <w:t>0</w:t>
            </w:r>
            <w:r w:rsidR="00D7157D">
              <w:t>.</w:t>
            </w:r>
            <w:r w:rsidRPr="00295986">
              <w:t>4772</w:t>
            </w:r>
          </w:p>
        </w:tc>
      </w:tr>
      <w:tr w:rsidR="000E5239" w:rsidRPr="009E2595" w14:paraId="061036E8" w14:textId="77777777" w:rsidTr="00F36942">
        <w:trPr>
          <w:cantSplit/>
        </w:trPr>
        <w:tc>
          <w:tcPr>
            <w:tcW w:w="1136" w:type="pct"/>
            <w:tcBorders>
              <w:top w:val="single" w:sz="4" w:space="0" w:color="auto"/>
              <w:bottom w:val="single" w:sz="4" w:space="0" w:color="auto"/>
            </w:tcBorders>
          </w:tcPr>
          <w:p w14:paraId="129255A6" w14:textId="77777777" w:rsidR="000E5239" w:rsidRPr="00616B26" w:rsidRDefault="000E5239" w:rsidP="00F36942">
            <w:pPr>
              <w:pStyle w:val="Tabletext"/>
              <w:rPr>
                <w:snapToGrid w:val="0"/>
              </w:rPr>
            </w:pPr>
            <w:r w:rsidRPr="00616B26">
              <w:rPr>
                <w:snapToGrid w:val="0"/>
              </w:rPr>
              <w:t>31</w:t>
            </w:r>
          </w:p>
        </w:tc>
        <w:tc>
          <w:tcPr>
            <w:tcW w:w="966" w:type="pct"/>
            <w:tcBorders>
              <w:top w:val="single" w:sz="4" w:space="0" w:color="auto"/>
              <w:bottom w:val="single" w:sz="4" w:space="0" w:color="auto"/>
            </w:tcBorders>
            <w:vAlign w:val="bottom"/>
          </w:tcPr>
          <w:p w14:paraId="12EC7F20" w14:textId="77777777" w:rsidR="000E5239" w:rsidRPr="000F120F" w:rsidRDefault="000E5239" w:rsidP="00F36942">
            <w:pPr>
              <w:pStyle w:val="Tabletext"/>
              <w:rPr>
                <w:snapToGrid w:val="0"/>
              </w:rPr>
            </w:pPr>
            <w:r w:rsidRPr="00295986">
              <w:t>27</w:t>
            </w:r>
            <w:r w:rsidR="00D7157D">
              <w:t>.</w:t>
            </w:r>
            <w:r w:rsidRPr="00295986">
              <w:t>8770</w:t>
            </w:r>
          </w:p>
        </w:tc>
        <w:tc>
          <w:tcPr>
            <w:tcW w:w="966" w:type="pct"/>
            <w:tcBorders>
              <w:top w:val="single" w:sz="4" w:space="0" w:color="auto"/>
              <w:bottom w:val="single" w:sz="4" w:space="0" w:color="auto"/>
            </w:tcBorders>
            <w:vAlign w:val="bottom"/>
          </w:tcPr>
          <w:p w14:paraId="15D59C7C" w14:textId="77777777" w:rsidR="000E5239" w:rsidRPr="000F120F" w:rsidRDefault="000E5239" w:rsidP="00F36942">
            <w:pPr>
              <w:pStyle w:val="Tabletext"/>
              <w:rPr>
                <w:snapToGrid w:val="0"/>
              </w:rPr>
            </w:pPr>
            <w:r w:rsidRPr="00295986">
              <w:t>1</w:t>
            </w:r>
            <w:r w:rsidR="00D7157D">
              <w:t>.</w:t>
            </w:r>
            <w:r w:rsidRPr="00295986">
              <w:t>1882</w:t>
            </w:r>
          </w:p>
        </w:tc>
        <w:tc>
          <w:tcPr>
            <w:tcW w:w="966" w:type="pct"/>
            <w:tcBorders>
              <w:top w:val="single" w:sz="4" w:space="0" w:color="auto"/>
              <w:bottom w:val="single" w:sz="4" w:space="0" w:color="auto"/>
            </w:tcBorders>
            <w:vAlign w:val="bottom"/>
          </w:tcPr>
          <w:p w14:paraId="3EE0FAD1" w14:textId="77777777" w:rsidR="000E5239" w:rsidRPr="000F120F" w:rsidRDefault="000E5239" w:rsidP="00F36942">
            <w:pPr>
              <w:pStyle w:val="Tabletext"/>
              <w:rPr>
                <w:snapToGrid w:val="0"/>
              </w:rPr>
            </w:pPr>
            <w:r w:rsidRPr="00295986">
              <w:t>28</w:t>
            </w:r>
            <w:r w:rsidR="00D7157D">
              <w:t>.</w:t>
            </w:r>
            <w:r w:rsidRPr="00295986">
              <w:t>4880</w:t>
            </w:r>
          </w:p>
        </w:tc>
        <w:tc>
          <w:tcPr>
            <w:tcW w:w="966" w:type="pct"/>
            <w:tcBorders>
              <w:top w:val="single" w:sz="4" w:space="0" w:color="auto"/>
              <w:bottom w:val="single" w:sz="4" w:space="0" w:color="auto"/>
            </w:tcBorders>
            <w:vAlign w:val="bottom"/>
          </w:tcPr>
          <w:p w14:paraId="5802FF7D" w14:textId="77777777" w:rsidR="000E5239" w:rsidRPr="000F120F" w:rsidRDefault="000E5239" w:rsidP="00F36942">
            <w:pPr>
              <w:pStyle w:val="Tabletext"/>
              <w:rPr>
                <w:snapToGrid w:val="0"/>
              </w:rPr>
            </w:pPr>
            <w:r w:rsidRPr="00295986">
              <w:t>0</w:t>
            </w:r>
            <w:r w:rsidR="00D7157D">
              <w:t>.</w:t>
            </w:r>
            <w:r w:rsidRPr="00295986">
              <w:t>4920</w:t>
            </w:r>
          </w:p>
        </w:tc>
      </w:tr>
      <w:tr w:rsidR="000E5239" w:rsidRPr="009E2595" w14:paraId="02E703B8" w14:textId="77777777" w:rsidTr="00F36942">
        <w:trPr>
          <w:cantSplit/>
        </w:trPr>
        <w:tc>
          <w:tcPr>
            <w:tcW w:w="1136" w:type="pct"/>
            <w:tcBorders>
              <w:top w:val="single" w:sz="4" w:space="0" w:color="auto"/>
              <w:bottom w:val="single" w:sz="4" w:space="0" w:color="auto"/>
            </w:tcBorders>
          </w:tcPr>
          <w:p w14:paraId="37170340" w14:textId="77777777" w:rsidR="000E5239" w:rsidRPr="00616B26" w:rsidRDefault="000E5239" w:rsidP="00F36942">
            <w:pPr>
              <w:pStyle w:val="Tabletext"/>
              <w:rPr>
                <w:snapToGrid w:val="0"/>
              </w:rPr>
            </w:pPr>
            <w:r w:rsidRPr="00616B26">
              <w:rPr>
                <w:snapToGrid w:val="0"/>
              </w:rPr>
              <w:t>32</w:t>
            </w:r>
          </w:p>
        </w:tc>
        <w:tc>
          <w:tcPr>
            <w:tcW w:w="966" w:type="pct"/>
            <w:tcBorders>
              <w:top w:val="single" w:sz="4" w:space="0" w:color="auto"/>
              <w:bottom w:val="single" w:sz="4" w:space="0" w:color="auto"/>
            </w:tcBorders>
            <w:vAlign w:val="bottom"/>
          </w:tcPr>
          <w:p w14:paraId="08E48518" w14:textId="77777777" w:rsidR="000E5239" w:rsidRPr="000F120F" w:rsidRDefault="000E5239" w:rsidP="00F36942">
            <w:pPr>
              <w:pStyle w:val="Tabletext"/>
              <w:rPr>
                <w:snapToGrid w:val="0"/>
              </w:rPr>
            </w:pPr>
            <w:r w:rsidRPr="00295986">
              <w:t>27</w:t>
            </w:r>
            <w:r w:rsidR="00D7157D">
              <w:t>.</w:t>
            </w:r>
            <w:r w:rsidRPr="00295986">
              <w:t>6705</w:t>
            </w:r>
          </w:p>
        </w:tc>
        <w:tc>
          <w:tcPr>
            <w:tcW w:w="966" w:type="pct"/>
            <w:tcBorders>
              <w:top w:val="single" w:sz="4" w:space="0" w:color="auto"/>
              <w:bottom w:val="single" w:sz="4" w:space="0" w:color="auto"/>
            </w:tcBorders>
            <w:vAlign w:val="bottom"/>
          </w:tcPr>
          <w:p w14:paraId="41D2B133" w14:textId="77777777" w:rsidR="000E5239" w:rsidRPr="000F120F" w:rsidRDefault="000E5239" w:rsidP="00F36942">
            <w:pPr>
              <w:pStyle w:val="Tabletext"/>
              <w:rPr>
                <w:snapToGrid w:val="0"/>
              </w:rPr>
            </w:pPr>
            <w:r w:rsidRPr="00295986">
              <w:t>1</w:t>
            </w:r>
            <w:r w:rsidR="00D7157D">
              <w:t>.</w:t>
            </w:r>
            <w:r w:rsidRPr="00295986">
              <w:t>2219</w:t>
            </w:r>
          </w:p>
        </w:tc>
        <w:tc>
          <w:tcPr>
            <w:tcW w:w="966" w:type="pct"/>
            <w:tcBorders>
              <w:top w:val="single" w:sz="4" w:space="0" w:color="auto"/>
              <w:bottom w:val="single" w:sz="4" w:space="0" w:color="auto"/>
            </w:tcBorders>
            <w:vAlign w:val="bottom"/>
          </w:tcPr>
          <w:p w14:paraId="4AE4D64E" w14:textId="77777777" w:rsidR="000E5239" w:rsidRPr="000F120F" w:rsidRDefault="000E5239" w:rsidP="00F36942">
            <w:pPr>
              <w:pStyle w:val="Tabletext"/>
              <w:rPr>
                <w:snapToGrid w:val="0"/>
              </w:rPr>
            </w:pPr>
            <w:r w:rsidRPr="00295986">
              <w:t>28</w:t>
            </w:r>
            <w:r w:rsidR="00D7157D">
              <w:t>.</w:t>
            </w:r>
            <w:r w:rsidRPr="00295986">
              <w:t>2954</w:t>
            </w:r>
          </w:p>
        </w:tc>
        <w:tc>
          <w:tcPr>
            <w:tcW w:w="966" w:type="pct"/>
            <w:tcBorders>
              <w:top w:val="single" w:sz="4" w:space="0" w:color="auto"/>
              <w:bottom w:val="single" w:sz="4" w:space="0" w:color="auto"/>
            </w:tcBorders>
            <w:vAlign w:val="bottom"/>
          </w:tcPr>
          <w:p w14:paraId="47FE53F0" w14:textId="77777777" w:rsidR="000E5239" w:rsidRPr="000F120F" w:rsidRDefault="000E5239" w:rsidP="00F36942">
            <w:pPr>
              <w:pStyle w:val="Tabletext"/>
              <w:rPr>
                <w:snapToGrid w:val="0"/>
              </w:rPr>
            </w:pPr>
            <w:r w:rsidRPr="00295986">
              <w:t>0</w:t>
            </w:r>
            <w:r w:rsidR="00D7157D">
              <w:t>.</w:t>
            </w:r>
            <w:r w:rsidRPr="00295986">
              <w:t>5071</w:t>
            </w:r>
          </w:p>
        </w:tc>
      </w:tr>
      <w:tr w:rsidR="000E5239" w:rsidRPr="009E2595" w14:paraId="02B33747" w14:textId="77777777" w:rsidTr="00F36942">
        <w:trPr>
          <w:cantSplit/>
        </w:trPr>
        <w:tc>
          <w:tcPr>
            <w:tcW w:w="1136" w:type="pct"/>
            <w:tcBorders>
              <w:top w:val="single" w:sz="4" w:space="0" w:color="auto"/>
              <w:bottom w:val="single" w:sz="4" w:space="0" w:color="auto"/>
            </w:tcBorders>
          </w:tcPr>
          <w:p w14:paraId="7386620A" w14:textId="77777777" w:rsidR="000E5239" w:rsidRPr="00616B26" w:rsidRDefault="000E5239" w:rsidP="00F36942">
            <w:pPr>
              <w:pStyle w:val="Tabletext"/>
              <w:rPr>
                <w:snapToGrid w:val="0"/>
              </w:rPr>
            </w:pPr>
            <w:r w:rsidRPr="00616B26">
              <w:rPr>
                <w:snapToGrid w:val="0"/>
              </w:rPr>
              <w:t>33</w:t>
            </w:r>
          </w:p>
        </w:tc>
        <w:tc>
          <w:tcPr>
            <w:tcW w:w="966" w:type="pct"/>
            <w:tcBorders>
              <w:top w:val="single" w:sz="4" w:space="0" w:color="auto"/>
              <w:bottom w:val="single" w:sz="4" w:space="0" w:color="auto"/>
            </w:tcBorders>
            <w:vAlign w:val="bottom"/>
          </w:tcPr>
          <w:p w14:paraId="056BFC52" w14:textId="77777777" w:rsidR="000E5239" w:rsidRPr="000F120F" w:rsidRDefault="000E5239" w:rsidP="00F36942">
            <w:pPr>
              <w:pStyle w:val="Tabletext"/>
              <w:rPr>
                <w:snapToGrid w:val="0"/>
              </w:rPr>
            </w:pPr>
            <w:r w:rsidRPr="00295986">
              <w:t>27</w:t>
            </w:r>
            <w:r w:rsidR="00D7157D">
              <w:t>.</w:t>
            </w:r>
            <w:r w:rsidRPr="00295986">
              <w:t>4580</w:t>
            </w:r>
          </w:p>
        </w:tc>
        <w:tc>
          <w:tcPr>
            <w:tcW w:w="966" w:type="pct"/>
            <w:tcBorders>
              <w:top w:val="single" w:sz="4" w:space="0" w:color="auto"/>
              <w:bottom w:val="single" w:sz="4" w:space="0" w:color="auto"/>
            </w:tcBorders>
            <w:vAlign w:val="bottom"/>
          </w:tcPr>
          <w:p w14:paraId="1ABB8260" w14:textId="77777777" w:rsidR="000E5239" w:rsidRPr="000F120F" w:rsidRDefault="000E5239" w:rsidP="00F36942">
            <w:pPr>
              <w:pStyle w:val="Tabletext"/>
              <w:rPr>
                <w:snapToGrid w:val="0"/>
              </w:rPr>
            </w:pPr>
            <w:r w:rsidRPr="00295986">
              <w:t>1</w:t>
            </w:r>
            <w:r w:rsidR="00D7157D">
              <w:t>.</w:t>
            </w:r>
            <w:r w:rsidRPr="00295986">
              <w:t>2565</w:t>
            </w:r>
          </w:p>
        </w:tc>
        <w:tc>
          <w:tcPr>
            <w:tcW w:w="966" w:type="pct"/>
            <w:tcBorders>
              <w:top w:val="single" w:sz="4" w:space="0" w:color="auto"/>
              <w:bottom w:val="single" w:sz="4" w:space="0" w:color="auto"/>
            </w:tcBorders>
            <w:vAlign w:val="bottom"/>
          </w:tcPr>
          <w:p w14:paraId="26855346" w14:textId="77777777" w:rsidR="000E5239" w:rsidRPr="000F120F" w:rsidRDefault="000E5239" w:rsidP="00F36942">
            <w:pPr>
              <w:pStyle w:val="Tabletext"/>
              <w:rPr>
                <w:snapToGrid w:val="0"/>
              </w:rPr>
            </w:pPr>
            <w:r w:rsidRPr="00295986">
              <w:t>28</w:t>
            </w:r>
            <w:r w:rsidR="00D7157D">
              <w:t>.</w:t>
            </w:r>
            <w:r w:rsidRPr="00295986">
              <w:t>0970</w:t>
            </w:r>
          </w:p>
        </w:tc>
        <w:tc>
          <w:tcPr>
            <w:tcW w:w="966" w:type="pct"/>
            <w:tcBorders>
              <w:top w:val="single" w:sz="4" w:space="0" w:color="auto"/>
              <w:bottom w:val="single" w:sz="4" w:space="0" w:color="auto"/>
            </w:tcBorders>
            <w:vAlign w:val="bottom"/>
          </w:tcPr>
          <w:p w14:paraId="63D87952" w14:textId="77777777" w:rsidR="000E5239" w:rsidRPr="000F120F" w:rsidRDefault="000E5239" w:rsidP="00F36942">
            <w:pPr>
              <w:pStyle w:val="Tabletext"/>
              <w:rPr>
                <w:snapToGrid w:val="0"/>
              </w:rPr>
            </w:pPr>
            <w:r w:rsidRPr="00295986">
              <w:t>0</w:t>
            </w:r>
            <w:r w:rsidR="00D7157D">
              <w:t>.</w:t>
            </w:r>
            <w:r w:rsidRPr="00295986">
              <w:t>5226</w:t>
            </w:r>
          </w:p>
        </w:tc>
      </w:tr>
      <w:tr w:rsidR="000E5239" w:rsidRPr="009E2595" w14:paraId="23A64D57" w14:textId="77777777" w:rsidTr="00F36942">
        <w:trPr>
          <w:cantSplit/>
        </w:trPr>
        <w:tc>
          <w:tcPr>
            <w:tcW w:w="1136" w:type="pct"/>
            <w:tcBorders>
              <w:top w:val="single" w:sz="4" w:space="0" w:color="auto"/>
              <w:bottom w:val="single" w:sz="4" w:space="0" w:color="auto"/>
            </w:tcBorders>
          </w:tcPr>
          <w:p w14:paraId="305C5544" w14:textId="77777777" w:rsidR="000E5239" w:rsidRPr="00616B26" w:rsidRDefault="000E5239" w:rsidP="00F36942">
            <w:pPr>
              <w:pStyle w:val="Tabletext"/>
              <w:rPr>
                <w:snapToGrid w:val="0"/>
              </w:rPr>
            </w:pPr>
            <w:r w:rsidRPr="00616B26">
              <w:rPr>
                <w:snapToGrid w:val="0"/>
              </w:rPr>
              <w:t>34</w:t>
            </w:r>
          </w:p>
        </w:tc>
        <w:tc>
          <w:tcPr>
            <w:tcW w:w="966" w:type="pct"/>
            <w:tcBorders>
              <w:top w:val="single" w:sz="4" w:space="0" w:color="auto"/>
              <w:bottom w:val="single" w:sz="4" w:space="0" w:color="auto"/>
            </w:tcBorders>
            <w:vAlign w:val="bottom"/>
          </w:tcPr>
          <w:p w14:paraId="613FED91" w14:textId="77777777" w:rsidR="000E5239" w:rsidRPr="000F120F" w:rsidRDefault="000E5239" w:rsidP="00F36942">
            <w:pPr>
              <w:pStyle w:val="Tabletext"/>
              <w:rPr>
                <w:snapToGrid w:val="0"/>
              </w:rPr>
            </w:pPr>
            <w:r w:rsidRPr="00295986">
              <w:t>27</w:t>
            </w:r>
            <w:r w:rsidR="00D7157D">
              <w:t>.</w:t>
            </w:r>
            <w:r w:rsidRPr="00295986">
              <w:t>2393</w:t>
            </w:r>
          </w:p>
        </w:tc>
        <w:tc>
          <w:tcPr>
            <w:tcW w:w="966" w:type="pct"/>
            <w:tcBorders>
              <w:top w:val="single" w:sz="4" w:space="0" w:color="auto"/>
              <w:bottom w:val="single" w:sz="4" w:space="0" w:color="auto"/>
            </w:tcBorders>
            <w:vAlign w:val="bottom"/>
          </w:tcPr>
          <w:p w14:paraId="6C89B8AD" w14:textId="77777777" w:rsidR="000E5239" w:rsidRPr="000F120F" w:rsidRDefault="000E5239" w:rsidP="00F36942">
            <w:pPr>
              <w:pStyle w:val="Tabletext"/>
              <w:rPr>
                <w:snapToGrid w:val="0"/>
              </w:rPr>
            </w:pPr>
            <w:r w:rsidRPr="00295986">
              <w:t>1</w:t>
            </w:r>
            <w:r w:rsidR="00D7157D">
              <w:t>.</w:t>
            </w:r>
            <w:r w:rsidRPr="00295986">
              <w:t>2919</w:t>
            </w:r>
          </w:p>
        </w:tc>
        <w:tc>
          <w:tcPr>
            <w:tcW w:w="966" w:type="pct"/>
            <w:tcBorders>
              <w:top w:val="single" w:sz="4" w:space="0" w:color="auto"/>
              <w:bottom w:val="single" w:sz="4" w:space="0" w:color="auto"/>
            </w:tcBorders>
            <w:vAlign w:val="bottom"/>
          </w:tcPr>
          <w:p w14:paraId="7A7EBF5A" w14:textId="77777777" w:rsidR="000E5239" w:rsidRPr="000F120F" w:rsidRDefault="000E5239" w:rsidP="00F36942">
            <w:pPr>
              <w:pStyle w:val="Tabletext"/>
              <w:rPr>
                <w:snapToGrid w:val="0"/>
              </w:rPr>
            </w:pPr>
            <w:r w:rsidRPr="00295986">
              <w:t>27</w:t>
            </w:r>
            <w:r w:rsidR="00D7157D">
              <w:t>.</w:t>
            </w:r>
            <w:r w:rsidRPr="00295986">
              <w:t>8930</w:t>
            </w:r>
          </w:p>
        </w:tc>
        <w:tc>
          <w:tcPr>
            <w:tcW w:w="966" w:type="pct"/>
            <w:tcBorders>
              <w:top w:val="single" w:sz="4" w:space="0" w:color="auto"/>
              <w:bottom w:val="single" w:sz="4" w:space="0" w:color="auto"/>
            </w:tcBorders>
            <w:vAlign w:val="bottom"/>
          </w:tcPr>
          <w:p w14:paraId="6B7FDF4C" w14:textId="77777777" w:rsidR="000E5239" w:rsidRPr="000F120F" w:rsidRDefault="000E5239" w:rsidP="00F36942">
            <w:pPr>
              <w:pStyle w:val="Tabletext"/>
              <w:rPr>
                <w:snapToGrid w:val="0"/>
              </w:rPr>
            </w:pPr>
            <w:r w:rsidRPr="00295986">
              <w:t>0</w:t>
            </w:r>
            <w:r w:rsidR="00D7157D">
              <w:t>.</w:t>
            </w:r>
            <w:r w:rsidRPr="00295986">
              <w:t>5383</w:t>
            </w:r>
          </w:p>
        </w:tc>
      </w:tr>
      <w:tr w:rsidR="000E5239" w:rsidRPr="009E2595" w14:paraId="43C98AD7" w14:textId="77777777" w:rsidTr="00F36942">
        <w:trPr>
          <w:cantSplit/>
        </w:trPr>
        <w:tc>
          <w:tcPr>
            <w:tcW w:w="1136" w:type="pct"/>
            <w:tcBorders>
              <w:top w:val="single" w:sz="4" w:space="0" w:color="auto"/>
              <w:bottom w:val="single" w:sz="4" w:space="0" w:color="auto"/>
            </w:tcBorders>
          </w:tcPr>
          <w:p w14:paraId="3DF1B748" w14:textId="77777777" w:rsidR="000E5239" w:rsidRPr="00616B26" w:rsidRDefault="000E5239" w:rsidP="00F36942">
            <w:pPr>
              <w:pStyle w:val="Tabletext"/>
              <w:rPr>
                <w:snapToGrid w:val="0"/>
              </w:rPr>
            </w:pPr>
            <w:r w:rsidRPr="00616B26">
              <w:rPr>
                <w:snapToGrid w:val="0"/>
              </w:rPr>
              <w:t>35</w:t>
            </w:r>
          </w:p>
        </w:tc>
        <w:tc>
          <w:tcPr>
            <w:tcW w:w="966" w:type="pct"/>
            <w:tcBorders>
              <w:top w:val="single" w:sz="4" w:space="0" w:color="auto"/>
              <w:bottom w:val="single" w:sz="4" w:space="0" w:color="auto"/>
            </w:tcBorders>
            <w:vAlign w:val="bottom"/>
          </w:tcPr>
          <w:p w14:paraId="7D11133A" w14:textId="77777777" w:rsidR="000E5239" w:rsidRPr="000F120F" w:rsidRDefault="000E5239" w:rsidP="00F36942">
            <w:pPr>
              <w:pStyle w:val="Tabletext"/>
              <w:rPr>
                <w:snapToGrid w:val="0"/>
              </w:rPr>
            </w:pPr>
            <w:r w:rsidRPr="00295986">
              <w:t>27</w:t>
            </w:r>
            <w:r w:rsidR="00D7157D">
              <w:t>.</w:t>
            </w:r>
            <w:r w:rsidRPr="00295986">
              <w:t>0147</w:t>
            </w:r>
          </w:p>
        </w:tc>
        <w:tc>
          <w:tcPr>
            <w:tcW w:w="966" w:type="pct"/>
            <w:tcBorders>
              <w:top w:val="single" w:sz="4" w:space="0" w:color="auto"/>
              <w:bottom w:val="single" w:sz="4" w:space="0" w:color="auto"/>
            </w:tcBorders>
            <w:vAlign w:val="bottom"/>
          </w:tcPr>
          <w:p w14:paraId="131BA29E" w14:textId="77777777" w:rsidR="000E5239" w:rsidRPr="000F120F" w:rsidRDefault="000E5239" w:rsidP="00F36942">
            <w:pPr>
              <w:pStyle w:val="Tabletext"/>
              <w:rPr>
                <w:snapToGrid w:val="0"/>
              </w:rPr>
            </w:pPr>
            <w:r w:rsidRPr="00295986">
              <w:t>1</w:t>
            </w:r>
            <w:r w:rsidR="00D7157D">
              <w:t>.</w:t>
            </w:r>
            <w:r w:rsidRPr="00295986">
              <w:t>3281</w:t>
            </w:r>
          </w:p>
        </w:tc>
        <w:tc>
          <w:tcPr>
            <w:tcW w:w="966" w:type="pct"/>
            <w:tcBorders>
              <w:top w:val="single" w:sz="4" w:space="0" w:color="auto"/>
              <w:bottom w:val="single" w:sz="4" w:space="0" w:color="auto"/>
            </w:tcBorders>
            <w:vAlign w:val="bottom"/>
          </w:tcPr>
          <w:p w14:paraId="263A3555" w14:textId="77777777" w:rsidR="000E5239" w:rsidRPr="000F120F" w:rsidRDefault="000E5239" w:rsidP="00F36942">
            <w:pPr>
              <w:pStyle w:val="Tabletext"/>
              <w:rPr>
                <w:snapToGrid w:val="0"/>
              </w:rPr>
            </w:pPr>
            <w:r w:rsidRPr="00295986">
              <w:t>27</w:t>
            </w:r>
            <w:r w:rsidR="00D7157D">
              <w:t>.</w:t>
            </w:r>
            <w:r w:rsidRPr="00295986">
              <w:t>6829</w:t>
            </w:r>
          </w:p>
        </w:tc>
        <w:tc>
          <w:tcPr>
            <w:tcW w:w="966" w:type="pct"/>
            <w:tcBorders>
              <w:top w:val="single" w:sz="4" w:space="0" w:color="auto"/>
              <w:bottom w:val="single" w:sz="4" w:space="0" w:color="auto"/>
            </w:tcBorders>
            <w:vAlign w:val="bottom"/>
          </w:tcPr>
          <w:p w14:paraId="221CBE9E" w14:textId="77777777" w:rsidR="000E5239" w:rsidRPr="000F120F" w:rsidRDefault="000E5239" w:rsidP="00F36942">
            <w:pPr>
              <w:pStyle w:val="Tabletext"/>
              <w:rPr>
                <w:snapToGrid w:val="0"/>
              </w:rPr>
            </w:pPr>
            <w:r w:rsidRPr="00295986">
              <w:t>0</w:t>
            </w:r>
            <w:r w:rsidR="00D7157D">
              <w:t>.</w:t>
            </w:r>
            <w:r w:rsidRPr="00295986">
              <w:t>5545</w:t>
            </w:r>
          </w:p>
        </w:tc>
      </w:tr>
      <w:tr w:rsidR="000E5239" w:rsidRPr="009E2595" w14:paraId="275F3E22" w14:textId="77777777" w:rsidTr="00F36942">
        <w:trPr>
          <w:cantSplit/>
        </w:trPr>
        <w:tc>
          <w:tcPr>
            <w:tcW w:w="1136" w:type="pct"/>
            <w:tcBorders>
              <w:top w:val="single" w:sz="4" w:space="0" w:color="auto"/>
              <w:bottom w:val="single" w:sz="4" w:space="0" w:color="auto"/>
            </w:tcBorders>
          </w:tcPr>
          <w:p w14:paraId="25E032F9" w14:textId="77777777" w:rsidR="000E5239" w:rsidRPr="00616B26" w:rsidRDefault="000E5239" w:rsidP="00F36942">
            <w:pPr>
              <w:pStyle w:val="Tabletext"/>
              <w:rPr>
                <w:snapToGrid w:val="0"/>
              </w:rPr>
            </w:pPr>
            <w:r w:rsidRPr="00616B26">
              <w:rPr>
                <w:snapToGrid w:val="0"/>
              </w:rPr>
              <w:t>36</w:t>
            </w:r>
          </w:p>
        </w:tc>
        <w:tc>
          <w:tcPr>
            <w:tcW w:w="966" w:type="pct"/>
            <w:tcBorders>
              <w:top w:val="single" w:sz="4" w:space="0" w:color="auto"/>
              <w:bottom w:val="single" w:sz="4" w:space="0" w:color="auto"/>
            </w:tcBorders>
            <w:vAlign w:val="bottom"/>
          </w:tcPr>
          <w:p w14:paraId="25103E45" w14:textId="77777777" w:rsidR="000E5239" w:rsidRPr="000F120F" w:rsidRDefault="000E5239" w:rsidP="00F36942">
            <w:pPr>
              <w:pStyle w:val="Tabletext"/>
              <w:rPr>
                <w:snapToGrid w:val="0"/>
              </w:rPr>
            </w:pPr>
            <w:r w:rsidRPr="00295986">
              <w:t>26</w:t>
            </w:r>
            <w:r w:rsidR="00D7157D">
              <w:t>.</w:t>
            </w:r>
            <w:r w:rsidRPr="00295986">
              <w:t>7837</w:t>
            </w:r>
          </w:p>
        </w:tc>
        <w:tc>
          <w:tcPr>
            <w:tcW w:w="966" w:type="pct"/>
            <w:tcBorders>
              <w:top w:val="single" w:sz="4" w:space="0" w:color="auto"/>
              <w:bottom w:val="single" w:sz="4" w:space="0" w:color="auto"/>
            </w:tcBorders>
            <w:vAlign w:val="bottom"/>
          </w:tcPr>
          <w:p w14:paraId="7B319F4D" w14:textId="77777777" w:rsidR="000E5239" w:rsidRPr="000F120F" w:rsidRDefault="000E5239" w:rsidP="00F36942">
            <w:pPr>
              <w:pStyle w:val="Tabletext"/>
              <w:rPr>
                <w:snapToGrid w:val="0"/>
              </w:rPr>
            </w:pPr>
            <w:r w:rsidRPr="00295986">
              <w:t>1</w:t>
            </w:r>
            <w:r w:rsidR="00D7157D">
              <w:t>.</w:t>
            </w:r>
            <w:r w:rsidRPr="00295986">
              <w:t>3651</w:t>
            </w:r>
          </w:p>
        </w:tc>
        <w:tc>
          <w:tcPr>
            <w:tcW w:w="966" w:type="pct"/>
            <w:tcBorders>
              <w:top w:val="single" w:sz="4" w:space="0" w:color="auto"/>
              <w:bottom w:val="single" w:sz="4" w:space="0" w:color="auto"/>
            </w:tcBorders>
            <w:vAlign w:val="bottom"/>
          </w:tcPr>
          <w:p w14:paraId="39B93CB1" w14:textId="77777777" w:rsidR="000E5239" w:rsidRPr="000F120F" w:rsidRDefault="000E5239" w:rsidP="00F36942">
            <w:pPr>
              <w:pStyle w:val="Tabletext"/>
              <w:rPr>
                <w:snapToGrid w:val="0"/>
              </w:rPr>
            </w:pPr>
            <w:r w:rsidRPr="00295986">
              <w:t>27</w:t>
            </w:r>
            <w:r w:rsidR="00D7157D">
              <w:t>.</w:t>
            </w:r>
            <w:r w:rsidRPr="00295986">
              <w:t>4668</w:t>
            </w:r>
          </w:p>
        </w:tc>
        <w:tc>
          <w:tcPr>
            <w:tcW w:w="966" w:type="pct"/>
            <w:tcBorders>
              <w:top w:val="single" w:sz="4" w:space="0" w:color="auto"/>
              <w:bottom w:val="single" w:sz="4" w:space="0" w:color="auto"/>
            </w:tcBorders>
            <w:vAlign w:val="bottom"/>
          </w:tcPr>
          <w:p w14:paraId="125A258D" w14:textId="77777777" w:rsidR="000E5239" w:rsidRPr="000F120F" w:rsidRDefault="000E5239" w:rsidP="00F36942">
            <w:pPr>
              <w:pStyle w:val="Tabletext"/>
              <w:rPr>
                <w:snapToGrid w:val="0"/>
              </w:rPr>
            </w:pPr>
            <w:r w:rsidRPr="00295986">
              <w:t>0</w:t>
            </w:r>
            <w:r w:rsidR="00D7157D">
              <w:t>.</w:t>
            </w:r>
            <w:r w:rsidRPr="00295986">
              <w:t>5710</w:t>
            </w:r>
          </w:p>
        </w:tc>
      </w:tr>
      <w:tr w:rsidR="000E5239" w:rsidRPr="009E2595" w14:paraId="37917720" w14:textId="77777777" w:rsidTr="00F36942">
        <w:trPr>
          <w:cantSplit/>
        </w:trPr>
        <w:tc>
          <w:tcPr>
            <w:tcW w:w="1136" w:type="pct"/>
            <w:tcBorders>
              <w:top w:val="single" w:sz="4" w:space="0" w:color="auto"/>
              <w:bottom w:val="single" w:sz="4" w:space="0" w:color="auto"/>
            </w:tcBorders>
          </w:tcPr>
          <w:p w14:paraId="0BDF62C4" w14:textId="77777777" w:rsidR="000E5239" w:rsidRPr="00616B26" w:rsidRDefault="000E5239" w:rsidP="00F36942">
            <w:pPr>
              <w:pStyle w:val="Tabletext"/>
              <w:rPr>
                <w:snapToGrid w:val="0"/>
              </w:rPr>
            </w:pPr>
            <w:r w:rsidRPr="00616B26">
              <w:rPr>
                <w:snapToGrid w:val="0"/>
              </w:rPr>
              <w:t>37</w:t>
            </w:r>
          </w:p>
        </w:tc>
        <w:tc>
          <w:tcPr>
            <w:tcW w:w="966" w:type="pct"/>
            <w:tcBorders>
              <w:top w:val="single" w:sz="4" w:space="0" w:color="auto"/>
              <w:bottom w:val="single" w:sz="4" w:space="0" w:color="auto"/>
            </w:tcBorders>
            <w:vAlign w:val="bottom"/>
          </w:tcPr>
          <w:p w14:paraId="13DCA676" w14:textId="77777777" w:rsidR="000E5239" w:rsidRPr="000F120F" w:rsidRDefault="000E5239" w:rsidP="00F36942">
            <w:pPr>
              <w:pStyle w:val="Tabletext"/>
              <w:rPr>
                <w:snapToGrid w:val="0"/>
              </w:rPr>
            </w:pPr>
            <w:r w:rsidRPr="00295986">
              <w:t>26</w:t>
            </w:r>
            <w:r w:rsidR="00D7157D">
              <w:t>.</w:t>
            </w:r>
            <w:r w:rsidRPr="00295986">
              <w:t>5466</w:t>
            </w:r>
          </w:p>
        </w:tc>
        <w:tc>
          <w:tcPr>
            <w:tcW w:w="966" w:type="pct"/>
            <w:tcBorders>
              <w:top w:val="single" w:sz="4" w:space="0" w:color="auto"/>
              <w:bottom w:val="single" w:sz="4" w:space="0" w:color="auto"/>
            </w:tcBorders>
            <w:vAlign w:val="bottom"/>
          </w:tcPr>
          <w:p w14:paraId="12EACB9F" w14:textId="77777777" w:rsidR="000E5239" w:rsidRPr="000F120F" w:rsidRDefault="000E5239" w:rsidP="00F36942">
            <w:pPr>
              <w:pStyle w:val="Tabletext"/>
              <w:rPr>
                <w:snapToGrid w:val="0"/>
              </w:rPr>
            </w:pPr>
            <w:r w:rsidRPr="00295986">
              <w:t>1</w:t>
            </w:r>
            <w:r w:rsidR="00D7157D">
              <w:t>.</w:t>
            </w:r>
            <w:r w:rsidRPr="00295986">
              <w:t>4026</w:t>
            </w:r>
          </w:p>
        </w:tc>
        <w:tc>
          <w:tcPr>
            <w:tcW w:w="966" w:type="pct"/>
            <w:tcBorders>
              <w:top w:val="single" w:sz="4" w:space="0" w:color="auto"/>
              <w:bottom w:val="single" w:sz="4" w:space="0" w:color="auto"/>
            </w:tcBorders>
            <w:vAlign w:val="bottom"/>
          </w:tcPr>
          <w:p w14:paraId="54924291" w14:textId="77777777" w:rsidR="000E5239" w:rsidRPr="000F120F" w:rsidRDefault="000E5239" w:rsidP="00F36942">
            <w:pPr>
              <w:pStyle w:val="Tabletext"/>
              <w:rPr>
                <w:snapToGrid w:val="0"/>
              </w:rPr>
            </w:pPr>
            <w:r w:rsidRPr="00295986">
              <w:t>27</w:t>
            </w:r>
            <w:r w:rsidR="00D7157D">
              <w:t>.</w:t>
            </w:r>
            <w:r w:rsidRPr="00295986">
              <w:t>2445</w:t>
            </w:r>
          </w:p>
        </w:tc>
        <w:tc>
          <w:tcPr>
            <w:tcW w:w="966" w:type="pct"/>
            <w:tcBorders>
              <w:top w:val="single" w:sz="4" w:space="0" w:color="auto"/>
              <w:bottom w:val="single" w:sz="4" w:space="0" w:color="auto"/>
            </w:tcBorders>
            <w:vAlign w:val="bottom"/>
          </w:tcPr>
          <w:p w14:paraId="0A108A2C" w14:textId="77777777" w:rsidR="000E5239" w:rsidRPr="000F120F" w:rsidRDefault="000E5239" w:rsidP="00F36942">
            <w:pPr>
              <w:pStyle w:val="Tabletext"/>
              <w:rPr>
                <w:snapToGrid w:val="0"/>
              </w:rPr>
            </w:pPr>
            <w:r w:rsidRPr="00295986">
              <w:t>0</w:t>
            </w:r>
            <w:r w:rsidR="00D7157D">
              <w:t>.</w:t>
            </w:r>
            <w:r w:rsidRPr="00295986">
              <w:t>5878</w:t>
            </w:r>
          </w:p>
        </w:tc>
      </w:tr>
      <w:tr w:rsidR="000E5239" w:rsidRPr="009E2595" w14:paraId="2DB96CB2" w14:textId="77777777" w:rsidTr="00F36942">
        <w:trPr>
          <w:cantSplit/>
        </w:trPr>
        <w:tc>
          <w:tcPr>
            <w:tcW w:w="1136" w:type="pct"/>
            <w:tcBorders>
              <w:top w:val="single" w:sz="4" w:space="0" w:color="auto"/>
              <w:bottom w:val="single" w:sz="4" w:space="0" w:color="auto"/>
            </w:tcBorders>
          </w:tcPr>
          <w:p w14:paraId="6293E8DB" w14:textId="77777777" w:rsidR="000E5239" w:rsidRPr="00616B26" w:rsidRDefault="000E5239" w:rsidP="00F36942">
            <w:pPr>
              <w:pStyle w:val="Tabletext"/>
              <w:rPr>
                <w:snapToGrid w:val="0"/>
              </w:rPr>
            </w:pPr>
            <w:r w:rsidRPr="00616B26">
              <w:rPr>
                <w:snapToGrid w:val="0"/>
              </w:rPr>
              <w:t>38</w:t>
            </w:r>
          </w:p>
        </w:tc>
        <w:tc>
          <w:tcPr>
            <w:tcW w:w="966" w:type="pct"/>
            <w:tcBorders>
              <w:top w:val="single" w:sz="4" w:space="0" w:color="auto"/>
              <w:bottom w:val="single" w:sz="4" w:space="0" w:color="auto"/>
            </w:tcBorders>
            <w:vAlign w:val="bottom"/>
          </w:tcPr>
          <w:p w14:paraId="5F58F86B" w14:textId="77777777" w:rsidR="000E5239" w:rsidRPr="000F120F" w:rsidRDefault="000E5239" w:rsidP="00F36942">
            <w:pPr>
              <w:pStyle w:val="Tabletext"/>
              <w:rPr>
                <w:snapToGrid w:val="0"/>
              </w:rPr>
            </w:pPr>
            <w:r w:rsidRPr="00295986">
              <w:t>26</w:t>
            </w:r>
            <w:r w:rsidR="00D7157D">
              <w:t>.</w:t>
            </w:r>
            <w:r w:rsidRPr="00295986">
              <w:t>3031</w:t>
            </w:r>
          </w:p>
        </w:tc>
        <w:tc>
          <w:tcPr>
            <w:tcW w:w="966" w:type="pct"/>
            <w:tcBorders>
              <w:top w:val="single" w:sz="4" w:space="0" w:color="auto"/>
              <w:bottom w:val="single" w:sz="4" w:space="0" w:color="auto"/>
            </w:tcBorders>
            <w:vAlign w:val="bottom"/>
          </w:tcPr>
          <w:p w14:paraId="733EF90F" w14:textId="77777777" w:rsidR="000E5239" w:rsidRPr="000F120F" w:rsidRDefault="000E5239" w:rsidP="00F36942">
            <w:pPr>
              <w:pStyle w:val="Tabletext"/>
              <w:rPr>
                <w:snapToGrid w:val="0"/>
              </w:rPr>
            </w:pPr>
            <w:r w:rsidRPr="00295986">
              <w:t>1</w:t>
            </w:r>
            <w:r w:rsidR="00D7157D">
              <w:t>.</w:t>
            </w:r>
            <w:r w:rsidRPr="00295986">
              <w:t>4409</w:t>
            </w:r>
          </w:p>
        </w:tc>
        <w:tc>
          <w:tcPr>
            <w:tcW w:w="966" w:type="pct"/>
            <w:tcBorders>
              <w:top w:val="single" w:sz="4" w:space="0" w:color="auto"/>
              <w:bottom w:val="single" w:sz="4" w:space="0" w:color="auto"/>
            </w:tcBorders>
            <w:vAlign w:val="bottom"/>
          </w:tcPr>
          <w:p w14:paraId="51E5ACA2" w14:textId="77777777" w:rsidR="000E5239" w:rsidRPr="000F120F" w:rsidRDefault="000E5239" w:rsidP="00F36942">
            <w:pPr>
              <w:pStyle w:val="Tabletext"/>
              <w:rPr>
                <w:snapToGrid w:val="0"/>
              </w:rPr>
            </w:pPr>
            <w:r w:rsidRPr="00295986">
              <w:t>27</w:t>
            </w:r>
            <w:r w:rsidR="00D7157D">
              <w:t>.</w:t>
            </w:r>
            <w:r w:rsidRPr="00295986">
              <w:t>0158</w:t>
            </w:r>
          </w:p>
        </w:tc>
        <w:tc>
          <w:tcPr>
            <w:tcW w:w="966" w:type="pct"/>
            <w:tcBorders>
              <w:top w:val="single" w:sz="4" w:space="0" w:color="auto"/>
              <w:bottom w:val="single" w:sz="4" w:space="0" w:color="auto"/>
            </w:tcBorders>
            <w:vAlign w:val="bottom"/>
          </w:tcPr>
          <w:p w14:paraId="731CAA2D" w14:textId="77777777" w:rsidR="000E5239" w:rsidRPr="000F120F" w:rsidRDefault="000E5239" w:rsidP="00F36942">
            <w:pPr>
              <w:pStyle w:val="Tabletext"/>
              <w:rPr>
                <w:snapToGrid w:val="0"/>
              </w:rPr>
            </w:pPr>
            <w:r w:rsidRPr="00295986">
              <w:t>0</w:t>
            </w:r>
            <w:r w:rsidR="00D7157D">
              <w:t>.</w:t>
            </w:r>
            <w:r w:rsidRPr="00295986">
              <w:t>6049</w:t>
            </w:r>
          </w:p>
        </w:tc>
      </w:tr>
      <w:tr w:rsidR="000E5239" w:rsidRPr="009E2595" w14:paraId="28F5C2E6" w14:textId="77777777" w:rsidTr="00F36942">
        <w:trPr>
          <w:cantSplit/>
        </w:trPr>
        <w:tc>
          <w:tcPr>
            <w:tcW w:w="1136" w:type="pct"/>
            <w:tcBorders>
              <w:top w:val="single" w:sz="4" w:space="0" w:color="auto"/>
              <w:bottom w:val="single" w:sz="4" w:space="0" w:color="auto"/>
            </w:tcBorders>
          </w:tcPr>
          <w:p w14:paraId="3D8BB551" w14:textId="77777777" w:rsidR="000E5239" w:rsidRPr="00616B26" w:rsidRDefault="000E5239" w:rsidP="00F36942">
            <w:pPr>
              <w:pStyle w:val="Tabletext"/>
              <w:rPr>
                <w:snapToGrid w:val="0"/>
              </w:rPr>
            </w:pPr>
            <w:r w:rsidRPr="00616B26">
              <w:rPr>
                <w:snapToGrid w:val="0"/>
              </w:rPr>
              <w:t>39</w:t>
            </w:r>
          </w:p>
        </w:tc>
        <w:tc>
          <w:tcPr>
            <w:tcW w:w="966" w:type="pct"/>
            <w:tcBorders>
              <w:top w:val="single" w:sz="4" w:space="0" w:color="auto"/>
              <w:bottom w:val="single" w:sz="4" w:space="0" w:color="auto"/>
            </w:tcBorders>
            <w:vAlign w:val="bottom"/>
          </w:tcPr>
          <w:p w14:paraId="33B7B74C" w14:textId="77777777" w:rsidR="000E5239" w:rsidRPr="000F120F" w:rsidRDefault="000E5239" w:rsidP="00F36942">
            <w:pPr>
              <w:pStyle w:val="Tabletext"/>
              <w:rPr>
                <w:snapToGrid w:val="0"/>
              </w:rPr>
            </w:pPr>
            <w:r w:rsidRPr="00295986">
              <w:t>26</w:t>
            </w:r>
            <w:r w:rsidR="00D7157D">
              <w:t>.</w:t>
            </w:r>
            <w:r w:rsidRPr="00295986">
              <w:t>0531</w:t>
            </w:r>
          </w:p>
        </w:tc>
        <w:tc>
          <w:tcPr>
            <w:tcW w:w="966" w:type="pct"/>
            <w:tcBorders>
              <w:top w:val="single" w:sz="4" w:space="0" w:color="auto"/>
              <w:bottom w:val="single" w:sz="4" w:space="0" w:color="auto"/>
            </w:tcBorders>
            <w:vAlign w:val="bottom"/>
          </w:tcPr>
          <w:p w14:paraId="29FFB467" w14:textId="77777777" w:rsidR="000E5239" w:rsidRPr="000F120F" w:rsidRDefault="000E5239" w:rsidP="00F36942">
            <w:pPr>
              <w:pStyle w:val="Tabletext"/>
              <w:rPr>
                <w:snapToGrid w:val="0"/>
              </w:rPr>
            </w:pPr>
            <w:r w:rsidRPr="00295986">
              <w:t>1</w:t>
            </w:r>
            <w:r w:rsidR="00D7157D">
              <w:t>.</w:t>
            </w:r>
            <w:r w:rsidRPr="00295986">
              <w:t>4798</w:t>
            </w:r>
          </w:p>
        </w:tc>
        <w:tc>
          <w:tcPr>
            <w:tcW w:w="966" w:type="pct"/>
            <w:tcBorders>
              <w:top w:val="single" w:sz="4" w:space="0" w:color="auto"/>
              <w:bottom w:val="single" w:sz="4" w:space="0" w:color="auto"/>
            </w:tcBorders>
            <w:vAlign w:val="bottom"/>
          </w:tcPr>
          <w:p w14:paraId="51B8AC6F" w14:textId="77777777" w:rsidR="000E5239" w:rsidRPr="000F120F" w:rsidRDefault="000E5239" w:rsidP="00F36942">
            <w:pPr>
              <w:pStyle w:val="Tabletext"/>
              <w:rPr>
                <w:snapToGrid w:val="0"/>
              </w:rPr>
            </w:pPr>
            <w:r w:rsidRPr="00295986">
              <w:t>26</w:t>
            </w:r>
            <w:r w:rsidR="00D7157D">
              <w:t>.</w:t>
            </w:r>
            <w:r w:rsidRPr="00295986">
              <w:t>7806</w:t>
            </w:r>
          </w:p>
        </w:tc>
        <w:tc>
          <w:tcPr>
            <w:tcW w:w="966" w:type="pct"/>
            <w:tcBorders>
              <w:top w:val="single" w:sz="4" w:space="0" w:color="auto"/>
              <w:bottom w:val="single" w:sz="4" w:space="0" w:color="auto"/>
            </w:tcBorders>
            <w:vAlign w:val="bottom"/>
          </w:tcPr>
          <w:p w14:paraId="34BBF012" w14:textId="77777777" w:rsidR="000E5239" w:rsidRPr="000F120F" w:rsidRDefault="000E5239" w:rsidP="00F36942">
            <w:pPr>
              <w:pStyle w:val="Tabletext"/>
              <w:rPr>
                <w:snapToGrid w:val="0"/>
              </w:rPr>
            </w:pPr>
            <w:r w:rsidRPr="00295986">
              <w:t>0</w:t>
            </w:r>
            <w:r w:rsidR="00D7157D">
              <w:t>.</w:t>
            </w:r>
            <w:r w:rsidRPr="00295986">
              <w:t>6224</w:t>
            </w:r>
          </w:p>
        </w:tc>
      </w:tr>
      <w:tr w:rsidR="000E5239" w:rsidRPr="009E2595" w14:paraId="53538B28" w14:textId="77777777" w:rsidTr="00F36942">
        <w:trPr>
          <w:cantSplit/>
        </w:trPr>
        <w:tc>
          <w:tcPr>
            <w:tcW w:w="1136" w:type="pct"/>
            <w:tcBorders>
              <w:top w:val="single" w:sz="4" w:space="0" w:color="auto"/>
              <w:bottom w:val="single" w:sz="4" w:space="0" w:color="auto"/>
            </w:tcBorders>
          </w:tcPr>
          <w:p w14:paraId="7742BBA8" w14:textId="77777777" w:rsidR="000E5239" w:rsidRPr="00616B26" w:rsidRDefault="000E5239" w:rsidP="00F36942">
            <w:pPr>
              <w:pStyle w:val="Tabletext"/>
              <w:rPr>
                <w:snapToGrid w:val="0"/>
              </w:rPr>
            </w:pPr>
            <w:r w:rsidRPr="00616B26">
              <w:rPr>
                <w:snapToGrid w:val="0"/>
              </w:rPr>
              <w:t>40</w:t>
            </w:r>
          </w:p>
        </w:tc>
        <w:tc>
          <w:tcPr>
            <w:tcW w:w="966" w:type="pct"/>
            <w:tcBorders>
              <w:top w:val="single" w:sz="4" w:space="0" w:color="auto"/>
              <w:bottom w:val="single" w:sz="4" w:space="0" w:color="auto"/>
            </w:tcBorders>
            <w:vAlign w:val="bottom"/>
          </w:tcPr>
          <w:p w14:paraId="56260E85" w14:textId="77777777" w:rsidR="000E5239" w:rsidRPr="000F120F" w:rsidRDefault="000E5239" w:rsidP="00F36942">
            <w:pPr>
              <w:pStyle w:val="Tabletext"/>
              <w:rPr>
                <w:snapToGrid w:val="0"/>
              </w:rPr>
            </w:pPr>
            <w:r w:rsidRPr="00295986">
              <w:t>25</w:t>
            </w:r>
            <w:r w:rsidR="00D7157D">
              <w:t>.</w:t>
            </w:r>
            <w:r w:rsidRPr="00295986">
              <w:t>7965</w:t>
            </w:r>
          </w:p>
        </w:tc>
        <w:tc>
          <w:tcPr>
            <w:tcW w:w="966" w:type="pct"/>
            <w:tcBorders>
              <w:top w:val="single" w:sz="4" w:space="0" w:color="auto"/>
              <w:bottom w:val="single" w:sz="4" w:space="0" w:color="auto"/>
            </w:tcBorders>
            <w:vAlign w:val="bottom"/>
          </w:tcPr>
          <w:p w14:paraId="0D07F324" w14:textId="77777777" w:rsidR="000E5239" w:rsidRPr="000F120F" w:rsidRDefault="000E5239" w:rsidP="00F36942">
            <w:pPr>
              <w:pStyle w:val="Tabletext"/>
              <w:rPr>
                <w:snapToGrid w:val="0"/>
              </w:rPr>
            </w:pPr>
            <w:r w:rsidRPr="00295986">
              <w:t>1</w:t>
            </w:r>
            <w:r w:rsidR="00D7157D">
              <w:t>.</w:t>
            </w:r>
            <w:r w:rsidRPr="00295986">
              <w:t>5193</w:t>
            </w:r>
          </w:p>
        </w:tc>
        <w:tc>
          <w:tcPr>
            <w:tcW w:w="966" w:type="pct"/>
            <w:tcBorders>
              <w:top w:val="single" w:sz="4" w:space="0" w:color="auto"/>
              <w:bottom w:val="single" w:sz="4" w:space="0" w:color="auto"/>
            </w:tcBorders>
            <w:vAlign w:val="bottom"/>
          </w:tcPr>
          <w:p w14:paraId="050751FF" w14:textId="77777777" w:rsidR="000E5239" w:rsidRPr="000F120F" w:rsidRDefault="000E5239" w:rsidP="00F36942">
            <w:pPr>
              <w:pStyle w:val="Tabletext"/>
              <w:rPr>
                <w:snapToGrid w:val="0"/>
              </w:rPr>
            </w:pPr>
            <w:r w:rsidRPr="00295986">
              <w:t>26</w:t>
            </w:r>
            <w:r w:rsidR="00D7157D">
              <w:t>.</w:t>
            </w:r>
            <w:r w:rsidRPr="00295986">
              <w:t>5388</w:t>
            </w:r>
          </w:p>
        </w:tc>
        <w:tc>
          <w:tcPr>
            <w:tcW w:w="966" w:type="pct"/>
            <w:tcBorders>
              <w:top w:val="single" w:sz="4" w:space="0" w:color="auto"/>
              <w:bottom w:val="single" w:sz="4" w:space="0" w:color="auto"/>
            </w:tcBorders>
            <w:vAlign w:val="bottom"/>
          </w:tcPr>
          <w:p w14:paraId="04E153AB" w14:textId="77777777" w:rsidR="000E5239" w:rsidRPr="000F120F" w:rsidRDefault="000E5239" w:rsidP="00F36942">
            <w:pPr>
              <w:pStyle w:val="Tabletext"/>
              <w:rPr>
                <w:snapToGrid w:val="0"/>
              </w:rPr>
            </w:pPr>
            <w:r w:rsidRPr="00295986">
              <w:t>0</w:t>
            </w:r>
            <w:r w:rsidR="00D7157D">
              <w:t>.</w:t>
            </w:r>
            <w:r w:rsidRPr="00295986">
              <w:t>6401</w:t>
            </w:r>
          </w:p>
        </w:tc>
      </w:tr>
      <w:tr w:rsidR="000E5239" w:rsidRPr="009E2595" w14:paraId="00FD3367" w14:textId="77777777" w:rsidTr="00F36942">
        <w:trPr>
          <w:cantSplit/>
        </w:trPr>
        <w:tc>
          <w:tcPr>
            <w:tcW w:w="1136" w:type="pct"/>
            <w:tcBorders>
              <w:top w:val="single" w:sz="4" w:space="0" w:color="auto"/>
              <w:bottom w:val="single" w:sz="4" w:space="0" w:color="auto"/>
            </w:tcBorders>
          </w:tcPr>
          <w:p w14:paraId="470E54AC" w14:textId="77777777" w:rsidR="000E5239" w:rsidRPr="00616B26" w:rsidRDefault="000E5239" w:rsidP="00F36942">
            <w:pPr>
              <w:pStyle w:val="Tabletext"/>
              <w:rPr>
                <w:snapToGrid w:val="0"/>
              </w:rPr>
            </w:pPr>
            <w:r w:rsidRPr="00616B26">
              <w:rPr>
                <w:snapToGrid w:val="0"/>
              </w:rPr>
              <w:t>41</w:t>
            </w:r>
          </w:p>
        </w:tc>
        <w:tc>
          <w:tcPr>
            <w:tcW w:w="966" w:type="pct"/>
            <w:tcBorders>
              <w:top w:val="single" w:sz="4" w:space="0" w:color="auto"/>
              <w:bottom w:val="single" w:sz="4" w:space="0" w:color="auto"/>
            </w:tcBorders>
            <w:vAlign w:val="bottom"/>
          </w:tcPr>
          <w:p w14:paraId="0BD32DD8" w14:textId="77777777" w:rsidR="000E5239" w:rsidRPr="000F120F" w:rsidRDefault="000E5239" w:rsidP="00F36942">
            <w:pPr>
              <w:pStyle w:val="Tabletext"/>
              <w:rPr>
                <w:snapToGrid w:val="0"/>
              </w:rPr>
            </w:pPr>
            <w:r w:rsidRPr="00295986">
              <w:t>25</w:t>
            </w:r>
            <w:r w:rsidR="00D7157D">
              <w:t>.</w:t>
            </w:r>
            <w:r w:rsidRPr="00295986">
              <w:t>5331</w:t>
            </w:r>
          </w:p>
        </w:tc>
        <w:tc>
          <w:tcPr>
            <w:tcW w:w="966" w:type="pct"/>
            <w:tcBorders>
              <w:top w:val="single" w:sz="4" w:space="0" w:color="auto"/>
              <w:bottom w:val="single" w:sz="4" w:space="0" w:color="auto"/>
            </w:tcBorders>
            <w:vAlign w:val="bottom"/>
          </w:tcPr>
          <w:p w14:paraId="3F926566" w14:textId="77777777" w:rsidR="000E5239" w:rsidRPr="000F120F" w:rsidRDefault="000E5239" w:rsidP="00F36942">
            <w:pPr>
              <w:pStyle w:val="Tabletext"/>
              <w:rPr>
                <w:snapToGrid w:val="0"/>
              </w:rPr>
            </w:pPr>
            <w:r w:rsidRPr="00295986">
              <w:t>1</w:t>
            </w:r>
            <w:r w:rsidR="00D7157D">
              <w:t>.</w:t>
            </w:r>
            <w:r w:rsidRPr="00295986">
              <w:t>5075</w:t>
            </w:r>
          </w:p>
        </w:tc>
        <w:tc>
          <w:tcPr>
            <w:tcW w:w="966" w:type="pct"/>
            <w:tcBorders>
              <w:top w:val="single" w:sz="4" w:space="0" w:color="auto"/>
              <w:bottom w:val="single" w:sz="4" w:space="0" w:color="auto"/>
            </w:tcBorders>
            <w:vAlign w:val="bottom"/>
          </w:tcPr>
          <w:p w14:paraId="6E48E127" w14:textId="77777777" w:rsidR="000E5239" w:rsidRPr="000F120F" w:rsidRDefault="000E5239" w:rsidP="00F36942">
            <w:pPr>
              <w:pStyle w:val="Tabletext"/>
              <w:rPr>
                <w:snapToGrid w:val="0"/>
              </w:rPr>
            </w:pPr>
            <w:r w:rsidRPr="00295986">
              <w:t>26</w:t>
            </w:r>
            <w:r w:rsidR="00D7157D">
              <w:t>.</w:t>
            </w:r>
            <w:r w:rsidRPr="00295986">
              <w:t>2901</w:t>
            </w:r>
          </w:p>
        </w:tc>
        <w:tc>
          <w:tcPr>
            <w:tcW w:w="966" w:type="pct"/>
            <w:tcBorders>
              <w:top w:val="single" w:sz="4" w:space="0" w:color="auto"/>
              <w:bottom w:val="single" w:sz="4" w:space="0" w:color="auto"/>
            </w:tcBorders>
            <w:vAlign w:val="bottom"/>
          </w:tcPr>
          <w:p w14:paraId="7CF292F8" w14:textId="77777777" w:rsidR="000E5239" w:rsidRPr="000F120F" w:rsidRDefault="000E5239" w:rsidP="00F36942">
            <w:pPr>
              <w:pStyle w:val="Tabletext"/>
              <w:rPr>
                <w:snapToGrid w:val="0"/>
              </w:rPr>
            </w:pPr>
            <w:r w:rsidRPr="00295986">
              <w:t>0</w:t>
            </w:r>
            <w:r w:rsidR="00D7157D">
              <w:t>.</w:t>
            </w:r>
            <w:r w:rsidRPr="00295986">
              <w:t>6187</w:t>
            </w:r>
          </w:p>
        </w:tc>
      </w:tr>
      <w:tr w:rsidR="000E5239" w:rsidRPr="009E2595" w14:paraId="2F5970CB" w14:textId="77777777" w:rsidTr="00F36942">
        <w:trPr>
          <w:cantSplit/>
        </w:trPr>
        <w:tc>
          <w:tcPr>
            <w:tcW w:w="1136" w:type="pct"/>
            <w:tcBorders>
              <w:top w:val="single" w:sz="4" w:space="0" w:color="auto"/>
              <w:bottom w:val="single" w:sz="4" w:space="0" w:color="auto"/>
            </w:tcBorders>
          </w:tcPr>
          <w:p w14:paraId="0CA99AE9" w14:textId="77777777" w:rsidR="000E5239" w:rsidRPr="00616B26" w:rsidRDefault="000E5239" w:rsidP="00F36942">
            <w:pPr>
              <w:pStyle w:val="Tabletext"/>
              <w:rPr>
                <w:snapToGrid w:val="0"/>
              </w:rPr>
            </w:pPr>
            <w:r w:rsidRPr="00616B26">
              <w:rPr>
                <w:snapToGrid w:val="0"/>
              </w:rPr>
              <w:t>42</w:t>
            </w:r>
          </w:p>
        </w:tc>
        <w:tc>
          <w:tcPr>
            <w:tcW w:w="966" w:type="pct"/>
            <w:tcBorders>
              <w:top w:val="single" w:sz="4" w:space="0" w:color="auto"/>
              <w:bottom w:val="single" w:sz="4" w:space="0" w:color="auto"/>
            </w:tcBorders>
            <w:vAlign w:val="bottom"/>
          </w:tcPr>
          <w:p w14:paraId="61A8A1BA" w14:textId="77777777" w:rsidR="000E5239" w:rsidRPr="000F120F" w:rsidRDefault="000E5239" w:rsidP="00F36942">
            <w:pPr>
              <w:pStyle w:val="Tabletext"/>
              <w:rPr>
                <w:snapToGrid w:val="0"/>
              </w:rPr>
            </w:pPr>
            <w:r w:rsidRPr="00295986">
              <w:t>25</w:t>
            </w:r>
            <w:r w:rsidR="00D7157D">
              <w:t>.</w:t>
            </w:r>
            <w:r w:rsidRPr="00295986">
              <w:t>2630</w:t>
            </w:r>
          </w:p>
        </w:tc>
        <w:tc>
          <w:tcPr>
            <w:tcW w:w="966" w:type="pct"/>
            <w:tcBorders>
              <w:top w:val="single" w:sz="4" w:space="0" w:color="auto"/>
              <w:bottom w:val="single" w:sz="4" w:space="0" w:color="auto"/>
            </w:tcBorders>
            <w:vAlign w:val="bottom"/>
          </w:tcPr>
          <w:p w14:paraId="1D51540C" w14:textId="77777777" w:rsidR="000E5239" w:rsidRPr="000F120F" w:rsidRDefault="000E5239" w:rsidP="00F36942">
            <w:pPr>
              <w:pStyle w:val="Tabletext"/>
              <w:rPr>
                <w:snapToGrid w:val="0"/>
              </w:rPr>
            </w:pPr>
            <w:r w:rsidRPr="00295986">
              <w:t>1</w:t>
            </w:r>
            <w:r w:rsidR="00D7157D">
              <w:t>.</w:t>
            </w:r>
            <w:r w:rsidRPr="00295986">
              <w:t>4934</w:t>
            </w:r>
          </w:p>
        </w:tc>
        <w:tc>
          <w:tcPr>
            <w:tcW w:w="966" w:type="pct"/>
            <w:tcBorders>
              <w:top w:val="single" w:sz="4" w:space="0" w:color="auto"/>
              <w:bottom w:val="single" w:sz="4" w:space="0" w:color="auto"/>
            </w:tcBorders>
            <w:vAlign w:val="bottom"/>
          </w:tcPr>
          <w:p w14:paraId="541208B4" w14:textId="77777777" w:rsidR="000E5239" w:rsidRPr="000F120F" w:rsidRDefault="000E5239" w:rsidP="00F36942">
            <w:pPr>
              <w:pStyle w:val="Tabletext"/>
              <w:rPr>
                <w:snapToGrid w:val="0"/>
              </w:rPr>
            </w:pPr>
            <w:r w:rsidRPr="00295986">
              <w:t>26</w:t>
            </w:r>
            <w:r w:rsidR="00D7157D">
              <w:t>.</w:t>
            </w:r>
            <w:r w:rsidRPr="00295986">
              <w:t>0346</w:t>
            </w:r>
          </w:p>
        </w:tc>
        <w:tc>
          <w:tcPr>
            <w:tcW w:w="966" w:type="pct"/>
            <w:tcBorders>
              <w:top w:val="single" w:sz="4" w:space="0" w:color="auto"/>
              <w:bottom w:val="single" w:sz="4" w:space="0" w:color="auto"/>
            </w:tcBorders>
            <w:vAlign w:val="bottom"/>
          </w:tcPr>
          <w:p w14:paraId="52E4D202" w14:textId="77777777" w:rsidR="000E5239" w:rsidRPr="000F120F" w:rsidRDefault="000E5239" w:rsidP="00F36942">
            <w:pPr>
              <w:pStyle w:val="Tabletext"/>
              <w:rPr>
                <w:snapToGrid w:val="0"/>
              </w:rPr>
            </w:pPr>
            <w:r w:rsidRPr="00295986">
              <w:t>0</w:t>
            </w:r>
            <w:r w:rsidR="00D7157D">
              <w:t>.</w:t>
            </w:r>
            <w:r w:rsidRPr="00295986">
              <w:t>5953</w:t>
            </w:r>
          </w:p>
        </w:tc>
      </w:tr>
      <w:tr w:rsidR="000E5239" w:rsidRPr="009E2595" w14:paraId="6F9816DE" w14:textId="77777777" w:rsidTr="00F36942">
        <w:trPr>
          <w:cantSplit/>
        </w:trPr>
        <w:tc>
          <w:tcPr>
            <w:tcW w:w="1136" w:type="pct"/>
            <w:tcBorders>
              <w:top w:val="single" w:sz="4" w:space="0" w:color="auto"/>
              <w:bottom w:val="single" w:sz="4" w:space="0" w:color="auto"/>
            </w:tcBorders>
          </w:tcPr>
          <w:p w14:paraId="1548DBF6" w14:textId="77777777" w:rsidR="000E5239" w:rsidRPr="00616B26" w:rsidRDefault="000E5239" w:rsidP="00F36942">
            <w:pPr>
              <w:pStyle w:val="Tabletext"/>
              <w:rPr>
                <w:snapToGrid w:val="0"/>
              </w:rPr>
            </w:pPr>
            <w:r w:rsidRPr="00616B26">
              <w:rPr>
                <w:snapToGrid w:val="0"/>
              </w:rPr>
              <w:t>43</w:t>
            </w:r>
          </w:p>
        </w:tc>
        <w:tc>
          <w:tcPr>
            <w:tcW w:w="966" w:type="pct"/>
            <w:tcBorders>
              <w:top w:val="single" w:sz="4" w:space="0" w:color="auto"/>
              <w:bottom w:val="single" w:sz="4" w:space="0" w:color="auto"/>
            </w:tcBorders>
            <w:vAlign w:val="bottom"/>
          </w:tcPr>
          <w:p w14:paraId="272B3965" w14:textId="77777777" w:rsidR="000E5239" w:rsidRPr="000F120F" w:rsidRDefault="000E5239" w:rsidP="00F36942">
            <w:pPr>
              <w:pStyle w:val="Tabletext"/>
              <w:rPr>
                <w:snapToGrid w:val="0"/>
              </w:rPr>
            </w:pPr>
            <w:r w:rsidRPr="00295986">
              <w:t>24</w:t>
            </w:r>
            <w:r w:rsidR="00D7157D">
              <w:t>.</w:t>
            </w:r>
            <w:r w:rsidRPr="00295986">
              <w:t>9860</w:t>
            </w:r>
          </w:p>
        </w:tc>
        <w:tc>
          <w:tcPr>
            <w:tcW w:w="966" w:type="pct"/>
            <w:tcBorders>
              <w:top w:val="single" w:sz="4" w:space="0" w:color="auto"/>
              <w:bottom w:val="single" w:sz="4" w:space="0" w:color="auto"/>
            </w:tcBorders>
            <w:vAlign w:val="bottom"/>
          </w:tcPr>
          <w:p w14:paraId="4045A70A" w14:textId="77777777" w:rsidR="000E5239" w:rsidRPr="000F120F" w:rsidRDefault="000E5239" w:rsidP="00F36942">
            <w:pPr>
              <w:pStyle w:val="Tabletext"/>
              <w:rPr>
                <w:snapToGrid w:val="0"/>
              </w:rPr>
            </w:pPr>
            <w:r w:rsidRPr="00295986">
              <w:t>1</w:t>
            </w:r>
            <w:r w:rsidR="00D7157D">
              <w:t>.</w:t>
            </w:r>
            <w:r w:rsidRPr="00295986">
              <w:t>4771</w:t>
            </w:r>
          </w:p>
        </w:tc>
        <w:tc>
          <w:tcPr>
            <w:tcW w:w="966" w:type="pct"/>
            <w:tcBorders>
              <w:top w:val="single" w:sz="4" w:space="0" w:color="auto"/>
              <w:bottom w:val="single" w:sz="4" w:space="0" w:color="auto"/>
            </w:tcBorders>
            <w:vAlign w:val="bottom"/>
          </w:tcPr>
          <w:p w14:paraId="4B26122F" w14:textId="77777777" w:rsidR="000E5239" w:rsidRPr="000F120F" w:rsidRDefault="000E5239" w:rsidP="00F36942">
            <w:pPr>
              <w:pStyle w:val="Tabletext"/>
              <w:rPr>
                <w:snapToGrid w:val="0"/>
              </w:rPr>
            </w:pPr>
            <w:r w:rsidRPr="00295986">
              <w:t>25</w:t>
            </w:r>
            <w:r w:rsidR="00D7157D">
              <w:t>.</w:t>
            </w:r>
            <w:r w:rsidRPr="00295986">
              <w:t>7720</w:t>
            </w:r>
          </w:p>
        </w:tc>
        <w:tc>
          <w:tcPr>
            <w:tcW w:w="966" w:type="pct"/>
            <w:tcBorders>
              <w:top w:val="single" w:sz="4" w:space="0" w:color="auto"/>
              <w:bottom w:val="single" w:sz="4" w:space="0" w:color="auto"/>
            </w:tcBorders>
            <w:vAlign w:val="bottom"/>
          </w:tcPr>
          <w:p w14:paraId="0E946FF7" w14:textId="77777777" w:rsidR="000E5239" w:rsidRPr="000F120F" w:rsidRDefault="000E5239" w:rsidP="00F36942">
            <w:pPr>
              <w:pStyle w:val="Tabletext"/>
              <w:rPr>
                <w:snapToGrid w:val="0"/>
              </w:rPr>
            </w:pPr>
            <w:r w:rsidRPr="00295986">
              <w:t>0</w:t>
            </w:r>
            <w:r w:rsidR="00D7157D">
              <w:t>.</w:t>
            </w:r>
            <w:r w:rsidRPr="00295986">
              <w:t>5699</w:t>
            </w:r>
          </w:p>
        </w:tc>
      </w:tr>
      <w:tr w:rsidR="000E5239" w:rsidRPr="009E2595" w14:paraId="6AD3C8E4" w14:textId="77777777" w:rsidTr="00F36942">
        <w:trPr>
          <w:cantSplit/>
        </w:trPr>
        <w:tc>
          <w:tcPr>
            <w:tcW w:w="1136" w:type="pct"/>
            <w:tcBorders>
              <w:top w:val="single" w:sz="4" w:space="0" w:color="auto"/>
              <w:bottom w:val="single" w:sz="4" w:space="0" w:color="auto"/>
            </w:tcBorders>
          </w:tcPr>
          <w:p w14:paraId="38B22F12" w14:textId="77777777" w:rsidR="000E5239" w:rsidRPr="00616B26" w:rsidRDefault="000E5239" w:rsidP="00F36942">
            <w:pPr>
              <w:pStyle w:val="Tabletext"/>
              <w:rPr>
                <w:snapToGrid w:val="0"/>
              </w:rPr>
            </w:pPr>
            <w:r w:rsidRPr="00616B26">
              <w:rPr>
                <w:snapToGrid w:val="0"/>
              </w:rPr>
              <w:t>44</w:t>
            </w:r>
          </w:p>
        </w:tc>
        <w:tc>
          <w:tcPr>
            <w:tcW w:w="966" w:type="pct"/>
            <w:tcBorders>
              <w:top w:val="single" w:sz="4" w:space="0" w:color="auto"/>
              <w:bottom w:val="single" w:sz="4" w:space="0" w:color="auto"/>
            </w:tcBorders>
            <w:vAlign w:val="bottom"/>
          </w:tcPr>
          <w:p w14:paraId="26C49916" w14:textId="77777777" w:rsidR="000E5239" w:rsidRPr="000F120F" w:rsidRDefault="000E5239" w:rsidP="00F36942">
            <w:pPr>
              <w:pStyle w:val="Tabletext"/>
              <w:rPr>
                <w:snapToGrid w:val="0"/>
              </w:rPr>
            </w:pPr>
            <w:r w:rsidRPr="00295986">
              <w:t>24</w:t>
            </w:r>
            <w:r w:rsidR="00D7157D">
              <w:t>.</w:t>
            </w:r>
            <w:r w:rsidRPr="00295986">
              <w:t>7018</w:t>
            </w:r>
          </w:p>
        </w:tc>
        <w:tc>
          <w:tcPr>
            <w:tcW w:w="966" w:type="pct"/>
            <w:tcBorders>
              <w:top w:val="single" w:sz="4" w:space="0" w:color="auto"/>
              <w:bottom w:val="single" w:sz="4" w:space="0" w:color="auto"/>
            </w:tcBorders>
            <w:vAlign w:val="bottom"/>
          </w:tcPr>
          <w:p w14:paraId="5F31A8C6" w14:textId="77777777" w:rsidR="000E5239" w:rsidRPr="000F120F" w:rsidRDefault="000E5239" w:rsidP="00F36942">
            <w:pPr>
              <w:pStyle w:val="Tabletext"/>
              <w:rPr>
                <w:snapToGrid w:val="0"/>
              </w:rPr>
            </w:pPr>
            <w:r w:rsidRPr="00295986">
              <w:t>1</w:t>
            </w:r>
            <w:r w:rsidR="00D7157D">
              <w:t>.</w:t>
            </w:r>
            <w:r w:rsidRPr="00295986">
              <w:t>4585</w:t>
            </w:r>
          </w:p>
        </w:tc>
        <w:tc>
          <w:tcPr>
            <w:tcW w:w="966" w:type="pct"/>
            <w:tcBorders>
              <w:top w:val="single" w:sz="4" w:space="0" w:color="auto"/>
              <w:bottom w:val="single" w:sz="4" w:space="0" w:color="auto"/>
            </w:tcBorders>
            <w:vAlign w:val="bottom"/>
          </w:tcPr>
          <w:p w14:paraId="0F248E39" w14:textId="77777777" w:rsidR="000E5239" w:rsidRPr="000F120F" w:rsidRDefault="000E5239" w:rsidP="00F36942">
            <w:pPr>
              <w:pStyle w:val="Tabletext"/>
              <w:rPr>
                <w:snapToGrid w:val="0"/>
              </w:rPr>
            </w:pPr>
            <w:r w:rsidRPr="00295986">
              <w:t>25</w:t>
            </w:r>
            <w:r w:rsidR="00D7157D">
              <w:t>.</w:t>
            </w:r>
            <w:r w:rsidRPr="00295986">
              <w:t>5022</w:t>
            </w:r>
          </w:p>
        </w:tc>
        <w:tc>
          <w:tcPr>
            <w:tcW w:w="966" w:type="pct"/>
            <w:tcBorders>
              <w:top w:val="single" w:sz="4" w:space="0" w:color="auto"/>
              <w:bottom w:val="single" w:sz="4" w:space="0" w:color="auto"/>
            </w:tcBorders>
            <w:vAlign w:val="bottom"/>
          </w:tcPr>
          <w:p w14:paraId="0870CF77" w14:textId="77777777" w:rsidR="000E5239" w:rsidRPr="000F120F" w:rsidRDefault="000E5239" w:rsidP="00F36942">
            <w:pPr>
              <w:pStyle w:val="Tabletext"/>
              <w:rPr>
                <w:snapToGrid w:val="0"/>
              </w:rPr>
            </w:pPr>
            <w:r w:rsidRPr="00295986">
              <w:t>0</w:t>
            </w:r>
            <w:r w:rsidR="00D7157D">
              <w:t>.</w:t>
            </w:r>
            <w:r w:rsidRPr="00295986">
              <w:t>5425</w:t>
            </w:r>
          </w:p>
        </w:tc>
      </w:tr>
      <w:tr w:rsidR="000E5239" w:rsidRPr="009E2595" w14:paraId="6C1F0A9F" w14:textId="77777777" w:rsidTr="00F36942">
        <w:trPr>
          <w:cantSplit/>
        </w:trPr>
        <w:tc>
          <w:tcPr>
            <w:tcW w:w="1136" w:type="pct"/>
            <w:tcBorders>
              <w:top w:val="single" w:sz="4" w:space="0" w:color="auto"/>
              <w:bottom w:val="single" w:sz="4" w:space="0" w:color="auto"/>
            </w:tcBorders>
          </w:tcPr>
          <w:p w14:paraId="59CEC9AA" w14:textId="77777777" w:rsidR="000E5239" w:rsidRPr="00616B26" w:rsidRDefault="000E5239" w:rsidP="00F36942">
            <w:pPr>
              <w:pStyle w:val="Tabletext"/>
              <w:rPr>
                <w:snapToGrid w:val="0"/>
              </w:rPr>
            </w:pPr>
            <w:r w:rsidRPr="00616B26">
              <w:rPr>
                <w:snapToGrid w:val="0"/>
              </w:rPr>
              <w:t>45</w:t>
            </w:r>
          </w:p>
        </w:tc>
        <w:tc>
          <w:tcPr>
            <w:tcW w:w="966" w:type="pct"/>
            <w:tcBorders>
              <w:top w:val="single" w:sz="4" w:space="0" w:color="auto"/>
              <w:bottom w:val="single" w:sz="4" w:space="0" w:color="auto"/>
            </w:tcBorders>
            <w:vAlign w:val="bottom"/>
          </w:tcPr>
          <w:p w14:paraId="6D1B5BE4" w14:textId="77777777" w:rsidR="000E5239" w:rsidRPr="000F120F" w:rsidRDefault="000E5239" w:rsidP="00F36942">
            <w:pPr>
              <w:pStyle w:val="Tabletext"/>
              <w:rPr>
                <w:snapToGrid w:val="0"/>
              </w:rPr>
            </w:pPr>
            <w:r w:rsidRPr="00295986">
              <w:t>24</w:t>
            </w:r>
            <w:r w:rsidR="00D7157D">
              <w:t>.</w:t>
            </w:r>
            <w:r w:rsidRPr="00295986">
              <w:t>4106</w:t>
            </w:r>
          </w:p>
        </w:tc>
        <w:tc>
          <w:tcPr>
            <w:tcW w:w="966" w:type="pct"/>
            <w:tcBorders>
              <w:top w:val="single" w:sz="4" w:space="0" w:color="auto"/>
              <w:bottom w:val="single" w:sz="4" w:space="0" w:color="auto"/>
            </w:tcBorders>
            <w:vAlign w:val="bottom"/>
          </w:tcPr>
          <w:p w14:paraId="4DA13190" w14:textId="77777777" w:rsidR="000E5239" w:rsidRPr="000F120F" w:rsidRDefault="000E5239" w:rsidP="00F36942">
            <w:pPr>
              <w:pStyle w:val="Tabletext"/>
              <w:rPr>
                <w:snapToGrid w:val="0"/>
              </w:rPr>
            </w:pPr>
            <w:r w:rsidRPr="00295986">
              <w:t>1</w:t>
            </w:r>
            <w:r w:rsidR="00D7157D">
              <w:t>.</w:t>
            </w:r>
            <w:r w:rsidRPr="00295986">
              <w:t>4375</w:t>
            </w:r>
          </w:p>
        </w:tc>
        <w:tc>
          <w:tcPr>
            <w:tcW w:w="966" w:type="pct"/>
            <w:tcBorders>
              <w:top w:val="single" w:sz="4" w:space="0" w:color="auto"/>
              <w:bottom w:val="single" w:sz="4" w:space="0" w:color="auto"/>
            </w:tcBorders>
            <w:vAlign w:val="bottom"/>
          </w:tcPr>
          <w:p w14:paraId="3BF74558" w14:textId="77777777" w:rsidR="000E5239" w:rsidRPr="000F120F" w:rsidRDefault="000E5239" w:rsidP="00F36942">
            <w:pPr>
              <w:pStyle w:val="Tabletext"/>
              <w:rPr>
                <w:snapToGrid w:val="0"/>
              </w:rPr>
            </w:pPr>
            <w:r w:rsidRPr="00295986">
              <w:t>25</w:t>
            </w:r>
            <w:r w:rsidR="00D7157D">
              <w:t>.</w:t>
            </w:r>
            <w:r w:rsidRPr="00295986">
              <w:t>2250</w:t>
            </w:r>
          </w:p>
        </w:tc>
        <w:tc>
          <w:tcPr>
            <w:tcW w:w="966" w:type="pct"/>
            <w:tcBorders>
              <w:top w:val="single" w:sz="4" w:space="0" w:color="auto"/>
              <w:bottom w:val="single" w:sz="4" w:space="0" w:color="auto"/>
            </w:tcBorders>
            <w:vAlign w:val="bottom"/>
          </w:tcPr>
          <w:p w14:paraId="182C0741" w14:textId="77777777" w:rsidR="000E5239" w:rsidRPr="000F120F" w:rsidRDefault="000E5239" w:rsidP="00F36942">
            <w:pPr>
              <w:pStyle w:val="Tabletext"/>
              <w:rPr>
                <w:snapToGrid w:val="0"/>
              </w:rPr>
            </w:pPr>
            <w:r w:rsidRPr="00295986">
              <w:t>0</w:t>
            </w:r>
            <w:r w:rsidR="00D7157D">
              <w:t>.</w:t>
            </w:r>
            <w:r w:rsidRPr="00295986">
              <w:t>5129</w:t>
            </w:r>
          </w:p>
        </w:tc>
      </w:tr>
      <w:tr w:rsidR="000E5239" w:rsidRPr="009E2595" w14:paraId="7CA55BA9" w14:textId="77777777" w:rsidTr="00F36942">
        <w:trPr>
          <w:cantSplit/>
        </w:trPr>
        <w:tc>
          <w:tcPr>
            <w:tcW w:w="1136" w:type="pct"/>
            <w:tcBorders>
              <w:top w:val="single" w:sz="4" w:space="0" w:color="auto"/>
              <w:bottom w:val="single" w:sz="4" w:space="0" w:color="auto"/>
            </w:tcBorders>
          </w:tcPr>
          <w:p w14:paraId="7DE776EF" w14:textId="77777777" w:rsidR="000E5239" w:rsidRPr="00616B26" w:rsidRDefault="000E5239" w:rsidP="00F36942">
            <w:pPr>
              <w:pStyle w:val="Tabletext"/>
              <w:rPr>
                <w:snapToGrid w:val="0"/>
              </w:rPr>
            </w:pPr>
            <w:r w:rsidRPr="00616B26">
              <w:rPr>
                <w:snapToGrid w:val="0"/>
              </w:rPr>
              <w:t>46</w:t>
            </w:r>
          </w:p>
        </w:tc>
        <w:tc>
          <w:tcPr>
            <w:tcW w:w="966" w:type="pct"/>
            <w:tcBorders>
              <w:top w:val="single" w:sz="4" w:space="0" w:color="auto"/>
              <w:bottom w:val="single" w:sz="4" w:space="0" w:color="auto"/>
            </w:tcBorders>
            <w:vAlign w:val="bottom"/>
          </w:tcPr>
          <w:p w14:paraId="33CAB4B9" w14:textId="77777777" w:rsidR="000E5239" w:rsidRPr="000F120F" w:rsidRDefault="000E5239" w:rsidP="00F36942">
            <w:pPr>
              <w:pStyle w:val="Tabletext"/>
              <w:rPr>
                <w:snapToGrid w:val="0"/>
              </w:rPr>
            </w:pPr>
            <w:r w:rsidRPr="00295986">
              <w:t>24</w:t>
            </w:r>
            <w:r w:rsidR="00D7157D">
              <w:t>.</w:t>
            </w:r>
            <w:r w:rsidRPr="00295986">
              <w:t>1123</w:t>
            </w:r>
          </w:p>
        </w:tc>
        <w:tc>
          <w:tcPr>
            <w:tcW w:w="966" w:type="pct"/>
            <w:tcBorders>
              <w:top w:val="single" w:sz="4" w:space="0" w:color="auto"/>
              <w:bottom w:val="single" w:sz="4" w:space="0" w:color="auto"/>
            </w:tcBorders>
            <w:vAlign w:val="bottom"/>
          </w:tcPr>
          <w:p w14:paraId="0283E777" w14:textId="77777777" w:rsidR="000E5239" w:rsidRPr="000F120F" w:rsidRDefault="000E5239" w:rsidP="00F36942">
            <w:pPr>
              <w:pStyle w:val="Tabletext"/>
              <w:rPr>
                <w:snapToGrid w:val="0"/>
              </w:rPr>
            </w:pPr>
            <w:r w:rsidRPr="00295986">
              <w:t>1</w:t>
            </w:r>
            <w:r w:rsidR="00D7157D">
              <w:t>.</w:t>
            </w:r>
            <w:r w:rsidRPr="00295986">
              <w:t>4138</w:t>
            </w:r>
          </w:p>
        </w:tc>
        <w:tc>
          <w:tcPr>
            <w:tcW w:w="966" w:type="pct"/>
            <w:tcBorders>
              <w:top w:val="single" w:sz="4" w:space="0" w:color="auto"/>
              <w:bottom w:val="single" w:sz="4" w:space="0" w:color="auto"/>
            </w:tcBorders>
            <w:vAlign w:val="bottom"/>
          </w:tcPr>
          <w:p w14:paraId="195373EF" w14:textId="77777777" w:rsidR="000E5239" w:rsidRPr="000F120F" w:rsidRDefault="000E5239" w:rsidP="00F36942">
            <w:pPr>
              <w:pStyle w:val="Tabletext"/>
              <w:rPr>
                <w:snapToGrid w:val="0"/>
              </w:rPr>
            </w:pPr>
            <w:r w:rsidRPr="00295986">
              <w:t>24</w:t>
            </w:r>
            <w:r w:rsidR="00D7157D">
              <w:t>.</w:t>
            </w:r>
            <w:r w:rsidRPr="00295986">
              <w:t>9403</w:t>
            </w:r>
          </w:p>
        </w:tc>
        <w:tc>
          <w:tcPr>
            <w:tcW w:w="966" w:type="pct"/>
            <w:tcBorders>
              <w:top w:val="single" w:sz="4" w:space="0" w:color="auto"/>
              <w:bottom w:val="single" w:sz="4" w:space="0" w:color="auto"/>
            </w:tcBorders>
            <w:vAlign w:val="bottom"/>
          </w:tcPr>
          <w:p w14:paraId="3193580B" w14:textId="77777777" w:rsidR="000E5239" w:rsidRPr="000F120F" w:rsidRDefault="000E5239" w:rsidP="00F36942">
            <w:pPr>
              <w:pStyle w:val="Tabletext"/>
              <w:rPr>
                <w:snapToGrid w:val="0"/>
              </w:rPr>
            </w:pPr>
            <w:r w:rsidRPr="00295986">
              <w:t>0</w:t>
            </w:r>
            <w:r w:rsidR="00D7157D">
              <w:t>.</w:t>
            </w:r>
            <w:r w:rsidRPr="00295986">
              <w:t>4812</w:t>
            </w:r>
          </w:p>
        </w:tc>
      </w:tr>
      <w:tr w:rsidR="000E5239" w:rsidRPr="009E2595" w14:paraId="4BE1D947" w14:textId="77777777" w:rsidTr="00F36942">
        <w:trPr>
          <w:cantSplit/>
        </w:trPr>
        <w:tc>
          <w:tcPr>
            <w:tcW w:w="1136" w:type="pct"/>
            <w:tcBorders>
              <w:top w:val="single" w:sz="4" w:space="0" w:color="auto"/>
              <w:bottom w:val="single" w:sz="4" w:space="0" w:color="auto"/>
            </w:tcBorders>
          </w:tcPr>
          <w:p w14:paraId="6EBA4F0A" w14:textId="77777777" w:rsidR="000E5239" w:rsidRPr="00616B26" w:rsidRDefault="000E5239" w:rsidP="00F36942">
            <w:pPr>
              <w:pStyle w:val="Tabletext"/>
              <w:rPr>
                <w:snapToGrid w:val="0"/>
              </w:rPr>
            </w:pPr>
            <w:r w:rsidRPr="00616B26">
              <w:rPr>
                <w:snapToGrid w:val="0"/>
              </w:rPr>
              <w:t>47</w:t>
            </w:r>
          </w:p>
        </w:tc>
        <w:tc>
          <w:tcPr>
            <w:tcW w:w="966" w:type="pct"/>
            <w:tcBorders>
              <w:top w:val="single" w:sz="4" w:space="0" w:color="auto"/>
              <w:bottom w:val="single" w:sz="4" w:space="0" w:color="auto"/>
            </w:tcBorders>
            <w:vAlign w:val="bottom"/>
          </w:tcPr>
          <w:p w14:paraId="7C771B28" w14:textId="77777777" w:rsidR="000E5239" w:rsidRPr="000F120F" w:rsidRDefault="000E5239" w:rsidP="00F36942">
            <w:pPr>
              <w:pStyle w:val="Tabletext"/>
              <w:rPr>
                <w:snapToGrid w:val="0"/>
              </w:rPr>
            </w:pPr>
            <w:r w:rsidRPr="00295986">
              <w:t>23</w:t>
            </w:r>
            <w:r w:rsidR="00D7157D">
              <w:t>.</w:t>
            </w:r>
            <w:r w:rsidRPr="00295986">
              <w:t>8065</w:t>
            </w:r>
          </w:p>
        </w:tc>
        <w:tc>
          <w:tcPr>
            <w:tcW w:w="966" w:type="pct"/>
            <w:tcBorders>
              <w:top w:val="single" w:sz="4" w:space="0" w:color="auto"/>
              <w:bottom w:val="single" w:sz="4" w:space="0" w:color="auto"/>
            </w:tcBorders>
            <w:vAlign w:val="bottom"/>
          </w:tcPr>
          <w:p w14:paraId="0059B65C" w14:textId="77777777" w:rsidR="000E5239" w:rsidRPr="000F120F" w:rsidRDefault="000E5239" w:rsidP="00F36942">
            <w:pPr>
              <w:pStyle w:val="Tabletext"/>
              <w:rPr>
                <w:snapToGrid w:val="0"/>
              </w:rPr>
            </w:pPr>
            <w:r w:rsidRPr="00295986">
              <w:t>1</w:t>
            </w:r>
            <w:r w:rsidR="00D7157D">
              <w:t>.</w:t>
            </w:r>
            <w:r w:rsidRPr="00295986">
              <w:t>3876</w:t>
            </w:r>
          </w:p>
        </w:tc>
        <w:tc>
          <w:tcPr>
            <w:tcW w:w="966" w:type="pct"/>
            <w:tcBorders>
              <w:top w:val="single" w:sz="4" w:space="0" w:color="auto"/>
              <w:bottom w:val="single" w:sz="4" w:space="0" w:color="auto"/>
            </w:tcBorders>
            <w:vAlign w:val="bottom"/>
          </w:tcPr>
          <w:p w14:paraId="0CB59F66" w14:textId="77777777" w:rsidR="000E5239" w:rsidRPr="000F120F" w:rsidRDefault="000E5239" w:rsidP="00F36942">
            <w:pPr>
              <w:pStyle w:val="Tabletext"/>
              <w:rPr>
                <w:snapToGrid w:val="0"/>
              </w:rPr>
            </w:pPr>
            <w:r w:rsidRPr="00295986">
              <w:t>24</w:t>
            </w:r>
            <w:r w:rsidR="00D7157D">
              <w:t>.</w:t>
            </w:r>
            <w:r w:rsidRPr="00295986">
              <w:t>6478</w:t>
            </w:r>
          </w:p>
        </w:tc>
        <w:tc>
          <w:tcPr>
            <w:tcW w:w="966" w:type="pct"/>
            <w:tcBorders>
              <w:top w:val="single" w:sz="4" w:space="0" w:color="auto"/>
              <w:bottom w:val="single" w:sz="4" w:space="0" w:color="auto"/>
            </w:tcBorders>
            <w:vAlign w:val="bottom"/>
          </w:tcPr>
          <w:p w14:paraId="2EB0B378" w14:textId="77777777" w:rsidR="000E5239" w:rsidRPr="000F120F" w:rsidRDefault="000E5239" w:rsidP="00F36942">
            <w:pPr>
              <w:pStyle w:val="Tabletext"/>
              <w:rPr>
                <w:snapToGrid w:val="0"/>
              </w:rPr>
            </w:pPr>
            <w:r w:rsidRPr="00295986">
              <w:t>0</w:t>
            </w:r>
            <w:r w:rsidR="00D7157D">
              <w:t>.</w:t>
            </w:r>
            <w:r w:rsidRPr="00295986">
              <w:t>4474</w:t>
            </w:r>
          </w:p>
        </w:tc>
      </w:tr>
      <w:tr w:rsidR="000E5239" w:rsidRPr="009E2595" w14:paraId="3D39D4A1" w14:textId="77777777" w:rsidTr="00F36942">
        <w:trPr>
          <w:cantSplit/>
        </w:trPr>
        <w:tc>
          <w:tcPr>
            <w:tcW w:w="1136" w:type="pct"/>
            <w:tcBorders>
              <w:top w:val="single" w:sz="4" w:space="0" w:color="auto"/>
              <w:bottom w:val="single" w:sz="4" w:space="0" w:color="auto"/>
            </w:tcBorders>
          </w:tcPr>
          <w:p w14:paraId="32594974" w14:textId="77777777" w:rsidR="000E5239" w:rsidRPr="00616B26" w:rsidRDefault="000E5239" w:rsidP="00F36942">
            <w:pPr>
              <w:pStyle w:val="Tabletext"/>
              <w:rPr>
                <w:snapToGrid w:val="0"/>
              </w:rPr>
            </w:pPr>
            <w:r w:rsidRPr="00616B26">
              <w:rPr>
                <w:snapToGrid w:val="0"/>
              </w:rPr>
              <w:t>48</w:t>
            </w:r>
          </w:p>
        </w:tc>
        <w:tc>
          <w:tcPr>
            <w:tcW w:w="966" w:type="pct"/>
            <w:tcBorders>
              <w:top w:val="single" w:sz="4" w:space="0" w:color="auto"/>
              <w:bottom w:val="single" w:sz="4" w:space="0" w:color="auto"/>
            </w:tcBorders>
            <w:vAlign w:val="bottom"/>
          </w:tcPr>
          <w:p w14:paraId="2663C268" w14:textId="77777777" w:rsidR="000E5239" w:rsidRPr="000F120F" w:rsidRDefault="000E5239" w:rsidP="00F36942">
            <w:pPr>
              <w:pStyle w:val="Tabletext"/>
              <w:rPr>
                <w:snapToGrid w:val="0"/>
              </w:rPr>
            </w:pPr>
            <w:r w:rsidRPr="00295986">
              <w:t>23</w:t>
            </w:r>
            <w:r w:rsidR="00D7157D">
              <w:t>.</w:t>
            </w:r>
            <w:r w:rsidRPr="00295986">
              <w:t>4935</w:t>
            </w:r>
          </w:p>
        </w:tc>
        <w:tc>
          <w:tcPr>
            <w:tcW w:w="966" w:type="pct"/>
            <w:tcBorders>
              <w:top w:val="single" w:sz="4" w:space="0" w:color="auto"/>
              <w:bottom w:val="single" w:sz="4" w:space="0" w:color="auto"/>
            </w:tcBorders>
            <w:vAlign w:val="bottom"/>
          </w:tcPr>
          <w:p w14:paraId="5C25CC66" w14:textId="77777777" w:rsidR="000E5239" w:rsidRPr="000F120F" w:rsidRDefault="000E5239" w:rsidP="00F36942">
            <w:pPr>
              <w:pStyle w:val="Tabletext"/>
              <w:rPr>
                <w:snapToGrid w:val="0"/>
              </w:rPr>
            </w:pPr>
            <w:r w:rsidRPr="00295986">
              <w:t>1</w:t>
            </w:r>
            <w:r w:rsidR="00D7157D">
              <w:t>.</w:t>
            </w:r>
            <w:r w:rsidRPr="00295986">
              <w:t>3588</w:t>
            </w:r>
          </w:p>
        </w:tc>
        <w:tc>
          <w:tcPr>
            <w:tcW w:w="966" w:type="pct"/>
            <w:tcBorders>
              <w:top w:val="single" w:sz="4" w:space="0" w:color="auto"/>
              <w:bottom w:val="single" w:sz="4" w:space="0" w:color="auto"/>
            </w:tcBorders>
            <w:vAlign w:val="bottom"/>
          </w:tcPr>
          <w:p w14:paraId="311F3CDF" w14:textId="77777777" w:rsidR="000E5239" w:rsidRPr="000F120F" w:rsidRDefault="000E5239" w:rsidP="00F36942">
            <w:pPr>
              <w:pStyle w:val="Tabletext"/>
              <w:rPr>
                <w:snapToGrid w:val="0"/>
              </w:rPr>
            </w:pPr>
            <w:r w:rsidRPr="00295986">
              <w:t>24</w:t>
            </w:r>
            <w:r w:rsidR="00D7157D">
              <w:t>.</w:t>
            </w:r>
            <w:r w:rsidRPr="00295986">
              <w:t>3475</w:t>
            </w:r>
          </w:p>
        </w:tc>
        <w:tc>
          <w:tcPr>
            <w:tcW w:w="966" w:type="pct"/>
            <w:tcBorders>
              <w:top w:val="single" w:sz="4" w:space="0" w:color="auto"/>
              <w:bottom w:val="single" w:sz="4" w:space="0" w:color="auto"/>
            </w:tcBorders>
            <w:vAlign w:val="bottom"/>
          </w:tcPr>
          <w:p w14:paraId="166F0C5C" w14:textId="77777777" w:rsidR="000E5239" w:rsidRPr="000F120F" w:rsidRDefault="000E5239" w:rsidP="00F36942">
            <w:pPr>
              <w:pStyle w:val="Tabletext"/>
              <w:rPr>
                <w:snapToGrid w:val="0"/>
              </w:rPr>
            </w:pPr>
            <w:r w:rsidRPr="00295986">
              <w:t>0</w:t>
            </w:r>
            <w:r w:rsidR="00D7157D">
              <w:t>.</w:t>
            </w:r>
            <w:r w:rsidRPr="00295986">
              <w:t>4112</w:t>
            </w:r>
          </w:p>
        </w:tc>
      </w:tr>
      <w:tr w:rsidR="000E5239" w:rsidRPr="009E2595" w14:paraId="36934DE7" w14:textId="77777777" w:rsidTr="00F36942">
        <w:trPr>
          <w:cantSplit/>
        </w:trPr>
        <w:tc>
          <w:tcPr>
            <w:tcW w:w="1136" w:type="pct"/>
            <w:tcBorders>
              <w:top w:val="single" w:sz="4" w:space="0" w:color="auto"/>
              <w:bottom w:val="single" w:sz="4" w:space="0" w:color="auto"/>
            </w:tcBorders>
          </w:tcPr>
          <w:p w14:paraId="6E9EE898" w14:textId="77777777" w:rsidR="000E5239" w:rsidRPr="00616B26" w:rsidRDefault="000E5239" w:rsidP="00F36942">
            <w:pPr>
              <w:pStyle w:val="Tabletext"/>
              <w:rPr>
                <w:snapToGrid w:val="0"/>
              </w:rPr>
            </w:pPr>
            <w:r w:rsidRPr="00616B26">
              <w:rPr>
                <w:snapToGrid w:val="0"/>
              </w:rPr>
              <w:t>49</w:t>
            </w:r>
          </w:p>
        </w:tc>
        <w:tc>
          <w:tcPr>
            <w:tcW w:w="966" w:type="pct"/>
            <w:tcBorders>
              <w:top w:val="single" w:sz="4" w:space="0" w:color="auto"/>
              <w:bottom w:val="single" w:sz="4" w:space="0" w:color="auto"/>
            </w:tcBorders>
            <w:vAlign w:val="bottom"/>
          </w:tcPr>
          <w:p w14:paraId="614E13B1" w14:textId="77777777" w:rsidR="000E5239" w:rsidRPr="000F120F" w:rsidRDefault="000E5239" w:rsidP="00F36942">
            <w:pPr>
              <w:pStyle w:val="Tabletext"/>
              <w:rPr>
                <w:snapToGrid w:val="0"/>
              </w:rPr>
            </w:pPr>
            <w:r w:rsidRPr="00295986">
              <w:t>23</w:t>
            </w:r>
            <w:r w:rsidR="00D7157D">
              <w:t>.</w:t>
            </w:r>
            <w:r w:rsidRPr="00295986">
              <w:t>1730</w:t>
            </w:r>
          </w:p>
        </w:tc>
        <w:tc>
          <w:tcPr>
            <w:tcW w:w="966" w:type="pct"/>
            <w:tcBorders>
              <w:top w:val="single" w:sz="4" w:space="0" w:color="auto"/>
              <w:bottom w:val="single" w:sz="4" w:space="0" w:color="auto"/>
            </w:tcBorders>
            <w:vAlign w:val="bottom"/>
          </w:tcPr>
          <w:p w14:paraId="0B564C8A" w14:textId="77777777" w:rsidR="000E5239" w:rsidRPr="000F120F" w:rsidRDefault="000E5239" w:rsidP="00F36942">
            <w:pPr>
              <w:pStyle w:val="Tabletext"/>
              <w:rPr>
                <w:snapToGrid w:val="0"/>
              </w:rPr>
            </w:pPr>
            <w:r w:rsidRPr="00295986">
              <w:t>1</w:t>
            </w:r>
            <w:r w:rsidR="00D7157D">
              <w:t>.</w:t>
            </w:r>
            <w:r w:rsidRPr="00295986">
              <w:t>3271</w:t>
            </w:r>
          </w:p>
        </w:tc>
        <w:tc>
          <w:tcPr>
            <w:tcW w:w="966" w:type="pct"/>
            <w:tcBorders>
              <w:top w:val="single" w:sz="4" w:space="0" w:color="auto"/>
              <w:bottom w:val="single" w:sz="4" w:space="0" w:color="auto"/>
            </w:tcBorders>
            <w:vAlign w:val="bottom"/>
          </w:tcPr>
          <w:p w14:paraId="08C2F871" w14:textId="77777777" w:rsidR="000E5239" w:rsidRPr="000F120F" w:rsidRDefault="000E5239" w:rsidP="00F36942">
            <w:pPr>
              <w:pStyle w:val="Tabletext"/>
              <w:rPr>
                <w:snapToGrid w:val="0"/>
              </w:rPr>
            </w:pPr>
            <w:r w:rsidRPr="00295986">
              <w:t>24</w:t>
            </w:r>
            <w:r w:rsidR="00D7157D">
              <w:t>.</w:t>
            </w:r>
            <w:r w:rsidRPr="00295986">
              <w:t>0390</w:t>
            </w:r>
          </w:p>
        </w:tc>
        <w:tc>
          <w:tcPr>
            <w:tcW w:w="966" w:type="pct"/>
            <w:tcBorders>
              <w:top w:val="single" w:sz="4" w:space="0" w:color="auto"/>
              <w:bottom w:val="single" w:sz="4" w:space="0" w:color="auto"/>
            </w:tcBorders>
            <w:vAlign w:val="bottom"/>
          </w:tcPr>
          <w:p w14:paraId="3AC1C445" w14:textId="77777777" w:rsidR="000E5239" w:rsidRPr="000F120F" w:rsidRDefault="000E5239" w:rsidP="00F36942">
            <w:pPr>
              <w:pStyle w:val="Tabletext"/>
              <w:rPr>
                <w:snapToGrid w:val="0"/>
              </w:rPr>
            </w:pPr>
            <w:r w:rsidRPr="00295986">
              <w:t>0</w:t>
            </w:r>
            <w:r w:rsidR="00D7157D">
              <w:t>.</w:t>
            </w:r>
            <w:r w:rsidRPr="00295986">
              <w:t>3729</w:t>
            </w:r>
          </w:p>
        </w:tc>
      </w:tr>
      <w:tr w:rsidR="000E5239" w:rsidRPr="009E2595" w14:paraId="74D9F37B" w14:textId="77777777" w:rsidTr="00F36942">
        <w:trPr>
          <w:cantSplit/>
        </w:trPr>
        <w:tc>
          <w:tcPr>
            <w:tcW w:w="1136" w:type="pct"/>
            <w:tcBorders>
              <w:top w:val="single" w:sz="4" w:space="0" w:color="auto"/>
              <w:bottom w:val="single" w:sz="4" w:space="0" w:color="auto"/>
            </w:tcBorders>
          </w:tcPr>
          <w:p w14:paraId="4C2071A8" w14:textId="77777777" w:rsidR="000E5239" w:rsidRPr="00616B26" w:rsidRDefault="000E5239" w:rsidP="00F36942">
            <w:pPr>
              <w:pStyle w:val="Tabletext"/>
              <w:rPr>
                <w:snapToGrid w:val="0"/>
              </w:rPr>
            </w:pPr>
            <w:r w:rsidRPr="00616B26">
              <w:rPr>
                <w:snapToGrid w:val="0"/>
              </w:rPr>
              <w:t>50</w:t>
            </w:r>
          </w:p>
        </w:tc>
        <w:tc>
          <w:tcPr>
            <w:tcW w:w="966" w:type="pct"/>
            <w:tcBorders>
              <w:top w:val="single" w:sz="4" w:space="0" w:color="auto"/>
              <w:bottom w:val="single" w:sz="4" w:space="0" w:color="auto"/>
            </w:tcBorders>
            <w:vAlign w:val="bottom"/>
          </w:tcPr>
          <w:p w14:paraId="13B51299" w14:textId="77777777" w:rsidR="000E5239" w:rsidRPr="000F120F" w:rsidRDefault="000E5239" w:rsidP="00F36942">
            <w:pPr>
              <w:pStyle w:val="Tabletext"/>
              <w:rPr>
                <w:snapToGrid w:val="0"/>
              </w:rPr>
            </w:pPr>
            <w:r w:rsidRPr="00295986">
              <w:t>22</w:t>
            </w:r>
            <w:r w:rsidR="00D7157D">
              <w:t>.</w:t>
            </w:r>
            <w:r w:rsidRPr="00295986">
              <w:t>8442</w:t>
            </w:r>
          </w:p>
        </w:tc>
        <w:tc>
          <w:tcPr>
            <w:tcW w:w="966" w:type="pct"/>
            <w:tcBorders>
              <w:top w:val="single" w:sz="4" w:space="0" w:color="auto"/>
              <w:bottom w:val="single" w:sz="4" w:space="0" w:color="auto"/>
            </w:tcBorders>
            <w:vAlign w:val="bottom"/>
          </w:tcPr>
          <w:p w14:paraId="249745E2" w14:textId="77777777" w:rsidR="000E5239" w:rsidRPr="000F120F" w:rsidRDefault="000E5239" w:rsidP="00F36942">
            <w:pPr>
              <w:pStyle w:val="Tabletext"/>
              <w:rPr>
                <w:snapToGrid w:val="0"/>
              </w:rPr>
            </w:pPr>
            <w:r w:rsidRPr="00295986">
              <w:t>1</w:t>
            </w:r>
            <w:r w:rsidR="00D7157D">
              <w:t>.</w:t>
            </w:r>
            <w:r w:rsidRPr="00295986">
              <w:t>2930</w:t>
            </w:r>
          </w:p>
        </w:tc>
        <w:tc>
          <w:tcPr>
            <w:tcW w:w="966" w:type="pct"/>
            <w:tcBorders>
              <w:top w:val="single" w:sz="4" w:space="0" w:color="auto"/>
              <w:bottom w:val="single" w:sz="4" w:space="0" w:color="auto"/>
            </w:tcBorders>
            <w:vAlign w:val="bottom"/>
          </w:tcPr>
          <w:p w14:paraId="5A60C1D2" w14:textId="77777777" w:rsidR="000E5239" w:rsidRPr="000F120F" w:rsidRDefault="000E5239" w:rsidP="00F36942">
            <w:pPr>
              <w:pStyle w:val="Tabletext"/>
              <w:rPr>
                <w:snapToGrid w:val="0"/>
              </w:rPr>
            </w:pPr>
            <w:r w:rsidRPr="00295986">
              <w:t>23</w:t>
            </w:r>
            <w:r w:rsidR="00D7157D">
              <w:t>.</w:t>
            </w:r>
            <w:r w:rsidRPr="00295986">
              <w:t>7223</w:t>
            </w:r>
          </w:p>
        </w:tc>
        <w:tc>
          <w:tcPr>
            <w:tcW w:w="966" w:type="pct"/>
            <w:tcBorders>
              <w:top w:val="single" w:sz="4" w:space="0" w:color="auto"/>
              <w:bottom w:val="single" w:sz="4" w:space="0" w:color="auto"/>
            </w:tcBorders>
            <w:vAlign w:val="bottom"/>
          </w:tcPr>
          <w:p w14:paraId="4CF88382" w14:textId="77777777" w:rsidR="000E5239" w:rsidRPr="000F120F" w:rsidRDefault="000E5239" w:rsidP="00F36942">
            <w:pPr>
              <w:pStyle w:val="Tabletext"/>
              <w:rPr>
                <w:snapToGrid w:val="0"/>
              </w:rPr>
            </w:pPr>
            <w:r w:rsidRPr="00295986">
              <w:t>0</w:t>
            </w:r>
            <w:r w:rsidR="00D7157D">
              <w:t>.</w:t>
            </w:r>
            <w:r w:rsidRPr="00295986">
              <w:t>3322</w:t>
            </w:r>
          </w:p>
        </w:tc>
      </w:tr>
      <w:tr w:rsidR="000E5239" w:rsidRPr="009E2595" w14:paraId="75650C90" w14:textId="77777777" w:rsidTr="00F36942">
        <w:trPr>
          <w:cantSplit/>
        </w:trPr>
        <w:tc>
          <w:tcPr>
            <w:tcW w:w="1136" w:type="pct"/>
            <w:tcBorders>
              <w:top w:val="single" w:sz="4" w:space="0" w:color="auto"/>
              <w:bottom w:val="single" w:sz="4" w:space="0" w:color="auto"/>
            </w:tcBorders>
          </w:tcPr>
          <w:p w14:paraId="685EAD0B" w14:textId="77777777" w:rsidR="000E5239" w:rsidRPr="00616B26" w:rsidRDefault="000E5239" w:rsidP="00F36942">
            <w:pPr>
              <w:pStyle w:val="Tabletext"/>
              <w:rPr>
                <w:snapToGrid w:val="0"/>
              </w:rPr>
            </w:pPr>
            <w:r w:rsidRPr="00616B26">
              <w:rPr>
                <w:snapToGrid w:val="0"/>
              </w:rPr>
              <w:t>51</w:t>
            </w:r>
          </w:p>
        </w:tc>
        <w:tc>
          <w:tcPr>
            <w:tcW w:w="966" w:type="pct"/>
            <w:tcBorders>
              <w:top w:val="single" w:sz="4" w:space="0" w:color="auto"/>
              <w:bottom w:val="single" w:sz="4" w:space="0" w:color="auto"/>
            </w:tcBorders>
            <w:vAlign w:val="bottom"/>
          </w:tcPr>
          <w:p w14:paraId="1321667A" w14:textId="77777777" w:rsidR="000E5239" w:rsidRPr="000F120F" w:rsidRDefault="000E5239" w:rsidP="00F36942">
            <w:pPr>
              <w:pStyle w:val="Tabletext"/>
              <w:rPr>
                <w:snapToGrid w:val="0"/>
              </w:rPr>
            </w:pPr>
            <w:r w:rsidRPr="00295986">
              <w:t>22</w:t>
            </w:r>
            <w:r w:rsidR="00D7157D">
              <w:t>.</w:t>
            </w:r>
            <w:r w:rsidRPr="00295986">
              <w:t>5074</w:t>
            </w:r>
          </w:p>
        </w:tc>
        <w:tc>
          <w:tcPr>
            <w:tcW w:w="966" w:type="pct"/>
            <w:tcBorders>
              <w:top w:val="single" w:sz="4" w:space="0" w:color="auto"/>
              <w:bottom w:val="single" w:sz="4" w:space="0" w:color="auto"/>
            </w:tcBorders>
            <w:vAlign w:val="bottom"/>
          </w:tcPr>
          <w:p w14:paraId="036503E1" w14:textId="77777777" w:rsidR="000E5239" w:rsidRPr="000F120F" w:rsidRDefault="000E5239" w:rsidP="00F36942">
            <w:pPr>
              <w:pStyle w:val="Tabletext"/>
              <w:rPr>
                <w:snapToGrid w:val="0"/>
              </w:rPr>
            </w:pPr>
            <w:r w:rsidRPr="00295986">
              <w:t>1</w:t>
            </w:r>
            <w:r w:rsidR="00D7157D">
              <w:t>.</w:t>
            </w:r>
            <w:r w:rsidRPr="00295986">
              <w:t>1238</w:t>
            </w:r>
          </w:p>
        </w:tc>
        <w:tc>
          <w:tcPr>
            <w:tcW w:w="966" w:type="pct"/>
            <w:tcBorders>
              <w:top w:val="single" w:sz="4" w:space="0" w:color="auto"/>
              <w:bottom w:val="single" w:sz="4" w:space="0" w:color="auto"/>
            </w:tcBorders>
            <w:vAlign w:val="bottom"/>
          </w:tcPr>
          <w:p w14:paraId="555292FF" w14:textId="77777777" w:rsidR="000E5239" w:rsidRPr="000F120F" w:rsidRDefault="000E5239" w:rsidP="00F36942">
            <w:pPr>
              <w:pStyle w:val="Tabletext"/>
              <w:rPr>
                <w:snapToGrid w:val="0"/>
              </w:rPr>
            </w:pPr>
            <w:r w:rsidRPr="00295986">
              <w:t>23</w:t>
            </w:r>
            <w:r w:rsidR="00D7157D">
              <w:t>.</w:t>
            </w:r>
            <w:r w:rsidRPr="00295986">
              <w:t>3971</w:t>
            </w:r>
          </w:p>
        </w:tc>
        <w:tc>
          <w:tcPr>
            <w:tcW w:w="966" w:type="pct"/>
            <w:tcBorders>
              <w:top w:val="single" w:sz="4" w:space="0" w:color="auto"/>
              <w:bottom w:val="single" w:sz="4" w:space="0" w:color="auto"/>
            </w:tcBorders>
            <w:vAlign w:val="bottom"/>
          </w:tcPr>
          <w:p w14:paraId="5BDE2CAF" w14:textId="77777777" w:rsidR="000E5239" w:rsidRPr="000F120F" w:rsidRDefault="000E5239" w:rsidP="00F36942">
            <w:pPr>
              <w:pStyle w:val="Tabletext"/>
              <w:rPr>
                <w:snapToGrid w:val="0"/>
              </w:rPr>
            </w:pPr>
            <w:r w:rsidRPr="00295986">
              <w:t>0</w:t>
            </w:r>
            <w:r w:rsidR="00D7157D">
              <w:t>.</w:t>
            </w:r>
            <w:r w:rsidRPr="00295986">
              <w:t>2891</w:t>
            </w:r>
          </w:p>
        </w:tc>
      </w:tr>
      <w:tr w:rsidR="000E5239" w:rsidRPr="009E2595" w14:paraId="743523BA" w14:textId="77777777" w:rsidTr="00F36942">
        <w:trPr>
          <w:cantSplit/>
        </w:trPr>
        <w:tc>
          <w:tcPr>
            <w:tcW w:w="1136" w:type="pct"/>
            <w:tcBorders>
              <w:top w:val="single" w:sz="4" w:space="0" w:color="auto"/>
              <w:bottom w:val="single" w:sz="4" w:space="0" w:color="auto"/>
            </w:tcBorders>
          </w:tcPr>
          <w:p w14:paraId="409FEC18" w14:textId="77777777" w:rsidR="000E5239" w:rsidRPr="00616B26" w:rsidRDefault="000E5239" w:rsidP="00F36942">
            <w:pPr>
              <w:pStyle w:val="Tabletext"/>
              <w:rPr>
                <w:snapToGrid w:val="0"/>
              </w:rPr>
            </w:pPr>
            <w:r w:rsidRPr="00616B26">
              <w:rPr>
                <w:snapToGrid w:val="0"/>
              </w:rPr>
              <w:t>52</w:t>
            </w:r>
          </w:p>
        </w:tc>
        <w:tc>
          <w:tcPr>
            <w:tcW w:w="966" w:type="pct"/>
            <w:tcBorders>
              <w:top w:val="single" w:sz="4" w:space="0" w:color="auto"/>
              <w:bottom w:val="single" w:sz="4" w:space="0" w:color="auto"/>
            </w:tcBorders>
            <w:vAlign w:val="bottom"/>
          </w:tcPr>
          <w:p w14:paraId="52313141" w14:textId="77777777" w:rsidR="000E5239" w:rsidRPr="000F120F" w:rsidRDefault="000E5239" w:rsidP="00F36942">
            <w:pPr>
              <w:pStyle w:val="Tabletext"/>
              <w:rPr>
                <w:snapToGrid w:val="0"/>
              </w:rPr>
            </w:pPr>
            <w:r w:rsidRPr="00295986">
              <w:t>22</w:t>
            </w:r>
            <w:r w:rsidR="00D7157D">
              <w:t>.</w:t>
            </w:r>
            <w:r w:rsidRPr="00295986">
              <w:t>1610</w:t>
            </w:r>
          </w:p>
        </w:tc>
        <w:tc>
          <w:tcPr>
            <w:tcW w:w="966" w:type="pct"/>
            <w:tcBorders>
              <w:top w:val="single" w:sz="4" w:space="0" w:color="auto"/>
              <w:bottom w:val="single" w:sz="4" w:space="0" w:color="auto"/>
            </w:tcBorders>
            <w:vAlign w:val="bottom"/>
          </w:tcPr>
          <w:p w14:paraId="443B70F7" w14:textId="77777777" w:rsidR="000E5239" w:rsidRPr="000F120F" w:rsidRDefault="000E5239" w:rsidP="00F36942">
            <w:pPr>
              <w:pStyle w:val="Tabletext"/>
              <w:rPr>
                <w:snapToGrid w:val="0"/>
              </w:rPr>
            </w:pPr>
            <w:r w:rsidRPr="00295986">
              <w:t>0</w:t>
            </w:r>
            <w:r w:rsidR="00D7157D">
              <w:t>.</w:t>
            </w:r>
            <w:r w:rsidRPr="00295986">
              <w:t>9464</w:t>
            </w:r>
          </w:p>
        </w:tc>
        <w:tc>
          <w:tcPr>
            <w:tcW w:w="966" w:type="pct"/>
            <w:tcBorders>
              <w:top w:val="single" w:sz="4" w:space="0" w:color="auto"/>
              <w:bottom w:val="single" w:sz="4" w:space="0" w:color="auto"/>
            </w:tcBorders>
            <w:vAlign w:val="bottom"/>
          </w:tcPr>
          <w:p w14:paraId="37699237" w14:textId="77777777" w:rsidR="000E5239" w:rsidRPr="000F120F" w:rsidRDefault="000E5239" w:rsidP="00F36942">
            <w:pPr>
              <w:pStyle w:val="Tabletext"/>
              <w:rPr>
                <w:snapToGrid w:val="0"/>
              </w:rPr>
            </w:pPr>
            <w:r w:rsidRPr="00295986">
              <w:t>23</w:t>
            </w:r>
            <w:r w:rsidR="00D7157D">
              <w:t>.</w:t>
            </w:r>
            <w:r w:rsidRPr="00295986">
              <w:t>0622</w:t>
            </w:r>
          </w:p>
        </w:tc>
        <w:tc>
          <w:tcPr>
            <w:tcW w:w="966" w:type="pct"/>
            <w:tcBorders>
              <w:top w:val="single" w:sz="4" w:space="0" w:color="auto"/>
              <w:bottom w:val="single" w:sz="4" w:space="0" w:color="auto"/>
            </w:tcBorders>
            <w:vAlign w:val="bottom"/>
          </w:tcPr>
          <w:p w14:paraId="681B23B1" w14:textId="77777777" w:rsidR="000E5239" w:rsidRPr="000F120F" w:rsidRDefault="000E5239" w:rsidP="00F36942">
            <w:pPr>
              <w:pStyle w:val="Tabletext"/>
              <w:rPr>
                <w:snapToGrid w:val="0"/>
              </w:rPr>
            </w:pPr>
            <w:r w:rsidRPr="00295986">
              <w:t>0</w:t>
            </w:r>
            <w:r w:rsidR="00D7157D">
              <w:t>.</w:t>
            </w:r>
            <w:r w:rsidRPr="00295986">
              <w:t>2439</w:t>
            </w:r>
          </w:p>
        </w:tc>
      </w:tr>
      <w:tr w:rsidR="000E5239" w:rsidRPr="009E2595" w14:paraId="30636A74" w14:textId="77777777" w:rsidTr="00F36942">
        <w:trPr>
          <w:cantSplit/>
        </w:trPr>
        <w:tc>
          <w:tcPr>
            <w:tcW w:w="1136" w:type="pct"/>
            <w:tcBorders>
              <w:top w:val="single" w:sz="4" w:space="0" w:color="auto"/>
              <w:bottom w:val="single" w:sz="4" w:space="0" w:color="auto"/>
            </w:tcBorders>
          </w:tcPr>
          <w:p w14:paraId="35A87C06" w14:textId="77777777" w:rsidR="000E5239" w:rsidRPr="00616B26" w:rsidRDefault="000E5239" w:rsidP="00F36942">
            <w:pPr>
              <w:pStyle w:val="Tabletext"/>
              <w:rPr>
                <w:snapToGrid w:val="0"/>
              </w:rPr>
            </w:pPr>
            <w:r w:rsidRPr="00616B26">
              <w:rPr>
                <w:snapToGrid w:val="0"/>
              </w:rPr>
              <w:t>53</w:t>
            </w:r>
          </w:p>
        </w:tc>
        <w:tc>
          <w:tcPr>
            <w:tcW w:w="966" w:type="pct"/>
            <w:tcBorders>
              <w:top w:val="single" w:sz="4" w:space="0" w:color="auto"/>
              <w:bottom w:val="single" w:sz="4" w:space="0" w:color="auto"/>
            </w:tcBorders>
            <w:vAlign w:val="bottom"/>
          </w:tcPr>
          <w:p w14:paraId="1BAAC9EC" w14:textId="77777777" w:rsidR="000E5239" w:rsidRPr="000F120F" w:rsidRDefault="000E5239" w:rsidP="00F36942">
            <w:pPr>
              <w:pStyle w:val="Tabletext"/>
              <w:rPr>
                <w:snapToGrid w:val="0"/>
              </w:rPr>
            </w:pPr>
            <w:r w:rsidRPr="00295986">
              <w:t>21</w:t>
            </w:r>
            <w:r w:rsidR="00D7157D">
              <w:t>.</w:t>
            </w:r>
            <w:r w:rsidRPr="00295986">
              <w:t>8048</w:t>
            </w:r>
          </w:p>
        </w:tc>
        <w:tc>
          <w:tcPr>
            <w:tcW w:w="966" w:type="pct"/>
            <w:tcBorders>
              <w:top w:val="single" w:sz="4" w:space="0" w:color="auto"/>
              <w:bottom w:val="single" w:sz="4" w:space="0" w:color="auto"/>
            </w:tcBorders>
            <w:vAlign w:val="bottom"/>
          </w:tcPr>
          <w:p w14:paraId="0211311D" w14:textId="77777777" w:rsidR="000E5239" w:rsidRPr="000F120F" w:rsidRDefault="000E5239" w:rsidP="00F36942">
            <w:pPr>
              <w:pStyle w:val="Tabletext"/>
              <w:rPr>
                <w:snapToGrid w:val="0"/>
              </w:rPr>
            </w:pPr>
            <w:r w:rsidRPr="00295986">
              <w:t>0</w:t>
            </w:r>
            <w:r w:rsidR="00D7157D">
              <w:t>.</w:t>
            </w:r>
            <w:r w:rsidRPr="00295986">
              <w:t>7604</w:t>
            </w:r>
          </w:p>
        </w:tc>
        <w:tc>
          <w:tcPr>
            <w:tcW w:w="966" w:type="pct"/>
            <w:tcBorders>
              <w:top w:val="single" w:sz="4" w:space="0" w:color="auto"/>
              <w:bottom w:val="single" w:sz="4" w:space="0" w:color="auto"/>
            </w:tcBorders>
            <w:vAlign w:val="bottom"/>
          </w:tcPr>
          <w:p w14:paraId="6895D8DC" w14:textId="77777777" w:rsidR="000E5239" w:rsidRPr="000F120F" w:rsidRDefault="000E5239" w:rsidP="00F36942">
            <w:pPr>
              <w:pStyle w:val="Tabletext"/>
              <w:rPr>
                <w:snapToGrid w:val="0"/>
              </w:rPr>
            </w:pPr>
            <w:r w:rsidRPr="00295986">
              <w:t>22</w:t>
            </w:r>
            <w:r w:rsidR="00D7157D">
              <w:t>.</w:t>
            </w:r>
            <w:r w:rsidRPr="00295986">
              <w:t>7179</w:t>
            </w:r>
          </w:p>
        </w:tc>
        <w:tc>
          <w:tcPr>
            <w:tcW w:w="966" w:type="pct"/>
            <w:tcBorders>
              <w:top w:val="single" w:sz="4" w:space="0" w:color="auto"/>
              <w:bottom w:val="single" w:sz="4" w:space="0" w:color="auto"/>
            </w:tcBorders>
            <w:vAlign w:val="bottom"/>
          </w:tcPr>
          <w:p w14:paraId="57AD5A06" w14:textId="77777777" w:rsidR="000E5239" w:rsidRPr="000F120F" w:rsidRDefault="000E5239" w:rsidP="00F36942">
            <w:pPr>
              <w:pStyle w:val="Tabletext"/>
              <w:rPr>
                <w:snapToGrid w:val="0"/>
              </w:rPr>
            </w:pPr>
            <w:r w:rsidRPr="00295986">
              <w:t>0</w:t>
            </w:r>
            <w:r w:rsidR="00D7157D">
              <w:t>.</w:t>
            </w:r>
            <w:r w:rsidRPr="00295986">
              <w:t>1962</w:t>
            </w:r>
          </w:p>
        </w:tc>
      </w:tr>
      <w:tr w:rsidR="000E5239" w:rsidRPr="009E2595" w14:paraId="5B966B22" w14:textId="77777777" w:rsidTr="00F36942">
        <w:trPr>
          <w:cantSplit/>
        </w:trPr>
        <w:tc>
          <w:tcPr>
            <w:tcW w:w="1136" w:type="pct"/>
            <w:tcBorders>
              <w:top w:val="single" w:sz="4" w:space="0" w:color="auto"/>
              <w:bottom w:val="single" w:sz="4" w:space="0" w:color="auto"/>
            </w:tcBorders>
          </w:tcPr>
          <w:p w14:paraId="70F7A88C" w14:textId="77777777" w:rsidR="000E5239" w:rsidRPr="00616B26" w:rsidRDefault="000E5239" w:rsidP="00F36942">
            <w:pPr>
              <w:pStyle w:val="Tabletext"/>
              <w:rPr>
                <w:snapToGrid w:val="0"/>
              </w:rPr>
            </w:pPr>
            <w:r w:rsidRPr="00616B26">
              <w:rPr>
                <w:snapToGrid w:val="0"/>
              </w:rPr>
              <w:t>54</w:t>
            </w:r>
          </w:p>
        </w:tc>
        <w:tc>
          <w:tcPr>
            <w:tcW w:w="966" w:type="pct"/>
            <w:tcBorders>
              <w:top w:val="single" w:sz="4" w:space="0" w:color="auto"/>
              <w:bottom w:val="single" w:sz="4" w:space="0" w:color="auto"/>
            </w:tcBorders>
            <w:vAlign w:val="bottom"/>
          </w:tcPr>
          <w:p w14:paraId="6809FCD7" w14:textId="77777777" w:rsidR="000E5239" w:rsidRPr="000F120F" w:rsidRDefault="000E5239" w:rsidP="00F36942">
            <w:pPr>
              <w:pStyle w:val="Tabletext"/>
              <w:rPr>
                <w:snapToGrid w:val="0"/>
              </w:rPr>
            </w:pPr>
            <w:r w:rsidRPr="00295986">
              <w:t>21</w:t>
            </w:r>
            <w:r w:rsidR="00D7157D">
              <w:t>.</w:t>
            </w:r>
            <w:r w:rsidRPr="00295986">
              <w:t>4389</w:t>
            </w:r>
          </w:p>
        </w:tc>
        <w:tc>
          <w:tcPr>
            <w:tcW w:w="966" w:type="pct"/>
            <w:tcBorders>
              <w:top w:val="single" w:sz="4" w:space="0" w:color="auto"/>
              <w:bottom w:val="single" w:sz="4" w:space="0" w:color="auto"/>
            </w:tcBorders>
            <w:vAlign w:val="bottom"/>
          </w:tcPr>
          <w:p w14:paraId="6235B937" w14:textId="77777777" w:rsidR="000E5239" w:rsidRPr="000F120F" w:rsidRDefault="000E5239" w:rsidP="00F36942">
            <w:pPr>
              <w:pStyle w:val="Tabletext"/>
              <w:rPr>
                <w:snapToGrid w:val="0"/>
              </w:rPr>
            </w:pPr>
            <w:r w:rsidRPr="00295986">
              <w:t>0</w:t>
            </w:r>
            <w:r w:rsidR="00D7157D">
              <w:t>.</w:t>
            </w:r>
            <w:r w:rsidRPr="00295986">
              <w:t>5655</w:t>
            </w:r>
          </w:p>
        </w:tc>
        <w:tc>
          <w:tcPr>
            <w:tcW w:w="966" w:type="pct"/>
            <w:tcBorders>
              <w:top w:val="single" w:sz="4" w:space="0" w:color="auto"/>
              <w:bottom w:val="single" w:sz="4" w:space="0" w:color="auto"/>
            </w:tcBorders>
            <w:vAlign w:val="bottom"/>
          </w:tcPr>
          <w:p w14:paraId="420F6F83" w14:textId="77777777" w:rsidR="000E5239" w:rsidRPr="000F120F" w:rsidRDefault="000E5239" w:rsidP="00F36942">
            <w:pPr>
              <w:pStyle w:val="Tabletext"/>
              <w:rPr>
                <w:snapToGrid w:val="0"/>
              </w:rPr>
            </w:pPr>
            <w:r w:rsidRPr="00295986">
              <w:t>22</w:t>
            </w:r>
            <w:r w:rsidR="00D7157D">
              <w:t>.</w:t>
            </w:r>
            <w:r w:rsidRPr="00295986">
              <w:t>3637</w:t>
            </w:r>
          </w:p>
        </w:tc>
        <w:tc>
          <w:tcPr>
            <w:tcW w:w="966" w:type="pct"/>
            <w:tcBorders>
              <w:top w:val="single" w:sz="4" w:space="0" w:color="auto"/>
              <w:bottom w:val="single" w:sz="4" w:space="0" w:color="auto"/>
            </w:tcBorders>
            <w:vAlign w:val="bottom"/>
          </w:tcPr>
          <w:p w14:paraId="6535CA15" w14:textId="77777777" w:rsidR="000E5239" w:rsidRPr="000F120F" w:rsidRDefault="000E5239" w:rsidP="00F36942">
            <w:pPr>
              <w:pStyle w:val="Tabletext"/>
              <w:rPr>
                <w:snapToGrid w:val="0"/>
              </w:rPr>
            </w:pPr>
            <w:r w:rsidRPr="00295986">
              <w:t>0</w:t>
            </w:r>
            <w:r w:rsidR="00D7157D">
              <w:t>.</w:t>
            </w:r>
            <w:r w:rsidRPr="00295986">
              <w:t>1461</w:t>
            </w:r>
          </w:p>
        </w:tc>
      </w:tr>
      <w:tr w:rsidR="000E5239" w:rsidRPr="009E2595" w14:paraId="1580E0E4" w14:textId="77777777" w:rsidTr="00F36942">
        <w:trPr>
          <w:cantSplit/>
        </w:trPr>
        <w:tc>
          <w:tcPr>
            <w:tcW w:w="1136" w:type="pct"/>
            <w:tcBorders>
              <w:top w:val="single" w:sz="4" w:space="0" w:color="auto"/>
              <w:bottom w:val="single" w:sz="4" w:space="0" w:color="auto"/>
            </w:tcBorders>
          </w:tcPr>
          <w:p w14:paraId="3498D995" w14:textId="77777777" w:rsidR="000E5239" w:rsidRPr="00616B26" w:rsidRDefault="000E5239" w:rsidP="00F36942">
            <w:pPr>
              <w:pStyle w:val="Tabletext"/>
              <w:rPr>
                <w:snapToGrid w:val="0"/>
              </w:rPr>
            </w:pPr>
            <w:r w:rsidRPr="00616B26">
              <w:rPr>
                <w:snapToGrid w:val="0"/>
              </w:rPr>
              <w:t>55</w:t>
            </w:r>
          </w:p>
        </w:tc>
        <w:tc>
          <w:tcPr>
            <w:tcW w:w="966" w:type="pct"/>
            <w:tcBorders>
              <w:top w:val="single" w:sz="4" w:space="0" w:color="auto"/>
              <w:bottom w:val="single" w:sz="4" w:space="0" w:color="auto"/>
            </w:tcBorders>
            <w:vAlign w:val="bottom"/>
          </w:tcPr>
          <w:p w14:paraId="66E007FC" w14:textId="77777777" w:rsidR="000E5239" w:rsidRPr="000F120F" w:rsidRDefault="000E5239" w:rsidP="00F36942">
            <w:pPr>
              <w:pStyle w:val="Tabletext"/>
              <w:rPr>
                <w:snapToGrid w:val="0"/>
              </w:rPr>
            </w:pPr>
            <w:r w:rsidRPr="00295986">
              <w:t>21</w:t>
            </w:r>
            <w:r w:rsidR="00D7157D">
              <w:t>.</w:t>
            </w:r>
            <w:r w:rsidRPr="00295986">
              <w:t>0632</w:t>
            </w:r>
          </w:p>
        </w:tc>
        <w:tc>
          <w:tcPr>
            <w:tcW w:w="966" w:type="pct"/>
            <w:tcBorders>
              <w:top w:val="single" w:sz="4" w:space="0" w:color="auto"/>
              <w:bottom w:val="single" w:sz="4" w:space="0" w:color="auto"/>
            </w:tcBorders>
            <w:vAlign w:val="bottom"/>
          </w:tcPr>
          <w:p w14:paraId="3B9F4D1A" w14:textId="77777777" w:rsidR="000E5239" w:rsidRPr="000F120F" w:rsidRDefault="000E5239" w:rsidP="00F36942">
            <w:pPr>
              <w:pStyle w:val="Tabletext"/>
              <w:rPr>
                <w:snapToGrid w:val="0"/>
              </w:rPr>
            </w:pPr>
            <w:r w:rsidRPr="00295986">
              <w:t>0</w:t>
            </w:r>
            <w:r w:rsidR="00D7157D">
              <w:t>.</w:t>
            </w:r>
            <w:r w:rsidRPr="00295986">
              <w:t>3613</w:t>
            </w:r>
          </w:p>
        </w:tc>
        <w:tc>
          <w:tcPr>
            <w:tcW w:w="966" w:type="pct"/>
            <w:tcBorders>
              <w:top w:val="single" w:sz="4" w:space="0" w:color="auto"/>
              <w:bottom w:val="single" w:sz="4" w:space="0" w:color="auto"/>
            </w:tcBorders>
            <w:vAlign w:val="bottom"/>
          </w:tcPr>
          <w:p w14:paraId="695DB044" w14:textId="77777777" w:rsidR="000E5239" w:rsidRPr="000F120F" w:rsidRDefault="000E5239" w:rsidP="00F36942">
            <w:pPr>
              <w:pStyle w:val="Tabletext"/>
              <w:rPr>
                <w:snapToGrid w:val="0"/>
              </w:rPr>
            </w:pPr>
            <w:r w:rsidRPr="00295986">
              <w:t>22</w:t>
            </w:r>
            <w:r w:rsidR="00D7157D">
              <w:t>.</w:t>
            </w:r>
            <w:r w:rsidRPr="00295986">
              <w:t>0008</w:t>
            </w:r>
          </w:p>
        </w:tc>
        <w:tc>
          <w:tcPr>
            <w:tcW w:w="966" w:type="pct"/>
            <w:tcBorders>
              <w:top w:val="single" w:sz="4" w:space="0" w:color="auto"/>
              <w:bottom w:val="single" w:sz="4" w:space="0" w:color="auto"/>
            </w:tcBorders>
            <w:vAlign w:val="bottom"/>
          </w:tcPr>
          <w:p w14:paraId="4A400807" w14:textId="77777777" w:rsidR="000E5239" w:rsidRPr="000F120F" w:rsidRDefault="000E5239" w:rsidP="00F36942">
            <w:pPr>
              <w:pStyle w:val="Tabletext"/>
              <w:rPr>
                <w:snapToGrid w:val="0"/>
              </w:rPr>
            </w:pPr>
            <w:r w:rsidRPr="00295986">
              <w:t>0</w:t>
            </w:r>
            <w:r w:rsidR="00D7157D">
              <w:t>.</w:t>
            </w:r>
            <w:r w:rsidRPr="00295986">
              <w:t>0934</w:t>
            </w:r>
          </w:p>
        </w:tc>
      </w:tr>
      <w:tr w:rsidR="000E5239" w:rsidRPr="009E2595" w14:paraId="7F0635F7" w14:textId="77777777" w:rsidTr="00F36942">
        <w:trPr>
          <w:cantSplit/>
        </w:trPr>
        <w:tc>
          <w:tcPr>
            <w:tcW w:w="1136" w:type="pct"/>
            <w:tcBorders>
              <w:top w:val="single" w:sz="4" w:space="0" w:color="auto"/>
              <w:bottom w:val="single" w:sz="4" w:space="0" w:color="auto"/>
            </w:tcBorders>
          </w:tcPr>
          <w:p w14:paraId="0C405755" w14:textId="77777777" w:rsidR="000E5239" w:rsidRPr="00616B26" w:rsidRDefault="000E5239" w:rsidP="00F36942">
            <w:pPr>
              <w:pStyle w:val="Tabletext"/>
              <w:rPr>
                <w:snapToGrid w:val="0"/>
              </w:rPr>
            </w:pPr>
            <w:r w:rsidRPr="00616B26">
              <w:rPr>
                <w:snapToGrid w:val="0"/>
              </w:rPr>
              <w:t>56</w:t>
            </w:r>
          </w:p>
        </w:tc>
        <w:tc>
          <w:tcPr>
            <w:tcW w:w="966" w:type="pct"/>
            <w:tcBorders>
              <w:top w:val="single" w:sz="4" w:space="0" w:color="auto"/>
              <w:bottom w:val="single" w:sz="4" w:space="0" w:color="auto"/>
            </w:tcBorders>
            <w:vAlign w:val="bottom"/>
          </w:tcPr>
          <w:p w14:paraId="1B631CD1" w14:textId="77777777" w:rsidR="000E5239" w:rsidRPr="000F120F" w:rsidRDefault="000E5239" w:rsidP="00F36942">
            <w:pPr>
              <w:pStyle w:val="Tabletext"/>
              <w:rPr>
                <w:snapToGrid w:val="0"/>
              </w:rPr>
            </w:pPr>
            <w:r w:rsidRPr="00295986">
              <w:t>20</w:t>
            </w:r>
            <w:r w:rsidR="00D7157D">
              <w:t>.</w:t>
            </w:r>
            <w:r w:rsidRPr="00295986">
              <w:t>6771</w:t>
            </w:r>
          </w:p>
        </w:tc>
        <w:tc>
          <w:tcPr>
            <w:tcW w:w="966" w:type="pct"/>
            <w:tcBorders>
              <w:top w:val="single" w:sz="4" w:space="0" w:color="auto"/>
              <w:bottom w:val="single" w:sz="4" w:space="0" w:color="auto"/>
            </w:tcBorders>
            <w:vAlign w:val="bottom"/>
          </w:tcPr>
          <w:p w14:paraId="44553599" w14:textId="77777777" w:rsidR="000E5239" w:rsidRPr="000F120F" w:rsidRDefault="000E5239" w:rsidP="00F36942">
            <w:pPr>
              <w:pStyle w:val="Tabletext"/>
              <w:rPr>
                <w:snapToGrid w:val="0"/>
              </w:rPr>
            </w:pPr>
            <w:r w:rsidRPr="00295986">
              <w:t>0</w:t>
            </w:r>
            <w:r w:rsidR="00D7157D">
              <w:t>.</w:t>
            </w:r>
            <w:r w:rsidRPr="00295986">
              <w:t>3693</w:t>
            </w:r>
          </w:p>
        </w:tc>
        <w:tc>
          <w:tcPr>
            <w:tcW w:w="966" w:type="pct"/>
            <w:tcBorders>
              <w:top w:val="single" w:sz="4" w:space="0" w:color="auto"/>
              <w:bottom w:val="single" w:sz="4" w:space="0" w:color="auto"/>
            </w:tcBorders>
            <w:vAlign w:val="bottom"/>
          </w:tcPr>
          <w:p w14:paraId="13F606DA" w14:textId="77777777" w:rsidR="000E5239" w:rsidRPr="000F120F" w:rsidRDefault="000E5239" w:rsidP="00F36942">
            <w:pPr>
              <w:pStyle w:val="Tabletext"/>
              <w:rPr>
                <w:snapToGrid w:val="0"/>
              </w:rPr>
            </w:pPr>
            <w:r w:rsidRPr="00295986">
              <w:t>21</w:t>
            </w:r>
            <w:r w:rsidR="00D7157D">
              <w:t>.</w:t>
            </w:r>
            <w:r w:rsidRPr="00295986">
              <w:t>6292</w:t>
            </w:r>
          </w:p>
        </w:tc>
        <w:tc>
          <w:tcPr>
            <w:tcW w:w="966" w:type="pct"/>
            <w:tcBorders>
              <w:top w:val="single" w:sz="4" w:space="0" w:color="auto"/>
              <w:bottom w:val="single" w:sz="4" w:space="0" w:color="auto"/>
            </w:tcBorders>
            <w:vAlign w:val="bottom"/>
          </w:tcPr>
          <w:p w14:paraId="60718B9F" w14:textId="77777777" w:rsidR="000E5239" w:rsidRPr="000F120F" w:rsidRDefault="000E5239" w:rsidP="00F36942">
            <w:pPr>
              <w:pStyle w:val="Tabletext"/>
              <w:rPr>
                <w:snapToGrid w:val="0"/>
              </w:rPr>
            </w:pPr>
            <w:r w:rsidRPr="00295986">
              <w:t>0</w:t>
            </w:r>
            <w:r w:rsidR="00D7157D">
              <w:t>.</w:t>
            </w:r>
            <w:r w:rsidRPr="00295986">
              <w:t>0955</w:t>
            </w:r>
          </w:p>
        </w:tc>
      </w:tr>
      <w:tr w:rsidR="000E5239" w:rsidRPr="009E2595" w14:paraId="1B6F2DF7" w14:textId="77777777" w:rsidTr="00F36942">
        <w:trPr>
          <w:cantSplit/>
        </w:trPr>
        <w:tc>
          <w:tcPr>
            <w:tcW w:w="1136" w:type="pct"/>
            <w:tcBorders>
              <w:top w:val="single" w:sz="4" w:space="0" w:color="auto"/>
              <w:bottom w:val="single" w:sz="4" w:space="0" w:color="auto"/>
            </w:tcBorders>
          </w:tcPr>
          <w:p w14:paraId="2C513174" w14:textId="77777777" w:rsidR="000E5239" w:rsidRPr="00616B26" w:rsidRDefault="000E5239" w:rsidP="00F36942">
            <w:pPr>
              <w:pStyle w:val="Tabletext"/>
              <w:rPr>
                <w:snapToGrid w:val="0"/>
              </w:rPr>
            </w:pPr>
            <w:r w:rsidRPr="00616B26">
              <w:rPr>
                <w:snapToGrid w:val="0"/>
              </w:rPr>
              <w:t>57</w:t>
            </w:r>
          </w:p>
        </w:tc>
        <w:tc>
          <w:tcPr>
            <w:tcW w:w="966" w:type="pct"/>
            <w:tcBorders>
              <w:top w:val="single" w:sz="4" w:space="0" w:color="auto"/>
              <w:bottom w:val="single" w:sz="4" w:space="0" w:color="auto"/>
            </w:tcBorders>
            <w:vAlign w:val="bottom"/>
          </w:tcPr>
          <w:p w14:paraId="41E2F832" w14:textId="77777777" w:rsidR="000E5239" w:rsidRPr="000F120F" w:rsidRDefault="000E5239" w:rsidP="00F36942">
            <w:pPr>
              <w:pStyle w:val="Tabletext"/>
              <w:rPr>
                <w:snapToGrid w:val="0"/>
              </w:rPr>
            </w:pPr>
            <w:r w:rsidRPr="00295986">
              <w:t>20</w:t>
            </w:r>
            <w:r w:rsidR="00D7157D">
              <w:t>.</w:t>
            </w:r>
            <w:r w:rsidRPr="00295986">
              <w:t>2801</w:t>
            </w:r>
          </w:p>
        </w:tc>
        <w:tc>
          <w:tcPr>
            <w:tcW w:w="966" w:type="pct"/>
            <w:tcBorders>
              <w:top w:val="single" w:sz="4" w:space="0" w:color="auto"/>
              <w:bottom w:val="single" w:sz="4" w:space="0" w:color="auto"/>
            </w:tcBorders>
            <w:vAlign w:val="bottom"/>
          </w:tcPr>
          <w:p w14:paraId="3B5873D3" w14:textId="77777777" w:rsidR="000E5239" w:rsidRPr="000F120F" w:rsidRDefault="000E5239" w:rsidP="00F36942">
            <w:pPr>
              <w:pStyle w:val="Tabletext"/>
              <w:rPr>
                <w:snapToGrid w:val="0"/>
              </w:rPr>
            </w:pPr>
            <w:r w:rsidRPr="00295986">
              <w:t>0</w:t>
            </w:r>
            <w:r w:rsidR="00D7157D">
              <w:t>.</w:t>
            </w:r>
            <w:r w:rsidRPr="00295986">
              <w:t>3776</w:t>
            </w:r>
          </w:p>
        </w:tc>
        <w:tc>
          <w:tcPr>
            <w:tcW w:w="966" w:type="pct"/>
            <w:tcBorders>
              <w:top w:val="single" w:sz="4" w:space="0" w:color="auto"/>
              <w:bottom w:val="single" w:sz="4" w:space="0" w:color="auto"/>
            </w:tcBorders>
            <w:vAlign w:val="bottom"/>
          </w:tcPr>
          <w:p w14:paraId="4B604170" w14:textId="77777777" w:rsidR="000E5239" w:rsidRPr="000F120F" w:rsidRDefault="000E5239" w:rsidP="00F36942">
            <w:pPr>
              <w:pStyle w:val="Tabletext"/>
              <w:rPr>
                <w:snapToGrid w:val="0"/>
              </w:rPr>
            </w:pPr>
            <w:r w:rsidRPr="00295986">
              <w:t>21</w:t>
            </w:r>
            <w:r w:rsidR="00D7157D">
              <w:t>.</w:t>
            </w:r>
            <w:r w:rsidRPr="00295986">
              <w:t>2485</w:t>
            </w:r>
          </w:p>
        </w:tc>
        <w:tc>
          <w:tcPr>
            <w:tcW w:w="966" w:type="pct"/>
            <w:tcBorders>
              <w:top w:val="single" w:sz="4" w:space="0" w:color="auto"/>
              <w:bottom w:val="single" w:sz="4" w:space="0" w:color="auto"/>
            </w:tcBorders>
            <w:vAlign w:val="bottom"/>
          </w:tcPr>
          <w:p w14:paraId="46BB5315" w14:textId="77777777" w:rsidR="000E5239" w:rsidRPr="000F120F" w:rsidRDefault="000E5239" w:rsidP="00F36942">
            <w:pPr>
              <w:pStyle w:val="Tabletext"/>
              <w:rPr>
                <w:snapToGrid w:val="0"/>
              </w:rPr>
            </w:pPr>
            <w:r w:rsidRPr="00295986">
              <w:t>0</w:t>
            </w:r>
            <w:r w:rsidR="00D7157D">
              <w:t>.</w:t>
            </w:r>
            <w:r w:rsidRPr="00295986">
              <w:t>0976</w:t>
            </w:r>
          </w:p>
        </w:tc>
      </w:tr>
      <w:tr w:rsidR="000E5239" w:rsidRPr="009E2595" w14:paraId="59625969" w14:textId="77777777" w:rsidTr="00F36942">
        <w:trPr>
          <w:cantSplit/>
        </w:trPr>
        <w:tc>
          <w:tcPr>
            <w:tcW w:w="1136" w:type="pct"/>
            <w:tcBorders>
              <w:top w:val="single" w:sz="4" w:space="0" w:color="auto"/>
              <w:bottom w:val="single" w:sz="4" w:space="0" w:color="auto"/>
            </w:tcBorders>
          </w:tcPr>
          <w:p w14:paraId="13430E56" w14:textId="77777777" w:rsidR="000E5239" w:rsidRPr="00616B26" w:rsidRDefault="000E5239" w:rsidP="00F36942">
            <w:pPr>
              <w:pStyle w:val="Tabletext"/>
              <w:rPr>
                <w:snapToGrid w:val="0"/>
              </w:rPr>
            </w:pPr>
            <w:r w:rsidRPr="00616B26">
              <w:rPr>
                <w:snapToGrid w:val="0"/>
              </w:rPr>
              <w:t>58</w:t>
            </w:r>
          </w:p>
        </w:tc>
        <w:tc>
          <w:tcPr>
            <w:tcW w:w="966" w:type="pct"/>
            <w:tcBorders>
              <w:top w:val="single" w:sz="4" w:space="0" w:color="auto"/>
              <w:bottom w:val="single" w:sz="4" w:space="0" w:color="auto"/>
            </w:tcBorders>
            <w:vAlign w:val="bottom"/>
          </w:tcPr>
          <w:p w14:paraId="0E89B62A" w14:textId="77777777" w:rsidR="000E5239" w:rsidRPr="000F120F" w:rsidRDefault="000E5239" w:rsidP="00F36942">
            <w:pPr>
              <w:pStyle w:val="Tabletext"/>
              <w:rPr>
                <w:snapToGrid w:val="0"/>
              </w:rPr>
            </w:pPr>
            <w:r w:rsidRPr="00295986">
              <w:t>19</w:t>
            </w:r>
            <w:r w:rsidR="00D7157D">
              <w:t>.</w:t>
            </w:r>
            <w:r w:rsidRPr="00295986">
              <w:t>8718</w:t>
            </w:r>
          </w:p>
        </w:tc>
        <w:tc>
          <w:tcPr>
            <w:tcW w:w="966" w:type="pct"/>
            <w:tcBorders>
              <w:top w:val="single" w:sz="4" w:space="0" w:color="auto"/>
              <w:bottom w:val="single" w:sz="4" w:space="0" w:color="auto"/>
            </w:tcBorders>
            <w:vAlign w:val="bottom"/>
          </w:tcPr>
          <w:p w14:paraId="541E1038" w14:textId="77777777" w:rsidR="000E5239" w:rsidRPr="000F120F" w:rsidRDefault="000E5239" w:rsidP="00F36942">
            <w:pPr>
              <w:pStyle w:val="Tabletext"/>
              <w:rPr>
                <w:snapToGrid w:val="0"/>
              </w:rPr>
            </w:pPr>
            <w:r w:rsidRPr="00295986">
              <w:t>0</w:t>
            </w:r>
            <w:r w:rsidR="00D7157D">
              <w:t>.</w:t>
            </w:r>
            <w:r w:rsidRPr="00295986">
              <w:t>3860</w:t>
            </w:r>
          </w:p>
        </w:tc>
        <w:tc>
          <w:tcPr>
            <w:tcW w:w="966" w:type="pct"/>
            <w:tcBorders>
              <w:top w:val="single" w:sz="4" w:space="0" w:color="auto"/>
              <w:bottom w:val="single" w:sz="4" w:space="0" w:color="auto"/>
            </w:tcBorders>
            <w:vAlign w:val="bottom"/>
          </w:tcPr>
          <w:p w14:paraId="20611F92" w14:textId="77777777" w:rsidR="000E5239" w:rsidRPr="000F120F" w:rsidRDefault="000E5239" w:rsidP="00F36942">
            <w:pPr>
              <w:pStyle w:val="Tabletext"/>
              <w:rPr>
                <w:snapToGrid w:val="0"/>
              </w:rPr>
            </w:pPr>
            <w:r w:rsidRPr="00295986">
              <w:t>20</w:t>
            </w:r>
            <w:r w:rsidR="00D7157D">
              <w:t>.</w:t>
            </w:r>
            <w:r w:rsidRPr="00295986">
              <w:t>8574</w:t>
            </w:r>
          </w:p>
        </w:tc>
        <w:tc>
          <w:tcPr>
            <w:tcW w:w="966" w:type="pct"/>
            <w:tcBorders>
              <w:top w:val="single" w:sz="4" w:space="0" w:color="auto"/>
              <w:bottom w:val="single" w:sz="4" w:space="0" w:color="auto"/>
            </w:tcBorders>
            <w:vAlign w:val="bottom"/>
          </w:tcPr>
          <w:p w14:paraId="4904D4BE" w14:textId="77777777" w:rsidR="000E5239" w:rsidRPr="000F120F" w:rsidRDefault="000E5239" w:rsidP="00F36942">
            <w:pPr>
              <w:pStyle w:val="Tabletext"/>
              <w:rPr>
                <w:snapToGrid w:val="0"/>
              </w:rPr>
            </w:pPr>
            <w:r w:rsidRPr="00295986">
              <w:t>0</w:t>
            </w:r>
            <w:r w:rsidR="00D7157D">
              <w:t>.</w:t>
            </w:r>
            <w:r w:rsidRPr="00295986">
              <w:t>0997</w:t>
            </w:r>
          </w:p>
        </w:tc>
      </w:tr>
      <w:tr w:rsidR="000E5239" w:rsidRPr="009E2595" w14:paraId="62939914" w14:textId="77777777" w:rsidTr="00F36942">
        <w:trPr>
          <w:cantSplit/>
        </w:trPr>
        <w:tc>
          <w:tcPr>
            <w:tcW w:w="1136" w:type="pct"/>
            <w:tcBorders>
              <w:top w:val="single" w:sz="4" w:space="0" w:color="auto"/>
              <w:bottom w:val="single" w:sz="4" w:space="0" w:color="auto"/>
            </w:tcBorders>
          </w:tcPr>
          <w:p w14:paraId="2D0CE990" w14:textId="77777777" w:rsidR="000E5239" w:rsidRPr="00616B26" w:rsidRDefault="000E5239" w:rsidP="00F36942">
            <w:pPr>
              <w:pStyle w:val="Tabletext"/>
              <w:rPr>
                <w:snapToGrid w:val="0"/>
              </w:rPr>
            </w:pPr>
            <w:r w:rsidRPr="00616B26">
              <w:rPr>
                <w:snapToGrid w:val="0"/>
              </w:rPr>
              <w:t>59</w:t>
            </w:r>
          </w:p>
        </w:tc>
        <w:tc>
          <w:tcPr>
            <w:tcW w:w="966" w:type="pct"/>
            <w:tcBorders>
              <w:top w:val="single" w:sz="4" w:space="0" w:color="auto"/>
              <w:bottom w:val="single" w:sz="4" w:space="0" w:color="auto"/>
            </w:tcBorders>
            <w:vAlign w:val="bottom"/>
          </w:tcPr>
          <w:p w14:paraId="6368F9AD" w14:textId="77777777" w:rsidR="000E5239" w:rsidRPr="000F120F" w:rsidRDefault="000E5239" w:rsidP="00F36942">
            <w:pPr>
              <w:pStyle w:val="Tabletext"/>
              <w:rPr>
                <w:snapToGrid w:val="0"/>
              </w:rPr>
            </w:pPr>
            <w:r w:rsidRPr="00295986">
              <w:t>19</w:t>
            </w:r>
            <w:r w:rsidR="00D7157D">
              <w:t>.</w:t>
            </w:r>
            <w:r w:rsidRPr="00295986">
              <w:t>4516</w:t>
            </w:r>
          </w:p>
        </w:tc>
        <w:tc>
          <w:tcPr>
            <w:tcW w:w="966" w:type="pct"/>
            <w:tcBorders>
              <w:top w:val="single" w:sz="4" w:space="0" w:color="auto"/>
              <w:bottom w:val="single" w:sz="4" w:space="0" w:color="auto"/>
            </w:tcBorders>
            <w:vAlign w:val="bottom"/>
          </w:tcPr>
          <w:p w14:paraId="4D3F3CCF" w14:textId="77777777" w:rsidR="000E5239" w:rsidRPr="000F120F" w:rsidRDefault="000E5239" w:rsidP="00F36942">
            <w:pPr>
              <w:pStyle w:val="Tabletext"/>
              <w:rPr>
                <w:snapToGrid w:val="0"/>
              </w:rPr>
            </w:pPr>
            <w:r w:rsidRPr="00295986">
              <w:t>0</w:t>
            </w:r>
            <w:r w:rsidR="00D7157D">
              <w:t>.</w:t>
            </w:r>
            <w:r w:rsidRPr="00295986">
              <w:t>3946</w:t>
            </w:r>
          </w:p>
        </w:tc>
        <w:tc>
          <w:tcPr>
            <w:tcW w:w="966" w:type="pct"/>
            <w:tcBorders>
              <w:top w:val="single" w:sz="4" w:space="0" w:color="auto"/>
              <w:bottom w:val="single" w:sz="4" w:space="0" w:color="auto"/>
            </w:tcBorders>
            <w:vAlign w:val="bottom"/>
          </w:tcPr>
          <w:p w14:paraId="0E0CBEAC" w14:textId="77777777" w:rsidR="000E5239" w:rsidRPr="000F120F" w:rsidRDefault="000E5239" w:rsidP="00F36942">
            <w:pPr>
              <w:pStyle w:val="Tabletext"/>
              <w:rPr>
                <w:snapToGrid w:val="0"/>
              </w:rPr>
            </w:pPr>
            <w:r w:rsidRPr="00295986">
              <w:t>20</w:t>
            </w:r>
            <w:r w:rsidR="00D7157D">
              <w:t>.</w:t>
            </w:r>
            <w:r w:rsidRPr="00295986">
              <w:t>4557</w:t>
            </w:r>
          </w:p>
        </w:tc>
        <w:tc>
          <w:tcPr>
            <w:tcW w:w="966" w:type="pct"/>
            <w:tcBorders>
              <w:top w:val="single" w:sz="4" w:space="0" w:color="auto"/>
              <w:bottom w:val="single" w:sz="4" w:space="0" w:color="auto"/>
            </w:tcBorders>
            <w:vAlign w:val="bottom"/>
          </w:tcPr>
          <w:p w14:paraId="19FB8E6D" w14:textId="77777777" w:rsidR="000E5239" w:rsidRPr="000F120F" w:rsidRDefault="000E5239" w:rsidP="00F36942">
            <w:pPr>
              <w:pStyle w:val="Tabletext"/>
              <w:rPr>
                <w:snapToGrid w:val="0"/>
              </w:rPr>
            </w:pPr>
            <w:r w:rsidRPr="00295986">
              <w:t>0</w:t>
            </w:r>
            <w:r w:rsidR="00D7157D">
              <w:t>.</w:t>
            </w:r>
            <w:r w:rsidRPr="00295986">
              <w:t>1018</w:t>
            </w:r>
          </w:p>
        </w:tc>
      </w:tr>
      <w:tr w:rsidR="000E5239" w:rsidRPr="009E2595" w14:paraId="0FDFF4BF" w14:textId="77777777" w:rsidTr="00F36942">
        <w:trPr>
          <w:cantSplit/>
        </w:trPr>
        <w:tc>
          <w:tcPr>
            <w:tcW w:w="1136" w:type="pct"/>
            <w:tcBorders>
              <w:top w:val="single" w:sz="4" w:space="0" w:color="auto"/>
              <w:bottom w:val="single" w:sz="4" w:space="0" w:color="auto"/>
            </w:tcBorders>
          </w:tcPr>
          <w:p w14:paraId="536477EB" w14:textId="77777777" w:rsidR="000E5239" w:rsidRPr="00616B26" w:rsidRDefault="000E5239" w:rsidP="00F36942">
            <w:pPr>
              <w:pStyle w:val="Tabletext"/>
              <w:rPr>
                <w:snapToGrid w:val="0"/>
              </w:rPr>
            </w:pPr>
            <w:r w:rsidRPr="00616B26">
              <w:rPr>
                <w:snapToGrid w:val="0"/>
              </w:rPr>
              <w:t>60</w:t>
            </w:r>
          </w:p>
        </w:tc>
        <w:tc>
          <w:tcPr>
            <w:tcW w:w="966" w:type="pct"/>
            <w:tcBorders>
              <w:top w:val="single" w:sz="4" w:space="0" w:color="auto"/>
              <w:bottom w:val="single" w:sz="4" w:space="0" w:color="auto"/>
            </w:tcBorders>
            <w:vAlign w:val="bottom"/>
          </w:tcPr>
          <w:p w14:paraId="5059628A" w14:textId="77777777" w:rsidR="000E5239" w:rsidRPr="000F120F" w:rsidRDefault="000E5239" w:rsidP="00F36942">
            <w:pPr>
              <w:pStyle w:val="Tabletext"/>
              <w:rPr>
                <w:snapToGrid w:val="0"/>
              </w:rPr>
            </w:pPr>
            <w:r w:rsidRPr="00295986">
              <w:t>19</w:t>
            </w:r>
            <w:r w:rsidR="00D7157D">
              <w:t>.</w:t>
            </w:r>
            <w:r w:rsidRPr="00295986">
              <w:t>0197</w:t>
            </w:r>
          </w:p>
        </w:tc>
        <w:tc>
          <w:tcPr>
            <w:tcW w:w="966" w:type="pct"/>
            <w:tcBorders>
              <w:top w:val="single" w:sz="4" w:space="0" w:color="auto"/>
              <w:bottom w:val="single" w:sz="4" w:space="0" w:color="auto"/>
            </w:tcBorders>
            <w:vAlign w:val="bottom"/>
          </w:tcPr>
          <w:p w14:paraId="10261EC1" w14:textId="77777777" w:rsidR="000E5239" w:rsidRPr="000F120F" w:rsidRDefault="000E5239" w:rsidP="00F36942">
            <w:pPr>
              <w:pStyle w:val="Tabletext"/>
              <w:rPr>
                <w:snapToGrid w:val="0"/>
              </w:rPr>
            </w:pPr>
            <w:r w:rsidRPr="00295986">
              <w:t>0</w:t>
            </w:r>
            <w:r w:rsidR="00D7157D">
              <w:t>.</w:t>
            </w:r>
            <w:r w:rsidRPr="00295986">
              <w:t>4034</w:t>
            </w:r>
          </w:p>
        </w:tc>
        <w:tc>
          <w:tcPr>
            <w:tcW w:w="966" w:type="pct"/>
            <w:tcBorders>
              <w:top w:val="single" w:sz="4" w:space="0" w:color="auto"/>
              <w:bottom w:val="single" w:sz="4" w:space="0" w:color="auto"/>
            </w:tcBorders>
            <w:vAlign w:val="bottom"/>
          </w:tcPr>
          <w:p w14:paraId="217684B1" w14:textId="77777777" w:rsidR="000E5239" w:rsidRPr="000F120F" w:rsidRDefault="000E5239" w:rsidP="00F36942">
            <w:pPr>
              <w:pStyle w:val="Tabletext"/>
              <w:rPr>
                <w:snapToGrid w:val="0"/>
              </w:rPr>
            </w:pPr>
            <w:r w:rsidRPr="00295986">
              <w:t>20</w:t>
            </w:r>
            <w:r w:rsidR="00D7157D">
              <w:t>.</w:t>
            </w:r>
            <w:r w:rsidRPr="00295986">
              <w:t>0426</w:t>
            </w:r>
          </w:p>
        </w:tc>
        <w:tc>
          <w:tcPr>
            <w:tcW w:w="966" w:type="pct"/>
            <w:tcBorders>
              <w:top w:val="single" w:sz="4" w:space="0" w:color="auto"/>
              <w:bottom w:val="single" w:sz="4" w:space="0" w:color="auto"/>
            </w:tcBorders>
            <w:vAlign w:val="bottom"/>
          </w:tcPr>
          <w:p w14:paraId="5ACD4514" w14:textId="77777777" w:rsidR="000E5239" w:rsidRPr="000F120F" w:rsidRDefault="000E5239" w:rsidP="00F36942">
            <w:pPr>
              <w:pStyle w:val="Tabletext"/>
              <w:rPr>
                <w:snapToGrid w:val="0"/>
              </w:rPr>
            </w:pPr>
            <w:r w:rsidRPr="00295986">
              <w:t>0</w:t>
            </w:r>
            <w:r w:rsidR="00D7157D">
              <w:t>.</w:t>
            </w:r>
            <w:r w:rsidRPr="00295986">
              <w:t>1040</w:t>
            </w:r>
          </w:p>
        </w:tc>
      </w:tr>
      <w:tr w:rsidR="000E5239" w:rsidRPr="009E2595" w14:paraId="6CFD3E98" w14:textId="77777777" w:rsidTr="00F36942">
        <w:trPr>
          <w:cantSplit/>
        </w:trPr>
        <w:tc>
          <w:tcPr>
            <w:tcW w:w="1136" w:type="pct"/>
            <w:tcBorders>
              <w:top w:val="single" w:sz="4" w:space="0" w:color="auto"/>
              <w:bottom w:val="single" w:sz="4" w:space="0" w:color="auto"/>
            </w:tcBorders>
          </w:tcPr>
          <w:p w14:paraId="1DBD0D1E" w14:textId="77777777" w:rsidR="000E5239" w:rsidRPr="00616B26" w:rsidRDefault="000E5239" w:rsidP="00F36942">
            <w:pPr>
              <w:pStyle w:val="Tabletext"/>
              <w:rPr>
                <w:snapToGrid w:val="0"/>
              </w:rPr>
            </w:pPr>
            <w:r w:rsidRPr="00616B26">
              <w:rPr>
                <w:snapToGrid w:val="0"/>
              </w:rPr>
              <w:t>61</w:t>
            </w:r>
          </w:p>
        </w:tc>
        <w:tc>
          <w:tcPr>
            <w:tcW w:w="966" w:type="pct"/>
            <w:tcBorders>
              <w:top w:val="single" w:sz="4" w:space="0" w:color="auto"/>
              <w:bottom w:val="single" w:sz="4" w:space="0" w:color="auto"/>
            </w:tcBorders>
            <w:vAlign w:val="bottom"/>
          </w:tcPr>
          <w:p w14:paraId="78AD078B" w14:textId="77777777" w:rsidR="000E5239" w:rsidRPr="000F120F" w:rsidRDefault="000E5239" w:rsidP="00F36942">
            <w:pPr>
              <w:pStyle w:val="Tabletext"/>
              <w:rPr>
                <w:snapToGrid w:val="0"/>
              </w:rPr>
            </w:pPr>
            <w:r w:rsidRPr="00295986">
              <w:t>18</w:t>
            </w:r>
            <w:r w:rsidR="00D7157D">
              <w:t>.</w:t>
            </w:r>
            <w:r w:rsidRPr="00295986">
              <w:t>5760</w:t>
            </w:r>
          </w:p>
        </w:tc>
        <w:tc>
          <w:tcPr>
            <w:tcW w:w="966" w:type="pct"/>
            <w:tcBorders>
              <w:top w:val="single" w:sz="4" w:space="0" w:color="auto"/>
              <w:bottom w:val="single" w:sz="4" w:space="0" w:color="auto"/>
            </w:tcBorders>
            <w:vAlign w:val="bottom"/>
          </w:tcPr>
          <w:p w14:paraId="210762EC" w14:textId="77777777" w:rsidR="000E5239" w:rsidRPr="000F120F" w:rsidRDefault="000E5239" w:rsidP="00F36942">
            <w:pPr>
              <w:pStyle w:val="Tabletext"/>
              <w:rPr>
                <w:snapToGrid w:val="0"/>
              </w:rPr>
            </w:pPr>
            <w:r w:rsidRPr="00295986">
              <w:t>0</w:t>
            </w:r>
            <w:r w:rsidR="00D7157D">
              <w:t>.</w:t>
            </w:r>
            <w:r w:rsidRPr="00295986">
              <w:t>4124</w:t>
            </w:r>
          </w:p>
        </w:tc>
        <w:tc>
          <w:tcPr>
            <w:tcW w:w="966" w:type="pct"/>
            <w:tcBorders>
              <w:top w:val="single" w:sz="4" w:space="0" w:color="auto"/>
              <w:bottom w:val="single" w:sz="4" w:space="0" w:color="auto"/>
            </w:tcBorders>
            <w:vAlign w:val="bottom"/>
          </w:tcPr>
          <w:p w14:paraId="336AC24A" w14:textId="77777777" w:rsidR="000E5239" w:rsidRPr="000F120F" w:rsidRDefault="000E5239" w:rsidP="00F36942">
            <w:pPr>
              <w:pStyle w:val="Tabletext"/>
              <w:rPr>
                <w:snapToGrid w:val="0"/>
              </w:rPr>
            </w:pPr>
            <w:r w:rsidRPr="00295986">
              <w:t>19</w:t>
            </w:r>
            <w:r w:rsidR="00D7157D">
              <w:t>.</w:t>
            </w:r>
            <w:r w:rsidRPr="00295986">
              <w:t>6174</w:t>
            </w:r>
          </w:p>
        </w:tc>
        <w:tc>
          <w:tcPr>
            <w:tcW w:w="966" w:type="pct"/>
            <w:tcBorders>
              <w:top w:val="single" w:sz="4" w:space="0" w:color="auto"/>
              <w:bottom w:val="single" w:sz="4" w:space="0" w:color="auto"/>
            </w:tcBorders>
            <w:vAlign w:val="bottom"/>
          </w:tcPr>
          <w:p w14:paraId="21AC6075" w14:textId="77777777" w:rsidR="000E5239" w:rsidRPr="000F120F" w:rsidRDefault="000E5239" w:rsidP="00F36942">
            <w:pPr>
              <w:pStyle w:val="Tabletext"/>
              <w:rPr>
                <w:snapToGrid w:val="0"/>
              </w:rPr>
            </w:pPr>
            <w:r w:rsidRPr="00295986">
              <w:t>0</w:t>
            </w:r>
            <w:r w:rsidR="00D7157D">
              <w:t>.</w:t>
            </w:r>
            <w:r w:rsidRPr="00295986">
              <w:t>1062</w:t>
            </w:r>
          </w:p>
        </w:tc>
      </w:tr>
      <w:tr w:rsidR="000E5239" w:rsidRPr="009E2595" w14:paraId="24235B10" w14:textId="77777777" w:rsidTr="00F36942">
        <w:trPr>
          <w:cantSplit/>
        </w:trPr>
        <w:tc>
          <w:tcPr>
            <w:tcW w:w="1136" w:type="pct"/>
            <w:tcBorders>
              <w:top w:val="single" w:sz="4" w:space="0" w:color="auto"/>
              <w:bottom w:val="single" w:sz="4" w:space="0" w:color="auto"/>
            </w:tcBorders>
          </w:tcPr>
          <w:p w14:paraId="4A57421B" w14:textId="77777777" w:rsidR="000E5239" w:rsidRPr="00616B26" w:rsidRDefault="000E5239" w:rsidP="00F36942">
            <w:pPr>
              <w:pStyle w:val="Tabletext"/>
              <w:rPr>
                <w:snapToGrid w:val="0"/>
              </w:rPr>
            </w:pPr>
            <w:r w:rsidRPr="00616B26">
              <w:rPr>
                <w:snapToGrid w:val="0"/>
              </w:rPr>
              <w:t>62</w:t>
            </w:r>
          </w:p>
        </w:tc>
        <w:tc>
          <w:tcPr>
            <w:tcW w:w="966" w:type="pct"/>
            <w:tcBorders>
              <w:top w:val="single" w:sz="4" w:space="0" w:color="auto"/>
              <w:bottom w:val="single" w:sz="4" w:space="0" w:color="auto"/>
            </w:tcBorders>
            <w:vAlign w:val="bottom"/>
          </w:tcPr>
          <w:p w14:paraId="108FED70" w14:textId="77777777" w:rsidR="000E5239" w:rsidRPr="000F120F" w:rsidRDefault="000E5239" w:rsidP="00F36942">
            <w:pPr>
              <w:pStyle w:val="Tabletext"/>
              <w:rPr>
                <w:snapToGrid w:val="0"/>
              </w:rPr>
            </w:pPr>
            <w:r w:rsidRPr="00295986">
              <w:t>18</w:t>
            </w:r>
            <w:r w:rsidR="00D7157D">
              <w:t>.</w:t>
            </w:r>
            <w:r w:rsidRPr="00295986">
              <w:t>1203</w:t>
            </w:r>
          </w:p>
        </w:tc>
        <w:tc>
          <w:tcPr>
            <w:tcW w:w="966" w:type="pct"/>
            <w:tcBorders>
              <w:top w:val="single" w:sz="4" w:space="0" w:color="auto"/>
              <w:bottom w:val="single" w:sz="4" w:space="0" w:color="auto"/>
            </w:tcBorders>
            <w:vAlign w:val="bottom"/>
          </w:tcPr>
          <w:p w14:paraId="7C949D2D" w14:textId="77777777" w:rsidR="000E5239" w:rsidRPr="000F120F" w:rsidRDefault="000E5239" w:rsidP="00F36942">
            <w:pPr>
              <w:pStyle w:val="Tabletext"/>
              <w:rPr>
                <w:snapToGrid w:val="0"/>
              </w:rPr>
            </w:pPr>
            <w:r w:rsidRPr="00295986">
              <w:t>0</w:t>
            </w:r>
            <w:r w:rsidR="00D7157D">
              <w:t>.</w:t>
            </w:r>
            <w:r w:rsidRPr="00295986">
              <w:t>4215</w:t>
            </w:r>
          </w:p>
        </w:tc>
        <w:tc>
          <w:tcPr>
            <w:tcW w:w="966" w:type="pct"/>
            <w:tcBorders>
              <w:top w:val="single" w:sz="4" w:space="0" w:color="auto"/>
              <w:bottom w:val="single" w:sz="4" w:space="0" w:color="auto"/>
            </w:tcBorders>
            <w:vAlign w:val="bottom"/>
          </w:tcPr>
          <w:p w14:paraId="6C5ED017" w14:textId="77777777" w:rsidR="000E5239" w:rsidRPr="000F120F" w:rsidRDefault="000E5239" w:rsidP="00F36942">
            <w:pPr>
              <w:pStyle w:val="Tabletext"/>
              <w:rPr>
                <w:snapToGrid w:val="0"/>
              </w:rPr>
            </w:pPr>
            <w:r w:rsidRPr="00295986">
              <w:t>19</w:t>
            </w:r>
            <w:r w:rsidR="00D7157D">
              <w:t>.</w:t>
            </w:r>
            <w:r w:rsidRPr="00295986">
              <w:t>1809</w:t>
            </w:r>
          </w:p>
        </w:tc>
        <w:tc>
          <w:tcPr>
            <w:tcW w:w="966" w:type="pct"/>
            <w:tcBorders>
              <w:top w:val="single" w:sz="4" w:space="0" w:color="auto"/>
              <w:bottom w:val="single" w:sz="4" w:space="0" w:color="auto"/>
            </w:tcBorders>
            <w:vAlign w:val="bottom"/>
          </w:tcPr>
          <w:p w14:paraId="0C61EF3B" w14:textId="77777777" w:rsidR="000E5239" w:rsidRPr="000F120F" w:rsidRDefault="000E5239" w:rsidP="00F36942">
            <w:pPr>
              <w:pStyle w:val="Tabletext"/>
              <w:rPr>
                <w:snapToGrid w:val="0"/>
              </w:rPr>
            </w:pPr>
            <w:r w:rsidRPr="00295986">
              <w:t>0</w:t>
            </w:r>
            <w:r w:rsidR="00D7157D">
              <w:t>.</w:t>
            </w:r>
            <w:r w:rsidRPr="00295986">
              <w:t>1084</w:t>
            </w:r>
          </w:p>
        </w:tc>
      </w:tr>
      <w:tr w:rsidR="000E5239" w:rsidRPr="009E2595" w14:paraId="23D96557" w14:textId="77777777" w:rsidTr="00F36942">
        <w:trPr>
          <w:cantSplit/>
        </w:trPr>
        <w:tc>
          <w:tcPr>
            <w:tcW w:w="1136" w:type="pct"/>
            <w:tcBorders>
              <w:top w:val="single" w:sz="4" w:space="0" w:color="auto"/>
              <w:bottom w:val="single" w:sz="4" w:space="0" w:color="auto"/>
            </w:tcBorders>
          </w:tcPr>
          <w:p w14:paraId="7B694A3A" w14:textId="77777777" w:rsidR="000E5239" w:rsidRPr="00616B26" w:rsidRDefault="000E5239" w:rsidP="00F36942">
            <w:pPr>
              <w:pStyle w:val="Tabletext"/>
              <w:rPr>
                <w:snapToGrid w:val="0"/>
              </w:rPr>
            </w:pPr>
            <w:r w:rsidRPr="00616B26">
              <w:rPr>
                <w:snapToGrid w:val="0"/>
              </w:rPr>
              <w:t>63</w:t>
            </w:r>
          </w:p>
        </w:tc>
        <w:tc>
          <w:tcPr>
            <w:tcW w:w="966" w:type="pct"/>
            <w:tcBorders>
              <w:top w:val="single" w:sz="4" w:space="0" w:color="auto"/>
              <w:bottom w:val="single" w:sz="4" w:space="0" w:color="auto"/>
            </w:tcBorders>
            <w:vAlign w:val="bottom"/>
          </w:tcPr>
          <w:p w14:paraId="115195F9" w14:textId="77777777" w:rsidR="000E5239" w:rsidRPr="000F120F" w:rsidRDefault="000E5239" w:rsidP="00F36942">
            <w:pPr>
              <w:pStyle w:val="Tabletext"/>
              <w:rPr>
                <w:snapToGrid w:val="0"/>
              </w:rPr>
            </w:pPr>
            <w:r w:rsidRPr="00295986">
              <w:t>17</w:t>
            </w:r>
            <w:r w:rsidR="00D7157D">
              <w:t>.</w:t>
            </w:r>
            <w:r w:rsidRPr="00295986">
              <w:t>6527</w:t>
            </w:r>
          </w:p>
        </w:tc>
        <w:tc>
          <w:tcPr>
            <w:tcW w:w="966" w:type="pct"/>
            <w:tcBorders>
              <w:top w:val="single" w:sz="4" w:space="0" w:color="auto"/>
              <w:bottom w:val="single" w:sz="4" w:space="0" w:color="auto"/>
            </w:tcBorders>
            <w:vAlign w:val="bottom"/>
          </w:tcPr>
          <w:p w14:paraId="01F33186" w14:textId="77777777" w:rsidR="000E5239" w:rsidRPr="000F120F" w:rsidRDefault="000E5239" w:rsidP="00F36942">
            <w:pPr>
              <w:pStyle w:val="Tabletext"/>
              <w:rPr>
                <w:snapToGrid w:val="0"/>
              </w:rPr>
            </w:pPr>
            <w:r w:rsidRPr="00295986">
              <w:t>0</w:t>
            </w:r>
            <w:r w:rsidR="00D7157D">
              <w:t>.</w:t>
            </w:r>
            <w:r w:rsidRPr="00295986">
              <w:t>4308</w:t>
            </w:r>
          </w:p>
        </w:tc>
        <w:tc>
          <w:tcPr>
            <w:tcW w:w="966" w:type="pct"/>
            <w:tcBorders>
              <w:top w:val="single" w:sz="4" w:space="0" w:color="auto"/>
              <w:bottom w:val="single" w:sz="4" w:space="0" w:color="auto"/>
            </w:tcBorders>
            <w:vAlign w:val="bottom"/>
          </w:tcPr>
          <w:p w14:paraId="69BFA0C4" w14:textId="77777777" w:rsidR="000E5239" w:rsidRPr="000F120F" w:rsidRDefault="000E5239" w:rsidP="00F36942">
            <w:pPr>
              <w:pStyle w:val="Tabletext"/>
              <w:rPr>
                <w:snapToGrid w:val="0"/>
              </w:rPr>
            </w:pPr>
            <w:r w:rsidRPr="00295986">
              <w:t>18</w:t>
            </w:r>
            <w:r w:rsidR="00D7157D">
              <w:t>.</w:t>
            </w:r>
            <w:r w:rsidRPr="00295986">
              <w:t>7328</w:t>
            </w:r>
          </w:p>
        </w:tc>
        <w:tc>
          <w:tcPr>
            <w:tcW w:w="966" w:type="pct"/>
            <w:tcBorders>
              <w:top w:val="single" w:sz="4" w:space="0" w:color="auto"/>
              <w:bottom w:val="single" w:sz="4" w:space="0" w:color="auto"/>
            </w:tcBorders>
            <w:vAlign w:val="bottom"/>
          </w:tcPr>
          <w:p w14:paraId="77877D28" w14:textId="77777777" w:rsidR="000E5239" w:rsidRPr="000F120F" w:rsidRDefault="000E5239" w:rsidP="00F36942">
            <w:pPr>
              <w:pStyle w:val="Tabletext"/>
              <w:rPr>
                <w:snapToGrid w:val="0"/>
              </w:rPr>
            </w:pPr>
            <w:r w:rsidRPr="00295986">
              <w:t>0</w:t>
            </w:r>
            <w:r w:rsidR="00D7157D">
              <w:t>.</w:t>
            </w:r>
            <w:r w:rsidRPr="00295986">
              <w:t>1107</w:t>
            </w:r>
          </w:p>
        </w:tc>
      </w:tr>
      <w:tr w:rsidR="000E5239" w:rsidRPr="009E2595" w14:paraId="6AD12792" w14:textId="77777777" w:rsidTr="00F36942">
        <w:trPr>
          <w:cantSplit/>
        </w:trPr>
        <w:tc>
          <w:tcPr>
            <w:tcW w:w="1136" w:type="pct"/>
            <w:tcBorders>
              <w:top w:val="single" w:sz="4" w:space="0" w:color="auto"/>
              <w:bottom w:val="single" w:sz="4" w:space="0" w:color="auto"/>
            </w:tcBorders>
          </w:tcPr>
          <w:p w14:paraId="66116D2E" w14:textId="77777777" w:rsidR="000E5239" w:rsidRPr="00616B26" w:rsidRDefault="000E5239" w:rsidP="00F36942">
            <w:pPr>
              <w:pStyle w:val="Tabletext"/>
              <w:rPr>
                <w:snapToGrid w:val="0"/>
              </w:rPr>
            </w:pPr>
            <w:r w:rsidRPr="00616B26">
              <w:rPr>
                <w:snapToGrid w:val="0"/>
              </w:rPr>
              <w:t>64</w:t>
            </w:r>
          </w:p>
        </w:tc>
        <w:tc>
          <w:tcPr>
            <w:tcW w:w="966" w:type="pct"/>
            <w:tcBorders>
              <w:top w:val="single" w:sz="4" w:space="0" w:color="auto"/>
              <w:bottom w:val="single" w:sz="4" w:space="0" w:color="auto"/>
            </w:tcBorders>
            <w:vAlign w:val="bottom"/>
          </w:tcPr>
          <w:p w14:paraId="45966EDA" w14:textId="77777777" w:rsidR="000E5239" w:rsidRPr="000F120F" w:rsidRDefault="000E5239" w:rsidP="00F36942">
            <w:pPr>
              <w:pStyle w:val="Tabletext"/>
              <w:rPr>
                <w:snapToGrid w:val="0"/>
              </w:rPr>
            </w:pPr>
            <w:r w:rsidRPr="00295986">
              <w:t>17</w:t>
            </w:r>
            <w:r w:rsidR="00D7157D">
              <w:t>.</w:t>
            </w:r>
            <w:r w:rsidRPr="00295986">
              <w:t>1728</w:t>
            </w:r>
          </w:p>
        </w:tc>
        <w:tc>
          <w:tcPr>
            <w:tcW w:w="966" w:type="pct"/>
            <w:tcBorders>
              <w:top w:val="single" w:sz="4" w:space="0" w:color="auto"/>
              <w:bottom w:val="single" w:sz="4" w:space="0" w:color="auto"/>
            </w:tcBorders>
            <w:vAlign w:val="bottom"/>
          </w:tcPr>
          <w:p w14:paraId="372785AD" w14:textId="77777777" w:rsidR="000E5239" w:rsidRPr="000F120F" w:rsidRDefault="000E5239" w:rsidP="00F36942">
            <w:pPr>
              <w:pStyle w:val="Tabletext"/>
              <w:rPr>
                <w:snapToGrid w:val="0"/>
              </w:rPr>
            </w:pPr>
            <w:r w:rsidRPr="00295986">
              <w:t>0</w:t>
            </w:r>
            <w:r w:rsidR="00D7157D">
              <w:t>.</w:t>
            </w:r>
            <w:r w:rsidRPr="00295986">
              <w:t>4402</w:t>
            </w:r>
          </w:p>
        </w:tc>
        <w:tc>
          <w:tcPr>
            <w:tcW w:w="966" w:type="pct"/>
            <w:tcBorders>
              <w:top w:val="single" w:sz="4" w:space="0" w:color="auto"/>
              <w:bottom w:val="single" w:sz="4" w:space="0" w:color="auto"/>
            </w:tcBorders>
            <w:vAlign w:val="bottom"/>
          </w:tcPr>
          <w:p w14:paraId="02400795" w14:textId="77777777" w:rsidR="000E5239" w:rsidRPr="000F120F" w:rsidRDefault="000E5239" w:rsidP="00F36942">
            <w:pPr>
              <w:pStyle w:val="Tabletext"/>
              <w:rPr>
                <w:snapToGrid w:val="0"/>
              </w:rPr>
            </w:pPr>
            <w:r w:rsidRPr="00295986">
              <w:t>18</w:t>
            </w:r>
            <w:r w:rsidR="00D7157D">
              <w:t>.</w:t>
            </w:r>
            <w:r w:rsidRPr="00295986">
              <w:t>2729</w:t>
            </w:r>
          </w:p>
        </w:tc>
        <w:tc>
          <w:tcPr>
            <w:tcW w:w="966" w:type="pct"/>
            <w:tcBorders>
              <w:top w:val="single" w:sz="4" w:space="0" w:color="auto"/>
              <w:bottom w:val="single" w:sz="4" w:space="0" w:color="auto"/>
            </w:tcBorders>
            <w:vAlign w:val="bottom"/>
          </w:tcPr>
          <w:p w14:paraId="6D6F8869" w14:textId="77777777" w:rsidR="000E5239" w:rsidRPr="000F120F" w:rsidRDefault="000E5239" w:rsidP="00F36942">
            <w:pPr>
              <w:pStyle w:val="Tabletext"/>
              <w:rPr>
                <w:snapToGrid w:val="0"/>
              </w:rPr>
            </w:pPr>
            <w:r w:rsidRPr="00295986">
              <w:t>0</w:t>
            </w:r>
            <w:r w:rsidR="00D7157D">
              <w:t>.</w:t>
            </w:r>
            <w:r w:rsidRPr="00295986">
              <w:t>1130</w:t>
            </w:r>
          </w:p>
        </w:tc>
      </w:tr>
      <w:tr w:rsidR="000E5239" w:rsidRPr="009E2595" w14:paraId="29300E7C" w14:textId="77777777" w:rsidTr="00F36942">
        <w:trPr>
          <w:cantSplit/>
        </w:trPr>
        <w:tc>
          <w:tcPr>
            <w:tcW w:w="1136" w:type="pct"/>
            <w:tcBorders>
              <w:top w:val="single" w:sz="4" w:space="0" w:color="auto"/>
              <w:bottom w:val="single" w:sz="4" w:space="0" w:color="auto"/>
            </w:tcBorders>
          </w:tcPr>
          <w:p w14:paraId="74E7ED85" w14:textId="77777777" w:rsidR="000E5239" w:rsidRPr="00616B26" w:rsidRDefault="000E5239" w:rsidP="00F36942">
            <w:pPr>
              <w:pStyle w:val="Tabletext"/>
              <w:rPr>
                <w:snapToGrid w:val="0"/>
              </w:rPr>
            </w:pPr>
            <w:r w:rsidRPr="00616B26">
              <w:rPr>
                <w:snapToGrid w:val="0"/>
              </w:rPr>
              <w:t>65</w:t>
            </w:r>
          </w:p>
        </w:tc>
        <w:tc>
          <w:tcPr>
            <w:tcW w:w="966" w:type="pct"/>
            <w:tcBorders>
              <w:top w:val="single" w:sz="4" w:space="0" w:color="auto"/>
              <w:bottom w:val="single" w:sz="4" w:space="0" w:color="auto"/>
            </w:tcBorders>
            <w:vAlign w:val="bottom"/>
          </w:tcPr>
          <w:p w14:paraId="008FED4C" w14:textId="77777777" w:rsidR="000E5239" w:rsidRPr="000F120F" w:rsidRDefault="000E5239" w:rsidP="00F36942">
            <w:pPr>
              <w:pStyle w:val="Tabletext"/>
              <w:rPr>
                <w:snapToGrid w:val="0"/>
              </w:rPr>
            </w:pPr>
            <w:r w:rsidRPr="00295986">
              <w:t>16</w:t>
            </w:r>
            <w:r w:rsidR="00D7157D">
              <w:t>.</w:t>
            </w:r>
            <w:r w:rsidRPr="00295986">
              <w:t>6826</w:t>
            </w:r>
          </w:p>
        </w:tc>
        <w:tc>
          <w:tcPr>
            <w:tcW w:w="966" w:type="pct"/>
            <w:tcBorders>
              <w:top w:val="single" w:sz="4" w:space="0" w:color="auto"/>
              <w:bottom w:val="single" w:sz="4" w:space="0" w:color="auto"/>
            </w:tcBorders>
            <w:vAlign w:val="bottom"/>
          </w:tcPr>
          <w:p w14:paraId="2C8F3854" w14:textId="77777777" w:rsidR="000E5239" w:rsidRPr="000F120F" w:rsidRDefault="000E5239" w:rsidP="00F36942">
            <w:pPr>
              <w:pStyle w:val="Tabletext"/>
              <w:rPr>
                <w:snapToGrid w:val="0"/>
              </w:rPr>
            </w:pPr>
            <w:r w:rsidRPr="00295986">
              <w:t>0</w:t>
            </w:r>
            <w:r w:rsidR="00D7157D">
              <w:t>.</w:t>
            </w:r>
            <w:r w:rsidRPr="00295986">
              <w:t>4495</w:t>
            </w:r>
          </w:p>
        </w:tc>
        <w:tc>
          <w:tcPr>
            <w:tcW w:w="966" w:type="pct"/>
            <w:tcBorders>
              <w:top w:val="single" w:sz="4" w:space="0" w:color="auto"/>
              <w:bottom w:val="single" w:sz="4" w:space="0" w:color="auto"/>
            </w:tcBorders>
            <w:vAlign w:val="bottom"/>
          </w:tcPr>
          <w:p w14:paraId="0D70BF71" w14:textId="77777777" w:rsidR="000E5239" w:rsidRPr="000F120F" w:rsidRDefault="000E5239" w:rsidP="00F36942">
            <w:pPr>
              <w:pStyle w:val="Tabletext"/>
              <w:rPr>
                <w:snapToGrid w:val="0"/>
              </w:rPr>
            </w:pPr>
            <w:r w:rsidRPr="00295986">
              <w:t>17</w:t>
            </w:r>
            <w:r w:rsidR="00D7157D">
              <w:t>.</w:t>
            </w:r>
            <w:r w:rsidRPr="00295986">
              <w:t>8030</w:t>
            </w:r>
          </w:p>
        </w:tc>
        <w:tc>
          <w:tcPr>
            <w:tcW w:w="966" w:type="pct"/>
            <w:tcBorders>
              <w:top w:val="single" w:sz="4" w:space="0" w:color="auto"/>
              <w:bottom w:val="single" w:sz="4" w:space="0" w:color="auto"/>
            </w:tcBorders>
            <w:vAlign w:val="bottom"/>
          </w:tcPr>
          <w:p w14:paraId="396D179F" w14:textId="77777777" w:rsidR="000E5239" w:rsidRPr="000F120F" w:rsidRDefault="000E5239" w:rsidP="00F36942">
            <w:pPr>
              <w:pStyle w:val="Tabletext"/>
              <w:rPr>
                <w:snapToGrid w:val="0"/>
              </w:rPr>
            </w:pPr>
            <w:r w:rsidRPr="00295986">
              <w:t>0</w:t>
            </w:r>
            <w:r w:rsidR="00D7157D">
              <w:t>.</w:t>
            </w:r>
            <w:r w:rsidRPr="00295986">
              <w:t>1152</w:t>
            </w:r>
          </w:p>
        </w:tc>
      </w:tr>
      <w:tr w:rsidR="000E5239" w:rsidRPr="009E2595" w14:paraId="022CC9F6" w14:textId="77777777" w:rsidTr="00F36942">
        <w:trPr>
          <w:cantSplit/>
        </w:trPr>
        <w:tc>
          <w:tcPr>
            <w:tcW w:w="1136" w:type="pct"/>
            <w:tcBorders>
              <w:top w:val="single" w:sz="4" w:space="0" w:color="auto"/>
              <w:bottom w:val="single" w:sz="4" w:space="0" w:color="auto"/>
            </w:tcBorders>
          </w:tcPr>
          <w:p w14:paraId="33A8736E" w14:textId="77777777" w:rsidR="000E5239" w:rsidRPr="00616B26" w:rsidRDefault="000E5239" w:rsidP="00F36942">
            <w:pPr>
              <w:pStyle w:val="Tabletext"/>
              <w:rPr>
                <w:snapToGrid w:val="0"/>
              </w:rPr>
            </w:pPr>
            <w:r w:rsidRPr="00616B26">
              <w:rPr>
                <w:snapToGrid w:val="0"/>
              </w:rPr>
              <w:t>66</w:t>
            </w:r>
          </w:p>
        </w:tc>
        <w:tc>
          <w:tcPr>
            <w:tcW w:w="966" w:type="pct"/>
            <w:tcBorders>
              <w:top w:val="single" w:sz="4" w:space="0" w:color="auto"/>
              <w:bottom w:val="single" w:sz="4" w:space="0" w:color="auto"/>
            </w:tcBorders>
            <w:vAlign w:val="bottom"/>
          </w:tcPr>
          <w:p w14:paraId="60610845" w14:textId="77777777" w:rsidR="000E5239" w:rsidRPr="000F120F" w:rsidRDefault="000E5239" w:rsidP="00F36942">
            <w:pPr>
              <w:pStyle w:val="Tabletext"/>
              <w:rPr>
                <w:snapToGrid w:val="0"/>
              </w:rPr>
            </w:pPr>
            <w:r w:rsidRPr="00295986">
              <w:t>16</w:t>
            </w:r>
            <w:r w:rsidR="00D7157D">
              <w:t>.</w:t>
            </w:r>
            <w:r w:rsidRPr="00295986">
              <w:t>1861</w:t>
            </w:r>
          </w:p>
        </w:tc>
        <w:tc>
          <w:tcPr>
            <w:tcW w:w="966" w:type="pct"/>
            <w:tcBorders>
              <w:top w:val="single" w:sz="4" w:space="0" w:color="auto"/>
              <w:bottom w:val="single" w:sz="4" w:space="0" w:color="auto"/>
            </w:tcBorders>
            <w:vAlign w:val="bottom"/>
          </w:tcPr>
          <w:p w14:paraId="05871995" w14:textId="77777777" w:rsidR="000E5239" w:rsidRPr="000F120F" w:rsidRDefault="000E5239" w:rsidP="00F36942">
            <w:pPr>
              <w:pStyle w:val="Tabletext"/>
              <w:rPr>
                <w:snapToGrid w:val="0"/>
              </w:rPr>
            </w:pPr>
            <w:r w:rsidRPr="00295986">
              <w:t>0</w:t>
            </w:r>
            <w:r w:rsidR="00D7157D">
              <w:t>.</w:t>
            </w:r>
            <w:r w:rsidRPr="00295986">
              <w:t>4583</w:t>
            </w:r>
          </w:p>
        </w:tc>
        <w:tc>
          <w:tcPr>
            <w:tcW w:w="966" w:type="pct"/>
            <w:tcBorders>
              <w:top w:val="single" w:sz="4" w:space="0" w:color="auto"/>
              <w:bottom w:val="single" w:sz="4" w:space="0" w:color="auto"/>
            </w:tcBorders>
            <w:vAlign w:val="bottom"/>
          </w:tcPr>
          <w:p w14:paraId="2AED2CCA" w14:textId="77777777" w:rsidR="000E5239" w:rsidRPr="000F120F" w:rsidRDefault="000E5239" w:rsidP="00F36942">
            <w:pPr>
              <w:pStyle w:val="Tabletext"/>
              <w:rPr>
                <w:snapToGrid w:val="0"/>
              </w:rPr>
            </w:pPr>
            <w:r w:rsidRPr="00295986">
              <w:t>17</w:t>
            </w:r>
            <w:r w:rsidR="00D7157D">
              <w:t>.</w:t>
            </w:r>
            <w:r w:rsidRPr="00295986">
              <w:t>3235</w:t>
            </w:r>
          </w:p>
        </w:tc>
        <w:tc>
          <w:tcPr>
            <w:tcW w:w="966" w:type="pct"/>
            <w:tcBorders>
              <w:top w:val="single" w:sz="4" w:space="0" w:color="auto"/>
              <w:bottom w:val="single" w:sz="4" w:space="0" w:color="auto"/>
            </w:tcBorders>
            <w:vAlign w:val="bottom"/>
          </w:tcPr>
          <w:p w14:paraId="67DC1C0B" w14:textId="77777777" w:rsidR="000E5239" w:rsidRPr="000F120F" w:rsidRDefault="000E5239" w:rsidP="00F36942">
            <w:pPr>
              <w:pStyle w:val="Tabletext"/>
              <w:rPr>
                <w:snapToGrid w:val="0"/>
              </w:rPr>
            </w:pPr>
            <w:r w:rsidRPr="00295986">
              <w:t>0</w:t>
            </w:r>
            <w:r w:rsidR="00D7157D">
              <w:t>.</w:t>
            </w:r>
            <w:r w:rsidRPr="00295986">
              <w:t>1174</w:t>
            </w:r>
          </w:p>
        </w:tc>
      </w:tr>
      <w:tr w:rsidR="000E5239" w:rsidRPr="009E2595" w14:paraId="7474DFA8" w14:textId="77777777" w:rsidTr="00F36942">
        <w:trPr>
          <w:cantSplit/>
        </w:trPr>
        <w:tc>
          <w:tcPr>
            <w:tcW w:w="1136" w:type="pct"/>
            <w:tcBorders>
              <w:top w:val="single" w:sz="4" w:space="0" w:color="auto"/>
              <w:bottom w:val="single" w:sz="4" w:space="0" w:color="auto"/>
            </w:tcBorders>
          </w:tcPr>
          <w:p w14:paraId="0B4C8E6E" w14:textId="77777777" w:rsidR="000E5239" w:rsidRPr="00616B26" w:rsidRDefault="000E5239" w:rsidP="00F36942">
            <w:pPr>
              <w:pStyle w:val="Tabletext"/>
              <w:rPr>
                <w:snapToGrid w:val="0"/>
              </w:rPr>
            </w:pPr>
            <w:r w:rsidRPr="00616B26">
              <w:rPr>
                <w:snapToGrid w:val="0"/>
              </w:rPr>
              <w:t>67</w:t>
            </w:r>
          </w:p>
        </w:tc>
        <w:tc>
          <w:tcPr>
            <w:tcW w:w="966" w:type="pct"/>
            <w:tcBorders>
              <w:top w:val="single" w:sz="4" w:space="0" w:color="auto"/>
              <w:bottom w:val="single" w:sz="4" w:space="0" w:color="auto"/>
            </w:tcBorders>
            <w:vAlign w:val="bottom"/>
          </w:tcPr>
          <w:p w14:paraId="1300BDF3" w14:textId="77777777" w:rsidR="000E5239" w:rsidRPr="000F120F" w:rsidRDefault="000E5239" w:rsidP="00F36942">
            <w:pPr>
              <w:pStyle w:val="Tabletext"/>
              <w:rPr>
                <w:snapToGrid w:val="0"/>
              </w:rPr>
            </w:pPr>
            <w:r w:rsidRPr="00295986">
              <w:t>15</w:t>
            </w:r>
            <w:r w:rsidR="00D7157D">
              <w:t>.</w:t>
            </w:r>
            <w:r w:rsidRPr="00295986">
              <w:t>6831</w:t>
            </w:r>
          </w:p>
        </w:tc>
        <w:tc>
          <w:tcPr>
            <w:tcW w:w="966" w:type="pct"/>
            <w:tcBorders>
              <w:top w:val="single" w:sz="4" w:space="0" w:color="auto"/>
              <w:bottom w:val="single" w:sz="4" w:space="0" w:color="auto"/>
            </w:tcBorders>
            <w:vAlign w:val="bottom"/>
          </w:tcPr>
          <w:p w14:paraId="1E83CF4A" w14:textId="77777777" w:rsidR="000E5239" w:rsidRPr="000F120F" w:rsidRDefault="000E5239" w:rsidP="00F36942">
            <w:pPr>
              <w:pStyle w:val="Tabletext"/>
              <w:rPr>
                <w:snapToGrid w:val="0"/>
              </w:rPr>
            </w:pPr>
            <w:r w:rsidRPr="00295986">
              <w:t>0</w:t>
            </w:r>
            <w:r w:rsidR="00D7157D">
              <w:t>.</w:t>
            </w:r>
            <w:r w:rsidRPr="00295986">
              <w:t>4667</w:t>
            </w:r>
          </w:p>
        </w:tc>
        <w:tc>
          <w:tcPr>
            <w:tcW w:w="966" w:type="pct"/>
            <w:tcBorders>
              <w:top w:val="single" w:sz="4" w:space="0" w:color="auto"/>
              <w:bottom w:val="single" w:sz="4" w:space="0" w:color="auto"/>
            </w:tcBorders>
            <w:vAlign w:val="bottom"/>
          </w:tcPr>
          <w:p w14:paraId="41B40111" w14:textId="77777777" w:rsidR="000E5239" w:rsidRPr="000F120F" w:rsidRDefault="000E5239" w:rsidP="00F36942">
            <w:pPr>
              <w:pStyle w:val="Tabletext"/>
              <w:rPr>
                <w:snapToGrid w:val="0"/>
              </w:rPr>
            </w:pPr>
            <w:r w:rsidRPr="00295986">
              <w:t>16</w:t>
            </w:r>
            <w:r w:rsidR="00D7157D">
              <w:t>.</w:t>
            </w:r>
            <w:r w:rsidRPr="00295986">
              <w:t>8365</w:t>
            </w:r>
          </w:p>
        </w:tc>
        <w:tc>
          <w:tcPr>
            <w:tcW w:w="966" w:type="pct"/>
            <w:tcBorders>
              <w:top w:val="single" w:sz="4" w:space="0" w:color="auto"/>
              <w:bottom w:val="single" w:sz="4" w:space="0" w:color="auto"/>
            </w:tcBorders>
            <w:vAlign w:val="bottom"/>
          </w:tcPr>
          <w:p w14:paraId="3199CDB1" w14:textId="77777777" w:rsidR="000E5239" w:rsidRPr="000F120F" w:rsidRDefault="000E5239" w:rsidP="00F36942">
            <w:pPr>
              <w:pStyle w:val="Tabletext"/>
              <w:rPr>
                <w:snapToGrid w:val="0"/>
              </w:rPr>
            </w:pPr>
            <w:r w:rsidRPr="00295986">
              <w:t>0</w:t>
            </w:r>
            <w:r w:rsidR="00D7157D">
              <w:t>.</w:t>
            </w:r>
            <w:r w:rsidRPr="00295986">
              <w:t>1194</w:t>
            </w:r>
          </w:p>
        </w:tc>
      </w:tr>
      <w:tr w:rsidR="000E5239" w:rsidRPr="009E2595" w14:paraId="560BA1B7" w14:textId="77777777" w:rsidTr="00F36942">
        <w:trPr>
          <w:cantSplit/>
        </w:trPr>
        <w:tc>
          <w:tcPr>
            <w:tcW w:w="1136" w:type="pct"/>
            <w:tcBorders>
              <w:top w:val="single" w:sz="4" w:space="0" w:color="auto"/>
              <w:bottom w:val="single" w:sz="4" w:space="0" w:color="auto"/>
            </w:tcBorders>
          </w:tcPr>
          <w:p w14:paraId="42B52080" w14:textId="77777777" w:rsidR="000E5239" w:rsidRPr="00616B26" w:rsidRDefault="000E5239" w:rsidP="00F36942">
            <w:pPr>
              <w:pStyle w:val="Tabletext"/>
              <w:rPr>
                <w:snapToGrid w:val="0"/>
              </w:rPr>
            </w:pPr>
            <w:r w:rsidRPr="00616B26">
              <w:rPr>
                <w:snapToGrid w:val="0"/>
              </w:rPr>
              <w:t>68</w:t>
            </w:r>
          </w:p>
        </w:tc>
        <w:tc>
          <w:tcPr>
            <w:tcW w:w="966" w:type="pct"/>
            <w:tcBorders>
              <w:top w:val="single" w:sz="4" w:space="0" w:color="auto"/>
              <w:bottom w:val="single" w:sz="4" w:space="0" w:color="auto"/>
            </w:tcBorders>
            <w:vAlign w:val="bottom"/>
          </w:tcPr>
          <w:p w14:paraId="39AC9AB4" w14:textId="77777777" w:rsidR="000E5239" w:rsidRPr="000F120F" w:rsidRDefault="000E5239" w:rsidP="00F36942">
            <w:pPr>
              <w:pStyle w:val="Tabletext"/>
              <w:rPr>
                <w:snapToGrid w:val="0"/>
              </w:rPr>
            </w:pPr>
            <w:r w:rsidRPr="00295986">
              <w:t>15</w:t>
            </w:r>
            <w:r w:rsidR="00D7157D">
              <w:t>.</w:t>
            </w:r>
            <w:r w:rsidRPr="00295986">
              <w:t>1736</w:t>
            </w:r>
          </w:p>
        </w:tc>
        <w:tc>
          <w:tcPr>
            <w:tcW w:w="966" w:type="pct"/>
            <w:tcBorders>
              <w:top w:val="single" w:sz="4" w:space="0" w:color="auto"/>
              <w:bottom w:val="single" w:sz="4" w:space="0" w:color="auto"/>
            </w:tcBorders>
            <w:vAlign w:val="bottom"/>
          </w:tcPr>
          <w:p w14:paraId="2DB7BAD1" w14:textId="77777777" w:rsidR="000E5239" w:rsidRPr="000F120F" w:rsidRDefault="000E5239" w:rsidP="00F36942">
            <w:pPr>
              <w:pStyle w:val="Tabletext"/>
              <w:rPr>
                <w:snapToGrid w:val="0"/>
              </w:rPr>
            </w:pPr>
            <w:r w:rsidRPr="00295986">
              <w:t>0</w:t>
            </w:r>
            <w:r w:rsidR="00D7157D">
              <w:t>.</w:t>
            </w:r>
            <w:r w:rsidRPr="00295986">
              <w:t>4747</w:t>
            </w:r>
          </w:p>
        </w:tc>
        <w:tc>
          <w:tcPr>
            <w:tcW w:w="966" w:type="pct"/>
            <w:tcBorders>
              <w:top w:val="single" w:sz="4" w:space="0" w:color="auto"/>
              <w:bottom w:val="single" w:sz="4" w:space="0" w:color="auto"/>
            </w:tcBorders>
            <w:vAlign w:val="bottom"/>
          </w:tcPr>
          <w:p w14:paraId="7C86AC14" w14:textId="77777777" w:rsidR="000E5239" w:rsidRPr="000F120F" w:rsidRDefault="000E5239" w:rsidP="00F36942">
            <w:pPr>
              <w:pStyle w:val="Tabletext"/>
              <w:rPr>
                <w:snapToGrid w:val="0"/>
              </w:rPr>
            </w:pPr>
            <w:r w:rsidRPr="00295986">
              <w:t>16</w:t>
            </w:r>
            <w:r w:rsidR="00D7157D">
              <w:t>.</w:t>
            </w:r>
            <w:r w:rsidRPr="00295986">
              <w:t>3407</w:t>
            </w:r>
          </w:p>
        </w:tc>
        <w:tc>
          <w:tcPr>
            <w:tcW w:w="966" w:type="pct"/>
            <w:tcBorders>
              <w:top w:val="single" w:sz="4" w:space="0" w:color="auto"/>
              <w:bottom w:val="single" w:sz="4" w:space="0" w:color="auto"/>
            </w:tcBorders>
            <w:vAlign w:val="bottom"/>
          </w:tcPr>
          <w:p w14:paraId="55847865" w14:textId="77777777" w:rsidR="000E5239" w:rsidRPr="000F120F" w:rsidRDefault="000E5239" w:rsidP="00F36942">
            <w:pPr>
              <w:pStyle w:val="Tabletext"/>
              <w:rPr>
                <w:snapToGrid w:val="0"/>
              </w:rPr>
            </w:pPr>
            <w:r w:rsidRPr="00295986">
              <w:t>0</w:t>
            </w:r>
            <w:r w:rsidR="00D7157D">
              <w:t>.</w:t>
            </w:r>
            <w:r w:rsidRPr="00295986">
              <w:t>1212</w:t>
            </w:r>
          </w:p>
        </w:tc>
      </w:tr>
      <w:tr w:rsidR="000E5239" w:rsidRPr="009E2595" w14:paraId="248F24B7" w14:textId="77777777" w:rsidTr="00F36942">
        <w:trPr>
          <w:cantSplit/>
        </w:trPr>
        <w:tc>
          <w:tcPr>
            <w:tcW w:w="1136" w:type="pct"/>
            <w:tcBorders>
              <w:top w:val="single" w:sz="4" w:space="0" w:color="auto"/>
              <w:bottom w:val="single" w:sz="4" w:space="0" w:color="auto"/>
            </w:tcBorders>
          </w:tcPr>
          <w:p w14:paraId="1747E052" w14:textId="77777777" w:rsidR="000E5239" w:rsidRPr="00616B26" w:rsidRDefault="000E5239" w:rsidP="00F36942">
            <w:pPr>
              <w:pStyle w:val="Tabletext"/>
              <w:rPr>
                <w:snapToGrid w:val="0"/>
              </w:rPr>
            </w:pPr>
            <w:r w:rsidRPr="00616B26">
              <w:rPr>
                <w:snapToGrid w:val="0"/>
              </w:rPr>
              <w:t>69</w:t>
            </w:r>
          </w:p>
        </w:tc>
        <w:tc>
          <w:tcPr>
            <w:tcW w:w="966" w:type="pct"/>
            <w:tcBorders>
              <w:top w:val="single" w:sz="4" w:space="0" w:color="auto"/>
              <w:bottom w:val="single" w:sz="4" w:space="0" w:color="auto"/>
            </w:tcBorders>
            <w:vAlign w:val="bottom"/>
          </w:tcPr>
          <w:p w14:paraId="3B75606A" w14:textId="77777777" w:rsidR="000E5239" w:rsidRPr="000F120F" w:rsidRDefault="000E5239" w:rsidP="00F36942">
            <w:pPr>
              <w:pStyle w:val="Tabletext"/>
              <w:rPr>
                <w:snapToGrid w:val="0"/>
              </w:rPr>
            </w:pPr>
            <w:r w:rsidRPr="00295986">
              <w:t>14</w:t>
            </w:r>
            <w:r w:rsidR="00D7157D">
              <w:t>.</w:t>
            </w:r>
            <w:r w:rsidRPr="00295986">
              <w:t>6574</w:t>
            </w:r>
          </w:p>
        </w:tc>
        <w:tc>
          <w:tcPr>
            <w:tcW w:w="966" w:type="pct"/>
            <w:tcBorders>
              <w:top w:val="single" w:sz="4" w:space="0" w:color="auto"/>
              <w:bottom w:val="single" w:sz="4" w:space="0" w:color="auto"/>
            </w:tcBorders>
            <w:vAlign w:val="bottom"/>
          </w:tcPr>
          <w:p w14:paraId="210085F2" w14:textId="77777777" w:rsidR="000E5239" w:rsidRPr="000F120F" w:rsidRDefault="000E5239" w:rsidP="00F36942">
            <w:pPr>
              <w:pStyle w:val="Tabletext"/>
              <w:rPr>
                <w:snapToGrid w:val="0"/>
              </w:rPr>
            </w:pPr>
            <w:r w:rsidRPr="00295986">
              <w:t>0</w:t>
            </w:r>
            <w:r w:rsidR="00D7157D">
              <w:t>.</w:t>
            </w:r>
            <w:r w:rsidRPr="00295986">
              <w:t>4822</w:t>
            </w:r>
          </w:p>
        </w:tc>
        <w:tc>
          <w:tcPr>
            <w:tcW w:w="966" w:type="pct"/>
            <w:tcBorders>
              <w:top w:val="single" w:sz="4" w:space="0" w:color="auto"/>
              <w:bottom w:val="single" w:sz="4" w:space="0" w:color="auto"/>
            </w:tcBorders>
            <w:vAlign w:val="bottom"/>
          </w:tcPr>
          <w:p w14:paraId="2C1F5AAD" w14:textId="77777777" w:rsidR="000E5239" w:rsidRPr="000F120F" w:rsidRDefault="000E5239" w:rsidP="00F36942">
            <w:pPr>
              <w:pStyle w:val="Tabletext"/>
              <w:rPr>
                <w:snapToGrid w:val="0"/>
              </w:rPr>
            </w:pPr>
            <w:r w:rsidRPr="00295986">
              <w:t>15</w:t>
            </w:r>
            <w:r w:rsidR="00D7157D">
              <w:t>.</w:t>
            </w:r>
            <w:r w:rsidRPr="00295986">
              <w:t>8358</w:t>
            </w:r>
          </w:p>
        </w:tc>
        <w:tc>
          <w:tcPr>
            <w:tcW w:w="966" w:type="pct"/>
            <w:tcBorders>
              <w:top w:val="single" w:sz="4" w:space="0" w:color="auto"/>
              <w:bottom w:val="single" w:sz="4" w:space="0" w:color="auto"/>
            </w:tcBorders>
            <w:vAlign w:val="bottom"/>
          </w:tcPr>
          <w:p w14:paraId="49E65672" w14:textId="77777777" w:rsidR="000E5239" w:rsidRPr="000F120F" w:rsidRDefault="000E5239" w:rsidP="00F36942">
            <w:pPr>
              <w:pStyle w:val="Tabletext"/>
              <w:rPr>
                <w:snapToGrid w:val="0"/>
              </w:rPr>
            </w:pPr>
            <w:r w:rsidRPr="00295986">
              <w:t>0</w:t>
            </w:r>
            <w:r w:rsidR="00D7157D">
              <w:t>.</w:t>
            </w:r>
            <w:r w:rsidRPr="00295986">
              <w:t>1230</w:t>
            </w:r>
          </w:p>
        </w:tc>
      </w:tr>
      <w:tr w:rsidR="000E5239" w:rsidRPr="009E2595" w14:paraId="121AB1FD" w14:textId="77777777" w:rsidTr="00F36942">
        <w:trPr>
          <w:cantSplit/>
        </w:trPr>
        <w:tc>
          <w:tcPr>
            <w:tcW w:w="1136" w:type="pct"/>
            <w:tcBorders>
              <w:top w:val="single" w:sz="4" w:space="0" w:color="auto"/>
              <w:bottom w:val="single" w:sz="4" w:space="0" w:color="auto"/>
            </w:tcBorders>
          </w:tcPr>
          <w:p w14:paraId="22803708" w14:textId="77777777" w:rsidR="000E5239" w:rsidRPr="00616B26" w:rsidRDefault="000E5239" w:rsidP="00F36942">
            <w:pPr>
              <w:pStyle w:val="Tabletext"/>
              <w:rPr>
                <w:snapToGrid w:val="0"/>
              </w:rPr>
            </w:pPr>
            <w:r w:rsidRPr="00616B26">
              <w:rPr>
                <w:snapToGrid w:val="0"/>
              </w:rPr>
              <w:t>70</w:t>
            </w:r>
          </w:p>
        </w:tc>
        <w:tc>
          <w:tcPr>
            <w:tcW w:w="966" w:type="pct"/>
            <w:tcBorders>
              <w:top w:val="single" w:sz="4" w:space="0" w:color="auto"/>
              <w:bottom w:val="single" w:sz="4" w:space="0" w:color="auto"/>
            </w:tcBorders>
            <w:vAlign w:val="bottom"/>
          </w:tcPr>
          <w:p w14:paraId="2BCBEA60" w14:textId="77777777" w:rsidR="000E5239" w:rsidRPr="000F120F" w:rsidRDefault="000E5239" w:rsidP="00F36942">
            <w:pPr>
              <w:pStyle w:val="Tabletext"/>
              <w:rPr>
                <w:snapToGrid w:val="0"/>
              </w:rPr>
            </w:pPr>
            <w:r w:rsidRPr="00295986">
              <w:t>14</w:t>
            </w:r>
            <w:r w:rsidR="00D7157D">
              <w:t>.</w:t>
            </w:r>
            <w:r w:rsidRPr="00295986">
              <w:t>1339</w:t>
            </w:r>
          </w:p>
        </w:tc>
        <w:tc>
          <w:tcPr>
            <w:tcW w:w="966" w:type="pct"/>
            <w:tcBorders>
              <w:top w:val="single" w:sz="4" w:space="0" w:color="auto"/>
              <w:bottom w:val="single" w:sz="4" w:space="0" w:color="auto"/>
            </w:tcBorders>
            <w:vAlign w:val="bottom"/>
          </w:tcPr>
          <w:p w14:paraId="48EB2EC1" w14:textId="77777777" w:rsidR="000E5239" w:rsidRPr="000F120F" w:rsidRDefault="000E5239" w:rsidP="00F36942">
            <w:pPr>
              <w:pStyle w:val="Tabletext"/>
              <w:rPr>
                <w:snapToGrid w:val="0"/>
              </w:rPr>
            </w:pPr>
            <w:r w:rsidRPr="00295986">
              <w:t>0</w:t>
            </w:r>
            <w:r w:rsidR="00D7157D">
              <w:t>.</w:t>
            </w:r>
            <w:r w:rsidRPr="00295986">
              <w:t>4893</w:t>
            </w:r>
          </w:p>
        </w:tc>
        <w:tc>
          <w:tcPr>
            <w:tcW w:w="966" w:type="pct"/>
            <w:tcBorders>
              <w:top w:val="single" w:sz="4" w:space="0" w:color="auto"/>
              <w:bottom w:val="single" w:sz="4" w:space="0" w:color="auto"/>
            </w:tcBorders>
            <w:vAlign w:val="bottom"/>
          </w:tcPr>
          <w:p w14:paraId="016D7FB4" w14:textId="77777777" w:rsidR="000E5239" w:rsidRPr="000F120F" w:rsidRDefault="000E5239" w:rsidP="00F36942">
            <w:pPr>
              <w:pStyle w:val="Tabletext"/>
              <w:rPr>
                <w:snapToGrid w:val="0"/>
              </w:rPr>
            </w:pPr>
            <w:r w:rsidRPr="00295986">
              <w:t>15</w:t>
            </w:r>
            <w:r w:rsidR="00D7157D">
              <w:t>.</w:t>
            </w:r>
            <w:r w:rsidRPr="00295986">
              <w:t>3215</w:t>
            </w:r>
          </w:p>
        </w:tc>
        <w:tc>
          <w:tcPr>
            <w:tcW w:w="966" w:type="pct"/>
            <w:tcBorders>
              <w:top w:val="single" w:sz="4" w:space="0" w:color="auto"/>
              <w:bottom w:val="single" w:sz="4" w:space="0" w:color="auto"/>
            </w:tcBorders>
            <w:vAlign w:val="bottom"/>
          </w:tcPr>
          <w:p w14:paraId="60C8CAD8" w14:textId="77777777" w:rsidR="000E5239" w:rsidRPr="000F120F" w:rsidRDefault="000E5239" w:rsidP="00F36942">
            <w:pPr>
              <w:pStyle w:val="Tabletext"/>
              <w:rPr>
                <w:snapToGrid w:val="0"/>
              </w:rPr>
            </w:pPr>
            <w:r w:rsidRPr="00295986">
              <w:t>0</w:t>
            </w:r>
            <w:r w:rsidR="00D7157D">
              <w:t>.</w:t>
            </w:r>
            <w:r w:rsidRPr="00295986">
              <w:t>1247</w:t>
            </w:r>
          </w:p>
        </w:tc>
      </w:tr>
      <w:tr w:rsidR="000E5239" w:rsidRPr="009E2595" w14:paraId="4DD8E158" w14:textId="77777777" w:rsidTr="00F36942">
        <w:trPr>
          <w:cantSplit/>
        </w:trPr>
        <w:tc>
          <w:tcPr>
            <w:tcW w:w="1136" w:type="pct"/>
            <w:tcBorders>
              <w:top w:val="single" w:sz="4" w:space="0" w:color="auto"/>
              <w:bottom w:val="single" w:sz="4" w:space="0" w:color="auto"/>
            </w:tcBorders>
          </w:tcPr>
          <w:p w14:paraId="252AFCF8" w14:textId="77777777" w:rsidR="000E5239" w:rsidRPr="00616B26" w:rsidRDefault="000E5239" w:rsidP="00F36942">
            <w:pPr>
              <w:pStyle w:val="Tabletext"/>
              <w:rPr>
                <w:snapToGrid w:val="0"/>
              </w:rPr>
            </w:pPr>
            <w:r w:rsidRPr="00616B26">
              <w:rPr>
                <w:snapToGrid w:val="0"/>
              </w:rPr>
              <w:t>71</w:t>
            </w:r>
          </w:p>
        </w:tc>
        <w:tc>
          <w:tcPr>
            <w:tcW w:w="966" w:type="pct"/>
            <w:tcBorders>
              <w:top w:val="single" w:sz="4" w:space="0" w:color="auto"/>
              <w:bottom w:val="single" w:sz="4" w:space="0" w:color="auto"/>
            </w:tcBorders>
            <w:vAlign w:val="bottom"/>
          </w:tcPr>
          <w:p w14:paraId="7D37898F" w14:textId="77777777" w:rsidR="000E5239" w:rsidRPr="000F120F" w:rsidRDefault="000E5239" w:rsidP="00F36942">
            <w:pPr>
              <w:pStyle w:val="Tabletext"/>
              <w:rPr>
                <w:snapToGrid w:val="0"/>
              </w:rPr>
            </w:pPr>
            <w:r w:rsidRPr="00295986">
              <w:t>13</w:t>
            </w:r>
            <w:r w:rsidR="00D7157D">
              <w:t>.</w:t>
            </w:r>
            <w:r w:rsidRPr="00295986">
              <w:t>6022</w:t>
            </w:r>
          </w:p>
        </w:tc>
        <w:tc>
          <w:tcPr>
            <w:tcW w:w="966" w:type="pct"/>
            <w:tcBorders>
              <w:top w:val="single" w:sz="4" w:space="0" w:color="auto"/>
              <w:bottom w:val="single" w:sz="4" w:space="0" w:color="auto"/>
            </w:tcBorders>
            <w:vAlign w:val="bottom"/>
          </w:tcPr>
          <w:p w14:paraId="56A5407D" w14:textId="77777777" w:rsidR="000E5239" w:rsidRPr="000F120F" w:rsidRDefault="000E5239" w:rsidP="00F36942">
            <w:pPr>
              <w:pStyle w:val="Tabletext"/>
              <w:rPr>
                <w:snapToGrid w:val="0"/>
              </w:rPr>
            </w:pPr>
            <w:r w:rsidRPr="00295986">
              <w:t>0</w:t>
            </w:r>
            <w:r w:rsidR="00D7157D">
              <w:t>.</w:t>
            </w:r>
            <w:r w:rsidRPr="00295986">
              <w:t>4960</w:t>
            </w:r>
          </w:p>
        </w:tc>
        <w:tc>
          <w:tcPr>
            <w:tcW w:w="966" w:type="pct"/>
            <w:tcBorders>
              <w:top w:val="single" w:sz="4" w:space="0" w:color="auto"/>
              <w:bottom w:val="single" w:sz="4" w:space="0" w:color="auto"/>
            </w:tcBorders>
            <w:vAlign w:val="bottom"/>
          </w:tcPr>
          <w:p w14:paraId="1CA7D9E6" w14:textId="77777777" w:rsidR="000E5239" w:rsidRPr="000F120F" w:rsidRDefault="000E5239" w:rsidP="00F36942">
            <w:pPr>
              <w:pStyle w:val="Tabletext"/>
              <w:rPr>
                <w:snapToGrid w:val="0"/>
              </w:rPr>
            </w:pPr>
            <w:r w:rsidRPr="00295986">
              <w:t>14</w:t>
            </w:r>
            <w:r w:rsidR="00D7157D">
              <w:t>.</w:t>
            </w:r>
            <w:r w:rsidRPr="00295986">
              <w:t>7996</w:t>
            </w:r>
          </w:p>
        </w:tc>
        <w:tc>
          <w:tcPr>
            <w:tcW w:w="966" w:type="pct"/>
            <w:tcBorders>
              <w:top w:val="single" w:sz="4" w:space="0" w:color="auto"/>
              <w:bottom w:val="single" w:sz="4" w:space="0" w:color="auto"/>
            </w:tcBorders>
            <w:vAlign w:val="bottom"/>
          </w:tcPr>
          <w:p w14:paraId="6E5F01E7" w14:textId="77777777" w:rsidR="000E5239" w:rsidRPr="000F120F" w:rsidRDefault="000E5239" w:rsidP="00F36942">
            <w:pPr>
              <w:pStyle w:val="Tabletext"/>
              <w:rPr>
                <w:snapToGrid w:val="0"/>
              </w:rPr>
            </w:pPr>
            <w:r w:rsidRPr="00295986">
              <w:t>0</w:t>
            </w:r>
            <w:r w:rsidR="00D7157D">
              <w:t>.</w:t>
            </w:r>
            <w:r w:rsidRPr="00295986">
              <w:t>1262</w:t>
            </w:r>
          </w:p>
        </w:tc>
      </w:tr>
      <w:tr w:rsidR="000E5239" w:rsidRPr="009E2595" w14:paraId="0FF235F1" w14:textId="77777777" w:rsidTr="00F36942">
        <w:trPr>
          <w:cantSplit/>
        </w:trPr>
        <w:tc>
          <w:tcPr>
            <w:tcW w:w="1136" w:type="pct"/>
            <w:tcBorders>
              <w:top w:val="single" w:sz="4" w:space="0" w:color="auto"/>
              <w:bottom w:val="single" w:sz="4" w:space="0" w:color="auto"/>
            </w:tcBorders>
          </w:tcPr>
          <w:p w14:paraId="1449D280" w14:textId="77777777" w:rsidR="000E5239" w:rsidRPr="00616B26" w:rsidRDefault="000E5239" w:rsidP="00F36942">
            <w:pPr>
              <w:pStyle w:val="Tabletext"/>
              <w:rPr>
                <w:snapToGrid w:val="0"/>
              </w:rPr>
            </w:pPr>
            <w:r w:rsidRPr="00616B26">
              <w:rPr>
                <w:snapToGrid w:val="0"/>
              </w:rPr>
              <w:t>72</w:t>
            </w:r>
          </w:p>
        </w:tc>
        <w:tc>
          <w:tcPr>
            <w:tcW w:w="966" w:type="pct"/>
            <w:tcBorders>
              <w:top w:val="single" w:sz="4" w:space="0" w:color="auto"/>
              <w:bottom w:val="single" w:sz="4" w:space="0" w:color="auto"/>
            </w:tcBorders>
            <w:vAlign w:val="bottom"/>
          </w:tcPr>
          <w:p w14:paraId="6F1D30B2" w14:textId="77777777" w:rsidR="000E5239" w:rsidRPr="000F120F" w:rsidRDefault="000E5239" w:rsidP="00F36942">
            <w:pPr>
              <w:pStyle w:val="Tabletext"/>
              <w:rPr>
                <w:snapToGrid w:val="0"/>
              </w:rPr>
            </w:pPr>
            <w:r w:rsidRPr="00295986">
              <w:t>13</w:t>
            </w:r>
            <w:r w:rsidR="00D7157D">
              <w:t>.</w:t>
            </w:r>
            <w:r w:rsidRPr="00295986">
              <w:t>0643</w:t>
            </w:r>
          </w:p>
        </w:tc>
        <w:tc>
          <w:tcPr>
            <w:tcW w:w="966" w:type="pct"/>
            <w:tcBorders>
              <w:top w:val="single" w:sz="4" w:space="0" w:color="auto"/>
              <w:bottom w:val="single" w:sz="4" w:space="0" w:color="auto"/>
            </w:tcBorders>
            <w:vAlign w:val="bottom"/>
          </w:tcPr>
          <w:p w14:paraId="4DE1FF58" w14:textId="77777777" w:rsidR="000E5239" w:rsidRPr="000F120F" w:rsidRDefault="000E5239" w:rsidP="00F36942">
            <w:pPr>
              <w:pStyle w:val="Tabletext"/>
              <w:rPr>
                <w:snapToGrid w:val="0"/>
              </w:rPr>
            </w:pPr>
            <w:r w:rsidRPr="00295986">
              <w:t>0</w:t>
            </w:r>
            <w:r w:rsidR="00D7157D">
              <w:t>.</w:t>
            </w:r>
            <w:r w:rsidRPr="00295986">
              <w:t>5022</w:t>
            </w:r>
          </w:p>
        </w:tc>
        <w:tc>
          <w:tcPr>
            <w:tcW w:w="966" w:type="pct"/>
            <w:tcBorders>
              <w:top w:val="single" w:sz="4" w:space="0" w:color="auto"/>
              <w:bottom w:val="single" w:sz="4" w:space="0" w:color="auto"/>
            </w:tcBorders>
            <w:vAlign w:val="bottom"/>
          </w:tcPr>
          <w:p w14:paraId="720DB559" w14:textId="77777777" w:rsidR="000E5239" w:rsidRPr="000F120F" w:rsidRDefault="000E5239" w:rsidP="00F36942">
            <w:pPr>
              <w:pStyle w:val="Tabletext"/>
              <w:rPr>
                <w:snapToGrid w:val="0"/>
              </w:rPr>
            </w:pPr>
            <w:r w:rsidRPr="00295986">
              <w:t>14</w:t>
            </w:r>
            <w:r w:rsidR="00D7157D">
              <w:t>.</w:t>
            </w:r>
            <w:r w:rsidRPr="00295986">
              <w:t>2713</w:t>
            </w:r>
          </w:p>
        </w:tc>
        <w:tc>
          <w:tcPr>
            <w:tcW w:w="966" w:type="pct"/>
            <w:tcBorders>
              <w:top w:val="single" w:sz="4" w:space="0" w:color="auto"/>
              <w:bottom w:val="single" w:sz="4" w:space="0" w:color="auto"/>
            </w:tcBorders>
            <w:vAlign w:val="bottom"/>
          </w:tcPr>
          <w:p w14:paraId="12F30422" w14:textId="77777777" w:rsidR="000E5239" w:rsidRPr="000F120F" w:rsidRDefault="000E5239" w:rsidP="00F36942">
            <w:pPr>
              <w:pStyle w:val="Tabletext"/>
              <w:rPr>
                <w:snapToGrid w:val="0"/>
              </w:rPr>
            </w:pPr>
            <w:r w:rsidRPr="00295986">
              <w:t>0</w:t>
            </w:r>
            <w:r w:rsidR="00D7157D">
              <w:t>.</w:t>
            </w:r>
            <w:r w:rsidRPr="00295986">
              <w:t>1275</w:t>
            </w:r>
          </w:p>
        </w:tc>
      </w:tr>
      <w:tr w:rsidR="000E5239" w:rsidRPr="009E2595" w14:paraId="30C86FB6" w14:textId="77777777" w:rsidTr="00F36942">
        <w:trPr>
          <w:cantSplit/>
        </w:trPr>
        <w:tc>
          <w:tcPr>
            <w:tcW w:w="1136" w:type="pct"/>
            <w:tcBorders>
              <w:top w:val="single" w:sz="4" w:space="0" w:color="auto"/>
              <w:bottom w:val="single" w:sz="4" w:space="0" w:color="auto"/>
            </w:tcBorders>
          </w:tcPr>
          <w:p w14:paraId="5A0C0AC2" w14:textId="77777777" w:rsidR="000E5239" w:rsidRPr="00616B26" w:rsidRDefault="000E5239" w:rsidP="00F36942">
            <w:pPr>
              <w:pStyle w:val="Tabletext"/>
              <w:rPr>
                <w:snapToGrid w:val="0"/>
              </w:rPr>
            </w:pPr>
            <w:r w:rsidRPr="00616B26">
              <w:rPr>
                <w:snapToGrid w:val="0"/>
              </w:rPr>
              <w:t>73</w:t>
            </w:r>
          </w:p>
        </w:tc>
        <w:tc>
          <w:tcPr>
            <w:tcW w:w="966" w:type="pct"/>
            <w:tcBorders>
              <w:top w:val="single" w:sz="4" w:space="0" w:color="auto"/>
              <w:bottom w:val="single" w:sz="4" w:space="0" w:color="auto"/>
            </w:tcBorders>
            <w:vAlign w:val="bottom"/>
          </w:tcPr>
          <w:p w14:paraId="1B0594C3" w14:textId="77777777" w:rsidR="000E5239" w:rsidRPr="000F120F" w:rsidRDefault="000E5239" w:rsidP="00F36942">
            <w:pPr>
              <w:pStyle w:val="Tabletext"/>
              <w:rPr>
                <w:snapToGrid w:val="0"/>
              </w:rPr>
            </w:pPr>
            <w:r w:rsidRPr="00295986">
              <w:t>12</w:t>
            </w:r>
            <w:r w:rsidR="00D7157D">
              <w:t>.</w:t>
            </w:r>
            <w:r w:rsidRPr="00295986">
              <w:t>5208</w:t>
            </w:r>
          </w:p>
        </w:tc>
        <w:tc>
          <w:tcPr>
            <w:tcW w:w="966" w:type="pct"/>
            <w:tcBorders>
              <w:top w:val="single" w:sz="4" w:space="0" w:color="auto"/>
              <w:bottom w:val="single" w:sz="4" w:space="0" w:color="auto"/>
            </w:tcBorders>
            <w:vAlign w:val="bottom"/>
          </w:tcPr>
          <w:p w14:paraId="4028BFFA" w14:textId="77777777" w:rsidR="000E5239" w:rsidRPr="000F120F" w:rsidRDefault="000E5239" w:rsidP="00F36942">
            <w:pPr>
              <w:pStyle w:val="Tabletext"/>
              <w:rPr>
                <w:snapToGrid w:val="0"/>
              </w:rPr>
            </w:pPr>
            <w:r w:rsidRPr="00295986">
              <w:t>0</w:t>
            </w:r>
            <w:r w:rsidR="00D7157D">
              <w:t>.</w:t>
            </w:r>
            <w:r w:rsidRPr="00295986">
              <w:t>5078</w:t>
            </w:r>
          </w:p>
        </w:tc>
        <w:tc>
          <w:tcPr>
            <w:tcW w:w="966" w:type="pct"/>
            <w:tcBorders>
              <w:top w:val="single" w:sz="4" w:space="0" w:color="auto"/>
              <w:bottom w:val="single" w:sz="4" w:space="0" w:color="auto"/>
            </w:tcBorders>
            <w:vAlign w:val="bottom"/>
          </w:tcPr>
          <w:p w14:paraId="7659AA11" w14:textId="77777777" w:rsidR="000E5239" w:rsidRPr="000F120F" w:rsidRDefault="000E5239" w:rsidP="00F36942">
            <w:pPr>
              <w:pStyle w:val="Tabletext"/>
              <w:rPr>
                <w:snapToGrid w:val="0"/>
              </w:rPr>
            </w:pPr>
            <w:r w:rsidRPr="00295986">
              <w:t>13</w:t>
            </w:r>
            <w:r w:rsidR="00D7157D">
              <w:t>.</w:t>
            </w:r>
            <w:r w:rsidRPr="00295986">
              <w:t>7372</w:t>
            </w:r>
          </w:p>
        </w:tc>
        <w:tc>
          <w:tcPr>
            <w:tcW w:w="966" w:type="pct"/>
            <w:tcBorders>
              <w:top w:val="single" w:sz="4" w:space="0" w:color="auto"/>
              <w:bottom w:val="single" w:sz="4" w:space="0" w:color="auto"/>
            </w:tcBorders>
            <w:vAlign w:val="bottom"/>
          </w:tcPr>
          <w:p w14:paraId="68DE3C9E" w14:textId="77777777" w:rsidR="000E5239" w:rsidRPr="000F120F" w:rsidRDefault="000E5239" w:rsidP="00F36942">
            <w:pPr>
              <w:pStyle w:val="Tabletext"/>
              <w:rPr>
                <w:snapToGrid w:val="0"/>
              </w:rPr>
            </w:pPr>
            <w:r w:rsidRPr="00295986">
              <w:t>0</w:t>
            </w:r>
            <w:r w:rsidR="00D7157D">
              <w:t>.</w:t>
            </w:r>
            <w:r w:rsidRPr="00295986">
              <w:t>1287</w:t>
            </w:r>
          </w:p>
        </w:tc>
      </w:tr>
      <w:tr w:rsidR="000E5239" w:rsidRPr="009E2595" w14:paraId="4082F3E6" w14:textId="77777777" w:rsidTr="00F36942">
        <w:trPr>
          <w:cantSplit/>
        </w:trPr>
        <w:tc>
          <w:tcPr>
            <w:tcW w:w="1136" w:type="pct"/>
            <w:tcBorders>
              <w:top w:val="single" w:sz="4" w:space="0" w:color="auto"/>
              <w:bottom w:val="single" w:sz="4" w:space="0" w:color="auto"/>
            </w:tcBorders>
          </w:tcPr>
          <w:p w14:paraId="14726BB1" w14:textId="77777777" w:rsidR="000E5239" w:rsidRPr="00616B26" w:rsidRDefault="000E5239" w:rsidP="00F36942">
            <w:pPr>
              <w:pStyle w:val="Tabletext"/>
              <w:rPr>
                <w:snapToGrid w:val="0"/>
              </w:rPr>
            </w:pPr>
            <w:r w:rsidRPr="00616B26">
              <w:rPr>
                <w:snapToGrid w:val="0"/>
              </w:rPr>
              <w:t>74</w:t>
            </w:r>
          </w:p>
        </w:tc>
        <w:tc>
          <w:tcPr>
            <w:tcW w:w="966" w:type="pct"/>
            <w:tcBorders>
              <w:top w:val="single" w:sz="4" w:space="0" w:color="auto"/>
              <w:bottom w:val="single" w:sz="4" w:space="0" w:color="auto"/>
            </w:tcBorders>
            <w:vAlign w:val="bottom"/>
          </w:tcPr>
          <w:p w14:paraId="049A1F39" w14:textId="77777777" w:rsidR="000E5239" w:rsidRPr="000F120F" w:rsidRDefault="000E5239" w:rsidP="00F36942">
            <w:pPr>
              <w:pStyle w:val="Tabletext"/>
              <w:rPr>
                <w:snapToGrid w:val="0"/>
              </w:rPr>
            </w:pPr>
            <w:r w:rsidRPr="00295986">
              <w:t>11</w:t>
            </w:r>
            <w:r w:rsidR="00D7157D">
              <w:t>.</w:t>
            </w:r>
            <w:r w:rsidRPr="00295986">
              <w:t>9732</w:t>
            </w:r>
          </w:p>
        </w:tc>
        <w:tc>
          <w:tcPr>
            <w:tcW w:w="966" w:type="pct"/>
            <w:tcBorders>
              <w:top w:val="single" w:sz="4" w:space="0" w:color="auto"/>
              <w:bottom w:val="single" w:sz="4" w:space="0" w:color="auto"/>
            </w:tcBorders>
            <w:vAlign w:val="bottom"/>
          </w:tcPr>
          <w:p w14:paraId="27AC90D8" w14:textId="77777777" w:rsidR="000E5239" w:rsidRPr="000F120F" w:rsidRDefault="000E5239" w:rsidP="00F36942">
            <w:pPr>
              <w:pStyle w:val="Tabletext"/>
              <w:rPr>
                <w:snapToGrid w:val="0"/>
              </w:rPr>
            </w:pPr>
            <w:r w:rsidRPr="00295986">
              <w:t>0</w:t>
            </w:r>
            <w:r w:rsidR="00D7157D">
              <w:t>.</w:t>
            </w:r>
            <w:r w:rsidRPr="00295986">
              <w:t>5127</w:t>
            </w:r>
          </w:p>
        </w:tc>
        <w:tc>
          <w:tcPr>
            <w:tcW w:w="966" w:type="pct"/>
            <w:tcBorders>
              <w:top w:val="single" w:sz="4" w:space="0" w:color="auto"/>
              <w:bottom w:val="single" w:sz="4" w:space="0" w:color="auto"/>
            </w:tcBorders>
            <w:vAlign w:val="bottom"/>
          </w:tcPr>
          <w:p w14:paraId="223D7EB8" w14:textId="77777777" w:rsidR="000E5239" w:rsidRPr="000F120F" w:rsidRDefault="000E5239" w:rsidP="00F36942">
            <w:pPr>
              <w:pStyle w:val="Tabletext"/>
              <w:rPr>
                <w:snapToGrid w:val="0"/>
              </w:rPr>
            </w:pPr>
            <w:r w:rsidRPr="00295986">
              <w:t>13</w:t>
            </w:r>
            <w:r w:rsidR="00D7157D">
              <w:t>.</w:t>
            </w:r>
            <w:r w:rsidRPr="00295986">
              <w:t>1976</w:t>
            </w:r>
          </w:p>
        </w:tc>
        <w:tc>
          <w:tcPr>
            <w:tcW w:w="966" w:type="pct"/>
            <w:tcBorders>
              <w:top w:val="single" w:sz="4" w:space="0" w:color="auto"/>
              <w:bottom w:val="single" w:sz="4" w:space="0" w:color="auto"/>
            </w:tcBorders>
            <w:vAlign w:val="bottom"/>
          </w:tcPr>
          <w:p w14:paraId="2C3320ED" w14:textId="77777777" w:rsidR="000E5239" w:rsidRPr="000F120F" w:rsidRDefault="000E5239" w:rsidP="00F36942">
            <w:pPr>
              <w:pStyle w:val="Tabletext"/>
              <w:rPr>
                <w:snapToGrid w:val="0"/>
              </w:rPr>
            </w:pPr>
            <w:r w:rsidRPr="00295986">
              <w:t>0</w:t>
            </w:r>
            <w:r w:rsidR="00D7157D">
              <w:t>.</w:t>
            </w:r>
            <w:r w:rsidRPr="00295986">
              <w:t>1296</w:t>
            </w:r>
          </w:p>
        </w:tc>
      </w:tr>
      <w:tr w:rsidR="000E5239" w:rsidRPr="009E2595" w14:paraId="2B109031" w14:textId="77777777" w:rsidTr="00F36942">
        <w:trPr>
          <w:cantSplit/>
        </w:trPr>
        <w:tc>
          <w:tcPr>
            <w:tcW w:w="1136" w:type="pct"/>
            <w:tcBorders>
              <w:top w:val="single" w:sz="4" w:space="0" w:color="auto"/>
              <w:bottom w:val="single" w:sz="4" w:space="0" w:color="auto"/>
            </w:tcBorders>
          </w:tcPr>
          <w:p w14:paraId="7AD38330" w14:textId="77777777" w:rsidR="000E5239" w:rsidRPr="00616B26" w:rsidRDefault="000E5239" w:rsidP="00F36942">
            <w:pPr>
              <w:pStyle w:val="Tabletext"/>
              <w:rPr>
                <w:snapToGrid w:val="0"/>
              </w:rPr>
            </w:pPr>
            <w:r w:rsidRPr="00616B26">
              <w:rPr>
                <w:snapToGrid w:val="0"/>
              </w:rPr>
              <w:t>75</w:t>
            </w:r>
          </w:p>
        </w:tc>
        <w:tc>
          <w:tcPr>
            <w:tcW w:w="966" w:type="pct"/>
            <w:tcBorders>
              <w:top w:val="single" w:sz="4" w:space="0" w:color="auto"/>
              <w:bottom w:val="single" w:sz="4" w:space="0" w:color="auto"/>
            </w:tcBorders>
            <w:vAlign w:val="bottom"/>
          </w:tcPr>
          <w:p w14:paraId="1F5CB0F7" w14:textId="77777777" w:rsidR="000E5239" w:rsidRPr="000F120F" w:rsidRDefault="000E5239" w:rsidP="00F36942">
            <w:pPr>
              <w:pStyle w:val="Tabletext"/>
              <w:rPr>
                <w:snapToGrid w:val="0"/>
              </w:rPr>
            </w:pPr>
            <w:r w:rsidRPr="00295986">
              <w:t>11</w:t>
            </w:r>
            <w:r w:rsidR="00D7157D">
              <w:t>.</w:t>
            </w:r>
            <w:r w:rsidRPr="00295986">
              <w:t>4228</w:t>
            </w:r>
          </w:p>
        </w:tc>
        <w:tc>
          <w:tcPr>
            <w:tcW w:w="966" w:type="pct"/>
            <w:tcBorders>
              <w:top w:val="single" w:sz="4" w:space="0" w:color="auto"/>
              <w:bottom w:val="single" w:sz="4" w:space="0" w:color="auto"/>
            </w:tcBorders>
            <w:vAlign w:val="bottom"/>
          </w:tcPr>
          <w:p w14:paraId="41FDB631" w14:textId="77777777" w:rsidR="000E5239" w:rsidRPr="000F120F" w:rsidRDefault="000E5239" w:rsidP="00F36942">
            <w:pPr>
              <w:pStyle w:val="Tabletext"/>
              <w:rPr>
                <w:snapToGrid w:val="0"/>
              </w:rPr>
            </w:pPr>
            <w:r w:rsidRPr="00295986">
              <w:t>0</w:t>
            </w:r>
            <w:r w:rsidR="00D7157D">
              <w:t>.</w:t>
            </w:r>
            <w:r w:rsidRPr="00295986">
              <w:t>5168</w:t>
            </w:r>
          </w:p>
        </w:tc>
        <w:tc>
          <w:tcPr>
            <w:tcW w:w="966" w:type="pct"/>
            <w:tcBorders>
              <w:top w:val="single" w:sz="4" w:space="0" w:color="auto"/>
              <w:bottom w:val="single" w:sz="4" w:space="0" w:color="auto"/>
            </w:tcBorders>
            <w:vAlign w:val="bottom"/>
          </w:tcPr>
          <w:p w14:paraId="3D435410" w14:textId="77777777" w:rsidR="000E5239" w:rsidRPr="000F120F" w:rsidRDefault="000E5239" w:rsidP="00F36942">
            <w:pPr>
              <w:pStyle w:val="Tabletext"/>
              <w:rPr>
                <w:snapToGrid w:val="0"/>
              </w:rPr>
            </w:pPr>
            <w:r w:rsidRPr="00295986">
              <w:t>12</w:t>
            </w:r>
            <w:r w:rsidR="00D7157D">
              <w:t>.</w:t>
            </w:r>
            <w:r w:rsidRPr="00295986">
              <w:t>6518</w:t>
            </w:r>
          </w:p>
        </w:tc>
        <w:tc>
          <w:tcPr>
            <w:tcW w:w="966" w:type="pct"/>
            <w:tcBorders>
              <w:top w:val="single" w:sz="4" w:space="0" w:color="auto"/>
              <w:bottom w:val="single" w:sz="4" w:space="0" w:color="auto"/>
            </w:tcBorders>
            <w:vAlign w:val="bottom"/>
          </w:tcPr>
          <w:p w14:paraId="5AFCB09E" w14:textId="77777777" w:rsidR="000E5239" w:rsidRPr="000F120F" w:rsidRDefault="000E5239" w:rsidP="00F36942">
            <w:pPr>
              <w:pStyle w:val="Tabletext"/>
              <w:rPr>
                <w:snapToGrid w:val="0"/>
              </w:rPr>
            </w:pPr>
            <w:r w:rsidRPr="00295986">
              <w:t>0</w:t>
            </w:r>
            <w:r w:rsidR="00D7157D">
              <w:t>.</w:t>
            </w:r>
            <w:r w:rsidRPr="00295986">
              <w:t>1304</w:t>
            </w:r>
          </w:p>
        </w:tc>
      </w:tr>
      <w:tr w:rsidR="000E5239" w:rsidRPr="009E2595" w14:paraId="69FF30A2" w14:textId="77777777" w:rsidTr="00F36942">
        <w:trPr>
          <w:cantSplit/>
        </w:trPr>
        <w:tc>
          <w:tcPr>
            <w:tcW w:w="1136" w:type="pct"/>
            <w:tcBorders>
              <w:top w:val="single" w:sz="4" w:space="0" w:color="auto"/>
              <w:bottom w:val="single" w:sz="4" w:space="0" w:color="auto"/>
            </w:tcBorders>
          </w:tcPr>
          <w:p w14:paraId="357865C4" w14:textId="77777777" w:rsidR="000E5239" w:rsidRPr="00616B26" w:rsidRDefault="000E5239" w:rsidP="00F36942">
            <w:pPr>
              <w:pStyle w:val="Tabletext"/>
              <w:rPr>
                <w:snapToGrid w:val="0"/>
              </w:rPr>
            </w:pPr>
            <w:r w:rsidRPr="00616B26">
              <w:rPr>
                <w:snapToGrid w:val="0"/>
              </w:rPr>
              <w:t>76</w:t>
            </w:r>
          </w:p>
        </w:tc>
        <w:tc>
          <w:tcPr>
            <w:tcW w:w="966" w:type="pct"/>
            <w:tcBorders>
              <w:top w:val="single" w:sz="4" w:space="0" w:color="auto"/>
              <w:bottom w:val="single" w:sz="4" w:space="0" w:color="auto"/>
            </w:tcBorders>
            <w:vAlign w:val="bottom"/>
          </w:tcPr>
          <w:p w14:paraId="66E4F25B" w14:textId="77777777" w:rsidR="000E5239" w:rsidRPr="000F120F" w:rsidRDefault="000E5239" w:rsidP="00F36942">
            <w:pPr>
              <w:pStyle w:val="Tabletext"/>
              <w:rPr>
                <w:snapToGrid w:val="0"/>
              </w:rPr>
            </w:pPr>
            <w:r w:rsidRPr="00295986">
              <w:t>10</w:t>
            </w:r>
            <w:r w:rsidR="00D7157D">
              <w:t>.</w:t>
            </w:r>
            <w:r w:rsidRPr="00295986">
              <w:t>8709</w:t>
            </w:r>
          </w:p>
        </w:tc>
        <w:tc>
          <w:tcPr>
            <w:tcW w:w="966" w:type="pct"/>
            <w:tcBorders>
              <w:top w:val="single" w:sz="4" w:space="0" w:color="auto"/>
              <w:bottom w:val="single" w:sz="4" w:space="0" w:color="auto"/>
            </w:tcBorders>
            <w:vAlign w:val="bottom"/>
          </w:tcPr>
          <w:p w14:paraId="78328B4F" w14:textId="77777777" w:rsidR="000E5239" w:rsidRPr="000F120F" w:rsidRDefault="000E5239" w:rsidP="00F36942">
            <w:pPr>
              <w:pStyle w:val="Tabletext"/>
              <w:rPr>
                <w:snapToGrid w:val="0"/>
              </w:rPr>
            </w:pPr>
            <w:r w:rsidRPr="00295986">
              <w:t>0</w:t>
            </w:r>
            <w:r w:rsidR="00D7157D">
              <w:t>.</w:t>
            </w:r>
            <w:r w:rsidRPr="00295986">
              <w:t>5199</w:t>
            </w:r>
          </w:p>
        </w:tc>
        <w:tc>
          <w:tcPr>
            <w:tcW w:w="966" w:type="pct"/>
            <w:tcBorders>
              <w:top w:val="single" w:sz="4" w:space="0" w:color="auto"/>
              <w:bottom w:val="single" w:sz="4" w:space="0" w:color="auto"/>
            </w:tcBorders>
            <w:vAlign w:val="bottom"/>
          </w:tcPr>
          <w:p w14:paraId="46175860" w14:textId="77777777" w:rsidR="000E5239" w:rsidRPr="000F120F" w:rsidRDefault="000E5239" w:rsidP="00F36942">
            <w:pPr>
              <w:pStyle w:val="Tabletext"/>
              <w:rPr>
                <w:snapToGrid w:val="0"/>
              </w:rPr>
            </w:pPr>
            <w:r w:rsidRPr="00295986">
              <w:t>12</w:t>
            </w:r>
            <w:r w:rsidR="00D7157D">
              <w:t>.</w:t>
            </w:r>
            <w:r w:rsidRPr="00295986">
              <w:t>0985</w:t>
            </w:r>
          </w:p>
        </w:tc>
        <w:tc>
          <w:tcPr>
            <w:tcW w:w="966" w:type="pct"/>
            <w:tcBorders>
              <w:top w:val="single" w:sz="4" w:space="0" w:color="auto"/>
              <w:bottom w:val="single" w:sz="4" w:space="0" w:color="auto"/>
            </w:tcBorders>
            <w:vAlign w:val="bottom"/>
          </w:tcPr>
          <w:p w14:paraId="08A62C53" w14:textId="77777777" w:rsidR="000E5239" w:rsidRPr="000F120F" w:rsidRDefault="000E5239" w:rsidP="00F36942">
            <w:pPr>
              <w:pStyle w:val="Tabletext"/>
              <w:rPr>
                <w:snapToGrid w:val="0"/>
              </w:rPr>
            </w:pPr>
            <w:r w:rsidRPr="00295986">
              <w:t>0</w:t>
            </w:r>
            <w:r w:rsidR="00D7157D">
              <w:t>.</w:t>
            </w:r>
            <w:r w:rsidRPr="00295986">
              <w:t>1310</w:t>
            </w:r>
          </w:p>
        </w:tc>
      </w:tr>
      <w:tr w:rsidR="000E5239" w:rsidRPr="009E2595" w14:paraId="1BC1BBEC" w14:textId="77777777" w:rsidTr="00F36942">
        <w:trPr>
          <w:cantSplit/>
        </w:trPr>
        <w:tc>
          <w:tcPr>
            <w:tcW w:w="1136" w:type="pct"/>
            <w:tcBorders>
              <w:top w:val="single" w:sz="4" w:space="0" w:color="auto"/>
              <w:bottom w:val="single" w:sz="4" w:space="0" w:color="auto"/>
            </w:tcBorders>
          </w:tcPr>
          <w:p w14:paraId="7DF9B7CD" w14:textId="77777777" w:rsidR="000E5239" w:rsidRPr="00616B26" w:rsidRDefault="000E5239" w:rsidP="00F36942">
            <w:pPr>
              <w:pStyle w:val="Tabletext"/>
              <w:rPr>
                <w:snapToGrid w:val="0"/>
              </w:rPr>
            </w:pPr>
            <w:r w:rsidRPr="00616B26">
              <w:rPr>
                <w:snapToGrid w:val="0"/>
              </w:rPr>
              <w:t>77</w:t>
            </w:r>
          </w:p>
        </w:tc>
        <w:tc>
          <w:tcPr>
            <w:tcW w:w="966" w:type="pct"/>
            <w:tcBorders>
              <w:top w:val="single" w:sz="4" w:space="0" w:color="auto"/>
              <w:bottom w:val="single" w:sz="4" w:space="0" w:color="auto"/>
            </w:tcBorders>
            <w:vAlign w:val="bottom"/>
          </w:tcPr>
          <w:p w14:paraId="700D2476" w14:textId="77777777" w:rsidR="000E5239" w:rsidRPr="000F120F" w:rsidRDefault="000E5239" w:rsidP="00F36942">
            <w:pPr>
              <w:pStyle w:val="Tabletext"/>
              <w:rPr>
                <w:snapToGrid w:val="0"/>
              </w:rPr>
            </w:pPr>
            <w:r w:rsidRPr="00295986">
              <w:t>10</w:t>
            </w:r>
            <w:r w:rsidR="00D7157D">
              <w:t>.</w:t>
            </w:r>
            <w:r w:rsidRPr="00295986">
              <w:t>3191</w:t>
            </w:r>
          </w:p>
        </w:tc>
        <w:tc>
          <w:tcPr>
            <w:tcW w:w="966" w:type="pct"/>
            <w:tcBorders>
              <w:top w:val="single" w:sz="4" w:space="0" w:color="auto"/>
              <w:bottom w:val="single" w:sz="4" w:space="0" w:color="auto"/>
            </w:tcBorders>
            <w:vAlign w:val="bottom"/>
          </w:tcPr>
          <w:p w14:paraId="433CBFC6" w14:textId="77777777" w:rsidR="000E5239" w:rsidRPr="000F120F" w:rsidRDefault="000E5239" w:rsidP="00F36942">
            <w:pPr>
              <w:pStyle w:val="Tabletext"/>
              <w:rPr>
                <w:snapToGrid w:val="0"/>
              </w:rPr>
            </w:pPr>
            <w:r w:rsidRPr="00295986">
              <w:t>0</w:t>
            </w:r>
            <w:r w:rsidR="00D7157D">
              <w:t>.</w:t>
            </w:r>
            <w:r w:rsidRPr="00295986">
              <w:t>5221</w:t>
            </w:r>
          </w:p>
        </w:tc>
        <w:tc>
          <w:tcPr>
            <w:tcW w:w="966" w:type="pct"/>
            <w:tcBorders>
              <w:top w:val="single" w:sz="4" w:space="0" w:color="auto"/>
              <w:bottom w:val="single" w:sz="4" w:space="0" w:color="auto"/>
            </w:tcBorders>
            <w:vAlign w:val="bottom"/>
          </w:tcPr>
          <w:p w14:paraId="0C95E0FB" w14:textId="77777777" w:rsidR="000E5239" w:rsidRPr="000F120F" w:rsidRDefault="000E5239" w:rsidP="00F36942">
            <w:pPr>
              <w:pStyle w:val="Tabletext"/>
              <w:rPr>
                <w:snapToGrid w:val="0"/>
              </w:rPr>
            </w:pPr>
            <w:r w:rsidRPr="00295986">
              <w:t>11</w:t>
            </w:r>
            <w:r w:rsidR="00D7157D">
              <w:t>.</w:t>
            </w:r>
            <w:r w:rsidRPr="00295986">
              <w:t>5401</w:t>
            </w:r>
          </w:p>
        </w:tc>
        <w:tc>
          <w:tcPr>
            <w:tcW w:w="966" w:type="pct"/>
            <w:tcBorders>
              <w:top w:val="single" w:sz="4" w:space="0" w:color="auto"/>
              <w:bottom w:val="single" w:sz="4" w:space="0" w:color="auto"/>
            </w:tcBorders>
            <w:vAlign w:val="bottom"/>
          </w:tcPr>
          <w:p w14:paraId="6CE4ACB0" w14:textId="77777777" w:rsidR="000E5239" w:rsidRPr="000F120F" w:rsidRDefault="000E5239" w:rsidP="00F36942">
            <w:pPr>
              <w:pStyle w:val="Tabletext"/>
              <w:rPr>
                <w:snapToGrid w:val="0"/>
              </w:rPr>
            </w:pPr>
            <w:r w:rsidRPr="00295986">
              <w:t>0</w:t>
            </w:r>
            <w:r w:rsidR="00D7157D">
              <w:t>.</w:t>
            </w:r>
            <w:r w:rsidRPr="00295986">
              <w:t>1315</w:t>
            </w:r>
          </w:p>
        </w:tc>
      </w:tr>
      <w:tr w:rsidR="000E5239" w:rsidRPr="009E2595" w14:paraId="6D24B224" w14:textId="77777777" w:rsidTr="00F36942">
        <w:trPr>
          <w:cantSplit/>
        </w:trPr>
        <w:tc>
          <w:tcPr>
            <w:tcW w:w="1136" w:type="pct"/>
            <w:tcBorders>
              <w:top w:val="single" w:sz="4" w:space="0" w:color="auto"/>
              <w:bottom w:val="single" w:sz="4" w:space="0" w:color="auto"/>
            </w:tcBorders>
          </w:tcPr>
          <w:p w14:paraId="72531A6F" w14:textId="77777777" w:rsidR="000E5239" w:rsidRPr="00616B26" w:rsidRDefault="000E5239" w:rsidP="00F36942">
            <w:pPr>
              <w:pStyle w:val="Tabletext"/>
              <w:rPr>
                <w:snapToGrid w:val="0"/>
              </w:rPr>
            </w:pPr>
            <w:r w:rsidRPr="00616B26">
              <w:rPr>
                <w:snapToGrid w:val="0"/>
              </w:rPr>
              <w:t>78</w:t>
            </w:r>
          </w:p>
        </w:tc>
        <w:tc>
          <w:tcPr>
            <w:tcW w:w="966" w:type="pct"/>
            <w:tcBorders>
              <w:top w:val="single" w:sz="4" w:space="0" w:color="auto"/>
              <w:bottom w:val="single" w:sz="4" w:space="0" w:color="auto"/>
            </w:tcBorders>
            <w:vAlign w:val="bottom"/>
          </w:tcPr>
          <w:p w14:paraId="7929FC06" w14:textId="77777777" w:rsidR="000E5239" w:rsidRPr="000F120F" w:rsidRDefault="000E5239" w:rsidP="00F36942">
            <w:pPr>
              <w:pStyle w:val="Tabletext"/>
              <w:rPr>
                <w:snapToGrid w:val="0"/>
              </w:rPr>
            </w:pPr>
            <w:r w:rsidRPr="00295986">
              <w:t>9</w:t>
            </w:r>
            <w:r w:rsidR="00D7157D">
              <w:t>.</w:t>
            </w:r>
            <w:r w:rsidRPr="00295986">
              <w:t>7690</w:t>
            </w:r>
          </w:p>
        </w:tc>
        <w:tc>
          <w:tcPr>
            <w:tcW w:w="966" w:type="pct"/>
            <w:tcBorders>
              <w:top w:val="single" w:sz="4" w:space="0" w:color="auto"/>
              <w:bottom w:val="single" w:sz="4" w:space="0" w:color="auto"/>
            </w:tcBorders>
            <w:vAlign w:val="bottom"/>
          </w:tcPr>
          <w:p w14:paraId="5AB65B01" w14:textId="77777777" w:rsidR="000E5239" w:rsidRPr="000F120F" w:rsidRDefault="000E5239" w:rsidP="00F36942">
            <w:pPr>
              <w:pStyle w:val="Tabletext"/>
              <w:rPr>
                <w:snapToGrid w:val="0"/>
              </w:rPr>
            </w:pPr>
            <w:r w:rsidRPr="00295986">
              <w:t>0</w:t>
            </w:r>
            <w:r w:rsidR="00D7157D">
              <w:t>.</w:t>
            </w:r>
            <w:r w:rsidRPr="00295986">
              <w:t>5231</w:t>
            </w:r>
          </w:p>
        </w:tc>
        <w:tc>
          <w:tcPr>
            <w:tcW w:w="966" w:type="pct"/>
            <w:tcBorders>
              <w:top w:val="single" w:sz="4" w:space="0" w:color="auto"/>
              <w:bottom w:val="single" w:sz="4" w:space="0" w:color="auto"/>
            </w:tcBorders>
            <w:vAlign w:val="bottom"/>
          </w:tcPr>
          <w:p w14:paraId="20CE13B3" w14:textId="77777777" w:rsidR="000E5239" w:rsidRPr="000F120F" w:rsidRDefault="000E5239" w:rsidP="00F36942">
            <w:pPr>
              <w:pStyle w:val="Tabletext"/>
              <w:rPr>
                <w:snapToGrid w:val="0"/>
              </w:rPr>
            </w:pPr>
            <w:r w:rsidRPr="00295986">
              <w:t>10</w:t>
            </w:r>
            <w:r w:rsidR="00D7157D">
              <w:t>.</w:t>
            </w:r>
            <w:r w:rsidRPr="00295986">
              <w:t>9791</w:t>
            </w:r>
          </w:p>
        </w:tc>
        <w:tc>
          <w:tcPr>
            <w:tcW w:w="966" w:type="pct"/>
            <w:tcBorders>
              <w:top w:val="single" w:sz="4" w:space="0" w:color="auto"/>
              <w:bottom w:val="single" w:sz="4" w:space="0" w:color="auto"/>
            </w:tcBorders>
            <w:vAlign w:val="bottom"/>
          </w:tcPr>
          <w:p w14:paraId="1CD687CE" w14:textId="77777777" w:rsidR="000E5239" w:rsidRPr="000F120F" w:rsidRDefault="000E5239" w:rsidP="00F36942">
            <w:pPr>
              <w:pStyle w:val="Tabletext"/>
              <w:rPr>
                <w:snapToGrid w:val="0"/>
              </w:rPr>
            </w:pPr>
            <w:r w:rsidRPr="00295986">
              <w:t>0</w:t>
            </w:r>
            <w:r w:rsidR="00D7157D">
              <w:t>.</w:t>
            </w:r>
            <w:r w:rsidRPr="00295986">
              <w:t>1318</w:t>
            </w:r>
          </w:p>
        </w:tc>
      </w:tr>
      <w:tr w:rsidR="000E5239" w:rsidRPr="009E2595" w14:paraId="37500FFF" w14:textId="77777777" w:rsidTr="00F36942">
        <w:trPr>
          <w:cantSplit/>
        </w:trPr>
        <w:tc>
          <w:tcPr>
            <w:tcW w:w="1136" w:type="pct"/>
            <w:tcBorders>
              <w:top w:val="single" w:sz="4" w:space="0" w:color="auto"/>
              <w:bottom w:val="single" w:sz="4" w:space="0" w:color="auto"/>
            </w:tcBorders>
          </w:tcPr>
          <w:p w14:paraId="33D2F3C8" w14:textId="77777777" w:rsidR="000E5239" w:rsidRPr="00616B26" w:rsidRDefault="000E5239" w:rsidP="00F36942">
            <w:pPr>
              <w:pStyle w:val="Tabletext"/>
              <w:rPr>
                <w:snapToGrid w:val="0"/>
              </w:rPr>
            </w:pPr>
            <w:r w:rsidRPr="00616B26">
              <w:rPr>
                <w:snapToGrid w:val="0"/>
              </w:rPr>
              <w:t>79</w:t>
            </w:r>
          </w:p>
        </w:tc>
        <w:tc>
          <w:tcPr>
            <w:tcW w:w="966" w:type="pct"/>
            <w:tcBorders>
              <w:top w:val="single" w:sz="4" w:space="0" w:color="auto"/>
              <w:bottom w:val="single" w:sz="4" w:space="0" w:color="auto"/>
            </w:tcBorders>
            <w:vAlign w:val="bottom"/>
          </w:tcPr>
          <w:p w14:paraId="3EDF1E4B" w14:textId="77777777" w:rsidR="000E5239" w:rsidRPr="000F120F" w:rsidRDefault="000E5239" w:rsidP="00F36942">
            <w:pPr>
              <w:pStyle w:val="Tabletext"/>
              <w:rPr>
                <w:snapToGrid w:val="0"/>
              </w:rPr>
            </w:pPr>
            <w:r w:rsidRPr="00295986">
              <w:t>9</w:t>
            </w:r>
            <w:r w:rsidR="00D7157D">
              <w:t>.</w:t>
            </w:r>
            <w:r w:rsidRPr="00295986">
              <w:t>2251</w:t>
            </w:r>
          </w:p>
        </w:tc>
        <w:tc>
          <w:tcPr>
            <w:tcW w:w="966" w:type="pct"/>
            <w:tcBorders>
              <w:top w:val="single" w:sz="4" w:space="0" w:color="auto"/>
              <w:bottom w:val="single" w:sz="4" w:space="0" w:color="auto"/>
            </w:tcBorders>
            <w:vAlign w:val="bottom"/>
          </w:tcPr>
          <w:p w14:paraId="1099E689" w14:textId="77777777" w:rsidR="000E5239" w:rsidRPr="000F120F" w:rsidRDefault="000E5239" w:rsidP="00F36942">
            <w:pPr>
              <w:pStyle w:val="Tabletext"/>
              <w:rPr>
                <w:snapToGrid w:val="0"/>
              </w:rPr>
            </w:pPr>
            <w:r w:rsidRPr="00295986">
              <w:t>0</w:t>
            </w:r>
            <w:r w:rsidR="00D7157D">
              <w:t>.</w:t>
            </w:r>
            <w:r w:rsidRPr="00295986">
              <w:t>5227</w:t>
            </w:r>
          </w:p>
        </w:tc>
        <w:tc>
          <w:tcPr>
            <w:tcW w:w="966" w:type="pct"/>
            <w:tcBorders>
              <w:top w:val="single" w:sz="4" w:space="0" w:color="auto"/>
              <w:bottom w:val="single" w:sz="4" w:space="0" w:color="auto"/>
            </w:tcBorders>
            <w:vAlign w:val="bottom"/>
          </w:tcPr>
          <w:p w14:paraId="7B2DCD96" w14:textId="77777777" w:rsidR="000E5239" w:rsidRPr="000F120F" w:rsidRDefault="000E5239" w:rsidP="00F36942">
            <w:pPr>
              <w:pStyle w:val="Tabletext"/>
              <w:rPr>
                <w:snapToGrid w:val="0"/>
              </w:rPr>
            </w:pPr>
            <w:r w:rsidRPr="00295986">
              <w:t>10</w:t>
            </w:r>
            <w:r w:rsidR="00D7157D">
              <w:t>.</w:t>
            </w:r>
            <w:r w:rsidRPr="00295986">
              <w:t>4191</w:t>
            </w:r>
          </w:p>
        </w:tc>
        <w:tc>
          <w:tcPr>
            <w:tcW w:w="966" w:type="pct"/>
            <w:tcBorders>
              <w:top w:val="single" w:sz="4" w:space="0" w:color="auto"/>
              <w:bottom w:val="single" w:sz="4" w:space="0" w:color="auto"/>
            </w:tcBorders>
            <w:vAlign w:val="bottom"/>
          </w:tcPr>
          <w:p w14:paraId="2735000F" w14:textId="77777777" w:rsidR="000E5239" w:rsidRPr="000F120F" w:rsidRDefault="000E5239" w:rsidP="00F36942">
            <w:pPr>
              <w:pStyle w:val="Tabletext"/>
              <w:rPr>
                <w:snapToGrid w:val="0"/>
              </w:rPr>
            </w:pPr>
            <w:r w:rsidRPr="00295986">
              <w:t>0</w:t>
            </w:r>
            <w:r w:rsidR="00D7157D">
              <w:t>.</w:t>
            </w:r>
            <w:r w:rsidRPr="00295986">
              <w:t>1318</w:t>
            </w:r>
          </w:p>
        </w:tc>
      </w:tr>
      <w:tr w:rsidR="000E5239" w:rsidRPr="009E2595" w14:paraId="24968D52" w14:textId="77777777" w:rsidTr="00F36942">
        <w:trPr>
          <w:cantSplit/>
        </w:trPr>
        <w:tc>
          <w:tcPr>
            <w:tcW w:w="1136" w:type="pct"/>
            <w:tcBorders>
              <w:top w:val="single" w:sz="4" w:space="0" w:color="auto"/>
              <w:bottom w:val="single" w:sz="4" w:space="0" w:color="auto"/>
            </w:tcBorders>
          </w:tcPr>
          <w:p w14:paraId="15828D98" w14:textId="77777777" w:rsidR="000E5239" w:rsidRPr="00616B26" w:rsidRDefault="000E5239" w:rsidP="00F36942">
            <w:pPr>
              <w:pStyle w:val="Tabletext"/>
              <w:rPr>
                <w:snapToGrid w:val="0"/>
              </w:rPr>
            </w:pPr>
            <w:r w:rsidRPr="00616B26">
              <w:rPr>
                <w:snapToGrid w:val="0"/>
              </w:rPr>
              <w:t>80</w:t>
            </w:r>
          </w:p>
        </w:tc>
        <w:tc>
          <w:tcPr>
            <w:tcW w:w="966" w:type="pct"/>
            <w:tcBorders>
              <w:top w:val="single" w:sz="4" w:space="0" w:color="auto"/>
              <w:bottom w:val="single" w:sz="4" w:space="0" w:color="auto"/>
            </w:tcBorders>
            <w:vAlign w:val="bottom"/>
          </w:tcPr>
          <w:p w14:paraId="4C7EBF88" w14:textId="77777777" w:rsidR="000E5239" w:rsidRPr="000F120F" w:rsidRDefault="000E5239" w:rsidP="00F36942">
            <w:pPr>
              <w:pStyle w:val="Tabletext"/>
              <w:rPr>
                <w:snapToGrid w:val="0"/>
              </w:rPr>
            </w:pPr>
            <w:r w:rsidRPr="00295986">
              <w:t>8</w:t>
            </w:r>
            <w:r w:rsidR="00D7157D">
              <w:t>.</w:t>
            </w:r>
            <w:r w:rsidRPr="00295986">
              <w:t>6901</w:t>
            </w:r>
          </w:p>
        </w:tc>
        <w:tc>
          <w:tcPr>
            <w:tcW w:w="966" w:type="pct"/>
            <w:tcBorders>
              <w:top w:val="single" w:sz="4" w:space="0" w:color="auto"/>
              <w:bottom w:val="single" w:sz="4" w:space="0" w:color="auto"/>
            </w:tcBorders>
            <w:vAlign w:val="bottom"/>
          </w:tcPr>
          <w:p w14:paraId="3586B0E7" w14:textId="77777777" w:rsidR="000E5239" w:rsidRPr="000F120F" w:rsidRDefault="000E5239" w:rsidP="00F36942">
            <w:pPr>
              <w:pStyle w:val="Tabletext"/>
              <w:rPr>
                <w:snapToGrid w:val="0"/>
              </w:rPr>
            </w:pPr>
            <w:r w:rsidRPr="00295986">
              <w:t>0</w:t>
            </w:r>
            <w:r w:rsidR="00D7157D">
              <w:t>.</w:t>
            </w:r>
            <w:r w:rsidRPr="00295986">
              <w:t>5208</w:t>
            </w:r>
          </w:p>
        </w:tc>
        <w:tc>
          <w:tcPr>
            <w:tcW w:w="966" w:type="pct"/>
            <w:tcBorders>
              <w:top w:val="single" w:sz="4" w:space="0" w:color="auto"/>
              <w:bottom w:val="single" w:sz="4" w:space="0" w:color="auto"/>
            </w:tcBorders>
            <w:vAlign w:val="bottom"/>
          </w:tcPr>
          <w:p w14:paraId="0B3D685C" w14:textId="77777777" w:rsidR="000E5239" w:rsidRPr="000F120F" w:rsidRDefault="000E5239" w:rsidP="00F36942">
            <w:pPr>
              <w:pStyle w:val="Tabletext"/>
              <w:rPr>
                <w:snapToGrid w:val="0"/>
              </w:rPr>
            </w:pPr>
            <w:r w:rsidRPr="00295986">
              <w:t>9</w:t>
            </w:r>
            <w:r w:rsidR="00D7157D">
              <w:t>.</w:t>
            </w:r>
            <w:r w:rsidRPr="00295986">
              <w:t>8626</w:t>
            </w:r>
          </w:p>
        </w:tc>
        <w:tc>
          <w:tcPr>
            <w:tcW w:w="966" w:type="pct"/>
            <w:tcBorders>
              <w:top w:val="single" w:sz="4" w:space="0" w:color="auto"/>
              <w:bottom w:val="single" w:sz="4" w:space="0" w:color="auto"/>
            </w:tcBorders>
            <w:vAlign w:val="bottom"/>
          </w:tcPr>
          <w:p w14:paraId="4DD94E1D" w14:textId="77777777" w:rsidR="000E5239" w:rsidRPr="000F120F" w:rsidRDefault="000E5239" w:rsidP="00F36942">
            <w:pPr>
              <w:pStyle w:val="Tabletext"/>
              <w:rPr>
                <w:snapToGrid w:val="0"/>
              </w:rPr>
            </w:pPr>
            <w:r w:rsidRPr="00295986">
              <w:t>0</w:t>
            </w:r>
            <w:r w:rsidR="00D7157D">
              <w:t>.</w:t>
            </w:r>
            <w:r w:rsidRPr="00295986">
              <w:t>1315</w:t>
            </w:r>
          </w:p>
        </w:tc>
      </w:tr>
      <w:tr w:rsidR="000E5239" w:rsidRPr="009E2595" w14:paraId="228DE3D1" w14:textId="77777777" w:rsidTr="00F36942">
        <w:trPr>
          <w:cantSplit/>
        </w:trPr>
        <w:tc>
          <w:tcPr>
            <w:tcW w:w="1136" w:type="pct"/>
            <w:tcBorders>
              <w:top w:val="single" w:sz="4" w:space="0" w:color="auto"/>
              <w:bottom w:val="single" w:sz="4" w:space="0" w:color="auto"/>
            </w:tcBorders>
          </w:tcPr>
          <w:p w14:paraId="3EB85403" w14:textId="77777777" w:rsidR="000E5239" w:rsidRPr="00616B26" w:rsidRDefault="000E5239" w:rsidP="00F36942">
            <w:pPr>
              <w:pStyle w:val="Tabletext"/>
              <w:rPr>
                <w:snapToGrid w:val="0"/>
              </w:rPr>
            </w:pPr>
            <w:r w:rsidRPr="00616B26">
              <w:rPr>
                <w:snapToGrid w:val="0"/>
              </w:rPr>
              <w:t>81</w:t>
            </w:r>
          </w:p>
        </w:tc>
        <w:tc>
          <w:tcPr>
            <w:tcW w:w="966" w:type="pct"/>
            <w:tcBorders>
              <w:top w:val="single" w:sz="4" w:space="0" w:color="auto"/>
              <w:bottom w:val="single" w:sz="4" w:space="0" w:color="auto"/>
            </w:tcBorders>
            <w:vAlign w:val="bottom"/>
          </w:tcPr>
          <w:p w14:paraId="407BCD08" w14:textId="77777777" w:rsidR="000E5239" w:rsidRPr="000F120F" w:rsidRDefault="000E5239" w:rsidP="00F36942">
            <w:pPr>
              <w:pStyle w:val="Tabletext"/>
              <w:rPr>
                <w:snapToGrid w:val="0"/>
              </w:rPr>
            </w:pPr>
            <w:r w:rsidRPr="00295986">
              <w:t>8</w:t>
            </w:r>
            <w:r w:rsidR="00D7157D">
              <w:t>.</w:t>
            </w:r>
            <w:r w:rsidRPr="00295986">
              <w:t>1671</w:t>
            </w:r>
          </w:p>
        </w:tc>
        <w:tc>
          <w:tcPr>
            <w:tcW w:w="966" w:type="pct"/>
            <w:tcBorders>
              <w:top w:val="single" w:sz="4" w:space="0" w:color="auto"/>
              <w:bottom w:val="single" w:sz="4" w:space="0" w:color="auto"/>
            </w:tcBorders>
            <w:vAlign w:val="bottom"/>
          </w:tcPr>
          <w:p w14:paraId="687592DB" w14:textId="77777777" w:rsidR="000E5239" w:rsidRPr="000F120F" w:rsidRDefault="000E5239" w:rsidP="00F36942">
            <w:pPr>
              <w:pStyle w:val="Tabletext"/>
              <w:rPr>
                <w:snapToGrid w:val="0"/>
              </w:rPr>
            </w:pPr>
            <w:r w:rsidRPr="00295986">
              <w:t>0</w:t>
            </w:r>
            <w:r w:rsidR="00D7157D">
              <w:t>.</w:t>
            </w:r>
            <w:r w:rsidRPr="00295986">
              <w:t>5172</w:t>
            </w:r>
          </w:p>
        </w:tc>
        <w:tc>
          <w:tcPr>
            <w:tcW w:w="966" w:type="pct"/>
            <w:tcBorders>
              <w:top w:val="single" w:sz="4" w:space="0" w:color="auto"/>
              <w:bottom w:val="single" w:sz="4" w:space="0" w:color="auto"/>
            </w:tcBorders>
            <w:vAlign w:val="bottom"/>
          </w:tcPr>
          <w:p w14:paraId="018FCB6E" w14:textId="77777777" w:rsidR="000E5239" w:rsidRPr="000F120F" w:rsidRDefault="000E5239" w:rsidP="00F36942">
            <w:pPr>
              <w:pStyle w:val="Tabletext"/>
              <w:rPr>
                <w:snapToGrid w:val="0"/>
              </w:rPr>
            </w:pPr>
            <w:r w:rsidRPr="00295986">
              <w:t>9</w:t>
            </w:r>
            <w:r w:rsidR="00D7157D">
              <w:t>.</w:t>
            </w:r>
            <w:r w:rsidRPr="00295986">
              <w:t>3127</w:t>
            </w:r>
          </w:p>
        </w:tc>
        <w:tc>
          <w:tcPr>
            <w:tcW w:w="966" w:type="pct"/>
            <w:tcBorders>
              <w:top w:val="single" w:sz="4" w:space="0" w:color="auto"/>
              <w:bottom w:val="single" w:sz="4" w:space="0" w:color="auto"/>
            </w:tcBorders>
            <w:vAlign w:val="bottom"/>
          </w:tcPr>
          <w:p w14:paraId="047BF5B5" w14:textId="77777777" w:rsidR="000E5239" w:rsidRPr="000F120F" w:rsidRDefault="000E5239" w:rsidP="00F36942">
            <w:pPr>
              <w:pStyle w:val="Tabletext"/>
              <w:rPr>
                <w:snapToGrid w:val="0"/>
              </w:rPr>
            </w:pPr>
            <w:r w:rsidRPr="00295986">
              <w:t>0</w:t>
            </w:r>
            <w:r w:rsidR="00D7157D">
              <w:t>.</w:t>
            </w:r>
            <w:r w:rsidRPr="00295986">
              <w:t>1309</w:t>
            </w:r>
          </w:p>
        </w:tc>
      </w:tr>
      <w:tr w:rsidR="000E5239" w:rsidRPr="009E2595" w14:paraId="54D28BCF" w14:textId="77777777" w:rsidTr="00F36942">
        <w:trPr>
          <w:cantSplit/>
        </w:trPr>
        <w:tc>
          <w:tcPr>
            <w:tcW w:w="1136" w:type="pct"/>
            <w:tcBorders>
              <w:top w:val="single" w:sz="4" w:space="0" w:color="auto"/>
              <w:bottom w:val="single" w:sz="4" w:space="0" w:color="auto"/>
            </w:tcBorders>
          </w:tcPr>
          <w:p w14:paraId="38699DB4" w14:textId="77777777" w:rsidR="000E5239" w:rsidRPr="00616B26" w:rsidRDefault="000E5239" w:rsidP="00F36942">
            <w:pPr>
              <w:pStyle w:val="Tabletext"/>
              <w:rPr>
                <w:snapToGrid w:val="0"/>
              </w:rPr>
            </w:pPr>
            <w:r w:rsidRPr="00616B26">
              <w:rPr>
                <w:snapToGrid w:val="0"/>
              </w:rPr>
              <w:t>82</w:t>
            </w:r>
          </w:p>
        </w:tc>
        <w:tc>
          <w:tcPr>
            <w:tcW w:w="966" w:type="pct"/>
            <w:tcBorders>
              <w:top w:val="single" w:sz="4" w:space="0" w:color="auto"/>
              <w:bottom w:val="single" w:sz="4" w:space="0" w:color="auto"/>
            </w:tcBorders>
            <w:vAlign w:val="bottom"/>
          </w:tcPr>
          <w:p w14:paraId="46D3D599" w14:textId="77777777" w:rsidR="000E5239" w:rsidRPr="000F120F" w:rsidRDefault="000E5239" w:rsidP="00F36942">
            <w:pPr>
              <w:pStyle w:val="Tabletext"/>
              <w:rPr>
                <w:snapToGrid w:val="0"/>
              </w:rPr>
            </w:pPr>
            <w:r w:rsidRPr="00295986">
              <w:t>7</w:t>
            </w:r>
            <w:r w:rsidR="00D7157D">
              <w:t>.</w:t>
            </w:r>
            <w:r w:rsidRPr="00295986">
              <w:t>6637</w:t>
            </w:r>
          </w:p>
        </w:tc>
        <w:tc>
          <w:tcPr>
            <w:tcW w:w="966" w:type="pct"/>
            <w:tcBorders>
              <w:top w:val="single" w:sz="4" w:space="0" w:color="auto"/>
              <w:bottom w:val="single" w:sz="4" w:space="0" w:color="auto"/>
            </w:tcBorders>
            <w:vAlign w:val="bottom"/>
          </w:tcPr>
          <w:p w14:paraId="47B63097" w14:textId="77777777" w:rsidR="000E5239" w:rsidRPr="000F120F" w:rsidRDefault="000E5239" w:rsidP="00F36942">
            <w:pPr>
              <w:pStyle w:val="Tabletext"/>
              <w:rPr>
                <w:snapToGrid w:val="0"/>
              </w:rPr>
            </w:pPr>
            <w:r w:rsidRPr="00295986">
              <w:t>0</w:t>
            </w:r>
            <w:r w:rsidR="00D7157D">
              <w:t>.</w:t>
            </w:r>
            <w:r w:rsidRPr="00295986">
              <w:t>5115</w:t>
            </w:r>
          </w:p>
        </w:tc>
        <w:tc>
          <w:tcPr>
            <w:tcW w:w="966" w:type="pct"/>
            <w:tcBorders>
              <w:top w:val="single" w:sz="4" w:space="0" w:color="auto"/>
              <w:bottom w:val="single" w:sz="4" w:space="0" w:color="auto"/>
            </w:tcBorders>
            <w:vAlign w:val="bottom"/>
          </w:tcPr>
          <w:p w14:paraId="3372DAD0" w14:textId="77777777" w:rsidR="000E5239" w:rsidRPr="000F120F" w:rsidRDefault="000E5239" w:rsidP="00F36942">
            <w:pPr>
              <w:pStyle w:val="Tabletext"/>
              <w:rPr>
                <w:snapToGrid w:val="0"/>
              </w:rPr>
            </w:pPr>
            <w:r w:rsidRPr="00295986">
              <w:t>8</w:t>
            </w:r>
            <w:r w:rsidR="00D7157D">
              <w:t>.</w:t>
            </w:r>
            <w:r w:rsidRPr="00295986">
              <w:t>7751</w:t>
            </w:r>
          </w:p>
        </w:tc>
        <w:tc>
          <w:tcPr>
            <w:tcW w:w="966" w:type="pct"/>
            <w:tcBorders>
              <w:top w:val="single" w:sz="4" w:space="0" w:color="auto"/>
              <w:bottom w:val="single" w:sz="4" w:space="0" w:color="auto"/>
            </w:tcBorders>
            <w:vAlign w:val="bottom"/>
          </w:tcPr>
          <w:p w14:paraId="58411BC0" w14:textId="77777777" w:rsidR="000E5239" w:rsidRPr="000F120F" w:rsidRDefault="000E5239" w:rsidP="00F36942">
            <w:pPr>
              <w:pStyle w:val="Tabletext"/>
              <w:rPr>
                <w:snapToGrid w:val="0"/>
              </w:rPr>
            </w:pPr>
            <w:r w:rsidRPr="00295986">
              <w:t>0</w:t>
            </w:r>
            <w:r w:rsidR="00D7157D">
              <w:t>.</w:t>
            </w:r>
            <w:r w:rsidRPr="00295986">
              <w:t>1299</w:t>
            </w:r>
          </w:p>
        </w:tc>
      </w:tr>
      <w:tr w:rsidR="000E5239" w:rsidRPr="009E2595" w14:paraId="384A413B" w14:textId="77777777" w:rsidTr="00F36942">
        <w:trPr>
          <w:cantSplit/>
        </w:trPr>
        <w:tc>
          <w:tcPr>
            <w:tcW w:w="1136" w:type="pct"/>
            <w:tcBorders>
              <w:top w:val="single" w:sz="4" w:space="0" w:color="auto"/>
              <w:bottom w:val="single" w:sz="4" w:space="0" w:color="auto"/>
            </w:tcBorders>
          </w:tcPr>
          <w:p w14:paraId="2C4A7617" w14:textId="77777777" w:rsidR="000E5239" w:rsidRPr="00616B26" w:rsidRDefault="000E5239" w:rsidP="00F36942">
            <w:pPr>
              <w:pStyle w:val="Tabletext"/>
              <w:rPr>
                <w:snapToGrid w:val="0"/>
              </w:rPr>
            </w:pPr>
            <w:r w:rsidRPr="00616B26">
              <w:rPr>
                <w:snapToGrid w:val="0"/>
              </w:rPr>
              <w:t>83</w:t>
            </w:r>
          </w:p>
        </w:tc>
        <w:tc>
          <w:tcPr>
            <w:tcW w:w="966" w:type="pct"/>
            <w:tcBorders>
              <w:top w:val="single" w:sz="4" w:space="0" w:color="auto"/>
              <w:bottom w:val="single" w:sz="4" w:space="0" w:color="auto"/>
            </w:tcBorders>
            <w:vAlign w:val="bottom"/>
          </w:tcPr>
          <w:p w14:paraId="3FA12DCB" w14:textId="77777777" w:rsidR="000E5239" w:rsidRPr="000F120F" w:rsidRDefault="000E5239" w:rsidP="00F36942">
            <w:pPr>
              <w:pStyle w:val="Tabletext"/>
              <w:rPr>
                <w:snapToGrid w:val="0"/>
              </w:rPr>
            </w:pPr>
            <w:r w:rsidRPr="00295986">
              <w:t>7</w:t>
            </w:r>
            <w:r w:rsidR="00D7157D">
              <w:t>.</w:t>
            </w:r>
            <w:r w:rsidRPr="00295986">
              <w:t>1763</w:t>
            </w:r>
          </w:p>
        </w:tc>
        <w:tc>
          <w:tcPr>
            <w:tcW w:w="966" w:type="pct"/>
            <w:tcBorders>
              <w:top w:val="single" w:sz="4" w:space="0" w:color="auto"/>
              <w:bottom w:val="single" w:sz="4" w:space="0" w:color="auto"/>
            </w:tcBorders>
            <w:vAlign w:val="bottom"/>
          </w:tcPr>
          <w:p w14:paraId="25668BA1" w14:textId="77777777" w:rsidR="000E5239" w:rsidRPr="000F120F" w:rsidRDefault="000E5239" w:rsidP="00F36942">
            <w:pPr>
              <w:pStyle w:val="Tabletext"/>
              <w:rPr>
                <w:snapToGrid w:val="0"/>
              </w:rPr>
            </w:pPr>
            <w:r w:rsidRPr="00295986">
              <w:t>0</w:t>
            </w:r>
            <w:r w:rsidR="00D7157D">
              <w:t>.</w:t>
            </w:r>
            <w:r w:rsidRPr="00295986">
              <w:t>5041</w:t>
            </w:r>
          </w:p>
        </w:tc>
        <w:tc>
          <w:tcPr>
            <w:tcW w:w="966" w:type="pct"/>
            <w:tcBorders>
              <w:top w:val="single" w:sz="4" w:space="0" w:color="auto"/>
              <w:bottom w:val="single" w:sz="4" w:space="0" w:color="auto"/>
            </w:tcBorders>
            <w:vAlign w:val="bottom"/>
          </w:tcPr>
          <w:p w14:paraId="6A0772E2" w14:textId="77777777" w:rsidR="000E5239" w:rsidRPr="000F120F" w:rsidRDefault="000E5239" w:rsidP="00F36942">
            <w:pPr>
              <w:pStyle w:val="Tabletext"/>
              <w:rPr>
                <w:snapToGrid w:val="0"/>
              </w:rPr>
            </w:pPr>
            <w:r w:rsidRPr="00295986">
              <w:t>8</w:t>
            </w:r>
            <w:r w:rsidR="00D7157D">
              <w:t>.</w:t>
            </w:r>
            <w:r w:rsidRPr="00295986">
              <w:t>2518</w:t>
            </w:r>
          </w:p>
        </w:tc>
        <w:tc>
          <w:tcPr>
            <w:tcW w:w="966" w:type="pct"/>
            <w:tcBorders>
              <w:top w:val="single" w:sz="4" w:space="0" w:color="auto"/>
              <w:bottom w:val="single" w:sz="4" w:space="0" w:color="auto"/>
            </w:tcBorders>
            <w:vAlign w:val="bottom"/>
          </w:tcPr>
          <w:p w14:paraId="3ACF284F" w14:textId="77777777" w:rsidR="000E5239" w:rsidRPr="000F120F" w:rsidRDefault="000E5239" w:rsidP="00F36942">
            <w:pPr>
              <w:pStyle w:val="Tabletext"/>
              <w:rPr>
                <w:snapToGrid w:val="0"/>
              </w:rPr>
            </w:pPr>
            <w:r w:rsidRPr="00295986">
              <w:t>0</w:t>
            </w:r>
            <w:r w:rsidR="00D7157D">
              <w:t>.</w:t>
            </w:r>
            <w:r w:rsidRPr="00295986">
              <w:t>1285</w:t>
            </w:r>
          </w:p>
        </w:tc>
      </w:tr>
      <w:tr w:rsidR="000E5239" w:rsidRPr="009E2595" w14:paraId="161E9F83" w14:textId="77777777" w:rsidTr="00F36942">
        <w:trPr>
          <w:cantSplit/>
        </w:trPr>
        <w:tc>
          <w:tcPr>
            <w:tcW w:w="1136" w:type="pct"/>
            <w:tcBorders>
              <w:top w:val="single" w:sz="4" w:space="0" w:color="auto"/>
              <w:bottom w:val="single" w:sz="4" w:space="0" w:color="auto"/>
            </w:tcBorders>
          </w:tcPr>
          <w:p w14:paraId="13B548CE" w14:textId="77777777" w:rsidR="000E5239" w:rsidRPr="00616B26" w:rsidRDefault="000E5239" w:rsidP="00F36942">
            <w:pPr>
              <w:pStyle w:val="Tabletext"/>
              <w:rPr>
                <w:snapToGrid w:val="0"/>
              </w:rPr>
            </w:pPr>
            <w:r w:rsidRPr="00616B26">
              <w:rPr>
                <w:snapToGrid w:val="0"/>
              </w:rPr>
              <w:t>84</w:t>
            </w:r>
          </w:p>
        </w:tc>
        <w:tc>
          <w:tcPr>
            <w:tcW w:w="966" w:type="pct"/>
            <w:tcBorders>
              <w:top w:val="single" w:sz="4" w:space="0" w:color="auto"/>
              <w:bottom w:val="single" w:sz="4" w:space="0" w:color="auto"/>
            </w:tcBorders>
            <w:vAlign w:val="bottom"/>
          </w:tcPr>
          <w:p w14:paraId="2CB6CE8B" w14:textId="77777777" w:rsidR="000E5239" w:rsidRPr="000F120F" w:rsidRDefault="000E5239" w:rsidP="00F36942">
            <w:pPr>
              <w:pStyle w:val="Tabletext"/>
              <w:rPr>
                <w:snapToGrid w:val="0"/>
              </w:rPr>
            </w:pPr>
            <w:r w:rsidRPr="00295986">
              <w:t>6</w:t>
            </w:r>
            <w:r w:rsidR="00D7157D">
              <w:t>.</w:t>
            </w:r>
            <w:r w:rsidRPr="00295986">
              <w:t>7075</w:t>
            </w:r>
          </w:p>
        </w:tc>
        <w:tc>
          <w:tcPr>
            <w:tcW w:w="966" w:type="pct"/>
            <w:tcBorders>
              <w:top w:val="single" w:sz="4" w:space="0" w:color="auto"/>
              <w:bottom w:val="single" w:sz="4" w:space="0" w:color="auto"/>
            </w:tcBorders>
            <w:vAlign w:val="bottom"/>
          </w:tcPr>
          <w:p w14:paraId="7C1E7DD0" w14:textId="77777777" w:rsidR="000E5239" w:rsidRPr="000F120F" w:rsidRDefault="000E5239" w:rsidP="00F36942">
            <w:pPr>
              <w:pStyle w:val="Tabletext"/>
              <w:rPr>
                <w:snapToGrid w:val="0"/>
              </w:rPr>
            </w:pPr>
            <w:r w:rsidRPr="00295986">
              <w:t>0</w:t>
            </w:r>
            <w:r w:rsidR="00D7157D">
              <w:t>.</w:t>
            </w:r>
            <w:r w:rsidRPr="00295986">
              <w:t>4950</w:t>
            </w:r>
          </w:p>
        </w:tc>
        <w:tc>
          <w:tcPr>
            <w:tcW w:w="966" w:type="pct"/>
            <w:tcBorders>
              <w:top w:val="single" w:sz="4" w:space="0" w:color="auto"/>
              <w:bottom w:val="single" w:sz="4" w:space="0" w:color="auto"/>
            </w:tcBorders>
            <w:vAlign w:val="bottom"/>
          </w:tcPr>
          <w:p w14:paraId="38CD942B" w14:textId="77777777" w:rsidR="000E5239" w:rsidRPr="000F120F" w:rsidRDefault="000E5239" w:rsidP="00F36942">
            <w:pPr>
              <w:pStyle w:val="Tabletext"/>
              <w:rPr>
                <w:snapToGrid w:val="0"/>
              </w:rPr>
            </w:pPr>
            <w:r w:rsidRPr="00295986">
              <w:t>7</w:t>
            </w:r>
            <w:r w:rsidR="00D7157D">
              <w:t>.</w:t>
            </w:r>
            <w:r w:rsidRPr="00295986">
              <w:t>7454</w:t>
            </w:r>
          </w:p>
        </w:tc>
        <w:tc>
          <w:tcPr>
            <w:tcW w:w="966" w:type="pct"/>
            <w:tcBorders>
              <w:top w:val="single" w:sz="4" w:space="0" w:color="auto"/>
              <w:bottom w:val="single" w:sz="4" w:space="0" w:color="auto"/>
            </w:tcBorders>
            <w:vAlign w:val="bottom"/>
          </w:tcPr>
          <w:p w14:paraId="41B9F5FC" w14:textId="77777777" w:rsidR="000E5239" w:rsidRPr="000F120F" w:rsidRDefault="000E5239" w:rsidP="00F36942">
            <w:pPr>
              <w:pStyle w:val="Tabletext"/>
              <w:rPr>
                <w:snapToGrid w:val="0"/>
              </w:rPr>
            </w:pPr>
            <w:r w:rsidRPr="00295986">
              <w:t>0</w:t>
            </w:r>
            <w:r w:rsidR="00D7157D">
              <w:t>.</w:t>
            </w:r>
            <w:r w:rsidRPr="00295986">
              <w:t>1267</w:t>
            </w:r>
          </w:p>
        </w:tc>
      </w:tr>
      <w:tr w:rsidR="000E5239" w:rsidRPr="009E2595" w14:paraId="1927323C" w14:textId="77777777" w:rsidTr="00F36942">
        <w:trPr>
          <w:cantSplit/>
        </w:trPr>
        <w:tc>
          <w:tcPr>
            <w:tcW w:w="1136" w:type="pct"/>
            <w:tcBorders>
              <w:top w:val="single" w:sz="4" w:space="0" w:color="auto"/>
              <w:bottom w:val="single" w:sz="4" w:space="0" w:color="auto"/>
            </w:tcBorders>
          </w:tcPr>
          <w:p w14:paraId="2FDA2BB3" w14:textId="77777777" w:rsidR="000E5239" w:rsidRPr="00616B26" w:rsidRDefault="000E5239" w:rsidP="00F36942">
            <w:pPr>
              <w:pStyle w:val="Tabletext"/>
              <w:rPr>
                <w:snapToGrid w:val="0"/>
              </w:rPr>
            </w:pPr>
            <w:r w:rsidRPr="00616B26">
              <w:rPr>
                <w:snapToGrid w:val="0"/>
              </w:rPr>
              <w:t>85</w:t>
            </w:r>
          </w:p>
        </w:tc>
        <w:tc>
          <w:tcPr>
            <w:tcW w:w="966" w:type="pct"/>
            <w:tcBorders>
              <w:top w:val="single" w:sz="4" w:space="0" w:color="auto"/>
              <w:bottom w:val="single" w:sz="4" w:space="0" w:color="auto"/>
            </w:tcBorders>
            <w:vAlign w:val="bottom"/>
          </w:tcPr>
          <w:p w14:paraId="5FCB33F6" w14:textId="77777777" w:rsidR="000E5239" w:rsidRPr="000F120F" w:rsidRDefault="000E5239" w:rsidP="00F36942">
            <w:pPr>
              <w:pStyle w:val="Tabletext"/>
              <w:rPr>
                <w:snapToGrid w:val="0"/>
              </w:rPr>
            </w:pPr>
            <w:r w:rsidRPr="00295986">
              <w:t>6</w:t>
            </w:r>
            <w:r w:rsidR="00D7157D">
              <w:t>.</w:t>
            </w:r>
            <w:r w:rsidRPr="00295986">
              <w:t>2573</w:t>
            </w:r>
          </w:p>
        </w:tc>
        <w:tc>
          <w:tcPr>
            <w:tcW w:w="966" w:type="pct"/>
            <w:tcBorders>
              <w:top w:val="single" w:sz="4" w:space="0" w:color="auto"/>
              <w:bottom w:val="single" w:sz="4" w:space="0" w:color="auto"/>
            </w:tcBorders>
            <w:vAlign w:val="bottom"/>
          </w:tcPr>
          <w:p w14:paraId="11955E94" w14:textId="77777777" w:rsidR="000E5239" w:rsidRPr="000F120F" w:rsidRDefault="000E5239" w:rsidP="00F36942">
            <w:pPr>
              <w:pStyle w:val="Tabletext"/>
              <w:rPr>
                <w:snapToGrid w:val="0"/>
              </w:rPr>
            </w:pPr>
            <w:r w:rsidRPr="00295986">
              <w:t>0</w:t>
            </w:r>
            <w:r w:rsidR="00D7157D">
              <w:t>.</w:t>
            </w:r>
            <w:r w:rsidRPr="00295986">
              <w:t>4844</w:t>
            </w:r>
          </w:p>
        </w:tc>
        <w:tc>
          <w:tcPr>
            <w:tcW w:w="966" w:type="pct"/>
            <w:tcBorders>
              <w:top w:val="single" w:sz="4" w:space="0" w:color="auto"/>
              <w:bottom w:val="single" w:sz="4" w:space="0" w:color="auto"/>
            </w:tcBorders>
            <w:vAlign w:val="bottom"/>
          </w:tcPr>
          <w:p w14:paraId="2A5A110F" w14:textId="77777777" w:rsidR="000E5239" w:rsidRPr="000F120F" w:rsidRDefault="000E5239" w:rsidP="00F36942">
            <w:pPr>
              <w:pStyle w:val="Tabletext"/>
              <w:rPr>
                <w:snapToGrid w:val="0"/>
              </w:rPr>
            </w:pPr>
            <w:r w:rsidRPr="00295986">
              <w:t>7</w:t>
            </w:r>
            <w:r w:rsidR="00D7157D">
              <w:t>.</w:t>
            </w:r>
            <w:r w:rsidRPr="00295986">
              <w:t>2478</w:t>
            </w:r>
          </w:p>
        </w:tc>
        <w:tc>
          <w:tcPr>
            <w:tcW w:w="966" w:type="pct"/>
            <w:tcBorders>
              <w:top w:val="single" w:sz="4" w:space="0" w:color="auto"/>
              <w:bottom w:val="single" w:sz="4" w:space="0" w:color="auto"/>
            </w:tcBorders>
            <w:vAlign w:val="bottom"/>
          </w:tcPr>
          <w:p w14:paraId="5C4D3641" w14:textId="77777777" w:rsidR="000E5239" w:rsidRPr="000F120F" w:rsidRDefault="000E5239" w:rsidP="00F36942">
            <w:pPr>
              <w:pStyle w:val="Tabletext"/>
              <w:rPr>
                <w:snapToGrid w:val="0"/>
              </w:rPr>
            </w:pPr>
            <w:r w:rsidRPr="00295986">
              <w:t>0</w:t>
            </w:r>
            <w:r w:rsidR="00D7157D">
              <w:t>.</w:t>
            </w:r>
            <w:r w:rsidRPr="00295986">
              <w:t>1248</w:t>
            </w:r>
          </w:p>
        </w:tc>
      </w:tr>
      <w:tr w:rsidR="000E5239" w:rsidRPr="009E2595" w14:paraId="04DD39F0" w14:textId="77777777" w:rsidTr="00F36942">
        <w:trPr>
          <w:cantSplit/>
        </w:trPr>
        <w:tc>
          <w:tcPr>
            <w:tcW w:w="1136" w:type="pct"/>
            <w:tcBorders>
              <w:top w:val="single" w:sz="4" w:space="0" w:color="auto"/>
              <w:bottom w:val="single" w:sz="4" w:space="0" w:color="auto"/>
            </w:tcBorders>
          </w:tcPr>
          <w:p w14:paraId="0FBEDA60" w14:textId="77777777" w:rsidR="000E5239" w:rsidRPr="00616B26" w:rsidRDefault="000E5239" w:rsidP="00F36942">
            <w:pPr>
              <w:pStyle w:val="Tabletext"/>
              <w:rPr>
                <w:snapToGrid w:val="0"/>
              </w:rPr>
            </w:pPr>
            <w:r w:rsidRPr="00616B26">
              <w:rPr>
                <w:snapToGrid w:val="0"/>
              </w:rPr>
              <w:t>86</w:t>
            </w:r>
          </w:p>
        </w:tc>
        <w:tc>
          <w:tcPr>
            <w:tcW w:w="966" w:type="pct"/>
            <w:tcBorders>
              <w:top w:val="single" w:sz="4" w:space="0" w:color="auto"/>
              <w:bottom w:val="single" w:sz="4" w:space="0" w:color="auto"/>
            </w:tcBorders>
            <w:vAlign w:val="bottom"/>
          </w:tcPr>
          <w:p w14:paraId="27CC5FA8" w14:textId="77777777" w:rsidR="000E5239" w:rsidRPr="000F120F" w:rsidRDefault="000E5239" w:rsidP="00F36942">
            <w:pPr>
              <w:pStyle w:val="Tabletext"/>
              <w:rPr>
                <w:snapToGrid w:val="0"/>
              </w:rPr>
            </w:pPr>
            <w:r w:rsidRPr="00295986">
              <w:t>5</w:t>
            </w:r>
            <w:r w:rsidR="00D7157D">
              <w:t>.</w:t>
            </w:r>
            <w:r w:rsidRPr="00295986">
              <w:t>8287</w:t>
            </w:r>
          </w:p>
        </w:tc>
        <w:tc>
          <w:tcPr>
            <w:tcW w:w="966" w:type="pct"/>
            <w:tcBorders>
              <w:top w:val="single" w:sz="4" w:space="0" w:color="auto"/>
              <w:bottom w:val="single" w:sz="4" w:space="0" w:color="auto"/>
            </w:tcBorders>
            <w:vAlign w:val="bottom"/>
          </w:tcPr>
          <w:p w14:paraId="667E6E25" w14:textId="77777777" w:rsidR="000E5239" w:rsidRPr="000F120F" w:rsidRDefault="000E5239" w:rsidP="00F36942">
            <w:pPr>
              <w:pStyle w:val="Tabletext"/>
              <w:rPr>
                <w:snapToGrid w:val="0"/>
              </w:rPr>
            </w:pPr>
            <w:r w:rsidRPr="00295986">
              <w:t>0</w:t>
            </w:r>
            <w:r w:rsidR="00D7157D">
              <w:t>.</w:t>
            </w:r>
            <w:r w:rsidRPr="00295986">
              <w:t>4722</w:t>
            </w:r>
          </w:p>
        </w:tc>
        <w:tc>
          <w:tcPr>
            <w:tcW w:w="966" w:type="pct"/>
            <w:tcBorders>
              <w:top w:val="single" w:sz="4" w:space="0" w:color="auto"/>
              <w:bottom w:val="single" w:sz="4" w:space="0" w:color="auto"/>
            </w:tcBorders>
            <w:vAlign w:val="bottom"/>
          </w:tcPr>
          <w:p w14:paraId="1B547189" w14:textId="77777777" w:rsidR="000E5239" w:rsidRPr="000F120F" w:rsidRDefault="000E5239" w:rsidP="00F36942">
            <w:pPr>
              <w:pStyle w:val="Tabletext"/>
              <w:rPr>
                <w:snapToGrid w:val="0"/>
              </w:rPr>
            </w:pPr>
            <w:r w:rsidRPr="00295986">
              <w:t>6</w:t>
            </w:r>
            <w:r w:rsidR="00D7157D">
              <w:t>.</w:t>
            </w:r>
            <w:r w:rsidRPr="00295986">
              <w:t>7581</w:t>
            </w:r>
          </w:p>
        </w:tc>
        <w:tc>
          <w:tcPr>
            <w:tcW w:w="966" w:type="pct"/>
            <w:tcBorders>
              <w:top w:val="single" w:sz="4" w:space="0" w:color="auto"/>
              <w:bottom w:val="single" w:sz="4" w:space="0" w:color="auto"/>
            </w:tcBorders>
            <w:vAlign w:val="bottom"/>
          </w:tcPr>
          <w:p w14:paraId="1194646C" w14:textId="77777777" w:rsidR="000E5239" w:rsidRPr="000F120F" w:rsidRDefault="000E5239" w:rsidP="00F36942">
            <w:pPr>
              <w:pStyle w:val="Tabletext"/>
              <w:rPr>
                <w:snapToGrid w:val="0"/>
              </w:rPr>
            </w:pPr>
            <w:r w:rsidRPr="00295986">
              <w:t>0</w:t>
            </w:r>
            <w:r w:rsidR="00D7157D">
              <w:t>.</w:t>
            </w:r>
            <w:r w:rsidRPr="00295986">
              <w:t>1228</w:t>
            </w:r>
          </w:p>
        </w:tc>
      </w:tr>
      <w:tr w:rsidR="000E5239" w:rsidRPr="009E2595" w14:paraId="02F1467B" w14:textId="77777777" w:rsidTr="00F36942">
        <w:trPr>
          <w:cantSplit/>
        </w:trPr>
        <w:tc>
          <w:tcPr>
            <w:tcW w:w="1136" w:type="pct"/>
            <w:tcBorders>
              <w:top w:val="single" w:sz="4" w:space="0" w:color="auto"/>
              <w:bottom w:val="single" w:sz="4" w:space="0" w:color="auto"/>
            </w:tcBorders>
          </w:tcPr>
          <w:p w14:paraId="3604503B" w14:textId="77777777" w:rsidR="000E5239" w:rsidRPr="00616B26" w:rsidRDefault="000E5239" w:rsidP="00F36942">
            <w:pPr>
              <w:pStyle w:val="Tabletext"/>
              <w:rPr>
                <w:snapToGrid w:val="0"/>
              </w:rPr>
            </w:pPr>
            <w:r w:rsidRPr="00616B26">
              <w:rPr>
                <w:snapToGrid w:val="0"/>
              </w:rPr>
              <w:t>87</w:t>
            </w:r>
          </w:p>
        </w:tc>
        <w:tc>
          <w:tcPr>
            <w:tcW w:w="966" w:type="pct"/>
            <w:tcBorders>
              <w:top w:val="single" w:sz="4" w:space="0" w:color="auto"/>
              <w:bottom w:val="single" w:sz="4" w:space="0" w:color="auto"/>
            </w:tcBorders>
            <w:vAlign w:val="bottom"/>
          </w:tcPr>
          <w:p w14:paraId="5E86A912" w14:textId="77777777" w:rsidR="000E5239" w:rsidRPr="000F120F" w:rsidRDefault="000E5239" w:rsidP="00F36942">
            <w:pPr>
              <w:pStyle w:val="Tabletext"/>
              <w:rPr>
                <w:snapToGrid w:val="0"/>
              </w:rPr>
            </w:pPr>
            <w:r w:rsidRPr="00295986">
              <w:t>5</w:t>
            </w:r>
            <w:r w:rsidR="00D7157D">
              <w:t>.</w:t>
            </w:r>
            <w:r w:rsidRPr="00295986">
              <w:t>4209</w:t>
            </w:r>
          </w:p>
        </w:tc>
        <w:tc>
          <w:tcPr>
            <w:tcW w:w="966" w:type="pct"/>
            <w:tcBorders>
              <w:top w:val="single" w:sz="4" w:space="0" w:color="auto"/>
              <w:bottom w:val="single" w:sz="4" w:space="0" w:color="auto"/>
            </w:tcBorders>
            <w:vAlign w:val="bottom"/>
          </w:tcPr>
          <w:p w14:paraId="6F10F5DF" w14:textId="77777777" w:rsidR="000E5239" w:rsidRPr="000F120F" w:rsidRDefault="000E5239" w:rsidP="00F36942">
            <w:pPr>
              <w:pStyle w:val="Tabletext"/>
              <w:rPr>
                <w:snapToGrid w:val="0"/>
              </w:rPr>
            </w:pPr>
            <w:r w:rsidRPr="00295986">
              <w:t>0</w:t>
            </w:r>
            <w:r w:rsidR="00D7157D">
              <w:t>.</w:t>
            </w:r>
            <w:r w:rsidRPr="00295986">
              <w:t>4586</w:t>
            </w:r>
          </w:p>
        </w:tc>
        <w:tc>
          <w:tcPr>
            <w:tcW w:w="966" w:type="pct"/>
            <w:tcBorders>
              <w:top w:val="single" w:sz="4" w:space="0" w:color="auto"/>
              <w:bottom w:val="single" w:sz="4" w:space="0" w:color="auto"/>
            </w:tcBorders>
            <w:vAlign w:val="bottom"/>
          </w:tcPr>
          <w:p w14:paraId="78B56026" w14:textId="77777777" w:rsidR="000E5239" w:rsidRPr="000F120F" w:rsidRDefault="000E5239" w:rsidP="00F36942">
            <w:pPr>
              <w:pStyle w:val="Tabletext"/>
              <w:rPr>
                <w:snapToGrid w:val="0"/>
              </w:rPr>
            </w:pPr>
            <w:r w:rsidRPr="00295986">
              <w:t>6</w:t>
            </w:r>
            <w:r w:rsidR="00D7157D">
              <w:t>.</w:t>
            </w:r>
            <w:r w:rsidRPr="00295986">
              <w:t>2868</w:t>
            </w:r>
          </w:p>
        </w:tc>
        <w:tc>
          <w:tcPr>
            <w:tcW w:w="966" w:type="pct"/>
            <w:tcBorders>
              <w:top w:val="single" w:sz="4" w:space="0" w:color="auto"/>
              <w:bottom w:val="single" w:sz="4" w:space="0" w:color="auto"/>
            </w:tcBorders>
            <w:vAlign w:val="bottom"/>
          </w:tcPr>
          <w:p w14:paraId="6136809F" w14:textId="77777777" w:rsidR="000E5239" w:rsidRPr="000F120F" w:rsidRDefault="000E5239" w:rsidP="00F36942">
            <w:pPr>
              <w:pStyle w:val="Tabletext"/>
              <w:rPr>
                <w:snapToGrid w:val="0"/>
              </w:rPr>
            </w:pPr>
            <w:r w:rsidRPr="00295986">
              <w:t>0</w:t>
            </w:r>
            <w:r w:rsidR="00D7157D">
              <w:t>.</w:t>
            </w:r>
            <w:r w:rsidRPr="00295986">
              <w:t>1206</w:t>
            </w:r>
          </w:p>
        </w:tc>
      </w:tr>
      <w:tr w:rsidR="000E5239" w:rsidRPr="009E2595" w14:paraId="66DCFDD0" w14:textId="77777777" w:rsidTr="00F36942">
        <w:trPr>
          <w:cantSplit/>
        </w:trPr>
        <w:tc>
          <w:tcPr>
            <w:tcW w:w="1136" w:type="pct"/>
            <w:tcBorders>
              <w:top w:val="single" w:sz="4" w:space="0" w:color="auto"/>
              <w:bottom w:val="single" w:sz="4" w:space="0" w:color="auto"/>
            </w:tcBorders>
          </w:tcPr>
          <w:p w14:paraId="7D2993AD" w14:textId="77777777" w:rsidR="000E5239" w:rsidRPr="00616B26" w:rsidRDefault="000E5239" w:rsidP="00F36942">
            <w:pPr>
              <w:pStyle w:val="Tabletext"/>
              <w:rPr>
                <w:snapToGrid w:val="0"/>
              </w:rPr>
            </w:pPr>
            <w:r w:rsidRPr="00616B26">
              <w:rPr>
                <w:snapToGrid w:val="0"/>
              </w:rPr>
              <w:t>88</w:t>
            </w:r>
          </w:p>
        </w:tc>
        <w:tc>
          <w:tcPr>
            <w:tcW w:w="966" w:type="pct"/>
            <w:tcBorders>
              <w:top w:val="single" w:sz="4" w:space="0" w:color="auto"/>
              <w:bottom w:val="single" w:sz="4" w:space="0" w:color="auto"/>
            </w:tcBorders>
            <w:vAlign w:val="bottom"/>
          </w:tcPr>
          <w:p w14:paraId="3F13607E" w14:textId="77777777" w:rsidR="000E5239" w:rsidRPr="000F120F" w:rsidRDefault="000E5239" w:rsidP="00F36942">
            <w:pPr>
              <w:pStyle w:val="Tabletext"/>
              <w:rPr>
                <w:snapToGrid w:val="0"/>
              </w:rPr>
            </w:pPr>
            <w:r w:rsidRPr="00295986">
              <w:t>5</w:t>
            </w:r>
            <w:r w:rsidR="00D7157D">
              <w:t>.</w:t>
            </w:r>
            <w:r w:rsidRPr="00295986">
              <w:t>0336</w:t>
            </w:r>
          </w:p>
        </w:tc>
        <w:tc>
          <w:tcPr>
            <w:tcW w:w="966" w:type="pct"/>
            <w:tcBorders>
              <w:top w:val="single" w:sz="4" w:space="0" w:color="auto"/>
              <w:bottom w:val="single" w:sz="4" w:space="0" w:color="auto"/>
            </w:tcBorders>
            <w:vAlign w:val="bottom"/>
          </w:tcPr>
          <w:p w14:paraId="656989ED" w14:textId="77777777" w:rsidR="000E5239" w:rsidRPr="000F120F" w:rsidRDefault="000E5239" w:rsidP="00F36942">
            <w:pPr>
              <w:pStyle w:val="Tabletext"/>
              <w:rPr>
                <w:snapToGrid w:val="0"/>
              </w:rPr>
            </w:pPr>
            <w:r w:rsidRPr="00295986">
              <w:t>0</w:t>
            </w:r>
            <w:r w:rsidR="00D7157D">
              <w:t>.</w:t>
            </w:r>
            <w:r w:rsidRPr="00295986">
              <w:t>4440</w:t>
            </w:r>
          </w:p>
        </w:tc>
        <w:tc>
          <w:tcPr>
            <w:tcW w:w="966" w:type="pct"/>
            <w:tcBorders>
              <w:top w:val="single" w:sz="4" w:space="0" w:color="auto"/>
              <w:bottom w:val="single" w:sz="4" w:space="0" w:color="auto"/>
            </w:tcBorders>
            <w:vAlign w:val="bottom"/>
          </w:tcPr>
          <w:p w14:paraId="1CDD463B" w14:textId="77777777" w:rsidR="000E5239" w:rsidRPr="000F120F" w:rsidRDefault="000E5239" w:rsidP="00F36942">
            <w:pPr>
              <w:pStyle w:val="Tabletext"/>
              <w:rPr>
                <w:snapToGrid w:val="0"/>
              </w:rPr>
            </w:pPr>
            <w:r w:rsidRPr="00295986">
              <w:t>5</w:t>
            </w:r>
            <w:r w:rsidR="00D7157D">
              <w:t>.</w:t>
            </w:r>
            <w:r w:rsidRPr="00295986">
              <w:t>8393</w:t>
            </w:r>
          </w:p>
        </w:tc>
        <w:tc>
          <w:tcPr>
            <w:tcW w:w="966" w:type="pct"/>
            <w:tcBorders>
              <w:top w:val="single" w:sz="4" w:space="0" w:color="auto"/>
              <w:bottom w:val="single" w:sz="4" w:space="0" w:color="auto"/>
            </w:tcBorders>
            <w:vAlign w:val="bottom"/>
          </w:tcPr>
          <w:p w14:paraId="6FDC05F2" w14:textId="77777777" w:rsidR="000E5239" w:rsidRPr="000F120F" w:rsidRDefault="000E5239" w:rsidP="00F36942">
            <w:pPr>
              <w:pStyle w:val="Tabletext"/>
              <w:rPr>
                <w:snapToGrid w:val="0"/>
              </w:rPr>
            </w:pPr>
            <w:r w:rsidRPr="00295986">
              <w:t>0</w:t>
            </w:r>
            <w:r w:rsidR="00D7157D">
              <w:t>.</w:t>
            </w:r>
            <w:r w:rsidRPr="00295986">
              <w:t>1182</w:t>
            </w:r>
          </w:p>
        </w:tc>
      </w:tr>
      <w:tr w:rsidR="000E5239" w:rsidRPr="009E2595" w14:paraId="32F30824" w14:textId="77777777" w:rsidTr="00F36942">
        <w:trPr>
          <w:cantSplit/>
        </w:trPr>
        <w:tc>
          <w:tcPr>
            <w:tcW w:w="1136" w:type="pct"/>
            <w:tcBorders>
              <w:top w:val="single" w:sz="4" w:space="0" w:color="auto"/>
              <w:bottom w:val="single" w:sz="4" w:space="0" w:color="auto"/>
            </w:tcBorders>
          </w:tcPr>
          <w:p w14:paraId="4701F9CA" w14:textId="77777777" w:rsidR="000E5239" w:rsidRPr="00616B26" w:rsidRDefault="000E5239" w:rsidP="00F36942">
            <w:pPr>
              <w:pStyle w:val="Tabletext"/>
              <w:rPr>
                <w:snapToGrid w:val="0"/>
              </w:rPr>
            </w:pPr>
            <w:r w:rsidRPr="00616B26">
              <w:rPr>
                <w:snapToGrid w:val="0"/>
              </w:rPr>
              <w:t>89</w:t>
            </w:r>
          </w:p>
        </w:tc>
        <w:tc>
          <w:tcPr>
            <w:tcW w:w="966" w:type="pct"/>
            <w:tcBorders>
              <w:top w:val="single" w:sz="4" w:space="0" w:color="auto"/>
              <w:bottom w:val="single" w:sz="4" w:space="0" w:color="auto"/>
            </w:tcBorders>
            <w:vAlign w:val="bottom"/>
          </w:tcPr>
          <w:p w14:paraId="31D8A36F" w14:textId="77777777" w:rsidR="000E5239" w:rsidRPr="000F120F" w:rsidRDefault="000E5239" w:rsidP="00F36942">
            <w:pPr>
              <w:pStyle w:val="Tabletext"/>
              <w:rPr>
                <w:snapToGrid w:val="0"/>
              </w:rPr>
            </w:pPr>
            <w:r w:rsidRPr="00295986">
              <w:t>4</w:t>
            </w:r>
            <w:r w:rsidR="00D7157D">
              <w:t>.</w:t>
            </w:r>
            <w:r w:rsidRPr="00295986">
              <w:t>6720</w:t>
            </w:r>
          </w:p>
        </w:tc>
        <w:tc>
          <w:tcPr>
            <w:tcW w:w="966" w:type="pct"/>
            <w:tcBorders>
              <w:top w:val="single" w:sz="4" w:space="0" w:color="auto"/>
              <w:bottom w:val="single" w:sz="4" w:space="0" w:color="auto"/>
            </w:tcBorders>
            <w:vAlign w:val="bottom"/>
          </w:tcPr>
          <w:p w14:paraId="5F02A620" w14:textId="77777777" w:rsidR="000E5239" w:rsidRPr="000F120F" w:rsidRDefault="000E5239" w:rsidP="00F36942">
            <w:pPr>
              <w:pStyle w:val="Tabletext"/>
              <w:rPr>
                <w:snapToGrid w:val="0"/>
              </w:rPr>
            </w:pPr>
            <w:r w:rsidRPr="00295986">
              <w:t>0</w:t>
            </w:r>
            <w:r w:rsidR="00D7157D">
              <w:t>.</w:t>
            </w:r>
            <w:r w:rsidRPr="00295986">
              <w:t>4282</w:t>
            </w:r>
          </w:p>
        </w:tc>
        <w:tc>
          <w:tcPr>
            <w:tcW w:w="966" w:type="pct"/>
            <w:tcBorders>
              <w:top w:val="single" w:sz="4" w:space="0" w:color="auto"/>
              <w:bottom w:val="single" w:sz="4" w:space="0" w:color="auto"/>
            </w:tcBorders>
            <w:vAlign w:val="bottom"/>
          </w:tcPr>
          <w:p w14:paraId="03ABFA70" w14:textId="77777777" w:rsidR="000E5239" w:rsidRPr="000F120F" w:rsidRDefault="000E5239" w:rsidP="00F36942">
            <w:pPr>
              <w:pStyle w:val="Tabletext"/>
              <w:rPr>
                <w:snapToGrid w:val="0"/>
              </w:rPr>
            </w:pPr>
            <w:r w:rsidRPr="00295986">
              <w:t>5</w:t>
            </w:r>
            <w:r w:rsidR="00D7157D">
              <w:t>.</w:t>
            </w:r>
            <w:r w:rsidRPr="00295986">
              <w:t>4219</w:t>
            </w:r>
          </w:p>
        </w:tc>
        <w:tc>
          <w:tcPr>
            <w:tcW w:w="966" w:type="pct"/>
            <w:tcBorders>
              <w:top w:val="single" w:sz="4" w:space="0" w:color="auto"/>
              <w:bottom w:val="single" w:sz="4" w:space="0" w:color="auto"/>
            </w:tcBorders>
            <w:vAlign w:val="bottom"/>
          </w:tcPr>
          <w:p w14:paraId="77B341DF" w14:textId="77777777" w:rsidR="000E5239" w:rsidRPr="000F120F" w:rsidRDefault="000E5239" w:rsidP="00F36942">
            <w:pPr>
              <w:pStyle w:val="Tabletext"/>
              <w:rPr>
                <w:snapToGrid w:val="0"/>
              </w:rPr>
            </w:pPr>
            <w:r w:rsidRPr="00295986">
              <w:t>0</w:t>
            </w:r>
            <w:r w:rsidR="00D7157D">
              <w:t>.</w:t>
            </w:r>
            <w:r w:rsidRPr="00295986">
              <w:t>1155</w:t>
            </w:r>
          </w:p>
        </w:tc>
      </w:tr>
      <w:tr w:rsidR="000E5239" w:rsidRPr="009E2595" w14:paraId="4A864B46" w14:textId="77777777" w:rsidTr="00F36942">
        <w:trPr>
          <w:cantSplit/>
        </w:trPr>
        <w:tc>
          <w:tcPr>
            <w:tcW w:w="1136" w:type="pct"/>
            <w:tcBorders>
              <w:top w:val="single" w:sz="4" w:space="0" w:color="auto"/>
              <w:bottom w:val="single" w:sz="4" w:space="0" w:color="auto"/>
            </w:tcBorders>
          </w:tcPr>
          <w:p w14:paraId="308C17EF" w14:textId="77777777" w:rsidR="000E5239" w:rsidRPr="00616B26" w:rsidRDefault="000E5239" w:rsidP="00F36942">
            <w:pPr>
              <w:pStyle w:val="Tabletext"/>
              <w:rPr>
                <w:snapToGrid w:val="0"/>
              </w:rPr>
            </w:pPr>
            <w:r w:rsidRPr="00616B26">
              <w:rPr>
                <w:snapToGrid w:val="0"/>
              </w:rPr>
              <w:t>90</w:t>
            </w:r>
          </w:p>
        </w:tc>
        <w:tc>
          <w:tcPr>
            <w:tcW w:w="966" w:type="pct"/>
            <w:tcBorders>
              <w:top w:val="single" w:sz="4" w:space="0" w:color="auto"/>
              <w:bottom w:val="single" w:sz="4" w:space="0" w:color="auto"/>
            </w:tcBorders>
            <w:vAlign w:val="bottom"/>
          </w:tcPr>
          <w:p w14:paraId="097EF0E9" w14:textId="77777777" w:rsidR="000E5239" w:rsidRPr="000F120F" w:rsidRDefault="000E5239" w:rsidP="00F36942">
            <w:pPr>
              <w:pStyle w:val="Tabletext"/>
              <w:rPr>
                <w:snapToGrid w:val="0"/>
              </w:rPr>
            </w:pPr>
            <w:r w:rsidRPr="00295986">
              <w:t>4</w:t>
            </w:r>
            <w:r w:rsidR="00D7157D">
              <w:t>.</w:t>
            </w:r>
            <w:r w:rsidRPr="00295986">
              <w:t>3336</w:t>
            </w:r>
          </w:p>
        </w:tc>
        <w:tc>
          <w:tcPr>
            <w:tcW w:w="966" w:type="pct"/>
            <w:tcBorders>
              <w:top w:val="single" w:sz="4" w:space="0" w:color="auto"/>
              <w:bottom w:val="single" w:sz="4" w:space="0" w:color="auto"/>
            </w:tcBorders>
            <w:vAlign w:val="bottom"/>
          </w:tcPr>
          <w:p w14:paraId="65ECE040" w14:textId="77777777" w:rsidR="000E5239" w:rsidRPr="000F120F" w:rsidRDefault="000E5239" w:rsidP="00F36942">
            <w:pPr>
              <w:pStyle w:val="Tabletext"/>
              <w:rPr>
                <w:snapToGrid w:val="0"/>
              </w:rPr>
            </w:pPr>
            <w:r w:rsidRPr="00295986">
              <w:t>0</w:t>
            </w:r>
            <w:r w:rsidR="00D7157D">
              <w:t>.</w:t>
            </w:r>
            <w:r w:rsidRPr="00295986">
              <w:t>4117</w:t>
            </w:r>
          </w:p>
        </w:tc>
        <w:tc>
          <w:tcPr>
            <w:tcW w:w="966" w:type="pct"/>
            <w:tcBorders>
              <w:top w:val="single" w:sz="4" w:space="0" w:color="auto"/>
              <w:bottom w:val="single" w:sz="4" w:space="0" w:color="auto"/>
            </w:tcBorders>
            <w:vAlign w:val="bottom"/>
          </w:tcPr>
          <w:p w14:paraId="4B63EDA3" w14:textId="77777777" w:rsidR="000E5239" w:rsidRPr="000F120F" w:rsidRDefault="000E5239" w:rsidP="00F36942">
            <w:pPr>
              <w:pStyle w:val="Tabletext"/>
              <w:rPr>
                <w:snapToGrid w:val="0"/>
              </w:rPr>
            </w:pPr>
            <w:r w:rsidRPr="00295986">
              <w:t>5</w:t>
            </w:r>
            <w:r w:rsidR="00D7157D">
              <w:t>.</w:t>
            </w:r>
            <w:r w:rsidRPr="00295986">
              <w:t>0541</w:t>
            </w:r>
          </w:p>
        </w:tc>
        <w:tc>
          <w:tcPr>
            <w:tcW w:w="966" w:type="pct"/>
            <w:tcBorders>
              <w:top w:val="single" w:sz="4" w:space="0" w:color="auto"/>
              <w:bottom w:val="single" w:sz="4" w:space="0" w:color="auto"/>
            </w:tcBorders>
            <w:vAlign w:val="bottom"/>
          </w:tcPr>
          <w:p w14:paraId="53A05FC1" w14:textId="77777777" w:rsidR="000E5239" w:rsidRPr="000F120F" w:rsidRDefault="000E5239" w:rsidP="00F36942">
            <w:pPr>
              <w:pStyle w:val="Tabletext"/>
              <w:rPr>
                <w:snapToGrid w:val="0"/>
              </w:rPr>
            </w:pPr>
            <w:r w:rsidRPr="00295986">
              <w:t>0</w:t>
            </w:r>
            <w:r w:rsidR="00D7157D">
              <w:t>.</w:t>
            </w:r>
            <w:r w:rsidRPr="00295986">
              <w:t>1125</w:t>
            </w:r>
          </w:p>
        </w:tc>
      </w:tr>
      <w:tr w:rsidR="000E5239" w:rsidRPr="009E2595" w14:paraId="4C7DACDD" w14:textId="77777777" w:rsidTr="00F36942">
        <w:trPr>
          <w:cantSplit/>
        </w:trPr>
        <w:tc>
          <w:tcPr>
            <w:tcW w:w="1136" w:type="pct"/>
            <w:tcBorders>
              <w:top w:val="single" w:sz="4" w:space="0" w:color="auto"/>
              <w:bottom w:val="single" w:sz="4" w:space="0" w:color="auto"/>
            </w:tcBorders>
          </w:tcPr>
          <w:p w14:paraId="1D02A64E" w14:textId="77777777" w:rsidR="000E5239" w:rsidRPr="00616B26" w:rsidRDefault="000E5239" w:rsidP="00F36942">
            <w:pPr>
              <w:pStyle w:val="Tabletext"/>
              <w:rPr>
                <w:snapToGrid w:val="0"/>
              </w:rPr>
            </w:pPr>
            <w:r w:rsidRPr="00616B26">
              <w:rPr>
                <w:snapToGrid w:val="0"/>
              </w:rPr>
              <w:t>91</w:t>
            </w:r>
          </w:p>
        </w:tc>
        <w:tc>
          <w:tcPr>
            <w:tcW w:w="966" w:type="pct"/>
            <w:tcBorders>
              <w:top w:val="single" w:sz="4" w:space="0" w:color="auto"/>
              <w:bottom w:val="single" w:sz="4" w:space="0" w:color="auto"/>
            </w:tcBorders>
            <w:vAlign w:val="bottom"/>
          </w:tcPr>
          <w:p w14:paraId="09B2CB11" w14:textId="77777777" w:rsidR="000E5239" w:rsidRPr="000F120F" w:rsidRDefault="000E5239" w:rsidP="00F36942">
            <w:pPr>
              <w:pStyle w:val="Tabletext"/>
              <w:rPr>
                <w:snapToGrid w:val="0"/>
              </w:rPr>
            </w:pPr>
            <w:r w:rsidRPr="00295986">
              <w:t>4</w:t>
            </w:r>
            <w:r w:rsidR="00D7157D">
              <w:t>.</w:t>
            </w:r>
            <w:r w:rsidRPr="00295986">
              <w:t>0276</w:t>
            </w:r>
          </w:p>
        </w:tc>
        <w:tc>
          <w:tcPr>
            <w:tcW w:w="966" w:type="pct"/>
            <w:tcBorders>
              <w:top w:val="single" w:sz="4" w:space="0" w:color="auto"/>
              <w:bottom w:val="single" w:sz="4" w:space="0" w:color="auto"/>
            </w:tcBorders>
            <w:vAlign w:val="bottom"/>
          </w:tcPr>
          <w:p w14:paraId="2B24FEA7" w14:textId="77777777" w:rsidR="000E5239" w:rsidRPr="000F120F" w:rsidRDefault="000E5239" w:rsidP="00F36942">
            <w:pPr>
              <w:pStyle w:val="Tabletext"/>
              <w:rPr>
                <w:snapToGrid w:val="0"/>
              </w:rPr>
            </w:pPr>
            <w:r w:rsidRPr="00295986">
              <w:t>0</w:t>
            </w:r>
            <w:r w:rsidR="00D7157D">
              <w:t>.</w:t>
            </w:r>
            <w:r w:rsidRPr="00295986">
              <w:t>3944</w:t>
            </w:r>
          </w:p>
        </w:tc>
        <w:tc>
          <w:tcPr>
            <w:tcW w:w="966" w:type="pct"/>
            <w:tcBorders>
              <w:top w:val="single" w:sz="4" w:space="0" w:color="auto"/>
              <w:bottom w:val="single" w:sz="4" w:space="0" w:color="auto"/>
            </w:tcBorders>
            <w:vAlign w:val="bottom"/>
          </w:tcPr>
          <w:p w14:paraId="454A1E57" w14:textId="77777777" w:rsidR="000E5239" w:rsidRPr="000F120F" w:rsidRDefault="000E5239" w:rsidP="00F36942">
            <w:pPr>
              <w:pStyle w:val="Tabletext"/>
              <w:rPr>
                <w:snapToGrid w:val="0"/>
              </w:rPr>
            </w:pPr>
            <w:r w:rsidRPr="00295986">
              <w:t>4</w:t>
            </w:r>
            <w:r w:rsidR="00D7157D">
              <w:t>.</w:t>
            </w:r>
            <w:r w:rsidRPr="00295986">
              <w:t>7146</w:t>
            </w:r>
          </w:p>
        </w:tc>
        <w:tc>
          <w:tcPr>
            <w:tcW w:w="966" w:type="pct"/>
            <w:tcBorders>
              <w:top w:val="single" w:sz="4" w:space="0" w:color="auto"/>
              <w:bottom w:val="single" w:sz="4" w:space="0" w:color="auto"/>
            </w:tcBorders>
            <w:vAlign w:val="bottom"/>
          </w:tcPr>
          <w:p w14:paraId="477AC8FF" w14:textId="77777777" w:rsidR="000E5239" w:rsidRPr="000F120F" w:rsidRDefault="000E5239" w:rsidP="00F36942">
            <w:pPr>
              <w:pStyle w:val="Tabletext"/>
              <w:rPr>
                <w:snapToGrid w:val="0"/>
              </w:rPr>
            </w:pPr>
            <w:r w:rsidRPr="00295986">
              <w:t>0</w:t>
            </w:r>
            <w:r w:rsidR="00D7157D">
              <w:t>.</w:t>
            </w:r>
            <w:r w:rsidRPr="00295986">
              <w:t>1092</w:t>
            </w:r>
          </w:p>
        </w:tc>
      </w:tr>
      <w:tr w:rsidR="000E5239" w:rsidRPr="009E2595" w14:paraId="42153E1C" w14:textId="77777777" w:rsidTr="00F36942">
        <w:trPr>
          <w:cantSplit/>
        </w:trPr>
        <w:tc>
          <w:tcPr>
            <w:tcW w:w="1136" w:type="pct"/>
            <w:tcBorders>
              <w:top w:val="single" w:sz="4" w:space="0" w:color="auto"/>
              <w:bottom w:val="single" w:sz="4" w:space="0" w:color="auto"/>
            </w:tcBorders>
          </w:tcPr>
          <w:p w14:paraId="0C5D660B" w14:textId="77777777" w:rsidR="000E5239" w:rsidRPr="00616B26" w:rsidRDefault="000E5239" w:rsidP="00F36942">
            <w:pPr>
              <w:pStyle w:val="Tabletext"/>
              <w:rPr>
                <w:snapToGrid w:val="0"/>
              </w:rPr>
            </w:pPr>
            <w:r w:rsidRPr="00616B26">
              <w:rPr>
                <w:snapToGrid w:val="0"/>
              </w:rPr>
              <w:t>92</w:t>
            </w:r>
          </w:p>
        </w:tc>
        <w:tc>
          <w:tcPr>
            <w:tcW w:w="966" w:type="pct"/>
            <w:tcBorders>
              <w:top w:val="single" w:sz="4" w:space="0" w:color="auto"/>
              <w:bottom w:val="single" w:sz="4" w:space="0" w:color="auto"/>
            </w:tcBorders>
            <w:vAlign w:val="bottom"/>
          </w:tcPr>
          <w:p w14:paraId="7620599B" w14:textId="77777777" w:rsidR="000E5239" w:rsidRPr="000F120F" w:rsidRDefault="000E5239" w:rsidP="00F36942">
            <w:pPr>
              <w:pStyle w:val="Tabletext"/>
              <w:rPr>
                <w:snapToGrid w:val="0"/>
              </w:rPr>
            </w:pPr>
            <w:r w:rsidRPr="00295986">
              <w:t>3</w:t>
            </w:r>
            <w:r w:rsidR="00D7157D">
              <w:t>.</w:t>
            </w:r>
            <w:r w:rsidRPr="00295986">
              <w:t>7525</w:t>
            </w:r>
          </w:p>
        </w:tc>
        <w:tc>
          <w:tcPr>
            <w:tcW w:w="966" w:type="pct"/>
            <w:tcBorders>
              <w:top w:val="single" w:sz="4" w:space="0" w:color="auto"/>
              <w:bottom w:val="single" w:sz="4" w:space="0" w:color="auto"/>
            </w:tcBorders>
            <w:vAlign w:val="bottom"/>
          </w:tcPr>
          <w:p w14:paraId="521A968E" w14:textId="77777777" w:rsidR="000E5239" w:rsidRPr="000F120F" w:rsidRDefault="000E5239" w:rsidP="00F36942">
            <w:pPr>
              <w:pStyle w:val="Tabletext"/>
              <w:rPr>
                <w:snapToGrid w:val="0"/>
              </w:rPr>
            </w:pPr>
            <w:r w:rsidRPr="00295986">
              <w:t>0</w:t>
            </w:r>
            <w:r w:rsidR="00D7157D">
              <w:t>.</w:t>
            </w:r>
            <w:r w:rsidRPr="00295986">
              <w:t>3766</w:t>
            </w:r>
          </w:p>
        </w:tc>
        <w:tc>
          <w:tcPr>
            <w:tcW w:w="966" w:type="pct"/>
            <w:tcBorders>
              <w:top w:val="single" w:sz="4" w:space="0" w:color="auto"/>
              <w:bottom w:val="single" w:sz="4" w:space="0" w:color="auto"/>
            </w:tcBorders>
            <w:vAlign w:val="bottom"/>
          </w:tcPr>
          <w:p w14:paraId="610E9A2E" w14:textId="77777777" w:rsidR="000E5239" w:rsidRPr="000F120F" w:rsidRDefault="000E5239" w:rsidP="00F36942">
            <w:pPr>
              <w:pStyle w:val="Tabletext"/>
              <w:rPr>
                <w:snapToGrid w:val="0"/>
              </w:rPr>
            </w:pPr>
            <w:r w:rsidRPr="00295986">
              <w:t>4</w:t>
            </w:r>
            <w:r w:rsidR="00D7157D">
              <w:t>.</w:t>
            </w:r>
            <w:r w:rsidRPr="00295986">
              <w:t>4043</w:t>
            </w:r>
          </w:p>
        </w:tc>
        <w:tc>
          <w:tcPr>
            <w:tcW w:w="966" w:type="pct"/>
            <w:tcBorders>
              <w:top w:val="single" w:sz="4" w:space="0" w:color="auto"/>
              <w:bottom w:val="single" w:sz="4" w:space="0" w:color="auto"/>
            </w:tcBorders>
            <w:vAlign w:val="bottom"/>
          </w:tcPr>
          <w:p w14:paraId="083DB353" w14:textId="77777777" w:rsidR="000E5239" w:rsidRPr="000F120F" w:rsidRDefault="000E5239" w:rsidP="00F36942">
            <w:pPr>
              <w:pStyle w:val="Tabletext"/>
              <w:rPr>
                <w:snapToGrid w:val="0"/>
              </w:rPr>
            </w:pPr>
            <w:r w:rsidRPr="00295986">
              <w:t>0</w:t>
            </w:r>
            <w:r w:rsidR="00D7157D">
              <w:t>.</w:t>
            </w:r>
            <w:r w:rsidRPr="00295986">
              <w:t>1058</w:t>
            </w:r>
          </w:p>
        </w:tc>
      </w:tr>
      <w:tr w:rsidR="000E5239" w:rsidRPr="009E2595" w14:paraId="453F2A21" w14:textId="77777777" w:rsidTr="00F36942">
        <w:trPr>
          <w:cantSplit/>
        </w:trPr>
        <w:tc>
          <w:tcPr>
            <w:tcW w:w="1136" w:type="pct"/>
            <w:tcBorders>
              <w:top w:val="single" w:sz="4" w:space="0" w:color="auto"/>
              <w:bottom w:val="single" w:sz="4" w:space="0" w:color="auto"/>
            </w:tcBorders>
          </w:tcPr>
          <w:p w14:paraId="43FC9289" w14:textId="77777777" w:rsidR="000E5239" w:rsidRPr="00616B26" w:rsidRDefault="000E5239" w:rsidP="00F36942">
            <w:pPr>
              <w:pStyle w:val="Tabletext"/>
              <w:rPr>
                <w:snapToGrid w:val="0"/>
              </w:rPr>
            </w:pPr>
            <w:r w:rsidRPr="00616B26">
              <w:rPr>
                <w:snapToGrid w:val="0"/>
              </w:rPr>
              <w:t>93</w:t>
            </w:r>
          </w:p>
        </w:tc>
        <w:tc>
          <w:tcPr>
            <w:tcW w:w="966" w:type="pct"/>
            <w:tcBorders>
              <w:top w:val="single" w:sz="4" w:space="0" w:color="auto"/>
              <w:bottom w:val="single" w:sz="4" w:space="0" w:color="auto"/>
            </w:tcBorders>
            <w:vAlign w:val="bottom"/>
          </w:tcPr>
          <w:p w14:paraId="4B8E6DDB" w14:textId="77777777" w:rsidR="000E5239" w:rsidRPr="000F120F" w:rsidRDefault="000E5239" w:rsidP="00F36942">
            <w:pPr>
              <w:pStyle w:val="Tabletext"/>
              <w:rPr>
                <w:snapToGrid w:val="0"/>
              </w:rPr>
            </w:pPr>
            <w:r w:rsidRPr="00295986">
              <w:t>3</w:t>
            </w:r>
            <w:r w:rsidR="00D7157D">
              <w:t>.</w:t>
            </w:r>
            <w:r w:rsidRPr="00295986">
              <w:t>5149</w:t>
            </w:r>
          </w:p>
        </w:tc>
        <w:tc>
          <w:tcPr>
            <w:tcW w:w="966" w:type="pct"/>
            <w:tcBorders>
              <w:top w:val="single" w:sz="4" w:space="0" w:color="auto"/>
              <w:bottom w:val="single" w:sz="4" w:space="0" w:color="auto"/>
            </w:tcBorders>
            <w:vAlign w:val="bottom"/>
          </w:tcPr>
          <w:p w14:paraId="32194D77" w14:textId="77777777" w:rsidR="000E5239" w:rsidRPr="000F120F" w:rsidRDefault="000E5239" w:rsidP="00F36942">
            <w:pPr>
              <w:pStyle w:val="Tabletext"/>
              <w:rPr>
                <w:snapToGrid w:val="0"/>
              </w:rPr>
            </w:pPr>
            <w:r w:rsidRPr="00295986">
              <w:t>0</w:t>
            </w:r>
            <w:r w:rsidR="00D7157D">
              <w:t>.</w:t>
            </w:r>
            <w:r w:rsidRPr="00295986">
              <w:t>3582</w:t>
            </w:r>
          </w:p>
        </w:tc>
        <w:tc>
          <w:tcPr>
            <w:tcW w:w="966" w:type="pct"/>
            <w:tcBorders>
              <w:top w:val="single" w:sz="4" w:space="0" w:color="auto"/>
              <w:bottom w:val="single" w:sz="4" w:space="0" w:color="auto"/>
            </w:tcBorders>
            <w:vAlign w:val="bottom"/>
          </w:tcPr>
          <w:p w14:paraId="0FBD9F15" w14:textId="77777777" w:rsidR="000E5239" w:rsidRPr="000F120F" w:rsidRDefault="000E5239" w:rsidP="00F36942">
            <w:pPr>
              <w:pStyle w:val="Tabletext"/>
              <w:rPr>
                <w:snapToGrid w:val="0"/>
              </w:rPr>
            </w:pPr>
            <w:r w:rsidRPr="00295986">
              <w:t>4</w:t>
            </w:r>
            <w:r w:rsidR="00D7157D">
              <w:t>.</w:t>
            </w:r>
            <w:r w:rsidRPr="00295986">
              <w:t>1036</w:t>
            </w:r>
          </w:p>
        </w:tc>
        <w:tc>
          <w:tcPr>
            <w:tcW w:w="966" w:type="pct"/>
            <w:tcBorders>
              <w:top w:val="single" w:sz="4" w:space="0" w:color="auto"/>
              <w:bottom w:val="single" w:sz="4" w:space="0" w:color="auto"/>
            </w:tcBorders>
            <w:vAlign w:val="bottom"/>
          </w:tcPr>
          <w:p w14:paraId="788C9BBA" w14:textId="77777777" w:rsidR="000E5239" w:rsidRPr="000F120F" w:rsidRDefault="000E5239" w:rsidP="00F36942">
            <w:pPr>
              <w:pStyle w:val="Tabletext"/>
              <w:rPr>
                <w:snapToGrid w:val="0"/>
              </w:rPr>
            </w:pPr>
            <w:r w:rsidRPr="00295986">
              <w:t>0</w:t>
            </w:r>
            <w:r w:rsidR="00D7157D">
              <w:t>.</w:t>
            </w:r>
            <w:r w:rsidRPr="00295986">
              <w:t>1023</w:t>
            </w:r>
          </w:p>
        </w:tc>
      </w:tr>
      <w:tr w:rsidR="000E5239" w:rsidRPr="009E2595" w14:paraId="533D32E9" w14:textId="77777777" w:rsidTr="00F36942">
        <w:trPr>
          <w:cantSplit/>
        </w:trPr>
        <w:tc>
          <w:tcPr>
            <w:tcW w:w="1136" w:type="pct"/>
            <w:tcBorders>
              <w:top w:val="single" w:sz="4" w:space="0" w:color="auto"/>
              <w:bottom w:val="single" w:sz="4" w:space="0" w:color="auto"/>
            </w:tcBorders>
          </w:tcPr>
          <w:p w14:paraId="233FFBB2" w14:textId="77777777" w:rsidR="000E5239" w:rsidRPr="00616B26" w:rsidRDefault="000E5239" w:rsidP="00F36942">
            <w:pPr>
              <w:pStyle w:val="Tabletext"/>
              <w:rPr>
                <w:snapToGrid w:val="0"/>
              </w:rPr>
            </w:pPr>
            <w:r w:rsidRPr="00616B26">
              <w:rPr>
                <w:snapToGrid w:val="0"/>
              </w:rPr>
              <w:t>94</w:t>
            </w:r>
          </w:p>
        </w:tc>
        <w:tc>
          <w:tcPr>
            <w:tcW w:w="966" w:type="pct"/>
            <w:tcBorders>
              <w:top w:val="single" w:sz="4" w:space="0" w:color="auto"/>
              <w:bottom w:val="single" w:sz="4" w:space="0" w:color="auto"/>
            </w:tcBorders>
            <w:vAlign w:val="bottom"/>
          </w:tcPr>
          <w:p w14:paraId="68A7AEFB" w14:textId="77777777" w:rsidR="000E5239" w:rsidRPr="000F120F" w:rsidRDefault="000E5239" w:rsidP="00F36942">
            <w:pPr>
              <w:pStyle w:val="Tabletext"/>
              <w:rPr>
                <w:snapToGrid w:val="0"/>
              </w:rPr>
            </w:pPr>
            <w:r w:rsidRPr="00295986">
              <w:t>3</w:t>
            </w:r>
            <w:r w:rsidR="00D7157D">
              <w:t>.</w:t>
            </w:r>
            <w:r w:rsidRPr="00295986">
              <w:t>3156</w:t>
            </w:r>
          </w:p>
        </w:tc>
        <w:tc>
          <w:tcPr>
            <w:tcW w:w="966" w:type="pct"/>
            <w:tcBorders>
              <w:top w:val="single" w:sz="4" w:space="0" w:color="auto"/>
              <w:bottom w:val="single" w:sz="4" w:space="0" w:color="auto"/>
            </w:tcBorders>
            <w:vAlign w:val="bottom"/>
          </w:tcPr>
          <w:p w14:paraId="03F0D2CA" w14:textId="77777777" w:rsidR="000E5239" w:rsidRPr="000F120F" w:rsidRDefault="000E5239" w:rsidP="00F36942">
            <w:pPr>
              <w:pStyle w:val="Tabletext"/>
              <w:rPr>
                <w:snapToGrid w:val="0"/>
              </w:rPr>
            </w:pPr>
            <w:r w:rsidRPr="00295986">
              <w:t>0</w:t>
            </w:r>
            <w:r w:rsidR="00D7157D">
              <w:t>.</w:t>
            </w:r>
            <w:r w:rsidRPr="00295986">
              <w:t>3389</w:t>
            </w:r>
          </w:p>
        </w:tc>
        <w:tc>
          <w:tcPr>
            <w:tcW w:w="966" w:type="pct"/>
            <w:tcBorders>
              <w:top w:val="single" w:sz="4" w:space="0" w:color="auto"/>
              <w:bottom w:val="single" w:sz="4" w:space="0" w:color="auto"/>
            </w:tcBorders>
            <w:vAlign w:val="bottom"/>
          </w:tcPr>
          <w:p w14:paraId="48D34FAC" w14:textId="77777777" w:rsidR="000E5239" w:rsidRPr="000F120F" w:rsidRDefault="000E5239" w:rsidP="00F36942">
            <w:pPr>
              <w:pStyle w:val="Tabletext"/>
              <w:rPr>
                <w:snapToGrid w:val="0"/>
              </w:rPr>
            </w:pPr>
            <w:r w:rsidRPr="00295986">
              <w:t>3</w:t>
            </w:r>
            <w:r w:rsidR="00D7157D">
              <w:t>.</w:t>
            </w:r>
            <w:r w:rsidRPr="00295986">
              <w:t>8141</w:t>
            </w:r>
          </w:p>
        </w:tc>
        <w:tc>
          <w:tcPr>
            <w:tcW w:w="966" w:type="pct"/>
            <w:tcBorders>
              <w:top w:val="single" w:sz="4" w:space="0" w:color="auto"/>
              <w:bottom w:val="single" w:sz="4" w:space="0" w:color="auto"/>
            </w:tcBorders>
            <w:vAlign w:val="bottom"/>
          </w:tcPr>
          <w:p w14:paraId="6DA44D7A" w14:textId="77777777" w:rsidR="000E5239" w:rsidRPr="000F120F" w:rsidRDefault="000E5239" w:rsidP="00F36942">
            <w:pPr>
              <w:pStyle w:val="Tabletext"/>
              <w:rPr>
                <w:snapToGrid w:val="0"/>
              </w:rPr>
            </w:pPr>
            <w:r w:rsidRPr="00295986">
              <w:t>0</w:t>
            </w:r>
            <w:r w:rsidR="00D7157D">
              <w:t>.</w:t>
            </w:r>
            <w:r w:rsidRPr="00295986">
              <w:t>0989</w:t>
            </w:r>
          </w:p>
        </w:tc>
      </w:tr>
      <w:tr w:rsidR="000E5239" w:rsidRPr="009E2595" w14:paraId="18B9FA83" w14:textId="77777777" w:rsidTr="00F36942">
        <w:trPr>
          <w:cantSplit/>
        </w:trPr>
        <w:tc>
          <w:tcPr>
            <w:tcW w:w="1136" w:type="pct"/>
            <w:tcBorders>
              <w:top w:val="single" w:sz="4" w:space="0" w:color="auto"/>
              <w:bottom w:val="single" w:sz="4" w:space="0" w:color="auto"/>
            </w:tcBorders>
          </w:tcPr>
          <w:p w14:paraId="6DD6FC91" w14:textId="77777777" w:rsidR="000E5239" w:rsidRPr="00616B26" w:rsidRDefault="000E5239" w:rsidP="00F36942">
            <w:pPr>
              <w:pStyle w:val="Tabletext"/>
              <w:rPr>
                <w:snapToGrid w:val="0"/>
              </w:rPr>
            </w:pPr>
            <w:r w:rsidRPr="00616B26">
              <w:rPr>
                <w:snapToGrid w:val="0"/>
              </w:rPr>
              <w:t>95</w:t>
            </w:r>
          </w:p>
        </w:tc>
        <w:tc>
          <w:tcPr>
            <w:tcW w:w="966" w:type="pct"/>
            <w:tcBorders>
              <w:top w:val="single" w:sz="4" w:space="0" w:color="auto"/>
              <w:bottom w:val="single" w:sz="4" w:space="0" w:color="auto"/>
            </w:tcBorders>
            <w:vAlign w:val="bottom"/>
          </w:tcPr>
          <w:p w14:paraId="6BA44467" w14:textId="77777777" w:rsidR="000E5239" w:rsidRPr="000F120F" w:rsidRDefault="000E5239" w:rsidP="00F36942">
            <w:pPr>
              <w:pStyle w:val="Tabletext"/>
              <w:rPr>
                <w:snapToGrid w:val="0"/>
              </w:rPr>
            </w:pPr>
            <w:r w:rsidRPr="00295986">
              <w:t>3</w:t>
            </w:r>
            <w:r w:rsidR="00D7157D">
              <w:t>.</w:t>
            </w:r>
            <w:r w:rsidRPr="00295986">
              <w:t>1307</w:t>
            </w:r>
          </w:p>
        </w:tc>
        <w:tc>
          <w:tcPr>
            <w:tcW w:w="966" w:type="pct"/>
            <w:tcBorders>
              <w:top w:val="single" w:sz="4" w:space="0" w:color="auto"/>
              <w:bottom w:val="single" w:sz="4" w:space="0" w:color="auto"/>
            </w:tcBorders>
            <w:vAlign w:val="bottom"/>
          </w:tcPr>
          <w:p w14:paraId="17E11BD5" w14:textId="77777777" w:rsidR="000E5239" w:rsidRPr="000F120F" w:rsidRDefault="000E5239" w:rsidP="00F36942">
            <w:pPr>
              <w:pStyle w:val="Tabletext"/>
              <w:rPr>
                <w:snapToGrid w:val="0"/>
              </w:rPr>
            </w:pPr>
            <w:r w:rsidRPr="00295986">
              <w:t>0</w:t>
            </w:r>
            <w:r w:rsidR="00D7157D">
              <w:t>.</w:t>
            </w:r>
            <w:r w:rsidRPr="00295986">
              <w:t>3196</w:t>
            </w:r>
          </w:p>
        </w:tc>
        <w:tc>
          <w:tcPr>
            <w:tcW w:w="966" w:type="pct"/>
            <w:tcBorders>
              <w:top w:val="single" w:sz="4" w:space="0" w:color="auto"/>
              <w:bottom w:val="single" w:sz="4" w:space="0" w:color="auto"/>
            </w:tcBorders>
            <w:vAlign w:val="bottom"/>
          </w:tcPr>
          <w:p w14:paraId="31F569F6" w14:textId="77777777" w:rsidR="000E5239" w:rsidRPr="000F120F" w:rsidRDefault="000E5239" w:rsidP="00F36942">
            <w:pPr>
              <w:pStyle w:val="Tabletext"/>
              <w:rPr>
                <w:snapToGrid w:val="0"/>
              </w:rPr>
            </w:pPr>
            <w:r w:rsidRPr="00295986">
              <w:t>3</w:t>
            </w:r>
            <w:r w:rsidR="00D7157D">
              <w:t>.</w:t>
            </w:r>
            <w:r w:rsidRPr="00295986">
              <w:t>5466</w:t>
            </w:r>
          </w:p>
        </w:tc>
        <w:tc>
          <w:tcPr>
            <w:tcW w:w="966" w:type="pct"/>
            <w:tcBorders>
              <w:top w:val="single" w:sz="4" w:space="0" w:color="auto"/>
              <w:bottom w:val="single" w:sz="4" w:space="0" w:color="auto"/>
            </w:tcBorders>
            <w:vAlign w:val="bottom"/>
          </w:tcPr>
          <w:p w14:paraId="2EEEC2F5" w14:textId="77777777" w:rsidR="000E5239" w:rsidRPr="000F120F" w:rsidRDefault="000E5239" w:rsidP="00F36942">
            <w:pPr>
              <w:pStyle w:val="Tabletext"/>
              <w:rPr>
                <w:snapToGrid w:val="0"/>
              </w:rPr>
            </w:pPr>
            <w:r w:rsidRPr="00295986">
              <w:t>0</w:t>
            </w:r>
            <w:r w:rsidR="00D7157D">
              <w:t>.</w:t>
            </w:r>
            <w:r w:rsidRPr="00295986">
              <w:t>0953</w:t>
            </w:r>
          </w:p>
        </w:tc>
      </w:tr>
      <w:tr w:rsidR="000E5239" w:rsidRPr="009E2595" w14:paraId="331781A0" w14:textId="77777777" w:rsidTr="00F36942">
        <w:trPr>
          <w:cantSplit/>
        </w:trPr>
        <w:tc>
          <w:tcPr>
            <w:tcW w:w="1136" w:type="pct"/>
            <w:tcBorders>
              <w:top w:val="single" w:sz="4" w:space="0" w:color="auto"/>
              <w:bottom w:val="single" w:sz="4" w:space="0" w:color="auto"/>
            </w:tcBorders>
          </w:tcPr>
          <w:p w14:paraId="31CC2E56" w14:textId="77777777" w:rsidR="000E5239" w:rsidRPr="00616B26" w:rsidRDefault="000E5239" w:rsidP="00F36942">
            <w:pPr>
              <w:pStyle w:val="Tabletext"/>
              <w:rPr>
                <w:snapToGrid w:val="0"/>
              </w:rPr>
            </w:pPr>
            <w:r w:rsidRPr="00616B26">
              <w:rPr>
                <w:snapToGrid w:val="0"/>
              </w:rPr>
              <w:t>96</w:t>
            </w:r>
          </w:p>
        </w:tc>
        <w:tc>
          <w:tcPr>
            <w:tcW w:w="966" w:type="pct"/>
            <w:tcBorders>
              <w:top w:val="single" w:sz="4" w:space="0" w:color="auto"/>
              <w:bottom w:val="single" w:sz="4" w:space="0" w:color="auto"/>
            </w:tcBorders>
            <w:vAlign w:val="bottom"/>
          </w:tcPr>
          <w:p w14:paraId="011A5C4F" w14:textId="77777777" w:rsidR="000E5239" w:rsidRPr="000F120F" w:rsidRDefault="000E5239" w:rsidP="00F36942">
            <w:pPr>
              <w:pStyle w:val="Tabletext"/>
              <w:rPr>
                <w:snapToGrid w:val="0"/>
              </w:rPr>
            </w:pPr>
            <w:r w:rsidRPr="00295986">
              <w:t>2</w:t>
            </w:r>
            <w:r w:rsidR="00D7157D">
              <w:t>.</w:t>
            </w:r>
            <w:r w:rsidRPr="00295986">
              <w:t>9587</w:t>
            </w:r>
          </w:p>
        </w:tc>
        <w:tc>
          <w:tcPr>
            <w:tcW w:w="966" w:type="pct"/>
            <w:tcBorders>
              <w:top w:val="single" w:sz="4" w:space="0" w:color="auto"/>
              <w:bottom w:val="single" w:sz="4" w:space="0" w:color="auto"/>
            </w:tcBorders>
            <w:vAlign w:val="bottom"/>
          </w:tcPr>
          <w:p w14:paraId="6B53E59D" w14:textId="77777777" w:rsidR="000E5239" w:rsidRPr="000F120F" w:rsidRDefault="000E5239" w:rsidP="00F36942">
            <w:pPr>
              <w:pStyle w:val="Tabletext"/>
              <w:rPr>
                <w:snapToGrid w:val="0"/>
              </w:rPr>
            </w:pPr>
            <w:r w:rsidRPr="00295986">
              <w:t>0</w:t>
            </w:r>
            <w:r w:rsidR="00D7157D">
              <w:t>.</w:t>
            </w:r>
            <w:r w:rsidRPr="00295986">
              <w:t>3003</w:t>
            </w:r>
          </w:p>
        </w:tc>
        <w:tc>
          <w:tcPr>
            <w:tcW w:w="966" w:type="pct"/>
            <w:tcBorders>
              <w:top w:val="single" w:sz="4" w:space="0" w:color="auto"/>
              <w:bottom w:val="single" w:sz="4" w:space="0" w:color="auto"/>
            </w:tcBorders>
            <w:vAlign w:val="bottom"/>
          </w:tcPr>
          <w:p w14:paraId="0C9CAA9B" w14:textId="77777777" w:rsidR="000E5239" w:rsidRPr="000F120F" w:rsidRDefault="000E5239" w:rsidP="00F36942">
            <w:pPr>
              <w:pStyle w:val="Tabletext"/>
              <w:rPr>
                <w:snapToGrid w:val="0"/>
              </w:rPr>
            </w:pPr>
            <w:r w:rsidRPr="00295986">
              <w:t>3</w:t>
            </w:r>
            <w:r w:rsidR="00D7157D">
              <w:t>.</w:t>
            </w:r>
            <w:r w:rsidRPr="00295986">
              <w:t>2913</w:t>
            </w:r>
          </w:p>
        </w:tc>
        <w:tc>
          <w:tcPr>
            <w:tcW w:w="966" w:type="pct"/>
            <w:tcBorders>
              <w:top w:val="single" w:sz="4" w:space="0" w:color="auto"/>
              <w:bottom w:val="single" w:sz="4" w:space="0" w:color="auto"/>
            </w:tcBorders>
            <w:vAlign w:val="bottom"/>
          </w:tcPr>
          <w:p w14:paraId="7149B0FB" w14:textId="77777777" w:rsidR="000E5239" w:rsidRPr="000F120F" w:rsidRDefault="000E5239" w:rsidP="00F36942">
            <w:pPr>
              <w:pStyle w:val="Tabletext"/>
              <w:rPr>
                <w:snapToGrid w:val="0"/>
              </w:rPr>
            </w:pPr>
            <w:r w:rsidRPr="00295986">
              <w:t>0</w:t>
            </w:r>
            <w:r w:rsidR="00D7157D">
              <w:t>.</w:t>
            </w:r>
            <w:r w:rsidRPr="00295986">
              <w:t>0916</w:t>
            </w:r>
          </w:p>
        </w:tc>
      </w:tr>
      <w:tr w:rsidR="000E5239" w:rsidRPr="009E2595" w14:paraId="3981F48D" w14:textId="77777777" w:rsidTr="00F36942">
        <w:trPr>
          <w:cantSplit/>
        </w:trPr>
        <w:tc>
          <w:tcPr>
            <w:tcW w:w="1136" w:type="pct"/>
            <w:tcBorders>
              <w:top w:val="single" w:sz="4" w:space="0" w:color="auto"/>
              <w:bottom w:val="single" w:sz="4" w:space="0" w:color="auto"/>
            </w:tcBorders>
          </w:tcPr>
          <w:p w14:paraId="27D49518" w14:textId="77777777" w:rsidR="000E5239" w:rsidRPr="00616B26" w:rsidRDefault="000E5239" w:rsidP="00F36942">
            <w:pPr>
              <w:pStyle w:val="Tabletext"/>
              <w:rPr>
                <w:snapToGrid w:val="0"/>
              </w:rPr>
            </w:pPr>
            <w:r w:rsidRPr="00616B26">
              <w:rPr>
                <w:snapToGrid w:val="0"/>
              </w:rPr>
              <w:t>97</w:t>
            </w:r>
          </w:p>
        </w:tc>
        <w:tc>
          <w:tcPr>
            <w:tcW w:w="966" w:type="pct"/>
            <w:tcBorders>
              <w:top w:val="single" w:sz="4" w:space="0" w:color="auto"/>
              <w:bottom w:val="single" w:sz="4" w:space="0" w:color="auto"/>
            </w:tcBorders>
            <w:vAlign w:val="bottom"/>
          </w:tcPr>
          <w:p w14:paraId="21687584" w14:textId="77777777" w:rsidR="000E5239" w:rsidRPr="000F120F" w:rsidRDefault="000E5239" w:rsidP="00F36942">
            <w:pPr>
              <w:pStyle w:val="Tabletext"/>
              <w:rPr>
                <w:snapToGrid w:val="0"/>
              </w:rPr>
            </w:pPr>
            <w:r w:rsidRPr="00295986">
              <w:t>2</w:t>
            </w:r>
            <w:r w:rsidR="00D7157D">
              <w:t>.</w:t>
            </w:r>
            <w:r w:rsidRPr="00295986">
              <w:t>7988</w:t>
            </w:r>
          </w:p>
        </w:tc>
        <w:tc>
          <w:tcPr>
            <w:tcW w:w="966" w:type="pct"/>
            <w:tcBorders>
              <w:top w:val="single" w:sz="4" w:space="0" w:color="auto"/>
              <w:bottom w:val="single" w:sz="4" w:space="0" w:color="auto"/>
            </w:tcBorders>
            <w:vAlign w:val="bottom"/>
          </w:tcPr>
          <w:p w14:paraId="3F70FA7B" w14:textId="77777777" w:rsidR="000E5239" w:rsidRPr="000F120F" w:rsidRDefault="000E5239" w:rsidP="00F36942">
            <w:pPr>
              <w:pStyle w:val="Tabletext"/>
              <w:rPr>
                <w:snapToGrid w:val="0"/>
              </w:rPr>
            </w:pPr>
            <w:r w:rsidRPr="00295986">
              <w:t>0</w:t>
            </w:r>
            <w:r w:rsidR="00D7157D">
              <w:t>.</w:t>
            </w:r>
            <w:r w:rsidRPr="00295986">
              <w:t>2809</w:t>
            </w:r>
          </w:p>
        </w:tc>
        <w:tc>
          <w:tcPr>
            <w:tcW w:w="966" w:type="pct"/>
            <w:tcBorders>
              <w:top w:val="single" w:sz="4" w:space="0" w:color="auto"/>
              <w:bottom w:val="single" w:sz="4" w:space="0" w:color="auto"/>
            </w:tcBorders>
            <w:vAlign w:val="bottom"/>
          </w:tcPr>
          <w:p w14:paraId="6C461CFE" w14:textId="77777777" w:rsidR="000E5239" w:rsidRPr="000F120F" w:rsidRDefault="000E5239" w:rsidP="00F36942">
            <w:pPr>
              <w:pStyle w:val="Tabletext"/>
              <w:rPr>
                <w:snapToGrid w:val="0"/>
              </w:rPr>
            </w:pPr>
            <w:r w:rsidRPr="00295986">
              <w:t>3</w:t>
            </w:r>
            <w:r w:rsidR="00D7157D">
              <w:t>.</w:t>
            </w:r>
            <w:r w:rsidRPr="00295986">
              <w:t>0435</w:t>
            </w:r>
          </w:p>
        </w:tc>
        <w:tc>
          <w:tcPr>
            <w:tcW w:w="966" w:type="pct"/>
            <w:tcBorders>
              <w:top w:val="single" w:sz="4" w:space="0" w:color="auto"/>
              <w:bottom w:val="single" w:sz="4" w:space="0" w:color="auto"/>
            </w:tcBorders>
            <w:vAlign w:val="bottom"/>
          </w:tcPr>
          <w:p w14:paraId="58D33415" w14:textId="77777777" w:rsidR="000E5239" w:rsidRPr="000F120F" w:rsidRDefault="000E5239" w:rsidP="00F36942">
            <w:pPr>
              <w:pStyle w:val="Tabletext"/>
              <w:rPr>
                <w:snapToGrid w:val="0"/>
              </w:rPr>
            </w:pPr>
            <w:r w:rsidRPr="00295986">
              <w:t>0</w:t>
            </w:r>
            <w:r w:rsidR="00D7157D">
              <w:t>.</w:t>
            </w:r>
            <w:r w:rsidRPr="00295986">
              <w:t>0879</w:t>
            </w:r>
          </w:p>
        </w:tc>
      </w:tr>
      <w:tr w:rsidR="000E5239" w:rsidRPr="009E2595" w14:paraId="3E29C20D" w14:textId="77777777" w:rsidTr="00F36942">
        <w:trPr>
          <w:cantSplit/>
        </w:trPr>
        <w:tc>
          <w:tcPr>
            <w:tcW w:w="1136" w:type="pct"/>
            <w:tcBorders>
              <w:top w:val="single" w:sz="4" w:space="0" w:color="auto"/>
              <w:bottom w:val="single" w:sz="4" w:space="0" w:color="auto"/>
            </w:tcBorders>
          </w:tcPr>
          <w:p w14:paraId="498FA6C7" w14:textId="77777777" w:rsidR="000E5239" w:rsidRPr="00616B26" w:rsidRDefault="000E5239" w:rsidP="00F36942">
            <w:pPr>
              <w:pStyle w:val="Tabletext"/>
              <w:rPr>
                <w:snapToGrid w:val="0"/>
              </w:rPr>
            </w:pPr>
            <w:r w:rsidRPr="00616B26">
              <w:rPr>
                <w:snapToGrid w:val="0"/>
              </w:rPr>
              <w:t>98</w:t>
            </w:r>
          </w:p>
        </w:tc>
        <w:tc>
          <w:tcPr>
            <w:tcW w:w="966" w:type="pct"/>
            <w:tcBorders>
              <w:top w:val="single" w:sz="4" w:space="0" w:color="auto"/>
              <w:bottom w:val="single" w:sz="4" w:space="0" w:color="auto"/>
            </w:tcBorders>
            <w:vAlign w:val="bottom"/>
          </w:tcPr>
          <w:p w14:paraId="26FE0D2A" w14:textId="77777777" w:rsidR="000E5239" w:rsidRPr="000F120F" w:rsidRDefault="000E5239" w:rsidP="00F36942">
            <w:pPr>
              <w:pStyle w:val="Tabletext"/>
              <w:rPr>
                <w:snapToGrid w:val="0"/>
              </w:rPr>
            </w:pPr>
            <w:r w:rsidRPr="00295986">
              <w:t>2</w:t>
            </w:r>
            <w:r w:rsidR="00D7157D">
              <w:t>.</w:t>
            </w:r>
            <w:r w:rsidRPr="00295986">
              <w:t>6499</w:t>
            </w:r>
          </w:p>
        </w:tc>
        <w:tc>
          <w:tcPr>
            <w:tcW w:w="966" w:type="pct"/>
            <w:tcBorders>
              <w:top w:val="single" w:sz="4" w:space="0" w:color="auto"/>
              <w:bottom w:val="single" w:sz="4" w:space="0" w:color="auto"/>
            </w:tcBorders>
            <w:vAlign w:val="bottom"/>
          </w:tcPr>
          <w:p w14:paraId="7B4BDB2C" w14:textId="77777777" w:rsidR="000E5239" w:rsidRPr="000F120F" w:rsidRDefault="000E5239" w:rsidP="00F36942">
            <w:pPr>
              <w:pStyle w:val="Tabletext"/>
              <w:rPr>
                <w:snapToGrid w:val="0"/>
              </w:rPr>
            </w:pPr>
            <w:r w:rsidRPr="00295986">
              <w:t>0</w:t>
            </w:r>
            <w:r w:rsidR="00D7157D">
              <w:t>.</w:t>
            </w:r>
            <w:r w:rsidRPr="00295986">
              <w:t>2615</w:t>
            </w:r>
          </w:p>
        </w:tc>
        <w:tc>
          <w:tcPr>
            <w:tcW w:w="966" w:type="pct"/>
            <w:tcBorders>
              <w:top w:val="single" w:sz="4" w:space="0" w:color="auto"/>
              <w:bottom w:val="single" w:sz="4" w:space="0" w:color="auto"/>
            </w:tcBorders>
            <w:vAlign w:val="bottom"/>
          </w:tcPr>
          <w:p w14:paraId="28241BCD" w14:textId="77777777" w:rsidR="000E5239" w:rsidRPr="000F120F" w:rsidRDefault="000E5239" w:rsidP="00F36942">
            <w:pPr>
              <w:pStyle w:val="Tabletext"/>
              <w:rPr>
                <w:snapToGrid w:val="0"/>
              </w:rPr>
            </w:pPr>
            <w:r w:rsidRPr="00295986">
              <w:t>2</w:t>
            </w:r>
            <w:r w:rsidR="00D7157D">
              <w:t>.</w:t>
            </w:r>
            <w:r w:rsidRPr="00295986">
              <w:t>8061</w:t>
            </w:r>
          </w:p>
        </w:tc>
        <w:tc>
          <w:tcPr>
            <w:tcW w:w="966" w:type="pct"/>
            <w:tcBorders>
              <w:top w:val="single" w:sz="4" w:space="0" w:color="auto"/>
              <w:bottom w:val="single" w:sz="4" w:space="0" w:color="auto"/>
            </w:tcBorders>
            <w:vAlign w:val="bottom"/>
          </w:tcPr>
          <w:p w14:paraId="0C4B41D8" w14:textId="77777777" w:rsidR="000E5239" w:rsidRPr="000F120F" w:rsidRDefault="000E5239" w:rsidP="00F36942">
            <w:pPr>
              <w:pStyle w:val="Tabletext"/>
              <w:rPr>
                <w:snapToGrid w:val="0"/>
              </w:rPr>
            </w:pPr>
            <w:r w:rsidRPr="00295986">
              <w:t>0</w:t>
            </w:r>
            <w:r w:rsidR="00D7157D">
              <w:t>.</w:t>
            </w:r>
            <w:r w:rsidRPr="00295986">
              <w:t>0840</w:t>
            </w:r>
          </w:p>
        </w:tc>
      </w:tr>
      <w:tr w:rsidR="000E5239" w:rsidRPr="009E2595" w14:paraId="7174E501" w14:textId="77777777" w:rsidTr="00F36942">
        <w:trPr>
          <w:cantSplit/>
        </w:trPr>
        <w:tc>
          <w:tcPr>
            <w:tcW w:w="1136" w:type="pct"/>
            <w:tcBorders>
              <w:top w:val="single" w:sz="4" w:space="0" w:color="auto"/>
              <w:bottom w:val="single" w:sz="12" w:space="0" w:color="auto"/>
            </w:tcBorders>
          </w:tcPr>
          <w:p w14:paraId="63064A9B" w14:textId="77777777" w:rsidR="000E5239" w:rsidRPr="00616B26" w:rsidRDefault="00ED15BD" w:rsidP="00F36942">
            <w:pPr>
              <w:pStyle w:val="Tabletext"/>
              <w:rPr>
                <w:snapToGrid w:val="0"/>
              </w:rPr>
            </w:pPr>
            <w:r>
              <w:rPr>
                <w:snapToGrid w:val="0"/>
              </w:rPr>
              <w:t>99 and over</w:t>
            </w:r>
          </w:p>
        </w:tc>
        <w:tc>
          <w:tcPr>
            <w:tcW w:w="966" w:type="pct"/>
            <w:tcBorders>
              <w:top w:val="single" w:sz="4" w:space="0" w:color="auto"/>
              <w:bottom w:val="single" w:sz="12" w:space="0" w:color="auto"/>
            </w:tcBorders>
            <w:vAlign w:val="bottom"/>
          </w:tcPr>
          <w:p w14:paraId="03690D01" w14:textId="77777777" w:rsidR="000E5239" w:rsidRPr="000F120F" w:rsidRDefault="000E5239" w:rsidP="00F36942">
            <w:pPr>
              <w:pStyle w:val="Tabletext"/>
              <w:rPr>
                <w:snapToGrid w:val="0"/>
              </w:rPr>
            </w:pPr>
            <w:r w:rsidRPr="00295986">
              <w:t>2</w:t>
            </w:r>
            <w:r w:rsidR="00D7157D">
              <w:t>.</w:t>
            </w:r>
            <w:r w:rsidRPr="00295986">
              <w:t>5109</w:t>
            </w:r>
          </w:p>
        </w:tc>
        <w:tc>
          <w:tcPr>
            <w:tcW w:w="966" w:type="pct"/>
            <w:tcBorders>
              <w:top w:val="single" w:sz="4" w:space="0" w:color="auto"/>
              <w:bottom w:val="single" w:sz="12" w:space="0" w:color="auto"/>
            </w:tcBorders>
            <w:vAlign w:val="bottom"/>
          </w:tcPr>
          <w:p w14:paraId="70249A08" w14:textId="77777777" w:rsidR="000E5239" w:rsidRPr="000F120F" w:rsidRDefault="000E5239" w:rsidP="00F36942">
            <w:pPr>
              <w:pStyle w:val="Tabletext"/>
              <w:rPr>
                <w:snapToGrid w:val="0"/>
              </w:rPr>
            </w:pPr>
            <w:r w:rsidRPr="00295986">
              <w:t>0</w:t>
            </w:r>
            <w:r w:rsidR="00D7157D">
              <w:t>.</w:t>
            </w:r>
            <w:r w:rsidRPr="00295986">
              <w:t>2416</w:t>
            </w:r>
          </w:p>
        </w:tc>
        <w:tc>
          <w:tcPr>
            <w:tcW w:w="966" w:type="pct"/>
            <w:tcBorders>
              <w:top w:val="single" w:sz="4" w:space="0" w:color="auto"/>
              <w:bottom w:val="single" w:sz="12" w:space="0" w:color="auto"/>
            </w:tcBorders>
            <w:vAlign w:val="bottom"/>
          </w:tcPr>
          <w:p w14:paraId="4736075D" w14:textId="77777777" w:rsidR="000E5239" w:rsidRPr="000F120F" w:rsidRDefault="000E5239" w:rsidP="00F36942">
            <w:pPr>
              <w:pStyle w:val="Tabletext"/>
              <w:rPr>
                <w:snapToGrid w:val="0"/>
              </w:rPr>
            </w:pPr>
            <w:r w:rsidRPr="00295986">
              <w:t>2</w:t>
            </w:r>
            <w:r w:rsidR="00D7157D">
              <w:t>.</w:t>
            </w:r>
            <w:r w:rsidRPr="00295986">
              <w:t>5731</w:t>
            </w:r>
          </w:p>
        </w:tc>
        <w:tc>
          <w:tcPr>
            <w:tcW w:w="966" w:type="pct"/>
            <w:tcBorders>
              <w:top w:val="single" w:sz="4" w:space="0" w:color="auto"/>
              <w:bottom w:val="single" w:sz="12" w:space="0" w:color="auto"/>
            </w:tcBorders>
            <w:vAlign w:val="bottom"/>
          </w:tcPr>
          <w:p w14:paraId="7EC54855" w14:textId="77777777" w:rsidR="000E5239" w:rsidRPr="000F120F" w:rsidRDefault="000E5239" w:rsidP="00F36942">
            <w:pPr>
              <w:pStyle w:val="Tabletext"/>
              <w:rPr>
                <w:snapToGrid w:val="0"/>
              </w:rPr>
            </w:pPr>
            <w:r w:rsidRPr="00295986">
              <w:t>0</w:t>
            </w:r>
            <w:r w:rsidR="00D7157D">
              <w:t>.</w:t>
            </w:r>
            <w:r w:rsidRPr="00295986">
              <w:t>0799</w:t>
            </w:r>
          </w:p>
        </w:tc>
      </w:tr>
    </w:tbl>
    <w:p w14:paraId="2C824895" w14:textId="77777777" w:rsidR="00A11FEF" w:rsidRPr="00A058B6" w:rsidRDefault="0022507A" w:rsidP="00A11FEF">
      <w:pPr>
        <w:pStyle w:val="ActHead5"/>
      </w:pPr>
      <w:bookmarkStart w:id="310" w:name="_Toc188350787"/>
      <w:r w:rsidRPr="00423C34">
        <w:rPr>
          <w:rStyle w:val="CharSectno"/>
        </w:rPr>
        <w:t>10</w:t>
      </w:r>
      <w:r w:rsidR="00A11FEF" w:rsidRPr="00984E17">
        <w:t xml:space="preserve">  Valuation factors—wage indexed pension</w:t>
      </w:r>
      <w:bookmarkEnd w:id="310"/>
    </w:p>
    <w:p w14:paraId="1D27414A" w14:textId="77777777" w:rsidR="00A11FEF" w:rsidRPr="00A058B6" w:rsidRDefault="00A11FEF" w:rsidP="00E76DFF">
      <w:pPr>
        <w:pStyle w:val="subsection"/>
      </w:pPr>
      <w:r w:rsidRPr="00A058B6">
        <w:tab/>
      </w:r>
      <w:r w:rsidRPr="00A058B6">
        <w:tab/>
        <w:t>The pension valuation factors and reversion valuation factors set out in this clause apply if the pension is indexed in accordance with</w:t>
      </w:r>
      <w:r w:rsidR="00E76DFF">
        <w:t xml:space="preserve"> </w:t>
      </w:r>
      <w:r w:rsidRPr="009158D7">
        <w:t>a general wage index (for example, average weekly earnings, or average</w:t>
      </w:r>
      <w:r w:rsidRPr="00A058B6">
        <w:t xml:space="preserve"> weekly ordinary time earnings, published by the Australian Bureau of Statistics)</w:t>
      </w:r>
      <w:r w:rsidR="00D7157D">
        <w:t>.</w:t>
      </w:r>
    </w:p>
    <w:p w14:paraId="06008077" w14:textId="77777777" w:rsidR="00A11FEF" w:rsidRPr="00A058B6" w:rsidRDefault="00A11FEF" w:rsidP="00A11FEF">
      <w:pPr>
        <w:pStyle w:val="Tabletext"/>
      </w:pPr>
    </w:p>
    <w:tbl>
      <w:tblPr>
        <w:tblW w:w="5000" w:type="pct"/>
        <w:tblLook w:val="0000" w:firstRow="0" w:lastRow="0" w:firstColumn="0" w:lastColumn="0" w:noHBand="0" w:noVBand="0"/>
      </w:tblPr>
      <w:tblGrid>
        <w:gridCol w:w="2270"/>
        <w:gridCol w:w="1511"/>
        <w:gridCol w:w="1511"/>
        <w:gridCol w:w="1511"/>
        <w:gridCol w:w="1510"/>
      </w:tblGrid>
      <w:tr w:rsidR="00A11FEF" w:rsidRPr="00A058B6" w14:paraId="16A01454" w14:textId="77777777" w:rsidTr="005B61BB">
        <w:trPr>
          <w:cantSplit/>
          <w:trHeight w:val="144"/>
          <w:tblHeader/>
        </w:trPr>
        <w:tc>
          <w:tcPr>
            <w:tcW w:w="1365" w:type="pct"/>
            <w:vMerge w:val="restart"/>
            <w:tcBorders>
              <w:top w:val="single" w:sz="12" w:space="0" w:color="auto"/>
              <w:bottom w:val="single" w:sz="12" w:space="0" w:color="auto"/>
            </w:tcBorders>
          </w:tcPr>
          <w:p w14:paraId="5C4CFAC5" w14:textId="77777777" w:rsidR="00A11FEF" w:rsidRPr="00A058B6" w:rsidRDefault="00A11FEF" w:rsidP="005B61BB">
            <w:pPr>
              <w:pStyle w:val="TableHeading"/>
            </w:pPr>
            <w:r w:rsidRPr="00A058B6">
              <w:t>Age at relevant date (in completed years)</w:t>
            </w:r>
          </w:p>
        </w:tc>
        <w:tc>
          <w:tcPr>
            <w:tcW w:w="3635" w:type="pct"/>
            <w:gridSpan w:val="4"/>
            <w:tcBorders>
              <w:top w:val="single" w:sz="12" w:space="0" w:color="auto"/>
              <w:bottom w:val="single" w:sz="4" w:space="0" w:color="auto"/>
            </w:tcBorders>
          </w:tcPr>
          <w:p w14:paraId="103D317C" w14:textId="77777777" w:rsidR="00A11FEF" w:rsidRPr="00A058B6" w:rsidRDefault="00A11FEF" w:rsidP="005B61BB">
            <w:pPr>
              <w:pStyle w:val="TableHeading"/>
            </w:pPr>
            <w:r w:rsidRPr="00A058B6">
              <w:t>Valuation factors—</w:t>
            </w:r>
            <w:r>
              <w:t>wage indexed pension</w:t>
            </w:r>
          </w:p>
        </w:tc>
      </w:tr>
      <w:tr w:rsidR="00A11FEF" w:rsidRPr="00A058B6" w14:paraId="1B615532" w14:textId="77777777" w:rsidTr="005B61BB">
        <w:trPr>
          <w:cantSplit/>
          <w:trHeight w:val="121"/>
          <w:tblHeader/>
        </w:trPr>
        <w:tc>
          <w:tcPr>
            <w:tcW w:w="1365" w:type="pct"/>
            <w:vMerge/>
            <w:tcBorders>
              <w:bottom w:val="single" w:sz="12" w:space="0" w:color="auto"/>
            </w:tcBorders>
          </w:tcPr>
          <w:p w14:paraId="1638896C" w14:textId="77777777" w:rsidR="00A11FEF" w:rsidRPr="00A058B6" w:rsidRDefault="00A11FEF" w:rsidP="005B61BB">
            <w:pPr>
              <w:pStyle w:val="TableHeading"/>
            </w:pPr>
          </w:p>
        </w:tc>
        <w:tc>
          <w:tcPr>
            <w:tcW w:w="1818" w:type="pct"/>
            <w:gridSpan w:val="2"/>
            <w:tcBorders>
              <w:top w:val="single" w:sz="4" w:space="0" w:color="auto"/>
              <w:bottom w:val="single" w:sz="4" w:space="0" w:color="auto"/>
            </w:tcBorders>
          </w:tcPr>
          <w:p w14:paraId="11FCC2D6" w14:textId="77777777" w:rsidR="00A11FEF" w:rsidRPr="00A058B6" w:rsidRDefault="00A11FEF" w:rsidP="005B61BB">
            <w:pPr>
              <w:pStyle w:val="TableHeading"/>
            </w:pPr>
            <w:r w:rsidRPr="00A058B6">
              <w:t>Males</w:t>
            </w:r>
          </w:p>
        </w:tc>
        <w:tc>
          <w:tcPr>
            <w:tcW w:w="1817" w:type="pct"/>
            <w:gridSpan w:val="2"/>
            <w:tcBorders>
              <w:top w:val="single" w:sz="4" w:space="0" w:color="auto"/>
              <w:bottom w:val="single" w:sz="4" w:space="0" w:color="auto"/>
            </w:tcBorders>
          </w:tcPr>
          <w:p w14:paraId="28CB53FA" w14:textId="77777777" w:rsidR="00A11FEF" w:rsidRPr="00A058B6" w:rsidRDefault="00A11FEF" w:rsidP="005B61BB">
            <w:pPr>
              <w:pStyle w:val="TableHeading"/>
            </w:pPr>
            <w:r w:rsidRPr="00A058B6">
              <w:t>Females</w:t>
            </w:r>
          </w:p>
        </w:tc>
      </w:tr>
      <w:tr w:rsidR="00A11FEF" w:rsidRPr="00A058B6" w14:paraId="1D2408CD" w14:textId="77777777" w:rsidTr="005B61BB">
        <w:trPr>
          <w:cantSplit/>
          <w:trHeight w:val="80"/>
          <w:tblHeader/>
        </w:trPr>
        <w:tc>
          <w:tcPr>
            <w:tcW w:w="1365" w:type="pct"/>
            <w:vMerge/>
            <w:tcBorders>
              <w:bottom w:val="single" w:sz="12" w:space="0" w:color="auto"/>
            </w:tcBorders>
          </w:tcPr>
          <w:p w14:paraId="000E1B8F" w14:textId="77777777" w:rsidR="00A11FEF" w:rsidRPr="00A058B6" w:rsidRDefault="00A11FEF" w:rsidP="005B61BB">
            <w:pPr>
              <w:pStyle w:val="TableHeading"/>
            </w:pPr>
          </w:p>
        </w:tc>
        <w:tc>
          <w:tcPr>
            <w:tcW w:w="909" w:type="pct"/>
            <w:tcBorders>
              <w:top w:val="single" w:sz="4" w:space="0" w:color="auto"/>
              <w:bottom w:val="single" w:sz="12" w:space="0" w:color="auto"/>
            </w:tcBorders>
          </w:tcPr>
          <w:p w14:paraId="3843FFDC" w14:textId="77777777" w:rsidR="00A11FEF" w:rsidRPr="00A058B6" w:rsidRDefault="00A11FEF" w:rsidP="005B61BB">
            <w:pPr>
              <w:pStyle w:val="TableHeading"/>
            </w:pPr>
            <w:r w:rsidRPr="00A058B6">
              <w:t>Pension</w:t>
            </w:r>
          </w:p>
        </w:tc>
        <w:tc>
          <w:tcPr>
            <w:tcW w:w="909" w:type="pct"/>
            <w:tcBorders>
              <w:top w:val="single" w:sz="4" w:space="0" w:color="auto"/>
              <w:bottom w:val="single" w:sz="12" w:space="0" w:color="auto"/>
            </w:tcBorders>
          </w:tcPr>
          <w:p w14:paraId="23BB7CA2" w14:textId="77777777" w:rsidR="00A11FEF" w:rsidRPr="00A058B6" w:rsidRDefault="00A11FEF" w:rsidP="005B61BB">
            <w:pPr>
              <w:pStyle w:val="TableHeading"/>
            </w:pPr>
            <w:r w:rsidRPr="00A058B6">
              <w:t>Reversion</w:t>
            </w:r>
          </w:p>
        </w:tc>
        <w:tc>
          <w:tcPr>
            <w:tcW w:w="909" w:type="pct"/>
            <w:tcBorders>
              <w:top w:val="single" w:sz="4" w:space="0" w:color="auto"/>
              <w:bottom w:val="single" w:sz="12" w:space="0" w:color="auto"/>
            </w:tcBorders>
          </w:tcPr>
          <w:p w14:paraId="6AA90E91" w14:textId="77777777" w:rsidR="00A11FEF" w:rsidRPr="00A058B6" w:rsidRDefault="00A11FEF" w:rsidP="005B61BB">
            <w:pPr>
              <w:pStyle w:val="TableHeading"/>
            </w:pPr>
            <w:r w:rsidRPr="00A058B6">
              <w:t>Pension</w:t>
            </w:r>
          </w:p>
        </w:tc>
        <w:tc>
          <w:tcPr>
            <w:tcW w:w="908" w:type="pct"/>
            <w:tcBorders>
              <w:top w:val="single" w:sz="4" w:space="0" w:color="auto"/>
              <w:bottom w:val="single" w:sz="12" w:space="0" w:color="auto"/>
            </w:tcBorders>
          </w:tcPr>
          <w:p w14:paraId="72A0C7F5" w14:textId="77777777" w:rsidR="00A11FEF" w:rsidRPr="00A058B6" w:rsidRDefault="00A11FEF" w:rsidP="005B61BB">
            <w:pPr>
              <w:pStyle w:val="TableHeading"/>
            </w:pPr>
            <w:r w:rsidRPr="00A058B6">
              <w:t>Reversion</w:t>
            </w:r>
          </w:p>
        </w:tc>
      </w:tr>
      <w:tr w:rsidR="00196507" w:rsidRPr="009E2595" w14:paraId="3F339FEC" w14:textId="77777777" w:rsidTr="005B61BB">
        <w:trPr>
          <w:cantSplit/>
        </w:trPr>
        <w:tc>
          <w:tcPr>
            <w:tcW w:w="1365" w:type="pct"/>
            <w:tcBorders>
              <w:top w:val="single" w:sz="12" w:space="0" w:color="auto"/>
              <w:bottom w:val="single" w:sz="4" w:space="0" w:color="auto"/>
            </w:tcBorders>
          </w:tcPr>
          <w:p w14:paraId="0A7271A0" w14:textId="77777777" w:rsidR="00196507" w:rsidRPr="00616B26" w:rsidRDefault="00196507" w:rsidP="00196507">
            <w:pPr>
              <w:pStyle w:val="Tabletext"/>
              <w:rPr>
                <w:snapToGrid w:val="0"/>
              </w:rPr>
            </w:pPr>
            <w:r w:rsidRPr="00616B26">
              <w:rPr>
                <w:snapToGrid w:val="0"/>
              </w:rPr>
              <w:t>18</w:t>
            </w:r>
          </w:p>
        </w:tc>
        <w:tc>
          <w:tcPr>
            <w:tcW w:w="909" w:type="pct"/>
            <w:tcBorders>
              <w:top w:val="single" w:sz="12" w:space="0" w:color="auto"/>
              <w:bottom w:val="single" w:sz="4" w:space="0" w:color="auto"/>
            </w:tcBorders>
            <w:vAlign w:val="bottom"/>
          </w:tcPr>
          <w:p w14:paraId="637DAFBC"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2495</w:t>
            </w:r>
          </w:p>
        </w:tc>
        <w:tc>
          <w:tcPr>
            <w:tcW w:w="909" w:type="pct"/>
            <w:tcBorders>
              <w:top w:val="single" w:sz="12" w:space="0" w:color="auto"/>
              <w:bottom w:val="single" w:sz="4" w:space="0" w:color="auto"/>
            </w:tcBorders>
            <w:vAlign w:val="bottom"/>
          </w:tcPr>
          <w:p w14:paraId="67CBAA5E"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3376</w:t>
            </w:r>
          </w:p>
        </w:tc>
        <w:tc>
          <w:tcPr>
            <w:tcW w:w="909" w:type="pct"/>
            <w:tcBorders>
              <w:top w:val="single" w:sz="12" w:space="0" w:color="auto"/>
              <w:bottom w:val="single" w:sz="4" w:space="0" w:color="auto"/>
            </w:tcBorders>
            <w:vAlign w:val="bottom"/>
          </w:tcPr>
          <w:p w14:paraId="0B53C7A5"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9538</w:t>
            </w:r>
          </w:p>
        </w:tc>
        <w:tc>
          <w:tcPr>
            <w:tcW w:w="908" w:type="pct"/>
            <w:tcBorders>
              <w:top w:val="single" w:sz="12" w:space="0" w:color="auto"/>
              <w:bottom w:val="single" w:sz="4" w:space="0" w:color="auto"/>
            </w:tcBorders>
            <w:vAlign w:val="bottom"/>
          </w:tcPr>
          <w:p w14:paraId="281EC33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5352</w:t>
            </w:r>
          </w:p>
        </w:tc>
      </w:tr>
      <w:tr w:rsidR="00196507" w:rsidRPr="009E2595" w14:paraId="1EF60201" w14:textId="77777777" w:rsidTr="005B61BB">
        <w:trPr>
          <w:cantSplit/>
        </w:trPr>
        <w:tc>
          <w:tcPr>
            <w:tcW w:w="1365" w:type="pct"/>
            <w:tcBorders>
              <w:top w:val="single" w:sz="4" w:space="0" w:color="auto"/>
              <w:bottom w:val="single" w:sz="4" w:space="0" w:color="auto"/>
            </w:tcBorders>
          </w:tcPr>
          <w:p w14:paraId="3A8AE824" w14:textId="77777777" w:rsidR="00196507" w:rsidRPr="00616B26" w:rsidRDefault="00196507" w:rsidP="00196507">
            <w:pPr>
              <w:pStyle w:val="Tabletext"/>
              <w:rPr>
                <w:snapToGrid w:val="0"/>
              </w:rPr>
            </w:pPr>
            <w:r w:rsidRPr="00616B26">
              <w:rPr>
                <w:snapToGrid w:val="0"/>
              </w:rPr>
              <w:t>19</w:t>
            </w:r>
          </w:p>
        </w:tc>
        <w:tc>
          <w:tcPr>
            <w:tcW w:w="909" w:type="pct"/>
            <w:tcBorders>
              <w:top w:val="single" w:sz="4" w:space="0" w:color="auto"/>
              <w:bottom w:val="single" w:sz="4" w:space="0" w:color="auto"/>
            </w:tcBorders>
            <w:vAlign w:val="bottom"/>
          </w:tcPr>
          <w:p w14:paraId="7DF88AE3"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0170</w:t>
            </w:r>
          </w:p>
        </w:tc>
        <w:tc>
          <w:tcPr>
            <w:tcW w:w="909" w:type="pct"/>
            <w:tcBorders>
              <w:top w:val="single" w:sz="4" w:space="0" w:color="auto"/>
              <w:bottom w:val="single" w:sz="4" w:space="0" w:color="auto"/>
            </w:tcBorders>
            <w:vAlign w:val="bottom"/>
          </w:tcPr>
          <w:p w14:paraId="42F51030"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3676</w:t>
            </w:r>
          </w:p>
        </w:tc>
        <w:tc>
          <w:tcPr>
            <w:tcW w:w="909" w:type="pct"/>
            <w:tcBorders>
              <w:top w:val="single" w:sz="4" w:space="0" w:color="auto"/>
              <w:bottom w:val="single" w:sz="4" w:space="0" w:color="auto"/>
            </w:tcBorders>
            <w:vAlign w:val="bottom"/>
          </w:tcPr>
          <w:p w14:paraId="4E7AE6AA"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7347</w:t>
            </w:r>
          </w:p>
        </w:tc>
        <w:tc>
          <w:tcPr>
            <w:tcW w:w="908" w:type="pct"/>
            <w:tcBorders>
              <w:top w:val="single" w:sz="4" w:space="0" w:color="auto"/>
              <w:bottom w:val="single" w:sz="4" w:space="0" w:color="auto"/>
            </w:tcBorders>
            <w:vAlign w:val="bottom"/>
          </w:tcPr>
          <w:p w14:paraId="5BEFF0C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5481</w:t>
            </w:r>
          </w:p>
        </w:tc>
      </w:tr>
      <w:tr w:rsidR="00196507" w:rsidRPr="009E2595" w14:paraId="3E2A0559" w14:textId="77777777" w:rsidTr="005B61BB">
        <w:trPr>
          <w:cantSplit/>
        </w:trPr>
        <w:tc>
          <w:tcPr>
            <w:tcW w:w="1365" w:type="pct"/>
            <w:tcBorders>
              <w:top w:val="single" w:sz="4" w:space="0" w:color="auto"/>
              <w:bottom w:val="single" w:sz="4" w:space="0" w:color="auto"/>
            </w:tcBorders>
          </w:tcPr>
          <w:p w14:paraId="5EB79ACE" w14:textId="77777777" w:rsidR="00196507" w:rsidRPr="00616B26" w:rsidRDefault="00196507" w:rsidP="00196507">
            <w:pPr>
              <w:pStyle w:val="Tabletext"/>
              <w:rPr>
                <w:snapToGrid w:val="0"/>
              </w:rPr>
            </w:pPr>
            <w:r w:rsidRPr="00616B26">
              <w:rPr>
                <w:snapToGrid w:val="0"/>
              </w:rPr>
              <w:t>20</w:t>
            </w:r>
          </w:p>
        </w:tc>
        <w:tc>
          <w:tcPr>
            <w:tcW w:w="909" w:type="pct"/>
            <w:tcBorders>
              <w:top w:val="single" w:sz="4" w:space="0" w:color="auto"/>
              <w:bottom w:val="single" w:sz="4" w:space="0" w:color="auto"/>
            </w:tcBorders>
            <w:vAlign w:val="bottom"/>
          </w:tcPr>
          <w:p w14:paraId="44BAC4C0"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7798</w:t>
            </w:r>
          </w:p>
        </w:tc>
        <w:tc>
          <w:tcPr>
            <w:tcW w:w="909" w:type="pct"/>
            <w:tcBorders>
              <w:top w:val="single" w:sz="4" w:space="0" w:color="auto"/>
              <w:bottom w:val="single" w:sz="4" w:space="0" w:color="auto"/>
            </w:tcBorders>
            <w:vAlign w:val="bottom"/>
          </w:tcPr>
          <w:p w14:paraId="4C1AD384"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3980</w:t>
            </w:r>
          </w:p>
        </w:tc>
        <w:tc>
          <w:tcPr>
            <w:tcW w:w="909" w:type="pct"/>
            <w:tcBorders>
              <w:top w:val="single" w:sz="4" w:space="0" w:color="auto"/>
              <w:bottom w:val="single" w:sz="4" w:space="0" w:color="auto"/>
            </w:tcBorders>
            <w:vAlign w:val="bottom"/>
          </w:tcPr>
          <w:p w14:paraId="3C3139A8"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5104</w:t>
            </w:r>
          </w:p>
        </w:tc>
        <w:tc>
          <w:tcPr>
            <w:tcW w:w="908" w:type="pct"/>
            <w:tcBorders>
              <w:top w:val="single" w:sz="4" w:space="0" w:color="auto"/>
              <w:bottom w:val="single" w:sz="4" w:space="0" w:color="auto"/>
            </w:tcBorders>
            <w:vAlign w:val="bottom"/>
          </w:tcPr>
          <w:p w14:paraId="477DBF8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5614</w:t>
            </w:r>
          </w:p>
        </w:tc>
      </w:tr>
      <w:tr w:rsidR="00196507" w:rsidRPr="009E2595" w14:paraId="0C06D123" w14:textId="77777777" w:rsidTr="005B61BB">
        <w:trPr>
          <w:cantSplit/>
        </w:trPr>
        <w:tc>
          <w:tcPr>
            <w:tcW w:w="1365" w:type="pct"/>
            <w:tcBorders>
              <w:top w:val="single" w:sz="4" w:space="0" w:color="auto"/>
              <w:bottom w:val="single" w:sz="4" w:space="0" w:color="auto"/>
            </w:tcBorders>
          </w:tcPr>
          <w:p w14:paraId="6D1BF69B" w14:textId="77777777" w:rsidR="00196507" w:rsidRPr="00616B26" w:rsidRDefault="00196507" w:rsidP="00196507">
            <w:pPr>
              <w:pStyle w:val="Tabletext"/>
              <w:rPr>
                <w:snapToGrid w:val="0"/>
              </w:rPr>
            </w:pPr>
            <w:r w:rsidRPr="00616B26">
              <w:rPr>
                <w:snapToGrid w:val="0"/>
              </w:rPr>
              <w:t>21</w:t>
            </w:r>
          </w:p>
        </w:tc>
        <w:tc>
          <w:tcPr>
            <w:tcW w:w="909" w:type="pct"/>
            <w:tcBorders>
              <w:top w:val="single" w:sz="4" w:space="0" w:color="auto"/>
              <w:bottom w:val="single" w:sz="4" w:space="0" w:color="auto"/>
            </w:tcBorders>
            <w:vAlign w:val="bottom"/>
          </w:tcPr>
          <w:p w14:paraId="64D078E4"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5371</w:t>
            </w:r>
          </w:p>
        </w:tc>
        <w:tc>
          <w:tcPr>
            <w:tcW w:w="909" w:type="pct"/>
            <w:tcBorders>
              <w:top w:val="single" w:sz="4" w:space="0" w:color="auto"/>
              <w:bottom w:val="single" w:sz="4" w:space="0" w:color="auto"/>
            </w:tcBorders>
            <w:vAlign w:val="bottom"/>
          </w:tcPr>
          <w:p w14:paraId="2CBAA1EA"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4291</w:t>
            </w:r>
          </w:p>
        </w:tc>
        <w:tc>
          <w:tcPr>
            <w:tcW w:w="909" w:type="pct"/>
            <w:tcBorders>
              <w:top w:val="single" w:sz="4" w:space="0" w:color="auto"/>
              <w:bottom w:val="single" w:sz="4" w:space="0" w:color="auto"/>
            </w:tcBorders>
            <w:vAlign w:val="bottom"/>
          </w:tcPr>
          <w:p w14:paraId="0EE254BE"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2808</w:t>
            </w:r>
          </w:p>
        </w:tc>
        <w:tc>
          <w:tcPr>
            <w:tcW w:w="908" w:type="pct"/>
            <w:tcBorders>
              <w:top w:val="single" w:sz="4" w:space="0" w:color="auto"/>
              <w:bottom w:val="single" w:sz="4" w:space="0" w:color="auto"/>
            </w:tcBorders>
            <w:vAlign w:val="bottom"/>
          </w:tcPr>
          <w:p w14:paraId="1BD9C27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5750</w:t>
            </w:r>
          </w:p>
        </w:tc>
      </w:tr>
      <w:tr w:rsidR="00196507" w:rsidRPr="009E2595" w14:paraId="6EFB0530" w14:textId="77777777" w:rsidTr="005B61BB">
        <w:trPr>
          <w:cantSplit/>
        </w:trPr>
        <w:tc>
          <w:tcPr>
            <w:tcW w:w="1365" w:type="pct"/>
            <w:tcBorders>
              <w:top w:val="single" w:sz="4" w:space="0" w:color="auto"/>
              <w:bottom w:val="single" w:sz="4" w:space="0" w:color="auto"/>
            </w:tcBorders>
          </w:tcPr>
          <w:p w14:paraId="7C91E721" w14:textId="77777777" w:rsidR="00196507" w:rsidRPr="00616B26" w:rsidRDefault="00196507" w:rsidP="00196507">
            <w:pPr>
              <w:pStyle w:val="Tabletext"/>
              <w:rPr>
                <w:snapToGrid w:val="0"/>
              </w:rPr>
            </w:pPr>
            <w:r w:rsidRPr="00616B26">
              <w:rPr>
                <w:snapToGrid w:val="0"/>
              </w:rPr>
              <w:t>22</w:t>
            </w:r>
          </w:p>
        </w:tc>
        <w:tc>
          <w:tcPr>
            <w:tcW w:w="909" w:type="pct"/>
            <w:tcBorders>
              <w:top w:val="single" w:sz="4" w:space="0" w:color="auto"/>
              <w:bottom w:val="single" w:sz="4" w:space="0" w:color="auto"/>
            </w:tcBorders>
            <w:vAlign w:val="bottom"/>
          </w:tcPr>
          <w:p w14:paraId="045CDEC5"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2890</w:t>
            </w:r>
          </w:p>
        </w:tc>
        <w:tc>
          <w:tcPr>
            <w:tcW w:w="909" w:type="pct"/>
            <w:tcBorders>
              <w:top w:val="single" w:sz="4" w:space="0" w:color="auto"/>
              <w:bottom w:val="single" w:sz="4" w:space="0" w:color="auto"/>
            </w:tcBorders>
            <w:vAlign w:val="bottom"/>
          </w:tcPr>
          <w:p w14:paraId="79DACFC1"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4609</w:t>
            </w:r>
          </w:p>
        </w:tc>
        <w:tc>
          <w:tcPr>
            <w:tcW w:w="909" w:type="pct"/>
            <w:tcBorders>
              <w:top w:val="single" w:sz="4" w:space="0" w:color="auto"/>
              <w:bottom w:val="single" w:sz="4" w:space="0" w:color="auto"/>
            </w:tcBorders>
            <w:vAlign w:val="bottom"/>
          </w:tcPr>
          <w:p w14:paraId="5A61150D" w14:textId="77777777" w:rsidR="00196507" w:rsidRPr="00196507" w:rsidRDefault="00196507" w:rsidP="00196507">
            <w:pPr>
              <w:pStyle w:val="Tabletext"/>
              <w:rPr>
                <w:snapToGrid w:val="0"/>
                <w:color w:val="000000" w:themeColor="text1"/>
              </w:rPr>
            </w:pPr>
            <w:r w:rsidRPr="00196507">
              <w:rPr>
                <w:color w:val="000000" w:themeColor="text1"/>
              </w:rPr>
              <w:t>36</w:t>
            </w:r>
            <w:r w:rsidR="00D7157D">
              <w:rPr>
                <w:color w:val="000000" w:themeColor="text1"/>
              </w:rPr>
              <w:t>.</w:t>
            </w:r>
            <w:r w:rsidRPr="00196507">
              <w:rPr>
                <w:color w:val="000000" w:themeColor="text1"/>
              </w:rPr>
              <w:t>0460</w:t>
            </w:r>
          </w:p>
        </w:tc>
        <w:tc>
          <w:tcPr>
            <w:tcW w:w="908" w:type="pct"/>
            <w:tcBorders>
              <w:top w:val="single" w:sz="4" w:space="0" w:color="auto"/>
              <w:bottom w:val="single" w:sz="4" w:space="0" w:color="auto"/>
            </w:tcBorders>
            <w:vAlign w:val="bottom"/>
          </w:tcPr>
          <w:p w14:paraId="597169F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5890</w:t>
            </w:r>
          </w:p>
        </w:tc>
      </w:tr>
      <w:tr w:rsidR="00196507" w:rsidRPr="009E2595" w14:paraId="7CBE0546" w14:textId="77777777" w:rsidTr="005B61BB">
        <w:trPr>
          <w:cantSplit/>
        </w:trPr>
        <w:tc>
          <w:tcPr>
            <w:tcW w:w="1365" w:type="pct"/>
            <w:tcBorders>
              <w:top w:val="single" w:sz="4" w:space="0" w:color="auto"/>
              <w:bottom w:val="single" w:sz="4" w:space="0" w:color="auto"/>
            </w:tcBorders>
          </w:tcPr>
          <w:p w14:paraId="2F030830" w14:textId="77777777" w:rsidR="00196507" w:rsidRPr="00616B26" w:rsidRDefault="00196507" w:rsidP="00196507">
            <w:pPr>
              <w:pStyle w:val="Tabletext"/>
              <w:rPr>
                <w:snapToGrid w:val="0"/>
              </w:rPr>
            </w:pPr>
            <w:r w:rsidRPr="00616B26">
              <w:rPr>
                <w:snapToGrid w:val="0"/>
              </w:rPr>
              <w:t>23</w:t>
            </w:r>
          </w:p>
        </w:tc>
        <w:tc>
          <w:tcPr>
            <w:tcW w:w="909" w:type="pct"/>
            <w:tcBorders>
              <w:top w:val="single" w:sz="4" w:space="0" w:color="auto"/>
              <w:bottom w:val="single" w:sz="4" w:space="0" w:color="auto"/>
            </w:tcBorders>
            <w:vAlign w:val="bottom"/>
          </w:tcPr>
          <w:p w14:paraId="225DD5C2"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0354</w:t>
            </w:r>
          </w:p>
        </w:tc>
        <w:tc>
          <w:tcPr>
            <w:tcW w:w="909" w:type="pct"/>
            <w:tcBorders>
              <w:top w:val="single" w:sz="4" w:space="0" w:color="auto"/>
              <w:bottom w:val="single" w:sz="4" w:space="0" w:color="auto"/>
            </w:tcBorders>
            <w:vAlign w:val="bottom"/>
          </w:tcPr>
          <w:p w14:paraId="04DE2F6C"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4932</w:t>
            </w:r>
          </w:p>
        </w:tc>
        <w:tc>
          <w:tcPr>
            <w:tcW w:w="909" w:type="pct"/>
            <w:tcBorders>
              <w:top w:val="single" w:sz="4" w:space="0" w:color="auto"/>
              <w:bottom w:val="single" w:sz="4" w:space="0" w:color="auto"/>
            </w:tcBorders>
            <w:vAlign w:val="bottom"/>
          </w:tcPr>
          <w:p w14:paraId="5ACE01B3"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8056</w:t>
            </w:r>
          </w:p>
        </w:tc>
        <w:tc>
          <w:tcPr>
            <w:tcW w:w="908" w:type="pct"/>
            <w:tcBorders>
              <w:top w:val="single" w:sz="4" w:space="0" w:color="auto"/>
              <w:bottom w:val="single" w:sz="4" w:space="0" w:color="auto"/>
            </w:tcBorders>
            <w:vAlign w:val="bottom"/>
          </w:tcPr>
          <w:p w14:paraId="2C24041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6034</w:t>
            </w:r>
          </w:p>
        </w:tc>
      </w:tr>
      <w:tr w:rsidR="00196507" w:rsidRPr="009E2595" w14:paraId="01397B8B" w14:textId="77777777" w:rsidTr="005B61BB">
        <w:trPr>
          <w:cantSplit/>
        </w:trPr>
        <w:tc>
          <w:tcPr>
            <w:tcW w:w="1365" w:type="pct"/>
            <w:tcBorders>
              <w:top w:val="single" w:sz="4" w:space="0" w:color="auto"/>
              <w:bottom w:val="single" w:sz="4" w:space="0" w:color="auto"/>
            </w:tcBorders>
          </w:tcPr>
          <w:p w14:paraId="20DD589A" w14:textId="77777777" w:rsidR="00196507" w:rsidRPr="00616B26" w:rsidRDefault="00196507" w:rsidP="00196507">
            <w:pPr>
              <w:pStyle w:val="Tabletext"/>
              <w:rPr>
                <w:snapToGrid w:val="0"/>
              </w:rPr>
            </w:pPr>
            <w:r w:rsidRPr="00616B26">
              <w:rPr>
                <w:snapToGrid w:val="0"/>
              </w:rPr>
              <w:t>24</w:t>
            </w:r>
          </w:p>
        </w:tc>
        <w:tc>
          <w:tcPr>
            <w:tcW w:w="909" w:type="pct"/>
            <w:tcBorders>
              <w:top w:val="single" w:sz="4" w:space="0" w:color="auto"/>
              <w:bottom w:val="single" w:sz="4" w:space="0" w:color="auto"/>
            </w:tcBorders>
            <w:vAlign w:val="bottom"/>
          </w:tcPr>
          <w:p w14:paraId="669CBD52" w14:textId="77777777" w:rsidR="00196507" w:rsidRPr="00196507" w:rsidRDefault="00196507" w:rsidP="00196507">
            <w:pPr>
              <w:pStyle w:val="Tabletext"/>
              <w:rPr>
                <w:snapToGrid w:val="0"/>
                <w:color w:val="000000" w:themeColor="text1"/>
              </w:rPr>
            </w:pPr>
            <w:r w:rsidRPr="00196507">
              <w:rPr>
                <w:color w:val="000000" w:themeColor="text1"/>
              </w:rPr>
              <w:t>34</w:t>
            </w:r>
            <w:r w:rsidR="00D7157D">
              <w:rPr>
                <w:color w:val="000000" w:themeColor="text1"/>
              </w:rPr>
              <w:t>.</w:t>
            </w:r>
            <w:r w:rsidRPr="00196507">
              <w:rPr>
                <w:color w:val="000000" w:themeColor="text1"/>
              </w:rPr>
              <w:t>7763</w:t>
            </w:r>
          </w:p>
        </w:tc>
        <w:tc>
          <w:tcPr>
            <w:tcW w:w="909" w:type="pct"/>
            <w:tcBorders>
              <w:top w:val="single" w:sz="4" w:space="0" w:color="auto"/>
              <w:bottom w:val="single" w:sz="4" w:space="0" w:color="auto"/>
            </w:tcBorders>
            <w:vAlign w:val="bottom"/>
          </w:tcPr>
          <w:p w14:paraId="2617E787"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5262</w:t>
            </w:r>
          </w:p>
        </w:tc>
        <w:tc>
          <w:tcPr>
            <w:tcW w:w="909" w:type="pct"/>
            <w:tcBorders>
              <w:top w:val="single" w:sz="4" w:space="0" w:color="auto"/>
              <w:bottom w:val="single" w:sz="4" w:space="0" w:color="auto"/>
            </w:tcBorders>
            <w:vAlign w:val="bottom"/>
          </w:tcPr>
          <w:p w14:paraId="7E19FFBB"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5597</w:t>
            </w:r>
          </w:p>
        </w:tc>
        <w:tc>
          <w:tcPr>
            <w:tcW w:w="908" w:type="pct"/>
            <w:tcBorders>
              <w:top w:val="single" w:sz="4" w:space="0" w:color="auto"/>
              <w:bottom w:val="single" w:sz="4" w:space="0" w:color="auto"/>
            </w:tcBorders>
            <w:vAlign w:val="bottom"/>
          </w:tcPr>
          <w:p w14:paraId="4674930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6181</w:t>
            </w:r>
          </w:p>
        </w:tc>
      </w:tr>
      <w:tr w:rsidR="00196507" w:rsidRPr="009E2595" w14:paraId="0969FCE5" w14:textId="77777777" w:rsidTr="005B61BB">
        <w:trPr>
          <w:cantSplit/>
        </w:trPr>
        <w:tc>
          <w:tcPr>
            <w:tcW w:w="1365" w:type="pct"/>
            <w:tcBorders>
              <w:top w:val="single" w:sz="4" w:space="0" w:color="auto"/>
              <w:bottom w:val="single" w:sz="4" w:space="0" w:color="auto"/>
            </w:tcBorders>
          </w:tcPr>
          <w:p w14:paraId="15452A9D" w14:textId="77777777" w:rsidR="00196507" w:rsidRPr="00616B26" w:rsidRDefault="00196507" w:rsidP="00196507">
            <w:pPr>
              <w:pStyle w:val="Tabletext"/>
              <w:rPr>
                <w:snapToGrid w:val="0"/>
              </w:rPr>
            </w:pPr>
            <w:r w:rsidRPr="00616B26">
              <w:rPr>
                <w:snapToGrid w:val="0"/>
              </w:rPr>
              <w:t>25</w:t>
            </w:r>
          </w:p>
        </w:tc>
        <w:tc>
          <w:tcPr>
            <w:tcW w:w="909" w:type="pct"/>
            <w:tcBorders>
              <w:top w:val="single" w:sz="4" w:space="0" w:color="auto"/>
              <w:bottom w:val="single" w:sz="4" w:space="0" w:color="auto"/>
            </w:tcBorders>
            <w:vAlign w:val="bottom"/>
          </w:tcPr>
          <w:p w14:paraId="19807579" w14:textId="77777777" w:rsidR="00196507" w:rsidRPr="00196507" w:rsidRDefault="00196507" w:rsidP="00196507">
            <w:pPr>
              <w:pStyle w:val="Tabletext"/>
              <w:rPr>
                <w:snapToGrid w:val="0"/>
                <w:color w:val="000000" w:themeColor="text1"/>
              </w:rPr>
            </w:pPr>
            <w:r w:rsidRPr="00196507">
              <w:rPr>
                <w:color w:val="000000" w:themeColor="text1"/>
              </w:rPr>
              <w:t>34</w:t>
            </w:r>
            <w:r w:rsidR="00D7157D">
              <w:rPr>
                <w:color w:val="000000" w:themeColor="text1"/>
              </w:rPr>
              <w:t>.</w:t>
            </w:r>
            <w:r w:rsidRPr="00196507">
              <w:rPr>
                <w:color w:val="000000" w:themeColor="text1"/>
              </w:rPr>
              <w:t>5114</w:t>
            </w:r>
          </w:p>
        </w:tc>
        <w:tc>
          <w:tcPr>
            <w:tcW w:w="909" w:type="pct"/>
            <w:tcBorders>
              <w:top w:val="single" w:sz="4" w:space="0" w:color="auto"/>
              <w:bottom w:val="single" w:sz="4" w:space="0" w:color="auto"/>
            </w:tcBorders>
            <w:vAlign w:val="bottom"/>
          </w:tcPr>
          <w:p w14:paraId="702756EB"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5599</w:t>
            </w:r>
          </w:p>
        </w:tc>
        <w:tc>
          <w:tcPr>
            <w:tcW w:w="909" w:type="pct"/>
            <w:tcBorders>
              <w:top w:val="single" w:sz="4" w:space="0" w:color="auto"/>
              <w:bottom w:val="single" w:sz="4" w:space="0" w:color="auto"/>
            </w:tcBorders>
            <w:vAlign w:val="bottom"/>
          </w:tcPr>
          <w:p w14:paraId="303E6128"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3084</w:t>
            </w:r>
          </w:p>
        </w:tc>
        <w:tc>
          <w:tcPr>
            <w:tcW w:w="908" w:type="pct"/>
            <w:tcBorders>
              <w:top w:val="single" w:sz="4" w:space="0" w:color="auto"/>
              <w:bottom w:val="single" w:sz="4" w:space="0" w:color="auto"/>
            </w:tcBorders>
            <w:vAlign w:val="bottom"/>
          </w:tcPr>
          <w:p w14:paraId="64220D6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6331</w:t>
            </w:r>
          </w:p>
        </w:tc>
      </w:tr>
      <w:tr w:rsidR="00196507" w:rsidRPr="009E2595" w14:paraId="6756A559" w14:textId="77777777" w:rsidTr="005B61BB">
        <w:trPr>
          <w:cantSplit/>
        </w:trPr>
        <w:tc>
          <w:tcPr>
            <w:tcW w:w="1365" w:type="pct"/>
            <w:tcBorders>
              <w:top w:val="single" w:sz="4" w:space="0" w:color="auto"/>
              <w:bottom w:val="single" w:sz="4" w:space="0" w:color="auto"/>
            </w:tcBorders>
          </w:tcPr>
          <w:p w14:paraId="42179F0E" w14:textId="77777777" w:rsidR="00196507" w:rsidRPr="00616B26" w:rsidRDefault="00196507" w:rsidP="00196507">
            <w:pPr>
              <w:pStyle w:val="Tabletext"/>
              <w:rPr>
                <w:snapToGrid w:val="0"/>
              </w:rPr>
            </w:pPr>
            <w:r w:rsidRPr="00616B26">
              <w:rPr>
                <w:snapToGrid w:val="0"/>
              </w:rPr>
              <w:t>26</w:t>
            </w:r>
          </w:p>
        </w:tc>
        <w:tc>
          <w:tcPr>
            <w:tcW w:w="909" w:type="pct"/>
            <w:tcBorders>
              <w:top w:val="single" w:sz="4" w:space="0" w:color="auto"/>
              <w:bottom w:val="single" w:sz="4" w:space="0" w:color="auto"/>
            </w:tcBorders>
            <w:vAlign w:val="bottom"/>
          </w:tcPr>
          <w:p w14:paraId="1F3DA8F7" w14:textId="77777777" w:rsidR="00196507" w:rsidRPr="00196507" w:rsidRDefault="00196507" w:rsidP="00196507">
            <w:pPr>
              <w:pStyle w:val="Tabletext"/>
              <w:rPr>
                <w:snapToGrid w:val="0"/>
                <w:color w:val="000000" w:themeColor="text1"/>
              </w:rPr>
            </w:pPr>
            <w:r w:rsidRPr="00196507">
              <w:rPr>
                <w:color w:val="000000" w:themeColor="text1"/>
              </w:rPr>
              <w:t>34</w:t>
            </w:r>
            <w:r w:rsidR="00D7157D">
              <w:rPr>
                <w:color w:val="000000" w:themeColor="text1"/>
              </w:rPr>
              <w:t>.</w:t>
            </w:r>
            <w:r w:rsidRPr="00196507">
              <w:rPr>
                <w:color w:val="000000" w:themeColor="text1"/>
              </w:rPr>
              <w:t>2407</w:t>
            </w:r>
          </w:p>
        </w:tc>
        <w:tc>
          <w:tcPr>
            <w:tcW w:w="909" w:type="pct"/>
            <w:tcBorders>
              <w:top w:val="single" w:sz="4" w:space="0" w:color="auto"/>
              <w:bottom w:val="single" w:sz="4" w:space="0" w:color="auto"/>
            </w:tcBorders>
            <w:vAlign w:val="bottom"/>
          </w:tcPr>
          <w:p w14:paraId="1B87CD25"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5942</w:t>
            </w:r>
          </w:p>
        </w:tc>
        <w:tc>
          <w:tcPr>
            <w:tcW w:w="909" w:type="pct"/>
            <w:tcBorders>
              <w:top w:val="single" w:sz="4" w:space="0" w:color="auto"/>
              <w:bottom w:val="single" w:sz="4" w:space="0" w:color="auto"/>
            </w:tcBorders>
            <w:vAlign w:val="bottom"/>
          </w:tcPr>
          <w:p w14:paraId="43D5CDDF" w14:textId="77777777" w:rsidR="00196507" w:rsidRPr="00196507" w:rsidRDefault="00196507" w:rsidP="00196507">
            <w:pPr>
              <w:pStyle w:val="Tabletext"/>
              <w:rPr>
                <w:snapToGrid w:val="0"/>
                <w:color w:val="000000" w:themeColor="text1"/>
              </w:rPr>
            </w:pPr>
            <w:r w:rsidRPr="00196507">
              <w:rPr>
                <w:color w:val="000000" w:themeColor="text1"/>
              </w:rPr>
              <w:t>35</w:t>
            </w:r>
            <w:r w:rsidR="00D7157D">
              <w:rPr>
                <w:color w:val="000000" w:themeColor="text1"/>
              </w:rPr>
              <w:t>.</w:t>
            </w:r>
            <w:r w:rsidRPr="00196507">
              <w:rPr>
                <w:color w:val="000000" w:themeColor="text1"/>
              </w:rPr>
              <w:t>0512</w:t>
            </w:r>
          </w:p>
        </w:tc>
        <w:tc>
          <w:tcPr>
            <w:tcW w:w="908" w:type="pct"/>
            <w:tcBorders>
              <w:top w:val="single" w:sz="4" w:space="0" w:color="auto"/>
              <w:bottom w:val="single" w:sz="4" w:space="0" w:color="auto"/>
            </w:tcBorders>
            <w:vAlign w:val="bottom"/>
          </w:tcPr>
          <w:p w14:paraId="7C47BE2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6485</w:t>
            </w:r>
          </w:p>
        </w:tc>
      </w:tr>
      <w:tr w:rsidR="00196507" w:rsidRPr="009E2595" w14:paraId="01E53C3B" w14:textId="77777777" w:rsidTr="005B61BB">
        <w:trPr>
          <w:cantSplit/>
        </w:trPr>
        <w:tc>
          <w:tcPr>
            <w:tcW w:w="1365" w:type="pct"/>
            <w:tcBorders>
              <w:top w:val="single" w:sz="4" w:space="0" w:color="auto"/>
              <w:bottom w:val="single" w:sz="4" w:space="0" w:color="auto"/>
            </w:tcBorders>
          </w:tcPr>
          <w:p w14:paraId="021236C1" w14:textId="77777777" w:rsidR="00196507" w:rsidRPr="00616B26" w:rsidRDefault="00196507" w:rsidP="00196507">
            <w:pPr>
              <w:pStyle w:val="Tabletext"/>
              <w:rPr>
                <w:snapToGrid w:val="0"/>
              </w:rPr>
            </w:pPr>
            <w:r w:rsidRPr="00616B26">
              <w:rPr>
                <w:snapToGrid w:val="0"/>
              </w:rPr>
              <w:t>27</w:t>
            </w:r>
          </w:p>
        </w:tc>
        <w:tc>
          <w:tcPr>
            <w:tcW w:w="909" w:type="pct"/>
            <w:tcBorders>
              <w:top w:val="single" w:sz="4" w:space="0" w:color="auto"/>
              <w:bottom w:val="single" w:sz="4" w:space="0" w:color="auto"/>
            </w:tcBorders>
            <w:vAlign w:val="bottom"/>
          </w:tcPr>
          <w:p w14:paraId="0FCB416A"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9640</w:t>
            </w:r>
          </w:p>
        </w:tc>
        <w:tc>
          <w:tcPr>
            <w:tcW w:w="909" w:type="pct"/>
            <w:tcBorders>
              <w:top w:val="single" w:sz="4" w:space="0" w:color="auto"/>
              <w:bottom w:val="single" w:sz="4" w:space="0" w:color="auto"/>
            </w:tcBorders>
            <w:vAlign w:val="bottom"/>
          </w:tcPr>
          <w:p w14:paraId="039934F0"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6292</w:t>
            </w:r>
          </w:p>
        </w:tc>
        <w:tc>
          <w:tcPr>
            <w:tcW w:w="909" w:type="pct"/>
            <w:tcBorders>
              <w:top w:val="single" w:sz="4" w:space="0" w:color="auto"/>
              <w:bottom w:val="single" w:sz="4" w:space="0" w:color="auto"/>
            </w:tcBorders>
            <w:vAlign w:val="bottom"/>
          </w:tcPr>
          <w:p w14:paraId="279092DC" w14:textId="77777777" w:rsidR="00196507" w:rsidRPr="00196507" w:rsidRDefault="00196507" w:rsidP="00196507">
            <w:pPr>
              <w:pStyle w:val="Tabletext"/>
              <w:rPr>
                <w:snapToGrid w:val="0"/>
                <w:color w:val="000000" w:themeColor="text1"/>
              </w:rPr>
            </w:pPr>
            <w:r w:rsidRPr="00196507">
              <w:rPr>
                <w:color w:val="000000" w:themeColor="text1"/>
              </w:rPr>
              <w:t>34</w:t>
            </w:r>
            <w:r w:rsidR="00D7157D">
              <w:rPr>
                <w:color w:val="000000" w:themeColor="text1"/>
              </w:rPr>
              <w:t>.</w:t>
            </w:r>
            <w:r w:rsidRPr="00196507">
              <w:rPr>
                <w:color w:val="000000" w:themeColor="text1"/>
              </w:rPr>
              <w:t>7881</w:t>
            </w:r>
          </w:p>
        </w:tc>
        <w:tc>
          <w:tcPr>
            <w:tcW w:w="908" w:type="pct"/>
            <w:tcBorders>
              <w:top w:val="single" w:sz="4" w:space="0" w:color="auto"/>
              <w:bottom w:val="single" w:sz="4" w:space="0" w:color="auto"/>
            </w:tcBorders>
            <w:vAlign w:val="bottom"/>
          </w:tcPr>
          <w:p w14:paraId="705EDA2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6644</w:t>
            </w:r>
          </w:p>
        </w:tc>
      </w:tr>
      <w:tr w:rsidR="00196507" w:rsidRPr="009E2595" w14:paraId="08AAA32D" w14:textId="77777777" w:rsidTr="005B61BB">
        <w:trPr>
          <w:cantSplit/>
        </w:trPr>
        <w:tc>
          <w:tcPr>
            <w:tcW w:w="1365" w:type="pct"/>
            <w:tcBorders>
              <w:top w:val="single" w:sz="4" w:space="0" w:color="auto"/>
              <w:bottom w:val="single" w:sz="4" w:space="0" w:color="auto"/>
            </w:tcBorders>
          </w:tcPr>
          <w:p w14:paraId="52446059" w14:textId="77777777" w:rsidR="00196507" w:rsidRPr="00616B26" w:rsidRDefault="00196507" w:rsidP="00196507">
            <w:pPr>
              <w:pStyle w:val="Tabletext"/>
              <w:rPr>
                <w:snapToGrid w:val="0"/>
              </w:rPr>
            </w:pPr>
            <w:r w:rsidRPr="00616B26">
              <w:rPr>
                <w:snapToGrid w:val="0"/>
              </w:rPr>
              <w:t>28</w:t>
            </w:r>
          </w:p>
        </w:tc>
        <w:tc>
          <w:tcPr>
            <w:tcW w:w="909" w:type="pct"/>
            <w:tcBorders>
              <w:top w:val="single" w:sz="4" w:space="0" w:color="auto"/>
              <w:bottom w:val="single" w:sz="4" w:space="0" w:color="auto"/>
            </w:tcBorders>
            <w:vAlign w:val="bottom"/>
          </w:tcPr>
          <w:p w14:paraId="24312A07"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6811</w:t>
            </w:r>
          </w:p>
        </w:tc>
        <w:tc>
          <w:tcPr>
            <w:tcW w:w="909" w:type="pct"/>
            <w:tcBorders>
              <w:top w:val="single" w:sz="4" w:space="0" w:color="auto"/>
              <w:bottom w:val="single" w:sz="4" w:space="0" w:color="auto"/>
            </w:tcBorders>
            <w:vAlign w:val="bottom"/>
          </w:tcPr>
          <w:p w14:paraId="0D26040C"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6650</w:t>
            </w:r>
          </w:p>
        </w:tc>
        <w:tc>
          <w:tcPr>
            <w:tcW w:w="909" w:type="pct"/>
            <w:tcBorders>
              <w:top w:val="single" w:sz="4" w:space="0" w:color="auto"/>
              <w:bottom w:val="single" w:sz="4" w:space="0" w:color="auto"/>
            </w:tcBorders>
            <w:vAlign w:val="bottom"/>
          </w:tcPr>
          <w:p w14:paraId="0675E800" w14:textId="77777777" w:rsidR="00196507" w:rsidRPr="00196507" w:rsidRDefault="00196507" w:rsidP="00196507">
            <w:pPr>
              <w:pStyle w:val="Tabletext"/>
              <w:rPr>
                <w:snapToGrid w:val="0"/>
                <w:color w:val="000000" w:themeColor="text1"/>
              </w:rPr>
            </w:pPr>
            <w:r w:rsidRPr="00196507">
              <w:rPr>
                <w:color w:val="000000" w:themeColor="text1"/>
              </w:rPr>
              <w:t>34</w:t>
            </w:r>
            <w:r w:rsidR="00D7157D">
              <w:rPr>
                <w:color w:val="000000" w:themeColor="text1"/>
              </w:rPr>
              <w:t>.</w:t>
            </w:r>
            <w:r w:rsidRPr="00196507">
              <w:rPr>
                <w:color w:val="000000" w:themeColor="text1"/>
              </w:rPr>
              <w:t>5191</w:t>
            </w:r>
          </w:p>
        </w:tc>
        <w:tc>
          <w:tcPr>
            <w:tcW w:w="908" w:type="pct"/>
            <w:tcBorders>
              <w:top w:val="single" w:sz="4" w:space="0" w:color="auto"/>
              <w:bottom w:val="single" w:sz="4" w:space="0" w:color="auto"/>
            </w:tcBorders>
            <w:vAlign w:val="bottom"/>
          </w:tcPr>
          <w:p w14:paraId="7451FED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6805</w:t>
            </w:r>
          </w:p>
        </w:tc>
      </w:tr>
      <w:tr w:rsidR="00196507" w:rsidRPr="009E2595" w14:paraId="726C1CDB" w14:textId="77777777" w:rsidTr="005B61BB">
        <w:trPr>
          <w:cantSplit/>
        </w:trPr>
        <w:tc>
          <w:tcPr>
            <w:tcW w:w="1365" w:type="pct"/>
            <w:tcBorders>
              <w:top w:val="single" w:sz="4" w:space="0" w:color="auto"/>
              <w:bottom w:val="single" w:sz="4" w:space="0" w:color="auto"/>
            </w:tcBorders>
          </w:tcPr>
          <w:p w14:paraId="1542AED2" w14:textId="77777777" w:rsidR="00196507" w:rsidRPr="00616B26" w:rsidRDefault="00196507" w:rsidP="00196507">
            <w:pPr>
              <w:pStyle w:val="Tabletext"/>
              <w:rPr>
                <w:snapToGrid w:val="0"/>
              </w:rPr>
            </w:pPr>
            <w:r w:rsidRPr="00616B26">
              <w:rPr>
                <w:snapToGrid w:val="0"/>
              </w:rPr>
              <w:t>29</w:t>
            </w:r>
          </w:p>
        </w:tc>
        <w:tc>
          <w:tcPr>
            <w:tcW w:w="909" w:type="pct"/>
            <w:tcBorders>
              <w:top w:val="single" w:sz="4" w:space="0" w:color="auto"/>
              <w:bottom w:val="single" w:sz="4" w:space="0" w:color="auto"/>
            </w:tcBorders>
            <w:vAlign w:val="bottom"/>
          </w:tcPr>
          <w:p w14:paraId="3A396DFB"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3923</w:t>
            </w:r>
          </w:p>
        </w:tc>
        <w:tc>
          <w:tcPr>
            <w:tcW w:w="909" w:type="pct"/>
            <w:tcBorders>
              <w:top w:val="single" w:sz="4" w:space="0" w:color="auto"/>
              <w:bottom w:val="single" w:sz="4" w:space="0" w:color="auto"/>
            </w:tcBorders>
            <w:vAlign w:val="bottom"/>
          </w:tcPr>
          <w:p w14:paraId="483CF8CB"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7013</w:t>
            </w:r>
          </w:p>
        </w:tc>
        <w:tc>
          <w:tcPr>
            <w:tcW w:w="909" w:type="pct"/>
            <w:tcBorders>
              <w:top w:val="single" w:sz="4" w:space="0" w:color="auto"/>
              <w:bottom w:val="single" w:sz="4" w:space="0" w:color="auto"/>
            </w:tcBorders>
            <w:vAlign w:val="bottom"/>
          </w:tcPr>
          <w:p w14:paraId="66216FF1" w14:textId="77777777" w:rsidR="00196507" w:rsidRPr="00196507" w:rsidRDefault="00196507" w:rsidP="00196507">
            <w:pPr>
              <w:pStyle w:val="Tabletext"/>
              <w:rPr>
                <w:snapToGrid w:val="0"/>
                <w:color w:val="000000" w:themeColor="text1"/>
              </w:rPr>
            </w:pPr>
            <w:r w:rsidRPr="00196507">
              <w:rPr>
                <w:color w:val="000000" w:themeColor="text1"/>
              </w:rPr>
              <w:t>34</w:t>
            </w:r>
            <w:r w:rsidR="00D7157D">
              <w:rPr>
                <w:color w:val="000000" w:themeColor="text1"/>
              </w:rPr>
              <w:t>.</w:t>
            </w:r>
            <w:r w:rsidRPr="00196507">
              <w:rPr>
                <w:color w:val="000000" w:themeColor="text1"/>
              </w:rPr>
              <w:t>2443</w:t>
            </w:r>
          </w:p>
        </w:tc>
        <w:tc>
          <w:tcPr>
            <w:tcW w:w="908" w:type="pct"/>
            <w:tcBorders>
              <w:top w:val="single" w:sz="4" w:space="0" w:color="auto"/>
              <w:bottom w:val="single" w:sz="4" w:space="0" w:color="auto"/>
            </w:tcBorders>
            <w:vAlign w:val="bottom"/>
          </w:tcPr>
          <w:p w14:paraId="2BD0557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6968</w:t>
            </w:r>
          </w:p>
        </w:tc>
      </w:tr>
      <w:tr w:rsidR="00196507" w:rsidRPr="009E2595" w14:paraId="5AABF399" w14:textId="77777777" w:rsidTr="005B61BB">
        <w:trPr>
          <w:cantSplit/>
        </w:trPr>
        <w:tc>
          <w:tcPr>
            <w:tcW w:w="1365" w:type="pct"/>
            <w:tcBorders>
              <w:top w:val="single" w:sz="4" w:space="0" w:color="auto"/>
              <w:bottom w:val="single" w:sz="4" w:space="0" w:color="auto"/>
            </w:tcBorders>
          </w:tcPr>
          <w:p w14:paraId="389C0135" w14:textId="77777777" w:rsidR="00196507" w:rsidRPr="00616B26" w:rsidRDefault="00196507" w:rsidP="00196507">
            <w:pPr>
              <w:pStyle w:val="Tabletext"/>
              <w:rPr>
                <w:snapToGrid w:val="0"/>
              </w:rPr>
            </w:pPr>
            <w:r w:rsidRPr="00616B26">
              <w:rPr>
                <w:snapToGrid w:val="0"/>
              </w:rPr>
              <w:t>30</w:t>
            </w:r>
          </w:p>
        </w:tc>
        <w:tc>
          <w:tcPr>
            <w:tcW w:w="909" w:type="pct"/>
            <w:tcBorders>
              <w:top w:val="single" w:sz="4" w:space="0" w:color="auto"/>
              <w:bottom w:val="single" w:sz="4" w:space="0" w:color="auto"/>
            </w:tcBorders>
            <w:vAlign w:val="bottom"/>
          </w:tcPr>
          <w:p w14:paraId="53E72DA3"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0970</w:t>
            </w:r>
          </w:p>
        </w:tc>
        <w:tc>
          <w:tcPr>
            <w:tcW w:w="909" w:type="pct"/>
            <w:tcBorders>
              <w:top w:val="single" w:sz="4" w:space="0" w:color="auto"/>
              <w:bottom w:val="single" w:sz="4" w:space="0" w:color="auto"/>
            </w:tcBorders>
            <w:vAlign w:val="bottom"/>
          </w:tcPr>
          <w:p w14:paraId="66CEA8D2"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7384</w:t>
            </w:r>
          </w:p>
        </w:tc>
        <w:tc>
          <w:tcPr>
            <w:tcW w:w="909" w:type="pct"/>
            <w:tcBorders>
              <w:top w:val="single" w:sz="4" w:space="0" w:color="auto"/>
              <w:bottom w:val="single" w:sz="4" w:space="0" w:color="auto"/>
            </w:tcBorders>
            <w:vAlign w:val="bottom"/>
          </w:tcPr>
          <w:p w14:paraId="212F5BA1"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9633</w:t>
            </w:r>
          </w:p>
        </w:tc>
        <w:tc>
          <w:tcPr>
            <w:tcW w:w="908" w:type="pct"/>
            <w:tcBorders>
              <w:top w:val="single" w:sz="4" w:space="0" w:color="auto"/>
              <w:bottom w:val="single" w:sz="4" w:space="0" w:color="auto"/>
            </w:tcBorders>
            <w:vAlign w:val="bottom"/>
          </w:tcPr>
          <w:p w14:paraId="30DAF31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7135</w:t>
            </w:r>
          </w:p>
        </w:tc>
      </w:tr>
      <w:tr w:rsidR="00196507" w:rsidRPr="009E2595" w14:paraId="7C993F22" w14:textId="77777777" w:rsidTr="005B61BB">
        <w:trPr>
          <w:cantSplit/>
        </w:trPr>
        <w:tc>
          <w:tcPr>
            <w:tcW w:w="1365" w:type="pct"/>
            <w:tcBorders>
              <w:top w:val="single" w:sz="4" w:space="0" w:color="auto"/>
              <w:bottom w:val="single" w:sz="4" w:space="0" w:color="auto"/>
            </w:tcBorders>
          </w:tcPr>
          <w:p w14:paraId="11AD0A4E" w14:textId="77777777" w:rsidR="00196507" w:rsidRPr="00616B26" w:rsidRDefault="00196507" w:rsidP="00196507">
            <w:pPr>
              <w:pStyle w:val="Tabletext"/>
              <w:rPr>
                <w:snapToGrid w:val="0"/>
              </w:rPr>
            </w:pPr>
            <w:r w:rsidRPr="00616B26">
              <w:rPr>
                <w:snapToGrid w:val="0"/>
              </w:rPr>
              <w:t>31</w:t>
            </w:r>
          </w:p>
        </w:tc>
        <w:tc>
          <w:tcPr>
            <w:tcW w:w="909" w:type="pct"/>
            <w:tcBorders>
              <w:top w:val="single" w:sz="4" w:space="0" w:color="auto"/>
              <w:bottom w:val="single" w:sz="4" w:space="0" w:color="auto"/>
            </w:tcBorders>
            <w:vAlign w:val="bottom"/>
          </w:tcPr>
          <w:p w14:paraId="3670FE05" w14:textId="77777777" w:rsidR="00196507" w:rsidRPr="00196507" w:rsidRDefault="00196507" w:rsidP="00196507">
            <w:pPr>
              <w:pStyle w:val="Tabletext"/>
              <w:rPr>
                <w:snapToGrid w:val="0"/>
                <w:color w:val="000000" w:themeColor="text1"/>
              </w:rPr>
            </w:pPr>
            <w:r w:rsidRPr="00196507">
              <w:rPr>
                <w:color w:val="000000" w:themeColor="text1"/>
              </w:rPr>
              <w:t>32</w:t>
            </w:r>
            <w:r w:rsidR="00D7157D">
              <w:rPr>
                <w:color w:val="000000" w:themeColor="text1"/>
              </w:rPr>
              <w:t>.</w:t>
            </w:r>
            <w:r w:rsidRPr="00196507">
              <w:rPr>
                <w:color w:val="000000" w:themeColor="text1"/>
              </w:rPr>
              <w:t>7955</w:t>
            </w:r>
          </w:p>
        </w:tc>
        <w:tc>
          <w:tcPr>
            <w:tcW w:w="909" w:type="pct"/>
            <w:tcBorders>
              <w:top w:val="single" w:sz="4" w:space="0" w:color="auto"/>
              <w:bottom w:val="single" w:sz="4" w:space="0" w:color="auto"/>
            </w:tcBorders>
            <w:vAlign w:val="bottom"/>
          </w:tcPr>
          <w:p w14:paraId="27CDDBB0"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7761</w:t>
            </w:r>
          </w:p>
        </w:tc>
        <w:tc>
          <w:tcPr>
            <w:tcW w:w="909" w:type="pct"/>
            <w:tcBorders>
              <w:top w:val="single" w:sz="4" w:space="0" w:color="auto"/>
              <w:bottom w:val="single" w:sz="4" w:space="0" w:color="auto"/>
            </w:tcBorders>
            <w:vAlign w:val="bottom"/>
          </w:tcPr>
          <w:p w14:paraId="1F71A88F"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6762</w:t>
            </w:r>
          </w:p>
        </w:tc>
        <w:tc>
          <w:tcPr>
            <w:tcW w:w="908" w:type="pct"/>
            <w:tcBorders>
              <w:top w:val="single" w:sz="4" w:space="0" w:color="auto"/>
              <w:bottom w:val="single" w:sz="4" w:space="0" w:color="auto"/>
            </w:tcBorders>
            <w:vAlign w:val="bottom"/>
          </w:tcPr>
          <w:p w14:paraId="665C439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7305</w:t>
            </w:r>
          </w:p>
        </w:tc>
      </w:tr>
      <w:tr w:rsidR="00196507" w:rsidRPr="009E2595" w14:paraId="3D6B831F" w14:textId="77777777" w:rsidTr="005B61BB">
        <w:trPr>
          <w:cantSplit/>
        </w:trPr>
        <w:tc>
          <w:tcPr>
            <w:tcW w:w="1365" w:type="pct"/>
            <w:tcBorders>
              <w:top w:val="single" w:sz="4" w:space="0" w:color="auto"/>
              <w:bottom w:val="single" w:sz="4" w:space="0" w:color="auto"/>
            </w:tcBorders>
          </w:tcPr>
          <w:p w14:paraId="1E17E84D" w14:textId="77777777" w:rsidR="00196507" w:rsidRPr="00616B26" w:rsidRDefault="00196507" w:rsidP="00196507">
            <w:pPr>
              <w:pStyle w:val="Tabletext"/>
              <w:rPr>
                <w:snapToGrid w:val="0"/>
              </w:rPr>
            </w:pPr>
            <w:r w:rsidRPr="00616B26">
              <w:rPr>
                <w:snapToGrid w:val="0"/>
              </w:rPr>
              <w:t>32</w:t>
            </w:r>
          </w:p>
        </w:tc>
        <w:tc>
          <w:tcPr>
            <w:tcW w:w="909" w:type="pct"/>
            <w:tcBorders>
              <w:top w:val="single" w:sz="4" w:space="0" w:color="auto"/>
              <w:bottom w:val="single" w:sz="4" w:space="0" w:color="auto"/>
            </w:tcBorders>
            <w:vAlign w:val="bottom"/>
          </w:tcPr>
          <w:p w14:paraId="163789A6" w14:textId="77777777" w:rsidR="00196507" w:rsidRPr="00196507" w:rsidRDefault="00196507" w:rsidP="00196507">
            <w:pPr>
              <w:pStyle w:val="Tabletext"/>
              <w:rPr>
                <w:snapToGrid w:val="0"/>
                <w:color w:val="000000" w:themeColor="text1"/>
              </w:rPr>
            </w:pPr>
            <w:r w:rsidRPr="00196507">
              <w:rPr>
                <w:color w:val="000000" w:themeColor="text1"/>
              </w:rPr>
              <w:t>32</w:t>
            </w:r>
            <w:r w:rsidR="00D7157D">
              <w:rPr>
                <w:color w:val="000000" w:themeColor="text1"/>
              </w:rPr>
              <w:t>.</w:t>
            </w:r>
            <w:r w:rsidRPr="00196507">
              <w:rPr>
                <w:color w:val="000000" w:themeColor="text1"/>
              </w:rPr>
              <w:t>4876</w:t>
            </w:r>
          </w:p>
        </w:tc>
        <w:tc>
          <w:tcPr>
            <w:tcW w:w="909" w:type="pct"/>
            <w:tcBorders>
              <w:top w:val="single" w:sz="4" w:space="0" w:color="auto"/>
              <w:bottom w:val="single" w:sz="4" w:space="0" w:color="auto"/>
            </w:tcBorders>
            <w:vAlign w:val="bottom"/>
          </w:tcPr>
          <w:p w14:paraId="6BA85734"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8143</w:t>
            </w:r>
          </w:p>
        </w:tc>
        <w:tc>
          <w:tcPr>
            <w:tcW w:w="909" w:type="pct"/>
            <w:tcBorders>
              <w:top w:val="single" w:sz="4" w:space="0" w:color="auto"/>
              <w:bottom w:val="single" w:sz="4" w:space="0" w:color="auto"/>
            </w:tcBorders>
            <w:vAlign w:val="bottom"/>
          </w:tcPr>
          <w:p w14:paraId="3426650C"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3831</w:t>
            </w:r>
          </w:p>
        </w:tc>
        <w:tc>
          <w:tcPr>
            <w:tcW w:w="908" w:type="pct"/>
            <w:tcBorders>
              <w:top w:val="single" w:sz="4" w:space="0" w:color="auto"/>
              <w:bottom w:val="single" w:sz="4" w:space="0" w:color="auto"/>
            </w:tcBorders>
            <w:vAlign w:val="bottom"/>
          </w:tcPr>
          <w:p w14:paraId="3FFF3A4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7476</w:t>
            </w:r>
          </w:p>
        </w:tc>
      </w:tr>
      <w:tr w:rsidR="00196507" w:rsidRPr="009E2595" w14:paraId="7CA85545" w14:textId="77777777" w:rsidTr="005B61BB">
        <w:trPr>
          <w:cantSplit/>
        </w:trPr>
        <w:tc>
          <w:tcPr>
            <w:tcW w:w="1365" w:type="pct"/>
            <w:tcBorders>
              <w:top w:val="single" w:sz="4" w:space="0" w:color="auto"/>
              <w:bottom w:val="single" w:sz="4" w:space="0" w:color="auto"/>
            </w:tcBorders>
          </w:tcPr>
          <w:p w14:paraId="6092011F" w14:textId="77777777" w:rsidR="00196507" w:rsidRPr="00616B26" w:rsidRDefault="00196507" w:rsidP="00196507">
            <w:pPr>
              <w:pStyle w:val="Tabletext"/>
              <w:rPr>
                <w:snapToGrid w:val="0"/>
              </w:rPr>
            </w:pPr>
            <w:r w:rsidRPr="00616B26">
              <w:rPr>
                <w:snapToGrid w:val="0"/>
              </w:rPr>
              <w:t>33</w:t>
            </w:r>
          </w:p>
        </w:tc>
        <w:tc>
          <w:tcPr>
            <w:tcW w:w="909" w:type="pct"/>
            <w:tcBorders>
              <w:top w:val="single" w:sz="4" w:space="0" w:color="auto"/>
              <w:bottom w:val="single" w:sz="4" w:space="0" w:color="auto"/>
            </w:tcBorders>
            <w:vAlign w:val="bottom"/>
          </w:tcPr>
          <w:p w14:paraId="5C41D954" w14:textId="77777777" w:rsidR="00196507" w:rsidRPr="00196507" w:rsidRDefault="00196507" w:rsidP="00196507">
            <w:pPr>
              <w:pStyle w:val="Tabletext"/>
              <w:rPr>
                <w:snapToGrid w:val="0"/>
                <w:color w:val="000000" w:themeColor="text1"/>
              </w:rPr>
            </w:pPr>
            <w:r w:rsidRPr="00196507">
              <w:rPr>
                <w:color w:val="000000" w:themeColor="text1"/>
              </w:rPr>
              <w:t>32</w:t>
            </w:r>
            <w:r w:rsidR="00D7157D">
              <w:rPr>
                <w:color w:val="000000" w:themeColor="text1"/>
              </w:rPr>
              <w:t>.</w:t>
            </w:r>
            <w:r w:rsidRPr="00196507">
              <w:rPr>
                <w:color w:val="000000" w:themeColor="text1"/>
              </w:rPr>
              <w:t>1731</w:t>
            </w:r>
          </w:p>
        </w:tc>
        <w:tc>
          <w:tcPr>
            <w:tcW w:w="909" w:type="pct"/>
            <w:tcBorders>
              <w:top w:val="single" w:sz="4" w:space="0" w:color="auto"/>
              <w:bottom w:val="single" w:sz="4" w:space="0" w:color="auto"/>
            </w:tcBorders>
            <w:vAlign w:val="bottom"/>
          </w:tcPr>
          <w:p w14:paraId="653B47E6"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8532</w:t>
            </w:r>
          </w:p>
        </w:tc>
        <w:tc>
          <w:tcPr>
            <w:tcW w:w="909" w:type="pct"/>
            <w:tcBorders>
              <w:top w:val="single" w:sz="4" w:space="0" w:color="auto"/>
              <w:bottom w:val="single" w:sz="4" w:space="0" w:color="auto"/>
            </w:tcBorders>
            <w:vAlign w:val="bottom"/>
          </w:tcPr>
          <w:p w14:paraId="2E424156" w14:textId="77777777" w:rsidR="00196507" w:rsidRPr="00196507" w:rsidRDefault="00196507" w:rsidP="00196507">
            <w:pPr>
              <w:pStyle w:val="Tabletext"/>
              <w:rPr>
                <w:snapToGrid w:val="0"/>
                <w:color w:val="000000" w:themeColor="text1"/>
              </w:rPr>
            </w:pPr>
            <w:r w:rsidRPr="00196507">
              <w:rPr>
                <w:color w:val="000000" w:themeColor="text1"/>
              </w:rPr>
              <w:t>33</w:t>
            </w:r>
            <w:r w:rsidR="00D7157D">
              <w:rPr>
                <w:color w:val="000000" w:themeColor="text1"/>
              </w:rPr>
              <w:t>.</w:t>
            </w:r>
            <w:r w:rsidRPr="00196507">
              <w:rPr>
                <w:color w:val="000000" w:themeColor="text1"/>
              </w:rPr>
              <w:t>0835</w:t>
            </w:r>
          </w:p>
        </w:tc>
        <w:tc>
          <w:tcPr>
            <w:tcW w:w="908" w:type="pct"/>
            <w:tcBorders>
              <w:top w:val="single" w:sz="4" w:space="0" w:color="auto"/>
              <w:bottom w:val="single" w:sz="4" w:space="0" w:color="auto"/>
            </w:tcBorders>
            <w:vAlign w:val="bottom"/>
          </w:tcPr>
          <w:p w14:paraId="3ED1409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7650</w:t>
            </w:r>
          </w:p>
        </w:tc>
      </w:tr>
      <w:tr w:rsidR="00196507" w:rsidRPr="009E2595" w14:paraId="593839A4" w14:textId="77777777" w:rsidTr="005B61BB">
        <w:trPr>
          <w:cantSplit/>
        </w:trPr>
        <w:tc>
          <w:tcPr>
            <w:tcW w:w="1365" w:type="pct"/>
            <w:tcBorders>
              <w:top w:val="single" w:sz="4" w:space="0" w:color="auto"/>
              <w:bottom w:val="single" w:sz="4" w:space="0" w:color="auto"/>
            </w:tcBorders>
          </w:tcPr>
          <w:p w14:paraId="60DC2589" w14:textId="77777777" w:rsidR="00196507" w:rsidRPr="00616B26" w:rsidRDefault="00196507" w:rsidP="00196507">
            <w:pPr>
              <w:pStyle w:val="Tabletext"/>
              <w:rPr>
                <w:snapToGrid w:val="0"/>
              </w:rPr>
            </w:pPr>
            <w:r w:rsidRPr="00616B26">
              <w:rPr>
                <w:snapToGrid w:val="0"/>
              </w:rPr>
              <w:t>34</w:t>
            </w:r>
          </w:p>
        </w:tc>
        <w:tc>
          <w:tcPr>
            <w:tcW w:w="909" w:type="pct"/>
            <w:tcBorders>
              <w:top w:val="single" w:sz="4" w:space="0" w:color="auto"/>
              <w:bottom w:val="single" w:sz="4" w:space="0" w:color="auto"/>
            </w:tcBorders>
            <w:vAlign w:val="bottom"/>
          </w:tcPr>
          <w:p w14:paraId="7898E124" w14:textId="77777777" w:rsidR="00196507" w:rsidRPr="00196507" w:rsidRDefault="00196507" w:rsidP="00196507">
            <w:pPr>
              <w:pStyle w:val="Tabletext"/>
              <w:rPr>
                <w:snapToGrid w:val="0"/>
                <w:color w:val="000000" w:themeColor="text1"/>
              </w:rPr>
            </w:pPr>
            <w:r w:rsidRPr="00196507">
              <w:rPr>
                <w:color w:val="000000" w:themeColor="text1"/>
              </w:rPr>
              <w:t>31</w:t>
            </w:r>
            <w:r w:rsidR="00D7157D">
              <w:rPr>
                <w:color w:val="000000" w:themeColor="text1"/>
              </w:rPr>
              <w:t>.</w:t>
            </w:r>
            <w:r w:rsidRPr="00196507">
              <w:rPr>
                <w:color w:val="000000" w:themeColor="text1"/>
              </w:rPr>
              <w:t>8518</w:t>
            </w:r>
          </w:p>
        </w:tc>
        <w:tc>
          <w:tcPr>
            <w:tcW w:w="909" w:type="pct"/>
            <w:tcBorders>
              <w:top w:val="single" w:sz="4" w:space="0" w:color="auto"/>
              <w:bottom w:val="single" w:sz="4" w:space="0" w:color="auto"/>
            </w:tcBorders>
            <w:vAlign w:val="bottom"/>
          </w:tcPr>
          <w:p w14:paraId="1C022342"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8928</w:t>
            </w:r>
          </w:p>
        </w:tc>
        <w:tc>
          <w:tcPr>
            <w:tcW w:w="909" w:type="pct"/>
            <w:tcBorders>
              <w:top w:val="single" w:sz="4" w:space="0" w:color="auto"/>
              <w:bottom w:val="single" w:sz="4" w:space="0" w:color="auto"/>
            </w:tcBorders>
            <w:vAlign w:val="bottom"/>
          </w:tcPr>
          <w:p w14:paraId="190F5426" w14:textId="77777777" w:rsidR="00196507" w:rsidRPr="00196507" w:rsidRDefault="00196507" w:rsidP="00196507">
            <w:pPr>
              <w:pStyle w:val="Tabletext"/>
              <w:rPr>
                <w:snapToGrid w:val="0"/>
                <w:color w:val="000000" w:themeColor="text1"/>
              </w:rPr>
            </w:pPr>
            <w:r w:rsidRPr="00196507">
              <w:rPr>
                <w:color w:val="000000" w:themeColor="text1"/>
              </w:rPr>
              <w:t>32</w:t>
            </w:r>
            <w:r w:rsidR="00D7157D">
              <w:rPr>
                <w:color w:val="000000" w:themeColor="text1"/>
              </w:rPr>
              <w:t>.</w:t>
            </w:r>
            <w:r w:rsidRPr="00196507">
              <w:rPr>
                <w:color w:val="000000" w:themeColor="text1"/>
              </w:rPr>
              <w:t>7776</w:t>
            </w:r>
          </w:p>
        </w:tc>
        <w:tc>
          <w:tcPr>
            <w:tcW w:w="908" w:type="pct"/>
            <w:tcBorders>
              <w:top w:val="single" w:sz="4" w:space="0" w:color="auto"/>
              <w:bottom w:val="single" w:sz="4" w:space="0" w:color="auto"/>
            </w:tcBorders>
            <w:vAlign w:val="bottom"/>
          </w:tcPr>
          <w:p w14:paraId="7C1BFFF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7825</w:t>
            </w:r>
          </w:p>
        </w:tc>
      </w:tr>
      <w:tr w:rsidR="00196507" w:rsidRPr="009E2595" w14:paraId="712B8261" w14:textId="77777777" w:rsidTr="005B61BB">
        <w:trPr>
          <w:cantSplit/>
        </w:trPr>
        <w:tc>
          <w:tcPr>
            <w:tcW w:w="1365" w:type="pct"/>
            <w:tcBorders>
              <w:top w:val="single" w:sz="4" w:space="0" w:color="auto"/>
              <w:bottom w:val="single" w:sz="4" w:space="0" w:color="auto"/>
            </w:tcBorders>
          </w:tcPr>
          <w:p w14:paraId="5D083359" w14:textId="77777777" w:rsidR="00196507" w:rsidRPr="00616B26" w:rsidRDefault="00196507" w:rsidP="00196507">
            <w:pPr>
              <w:pStyle w:val="Tabletext"/>
              <w:rPr>
                <w:snapToGrid w:val="0"/>
              </w:rPr>
            </w:pPr>
            <w:r w:rsidRPr="00616B26">
              <w:rPr>
                <w:snapToGrid w:val="0"/>
              </w:rPr>
              <w:t>35</w:t>
            </w:r>
          </w:p>
        </w:tc>
        <w:tc>
          <w:tcPr>
            <w:tcW w:w="909" w:type="pct"/>
            <w:tcBorders>
              <w:top w:val="single" w:sz="4" w:space="0" w:color="auto"/>
              <w:bottom w:val="single" w:sz="4" w:space="0" w:color="auto"/>
            </w:tcBorders>
            <w:vAlign w:val="bottom"/>
          </w:tcPr>
          <w:p w14:paraId="1EA6D751" w14:textId="77777777" w:rsidR="00196507" w:rsidRPr="00196507" w:rsidRDefault="00196507" w:rsidP="00196507">
            <w:pPr>
              <w:pStyle w:val="Tabletext"/>
              <w:rPr>
                <w:snapToGrid w:val="0"/>
                <w:color w:val="000000" w:themeColor="text1"/>
              </w:rPr>
            </w:pPr>
            <w:r w:rsidRPr="00196507">
              <w:rPr>
                <w:color w:val="000000" w:themeColor="text1"/>
              </w:rPr>
              <w:t>31</w:t>
            </w:r>
            <w:r w:rsidR="00D7157D">
              <w:rPr>
                <w:color w:val="000000" w:themeColor="text1"/>
              </w:rPr>
              <w:t>.</w:t>
            </w:r>
            <w:r w:rsidRPr="00196507">
              <w:rPr>
                <w:color w:val="000000" w:themeColor="text1"/>
              </w:rPr>
              <w:t>5240</w:t>
            </w:r>
          </w:p>
        </w:tc>
        <w:tc>
          <w:tcPr>
            <w:tcW w:w="909" w:type="pct"/>
            <w:tcBorders>
              <w:top w:val="single" w:sz="4" w:space="0" w:color="auto"/>
              <w:bottom w:val="single" w:sz="4" w:space="0" w:color="auto"/>
            </w:tcBorders>
            <w:vAlign w:val="bottom"/>
          </w:tcPr>
          <w:p w14:paraId="019F0D2E"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9329</w:t>
            </w:r>
          </w:p>
        </w:tc>
        <w:tc>
          <w:tcPr>
            <w:tcW w:w="909" w:type="pct"/>
            <w:tcBorders>
              <w:top w:val="single" w:sz="4" w:space="0" w:color="auto"/>
              <w:bottom w:val="single" w:sz="4" w:space="0" w:color="auto"/>
            </w:tcBorders>
            <w:vAlign w:val="bottom"/>
          </w:tcPr>
          <w:p w14:paraId="4DC94D84" w14:textId="77777777" w:rsidR="00196507" w:rsidRPr="00196507" w:rsidRDefault="00196507" w:rsidP="00196507">
            <w:pPr>
              <w:pStyle w:val="Tabletext"/>
              <w:rPr>
                <w:snapToGrid w:val="0"/>
                <w:color w:val="000000" w:themeColor="text1"/>
              </w:rPr>
            </w:pPr>
            <w:r w:rsidRPr="00196507">
              <w:rPr>
                <w:color w:val="000000" w:themeColor="text1"/>
              </w:rPr>
              <w:t>32</w:t>
            </w:r>
            <w:r w:rsidR="00D7157D">
              <w:rPr>
                <w:color w:val="000000" w:themeColor="text1"/>
              </w:rPr>
              <w:t>.</w:t>
            </w:r>
            <w:r w:rsidRPr="00196507">
              <w:rPr>
                <w:color w:val="000000" w:themeColor="text1"/>
              </w:rPr>
              <w:t>4649</w:t>
            </w:r>
          </w:p>
        </w:tc>
        <w:tc>
          <w:tcPr>
            <w:tcW w:w="908" w:type="pct"/>
            <w:tcBorders>
              <w:top w:val="single" w:sz="4" w:space="0" w:color="auto"/>
              <w:bottom w:val="single" w:sz="4" w:space="0" w:color="auto"/>
            </w:tcBorders>
            <w:vAlign w:val="bottom"/>
          </w:tcPr>
          <w:p w14:paraId="3EAF967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8004</w:t>
            </w:r>
          </w:p>
        </w:tc>
      </w:tr>
      <w:tr w:rsidR="00196507" w:rsidRPr="009E2595" w14:paraId="28E8A773" w14:textId="77777777" w:rsidTr="005B61BB">
        <w:trPr>
          <w:cantSplit/>
        </w:trPr>
        <w:tc>
          <w:tcPr>
            <w:tcW w:w="1365" w:type="pct"/>
            <w:tcBorders>
              <w:top w:val="single" w:sz="4" w:space="0" w:color="auto"/>
              <w:bottom w:val="single" w:sz="4" w:space="0" w:color="auto"/>
            </w:tcBorders>
          </w:tcPr>
          <w:p w14:paraId="2D35C3D1" w14:textId="77777777" w:rsidR="00196507" w:rsidRPr="00616B26" w:rsidRDefault="00196507" w:rsidP="00196507">
            <w:pPr>
              <w:pStyle w:val="Tabletext"/>
              <w:rPr>
                <w:snapToGrid w:val="0"/>
              </w:rPr>
            </w:pPr>
            <w:r w:rsidRPr="00616B26">
              <w:rPr>
                <w:snapToGrid w:val="0"/>
              </w:rPr>
              <w:t>36</w:t>
            </w:r>
          </w:p>
        </w:tc>
        <w:tc>
          <w:tcPr>
            <w:tcW w:w="909" w:type="pct"/>
            <w:tcBorders>
              <w:top w:val="single" w:sz="4" w:space="0" w:color="auto"/>
              <w:bottom w:val="single" w:sz="4" w:space="0" w:color="auto"/>
            </w:tcBorders>
            <w:vAlign w:val="bottom"/>
          </w:tcPr>
          <w:p w14:paraId="02A5F714" w14:textId="77777777" w:rsidR="00196507" w:rsidRPr="00196507" w:rsidRDefault="00196507" w:rsidP="00196507">
            <w:pPr>
              <w:pStyle w:val="Tabletext"/>
              <w:rPr>
                <w:snapToGrid w:val="0"/>
                <w:color w:val="000000" w:themeColor="text1"/>
              </w:rPr>
            </w:pPr>
            <w:r w:rsidRPr="00196507">
              <w:rPr>
                <w:color w:val="000000" w:themeColor="text1"/>
              </w:rPr>
              <w:t>31</w:t>
            </w:r>
            <w:r w:rsidR="00D7157D">
              <w:rPr>
                <w:color w:val="000000" w:themeColor="text1"/>
              </w:rPr>
              <w:t>.</w:t>
            </w:r>
            <w:r w:rsidRPr="00196507">
              <w:rPr>
                <w:color w:val="000000" w:themeColor="text1"/>
              </w:rPr>
              <w:t>1895</w:t>
            </w:r>
          </w:p>
        </w:tc>
        <w:tc>
          <w:tcPr>
            <w:tcW w:w="909" w:type="pct"/>
            <w:tcBorders>
              <w:top w:val="single" w:sz="4" w:space="0" w:color="auto"/>
              <w:bottom w:val="single" w:sz="4" w:space="0" w:color="auto"/>
            </w:tcBorders>
            <w:vAlign w:val="bottom"/>
          </w:tcPr>
          <w:p w14:paraId="34047F0D"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9735</w:t>
            </w:r>
          </w:p>
        </w:tc>
        <w:tc>
          <w:tcPr>
            <w:tcW w:w="909" w:type="pct"/>
            <w:tcBorders>
              <w:top w:val="single" w:sz="4" w:space="0" w:color="auto"/>
              <w:bottom w:val="single" w:sz="4" w:space="0" w:color="auto"/>
            </w:tcBorders>
            <w:vAlign w:val="bottom"/>
          </w:tcPr>
          <w:p w14:paraId="2B8AE5D3" w14:textId="77777777" w:rsidR="00196507" w:rsidRPr="00196507" w:rsidRDefault="00196507" w:rsidP="00196507">
            <w:pPr>
              <w:pStyle w:val="Tabletext"/>
              <w:rPr>
                <w:snapToGrid w:val="0"/>
                <w:color w:val="000000" w:themeColor="text1"/>
              </w:rPr>
            </w:pPr>
            <w:r w:rsidRPr="00196507">
              <w:rPr>
                <w:color w:val="000000" w:themeColor="text1"/>
              </w:rPr>
              <w:t>32</w:t>
            </w:r>
            <w:r w:rsidR="00D7157D">
              <w:rPr>
                <w:color w:val="000000" w:themeColor="text1"/>
              </w:rPr>
              <w:t>.</w:t>
            </w:r>
            <w:r w:rsidRPr="00196507">
              <w:rPr>
                <w:color w:val="000000" w:themeColor="text1"/>
              </w:rPr>
              <w:t>1455</w:t>
            </w:r>
          </w:p>
        </w:tc>
        <w:tc>
          <w:tcPr>
            <w:tcW w:w="908" w:type="pct"/>
            <w:tcBorders>
              <w:top w:val="single" w:sz="4" w:space="0" w:color="auto"/>
              <w:bottom w:val="single" w:sz="4" w:space="0" w:color="auto"/>
            </w:tcBorders>
            <w:vAlign w:val="bottom"/>
          </w:tcPr>
          <w:p w14:paraId="0A9FA0C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8185</w:t>
            </w:r>
          </w:p>
        </w:tc>
      </w:tr>
      <w:tr w:rsidR="00196507" w:rsidRPr="009E2595" w14:paraId="5051E4EF" w14:textId="77777777" w:rsidTr="005B61BB">
        <w:trPr>
          <w:cantSplit/>
        </w:trPr>
        <w:tc>
          <w:tcPr>
            <w:tcW w:w="1365" w:type="pct"/>
            <w:tcBorders>
              <w:top w:val="single" w:sz="4" w:space="0" w:color="auto"/>
              <w:bottom w:val="single" w:sz="4" w:space="0" w:color="auto"/>
            </w:tcBorders>
          </w:tcPr>
          <w:p w14:paraId="006CAB7E" w14:textId="77777777" w:rsidR="00196507" w:rsidRPr="00616B26" w:rsidRDefault="00196507" w:rsidP="00196507">
            <w:pPr>
              <w:pStyle w:val="Tabletext"/>
              <w:rPr>
                <w:snapToGrid w:val="0"/>
              </w:rPr>
            </w:pPr>
            <w:r w:rsidRPr="00616B26">
              <w:rPr>
                <w:snapToGrid w:val="0"/>
              </w:rPr>
              <w:t>37</w:t>
            </w:r>
          </w:p>
        </w:tc>
        <w:tc>
          <w:tcPr>
            <w:tcW w:w="909" w:type="pct"/>
            <w:tcBorders>
              <w:top w:val="single" w:sz="4" w:space="0" w:color="auto"/>
              <w:bottom w:val="single" w:sz="4" w:space="0" w:color="auto"/>
            </w:tcBorders>
            <w:vAlign w:val="bottom"/>
          </w:tcPr>
          <w:p w14:paraId="63FBA38A" w14:textId="77777777" w:rsidR="00196507" w:rsidRPr="00196507" w:rsidRDefault="00196507" w:rsidP="00196507">
            <w:pPr>
              <w:pStyle w:val="Tabletext"/>
              <w:rPr>
                <w:snapToGrid w:val="0"/>
                <w:color w:val="000000" w:themeColor="text1"/>
              </w:rPr>
            </w:pPr>
            <w:r w:rsidRPr="00196507">
              <w:rPr>
                <w:color w:val="000000" w:themeColor="text1"/>
              </w:rPr>
              <w:t>30</w:t>
            </w:r>
            <w:r w:rsidR="00D7157D">
              <w:rPr>
                <w:color w:val="000000" w:themeColor="text1"/>
              </w:rPr>
              <w:t>.</w:t>
            </w:r>
            <w:r w:rsidRPr="00196507">
              <w:rPr>
                <w:color w:val="000000" w:themeColor="text1"/>
              </w:rPr>
              <w:t>8483</w:t>
            </w:r>
          </w:p>
        </w:tc>
        <w:tc>
          <w:tcPr>
            <w:tcW w:w="909" w:type="pct"/>
            <w:tcBorders>
              <w:top w:val="single" w:sz="4" w:space="0" w:color="auto"/>
              <w:bottom w:val="single" w:sz="4" w:space="0" w:color="auto"/>
            </w:tcBorders>
            <w:vAlign w:val="bottom"/>
          </w:tcPr>
          <w:p w14:paraId="47BDC9C3"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0144</w:t>
            </w:r>
          </w:p>
        </w:tc>
        <w:tc>
          <w:tcPr>
            <w:tcW w:w="909" w:type="pct"/>
            <w:tcBorders>
              <w:top w:val="single" w:sz="4" w:space="0" w:color="auto"/>
              <w:bottom w:val="single" w:sz="4" w:space="0" w:color="auto"/>
            </w:tcBorders>
            <w:vAlign w:val="bottom"/>
          </w:tcPr>
          <w:p w14:paraId="56F220F8" w14:textId="77777777" w:rsidR="00196507" w:rsidRPr="00196507" w:rsidRDefault="00196507" w:rsidP="00196507">
            <w:pPr>
              <w:pStyle w:val="Tabletext"/>
              <w:rPr>
                <w:snapToGrid w:val="0"/>
                <w:color w:val="000000" w:themeColor="text1"/>
              </w:rPr>
            </w:pPr>
            <w:r w:rsidRPr="00196507">
              <w:rPr>
                <w:color w:val="000000" w:themeColor="text1"/>
              </w:rPr>
              <w:t>31</w:t>
            </w:r>
            <w:r w:rsidR="00D7157D">
              <w:rPr>
                <w:color w:val="000000" w:themeColor="text1"/>
              </w:rPr>
              <w:t>.</w:t>
            </w:r>
            <w:r w:rsidRPr="00196507">
              <w:rPr>
                <w:color w:val="000000" w:themeColor="text1"/>
              </w:rPr>
              <w:t>8194</w:t>
            </w:r>
          </w:p>
        </w:tc>
        <w:tc>
          <w:tcPr>
            <w:tcW w:w="908" w:type="pct"/>
            <w:tcBorders>
              <w:top w:val="single" w:sz="4" w:space="0" w:color="auto"/>
              <w:bottom w:val="single" w:sz="4" w:space="0" w:color="auto"/>
            </w:tcBorders>
            <w:vAlign w:val="bottom"/>
          </w:tcPr>
          <w:p w14:paraId="21E7AFD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8368</w:t>
            </w:r>
          </w:p>
        </w:tc>
      </w:tr>
      <w:tr w:rsidR="00196507" w:rsidRPr="009E2595" w14:paraId="7E15D7CD" w14:textId="77777777" w:rsidTr="005B61BB">
        <w:trPr>
          <w:cantSplit/>
        </w:trPr>
        <w:tc>
          <w:tcPr>
            <w:tcW w:w="1365" w:type="pct"/>
            <w:tcBorders>
              <w:top w:val="single" w:sz="4" w:space="0" w:color="auto"/>
              <w:bottom w:val="single" w:sz="4" w:space="0" w:color="auto"/>
            </w:tcBorders>
          </w:tcPr>
          <w:p w14:paraId="70C87B24" w14:textId="77777777" w:rsidR="00196507" w:rsidRPr="00616B26" w:rsidRDefault="00196507" w:rsidP="00196507">
            <w:pPr>
              <w:pStyle w:val="Tabletext"/>
              <w:rPr>
                <w:snapToGrid w:val="0"/>
              </w:rPr>
            </w:pPr>
            <w:r w:rsidRPr="00616B26">
              <w:rPr>
                <w:snapToGrid w:val="0"/>
              </w:rPr>
              <w:t>38</w:t>
            </w:r>
          </w:p>
        </w:tc>
        <w:tc>
          <w:tcPr>
            <w:tcW w:w="909" w:type="pct"/>
            <w:tcBorders>
              <w:top w:val="single" w:sz="4" w:space="0" w:color="auto"/>
              <w:bottom w:val="single" w:sz="4" w:space="0" w:color="auto"/>
            </w:tcBorders>
            <w:vAlign w:val="bottom"/>
          </w:tcPr>
          <w:p w14:paraId="5628F782" w14:textId="77777777" w:rsidR="00196507" w:rsidRPr="00196507" w:rsidRDefault="00196507" w:rsidP="00196507">
            <w:pPr>
              <w:pStyle w:val="Tabletext"/>
              <w:rPr>
                <w:snapToGrid w:val="0"/>
                <w:color w:val="000000" w:themeColor="text1"/>
              </w:rPr>
            </w:pPr>
            <w:r w:rsidRPr="00196507">
              <w:rPr>
                <w:color w:val="000000" w:themeColor="text1"/>
              </w:rPr>
              <w:t>30</w:t>
            </w:r>
            <w:r w:rsidR="00D7157D">
              <w:rPr>
                <w:color w:val="000000" w:themeColor="text1"/>
              </w:rPr>
              <w:t>.</w:t>
            </w:r>
            <w:r w:rsidRPr="00196507">
              <w:rPr>
                <w:color w:val="000000" w:themeColor="text1"/>
              </w:rPr>
              <w:t>5004</w:t>
            </w:r>
          </w:p>
        </w:tc>
        <w:tc>
          <w:tcPr>
            <w:tcW w:w="909" w:type="pct"/>
            <w:tcBorders>
              <w:top w:val="single" w:sz="4" w:space="0" w:color="auto"/>
              <w:bottom w:val="single" w:sz="4" w:space="0" w:color="auto"/>
            </w:tcBorders>
            <w:vAlign w:val="bottom"/>
          </w:tcPr>
          <w:p w14:paraId="7CAC1190"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0557</w:t>
            </w:r>
          </w:p>
        </w:tc>
        <w:tc>
          <w:tcPr>
            <w:tcW w:w="909" w:type="pct"/>
            <w:tcBorders>
              <w:top w:val="single" w:sz="4" w:space="0" w:color="auto"/>
              <w:bottom w:val="single" w:sz="4" w:space="0" w:color="auto"/>
            </w:tcBorders>
            <w:vAlign w:val="bottom"/>
          </w:tcPr>
          <w:p w14:paraId="702AAB42" w14:textId="77777777" w:rsidR="00196507" w:rsidRPr="00196507" w:rsidRDefault="00196507" w:rsidP="00196507">
            <w:pPr>
              <w:pStyle w:val="Tabletext"/>
              <w:rPr>
                <w:snapToGrid w:val="0"/>
                <w:color w:val="000000" w:themeColor="text1"/>
              </w:rPr>
            </w:pPr>
            <w:r w:rsidRPr="00196507">
              <w:rPr>
                <w:color w:val="000000" w:themeColor="text1"/>
              </w:rPr>
              <w:t>31</w:t>
            </w:r>
            <w:r w:rsidR="00D7157D">
              <w:rPr>
                <w:color w:val="000000" w:themeColor="text1"/>
              </w:rPr>
              <w:t>.</w:t>
            </w:r>
            <w:r w:rsidRPr="00196507">
              <w:rPr>
                <w:color w:val="000000" w:themeColor="text1"/>
              </w:rPr>
              <w:t>4864</w:t>
            </w:r>
          </w:p>
        </w:tc>
        <w:tc>
          <w:tcPr>
            <w:tcW w:w="908" w:type="pct"/>
            <w:tcBorders>
              <w:top w:val="single" w:sz="4" w:space="0" w:color="auto"/>
              <w:bottom w:val="single" w:sz="4" w:space="0" w:color="auto"/>
            </w:tcBorders>
            <w:vAlign w:val="bottom"/>
          </w:tcPr>
          <w:p w14:paraId="2FF8FD3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8554</w:t>
            </w:r>
          </w:p>
        </w:tc>
      </w:tr>
      <w:tr w:rsidR="00196507" w:rsidRPr="009E2595" w14:paraId="0655DB02" w14:textId="77777777" w:rsidTr="005B61BB">
        <w:trPr>
          <w:cantSplit/>
        </w:trPr>
        <w:tc>
          <w:tcPr>
            <w:tcW w:w="1365" w:type="pct"/>
            <w:tcBorders>
              <w:top w:val="single" w:sz="4" w:space="0" w:color="auto"/>
              <w:bottom w:val="single" w:sz="4" w:space="0" w:color="auto"/>
            </w:tcBorders>
          </w:tcPr>
          <w:p w14:paraId="2704CA9C" w14:textId="77777777" w:rsidR="00196507" w:rsidRPr="00616B26" w:rsidRDefault="00196507" w:rsidP="00196507">
            <w:pPr>
              <w:pStyle w:val="Tabletext"/>
              <w:rPr>
                <w:snapToGrid w:val="0"/>
              </w:rPr>
            </w:pPr>
            <w:r w:rsidRPr="00616B26">
              <w:rPr>
                <w:snapToGrid w:val="0"/>
              </w:rPr>
              <w:t>39</w:t>
            </w:r>
          </w:p>
        </w:tc>
        <w:tc>
          <w:tcPr>
            <w:tcW w:w="909" w:type="pct"/>
            <w:tcBorders>
              <w:top w:val="single" w:sz="4" w:space="0" w:color="auto"/>
              <w:bottom w:val="single" w:sz="4" w:space="0" w:color="auto"/>
            </w:tcBorders>
            <w:vAlign w:val="bottom"/>
          </w:tcPr>
          <w:p w14:paraId="7DDD9550" w14:textId="77777777" w:rsidR="00196507" w:rsidRPr="00196507" w:rsidRDefault="00196507" w:rsidP="00196507">
            <w:pPr>
              <w:pStyle w:val="Tabletext"/>
              <w:rPr>
                <w:snapToGrid w:val="0"/>
                <w:color w:val="000000" w:themeColor="text1"/>
              </w:rPr>
            </w:pPr>
            <w:r w:rsidRPr="00196507">
              <w:rPr>
                <w:color w:val="000000" w:themeColor="text1"/>
              </w:rPr>
              <w:t>30</w:t>
            </w:r>
            <w:r w:rsidR="00D7157D">
              <w:rPr>
                <w:color w:val="000000" w:themeColor="text1"/>
              </w:rPr>
              <w:t>.</w:t>
            </w:r>
            <w:r w:rsidRPr="00196507">
              <w:rPr>
                <w:color w:val="000000" w:themeColor="text1"/>
              </w:rPr>
              <w:t>1455</w:t>
            </w:r>
          </w:p>
        </w:tc>
        <w:tc>
          <w:tcPr>
            <w:tcW w:w="909" w:type="pct"/>
            <w:tcBorders>
              <w:top w:val="single" w:sz="4" w:space="0" w:color="auto"/>
              <w:bottom w:val="single" w:sz="4" w:space="0" w:color="auto"/>
            </w:tcBorders>
            <w:vAlign w:val="bottom"/>
          </w:tcPr>
          <w:p w14:paraId="38B62BAE"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0975</w:t>
            </w:r>
          </w:p>
        </w:tc>
        <w:tc>
          <w:tcPr>
            <w:tcW w:w="909" w:type="pct"/>
            <w:tcBorders>
              <w:top w:val="single" w:sz="4" w:space="0" w:color="auto"/>
              <w:bottom w:val="single" w:sz="4" w:space="0" w:color="auto"/>
            </w:tcBorders>
            <w:vAlign w:val="bottom"/>
          </w:tcPr>
          <w:p w14:paraId="3FB67160" w14:textId="77777777" w:rsidR="00196507" w:rsidRPr="00196507" w:rsidRDefault="00196507" w:rsidP="00196507">
            <w:pPr>
              <w:pStyle w:val="Tabletext"/>
              <w:rPr>
                <w:snapToGrid w:val="0"/>
                <w:color w:val="000000" w:themeColor="text1"/>
              </w:rPr>
            </w:pPr>
            <w:r w:rsidRPr="00196507">
              <w:rPr>
                <w:color w:val="000000" w:themeColor="text1"/>
              </w:rPr>
              <w:t>31</w:t>
            </w:r>
            <w:r w:rsidR="00D7157D">
              <w:rPr>
                <w:color w:val="000000" w:themeColor="text1"/>
              </w:rPr>
              <w:t>.</w:t>
            </w:r>
            <w:r w:rsidRPr="00196507">
              <w:rPr>
                <w:color w:val="000000" w:themeColor="text1"/>
              </w:rPr>
              <w:t>1462</w:t>
            </w:r>
          </w:p>
        </w:tc>
        <w:tc>
          <w:tcPr>
            <w:tcW w:w="908" w:type="pct"/>
            <w:tcBorders>
              <w:top w:val="single" w:sz="4" w:space="0" w:color="auto"/>
              <w:bottom w:val="single" w:sz="4" w:space="0" w:color="auto"/>
            </w:tcBorders>
            <w:vAlign w:val="bottom"/>
          </w:tcPr>
          <w:p w14:paraId="55284E6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8741</w:t>
            </w:r>
          </w:p>
        </w:tc>
      </w:tr>
      <w:tr w:rsidR="00196507" w:rsidRPr="009E2595" w14:paraId="68594092" w14:textId="77777777" w:rsidTr="005B61BB">
        <w:trPr>
          <w:cantSplit/>
        </w:trPr>
        <w:tc>
          <w:tcPr>
            <w:tcW w:w="1365" w:type="pct"/>
            <w:tcBorders>
              <w:top w:val="single" w:sz="4" w:space="0" w:color="auto"/>
              <w:bottom w:val="single" w:sz="4" w:space="0" w:color="auto"/>
            </w:tcBorders>
          </w:tcPr>
          <w:p w14:paraId="26BF97AC" w14:textId="77777777" w:rsidR="00196507" w:rsidRPr="00616B26" w:rsidRDefault="00196507" w:rsidP="00196507">
            <w:pPr>
              <w:pStyle w:val="Tabletext"/>
              <w:rPr>
                <w:snapToGrid w:val="0"/>
              </w:rPr>
            </w:pPr>
            <w:r w:rsidRPr="00616B26">
              <w:rPr>
                <w:snapToGrid w:val="0"/>
              </w:rPr>
              <w:t>40</w:t>
            </w:r>
          </w:p>
        </w:tc>
        <w:tc>
          <w:tcPr>
            <w:tcW w:w="909" w:type="pct"/>
            <w:tcBorders>
              <w:top w:val="single" w:sz="4" w:space="0" w:color="auto"/>
              <w:bottom w:val="single" w:sz="4" w:space="0" w:color="auto"/>
            </w:tcBorders>
            <w:vAlign w:val="bottom"/>
          </w:tcPr>
          <w:p w14:paraId="1F2A60F3" w14:textId="77777777" w:rsidR="00196507" w:rsidRPr="00196507" w:rsidRDefault="00196507" w:rsidP="00196507">
            <w:pPr>
              <w:pStyle w:val="Tabletext"/>
              <w:rPr>
                <w:snapToGrid w:val="0"/>
                <w:color w:val="000000" w:themeColor="text1"/>
              </w:rPr>
            </w:pPr>
            <w:r w:rsidRPr="00196507">
              <w:rPr>
                <w:color w:val="000000" w:themeColor="text1"/>
              </w:rPr>
              <w:t>29</w:t>
            </w:r>
            <w:r w:rsidR="00D7157D">
              <w:rPr>
                <w:color w:val="000000" w:themeColor="text1"/>
              </w:rPr>
              <w:t>.</w:t>
            </w:r>
            <w:r w:rsidRPr="00196507">
              <w:rPr>
                <w:color w:val="000000" w:themeColor="text1"/>
              </w:rPr>
              <w:t>7838</w:t>
            </w:r>
          </w:p>
        </w:tc>
        <w:tc>
          <w:tcPr>
            <w:tcW w:w="909" w:type="pct"/>
            <w:tcBorders>
              <w:top w:val="single" w:sz="4" w:space="0" w:color="auto"/>
              <w:bottom w:val="single" w:sz="4" w:space="0" w:color="auto"/>
            </w:tcBorders>
            <w:vAlign w:val="bottom"/>
          </w:tcPr>
          <w:p w14:paraId="37D61E59"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1394</w:t>
            </w:r>
          </w:p>
        </w:tc>
        <w:tc>
          <w:tcPr>
            <w:tcW w:w="909" w:type="pct"/>
            <w:tcBorders>
              <w:top w:val="single" w:sz="4" w:space="0" w:color="auto"/>
              <w:bottom w:val="single" w:sz="4" w:space="0" w:color="auto"/>
            </w:tcBorders>
            <w:vAlign w:val="bottom"/>
          </w:tcPr>
          <w:p w14:paraId="2C570E88" w14:textId="77777777" w:rsidR="00196507" w:rsidRPr="00196507" w:rsidRDefault="00196507" w:rsidP="00196507">
            <w:pPr>
              <w:pStyle w:val="Tabletext"/>
              <w:rPr>
                <w:snapToGrid w:val="0"/>
                <w:color w:val="000000" w:themeColor="text1"/>
              </w:rPr>
            </w:pPr>
            <w:r w:rsidRPr="00196507">
              <w:rPr>
                <w:color w:val="000000" w:themeColor="text1"/>
              </w:rPr>
              <w:t>30</w:t>
            </w:r>
            <w:r w:rsidR="00D7157D">
              <w:rPr>
                <w:color w:val="000000" w:themeColor="text1"/>
              </w:rPr>
              <w:t>.</w:t>
            </w:r>
            <w:r w:rsidRPr="00196507">
              <w:rPr>
                <w:color w:val="000000" w:themeColor="text1"/>
              </w:rPr>
              <w:t>7991</w:t>
            </w:r>
          </w:p>
        </w:tc>
        <w:tc>
          <w:tcPr>
            <w:tcW w:w="908" w:type="pct"/>
            <w:tcBorders>
              <w:top w:val="single" w:sz="4" w:space="0" w:color="auto"/>
              <w:bottom w:val="single" w:sz="4" w:space="0" w:color="auto"/>
            </w:tcBorders>
            <w:vAlign w:val="bottom"/>
          </w:tcPr>
          <w:p w14:paraId="22D534D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8929</w:t>
            </w:r>
          </w:p>
        </w:tc>
      </w:tr>
      <w:tr w:rsidR="00196507" w:rsidRPr="009E2595" w14:paraId="1FCD46B8" w14:textId="77777777" w:rsidTr="005B61BB">
        <w:trPr>
          <w:cantSplit/>
        </w:trPr>
        <w:tc>
          <w:tcPr>
            <w:tcW w:w="1365" w:type="pct"/>
            <w:tcBorders>
              <w:top w:val="single" w:sz="4" w:space="0" w:color="auto"/>
              <w:bottom w:val="single" w:sz="4" w:space="0" w:color="auto"/>
            </w:tcBorders>
          </w:tcPr>
          <w:p w14:paraId="430F15C7" w14:textId="77777777" w:rsidR="00196507" w:rsidRPr="00616B26" w:rsidRDefault="00196507" w:rsidP="00196507">
            <w:pPr>
              <w:pStyle w:val="Tabletext"/>
              <w:rPr>
                <w:snapToGrid w:val="0"/>
              </w:rPr>
            </w:pPr>
            <w:r w:rsidRPr="00616B26">
              <w:rPr>
                <w:snapToGrid w:val="0"/>
              </w:rPr>
              <w:t>41</w:t>
            </w:r>
          </w:p>
        </w:tc>
        <w:tc>
          <w:tcPr>
            <w:tcW w:w="909" w:type="pct"/>
            <w:tcBorders>
              <w:top w:val="single" w:sz="4" w:space="0" w:color="auto"/>
              <w:bottom w:val="single" w:sz="4" w:space="0" w:color="auto"/>
            </w:tcBorders>
            <w:vAlign w:val="bottom"/>
          </w:tcPr>
          <w:p w14:paraId="34C34CFC" w14:textId="77777777" w:rsidR="00196507" w:rsidRPr="00196507" w:rsidRDefault="00196507" w:rsidP="00196507">
            <w:pPr>
              <w:pStyle w:val="Tabletext"/>
              <w:rPr>
                <w:snapToGrid w:val="0"/>
                <w:color w:val="000000" w:themeColor="text1"/>
              </w:rPr>
            </w:pPr>
            <w:r w:rsidRPr="00196507">
              <w:rPr>
                <w:color w:val="000000" w:themeColor="text1"/>
              </w:rPr>
              <w:t>29</w:t>
            </w:r>
            <w:r w:rsidR="00D7157D">
              <w:rPr>
                <w:color w:val="000000" w:themeColor="text1"/>
              </w:rPr>
              <w:t>.</w:t>
            </w:r>
            <w:r w:rsidRPr="00196507">
              <w:rPr>
                <w:color w:val="000000" w:themeColor="text1"/>
              </w:rPr>
              <w:t>4151</w:t>
            </w:r>
          </w:p>
        </w:tc>
        <w:tc>
          <w:tcPr>
            <w:tcW w:w="909" w:type="pct"/>
            <w:tcBorders>
              <w:top w:val="single" w:sz="4" w:space="0" w:color="auto"/>
              <w:bottom w:val="single" w:sz="4" w:space="0" w:color="auto"/>
            </w:tcBorders>
            <w:vAlign w:val="bottom"/>
          </w:tcPr>
          <w:p w14:paraId="436D2348"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1089</w:t>
            </w:r>
          </w:p>
        </w:tc>
        <w:tc>
          <w:tcPr>
            <w:tcW w:w="909" w:type="pct"/>
            <w:tcBorders>
              <w:top w:val="single" w:sz="4" w:space="0" w:color="auto"/>
              <w:bottom w:val="single" w:sz="4" w:space="0" w:color="auto"/>
            </w:tcBorders>
            <w:vAlign w:val="bottom"/>
          </w:tcPr>
          <w:p w14:paraId="4CEF62CA" w14:textId="77777777" w:rsidR="00196507" w:rsidRPr="00196507" w:rsidRDefault="00196507" w:rsidP="00196507">
            <w:pPr>
              <w:pStyle w:val="Tabletext"/>
              <w:rPr>
                <w:snapToGrid w:val="0"/>
                <w:color w:val="000000" w:themeColor="text1"/>
              </w:rPr>
            </w:pPr>
            <w:r w:rsidRPr="00196507">
              <w:rPr>
                <w:color w:val="000000" w:themeColor="text1"/>
              </w:rPr>
              <w:t>30</w:t>
            </w:r>
            <w:r w:rsidR="00D7157D">
              <w:rPr>
                <w:color w:val="000000" w:themeColor="text1"/>
              </w:rPr>
              <w:t>.</w:t>
            </w:r>
            <w:r w:rsidRPr="00196507">
              <w:rPr>
                <w:color w:val="000000" w:themeColor="text1"/>
              </w:rPr>
              <w:t>4445</w:t>
            </w:r>
          </w:p>
        </w:tc>
        <w:tc>
          <w:tcPr>
            <w:tcW w:w="908" w:type="pct"/>
            <w:tcBorders>
              <w:top w:val="single" w:sz="4" w:space="0" w:color="auto"/>
              <w:bottom w:val="single" w:sz="4" w:space="0" w:color="auto"/>
            </w:tcBorders>
            <w:vAlign w:val="bottom"/>
          </w:tcPr>
          <w:p w14:paraId="16ADACD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8572</w:t>
            </w:r>
          </w:p>
        </w:tc>
      </w:tr>
      <w:tr w:rsidR="00196507" w:rsidRPr="009E2595" w14:paraId="2EBE81C5" w14:textId="77777777" w:rsidTr="005B61BB">
        <w:trPr>
          <w:cantSplit/>
        </w:trPr>
        <w:tc>
          <w:tcPr>
            <w:tcW w:w="1365" w:type="pct"/>
            <w:tcBorders>
              <w:top w:val="single" w:sz="4" w:space="0" w:color="auto"/>
              <w:bottom w:val="single" w:sz="4" w:space="0" w:color="auto"/>
            </w:tcBorders>
          </w:tcPr>
          <w:p w14:paraId="211ECFAC" w14:textId="77777777" w:rsidR="00196507" w:rsidRPr="00616B26" w:rsidRDefault="00196507" w:rsidP="00196507">
            <w:pPr>
              <w:pStyle w:val="Tabletext"/>
              <w:rPr>
                <w:snapToGrid w:val="0"/>
              </w:rPr>
            </w:pPr>
            <w:r w:rsidRPr="00616B26">
              <w:rPr>
                <w:snapToGrid w:val="0"/>
              </w:rPr>
              <w:t>42</w:t>
            </w:r>
          </w:p>
        </w:tc>
        <w:tc>
          <w:tcPr>
            <w:tcW w:w="909" w:type="pct"/>
            <w:tcBorders>
              <w:top w:val="single" w:sz="4" w:space="0" w:color="auto"/>
              <w:bottom w:val="single" w:sz="4" w:space="0" w:color="auto"/>
            </w:tcBorders>
            <w:vAlign w:val="bottom"/>
          </w:tcPr>
          <w:p w14:paraId="3611B042" w14:textId="77777777" w:rsidR="00196507" w:rsidRPr="00196507" w:rsidRDefault="00196507" w:rsidP="00196507">
            <w:pPr>
              <w:pStyle w:val="Tabletext"/>
              <w:rPr>
                <w:snapToGrid w:val="0"/>
                <w:color w:val="000000" w:themeColor="text1"/>
              </w:rPr>
            </w:pPr>
            <w:r w:rsidRPr="00196507">
              <w:rPr>
                <w:color w:val="000000" w:themeColor="text1"/>
              </w:rPr>
              <w:t>29</w:t>
            </w:r>
            <w:r w:rsidR="00D7157D">
              <w:rPr>
                <w:color w:val="000000" w:themeColor="text1"/>
              </w:rPr>
              <w:t>.</w:t>
            </w:r>
            <w:r w:rsidRPr="00196507">
              <w:rPr>
                <w:color w:val="000000" w:themeColor="text1"/>
              </w:rPr>
              <w:t>0395</w:t>
            </w:r>
          </w:p>
        </w:tc>
        <w:tc>
          <w:tcPr>
            <w:tcW w:w="909" w:type="pct"/>
            <w:tcBorders>
              <w:top w:val="single" w:sz="4" w:space="0" w:color="auto"/>
              <w:bottom w:val="single" w:sz="4" w:space="0" w:color="auto"/>
            </w:tcBorders>
            <w:vAlign w:val="bottom"/>
          </w:tcPr>
          <w:p w14:paraId="5FA3A559"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0758</w:t>
            </w:r>
          </w:p>
        </w:tc>
        <w:tc>
          <w:tcPr>
            <w:tcW w:w="909" w:type="pct"/>
            <w:tcBorders>
              <w:top w:val="single" w:sz="4" w:space="0" w:color="auto"/>
              <w:bottom w:val="single" w:sz="4" w:space="0" w:color="auto"/>
            </w:tcBorders>
            <w:vAlign w:val="bottom"/>
          </w:tcPr>
          <w:p w14:paraId="240B2B37" w14:textId="77777777" w:rsidR="00196507" w:rsidRPr="00196507" w:rsidRDefault="00196507" w:rsidP="00196507">
            <w:pPr>
              <w:pStyle w:val="Tabletext"/>
              <w:rPr>
                <w:snapToGrid w:val="0"/>
                <w:color w:val="000000" w:themeColor="text1"/>
              </w:rPr>
            </w:pPr>
            <w:r w:rsidRPr="00196507">
              <w:rPr>
                <w:color w:val="000000" w:themeColor="text1"/>
              </w:rPr>
              <w:t>30</w:t>
            </w:r>
            <w:r w:rsidR="00D7157D">
              <w:rPr>
                <w:color w:val="000000" w:themeColor="text1"/>
              </w:rPr>
              <w:t>.</w:t>
            </w:r>
            <w:r w:rsidRPr="00196507">
              <w:rPr>
                <w:color w:val="000000" w:themeColor="text1"/>
              </w:rPr>
              <w:t>0829</w:t>
            </w:r>
          </w:p>
        </w:tc>
        <w:tc>
          <w:tcPr>
            <w:tcW w:w="908" w:type="pct"/>
            <w:tcBorders>
              <w:top w:val="single" w:sz="4" w:space="0" w:color="auto"/>
              <w:bottom w:val="single" w:sz="4" w:space="0" w:color="auto"/>
            </w:tcBorders>
            <w:vAlign w:val="bottom"/>
          </w:tcPr>
          <w:p w14:paraId="5B85955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8193</w:t>
            </w:r>
          </w:p>
        </w:tc>
      </w:tr>
      <w:tr w:rsidR="00196507" w:rsidRPr="009E2595" w14:paraId="19F40A28" w14:textId="77777777" w:rsidTr="005B61BB">
        <w:trPr>
          <w:cantSplit/>
        </w:trPr>
        <w:tc>
          <w:tcPr>
            <w:tcW w:w="1365" w:type="pct"/>
            <w:tcBorders>
              <w:top w:val="single" w:sz="4" w:space="0" w:color="auto"/>
              <w:bottom w:val="single" w:sz="4" w:space="0" w:color="auto"/>
            </w:tcBorders>
          </w:tcPr>
          <w:p w14:paraId="5D853CA1" w14:textId="77777777" w:rsidR="00196507" w:rsidRPr="00616B26" w:rsidRDefault="00196507" w:rsidP="00196507">
            <w:pPr>
              <w:pStyle w:val="Tabletext"/>
              <w:rPr>
                <w:snapToGrid w:val="0"/>
              </w:rPr>
            </w:pPr>
            <w:r w:rsidRPr="00616B26">
              <w:rPr>
                <w:snapToGrid w:val="0"/>
              </w:rPr>
              <w:t>43</w:t>
            </w:r>
          </w:p>
        </w:tc>
        <w:tc>
          <w:tcPr>
            <w:tcW w:w="909" w:type="pct"/>
            <w:tcBorders>
              <w:top w:val="single" w:sz="4" w:space="0" w:color="auto"/>
              <w:bottom w:val="single" w:sz="4" w:space="0" w:color="auto"/>
            </w:tcBorders>
            <w:vAlign w:val="bottom"/>
          </w:tcPr>
          <w:p w14:paraId="5B73D310" w14:textId="77777777" w:rsidR="00196507" w:rsidRPr="00196507" w:rsidRDefault="00196507" w:rsidP="00196507">
            <w:pPr>
              <w:pStyle w:val="Tabletext"/>
              <w:rPr>
                <w:snapToGrid w:val="0"/>
                <w:color w:val="000000" w:themeColor="text1"/>
              </w:rPr>
            </w:pPr>
            <w:r w:rsidRPr="00196507">
              <w:rPr>
                <w:color w:val="000000" w:themeColor="text1"/>
              </w:rPr>
              <w:t>28</w:t>
            </w:r>
            <w:r w:rsidR="00D7157D">
              <w:rPr>
                <w:color w:val="000000" w:themeColor="text1"/>
              </w:rPr>
              <w:t>.</w:t>
            </w:r>
            <w:r w:rsidRPr="00196507">
              <w:rPr>
                <w:color w:val="000000" w:themeColor="text1"/>
              </w:rPr>
              <w:t>6569</w:t>
            </w:r>
          </w:p>
        </w:tc>
        <w:tc>
          <w:tcPr>
            <w:tcW w:w="909" w:type="pct"/>
            <w:tcBorders>
              <w:top w:val="single" w:sz="4" w:space="0" w:color="auto"/>
              <w:bottom w:val="single" w:sz="4" w:space="0" w:color="auto"/>
            </w:tcBorders>
            <w:vAlign w:val="bottom"/>
          </w:tcPr>
          <w:p w14:paraId="05750035"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0400</w:t>
            </w:r>
          </w:p>
        </w:tc>
        <w:tc>
          <w:tcPr>
            <w:tcW w:w="909" w:type="pct"/>
            <w:tcBorders>
              <w:top w:val="single" w:sz="4" w:space="0" w:color="auto"/>
              <w:bottom w:val="single" w:sz="4" w:space="0" w:color="auto"/>
            </w:tcBorders>
            <w:vAlign w:val="bottom"/>
          </w:tcPr>
          <w:p w14:paraId="74959A3D" w14:textId="77777777" w:rsidR="00196507" w:rsidRPr="00196507" w:rsidRDefault="00196507" w:rsidP="00196507">
            <w:pPr>
              <w:pStyle w:val="Tabletext"/>
              <w:rPr>
                <w:snapToGrid w:val="0"/>
                <w:color w:val="000000" w:themeColor="text1"/>
              </w:rPr>
            </w:pPr>
            <w:r w:rsidRPr="00196507">
              <w:rPr>
                <w:color w:val="000000" w:themeColor="text1"/>
              </w:rPr>
              <w:t>29</w:t>
            </w:r>
            <w:r w:rsidR="00D7157D">
              <w:rPr>
                <w:color w:val="000000" w:themeColor="text1"/>
              </w:rPr>
              <w:t>.</w:t>
            </w:r>
            <w:r w:rsidRPr="00196507">
              <w:rPr>
                <w:color w:val="000000" w:themeColor="text1"/>
              </w:rPr>
              <w:t>7138</w:t>
            </w:r>
          </w:p>
        </w:tc>
        <w:tc>
          <w:tcPr>
            <w:tcW w:w="908" w:type="pct"/>
            <w:tcBorders>
              <w:top w:val="single" w:sz="4" w:space="0" w:color="auto"/>
              <w:bottom w:val="single" w:sz="4" w:space="0" w:color="auto"/>
            </w:tcBorders>
            <w:vAlign w:val="bottom"/>
          </w:tcPr>
          <w:p w14:paraId="2A4AFDB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7792</w:t>
            </w:r>
          </w:p>
        </w:tc>
      </w:tr>
      <w:tr w:rsidR="00196507" w:rsidRPr="009E2595" w14:paraId="1083FACC" w14:textId="77777777" w:rsidTr="005B61BB">
        <w:trPr>
          <w:cantSplit/>
        </w:trPr>
        <w:tc>
          <w:tcPr>
            <w:tcW w:w="1365" w:type="pct"/>
            <w:tcBorders>
              <w:top w:val="single" w:sz="4" w:space="0" w:color="auto"/>
              <w:bottom w:val="single" w:sz="4" w:space="0" w:color="auto"/>
            </w:tcBorders>
          </w:tcPr>
          <w:p w14:paraId="42366E9B" w14:textId="77777777" w:rsidR="00196507" w:rsidRPr="00616B26" w:rsidRDefault="00196507" w:rsidP="00196507">
            <w:pPr>
              <w:pStyle w:val="Tabletext"/>
              <w:rPr>
                <w:snapToGrid w:val="0"/>
              </w:rPr>
            </w:pPr>
            <w:r w:rsidRPr="00616B26">
              <w:rPr>
                <w:snapToGrid w:val="0"/>
              </w:rPr>
              <w:t>44</w:t>
            </w:r>
          </w:p>
        </w:tc>
        <w:tc>
          <w:tcPr>
            <w:tcW w:w="909" w:type="pct"/>
            <w:tcBorders>
              <w:top w:val="single" w:sz="4" w:space="0" w:color="auto"/>
              <w:bottom w:val="single" w:sz="4" w:space="0" w:color="auto"/>
            </w:tcBorders>
            <w:vAlign w:val="bottom"/>
          </w:tcPr>
          <w:p w14:paraId="3D3E147D" w14:textId="77777777" w:rsidR="00196507" w:rsidRPr="00196507" w:rsidRDefault="00196507" w:rsidP="00196507">
            <w:pPr>
              <w:pStyle w:val="Tabletext"/>
              <w:rPr>
                <w:snapToGrid w:val="0"/>
                <w:color w:val="000000" w:themeColor="text1"/>
              </w:rPr>
            </w:pPr>
            <w:r w:rsidRPr="00196507">
              <w:rPr>
                <w:color w:val="000000" w:themeColor="text1"/>
              </w:rPr>
              <w:t>28</w:t>
            </w:r>
            <w:r w:rsidR="00D7157D">
              <w:rPr>
                <w:color w:val="000000" w:themeColor="text1"/>
              </w:rPr>
              <w:t>.</w:t>
            </w:r>
            <w:r w:rsidRPr="00196507">
              <w:rPr>
                <w:color w:val="000000" w:themeColor="text1"/>
              </w:rPr>
              <w:t>2670</w:t>
            </w:r>
          </w:p>
        </w:tc>
        <w:tc>
          <w:tcPr>
            <w:tcW w:w="909" w:type="pct"/>
            <w:tcBorders>
              <w:top w:val="single" w:sz="4" w:space="0" w:color="auto"/>
              <w:bottom w:val="single" w:sz="4" w:space="0" w:color="auto"/>
            </w:tcBorders>
            <w:vAlign w:val="bottom"/>
          </w:tcPr>
          <w:p w14:paraId="11A4D3A2"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0014</w:t>
            </w:r>
          </w:p>
        </w:tc>
        <w:tc>
          <w:tcPr>
            <w:tcW w:w="909" w:type="pct"/>
            <w:tcBorders>
              <w:top w:val="single" w:sz="4" w:space="0" w:color="auto"/>
              <w:bottom w:val="single" w:sz="4" w:space="0" w:color="auto"/>
            </w:tcBorders>
            <w:vAlign w:val="bottom"/>
          </w:tcPr>
          <w:p w14:paraId="7B57A79E" w14:textId="77777777" w:rsidR="00196507" w:rsidRPr="00196507" w:rsidRDefault="00196507" w:rsidP="00196507">
            <w:pPr>
              <w:pStyle w:val="Tabletext"/>
              <w:rPr>
                <w:snapToGrid w:val="0"/>
                <w:color w:val="000000" w:themeColor="text1"/>
              </w:rPr>
            </w:pPr>
            <w:r w:rsidRPr="00196507">
              <w:rPr>
                <w:color w:val="000000" w:themeColor="text1"/>
              </w:rPr>
              <w:t>29</w:t>
            </w:r>
            <w:r w:rsidR="00D7157D">
              <w:rPr>
                <w:color w:val="000000" w:themeColor="text1"/>
              </w:rPr>
              <w:t>.</w:t>
            </w:r>
            <w:r w:rsidRPr="00196507">
              <w:rPr>
                <w:color w:val="000000" w:themeColor="text1"/>
              </w:rPr>
              <w:t>3373</w:t>
            </w:r>
          </w:p>
        </w:tc>
        <w:tc>
          <w:tcPr>
            <w:tcW w:w="908" w:type="pct"/>
            <w:tcBorders>
              <w:top w:val="single" w:sz="4" w:space="0" w:color="auto"/>
              <w:bottom w:val="single" w:sz="4" w:space="0" w:color="auto"/>
            </w:tcBorders>
            <w:vAlign w:val="bottom"/>
          </w:tcPr>
          <w:p w14:paraId="6CC65A5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7368</w:t>
            </w:r>
          </w:p>
        </w:tc>
      </w:tr>
      <w:tr w:rsidR="00196507" w:rsidRPr="009E2595" w14:paraId="6F85447C" w14:textId="77777777" w:rsidTr="005B61BB">
        <w:trPr>
          <w:cantSplit/>
        </w:trPr>
        <w:tc>
          <w:tcPr>
            <w:tcW w:w="1365" w:type="pct"/>
            <w:tcBorders>
              <w:top w:val="single" w:sz="4" w:space="0" w:color="auto"/>
              <w:bottom w:val="single" w:sz="4" w:space="0" w:color="auto"/>
            </w:tcBorders>
          </w:tcPr>
          <w:p w14:paraId="32391317" w14:textId="77777777" w:rsidR="00196507" w:rsidRPr="00616B26" w:rsidRDefault="00196507" w:rsidP="00196507">
            <w:pPr>
              <w:pStyle w:val="Tabletext"/>
              <w:rPr>
                <w:snapToGrid w:val="0"/>
              </w:rPr>
            </w:pPr>
            <w:r w:rsidRPr="00616B26">
              <w:rPr>
                <w:snapToGrid w:val="0"/>
              </w:rPr>
              <w:t>45</w:t>
            </w:r>
          </w:p>
        </w:tc>
        <w:tc>
          <w:tcPr>
            <w:tcW w:w="909" w:type="pct"/>
            <w:tcBorders>
              <w:top w:val="single" w:sz="4" w:space="0" w:color="auto"/>
              <w:bottom w:val="single" w:sz="4" w:space="0" w:color="auto"/>
            </w:tcBorders>
            <w:vAlign w:val="bottom"/>
          </w:tcPr>
          <w:p w14:paraId="529E2EEC" w14:textId="77777777" w:rsidR="00196507" w:rsidRPr="00196507" w:rsidRDefault="00196507" w:rsidP="00196507">
            <w:pPr>
              <w:pStyle w:val="Tabletext"/>
              <w:rPr>
                <w:snapToGrid w:val="0"/>
                <w:color w:val="000000" w:themeColor="text1"/>
              </w:rPr>
            </w:pPr>
            <w:r w:rsidRPr="00196507">
              <w:rPr>
                <w:color w:val="000000" w:themeColor="text1"/>
              </w:rPr>
              <w:t>27</w:t>
            </w:r>
            <w:r w:rsidR="00D7157D">
              <w:rPr>
                <w:color w:val="000000" w:themeColor="text1"/>
              </w:rPr>
              <w:t>.</w:t>
            </w:r>
            <w:r w:rsidRPr="00196507">
              <w:rPr>
                <w:color w:val="000000" w:themeColor="text1"/>
              </w:rPr>
              <w:t>8701</w:t>
            </w:r>
          </w:p>
        </w:tc>
        <w:tc>
          <w:tcPr>
            <w:tcW w:w="909" w:type="pct"/>
            <w:tcBorders>
              <w:top w:val="single" w:sz="4" w:space="0" w:color="auto"/>
              <w:bottom w:val="single" w:sz="4" w:space="0" w:color="auto"/>
            </w:tcBorders>
            <w:vAlign w:val="bottom"/>
          </w:tcPr>
          <w:p w14:paraId="197AFE36"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9600</w:t>
            </w:r>
          </w:p>
        </w:tc>
        <w:tc>
          <w:tcPr>
            <w:tcW w:w="909" w:type="pct"/>
            <w:tcBorders>
              <w:top w:val="single" w:sz="4" w:space="0" w:color="auto"/>
              <w:bottom w:val="single" w:sz="4" w:space="0" w:color="auto"/>
            </w:tcBorders>
            <w:vAlign w:val="bottom"/>
          </w:tcPr>
          <w:p w14:paraId="1E77155E" w14:textId="77777777" w:rsidR="00196507" w:rsidRPr="00196507" w:rsidRDefault="00196507" w:rsidP="00196507">
            <w:pPr>
              <w:pStyle w:val="Tabletext"/>
              <w:rPr>
                <w:snapToGrid w:val="0"/>
                <w:color w:val="000000" w:themeColor="text1"/>
              </w:rPr>
            </w:pPr>
            <w:r w:rsidRPr="00196507">
              <w:rPr>
                <w:color w:val="000000" w:themeColor="text1"/>
              </w:rPr>
              <w:t>28</w:t>
            </w:r>
            <w:r w:rsidR="00D7157D">
              <w:rPr>
                <w:color w:val="000000" w:themeColor="text1"/>
              </w:rPr>
              <w:t>.</w:t>
            </w:r>
            <w:r w:rsidRPr="00196507">
              <w:rPr>
                <w:color w:val="000000" w:themeColor="text1"/>
              </w:rPr>
              <w:t>9531</w:t>
            </w:r>
          </w:p>
        </w:tc>
        <w:tc>
          <w:tcPr>
            <w:tcW w:w="908" w:type="pct"/>
            <w:tcBorders>
              <w:top w:val="single" w:sz="4" w:space="0" w:color="auto"/>
              <w:bottom w:val="single" w:sz="4" w:space="0" w:color="auto"/>
            </w:tcBorders>
            <w:vAlign w:val="bottom"/>
          </w:tcPr>
          <w:p w14:paraId="597B700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6921</w:t>
            </w:r>
          </w:p>
        </w:tc>
      </w:tr>
      <w:tr w:rsidR="00196507" w:rsidRPr="009E2595" w14:paraId="5A00C65D" w14:textId="77777777" w:rsidTr="005B61BB">
        <w:trPr>
          <w:cantSplit/>
        </w:trPr>
        <w:tc>
          <w:tcPr>
            <w:tcW w:w="1365" w:type="pct"/>
            <w:tcBorders>
              <w:top w:val="single" w:sz="4" w:space="0" w:color="auto"/>
              <w:bottom w:val="single" w:sz="4" w:space="0" w:color="auto"/>
            </w:tcBorders>
          </w:tcPr>
          <w:p w14:paraId="66A12CA0" w14:textId="77777777" w:rsidR="00196507" w:rsidRPr="00616B26" w:rsidRDefault="00196507" w:rsidP="00196507">
            <w:pPr>
              <w:pStyle w:val="Tabletext"/>
              <w:rPr>
                <w:snapToGrid w:val="0"/>
              </w:rPr>
            </w:pPr>
            <w:r w:rsidRPr="00616B26">
              <w:rPr>
                <w:snapToGrid w:val="0"/>
              </w:rPr>
              <w:t>46</w:t>
            </w:r>
          </w:p>
        </w:tc>
        <w:tc>
          <w:tcPr>
            <w:tcW w:w="909" w:type="pct"/>
            <w:tcBorders>
              <w:top w:val="single" w:sz="4" w:space="0" w:color="auto"/>
              <w:bottom w:val="single" w:sz="4" w:space="0" w:color="auto"/>
            </w:tcBorders>
            <w:vAlign w:val="bottom"/>
          </w:tcPr>
          <w:p w14:paraId="5039DF66" w14:textId="77777777" w:rsidR="00196507" w:rsidRPr="00196507" w:rsidRDefault="00196507" w:rsidP="00196507">
            <w:pPr>
              <w:pStyle w:val="Tabletext"/>
              <w:rPr>
                <w:snapToGrid w:val="0"/>
                <w:color w:val="000000" w:themeColor="text1"/>
              </w:rPr>
            </w:pPr>
            <w:r w:rsidRPr="00196507">
              <w:rPr>
                <w:color w:val="000000" w:themeColor="text1"/>
              </w:rPr>
              <w:t>27</w:t>
            </w:r>
            <w:r w:rsidR="00D7157D">
              <w:rPr>
                <w:color w:val="000000" w:themeColor="text1"/>
              </w:rPr>
              <w:t>.</w:t>
            </w:r>
            <w:r w:rsidRPr="00196507">
              <w:rPr>
                <w:color w:val="000000" w:themeColor="text1"/>
              </w:rPr>
              <w:t>4662</w:t>
            </w:r>
          </w:p>
        </w:tc>
        <w:tc>
          <w:tcPr>
            <w:tcW w:w="909" w:type="pct"/>
            <w:tcBorders>
              <w:top w:val="single" w:sz="4" w:space="0" w:color="auto"/>
              <w:bottom w:val="single" w:sz="4" w:space="0" w:color="auto"/>
            </w:tcBorders>
            <w:vAlign w:val="bottom"/>
          </w:tcPr>
          <w:p w14:paraId="573C2DC3"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9156</w:t>
            </w:r>
          </w:p>
        </w:tc>
        <w:tc>
          <w:tcPr>
            <w:tcW w:w="909" w:type="pct"/>
            <w:tcBorders>
              <w:top w:val="single" w:sz="4" w:space="0" w:color="auto"/>
              <w:bottom w:val="single" w:sz="4" w:space="0" w:color="auto"/>
            </w:tcBorders>
            <w:vAlign w:val="bottom"/>
          </w:tcPr>
          <w:p w14:paraId="3AB46649" w14:textId="77777777" w:rsidR="00196507" w:rsidRPr="00196507" w:rsidRDefault="00196507" w:rsidP="00196507">
            <w:pPr>
              <w:pStyle w:val="Tabletext"/>
              <w:rPr>
                <w:snapToGrid w:val="0"/>
                <w:color w:val="000000" w:themeColor="text1"/>
              </w:rPr>
            </w:pPr>
            <w:r w:rsidRPr="00196507">
              <w:rPr>
                <w:color w:val="000000" w:themeColor="text1"/>
              </w:rPr>
              <w:t>28</w:t>
            </w:r>
            <w:r w:rsidR="00D7157D">
              <w:rPr>
                <w:color w:val="000000" w:themeColor="text1"/>
              </w:rPr>
              <w:t>.</w:t>
            </w:r>
            <w:r w:rsidRPr="00196507">
              <w:rPr>
                <w:color w:val="000000" w:themeColor="text1"/>
              </w:rPr>
              <w:t>5612</w:t>
            </w:r>
          </w:p>
        </w:tc>
        <w:tc>
          <w:tcPr>
            <w:tcW w:w="908" w:type="pct"/>
            <w:tcBorders>
              <w:top w:val="single" w:sz="4" w:space="0" w:color="auto"/>
              <w:bottom w:val="single" w:sz="4" w:space="0" w:color="auto"/>
            </w:tcBorders>
            <w:vAlign w:val="bottom"/>
          </w:tcPr>
          <w:p w14:paraId="35C4CD3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6452</w:t>
            </w:r>
          </w:p>
        </w:tc>
      </w:tr>
      <w:tr w:rsidR="00196507" w:rsidRPr="009E2595" w14:paraId="3F06FBB0" w14:textId="77777777" w:rsidTr="005B61BB">
        <w:trPr>
          <w:cantSplit/>
        </w:trPr>
        <w:tc>
          <w:tcPr>
            <w:tcW w:w="1365" w:type="pct"/>
            <w:tcBorders>
              <w:top w:val="single" w:sz="4" w:space="0" w:color="auto"/>
              <w:bottom w:val="single" w:sz="4" w:space="0" w:color="auto"/>
            </w:tcBorders>
          </w:tcPr>
          <w:p w14:paraId="6AC6B766" w14:textId="77777777" w:rsidR="00196507" w:rsidRPr="00616B26" w:rsidRDefault="00196507" w:rsidP="00196507">
            <w:pPr>
              <w:pStyle w:val="Tabletext"/>
              <w:rPr>
                <w:snapToGrid w:val="0"/>
              </w:rPr>
            </w:pPr>
            <w:r w:rsidRPr="00616B26">
              <w:rPr>
                <w:snapToGrid w:val="0"/>
              </w:rPr>
              <w:t>47</w:t>
            </w:r>
          </w:p>
        </w:tc>
        <w:tc>
          <w:tcPr>
            <w:tcW w:w="909" w:type="pct"/>
            <w:tcBorders>
              <w:top w:val="single" w:sz="4" w:space="0" w:color="auto"/>
              <w:bottom w:val="single" w:sz="4" w:space="0" w:color="auto"/>
            </w:tcBorders>
            <w:vAlign w:val="bottom"/>
          </w:tcPr>
          <w:p w14:paraId="6476A72F" w14:textId="77777777" w:rsidR="00196507" w:rsidRPr="00196507" w:rsidRDefault="00196507" w:rsidP="00196507">
            <w:pPr>
              <w:pStyle w:val="Tabletext"/>
              <w:rPr>
                <w:snapToGrid w:val="0"/>
                <w:color w:val="000000" w:themeColor="text1"/>
              </w:rPr>
            </w:pPr>
            <w:r w:rsidRPr="00196507">
              <w:rPr>
                <w:color w:val="000000" w:themeColor="text1"/>
              </w:rPr>
              <w:t>27</w:t>
            </w:r>
            <w:r w:rsidR="00D7157D">
              <w:rPr>
                <w:color w:val="000000" w:themeColor="text1"/>
              </w:rPr>
              <w:t>.</w:t>
            </w:r>
            <w:r w:rsidRPr="00196507">
              <w:rPr>
                <w:color w:val="000000" w:themeColor="text1"/>
              </w:rPr>
              <w:t>0549</w:t>
            </w:r>
          </w:p>
        </w:tc>
        <w:tc>
          <w:tcPr>
            <w:tcW w:w="909" w:type="pct"/>
            <w:tcBorders>
              <w:top w:val="single" w:sz="4" w:space="0" w:color="auto"/>
              <w:bottom w:val="single" w:sz="4" w:space="0" w:color="auto"/>
            </w:tcBorders>
            <w:vAlign w:val="bottom"/>
          </w:tcPr>
          <w:p w14:paraId="36F89BE7"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8684</w:t>
            </w:r>
          </w:p>
        </w:tc>
        <w:tc>
          <w:tcPr>
            <w:tcW w:w="909" w:type="pct"/>
            <w:tcBorders>
              <w:top w:val="single" w:sz="4" w:space="0" w:color="auto"/>
              <w:bottom w:val="single" w:sz="4" w:space="0" w:color="auto"/>
            </w:tcBorders>
            <w:vAlign w:val="bottom"/>
          </w:tcPr>
          <w:p w14:paraId="7A81C0FC" w14:textId="77777777" w:rsidR="00196507" w:rsidRPr="00196507" w:rsidRDefault="00196507" w:rsidP="00196507">
            <w:pPr>
              <w:pStyle w:val="Tabletext"/>
              <w:rPr>
                <w:snapToGrid w:val="0"/>
                <w:color w:val="000000" w:themeColor="text1"/>
              </w:rPr>
            </w:pPr>
            <w:r w:rsidRPr="00196507">
              <w:rPr>
                <w:color w:val="000000" w:themeColor="text1"/>
              </w:rPr>
              <w:t>28</w:t>
            </w:r>
            <w:r w:rsidR="00D7157D">
              <w:rPr>
                <w:color w:val="000000" w:themeColor="text1"/>
              </w:rPr>
              <w:t>.</w:t>
            </w:r>
            <w:r w:rsidRPr="00196507">
              <w:rPr>
                <w:color w:val="000000" w:themeColor="text1"/>
              </w:rPr>
              <w:t>1616</w:t>
            </w:r>
          </w:p>
        </w:tc>
        <w:tc>
          <w:tcPr>
            <w:tcW w:w="908" w:type="pct"/>
            <w:tcBorders>
              <w:top w:val="single" w:sz="4" w:space="0" w:color="auto"/>
              <w:bottom w:val="single" w:sz="4" w:space="0" w:color="auto"/>
            </w:tcBorders>
            <w:vAlign w:val="bottom"/>
          </w:tcPr>
          <w:p w14:paraId="5ED57C1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5959</w:t>
            </w:r>
          </w:p>
        </w:tc>
      </w:tr>
      <w:tr w:rsidR="00196507" w:rsidRPr="009E2595" w14:paraId="37F21628" w14:textId="77777777" w:rsidTr="005B61BB">
        <w:trPr>
          <w:cantSplit/>
        </w:trPr>
        <w:tc>
          <w:tcPr>
            <w:tcW w:w="1365" w:type="pct"/>
            <w:tcBorders>
              <w:top w:val="single" w:sz="4" w:space="0" w:color="auto"/>
              <w:bottom w:val="single" w:sz="4" w:space="0" w:color="auto"/>
            </w:tcBorders>
          </w:tcPr>
          <w:p w14:paraId="09F26DA7" w14:textId="77777777" w:rsidR="00196507" w:rsidRPr="00616B26" w:rsidRDefault="00196507" w:rsidP="00196507">
            <w:pPr>
              <w:pStyle w:val="Tabletext"/>
              <w:rPr>
                <w:snapToGrid w:val="0"/>
              </w:rPr>
            </w:pPr>
            <w:r w:rsidRPr="00616B26">
              <w:rPr>
                <w:snapToGrid w:val="0"/>
              </w:rPr>
              <w:t>48</w:t>
            </w:r>
          </w:p>
        </w:tc>
        <w:tc>
          <w:tcPr>
            <w:tcW w:w="909" w:type="pct"/>
            <w:tcBorders>
              <w:top w:val="single" w:sz="4" w:space="0" w:color="auto"/>
              <w:bottom w:val="single" w:sz="4" w:space="0" w:color="auto"/>
            </w:tcBorders>
            <w:vAlign w:val="bottom"/>
          </w:tcPr>
          <w:p w14:paraId="3465438F" w14:textId="77777777" w:rsidR="00196507" w:rsidRPr="00196507" w:rsidRDefault="00196507" w:rsidP="00196507">
            <w:pPr>
              <w:pStyle w:val="Tabletext"/>
              <w:rPr>
                <w:snapToGrid w:val="0"/>
                <w:color w:val="000000" w:themeColor="text1"/>
              </w:rPr>
            </w:pPr>
            <w:r w:rsidRPr="00196507">
              <w:rPr>
                <w:color w:val="000000" w:themeColor="text1"/>
              </w:rPr>
              <w:t>26</w:t>
            </w:r>
            <w:r w:rsidR="00D7157D">
              <w:rPr>
                <w:color w:val="000000" w:themeColor="text1"/>
              </w:rPr>
              <w:t>.</w:t>
            </w:r>
            <w:r w:rsidRPr="00196507">
              <w:rPr>
                <w:color w:val="000000" w:themeColor="text1"/>
              </w:rPr>
              <w:t>6367</w:t>
            </w:r>
          </w:p>
        </w:tc>
        <w:tc>
          <w:tcPr>
            <w:tcW w:w="909" w:type="pct"/>
            <w:tcBorders>
              <w:top w:val="single" w:sz="4" w:space="0" w:color="auto"/>
              <w:bottom w:val="single" w:sz="4" w:space="0" w:color="auto"/>
            </w:tcBorders>
            <w:vAlign w:val="bottom"/>
          </w:tcPr>
          <w:p w14:paraId="2BDD9F04"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8181</w:t>
            </w:r>
          </w:p>
        </w:tc>
        <w:tc>
          <w:tcPr>
            <w:tcW w:w="909" w:type="pct"/>
            <w:tcBorders>
              <w:top w:val="single" w:sz="4" w:space="0" w:color="auto"/>
              <w:bottom w:val="single" w:sz="4" w:space="0" w:color="auto"/>
            </w:tcBorders>
            <w:vAlign w:val="bottom"/>
          </w:tcPr>
          <w:p w14:paraId="702A1CAA" w14:textId="77777777" w:rsidR="00196507" w:rsidRPr="00196507" w:rsidRDefault="00196507" w:rsidP="00196507">
            <w:pPr>
              <w:pStyle w:val="Tabletext"/>
              <w:rPr>
                <w:snapToGrid w:val="0"/>
                <w:color w:val="000000" w:themeColor="text1"/>
              </w:rPr>
            </w:pPr>
            <w:r w:rsidRPr="00196507">
              <w:rPr>
                <w:color w:val="000000" w:themeColor="text1"/>
              </w:rPr>
              <w:t>27</w:t>
            </w:r>
            <w:r w:rsidR="00D7157D">
              <w:rPr>
                <w:color w:val="000000" w:themeColor="text1"/>
              </w:rPr>
              <w:t>.</w:t>
            </w:r>
            <w:r w:rsidRPr="00196507">
              <w:rPr>
                <w:color w:val="000000" w:themeColor="text1"/>
              </w:rPr>
              <w:t>7540</w:t>
            </w:r>
          </w:p>
        </w:tc>
        <w:tc>
          <w:tcPr>
            <w:tcW w:w="908" w:type="pct"/>
            <w:tcBorders>
              <w:top w:val="single" w:sz="4" w:space="0" w:color="auto"/>
              <w:bottom w:val="single" w:sz="4" w:space="0" w:color="auto"/>
            </w:tcBorders>
            <w:vAlign w:val="bottom"/>
          </w:tcPr>
          <w:p w14:paraId="1A9A992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5443</w:t>
            </w:r>
          </w:p>
        </w:tc>
      </w:tr>
      <w:tr w:rsidR="00196507" w:rsidRPr="009E2595" w14:paraId="7F6112AD" w14:textId="77777777" w:rsidTr="005B61BB">
        <w:trPr>
          <w:cantSplit/>
        </w:trPr>
        <w:tc>
          <w:tcPr>
            <w:tcW w:w="1365" w:type="pct"/>
            <w:tcBorders>
              <w:top w:val="single" w:sz="4" w:space="0" w:color="auto"/>
              <w:bottom w:val="single" w:sz="4" w:space="0" w:color="auto"/>
            </w:tcBorders>
          </w:tcPr>
          <w:p w14:paraId="5D48BDB8" w14:textId="77777777" w:rsidR="00196507" w:rsidRPr="00616B26" w:rsidRDefault="00196507" w:rsidP="00196507">
            <w:pPr>
              <w:pStyle w:val="Tabletext"/>
              <w:rPr>
                <w:snapToGrid w:val="0"/>
              </w:rPr>
            </w:pPr>
            <w:r w:rsidRPr="00616B26">
              <w:rPr>
                <w:snapToGrid w:val="0"/>
              </w:rPr>
              <w:t>49</w:t>
            </w:r>
          </w:p>
        </w:tc>
        <w:tc>
          <w:tcPr>
            <w:tcW w:w="909" w:type="pct"/>
            <w:tcBorders>
              <w:top w:val="single" w:sz="4" w:space="0" w:color="auto"/>
              <w:bottom w:val="single" w:sz="4" w:space="0" w:color="auto"/>
            </w:tcBorders>
            <w:vAlign w:val="bottom"/>
          </w:tcPr>
          <w:p w14:paraId="4AA316BB" w14:textId="77777777" w:rsidR="00196507" w:rsidRPr="00196507" w:rsidRDefault="00196507" w:rsidP="00196507">
            <w:pPr>
              <w:pStyle w:val="Tabletext"/>
              <w:rPr>
                <w:snapToGrid w:val="0"/>
                <w:color w:val="000000" w:themeColor="text1"/>
              </w:rPr>
            </w:pPr>
            <w:r w:rsidRPr="00196507">
              <w:rPr>
                <w:color w:val="000000" w:themeColor="text1"/>
              </w:rPr>
              <w:t>26</w:t>
            </w:r>
            <w:r w:rsidR="00D7157D">
              <w:rPr>
                <w:color w:val="000000" w:themeColor="text1"/>
              </w:rPr>
              <w:t>.</w:t>
            </w:r>
            <w:r w:rsidRPr="00196507">
              <w:rPr>
                <w:color w:val="000000" w:themeColor="text1"/>
              </w:rPr>
              <w:t>2112</w:t>
            </w:r>
          </w:p>
        </w:tc>
        <w:tc>
          <w:tcPr>
            <w:tcW w:w="909" w:type="pct"/>
            <w:tcBorders>
              <w:top w:val="single" w:sz="4" w:space="0" w:color="auto"/>
              <w:bottom w:val="single" w:sz="4" w:space="0" w:color="auto"/>
            </w:tcBorders>
            <w:vAlign w:val="bottom"/>
          </w:tcPr>
          <w:p w14:paraId="6DABEA6F"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7648</w:t>
            </w:r>
          </w:p>
        </w:tc>
        <w:tc>
          <w:tcPr>
            <w:tcW w:w="909" w:type="pct"/>
            <w:tcBorders>
              <w:top w:val="single" w:sz="4" w:space="0" w:color="auto"/>
              <w:bottom w:val="single" w:sz="4" w:space="0" w:color="auto"/>
            </w:tcBorders>
            <w:vAlign w:val="bottom"/>
          </w:tcPr>
          <w:p w14:paraId="774D90BE" w14:textId="77777777" w:rsidR="00196507" w:rsidRPr="00196507" w:rsidRDefault="00196507" w:rsidP="00196507">
            <w:pPr>
              <w:pStyle w:val="Tabletext"/>
              <w:rPr>
                <w:snapToGrid w:val="0"/>
                <w:color w:val="000000" w:themeColor="text1"/>
              </w:rPr>
            </w:pPr>
            <w:r w:rsidRPr="00196507">
              <w:rPr>
                <w:color w:val="000000" w:themeColor="text1"/>
              </w:rPr>
              <w:t>27</w:t>
            </w:r>
            <w:r w:rsidR="00D7157D">
              <w:rPr>
                <w:color w:val="000000" w:themeColor="text1"/>
              </w:rPr>
              <w:t>.</w:t>
            </w:r>
            <w:r w:rsidRPr="00196507">
              <w:rPr>
                <w:color w:val="000000" w:themeColor="text1"/>
              </w:rPr>
              <w:t>3383</w:t>
            </w:r>
          </w:p>
        </w:tc>
        <w:tc>
          <w:tcPr>
            <w:tcW w:w="908" w:type="pct"/>
            <w:tcBorders>
              <w:top w:val="single" w:sz="4" w:space="0" w:color="auto"/>
              <w:bottom w:val="single" w:sz="4" w:space="0" w:color="auto"/>
            </w:tcBorders>
            <w:vAlign w:val="bottom"/>
          </w:tcPr>
          <w:p w14:paraId="75B6C2E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4903</w:t>
            </w:r>
          </w:p>
        </w:tc>
      </w:tr>
      <w:tr w:rsidR="00196507" w:rsidRPr="009E2595" w14:paraId="79FEB20D" w14:textId="77777777" w:rsidTr="005B61BB">
        <w:trPr>
          <w:cantSplit/>
        </w:trPr>
        <w:tc>
          <w:tcPr>
            <w:tcW w:w="1365" w:type="pct"/>
            <w:tcBorders>
              <w:top w:val="single" w:sz="4" w:space="0" w:color="auto"/>
              <w:bottom w:val="single" w:sz="4" w:space="0" w:color="auto"/>
            </w:tcBorders>
          </w:tcPr>
          <w:p w14:paraId="4A167E8B" w14:textId="77777777" w:rsidR="00196507" w:rsidRPr="00616B26" w:rsidRDefault="00196507" w:rsidP="00196507">
            <w:pPr>
              <w:pStyle w:val="Tabletext"/>
              <w:rPr>
                <w:snapToGrid w:val="0"/>
              </w:rPr>
            </w:pPr>
            <w:r w:rsidRPr="00616B26">
              <w:rPr>
                <w:snapToGrid w:val="0"/>
              </w:rPr>
              <w:t>50</w:t>
            </w:r>
          </w:p>
        </w:tc>
        <w:tc>
          <w:tcPr>
            <w:tcW w:w="909" w:type="pct"/>
            <w:tcBorders>
              <w:top w:val="single" w:sz="4" w:space="0" w:color="auto"/>
              <w:bottom w:val="single" w:sz="4" w:space="0" w:color="auto"/>
            </w:tcBorders>
            <w:vAlign w:val="bottom"/>
          </w:tcPr>
          <w:p w14:paraId="5C017289" w14:textId="77777777" w:rsidR="00196507" w:rsidRPr="00196507" w:rsidRDefault="00196507" w:rsidP="00196507">
            <w:pPr>
              <w:pStyle w:val="Tabletext"/>
              <w:rPr>
                <w:snapToGrid w:val="0"/>
                <w:color w:val="000000" w:themeColor="text1"/>
              </w:rPr>
            </w:pPr>
            <w:r w:rsidRPr="00196507">
              <w:rPr>
                <w:color w:val="000000" w:themeColor="text1"/>
              </w:rPr>
              <w:t>25</w:t>
            </w:r>
            <w:r w:rsidR="00D7157D">
              <w:rPr>
                <w:color w:val="000000" w:themeColor="text1"/>
              </w:rPr>
              <w:t>.</w:t>
            </w:r>
            <w:r w:rsidRPr="00196507">
              <w:rPr>
                <w:color w:val="000000" w:themeColor="text1"/>
              </w:rPr>
              <w:t>7778</w:t>
            </w:r>
          </w:p>
        </w:tc>
        <w:tc>
          <w:tcPr>
            <w:tcW w:w="909" w:type="pct"/>
            <w:tcBorders>
              <w:top w:val="single" w:sz="4" w:space="0" w:color="auto"/>
              <w:bottom w:val="single" w:sz="4" w:space="0" w:color="auto"/>
            </w:tcBorders>
            <w:vAlign w:val="bottom"/>
          </w:tcPr>
          <w:p w14:paraId="3E93DC05"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7087</w:t>
            </w:r>
          </w:p>
        </w:tc>
        <w:tc>
          <w:tcPr>
            <w:tcW w:w="909" w:type="pct"/>
            <w:tcBorders>
              <w:top w:val="single" w:sz="4" w:space="0" w:color="auto"/>
              <w:bottom w:val="single" w:sz="4" w:space="0" w:color="auto"/>
            </w:tcBorders>
            <w:vAlign w:val="bottom"/>
          </w:tcPr>
          <w:p w14:paraId="496C7505" w14:textId="77777777" w:rsidR="00196507" w:rsidRPr="00196507" w:rsidRDefault="00196507" w:rsidP="00196507">
            <w:pPr>
              <w:pStyle w:val="Tabletext"/>
              <w:rPr>
                <w:snapToGrid w:val="0"/>
                <w:color w:val="000000" w:themeColor="text1"/>
              </w:rPr>
            </w:pPr>
            <w:r w:rsidRPr="00196507">
              <w:rPr>
                <w:color w:val="000000" w:themeColor="text1"/>
              </w:rPr>
              <w:t>26</w:t>
            </w:r>
            <w:r w:rsidR="00D7157D">
              <w:rPr>
                <w:color w:val="000000" w:themeColor="text1"/>
              </w:rPr>
              <w:t>.</w:t>
            </w:r>
            <w:r w:rsidRPr="00196507">
              <w:rPr>
                <w:color w:val="000000" w:themeColor="text1"/>
              </w:rPr>
              <w:t>9145</w:t>
            </w:r>
          </w:p>
        </w:tc>
        <w:tc>
          <w:tcPr>
            <w:tcW w:w="908" w:type="pct"/>
            <w:tcBorders>
              <w:top w:val="single" w:sz="4" w:space="0" w:color="auto"/>
              <w:bottom w:val="single" w:sz="4" w:space="0" w:color="auto"/>
            </w:tcBorders>
            <w:vAlign w:val="bottom"/>
          </w:tcPr>
          <w:p w14:paraId="60D22C6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4340</w:t>
            </w:r>
          </w:p>
        </w:tc>
      </w:tr>
      <w:tr w:rsidR="00196507" w:rsidRPr="009E2595" w14:paraId="682AFAB3" w14:textId="77777777" w:rsidTr="005B61BB">
        <w:trPr>
          <w:cantSplit/>
        </w:trPr>
        <w:tc>
          <w:tcPr>
            <w:tcW w:w="1365" w:type="pct"/>
            <w:tcBorders>
              <w:top w:val="single" w:sz="4" w:space="0" w:color="auto"/>
              <w:bottom w:val="single" w:sz="4" w:space="0" w:color="auto"/>
            </w:tcBorders>
          </w:tcPr>
          <w:p w14:paraId="3B018ADE" w14:textId="77777777" w:rsidR="00196507" w:rsidRPr="00616B26" w:rsidRDefault="00196507" w:rsidP="00196507">
            <w:pPr>
              <w:pStyle w:val="Tabletext"/>
              <w:rPr>
                <w:snapToGrid w:val="0"/>
              </w:rPr>
            </w:pPr>
            <w:r w:rsidRPr="00616B26">
              <w:rPr>
                <w:snapToGrid w:val="0"/>
              </w:rPr>
              <w:t>51</w:t>
            </w:r>
          </w:p>
        </w:tc>
        <w:tc>
          <w:tcPr>
            <w:tcW w:w="909" w:type="pct"/>
            <w:tcBorders>
              <w:top w:val="single" w:sz="4" w:space="0" w:color="auto"/>
              <w:bottom w:val="single" w:sz="4" w:space="0" w:color="auto"/>
            </w:tcBorders>
            <w:vAlign w:val="bottom"/>
          </w:tcPr>
          <w:p w14:paraId="45394116" w14:textId="77777777" w:rsidR="00196507" w:rsidRPr="00196507" w:rsidRDefault="00196507" w:rsidP="00196507">
            <w:pPr>
              <w:pStyle w:val="Tabletext"/>
              <w:rPr>
                <w:snapToGrid w:val="0"/>
                <w:color w:val="000000" w:themeColor="text1"/>
              </w:rPr>
            </w:pPr>
            <w:r w:rsidRPr="00196507">
              <w:rPr>
                <w:color w:val="000000" w:themeColor="text1"/>
              </w:rPr>
              <w:t>25</w:t>
            </w:r>
            <w:r w:rsidR="00D7157D">
              <w:rPr>
                <w:color w:val="000000" w:themeColor="text1"/>
              </w:rPr>
              <w:t>.</w:t>
            </w:r>
            <w:r w:rsidRPr="00196507">
              <w:rPr>
                <w:color w:val="000000" w:themeColor="text1"/>
              </w:rPr>
              <w:t>3366</w:t>
            </w:r>
          </w:p>
        </w:tc>
        <w:tc>
          <w:tcPr>
            <w:tcW w:w="909" w:type="pct"/>
            <w:tcBorders>
              <w:top w:val="single" w:sz="4" w:space="0" w:color="auto"/>
              <w:bottom w:val="single" w:sz="4" w:space="0" w:color="auto"/>
            </w:tcBorders>
            <w:vAlign w:val="bottom"/>
          </w:tcPr>
          <w:p w14:paraId="4082CC0C"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4761</w:t>
            </w:r>
          </w:p>
        </w:tc>
        <w:tc>
          <w:tcPr>
            <w:tcW w:w="909" w:type="pct"/>
            <w:tcBorders>
              <w:top w:val="single" w:sz="4" w:space="0" w:color="auto"/>
              <w:bottom w:val="single" w:sz="4" w:space="0" w:color="auto"/>
            </w:tcBorders>
            <w:vAlign w:val="bottom"/>
          </w:tcPr>
          <w:p w14:paraId="74DAC724" w14:textId="77777777" w:rsidR="00196507" w:rsidRPr="00196507" w:rsidRDefault="00196507" w:rsidP="00196507">
            <w:pPr>
              <w:pStyle w:val="Tabletext"/>
              <w:rPr>
                <w:snapToGrid w:val="0"/>
                <w:color w:val="000000" w:themeColor="text1"/>
              </w:rPr>
            </w:pPr>
            <w:r w:rsidRPr="00196507">
              <w:rPr>
                <w:color w:val="000000" w:themeColor="text1"/>
              </w:rPr>
              <w:t>26</w:t>
            </w:r>
            <w:r w:rsidR="00D7157D">
              <w:rPr>
                <w:color w:val="000000" w:themeColor="text1"/>
              </w:rPr>
              <w:t>.</w:t>
            </w:r>
            <w:r w:rsidRPr="00196507">
              <w:rPr>
                <w:color w:val="000000" w:themeColor="text1"/>
              </w:rPr>
              <w:t>4824</w:t>
            </w:r>
          </w:p>
        </w:tc>
        <w:tc>
          <w:tcPr>
            <w:tcW w:w="908" w:type="pct"/>
            <w:tcBorders>
              <w:top w:val="single" w:sz="4" w:space="0" w:color="auto"/>
              <w:bottom w:val="single" w:sz="4" w:space="0" w:color="auto"/>
            </w:tcBorders>
            <w:vAlign w:val="bottom"/>
          </w:tcPr>
          <w:p w14:paraId="0816A7A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3754</w:t>
            </w:r>
          </w:p>
        </w:tc>
      </w:tr>
      <w:tr w:rsidR="00196507" w:rsidRPr="009E2595" w14:paraId="78282D27" w14:textId="77777777" w:rsidTr="005B61BB">
        <w:trPr>
          <w:cantSplit/>
        </w:trPr>
        <w:tc>
          <w:tcPr>
            <w:tcW w:w="1365" w:type="pct"/>
            <w:tcBorders>
              <w:top w:val="single" w:sz="4" w:space="0" w:color="auto"/>
              <w:bottom w:val="single" w:sz="4" w:space="0" w:color="auto"/>
            </w:tcBorders>
          </w:tcPr>
          <w:p w14:paraId="53E08BFA" w14:textId="77777777" w:rsidR="00196507" w:rsidRPr="00616B26" w:rsidRDefault="00196507" w:rsidP="00196507">
            <w:pPr>
              <w:pStyle w:val="Tabletext"/>
              <w:rPr>
                <w:snapToGrid w:val="0"/>
              </w:rPr>
            </w:pPr>
            <w:r w:rsidRPr="00616B26">
              <w:rPr>
                <w:snapToGrid w:val="0"/>
              </w:rPr>
              <w:t>52</w:t>
            </w:r>
          </w:p>
        </w:tc>
        <w:tc>
          <w:tcPr>
            <w:tcW w:w="909" w:type="pct"/>
            <w:tcBorders>
              <w:top w:val="single" w:sz="4" w:space="0" w:color="auto"/>
              <w:bottom w:val="single" w:sz="4" w:space="0" w:color="auto"/>
            </w:tcBorders>
            <w:vAlign w:val="bottom"/>
          </w:tcPr>
          <w:p w14:paraId="6866E5B0" w14:textId="77777777" w:rsidR="00196507" w:rsidRPr="00196507" w:rsidRDefault="00196507" w:rsidP="00196507">
            <w:pPr>
              <w:pStyle w:val="Tabletext"/>
              <w:rPr>
                <w:snapToGrid w:val="0"/>
                <w:color w:val="000000" w:themeColor="text1"/>
              </w:rPr>
            </w:pPr>
            <w:r w:rsidRPr="00196507">
              <w:rPr>
                <w:color w:val="000000" w:themeColor="text1"/>
              </w:rPr>
              <w:t>24</w:t>
            </w:r>
            <w:r w:rsidR="00D7157D">
              <w:rPr>
                <w:color w:val="000000" w:themeColor="text1"/>
              </w:rPr>
              <w:t>.</w:t>
            </w:r>
            <w:r w:rsidRPr="00196507">
              <w:rPr>
                <w:color w:val="000000" w:themeColor="text1"/>
              </w:rPr>
              <w:t>8862</w:t>
            </w:r>
          </w:p>
        </w:tc>
        <w:tc>
          <w:tcPr>
            <w:tcW w:w="909" w:type="pct"/>
            <w:tcBorders>
              <w:top w:val="single" w:sz="4" w:space="0" w:color="auto"/>
              <w:bottom w:val="single" w:sz="4" w:space="0" w:color="auto"/>
            </w:tcBorders>
            <w:vAlign w:val="bottom"/>
          </w:tcPr>
          <w:p w14:paraId="4E86720B"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2354</w:t>
            </w:r>
          </w:p>
        </w:tc>
        <w:tc>
          <w:tcPr>
            <w:tcW w:w="909" w:type="pct"/>
            <w:tcBorders>
              <w:top w:val="single" w:sz="4" w:space="0" w:color="auto"/>
              <w:bottom w:val="single" w:sz="4" w:space="0" w:color="auto"/>
            </w:tcBorders>
            <w:vAlign w:val="bottom"/>
          </w:tcPr>
          <w:p w14:paraId="16D1F96C" w14:textId="77777777" w:rsidR="00196507" w:rsidRPr="00196507" w:rsidRDefault="00196507" w:rsidP="00196507">
            <w:pPr>
              <w:pStyle w:val="Tabletext"/>
              <w:rPr>
                <w:snapToGrid w:val="0"/>
                <w:color w:val="000000" w:themeColor="text1"/>
              </w:rPr>
            </w:pPr>
            <w:r w:rsidRPr="00196507">
              <w:rPr>
                <w:color w:val="000000" w:themeColor="text1"/>
              </w:rPr>
              <w:t>26</w:t>
            </w:r>
            <w:r w:rsidR="00D7157D">
              <w:rPr>
                <w:color w:val="000000" w:themeColor="text1"/>
              </w:rPr>
              <w:t>.</w:t>
            </w:r>
            <w:r w:rsidRPr="00196507">
              <w:rPr>
                <w:color w:val="000000" w:themeColor="text1"/>
              </w:rPr>
              <w:t>0406</w:t>
            </w:r>
          </w:p>
        </w:tc>
        <w:tc>
          <w:tcPr>
            <w:tcW w:w="908" w:type="pct"/>
            <w:tcBorders>
              <w:top w:val="single" w:sz="4" w:space="0" w:color="auto"/>
              <w:bottom w:val="single" w:sz="4" w:space="0" w:color="auto"/>
            </w:tcBorders>
            <w:vAlign w:val="bottom"/>
          </w:tcPr>
          <w:p w14:paraId="105A6D8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3147</w:t>
            </w:r>
          </w:p>
        </w:tc>
      </w:tr>
      <w:tr w:rsidR="00196507" w:rsidRPr="009E2595" w14:paraId="663C19F5" w14:textId="77777777" w:rsidTr="005B61BB">
        <w:trPr>
          <w:cantSplit/>
        </w:trPr>
        <w:tc>
          <w:tcPr>
            <w:tcW w:w="1365" w:type="pct"/>
            <w:tcBorders>
              <w:top w:val="single" w:sz="4" w:space="0" w:color="auto"/>
              <w:bottom w:val="single" w:sz="4" w:space="0" w:color="auto"/>
            </w:tcBorders>
          </w:tcPr>
          <w:p w14:paraId="385926F5" w14:textId="77777777" w:rsidR="00196507" w:rsidRPr="00616B26" w:rsidRDefault="00196507" w:rsidP="00196507">
            <w:pPr>
              <w:pStyle w:val="Tabletext"/>
              <w:rPr>
                <w:snapToGrid w:val="0"/>
              </w:rPr>
            </w:pPr>
            <w:r w:rsidRPr="00616B26">
              <w:rPr>
                <w:snapToGrid w:val="0"/>
              </w:rPr>
              <w:t>53</w:t>
            </w:r>
          </w:p>
        </w:tc>
        <w:tc>
          <w:tcPr>
            <w:tcW w:w="909" w:type="pct"/>
            <w:tcBorders>
              <w:top w:val="single" w:sz="4" w:space="0" w:color="auto"/>
              <w:bottom w:val="single" w:sz="4" w:space="0" w:color="auto"/>
            </w:tcBorders>
            <w:vAlign w:val="bottom"/>
          </w:tcPr>
          <w:p w14:paraId="4F384D29" w14:textId="77777777" w:rsidR="00196507" w:rsidRPr="00196507" w:rsidRDefault="00196507" w:rsidP="00196507">
            <w:pPr>
              <w:pStyle w:val="Tabletext"/>
              <w:rPr>
                <w:snapToGrid w:val="0"/>
                <w:color w:val="000000" w:themeColor="text1"/>
              </w:rPr>
            </w:pPr>
            <w:r w:rsidRPr="00196507">
              <w:rPr>
                <w:color w:val="000000" w:themeColor="text1"/>
              </w:rPr>
              <w:t>24</w:t>
            </w:r>
            <w:r w:rsidR="00D7157D">
              <w:rPr>
                <w:color w:val="000000" w:themeColor="text1"/>
              </w:rPr>
              <w:t>.</w:t>
            </w:r>
            <w:r w:rsidRPr="00196507">
              <w:rPr>
                <w:color w:val="000000" w:themeColor="text1"/>
              </w:rPr>
              <w:t>4263</w:t>
            </w:r>
          </w:p>
        </w:tc>
        <w:tc>
          <w:tcPr>
            <w:tcW w:w="909" w:type="pct"/>
            <w:tcBorders>
              <w:top w:val="single" w:sz="4" w:space="0" w:color="auto"/>
              <w:bottom w:val="single" w:sz="4" w:space="0" w:color="auto"/>
            </w:tcBorders>
            <w:vAlign w:val="bottom"/>
          </w:tcPr>
          <w:p w14:paraId="3DF4F4A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9864</w:t>
            </w:r>
          </w:p>
        </w:tc>
        <w:tc>
          <w:tcPr>
            <w:tcW w:w="909" w:type="pct"/>
            <w:tcBorders>
              <w:top w:val="single" w:sz="4" w:space="0" w:color="auto"/>
              <w:bottom w:val="single" w:sz="4" w:space="0" w:color="auto"/>
            </w:tcBorders>
            <w:vAlign w:val="bottom"/>
          </w:tcPr>
          <w:p w14:paraId="795ADE45" w14:textId="77777777" w:rsidR="00196507" w:rsidRPr="00196507" w:rsidRDefault="00196507" w:rsidP="00196507">
            <w:pPr>
              <w:pStyle w:val="Tabletext"/>
              <w:rPr>
                <w:snapToGrid w:val="0"/>
                <w:color w:val="000000" w:themeColor="text1"/>
              </w:rPr>
            </w:pPr>
            <w:r w:rsidRPr="00196507">
              <w:rPr>
                <w:color w:val="000000" w:themeColor="text1"/>
              </w:rPr>
              <w:t>25</w:t>
            </w:r>
            <w:r w:rsidR="00D7157D">
              <w:rPr>
                <w:color w:val="000000" w:themeColor="text1"/>
              </w:rPr>
              <w:t>.</w:t>
            </w:r>
            <w:r w:rsidRPr="00196507">
              <w:rPr>
                <w:color w:val="000000" w:themeColor="text1"/>
              </w:rPr>
              <w:t>5898</w:t>
            </w:r>
          </w:p>
        </w:tc>
        <w:tc>
          <w:tcPr>
            <w:tcW w:w="908" w:type="pct"/>
            <w:tcBorders>
              <w:top w:val="single" w:sz="4" w:space="0" w:color="auto"/>
              <w:bottom w:val="single" w:sz="4" w:space="0" w:color="auto"/>
            </w:tcBorders>
            <w:vAlign w:val="bottom"/>
          </w:tcPr>
          <w:p w14:paraId="2E0DE5F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2515</w:t>
            </w:r>
          </w:p>
        </w:tc>
      </w:tr>
      <w:tr w:rsidR="00196507" w:rsidRPr="009E2595" w14:paraId="71B32C21" w14:textId="77777777" w:rsidTr="005B61BB">
        <w:trPr>
          <w:cantSplit/>
        </w:trPr>
        <w:tc>
          <w:tcPr>
            <w:tcW w:w="1365" w:type="pct"/>
            <w:tcBorders>
              <w:top w:val="single" w:sz="4" w:space="0" w:color="auto"/>
              <w:bottom w:val="single" w:sz="4" w:space="0" w:color="auto"/>
            </w:tcBorders>
          </w:tcPr>
          <w:p w14:paraId="2ABCB50E" w14:textId="77777777" w:rsidR="00196507" w:rsidRPr="00616B26" w:rsidRDefault="00196507" w:rsidP="00196507">
            <w:pPr>
              <w:pStyle w:val="Tabletext"/>
              <w:rPr>
                <w:snapToGrid w:val="0"/>
              </w:rPr>
            </w:pPr>
            <w:r w:rsidRPr="00616B26">
              <w:rPr>
                <w:snapToGrid w:val="0"/>
              </w:rPr>
              <w:t>54</w:t>
            </w:r>
          </w:p>
        </w:tc>
        <w:tc>
          <w:tcPr>
            <w:tcW w:w="909" w:type="pct"/>
            <w:tcBorders>
              <w:top w:val="single" w:sz="4" w:space="0" w:color="auto"/>
              <w:bottom w:val="single" w:sz="4" w:space="0" w:color="auto"/>
            </w:tcBorders>
            <w:vAlign w:val="bottom"/>
          </w:tcPr>
          <w:p w14:paraId="247AA6E4" w14:textId="77777777" w:rsidR="00196507" w:rsidRPr="00196507" w:rsidRDefault="00196507" w:rsidP="00196507">
            <w:pPr>
              <w:pStyle w:val="Tabletext"/>
              <w:rPr>
                <w:snapToGrid w:val="0"/>
                <w:color w:val="000000" w:themeColor="text1"/>
              </w:rPr>
            </w:pPr>
            <w:r w:rsidRPr="00196507">
              <w:rPr>
                <w:color w:val="000000" w:themeColor="text1"/>
              </w:rPr>
              <w:t>23</w:t>
            </w:r>
            <w:r w:rsidR="00D7157D">
              <w:rPr>
                <w:color w:val="000000" w:themeColor="text1"/>
              </w:rPr>
              <w:t>.</w:t>
            </w:r>
            <w:r w:rsidRPr="00196507">
              <w:rPr>
                <w:color w:val="000000" w:themeColor="text1"/>
              </w:rPr>
              <w:t>9572</w:t>
            </w:r>
          </w:p>
        </w:tc>
        <w:tc>
          <w:tcPr>
            <w:tcW w:w="909" w:type="pct"/>
            <w:tcBorders>
              <w:top w:val="single" w:sz="4" w:space="0" w:color="auto"/>
              <w:bottom w:val="single" w:sz="4" w:space="0" w:color="auto"/>
            </w:tcBorders>
            <w:vAlign w:val="bottom"/>
          </w:tcPr>
          <w:p w14:paraId="1061334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7289</w:t>
            </w:r>
          </w:p>
        </w:tc>
        <w:tc>
          <w:tcPr>
            <w:tcW w:w="909" w:type="pct"/>
            <w:tcBorders>
              <w:top w:val="single" w:sz="4" w:space="0" w:color="auto"/>
              <w:bottom w:val="single" w:sz="4" w:space="0" w:color="auto"/>
            </w:tcBorders>
            <w:vAlign w:val="bottom"/>
          </w:tcPr>
          <w:p w14:paraId="7BF8D1FA" w14:textId="77777777" w:rsidR="00196507" w:rsidRPr="00196507" w:rsidRDefault="00196507" w:rsidP="00196507">
            <w:pPr>
              <w:pStyle w:val="Tabletext"/>
              <w:rPr>
                <w:snapToGrid w:val="0"/>
                <w:color w:val="000000" w:themeColor="text1"/>
              </w:rPr>
            </w:pPr>
            <w:r w:rsidRPr="00196507">
              <w:rPr>
                <w:color w:val="000000" w:themeColor="text1"/>
              </w:rPr>
              <w:t>25</w:t>
            </w:r>
            <w:r w:rsidR="00D7157D">
              <w:rPr>
                <w:color w:val="000000" w:themeColor="text1"/>
              </w:rPr>
              <w:t>.</w:t>
            </w:r>
            <w:r w:rsidRPr="00196507">
              <w:rPr>
                <w:color w:val="000000" w:themeColor="text1"/>
              </w:rPr>
              <w:t>1293</w:t>
            </w:r>
          </w:p>
        </w:tc>
        <w:tc>
          <w:tcPr>
            <w:tcW w:w="908" w:type="pct"/>
            <w:tcBorders>
              <w:top w:val="single" w:sz="4" w:space="0" w:color="auto"/>
              <w:bottom w:val="single" w:sz="4" w:space="0" w:color="auto"/>
            </w:tcBorders>
            <w:vAlign w:val="bottom"/>
          </w:tcPr>
          <w:p w14:paraId="139C63F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1861</w:t>
            </w:r>
          </w:p>
        </w:tc>
      </w:tr>
      <w:tr w:rsidR="00196507" w:rsidRPr="009E2595" w14:paraId="16B5245A" w14:textId="77777777" w:rsidTr="005B61BB">
        <w:trPr>
          <w:cantSplit/>
        </w:trPr>
        <w:tc>
          <w:tcPr>
            <w:tcW w:w="1365" w:type="pct"/>
            <w:tcBorders>
              <w:top w:val="single" w:sz="4" w:space="0" w:color="auto"/>
              <w:bottom w:val="single" w:sz="4" w:space="0" w:color="auto"/>
            </w:tcBorders>
          </w:tcPr>
          <w:p w14:paraId="01B0D971" w14:textId="77777777" w:rsidR="00196507" w:rsidRPr="00616B26" w:rsidRDefault="00196507" w:rsidP="00196507">
            <w:pPr>
              <w:pStyle w:val="Tabletext"/>
              <w:rPr>
                <w:snapToGrid w:val="0"/>
              </w:rPr>
            </w:pPr>
            <w:r w:rsidRPr="00616B26">
              <w:rPr>
                <w:snapToGrid w:val="0"/>
              </w:rPr>
              <w:t>55</w:t>
            </w:r>
          </w:p>
        </w:tc>
        <w:tc>
          <w:tcPr>
            <w:tcW w:w="909" w:type="pct"/>
            <w:tcBorders>
              <w:top w:val="single" w:sz="4" w:space="0" w:color="auto"/>
              <w:bottom w:val="single" w:sz="4" w:space="0" w:color="auto"/>
            </w:tcBorders>
            <w:vAlign w:val="bottom"/>
          </w:tcPr>
          <w:p w14:paraId="78926371" w14:textId="77777777" w:rsidR="00196507" w:rsidRPr="00196507" w:rsidRDefault="00196507" w:rsidP="00196507">
            <w:pPr>
              <w:pStyle w:val="Tabletext"/>
              <w:rPr>
                <w:snapToGrid w:val="0"/>
                <w:color w:val="000000" w:themeColor="text1"/>
              </w:rPr>
            </w:pPr>
            <w:r w:rsidRPr="00196507">
              <w:rPr>
                <w:color w:val="000000" w:themeColor="text1"/>
              </w:rPr>
              <w:t>23</w:t>
            </w:r>
            <w:r w:rsidR="00D7157D">
              <w:rPr>
                <w:color w:val="000000" w:themeColor="text1"/>
              </w:rPr>
              <w:t>.</w:t>
            </w:r>
            <w:r w:rsidRPr="00196507">
              <w:rPr>
                <w:color w:val="000000" w:themeColor="text1"/>
              </w:rPr>
              <w:t>4789</w:t>
            </w:r>
          </w:p>
        </w:tc>
        <w:tc>
          <w:tcPr>
            <w:tcW w:w="909" w:type="pct"/>
            <w:tcBorders>
              <w:top w:val="single" w:sz="4" w:space="0" w:color="auto"/>
              <w:bottom w:val="single" w:sz="4" w:space="0" w:color="auto"/>
            </w:tcBorders>
            <w:vAlign w:val="bottom"/>
          </w:tcPr>
          <w:p w14:paraId="22FDEA6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4629</w:t>
            </w:r>
          </w:p>
        </w:tc>
        <w:tc>
          <w:tcPr>
            <w:tcW w:w="909" w:type="pct"/>
            <w:tcBorders>
              <w:top w:val="single" w:sz="4" w:space="0" w:color="auto"/>
              <w:bottom w:val="single" w:sz="4" w:space="0" w:color="auto"/>
            </w:tcBorders>
            <w:vAlign w:val="bottom"/>
          </w:tcPr>
          <w:p w14:paraId="02154D41" w14:textId="77777777" w:rsidR="00196507" w:rsidRPr="00196507" w:rsidRDefault="00196507" w:rsidP="00196507">
            <w:pPr>
              <w:pStyle w:val="Tabletext"/>
              <w:rPr>
                <w:snapToGrid w:val="0"/>
                <w:color w:val="000000" w:themeColor="text1"/>
              </w:rPr>
            </w:pPr>
            <w:r w:rsidRPr="00196507">
              <w:rPr>
                <w:color w:val="000000" w:themeColor="text1"/>
              </w:rPr>
              <w:t>24</w:t>
            </w:r>
            <w:r w:rsidR="00D7157D">
              <w:rPr>
                <w:color w:val="000000" w:themeColor="text1"/>
              </w:rPr>
              <w:t>.</w:t>
            </w:r>
            <w:r w:rsidRPr="00196507">
              <w:rPr>
                <w:color w:val="000000" w:themeColor="text1"/>
              </w:rPr>
              <w:t>6607</w:t>
            </w:r>
          </w:p>
        </w:tc>
        <w:tc>
          <w:tcPr>
            <w:tcW w:w="908" w:type="pct"/>
            <w:tcBorders>
              <w:top w:val="single" w:sz="4" w:space="0" w:color="auto"/>
              <w:bottom w:val="single" w:sz="4" w:space="0" w:color="auto"/>
            </w:tcBorders>
            <w:vAlign w:val="bottom"/>
          </w:tcPr>
          <w:p w14:paraId="06416B1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1183</w:t>
            </w:r>
          </w:p>
        </w:tc>
      </w:tr>
      <w:tr w:rsidR="00196507" w:rsidRPr="009E2595" w14:paraId="6366793A" w14:textId="77777777" w:rsidTr="005B61BB">
        <w:trPr>
          <w:cantSplit/>
        </w:trPr>
        <w:tc>
          <w:tcPr>
            <w:tcW w:w="1365" w:type="pct"/>
            <w:tcBorders>
              <w:top w:val="single" w:sz="4" w:space="0" w:color="auto"/>
              <w:bottom w:val="single" w:sz="4" w:space="0" w:color="auto"/>
            </w:tcBorders>
          </w:tcPr>
          <w:p w14:paraId="3E404B81" w14:textId="77777777" w:rsidR="00196507" w:rsidRPr="00616B26" w:rsidRDefault="00196507" w:rsidP="00196507">
            <w:pPr>
              <w:pStyle w:val="Tabletext"/>
              <w:rPr>
                <w:snapToGrid w:val="0"/>
              </w:rPr>
            </w:pPr>
            <w:r w:rsidRPr="00616B26">
              <w:rPr>
                <w:snapToGrid w:val="0"/>
              </w:rPr>
              <w:t>56</w:t>
            </w:r>
          </w:p>
        </w:tc>
        <w:tc>
          <w:tcPr>
            <w:tcW w:w="909" w:type="pct"/>
            <w:tcBorders>
              <w:top w:val="single" w:sz="4" w:space="0" w:color="auto"/>
              <w:bottom w:val="single" w:sz="4" w:space="0" w:color="auto"/>
            </w:tcBorders>
            <w:vAlign w:val="bottom"/>
          </w:tcPr>
          <w:p w14:paraId="439D7502" w14:textId="77777777" w:rsidR="00196507" w:rsidRPr="00196507" w:rsidRDefault="00196507" w:rsidP="00196507">
            <w:pPr>
              <w:pStyle w:val="Tabletext"/>
              <w:rPr>
                <w:snapToGrid w:val="0"/>
                <w:color w:val="000000" w:themeColor="text1"/>
              </w:rPr>
            </w:pPr>
            <w:r w:rsidRPr="00196507">
              <w:rPr>
                <w:color w:val="000000" w:themeColor="text1"/>
              </w:rPr>
              <w:t>22</w:t>
            </w:r>
            <w:r w:rsidR="00D7157D">
              <w:rPr>
                <w:color w:val="000000" w:themeColor="text1"/>
              </w:rPr>
              <w:t>.</w:t>
            </w:r>
            <w:r w:rsidRPr="00196507">
              <w:rPr>
                <w:color w:val="000000" w:themeColor="text1"/>
              </w:rPr>
              <w:t>9909</w:t>
            </w:r>
          </w:p>
        </w:tc>
        <w:tc>
          <w:tcPr>
            <w:tcW w:w="909" w:type="pct"/>
            <w:tcBorders>
              <w:top w:val="single" w:sz="4" w:space="0" w:color="auto"/>
              <w:bottom w:val="single" w:sz="4" w:space="0" w:color="auto"/>
            </w:tcBorders>
            <w:vAlign w:val="bottom"/>
          </w:tcPr>
          <w:p w14:paraId="0A9EA77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4702</w:t>
            </w:r>
          </w:p>
        </w:tc>
        <w:tc>
          <w:tcPr>
            <w:tcW w:w="909" w:type="pct"/>
            <w:tcBorders>
              <w:top w:val="single" w:sz="4" w:space="0" w:color="auto"/>
              <w:bottom w:val="single" w:sz="4" w:space="0" w:color="auto"/>
            </w:tcBorders>
            <w:vAlign w:val="bottom"/>
          </w:tcPr>
          <w:p w14:paraId="038C577B" w14:textId="77777777" w:rsidR="00196507" w:rsidRPr="00196507" w:rsidRDefault="00196507" w:rsidP="00196507">
            <w:pPr>
              <w:pStyle w:val="Tabletext"/>
              <w:rPr>
                <w:snapToGrid w:val="0"/>
                <w:color w:val="000000" w:themeColor="text1"/>
              </w:rPr>
            </w:pPr>
            <w:r w:rsidRPr="00196507">
              <w:rPr>
                <w:color w:val="000000" w:themeColor="text1"/>
              </w:rPr>
              <w:t>24</w:t>
            </w:r>
            <w:r w:rsidR="00D7157D">
              <w:rPr>
                <w:color w:val="000000" w:themeColor="text1"/>
              </w:rPr>
              <w:t>.</w:t>
            </w:r>
            <w:r w:rsidRPr="00196507">
              <w:rPr>
                <w:color w:val="000000" w:themeColor="text1"/>
              </w:rPr>
              <w:t>1841</w:t>
            </w:r>
          </w:p>
        </w:tc>
        <w:tc>
          <w:tcPr>
            <w:tcW w:w="908" w:type="pct"/>
            <w:tcBorders>
              <w:top w:val="single" w:sz="4" w:space="0" w:color="auto"/>
              <w:bottom w:val="single" w:sz="4" w:space="0" w:color="auto"/>
            </w:tcBorders>
            <w:vAlign w:val="bottom"/>
          </w:tcPr>
          <w:p w14:paraId="3A04C0D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1202</w:t>
            </w:r>
          </w:p>
        </w:tc>
      </w:tr>
      <w:tr w:rsidR="00196507" w:rsidRPr="009E2595" w14:paraId="197FC235" w14:textId="77777777" w:rsidTr="005B61BB">
        <w:trPr>
          <w:cantSplit/>
        </w:trPr>
        <w:tc>
          <w:tcPr>
            <w:tcW w:w="1365" w:type="pct"/>
            <w:tcBorders>
              <w:top w:val="single" w:sz="4" w:space="0" w:color="auto"/>
              <w:bottom w:val="single" w:sz="4" w:space="0" w:color="auto"/>
            </w:tcBorders>
          </w:tcPr>
          <w:p w14:paraId="6D459BB5" w14:textId="77777777" w:rsidR="00196507" w:rsidRPr="00616B26" w:rsidRDefault="00196507" w:rsidP="00196507">
            <w:pPr>
              <w:pStyle w:val="Tabletext"/>
              <w:rPr>
                <w:snapToGrid w:val="0"/>
              </w:rPr>
            </w:pPr>
            <w:r w:rsidRPr="00616B26">
              <w:rPr>
                <w:snapToGrid w:val="0"/>
              </w:rPr>
              <w:t>57</w:t>
            </w:r>
          </w:p>
        </w:tc>
        <w:tc>
          <w:tcPr>
            <w:tcW w:w="909" w:type="pct"/>
            <w:tcBorders>
              <w:top w:val="single" w:sz="4" w:space="0" w:color="auto"/>
              <w:bottom w:val="single" w:sz="4" w:space="0" w:color="auto"/>
            </w:tcBorders>
            <w:vAlign w:val="bottom"/>
          </w:tcPr>
          <w:p w14:paraId="22734F57" w14:textId="77777777" w:rsidR="00196507" w:rsidRPr="00196507" w:rsidRDefault="00196507" w:rsidP="00196507">
            <w:pPr>
              <w:pStyle w:val="Tabletext"/>
              <w:rPr>
                <w:snapToGrid w:val="0"/>
                <w:color w:val="000000" w:themeColor="text1"/>
              </w:rPr>
            </w:pPr>
            <w:r w:rsidRPr="00196507">
              <w:rPr>
                <w:color w:val="000000" w:themeColor="text1"/>
              </w:rPr>
              <w:t>22</w:t>
            </w:r>
            <w:r w:rsidR="00D7157D">
              <w:rPr>
                <w:color w:val="000000" w:themeColor="text1"/>
              </w:rPr>
              <w:t>.</w:t>
            </w:r>
            <w:r w:rsidRPr="00196507">
              <w:rPr>
                <w:color w:val="000000" w:themeColor="text1"/>
              </w:rPr>
              <w:t>4927</w:t>
            </w:r>
          </w:p>
        </w:tc>
        <w:tc>
          <w:tcPr>
            <w:tcW w:w="909" w:type="pct"/>
            <w:tcBorders>
              <w:top w:val="single" w:sz="4" w:space="0" w:color="auto"/>
              <w:bottom w:val="single" w:sz="4" w:space="0" w:color="auto"/>
            </w:tcBorders>
            <w:vAlign w:val="bottom"/>
          </w:tcPr>
          <w:p w14:paraId="3CB7755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4776</w:t>
            </w:r>
          </w:p>
        </w:tc>
        <w:tc>
          <w:tcPr>
            <w:tcW w:w="909" w:type="pct"/>
            <w:tcBorders>
              <w:top w:val="single" w:sz="4" w:space="0" w:color="auto"/>
              <w:bottom w:val="single" w:sz="4" w:space="0" w:color="auto"/>
            </w:tcBorders>
            <w:vAlign w:val="bottom"/>
          </w:tcPr>
          <w:p w14:paraId="651CDE3F" w14:textId="77777777" w:rsidR="00196507" w:rsidRPr="00196507" w:rsidRDefault="00196507" w:rsidP="00196507">
            <w:pPr>
              <w:pStyle w:val="Tabletext"/>
              <w:rPr>
                <w:snapToGrid w:val="0"/>
                <w:color w:val="000000" w:themeColor="text1"/>
              </w:rPr>
            </w:pPr>
            <w:r w:rsidRPr="00196507">
              <w:rPr>
                <w:color w:val="000000" w:themeColor="text1"/>
              </w:rPr>
              <w:t>23</w:t>
            </w:r>
            <w:r w:rsidR="00D7157D">
              <w:rPr>
                <w:color w:val="000000" w:themeColor="text1"/>
              </w:rPr>
              <w:t>.</w:t>
            </w:r>
            <w:r w:rsidRPr="00196507">
              <w:rPr>
                <w:color w:val="000000" w:themeColor="text1"/>
              </w:rPr>
              <w:t>6991</w:t>
            </w:r>
          </w:p>
        </w:tc>
        <w:tc>
          <w:tcPr>
            <w:tcW w:w="908" w:type="pct"/>
            <w:tcBorders>
              <w:top w:val="single" w:sz="4" w:space="0" w:color="auto"/>
              <w:bottom w:val="single" w:sz="4" w:space="0" w:color="auto"/>
            </w:tcBorders>
            <w:vAlign w:val="bottom"/>
          </w:tcPr>
          <w:p w14:paraId="1F8702B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1220</w:t>
            </w:r>
          </w:p>
        </w:tc>
      </w:tr>
      <w:tr w:rsidR="00196507" w:rsidRPr="009E2595" w14:paraId="19FD7036" w14:textId="77777777" w:rsidTr="005B61BB">
        <w:trPr>
          <w:cantSplit/>
        </w:trPr>
        <w:tc>
          <w:tcPr>
            <w:tcW w:w="1365" w:type="pct"/>
            <w:tcBorders>
              <w:top w:val="single" w:sz="4" w:space="0" w:color="auto"/>
              <w:bottom w:val="single" w:sz="4" w:space="0" w:color="auto"/>
            </w:tcBorders>
          </w:tcPr>
          <w:p w14:paraId="554A26AC" w14:textId="77777777" w:rsidR="00196507" w:rsidRPr="00616B26" w:rsidRDefault="00196507" w:rsidP="00196507">
            <w:pPr>
              <w:pStyle w:val="Tabletext"/>
              <w:rPr>
                <w:snapToGrid w:val="0"/>
              </w:rPr>
            </w:pPr>
            <w:r w:rsidRPr="00616B26">
              <w:rPr>
                <w:snapToGrid w:val="0"/>
              </w:rPr>
              <w:t>58</w:t>
            </w:r>
          </w:p>
        </w:tc>
        <w:tc>
          <w:tcPr>
            <w:tcW w:w="909" w:type="pct"/>
            <w:tcBorders>
              <w:top w:val="single" w:sz="4" w:space="0" w:color="auto"/>
              <w:bottom w:val="single" w:sz="4" w:space="0" w:color="auto"/>
            </w:tcBorders>
            <w:vAlign w:val="bottom"/>
          </w:tcPr>
          <w:p w14:paraId="18BA6FE6" w14:textId="77777777" w:rsidR="00196507" w:rsidRPr="00196507" w:rsidRDefault="00196507" w:rsidP="00196507">
            <w:pPr>
              <w:pStyle w:val="Tabletext"/>
              <w:rPr>
                <w:snapToGrid w:val="0"/>
                <w:color w:val="000000" w:themeColor="text1"/>
              </w:rPr>
            </w:pPr>
            <w:r w:rsidRPr="00196507">
              <w:rPr>
                <w:color w:val="000000" w:themeColor="text1"/>
              </w:rPr>
              <w:t>21</w:t>
            </w:r>
            <w:r w:rsidR="00D7157D">
              <w:rPr>
                <w:color w:val="000000" w:themeColor="text1"/>
              </w:rPr>
              <w:t>.</w:t>
            </w:r>
            <w:r w:rsidRPr="00196507">
              <w:rPr>
                <w:color w:val="000000" w:themeColor="text1"/>
              </w:rPr>
              <w:t>9840</w:t>
            </w:r>
          </w:p>
        </w:tc>
        <w:tc>
          <w:tcPr>
            <w:tcW w:w="909" w:type="pct"/>
            <w:tcBorders>
              <w:top w:val="single" w:sz="4" w:space="0" w:color="auto"/>
              <w:bottom w:val="single" w:sz="4" w:space="0" w:color="auto"/>
            </w:tcBorders>
            <w:vAlign w:val="bottom"/>
          </w:tcPr>
          <w:p w14:paraId="4363951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4852</w:t>
            </w:r>
          </w:p>
        </w:tc>
        <w:tc>
          <w:tcPr>
            <w:tcW w:w="909" w:type="pct"/>
            <w:tcBorders>
              <w:top w:val="single" w:sz="4" w:space="0" w:color="auto"/>
              <w:bottom w:val="single" w:sz="4" w:space="0" w:color="auto"/>
            </w:tcBorders>
            <w:vAlign w:val="bottom"/>
          </w:tcPr>
          <w:p w14:paraId="5E5C22BF" w14:textId="77777777" w:rsidR="00196507" w:rsidRPr="00196507" w:rsidRDefault="00196507" w:rsidP="00196507">
            <w:pPr>
              <w:pStyle w:val="Tabletext"/>
              <w:rPr>
                <w:snapToGrid w:val="0"/>
                <w:color w:val="000000" w:themeColor="text1"/>
              </w:rPr>
            </w:pPr>
            <w:r w:rsidRPr="00196507">
              <w:rPr>
                <w:color w:val="000000" w:themeColor="text1"/>
              </w:rPr>
              <w:t>23</w:t>
            </w:r>
            <w:r w:rsidR="00D7157D">
              <w:rPr>
                <w:color w:val="000000" w:themeColor="text1"/>
              </w:rPr>
              <w:t>.</w:t>
            </w:r>
            <w:r w:rsidRPr="00196507">
              <w:rPr>
                <w:color w:val="000000" w:themeColor="text1"/>
              </w:rPr>
              <w:t>2044</w:t>
            </w:r>
          </w:p>
        </w:tc>
        <w:tc>
          <w:tcPr>
            <w:tcW w:w="908" w:type="pct"/>
            <w:tcBorders>
              <w:top w:val="single" w:sz="4" w:space="0" w:color="auto"/>
              <w:bottom w:val="single" w:sz="4" w:space="0" w:color="auto"/>
            </w:tcBorders>
            <w:vAlign w:val="bottom"/>
          </w:tcPr>
          <w:p w14:paraId="0FADCF7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1239</w:t>
            </w:r>
          </w:p>
        </w:tc>
      </w:tr>
      <w:tr w:rsidR="00196507" w:rsidRPr="009E2595" w14:paraId="0551A103" w14:textId="77777777" w:rsidTr="005B61BB">
        <w:trPr>
          <w:cantSplit/>
        </w:trPr>
        <w:tc>
          <w:tcPr>
            <w:tcW w:w="1365" w:type="pct"/>
            <w:tcBorders>
              <w:top w:val="single" w:sz="4" w:space="0" w:color="auto"/>
              <w:bottom w:val="single" w:sz="4" w:space="0" w:color="auto"/>
            </w:tcBorders>
          </w:tcPr>
          <w:p w14:paraId="2AC688E2" w14:textId="77777777" w:rsidR="00196507" w:rsidRPr="00616B26" w:rsidRDefault="00196507" w:rsidP="00196507">
            <w:pPr>
              <w:pStyle w:val="Tabletext"/>
              <w:rPr>
                <w:snapToGrid w:val="0"/>
              </w:rPr>
            </w:pPr>
            <w:r w:rsidRPr="00616B26">
              <w:rPr>
                <w:snapToGrid w:val="0"/>
              </w:rPr>
              <w:t>59</w:t>
            </w:r>
          </w:p>
        </w:tc>
        <w:tc>
          <w:tcPr>
            <w:tcW w:w="909" w:type="pct"/>
            <w:tcBorders>
              <w:top w:val="single" w:sz="4" w:space="0" w:color="auto"/>
              <w:bottom w:val="single" w:sz="4" w:space="0" w:color="auto"/>
            </w:tcBorders>
            <w:vAlign w:val="bottom"/>
          </w:tcPr>
          <w:p w14:paraId="1D7E0199" w14:textId="77777777" w:rsidR="00196507" w:rsidRPr="00196507" w:rsidRDefault="00196507" w:rsidP="00196507">
            <w:pPr>
              <w:pStyle w:val="Tabletext"/>
              <w:rPr>
                <w:snapToGrid w:val="0"/>
                <w:color w:val="000000" w:themeColor="text1"/>
              </w:rPr>
            </w:pPr>
            <w:r w:rsidRPr="00196507">
              <w:rPr>
                <w:color w:val="000000" w:themeColor="text1"/>
              </w:rPr>
              <w:t>21</w:t>
            </w:r>
            <w:r w:rsidR="00D7157D">
              <w:rPr>
                <w:color w:val="000000" w:themeColor="text1"/>
              </w:rPr>
              <w:t>.</w:t>
            </w:r>
            <w:r w:rsidRPr="00196507">
              <w:rPr>
                <w:color w:val="000000" w:themeColor="text1"/>
              </w:rPr>
              <w:t>4642</w:t>
            </w:r>
          </w:p>
        </w:tc>
        <w:tc>
          <w:tcPr>
            <w:tcW w:w="909" w:type="pct"/>
            <w:tcBorders>
              <w:top w:val="single" w:sz="4" w:space="0" w:color="auto"/>
              <w:bottom w:val="single" w:sz="4" w:space="0" w:color="auto"/>
            </w:tcBorders>
            <w:vAlign w:val="bottom"/>
          </w:tcPr>
          <w:p w14:paraId="0610069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4929</w:t>
            </w:r>
          </w:p>
        </w:tc>
        <w:tc>
          <w:tcPr>
            <w:tcW w:w="909" w:type="pct"/>
            <w:tcBorders>
              <w:top w:val="single" w:sz="4" w:space="0" w:color="auto"/>
              <w:bottom w:val="single" w:sz="4" w:space="0" w:color="auto"/>
            </w:tcBorders>
            <w:vAlign w:val="bottom"/>
          </w:tcPr>
          <w:p w14:paraId="2FDA0861" w14:textId="77777777" w:rsidR="00196507" w:rsidRPr="00196507" w:rsidRDefault="00196507" w:rsidP="00196507">
            <w:pPr>
              <w:pStyle w:val="Tabletext"/>
              <w:rPr>
                <w:snapToGrid w:val="0"/>
                <w:color w:val="000000" w:themeColor="text1"/>
              </w:rPr>
            </w:pPr>
            <w:r w:rsidRPr="00196507">
              <w:rPr>
                <w:color w:val="000000" w:themeColor="text1"/>
              </w:rPr>
              <w:t>22</w:t>
            </w:r>
            <w:r w:rsidR="00D7157D">
              <w:rPr>
                <w:color w:val="000000" w:themeColor="text1"/>
              </w:rPr>
              <w:t>.</w:t>
            </w:r>
            <w:r w:rsidRPr="00196507">
              <w:rPr>
                <w:color w:val="000000" w:themeColor="text1"/>
              </w:rPr>
              <w:t>6998</w:t>
            </w:r>
          </w:p>
        </w:tc>
        <w:tc>
          <w:tcPr>
            <w:tcW w:w="908" w:type="pct"/>
            <w:tcBorders>
              <w:top w:val="single" w:sz="4" w:space="0" w:color="auto"/>
              <w:bottom w:val="single" w:sz="4" w:space="0" w:color="auto"/>
            </w:tcBorders>
            <w:vAlign w:val="bottom"/>
          </w:tcPr>
          <w:p w14:paraId="5A80412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1257</w:t>
            </w:r>
          </w:p>
        </w:tc>
      </w:tr>
      <w:tr w:rsidR="00196507" w:rsidRPr="009E2595" w14:paraId="55D2D917" w14:textId="77777777" w:rsidTr="005B61BB">
        <w:trPr>
          <w:cantSplit/>
        </w:trPr>
        <w:tc>
          <w:tcPr>
            <w:tcW w:w="1365" w:type="pct"/>
            <w:tcBorders>
              <w:top w:val="single" w:sz="4" w:space="0" w:color="auto"/>
              <w:bottom w:val="single" w:sz="4" w:space="0" w:color="auto"/>
            </w:tcBorders>
          </w:tcPr>
          <w:p w14:paraId="279AAA03" w14:textId="77777777" w:rsidR="00196507" w:rsidRPr="00616B26" w:rsidRDefault="00196507" w:rsidP="00196507">
            <w:pPr>
              <w:pStyle w:val="Tabletext"/>
              <w:rPr>
                <w:snapToGrid w:val="0"/>
              </w:rPr>
            </w:pPr>
            <w:r w:rsidRPr="00616B26">
              <w:rPr>
                <w:snapToGrid w:val="0"/>
              </w:rPr>
              <w:t>60</w:t>
            </w:r>
          </w:p>
        </w:tc>
        <w:tc>
          <w:tcPr>
            <w:tcW w:w="909" w:type="pct"/>
            <w:tcBorders>
              <w:top w:val="single" w:sz="4" w:space="0" w:color="auto"/>
              <w:bottom w:val="single" w:sz="4" w:space="0" w:color="auto"/>
            </w:tcBorders>
            <w:vAlign w:val="bottom"/>
          </w:tcPr>
          <w:p w14:paraId="7378F839" w14:textId="77777777" w:rsidR="00196507" w:rsidRPr="00196507" w:rsidRDefault="00196507" w:rsidP="00196507">
            <w:pPr>
              <w:pStyle w:val="Tabletext"/>
              <w:rPr>
                <w:snapToGrid w:val="0"/>
                <w:color w:val="000000" w:themeColor="text1"/>
              </w:rPr>
            </w:pPr>
            <w:r w:rsidRPr="00196507">
              <w:rPr>
                <w:color w:val="000000" w:themeColor="text1"/>
              </w:rPr>
              <w:t>20</w:t>
            </w:r>
            <w:r w:rsidR="00D7157D">
              <w:rPr>
                <w:color w:val="000000" w:themeColor="text1"/>
              </w:rPr>
              <w:t>.</w:t>
            </w:r>
            <w:r w:rsidRPr="00196507">
              <w:rPr>
                <w:color w:val="000000" w:themeColor="text1"/>
              </w:rPr>
              <w:t>9337</w:t>
            </w:r>
          </w:p>
        </w:tc>
        <w:tc>
          <w:tcPr>
            <w:tcW w:w="909" w:type="pct"/>
            <w:tcBorders>
              <w:top w:val="single" w:sz="4" w:space="0" w:color="auto"/>
              <w:bottom w:val="single" w:sz="4" w:space="0" w:color="auto"/>
            </w:tcBorders>
            <w:vAlign w:val="bottom"/>
          </w:tcPr>
          <w:p w14:paraId="02D7995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5006</w:t>
            </w:r>
          </w:p>
        </w:tc>
        <w:tc>
          <w:tcPr>
            <w:tcW w:w="909" w:type="pct"/>
            <w:tcBorders>
              <w:top w:val="single" w:sz="4" w:space="0" w:color="auto"/>
              <w:bottom w:val="single" w:sz="4" w:space="0" w:color="auto"/>
            </w:tcBorders>
            <w:vAlign w:val="bottom"/>
          </w:tcPr>
          <w:p w14:paraId="2421A6F2" w14:textId="77777777" w:rsidR="00196507" w:rsidRPr="00196507" w:rsidRDefault="00196507" w:rsidP="00196507">
            <w:pPr>
              <w:pStyle w:val="Tabletext"/>
              <w:rPr>
                <w:snapToGrid w:val="0"/>
                <w:color w:val="000000" w:themeColor="text1"/>
              </w:rPr>
            </w:pPr>
            <w:r w:rsidRPr="00196507">
              <w:rPr>
                <w:color w:val="000000" w:themeColor="text1"/>
              </w:rPr>
              <w:t>22</w:t>
            </w:r>
            <w:r w:rsidR="00D7157D">
              <w:rPr>
                <w:color w:val="000000" w:themeColor="text1"/>
              </w:rPr>
              <w:t>.</w:t>
            </w:r>
            <w:r w:rsidRPr="00196507">
              <w:rPr>
                <w:color w:val="000000" w:themeColor="text1"/>
              </w:rPr>
              <w:t>1848</w:t>
            </w:r>
          </w:p>
        </w:tc>
        <w:tc>
          <w:tcPr>
            <w:tcW w:w="908" w:type="pct"/>
            <w:tcBorders>
              <w:top w:val="single" w:sz="4" w:space="0" w:color="auto"/>
              <w:bottom w:val="single" w:sz="4" w:space="0" w:color="auto"/>
            </w:tcBorders>
            <w:vAlign w:val="bottom"/>
          </w:tcPr>
          <w:p w14:paraId="3A0E68A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1276</w:t>
            </w:r>
          </w:p>
        </w:tc>
      </w:tr>
      <w:tr w:rsidR="00196507" w:rsidRPr="009E2595" w14:paraId="6E3F50CE" w14:textId="77777777" w:rsidTr="005B61BB">
        <w:trPr>
          <w:cantSplit/>
        </w:trPr>
        <w:tc>
          <w:tcPr>
            <w:tcW w:w="1365" w:type="pct"/>
            <w:tcBorders>
              <w:top w:val="single" w:sz="4" w:space="0" w:color="auto"/>
              <w:bottom w:val="single" w:sz="4" w:space="0" w:color="auto"/>
            </w:tcBorders>
          </w:tcPr>
          <w:p w14:paraId="14DF2731" w14:textId="77777777" w:rsidR="00196507" w:rsidRPr="00616B26" w:rsidRDefault="00196507" w:rsidP="00196507">
            <w:pPr>
              <w:pStyle w:val="Tabletext"/>
              <w:rPr>
                <w:snapToGrid w:val="0"/>
              </w:rPr>
            </w:pPr>
            <w:r w:rsidRPr="00616B26">
              <w:rPr>
                <w:snapToGrid w:val="0"/>
              </w:rPr>
              <w:t>61</w:t>
            </w:r>
          </w:p>
        </w:tc>
        <w:tc>
          <w:tcPr>
            <w:tcW w:w="909" w:type="pct"/>
            <w:tcBorders>
              <w:top w:val="single" w:sz="4" w:space="0" w:color="auto"/>
              <w:bottom w:val="single" w:sz="4" w:space="0" w:color="auto"/>
            </w:tcBorders>
            <w:vAlign w:val="bottom"/>
          </w:tcPr>
          <w:p w14:paraId="4FEF427D" w14:textId="77777777" w:rsidR="00196507" w:rsidRPr="00196507" w:rsidRDefault="00196507" w:rsidP="00196507">
            <w:pPr>
              <w:pStyle w:val="Tabletext"/>
              <w:rPr>
                <w:snapToGrid w:val="0"/>
                <w:color w:val="000000" w:themeColor="text1"/>
              </w:rPr>
            </w:pPr>
            <w:r w:rsidRPr="00196507">
              <w:rPr>
                <w:color w:val="000000" w:themeColor="text1"/>
              </w:rPr>
              <w:t>20</w:t>
            </w:r>
            <w:r w:rsidR="00D7157D">
              <w:rPr>
                <w:color w:val="000000" w:themeColor="text1"/>
              </w:rPr>
              <w:t>.</w:t>
            </w:r>
            <w:r w:rsidRPr="00196507">
              <w:rPr>
                <w:color w:val="000000" w:themeColor="text1"/>
              </w:rPr>
              <w:t>3928</w:t>
            </w:r>
          </w:p>
        </w:tc>
        <w:tc>
          <w:tcPr>
            <w:tcW w:w="909" w:type="pct"/>
            <w:tcBorders>
              <w:top w:val="single" w:sz="4" w:space="0" w:color="auto"/>
              <w:bottom w:val="single" w:sz="4" w:space="0" w:color="auto"/>
            </w:tcBorders>
            <w:vAlign w:val="bottom"/>
          </w:tcPr>
          <w:p w14:paraId="28D69E6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5085</w:t>
            </w:r>
          </w:p>
        </w:tc>
        <w:tc>
          <w:tcPr>
            <w:tcW w:w="909" w:type="pct"/>
            <w:tcBorders>
              <w:top w:val="single" w:sz="4" w:space="0" w:color="auto"/>
              <w:bottom w:val="single" w:sz="4" w:space="0" w:color="auto"/>
            </w:tcBorders>
            <w:vAlign w:val="bottom"/>
          </w:tcPr>
          <w:p w14:paraId="4C8701CC" w14:textId="77777777" w:rsidR="00196507" w:rsidRPr="00196507" w:rsidRDefault="00196507" w:rsidP="00196507">
            <w:pPr>
              <w:pStyle w:val="Tabletext"/>
              <w:rPr>
                <w:snapToGrid w:val="0"/>
                <w:color w:val="000000" w:themeColor="text1"/>
              </w:rPr>
            </w:pPr>
            <w:r w:rsidRPr="00196507">
              <w:rPr>
                <w:color w:val="000000" w:themeColor="text1"/>
              </w:rPr>
              <w:t>21</w:t>
            </w:r>
            <w:r w:rsidR="00D7157D">
              <w:rPr>
                <w:color w:val="000000" w:themeColor="text1"/>
              </w:rPr>
              <w:t>.</w:t>
            </w:r>
            <w:r w:rsidRPr="00196507">
              <w:rPr>
                <w:color w:val="000000" w:themeColor="text1"/>
              </w:rPr>
              <w:t>6585</w:t>
            </w:r>
          </w:p>
        </w:tc>
        <w:tc>
          <w:tcPr>
            <w:tcW w:w="908" w:type="pct"/>
            <w:tcBorders>
              <w:top w:val="single" w:sz="4" w:space="0" w:color="auto"/>
              <w:bottom w:val="single" w:sz="4" w:space="0" w:color="auto"/>
            </w:tcBorders>
            <w:vAlign w:val="bottom"/>
          </w:tcPr>
          <w:p w14:paraId="725CD40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1295</w:t>
            </w:r>
          </w:p>
        </w:tc>
      </w:tr>
      <w:tr w:rsidR="00196507" w:rsidRPr="009E2595" w14:paraId="1B19D013" w14:textId="77777777" w:rsidTr="005B61BB">
        <w:trPr>
          <w:cantSplit/>
        </w:trPr>
        <w:tc>
          <w:tcPr>
            <w:tcW w:w="1365" w:type="pct"/>
            <w:tcBorders>
              <w:top w:val="single" w:sz="4" w:space="0" w:color="auto"/>
              <w:bottom w:val="single" w:sz="4" w:space="0" w:color="auto"/>
            </w:tcBorders>
          </w:tcPr>
          <w:p w14:paraId="0E0BF2A3" w14:textId="77777777" w:rsidR="00196507" w:rsidRPr="00616B26" w:rsidRDefault="00196507" w:rsidP="00196507">
            <w:pPr>
              <w:pStyle w:val="Tabletext"/>
              <w:rPr>
                <w:snapToGrid w:val="0"/>
              </w:rPr>
            </w:pPr>
            <w:r w:rsidRPr="00616B26">
              <w:rPr>
                <w:snapToGrid w:val="0"/>
              </w:rPr>
              <w:t>62</w:t>
            </w:r>
          </w:p>
        </w:tc>
        <w:tc>
          <w:tcPr>
            <w:tcW w:w="909" w:type="pct"/>
            <w:tcBorders>
              <w:top w:val="single" w:sz="4" w:space="0" w:color="auto"/>
              <w:bottom w:val="single" w:sz="4" w:space="0" w:color="auto"/>
            </w:tcBorders>
            <w:vAlign w:val="bottom"/>
          </w:tcPr>
          <w:p w14:paraId="7B681E2B" w14:textId="77777777" w:rsidR="00196507" w:rsidRPr="00196507" w:rsidRDefault="00196507" w:rsidP="00196507">
            <w:pPr>
              <w:pStyle w:val="Tabletext"/>
              <w:rPr>
                <w:snapToGrid w:val="0"/>
                <w:color w:val="000000" w:themeColor="text1"/>
              </w:rPr>
            </w:pPr>
            <w:r w:rsidRPr="00196507">
              <w:rPr>
                <w:color w:val="000000" w:themeColor="text1"/>
              </w:rPr>
              <w:t>19</w:t>
            </w:r>
            <w:r w:rsidR="00D7157D">
              <w:rPr>
                <w:color w:val="000000" w:themeColor="text1"/>
              </w:rPr>
              <w:t>.</w:t>
            </w:r>
            <w:r w:rsidRPr="00196507">
              <w:rPr>
                <w:color w:val="000000" w:themeColor="text1"/>
              </w:rPr>
              <w:t>8410</w:t>
            </w:r>
          </w:p>
        </w:tc>
        <w:tc>
          <w:tcPr>
            <w:tcW w:w="909" w:type="pct"/>
            <w:tcBorders>
              <w:top w:val="single" w:sz="4" w:space="0" w:color="auto"/>
              <w:bottom w:val="single" w:sz="4" w:space="0" w:color="auto"/>
            </w:tcBorders>
            <w:vAlign w:val="bottom"/>
          </w:tcPr>
          <w:p w14:paraId="645A585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5164</w:t>
            </w:r>
          </w:p>
        </w:tc>
        <w:tc>
          <w:tcPr>
            <w:tcW w:w="909" w:type="pct"/>
            <w:tcBorders>
              <w:top w:val="single" w:sz="4" w:space="0" w:color="auto"/>
              <w:bottom w:val="single" w:sz="4" w:space="0" w:color="auto"/>
            </w:tcBorders>
            <w:vAlign w:val="bottom"/>
          </w:tcPr>
          <w:p w14:paraId="78FC2A91" w14:textId="77777777" w:rsidR="00196507" w:rsidRPr="00196507" w:rsidRDefault="00196507" w:rsidP="00196507">
            <w:pPr>
              <w:pStyle w:val="Tabletext"/>
              <w:rPr>
                <w:snapToGrid w:val="0"/>
                <w:color w:val="000000" w:themeColor="text1"/>
              </w:rPr>
            </w:pPr>
            <w:r w:rsidRPr="00196507">
              <w:rPr>
                <w:color w:val="000000" w:themeColor="text1"/>
              </w:rPr>
              <w:t>21</w:t>
            </w:r>
            <w:r w:rsidR="00D7157D">
              <w:rPr>
                <w:color w:val="000000" w:themeColor="text1"/>
              </w:rPr>
              <w:t>.</w:t>
            </w:r>
            <w:r w:rsidRPr="00196507">
              <w:rPr>
                <w:color w:val="000000" w:themeColor="text1"/>
              </w:rPr>
              <w:t>1220</w:t>
            </w:r>
          </w:p>
        </w:tc>
        <w:tc>
          <w:tcPr>
            <w:tcW w:w="908" w:type="pct"/>
            <w:tcBorders>
              <w:top w:val="single" w:sz="4" w:space="0" w:color="auto"/>
              <w:bottom w:val="single" w:sz="4" w:space="0" w:color="auto"/>
            </w:tcBorders>
            <w:vAlign w:val="bottom"/>
          </w:tcPr>
          <w:p w14:paraId="7CF9ED8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1314</w:t>
            </w:r>
          </w:p>
        </w:tc>
      </w:tr>
      <w:tr w:rsidR="00196507" w:rsidRPr="009E2595" w14:paraId="5BFDA4D7" w14:textId="77777777" w:rsidTr="005B61BB">
        <w:trPr>
          <w:cantSplit/>
        </w:trPr>
        <w:tc>
          <w:tcPr>
            <w:tcW w:w="1365" w:type="pct"/>
            <w:tcBorders>
              <w:top w:val="single" w:sz="4" w:space="0" w:color="auto"/>
              <w:bottom w:val="single" w:sz="4" w:space="0" w:color="auto"/>
            </w:tcBorders>
          </w:tcPr>
          <w:p w14:paraId="48502AC4" w14:textId="77777777" w:rsidR="00196507" w:rsidRPr="00616B26" w:rsidRDefault="00196507" w:rsidP="00196507">
            <w:pPr>
              <w:pStyle w:val="Tabletext"/>
              <w:rPr>
                <w:snapToGrid w:val="0"/>
              </w:rPr>
            </w:pPr>
            <w:r w:rsidRPr="00616B26">
              <w:rPr>
                <w:snapToGrid w:val="0"/>
              </w:rPr>
              <w:t>63</w:t>
            </w:r>
          </w:p>
        </w:tc>
        <w:tc>
          <w:tcPr>
            <w:tcW w:w="909" w:type="pct"/>
            <w:tcBorders>
              <w:top w:val="single" w:sz="4" w:space="0" w:color="auto"/>
              <w:bottom w:val="single" w:sz="4" w:space="0" w:color="auto"/>
            </w:tcBorders>
            <w:vAlign w:val="bottom"/>
          </w:tcPr>
          <w:p w14:paraId="46856E14" w14:textId="77777777" w:rsidR="00196507" w:rsidRPr="00196507" w:rsidRDefault="00196507" w:rsidP="00196507">
            <w:pPr>
              <w:pStyle w:val="Tabletext"/>
              <w:rPr>
                <w:snapToGrid w:val="0"/>
                <w:color w:val="000000" w:themeColor="text1"/>
              </w:rPr>
            </w:pPr>
            <w:r w:rsidRPr="00196507">
              <w:rPr>
                <w:color w:val="000000" w:themeColor="text1"/>
              </w:rPr>
              <w:t>19</w:t>
            </w:r>
            <w:r w:rsidR="00D7157D">
              <w:rPr>
                <w:color w:val="000000" w:themeColor="text1"/>
              </w:rPr>
              <w:t>.</w:t>
            </w:r>
            <w:r w:rsidRPr="00196507">
              <w:rPr>
                <w:color w:val="000000" w:themeColor="text1"/>
              </w:rPr>
              <w:t>2788</w:t>
            </w:r>
          </w:p>
        </w:tc>
        <w:tc>
          <w:tcPr>
            <w:tcW w:w="909" w:type="pct"/>
            <w:tcBorders>
              <w:top w:val="single" w:sz="4" w:space="0" w:color="auto"/>
              <w:bottom w:val="single" w:sz="4" w:space="0" w:color="auto"/>
            </w:tcBorders>
            <w:vAlign w:val="bottom"/>
          </w:tcPr>
          <w:p w14:paraId="07DCDD0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5243</w:t>
            </w:r>
          </w:p>
        </w:tc>
        <w:tc>
          <w:tcPr>
            <w:tcW w:w="909" w:type="pct"/>
            <w:tcBorders>
              <w:top w:val="single" w:sz="4" w:space="0" w:color="auto"/>
              <w:bottom w:val="single" w:sz="4" w:space="0" w:color="auto"/>
            </w:tcBorders>
            <w:vAlign w:val="bottom"/>
          </w:tcPr>
          <w:p w14:paraId="3F18B86D" w14:textId="77777777" w:rsidR="00196507" w:rsidRPr="00196507" w:rsidRDefault="00196507" w:rsidP="00196507">
            <w:pPr>
              <w:pStyle w:val="Tabletext"/>
              <w:rPr>
                <w:snapToGrid w:val="0"/>
                <w:color w:val="000000" w:themeColor="text1"/>
              </w:rPr>
            </w:pPr>
            <w:r w:rsidRPr="00196507">
              <w:rPr>
                <w:color w:val="000000" w:themeColor="text1"/>
              </w:rPr>
              <w:t>20</w:t>
            </w:r>
            <w:r w:rsidR="00D7157D">
              <w:rPr>
                <w:color w:val="000000" w:themeColor="text1"/>
              </w:rPr>
              <w:t>.</w:t>
            </w:r>
            <w:r w:rsidRPr="00196507">
              <w:rPr>
                <w:color w:val="000000" w:themeColor="text1"/>
              </w:rPr>
              <w:t>5751</w:t>
            </w:r>
          </w:p>
        </w:tc>
        <w:tc>
          <w:tcPr>
            <w:tcW w:w="908" w:type="pct"/>
            <w:tcBorders>
              <w:top w:val="single" w:sz="4" w:space="0" w:color="auto"/>
              <w:bottom w:val="single" w:sz="4" w:space="0" w:color="auto"/>
            </w:tcBorders>
            <w:vAlign w:val="bottom"/>
          </w:tcPr>
          <w:p w14:paraId="326807B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1333</w:t>
            </w:r>
          </w:p>
        </w:tc>
      </w:tr>
      <w:tr w:rsidR="00196507" w:rsidRPr="009E2595" w14:paraId="6B030D49" w14:textId="77777777" w:rsidTr="005B61BB">
        <w:trPr>
          <w:cantSplit/>
        </w:trPr>
        <w:tc>
          <w:tcPr>
            <w:tcW w:w="1365" w:type="pct"/>
            <w:tcBorders>
              <w:top w:val="single" w:sz="4" w:space="0" w:color="auto"/>
              <w:bottom w:val="single" w:sz="4" w:space="0" w:color="auto"/>
            </w:tcBorders>
          </w:tcPr>
          <w:p w14:paraId="2CA9BB60" w14:textId="77777777" w:rsidR="00196507" w:rsidRPr="00616B26" w:rsidRDefault="00196507" w:rsidP="00196507">
            <w:pPr>
              <w:pStyle w:val="Tabletext"/>
              <w:rPr>
                <w:snapToGrid w:val="0"/>
              </w:rPr>
            </w:pPr>
            <w:r w:rsidRPr="00616B26">
              <w:rPr>
                <w:snapToGrid w:val="0"/>
              </w:rPr>
              <w:t>64</w:t>
            </w:r>
          </w:p>
        </w:tc>
        <w:tc>
          <w:tcPr>
            <w:tcW w:w="909" w:type="pct"/>
            <w:tcBorders>
              <w:top w:val="single" w:sz="4" w:space="0" w:color="auto"/>
              <w:bottom w:val="single" w:sz="4" w:space="0" w:color="auto"/>
            </w:tcBorders>
            <w:vAlign w:val="bottom"/>
          </w:tcPr>
          <w:p w14:paraId="0686219A" w14:textId="77777777" w:rsidR="00196507" w:rsidRPr="00196507" w:rsidRDefault="00196507" w:rsidP="00196507">
            <w:pPr>
              <w:pStyle w:val="Tabletext"/>
              <w:rPr>
                <w:snapToGrid w:val="0"/>
                <w:color w:val="000000" w:themeColor="text1"/>
              </w:rPr>
            </w:pPr>
            <w:r w:rsidRPr="00196507">
              <w:rPr>
                <w:color w:val="000000" w:themeColor="text1"/>
              </w:rPr>
              <w:t>18</w:t>
            </w:r>
            <w:r w:rsidR="00D7157D">
              <w:rPr>
                <w:color w:val="000000" w:themeColor="text1"/>
              </w:rPr>
              <w:t>.</w:t>
            </w:r>
            <w:r w:rsidRPr="00196507">
              <w:rPr>
                <w:color w:val="000000" w:themeColor="text1"/>
              </w:rPr>
              <w:t>7059</w:t>
            </w:r>
          </w:p>
        </w:tc>
        <w:tc>
          <w:tcPr>
            <w:tcW w:w="909" w:type="pct"/>
            <w:tcBorders>
              <w:top w:val="single" w:sz="4" w:space="0" w:color="auto"/>
              <w:bottom w:val="single" w:sz="4" w:space="0" w:color="auto"/>
            </w:tcBorders>
            <w:vAlign w:val="bottom"/>
          </w:tcPr>
          <w:p w14:paraId="62C3CE9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5322</w:t>
            </w:r>
          </w:p>
        </w:tc>
        <w:tc>
          <w:tcPr>
            <w:tcW w:w="909" w:type="pct"/>
            <w:tcBorders>
              <w:top w:val="single" w:sz="4" w:space="0" w:color="auto"/>
              <w:bottom w:val="single" w:sz="4" w:space="0" w:color="auto"/>
            </w:tcBorders>
            <w:vAlign w:val="bottom"/>
          </w:tcPr>
          <w:p w14:paraId="0CDA2352" w14:textId="77777777" w:rsidR="00196507" w:rsidRPr="00196507" w:rsidRDefault="00196507" w:rsidP="00196507">
            <w:pPr>
              <w:pStyle w:val="Tabletext"/>
              <w:rPr>
                <w:snapToGrid w:val="0"/>
                <w:color w:val="000000" w:themeColor="text1"/>
              </w:rPr>
            </w:pPr>
            <w:r w:rsidRPr="00196507">
              <w:rPr>
                <w:color w:val="000000" w:themeColor="text1"/>
              </w:rPr>
              <w:t>20</w:t>
            </w:r>
            <w:r w:rsidR="00D7157D">
              <w:rPr>
                <w:color w:val="000000" w:themeColor="text1"/>
              </w:rPr>
              <w:t>.</w:t>
            </w:r>
            <w:r w:rsidRPr="00196507">
              <w:rPr>
                <w:color w:val="000000" w:themeColor="text1"/>
              </w:rPr>
              <w:t>0179</w:t>
            </w:r>
          </w:p>
        </w:tc>
        <w:tc>
          <w:tcPr>
            <w:tcW w:w="908" w:type="pct"/>
            <w:tcBorders>
              <w:top w:val="single" w:sz="4" w:space="0" w:color="auto"/>
              <w:bottom w:val="single" w:sz="4" w:space="0" w:color="auto"/>
            </w:tcBorders>
            <w:vAlign w:val="bottom"/>
          </w:tcPr>
          <w:p w14:paraId="2789C2C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1352</w:t>
            </w:r>
          </w:p>
        </w:tc>
      </w:tr>
      <w:tr w:rsidR="00196507" w:rsidRPr="009E2595" w14:paraId="76F18F87" w14:textId="77777777" w:rsidTr="005B61BB">
        <w:trPr>
          <w:cantSplit/>
        </w:trPr>
        <w:tc>
          <w:tcPr>
            <w:tcW w:w="1365" w:type="pct"/>
            <w:tcBorders>
              <w:top w:val="single" w:sz="4" w:space="0" w:color="auto"/>
              <w:bottom w:val="single" w:sz="4" w:space="0" w:color="auto"/>
            </w:tcBorders>
          </w:tcPr>
          <w:p w14:paraId="6F21890D" w14:textId="77777777" w:rsidR="00196507" w:rsidRPr="00616B26" w:rsidRDefault="00196507" w:rsidP="00196507">
            <w:pPr>
              <w:pStyle w:val="Tabletext"/>
              <w:rPr>
                <w:snapToGrid w:val="0"/>
              </w:rPr>
            </w:pPr>
            <w:r w:rsidRPr="00616B26">
              <w:rPr>
                <w:snapToGrid w:val="0"/>
              </w:rPr>
              <w:t>65</w:t>
            </w:r>
          </w:p>
        </w:tc>
        <w:tc>
          <w:tcPr>
            <w:tcW w:w="909" w:type="pct"/>
            <w:tcBorders>
              <w:top w:val="single" w:sz="4" w:space="0" w:color="auto"/>
              <w:bottom w:val="single" w:sz="4" w:space="0" w:color="auto"/>
            </w:tcBorders>
            <w:vAlign w:val="bottom"/>
          </w:tcPr>
          <w:p w14:paraId="7493A856" w14:textId="77777777" w:rsidR="00196507" w:rsidRPr="00196507" w:rsidRDefault="00196507" w:rsidP="00196507">
            <w:pPr>
              <w:pStyle w:val="Tabletext"/>
              <w:rPr>
                <w:snapToGrid w:val="0"/>
                <w:color w:val="000000" w:themeColor="text1"/>
              </w:rPr>
            </w:pPr>
            <w:r w:rsidRPr="00196507">
              <w:rPr>
                <w:color w:val="000000" w:themeColor="text1"/>
              </w:rPr>
              <w:t>18</w:t>
            </w:r>
            <w:r w:rsidR="00D7157D">
              <w:rPr>
                <w:color w:val="000000" w:themeColor="text1"/>
              </w:rPr>
              <w:t>.</w:t>
            </w:r>
            <w:r w:rsidRPr="00196507">
              <w:rPr>
                <w:color w:val="000000" w:themeColor="text1"/>
              </w:rPr>
              <w:t>1247</w:t>
            </w:r>
          </w:p>
        </w:tc>
        <w:tc>
          <w:tcPr>
            <w:tcW w:w="909" w:type="pct"/>
            <w:tcBorders>
              <w:top w:val="single" w:sz="4" w:space="0" w:color="auto"/>
              <w:bottom w:val="single" w:sz="4" w:space="0" w:color="auto"/>
            </w:tcBorders>
            <w:vAlign w:val="bottom"/>
          </w:tcPr>
          <w:p w14:paraId="5FADEBB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5400</w:t>
            </w:r>
          </w:p>
        </w:tc>
        <w:tc>
          <w:tcPr>
            <w:tcW w:w="909" w:type="pct"/>
            <w:tcBorders>
              <w:top w:val="single" w:sz="4" w:space="0" w:color="auto"/>
              <w:bottom w:val="single" w:sz="4" w:space="0" w:color="auto"/>
            </w:tcBorders>
            <w:vAlign w:val="bottom"/>
          </w:tcPr>
          <w:p w14:paraId="2E39C5A5" w14:textId="77777777" w:rsidR="00196507" w:rsidRPr="00196507" w:rsidRDefault="00196507" w:rsidP="00196507">
            <w:pPr>
              <w:pStyle w:val="Tabletext"/>
              <w:rPr>
                <w:snapToGrid w:val="0"/>
                <w:color w:val="000000" w:themeColor="text1"/>
              </w:rPr>
            </w:pPr>
            <w:r w:rsidRPr="00196507">
              <w:rPr>
                <w:color w:val="000000" w:themeColor="text1"/>
              </w:rPr>
              <w:t>19</w:t>
            </w:r>
            <w:r w:rsidR="00D7157D">
              <w:rPr>
                <w:color w:val="000000" w:themeColor="text1"/>
              </w:rPr>
              <w:t>.</w:t>
            </w:r>
            <w:r w:rsidRPr="00196507">
              <w:rPr>
                <w:color w:val="000000" w:themeColor="text1"/>
              </w:rPr>
              <w:t>4522</w:t>
            </w:r>
          </w:p>
        </w:tc>
        <w:tc>
          <w:tcPr>
            <w:tcW w:w="908" w:type="pct"/>
            <w:tcBorders>
              <w:top w:val="single" w:sz="4" w:space="0" w:color="auto"/>
              <w:bottom w:val="single" w:sz="4" w:space="0" w:color="auto"/>
            </w:tcBorders>
            <w:vAlign w:val="bottom"/>
          </w:tcPr>
          <w:p w14:paraId="79601AD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1370</w:t>
            </w:r>
          </w:p>
        </w:tc>
      </w:tr>
      <w:tr w:rsidR="00196507" w:rsidRPr="009E2595" w14:paraId="360F2D77" w14:textId="77777777" w:rsidTr="005B61BB">
        <w:trPr>
          <w:cantSplit/>
        </w:trPr>
        <w:tc>
          <w:tcPr>
            <w:tcW w:w="1365" w:type="pct"/>
            <w:tcBorders>
              <w:top w:val="single" w:sz="4" w:space="0" w:color="auto"/>
              <w:bottom w:val="single" w:sz="4" w:space="0" w:color="auto"/>
            </w:tcBorders>
          </w:tcPr>
          <w:p w14:paraId="2C1C1286" w14:textId="77777777" w:rsidR="00196507" w:rsidRPr="00616B26" w:rsidRDefault="00196507" w:rsidP="00196507">
            <w:pPr>
              <w:pStyle w:val="Tabletext"/>
              <w:rPr>
                <w:snapToGrid w:val="0"/>
              </w:rPr>
            </w:pPr>
            <w:r w:rsidRPr="00616B26">
              <w:rPr>
                <w:snapToGrid w:val="0"/>
              </w:rPr>
              <w:t>66</w:t>
            </w:r>
          </w:p>
        </w:tc>
        <w:tc>
          <w:tcPr>
            <w:tcW w:w="909" w:type="pct"/>
            <w:tcBorders>
              <w:top w:val="single" w:sz="4" w:space="0" w:color="auto"/>
              <w:bottom w:val="single" w:sz="4" w:space="0" w:color="auto"/>
            </w:tcBorders>
            <w:vAlign w:val="bottom"/>
          </w:tcPr>
          <w:p w14:paraId="4BFF687C" w14:textId="77777777" w:rsidR="00196507" w:rsidRPr="00196507" w:rsidRDefault="00196507" w:rsidP="00196507">
            <w:pPr>
              <w:pStyle w:val="Tabletext"/>
              <w:rPr>
                <w:snapToGrid w:val="0"/>
                <w:color w:val="000000" w:themeColor="text1"/>
              </w:rPr>
            </w:pPr>
            <w:r w:rsidRPr="00196507">
              <w:rPr>
                <w:color w:val="000000" w:themeColor="text1"/>
              </w:rPr>
              <w:t>17</w:t>
            </w:r>
            <w:r w:rsidR="00D7157D">
              <w:rPr>
                <w:color w:val="000000" w:themeColor="text1"/>
              </w:rPr>
              <w:t>.</w:t>
            </w:r>
            <w:r w:rsidRPr="00196507">
              <w:rPr>
                <w:color w:val="000000" w:themeColor="text1"/>
              </w:rPr>
              <w:t>5393</w:t>
            </w:r>
          </w:p>
        </w:tc>
        <w:tc>
          <w:tcPr>
            <w:tcW w:w="909" w:type="pct"/>
            <w:tcBorders>
              <w:top w:val="single" w:sz="4" w:space="0" w:color="auto"/>
              <w:bottom w:val="single" w:sz="4" w:space="0" w:color="auto"/>
            </w:tcBorders>
            <w:vAlign w:val="bottom"/>
          </w:tcPr>
          <w:p w14:paraId="205833A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5472</w:t>
            </w:r>
          </w:p>
        </w:tc>
        <w:tc>
          <w:tcPr>
            <w:tcW w:w="909" w:type="pct"/>
            <w:tcBorders>
              <w:top w:val="single" w:sz="4" w:space="0" w:color="auto"/>
              <w:bottom w:val="single" w:sz="4" w:space="0" w:color="auto"/>
            </w:tcBorders>
            <w:vAlign w:val="bottom"/>
          </w:tcPr>
          <w:p w14:paraId="72C2D9B2" w14:textId="77777777" w:rsidR="00196507" w:rsidRPr="00196507" w:rsidRDefault="00196507" w:rsidP="00196507">
            <w:pPr>
              <w:pStyle w:val="Tabletext"/>
              <w:rPr>
                <w:snapToGrid w:val="0"/>
                <w:color w:val="000000" w:themeColor="text1"/>
              </w:rPr>
            </w:pPr>
            <w:r w:rsidRPr="00196507">
              <w:rPr>
                <w:color w:val="000000" w:themeColor="text1"/>
              </w:rPr>
              <w:t>18</w:t>
            </w:r>
            <w:r w:rsidR="00D7157D">
              <w:rPr>
                <w:color w:val="000000" w:themeColor="text1"/>
              </w:rPr>
              <w:t>.</w:t>
            </w:r>
            <w:r w:rsidRPr="00196507">
              <w:rPr>
                <w:color w:val="000000" w:themeColor="text1"/>
              </w:rPr>
              <w:t>8788</w:t>
            </w:r>
          </w:p>
        </w:tc>
        <w:tc>
          <w:tcPr>
            <w:tcW w:w="908" w:type="pct"/>
            <w:tcBorders>
              <w:top w:val="single" w:sz="4" w:space="0" w:color="auto"/>
              <w:bottom w:val="single" w:sz="4" w:space="0" w:color="auto"/>
            </w:tcBorders>
            <w:vAlign w:val="bottom"/>
          </w:tcPr>
          <w:p w14:paraId="382672C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1387</w:t>
            </w:r>
          </w:p>
        </w:tc>
      </w:tr>
      <w:tr w:rsidR="00196507" w:rsidRPr="009E2595" w14:paraId="5E5361A8" w14:textId="77777777" w:rsidTr="005B61BB">
        <w:trPr>
          <w:cantSplit/>
        </w:trPr>
        <w:tc>
          <w:tcPr>
            <w:tcW w:w="1365" w:type="pct"/>
            <w:tcBorders>
              <w:top w:val="single" w:sz="4" w:space="0" w:color="auto"/>
              <w:bottom w:val="single" w:sz="4" w:space="0" w:color="auto"/>
            </w:tcBorders>
          </w:tcPr>
          <w:p w14:paraId="7F5005E5" w14:textId="77777777" w:rsidR="00196507" w:rsidRPr="00616B26" w:rsidRDefault="00196507" w:rsidP="00196507">
            <w:pPr>
              <w:pStyle w:val="Tabletext"/>
              <w:rPr>
                <w:snapToGrid w:val="0"/>
              </w:rPr>
            </w:pPr>
            <w:r w:rsidRPr="00616B26">
              <w:rPr>
                <w:snapToGrid w:val="0"/>
              </w:rPr>
              <w:t>67</w:t>
            </w:r>
          </w:p>
        </w:tc>
        <w:tc>
          <w:tcPr>
            <w:tcW w:w="909" w:type="pct"/>
            <w:tcBorders>
              <w:top w:val="single" w:sz="4" w:space="0" w:color="auto"/>
              <w:bottom w:val="single" w:sz="4" w:space="0" w:color="auto"/>
            </w:tcBorders>
            <w:vAlign w:val="bottom"/>
          </w:tcPr>
          <w:p w14:paraId="3BFF0FF6" w14:textId="77777777" w:rsidR="00196507" w:rsidRPr="00196507" w:rsidRDefault="00196507" w:rsidP="00196507">
            <w:pPr>
              <w:pStyle w:val="Tabletext"/>
              <w:rPr>
                <w:snapToGrid w:val="0"/>
                <w:color w:val="000000" w:themeColor="text1"/>
              </w:rPr>
            </w:pPr>
            <w:r w:rsidRPr="00196507">
              <w:rPr>
                <w:color w:val="000000" w:themeColor="text1"/>
              </w:rPr>
              <w:t>16</w:t>
            </w:r>
            <w:r w:rsidR="00D7157D">
              <w:rPr>
                <w:color w:val="000000" w:themeColor="text1"/>
              </w:rPr>
              <w:t>.</w:t>
            </w:r>
            <w:r w:rsidRPr="00196507">
              <w:rPr>
                <w:color w:val="000000" w:themeColor="text1"/>
              </w:rPr>
              <w:t>9500</w:t>
            </w:r>
          </w:p>
        </w:tc>
        <w:tc>
          <w:tcPr>
            <w:tcW w:w="909" w:type="pct"/>
            <w:tcBorders>
              <w:top w:val="single" w:sz="4" w:space="0" w:color="auto"/>
              <w:bottom w:val="single" w:sz="4" w:space="0" w:color="auto"/>
            </w:tcBorders>
            <w:vAlign w:val="bottom"/>
          </w:tcPr>
          <w:p w14:paraId="43142E4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5537</w:t>
            </w:r>
          </w:p>
        </w:tc>
        <w:tc>
          <w:tcPr>
            <w:tcW w:w="909" w:type="pct"/>
            <w:tcBorders>
              <w:top w:val="single" w:sz="4" w:space="0" w:color="auto"/>
              <w:bottom w:val="single" w:sz="4" w:space="0" w:color="auto"/>
            </w:tcBorders>
            <w:vAlign w:val="bottom"/>
          </w:tcPr>
          <w:p w14:paraId="783F3DF0" w14:textId="77777777" w:rsidR="00196507" w:rsidRPr="00196507" w:rsidRDefault="00196507" w:rsidP="00196507">
            <w:pPr>
              <w:pStyle w:val="Tabletext"/>
              <w:rPr>
                <w:snapToGrid w:val="0"/>
                <w:color w:val="000000" w:themeColor="text1"/>
              </w:rPr>
            </w:pPr>
            <w:r w:rsidRPr="00196507">
              <w:rPr>
                <w:color w:val="000000" w:themeColor="text1"/>
              </w:rPr>
              <w:t>18</w:t>
            </w:r>
            <w:r w:rsidR="00D7157D">
              <w:rPr>
                <w:color w:val="000000" w:themeColor="text1"/>
              </w:rPr>
              <w:t>.</w:t>
            </w:r>
            <w:r w:rsidRPr="00196507">
              <w:rPr>
                <w:color w:val="000000" w:themeColor="text1"/>
              </w:rPr>
              <w:t>3000</w:t>
            </w:r>
          </w:p>
        </w:tc>
        <w:tc>
          <w:tcPr>
            <w:tcW w:w="908" w:type="pct"/>
            <w:tcBorders>
              <w:top w:val="single" w:sz="4" w:space="0" w:color="auto"/>
              <w:bottom w:val="single" w:sz="4" w:space="0" w:color="auto"/>
            </w:tcBorders>
            <w:vAlign w:val="bottom"/>
          </w:tcPr>
          <w:p w14:paraId="2D38279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1402</w:t>
            </w:r>
          </w:p>
        </w:tc>
      </w:tr>
      <w:tr w:rsidR="00196507" w:rsidRPr="009E2595" w14:paraId="387F4A62" w14:textId="77777777" w:rsidTr="005B61BB">
        <w:trPr>
          <w:cantSplit/>
        </w:trPr>
        <w:tc>
          <w:tcPr>
            <w:tcW w:w="1365" w:type="pct"/>
            <w:tcBorders>
              <w:top w:val="single" w:sz="4" w:space="0" w:color="auto"/>
              <w:bottom w:val="single" w:sz="4" w:space="0" w:color="auto"/>
            </w:tcBorders>
          </w:tcPr>
          <w:p w14:paraId="3FD664C4" w14:textId="77777777" w:rsidR="00196507" w:rsidRPr="00616B26" w:rsidRDefault="00196507" w:rsidP="00196507">
            <w:pPr>
              <w:pStyle w:val="Tabletext"/>
              <w:rPr>
                <w:snapToGrid w:val="0"/>
              </w:rPr>
            </w:pPr>
            <w:r w:rsidRPr="00616B26">
              <w:rPr>
                <w:snapToGrid w:val="0"/>
              </w:rPr>
              <w:t>68</w:t>
            </w:r>
          </w:p>
        </w:tc>
        <w:tc>
          <w:tcPr>
            <w:tcW w:w="909" w:type="pct"/>
            <w:tcBorders>
              <w:top w:val="single" w:sz="4" w:space="0" w:color="auto"/>
              <w:bottom w:val="single" w:sz="4" w:space="0" w:color="auto"/>
            </w:tcBorders>
            <w:vAlign w:val="bottom"/>
          </w:tcPr>
          <w:p w14:paraId="1EE47AE9" w14:textId="77777777" w:rsidR="00196507" w:rsidRPr="00196507" w:rsidRDefault="00196507" w:rsidP="00196507">
            <w:pPr>
              <w:pStyle w:val="Tabletext"/>
              <w:rPr>
                <w:snapToGrid w:val="0"/>
                <w:color w:val="000000" w:themeColor="text1"/>
              </w:rPr>
            </w:pPr>
            <w:r w:rsidRPr="00196507">
              <w:rPr>
                <w:color w:val="000000" w:themeColor="text1"/>
              </w:rPr>
              <w:t>16</w:t>
            </w:r>
            <w:r w:rsidR="00D7157D">
              <w:rPr>
                <w:color w:val="000000" w:themeColor="text1"/>
              </w:rPr>
              <w:t>.</w:t>
            </w:r>
            <w:r w:rsidRPr="00196507">
              <w:rPr>
                <w:color w:val="000000" w:themeColor="text1"/>
              </w:rPr>
              <w:t>3566</w:t>
            </w:r>
          </w:p>
        </w:tc>
        <w:tc>
          <w:tcPr>
            <w:tcW w:w="909" w:type="pct"/>
            <w:tcBorders>
              <w:top w:val="single" w:sz="4" w:space="0" w:color="auto"/>
              <w:bottom w:val="single" w:sz="4" w:space="0" w:color="auto"/>
            </w:tcBorders>
            <w:vAlign w:val="bottom"/>
          </w:tcPr>
          <w:p w14:paraId="3E4C0FF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5597</w:t>
            </w:r>
          </w:p>
        </w:tc>
        <w:tc>
          <w:tcPr>
            <w:tcW w:w="909" w:type="pct"/>
            <w:tcBorders>
              <w:top w:val="single" w:sz="4" w:space="0" w:color="auto"/>
              <w:bottom w:val="single" w:sz="4" w:space="0" w:color="auto"/>
            </w:tcBorders>
            <w:vAlign w:val="bottom"/>
          </w:tcPr>
          <w:p w14:paraId="070D4FF9" w14:textId="77777777" w:rsidR="00196507" w:rsidRPr="00196507" w:rsidRDefault="00196507" w:rsidP="00196507">
            <w:pPr>
              <w:pStyle w:val="Tabletext"/>
              <w:rPr>
                <w:snapToGrid w:val="0"/>
                <w:color w:val="000000" w:themeColor="text1"/>
              </w:rPr>
            </w:pPr>
            <w:r w:rsidRPr="00196507">
              <w:rPr>
                <w:color w:val="000000" w:themeColor="text1"/>
              </w:rPr>
              <w:t>17</w:t>
            </w:r>
            <w:r w:rsidR="00D7157D">
              <w:rPr>
                <w:color w:val="000000" w:themeColor="text1"/>
              </w:rPr>
              <w:t>.</w:t>
            </w:r>
            <w:r w:rsidRPr="00196507">
              <w:rPr>
                <w:color w:val="000000" w:themeColor="text1"/>
              </w:rPr>
              <w:t>7146</w:t>
            </w:r>
          </w:p>
        </w:tc>
        <w:tc>
          <w:tcPr>
            <w:tcW w:w="908" w:type="pct"/>
            <w:tcBorders>
              <w:top w:val="single" w:sz="4" w:space="0" w:color="auto"/>
              <w:bottom w:val="single" w:sz="4" w:space="0" w:color="auto"/>
            </w:tcBorders>
            <w:vAlign w:val="bottom"/>
          </w:tcPr>
          <w:p w14:paraId="24C1C3B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1416</w:t>
            </w:r>
          </w:p>
        </w:tc>
      </w:tr>
      <w:tr w:rsidR="00196507" w:rsidRPr="009E2595" w14:paraId="074071DE" w14:textId="77777777" w:rsidTr="005B61BB">
        <w:trPr>
          <w:cantSplit/>
        </w:trPr>
        <w:tc>
          <w:tcPr>
            <w:tcW w:w="1365" w:type="pct"/>
            <w:tcBorders>
              <w:top w:val="single" w:sz="4" w:space="0" w:color="auto"/>
              <w:bottom w:val="single" w:sz="4" w:space="0" w:color="auto"/>
            </w:tcBorders>
          </w:tcPr>
          <w:p w14:paraId="06555CD5" w14:textId="77777777" w:rsidR="00196507" w:rsidRPr="00616B26" w:rsidRDefault="00196507" w:rsidP="00196507">
            <w:pPr>
              <w:pStyle w:val="Tabletext"/>
              <w:rPr>
                <w:snapToGrid w:val="0"/>
              </w:rPr>
            </w:pPr>
            <w:r w:rsidRPr="00616B26">
              <w:rPr>
                <w:snapToGrid w:val="0"/>
              </w:rPr>
              <w:t>69</w:t>
            </w:r>
          </w:p>
        </w:tc>
        <w:tc>
          <w:tcPr>
            <w:tcW w:w="909" w:type="pct"/>
            <w:tcBorders>
              <w:top w:val="single" w:sz="4" w:space="0" w:color="auto"/>
              <w:bottom w:val="single" w:sz="4" w:space="0" w:color="auto"/>
            </w:tcBorders>
            <w:vAlign w:val="bottom"/>
          </w:tcPr>
          <w:p w14:paraId="13D718F2" w14:textId="77777777" w:rsidR="00196507" w:rsidRPr="00196507" w:rsidRDefault="00196507" w:rsidP="00196507">
            <w:pPr>
              <w:pStyle w:val="Tabletext"/>
              <w:rPr>
                <w:snapToGrid w:val="0"/>
                <w:color w:val="000000" w:themeColor="text1"/>
              </w:rPr>
            </w:pPr>
            <w:r w:rsidRPr="00196507">
              <w:rPr>
                <w:color w:val="000000" w:themeColor="text1"/>
              </w:rPr>
              <w:t>15</w:t>
            </w:r>
            <w:r w:rsidR="00D7157D">
              <w:rPr>
                <w:color w:val="000000" w:themeColor="text1"/>
              </w:rPr>
              <w:t>.</w:t>
            </w:r>
            <w:r w:rsidRPr="00196507">
              <w:rPr>
                <w:color w:val="000000" w:themeColor="text1"/>
              </w:rPr>
              <w:t>7590</w:t>
            </w:r>
          </w:p>
        </w:tc>
        <w:tc>
          <w:tcPr>
            <w:tcW w:w="909" w:type="pct"/>
            <w:tcBorders>
              <w:top w:val="single" w:sz="4" w:space="0" w:color="auto"/>
              <w:bottom w:val="single" w:sz="4" w:space="0" w:color="auto"/>
            </w:tcBorders>
            <w:vAlign w:val="bottom"/>
          </w:tcPr>
          <w:p w14:paraId="3DE4ACE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5651</w:t>
            </w:r>
          </w:p>
        </w:tc>
        <w:tc>
          <w:tcPr>
            <w:tcW w:w="909" w:type="pct"/>
            <w:tcBorders>
              <w:top w:val="single" w:sz="4" w:space="0" w:color="auto"/>
              <w:bottom w:val="single" w:sz="4" w:space="0" w:color="auto"/>
            </w:tcBorders>
            <w:vAlign w:val="bottom"/>
          </w:tcPr>
          <w:p w14:paraId="08CA8545" w14:textId="77777777" w:rsidR="00196507" w:rsidRPr="00196507" w:rsidRDefault="00196507" w:rsidP="00196507">
            <w:pPr>
              <w:pStyle w:val="Tabletext"/>
              <w:rPr>
                <w:snapToGrid w:val="0"/>
                <w:color w:val="000000" w:themeColor="text1"/>
              </w:rPr>
            </w:pPr>
            <w:r w:rsidRPr="00196507">
              <w:rPr>
                <w:color w:val="000000" w:themeColor="text1"/>
              </w:rPr>
              <w:t>17</w:t>
            </w:r>
            <w:r w:rsidR="00D7157D">
              <w:rPr>
                <w:color w:val="000000" w:themeColor="text1"/>
              </w:rPr>
              <w:t>.</w:t>
            </w:r>
            <w:r w:rsidRPr="00196507">
              <w:rPr>
                <w:color w:val="000000" w:themeColor="text1"/>
              </w:rPr>
              <w:t>1221</w:t>
            </w:r>
          </w:p>
        </w:tc>
        <w:tc>
          <w:tcPr>
            <w:tcW w:w="908" w:type="pct"/>
            <w:tcBorders>
              <w:top w:val="single" w:sz="4" w:space="0" w:color="auto"/>
              <w:bottom w:val="single" w:sz="4" w:space="0" w:color="auto"/>
            </w:tcBorders>
            <w:vAlign w:val="bottom"/>
          </w:tcPr>
          <w:p w14:paraId="5C676FF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1428</w:t>
            </w:r>
          </w:p>
        </w:tc>
      </w:tr>
      <w:tr w:rsidR="00196507" w:rsidRPr="009E2595" w14:paraId="67E4DCAF" w14:textId="77777777" w:rsidTr="005B61BB">
        <w:trPr>
          <w:cantSplit/>
        </w:trPr>
        <w:tc>
          <w:tcPr>
            <w:tcW w:w="1365" w:type="pct"/>
            <w:tcBorders>
              <w:top w:val="single" w:sz="4" w:space="0" w:color="auto"/>
              <w:bottom w:val="single" w:sz="4" w:space="0" w:color="auto"/>
            </w:tcBorders>
          </w:tcPr>
          <w:p w14:paraId="4E5CF829" w14:textId="77777777" w:rsidR="00196507" w:rsidRPr="00616B26" w:rsidRDefault="00196507" w:rsidP="00196507">
            <w:pPr>
              <w:pStyle w:val="Tabletext"/>
              <w:rPr>
                <w:snapToGrid w:val="0"/>
              </w:rPr>
            </w:pPr>
            <w:r w:rsidRPr="00616B26">
              <w:rPr>
                <w:snapToGrid w:val="0"/>
              </w:rPr>
              <w:t>70</w:t>
            </w:r>
          </w:p>
        </w:tc>
        <w:tc>
          <w:tcPr>
            <w:tcW w:w="909" w:type="pct"/>
            <w:tcBorders>
              <w:top w:val="single" w:sz="4" w:space="0" w:color="auto"/>
              <w:bottom w:val="single" w:sz="4" w:space="0" w:color="auto"/>
            </w:tcBorders>
            <w:vAlign w:val="bottom"/>
          </w:tcPr>
          <w:p w14:paraId="5FA924AB" w14:textId="77777777" w:rsidR="00196507" w:rsidRPr="00196507" w:rsidRDefault="00196507" w:rsidP="00196507">
            <w:pPr>
              <w:pStyle w:val="Tabletext"/>
              <w:rPr>
                <w:snapToGrid w:val="0"/>
                <w:color w:val="000000" w:themeColor="text1"/>
              </w:rPr>
            </w:pPr>
            <w:r w:rsidRPr="00196507">
              <w:rPr>
                <w:color w:val="000000" w:themeColor="text1"/>
              </w:rPr>
              <w:t>15</w:t>
            </w:r>
            <w:r w:rsidR="00D7157D">
              <w:rPr>
                <w:color w:val="000000" w:themeColor="text1"/>
              </w:rPr>
              <w:t>.</w:t>
            </w:r>
            <w:r w:rsidRPr="00196507">
              <w:rPr>
                <w:color w:val="000000" w:themeColor="text1"/>
              </w:rPr>
              <w:t>1566</w:t>
            </w:r>
          </w:p>
        </w:tc>
        <w:tc>
          <w:tcPr>
            <w:tcW w:w="909" w:type="pct"/>
            <w:tcBorders>
              <w:top w:val="single" w:sz="4" w:space="0" w:color="auto"/>
              <w:bottom w:val="single" w:sz="4" w:space="0" w:color="auto"/>
            </w:tcBorders>
            <w:vAlign w:val="bottom"/>
          </w:tcPr>
          <w:p w14:paraId="76F0A3E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5700</w:t>
            </w:r>
          </w:p>
        </w:tc>
        <w:tc>
          <w:tcPr>
            <w:tcW w:w="909" w:type="pct"/>
            <w:tcBorders>
              <w:top w:val="single" w:sz="4" w:space="0" w:color="auto"/>
              <w:bottom w:val="single" w:sz="4" w:space="0" w:color="auto"/>
            </w:tcBorders>
            <w:vAlign w:val="bottom"/>
          </w:tcPr>
          <w:p w14:paraId="08CD2226" w14:textId="77777777" w:rsidR="00196507" w:rsidRPr="00196507" w:rsidRDefault="00196507" w:rsidP="00196507">
            <w:pPr>
              <w:pStyle w:val="Tabletext"/>
              <w:rPr>
                <w:snapToGrid w:val="0"/>
                <w:color w:val="000000" w:themeColor="text1"/>
              </w:rPr>
            </w:pPr>
            <w:r w:rsidRPr="00196507">
              <w:rPr>
                <w:color w:val="000000" w:themeColor="text1"/>
              </w:rPr>
              <w:t>16</w:t>
            </w:r>
            <w:r w:rsidR="00D7157D">
              <w:rPr>
                <w:color w:val="000000" w:themeColor="text1"/>
              </w:rPr>
              <w:t>.</w:t>
            </w:r>
            <w:r w:rsidRPr="00196507">
              <w:rPr>
                <w:color w:val="000000" w:themeColor="text1"/>
              </w:rPr>
              <w:t>5226</w:t>
            </w:r>
          </w:p>
        </w:tc>
        <w:tc>
          <w:tcPr>
            <w:tcW w:w="908" w:type="pct"/>
            <w:tcBorders>
              <w:top w:val="single" w:sz="4" w:space="0" w:color="auto"/>
              <w:bottom w:val="single" w:sz="4" w:space="0" w:color="auto"/>
            </w:tcBorders>
            <w:vAlign w:val="bottom"/>
          </w:tcPr>
          <w:p w14:paraId="40A3D31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1439</w:t>
            </w:r>
          </w:p>
        </w:tc>
      </w:tr>
      <w:tr w:rsidR="00196507" w:rsidRPr="009E2595" w14:paraId="31D9B3C6" w14:textId="77777777" w:rsidTr="005B61BB">
        <w:trPr>
          <w:cantSplit/>
        </w:trPr>
        <w:tc>
          <w:tcPr>
            <w:tcW w:w="1365" w:type="pct"/>
            <w:tcBorders>
              <w:top w:val="single" w:sz="4" w:space="0" w:color="auto"/>
              <w:bottom w:val="single" w:sz="4" w:space="0" w:color="auto"/>
            </w:tcBorders>
          </w:tcPr>
          <w:p w14:paraId="51F3178A" w14:textId="77777777" w:rsidR="00196507" w:rsidRPr="00616B26" w:rsidRDefault="00196507" w:rsidP="00196507">
            <w:pPr>
              <w:pStyle w:val="Tabletext"/>
              <w:rPr>
                <w:snapToGrid w:val="0"/>
              </w:rPr>
            </w:pPr>
            <w:r w:rsidRPr="00616B26">
              <w:rPr>
                <w:snapToGrid w:val="0"/>
              </w:rPr>
              <w:t>71</w:t>
            </w:r>
          </w:p>
        </w:tc>
        <w:tc>
          <w:tcPr>
            <w:tcW w:w="909" w:type="pct"/>
            <w:tcBorders>
              <w:top w:val="single" w:sz="4" w:space="0" w:color="auto"/>
              <w:bottom w:val="single" w:sz="4" w:space="0" w:color="auto"/>
            </w:tcBorders>
            <w:vAlign w:val="bottom"/>
          </w:tcPr>
          <w:p w14:paraId="75DAED89" w14:textId="77777777" w:rsidR="00196507" w:rsidRPr="00196507" w:rsidRDefault="00196507" w:rsidP="00196507">
            <w:pPr>
              <w:pStyle w:val="Tabletext"/>
              <w:rPr>
                <w:snapToGrid w:val="0"/>
                <w:color w:val="000000" w:themeColor="text1"/>
              </w:rPr>
            </w:pPr>
            <w:r w:rsidRPr="00196507">
              <w:rPr>
                <w:color w:val="000000" w:themeColor="text1"/>
              </w:rPr>
              <w:t>14</w:t>
            </w:r>
            <w:r w:rsidR="00D7157D">
              <w:rPr>
                <w:color w:val="000000" w:themeColor="text1"/>
              </w:rPr>
              <w:t>.</w:t>
            </w:r>
            <w:r w:rsidRPr="00196507">
              <w:rPr>
                <w:color w:val="000000" w:themeColor="text1"/>
              </w:rPr>
              <w:t>5487</w:t>
            </w:r>
          </w:p>
        </w:tc>
        <w:tc>
          <w:tcPr>
            <w:tcW w:w="909" w:type="pct"/>
            <w:tcBorders>
              <w:top w:val="single" w:sz="4" w:space="0" w:color="auto"/>
              <w:bottom w:val="single" w:sz="4" w:space="0" w:color="auto"/>
            </w:tcBorders>
            <w:vAlign w:val="bottom"/>
          </w:tcPr>
          <w:p w14:paraId="6AD789E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5744</w:t>
            </w:r>
          </w:p>
        </w:tc>
        <w:tc>
          <w:tcPr>
            <w:tcW w:w="909" w:type="pct"/>
            <w:tcBorders>
              <w:top w:val="single" w:sz="4" w:space="0" w:color="auto"/>
              <w:bottom w:val="single" w:sz="4" w:space="0" w:color="auto"/>
            </w:tcBorders>
            <w:vAlign w:val="bottom"/>
          </w:tcPr>
          <w:p w14:paraId="69D1EA09" w14:textId="77777777" w:rsidR="00196507" w:rsidRPr="00196507" w:rsidRDefault="00196507" w:rsidP="00196507">
            <w:pPr>
              <w:pStyle w:val="Tabletext"/>
              <w:rPr>
                <w:snapToGrid w:val="0"/>
                <w:color w:val="000000" w:themeColor="text1"/>
              </w:rPr>
            </w:pPr>
            <w:r w:rsidRPr="00196507">
              <w:rPr>
                <w:color w:val="000000" w:themeColor="text1"/>
              </w:rPr>
              <w:t>15</w:t>
            </w:r>
            <w:r w:rsidR="00D7157D">
              <w:rPr>
                <w:color w:val="000000" w:themeColor="text1"/>
              </w:rPr>
              <w:t>.</w:t>
            </w:r>
            <w:r w:rsidRPr="00196507">
              <w:rPr>
                <w:color w:val="000000" w:themeColor="text1"/>
              </w:rPr>
              <w:t>9179</w:t>
            </w:r>
          </w:p>
        </w:tc>
        <w:tc>
          <w:tcPr>
            <w:tcW w:w="908" w:type="pct"/>
            <w:tcBorders>
              <w:top w:val="single" w:sz="4" w:space="0" w:color="auto"/>
              <w:bottom w:val="single" w:sz="4" w:space="0" w:color="auto"/>
            </w:tcBorders>
            <w:vAlign w:val="bottom"/>
          </w:tcPr>
          <w:p w14:paraId="350C3F0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1448</w:t>
            </w:r>
          </w:p>
        </w:tc>
      </w:tr>
      <w:tr w:rsidR="00196507" w:rsidRPr="009E2595" w14:paraId="366956A1" w14:textId="77777777" w:rsidTr="005B61BB">
        <w:trPr>
          <w:cantSplit/>
        </w:trPr>
        <w:tc>
          <w:tcPr>
            <w:tcW w:w="1365" w:type="pct"/>
            <w:tcBorders>
              <w:top w:val="single" w:sz="4" w:space="0" w:color="auto"/>
              <w:bottom w:val="single" w:sz="4" w:space="0" w:color="auto"/>
            </w:tcBorders>
          </w:tcPr>
          <w:p w14:paraId="07D2856E" w14:textId="77777777" w:rsidR="00196507" w:rsidRPr="00616B26" w:rsidRDefault="00196507" w:rsidP="00196507">
            <w:pPr>
              <w:pStyle w:val="Tabletext"/>
              <w:rPr>
                <w:snapToGrid w:val="0"/>
              </w:rPr>
            </w:pPr>
            <w:r w:rsidRPr="00616B26">
              <w:rPr>
                <w:snapToGrid w:val="0"/>
              </w:rPr>
              <w:t>72</w:t>
            </w:r>
          </w:p>
        </w:tc>
        <w:tc>
          <w:tcPr>
            <w:tcW w:w="909" w:type="pct"/>
            <w:tcBorders>
              <w:top w:val="single" w:sz="4" w:space="0" w:color="auto"/>
              <w:bottom w:val="single" w:sz="4" w:space="0" w:color="auto"/>
            </w:tcBorders>
            <w:vAlign w:val="bottom"/>
          </w:tcPr>
          <w:p w14:paraId="32557FEA" w14:textId="77777777" w:rsidR="00196507" w:rsidRPr="00196507" w:rsidRDefault="00196507" w:rsidP="00196507">
            <w:pPr>
              <w:pStyle w:val="Tabletext"/>
              <w:rPr>
                <w:snapToGrid w:val="0"/>
                <w:color w:val="000000" w:themeColor="text1"/>
              </w:rPr>
            </w:pPr>
            <w:r w:rsidRPr="00196507">
              <w:rPr>
                <w:color w:val="000000" w:themeColor="text1"/>
              </w:rPr>
              <w:t>13</w:t>
            </w:r>
            <w:r w:rsidR="00D7157D">
              <w:rPr>
                <w:color w:val="000000" w:themeColor="text1"/>
              </w:rPr>
              <w:t>.</w:t>
            </w:r>
            <w:r w:rsidRPr="00196507">
              <w:rPr>
                <w:color w:val="000000" w:themeColor="text1"/>
              </w:rPr>
              <w:t>9373</w:t>
            </w:r>
          </w:p>
        </w:tc>
        <w:tc>
          <w:tcPr>
            <w:tcW w:w="909" w:type="pct"/>
            <w:tcBorders>
              <w:top w:val="single" w:sz="4" w:space="0" w:color="auto"/>
              <w:bottom w:val="single" w:sz="4" w:space="0" w:color="auto"/>
            </w:tcBorders>
            <w:vAlign w:val="bottom"/>
          </w:tcPr>
          <w:p w14:paraId="1518FB4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5781</w:t>
            </w:r>
          </w:p>
        </w:tc>
        <w:tc>
          <w:tcPr>
            <w:tcW w:w="909" w:type="pct"/>
            <w:tcBorders>
              <w:top w:val="single" w:sz="4" w:space="0" w:color="auto"/>
              <w:bottom w:val="single" w:sz="4" w:space="0" w:color="auto"/>
            </w:tcBorders>
            <w:vAlign w:val="bottom"/>
          </w:tcPr>
          <w:p w14:paraId="7A6C2F93" w14:textId="77777777" w:rsidR="00196507" w:rsidRPr="00196507" w:rsidRDefault="00196507" w:rsidP="00196507">
            <w:pPr>
              <w:pStyle w:val="Tabletext"/>
              <w:rPr>
                <w:snapToGrid w:val="0"/>
                <w:color w:val="000000" w:themeColor="text1"/>
              </w:rPr>
            </w:pPr>
            <w:r w:rsidRPr="00196507">
              <w:rPr>
                <w:color w:val="000000" w:themeColor="text1"/>
              </w:rPr>
              <w:t>15</w:t>
            </w:r>
            <w:r w:rsidR="00D7157D">
              <w:rPr>
                <w:color w:val="000000" w:themeColor="text1"/>
              </w:rPr>
              <w:t>.</w:t>
            </w:r>
            <w:r w:rsidRPr="00196507">
              <w:rPr>
                <w:color w:val="000000" w:themeColor="text1"/>
              </w:rPr>
              <w:t>3095</w:t>
            </w:r>
          </w:p>
        </w:tc>
        <w:tc>
          <w:tcPr>
            <w:tcW w:w="908" w:type="pct"/>
            <w:tcBorders>
              <w:top w:val="single" w:sz="4" w:space="0" w:color="auto"/>
              <w:bottom w:val="single" w:sz="4" w:space="0" w:color="auto"/>
            </w:tcBorders>
            <w:vAlign w:val="bottom"/>
          </w:tcPr>
          <w:p w14:paraId="236A0C5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1455</w:t>
            </w:r>
          </w:p>
        </w:tc>
      </w:tr>
      <w:tr w:rsidR="00196507" w:rsidRPr="009E2595" w14:paraId="243D9652" w14:textId="77777777" w:rsidTr="005B61BB">
        <w:trPr>
          <w:cantSplit/>
        </w:trPr>
        <w:tc>
          <w:tcPr>
            <w:tcW w:w="1365" w:type="pct"/>
            <w:tcBorders>
              <w:top w:val="single" w:sz="4" w:space="0" w:color="auto"/>
              <w:bottom w:val="single" w:sz="4" w:space="0" w:color="auto"/>
            </w:tcBorders>
          </w:tcPr>
          <w:p w14:paraId="022D2839" w14:textId="77777777" w:rsidR="00196507" w:rsidRPr="00616B26" w:rsidRDefault="00196507" w:rsidP="00196507">
            <w:pPr>
              <w:pStyle w:val="Tabletext"/>
              <w:rPr>
                <w:snapToGrid w:val="0"/>
              </w:rPr>
            </w:pPr>
            <w:r w:rsidRPr="00616B26">
              <w:rPr>
                <w:snapToGrid w:val="0"/>
              </w:rPr>
              <w:t>73</w:t>
            </w:r>
          </w:p>
        </w:tc>
        <w:tc>
          <w:tcPr>
            <w:tcW w:w="909" w:type="pct"/>
            <w:tcBorders>
              <w:top w:val="single" w:sz="4" w:space="0" w:color="auto"/>
              <w:bottom w:val="single" w:sz="4" w:space="0" w:color="auto"/>
            </w:tcBorders>
            <w:vAlign w:val="bottom"/>
          </w:tcPr>
          <w:p w14:paraId="196CBBFF" w14:textId="77777777" w:rsidR="00196507" w:rsidRPr="00196507" w:rsidRDefault="00196507" w:rsidP="00196507">
            <w:pPr>
              <w:pStyle w:val="Tabletext"/>
              <w:rPr>
                <w:snapToGrid w:val="0"/>
                <w:color w:val="000000" w:themeColor="text1"/>
              </w:rPr>
            </w:pPr>
            <w:r w:rsidRPr="00196507">
              <w:rPr>
                <w:color w:val="000000" w:themeColor="text1"/>
              </w:rPr>
              <w:t>13</w:t>
            </w:r>
            <w:r w:rsidR="00D7157D">
              <w:rPr>
                <w:color w:val="000000" w:themeColor="text1"/>
              </w:rPr>
              <w:t>.</w:t>
            </w:r>
            <w:r w:rsidRPr="00196507">
              <w:rPr>
                <w:color w:val="000000" w:themeColor="text1"/>
              </w:rPr>
              <w:t>3232</w:t>
            </w:r>
          </w:p>
        </w:tc>
        <w:tc>
          <w:tcPr>
            <w:tcW w:w="909" w:type="pct"/>
            <w:tcBorders>
              <w:top w:val="single" w:sz="4" w:space="0" w:color="auto"/>
              <w:bottom w:val="single" w:sz="4" w:space="0" w:color="auto"/>
            </w:tcBorders>
            <w:vAlign w:val="bottom"/>
          </w:tcPr>
          <w:p w14:paraId="7B74DC5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5811</w:t>
            </w:r>
          </w:p>
        </w:tc>
        <w:tc>
          <w:tcPr>
            <w:tcW w:w="909" w:type="pct"/>
            <w:tcBorders>
              <w:top w:val="single" w:sz="4" w:space="0" w:color="auto"/>
              <w:bottom w:val="single" w:sz="4" w:space="0" w:color="auto"/>
            </w:tcBorders>
            <w:vAlign w:val="bottom"/>
          </w:tcPr>
          <w:p w14:paraId="4D35B0A6" w14:textId="77777777" w:rsidR="00196507" w:rsidRPr="00196507" w:rsidRDefault="00196507" w:rsidP="00196507">
            <w:pPr>
              <w:pStyle w:val="Tabletext"/>
              <w:rPr>
                <w:snapToGrid w:val="0"/>
                <w:color w:val="000000" w:themeColor="text1"/>
              </w:rPr>
            </w:pPr>
            <w:r w:rsidRPr="00196507">
              <w:rPr>
                <w:color w:val="000000" w:themeColor="text1"/>
              </w:rPr>
              <w:t>14</w:t>
            </w:r>
            <w:r w:rsidR="00D7157D">
              <w:rPr>
                <w:color w:val="000000" w:themeColor="text1"/>
              </w:rPr>
              <w:t>.</w:t>
            </w:r>
            <w:r w:rsidRPr="00196507">
              <w:rPr>
                <w:color w:val="000000" w:themeColor="text1"/>
              </w:rPr>
              <w:t>6982</w:t>
            </w:r>
          </w:p>
        </w:tc>
        <w:tc>
          <w:tcPr>
            <w:tcW w:w="908" w:type="pct"/>
            <w:tcBorders>
              <w:top w:val="single" w:sz="4" w:space="0" w:color="auto"/>
              <w:bottom w:val="single" w:sz="4" w:space="0" w:color="auto"/>
            </w:tcBorders>
            <w:vAlign w:val="bottom"/>
          </w:tcPr>
          <w:p w14:paraId="1FC6AF3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1460</w:t>
            </w:r>
          </w:p>
        </w:tc>
      </w:tr>
      <w:tr w:rsidR="00196507" w:rsidRPr="009E2595" w14:paraId="36D9F483" w14:textId="77777777" w:rsidTr="005B61BB">
        <w:trPr>
          <w:cantSplit/>
        </w:trPr>
        <w:tc>
          <w:tcPr>
            <w:tcW w:w="1365" w:type="pct"/>
            <w:tcBorders>
              <w:top w:val="single" w:sz="4" w:space="0" w:color="auto"/>
              <w:bottom w:val="single" w:sz="4" w:space="0" w:color="auto"/>
            </w:tcBorders>
          </w:tcPr>
          <w:p w14:paraId="69BC957D" w14:textId="77777777" w:rsidR="00196507" w:rsidRPr="00616B26" w:rsidRDefault="00196507" w:rsidP="00196507">
            <w:pPr>
              <w:pStyle w:val="Tabletext"/>
              <w:rPr>
                <w:snapToGrid w:val="0"/>
              </w:rPr>
            </w:pPr>
            <w:r w:rsidRPr="00616B26">
              <w:rPr>
                <w:snapToGrid w:val="0"/>
              </w:rPr>
              <w:t>74</w:t>
            </w:r>
          </w:p>
        </w:tc>
        <w:tc>
          <w:tcPr>
            <w:tcW w:w="909" w:type="pct"/>
            <w:tcBorders>
              <w:top w:val="single" w:sz="4" w:space="0" w:color="auto"/>
              <w:bottom w:val="single" w:sz="4" w:space="0" w:color="auto"/>
            </w:tcBorders>
            <w:vAlign w:val="bottom"/>
          </w:tcPr>
          <w:p w14:paraId="02BFC41D" w14:textId="77777777" w:rsidR="00196507" w:rsidRPr="00196507" w:rsidRDefault="00196507" w:rsidP="00196507">
            <w:pPr>
              <w:pStyle w:val="Tabletext"/>
              <w:rPr>
                <w:snapToGrid w:val="0"/>
                <w:color w:val="000000" w:themeColor="text1"/>
              </w:rPr>
            </w:pPr>
            <w:r w:rsidRPr="00196507">
              <w:rPr>
                <w:color w:val="000000" w:themeColor="text1"/>
              </w:rPr>
              <w:t>12</w:t>
            </w:r>
            <w:r w:rsidR="00D7157D">
              <w:rPr>
                <w:color w:val="000000" w:themeColor="text1"/>
              </w:rPr>
              <w:t>.</w:t>
            </w:r>
            <w:r w:rsidRPr="00196507">
              <w:rPr>
                <w:color w:val="000000" w:themeColor="text1"/>
              </w:rPr>
              <w:t>7082</w:t>
            </w:r>
          </w:p>
        </w:tc>
        <w:tc>
          <w:tcPr>
            <w:tcW w:w="909" w:type="pct"/>
            <w:tcBorders>
              <w:top w:val="single" w:sz="4" w:space="0" w:color="auto"/>
              <w:bottom w:val="single" w:sz="4" w:space="0" w:color="auto"/>
            </w:tcBorders>
            <w:vAlign w:val="bottom"/>
          </w:tcPr>
          <w:p w14:paraId="11D34F0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5834</w:t>
            </w:r>
          </w:p>
        </w:tc>
        <w:tc>
          <w:tcPr>
            <w:tcW w:w="909" w:type="pct"/>
            <w:tcBorders>
              <w:top w:val="single" w:sz="4" w:space="0" w:color="auto"/>
              <w:bottom w:val="single" w:sz="4" w:space="0" w:color="auto"/>
            </w:tcBorders>
            <w:vAlign w:val="bottom"/>
          </w:tcPr>
          <w:p w14:paraId="728A6AE5" w14:textId="77777777" w:rsidR="00196507" w:rsidRPr="00196507" w:rsidRDefault="00196507" w:rsidP="00196507">
            <w:pPr>
              <w:pStyle w:val="Tabletext"/>
              <w:rPr>
                <w:snapToGrid w:val="0"/>
                <w:color w:val="000000" w:themeColor="text1"/>
              </w:rPr>
            </w:pPr>
            <w:r w:rsidRPr="00196507">
              <w:rPr>
                <w:color w:val="000000" w:themeColor="text1"/>
              </w:rPr>
              <w:t>14</w:t>
            </w:r>
            <w:r w:rsidR="00D7157D">
              <w:rPr>
                <w:color w:val="000000" w:themeColor="text1"/>
              </w:rPr>
              <w:t>.</w:t>
            </w:r>
            <w:r w:rsidRPr="00196507">
              <w:rPr>
                <w:color w:val="000000" w:themeColor="text1"/>
              </w:rPr>
              <w:t>0840</w:t>
            </w:r>
          </w:p>
        </w:tc>
        <w:tc>
          <w:tcPr>
            <w:tcW w:w="908" w:type="pct"/>
            <w:tcBorders>
              <w:top w:val="single" w:sz="4" w:space="0" w:color="auto"/>
              <w:bottom w:val="single" w:sz="4" w:space="0" w:color="auto"/>
            </w:tcBorders>
            <w:vAlign w:val="bottom"/>
          </w:tcPr>
          <w:p w14:paraId="4333D75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1463</w:t>
            </w:r>
          </w:p>
        </w:tc>
      </w:tr>
      <w:tr w:rsidR="00196507" w:rsidRPr="009E2595" w14:paraId="452B7CC4" w14:textId="77777777" w:rsidTr="005B61BB">
        <w:trPr>
          <w:cantSplit/>
        </w:trPr>
        <w:tc>
          <w:tcPr>
            <w:tcW w:w="1365" w:type="pct"/>
            <w:tcBorders>
              <w:top w:val="single" w:sz="4" w:space="0" w:color="auto"/>
              <w:bottom w:val="single" w:sz="4" w:space="0" w:color="auto"/>
            </w:tcBorders>
          </w:tcPr>
          <w:p w14:paraId="62860461" w14:textId="77777777" w:rsidR="00196507" w:rsidRPr="00616B26" w:rsidRDefault="00196507" w:rsidP="00196507">
            <w:pPr>
              <w:pStyle w:val="Tabletext"/>
              <w:rPr>
                <w:snapToGrid w:val="0"/>
              </w:rPr>
            </w:pPr>
            <w:r w:rsidRPr="00616B26">
              <w:rPr>
                <w:snapToGrid w:val="0"/>
              </w:rPr>
              <w:t>75</w:t>
            </w:r>
          </w:p>
        </w:tc>
        <w:tc>
          <w:tcPr>
            <w:tcW w:w="909" w:type="pct"/>
            <w:tcBorders>
              <w:top w:val="single" w:sz="4" w:space="0" w:color="auto"/>
              <w:bottom w:val="single" w:sz="4" w:space="0" w:color="auto"/>
            </w:tcBorders>
            <w:vAlign w:val="bottom"/>
          </w:tcPr>
          <w:p w14:paraId="4A62DF52" w14:textId="77777777" w:rsidR="00196507" w:rsidRPr="00196507" w:rsidRDefault="00196507" w:rsidP="00196507">
            <w:pPr>
              <w:pStyle w:val="Tabletext"/>
              <w:rPr>
                <w:snapToGrid w:val="0"/>
                <w:color w:val="000000" w:themeColor="text1"/>
              </w:rPr>
            </w:pPr>
            <w:r w:rsidRPr="00196507">
              <w:rPr>
                <w:color w:val="000000" w:themeColor="text1"/>
              </w:rPr>
              <w:t>12</w:t>
            </w:r>
            <w:r w:rsidR="00D7157D">
              <w:rPr>
                <w:color w:val="000000" w:themeColor="text1"/>
              </w:rPr>
              <w:t>.</w:t>
            </w:r>
            <w:r w:rsidRPr="00196507">
              <w:rPr>
                <w:color w:val="000000" w:themeColor="text1"/>
              </w:rPr>
              <w:t>0935</w:t>
            </w:r>
          </w:p>
        </w:tc>
        <w:tc>
          <w:tcPr>
            <w:tcW w:w="909" w:type="pct"/>
            <w:tcBorders>
              <w:top w:val="single" w:sz="4" w:space="0" w:color="auto"/>
              <w:bottom w:val="single" w:sz="4" w:space="0" w:color="auto"/>
            </w:tcBorders>
            <w:vAlign w:val="bottom"/>
          </w:tcPr>
          <w:p w14:paraId="4E1E1DB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5846</w:t>
            </w:r>
          </w:p>
        </w:tc>
        <w:tc>
          <w:tcPr>
            <w:tcW w:w="909" w:type="pct"/>
            <w:tcBorders>
              <w:top w:val="single" w:sz="4" w:space="0" w:color="auto"/>
              <w:bottom w:val="single" w:sz="4" w:space="0" w:color="auto"/>
            </w:tcBorders>
            <w:vAlign w:val="bottom"/>
          </w:tcPr>
          <w:p w14:paraId="7466AF8C" w14:textId="77777777" w:rsidR="00196507" w:rsidRPr="00196507" w:rsidRDefault="00196507" w:rsidP="00196507">
            <w:pPr>
              <w:pStyle w:val="Tabletext"/>
              <w:rPr>
                <w:snapToGrid w:val="0"/>
                <w:color w:val="000000" w:themeColor="text1"/>
              </w:rPr>
            </w:pPr>
            <w:r w:rsidRPr="00196507">
              <w:rPr>
                <w:color w:val="000000" w:themeColor="text1"/>
              </w:rPr>
              <w:t>13</w:t>
            </w:r>
            <w:r w:rsidR="00D7157D">
              <w:rPr>
                <w:color w:val="000000" w:themeColor="text1"/>
              </w:rPr>
              <w:t>.</w:t>
            </w:r>
            <w:r w:rsidRPr="00196507">
              <w:rPr>
                <w:color w:val="000000" w:themeColor="text1"/>
              </w:rPr>
              <w:t>4667</w:t>
            </w:r>
          </w:p>
        </w:tc>
        <w:tc>
          <w:tcPr>
            <w:tcW w:w="908" w:type="pct"/>
            <w:tcBorders>
              <w:top w:val="single" w:sz="4" w:space="0" w:color="auto"/>
              <w:bottom w:val="single" w:sz="4" w:space="0" w:color="auto"/>
            </w:tcBorders>
            <w:vAlign w:val="bottom"/>
          </w:tcPr>
          <w:p w14:paraId="2269854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1464</w:t>
            </w:r>
          </w:p>
        </w:tc>
      </w:tr>
      <w:tr w:rsidR="00196507" w:rsidRPr="009E2595" w14:paraId="7F721CE4" w14:textId="77777777" w:rsidTr="005B61BB">
        <w:trPr>
          <w:cantSplit/>
        </w:trPr>
        <w:tc>
          <w:tcPr>
            <w:tcW w:w="1365" w:type="pct"/>
            <w:tcBorders>
              <w:top w:val="single" w:sz="4" w:space="0" w:color="auto"/>
              <w:bottom w:val="single" w:sz="4" w:space="0" w:color="auto"/>
            </w:tcBorders>
          </w:tcPr>
          <w:p w14:paraId="305E41F9" w14:textId="77777777" w:rsidR="00196507" w:rsidRPr="00616B26" w:rsidRDefault="00196507" w:rsidP="00196507">
            <w:pPr>
              <w:pStyle w:val="Tabletext"/>
              <w:rPr>
                <w:snapToGrid w:val="0"/>
              </w:rPr>
            </w:pPr>
            <w:r w:rsidRPr="00616B26">
              <w:rPr>
                <w:snapToGrid w:val="0"/>
              </w:rPr>
              <w:t>76</w:t>
            </w:r>
          </w:p>
        </w:tc>
        <w:tc>
          <w:tcPr>
            <w:tcW w:w="909" w:type="pct"/>
            <w:tcBorders>
              <w:top w:val="single" w:sz="4" w:space="0" w:color="auto"/>
              <w:bottom w:val="single" w:sz="4" w:space="0" w:color="auto"/>
            </w:tcBorders>
            <w:vAlign w:val="bottom"/>
          </w:tcPr>
          <w:p w14:paraId="2B15ADF9" w14:textId="77777777" w:rsidR="00196507" w:rsidRPr="00196507" w:rsidRDefault="00196507" w:rsidP="00196507">
            <w:pPr>
              <w:pStyle w:val="Tabletext"/>
              <w:rPr>
                <w:snapToGrid w:val="0"/>
                <w:color w:val="000000" w:themeColor="text1"/>
              </w:rPr>
            </w:pPr>
            <w:r w:rsidRPr="00196507">
              <w:rPr>
                <w:color w:val="000000" w:themeColor="text1"/>
              </w:rPr>
              <w:t>11</w:t>
            </w:r>
            <w:r w:rsidR="00D7157D">
              <w:rPr>
                <w:color w:val="000000" w:themeColor="text1"/>
              </w:rPr>
              <w:t>.</w:t>
            </w:r>
            <w:r w:rsidRPr="00196507">
              <w:rPr>
                <w:color w:val="000000" w:themeColor="text1"/>
              </w:rPr>
              <w:t>4805</w:t>
            </w:r>
          </w:p>
        </w:tc>
        <w:tc>
          <w:tcPr>
            <w:tcW w:w="909" w:type="pct"/>
            <w:tcBorders>
              <w:top w:val="single" w:sz="4" w:space="0" w:color="auto"/>
              <w:bottom w:val="single" w:sz="4" w:space="0" w:color="auto"/>
            </w:tcBorders>
            <w:vAlign w:val="bottom"/>
          </w:tcPr>
          <w:p w14:paraId="79BFEBF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5849</w:t>
            </w:r>
          </w:p>
        </w:tc>
        <w:tc>
          <w:tcPr>
            <w:tcW w:w="909" w:type="pct"/>
            <w:tcBorders>
              <w:top w:val="single" w:sz="4" w:space="0" w:color="auto"/>
              <w:bottom w:val="single" w:sz="4" w:space="0" w:color="auto"/>
            </w:tcBorders>
            <w:vAlign w:val="bottom"/>
          </w:tcPr>
          <w:p w14:paraId="52CD5480" w14:textId="77777777" w:rsidR="00196507" w:rsidRPr="00196507" w:rsidRDefault="00196507" w:rsidP="00196507">
            <w:pPr>
              <w:pStyle w:val="Tabletext"/>
              <w:rPr>
                <w:snapToGrid w:val="0"/>
                <w:color w:val="000000" w:themeColor="text1"/>
              </w:rPr>
            </w:pPr>
            <w:r w:rsidRPr="00196507">
              <w:rPr>
                <w:color w:val="000000" w:themeColor="text1"/>
              </w:rPr>
              <w:t>12</w:t>
            </w:r>
            <w:r w:rsidR="00D7157D">
              <w:rPr>
                <w:color w:val="000000" w:themeColor="text1"/>
              </w:rPr>
              <w:t>.</w:t>
            </w:r>
            <w:r w:rsidRPr="00196507">
              <w:rPr>
                <w:color w:val="000000" w:themeColor="text1"/>
              </w:rPr>
              <w:t>8447</w:t>
            </w:r>
          </w:p>
        </w:tc>
        <w:tc>
          <w:tcPr>
            <w:tcW w:w="908" w:type="pct"/>
            <w:tcBorders>
              <w:top w:val="single" w:sz="4" w:space="0" w:color="auto"/>
              <w:bottom w:val="single" w:sz="4" w:space="0" w:color="auto"/>
            </w:tcBorders>
            <w:vAlign w:val="bottom"/>
          </w:tcPr>
          <w:p w14:paraId="2A2F9BA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1463</w:t>
            </w:r>
          </w:p>
        </w:tc>
      </w:tr>
      <w:tr w:rsidR="00196507" w:rsidRPr="009E2595" w14:paraId="6DC42D5F" w14:textId="77777777" w:rsidTr="005B61BB">
        <w:trPr>
          <w:cantSplit/>
        </w:trPr>
        <w:tc>
          <w:tcPr>
            <w:tcW w:w="1365" w:type="pct"/>
            <w:tcBorders>
              <w:top w:val="single" w:sz="4" w:space="0" w:color="auto"/>
              <w:bottom w:val="single" w:sz="4" w:space="0" w:color="auto"/>
            </w:tcBorders>
          </w:tcPr>
          <w:p w14:paraId="57CB59E0" w14:textId="77777777" w:rsidR="00196507" w:rsidRPr="00616B26" w:rsidRDefault="00196507" w:rsidP="00196507">
            <w:pPr>
              <w:pStyle w:val="Tabletext"/>
              <w:rPr>
                <w:snapToGrid w:val="0"/>
              </w:rPr>
            </w:pPr>
            <w:r w:rsidRPr="00616B26">
              <w:rPr>
                <w:snapToGrid w:val="0"/>
              </w:rPr>
              <w:t>77</w:t>
            </w:r>
          </w:p>
        </w:tc>
        <w:tc>
          <w:tcPr>
            <w:tcW w:w="909" w:type="pct"/>
            <w:tcBorders>
              <w:top w:val="single" w:sz="4" w:space="0" w:color="auto"/>
              <w:bottom w:val="single" w:sz="4" w:space="0" w:color="auto"/>
            </w:tcBorders>
            <w:vAlign w:val="bottom"/>
          </w:tcPr>
          <w:p w14:paraId="2F43DABD" w14:textId="77777777" w:rsidR="00196507" w:rsidRPr="00196507" w:rsidRDefault="00196507" w:rsidP="00196507">
            <w:pPr>
              <w:pStyle w:val="Tabletext"/>
              <w:rPr>
                <w:snapToGrid w:val="0"/>
                <w:color w:val="000000" w:themeColor="text1"/>
              </w:rPr>
            </w:pPr>
            <w:r w:rsidRPr="00196507">
              <w:rPr>
                <w:color w:val="000000" w:themeColor="text1"/>
              </w:rPr>
              <w:t>10</w:t>
            </w:r>
            <w:r w:rsidR="00D7157D">
              <w:rPr>
                <w:color w:val="000000" w:themeColor="text1"/>
              </w:rPr>
              <w:t>.</w:t>
            </w:r>
            <w:r w:rsidRPr="00196507">
              <w:rPr>
                <w:color w:val="000000" w:themeColor="text1"/>
              </w:rPr>
              <w:t>8709</w:t>
            </w:r>
          </w:p>
        </w:tc>
        <w:tc>
          <w:tcPr>
            <w:tcW w:w="909" w:type="pct"/>
            <w:tcBorders>
              <w:top w:val="single" w:sz="4" w:space="0" w:color="auto"/>
              <w:bottom w:val="single" w:sz="4" w:space="0" w:color="auto"/>
            </w:tcBorders>
            <w:vAlign w:val="bottom"/>
          </w:tcPr>
          <w:p w14:paraId="592B61D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5841</w:t>
            </w:r>
          </w:p>
        </w:tc>
        <w:tc>
          <w:tcPr>
            <w:tcW w:w="909" w:type="pct"/>
            <w:tcBorders>
              <w:top w:val="single" w:sz="4" w:space="0" w:color="auto"/>
              <w:bottom w:val="single" w:sz="4" w:space="0" w:color="auto"/>
            </w:tcBorders>
            <w:vAlign w:val="bottom"/>
          </w:tcPr>
          <w:p w14:paraId="70568059" w14:textId="77777777" w:rsidR="00196507" w:rsidRPr="00196507" w:rsidRDefault="00196507" w:rsidP="00196507">
            <w:pPr>
              <w:pStyle w:val="Tabletext"/>
              <w:rPr>
                <w:snapToGrid w:val="0"/>
                <w:color w:val="000000" w:themeColor="text1"/>
              </w:rPr>
            </w:pPr>
            <w:r w:rsidRPr="00196507">
              <w:rPr>
                <w:color w:val="000000" w:themeColor="text1"/>
              </w:rPr>
              <w:t>12</w:t>
            </w:r>
            <w:r w:rsidR="00D7157D">
              <w:rPr>
                <w:color w:val="000000" w:themeColor="text1"/>
              </w:rPr>
              <w:t>.</w:t>
            </w:r>
            <w:r w:rsidRPr="00196507">
              <w:rPr>
                <w:color w:val="000000" w:themeColor="text1"/>
              </w:rPr>
              <w:t>2207</w:t>
            </w:r>
          </w:p>
        </w:tc>
        <w:tc>
          <w:tcPr>
            <w:tcW w:w="908" w:type="pct"/>
            <w:tcBorders>
              <w:top w:val="single" w:sz="4" w:space="0" w:color="auto"/>
              <w:bottom w:val="single" w:sz="4" w:space="0" w:color="auto"/>
            </w:tcBorders>
            <w:vAlign w:val="bottom"/>
          </w:tcPr>
          <w:p w14:paraId="4186DC7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1461</w:t>
            </w:r>
          </w:p>
        </w:tc>
      </w:tr>
      <w:tr w:rsidR="00196507" w:rsidRPr="009E2595" w14:paraId="38F5999E" w14:textId="77777777" w:rsidTr="005B61BB">
        <w:trPr>
          <w:cantSplit/>
        </w:trPr>
        <w:tc>
          <w:tcPr>
            <w:tcW w:w="1365" w:type="pct"/>
            <w:tcBorders>
              <w:top w:val="single" w:sz="4" w:space="0" w:color="auto"/>
              <w:bottom w:val="single" w:sz="4" w:space="0" w:color="auto"/>
            </w:tcBorders>
          </w:tcPr>
          <w:p w14:paraId="1A0D908C" w14:textId="77777777" w:rsidR="00196507" w:rsidRPr="00616B26" w:rsidRDefault="00196507" w:rsidP="00196507">
            <w:pPr>
              <w:pStyle w:val="Tabletext"/>
              <w:rPr>
                <w:snapToGrid w:val="0"/>
              </w:rPr>
            </w:pPr>
            <w:r w:rsidRPr="00616B26">
              <w:rPr>
                <w:snapToGrid w:val="0"/>
              </w:rPr>
              <w:t>78</w:t>
            </w:r>
          </w:p>
        </w:tc>
        <w:tc>
          <w:tcPr>
            <w:tcW w:w="909" w:type="pct"/>
            <w:tcBorders>
              <w:top w:val="single" w:sz="4" w:space="0" w:color="auto"/>
              <w:bottom w:val="single" w:sz="4" w:space="0" w:color="auto"/>
            </w:tcBorders>
            <w:vAlign w:val="bottom"/>
          </w:tcPr>
          <w:p w14:paraId="156F083B" w14:textId="77777777" w:rsidR="00196507" w:rsidRPr="00196507" w:rsidRDefault="00196507" w:rsidP="00196507">
            <w:pPr>
              <w:pStyle w:val="Tabletext"/>
              <w:rPr>
                <w:snapToGrid w:val="0"/>
                <w:color w:val="000000" w:themeColor="text1"/>
              </w:rPr>
            </w:pPr>
            <w:r w:rsidRPr="00196507">
              <w:rPr>
                <w:color w:val="000000" w:themeColor="text1"/>
              </w:rPr>
              <w:t>10</w:t>
            </w:r>
            <w:r w:rsidR="00D7157D">
              <w:rPr>
                <w:color w:val="000000" w:themeColor="text1"/>
              </w:rPr>
              <w:t>.</w:t>
            </w:r>
            <w:r w:rsidRPr="00196507">
              <w:rPr>
                <w:color w:val="000000" w:themeColor="text1"/>
              </w:rPr>
              <w:t>2666</w:t>
            </w:r>
          </w:p>
        </w:tc>
        <w:tc>
          <w:tcPr>
            <w:tcW w:w="909" w:type="pct"/>
            <w:tcBorders>
              <w:top w:val="single" w:sz="4" w:space="0" w:color="auto"/>
              <w:bottom w:val="single" w:sz="4" w:space="0" w:color="auto"/>
            </w:tcBorders>
            <w:vAlign w:val="bottom"/>
          </w:tcPr>
          <w:p w14:paraId="5F9B69D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5821</w:t>
            </w:r>
          </w:p>
        </w:tc>
        <w:tc>
          <w:tcPr>
            <w:tcW w:w="909" w:type="pct"/>
            <w:tcBorders>
              <w:top w:val="single" w:sz="4" w:space="0" w:color="auto"/>
              <w:bottom w:val="single" w:sz="4" w:space="0" w:color="auto"/>
            </w:tcBorders>
            <w:vAlign w:val="bottom"/>
          </w:tcPr>
          <w:p w14:paraId="683855F6" w14:textId="77777777" w:rsidR="00196507" w:rsidRPr="00196507" w:rsidRDefault="00196507" w:rsidP="00196507">
            <w:pPr>
              <w:pStyle w:val="Tabletext"/>
              <w:rPr>
                <w:snapToGrid w:val="0"/>
                <w:color w:val="000000" w:themeColor="text1"/>
              </w:rPr>
            </w:pPr>
            <w:r w:rsidRPr="00196507">
              <w:rPr>
                <w:color w:val="000000" w:themeColor="text1"/>
              </w:rPr>
              <w:t>11</w:t>
            </w:r>
            <w:r w:rsidR="00D7157D">
              <w:rPr>
                <w:color w:val="000000" w:themeColor="text1"/>
              </w:rPr>
              <w:t>.</w:t>
            </w:r>
            <w:r w:rsidRPr="00196507">
              <w:rPr>
                <w:color w:val="000000" w:themeColor="text1"/>
              </w:rPr>
              <w:t>5974</w:t>
            </w:r>
          </w:p>
        </w:tc>
        <w:tc>
          <w:tcPr>
            <w:tcW w:w="908" w:type="pct"/>
            <w:tcBorders>
              <w:top w:val="single" w:sz="4" w:space="0" w:color="auto"/>
              <w:bottom w:val="single" w:sz="4" w:space="0" w:color="auto"/>
            </w:tcBorders>
            <w:vAlign w:val="bottom"/>
          </w:tcPr>
          <w:p w14:paraId="5446BE0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1457</w:t>
            </w:r>
          </w:p>
        </w:tc>
      </w:tr>
      <w:tr w:rsidR="00196507" w:rsidRPr="009E2595" w14:paraId="361F2E76" w14:textId="77777777" w:rsidTr="005B61BB">
        <w:trPr>
          <w:cantSplit/>
        </w:trPr>
        <w:tc>
          <w:tcPr>
            <w:tcW w:w="1365" w:type="pct"/>
            <w:tcBorders>
              <w:top w:val="single" w:sz="4" w:space="0" w:color="auto"/>
              <w:bottom w:val="single" w:sz="4" w:space="0" w:color="auto"/>
            </w:tcBorders>
          </w:tcPr>
          <w:p w14:paraId="41131246" w14:textId="77777777" w:rsidR="00196507" w:rsidRPr="00616B26" w:rsidRDefault="00196507" w:rsidP="00196507">
            <w:pPr>
              <w:pStyle w:val="Tabletext"/>
              <w:rPr>
                <w:snapToGrid w:val="0"/>
              </w:rPr>
            </w:pPr>
            <w:r w:rsidRPr="00616B26">
              <w:rPr>
                <w:snapToGrid w:val="0"/>
              </w:rPr>
              <w:t>79</w:t>
            </w:r>
          </w:p>
        </w:tc>
        <w:tc>
          <w:tcPr>
            <w:tcW w:w="909" w:type="pct"/>
            <w:tcBorders>
              <w:top w:val="single" w:sz="4" w:space="0" w:color="auto"/>
              <w:bottom w:val="single" w:sz="4" w:space="0" w:color="auto"/>
            </w:tcBorders>
            <w:vAlign w:val="bottom"/>
          </w:tcPr>
          <w:p w14:paraId="13B0D309" w14:textId="77777777" w:rsidR="00196507" w:rsidRPr="00196507" w:rsidRDefault="00196507" w:rsidP="00196507">
            <w:pPr>
              <w:pStyle w:val="Tabletext"/>
              <w:rPr>
                <w:snapToGrid w:val="0"/>
                <w:color w:val="000000" w:themeColor="text1"/>
              </w:rPr>
            </w:pPr>
            <w:r w:rsidRPr="00196507">
              <w:rPr>
                <w:color w:val="000000" w:themeColor="text1"/>
              </w:rPr>
              <w:t>9</w:t>
            </w:r>
            <w:r w:rsidR="00D7157D">
              <w:rPr>
                <w:color w:val="000000" w:themeColor="text1"/>
              </w:rPr>
              <w:t>.</w:t>
            </w:r>
            <w:r w:rsidRPr="00196507">
              <w:rPr>
                <w:color w:val="000000" w:themeColor="text1"/>
              </w:rPr>
              <w:t>6721</w:t>
            </w:r>
          </w:p>
        </w:tc>
        <w:tc>
          <w:tcPr>
            <w:tcW w:w="909" w:type="pct"/>
            <w:tcBorders>
              <w:top w:val="single" w:sz="4" w:space="0" w:color="auto"/>
              <w:bottom w:val="single" w:sz="4" w:space="0" w:color="auto"/>
            </w:tcBorders>
            <w:vAlign w:val="bottom"/>
          </w:tcPr>
          <w:p w14:paraId="019CBE5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5786</w:t>
            </w:r>
          </w:p>
        </w:tc>
        <w:tc>
          <w:tcPr>
            <w:tcW w:w="909" w:type="pct"/>
            <w:tcBorders>
              <w:top w:val="single" w:sz="4" w:space="0" w:color="auto"/>
              <w:bottom w:val="single" w:sz="4" w:space="0" w:color="auto"/>
            </w:tcBorders>
            <w:vAlign w:val="bottom"/>
          </w:tcPr>
          <w:p w14:paraId="753DC5D2" w14:textId="77777777" w:rsidR="00196507" w:rsidRPr="00196507" w:rsidRDefault="00196507" w:rsidP="00196507">
            <w:pPr>
              <w:pStyle w:val="Tabletext"/>
              <w:rPr>
                <w:snapToGrid w:val="0"/>
                <w:color w:val="000000" w:themeColor="text1"/>
              </w:rPr>
            </w:pPr>
            <w:r w:rsidRPr="00196507">
              <w:rPr>
                <w:color w:val="000000" w:themeColor="text1"/>
              </w:rPr>
              <w:t>10</w:t>
            </w:r>
            <w:r w:rsidR="00D7157D">
              <w:rPr>
                <w:color w:val="000000" w:themeColor="text1"/>
              </w:rPr>
              <w:t>.</w:t>
            </w:r>
            <w:r w:rsidRPr="00196507">
              <w:rPr>
                <w:color w:val="000000" w:themeColor="text1"/>
              </w:rPr>
              <w:t>9785</w:t>
            </w:r>
          </w:p>
        </w:tc>
        <w:tc>
          <w:tcPr>
            <w:tcW w:w="908" w:type="pct"/>
            <w:tcBorders>
              <w:top w:val="single" w:sz="4" w:space="0" w:color="auto"/>
              <w:bottom w:val="single" w:sz="4" w:space="0" w:color="auto"/>
            </w:tcBorders>
            <w:vAlign w:val="bottom"/>
          </w:tcPr>
          <w:p w14:paraId="5DDB036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1449</w:t>
            </w:r>
          </w:p>
        </w:tc>
      </w:tr>
      <w:tr w:rsidR="00196507" w:rsidRPr="009E2595" w14:paraId="5C5BCEC2" w14:textId="77777777" w:rsidTr="005B61BB">
        <w:trPr>
          <w:cantSplit/>
        </w:trPr>
        <w:tc>
          <w:tcPr>
            <w:tcW w:w="1365" w:type="pct"/>
            <w:tcBorders>
              <w:top w:val="single" w:sz="4" w:space="0" w:color="auto"/>
              <w:bottom w:val="single" w:sz="4" w:space="0" w:color="auto"/>
            </w:tcBorders>
          </w:tcPr>
          <w:p w14:paraId="654631BE" w14:textId="77777777" w:rsidR="00196507" w:rsidRPr="00616B26" w:rsidRDefault="00196507" w:rsidP="00196507">
            <w:pPr>
              <w:pStyle w:val="Tabletext"/>
              <w:rPr>
                <w:snapToGrid w:val="0"/>
              </w:rPr>
            </w:pPr>
            <w:r w:rsidRPr="00616B26">
              <w:rPr>
                <w:snapToGrid w:val="0"/>
              </w:rPr>
              <w:t>80</w:t>
            </w:r>
          </w:p>
        </w:tc>
        <w:tc>
          <w:tcPr>
            <w:tcW w:w="909" w:type="pct"/>
            <w:tcBorders>
              <w:top w:val="single" w:sz="4" w:space="0" w:color="auto"/>
              <w:bottom w:val="single" w:sz="4" w:space="0" w:color="auto"/>
            </w:tcBorders>
            <w:vAlign w:val="bottom"/>
          </w:tcPr>
          <w:p w14:paraId="50EF2DCC" w14:textId="77777777" w:rsidR="00196507" w:rsidRPr="00196507" w:rsidRDefault="00196507" w:rsidP="00196507">
            <w:pPr>
              <w:pStyle w:val="Tabletext"/>
              <w:rPr>
                <w:snapToGrid w:val="0"/>
                <w:color w:val="000000" w:themeColor="text1"/>
              </w:rPr>
            </w:pPr>
            <w:r w:rsidRPr="00196507">
              <w:rPr>
                <w:color w:val="000000" w:themeColor="text1"/>
              </w:rPr>
              <w:t>9</w:t>
            </w:r>
            <w:r w:rsidR="00D7157D">
              <w:rPr>
                <w:color w:val="000000" w:themeColor="text1"/>
              </w:rPr>
              <w:t>.</w:t>
            </w:r>
            <w:r w:rsidRPr="00196507">
              <w:rPr>
                <w:color w:val="000000" w:themeColor="text1"/>
              </w:rPr>
              <w:t>0900</w:t>
            </w:r>
          </w:p>
        </w:tc>
        <w:tc>
          <w:tcPr>
            <w:tcW w:w="909" w:type="pct"/>
            <w:tcBorders>
              <w:top w:val="single" w:sz="4" w:space="0" w:color="auto"/>
              <w:bottom w:val="single" w:sz="4" w:space="0" w:color="auto"/>
            </w:tcBorders>
            <w:vAlign w:val="bottom"/>
          </w:tcPr>
          <w:p w14:paraId="02BCDAE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5735</w:t>
            </w:r>
          </w:p>
        </w:tc>
        <w:tc>
          <w:tcPr>
            <w:tcW w:w="909" w:type="pct"/>
            <w:tcBorders>
              <w:top w:val="single" w:sz="4" w:space="0" w:color="auto"/>
              <w:bottom w:val="single" w:sz="4" w:space="0" w:color="auto"/>
            </w:tcBorders>
            <w:vAlign w:val="bottom"/>
          </w:tcPr>
          <w:p w14:paraId="2226AA0F" w14:textId="77777777" w:rsidR="00196507" w:rsidRPr="00196507" w:rsidRDefault="00196507" w:rsidP="00196507">
            <w:pPr>
              <w:pStyle w:val="Tabletext"/>
              <w:rPr>
                <w:snapToGrid w:val="0"/>
                <w:color w:val="000000" w:themeColor="text1"/>
              </w:rPr>
            </w:pPr>
            <w:r w:rsidRPr="00196507">
              <w:rPr>
                <w:color w:val="000000" w:themeColor="text1"/>
              </w:rPr>
              <w:t>10</w:t>
            </w:r>
            <w:r w:rsidR="00D7157D">
              <w:rPr>
                <w:color w:val="000000" w:themeColor="text1"/>
              </w:rPr>
              <w:t>.</w:t>
            </w:r>
            <w:r w:rsidRPr="00196507">
              <w:rPr>
                <w:color w:val="000000" w:themeColor="text1"/>
              </w:rPr>
              <w:t>3669</w:t>
            </w:r>
          </w:p>
        </w:tc>
        <w:tc>
          <w:tcPr>
            <w:tcW w:w="908" w:type="pct"/>
            <w:tcBorders>
              <w:top w:val="single" w:sz="4" w:space="0" w:color="auto"/>
              <w:bottom w:val="single" w:sz="4" w:space="0" w:color="auto"/>
            </w:tcBorders>
            <w:vAlign w:val="bottom"/>
          </w:tcPr>
          <w:p w14:paraId="4056C8A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1439</w:t>
            </w:r>
          </w:p>
        </w:tc>
      </w:tr>
      <w:tr w:rsidR="00196507" w:rsidRPr="009E2595" w14:paraId="055F3E0C" w14:textId="77777777" w:rsidTr="005B61BB">
        <w:trPr>
          <w:cantSplit/>
        </w:trPr>
        <w:tc>
          <w:tcPr>
            <w:tcW w:w="1365" w:type="pct"/>
            <w:tcBorders>
              <w:top w:val="single" w:sz="4" w:space="0" w:color="auto"/>
              <w:bottom w:val="single" w:sz="4" w:space="0" w:color="auto"/>
            </w:tcBorders>
          </w:tcPr>
          <w:p w14:paraId="4917D57F" w14:textId="77777777" w:rsidR="00196507" w:rsidRPr="00616B26" w:rsidRDefault="00196507" w:rsidP="00196507">
            <w:pPr>
              <w:pStyle w:val="Tabletext"/>
              <w:rPr>
                <w:snapToGrid w:val="0"/>
              </w:rPr>
            </w:pPr>
            <w:r w:rsidRPr="00616B26">
              <w:rPr>
                <w:snapToGrid w:val="0"/>
              </w:rPr>
              <w:t>81</w:t>
            </w:r>
          </w:p>
        </w:tc>
        <w:tc>
          <w:tcPr>
            <w:tcW w:w="909" w:type="pct"/>
            <w:tcBorders>
              <w:top w:val="single" w:sz="4" w:space="0" w:color="auto"/>
              <w:bottom w:val="single" w:sz="4" w:space="0" w:color="auto"/>
            </w:tcBorders>
            <w:vAlign w:val="bottom"/>
          </w:tcPr>
          <w:p w14:paraId="32664DFE" w14:textId="77777777" w:rsidR="00196507" w:rsidRPr="00196507" w:rsidRDefault="00196507" w:rsidP="00196507">
            <w:pPr>
              <w:pStyle w:val="Tabletext"/>
              <w:rPr>
                <w:snapToGrid w:val="0"/>
                <w:color w:val="000000" w:themeColor="text1"/>
              </w:rPr>
            </w:pPr>
            <w:r w:rsidRPr="00196507">
              <w:rPr>
                <w:color w:val="000000" w:themeColor="text1"/>
              </w:rPr>
              <w:t>8</w:t>
            </w:r>
            <w:r w:rsidR="00D7157D">
              <w:rPr>
                <w:color w:val="000000" w:themeColor="text1"/>
              </w:rPr>
              <w:t>.</w:t>
            </w:r>
            <w:r w:rsidRPr="00196507">
              <w:rPr>
                <w:color w:val="000000" w:themeColor="text1"/>
              </w:rPr>
              <w:t>5237</w:t>
            </w:r>
          </w:p>
        </w:tc>
        <w:tc>
          <w:tcPr>
            <w:tcW w:w="909" w:type="pct"/>
            <w:tcBorders>
              <w:top w:val="single" w:sz="4" w:space="0" w:color="auto"/>
              <w:bottom w:val="single" w:sz="4" w:space="0" w:color="auto"/>
            </w:tcBorders>
            <w:vAlign w:val="bottom"/>
          </w:tcPr>
          <w:p w14:paraId="19CACF7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5667</w:t>
            </w:r>
          </w:p>
        </w:tc>
        <w:tc>
          <w:tcPr>
            <w:tcW w:w="909" w:type="pct"/>
            <w:tcBorders>
              <w:top w:val="single" w:sz="4" w:space="0" w:color="auto"/>
              <w:bottom w:val="single" w:sz="4" w:space="0" w:color="auto"/>
            </w:tcBorders>
            <w:vAlign w:val="bottom"/>
          </w:tcPr>
          <w:p w14:paraId="14868318" w14:textId="77777777" w:rsidR="00196507" w:rsidRPr="00196507" w:rsidRDefault="00196507" w:rsidP="00196507">
            <w:pPr>
              <w:pStyle w:val="Tabletext"/>
              <w:rPr>
                <w:snapToGrid w:val="0"/>
                <w:color w:val="000000" w:themeColor="text1"/>
              </w:rPr>
            </w:pPr>
            <w:r w:rsidRPr="00196507">
              <w:rPr>
                <w:color w:val="000000" w:themeColor="text1"/>
              </w:rPr>
              <w:t>9</w:t>
            </w:r>
            <w:r w:rsidR="00D7157D">
              <w:rPr>
                <w:color w:val="000000" w:themeColor="text1"/>
              </w:rPr>
              <w:t>.</w:t>
            </w:r>
            <w:r w:rsidRPr="00196507">
              <w:rPr>
                <w:color w:val="000000" w:themeColor="text1"/>
              </w:rPr>
              <w:t>7654</w:t>
            </w:r>
          </w:p>
        </w:tc>
        <w:tc>
          <w:tcPr>
            <w:tcW w:w="908" w:type="pct"/>
            <w:tcBorders>
              <w:top w:val="single" w:sz="4" w:space="0" w:color="auto"/>
              <w:bottom w:val="single" w:sz="4" w:space="0" w:color="auto"/>
            </w:tcBorders>
            <w:vAlign w:val="bottom"/>
          </w:tcPr>
          <w:p w14:paraId="075FE84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1425</w:t>
            </w:r>
          </w:p>
        </w:tc>
      </w:tr>
      <w:tr w:rsidR="00196507" w:rsidRPr="009E2595" w14:paraId="17142D5B" w14:textId="77777777" w:rsidTr="005B61BB">
        <w:trPr>
          <w:cantSplit/>
        </w:trPr>
        <w:tc>
          <w:tcPr>
            <w:tcW w:w="1365" w:type="pct"/>
            <w:tcBorders>
              <w:top w:val="single" w:sz="4" w:space="0" w:color="auto"/>
              <w:bottom w:val="single" w:sz="4" w:space="0" w:color="auto"/>
            </w:tcBorders>
          </w:tcPr>
          <w:p w14:paraId="31DBF9B3" w14:textId="77777777" w:rsidR="00196507" w:rsidRPr="00616B26" w:rsidRDefault="00196507" w:rsidP="00196507">
            <w:pPr>
              <w:pStyle w:val="Tabletext"/>
              <w:rPr>
                <w:snapToGrid w:val="0"/>
              </w:rPr>
            </w:pPr>
            <w:r w:rsidRPr="00616B26">
              <w:rPr>
                <w:snapToGrid w:val="0"/>
              </w:rPr>
              <w:t>82</w:t>
            </w:r>
          </w:p>
        </w:tc>
        <w:tc>
          <w:tcPr>
            <w:tcW w:w="909" w:type="pct"/>
            <w:tcBorders>
              <w:top w:val="single" w:sz="4" w:space="0" w:color="auto"/>
              <w:bottom w:val="single" w:sz="4" w:space="0" w:color="auto"/>
            </w:tcBorders>
            <w:vAlign w:val="bottom"/>
          </w:tcPr>
          <w:p w14:paraId="5F07095D" w14:textId="77777777" w:rsidR="00196507" w:rsidRPr="00196507" w:rsidRDefault="00196507" w:rsidP="00196507">
            <w:pPr>
              <w:pStyle w:val="Tabletext"/>
              <w:rPr>
                <w:snapToGrid w:val="0"/>
                <w:color w:val="000000" w:themeColor="text1"/>
              </w:rPr>
            </w:pPr>
            <w:r w:rsidRPr="00196507">
              <w:rPr>
                <w:color w:val="000000" w:themeColor="text1"/>
              </w:rPr>
              <w:t>7</w:t>
            </w:r>
            <w:r w:rsidR="00D7157D">
              <w:rPr>
                <w:color w:val="000000" w:themeColor="text1"/>
              </w:rPr>
              <w:t>.</w:t>
            </w:r>
            <w:r w:rsidRPr="00196507">
              <w:rPr>
                <w:color w:val="000000" w:themeColor="text1"/>
              </w:rPr>
              <w:t>9808</w:t>
            </w:r>
          </w:p>
        </w:tc>
        <w:tc>
          <w:tcPr>
            <w:tcW w:w="909" w:type="pct"/>
            <w:tcBorders>
              <w:top w:val="single" w:sz="4" w:space="0" w:color="auto"/>
              <w:bottom w:val="single" w:sz="4" w:space="0" w:color="auto"/>
            </w:tcBorders>
            <w:vAlign w:val="bottom"/>
          </w:tcPr>
          <w:p w14:paraId="2BFF1D9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5578</w:t>
            </w:r>
          </w:p>
        </w:tc>
        <w:tc>
          <w:tcPr>
            <w:tcW w:w="909" w:type="pct"/>
            <w:tcBorders>
              <w:top w:val="single" w:sz="4" w:space="0" w:color="auto"/>
              <w:bottom w:val="single" w:sz="4" w:space="0" w:color="auto"/>
            </w:tcBorders>
            <w:vAlign w:val="bottom"/>
          </w:tcPr>
          <w:p w14:paraId="751FC7EE" w14:textId="77777777" w:rsidR="00196507" w:rsidRPr="00196507" w:rsidRDefault="00196507" w:rsidP="00196507">
            <w:pPr>
              <w:pStyle w:val="Tabletext"/>
              <w:rPr>
                <w:snapToGrid w:val="0"/>
                <w:color w:val="000000" w:themeColor="text1"/>
              </w:rPr>
            </w:pPr>
            <w:r w:rsidRPr="00196507">
              <w:rPr>
                <w:color w:val="000000" w:themeColor="text1"/>
              </w:rPr>
              <w:t>9</w:t>
            </w:r>
            <w:r w:rsidR="00D7157D">
              <w:rPr>
                <w:color w:val="000000" w:themeColor="text1"/>
              </w:rPr>
              <w:t>.</w:t>
            </w:r>
            <w:r w:rsidRPr="00196507">
              <w:rPr>
                <w:color w:val="000000" w:themeColor="text1"/>
              </w:rPr>
              <w:t>1801</w:t>
            </w:r>
          </w:p>
        </w:tc>
        <w:tc>
          <w:tcPr>
            <w:tcW w:w="908" w:type="pct"/>
            <w:tcBorders>
              <w:top w:val="single" w:sz="4" w:space="0" w:color="auto"/>
              <w:bottom w:val="single" w:sz="4" w:space="0" w:color="auto"/>
            </w:tcBorders>
            <w:vAlign w:val="bottom"/>
          </w:tcPr>
          <w:p w14:paraId="5F45E2A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1408</w:t>
            </w:r>
          </w:p>
        </w:tc>
      </w:tr>
      <w:tr w:rsidR="00196507" w:rsidRPr="009E2595" w14:paraId="43999200" w14:textId="77777777" w:rsidTr="005B61BB">
        <w:trPr>
          <w:cantSplit/>
        </w:trPr>
        <w:tc>
          <w:tcPr>
            <w:tcW w:w="1365" w:type="pct"/>
            <w:tcBorders>
              <w:top w:val="single" w:sz="4" w:space="0" w:color="auto"/>
              <w:bottom w:val="single" w:sz="4" w:space="0" w:color="auto"/>
            </w:tcBorders>
          </w:tcPr>
          <w:p w14:paraId="7C1CC0FD" w14:textId="77777777" w:rsidR="00196507" w:rsidRPr="00616B26" w:rsidRDefault="00196507" w:rsidP="00196507">
            <w:pPr>
              <w:pStyle w:val="Tabletext"/>
              <w:rPr>
                <w:snapToGrid w:val="0"/>
              </w:rPr>
            </w:pPr>
            <w:r w:rsidRPr="00616B26">
              <w:rPr>
                <w:snapToGrid w:val="0"/>
              </w:rPr>
              <w:t>83</w:t>
            </w:r>
          </w:p>
        </w:tc>
        <w:tc>
          <w:tcPr>
            <w:tcW w:w="909" w:type="pct"/>
            <w:tcBorders>
              <w:top w:val="single" w:sz="4" w:space="0" w:color="auto"/>
              <w:bottom w:val="single" w:sz="4" w:space="0" w:color="auto"/>
            </w:tcBorders>
            <w:vAlign w:val="bottom"/>
          </w:tcPr>
          <w:p w14:paraId="7624AE4E" w14:textId="77777777" w:rsidR="00196507" w:rsidRPr="00196507" w:rsidRDefault="00196507" w:rsidP="00196507">
            <w:pPr>
              <w:pStyle w:val="Tabletext"/>
              <w:rPr>
                <w:snapToGrid w:val="0"/>
                <w:color w:val="000000" w:themeColor="text1"/>
              </w:rPr>
            </w:pPr>
            <w:r w:rsidRPr="00196507">
              <w:rPr>
                <w:color w:val="000000" w:themeColor="text1"/>
              </w:rPr>
              <w:t>7</w:t>
            </w:r>
            <w:r w:rsidR="00D7157D">
              <w:rPr>
                <w:color w:val="000000" w:themeColor="text1"/>
              </w:rPr>
              <w:t>.</w:t>
            </w:r>
            <w:r w:rsidRPr="00196507">
              <w:rPr>
                <w:color w:val="000000" w:themeColor="text1"/>
              </w:rPr>
              <w:t>4574</w:t>
            </w:r>
          </w:p>
        </w:tc>
        <w:tc>
          <w:tcPr>
            <w:tcW w:w="909" w:type="pct"/>
            <w:tcBorders>
              <w:top w:val="single" w:sz="4" w:space="0" w:color="auto"/>
              <w:bottom w:val="single" w:sz="4" w:space="0" w:color="auto"/>
            </w:tcBorders>
            <w:vAlign w:val="bottom"/>
          </w:tcPr>
          <w:p w14:paraId="783FE50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5473</w:t>
            </w:r>
          </w:p>
        </w:tc>
        <w:tc>
          <w:tcPr>
            <w:tcW w:w="909" w:type="pct"/>
            <w:tcBorders>
              <w:top w:val="single" w:sz="4" w:space="0" w:color="auto"/>
              <w:bottom w:val="single" w:sz="4" w:space="0" w:color="auto"/>
            </w:tcBorders>
            <w:vAlign w:val="bottom"/>
          </w:tcPr>
          <w:p w14:paraId="46429077" w14:textId="77777777" w:rsidR="00196507" w:rsidRPr="00196507" w:rsidRDefault="00196507" w:rsidP="00196507">
            <w:pPr>
              <w:pStyle w:val="Tabletext"/>
              <w:rPr>
                <w:snapToGrid w:val="0"/>
                <w:color w:val="000000" w:themeColor="text1"/>
              </w:rPr>
            </w:pPr>
            <w:r w:rsidRPr="00196507">
              <w:rPr>
                <w:color w:val="000000" w:themeColor="text1"/>
              </w:rPr>
              <w:t>8</w:t>
            </w:r>
            <w:r w:rsidR="00D7157D">
              <w:rPr>
                <w:color w:val="000000" w:themeColor="text1"/>
              </w:rPr>
              <w:t>.</w:t>
            </w:r>
            <w:r w:rsidRPr="00196507">
              <w:rPr>
                <w:color w:val="000000" w:themeColor="text1"/>
              </w:rPr>
              <w:t>6129</w:t>
            </w:r>
          </w:p>
        </w:tc>
        <w:tc>
          <w:tcPr>
            <w:tcW w:w="908" w:type="pct"/>
            <w:tcBorders>
              <w:top w:val="single" w:sz="4" w:space="0" w:color="auto"/>
              <w:bottom w:val="single" w:sz="4" w:space="0" w:color="auto"/>
            </w:tcBorders>
            <w:vAlign w:val="bottom"/>
          </w:tcPr>
          <w:p w14:paraId="02AD0B5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1387</w:t>
            </w:r>
          </w:p>
        </w:tc>
      </w:tr>
      <w:tr w:rsidR="00196507" w:rsidRPr="009E2595" w14:paraId="6C1105D4" w14:textId="77777777" w:rsidTr="005B61BB">
        <w:trPr>
          <w:cantSplit/>
        </w:trPr>
        <w:tc>
          <w:tcPr>
            <w:tcW w:w="1365" w:type="pct"/>
            <w:tcBorders>
              <w:top w:val="single" w:sz="4" w:space="0" w:color="auto"/>
              <w:bottom w:val="single" w:sz="4" w:space="0" w:color="auto"/>
            </w:tcBorders>
          </w:tcPr>
          <w:p w14:paraId="7582F213" w14:textId="77777777" w:rsidR="00196507" w:rsidRPr="00616B26" w:rsidRDefault="00196507" w:rsidP="00196507">
            <w:pPr>
              <w:pStyle w:val="Tabletext"/>
              <w:rPr>
                <w:snapToGrid w:val="0"/>
              </w:rPr>
            </w:pPr>
            <w:r w:rsidRPr="00616B26">
              <w:rPr>
                <w:snapToGrid w:val="0"/>
              </w:rPr>
              <w:t>84</w:t>
            </w:r>
          </w:p>
        </w:tc>
        <w:tc>
          <w:tcPr>
            <w:tcW w:w="909" w:type="pct"/>
            <w:tcBorders>
              <w:top w:val="single" w:sz="4" w:space="0" w:color="auto"/>
              <w:bottom w:val="single" w:sz="4" w:space="0" w:color="auto"/>
            </w:tcBorders>
            <w:vAlign w:val="bottom"/>
          </w:tcPr>
          <w:p w14:paraId="3B8DBF35" w14:textId="77777777" w:rsidR="00196507" w:rsidRPr="00196507" w:rsidRDefault="00196507" w:rsidP="00196507">
            <w:pPr>
              <w:pStyle w:val="Tabletext"/>
              <w:rPr>
                <w:snapToGrid w:val="0"/>
                <w:color w:val="000000" w:themeColor="text1"/>
              </w:rPr>
            </w:pPr>
            <w:r w:rsidRPr="00196507">
              <w:rPr>
                <w:color w:val="000000" w:themeColor="text1"/>
              </w:rPr>
              <w:t>6</w:t>
            </w:r>
            <w:r w:rsidR="00D7157D">
              <w:rPr>
                <w:color w:val="000000" w:themeColor="text1"/>
              </w:rPr>
              <w:t>.</w:t>
            </w:r>
            <w:r w:rsidRPr="00196507">
              <w:rPr>
                <w:color w:val="000000" w:themeColor="text1"/>
              </w:rPr>
              <w:t>9559</w:t>
            </w:r>
          </w:p>
        </w:tc>
        <w:tc>
          <w:tcPr>
            <w:tcW w:w="909" w:type="pct"/>
            <w:tcBorders>
              <w:top w:val="single" w:sz="4" w:space="0" w:color="auto"/>
              <w:bottom w:val="single" w:sz="4" w:space="0" w:color="auto"/>
            </w:tcBorders>
            <w:vAlign w:val="bottom"/>
          </w:tcPr>
          <w:p w14:paraId="47ED3B4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5350</w:t>
            </w:r>
          </w:p>
        </w:tc>
        <w:tc>
          <w:tcPr>
            <w:tcW w:w="909" w:type="pct"/>
            <w:tcBorders>
              <w:top w:val="single" w:sz="4" w:space="0" w:color="auto"/>
              <w:bottom w:val="single" w:sz="4" w:space="0" w:color="auto"/>
            </w:tcBorders>
            <w:vAlign w:val="bottom"/>
          </w:tcPr>
          <w:p w14:paraId="730809A0" w14:textId="77777777" w:rsidR="00196507" w:rsidRPr="00196507" w:rsidRDefault="00196507" w:rsidP="00196507">
            <w:pPr>
              <w:pStyle w:val="Tabletext"/>
              <w:rPr>
                <w:snapToGrid w:val="0"/>
                <w:color w:val="000000" w:themeColor="text1"/>
              </w:rPr>
            </w:pPr>
            <w:r w:rsidRPr="00196507">
              <w:rPr>
                <w:color w:val="000000" w:themeColor="text1"/>
              </w:rPr>
              <w:t>8</w:t>
            </w:r>
            <w:r w:rsidR="00D7157D">
              <w:rPr>
                <w:color w:val="000000" w:themeColor="text1"/>
              </w:rPr>
              <w:t>.</w:t>
            </w:r>
            <w:r w:rsidRPr="00196507">
              <w:rPr>
                <w:color w:val="000000" w:themeColor="text1"/>
              </w:rPr>
              <w:t>0663</w:t>
            </w:r>
          </w:p>
        </w:tc>
        <w:tc>
          <w:tcPr>
            <w:tcW w:w="908" w:type="pct"/>
            <w:tcBorders>
              <w:top w:val="single" w:sz="4" w:space="0" w:color="auto"/>
              <w:bottom w:val="single" w:sz="4" w:space="0" w:color="auto"/>
            </w:tcBorders>
            <w:vAlign w:val="bottom"/>
          </w:tcPr>
          <w:p w14:paraId="1666427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1362</w:t>
            </w:r>
          </w:p>
        </w:tc>
      </w:tr>
      <w:tr w:rsidR="00196507" w:rsidRPr="009E2595" w14:paraId="27856A39" w14:textId="77777777" w:rsidTr="005B61BB">
        <w:trPr>
          <w:cantSplit/>
        </w:trPr>
        <w:tc>
          <w:tcPr>
            <w:tcW w:w="1365" w:type="pct"/>
            <w:tcBorders>
              <w:top w:val="single" w:sz="4" w:space="0" w:color="auto"/>
              <w:bottom w:val="single" w:sz="4" w:space="0" w:color="auto"/>
            </w:tcBorders>
          </w:tcPr>
          <w:p w14:paraId="6419891B" w14:textId="77777777" w:rsidR="00196507" w:rsidRPr="00616B26" w:rsidRDefault="00196507" w:rsidP="00196507">
            <w:pPr>
              <w:pStyle w:val="Tabletext"/>
              <w:rPr>
                <w:snapToGrid w:val="0"/>
              </w:rPr>
            </w:pPr>
            <w:r w:rsidRPr="00616B26">
              <w:rPr>
                <w:snapToGrid w:val="0"/>
              </w:rPr>
              <w:t>85</w:t>
            </w:r>
          </w:p>
        </w:tc>
        <w:tc>
          <w:tcPr>
            <w:tcW w:w="909" w:type="pct"/>
            <w:tcBorders>
              <w:top w:val="single" w:sz="4" w:space="0" w:color="auto"/>
              <w:bottom w:val="single" w:sz="4" w:space="0" w:color="auto"/>
            </w:tcBorders>
            <w:vAlign w:val="bottom"/>
          </w:tcPr>
          <w:p w14:paraId="42ADAAA6" w14:textId="77777777" w:rsidR="00196507" w:rsidRPr="00196507" w:rsidRDefault="00196507" w:rsidP="00196507">
            <w:pPr>
              <w:pStyle w:val="Tabletext"/>
              <w:rPr>
                <w:snapToGrid w:val="0"/>
                <w:color w:val="000000" w:themeColor="text1"/>
              </w:rPr>
            </w:pPr>
            <w:r w:rsidRPr="00196507">
              <w:rPr>
                <w:color w:val="000000" w:themeColor="text1"/>
              </w:rPr>
              <w:t>6</w:t>
            </w:r>
            <w:r w:rsidR="00D7157D">
              <w:rPr>
                <w:color w:val="000000" w:themeColor="text1"/>
              </w:rPr>
              <w:t>.</w:t>
            </w:r>
            <w:r w:rsidRPr="00196507">
              <w:rPr>
                <w:color w:val="000000" w:themeColor="text1"/>
              </w:rPr>
              <w:t>4763</w:t>
            </w:r>
          </w:p>
        </w:tc>
        <w:tc>
          <w:tcPr>
            <w:tcW w:w="909" w:type="pct"/>
            <w:tcBorders>
              <w:top w:val="single" w:sz="4" w:space="0" w:color="auto"/>
              <w:bottom w:val="single" w:sz="4" w:space="0" w:color="auto"/>
            </w:tcBorders>
            <w:vAlign w:val="bottom"/>
          </w:tcPr>
          <w:p w14:paraId="1B7873FB"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5213</w:t>
            </w:r>
          </w:p>
        </w:tc>
        <w:tc>
          <w:tcPr>
            <w:tcW w:w="909" w:type="pct"/>
            <w:tcBorders>
              <w:top w:val="single" w:sz="4" w:space="0" w:color="auto"/>
              <w:bottom w:val="single" w:sz="4" w:space="0" w:color="auto"/>
            </w:tcBorders>
            <w:vAlign w:val="bottom"/>
          </w:tcPr>
          <w:p w14:paraId="77061735" w14:textId="77777777" w:rsidR="00196507" w:rsidRPr="00196507" w:rsidRDefault="00196507" w:rsidP="00196507">
            <w:pPr>
              <w:pStyle w:val="Tabletext"/>
              <w:rPr>
                <w:snapToGrid w:val="0"/>
                <w:color w:val="000000" w:themeColor="text1"/>
              </w:rPr>
            </w:pPr>
            <w:r w:rsidRPr="00196507">
              <w:rPr>
                <w:color w:val="000000" w:themeColor="text1"/>
              </w:rPr>
              <w:t>7</w:t>
            </w:r>
            <w:r w:rsidR="00D7157D">
              <w:rPr>
                <w:color w:val="000000" w:themeColor="text1"/>
              </w:rPr>
              <w:t>.</w:t>
            </w:r>
            <w:r w:rsidRPr="00196507">
              <w:rPr>
                <w:color w:val="000000" w:themeColor="text1"/>
              </w:rPr>
              <w:t>5318</w:t>
            </w:r>
          </w:p>
        </w:tc>
        <w:tc>
          <w:tcPr>
            <w:tcW w:w="908" w:type="pct"/>
            <w:tcBorders>
              <w:top w:val="single" w:sz="4" w:space="0" w:color="auto"/>
              <w:bottom w:val="single" w:sz="4" w:space="0" w:color="auto"/>
            </w:tcBorders>
            <w:vAlign w:val="bottom"/>
          </w:tcPr>
          <w:p w14:paraId="3FB540D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1336</w:t>
            </w:r>
          </w:p>
        </w:tc>
      </w:tr>
      <w:tr w:rsidR="00196507" w:rsidRPr="009E2595" w14:paraId="0B69DAED" w14:textId="77777777" w:rsidTr="005B61BB">
        <w:trPr>
          <w:cantSplit/>
        </w:trPr>
        <w:tc>
          <w:tcPr>
            <w:tcW w:w="1365" w:type="pct"/>
            <w:tcBorders>
              <w:top w:val="single" w:sz="4" w:space="0" w:color="auto"/>
              <w:bottom w:val="single" w:sz="4" w:space="0" w:color="auto"/>
            </w:tcBorders>
          </w:tcPr>
          <w:p w14:paraId="4448D8AF" w14:textId="77777777" w:rsidR="00196507" w:rsidRPr="00616B26" w:rsidRDefault="00196507" w:rsidP="00196507">
            <w:pPr>
              <w:pStyle w:val="Tabletext"/>
              <w:rPr>
                <w:snapToGrid w:val="0"/>
              </w:rPr>
            </w:pPr>
            <w:r w:rsidRPr="00616B26">
              <w:rPr>
                <w:snapToGrid w:val="0"/>
              </w:rPr>
              <w:t>86</w:t>
            </w:r>
          </w:p>
        </w:tc>
        <w:tc>
          <w:tcPr>
            <w:tcW w:w="909" w:type="pct"/>
            <w:tcBorders>
              <w:top w:val="single" w:sz="4" w:space="0" w:color="auto"/>
              <w:bottom w:val="single" w:sz="4" w:space="0" w:color="auto"/>
            </w:tcBorders>
            <w:vAlign w:val="bottom"/>
          </w:tcPr>
          <w:p w14:paraId="39AD9275" w14:textId="77777777" w:rsidR="00196507" w:rsidRPr="00196507" w:rsidRDefault="00196507" w:rsidP="00196507">
            <w:pPr>
              <w:pStyle w:val="Tabletext"/>
              <w:rPr>
                <w:snapToGrid w:val="0"/>
                <w:color w:val="000000" w:themeColor="text1"/>
              </w:rPr>
            </w:pPr>
            <w:r w:rsidRPr="00196507">
              <w:rPr>
                <w:color w:val="000000" w:themeColor="text1"/>
              </w:rPr>
              <w:t>6</w:t>
            </w:r>
            <w:r w:rsidR="00D7157D">
              <w:rPr>
                <w:color w:val="000000" w:themeColor="text1"/>
              </w:rPr>
              <w:t>.</w:t>
            </w:r>
            <w:r w:rsidRPr="00196507">
              <w:rPr>
                <w:color w:val="000000" w:themeColor="text1"/>
              </w:rPr>
              <w:t>0212</w:t>
            </w:r>
          </w:p>
        </w:tc>
        <w:tc>
          <w:tcPr>
            <w:tcW w:w="909" w:type="pct"/>
            <w:tcBorders>
              <w:top w:val="single" w:sz="4" w:space="0" w:color="auto"/>
              <w:bottom w:val="single" w:sz="4" w:space="0" w:color="auto"/>
            </w:tcBorders>
            <w:vAlign w:val="bottom"/>
          </w:tcPr>
          <w:p w14:paraId="52D8670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5061</w:t>
            </w:r>
          </w:p>
        </w:tc>
        <w:tc>
          <w:tcPr>
            <w:tcW w:w="909" w:type="pct"/>
            <w:tcBorders>
              <w:top w:val="single" w:sz="4" w:space="0" w:color="auto"/>
              <w:bottom w:val="single" w:sz="4" w:space="0" w:color="auto"/>
            </w:tcBorders>
            <w:vAlign w:val="bottom"/>
          </w:tcPr>
          <w:p w14:paraId="52F526D2" w14:textId="77777777" w:rsidR="00196507" w:rsidRPr="00196507" w:rsidRDefault="00196507" w:rsidP="00196507">
            <w:pPr>
              <w:pStyle w:val="Tabletext"/>
              <w:rPr>
                <w:snapToGrid w:val="0"/>
                <w:color w:val="000000" w:themeColor="text1"/>
              </w:rPr>
            </w:pPr>
            <w:r w:rsidRPr="00196507">
              <w:rPr>
                <w:color w:val="000000" w:themeColor="text1"/>
              </w:rPr>
              <w:t>7</w:t>
            </w:r>
            <w:r w:rsidR="00D7157D">
              <w:rPr>
                <w:color w:val="000000" w:themeColor="text1"/>
              </w:rPr>
              <w:t>.</w:t>
            </w:r>
            <w:r w:rsidRPr="00196507">
              <w:rPr>
                <w:color w:val="000000" w:themeColor="text1"/>
              </w:rPr>
              <w:t>0082</w:t>
            </w:r>
          </w:p>
        </w:tc>
        <w:tc>
          <w:tcPr>
            <w:tcW w:w="908" w:type="pct"/>
            <w:tcBorders>
              <w:top w:val="single" w:sz="4" w:space="0" w:color="auto"/>
              <w:bottom w:val="single" w:sz="4" w:space="0" w:color="auto"/>
            </w:tcBorders>
            <w:vAlign w:val="bottom"/>
          </w:tcPr>
          <w:p w14:paraId="21DF37B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1309</w:t>
            </w:r>
          </w:p>
        </w:tc>
      </w:tr>
      <w:tr w:rsidR="00196507" w:rsidRPr="009E2595" w14:paraId="353E1618" w14:textId="77777777" w:rsidTr="005B61BB">
        <w:trPr>
          <w:cantSplit/>
        </w:trPr>
        <w:tc>
          <w:tcPr>
            <w:tcW w:w="1365" w:type="pct"/>
            <w:tcBorders>
              <w:top w:val="single" w:sz="4" w:space="0" w:color="auto"/>
              <w:bottom w:val="single" w:sz="4" w:space="0" w:color="auto"/>
            </w:tcBorders>
          </w:tcPr>
          <w:p w14:paraId="77006F57" w14:textId="77777777" w:rsidR="00196507" w:rsidRPr="00616B26" w:rsidRDefault="00196507" w:rsidP="00196507">
            <w:pPr>
              <w:pStyle w:val="Tabletext"/>
              <w:rPr>
                <w:snapToGrid w:val="0"/>
              </w:rPr>
            </w:pPr>
            <w:r w:rsidRPr="00616B26">
              <w:rPr>
                <w:snapToGrid w:val="0"/>
              </w:rPr>
              <w:t>87</w:t>
            </w:r>
          </w:p>
        </w:tc>
        <w:tc>
          <w:tcPr>
            <w:tcW w:w="909" w:type="pct"/>
            <w:tcBorders>
              <w:top w:val="single" w:sz="4" w:space="0" w:color="auto"/>
              <w:bottom w:val="single" w:sz="4" w:space="0" w:color="auto"/>
            </w:tcBorders>
            <w:vAlign w:val="bottom"/>
          </w:tcPr>
          <w:p w14:paraId="66BC541D" w14:textId="77777777" w:rsidR="00196507" w:rsidRPr="00196507" w:rsidRDefault="00196507" w:rsidP="00196507">
            <w:pPr>
              <w:pStyle w:val="Tabletext"/>
              <w:rPr>
                <w:snapToGrid w:val="0"/>
                <w:color w:val="000000" w:themeColor="text1"/>
              </w:rPr>
            </w:pPr>
            <w:r w:rsidRPr="00196507">
              <w:rPr>
                <w:color w:val="000000" w:themeColor="text1"/>
              </w:rPr>
              <w:t>5</w:t>
            </w:r>
            <w:r w:rsidR="00D7157D">
              <w:rPr>
                <w:color w:val="000000" w:themeColor="text1"/>
              </w:rPr>
              <w:t>.</w:t>
            </w:r>
            <w:r w:rsidRPr="00196507">
              <w:rPr>
                <w:color w:val="000000" w:themeColor="text1"/>
              </w:rPr>
              <w:t>5899</w:t>
            </w:r>
          </w:p>
        </w:tc>
        <w:tc>
          <w:tcPr>
            <w:tcW w:w="909" w:type="pct"/>
            <w:tcBorders>
              <w:top w:val="single" w:sz="4" w:space="0" w:color="auto"/>
              <w:bottom w:val="single" w:sz="4" w:space="0" w:color="auto"/>
            </w:tcBorders>
            <w:vAlign w:val="bottom"/>
          </w:tcPr>
          <w:p w14:paraId="61F3D1F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4897</w:t>
            </w:r>
          </w:p>
        </w:tc>
        <w:tc>
          <w:tcPr>
            <w:tcW w:w="909" w:type="pct"/>
            <w:tcBorders>
              <w:top w:val="single" w:sz="4" w:space="0" w:color="auto"/>
              <w:bottom w:val="single" w:sz="4" w:space="0" w:color="auto"/>
            </w:tcBorders>
            <w:vAlign w:val="bottom"/>
          </w:tcPr>
          <w:p w14:paraId="61CA22F4" w14:textId="77777777" w:rsidR="00196507" w:rsidRPr="00196507" w:rsidRDefault="00196507" w:rsidP="00196507">
            <w:pPr>
              <w:pStyle w:val="Tabletext"/>
              <w:rPr>
                <w:snapToGrid w:val="0"/>
                <w:color w:val="000000" w:themeColor="text1"/>
              </w:rPr>
            </w:pPr>
            <w:r w:rsidRPr="00196507">
              <w:rPr>
                <w:color w:val="000000" w:themeColor="text1"/>
              </w:rPr>
              <w:t>6</w:t>
            </w:r>
            <w:r w:rsidR="00D7157D">
              <w:rPr>
                <w:color w:val="000000" w:themeColor="text1"/>
              </w:rPr>
              <w:t>.</w:t>
            </w:r>
            <w:r w:rsidRPr="00196507">
              <w:rPr>
                <w:color w:val="000000" w:themeColor="text1"/>
              </w:rPr>
              <w:t>5064</w:t>
            </w:r>
          </w:p>
        </w:tc>
        <w:tc>
          <w:tcPr>
            <w:tcW w:w="908" w:type="pct"/>
            <w:tcBorders>
              <w:top w:val="single" w:sz="4" w:space="0" w:color="auto"/>
              <w:bottom w:val="single" w:sz="4" w:space="0" w:color="auto"/>
            </w:tcBorders>
            <w:vAlign w:val="bottom"/>
          </w:tcPr>
          <w:p w14:paraId="22ABD604"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1281</w:t>
            </w:r>
          </w:p>
        </w:tc>
      </w:tr>
      <w:tr w:rsidR="00196507" w:rsidRPr="009E2595" w14:paraId="2EC69A44" w14:textId="77777777" w:rsidTr="005B61BB">
        <w:trPr>
          <w:cantSplit/>
        </w:trPr>
        <w:tc>
          <w:tcPr>
            <w:tcW w:w="1365" w:type="pct"/>
            <w:tcBorders>
              <w:top w:val="single" w:sz="4" w:space="0" w:color="auto"/>
              <w:bottom w:val="single" w:sz="4" w:space="0" w:color="auto"/>
            </w:tcBorders>
          </w:tcPr>
          <w:p w14:paraId="29E26ADD" w14:textId="77777777" w:rsidR="00196507" w:rsidRPr="00616B26" w:rsidRDefault="00196507" w:rsidP="00196507">
            <w:pPr>
              <w:pStyle w:val="Tabletext"/>
              <w:rPr>
                <w:snapToGrid w:val="0"/>
              </w:rPr>
            </w:pPr>
            <w:r w:rsidRPr="00616B26">
              <w:rPr>
                <w:snapToGrid w:val="0"/>
              </w:rPr>
              <w:t>88</w:t>
            </w:r>
          </w:p>
        </w:tc>
        <w:tc>
          <w:tcPr>
            <w:tcW w:w="909" w:type="pct"/>
            <w:tcBorders>
              <w:top w:val="single" w:sz="4" w:space="0" w:color="auto"/>
              <w:bottom w:val="single" w:sz="4" w:space="0" w:color="auto"/>
            </w:tcBorders>
            <w:vAlign w:val="bottom"/>
          </w:tcPr>
          <w:p w14:paraId="6E2A7973" w14:textId="77777777" w:rsidR="00196507" w:rsidRPr="00196507" w:rsidRDefault="00196507" w:rsidP="00196507">
            <w:pPr>
              <w:pStyle w:val="Tabletext"/>
              <w:rPr>
                <w:snapToGrid w:val="0"/>
                <w:color w:val="000000" w:themeColor="text1"/>
              </w:rPr>
            </w:pPr>
            <w:r w:rsidRPr="00196507">
              <w:rPr>
                <w:color w:val="000000" w:themeColor="text1"/>
              </w:rPr>
              <w:t>5</w:t>
            </w:r>
            <w:r w:rsidR="00D7157D">
              <w:rPr>
                <w:color w:val="000000" w:themeColor="text1"/>
              </w:rPr>
              <w:t>.</w:t>
            </w:r>
            <w:r w:rsidRPr="00196507">
              <w:rPr>
                <w:color w:val="000000" w:themeColor="text1"/>
              </w:rPr>
              <w:t>1816</w:t>
            </w:r>
          </w:p>
        </w:tc>
        <w:tc>
          <w:tcPr>
            <w:tcW w:w="909" w:type="pct"/>
            <w:tcBorders>
              <w:top w:val="single" w:sz="4" w:space="0" w:color="auto"/>
              <w:bottom w:val="single" w:sz="4" w:space="0" w:color="auto"/>
            </w:tcBorders>
            <w:vAlign w:val="bottom"/>
          </w:tcPr>
          <w:p w14:paraId="6E82107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4723</w:t>
            </w:r>
          </w:p>
        </w:tc>
        <w:tc>
          <w:tcPr>
            <w:tcW w:w="909" w:type="pct"/>
            <w:tcBorders>
              <w:top w:val="single" w:sz="4" w:space="0" w:color="auto"/>
              <w:bottom w:val="single" w:sz="4" w:space="0" w:color="auto"/>
            </w:tcBorders>
            <w:vAlign w:val="bottom"/>
          </w:tcPr>
          <w:p w14:paraId="0EBE5710" w14:textId="77777777" w:rsidR="00196507" w:rsidRPr="00196507" w:rsidRDefault="00196507" w:rsidP="00196507">
            <w:pPr>
              <w:pStyle w:val="Tabletext"/>
              <w:rPr>
                <w:snapToGrid w:val="0"/>
                <w:color w:val="000000" w:themeColor="text1"/>
              </w:rPr>
            </w:pPr>
            <w:r w:rsidRPr="00196507">
              <w:rPr>
                <w:color w:val="000000" w:themeColor="text1"/>
              </w:rPr>
              <w:t>6</w:t>
            </w:r>
            <w:r w:rsidR="00D7157D">
              <w:rPr>
                <w:color w:val="000000" w:themeColor="text1"/>
              </w:rPr>
              <w:t>.</w:t>
            </w:r>
            <w:r w:rsidRPr="00196507">
              <w:rPr>
                <w:color w:val="000000" w:themeColor="text1"/>
              </w:rPr>
              <w:t>0316</w:t>
            </w:r>
          </w:p>
        </w:tc>
        <w:tc>
          <w:tcPr>
            <w:tcW w:w="908" w:type="pct"/>
            <w:tcBorders>
              <w:top w:val="single" w:sz="4" w:space="0" w:color="auto"/>
              <w:bottom w:val="single" w:sz="4" w:space="0" w:color="auto"/>
            </w:tcBorders>
            <w:vAlign w:val="bottom"/>
          </w:tcPr>
          <w:p w14:paraId="371EAC5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1251</w:t>
            </w:r>
          </w:p>
        </w:tc>
      </w:tr>
      <w:tr w:rsidR="00196507" w:rsidRPr="009E2595" w14:paraId="439A33A1" w14:textId="77777777" w:rsidTr="005B61BB">
        <w:trPr>
          <w:cantSplit/>
        </w:trPr>
        <w:tc>
          <w:tcPr>
            <w:tcW w:w="1365" w:type="pct"/>
            <w:tcBorders>
              <w:top w:val="single" w:sz="4" w:space="0" w:color="auto"/>
              <w:bottom w:val="single" w:sz="4" w:space="0" w:color="auto"/>
            </w:tcBorders>
          </w:tcPr>
          <w:p w14:paraId="1418E491" w14:textId="77777777" w:rsidR="00196507" w:rsidRPr="00616B26" w:rsidRDefault="00196507" w:rsidP="00196507">
            <w:pPr>
              <w:pStyle w:val="Tabletext"/>
              <w:rPr>
                <w:snapToGrid w:val="0"/>
              </w:rPr>
            </w:pPr>
            <w:r w:rsidRPr="00616B26">
              <w:rPr>
                <w:snapToGrid w:val="0"/>
              </w:rPr>
              <w:t>89</w:t>
            </w:r>
          </w:p>
        </w:tc>
        <w:tc>
          <w:tcPr>
            <w:tcW w:w="909" w:type="pct"/>
            <w:tcBorders>
              <w:top w:val="single" w:sz="4" w:space="0" w:color="auto"/>
              <w:bottom w:val="single" w:sz="4" w:space="0" w:color="auto"/>
            </w:tcBorders>
            <w:vAlign w:val="bottom"/>
          </w:tcPr>
          <w:p w14:paraId="1A055B8E" w14:textId="77777777" w:rsidR="00196507" w:rsidRPr="00196507" w:rsidRDefault="00196507" w:rsidP="00196507">
            <w:pPr>
              <w:pStyle w:val="Tabletext"/>
              <w:rPr>
                <w:snapToGrid w:val="0"/>
                <w:color w:val="000000" w:themeColor="text1"/>
              </w:rPr>
            </w:pPr>
            <w:r w:rsidRPr="00196507">
              <w:rPr>
                <w:color w:val="000000" w:themeColor="text1"/>
              </w:rPr>
              <w:t>4</w:t>
            </w:r>
            <w:r w:rsidR="00D7157D">
              <w:rPr>
                <w:color w:val="000000" w:themeColor="text1"/>
              </w:rPr>
              <w:t>.</w:t>
            </w:r>
            <w:r w:rsidRPr="00196507">
              <w:rPr>
                <w:color w:val="000000" w:themeColor="text1"/>
              </w:rPr>
              <w:t>8017</w:t>
            </w:r>
          </w:p>
        </w:tc>
        <w:tc>
          <w:tcPr>
            <w:tcW w:w="909" w:type="pct"/>
            <w:tcBorders>
              <w:top w:val="single" w:sz="4" w:space="0" w:color="auto"/>
              <w:bottom w:val="single" w:sz="4" w:space="0" w:color="auto"/>
            </w:tcBorders>
            <w:vAlign w:val="bottom"/>
          </w:tcPr>
          <w:p w14:paraId="5A9617F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4538</w:t>
            </w:r>
          </w:p>
        </w:tc>
        <w:tc>
          <w:tcPr>
            <w:tcW w:w="909" w:type="pct"/>
            <w:tcBorders>
              <w:top w:val="single" w:sz="4" w:space="0" w:color="auto"/>
              <w:bottom w:val="single" w:sz="4" w:space="0" w:color="auto"/>
            </w:tcBorders>
            <w:vAlign w:val="bottom"/>
          </w:tcPr>
          <w:p w14:paraId="4B23816E" w14:textId="77777777" w:rsidR="00196507" w:rsidRPr="00196507" w:rsidRDefault="00196507" w:rsidP="00196507">
            <w:pPr>
              <w:pStyle w:val="Tabletext"/>
              <w:rPr>
                <w:snapToGrid w:val="0"/>
                <w:color w:val="000000" w:themeColor="text1"/>
              </w:rPr>
            </w:pPr>
            <w:r w:rsidRPr="00196507">
              <w:rPr>
                <w:color w:val="000000" w:themeColor="text1"/>
              </w:rPr>
              <w:t>5</w:t>
            </w:r>
            <w:r w:rsidR="00D7157D">
              <w:rPr>
                <w:color w:val="000000" w:themeColor="text1"/>
              </w:rPr>
              <w:t>.</w:t>
            </w:r>
            <w:r w:rsidRPr="00196507">
              <w:rPr>
                <w:color w:val="000000" w:themeColor="text1"/>
              </w:rPr>
              <w:t>5903</w:t>
            </w:r>
          </w:p>
        </w:tc>
        <w:tc>
          <w:tcPr>
            <w:tcW w:w="908" w:type="pct"/>
            <w:tcBorders>
              <w:top w:val="single" w:sz="4" w:space="0" w:color="auto"/>
              <w:bottom w:val="single" w:sz="4" w:space="0" w:color="auto"/>
            </w:tcBorders>
            <w:vAlign w:val="bottom"/>
          </w:tcPr>
          <w:p w14:paraId="2C29331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1219</w:t>
            </w:r>
          </w:p>
        </w:tc>
      </w:tr>
      <w:tr w:rsidR="00196507" w:rsidRPr="009E2595" w14:paraId="0603B8CF" w14:textId="77777777" w:rsidTr="005B61BB">
        <w:trPr>
          <w:cantSplit/>
        </w:trPr>
        <w:tc>
          <w:tcPr>
            <w:tcW w:w="1365" w:type="pct"/>
            <w:tcBorders>
              <w:top w:val="single" w:sz="4" w:space="0" w:color="auto"/>
              <w:bottom w:val="single" w:sz="4" w:space="0" w:color="auto"/>
            </w:tcBorders>
          </w:tcPr>
          <w:p w14:paraId="0DBB7066" w14:textId="77777777" w:rsidR="00196507" w:rsidRPr="00616B26" w:rsidRDefault="00196507" w:rsidP="00196507">
            <w:pPr>
              <w:pStyle w:val="Tabletext"/>
              <w:rPr>
                <w:snapToGrid w:val="0"/>
              </w:rPr>
            </w:pPr>
            <w:r w:rsidRPr="00616B26">
              <w:rPr>
                <w:snapToGrid w:val="0"/>
              </w:rPr>
              <w:t>90</w:t>
            </w:r>
          </w:p>
        </w:tc>
        <w:tc>
          <w:tcPr>
            <w:tcW w:w="909" w:type="pct"/>
            <w:tcBorders>
              <w:top w:val="single" w:sz="4" w:space="0" w:color="auto"/>
              <w:bottom w:val="single" w:sz="4" w:space="0" w:color="auto"/>
            </w:tcBorders>
            <w:vAlign w:val="bottom"/>
          </w:tcPr>
          <w:p w14:paraId="6AD3A26A" w14:textId="77777777" w:rsidR="00196507" w:rsidRPr="00196507" w:rsidRDefault="00196507" w:rsidP="00196507">
            <w:pPr>
              <w:pStyle w:val="Tabletext"/>
              <w:rPr>
                <w:snapToGrid w:val="0"/>
                <w:color w:val="000000" w:themeColor="text1"/>
              </w:rPr>
            </w:pPr>
            <w:r w:rsidRPr="00196507">
              <w:rPr>
                <w:color w:val="000000" w:themeColor="text1"/>
              </w:rPr>
              <w:t>4</w:t>
            </w:r>
            <w:r w:rsidR="00D7157D">
              <w:rPr>
                <w:color w:val="000000" w:themeColor="text1"/>
              </w:rPr>
              <w:t>.</w:t>
            </w:r>
            <w:r w:rsidRPr="00196507">
              <w:rPr>
                <w:color w:val="000000" w:themeColor="text1"/>
              </w:rPr>
              <w:t>4472</w:t>
            </w:r>
          </w:p>
        </w:tc>
        <w:tc>
          <w:tcPr>
            <w:tcW w:w="909" w:type="pct"/>
            <w:tcBorders>
              <w:top w:val="single" w:sz="4" w:space="0" w:color="auto"/>
              <w:bottom w:val="single" w:sz="4" w:space="0" w:color="auto"/>
            </w:tcBorders>
            <w:vAlign w:val="bottom"/>
          </w:tcPr>
          <w:p w14:paraId="540AA08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4349</w:t>
            </w:r>
          </w:p>
        </w:tc>
        <w:tc>
          <w:tcPr>
            <w:tcW w:w="909" w:type="pct"/>
            <w:tcBorders>
              <w:top w:val="single" w:sz="4" w:space="0" w:color="auto"/>
              <w:bottom w:val="single" w:sz="4" w:space="0" w:color="auto"/>
            </w:tcBorders>
            <w:vAlign w:val="bottom"/>
          </w:tcPr>
          <w:p w14:paraId="36BD947E" w14:textId="77777777" w:rsidR="00196507" w:rsidRPr="00196507" w:rsidRDefault="00196507" w:rsidP="00196507">
            <w:pPr>
              <w:pStyle w:val="Tabletext"/>
              <w:rPr>
                <w:snapToGrid w:val="0"/>
                <w:color w:val="000000" w:themeColor="text1"/>
              </w:rPr>
            </w:pPr>
            <w:r w:rsidRPr="00196507">
              <w:rPr>
                <w:color w:val="000000" w:themeColor="text1"/>
              </w:rPr>
              <w:t>5</w:t>
            </w:r>
            <w:r w:rsidR="00D7157D">
              <w:rPr>
                <w:color w:val="000000" w:themeColor="text1"/>
              </w:rPr>
              <w:t>.</w:t>
            </w:r>
            <w:r w:rsidRPr="00196507">
              <w:rPr>
                <w:color w:val="000000" w:themeColor="text1"/>
              </w:rPr>
              <w:t>2022</w:t>
            </w:r>
          </w:p>
        </w:tc>
        <w:tc>
          <w:tcPr>
            <w:tcW w:w="908" w:type="pct"/>
            <w:tcBorders>
              <w:top w:val="single" w:sz="4" w:space="0" w:color="auto"/>
              <w:bottom w:val="single" w:sz="4" w:space="0" w:color="auto"/>
            </w:tcBorders>
            <w:vAlign w:val="bottom"/>
          </w:tcPr>
          <w:p w14:paraId="21F66EC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1183</w:t>
            </w:r>
          </w:p>
        </w:tc>
      </w:tr>
      <w:tr w:rsidR="00196507" w:rsidRPr="009E2595" w14:paraId="2F431C96" w14:textId="77777777" w:rsidTr="005B61BB">
        <w:trPr>
          <w:cantSplit/>
        </w:trPr>
        <w:tc>
          <w:tcPr>
            <w:tcW w:w="1365" w:type="pct"/>
            <w:tcBorders>
              <w:top w:val="single" w:sz="4" w:space="0" w:color="auto"/>
              <w:bottom w:val="single" w:sz="4" w:space="0" w:color="auto"/>
            </w:tcBorders>
          </w:tcPr>
          <w:p w14:paraId="57D596BE" w14:textId="77777777" w:rsidR="00196507" w:rsidRPr="00616B26" w:rsidRDefault="00196507" w:rsidP="00196507">
            <w:pPr>
              <w:pStyle w:val="Tabletext"/>
              <w:rPr>
                <w:snapToGrid w:val="0"/>
              </w:rPr>
            </w:pPr>
            <w:r w:rsidRPr="00616B26">
              <w:rPr>
                <w:snapToGrid w:val="0"/>
              </w:rPr>
              <w:t>91</w:t>
            </w:r>
          </w:p>
        </w:tc>
        <w:tc>
          <w:tcPr>
            <w:tcW w:w="909" w:type="pct"/>
            <w:tcBorders>
              <w:top w:val="single" w:sz="4" w:space="0" w:color="auto"/>
              <w:bottom w:val="single" w:sz="4" w:space="0" w:color="auto"/>
            </w:tcBorders>
            <w:vAlign w:val="bottom"/>
          </w:tcPr>
          <w:p w14:paraId="3804E40B" w14:textId="77777777" w:rsidR="00196507" w:rsidRPr="00196507" w:rsidRDefault="00196507" w:rsidP="00196507">
            <w:pPr>
              <w:pStyle w:val="Tabletext"/>
              <w:rPr>
                <w:snapToGrid w:val="0"/>
                <w:color w:val="000000" w:themeColor="text1"/>
              </w:rPr>
            </w:pPr>
            <w:r w:rsidRPr="00196507">
              <w:rPr>
                <w:color w:val="000000" w:themeColor="text1"/>
              </w:rPr>
              <w:t>4</w:t>
            </w:r>
            <w:r w:rsidR="00D7157D">
              <w:rPr>
                <w:color w:val="000000" w:themeColor="text1"/>
              </w:rPr>
              <w:t>.</w:t>
            </w:r>
            <w:r w:rsidRPr="00196507">
              <w:rPr>
                <w:color w:val="000000" w:themeColor="text1"/>
              </w:rPr>
              <w:t>1276</w:t>
            </w:r>
          </w:p>
        </w:tc>
        <w:tc>
          <w:tcPr>
            <w:tcW w:w="909" w:type="pct"/>
            <w:tcBorders>
              <w:top w:val="single" w:sz="4" w:space="0" w:color="auto"/>
              <w:bottom w:val="single" w:sz="4" w:space="0" w:color="auto"/>
            </w:tcBorders>
            <w:vAlign w:val="bottom"/>
          </w:tcPr>
          <w:p w14:paraId="2EAD5ED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4153</w:t>
            </w:r>
          </w:p>
        </w:tc>
        <w:tc>
          <w:tcPr>
            <w:tcW w:w="909" w:type="pct"/>
            <w:tcBorders>
              <w:top w:val="single" w:sz="4" w:space="0" w:color="auto"/>
              <w:bottom w:val="single" w:sz="4" w:space="0" w:color="auto"/>
            </w:tcBorders>
            <w:vAlign w:val="bottom"/>
          </w:tcPr>
          <w:p w14:paraId="4C1C9767" w14:textId="77777777" w:rsidR="00196507" w:rsidRPr="00196507" w:rsidRDefault="00196507" w:rsidP="00196507">
            <w:pPr>
              <w:pStyle w:val="Tabletext"/>
              <w:rPr>
                <w:snapToGrid w:val="0"/>
                <w:color w:val="000000" w:themeColor="text1"/>
              </w:rPr>
            </w:pPr>
            <w:r w:rsidRPr="00196507">
              <w:rPr>
                <w:color w:val="000000" w:themeColor="text1"/>
              </w:rPr>
              <w:t>4</w:t>
            </w:r>
            <w:r w:rsidR="00D7157D">
              <w:rPr>
                <w:color w:val="000000" w:themeColor="text1"/>
              </w:rPr>
              <w:t>.</w:t>
            </w:r>
            <w:r w:rsidRPr="00196507">
              <w:rPr>
                <w:color w:val="000000" w:themeColor="text1"/>
              </w:rPr>
              <w:t>8446</w:t>
            </w:r>
          </w:p>
        </w:tc>
        <w:tc>
          <w:tcPr>
            <w:tcW w:w="908" w:type="pct"/>
            <w:tcBorders>
              <w:top w:val="single" w:sz="4" w:space="0" w:color="auto"/>
              <w:bottom w:val="single" w:sz="4" w:space="0" w:color="auto"/>
            </w:tcBorders>
            <w:vAlign w:val="bottom"/>
          </w:tcPr>
          <w:p w14:paraId="7FE92BD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1145</w:t>
            </w:r>
          </w:p>
        </w:tc>
      </w:tr>
      <w:tr w:rsidR="00196507" w:rsidRPr="009E2595" w14:paraId="62D60108" w14:textId="77777777" w:rsidTr="005B61BB">
        <w:trPr>
          <w:cantSplit/>
        </w:trPr>
        <w:tc>
          <w:tcPr>
            <w:tcW w:w="1365" w:type="pct"/>
            <w:tcBorders>
              <w:top w:val="single" w:sz="4" w:space="0" w:color="auto"/>
              <w:bottom w:val="single" w:sz="4" w:space="0" w:color="auto"/>
            </w:tcBorders>
          </w:tcPr>
          <w:p w14:paraId="3CAC85BA" w14:textId="77777777" w:rsidR="00196507" w:rsidRPr="00616B26" w:rsidRDefault="00196507" w:rsidP="00196507">
            <w:pPr>
              <w:pStyle w:val="Tabletext"/>
              <w:rPr>
                <w:snapToGrid w:val="0"/>
              </w:rPr>
            </w:pPr>
            <w:r w:rsidRPr="00616B26">
              <w:rPr>
                <w:snapToGrid w:val="0"/>
              </w:rPr>
              <w:t>92</w:t>
            </w:r>
          </w:p>
        </w:tc>
        <w:tc>
          <w:tcPr>
            <w:tcW w:w="909" w:type="pct"/>
            <w:tcBorders>
              <w:top w:val="single" w:sz="4" w:space="0" w:color="auto"/>
              <w:bottom w:val="single" w:sz="4" w:space="0" w:color="auto"/>
            </w:tcBorders>
            <w:vAlign w:val="bottom"/>
          </w:tcPr>
          <w:p w14:paraId="4193053D"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8409</w:t>
            </w:r>
          </w:p>
        </w:tc>
        <w:tc>
          <w:tcPr>
            <w:tcW w:w="909" w:type="pct"/>
            <w:tcBorders>
              <w:top w:val="single" w:sz="4" w:space="0" w:color="auto"/>
              <w:bottom w:val="single" w:sz="4" w:space="0" w:color="auto"/>
            </w:tcBorders>
            <w:vAlign w:val="bottom"/>
          </w:tcPr>
          <w:p w14:paraId="403CD8B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3954</w:t>
            </w:r>
          </w:p>
        </w:tc>
        <w:tc>
          <w:tcPr>
            <w:tcW w:w="909" w:type="pct"/>
            <w:tcBorders>
              <w:top w:val="single" w:sz="4" w:space="0" w:color="auto"/>
              <w:bottom w:val="single" w:sz="4" w:space="0" w:color="auto"/>
            </w:tcBorders>
            <w:vAlign w:val="bottom"/>
          </w:tcPr>
          <w:p w14:paraId="7953B3DB" w14:textId="77777777" w:rsidR="00196507" w:rsidRPr="00196507" w:rsidRDefault="00196507" w:rsidP="00196507">
            <w:pPr>
              <w:pStyle w:val="Tabletext"/>
              <w:rPr>
                <w:snapToGrid w:val="0"/>
                <w:color w:val="000000" w:themeColor="text1"/>
              </w:rPr>
            </w:pPr>
            <w:r w:rsidRPr="00196507">
              <w:rPr>
                <w:color w:val="000000" w:themeColor="text1"/>
              </w:rPr>
              <w:t>4</w:t>
            </w:r>
            <w:r w:rsidR="00D7157D">
              <w:rPr>
                <w:color w:val="000000" w:themeColor="text1"/>
              </w:rPr>
              <w:t>.</w:t>
            </w:r>
            <w:r w:rsidRPr="00196507">
              <w:rPr>
                <w:color w:val="000000" w:themeColor="text1"/>
              </w:rPr>
              <w:t>5186</w:t>
            </w:r>
          </w:p>
        </w:tc>
        <w:tc>
          <w:tcPr>
            <w:tcW w:w="908" w:type="pct"/>
            <w:tcBorders>
              <w:top w:val="single" w:sz="4" w:space="0" w:color="auto"/>
              <w:bottom w:val="single" w:sz="4" w:space="0" w:color="auto"/>
            </w:tcBorders>
            <w:vAlign w:val="bottom"/>
          </w:tcPr>
          <w:p w14:paraId="1B27D9A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1106</w:t>
            </w:r>
          </w:p>
        </w:tc>
      </w:tr>
      <w:tr w:rsidR="00196507" w:rsidRPr="009E2595" w14:paraId="7C69FDA1" w14:textId="77777777" w:rsidTr="005B61BB">
        <w:trPr>
          <w:cantSplit/>
        </w:trPr>
        <w:tc>
          <w:tcPr>
            <w:tcW w:w="1365" w:type="pct"/>
            <w:tcBorders>
              <w:top w:val="single" w:sz="4" w:space="0" w:color="auto"/>
              <w:bottom w:val="single" w:sz="4" w:space="0" w:color="auto"/>
            </w:tcBorders>
          </w:tcPr>
          <w:p w14:paraId="46F28B8A" w14:textId="77777777" w:rsidR="00196507" w:rsidRPr="00616B26" w:rsidRDefault="00196507" w:rsidP="00196507">
            <w:pPr>
              <w:pStyle w:val="Tabletext"/>
              <w:rPr>
                <w:snapToGrid w:val="0"/>
              </w:rPr>
            </w:pPr>
            <w:r w:rsidRPr="00616B26">
              <w:rPr>
                <w:snapToGrid w:val="0"/>
              </w:rPr>
              <w:t>93</w:t>
            </w:r>
          </w:p>
        </w:tc>
        <w:tc>
          <w:tcPr>
            <w:tcW w:w="909" w:type="pct"/>
            <w:tcBorders>
              <w:top w:val="single" w:sz="4" w:space="0" w:color="auto"/>
              <w:bottom w:val="single" w:sz="4" w:space="0" w:color="auto"/>
            </w:tcBorders>
            <w:vAlign w:val="bottom"/>
          </w:tcPr>
          <w:p w14:paraId="61DFFBBB"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5935</w:t>
            </w:r>
          </w:p>
        </w:tc>
        <w:tc>
          <w:tcPr>
            <w:tcW w:w="909" w:type="pct"/>
            <w:tcBorders>
              <w:top w:val="single" w:sz="4" w:space="0" w:color="auto"/>
              <w:bottom w:val="single" w:sz="4" w:space="0" w:color="auto"/>
            </w:tcBorders>
            <w:vAlign w:val="bottom"/>
          </w:tcPr>
          <w:p w14:paraId="68C9238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3750</w:t>
            </w:r>
          </w:p>
        </w:tc>
        <w:tc>
          <w:tcPr>
            <w:tcW w:w="909" w:type="pct"/>
            <w:tcBorders>
              <w:top w:val="single" w:sz="4" w:space="0" w:color="auto"/>
              <w:bottom w:val="single" w:sz="4" w:space="0" w:color="auto"/>
            </w:tcBorders>
            <w:vAlign w:val="bottom"/>
          </w:tcPr>
          <w:p w14:paraId="0764CFC8" w14:textId="77777777" w:rsidR="00196507" w:rsidRPr="00196507" w:rsidRDefault="00196507" w:rsidP="00196507">
            <w:pPr>
              <w:pStyle w:val="Tabletext"/>
              <w:rPr>
                <w:snapToGrid w:val="0"/>
                <w:color w:val="000000" w:themeColor="text1"/>
              </w:rPr>
            </w:pPr>
            <w:r w:rsidRPr="00196507">
              <w:rPr>
                <w:color w:val="000000" w:themeColor="text1"/>
              </w:rPr>
              <w:t>4</w:t>
            </w:r>
            <w:r w:rsidR="00D7157D">
              <w:rPr>
                <w:color w:val="000000" w:themeColor="text1"/>
              </w:rPr>
              <w:t>.</w:t>
            </w:r>
            <w:r w:rsidRPr="00196507">
              <w:rPr>
                <w:color w:val="000000" w:themeColor="text1"/>
              </w:rPr>
              <w:t>2036</w:t>
            </w:r>
          </w:p>
        </w:tc>
        <w:tc>
          <w:tcPr>
            <w:tcW w:w="908" w:type="pct"/>
            <w:tcBorders>
              <w:top w:val="single" w:sz="4" w:space="0" w:color="auto"/>
              <w:bottom w:val="single" w:sz="4" w:space="0" w:color="auto"/>
            </w:tcBorders>
            <w:vAlign w:val="bottom"/>
          </w:tcPr>
          <w:p w14:paraId="4183E80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1068</w:t>
            </w:r>
          </w:p>
        </w:tc>
      </w:tr>
      <w:tr w:rsidR="00196507" w:rsidRPr="009E2595" w14:paraId="52E65B0B" w14:textId="77777777" w:rsidTr="005B61BB">
        <w:trPr>
          <w:cantSplit/>
        </w:trPr>
        <w:tc>
          <w:tcPr>
            <w:tcW w:w="1365" w:type="pct"/>
            <w:tcBorders>
              <w:top w:val="single" w:sz="4" w:space="0" w:color="auto"/>
              <w:bottom w:val="single" w:sz="4" w:space="0" w:color="auto"/>
            </w:tcBorders>
          </w:tcPr>
          <w:p w14:paraId="09341190" w14:textId="77777777" w:rsidR="00196507" w:rsidRPr="00616B26" w:rsidRDefault="00196507" w:rsidP="00196507">
            <w:pPr>
              <w:pStyle w:val="Tabletext"/>
              <w:rPr>
                <w:snapToGrid w:val="0"/>
              </w:rPr>
            </w:pPr>
            <w:r w:rsidRPr="00616B26">
              <w:rPr>
                <w:snapToGrid w:val="0"/>
              </w:rPr>
              <w:t>94</w:t>
            </w:r>
          </w:p>
        </w:tc>
        <w:tc>
          <w:tcPr>
            <w:tcW w:w="909" w:type="pct"/>
            <w:tcBorders>
              <w:top w:val="single" w:sz="4" w:space="0" w:color="auto"/>
              <w:bottom w:val="single" w:sz="4" w:space="0" w:color="auto"/>
            </w:tcBorders>
            <w:vAlign w:val="bottom"/>
          </w:tcPr>
          <w:p w14:paraId="2D926F65"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3861</w:t>
            </w:r>
          </w:p>
        </w:tc>
        <w:tc>
          <w:tcPr>
            <w:tcW w:w="909" w:type="pct"/>
            <w:tcBorders>
              <w:top w:val="single" w:sz="4" w:space="0" w:color="auto"/>
              <w:bottom w:val="single" w:sz="4" w:space="0" w:color="auto"/>
            </w:tcBorders>
            <w:vAlign w:val="bottom"/>
          </w:tcPr>
          <w:p w14:paraId="65C8445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3539</w:t>
            </w:r>
          </w:p>
        </w:tc>
        <w:tc>
          <w:tcPr>
            <w:tcW w:w="909" w:type="pct"/>
            <w:tcBorders>
              <w:top w:val="single" w:sz="4" w:space="0" w:color="auto"/>
              <w:bottom w:val="single" w:sz="4" w:space="0" w:color="auto"/>
            </w:tcBorders>
            <w:vAlign w:val="bottom"/>
          </w:tcPr>
          <w:p w14:paraId="4EF39959"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9012</w:t>
            </w:r>
          </w:p>
        </w:tc>
        <w:tc>
          <w:tcPr>
            <w:tcW w:w="908" w:type="pct"/>
            <w:tcBorders>
              <w:top w:val="single" w:sz="4" w:space="0" w:color="auto"/>
              <w:bottom w:val="single" w:sz="4" w:space="0" w:color="auto"/>
            </w:tcBorders>
            <w:vAlign w:val="bottom"/>
          </w:tcPr>
          <w:p w14:paraId="724EC4F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1029</w:t>
            </w:r>
          </w:p>
        </w:tc>
      </w:tr>
      <w:tr w:rsidR="00196507" w:rsidRPr="009E2595" w14:paraId="12762A28" w14:textId="77777777" w:rsidTr="005B61BB">
        <w:trPr>
          <w:cantSplit/>
        </w:trPr>
        <w:tc>
          <w:tcPr>
            <w:tcW w:w="1365" w:type="pct"/>
            <w:tcBorders>
              <w:top w:val="single" w:sz="4" w:space="0" w:color="auto"/>
              <w:bottom w:val="single" w:sz="4" w:space="0" w:color="auto"/>
            </w:tcBorders>
          </w:tcPr>
          <w:p w14:paraId="6A3F9AD2" w14:textId="77777777" w:rsidR="00196507" w:rsidRPr="00616B26" w:rsidRDefault="00196507" w:rsidP="00196507">
            <w:pPr>
              <w:pStyle w:val="Tabletext"/>
              <w:rPr>
                <w:snapToGrid w:val="0"/>
              </w:rPr>
            </w:pPr>
            <w:r w:rsidRPr="00616B26">
              <w:rPr>
                <w:snapToGrid w:val="0"/>
              </w:rPr>
              <w:t>95</w:t>
            </w:r>
          </w:p>
        </w:tc>
        <w:tc>
          <w:tcPr>
            <w:tcW w:w="909" w:type="pct"/>
            <w:tcBorders>
              <w:top w:val="single" w:sz="4" w:space="0" w:color="auto"/>
              <w:bottom w:val="single" w:sz="4" w:space="0" w:color="auto"/>
            </w:tcBorders>
            <w:vAlign w:val="bottom"/>
          </w:tcPr>
          <w:p w14:paraId="252364B9"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1940</w:t>
            </w:r>
          </w:p>
        </w:tc>
        <w:tc>
          <w:tcPr>
            <w:tcW w:w="909" w:type="pct"/>
            <w:tcBorders>
              <w:top w:val="single" w:sz="4" w:space="0" w:color="auto"/>
              <w:bottom w:val="single" w:sz="4" w:space="0" w:color="auto"/>
            </w:tcBorders>
            <w:vAlign w:val="bottom"/>
          </w:tcPr>
          <w:p w14:paraId="59DBDF6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3329</w:t>
            </w:r>
          </w:p>
        </w:tc>
        <w:tc>
          <w:tcPr>
            <w:tcW w:w="909" w:type="pct"/>
            <w:tcBorders>
              <w:top w:val="single" w:sz="4" w:space="0" w:color="auto"/>
              <w:bottom w:val="single" w:sz="4" w:space="0" w:color="auto"/>
            </w:tcBorders>
            <w:vAlign w:val="bottom"/>
          </w:tcPr>
          <w:p w14:paraId="63165638"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6224</w:t>
            </w:r>
          </w:p>
        </w:tc>
        <w:tc>
          <w:tcPr>
            <w:tcW w:w="908" w:type="pct"/>
            <w:tcBorders>
              <w:top w:val="single" w:sz="4" w:space="0" w:color="auto"/>
              <w:bottom w:val="single" w:sz="4" w:space="0" w:color="auto"/>
            </w:tcBorders>
            <w:vAlign w:val="bottom"/>
          </w:tcPr>
          <w:p w14:paraId="6AF6A07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0989</w:t>
            </w:r>
          </w:p>
        </w:tc>
      </w:tr>
      <w:tr w:rsidR="00196507" w:rsidRPr="009E2595" w14:paraId="496A52DB" w14:textId="77777777" w:rsidTr="005B61BB">
        <w:trPr>
          <w:cantSplit/>
        </w:trPr>
        <w:tc>
          <w:tcPr>
            <w:tcW w:w="1365" w:type="pct"/>
            <w:tcBorders>
              <w:top w:val="single" w:sz="4" w:space="0" w:color="auto"/>
              <w:bottom w:val="single" w:sz="4" w:space="0" w:color="auto"/>
            </w:tcBorders>
          </w:tcPr>
          <w:p w14:paraId="5A3BF401" w14:textId="77777777" w:rsidR="00196507" w:rsidRPr="00616B26" w:rsidRDefault="00196507" w:rsidP="00196507">
            <w:pPr>
              <w:pStyle w:val="Tabletext"/>
              <w:rPr>
                <w:snapToGrid w:val="0"/>
              </w:rPr>
            </w:pPr>
            <w:r w:rsidRPr="00616B26">
              <w:rPr>
                <w:snapToGrid w:val="0"/>
              </w:rPr>
              <w:t>96</w:t>
            </w:r>
          </w:p>
        </w:tc>
        <w:tc>
          <w:tcPr>
            <w:tcW w:w="909" w:type="pct"/>
            <w:tcBorders>
              <w:top w:val="single" w:sz="4" w:space="0" w:color="auto"/>
              <w:bottom w:val="single" w:sz="4" w:space="0" w:color="auto"/>
            </w:tcBorders>
            <w:vAlign w:val="bottom"/>
          </w:tcPr>
          <w:p w14:paraId="490CC266"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0157</w:t>
            </w:r>
          </w:p>
        </w:tc>
        <w:tc>
          <w:tcPr>
            <w:tcW w:w="909" w:type="pct"/>
            <w:tcBorders>
              <w:top w:val="single" w:sz="4" w:space="0" w:color="auto"/>
              <w:bottom w:val="single" w:sz="4" w:space="0" w:color="auto"/>
            </w:tcBorders>
            <w:vAlign w:val="bottom"/>
          </w:tcPr>
          <w:p w14:paraId="098A9C7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3120</w:t>
            </w:r>
          </w:p>
        </w:tc>
        <w:tc>
          <w:tcPr>
            <w:tcW w:w="909" w:type="pct"/>
            <w:tcBorders>
              <w:top w:val="single" w:sz="4" w:space="0" w:color="auto"/>
              <w:bottom w:val="single" w:sz="4" w:space="0" w:color="auto"/>
            </w:tcBorders>
            <w:vAlign w:val="bottom"/>
          </w:tcPr>
          <w:p w14:paraId="25A08FA4"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3570</w:t>
            </w:r>
          </w:p>
        </w:tc>
        <w:tc>
          <w:tcPr>
            <w:tcW w:w="908" w:type="pct"/>
            <w:tcBorders>
              <w:top w:val="single" w:sz="4" w:space="0" w:color="auto"/>
              <w:bottom w:val="single" w:sz="4" w:space="0" w:color="auto"/>
            </w:tcBorders>
            <w:vAlign w:val="bottom"/>
          </w:tcPr>
          <w:p w14:paraId="1BB3525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0949</w:t>
            </w:r>
          </w:p>
        </w:tc>
      </w:tr>
      <w:tr w:rsidR="00196507" w:rsidRPr="009E2595" w14:paraId="33651DA4" w14:textId="77777777" w:rsidTr="005B61BB">
        <w:trPr>
          <w:cantSplit/>
        </w:trPr>
        <w:tc>
          <w:tcPr>
            <w:tcW w:w="1365" w:type="pct"/>
            <w:tcBorders>
              <w:top w:val="single" w:sz="4" w:space="0" w:color="auto"/>
              <w:bottom w:val="single" w:sz="4" w:space="0" w:color="auto"/>
            </w:tcBorders>
          </w:tcPr>
          <w:p w14:paraId="0EF97C72" w14:textId="77777777" w:rsidR="00196507" w:rsidRPr="00616B26" w:rsidRDefault="00196507" w:rsidP="00196507">
            <w:pPr>
              <w:pStyle w:val="Tabletext"/>
              <w:rPr>
                <w:snapToGrid w:val="0"/>
              </w:rPr>
            </w:pPr>
            <w:r w:rsidRPr="00616B26">
              <w:rPr>
                <w:snapToGrid w:val="0"/>
              </w:rPr>
              <w:t>97</w:t>
            </w:r>
          </w:p>
        </w:tc>
        <w:tc>
          <w:tcPr>
            <w:tcW w:w="909" w:type="pct"/>
            <w:tcBorders>
              <w:top w:val="single" w:sz="4" w:space="0" w:color="auto"/>
              <w:bottom w:val="single" w:sz="4" w:space="0" w:color="auto"/>
            </w:tcBorders>
            <w:vAlign w:val="bottom"/>
          </w:tcPr>
          <w:p w14:paraId="1427CF93"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8501</w:t>
            </w:r>
          </w:p>
        </w:tc>
        <w:tc>
          <w:tcPr>
            <w:tcW w:w="909" w:type="pct"/>
            <w:tcBorders>
              <w:top w:val="single" w:sz="4" w:space="0" w:color="auto"/>
              <w:bottom w:val="single" w:sz="4" w:space="0" w:color="auto"/>
            </w:tcBorders>
            <w:vAlign w:val="bottom"/>
          </w:tcPr>
          <w:p w14:paraId="5652E9A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2912</w:t>
            </w:r>
          </w:p>
        </w:tc>
        <w:tc>
          <w:tcPr>
            <w:tcW w:w="909" w:type="pct"/>
            <w:tcBorders>
              <w:top w:val="single" w:sz="4" w:space="0" w:color="auto"/>
              <w:bottom w:val="single" w:sz="4" w:space="0" w:color="auto"/>
            </w:tcBorders>
            <w:vAlign w:val="bottom"/>
          </w:tcPr>
          <w:p w14:paraId="45DBA9A7" w14:textId="77777777" w:rsidR="00196507" w:rsidRPr="00196507" w:rsidRDefault="00196507" w:rsidP="00196507">
            <w:pPr>
              <w:pStyle w:val="Tabletext"/>
              <w:rPr>
                <w:snapToGrid w:val="0"/>
                <w:color w:val="000000" w:themeColor="text1"/>
              </w:rPr>
            </w:pPr>
            <w:r w:rsidRPr="00196507">
              <w:rPr>
                <w:color w:val="000000" w:themeColor="text1"/>
              </w:rPr>
              <w:t>3</w:t>
            </w:r>
            <w:r w:rsidR="00D7157D">
              <w:rPr>
                <w:color w:val="000000" w:themeColor="text1"/>
              </w:rPr>
              <w:t>.</w:t>
            </w:r>
            <w:r w:rsidRPr="00196507">
              <w:rPr>
                <w:color w:val="000000" w:themeColor="text1"/>
              </w:rPr>
              <w:t>1001</w:t>
            </w:r>
          </w:p>
        </w:tc>
        <w:tc>
          <w:tcPr>
            <w:tcW w:w="908" w:type="pct"/>
            <w:tcBorders>
              <w:top w:val="single" w:sz="4" w:space="0" w:color="auto"/>
              <w:bottom w:val="single" w:sz="4" w:space="0" w:color="auto"/>
            </w:tcBorders>
            <w:vAlign w:val="bottom"/>
          </w:tcPr>
          <w:p w14:paraId="170845A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0908</w:t>
            </w:r>
          </w:p>
        </w:tc>
      </w:tr>
      <w:tr w:rsidR="00196507" w:rsidRPr="009E2595" w14:paraId="743058EA" w14:textId="77777777" w:rsidTr="005B61BB">
        <w:trPr>
          <w:cantSplit/>
        </w:trPr>
        <w:tc>
          <w:tcPr>
            <w:tcW w:w="1365" w:type="pct"/>
            <w:tcBorders>
              <w:top w:val="single" w:sz="4" w:space="0" w:color="auto"/>
              <w:bottom w:val="single" w:sz="4" w:space="0" w:color="auto"/>
            </w:tcBorders>
          </w:tcPr>
          <w:p w14:paraId="492EEDBA" w14:textId="77777777" w:rsidR="00196507" w:rsidRPr="00616B26" w:rsidRDefault="00196507" w:rsidP="00196507">
            <w:pPr>
              <w:pStyle w:val="Tabletext"/>
              <w:rPr>
                <w:snapToGrid w:val="0"/>
              </w:rPr>
            </w:pPr>
            <w:r w:rsidRPr="00616B26">
              <w:rPr>
                <w:snapToGrid w:val="0"/>
              </w:rPr>
              <w:t>98</w:t>
            </w:r>
          </w:p>
        </w:tc>
        <w:tc>
          <w:tcPr>
            <w:tcW w:w="909" w:type="pct"/>
            <w:tcBorders>
              <w:top w:val="single" w:sz="4" w:space="0" w:color="auto"/>
              <w:bottom w:val="single" w:sz="4" w:space="0" w:color="auto"/>
            </w:tcBorders>
            <w:vAlign w:val="bottom"/>
          </w:tcPr>
          <w:p w14:paraId="2862C78C"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6961</w:t>
            </w:r>
          </w:p>
        </w:tc>
        <w:tc>
          <w:tcPr>
            <w:tcW w:w="909" w:type="pct"/>
            <w:tcBorders>
              <w:top w:val="single" w:sz="4" w:space="0" w:color="auto"/>
              <w:bottom w:val="single" w:sz="4" w:space="0" w:color="auto"/>
            </w:tcBorders>
            <w:vAlign w:val="bottom"/>
          </w:tcPr>
          <w:p w14:paraId="708E0A9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2704</w:t>
            </w:r>
          </w:p>
        </w:tc>
        <w:tc>
          <w:tcPr>
            <w:tcW w:w="909" w:type="pct"/>
            <w:tcBorders>
              <w:top w:val="single" w:sz="4" w:space="0" w:color="auto"/>
              <w:bottom w:val="single" w:sz="4" w:space="0" w:color="auto"/>
            </w:tcBorders>
            <w:vAlign w:val="bottom"/>
          </w:tcPr>
          <w:p w14:paraId="14384C2C"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8546</w:t>
            </w:r>
          </w:p>
        </w:tc>
        <w:tc>
          <w:tcPr>
            <w:tcW w:w="908" w:type="pct"/>
            <w:tcBorders>
              <w:top w:val="single" w:sz="4" w:space="0" w:color="auto"/>
              <w:bottom w:val="single" w:sz="4" w:space="0" w:color="auto"/>
            </w:tcBorders>
            <w:vAlign w:val="bottom"/>
          </w:tcPr>
          <w:p w14:paraId="4ECEF24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0866</w:t>
            </w:r>
          </w:p>
        </w:tc>
      </w:tr>
      <w:tr w:rsidR="00196507" w:rsidRPr="009E2595" w14:paraId="0E150096" w14:textId="77777777" w:rsidTr="005B61BB">
        <w:trPr>
          <w:cantSplit/>
        </w:trPr>
        <w:tc>
          <w:tcPr>
            <w:tcW w:w="1365" w:type="pct"/>
            <w:tcBorders>
              <w:top w:val="single" w:sz="4" w:space="0" w:color="auto"/>
              <w:bottom w:val="single" w:sz="12" w:space="0" w:color="auto"/>
            </w:tcBorders>
          </w:tcPr>
          <w:p w14:paraId="7DCFF6C6" w14:textId="77777777" w:rsidR="00196507" w:rsidRPr="00616B26" w:rsidRDefault="00196507" w:rsidP="00196507">
            <w:pPr>
              <w:pStyle w:val="Tabletext"/>
              <w:rPr>
                <w:snapToGrid w:val="0"/>
              </w:rPr>
            </w:pPr>
            <w:r>
              <w:rPr>
                <w:snapToGrid w:val="0"/>
              </w:rPr>
              <w:t>99 and over</w:t>
            </w:r>
          </w:p>
        </w:tc>
        <w:tc>
          <w:tcPr>
            <w:tcW w:w="909" w:type="pct"/>
            <w:tcBorders>
              <w:top w:val="single" w:sz="4" w:space="0" w:color="auto"/>
              <w:bottom w:val="single" w:sz="12" w:space="0" w:color="auto"/>
            </w:tcBorders>
            <w:vAlign w:val="bottom"/>
          </w:tcPr>
          <w:p w14:paraId="2E3B0E2E"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5526</w:t>
            </w:r>
          </w:p>
        </w:tc>
        <w:tc>
          <w:tcPr>
            <w:tcW w:w="909" w:type="pct"/>
            <w:tcBorders>
              <w:top w:val="single" w:sz="4" w:space="0" w:color="auto"/>
              <w:bottom w:val="single" w:sz="12" w:space="0" w:color="auto"/>
            </w:tcBorders>
            <w:vAlign w:val="bottom"/>
          </w:tcPr>
          <w:p w14:paraId="2A9BC51E"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2493</w:t>
            </w:r>
          </w:p>
        </w:tc>
        <w:tc>
          <w:tcPr>
            <w:tcW w:w="909" w:type="pct"/>
            <w:tcBorders>
              <w:top w:val="single" w:sz="4" w:space="0" w:color="auto"/>
              <w:bottom w:val="single" w:sz="12" w:space="0" w:color="auto"/>
            </w:tcBorders>
            <w:vAlign w:val="bottom"/>
          </w:tcPr>
          <w:p w14:paraId="34E5D189" w14:textId="77777777" w:rsidR="00196507" w:rsidRPr="00196507" w:rsidRDefault="00196507" w:rsidP="00196507">
            <w:pPr>
              <w:pStyle w:val="Tabletext"/>
              <w:rPr>
                <w:snapToGrid w:val="0"/>
                <w:color w:val="000000" w:themeColor="text1"/>
              </w:rPr>
            </w:pPr>
            <w:r w:rsidRPr="00196507">
              <w:rPr>
                <w:color w:val="000000" w:themeColor="text1"/>
              </w:rPr>
              <w:t>2</w:t>
            </w:r>
            <w:r w:rsidR="00D7157D">
              <w:rPr>
                <w:color w:val="000000" w:themeColor="text1"/>
              </w:rPr>
              <w:t>.</w:t>
            </w:r>
            <w:r w:rsidRPr="00196507">
              <w:rPr>
                <w:color w:val="000000" w:themeColor="text1"/>
              </w:rPr>
              <w:t>6143</w:t>
            </w:r>
          </w:p>
        </w:tc>
        <w:tc>
          <w:tcPr>
            <w:tcW w:w="908" w:type="pct"/>
            <w:tcBorders>
              <w:top w:val="single" w:sz="4" w:space="0" w:color="auto"/>
              <w:bottom w:val="single" w:sz="12" w:space="0" w:color="auto"/>
            </w:tcBorders>
            <w:vAlign w:val="bottom"/>
          </w:tcPr>
          <w:p w14:paraId="6FA4531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0822</w:t>
            </w:r>
          </w:p>
        </w:tc>
      </w:tr>
    </w:tbl>
    <w:p w14:paraId="56C442F2" w14:textId="77777777" w:rsidR="00C217FF" w:rsidRPr="00A058B6" w:rsidRDefault="0022507A" w:rsidP="00C217FF">
      <w:pPr>
        <w:pStyle w:val="ActHead5"/>
      </w:pPr>
      <w:bookmarkStart w:id="311" w:name="_Toc188350788"/>
      <w:r w:rsidRPr="00423C34">
        <w:rPr>
          <w:rStyle w:val="CharSectno"/>
        </w:rPr>
        <w:t>11</w:t>
      </w:r>
      <w:r w:rsidR="00C217FF" w:rsidRPr="00A058B6">
        <w:t xml:space="preserve">  Valuation factors—pension</w:t>
      </w:r>
      <w:r w:rsidR="00C217FF">
        <w:t xml:space="preserve"> indexed at 4%</w:t>
      </w:r>
      <w:bookmarkEnd w:id="311"/>
    </w:p>
    <w:p w14:paraId="4249308E" w14:textId="77777777" w:rsidR="00C217FF" w:rsidRDefault="00C217FF" w:rsidP="00C217FF">
      <w:pPr>
        <w:pStyle w:val="subsection"/>
      </w:pPr>
      <w:r w:rsidRPr="00A058B6">
        <w:tab/>
      </w:r>
      <w:r w:rsidRPr="00A058B6">
        <w:tab/>
        <w:t xml:space="preserve">The pension valuation factors and reversion valuation factors set out in this clause apply if the pension is indexed </w:t>
      </w:r>
      <w:r>
        <w:t>at 4%</w:t>
      </w:r>
      <w:r w:rsidR="00D7157D">
        <w:t>.</w:t>
      </w:r>
    </w:p>
    <w:p w14:paraId="0CD88DFB" w14:textId="77777777" w:rsidR="00C217FF" w:rsidRPr="00A058B6" w:rsidRDefault="00C217FF" w:rsidP="00C217FF">
      <w:pPr>
        <w:pStyle w:val="Tabletext"/>
      </w:pPr>
    </w:p>
    <w:tbl>
      <w:tblPr>
        <w:tblW w:w="5000" w:type="pct"/>
        <w:tblLook w:val="0000" w:firstRow="0" w:lastRow="0" w:firstColumn="0" w:lastColumn="0" w:noHBand="0" w:noVBand="0"/>
      </w:tblPr>
      <w:tblGrid>
        <w:gridCol w:w="1889"/>
        <w:gridCol w:w="1606"/>
        <w:gridCol w:w="1606"/>
        <w:gridCol w:w="1606"/>
        <w:gridCol w:w="1606"/>
      </w:tblGrid>
      <w:tr w:rsidR="00C217FF" w:rsidRPr="00A058B6" w14:paraId="2925D17A" w14:textId="77777777" w:rsidTr="00F36942">
        <w:trPr>
          <w:cantSplit/>
          <w:trHeight w:val="152"/>
          <w:tblHeader/>
        </w:trPr>
        <w:tc>
          <w:tcPr>
            <w:tcW w:w="1136" w:type="pct"/>
            <w:vMerge w:val="restart"/>
            <w:tcBorders>
              <w:top w:val="single" w:sz="12" w:space="0" w:color="auto"/>
              <w:bottom w:val="single" w:sz="12" w:space="0" w:color="auto"/>
            </w:tcBorders>
          </w:tcPr>
          <w:p w14:paraId="6ACB9A37" w14:textId="77777777" w:rsidR="00C217FF" w:rsidRPr="00A058B6" w:rsidRDefault="00C217FF" w:rsidP="00F36942">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1FE82D7D" w14:textId="77777777" w:rsidR="00C217FF" w:rsidRPr="00A058B6" w:rsidRDefault="00C217FF" w:rsidP="00F36942">
            <w:pPr>
              <w:pStyle w:val="TableHeading"/>
            </w:pPr>
            <w:r w:rsidRPr="00A058B6">
              <w:t>Valuation factors—pension</w:t>
            </w:r>
            <w:r>
              <w:t xml:space="preserve"> indexed at 4%</w:t>
            </w:r>
          </w:p>
        </w:tc>
      </w:tr>
      <w:tr w:rsidR="00C217FF" w:rsidRPr="00A058B6" w14:paraId="71E48340" w14:textId="77777777" w:rsidTr="00F36942">
        <w:trPr>
          <w:cantSplit/>
          <w:trHeight w:val="63"/>
          <w:tblHeader/>
        </w:trPr>
        <w:tc>
          <w:tcPr>
            <w:tcW w:w="1136" w:type="pct"/>
            <w:vMerge/>
            <w:tcBorders>
              <w:bottom w:val="single" w:sz="12" w:space="0" w:color="auto"/>
            </w:tcBorders>
          </w:tcPr>
          <w:p w14:paraId="2AE21096" w14:textId="77777777" w:rsidR="00C217FF" w:rsidRPr="00A058B6" w:rsidRDefault="00C217FF" w:rsidP="00F36942">
            <w:pPr>
              <w:pStyle w:val="TableHeading"/>
            </w:pPr>
          </w:p>
        </w:tc>
        <w:tc>
          <w:tcPr>
            <w:tcW w:w="1932" w:type="pct"/>
            <w:gridSpan w:val="2"/>
            <w:tcBorders>
              <w:top w:val="single" w:sz="4" w:space="0" w:color="auto"/>
              <w:bottom w:val="single" w:sz="4" w:space="0" w:color="auto"/>
            </w:tcBorders>
          </w:tcPr>
          <w:p w14:paraId="3DA3071C" w14:textId="77777777" w:rsidR="00C217FF" w:rsidRPr="00A058B6" w:rsidRDefault="00C217FF" w:rsidP="00F36942">
            <w:pPr>
              <w:pStyle w:val="TableHeading"/>
            </w:pPr>
            <w:r w:rsidRPr="00A058B6">
              <w:t>Males</w:t>
            </w:r>
          </w:p>
        </w:tc>
        <w:tc>
          <w:tcPr>
            <w:tcW w:w="1932" w:type="pct"/>
            <w:gridSpan w:val="2"/>
            <w:tcBorders>
              <w:top w:val="single" w:sz="4" w:space="0" w:color="auto"/>
              <w:bottom w:val="single" w:sz="4" w:space="0" w:color="auto"/>
            </w:tcBorders>
          </w:tcPr>
          <w:p w14:paraId="325494FD" w14:textId="77777777" w:rsidR="00C217FF" w:rsidRPr="00A058B6" w:rsidRDefault="00C217FF" w:rsidP="00F36942">
            <w:pPr>
              <w:pStyle w:val="TableHeading"/>
            </w:pPr>
            <w:r w:rsidRPr="00A058B6">
              <w:t>Females</w:t>
            </w:r>
          </w:p>
        </w:tc>
      </w:tr>
      <w:tr w:rsidR="00C217FF" w:rsidRPr="00A058B6" w14:paraId="3494EF78" w14:textId="77777777" w:rsidTr="00F36942">
        <w:trPr>
          <w:cantSplit/>
          <w:trHeight w:val="63"/>
          <w:tblHeader/>
        </w:trPr>
        <w:tc>
          <w:tcPr>
            <w:tcW w:w="1136" w:type="pct"/>
            <w:vMerge/>
            <w:tcBorders>
              <w:bottom w:val="single" w:sz="12" w:space="0" w:color="auto"/>
            </w:tcBorders>
          </w:tcPr>
          <w:p w14:paraId="668C2A2E" w14:textId="77777777" w:rsidR="00C217FF" w:rsidRPr="00A058B6" w:rsidRDefault="00C217FF" w:rsidP="00F36942">
            <w:pPr>
              <w:pStyle w:val="TableHeading"/>
            </w:pPr>
          </w:p>
        </w:tc>
        <w:tc>
          <w:tcPr>
            <w:tcW w:w="966" w:type="pct"/>
            <w:tcBorders>
              <w:top w:val="single" w:sz="4" w:space="0" w:color="auto"/>
              <w:bottom w:val="single" w:sz="12" w:space="0" w:color="auto"/>
            </w:tcBorders>
          </w:tcPr>
          <w:p w14:paraId="2A3B1156" w14:textId="77777777" w:rsidR="00C217FF" w:rsidRPr="00A058B6" w:rsidRDefault="00C217FF" w:rsidP="00F36942">
            <w:pPr>
              <w:pStyle w:val="TableHeading"/>
            </w:pPr>
            <w:r w:rsidRPr="00A058B6">
              <w:t>Pension</w:t>
            </w:r>
          </w:p>
        </w:tc>
        <w:tc>
          <w:tcPr>
            <w:tcW w:w="966" w:type="pct"/>
            <w:tcBorders>
              <w:top w:val="single" w:sz="4" w:space="0" w:color="auto"/>
              <w:bottom w:val="single" w:sz="12" w:space="0" w:color="auto"/>
            </w:tcBorders>
          </w:tcPr>
          <w:p w14:paraId="3714D5ED" w14:textId="77777777" w:rsidR="00C217FF" w:rsidRPr="00A058B6" w:rsidRDefault="00C217FF" w:rsidP="00F36942">
            <w:pPr>
              <w:pStyle w:val="TableHeading"/>
            </w:pPr>
            <w:r w:rsidRPr="00A058B6">
              <w:t>Reversion</w:t>
            </w:r>
          </w:p>
        </w:tc>
        <w:tc>
          <w:tcPr>
            <w:tcW w:w="966" w:type="pct"/>
            <w:tcBorders>
              <w:top w:val="single" w:sz="4" w:space="0" w:color="auto"/>
              <w:bottom w:val="single" w:sz="12" w:space="0" w:color="auto"/>
            </w:tcBorders>
          </w:tcPr>
          <w:p w14:paraId="355FBC17" w14:textId="77777777" w:rsidR="00C217FF" w:rsidRPr="00A058B6" w:rsidRDefault="00C217FF" w:rsidP="00F36942">
            <w:pPr>
              <w:pStyle w:val="TableHeading"/>
            </w:pPr>
            <w:r w:rsidRPr="00A058B6">
              <w:t>Pension</w:t>
            </w:r>
          </w:p>
        </w:tc>
        <w:tc>
          <w:tcPr>
            <w:tcW w:w="966" w:type="pct"/>
            <w:tcBorders>
              <w:top w:val="single" w:sz="4" w:space="0" w:color="auto"/>
              <w:bottom w:val="single" w:sz="12" w:space="0" w:color="auto"/>
            </w:tcBorders>
          </w:tcPr>
          <w:p w14:paraId="34BF93C6" w14:textId="77777777" w:rsidR="00C217FF" w:rsidRPr="00A058B6" w:rsidRDefault="00C217FF" w:rsidP="00F36942">
            <w:pPr>
              <w:pStyle w:val="TableHeading"/>
            </w:pPr>
            <w:r w:rsidRPr="00A058B6">
              <w:t>Reversion</w:t>
            </w:r>
          </w:p>
        </w:tc>
      </w:tr>
      <w:tr w:rsidR="0086548E" w:rsidRPr="009E2595" w14:paraId="1C023D0C" w14:textId="77777777" w:rsidTr="0086548E">
        <w:trPr>
          <w:cantSplit/>
        </w:trPr>
        <w:tc>
          <w:tcPr>
            <w:tcW w:w="1136" w:type="pct"/>
            <w:tcBorders>
              <w:top w:val="single" w:sz="12" w:space="0" w:color="auto"/>
              <w:bottom w:val="single" w:sz="4" w:space="0" w:color="auto"/>
            </w:tcBorders>
          </w:tcPr>
          <w:p w14:paraId="50B38E95" w14:textId="77777777" w:rsidR="0086548E" w:rsidRPr="00616B26" w:rsidRDefault="0086548E" w:rsidP="0086548E">
            <w:pPr>
              <w:pStyle w:val="Tabletext"/>
              <w:rPr>
                <w:snapToGrid w:val="0"/>
              </w:rPr>
            </w:pPr>
            <w:r w:rsidRPr="00616B26">
              <w:rPr>
                <w:snapToGrid w:val="0"/>
              </w:rPr>
              <w:t>18</w:t>
            </w:r>
          </w:p>
        </w:tc>
        <w:tc>
          <w:tcPr>
            <w:tcW w:w="966" w:type="pct"/>
            <w:tcBorders>
              <w:top w:val="single" w:sz="12" w:space="0" w:color="auto"/>
              <w:left w:val="nil"/>
              <w:bottom w:val="single" w:sz="4" w:space="0" w:color="auto"/>
              <w:right w:val="nil"/>
            </w:tcBorders>
          </w:tcPr>
          <w:p w14:paraId="1371C89E" w14:textId="77777777" w:rsidR="0086548E" w:rsidRDefault="0086548E" w:rsidP="0086548E">
            <w:pPr>
              <w:pStyle w:val="Tabletext"/>
              <w:rPr>
                <w:snapToGrid w:val="0"/>
                <w:lang w:eastAsia="en-US"/>
              </w:rPr>
            </w:pPr>
            <w:r>
              <w:rPr>
                <w:lang w:eastAsia="en-US"/>
              </w:rPr>
              <w:t>38</w:t>
            </w:r>
            <w:r w:rsidR="00D7157D">
              <w:rPr>
                <w:lang w:eastAsia="en-US"/>
              </w:rPr>
              <w:t>.</w:t>
            </w:r>
            <w:r>
              <w:rPr>
                <w:lang w:eastAsia="en-US"/>
              </w:rPr>
              <w:t>7381</w:t>
            </w:r>
          </w:p>
        </w:tc>
        <w:tc>
          <w:tcPr>
            <w:tcW w:w="966" w:type="pct"/>
            <w:tcBorders>
              <w:top w:val="single" w:sz="12" w:space="0" w:color="auto"/>
              <w:left w:val="nil"/>
              <w:bottom w:val="single" w:sz="4" w:space="0" w:color="auto"/>
              <w:right w:val="nil"/>
            </w:tcBorders>
          </w:tcPr>
          <w:p w14:paraId="0F2A0AC0"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5778</w:t>
            </w:r>
          </w:p>
        </w:tc>
        <w:tc>
          <w:tcPr>
            <w:tcW w:w="966" w:type="pct"/>
            <w:tcBorders>
              <w:top w:val="single" w:sz="12" w:space="0" w:color="auto"/>
              <w:left w:val="nil"/>
              <w:bottom w:val="single" w:sz="4" w:space="0" w:color="auto"/>
              <w:right w:val="nil"/>
            </w:tcBorders>
          </w:tcPr>
          <w:p w14:paraId="5AEB27D0" w14:textId="77777777" w:rsidR="0086548E" w:rsidRDefault="0086548E" w:rsidP="0086548E">
            <w:pPr>
              <w:pStyle w:val="Tabletext"/>
              <w:rPr>
                <w:snapToGrid w:val="0"/>
                <w:lang w:eastAsia="en-US"/>
              </w:rPr>
            </w:pPr>
            <w:r>
              <w:rPr>
                <w:lang w:eastAsia="en-US"/>
              </w:rPr>
              <w:t>39</w:t>
            </w:r>
            <w:r w:rsidR="00D7157D">
              <w:rPr>
                <w:lang w:eastAsia="en-US"/>
              </w:rPr>
              <w:t>.</w:t>
            </w:r>
            <w:r>
              <w:rPr>
                <w:lang w:eastAsia="en-US"/>
              </w:rPr>
              <w:t>5560</w:t>
            </w:r>
          </w:p>
        </w:tc>
        <w:tc>
          <w:tcPr>
            <w:tcW w:w="966" w:type="pct"/>
            <w:tcBorders>
              <w:top w:val="single" w:sz="12" w:space="0" w:color="auto"/>
              <w:left w:val="nil"/>
              <w:bottom w:val="single" w:sz="4" w:space="0" w:color="auto"/>
              <w:right w:val="nil"/>
            </w:tcBorders>
          </w:tcPr>
          <w:p w14:paraId="0A633C0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6309</w:t>
            </w:r>
          </w:p>
        </w:tc>
      </w:tr>
      <w:tr w:rsidR="0086548E" w:rsidRPr="009E2595" w14:paraId="750381CE" w14:textId="77777777" w:rsidTr="0086548E">
        <w:trPr>
          <w:cantSplit/>
        </w:trPr>
        <w:tc>
          <w:tcPr>
            <w:tcW w:w="1136" w:type="pct"/>
            <w:tcBorders>
              <w:top w:val="single" w:sz="4" w:space="0" w:color="auto"/>
              <w:bottom w:val="single" w:sz="4" w:space="0" w:color="auto"/>
            </w:tcBorders>
          </w:tcPr>
          <w:p w14:paraId="1CECB5CD" w14:textId="77777777" w:rsidR="0086548E" w:rsidRPr="00616B26" w:rsidRDefault="0086548E" w:rsidP="0086548E">
            <w:pPr>
              <w:pStyle w:val="Tabletext"/>
              <w:rPr>
                <w:snapToGrid w:val="0"/>
              </w:rPr>
            </w:pPr>
            <w:r w:rsidRPr="00616B26">
              <w:rPr>
                <w:snapToGrid w:val="0"/>
              </w:rPr>
              <w:t>19</w:t>
            </w:r>
          </w:p>
        </w:tc>
        <w:tc>
          <w:tcPr>
            <w:tcW w:w="966" w:type="pct"/>
            <w:tcBorders>
              <w:top w:val="single" w:sz="4" w:space="0" w:color="auto"/>
              <w:left w:val="nil"/>
              <w:bottom w:val="single" w:sz="4" w:space="0" w:color="auto"/>
              <w:right w:val="nil"/>
            </w:tcBorders>
          </w:tcPr>
          <w:p w14:paraId="4007350A" w14:textId="77777777" w:rsidR="0086548E" w:rsidRDefault="0086548E" w:rsidP="0086548E">
            <w:pPr>
              <w:pStyle w:val="Tabletext"/>
              <w:rPr>
                <w:snapToGrid w:val="0"/>
                <w:lang w:eastAsia="en-US"/>
              </w:rPr>
            </w:pPr>
            <w:r>
              <w:rPr>
                <w:lang w:eastAsia="en-US"/>
              </w:rPr>
              <w:t>38</w:t>
            </w:r>
            <w:r w:rsidR="00D7157D">
              <w:rPr>
                <w:lang w:eastAsia="en-US"/>
              </w:rPr>
              <w:t>.</w:t>
            </w:r>
            <w:r>
              <w:rPr>
                <w:lang w:eastAsia="en-US"/>
              </w:rPr>
              <w:t>4637</w:t>
            </w:r>
          </w:p>
        </w:tc>
        <w:tc>
          <w:tcPr>
            <w:tcW w:w="966" w:type="pct"/>
            <w:tcBorders>
              <w:top w:val="single" w:sz="4" w:space="0" w:color="auto"/>
              <w:left w:val="nil"/>
              <w:bottom w:val="single" w:sz="4" w:space="0" w:color="auto"/>
              <w:right w:val="nil"/>
            </w:tcBorders>
          </w:tcPr>
          <w:p w14:paraId="6F8AA9FB"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6096</w:t>
            </w:r>
          </w:p>
        </w:tc>
        <w:tc>
          <w:tcPr>
            <w:tcW w:w="966" w:type="pct"/>
            <w:tcBorders>
              <w:top w:val="single" w:sz="4" w:space="0" w:color="auto"/>
              <w:left w:val="nil"/>
              <w:bottom w:val="single" w:sz="4" w:space="0" w:color="auto"/>
              <w:right w:val="nil"/>
            </w:tcBorders>
          </w:tcPr>
          <w:p w14:paraId="35A7EADC" w14:textId="77777777" w:rsidR="0086548E" w:rsidRDefault="0086548E" w:rsidP="0086548E">
            <w:pPr>
              <w:pStyle w:val="Tabletext"/>
              <w:rPr>
                <w:snapToGrid w:val="0"/>
                <w:lang w:eastAsia="en-US"/>
              </w:rPr>
            </w:pPr>
            <w:r>
              <w:rPr>
                <w:lang w:eastAsia="en-US"/>
              </w:rPr>
              <w:t>39</w:t>
            </w:r>
            <w:r w:rsidR="00D7157D">
              <w:rPr>
                <w:lang w:eastAsia="en-US"/>
              </w:rPr>
              <w:t>.</w:t>
            </w:r>
            <w:r>
              <w:rPr>
                <w:lang w:eastAsia="en-US"/>
              </w:rPr>
              <w:t>2954</w:t>
            </w:r>
          </w:p>
        </w:tc>
        <w:tc>
          <w:tcPr>
            <w:tcW w:w="966" w:type="pct"/>
            <w:tcBorders>
              <w:top w:val="single" w:sz="4" w:space="0" w:color="auto"/>
              <w:left w:val="nil"/>
              <w:bottom w:val="single" w:sz="4" w:space="0" w:color="auto"/>
              <w:right w:val="nil"/>
            </w:tcBorders>
          </w:tcPr>
          <w:p w14:paraId="05E9CA5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6446</w:t>
            </w:r>
          </w:p>
        </w:tc>
      </w:tr>
      <w:tr w:rsidR="0086548E" w:rsidRPr="009E2595" w14:paraId="2FE17476" w14:textId="77777777" w:rsidTr="0086548E">
        <w:trPr>
          <w:cantSplit/>
        </w:trPr>
        <w:tc>
          <w:tcPr>
            <w:tcW w:w="1136" w:type="pct"/>
            <w:tcBorders>
              <w:top w:val="single" w:sz="4" w:space="0" w:color="auto"/>
              <w:bottom w:val="single" w:sz="4" w:space="0" w:color="auto"/>
            </w:tcBorders>
          </w:tcPr>
          <w:p w14:paraId="2297A9C2" w14:textId="77777777" w:rsidR="0086548E" w:rsidRPr="00616B26" w:rsidRDefault="0086548E" w:rsidP="0086548E">
            <w:pPr>
              <w:pStyle w:val="Tabletext"/>
              <w:rPr>
                <w:snapToGrid w:val="0"/>
              </w:rPr>
            </w:pPr>
            <w:r w:rsidRPr="00616B26">
              <w:rPr>
                <w:snapToGrid w:val="0"/>
              </w:rPr>
              <w:t>20</w:t>
            </w:r>
          </w:p>
        </w:tc>
        <w:tc>
          <w:tcPr>
            <w:tcW w:w="966" w:type="pct"/>
            <w:tcBorders>
              <w:top w:val="single" w:sz="4" w:space="0" w:color="auto"/>
              <w:left w:val="nil"/>
              <w:bottom w:val="single" w:sz="4" w:space="0" w:color="auto"/>
              <w:right w:val="nil"/>
            </w:tcBorders>
          </w:tcPr>
          <w:p w14:paraId="2F583CF0" w14:textId="77777777" w:rsidR="0086548E" w:rsidRDefault="0086548E" w:rsidP="0086548E">
            <w:pPr>
              <w:pStyle w:val="Tabletext"/>
              <w:rPr>
                <w:snapToGrid w:val="0"/>
                <w:lang w:eastAsia="en-US"/>
              </w:rPr>
            </w:pPr>
            <w:r>
              <w:rPr>
                <w:lang w:eastAsia="en-US"/>
              </w:rPr>
              <w:t>38</w:t>
            </w:r>
            <w:r w:rsidR="00D7157D">
              <w:rPr>
                <w:lang w:eastAsia="en-US"/>
              </w:rPr>
              <w:t>.</w:t>
            </w:r>
            <w:r>
              <w:rPr>
                <w:lang w:eastAsia="en-US"/>
              </w:rPr>
              <w:t>1843</w:t>
            </w:r>
          </w:p>
        </w:tc>
        <w:tc>
          <w:tcPr>
            <w:tcW w:w="966" w:type="pct"/>
            <w:tcBorders>
              <w:top w:val="single" w:sz="4" w:space="0" w:color="auto"/>
              <w:left w:val="nil"/>
              <w:bottom w:val="single" w:sz="4" w:space="0" w:color="auto"/>
              <w:right w:val="nil"/>
            </w:tcBorders>
          </w:tcPr>
          <w:p w14:paraId="67268546"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6416</w:t>
            </w:r>
          </w:p>
        </w:tc>
        <w:tc>
          <w:tcPr>
            <w:tcW w:w="966" w:type="pct"/>
            <w:tcBorders>
              <w:top w:val="single" w:sz="4" w:space="0" w:color="auto"/>
              <w:left w:val="nil"/>
              <w:bottom w:val="single" w:sz="4" w:space="0" w:color="auto"/>
              <w:right w:val="nil"/>
            </w:tcBorders>
          </w:tcPr>
          <w:p w14:paraId="4BD3B036" w14:textId="77777777" w:rsidR="0086548E" w:rsidRDefault="0086548E" w:rsidP="0086548E">
            <w:pPr>
              <w:pStyle w:val="Tabletext"/>
              <w:rPr>
                <w:snapToGrid w:val="0"/>
                <w:lang w:eastAsia="en-US"/>
              </w:rPr>
            </w:pPr>
            <w:r>
              <w:rPr>
                <w:lang w:eastAsia="en-US"/>
              </w:rPr>
              <w:t>39</w:t>
            </w:r>
            <w:r w:rsidR="00D7157D">
              <w:rPr>
                <w:lang w:eastAsia="en-US"/>
              </w:rPr>
              <w:t>.</w:t>
            </w:r>
            <w:r>
              <w:rPr>
                <w:lang w:eastAsia="en-US"/>
              </w:rPr>
              <w:t>0294</w:t>
            </w:r>
          </w:p>
        </w:tc>
        <w:tc>
          <w:tcPr>
            <w:tcW w:w="966" w:type="pct"/>
            <w:tcBorders>
              <w:top w:val="single" w:sz="4" w:space="0" w:color="auto"/>
              <w:left w:val="nil"/>
              <w:bottom w:val="single" w:sz="4" w:space="0" w:color="auto"/>
              <w:right w:val="nil"/>
            </w:tcBorders>
          </w:tcPr>
          <w:p w14:paraId="131BE30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6586</w:t>
            </w:r>
          </w:p>
        </w:tc>
      </w:tr>
      <w:tr w:rsidR="0086548E" w:rsidRPr="009E2595" w14:paraId="28E24698" w14:textId="77777777" w:rsidTr="0086548E">
        <w:trPr>
          <w:cantSplit/>
        </w:trPr>
        <w:tc>
          <w:tcPr>
            <w:tcW w:w="1136" w:type="pct"/>
            <w:tcBorders>
              <w:top w:val="single" w:sz="4" w:space="0" w:color="auto"/>
              <w:bottom w:val="single" w:sz="4" w:space="0" w:color="auto"/>
            </w:tcBorders>
          </w:tcPr>
          <w:p w14:paraId="773DA270" w14:textId="77777777" w:rsidR="0086548E" w:rsidRPr="00616B26" w:rsidRDefault="0086548E" w:rsidP="0086548E">
            <w:pPr>
              <w:pStyle w:val="Tabletext"/>
              <w:rPr>
                <w:snapToGrid w:val="0"/>
              </w:rPr>
            </w:pPr>
            <w:r w:rsidRPr="00616B26">
              <w:rPr>
                <w:snapToGrid w:val="0"/>
              </w:rPr>
              <w:t>21</w:t>
            </w:r>
          </w:p>
        </w:tc>
        <w:tc>
          <w:tcPr>
            <w:tcW w:w="966" w:type="pct"/>
            <w:tcBorders>
              <w:top w:val="single" w:sz="4" w:space="0" w:color="auto"/>
              <w:left w:val="nil"/>
              <w:bottom w:val="single" w:sz="4" w:space="0" w:color="auto"/>
              <w:right w:val="nil"/>
            </w:tcBorders>
          </w:tcPr>
          <w:p w14:paraId="128D9F26"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8992</w:t>
            </w:r>
          </w:p>
        </w:tc>
        <w:tc>
          <w:tcPr>
            <w:tcW w:w="966" w:type="pct"/>
            <w:tcBorders>
              <w:top w:val="single" w:sz="4" w:space="0" w:color="auto"/>
              <w:left w:val="nil"/>
              <w:bottom w:val="single" w:sz="4" w:space="0" w:color="auto"/>
              <w:right w:val="nil"/>
            </w:tcBorders>
          </w:tcPr>
          <w:p w14:paraId="5E1F1D0A"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6744</w:t>
            </w:r>
          </w:p>
        </w:tc>
        <w:tc>
          <w:tcPr>
            <w:tcW w:w="966" w:type="pct"/>
            <w:tcBorders>
              <w:top w:val="single" w:sz="4" w:space="0" w:color="auto"/>
              <w:left w:val="nil"/>
              <w:bottom w:val="single" w:sz="4" w:space="0" w:color="auto"/>
              <w:right w:val="nil"/>
            </w:tcBorders>
          </w:tcPr>
          <w:p w14:paraId="6AA9F73A" w14:textId="77777777" w:rsidR="0086548E" w:rsidRDefault="0086548E" w:rsidP="0086548E">
            <w:pPr>
              <w:pStyle w:val="Tabletext"/>
              <w:rPr>
                <w:snapToGrid w:val="0"/>
                <w:lang w:eastAsia="en-US"/>
              </w:rPr>
            </w:pPr>
            <w:r>
              <w:rPr>
                <w:lang w:eastAsia="en-US"/>
              </w:rPr>
              <w:t>38</w:t>
            </w:r>
            <w:r w:rsidR="00D7157D">
              <w:rPr>
                <w:lang w:eastAsia="en-US"/>
              </w:rPr>
              <w:t>.</w:t>
            </w:r>
            <w:r>
              <w:rPr>
                <w:lang w:eastAsia="en-US"/>
              </w:rPr>
              <w:t>7579</w:t>
            </w:r>
          </w:p>
        </w:tc>
        <w:tc>
          <w:tcPr>
            <w:tcW w:w="966" w:type="pct"/>
            <w:tcBorders>
              <w:top w:val="single" w:sz="4" w:space="0" w:color="auto"/>
              <w:left w:val="nil"/>
              <w:bottom w:val="single" w:sz="4" w:space="0" w:color="auto"/>
              <w:right w:val="nil"/>
            </w:tcBorders>
          </w:tcPr>
          <w:p w14:paraId="157E49C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6730</w:t>
            </w:r>
          </w:p>
        </w:tc>
      </w:tr>
      <w:tr w:rsidR="0086548E" w:rsidRPr="009E2595" w14:paraId="198DF086" w14:textId="77777777" w:rsidTr="0086548E">
        <w:trPr>
          <w:cantSplit/>
        </w:trPr>
        <w:tc>
          <w:tcPr>
            <w:tcW w:w="1136" w:type="pct"/>
            <w:tcBorders>
              <w:top w:val="single" w:sz="4" w:space="0" w:color="auto"/>
              <w:bottom w:val="single" w:sz="4" w:space="0" w:color="auto"/>
            </w:tcBorders>
          </w:tcPr>
          <w:p w14:paraId="0BBAF822" w14:textId="77777777" w:rsidR="0086548E" w:rsidRPr="00616B26" w:rsidRDefault="0086548E" w:rsidP="0086548E">
            <w:pPr>
              <w:pStyle w:val="Tabletext"/>
              <w:rPr>
                <w:snapToGrid w:val="0"/>
              </w:rPr>
            </w:pPr>
            <w:r w:rsidRPr="00616B26">
              <w:rPr>
                <w:snapToGrid w:val="0"/>
              </w:rPr>
              <w:t>22</w:t>
            </w:r>
          </w:p>
        </w:tc>
        <w:tc>
          <w:tcPr>
            <w:tcW w:w="966" w:type="pct"/>
            <w:tcBorders>
              <w:top w:val="single" w:sz="4" w:space="0" w:color="auto"/>
              <w:left w:val="nil"/>
              <w:bottom w:val="single" w:sz="4" w:space="0" w:color="auto"/>
              <w:right w:val="nil"/>
            </w:tcBorders>
          </w:tcPr>
          <w:p w14:paraId="1ECDEBB2"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6085</w:t>
            </w:r>
          </w:p>
        </w:tc>
        <w:tc>
          <w:tcPr>
            <w:tcW w:w="966" w:type="pct"/>
            <w:tcBorders>
              <w:top w:val="single" w:sz="4" w:space="0" w:color="auto"/>
              <w:left w:val="nil"/>
              <w:bottom w:val="single" w:sz="4" w:space="0" w:color="auto"/>
              <w:right w:val="nil"/>
            </w:tcBorders>
          </w:tcPr>
          <w:p w14:paraId="5CD7E01B"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7077</w:t>
            </w:r>
          </w:p>
        </w:tc>
        <w:tc>
          <w:tcPr>
            <w:tcW w:w="966" w:type="pct"/>
            <w:tcBorders>
              <w:top w:val="single" w:sz="4" w:space="0" w:color="auto"/>
              <w:left w:val="nil"/>
              <w:bottom w:val="single" w:sz="4" w:space="0" w:color="auto"/>
              <w:right w:val="nil"/>
            </w:tcBorders>
          </w:tcPr>
          <w:p w14:paraId="60BD60D8" w14:textId="77777777" w:rsidR="0086548E" w:rsidRDefault="0086548E" w:rsidP="0086548E">
            <w:pPr>
              <w:pStyle w:val="Tabletext"/>
              <w:rPr>
                <w:snapToGrid w:val="0"/>
                <w:lang w:eastAsia="en-US"/>
              </w:rPr>
            </w:pPr>
            <w:r>
              <w:rPr>
                <w:lang w:eastAsia="en-US"/>
              </w:rPr>
              <w:t>38</w:t>
            </w:r>
            <w:r w:rsidR="00D7157D">
              <w:rPr>
                <w:lang w:eastAsia="en-US"/>
              </w:rPr>
              <w:t>.</w:t>
            </w:r>
            <w:r>
              <w:rPr>
                <w:lang w:eastAsia="en-US"/>
              </w:rPr>
              <w:t>4808</w:t>
            </w:r>
          </w:p>
        </w:tc>
        <w:tc>
          <w:tcPr>
            <w:tcW w:w="966" w:type="pct"/>
            <w:tcBorders>
              <w:top w:val="single" w:sz="4" w:space="0" w:color="auto"/>
              <w:left w:val="nil"/>
              <w:bottom w:val="single" w:sz="4" w:space="0" w:color="auto"/>
              <w:right w:val="nil"/>
            </w:tcBorders>
          </w:tcPr>
          <w:p w14:paraId="5C39340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6877</w:t>
            </w:r>
          </w:p>
        </w:tc>
      </w:tr>
      <w:tr w:rsidR="0086548E" w:rsidRPr="009E2595" w14:paraId="5AE01AD7" w14:textId="77777777" w:rsidTr="0086548E">
        <w:trPr>
          <w:cantSplit/>
        </w:trPr>
        <w:tc>
          <w:tcPr>
            <w:tcW w:w="1136" w:type="pct"/>
            <w:tcBorders>
              <w:top w:val="single" w:sz="4" w:space="0" w:color="auto"/>
              <w:bottom w:val="single" w:sz="4" w:space="0" w:color="auto"/>
            </w:tcBorders>
          </w:tcPr>
          <w:p w14:paraId="75510172" w14:textId="77777777" w:rsidR="0086548E" w:rsidRPr="00616B26" w:rsidRDefault="0086548E" w:rsidP="0086548E">
            <w:pPr>
              <w:pStyle w:val="Tabletext"/>
              <w:rPr>
                <w:snapToGrid w:val="0"/>
              </w:rPr>
            </w:pPr>
            <w:r w:rsidRPr="00616B26">
              <w:rPr>
                <w:snapToGrid w:val="0"/>
              </w:rPr>
              <w:t>23</w:t>
            </w:r>
          </w:p>
        </w:tc>
        <w:tc>
          <w:tcPr>
            <w:tcW w:w="966" w:type="pct"/>
            <w:tcBorders>
              <w:top w:val="single" w:sz="4" w:space="0" w:color="auto"/>
              <w:left w:val="nil"/>
              <w:bottom w:val="single" w:sz="4" w:space="0" w:color="auto"/>
              <w:right w:val="nil"/>
            </w:tcBorders>
          </w:tcPr>
          <w:p w14:paraId="3FB1582B"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3122</w:t>
            </w:r>
          </w:p>
        </w:tc>
        <w:tc>
          <w:tcPr>
            <w:tcW w:w="966" w:type="pct"/>
            <w:tcBorders>
              <w:top w:val="single" w:sz="4" w:space="0" w:color="auto"/>
              <w:left w:val="nil"/>
              <w:bottom w:val="single" w:sz="4" w:space="0" w:color="auto"/>
              <w:right w:val="nil"/>
            </w:tcBorders>
          </w:tcPr>
          <w:p w14:paraId="119036E0"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7415</w:t>
            </w:r>
          </w:p>
        </w:tc>
        <w:tc>
          <w:tcPr>
            <w:tcW w:w="966" w:type="pct"/>
            <w:tcBorders>
              <w:top w:val="single" w:sz="4" w:space="0" w:color="auto"/>
              <w:left w:val="nil"/>
              <w:bottom w:val="single" w:sz="4" w:space="0" w:color="auto"/>
              <w:right w:val="nil"/>
            </w:tcBorders>
          </w:tcPr>
          <w:p w14:paraId="6495ED44" w14:textId="77777777" w:rsidR="0086548E" w:rsidRDefault="0086548E" w:rsidP="0086548E">
            <w:pPr>
              <w:pStyle w:val="Tabletext"/>
              <w:rPr>
                <w:snapToGrid w:val="0"/>
                <w:lang w:eastAsia="en-US"/>
              </w:rPr>
            </w:pPr>
            <w:r>
              <w:rPr>
                <w:lang w:eastAsia="en-US"/>
              </w:rPr>
              <w:t>38</w:t>
            </w:r>
            <w:r w:rsidR="00D7157D">
              <w:rPr>
                <w:lang w:eastAsia="en-US"/>
              </w:rPr>
              <w:t>.</w:t>
            </w:r>
            <w:r>
              <w:rPr>
                <w:lang w:eastAsia="en-US"/>
              </w:rPr>
              <w:t>1979</w:t>
            </w:r>
          </w:p>
        </w:tc>
        <w:tc>
          <w:tcPr>
            <w:tcW w:w="966" w:type="pct"/>
            <w:tcBorders>
              <w:top w:val="single" w:sz="4" w:space="0" w:color="auto"/>
              <w:left w:val="nil"/>
              <w:bottom w:val="single" w:sz="4" w:space="0" w:color="auto"/>
              <w:right w:val="nil"/>
            </w:tcBorders>
          </w:tcPr>
          <w:p w14:paraId="66BC24E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7028</w:t>
            </w:r>
          </w:p>
        </w:tc>
      </w:tr>
      <w:tr w:rsidR="0086548E" w:rsidRPr="009E2595" w14:paraId="25F1256D" w14:textId="77777777" w:rsidTr="0086548E">
        <w:trPr>
          <w:cantSplit/>
        </w:trPr>
        <w:tc>
          <w:tcPr>
            <w:tcW w:w="1136" w:type="pct"/>
            <w:tcBorders>
              <w:top w:val="single" w:sz="4" w:space="0" w:color="auto"/>
              <w:bottom w:val="single" w:sz="4" w:space="0" w:color="auto"/>
            </w:tcBorders>
          </w:tcPr>
          <w:p w14:paraId="6272860A" w14:textId="77777777" w:rsidR="0086548E" w:rsidRPr="00616B26" w:rsidRDefault="0086548E" w:rsidP="0086548E">
            <w:pPr>
              <w:pStyle w:val="Tabletext"/>
              <w:rPr>
                <w:snapToGrid w:val="0"/>
              </w:rPr>
            </w:pPr>
            <w:r w:rsidRPr="00616B26">
              <w:rPr>
                <w:snapToGrid w:val="0"/>
              </w:rPr>
              <w:t>24</w:t>
            </w:r>
          </w:p>
        </w:tc>
        <w:tc>
          <w:tcPr>
            <w:tcW w:w="966" w:type="pct"/>
            <w:tcBorders>
              <w:top w:val="single" w:sz="4" w:space="0" w:color="auto"/>
              <w:left w:val="nil"/>
              <w:bottom w:val="single" w:sz="4" w:space="0" w:color="auto"/>
              <w:right w:val="nil"/>
            </w:tcBorders>
          </w:tcPr>
          <w:p w14:paraId="5E8D28F7"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0100</w:t>
            </w:r>
          </w:p>
        </w:tc>
        <w:tc>
          <w:tcPr>
            <w:tcW w:w="966" w:type="pct"/>
            <w:tcBorders>
              <w:top w:val="single" w:sz="4" w:space="0" w:color="auto"/>
              <w:left w:val="nil"/>
              <w:bottom w:val="single" w:sz="4" w:space="0" w:color="auto"/>
              <w:right w:val="nil"/>
            </w:tcBorders>
          </w:tcPr>
          <w:p w14:paraId="686964D1"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7759</w:t>
            </w:r>
          </w:p>
        </w:tc>
        <w:tc>
          <w:tcPr>
            <w:tcW w:w="966" w:type="pct"/>
            <w:tcBorders>
              <w:top w:val="single" w:sz="4" w:space="0" w:color="auto"/>
              <w:left w:val="nil"/>
              <w:bottom w:val="single" w:sz="4" w:space="0" w:color="auto"/>
              <w:right w:val="nil"/>
            </w:tcBorders>
          </w:tcPr>
          <w:p w14:paraId="2E4DA501"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9092</w:t>
            </w:r>
          </w:p>
        </w:tc>
        <w:tc>
          <w:tcPr>
            <w:tcW w:w="966" w:type="pct"/>
            <w:tcBorders>
              <w:top w:val="single" w:sz="4" w:space="0" w:color="auto"/>
              <w:left w:val="nil"/>
              <w:bottom w:val="single" w:sz="4" w:space="0" w:color="auto"/>
              <w:right w:val="nil"/>
            </w:tcBorders>
          </w:tcPr>
          <w:p w14:paraId="73BFF399"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7182</w:t>
            </w:r>
          </w:p>
        </w:tc>
      </w:tr>
      <w:tr w:rsidR="0086548E" w:rsidRPr="009E2595" w14:paraId="74E02605" w14:textId="77777777" w:rsidTr="0086548E">
        <w:trPr>
          <w:cantSplit/>
        </w:trPr>
        <w:tc>
          <w:tcPr>
            <w:tcW w:w="1136" w:type="pct"/>
            <w:tcBorders>
              <w:top w:val="single" w:sz="4" w:space="0" w:color="auto"/>
              <w:bottom w:val="single" w:sz="4" w:space="0" w:color="auto"/>
            </w:tcBorders>
          </w:tcPr>
          <w:p w14:paraId="2F358F5B" w14:textId="77777777" w:rsidR="0086548E" w:rsidRPr="00616B26" w:rsidRDefault="0086548E" w:rsidP="0086548E">
            <w:pPr>
              <w:pStyle w:val="Tabletext"/>
              <w:rPr>
                <w:snapToGrid w:val="0"/>
              </w:rPr>
            </w:pPr>
            <w:r w:rsidRPr="00616B26">
              <w:rPr>
                <w:snapToGrid w:val="0"/>
              </w:rPr>
              <w:t>25</w:t>
            </w:r>
          </w:p>
        </w:tc>
        <w:tc>
          <w:tcPr>
            <w:tcW w:w="966" w:type="pct"/>
            <w:tcBorders>
              <w:top w:val="single" w:sz="4" w:space="0" w:color="auto"/>
              <w:left w:val="nil"/>
              <w:bottom w:val="single" w:sz="4" w:space="0" w:color="auto"/>
              <w:right w:val="nil"/>
            </w:tcBorders>
          </w:tcPr>
          <w:p w14:paraId="34C957D9" w14:textId="77777777" w:rsidR="0086548E" w:rsidRDefault="0086548E" w:rsidP="0086548E">
            <w:pPr>
              <w:pStyle w:val="Tabletext"/>
              <w:rPr>
                <w:snapToGrid w:val="0"/>
                <w:lang w:eastAsia="en-US"/>
              </w:rPr>
            </w:pPr>
            <w:r>
              <w:rPr>
                <w:lang w:eastAsia="en-US"/>
              </w:rPr>
              <w:t>36</w:t>
            </w:r>
            <w:r w:rsidR="00D7157D">
              <w:rPr>
                <w:lang w:eastAsia="en-US"/>
              </w:rPr>
              <w:t>.</w:t>
            </w:r>
            <w:r>
              <w:rPr>
                <w:lang w:eastAsia="en-US"/>
              </w:rPr>
              <w:t>7020</w:t>
            </w:r>
          </w:p>
        </w:tc>
        <w:tc>
          <w:tcPr>
            <w:tcW w:w="966" w:type="pct"/>
            <w:tcBorders>
              <w:top w:val="single" w:sz="4" w:space="0" w:color="auto"/>
              <w:left w:val="nil"/>
              <w:bottom w:val="single" w:sz="4" w:space="0" w:color="auto"/>
              <w:right w:val="nil"/>
            </w:tcBorders>
          </w:tcPr>
          <w:p w14:paraId="2B3BE5BE"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8110</w:t>
            </w:r>
          </w:p>
        </w:tc>
        <w:tc>
          <w:tcPr>
            <w:tcW w:w="966" w:type="pct"/>
            <w:tcBorders>
              <w:top w:val="single" w:sz="4" w:space="0" w:color="auto"/>
              <w:left w:val="nil"/>
              <w:bottom w:val="single" w:sz="4" w:space="0" w:color="auto"/>
              <w:right w:val="nil"/>
            </w:tcBorders>
          </w:tcPr>
          <w:p w14:paraId="33E96F8F"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6150</w:t>
            </w:r>
          </w:p>
        </w:tc>
        <w:tc>
          <w:tcPr>
            <w:tcW w:w="966" w:type="pct"/>
            <w:tcBorders>
              <w:top w:val="single" w:sz="4" w:space="0" w:color="auto"/>
              <w:left w:val="nil"/>
              <w:bottom w:val="single" w:sz="4" w:space="0" w:color="auto"/>
              <w:right w:val="nil"/>
            </w:tcBorders>
          </w:tcPr>
          <w:p w14:paraId="1D698A02"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7339</w:t>
            </w:r>
          </w:p>
        </w:tc>
      </w:tr>
      <w:tr w:rsidR="0086548E" w:rsidRPr="009E2595" w14:paraId="7247D592" w14:textId="77777777" w:rsidTr="0086548E">
        <w:trPr>
          <w:cantSplit/>
        </w:trPr>
        <w:tc>
          <w:tcPr>
            <w:tcW w:w="1136" w:type="pct"/>
            <w:tcBorders>
              <w:top w:val="single" w:sz="4" w:space="0" w:color="auto"/>
              <w:bottom w:val="single" w:sz="4" w:space="0" w:color="auto"/>
            </w:tcBorders>
          </w:tcPr>
          <w:p w14:paraId="561F8FF7" w14:textId="77777777" w:rsidR="0086548E" w:rsidRPr="00616B26" w:rsidRDefault="0086548E" w:rsidP="0086548E">
            <w:pPr>
              <w:pStyle w:val="Tabletext"/>
              <w:rPr>
                <w:snapToGrid w:val="0"/>
              </w:rPr>
            </w:pPr>
            <w:r w:rsidRPr="00616B26">
              <w:rPr>
                <w:snapToGrid w:val="0"/>
              </w:rPr>
              <w:t>26</w:t>
            </w:r>
          </w:p>
        </w:tc>
        <w:tc>
          <w:tcPr>
            <w:tcW w:w="966" w:type="pct"/>
            <w:tcBorders>
              <w:top w:val="single" w:sz="4" w:space="0" w:color="auto"/>
              <w:left w:val="nil"/>
              <w:bottom w:val="single" w:sz="4" w:space="0" w:color="auto"/>
              <w:right w:val="nil"/>
            </w:tcBorders>
          </w:tcPr>
          <w:p w14:paraId="13E2E434" w14:textId="77777777" w:rsidR="0086548E" w:rsidRDefault="0086548E" w:rsidP="0086548E">
            <w:pPr>
              <w:pStyle w:val="Tabletext"/>
              <w:rPr>
                <w:snapToGrid w:val="0"/>
                <w:lang w:eastAsia="en-US"/>
              </w:rPr>
            </w:pPr>
            <w:r>
              <w:rPr>
                <w:lang w:eastAsia="en-US"/>
              </w:rPr>
              <w:t>36</w:t>
            </w:r>
            <w:r w:rsidR="00D7157D">
              <w:rPr>
                <w:lang w:eastAsia="en-US"/>
              </w:rPr>
              <w:t>.</w:t>
            </w:r>
            <w:r>
              <w:rPr>
                <w:lang w:eastAsia="en-US"/>
              </w:rPr>
              <w:t>3879</w:t>
            </w:r>
          </w:p>
        </w:tc>
        <w:tc>
          <w:tcPr>
            <w:tcW w:w="966" w:type="pct"/>
            <w:tcBorders>
              <w:top w:val="single" w:sz="4" w:space="0" w:color="auto"/>
              <w:left w:val="nil"/>
              <w:bottom w:val="single" w:sz="4" w:space="0" w:color="auto"/>
              <w:right w:val="nil"/>
            </w:tcBorders>
          </w:tcPr>
          <w:p w14:paraId="025960D5"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8467</w:t>
            </w:r>
          </w:p>
        </w:tc>
        <w:tc>
          <w:tcPr>
            <w:tcW w:w="966" w:type="pct"/>
            <w:tcBorders>
              <w:top w:val="single" w:sz="4" w:space="0" w:color="auto"/>
              <w:left w:val="nil"/>
              <w:bottom w:val="single" w:sz="4" w:space="0" w:color="auto"/>
              <w:right w:val="nil"/>
            </w:tcBorders>
          </w:tcPr>
          <w:p w14:paraId="39E478DC"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3146</w:t>
            </w:r>
          </w:p>
        </w:tc>
        <w:tc>
          <w:tcPr>
            <w:tcW w:w="966" w:type="pct"/>
            <w:tcBorders>
              <w:top w:val="single" w:sz="4" w:space="0" w:color="auto"/>
              <w:left w:val="nil"/>
              <w:bottom w:val="single" w:sz="4" w:space="0" w:color="auto"/>
              <w:right w:val="nil"/>
            </w:tcBorders>
          </w:tcPr>
          <w:p w14:paraId="0CFD739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7499</w:t>
            </w:r>
          </w:p>
        </w:tc>
      </w:tr>
      <w:tr w:rsidR="0086548E" w:rsidRPr="009E2595" w14:paraId="4468AAFD" w14:textId="77777777" w:rsidTr="0086548E">
        <w:trPr>
          <w:cantSplit/>
        </w:trPr>
        <w:tc>
          <w:tcPr>
            <w:tcW w:w="1136" w:type="pct"/>
            <w:tcBorders>
              <w:top w:val="single" w:sz="4" w:space="0" w:color="auto"/>
              <w:bottom w:val="single" w:sz="4" w:space="0" w:color="auto"/>
            </w:tcBorders>
          </w:tcPr>
          <w:p w14:paraId="48D935F4" w14:textId="77777777" w:rsidR="0086548E" w:rsidRPr="00616B26" w:rsidRDefault="0086548E" w:rsidP="0086548E">
            <w:pPr>
              <w:pStyle w:val="Tabletext"/>
              <w:rPr>
                <w:snapToGrid w:val="0"/>
              </w:rPr>
            </w:pPr>
            <w:r w:rsidRPr="00616B26">
              <w:rPr>
                <w:snapToGrid w:val="0"/>
              </w:rPr>
              <w:t>27</w:t>
            </w:r>
          </w:p>
        </w:tc>
        <w:tc>
          <w:tcPr>
            <w:tcW w:w="966" w:type="pct"/>
            <w:tcBorders>
              <w:top w:val="single" w:sz="4" w:space="0" w:color="auto"/>
              <w:left w:val="nil"/>
              <w:bottom w:val="single" w:sz="4" w:space="0" w:color="auto"/>
              <w:right w:val="nil"/>
            </w:tcBorders>
          </w:tcPr>
          <w:p w14:paraId="4FF7AB7B" w14:textId="77777777" w:rsidR="0086548E" w:rsidRDefault="0086548E" w:rsidP="0086548E">
            <w:pPr>
              <w:pStyle w:val="Tabletext"/>
              <w:rPr>
                <w:snapToGrid w:val="0"/>
                <w:lang w:eastAsia="en-US"/>
              </w:rPr>
            </w:pPr>
            <w:r>
              <w:rPr>
                <w:lang w:eastAsia="en-US"/>
              </w:rPr>
              <w:t>36</w:t>
            </w:r>
            <w:r w:rsidR="00D7157D">
              <w:rPr>
                <w:lang w:eastAsia="en-US"/>
              </w:rPr>
              <w:t>.</w:t>
            </w:r>
            <w:r>
              <w:rPr>
                <w:lang w:eastAsia="en-US"/>
              </w:rPr>
              <w:t>0677</w:t>
            </w:r>
          </w:p>
        </w:tc>
        <w:tc>
          <w:tcPr>
            <w:tcW w:w="966" w:type="pct"/>
            <w:tcBorders>
              <w:top w:val="single" w:sz="4" w:space="0" w:color="auto"/>
              <w:left w:val="nil"/>
              <w:bottom w:val="single" w:sz="4" w:space="0" w:color="auto"/>
              <w:right w:val="nil"/>
            </w:tcBorders>
          </w:tcPr>
          <w:p w14:paraId="6B7A5F5A"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8830</w:t>
            </w:r>
          </w:p>
        </w:tc>
        <w:tc>
          <w:tcPr>
            <w:tcW w:w="966" w:type="pct"/>
            <w:tcBorders>
              <w:top w:val="single" w:sz="4" w:space="0" w:color="auto"/>
              <w:left w:val="nil"/>
              <w:bottom w:val="single" w:sz="4" w:space="0" w:color="auto"/>
              <w:right w:val="nil"/>
            </w:tcBorders>
          </w:tcPr>
          <w:p w14:paraId="50A8FF73" w14:textId="77777777" w:rsidR="0086548E" w:rsidRDefault="0086548E" w:rsidP="0086548E">
            <w:pPr>
              <w:pStyle w:val="Tabletext"/>
              <w:rPr>
                <w:snapToGrid w:val="0"/>
                <w:lang w:eastAsia="en-US"/>
              </w:rPr>
            </w:pPr>
            <w:r>
              <w:rPr>
                <w:lang w:eastAsia="en-US"/>
              </w:rPr>
              <w:t>37</w:t>
            </w:r>
            <w:r w:rsidR="00D7157D">
              <w:rPr>
                <w:lang w:eastAsia="en-US"/>
              </w:rPr>
              <w:t>.</w:t>
            </w:r>
            <w:r>
              <w:rPr>
                <w:lang w:eastAsia="en-US"/>
              </w:rPr>
              <w:t>0080</w:t>
            </w:r>
          </w:p>
        </w:tc>
        <w:tc>
          <w:tcPr>
            <w:tcW w:w="966" w:type="pct"/>
            <w:tcBorders>
              <w:top w:val="single" w:sz="4" w:space="0" w:color="auto"/>
              <w:left w:val="nil"/>
              <w:bottom w:val="single" w:sz="4" w:space="0" w:color="auto"/>
              <w:right w:val="nil"/>
            </w:tcBorders>
          </w:tcPr>
          <w:p w14:paraId="7E5CAD1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7664</w:t>
            </w:r>
          </w:p>
        </w:tc>
      </w:tr>
      <w:tr w:rsidR="0086548E" w:rsidRPr="009E2595" w14:paraId="50AEAEB0" w14:textId="77777777" w:rsidTr="0086548E">
        <w:trPr>
          <w:cantSplit/>
        </w:trPr>
        <w:tc>
          <w:tcPr>
            <w:tcW w:w="1136" w:type="pct"/>
            <w:tcBorders>
              <w:top w:val="single" w:sz="4" w:space="0" w:color="auto"/>
              <w:bottom w:val="single" w:sz="4" w:space="0" w:color="auto"/>
            </w:tcBorders>
          </w:tcPr>
          <w:p w14:paraId="7E7473C3" w14:textId="77777777" w:rsidR="0086548E" w:rsidRPr="00616B26" w:rsidRDefault="0086548E" w:rsidP="0086548E">
            <w:pPr>
              <w:pStyle w:val="Tabletext"/>
              <w:rPr>
                <w:snapToGrid w:val="0"/>
              </w:rPr>
            </w:pPr>
            <w:r w:rsidRPr="00616B26">
              <w:rPr>
                <w:snapToGrid w:val="0"/>
              </w:rPr>
              <w:t>28</w:t>
            </w:r>
          </w:p>
        </w:tc>
        <w:tc>
          <w:tcPr>
            <w:tcW w:w="966" w:type="pct"/>
            <w:tcBorders>
              <w:top w:val="single" w:sz="4" w:space="0" w:color="auto"/>
              <w:left w:val="nil"/>
              <w:bottom w:val="single" w:sz="4" w:space="0" w:color="auto"/>
              <w:right w:val="nil"/>
            </w:tcBorders>
          </w:tcPr>
          <w:p w14:paraId="548A0776" w14:textId="77777777" w:rsidR="0086548E" w:rsidRDefault="0086548E" w:rsidP="0086548E">
            <w:pPr>
              <w:pStyle w:val="Tabletext"/>
              <w:rPr>
                <w:snapToGrid w:val="0"/>
                <w:lang w:eastAsia="en-US"/>
              </w:rPr>
            </w:pPr>
            <w:r>
              <w:rPr>
                <w:lang w:eastAsia="en-US"/>
              </w:rPr>
              <w:t>35</w:t>
            </w:r>
            <w:r w:rsidR="00D7157D">
              <w:rPr>
                <w:lang w:eastAsia="en-US"/>
              </w:rPr>
              <w:t>.</w:t>
            </w:r>
            <w:r>
              <w:rPr>
                <w:lang w:eastAsia="en-US"/>
              </w:rPr>
              <w:t>7411</w:t>
            </w:r>
          </w:p>
        </w:tc>
        <w:tc>
          <w:tcPr>
            <w:tcW w:w="966" w:type="pct"/>
            <w:tcBorders>
              <w:top w:val="single" w:sz="4" w:space="0" w:color="auto"/>
              <w:left w:val="nil"/>
              <w:bottom w:val="single" w:sz="4" w:space="0" w:color="auto"/>
              <w:right w:val="nil"/>
            </w:tcBorders>
          </w:tcPr>
          <w:p w14:paraId="4E4D0B04"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9199</w:t>
            </w:r>
          </w:p>
        </w:tc>
        <w:tc>
          <w:tcPr>
            <w:tcW w:w="966" w:type="pct"/>
            <w:tcBorders>
              <w:top w:val="single" w:sz="4" w:space="0" w:color="auto"/>
              <w:left w:val="nil"/>
              <w:bottom w:val="single" w:sz="4" w:space="0" w:color="auto"/>
              <w:right w:val="nil"/>
            </w:tcBorders>
          </w:tcPr>
          <w:p w14:paraId="7CAC676D" w14:textId="77777777" w:rsidR="0086548E" w:rsidRDefault="0086548E" w:rsidP="0086548E">
            <w:pPr>
              <w:pStyle w:val="Tabletext"/>
              <w:rPr>
                <w:snapToGrid w:val="0"/>
                <w:lang w:eastAsia="en-US"/>
              </w:rPr>
            </w:pPr>
            <w:r>
              <w:rPr>
                <w:lang w:eastAsia="en-US"/>
              </w:rPr>
              <w:t>36</w:t>
            </w:r>
            <w:r w:rsidR="00D7157D">
              <w:rPr>
                <w:lang w:eastAsia="en-US"/>
              </w:rPr>
              <w:t>.</w:t>
            </w:r>
            <w:r>
              <w:rPr>
                <w:lang w:eastAsia="en-US"/>
              </w:rPr>
              <w:t>6954</w:t>
            </w:r>
          </w:p>
        </w:tc>
        <w:tc>
          <w:tcPr>
            <w:tcW w:w="966" w:type="pct"/>
            <w:tcBorders>
              <w:top w:val="single" w:sz="4" w:space="0" w:color="auto"/>
              <w:left w:val="nil"/>
              <w:bottom w:val="single" w:sz="4" w:space="0" w:color="auto"/>
              <w:right w:val="nil"/>
            </w:tcBorders>
          </w:tcPr>
          <w:p w14:paraId="7D08ABA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7830</w:t>
            </w:r>
          </w:p>
        </w:tc>
      </w:tr>
      <w:tr w:rsidR="0086548E" w:rsidRPr="009E2595" w14:paraId="0D243203" w14:textId="77777777" w:rsidTr="0086548E">
        <w:trPr>
          <w:cantSplit/>
        </w:trPr>
        <w:tc>
          <w:tcPr>
            <w:tcW w:w="1136" w:type="pct"/>
            <w:tcBorders>
              <w:top w:val="single" w:sz="4" w:space="0" w:color="auto"/>
              <w:bottom w:val="single" w:sz="4" w:space="0" w:color="auto"/>
            </w:tcBorders>
          </w:tcPr>
          <w:p w14:paraId="5870819C" w14:textId="77777777" w:rsidR="0086548E" w:rsidRPr="00616B26" w:rsidRDefault="0086548E" w:rsidP="0086548E">
            <w:pPr>
              <w:pStyle w:val="Tabletext"/>
              <w:rPr>
                <w:snapToGrid w:val="0"/>
              </w:rPr>
            </w:pPr>
            <w:r w:rsidRPr="00616B26">
              <w:rPr>
                <w:snapToGrid w:val="0"/>
              </w:rPr>
              <w:t>29</w:t>
            </w:r>
          </w:p>
        </w:tc>
        <w:tc>
          <w:tcPr>
            <w:tcW w:w="966" w:type="pct"/>
            <w:tcBorders>
              <w:top w:val="single" w:sz="4" w:space="0" w:color="auto"/>
              <w:left w:val="nil"/>
              <w:bottom w:val="single" w:sz="4" w:space="0" w:color="auto"/>
              <w:right w:val="nil"/>
            </w:tcBorders>
          </w:tcPr>
          <w:p w14:paraId="6F29182F" w14:textId="77777777" w:rsidR="0086548E" w:rsidRDefault="0086548E" w:rsidP="0086548E">
            <w:pPr>
              <w:pStyle w:val="Tabletext"/>
              <w:rPr>
                <w:snapToGrid w:val="0"/>
                <w:lang w:eastAsia="en-US"/>
              </w:rPr>
            </w:pPr>
            <w:r>
              <w:rPr>
                <w:lang w:eastAsia="en-US"/>
              </w:rPr>
              <w:t>35</w:t>
            </w:r>
            <w:r w:rsidR="00D7157D">
              <w:rPr>
                <w:lang w:eastAsia="en-US"/>
              </w:rPr>
              <w:t>.</w:t>
            </w:r>
            <w:r>
              <w:rPr>
                <w:lang w:eastAsia="en-US"/>
              </w:rPr>
              <w:t>4085</w:t>
            </w:r>
          </w:p>
        </w:tc>
        <w:tc>
          <w:tcPr>
            <w:tcW w:w="966" w:type="pct"/>
            <w:tcBorders>
              <w:top w:val="single" w:sz="4" w:space="0" w:color="auto"/>
              <w:left w:val="nil"/>
              <w:bottom w:val="single" w:sz="4" w:space="0" w:color="auto"/>
              <w:right w:val="nil"/>
            </w:tcBorders>
          </w:tcPr>
          <w:p w14:paraId="1691AD1A"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9573</w:t>
            </w:r>
          </w:p>
        </w:tc>
        <w:tc>
          <w:tcPr>
            <w:tcW w:w="966" w:type="pct"/>
            <w:tcBorders>
              <w:top w:val="single" w:sz="4" w:space="0" w:color="auto"/>
              <w:left w:val="nil"/>
              <w:bottom w:val="single" w:sz="4" w:space="0" w:color="auto"/>
              <w:right w:val="nil"/>
            </w:tcBorders>
          </w:tcPr>
          <w:p w14:paraId="6DAA72D1" w14:textId="77777777" w:rsidR="0086548E" w:rsidRDefault="0086548E" w:rsidP="0086548E">
            <w:pPr>
              <w:pStyle w:val="Tabletext"/>
              <w:rPr>
                <w:snapToGrid w:val="0"/>
                <w:lang w:eastAsia="en-US"/>
              </w:rPr>
            </w:pPr>
            <w:r>
              <w:rPr>
                <w:lang w:eastAsia="en-US"/>
              </w:rPr>
              <w:t>36</w:t>
            </w:r>
            <w:r w:rsidR="00D7157D">
              <w:rPr>
                <w:lang w:eastAsia="en-US"/>
              </w:rPr>
              <w:t>.</w:t>
            </w:r>
            <w:r>
              <w:rPr>
                <w:lang w:eastAsia="en-US"/>
              </w:rPr>
              <w:t>3768</w:t>
            </w:r>
          </w:p>
        </w:tc>
        <w:tc>
          <w:tcPr>
            <w:tcW w:w="966" w:type="pct"/>
            <w:tcBorders>
              <w:top w:val="single" w:sz="4" w:space="0" w:color="auto"/>
              <w:left w:val="nil"/>
              <w:bottom w:val="single" w:sz="4" w:space="0" w:color="auto"/>
              <w:right w:val="nil"/>
            </w:tcBorders>
          </w:tcPr>
          <w:p w14:paraId="3F03BAD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7999</w:t>
            </w:r>
          </w:p>
        </w:tc>
      </w:tr>
      <w:tr w:rsidR="0086548E" w:rsidRPr="009E2595" w14:paraId="7FEBCFE0" w14:textId="77777777" w:rsidTr="0086548E">
        <w:trPr>
          <w:cantSplit/>
        </w:trPr>
        <w:tc>
          <w:tcPr>
            <w:tcW w:w="1136" w:type="pct"/>
            <w:tcBorders>
              <w:top w:val="single" w:sz="4" w:space="0" w:color="auto"/>
              <w:bottom w:val="single" w:sz="4" w:space="0" w:color="auto"/>
            </w:tcBorders>
          </w:tcPr>
          <w:p w14:paraId="409F5762" w14:textId="77777777" w:rsidR="0086548E" w:rsidRPr="00616B26" w:rsidRDefault="0086548E" w:rsidP="0086548E">
            <w:pPr>
              <w:pStyle w:val="Tabletext"/>
              <w:rPr>
                <w:snapToGrid w:val="0"/>
              </w:rPr>
            </w:pPr>
            <w:r w:rsidRPr="00616B26">
              <w:rPr>
                <w:snapToGrid w:val="0"/>
              </w:rPr>
              <w:t>30</w:t>
            </w:r>
          </w:p>
        </w:tc>
        <w:tc>
          <w:tcPr>
            <w:tcW w:w="966" w:type="pct"/>
            <w:tcBorders>
              <w:top w:val="single" w:sz="4" w:space="0" w:color="auto"/>
              <w:left w:val="nil"/>
              <w:bottom w:val="single" w:sz="4" w:space="0" w:color="auto"/>
              <w:right w:val="nil"/>
            </w:tcBorders>
          </w:tcPr>
          <w:p w14:paraId="3BE83094" w14:textId="77777777" w:rsidR="0086548E" w:rsidRDefault="0086548E" w:rsidP="0086548E">
            <w:pPr>
              <w:pStyle w:val="Tabletext"/>
              <w:rPr>
                <w:snapToGrid w:val="0"/>
                <w:lang w:eastAsia="en-US"/>
              </w:rPr>
            </w:pPr>
            <w:r>
              <w:rPr>
                <w:lang w:eastAsia="en-US"/>
              </w:rPr>
              <w:t>35</w:t>
            </w:r>
            <w:r w:rsidR="00D7157D">
              <w:rPr>
                <w:lang w:eastAsia="en-US"/>
              </w:rPr>
              <w:t>.</w:t>
            </w:r>
            <w:r>
              <w:rPr>
                <w:lang w:eastAsia="en-US"/>
              </w:rPr>
              <w:t>0693</w:t>
            </w:r>
          </w:p>
        </w:tc>
        <w:tc>
          <w:tcPr>
            <w:tcW w:w="966" w:type="pct"/>
            <w:tcBorders>
              <w:top w:val="single" w:sz="4" w:space="0" w:color="auto"/>
              <w:left w:val="nil"/>
              <w:bottom w:val="single" w:sz="4" w:space="0" w:color="auto"/>
              <w:right w:val="nil"/>
            </w:tcBorders>
          </w:tcPr>
          <w:p w14:paraId="559C7FC5"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9954</w:t>
            </w:r>
          </w:p>
        </w:tc>
        <w:tc>
          <w:tcPr>
            <w:tcW w:w="966" w:type="pct"/>
            <w:tcBorders>
              <w:top w:val="single" w:sz="4" w:space="0" w:color="auto"/>
              <w:left w:val="nil"/>
              <w:bottom w:val="single" w:sz="4" w:space="0" w:color="auto"/>
              <w:right w:val="nil"/>
            </w:tcBorders>
          </w:tcPr>
          <w:p w14:paraId="6FDE98E2" w14:textId="77777777" w:rsidR="0086548E" w:rsidRDefault="0086548E" w:rsidP="0086548E">
            <w:pPr>
              <w:pStyle w:val="Tabletext"/>
              <w:rPr>
                <w:snapToGrid w:val="0"/>
                <w:lang w:eastAsia="en-US"/>
              </w:rPr>
            </w:pPr>
            <w:r>
              <w:rPr>
                <w:lang w:eastAsia="en-US"/>
              </w:rPr>
              <w:t>36</w:t>
            </w:r>
            <w:r w:rsidR="00D7157D">
              <w:rPr>
                <w:lang w:eastAsia="en-US"/>
              </w:rPr>
              <w:t>.</w:t>
            </w:r>
            <w:r>
              <w:rPr>
                <w:lang w:eastAsia="en-US"/>
              </w:rPr>
              <w:t>0519</w:t>
            </w:r>
          </w:p>
        </w:tc>
        <w:tc>
          <w:tcPr>
            <w:tcW w:w="966" w:type="pct"/>
            <w:tcBorders>
              <w:top w:val="single" w:sz="4" w:space="0" w:color="auto"/>
              <w:left w:val="nil"/>
              <w:bottom w:val="single" w:sz="4" w:space="0" w:color="auto"/>
              <w:right w:val="nil"/>
            </w:tcBorders>
          </w:tcPr>
          <w:p w14:paraId="499BFAA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8171</w:t>
            </w:r>
          </w:p>
        </w:tc>
      </w:tr>
      <w:tr w:rsidR="0086548E" w:rsidRPr="009E2595" w14:paraId="0573023B" w14:textId="77777777" w:rsidTr="0086548E">
        <w:trPr>
          <w:cantSplit/>
        </w:trPr>
        <w:tc>
          <w:tcPr>
            <w:tcW w:w="1136" w:type="pct"/>
            <w:tcBorders>
              <w:top w:val="single" w:sz="4" w:space="0" w:color="auto"/>
              <w:bottom w:val="single" w:sz="4" w:space="0" w:color="auto"/>
            </w:tcBorders>
          </w:tcPr>
          <w:p w14:paraId="1492C435" w14:textId="77777777" w:rsidR="0086548E" w:rsidRPr="00616B26" w:rsidRDefault="0086548E" w:rsidP="0086548E">
            <w:pPr>
              <w:pStyle w:val="Tabletext"/>
              <w:rPr>
                <w:snapToGrid w:val="0"/>
              </w:rPr>
            </w:pPr>
            <w:r w:rsidRPr="00616B26">
              <w:rPr>
                <w:snapToGrid w:val="0"/>
              </w:rPr>
              <w:t>31</w:t>
            </w:r>
          </w:p>
        </w:tc>
        <w:tc>
          <w:tcPr>
            <w:tcW w:w="966" w:type="pct"/>
            <w:tcBorders>
              <w:top w:val="single" w:sz="4" w:space="0" w:color="auto"/>
              <w:left w:val="nil"/>
              <w:bottom w:val="single" w:sz="4" w:space="0" w:color="auto"/>
              <w:right w:val="nil"/>
            </w:tcBorders>
          </w:tcPr>
          <w:p w14:paraId="5D7DD43C" w14:textId="77777777" w:rsidR="0086548E" w:rsidRDefault="0086548E" w:rsidP="0086548E">
            <w:pPr>
              <w:pStyle w:val="Tabletext"/>
              <w:rPr>
                <w:snapToGrid w:val="0"/>
                <w:lang w:eastAsia="en-US"/>
              </w:rPr>
            </w:pPr>
            <w:r>
              <w:rPr>
                <w:lang w:eastAsia="en-US"/>
              </w:rPr>
              <w:t>34</w:t>
            </w:r>
            <w:r w:rsidR="00D7157D">
              <w:rPr>
                <w:lang w:eastAsia="en-US"/>
              </w:rPr>
              <w:t>.</w:t>
            </w:r>
            <w:r>
              <w:rPr>
                <w:lang w:eastAsia="en-US"/>
              </w:rPr>
              <w:t>7237</w:t>
            </w:r>
          </w:p>
        </w:tc>
        <w:tc>
          <w:tcPr>
            <w:tcW w:w="966" w:type="pct"/>
            <w:tcBorders>
              <w:top w:val="single" w:sz="4" w:space="0" w:color="auto"/>
              <w:left w:val="nil"/>
              <w:bottom w:val="single" w:sz="4" w:space="0" w:color="auto"/>
              <w:right w:val="nil"/>
            </w:tcBorders>
          </w:tcPr>
          <w:p w14:paraId="3F43D75E"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0340</w:t>
            </w:r>
          </w:p>
        </w:tc>
        <w:tc>
          <w:tcPr>
            <w:tcW w:w="966" w:type="pct"/>
            <w:tcBorders>
              <w:top w:val="single" w:sz="4" w:space="0" w:color="auto"/>
              <w:left w:val="nil"/>
              <w:bottom w:val="single" w:sz="4" w:space="0" w:color="auto"/>
              <w:right w:val="nil"/>
            </w:tcBorders>
          </w:tcPr>
          <w:p w14:paraId="28A9F543" w14:textId="77777777" w:rsidR="0086548E" w:rsidRDefault="0086548E" w:rsidP="0086548E">
            <w:pPr>
              <w:pStyle w:val="Tabletext"/>
              <w:rPr>
                <w:snapToGrid w:val="0"/>
                <w:lang w:eastAsia="en-US"/>
              </w:rPr>
            </w:pPr>
            <w:r>
              <w:rPr>
                <w:lang w:eastAsia="en-US"/>
              </w:rPr>
              <w:t>35</w:t>
            </w:r>
            <w:r w:rsidR="00D7157D">
              <w:rPr>
                <w:lang w:eastAsia="en-US"/>
              </w:rPr>
              <w:t>.</w:t>
            </w:r>
            <w:r>
              <w:rPr>
                <w:lang w:eastAsia="en-US"/>
              </w:rPr>
              <w:t>7207</w:t>
            </w:r>
          </w:p>
        </w:tc>
        <w:tc>
          <w:tcPr>
            <w:tcW w:w="966" w:type="pct"/>
            <w:tcBorders>
              <w:top w:val="single" w:sz="4" w:space="0" w:color="auto"/>
              <w:left w:val="nil"/>
              <w:bottom w:val="single" w:sz="4" w:space="0" w:color="auto"/>
              <w:right w:val="nil"/>
            </w:tcBorders>
          </w:tcPr>
          <w:p w14:paraId="1B32C31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8345</w:t>
            </w:r>
          </w:p>
        </w:tc>
      </w:tr>
      <w:tr w:rsidR="0086548E" w:rsidRPr="009E2595" w14:paraId="55F9D42B" w14:textId="77777777" w:rsidTr="0086548E">
        <w:trPr>
          <w:cantSplit/>
        </w:trPr>
        <w:tc>
          <w:tcPr>
            <w:tcW w:w="1136" w:type="pct"/>
            <w:tcBorders>
              <w:top w:val="single" w:sz="4" w:space="0" w:color="auto"/>
              <w:bottom w:val="single" w:sz="4" w:space="0" w:color="auto"/>
            </w:tcBorders>
          </w:tcPr>
          <w:p w14:paraId="28293FBE" w14:textId="77777777" w:rsidR="0086548E" w:rsidRPr="00616B26" w:rsidRDefault="0086548E" w:rsidP="0086548E">
            <w:pPr>
              <w:pStyle w:val="Tabletext"/>
              <w:rPr>
                <w:snapToGrid w:val="0"/>
              </w:rPr>
            </w:pPr>
            <w:r w:rsidRPr="00616B26">
              <w:rPr>
                <w:snapToGrid w:val="0"/>
              </w:rPr>
              <w:t>32</w:t>
            </w:r>
          </w:p>
        </w:tc>
        <w:tc>
          <w:tcPr>
            <w:tcW w:w="966" w:type="pct"/>
            <w:tcBorders>
              <w:top w:val="single" w:sz="4" w:space="0" w:color="auto"/>
              <w:left w:val="nil"/>
              <w:bottom w:val="single" w:sz="4" w:space="0" w:color="auto"/>
              <w:right w:val="nil"/>
            </w:tcBorders>
          </w:tcPr>
          <w:p w14:paraId="517F193D" w14:textId="77777777" w:rsidR="0086548E" w:rsidRDefault="0086548E" w:rsidP="0086548E">
            <w:pPr>
              <w:pStyle w:val="Tabletext"/>
              <w:rPr>
                <w:snapToGrid w:val="0"/>
                <w:lang w:eastAsia="en-US"/>
              </w:rPr>
            </w:pPr>
            <w:r>
              <w:rPr>
                <w:lang w:eastAsia="en-US"/>
              </w:rPr>
              <w:t>34</w:t>
            </w:r>
            <w:r w:rsidR="00D7157D">
              <w:rPr>
                <w:lang w:eastAsia="en-US"/>
              </w:rPr>
              <w:t>.</w:t>
            </w:r>
            <w:r>
              <w:rPr>
                <w:lang w:eastAsia="en-US"/>
              </w:rPr>
              <w:t>3716</w:t>
            </w:r>
          </w:p>
        </w:tc>
        <w:tc>
          <w:tcPr>
            <w:tcW w:w="966" w:type="pct"/>
            <w:tcBorders>
              <w:top w:val="single" w:sz="4" w:space="0" w:color="auto"/>
              <w:left w:val="nil"/>
              <w:bottom w:val="single" w:sz="4" w:space="0" w:color="auto"/>
              <w:right w:val="nil"/>
            </w:tcBorders>
          </w:tcPr>
          <w:p w14:paraId="13F8225D"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0731</w:t>
            </w:r>
          </w:p>
        </w:tc>
        <w:tc>
          <w:tcPr>
            <w:tcW w:w="966" w:type="pct"/>
            <w:tcBorders>
              <w:top w:val="single" w:sz="4" w:space="0" w:color="auto"/>
              <w:left w:val="nil"/>
              <w:bottom w:val="single" w:sz="4" w:space="0" w:color="auto"/>
              <w:right w:val="nil"/>
            </w:tcBorders>
          </w:tcPr>
          <w:p w14:paraId="314AFE29" w14:textId="77777777" w:rsidR="0086548E" w:rsidRDefault="0086548E" w:rsidP="0086548E">
            <w:pPr>
              <w:pStyle w:val="Tabletext"/>
              <w:rPr>
                <w:snapToGrid w:val="0"/>
                <w:lang w:eastAsia="en-US"/>
              </w:rPr>
            </w:pPr>
            <w:r>
              <w:rPr>
                <w:lang w:eastAsia="en-US"/>
              </w:rPr>
              <w:t>35</w:t>
            </w:r>
            <w:r w:rsidR="00D7157D">
              <w:rPr>
                <w:lang w:eastAsia="en-US"/>
              </w:rPr>
              <w:t>.</w:t>
            </w:r>
            <w:r>
              <w:rPr>
                <w:lang w:eastAsia="en-US"/>
              </w:rPr>
              <w:t>3833</w:t>
            </w:r>
          </w:p>
        </w:tc>
        <w:tc>
          <w:tcPr>
            <w:tcW w:w="966" w:type="pct"/>
            <w:tcBorders>
              <w:top w:val="single" w:sz="4" w:space="0" w:color="auto"/>
              <w:left w:val="nil"/>
              <w:bottom w:val="single" w:sz="4" w:space="0" w:color="auto"/>
              <w:right w:val="nil"/>
            </w:tcBorders>
          </w:tcPr>
          <w:p w14:paraId="2505437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8520</w:t>
            </w:r>
          </w:p>
        </w:tc>
      </w:tr>
      <w:tr w:rsidR="0086548E" w:rsidRPr="009E2595" w14:paraId="731D133A" w14:textId="77777777" w:rsidTr="0086548E">
        <w:trPr>
          <w:cantSplit/>
        </w:trPr>
        <w:tc>
          <w:tcPr>
            <w:tcW w:w="1136" w:type="pct"/>
            <w:tcBorders>
              <w:top w:val="single" w:sz="4" w:space="0" w:color="auto"/>
              <w:bottom w:val="single" w:sz="4" w:space="0" w:color="auto"/>
            </w:tcBorders>
          </w:tcPr>
          <w:p w14:paraId="6C4D4857" w14:textId="77777777" w:rsidR="0086548E" w:rsidRPr="00616B26" w:rsidRDefault="0086548E" w:rsidP="0086548E">
            <w:pPr>
              <w:pStyle w:val="Tabletext"/>
              <w:rPr>
                <w:snapToGrid w:val="0"/>
              </w:rPr>
            </w:pPr>
            <w:r w:rsidRPr="00616B26">
              <w:rPr>
                <w:snapToGrid w:val="0"/>
              </w:rPr>
              <w:t>33</w:t>
            </w:r>
          </w:p>
        </w:tc>
        <w:tc>
          <w:tcPr>
            <w:tcW w:w="966" w:type="pct"/>
            <w:tcBorders>
              <w:top w:val="single" w:sz="4" w:space="0" w:color="auto"/>
              <w:left w:val="nil"/>
              <w:bottom w:val="single" w:sz="4" w:space="0" w:color="auto"/>
              <w:right w:val="nil"/>
            </w:tcBorders>
          </w:tcPr>
          <w:p w14:paraId="6BDD1FD3" w14:textId="77777777" w:rsidR="0086548E" w:rsidRDefault="0086548E" w:rsidP="0086548E">
            <w:pPr>
              <w:pStyle w:val="Tabletext"/>
              <w:rPr>
                <w:snapToGrid w:val="0"/>
                <w:lang w:eastAsia="en-US"/>
              </w:rPr>
            </w:pPr>
            <w:r>
              <w:rPr>
                <w:lang w:eastAsia="en-US"/>
              </w:rPr>
              <w:t>34</w:t>
            </w:r>
            <w:r w:rsidR="00D7157D">
              <w:rPr>
                <w:lang w:eastAsia="en-US"/>
              </w:rPr>
              <w:t>.</w:t>
            </w:r>
            <w:r>
              <w:rPr>
                <w:lang w:eastAsia="en-US"/>
              </w:rPr>
              <w:t>0129</w:t>
            </w:r>
          </w:p>
        </w:tc>
        <w:tc>
          <w:tcPr>
            <w:tcW w:w="966" w:type="pct"/>
            <w:tcBorders>
              <w:top w:val="single" w:sz="4" w:space="0" w:color="auto"/>
              <w:left w:val="nil"/>
              <w:bottom w:val="single" w:sz="4" w:space="0" w:color="auto"/>
              <w:right w:val="nil"/>
            </w:tcBorders>
          </w:tcPr>
          <w:p w14:paraId="1D1AC2FD"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1128</w:t>
            </w:r>
          </w:p>
        </w:tc>
        <w:tc>
          <w:tcPr>
            <w:tcW w:w="966" w:type="pct"/>
            <w:tcBorders>
              <w:top w:val="single" w:sz="4" w:space="0" w:color="auto"/>
              <w:left w:val="nil"/>
              <w:bottom w:val="single" w:sz="4" w:space="0" w:color="auto"/>
              <w:right w:val="nil"/>
            </w:tcBorders>
          </w:tcPr>
          <w:p w14:paraId="26B71597" w14:textId="77777777" w:rsidR="0086548E" w:rsidRDefault="0086548E" w:rsidP="0086548E">
            <w:pPr>
              <w:pStyle w:val="Tabletext"/>
              <w:rPr>
                <w:snapToGrid w:val="0"/>
                <w:lang w:eastAsia="en-US"/>
              </w:rPr>
            </w:pPr>
            <w:r>
              <w:rPr>
                <w:lang w:eastAsia="en-US"/>
              </w:rPr>
              <w:t>35</w:t>
            </w:r>
            <w:r w:rsidR="00D7157D">
              <w:rPr>
                <w:lang w:eastAsia="en-US"/>
              </w:rPr>
              <w:t>.</w:t>
            </w:r>
            <w:r>
              <w:rPr>
                <w:lang w:eastAsia="en-US"/>
              </w:rPr>
              <w:t>0394</w:t>
            </w:r>
          </w:p>
        </w:tc>
        <w:tc>
          <w:tcPr>
            <w:tcW w:w="966" w:type="pct"/>
            <w:tcBorders>
              <w:top w:val="single" w:sz="4" w:space="0" w:color="auto"/>
              <w:left w:val="nil"/>
              <w:bottom w:val="single" w:sz="4" w:space="0" w:color="auto"/>
              <w:right w:val="nil"/>
            </w:tcBorders>
          </w:tcPr>
          <w:p w14:paraId="58C405BD"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8698</w:t>
            </w:r>
          </w:p>
        </w:tc>
      </w:tr>
      <w:tr w:rsidR="0086548E" w:rsidRPr="009E2595" w14:paraId="18A1768A" w14:textId="77777777" w:rsidTr="0086548E">
        <w:trPr>
          <w:cantSplit/>
        </w:trPr>
        <w:tc>
          <w:tcPr>
            <w:tcW w:w="1136" w:type="pct"/>
            <w:tcBorders>
              <w:top w:val="single" w:sz="4" w:space="0" w:color="auto"/>
              <w:bottom w:val="single" w:sz="4" w:space="0" w:color="auto"/>
            </w:tcBorders>
          </w:tcPr>
          <w:p w14:paraId="3D7783AB" w14:textId="77777777" w:rsidR="0086548E" w:rsidRPr="00616B26" w:rsidRDefault="0086548E" w:rsidP="0086548E">
            <w:pPr>
              <w:pStyle w:val="Tabletext"/>
              <w:rPr>
                <w:snapToGrid w:val="0"/>
              </w:rPr>
            </w:pPr>
            <w:r w:rsidRPr="00616B26">
              <w:rPr>
                <w:snapToGrid w:val="0"/>
              </w:rPr>
              <w:t>34</w:t>
            </w:r>
          </w:p>
        </w:tc>
        <w:tc>
          <w:tcPr>
            <w:tcW w:w="966" w:type="pct"/>
            <w:tcBorders>
              <w:top w:val="single" w:sz="4" w:space="0" w:color="auto"/>
              <w:left w:val="nil"/>
              <w:bottom w:val="single" w:sz="4" w:space="0" w:color="auto"/>
              <w:right w:val="nil"/>
            </w:tcBorders>
          </w:tcPr>
          <w:p w14:paraId="2D030AAB" w14:textId="77777777" w:rsidR="0086548E" w:rsidRDefault="0086548E" w:rsidP="0086548E">
            <w:pPr>
              <w:pStyle w:val="Tabletext"/>
              <w:rPr>
                <w:snapToGrid w:val="0"/>
                <w:lang w:eastAsia="en-US"/>
              </w:rPr>
            </w:pPr>
            <w:r>
              <w:rPr>
                <w:lang w:eastAsia="en-US"/>
              </w:rPr>
              <w:t>33</w:t>
            </w:r>
            <w:r w:rsidR="00D7157D">
              <w:rPr>
                <w:lang w:eastAsia="en-US"/>
              </w:rPr>
              <w:t>.</w:t>
            </w:r>
            <w:r>
              <w:rPr>
                <w:lang w:eastAsia="en-US"/>
              </w:rPr>
              <w:t>6474</w:t>
            </w:r>
          </w:p>
        </w:tc>
        <w:tc>
          <w:tcPr>
            <w:tcW w:w="966" w:type="pct"/>
            <w:tcBorders>
              <w:top w:val="single" w:sz="4" w:space="0" w:color="auto"/>
              <w:left w:val="nil"/>
              <w:bottom w:val="single" w:sz="4" w:space="0" w:color="auto"/>
              <w:right w:val="nil"/>
            </w:tcBorders>
          </w:tcPr>
          <w:p w14:paraId="68BD09E6"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1530</w:t>
            </w:r>
          </w:p>
        </w:tc>
        <w:tc>
          <w:tcPr>
            <w:tcW w:w="966" w:type="pct"/>
            <w:tcBorders>
              <w:top w:val="single" w:sz="4" w:space="0" w:color="auto"/>
              <w:left w:val="nil"/>
              <w:bottom w:val="single" w:sz="4" w:space="0" w:color="auto"/>
              <w:right w:val="nil"/>
            </w:tcBorders>
          </w:tcPr>
          <w:p w14:paraId="3731BD35" w14:textId="77777777" w:rsidR="0086548E" w:rsidRDefault="0086548E" w:rsidP="0086548E">
            <w:pPr>
              <w:pStyle w:val="Tabletext"/>
              <w:rPr>
                <w:snapToGrid w:val="0"/>
                <w:lang w:eastAsia="en-US"/>
              </w:rPr>
            </w:pPr>
            <w:r>
              <w:rPr>
                <w:lang w:eastAsia="en-US"/>
              </w:rPr>
              <w:t>34</w:t>
            </w:r>
            <w:r w:rsidR="00D7157D">
              <w:rPr>
                <w:lang w:eastAsia="en-US"/>
              </w:rPr>
              <w:t>.</w:t>
            </w:r>
            <w:r>
              <w:rPr>
                <w:lang w:eastAsia="en-US"/>
              </w:rPr>
              <w:t>6890</w:t>
            </w:r>
          </w:p>
        </w:tc>
        <w:tc>
          <w:tcPr>
            <w:tcW w:w="966" w:type="pct"/>
            <w:tcBorders>
              <w:top w:val="single" w:sz="4" w:space="0" w:color="auto"/>
              <w:left w:val="nil"/>
              <w:bottom w:val="single" w:sz="4" w:space="0" w:color="auto"/>
              <w:right w:val="nil"/>
            </w:tcBorders>
          </w:tcPr>
          <w:p w14:paraId="0A346F6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8877</w:t>
            </w:r>
          </w:p>
        </w:tc>
      </w:tr>
      <w:tr w:rsidR="0086548E" w:rsidRPr="009E2595" w14:paraId="4B358D38" w14:textId="77777777" w:rsidTr="0086548E">
        <w:trPr>
          <w:cantSplit/>
        </w:trPr>
        <w:tc>
          <w:tcPr>
            <w:tcW w:w="1136" w:type="pct"/>
            <w:tcBorders>
              <w:top w:val="single" w:sz="4" w:space="0" w:color="auto"/>
              <w:bottom w:val="single" w:sz="4" w:space="0" w:color="auto"/>
            </w:tcBorders>
          </w:tcPr>
          <w:p w14:paraId="054D5C9C" w14:textId="77777777" w:rsidR="0086548E" w:rsidRPr="00616B26" w:rsidRDefault="0086548E" w:rsidP="0086548E">
            <w:pPr>
              <w:pStyle w:val="Tabletext"/>
              <w:rPr>
                <w:snapToGrid w:val="0"/>
              </w:rPr>
            </w:pPr>
            <w:r w:rsidRPr="00616B26">
              <w:rPr>
                <w:snapToGrid w:val="0"/>
              </w:rPr>
              <w:t>35</w:t>
            </w:r>
          </w:p>
        </w:tc>
        <w:tc>
          <w:tcPr>
            <w:tcW w:w="966" w:type="pct"/>
            <w:tcBorders>
              <w:top w:val="single" w:sz="4" w:space="0" w:color="auto"/>
              <w:left w:val="nil"/>
              <w:bottom w:val="single" w:sz="4" w:space="0" w:color="auto"/>
              <w:right w:val="nil"/>
            </w:tcBorders>
          </w:tcPr>
          <w:p w14:paraId="03E6834C" w14:textId="77777777" w:rsidR="0086548E" w:rsidRDefault="0086548E" w:rsidP="0086548E">
            <w:pPr>
              <w:pStyle w:val="Tabletext"/>
              <w:rPr>
                <w:snapToGrid w:val="0"/>
                <w:lang w:eastAsia="en-US"/>
              </w:rPr>
            </w:pPr>
            <w:r>
              <w:rPr>
                <w:lang w:eastAsia="en-US"/>
              </w:rPr>
              <w:t>33</w:t>
            </w:r>
            <w:r w:rsidR="00D7157D">
              <w:rPr>
                <w:lang w:eastAsia="en-US"/>
              </w:rPr>
              <w:t>.</w:t>
            </w:r>
            <w:r>
              <w:rPr>
                <w:lang w:eastAsia="en-US"/>
              </w:rPr>
              <w:t>2753</w:t>
            </w:r>
          </w:p>
        </w:tc>
        <w:tc>
          <w:tcPr>
            <w:tcW w:w="966" w:type="pct"/>
            <w:tcBorders>
              <w:top w:val="single" w:sz="4" w:space="0" w:color="auto"/>
              <w:left w:val="nil"/>
              <w:bottom w:val="single" w:sz="4" w:space="0" w:color="auto"/>
              <w:right w:val="nil"/>
            </w:tcBorders>
          </w:tcPr>
          <w:p w14:paraId="3D47BE0C"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1936</w:t>
            </w:r>
          </w:p>
        </w:tc>
        <w:tc>
          <w:tcPr>
            <w:tcW w:w="966" w:type="pct"/>
            <w:tcBorders>
              <w:top w:val="single" w:sz="4" w:space="0" w:color="auto"/>
              <w:left w:val="nil"/>
              <w:bottom w:val="single" w:sz="4" w:space="0" w:color="auto"/>
              <w:right w:val="nil"/>
            </w:tcBorders>
          </w:tcPr>
          <w:p w14:paraId="0452981F" w14:textId="77777777" w:rsidR="0086548E" w:rsidRDefault="0086548E" w:rsidP="0086548E">
            <w:pPr>
              <w:pStyle w:val="Tabletext"/>
              <w:rPr>
                <w:snapToGrid w:val="0"/>
                <w:lang w:eastAsia="en-US"/>
              </w:rPr>
            </w:pPr>
            <w:r>
              <w:rPr>
                <w:lang w:eastAsia="en-US"/>
              </w:rPr>
              <w:t>34</w:t>
            </w:r>
            <w:r w:rsidR="00D7157D">
              <w:rPr>
                <w:lang w:eastAsia="en-US"/>
              </w:rPr>
              <w:t>.</w:t>
            </w:r>
            <w:r>
              <w:rPr>
                <w:lang w:eastAsia="en-US"/>
              </w:rPr>
              <w:t>3318</w:t>
            </w:r>
          </w:p>
        </w:tc>
        <w:tc>
          <w:tcPr>
            <w:tcW w:w="966" w:type="pct"/>
            <w:tcBorders>
              <w:top w:val="single" w:sz="4" w:space="0" w:color="auto"/>
              <w:left w:val="nil"/>
              <w:bottom w:val="single" w:sz="4" w:space="0" w:color="auto"/>
              <w:right w:val="nil"/>
            </w:tcBorders>
          </w:tcPr>
          <w:p w14:paraId="6FA294D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9059</w:t>
            </w:r>
          </w:p>
        </w:tc>
      </w:tr>
      <w:tr w:rsidR="0086548E" w:rsidRPr="009E2595" w14:paraId="3934C996" w14:textId="77777777" w:rsidTr="0086548E">
        <w:trPr>
          <w:cantSplit/>
        </w:trPr>
        <w:tc>
          <w:tcPr>
            <w:tcW w:w="1136" w:type="pct"/>
            <w:tcBorders>
              <w:top w:val="single" w:sz="4" w:space="0" w:color="auto"/>
              <w:bottom w:val="single" w:sz="4" w:space="0" w:color="auto"/>
            </w:tcBorders>
          </w:tcPr>
          <w:p w14:paraId="60777A54" w14:textId="77777777" w:rsidR="0086548E" w:rsidRPr="00616B26" w:rsidRDefault="0086548E" w:rsidP="0086548E">
            <w:pPr>
              <w:pStyle w:val="Tabletext"/>
              <w:rPr>
                <w:snapToGrid w:val="0"/>
              </w:rPr>
            </w:pPr>
            <w:r w:rsidRPr="00616B26">
              <w:rPr>
                <w:snapToGrid w:val="0"/>
              </w:rPr>
              <w:t>36</w:t>
            </w:r>
          </w:p>
        </w:tc>
        <w:tc>
          <w:tcPr>
            <w:tcW w:w="966" w:type="pct"/>
            <w:tcBorders>
              <w:top w:val="single" w:sz="4" w:space="0" w:color="auto"/>
              <w:left w:val="nil"/>
              <w:bottom w:val="single" w:sz="4" w:space="0" w:color="auto"/>
              <w:right w:val="nil"/>
            </w:tcBorders>
          </w:tcPr>
          <w:p w14:paraId="629CD250" w14:textId="77777777" w:rsidR="0086548E" w:rsidRDefault="0086548E" w:rsidP="0086548E">
            <w:pPr>
              <w:pStyle w:val="Tabletext"/>
              <w:rPr>
                <w:snapToGrid w:val="0"/>
                <w:lang w:eastAsia="en-US"/>
              </w:rPr>
            </w:pPr>
            <w:r>
              <w:rPr>
                <w:lang w:eastAsia="en-US"/>
              </w:rPr>
              <w:t>32</w:t>
            </w:r>
            <w:r w:rsidR="00D7157D">
              <w:rPr>
                <w:lang w:eastAsia="en-US"/>
              </w:rPr>
              <w:t>.</w:t>
            </w:r>
            <w:r>
              <w:rPr>
                <w:lang w:eastAsia="en-US"/>
              </w:rPr>
              <w:t>8964</w:t>
            </w:r>
          </w:p>
        </w:tc>
        <w:tc>
          <w:tcPr>
            <w:tcW w:w="966" w:type="pct"/>
            <w:tcBorders>
              <w:top w:val="single" w:sz="4" w:space="0" w:color="auto"/>
              <w:left w:val="nil"/>
              <w:bottom w:val="single" w:sz="4" w:space="0" w:color="auto"/>
              <w:right w:val="nil"/>
            </w:tcBorders>
          </w:tcPr>
          <w:p w14:paraId="353D332F"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2346</w:t>
            </w:r>
          </w:p>
        </w:tc>
        <w:tc>
          <w:tcPr>
            <w:tcW w:w="966" w:type="pct"/>
            <w:tcBorders>
              <w:top w:val="single" w:sz="4" w:space="0" w:color="auto"/>
              <w:left w:val="nil"/>
              <w:bottom w:val="single" w:sz="4" w:space="0" w:color="auto"/>
              <w:right w:val="nil"/>
            </w:tcBorders>
          </w:tcPr>
          <w:p w14:paraId="07E1700A" w14:textId="77777777" w:rsidR="0086548E" w:rsidRDefault="0086548E" w:rsidP="0086548E">
            <w:pPr>
              <w:pStyle w:val="Tabletext"/>
              <w:rPr>
                <w:snapToGrid w:val="0"/>
                <w:lang w:eastAsia="en-US"/>
              </w:rPr>
            </w:pPr>
            <w:r>
              <w:rPr>
                <w:lang w:eastAsia="en-US"/>
              </w:rPr>
              <w:t>33</w:t>
            </w:r>
            <w:r w:rsidR="00D7157D">
              <w:rPr>
                <w:lang w:eastAsia="en-US"/>
              </w:rPr>
              <w:t>.</w:t>
            </w:r>
            <w:r>
              <w:rPr>
                <w:lang w:eastAsia="en-US"/>
              </w:rPr>
              <w:t>9678</w:t>
            </w:r>
          </w:p>
        </w:tc>
        <w:tc>
          <w:tcPr>
            <w:tcW w:w="966" w:type="pct"/>
            <w:tcBorders>
              <w:top w:val="single" w:sz="4" w:space="0" w:color="auto"/>
              <w:left w:val="nil"/>
              <w:bottom w:val="single" w:sz="4" w:space="0" w:color="auto"/>
              <w:right w:val="nil"/>
            </w:tcBorders>
          </w:tcPr>
          <w:p w14:paraId="6E93DA9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9242</w:t>
            </w:r>
          </w:p>
        </w:tc>
      </w:tr>
      <w:tr w:rsidR="0086548E" w:rsidRPr="009E2595" w14:paraId="2C2C7178" w14:textId="77777777" w:rsidTr="0086548E">
        <w:trPr>
          <w:cantSplit/>
        </w:trPr>
        <w:tc>
          <w:tcPr>
            <w:tcW w:w="1136" w:type="pct"/>
            <w:tcBorders>
              <w:top w:val="single" w:sz="4" w:space="0" w:color="auto"/>
              <w:bottom w:val="single" w:sz="4" w:space="0" w:color="auto"/>
            </w:tcBorders>
          </w:tcPr>
          <w:p w14:paraId="39266253" w14:textId="77777777" w:rsidR="0086548E" w:rsidRPr="00616B26" w:rsidRDefault="0086548E" w:rsidP="0086548E">
            <w:pPr>
              <w:pStyle w:val="Tabletext"/>
              <w:rPr>
                <w:snapToGrid w:val="0"/>
              </w:rPr>
            </w:pPr>
            <w:r w:rsidRPr="00616B26">
              <w:rPr>
                <w:snapToGrid w:val="0"/>
              </w:rPr>
              <w:t>37</w:t>
            </w:r>
          </w:p>
        </w:tc>
        <w:tc>
          <w:tcPr>
            <w:tcW w:w="966" w:type="pct"/>
            <w:tcBorders>
              <w:top w:val="single" w:sz="4" w:space="0" w:color="auto"/>
              <w:left w:val="nil"/>
              <w:bottom w:val="single" w:sz="4" w:space="0" w:color="auto"/>
              <w:right w:val="nil"/>
            </w:tcBorders>
          </w:tcPr>
          <w:p w14:paraId="1096D409" w14:textId="77777777" w:rsidR="0086548E" w:rsidRDefault="0086548E" w:rsidP="0086548E">
            <w:pPr>
              <w:pStyle w:val="Tabletext"/>
              <w:rPr>
                <w:snapToGrid w:val="0"/>
                <w:lang w:eastAsia="en-US"/>
              </w:rPr>
            </w:pPr>
            <w:r>
              <w:rPr>
                <w:lang w:eastAsia="en-US"/>
              </w:rPr>
              <w:t>32</w:t>
            </w:r>
            <w:r w:rsidR="00D7157D">
              <w:rPr>
                <w:lang w:eastAsia="en-US"/>
              </w:rPr>
              <w:t>.</w:t>
            </w:r>
            <w:r>
              <w:rPr>
                <w:lang w:eastAsia="en-US"/>
              </w:rPr>
              <w:t>5109</w:t>
            </w:r>
          </w:p>
        </w:tc>
        <w:tc>
          <w:tcPr>
            <w:tcW w:w="966" w:type="pct"/>
            <w:tcBorders>
              <w:top w:val="single" w:sz="4" w:space="0" w:color="auto"/>
              <w:left w:val="nil"/>
              <w:bottom w:val="single" w:sz="4" w:space="0" w:color="auto"/>
              <w:right w:val="nil"/>
            </w:tcBorders>
          </w:tcPr>
          <w:p w14:paraId="0551147F"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2759</w:t>
            </w:r>
          </w:p>
        </w:tc>
        <w:tc>
          <w:tcPr>
            <w:tcW w:w="966" w:type="pct"/>
            <w:tcBorders>
              <w:top w:val="single" w:sz="4" w:space="0" w:color="auto"/>
              <w:left w:val="nil"/>
              <w:bottom w:val="single" w:sz="4" w:space="0" w:color="auto"/>
              <w:right w:val="nil"/>
            </w:tcBorders>
          </w:tcPr>
          <w:p w14:paraId="128BFA98" w14:textId="77777777" w:rsidR="0086548E" w:rsidRDefault="0086548E" w:rsidP="0086548E">
            <w:pPr>
              <w:pStyle w:val="Tabletext"/>
              <w:rPr>
                <w:snapToGrid w:val="0"/>
                <w:lang w:eastAsia="en-US"/>
              </w:rPr>
            </w:pPr>
            <w:r>
              <w:rPr>
                <w:lang w:eastAsia="en-US"/>
              </w:rPr>
              <w:t>33</w:t>
            </w:r>
            <w:r w:rsidR="00D7157D">
              <w:rPr>
                <w:lang w:eastAsia="en-US"/>
              </w:rPr>
              <w:t>.</w:t>
            </w:r>
            <w:r>
              <w:rPr>
                <w:lang w:eastAsia="en-US"/>
              </w:rPr>
              <w:t>5971</w:t>
            </w:r>
          </w:p>
        </w:tc>
        <w:tc>
          <w:tcPr>
            <w:tcW w:w="966" w:type="pct"/>
            <w:tcBorders>
              <w:top w:val="single" w:sz="4" w:space="0" w:color="auto"/>
              <w:left w:val="nil"/>
              <w:bottom w:val="single" w:sz="4" w:space="0" w:color="auto"/>
              <w:right w:val="nil"/>
            </w:tcBorders>
          </w:tcPr>
          <w:p w14:paraId="1F19646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9427</w:t>
            </w:r>
          </w:p>
        </w:tc>
      </w:tr>
      <w:tr w:rsidR="0086548E" w:rsidRPr="009E2595" w14:paraId="380D9986" w14:textId="77777777" w:rsidTr="0086548E">
        <w:trPr>
          <w:cantSplit/>
        </w:trPr>
        <w:tc>
          <w:tcPr>
            <w:tcW w:w="1136" w:type="pct"/>
            <w:tcBorders>
              <w:top w:val="single" w:sz="4" w:space="0" w:color="auto"/>
              <w:bottom w:val="single" w:sz="4" w:space="0" w:color="auto"/>
            </w:tcBorders>
          </w:tcPr>
          <w:p w14:paraId="4009E415" w14:textId="77777777" w:rsidR="0086548E" w:rsidRPr="00616B26" w:rsidRDefault="0086548E" w:rsidP="0086548E">
            <w:pPr>
              <w:pStyle w:val="Tabletext"/>
              <w:rPr>
                <w:snapToGrid w:val="0"/>
              </w:rPr>
            </w:pPr>
            <w:r w:rsidRPr="00616B26">
              <w:rPr>
                <w:snapToGrid w:val="0"/>
              </w:rPr>
              <w:t>38</w:t>
            </w:r>
          </w:p>
        </w:tc>
        <w:tc>
          <w:tcPr>
            <w:tcW w:w="966" w:type="pct"/>
            <w:tcBorders>
              <w:top w:val="single" w:sz="4" w:space="0" w:color="auto"/>
              <w:left w:val="nil"/>
              <w:bottom w:val="single" w:sz="4" w:space="0" w:color="auto"/>
              <w:right w:val="nil"/>
            </w:tcBorders>
          </w:tcPr>
          <w:p w14:paraId="567FCB26" w14:textId="77777777" w:rsidR="0086548E" w:rsidRDefault="0086548E" w:rsidP="0086548E">
            <w:pPr>
              <w:pStyle w:val="Tabletext"/>
              <w:rPr>
                <w:snapToGrid w:val="0"/>
                <w:lang w:eastAsia="en-US"/>
              </w:rPr>
            </w:pPr>
            <w:r>
              <w:rPr>
                <w:lang w:eastAsia="en-US"/>
              </w:rPr>
              <w:t>32</w:t>
            </w:r>
            <w:r w:rsidR="00D7157D">
              <w:rPr>
                <w:lang w:eastAsia="en-US"/>
              </w:rPr>
              <w:t>.</w:t>
            </w:r>
            <w:r>
              <w:rPr>
                <w:lang w:eastAsia="en-US"/>
              </w:rPr>
              <w:t>1187</w:t>
            </w:r>
          </w:p>
        </w:tc>
        <w:tc>
          <w:tcPr>
            <w:tcW w:w="966" w:type="pct"/>
            <w:tcBorders>
              <w:top w:val="single" w:sz="4" w:space="0" w:color="auto"/>
              <w:left w:val="nil"/>
              <w:bottom w:val="single" w:sz="4" w:space="0" w:color="auto"/>
              <w:right w:val="nil"/>
            </w:tcBorders>
          </w:tcPr>
          <w:p w14:paraId="7FA1629E"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3173</w:t>
            </w:r>
          </w:p>
        </w:tc>
        <w:tc>
          <w:tcPr>
            <w:tcW w:w="966" w:type="pct"/>
            <w:tcBorders>
              <w:top w:val="single" w:sz="4" w:space="0" w:color="auto"/>
              <w:left w:val="nil"/>
              <w:bottom w:val="single" w:sz="4" w:space="0" w:color="auto"/>
              <w:right w:val="nil"/>
            </w:tcBorders>
          </w:tcPr>
          <w:p w14:paraId="6D51443A" w14:textId="77777777" w:rsidR="0086548E" w:rsidRDefault="0086548E" w:rsidP="0086548E">
            <w:pPr>
              <w:pStyle w:val="Tabletext"/>
              <w:rPr>
                <w:snapToGrid w:val="0"/>
                <w:lang w:eastAsia="en-US"/>
              </w:rPr>
            </w:pPr>
            <w:r>
              <w:rPr>
                <w:lang w:eastAsia="en-US"/>
              </w:rPr>
              <w:t>33</w:t>
            </w:r>
            <w:r w:rsidR="00D7157D">
              <w:rPr>
                <w:lang w:eastAsia="en-US"/>
              </w:rPr>
              <w:t>.</w:t>
            </w:r>
            <w:r>
              <w:rPr>
                <w:lang w:eastAsia="en-US"/>
              </w:rPr>
              <w:t>2193</w:t>
            </w:r>
          </w:p>
        </w:tc>
        <w:tc>
          <w:tcPr>
            <w:tcW w:w="966" w:type="pct"/>
            <w:tcBorders>
              <w:top w:val="single" w:sz="4" w:space="0" w:color="auto"/>
              <w:left w:val="nil"/>
              <w:bottom w:val="single" w:sz="4" w:space="0" w:color="auto"/>
              <w:right w:val="nil"/>
            </w:tcBorders>
          </w:tcPr>
          <w:p w14:paraId="61B3569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9613</w:t>
            </w:r>
          </w:p>
        </w:tc>
      </w:tr>
      <w:tr w:rsidR="0086548E" w:rsidRPr="009E2595" w14:paraId="1948C194" w14:textId="77777777" w:rsidTr="0086548E">
        <w:trPr>
          <w:cantSplit/>
        </w:trPr>
        <w:tc>
          <w:tcPr>
            <w:tcW w:w="1136" w:type="pct"/>
            <w:tcBorders>
              <w:top w:val="single" w:sz="4" w:space="0" w:color="auto"/>
              <w:bottom w:val="single" w:sz="4" w:space="0" w:color="auto"/>
            </w:tcBorders>
          </w:tcPr>
          <w:p w14:paraId="7CC78C22" w14:textId="77777777" w:rsidR="0086548E" w:rsidRPr="00616B26" w:rsidRDefault="0086548E" w:rsidP="0086548E">
            <w:pPr>
              <w:pStyle w:val="Tabletext"/>
              <w:rPr>
                <w:snapToGrid w:val="0"/>
              </w:rPr>
            </w:pPr>
            <w:r w:rsidRPr="00616B26">
              <w:rPr>
                <w:snapToGrid w:val="0"/>
              </w:rPr>
              <w:t>39</w:t>
            </w:r>
          </w:p>
        </w:tc>
        <w:tc>
          <w:tcPr>
            <w:tcW w:w="966" w:type="pct"/>
            <w:tcBorders>
              <w:top w:val="single" w:sz="4" w:space="0" w:color="auto"/>
              <w:left w:val="nil"/>
              <w:bottom w:val="single" w:sz="4" w:space="0" w:color="auto"/>
              <w:right w:val="nil"/>
            </w:tcBorders>
          </w:tcPr>
          <w:p w14:paraId="0E57E81E" w14:textId="77777777" w:rsidR="0086548E" w:rsidRDefault="0086548E" w:rsidP="0086548E">
            <w:pPr>
              <w:pStyle w:val="Tabletext"/>
              <w:rPr>
                <w:snapToGrid w:val="0"/>
                <w:lang w:eastAsia="en-US"/>
              </w:rPr>
            </w:pPr>
            <w:r>
              <w:rPr>
                <w:lang w:eastAsia="en-US"/>
              </w:rPr>
              <w:t>31</w:t>
            </w:r>
            <w:r w:rsidR="00D7157D">
              <w:rPr>
                <w:lang w:eastAsia="en-US"/>
              </w:rPr>
              <w:t>.</w:t>
            </w:r>
            <w:r>
              <w:rPr>
                <w:lang w:eastAsia="en-US"/>
              </w:rPr>
              <w:t>7196</w:t>
            </w:r>
          </w:p>
        </w:tc>
        <w:tc>
          <w:tcPr>
            <w:tcW w:w="966" w:type="pct"/>
            <w:tcBorders>
              <w:top w:val="single" w:sz="4" w:space="0" w:color="auto"/>
              <w:left w:val="nil"/>
              <w:bottom w:val="single" w:sz="4" w:space="0" w:color="auto"/>
              <w:right w:val="nil"/>
            </w:tcBorders>
          </w:tcPr>
          <w:p w14:paraId="5D7092CD"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3591</w:t>
            </w:r>
          </w:p>
        </w:tc>
        <w:tc>
          <w:tcPr>
            <w:tcW w:w="966" w:type="pct"/>
            <w:tcBorders>
              <w:top w:val="single" w:sz="4" w:space="0" w:color="auto"/>
              <w:left w:val="nil"/>
              <w:bottom w:val="single" w:sz="4" w:space="0" w:color="auto"/>
              <w:right w:val="nil"/>
            </w:tcBorders>
          </w:tcPr>
          <w:p w14:paraId="42BC9C63" w14:textId="77777777" w:rsidR="0086548E" w:rsidRDefault="0086548E" w:rsidP="0086548E">
            <w:pPr>
              <w:pStyle w:val="Tabletext"/>
              <w:rPr>
                <w:snapToGrid w:val="0"/>
                <w:lang w:eastAsia="en-US"/>
              </w:rPr>
            </w:pPr>
            <w:r>
              <w:rPr>
                <w:lang w:eastAsia="en-US"/>
              </w:rPr>
              <w:t>32</w:t>
            </w:r>
            <w:r w:rsidR="00D7157D">
              <w:rPr>
                <w:lang w:eastAsia="en-US"/>
              </w:rPr>
              <w:t>.</w:t>
            </w:r>
            <w:r>
              <w:rPr>
                <w:lang w:eastAsia="en-US"/>
              </w:rPr>
              <w:t>8344</w:t>
            </w:r>
          </w:p>
        </w:tc>
        <w:tc>
          <w:tcPr>
            <w:tcW w:w="966" w:type="pct"/>
            <w:tcBorders>
              <w:top w:val="single" w:sz="4" w:space="0" w:color="auto"/>
              <w:left w:val="nil"/>
              <w:bottom w:val="single" w:sz="4" w:space="0" w:color="auto"/>
              <w:right w:val="nil"/>
            </w:tcBorders>
          </w:tcPr>
          <w:p w14:paraId="58C85A9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9801</w:t>
            </w:r>
          </w:p>
        </w:tc>
      </w:tr>
      <w:tr w:rsidR="0086548E" w:rsidRPr="009E2595" w14:paraId="2ABF3847" w14:textId="77777777" w:rsidTr="0086548E">
        <w:trPr>
          <w:cantSplit/>
        </w:trPr>
        <w:tc>
          <w:tcPr>
            <w:tcW w:w="1136" w:type="pct"/>
            <w:tcBorders>
              <w:top w:val="single" w:sz="4" w:space="0" w:color="auto"/>
              <w:bottom w:val="single" w:sz="4" w:space="0" w:color="auto"/>
            </w:tcBorders>
          </w:tcPr>
          <w:p w14:paraId="1737195E" w14:textId="77777777" w:rsidR="0086548E" w:rsidRPr="00616B26" w:rsidRDefault="0086548E" w:rsidP="0086548E">
            <w:pPr>
              <w:pStyle w:val="Tabletext"/>
              <w:rPr>
                <w:snapToGrid w:val="0"/>
              </w:rPr>
            </w:pPr>
            <w:r w:rsidRPr="00616B26">
              <w:rPr>
                <w:snapToGrid w:val="0"/>
              </w:rPr>
              <w:t>40</w:t>
            </w:r>
          </w:p>
        </w:tc>
        <w:tc>
          <w:tcPr>
            <w:tcW w:w="966" w:type="pct"/>
            <w:tcBorders>
              <w:top w:val="single" w:sz="4" w:space="0" w:color="auto"/>
              <w:left w:val="nil"/>
              <w:bottom w:val="single" w:sz="4" w:space="0" w:color="auto"/>
              <w:right w:val="nil"/>
            </w:tcBorders>
          </w:tcPr>
          <w:p w14:paraId="37D4F361" w14:textId="77777777" w:rsidR="0086548E" w:rsidRDefault="0086548E" w:rsidP="0086548E">
            <w:pPr>
              <w:pStyle w:val="Tabletext"/>
              <w:rPr>
                <w:snapToGrid w:val="0"/>
                <w:lang w:eastAsia="en-US"/>
              </w:rPr>
            </w:pPr>
            <w:r>
              <w:rPr>
                <w:lang w:eastAsia="en-US"/>
              </w:rPr>
              <w:t>31</w:t>
            </w:r>
            <w:r w:rsidR="00D7157D">
              <w:rPr>
                <w:lang w:eastAsia="en-US"/>
              </w:rPr>
              <w:t>.</w:t>
            </w:r>
            <w:r>
              <w:rPr>
                <w:lang w:eastAsia="en-US"/>
              </w:rPr>
              <w:t>3138</w:t>
            </w:r>
          </w:p>
        </w:tc>
        <w:tc>
          <w:tcPr>
            <w:tcW w:w="966" w:type="pct"/>
            <w:tcBorders>
              <w:top w:val="single" w:sz="4" w:space="0" w:color="auto"/>
              <w:left w:val="nil"/>
              <w:bottom w:val="single" w:sz="4" w:space="0" w:color="auto"/>
              <w:right w:val="nil"/>
            </w:tcBorders>
          </w:tcPr>
          <w:p w14:paraId="7F89ADF8"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4010</w:t>
            </w:r>
          </w:p>
        </w:tc>
        <w:tc>
          <w:tcPr>
            <w:tcW w:w="966" w:type="pct"/>
            <w:tcBorders>
              <w:top w:val="single" w:sz="4" w:space="0" w:color="auto"/>
              <w:left w:val="nil"/>
              <w:bottom w:val="single" w:sz="4" w:space="0" w:color="auto"/>
              <w:right w:val="nil"/>
            </w:tcBorders>
          </w:tcPr>
          <w:p w14:paraId="5FE40C36" w14:textId="77777777" w:rsidR="0086548E" w:rsidRDefault="0086548E" w:rsidP="0086548E">
            <w:pPr>
              <w:pStyle w:val="Tabletext"/>
              <w:rPr>
                <w:snapToGrid w:val="0"/>
                <w:lang w:eastAsia="en-US"/>
              </w:rPr>
            </w:pPr>
            <w:r>
              <w:rPr>
                <w:lang w:eastAsia="en-US"/>
              </w:rPr>
              <w:t>32</w:t>
            </w:r>
            <w:r w:rsidR="00D7157D">
              <w:rPr>
                <w:lang w:eastAsia="en-US"/>
              </w:rPr>
              <w:t>.</w:t>
            </w:r>
            <w:r>
              <w:rPr>
                <w:lang w:eastAsia="en-US"/>
              </w:rPr>
              <w:t>4426</w:t>
            </w:r>
          </w:p>
        </w:tc>
        <w:tc>
          <w:tcPr>
            <w:tcW w:w="966" w:type="pct"/>
            <w:tcBorders>
              <w:top w:val="single" w:sz="4" w:space="0" w:color="auto"/>
              <w:left w:val="nil"/>
              <w:bottom w:val="single" w:sz="4" w:space="0" w:color="auto"/>
              <w:right w:val="nil"/>
            </w:tcBorders>
          </w:tcPr>
          <w:p w14:paraId="4AB55D0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9989</w:t>
            </w:r>
          </w:p>
        </w:tc>
      </w:tr>
      <w:tr w:rsidR="0086548E" w:rsidRPr="009E2595" w14:paraId="50398CE6" w14:textId="77777777" w:rsidTr="0086548E">
        <w:trPr>
          <w:cantSplit/>
        </w:trPr>
        <w:tc>
          <w:tcPr>
            <w:tcW w:w="1136" w:type="pct"/>
            <w:tcBorders>
              <w:top w:val="single" w:sz="4" w:space="0" w:color="auto"/>
              <w:bottom w:val="single" w:sz="4" w:space="0" w:color="auto"/>
            </w:tcBorders>
          </w:tcPr>
          <w:p w14:paraId="04DEC800" w14:textId="77777777" w:rsidR="0086548E" w:rsidRPr="00616B26" w:rsidRDefault="0086548E" w:rsidP="0086548E">
            <w:pPr>
              <w:pStyle w:val="Tabletext"/>
              <w:rPr>
                <w:snapToGrid w:val="0"/>
              </w:rPr>
            </w:pPr>
            <w:r w:rsidRPr="00616B26">
              <w:rPr>
                <w:snapToGrid w:val="0"/>
              </w:rPr>
              <w:t>41</w:t>
            </w:r>
          </w:p>
        </w:tc>
        <w:tc>
          <w:tcPr>
            <w:tcW w:w="966" w:type="pct"/>
            <w:tcBorders>
              <w:top w:val="single" w:sz="4" w:space="0" w:color="auto"/>
              <w:left w:val="nil"/>
              <w:bottom w:val="single" w:sz="4" w:space="0" w:color="auto"/>
              <w:right w:val="nil"/>
            </w:tcBorders>
          </w:tcPr>
          <w:p w14:paraId="71AB510F" w14:textId="77777777" w:rsidR="0086548E" w:rsidRDefault="0086548E" w:rsidP="0086548E">
            <w:pPr>
              <w:pStyle w:val="Tabletext"/>
              <w:rPr>
                <w:snapToGrid w:val="0"/>
                <w:lang w:eastAsia="en-US"/>
              </w:rPr>
            </w:pPr>
            <w:r>
              <w:rPr>
                <w:lang w:eastAsia="en-US"/>
              </w:rPr>
              <w:t>30</w:t>
            </w:r>
            <w:r w:rsidR="00D7157D">
              <w:rPr>
                <w:lang w:eastAsia="en-US"/>
              </w:rPr>
              <w:t>.</w:t>
            </w:r>
            <w:r>
              <w:rPr>
                <w:lang w:eastAsia="en-US"/>
              </w:rPr>
              <w:t>9011</w:t>
            </w:r>
          </w:p>
        </w:tc>
        <w:tc>
          <w:tcPr>
            <w:tcW w:w="966" w:type="pct"/>
            <w:tcBorders>
              <w:top w:val="single" w:sz="4" w:space="0" w:color="auto"/>
              <w:left w:val="nil"/>
              <w:bottom w:val="single" w:sz="4" w:space="0" w:color="auto"/>
              <w:right w:val="nil"/>
            </w:tcBorders>
          </w:tcPr>
          <w:p w14:paraId="54519AF8"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3616</w:t>
            </w:r>
          </w:p>
        </w:tc>
        <w:tc>
          <w:tcPr>
            <w:tcW w:w="966" w:type="pct"/>
            <w:tcBorders>
              <w:top w:val="single" w:sz="4" w:space="0" w:color="auto"/>
              <w:left w:val="nil"/>
              <w:bottom w:val="single" w:sz="4" w:space="0" w:color="auto"/>
              <w:right w:val="nil"/>
            </w:tcBorders>
          </w:tcPr>
          <w:p w14:paraId="59B2F2EF" w14:textId="77777777" w:rsidR="0086548E" w:rsidRDefault="0086548E" w:rsidP="0086548E">
            <w:pPr>
              <w:pStyle w:val="Tabletext"/>
              <w:rPr>
                <w:snapToGrid w:val="0"/>
                <w:lang w:eastAsia="en-US"/>
              </w:rPr>
            </w:pPr>
            <w:r>
              <w:rPr>
                <w:lang w:eastAsia="en-US"/>
              </w:rPr>
              <w:t>32</w:t>
            </w:r>
            <w:r w:rsidR="00D7157D">
              <w:rPr>
                <w:lang w:eastAsia="en-US"/>
              </w:rPr>
              <w:t>.</w:t>
            </w:r>
            <w:r>
              <w:rPr>
                <w:lang w:eastAsia="en-US"/>
              </w:rPr>
              <w:t>0433</w:t>
            </w:r>
          </w:p>
        </w:tc>
        <w:tc>
          <w:tcPr>
            <w:tcW w:w="966" w:type="pct"/>
            <w:tcBorders>
              <w:top w:val="single" w:sz="4" w:space="0" w:color="auto"/>
              <w:left w:val="nil"/>
              <w:bottom w:val="single" w:sz="4" w:space="0" w:color="auto"/>
              <w:right w:val="nil"/>
            </w:tcBorders>
          </w:tcPr>
          <w:p w14:paraId="411EA8A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9568</w:t>
            </w:r>
          </w:p>
        </w:tc>
      </w:tr>
      <w:tr w:rsidR="0086548E" w:rsidRPr="009E2595" w14:paraId="5639039A" w14:textId="77777777" w:rsidTr="0086548E">
        <w:trPr>
          <w:cantSplit/>
        </w:trPr>
        <w:tc>
          <w:tcPr>
            <w:tcW w:w="1136" w:type="pct"/>
            <w:tcBorders>
              <w:top w:val="single" w:sz="4" w:space="0" w:color="auto"/>
              <w:bottom w:val="single" w:sz="4" w:space="0" w:color="auto"/>
            </w:tcBorders>
          </w:tcPr>
          <w:p w14:paraId="4ADF3928" w14:textId="77777777" w:rsidR="0086548E" w:rsidRPr="00616B26" w:rsidRDefault="0086548E" w:rsidP="0086548E">
            <w:pPr>
              <w:pStyle w:val="Tabletext"/>
              <w:rPr>
                <w:snapToGrid w:val="0"/>
              </w:rPr>
            </w:pPr>
            <w:r w:rsidRPr="00616B26">
              <w:rPr>
                <w:snapToGrid w:val="0"/>
              </w:rPr>
              <w:t>42</w:t>
            </w:r>
          </w:p>
        </w:tc>
        <w:tc>
          <w:tcPr>
            <w:tcW w:w="966" w:type="pct"/>
            <w:tcBorders>
              <w:top w:val="single" w:sz="4" w:space="0" w:color="auto"/>
              <w:left w:val="nil"/>
              <w:bottom w:val="single" w:sz="4" w:space="0" w:color="auto"/>
              <w:right w:val="nil"/>
            </w:tcBorders>
          </w:tcPr>
          <w:p w14:paraId="70A0990E" w14:textId="77777777" w:rsidR="0086548E" w:rsidRDefault="0086548E" w:rsidP="0086548E">
            <w:pPr>
              <w:pStyle w:val="Tabletext"/>
              <w:rPr>
                <w:snapToGrid w:val="0"/>
                <w:lang w:eastAsia="en-US"/>
              </w:rPr>
            </w:pPr>
            <w:r>
              <w:rPr>
                <w:lang w:eastAsia="en-US"/>
              </w:rPr>
              <w:t>30</w:t>
            </w:r>
            <w:r w:rsidR="00D7157D">
              <w:rPr>
                <w:lang w:eastAsia="en-US"/>
              </w:rPr>
              <w:t>.</w:t>
            </w:r>
            <w:r>
              <w:rPr>
                <w:lang w:eastAsia="en-US"/>
              </w:rPr>
              <w:t>4816</w:t>
            </w:r>
          </w:p>
        </w:tc>
        <w:tc>
          <w:tcPr>
            <w:tcW w:w="966" w:type="pct"/>
            <w:tcBorders>
              <w:top w:val="single" w:sz="4" w:space="0" w:color="auto"/>
              <w:left w:val="nil"/>
              <w:bottom w:val="single" w:sz="4" w:space="0" w:color="auto"/>
              <w:right w:val="nil"/>
            </w:tcBorders>
          </w:tcPr>
          <w:p w14:paraId="5C1CB302"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3194</w:t>
            </w:r>
          </w:p>
        </w:tc>
        <w:tc>
          <w:tcPr>
            <w:tcW w:w="966" w:type="pct"/>
            <w:tcBorders>
              <w:top w:val="single" w:sz="4" w:space="0" w:color="auto"/>
              <w:left w:val="nil"/>
              <w:bottom w:val="single" w:sz="4" w:space="0" w:color="auto"/>
              <w:right w:val="nil"/>
            </w:tcBorders>
          </w:tcPr>
          <w:p w14:paraId="540C368E" w14:textId="77777777" w:rsidR="0086548E" w:rsidRDefault="0086548E" w:rsidP="0086548E">
            <w:pPr>
              <w:pStyle w:val="Tabletext"/>
              <w:rPr>
                <w:snapToGrid w:val="0"/>
                <w:lang w:eastAsia="en-US"/>
              </w:rPr>
            </w:pPr>
            <w:r>
              <w:rPr>
                <w:lang w:eastAsia="en-US"/>
              </w:rPr>
              <w:t>31</w:t>
            </w:r>
            <w:r w:rsidR="00D7157D">
              <w:rPr>
                <w:lang w:eastAsia="en-US"/>
              </w:rPr>
              <w:t>.</w:t>
            </w:r>
            <w:r>
              <w:rPr>
                <w:lang w:eastAsia="en-US"/>
              </w:rPr>
              <w:t>6370</w:t>
            </w:r>
          </w:p>
        </w:tc>
        <w:tc>
          <w:tcPr>
            <w:tcW w:w="966" w:type="pct"/>
            <w:tcBorders>
              <w:top w:val="single" w:sz="4" w:space="0" w:color="auto"/>
              <w:left w:val="nil"/>
              <w:bottom w:val="single" w:sz="4" w:space="0" w:color="auto"/>
              <w:right w:val="nil"/>
            </w:tcBorders>
          </w:tcPr>
          <w:p w14:paraId="7395D5D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9124</w:t>
            </w:r>
          </w:p>
        </w:tc>
      </w:tr>
      <w:tr w:rsidR="0086548E" w:rsidRPr="009E2595" w14:paraId="2A80BF43" w14:textId="77777777" w:rsidTr="0086548E">
        <w:trPr>
          <w:cantSplit/>
        </w:trPr>
        <w:tc>
          <w:tcPr>
            <w:tcW w:w="1136" w:type="pct"/>
            <w:tcBorders>
              <w:top w:val="single" w:sz="4" w:space="0" w:color="auto"/>
              <w:bottom w:val="single" w:sz="4" w:space="0" w:color="auto"/>
            </w:tcBorders>
          </w:tcPr>
          <w:p w14:paraId="644BFFD6" w14:textId="77777777" w:rsidR="0086548E" w:rsidRPr="00616B26" w:rsidRDefault="0086548E" w:rsidP="0086548E">
            <w:pPr>
              <w:pStyle w:val="Tabletext"/>
              <w:rPr>
                <w:snapToGrid w:val="0"/>
              </w:rPr>
            </w:pPr>
            <w:r w:rsidRPr="00616B26">
              <w:rPr>
                <w:snapToGrid w:val="0"/>
              </w:rPr>
              <w:t>43</w:t>
            </w:r>
          </w:p>
        </w:tc>
        <w:tc>
          <w:tcPr>
            <w:tcW w:w="966" w:type="pct"/>
            <w:tcBorders>
              <w:top w:val="single" w:sz="4" w:space="0" w:color="auto"/>
              <w:left w:val="nil"/>
              <w:bottom w:val="single" w:sz="4" w:space="0" w:color="auto"/>
              <w:right w:val="nil"/>
            </w:tcBorders>
          </w:tcPr>
          <w:p w14:paraId="52A2AD3A" w14:textId="77777777" w:rsidR="0086548E" w:rsidRDefault="0086548E" w:rsidP="0086548E">
            <w:pPr>
              <w:pStyle w:val="Tabletext"/>
              <w:rPr>
                <w:snapToGrid w:val="0"/>
                <w:lang w:eastAsia="en-US"/>
              </w:rPr>
            </w:pPr>
            <w:r>
              <w:rPr>
                <w:lang w:eastAsia="en-US"/>
              </w:rPr>
              <w:t>30</w:t>
            </w:r>
            <w:r w:rsidR="00D7157D">
              <w:rPr>
                <w:lang w:eastAsia="en-US"/>
              </w:rPr>
              <w:t>.</w:t>
            </w:r>
            <w:r>
              <w:rPr>
                <w:lang w:eastAsia="en-US"/>
              </w:rPr>
              <w:t>0552</w:t>
            </w:r>
          </w:p>
        </w:tc>
        <w:tc>
          <w:tcPr>
            <w:tcW w:w="966" w:type="pct"/>
            <w:tcBorders>
              <w:top w:val="single" w:sz="4" w:space="0" w:color="auto"/>
              <w:left w:val="nil"/>
              <w:bottom w:val="single" w:sz="4" w:space="0" w:color="auto"/>
              <w:right w:val="nil"/>
            </w:tcBorders>
          </w:tcPr>
          <w:p w14:paraId="45DC66E8"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2743</w:t>
            </w:r>
          </w:p>
        </w:tc>
        <w:tc>
          <w:tcPr>
            <w:tcW w:w="966" w:type="pct"/>
            <w:tcBorders>
              <w:top w:val="single" w:sz="4" w:space="0" w:color="auto"/>
              <w:left w:val="nil"/>
              <w:bottom w:val="single" w:sz="4" w:space="0" w:color="auto"/>
              <w:right w:val="nil"/>
            </w:tcBorders>
          </w:tcPr>
          <w:p w14:paraId="3364AE25" w14:textId="77777777" w:rsidR="0086548E" w:rsidRDefault="0086548E" w:rsidP="0086548E">
            <w:pPr>
              <w:pStyle w:val="Tabletext"/>
              <w:rPr>
                <w:snapToGrid w:val="0"/>
                <w:lang w:eastAsia="en-US"/>
              </w:rPr>
            </w:pPr>
            <w:r>
              <w:rPr>
                <w:lang w:eastAsia="en-US"/>
              </w:rPr>
              <w:t>31</w:t>
            </w:r>
            <w:r w:rsidR="00D7157D">
              <w:rPr>
                <w:lang w:eastAsia="en-US"/>
              </w:rPr>
              <w:t>.</w:t>
            </w:r>
            <w:r>
              <w:rPr>
                <w:lang w:eastAsia="en-US"/>
              </w:rPr>
              <w:t>2233</w:t>
            </w:r>
          </w:p>
        </w:tc>
        <w:tc>
          <w:tcPr>
            <w:tcW w:w="966" w:type="pct"/>
            <w:tcBorders>
              <w:top w:val="single" w:sz="4" w:space="0" w:color="auto"/>
              <w:left w:val="nil"/>
              <w:bottom w:val="single" w:sz="4" w:space="0" w:color="auto"/>
              <w:right w:val="nil"/>
            </w:tcBorders>
          </w:tcPr>
          <w:p w14:paraId="38798F7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8658</w:t>
            </w:r>
          </w:p>
        </w:tc>
      </w:tr>
      <w:tr w:rsidR="0086548E" w:rsidRPr="009E2595" w14:paraId="5B286876" w14:textId="77777777" w:rsidTr="0086548E">
        <w:trPr>
          <w:cantSplit/>
        </w:trPr>
        <w:tc>
          <w:tcPr>
            <w:tcW w:w="1136" w:type="pct"/>
            <w:tcBorders>
              <w:top w:val="single" w:sz="4" w:space="0" w:color="auto"/>
              <w:bottom w:val="single" w:sz="4" w:space="0" w:color="auto"/>
            </w:tcBorders>
          </w:tcPr>
          <w:p w14:paraId="283645AF" w14:textId="77777777" w:rsidR="0086548E" w:rsidRPr="00616B26" w:rsidRDefault="0086548E" w:rsidP="0086548E">
            <w:pPr>
              <w:pStyle w:val="Tabletext"/>
              <w:rPr>
                <w:snapToGrid w:val="0"/>
              </w:rPr>
            </w:pPr>
            <w:r w:rsidRPr="00616B26">
              <w:rPr>
                <w:snapToGrid w:val="0"/>
              </w:rPr>
              <w:t>44</w:t>
            </w:r>
          </w:p>
        </w:tc>
        <w:tc>
          <w:tcPr>
            <w:tcW w:w="966" w:type="pct"/>
            <w:tcBorders>
              <w:top w:val="single" w:sz="4" w:space="0" w:color="auto"/>
              <w:left w:val="nil"/>
              <w:bottom w:val="single" w:sz="4" w:space="0" w:color="auto"/>
              <w:right w:val="nil"/>
            </w:tcBorders>
          </w:tcPr>
          <w:p w14:paraId="451C03F8" w14:textId="77777777" w:rsidR="0086548E" w:rsidRDefault="0086548E" w:rsidP="0086548E">
            <w:pPr>
              <w:pStyle w:val="Tabletext"/>
              <w:rPr>
                <w:snapToGrid w:val="0"/>
                <w:lang w:eastAsia="en-US"/>
              </w:rPr>
            </w:pPr>
            <w:r>
              <w:rPr>
                <w:lang w:eastAsia="en-US"/>
              </w:rPr>
              <w:t>29</w:t>
            </w:r>
            <w:r w:rsidR="00D7157D">
              <w:rPr>
                <w:lang w:eastAsia="en-US"/>
              </w:rPr>
              <w:t>.</w:t>
            </w:r>
            <w:r>
              <w:rPr>
                <w:lang w:eastAsia="en-US"/>
              </w:rPr>
              <w:t>6217</w:t>
            </w:r>
          </w:p>
        </w:tc>
        <w:tc>
          <w:tcPr>
            <w:tcW w:w="966" w:type="pct"/>
            <w:tcBorders>
              <w:top w:val="single" w:sz="4" w:space="0" w:color="auto"/>
              <w:left w:val="nil"/>
              <w:bottom w:val="single" w:sz="4" w:space="0" w:color="auto"/>
              <w:right w:val="nil"/>
            </w:tcBorders>
          </w:tcPr>
          <w:p w14:paraId="5ED1202D"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2265</w:t>
            </w:r>
          </w:p>
        </w:tc>
        <w:tc>
          <w:tcPr>
            <w:tcW w:w="966" w:type="pct"/>
            <w:tcBorders>
              <w:top w:val="single" w:sz="4" w:space="0" w:color="auto"/>
              <w:left w:val="nil"/>
              <w:bottom w:val="single" w:sz="4" w:space="0" w:color="auto"/>
              <w:right w:val="nil"/>
            </w:tcBorders>
          </w:tcPr>
          <w:p w14:paraId="17CC4B72" w14:textId="77777777" w:rsidR="0086548E" w:rsidRDefault="0086548E" w:rsidP="0086548E">
            <w:pPr>
              <w:pStyle w:val="Tabletext"/>
              <w:rPr>
                <w:snapToGrid w:val="0"/>
                <w:lang w:eastAsia="en-US"/>
              </w:rPr>
            </w:pPr>
            <w:r>
              <w:rPr>
                <w:lang w:eastAsia="en-US"/>
              </w:rPr>
              <w:t>30</w:t>
            </w:r>
            <w:r w:rsidR="00D7157D">
              <w:rPr>
                <w:lang w:eastAsia="en-US"/>
              </w:rPr>
              <w:t>.</w:t>
            </w:r>
            <w:r>
              <w:rPr>
                <w:lang w:eastAsia="en-US"/>
              </w:rPr>
              <w:t>8023</w:t>
            </w:r>
          </w:p>
        </w:tc>
        <w:tc>
          <w:tcPr>
            <w:tcW w:w="966" w:type="pct"/>
            <w:tcBorders>
              <w:top w:val="single" w:sz="4" w:space="0" w:color="auto"/>
              <w:left w:val="nil"/>
              <w:bottom w:val="single" w:sz="4" w:space="0" w:color="auto"/>
              <w:right w:val="nil"/>
            </w:tcBorders>
          </w:tcPr>
          <w:p w14:paraId="137719E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8168</w:t>
            </w:r>
          </w:p>
        </w:tc>
      </w:tr>
      <w:tr w:rsidR="0086548E" w:rsidRPr="009E2595" w14:paraId="711E967D" w14:textId="77777777" w:rsidTr="0086548E">
        <w:trPr>
          <w:cantSplit/>
        </w:trPr>
        <w:tc>
          <w:tcPr>
            <w:tcW w:w="1136" w:type="pct"/>
            <w:tcBorders>
              <w:top w:val="single" w:sz="4" w:space="0" w:color="auto"/>
              <w:bottom w:val="single" w:sz="4" w:space="0" w:color="auto"/>
            </w:tcBorders>
          </w:tcPr>
          <w:p w14:paraId="383C58A6" w14:textId="77777777" w:rsidR="0086548E" w:rsidRPr="00616B26" w:rsidRDefault="0086548E" w:rsidP="0086548E">
            <w:pPr>
              <w:pStyle w:val="Tabletext"/>
              <w:rPr>
                <w:snapToGrid w:val="0"/>
              </w:rPr>
            </w:pPr>
            <w:r w:rsidRPr="00616B26">
              <w:rPr>
                <w:snapToGrid w:val="0"/>
              </w:rPr>
              <w:t>45</w:t>
            </w:r>
          </w:p>
        </w:tc>
        <w:tc>
          <w:tcPr>
            <w:tcW w:w="966" w:type="pct"/>
            <w:tcBorders>
              <w:top w:val="single" w:sz="4" w:space="0" w:color="auto"/>
              <w:left w:val="nil"/>
              <w:bottom w:val="single" w:sz="4" w:space="0" w:color="auto"/>
              <w:right w:val="nil"/>
            </w:tcBorders>
          </w:tcPr>
          <w:p w14:paraId="7E21B3B7" w14:textId="77777777" w:rsidR="0086548E" w:rsidRDefault="0086548E" w:rsidP="0086548E">
            <w:pPr>
              <w:pStyle w:val="Tabletext"/>
              <w:rPr>
                <w:snapToGrid w:val="0"/>
                <w:lang w:eastAsia="en-US"/>
              </w:rPr>
            </w:pPr>
            <w:r>
              <w:rPr>
                <w:lang w:eastAsia="en-US"/>
              </w:rPr>
              <w:t>29</w:t>
            </w:r>
            <w:r w:rsidR="00D7157D">
              <w:rPr>
                <w:lang w:eastAsia="en-US"/>
              </w:rPr>
              <w:t>.</w:t>
            </w:r>
            <w:r>
              <w:rPr>
                <w:lang w:eastAsia="en-US"/>
              </w:rPr>
              <w:t>1814</w:t>
            </w:r>
          </w:p>
        </w:tc>
        <w:tc>
          <w:tcPr>
            <w:tcW w:w="966" w:type="pct"/>
            <w:tcBorders>
              <w:top w:val="single" w:sz="4" w:space="0" w:color="auto"/>
              <w:left w:val="nil"/>
              <w:bottom w:val="single" w:sz="4" w:space="0" w:color="auto"/>
              <w:right w:val="nil"/>
            </w:tcBorders>
          </w:tcPr>
          <w:p w14:paraId="6DF86465"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1757</w:t>
            </w:r>
          </w:p>
        </w:tc>
        <w:tc>
          <w:tcPr>
            <w:tcW w:w="966" w:type="pct"/>
            <w:tcBorders>
              <w:top w:val="single" w:sz="4" w:space="0" w:color="auto"/>
              <w:left w:val="nil"/>
              <w:bottom w:val="single" w:sz="4" w:space="0" w:color="auto"/>
              <w:right w:val="nil"/>
            </w:tcBorders>
          </w:tcPr>
          <w:p w14:paraId="6D306CB3" w14:textId="77777777" w:rsidR="0086548E" w:rsidRDefault="0086548E" w:rsidP="0086548E">
            <w:pPr>
              <w:pStyle w:val="Tabletext"/>
              <w:rPr>
                <w:snapToGrid w:val="0"/>
                <w:lang w:eastAsia="en-US"/>
              </w:rPr>
            </w:pPr>
            <w:r>
              <w:rPr>
                <w:lang w:eastAsia="en-US"/>
              </w:rPr>
              <w:t>30</w:t>
            </w:r>
            <w:r w:rsidR="00D7157D">
              <w:rPr>
                <w:lang w:eastAsia="en-US"/>
              </w:rPr>
              <w:t>.</w:t>
            </w:r>
            <w:r>
              <w:rPr>
                <w:lang w:eastAsia="en-US"/>
              </w:rPr>
              <w:t>3739</w:t>
            </w:r>
          </w:p>
        </w:tc>
        <w:tc>
          <w:tcPr>
            <w:tcW w:w="966" w:type="pct"/>
            <w:tcBorders>
              <w:top w:val="single" w:sz="4" w:space="0" w:color="auto"/>
              <w:left w:val="nil"/>
              <w:bottom w:val="single" w:sz="4" w:space="0" w:color="auto"/>
              <w:right w:val="nil"/>
            </w:tcBorders>
          </w:tcPr>
          <w:p w14:paraId="75C7128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7656</w:t>
            </w:r>
          </w:p>
        </w:tc>
      </w:tr>
      <w:tr w:rsidR="0086548E" w:rsidRPr="009E2595" w14:paraId="0ED2148A" w14:textId="77777777" w:rsidTr="0086548E">
        <w:trPr>
          <w:cantSplit/>
        </w:trPr>
        <w:tc>
          <w:tcPr>
            <w:tcW w:w="1136" w:type="pct"/>
            <w:tcBorders>
              <w:top w:val="single" w:sz="4" w:space="0" w:color="auto"/>
              <w:bottom w:val="single" w:sz="4" w:space="0" w:color="auto"/>
            </w:tcBorders>
          </w:tcPr>
          <w:p w14:paraId="3D802455" w14:textId="77777777" w:rsidR="0086548E" w:rsidRPr="00616B26" w:rsidRDefault="0086548E" w:rsidP="0086548E">
            <w:pPr>
              <w:pStyle w:val="Tabletext"/>
              <w:rPr>
                <w:snapToGrid w:val="0"/>
              </w:rPr>
            </w:pPr>
            <w:r w:rsidRPr="00616B26">
              <w:rPr>
                <w:snapToGrid w:val="0"/>
              </w:rPr>
              <w:t>46</w:t>
            </w:r>
          </w:p>
        </w:tc>
        <w:tc>
          <w:tcPr>
            <w:tcW w:w="966" w:type="pct"/>
            <w:tcBorders>
              <w:top w:val="single" w:sz="4" w:space="0" w:color="auto"/>
              <w:left w:val="nil"/>
              <w:bottom w:val="single" w:sz="4" w:space="0" w:color="auto"/>
              <w:right w:val="nil"/>
            </w:tcBorders>
          </w:tcPr>
          <w:p w14:paraId="77FEB282" w14:textId="77777777" w:rsidR="0086548E" w:rsidRDefault="0086548E" w:rsidP="0086548E">
            <w:pPr>
              <w:pStyle w:val="Tabletext"/>
              <w:rPr>
                <w:snapToGrid w:val="0"/>
                <w:lang w:eastAsia="en-US"/>
              </w:rPr>
            </w:pPr>
            <w:r>
              <w:rPr>
                <w:lang w:eastAsia="en-US"/>
              </w:rPr>
              <w:t>28</w:t>
            </w:r>
            <w:r w:rsidR="00D7157D">
              <w:rPr>
                <w:lang w:eastAsia="en-US"/>
              </w:rPr>
              <w:t>.</w:t>
            </w:r>
            <w:r>
              <w:rPr>
                <w:lang w:eastAsia="en-US"/>
              </w:rPr>
              <w:t>7343</w:t>
            </w:r>
          </w:p>
        </w:tc>
        <w:tc>
          <w:tcPr>
            <w:tcW w:w="966" w:type="pct"/>
            <w:tcBorders>
              <w:top w:val="single" w:sz="4" w:space="0" w:color="auto"/>
              <w:left w:val="nil"/>
              <w:bottom w:val="single" w:sz="4" w:space="0" w:color="auto"/>
              <w:right w:val="nil"/>
            </w:tcBorders>
          </w:tcPr>
          <w:p w14:paraId="01131912"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1218</w:t>
            </w:r>
          </w:p>
        </w:tc>
        <w:tc>
          <w:tcPr>
            <w:tcW w:w="966" w:type="pct"/>
            <w:tcBorders>
              <w:top w:val="single" w:sz="4" w:space="0" w:color="auto"/>
              <w:left w:val="nil"/>
              <w:bottom w:val="single" w:sz="4" w:space="0" w:color="auto"/>
              <w:right w:val="nil"/>
            </w:tcBorders>
          </w:tcPr>
          <w:p w14:paraId="54B5741F" w14:textId="77777777" w:rsidR="0086548E" w:rsidRDefault="0086548E" w:rsidP="0086548E">
            <w:pPr>
              <w:pStyle w:val="Tabletext"/>
              <w:rPr>
                <w:snapToGrid w:val="0"/>
                <w:lang w:eastAsia="en-US"/>
              </w:rPr>
            </w:pPr>
            <w:r>
              <w:rPr>
                <w:lang w:eastAsia="en-US"/>
              </w:rPr>
              <w:t>29</w:t>
            </w:r>
            <w:r w:rsidR="00D7157D">
              <w:rPr>
                <w:lang w:eastAsia="en-US"/>
              </w:rPr>
              <w:t>.</w:t>
            </w:r>
            <w:r>
              <w:rPr>
                <w:lang w:eastAsia="en-US"/>
              </w:rPr>
              <w:t>9377</w:t>
            </w:r>
          </w:p>
        </w:tc>
        <w:tc>
          <w:tcPr>
            <w:tcW w:w="966" w:type="pct"/>
            <w:tcBorders>
              <w:top w:val="single" w:sz="4" w:space="0" w:color="auto"/>
              <w:left w:val="nil"/>
              <w:bottom w:val="single" w:sz="4" w:space="0" w:color="auto"/>
              <w:right w:val="nil"/>
            </w:tcBorders>
          </w:tcPr>
          <w:p w14:paraId="5034A60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7121</w:t>
            </w:r>
          </w:p>
        </w:tc>
      </w:tr>
      <w:tr w:rsidR="0086548E" w:rsidRPr="009E2595" w14:paraId="6260C42B" w14:textId="77777777" w:rsidTr="0086548E">
        <w:trPr>
          <w:cantSplit/>
        </w:trPr>
        <w:tc>
          <w:tcPr>
            <w:tcW w:w="1136" w:type="pct"/>
            <w:tcBorders>
              <w:top w:val="single" w:sz="4" w:space="0" w:color="auto"/>
              <w:bottom w:val="single" w:sz="4" w:space="0" w:color="auto"/>
            </w:tcBorders>
          </w:tcPr>
          <w:p w14:paraId="2C6ABC3D" w14:textId="77777777" w:rsidR="0086548E" w:rsidRPr="00616B26" w:rsidRDefault="0086548E" w:rsidP="0086548E">
            <w:pPr>
              <w:pStyle w:val="Tabletext"/>
              <w:rPr>
                <w:snapToGrid w:val="0"/>
              </w:rPr>
            </w:pPr>
            <w:r w:rsidRPr="00616B26">
              <w:rPr>
                <w:snapToGrid w:val="0"/>
              </w:rPr>
              <w:t>47</w:t>
            </w:r>
          </w:p>
        </w:tc>
        <w:tc>
          <w:tcPr>
            <w:tcW w:w="966" w:type="pct"/>
            <w:tcBorders>
              <w:top w:val="single" w:sz="4" w:space="0" w:color="auto"/>
              <w:left w:val="nil"/>
              <w:bottom w:val="single" w:sz="4" w:space="0" w:color="auto"/>
              <w:right w:val="nil"/>
            </w:tcBorders>
          </w:tcPr>
          <w:p w14:paraId="15C43C4A" w14:textId="77777777" w:rsidR="0086548E" w:rsidRDefault="0086548E" w:rsidP="0086548E">
            <w:pPr>
              <w:pStyle w:val="Tabletext"/>
              <w:rPr>
                <w:snapToGrid w:val="0"/>
                <w:lang w:eastAsia="en-US"/>
              </w:rPr>
            </w:pPr>
            <w:r>
              <w:rPr>
                <w:lang w:eastAsia="en-US"/>
              </w:rPr>
              <w:t>28</w:t>
            </w:r>
            <w:r w:rsidR="00D7157D">
              <w:rPr>
                <w:lang w:eastAsia="en-US"/>
              </w:rPr>
              <w:t>.</w:t>
            </w:r>
            <w:r>
              <w:rPr>
                <w:lang w:eastAsia="en-US"/>
              </w:rPr>
              <w:t>2802</w:t>
            </w:r>
          </w:p>
        </w:tc>
        <w:tc>
          <w:tcPr>
            <w:tcW w:w="966" w:type="pct"/>
            <w:tcBorders>
              <w:top w:val="single" w:sz="4" w:space="0" w:color="auto"/>
              <w:left w:val="nil"/>
              <w:bottom w:val="single" w:sz="4" w:space="0" w:color="auto"/>
              <w:right w:val="nil"/>
            </w:tcBorders>
          </w:tcPr>
          <w:p w14:paraId="2449AB57"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0651</w:t>
            </w:r>
          </w:p>
        </w:tc>
        <w:tc>
          <w:tcPr>
            <w:tcW w:w="966" w:type="pct"/>
            <w:tcBorders>
              <w:top w:val="single" w:sz="4" w:space="0" w:color="auto"/>
              <w:left w:val="nil"/>
              <w:bottom w:val="single" w:sz="4" w:space="0" w:color="auto"/>
              <w:right w:val="nil"/>
            </w:tcBorders>
          </w:tcPr>
          <w:p w14:paraId="393EF4E2" w14:textId="77777777" w:rsidR="0086548E" w:rsidRDefault="0086548E" w:rsidP="0086548E">
            <w:pPr>
              <w:pStyle w:val="Tabletext"/>
              <w:rPr>
                <w:snapToGrid w:val="0"/>
                <w:lang w:eastAsia="en-US"/>
              </w:rPr>
            </w:pPr>
            <w:r>
              <w:rPr>
                <w:lang w:eastAsia="en-US"/>
              </w:rPr>
              <w:t>29</w:t>
            </w:r>
            <w:r w:rsidR="00D7157D">
              <w:rPr>
                <w:lang w:eastAsia="en-US"/>
              </w:rPr>
              <w:t>.</w:t>
            </w:r>
            <w:r>
              <w:rPr>
                <w:lang w:eastAsia="en-US"/>
              </w:rPr>
              <w:t>4940</w:t>
            </w:r>
          </w:p>
        </w:tc>
        <w:tc>
          <w:tcPr>
            <w:tcW w:w="966" w:type="pct"/>
            <w:tcBorders>
              <w:top w:val="single" w:sz="4" w:space="0" w:color="auto"/>
              <w:left w:val="nil"/>
              <w:bottom w:val="single" w:sz="4" w:space="0" w:color="auto"/>
              <w:right w:val="nil"/>
            </w:tcBorders>
          </w:tcPr>
          <w:p w14:paraId="3F45587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6563</w:t>
            </w:r>
          </w:p>
        </w:tc>
      </w:tr>
      <w:tr w:rsidR="0086548E" w:rsidRPr="009E2595" w14:paraId="06AF04B7" w14:textId="77777777" w:rsidTr="0086548E">
        <w:trPr>
          <w:cantSplit/>
        </w:trPr>
        <w:tc>
          <w:tcPr>
            <w:tcW w:w="1136" w:type="pct"/>
            <w:tcBorders>
              <w:top w:val="single" w:sz="4" w:space="0" w:color="auto"/>
              <w:bottom w:val="single" w:sz="4" w:space="0" w:color="auto"/>
            </w:tcBorders>
          </w:tcPr>
          <w:p w14:paraId="3552A321" w14:textId="77777777" w:rsidR="0086548E" w:rsidRPr="00616B26" w:rsidRDefault="0086548E" w:rsidP="0086548E">
            <w:pPr>
              <w:pStyle w:val="Tabletext"/>
              <w:rPr>
                <w:snapToGrid w:val="0"/>
              </w:rPr>
            </w:pPr>
            <w:r w:rsidRPr="00616B26">
              <w:rPr>
                <w:snapToGrid w:val="0"/>
              </w:rPr>
              <w:t>48</w:t>
            </w:r>
          </w:p>
        </w:tc>
        <w:tc>
          <w:tcPr>
            <w:tcW w:w="966" w:type="pct"/>
            <w:tcBorders>
              <w:top w:val="single" w:sz="4" w:space="0" w:color="auto"/>
              <w:left w:val="nil"/>
              <w:bottom w:val="single" w:sz="4" w:space="0" w:color="auto"/>
              <w:right w:val="nil"/>
            </w:tcBorders>
          </w:tcPr>
          <w:p w14:paraId="3E48E5FB" w14:textId="77777777" w:rsidR="0086548E" w:rsidRDefault="0086548E" w:rsidP="0086548E">
            <w:pPr>
              <w:pStyle w:val="Tabletext"/>
              <w:rPr>
                <w:snapToGrid w:val="0"/>
                <w:lang w:eastAsia="en-US"/>
              </w:rPr>
            </w:pPr>
            <w:r>
              <w:rPr>
                <w:lang w:eastAsia="en-US"/>
              </w:rPr>
              <w:t>27</w:t>
            </w:r>
            <w:r w:rsidR="00D7157D">
              <w:rPr>
                <w:lang w:eastAsia="en-US"/>
              </w:rPr>
              <w:t>.</w:t>
            </w:r>
            <w:r>
              <w:rPr>
                <w:lang w:eastAsia="en-US"/>
              </w:rPr>
              <w:t>8193</w:t>
            </w:r>
          </w:p>
        </w:tc>
        <w:tc>
          <w:tcPr>
            <w:tcW w:w="966" w:type="pct"/>
            <w:tcBorders>
              <w:top w:val="single" w:sz="4" w:space="0" w:color="auto"/>
              <w:left w:val="nil"/>
              <w:bottom w:val="single" w:sz="4" w:space="0" w:color="auto"/>
              <w:right w:val="nil"/>
            </w:tcBorders>
          </w:tcPr>
          <w:p w14:paraId="0DABA27B"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0053</w:t>
            </w:r>
          </w:p>
        </w:tc>
        <w:tc>
          <w:tcPr>
            <w:tcW w:w="966" w:type="pct"/>
            <w:tcBorders>
              <w:top w:val="single" w:sz="4" w:space="0" w:color="auto"/>
              <w:left w:val="nil"/>
              <w:bottom w:val="single" w:sz="4" w:space="0" w:color="auto"/>
              <w:right w:val="nil"/>
            </w:tcBorders>
          </w:tcPr>
          <w:p w14:paraId="0C85096D" w14:textId="77777777" w:rsidR="0086548E" w:rsidRDefault="0086548E" w:rsidP="0086548E">
            <w:pPr>
              <w:pStyle w:val="Tabletext"/>
              <w:rPr>
                <w:snapToGrid w:val="0"/>
                <w:lang w:eastAsia="en-US"/>
              </w:rPr>
            </w:pPr>
            <w:r>
              <w:rPr>
                <w:lang w:eastAsia="en-US"/>
              </w:rPr>
              <w:t>29</w:t>
            </w:r>
            <w:r w:rsidR="00D7157D">
              <w:rPr>
                <w:lang w:eastAsia="en-US"/>
              </w:rPr>
              <w:t>.</w:t>
            </w:r>
            <w:r>
              <w:rPr>
                <w:lang w:eastAsia="en-US"/>
              </w:rPr>
              <w:t>0426</w:t>
            </w:r>
          </w:p>
        </w:tc>
        <w:tc>
          <w:tcPr>
            <w:tcW w:w="966" w:type="pct"/>
            <w:tcBorders>
              <w:top w:val="single" w:sz="4" w:space="0" w:color="auto"/>
              <w:left w:val="nil"/>
              <w:bottom w:val="single" w:sz="4" w:space="0" w:color="auto"/>
              <w:right w:val="nil"/>
            </w:tcBorders>
          </w:tcPr>
          <w:p w14:paraId="66C74BA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5981</w:t>
            </w:r>
          </w:p>
        </w:tc>
      </w:tr>
      <w:tr w:rsidR="0086548E" w:rsidRPr="009E2595" w14:paraId="3A5FB0BB" w14:textId="77777777" w:rsidTr="0086548E">
        <w:trPr>
          <w:cantSplit/>
        </w:trPr>
        <w:tc>
          <w:tcPr>
            <w:tcW w:w="1136" w:type="pct"/>
            <w:tcBorders>
              <w:top w:val="single" w:sz="4" w:space="0" w:color="auto"/>
              <w:bottom w:val="single" w:sz="4" w:space="0" w:color="auto"/>
            </w:tcBorders>
          </w:tcPr>
          <w:p w14:paraId="0354A44B" w14:textId="77777777" w:rsidR="0086548E" w:rsidRPr="00616B26" w:rsidRDefault="0086548E" w:rsidP="0086548E">
            <w:pPr>
              <w:pStyle w:val="Tabletext"/>
              <w:rPr>
                <w:snapToGrid w:val="0"/>
              </w:rPr>
            </w:pPr>
            <w:r w:rsidRPr="00616B26">
              <w:rPr>
                <w:snapToGrid w:val="0"/>
              </w:rPr>
              <w:t>49</w:t>
            </w:r>
          </w:p>
        </w:tc>
        <w:tc>
          <w:tcPr>
            <w:tcW w:w="966" w:type="pct"/>
            <w:tcBorders>
              <w:top w:val="single" w:sz="4" w:space="0" w:color="auto"/>
              <w:left w:val="nil"/>
              <w:bottom w:val="single" w:sz="4" w:space="0" w:color="auto"/>
              <w:right w:val="nil"/>
            </w:tcBorders>
          </w:tcPr>
          <w:p w14:paraId="612F937B" w14:textId="77777777" w:rsidR="0086548E" w:rsidRDefault="0086548E" w:rsidP="0086548E">
            <w:pPr>
              <w:pStyle w:val="Tabletext"/>
              <w:rPr>
                <w:snapToGrid w:val="0"/>
                <w:lang w:eastAsia="en-US"/>
              </w:rPr>
            </w:pPr>
            <w:r>
              <w:rPr>
                <w:lang w:eastAsia="en-US"/>
              </w:rPr>
              <w:t>27</w:t>
            </w:r>
            <w:r w:rsidR="00D7157D">
              <w:rPr>
                <w:lang w:eastAsia="en-US"/>
              </w:rPr>
              <w:t>.</w:t>
            </w:r>
            <w:r>
              <w:rPr>
                <w:lang w:eastAsia="en-US"/>
              </w:rPr>
              <w:t>3514</w:t>
            </w:r>
          </w:p>
        </w:tc>
        <w:tc>
          <w:tcPr>
            <w:tcW w:w="966" w:type="pct"/>
            <w:tcBorders>
              <w:top w:val="single" w:sz="4" w:space="0" w:color="auto"/>
              <w:left w:val="nil"/>
              <w:bottom w:val="single" w:sz="4" w:space="0" w:color="auto"/>
              <w:right w:val="nil"/>
            </w:tcBorders>
          </w:tcPr>
          <w:p w14:paraId="7939C567"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9424</w:t>
            </w:r>
          </w:p>
        </w:tc>
        <w:tc>
          <w:tcPr>
            <w:tcW w:w="966" w:type="pct"/>
            <w:tcBorders>
              <w:top w:val="single" w:sz="4" w:space="0" w:color="auto"/>
              <w:left w:val="nil"/>
              <w:bottom w:val="single" w:sz="4" w:space="0" w:color="auto"/>
              <w:right w:val="nil"/>
            </w:tcBorders>
          </w:tcPr>
          <w:p w14:paraId="3856EA98" w14:textId="77777777" w:rsidR="0086548E" w:rsidRDefault="0086548E" w:rsidP="0086548E">
            <w:pPr>
              <w:pStyle w:val="Tabletext"/>
              <w:rPr>
                <w:snapToGrid w:val="0"/>
                <w:lang w:eastAsia="en-US"/>
              </w:rPr>
            </w:pPr>
            <w:r>
              <w:rPr>
                <w:lang w:eastAsia="en-US"/>
              </w:rPr>
              <w:t>28</w:t>
            </w:r>
            <w:r w:rsidR="00D7157D">
              <w:rPr>
                <w:lang w:eastAsia="en-US"/>
              </w:rPr>
              <w:t>.</w:t>
            </w:r>
            <w:r>
              <w:rPr>
                <w:lang w:eastAsia="en-US"/>
              </w:rPr>
              <w:t>5832</w:t>
            </w:r>
          </w:p>
        </w:tc>
        <w:tc>
          <w:tcPr>
            <w:tcW w:w="966" w:type="pct"/>
            <w:tcBorders>
              <w:top w:val="single" w:sz="4" w:space="0" w:color="auto"/>
              <w:left w:val="nil"/>
              <w:bottom w:val="single" w:sz="4" w:space="0" w:color="auto"/>
              <w:right w:val="nil"/>
            </w:tcBorders>
          </w:tcPr>
          <w:p w14:paraId="79728B8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5377</w:t>
            </w:r>
          </w:p>
        </w:tc>
      </w:tr>
      <w:tr w:rsidR="0086548E" w:rsidRPr="009E2595" w14:paraId="0DEF14C9" w14:textId="77777777" w:rsidTr="0086548E">
        <w:trPr>
          <w:cantSplit/>
        </w:trPr>
        <w:tc>
          <w:tcPr>
            <w:tcW w:w="1136" w:type="pct"/>
            <w:tcBorders>
              <w:top w:val="single" w:sz="4" w:space="0" w:color="auto"/>
              <w:bottom w:val="single" w:sz="4" w:space="0" w:color="auto"/>
            </w:tcBorders>
          </w:tcPr>
          <w:p w14:paraId="040BC4FD" w14:textId="77777777" w:rsidR="0086548E" w:rsidRPr="00616B26" w:rsidRDefault="0086548E" w:rsidP="0086548E">
            <w:pPr>
              <w:pStyle w:val="Tabletext"/>
              <w:rPr>
                <w:snapToGrid w:val="0"/>
              </w:rPr>
            </w:pPr>
            <w:r w:rsidRPr="00616B26">
              <w:rPr>
                <w:snapToGrid w:val="0"/>
              </w:rPr>
              <w:t>50</w:t>
            </w:r>
          </w:p>
        </w:tc>
        <w:tc>
          <w:tcPr>
            <w:tcW w:w="966" w:type="pct"/>
            <w:tcBorders>
              <w:top w:val="single" w:sz="4" w:space="0" w:color="auto"/>
              <w:left w:val="nil"/>
              <w:bottom w:val="single" w:sz="4" w:space="0" w:color="auto"/>
              <w:right w:val="nil"/>
            </w:tcBorders>
          </w:tcPr>
          <w:p w14:paraId="5290C339" w14:textId="77777777" w:rsidR="0086548E" w:rsidRDefault="0086548E" w:rsidP="0086548E">
            <w:pPr>
              <w:pStyle w:val="Tabletext"/>
              <w:rPr>
                <w:snapToGrid w:val="0"/>
                <w:lang w:eastAsia="en-US"/>
              </w:rPr>
            </w:pPr>
            <w:r>
              <w:rPr>
                <w:lang w:eastAsia="en-US"/>
              </w:rPr>
              <w:t>26</w:t>
            </w:r>
            <w:r w:rsidR="00D7157D">
              <w:rPr>
                <w:lang w:eastAsia="en-US"/>
              </w:rPr>
              <w:t>.</w:t>
            </w:r>
            <w:r>
              <w:rPr>
                <w:lang w:eastAsia="en-US"/>
              </w:rPr>
              <w:t>8759</w:t>
            </w:r>
          </w:p>
        </w:tc>
        <w:tc>
          <w:tcPr>
            <w:tcW w:w="966" w:type="pct"/>
            <w:tcBorders>
              <w:top w:val="single" w:sz="4" w:space="0" w:color="auto"/>
              <w:left w:val="nil"/>
              <w:bottom w:val="single" w:sz="4" w:space="0" w:color="auto"/>
              <w:right w:val="nil"/>
            </w:tcBorders>
          </w:tcPr>
          <w:p w14:paraId="169E4D15"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8767</w:t>
            </w:r>
          </w:p>
        </w:tc>
        <w:tc>
          <w:tcPr>
            <w:tcW w:w="966" w:type="pct"/>
            <w:tcBorders>
              <w:top w:val="single" w:sz="4" w:space="0" w:color="auto"/>
              <w:left w:val="nil"/>
              <w:bottom w:val="single" w:sz="4" w:space="0" w:color="auto"/>
              <w:right w:val="nil"/>
            </w:tcBorders>
          </w:tcPr>
          <w:p w14:paraId="51FFDD45" w14:textId="77777777" w:rsidR="0086548E" w:rsidRDefault="0086548E" w:rsidP="0086548E">
            <w:pPr>
              <w:pStyle w:val="Tabletext"/>
              <w:rPr>
                <w:snapToGrid w:val="0"/>
                <w:lang w:eastAsia="en-US"/>
              </w:rPr>
            </w:pPr>
            <w:r>
              <w:rPr>
                <w:lang w:eastAsia="en-US"/>
              </w:rPr>
              <w:t>28</w:t>
            </w:r>
            <w:r w:rsidR="00D7157D">
              <w:rPr>
                <w:lang w:eastAsia="en-US"/>
              </w:rPr>
              <w:t>.</w:t>
            </w:r>
            <w:r>
              <w:rPr>
                <w:lang w:eastAsia="en-US"/>
              </w:rPr>
              <w:t>1160</w:t>
            </w:r>
          </w:p>
        </w:tc>
        <w:tc>
          <w:tcPr>
            <w:tcW w:w="966" w:type="pct"/>
            <w:tcBorders>
              <w:top w:val="single" w:sz="4" w:space="0" w:color="auto"/>
              <w:left w:val="nil"/>
              <w:bottom w:val="single" w:sz="4" w:space="0" w:color="auto"/>
              <w:right w:val="nil"/>
            </w:tcBorders>
          </w:tcPr>
          <w:p w14:paraId="5FD8743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4749</w:t>
            </w:r>
          </w:p>
        </w:tc>
      </w:tr>
      <w:tr w:rsidR="0086548E" w:rsidRPr="009E2595" w14:paraId="57AF2F05" w14:textId="77777777" w:rsidTr="0086548E">
        <w:trPr>
          <w:cantSplit/>
        </w:trPr>
        <w:tc>
          <w:tcPr>
            <w:tcW w:w="1136" w:type="pct"/>
            <w:tcBorders>
              <w:top w:val="single" w:sz="4" w:space="0" w:color="auto"/>
              <w:bottom w:val="single" w:sz="4" w:space="0" w:color="auto"/>
            </w:tcBorders>
          </w:tcPr>
          <w:p w14:paraId="27FD1C57" w14:textId="77777777" w:rsidR="0086548E" w:rsidRPr="00616B26" w:rsidRDefault="0086548E" w:rsidP="0086548E">
            <w:pPr>
              <w:pStyle w:val="Tabletext"/>
              <w:rPr>
                <w:snapToGrid w:val="0"/>
              </w:rPr>
            </w:pPr>
            <w:r w:rsidRPr="00616B26">
              <w:rPr>
                <w:snapToGrid w:val="0"/>
              </w:rPr>
              <w:t>51</w:t>
            </w:r>
          </w:p>
        </w:tc>
        <w:tc>
          <w:tcPr>
            <w:tcW w:w="966" w:type="pct"/>
            <w:tcBorders>
              <w:top w:val="single" w:sz="4" w:space="0" w:color="auto"/>
              <w:left w:val="nil"/>
              <w:bottom w:val="single" w:sz="4" w:space="0" w:color="auto"/>
              <w:right w:val="nil"/>
            </w:tcBorders>
          </w:tcPr>
          <w:p w14:paraId="34350DB9" w14:textId="77777777" w:rsidR="0086548E" w:rsidRDefault="0086548E" w:rsidP="0086548E">
            <w:pPr>
              <w:pStyle w:val="Tabletext"/>
              <w:rPr>
                <w:snapToGrid w:val="0"/>
                <w:lang w:eastAsia="en-US"/>
              </w:rPr>
            </w:pPr>
            <w:r>
              <w:rPr>
                <w:lang w:eastAsia="en-US"/>
              </w:rPr>
              <w:t>26</w:t>
            </w:r>
            <w:r w:rsidR="00D7157D">
              <w:rPr>
                <w:lang w:eastAsia="en-US"/>
              </w:rPr>
              <w:t>.</w:t>
            </w:r>
            <w:r>
              <w:rPr>
                <w:lang w:eastAsia="en-US"/>
              </w:rPr>
              <w:t>3930</w:t>
            </w:r>
          </w:p>
        </w:tc>
        <w:tc>
          <w:tcPr>
            <w:tcW w:w="966" w:type="pct"/>
            <w:tcBorders>
              <w:top w:val="single" w:sz="4" w:space="0" w:color="auto"/>
              <w:left w:val="nil"/>
              <w:bottom w:val="single" w:sz="4" w:space="0" w:color="auto"/>
              <w:right w:val="nil"/>
            </w:tcBorders>
          </w:tcPr>
          <w:p w14:paraId="725C3D0F"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6178</w:t>
            </w:r>
          </w:p>
        </w:tc>
        <w:tc>
          <w:tcPr>
            <w:tcW w:w="966" w:type="pct"/>
            <w:tcBorders>
              <w:top w:val="single" w:sz="4" w:space="0" w:color="auto"/>
              <w:left w:val="nil"/>
              <w:bottom w:val="single" w:sz="4" w:space="0" w:color="auto"/>
              <w:right w:val="nil"/>
            </w:tcBorders>
          </w:tcPr>
          <w:p w14:paraId="579F53E5" w14:textId="77777777" w:rsidR="0086548E" w:rsidRDefault="0086548E" w:rsidP="0086548E">
            <w:pPr>
              <w:pStyle w:val="Tabletext"/>
              <w:rPr>
                <w:snapToGrid w:val="0"/>
                <w:lang w:eastAsia="en-US"/>
              </w:rPr>
            </w:pPr>
            <w:r>
              <w:rPr>
                <w:lang w:eastAsia="en-US"/>
              </w:rPr>
              <w:t>27</w:t>
            </w:r>
            <w:r w:rsidR="00D7157D">
              <w:rPr>
                <w:lang w:eastAsia="en-US"/>
              </w:rPr>
              <w:t>.</w:t>
            </w:r>
            <w:r>
              <w:rPr>
                <w:lang w:eastAsia="en-US"/>
              </w:rPr>
              <w:t>6407</w:t>
            </w:r>
          </w:p>
        </w:tc>
        <w:tc>
          <w:tcPr>
            <w:tcW w:w="966" w:type="pct"/>
            <w:tcBorders>
              <w:top w:val="single" w:sz="4" w:space="0" w:color="auto"/>
              <w:left w:val="nil"/>
              <w:bottom w:val="single" w:sz="4" w:space="0" w:color="auto"/>
              <w:right w:val="nil"/>
            </w:tcBorders>
          </w:tcPr>
          <w:p w14:paraId="1662645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4099</w:t>
            </w:r>
          </w:p>
        </w:tc>
      </w:tr>
      <w:tr w:rsidR="0086548E" w:rsidRPr="009E2595" w14:paraId="5E42314C" w14:textId="77777777" w:rsidTr="0086548E">
        <w:trPr>
          <w:cantSplit/>
        </w:trPr>
        <w:tc>
          <w:tcPr>
            <w:tcW w:w="1136" w:type="pct"/>
            <w:tcBorders>
              <w:top w:val="single" w:sz="4" w:space="0" w:color="auto"/>
              <w:bottom w:val="single" w:sz="4" w:space="0" w:color="auto"/>
            </w:tcBorders>
          </w:tcPr>
          <w:p w14:paraId="76ABCA79" w14:textId="77777777" w:rsidR="0086548E" w:rsidRPr="00616B26" w:rsidRDefault="0086548E" w:rsidP="0086548E">
            <w:pPr>
              <w:pStyle w:val="Tabletext"/>
              <w:rPr>
                <w:snapToGrid w:val="0"/>
              </w:rPr>
            </w:pPr>
            <w:r w:rsidRPr="00616B26">
              <w:rPr>
                <w:snapToGrid w:val="0"/>
              </w:rPr>
              <w:t>52</w:t>
            </w:r>
          </w:p>
        </w:tc>
        <w:tc>
          <w:tcPr>
            <w:tcW w:w="966" w:type="pct"/>
            <w:tcBorders>
              <w:top w:val="single" w:sz="4" w:space="0" w:color="auto"/>
              <w:left w:val="nil"/>
              <w:bottom w:val="single" w:sz="4" w:space="0" w:color="auto"/>
              <w:right w:val="nil"/>
            </w:tcBorders>
          </w:tcPr>
          <w:p w14:paraId="3783873B" w14:textId="77777777" w:rsidR="0086548E" w:rsidRDefault="0086548E" w:rsidP="0086548E">
            <w:pPr>
              <w:pStyle w:val="Tabletext"/>
              <w:rPr>
                <w:snapToGrid w:val="0"/>
                <w:lang w:eastAsia="en-US"/>
              </w:rPr>
            </w:pPr>
            <w:r>
              <w:rPr>
                <w:lang w:eastAsia="en-US"/>
              </w:rPr>
              <w:t>25</w:t>
            </w:r>
            <w:r w:rsidR="00D7157D">
              <w:rPr>
                <w:lang w:eastAsia="en-US"/>
              </w:rPr>
              <w:t>.</w:t>
            </w:r>
            <w:r>
              <w:rPr>
                <w:lang w:eastAsia="en-US"/>
              </w:rPr>
              <w:t>9012</w:t>
            </w:r>
          </w:p>
        </w:tc>
        <w:tc>
          <w:tcPr>
            <w:tcW w:w="966" w:type="pct"/>
            <w:tcBorders>
              <w:top w:val="single" w:sz="4" w:space="0" w:color="auto"/>
              <w:left w:val="nil"/>
              <w:bottom w:val="single" w:sz="4" w:space="0" w:color="auto"/>
              <w:right w:val="nil"/>
            </w:tcBorders>
          </w:tcPr>
          <w:p w14:paraId="4BE7C543"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3511</w:t>
            </w:r>
          </w:p>
        </w:tc>
        <w:tc>
          <w:tcPr>
            <w:tcW w:w="966" w:type="pct"/>
            <w:tcBorders>
              <w:top w:val="single" w:sz="4" w:space="0" w:color="auto"/>
              <w:left w:val="nil"/>
              <w:bottom w:val="single" w:sz="4" w:space="0" w:color="auto"/>
              <w:right w:val="nil"/>
            </w:tcBorders>
          </w:tcPr>
          <w:p w14:paraId="15878B96" w14:textId="77777777" w:rsidR="0086548E" w:rsidRDefault="0086548E" w:rsidP="0086548E">
            <w:pPr>
              <w:pStyle w:val="Tabletext"/>
              <w:rPr>
                <w:snapToGrid w:val="0"/>
                <w:lang w:eastAsia="en-US"/>
              </w:rPr>
            </w:pPr>
            <w:r>
              <w:rPr>
                <w:lang w:eastAsia="en-US"/>
              </w:rPr>
              <w:t>27</w:t>
            </w:r>
            <w:r w:rsidR="00D7157D">
              <w:rPr>
                <w:lang w:eastAsia="en-US"/>
              </w:rPr>
              <w:t>.</w:t>
            </w:r>
            <w:r>
              <w:rPr>
                <w:lang w:eastAsia="en-US"/>
              </w:rPr>
              <w:t>1560</w:t>
            </w:r>
          </w:p>
        </w:tc>
        <w:tc>
          <w:tcPr>
            <w:tcW w:w="966" w:type="pct"/>
            <w:tcBorders>
              <w:top w:val="single" w:sz="4" w:space="0" w:color="auto"/>
              <w:left w:val="nil"/>
              <w:bottom w:val="single" w:sz="4" w:space="0" w:color="auto"/>
              <w:right w:val="nil"/>
            </w:tcBorders>
          </w:tcPr>
          <w:p w14:paraId="0C02B0B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3428</w:t>
            </w:r>
          </w:p>
        </w:tc>
      </w:tr>
      <w:tr w:rsidR="0086548E" w:rsidRPr="009E2595" w14:paraId="74DF15CB" w14:textId="77777777" w:rsidTr="0086548E">
        <w:trPr>
          <w:cantSplit/>
        </w:trPr>
        <w:tc>
          <w:tcPr>
            <w:tcW w:w="1136" w:type="pct"/>
            <w:tcBorders>
              <w:top w:val="single" w:sz="4" w:space="0" w:color="auto"/>
              <w:bottom w:val="single" w:sz="4" w:space="0" w:color="auto"/>
            </w:tcBorders>
          </w:tcPr>
          <w:p w14:paraId="2C6A2221" w14:textId="77777777" w:rsidR="0086548E" w:rsidRPr="00616B26" w:rsidRDefault="0086548E" w:rsidP="0086548E">
            <w:pPr>
              <w:pStyle w:val="Tabletext"/>
              <w:rPr>
                <w:snapToGrid w:val="0"/>
              </w:rPr>
            </w:pPr>
            <w:r w:rsidRPr="00616B26">
              <w:rPr>
                <w:snapToGrid w:val="0"/>
              </w:rPr>
              <w:t>53</w:t>
            </w:r>
          </w:p>
        </w:tc>
        <w:tc>
          <w:tcPr>
            <w:tcW w:w="966" w:type="pct"/>
            <w:tcBorders>
              <w:top w:val="single" w:sz="4" w:space="0" w:color="auto"/>
              <w:left w:val="nil"/>
              <w:bottom w:val="single" w:sz="4" w:space="0" w:color="auto"/>
              <w:right w:val="nil"/>
            </w:tcBorders>
          </w:tcPr>
          <w:p w14:paraId="7EAC0694" w14:textId="77777777" w:rsidR="0086548E" w:rsidRDefault="0086548E" w:rsidP="0086548E">
            <w:pPr>
              <w:pStyle w:val="Tabletext"/>
              <w:rPr>
                <w:snapToGrid w:val="0"/>
                <w:lang w:eastAsia="en-US"/>
              </w:rPr>
            </w:pPr>
            <w:r>
              <w:rPr>
                <w:lang w:eastAsia="en-US"/>
              </w:rPr>
              <w:t>25</w:t>
            </w:r>
            <w:r w:rsidR="00D7157D">
              <w:rPr>
                <w:lang w:eastAsia="en-US"/>
              </w:rPr>
              <w:t>.</w:t>
            </w:r>
            <w:r>
              <w:rPr>
                <w:lang w:eastAsia="en-US"/>
              </w:rPr>
              <w:t>4002</w:t>
            </w:r>
          </w:p>
        </w:tc>
        <w:tc>
          <w:tcPr>
            <w:tcW w:w="966" w:type="pct"/>
            <w:tcBorders>
              <w:top w:val="single" w:sz="4" w:space="0" w:color="auto"/>
              <w:left w:val="nil"/>
              <w:bottom w:val="single" w:sz="4" w:space="0" w:color="auto"/>
              <w:right w:val="nil"/>
            </w:tcBorders>
          </w:tcPr>
          <w:p w14:paraId="28855D9E" w14:textId="77777777" w:rsidR="0086548E" w:rsidRDefault="0086548E" w:rsidP="0086548E">
            <w:pPr>
              <w:pStyle w:val="Tabletext"/>
              <w:rPr>
                <w:snapToGrid w:val="0"/>
                <w:lang w:eastAsia="en-US"/>
              </w:rPr>
            </w:pPr>
            <w:r>
              <w:rPr>
                <w:lang w:eastAsia="en-US"/>
              </w:rPr>
              <w:t>1</w:t>
            </w:r>
            <w:r w:rsidR="00D7157D">
              <w:rPr>
                <w:lang w:eastAsia="en-US"/>
              </w:rPr>
              <w:t>.</w:t>
            </w:r>
            <w:r>
              <w:rPr>
                <w:lang w:eastAsia="en-US"/>
              </w:rPr>
              <w:t>0766</w:t>
            </w:r>
          </w:p>
        </w:tc>
        <w:tc>
          <w:tcPr>
            <w:tcW w:w="966" w:type="pct"/>
            <w:tcBorders>
              <w:top w:val="single" w:sz="4" w:space="0" w:color="auto"/>
              <w:left w:val="nil"/>
              <w:bottom w:val="single" w:sz="4" w:space="0" w:color="auto"/>
              <w:right w:val="nil"/>
            </w:tcBorders>
          </w:tcPr>
          <w:p w14:paraId="1F6547FF" w14:textId="77777777" w:rsidR="0086548E" w:rsidRDefault="0086548E" w:rsidP="0086548E">
            <w:pPr>
              <w:pStyle w:val="Tabletext"/>
              <w:rPr>
                <w:snapToGrid w:val="0"/>
                <w:lang w:eastAsia="en-US"/>
              </w:rPr>
            </w:pPr>
            <w:r>
              <w:rPr>
                <w:lang w:eastAsia="en-US"/>
              </w:rPr>
              <w:t>26</w:t>
            </w:r>
            <w:r w:rsidR="00D7157D">
              <w:rPr>
                <w:lang w:eastAsia="en-US"/>
              </w:rPr>
              <w:t>.</w:t>
            </w:r>
            <w:r>
              <w:rPr>
                <w:lang w:eastAsia="en-US"/>
              </w:rPr>
              <w:t>6625</w:t>
            </w:r>
          </w:p>
        </w:tc>
        <w:tc>
          <w:tcPr>
            <w:tcW w:w="966" w:type="pct"/>
            <w:tcBorders>
              <w:top w:val="single" w:sz="4" w:space="0" w:color="auto"/>
              <w:left w:val="nil"/>
              <w:bottom w:val="single" w:sz="4" w:space="0" w:color="auto"/>
              <w:right w:val="nil"/>
            </w:tcBorders>
          </w:tcPr>
          <w:p w14:paraId="0B87D41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2735</w:t>
            </w:r>
          </w:p>
        </w:tc>
      </w:tr>
      <w:tr w:rsidR="0086548E" w:rsidRPr="009E2595" w14:paraId="0601A3C5" w14:textId="77777777" w:rsidTr="0086548E">
        <w:trPr>
          <w:cantSplit/>
        </w:trPr>
        <w:tc>
          <w:tcPr>
            <w:tcW w:w="1136" w:type="pct"/>
            <w:tcBorders>
              <w:top w:val="single" w:sz="4" w:space="0" w:color="auto"/>
              <w:bottom w:val="single" w:sz="4" w:space="0" w:color="auto"/>
            </w:tcBorders>
          </w:tcPr>
          <w:p w14:paraId="2D53FE7D" w14:textId="77777777" w:rsidR="0086548E" w:rsidRPr="00616B26" w:rsidRDefault="0086548E" w:rsidP="0086548E">
            <w:pPr>
              <w:pStyle w:val="Tabletext"/>
              <w:rPr>
                <w:snapToGrid w:val="0"/>
              </w:rPr>
            </w:pPr>
            <w:r w:rsidRPr="00616B26">
              <w:rPr>
                <w:snapToGrid w:val="0"/>
              </w:rPr>
              <w:t>54</w:t>
            </w:r>
          </w:p>
        </w:tc>
        <w:tc>
          <w:tcPr>
            <w:tcW w:w="966" w:type="pct"/>
            <w:tcBorders>
              <w:top w:val="single" w:sz="4" w:space="0" w:color="auto"/>
              <w:left w:val="nil"/>
              <w:bottom w:val="single" w:sz="4" w:space="0" w:color="auto"/>
              <w:right w:val="nil"/>
            </w:tcBorders>
          </w:tcPr>
          <w:p w14:paraId="0A56D110" w14:textId="77777777" w:rsidR="0086548E" w:rsidRDefault="0086548E" w:rsidP="0086548E">
            <w:pPr>
              <w:pStyle w:val="Tabletext"/>
              <w:rPr>
                <w:snapToGrid w:val="0"/>
                <w:lang w:eastAsia="en-US"/>
              </w:rPr>
            </w:pPr>
            <w:r>
              <w:rPr>
                <w:lang w:eastAsia="en-US"/>
              </w:rPr>
              <w:t>24</w:t>
            </w:r>
            <w:r w:rsidR="00D7157D">
              <w:rPr>
                <w:lang w:eastAsia="en-US"/>
              </w:rPr>
              <w:t>.</w:t>
            </w:r>
            <w:r>
              <w:rPr>
                <w:lang w:eastAsia="en-US"/>
              </w:rPr>
              <w:t>8905</w:t>
            </w:r>
          </w:p>
        </w:tc>
        <w:tc>
          <w:tcPr>
            <w:tcW w:w="966" w:type="pct"/>
            <w:tcBorders>
              <w:top w:val="single" w:sz="4" w:space="0" w:color="auto"/>
              <w:left w:val="nil"/>
              <w:bottom w:val="single" w:sz="4" w:space="0" w:color="auto"/>
              <w:right w:val="nil"/>
            </w:tcBorders>
          </w:tcPr>
          <w:p w14:paraId="3F9F098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7939</w:t>
            </w:r>
          </w:p>
        </w:tc>
        <w:tc>
          <w:tcPr>
            <w:tcW w:w="966" w:type="pct"/>
            <w:tcBorders>
              <w:top w:val="single" w:sz="4" w:space="0" w:color="auto"/>
              <w:left w:val="nil"/>
              <w:bottom w:val="single" w:sz="4" w:space="0" w:color="auto"/>
              <w:right w:val="nil"/>
            </w:tcBorders>
          </w:tcPr>
          <w:p w14:paraId="533CB0FE" w14:textId="77777777" w:rsidR="0086548E" w:rsidRDefault="0086548E" w:rsidP="0086548E">
            <w:pPr>
              <w:pStyle w:val="Tabletext"/>
              <w:rPr>
                <w:snapToGrid w:val="0"/>
                <w:lang w:eastAsia="en-US"/>
              </w:rPr>
            </w:pPr>
            <w:r>
              <w:rPr>
                <w:lang w:eastAsia="en-US"/>
              </w:rPr>
              <w:t>26</w:t>
            </w:r>
            <w:r w:rsidR="00D7157D">
              <w:rPr>
                <w:lang w:eastAsia="en-US"/>
              </w:rPr>
              <w:t>.</w:t>
            </w:r>
            <w:r>
              <w:rPr>
                <w:lang w:eastAsia="en-US"/>
              </w:rPr>
              <w:t>1597</w:t>
            </w:r>
          </w:p>
        </w:tc>
        <w:tc>
          <w:tcPr>
            <w:tcW w:w="966" w:type="pct"/>
            <w:tcBorders>
              <w:top w:val="single" w:sz="4" w:space="0" w:color="auto"/>
              <w:left w:val="nil"/>
              <w:bottom w:val="single" w:sz="4" w:space="0" w:color="auto"/>
              <w:right w:val="nil"/>
            </w:tcBorders>
          </w:tcPr>
          <w:p w14:paraId="5A5EE84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2019</w:t>
            </w:r>
          </w:p>
        </w:tc>
      </w:tr>
      <w:tr w:rsidR="0086548E" w:rsidRPr="009E2595" w14:paraId="2719BDA4" w14:textId="77777777" w:rsidTr="0086548E">
        <w:trPr>
          <w:cantSplit/>
        </w:trPr>
        <w:tc>
          <w:tcPr>
            <w:tcW w:w="1136" w:type="pct"/>
            <w:tcBorders>
              <w:top w:val="single" w:sz="4" w:space="0" w:color="auto"/>
              <w:bottom w:val="single" w:sz="4" w:space="0" w:color="auto"/>
            </w:tcBorders>
          </w:tcPr>
          <w:p w14:paraId="07F463FC" w14:textId="77777777" w:rsidR="0086548E" w:rsidRPr="00616B26" w:rsidRDefault="0086548E" w:rsidP="0086548E">
            <w:pPr>
              <w:pStyle w:val="Tabletext"/>
              <w:rPr>
                <w:snapToGrid w:val="0"/>
              </w:rPr>
            </w:pPr>
            <w:r w:rsidRPr="00616B26">
              <w:rPr>
                <w:snapToGrid w:val="0"/>
              </w:rPr>
              <w:t>55</w:t>
            </w:r>
          </w:p>
        </w:tc>
        <w:tc>
          <w:tcPr>
            <w:tcW w:w="966" w:type="pct"/>
            <w:tcBorders>
              <w:top w:val="single" w:sz="4" w:space="0" w:color="auto"/>
              <w:left w:val="nil"/>
              <w:bottom w:val="single" w:sz="4" w:space="0" w:color="auto"/>
              <w:right w:val="nil"/>
            </w:tcBorders>
          </w:tcPr>
          <w:p w14:paraId="45AC5C7D" w14:textId="77777777" w:rsidR="0086548E" w:rsidRDefault="0086548E" w:rsidP="0086548E">
            <w:pPr>
              <w:pStyle w:val="Tabletext"/>
              <w:rPr>
                <w:snapToGrid w:val="0"/>
                <w:lang w:eastAsia="en-US"/>
              </w:rPr>
            </w:pPr>
            <w:r>
              <w:rPr>
                <w:lang w:eastAsia="en-US"/>
              </w:rPr>
              <w:t>24</w:t>
            </w:r>
            <w:r w:rsidR="00D7157D">
              <w:rPr>
                <w:lang w:eastAsia="en-US"/>
              </w:rPr>
              <w:t>.</w:t>
            </w:r>
            <w:r>
              <w:rPr>
                <w:lang w:eastAsia="en-US"/>
              </w:rPr>
              <w:t>3718</w:t>
            </w:r>
          </w:p>
        </w:tc>
        <w:tc>
          <w:tcPr>
            <w:tcW w:w="966" w:type="pct"/>
            <w:tcBorders>
              <w:top w:val="single" w:sz="4" w:space="0" w:color="auto"/>
              <w:left w:val="nil"/>
              <w:bottom w:val="single" w:sz="4" w:space="0" w:color="auto"/>
              <w:right w:val="nil"/>
            </w:tcBorders>
          </w:tcPr>
          <w:p w14:paraId="00650C1E"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5030</w:t>
            </w:r>
          </w:p>
        </w:tc>
        <w:tc>
          <w:tcPr>
            <w:tcW w:w="966" w:type="pct"/>
            <w:tcBorders>
              <w:top w:val="single" w:sz="4" w:space="0" w:color="auto"/>
              <w:left w:val="nil"/>
              <w:bottom w:val="single" w:sz="4" w:space="0" w:color="auto"/>
              <w:right w:val="nil"/>
            </w:tcBorders>
          </w:tcPr>
          <w:p w14:paraId="3F8E932C" w14:textId="77777777" w:rsidR="0086548E" w:rsidRDefault="0086548E" w:rsidP="0086548E">
            <w:pPr>
              <w:pStyle w:val="Tabletext"/>
              <w:rPr>
                <w:snapToGrid w:val="0"/>
                <w:lang w:eastAsia="en-US"/>
              </w:rPr>
            </w:pPr>
            <w:r>
              <w:rPr>
                <w:lang w:eastAsia="en-US"/>
              </w:rPr>
              <w:t>25</w:t>
            </w:r>
            <w:r w:rsidR="00D7157D">
              <w:rPr>
                <w:lang w:eastAsia="en-US"/>
              </w:rPr>
              <w:t>.</w:t>
            </w:r>
            <w:r>
              <w:rPr>
                <w:lang w:eastAsia="en-US"/>
              </w:rPr>
              <w:t>6493</w:t>
            </w:r>
          </w:p>
        </w:tc>
        <w:tc>
          <w:tcPr>
            <w:tcW w:w="966" w:type="pct"/>
            <w:tcBorders>
              <w:top w:val="single" w:sz="4" w:space="0" w:color="auto"/>
              <w:left w:val="nil"/>
              <w:bottom w:val="single" w:sz="4" w:space="0" w:color="auto"/>
              <w:right w:val="nil"/>
            </w:tcBorders>
          </w:tcPr>
          <w:p w14:paraId="5BB0C24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1280</w:t>
            </w:r>
          </w:p>
        </w:tc>
      </w:tr>
      <w:tr w:rsidR="0086548E" w:rsidRPr="009E2595" w14:paraId="34FCDF84" w14:textId="77777777" w:rsidTr="0086548E">
        <w:trPr>
          <w:cantSplit/>
        </w:trPr>
        <w:tc>
          <w:tcPr>
            <w:tcW w:w="1136" w:type="pct"/>
            <w:tcBorders>
              <w:top w:val="single" w:sz="4" w:space="0" w:color="auto"/>
              <w:bottom w:val="single" w:sz="4" w:space="0" w:color="auto"/>
            </w:tcBorders>
          </w:tcPr>
          <w:p w14:paraId="218CF7A0" w14:textId="77777777" w:rsidR="0086548E" w:rsidRPr="00616B26" w:rsidRDefault="0086548E" w:rsidP="0086548E">
            <w:pPr>
              <w:pStyle w:val="Tabletext"/>
              <w:rPr>
                <w:snapToGrid w:val="0"/>
              </w:rPr>
            </w:pPr>
            <w:r w:rsidRPr="00616B26">
              <w:rPr>
                <w:snapToGrid w:val="0"/>
              </w:rPr>
              <w:t>56</w:t>
            </w:r>
          </w:p>
        </w:tc>
        <w:tc>
          <w:tcPr>
            <w:tcW w:w="966" w:type="pct"/>
            <w:tcBorders>
              <w:top w:val="single" w:sz="4" w:space="0" w:color="auto"/>
              <w:left w:val="nil"/>
              <w:bottom w:val="single" w:sz="4" w:space="0" w:color="auto"/>
              <w:right w:val="nil"/>
            </w:tcBorders>
          </w:tcPr>
          <w:p w14:paraId="38046DB2" w14:textId="77777777" w:rsidR="0086548E" w:rsidRDefault="0086548E" w:rsidP="0086548E">
            <w:pPr>
              <w:pStyle w:val="Tabletext"/>
              <w:rPr>
                <w:snapToGrid w:val="0"/>
                <w:lang w:eastAsia="en-US"/>
              </w:rPr>
            </w:pPr>
            <w:r>
              <w:rPr>
                <w:lang w:eastAsia="en-US"/>
              </w:rPr>
              <w:t>23</w:t>
            </w:r>
            <w:r w:rsidR="00D7157D">
              <w:rPr>
                <w:lang w:eastAsia="en-US"/>
              </w:rPr>
              <w:t>.</w:t>
            </w:r>
            <w:r>
              <w:rPr>
                <w:lang w:eastAsia="en-US"/>
              </w:rPr>
              <w:t>8439</w:t>
            </w:r>
          </w:p>
        </w:tc>
        <w:tc>
          <w:tcPr>
            <w:tcW w:w="966" w:type="pct"/>
            <w:tcBorders>
              <w:top w:val="single" w:sz="4" w:space="0" w:color="auto"/>
              <w:left w:val="nil"/>
              <w:bottom w:val="single" w:sz="4" w:space="0" w:color="auto"/>
              <w:right w:val="nil"/>
            </w:tcBorders>
          </w:tcPr>
          <w:p w14:paraId="1CF124D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5099</w:t>
            </w:r>
          </w:p>
        </w:tc>
        <w:tc>
          <w:tcPr>
            <w:tcW w:w="966" w:type="pct"/>
            <w:tcBorders>
              <w:top w:val="single" w:sz="4" w:space="0" w:color="auto"/>
              <w:left w:val="nil"/>
              <w:bottom w:val="single" w:sz="4" w:space="0" w:color="auto"/>
              <w:right w:val="nil"/>
            </w:tcBorders>
          </w:tcPr>
          <w:p w14:paraId="6A1E805A" w14:textId="77777777" w:rsidR="0086548E" w:rsidRDefault="0086548E" w:rsidP="0086548E">
            <w:pPr>
              <w:pStyle w:val="Tabletext"/>
              <w:rPr>
                <w:snapToGrid w:val="0"/>
                <w:lang w:eastAsia="en-US"/>
              </w:rPr>
            </w:pPr>
            <w:r>
              <w:rPr>
                <w:lang w:eastAsia="en-US"/>
              </w:rPr>
              <w:t>25</w:t>
            </w:r>
            <w:r w:rsidR="00D7157D">
              <w:rPr>
                <w:lang w:eastAsia="en-US"/>
              </w:rPr>
              <w:t>.</w:t>
            </w:r>
            <w:r>
              <w:rPr>
                <w:lang w:eastAsia="en-US"/>
              </w:rPr>
              <w:t>1312</w:t>
            </w:r>
          </w:p>
        </w:tc>
        <w:tc>
          <w:tcPr>
            <w:tcW w:w="966" w:type="pct"/>
            <w:tcBorders>
              <w:top w:val="single" w:sz="4" w:space="0" w:color="auto"/>
              <w:left w:val="nil"/>
              <w:bottom w:val="single" w:sz="4" w:space="0" w:color="auto"/>
              <w:right w:val="nil"/>
            </w:tcBorders>
          </w:tcPr>
          <w:p w14:paraId="2F2EE46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1298</w:t>
            </w:r>
          </w:p>
        </w:tc>
      </w:tr>
      <w:tr w:rsidR="0086548E" w:rsidRPr="009E2595" w14:paraId="20D0046C" w14:textId="77777777" w:rsidTr="0086548E">
        <w:trPr>
          <w:cantSplit/>
        </w:trPr>
        <w:tc>
          <w:tcPr>
            <w:tcW w:w="1136" w:type="pct"/>
            <w:tcBorders>
              <w:top w:val="single" w:sz="4" w:space="0" w:color="auto"/>
              <w:bottom w:val="single" w:sz="4" w:space="0" w:color="auto"/>
            </w:tcBorders>
          </w:tcPr>
          <w:p w14:paraId="6417A936" w14:textId="77777777" w:rsidR="0086548E" w:rsidRPr="00616B26" w:rsidRDefault="0086548E" w:rsidP="0086548E">
            <w:pPr>
              <w:pStyle w:val="Tabletext"/>
              <w:rPr>
                <w:snapToGrid w:val="0"/>
              </w:rPr>
            </w:pPr>
            <w:r w:rsidRPr="00616B26">
              <w:rPr>
                <w:snapToGrid w:val="0"/>
              </w:rPr>
              <w:t>57</w:t>
            </w:r>
          </w:p>
        </w:tc>
        <w:tc>
          <w:tcPr>
            <w:tcW w:w="966" w:type="pct"/>
            <w:tcBorders>
              <w:top w:val="single" w:sz="4" w:space="0" w:color="auto"/>
              <w:left w:val="nil"/>
              <w:bottom w:val="single" w:sz="4" w:space="0" w:color="auto"/>
              <w:right w:val="nil"/>
            </w:tcBorders>
          </w:tcPr>
          <w:p w14:paraId="7AC369C9" w14:textId="77777777" w:rsidR="0086548E" w:rsidRDefault="0086548E" w:rsidP="0086548E">
            <w:pPr>
              <w:pStyle w:val="Tabletext"/>
              <w:rPr>
                <w:snapToGrid w:val="0"/>
                <w:lang w:eastAsia="en-US"/>
              </w:rPr>
            </w:pPr>
            <w:r>
              <w:rPr>
                <w:lang w:eastAsia="en-US"/>
              </w:rPr>
              <w:t>23</w:t>
            </w:r>
            <w:r w:rsidR="00D7157D">
              <w:rPr>
                <w:lang w:eastAsia="en-US"/>
              </w:rPr>
              <w:t>.</w:t>
            </w:r>
            <w:r>
              <w:rPr>
                <w:lang w:eastAsia="en-US"/>
              </w:rPr>
              <w:t>3063</w:t>
            </w:r>
          </w:p>
        </w:tc>
        <w:tc>
          <w:tcPr>
            <w:tcW w:w="966" w:type="pct"/>
            <w:tcBorders>
              <w:top w:val="single" w:sz="4" w:space="0" w:color="auto"/>
              <w:left w:val="nil"/>
              <w:bottom w:val="single" w:sz="4" w:space="0" w:color="auto"/>
              <w:right w:val="nil"/>
            </w:tcBorders>
          </w:tcPr>
          <w:p w14:paraId="35BE36D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5169</w:t>
            </w:r>
          </w:p>
        </w:tc>
        <w:tc>
          <w:tcPr>
            <w:tcW w:w="966" w:type="pct"/>
            <w:tcBorders>
              <w:top w:val="single" w:sz="4" w:space="0" w:color="auto"/>
              <w:left w:val="nil"/>
              <w:bottom w:val="single" w:sz="4" w:space="0" w:color="auto"/>
              <w:right w:val="nil"/>
            </w:tcBorders>
          </w:tcPr>
          <w:p w14:paraId="5D498787" w14:textId="77777777" w:rsidR="0086548E" w:rsidRDefault="0086548E" w:rsidP="0086548E">
            <w:pPr>
              <w:pStyle w:val="Tabletext"/>
              <w:rPr>
                <w:snapToGrid w:val="0"/>
                <w:lang w:eastAsia="en-US"/>
              </w:rPr>
            </w:pPr>
            <w:r>
              <w:rPr>
                <w:lang w:eastAsia="en-US"/>
              </w:rPr>
              <w:t>24</w:t>
            </w:r>
            <w:r w:rsidR="00D7157D">
              <w:rPr>
                <w:lang w:eastAsia="en-US"/>
              </w:rPr>
              <w:t>.</w:t>
            </w:r>
            <w:r>
              <w:rPr>
                <w:lang w:eastAsia="en-US"/>
              </w:rPr>
              <w:t>6051</w:t>
            </w:r>
          </w:p>
        </w:tc>
        <w:tc>
          <w:tcPr>
            <w:tcW w:w="966" w:type="pct"/>
            <w:tcBorders>
              <w:top w:val="single" w:sz="4" w:space="0" w:color="auto"/>
              <w:left w:val="nil"/>
              <w:bottom w:val="single" w:sz="4" w:space="0" w:color="auto"/>
              <w:right w:val="nil"/>
            </w:tcBorders>
          </w:tcPr>
          <w:p w14:paraId="68E12832"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1315</w:t>
            </w:r>
          </w:p>
        </w:tc>
      </w:tr>
      <w:tr w:rsidR="0086548E" w:rsidRPr="009E2595" w14:paraId="1C0A8369" w14:textId="77777777" w:rsidTr="0086548E">
        <w:trPr>
          <w:cantSplit/>
        </w:trPr>
        <w:tc>
          <w:tcPr>
            <w:tcW w:w="1136" w:type="pct"/>
            <w:tcBorders>
              <w:top w:val="single" w:sz="4" w:space="0" w:color="auto"/>
              <w:bottom w:val="single" w:sz="4" w:space="0" w:color="auto"/>
            </w:tcBorders>
          </w:tcPr>
          <w:p w14:paraId="6746592E" w14:textId="77777777" w:rsidR="0086548E" w:rsidRPr="00616B26" w:rsidRDefault="0086548E" w:rsidP="0086548E">
            <w:pPr>
              <w:pStyle w:val="Tabletext"/>
              <w:rPr>
                <w:snapToGrid w:val="0"/>
              </w:rPr>
            </w:pPr>
            <w:r w:rsidRPr="00616B26">
              <w:rPr>
                <w:snapToGrid w:val="0"/>
              </w:rPr>
              <w:t>58</w:t>
            </w:r>
          </w:p>
        </w:tc>
        <w:tc>
          <w:tcPr>
            <w:tcW w:w="966" w:type="pct"/>
            <w:tcBorders>
              <w:top w:val="single" w:sz="4" w:space="0" w:color="auto"/>
              <w:left w:val="nil"/>
              <w:bottom w:val="single" w:sz="4" w:space="0" w:color="auto"/>
              <w:right w:val="nil"/>
            </w:tcBorders>
          </w:tcPr>
          <w:p w14:paraId="10D83186" w14:textId="77777777" w:rsidR="0086548E" w:rsidRDefault="0086548E" w:rsidP="0086548E">
            <w:pPr>
              <w:pStyle w:val="Tabletext"/>
              <w:rPr>
                <w:snapToGrid w:val="0"/>
                <w:lang w:eastAsia="en-US"/>
              </w:rPr>
            </w:pPr>
            <w:r>
              <w:rPr>
                <w:lang w:eastAsia="en-US"/>
              </w:rPr>
              <w:t>22</w:t>
            </w:r>
            <w:r w:rsidR="00D7157D">
              <w:rPr>
                <w:lang w:eastAsia="en-US"/>
              </w:rPr>
              <w:t>.</w:t>
            </w:r>
            <w:r>
              <w:rPr>
                <w:lang w:eastAsia="en-US"/>
              </w:rPr>
              <w:t>7587</w:t>
            </w:r>
          </w:p>
        </w:tc>
        <w:tc>
          <w:tcPr>
            <w:tcW w:w="966" w:type="pct"/>
            <w:tcBorders>
              <w:top w:val="single" w:sz="4" w:space="0" w:color="auto"/>
              <w:left w:val="nil"/>
              <w:bottom w:val="single" w:sz="4" w:space="0" w:color="auto"/>
              <w:right w:val="nil"/>
            </w:tcBorders>
          </w:tcPr>
          <w:p w14:paraId="50F0A62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5239</w:t>
            </w:r>
          </w:p>
        </w:tc>
        <w:tc>
          <w:tcPr>
            <w:tcW w:w="966" w:type="pct"/>
            <w:tcBorders>
              <w:top w:val="single" w:sz="4" w:space="0" w:color="auto"/>
              <w:left w:val="nil"/>
              <w:bottom w:val="single" w:sz="4" w:space="0" w:color="auto"/>
              <w:right w:val="nil"/>
            </w:tcBorders>
          </w:tcPr>
          <w:p w14:paraId="3B2373D9" w14:textId="77777777" w:rsidR="0086548E" w:rsidRDefault="0086548E" w:rsidP="0086548E">
            <w:pPr>
              <w:pStyle w:val="Tabletext"/>
              <w:rPr>
                <w:snapToGrid w:val="0"/>
                <w:lang w:eastAsia="en-US"/>
              </w:rPr>
            </w:pPr>
            <w:r>
              <w:rPr>
                <w:lang w:eastAsia="en-US"/>
              </w:rPr>
              <w:t>24</w:t>
            </w:r>
            <w:r w:rsidR="00D7157D">
              <w:rPr>
                <w:lang w:eastAsia="en-US"/>
              </w:rPr>
              <w:t>.</w:t>
            </w:r>
            <w:r>
              <w:rPr>
                <w:lang w:eastAsia="en-US"/>
              </w:rPr>
              <w:t>0700</w:t>
            </w:r>
          </w:p>
        </w:tc>
        <w:tc>
          <w:tcPr>
            <w:tcW w:w="966" w:type="pct"/>
            <w:tcBorders>
              <w:top w:val="single" w:sz="4" w:space="0" w:color="auto"/>
              <w:left w:val="nil"/>
              <w:bottom w:val="single" w:sz="4" w:space="0" w:color="auto"/>
              <w:right w:val="nil"/>
            </w:tcBorders>
          </w:tcPr>
          <w:p w14:paraId="5A20167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1332</w:t>
            </w:r>
          </w:p>
        </w:tc>
      </w:tr>
      <w:tr w:rsidR="0086548E" w:rsidRPr="009E2595" w14:paraId="06C53921" w14:textId="77777777" w:rsidTr="0086548E">
        <w:trPr>
          <w:cantSplit/>
        </w:trPr>
        <w:tc>
          <w:tcPr>
            <w:tcW w:w="1136" w:type="pct"/>
            <w:tcBorders>
              <w:top w:val="single" w:sz="4" w:space="0" w:color="auto"/>
              <w:bottom w:val="single" w:sz="4" w:space="0" w:color="auto"/>
            </w:tcBorders>
          </w:tcPr>
          <w:p w14:paraId="5A60251D" w14:textId="77777777" w:rsidR="0086548E" w:rsidRPr="00616B26" w:rsidRDefault="0086548E" w:rsidP="0086548E">
            <w:pPr>
              <w:pStyle w:val="Tabletext"/>
              <w:rPr>
                <w:snapToGrid w:val="0"/>
              </w:rPr>
            </w:pPr>
            <w:r w:rsidRPr="00616B26">
              <w:rPr>
                <w:snapToGrid w:val="0"/>
              </w:rPr>
              <w:t>59</w:t>
            </w:r>
          </w:p>
        </w:tc>
        <w:tc>
          <w:tcPr>
            <w:tcW w:w="966" w:type="pct"/>
            <w:tcBorders>
              <w:top w:val="single" w:sz="4" w:space="0" w:color="auto"/>
              <w:left w:val="nil"/>
              <w:bottom w:val="single" w:sz="4" w:space="0" w:color="auto"/>
              <w:right w:val="nil"/>
            </w:tcBorders>
          </w:tcPr>
          <w:p w14:paraId="357CBECD" w14:textId="77777777" w:rsidR="0086548E" w:rsidRDefault="0086548E" w:rsidP="0086548E">
            <w:pPr>
              <w:pStyle w:val="Tabletext"/>
              <w:rPr>
                <w:snapToGrid w:val="0"/>
                <w:lang w:eastAsia="en-US"/>
              </w:rPr>
            </w:pPr>
            <w:r>
              <w:rPr>
                <w:lang w:eastAsia="en-US"/>
              </w:rPr>
              <w:t>22</w:t>
            </w:r>
            <w:r w:rsidR="00D7157D">
              <w:rPr>
                <w:lang w:eastAsia="en-US"/>
              </w:rPr>
              <w:t>.</w:t>
            </w:r>
            <w:r>
              <w:rPr>
                <w:lang w:eastAsia="en-US"/>
              </w:rPr>
              <w:t>2006</w:t>
            </w:r>
          </w:p>
        </w:tc>
        <w:tc>
          <w:tcPr>
            <w:tcW w:w="966" w:type="pct"/>
            <w:tcBorders>
              <w:top w:val="single" w:sz="4" w:space="0" w:color="auto"/>
              <w:left w:val="nil"/>
              <w:bottom w:val="single" w:sz="4" w:space="0" w:color="auto"/>
              <w:right w:val="nil"/>
            </w:tcBorders>
          </w:tcPr>
          <w:p w14:paraId="0DB07C3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5311</w:t>
            </w:r>
          </w:p>
        </w:tc>
        <w:tc>
          <w:tcPr>
            <w:tcW w:w="966" w:type="pct"/>
            <w:tcBorders>
              <w:top w:val="single" w:sz="4" w:space="0" w:color="auto"/>
              <w:left w:val="nil"/>
              <w:bottom w:val="single" w:sz="4" w:space="0" w:color="auto"/>
              <w:right w:val="nil"/>
            </w:tcBorders>
          </w:tcPr>
          <w:p w14:paraId="469A173B" w14:textId="77777777" w:rsidR="0086548E" w:rsidRDefault="0086548E" w:rsidP="0086548E">
            <w:pPr>
              <w:pStyle w:val="Tabletext"/>
              <w:rPr>
                <w:snapToGrid w:val="0"/>
                <w:lang w:eastAsia="en-US"/>
              </w:rPr>
            </w:pPr>
            <w:r>
              <w:rPr>
                <w:lang w:eastAsia="en-US"/>
              </w:rPr>
              <w:t>23</w:t>
            </w:r>
            <w:r w:rsidR="00D7157D">
              <w:rPr>
                <w:lang w:eastAsia="en-US"/>
              </w:rPr>
              <w:t>.</w:t>
            </w:r>
            <w:r>
              <w:rPr>
                <w:lang w:eastAsia="en-US"/>
              </w:rPr>
              <w:t>5253</w:t>
            </w:r>
          </w:p>
        </w:tc>
        <w:tc>
          <w:tcPr>
            <w:tcW w:w="966" w:type="pct"/>
            <w:tcBorders>
              <w:top w:val="single" w:sz="4" w:space="0" w:color="auto"/>
              <w:left w:val="nil"/>
              <w:bottom w:val="single" w:sz="4" w:space="0" w:color="auto"/>
              <w:right w:val="nil"/>
            </w:tcBorders>
          </w:tcPr>
          <w:p w14:paraId="207A16B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1350</w:t>
            </w:r>
          </w:p>
        </w:tc>
      </w:tr>
      <w:tr w:rsidR="0086548E" w:rsidRPr="009E2595" w14:paraId="4BB225D5" w14:textId="77777777" w:rsidTr="0086548E">
        <w:trPr>
          <w:cantSplit/>
        </w:trPr>
        <w:tc>
          <w:tcPr>
            <w:tcW w:w="1136" w:type="pct"/>
            <w:tcBorders>
              <w:top w:val="single" w:sz="4" w:space="0" w:color="auto"/>
              <w:bottom w:val="single" w:sz="4" w:space="0" w:color="auto"/>
            </w:tcBorders>
          </w:tcPr>
          <w:p w14:paraId="572D5CA3" w14:textId="77777777" w:rsidR="0086548E" w:rsidRPr="00616B26" w:rsidRDefault="0086548E" w:rsidP="0086548E">
            <w:pPr>
              <w:pStyle w:val="Tabletext"/>
              <w:rPr>
                <w:snapToGrid w:val="0"/>
              </w:rPr>
            </w:pPr>
            <w:r w:rsidRPr="00616B26">
              <w:rPr>
                <w:snapToGrid w:val="0"/>
              </w:rPr>
              <w:t>60</w:t>
            </w:r>
          </w:p>
        </w:tc>
        <w:tc>
          <w:tcPr>
            <w:tcW w:w="966" w:type="pct"/>
            <w:tcBorders>
              <w:top w:val="single" w:sz="4" w:space="0" w:color="auto"/>
              <w:left w:val="nil"/>
              <w:bottom w:val="single" w:sz="4" w:space="0" w:color="auto"/>
              <w:right w:val="nil"/>
            </w:tcBorders>
          </w:tcPr>
          <w:p w14:paraId="0247B528" w14:textId="77777777" w:rsidR="0086548E" w:rsidRDefault="0086548E" w:rsidP="0086548E">
            <w:pPr>
              <w:pStyle w:val="Tabletext"/>
              <w:rPr>
                <w:snapToGrid w:val="0"/>
                <w:lang w:eastAsia="en-US"/>
              </w:rPr>
            </w:pPr>
            <w:r>
              <w:rPr>
                <w:lang w:eastAsia="en-US"/>
              </w:rPr>
              <w:t>21</w:t>
            </w:r>
            <w:r w:rsidR="00D7157D">
              <w:rPr>
                <w:lang w:eastAsia="en-US"/>
              </w:rPr>
              <w:t>.</w:t>
            </w:r>
            <w:r>
              <w:rPr>
                <w:lang w:eastAsia="en-US"/>
              </w:rPr>
              <w:t>6323</w:t>
            </w:r>
          </w:p>
        </w:tc>
        <w:tc>
          <w:tcPr>
            <w:tcW w:w="966" w:type="pct"/>
            <w:tcBorders>
              <w:top w:val="single" w:sz="4" w:space="0" w:color="auto"/>
              <w:left w:val="nil"/>
              <w:bottom w:val="single" w:sz="4" w:space="0" w:color="auto"/>
              <w:right w:val="nil"/>
            </w:tcBorders>
          </w:tcPr>
          <w:p w14:paraId="13FD6E2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5383</w:t>
            </w:r>
          </w:p>
        </w:tc>
        <w:tc>
          <w:tcPr>
            <w:tcW w:w="966" w:type="pct"/>
            <w:tcBorders>
              <w:top w:val="single" w:sz="4" w:space="0" w:color="auto"/>
              <w:left w:val="nil"/>
              <w:bottom w:val="single" w:sz="4" w:space="0" w:color="auto"/>
              <w:right w:val="nil"/>
            </w:tcBorders>
          </w:tcPr>
          <w:p w14:paraId="7C770DCE" w14:textId="77777777" w:rsidR="0086548E" w:rsidRDefault="0086548E" w:rsidP="0086548E">
            <w:pPr>
              <w:pStyle w:val="Tabletext"/>
              <w:rPr>
                <w:snapToGrid w:val="0"/>
                <w:lang w:eastAsia="en-US"/>
              </w:rPr>
            </w:pPr>
            <w:r>
              <w:rPr>
                <w:lang w:eastAsia="en-US"/>
              </w:rPr>
              <w:t>22</w:t>
            </w:r>
            <w:r w:rsidR="00D7157D">
              <w:rPr>
                <w:lang w:eastAsia="en-US"/>
              </w:rPr>
              <w:t>.</w:t>
            </w:r>
            <w:r>
              <w:rPr>
                <w:lang w:eastAsia="en-US"/>
              </w:rPr>
              <w:t>9708</w:t>
            </w:r>
          </w:p>
        </w:tc>
        <w:tc>
          <w:tcPr>
            <w:tcW w:w="966" w:type="pct"/>
            <w:tcBorders>
              <w:top w:val="single" w:sz="4" w:space="0" w:color="auto"/>
              <w:left w:val="nil"/>
              <w:bottom w:val="single" w:sz="4" w:space="0" w:color="auto"/>
              <w:right w:val="nil"/>
            </w:tcBorders>
          </w:tcPr>
          <w:p w14:paraId="7E59878D"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1367</w:t>
            </w:r>
          </w:p>
        </w:tc>
      </w:tr>
      <w:tr w:rsidR="0086548E" w:rsidRPr="009E2595" w14:paraId="3E372434" w14:textId="77777777" w:rsidTr="0086548E">
        <w:trPr>
          <w:cantSplit/>
        </w:trPr>
        <w:tc>
          <w:tcPr>
            <w:tcW w:w="1136" w:type="pct"/>
            <w:tcBorders>
              <w:top w:val="single" w:sz="4" w:space="0" w:color="auto"/>
              <w:bottom w:val="single" w:sz="4" w:space="0" w:color="auto"/>
            </w:tcBorders>
          </w:tcPr>
          <w:p w14:paraId="0C622EBB" w14:textId="77777777" w:rsidR="0086548E" w:rsidRPr="00616B26" w:rsidRDefault="0086548E" w:rsidP="0086548E">
            <w:pPr>
              <w:pStyle w:val="Tabletext"/>
              <w:rPr>
                <w:snapToGrid w:val="0"/>
              </w:rPr>
            </w:pPr>
            <w:r w:rsidRPr="00616B26">
              <w:rPr>
                <w:snapToGrid w:val="0"/>
              </w:rPr>
              <w:t>61</w:t>
            </w:r>
          </w:p>
        </w:tc>
        <w:tc>
          <w:tcPr>
            <w:tcW w:w="966" w:type="pct"/>
            <w:tcBorders>
              <w:top w:val="single" w:sz="4" w:space="0" w:color="auto"/>
              <w:left w:val="nil"/>
              <w:bottom w:val="single" w:sz="4" w:space="0" w:color="auto"/>
              <w:right w:val="nil"/>
            </w:tcBorders>
          </w:tcPr>
          <w:p w14:paraId="2DA760F3" w14:textId="77777777" w:rsidR="0086548E" w:rsidRDefault="0086548E" w:rsidP="0086548E">
            <w:pPr>
              <w:pStyle w:val="Tabletext"/>
              <w:rPr>
                <w:snapToGrid w:val="0"/>
                <w:lang w:eastAsia="en-US"/>
              </w:rPr>
            </w:pPr>
            <w:r>
              <w:rPr>
                <w:lang w:eastAsia="en-US"/>
              </w:rPr>
              <w:t>21</w:t>
            </w:r>
            <w:r w:rsidR="00D7157D">
              <w:rPr>
                <w:lang w:eastAsia="en-US"/>
              </w:rPr>
              <w:t>.</w:t>
            </w:r>
            <w:r>
              <w:rPr>
                <w:lang w:eastAsia="en-US"/>
              </w:rPr>
              <w:t>0541</w:t>
            </w:r>
          </w:p>
        </w:tc>
        <w:tc>
          <w:tcPr>
            <w:tcW w:w="966" w:type="pct"/>
            <w:tcBorders>
              <w:top w:val="single" w:sz="4" w:space="0" w:color="auto"/>
              <w:left w:val="nil"/>
              <w:bottom w:val="single" w:sz="4" w:space="0" w:color="auto"/>
              <w:right w:val="nil"/>
            </w:tcBorders>
          </w:tcPr>
          <w:p w14:paraId="093F19C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5455</w:t>
            </w:r>
          </w:p>
        </w:tc>
        <w:tc>
          <w:tcPr>
            <w:tcW w:w="966" w:type="pct"/>
            <w:tcBorders>
              <w:top w:val="single" w:sz="4" w:space="0" w:color="auto"/>
              <w:left w:val="nil"/>
              <w:bottom w:val="single" w:sz="4" w:space="0" w:color="auto"/>
              <w:right w:val="nil"/>
            </w:tcBorders>
          </w:tcPr>
          <w:p w14:paraId="54CCB66B" w14:textId="77777777" w:rsidR="0086548E" w:rsidRDefault="0086548E" w:rsidP="0086548E">
            <w:pPr>
              <w:pStyle w:val="Tabletext"/>
              <w:rPr>
                <w:snapToGrid w:val="0"/>
                <w:lang w:eastAsia="en-US"/>
              </w:rPr>
            </w:pPr>
            <w:r>
              <w:rPr>
                <w:lang w:eastAsia="en-US"/>
              </w:rPr>
              <w:t>22</w:t>
            </w:r>
            <w:r w:rsidR="00D7157D">
              <w:rPr>
                <w:lang w:eastAsia="en-US"/>
              </w:rPr>
              <w:t>.</w:t>
            </w:r>
            <w:r>
              <w:rPr>
                <w:lang w:eastAsia="en-US"/>
              </w:rPr>
              <w:t>4055</w:t>
            </w:r>
          </w:p>
        </w:tc>
        <w:tc>
          <w:tcPr>
            <w:tcW w:w="966" w:type="pct"/>
            <w:tcBorders>
              <w:top w:val="single" w:sz="4" w:space="0" w:color="auto"/>
              <w:left w:val="nil"/>
              <w:bottom w:val="single" w:sz="4" w:space="0" w:color="auto"/>
              <w:right w:val="nil"/>
            </w:tcBorders>
          </w:tcPr>
          <w:p w14:paraId="4C7EF98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1384</w:t>
            </w:r>
          </w:p>
        </w:tc>
      </w:tr>
      <w:tr w:rsidR="0086548E" w:rsidRPr="009E2595" w14:paraId="1AF8F7C3" w14:textId="77777777" w:rsidTr="0086548E">
        <w:trPr>
          <w:cantSplit/>
        </w:trPr>
        <w:tc>
          <w:tcPr>
            <w:tcW w:w="1136" w:type="pct"/>
            <w:tcBorders>
              <w:top w:val="single" w:sz="4" w:space="0" w:color="auto"/>
              <w:bottom w:val="single" w:sz="4" w:space="0" w:color="auto"/>
            </w:tcBorders>
          </w:tcPr>
          <w:p w14:paraId="6474C444" w14:textId="77777777" w:rsidR="0086548E" w:rsidRPr="00616B26" w:rsidRDefault="0086548E" w:rsidP="0086548E">
            <w:pPr>
              <w:pStyle w:val="Tabletext"/>
              <w:rPr>
                <w:snapToGrid w:val="0"/>
              </w:rPr>
            </w:pPr>
            <w:r w:rsidRPr="00616B26">
              <w:rPr>
                <w:snapToGrid w:val="0"/>
              </w:rPr>
              <w:t>62</w:t>
            </w:r>
          </w:p>
        </w:tc>
        <w:tc>
          <w:tcPr>
            <w:tcW w:w="966" w:type="pct"/>
            <w:tcBorders>
              <w:top w:val="single" w:sz="4" w:space="0" w:color="auto"/>
              <w:left w:val="nil"/>
              <w:bottom w:val="single" w:sz="4" w:space="0" w:color="auto"/>
              <w:right w:val="nil"/>
            </w:tcBorders>
          </w:tcPr>
          <w:p w14:paraId="6E9A5BB0" w14:textId="77777777" w:rsidR="0086548E" w:rsidRDefault="0086548E" w:rsidP="0086548E">
            <w:pPr>
              <w:pStyle w:val="Tabletext"/>
              <w:rPr>
                <w:snapToGrid w:val="0"/>
                <w:lang w:eastAsia="en-US"/>
              </w:rPr>
            </w:pPr>
            <w:r>
              <w:rPr>
                <w:lang w:eastAsia="en-US"/>
              </w:rPr>
              <w:t>20</w:t>
            </w:r>
            <w:r w:rsidR="00D7157D">
              <w:rPr>
                <w:lang w:eastAsia="en-US"/>
              </w:rPr>
              <w:t>.</w:t>
            </w:r>
            <w:r>
              <w:rPr>
                <w:lang w:eastAsia="en-US"/>
              </w:rPr>
              <w:t>4658</w:t>
            </w:r>
          </w:p>
        </w:tc>
        <w:tc>
          <w:tcPr>
            <w:tcW w:w="966" w:type="pct"/>
            <w:tcBorders>
              <w:top w:val="single" w:sz="4" w:space="0" w:color="auto"/>
              <w:left w:val="nil"/>
              <w:bottom w:val="single" w:sz="4" w:space="0" w:color="auto"/>
              <w:right w:val="nil"/>
            </w:tcBorders>
          </w:tcPr>
          <w:p w14:paraId="32BC59D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5528</w:t>
            </w:r>
          </w:p>
        </w:tc>
        <w:tc>
          <w:tcPr>
            <w:tcW w:w="966" w:type="pct"/>
            <w:tcBorders>
              <w:top w:val="single" w:sz="4" w:space="0" w:color="auto"/>
              <w:left w:val="nil"/>
              <w:bottom w:val="single" w:sz="4" w:space="0" w:color="auto"/>
              <w:right w:val="nil"/>
            </w:tcBorders>
          </w:tcPr>
          <w:p w14:paraId="7ED02E8D" w14:textId="77777777" w:rsidR="0086548E" w:rsidRDefault="0086548E" w:rsidP="0086548E">
            <w:pPr>
              <w:pStyle w:val="Tabletext"/>
              <w:rPr>
                <w:snapToGrid w:val="0"/>
                <w:lang w:eastAsia="en-US"/>
              </w:rPr>
            </w:pPr>
            <w:r>
              <w:rPr>
                <w:lang w:eastAsia="en-US"/>
              </w:rPr>
              <w:t>21</w:t>
            </w:r>
            <w:r w:rsidR="00D7157D">
              <w:rPr>
                <w:lang w:eastAsia="en-US"/>
              </w:rPr>
              <w:t>.</w:t>
            </w:r>
            <w:r>
              <w:rPr>
                <w:lang w:eastAsia="en-US"/>
              </w:rPr>
              <w:t>8306</w:t>
            </w:r>
          </w:p>
        </w:tc>
        <w:tc>
          <w:tcPr>
            <w:tcW w:w="966" w:type="pct"/>
            <w:tcBorders>
              <w:top w:val="single" w:sz="4" w:space="0" w:color="auto"/>
              <w:left w:val="nil"/>
              <w:bottom w:val="single" w:sz="4" w:space="0" w:color="auto"/>
              <w:right w:val="nil"/>
            </w:tcBorders>
          </w:tcPr>
          <w:p w14:paraId="1396CB1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1402</w:t>
            </w:r>
          </w:p>
        </w:tc>
      </w:tr>
      <w:tr w:rsidR="0086548E" w:rsidRPr="009E2595" w14:paraId="425C6837" w14:textId="77777777" w:rsidTr="0086548E">
        <w:trPr>
          <w:cantSplit/>
        </w:trPr>
        <w:tc>
          <w:tcPr>
            <w:tcW w:w="1136" w:type="pct"/>
            <w:tcBorders>
              <w:top w:val="single" w:sz="4" w:space="0" w:color="auto"/>
              <w:bottom w:val="single" w:sz="4" w:space="0" w:color="auto"/>
            </w:tcBorders>
          </w:tcPr>
          <w:p w14:paraId="5C45AA3D" w14:textId="77777777" w:rsidR="0086548E" w:rsidRPr="00616B26" w:rsidRDefault="0086548E" w:rsidP="0086548E">
            <w:pPr>
              <w:pStyle w:val="Tabletext"/>
              <w:rPr>
                <w:snapToGrid w:val="0"/>
              </w:rPr>
            </w:pPr>
            <w:r w:rsidRPr="00616B26">
              <w:rPr>
                <w:snapToGrid w:val="0"/>
              </w:rPr>
              <w:t>63</w:t>
            </w:r>
          </w:p>
        </w:tc>
        <w:tc>
          <w:tcPr>
            <w:tcW w:w="966" w:type="pct"/>
            <w:tcBorders>
              <w:top w:val="single" w:sz="4" w:space="0" w:color="auto"/>
              <w:left w:val="nil"/>
              <w:bottom w:val="single" w:sz="4" w:space="0" w:color="auto"/>
              <w:right w:val="nil"/>
            </w:tcBorders>
          </w:tcPr>
          <w:p w14:paraId="77A0BB0D" w14:textId="77777777" w:rsidR="0086548E" w:rsidRDefault="0086548E" w:rsidP="0086548E">
            <w:pPr>
              <w:pStyle w:val="Tabletext"/>
              <w:rPr>
                <w:snapToGrid w:val="0"/>
                <w:lang w:eastAsia="en-US"/>
              </w:rPr>
            </w:pPr>
            <w:r>
              <w:rPr>
                <w:lang w:eastAsia="en-US"/>
              </w:rPr>
              <w:t>19</w:t>
            </w:r>
            <w:r w:rsidR="00D7157D">
              <w:rPr>
                <w:lang w:eastAsia="en-US"/>
              </w:rPr>
              <w:t>.</w:t>
            </w:r>
            <w:r>
              <w:rPr>
                <w:lang w:eastAsia="en-US"/>
              </w:rPr>
              <w:t>8678</w:t>
            </w:r>
          </w:p>
        </w:tc>
        <w:tc>
          <w:tcPr>
            <w:tcW w:w="966" w:type="pct"/>
            <w:tcBorders>
              <w:top w:val="single" w:sz="4" w:space="0" w:color="auto"/>
              <w:left w:val="nil"/>
              <w:bottom w:val="single" w:sz="4" w:space="0" w:color="auto"/>
              <w:right w:val="nil"/>
            </w:tcBorders>
          </w:tcPr>
          <w:p w14:paraId="6C34DA3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5601</w:t>
            </w:r>
          </w:p>
        </w:tc>
        <w:tc>
          <w:tcPr>
            <w:tcW w:w="966" w:type="pct"/>
            <w:tcBorders>
              <w:top w:val="single" w:sz="4" w:space="0" w:color="auto"/>
              <w:left w:val="nil"/>
              <w:bottom w:val="single" w:sz="4" w:space="0" w:color="auto"/>
              <w:right w:val="nil"/>
            </w:tcBorders>
          </w:tcPr>
          <w:p w14:paraId="42A40017" w14:textId="77777777" w:rsidR="0086548E" w:rsidRDefault="0086548E" w:rsidP="0086548E">
            <w:pPr>
              <w:pStyle w:val="Tabletext"/>
              <w:rPr>
                <w:snapToGrid w:val="0"/>
                <w:lang w:eastAsia="en-US"/>
              </w:rPr>
            </w:pPr>
            <w:r>
              <w:rPr>
                <w:lang w:eastAsia="en-US"/>
              </w:rPr>
              <w:t>21</w:t>
            </w:r>
            <w:r w:rsidR="00D7157D">
              <w:rPr>
                <w:lang w:eastAsia="en-US"/>
              </w:rPr>
              <w:t>.</w:t>
            </w:r>
            <w:r>
              <w:rPr>
                <w:lang w:eastAsia="en-US"/>
              </w:rPr>
              <w:t>2459</w:t>
            </w:r>
          </w:p>
        </w:tc>
        <w:tc>
          <w:tcPr>
            <w:tcW w:w="966" w:type="pct"/>
            <w:tcBorders>
              <w:top w:val="single" w:sz="4" w:space="0" w:color="auto"/>
              <w:left w:val="nil"/>
              <w:bottom w:val="single" w:sz="4" w:space="0" w:color="auto"/>
              <w:right w:val="nil"/>
            </w:tcBorders>
          </w:tcPr>
          <w:p w14:paraId="28A44E4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1419</w:t>
            </w:r>
          </w:p>
        </w:tc>
      </w:tr>
      <w:tr w:rsidR="0086548E" w:rsidRPr="009E2595" w14:paraId="21EE0F1E" w14:textId="77777777" w:rsidTr="0086548E">
        <w:trPr>
          <w:cantSplit/>
        </w:trPr>
        <w:tc>
          <w:tcPr>
            <w:tcW w:w="1136" w:type="pct"/>
            <w:tcBorders>
              <w:top w:val="single" w:sz="4" w:space="0" w:color="auto"/>
              <w:bottom w:val="single" w:sz="4" w:space="0" w:color="auto"/>
            </w:tcBorders>
          </w:tcPr>
          <w:p w14:paraId="6E16DF11" w14:textId="77777777" w:rsidR="0086548E" w:rsidRPr="00616B26" w:rsidRDefault="0086548E" w:rsidP="0086548E">
            <w:pPr>
              <w:pStyle w:val="Tabletext"/>
              <w:rPr>
                <w:snapToGrid w:val="0"/>
              </w:rPr>
            </w:pPr>
            <w:r w:rsidRPr="00616B26">
              <w:rPr>
                <w:snapToGrid w:val="0"/>
              </w:rPr>
              <w:t>64</w:t>
            </w:r>
          </w:p>
        </w:tc>
        <w:tc>
          <w:tcPr>
            <w:tcW w:w="966" w:type="pct"/>
            <w:tcBorders>
              <w:top w:val="single" w:sz="4" w:space="0" w:color="auto"/>
              <w:left w:val="nil"/>
              <w:bottom w:val="single" w:sz="4" w:space="0" w:color="auto"/>
              <w:right w:val="nil"/>
            </w:tcBorders>
          </w:tcPr>
          <w:p w14:paraId="7E788E40" w14:textId="77777777" w:rsidR="0086548E" w:rsidRDefault="0086548E" w:rsidP="0086548E">
            <w:pPr>
              <w:pStyle w:val="Tabletext"/>
              <w:rPr>
                <w:snapToGrid w:val="0"/>
                <w:lang w:eastAsia="en-US"/>
              </w:rPr>
            </w:pPr>
            <w:r>
              <w:rPr>
                <w:lang w:eastAsia="en-US"/>
              </w:rPr>
              <w:t>19</w:t>
            </w:r>
            <w:r w:rsidR="00D7157D">
              <w:rPr>
                <w:lang w:eastAsia="en-US"/>
              </w:rPr>
              <w:t>.</w:t>
            </w:r>
            <w:r>
              <w:rPr>
                <w:lang w:eastAsia="en-US"/>
              </w:rPr>
              <w:t>2598</w:t>
            </w:r>
          </w:p>
        </w:tc>
        <w:tc>
          <w:tcPr>
            <w:tcW w:w="966" w:type="pct"/>
            <w:tcBorders>
              <w:top w:val="single" w:sz="4" w:space="0" w:color="auto"/>
              <w:left w:val="nil"/>
              <w:bottom w:val="single" w:sz="4" w:space="0" w:color="auto"/>
              <w:right w:val="nil"/>
            </w:tcBorders>
          </w:tcPr>
          <w:p w14:paraId="71F62FD9"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5673</w:t>
            </w:r>
          </w:p>
        </w:tc>
        <w:tc>
          <w:tcPr>
            <w:tcW w:w="966" w:type="pct"/>
            <w:tcBorders>
              <w:top w:val="single" w:sz="4" w:space="0" w:color="auto"/>
              <w:left w:val="nil"/>
              <w:bottom w:val="single" w:sz="4" w:space="0" w:color="auto"/>
              <w:right w:val="nil"/>
            </w:tcBorders>
          </w:tcPr>
          <w:p w14:paraId="0C9688C1" w14:textId="77777777" w:rsidR="0086548E" w:rsidRDefault="0086548E" w:rsidP="0086548E">
            <w:pPr>
              <w:pStyle w:val="Tabletext"/>
              <w:rPr>
                <w:snapToGrid w:val="0"/>
                <w:lang w:eastAsia="en-US"/>
              </w:rPr>
            </w:pPr>
            <w:r>
              <w:rPr>
                <w:lang w:eastAsia="en-US"/>
              </w:rPr>
              <w:t>20</w:t>
            </w:r>
            <w:r w:rsidR="00D7157D">
              <w:rPr>
                <w:lang w:eastAsia="en-US"/>
              </w:rPr>
              <w:t>.</w:t>
            </w:r>
            <w:r>
              <w:rPr>
                <w:lang w:eastAsia="en-US"/>
              </w:rPr>
              <w:t>6517</w:t>
            </w:r>
          </w:p>
        </w:tc>
        <w:tc>
          <w:tcPr>
            <w:tcW w:w="966" w:type="pct"/>
            <w:tcBorders>
              <w:top w:val="single" w:sz="4" w:space="0" w:color="auto"/>
              <w:left w:val="nil"/>
              <w:bottom w:val="single" w:sz="4" w:space="0" w:color="auto"/>
              <w:right w:val="nil"/>
            </w:tcBorders>
          </w:tcPr>
          <w:p w14:paraId="0608FD6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1436</w:t>
            </w:r>
          </w:p>
        </w:tc>
      </w:tr>
      <w:tr w:rsidR="0086548E" w:rsidRPr="009E2595" w14:paraId="3C318840" w14:textId="77777777" w:rsidTr="0086548E">
        <w:trPr>
          <w:cantSplit/>
        </w:trPr>
        <w:tc>
          <w:tcPr>
            <w:tcW w:w="1136" w:type="pct"/>
            <w:tcBorders>
              <w:top w:val="single" w:sz="4" w:space="0" w:color="auto"/>
              <w:bottom w:val="single" w:sz="4" w:space="0" w:color="auto"/>
            </w:tcBorders>
          </w:tcPr>
          <w:p w14:paraId="44C6BC4D" w14:textId="77777777" w:rsidR="0086548E" w:rsidRPr="00616B26" w:rsidRDefault="0086548E" w:rsidP="0086548E">
            <w:pPr>
              <w:pStyle w:val="Tabletext"/>
              <w:rPr>
                <w:snapToGrid w:val="0"/>
              </w:rPr>
            </w:pPr>
            <w:r w:rsidRPr="00616B26">
              <w:rPr>
                <w:snapToGrid w:val="0"/>
              </w:rPr>
              <w:t>65</w:t>
            </w:r>
          </w:p>
        </w:tc>
        <w:tc>
          <w:tcPr>
            <w:tcW w:w="966" w:type="pct"/>
            <w:tcBorders>
              <w:top w:val="single" w:sz="4" w:space="0" w:color="auto"/>
              <w:left w:val="nil"/>
              <w:bottom w:val="single" w:sz="4" w:space="0" w:color="auto"/>
              <w:right w:val="nil"/>
            </w:tcBorders>
          </w:tcPr>
          <w:p w14:paraId="1732BDFA" w14:textId="77777777" w:rsidR="0086548E" w:rsidRDefault="0086548E" w:rsidP="0086548E">
            <w:pPr>
              <w:pStyle w:val="Tabletext"/>
              <w:rPr>
                <w:snapToGrid w:val="0"/>
                <w:lang w:eastAsia="en-US"/>
              </w:rPr>
            </w:pPr>
            <w:r>
              <w:rPr>
                <w:lang w:eastAsia="en-US"/>
              </w:rPr>
              <w:t>18</w:t>
            </w:r>
            <w:r w:rsidR="00D7157D">
              <w:rPr>
                <w:lang w:eastAsia="en-US"/>
              </w:rPr>
              <w:t>.</w:t>
            </w:r>
            <w:r>
              <w:rPr>
                <w:lang w:eastAsia="en-US"/>
              </w:rPr>
              <w:t>6443</w:t>
            </w:r>
          </w:p>
        </w:tc>
        <w:tc>
          <w:tcPr>
            <w:tcW w:w="966" w:type="pct"/>
            <w:tcBorders>
              <w:top w:val="single" w:sz="4" w:space="0" w:color="auto"/>
              <w:left w:val="nil"/>
              <w:bottom w:val="single" w:sz="4" w:space="0" w:color="auto"/>
              <w:right w:val="nil"/>
            </w:tcBorders>
          </w:tcPr>
          <w:p w14:paraId="10AED7C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5743</w:t>
            </w:r>
          </w:p>
        </w:tc>
        <w:tc>
          <w:tcPr>
            <w:tcW w:w="966" w:type="pct"/>
            <w:tcBorders>
              <w:top w:val="single" w:sz="4" w:space="0" w:color="auto"/>
              <w:left w:val="nil"/>
              <w:bottom w:val="single" w:sz="4" w:space="0" w:color="auto"/>
              <w:right w:val="nil"/>
            </w:tcBorders>
          </w:tcPr>
          <w:p w14:paraId="1E995486" w14:textId="77777777" w:rsidR="0086548E" w:rsidRDefault="0086548E" w:rsidP="0086548E">
            <w:pPr>
              <w:pStyle w:val="Tabletext"/>
              <w:rPr>
                <w:snapToGrid w:val="0"/>
                <w:lang w:eastAsia="en-US"/>
              </w:rPr>
            </w:pPr>
            <w:r>
              <w:rPr>
                <w:lang w:eastAsia="en-US"/>
              </w:rPr>
              <w:t>20</w:t>
            </w:r>
            <w:r w:rsidR="00D7157D">
              <w:rPr>
                <w:lang w:eastAsia="en-US"/>
              </w:rPr>
              <w:t>.</w:t>
            </w:r>
            <w:r>
              <w:rPr>
                <w:lang w:eastAsia="en-US"/>
              </w:rPr>
              <w:t>0497</w:t>
            </w:r>
          </w:p>
        </w:tc>
        <w:tc>
          <w:tcPr>
            <w:tcW w:w="966" w:type="pct"/>
            <w:tcBorders>
              <w:top w:val="single" w:sz="4" w:space="0" w:color="auto"/>
              <w:left w:val="nil"/>
              <w:bottom w:val="single" w:sz="4" w:space="0" w:color="auto"/>
              <w:right w:val="nil"/>
            </w:tcBorders>
          </w:tcPr>
          <w:p w14:paraId="7B4C60F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1452</w:t>
            </w:r>
          </w:p>
        </w:tc>
      </w:tr>
      <w:tr w:rsidR="0086548E" w:rsidRPr="009E2595" w14:paraId="01B88D50" w14:textId="77777777" w:rsidTr="0086548E">
        <w:trPr>
          <w:cantSplit/>
        </w:trPr>
        <w:tc>
          <w:tcPr>
            <w:tcW w:w="1136" w:type="pct"/>
            <w:tcBorders>
              <w:top w:val="single" w:sz="4" w:space="0" w:color="auto"/>
              <w:bottom w:val="single" w:sz="4" w:space="0" w:color="auto"/>
            </w:tcBorders>
          </w:tcPr>
          <w:p w14:paraId="5344DDE2" w14:textId="77777777" w:rsidR="0086548E" w:rsidRPr="00616B26" w:rsidRDefault="0086548E" w:rsidP="0086548E">
            <w:pPr>
              <w:pStyle w:val="Tabletext"/>
              <w:rPr>
                <w:snapToGrid w:val="0"/>
              </w:rPr>
            </w:pPr>
            <w:r w:rsidRPr="00616B26">
              <w:rPr>
                <w:snapToGrid w:val="0"/>
              </w:rPr>
              <w:t>66</w:t>
            </w:r>
          </w:p>
        </w:tc>
        <w:tc>
          <w:tcPr>
            <w:tcW w:w="966" w:type="pct"/>
            <w:tcBorders>
              <w:top w:val="single" w:sz="4" w:space="0" w:color="auto"/>
              <w:left w:val="nil"/>
              <w:bottom w:val="single" w:sz="4" w:space="0" w:color="auto"/>
              <w:right w:val="nil"/>
            </w:tcBorders>
          </w:tcPr>
          <w:p w14:paraId="140110C1" w14:textId="77777777" w:rsidR="0086548E" w:rsidRDefault="0086548E" w:rsidP="0086548E">
            <w:pPr>
              <w:pStyle w:val="Tabletext"/>
              <w:rPr>
                <w:snapToGrid w:val="0"/>
                <w:lang w:eastAsia="en-US"/>
              </w:rPr>
            </w:pPr>
            <w:r>
              <w:rPr>
                <w:lang w:eastAsia="en-US"/>
              </w:rPr>
              <w:t>18</w:t>
            </w:r>
            <w:r w:rsidR="00D7157D">
              <w:rPr>
                <w:lang w:eastAsia="en-US"/>
              </w:rPr>
              <w:t>.</w:t>
            </w:r>
            <w:r>
              <w:rPr>
                <w:lang w:eastAsia="en-US"/>
              </w:rPr>
              <w:t>0258</w:t>
            </w:r>
          </w:p>
        </w:tc>
        <w:tc>
          <w:tcPr>
            <w:tcW w:w="966" w:type="pct"/>
            <w:tcBorders>
              <w:top w:val="single" w:sz="4" w:space="0" w:color="auto"/>
              <w:left w:val="nil"/>
              <w:bottom w:val="single" w:sz="4" w:space="0" w:color="auto"/>
              <w:right w:val="nil"/>
            </w:tcBorders>
          </w:tcPr>
          <w:p w14:paraId="07EC73F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5807</w:t>
            </w:r>
          </w:p>
        </w:tc>
        <w:tc>
          <w:tcPr>
            <w:tcW w:w="966" w:type="pct"/>
            <w:tcBorders>
              <w:top w:val="single" w:sz="4" w:space="0" w:color="auto"/>
              <w:left w:val="nil"/>
              <w:bottom w:val="single" w:sz="4" w:space="0" w:color="auto"/>
              <w:right w:val="nil"/>
            </w:tcBorders>
          </w:tcPr>
          <w:p w14:paraId="15287E08" w14:textId="77777777" w:rsidR="0086548E" w:rsidRDefault="0086548E" w:rsidP="0086548E">
            <w:pPr>
              <w:pStyle w:val="Tabletext"/>
              <w:rPr>
                <w:snapToGrid w:val="0"/>
                <w:lang w:eastAsia="en-US"/>
              </w:rPr>
            </w:pPr>
            <w:r>
              <w:rPr>
                <w:lang w:eastAsia="en-US"/>
              </w:rPr>
              <w:t>19</w:t>
            </w:r>
            <w:r w:rsidR="00D7157D">
              <w:rPr>
                <w:lang w:eastAsia="en-US"/>
              </w:rPr>
              <w:t>.</w:t>
            </w:r>
            <w:r>
              <w:rPr>
                <w:lang w:eastAsia="en-US"/>
              </w:rPr>
              <w:t>4408</w:t>
            </w:r>
          </w:p>
        </w:tc>
        <w:tc>
          <w:tcPr>
            <w:tcW w:w="966" w:type="pct"/>
            <w:tcBorders>
              <w:top w:val="single" w:sz="4" w:space="0" w:color="auto"/>
              <w:left w:val="nil"/>
              <w:bottom w:val="single" w:sz="4" w:space="0" w:color="auto"/>
              <w:right w:val="nil"/>
            </w:tcBorders>
          </w:tcPr>
          <w:p w14:paraId="4D77A31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1467</w:t>
            </w:r>
          </w:p>
        </w:tc>
      </w:tr>
      <w:tr w:rsidR="0086548E" w:rsidRPr="009E2595" w14:paraId="7B6CCF28" w14:textId="77777777" w:rsidTr="0086548E">
        <w:trPr>
          <w:cantSplit/>
        </w:trPr>
        <w:tc>
          <w:tcPr>
            <w:tcW w:w="1136" w:type="pct"/>
            <w:tcBorders>
              <w:top w:val="single" w:sz="4" w:space="0" w:color="auto"/>
              <w:bottom w:val="single" w:sz="4" w:space="0" w:color="auto"/>
            </w:tcBorders>
          </w:tcPr>
          <w:p w14:paraId="2011F561" w14:textId="77777777" w:rsidR="0086548E" w:rsidRPr="00616B26" w:rsidRDefault="0086548E" w:rsidP="0086548E">
            <w:pPr>
              <w:pStyle w:val="Tabletext"/>
              <w:rPr>
                <w:snapToGrid w:val="0"/>
              </w:rPr>
            </w:pPr>
            <w:r w:rsidRPr="00616B26">
              <w:rPr>
                <w:snapToGrid w:val="0"/>
              </w:rPr>
              <w:t>67</w:t>
            </w:r>
          </w:p>
        </w:tc>
        <w:tc>
          <w:tcPr>
            <w:tcW w:w="966" w:type="pct"/>
            <w:tcBorders>
              <w:top w:val="single" w:sz="4" w:space="0" w:color="auto"/>
              <w:left w:val="nil"/>
              <w:bottom w:val="single" w:sz="4" w:space="0" w:color="auto"/>
              <w:right w:val="nil"/>
            </w:tcBorders>
          </w:tcPr>
          <w:p w14:paraId="6BFF505F" w14:textId="77777777" w:rsidR="0086548E" w:rsidRDefault="0086548E" w:rsidP="0086548E">
            <w:pPr>
              <w:pStyle w:val="Tabletext"/>
              <w:rPr>
                <w:snapToGrid w:val="0"/>
                <w:lang w:eastAsia="en-US"/>
              </w:rPr>
            </w:pPr>
            <w:r>
              <w:rPr>
                <w:lang w:eastAsia="en-US"/>
              </w:rPr>
              <w:t>17</w:t>
            </w:r>
            <w:r w:rsidR="00D7157D">
              <w:rPr>
                <w:lang w:eastAsia="en-US"/>
              </w:rPr>
              <w:t>.</w:t>
            </w:r>
            <w:r>
              <w:rPr>
                <w:lang w:eastAsia="en-US"/>
              </w:rPr>
              <w:t>4043</w:t>
            </w:r>
          </w:p>
        </w:tc>
        <w:tc>
          <w:tcPr>
            <w:tcW w:w="966" w:type="pct"/>
            <w:tcBorders>
              <w:top w:val="single" w:sz="4" w:space="0" w:color="auto"/>
              <w:left w:val="nil"/>
              <w:bottom w:val="single" w:sz="4" w:space="0" w:color="auto"/>
              <w:right w:val="nil"/>
            </w:tcBorders>
          </w:tcPr>
          <w:p w14:paraId="3CBB3DF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5864</w:t>
            </w:r>
          </w:p>
        </w:tc>
        <w:tc>
          <w:tcPr>
            <w:tcW w:w="966" w:type="pct"/>
            <w:tcBorders>
              <w:top w:val="single" w:sz="4" w:space="0" w:color="auto"/>
              <w:left w:val="nil"/>
              <w:bottom w:val="single" w:sz="4" w:space="0" w:color="auto"/>
              <w:right w:val="nil"/>
            </w:tcBorders>
          </w:tcPr>
          <w:p w14:paraId="764493C7" w14:textId="77777777" w:rsidR="0086548E" w:rsidRDefault="0086548E" w:rsidP="0086548E">
            <w:pPr>
              <w:pStyle w:val="Tabletext"/>
              <w:rPr>
                <w:snapToGrid w:val="0"/>
                <w:lang w:eastAsia="en-US"/>
              </w:rPr>
            </w:pPr>
            <w:r>
              <w:rPr>
                <w:lang w:eastAsia="en-US"/>
              </w:rPr>
              <w:t>18</w:t>
            </w:r>
            <w:r w:rsidR="00D7157D">
              <w:rPr>
                <w:lang w:eastAsia="en-US"/>
              </w:rPr>
              <w:t>.</w:t>
            </w:r>
            <w:r>
              <w:rPr>
                <w:lang w:eastAsia="en-US"/>
              </w:rPr>
              <w:t>8276</w:t>
            </w:r>
          </w:p>
        </w:tc>
        <w:tc>
          <w:tcPr>
            <w:tcW w:w="966" w:type="pct"/>
            <w:tcBorders>
              <w:top w:val="single" w:sz="4" w:space="0" w:color="auto"/>
              <w:left w:val="nil"/>
              <w:bottom w:val="single" w:sz="4" w:space="0" w:color="auto"/>
              <w:right w:val="nil"/>
            </w:tcBorders>
          </w:tcPr>
          <w:p w14:paraId="3FE626D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1480</w:t>
            </w:r>
          </w:p>
        </w:tc>
      </w:tr>
      <w:tr w:rsidR="0086548E" w:rsidRPr="009E2595" w14:paraId="17C9E6CD" w14:textId="77777777" w:rsidTr="0086548E">
        <w:trPr>
          <w:cantSplit/>
        </w:trPr>
        <w:tc>
          <w:tcPr>
            <w:tcW w:w="1136" w:type="pct"/>
            <w:tcBorders>
              <w:top w:val="single" w:sz="4" w:space="0" w:color="auto"/>
              <w:bottom w:val="single" w:sz="4" w:space="0" w:color="auto"/>
            </w:tcBorders>
          </w:tcPr>
          <w:p w14:paraId="1854358F" w14:textId="77777777" w:rsidR="0086548E" w:rsidRPr="00616B26" w:rsidRDefault="0086548E" w:rsidP="0086548E">
            <w:pPr>
              <w:pStyle w:val="Tabletext"/>
              <w:rPr>
                <w:snapToGrid w:val="0"/>
              </w:rPr>
            </w:pPr>
            <w:r w:rsidRPr="00616B26">
              <w:rPr>
                <w:snapToGrid w:val="0"/>
              </w:rPr>
              <w:t>68</w:t>
            </w:r>
          </w:p>
        </w:tc>
        <w:tc>
          <w:tcPr>
            <w:tcW w:w="966" w:type="pct"/>
            <w:tcBorders>
              <w:top w:val="single" w:sz="4" w:space="0" w:color="auto"/>
              <w:left w:val="nil"/>
              <w:bottom w:val="single" w:sz="4" w:space="0" w:color="auto"/>
              <w:right w:val="nil"/>
            </w:tcBorders>
          </w:tcPr>
          <w:p w14:paraId="71976485" w14:textId="77777777" w:rsidR="0086548E" w:rsidRDefault="0086548E" w:rsidP="0086548E">
            <w:pPr>
              <w:pStyle w:val="Tabletext"/>
              <w:rPr>
                <w:snapToGrid w:val="0"/>
                <w:lang w:eastAsia="en-US"/>
              </w:rPr>
            </w:pPr>
            <w:r>
              <w:rPr>
                <w:lang w:eastAsia="en-US"/>
              </w:rPr>
              <w:t>16</w:t>
            </w:r>
            <w:r w:rsidR="00D7157D">
              <w:rPr>
                <w:lang w:eastAsia="en-US"/>
              </w:rPr>
              <w:t>.</w:t>
            </w:r>
            <w:r>
              <w:rPr>
                <w:lang w:eastAsia="en-US"/>
              </w:rPr>
              <w:t>7798</w:t>
            </w:r>
          </w:p>
        </w:tc>
        <w:tc>
          <w:tcPr>
            <w:tcW w:w="966" w:type="pct"/>
            <w:tcBorders>
              <w:top w:val="single" w:sz="4" w:space="0" w:color="auto"/>
              <w:left w:val="nil"/>
              <w:bottom w:val="single" w:sz="4" w:space="0" w:color="auto"/>
              <w:right w:val="nil"/>
            </w:tcBorders>
          </w:tcPr>
          <w:p w14:paraId="57F83DA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5915</w:t>
            </w:r>
          </w:p>
        </w:tc>
        <w:tc>
          <w:tcPr>
            <w:tcW w:w="966" w:type="pct"/>
            <w:tcBorders>
              <w:top w:val="single" w:sz="4" w:space="0" w:color="auto"/>
              <w:left w:val="nil"/>
              <w:bottom w:val="single" w:sz="4" w:space="0" w:color="auto"/>
              <w:right w:val="nil"/>
            </w:tcBorders>
          </w:tcPr>
          <w:p w14:paraId="6961E28B" w14:textId="77777777" w:rsidR="0086548E" w:rsidRDefault="0086548E" w:rsidP="0086548E">
            <w:pPr>
              <w:pStyle w:val="Tabletext"/>
              <w:rPr>
                <w:snapToGrid w:val="0"/>
                <w:lang w:eastAsia="en-US"/>
              </w:rPr>
            </w:pPr>
            <w:r>
              <w:rPr>
                <w:lang w:eastAsia="en-US"/>
              </w:rPr>
              <w:t>18</w:t>
            </w:r>
            <w:r w:rsidR="00D7157D">
              <w:rPr>
                <w:lang w:eastAsia="en-US"/>
              </w:rPr>
              <w:t>.</w:t>
            </w:r>
            <w:r>
              <w:rPr>
                <w:lang w:eastAsia="en-US"/>
              </w:rPr>
              <w:t>2085</w:t>
            </w:r>
          </w:p>
        </w:tc>
        <w:tc>
          <w:tcPr>
            <w:tcW w:w="966" w:type="pct"/>
            <w:tcBorders>
              <w:top w:val="single" w:sz="4" w:space="0" w:color="auto"/>
              <w:left w:val="nil"/>
              <w:bottom w:val="single" w:sz="4" w:space="0" w:color="auto"/>
              <w:right w:val="nil"/>
            </w:tcBorders>
          </w:tcPr>
          <w:p w14:paraId="6B3CD52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1491</w:t>
            </w:r>
          </w:p>
        </w:tc>
      </w:tr>
      <w:tr w:rsidR="0086548E" w:rsidRPr="009E2595" w14:paraId="449DEB38" w14:textId="77777777" w:rsidTr="0086548E">
        <w:trPr>
          <w:cantSplit/>
        </w:trPr>
        <w:tc>
          <w:tcPr>
            <w:tcW w:w="1136" w:type="pct"/>
            <w:tcBorders>
              <w:top w:val="single" w:sz="4" w:space="0" w:color="auto"/>
              <w:bottom w:val="single" w:sz="4" w:space="0" w:color="auto"/>
            </w:tcBorders>
          </w:tcPr>
          <w:p w14:paraId="37A811C7" w14:textId="77777777" w:rsidR="0086548E" w:rsidRPr="00616B26" w:rsidRDefault="0086548E" w:rsidP="0086548E">
            <w:pPr>
              <w:pStyle w:val="Tabletext"/>
              <w:rPr>
                <w:snapToGrid w:val="0"/>
              </w:rPr>
            </w:pPr>
            <w:r w:rsidRPr="00616B26">
              <w:rPr>
                <w:snapToGrid w:val="0"/>
              </w:rPr>
              <w:t>69</w:t>
            </w:r>
          </w:p>
        </w:tc>
        <w:tc>
          <w:tcPr>
            <w:tcW w:w="966" w:type="pct"/>
            <w:tcBorders>
              <w:top w:val="single" w:sz="4" w:space="0" w:color="auto"/>
              <w:left w:val="nil"/>
              <w:bottom w:val="single" w:sz="4" w:space="0" w:color="auto"/>
              <w:right w:val="nil"/>
            </w:tcBorders>
          </w:tcPr>
          <w:p w14:paraId="45BEC7D3" w14:textId="77777777" w:rsidR="0086548E" w:rsidRDefault="0086548E" w:rsidP="0086548E">
            <w:pPr>
              <w:pStyle w:val="Tabletext"/>
              <w:rPr>
                <w:snapToGrid w:val="0"/>
                <w:lang w:eastAsia="en-US"/>
              </w:rPr>
            </w:pPr>
            <w:r>
              <w:rPr>
                <w:lang w:eastAsia="en-US"/>
              </w:rPr>
              <w:t>16</w:t>
            </w:r>
            <w:r w:rsidR="00D7157D">
              <w:rPr>
                <w:lang w:eastAsia="en-US"/>
              </w:rPr>
              <w:t>.</w:t>
            </w:r>
            <w:r>
              <w:rPr>
                <w:lang w:eastAsia="en-US"/>
              </w:rPr>
              <w:t>1521</w:t>
            </w:r>
          </w:p>
        </w:tc>
        <w:tc>
          <w:tcPr>
            <w:tcW w:w="966" w:type="pct"/>
            <w:tcBorders>
              <w:top w:val="single" w:sz="4" w:space="0" w:color="auto"/>
              <w:left w:val="nil"/>
              <w:bottom w:val="single" w:sz="4" w:space="0" w:color="auto"/>
              <w:right w:val="nil"/>
            </w:tcBorders>
          </w:tcPr>
          <w:p w14:paraId="4304BCE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5960</w:t>
            </w:r>
          </w:p>
        </w:tc>
        <w:tc>
          <w:tcPr>
            <w:tcW w:w="966" w:type="pct"/>
            <w:tcBorders>
              <w:top w:val="single" w:sz="4" w:space="0" w:color="auto"/>
              <w:left w:val="nil"/>
              <w:bottom w:val="single" w:sz="4" w:space="0" w:color="auto"/>
              <w:right w:val="nil"/>
            </w:tcBorders>
          </w:tcPr>
          <w:p w14:paraId="27CF95D4" w14:textId="77777777" w:rsidR="0086548E" w:rsidRDefault="0086548E" w:rsidP="0086548E">
            <w:pPr>
              <w:pStyle w:val="Tabletext"/>
              <w:rPr>
                <w:snapToGrid w:val="0"/>
                <w:lang w:eastAsia="en-US"/>
              </w:rPr>
            </w:pPr>
            <w:r>
              <w:rPr>
                <w:lang w:eastAsia="en-US"/>
              </w:rPr>
              <w:t>17</w:t>
            </w:r>
            <w:r w:rsidR="00D7157D">
              <w:rPr>
                <w:lang w:eastAsia="en-US"/>
              </w:rPr>
              <w:t>.</w:t>
            </w:r>
            <w:r>
              <w:rPr>
                <w:lang w:eastAsia="en-US"/>
              </w:rPr>
              <w:t>5834</w:t>
            </w:r>
          </w:p>
        </w:tc>
        <w:tc>
          <w:tcPr>
            <w:tcW w:w="966" w:type="pct"/>
            <w:tcBorders>
              <w:top w:val="single" w:sz="4" w:space="0" w:color="auto"/>
              <w:left w:val="nil"/>
              <w:bottom w:val="single" w:sz="4" w:space="0" w:color="auto"/>
              <w:right w:val="nil"/>
            </w:tcBorders>
          </w:tcPr>
          <w:p w14:paraId="61B3AA6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1501</w:t>
            </w:r>
          </w:p>
        </w:tc>
      </w:tr>
      <w:tr w:rsidR="0086548E" w:rsidRPr="009E2595" w14:paraId="0178EFD9" w14:textId="77777777" w:rsidTr="0086548E">
        <w:trPr>
          <w:cantSplit/>
        </w:trPr>
        <w:tc>
          <w:tcPr>
            <w:tcW w:w="1136" w:type="pct"/>
            <w:tcBorders>
              <w:top w:val="single" w:sz="4" w:space="0" w:color="auto"/>
              <w:bottom w:val="single" w:sz="4" w:space="0" w:color="auto"/>
            </w:tcBorders>
          </w:tcPr>
          <w:p w14:paraId="79559217" w14:textId="77777777" w:rsidR="0086548E" w:rsidRPr="00616B26" w:rsidRDefault="0086548E" w:rsidP="0086548E">
            <w:pPr>
              <w:pStyle w:val="Tabletext"/>
              <w:rPr>
                <w:snapToGrid w:val="0"/>
              </w:rPr>
            </w:pPr>
            <w:r w:rsidRPr="00616B26">
              <w:rPr>
                <w:snapToGrid w:val="0"/>
              </w:rPr>
              <w:t>70</w:t>
            </w:r>
          </w:p>
        </w:tc>
        <w:tc>
          <w:tcPr>
            <w:tcW w:w="966" w:type="pct"/>
            <w:tcBorders>
              <w:top w:val="single" w:sz="4" w:space="0" w:color="auto"/>
              <w:left w:val="nil"/>
              <w:bottom w:val="single" w:sz="4" w:space="0" w:color="auto"/>
              <w:right w:val="nil"/>
            </w:tcBorders>
          </w:tcPr>
          <w:p w14:paraId="62D278E2" w14:textId="77777777" w:rsidR="0086548E" w:rsidRDefault="0086548E" w:rsidP="0086548E">
            <w:pPr>
              <w:pStyle w:val="Tabletext"/>
              <w:rPr>
                <w:snapToGrid w:val="0"/>
                <w:lang w:eastAsia="en-US"/>
              </w:rPr>
            </w:pPr>
            <w:r>
              <w:rPr>
                <w:lang w:eastAsia="en-US"/>
              </w:rPr>
              <w:t>15</w:t>
            </w:r>
            <w:r w:rsidR="00D7157D">
              <w:rPr>
                <w:lang w:eastAsia="en-US"/>
              </w:rPr>
              <w:t>.</w:t>
            </w:r>
            <w:r>
              <w:rPr>
                <w:lang w:eastAsia="en-US"/>
              </w:rPr>
              <w:t>5207</w:t>
            </w:r>
          </w:p>
        </w:tc>
        <w:tc>
          <w:tcPr>
            <w:tcW w:w="966" w:type="pct"/>
            <w:tcBorders>
              <w:top w:val="single" w:sz="4" w:space="0" w:color="auto"/>
              <w:left w:val="nil"/>
              <w:bottom w:val="single" w:sz="4" w:space="0" w:color="auto"/>
              <w:right w:val="nil"/>
            </w:tcBorders>
          </w:tcPr>
          <w:p w14:paraId="3F74721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5999</w:t>
            </w:r>
          </w:p>
        </w:tc>
        <w:tc>
          <w:tcPr>
            <w:tcW w:w="966" w:type="pct"/>
            <w:tcBorders>
              <w:top w:val="single" w:sz="4" w:space="0" w:color="auto"/>
              <w:left w:val="nil"/>
              <w:bottom w:val="single" w:sz="4" w:space="0" w:color="auto"/>
              <w:right w:val="nil"/>
            </w:tcBorders>
          </w:tcPr>
          <w:p w14:paraId="714A673F" w14:textId="77777777" w:rsidR="0086548E" w:rsidRDefault="0086548E" w:rsidP="0086548E">
            <w:pPr>
              <w:pStyle w:val="Tabletext"/>
              <w:rPr>
                <w:snapToGrid w:val="0"/>
                <w:lang w:eastAsia="en-US"/>
              </w:rPr>
            </w:pPr>
            <w:r>
              <w:rPr>
                <w:lang w:eastAsia="en-US"/>
              </w:rPr>
              <w:t>16</w:t>
            </w:r>
            <w:r w:rsidR="00D7157D">
              <w:rPr>
                <w:lang w:eastAsia="en-US"/>
              </w:rPr>
              <w:t>.</w:t>
            </w:r>
            <w:r>
              <w:rPr>
                <w:lang w:eastAsia="en-US"/>
              </w:rPr>
              <w:t>9523</w:t>
            </w:r>
          </w:p>
        </w:tc>
        <w:tc>
          <w:tcPr>
            <w:tcW w:w="966" w:type="pct"/>
            <w:tcBorders>
              <w:top w:val="single" w:sz="4" w:space="0" w:color="auto"/>
              <w:left w:val="nil"/>
              <w:bottom w:val="single" w:sz="4" w:space="0" w:color="auto"/>
              <w:right w:val="nil"/>
            </w:tcBorders>
          </w:tcPr>
          <w:p w14:paraId="4E67DC3D"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1510</w:t>
            </w:r>
          </w:p>
        </w:tc>
      </w:tr>
      <w:tr w:rsidR="0086548E" w:rsidRPr="009E2595" w14:paraId="1279BA5E" w14:textId="77777777" w:rsidTr="0086548E">
        <w:trPr>
          <w:cantSplit/>
        </w:trPr>
        <w:tc>
          <w:tcPr>
            <w:tcW w:w="1136" w:type="pct"/>
            <w:tcBorders>
              <w:top w:val="single" w:sz="4" w:space="0" w:color="auto"/>
              <w:bottom w:val="single" w:sz="4" w:space="0" w:color="auto"/>
            </w:tcBorders>
          </w:tcPr>
          <w:p w14:paraId="17960996" w14:textId="77777777" w:rsidR="0086548E" w:rsidRPr="00616B26" w:rsidRDefault="0086548E" w:rsidP="0086548E">
            <w:pPr>
              <w:pStyle w:val="Tabletext"/>
              <w:rPr>
                <w:snapToGrid w:val="0"/>
              </w:rPr>
            </w:pPr>
            <w:r w:rsidRPr="00616B26">
              <w:rPr>
                <w:snapToGrid w:val="0"/>
              </w:rPr>
              <w:t>71</w:t>
            </w:r>
          </w:p>
        </w:tc>
        <w:tc>
          <w:tcPr>
            <w:tcW w:w="966" w:type="pct"/>
            <w:tcBorders>
              <w:top w:val="single" w:sz="4" w:space="0" w:color="auto"/>
              <w:left w:val="nil"/>
              <w:bottom w:val="single" w:sz="4" w:space="0" w:color="auto"/>
              <w:right w:val="nil"/>
            </w:tcBorders>
          </w:tcPr>
          <w:p w14:paraId="71FA8A58" w14:textId="77777777" w:rsidR="0086548E" w:rsidRDefault="0086548E" w:rsidP="0086548E">
            <w:pPr>
              <w:pStyle w:val="Tabletext"/>
              <w:rPr>
                <w:snapToGrid w:val="0"/>
                <w:lang w:eastAsia="en-US"/>
              </w:rPr>
            </w:pPr>
            <w:r>
              <w:rPr>
                <w:lang w:eastAsia="en-US"/>
              </w:rPr>
              <w:t>14</w:t>
            </w:r>
            <w:r w:rsidR="00D7157D">
              <w:rPr>
                <w:lang w:eastAsia="en-US"/>
              </w:rPr>
              <w:t>.</w:t>
            </w:r>
            <w:r>
              <w:rPr>
                <w:lang w:eastAsia="en-US"/>
              </w:rPr>
              <w:t>8847</w:t>
            </w:r>
          </w:p>
        </w:tc>
        <w:tc>
          <w:tcPr>
            <w:tcW w:w="966" w:type="pct"/>
            <w:tcBorders>
              <w:top w:val="single" w:sz="4" w:space="0" w:color="auto"/>
              <w:left w:val="nil"/>
              <w:bottom w:val="single" w:sz="4" w:space="0" w:color="auto"/>
              <w:right w:val="nil"/>
            </w:tcBorders>
          </w:tcPr>
          <w:p w14:paraId="339A48E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6034</w:t>
            </w:r>
          </w:p>
        </w:tc>
        <w:tc>
          <w:tcPr>
            <w:tcW w:w="966" w:type="pct"/>
            <w:tcBorders>
              <w:top w:val="single" w:sz="4" w:space="0" w:color="auto"/>
              <w:left w:val="nil"/>
              <w:bottom w:val="single" w:sz="4" w:space="0" w:color="auto"/>
              <w:right w:val="nil"/>
            </w:tcBorders>
          </w:tcPr>
          <w:p w14:paraId="40EC33AA" w14:textId="77777777" w:rsidR="0086548E" w:rsidRDefault="0086548E" w:rsidP="0086548E">
            <w:pPr>
              <w:pStyle w:val="Tabletext"/>
              <w:rPr>
                <w:snapToGrid w:val="0"/>
                <w:lang w:eastAsia="en-US"/>
              </w:rPr>
            </w:pPr>
            <w:r>
              <w:rPr>
                <w:lang w:eastAsia="en-US"/>
              </w:rPr>
              <w:t>16</w:t>
            </w:r>
            <w:r w:rsidR="00D7157D">
              <w:rPr>
                <w:lang w:eastAsia="en-US"/>
              </w:rPr>
              <w:t>.</w:t>
            </w:r>
            <w:r>
              <w:rPr>
                <w:lang w:eastAsia="en-US"/>
              </w:rPr>
              <w:t>3170</w:t>
            </w:r>
          </w:p>
        </w:tc>
        <w:tc>
          <w:tcPr>
            <w:tcW w:w="966" w:type="pct"/>
            <w:tcBorders>
              <w:top w:val="single" w:sz="4" w:space="0" w:color="auto"/>
              <w:left w:val="nil"/>
              <w:bottom w:val="single" w:sz="4" w:space="0" w:color="auto"/>
              <w:right w:val="nil"/>
            </w:tcBorders>
          </w:tcPr>
          <w:p w14:paraId="4086E7D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1517</w:t>
            </w:r>
          </w:p>
        </w:tc>
      </w:tr>
      <w:tr w:rsidR="0086548E" w:rsidRPr="009E2595" w14:paraId="75CBE258" w14:textId="77777777" w:rsidTr="0086548E">
        <w:trPr>
          <w:cantSplit/>
        </w:trPr>
        <w:tc>
          <w:tcPr>
            <w:tcW w:w="1136" w:type="pct"/>
            <w:tcBorders>
              <w:top w:val="single" w:sz="4" w:space="0" w:color="auto"/>
              <w:bottom w:val="single" w:sz="4" w:space="0" w:color="auto"/>
            </w:tcBorders>
          </w:tcPr>
          <w:p w14:paraId="62EF5AA6" w14:textId="77777777" w:rsidR="0086548E" w:rsidRPr="00616B26" w:rsidRDefault="0086548E" w:rsidP="0086548E">
            <w:pPr>
              <w:pStyle w:val="Tabletext"/>
              <w:rPr>
                <w:snapToGrid w:val="0"/>
              </w:rPr>
            </w:pPr>
            <w:r w:rsidRPr="00616B26">
              <w:rPr>
                <w:snapToGrid w:val="0"/>
              </w:rPr>
              <w:t>72</w:t>
            </w:r>
          </w:p>
        </w:tc>
        <w:tc>
          <w:tcPr>
            <w:tcW w:w="966" w:type="pct"/>
            <w:tcBorders>
              <w:top w:val="single" w:sz="4" w:space="0" w:color="auto"/>
              <w:left w:val="nil"/>
              <w:bottom w:val="single" w:sz="4" w:space="0" w:color="auto"/>
              <w:right w:val="nil"/>
            </w:tcBorders>
          </w:tcPr>
          <w:p w14:paraId="13757C7B" w14:textId="77777777" w:rsidR="0086548E" w:rsidRDefault="0086548E" w:rsidP="0086548E">
            <w:pPr>
              <w:pStyle w:val="Tabletext"/>
              <w:rPr>
                <w:snapToGrid w:val="0"/>
                <w:lang w:eastAsia="en-US"/>
              </w:rPr>
            </w:pPr>
            <w:r>
              <w:rPr>
                <w:lang w:eastAsia="en-US"/>
              </w:rPr>
              <w:t>14</w:t>
            </w:r>
            <w:r w:rsidR="00D7157D">
              <w:rPr>
                <w:lang w:eastAsia="en-US"/>
              </w:rPr>
              <w:t>.</w:t>
            </w:r>
            <w:r>
              <w:rPr>
                <w:lang w:eastAsia="en-US"/>
              </w:rPr>
              <w:t>2465</w:t>
            </w:r>
          </w:p>
        </w:tc>
        <w:tc>
          <w:tcPr>
            <w:tcW w:w="966" w:type="pct"/>
            <w:tcBorders>
              <w:top w:val="single" w:sz="4" w:space="0" w:color="auto"/>
              <w:left w:val="nil"/>
              <w:bottom w:val="single" w:sz="4" w:space="0" w:color="auto"/>
              <w:right w:val="nil"/>
            </w:tcBorders>
          </w:tcPr>
          <w:p w14:paraId="1D353CE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6061</w:t>
            </w:r>
          </w:p>
        </w:tc>
        <w:tc>
          <w:tcPr>
            <w:tcW w:w="966" w:type="pct"/>
            <w:tcBorders>
              <w:top w:val="single" w:sz="4" w:space="0" w:color="auto"/>
              <w:left w:val="nil"/>
              <w:bottom w:val="single" w:sz="4" w:space="0" w:color="auto"/>
              <w:right w:val="nil"/>
            </w:tcBorders>
          </w:tcPr>
          <w:p w14:paraId="1E6EF317" w14:textId="77777777" w:rsidR="0086548E" w:rsidRDefault="0086548E" w:rsidP="0086548E">
            <w:pPr>
              <w:pStyle w:val="Tabletext"/>
              <w:rPr>
                <w:snapToGrid w:val="0"/>
                <w:lang w:eastAsia="en-US"/>
              </w:rPr>
            </w:pPr>
            <w:r>
              <w:rPr>
                <w:lang w:eastAsia="en-US"/>
              </w:rPr>
              <w:t>15</w:t>
            </w:r>
            <w:r w:rsidR="00D7157D">
              <w:rPr>
                <w:lang w:eastAsia="en-US"/>
              </w:rPr>
              <w:t>.</w:t>
            </w:r>
            <w:r>
              <w:rPr>
                <w:lang w:eastAsia="en-US"/>
              </w:rPr>
              <w:t>6791</w:t>
            </w:r>
          </w:p>
        </w:tc>
        <w:tc>
          <w:tcPr>
            <w:tcW w:w="966" w:type="pct"/>
            <w:tcBorders>
              <w:top w:val="single" w:sz="4" w:space="0" w:color="auto"/>
              <w:left w:val="nil"/>
              <w:bottom w:val="single" w:sz="4" w:space="0" w:color="auto"/>
              <w:right w:val="nil"/>
            </w:tcBorders>
          </w:tcPr>
          <w:p w14:paraId="21708C8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1521</w:t>
            </w:r>
          </w:p>
        </w:tc>
      </w:tr>
      <w:tr w:rsidR="0086548E" w:rsidRPr="009E2595" w14:paraId="34B26422" w14:textId="77777777" w:rsidTr="0086548E">
        <w:trPr>
          <w:cantSplit/>
        </w:trPr>
        <w:tc>
          <w:tcPr>
            <w:tcW w:w="1136" w:type="pct"/>
            <w:tcBorders>
              <w:top w:val="single" w:sz="4" w:space="0" w:color="auto"/>
              <w:bottom w:val="single" w:sz="4" w:space="0" w:color="auto"/>
            </w:tcBorders>
          </w:tcPr>
          <w:p w14:paraId="29B738DD" w14:textId="77777777" w:rsidR="0086548E" w:rsidRPr="00616B26" w:rsidRDefault="0086548E" w:rsidP="0086548E">
            <w:pPr>
              <w:pStyle w:val="Tabletext"/>
              <w:rPr>
                <w:snapToGrid w:val="0"/>
              </w:rPr>
            </w:pPr>
            <w:r w:rsidRPr="00616B26">
              <w:rPr>
                <w:snapToGrid w:val="0"/>
              </w:rPr>
              <w:t>73</w:t>
            </w:r>
          </w:p>
        </w:tc>
        <w:tc>
          <w:tcPr>
            <w:tcW w:w="966" w:type="pct"/>
            <w:tcBorders>
              <w:top w:val="single" w:sz="4" w:space="0" w:color="auto"/>
              <w:left w:val="nil"/>
              <w:bottom w:val="single" w:sz="4" w:space="0" w:color="auto"/>
              <w:right w:val="nil"/>
            </w:tcBorders>
          </w:tcPr>
          <w:p w14:paraId="750D4987" w14:textId="77777777" w:rsidR="0086548E" w:rsidRDefault="0086548E" w:rsidP="0086548E">
            <w:pPr>
              <w:pStyle w:val="Tabletext"/>
              <w:rPr>
                <w:snapToGrid w:val="0"/>
                <w:lang w:eastAsia="en-US"/>
              </w:rPr>
            </w:pPr>
            <w:r>
              <w:rPr>
                <w:lang w:eastAsia="en-US"/>
              </w:rPr>
              <w:t>13</w:t>
            </w:r>
            <w:r w:rsidR="00D7157D">
              <w:rPr>
                <w:lang w:eastAsia="en-US"/>
              </w:rPr>
              <w:t>.</w:t>
            </w:r>
            <w:r>
              <w:rPr>
                <w:lang w:eastAsia="en-US"/>
              </w:rPr>
              <w:t>6068</w:t>
            </w:r>
          </w:p>
        </w:tc>
        <w:tc>
          <w:tcPr>
            <w:tcW w:w="966" w:type="pct"/>
            <w:tcBorders>
              <w:top w:val="single" w:sz="4" w:space="0" w:color="auto"/>
              <w:left w:val="nil"/>
              <w:bottom w:val="single" w:sz="4" w:space="0" w:color="auto"/>
              <w:right w:val="nil"/>
            </w:tcBorders>
          </w:tcPr>
          <w:p w14:paraId="19CAB8AE"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6081</w:t>
            </w:r>
          </w:p>
        </w:tc>
        <w:tc>
          <w:tcPr>
            <w:tcW w:w="966" w:type="pct"/>
            <w:tcBorders>
              <w:top w:val="single" w:sz="4" w:space="0" w:color="auto"/>
              <w:left w:val="nil"/>
              <w:bottom w:val="single" w:sz="4" w:space="0" w:color="auto"/>
              <w:right w:val="nil"/>
            </w:tcBorders>
          </w:tcPr>
          <w:p w14:paraId="111BAFC6" w14:textId="77777777" w:rsidR="0086548E" w:rsidRDefault="0086548E" w:rsidP="0086548E">
            <w:pPr>
              <w:pStyle w:val="Tabletext"/>
              <w:rPr>
                <w:snapToGrid w:val="0"/>
                <w:lang w:eastAsia="en-US"/>
              </w:rPr>
            </w:pPr>
            <w:r>
              <w:rPr>
                <w:lang w:eastAsia="en-US"/>
              </w:rPr>
              <w:t>15</w:t>
            </w:r>
            <w:r w:rsidR="00D7157D">
              <w:rPr>
                <w:lang w:eastAsia="en-US"/>
              </w:rPr>
              <w:t>.</w:t>
            </w:r>
            <w:r>
              <w:rPr>
                <w:lang w:eastAsia="en-US"/>
              </w:rPr>
              <w:t>0394</w:t>
            </w:r>
          </w:p>
        </w:tc>
        <w:tc>
          <w:tcPr>
            <w:tcW w:w="966" w:type="pct"/>
            <w:tcBorders>
              <w:top w:val="single" w:sz="4" w:space="0" w:color="auto"/>
              <w:left w:val="nil"/>
              <w:bottom w:val="single" w:sz="4" w:space="0" w:color="auto"/>
              <w:right w:val="nil"/>
            </w:tcBorders>
          </w:tcPr>
          <w:p w14:paraId="6E32FA1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1523</w:t>
            </w:r>
          </w:p>
        </w:tc>
      </w:tr>
      <w:tr w:rsidR="0086548E" w:rsidRPr="009E2595" w14:paraId="74A6BDA9" w14:textId="77777777" w:rsidTr="0086548E">
        <w:trPr>
          <w:cantSplit/>
        </w:trPr>
        <w:tc>
          <w:tcPr>
            <w:tcW w:w="1136" w:type="pct"/>
            <w:tcBorders>
              <w:top w:val="single" w:sz="4" w:space="0" w:color="auto"/>
              <w:bottom w:val="single" w:sz="4" w:space="0" w:color="auto"/>
            </w:tcBorders>
          </w:tcPr>
          <w:p w14:paraId="3AB84358" w14:textId="77777777" w:rsidR="0086548E" w:rsidRPr="00616B26" w:rsidRDefault="0086548E" w:rsidP="0086548E">
            <w:pPr>
              <w:pStyle w:val="Tabletext"/>
              <w:rPr>
                <w:snapToGrid w:val="0"/>
              </w:rPr>
            </w:pPr>
            <w:r w:rsidRPr="00616B26">
              <w:rPr>
                <w:snapToGrid w:val="0"/>
              </w:rPr>
              <w:t>74</w:t>
            </w:r>
          </w:p>
        </w:tc>
        <w:tc>
          <w:tcPr>
            <w:tcW w:w="966" w:type="pct"/>
            <w:tcBorders>
              <w:top w:val="single" w:sz="4" w:space="0" w:color="auto"/>
              <w:left w:val="nil"/>
              <w:bottom w:val="single" w:sz="4" w:space="0" w:color="auto"/>
              <w:right w:val="nil"/>
            </w:tcBorders>
          </w:tcPr>
          <w:p w14:paraId="49FC5C63" w14:textId="77777777" w:rsidR="0086548E" w:rsidRDefault="0086548E" w:rsidP="0086548E">
            <w:pPr>
              <w:pStyle w:val="Tabletext"/>
              <w:rPr>
                <w:snapToGrid w:val="0"/>
                <w:lang w:eastAsia="en-US"/>
              </w:rPr>
            </w:pPr>
            <w:r>
              <w:rPr>
                <w:lang w:eastAsia="en-US"/>
              </w:rPr>
              <w:t>12</w:t>
            </w:r>
            <w:r w:rsidR="00D7157D">
              <w:rPr>
                <w:lang w:eastAsia="en-US"/>
              </w:rPr>
              <w:t>.</w:t>
            </w:r>
            <w:r>
              <w:rPr>
                <w:lang w:eastAsia="en-US"/>
              </w:rPr>
              <w:t>9672</w:t>
            </w:r>
          </w:p>
        </w:tc>
        <w:tc>
          <w:tcPr>
            <w:tcW w:w="966" w:type="pct"/>
            <w:tcBorders>
              <w:top w:val="single" w:sz="4" w:space="0" w:color="auto"/>
              <w:left w:val="nil"/>
              <w:bottom w:val="single" w:sz="4" w:space="0" w:color="auto"/>
              <w:right w:val="nil"/>
            </w:tcBorders>
          </w:tcPr>
          <w:p w14:paraId="71711E8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6092</w:t>
            </w:r>
          </w:p>
        </w:tc>
        <w:tc>
          <w:tcPr>
            <w:tcW w:w="966" w:type="pct"/>
            <w:tcBorders>
              <w:top w:val="single" w:sz="4" w:space="0" w:color="auto"/>
              <w:left w:val="nil"/>
              <w:bottom w:val="single" w:sz="4" w:space="0" w:color="auto"/>
              <w:right w:val="nil"/>
            </w:tcBorders>
          </w:tcPr>
          <w:p w14:paraId="1BABFADB" w14:textId="77777777" w:rsidR="0086548E" w:rsidRDefault="0086548E" w:rsidP="0086548E">
            <w:pPr>
              <w:pStyle w:val="Tabletext"/>
              <w:rPr>
                <w:snapToGrid w:val="0"/>
                <w:lang w:eastAsia="en-US"/>
              </w:rPr>
            </w:pPr>
            <w:r>
              <w:rPr>
                <w:lang w:eastAsia="en-US"/>
              </w:rPr>
              <w:t>14</w:t>
            </w:r>
            <w:r w:rsidR="00D7157D">
              <w:rPr>
                <w:lang w:eastAsia="en-US"/>
              </w:rPr>
              <w:t>.</w:t>
            </w:r>
            <w:r>
              <w:rPr>
                <w:lang w:eastAsia="en-US"/>
              </w:rPr>
              <w:t>3980</w:t>
            </w:r>
          </w:p>
        </w:tc>
        <w:tc>
          <w:tcPr>
            <w:tcW w:w="966" w:type="pct"/>
            <w:tcBorders>
              <w:top w:val="single" w:sz="4" w:space="0" w:color="auto"/>
              <w:left w:val="nil"/>
              <w:bottom w:val="single" w:sz="4" w:space="0" w:color="auto"/>
              <w:right w:val="nil"/>
            </w:tcBorders>
          </w:tcPr>
          <w:p w14:paraId="2FC35BD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1523</w:t>
            </w:r>
          </w:p>
        </w:tc>
      </w:tr>
      <w:tr w:rsidR="0086548E" w:rsidRPr="009E2595" w14:paraId="4CDE2A98" w14:textId="77777777" w:rsidTr="0086548E">
        <w:trPr>
          <w:cantSplit/>
        </w:trPr>
        <w:tc>
          <w:tcPr>
            <w:tcW w:w="1136" w:type="pct"/>
            <w:tcBorders>
              <w:top w:val="single" w:sz="4" w:space="0" w:color="auto"/>
              <w:bottom w:val="single" w:sz="4" w:space="0" w:color="auto"/>
            </w:tcBorders>
          </w:tcPr>
          <w:p w14:paraId="3BC700F1" w14:textId="77777777" w:rsidR="0086548E" w:rsidRPr="00616B26" w:rsidRDefault="0086548E" w:rsidP="0086548E">
            <w:pPr>
              <w:pStyle w:val="Tabletext"/>
              <w:rPr>
                <w:snapToGrid w:val="0"/>
              </w:rPr>
            </w:pPr>
            <w:r w:rsidRPr="00616B26">
              <w:rPr>
                <w:snapToGrid w:val="0"/>
              </w:rPr>
              <w:t>75</w:t>
            </w:r>
          </w:p>
        </w:tc>
        <w:tc>
          <w:tcPr>
            <w:tcW w:w="966" w:type="pct"/>
            <w:tcBorders>
              <w:top w:val="single" w:sz="4" w:space="0" w:color="auto"/>
              <w:left w:val="nil"/>
              <w:bottom w:val="single" w:sz="4" w:space="0" w:color="auto"/>
              <w:right w:val="nil"/>
            </w:tcBorders>
          </w:tcPr>
          <w:p w14:paraId="5C7C03D4" w14:textId="77777777" w:rsidR="0086548E" w:rsidRDefault="0086548E" w:rsidP="0086548E">
            <w:pPr>
              <w:pStyle w:val="Tabletext"/>
              <w:rPr>
                <w:snapToGrid w:val="0"/>
                <w:lang w:eastAsia="en-US"/>
              </w:rPr>
            </w:pPr>
            <w:r>
              <w:rPr>
                <w:lang w:eastAsia="en-US"/>
              </w:rPr>
              <w:t>12</w:t>
            </w:r>
            <w:r w:rsidR="00D7157D">
              <w:rPr>
                <w:lang w:eastAsia="en-US"/>
              </w:rPr>
              <w:t>.</w:t>
            </w:r>
            <w:r>
              <w:rPr>
                <w:lang w:eastAsia="en-US"/>
              </w:rPr>
              <w:t>3293</w:t>
            </w:r>
          </w:p>
        </w:tc>
        <w:tc>
          <w:tcPr>
            <w:tcW w:w="966" w:type="pct"/>
            <w:tcBorders>
              <w:top w:val="single" w:sz="4" w:space="0" w:color="auto"/>
              <w:left w:val="nil"/>
              <w:bottom w:val="single" w:sz="4" w:space="0" w:color="auto"/>
              <w:right w:val="nil"/>
            </w:tcBorders>
          </w:tcPr>
          <w:p w14:paraId="1CABB389"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6094</w:t>
            </w:r>
          </w:p>
        </w:tc>
        <w:tc>
          <w:tcPr>
            <w:tcW w:w="966" w:type="pct"/>
            <w:tcBorders>
              <w:top w:val="single" w:sz="4" w:space="0" w:color="auto"/>
              <w:left w:val="nil"/>
              <w:bottom w:val="single" w:sz="4" w:space="0" w:color="auto"/>
              <w:right w:val="nil"/>
            </w:tcBorders>
          </w:tcPr>
          <w:p w14:paraId="0213483E" w14:textId="77777777" w:rsidR="0086548E" w:rsidRDefault="0086548E" w:rsidP="0086548E">
            <w:pPr>
              <w:pStyle w:val="Tabletext"/>
              <w:rPr>
                <w:snapToGrid w:val="0"/>
                <w:lang w:eastAsia="en-US"/>
              </w:rPr>
            </w:pPr>
            <w:r>
              <w:rPr>
                <w:lang w:eastAsia="en-US"/>
              </w:rPr>
              <w:t>13</w:t>
            </w:r>
            <w:r w:rsidR="00D7157D">
              <w:rPr>
                <w:lang w:eastAsia="en-US"/>
              </w:rPr>
              <w:t>.</w:t>
            </w:r>
            <w:r>
              <w:rPr>
                <w:lang w:eastAsia="en-US"/>
              </w:rPr>
              <w:t>7546</w:t>
            </w:r>
          </w:p>
        </w:tc>
        <w:tc>
          <w:tcPr>
            <w:tcW w:w="966" w:type="pct"/>
            <w:tcBorders>
              <w:top w:val="single" w:sz="4" w:space="0" w:color="auto"/>
              <w:left w:val="nil"/>
              <w:bottom w:val="single" w:sz="4" w:space="0" w:color="auto"/>
              <w:right w:val="nil"/>
            </w:tcBorders>
          </w:tcPr>
          <w:p w14:paraId="38C7323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1522</w:t>
            </w:r>
          </w:p>
        </w:tc>
      </w:tr>
      <w:tr w:rsidR="0086548E" w:rsidRPr="009E2595" w14:paraId="530E9E95" w14:textId="77777777" w:rsidTr="0086548E">
        <w:trPr>
          <w:cantSplit/>
        </w:trPr>
        <w:tc>
          <w:tcPr>
            <w:tcW w:w="1136" w:type="pct"/>
            <w:tcBorders>
              <w:top w:val="single" w:sz="4" w:space="0" w:color="auto"/>
              <w:bottom w:val="single" w:sz="4" w:space="0" w:color="auto"/>
            </w:tcBorders>
          </w:tcPr>
          <w:p w14:paraId="0214E60F" w14:textId="77777777" w:rsidR="0086548E" w:rsidRPr="00616B26" w:rsidRDefault="0086548E" w:rsidP="0086548E">
            <w:pPr>
              <w:pStyle w:val="Tabletext"/>
              <w:rPr>
                <w:snapToGrid w:val="0"/>
              </w:rPr>
            </w:pPr>
            <w:r w:rsidRPr="00616B26">
              <w:rPr>
                <w:snapToGrid w:val="0"/>
              </w:rPr>
              <w:t>76</w:t>
            </w:r>
          </w:p>
        </w:tc>
        <w:tc>
          <w:tcPr>
            <w:tcW w:w="966" w:type="pct"/>
            <w:tcBorders>
              <w:top w:val="single" w:sz="4" w:space="0" w:color="auto"/>
              <w:left w:val="nil"/>
              <w:bottom w:val="single" w:sz="4" w:space="0" w:color="auto"/>
              <w:right w:val="nil"/>
            </w:tcBorders>
          </w:tcPr>
          <w:p w14:paraId="76CA82F2" w14:textId="77777777" w:rsidR="0086548E" w:rsidRDefault="0086548E" w:rsidP="0086548E">
            <w:pPr>
              <w:pStyle w:val="Tabletext"/>
              <w:rPr>
                <w:snapToGrid w:val="0"/>
                <w:lang w:eastAsia="en-US"/>
              </w:rPr>
            </w:pPr>
            <w:r>
              <w:rPr>
                <w:lang w:eastAsia="en-US"/>
              </w:rPr>
              <w:t>11</w:t>
            </w:r>
            <w:r w:rsidR="00D7157D">
              <w:rPr>
                <w:lang w:eastAsia="en-US"/>
              </w:rPr>
              <w:t>.</w:t>
            </w:r>
            <w:r>
              <w:rPr>
                <w:lang w:eastAsia="en-US"/>
              </w:rPr>
              <w:t>6944</w:t>
            </w:r>
          </w:p>
        </w:tc>
        <w:tc>
          <w:tcPr>
            <w:tcW w:w="966" w:type="pct"/>
            <w:tcBorders>
              <w:top w:val="single" w:sz="4" w:space="0" w:color="auto"/>
              <w:left w:val="nil"/>
              <w:bottom w:val="single" w:sz="4" w:space="0" w:color="auto"/>
              <w:right w:val="nil"/>
            </w:tcBorders>
          </w:tcPr>
          <w:p w14:paraId="520E724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6085</w:t>
            </w:r>
          </w:p>
        </w:tc>
        <w:tc>
          <w:tcPr>
            <w:tcW w:w="966" w:type="pct"/>
            <w:tcBorders>
              <w:top w:val="single" w:sz="4" w:space="0" w:color="auto"/>
              <w:left w:val="nil"/>
              <w:bottom w:val="single" w:sz="4" w:space="0" w:color="auto"/>
              <w:right w:val="nil"/>
            </w:tcBorders>
          </w:tcPr>
          <w:p w14:paraId="0F430203" w14:textId="77777777" w:rsidR="0086548E" w:rsidRDefault="0086548E" w:rsidP="0086548E">
            <w:pPr>
              <w:pStyle w:val="Tabletext"/>
              <w:rPr>
                <w:snapToGrid w:val="0"/>
                <w:lang w:eastAsia="en-US"/>
              </w:rPr>
            </w:pPr>
            <w:r>
              <w:rPr>
                <w:lang w:eastAsia="en-US"/>
              </w:rPr>
              <w:t>13</w:t>
            </w:r>
            <w:r w:rsidR="00D7157D">
              <w:rPr>
                <w:lang w:eastAsia="en-US"/>
              </w:rPr>
              <w:t>.</w:t>
            </w:r>
            <w:r>
              <w:rPr>
                <w:lang w:eastAsia="en-US"/>
              </w:rPr>
              <w:t>1077</w:t>
            </w:r>
          </w:p>
        </w:tc>
        <w:tc>
          <w:tcPr>
            <w:tcW w:w="966" w:type="pct"/>
            <w:tcBorders>
              <w:top w:val="single" w:sz="4" w:space="0" w:color="auto"/>
              <w:left w:val="nil"/>
              <w:bottom w:val="single" w:sz="4" w:space="0" w:color="auto"/>
              <w:right w:val="nil"/>
            </w:tcBorders>
          </w:tcPr>
          <w:p w14:paraId="18B0D60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1518</w:t>
            </w:r>
          </w:p>
        </w:tc>
      </w:tr>
      <w:tr w:rsidR="0086548E" w:rsidRPr="009E2595" w14:paraId="22E96A59" w14:textId="77777777" w:rsidTr="0086548E">
        <w:trPr>
          <w:cantSplit/>
        </w:trPr>
        <w:tc>
          <w:tcPr>
            <w:tcW w:w="1136" w:type="pct"/>
            <w:tcBorders>
              <w:top w:val="single" w:sz="4" w:space="0" w:color="auto"/>
              <w:bottom w:val="single" w:sz="4" w:space="0" w:color="auto"/>
            </w:tcBorders>
          </w:tcPr>
          <w:p w14:paraId="72E69923" w14:textId="77777777" w:rsidR="0086548E" w:rsidRPr="00616B26" w:rsidRDefault="0086548E" w:rsidP="0086548E">
            <w:pPr>
              <w:pStyle w:val="Tabletext"/>
              <w:rPr>
                <w:snapToGrid w:val="0"/>
              </w:rPr>
            </w:pPr>
            <w:r w:rsidRPr="00616B26">
              <w:rPr>
                <w:snapToGrid w:val="0"/>
              </w:rPr>
              <w:t>77</w:t>
            </w:r>
          </w:p>
        </w:tc>
        <w:tc>
          <w:tcPr>
            <w:tcW w:w="966" w:type="pct"/>
            <w:tcBorders>
              <w:top w:val="single" w:sz="4" w:space="0" w:color="auto"/>
              <w:left w:val="nil"/>
              <w:bottom w:val="single" w:sz="4" w:space="0" w:color="auto"/>
              <w:right w:val="nil"/>
            </w:tcBorders>
          </w:tcPr>
          <w:p w14:paraId="138DB9D8" w14:textId="77777777" w:rsidR="0086548E" w:rsidRDefault="0086548E" w:rsidP="0086548E">
            <w:pPr>
              <w:pStyle w:val="Tabletext"/>
              <w:rPr>
                <w:snapToGrid w:val="0"/>
                <w:lang w:eastAsia="en-US"/>
              </w:rPr>
            </w:pPr>
            <w:r>
              <w:rPr>
                <w:lang w:eastAsia="en-US"/>
              </w:rPr>
              <w:t>11</w:t>
            </w:r>
            <w:r w:rsidR="00D7157D">
              <w:rPr>
                <w:lang w:eastAsia="en-US"/>
              </w:rPr>
              <w:t>.</w:t>
            </w:r>
            <w:r>
              <w:rPr>
                <w:lang w:eastAsia="en-US"/>
              </w:rPr>
              <w:t>0641</w:t>
            </w:r>
          </w:p>
        </w:tc>
        <w:tc>
          <w:tcPr>
            <w:tcW w:w="966" w:type="pct"/>
            <w:tcBorders>
              <w:top w:val="single" w:sz="4" w:space="0" w:color="auto"/>
              <w:left w:val="nil"/>
              <w:bottom w:val="single" w:sz="4" w:space="0" w:color="auto"/>
              <w:right w:val="nil"/>
            </w:tcBorders>
          </w:tcPr>
          <w:p w14:paraId="3F1F5D2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6065</w:t>
            </w:r>
          </w:p>
        </w:tc>
        <w:tc>
          <w:tcPr>
            <w:tcW w:w="966" w:type="pct"/>
            <w:tcBorders>
              <w:top w:val="single" w:sz="4" w:space="0" w:color="auto"/>
              <w:left w:val="nil"/>
              <w:bottom w:val="single" w:sz="4" w:space="0" w:color="auto"/>
              <w:right w:val="nil"/>
            </w:tcBorders>
          </w:tcPr>
          <w:p w14:paraId="31445D4F" w14:textId="77777777" w:rsidR="0086548E" w:rsidRDefault="0086548E" w:rsidP="0086548E">
            <w:pPr>
              <w:pStyle w:val="Tabletext"/>
              <w:rPr>
                <w:snapToGrid w:val="0"/>
                <w:lang w:eastAsia="en-US"/>
              </w:rPr>
            </w:pPr>
            <w:r>
              <w:rPr>
                <w:lang w:eastAsia="en-US"/>
              </w:rPr>
              <w:t>12</w:t>
            </w:r>
            <w:r w:rsidR="00D7157D">
              <w:rPr>
                <w:lang w:eastAsia="en-US"/>
              </w:rPr>
              <w:t>.</w:t>
            </w:r>
            <w:r>
              <w:rPr>
                <w:lang w:eastAsia="en-US"/>
              </w:rPr>
              <w:t>4601</w:t>
            </w:r>
          </w:p>
        </w:tc>
        <w:tc>
          <w:tcPr>
            <w:tcW w:w="966" w:type="pct"/>
            <w:tcBorders>
              <w:top w:val="single" w:sz="4" w:space="0" w:color="auto"/>
              <w:left w:val="nil"/>
              <w:bottom w:val="single" w:sz="4" w:space="0" w:color="auto"/>
              <w:right w:val="nil"/>
            </w:tcBorders>
          </w:tcPr>
          <w:p w14:paraId="26BC5A8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1513</w:t>
            </w:r>
          </w:p>
        </w:tc>
      </w:tr>
      <w:tr w:rsidR="0086548E" w:rsidRPr="009E2595" w14:paraId="3326B5F8" w14:textId="77777777" w:rsidTr="0086548E">
        <w:trPr>
          <w:cantSplit/>
        </w:trPr>
        <w:tc>
          <w:tcPr>
            <w:tcW w:w="1136" w:type="pct"/>
            <w:tcBorders>
              <w:top w:val="single" w:sz="4" w:space="0" w:color="auto"/>
              <w:bottom w:val="single" w:sz="4" w:space="0" w:color="auto"/>
            </w:tcBorders>
          </w:tcPr>
          <w:p w14:paraId="6FA19D7D" w14:textId="77777777" w:rsidR="0086548E" w:rsidRPr="00616B26" w:rsidRDefault="0086548E" w:rsidP="0086548E">
            <w:pPr>
              <w:pStyle w:val="Tabletext"/>
              <w:rPr>
                <w:snapToGrid w:val="0"/>
              </w:rPr>
            </w:pPr>
            <w:r w:rsidRPr="00616B26">
              <w:rPr>
                <w:snapToGrid w:val="0"/>
              </w:rPr>
              <w:t>78</w:t>
            </w:r>
          </w:p>
        </w:tc>
        <w:tc>
          <w:tcPr>
            <w:tcW w:w="966" w:type="pct"/>
            <w:tcBorders>
              <w:top w:val="single" w:sz="4" w:space="0" w:color="auto"/>
              <w:left w:val="nil"/>
              <w:bottom w:val="single" w:sz="4" w:space="0" w:color="auto"/>
              <w:right w:val="nil"/>
            </w:tcBorders>
          </w:tcPr>
          <w:p w14:paraId="2623B75A" w14:textId="77777777" w:rsidR="0086548E" w:rsidRDefault="0086548E" w:rsidP="0086548E">
            <w:pPr>
              <w:pStyle w:val="Tabletext"/>
              <w:rPr>
                <w:snapToGrid w:val="0"/>
                <w:lang w:eastAsia="en-US"/>
              </w:rPr>
            </w:pPr>
            <w:r>
              <w:rPr>
                <w:lang w:eastAsia="en-US"/>
              </w:rPr>
              <w:t>10</w:t>
            </w:r>
            <w:r w:rsidR="00D7157D">
              <w:rPr>
                <w:lang w:eastAsia="en-US"/>
              </w:rPr>
              <w:t>.</w:t>
            </w:r>
            <w:r>
              <w:rPr>
                <w:lang w:eastAsia="en-US"/>
              </w:rPr>
              <w:t>4404</w:t>
            </w:r>
          </w:p>
        </w:tc>
        <w:tc>
          <w:tcPr>
            <w:tcW w:w="966" w:type="pct"/>
            <w:tcBorders>
              <w:top w:val="single" w:sz="4" w:space="0" w:color="auto"/>
              <w:left w:val="nil"/>
              <w:bottom w:val="single" w:sz="4" w:space="0" w:color="auto"/>
              <w:right w:val="nil"/>
            </w:tcBorders>
          </w:tcPr>
          <w:p w14:paraId="433DC3B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6033</w:t>
            </w:r>
          </w:p>
        </w:tc>
        <w:tc>
          <w:tcPr>
            <w:tcW w:w="966" w:type="pct"/>
            <w:tcBorders>
              <w:top w:val="single" w:sz="4" w:space="0" w:color="auto"/>
              <w:left w:val="nil"/>
              <w:bottom w:val="single" w:sz="4" w:space="0" w:color="auto"/>
              <w:right w:val="nil"/>
            </w:tcBorders>
          </w:tcPr>
          <w:p w14:paraId="338B5E3D" w14:textId="77777777" w:rsidR="0086548E" w:rsidRDefault="0086548E" w:rsidP="0086548E">
            <w:pPr>
              <w:pStyle w:val="Tabletext"/>
              <w:rPr>
                <w:snapToGrid w:val="0"/>
                <w:lang w:eastAsia="en-US"/>
              </w:rPr>
            </w:pPr>
            <w:r>
              <w:rPr>
                <w:lang w:eastAsia="en-US"/>
              </w:rPr>
              <w:t>11</w:t>
            </w:r>
            <w:r w:rsidR="00D7157D">
              <w:rPr>
                <w:lang w:eastAsia="en-US"/>
              </w:rPr>
              <w:t>.</w:t>
            </w:r>
            <w:r>
              <w:rPr>
                <w:lang w:eastAsia="en-US"/>
              </w:rPr>
              <w:t>8143</w:t>
            </w:r>
          </w:p>
        </w:tc>
        <w:tc>
          <w:tcPr>
            <w:tcW w:w="966" w:type="pct"/>
            <w:tcBorders>
              <w:top w:val="single" w:sz="4" w:space="0" w:color="auto"/>
              <w:left w:val="nil"/>
              <w:bottom w:val="single" w:sz="4" w:space="0" w:color="auto"/>
              <w:right w:val="nil"/>
            </w:tcBorders>
          </w:tcPr>
          <w:p w14:paraId="04AB1A9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1506</w:t>
            </w:r>
          </w:p>
        </w:tc>
      </w:tr>
      <w:tr w:rsidR="0086548E" w:rsidRPr="009E2595" w14:paraId="20F7A581" w14:textId="77777777" w:rsidTr="0086548E">
        <w:trPr>
          <w:cantSplit/>
        </w:trPr>
        <w:tc>
          <w:tcPr>
            <w:tcW w:w="1136" w:type="pct"/>
            <w:tcBorders>
              <w:top w:val="single" w:sz="4" w:space="0" w:color="auto"/>
              <w:bottom w:val="single" w:sz="4" w:space="0" w:color="auto"/>
            </w:tcBorders>
          </w:tcPr>
          <w:p w14:paraId="6F1FB2A6" w14:textId="77777777" w:rsidR="0086548E" w:rsidRPr="00616B26" w:rsidRDefault="0086548E" w:rsidP="0086548E">
            <w:pPr>
              <w:pStyle w:val="Tabletext"/>
              <w:rPr>
                <w:snapToGrid w:val="0"/>
              </w:rPr>
            </w:pPr>
            <w:r w:rsidRPr="00616B26">
              <w:rPr>
                <w:snapToGrid w:val="0"/>
              </w:rPr>
              <w:t>79</w:t>
            </w:r>
          </w:p>
        </w:tc>
        <w:tc>
          <w:tcPr>
            <w:tcW w:w="966" w:type="pct"/>
            <w:tcBorders>
              <w:top w:val="single" w:sz="4" w:space="0" w:color="auto"/>
              <w:left w:val="nil"/>
              <w:bottom w:val="single" w:sz="4" w:space="0" w:color="auto"/>
              <w:right w:val="nil"/>
            </w:tcBorders>
          </w:tcPr>
          <w:p w14:paraId="2E15760E" w14:textId="77777777" w:rsidR="0086548E" w:rsidRDefault="0086548E" w:rsidP="0086548E">
            <w:pPr>
              <w:pStyle w:val="Tabletext"/>
              <w:rPr>
                <w:snapToGrid w:val="0"/>
                <w:lang w:eastAsia="en-US"/>
              </w:rPr>
            </w:pPr>
            <w:r>
              <w:rPr>
                <w:lang w:eastAsia="en-US"/>
              </w:rPr>
              <w:t>9</w:t>
            </w:r>
            <w:r w:rsidR="00D7157D">
              <w:rPr>
                <w:lang w:eastAsia="en-US"/>
              </w:rPr>
              <w:t>.</w:t>
            </w:r>
            <w:r>
              <w:rPr>
                <w:lang w:eastAsia="en-US"/>
              </w:rPr>
              <w:t>8279</w:t>
            </w:r>
          </w:p>
        </w:tc>
        <w:tc>
          <w:tcPr>
            <w:tcW w:w="966" w:type="pct"/>
            <w:tcBorders>
              <w:top w:val="single" w:sz="4" w:space="0" w:color="auto"/>
              <w:left w:val="nil"/>
              <w:bottom w:val="single" w:sz="4" w:space="0" w:color="auto"/>
              <w:right w:val="nil"/>
            </w:tcBorders>
          </w:tcPr>
          <w:p w14:paraId="085EB25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5987</w:t>
            </w:r>
          </w:p>
        </w:tc>
        <w:tc>
          <w:tcPr>
            <w:tcW w:w="966" w:type="pct"/>
            <w:tcBorders>
              <w:top w:val="single" w:sz="4" w:space="0" w:color="auto"/>
              <w:left w:val="nil"/>
              <w:bottom w:val="single" w:sz="4" w:space="0" w:color="auto"/>
              <w:right w:val="nil"/>
            </w:tcBorders>
          </w:tcPr>
          <w:p w14:paraId="33ED1A89" w14:textId="77777777" w:rsidR="0086548E" w:rsidRDefault="0086548E" w:rsidP="0086548E">
            <w:pPr>
              <w:pStyle w:val="Tabletext"/>
              <w:rPr>
                <w:snapToGrid w:val="0"/>
                <w:lang w:eastAsia="en-US"/>
              </w:rPr>
            </w:pPr>
            <w:r>
              <w:rPr>
                <w:lang w:eastAsia="en-US"/>
              </w:rPr>
              <w:t>11</w:t>
            </w:r>
            <w:r w:rsidR="00D7157D">
              <w:rPr>
                <w:lang w:eastAsia="en-US"/>
              </w:rPr>
              <w:t>.</w:t>
            </w:r>
            <w:r>
              <w:rPr>
                <w:lang w:eastAsia="en-US"/>
              </w:rPr>
              <w:t>1743</w:t>
            </w:r>
          </w:p>
        </w:tc>
        <w:tc>
          <w:tcPr>
            <w:tcW w:w="966" w:type="pct"/>
            <w:tcBorders>
              <w:top w:val="single" w:sz="4" w:space="0" w:color="auto"/>
              <w:left w:val="nil"/>
              <w:bottom w:val="single" w:sz="4" w:space="0" w:color="auto"/>
              <w:right w:val="nil"/>
            </w:tcBorders>
          </w:tcPr>
          <w:p w14:paraId="2A1FCC9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1496</w:t>
            </w:r>
          </w:p>
        </w:tc>
      </w:tr>
      <w:tr w:rsidR="0086548E" w:rsidRPr="009E2595" w14:paraId="5B182E6E" w14:textId="77777777" w:rsidTr="0086548E">
        <w:trPr>
          <w:cantSplit/>
        </w:trPr>
        <w:tc>
          <w:tcPr>
            <w:tcW w:w="1136" w:type="pct"/>
            <w:tcBorders>
              <w:top w:val="single" w:sz="4" w:space="0" w:color="auto"/>
              <w:bottom w:val="single" w:sz="4" w:space="0" w:color="auto"/>
            </w:tcBorders>
          </w:tcPr>
          <w:p w14:paraId="5794FCA2" w14:textId="77777777" w:rsidR="0086548E" w:rsidRPr="00616B26" w:rsidRDefault="0086548E" w:rsidP="0086548E">
            <w:pPr>
              <w:pStyle w:val="Tabletext"/>
              <w:rPr>
                <w:snapToGrid w:val="0"/>
              </w:rPr>
            </w:pPr>
            <w:r w:rsidRPr="00616B26">
              <w:rPr>
                <w:snapToGrid w:val="0"/>
              </w:rPr>
              <w:t>80</w:t>
            </w:r>
          </w:p>
        </w:tc>
        <w:tc>
          <w:tcPr>
            <w:tcW w:w="966" w:type="pct"/>
            <w:tcBorders>
              <w:top w:val="single" w:sz="4" w:space="0" w:color="auto"/>
              <w:left w:val="nil"/>
              <w:bottom w:val="single" w:sz="4" w:space="0" w:color="auto"/>
              <w:right w:val="nil"/>
            </w:tcBorders>
          </w:tcPr>
          <w:p w14:paraId="09ACCA97" w14:textId="77777777" w:rsidR="0086548E" w:rsidRDefault="0086548E" w:rsidP="0086548E">
            <w:pPr>
              <w:pStyle w:val="Tabletext"/>
              <w:rPr>
                <w:snapToGrid w:val="0"/>
                <w:lang w:eastAsia="en-US"/>
              </w:rPr>
            </w:pPr>
            <w:r>
              <w:rPr>
                <w:lang w:eastAsia="en-US"/>
              </w:rPr>
              <w:t>9</w:t>
            </w:r>
            <w:r w:rsidR="00D7157D">
              <w:rPr>
                <w:lang w:eastAsia="en-US"/>
              </w:rPr>
              <w:t>.</w:t>
            </w:r>
            <w:r>
              <w:rPr>
                <w:lang w:eastAsia="en-US"/>
              </w:rPr>
              <w:t>2291</w:t>
            </w:r>
          </w:p>
        </w:tc>
        <w:tc>
          <w:tcPr>
            <w:tcW w:w="966" w:type="pct"/>
            <w:tcBorders>
              <w:top w:val="single" w:sz="4" w:space="0" w:color="auto"/>
              <w:left w:val="nil"/>
              <w:bottom w:val="single" w:sz="4" w:space="0" w:color="auto"/>
              <w:right w:val="nil"/>
            </w:tcBorders>
          </w:tcPr>
          <w:p w14:paraId="44E4C05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5924</w:t>
            </w:r>
          </w:p>
        </w:tc>
        <w:tc>
          <w:tcPr>
            <w:tcW w:w="966" w:type="pct"/>
            <w:tcBorders>
              <w:top w:val="single" w:sz="4" w:space="0" w:color="auto"/>
              <w:left w:val="nil"/>
              <w:bottom w:val="single" w:sz="4" w:space="0" w:color="auto"/>
              <w:right w:val="nil"/>
            </w:tcBorders>
          </w:tcPr>
          <w:p w14:paraId="16B4DB39" w14:textId="77777777" w:rsidR="0086548E" w:rsidRDefault="0086548E" w:rsidP="0086548E">
            <w:pPr>
              <w:pStyle w:val="Tabletext"/>
              <w:rPr>
                <w:snapToGrid w:val="0"/>
                <w:lang w:eastAsia="en-US"/>
              </w:rPr>
            </w:pPr>
            <w:r>
              <w:rPr>
                <w:lang w:eastAsia="en-US"/>
              </w:rPr>
              <w:t>10</w:t>
            </w:r>
            <w:r w:rsidR="00D7157D">
              <w:rPr>
                <w:lang w:eastAsia="en-US"/>
              </w:rPr>
              <w:t>.</w:t>
            </w:r>
            <w:r>
              <w:rPr>
                <w:lang w:eastAsia="en-US"/>
              </w:rPr>
              <w:t>5430</w:t>
            </w:r>
          </w:p>
        </w:tc>
        <w:tc>
          <w:tcPr>
            <w:tcW w:w="966" w:type="pct"/>
            <w:tcBorders>
              <w:top w:val="single" w:sz="4" w:space="0" w:color="auto"/>
              <w:left w:val="nil"/>
              <w:bottom w:val="single" w:sz="4" w:space="0" w:color="auto"/>
              <w:right w:val="nil"/>
            </w:tcBorders>
          </w:tcPr>
          <w:p w14:paraId="334AE3F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1483</w:t>
            </w:r>
          </w:p>
        </w:tc>
      </w:tr>
      <w:tr w:rsidR="0086548E" w:rsidRPr="009E2595" w14:paraId="68F4542E" w14:textId="77777777" w:rsidTr="0086548E">
        <w:trPr>
          <w:cantSplit/>
        </w:trPr>
        <w:tc>
          <w:tcPr>
            <w:tcW w:w="1136" w:type="pct"/>
            <w:tcBorders>
              <w:top w:val="single" w:sz="4" w:space="0" w:color="auto"/>
              <w:bottom w:val="single" w:sz="4" w:space="0" w:color="auto"/>
            </w:tcBorders>
          </w:tcPr>
          <w:p w14:paraId="49BA188A" w14:textId="77777777" w:rsidR="0086548E" w:rsidRPr="00616B26" w:rsidRDefault="0086548E" w:rsidP="0086548E">
            <w:pPr>
              <w:pStyle w:val="Tabletext"/>
              <w:rPr>
                <w:snapToGrid w:val="0"/>
              </w:rPr>
            </w:pPr>
            <w:r w:rsidRPr="00616B26">
              <w:rPr>
                <w:snapToGrid w:val="0"/>
              </w:rPr>
              <w:t>81</w:t>
            </w:r>
          </w:p>
        </w:tc>
        <w:tc>
          <w:tcPr>
            <w:tcW w:w="966" w:type="pct"/>
            <w:tcBorders>
              <w:top w:val="single" w:sz="4" w:space="0" w:color="auto"/>
              <w:left w:val="nil"/>
              <w:bottom w:val="single" w:sz="4" w:space="0" w:color="auto"/>
              <w:right w:val="nil"/>
            </w:tcBorders>
          </w:tcPr>
          <w:p w14:paraId="034C332A" w14:textId="77777777" w:rsidR="0086548E" w:rsidRDefault="0086548E" w:rsidP="0086548E">
            <w:pPr>
              <w:pStyle w:val="Tabletext"/>
              <w:rPr>
                <w:snapToGrid w:val="0"/>
                <w:lang w:eastAsia="en-US"/>
              </w:rPr>
            </w:pPr>
            <w:r>
              <w:rPr>
                <w:lang w:eastAsia="en-US"/>
              </w:rPr>
              <w:t>8</w:t>
            </w:r>
            <w:r w:rsidR="00D7157D">
              <w:rPr>
                <w:lang w:eastAsia="en-US"/>
              </w:rPr>
              <w:t>.</w:t>
            </w:r>
            <w:r>
              <w:rPr>
                <w:lang w:eastAsia="en-US"/>
              </w:rPr>
              <w:t>6475</w:t>
            </w:r>
          </w:p>
        </w:tc>
        <w:tc>
          <w:tcPr>
            <w:tcW w:w="966" w:type="pct"/>
            <w:tcBorders>
              <w:top w:val="single" w:sz="4" w:space="0" w:color="auto"/>
              <w:left w:val="nil"/>
              <w:bottom w:val="single" w:sz="4" w:space="0" w:color="auto"/>
              <w:right w:val="nil"/>
            </w:tcBorders>
          </w:tcPr>
          <w:p w14:paraId="1D537B3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5844</w:t>
            </w:r>
          </w:p>
        </w:tc>
        <w:tc>
          <w:tcPr>
            <w:tcW w:w="966" w:type="pct"/>
            <w:tcBorders>
              <w:top w:val="single" w:sz="4" w:space="0" w:color="auto"/>
              <w:left w:val="nil"/>
              <w:bottom w:val="single" w:sz="4" w:space="0" w:color="auto"/>
              <w:right w:val="nil"/>
            </w:tcBorders>
          </w:tcPr>
          <w:p w14:paraId="26ABE114" w14:textId="77777777" w:rsidR="0086548E" w:rsidRDefault="0086548E" w:rsidP="0086548E">
            <w:pPr>
              <w:pStyle w:val="Tabletext"/>
              <w:rPr>
                <w:snapToGrid w:val="0"/>
                <w:lang w:eastAsia="en-US"/>
              </w:rPr>
            </w:pPr>
            <w:r>
              <w:rPr>
                <w:lang w:eastAsia="en-US"/>
              </w:rPr>
              <w:t>9</w:t>
            </w:r>
            <w:r w:rsidR="00D7157D">
              <w:rPr>
                <w:lang w:eastAsia="en-US"/>
              </w:rPr>
              <w:t>.</w:t>
            </w:r>
            <w:r>
              <w:rPr>
                <w:lang w:eastAsia="en-US"/>
              </w:rPr>
              <w:t>9231</w:t>
            </w:r>
          </w:p>
        </w:tc>
        <w:tc>
          <w:tcPr>
            <w:tcW w:w="966" w:type="pct"/>
            <w:tcBorders>
              <w:top w:val="single" w:sz="4" w:space="0" w:color="auto"/>
              <w:left w:val="nil"/>
              <w:bottom w:val="single" w:sz="4" w:space="0" w:color="auto"/>
              <w:right w:val="nil"/>
            </w:tcBorders>
          </w:tcPr>
          <w:p w14:paraId="2AE687C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1467</w:t>
            </w:r>
          </w:p>
        </w:tc>
      </w:tr>
      <w:tr w:rsidR="0086548E" w:rsidRPr="009E2595" w14:paraId="1BCA3951" w14:textId="77777777" w:rsidTr="0086548E">
        <w:trPr>
          <w:cantSplit/>
        </w:trPr>
        <w:tc>
          <w:tcPr>
            <w:tcW w:w="1136" w:type="pct"/>
            <w:tcBorders>
              <w:top w:val="single" w:sz="4" w:space="0" w:color="auto"/>
              <w:bottom w:val="single" w:sz="4" w:space="0" w:color="auto"/>
            </w:tcBorders>
          </w:tcPr>
          <w:p w14:paraId="004E55F6" w14:textId="77777777" w:rsidR="0086548E" w:rsidRPr="00616B26" w:rsidRDefault="0086548E" w:rsidP="0086548E">
            <w:pPr>
              <w:pStyle w:val="Tabletext"/>
              <w:rPr>
                <w:snapToGrid w:val="0"/>
              </w:rPr>
            </w:pPr>
            <w:r w:rsidRPr="00616B26">
              <w:rPr>
                <w:snapToGrid w:val="0"/>
              </w:rPr>
              <w:t>82</w:t>
            </w:r>
          </w:p>
        </w:tc>
        <w:tc>
          <w:tcPr>
            <w:tcW w:w="966" w:type="pct"/>
            <w:tcBorders>
              <w:top w:val="single" w:sz="4" w:space="0" w:color="auto"/>
              <w:left w:val="nil"/>
              <w:bottom w:val="single" w:sz="4" w:space="0" w:color="auto"/>
              <w:right w:val="nil"/>
            </w:tcBorders>
          </w:tcPr>
          <w:p w14:paraId="58446B66" w14:textId="77777777" w:rsidR="0086548E" w:rsidRDefault="0086548E" w:rsidP="0086548E">
            <w:pPr>
              <w:pStyle w:val="Tabletext"/>
              <w:rPr>
                <w:snapToGrid w:val="0"/>
                <w:lang w:eastAsia="en-US"/>
              </w:rPr>
            </w:pPr>
            <w:r>
              <w:rPr>
                <w:lang w:eastAsia="en-US"/>
              </w:rPr>
              <w:t>8</w:t>
            </w:r>
            <w:r w:rsidR="00D7157D">
              <w:rPr>
                <w:lang w:eastAsia="en-US"/>
              </w:rPr>
              <w:t>.</w:t>
            </w:r>
            <w:r>
              <w:rPr>
                <w:lang w:eastAsia="en-US"/>
              </w:rPr>
              <w:t>0907</w:t>
            </w:r>
          </w:p>
        </w:tc>
        <w:tc>
          <w:tcPr>
            <w:tcW w:w="966" w:type="pct"/>
            <w:tcBorders>
              <w:top w:val="single" w:sz="4" w:space="0" w:color="auto"/>
              <w:left w:val="nil"/>
              <w:bottom w:val="single" w:sz="4" w:space="0" w:color="auto"/>
              <w:right w:val="nil"/>
            </w:tcBorders>
          </w:tcPr>
          <w:p w14:paraId="53D9084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5743</w:t>
            </w:r>
          </w:p>
        </w:tc>
        <w:tc>
          <w:tcPr>
            <w:tcW w:w="966" w:type="pct"/>
            <w:tcBorders>
              <w:top w:val="single" w:sz="4" w:space="0" w:color="auto"/>
              <w:left w:val="nil"/>
              <w:bottom w:val="single" w:sz="4" w:space="0" w:color="auto"/>
              <w:right w:val="nil"/>
            </w:tcBorders>
          </w:tcPr>
          <w:p w14:paraId="481EE342" w14:textId="77777777" w:rsidR="0086548E" w:rsidRDefault="0086548E" w:rsidP="0086548E">
            <w:pPr>
              <w:pStyle w:val="Tabletext"/>
              <w:rPr>
                <w:snapToGrid w:val="0"/>
                <w:lang w:eastAsia="en-US"/>
              </w:rPr>
            </w:pPr>
            <w:r>
              <w:rPr>
                <w:lang w:eastAsia="en-US"/>
              </w:rPr>
              <w:t>9</w:t>
            </w:r>
            <w:r w:rsidR="00D7157D">
              <w:rPr>
                <w:lang w:eastAsia="en-US"/>
              </w:rPr>
              <w:t>.</w:t>
            </w:r>
            <w:r>
              <w:rPr>
                <w:lang w:eastAsia="en-US"/>
              </w:rPr>
              <w:t>3210</w:t>
            </w:r>
          </w:p>
        </w:tc>
        <w:tc>
          <w:tcPr>
            <w:tcW w:w="966" w:type="pct"/>
            <w:tcBorders>
              <w:top w:val="single" w:sz="4" w:space="0" w:color="auto"/>
              <w:left w:val="nil"/>
              <w:bottom w:val="single" w:sz="4" w:space="0" w:color="auto"/>
              <w:right w:val="nil"/>
            </w:tcBorders>
          </w:tcPr>
          <w:p w14:paraId="64012A8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1446</w:t>
            </w:r>
          </w:p>
        </w:tc>
      </w:tr>
      <w:tr w:rsidR="0086548E" w:rsidRPr="009E2595" w14:paraId="23727716" w14:textId="77777777" w:rsidTr="0086548E">
        <w:trPr>
          <w:cantSplit/>
        </w:trPr>
        <w:tc>
          <w:tcPr>
            <w:tcW w:w="1136" w:type="pct"/>
            <w:tcBorders>
              <w:top w:val="single" w:sz="4" w:space="0" w:color="auto"/>
              <w:bottom w:val="single" w:sz="4" w:space="0" w:color="auto"/>
            </w:tcBorders>
          </w:tcPr>
          <w:p w14:paraId="3805A6F4" w14:textId="77777777" w:rsidR="0086548E" w:rsidRPr="00616B26" w:rsidRDefault="0086548E" w:rsidP="0086548E">
            <w:pPr>
              <w:pStyle w:val="Tabletext"/>
              <w:rPr>
                <w:snapToGrid w:val="0"/>
              </w:rPr>
            </w:pPr>
            <w:r w:rsidRPr="00616B26">
              <w:rPr>
                <w:snapToGrid w:val="0"/>
              </w:rPr>
              <w:t>83</w:t>
            </w:r>
          </w:p>
        </w:tc>
        <w:tc>
          <w:tcPr>
            <w:tcW w:w="966" w:type="pct"/>
            <w:tcBorders>
              <w:top w:val="single" w:sz="4" w:space="0" w:color="auto"/>
              <w:left w:val="nil"/>
              <w:bottom w:val="single" w:sz="4" w:space="0" w:color="auto"/>
              <w:right w:val="nil"/>
            </w:tcBorders>
          </w:tcPr>
          <w:p w14:paraId="4BE29FE7" w14:textId="77777777" w:rsidR="0086548E" w:rsidRDefault="0086548E" w:rsidP="0086548E">
            <w:pPr>
              <w:pStyle w:val="Tabletext"/>
              <w:rPr>
                <w:snapToGrid w:val="0"/>
                <w:lang w:eastAsia="en-US"/>
              </w:rPr>
            </w:pPr>
            <w:r>
              <w:rPr>
                <w:lang w:eastAsia="en-US"/>
              </w:rPr>
              <w:t>7</w:t>
            </w:r>
            <w:r w:rsidR="00D7157D">
              <w:rPr>
                <w:lang w:eastAsia="en-US"/>
              </w:rPr>
              <w:t>.</w:t>
            </w:r>
            <w:r>
              <w:rPr>
                <w:lang w:eastAsia="en-US"/>
              </w:rPr>
              <w:t>5545</w:t>
            </w:r>
          </w:p>
        </w:tc>
        <w:tc>
          <w:tcPr>
            <w:tcW w:w="966" w:type="pct"/>
            <w:tcBorders>
              <w:top w:val="single" w:sz="4" w:space="0" w:color="auto"/>
              <w:left w:val="nil"/>
              <w:bottom w:val="single" w:sz="4" w:space="0" w:color="auto"/>
              <w:right w:val="nil"/>
            </w:tcBorders>
          </w:tcPr>
          <w:p w14:paraId="501D42C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5626</w:t>
            </w:r>
          </w:p>
        </w:tc>
        <w:tc>
          <w:tcPr>
            <w:tcW w:w="966" w:type="pct"/>
            <w:tcBorders>
              <w:top w:val="single" w:sz="4" w:space="0" w:color="auto"/>
              <w:left w:val="nil"/>
              <w:bottom w:val="single" w:sz="4" w:space="0" w:color="auto"/>
              <w:right w:val="nil"/>
            </w:tcBorders>
          </w:tcPr>
          <w:p w14:paraId="0D978850" w14:textId="77777777" w:rsidR="0086548E" w:rsidRDefault="0086548E" w:rsidP="0086548E">
            <w:pPr>
              <w:pStyle w:val="Tabletext"/>
              <w:rPr>
                <w:snapToGrid w:val="0"/>
                <w:lang w:eastAsia="en-US"/>
              </w:rPr>
            </w:pPr>
            <w:r>
              <w:rPr>
                <w:lang w:eastAsia="en-US"/>
              </w:rPr>
              <w:t>8</w:t>
            </w:r>
            <w:r w:rsidR="00D7157D">
              <w:rPr>
                <w:lang w:eastAsia="en-US"/>
              </w:rPr>
              <w:t>.</w:t>
            </w:r>
            <w:r>
              <w:rPr>
                <w:lang w:eastAsia="en-US"/>
              </w:rPr>
              <w:t>7382</w:t>
            </w:r>
          </w:p>
        </w:tc>
        <w:tc>
          <w:tcPr>
            <w:tcW w:w="966" w:type="pct"/>
            <w:tcBorders>
              <w:top w:val="single" w:sz="4" w:space="0" w:color="auto"/>
              <w:left w:val="nil"/>
              <w:bottom w:val="single" w:sz="4" w:space="0" w:color="auto"/>
              <w:right w:val="nil"/>
            </w:tcBorders>
          </w:tcPr>
          <w:p w14:paraId="09552B8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1422</w:t>
            </w:r>
          </w:p>
        </w:tc>
      </w:tr>
      <w:tr w:rsidR="0086548E" w:rsidRPr="009E2595" w14:paraId="5F8E665D" w14:textId="77777777" w:rsidTr="0086548E">
        <w:trPr>
          <w:cantSplit/>
        </w:trPr>
        <w:tc>
          <w:tcPr>
            <w:tcW w:w="1136" w:type="pct"/>
            <w:tcBorders>
              <w:top w:val="single" w:sz="4" w:space="0" w:color="auto"/>
              <w:bottom w:val="single" w:sz="4" w:space="0" w:color="auto"/>
            </w:tcBorders>
          </w:tcPr>
          <w:p w14:paraId="794F598F" w14:textId="77777777" w:rsidR="0086548E" w:rsidRPr="00616B26" w:rsidRDefault="0086548E" w:rsidP="0086548E">
            <w:pPr>
              <w:pStyle w:val="Tabletext"/>
              <w:rPr>
                <w:snapToGrid w:val="0"/>
              </w:rPr>
            </w:pPr>
            <w:r w:rsidRPr="00616B26">
              <w:rPr>
                <w:snapToGrid w:val="0"/>
              </w:rPr>
              <w:t>84</w:t>
            </w:r>
          </w:p>
        </w:tc>
        <w:tc>
          <w:tcPr>
            <w:tcW w:w="966" w:type="pct"/>
            <w:tcBorders>
              <w:top w:val="single" w:sz="4" w:space="0" w:color="auto"/>
              <w:left w:val="nil"/>
              <w:bottom w:val="single" w:sz="4" w:space="0" w:color="auto"/>
              <w:right w:val="nil"/>
            </w:tcBorders>
          </w:tcPr>
          <w:p w14:paraId="742BC998" w14:textId="77777777" w:rsidR="0086548E" w:rsidRDefault="0086548E" w:rsidP="0086548E">
            <w:pPr>
              <w:pStyle w:val="Tabletext"/>
              <w:rPr>
                <w:snapToGrid w:val="0"/>
                <w:lang w:eastAsia="en-US"/>
              </w:rPr>
            </w:pPr>
            <w:r>
              <w:rPr>
                <w:lang w:eastAsia="en-US"/>
              </w:rPr>
              <w:t>7</w:t>
            </w:r>
            <w:r w:rsidR="00D7157D">
              <w:rPr>
                <w:lang w:eastAsia="en-US"/>
              </w:rPr>
              <w:t>.</w:t>
            </w:r>
            <w:r>
              <w:rPr>
                <w:lang w:eastAsia="en-US"/>
              </w:rPr>
              <w:t>0416</w:t>
            </w:r>
          </w:p>
        </w:tc>
        <w:tc>
          <w:tcPr>
            <w:tcW w:w="966" w:type="pct"/>
            <w:tcBorders>
              <w:top w:val="single" w:sz="4" w:space="0" w:color="auto"/>
              <w:left w:val="nil"/>
              <w:bottom w:val="single" w:sz="4" w:space="0" w:color="auto"/>
              <w:right w:val="nil"/>
            </w:tcBorders>
          </w:tcPr>
          <w:p w14:paraId="4EE1B5C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5492</w:t>
            </w:r>
          </w:p>
        </w:tc>
        <w:tc>
          <w:tcPr>
            <w:tcW w:w="966" w:type="pct"/>
            <w:tcBorders>
              <w:top w:val="single" w:sz="4" w:space="0" w:color="auto"/>
              <w:left w:val="nil"/>
              <w:bottom w:val="single" w:sz="4" w:space="0" w:color="auto"/>
              <w:right w:val="nil"/>
            </w:tcBorders>
          </w:tcPr>
          <w:p w14:paraId="4408040A" w14:textId="77777777" w:rsidR="0086548E" w:rsidRDefault="0086548E" w:rsidP="0086548E">
            <w:pPr>
              <w:pStyle w:val="Tabletext"/>
              <w:rPr>
                <w:snapToGrid w:val="0"/>
                <w:lang w:eastAsia="en-US"/>
              </w:rPr>
            </w:pPr>
            <w:r>
              <w:rPr>
                <w:lang w:eastAsia="en-US"/>
              </w:rPr>
              <w:t>8</w:t>
            </w:r>
            <w:r w:rsidR="00D7157D">
              <w:rPr>
                <w:lang w:eastAsia="en-US"/>
              </w:rPr>
              <w:t>.</w:t>
            </w:r>
            <w:r>
              <w:rPr>
                <w:lang w:eastAsia="en-US"/>
              </w:rPr>
              <w:t>1774</w:t>
            </w:r>
          </w:p>
        </w:tc>
        <w:tc>
          <w:tcPr>
            <w:tcW w:w="966" w:type="pct"/>
            <w:tcBorders>
              <w:top w:val="single" w:sz="4" w:space="0" w:color="auto"/>
              <w:left w:val="nil"/>
              <w:bottom w:val="single" w:sz="4" w:space="0" w:color="auto"/>
              <w:right w:val="nil"/>
            </w:tcBorders>
          </w:tcPr>
          <w:p w14:paraId="028FBE9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1395</w:t>
            </w:r>
          </w:p>
        </w:tc>
      </w:tr>
      <w:tr w:rsidR="0086548E" w:rsidRPr="009E2595" w14:paraId="275739EB" w14:textId="77777777" w:rsidTr="0086548E">
        <w:trPr>
          <w:cantSplit/>
        </w:trPr>
        <w:tc>
          <w:tcPr>
            <w:tcW w:w="1136" w:type="pct"/>
            <w:tcBorders>
              <w:top w:val="single" w:sz="4" w:space="0" w:color="auto"/>
              <w:bottom w:val="single" w:sz="4" w:space="0" w:color="auto"/>
            </w:tcBorders>
          </w:tcPr>
          <w:p w14:paraId="74F9E5A3" w14:textId="77777777" w:rsidR="0086548E" w:rsidRPr="00616B26" w:rsidRDefault="0086548E" w:rsidP="0086548E">
            <w:pPr>
              <w:pStyle w:val="Tabletext"/>
              <w:rPr>
                <w:snapToGrid w:val="0"/>
              </w:rPr>
            </w:pPr>
            <w:r w:rsidRPr="00616B26">
              <w:rPr>
                <w:snapToGrid w:val="0"/>
              </w:rPr>
              <w:t>85</w:t>
            </w:r>
          </w:p>
        </w:tc>
        <w:tc>
          <w:tcPr>
            <w:tcW w:w="966" w:type="pct"/>
            <w:tcBorders>
              <w:top w:val="single" w:sz="4" w:space="0" w:color="auto"/>
              <w:left w:val="nil"/>
              <w:bottom w:val="single" w:sz="4" w:space="0" w:color="auto"/>
              <w:right w:val="nil"/>
            </w:tcBorders>
          </w:tcPr>
          <w:p w14:paraId="31EB859E" w14:textId="77777777" w:rsidR="0086548E" w:rsidRDefault="0086548E" w:rsidP="0086548E">
            <w:pPr>
              <w:pStyle w:val="Tabletext"/>
              <w:rPr>
                <w:snapToGrid w:val="0"/>
                <w:lang w:eastAsia="en-US"/>
              </w:rPr>
            </w:pPr>
            <w:r>
              <w:rPr>
                <w:lang w:eastAsia="en-US"/>
              </w:rPr>
              <w:t>6</w:t>
            </w:r>
            <w:r w:rsidR="00D7157D">
              <w:rPr>
                <w:lang w:eastAsia="en-US"/>
              </w:rPr>
              <w:t>.</w:t>
            </w:r>
            <w:r>
              <w:rPr>
                <w:lang w:eastAsia="en-US"/>
              </w:rPr>
              <w:t>5517</w:t>
            </w:r>
          </w:p>
        </w:tc>
        <w:tc>
          <w:tcPr>
            <w:tcW w:w="966" w:type="pct"/>
            <w:tcBorders>
              <w:top w:val="single" w:sz="4" w:space="0" w:color="auto"/>
              <w:left w:val="nil"/>
              <w:bottom w:val="single" w:sz="4" w:space="0" w:color="auto"/>
              <w:right w:val="nil"/>
            </w:tcBorders>
          </w:tcPr>
          <w:p w14:paraId="3371CB5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5343</w:t>
            </w:r>
          </w:p>
        </w:tc>
        <w:tc>
          <w:tcPr>
            <w:tcW w:w="966" w:type="pct"/>
            <w:tcBorders>
              <w:top w:val="single" w:sz="4" w:space="0" w:color="auto"/>
              <w:left w:val="nil"/>
              <w:bottom w:val="single" w:sz="4" w:space="0" w:color="auto"/>
              <w:right w:val="nil"/>
            </w:tcBorders>
          </w:tcPr>
          <w:p w14:paraId="2F930414" w14:textId="77777777" w:rsidR="0086548E" w:rsidRDefault="0086548E" w:rsidP="0086548E">
            <w:pPr>
              <w:pStyle w:val="Tabletext"/>
              <w:rPr>
                <w:snapToGrid w:val="0"/>
                <w:lang w:eastAsia="en-US"/>
              </w:rPr>
            </w:pPr>
            <w:r>
              <w:rPr>
                <w:lang w:eastAsia="en-US"/>
              </w:rPr>
              <w:t>7</w:t>
            </w:r>
            <w:r w:rsidR="00D7157D">
              <w:rPr>
                <w:lang w:eastAsia="en-US"/>
              </w:rPr>
              <w:t>.</w:t>
            </w:r>
            <w:r>
              <w:rPr>
                <w:lang w:eastAsia="en-US"/>
              </w:rPr>
              <w:t>6299</w:t>
            </w:r>
          </w:p>
        </w:tc>
        <w:tc>
          <w:tcPr>
            <w:tcW w:w="966" w:type="pct"/>
            <w:tcBorders>
              <w:top w:val="single" w:sz="4" w:space="0" w:color="auto"/>
              <w:left w:val="nil"/>
              <w:bottom w:val="single" w:sz="4" w:space="0" w:color="auto"/>
              <w:right w:val="nil"/>
            </w:tcBorders>
          </w:tcPr>
          <w:p w14:paraId="3610389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1366</w:t>
            </w:r>
          </w:p>
        </w:tc>
      </w:tr>
      <w:tr w:rsidR="0086548E" w:rsidRPr="009E2595" w14:paraId="5ACAC0B0" w14:textId="77777777" w:rsidTr="0086548E">
        <w:trPr>
          <w:cantSplit/>
        </w:trPr>
        <w:tc>
          <w:tcPr>
            <w:tcW w:w="1136" w:type="pct"/>
            <w:tcBorders>
              <w:top w:val="single" w:sz="4" w:space="0" w:color="auto"/>
              <w:bottom w:val="single" w:sz="4" w:space="0" w:color="auto"/>
            </w:tcBorders>
          </w:tcPr>
          <w:p w14:paraId="5855B008" w14:textId="77777777" w:rsidR="0086548E" w:rsidRPr="00616B26" w:rsidRDefault="0086548E" w:rsidP="0086548E">
            <w:pPr>
              <w:pStyle w:val="Tabletext"/>
              <w:rPr>
                <w:snapToGrid w:val="0"/>
              </w:rPr>
            </w:pPr>
            <w:r w:rsidRPr="00616B26">
              <w:rPr>
                <w:snapToGrid w:val="0"/>
              </w:rPr>
              <w:t>86</w:t>
            </w:r>
          </w:p>
        </w:tc>
        <w:tc>
          <w:tcPr>
            <w:tcW w:w="966" w:type="pct"/>
            <w:tcBorders>
              <w:top w:val="single" w:sz="4" w:space="0" w:color="auto"/>
              <w:left w:val="nil"/>
              <w:bottom w:val="single" w:sz="4" w:space="0" w:color="auto"/>
              <w:right w:val="nil"/>
            </w:tcBorders>
          </w:tcPr>
          <w:p w14:paraId="6A4EFD91" w14:textId="77777777" w:rsidR="0086548E" w:rsidRDefault="0086548E" w:rsidP="0086548E">
            <w:pPr>
              <w:pStyle w:val="Tabletext"/>
              <w:rPr>
                <w:snapToGrid w:val="0"/>
                <w:lang w:eastAsia="en-US"/>
              </w:rPr>
            </w:pPr>
            <w:r>
              <w:rPr>
                <w:lang w:eastAsia="en-US"/>
              </w:rPr>
              <w:t>6</w:t>
            </w:r>
            <w:r w:rsidR="00D7157D">
              <w:rPr>
                <w:lang w:eastAsia="en-US"/>
              </w:rPr>
              <w:t>.</w:t>
            </w:r>
            <w:r>
              <w:rPr>
                <w:lang w:eastAsia="en-US"/>
              </w:rPr>
              <w:t>0874</w:t>
            </w:r>
          </w:p>
        </w:tc>
        <w:tc>
          <w:tcPr>
            <w:tcW w:w="966" w:type="pct"/>
            <w:tcBorders>
              <w:top w:val="single" w:sz="4" w:space="0" w:color="auto"/>
              <w:left w:val="nil"/>
              <w:bottom w:val="single" w:sz="4" w:space="0" w:color="auto"/>
              <w:right w:val="nil"/>
            </w:tcBorders>
          </w:tcPr>
          <w:p w14:paraId="73629BA2"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5181</w:t>
            </w:r>
          </w:p>
        </w:tc>
        <w:tc>
          <w:tcPr>
            <w:tcW w:w="966" w:type="pct"/>
            <w:tcBorders>
              <w:top w:val="single" w:sz="4" w:space="0" w:color="auto"/>
              <w:left w:val="nil"/>
              <w:bottom w:val="single" w:sz="4" w:space="0" w:color="auto"/>
              <w:right w:val="nil"/>
            </w:tcBorders>
          </w:tcPr>
          <w:p w14:paraId="28F98EA3" w14:textId="77777777" w:rsidR="0086548E" w:rsidRDefault="0086548E" w:rsidP="0086548E">
            <w:pPr>
              <w:pStyle w:val="Tabletext"/>
              <w:rPr>
                <w:snapToGrid w:val="0"/>
                <w:lang w:eastAsia="en-US"/>
              </w:rPr>
            </w:pPr>
            <w:r>
              <w:rPr>
                <w:lang w:eastAsia="en-US"/>
              </w:rPr>
              <w:t>7</w:t>
            </w:r>
            <w:r w:rsidR="00D7157D">
              <w:rPr>
                <w:lang w:eastAsia="en-US"/>
              </w:rPr>
              <w:t>.</w:t>
            </w:r>
            <w:r>
              <w:rPr>
                <w:lang w:eastAsia="en-US"/>
              </w:rPr>
              <w:t>0945</w:t>
            </w:r>
          </w:p>
        </w:tc>
        <w:tc>
          <w:tcPr>
            <w:tcW w:w="966" w:type="pct"/>
            <w:tcBorders>
              <w:top w:val="single" w:sz="4" w:space="0" w:color="auto"/>
              <w:left w:val="nil"/>
              <w:bottom w:val="single" w:sz="4" w:space="0" w:color="auto"/>
              <w:right w:val="nil"/>
            </w:tcBorders>
          </w:tcPr>
          <w:p w14:paraId="08E1D59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1337</w:t>
            </w:r>
          </w:p>
        </w:tc>
      </w:tr>
      <w:tr w:rsidR="0086548E" w:rsidRPr="009E2595" w14:paraId="3A8F1552" w14:textId="77777777" w:rsidTr="0086548E">
        <w:trPr>
          <w:cantSplit/>
        </w:trPr>
        <w:tc>
          <w:tcPr>
            <w:tcW w:w="1136" w:type="pct"/>
            <w:tcBorders>
              <w:top w:val="single" w:sz="4" w:space="0" w:color="auto"/>
              <w:bottom w:val="single" w:sz="4" w:space="0" w:color="auto"/>
            </w:tcBorders>
          </w:tcPr>
          <w:p w14:paraId="2F4F15CD" w14:textId="77777777" w:rsidR="0086548E" w:rsidRPr="00616B26" w:rsidRDefault="0086548E" w:rsidP="0086548E">
            <w:pPr>
              <w:pStyle w:val="Tabletext"/>
              <w:rPr>
                <w:snapToGrid w:val="0"/>
              </w:rPr>
            </w:pPr>
            <w:r w:rsidRPr="00616B26">
              <w:rPr>
                <w:snapToGrid w:val="0"/>
              </w:rPr>
              <w:t>87</w:t>
            </w:r>
          </w:p>
        </w:tc>
        <w:tc>
          <w:tcPr>
            <w:tcW w:w="966" w:type="pct"/>
            <w:tcBorders>
              <w:top w:val="single" w:sz="4" w:space="0" w:color="auto"/>
              <w:left w:val="nil"/>
              <w:bottom w:val="single" w:sz="4" w:space="0" w:color="auto"/>
              <w:right w:val="nil"/>
            </w:tcBorders>
          </w:tcPr>
          <w:p w14:paraId="0804289A" w14:textId="77777777" w:rsidR="0086548E" w:rsidRDefault="0086548E" w:rsidP="0086548E">
            <w:pPr>
              <w:pStyle w:val="Tabletext"/>
              <w:rPr>
                <w:snapToGrid w:val="0"/>
                <w:lang w:eastAsia="en-US"/>
              </w:rPr>
            </w:pPr>
            <w:r>
              <w:rPr>
                <w:lang w:eastAsia="en-US"/>
              </w:rPr>
              <w:t>5</w:t>
            </w:r>
            <w:r w:rsidR="00D7157D">
              <w:rPr>
                <w:lang w:eastAsia="en-US"/>
              </w:rPr>
              <w:t>.</w:t>
            </w:r>
            <w:r>
              <w:rPr>
                <w:lang w:eastAsia="en-US"/>
              </w:rPr>
              <w:t>6479</w:t>
            </w:r>
          </w:p>
        </w:tc>
        <w:tc>
          <w:tcPr>
            <w:tcW w:w="966" w:type="pct"/>
            <w:tcBorders>
              <w:top w:val="single" w:sz="4" w:space="0" w:color="auto"/>
              <w:left w:val="nil"/>
              <w:bottom w:val="single" w:sz="4" w:space="0" w:color="auto"/>
              <w:right w:val="nil"/>
            </w:tcBorders>
          </w:tcPr>
          <w:p w14:paraId="2296483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5006</w:t>
            </w:r>
          </w:p>
        </w:tc>
        <w:tc>
          <w:tcPr>
            <w:tcW w:w="966" w:type="pct"/>
            <w:tcBorders>
              <w:top w:val="single" w:sz="4" w:space="0" w:color="auto"/>
              <w:left w:val="nil"/>
              <w:bottom w:val="single" w:sz="4" w:space="0" w:color="auto"/>
              <w:right w:val="nil"/>
            </w:tcBorders>
          </w:tcPr>
          <w:p w14:paraId="7A5DC051" w14:textId="77777777" w:rsidR="0086548E" w:rsidRDefault="0086548E" w:rsidP="0086548E">
            <w:pPr>
              <w:pStyle w:val="Tabletext"/>
              <w:rPr>
                <w:snapToGrid w:val="0"/>
                <w:lang w:eastAsia="en-US"/>
              </w:rPr>
            </w:pPr>
            <w:r>
              <w:rPr>
                <w:lang w:eastAsia="en-US"/>
              </w:rPr>
              <w:t>6</w:t>
            </w:r>
            <w:r w:rsidR="00D7157D">
              <w:rPr>
                <w:lang w:eastAsia="en-US"/>
              </w:rPr>
              <w:t>.</w:t>
            </w:r>
            <w:r>
              <w:rPr>
                <w:lang w:eastAsia="en-US"/>
              </w:rPr>
              <w:t>5820</w:t>
            </w:r>
          </w:p>
        </w:tc>
        <w:tc>
          <w:tcPr>
            <w:tcW w:w="966" w:type="pct"/>
            <w:tcBorders>
              <w:top w:val="single" w:sz="4" w:space="0" w:color="auto"/>
              <w:left w:val="nil"/>
              <w:bottom w:val="single" w:sz="4" w:space="0" w:color="auto"/>
              <w:right w:val="nil"/>
            </w:tcBorders>
          </w:tcPr>
          <w:p w14:paraId="79A7EF2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1307</w:t>
            </w:r>
          </w:p>
        </w:tc>
      </w:tr>
      <w:tr w:rsidR="0086548E" w:rsidRPr="009E2595" w14:paraId="16A3FBE0" w14:textId="77777777" w:rsidTr="0086548E">
        <w:trPr>
          <w:cantSplit/>
        </w:trPr>
        <w:tc>
          <w:tcPr>
            <w:tcW w:w="1136" w:type="pct"/>
            <w:tcBorders>
              <w:top w:val="single" w:sz="4" w:space="0" w:color="auto"/>
              <w:bottom w:val="single" w:sz="4" w:space="0" w:color="auto"/>
            </w:tcBorders>
          </w:tcPr>
          <w:p w14:paraId="1E31B665" w14:textId="77777777" w:rsidR="0086548E" w:rsidRPr="00616B26" w:rsidRDefault="0086548E" w:rsidP="0086548E">
            <w:pPr>
              <w:pStyle w:val="Tabletext"/>
              <w:rPr>
                <w:snapToGrid w:val="0"/>
              </w:rPr>
            </w:pPr>
            <w:r w:rsidRPr="00616B26">
              <w:rPr>
                <w:snapToGrid w:val="0"/>
              </w:rPr>
              <w:t>88</w:t>
            </w:r>
          </w:p>
        </w:tc>
        <w:tc>
          <w:tcPr>
            <w:tcW w:w="966" w:type="pct"/>
            <w:tcBorders>
              <w:top w:val="single" w:sz="4" w:space="0" w:color="auto"/>
              <w:left w:val="nil"/>
              <w:bottom w:val="single" w:sz="4" w:space="0" w:color="auto"/>
              <w:right w:val="nil"/>
            </w:tcBorders>
          </w:tcPr>
          <w:p w14:paraId="742EFEBB" w14:textId="77777777" w:rsidR="0086548E" w:rsidRDefault="0086548E" w:rsidP="0086548E">
            <w:pPr>
              <w:pStyle w:val="Tabletext"/>
              <w:rPr>
                <w:snapToGrid w:val="0"/>
                <w:lang w:eastAsia="en-US"/>
              </w:rPr>
            </w:pPr>
            <w:r>
              <w:rPr>
                <w:lang w:eastAsia="en-US"/>
              </w:rPr>
              <w:t>5</w:t>
            </w:r>
            <w:r w:rsidR="00D7157D">
              <w:rPr>
                <w:lang w:eastAsia="en-US"/>
              </w:rPr>
              <w:t>.</w:t>
            </w:r>
            <w:r>
              <w:rPr>
                <w:lang w:eastAsia="en-US"/>
              </w:rPr>
              <w:t>2324</w:t>
            </w:r>
          </w:p>
        </w:tc>
        <w:tc>
          <w:tcPr>
            <w:tcW w:w="966" w:type="pct"/>
            <w:tcBorders>
              <w:top w:val="single" w:sz="4" w:space="0" w:color="auto"/>
              <w:left w:val="nil"/>
              <w:bottom w:val="single" w:sz="4" w:space="0" w:color="auto"/>
              <w:right w:val="nil"/>
            </w:tcBorders>
          </w:tcPr>
          <w:p w14:paraId="49EF350F"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4821</w:t>
            </w:r>
          </w:p>
        </w:tc>
        <w:tc>
          <w:tcPr>
            <w:tcW w:w="966" w:type="pct"/>
            <w:tcBorders>
              <w:top w:val="single" w:sz="4" w:space="0" w:color="auto"/>
              <w:left w:val="nil"/>
              <w:bottom w:val="single" w:sz="4" w:space="0" w:color="auto"/>
              <w:right w:val="nil"/>
            </w:tcBorders>
          </w:tcPr>
          <w:p w14:paraId="78D3544A" w14:textId="77777777" w:rsidR="0086548E" w:rsidRDefault="0086548E" w:rsidP="0086548E">
            <w:pPr>
              <w:pStyle w:val="Tabletext"/>
              <w:rPr>
                <w:snapToGrid w:val="0"/>
                <w:lang w:eastAsia="en-US"/>
              </w:rPr>
            </w:pPr>
            <w:r>
              <w:rPr>
                <w:lang w:eastAsia="en-US"/>
              </w:rPr>
              <w:t>6</w:t>
            </w:r>
            <w:r w:rsidR="00D7157D">
              <w:rPr>
                <w:lang w:eastAsia="en-US"/>
              </w:rPr>
              <w:t>.</w:t>
            </w:r>
            <w:r>
              <w:rPr>
                <w:lang w:eastAsia="en-US"/>
              </w:rPr>
              <w:t>0977</w:t>
            </w:r>
          </w:p>
        </w:tc>
        <w:tc>
          <w:tcPr>
            <w:tcW w:w="966" w:type="pct"/>
            <w:tcBorders>
              <w:top w:val="single" w:sz="4" w:space="0" w:color="auto"/>
              <w:left w:val="nil"/>
              <w:bottom w:val="single" w:sz="4" w:space="0" w:color="auto"/>
              <w:right w:val="nil"/>
            </w:tcBorders>
          </w:tcPr>
          <w:p w14:paraId="5E55A4E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1275</w:t>
            </w:r>
          </w:p>
        </w:tc>
      </w:tr>
      <w:tr w:rsidR="0086548E" w:rsidRPr="009E2595" w14:paraId="72038D50" w14:textId="77777777" w:rsidTr="0086548E">
        <w:trPr>
          <w:cantSplit/>
        </w:trPr>
        <w:tc>
          <w:tcPr>
            <w:tcW w:w="1136" w:type="pct"/>
            <w:tcBorders>
              <w:top w:val="single" w:sz="4" w:space="0" w:color="auto"/>
              <w:bottom w:val="single" w:sz="4" w:space="0" w:color="auto"/>
            </w:tcBorders>
          </w:tcPr>
          <w:p w14:paraId="2C027E91" w14:textId="77777777" w:rsidR="0086548E" w:rsidRPr="00616B26" w:rsidRDefault="0086548E" w:rsidP="0086548E">
            <w:pPr>
              <w:pStyle w:val="Tabletext"/>
              <w:rPr>
                <w:snapToGrid w:val="0"/>
              </w:rPr>
            </w:pPr>
            <w:r w:rsidRPr="00616B26">
              <w:rPr>
                <w:snapToGrid w:val="0"/>
              </w:rPr>
              <w:t>89</w:t>
            </w:r>
          </w:p>
        </w:tc>
        <w:tc>
          <w:tcPr>
            <w:tcW w:w="966" w:type="pct"/>
            <w:tcBorders>
              <w:top w:val="single" w:sz="4" w:space="0" w:color="auto"/>
              <w:left w:val="nil"/>
              <w:bottom w:val="single" w:sz="4" w:space="0" w:color="auto"/>
              <w:right w:val="nil"/>
            </w:tcBorders>
          </w:tcPr>
          <w:p w14:paraId="76BE515F" w14:textId="77777777" w:rsidR="0086548E" w:rsidRDefault="0086548E" w:rsidP="0086548E">
            <w:pPr>
              <w:pStyle w:val="Tabletext"/>
              <w:rPr>
                <w:snapToGrid w:val="0"/>
                <w:lang w:eastAsia="en-US"/>
              </w:rPr>
            </w:pPr>
            <w:r>
              <w:rPr>
                <w:lang w:eastAsia="en-US"/>
              </w:rPr>
              <w:t>4</w:t>
            </w:r>
            <w:r w:rsidR="00D7157D">
              <w:rPr>
                <w:lang w:eastAsia="en-US"/>
              </w:rPr>
              <w:t>.</w:t>
            </w:r>
            <w:r>
              <w:rPr>
                <w:lang w:eastAsia="en-US"/>
              </w:rPr>
              <w:t>8461</w:t>
            </w:r>
          </w:p>
        </w:tc>
        <w:tc>
          <w:tcPr>
            <w:tcW w:w="966" w:type="pct"/>
            <w:tcBorders>
              <w:top w:val="single" w:sz="4" w:space="0" w:color="auto"/>
              <w:left w:val="nil"/>
              <w:bottom w:val="single" w:sz="4" w:space="0" w:color="auto"/>
              <w:right w:val="nil"/>
            </w:tcBorders>
          </w:tcPr>
          <w:p w14:paraId="7E449B6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4627</w:t>
            </w:r>
          </w:p>
        </w:tc>
        <w:tc>
          <w:tcPr>
            <w:tcW w:w="966" w:type="pct"/>
            <w:tcBorders>
              <w:top w:val="single" w:sz="4" w:space="0" w:color="auto"/>
              <w:left w:val="nil"/>
              <w:bottom w:val="single" w:sz="4" w:space="0" w:color="auto"/>
              <w:right w:val="nil"/>
            </w:tcBorders>
          </w:tcPr>
          <w:p w14:paraId="290A9BDB" w14:textId="77777777" w:rsidR="0086548E" w:rsidRDefault="0086548E" w:rsidP="0086548E">
            <w:pPr>
              <w:pStyle w:val="Tabletext"/>
              <w:rPr>
                <w:snapToGrid w:val="0"/>
                <w:lang w:eastAsia="en-US"/>
              </w:rPr>
            </w:pPr>
            <w:r>
              <w:rPr>
                <w:lang w:eastAsia="en-US"/>
              </w:rPr>
              <w:t>5</w:t>
            </w:r>
            <w:r w:rsidR="00D7157D">
              <w:rPr>
                <w:lang w:eastAsia="en-US"/>
              </w:rPr>
              <w:t>.</w:t>
            </w:r>
            <w:r>
              <w:rPr>
                <w:lang w:eastAsia="en-US"/>
              </w:rPr>
              <w:t>6481</w:t>
            </w:r>
          </w:p>
        </w:tc>
        <w:tc>
          <w:tcPr>
            <w:tcW w:w="966" w:type="pct"/>
            <w:tcBorders>
              <w:top w:val="single" w:sz="4" w:space="0" w:color="auto"/>
              <w:left w:val="nil"/>
              <w:bottom w:val="single" w:sz="4" w:space="0" w:color="auto"/>
              <w:right w:val="nil"/>
            </w:tcBorders>
          </w:tcPr>
          <w:p w14:paraId="1709E78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1241</w:t>
            </w:r>
          </w:p>
        </w:tc>
      </w:tr>
      <w:tr w:rsidR="0086548E" w:rsidRPr="009E2595" w14:paraId="7E3CB063" w14:textId="77777777" w:rsidTr="0086548E">
        <w:trPr>
          <w:cantSplit/>
        </w:trPr>
        <w:tc>
          <w:tcPr>
            <w:tcW w:w="1136" w:type="pct"/>
            <w:tcBorders>
              <w:top w:val="single" w:sz="4" w:space="0" w:color="auto"/>
              <w:bottom w:val="single" w:sz="4" w:space="0" w:color="auto"/>
            </w:tcBorders>
          </w:tcPr>
          <w:p w14:paraId="0D513884" w14:textId="77777777" w:rsidR="0086548E" w:rsidRPr="00616B26" w:rsidRDefault="0086548E" w:rsidP="0086548E">
            <w:pPr>
              <w:pStyle w:val="Tabletext"/>
              <w:rPr>
                <w:snapToGrid w:val="0"/>
              </w:rPr>
            </w:pPr>
            <w:r w:rsidRPr="00616B26">
              <w:rPr>
                <w:snapToGrid w:val="0"/>
              </w:rPr>
              <w:t>90</w:t>
            </w:r>
          </w:p>
        </w:tc>
        <w:tc>
          <w:tcPr>
            <w:tcW w:w="966" w:type="pct"/>
            <w:tcBorders>
              <w:top w:val="single" w:sz="4" w:space="0" w:color="auto"/>
              <w:left w:val="nil"/>
              <w:bottom w:val="single" w:sz="4" w:space="0" w:color="auto"/>
              <w:right w:val="nil"/>
            </w:tcBorders>
          </w:tcPr>
          <w:p w14:paraId="7FF1DC91" w14:textId="77777777" w:rsidR="0086548E" w:rsidRDefault="0086548E" w:rsidP="0086548E">
            <w:pPr>
              <w:pStyle w:val="Tabletext"/>
              <w:rPr>
                <w:snapToGrid w:val="0"/>
                <w:lang w:eastAsia="en-US"/>
              </w:rPr>
            </w:pPr>
            <w:r>
              <w:rPr>
                <w:lang w:eastAsia="en-US"/>
              </w:rPr>
              <w:t>4</w:t>
            </w:r>
            <w:r w:rsidR="00D7157D">
              <w:rPr>
                <w:lang w:eastAsia="en-US"/>
              </w:rPr>
              <w:t>.</w:t>
            </w:r>
            <w:r>
              <w:rPr>
                <w:lang w:eastAsia="en-US"/>
              </w:rPr>
              <w:t>4861</w:t>
            </w:r>
          </w:p>
        </w:tc>
        <w:tc>
          <w:tcPr>
            <w:tcW w:w="966" w:type="pct"/>
            <w:tcBorders>
              <w:top w:val="single" w:sz="4" w:space="0" w:color="auto"/>
              <w:left w:val="nil"/>
              <w:bottom w:val="single" w:sz="4" w:space="0" w:color="auto"/>
              <w:right w:val="nil"/>
            </w:tcBorders>
          </w:tcPr>
          <w:p w14:paraId="7CA7A4D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4429</w:t>
            </w:r>
          </w:p>
        </w:tc>
        <w:tc>
          <w:tcPr>
            <w:tcW w:w="966" w:type="pct"/>
            <w:tcBorders>
              <w:top w:val="single" w:sz="4" w:space="0" w:color="auto"/>
              <w:left w:val="nil"/>
              <w:bottom w:val="single" w:sz="4" w:space="0" w:color="auto"/>
              <w:right w:val="nil"/>
            </w:tcBorders>
          </w:tcPr>
          <w:p w14:paraId="466C3AE7" w14:textId="77777777" w:rsidR="0086548E" w:rsidRDefault="0086548E" w:rsidP="0086548E">
            <w:pPr>
              <w:pStyle w:val="Tabletext"/>
              <w:rPr>
                <w:snapToGrid w:val="0"/>
                <w:lang w:eastAsia="en-US"/>
              </w:rPr>
            </w:pPr>
            <w:r>
              <w:rPr>
                <w:lang w:eastAsia="en-US"/>
              </w:rPr>
              <w:t>5</w:t>
            </w:r>
            <w:r w:rsidR="00D7157D">
              <w:rPr>
                <w:lang w:eastAsia="en-US"/>
              </w:rPr>
              <w:t>.</w:t>
            </w:r>
            <w:r>
              <w:rPr>
                <w:lang w:eastAsia="en-US"/>
              </w:rPr>
              <w:t>2529</w:t>
            </w:r>
          </w:p>
        </w:tc>
        <w:tc>
          <w:tcPr>
            <w:tcW w:w="966" w:type="pct"/>
            <w:tcBorders>
              <w:top w:val="single" w:sz="4" w:space="0" w:color="auto"/>
              <w:left w:val="nil"/>
              <w:bottom w:val="single" w:sz="4" w:space="0" w:color="auto"/>
              <w:right w:val="nil"/>
            </w:tcBorders>
          </w:tcPr>
          <w:p w14:paraId="411C8590"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1203</w:t>
            </w:r>
          </w:p>
        </w:tc>
      </w:tr>
      <w:tr w:rsidR="0086548E" w:rsidRPr="009E2595" w14:paraId="1149AC33" w14:textId="77777777" w:rsidTr="0086548E">
        <w:trPr>
          <w:cantSplit/>
        </w:trPr>
        <w:tc>
          <w:tcPr>
            <w:tcW w:w="1136" w:type="pct"/>
            <w:tcBorders>
              <w:top w:val="single" w:sz="4" w:space="0" w:color="auto"/>
              <w:bottom w:val="single" w:sz="4" w:space="0" w:color="auto"/>
            </w:tcBorders>
          </w:tcPr>
          <w:p w14:paraId="7947C650" w14:textId="77777777" w:rsidR="0086548E" w:rsidRPr="00616B26" w:rsidRDefault="0086548E" w:rsidP="0086548E">
            <w:pPr>
              <w:pStyle w:val="Tabletext"/>
              <w:rPr>
                <w:snapToGrid w:val="0"/>
              </w:rPr>
            </w:pPr>
            <w:r w:rsidRPr="00616B26">
              <w:rPr>
                <w:snapToGrid w:val="0"/>
              </w:rPr>
              <w:t>91</w:t>
            </w:r>
          </w:p>
        </w:tc>
        <w:tc>
          <w:tcPr>
            <w:tcW w:w="966" w:type="pct"/>
            <w:tcBorders>
              <w:top w:val="single" w:sz="4" w:space="0" w:color="auto"/>
              <w:left w:val="nil"/>
              <w:bottom w:val="single" w:sz="4" w:space="0" w:color="auto"/>
              <w:right w:val="nil"/>
            </w:tcBorders>
          </w:tcPr>
          <w:p w14:paraId="518FF11C" w14:textId="77777777" w:rsidR="0086548E" w:rsidRDefault="0086548E" w:rsidP="0086548E">
            <w:pPr>
              <w:pStyle w:val="Tabletext"/>
              <w:rPr>
                <w:snapToGrid w:val="0"/>
                <w:lang w:eastAsia="en-US"/>
              </w:rPr>
            </w:pPr>
            <w:r>
              <w:rPr>
                <w:lang w:eastAsia="en-US"/>
              </w:rPr>
              <w:t>4</w:t>
            </w:r>
            <w:r w:rsidR="00D7157D">
              <w:rPr>
                <w:lang w:eastAsia="en-US"/>
              </w:rPr>
              <w:t>.</w:t>
            </w:r>
            <w:r>
              <w:rPr>
                <w:lang w:eastAsia="en-US"/>
              </w:rPr>
              <w:t>1617</w:t>
            </w:r>
          </w:p>
        </w:tc>
        <w:tc>
          <w:tcPr>
            <w:tcW w:w="966" w:type="pct"/>
            <w:tcBorders>
              <w:top w:val="single" w:sz="4" w:space="0" w:color="auto"/>
              <w:left w:val="nil"/>
              <w:bottom w:val="single" w:sz="4" w:space="0" w:color="auto"/>
              <w:right w:val="nil"/>
            </w:tcBorders>
          </w:tcPr>
          <w:p w14:paraId="1A21975D"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4225</w:t>
            </w:r>
          </w:p>
        </w:tc>
        <w:tc>
          <w:tcPr>
            <w:tcW w:w="966" w:type="pct"/>
            <w:tcBorders>
              <w:top w:val="single" w:sz="4" w:space="0" w:color="auto"/>
              <w:left w:val="nil"/>
              <w:bottom w:val="single" w:sz="4" w:space="0" w:color="auto"/>
              <w:right w:val="nil"/>
            </w:tcBorders>
          </w:tcPr>
          <w:p w14:paraId="15B89C9C" w14:textId="77777777" w:rsidR="0086548E" w:rsidRDefault="0086548E" w:rsidP="0086548E">
            <w:pPr>
              <w:pStyle w:val="Tabletext"/>
              <w:rPr>
                <w:snapToGrid w:val="0"/>
                <w:lang w:eastAsia="en-US"/>
              </w:rPr>
            </w:pPr>
            <w:r>
              <w:rPr>
                <w:lang w:eastAsia="en-US"/>
              </w:rPr>
              <w:t>4</w:t>
            </w:r>
            <w:r w:rsidR="00D7157D">
              <w:rPr>
                <w:lang w:eastAsia="en-US"/>
              </w:rPr>
              <w:t>.</w:t>
            </w:r>
            <w:r>
              <w:rPr>
                <w:lang w:eastAsia="en-US"/>
              </w:rPr>
              <w:t>8891</w:t>
            </w:r>
          </w:p>
        </w:tc>
        <w:tc>
          <w:tcPr>
            <w:tcW w:w="966" w:type="pct"/>
            <w:tcBorders>
              <w:top w:val="single" w:sz="4" w:space="0" w:color="auto"/>
              <w:left w:val="nil"/>
              <w:bottom w:val="single" w:sz="4" w:space="0" w:color="auto"/>
              <w:right w:val="nil"/>
            </w:tcBorders>
          </w:tcPr>
          <w:p w14:paraId="665CCDA2"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1164</w:t>
            </w:r>
          </w:p>
        </w:tc>
      </w:tr>
      <w:tr w:rsidR="0086548E" w:rsidRPr="009E2595" w14:paraId="4EDD40AE" w14:textId="77777777" w:rsidTr="0086548E">
        <w:trPr>
          <w:cantSplit/>
        </w:trPr>
        <w:tc>
          <w:tcPr>
            <w:tcW w:w="1136" w:type="pct"/>
            <w:tcBorders>
              <w:top w:val="single" w:sz="4" w:space="0" w:color="auto"/>
              <w:bottom w:val="single" w:sz="4" w:space="0" w:color="auto"/>
            </w:tcBorders>
          </w:tcPr>
          <w:p w14:paraId="525FED07" w14:textId="77777777" w:rsidR="0086548E" w:rsidRPr="00616B26" w:rsidRDefault="0086548E" w:rsidP="0086548E">
            <w:pPr>
              <w:pStyle w:val="Tabletext"/>
              <w:rPr>
                <w:snapToGrid w:val="0"/>
              </w:rPr>
            </w:pPr>
            <w:r w:rsidRPr="00616B26">
              <w:rPr>
                <w:snapToGrid w:val="0"/>
              </w:rPr>
              <w:t>92</w:t>
            </w:r>
          </w:p>
        </w:tc>
        <w:tc>
          <w:tcPr>
            <w:tcW w:w="966" w:type="pct"/>
            <w:tcBorders>
              <w:top w:val="single" w:sz="4" w:space="0" w:color="auto"/>
              <w:left w:val="nil"/>
              <w:bottom w:val="single" w:sz="4" w:space="0" w:color="auto"/>
              <w:right w:val="nil"/>
            </w:tcBorders>
          </w:tcPr>
          <w:p w14:paraId="451510D7"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8710</w:t>
            </w:r>
          </w:p>
        </w:tc>
        <w:tc>
          <w:tcPr>
            <w:tcW w:w="966" w:type="pct"/>
            <w:tcBorders>
              <w:top w:val="single" w:sz="4" w:space="0" w:color="auto"/>
              <w:left w:val="nil"/>
              <w:bottom w:val="single" w:sz="4" w:space="0" w:color="auto"/>
              <w:right w:val="nil"/>
            </w:tcBorders>
          </w:tcPr>
          <w:p w14:paraId="5433E62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4019</w:t>
            </w:r>
          </w:p>
        </w:tc>
        <w:tc>
          <w:tcPr>
            <w:tcW w:w="966" w:type="pct"/>
            <w:tcBorders>
              <w:top w:val="single" w:sz="4" w:space="0" w:color="auto"/>
              <w:left w:val="nil"/>
              <w:bottom w:val="single" w:sz="4" w:space="0" w:color="auto"/>
              <w:right w:val="nil"/>
            </w:tcBorders>
          </w:tcPr>
          <w:p w14:paraId="6610CB57" w14:textId="77777777" w:rsidR="0086548E" w:rsidRDefault="0086548E" w:rsidP="0086548E">
            <w:pPr>
              <w:pStyle w:val="Tabletext"/>
              <w:rPr>
                <w:snapToGrid w:val="0"/>
                <w:lang w:eastAsia="en-US"/>
              </w:rPr>
            </w:pPr>
            <w:r>
              <w:rPr>
                <w:lang w:eastAsia="en-US"/>
              </w:rPr>
              <w:t>4</w:t>
            </w:r>
            <w:r w:rsidR="00D7157D">
              <w:rPr>
                <w:lang w:eastAsia="en-US"/>
              </w:rPr>
              <w:t>.</w:t>
            </w:r>
            <w:r>
              <w:rPr>
                <w:lang w:eastAsia="en-US"/>
              </w:rPr>
              <w:t>5576</w:t>
            </w:r>
          </w:p>
        </w:tc>
        <w:tc>
          <w:tcPr>
            <w:tcW w:w="966" w:type="pct"/>
            <w:tcBorders>
              <w:top w:val="single" w:sz="4" w:space="0" w:color="auto"/>
              <w:left w:val="nil"/>
              <w:bottom w:val="single" w:sz="4" w:space="0" w:color="auto"/>
              <w:right w:val="nil"/>
            </w:tcBorders>
          </w:tcPr>
          <w:p w14:paraId="2D55C7C3"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1123</w:t>
            </w:r>
          </w:p>
        </w:tc>
      </w:tr>
      <w:tr w:rsidR="0086548E" w:rsidRPr="009E2595" w14:paraId="7E961289" w14:textId="77777777" w:rsidTr="0086548E">
        <w:trPr>
          <w:cantSplit/>
        </w:trPr>
        <w:tc>
          <w:tcPr>
            <w:tcW w:w="1136" w:type="pct"/>
            <w:tcBorders>
              <w:top w:val="single" w:sz="4" w:space="0" w:color="auto"/>
              <w:bottom w:val="single" w:sz="4" w:space="0" w:color="auto"/>
            </w:tcBorders>
          </w:tcPr>
          <w:p w14:paraId="19073FEF" w14:textId="77777777" w:rsidR="0086548E" w:rsidRPr="00616B26" w:rsidRDefault="0086548E" w:rsidP="0086548E">
            <w:pPr>
              <w:pStyle w:val="Tabletext"/>
              <w:rPr>
                <w:snapToGrid w:val="0"/>
              </w:rPr>
            </w:pPr>
            <w:r w:rsidRPr="00616B26">
              <w:rPr>
                <w:snapToGrid w:val="0"/>
              </w:rPr>
              <w:t>93</w:t>
            </w:r>
          </w:p>
        </w:tc>
        <w:tc>
          <w:tcPr>
            <w:tcW w:w="966" w:type="pct"/>
            <w:tcBorders>
              <w:top w:val="single" w:sz="4" w:space="0" w:color="auto"/>
              <w:left w:val="nil"/>
              <w:bottom w:val="single" w:sz="4" w:space="0" w:color="auto"/>
              <w:right w:val="nil"/>
            </w:tcBorders>
          </w:tcPr>
          <w:p w14:paraId="462C7CCE"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6202</w:t>
            </w:r>
          </w:p>
        </w:tc>
        <w:tc>
          <w:tcPr>
            <w:tcW w:w="966" w:type="pct"/>
            <w:tcBorders>
              <w:top w:val="single" w:sz="4" w:space="0" w:color="auto"/>
              <w:left w:val="nil"/>
              <w:bottom w:val="single" w:sz="4" w:space="0" w:color="auto"/>
              <w:right w:val="nil"/>
            </w:tcBorders>
          </w:tcPr>
          <w:p w14:paraId="33BCC187"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3807</w:t>
            </w:r>
          </w:p>
        </w:tc>
        <w:tc>
          <w:tcPr>
            <w:tcW w:w="966" w:type="pct"/>
            <w:tcBorders>
              <w:top w:val="single" w:sz="4" w:space="0" w:color="auto"/>
              <w:left w:val="nil"/>
              <w:bottom w:val="single" w:sz="4" w:space="0" w:color="auto"/>
              <w:right w:val="nil"/>
            </w:tcBorders>
          </w:tcPr>
          <w:p w14:paraId="6B5937F3" w14:textId="77777777" w:rsidR="0086548E" w:rsidRDefault="0086548E" w:rsidP="0086548E">
            <w:pPr>
              <w:pStyle w:val="Tabletext"/>
              <w:rPr>
                <w:snapToGrid w:val="0"/>
                <w:lang w:eastAsia="en-US"/>
              </w:rPr>
            </w:pPr>
            <w:r>
              <w:rPr>
                <w:lang w:eastAsia="en-US"/>
              </w:rPr>
              <w:t>4</w:t>
            </w:r>
            <w:r w:rsidR="00D7157D">
              <w:rPr>
                <w:lang w:eastAsia="en-US"/>
              </w:rPr>
              <w:t>.</w:t>
            </w:r>
            <w:r>
              <w:rPr>
                <w:lang w:eastAsia="en-US"/>
              </w:rPr>
              <w:t>2377</w:t>
            </w:r>
          </w:p>
        </w:tc>
        <w:tc>
          <w:tcPr>
            <w:tcW w:w="966" w:type="pct"/>
            <w:tcBorders>
              <w:top w:val="single" w:sz="4" w:space="0" w:color="auto"/>
              <w:left w:val="nil"/>
              <w:bottom w:val="single" w:sz="4" w:space="0" w:color="auto"/>
              <w:right w:val="nil"/>
            </w:tcBorders>
          </w:tcPr>
          <w:p w14:paraId="58C4524C"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1083</w:t>
            </w:r>
          </w:p>
        </w:tc>
      </w:tr>
      <w:tr w:rsidR="0086548E" w:rsidRPr="009E2595" w14:paraId="2689D805" w14:textId="77777777" w:rsidTr="0086548E">
        <w:trPr>
          <w:cantSplit/>
        </w:trPr>
        <w:tc>
          <w:tcPr>
            <w:tcW w:w="1136" w:type="pct"/>
            <w:tcBorders>
              <w:top w:val="single" w:sz="4" w:space="0" w:color="auto"/>
              <w:bottom w:val="single" w:sz="4" w:space="0" w:color="auto"/>
            </w:tcBorders>
          </w:tcPr>
          <w:p w14:paraId="5E52054F" w14:textId="77777777" w:rsidR="0086548E" w:rsidRPr="00616B26" w:rsidRDefault="0086548E" w:rsidP="0086548E">
            <w:pPr>
              <w:pStyle w:val="Tabletext"/>
              <w:rPr>
                <w:snapToGrid w:val="0"/>
              </w:rPr>
            </w:pPr>
            <w:r w:rsidRPr="00616B26">
              <w:rPr>
                <w:snapToGrid w:val="0"/>
              </w:rPr>
              <w:t>94</w:t>
            </w:r>
          </w:p>
        </w:tc>
        <w:tc>
          <w:tcPr>
            <w:tcW w:w="966" w:type="pct"/>
            <w:tcBorders>
              <w:top w:val="single" w:sz="4" w:space="0" w:color="auto"/>
              <w:left w:val="nil"/>
              <w:bottom w:val="single" w:sz="4" w:space="0" w:color="auto"/>
              <w:right w:val="nil"/>
            </w:tcBorders>
          </w:tcPr>
          <w:p w14:paraId="0BA28523"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4101</w:t>
            </w:r>
          </w:p>
        </w:tc>
        <w:tc>
          <w:tcPr>
            <w:tcW w:w="966" w:type="pct"/>
            <w:tcBorders>
              <w:top w:val="single" w:sz="4" w:space="0" w:color="auto"/>
              <w:left w:val="nil"/>
              <w:bottom w:val="single" w:sz="4" w:space="0" w:color="auto"/>
              <w:right w:val="nil"/>
            </w:tcBorders>
          </w:tcPr>
          <w:p w14:paraId="74DA569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3590</w:t>
            </w:r>
          </w:p>
        </w:tc>
        <w:tc>
          <w:tcPr>
            <w:tcW w:w="966" w:type="pct"/>
            <w:tcBorders>
              <w:top w:val="single" w:sz="4" w:space="0" w:color="auto"/>
              <w:left w:val="nil"/>
              <w:bottom w:val="single" w:sz="4" w:space="0" w:color="auto"/>
              <w:right w:val="nil"/>
            </w:tcBorders>
          </w:tcPr>
          <w:p w14:paraId="7738FEF9"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9308</w:t>
            </w:r>
          </w:p>
        </w:tc>
        <w:tc>
          <w:tcPr>
            <w:tcW w:w="966" w:type="pct"/>
            <w:tcBorders>
              <w:top w:val="single" w:sz="4" w:space="0" w:color="auto"/>
              <w:left w:val="nil"/>
              <w:bottom w:val="single" w:sz="4" w:space="0" w:color="auto"/>
              <w:right w:val="nil"/>
            </w:tcBorders>
          </w:tcPr>
          <w:p w14:paraId="609A9D1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1042</w:t>
            </w:r>
          </w:p>
        </w:tc>
      </w:tr>
      <w:tr w:rsidR="0086548E" w:rsidRPr="009E2595" w14:paraId="12F867C2" w14:textId="77777777" w:rsidTr="0086548E">
        <w:trPr>
          <w:cantSplit/>
        </w:trPr>
        <w:tc>
          <w:tcPr>
            <w:tcW w:w="1136" w:type="pct"/>
            <w:tcBorders>
              <w:top w:val="single" w:sz="4" w:space="0" w:color="auto"/>
              <w:bottom w:val="single" w:sz="4" w:space="0" w:color="auto"/>
            </w:tcBorders>
          </w:tcPr>
          <w:p w14:paraId="11310F09" w14:textId="77777777" w:rsidR="0086548E" w:rsidRPr="00616B26" w:rsidRDefault="0086548E" w:rsidP="0086548E">
            <w:pPr>
              <w:pStyle w:val="Tabletext"/>
              <w:rPr>
                <w:snapToGrid w:val="0"/>
              </w:rPr>
            </w:pPr>
            <w:r w:rsidRPr="00616B26">
              <w:rPr>
                <w:snapToGrid w:val="0"/>
              </w:rPr>
              <w:t>95</w:t>
            </w:r>
          </w:p>
        </w:tc>
        <w:tc>
          <w:tcPr>
            <w:tcW w:w="966" w:type="pct"/>
            <w:tcBorders>
              <w:top w:val="single" w:sz="4" w:space="0" w:color="auto"/>
              <w:left w:val="nil"/>
              <w:bottom w:val="single" w:sz="4" w:space="0" w:color="auto"/>
              <w:right w:val="nil"/>
            </w:tcBorders>
          </w:tcPr>
          <w:p w14:paraId="221A903B"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2155</w:t>
            </w:r>
          </w:p>
        </w:tc>
        <w:tc>
          <w:tcPr>
            <w:tcW w:w="966" w:type="pct"/>
            <w:tcBorders>
              <w:top w:val="single" w:sz="4" w:space="0" w:color="auto"/>
              <w:left w:val="nil"/>
              <w:bottom w:val="single" w:sz="4" w:space="0" w:color="auto"/>
              <w:right w:val="nil"/>
            </w:tcBorders>
          </w:tcPr>
          <w:p w14:paraId="701BF79B"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3375</w:t>
            </w:r>
          </w:p>
        </w:tc>
        <w:tc>
          <w:tcPr>
            <w:tcW w:w="966" w:type="pct"/>
            <w:tcBorders>
              <w:top w:val="single" w:sz="4" w:space="0" w:color="auto"/>
              <w:left w:val="nil"/>
              <w:bottom w:val="single" w:sz="4" w:space="0" w:color="auto"/>
              <w:right w:val="nil"/>
            </w:tcBorders>
          </w:tcPr>
          <w:p w14:paraId="7BF6DCC8"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6481</w:t>
            </w:r>
          </w:p>
        </w:tc>
        <w:tc>
          <w:tcPr>
            <w:tcW w:w="966" w:type="pct"/>
            <w:tcBorders>
              <w:top w:val="single" w:sz="4" w:space="0" w:color="auto"/>
              <w:left w:val="nil"/>
              <w:bottom w:val="single" w:sz="4" w:space="0" w:color="auto"/>
              <w:right w:val="nil"/>
            </w:tcBorders>
          </w:tcPr>
          <w:p w14:paraId="4880DF04"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1001</w:t>
            </w:r>
          </w:p>
        </w:tc>
      </w:tr>
      <w:tr w:rsidR="0086548E" w:rsidRPr="009E2595" w14:paraId="5970E79B" w14:textId="77777777" w:rsidTr="0086548E">
        <w:trPr>
          <w:cantSplit/>
        </w:trPr>
        <w:tc>
          <w:tcPr>
            <w:tcW w:w="1136" w:type="pct"/>
            <w:tcBorders>
              <w:top w:val="single" w:sz="4" w:space="0" w:color="auto"/>
              <w:bottom w:val="single" w:sz="4" w:space="0" w:color="auto"/>
            </w:tcBorders>
          </w:tcPr>
          <w:p w14:paraId="5EB14601" w14:textId="77777777" w:rsidR="0086548E" w:rsidRPr="00616B26" w:rsidRDefault="0086548E" w:rsidP="0086548E">
            <w:pPr>
              <w:pStyle w:val="Tabletext"/>
              <w:rPr>
                <w:snapToGrid w:val="0"/>
              </w:rPr>
            </w:pPr>
            <w:r w:rsidRPr="00616B26">
              <w:rPr>
                <w:snapToGrid w:val="0"/>
              </w:rPr>
              <w:t>96</w:t>
            </w:r>
          </w:p>
        </w:tc>
        <w:tc>
          <w:tcPr>
            <w:tcW w:w="966" w:type="pct"/>
            <w:tcBorders>
              <w:top w:val="single" w:sz="4" w:space="0" w:color="auto"/>
              <w:left w:val="nil"/>
              <w:bottom w:val="single" w:sz="4" w:space="0" w:color="auto"/>
              <w:right w:val="nil"/>
            </w:tcBorders>
          </w:tcPr>
          <w:p w14:paraId="51D78DF9"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0350</w:t>
            </w:r>
          </w:p>
        </w:tc>
        <w:tc>
          <w:tcPr>
            <w:tcW w:w="966" w:type="pct"/>
            <w:tcBorders>
              <w:top w:val="single" w:sz="4" w:space="0" w:color="auto"/>
              <w:left w:val="nil"/>
              <w:bottom w:val="single" w:sz="4" w:space="0" w:color="auto"/>
              <w:right w:val="nil"/>
            </w:tcBorders>
          </w:tcPr>
          <w:p w14:paraId="556E5BBA"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3160</w:t>
            </w:r>
          </w:p>
        </w:tc>
        <w:tc>
          <w:tcPr>
            <w:tcW w:w="966" w:type="pct"/>
            <w:tcBorders>
              <w:top w:val="single" w:sz="4" w:space="0" w:color="auto"/>
              <w:left w:val="nil"/>
              <w:bottom w:val="single" w:sz="4" w:space="0" w:color="auto"/>
              <w:right w:val="nil"/>
            </w:tcBorders>
          </w:tcPr>
          <w:p w14:paraId="05C1D959"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3793</w:t>
            </w:r>
          </w:p>
        </w:tc>
        <w:tc>
          <w:tcPr>
            <w:tcW w:w="966" w:type="pct"/>
            <w:tcBorders>
              <w:top w:val="single" w:sz="4" w:space="0" w:color="auto"/>
              <w:left w:val="nil"/>
              <w:bottom w:val="single" w:sz="4" w:space="0" w:color="auto"/>
              <w:right w:val="nil"/>
            </w:tcBorders>
          </w:tcPr>
          <w:p w14:paraId="78BBD89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0960</w:t>
            </w:r>
          </w:p>
        </w:tc>
      </w:tr>
      <w:tr w:rsidR="0086548E" w:rsidRPr="009E2595" w14:paraId="3BEC87AD" w14:textId="77777777" w:rsidTr="0086548E">
        <w:trPr>
          <w:cantSplit/>
        </w:trPr>
        <w:tc>
          <w:tcPr>
            <w:tcW w:w="1136" w:type="pct"/>
            <w:tcBorders>
              <w:top w:val="single" w:sz="4" w:space="0" w:color="auto"/>
              <w:bottom w:val="single" w:sz="4" w:space="0" w:color="auto"/>
            </w:tcBorders>
          </w:tcPr>
          <w:p w14:paraId="5B71FB8D" w14:textId="77777777" w:rsidR="0086548E" w:rsidRPr="00616B26" w:rsidRDefault="0086548E" w:rsidP="0086548E">
            <w:pPr>
              <w:pStyle w:val="Tabletext"/>
              <w:rPr>
                <w:snapToGrid w:val="0"/>
              </w:rPr>
            </w:pPr>
            <w:r w:rsidRPr="00616B26">
              <w:rPr>
                <w:snapToGrid w:val="0"/>
              </w:rPr>
              <w:t>97</w:t>
            </w:r>
          </w:p>
        </w:tc>
        <w:tc>
          <w:tcPr>
            <w:tcW w:w="966" w:type="pct"/>
            <w:tcBorders>
              <w:top w:val="single" w:sz="4" w:space="0" w:color="auto"/>
              <w:left w:val="nil"/>
              <w:bottom w:val="single" w:sz="4" w:space="0" w:color="auto"/>
              <w:right w:val="nil"/>
            </w:tcBorders>
          </w:tcPr>
          <w:p w14:paraId="3ECC2CAF"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8675</w:t>
            </w:r>
          </w:p>
        </w:tc>
        <w:tc>
          <w:tcPr>
            <w:tcW w:w="966" w:type="pct"/>
            <w:tcBorders>
              <w:top w:val="single" w:sz="4" w:space="0" w:color="auto"/>
              <w:left w:val="nil"/>
              <w:bottom w:val="single" w:sz="4" w:space="0" w:color="auto"/>
              <w:right w:val="nil"/>
            </w:tcBorders>
          </w:tcPr>
          <w:p w14:paraId="39DB14F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2948</w:t>
            </w:r>
          </w:p>
        </w:tc>
        <w:tc>
          <w:tcPr>
            <w:tcW w:w="966" w:type="pct"/>
            <w:tcBorders>
              <w:top w:val="single" w:sz="4" w:space="0" w:color="auto"/>
              <w:left w:val="nil"/>
              <w:bottom w:val="single" w:sz="4" w:space="0" w:color="auto"/>
              <w:right w:val="nil"/>
            </w:tcBorders>
          </w:tcPr>
          <w:p w14:paraId="24BFDD9D" w14:textId="77777777" w:rsidR="0086548E" w:rsidRDefault="0086548E" w:rsidP="0086548E">
            <w:pPr>
              <w:pStyle w:val="Tabletext"/>
              <w:rPr>
                <w:snapToGrid w:val="0"/>
                <w:lang w:eastAsia="en-US"/>
              </w:rPr>
            </w:pPr>
            <w:r>
              <w:rPr>
                <w:lang w:eastAsia="en-US"/>
              </w:rPr>
              <w:t>3</w:t>
            </w:r>
            <w:r w:rsidR="00D7157D">
              <w:rPr>
                <w:lang w:eastAsia="en-US"/>
              </w:rPr>
              <w:t>.</w:t>
            </w:r>
            <w:r>
              <w:rPr>
                <w:lang w:eastAsia="en-US"/>
              </w:rPr>
              <w:t>1193</w:t>
            </w:r>
          </w:p>
        </w:tc>
        <w:tc>
          <w:tcPr>
            <w:tcW w:w="966" w:type="pct"/>
            <w:tcBorders>
              <w:top w:val="single" w:sz="4" w:space="0" w:color="auto"/>
              <w:left w:val="nil"/>
              <w:bottom w:val="single" w:sz="4" w:space="0" w:color="auto"/>
              <w:right w:val="nil"/>
            </w:tcBorders>
          </w:tcPr>
          <w:p w14:paraId="6FA58502"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0918</w:t>
            </w:r>
          </w:p>
        </w:tc>
      </w:tr>
      <w:tr w:rsidR="0086548E" w:rsidRPr="009E2595" w14:paraId="47380CD5" w14:textId="77777777" w:rsidTr="0086548E">
        <w:trPr>
          <w:cantSplit/>
        </w:trPr>
        <w:tc>
          <w:tcPr>
            <w:tcW w:w="1136" w:type="pct"/>
            <w:tcBorders>
              <w:top w:val="single" w:sz="4" w:space="0" w:color="auto"/>
              <w:bottom w:val="single" w:sz="4" w:space="0" w:color="auto"/>
            </w:tcBorders>
          </w:tcPr>
          <w:p w14:paraId="7C1DCBB0" w14:textId="77777777" w:rsidR="0086548E" w:rsidRPr="00616B26" w:rsidRDefault="0086548E" w:rsidP="0086548E">
            <w:pPr>
              <w:pStyle w:val="Tabletext"/>
              <w:rPr>
                <w:snapToGrid w:val="0"/>
              </w:rPr>
            </w:pPr>
            <w:r w:rsidRPr="00616B26">
              <w:rPr>
                <w:snapToGrid w:val="0"/>
              </w:rPr>
              <w:t>98</w:t>
            </w:r>
          </w:p>
        </w:tc>
        <w:tc>
          <w:tcPr>
            <w:tcW w:w="966" w:type="pct"/>
            <w:tcBorders>
              <w:top w:val="single" w:sz="4" w:space="0" w:color="auto"/>
              <w:left w:val="nil"/>
              <w:bottom w:val="single" w:sz="4" w:space="0" w:color="auto"/>
              <w:right w:val="nil"/>
            </w:tcBorders>
          </w:tcPr>
          <w:p w14:paraId="1E1C28F5"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7117</w:t>
            </w:r>
          </w:p>
        </w:tc>
        <w:tc>
          <w:tcPr>
            <w:tcW w:w="966" w:type="pct"/>
            <w:tcBorders>
              <w:top w:val="single" w:sz="4" w:space="0" w:color="auto"/>
              <w:left w:val="nil"/>
              <w:bottom w:val="single" w:sz="4" w:space="0" w:color="auto"/>
              <w:right w:val="nil"/>
            </w:tcBorders>
          </w:tcPr>
          <w:p w14:paraId="395C08F5"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2735</w:t>
            </w:r>
          </w:p>
        </w:tc>
        <w:tc>
          <w:tcPr>
            <w:tcW w:w="966" w:type="pct"/>
            <w:tcBorders>
              <w:top w:val="single" w:sz="4" w:space="0" w:color="auto"/>
              <w:left w:val="nil"/>
              <w:bottom w:val="single" w:sz="4" w:space="0" w:color="auto"/>
              <w:right w:val="nil"/>
            </w:tcBorders>
          </w:tcPr>
          <w:p w14:paraId="1AD0838F"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8710</w:t>
            </w:r>
          </w:p>
        </w:tc>
        <w:tc>
          <w:tcPr>
            <w:tcW w:w="966" w:type="pct"/>
            <w:tcBorders>
              <w:top w:val="single" w:sz="4" w:space="0" w:color="auto"/>
              <w:left w:val="nil"/>
              <w:bottom w:val="single" w:sz="4" w:space="0" w:color="auto"/>
              <w:right w:val="nil"/>
            </w:tcBorders>
          </w:tcPr>
          <w:p w14:paraId="4C53D5A6"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0874</w:t>
            </w:r>
          </w:p>
        </w:tc>
      </w:tr>
      <w:tr w:rsidR="0086548E" w:rsidRPr="009E2595" w14:paraId="7819615B" w14:textId="77777777" w:rsidTr="0086548E">
        <w:trPr>
          <w:cantSplit/>
        </w:trPr>
        <w:tc>
          <w:tcPr>
            <w:tcW w:w="1136" w:type="pct"/>
            <w:tcBorders>
              <w:top w:val="single" w:sz="4" w:space="0" w:color="auto"/>
              <w:bottom w:val="single" w:sz="12" w:space="0" w:color="auto"/>
            </w:tcBorders>
          </w:tcPr>
          <w:p w14:paraId="4C5124D0" w14:textId="77777777" w:rsidR="0086548E" w:rsidRPr="00616B26" w:rsidRDefault="00ED15BD" w:rsidP="0086548E">
            <w:pPr>
              <w:pStyle w:val="Tabletext"/>
              <w:rPr>
                <w:snapToGrid w:val="0"/>
              </w:rPr>
            </w:pPr>
            <w:r>
              <w:rPr>
                <w:snapToGrid w:val="0"/>
              </w:rPr>
              <w:t>99 and over</w:t>
            </w:r>
          </w:p>
        </w:tc>
        <w:tc>
          <w:tcPr>
            <w:tcW w:w="966" w:type="pct"/>
            <w:tcBorders>
              <w:top w:val="single" w:sz="4" w:space="0" w:color="auto"/>
              <w:left w:val="nil"/>
              <w:bottom w:val="single" w:sz="12" w:space="0" w:color="auto"/>
              <w:right w:val="nil"/>
            </w:tcBorders>
          </w:tcPr>
          <w:p w14:paraId="5FFE2CCE"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5667</w:t>
            </w:r>
          </w:p>
        </w:tc>
        <w:tc>
          <w:tcPr>
            <w:tcW w:w="966" w:type="pct"/>
            <w:tcBorders>
              <w:top w:val="single" w:sz="4" w:space="0" w:color="auto"/>
              <w:left w:val="nil"/>
              <w:bottom w:val="single" w:sz="12" w:space="0" w:color="auto"/>
              <w:right w:val="nil"/>
            </w:tcBorders>
          </w:tcPr>
          <w:p w14:paraId="3509D498"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2519</w:t>
            </w:r>
          </w:p>
        </w:tc>
        <w:tc>
          <w:tcPr>
            <w:tcW w:w="966" w:type="pct"/>
            <w:tcBorders>
              <w:top w:val="single" w:sz="4" w:space="0" w:color="auto"/>
              <w:left w:val="nil"/>
              <w:bottom w:val="single" w:sz="12" w:space="0" w:color="auto"/>
              <w:right w:val="nil"/>
            </w:tcBorders>
          </w:tcPr>
          <w:p w14:paraId="552DAB6D" w14:textId="77777777" w:rsidR="0086548E" w:rsidRDefault="0086548E" w:rsidP="0086548E">
            <w:pPr>
              <w:pStyle w:val="Tabletext"/>
              <w:rPr>
                <w:snapToGrid w:val="0"/>
                <w:lang w:eastAsia="en-US"/>
              </w:rPr>
            </w:pPr>
            <w:r>
              <w:rPr>
                <w:lang w:eastAsia="en-US"/>
              </w:rPr>
              <w:t>2</w:t>
            </w:r>
            <w:r w:rsidR="00D7157D">
              <w:rPr>
                <w:lang w:eastAsia="en-US"/>
              </w:rPr>
              <w:t>.</w:t>
            </w:r>
            <w:r>
              <w:rPr>
                <w:lang w:eastAsia="en-US"/>
              </w:rPr>
              <w:t>6283</w:t>
            </w:r>
          </w:p>
        </w:tc>
        <w:tc>
          <w:tcPr>
            <w:tcW w:w="966" w:type="pct"/>
            <w:tcBorders>
              <w:top w:val="single" w:sz="4" w:space="0" w:color="auto"/>
              <w:left w:val="nil"/>
              <w:bottom w:val="single" w:sz="12" w:space="0" w:color="auto"/>
              <w:right w:val="nil"/>
            </w:tcBorders>
          </w:tcPr>
          <w:p w14:paraId="54165721" w14:textId="77777777" w:rsidR="0086548E" w:rsidRDefault="0086548E" w:rsidP="0086548E">
            <w:pPr>
              <w:pStyle w:val="Tabletext"/>
              <w:rPr>
                <w:snapToGrid w:val="0"/>
                <w:lang w:eastAsia="en-US"/>
              </w:rPr>
            </w:pPr>
            <w:r>
              <w:rPr>
                <w:lang w:eastAsia="en-US"/>
              </w:rPr>
              <w:t>0</w:t>
            </w:r>
            <w:r w:rsidR="00D7157D">
              <w:rPr>
                <w:lang w:eastAsia="en-US"/>
              </w:rPr>
              <w:t>.</w:t>
            </w:r>
            <w:r>
              <w:rPr>
                <w:lang w:eastAsia="en-US"/>
              </w:rPr>
              <w:t>0829</w:t>
            </w:r>
          </w:p>
        </w:tc>
      </w:tr>
    </w:tbl>
    <w:p w14:paraId="00B8CE22" w14:textId="77777777" w:rsidR="00647C6B" w:rsidRPr="00A058B6" w:rsidRDefault="0022507A" w:rsidP="00647C6B">
      <w:pPr>
        <w:pStyle w:val="ActHead5"/>
      </w:pPr>
      <w:bookmarkStart w:id="312" w:name="_Toc188350789"/>
      <w:r w:rsidRPr="00423C34">
        <w:rPr>
          <w:rStyle w:val="CharSectno"/>
        </w:rPr>
        <w:t>12</w:t>
      </w:r>
      <w:r w:rsidR="00647C6B" w:rsidRPr="00A058B6">
        <w:t xml:space="preserve">  Valuation factors—pension indexed at 5%</w:t>
      </w:r>
      <w:bookmarkEnd w:id="312"/>
    </w:p>
    <w:p w14:paraId="4CC89B62" w14:textId="77777777" w:rsidR="00647C6B" w:rsidRPr="00A058B6" w:rsidRDefault="00647C6B" w:rsidP="00647C6B">
      <w:pPr>
        <w:pStyle w:val="subsection"/>
      </w:pPr>
      <w:r w:rsidRPr="00A058B6">
        <w:tab/>
      </w:r>
      <w:r w:rsidRPr="00A058B6">
        <w:tab/>
        <w:t>The pension valuation factors and reversion valuation factors set out in this clause apply if the pension is indexed at 5%</w:t>
      </w:r>
      <w:r w:rsidR="00D7157D">
        <w:t>.</w:t>
      </w:r>
    </w:p>
    <w:p w14:paraId="46FDDED0" w14:textId="77777777" w:rsidR="00647C6B" w:rsidRPr="00A058B6" w:rsidRDefault="00647C6B" w:rsidP="00647C6B">
      <w:pPr>
        <w:pStyle w:val="Tabletext"/>
      </w:pPr>
    </w:p>
    <w:tbl>
      <w:tblPr>
        <w:tblW w:w="5000" w:type="pct"/>
        <w:tblLook w:val="0000" w:firstRow="0" w:lastRow="0" w:firstColumn="0" w:lastColumn="0" w:noHBand="0" w:noVBand="0"/>
      </w:tblPr>
      <w:tblGrid>
        <w:gridCol w:w="1889"/>
        <w:gridCol w:w="1606"/>
        <w:gridCol w:w="1606"/>
        <w:gridCol w:w="1606"/>
        <w:gridCol w:w="1606"/>
      </w:tblGrid>
      <w:tr w:rsidR="00647C6B" w:rsidRPr="00A058B6" w14:paraId="3BC9A850" w14:textId="77777777" w:rsidTr="00FA26AF">
        <w:trPr>
          <w:cantSplit/>
          <w:trHeight w:val="144"/>
          <w:tblHeader/>
        </w:trPr>
        <w:tc>
          <w:tcPr>
            <w:tcW w:w="1136" w:type="pct"/>
            <w:vMerge w:val="restart"/>
            <w:tcBorders>
              <w:top w:val="single" w:sz="12" w:space="0" w:color="auto"/>
              <w:bottom w:val="single" w:sz="12" w:space="0" w:color="auto"/>
            </w:tcBorders>
          </w:tcPr>
          <w:p w14:paraId="14599932" w14:textId="77777777" w:rsidR="00647C6B" w:rsidRPr="00A058B6" w:rsidRDefault="00647C6B" w:rsidP="009C0D79">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4C56DF84" w14:textId="77777777" w:rsidR="00647C6B" w:rsidRPr="00A058B6" w:rsidRDefault="00647C6B" w:rsidP="009C0D79">
            <w:pPr>
              <w:pStyle w:val="TableHeading"/>
            </w:pPr>
            <w:r w:rsidRPr="00A058B6">
              <w:t>Valuation factors—pension indexed at 5%</w:t>
            </w:r>
          </w:p>
        </w:tc>
      </w:tr>
      <w:tr w:rsidR="00647C6B" w:rsidRPr="00A058B6" w14:paraId="4FA90FC5" w14:textId="77777777" w:rsidTr="00FA26AF">
        <w:trPr>
          <w:cantSplit/>
          <w:trHeight w:val="63"/>
          <w:tblHeader/>
        </w:trPr>
        <w:tc>
          <w:tcPr>
            <w:tcW w:w="1136" w:type="pct"/>
            <w:vMerge/>
            <w:tcBorders>
              <w:bottom w:val="single" w:sz="12" w:space="0" w:color="auto"/>
            </w:tcBorders>
          </w:tcPr>
          <w:p w14:paraId="424AEB57" w14:textId="77777777" w:rsidR="00647C6B" w:rsidRPr="00A058B6" w:rsidRDefault="00647C6B" w:rsidP="009C0D79">
            <w:pPr>
              <w:pStyle w:val="TableHeading"/>
            </w:pPr>
          </w:p>
        </w:tc>
        <w:tc>
          <w:tcPr>
            <w:tcW w:w="1932" w:type="pct"/>
            <w:gridSpan w:val="2"/>
            <w:tcBorders>
              <w:top w:val="single" w:sz="4" w:space="0" w:color="auto"/>
              <w:bottom w:val="single" w:sz="4" w:space="0" w:color="auto"/>
            </w:tcBorders>
          </w:tcPr>
          <w:p w14:paraId="4F33401F" w14:textId="77777777" w:rsidR="00647C6B" w:rsidRPr="00A058B6" w:rsidRDefault="00647C6B" w:rsidP="009C0D79">
            <w:pPr>
              <w:pStyle w:val="TableHeading"/>
            </w:pPr>
            <w:r w:rsidRPr="00A058B6">
              <w:t>Males</w:t>
            </w:r>
          </w:p>
        </w:tc>
        <w:tc>
          <w:tcPr>
            <w:tcW w:w="1932" w:type="pct"/>
            <w:gridSpan w:val="2"/>
            <w:tcBorders>
              <w:top w:val="single" w:sz="4" w:space="0" w:color="auto"/>
              <w:bottom w:val="single" w:sz="4" w:space="0" w:color="auto"/>
            </w:tcBorders>
          </w:tcPr>
          <w:p w14:paraId="7C2FC517" w14:textId="77777777" w:rsidR="00647C6B" w:rsidRPr="00A058B6" w:rsidRDefault="00647C6B" w:rsidP="009C0D79">
            <w:pPr>
              <w:pStyle w:val="TableHeading"/>
            </w:pPr>
            <w:r w:rsidRPr="00A058B6">
              <w:t>Females</w:t>
            </w:r>
          </w:p>
        </w:tc>
      </w:tr>
      <w:tr w:rsidR="00647C6B" w:rsidRPr="00A058B6" w14:paraId="02867034" w14:textId="77777777" w:rsidTr="00FA26AF">
        <w:trPr>
          <w:cantSplit/>
          <w:trHeight w:val="63"/>
          <w:tblHeader/>
        </w:trPr>
        <w:tc>
          <w:tcPr>
            <w:tcW w:w="1136" w:type="pct"/>
            <w:vMerge/>
            <w:tcBorders>
              <w:bottom w:val="single" w:sz="12" w:space="0" w:color="auto"/>
            </w:tcBorders>
          </w:tcPr>
          <w:p w14:paraId="23CEE1B1" w14:textId="77777777" w:rsidR="00647C6B" w:rsidRPr="00A058B6" w:rsidRDefault="00647C6B" w:rsidP="009C0D79">
            <w:pPr>
              <w:pStyle w:val="TableHeading"/>
            </w:pPr>
          </w:p>
        </w:tc>
        <w:tc>
          <w:tcPr>
            <w:tcW w:w="966" w:type="pct"/>
            <w:tcBorders>
              <w:top w:val="single" w:sz="4" w:space="0" w:color="auto"/>
              <w:bottom w:val="single" w:sz="12" w:space="0" w:color="auto"/>
            </w:tcBorders>
          </w:tcPr>
          <w:p w14:paraId="52B51712"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0842EA3B" w14:textId="77777777" w:rsidR="00647C6B" w:rsidRPr="00A058B6" w:rsidRDefault="00647C6B" w:rsidP="009C0D79">
            <w:pPr>
              <w:pStyle w:val="TableHeading"/>
            </w:pPr>
            <w:r w:rsidRPr="00A058B6">
              <w:t>Reversion</w:t>
            </w:r>
          </w:p>
        </w:tc>
        <w:tc>
          <w:tcPr>
            <w:tcW w:w="966" w:type="pct"/>
            <w:tcBorders>
              <w:top w:val="single" w:sz="4" w:space="0" w:color="auto"/>
              <w:bottom w:val="single" w:sz="12" w:space="0" w:color="auto"/>
            </w:tcBorders>
          </w:tcPr>
          <w:p w14:paraId="0A208100" w14:textId="77777777" w:rsidR="00647C6B" w:rsidRPr="00A058B6" w:rsidRDefault="00647C6B" w:rsidP="009C0D79">
            <w:pPr>
              <w:pStyle w:val="TableHeading"/>
            </w:pPr>
            <w:r w:rsidRPr="00A058B6">
              <w:t>Pension</w:t>
            </w:r>
          </w:p>
        </w:tc>
        <w:tc>
          <w:tcPr>
            <w:tcW w:w="966" w:type="pct"/>
            <w:tcBorders>
              <w:top w:val="single" w:sz="4" w:space="0" w:color="auto"/>
              <w:bottom w:val="single" w:sz="12" w:space="0" w:color="auto"/>
            </w:tcBorders>
          </w:tcPr>
          <w:p w14:paraId="1C018CE2" w14:textId="77777777" w:rsidR="00647C6B" w:rsidRPr="00A058B6" w:rsidRDefault="00647C6B" w:rsidP="009C0D79">
            <w:pPr>
              <w:pStyle w:val="TableHeading"/>
            </w:pPr>
            <w:r w:rsidRPr="00A058B6">
              <w:t>Reversion</w:t>
            </w:r>
          </w:p>
        </w:tc>
      </w:tr>
      <w:tr w:rsidR="00D3430B" w:rsidRPr="009E2595" w14:paraId="4D86BF8E" w14:textId="77777777" w:rsidTr="00F36942">
        <w:trPr>
          <w:cantSplit/>
        </w:trPr>
        <w:tc>
          <w:tcPr>
            <w:tcW w:w="1136" w:type="pct"/>
            <w:tcBorders>
              <w:top w:val="single" w:sz="12" w:space="0" w:color="auto"/>
              <w:bottom w:val="single" w:sz="4" w:space="0" w:color="auto"/>
            </w:tcBorders>
          </w:tcPr>
          <w:p w14:paraId="7A8B33E8" w14:textId="77777777" w:rsidR="00D3430B" w:rsidRPr="00616B26" w:rsidRDefault="00D3430B" w:rsidP="00F36942">
            <w:pPr>
              <w:pStyle w:val="Tabletext"/>
              <w:rPr>
                <w:snapToGrid w:val="0"/>
              </w:rPr>
            </w:pPr>
            <w:r w:rsidRPr="00616B26">
              <w:rPr>
                <w:snapToGrid w:val="0"/>
              </w:rPr>
              <w:t>18</w:t>
            </w:r>
          </w:p>
        </w:tc>
        <w:tc>
          <w:tcPr>
            <w:tcW w:w="966" w:type="pct"/>
            <w:tcBorders>
              <w:top w:val="single" w:sz="12" w:space="0" w:color="auto"/>
              <w:bottom w:val="single" w:sz="4" w:space="0" w:color="auto"/>
            </w:tcBorders>
            <w:vAlign w:val="bottom"/>
          </w:tcPr>
          <w:p w14:paraId="49535441" w14:textId="77777777" w:rsidR="00D3430B" w:rsidRPr="000F120F" w:rsidRDefault="00D3430B" w:rsidP="00F36942">
            <w:pPr>
              <w:pStyle w:val="Tabletext"/>
              <w:rPr>
                <w:snapToGrid w:val="0"/>
              </w:rPr>
            </w:pPr>
            <w:r w:rsidRPr="00295986">
              <w:t>51</w:t>
            </w:r>
            <w:r w:rsidR="00D7157D">
              <w:t>.</w:t>
            </w:r>
            <w:r w:rsidRPr="00295986">
              <w:t>6764</w:t>
            </w:r>
          </w:p>
        </w:tc>
        <w:tc>
          <w:tcPr>
            <w:tcW w:w="966" w:type="pct"/>
            <w:tcBorders>
              <w:top w:val="single" w:sz="12" w:space="0" w:color="auto"/>
              <w:bottom w:val="single" w:sz="4" w:space="0" w:color="auto"/>
            </w:tcBorders>
            <w:vAlign w:val="bottom"/>
          </w:tcPr>
          <w:p w14:paraId="1CD40DAB" w14:textId="77777777" w:rsidR="00D3430B" w:rsidRPr="000F120F" w:rsidRDefault="00D3430B" w:rsidP="00F36942">
            <w:pPr>
              <w:pStyle w:val="Tabletext"/>
              <w:rPr>
                <w:snapToGrid w:val="0"/>
              </w:rPr>
            </w:pPr>
            <w:r w:rsidRPr="00295986">
              <w:t>3</w:t>
            </w:r>
            <w:r w:rsidR="00D7157D">
              <w:t>.</w:t>
            </w:r>
            <w:r w:rsidRPr="00295986">
              <w:t>0825</w:t>
            </w:r>
          </w:p>
        </w:tc>
        <w:tc>
          <w:tcPr>
            <w:tcW w:w="966" w:type="pct"/>
            <w:tcBorders>
              <w:top w:val="single" w:sz="12" w:space="0" w:color="auto"/>
              <w:bottom w:val="single" w:sz="4" w:space="0" w:color="auto"/>
            </w:tcBorders>
            <w:vAlign w:val="bottom"/>
          </w:tcPr>
          <w:p w14:paraId="0E1D1A9D" w14:textId="77777777" w:rsidR="00D3430B" w:rsidRPr="000F120F" w:rsidRDefault="00D3430B" w:rsidP="00F36942">
            <w:pPr>
              <w:pStyle w:val="Tabletext"/>
              <w:rPr>
                <w:snapToGrid w:val="0"/>
              </w:rPr>
            </w:pPr>
            <w:r w:rsidRPr="00295986">
              <w:t>53</w:t>
            </w:r>
            <w:r w:rsidR="00D7157D">
              <w:t>.</w:t>
            </w:r>
            <w:r w:rsidRPr="00295986">
              <w:t>1859</w:t>
            </w:r>
          </w:p>
        </w:tc>
        <w:tc>
          <w:tcPr>
            <w:tcW w:w="966" w:type="pct"/>
            <w:tcBorders>
              <w:top w:val="single" w:sz="12" w:space="0" w:color="auto"/>
              <w:bottom w:val="single" w:sz="4" w:space="0" w:color="auto"/>
            </w:tcBorders>
            <w:vAlign w:val="bottom"/>
          </w:tcPr>
          <w:p w14:paraId="0D92A313" w14:textId="77777777" w:rsidR="00D3430B" w:rsidRPr="000F120F" w:rsidRDefault="00D3430B" w:rsidP="00F36942">
            <w:pPr>
              <w:pStyle w:val="Tabletext"/>
              <w:rPr>
                <w:snapToGrid w:val="0"/>
              </w:rPr>
            </w:pPr>
            <w:r w:rsidRPr="00295986">
              <w:t>1</w:t>
            </w:r>
            <w:r w:rsidR="00D7157D">
              <w:t>.</w:t>
            </w:r>
            <w:r w:rsidRPr="00295986">
              <w:t>2271</w:t>
            </w:r>
          </w:p>
        </w:tc>
      </w:tr>
      <w:tr w:rsidR="00D3430B" w:rsidRPr="009E2595" w14:paraId="04FDA4D8" w14:textId="77777777" w:rsidTr="00F36942">
        <w:trPr>
          <w:cantSplit/>
        </w:trPr>
        <w:tc>
          <w:tcPr>
            <w:tcW w:w="1136" w:type="pct"/>
            <w:tcBorders>
              <w:top w:val="single" w:sz="4" w:space="0" w:color="auto"/>
              <w:bottom w:val="single" w:sz="4" w:space="0" w:color="auto"/>
            </w:tcBorders>
          </w:tcPr>
          <w:p w14:paraId="456F9881" w14:textId="77777777" w:rsidR="00D3430B" w:rsidRPr="00616B26" w:rsidRDefault="00D3430B" w:rsidP="00F36942">
            <w:pPr>
              <w:pStyle w:val="Tabletext"/>
              <w:rPr>
                <w:snapToGrid w:val="0"/>
              </w:rPr>
            </w:pPr>
            <w:r w:rsidRPr="00616B26">
              <w:rPr>
                <w:snapToGrid w:val="0"/>
              </w:rPr>
              <w:t>19</w:t>
            </w:r>
          </w:p>
        </w:tc>
        <w:tc>
          <w:tcPr>
            <w:tcW w:w="966" w:type="pct"/>
            <w:tcBorders>
              <w:top w:val="single" w:sz="4" w:space="0" w:color="auto"/>
              <w:bottom w:val="single" w:sz="4" w:space="0" w:color="auto"/>
            </w:tcBorders>
            <w:vAlign w:val="bottom"/>
          </w:tcPr>
          <w:p w14:paraId="653A789C" w14:textId="77777777" w:rsidR="00D3430B" w:rsidRPr="000F120F" w:rsidRDefault="00D3430B" w:rsidP="00F36942">
            <w:pPr>
              <w:pStyle w:val="Tabletext"/>
              <w:rPr>
                <w:snapToGrid w:val="0"/>
              </w:rPr>
            </w:pPr>
            <w:r w:rsidRPr="00295986">
              <w:t>51</w:t>
            </w:r>
            <w:r w:rsidR="00D7157D">
              <w:t>.</w:t>
            </w:r>
            <w:r w:rsidRPr="00295986">
              <w:t>1420</w:t>
            </w:r>
          </w:p>
        </w:tc>
        <w:tc>
          <w:tcPr>
            <w:tcW w:w="966" w:type="pct"/>
            <w:tcBorders>
              <w:top w:val="single" w:sz="4" w:space="0" w:color="auto"/>
              <w:bottom w:val="single" w:sz="4" w:space="0" w:color="auto"/>
            </w:tcBorders>
            <w:vAlign w:val="bottom"/>
          </w:tcPr>
          <w:p w14:paraId="0F31DA28" w14:textId="77777777" w:rsidR="00D3430B" w:rsidRPr="000F120F" w:rsidRDefault="00D3430B" w:rsidP="00F36942">
            <w:pPr>
              <w:pStyle w:val="Tabletext"/>
              <w:rPr>
                <w:snapToGrid w:val="0"/>
              </w:rPr>
            </w:pPr>
            <w:r w:rsidRPr="00295986">
              <w:t>3</w:t>
            </w:r>
            <w:r w:rsidR="00D7157D">
              <w:t>.</w:t>
            </w:r>
            <w:r w:rsidRPr="00295986">
              <w:t>1156</w:t>
            </w:r>
          </w:p>
        </w:tc>
        <w:tc>
          <w:tcPr>
            <w:tcW w:w="966" w:type="pct"/>
            <w:tcBorders>
              <w:top w:val="single" w:sz="4" w:space="0" w:color="auto"/>
              <w:bottom w:val="single" w:sz="4" w:space="0" w:color="auto"/>
            </w:tcBorders>
            <w:vAlign w:val="bottom"/>
          </w:tcPr>
          <w:p w14:paraId="068AF013" w14:textId="77777777" w:rsidR="00D3430B" w:rsidRPr="000F120F" w:rsidRDefault="00D3430B" w:rsidP="00F36942">
            <w:pPr>
              <w:pStyle w:val="Tabletext"/>
              <w:rPr>
                <w:snapToGrid w:val="0"/>
              </w:rPr>
            </w:pPr>
            <w:r w:rsidRPr="00295986">
              <w:t>52</w:t>
            </w:r>
            <w:r w:rsidR="00D7157D">
              <w:t>.</w:t>
            </w:r>
            <w:r w:rsidRPr="00295986">
              <w:t>6640</w:t>
            </w:r>
          </w:p>
        </w:tc>
        <w:tc>
          <w:tcPr>
            <w:tcW w:w="966" w:type="pct"/>
            <w:tcBorders>
              <w:top w:val="single" w:sz="4" w:space="0" w:color="auto"/>
              <w:bottom w:val="single" w:sz="4" w:space="0" w:color="auto"/>
            </w:tcBorders>
            <w:vAlign w:val="bottom"/>
          </w:tcPr>
          <w:p w14:paraId="1B28BD94" w14:textId="77777777" w:rsidR="00D3430B" w:rsidRPr="000F120F" w:rsidRDefault="00D3430B" w:rsidP="00F36942">
            <w:pPr>
              <w:pStyle w:val="Tabletext"/>
              <w:rPr>
                <w:snapToGrid w:val="0"/>
              </w:rPr>
            </w:pPr>
            <w:r w:rsidRPr="00295986">
              <w:t>1</w:t>
            </w:r>
            <w:r w:rsidR="00D7157D">
              <w:t>.</w:t>
            </w:r>
            <w:r w:rsidRPr="00295986">
              <w:t>2416</w:t>
            </w:r>
          </w:p>
        </w:tc>
      </w:tr>
      <w:tr w:rsidR="00D3430B" w:rsidRPr="009E2595" w14:paraId="10EA1EE1" w14:textId="77777777" w:rsidTr="00F36942">
        <w:trPr>
          <w:cantSplit/>
        </w:trPr>
        <w:tc>
          <w:tcPr>
            <w:tcW w:w="1136" w:type="pct"/>
            <w:tcBorders>
              <w:top w:val="single" w:sz="4" w:space="0" w:color="auto"/>
              <w:bottom w:val="single" w:sz="4" w:space="0" w:color="auto"/>
            </w:tcBorders>
          </w:tcPr>
          <w:p w14:paraId="11A9B04A" w14:textId="77777777" w:rsidR="00D3430B" w:rsidRPr="00616B26" w:rsidRDefault="00D3430B" w:rsidP="00F36942">
            <w:pPr>
              <w:pStyle w:val="Tabletext"/>
              <w:rPr>
                <w:snapToGrid w:val="0"/>
              </w:rPr>
            </w:pPr>
            <w:r w:rsidRPr="00616B26">
              <w:rPr>
                <w:snapToGrid w:val="0"/>
              </w:rPr>
              <w:t>20</w:t>
            </w:r>
          </w:p>
        </w:tc>
        <w:tc>
          <w:tcPr>
            <w:tcW w:w="966" w:type="pct"/>
            <w:tcBorders>
              <w:top w:val="single" w:sz="4" w:space="0" w:color="auto"/>
              <w:bottom w:val="single" w:sz="4" w:space="0" w:color="auto"/>
            </w:tcBorders>
            <w:vAlign w:val="bottom"/>
          </w:tcPr>
          <w:p w14:paraId="35DCB4BD" w14:textId="77777777" w:rsidR="00D3430B" w:rsidRPr="000F120F" w:rsidRDefault="00D3430B" w:rsidP="00F36942">
            <w:pPr>
              <w:pStyle w:val="Tabletext"/>
              <w:rPr>
                <w:snapToGrid w:val="0"/>
              </w:rPr>
            </w:pPr>
            <w:r w:rsidRPr="00295986">
              <w:t>50</w:t>
            </w:r>
            <w:r w:rsidR="00D7157D">
              <w:t>.</w:t>
            </w:r>
            <w:r w:rsidRPr="00295986">
              <w:t>6031</w:t>
            </w:r>
          </w:p>
        </w:tc>
        <w:tc>
          <w:tcPr>
            <w:tcW w:w="966" w:type="pct"/>
            <w:tcBorders>
              <w:top w:val="single" w:sz="4" w:space="0" w:color="auto"/>
              <w:bottom w:val="single" w:sz="4" w:space="0" w:color="auto"/>
            </w:tcBorders>
            <w:vAlign w:val="bottom"/>
          </w:tcPr>
          <w:p w14:paraId="6F0E96CA" w14:textId="77777777" w:rsidR="00D3430B" w:rsidRPr="000F120F" w:rsidRDefault="00D3430B" w:rsidP="00F36942">
            <w:pPr>
              <w:pStyle w:val="Tabletext"/>
              <w:rPr>
                <w:snapToGrid w:val="0"/>
              </w:rPr>
            </w:pPr>
            <w:r w:rsidRPr="00295986">
              <w:t>3</w:t>
            </w:r>
            <w:r w:rsidR="00D7157D">
              <w:t>.</w:t>
            </w:r>
            <w:r w:rsidRPr="00295986">
              <w:t>1482</w:t>
            </w:r>
          </w:p>
        </w:tc>
        <w:tc>
          <w:tcPr>
            <w:tcW w:w="966" w:type="pct"/>
            <w:tcBorders>
              <w:top w:val="single" w:sz="4" w:space="0" w:color="auto"/>
              <w:bottom w:val="single" w:sz="4" w:space="0" w:color="auto"/>
            </w:tcBorders>
            <w:vAlign w:val="bottom"/>
          </w:tcPr>
          <w:p w14:paraId="1DBBC550" w14:textId="77777777" w:rsidR="00D3430B" w:rsidRPr="000F120F" w:rsidRDefault="00D3430B" w:rsidP="00F36942">
            <w:pPr>
              <w:pStyle w:val="Tabletext"/>
              <w:rPr>
                <w:snapToGrid w:val="0"/>
              </w:rPr>
            </w:pPr>
            <w:r w:rsidRPr="00295986">
              <w:t>52</w:t>
            </w:r>
            <w:r w:rsidR="00D7157D">
              <w:t>.</w:t>
            </w:r>
            <w:r w:rsidRPr="00295986">
              <w:t>1368</w:t>
            </w:r>
          </w:p>
        </w:tc>
        <w:tc>
          <w:tcPr>
            <w:tcW w:w="966" w:type="pct"/>
            <w:tcBorders>
              <w:top w:val="single" w:sz="4" w:space="0" w:color="auto"/>
              <w:bottom w:val="single" w:sz="4" w:space="0" w:color="auto"/>
            </w:tcBorders>
            <w:vAlign w:val="bottom"/>
          </w:tcPr>
          <w:p w14:paraId="478D4057" w14:textId="77777777" w:rsidR="00D3430B" w:rsidRPr="000F120F" w:rsidRDefault="00D3430B" w:rsidP="00F36942">
            <w:pPr>
              <w:pStyle w:val="Tabletext"/>
              <w:rPr>
                <w:snapToGrid w:val="0"/>
              </w:rPr>
            </w:pPr>
            <w:r w:rsidRPr="00295986">
              <w:t>1</w:t>
            </w:r>
            <w:r w:rsidR="00D7157D">
              <w:t>.</w:t>
            </w:r>
            <w:r w:rsidRPr="00295986">
              <w:t>2564</w:t>
            </w:r>
          </w:p>
        </w:tc>
      </w:tr>
      <w:tr w:rsidR="00D3430B" w:rsidRPr="009E2595" w14:paraId="65DA9E3A" w14:textId="77777777" w:rsidTr="00F36942">
        <w:trPr>
          <w:cantSplit/>
        </w:trPr>
        <w:tc>
          <w:tcPr>
            <w:tcW w:w="1136" w:type="pct"/>
            <w:tcBorders>
              <w:top w:val="single" w:sz="4" w:space="0" w:color="auto"/>
              <w:bottom w:val="single" w:sz="4" w:space="0" w:color="auto"/>
            </w:tcBorders>
          </w:tcPr>
          <w:p w14:paraId="00AF45FB" w14:textId="77777777" w:rsidR="00D3430B" w:rsidRPr="00616B26" w:rsidRDefault="00D3430B" w:rsidP="00F36942">
            <w:pPr>
              <w:pStyle w:val="Tabletext"/>
              <w:rPr>
                <w:snapToGrid w:val="0"/>
              </w:rPr>
            </w:pPr>
            <w:r w:rsidRPr="00616B26">
              <w:rPr>
                <w:snapToGrid w:val="0"/>
              </w:rPr>
              <w:t>21</w:t>
            </w:r>
          </w:p>
        </w:tc>
        <w:tc>
          <w:tcPr>
            <w:tcW w:w="966" w:type="pct"/>
            <w:tcBorders>
              <w:top w:val="single" w:sz="4" w:space="0" w:color="auto"/>
              <w:bottom w:val="single" w:sz="4" w:space="0" w:color="auto"/>
            </w:tcBorders>
            <w:vAlign w:val="bottom"/>
          </w:tcPr>
          <w:p w14:paraId="5F1C500D" w14:textId="77777777" w:rsidR="00D3430B" w:rsidRPr="000F120F" w:rsidRDefault="00D3430B" w:rsidP="00F36942">
            <w:pPr>
              <w:pStyle w:val="Tabletext"/>
              <w:rPr>
                <w:snapToGrid w:val="0"/>
              </w:rPr>
            </w:pPr>
            <w:r w:rsidRPr="00295986">
              <w:t>50</w:t>
            </w:r>
            <w:r w:rsidR="00D7157D">
              <w:t>.</w:t>
            </w:r>
            <w:r w:rsidRPr="00295986">
              <w:t>0585</w:t>
            </w:r>
          </w:p>
        </w:tc>
        <w:tc>
          <w:tcPr>
            <w:tcW w:w="966" w:type="pct"/>
            <w:tcBorders>
              <w:top w:val="single" w:sz="4" w:space="0" w:color="auto"/>
              <w:bottom w:val="single" w:sz="4" w:space="0" w:color="auto"/>
            </w:tcBorders>
            <w:vAlign w:val="bottom"/>
          </w:tcPr>
          <w:p w14:paraId="5C37E075" w14:textId="77777777" w:rsidR="00D3430B" w:rsidRPr="000F120F" w:rsidRDefault="00D3430B" w:rsidP="00F36942">
            <w:pPr>
              <w:pStyle w:val="Tabletext"/>
              <w:rPr>
                <w:snapToGrid w:val="0"/>
              </w:rPr>
            </w:pPr>
            <w:r w:rsidRPr="00295986">
              <w:t>3</w:t>
            </w:r>
            <w:r w:rsidR="00D7157D">
              <w:t>.</w:t>
            </w:r>
            <w:r w:rsidRPr="00295986">
              <w:t>1813</w:t>
            </w:r>
          </w:p>
        </w:tc>
        <w:tc>
          <w:tcPr>
            <w:tcW w:w="966" w:type="pct"/>
            <w:tcBorders>
              <w:top w:val="single" w:sz="4" w:space="0" w:color="auto"/>
              <w:bottom w:val="single" w:sz="4" w:space="0" w:color="auto"/>
            </w:tcBorders>
            <w:vAlign w:val="bottom"/>
          </w:tcPr>
          <w:p w14:paraId="66AAD6B9" w14:textId="77777777" w:rsidR="00D3430B" w:rsidRPr="000F120F" w:rsidRDefault="00D3430B" w:rsidP="00F36942">
            <w:pPr>
              <w:pStyle w:val="Tabletext"/>
              <w:rPr>
                <w:snapToGrid w:val="0"/>
              </w:rPr>
            </w:pPr>
            <w:r w:rsidRPr="00295986">
              <w:t>51</w:t>
            </w:r>
            <w:r w:rsidR="00D7157D">
              <w:t>.</w:t>
            </w:r>
            <w:r w:rsidRPr="00295986">
              <w:t>6041</w:t>
            </w:r>
          </w:p>
        </w:tc>
        <w:tc>
          <w:tcPr>
            <w:tcW w:w="966" w:type="pct"/>
            <w:tcBorders>
              <w:top w:val="single" w:sz="4" w:space="0" w:color="auto"/>
              <w:bottom w:val="single" w:sz="4" w:space="0" w:color="auto"/>
            </w:tcBorders>
            <w:vAlign w:val="bottom"/>
          </w:tcPr>
          <w:p w14:paraId="42FC5877" w14:textId="77777777" w:rsidR="00D3430B" w:rsidRPr="000F120F" w:rsidRDefault="00D3430B" w:rsidP="00F36942">
            <w:pPr>
              <w:pStyle w:val="Tabletext"/>
              <w:rPr>
                <w:snapToGrid w:val="0"/>
              </w:rPr>
            </w:pPr>
            <w:r w:rsidRPr="00295986">
              <w:t>1</w:t>
            </w:r>
            <w:r w:rsidR="00D7157D">
              <w:t>.</w:t>
            </w:r>
            <w:r w:rsidRPr="00295986">
              <w:t>2714</w:t>
            </w:r>
          </w:p>
        </w:tc>
      </w:tr>
      <w:tr w:rsidR="00D3430B" w:rsidRPr="009E2595" w14:paraId="2EB566C7" w14:textId="77777777" w:rsidTr="00F36942">
        <w:trPr>
          <w:cantSplit/>
        </w:trPr>
        <w:tc>
          <w:tcPr>
            <w:tcW w:w="1136" w:type="pct"/>
            <w:tcBorders>
              <w:top w:val="single" w:sz="4" w:space="0" w:color="auto"/>
              <w:bottom w:val="single" w:sz="4" w:space="0" w:color="auto"/>
            </w:tcBorders>
          </w:tcPr>
          <w:p w14:paraId="0EF4FE7A" w14:textId="77777777" w:rsidR="00D3430B" w:rsidRPr="00616B26" w:rsidRDefault="00D3430B" w:rsidP="00F36942">
            <w:pPr>
              <w:pStyle w:val="Tabletext"/>
              <w:rPr>
                <w:snapToGrid w:val="0"/>
              </w:rPr>
            </w:pPr>
            <w:r w:rsidRPr="00616B26">
              <w:rPr>
                <w:snapToGrid w:val="0"/>
              </w:rPr>
              <w:t>22</w:t>
            </w:r>
          </w:p>
        </w:tc>
        <w:tc>
          <w:tcPr>
            <w:tcW w:w="966" w:type="pct"/>
            <w:tcBorders>
              <w:top w:val="single" w:sz="4" w:space="0" w:color="auto"/>
              <w:bottom w:val="single" w:sz="4" w:space="0" w:color="auto"/>
            </w:tcBorders>
            <w:vAlign w:val="bottom"/>
          </w:tcPr>
          <w:p w14:paraId="67D334E8" w14:textId="77777777" w:rsidR="00D3430B" w:rsidRPr="000F120F" w:rsidRDefault="00D3430B" w:rsidP="00F36942">
            <w:pPr>
              <w:pStyle w:val="Tabletext"/>
              <w:rPr>
                <w:snapToGrid w:val="0"/>
              </w:rPr>
            </w:pPr>
            <w:r w:rsidRPr="00295986">
              <w:t>49</w:t>
            </w:r>
            <w:r w:rsidR="00D7157D">
              <w:t>.</w:t>
            </w:r>
            <w:r w:rsidRPr="00295986">
              <w:t>5088</w:t>
            </w:r>
          </w:p>
        </w:tc>
        <w:tc>
          <w:tcPr>
            <w:tcW w:w="966" w:type="pct"/>
            <w:tcBorders>
              <w:top w:val="single" w:sz="4" w:space="0" w:color="auto"/>
              <w:bottom w:val="single" w:sz="4" w:space="0" w:color="auto"/>
            </w:tcBorders>
            <w:vAlign w:val="bottom"/>
          </w:tcPr>
          <w:p w14:paraId="2CA19707" w14:textId="77777777" w:rsidR="00D3430B" w:rsidRPr="000F120F" w:rsidRDefault="00D3430B" w:rsidP="00F36942">
            <w:pPr>
              <w:pStyle w:val="Tabletext"/>
              <w:rPr>
                <w:snapToGrid w:val="0"/>
              </w:rPr>
            </w:pPr>
            <w:r w:rsidRPr="00295986">
              <w:t>3</w:t>
            </w:r>
            <w:r w:rsidR="00D7157D">
              <w:t>.</w:t>
            </w:r>
            <w:r w:rsidRPr="00295986">
              <w:t>2146</w:t>
            </w:r>
          </w:p>
        </w:tc>
        <w:tc>
          <w:tcPr>
            <w:tcW w:w="966" w:type="pct"/>
            <w:tcBorders>
              <w:top w:val="single" w:sz="4" w:space="0" w:color="auto"/>
              <w:bottom w:val="single" w:sz="4" w:space="0" w:color="auto"/>
            </w:tcBorders>
            <w:vAlign w:val="bottom"/>
          </w:tcPr>
          <w:p w14:paraId="4E2BACDA" w14:textId="77777777" w:rsidR="00D3430B" w:rsidRPr="000F120F" w:rsidRDefault="00D3430B" w:rsidP="00F36942">
            <w:pPr>
              <w:pStyle w:val="Tabletext"/>
              <w:rPr>
                <w:snapToGrid w:val="0"/>
              </w:rPr>
            </w:pPr>
            <w:r w:rsidRPr="00295986">
              <w:t>51</w:t>
            </w:r>
            <w:r w:rsidR="00D7157D">
              <w:t>.</w:t>
            </w:r>
            <w:r w:rsidRPr="00295986">
              <w:t>0659</w:t>
            </w:r>
          </w:p>
        </w:tc>
        <w:tc>
          <w:tcPr>
            <w:tcW w:w="966" w:type="pct"/>
            <w:tcBorders>
              <w:top w:val="single" w:sz="4" w:space="0" w:color="auto"/>
              <w:bottom w:val="single" w:sz="4" w:space="0" w:color="auto"/>
            </w:tcBorders>
            <w:vAlign w:val="bottom"/>
          </w:tcPr>
          <w:p w14:paraId="7C9301B5" w14:textId="77777777" w:rsidR="00D3430B" w:rsidRPr="000F120F" w:rsidRDefault="00D3430B" w:rsidP="00F36942">
            <w:pPr>
              <w:pStyle w:val="Tabletext"/>
              <w:rPr>
                <w:snapToGrid w:val="0"/>
              </w:rPr>
            </w:pPr>
            <w:r w:rsidRPr="00295986">
              <w:t>1</w:t>
            </w:r>
            <w:r w:rsidR="00D7157D">
              <w:t>.</w:t>
            </w:r>
            <w:r w:rsidRPr="00295986">
              <w:t>2866</w:t>
            </w:r>
          </w:p>
        </w:tc>
      </w:tr>
      <w:tr w:rsidR="00D3430B" w:rsidRPr="009E2595" w14:paraId="7458E2D0" w14:textId="77777777" w:rsidTr="00F36942">
        <w:trPr>
          <w:cantSplit/>
        </w:trPr>
        <w:tc>
          <w:tcPr>
            <w:tcW w:w="1136" w:type="pct"/>
            <w:tcBorders>
              <w:top w:val="single" w:sz="4" w:space="0" w:color="auto"/>
              <w:bottom w:val="single" w:sz="4" w:space="0" w:color="auto"/>
            </w:tcBorders>
          </w:tcPr>
          <w:p w14:paraId="0034BB09" w14:textId="77777777" w:rsidR="00D3430B" w:rsidRPr="00616B26" w:rsidRDefault="00D3430B" w:rsidP="00F36942">
            <w:pPr>
              <w:pStyle w:val="Tabletext"/>
              <w:rPr>
                <w:snapToGrid w:val="0"/>
              </w:rPr>
            </w:pPr>
            <w:r w:rsidRPr="00616B26">
              <w:rPr>
                <w:snapToGrid w:val="0"/>
              </w:rPr>
              <w:t>23</w:t>
            </w:r>
          </w:p>
        </w:tc>
        <w:tc>
          <w:tcPr>
            <w:tcW w:w="966" w:type="pct"/>
            <w:tcBorders>
              <w:top w:val="single" w:sz="4" w:space="0" w:color="auto"/>
              <w:bottom w:val="single" w:sz="4" w:space="0" w:color="auto"/>
            </w:tcBorders>
            <w:vAlign w:val="bottom"/>
          </w:tcPr>
          <w:p w14:paraId="01F7FA7A" w14:textId="77777777" w:rsidR="00D3430B" w:rsidRPr="000F120F" w:rsidRDefault="00D3430B" w:rsidP="00F36942">
            <w:pPr>
              <w:pStyle w:val="Tabletext"/>
              <w:rPr>
                <w:snapToGrid w:val="0"/>
              </w:rPr>
            </w:pPr>
            <w:r w:rsidRPr="00295986">
              <w:t>48</w:t>
            </w:r>
            <w:r w:rsidR="00D7157D">
              <w:t>.</w:t>
            </w:r>
            <w:r w:rsidRPr="00295986">
              <w:t>9538</w:t>
            </w:r>
          </w:p>
        </w:tc>
        <w:tc>
          <w:tcPr>
            <w:tcW w:w="966" w:type="pct"/>
            <w:tcBorders>
              <w:top w:val="single" w:sz="4" w:space="0" w:color="auto"/>
              <w:bottom w:val="single" w:sz="4" w:space="0" w:color="auto"/>
            </w:tcBorders>
            <w:vAlign w:val="bottom"/>
          </w:tcPr>
          <w:p w14:paraId="2150C243" w14:textId="77777777" w:rsidR="00D3430B" w:rsidRPr="000F120F" w:rsidRDefault="00D3430B" w:rsidP="00F36942">
            <w:pPr>
              <w:pStyle w:val="Tabletext"/>
              <w:rPr>
                <w:snapToGrid w:val="0"/>
              </w:rPr>
            </w:pPr>
            <w:r w:rsidRPr="00295986">
              <w:t>3</w:t>
            </w:r>
            <w:r w:rsidR="00D7157D">
              <w:t>.</w:t>
            </w:r>
            <w:r w:rsidRPr="00295986">
              <w:t>2481</w:t>
            </w:r>
          </w:p>
        </w:tc>
        <w:tc>
          <w:tcPr>
            <w:tcW w:w="966" w:type="pct"/>
            <w:tcBorders>
              <w:top w:val="single" w:sz="4" w:space="0" w:color="auto"/>
              <w:bottom w:val="single" w:sz="4" w:space="0" w:color="auto"/>
            </w:tcBorders>
            <w:vAlign w:val="bottom"/>
          </w:tcPr>
          <w:p w14:paraId="32393F13" w14:textId="77777777" w:rsidR="00D3430B" w:rsidRPr="000F120F" w:rsidRDefault="00D3430B" w:rsidP="00F36942">
            <w:pPr>
              <w:pStyle w:val="Tabletext"/>
              <w:rPr>
                <w:snapToGrid w:val="0"/>
              </w:rPr>
            </w:pPr>
            <w:r w:rsidRPr="00295986">
              <w:t>50</w:t>
            </w:r>
            <w:r w:rsidR="00D7157D">
              <w:t>.</w:t>
            </w:r>
            <w:r w:rsidRPr="00295986">
              <w:t>5221</w:t>
            </w:r>
          </w:p>
        </w:tc>
        <w:tc>
          <w:tcPr>
            <w:tcW w:w="966" w:type="pct"/>
            <w:tcBorders>
              <w:top w:val="single" w:sz="4" w:space="0" w:color="auto"/>
              <w:bottom w:val="single" w:sz="4" w:space="0" w:color="auto"/>
            </w:tcBorders>
            <w:vAlign w:val="bottom"/>
          </w:tcPr>
          <w:p w14:paraId="59357F13" w14:textId="77777777" w:rsidR="00D3430B" w:rsidRPr="000F120F" w:rsidRDefault="00D3430B" w:rsidP="00F36942">
            <w:pPr>
              <w:pStyle w:val="Tabletext"/>
              <w:rPr>
                <w:snapToGrid w:val="0"/>
              </w:rPr>
            </w:pPr>
            <w:r w:rsidRPr="00295986">
              <w:t>1</w:t>
            </w:r>
            <w:r w:rsidR="00D7157D">
              <w:t>.</w:t>
            </w:r>
            <w:r w:rsidRPr="00295986">
              <w:t>3020</w:t>
            </w:r>
          </w:p>
        </w:tc>
      </w:tr>
      <w:tr w:rsidR="00D3430B" w:rsidRPr="009E2595" w14:paraId="7893D009" w14:textId="77777777" w:rsidTr="00F36942">
        <w:trPr>
          <w:cantSplit/>
        </w:trPr>
        <w:tc>
          <w:tcPr>
            <w:tcW w:w="1136" w:type="pct"/>
            <w:tcBorders>
              <w:top w:val="single" w:sz="4" w:space="0" w:color="auto"/>
              <w:bottom w:val="single" w:sz="4" w:space="0" w:color="auto"/>
            </w:tcBorders>
          </w:tcPr>
          <w:p w14:paraId="11024518" w14:textId="77777777" w:rsidR="00D3430B" w:rsidRPr="00616B26" w:rsidRDefault="00D3430B" w:rsidP="00F36942">
            <w:pPr>
              <w:pStyle w:val="Tabletext"/>
              <w:rPr>
                <w:snapToGrid w:val="0"/>
              </w:rPr>
            </w:pPr>
            <w:r w:rsidRPr="00616B26">
              <w:rPr>
                <w:snapToGrid w:val="0"/>
              </w:rPr>
              <w:t>24</w:t>
            </w:r>
          </w:p>
        </w:tc>
        <w:tc>
          <w:tcPr>
            <w:tcW w:w="966" w:type="pct"/>
            <w:tcBorders>
              <w:top w:val="single" w:sz="4" w:space="0" w:color="auto"/>
              <w:bottom w:val="single" w:sz="4" w:space="0" w:color="auto"/>
            </w:tcBorders>
            <w:vAlign w:val="bottom"/>
          </w:tcPr>
          <w:p w14:paraId="1F216331" w14:textId="77777777" w:rsidR="00D3430B" w:rsidRPr="000F120F" w:rsidRDefault="00D3430B" w:rsidP="00F36942">
            <w:pPr>
              <w:pStyle w:val="Tabletext"/>
              <w:rPr>
                <w:snapToGrid w:val="0"/>
              </w:rPr>
            </w:pPr>
            <w:r w:rsidRPr="00295986">
              <w:t>48</w:t>
            </w:r>
            <w:r w:rsidR="00D7157D">
              <w:t>.</w:t>
            </w:r>
            <w:r w:rsidRPr="00295986">
              <w:t>3935</w:t>
            </w:r>
          </w:p>
        </w:tc>
        <w:tc>
          <w:tcPr>
            <w:tcW w:w="966" w:type="pct"/>
            <w:tcBorders>
              <w:top w:val="single" w:sz="4" w:space="0" w:color="auto"/>
              <w:bottom w:val="single" w:sz="4" w:space="0" w:color="auto"/>
            </w:tcBorders>
            <w:vAlign w:val="bottom"/>
          </w:tcPr>
          <w:p w14:paraId="5EE70E7D" w14:textId="77777777" w:rsidR="00D3430B" w:rsidRPr="000F120F" w:rsidRDefault="00D3430B" w:rsidP="00F36942">
            <w:pPr>
              <w:pStyle w:val="Tabletext"/>
              <w:rPr>
                <w:snapToGrid w:val="0"/>
              </w:rPr>
            </w:pPr>
            <w:r w:rsidRPr="00295986">
              <w:t>3</w:t>
            </w:r>
            <w:r w:rsidR="00D7157D">
              <w:t>.</w:t>
            </w:r>
            <w:r w:rsidRPr="00295986">
              <w:t>2818</w:t>
            </w:r>
          </w:p>
        </w:tc>
        <w:tc>
          <w:tcPr>
            <w:tcW w:w="966" w:type="pct"/>
            <w:tcBorders>
              <w:top w:val="single" w:sz="4" w:space="0" w:color="auto"/>
              <w:bottom w:val="single" w:sz="4" w:space="0" w:color="auto"/>
            </w:tcBorders>
            <w:vAlign w:val="bottom"/>
          </w:tcPr>
          <w:p w14:paraId="6123BA62" w14:textId="77777777" w:rsidR="00D3430B" w:rsidRPr="000F120F" w:rsidRDefault="00D3430B" w:rsidP="00F36942">
            <w:pPr>
              <w:pStyle w:val="Tabletext"/>
              <w:rPr>
                <w:snapToGrid w:val="0"/>
              </w:rPr>
            </w:pPr>
            <w:r w:rsidRPr="00295986">
              <w:t>49</w:t>
            </w:r>
            <w:r w:rsidR="00D7157D">
              <w:t>.</w:t>
            </w:r>
            <w:r w:rsidRPr="00295986">
              <w:t>9726</w:t>
            </w:r>
          </w:p>
        </w:tc>
        <w:tc>
          <w:tcPr>
            <w:tcW w:w="966" w:type="pct"/>
            <w:tcBorders>
              <w:top w:val="single" w:sz="4" w:space="0" w:color="auto"/>
              <w:bottom w:val="single" w:sz="4" w:space="0" w:color="auto"/>
            </w:tcBorders>
            <w:vAlign w:val="bottom"/>
          </w:tcPr>
          <w:p w14:paraId="32B22DCD" w14:textId="77777777" w:rsidR="00D3430B" w:rsidRPr="000F120F" w:rsidRDefault="00D3430B" w:rsidP="00F36942">
            <w:pPr>
              <w:pStyle w:val="Tabletext"/>
              <w:rPr>
                <w:snapToGrid w:val="0"/>
              </w:rPr>
            </w:pPr>
            <w:r w:rsidRPr="00295986">
              <w:t>1</w:t>
            </w:r>
            <w:r w:rsidR="00D7157D">
              <w:t>.</w:t>
            </w:r>
            <w:r w:rsidRPr="00295986">
              <w:t>3177</w:t>
            </w:r>
          </w:p>
        </w:tc>
      </w:tr>
      <w:tr w:rsidR="00D3430B" w:rsidRPr="009E2595" w14:paraId="2DC67993" w14:textId="77777777" w:rsidTr="00F36942">
        <w:trPr>
          <w:cantSplit/>
        </w:trPr>
        <w:tc>
          <w:tcPr>
            <w:tcW w:w="1136" w:type="pct"/>
            <w:tcBorders>
              <w:top w:val="single" w:sz="4" w:space="0" w:color="auto"/>
              <w:bottom w:val="single" w:sz="4" w:space="0" w:color="auto"/>
            </w:tcBorders>
          </w:tcPr>
          <w:p w14:paraId="59A0DCCF" w14:textId="77777777" w:rsidR="00D3430B" w:rsidRPr="00616B26" w:rsidRDefault="00D3430B" w:rsidP="00F36942">
            <w:pPr>
              <w:pStyle w:val="Tabletext"/>
              <w:rPr>
                <w:snapToGrid w:val="0"/>
              </w:rPr>
            </w:pPr>
            <w:r w:rsidRPr="00616B26">
              <w:rPr>
                <w:snapToGrid w:val="0"/>
              </w:rPr>
              <w:t>25</w:t>
            </w:r>
          </w:p>
        </w:tc>
        <w:tc>
          <w:tcPr>
            <w:tcW w:w="966" w:type="pct"/>
            <w:tcBorders>
              <w:top w:val="single" w:sz="4" w:space="0" w:color="auto"/>
              <w:bottom w:val="single" w:sz="4" w:space="0" w:color="auto"/>
            </w:tcBorders>
            <w:vAlign w:val="bottom"/>
          </w:tcPr>
          <w:p w14:paraId="0B43CEA3" w14:textId="77777777" w:rsidR="00D3430B" w:rsidRPr="000F120F" w:rsidRDefault="00D3430B" w:rsidP="00F36942">
            <w:pPr>
              <w:pStyle w:val="Tabletext"/>
              <w:rPr>
                <w:snapToGrid w:val="0"/>
              </w:rPr>
            </w:pPr>
            <w:r w:rsidRPr="00295986">
              <w:t>47</w:t>
            </w:r>
            <w:r w:rsidR="00D7157D">
              <w:t>.</w:t>
            </w:r>
            <w:r w:rsidRPr="00295986">
              <w:t>8279</w:t>
            </w:r>
          </w:p>
        </w:tc>
        <w:tc>
          <w:tcPr>
            <w:tcW w:w="966" w:type="pct"/>
            <w:tcBorders>
              <w:top w:val="single" w:sz="4" w:space="0" w:color="auto"/>
              <w:bottom w:val="single" w:sz="4" w:space="0" w:color="auto"/>
            </w:tcBorders>
            <w:vAlign w:val="bottom"/>
          </w:tcPr>
          <w:p w14:paraId="435B0A19" w14:textId="77777777" w:rsidR="00D3430B" w:rsidRPr="000F120F" w:rsidRDefault="00D3430B" w:rsidP="00F36942">
            <w:pPr>
              <w:pStyle w:val="Tabletext"/>
              <w:rPr>
                <w:snapToGrid w:val="0"/>
              </w:rPr>
            </w:pPr>
            <w:r w:rsidRPr="00295986">
              <w:t>3</w:t>
            </w:r>
            <w:r w:rsidR="00D7157D">
              <w:t>.</w:t>
            </w:r>
            <w:r w:rsidRPr="00295986">
              <w:t>3157</w:t>
            </w:r>
          </w:p>
        </w:tc>
        <w:tc>
          <w:tcPr>
            <w:tcW w:w="966" w:type="pct"/>
            <w:tcBorders>
              <w:top w:val="single" w:sz="4" w:space="0" w:color="auto"/>
              <w:bottom w:val="single" w:sz="4" w:space="0" w:color="auto"/>
            </w:tcBorders>
            <w:vAlign w:val="bottom"/>
          </w:tcPr>
          <w:p w14:paraId="169F347B" w14:textId="77777777" w:rsidR="00D3430B" w:rsidRPr="000F120F" w:rsidRDefault="00D3430B" w:rsidP="00F36942">
            <w:pPr>
              <w:pStyle w:val="Tabletext"/>
              <w:rPr>
                <w:snapToGrid w:val="0"/>
              </w:rPr>
            </w:pPr>
            <w:r w:rsidRPr="00295986">
              <w:t>49</w:t>
            </w:r>
            <w:r w:rsidR="00D7157D">
              <w:t>.</w:t>
            </w:r>
            <w:r w:rsidRPr="00295986">
              <w:t>4180</w:t>
            </w:r>
          </w:p>
        </w:tc>
        <w:tc>
          <w:tcPr>
            <w:tcW w:w="966" w:type="pct"/>
            <w:tcBorders>
              <w:top w:val="single" w:sz="4" w:space="0" w:color="auto"/>
              <w:bottom w:val="single" w:sz="4" w:space="0" w:color="auto"/>
            </w:tcBorders>
            <w:vAlign w:val="bottom"/>
          </w:tcPr>
          <w:p w14:paraId="74AD0C86" w14:textId="77777777" w:rsidR="00D3430B" w:rsidRPr="000F120F" w:rsidRDefault="00D3430B" w:rsidP="00F36942">
            <w:pPr>
              <w:pStyle w:val="Tabletext"/>
              <w:rPr>
                <w:snapToGrid w:val="0"/>
              </w:rPr>
            </w:pPr>
            <w:r w:rsidRPr="00295986">
              <w:t>1</w:t>
            </w:r>
            <w:r w:rsidR="00D7157D">
              <w:t>.</w:t>
            </w:r>
            <w:r w:rsidRPr="00295986">
              <w:t>3334</w:t>
            </w:r>
          </w:p>
        </w:tc>
      </w:tr>
      <w:tr w:rsidR="00D3430B" w:rsidRPr="009E2595" w14:paraId="2B230324" w14:textId="77777777" w:rsidTr="00F36942">
        <w:trPr>
          <w:cantSplit/>
        </w:trPr>
        <w:tc>
          <w:tcPr>
            <w:tcW w:w="1136" w:type="pct"/>
            <w:tcBorders>
              <w:top w:val="single" w:sz="4" w:space="0" w:color="auto"/>
              <w:bottom w:val="single" w:sz="4" w:space="0" w:color="auto"/>
            </w:tcBorders>
          </w:tcPr>
          <w:p w14:paraId="3232D0D9" w14:textId="77777777" w:rsidR="00D3430B" w:rsidRPr="00616B26" w:rsidRDefault="00D3430B" w:rsidP="00F36942">
            <w:pPr>
              <w:pStyle w:val="Tabletext"/>
              <w:rPr>
                <w:snapToGrid w:val="0"/>
              </w:rPr>
            </w:pPr>
            <w:r w:rsidRPr="00616B26">
              <w:rPr>
                <w:snapToGrid w:val="0"/>
              </w:rPr>
              <w:t>26</w:t>
            </w:r>
          </w:p>
        </w:tc>
        <w:tc>
          <w:tcPr>
            <w:tcW w:w="966" w:type="pct"/>
            <w:tcBorders>
              <w:top w:val="single" w:sz="4" w:space="0" w:color="auto"/>
              <w:bottom w:val="single" w:sz="4" w:space="0" w:color="auto"/>
            </w:tcBorders>
            <w:vAlign w:val="bottom"/>
          </w:tcPr>
          <w:p w14:paraId="6282E381" w14:textId="77777777" w:rsidR="00D3430B" w:rsidRPr="000F120F" w:rsidRDefault="00D3430B" w:rsidP="00F36942">
            <w:pPr>
              <w:pStyle w:val="Tabletext"/>
              <w:rPr>
                <w:snapToGrid w:val="0"/>
              </w:rPr>
            </w:pPr>
            <w:r w:rsidRPr="00295986">
              <w:t>47</w:t>
            </w:r>
            <w:r w:rsidR="00D7157D">
              <w:t>.</w:t>
            </w:r>
            <w:r w:rsidRPr="00295986">
              <w:t>2568</w:t>
            </w:r>
          </w:p>
        </w:tc>
        <w:tc>
          <w:tcPr>
            <w:tcW w:w="966" w:type="pct"/>
            <w:tcBorders>
              <w:top w:val="single" w:sz="4" w:space="0" w:color="auto"/>
              <w:bottom w:val="single" w:sz="4" w:space="0" w:color="auto"/>
            </w:tcBorders>
            <w:vAlign w:val="bottom"/>
          </w:tcPr>
          <w:p w14:paraId="525EC16D" w14:textId="77777777" w:rsidR="00D3430B" w:rsidRPr="000F120F" w:rsidRDefault="00D3430B" w:rsidP="00F36942">
            <w:pPr>
              <w:pStyle w:val="Tabletext"/>
              <w:rPr>
                <w:snapToGrid w:val="0"/>
              </w:rPr>
            </w:pPr>
            <w:r w:rsidRPr="00295986">
              <w:t>3</w:t>
            </w:r>
            <w:r w:rsidR="00D7157D">
              <w:t>.</w:t>
            </w:r>
            <w:r w:rsidRPr="00295986">
              <w:t>3497</w:t>
            </w:r>
          </w:p>
        </w:tc>
        <w:tc>
          <w:tcPr>
            <w:tcW w:w="966" w:type="pct"/>
            <w:tcBorders>
              <w:top w:val="single" w:sz="4" w:space="0" w:color="auto"/>
              <w:bottom w:val="single" w:sz="4" w:space="0" w:color="auto"/>
            </w:tcBorders>
            <w:vAlign w:val="bottom"/>
          </w:tcPr>
          <w:p w14:paraId="182F4C37" w14:textId="77777777" w:rsidR="00D3430B" w:rsidRPr="000F120F" w:rsidRDefault="00D3430B" w:rsidP="00F36942">
            <w:pPr>
              <w:pStyle w:val="Tabletext"/>
              <w:rPr>
                <w:snapToGrid w:val="0"/>
              </w:rPr>
            </w:pPr>
            <w:r w:rsidRPr="00295986">
              <w:t>48</w:t>
            </w:r>
            <w:r w:rsidR="00D7157D">
              <w:t>.</w:t>
            </w:r>
            <w:r w:rsidRPr="00295986">
              <w:t>8576</w:t>
            </w:r>
          </w:p>
        </w:tc>
        <w:tc>
          <w:tcPr>
            <w:tcW w:w="966" w:type="pct"/>
            <w:tcBorders>
              <w:top w:val="single" w:sz="4" w:space="0" w:color="auto"/>
              <w:bottom w:val="single" w:sz="4" w:space="0" w:color="auto"/>
            </w:tcBorders>
            <w:vAlign w:val="bottom"/>
          </w:tcPr>
          <w:p w14:paraId="698B96BF" w14:textId="77777777" w:rsidR="00D3430B" w:rsidRPr="000F120F" w:rsidRDefault="00D3430B" w:rsidP="00F36942">
            <w:pPr>
              <w:pStyle w:val="Tabletext"/>
              <w:rPr>
                <w:snapToGrid w:val="0"/>
              </w:rPr>
            </w:pPr>
            <w:r w:rsidRPr="00295986">
              <w:t>1</w:t>
            </w:r>
            <w:r w:rsidR="00D7157D">
              <w:t>.</w:t>
            </w:r>
            <w:r w:rsidRPr="00295986">
              <w:t>3493</w:t>
            </w:r>
          </w:p>
        </w:tc>
      </w:tr>
      <w:tr w:rsidR="00D3430B" w:rsidRPr="009E2595" w14:paraId="6621A58B" w14:textId="77777777" w:rsidTr="00F36942">
        <w:trPr>
          <w:cantSplit/>
        </w:trPr>
        <w:tc>
          <w:tcPr>
            <w:tcW w:w="1136" w:type="pct"/>
            <w:tcBorders>
              <w:top w:val="single" w:sz="4" w:space="0" w:color="auto"/>
              <w:bottom w:val="single" w:sz="4" w:space="0" w:color="auto"/>
            </w:tcBorders>
          </w:tcPr>
          <w:p w14:paraId="793C492D" w14:textId="77777777" w:rsidR="00D3430B" w:rsidRPr="00616B26" w:rsidRDefault="00D3430B" w:rsidP="00F36942">
            <w:pPr>
              <w:pStyle w:val="Tabletext"/>
              <w:rPr>
                <w:snapToGrid w:val="0"/>
              </w:rPr>
            </w:pPr>
            <w:r w:rsidRPr="00616B26">
              <w:rPr>
                <w:snapToGrid w:val="0"/>
              </w:rPr>
              <w:t>27</w:t>
            </w:r>
          </w:p>
        </w:tc>
        <w:tc>
          <w:tcPr>
            <w:tcW w:w="966" w:type="pct"/>
            <w:tcBorders>
              <w:top w:val="single" w:sz="4" w:space="0" w:color="auto"/>
              <w:bottom w:val="single" w:sz="4" w:space="0" w:color="auto"/>
            </w:tcBorders>
            <w:vAlign w:val="bottom"/>
          </w:tcPr>
          <w:p w14:paraId="18D04008" w14:textId="77777777" w:rsidR="00D3430B" w:rsidRPr="000F120F" w:rsidRDefault="00D3430B" w:rsidP="00F36942">
            <w:pPr>
              <w:pStyle w:val="Tabletext"/>
              <w:rPr>
                <w:snapToGrid w:val="0"/>
              </w:rPr>
            </w:pPr>
            <w:r w:rsidRPr="00295986">
              <w:t>46</w:t>
            </w:r>
            <w:r w:rsidR="00D7157D">
              <w:t>.</w:t>
            </w:r>
            <w:r w:rsidRPr="00295986">
              <w:t>6802</w:t>
            </w:r>
          </w:p>
        </w:tc>
        <w:tc>
          <w:tcPr>
            <w:tcW w:w="966" w:type="pct"/>
            <w:tcBorders>
              <w:top w:val="single" w:sz="4" w:space="0" w:color="auto"/>
              <w:bottom w:val="single" w:sz="4" w:space="0" w:color="auto"/>
            </w:tcBorders>
            <w:vAlign w:val="bottom"/>
          </w:tcPr>
          <w:p w14:paraId="08352FFA" w14:textId="77777777" w:rsidR="00D3430B" w:rsidRPr="000F120F" w:rsidRDefault="00D3430B" w:rsidP="00F36942">
            <w:pPr>
              <w:pStyle w:val="Tabletext"/>
              <w:rPr>
                <w:snapToGrid w:val="0"/>
              </w:rPr>
            </w:pPr>
            <w:r w:rsidRPr="00295986">
              <w:t>3</w:t>
            </w:r>
            <w:r w:rsidR="00D7157D">
              <w:t>.</w:t>
            </w:r>
            <w:r w:rsidRPr="00295986">
              <w:t>3840</w:t>
            </w:r>
          </w:p>
        </w:tc>
        <w:tc>
          <w:tcPr>
            <w:tcW w:w="966" w:type="pct"/>
            <w:tcBorders>
              <w:top w:val="single" w:sz="4" w:space="0" w:color="auto"/>
              <w:bottom w:val="single" w:sz="4" w:space="0" w:color="auto"/>
            </w:tcBorders>
            <w:vAlign w:val="bottom"/>
          </w:tcPr>
          <w:p w14:paraId="7B7E3EB7" w14:textId="77777777" w:rsidR="00D3430B" w:rsidRPr="000F120F" w:rsidRDefault="00D3430B" w:rsidP="00F36942">
            <w:pPr>
              <w:pStyle w:val="Tabletext"/>
              <w:rPr>
                <w:snapToGrid w:val="0"/>
              </w:rPr>
            </w:pPr>
            <w:r w:rsidRPr="00295986">
              <w:t>48</w:t>
            </w:r>
            <w:r w:rsidR="00D7157D">
              <w:t>.</w:t>
            </w:r>
            <w:r w:rsidRPr="00295986">
              <w:t>2913</w:t>
            </w:r>
          </w:p>
        </w:tc>
        <w:tc>
          <w:tcPr>
            <w:tcW w:w="966" w:type="pct"/>
            <w:tcBorders>
              <w:top w:val="single" w:sz="4" w:space="0" w:color="auto"/>
              <w:bottom w:val="single" w:sz="4" w:space="0" w:color="auto"/>
            </w:tcBorders>
            <w:vAlign w:val="bottom"/>
          </w:tcPr>
          <w:p w14:paraId="3538FBD3" w14:textId="77777777" w:rsidR="00D3430B" w:rsidRPr="000F120F" w:rsidRDefault="00D3430B" w:rsidP="00F36942">
            <w:pPr>
              <w:pStyle w:val="Tabletext"/>
              <w:rPr>
                <w:snapToGrid w:val="0"/>
              </w:rPr>
            </w:pPr>
            <w:r w:rsidRPr="00295986">
              <w:t>1</w:t>
            </w:r>
            <w:r w:rsidR="00D7157D">
              <w:t>.</w:t>
            </w:r>
            <w:r w:rsidRPr="00295986">
              <w:t>3654</w:t>
            </w:r>
          </w:p>
        </w:tc>
      </w:tr>
      <w:tr w:rsidR="00D3430B" w:rsidRPr="009E2595" w14:paraId="698D3F88" w14:textId="77777777" w:rsidTr="00F36942">
        <w:trPr>
          <w:cantSplit/>
        </w:trPr>
        <w:tc>
          <w:tcPr>
            <w:tcW w:w="1136" w:type="pct"/>
            <w:tcBorders>
              <w:top w:val="single" w:sz="4" w:space="0" w:color="auto"/>
              <w:bottom w:val="single" w:sz="4" w:space="0" w:color="auto"/>
            </w:tcBorders>
          </w:tcPr>
          <w:p w14:paraId="33D8A1CF" w14:textId="77777777" w:rsidR="00D3430B" w:rsidRPr="00616B26" w:rsidRDefault="00D3430B" w:rsidP="00F36942">
            <w:pPr>
              <w:pStyle w:val="Tabletext"/>
              <w:rPr>
                <w:snapToGrid w:val="0"/>
              </w:rPr>
            </w:pPr>
            <w:r w:rsidRPr="00616B26">
              <w:rPr>
                <w:snapToGrid w:val="0"/>
              </w:rPr>
              <w:t>28</w:t>
            </w:r>
          </w:p>
        </w:tc>
        <w:tc>
          <w:tcPr>
            <w:tcW w:w="966" w:type="pct"/>
            <w:tcBorders>
              <w:top w:val="single" w:sz="4" w:space="0" w:color="auto"/>
              <w:bottom w:val="single" w:sz="4" w:space="0" w:color="auto"/>
            </w:tcBorders>
            <w:vAlign w:val="bottom"/>
          </w:tcPr>
          <w:p w14:paraId="18C453A6" w14:textId="77777777" w:rsidR="00D3430B" w:rsidRPr="000F120F" w:rsidRDefault="00D3430B" w:rsidP="00F36942">
            <w:pPr>
              <w:pStyle w:val="Tabletext"/>
              <w:rPr>
                <w:snapToGrid w:val="0"/>
              </w:rPr>
            </w:pPr>
            <w:r w:rsidRPr="00295986">
              <w:t>46</w:t>
            </w:r>
            <w:r w:rsidR="00D7157D">
              <w:t>.</w:t>
            </w:r>
            <w:r w:rsidRPr="00295986">
              <w:t>0981</w:t>
            </w:r>
          </w:p>
        </w:tc>
        <w:tc>
          <w:tcPr>
            <w:tcW w:w="966" w:type="pct"/>
            <w:tcBorders>
              <w:top w:val="single" w:sz="4" w:space="0" w:color="auto"/>
              <w:bottom w:val="single" w:sz="4" w:space="0" w:color="auto"/>
            </w:tcBorders>
            <w:vAlign w:val="bottom"/>
          </w:tcPr>
          <w:p w14:paraId="3EC9CBCA" w14:textId="77777777" w:rsidR="00D3430B" w:rsidRPr="000F120F" w:rsidRDefault="00D3430B" w:rsidP="00F36942">
            <w:pPr>
              <w:pStyle w:val="Tabletext"/>
              <w:rPr>
                <w:snapToGrid w:val="0"/>
              </w:rPr>
            </w:pPr>
            <w:r w:rsidRPr="00295986">
              <w:t>3</w:t>
            </w:r>
            <w:r w:rsidR="00D7157D">
              <w:t>.</w:t>
            </w:r>
            <w:r w:rsidRPr="00295986">
              <w:t>4185</w:t>
            </w:r>
          </w:p>
        </w:tc>
        <w:tc>
          <w:tcPr>
            <w:tcW w:w="966" w:type="pct"/>
            <w:tcBorders>
              <w:top w:val="single" w:sz="4" w:space="0" w:color="auto"/>
              <w:bottom w:val="single" w:sz="4" w:space="0" w:color="auto"/>
            </w:tcBorders>
            <w:vAlign w:val="bottom"/>
          </w:tcPr>
          <w:p w14:paraId="5E9BDEF8" w14:textId="77777777" w:rsidR="00D3430B" w:rsidRPr="000F120F" w:rsidRDefault="00D3430B" w:rsidP="00F36942">
            <w:pPr>
              <w:pStyle w:val="Tabletext"/>
              <w:rPr>
                <w:snapToGrid w:val="0"/>
              </w:rPr>
            </w:pPr>
            <w:r w:rsidRPr="00295986">
              <w:t>47</w:t>
            </w:r>
            <w:r w:rsidR="00D7157D">
              <w:t>.</w:t>
            </w:r>
            <w:r w:rsidRPr="00295986">
              <w:t>7197</w:t>
            </w:r>
          </w:p>
        </w:tc>
        <w:tc>
          <w:tcPr>
            <w:tcW w:w="966" w:type="pct"/>
            <w:tcBorders>
              <w:top w:val="single" w:sz="4" w:space="0" w:color="auto"/>
              <w:bottom w:val="single" w:sz="4" w:space="0" w:color="auto"/>
            </w:tcBorders>
            <w:vAlign w:val="bottom"/>
          </w:tcPr>
          <w:p w14:paraId="1CC5C117" w14:textId="77777777" w:rsidR="00D3430B" w:rsidRPr="000F120F" w:rsidRDefault="00D3430B" w:rsidP="00F36942">
            <w:pPr>
              <w:pStyle w:val="Tabletext"/>
              <w:rPr>
                <w:snapToGrid w:val="0"/>
              </w:rPr>
            </w:pPr>
            <w:r w:rsidRPr="00295986">
              <w:t>1</w:t>
            </w:r>
            <w:r w:rsidR="00D7157D">
              <w:t>.</w:t>
            </w:r>
            <w:r w:rsidRPr="00295986">
              <w:t>3815</w:t>
            </w:r>
          </w:p>
        </w:tc>
      </w:tr>
      <w:tr w:rsidR="00D3430B" w:rsidRPr="009E2595" w14:paraId="114FE875" w14:textId="77777777" w:rsidTr="00F36942">
        <w:trPr>
          <w:cantSplit/>
        </w:trPr>
        <w:tc>
          <w:tcPr>
            <w:tcW w:w="1136" w:type="pct"/>
            <w:tcBorders>
              <w:top w:val="single" w:sz="4" w:space="0" w:color="auto"/>
              <w:bottom w:val="single" w:sz="4" w:space="0" w:color="auto"/>
            </w:tcBorders>
          </w:tcPr>
          <w:p w14:paraId="6ACB3CBD" w14:textId="77777777" w:rsidR="00D3430B" w:rsidRPr="00616B26" w:rsidRDefault="00D3430B" w:rsidP="00F36942">
            <w:pPr>
              <w:pStyle w:val="Tabletext"/>
              <w:rPr>
                <w:snapToGrid w:val="0"/>
              </w:rPr>
            </w:pPr>
            <w:r w:rsidRPr="00616B26">
              <w:rPr>
                <w:snapToGrid w:val="0"/>
              </w:rPr>
              <w:t>29</w:t>
            </w:r>
          </w:p>
        </w:tc>
        <w:tc>
          <w:tcPr>
            <w:tcW w:w="966" w:type="pct"/>
            <w:tcBorders>
              <w:top w:val="single" w:sz="4" w:space="0" w:color="auto"/>
              <w:bottom w:val="single" w:sz="4" w:space="0" w:color="auto"/>
            </w:tcBorders>
            <w:vAlign w:val="bottom"/>
          </w:tcPr>
          <w:p w14:paraId="11E613ED" w14:textId="77777777" w:rsidR="00D3430B" w:rsidRPr="000F120F" w:rsidRDefault="00D3430B" w:rsidP="00F36942">
            <w:pPr>
              <w:pStyle w:val="Tabletext"/>
              <w:rPr>
                <w:snapToGrid w:val="0"/>
              </w:rPr>
            </w:pPr>
            <w:r w:rsidRPr="00295986">
              <w:t>45</w:t>
            </w:r>
            <w:r w:rsidR="00D7157D">
              <w:t>.</w:t>
            </w:r>
            <w:r w:rsidRPr="00295986">
              <w:t>5107</w:t>
            </w:r>
          </w:p>
        </w:tc>
        <w:tc>
          <w:tcPr>
            <w:tcW w:w="966" w:type="pct"/>
            <w:tcBorders>
              <w:top w:val="single" w:sz="4" w:space="0" w:color="auto"/>
              <w:bottom w:val="single" w:sz="4" w:space="0" w:color="auto"/>
            </w:tcBorders>
            <w:vAlign w:val="bottom"/>
          </w:tcPr>
          <w:p w14:paraId="429728EA" w14:textId="77777777" w:rsidR="00D3430B" w:rsidRPr="000F120F" w:rsidRDefault="00D3430B" w:rsidP="00F36942">
            <w:pPr>
              <w:pStyle w:val="Tabletext"/>
              <w:rPr>
                <w:snapToGrid w:val="0"/>
              </w:rPr>
            </w:pPr>
            <w:r w:rsidRPr="00295986">
              <w:t>3</w:t>
            </w:r>
            <w:r w:rsidR="00D7157D">
              <w:t>.</w:t>
            </w:r>
            <w:r w:rsidRPr="00295986">
              <w:t>4529</w:t>
            </w:r>
          </w:p>
        </w:tc>
        <w:tc>
          <w:tcPr>
            <w:tcW w:w="966" w:type="pct"/>
            <w:tcBorders>
              <w:top w:val="single" w:sz="4" w:space="0" w:color="auto"/>
              <w:bottom w:val="single" w:sz="4" w:space="0" w:color="auto"/>
            </w:tcBorders>
            <w:vAlign w:val="bottom"/>
          </w:tcPr>
          <w:p w14:paraId="3C096D3A" w14:textId="77777777" w:rsidR="00D3430B" w:rsidRPr="000F120F" w:rsidRDefault="00D3430B" w:rsidP="00F36942">
            <w:pPr>
              <w:pStyle w:val="Tabletext"/>
              <w:rPr>
                <w:snapToGrid w:val="0"/>
              </w:rPr>
            </w:pPr>
            <w:r w:rsidRPr="00295986">
              <w:t>47</w:t>
            </w:r>
            <w:r w:rsidR="00D7157D">
              <w:t>.</w:t>
            </w:r>
            <w:r w:rsidRPr="00295986">
              <w:t>1427</w:t>
            </w:r>
          </w:p>
        </w:tc>
        <w:tc>
          <w:tcPr>
            <w:tcW w:w="966" w:type="pct"/>
            <w:tcBorders>
              <w:top w:val="single" w:sz="4" w:space="0" w:color="auto"/>
              <w:bottom w:val="single" w:sz="4" w:space="0" w:color="auto"/>
            </w:tcBorders>
            <w:vAlign w:val="bottom"/>
          </w:tcPr>
          <w:p w14:paraId="50B02A34" w14:textId="77777777" w:rsidR="00D3430B" w:rsidRPr="000F120F" w:rsidRDefault="00D3430B" w:rsidP="00F36942">
            <w:pPr>
              <w:pStyle w:val="Tabletext"/>
              <w:rPr>
                <w:snapToGrid w:val="0"/>
              </w:rPr>
            </w:pPr>
            <w:r w:rsidRPr="00295986">
              <w:t>1</w:t>
            </w:r>
            <w:r w:rsidR="00D7157D">
              <w:t>.</w:t>
            </w:r>
            <w:r w:rsidRPr="00295986">
              <w:t>3977</w:t>
            </w:r>
          </w:p>
        </w:tc>
      </w:tr>
      <w:tr w:rsidR="00D3430B" w:rsidRPr="009E2595" w14:paraId="3A1CC40F" w14:textId="77777777" w:rsidTr="00F36942">
        <w:trPr>
          <w:cantSplit/>
        </w:trPr>
        <w:tc>
          <w:tcPr>
            <w:tcW w:w="1136" w:type="pct"/>
            <w:tcBorders>
              <w:top w:val="single" w:sz="4" w:space="0" w:color="auto"/>
              <w:bottom w:val="single" w:sz="4" w:space="0" w:color="auto"/>
            </w:tcBorders>
          </w:tcPr>
          <w:p w14:paraId="419582A2" w14:textId="77777777" w:rsidR="00D3430B" w:rsidRPr="00616B26" w:rsidRDefault="00D3430B" w:rsidP="00F36942">
            <w:pPr>
              <w:pStyle w:val="Tabletext"/>
              <w:rPr>
                <w:snapToGrid w:val="0"/>
              </w:rPr>
            </w:pPr>
            <w:r w:rsidRPr="00616B26">
              <w:rPr>
                <w:snapToGrid w:val="0"/>
              </w:rPr>
              <w:t>30</w:t>
            </w:r>
          </w:p>
        </w:tc>
        <w:tc>
          <w:tcPr>
            <w:tcW w:w="966" w:type="pct"/>
            <w:tcBorders>
              <w:top w:val="single" w:sz="4" w:space="0" w:color="auto"/>
              <w:bottom w:val="single" w:sz="4" w:space="0" w:color="auto"/>
            </w:tcBorders>
            <w:vAlign w:val="bottom"/>
          </w:tcPr>
          <w:p w14:paraId="1FC14830" w14:textId="77777777" w:rsidR="00D3430B" w:rsidRPr="000F120F" w:rsidRDefault="00D3430B" w:rsidP="00F36942">
            <w:pPr>
              <w:pStyle w:val="Tabletext"/>
              <w:rPr>
                <w:snapToGrid w:val="0"/>
              </w:rPr>
            </w:pPr>
            <w:r w:rsidRPr="00295986">
              <w:t>44</w:t>
            </w:r>
            <w:r w:rsidR="00D7157D">
              <w:t>.</w:t>
            </w:r>
            <w:r w:rsidRPr="00295986">
              <w:t>9177</w:t>
            </w:r>
          </w:p>
        </w:tc>
        <w:tc>
          <w:tcPr>
            <w:tcW w:w="966" w:type="pct"/>
            <w:tcBorders>
              <w:top w:val="single" w:sz="4" w:space="0" w:color="auto"/>
              <w:bottom w:val="single" w:sz="4" w:space="0" w:color="auto"/>
            </w:tcBorders>
            <w:vAlign w:val="bottom"/>
          </w:tcPr>
          <w:p w14:paraId="54FB09EA" w14:textId="77777777" w:rsidR="00D3430B" w:rsidRPr="000F120F" w:rsidRDefault="00D3430B" w:rsidP="00F36942">
            <w:pPr>
              <w:pStyle w:val="Tabletext"/>
              <w:rPr>
                <w:snapToGrid w:val="0"/>
              </w:rPr>
            </w:pPr>
            <w:r w:rsidRPr="00295986">
              <w:t>3</w:t>
            </w:r>
            <w:r w:rsidR="00D7157D">
              <w:t>.</w:t>
            </w:r>
            <w:r w:rsidRPr="00295986">
              <w:t>4877</w:t>
            </w:r>
          </w:p>
        </w:tc>
        <w:tc>
          <w:tcPr>
            <w:tcW w:w="966" w:type="pct"/>
            <w:tcBorders>
              <w:top w:val="single" w:sz="4" w:space="0" w:color="auto"/>
              <w:bottom w:val="single" w:sz="4" w:space="0" w:color="auto"/>
            </w:tcBorders>
            <w:vAlign w:val="bottom"/>
          </w:tcPr>
          <w:p w14:paraId="3DB843DA" w14:textId="77777777" w:rsidR="00D3430B" w:rsidRPr="000F120F" w:rsidRDefault="00D3430B" w:rsidP="00F36942">
            <w:pPr>
              <w:pStyle w:val="Tabletext"/>
              <w:rPr>
                <w:snapToGrid w:val="0"/>
              </w:rPr>
            </w:pPr>
            <w:r w:rsidRPr="00295986">
              <w:t>46</w:t>
            </w:r>
            <w:r w:rsidR="00D7157D">
              <w:t>.</w:t>
            </w:r>
            <w:r w:rsidRPr="00295986">
              <w:t>5601</w:t>
            </w:r>
          </w:p>
        </w:tc>
        <w:tc>
          <w:tcPr>
            <w:tcW w:w="966" w:type="pct"/>
            <w:tcBorders>
              <w:top w:val="single" w:sz="4" w:space="0" w:color="auto"/>
              <w:bottom w:val="single" w:sz="4" w:space="0" w:color="auto"/>
            </w:tcBorders>
            <w:vAlign w:val="bottom"/>
          </w:tcPr>
          <w:p w14:paraId="610FE6F9" w14:textId="77777777" w:rsidR="00D3430B" w:rsidRPr="000F120F" w:rsidRDefault="00D3430B" w:rsidP="00F36942">
            <w:pPr>
              <w:pStyle w:val="Tabletext"/>
              <w:rPr>
                <w:snapToGrid w:val="0"/>
              </w:rPr>
            </w:pPr>
            <w:r w:rsidRPr="00295986">
              <w:t>1</w:t>
            </w:r>
            <w:r w:rsidR="00D7157D">
              <w:t>.</w:t>
            </w:r>
            <w:r w:rsidRPr="00295986">
              <w:t>4139</w:t>
            </w:r>
          </w:p>
        </w:tc>
      </w:tr>
      <w:tr w:rsidR="00D3430B" w:rsidRPr="009E2595" w14:paraId="002D4054" w14:textId="77777777" w:rsidTr="00F36942">
        <w:trPr>
          <w:cantSplit/>
        </w:trPr>
        <w:tc>
          <w:tcPr>
            <w:tcW w:w="1136" w:type="pct"/>
            <w:tcBorders>
              <w:top w:val="single" w:sz="4" w:space="0" w:color="auto"/>
              <w:bottom w:val="single" w:sz="4" w:space="0" w:color="auto"/>
            </w:tcBorders>
          </w:tcPr>
          <w:p w14:paraId="7C9A58F9" w14:textId="77777777" w:rsidR="00D3430B" w:rsidRPr="00616B26" w:rsidRDefault="00D3430B" w:rsidP="00F36942">
            <w:pPr>
              <w:pStyle w:val="Tabletext"/>
              <w:rPr>
                <w:snapToGrid w:val="0"/>
              </w:rPr>
            </w:pPr>
            <w:r w:rsidRPr="00616B26">
              <w:rPr>
                <w:snapToGrid w:val="0"/>
              </w:rPr>
              <w:t>31</w:t>
            </w:r>
          </w:p>
        </w:tc>
        <w:tc>
          <w:tcPr>
            <w:tcW w:w="966" w:type="pct"/>
            <w:tcBorders>
              <w:top w:val="single" w:sz="4" w:space="0" w:color="auto"/>
              <w:bottom w:val="single" w:sz="4" w:space="0" w:color="auto"/>
            </w:tcBorders>
            <w:vAlign w:val="bottom"/>
          </w:tcPr>
          <w:p w14:paraId="48544D61" w14:textId="77777777" w:rsidR="00D3430B" w:rsidRPr="000F120F" w:rsidRDefault="00D3430B" w:rsidP="00F36942">
            <w:pPr>
              <w:pStyle w:val="Tabletext"/>
              <w:rPr>
                <w:snapToGrid w:val="0"/>
              </w:rPr>
            </w:pPr>
            <w:r w:rsidRPr="00295986">
              <w:t>44</w:t>
            </w:r>
            <w:r w:rsidR="00D7157D">
              <w:t>.</w:t>
            </w:r>
            <w:r w:rsidRPr="00295986">
              <w:t>3193</w:t>
            </w:r>
          </w:p>
        </w:tc>
        <w:tc>
          <w:tcPr>
            <w:tcW w:w="966" w:type="pct"/>
            <w:tcBorders>
              <w:top w:val="single" w:sz="4" w:space="0" w:color="auto"/>
              <w:bottom w:val="single" w:sz="4" w:space="0" w:color="auto"/>
            </w:tcBorders>
            <w:vAlign w:val="bottom"/>
          </w:tcPr>
          <w:p w14:paraId="65296511" w14:textId="77777777" w:rsidR="00D3430B" w:rsidRPr="000F120F" w:rsidRDefault="00D3430B" w:rsidP="00F36942">
            <w:pPr>
              <w:pStyle w:val="Tabletext"/>
              <w:rPr>
                <w:snapToGrid w:val="0"/>
              </w:rPr>
            </w:pPr>
            <w:r w:rsidRPr="00295986">
              <w:t>3</w:t>
            </w:r>
            <w:r w:rsidR="00D7157D">
              <w:t>.</w:t>
            </w:r>
            <w:r w:rsidRPr="00295986">
              <w:t>5224</w:t>
            </w:r>
          </w:p>
        </w:tc>
        <w:tc>
          <w:tcPr>
            <w:tcW w:w="966" w:type="pct"/>
            <w:tcBorders>
              <w:top w:val="single" w:sz="4" w:space="0" w:color="auto"/>
              <w:bottom w:val="single" w:sz="4" w:space="0" w:color="auto"/>
            </w:tcBorders>
            <w:vAlign w:val="bottom"/>
          </w:tcPr>
          <w:p w14:paraId="00172D6C" w14:textId="77777777" w:rsidR="00D3430B" w:rsidRPr="000F120F" w:rsidRDefault="00D3430B" w:rsidP="00F36942">
            <w:pPr>
              <w:pStyle w:val="Tabletext"/>
              <w:rPr>
                <w:snapToGrid w:val="0"/>
              </w:rPr>
            </w:pPr>
            <w:r w:rsidRPr="00295986">
              <w:t>45</w:t>
            </w:r>
            <w:r w:rsidR="00D7157D">
              <w:t>.</w:t>
            </w:r>
            <w:r w:rsidRPr="00295986">
              <w:t>9720</w:t>
            </w:r>
          </w:p>
        </w:tc>
        <w:tc>
          <w:tcPr>
            <w:tcW w:w="966" w:type="pct"/>
            <w:tcBorders>
              <w:top w:val="single" w:sz="4" w:space="0" w:color="auto"/>
              <w:bottom w:val="single" w:sz="4" w:space="0" w:color="auto"/>
            </w:tcBorders>
            <w:vAlign w:val="bottom"/>
          </w:tcPr>
          <w:p w14:paraId="14363F76" w14:textId="77777777" w:rsidR="00D3430B" w:rsidRPr="000F120F" w:rsidRDefault="00D3430B" w:rsidP="00F36942">
            <w:pPr>
              <w:pStyle w:val="Tabletext"/>
              <w:rPr>
                <w:snapToGrid w:val="0"/>
              </w:rPr>
            </w:pPr>
            <w:r w:rsidRPr="00295986">
              <w:t>1</w:t>
            </w:r>
            <w:r w:rsidR="00D7157D">
              <w:t>.</w:t>
            </w:r>
            <w:r w:rsidRPr="00295986">
              <w:t>4302</w:t>
            </w:r>
          </w:p>
        </w:tc>
      </w:tr>
      <w:tr w:rsidR="00D3430B" w:rsidRPr="009E2595" w14:paraId="7A5CA1F5" w14:textId="77777777" w:rsidTr="00F36942">
        <w:trPr>
          <w:cantSplit/>
        </w:trPr>
        <w:tc>
          <w:tcPr>
            <w:tcW w:w="1136" w:type="pct"/>
            <w:tcBorders>
              <w:top w:val="single" w:sz="4" w:space="0" w:color="auto"/>
              <w:bottom w:val="single" w:sz="4" w:space="0" w:color="auto"/>
            </w:tcBorders>
          </w:tcPr>
          <w:p w14:paraId="630988F6" w14:textId="77777777" w:rsidR="00D3430B" w:rsidRPr="00616B26" w:rsidRDefault="00D3430B" w:rsidP="00F36942">
            <w:pPr>
              <w:pStyle w:val="Tabletext"/>
              <w:rPr>
                <w:snapToGrid w:val="0"/>
              </w:rPr>
            </w:pPr>
            <w:r w:rsidRPr="00616B26">
              <w:rPr>
                <w:snapToGrid w:val="0"/>
              </w:rPr>
              <w:t>32</w:t>
            </w:r>
          </w:p>
        </w:tc>
        <w:tc>
          <w:tcPr>
            <w:tcW w:w="966" w:type="pct"/>
            <w:tcBorders>
              <w:top w:val="single" w:sz="4" w:space="0" w:color="auto"/>
              <w:bottom w:val="single" w:sz="4" w:space="0" w:color="auto"/>
            </w:tcBorders>
            <w:vAlign w:val="bottom"/>
          </w:tcPr>
          <w:p w14:paraId="7FD820B9" w14:textId="77777777" w:rsidR="00D3430B" w:rsidRPr="000F120F" w:rsidRDefault="00D3430B" w:rsidP="00F36942">
            <w:pPr>
              <w:pStyle w:val="Tabletext"/>
              <w:rPr>
                <w:snapToGrid w:val="0"/>
              </w:rPr>
            </w:pPr>
            <w:r w:rsidRPr="00295986">
              <w:t>43</w:t>
            </w:r>
            <w:r w:rsidR="00D7157D">
              <w:t>.</w:t>
            </w:r>
            <w:r w:rsidRPr="00295986">
              <w:t>7156</w:t>
            </w:r>
          </w:p>
        </w:tc>
        <w:tc>
          <w:tcPr>
            <w:tcW w:w="966" w:type="pct"/>
            <w:tcBorders>
              <w:top w:val="single" w:sz="4" w:space="0" w:color="auto"/>
              <w:bottom w:val="single" w:sz="4" w:space="0" w:color="auto"/>
            </w:tcBorders>
            <w:vAlign w:val="bottom"/>
          </w:tcPr>
          <w:p w14:paraId="216C49AD" w14:textId="77777777" w:rsidR="00D3430B" w:rsidRPr="000F120F" w:rsidRDefault="00D3430B" w:rsidP="00F36942">
            <w:pPr>
              <w:pStyle w:val="Tabletext"/>
              <w:rPr>
                <w:snapToGrid w:val="0"/>
              </w:rPr>
            </w:pPr>
            <w:r w:rsidRPr="00295986">
              <w:t>3</w:t>
            </w:r>
            <w:r w:rsidR="00D7157D">
              <w:t>.</w:t>
            </w:r>
            <w:r w:rsidRPr="00295986">
              <w:t>5570</w:t>
            </w:r>
          </w:p>
        </w:tc>
        <w:tc>
          <w:tcPr>
            <w:tcW w:w="966" w:type="pct"/>
            <w:tcBorders>
              <w:top w:val="single" w:sz="4" w:space="0" w:color="auto"/>
              <w:bottom w:val="single" w:sz="4" w:space="0" w:color="auto"/>
            </w:tcBorders>
            <w:vAlign w:val="bottom"/>
          </w:tcPr>
          <w:p w14:paraId="52533E0D" w14:textId="77777777" w:rsidR="00D3430B" w:rsidRPr="000F120F" w:rsidRDefault="00D3430B" w:rsidP="00F36942">
            <w:pPr>
              <w:pStyle w:val="Tabletext"/>
              <w:rPr>
                <w:snapToGrid w:val="0"/>
              </w:rPr>
            </w:pPr>
            <w:r w:rsidRPr="00295986">
              <w:t>45</w:t>
            </w:r>
            <w:r w:rsidR="00D7157D">
              <w:t>.</w:t>
            </w:r>
            <w:r w:rsidRPr="00295986">
              <w:t>3787</w:t>
            </w:r>
          </w:p>
        </w:tc>
        <w:tc>
          <w:tcPr>
            <w:tcW w:w="966" w:type="pct"/>
            <w:tcBorders>
              <w:top w:val="single" w:sz="4" w:space="0" w:color="auto"/>
              <w:bottom w:val="single" w:sz="4" w:space="0" w:color="auto"/>
            </w:tcBorders>
            <w:vAlign w:val="bottom"/>
          </w:tcPr>
          <w:p w14:paraId="5E804825" w14:textId="77777777" w:rsidR="00D3430B" w:rsidRPr="000F120F" w:rsidRDefault="00D3430B" w:rsidP="00F36942">
            <w:pPr>
              <w:pStyle w:val="Tabletext"/>
              <w:rPr>
                <w:snapToGrid w:val="0"/>
              </w:rPr>
            </w:pPr>
            <w:r w:rsidRPr="00295986">
              <w:t>1</w:t>
            </w:r>
            <w:r w:rsidR="00D7157D">
              <w:t>.</w:t>
            </w:r>
            <w:r w:rsidRPr="00295986">
              <w:t>4463</w:t>
            </w:r>
          </w:p>
        </w:tc>
      </w:tr>
      <w:tr w:rsidR="00D3430B" w:rsidRPr="009E2595" w14:paraId="343D016D" w14:textId="77777777" w:rsidTr="00F36942">
        <w:trPr>
          <w:cantSplit/>
        </w:trPr>
        <w:tc>
          <w:tcPr>
            <w:tcW w:w="1136" w:type="pct"/>
            <w:tcBorders>
              <w:top w:val="single" w:sz="4" w:space="0" w:color="auto"/>
              <w:bottom w:val="single" w:sz="4" w:space="0" w:color="auto"/>
            </w:tcBorders>
          </w:tcPr>
          <w:p w14:paraId="4EBE3122" w14:textId="77777777" w:rsidR="00D3430B" w:rsidRPr="00616B26" w:rsidRDefault="00D3430B" w:rsidP="00F36942">
            <w:pPr>
              <w:pStyle w:val="Tabletext"/>
              <w:rPr>
                <w:snapToGrid w:val="0"/>
              </w:rPr>
            </w:pPr>
            <w:r w:rsidRPr="00616B26">
              <w:rPr>
                <w:snapToGrid w:val="0"/>
              </w:rPr>
              <w:t>33</w:t>
            </w:r>
          </w:p>
        </w:tc>
        <w:tc>
          <w:tcPr>
            <w:tcW w:w="966" w:type="pct"/>
            <w:tcBorders>
              <w:top w:val="single" w:sz="4" w:space="0" w:color="auto"/>
              <w:bottom w:val="single" w:sz="4" w:space="0" w:color="auto"/>
            </w:tcBorders>
            <w:vAlign w:val="bottom"/>
          </w:tcPr>
          <w:p w14:paraId="716FCC60" w14:textId="77777777" w:rsidR="00D3430B" w:rsidRPr="000F120F" w:rsidRDefault="00D3430B" w:rsidP="00F36942">
            <w:pPr>
              <w:pStyle w:val="Tabletext"/>
              <w:rPr>
                <w:snapToGrid w:val="0"/>
              </w:rPr>
            </w:pPr>
            <w:r w:rsidRPr="00295986">
              <w:t>43</w:t>
            </w:r>
            <w:r w:rsidR="00D7157D">
              <w:t>.</w:t>
            </w:r>
            <w:r w:rsidRPr="00295986">
              <w:t>1064</w:t>
            </w:r>
          </w:p>
        </w:tc>
        <w:tc>
          <w:tcPr>
            <w:tcW w:w="966" w:type="pct"/>
            <w:tcBorders>
              <w:top w:val="single" w:sz="4" w:space="0" w:color="auto"/>
              <w:bottom w:val="single" w:sz="4" w:space="0" w:color="auto"/>
            </w:tcBorders>
            <w:vAlign w:val="bottom"/>
          </w:tcPr>
          <w:p w14:paraId="690075B6" w14:textId="77777777" w:rsidR="00D3430B" w:rsidRPr="000F120F" w:rsidRDefault="00D3430B" w:rsidP="00F36942">
            <w:pPr>
              <w:pStyle w:val="Tabletext"/>
              <w:rPr>
                <w:snapToGrid w:val="0"/>
              </w:rPr>
            </w:pPr>
            <w:r w:rsidRPr="00295986">
              <w:t>3</w:t>
            </w:r>
            <w:r w:rsidR="00D7157D">
              <w:t>.</w:t>
            </w:r>
            <w:r w:rsidRPr="00295986">
              <w:t>5918</w:t>
            </w:r>
          </w:p>
        </w:tc>
        <w:tc>
          <w:tcPr>
            <w:tcW w:w="966" w:type="pct"/>
            <w:tcBorders>
              <w:top w:val="single" w:sz="4" w:space="0" w:color="auto"/>
              <w:bottom w:val="single" w:sz="4" w:space="0" w:color="auto"/>
            </w:tcBorders>
            <w:vAlign w:val="bottom"/>
          </w:tcPr>
          <w:p w14:paraId="51B0A441" w14:textId="77777777" w:rsidR="00D3430B" w:rsidRPr="000F120F" w:rsidRDefault="00D3430B" w:rsidP="00F36942">
            <w:pPr>
              <w:pStyle w:val="Tabletext"/>
              <w:rPr>
                <w:snapToGrid w:val="0"/>
              </w:rPr>
            </w:pPr>
            <w:r w:rsidRPr="00295986">
              <w:t>44</w:t>
            </w:r>
            <w:r w:rsidR="00D7157D">
              <w:t>.</w:t>
            </w:r>
            <w:r w:rsidRPr="00295986">
              <w:t>7797</w:t>
            </w:r>
          </w:p>
        </w:tc>
        <w:tc>
          <w:tcPr>
            <w:tcW w:w="966" w:type="pct"/>
            <w:tcBorders>
              <w:top w:val="single" w:sz="4" w:space="0" w:color="auto"/>
              <w:bottom w:val="single" w:sz="4" w:space="0" w:color="auto"/>
            </w:tcBorders>
            <w:vAlign w:val="bottom"/>
          </w:tcPr>
          <w:p w14:paraId="009A22FD" w14:textId="77777777" w:rsidR="00D3430B" w:rsidRPr="000F120F" w:rsidRDefault="00D3430B" w:rsidP="00F36942">
            <w:pPr>
              <w:pStyle w:val="Tabletext"/>
              <w:rPr>
                <w:snapToGrid w:val="0"/>
              </w:rPr>
            </w:pPr>
            <w:r w:rsidRPr="00295986">
              <w:t>1</w:t>
            </w:r>
            <w:r w:rsidR="00D7157D">
              <w:t>.</w:t>
            </w:r>
            <w:r w:rsidRPr="00295986">
              <w:t>4624</w:t>
            </w:r>
          </w:p>
        </w:tc>
      </w:tr>
      <w:tr w:rsidR="00D3430B" w:rsidRPr="009E2595" w14:paraId="1F85C8B0" w14:textId="77777777" w:rsidTr="00F36942">
        <w:trPr>
          <w:cantSplit/>
        </w:trPr>
        <w:tc>
          <w:tcPr>
            <w:tcW w:w="1136" w:type="pct"/>
            <w:tcBorders>
              <w:top w:val="single" w:sz="4" w:space="0" w:color="auto"/>
              <w:bottom w:val="single" w:sz="4" w:space="0" w:color="auto"/>
            </w:tcBorders>
          </w:tcPr>
          <w:p w14:paraId="236C914F" w14:textId="77777777" w:rsidR="00D3430B" w:rsidRPr="00616B26" w:rsidRDefault="00D3430B" w:rsidP="00F36942">
            <w:pPr>
              <w:pStyle w:val="Tabletext"/>
              <w:rPr>
                <w:snapToGrid w:val="0"/>
              </w:rPr>
            </w:pPr>
            <w:r w:rsidRPr="00616B26">
              <w:rPr>
                <w:snapToGrid w:val="0"/>
              </w:rPr>
              <w:t>34</w:t>
            </w:r>
          </w:p>
        </w:tc>
        <w:tc>
          <w:tcPr>
            <w:tcW w:w="966" w:type="pct"/>
            <w:tcBorders>
              <w:top w:val="single" w:sz="4" w:space="0" w:color="auto"/>
              <w:bottom w:val="single" w:sz="4" w:space="0" w:color="auto"/>
            </w:tcBorders>
            <w:vAlign w:val="bottom"/>
          </w:tcPr>
          <w:p w14:paraId="170F5975" w14:textId="77777777" w:rsidR="00D3430B" w:rsidRPr="000F120F" w:rsidRDefault="00D3430B" w:rsidP="00F36942">
            <w:pPr>
              <w:pStyle w:val="Tabletext"/>
              <w:rPr>
                <w:snapToGrid w:val="0"/>
              </w:rPr>
            </w:pPr>
            <w:r w:rsidRPr="00295986">
              <w:t>42</w:t>
            </w:r>
            <w:r w:rsidR="00D7157D">
              <w:t>.</w:t>
            </w:r>
            <w:r w:rsidRPr="00295986">
              <w:t>4916</w:t>
            </w:r>
          </w:p>
        </w:tc>
        <w:tc>
          <w:tcPr>
            <w:tcW w:w="966" w:type="pct"/>
            <w:tcBorders>
              <w:top w:val="single" w:sz="4" w:space="0" w:color="auto"/>
              <w:bottom w:val="single" w:sz="4" w:space="0" w:color="auto"/>
            </w:tcBorders>
            <w:vAlign w:val="bottom"/>
          </w:tcPr>
          <w:p w14:paraId="42E79FDA" w14:textId="77777777" w:rsidR="00D3430B" w:rsidRPr="000F120F" w:rsidRDefault="00D3430B" w:rsidP="00F36942">
            <w:pPr>
              <w:pStyle w:val="Tabletext"/>
              <w:rPr>
                <w:snapToGrid w:val="0"/>
              </w:rPr>
            </w:pPr>
            <w:r w:rsidRPr="00295986">
              <w:t>3</w:t>
            </w:r>
            <w:r w:rsidR="00D7157D">
              <w:t>.</w:t>
            </w:r>
            <w:r w:rsidRPr="00295986">
              <w:t>6265</w:t>
            </w:r>
          </w:p>
        </w:tc>
        <w:tc>
          <w:tcPr>
            <w:tcW w:w="966" w:type="pct"/>
            <w:tcBorders>
              <w:top w:val="single" w:sz="4" w:space="0" w:color="auto"/>
              <w:bottom w:val="single" w:sz="4" w:space="0" w:color="auto"/>
            </w:tcBorders>
            <w:vAlign w:val="bottom"/>
          </w:tcPr>
          <w:p w14:paraId="4AEC552F" w14:textId="77777777" w:rsidR="00D3430B" w:rsidRPr="000F120F" w:rsidRDefault="00D3430B" w:rsidP="00F36942">
            <w:pPr>
              <w:pStyle w:val="Tabletext"/>
              <w:rPr>
                <w:snapToGrid w:val="0"/>
              </w:rPr>
            </w:pPr>
            <w:r w:rsidRPr="00295986">
              <w:t>44</w:t>
            </w:r>
            <w:r w:rsidR="00D7157D">
              <w:t>.</w:t>
            </w:r>
            <w:r w:rsidRPr="00295986">
              <w:t>1753</w:t>
            </w:r>
          </w:p>
        </w:tc>
        <w:tc>
          <w:tcPr>
            <w:tcW w:w="966" w:type="pct"/>
            <w:tcBorders>
              <w:top w:val="single" w:sz="4" w:space="0" w:color="auto"/>
              <w:bottom w:val="single" w:sz="4" w:space="0" w:color="auto"/>
            </w:tcBorders>
            <w:vAlign w:val="bottom"/>
          </w:tcPr>
          <w:p w14:paraId="678CCC48" w14:textId="77777777" w:rsidR="00D3430B" w:rsidRPr="000F120F" w:rsidRDefault="00D3430B" w:rsidP="00F36942">
            <w:pPr>
              <w:pStyle w:val="Tabletext"/>
              <w:rPr>
                <w:snapToGrid w:val="0"/>
              </w:rPr>
            </w:pPr>
            <w:r w:rsidRPr="00295986">
              <w:t>1</w:t>
            </w:r>
            <w:r w:rsidR="00D7157D">
              <w:t>.</w:t>
            </w:r>
            <w:r w:rsidRPr="00295986">
              <w:t>4784</w:t>
            </w:r>
          </w:p>
        </w:tc>
      </w:tr>
      <w:tr w:rsidR="00D3430B" w:rsidRPr="009E2595" w14:paraId="24C40A11" w14:textId="77777777" w:rsidTr="00F36942">
        <w:trPr>
          <w:cantSplit/>
        </w:trPr>
        <w:tc>
          <w:tcPr>
            <w:tcW w:w="1136" w:type="pct"/>
            <w:tcBorders>
              <w:top w:val="single" w:sz="4" w:space="0" w:color="auto"/>
              <w:bottom w:val="single" w:sz="4" w:space="0" w:color="auto"/>
            </w:tcBorders>
          </w:tcPr>
          <w:p w14:paraId="6A70DC4E" w14:textId="77777777" w:rsidR="00D3430B" w:rsidRPr="00616B26" w:rsidRDefault="00D3430B" w:rsidP="00F36942">
            <w:pPr>
              <w:pStyle w:val="Tabletext"/>
              <w:rPr>
                <w:snapToGrid w:val="0"/>
              </w:rPr>
            </w:pPr>
            <w:r w:rsidRPr="00616B26">
              <w:rPr>
                <w:snapToGrid w:val="0"/>
              </w:rPr>
              <w:t>35</w:t>
            </w:r>
          </w:p>
        </w:tc>
        <w:tc>
          <w:tcPr>
            <w:tcW w:w="966" w:type="pct"/>
            <w:tcBorders>
              <w:top w:val="single" w:sz="4" w:space="0" w:color="auto"/>
              <w:bottom w:val="single" w:sz="4" w:space="0" w:color="auto"/>
            </w:tcBorders>
            <w:vAlign w:val="bottom"/>
          </w:tcPr>
          <w:p w14:paraId="06C08A69" w14:textId="77777777" w:rsidR="00D3430B" w:rsidRPr="000F120F" w:rsidRDefault="00D3430B" w:rsidP="00F36942">
            <w:pPr>
              <w:pStyle w:val="Tabletext"/>
              <w:rPr>
                <w:snapToGrid w:val="0"/>
              </w:rPr>
            </w:pPr>
            <w:r w:rsidRPr="00295986">
              <w:t>41</w:t>
            </w:r>
            <w:r w:rsidR="00D7157D">
              <w:t>.</w:t>
            </w:r>
            <w:r w:rsidRPr="00295986">
              <w:t>8716</w:t>
            </w:r>
          </w:p>
        </w:tc>
        <w:tc>
          <w:tcPr>
            <w:tcW w:w="966" w:type="pct"/>
            <w:tcBorders>
              <w:top w:val="single" w:sz="4" w:space="0" w:color="auto"/>
              <w:bottom w:val="single" w:sz="4" w:space="0" w:color="auto"/>
            </w:tcBorders>
            <w:vAlign w:val="bottom"/>
          </w:tcPr>
          <w:p w14:paraId="238A8B1B" w14:textId="77777777" w:rsidR="00D3430B" w:rsidRPr="000F120F" w:rsidRDefault="00D3430B" w:rsidP="00F36942">
            <w:pPr>
              <w:pStyle w:val="Tabletext"/>
              <w:rPr>
                <w:snapToGrid w:val="0"/>
              </w:rPr>
            </w:pPr>
            <w:r w:rsidRPr="00295986">
              <w:t>3</w:t>
            </w:r>
            <w:r w:rsidR="00D7157D">
              <w:t>.</w:t>
            </w:r>
            <w:r w:rsidRPr="00295986">
              <w:t>6611</w:t>
            </w:r>
          </w:p>
        </w:tc>
        <w:tc>
          <w:tcPr>
            <w:tcW w:w="966" w:type="pct"/>
            <w:tcBorders>
              <w:top w:val="single" w:sz="4" w:space="0" w:color="auto"/>
              <w:bottom w:val="single" w:sz="4" w:space="0" w:color="auto"/>
            </w:tcBorders>
            <w:vAlign w:val="bottom"/>
          </w:tcPr>
          <w:p w14:paraId="15073DB0" w14:textId="77777777" w:rsidR="00D3430B" w:rsidRPr="000F120F" w:rsidRDefault="00D3430B" w:rsidP="00F36942">
            <w:pPr>
              <w:pStyle w:val="Tabletext"/>
              <w:rPr>
                <w:snapToGrid w:val="0"/>
              </w:rPr>
            </w:pPr>
            <w:r w:rsidRPr="00295986">
              <w:t>43</w:t>
            </w:r>
            <w:r w:rsidR="00D7157D">
              <w:t>.</w:t>
            </w:r>
            <w:r w:rsidRPr="00295986">
              <w:t>5652</w:t>
            </w:r>
          </w:p>
        </w:tc>
        <w:tc>
          <w:tcPr>
            <w:tcW w:w="966" w:type="pct"/>
            <w:tcBorders>
              <w:top w:val="single" w:sz="4" w:space="0" w:color="auto"/>
              <w:bottom w:val="single" w:sz="4" w:space="0" w:color="auto"/>
            </w:tcBorders>
            <w:vAlign w:val="bottom"/>
          </w:tcPr>
          <w:p w14:paraId="51D6493A" w14:textId="77777777" w:rsidR="00D3430B" w:rsidRPr="000F120F" w:rsidRDefault="00D3430B" w:rsidP="00F36942">
            <w:pPr>
              <w:pStyle w:val="Tabletext"/>
              <w:rPr>
                <w:snapToGrid w:val="0"/>
              </w:rPr>
            </w:pPr>
            <w:r w:rsidRPr="00295986">
              <w:t>1</w:t>
            </w:r>
            <w:r w:rsidR="00D7157D">
              <w:t>.</w:t>
            </w:r>
            <w:r w:rsidRPr="00295986">
              <w:t>4944</w:t>
            </w:r>
          </w:p>
        </w:tc>
      </w:tr>
      <w:tr w:rsidR="00D3430B" w:rsidRPr="009E2595" w14:paraId="7FA059F3" w14:textId="77777777" w:rsidTr="00F36942">
        <w:trPr>
          <w:cantSplit/>
        </w:trPr>
        <w:tc>
          <w:tcPr>
            <w:tcW w:w="1136" w:type="pct"/>
            <w:tcBorders>
              <w:top w:val="single" w:sz="4" w:space="0" w:color="auto"/>
              <w:bottom w:val="single" w:sz="4" w:space="0" w:color="auto"/>
            </w:tcBorders>
          </w:tcPr>
          <w:p w14:paraId="0FC2F968" w14:textId="77777777" w:rsidR="00D3430B" w:rsidRPr="00616B26" w:rsidRDefault="00D3430B" w:rsidP="00F36942">
            <w:pPr>
              <w:pStyle w:val="Tabletext"/>
              <w:rPr>
                <w:snapToGrid w:val="0"/>
              </w:rPr>
            </w:pPr>
            <w:r w:rsidRPr="00616B26">
              <w:rPr>
                <w:snapToGrid w:val="0"/>
              </w:rPr>
              <w:t>36</w:t>
            </w:r>
          </w:p>
        </w:tc>
        <w:tc>
          <w:tcPr>
            <w:tcW w:w="966" w:type="pct"/>
            <w:tcBorders>
              <w:top w:val="single" w:sz="4" w:space="0" w:color="auto"/>
              <w:bottom w:val="single" w:sz="4" w:space="0" w:color="auto"/>
            </w:tcBorders>
            <w:vAlign w:val="bottom"/>
          </w:tcPr>
          <w:p w14:paraId="45E6CC58" w14:textId="77777777" w:rsidR="00D3430B" w:rsidRPr="000F120F" w:rsidRDefault="00D3430B" w:rsidP="00F36942">
            <w:pPr>
              <w:pStyle w:val="Tabletext"/>
              <w:rPr>
                <w:snapToGrid w:val="0"/>
              </w:rPr>
            </w:pPr>
            <w:r w:rsidRPr="00295986">
              <w:t>41</w:t>
            </w:r>
            <w:r w:rsidR="00D7157D">
              <w:t>.</w:t>
            </w:r>
            <w:r w:rsidRPr="00295986">
              <w:t>2464</w:t>
            </w:r>
          </w:p>
        </w:tc>
        <w:tc>
          <w:tcPr>
            <w:tcW w:w="966" w:type="pct"/>
            <w:tcBorders>
              <w:top w:val="single" w:sz="4" w:space="0" w:color="auto"/>
              <w:bottom w:val="single" w:sz="4" w:space="0" w:color="auto"/>
            </w:tcBorders>
            <w:vAlign w:val="bottom"/>
          </w:tcPr>
          <w:p w14:paraId="423A2356" w14:textId="77777777" w:rsidR="00D3430B" w:rsidRPr="000F120F" w:rsidRDefault="00D3430B" w:rsidP="00F36942">
            <w:pPr>
              <w:pStyle w:val="Tabletext"/>
              <w:rPr>
                <w:snapToGrid w:val="0"/>
              </w:rPr>
            </w:pPr>
            <w:r w:rsidRPr="00295986">
              <w:t>3</w:t>
            </w:r>
            <w:r w:rsidR="00D7157D">
              <w:t>.</w:t>
            </w:r>
            <w:r w:rsidRPr="00295986">
              <w:t>6955</w:t>
            </w:r>
          </w:p>
        </w:tc>
        <w:tc>
          <w:tcPr>
            <w:tcW w:w="966" w:type="pct"/>
            <w:tcBorders>
              <w:top w:val="single" w:sz="4" w:space="0" w:color="auto"/>
              <w:bottom w:val="single" w:sz="4" w:space="0" w:color="auto"/>
            </w:tcBorders>
            <w:vAlign w:val="bottom"/>
          </w:tcPr>
          <w:p w14:paraId="4B6A6C23" w14:textId="77777777" w:rsidR="00D3430B" w:rsidRPr="000F120F" w:rsidRDefault="00D3430B" w:rsidP="00F36942">
            <w:pPr>
              <w:pStyle w:val="Tabletext"/>
              <w:rPr>
                <w:snapToGrid w:val="0"/>
              </w:rPr>
            </w:pPr>
            <w:r w:rsidRPr="00295986">
              <w:t>42</w:t>
            </w:r>
            <w:r w:rsidR="00D7157D">
              <w:t>.</w:t>
            </w:r>
            <w:r w:rsidRPr="00295986">
              <w:t>9496</w:t>
            </w:r>
          </w:p>
        </w:tc>
        <w:tc>
          <w:tcPr>
            <w:tcW w:w="966" w:type="pct"/>
            <w:tcBorders>
              <w:top w:val="single" w:sz="4" w:space="0" w:color="auto"/>
              <w:bottom w:val="single" w:sz="4" w:space="0" w:color="auto"/>
            </w:tcBorders>
            <w:vAlign w:val="bottom"/>
          </w:tcPr>
          <w:p w14:paraId="4CC36902" w14:textId="77777777" w:rsidR="00D3430B" w:rsidRPr="000F120F" w:rsidRDefault="00D3430B" w:rsidP="00F36942">
            <w:pPr>
              <w:pStyle w:val="Tabletext"/>
              <w:rPr>
                <w:snapToGrid w:val="0"/>
              </w:rPr>
            </w:pPr>
            <w:r w:rsidRPr="00295986">
              <w:t>1</w:t>
            </w:r>
            <w:r w:rsidR="00D7157D">
              <w:t>.</w:t>
            </w:r>
            <w:r w:rsidRPr="00295986">
              <w:t>5103</w:t>
            </w:r>
          </w:p>
        </w:tc>
      </w:tr>
      <w:tr w:rsidR="00D3430B" w:rsidRPr="009E2595" w14:paraId="0B0705CE" w14:textId="77777777" w:rsidTr="00F36942">
        <w:trPr>
          <w:cantSplit/>
        </w:trPr>
        <w:tc>
          <w:tcPr>
            <w:tcW w:w="1136" w:type="pct"/>
            <w:tcBorders>
              <w:top w:val="single" w:sz="4" w:space="0" w:color="auto"/>
              <w:bottom w:val="single" w:sz="4" w:space="0" w:color="auto"/>
            </w:tcBorders>
          </w:tcPr>
          <w:p w14:paraId="45A7B284" w14:textId="77777777" w:rsidR="00D3430B" w:rsidRPr="00616B26" w:rsidRDefault="00D3430B" w:rsidP="00F36942">
            <w:pPr>
              <w:pStyle w:val="Tabletext"/>
              <w:rPr>
                <w:snapToGrid w:val="0"/>
              </w:rPr>
            </w:pPr>
            <w:r w:rsidRPr="00616B26">
              <w:rPr>
                <w:snapToGrid w:val="0"/>
              </w:rPr>
              <w:t>37</w:t>
            </w:r>
          </w:p>
        </w:tc>
        <w:tc>
          <w:tcPr>
            <w:tcW w:w="966" w:type="pct"/>
            <w:tcBorders>
              <w:top w:val="single" w:sz="4" w:space="0" w:color="auto"/>
              <w:bottom w:val="single" w:sz="4" w:space="0" w:color="auto"/>
            </w:tcBorders>
            <w:vAlign w:val="bottom"/>
          </w:tcPr>
          <w:p w14:paraId="4D7859E1" w14:textId="77777777" w:rsidR="00D3430B" w:rsidRPr="000F120F" w:rsidRDefault="00D3430B" w:rsidP="00F36942">
            <w:pPr>
              <w:pStyle w:val="Tabletext"/>
              <w:rPr>
                <w:snapToGrid w:val="0"/>
              </w:rPr>
            </w:pPr>
            <w:r w:rsidRPr="00295986">
              <w:t>40</w:t>
            </w:r>
            <w:r w:rsidR="00D7157D">
              <w:t>.</w:t>
            </w:r>
            <w:r w:rsidRPr="00295986">
              <w:t>6162</w:t>
            </w:r>
          </w:p>
        </w:tc>
        <w:tc>
          <w:tcPr>
            <w:tcW w:w="966" w:type="pct"/>
            <w:tcBorders>
              <w:top w:val="single" w:sz="4" w:space="0" w:color="auto"/>
              <w:bottom w:val="single" w:sz="4" w:space="0" w:color="auto"/>
            </w:tcBorders>
            <w:vAlign w:val="bottom"/>
          </w:tcPr>
          <w:p w14:paraId="1D1CE41B" w14:textId="77777777" w:rsidR="00D3430B" w:rsidRPr="000F120F" w:rsidRDefault="00D3430B" w:rsidP="00F36942">
            <w:pPr>
              <w:pStyle w:val="Tabletext"/>
              <w:rPr>
                <w:snapToGrid w:val="0"/>
              </w:rPr>
            </w:pPr>
            <w:r w:rsidRPr="00295986">
              <w:t>3</w:t>
            </w:r>
            <w:r w:rsidR="00D7157D">
              <w:t>.</w:t>
            </w:r>
            <w:r w:rsidRPr="00295986">
              <w:t>7294</w:t>
            </w:r>
          </w:p>
        </w:tc>
        <w:tc>
          <w:tcPr>
            <w:tcW w:w="966" w:type="pct"/>
            <w:tcBorders>
              <w:top w:val="single" w:sz="4" w:space="0" w:color="auto"/>
              <w:bottom w:val="single" w:sz="4" w:space="0" w:color="auto"/>
            </w:tcBorders>
            <w:vAlign w:val="bottom"/>
          </w:tcPr>
          <w:p w14:paraId="7867B1B4" w14:textId="77777777" w:rsidR="00D3430B" w:rsidRPr="000F120F" w:rsidRDefault="00D3430B" w:rsidP="00F36942">
            <w:pPr>
              <w:pStyle w:val="Tabletext"/>
              <w:rPr>
                <w:snapToGrid w:val="0"/>
              </w:rPr>
            </w:pPr>
            <w:r w:rsidRPr="00295986">
              <w:t>42</w:t>
            </w:r>
            <w:r w:rsidR="00D7157D">
              <w:t>.</w:t>
            </w:r>
            <w:r w:rsidRPr="00295986">
              <w:t>3285</w:t>
            </w:r>
          </w:p>
        </w:tc>
        <w:tc>
          <w:tcPr>
            <w:tcW w:w="966" w:type="pct"/>
            <w:tcBorders>
              <w:top w:val="single" w:sz="4" w:space="0" w:color="auto"/>
              <w:bottom w:val="single" w:sz="4" w:space="0" w:color="auto"/>
            </w:tcBorders>
            <w:vAlign w:val="bottom"/>
          </w:tcPr>
          <w:p w14:paraId="3D1934B0" w14:textId="77777777" w:rsidR="00D3430B" w:rsidRPr="000F120F" w:rsidRDefault="00D3430B" w:rsidP="00F36942">
            <w:pPr>
              <w:pStyle w:val="Tabletext"/>
              <w:rPr>
                <w:snapToGrid w:val="0"/>
              </w:rPr>
            </w:pPr>
            <w:r w:rsidRPr="00295986">
              <w:t>1</w:t>
            </w:r>
            <w:r w:rsidR="00D7157D">
              <w:t>.</w:t>
            </w:r>
            <w:r w:rsidRPr="00295986">
              <w:t>5261</w:t>
            </w:r>
          </w:p>
        </w:tc>
      </w:tr>
      <w:tr w:rsidR="00D3430B" w:rsidRPr="009E2595" w14:paraId="3D9BE7A0" w14:textId="77777777" w:rsidTr="00F36942">
        <w:trPr>
          <w:cantSplit/>
        </w:trPr>
        <w:tc>
          <w:tcPr>
            <w:tcW w:w="1136" w:type="pct"/>
            <w:tcBorders>
              <w:top w:val="single" w:sz="4" w:space="0" w:color="auto"/>
              <w:bottom w:val="single" w:sz="4" w:space="0" w:color="auto"/>
            </w:tcBorders>
          </w:tcPr>
          <w:p w14:paraId="2776565A" w14:textId="77777777" w:rsidR="00D3430B" w:rsidRPr="00616B26" w:rsidRDefault="00D3430B" w:rsidP="00F36942">
            <w:pPr>
              <w:pStyle w:val="Tabletext"/>
              <w:rPr>
                <w:snapToGrid w:val="0"/>
              </w:rPr>
            </w:pPr>
            <w:r w:rsidRPr="00616B26">
              <w:rPr>
                <w:snapToGrid w:val="0"/>
              </w:rPr>
              <w:t>38</w:t>
            </w:r>
          </w:p>
        </w:tc>
        <w:tc>
          <w:tcPr>
            <w:tcW w:w="966" w:type="pct"/>
            <w:tcBorders>
              <w:top w:val="single" w:sz="4" w:space="0" w:color="auto"/>
              <w:bottom w:val="single" w:sz="4" w:space="0" w:color="auto"/>
            </w:tcBorders>
            <w:vAlign w:val="bottom"/>
          </w:tcPr>
          <w:p w14:paraId="01DB7C1D" w14:textId="77777777" w:rsidR="00D3430B" w:rsidRPr="000F120F" w:rsidRDefault="00D3430B" w:rsidP="00F36942">
            <w:pPr>
              <w:pStyle w:val="Tabletext"/>
              <w:rPr>
                <w:snapToGrid w:val="0"/>
              </w:rPr>
            </w:pPr>
            <w:r w:rsidRPr="00295986">
              <w:t>39</w:t>
            </w:r>
            <w:r w:rsidR="00D7157D">
              <w:t>.</w:t>
            </w:r>
            <w:r w:rsidRPr="00295986">
              <w:t>9810</w:t>
            </w:r>
          </w:p>
        </w:tc>
        <w:tc>
          <w:tcPr>
            <w:tcW w:w="966" w:type="pct"/>
            <w:tcBorders>
              <w:top w:val="single" w:sz="4" w:space="0" w:color="auto"/>
              <w:bottom w:val="single" w:sz="4" w:space="0" w:color="auto"/>
            </w:tcBorders>
            <w:vAlign w:val="bottom"/>
          </w:tcPr>
          <w:p w14:paraId="5C35079A" w14:textId="77777777" w:rsidR="00D3430B" w:rsidRPr="000F120F" w:rsidRDefault="00D3430B" w:rsidP="00F36942">
            <w:pPr>
              <w:pStyle w:val="Tabletext"/>
              <w:rPr>
                <w:snapToGrid w:val="0"/>
              </w:rPr>
            </w:pPr>
            <w:r w:rsidRPr="00295986">
              <w:t>3</w:t>
            </w:r>
            <w:r w:rsidR="00D7157D">
              <w:t>.</w:t>
            </w:r>
            <w:r w:rsidRPr="00295986">
              <w:t>7630</w:t>
            </w:r>
          </w:p>
        </w:tc>
        <w:tc>
          <w:tcPr>
            <w:tcW w:w="966" w:type="pct"/>
            <w:tcBorders>
              <w:top w:val="single" w:sz="4" w:space="0" w:color="auto"/>
              <w:bottom w:val="single" w:sz="4" w:space="0" w:color="auto"/>
            </w:tcBorders>
            <w:vAlign w:val="bottom"/>
          </w:tcPr>
          <w:p w14:paraId="79717915" w14:textId="77777777" w:rsidR="00D3430B" w:rsidRPr="000F120F" w:rsidRDefault="00D3430B" w:rsidP="00F36942">
            <w:pPr>
              <w:pStyle w:val="Tabletext"/>
              <w:rPr>
                <w:snapToGrid w:val="0"/>
              </w:rPr>
            </w:pPr>
            <w:r w:rsidRPr="00295986">
              <w:t>41</w:t>
            </w:r>
            <w:r w:rsidR="00D7157D">
              <w:t>.</w:t>
            </w:r>
            <w:r w:rsidRPr="00295986">
              <w:t>7018</w:t>
            </w:r>
          </w:p>
        </w:tc>
        <w:tc>
          <w:tcPr>
            <w:tcW w:w="966" w:type="pct"/>
            <w:tcBorders>
              <w:top w:val="single" w:sz="4" w:space="0" w:color="auto"/>
              <w:bottom w:val="single" w:sz="4" w:space="0" w:color="auto"/>
            </w:tcBorders>
            <w:vAlign w:val="bottom"/>
          </w:tcPr>
          <w:p w14:paraId="113F1F2E" w14:textId="77777777" w:rsidR="00D3430B" w:rsidRPr="000F120F" w:rsidRDefault="00D3430B" w:rsidP="00F36942">
            <w:pPr>
              <w:pStyle w:val="Tabletext"/>
              <w:rPr>
                <w:snapToGrid w:val="0"/>
              </w:rPr>
            </w:pPr>
            <w:r w:rsidRPr="00295986">
              <w:t>1</w:t>
            </w:r>
            <w:r w:rsidR="00D7157D">
              <w:t>.</w:t>
            </w:r>
            <w:r w:rsidRPr="00295986">
              <w:t>5418</w:t>
            </w:r>
          </w:p>
        </w:tc>
      </w:tr>
      <w:tr w:rsidR="00D3430B" w:rsidRPr="009E2595" w14:paraId="41870993" w14:textId="77777777" w:rsidTr="00F36942">
        <w:trPr>
          <w:cantSplit/>
        </w:trPr>
        <w:tc>
          <w:tcPr>
            <w:tcW w:w="1136" w:type="pct"/>
            <w:tcBorders>
              <w:top w:val="single" w:sz="4" w:space="0" w:color="auto"/>
              <w:bottom w:val="single" w:sz="4" w:space="0" w:color="auto"/>
            </w:tcBorders>
          </w:tcPr>
          <w:p w14:paraId="2111BCA5" w14:textId="77777777" w:rsidR="00D3430B" w:rsidRPr="00616B26" w:rsidRDefault="00D3430B" w:rsidP="00F36942">
            <w:pPr>
              <w:pStyle w:val="Tabletext"/>
              <w:rPr>
                <w:snapToGrid w:val="0"/>
              </w:rPr>
            </w:pPr>
            <w:r w:rsidRPr="00616B26">
              <w:rPr>
                <w:snapToGrid w:val="0"/>
              </w:rPr>
              <w:t>39</w:t>
            </w:r>
          </w:p>
        </w:tc>
        <w:tc>
          <w:tcPr>
            <w:tcW w:w="966" w:type="pct"/>
            <w:tcBorders>
              <w:top w:val="single" w:sz="4" w:space="0" w:color="auto"/>
              <w:bottom w:val="single" w:sz="4" w:space="0" w:color="auto"/>
            </w:tcBorders>
            <w:vAlign w:val="bottom"/>
          </w:tcPr>
          <w:p w14:paraId="407EBF69" w14:textId="77777777" w:rsidR="00D3430B" w:rsidRPr="000F120F" w:rsidRDefault="00D3430B" w:rsidP="00F36942">
            <w:pPr>
              <w:pStyle w:val="Tabletext"/>
              <w:rPr>
                <w:snapToGrid w:val="0"/>
              </w:rPr>
            </w:pPr>
            <w:r w:rsidRPr="00295986">
              <w:t>39</w:t>
            </w:r>
            <w:r w:rsidR="00D7157D">
              <w:t>.</w:t>
            </w:r>
            <w:r w:rsidRPr="00295986">
              <w:t>3406</w:t>
            </w:r>
          </w:p>
        </w:tc>
        <w:tc>
          <w:tcPr>
            <w:tcW w:w="966" w:type="pct"/>
            <w:tcBorders>
              <w:top w:val="single" w:sz="4" w:space="0" w:color="auto"/>
              <w:bottom w:val="single" w:sz="4" w:space="0" w:color="auto"/>
            </w:tcBorders>
            <w:vAlign w:val="bottom"/>
          </w:tcPr>
          <w:p w14:paraId="59820532" w14:textId="77777777" w:rsidR="00D3430B" w:rsidRPr="000F120F" w:rsidRDefault="00D3430B" w:rsidP="00F36942">
            <w:pPr>
              <w:pStyle w:val="Tabletext"/>
              <w:rPr>
                <w:snapToGrid w:val="0"/>
              </w:rPr>
            </w:pPr>
            <w:r w:rsidRPr="00295986">
              <w:t>3</w:t>
            </w:r>
            <w:r w:rsidR="00D7157D">
              <w:t>.</w:t>
            </w:r>
            <w:r w:rsidRPr="00295986">
              <w:t>7963</w:t>
            </w:r>
          </w:p>
        </w:tc>
        <w:tc>
          <w:tcPr>
            <w:tcW w:w="966" w:type="pct"/>
            <w:tcBorders>
              <w:top w:val="single" w:sz="4" w:space="0" w:color="auto"/>
              <w:bottom w:val="single" w:sz="4" w:space="0" w:color="auto"/>
            </w:tcBorders>
            <w:vAlign w:val="bottom"/>
          </w:tcPr>
          <w:p w14:paraId="6C0E3823" w14:textId="77777777" w:rsidR="00D3430B" w:rsidRPr="000F120F" w:rsidRDefault="00D3430B" w:rsidP="00F36942">
            <w:pPr>
              <w:pStyle w:val="Tabletext"/>
              <w:rPr>
                <w:snapToGrid w:val="0"/>
              </w:rPr>
            </w:pPr>
            <w:r w:rsidRPr="00295986">
              <w:t>41</w:t>
            </w:r>
            <w:r w:rsidR="00D7157D">
              <w:t>.</w:t>
            </w:r>
            <w:r w:rsidRPr="00295986">
              <w:t>0694</w:t>
            </w:r>
          </w:p>
        </w:tc>
        <w:tc>
          <w:tcPr>
            <w:tcW w:w="966" w:type="pct"/>
            <w:tcBorders>
              <w:top w:val="single" w:sz="4" w:space="0" w:color="auto"/>
              <w:bottom w:val="single" w:sz="4" w:space="0" w:color="auto"/>
            </w:tcBorders>
            <w:vAlign w:val="bottom"/>
          </w:tcPr>
          <w:p w14:paraId="788C82E8" w14:textId="77777777" w:rsidR="00D3430B" w:rsidRPr="000F120F" w:rsidRDefault="00D3430B" w:rsidP="00F36942">
            <w:pPr>
              <w:pStyle w:val="Tabletext"/>
              <w:rPr>
                <w:snapToGrid w:val="0"/>
              </w:rPr>
            </w:pPr>
            <w:r w:rsidRPr="00295986">
              <w:t>1</w:t>
            </w:r>
            <w:r w:rsidR="00D7157D">
              <w:t>.</w:t>
            </w:r>
            <w:r w:rsidRPr="00295986">
              <w:t>5574</w:t>
            </w:r>
          </w:p>
        </w:tc>
      </w:tr>
      <w:tr w:rsidR="00D3430B" w:rsidRPr="009E2595" w14:paraId="2C79E65D" w14:textId="77777777" w:rsidTr="00F36942">
        <w:trPr>
          <w:cantSplit/>
        </w:trPr>
        <w:tc>
          <w:tcPr>
            <w:tcW w:w="1136" w:type="pct"/>
            <w:tcBorders>
              <w:top w:val="single" w:sz="4" w:space="0" w:color="auto"/>
              <w:bottom w:val="single" w:sz="4" w:space="0" w:color="auto"/>
            </w:tcBorders>
          </w:tcPr>
          <w:p w14:paraId="748719A7" w14:textId="77777777" w:rsidR="00D3430B" w:rsidRPr="00616B26" w:rsidRDefault="00D3430B" w:rsidP="00F36942">
            <w:pPr>
              <w:pStyle w:val="Tabletext"/>
              <w:rPr>
                <w:snapToGrid w:val="0"/>
              </w:rPr>
            </w:pPr>
            <w:r w:rsidRPr="00616B26">
              <w:rPr>
                <w:snapToGrid w:val="0"/>
              </w:rPr>
              <w:t>40</w:t>
            </w:r>
          </w:p>
        </w:tc>
        <w:tc>
          <w:tcPr>
            <w:tcW w:w="966" w:type="pct"/>
            <w:tcBorders>
              <w:top w:val="single" w:sz="4" w:space="0" w:color="auto"/>
              <w:bottom w:val="single" w:sz="4" w:space="0" w:color="auto"/>
            </w:tcBorders>
            <w:vAlign w:val="bottom"/>
          </w:tcPr>
          <w:p w14:paraId="7DEFFFEB" w14:textId="77777777" w:rsidR="00D3430B" w:rsidRPr="000F120F" w:rsidRDefault="00D3430B" w:rsidP="00F36942">
            <w:pPr>
              <w:pStyle w:val="Tabletext"/>
              <w:rPr>
                <w:snapToGrid w:val="0"/>
              </w:rPr>
            </w:pPr>
            <w:r w:rsidRPr="00295986">
              <w:t>38</w:t>
            </w:r>
            <w:r w:rsidR="00D7157D">
              <w:t>.</w:t>
            </w:r>
            <w:r w:rsidRPr="00295986">
              <w:t>6955</w:t>
            </w:r>
          </w:p>
        </w:tc>
        <w:tc>
          <w:tcPr>
            <w:tcW w:w="966" w:type="pct"/>
            <w:tcBorders>
              <w:top w:val="single" w:sz="4" w:space="0" w:color="auto"/>
              <w:bottom w:val="single" w:sz="4" w:space="0" w:color="auto"/>
            </w:tcBorders>
            <w:vAlign w:val="bottom"/>
          </w:tcPr>
          <w:p w14:paraId="7B39DC12" w14:textId="77777777" w:rsidR="00D3430B" w:rsidRPr="000F120F" w:rsidRDefault="00D3430B" w:rsidP="00F36942">
            <w:pPr>
              <w:pStyle w:val="Tabletext"/>
              <w:rPr>
                <w:snapToGrid w:val="0"/>
              </w:rPr>
            </w:pPr>
            <w:r w:rsidRPr="00295986">
              <w:t>3</w:t>
            </w:r>
            <w:r w:rsidR="00D7157D">
              <w:t>.</w:t>
            </w:r>
            <w:r w:rsidRPr="00295986">
              <w:t>8289</w:t>
            </w:r>
          </w:p>
        </w:tc>
        <w:tc>
          <w:tcPr>
            <w:tcW w:w="966" w:type="pct"/>
            <w:tcBorders>
              <w:top w:val="single" w:sz="4" w:space="0" w:color="auto"/>
              <w:bottom w:val="single" w:sz="4" w:space="0" w:color="auto"/>
            </w:tcBorders>
            <w:vAlign w:val="bottom"/>
          </w:tcPr>
          <w:p w14:paraId="75BC888F" w14:textId="77777777" w:rsidR="00D3430B" w:rsidRPr="000F120F" w:rsidRDefault="00D3430B" w:rsidP="00F36942">
            <w:pPr>
              <w:pStyle w:val="Tabletext"/>
              <w:rPr>
                <w:snapToGrid w:val="0"/>
              </w:rPr>
            </w:pPr>
            <w:r w:rsidRPr="00295986">
              <w:t>40</w:t>
            </w:r>
            <w:r w:rsidR="00D7157D">
              <w:t>.</w:t>
            </w:r>
            <w:r w:rsidRPr="00295986">
              <w:t>4316</w:t>
            </w:r>
          </w:p>
        </w:tc>
        <w:tc>
          <w:tcPr>
            <w:tcW w:w="966" w:type="pct"/>
            <w:tcBorders>
              <w:top w:val="single" w:sz="4" w:space="0" w:color="auto"/>
              <w:bottom w:val="single" w:sz="4" w:space="0" w:color="auto"/>
            </w:tcBorders>
            <w:vAlign w:val="bottom"/>
          </w:tcPr>
          <w:p w14:paraId="5CCFD70D" w14:textId="77777777" w:rsidR="00D3430B" w:rsidRPr="000F120F" w:rsidRDefault="00D3430B" w:rsidP="00F36942">
            <w:pPr>
              <w:pStyle w:val="Tabletext"/>
              <w:rPr>
                <w:snapToGrid w:val="0"/>
              </w:rPr>
            </w:pPr>
            <w:r w:rsidRPr="00295986">
              <w:t>1</w:t>
            </w:r>
            <w:r w:rsidR="00D7157D">
              <w:t>.</w:t>
            </w:r>
            <w:r w:rsidRPr="00295986">
              <w:t>5727</w:t>
            </w:r>
          </w:p>
        </w:tc>
      </w:tr>
      <w:tr w:rsidR="00D3430B" w:rsidRPr="009E2595" w14:paraId="6C63A2D6" w14:textId="77777777" w:rsidTr="00F36942">
        <w:trPr>
          <w:cantSplit/>
        </w:trPr>
        <w:tc>
          <w:tcPr>
            <w:tcW w:w="1136" w:type="pct"/>
            <w:tcBorders>
              <w:top w:val="single" w:sz="4" w:space="0" w:color="auto"/>
              <w:bottom w:val="single" w:sz="4" w:space="0" w:color="auto"/>
            </w:tcBorders>
          </w:tcPr>
          <w:p w14:paraId="5B87530D" w14:textId="77777777" w:rsidR="00D3430B" w:rsidRPr="00616B26" w:rsidRDefault="00D3430B" w:rsidP="00F36942">
            <w:pPr>
              <w:pStyle w:val="Tabletext"/>
              <w:rPr>
                <w:snapToGrid w:val="0"/>
              </w:rPr>
            </w:pPr>
            <w:r w:rsidRPr="00616B26">
              <w:rPr>
                <w:snapToGrid w:val="0"/>
              </w:rPr>
              <w:t>41</w:t>
            </w:r>
          </w:p>
        </w:tc>
        <w:tc>
          <w:tcPr>
            <w:tcW w:w="966" w:type="pct"/>
            <w:tcBorders>
              <w:top w:val="single" w:sz="4" w:space="0" w:color="auto"/>
              <w:bottom w:val="single" w:sz="4" w:space="0" w:color="auto"/>
            </w:tcBorders>
            <w:vAlign w:val="bottom"/>
          </w:tcPr>
          <w:p w14:paraId="718A0EAF" w14:textId="77777777" w:rsidR="00D3430B" w:rsidRPr="000F120F" w:rsidRDefault="00D3430B" w:rsidP="00F36942">
            <w:pPr>
              <w:pStyle w:val="Tabletext"/>
              <w:rPr>
                <w:snapToGrid w:val="0"/>
              </w:rPr>
            </w:pPr>
            <w:r w:rsidRPr="00295986">
              <w:t>38</w:t>
            </w:r>
            <w:r w:rsidR="00D7157D">
              <w:t>.</w:t>
            </w:r>
            <w:r w:rsidRPr="00295986">
              <w:t>0455</w:t>
            </w:r>
          </w:p>
        </w:tc>
        <w:tc>
          <w:tcPr>
            <w:tcW w:w="966" w:type="pct"/>
            <w:tcBorders>
              <w:top w:val="single" w:sz="4" w:space="0" w:color="auto"/>
              <w:bottom w:val="single" w:sz="4" w:space="0" w:color="auto"/>
            </w:tcBorders>
            <w:vAlign w:val="bottom"/>
          </w:tcPr>
          <w:p w14:paraId="58623E2B" w14:textId="77777777" w:rsidR="00D3430B" w:rsidRPr="000F120F" w:rsidRDefault="00D3430B" w:rsidP="00F36942">
            <w:pPr>
              <w:pStyle w:val="Tabletext"/>
              <w:rPr>
                <w:snapToGrid w:val="0"/>
              </w:rPr>
            </w:pPr>
            <w:r w:rsidRPr="00295986">
              <w:t>3</w:t>
            </w:r>
            <w:r w:rsidR="00D7157D">
              <w:t>.</w:t>
            </w:r>
            <w:r w:rsidRPr="00295986">
              <w:t>7324</w:t>
            </w:r>
          </w:p>
        </w:tc>
        <w:tc>
          <w:tcPr>
            <w:tcW w:w="966" w:type="pct"/>
            <w:tcBorders>
              <w:top w:val="single" w:sz="4" w:space="0" w:color="auto"/>
              <w:bottom w:val="single" w:sz="4" w:space="0" w:color="auto"/>
            </w:tcBorders>
            <w:vAlign w:val="bottom"/>
          </w:tcPr>
          <w:p w14:paraId="4BF7D55B" w14:textId="77777777" w:rsidR="00D3430B" w:rsidRPr="000F120F" w:rsidRDefault="00D3430B" w:rsidP="00F36942">
            <w:pPr>
              <w:pStyle w:val="Tabletext"/>
              <w:rPr>
                <w:snapToGrid w:val="0"/>
              </w:rPr>
            </w:pPr>
            <w:r w:rsidRPr="00295986">
              <w:t>39</w:t>
            </w:r>
            <w:r w:rsidR="00D7157D">
              <w:t>.</w:t>
            </w:r>
            <w:r w:rsidRPr="00295986">
              <w:t>7881</w:t>
            </w:r>
          </w:p>
        </w:tc>
        <w:tc>
          <w:tcPr>
            <w:tcW w:w="966" w:type="pct"/>
            <w:tcBorders>
              <w:top w:val="single" w:sz="4" w:space="0" w:color="auto"/>
              <w:bottom w:val="single" w:sz="4" w:space="0" w:color="auto"/>
            </w:tcBorders>
            <w:vAlign w:val="bottom"/>
          </w:tcPr>
          <w:p w14:paraId="7DC0E6D0" w14:textId="77777777" w:rsidR="00D3430B" w:rsidRPr="000F120F" w:rsidRDefault="00D3430B" w:rsidP="00F36942">
            <w:pPr>
              <w:pStyle w:val="Tabletext"/>
              <w:rPr>
                <w:snapToGrid w:val="0"/>
              </w:rPr>
            </w:pPr>
            <w:r w:rsidRPr="00295986">
              <w:t>1</w:t>
            </w:r>
            <w:r w:rsidR="00D7157D">
              <w:t>.</w:t>
            </w:r>
            <w:r w:rsidRPr="00295986">
              <w:t>4926</w:t>
            </w:r>
          </w:p>
        </w:tc>
      </w:tr>
      <w:tr w:rsidR="00D3430B" w:rsidRPr="009E2595" w14:paraId="2B8CD766" w14:textId="77777777" w:rsidTr="00F36942">
        <w:trPr>
          <w:cantSplit/>
        </w:trPr>
        <w:tc>
          <w:tcPr>
            <w:tcW w:w="1136" w:type="pct"/>
            <w:tcBorders>
              <w:top w:val="single" w:sz="4" w:space="0" w:color="auto"/>
              <w:bottom w:val="single" w:sz="4" w:space="0" w:color="auto"/>
            </w:tcBorders>
          </w:tcPr>
          <w:p w14:paraId="456ACD86" w14:textId="77777777" w:rsidR="00D3430B" w:rsidRPr="00616B26" w:rsidRDefault="00D3430B" w:rsidP="00F36942">
            <w:pPr>
              <w:pStyle w:val="Tabletext"/>
              <w:rPr>
                <w:snapToGrid w:val="0"/>
              </w:rPr>
            </w:pPr>
            <w:r w:rsidRPr="00616B26">
              <w:rPr>
                <w:snapToGrid w:val="0"/>
              </w:rPr>
              <w:t>42</w:t>
            </w:r>
          </w:p>
        </w:tc>
        <w:tc>
          <w:tcPr>
            <w:tcW w:w="966" w:type="pct"/>
            <w:tcBorders>
              <w:top w:val="single" w:sz="4" w:space="0" w:color="auto"/>
              <w:bottom w:val="single" w:sz="4" w:space="0" w:color="auto"/>
            </w:tcBorders>
            <w:vAlign w:val="bottom"/>
          </w:tcPr>
          <w:p w14:paraId="2D5B692B" w14:textId="77777777" w:rsidR="00D3430B" w:rsidRPr="000F120F" w:rsidRDefault="00D3430B" w:rsidP="00F36942">
            <w:pPr>
              <w:pStyle w:val="Tabletext"/>
              <w:rPr>
                <w:snapToGrid w:val="0"/>
              </w:rPr>
            </w:pPr>
            <w:r w:rsidRPr="00295986">
              <w:t>37</w:t>
            </w:r>
            <w:r w:rsidR="00D7157D">
              <w:t>.</w:t>
            </w:r>
            <w:r w:rsidRPr="00295986">
              <w:t>3909</w:t>
            </w:r>
          </w:p>
        </w:tc>
        <w:tc>
          <w:tcPr>
            <w:tcW w:w="966" w:type="pct"/>
            <w:tcBorders>
              <w:top w:val="single" w:sz="4" w:space="0" w:color="auto"/>
              <w:bottom w:val="single" w:sz="4" w:space="0" w:color="auto"/>
            </w:tcBorders>
            <w:vAlign w:val="bottom"/>
          </w:tcPr>
          <w:p w14:paraId="26DE6825" w14:textId="77777777" w:rsidR="00D3430B" w:rsidRPr="000F120F" w:rsidRDefault="00D3430B" w:rsidP="00F36942">
            <w:pPr>
              <w:pStyle w:val="Tabletext"/>
              <w:rPr>
                <w:snapToGrid w:val="0"/>
              </w:rPr>
            </w:pPr>
            <w:r w:rsidRPr="00295986">
              <w:t>3</w:t>
            </w:r>
            <w:r w:rsidR="00D7157D">
              <w:t>.</w:t>
            </w:r>
            <w:r w:rsidRPr="00295986">
              <w:t>6329</w:t>
            </w:r>
          </w:p>
        </w:tc>
        <w:tc>
          <w:tcPr>
            <w:tcW w:w="966" w:type="pct"/>
            <w:tcBorders>
              <w:top w:val="single" w:sz="4" w:space="0" w:color="auto"/>
              <w:bottom w:val="single" w:sz="4" w:space="0" w:color="auto"/>
            </w:tcBorders>
            <w:vAlign w:val="bottom"/>
          </w:tcPr>
          <w:p w14:paraId="3D4E1EE5" w14:textId="77777777" w:rsidR="00D3430B" w:rsidRPr="000F120F" w:rsidRDefault="00D3430B" w:rsidP="00F36942">
            <w:pPr>
              <w:pStyle w:val="Tabletext"/>
              <w:rPr>
                <w:snapToGrid w:val="0"/>
              </w:rPr>
            </w:pPr>
            <w:r w:rsidRPr="00295986">
              <w:t>39</w:t>
            </w:r>
            <w:r w:rsidR="00D7157D">
              <w:t>.</w:t>
            </w:r>
            <w:r w:rsidRPr="00295986">
              <w:t>1395</w:t>
            </w:r>
          </w:p>
        </w:tc>
        <w:tc>
          <w:tcPr>
            <w:tcW w:w="966" w:type="pct"/>
            <w:tcBorders>
              <w:top w:val="single" w:sz="4" w:space="0" w:color="auto"/>
              <w:bottom w:val="single" w:sz="4" w:space="0" w:color="auto"/>
            </w:tcBorders>
            <w:vAlign w:val="bottom"/>
          </w:tcPr>
          <w:p w14:paraId="79040DA8" w14:textId="77777777" w:rsidR="00D3430B" w:rsidRPr="000F120F" w:rsidRDefault="00D3430B" w:rsidP="00F36942">
            <w:pPr>
              <w:pStyle w:val="Tabletext"/>
              <w:rPr>
                <w:snapToGrid w:val="0"/>
              </w:rPr>
            </w:pPr>
            <w:r w:rsidRPr="00295986">
              <w:t>1</w:t>
            </w:r>
            <w:r w:rsidR="00D7157D">
              <w:t>.</w:t>
            </w:r>
            <w:r w:rsidRPr="00295986">
              <w:t>4103</w:t>
            </w:r>
          </w:p>
        </w:tc>
      </w:tr>
      <w:tr w:rsidR="00D3430B" w:rsidRPr="009E2595" w14:paraId="6B2BE86D" w14:textId="77777777" w:rsidTr="00F36942">
        <w:trPr>
          <w:cantSplit/>
        </w:trPr>
        <w:tc>
          <w:tcPr>
            <w:tcW w:w="1136" w:type="pct"/>
            <w:tcBorders>
              <w:top w:val="single" w:sz="4" w:space="0" w:color="auto"/>
              <w:bottom w:val="single" w:sz="4" w:space="0" w:color="auto"/>
            </w:tcBorders>
          </w:tcPr>
          <w:p w14:paraId="55303726" w14:textId="77777777" w:rsidR="00D3430B" w:rsidRPr="00616B26" w:rsidRDefault="00D3430B" w:rsidP="00F36942">
            <w:pPr>
              <w:pStyle w:val="Tabletext"/>
              <w:rPr>
                <w:snapToGrid w:val="0"/>
              </w:rPr>
            </w:pPr>
            <w:r w:rsidRPr="00616B26">
              <w:rPr>
                <w:snapToGrid w:val="0"/>
              </w:rPr>
              <w:t>43</w:t>
            </w:r>
          </w:p>
        </w:tc>
        <w:tc>
          <w:tcPr>
            <w:tcW w:w="966" w:type="pct"/>
            <w:tcBorders>
              <w:top w:val="single" w:sz="4" w:space="0" w:color="auto"/>
              <w:bottom w:val="single" w:sz="4" w:space="0" w:color="auto"/>
            </w:tcBorders>
            <w:vAlign w:val="bottom"/>
          </w:tcPr>
          <w:p w14:paraId="35C09781" w14:textId="77777777" w:rsidR="00D3430B" w:rsidRPr="000F120F" w:rsidRDefault="00D3430B" w:rsidP="00F36942">
            <w:pPr>
              <w:pStyle w:val="Tabletext"/>
              <w:rPr>
                <w:snapToGrid w:val="0"/>
              </w:rPr>
            </w:pPr>
            <w:r w:rsidRPr="00295986">
              <w:t>36</w:t>
            </w:r>
            <w:r w:rsidR="00D7157D">
              <w:t>.</w:t>
            </w:r>
            <w:r w:rsidRPr="00295986">
              <w:t>7315</w:t>
            </w:r>
          </w:p>
        </w:tc>
        <w:tc>
          <w:tcPr>
            <w:tcW w:w="966" w:type="pct"/>
            <w:tcBorders>
              <w:top w:val="single" w:sz="4" w:space="0" w:color="auto"/>
              <w:bottom w:val="single" w:sz="4" w:space="0" w:color="auto"/>
            </w:tcBorders>
            <w:vAlign w:val="bottom"/>
          </w:tcPr>
          <w:p w14:paraId="3880FC84" w14:textId="77777777" w:rsidR="00D3430B" w:rsidRPr="000F120F" w:rsidRDefault="00D3430B" w:rsidP="00F36942">
            <w:pPr>
              <w:pStyle w:val="Tabletext"/>
              <w:rPr>
                <w:snapToGrid w:val="0"/>
              </w:rPr>
            </w:pPr>
            <w:r w:rsidRPr="00295986">
              <w:t>3</w:t>
            </w:r>
            <w:r w:rsidR="00D7157D">
              <w:t>.</w:t>
            </w:r>
            <w:r w:rsidRPr="00295986">
              <w:t>5308</w:t>
            </w:r>
          </w:p>
        </w:tc>
        <w:tc>
          <w:tcPr>
            <w:tcW w:w="966" w:type="pct"/>
            <w:tcBorders>
              <w:top w:val="single" w:sz="4" w:space="0" w:color="auto"/>
              <w:bottom w:val="single" w:sz="4" w:space="0" w:color="auto"/>
            </w:tcBorders>
            <w:vAlign w:val="bottom"/>
          </w:tcPr>
          <w:p w14:paraId="476426D3" w14:textId="77777777" w:rsidR="00D3430B" w:rsidRPr="000F120F" w:rsidRDefault="00D3430B" w:rsidP="00F36942">
            <w:pPr>
              <w:pStyle w:val="Tabletext"/>
              <w:rPr>
                <w:snapToGrid w:val="0"/>
              </w:rPr>
            </w:pPr>
            <w:r w:rsidRPr="00295986">
              <w:t>38</w:t>
            </w:r>
            <w:r w:rsidR="00D7157D">
              <w:t>.</w:t>
            </w:r>
            <w:r w:rsidRPr="00295986">
              <w:t>4852</w:t>
            </w:r>
          </w:p>
        </w:tc>
        <w:tc>
          <w:tcPr>
            <w:tcW w:w="966" w:type="pct"/>
            <w:tcBorders>
              <w:top w:val="single" w:sz="4" w:space="0" w:color="auto"/>
              <w:bottom w:val="single" w:sz="4" w:space="0" w:color="auto"/>
            </w:tcBorders>
            <w:vAlign w:val="bottom"/>
          </w:tcPr>
          <w:p w14:paraId="68324271" w14:textId="77777777" w:rsidR="00D3430B" w:rsidRPr="000F120F" w:rsidRDefault="00D3430B" w:rsidP="00F36942">
            <w:pPr>
              <w:pStyle w:val="Tabletext"/>
              <w:rPr>
                <w:snapToGrid w:val="0"/>
              </w:rPr>
            </w:pPr>
            <w:r w:rsidRPr="00295986">
              <w:t>1</w:t>
            </w:r>
            <w:r w:rsidR="00D7157D">
              <w:t>.</w:t>
            </w:r>
            <w:r w:rsidRPr="00295986">
              <w:t>3261</w:t>
            </w:r>
          </w:p>
        </w:tc>
      </w:tr>
      <w:tr w:rsidR="00D3430B" w:rsidRPr="009E2595" w14:paraId="64B0090B" w14:textId="77777777" w:rsidTr="00F36942">
        <w:trPr>
          <w:cantSplit/>
        </w:trPr>
        <w:tc>
          <w:tcPr>
            <w:tcW w:w="1136" w:type="pct"/>
            <w:tcBorders>
              <w:top w:val="single" w:sz="4" w:space="0" w:color="auto"/>
              <w:bottom w:val="single" w:sz="4" w:space="0" w:color="auto"/>
            </w:tcBorders>
          </w:tcPr>
          <w:p w14:paraId="0E8095B6" w14:textId="77777777" w:rsidR="00D3430B" w:rsidRPr="00616B26" w:rsidRDefault="00D3430B" w:rsidP="00F36942">
            <w:pPr>
              <w:pStyle w:val="Tabletext"/>
              <w:rPr>
                <w:snapToGrid w:val="0"/>
              </w:rPr>
            </w:pPr>
            <w:r w:rsidRPr="00616B26">
              <w:rPr>
                <w:snapToGrid w:val="0"/>
              </w:rPr>
              <w:t>44</w:t>
            </w:r>
          </w:p>
        </w:tc>
        <w:tc>
          <w:tcPr>
            <w:tcW w:w="966" w:type="pct"/>
            <w:tcBorders>
              <w:top w:val="single" w:sz="4" w:space="0" w:color="auto"/>
              <w:bottom w:val="single" w:sz="4" w:space="0" w:color="auto"/>
            </w:tcBorders>
            <w:vAlign w:val="bottom"/>
          </w:tcPr>
          <w:p w14:paraId="75FC212F" w14:textId="77777777" w:rsidR="00D3430B" w:rsidRPr="000F120F" w:rsidRDefault="00D3430B" w:rsidP="00F36942">
            <w:pPr>
              <w:pStyle w:val="Tabletext"/>
              <w:rPr>
                <w:snapToGrid w:val="0"/>
              </w:rPr>
            </w:pPr>
            <w:r w:rsidRPr="00295986">
              <w:t>36</w:t>
            </w:r>
            <w:r w:rsidR="00D7157D">
              <w:t>.</w:t>
            </w:r>
            <w:r w:rsidRPr="00295986">
              <w:t>0673</w:t>
            </w:r>
          </w:p>
        </w:tc>
        <w:tc>
          <w:tcPr>
            <w:tcW w:w="966" w:type="pct"/>
            <w:tcBorders>
              <w:top w:val="single" w:sz="4" w:space="0" w:color="auto"/>
              <w:bottom w:val="single" w:sz="4" w:space="0" w:color="auto"/>
            </w:tcBorders>
            <w:vAlign w:val="bottom"/>
          </w:tcPr>
          <w:p w14:paraId="6491FF82" w14:textId="77777777" w:rsidR="00D3430B" w:rsidRPr="000F120F" w:rsidRDefault="00D3430B" w:rsidP="00F36942">
            <w:pPr>
              <w:pStyle w:val="Tabletext"/>
              <w:rPr>
                <w:snapToGrid w:val="0"/>
              </w:rPr>
            </w:pPr>
            <w:r w:rsidRPr="00295986">
              <w:t>3</w:t>
            </w:r>
            <w:r w:rsidR="00D7157D">
              <w:t>.</w:t>
            </w:r>
            <w:r w:rsidRPr="00295986">
              <w:t>4261</w:t>
            </w:r>
          </w:p>
        </w:tc>
        <w:tc>
          <w:tcPr>
            <w:tcW w:w="966" w:type="pct"/>
            <w:tcBorders>
              <w:top w:val="single" w:sz="4" w:space="0" w:color="auto"/>
              <w:bottom w:val="single" w:sz="4" w:space="0" w:color="auto"/>
            </w:tcBorders>
            <w:vAlign w:val="bottom"/>
          </w:tcPr>
          <w:p w14:paraId="50040CBF" w14:textId="77777777" w:rsidR="00D3430B" w:rsidRPr="000F120F" w:rsidRDefault="00D3430B" w:rsidP="00F36942">
            <w:pPr>
              <w:pStyle w:val="Tabletext"/>
              <w:rPr>
                <w:snapToGrid w:val="0"/>
              </w:rPr>
            </w:pPr>
            <w:r w:rsidRPr="00295986">
              <w:t>37</w:t>
            </w:r>
            <w:r w:rsidR="00D7157D">
              <w:t>.</w:t>
            </w:r>
            <w:r w:rsidRPr="00295986">
              <w:t>8257</w:t>
            </w:r>
          </w:p>
        </w:tc>
        <w:tc>
          <w:tcPr>
            <w:tcW w:w="966" w:type="pct"/>
            <w:tcBorders>
              <w:top w:val="single" w:sz="4" w:space="0" w:color="auto"/>
              <w:bottom w:val="single" w:sz="4" w:space="0" w:color="auto"/>
            </w:tcBorders>
            <w:vAlign w:val="bottom"/>
          </w:tcPr>
          <w:p w14:paraId="4669D227" w14:textId="77777777" w:rsidR="00D3430B" w:rsidRPr="000F120F" w:rsidRDefault="00D3430B" w:rsidP="00F36942">
            <w:pPr>
              <w:pStyle w:val="Tabletext"/>
              <w:rPr>
                <w:snapToGrid w:val="0"/>
              </w:rPr>
            </w:pPr>
            <w:r w:rsidRPr="00295986">
              <w:t>1</w:t>
            </w:r>
            <w:r w:rsidR="00D7157D">
              <w:t>.</w:t>
            </w:r>
            <w:r w:rsidRPr="00295986">
              <w:t>2399</w:t>
            </w:r>
          </w:p>
        </w:tc>
      </w:tr>
      <w:tr w:rsidR="00D3430B" w:rsidRPr="009E2595" w14:paraId="2AE8DF51" w14:textId="77777777" w:rsidTr="00F36942">
        <w:trPr>
          <w:cantSplit/>
        </w:trPr>
        <w:tc>
          <w:tcPr>
            <w:tcW w:w="1136" w:type="pct"/>
            <w:tcBorders>
              <w:top w:val="single" w:sz="4" w:space="0" w:color="auto"/>
              <w:bottom w:val="single" w:sz="4" w:space="0" w:color="auto"/>
            </w:tcBorders>
          </w:tcPr>
          <w:p w14:paraId="5057D3E5" w14:textId="77777777" w:rsidR="00D3430B" w:rsidRPr="00616B26" w:rsidRDefault="00D3430B" w:rsidP="00F36942">
            <w:pPr>
              <w:pStyle w:val="Tabletext"/>
              <w:rPr>
                <w:snapToGrid w:val="0"/>
              </w:rPr>
            </w:pPr>
            <w:r w:rsidRPr="00616B26">
              <w:rPr>
                <w:snapToGrid w:val="0"/>
              </w:rPr>
              <w:t>45</w:t>
            </w:r>
          </w:p>
        </w:tc>
        <w:tc>
          <w:tcPr>
            <w:tcW w:w="966" w:type="pct"/>
            <w:tcBorders>
              <w:top w:val="single" w:sz="4" w:space="0" w:color="auto"/>
              <w:bottom w:val="single" w:sz="4" w:space="0" w:color="auto"/>
            </w:tcBorders>
            <w:vAlign w:val="bottom"/>
          </w:tcPr>
          <w:p w14:paraId="5468DD6B" w14:textId="77777777" w:rsidR="00D3430B" w:rsidRPr="000F120F" w:rsidRDefault="00D3430B" w:rsidP="00F36942">
            <w:pPr>
              <w:pStyle w:val="Tabletext"/>
              <w:rPr>
                <w:snapToGrid w:val="0"/>
              </w:rPr>
            </w:pPr>
            <w:r w:rsidRPr="00295986">
              <w:t>35</w:t>
            </w:r>
            <w:r w:rsidR="00D7157D">
              <w:t>.</w:t>
            </w:r>
            <w:r w:rsidRPr="00295986">
              <w:t>3989</w:t>
            </w:r>
          </w:p>
        </w:tc>
        <w:tc>
          <w:tcPr>
            <w:tcW w:w="966" w:type="pct"/>
            <w:tcBorders>
              <w:top w:val="single" w:sz="4" w:space="0" w:color="auto"/>
              <w:bottom w:val="single" w:sz="4" w:space="0" w:color="auto"/>
            </w:tcBorders>
            <w:vAlign w:val="bottom"/>
          </w:tcPr>
          <w:p w14:paraId="56033AEB" w14:textId="77777777" w:rsidR="00D3430B" w:rsidRPr="000F120F" w:rsidRDefault="00D3430B" w:rsidP="00F36942">
            <w:pPr>
              <w:pStyle w:val="Tabletext"/>
              <w:rPr>
                <w:snapToGrid w:val="0"/>
              </w:rPr>
            </w:pPr>
            <w:r w:rsidRPr="00295986">
              <w:t>3</w:t>
            </w:r>
            <w:r w:rsidR="00D7157D">
              <w:t>.</w:t>
            </w:r>
            <w:r w:rsidRPr="00295986">
              <w:t>3186</w:t>
            </w:r>
          </w:p>
        </w:tc>
        <w:tc>
          <w:tcPr>
            <w:tcW w:w="966" w:type="pct"/>
            <w:tcBorders>
              <w:top w:val="single" w:sz="4" w:space="0" w:color="auto"/>
              <w:bottom w:val="single" w:sz="4" w:space="0" w:color="auto"/>
            </w:tcBorders>
            <w:vAlign w:val="bottom"/>
          </w:tcPr>
          <w:p w14:paraId="54F83C89" w14:textId="77777777" w:rsidR="00D3430B" w:rsidRPr="000F120F" w:rsidRDefault="00D3430B" w:rsidP="00F36942">
            <w:pPr>
              <w:pStyle w:val="Tabletext"/>
              <w:rPr>
                <w:snapToGrid w:val="0"/>
              </w:rPr>
            </w:pPr>
            <w:r w:rsidRPr="00295986">
              <w:t>37</w:t>
            </w:r>
            <w:r w:rsidR="00D7157D">
              <w:t>.</w:t>
            </w:r>
            <w:r w:rsidRPr="00295986">
              <w:t>1608</w:t>
            </w:r>
          </w:p>
        </w:tc>
        <w:tc>
          <w:tcPr>
            <w:tcW w:w="966" w:type="pct"/>
            <w:tcBorders>
              <w:top w:val="single" w:sz="4" w:space="0" w:color="auto"/>
              <w:bottom w:val="single" w:sz="4" w:space="0" w:color="auto"/>
            </w:tcBorders>
            <w:vAlign w:val="bottom"/>
          </w:tcPr>
          <w:p w14:paraId="52373493" w14:textId="77777777" w:rsidR="00D3430B" w:rsidRPr="000F120F" w:rsidRDefault="00D3430B" w:rsidP="00F36942">
            <w:pPr>
              <w:pStyle w:val="Tabletext"/>
              <w:rPr>
                <w:snapToGrid w:val="0"/>
              </w:rPr>
            </w:pPr>
            <w:r w:rsidRPr="00295986">
              <w:t>1</w:t>
            </w:r>
            <w:r w:rsidR="00D7157D">
              <w:t>.</w:t>
            </w:r>
            <w:r w:rsidRPr="00295986">
              <w:t>1517</w:t>
            </w:r>
          </w:p>
        </w:tc>
      </w:tr>
      <w:tr w:rsidR="00D3430B" w:rsidRPr="009E2595" w14:paraId="2E3EC0EC" w14:textId="77777777" w:rsidTr="00F36942">
        <w:trPr>
          <w:cantSplit/>
        </w:trPr>
        <w:tc>
          <w:tcPr>
            <w:tcW w:w="1136" w:type="pct"/>
            <w:tcBorders>
              <w:top w:val="single" w:sz="4" w:space="0" w:color="auto"/>
              <w:bottom w:val="single" w:sz="4" w:space="0" w:color="auto"/>
            </w:tcBorders>
          </w:tcPr>
          <w:p w14:paraId="42CC0031" w14:textId="77777777" w:rsidR="00D3430B" w:rsidRPr="00616B26" w:rsidRDefault="00D3430B" w:rsidP="00F36942">
            <w:pPr>
              <w:pStyle w:val="Tabletext"/>
              <w:rPr>
                <w:snapToGrid w:val="0"/>
              </w:rPr>
            </w:pPr>
            <w:r w:rsidRPr="00616B26">
              <w:rPr>
                <w:snapToGrid w:val="0"/>
              </w:rPr>
              <w:t>46</w:t>
            </w:r>
          </w:p>
        </w:tc>
        <w:tc>
          <w:tcPr>
            <w:tcW w:w="966" w:type="pct"/>
            <w:tcBorders>
              <w:top w:val="single" w:sz="4" w:space="0" w:color="auto"/>
              <w:bottom w:val="single" w:sz="4" w:space="0" w:color="auto"/>
            </w:tcBorders>
            <w:vAlign w:val="bottom"/>
          </w:tcPr>
          <w:p w14:paraId="27302282" w14:textId="77777777" w:rsidR="00D3430B" w:rsidRPr="000F120F" w:rsidRDefault="00D3430B" w:rsidP="00F36942">
            <w:pPr>
              <w:pStyle w:val="Tabletext"/>
              <w:rPr>
                <w:snapToGrid w:val="0"/>
              </w:rPr>
            </w:pPr>
            <w:r w:rsidRPr="00295986">
              <w:t>34</w:t>
            </w:r>
            <w:r w:rsidR="00D7157D">
              <w:t>.</w:t>
            </w:r>
            <w:r w:rsidRPr="00295986">
              <w:t>7262</w:t>
            </w:r>
          </w:p>
        </w:tc>
        <w:tc>
          <w:tcPr>
            <w:tcW w:w="966" w:type="pct"/>
            <w:tcBorders>
              <w:top w:val="single" w:sz="4" w:space="0" w:color="auto"/>
              <w:bottom w:val="single" w:sz="4" w:space="0" w:color="auto"/>
            </w:tcBorders>
            <w:vAlign w:val="bottom"/>
          </w:tcPr>
          <w:p w14:paraId="7CA88C5F" w14:textId="77777777" w:rsidR="00D3430B" w:rsidRPr="000F120F" w:rsidRDefault="00D3430B" w:rsidP="00F36942">
            <w:pPr>
              <w:pStyle w:val="Tabletext"/>
              <w:rPr>
                <w:snapToGrid w:val="0"/>
              </w:rPr>
            </w:pPr>
            <w:r w:rsidRPr="00295986">
              <w:t>3</w:t>
            </w:r>
            <w:r w:rsidR="00D7157D">
              <w:t>.</w:t>
            </w:r>
            <w:r w:rsidRPr="00295986">
              <w:t>2082</w:t>
            </w:r>
          </w:p>
        </w:tc>
        <w:tc>
          <w:tcPr>
            <w:tcW w:w="966" w:type="pct"/>
            <w:tcBorders>
              <w:top w:val="single" w:sz="4" w:space="0" w:color="auto"/>
              <w:bottom w:val="single" w:sz="4" w:space="0" w:color="auto"/>
            </w:tcBorders>
            <w:vAlign w:val="bottom"/>
          </w:tcPr>
          <w:p w14:paraId="691E0CB9" w14:textId="77777777" w:rsidR="00D3430B" w:rsidRPr="000F120F" w:rsidRDefault="00D3430B" w:rsidP="00F36942">
            <w:pPr>
              <w:pStyle w:val="Tabletext"/>
              <w:rPr>
                <w:snapToGrid w:val="0"/>
              </w:rPr>
            </w:pPr>
            <w:r w:rsidRPr="00295986">
              <w:t>36</w:t>
            </w:r>
            <w:r w:rsidR="00D7157D">
              <w:t>.</w:t>
            </w:r>
            <w:r w:rsidRPr="00295986">
              <w:t>4904</w:t>
            </w:r>
          </w:p>
        </w:tc>
        <w:tc>
          <w:tcPr>
            <w:tcW w:w="966" w:type="pct"/>
            <w:tcBorders>
              <w:top w:val="single" w:sz="4" w:space="0" w:color="auto"/>
              <w:bottom w:val="single" w:sz="4" w:space="0" w:color="auto"/>
            </w:tcBorders>
            <w:vAlign w:val="bottom"/>
          </w:tcPr>
          <w:p w14:paraId="40DB0AEB" w14:textId="77777777" w:rsidR="00D3430B" w:rsidRPr="000F120F" w:rsidRDefault="00D3430B" w:rsidP="00F36942">
            <w:pPr>
              <w:pStyle w:val="Tabletext"/>
              <w:rPr>
                <w:snapToGrid w:val="0"/>
              </w:rPr>
            </w:pPr>
            <w:r w:rsidRPr="00295986">
              <w:t>1</w:t>
            </w:r>
            <w:r w:rsidR="00D7157D">
              <w:t>.</w:t>
            </w:r>
            <w:r w:rsidRPr="00295986">
              <w:t>0617</w:t>
            </w:r>
          </w:p>
        </w:tc>
      </w:tr>
      <w:tr w:rsidR="00D3430B" w:rsidRPr="009E2595" w14:paraId="4071C4C9" w14:textId="77777777" w:rsidTr="00F36942">
        <w:trPr>
          <w:cantSplit/>
        </w:trPr>
        <w:tc>
          <w:tcPr>
            <w:tcW w:w="1136" w:type="pct"/>
            <w:tcBorders>
              <w:top w:val="single" w:sz="4" w:space="0" w:color="auto"/>
              <w:bottom w:val="single" w:sz="4" w:space="0" w:color="auto"/>
            </w:tcBorders>
          </w:tcPr>
          <w:p w14:paraId="387BF8A0" w14:textId="77777777" w:rsidR="00D3430B" w:rsidRPr="00616B26" w:rsidRDefault="00D3430B" w:rsidP="00F36942">
            <w:pPr>
              <w:pStyle w:val="Tabletext"/>
              <w:rPr>
                <w:snapToGrid w:val="0"/>
              </w:rPr>
            </w:pPr>
            <w:r w:rsidRPr="00616B26">
              <w:rPr>
                <w:snapToGrid w:val="0"/>
              </w:rPr>
              <w:t>47</w:t>
            </w:r>
          </w:p>
        </w:tc>
        <w:tc>
          <w:tcPr>
            <w:tcW w:w="966" w:type="pct"/>
            <w:tcBorders>
              <w:top w:val="single" w:sz="4" w:space="0" w:color="auto"/>
              <w:bottom w:val="single" w:sz="4" w:space="0" w:color="auto"/>
            </w:tcBorders>
            <w:vAlign w:val="bottom"/>
          </w:tcPr>
          <w:p w14:paraId="06FDD244" w14:textId="77777777" w:rsidR="00D3430B" w:rsidRPr="000F120F" w:rsidRDefault="00D3430B" w:rsidP="00F36942">
            <w:pPr>
              <w:pStyle w:val="Tabletext"/>
              <w:rPr>
                <w:snapToGrid w:val="0"/>
              </w:rPr>
            </w:pPr>
            <w:r w:rsidRPr="00295986">
              <w:t>34</w:t>
            </w:r>
            <w:r w:rsidR="00D7157D">
              <w:t>.</w:t>
            </w:r>
            <w:r w:rsidRPr="00295986">
              <w:t>0490</w:t>
            </w:r>
          </w:p>
        </w:tc>
        <w:tc>
          <w:tcPr>
            <w:tcW w:w="966" w:type="pct"/>
            <w:tcBorders>
              <w:top w:val="single" w:sz="4" w:space="0" w:color="auto"/>
              <w:bottom w:val="single" w:sz="4" w:space="0" w:color="auto"/>
            </w:tcBorders>
            <w:vAlign w:val="bottom"/>
          </w:tcPr>
          <w:p w14:paraId="527840C3" w14:textId="77777777" w:rsidR="00D3430B" w:rsidRPr="000F120F" w:rsidRDefault="00D3430B" w:rsidP="00F36942">
            <w:pPr>
              <w:pStyle w:val="Tabletext"/>
              <w:rPr>
                <w:snapToGrid w:val="0"/>
              </w:rPr>
            </w:pPr>
            <w:r w:rsidRPr="00295986">
              <w:t>3</w:t>
            </w:r>
            <w:r w:rsidR="00D7157D">
              <w:t>.</w:t>
            </w:r>
            <w:r w:rsidRPr="00295986">
              <w:t>0953</w:t>
            </w:r>
          </w:p>
        </w:tc>
        <w:tc>
          <w:tcPr>
            <w:tcW w:w="966" w:type="pct"/>
            <w:tcBorders>
              <w:top w:val="single" w:sz="4" w:space="0" w:color="auto"/>
              <w:bottom w:val="single" w:sz="4" w:space="0" w:color="auto"/>
            </w:tcBorders>
            <w:vAlign w:val="bottom"/>
          </w:tcPr>
          <w:p w14:paraId="6A594C4F" w14:textId="77777777" w:rsidR="00D3430B" w:rsidRPr="000F120F" w:rsidRDefault="00D3430B" w:rsidP="00F36942">
            <w:pPr>
              <w:pStyle w:val="Tabletext"/>
              <w:rPr>
                <w:snapToGrid w:val="0"/>
              </w:rPr>
            </w:pPr>
            <w:r w:rsidRPr="00295986">
              <w:t>35</w:t>
            </w:r>
            <w:r w:rsidR="00D7157D">
              <w:t>.</w:t>
            </w:r>
            <w:r w:rsidRPr="00295986">
              <w:t>8148</w:t>
            </w:r>
          </w:p>
        </w:tc>
        <w:tc>
          <w:tcPr>
            <w:tcW w:w="966" w:type="pct"/>
            <w:tcBorders>
              <w:top w:val="single" w:sz="4" w:space="0" w:color="auto"/>
              <w:bottom w:val="single" w:sz="4" w:space="0" w:color="auto"/>
            </w:tcBorders>
            <w:vAlign w:val="bottom"/>
          </w:tcPr>
          <w:p w14:paraId="7ED159DF" w14:textId="77777777" w:rsidR="00D3430B" w:rsidRPr="000F120F" w:rsidRDefault="00D3430B" w:rsidP="00F36942">
            <w:pPr>
              <w:pStyle w:val="Tabletext"/>
              <w:rPr>
                <w:snapToGrid w:val="0"/>
              </w:rPr>
            </w:pPr>
            <w:r w:rsidRPr="00295986">
              <w:t>0</w:t>
            </w:r>
            <w:r w:rsidR="00D7157D">
              <w:t>.</w:t>
            </w:r>
            <w:r w:rsidRPr="00295986">
              <w:t>9698</w:t>
            </w:r>
          </w:p>
        </w:tc>
      </w:tr>
      <w:tr w:rsidR="00D3430B" w:rsidRPr="009E2595" w14:paraId="67A04709" w14:textId="77777777" w:rsidTr="00F36942">
        <w:trPr>
          <w:cantSplit/>
        </w:trPr>
        <w:tc>
          <w:tcPr>
            <w:tcW w:w="1136" w:type="pct"/>
            <w:tcBorders>
              <w:top w:val="single" w:sz="4" w:space="0" w:color="auto"/>
              <w:bottom w:val="single" w:sz="4" w:space="0" w:color="auto"/>
            </w:tcBorders>
          </w:tcPr>
          <w:p w14:paraId="679727C3" w14:textId="77777777" w:rsidR="00D3430B" w:rsidRPr="00616B26" w:rsidRDefault="00D3430B" w:rsidP="00F36942">
            <w:pPr>
              <w:pStyle w:val="Tabletext"/>
              <w:rPr>
                <w:snapToGrid w:val="0"/>
              </w:rPr>
            </w:pPr>
            <w:r w:rsidRPr="00616B26">
              <w:rPr>
                <w:snapToGrid w:val="0"/>
              </w:rPr>
              <w:t>48</w:t>
            </w:r>
          </w:p>
        </w:tc>
        <w:tc>
          <w:tcPr>
            <w:tcW w:w="966" w:type="pct"/>
            <w:tcBorders>
              <w:top w:val="single" w:sz="4" w:space="0" w:color="auto"/>
              <w:bottom w:val="single" w:sz="4" w:space="0" w:color="auto"/>
            </w:tcBorders>
            <w:vAlign w:val="bottom"/>
          </w:tcPr>
          <w:p w14:paraId="2CDD4E64" w14:textId="77777777" w:rsidR="00D3430B" w:rsidRPr="000F120F" w:rsidRDefault="00D3430B" w:rsidP="00F36942">
            <w:pPr>
              <w:pStyle w:val="Tabletext"/>
              <w:rPr>
                <w:snapToGrid w:val="0"/>
              </w:rPr>
            </w:pPr>
            <w:r w:rsidRPr="00295986">
              <w:t>33</w:t>
            </w:r>
            <w:r w:rsidR="00D7157D">
              <w:t>.</w:t>
            </w:r>
            <w:r w:rsidRPr="00295986">
              <w:t>3679</w:t>
            </w:r>
          </w:p>
        </w:tc>
        <w:tc>
          <w:tcPr>
            <w:tcW w:w="966" w:type="pct"/>
            <w:tcBorders>
              <w:top w:val="single" w:sz="4" w:space="0" w:color="auto"/>
              <w:bottom w:val="single" w:sz="4" w:space="0" w:color="auto"/>
            </w:tcBorders>
            <w:vAlign w:val="bottom"/>
          </w:tcPr>
          <w:p w14:paraId="4115110B" w14:textId="77777777" w:rsidR="00D3430B" w:rsidRPr="000F120F" w:rsidRDefault="00D3430B" w:rsidP="00F36942">
            <w:pPr>
              <w:pStyle w:val="Tabletext"/>
              <w:rPr>
                <w:snapToGrid w:val="0"/>
              </w:rPr>
            </w:pPr>
            <w:r w:rsidRPr="00295986">
              <w:t>2</w:t>
            </w:r>
            <w:r w:rsidR="00D7157D">
              <w:t>.</w:t>
            </w:r>
            <w:r w:rsidRPr="00295986">
              <w:t>9797</w:t>
            </w:r>
          </w:p>
        </w:tc>
        <w:tc>
          <w:tcPr>
            <w:tcW w:w="966" w:type="pct"/>
            <w:tcBorders>
              <w:top w:val="single" w:sz="4" w:space="0" w:color="auto"/>
              <w:bottom w:val="single" w:sz="4" w:space="0" w:color="auto"/>
            </w:tcBorders>
            <w:vAlign w:val="bottom"/>
          </w:tcPr>
          <w:p w14:paraId="603BAE1B" w14:textId="77777777" w:rsidR="00D3430B" w:rsidRPr="000F120F" w:rsidRDefault="00D3430B" w:rsidP="00F36942">
            <w:pPr>
              <w:pStyle w:val="Tabletext"/>
              <w:rPr>
                <w:snapToGrid w:val="0"/>
              </w:rPr>
            </w:pPr>
            <w:r w:rsidRPr="00295986">
              <w:t>35</w:t>
            </w:r>
            <w:r w:rsidR="00D7157D">
              <w:t>.</w:t>
            </w:r>
            <w:r w:rsidRPr="00295986">
              <w:t>1339</w:t>
            </w:r>
          </w:p>
        </w:tc>
        <w:tc>
          <w:tcPr>
            <w:tcW w:w="966" w:type="pct"/>
            <w:tcBorders>
              <w:top w:val="single" w:sz="4" w:space="0" w:color="auto"/>
              <w:bottom w:val="single" w:sz="4" w:space="0" w:color="auto"/>
            </w:tcBorders>
            <w:vAlign w:val="bottom"/>
          </w:tcPr>
          <w:p w14:paraId="6C933D37" w14:textId="77777777" w:rsidR="00D3430B" w:rsidRPr="000F120F" w:rsidRDefault="00D3430B" w:rsidP="00F36942">
            <w:pPr>
              <w:pStyle w:val="Tabletext"/>
              <w:rPr>
                <w:snapToGrid w:val="0"/>
              </w:rPr>
            </w:pPr>
            <w:r w:rsidRPr="00295986">
              <w:t>0</w:t>
            </w:r>
            <w:r w:rsidR="00D7157D">
              <w:t>.</w:t>
            </w:r>
            <w:r w:rsidRPr="00295986">
              <w:t>8761</w:t>
            </w:r>
          </w:p>
        </w:tc>
      </w:tr>
      <w:tr w:rsidR="00D3430B" w:rsidRPr="009E2595" w14:paraId="7CC4CF62" w14:textId="77777777" w:rsidTr="00F36942">
        <w:trPr>
          <w:cantSplit/>
        </w:trPr>
        <w:tc>
          <w:tcPr>
            <w:tcW w:w="1136" w:type="pct"/>
            <w:tcBorders>
              <w:top w:val="single" w:sz="4" w:space="0" w:color="auto"/>
              <w:bottom w:val="single" w:sz="4" w:space="0" w:color="auto"/>
            </w:tcBorders>
          </w:tcPr>
          <w:p w14:paraId="0AD21F61" w14:textId="77777777" w:rsidR="00D3430B" w:rsidRPr="00616B26" w:rsidRDefault="00D3430B" w:rsidP="00F36942">
            <w:pPr>
              <w:pStyle w:val="Tabletext"/>
              <w:rPr>
                <w:snapToGrid w:val="0"/>
              </w:rPr>
            </w:pPr>
            <w:r w:rsidRPr="00616B26">
              <w:rPr>
                <w:snapToGrid w:val="0"/>
              </w:rPr>
              <w:t>49</w:t>
            </w:r>
          </w:p>
        </w:tc>
        <w:tc>
          <w:tcPr>
            <w:tcW w:w="966" w:type="pct"/>
            <w:tcBorders>
              <w:top w:val="single" w:sz="4" w:space="0" w:color="auto"/>
              <w:bottom w:val="single" w:sz="4" w:space="0" w:color="auto"/>
            </w:tcBorders>
            <w:vAlign w:val="bottom"/>
          </w:tcPr>
          <w:p w14:paraId="3A0A906C" w14:textId="77777777" w:rsidR="00D3430B" w:rsidRPr="000F120F" w:rsidRDefault="00D3430B" w:rsidP="00F36942">
            <w:pPr>
              <w:pStyle w:val="Tabletext"/>
              <w:rPr>
                <w:snapToGrid w:val="0"/>
              </w:rPr>
            </w:pPr>
            <w:r w:rsidRPr="00295986">
              <w:t>32</w:t>
            </w:r>
            <w:r w:rsidR="00D7157D">
              <w:t>.</w:t>
            </w:r>
            <w:r w:rsidRPr="00295986">
              <w:t>6827</w:t>
            </w:r>
          </w:p>
        </w:tc>
        <w:tc>
          <w:tcPr>
            <w:tcW w:w="966" w:type="pct"/>
            <w:tcBorders>
              <w:top w:val="single" w:sz="4" w:space="0" w:color="auto"/>
              <w:bottom w:val="single" w:sz="4" w:space="0" w:color="auto"/>
            </w:tcBorders>
            <w:vAlign w:val="bottom"/>
          </w:tcPr>
          <w:p w14:paraId="42536450" w14:textId="77777777" w:rsidR="00D3430B" w:rsidRPr="000F120F" w:rsidRDefault="00D3430B" w:rsidP="00F36942">
            <w:pPr>
              <w:pStyle w:val="Tabletext"/>
              <w:rPr>
                <w:snapToGrid w:val="0"/>
              </w:rPr>
            </w:pPr>
            <w:r w:rsidRPr="00295986">
              <w:t>2</w:t>
            </w:r>
            <w:r w:rsidR="00D7157D">
              <w:t>.</w:t>
            </w:r>
            <w:r w:rsidRPr="00295986">
              <w:t>8615</w:t>
            </w:r>
          </w:p>
        </w:tc>
        <w:tc>
          <w:tcPr>
            <w:tcW w:w="966" w:type="pct"/>
            <w:tcBorders>
              <w:top w:val="single" w:sz="4" w:space="0" w:color="auto"/>
              <w:bottom w:val="single" w:sz="4" w:space="0" w:color="auto"/>
            </w:tcBorders>
            <w:vAlign w:val="bottom"/>
          </w:tcPr>
          <w:p w14:paraId="143C2C2E" w14:textId="77777777" w:rsidR="00D3430B" w:rsidRPr="000F120F" w:rsidRDefault="00D3430B" w:rsidP="00F36942">
            <w:pPr>
              <w:pStyle w:val="Tabletext"/>
              <w:rPr>
                <w:snapToGrid w:val="0"/>
              </w:rPr>
            </w:pPr>
            <w:r w:rsidRPr="00295986">
              <w:t>34</w:t>
            </w:r>
            <w:r w:rsidR="00D7157D">
              <w:t>.</w:t>
            </w:r>
            <w:r w:rsidRPr="00295986">
              <w:t>4475</w:t>
            </w:r>
          </w:p>
        </w:tc>
        <w:tc>
          <w:tcPr>
            <w:tcW w:w="966" w:type="pct"/>
            <w:tcBorders>
              <w:top w:val="single" w:sz="4" w:space="0" w:color="auto"/>
              <w:bottom w:val="single" w:sz="4" w:space="0" w:color="auto"/>
            </w:tcBorders>
            <w:vAlign w:val="bottom"/>
          </w:tcPr>
          <w:p w14:paraId="63778F64" w14:textId="77777777" w:rsidR="00D3430B" w:rsidRPr="000F120F" w:rsidRDefault="00D3430B" w:rsidP="00F36942">
            <w:pPr>
              <w:pStyle w:val="Tabletext"/>
              <w:rPr>
                <w:snapToGrid w:val="0"/>
              </w:rPr>
            </w:pPr>
            <w:r w:rsidRPr="00295986">
              <w:t>0</w:t>
            </w:r>
            <w:r w:rsidR="00D7157D">
              <w:t>.</w:t>
            </w:r>
            <w:r w:rsidRPr="00295986">
              <w:t>7806</w:t>
            </w:r>
          </w:p>
        </w:tc>
      </w:tr>
      <w:tr w:rsidR="00D3430B" w:rsidRPr="009E2595" w14:paraId="742FC1A2" w14:textId="77777777" w:rsidTr="00F36942">
        <w:trPr>
          <w:cantSplit/>
        </w:trPr>
        <w:tc>
          <w:tcPr>
            <w:tcW w:w="1136" w:type="pct"/>
            <w:tcBorders>
              <w:top w:val="single" w:sz="4" w:space="0" w:color="auto"/>
              <w:bottom w:val="single" w:sz="4" w:space="0" w:color="auto"/>
            </w:tcBorders>
          </w:tcPr>
          <w:p w14:paraId="2554DD90" w14:textId="77777777" w:rsidR="00D3430B" w:rsidRPr="00616B26" w:rsidRDefault="00D3430B" w:rsidP="00F36942">
            <w:pPr>
              <w:pStyle w:val="Tabletext"/>
              <w:rPr>
                <w:snapToGrid w:val="0"/>
              </w:rPr>
            </w:pPr>
            <w:r w:rsidRPr="00616B26">
              <w:rPr>
                <w:snapToGrid w:val="0"/>
              </w:rPr>
              <w:t>50</w:t>
            </w:r>
          </w:p>
        </w:tc>
        <w:tc>
          <w:tcPr>
            <w:tcW w:w="966" w:type="pct"/>
            <w:tcBorders>
              <w:top w:val="single" w:sz="4" w:space="0" w:color="auto"/>
              <w:bottom w:val="single" w:sz="4" w:space="0" w:color="auto"/>
            </w:tcBorders>
            <w:vAlign w:val="bottom"/>
          </w:tcPr>
          <w:p w14:paraId="43C493A3" w14:textId="77777777" w:rsidR="00D3430B" w:rsidRPr="000F120F" w:rsidRDefault="00D3430B" w:rsidP="00F36942">
            <w:pPr>
              <w:pStyle w:val="Tabletext"/>
              <w:rPr>
                <w:snapToGrid w:val="0"/>
              </w:rPr>
            </w:pPr>
            <w:r w:rsidRPr="00295986">
              <w:t>31</w:t>
            </w:r>
            <w:r w:rsidR="00D7157D">
              <w:t>.</w:t>
            </w:r>
            <w:r w:rsidRPr="00295986">
              <w:t>9927</w:t>
            </w:r>
          </w:p>
        </w:tc>
        <w:tc>
          <w:tcPr>
            <w:tcW w:w="966" w:type="pct"/>
            <w:tcBorders>
              <w:top w:val="single" w:sz="4" w:space="0" w:color="auto"/>
              <w:bottom w:val="single" w:sz="4" w:space="0" w:color="auto"/>
            </w:tcBorders>
            <w:vAlign w:val="bottom"/>
          </w:tcPr>
          <w:p w14:paraId="6760A223" w14:textId="77777777" w:rsidR="00D3430B" w:rsidRPr="000F120F" w:rsidRDefault="00D3430B" w:rsidP="00F36942">
            <w:pPr>
              <w:pStyle w:val="Tabletext"/>
              <w:rPr>
                <w:snapToGrid w:val="0"/>
              </w:rPr>
            </w:pPr>
            <w:r w:rsidRPr="00295986">
              <w:t>2</w:t>
            </w:r>
            <w:r w:rsidR="00D7157D">
              <w:t>.</w:t>
            </w:r>
            <w:r w:rsidRPr="00295986">
              <w:t>7411</w:t>
            </w:r>
          </w:p>
        </w:tc>
        <w:tc>
          <w:tcPr>
            <w:tcW w:w="966" w:type="pct"/>
            <w:tcBorders>
              <w:top w:val="single" w:sz="4" w:space="0" w:color="auto"/>
              <w:bottom w:val="single" w:sz="4" w:space="0" w:color="auto"/>
            </w:tcBorders>
            <w:vAlign w:val="bottom"/>
          </w:tcPr>
          <w:p w14:paraId="01391553" w14:textId="77777777" w:rsidR="00D3430B" w:rsidRPr="000F120F" w:rsidRDefault="00D3430B" w:rsidP="00F36942">
            <w:pPr>
              <w:pStyle w:val="Tabletext"/>
              <w:rPr>
                <w:snapToGrid w:val="0"/>
              </w:rPr>
            </w:pPr>
            <w:r w:rsidRPr="00295986">
              <w:t>33</w:t>
            </w:r>
            <w:r w:rsidR="00D7157D">
              <w:t>.</w:t>
            </w:r>
            <w:r w:rsidRPr="00295986">
              <w:t>7559</w:t>
            </w:r>
          </w:p>
        </w:tc>
        <w:tc>
          <w:tcPr>
            <w:tcW w:w="966" w:type="pct"/>
            <w:tcBorders>
              <w:top w:val="single" w:sz="4" w:space="0" w:color="auto"/>
              <w:bottom w:val="single" w:sz="4" w:space="0" w:color="auto"/>
            </w:tcBorders>
            <w:vAlign w:val="bottom"/>
          </w:tcPr>
          <w:p w14:paraId="05F3C741" w14:textId="77777777" w:rsidR="00D3430B" w:rsidRPr="000F120F" w:rsidRDefault="00D3430B" w:rsidP="00F36942">
            <w:pPr>
              <w:pStyle w:val="Tabletext"/>
              <w:rPr>
                <w:snapToGrid w:val="0"/>
              </w:rPr>
            </w:pPr>
            <w:r w:rsidRPr="00295986">
              <w:t>0</w:t>
            </w:r>
            <w:r w:rsidR="00D7157D">
              <w:t>.</w:t>
            </w:r>
            <w:r w:rsidRPr="00295986">
              <w:t>6835</w:t>
            </w:r>
          </w:p>
        </w:tc>
      </w:tr>
      <w:tr w:rsidR="00D3430B" w:rsidRPr="009E2595" w14:paraId="741E9F2E" w14:textId="77777777" w:rsidTr="00F36942">
        <w:trPr>
          <w:cantSplit/>
        </w:trPr>
        <w:tc>
          <w:tcPr>
            <w:tcW w:w="1136" w:type="pct"/>
            <w:tcBorders>
              <w:top w:val="single" w:sz="4" w:space="0" w:color="auto"/>
              <w:bottom w:val="single" w:sz="4" w:space="0" w:color="auto"/>
            </w:tcBorders>
          </w:tcPr>
          <w:p w14:paraId="672451F4" w14:textId="77777777" w:rsidR="00D3430B" w:rsidRPr="00616B26" w:rsidRDefault="00D3430B" w:rsidP="00F36942">
            <w:pPr>
              <w:pStyle w:val="Tabletext"/>
              <w:rPr>
                <w:snapToGrid w:val="0"/>
              </w:rPr>
            </w:pPr>
            <w:r w:rsidRPr="00616B26">
              <w:rPr>
                <w:snapToGrid w:val="0"/>
              </w:rPr>
              <w:t>51</w:t>
            </w:r>
          </w:p>
        </w:tc>
        <w:tc>
          <w:tcPr>
            <w:tcW w:w="966" w:type="pct"/>
            <w:tcBorders>
              <w:top w:val="single" w:sz="4" w:space="0" w:color="auto"/>
              <w:bottom w:val="single" w:sz="4" w:space="0" w:color="auto"/>
            </w:tcBorders>
            <w:vAlign w:val="bottom"/>
          </w:tcPr>
          <w:p w14:paraId="7768E005" w14:textId="77777777" w:rsidR="00D3430B" w:rsidRPr="000F120F" w:rsidRDefault="00D3430B" w:rsidP="00F36942">
            <w:pPr>
              <w:pStyle w:val="Tabletext"/>
              <w:rPr>
                <w:snapToGrid w:val="0"/>
              </w:rPr>
            </w:pPr>
            <w:r w:rsidRPr="00295986">
              <w:t>31</w:t>
            </w:r>
            <w:r w:rsidR="00D7157D">
              <w:t>.</w:t>
            </w:r>
            <w:r w:rsidRPr="00295986">
              <w:t>2983</w:t>
            </w:r>
          </w:p>
        </w:tc>
        <w:tc>
          <w:tcPr>
            <w:tcW w:w="966" w:type="pct"/>
            <w:tcBorders>
              <w:top w:val="single" w:sz="4" w:space="0" w:color="auto"/>
              <w:bottom w:val="single" w:sz="4" w:space="0" w:color="auto"/>
            </w:tcBorders>
            <w:vAlign w:val="bottom"/>
          </w:tcPr>
          <w:p w14:paraId="0D670C9E" w14:textId="77777777" w:rsidR="00D3430B" w:rsidRPr="000F120F" w:rsidRDefault="00D3430B" w:rsidP="00F36942">
            <w:pPr>
              <w:pStyle w:val="Tabletext"/>
              <w:rPr>
                <w:snapToGrid w:val="0"/>
              </w:rPr>
            </w:pPr>
            <w:r w:rsidRPr="00295986">
              <w:t>2</w:t>
            </w:r>
            <w:r w:rsidR="00D7157D">
              <w:t>.</w:t>
            </w:r>
            <w:r w:rsidRPr="00295986">
              <w:t>3428</w:t>
            </w:r>
          </w:p>
        </w:tc>
        <w:tc>
          <w:tcPr>
            <w:tcW w:w="966" w:type="pct"/>
            <w:tcBorders>
              <w:top w:val="single" w:sz="4" w:space="0" w:color="auto"/>
              <w:bottom w:val="single" w:sz="4" w:space="0" w:color="auto"/>
            </w:tcBorders>
            <w:vAlign w:val="bottom"/>
          </w:tcPr>
          <w:p w14:paraId="455BB2FC" w14:textId="77777777" w:rsidR="00D3430B" w:rsidRPr="000F120F" w:rsidRDefault="00D3430B" w:rsidP="00F36942">
            <w:pPr>
              <w:pStyle w:val="Tabletext"/>
              <w:rPr>
                <w:snapToGrid w:val="0"/>
              </w:rPr>
            </w:pPr>
            <w:r w:rsidRPr="00295986">
              <w:t>33</w:t>
            </w:r>
            <w:r w:rsidR="00D7157D">
              <w:t>.</w:t>
            </w:r>
            <w:r w:rsidRPr="00295986">
              <w:t>0590</w:t>
            </w:r>
          </w:p>
        </w:tc>
        <w:tc>
          <w:tcPr>
            <w:tcW w:w="966" w:type="pct"/>
            <w:tcBorders>
              <w:top w:val="single" w:sz="4" w:space="0" w:color="auto"/>
              <w:bottom w:val="single" w:sz="4" w:space="0" w:color="auto"/>
            </w:tcBorders>
            <w:vAlign w:val="bottom"/>
          </w:tcPr>
          <w:p w14:paraId="69EE401E" w14:textId="77777777" w:rsidR="00D3430B" w:rsidRPr="000F120F" w:rsidRDefault="00D3430B" w:rsidP="00F36942">
            <w:pPr>
              <w:pStyle w:val="Tabletext"/>
              <w:rPr>
                <w:snapToGrid w:val="0"/>
              </w:rPr>
            </w:pPr>
            <w:r w:rsidRPr="00295986">
              <w:t>0</w:t>
            </w:r>
            <w:r w:rsidR="00D7157D">
              <w:t>.</w:t>
            </w:r>
            <w:r w:rsidRPr="00295986">
              <w:t>5849</w:t>
            </w:r>
          </w:p>
        </w:tc>
      </w:tr>
      <w:tr w:rsidR="00D3430B" w:rsidRPr="009E2595" w14:paraId="2E130FFD" w14:textId="77777777" w:rsidTr="00F36942">
        <w:trPr>
          <w:cantSplit/>
        </w:trPr>
        <w:tc>
          <w:tcPr>
            <w:tcW w:w="1136" w:type="pct"/>
            <w:tcBorders>
              <w:top w:val="single" w:sz="4" w:space="0" w:color="auto"/>
              <w:bottom w:val="single" w:sz="4" w:space="0" w:color="auto"/>
            </w:tcBorders>
          </w:tcPr>
          <w:p w14:paraId="55CD9135" w14:textId="77777777" w:rsidR="00D3430B" w:rsidRPr="00616B26" w:rsidRDefault="00D3430B" w:rsidP="00F36942">
            <w:pPr>
              <w:pStyle w:val="Tabletext"/>
              <w:rPr>
                <w:snapToGrid w:val="0"/>
              </w:rPr>
            </w:pPr>
            <w:r w:rsidRPr="00616B26">
              <w:rPr>
                <w:snapToGrid w:val="0"/>
              </w:rPr>
              <w:t>52</w:t>
            </w:r>
          </w:p>
        </w:tc>
        <w:tc>
          <w:tcPr>
            <w:tcW w:w="966" w:type="pct"/>
            <w:tcBorders>
              <w:top w:val="single" w:sz="4" w:space="0" w:color="auto"/>
              <w:bottom w:val="single" w:sz="4" w:space="0" w:color="auto"/>
            </w:tcBorders>
            <w:vAlign w:val="bottom"/>
          </w:tcPr>
          <w:p w14:paraId="4A4894DD" w14:textId="77777777" w:rsidR="00D3430B" w:rsidRPr="000F120F" w:rsidRDefault="00D3430B" w:rsidP="00F36942">
            <w:pPr>
              <w:pStyle w:val="Tabletext"/>
              <w:rPr>
                <w:snapToGrid w:val="0"/>
              </w:rPr>
            </w:pPr>
            <w:r w:rsidRPr="00295986">
              <w:t>30</w:t>
            </w:r>
            <w:r w:rsidR="00D7157D">
              <w:t>.</w:t>
            </w:r>
            <w:r w:rsidRPr="00295986">
              <w:t>5977</w:t>
            </w:r>
          </w:p>
        </w:tc>
        <w:tc>
          <w:tcPr>
            <w:tcW w:w="966" w:type="pct"/>
            <w:tcBorders>
              <w:top w:val="single" w:sz="4" w:space="0" w:color="auto"/>
              <w:bottom w:val="single" w:sz="4" w:space="0" w:color="auto"/>
            </w:tcBorders>
            <w:vAlign w:val="bottom"/>
          </w:tcPr>
          <w:p w14:paraId="5D83D0BA" w14:textId="77777777" w:rsidR="00D3430B" w:rsidRPr="000F120F" w:rsidRDefault="00D3430B" w:rsidP="00F36942">
            <w:pPr>
              <w:pStyle w:val="Tabletext"/>
              <w:rPr>
                <w:snapToGrid w:val="0"/>
              </w:rPr>
            </w:pPr>
            <w:r w:rsidRPr="00295986">
              <w:t>1</w:t>
            </w:r>
            <w:r w:rsidR="00D7157D">
              <w:t>.</w:t>
            </w:r>
            <w:r w:rsidRPr="00295986">
              <w:t>9399</w:t>
            </w:r>
          </w:p>
        </w:tc>
        <w:tc>
          <w:tcPr>
            <w:tcW w:w="966" w:type="pct"/>
            <w:tcBorders>
              <w:top w:val="single" w:sz="4" w:space="0" w:color="auto"/>
              <w:bottom w:val="single" w:sz="4" w:space="0" w:color="auto"/>
            </w:tcBorders>
            <w:vAlign w:val="bottom"/>
          </w:tcPr>
          <w:p w14:paraId="24EB65BC" w14:textId="77777777" w:rsidR="00D3430B" w:rsidRPr="000F120F" w:rsidRDefault="00D3430B" w:rsidP="00F36942">
            <w:pPr>
              <w:pStyle w:val="Tabletext"/>
              <w:rPr>
                <w:snapToGrid w:val="0"/>
              </w:rPr>
            </w:pPr>
            <w:r w:rsidRPr="00295986">
              <w:t>32</w:t>
            </w:r>
            <w:r w:rsidR="00D7157D">
              <w:t>.</w:t>
            </w:r>
            <w:r w:rsidRPr="00295986">
              <w:t>3552</w:t>
            </w:r>
          </w:p>
        </w:tc>
        <w:tc>
          <w:tcPr>
            <w:tcW w:w="966" w:type="pct"/>
            <w:tcBorders>
              <w:top w:val="single" w:sz="4" w:space="0" w:color="auto"/>
              <w:bottom w:val="single" w:sz="4" w:space="0" w:color="auto"/>
            </w:tcBorders>
            <w:vAlign w:val="bottom"/>
          </w:tcPr>
          <w:p w14:paraId="75AAA1EE" w14:textId="77777777" w:rsidR="00D3430B" w:rsidRPr="000F120F" w:rsidRDefault="00D3430B" w:rsidP="00F36942">
            <w:pPr>
              <w:pStyle w:val="Tabletext"/>
              <w:rPr>
                <w:snapToGrid w:val="0"/>
              </w:rPr>
            </w:pPr>
            <w:r w:rsidRPr="00295986">
              <w:t>0</w:t>
            </w:r>
            <w:r w:rsidR="00D7157D">
              <w:t>.</w:t>
            </w:r>
            <w:r w:rsidRPr="00295986">
              <w:t>4848</w:t>
            </w:r>
          </w:p>
        </w:tc>
      </w:tr>
      <w:tr w:rsidR="00D3430B" w:rsidRPr="009E2595" w14:paraId="184D83D7" w14:textId="77777777" w:rsidTr="00F36942">
        <w:trPr>
          <w:cantSplit/>
        </w:trPr>
        <w:tc>
          <w:tcPr>
            <w:tcW w:w="1136" w:type="pct"/>
            <w:tcBorders>
              <w:top w:val="single" w:sz="4" w:space="0" w:color="auto"/>
              <w:bottom w:val="single" w:sz="4" w:space="0" w:color="auto"/>
            </w:tcBorders>
          </w:tcPr>
          <w:p w14:paraId="2C591F60" w14:textId="77777777" w:rsidR="00D3430B" w:rsidRPr="00616B26" w:rsidRDefault="00D3430B" w:rsidP="00F36942">
            <w:pPr>
              <w:pStyle w:val="Tabletext"/>
              <w:rPr>
                <w:snapToGrid w:val="0"/>
              </w:rPr>
            </w:pPr>
            <w:r w:rsidRPr="00616B26">
              <w:rPr>
                <w:snapToGrid w:val="0"/>
              </w:rPr>
              <w:t>53</w:t>
            </w:r>
          </w:p>
        </w:tc>
        <w:tc>
          <w:tcPr>
            <w:tcW w:w="966" w:type="pct"/>
            <w:tcBorders>
              <w:top w:val="single" w:sz="4" w:space="0" w:color="auto"/>
              <w:bottom w:val="single" w:sz="4" w:space="0" w:color="auto"/>
            </w:tcBorders>
            <w:vAlign w:val="bottom"/>
          </w:tcPr>
          <w:p w14:paraId="72155DC5" w14:textId="77777777" w:rsidR="00D3430B" w:rsidRPr="000F120F" w:rsidRDefault="00D3430B" w:rsidP="00F36942">
            <w:pPr>
              <w:pStyle w:val="Tabletext"/>
              <w:rPr>
                <w:snapToGrid w:val="0"/>
              </w:rPr>
            </w:pPr>
            <w:r w:rsidRPr="00295986">
              <w:t>29</w:t>
            </w:r>
            <w:r w:rsidR="00D7157D">
              <w:t>.</w:t>
            </w:r>
            <w:r w:rsidRPr="00295986">
              <w:t>8909</w:t>
            </w:r>
          </w:p>
        </w:tc>
        <w:tc>
          <w:tcPr>
            <w:tcW w:w="966" w:type="pct"/>
            <w:tcBorders>
              <w:top w:val="single" w:sz="4" w:space="0" w:color="auto"/>
              <w:bottom w:val="single" w:sz="4" w:space="0" w:color="auto"/>
            </w:tcBorders>
            <w:vAlign w:val="bottom"/>
          </w:tcPr>
          <w:p w14:paraId="38BB3BBD" w14:textId="77777777" w:rsidR="00D3430B" w:rsidRPr="000F120F" w:rsidRDefault="00D3430B" w:rsidP="00F36942">
            <w:pPr>
              <w:pStyle w:val="Tabletext"/>
              <w:rPr>
                <w:snapToGrid w:val="0"/>
              </w:rPr>
            </w:pPr>
            <w:r w:rsidRPr="00295986">
              <w:t>1</w:t>
            </w:r>
            <w:r w:rsidR="00D7157D">
              <w:t>.</w:t>
            </w:r>
            <w:r w:rsidRPr="00295986">
              <w:t>5325</w:t>
            </w:r>
          </w:p>
        </w:tc>
        <w:tc>
          <w:tcPr>
            <w:tcW w:w="966" w:type="pct"/>
            <w:tcBorders>
              <w:top w:val="single" w:sz="4" w:space="0" w:color="auto"/>
              <w:bottom w:val="single" w:sz="4" w:space="0" w:color="auto"/>
            </w:tcBorders>
            <w:vAlign w:val="bottom"/>
          </w:tcPr>
          <w:p w14:paraId="01EF8E2B" w14:textId="77777777" w:rsidR="00D3430B" w:rsidRPr="000F120F" w:rsidRDefault="00D3430B" w:rsidP="00F36942">
            <w:pPr>
              <w:pStyle w:val="Tabletext"/>
              <w:rPr>
                <w:snapToGrid w:val="0"/>
              </w:rPr>
            </w:pPr>
            <w:r w:rsidRPr="00295986">
              <w:t>31</w:t>
            </w:r>
            <w:r w:rsidR="00D7157D">
              <w:t>.</w:t>
            </w:r>
            <w:r w:rsidRPr="00295986">
              <w:t>6455</w:t>
            </w:r>
          </w:p>
        </w:tc>
        <w:tc>
          <w:tcPr>
            <w:tcW w:w="966" w:type="pct"/>
            <w:tcBorders>
              <w:top w:val="single" w:sz="4" w:space="0" w:color="auto"/>
              <w:bottom w:val="single" w:sz="4" w:space="0" w:color="auto"/>
            </w:tcBorders>
            <w:vAlign w:val="bottom"/>
          </w:tcPr>
          <w:p w14:paraId="5E2DA631" w14:textId="77777777" w:rsidR="00D3430B" w:rsidRPr="000F120F" w:rsidRDefault="00D3430B" w:rsidP="00F36942">
            <w:pPr>
              <w:pStyle w:val="Tabletext"/>
              <w:rPr>
                <w:snapToGrid w:val="0"/>
              </w:rPr>
            </w:pPr>
            <w:r w:rsidRPr="00295986">
              <w:t>0</w:t>
            </w:r>
            <w:r w:rsidR="00D7157D">
              <w:t>.</w:t>
            </w:r>
            <w:r w:rsidRPr="00295986">
              <w:t>3834</w:t>
            </w:r>
          </w:p>
        </w:tc>
      </w:tr>
      <w:tr w:rsidR="00D3430B" w:rsidRPr="009E2595" w14:paraId="427A0430" w14:textId="77777777" w:rsidTr="00F36942">
        <w:trPr>
          <w:cantSplit/>
        </w:trPr>
        <w:tc>
          <w:tcPr>
            <w:tcW w:w="1136" w:type="pct"/>
            <w:tcBorders>
              <w:top w:val="single" w:sz="4" w:space="0" w:color="auto"/>
              <w:bottom w:val="single" w:sz="4" w:space="0" w:color="auto"/>
            </w:tcBorders>
          </w:tcPr>
          <w:p w14:paraId="70C79802" w14:textId="77777777" w:rsidR="00D3430B" w:rsidRPr="00616B26" w:rsidRDefault="00D3430B" w:rsidP="00F36942">
            <w:pPr>
              <w:pStyle w:val="Tabletext"/>
              <w:rPr>
                <w:snapToGrid w:val="0"/>
              </w:rPr>
            </w:pPr>
            <w:r w:rsidRPr="00616B26">
              <w:rPr>
                <w:snapToGrid w:val="0"/>
              </w:rPr>
              <w:t>54</w:t>
            </w:r>
          </w:p>
        </w:tc>
        <w:tc>
          <w:tcPr>
            <w:tcW w:w="966" w:type="pct"/>
            <w:tcBorders>
              <w:top w:val="single" w:sz="4" w:space="0" w:color="auto"/>
              <w:bottom w:val="single" w:sz="4" w:space="0" w:color="auto"/>
            </w:tcBorders>
            <w:vAlign w:val="bottom"/>
          </w:tcPr>
          <w:p w14:paraId="341F7AD1" w14:textId="77777777" w:rsidR="00D3430B" w:rsidRPr="000F120F" w:rsidRDefault="00D3430B" w:rsidP="00F36942">
            <w:pPr>
              <w:pStyle w:val="Tabletext"/>
              <w:rPr>
                <w:snapToGrid w:val="0"/>
              </w:rPr>
            </w:pPr>
            <w:r w:rsidRPr="00295986">
              <w:t>29</w:t>
            </w:r>
            <w:r w:rsidR="00D7157D">
              <w:t>.</w:t>
            </w:r>
            <w:r w:rsidRPr="00295986">
              <w:t>1785</w:t>
            </w:r>
          </w:p>
        </w:tc>
        <w:tc>
          <w:tcPr>
            <w:tcW w:w="966" w:type="pct"/>
            <w:tcBorders>
              <w:top w:val="single" w:sz="4" w:space="0" w:color="auto"/>
              <w:bottom w:val="single" w:sz="4" w:space="0" w:color="auto"/>
            </w:tcBorders>
            <w:vAlign w:val="bottom"/>
          </w:tcPr>
          <w:p w14:paraId="36B76198" w14:textId="77777777" w:rsidR="00D3430B" w:rsidRPr="000F120F" w:rsidRDefault="00D3430B" w:rsidP="00F36942">
            <w:pPr>
              <w:pStyle w:val="Tabletext"/>
              <w:rPr>
                <w:snapToGrid w:val="0"/>
              </w:rPr>
            </w:pPr>
            <w:r w:rsidRPr="00295986">
              <w:t>1</w:t>
            </w:r>
            <w:r w:rsidR="00D7157D">
              <w:t>.</w:t>
            </w:r>
            <w:r w:rsidRPr="00295986">
              <w:t>1204</w:t>
            </w:r>
          </w:p>
        </w:tc>
        <w:tc>
          <w:tcPr>
            <w:tcW w:w="966" w:type="pct"/>
            <w:tcBorders>
              <w:top w:val="single" w:sz="4" w:space="0" w:color="auto"/>
              <w:bottom w:val="single" w:sz="4" w:space="0" w:color="auto"/>
            </w:tcBorders>
            <w:vAlign w:val="bottom"/>
          </w:tcPr>
          <w:p w14:paraId="3427CA81" w14:textId="77777777" w:rsidR="00D3430B" w:rsidRPr="000F120F" w:rsidRDefault="00D3430B" w:rsidP="00F36942">
            <w:pPr>
              <w:pStyle w:val="Tabletext"/>
              <w:rPr>
                <w:snapToGrid w:val="0"/>
              </w:rPr>
            </w:pPr>
            <w:r w:rsidRPr="00295986">
              <w:t>30</w:t>
            </w:r>
            <w:r w:rsidR="00D7157D">
              <w:t>.</w:t>
            </w:r>
            <w:r w:rsidRPr="00295986">
              <w:t>9295</w:t>
            </w:r>
          </w:p>
        </w:tc>
        <w:tc>
          <w:tcPr>
            <w:tcW w:w="966" w:type="pct"/>
            <w:tcBorders>
              <w:top w:val="single" w:sz="4" w:space="0" w:color="auto"/>
              <w:bottom w:val="single" w:sz="4" w:space="0" w:color="auto"/>
            </w:tcBorders>
            <w:vAlign w:val="bottom"/>
          </w:tcPr>
          <w:p w14:paraId="759078DF" w14:textId="77777777" w:rsidR="00D3430B" w:rsidRPr="000F120F" w:rsidRDefault="00D3430B" w:rsidP="00F36942">
            <w:pPr>
              <w:pStyle w:val="Tabletext"/>
              <w:rPr>
                <w:snapToGrid w:val="0"/>
              </w:rPr>
            </w:pPr>
            <w:r w:rsidRPr="00295986">
              <w:t>0</w:t>
            </w:r>
            <w:r w:rsidR="00D7157D">
              <w:t>.</w:t>
            </w:r>
            <w:r w:rsidRPr="00295986">
              <w:t>2806</w:t>
            </w:r>
          </w:p>
        </w:tc>
      </w:tr>
      <w:tr w:rsidR="00D3430B" w:rsidRPr="009E2595" w14:paraId="0BFACAB4" w14:textId="77777777" w:rsidTr="00F36942">
        <w:trPr>
          <w:cantSplit/>
        </w:trPr>
        <w:tc>
          <w:tcPr>
            <w:tcW w:w="1136" w:type="pct"/>
            <w:tcBorders>
              <w:top w:val="single" w:sz="4" w:space="0" w:color="auto"/>
              <w:bottom w:val="single" w:sz="4" w:space="0" w:color="auto"/>
            </w:tcBorders>
          </w:tcPr>
          <w:p w14:paraId="5DFF84F8" w14:textId="77777777" w:rsidR="00D3430B" w:rsidRPr="00616B26" w:rsidRDefault="00D3430B" w:rsidP="00F36942">
            <w:pPr>
              <w:pStyle w:val="Tabletext"/>
              <w:rPr>
                <w:snapToGrid w:val="0"/>
              </w:rPr>
            </w:pPr>
            <w:r w:rsidRPr="00616B26">
              <w:rPr>
                <w:snapToGrid w:val="0"/>
              </w:rPr>
              <w:t>55</w:t>
            </w:r>
          </w:p>
        </w:tc>
        <w:tc>
          <w:tcPr>
            <w:tcW w:w="966" w:type="pct"/>
            <w:tcBorders>
              <w:top w:val="single" w:sz="4" w:space="0" w:color="auto"/>
              <w:bottom w:val="single" w:sz="4" w:space="0" w:color="auto"/>
            </w:tcBorders>
            <w:vAlign w:val="bottom"/>
          </w:tcPr>
          <w:p w14:paraId="2E9D0EA3" w14:textId="77777777" w:rsidR="00D3430B" w:rsidRPr="000F120F" w:rsidRDefault="00D3430B" w:rsidP="00F36942">
            <w:pPr>
              <w:pStyle w:val="Tabletext"/>
              <w:rPr>
                <w:snapToGrid w:val="0"/>
              </w:rPr>
            </w:pPr>
            <w:r w:rsidRPr="00295986">
              <w:t>28</w:t>
            </w:r>
            <w:r w:rsidR="00D7157D">
              <w:t>.</w:t>
            </w:r>
            <w:r w:rsidRPr="00295986">
              <w:t>4605</w:t>
            </w:r>
          </w:p>
        </w:tc>
        <w:tc>
          <w:tcPr>
            <w:tcW w:w="966" w:type="pct"/>
            <w:tcBorders>
              <w:top w:val="single" w:sz="4" w:space="0" w:color="auto"/>
              <w:bottom w:val="single" w:sz="4" w:space="0" w:color="auto"/>
            </w:tcBorders>
            <w:vAlign w:val="bottom"/>
          </w:tcPr>
          <w:p w14:paraId="5A47564F" w14:textId="77777777" w:rsidR="00D3430B" w:rsidRPr="000F120F" w:rsidRDefault="00D3430B" w:rsidP="00F36942">
            <w:pPr>
              <w:pStyle w:val="Tabletext"/>
              <w:rPr>
                <w:snapToGrid w:val="0"/>
              </w:rPr>
            </w:pPr>
            <w:r w:rsidRPr="00295986">
              <w:t>0</w:t>
            </w:r>
            <w:r w:rsidR="00D7157D">
              <w:t>.</w:t>
            </w:r>
            <w:r w:rsidRPr="00295986">
              <w:t>7038</w:t>
            </w:r>
          </w:p>
        </w:tc>
        <w:tc>
          <w:tcPr>
            <w:tcW w:w="966" w:type="pct"/>
            <w:tcBorders>
              <w:top w:val="single" w:sz="4" w:space="0" w:color="auto"/>
              <w:bottom w:val="single" w:sz="4" w:space="0" w:color="auto"/>
            </w:tcBorders>
            <w:vAlign w:val="bottom"/>
          </w:tcPr>
          <w:p w14:paraId="7DC6FF65" w14:textId="77777777" w:rsidR="00D3430B" w:rsidRPr="000F120F" w:rsidRDefault="00D3430B" w:rsidP="00F36942">
            <w:pPr>
              <w:pStyle w:val="Tabletext"/>
              <w:rPr>
                <w:snapToGrid w:val="0"/>
              </w:rPr>
            </w:pPr>
            <w:r w:rsidRPr="00295986">
              <w:t>30</w:t>
            </w:r>
            <w:r w:rsidR="00D7157D">
              <w:t>.</w:t>
            </w:r>
            <w:r w:rsidRPr="00295986">
              <w:t>2091</w:t>
            </w:r>
          </w:p>
        </w:tc>
        <w:tc>
          <w:tcPr>
            <w:tcW w:w="966" w:type="pct"/>
            <w:tcBorders>
              <w:top w:val="single" w:sz="4" w:space="0" w:color="auto"/>
              <w:bottom w:val="single" w:sz="4" w:space="0" w:color="auto"/>
            </w:tcBorders>
            <w:vAlign w:val="bottom"/>
          </w:tcPr>
          <w:p w14:paraId="5640B8B5" w14:textId="77777777" w:rsidR="00D3430B" w:rsidRPr="000F120F" w:rsidRDefault="00D3430B" w:rsidP="00F36942">
            <w:pPr>
              <w:pStyle w:val="Tabletext"/>
              <w:rPr>
                <w:snapToGrid w:val="0"/>
              </w:rPr>
            </w:pPr>
            <w:r w:rsidRPr="00295986">
              <w:t>0</w:t>
            </w:r>
            <w:r w:rsidR="00D7157D">
              <w:t>.</w:t>
            </w:r>
            <w:r w:rsidRPr="00295986">
              <w:t>1764</w:t>
            </w:r>
          </w:p>
        </w:tc>
      </w:tr>
      <w:tr w:rsidR="00D3430B" w:rsidRPr="009E2595" w14:paraId="6A1FF1E1" w14:textId="77777777" w:rsidTr="00F36942">
        <w:trPr>
          <w:cantSplit/>
        </w:trPr>
        <w:tc>
          <w:tcPr>
            <w:tcW w:w="1136" w:type="pct"/>
            <w:tcBorders>
              <w:top w:val="single" w:sz="4" w:space="0" w:color="auto"/>
              <w:bottom w:val="single" w:sz="4" w:space="0" w:color="auto"/>
            </w:tcBorders>
          </w:tcPr>
          <w:p w14:paraId="2F3F11CA" w14:textId="77777777" w:rsidR="00D3430B" w:rsidRPr="00616B26" w:rsidRDefault="00D3430B" w:rsidP="00F36942">
            <w:pPr>
              <w:pStyle w:val="Tabletext"/>
              <w:rPr>
                <w:snapToGrid w:val="0"/>
              </w:rPr>
            </w:pPr>
            <w:r w:rsidRPr="00616B26">
              <w:rPr>
                <w:snapToGrid w:val="0"/>
              </w:rPr>
              <w:t>56</w:t>
            </w:r>
          </w:p>
        </w:tc>
        <w:tc>
          <w:tcPr>
            <w:tcW w:w="966" w:type="pct"/>
            <w:tcBorders>
              <w:top w:val="single" w:sz="4" w:space="0" w:color="auto"/>
              <w:bottom w:val="single" w:sz="4" w:space="0" w:color="auto"/>
            </w:tcBorders>
            <w:vAlign w:val="bottom"/>
          </w:tcPr>
          <w:p w14:paraId="219A4747" w14:textId="77777777" w:rsidR="00D3430B" w:rsidRPr="000F120F" w:rsidRDefault="00D3430B" w:rsidP="00F36942">
            <w:pPr>
              <w:pStyle w:val="Tabletext"/>
              <w:rPr>
                <w:snapToGrid w:val="0"/>
              </w:rPr>
            </w:pPr>
            <w:r w:rsidRPr="00295986">
              <w:t>27</w:t>
            </w:r>
            <w:r w:rsidR="00D7157D">
              <w:t>.</w:t>
            </w:r>
            <w:r w:rsidRPr="00295986">
              <w:t>7366</w:t>
            </w:r>
          </w:p>
        </w:tc>
        <w:tc>
          <w:tcPr>
            <w:tcW w:w="966" w:type="pct"/>
            <w:tcBorders>
              <w:top w:val="single" w:sz="4" w:space="0" w:color="auto"/>
              <w:bottom w:val="single" w:sz="4" w:space="0" w:color="auto"/>
            </w:tcBorders>
            <w:vAlign w:val="bottom"/>
          </w:tcPr>
          <w:p w14:paraId="36AD40EA" w14:textId="77777777" w:rsidR="00D3430B" w:rsidRPr="000F120F" w:rsidRDefault="00D3430B" w:rsidP="00F36942">
            <w:pPr>
              <w:pStyle w:val="Tabletext"/>
              <w:rPr>
                <w:snapToGrid w:val="0"/>
              </w:rPr>
            </w:pPr>
            <w:r w:rsidRPr="00295986">
              <w:t>0</w:t>
            </w:r>
            <w:r w:rsidR="00D7157D">
              <w:t>.</w:t>
            </w:r>
            <w:r w:rsidRPr="00295986">
              <w:t>7073</w:t>
            </w:r>
          </w:p>
        </w:tc>
        <w:tc>
          <w:tcPr>
            <w:tcW w:w="966" w:type="pct"/>
            <w:tcBorders>
              <w:top w:val="single" w:sz="4" w:space="0" w:color="auto"/>
              <w:bottom w:val="single" w:sz="4" w:space="0" w:color="auto"/>
            </w:tcBorders>
            <w:vAlign w:val="bottom"/>
          </w:tcPr>
          <w:p w14:paraId="2FA02DD8" w14:textId="77777777" w:rsidR="00D3430B" w:rsidRPr="000F120F" w:rsidRDefault="00D3430B" w:rsidP="00F36942">
            <w:pPr>
              <w:pStyle w:val="Tabletext"/>
              <w:rPr>
                <w:snapToGrid w:val="0"/>
              </w:rPr>
            </w:pPr>
            <w:r w:rsidRPr="00295986">
              <w:t>29</w:t>
            </w:r>
            <w:r w:rsidR="00D7157D">
              <w:t>.</w:t>
            </w:r>
            <w:r w:rsidRPr="00295986">
              <w:t>4846</w:t>
            </w:r>
          </w:p>
        </w:tc>
        <w:tc>
          <w:tcPr>
            <w:tcW w:w="966" w:type="pct"/>
            <w:tcBorders>
              <w:top w:val="single" w:sz="4" w:space="0" w:color="auto"/>
              <w:bottom w:val="single" w:sz="4" w:space="0" w:color="auto"/>
            </w:tcBorders>
            <w:vAlign w:val="bottom"/>
          </w:tcPr>
          <w:p w14:paraId="2F0B9355" w14:textId="77777777" w:rsidR="00D3430B" w:rsidRPr="000F120F" w:rsidRDefault="00D3430B" w:rsidP="00F36942">
            <w:pPr>
              <w:pStyle w:val="Tabletext"/>
              <w:rPr>
                <w:snapToGrid w:val="0"/>
              </w:rPr>
            </w:pPr>
            <w:r w:rsidRPr="00295986">
              <w:t>0</w:t>
            </w:r>
            <w:r w:rsidR="00D7157D">
              <w:t>.</w:t>
            </w:r>
            <w:r w:rsidRPr="00295986">
              <w:t>1773</w:t>
            </w:r>
          </w:p>
        </w:tc>
      </w:tr>
      <w:tr w:rsidR="00D3430B" w:rsidRPr="009E2595" w14:paraId="00E1B6D0" w14:textId="77777777" w:rsidTr="00F36942">
        <w:trPr>
          <w:cantSplit/>
        </w:trPr>
        <w:tc>
          <w:tcPr>
            <w:tcW w:w="1136" w:type="pct"/>
            <w:tcBorders>
              <w:top w:val="single" w:sz="4" w:space="0" w:color="auto"/>
              <w:bottom w:val="single" w:sz="4" w:space="0" w:color="auto"/>
            </w:tcBorders>
          </w:tcPr>
          <w:p w14:paraId="668F21F2" w14:textId="77777777" w:rsidR="00D3430B" w:rsidRPr="00616B26" w:rsidRDefault="00D3430B" w:rsidP="00F36942">
            <w:pPr>
              <w:pStyle w:val="Tabletext"/>
              <w:rPr>
                <w:snapToGrid w:val="0"/>
              </w:rPr>
            </w:pPr>
            <w:r w:rsidRPr="00616B26">
              <w:rPr>
                <w:snapToGrid w:val="0"/>
              </w:rPr>
              <w:t>57</w:t>
            </w:r>
          </w:p>
        </w:tc>
        <w:tc>
          <w:tcPr>
            <w:tcW w:w="966" w:type="pct"/>
            <w:tcBorders>
              <w:top w:val="single" w:sz="4" w:space="0" w:color="auto"/>
              <w:bottom w:val="single" w:sz="4" w:space="0" w:color="auto"/>
            </w:tcBorders>
            <w:vAlign w:val="bottom"/>
          </w:tcPr>
          <w:p w14:paraId="1C163F9F" w14:textId="77777777" w:rsidR="00D3430B" w:rsidRPr="000F120F" w:rsidRDefault="00D3430B" w:rsidP="00F36942">
            <w:pPr>
              <w:pStyle w:val="Tabletext"/>
              <w:rPr>
                <w:snapToGrid w:val="0"/>
              </w:rPr>
            </w:pPr>
            <w:r w:rsidRPr="00295986">
              <w:t>27</w:t>
            </w:r>
            <w:r w:rsidR="00D7157D">
              <w:t>.</w:t>
            </w:r>
            <w:r w:rsidRPr="00295986">
              <w:t>0064</w:t>
            </w:r>
          </w:p>
        </w:tc>
        <w:tc>
          <w:tcPr>
            <w:tcW w:w="966" w:type="pct"/>
            <w:tcBorders>
              <w:top w:val="single" w:sz="4" w:space="0" w:color="auto"/>
              <w:bottom w:val="single" w:sz="4" w:space="0" w:color="auto"/>
            </w:tcBorders>
            <w:vAlign w:val="bottom"/>
          </w:tcPr>
          <w:p w14:paraId="1C937029" w14:textId="77777777" w:rsidR="00D3430B" w:rsidRPr="000F120F" w:rsidRDefault="00D3430B" w:rsidP="00F36942">
            <w:pPr>
              <w:pStyle w:val="Tabletext"/>
              <w:rPr>
                <w:snapToGrid w:val="0"/>
              </w:rPr>
            </w:pPr>
            <w:r w:rsidRPr="00295986">
              <w:t>0</w:t>
            </w:r>
            <w:r w:rsidR="00D7157D">
              <w:t>.</w:t>
            </w:r>
            <w:r w:rsidRPr="00295986">
              <w:t>7108</w:t>
            </w:r>
          </w:p>
        </w:tc>
        <w:tc>
          <w:tcPr>
            <w:tcW w:w="966" w:type="pct"/>
            <w:tcBorders>
              <w:top w:val="single" w:sz="4" w:space="0" w:color="auto"/>
              <w:bottom w:val="single" w:sz="4" w:space="0" w:color="auto"/>
            </w:tcBorders>
            <w:vAlign w:val="bottom"/>
          </w:tcPr>
          <w:p w14:paraId="5F428D9D" w14:textId="77777777" w:rsidR="00D3430B" w:rsidRPr="000F120F" w:rsidRDefault="00D3430B" w:rsidP="00F36942">
            <w:pPr>
              <w:pStyle w:val="Tabletext"/>
              <w:rPr>
                <w:snapToGrid w:val="0"/>
              </w:rPr>
            </w:pPr>
            <w:r w:rsidRPr="00295986">
              <w:t>28</w:t>
            </w:r>
            <w:r w:rsidR="00D7157D">
              <w:t>.</w:t>
            </w:r>
            <w:r w:rsidRPr="00295986">
              <w:t>7557</w:t>
            </w:r>
          </w:p>
        </w:tc>
        <w:tc>
          <w:tcPr>
            <w:tcW w:w="966" w:type="pct"/>
            <w:tcBorders>
              <w:top w:val="single" w:sz="4" w:space="0" w:color="auto"/>
              <w:bottom w:val="single" w:sz="4" w:space="0" w:color="auto"/>
            </w:tcBorders>
            <w:vAlign w:val="bottom"/>
          </w:tcPr>
          <w:p w14:paraId="173FAD22" w14:textId="77777777" w:rsidR="00D3430B" w:rsidRPr="000F120F" w:rsidRDefault="00D3430B" w:rsidP="00F36942">
            <w:pPr>
              <w:pStyle w:val="Tabletext"/>
              <w:rPr>
                <w:snapToGrid w:val="0"/>
              </w:rPr>
            </w:pPr>
            <w:r w:rsidRPr="00295986">
              <w:t>0</w:t>
            </w:r>
            <w:r w:rsidR="00D7157D">
              <w:t>.</w:t>
            </w:r>
            <w:r w:rsidRPr="00295986">
              <w:t>1782</w:t>
            </w:r>
          </w:p>
        </w:tc>
      </w:tr>
      <w:tr w:rsidR="00D3430B" w:rsidRPr="009E2595" w14:paraId="0C951573" w14:textId="77777777" w:rsidTr="00F36942">
        <w:trPr>
          <w:cantSplit/>
        </w:trPr>
        <w:tc>
          <w:tcPr>
            <w:tcW w:w="1136" w:type="pct"/>
            <w:tcBorders>
              <w:top w:val="single" w:sz="4" w:space="0" w:color="auto"/>
              <w:bottom w:val="single" w:sz="4" w:space="0" w:color="auto"/>
            </w:tcBorders>
          </w:tcPr>
          <w:p w14:paraId="6E2F0BA6" w14:textId="77777777" w:rsidR="00D3430B" w:rsidRPr="00616B26" w:rsidRDefault="00D3430B" w:rsidP="00F36942">
            <w:pPr>
              <w:pStyle w:val="Tabletext"/>
              <w:rPr>
                <w:snapToGrid w:val="0"/>
              </w:rPr>
            </w:pPr>
            <w:r w:rsidRPr="00616B26">
              <w:rPr>
                <w:snapToGrid w:val="0"/>
              </w:rPr>
              <w:t>58</w:t>
            </w:r>
          </w:p>
        </w:tc>
        <w:tc>
          <w:tcPr>
            <w:tcW w:w="966" w:type="pct"/>
            <w:tcBorders>
              <w:top w:val="single" w:sz="4" w:space="0" w:color="auto"/>
              <w:bottom w:val="single" w:sz="4" w:space="0" w:color="auto"/>
            </w:tcBorders>
            <w:vAlign w:val="bottom"/>
          </w:tcPr>
          <w:p w14:paraId="1DDEC117" w14:textId="77777777" w:rsidR="00D3430B" w:rsidRPr="000F120F" w:rsidRDefault="00D3430B" w:rsidP="00F36942">
            <w:pPr>
              <w:pStyle w:val="Tabletext"/>
              <w:rPr>
                <w:snapToGrid w:val="0"/>
              </w:rPr>
            </w:pPr>
            <w:r w:rsidRPr="00295986">
              <w:t>26</w:t>
            </w:r>
            <w:r w:rsidR="00D7157D">
              <w:t>.</w:t>
            </w:r>
            <w:r w:rsidRPr="00295986">
              <w:t>2697</w:t>
            </w:r>
          </w:p>
        </w:tc>
        <w:tc>
          <w:tcPr>
            <w:tcW w:w="966" w:type="pct"/>
            <w:tcBorders>
              <w:top w:val="single" w:sz="4" w:space="0" w:color="auto"/>
              <w:bottom w:val="single" w:sz="4" w:space="0" w:color="auto"/>
            </w:tcBorders>
            <w:vAlign w:val="bottom"/>
          </w:tcPr>
          <w:p w14:paraId="05A25006" w14:textId="77777777" w:rsidR="00D3430B" w:rsidRPr="000F120F" w:rsidRDefault="00D3430B" w:rsidP="00F36942">
            <w:pPr>
              <w:pStyle w:val="Tabletext"/>
              <w:rPr>
                <w:snapToGrid w:val="0"/>
              </w:rPr>
            </w:pPr>
            <w:r w:rsidRPr="00295986">
              <w:t>0</w:t>
            </w:r>
            <w:r w:rsidR="00D7157D">
              <w:t>.</w:t>
            </w:r>
            <w:r w:rsidRPr="00295986">
              <w:t>7142</w:t>
            </w:r>
          </w:p>
        </w:tc>
        <w:tc>
          <w:tcPr>
            <w:tcW w:w="966" w:type="pct"/>
            <w:tcBorders>
              <w:top w:val="single" w:sz="4" w:space="0" w:color="auto"/>
              <w:bottom w:val="single" w:sz="4" w:space="0" w:color="auto"/>
            </w:tcBorders>
            <w:vAlign w:val="bottom"/>
          </w:tcPr>
          <w:p w14:paraId="3EE4A04A" w14:textId="77777777" w:rsidR="00D3430B" w:rsidRPr="000F120F" w:rsidRDefault="00D3430B" w:rsidP="00F36942">
            <w:pPr>
              <w:pStyle w:val="Tabletext"/>
              <w:rPr>
                <w:snapToGrid w:val="0"/>
              </w:rPr>
            </w:pPr>
            <w:r w:rsidRPr="00295986">
              <w:t>28</w:t>
            </w:r>
            <w:r w:rsidR="00D7157D">
              <w:t>.</w:t>
            </w:r>
            <w:r w:rsidRPr="00295986">
              <w:t>0211</w:t>
            </w:r>
          </w:p>
        </w:tc>
        <w:tc>
          <w:tcPr>
            <w:tcW w:w="966" w:type="pct"/>
            <w:tcBorders>
              <w:top w:val="single" w:sz="4" w:space="0" w:color="auto"/>
              <w:bottom w:val="single" w:sz="4" w:space="0" w:color="auto"/>
            </w:tcBorders>
            <w:vAlign w:val="bottom"/>
          </w:tcPr>
          <w:p w14:paraId="63E613DE" w14:textId="77777777" w:rsidR="00D3430B" w:rsidRPr="000F120F" w:rsidRDefault="00D3430B" w:rsidP="00F36942">
            <w:pPr>
              <w:pStyle w:val="Tabletext"/>
              <w:rPr>
                <w:snapToGrid w:val="0"/>
              </w:rPr>
            </w:pPr>
            <w:r w:rsidRPr="00295986">
              <w:t>0</w:t>
            </w:r>
            <w:r w:rsidR="00D7157D">
              <w:t>.</w:t>
            </w:r>
            <w:r w:rsidRPr="00295986">
              <w:t>1790</w:t>
            </w:r>
          </w:p>
        </w:tc>
      </w:tr>
      <w:tr w:rsidR="00D3430B" w:rsidRPr="009E2595" w14:paraId="590B025A" w14:textId="77777777" w:rsidTr="00F36942">
        <w:trPr>
          <w:cantSplit/>
        </w:trPr>
        <w:tc>
          <w:tcPr>
            <w:tcW w:w="1136" w:type="pct"/>
            <w:tcBorders>
              <w:top w:val="single" w:sz="4" w:space="0" w:color="auto"/>
              <w:bottom w:val="single" w:sz="4" w:space="0" w:color="auto"/>
            </w:tcBorders>
          </w:tcPr>
          <w:p w14:paraId="4E64A289" w14:textId="77777777" w:rsidR="00D3430B" w:rsidRPr="00616B26" w:rsidRDefault="00D3430B" w:rsidP="00F36942">
            <w:pPr>
              <w:pStyle w:val="Tabletext"/>
              <w:rPr>
                <w:snapToGrid w:val="0"/>
              </w:rPr>
            </w:pPr>
            <w:r w:rsidRPr="00616B26">
              <w:rPr>
                <w:snapToGrid w:val="0"/>
              </w:rPr>
              <w:t>59</w:t>
            </w:r>
          </w:p>
        </w:tc>
        <w:tc>
          <w:tcPr>
            <w:tcW w:w="966" w:type="pct"/>
            <w:tcBorders>
              <w:top w:val="single" w:sz="4" w:space="0" w:color="auto"/>
              <w:bottom w:val="single" w:sz="4" w:space="0" w:color="auto"/>
            </w:tcBorders>
            <w:vAlign w:val="bottom"/>
          </w:tcPr>
          <w:p w14:paraId="05BC3FBC" w14:textId="77777777" w:rsidR="00D3430B" w:rsidRPr="000F120F" w:rsidRDefault="00D3430B" w:rsidP="00F36942">
            <w:pPr>
              <w:pStyle w:val="Tabletext"/>
              <w:rPr>
                <w:snapToGrid w:val="0"/>
              </w:rPr>
            </w:pPr>
            <w:r w:rsidRPr="00295986">
              <w:t>25</w:t>
            </w:r>
            <w:r w:rsidR="00D7157D">
              <w:t>.</w:t>
            </w:r>
            <w:r w:rsidRPr="00295986">
              <w:t>5261</w:t>
            </w:r>
          </w:p>
        </w:tc>
        <w:tc>
          <w:tcPr>
            <w:tcW w:w="966" w:type="pct"/>
            <w:tcBorders>
              <w:top w:val="single" w:sz="4" w:space="0" w:color="auto"/>
              <w:bottom w:val="single" w:sz="4" w:space="0" w:color="auto"/>
            </w:tcBorders>
            <w:vAlign w:val="bottom"/>
          </w:tcPr>
          <w:p w14:paraId="21E5BA3C" w14:textId="77777777" w:rsidR="00D3430B" w:rsidRPr="000F120F" w:rsidRDefault="00D3430B" w:rsidP="00F36942">
            <w:pPr>
              <w:pStyle w:val="Tabletext"/>
              <w:rPr>
                <w:snapToGrid w:val="0"/>
              </w:rPr>
            </w:pPr>
            <w:r w:rsidRPr="00295986">
              <w:t>0</w:t>
            </w:r>
            <w:r w:rsidR="00D7157D">
              <w:t>.</w:t>
            </w:r>
            <w:r w:rsidRPr="00295986">
              <w:t>7177</w:t>
            </w:r>
          </w:p>
        </w:tc>
        <w:tc>
          <w:tcPr>
            <w:tcW w:w="966" w:type="pct"/>
            <w:tcBorders>
              <w:top w:val="single" w:sz="4" w:space="0" w:color="auto"/>
              <w:bottom w:val="single" w:sz="4" w:space="0" w:color="auto"/>
            </w:tcBorders>
            <w:vAlign w:val="bottom"/>
          </w:tcPr>
          <w:p w14:paraId="05264659" w14:textId="77777777" w:rsidR="00D3430B" w:rsidRPr="000F120F" w:rsidRDefault="00D3430B" w:rsidP="00F36942">
            <w:pPr>
              <w:pStyle w:val="Tabletext"/>
              <w:rPr>
                <w:snapToGrid w:val="0"/>
              </w:rPr>
            </w:pPr>
            <w:r w:rsidRPr="00295986">
              <w:t>27</w:t>
            </w:r>
            <w:r w:rsidR="00D7157D">
              <w:t>.</w:t>
            </w:r>
            <w:r w:rsidRPr="00295986">
              <w:t>2806</w:t>
            </w:r>
          </w:p>
        </w:tc>
        <w:tc>
          <w:tcPr>
            <w:tcW w:w="966" w:type="pct"/>
            <w:tcBorders>
              <w:top w:val="single" w:sz="4" w:space="0" w:color="auto"/>
              <w:bottom w:val="single" w:sz="4" w:space="0" w:color="auto"/>
            </w:tcBorders>
            <w:vAlign w:val="bottom"/>
          </w:tcPr>
          <w:p w14:paraId="286580CD" w14:textId="77777777" w:rsidR="00D3430B" w:rsidRPr="000F120F" w:rsidRDefault="00D3430B" w:rsidP="00F36942">
            <w:pPr>
              <w:pStyle w:val="Tabletext"/>
              <w:rPr>
                <w:snapToGrid w:val="0"/>
              </w:rPr>
            </w:pPr>
            <w:r w:rsidRPr="00295986">
              <w:t>0</w:t>
            </w:r>
            <w:r w:rsidR="00D7157D">
              <w:t>.</w:t>
            </w:r>
            <w:r w:rsidRPr="00295986">
              <w:t>1797</w:t>
            </w:r>
          </w:p>
        </w:tc>
      </w:tr>
      <w:tr w:rsidR="00D3430B" w:rsidRPr="009E2595" w14:paraId="3814F129" w14:textId="77777777" w:rsidTr="00F36942">
        <w:trPr>
          <w:cantSplit/>
        </w:trPr>
        <w:tc>
          <w:tcPr>
            <w:tcW w:w="1136" w:type="pct"/>
            <w:tcBorders>
              <w:top w:val="single" w:sz="4" w:space="0" w:color="auto"/>
              <w:bottom w:val="single" w:sz="4" w:space="0" w:color="auto"/>
            </w:tcBorders>
          </w:tcPr>
          <w:p w14:paraId="16661449" w14:textId="77777777" w:rsidR="00D3430B" w:rsidRPr="00616B26" w:rsidRDefault="00D3430B" w:rsidP="00F36942">
            <w:pPr>
              <w:pStyle w:val="Tabletext"/>
              <w:rPr>
                <w:snapToGrid w:val="0"/>
              </w:rPr>
            </w:pPr>
            <w:r w:rsidRPr="00616B26">
              <w:rPr>
                <w:snapToGrid w:val="0"/>
              </w:rPr>
              <w:t>60</w:t>
            </w:r>
          </w:p>
        </w:tc>
        <w:tc>
          <w:tcPr>
            <w:tcW w:w="966" w:type="pct"/>
            <w:tcBorders>
              <w:top w:val="single" w:sz="4" w:space="0" w:color="auto"/>
              <w:bottom w:val="single" w:sz="4" w:space="0" w:color="auto"/>
            </w:tcBorders>
            <w:vAlign w:val="bottom"/>
          </w:tcPr>
          <w:p w14:paraId="6524E2F9" w14:textId="77777777" w:rsidR="00D3430B" w:rsidRPr="000F120F" w:rsidRDefault="00D3430B" w:rsidP="00F36942">
            <w:pPr>
              <w:pStyle w:val="Tabletext"/>
              <w:rPr>
                <w:snapToGrid w:val="0"/>
              </w:rPr>
            </w:pPr>
            <w:r w:rsidRPr="00295986">
              <w:t>24</w:t>
            </w:r>
            <w:r w:rsidR="00D7157D">
              <w:t>.</w:t>
            </w:r>
            <w:r w:rsidRPr="00295986">
              <w:t>7761</w:t>
            </w:r>
          </w:p>
        </w:tc>
        <w:tc>
          <w:tcPr>
            <w:tcW w:w="966" w:type="pct"/>
            <w:tcBorders>
              <w:top w:val="single" w:sz="4" w:space="0" w:color="auto"/>
              <w:bottom w:val="single" w:sz="4" w:space="0" w:color="auto"/>
            </w:tcBorders>
            <w:vAlign w:val="bottom"/>
          </w:tcPr>
          <w:p w14:paraId="53245BF9" w14:textId="77777777" w:rsidR="00D3430B" w:rsidRPr="000F120F" w:rsidRDefault="00D3430B" w:rsidP="00F36942">
            <w:pPr>
              <w:pStyle w:val="Tabletext"/>
              <w:rPr>
                <w:snapToGrid w:val="0"/>
              </w:rPr>
            </w:pPr>
            <w:r w:rsidRPr="00295986">
              <w:t>0</w:t>
            </w:r>
            <w:r w:rsidR="00D7157D">
              <w:t>.</w:t>
            </w:r>
            <w:r w:rsidRPr="00295986">
              <w:t>7211</w:t>
            </w:r>
          </w:p>
        </w:tc>
        <w:tc>
          <w:tcPr>
            <w:tcW w:w="966" w:type="pct"/>
            <w:tcBorders>
              <w:top w:val="single" w:sz="4" w:space="0" w:color="auto"/>
              <w:bottom w:val="single" w:sz="4" w:space="0" w:color="auto"/>
            </w:tcBorders>
            <w:vAlign w:val="bottom"/>
          </w:tcPr>
          <w:p w14:paraId="34E9406A" w14:textId="77777777" w:rsidR="00D3430B" w:rsidRPr="000F120F" w:rsidRDefault="00D3430B" w:rsidP="00F36942">
            <w:pPr>
              <w:pStyle w:val="Tabletext"/>
              <w:rPr>
                <w:snapToGrid w:val="0"/>
              </w:rPr>
            </w:pPr>
            <w:r w:rsidRPr="00295986">
              <w:t>26</w:t>
            </w:r>
            <w:r w:rsidR="00D7157D">
              <w:t>.</w:t>
            </w:r>
            <w:r w:rsidRPr="00295986">
              <w:t>5338</w:t>
            </w:r>
          </w:p>
        </w:tc>
        <w:tc>
          <w:tcPr>
            <w:tcW w:w="966" w:type="pct"/>
            <w:tcBorders>
              <w:top w:val="single" w:sz="4" w:space="0" w:color="auto"/>
              <w:bottom w:val="single" w:sz="4" w:space="0" w:color="auto"/>
            </w:tcBorders>
            <w:vAlign w:val="bottom"/>
          </w:tcPr>
          <w:p w14:paraId="7358FDFE" w14:textId="77777777" w:rsidR="00D3430B" w:rsidRPr="000F120F" w:rsidRDefault="00D3430B" w:rsidP="00F36942">
            <w:pPr>
              <w:pStyle w:val="Tabletext"/>
              <w:rPr>
                <w:snapToGrid w:val="0"/>
              </w:rPr>
            </w:pPr>
            <w:r w:rsidRPr="00295986">
              <w:t>0</w:t>
            </w:r>
            <w:r w:rsidR="00D7157D">
              <w:t>.</w:t>
            </w:r>
            <w:r w:rsidRPr="00295986">
              <w:t>1805</w:t>
            </w:r>
          </w:p>
        </w:tc>
      </w:tr>
      <w:tr w:rsidR="00D3430B" w:rsidRPr="009E2595" w14:paraId="26F53404" w14:textId="77777777" w:rsidTr="00F36942">
        <w:trPr>
          <w:cantSplit/>
        </w:trPr>
        <w:tc>
          <w:tcPr>
            <w:tcW w:w="1136" w:type="pct"/>
            <w:tcBorders>
              <w:top w:val="single" w:sz="4" w:space="0" w:color="auto"/>
              <w:bottom w:val="single" w:sz="4" w:space="0" w:color="auto"/>
            </w:tcBorders>
          </w:tcPr>
          <w:p w14:paraId="16747D5A" w14:textId="77777777" w:rsidR="00D3430B" w:rsidRPr="00616B26" w:rsidRDefault="00D3430B" w:rsidP="00F36942">
            <w:pPr>
              <w:pStyle w:val="Tabletext"/>
              <w:rPr>
                <w:snapToGrid w:val="0"/>
              </w:rPr>
            </w:pPr>
            <w:r w:rsidRPr="00616B26">
              <w:rPr>
                <w:snapToGrid w:val="0"/>
              </w:rPr>
              <w:t>61</w:t>
            </w:r>
          </w:p>
        </w:tc>
        <w:tc>
          <w:tcPr>
            <w:tcW w:w="966" w:type="pct"/>
            <w:tcBorders>
              <w:top w:val="single" w:sz="4" w:space="0" w:color="auto"/>
              <w:bottom w:val="single" w:sz="4" w:space="0" w:color="auto"/>
            </w:tcBorders>
            <w:vAlign w:val="bottom"/>
          </w:tcPr>
          <w:p w14:paraId="0DF995CD" w14:textId="77777777" w:rsidR="00D3430B" w:rsidRPr="000F120F" w:rsidRDefault="00D3430B" w:rsidP="00F36942">
            <w:pPr>
              <w:pStyle w:val="Tabletext"/>
              <w:rPr>
                <w:snapToGrid w:val="0"/>
              </w:rPr>
            </w:pPr>
            <w:r w:rsidRPr="00295986">
              <w:t>24</w:t>
            </w:r>
            <w:r w:rsidR="00D7157D">
              <w:t>.</w:t>
            </w:r>
            <w:r w:rsidRPr="00295986">
              <w:t>0204</w:t>
            </w:r>
          </w:p>
        </w:tc>
        <w:tc>
          <w:tcPr>
            <w:tcW w:w="966" w:type="pct"/>
            <w:tcBorders>
              <w:top w:val="single" w:sz="4" w:space="0" w:color="auto"/>
              <w:bottom w:val="single" w:sz="4" w:space="0" w:color="auto"/>
            </w:tcBorders>
            <w:vAlign w:val="bottom"/>
          </w:tcPr>
          <w:p w14:paraId="3AF4A47A" w14:textId="77777777" w:rsidR="00D3430B" w:rsidRPr="000F120F" w:rsidRDefault="00D3430B" w:rsidP="00F36942">
            <w:pPr>
              <w:pStyle w:val="Tabletext"/>
              <w:rPr>
                <w:snapToGrid w:val="0"/>
              </w:rPr>
            </w:pPr>
            <w:r w:rsidRPr="00295986">
              <w:t>0</w:t>
            </w:r>
            <w:r w:rsidR="00D7157D">
              <w:t>.</w:t>
            </w:r>
            <w:r w:rsidRPr="00295986">
              <w:t>7244</w:t>
            </w:r>
          </w:p>
        </w:tc>
        <w:tc>
          <w:tcPr>
            <w:tcW w:w="966" w:type="pct"/>
            <w:tcBorders>
              <w:top w:val="single" w:sz="4" w:space="0" w:color="auto"/>
              <w:bottom w:val="single" w:sz="4" w:space="0" w:color="auto"/>
            </w:tcBorders>
            <w:vAlign w:val="bottom"/>
          </w:tcPr>
          <w:p w14:paraId="5656AF57" w14:textId="77777777" w:rsidR="00D3430B" w:rsidRPr="000F120F" w:rsidRDefault="00D3430B" w:rsidP="00F36942">
            <w:pPr>
              <w:pStyle w:val="Tabletext"/>
              <w:rPr>
                <w:snapToGrid w:val="0"/>
              </w:rPr>
            </w:pPr>
            <w:r w:rsidRPr="00295986">
              <w:t>25</w:t>
            </w:r>
            <w:r w:rsidR="00D7157D">
              <w:t>.</w:t>
            </w:r>
            <w:r w:rsidRPr="00295986">
              <w:t>7800</w:t>
            </w:r>
          </w:p>
        </w:tc>
        <w:tc>
          <w:tcPr>
            <w:tcW w:w="966" w:type="pct"/>
            <w:tcBorders>
              <w:top w:val="single" w:sz="4" w:space="0" w:color="auto"/>
              <w:bottom w:val="single" w:sz="4" w:space="0" w:color="auto"/>
            </w:tcBorders>
            <w:vAlign w:val="bottom"/>
          </w:tcPr>
          <w:p w14:paraId="56918055" w14:textId="77777777" w:rsidR="00D3430B" w:rsidRPr="000F120F" w:rsidRDefault="00D3430B" w:rsidP="00F36942">
            <w:pPr>
              <w:pStyle w:val="Tabletext"/>
              <w:rPr>
                <w:snapToGrid w:val="0"/>
              </w:rPr>
            </w:pPr>
            <w:r w:rsidRPr="00295986">
              <w:t>0</w:t>
            </w:r>
            <w:r w:rsidR="00D7157D">
              <w:t>.</w:t>
            </w:r>
            <w:r w:rsidRPr="00295986">
              <w:t>1812</w:t>
            </w:r>
          </w:p>
        </w:tc>
      </w:tr>
      <w:tr w:rsidR="00D3430B" w:rsidRPr="009E2595" w14:paraId="0686FC5A" w14:textId="77777777" w:rsidTr="00F36942">
        <w:trPr>
          <w:cantSplit/>
        </w:trPr>
        <w:tc>
          <w:tcPr>
            <w:tcW w:w="1136" w:type="pct"/>
            <w:tcBorders>
              <w:top w:val="single" w:sz="4" w:space="0" w:color="auto"/>
              <w:bottom w:val="single" w:sz="4" w:space="0" w:color="auto"/>
            </w:tcBorders>
          </w:tcPr>
          <w:p w14:paraId="27D94FF3" w14:textId="77777777" w:rsidR="00D3430B" w:rsidRPr="00616B26" w:rsidRDefault="00D3430B" w:rsidP="00F36942">
            <w:pPr>
              <w:pStyle w:val="Tabletext"/>
              <w:rPr>
                <w:snapToGrid w:val="0"/>
              </w:rPr>
            </w:pPr>
            <w:r w:rsidRPr="00616B26">
              <w:rPr>
                <w:snapToGrid w:val="0"/>
              </w:rPr>
              <w:t>62</w:t>
            </w:r>
          </w:p>
        </w:tc>
        <w:tc>
          <w:tcPr>
            <w:tcW w:w="966" w:type="pct"/>
            <w:tcBorders>
              <w:top w:val="single" w:sz="4" w:space="0" w:color="auto"/>
              <w:bottom w:val="single" w:sz="4" w:space="0" w:color="auto"/>
            </w:tcBorders>
            <w:vAlign w:val="bottom"/>
          </w:tcPr>
          <w:p w14:paraId="56DCF697" w14:textId="77777777" w:rsidR="00D3430B" w:rsidRPr="000F120F" w:rsidRDefault="00D3430B" w:rsidP="00F36942">
            <w:pPr>
              <w:pStyle w:val="Tabletext"/>
              <w:rPr>
                <w:snapToGrid w:val="0"/>
              </w:rPr>
            </w:pPr>
            <w:r w:rsidRPr="00295986">
              <w:t>23</w:t>
            </w:r>
            <w:r w:rsidR="00D7157D">
              <w:t>.</w:t>
            </w:r>
            <w:r w:rsidRPr="00295986">
              <w:t>2586</w:t>
            </w:r>
          </w:p>
        </w:tc>
        <w:tc>
          <w:tcPr>
            <w:tcW w:w="966" w:type="pct"/>
            <w:tcBorders>
              <w:top w:val="single" w:sz="4" w:space="0" w:color="auto"/>
              <w:bottom w:val="single" w:sz="4" w:space="0" w:color="auto"/>
            </w:tcBorders>
            <w:vAlign w:val="bottom"/>
          </w:tcPr>
          <w:p w14:paraId="75ECEC79" w14:textId="77777777" w:rsidR="00D3430B" w:rsidRPr="000F120F" w:rsidRDefault="00D3430B" w:rsidP="00F36942">
            <w:pPr>
              <w:pStyle w:val="Tabletext"/>
              <w:rPr>
                <w:snapToGrid w:val="0"/>
              </w:rPr>
            </w:pPr>
            <w:r w:rsidRPr="00295986">
              <w:t>0</w:t>
            </w:r>
            <w:r w:rsidR="00D7157D">
              <w:t>.</w:t>
            </w:r>
            <w:r w:rsidRPr="00295986">
              <w:t>7277</w:t>
            </w:r>
          </w:p>
        </w:tc>
        <w:tc>
          <w:tcPr>
            <w:tcW w:w="966" w:type="pct"/>
            <w:tcBorders>
              <w:top w:val="single" w:sz="4" w:space="0" w:color="auto"/>
              <w:bottom w:val="single" w:sz="4" w:space="0" w:color="auto"/>
            </w:tcBorders>
            <w:vAlign w:val="bottom"/>
          </w:tcPr>
          <w:p w14:paraId="1D38D432" w14:textId="77777777" w:rsidR="00D3430B" w:rsidRPr="000F120F" w:rsidRDefault="00D3430B" w:rsidP="00F36942">
            <w:pPr>
              <w:pStyle w:val="Tabletext"/>
              <w:rPr>
                <w:snapToGrid w:val="0"/>
              </w:rPr>
            </w:pPr>
            <w:r w:rsidRPr="00295986">
              <w:t>25</w:t>
            </w:r>
            <w:r w:rsidR="00D7157D">
              <w:t>.</w:t>
            </w:r>
            <w:r w:rsidRPr="00295986">
              <w:t>0205</w:t>
            </w:r>
          </w:p>
        </w:tc>
        <w:tc>
          <w:tcPr>
            <w:tcW w:w="966" w:type="pct"/>
            <w:tcBorders>
              <w:top w:val="single" w:sz="4" w:space="0" w:color="auto"/>
              <w:bottom w:val="single" w:sz="4" w:space="0" w:color="auto"/>
            </w:tcBorders>
            <w:vAlign w:val="bottom"/>
          </w:tcPr>
          <w:p w14:paraId="28314DEB" w14:textId="77777777" w:rsidR="00D3430B" w:rsidRPr="000F120F" w:rsidRDefault="00D3430B" w:rsidP="00F36942">
            <w:pPr>
              <w:pStyle w:val="Tabletext"/>
              <w:rPr>
                <w:snapToGrid w:val="0"/>
              </w:rPr>
            </w:pPr>
            <w:r w:rsidRPr="00295986">
              <w:t>0</w:t>
            </w:r>
            <w:r w:rsidR="00D7157D">
              <w:t>.</w:t>
            </w:r>
            <w:r w:rsidRPr="00295986">
              <w:t>1819</w:t>
            </w:r>
          </w:p>
        </w:tc>
      </w:tr>
      <w:tr w:rsidR="00D3430B" w:rsidRPr="009E2595" w14:paraId="6B5E0B04" w14:textId="77777777" w:rsidTr="00F36942">
        <w:trPr>
          <w:cantSplit/>
        </w:trPr>
        <w:tc>
          <w:tcPr>
            <w:tcW w:w="1136" w:type="pct"/>
            <w:tcBorders>
              <w:top w:val="single" w:sz="4" w:space="0" w:color="auto"/>
              <w:bottom w:val="single" w:sz="4" w:space="0" w:color="auto"/>
            </w:tcBorders>
          </w:tcPr>
          <w:p w14:paraId="038BC338" w14:textId="77777777" w:rsidR="00D3430B" w:rsidRPr="00616B26" w:rsidRDefault="00D3430B" w:rsidP="00F36942">
            <w:pPr>
              <w:pStyle w:val="Tabletext"/>
              <w:rPr>
                <w:snapToGrid w:val="0"/>
              </w:rPr>
            </w:pPr>
            <w:r w:rsidRPr="00616B26">
              <w:rPr>
                <w:snapToGrid w:val="0"/>
              </w:rPr>
              <w:t>63</w:t>
            </w:r>
          </w:p>
        </w:tc>
        <w:tc>
          <w:tcPr>
            <w:tcW w:w="966" w:type="pct"/>
            <w:tcBorders>
              <w:top w:val="single" w:sz="4" w:space="0" w:color="auto"/>
              <w:bottom w:val="single" w:sz="4" w:space="0" w:color="auto"/>
            </w:tcBorders>
            <w:vAlign w:val="bottom"/>
          </w:tcPr>
          <w:p w14:paraId="23CCE980" w14:textId="77777777" w:rsidR="00D3430B" w:rsidRPr="000F120F" w:rsidRDefault="00D3430B" w:rsidP="00F36942">
            <w:pPr>
              <w:pStyle w:val="Tabletext"/>
              <w:rPr>
                <w:snapToGrid w:val="0"/>
              </w:rPr>
            </w:pPr>
            <w:r w:rsidRPr="00295986">
              <w:t>22</w:t>
            </w:r>
            <w:r w:rsidR="00D7157D">
              <w:t>.</w:t>
            </w:r>
            <w:r w:rsidRPr="00295986">
              <w:t>4914</w:t>
            </w:r>
          </w:p>
        </w:tc>
        <w:tc>
          <w:tcPr>
            <w:tcW w:w="966" w:type="pct"/>
            <w:tcBorders>
              <w:top w:val="single" w:sz="4" w:space="0" w:color="auto"/>
              <w:bottom w:val="single" w:sz="4" w:space="0" w:color="auto"/>
            </w:tcBorders>
            <w:vAlign w:val="bottom"/>
          </w:tcPr>
          <w:p w14:paraId="0726A926" w14:textId="77777777" w:rsidR="00D3430B" w:rsidRPr="000F120F" w:rsidRDefault="00D3430B" w:rsidP="00F36942">
            <w:pPr>
              <w:pStyle w:val="Tabletext"/>
              <w:rPr>
                <w:snapToGrid w:val="0"/>
              </w:rPr>
            </w:pPr>
            <w:r w:rsidRPr="00295986">
              <w:t>0</w:t>
            </w:r>
            <w:r w:rsidR="00D7157D">
              <w:t>.</w:t>
            </w:r>
            <w:r w:rsidRPr="00295986">
              <w:t>7308</w:t>
            </w:r>
          </w:p>
        </w:tc>
        <w:tc>
          <w:tcPr>
            <w:tcW w:w="966" w:type="pct"/>
            <w:tcBorders>
              <w:top w:val="single" w:sz="4" w:space="0" w:color="auto"/>
              <w:bottom w:val="single" w:sz="4" w:space="0" w:color="auto"/>
            </w:tcBorders>
            <w:vAlign w:val="bottom"/>
          </w:tcPr>
          <w:p w14:paraId="7133BB84" w14:textId="77777777" w:rsidR="00D3430B" w:rsidRPr="000F120F" w:rsidRDefault="00D3430B" w:rsidP="00F36942">
            <w:pPr>
              <w:pStyle w:val="Tabletext"/>
              <w:rPr>
                <w:snapToGrid w:val="0"/>
              </w:rPr>
            </w:pPr>
            <w:r w:rsidRPr="00295986">
              <w:t>24</w:t>
            </w:r>
            <w:r w:rsidR="00D7157D">
              <w:t>.</w:t>
            </w:r>
            <w:r w:rsidRPr="00295986">
              <w:t>2555</w:t>
            </w:r>
          </w:p>
        </w:tc>
        <w:tc>
          <w:tcPr>
            <w:tcW w:w="966" w:type="pct"/>
            <w:tcBorders>
              <w:top w:val="single" w:sz="4" w:space="0" w:color="auto"/>
              <w:bottom w:val="single" w:sz="4" w:space="0" w:color="auto"/>
            </w:tcBorders>
            <w:vAlign w:val="bottom"/>
          </w:tcPr>
          <w:p w14:paraId="68ADB74E" w14:textId="77777777" w:rsidR="00D3430B" w:rsidRPr="000F120F" w:rsidRDefault="00D3430B" w:rsidP="00F36942">
            <w:pPr>
              <w:pStyle w:val="Tabletext"/>
              <w:rPr>
                <w:snapToGrid w:val="0"/>
              </w:rPr>
            </w:pPr>
            <w:r w:rsidRPr="00295986">
              <w:t>0</w:t>
            </w:r>
            <w:r w:rsidR="00D7157D">
              <w:t>.</w:t>
            </w:r>
            <w:r w:rsidRPr="00295986">
              <w:t>1826</w:t>
            </w:r>
          </w:p>
        </w:tc>
      </w:tr>
      <w:tr w:rsidR="00D3430B" w:rsidRPr="009E2595" w14:paraId="18E9A5B1" w14:textId="77777777" w:rsidTr="00F36942">
        <w:trPr>
          <w:cantSplit/>
        </w:trPr>
        <w:tc>
          <w:tcPr>
            <w:tcW w:w="1136" w:type="pct"/>
            <w:tcBorders>
              <w:top w:val="single" w:sz="4" w:space="0" w:color="auto"/>
              <w:bottom w:val="single" w:sz="4" w:space="0" w:color="auto"/>
            </w:tcBorders>
          </w:tcPr>
          <w:p w14:paraId="11D996EF" w14:textId="77777777" w:rsidR="00D3430B" w:rsidRPr="00616B26" w:rsidRDefault="00D3430B" w:rsidP="00F36942">
            <w:pPr>
              <w:pStyle w:val="Tabletext"/>
              <w:rPr>
                <w:snapToGrid w:val="0"/>
              </w:rPr>
            </w:pPr>
            <w:r w:rsidRPr="00616B26">
              <w:rPr>
                <w:snapToGrid w:val="0"/>
              </w:rPr>
              <w:t>64</w:t>
            </w:r>
          </w:p>
        </w:tc>
        <w:tc>
          <w:tcPr>
            <w:tcW w:w="966" w:type="pct"/>
            <w:tcBorders>
              <w:top w:val="single" w:sz="4" w:space="0" w:color="auto"/>
              <w:bottom w:val="single" w:sz="4" w:space="0" w:color="auto"/>
            </w:tcBorders>
            <w:vAlign w:val="bottom"/>
          </w:tcPr>
          <w:p w14:paraId="638019AD" w14:textId="77777777" w:rsidR="00D3430B" w:rsidRPr="000F120F" w:rsidRDefault="00D3430B" w:rsidP="00F36942">
            <w:pPr>
              <w:pStyle w:val="Tabletext"/>
              <w:rPr>
                <w:snapToGrid w:val="0"/>
              </w:rPr>
            </w:pPr>
            <w:r w:rsidRPr="00295986">
              <w:t>21</w:t>
            </w:r>
            <w:r w:rsidR="00D7157D">
              <w:t>.</w:t>
            </w:r>
            <w:r w:rsidRPr="00295986">
              <w:t>7189</w:t>
            </w:r>
          </w:p>
        </w:tc>
        <w:tc>
          <w:tcPr>
            <w:tcW w:w="966" w:type="pct"/>
            <w:tcBorders>
              <w:top w:val="single" w:sz="4" w:space="0" w:color="auto"/>
              <w:bottom w:val="single" w:sz="4" w:space="0" w:color="auto"/>
            </w:tcBorders>
            <w:vAlign w:val="bottom"/>
          </w:tcPr>
          <w:p w14:paraId="4465ED4B" w14:textId="77777777" w:rsidR="00D3430B" w:rsidRPr="000F120F" w:rsidRDefault="00D3430B" w:rsidP="00F36942">
            <w:pPr>
              <w:pStyle w:val="Tabletext"/>
              <w:rPr>
                <w:snapToGrid w:val="0"/>
              </w:rPr>
            </w:pPr>
            <w:r w:rsidRPr="00295986">
              <w:t>0</w:t>
            </w:r>
            <w:r w:rsidR="00D7157D">
              <w:t>.</w:t>
            </w:r>
            <w:r w:rsidRPr="00295986">
              <w:t>7338</w:t>
            </w:r>
          </w:p>
        </w:tc>
        <w:tc>
          <w:tcPr>
            <w:tcW w:w="966" w:type="pct"/>
            <w:tcBorders>
              <w:top w:val="single" w:sz="4" w:space="0" w:color="auto"/>
              <w:bottom w:val="single" w:sz="4" w:space="0" w:color="auto"/>
            </w:tcBorders>
            <w:vAlign w:val="bottom"/>
          </w:tcPr>
          <w:p w14:paraId="154D4238" w14:textId="77777777" w:rsidR="00D3430B" w:rsidRPr="000F120F" w:rsidRDefault="00D3430B" w:rsidP="00F36942">
            <w:pPr>
              <w:pStyle w:val="Tabletext"/>
              <w:rPr>
                <w:snapToGrid w:val="0"/>
              </w:rPr>
            </w:pPr>
            <w:r w:rsidRPr="00295986">
              <w:t>23</w:t>
            </w:r>
            <w:r w:rsidR="00D7157D">
              <w:t>.</w:t>
            </w:r>
            <w:r w:rsidRPr="00295986">
              <w:t>4851</w:t>
            </w:r>
          </w:p>
        </w:tc>
        <w:tc>
          <w:tcPr>
            <w:tcW w:w="966" w:type="pct"/>
            <w:tcBorders>
              <w:top w:val="single" w:sz="4" w:space="0" w:color="auto"/>
              <w:bottom w:val="single" w:sz="4" w:space="0" w:color="auto"/>
            </w:tcBorders>
            <w:vAlign w:val="bottom"/>
          </w:tcPr>
          <w:p w14:paraId="4FF22E5E" w14:textId="77777777" w:rsidR="00D3430B" w:rsidRPr="000F120F" w:rsidRDefault="00D3430B" w:rsidP="00F36942">
            <w:pPr>
              <w:pStyle w:val="Tabletext"/>
              <w:rPr>
                <w:snapToGrid w:val="0"/>
              </w:rPr>
            </w:pPr>
            <w:r w:rsidRPr="00295986">
              <w:t>0</w:t>
            </w:r>
            <w:r w:rsidR="00D7157D">
              <w:t>.</w:t>
            </w:r>
            <w:r w:rsidRPr="00295986">
              <w:t>1832</w:t>
            </w:r>
          </w:p>
        </w:tc>
      </w:tr>
      <w:tr w:rsidR="00D3430B" w:rsidRPr="009E2595" w14:paraId="5DA2AD34" w14:textId="77777777" w:rsidTr="00F36942">
        <w:trPr>
          <w:cantSplit/>
        </w:trPr>
        <w:tc>
          <w:tcPr>
            <w:tcW w:w="1136" w:type="pct"/>
            <w:tcBorders>
              <w:top w:val="single" w:sz="4" w:space="0" w:color="auto"/>
              <w:bottom w:val="single" w:sz="4" w:space="0" w:color="auto"/>
            </w:tcBorders>
          </w:tcPr>
          <w:p w14:paraId="56862D19" w14:textId="77777777" w:rsidR="00D3430B" w:rsidRPr="00616B26" w:rsidRDefault="00D3430B" w:rsidP="00F36942">
            <w:pPr>
              <w:pStyle w:val="Tabletext"/>
              <w:rPr>
                <w:snapToGrid w:val="0"/>
              </w:rPr>
            </w:pPr>
            <w:r w:rsidRPr="00616B26">
              <w:rPr>
                <w:snapToGrid w:val="0"/>
              </w:rPr>
              <w:t>65</w:t>
            </w:r>
          </w:p>
        </w:tc>
        <w:tc>
          <w:tcPr>
            <w:tcW w:w="966" w:type="pct"/>
            <w:tcBorders>
              <w:top w:val="single" w:sz="4" w:space="0" w:color="auto"/>
              <w:bottom w:val="single" w:sz="4" w:space="0" w:color="auto"/>
            </w:tcBorders>
            <w:vAlign w:val="bottom"/>
          </w:tcPr>
          <w:p w14:paraId="747D01F4" w14:textId="77777777" w:rsidR="00D3430B" w:rsidRPr="000F120F" w:rsidRDefault="00D3430B" w:rsidP="00F36942">
            <w:pPr>
              <w:pStyle w:val="Tabletext"/>
              <w:rPr>
                <w:snapToGrid w:val="0"/>
              </w:rPr>
            </w:pPr>
            <w:r w:rsidRPr="00295986">
              <w:t>20</w:t>
            </w:r>
            <w:r w:rsidR="00D7157D">
              <w:t>.</w:t>
            </w:r>
            <w:r w:rsidRPr="00295986">
              <w:t>9437</w:t>
            </w:r>
          </w:p>
        </w:tc>
        <w:tc>
          <w:tcPr>
            <w:tcW w:w="966" w:type="pct"/>
            <w:tcBorders>
              <w:top w:val="single" w:sz="4" w:space="0" w:color="auto"/>
              <w:bottom w:val="single" w:sz="4" w:space="0" w:color="auto"/>
            </w:tcBorders>
            <w:vAlign w:val="bottom"/>
          </w:tcPr>
          <w:p w14:paraId="7AC0E0BA" w14:textId="77777777" w:rsidR="00D3430B" w:rsidRPr="000F120F" w:rsidRDefault="00D3430B" w:rsidP="00F36942">
            <w:pPr>
              <w:pStyle w:val="Tabletext"/>
              <w:rPr>
                <w:snapToGrid w:val="0"/>
              </w:rPr>
            </w:pPr>
            <w:r w:rsidRPr="00295986">
              <w:t>0</w:t>
            </w:r>
            <w:r w:rsidR="00D7157D">
              <w:t>.</w:t>
            </w:r>
            <w:r w:rsidRPr="00295986">
              <w:t>7364</w:t>
            </w:r>
          </w:p>
        </w:tc>
        <w:tc>
          <w:tcPr>
            <w:tcW w:w="966" w:type="pct"/>
            <w:tcBorders>
              <w:top w:val="single" w:sz="4" w:space="0" w:color="auto"/>
              <w:bottom w:val="single" w:sz="4" w:space="0" w:color="auto"/>
            </w:tcBorders>
            <w:vAlign w:val="bottom"/>
          </w:tcPr>
          <w:p w14:paraId="547A3FC6" w14:textId="77777777" w:rsidR="00D3430B" w:rsidRPr="000F120F" w:rsidRDefault="00D3430B" w:rsidP="00F36942">
            <w:pPr>
              <w:pStyle w:val="Tabletext"/>
              <w:rPr>
                <w:snapToGrid w:val="0"/>
              </w:rPr>
            </w:pPr>
            <w:r w:rsidRPr="00295986">
              <w:t>22</w:t>
            </w:r>
            <w:r w:rsidR="00D7157D">
              <w:t>.</w:t>
            </w:r>
            <w:r w:rsidRPr="00295986">
              <w:t>7118</w:t>
            </w:r>
          </w:p>
        </w:tc>
        <w:tc>
          <w:tcPr>
            <w:tcW w:w="966" w:type="pct"/>
            <w:tcBorders>
              <w:top w:val="single" w:sz="4" w:space="0" w:color="auto"/>
              <w:bottom w:val="single" w:sz="4" w:space="0" w:color="auto"/>
            </w:tcBorders>
            <w:vAlign w:val="bottom"/>
          </w:tcPr>
          <w:p w14:paraId="70ED60AC" w14:textId="77777777" w:rsidR="00D3430B" w:rsidRPr="000F120F" w:rsidRDefault="00D3430B" w:rsidP="00F36942">
            <w:pPr>
              <w:pStyle w:val="Tabletext"/>
              <w:rPr>
                <w:snapToGrid w:val="0"/>
              </w:rPr>
            </w:pPr>
            <w:r w:rsidRPr="00295986">
              <w:t>0</w:t>
            </w:r>
            <w:r w:rsidR="00D7157D">
              <w:t>.</w:t>
            </w:r>
            <w:r w:rsidRPr="00295986">
              <w:t>1837</w:t>
            </w:r>
          </w:p>
        </w:tc>
      </w:tr>
      <w:tr w:rsidR="00D3430B" w:rsidRPr="009E2595" w14:paraId="366E22C2" w14:textId="77777777" w:rsidTr="00F36942">
        <w:trPr>
          <w:cantSplit/>
        </w:trPr>
        <w:tc>
          <w:tcPr>
            <w:tcW w:w="1136" w:type="pct"/>
            <w:tcBorders>
              <w:top w:val="single" w:sz="4" w:space="0" w:color="auto"/>
              <w:bottom w:val="single" w:sz="4" w:space="0" w:color="auto"/>
            </w:tcBorders>
          </w:tcPr>
          <w:p w14:paraId="44DB9482" w14:textId="77777777" w:rsidR="00D3430B" w:rsidRPr="00616B26" w:rsidRDefault="00D3430B" w:rsidP="00F36942">
            <w:pPr>
              <w:pStyle w:val="Tabletext"/>
              <w:rPr>
                <w:snapToGrid w:val="0"/>
              </w:rPr>
            </w:pPr>
            <w:r w:rsidRPr="00616B26">
              <w:rPr>
                <w:snapToGrid w:val="0"/>
              </w:rPr>
              <w:t>66</w:t>
            </w:r>
          </w:p>
        </w:tc>
        <w:tc>
          <w:tcPr>
            <w:tcW w:w="966" w:type="pct"/>
            <w:tcBorders>
              <w:top w:val="single" w:sz="4" w:space="0" w:color="auto"/>
              <w:bottom w:val="single" w:sz="4" w:space="0" w:color="auto"/>
            </w:tcBorders>
            <w:vAlign w:val="bottom"/>
          </w:tcPr>
          <w:p w14:paraId="36DD194B" w14:textId="77777777" w:rsidR="00D3430B" w:rsidRPr="000F120F" w:rsidRDefault="00D3430B" w:rsidP="00F36942">
            <w:pPr>
              <w:pStyle w:val="Tabletext"/>
              <w:rPr>
                <w:snapToGrid w:val="0"/>
              </w:rPr>
            </w:pPr>
            <w:r w:rsidRPr="00295986">
              <w:t>20</w:t>
            </w:r>
            <w:r w:rsidR="00D7157D">
              <w:t>.</w:t>
            </w:r>
            <w:r w:rsidRPr="00295986">
              <w:t>1710</w:t>
            </w:r>
          </w:p>
        </w:tc>
        <w:tc>
          <w:tcPr>
            <w:tcW w:w="966" w:type="pct"/>
            <w:tcBorders>
              <w:top w:val="single" w:sz="4" w:space="0" w:color="auto"/>
              <w:bottom w:val="single" w:sz="4" w:space="0" w:color="auto"/>
            </w:tcBorders>
            <w:vAlign w:val="bottom"/>
          </w:tcPr>
          <w:p w14:paraId="5B201275" w14:textId="77777777" w:rsidR="00D3430B" w:rsidRPr="000F120F" w:rsidRDefault="00D3430B" w:rsidP="00F36942">
            <w:pPr>
              <w:pStyle w:val="Tabletext"/>
              <w:rPr>
                <w:snapToGrid w:val="0"/>
              </w:rPr>
            </w:pPr>
            <w:r w:rsidRPr="00295986">
              <w:t>0</w:t>
            </w:r>
            <w:r w:rsidR="00D7157D">
              <w:t>.</w:t>
            </w:r>
            <w:r w:rsidRPr="00295986">
              <w:t>7382</w:t>
            </w:r>
          </w:p>
        </w:tc>
        <w:tc>
          <w:tcPr>
            <w:tcW w:w="966" w:type="pct"/>
            <w:tcBorders>
              <w:top w:val="single" w:sz="4" w:space="0" w:color="auto"/>
              <w:bottom w:val="single" w:sz="4" w:space="0" w:color="auto"/>
            </w:tcBorders>
            <w:vAlign w:val="bottom"/>
          </w:tcPr>
          <w:p w14:paraId="787105E4" w14:textId="77777777" w:rsidR="00D3430B" w:rsidRPr="000F120F" w:rsidRDefault="00D3430B" w:rsidP="00F36942">
            <w:pPr>
              <w:pStyle w:val="Tabletext"/>
              <w:rPr>
                <w:snapToGrid w:val="0"/>
              </w:rPr>
            </w:pPr>
            <w:r w:rsidRPr="00295986">
              <w:t>21</w:t>
            </w:r>
            <w:r w:rsidR="00D7157D">
              <w:t>.</w:t>
            </w:r>
            <w:r w:rsidRPr="00295986">
              <w:t>9365</w:t>
            </w:r>
          </w:p>
        </w:tc>
        <w:tc>
          <w:tcPr>
            <w:tcW w:w="966" w:type="pct"/>
            <w:tcBorders>
              <w:top w:val="single" w:sz="4" w:space="0" w:color="auto"/>
              <w:bottom w:val="single" w:sz="4" w:space="0" w:color="auto"/>
            </w:tcBorders>
            <w:vAlign w:val="bottom"/>
          </w:tcPr>
          <w:p w14:paraId="22FBF18B" w14:textId="77777777" w:rsidR="00D3430B" w:rsidRPr="000F120F" w:rsidRDefault="00D3430B" w:rsidP="00F36942">
            <w:pPr>
              <w:pStyle w:val="Tabletext"/>
              <w:rPr>
                <w:snapToGrid w:val="0"/>
              </w:rPr>
            </w:pPr>
            <w:r w:rsidRPr="00295986">
              <w:t>0</w:t>
            </w:r>
            <w:r w:rsidR="00D7157D">
              <w:t>.</w:t>
            </w:r>
            <w:r w:rsidRPr="00295986">
              <w:t>1841</w:t>
            </w:r>
          </w:p>
        </w:tc>
      </w:tr>
      <w:tr w:rsidR="00D3430B" w:rsidRPr="009E2595" w14:paraId="35E480FC" w14:textId="77777777" w:rsidTr="00F36942">
        <w:trPr>
          <w:cantSplit/>
        </w:trPr>
        <w:tc>
          <w:tcPr>
            <w:tcW w:w="1136" w:type="pct"/>
            <w:tcBorders>
              <w:top w:val="single" w:sz="4" w:space="0" w:color="auto"/>
              <w:bottom w:val="single" w:sz="4" w:space="0" w:color="auto"/>
            </w:tcBorders>
          </w:tcPr>
          <w:p w14:paraId="3A384E55" w14:textId="77777777" w:rsidR="00D3430B" w:rsidRPr="00616B26" w:rsidRDefault="00D3430B" w:rsidP="00F36942">
            <w:pPr>
              <w:pStyle w:val="Tabletext"/>
              <w:rPr>
                <w:snapToGrid w:val="0"/>
              </w:rPr>
            </w:pPr>
            <w:r w:rsidRPr="00616B26">
              <w:rPr>
                <w:snapToGrid w:val="0"/>
              </w:rPr>
              <w:t>67</w:t>
            </w:r>
          </w:p>
        </w:tc>
        <w:tc>
          <w:tcPr>
            <w:tcW w:w="966" w:type="pct"/>
            <w:tcBorders>
              <w:top w:val="single" w:sz="4" w:space="0" w:color="auto"/>
              <w:bottom w:val="single" w:sz="4" w:space="0" w:color="auto"/>
            </w:tcBorders>
            <w:vAlign w:val="bottom"/>
          </w:tcPr>
          <w:p w14:paraId="1D21F543" w14:textId="77777777" w:rsidR="00D3430B" w:rsidRPr="000F120F" w:rsidRDefault="00D3430B" w:rsidP="00F36942">
            <w:pPr>
              <w:pStyle w:val="Tabletext"/>
              <w:rPr>
                <w:snapToGrid w:val="0"/>
              </w:rPr>
            </w:pPr>
            <w:r w:rsidRPr="00295986">
              <w:t>19</w:t>
            </w:r>
            <w:r w:rsidR="00D7157D">
              <w:t>.</w:t>
            </w:r>
            <w:r w:rsidRPr="00295986">
              <w:t>4009</w:t>
            </w:r>
          </w:p>
        </w:tc>
        <w:tc>
          <w:tcPr>
            <w:tcW w:w="966" w:type="pct"/>
            <w:tcBorders>
              <w:top w:val="single" w:sz="4" w:space="0" w:color="auto"/>
              <w:bottom w:val="single" w:sz="4" w:space="0" w:color="auto"/>
            </w:tcBorders>
            <w:vAlign w:val="bottom"/>
          </w:tcPr>
          <w:p w14:paraId="3ACAD1C6" w14:textId="77777777" w:rsidR="00D3430B" w:rsidRPr="000F120F" w:rsidRDefault="00D3430B" w:rsidP="00F36942">
            <w:pPr>
              <w:pStyle w:val="Tabletext"/>
              <w:rPr>
                <w:snapToGrid w:val="0"/>
              </w:rPr>
            </w:pPr>
            <w:r w:rsidRPr="00295986">
              <w:t>0</w:t>
            </w:r>
            <w:r w:rsidR="00D7157D">
              <w:t>.</w:t>
            </w:r>
            <w:r w:rsidRPr="00295986">
              <w:t>7392</w:t>
            </w:r>
          </w:p>
        </w:tc>
        <w:tc>
          <w:tcPr>
            <w:tcW w:w="966" w:type="pct"/>
            <w:tcBorders>
              <w:top w:val="single" w:sz="4" w:space="0" w:color="auto"/>
              <w:bottom w:val="single" w:sz="4" w:space="0" w:color="auto"/>
            </w:tcBorders>
            <w:vAlign w:val="bottom"/>
          </w:tcPr>
          <w:p w14:paraId="11DE68E2" w14:textId="77777777" w:rsidR="00D3430B" w:rsidRPr="000F120F" w:rsidRDefault="00D3430B" w:rsidP="00F36942">
            <w:pPr>
              <w:pStyle w:val="Tabletext"/>
              <w:rPr>
                <w:snapToGrid w:val="0"/>
              </w:rPr>
            </w:pPr>
            <w:r w:rsidRPr="00295986">
              <w:t>21</w:t>
            </w:r>
            <w:r w:rsidR="00D7157D">
              <w:t>.</w:t>
            </w:r>
            <w:r w:rsidRPr="00295986">
              <w:t>1621</w:t>
            </w:r>
          </w:p>
        </w:tc>
        <w:tc>
          <w:tcPr>
            <w:tcW w:w="966" w:type="pct"/>
            <w:tcBorders>
              <w:top w:val="single" w:sz="4" w:space="0" w:color="auto"/>
              <w:bottom w:val="single" w:sz="4" w:space="0" w:color="auto"/>
            </w:tcBorders>
            <w:vAlign w:val="bottom"/>
          </w:tcPr>
          <w:p w14:paraId="1C6A5250" w14:textId="77777777" w:rsidR="00D3430B" w:rsidRPr="000F120F" w:rsidRDefault="00D3430B" w:rsidP="00F36942">
            <w:pPr>
              <w:pStyle w:val="Tabletext"/>
              <w:rPr>
                <w:snapToGrid w:val="0"/>
              </w:rPr>
            </w:pPr>
            <w:r w:rsidRPr="00295986">
              <w:t>0</w:t>
            </w:r>
            <w:r w:rsidR="00D7157D">
              <w:t>.</w:t>
            </w:r>
            <w:r w:rsidRPr="00295986">
              <w:t>1842</w:t>
            </w:r>
          </w:p>
        </w:tc>
      </w:tr>
      <w:tr w:rsidR="00D3430B" w:rsidRPr="009E2595" w14:paraId="69ED60A8" w14:textId="77777777" w:rsidTr="00F36942">
        <w:trPr>
          <w:cantSplit/>
        </w:trPr>
        <w:tc>
          <w:tcPr>
            <w:tcW w:w="1136" w:type="pct"/>
            <w:tcBorders>
              <w:top w:val="single" w:sz="4" w:space="0" w:color="auto"/>
              <w:bottom w:val="single" w:sz="4" w:space="0" w:color="auto"/>
            </w:tcBorders>
          </w:tcPr>
          <w:p w14:paraId="1A3506AF" w14:textId="77777777" w:rsidR="00D3430B" w:rsidRPr="00616B26" w:rsidRDefault="00D3430B" w:rsidP="00F36942">
            <w:pPr>
              <w:pStyle w:val="Tabletext"/>
              <w:rPr>
                <w:snapToGrid w:val="0"/>
              </w:rPr>
            </w:pPr>
            <w:r w:rsidRPr="00616B26">
              <w:rPr>
                <w:snapToGrid w:val="0"/>
              </w:rPr>
              <w:t>68</w:t>
            </w:r>
          </w:p>
        </w:tc>
        <w:tc>
          <w:tcPr>
            <w:tcW w:w="966" w:type="pct"/>
            <w:tcBorders>
              <w:top w:val="single" w:sz="4" w:space="0" w:color="auto"/>
              <w:bottom w:val="single" w:sz="4" w:space="0" w:color="auto"/>
            </w:tcBorders>
            <w:vAlign w:val="bottom"/>
          </w:tcPr>
          <w:p w14:paraId="7F4E37D2" w14:textId="77777777" w:rsidR="00D3430B" w:rsidRPr="000F120F" w:rsidRDefault="00D3430B" w:rsidP="00F36942">
            <w:pPr>
              <w:pStyle w:val="Tabletext"/>
              <w:rPr>
                <w:snapToGrid w:val="0"/>
              </w:rPr>
            </w:pPr>
            <w:r w:rsidRPr="00295986">
              <w:t>18</w:t>
            </w:r>
            <w:r w:rsidR="00D7157D">
              <w:t>.</w:t>
            </w:r>
            <w:r w:rsidRPr="00295986">
              <w:t>6334</w:t>
            </w:r>
          </w:p>
        </w:tc>
        <w:tc>
          <w:tcPr>
            <w:tcW w:w="966" w:type="pct"/>
            <w:tcBorders>
              <w:top w:val="single" w:sz="4" w:space="0" w:color="auto"/>
              <w:bottom w:val="single" w:sz="4" w:space="0" w:color="auto"/>
            </w:tcBorders>
            <w:vAlign w:val="bottom"/>
          </w:tcPr>
          <w:p w14:paraId="76C061BB" w14:textId="77777777" w:rsidR="00D3430B" w:rsidRPr="000F120F" w:rsidRDefault="00D3430B" w:rsidP="00F36942">
            <w:pPr>
              <w:pStyle w:val="Tabletext"/>
              <w:rPr>
                <w:snapToGrid w:val="0"/>
              </w:rPr>
            </w:pPr>
            <w:r w:rsidRPr="00295986">
              <w:t>0</w:t>
            </w:r>
            <w:r w:rsidR="00D7157D">
              <w:t>.</w:t>
            </w:r>
            <w:r w:rsidRPr="00295986">
              <w:t>7394</w:t>
            </w:r>
          </w:p>
        </w:tc>
        <w:tc>
          <w:tcPr>
            <w:tcW w:w="966" w:type="pct"/>
            <w:tcBorders>
              <w:top w:val="single" w:sz="4" w:space="0" w:color="auto"/>
              <w:bottom w:val="single" w:sz="4" w:space="0" w:color="auto"/>
            </w:tcBorders>
            <w:vAlign w:val="bottom"/>
          </w:tcPr>
          <w:p w14:paraId="4D72393F" w14:textId="77777777" w:rsidR="00D3430B" w:rsidRPr="000F120F" w:rsidRDefault="00D3430B" w:rsidP="00F36942">
            <w:pPr>
              <w:pStyle w:val="Tabletext"/>
              <w:rPr>
                <w:snapToGrid w:val="0"/>
              </w:rPr>
            </w:pPr>
            <w:r w:rsidRPr="00295986">
              <w:t>20</w:t>
            </w:r>
            <w:r w:rsidR="00D7157D">
              <w:t>.</w:t>
            </w:r>
            <w:r w:rsidRPr="00295986">
              <w:t>3871</w:t>
            </w:r>
          </w:p>
        </w:tc>
        <w:tc>
          <w:tcPr>
            <w:tcW w:w="966" w:type="pct"/>
            <w:tcBorders>
              <w:top w:val="single" w:sz="4" w:space="0" w:color="auto"/>
              <w:bottom w:val="single" w:sz="4" w:space="0" w:color="auto"/>
            </w:tcBorders>
            <w:vAlign w:val="bottom"/>
          </w:tcPr>
          <w:p w14:paraId="320AF889" w14:textId="77777777" w:rsidR="00D3430B" w:rsidRPr="000F120F" w:rsidRDefault="00D3430B" w:rsidP="00F36942">
            <w:pPr>
              <w:pStyle w:val="Tabletext"/>
              <w:rPr>
                <w:snapToGrid w:val="0"/>
              </w:rPr>
            </w:pPr>
            <w:r w:rsidRPr="00295986">
              <w:t>0</w:t>
            </w:r>
            <w:r w:rsidR="00D7157D">
              <w:t>.</w:t>
            </w:r>
            <w:r w:rsidRPr="00295986">
              <w:t>1841</w:t>
            </w:r>
          </w:p>
        </w:tc>
      </w:tr>
      <w:tr w:rsidR="00D3430B" w:rsidRPr="009E2595" w14:paraId="5AE0B50B" w14:textId="77777777" w:rsidTr="00F36942">
        <w:trPr>
          <w:cantSplit/>
        </w:trPr>
        <w:tc>
          <w:tcPr>
            <w:tcW w:w="1136" w:type="pct"/>
            <w:tcBorders>
              <w:top w:val="single" w:sz="4" w:space="0" w:color="auto"/>
              <w:bottom w:val="single" w:sz="4" w:space="0" w:color="auto"/>
            </w:tcBorders>
          </w:tcPr>
          <w:p w14:paraId="52A1F269" w14:textId="77777777" w:rsidR="00D3430B" w:rsidRPr="00616B26" w:rsidRDefault="00D3430B" w:rsidP="00F36942">
            <w:pPr>
              <w:pStyle w:val="Tabletext"/>
              <w:rPr>
                <w:snapToGrid w:val="0"/>
              </w:rPr>
            </w:pPr>
            <w:r w:rsidRPr="00616B26">
              <w:rPr>
                <w:snapToGrid w:val="0"/>
              </w:rPr>
              <w:t>69</w:t>
            </w:r>
          </w:p>
        </w:tc>
        <w:tc>
          <w:tcPr>
            <w:tcW w:w="966" w:type="pct"/>
            <w:tcBorders>
              <w:top w:val="single" w:sz="4" w:space="0" w:color="auto"/>
              <w:bottom w:val="single" w:sz="4" w:space="0" w:color="auto"/>
            </w:tcBorders>
            <w:vAlign w:val="bottom"/>
          </w:tcPr>
          <w:p w14:paraId="29DD76C5" w14:textId="77777777" w:rsidR="00D3430B" w:rsidRPr="000F120F" w:rsidRDefault="00D3430B" w:rsidP="00F36942">
            <w:pPr>
              <w:pStyle w:val="Tabletext"/>
              <w:rPr>
                <w:snapToGrid w:val="0"/>
              </w:rPr>
            </w:pPr>
            <w:r w:rsidRPr="00295986">
              <w:t>17</w:t>
            </w:r>
            <w:r w:rsidR="00D7157D">
              <w:t>.</w:t>
            </w:r>
            <w:r w:rsidRPr="00295986">
              <w:t>8682</w:t>
            </w:r>
          </w:p>
        </w:tc>
        <w:tc>
          <w:tcPr>
            <w:tcW w:w="966" w:type="pct"/>
            <w:tcBorders>
              <w:top w:val="single" w:sz="4" w:space="0" w:color="auto"/>
              <w:bottom w:val="single" w:sz="4" w:space="0" w:color="auto"/>
            </w:tcBorders>
            <w:vAlign w:val="bottom"/>
          </w:tcPr>
          <w:p w14:paraId="30222821" w14:textId="77777777" w:rsidR="00D3430B" w:rsidRPr="000F120F" w:rsidRDefault="00D3430B" w:rsidP="00F36942">
            <w:pPr>
              <w:pStyle w:val="Tabletext"/>
              <w:rPr>
                <w:snapToGrid w:val="0"/>
              </w:rPr>
            </w:pPr>
            <w:r w:rsidRPr="00295986">
              <w:t>0</w:t>
            </w:r>
            <w:r w:rsidR="00D7157D">
              <w:t>.</w:t>
            </w:r>
            <w:r w:rsidRPr="00295986">
              <w:t>7389</w:t>
            </w:r>
          </w:p>
        </w:tc>
        <w:tc>
          <w:tcPr>
            <w:tcW w:w="966" w:type="pct"/>
            <w:tcBorders>
              <w:top w:val="single" w:sz="4" w:space="0" w:color="auto"/>
              <w:bottom w:val="single" w:sz="4" w:space="0" w:color="auto"/>
            </w:tcBorders>
            <w:vAlign w:val="bottom"/>
          </w:tcPr>
          <w:p w14:paraId="296A352F" w14:textId="77777777" w:rsidR="00D3430B" w:rsidRPr="000F120F" w:rsidRDefault="00D3430B" w:rsidP="00F36942">
            <w:pPr>
              <w:pStyle w:val="Tabletext"/>
              <w:rPr>
                <w:snapToGrid w:val="0"/>
              </w:rPr>
            </w:pPr>
            <w:r w:rsidRPr="00295986">
              <w:t>19</w:t>
            </w:r>
            <w:r w:rsidR="00D7157D">
              <w:t>.</w:t>
            </w:r>
            <w:r w:rsidRPr="00295986">
              <w:t>6113</w:t>
            </w:r>
          </w:p>
        </w:tc>
        <w:tc>
          <w:tcPr>
            <w:tcW w:w="966" w:type="pct"/>
            <w:tcBorders>
              <w:top w:val="single" w:sz="4" w:space="0" w:color="auto"/>
              <w:bottom w:val="single" w:sz="4" w:space="0" w:color="auto"/>
            </w:tcBorders>
            <w:vAlign w:val="bottom"/>
          </w:tcPr>
          <w:p w14:paraId="6A871294" w14:textId="77777777" w:rsidR="00D3430B" w:rsidRPr="000F120F" w:rsidRDefault="00D3430B" w:rsidP="00F36942">
            <w:pPr>
              <w:pStyle w:val="Tabletext"/>
              <w:rPr>
                <w:snapToGrid w:val="0"/>
              </w:rPr>
            </w:pPr>
            <w:r w:rsidRPr="00295986">
              <w:t>0</w:t>
            </w:r>
            <w:r w:rsidR="00D7157D">
              <w:t>.</w:t>
            </w:r>
            <w:r w:rsidRPr="00295986">
              <w:t>1838</w:t>
            </w:r>
          </w:p>
        </w:tc>
      </w:tr>
      <w:tr w:rsidR="00D3430B" w:rsidRPr="009E2595" w14:paraId="1B8B99AA" w14:textId="77777777" w:rsidTr="00F36942">
        <w:trPr>
          <w:cantSplit/>
        </w:trPr>
        <w:tc>
          <w:tcPr>
            <w:tcW w:w="1136" w:type="pct"/>
            <w:tcBorders>
              <w:top w:val="single" w:sz="4" w:space="0" w:color="auto"/>
              <w:bottom w:val="single" w:sz="4" w:space="0" w:color="auto"/>
            </w:tcBorders>
          </w:tcPr>
          <w:p w14:paraId="798E5BCE" w14:textId="77777777" w:rsidR="00D3430B" w:rsidRPr="00616B26" w:rsidRDefault="00D3430B" w:rsidP="00F36942">
            <w:pPr>
              <w:pStyle w:val="Tabletext"/>
              <w:rPr>
                <w:snapToGrid w:val="0"/>
              </w:rPr>
            </w:pPr>
            <w:r w:rsidRPr="00616B26">
              <w:rPr>
                <w:snapToGrid w:val="0"/>
              </w:rPr>
              <w:t>70</w:t>
            </w:r>
          </w:p>
        </w:tc>
        <w:tc>
          <w:tcPr>
            <w:tcW w:w="966" w:type="pct"/>
            <w:tcBorders>
              <w:top w:val="single" w:sz="4" w:space="0" w:color="auto"/>
              <w:bottom w:val="single" w:sz="4" w:space="0" w:color="auto"/>
            </w:tcBorders>
            <w:vAlign w:val="bottom"/>
          </w:tcPr>
          <w:p w14:paraId="6564F4DB" w14:textId="77777777" w:rsidR="00D3430B" w:rsidRPr="000F120F" w:rsidRDefault="00D3430B" w:rsidP="00F36942">
            <w:pPr>
              <w:pStyle w:val="Tabletext"/>
              <w:rPr>
                <w:snapToGrid w:val="0"/>
              </w:rPr>
            </w:pPr>
            <w:r w:rsidRPr="00295986">
              <w:t>17</w:t>
            </w:r>
            <w:r w:rsidR="00D7157D">
              <w:t>.</w:t>
            </w:r>
            <w:r w:rsidRPr="00295986">
              <w:t>1049</w:t>
            </w:r>
          </w:p>
        </w:tc>
        <w:tc>
          <w:tcPr>
            <w:tcW w:w="966" w:type="pct"/>
            <w:tcBorders>
              <w:top w:val="single" w:sz="4" w:space="0" w:color="auto"/>
              <w:bottom w:val="single" w:sz="4" w:space="0" w:color="auto"/>
            </w:tcBorders>
            <w:vAlign w:val="bottom"/>
          </w:tcPr>
          <w:p w14:paraId="6D125BAF" w14:textId="77777777" w:rsidR="00D3430B" w:rsidRPr="000F120F" w:rsidRDefault="00D3430B" w:rsidP="00F36942">
            <w:pPr>
              <w:pStyle w:val="Tabletext"/>
              <w:rPr>
                <w:snapToGrid w:val="0"/>
              </w:rPr>
            </w:pPr>
            <w:r w:rsidRPr="00295986">
              <w:t>0</w:t>
            </w:r>
            <w:r w:rsidR="00D7157D">
              <w:t>.</w:t>
            </w:r>
            <w:r w:rsidRPr="00295986">
              <w:t>7377</w:t>
            </w:r>
          </w:p>
        </w:tc>
        <w:tc>
          <w:tcPr>
            <w:tcW w:w="966" w:type="pct"/>
            <w:tcBorders>
              <w:top w:val="single" w:sz="4" w:space="0" w:color="auto"/>
              <w:bottom w:val="single" w:sz="4" w:space="0" w:color="auto"/>
            </w:tcBorders>
            <w:vAlign w:val="bottom"/>
          </w:tcPr>
          <w:p w14:paraId="74543884" w14:textId="77777777" w:rsidR="00D3430B" w:rsidRPr="000F120F" w:rsidRDefault="00D3430B" w:rsidP="00F36942">
            <w:pPr>
              <w:pStyle w:val="Tabletext"/>
              <w:rPr>
                <w:snapToGrid w:val="0"/>
              </w:rPr>
            </w:pPr>
            <w:r w:rsidRPr="00295986">
              <w:t>18</w:t>
            </w:r>
            <w:r w:rsidR="00D7157D">
              <w:t>.</w:t>
            </w:r>
            <w:r w:rsidRPr="00295986">
              <w:t>8347</w:t>
            </w:r>
          </w:p>
        </w:tc>
        <w:tc>
          <w:tcPr>
            <w:tcW w:w="966" w:type="pct"/>
            <w:tcBorders>
              <w:top w:val="single" w:sz="4" w:space="0" w:color="auto"/>
              <w:bottom w:val="single" w:sz="4" w:space="0" w:color="auto"/>
            </w:tcBorders>
            <w:vAlign w:val="bottom"/>
          </w:tcPr>
          <w:p w14:paraId="5E09082D" w14:textId="77777777" w:rsidR="00D3430B" w:rsidRPr="000F120F" w:rsidRDefault="00D3430B" w:rsidP="00F36942">
            <w:pPr>
              <w:pStyle w:val="Tabletext"/>
              <w:rPr>
                <w:snapToGrid w:val="0"/>
              </w:rPr>
            </w:pPr>
            <w:r w:rsidRPr="00295986">
              <w:t>0</w:t>
            </w:r>
            <w:r w:rsidR="00D7157D">
              <w:t>.</w:t>
            </w:r>
            <w:r w:rsidRPr="00295986">
              <w:t>1834</w:t>
            </w:r>
          </w:p>
        </w:tc>
      </w:tr>
      <w:tr w:rsidR="00D3430B" w:rsidRPr="009E2595" w14:paraId="0518C174" w14:textId="77777777" w:rsidTr="00F36942">
        <w:trPr>
          <w:cantSplit/>
        </w:trPr>
        <w:tc>
          <w:tcPr>
            <w:tcW w:w="1136" w:type="pct"/>
            <w:tcBorders>
              <w:top w:val="single" w:sz="4" w:space="0" w:color="auto"/>
              <w:bottom w:val="single" w:sz="4" w:space="0" w:color="auto"/>
            </w:tcBorders>
          </w:tcPr>
          <w:p w14:paraId="5592D723" w14:textId="77777777" w:rsidR="00D3430B" w:rsidRPr="00616B26" w:rsidRDefault="00D3430B" w:rsidP="00F36942">
            <w:pPr>
              <w:pStyle w:val="Tabletext"/>
              <w:rPr>
                <w:snapToGrid w:val="0"/>
              </w:rPr>
            </w:pPr>
            <w:r w:rsidRPr="00616B26">
              <w:rPr>
                <w:snapToGrid w:val="0"/>
              </w:rPr>
              <w:t>71</w:t>
            </w:r>
          </w:p>
        </w:tc>
        <w:tc>
          <w:tcPr>
            <w:tcW w:w="966" w:type="pct"/>
            <w:tcBorders>
              <w:top w:val="single" w:sz="4" w:space="0" w:color="auto"/>
              <w:bottom w:val="single" w:sz="4" w:space="0" w:color="auto"/>
            </w:tcBorders>
            <w:vAlign w:val="bottom"/>
          </w:tcPr>
          <w:p w14:paraId="7D544562" w14:textId="77777777" w:rsidR="00D3430B" w:rsidRPr="000F120F" w:rsidRDefault="00D3430B" w:rsidP="00F36942">
            <w:pPr>
              <w:pStyle w:val="Tabletext"/>
              <w:rPr>
                <w:snapToGrid w:val="0"/>
              </w:rPr>
            </w:pPr>
            <w:r w:rsidRPr="00295986">
              <w:t>16</w:t>
            </w:r>
            <w:r w:rsidR="00D7157D">
              <w:t>.</w:t>
            </w:r>
            <w:r w:rsidRPr="00295986">
              <w:t>3426</w:t>
            </w:r>
          </w:p>
        </w:tc>
        <w:tc>
          <w:tcPr>
            <w:tcW w:w="966" w:type="pct"/>
            <w:tcBorders>
              <w:top w:val="single" w:sz="4" w:space="0" w:color="auto"/>
              <w:bottom w:val="single" w:sz="4" w:space="0" w:color="auto"/>
            </w:tcBorders>
            <w:vAlign w:val="bottom"/>
          </w:tcPr>
          <w:p w14:paraId="24F6C17B" w14:textId="77777777" w:rsidR="00D3430B" w:rsidRPr="000F120F" w:rsidRDefault="00D3430B" w:rsidP="00F36942">
            <w:pPr>
              <w:pStyle w:val="Tabletext"/>
              <w:rPr>
                <w:snapToGrid w:val="0"/>
              </w:rPr>
            </w:pPr>
            <w:r w:rsidRPr="00295986">
              <w:t>0</w:t>
            </w:r>
            <w:r w:rsidR="00D7157D">
              <w:t>.</w:t>
            </w:r>
            <w:r w:rsidRPr="00295986">
              <w:t>7359</w:t>
            </w:r>
          </w:p>
        </w:tc>
        <w:tc>
          <w:tcPr>
            <w:tcW w:w="966" w:type="pct"/>
            <w:tcBorders>
              <w:top w:val="single" w:sz="4" w:space="0" w:color="auto"/>
              <w:bottom w:val="single" w:sz="4" w:space="0" w:color="auto"/>
            </w:tcBorders>
            <w:vAlign w:val="bottom"/>
          </w:tcPr>
          <w:p w14:paraId="29694F58" w14:textId="77777777" w:rsidR="00D3430B" w:rsidRPr="000F120F" w:rsidRDefault="00D3430B" w:rsidP="00F36942">
            <w:pPr>
              <w:pStyle w:val="Tabletext"/>
              <w:rPr>
                <w:snapToGrid w:val="0"/>
              </w:rPr>
            </w:pPr>
            <w:r w:rsidRPr="00295986">
              <w:t>18</w:t>
            </w:r>
            <w:r w:rsidR="00D7157D">
              <w:t>.</w:t>
            </w:r>
            <w:r w:rsidRPr="00295986">
              <w:t>0596</w:t>
            </w:r>
          </w:p>
        </w:tc>
        <w:tc>
          <w:tcPr>
            <w:tcW w:w="966" w:type="pct"/>
            <w:tcBorders>
              <w:top w:val="single" w:sz="4" w:space="0" w:color="auto"/>
              <w:bottom w:val="single" w:sz="4" w:space="0" w:color="auto"/>
            </w:tcBorders>
            <w:vAlign w:val="bottom"/>
          </w:tcPr>
          <w:p w14:paraId="4815BDA2" w14:textId="77777777" w:rsidR="00D3430B" w:rsidRPr="000F120F" w:rsidRDefault="00D3430B" w:rsidP="00F36942">
            <w:pPr>
              <w:pStyle w:val="Tabletext"/>
              <w:rPr>
                <w:snapToGrid w:val="0"/>
              </w:rPr>
            </w:pPr>
            <w:r w:rsidRPr="00295986">
              <w:t>0</w:t>
            </w:r>
            <w:r w:rsidR="00D7157D">
              <w:t>.</w:t>
            </w:r>
            <w:r w:rsidRPr="00295986">
              <w:t>1828</w:t>
            </w:r>
          </w:p>
        </w:tc>
      </w:tr>
      <w:tr w:rsidR="00D3430B" w:rsidRPr="009E2595" w14:paraId="412BD969" w14:textId="77777777" w:rsidTr="00F36942">
        <w:trPr>
          <w:cantSplit/>
        </w:trPr>
        <w:tc>
          <w:tcPr>
            <w:tcW w:w="1136" w:type="pct"/>
            <w:tcBorders>
              <w:top w:val="single" w:sz="4" w:space="0" w:color="auto"/>
              <w:bottom w:val="single" w:sz="4" w:space="0" w:color="auto"/>
            </w:tcBorders>
          </w:tcPr>
          <w:p w14:paraId="21C22B33" w14:textId="77777777" w:rsidR="00D3430B" w:rsidRPr="00616B26" w:rsidRDefault="00D3430B" w:rsidP="00F36942">
            <w:pPr>
              <w:pStyle w:val="Tabletext"/>
              <w:rPr>
                <w:snapToGrid w:val="0"/>
              </w:rPr>
            </w:pPr>
            <w:r w:rsidRPr="00616B26">
              <w:rPr>
                <w:snapToGrid w:val="0"/>
              </w:rPr>
              <w:t>72</w:t>
            </w:r>
          </w:p>
        </w:tc>
        <w:tc>
          <w:tcPr>
            <w:tcW w:w="966" w:type="pct"/>
            <w:tcBorders>
              <w:top w:val="single" w:sz="4" w:space="0" w:color="auto"/>
              <w:bottom w:val="single" w:sz="4" w:space="0" w:color="auto"/>
            </w:tcBorders>
            <w:vAlign w:val="bottom"/>
          </w:tcPr>
          <w:p w14:paraId="310015E0" w14:textId="77777777" w:rsidR="00D3430B" w:rsidRPr="000F120F" w:rsidRDefault="00D3430B" w:rsidP="00F36942">
            <w:pPr>
              <w:pStyle w:val="Tabletext"/>
              <w:rPr>
                <w:snapToGrid w:val="0"/>
              </w:rPr>
            </w:pPr>
            <w:r w:rsidRPr="00295986">
              <w:t>15</w:t>
            </w:r>
            <w:r w:rsidR="00D7157D">
              <w:t>.</w:t>
            </w:r>
            <w:r w:rsidRPr="00295986">
              <w:t>5838</w:t>
            </w:r>
          </w:p>
        </w:tc>
        <w:tc>
          <w:tcPr>
            <w:tcW w:w="966" w:type="pct"/>
            <w:tcBorders>
              <w:top w:val="single" w:sz="4" w:space="0" w:color="auto"/>
              <w:bottom w:val="single" w:sz="4" w:space="0" w:color="auto"/>
            </w:tcBorders>
            <w:vAlign w:val="bottom"/>
          </w:tcPr>
          <w:p w14:paraId="6B53FDC0" w14:textId="77777777" w:rsidR="00D3430B" w:rsidRPr="000F120F" w:rsidRDefault="00D3430B" w:rsidP="00F36942">
            <w:pPr>
              <w:pStyle w:val="Tabletext"/>
              <w:rPr>
                <w:snapToGrid w:val="0"/>
              </w:rPr>
            </w:pPr>
            <w:r w:rsidRPr="00295986">
              <w:t>0</w:t>
            </w:r>
            <w:r w:rsidR="00D7157D">
              <w:t>.</w:t>
            </w:r>
            <w:r w:rsidRPr="00295986">
              <w:t>7333</w:t>
            </w:r>
          </w:p>
        </w:tc>
        <w:tc>
          <w:tcPr>
            <w:tcW w:w="966" w:type="pct"/>
            <w:tcBorders>
              <w:top w:val="single" w:sz="4" w:space="0" w:color="auto"/>
              <w:bottom w:val="single" w:sz="4" w:space="0" w:color="auto"/>
            </w:tcBorders>
            <w:vAlign w:val="bottom"/>
          </w:tcPr>
          <w:p w14:paraId="103AA49E" w14:textId="77777777" w:rsidR="00D3430B" w:rsidRPr="000F120F" w:rsidRDefault="00D3430B" w:rsidP="00F36942">
            <w:pPr>
              <w:pStyle w:val="Tabletext"/>
              <w:rPr>
                <w:snapToGrid w:val="0"/>
              </w:rPr>
            </w:pPr>
            <w:r w:rsidRPr="00295986">
              <w:t>17</w:t>
            </w:r>
            <w:r w:rsidR="00D7157D">
              <w:t>.</w:t>
            </w:r>
            <w:r w:rsidRPr="00295986">
              <w:t>2876</w:t>
            </w:r>
          </w:p>
        </w:tc>
        <w:tc>
          <w:tcPr>
            <w:tcW w:w="966" w:type="pct"/>
            <w:tcBorders>
              <w:top w:val="single" w:sz="4" w:space="0" w:color="auto"/>
              <w:bottom w:val="single" w:sz="4" w:space="0" w:color="auto"/>
            </w:tcBorders>
            <w:vAlign w:val="bottom"/>
          </w:tcPr>
          <w:p w14:paraId="34C9EA3C" w14:textId="77777777" w:rsidR="00D3430B" w:rsidRPr="000F120F" w:rsidRDefault="00D3430B" w:rsidP="00F36942">
            <w:pPr>
              <w:pStyle w:val="Tabletext"/>
              <w:rPr>
                <w:snapToGrid w:val="0"/>
              </w:rPr>
            </w:pPr>
            <w:r w:rsidRPr="00295986">
              <w:t>0</w:t>
            </w:r>
            <w:r w:rsidR="00D7157D">
              <w:t>.</w:t>
            </w:r>
            <w:r w:rsidRPr="00295986">
              <w:t>1820</w:t>
            </w:r>
          </w:p>
        </w:tc>
      </w:tr>
      <w:tr w:rsidR="00D3430B" w:rsidRPr="009E2595" w14:paraId="2E6078B4" w14:textId="77777777" w:rsidTr="00F36942">
        <w:trPr>
          <w:cantSplit/>
        </w:trPr>
        <w:tc>
          <w:tcPr>
            <w:tcW w:w="1136" w:type="pct"/>
            <w:tcBorders>
              <w:top w:val="single" w:sz="4" w:space="0" w:color="auto"/>
              <w:bottom w:val="single" w:sz="4" w:space="0" w:color="auto"/>
            </w:tcBorders>
          </w:tcPr>
          <w:p w14:paraId="4A407446" w14:textId="77777777" w:rsidR="00D3430B" w:rsidRPr="00616B26" w:rsidRDefault="00D3430B" w:rsidP="00F36942">
            <w:pPr>
              <w:pStyle w:val="Tabletext"/>
              <w:rPr>
                <w:snapToGrid w:val="0"/>
              </w:rPr>
            </w:pPr>
            <w:r w:rsidRPr="00616B26">
              <w:rPr>
                <w:snapToGrid w:val="0"/>
              </w:rPr>
              <w:t>73</w:t>
            </w:r>
          </w:p>
        </w:tc>
        <w:tc>
          <w:tcPr>
            <w:tcW w:w="966" w:type="pct"/>
            <w:tcBorders>
              <w:top w:val="single" w:sz="4" w:space="0" w:color="auto"/>
              <w:bottom w:val="single" w:sz="4" w:space="0" w:color="auto"/>
            </w:tcBorders>
            <w:vAlign w:val="bottom"/>
          </w:tcPr>
          <w:p w14:paraId="25B9872F" w14:textId="77777777" w:rsidR="00D3430B" w:rsidRPr="000F120F" w:rsidRDefault="00D3430B" w:rsidP="00F36942">
            <w:pPr>
              <w:pStyle w:val="Tabletext"/>
              <w:rPr>
                <w:snapToGrid w:val="0"/>
              </w:rPr>
            </w:pPr>
            <w:r w:rsidRPr="00295986">
              <w:t>14</w:t>
            </w:r>
            <w:r w:rsidR="00D7157D">
              <w:t>.</w:t>
            </w:r>
            <w:r w:rsidRPr="00295986">
              <w:t>8291</w:t>
            </w:r>
          </w:p>
        </w:tc>
        <w:tc>
          <w:tcPr>
            <w:tcW w:w="966" w:type="pct"/>
            <w:tcBorders>
              <w:top w:val="single" w:sz="4" w:space="0" w:color="auto"/>
              <w:bottom w:val="single" w:sz="4" w:space="0" w:color="auto"/>
            </w:tcBorders>
            <w:vAlign w:val="bottom"/>
          </w:tcPr>
          <w:p w14:paraId="5983E32D" w14:textId="77777777" w:rsidR="00D3430B" w:rsidRPr="000F120F" w:rsidRDefault="00D3430B" w:rsidP="00F36942">
            <w:pPr>
              <w:pStyle w:val="Tabletext"/>
              <w:rPr>
                <w:snapToGrid w:val="0"/>
              </w:rPr>
            </w:pPr>
            <w:r w:rsidRPr="00295986">
              <w:t>0</w:t>
            </w:r>
            <w:r w:rsidR="00D7157D">
              <w:t>.</w:t>
            </w:r>
            <w:r w:rsidRPr="00295986">
              <w:t>7299</w:t>
            </w:r>
          </w:p>
        </w:tc>
        <w:tc>
          <w:tcPr>
            <w:tcW w:w="966" w:type="pct"/>
            <w:tcBorders>
              <w:top w:val="single" w:sz="4" w:space="0" w:color="auto"/>
              <w:bottom w:val="single" w:sz="4" w:space="0" w:color="auto"/>
            </w:tcBorders>
            <w:vAlign w:val="bottom"/>
          </w:tcPr>
          <w:p w14:paraId="33AF0BAB" w14:textId="77777777" w:rsidR="00D3430B" w:rsidRPr="000F120F" w:rsidRDefault="00D3430B" w:rsidP="00F36942">
            <w:pPr>
              <w:pStyle w:val="Tabletext"/>
              <w:rPr>
                <w:snapToGrid w:val="0"/>
              </w:rPr>
            </w:pPr>
            <w:r w:rsidRPr="00295986">
              <w:t>16</w:t>
            </w:r>
            <w:r w:rsidR="00D7157D">
              <w:t>.</w:t>
            </w:r>
            <w:r w:rsidRPr="00295986">
              <w:t>5196</w:t>
            </w:r>
          </w:p>
        </w:tc>
        <w:tc>
          <w:tcPr>
            <w:tcW w:w="966" w:type="pct"/>
            <w:tcBorders>
              <w:top w:val="single" w:sz="4" w:space="0" w:color="auto"/>
              <w:bottom w:val="single" w:sz="4" w:space="0" w:color="auto"/>
            </w:tcBorders>
            <w:vAlign w:val="bottom"/>
          </w:tcPr>
          <w:p w14:paraId="5D5F5C30" w14:textId="77777777" w:rsidR="00D3430B" w:rsidRPr="000F120F" w:rsidRDefault="00D3430B" w:rsidP="00F36942">
            <w:pPr>
              <w:pStyle w:val="Tabletext"/>
              <w:rPr>
                <w:snapToGrid w:val="0"/>
              </w:rPr>
            </w:pPr>
            <w:r w:rsidRPr="00295986">
              <w:t>0</w:t>
            </w:r>
            <w:r w:rsidR="00D7157D">
              <w:t>.</w:t>
            </w:r>
            <w:r w:rsidRPr="00295986">
              <w:t>1809</w:t>
            </w:r>
          </w:p>
        </w:tc>
      </w:tr>
      <w:tr w:rsidR="00D3430B" w:rsidRPr="009E2595" w14:paraId="429B60EE" w14:textId="77777777" w:rsidTr="00F36942">
        <w:trPr>
          <w:cantSplit/>
        </w:trPr>
        <w:tc>
          <w:tcPr>
            <w:tcW w:w="1136" w:type="pct"/>
            <w:tcBorders>
              <w:top w:val="single" w:sz="4" w:space="0" w:color="auto"/>
              <w:bottom w:val="single" w:sz="4" w:space="0" w:color="auto"/>
            </w:tcBorders>
          </w:tcPr>
          <w:p w14:paraId="46034E02" w14:textId="77777777" w:rsidR="00D3430B" w:rsidRPr="00616B26" w:rsidRDefault="00D3430B" w:rsidP="00F36942">
            <w:pPr>
              <w:pStyle w:val="Tabletext"/>
              <w:rPr>
                <w:snapToGrid w:val="0"/>
              </w:rPr>
            </w:pPr>
            <w:r w:rsidRPr="00616B26">
              <w:rPr>
                <w:snapToGrid w:val="0"/>
              </w:rPr>
              <w:t>74</w:t>
            </w:r>
          </w:p>
        </w:tc>
        <w:tc>
          <w:tcPr>
            <w:tcW w:w="966" w:type="pct"/>
            <w:tcBorders>
              <w:top w:val="single" w:sz="4" w:space="0" w:color="auto"/>
              <w:bottom w:val="single" w:sz="4" w:space="0" w:color="auto"/>
            </w:tcBorders>
            <w:vAlign w:val="bottom"/>
          </w:tcPr>
          <w:p w14:paraId="07D47A8C" w14:textId="77777777" w:rsidR="00D3430B" w:rsidRPr="000F120F" w:rsidRDefault="00D3430B" w:rsidP="00F36942">
            <w:pPr>
              <w:pStyle w:val="Tabletext"/>
              <w:rPr>
                <w:snapToGrid w:val="0"/>
              </w:rPr>
            </w:pPr>
            <w:r w:rsidRPr="00295986">
              <w:t>14</w:t>
            </w:r>
            <w:r w:rsidR="00D7157D">
              <w:t>.</w:t>
            </w:r>
            <w:r w:rsidRPr="00295986">
              <w:t>0807</w:t>
            </w:r>
          </w:p>
        </w:tc>
        <w:tc>
          <w:tcPr>
            <w:tcW w:w="966" w:type="pct"/>
            <w:tcBorders>
              <w:top w:val="single" w:sz="4" w:space="0" w:color="auto"/>
              <w:bottom w:val="single" w:sz="4" w:space="0" w:color="auto"/>
            </w:tcBorders>
            <w:vAlign w:val="bottom"/>
          </w:tcPr>
          <w:p w14:paraId="7D6DFBD6" w14:textId="77777777" w:rsidR="00D3430B" w:rsidRPr="000F120F" w:rsidRDefault="00D3430B" w:rsidP="00F36942">
            <w:pPr>
              <w:pStyle w:val="Tabletext"/>
              <w:rPr>
                <w:snapToGrid w:val="0"/>
              </w:rPr>
            </w:pPr>
            <w:r w:rsidRPr="00295986">
              <w:t>0</w:t>
            </w:r>
            <w:r w:rsidR="00D7157D">
              <w:t>.</w:t>
            </w:r>
            <w:r w:rsidRPr="00295986">
              <w:t>7256</w:t>
            </w:r>
          </w:p>
        </w:tc>
        <w:tc>
          <w:tcPr>
            <w:tcW w:w="966" w:type="pct"/>
            <w:tcBorders>
              <w:top w:val="single" w:sz="4" w:space="0" w:color="auto"/>
              <w:bottom w:val="single" w:sz="4" w:space="0" w:color="auto"/>
            </w:tcBorders>
            <w:vAlign w:val="bottom"/>
          </w:tcPr>
          <w:p w14:paraId="7F633CAC" w14:textId="77777777" w:rsidR="00D3430B" w:rsidRPr="000F120F" w:rsidRDefault="00D3430B" w:rsidP="00F36942">
            <w:pPr>
              <w:pStyle w:val="Tabletext"/>
              <w:rPr>
                <w:snapToGrid w:val="0"/>
              </w:rPr>
            </w:pPr>
            <w:r w:rsidRPr="00295986">
              <w:t>15</w:t>
            </w:r>
            <w:r w:rsidR="00D7157D">
              <w:t>.</w:t>
            </w:r>
            <w:r w:rsidRPr="00295986">
              <w:t>7559</w:t>
            </w:r>
          </w:p>
        </w:tc>
        <w:tc>
          <w:tcPr>
            <w:tcW w:w="966" w:type="pct"/>
            <w:tcBorders>
              <w:top w:val="single" w:sz="4" w:space="0" w:color="auto"/>
              <w:bottom w:val="single" w:sz="4" w:space="0" w:color="auto"/>
            </w:tcBorders>
            <w:vAlign w:val="bottom"/>
          </w:tcPr>
          <w:p w14:paraId="1D1B7D1C" w14:textId="77777777" w:rsidR="00D3430B" w:rsidRPr="000F120F" w:rsidRDefault="00D3430B" w:rsidP="00F36942">
            <w:pPr>
              <w:pStyle w:val="Tabletext"/>
              <w:rPr>
                <w:snapToGrid w:val="0"/>
              </w:rPr>
            </w:pPr>
            <w:r w:rsidRPr="00295986">
              <w:t>0</w:t>
            </w:r>
            <w:r w:rsidR="00D7157D">
              <w:t>.</w:t>
            </w:r>
            <w:r w:rsidRPr="00295986">
              <w:t>1795</w:t>
            </w:r>
          </w:p>
        </w:tc>
      </w:tr>
      <w:tr w:rsidR="00D3430B" w:rsidRPr="009E2595" w14:paraId="50E9BC25" w14:textId="77777777" w:rsidTr="00F36942">
        <w:trPr>
          <w:cantSplit/>
        </w:trPr>
        <w:tc>
          <w:tcPr>
            <w:tcW w:w="1136" w:type="pct"/>
            <w:tcBorders>
              <w:top w:val="single" w:sz="4" w:space="0" w:color="auto"/>
              <w:bottom w:val="single" w:sz="4" w:space="0" w:color="auto"/>
            </w:tcBorders>
          </w:tcPr>
          <w:p w14:paraId="5DE2686B" w14:textId="77777777" w:rsidR="00D3430B" w:rsidRPr="00616B26" w:rsidRDefault="00D3430B" w:rsidP="00F36942">
            <w:pPr>
              <w:pStyle w:val="Tabletext"/>
              <w:rPr>
                <w:snapToGrid w:val="0"/>
              </w:rPr>
            </w:pPr>
            <w:r w:rsidRPr="00616B26">
              <w:rPr>
                <w:snapToGrid w:val="0"/>
              </w:rPr>
              <w:t>75</w:t>
            </w:r>
          </w:p>
        </w:tc>
        <w:tc>
          <w:tcPr>
            <w:tcW w:w="966" w:type="pct"/>
            <w:tcBorders>
              <w:top w:val="single" w:sz="4" w:space="0" w:color="auto"/>
              <w:bottom w:val="single" w:sz="4" w:space="0" w:color="auto"/>
            </w:tcBorders>
            <w:vAlign w:val="bottom"/>
          </w:tcPr>
          <w:p w14:paraId="51CCC888" w14:textId="77777777" w:rsidR="00D3430B" w:rsidRPr="000F120F" w:rsidRDefault="00D3430B" w:rsidP="00F36942">
            <w:pPr>
              <w:pStyle w:val="Tabletext"/>
              <w:rPr>
                <w:snapToGrid w:val="0"/>
              </w:rPr>
            </w:pPr>
            <w:r w:rsidRPr="00295986">
              <w:t>13</w:t>
            </w:r>
            <w:r w:rsidR="00D7157D">
              <w:t>.</w:t>
            </w:r>
            <w:r w:rsidRPr="00295986">
              <w:t>3398</w:t>
            </w:r>
          </w:p>
        </w:tc>
        <w:tc>
          <w:tcPr>
            <w:tcW w:w="966" w:type="pct"/>
            <w:tcBorders>
              <w:top w:val="single" w:sz="4" w:space="0" w:color="auto"/>
              <w:bottom w:val="single" w:sz="4" w:space="0" w:color="auto"/>
            </w:tcBorders>
            <w:vAlign w:val="bottom"/>
          </w:tcPr>
          <w:p w14:paraId="3835E651" w14:textId="77777777" w:rsidR="00D3430B" w:rsidRPr="000F120F" w:rsidRDefault="00D3430B" w:rsidP="00F36942">
            <w:pPr>
              <w:pStyle w:val="Tabletext"/>
              <w:rPr>
                <w:snapToGrid w:val="0"/>
              </w:rPr>
            </w:pPr>
            <w:r w:rsidRPr="00295986">
              <w:t>0</w:t>
            </w:r>
            <w:r w:rsidR="00D7157D">
              <w:t>.</w:t>
            </w:r>
            <w:r w:rsidRPr="00295986">
              <w:t>7202</w:t>
            </w:r>
          </w:p>
        </w:tc>
        <w:tc>
          <w:tcPr>
            <w:tcW w:w="966" w:type="pct"/>
            <w:tcBorders>
              <w:top w:val="single" w:sz="4" w:space="0" w:color="auto"/>
              <w:bottom w:val="single" w:sz="4" w:space="0" w:color="auto"/>
            </w:tcBorders>
            <w:vAlign w:val="bottom"/>
          </w:tcPr>
          <w:p w14:paraId="06D19443" w14:textId="77777777" w:rsidR="00D3430B" w:rsidRPr="000F120F" w:rsidRDefault="00D3430B" w:rsidP="00F36942">
            <w:pPr>
              <w:pStyle w:val="Tabletext"/>
              <w:rPr>
                <w:snapToGrid w:val="0"/>
              </w:rPr>
            </w:pPr>
            <w:r w:rsidRPr="00295986">
              <w:t>14</w:t>
            </w:r>
            <w:r w:rsidR="00D7157D">
              <w:t>.</w:t>
            </w:r>
            <w:r w:rsidRPr="00295986">
              <w:t>9959</w:t>
            </w:r>
          </w:p>
        </w:tc>
        <w:tc>
          <w:tcPr>
            <w:tcW w:w="966" w:type="pct"/>
            <w:tcBorders>
              <w:top w:val="single" w:sz="4" w:space="0" w:color="auto"/>
              <w:bottom w:val="single" w:sz="4" w:space="0" w:color="auto"/>
            </w:tcBorders>
            <w:vAlign w:val="bottom"/>
          </w:tcPr>
          <w:p w14:paraId="313171DB" w14:textId="77777777" w:rsidR="00D3430B" w:rsidRPr="000F120F" w:rsidRDefault="00D3430B" w:rsidP="00F36942">
            <w:pPr>
              <w:pStyle w:val="Tabletext"/>
              <w:rPr>
                <w:snapToGrid w:val="0"/>
              </w:rPr>
            </w:pPr>
            <w:r w:rsidRPr="00295986">
              <w:t>0</w:t>
            </w:r>
            <w:r w:rsidR="00D7157D">
              <w:t>.</w:t>
            </w:r>
            <w:r w:rsidRPr="00295986">
              <w:t>1780</w:t>
            </w:r>
          </w:p>
        </w:tc>
      </w:tr>
      <w:tr w:rsidR="00D3430B" w:rsidRPr="009E2595" w14:paraId="178751CE" w14:textId="77777777" w:rsidTr="00F36942">
        <w:trPr>
          <w:cantSplit/>
        </w:trPr>
        <w:tc>
          <w:tcPr>
            <w:tcW w:w="1136" w:type="pct"/>
            <w:tcBorders>
              <w:top w:val="single" w:sz="4" w:space="0" w:color="auto"/>
              <w:bottom w:val="single" w:sz="4" w:space="0" w:color="auto"/>
            </w:tcBorders>
          </w:tcPr>
          <w:p w14:paraId="31E3AC43" w14:textId="77777777" w:rsidR="00D3430B" w:rsidRPr="00616B26" w:rsidRDefault="00D3430B" w:rsidP="00F36942">
            <w:pPr>
              <w:pStyle w:val="Tabletext"/>
              <w:rPr>
                <w:snapToGrid w:val="0"/>
              </w:rPr>
            </w:pPr>
            <w:r w:rsidRPr="00616B26">
              <w:rPr>
                <w:snapToGrid w:val="0"/>
              </w:rPr>
              <w:t>76</w:t>
            </w:r>
          </w:p>
        </w:tc>
        <w:tc>
          <w:tcPr>
            <w:tcW w:w="966" w:type="pct"/>
            <w:tcBorders>
              <w:top w:val="single" w:sz="4" w:space="0" w:color="auto"/>
              <w:bottom w:val="single" w:sz="4" w:space="0" w:color="auto"/>
            </w:tcBorders>
            <w:vAlign w:val="bottom"/>
          </w:tcPr>
          <w:p w14:paraId="0654517F" w14:textId="77777777" w:rsidR="00D3430B" w:rsidRPr="000F120F" w:rsidRDefault="00D3430B" w:rsidP="00F36942">
            <w:pPr>
              <w:pStyle w:val="Tabletext"/>
              <w:rPr>
                <w:snapToGrid w:val="0"/>
              </w:rPr>
            </w:pPr>
            <w:r w:rsidRPr="00295986">
              <w:t>12</w:t>
            </w:r>
            <w:r w:rsidR="00D7157D">
              <w:t>.</w:t>
            </w:r>
            <w:r w:rsidRPr="00295986">
              <w:t>6080</w:t>
            </w:r>
          </w:p>
        </w:tc>
        <w:tc>
          <w:tcPr>
            <w:tcW w:w="966" w:type="pct"/>
            <w:tcBorders>
              <w:top w:val="single" w:sz="4" w:space="0" w:color="auto"/>
              <w:bottom w:val="single" w:sz="4" w:space="0" w:color="auto"/>
            </w:tcBorders>
            <w:vAlign w:val="bottom"/>
          </w:tcPr>
          <w:p w14:paraId="6BC72FBA" w14:textId="77777777" w:rsidR="00D3430B" w:rsidRPr="000F120F" w:rsidRDefault="00D3430B" w:rsidP="00F36942">
            <w:pPr>
              <w:pStyle w:val="Tabletext"/>
              <w:rPr>
                <w:snapToGrid w:val="0"/>
              </w:rPr>
            </w:pPr>
            <w:r w:rsidRPr="00295986">
              <w:t>0</w:t>
            </w:r>
            <w:r w:rsidR="00D7157D">
              <w:t>.</w:t>
            </w:r>
            <w:r w:rsidRPr="00295986">
              <w:t>7137</w:t>
            </w:r>
          </w:p>
        </w:tc>
        <w:tc>
          <w:tcPr>
            <w:tcW w:w="966" w:type="pct"/>
            <w:tcBorders>
              <w:top w:val="single" w:sz="4" w:space="0" w:color="auto"/>
              <w:bottom w:val="single" w:sz="4" w:space="0" w:color="auto"/>
            </w:tcBorders>
            <w:vAlign w:val="bottom"/>
          </w:tcPr>
          <w:p w14:paraId="537EF46C" w14:textId="77777777" w:rsidR="00D3430B" w:rsidRPr="000F120F" w:rsidRDefault="00D3430B" w:rsidP="00F36942">
            <w:pPr>
              <w:pStyle w:val="Tabletext"/>
              <w:rPr>
                <w:snapToGrid w:val="0"/>
              </w:rPr>
            </w:pPr>
            <w:r w:rsidRPr="00295986">
              <w:t>14</w:t>
            </w:r>
            <w:r w:rsidR="00D7157D">
              <w:t>.</w:t>
            </w:r>
            <w:r w:rsidRPr="00295986">
              <w:t>2381</w:t>
            </w:r>
          </w:p>
        </w:tc>
        <w:tc>
          <w:tcPr>
            <w:tcW w:w="966" w:type="pct"/>
            <w:tcBorders>
              <w:top w:val="single" w:sz="4" w:space="0" w:color="auto"/>
              <w:bottom w:val="single" w:sz="4" w:space="0" w:color="auto"/>
            </w:tcBorders>
            <w:vAlign w:val="bottom"/>
          </w:tcPr>
          <w:p w14:paraId="4873A4D5" w14:textId="77777777" w:rsidR="00D3430B" w:rsidRPr="000F120F" w:rsidRDefault="00D3430B" w:rsidP="00F36942">
            <w:pPr>
              <w:pStyle w:val="Tabletext"/>
              <w:rPr>
                <w:snapToGrid w:val="0"/>
              </w:rPr>
            </w:pPr>
            <w:r w:rsidRPr="00295986">
              <w:t>0</w:t>
            </w:r>
            <w:r w:rsidR="00D7157D">
              <w:t>.</w:t>
            </w:r>
            <w:r w:rsidRPr="00295986">
              <w:t>1763</w:t>
            </w:r>
          </w:p>
        </w:tc>
      </w:tr>
      <w:tr w:rsidR="00D3430B" w:rsidRPr="009E2595" w14:paraId="5199EF6C" w14:textId="77777777" w:rsidTr="00F36942">
        <w:trPr>
          <w:cantSplit/>
        </w:trPr>
        <w:tc>
          <w:tcPr>
            <w:tcW w:w="1136" w:type="pct"/>
            <w:tcBorders>
              <w:top w:val="single" w:sz="4" w:space="0" w:color="auto"/>
              <w:bottom w:val="single" w:sz="4" w:space="0" w:color="auto"/>
            </w:tcBorders>
          </w:tcPr>
          <w:p w14:paraId="3D59F7D2" w14:textId="77777777" w:rsidR="00D3430B" w:rsidRPr="00616B26" w:rsidRDefault="00D3430B" w:rsidP="00F36942">
            <w:pPr>
              <w:pStyle w:val="Tabletext"/>
              <w:rPr>
                <w:snapToGrid w:val="0"/>
              </w:rPr>
            </w:pPr>
            <w:r w:rsidRPr="00616B26">
              <w:rPr>
                <w:snapToGrid w:val="0"/>
              </w:rPr>
              <w:t>77</w:t>
            </w:r>
          </w:p>
        </w:tc>
        <w:tc>
          <w:tcPr>
            <w:tcW w:w="966" w:type="pct"/>
            <w:tcBorders>
              <w:top w:val="single" w:sz="4" w:space="0" w:color="auto"/>
              <w:bottom w:val="single" w:sz="4" w:space="0" w:color="auto"/>
            </w:tcBorders>
            <w:vAlign w:val="bottom"/>
          </w:tcPr>
          <w:p w14:paraId="3F84FEAB" w14:textId="77777777" w:rsidR="00D3430B" w:rsidRPr="000F120F" w:rsidRDefault="00D3430B" w:rsidP="00F36942">
            <w:pPr>
              <w:pStyle w:val="Tabletext"/>
              <w:rPr>
                <w:snapToGrid w:val="0"/>
              </w:rPr>
            </w:pPr>
            <w:r w:rsidRPr="00295986">
              <w:t>11</w:t>
            </w:r>
            <w:r w:rsidR="00D7157D">
              <w:t>.</w:t>
            </w:r>
            <w:r w:rsidRPr="00295986">
              <w:t>8870</w:t>
            </w:r>
          </w:p>
        </w:tc>
        <w:tc>
          <w:tcPr>
            <w:tcW w:w="966" w:type="pct"/>
            <w:tcBorders>
              <w:top w:val="single" w:sz="4" w:space="0" w:color="auto"/>
              <w:bottom w:val="single" w:sz="4" w:space="0" w:color="auto"/>
            </w:tcBorders>
            <w:vAlign w:val="bottom"/>
          </w:tcPr>
          <w:p w14:paraId="6C2AB59E" w14:textId="77777777" w:rsidR="00D3430B" w:rsidRPr="000F120F" w:rsidRDefault="00D3430B" w:rsidP="00F36942">
            <w:pPr>
              <w:pStyle w:val="Tabletext"/>
              <w:rPr>
                <w:snapToGrid w:val="0"/>
              </w:rPr>
            </w:pPr>
            <w:r w:rsidRPr="00295986">
              <w:t>0</w:t>
            </w:r>
            <w:r w:rsidR="00D7157D">
              <w:t>.</w:t>
            </w:r>
            <w:r w:rsidRPr="00295986">
              <w:t>7061</w:t>
            </w:r>
          </w:p>
        </w:tc>
        <w:tc>
          <w:tcPr>
            <w:tcW w:w="966" w:type="pct"/>
            <w:tcBorders>
              <w:top w:val="single" w:sz="4" w:space="0" w:color="auto"/>
              <w:bottom w:val="single" w:sz="4" w:space="0" w:color="auto"/>
            </w:tcBorders>
            <w:vAlign w:val="bottom"/>
          </w:tcPr>
          <w:p w14:paraId="3D8663E3" w14:textId="77777777" w:rsidR="00D3430B" w:rsidRPr="000F120F" w:rsidRDefault="00D3430B" w:rsidP="00F36942">
            <w:pPr>
              <w:pStyle w:val="Tabletext"/>
              <w:rPr>
                <w:snapToGrid w:val="0"/>
              </w:rPr>
            </w:pPr>
            <w:r w:rsidRPr="00295986">
              <w:t>13</w:t>
            </w:r>
            <w:r w:rsidR="00D7157D">
              <w:t>.</w:t>
            </w:r>
            <w:r w:rsidRPr="00295986">
              <w:t>4854</w:t>
            </w:r>
          </w:p>
        </w:tc>
        <w:tc>
          <w:tcPr>
            <w:tcW w:w="966" w:type="pct"/>
            <w:tcBorders>
              <w:top w:val="single" w:sz="4" w:space="0" w:color="auto"/>
              <w:bottom w:val="single" w:sz="4" w:space="0" w:color="auto"/>
            </w:tcBorders>
            <w:vAlign w:val="bottom"/>
          </w:tcPr>
          <w:p w14:paraId="67B2CE1C" w14:textId="77777777" w:rsidR="00D3430B" w:rsidRPr="000F120F" w:rsidRDefault="00D3430B" w:rsidP="00F36942">
            <w:pPr>
              <w:pStyle w:val="Tabletext"/>
              <w:rPr>
                <w:snapToGrid w:val="0"/>
              </w:rPr>
            </w:pPr>
            <w:r w:rsidRPr="00295986">
              <w:t>0</w:t>
            </w:r>
            <w:r w:rsidR="00D7157D">
              <w:t>.</w:t>
            </w:r>
            <w:r w:rsidRPr="00295986">
              <w:t>1745</w:t>
            </w:r>
          </w:p>
        </w:tc>
      </w:tr>
      <w:tr w:rsidR="00D3430B" w:rsidRPr="009E2595" w14:paraId="0A8DE631" w14:textId="77777777" w:rsidTr="00F36942">
        <w:trPr>
          <w:cantSplit/>
        </w:trPr>
        <w:tc>
          <w:tcPr>
            <w:tcW w:w="1136" w:type="pct"/>
            <w:tcBorders>
              <w:top w:val="single" w:sz="4" w:space="0" w:color="auto"/>
              <w:bottom w:val="single" w:sz="4" w:space="0" w:color="auto"/>
            </w:tcBorders>
          </w:tcPr>
          <w:p w14:paraId="1982E79D" w14:textId="77777777" w:rsidR="00D3430B" w:rsidRPr="00616B26" w:rsidRDefault="00D3430B" w:rsidP="00F36942">
            <w:pPr>
              <w:pStyle w:val="Tabletext"/>
              <w:rPr>
                <w:snapToGrid w:val="0"/>
              </w:rPr>
            </w:pPr>
            <w:r w:rsidRPr="00616B26">
              <w:rPr>
                <w:snapToGrid w:val="0"/>
              </w:rPr>
              <w:t>78</w:t>
            </w:r>
          </w:p>
        </w:tc>
        <w:tc>
          <w:tcPr>
            <w:tcW w:w="966" w:type="pct"/>
            <w:tcBorders>
              <w:top w:val="single" w:sz="4" w:space="0" w:color="auto"/>
              <w:bottom w:val="single" w:sz="4" w:space="0" w:color="auto"/>
            </w:tcBorders>
            <w:vAlign w:val="bottom"/>
          </w:tcPr>
          <w:p w14:paraId="4DFC42A8" w14:textId="77777777" w:rsidR="00D3430B" w:rsidRPr="000F120F" w:rsidRDefault="00D3430B" w:rsidP="00F36942">
            <w:pPr>
              <w:pStyle w:val="Tabletext"/>
              <w:rPr>
                <w:snapToGrid w:val="0"/>
              </w:rPr>
            </w:pPr>
            <w:r w:rsidRPr="00295986">
              <w:t>11</w:t>
            </w:r>
            <w:r w:rsidR="00D7157D">
              <w:t>.</w:t>
            </w:r>
            <w:r w:rsidRPr="00295986">
              <w:t>1786</w:t>
            </w:r>
          </w:p>
        </w:tc>
        <w:tc>
          <w:tcPr>
            <w:tcW w:w="966" w:type="pct"/>
            <w:tcBorders>
              <w:top w:val="single" w:sz="4" w:space="0" w:color="auto"/>
              <w:bottom w:val="single" w:sz="4" w:space="0" w:color="auto"/>
            </w:tcBorders>
            <w:vAlign w:val="bottom"/>
          </w:tcPr>
          <w:p w14:paraId="619611F4" w14:textId="77777777" w:rsidR="00D3430B" w:rsidRPr="000F120F" w:rsidRDefault="00D3430B" w:rsidP="00F36942">
            <w:pPr>
              <w:pStyle w:val="Tabletext"/>
              <w:rPr>
                <w:snapToGrid w:val="0"/>
              </w:rPr>
            </w:pPr>
            <w:r w:rsidRPr="00295986">
              <w:t>0</w:t>
            </w:r>
            <w:r w:rsidR="00D7157D">
              <w:t>.</w:t>
            </w:r>
            <w:r w:rsidRPr="00295986">
              <w:t>6973</w:t>
            </w:r>
          </w:p>
        </w:tc>
        <w:tc>
          <w:tcPr>
            <w:tcW w:w="966" w:type="pct"/>
            <w:tcBorders>
              <w:top w:val="single" w:sz="4" w:space="0" w:color="auto"/>
              <w:bottom w:val="single" w:sz="4" w:space="0" w:color="auto"/>
            </w:tcBorders>
            <w:vAlign w:val="bottom"/>
          </w:tcPr>
          <w:p w14:paraId="553B9F32" w14:textId="77777777" w:rsidR="00D3430B" w:rsidRPr="000F120F" w:rsidRDefault="00D3430B" w:rsidP="00F36942">
            <w:pPr>
              <w:pStyle w:val="Tabletext"/>
              <w:rPr>
                <w:snapToGrid w:val="0"/>
              </w:rPr>
            </w:pPr>
            <w:r w:rsidRPr="00295986">
              <w:t>12</w:t>
            </w:r>
            <w:r w:rsidR="00D7157D">
              <w:t>.</w:t>
            </w:r>
            <w:r w:rsidRPr="00295986">
              <w:t>7408</w:t>
            </w:r>
          </w:p>
        </w:tc>
        <w:tc>
          <w:tcPr>
            <w:tcW w:w="966" w:type="pct"/>
            <w:tcBorders>
              <w:top w:val="single" w:sz="4" w:space="0" w:color="auto"/>
              <w:bottom w:val="single" w:sz="4" w:space="0" w:color="auto"/>
            </w:tcBorders>
            <w:vAlign w:val="bottom"/>
          </w:tcPr>
          <w:p w14:paraId="6B572E08" w14:textId="77777777" w:rsidR="00D3430B" w:rsidRPr="000F120F" w:rsidRDefault="00D3430B" w:rsidP="00F36942">
            <w:pPr>
              <w:pStyle w:val="Tabletext"/>
              <w:rPr>
                <w:snapToGrid w:val="0"/>
              </w:rPr>
            </w:pPr>
            <w:r w:rsidRPr="00295986">
              <w:t>0</w:t>
            </w:r>
            <w:r w:rsidR="00D7157D">
              <w:t>.</w:t>
            </w:r>
            <w:r w:rsidRPr="00295986">
              <w:t>1725</w:t>
            </w:r>
          </w:p>
        </w:tc>
      </w:tr>
      <w:tr w:rsidR="00D3430B" w:rsidRPr="009E2595" w14:paraId="4BAF543D" w14:textId="77777777" w:rsidTr="00F36942">
        <w:trPr>
          <w:cantSplit/>
        </w:trPr>
        <w:tc>
          <w:tcPr>
            <w:tcW w:w="1136" w:type="pct"/>
            <w:tcBorders>
              <w:top w:val="single" w:sz="4" w:space="0" w:color="auto"/>
              <w:bottom w:val="single" w:sz="4" w:space="0" w:color="auto"/>
            </w:tcBorders>
          </w:tcPr>
          <w:p w14:paraId="00C48DE4" w14:textId="77777777" w:rsidR="00D3430B" w:rsidRPr="00616B26" w:rsidRDefault="00D3430B" w:rsidP="00F36942">
            <w:pPr>
              <w:pStyle w:val="Tabletext"/>
              <w:rPr>
                <w:snapToGrid w:val="0"/>
              </w:rPr>
            </w:pPr>
            <w:r w:rsidRPr="00616B26">
              <w:rPr>
                <w:snapToGrid w:val="0"/>
              </w:rPr>
              <w:t>79</w:t>
            </w:r>
          </w:p>
        </w:tc>
        <w:tc>
          <w:tcPr>
            <w:tcW w:w="966" w:type="pct"/>
            <w:tcBorders>
              <w:top w:val="single" w:sz="4" w:space="0" w:color="auto"/>
              <w:bottom w:val="single" w:sz="4" w:space="0" w:color="auto"/>
            </w:tcBorders>
            <w:vAlign w:val="bottom"/>
          </w:tcPr>
          <w:p w14:paraId="0F841E20" w14:textId="77777777" w:rsidR="00D3430B" w:rsidRPr="000F120F" w:rsidRDefault="00D3430B" w:rsidP="00F36942">
            <w:pPr>
              <w:pStyle w:val="Tabletext"/>
              <w:rPr>
                <w:snapToGrid w:val="0"/>
              </w:rPr>
            </w:pPr>
            <w:r w:rsidRPr="00295986">
              <w:t>10</w:t>
            </w:r>
            <w:r w:rsidR="00D7157D">
              <w:t>.</w:t>
            </w:r>
            <w:r w:rsidRPr="00295986">
              <w:t>4876</w:t>
            </w:r>
          </w:p>
        </w:tc>
        <w:tc>
          <w:tcPr>
            <w:tcW w:w="966" w:type="pct"/>
            <w:tcBorders>
              <w:top w:val="single" w:sz="4" w:space="0" w:color="auto"/>
              <w:bottom w:val="single" w:sz="4" w:space="0" w:color="auto"/>
            </w:tcBorders>
            <w:vAlign w:val="bottom"/>
          </w:tcPr>
          <w:p w14:paraId="5A84713D" w14:textId="77777777" w:rsidR="00D3430B" w:rsidRPr="000F120F" w:rsidRDefault="00D3430B" w:rsidP="00F36942">
            <w:pPr>
              <w:pStyle w:val="Tabletext"/>
              <w:rPr>
                <w:snapToGrid w:val="0"/>
              </w:rPr>
            </w:pPr>
            <w:r w:rsidRPr="00295986">
              <w:t>0</w:t>
            </w:r>
            <w:r w:rsidR="00D7157D">
              <w:t>.</w:t>
            </w:r>
            <w:r w:rsidRPr="00295986">
              <w:t>6869</w:t>
            </w:r>
          </w:p>
        </w:tc>
        <w:tc>
          <w:tcPr>
            <w:tcW w:w="966" w:type="pct"/>
            <w:tcBorders>
              <w:top w:val="single" w:sz="4" w:space="0" w:color="auto"/>
              <w:bottom w:val="single" w:sz="4" w:space="0" w:color="auto"/>
            </w:tcBorders>
            <w:vAlign w:val="bottom"/>
          </w:tcPr>
          <w:p w14:paraId="25F91EAB" w14:textId="77777777" w:rsidR="00D3430B" w:rsidRPr="000F120F" w:rsidRDefault="00D3430B" w:rsidP="00F36942">
            <w:pPr>
              <w:pStyle w:val="Tabletext"/>
              <w:rPr>
                <w:snapToGrid w:val="0"/>
              </w:rPr>
            </w:pPr>
            <w:r w:rsidRPr="00295986">
              <w:t>12</w:t>
            </w:r>
            <w:r w:rsidR="00D7157D">
              <w:t>.</w:t>
            </w:r>
            <w:r w:rsidRPr="00295986">
              <w:t>0083</w:t>
            </w:r>
          </w:p>
        </w:tc>
        <w:tc>
          <w:tcPr>
            <w:tcW w:w="966" w:type="pct"/>
            <w:tcBorders>
              <w:top w:val="single" w:sz="4" w:space="0" w:color="auto"/>
              <w:bottom w:val="single" w:sz="4" w:space="0" w:color="auto"/>
            </w:tcBorders>
            <w:vAlign w:val="bottom"/>
          </w:tcPr>
          <w:p w14:paraId="611A5EAF" w14:textId="77777777" w:rsidR="00D3430B" w:rsidRPr="000F120F" w:rsidRDefault="00D3430B" w:rsidP="00F36942">
            <w:pPr>
              <w:pStyle w:val="Tabletext"/>
              <w:rPr>
                <w:snapToGrid w:val="0"/>
              </w:rPr>
            </w:pPr>
            <w:r w:rsidRPr="00295986">
              <w:t>0</w:t>
            </w:r>
            <w:r w:rsidR="00D7157D">
              <w:t>.</w:t>
            </w:r>
            <w:r w:rsidRPr="00295986">
              <w:t>1701</w:t>
            </w:r>
          </w:p>
        </w:tc>
      </w:tr>
      <w:tr w:rsidR="00D3430B" w:rsidRPr="009E2595" w14:paraId="59AC7AE5" w14:textId="77777777" w:rsidTr="00F36942">
        <w:trPr>
          <w:cantSplit/>
        </w:trPr>
        <w:tc>
          <w:tcPr>
            <w:tcW w:w="1136" w:type="pct"/>
            <w:tcBorders>
              <w:top w:val="single" w:sz="4" w:space="0" w:color="auto"/>
              <w:bottom w:val="single" w:sz="4" w:space="0" w:color="auto"/>
            </w:tcBorders>
          </w:tcPr>
          <w:p w14:paraId="203F7AE2" w14:textId="77777777" w:rsidR="00D3430B" w:rsidRPr="00616B26" w:rsidRDefault="00D3430B" w:rsidP="00F36942">
            <w:pPr>
              <w:pStyle w:val="Tabletext"/>
              <w:rPr>
                <w:snapToGrid w:val="0"/>
              </w:rPr>
            </w:pPr>
            <w:r w:rsidRPr="00616B26">
              <w:rPr>
                <w:snapToGrid w:val="0"/>
              </w:rPr>
              <w:t>80</w:t>
            </w:r>
          </w:p>
        </w:tc>
        <w:tc>
          <w:tcPr>
            <w:tcW w:w="966" w:type="pct"/>
            <w:tcBorders>
              <w:top w:val="single" w:sz="4" w:space="0" w:color="auto"/>
              <w:bottom w:val="single" w:sz="4" w:space="0" w:color="auto"/>
            </w:tcBorders>
            <w:vAlign w:val="bottom"/>
          </w:tcPr>
          <w:p w14:paraId="3E59F7F5" w14:textId="77777777" w:rsidR="00D3430B" w:rsidRPr="000F120F" w:rsidRDefault="00D3430B" w:rsidP="00F36942">
            <w:pPr>
              <w:pStyle w:val="Tabletext"/>
              <w:rPr>
                <w:snapToGrid w:val="0"/>
              </w:rPr>
            </w:pPr>
            <w:r w:rsidRPr="00295986">
              <w:t>9</w:t>
            </w:r>
            <w:r w:rsidR="00D7157D">
              <w:t>.</w:t>
            </w:r>
            <w:r w:rsidRPr="00295986">
              <w:t>8165</w:t>
            </w:r>
          </w:p>
        </w:tc>
        <w:tc>
          <w:tcPr>
            <w:tcW w:w="966" w:type="pct"/>
            <w:tcBorders>
              <w:top w:val="single" w:sz="4" w:space="0" w:color="auto"/>
              <w:bottom w:val="single" w:sz="4" w:space="0" w:color="auto"/>
            </w:tcBorders>
            <w:vAlign w:val="bottom"/>
          </w:tcPr>
          <w:p w14:paraId="1C8A5343" w14:textId="77777777" w:rsidR="00D3430B" w:rsidRPr="000F120F" w:rsidRDefault="00D3430B" w:rsidP="00F36942">
            <w:pPr>
              <w:pStyle w:val="Tabletext"/>
              <w:rPr>
                <w:snapToGrid w:val="0"/>
              </w:rPr>
            </w:pPr>
            <w:r w:rsidRPr="00295986">
              <w:t>0</w:t>
            </w:r>
            <w:r w:rsidR="00D7157D">
              <w:t>.</w:t>
            </w:r>
            <w:r w:rsidRPr="00295986">
              <w:t>6750</w:t>
            </w:r>
          </w:p>
        </w:tc>
        <w:tc>
          <w:tcPr>
            <w:tcW w:w="966" w:type="pct"/>
            <w:tcBorders>
              <w:top w:val="single" w:sz="4" w:space="0" w:color="auto"/>
              <w:bottom w:val="single" w:sz="4" w:space="0" w:color="auto"/>
            </w:tcBorders>
            <w:vAlign w:val="bottom"/>
          </w:tcPr>
          <w:p w14:paraId="01A90257" w14:textId="77777777" w:rsidR="00D3430B" w:rsidRPr="000F120F" w:rsidRDefault="00D3430B" w:rsidP="00F36942">
            <w:pPr>
              <w:pStyle w:val="Tabletext"/>
              <w:rPr>
                <w:snapToGrid w:val="0"/>
              </w:rPr>
            </w:pPr>
            <w:r w:rsidRPr="00295986">
              <w:t>11</w:t>
            </w:r>
            <w:r w:rsidR="00D7157D">
              <w:t>.</w:t>
            </w:r>
            <w:r w:rsidRPr="00295986">
              <w:t>2907</w:t>
            </w:r>
          </w:p>
        </w:tc>
        <w:tc>
          <w:tcPr>
            <w:tcW w:w="966" w:type="pct"/>
            <w:tcBorders>
              <w:top w:val="single" w:sz="4" w:space="0" w:color="auto"/>
              <w:bottom w:val="single" w:sz="4" w:space="0" w:color="auto"/>
            </w:tcBorders>
            <w:vAlign w:val="bottom"/>
          </w:tcPr>
          <w:p w14:paraId="4BCB84A5" w14:textId="77777777" w:rsidR="00D3430B" w:rsidRPr="000F120F" w:rsidRDefault="00D3430B" w:rsidP="00F36942">
            <w:pPr>
              <w:pStyle w:val="Tabletext"/>
              <w:rPr>
                <w:snapToGrid w:val="0"/>
              </w:rPr>
            </w:pPr>
            <w:r w:rsidRPr="00295986">
              <w:t>0</w:t>
            </w:r>
            <w:r w:rsidR="00D7157D">
              <w:t>.</w:t>
            </w:r>
            <w:r w:rsidRPr="00295986">
              <w:t>1675</w:t>
            </w:r>
          </w:p>
        </w:tc>
      </w:tr>
      <w:tr w:rsidR="00D3430B" w:rsidRPr="009E2595" w14:paraId="1A13ACE6" w14:textId="77777777" w:rsidTr="00F36942">
        <w:trPr>
          <w:cantSplit/>
        </w:trPr>
        <w:tc>
          <w:tcPr>
            <w:tcW w:w="1136" w:type="pct"/>
            <w:tcBorders>
              <w:top w:val="single" w:sz="4" w:space="0" w:color="auto"/>
              <w:bottom w:val="single" w:sz="4" w:space="0" w:color="auto"/>
            </w:tcBorders>
          </w:tcPr>
          <w:p w14:paraId="48F37709" w14:textId="77777777" w:rsidR="00D3430B" w:rsidRPr="00616B26" w:rsidRDefault="00D3430B" w:rsidP="00F36942">
            <w:pPr>
              <w:pStyle w:val="Tabletext"/>
              <w:rPr>
                <w:snapToGrid w:val="0"/>
              </w:rPr>
            </w:pPr>
            <w:r w:rsidRPr="00616B26">
              <w:rPr>
                <w:snapToGrid w:val="0"/>
              </w:rPr>
              <w:t>81</w:t>
            </w:r>
          </w:p>
        </w:tc>
        <w:tc>
          <w:tcPr>
            <w:tcW w:w="966" w:type="pct"/>
            <w:tcBorders>
              <w:top w:val="single" w:sz="4" w:space="0" w:color="auto"/>
              <w:bottom w:val="single" w:sz="4" w:space="0" w:color="auto"/>
            </w:tcBorders>
            <w:vAlign w:val="bottom"/>
          </w:tcPr>
          <w:p w14:paraId="3F2A77ED" w14:textId="77777777" w:rsidR="00D3430B" w:rsidRPr="000F120F" w:rsidRDefault="00D3430B" w:rsidP="00F36942">
            <w:pPr>
              <w:pStyle w:val="Tabletext"/>
              <w:rPr>
                <w:snapToGrid w:val="0"/>
              </w:rPr>
            </w:pPr>
            <w:r w:rsidRPr="00295986">
              <w:t>9</w:t>
            </w:r>
            <w:r w:rsidR="00D7157D">
              <w:t>.</w:t>
            </w:r>
            <w:r w:rsidRPr="00295986">
              <w:t>1688</w:t>
            </w:r>
          </w:p>
        </w:tc>
        <w:tc>
          <w:tcPr>
            <w:tcW w:w="966" w:type="pct"/>
            <w:tcBorders>
              <w:top w:val="single" w:sz="4" w:space="0" w:color="auto"/>
              <w:bottom w:val="single" w:sz="4" w:space="0" w:color="auto"/>
            </w:tcBorders>
            <w:vAlign w:val="bottom"/>
          </w:tcPr>
          <w:p w14:paraId="5B4788E7" w14:textId="77777777" w:rsidR="00D3430B" w:rsidRPr="000F120F" w:rsidRDefault="00D3430B" w:rsidP="00F36942">
            <w:pPr>
              <w:pStyle w:val="Tabletext"/>
              <w:rPr>
                <w:snapToGrid w:val="0"/>
              </w:rPr>
            </w:pPr>
            <w:r w:rsidRPr="00295986">
              <w:t>0</w:t>
            </w:r>
            <w:r w:rsidR="00D7157D">
              <w:t>.</w:t>
            </w:r>
            <w:r w:rsidRPr="00295986">
              <w:t>6614</w:t>
            </w:r>
          </w:p>
        </w:tc>
        <w:tc>
          <w:tcPr>
            <w:tcW w:w="966" w:type="pct"/>
            <w:tcBorders>
              <w:top w:val="single" w:sz="4" w:space="0" w:color="auto"/>
              <w:bottom w:val="single" w:sz="4" w:space="0" w:color="auto"/>
            </w:tcBorders>
            <w:vAlign w:val="bottom"/>
          </w:tcPr>
          <w:p w14:paraId="625BDC89" w14:textId="77777777" w:rsidR="00D3430B" w:rsidRPr="000F120F" w:rsidRDefault="00D3430B" w:rsidP="00F36942">
            <w:pPr>
              <w:pStyle w:val="Tabletext"/>
              <w:rPr>
                <w:snapToGrid w:val="0"/>
              </w:rPr>
            </w:pPr>
            <w:r w:rsidRPr="00295986">
              <w:t>10</w:t>
            </w:r>
            <w:r w:rsidR="00D7157D">
              <w:t>.</w:t>
            </w:r>
            <w:r w:rsidRPr="00295986">
              <w:t>5910</w:t>
            </w:r>
          </w:p>
        </w:tc>
        <w:tc>
          <w:tcPr>
            <w:tcW w:w="966" w:type="pct"/>
            <w:tcBorders>
              <w:top w:val="single" w:sz="4" w:space="0" w:color="auto"/>
              <w:bottom w:val="single" w:sz="4" w:space="0" w:color="auto"/>
            </w:tcBorders>
            <w:vAlign w:val="bottom"/>
          </w:tcPr>
          <w:p w14:paraId="79284CB5" w14:textId="77777777" w:rsidR="00D3430B" w:rsidRPr="000F120F" w:rsidRDefault="00D3430B" w:rsidP="00F36942">
            <w:pPr>
              <w:pStyle w:val="Tabletext"/>
              <w:rPr>
                <w:snapToGrid w:val="0"/>
              </w:rPr>
            </w:pPr>
            <w:r w:rsidRPr="00295986">
              <w:t>0</w:t>
            </w:r>
            <w:r w:rsidR="00D7157D">
              <w:t>.</w:t>
            </w:r>
            <w:r w:rsidRPr="00295986">
              <w:t>1646</w:t>
            </w:r>
          </w:p>
        </w:tc>
      </w:tr>
      <w:tr w:rsidR="00D3430B" w:rsidRPr="009E2595" w14:paraId="16E07A17" w14:textId="77777777" w:rsidTr="00F36942">
        <w:trPr>
          <w:cantSplit/>
        </w:trPr>
        <w:tc>
          <w:tcPr>
            <w:tcW w:w="1136" w:type="pct"/>
            <w:tcBorders>
              <w:top w:val="single" w:sz="4" w:space="0" w:color="auto"/>
              <w:bottom w:val="single" w:sz="4" w:space="0" w:color="auto"/>
            </w:tcBorders>
          </w:tcPr>
          <w:p w14:paraId="7FDCB1D1" w14:textId="77777777" w:rsidR="00D3430B" w:rsidRPr="00616B26" w:rsidRDefault="00D3430B" w:rsidP="00F36942">
            <w:pPr>
              <w:pStyle w:val="Tabletext"/>
              <w:rPr>
                <w:snapToGrid w:val="0"/>
              </w:rPr>
            </w:pPr>
            <w:r w:rsidRPr="00616B26">
              <w:rPr>
                <w:snapToGrid w:val="0"/>
              </w:rPr>
              <w:t>82</w:t>
            </w:r>
          </w:p>
        </w:tc>
        <w:tc>
          <w:tcPr>
            <w:tcW w:w="966" w:type="pct"/>
            <w:tcBorders>
              <w:top w:val="single" w:sz="4" w:space="0" w:color="auto"/>
              <w:bottom w:val="single" w:sz="4" w:space="0" w:color="auto"/>
            </w:tcBorders>
            <w:vAlign w:val="bottom"/>
          </w:tcPr>
          <w:p w14:paraId="509E9CF4" w14:textId="77777777" w:rsidR="00D3430B" w:rsidRPr="000F120F" w:rsidRDefault="00D3430B" w:rsidP="00F36942">
            <w:pPr>
              <w:pStyle w:val="Tabletext"/>
              <w:rPr>
                <w:snapToGrid w:val="0"/>
              </w:rPr>
            </w:pPr>
            <w:r w:rsidRPr="00295986">
              <w:t>8</w:t>
            </w:r>
            <w:r w:rsidR="00D7157D">
              <w:t>.</w:t>
            </w:r>
            <w:r w:rsidRPr="00295986">
              <w:t>5521</w:t>
            </w:r>
          </w:p>
        </w:tc>
        <w:tc>
          <w:tcPr>
            <w:tcW w:w="966" w:type="pct"/>
            <w:tcBorders>
              <w:top w:val="single" w:sz="4" w:space="0" w:color="auto"/>
              <w:bottom w:val="single" w:sz="4" w:space="0" w:color="auto"/>
            </w:tcBorders>
            <w:vAlign w:val="bottom"/>
          </w:tcPr>
          <w:p w14:paraId="6FF82A8F" w14:textId="77777777" w:rsidR="00D3430B" w:rsidRPr="000F120F" w:rsidRDefault="00D3430B" w:rsidP="00F36942">
            <w:pPr>
              <w:pStyle w:val="Tabletext"/>
              <w:rPr>
                <w:snapToGrid w:val="0"/>
              </w:rPr>
            </w:pPr>
            <w:r w:rsidRPr="00295986">
              <w:t>0</w:t>
            </w:r>
            <w:r w:rsidR="00D7157D">
              <w:t>.</w:t>
            </w:r>
            <w:r w:rsidRPr="00295986">
              <w:t>6458</w:t>
            </w:r>
          </w:p>
        </w:tc>
        <w:tc>
          <w:tcPr>
            <w:tcW w:w="966" w:type="pct"/>
            <w:tcBorders>
              <w:top w:val="single" w:sz="4" w:space="0" w:color="auto"/>
              <w:bottom w:val="single" w:sz="4" w:space="0" w:color="auto"/>
            </w:tcBorders>
            <w:vAlign w:val="bottom"/>
          </w:tcPr>
          <w:p w14:paraId="1E859BB3" w14:textId="77777777" w:rsidR="00D3430B" w:rsidRPr="000F120F" w:rsidRDefault="00D3430B" w:rsidP="00F36942">
            <w:pPr>
              <w:pStyle w:val="Tabletext"/>
              <w:rPr>
                <w:snapToGrid w:val="0"/>
              </w:rPr>
            </w:pPr>
            <w:r w:rsidRPr="00295986">
              <w:t>9</w:t>
            </w:r>
            <w:r w:rsidR="00D7157D">
              <w:t>.</w:t>
            </w:r>
            <w:r w:rsidRPr="00295986">
              <w:t>9155</w:t>
            </w:r>
          </w:p>
        </w:tc>
        <w:tc>
          <w:tcPr>
            <w:tcW w:w="966" w:type="pct"/>
            <w:tcBorders>
              <w:top w:val="single" w:sz="4" w:space="0" w:color="auto"/>
              <w:bottom w:val="single" w:sz="4" w:space="0" w:color="auto"/>
            </w:tcBorders>
            <w:vAlign w:val="bottom"/>
          </w:tcPr>
          <w:p w14:paraId="06B2DD4D" w14:textId="77777777" w:rsidR="00D3430B" w:rsidRPr="000F120F" w:rsidRDefault="00D3430B" w:rsidP="00F36942">
            <w:pPr>
              <w:pStyle w:val="Tabletext"/>
              <w:rPr>
                <w:snapToGrid w:val="0"/>
              </w:rPr>
            </w:pPr>
            <w:r w:rsidRPr="00295986">
              <w:t>0</w:t>
            </w:r>
            <w:r w:rsidR="00D7157D">
              <w:t>.</w:t>
            </w:r>
            <w:r w:rsidRPr="00295986">
              <w:t>1613</w:t>
            </w:r>
          </w:p>
        </w:tc>
      </w:tr>
      <w:tr w:rsidR="00D3430B" w:rsidRPr="009E2595" w14:paraId="7E5CBFFD" w14:textId="77777777" w:rsidTr="00F36942">
        <w:trPr>
          <w:cantSplit/>
        </w:trPr>
        <w:tc>
          <w:tcPr>
            <w:tcW w:w="1136" w:type="pct"/>
            <w:tcBorders>
              <w:top w:val="single" w:sz="4" w:space="0" w:color="auto"/>
              <w:bottom w:val="single" w:sz="4" w:space="0" w:color="auto"/>
            </w:tcBorders>
          </w:tcPr>
          <w:p w14:paraId="3CB870CA" w14:textId="77777777" w:rsidR="00D3430B" w:rsidRPr="00616B26" w:rsidRDefault="00D3430B" w:rsidP="00F36942">
            <w:pPr>
              <w:pStyle w:val="Tabletext"/>
              <w:rPr>
                <w:snapToGrid w:val="0"/>
              </w:rPr>
            </w:pPr>
            <w:r w:rsidRPr="00616B26">
              <w:rPr>
                <w:snapToGrid w:val="0"/>
              </w:rPr>
              <w:t>83</w:t>
            </w:r>
          </w:p>
        </w:tc>
        <w:tc>
          <w:tcPr>
            <w:tcW w:w="966" w:type="pct"/>
            <w:tcBorders>
              <w:top w:val="single" w:sz="4" w:space="0" w:color="auto"/>
              <w:bottom w:val="single" w:sz="4" w:space="0" w:color="auto"/>
            </w:tcBorders>
            <w:vAlign w:val="bottom"/>
          </w:tcPr>
          <w:p w14:paraId="0ACBC436" w14:textId="77777777" w:rsidR="00D3430B" w:rsidRPr="000F120F" w:rsidRDefault="00D3430B" w:rsidP="00F36942">
            <w:pPr>
              <w:pStyle w:val="Tabletext"/>
              <w:rPr>
                <w:snapToGrid w:val="0"/>
              </w:rPr>
            </w:pPr>
            <w:r w:rsidRPr="00295986">
              <w:t>7</w:t>
            </w:r>
            <w:r w:rsidR="00D7157D">
              <w:t>.</w:t>
            </w:r>
            <w:r w:rsidRPr="00295986">
              <w:t>9617</w:t>
            </w:r>
          </w:p>
        </w:tc>
        <w:tc>
          <w:tcPr>
            <w:tcW w:w="966" w:type="pct"/>
            <w:tcBorders>
              <w:top w:val="single" w:sz="4" w:space="0" w:color="auto"/>
              <w:bottom w:val="single" w:sz="4" w:space="0" w:color="auto"/>
            </w:tcBorders>
            <w:vAlign w:val="bottom"/>
          </w:tcPr>
          <w:p w14:paraId="46330264" w14:textId="77777777" w:rsidR="00D3430B" w:rsidRPr="000F120F" w:rsidRDefault="00D3430B" w:rsidP="00F36942">
            <w:pPr>
              <w:pStyle w:val="Tabletext"/>
              <w:rPr>
                <w:snapToGrid w:val="0"/>
              </w:rPr>
            </w:pPr>
            <w:r w:rsidRPr="00295986">
              <w:t>0</w:t>
            </w:r>
            <w:r w:rsidR="00D7157D">
              <w:t>.</w:t>
            </w:r>
            <w:r w:rsidRPr="00295986">
              <w:t>6287</w:t>
            </w:r>
          </w:p>
        </w:tc>
        <w:tc>
          <w:tcPr>
            <w:tcW w:w="966" w:type="pct"/>
            <w:tcBorders>
              <w:top w:val="single" w:sz="4" w:space="0" w:color="auto"/>
              <w:bottom w:val="single" w:sz="4" w:space="0" w:color="auto"/>
            </w:tcBorders>
            <w:vAlign w:val="bottom"/>
          </w:tcPr>
          <w:p w14:paraId="2DEF87B4" w14:textId="77777777" w:rsidR="00D3430B" w:rsidRPr="000F120F" w:rsidRDefault="00D3430B" w:rsidP="00F36942">
            <w:pPr>
              <w:pStyle w:val="Tabletext"/>
              <w:rPr>
                <w:snapToGrid w:val="0"/>
              </w:rPr>
            </w:pPr>
            <w:r w:rsidRPr="00295986">
              <w:t>9</w:t>
            </w:r>
            <w:r w:rsidR="00D7157D">
              <w:t>.</w:t>
            </w:r>
            <w:r w:rsidRPr="00295986">
              <w:t>2657</w:t>
            </w:r>
          </w:p>
        </w:tc>
        <w:tc>
          <w:tcPr>
            <w:tcW w:w="966" w:type="pct"/>
            <w:tcBorders>
              <w:top w:val="single" w:sz="4" w:space="0" w:color="auto"/>
              <w:bottom w:val="single" w:sz="4" w:space="0" w:color="auto"/>
            </w:tcBorders>
            <w:vAlign w:val="bottom"/>
          </w:tcPr>
          <w:p w14:paraId="5935C1E8" w14:textId="77777777" w:rsidR="00D3430B" w:rsidRPr="000F120F" w:rsidRDefault="00D3430B" w:rsidP="00F36942">
            <w:pPr>
              <w:pStyle w:val="Tabletext"/>
              <w:rPr>
                <w:snapToGrid w:val="0"/>
              </w:rPr>
            </w:pPr>
            <w:r w:rsidRPr="00295986">
              <w:t>0</w:t>
            </w:r>
            <w:r w:rsidR="00D7157D">
              <w:t>.</w:t>
            </w:r>
            <w:r w:rsidRPr="00295986">
              <w:t>1577</w:t>
            </w:r>
          </w:p>
        </w:tc>
      </w:tr>
      <w:tr w:rsidR="00D3430B" w:rsidRPr="009E2595" w14:paraId="0CEB1FAF" w14:textId="77777777" w:rsidTr="00F36942">
        <w:trPr>
          <w:cantSplit/>
        </w:trPr>
        <w:tc>
          <w:tcPr>
            <w:tcW w:w="1136" w:type="pct"/>
            <w:tcBorders>
              <w:top w:val="single" w:sz="4" w:space="0" w:color="auto"/>
              <w:bottom w:val="single" w:sz="4" w:space="0" w:color="auto"/>
            </w:tcBorders>
          </w:tcPr>
          <w:p w14:paraId="473E3D87" w14:textId="77777777" w:rsidR="00D3430B" w:rsidRPr="00616B26" w:rsidRDefault="00D3430B" w:rsidP="00F36942">
            <w:pPr>
              <w:pStyle w:val="Tabletext"/>
              <w:rPr>
                <w:snapToGrid w:val="0"/>
              </w:rPr>
            </w:pPr>
            <w:r w:rsidRPr="00616B26">
              <w:rPr>
                <w:snapToGrid w:val="0"/>
              </w:rPr>
              <w:t>84</w:t>
            </w:r>
          </w:p>
        </w:tc>
        <w:tc>
          <w:tcPr>
            <w:tcW w:w="966" w:type="pct"/>
            <w:tcBorders>
              <w:top w:val="single" w:sz="4" w:space="0" w:color="auto"/>
              <w:bottom w:val="single" w:sz="4" w:space="0" w:color="auto"/>
            </w:tcBorders>
            <w:vAlign w:val="bottom"/>
          </w:tcPr>
          <w:p w14:paraId="39CB3E2F" w14:textId="77777777" w:rsidR="00D3430B" w:rsidRPr="000F120F" w:rsidRDefault="00D3430B" w:rsidP="00F36942">
            <w:pPr>
              <w:pStyle w:val="Tabletext"/>
              <w:rPr>
                <w:snapToGrid w:val="0"/>
              </w:rPr>
            </w:pPr>
            <w:r w:rsidRPr="00295986">
              <w:t>7</w:t>
            </w:r>
            <w:r w:rsidR="00D7157D">
              <w:t>.</w:t>
            </w:r>
            <w:r w:rsidRPr="00295986">
              <w:t>3999</w:t>
            </w:r>
          </w:p>
        </w:tc>
        <w:tc>
          <w:tcPr>
            <w:tcW w:w="966" w:type="pct"/>
            <w:tcBorders>
              <w:top w:val="single" w:sz="4" w:space="0" w:color="auto"/>
              <w:bottom w:val="single" w:sz="4" w:space="0" w:color="auto"/>
            </w:tcBorders>
            <w:vAlign w:val="bottom"/>
          </w:tcPr>
          <w:p w14:paraId="451D5842" w14:textId="77777777" w:rsidR="00D3430B" w:rsidRPr="000F120F" w:rsidRDefault="00D3430B" w:rsidP="00F36942">
            <w:pPr>
              <w:pStyle w:val="Tabletext"/>
              <w:rPr>
                <w:snapToGrid w:val="0"/>
              </w:rPr>
            </w:pPr>
            <w:r w:rsidRPr="00295986">
              <w:t>0</w:t>
            </w:r>
            <w:r w:rsidR="00D7157D">
              <w:t>.</w:t>
            </w:r>
            <w:r w:rsidRPr="00295986">
              <w:t>6100</w:t>
            </w:r>
          </w:p>
        </w:tc>
        <w:tc>
          <w:tcPr>
            <w:tcW w:w="966" w:type="pct"/>
            <w:tcBorders>
              <w:top w:val="single" w:sz="4" w:space="0" w:color="auto"/>
              <w:bottom w:val="single" w:sz="4" w:space="0" w:color="auto"/>
            </w:tcBorders>
            <w:vAlign w:val="bottom"/>
          </w:tcPr>
          <w:p w14:paraId="11CFA4E3" w14:textId="77777777" w:rsidR="00D3430B" w:rsidRPr="000F120F" w:rsidRDefault="00D3430B" w:rsidP="00F36942">
            <w:pPr>
              <w:pStyle w:val="Tabletext"/>
              <w:rPr>
                <w:snapToGrid w:val="0"/>
              </w:rPr>
            </w:pPr>
            <w:r w:rsidRPr="00295986">
              <w:t>8</w:t>
            </w:r>
            <w:r w:rsidR="00D7157D">
              <w:t>.</w:t>
            </w:r>
            <w:r w:rsidRPr="00295986">
              <w:t>6440</w:t>
            </w:r>
          </w:p>
        </w:tc>
        <w:tc>
          <w:tcPr>
            <w:tcW w:w="966" w:type="pct"/>
            <w:tcBorders>
              <w:top w:val="single" w:sz="4" w:space="0" w:color="auto"/>
              <w:bottom w:val="single" w:sz="4" w:space="0" w:color="auto"/>
            </w:tcBorders>
            <w:vAlign w:val="bottom"/>
          </w:tcPr>
          <w:p w14:paraId="65F541D3" w14:textId="77777777" w:rsidR="00D3430B" w:rsidRPr="000F120F" w:rsidRDefault="00D3430B" w:rsidP="00F36942">
            <w:pPr>
              <w:pStyle w:val="Tabletext"/>
              <w:rPr>
                <w:snapToGrid w:val="0"/>
              </w:rPr>
            </w:pPr>
            <w:r w:rsidRPr="00295986">
              <w:t>0</w:t>
            </w:r>
            <w:r w:rsidR="00D7157D">
              <w:t>.</w:t>
            </w:r>
            <w:r w:rsidRPr="00295986">
              <w:t>1538</w:t>
            </w:r>
          </w:p>
        </w:tc>
      </w:tr>
      <w:tr w:rsidR="00D3430B" w:rsidRPr="009E2595" w14:paraId="65BA968E" w14:textId="77777777" w:rsidTr="00F36942">
        <w:trPr>
          <w:cantSplit/>
        </w:trPr>
        <w:tc>
          <w:tcPr>
            <w:tcW w:w="1136" w:type="pct"/>
            <w:tcBorders>
              <w:top w:val="single" w:sz="4" w:space="0" w:color="auto"/>
              <w:bottom w:val="single" w:sz="4" w:space="0" w:color="auto"/>
            </w:tcBorders>
          </w:tcPr>
          <w:p w14:paraId="332B42DC" w14:textId="77777777" w:rsidR="00D3430B" w:rsidRPr="00616B26" w:rsidRDefault="00D3430B" w:rsidP="00F36942">
            <w:pPr>
              <w:pStyle w:val="Tabletext"/>
              <w:rPr>
                <w:snapToGrid w:val="0"/>
              </w:rPr>
            </w:pPr>
            <w:r w:rsidRPr="00616B26">
              <w:rPr>
                <w:snapToGrid w:val="0"/>
              </w:rPr>
              <w:t>85</w:t>
            </w:r>
          </w:p>
        </w:tc>
        <w:tc>
          <w:tcPr>
            <w:tcW w:w="966" w:type="pct"/>
            <w:tcBorders>
              <w:top w:val="single" w:sz="4" w:space="0" w:color="auto"/>
              <w:bottom w:val="single" w:sz="4" w:space="0" w:color="auto"/>
            </w:tcBorders>
            <w:vAlign w:val="bottom"/>
          </w:tcPr>
          <w:p w14:paraId="1DB0B3F0" w14:textId="77777777" w:rsidR="00D3430B" w:rsidRPr="000F120F" w:rsidRDefault="00D3430B" w:rsidP="00F36942">
            <w:pPr>
              <w:pStyle w:val="Tabletext"/>
              <w:rPr>
                <w:snapToGrid w:val="0"/>
              </w:rPr>
            </w:pPr>
            <w:r w:rsidRPr="00295986">
              <w:t>6</w:t>
            </w:r>
            <w:r w:rsidR="00D7157D">
              <w:t>.</w:t>
            </w:r>
            <w:r w:rsidRPr="00295986">
              <w:t>8661</w:t>
            </w:r>
          </w:p>
        </w:tc>
        <w:tc>
          <w:tcPr>
            <w:tcW w:w="966" w:type="pct"/>
            <w:tcBorders>
              <w:top w:val="single" w:sz="4" w:space="0" w:color="auto"/>
              <w:bottom w:val="single" w:sz="4" w:space="0" w:color="auto"/>
            </w:tcBorders>
            <w:vAlign w:val="bottom"/>
          </w:tcPr>
          <w:p w14:paraId="1EF3B2A4" w14:textId="77777777" w:rsidR="00D3430B" w:rsidRPr="000F120F" w:rsidRDefault="00D3430B" w:rsidP="00F36942">
            <w:pPr>
              <w:pStyle w:val="Tabletext"/>
              <w:rPr>
                <w:snapToGrid w:val="0"/>
              </w:rPr>
            </w:pPr>
            <w:r w:rsidRPr="00295986">
              <w:t>0</w:t>
            </w:r>
            <w:r w:rsidR="00D7157D">
              <w:t>.</w:t>
            </w:r>
            <w:r w:rsidRPr="00295986">
              <w:t>5901</w:t>
            </w:r>
          </w:p>
        </w:tc>
        <w:tc>
          <w:tcPr>
            <w:tcW w:w="966" w:type="pct"/>
            <w:tcBorders>
              <w:top w:val="single" w:sz="4" w:space="0" w:color="auto"/>
              <w:bottom w:val="single" w:sz="4" w:space="0" w:color="auto"/>
            </w:tcBorders>
            <w:vAlign w:val="bottom"/>
          </w:tcPr>
          <w:p w14:paraId="0618F6C1" w14:textId="77777777" w:rsidR="00D3430B" w:rsidRPr="000F120F" w:rsidRDefault="00D3430B" w:rsidP="00F36942">
            <w:pPr>
              <w:pStyle w:val="Tabletext"/>
              <w:rPr>
                <w:snapToGrid w:val="0"/>
              </w:rPr>
            </w:pPr>
            <w:r w:rsidRPr="00295986">
              <w:t>8</w:t>
            </w:r>
            <w:r w:rsidR="00D7157D">
              <w:t>.</w:t>
            </w:r>
            <w:r w:rsidRPr="00295986">
              <w:t>0409</w:t>
            </w:r>
          </w:p>
        </w:tc>
        <w:tc>
          <w:tcPr>
            <w:tcW w:w="966" w:type="pct"/>
            <w:tcBorders>
              <w:top w:val="single" w:sz="4" w:space="0" w:color="auto"/>
              <w:bottom w:val="single" w:sz="4" w:space="0" w:color="auto"/>
            </w:tcBorders>
            <w:vAlign w:val="bottom"/>
          </w:tcPr>
          <w:p w14:paraId="06BEEDEF" w14:textId="77777777" w:rsidR="00D3430B" w:rsidRPr="000F120F" w:rsidRDefault="00D3430B" w:rsidP="00F36942">
            <w:pPr>
              <w:pStyle w:val="Tabletext"/>
              <w:rPr>
                <w:snapToGrid w:val="0"/>
              </w:rPr>
            </w:pPr>
            <w:r w:rsidRPr="00295986">
              <w:t>0</w:t>
            </w:r>
            <w:r w:rsidR="00D7157D">
              <w:t>.</w:t>
            </w:r>
            <w:r w:rsidRPr="00295986">
              <w:t>1498</w:t>
            </w:r>
          </w:p>
        </w:tc>
      </w:tr>
      <w:tr w:rsidR="00D3430B" w:rsidRPr="009E2595" w14:paraId="0A9066DE" w14:textId="77777777" w:rsidTr="00F36942">
        <w:trPr>
          <w:cantSplit/>
        </w:trPr>
        <w:tc>
          <w:tcPr>
            <w:tcW w:w="1136" w:type="pct"/>
            <w:tcBorders>
              <w:top w:val="single" w:sz="4" w:space="0" w:color="auto"/>
              <w:bottom w:val="single" w:sz="4" w:space="0" w:color="auto"/>
            </w:tcBorders>
          </w:tcPr>
          <w:p w14:paraId="422EB049" w14:textId="77777777" w:rsidR="00D3430B" w:rsidRPr="00616B26" w:rsidRDefault="00D3430B" w:rsidP="00F36942">
            <w:pPr>
              <w:pStyle w:val="Tabletext"/>
              <w:rPr>
                <w:snapToGrid w:val="0"/>
              </w:rPr>
            </w:pPr>
            <w:r w:rsidRPr="00616B26">
              <w:rPr>
                <w:snapToGrid w:val="0"/>
              </w:rPr>
              <w:t>86</w:t>
            </w:r>
          </w:p>
        </w:tc>
        <w:tc>
          <w:tcPr>
            <w:tcW w:w="966" w:type="pct"/>
            <w:tcBorders>
              <w:top w:val="single" w:sz="4" w:space="0" w:color="auto"/>
              <w:bottom w:val="single" w:sz="4" w:space="0" w:color="auto"/>
            </w:tcBorders>
            <w:vAlign w:val="bottom"/>
          </w:tcPr>
          <w:p w14:paraId="142DAD2D" w14:textId="77777777" w:rsidR="00D3430B" w:rsidRPr="000F120F" w:rsidRDefault="00D3430B" w:rsidP="00F36942">
            <w:pPr>
              <w:pStyle w:val="Tabletext"/>
              <w:rPr>
                <w:snapToGrid w:val="0"/>
              </w:rPr>
            </w:pPr>
            <w:r w:rsidRPr="00295986">
              <w:t>6</w:t>
            </w:r>
            <w:r w:rsidR="00D7157D">
              <w:t>.</w:t>
            </w:r>
            <w:r w:rsidRPr="00295986">
              <w:t>3628</w:t>
            </w:r>
          </w:p>
        </w:tc>
        <w:tc>
          <w:tcPr>
            <w:tcW w:w="966" w:type="pct"/>
            <w:tcBorders>
              <w:top w:val="single" w:sz="4" w:space="0" w:color="auto"/>
              <w:bottom w:val="single" w:sz="4" w:space="0" w:color="auto"/>
            </w:tcBorders>
            <w:vAlign w:val="bottom"/>
          </w:tcPr>
          <w:p w14:paraId="375943DB" w14:textId="77777777" w:rsidR="00D3430B" w:rsidRPr="000F120F" w:rsidRDefault="00D3430B" w:rsidP="00F36942">
            <w:pPr>
              <w:pStyle w:val="Tabletext"/>
              <w:rPr>
                <w:snapToGrid w:val="0"/>
              </w:rPr>
            </w:pPr>
            <w:r w:rsidRPr="00295986">
              <w:t>0</w:t>
            </w:r>
            <w:r w:rsidR="00D7157D">
              <w:t>.</w:t>
            </w:r>
            <w:r w:rsidRPr="00295986">
              <w:t>5690</w:t>
            </w:r>
          </w:p>
        </w:tc>
        <w:tc>
          <w:tcPr>
            <w:tcW w:w="966" w:type="pct"/>
            <w:tcBorders>
              <w:top w:val="single" w:sz="4" w:space="0" w:color="auto"/>
              <w:bottom w:val="single" w:sz="4" w:space="0" w:color="auto"/>
            </w:tcBorders>
            <w:vAlign w:val="bottom"/>
          </w:tcPr>
          <w:p w14:paraId="768CFE59" w14:textId="77777777" w:rsidR="00D3430B" w:rsidRPr="000F120F" w:rsidRDefault="00D3430B" w:rsidP="00F36942">
            <w:pPr>
              <w:pStyle w:val="Tabletext"/>
              <w:rPr>
                <w:snapToGrid w:val="0"/>
              </w:rPr>
            </w:pPr>
            <w:r w:rsidRPr="00295986">
              <w:t>7</w:t>
            </w:r>
            <w:r w:rsidR="00D7157D">
              <w:t>.</w:t>
            </w:r>
            <w:r w:rsidRPr="00295986">
              <w:t>4548</w:t>
            </w:r>
          </w:p>
        </w:tc>
        <w:tc>
          <w:tcPr>
            <w:tcW w:w="966" w:type="pct"/>
            <w:tcBorders>
              <w:top w:val="single" w:sz="4" w:space="0" w:color="auto"/>
              <w:bottom w:val="single" w:sz="4" w:space="0" w:color="auto"/>
            </w:tcBorders>
            <w:vAlign w:val="bottom"/>
          </w:tcPr>
          <w:p w14:paraId="1A069BB6" w14:textId="77777777" w:rsidR="00D3430B" w:rsidRPr="000F120F" w:rsidRDefault="00D3430B" w:rsidP="00F36942">
            <w:pPr>
              <w:pStyle w:val="Tabletext"/>
              <w:rPr>
                <w:snapToGrid w:val="0"/>
              </w:rPr>
            </w:pPr>
            <w:r w:rsidRPr="00295986">
              <w:t>0</w:t>
            </w:r>
            <w:r w:rsidR="00D7157D">
              <w:t>.</w:t>
            </w:r>
            <w:r w:rsidRPr="00295986">
              <w:t>1458</w:t>
            </w:r>
          </w:p>
        </w:tc>
      </w:tr>
      <w:tr w:rsidR="00D3430B" w:rsidRPr="009E2595" w14:paraId="029FBD5D" w14:textId="77777777" w:rsidTr="00F36942">
        <w:trPr>
          <w:cantSplit/>
        </w:trPr>
        <w:tc>
          <w:tcPr>
            <w:tcW w:w="1136" w:type="pct"/>
            <w:tcBorders>
              <w:top w:val="single" w:sz="4" w:space="0" w:color="auto"/>
              <w:bottom w:val="single" w:sz="4" w:space="0" w:color="auto"/>
            </w:tcBorders>
          </w:tcPr>
          <w:p w14:paraId="60C70CA4" w14:textId="77777777" w:rsidR="00D3430B" w:rsidRPr="00616B26" w:rsidRDefault="00D3430B" w:rsidP="00F36942">
            <w:pPr>
              <w:pStyle w:val="Tabletext"/>
              <w:rPr>
                <w:snapToGrid w:val="0"/>
              </w:rPr>
            </w:pPr>
            <w:r w:rsidRPr="00616B26">
              <w:rPr>
                <w:snapToGrid w:val="0"/>
              </w:rPr>
              <w:t>87</w:t>
            </w:r>
          </w:p>
        </w:tc>
        <w:tc>
          <w:tcPr>
            <w:tcW w:w="966" w:type="pct"/>
            <w:tcBorders>
              <w:top w:val="single" w:sz="4" w:space="0" w:color="auto"/>
              <w:bottom w:val="single" w:sz="4" w:space="0" w:color="auto"/>
            </w:tcBorders>
            <w:vAlign w:val="bottom"/>
          </w:tcPr>
          <w:p w14:paraId="4F3CE00B" w14:textId="77777777" w:rsidR="00D3430B" w:rsidRPr="000F120F" w:rsidRDefault="00D3430B" w:rsidP="00F36942">
            <w:pPr>
              <w:pStyle w:val="Tabletext"/>
              <w:rPr>
                <w:snapToGrid w:val="0"/>
              </w:rPr>
            </w:pPr>
            <w:r w:rsidRPr="00295986">
              <w:t>5</w:t>
            </w:r>
            <w:r w:rsidR="00D7157D">
              <w:t>.</w:t>
            </w:r>
            <w:r w:rsidRPr="00295986">
              <w:t>8887</w:t>
            </w:r>
          </w:p>
        </w:tc>
        <w:tc>
          <w:tcPr>
            <w:tcW w:w="966" w:type="pct"/>
            <w:tcBorders>
              <w:top w:val="single" w:sz="4" w:space="0" w:color="auto"/>
              <w:bottom w:val="single" w:sz="4" w:space="0" w:color="auto"/>
            </w:tcBorders>
            <w:vAlign w:val="bottom"/>
          </w:tcPr>
          <w:p w14:paraId="6D6BF87C" w14:textId="77777777" w:rsidR="00D3430B" w:rsidRPr="000F120F" w:rsidRDefault="00D3430B" w:rsidP="00F36942">
            <w:pPr>
              <w:pStyle w:val="Tabletext"/>
              <w:rPr>
                <w:snapToGrid w:val="0"/>
              </w:rPr>
            </w:pPr>
            <w:r w:rsidRPr="00295986">
              <w:t>0</w:t>
            </w:r>
            <w:r w:rsidR="00D7157D">
              <w:t>.</w:t>
            </w:r>
            <w:r w:rsidRPr="00295986">
              <w:t>5469</w:t>
            </w:r>
          </w:p>
        </w:tc>
        <w:tc>
          <w:tcPr>
            <w:tcW w:w="966" w:type="pct"/>
            <w:tcBorders>
              <w:top w:val="single" w:sz="4" w:space="0" w:color="auto"/>
              <w:bottom w:val="single" w:sz="4" w:space="0" w:color="auto"/>
            </w:tcBorders>
            <w:vAlign w:val="bottom"/>
          </w:tcPr>
          <w:p w14:paraId="62289BDD" w14:textId="77777777" w:rsidR="00D3430B" w:rsidRPr="000F120F" w:rsidRDefault="00D3430B" w:rsidP="00F36942">
            <w:pPr>
              <w:pStyle w:val="Tabletext"/>
              <w:rPr>
                <w:snapToGrid w:val="0"/>
              </w:rPr>
            </w:pPr>
            <w:r w:rsidRPr="00295986">
              <w:t>6</w:t>
            </w:r>
            <w:r w:rsidR="00D7157D">
              <w:t>.</w:t>
            </w:r>
            <w:r w:rsidRPr="00295986">
              <w:t>8970</w:t>
            </w:r>
          </w:p>
        </w:tc>
        <w:tc>
          <w:tcPr>
            <w:tcW w:w="966" w:type="pct"/>
            <w:tcBorders>
              <w:top w:val="single" w:sz="4" w:space="0" w:color="auto"/>
              <w:bottom w:val="single" w:sz="4" w:space="0" w:color="auto"/>
            </w:tcBorders>
            <w:vAlign w:val="bottom"/>
          </w:tcPr>
          <w:p w14:paraId="4AF06000" w14:textId="77777777" w:rsidR="00D3430B" w:rsidRPr="000F120F" w:rsidRDefault="00D3430B" w:rsidP="00F36942">
            <w:pPr>
              <w:pStyle w:val="Tabletext"/>
              <w:rPr>
                <w:snapToGrid w:val="0"/>
              </w:rPr>
            </w:pPr>
            <w:r w:rsidRPr="00295986">
              <w:t>0</w:t>
            </w:r>
            <w:r w:rsidR="00D7157D">
              <w:t>.</w:t>
            </w:r>
            <w:r w:rsidRPr="00295986">
              <w:t>1418</w:t>
            </w:r>
          </w:p>
        </w:tc>
      </w:tr>
      <w:tr w:rsidR="00D3430B" w:rsidRPr="009E2595" w14:paraId="7EFE2787" w14:textId="77777777" w:rsidTr="00F36942">
        <w:trPr>
          <w:cantSplit/>
        </w:trPr>
        <w:tc>
          <w:tcPr>
            <w:tcW w:w="1136" w:type="pct"/>
            <w:tcBorders>
              <w:top w:val="single" w:sz="4" w:space="0" w:color="auto"/>
              <w:bottom w:val="single" w:sz="4" w:space="0" w:color="auto"/>
            </w:tcBorders>
          </w:tcPr>
          <w:p w14:paraId="453058B3" w14:textId="77777777" w:rsidR="00D3430B" w:rsidRPr="00616B26" w:rsidRDefault="00D3430B" w:rsidP="00F36942">
            <w:pPr>
              <w:pStyle w:val="Tabletext"/>
              <w:rPr>
                <w:snapToGrid w:val="0"/>
              </w:rPr>
            </w:pPr>
            <w:r w:rsidRPr="00616B26">
              <w:rPr>
                <w:snapToGrid w:val="0"/>
              </w:rPr>
              <w:t>88</w:t>
            </w:r>
          </w:p>
        </w:tc>
        <w:tc>
          <w:tcPr>
            <w:tcW w:w="966" w:type="pct"/>
            <w:tcBorders>
              <w:top w:val="single" w:sz="4" w:space="0" w:color="auto"/>
              <w:bottom w:val="single" w:sz="4" w:space="0" w:color="auto"/>
            </w:tcBorders>
            <w:vAlign w:val="bottom"/>
          </w:tcPr>
          <w:p w14:paraId="6AC7A28B" w14:textId="77777777" w:rsidR="00D3430B" w:rsidRPr="000F120F" w:rsidRDefault="00D3430B" w:rsidP="00F36942">
            <w:pPr>
              <w:pStyle w:val="Tabletext"/>
              <w:rPr>
                <w:snapToGrid w:val="0"/>
              </w:rPr>
            </w:pPr>
            <w:r w:rsidRPr="00295986">
              <w:t>5</w:t>
            </w:r>
            <w:r w:rsidR="00D7157D">
              <w:t>.</w:t>
            </w:r>
            <w:r w:rsidRPr="00295986">
              <w:t>4426</w:t>
            </w:r>
          </w:p>
        </w:tc>
        <w:tc>
          <w:tcPr>
            <w:tcW w:w="966" w:type="pct"/>
            <w:tcBorders>
              <w:top w:val="single" w:sz="4" w:space="0" w:color="auto"/>
              <w:bottom w:val="single" w:sz="4" w:space="0" w:color="auto"/>
            </w:tcBorders>
            <w:vAlign w:val="bottom"/>
          </w:tcPr>
          <w:p w14:paraId="07B3A556" w14:textId="77777777" w:rsidR="00D3430B" w:rsidRPr="000F120F" w:rsidRDefault="00D3430B" w:rsidP="00F36942">
            <w:pPr>
              <w:pStyle w:val="Tabletext"/>
              <w:rPr>
                <w:snapToGrid w:val="0"/>
              </w:rPr>
            </w:pPr>
            <w:r w:rsidRPr="00295986">
              <w:t>0</w:t>
            </w:r>
            <w:r w:rsidR="00D7157D">
              <w:t>.</w:t>
            </w:r>
            <w:r w:rsidRPr="00295986">
              <w:t>5240</w:t>
            </w:r>
          </w:p>
        </w:tc>
        <w:tc>
          <w:tcPr>
            <w:tcW w:w="966" w:type="pct"/>
            <w:tcBorders>
              <w:top w:val="single" w:sz="4" w:space="0" w:color="auto"/>
              <w:bottom w:val="single" w:sz="4" w:space="0" w:color="auto"/>
            </w:tcBorders>
            <w:vAlign w:val="bottom"/>
          </w:tcPr>
          <w:p w14:paraId="11DA8B05" w14:textId="77777777" w:rsidR="00D3430B" w:rsidRPr="000F120F" w:rsidRDefault="00D3430B" w:rsidP="00F36942">
            <w:pPr>
              <w:pStyle w:val="Tabletext"/>
              <w:rPr>
                <w:snapToGrid w:val="0"/>
              </w:rPr>
            </w:pPr>
            <w:r w:rsidRPr="00295986">
              <w:t>6</w:t>
            </w:r>
            <w:r w:rsidR="00D7157D">
              <w:t>.</w:t>
            </w:r>
            <w:r w:rsidRPr="00295986">
              <w:t>3726</w:t>
            </w:r>
          </w:p>
        </w:tc>
        <w:tc>
          <w:tcPr>
            <w:tcW w:w="966" w:type="pct"/>
            <w:tcBorders>
              <w:top w:val="single" w:sz="4" w:space="0" w:color="auto"/>
              <w:bottom w:val="single" w:sz="4" w:space="0" w:color="auto"/>
            </w:tcBorders>
            <w:vAlign w:val="bottom"/>
          </w:tcPr>
          <w:p w14:paraId="0813E9D4" w14:textId="77777777" w:rsidR="00D3430B" w:rsidRPr="000F120F" w:rsidRDefault="00D3430B" w:rsidP="00F36942">
            <w:pPr>
              <w:pStyle w:val="Tabletext"/>
              <w:rPr>
                <w:snapToGrid w:val="0"/>
              </w:rPr>
            </w:pPr>
            <w:r w:rsidRPr="00295986">
              <w:t>0</w:t>
            </w:r>
            <w:r w:rsidR="00D7157D">
              <w:t>.</w:t>
            </w:r>
            <w:r w:rsidRPr="00295986">
              <w:t>1376</w:t>
            </w:r>
          </w:p>
        </w:tc>
      </w:tr>
      <w:tr w:rsidR="00D3430B" w:rsidRPr="009E2595" w14:paraId="35392E74" w14:textId="77777777" w:rsidTr="00F36942">
        <w:trPr>
          <w:cantSplit/>
        </w:trPr>
        <w:tc>
          <w:tcPr>
            <w:tcW w:w="1136" w:type="pct"/>
            <w:tcBorders>
              <w:top w:val="single" w:sz="4" w:space="0" w:color="auto"/>
              <w:bottom w:val="single" w:sz="4" w:space="0" w:color="auto"/>
            </w:tcBorders>
          </w:tcPr>
          <w:p w14:paraId="773F6B1D" w14:textId="77777777" w:rsidR="00D3430B" w:rsidRPr="00616B26" w:rsidRDefault="00D3430B" w:rsidP="00F36942">
            <w:pPr>
              <w:pStyle w:val="Tabletext"/>
              <w:rPr>
                <w:snapToGrid w:val="0"/>
              </w:rPr>
            </w:pPr>
            <w:r w:rsidRPr="00616B26">
              <w:rPr>
                <w:snapToGrid w:val="0"/>
              </w:rPr>
              <w:t>89</w:t>
            </w:r>
          </w:p>
        </w:tc>
        <w:tc>
          <w:tcPr>
            <w:tcW w:w="966" w:type="pct"/>
            <w:tcBorders>
              <w:top w:val="single" w:sz="4" w:space="0" w:color="auto"/>
              <w:bottom w:val="single" w:sz="4" w:space="0" w:color="auto"/>
            </w:tcBorders>
            <w:vAlign w:val="bottom"/>
          </w:tcPr>
          <w:p w14:paraId="56FD2827" w14:textId="77777777" w:rsidR="00D3430B" w:rsidRPr="000F120F" w:rsidRDefault="00D3430B" w:rsidP="00F36942">
            <w:pPr>
              <w:pStyle w:val="Tabletext"/>
              <w:rPr>
                <w:snapToGrid w:val="0"/>
              </w:rPr>
            </w:pPr>
            <w:r w:rsidRPr="00295986">
              <w:t>5</w:t>
            </w:r>
            <w:r w:rsidR="00D7157D">
              <w:t>.</w:t>
            </w:r>
            <w:r w:rsidRPr="00295986">
              <w:t>0297</w:t>
            </w:r>
          </w:p>
        </w:tc>
        <w:tc>
          <w:tcPr>
            <w:tcW w:w="966" w:type="pct"/>
            <w:tcBorders>
              <w:top w:val="single" w:sz="4" w:space="0" w:color="auto"/>
              <w:bottom w:val="single" w:sz="4" w:space="0" w:color="auto"/>
            </w:tcBorders>
            <w:vAlign w:val="bottom"/>
          </w:tcPr>
          <w:p w14:paraId="48FA3A4E" w14:textId="77777777" w:rsidR="00D3430B" w:rsidRPr="000F120F" w:rsidRDefault="00D3430B" w:rsidP="00F36942">
            <w:pPr>
              <w:pStyle w:val="Tabletext"/>
              <w:rPr>
                <w:snapToGrid w:val="0"/>
              </w:rPr>
            </w:pPr>
            <w:r w:rsidRPr="00295986">
              <w:t>0</w:t>
            </w:r>
            <w:r w:rsidR="00D7157D">
              <w:t>.</w:t>
            </w:r>
            <w:r w:rsidRPr="00295986">
              <w:t>5005</w:t>
            </w:r>
          </w:p>
        </w:tc>
        <w:tc>
          <w:tcPr>
            <w:tcW w:w="966" w:type="pct"/>
            <w:tcBorders>
              <w:top w:val="single" w:sz="4" w:space="0" w:color="auto"/>
              <w:bottom w:val="single" w:sz="4" w:space="0" w:color="auto"/>
            </w:tcBorders>
            <w:vAlign w:val="bottom"/>
          </w:tcPr>
          <w:p w14:paraId="429BAFE2" w14:textId="77777777" w:rsidR="00D3430B" w:rsidRPr="000F120F" w:rsidRDefault="00D3430B" w:rsidP="00F36942">
            <w:pPr>
              <w:pStyle w:val="Tabletext"/>
              <w:rPr>
                <w:snapToGrid w:val="0"/>
              </w:rPr>
            </w:pPr>
            <w:r w:rsidRPr="00295986">
              <w:t>5</w:t>
            </w:r>
            <w:r w:rsidR="00D7157D">
              <w:t>.</w:t>
            </w:r>
            <w:r w:rsidRPr="00295986">
              <w:t>8878</w:t>
            </w:r>
          </w:p>
        </w:tc>
        <w:tc>
          <w:tcPr>
            <w:tcW w:w="966" w:type="pct"/>
            <w:tcBorders>
              <w:top w:val="single" w:sz="4" w:space="0" w:color="auto"/>
              <w:bottom w:val="single" w:sz="4" w:space="0" w:color="auto"/>
            </w:tcBorders>
            <w:vAlign w:val="bottom"/>
          </w:tcPr>
          <w:p w14:paraId="69B73A01" w14:textId="77777777" w:rsidR="00D3430B" w:rsidRPr="000F120F" w:rsidRDefault="00D3430B" w:rsidP="00F36942">
            <w:pPr>
              <w:pStyle w:val="Tabletext"/>
              <w:rPr>
                <w:snapToGrid w:val="0"/>
              </w:rPr>
            </w:pPr>
            <w:r w:rsidRPr="00295986">
              <w:t>0</w:t>
            </w:r>
            <w:r w:rsidR="00D7157D">
              <w:t>.</w:t>
            </w:r>
            <w:r w:rsidRPr="00295986">
              <w:t>1333</w:t>
            </w:r>
          </w:p>
        </w:tc>
      </w:tr>
      <w:tr w:rsidR="00D3430B" w:rsidRPr="009E2595" w14:paraId="6A5BA9F5" w14:textId="77777777" w:rsidTr="00F36942">
        <w:trPr>
          <w:cantSplit/>
        </w:trPr>
        <w:tc>
          <w:tcPr>
            <w:tcW w:w="1136" w:type="pct"/>
            <w:tcBorders>
              <w:top w:val="single" w:sz="4" w:space="0" w:color="auto"/>
              <w:bottom w:val="single" w:sz="4" w:space="0" w:color="auto"/>
            </w:tcBorders>
          </w:tcPr>
          <w:p w14:paraId="6DB7D5CE" w14:textId="77777777" w:rsidR="00D3430B" w:rsidRPr="00616B26" w:rsidRDefault="00D3430B" w:rsidP="00F36942">
            <w:pPr>
              <w:pStyle w:val="Tabletext"/>
              <w:rPr>
                <w:snapToGrid w:val="0"/>
              </w:rPr>
            </w:pPr>
            <w:r w:rsidRPr="00616B26">
              <w:rPr>
                <w:snapToGrid w:val="0"/>
              </w:rPr>
              <w:t>90</w:t>
            </w:r>
          </w:p>
        </w:tc>
        <w:tc>
          <w:tcPr>
            <w:tcW w:w="966" w:type="pct"/>
            <w:tcBorders>
              <w:top w:val="single" w:sz="4" w:space="0" w:color="auto"/>
              <w:bottom w:val="single" w:sz="4" w:space="0" w:color="auto"/>
            </w:tcBorders>
            <w:vAlign w:val="bottom"/>
          </w:tcPr>
          <w:p w14:paraId="40922C7B" w14:textId="77777777" w:rsidR="00D3430B" w:rsidRPr="000F120F" w:rsidRDefault="00D3430B" w:rsidP="00F36942">
            <w:pPr>
              <w:pStyle w:val="Tabletext"/>
              <w:rPr>
                <w:snapToGrid w:val="0"/>
              </w:rPr>
            </w:pPr>
            <w:r w:rsidRPr="00295986">
              <w:t>4</w:t>
            </w:r>
            <w:r w:rsidR="00D7157D">
              <w:t>.</w:t>
            </w:r>
            <w:r w:rsidRPr="00295986">
              <w:t>6464</w:t>
            </w:r>
          </w:p>
        </w:tc>
        <w:tc>
          <w:tcPr>
            <w:tcW w:w="966" w:type="pct"/>
            <w:tcBorders>
              <w:top w:val="single" w:sz="4" w:space="0" w:color="auto"/>
              <w:bottom w:val="single" w:sz="4" w:space="0" w:color="auto"/>
            </w:tcBorders>
            <w:vAlign w:val="bottom"/>
          </w:tcPr>
          <w:p w14:paraId="42C15335" w14:textId="77777777" w:rsidR="00D3430B" w:rsidRPr="000F120F" w:rsidRDefault="00D3430B" w:rsidP="00F36942">
            <w:pPr>
              <w:pStyle w:val="Tabletext"/>
              <w:rPr>
                <w:snapToGrid w:val="0"/>
              </w:rPr>
            </w:pPr>
            <w:r w:rsidRPr="00295986">
              <w:t>0</w:t>
            </w:r>
            <w:r w:rsidR="00D7157D">
              <w:t>.</w:t>
            </w:r>
            <w:r w:rsidRPr="00295986">
              <w:t>4769</w:t>
            </w:r>
          </w:p>
        </w:tc>
        <w:tc>
          <w:tcPr>
            <w:tcW w:w="966" w:type="pct"/>
            <w:tcBorders>
              <w:top w:val="single" w:sz="4" w:space="0" w:color="auto"/>
              <w:bottom w:val="single" w:sz="4" w:space="0" w:color="auto"/>
            </w:tcBorders>
            <w:vAlign w:val="bottom"/>
          </w:tcPr>
          <w:p w14:paraId="0DA20102" w14:textId="77777777" w:rsidR="00D3430B" w:rsidRPr="000F120F" w:rsidRDefault="00D3430B" w:rsidP="00F36942">
            <w:pPr>
              <w:pStyle w:val="Tabletext"/>
              <w:rPr>
                <w:snapToGrid w:val="0"/>
              </w:rPr>
            </w:pPr>
            <w:r w:rsidRPr="00295986">
              <w:t>5</w:t>
            </w:r>
            <w:r w:rsidR="00D7157D">
              <w:t>.</w:t>
            </w:r>
            <w:r w:rsidRPr="00295986">
              <w:t>4627</w:t>
            </w:r>
          </w:p>
        </w:tc>
        <w:tc>
          <w:tcPr>
            <w:tcW w:w="966" w:type="pct"/>
            <w:tcBorders>
              <w:top w:val="single" w:sz="4" w:space="0" w:color="auto"/>
              <w:bottom w:val="single" w:sz="4" w:space="0" w:color="auto"/>
            </w:tcBorders>
            <w:vAlign w:val="bottom"/>
          </w:tcPr>
          <w:p w14:paraId="1B0D5AA8" w14:textId="77777777" w:rsidR="00D3430B" w:rsidRPr="000F120F" w:rsidRDefault="00D3430B" w:rsidP="00F36942">
            <w:pPr>
              <w:pStyle w:val="Tabletext"/>
              <w:rPr>
                <w:snapToGrid w:val="0"/>
              </w:rPr>
            </w:pPr>
            <w:r w:rsidRPr="00295986">
              <w:t>0</w:t>
            </w:r>
            <w:r w:rsidR="00D7157D">
              <w:t>.</w:t>
            </w:r>
            <w:r w:rsidRPr="00295986">
              <w:t>1287</w:t>
            </w:r>
          </w:p>
        </w:tc>
      </w:tr>
      <w:tr w:rsidR="00D3430B" w:rsidRPr="009E2595" w14:paraId="27B6E74A" w14:textId="77777777" w:rsidTr="00F36942">
        <w:trPr>
          <w:cantSplit/>
        </w:trPr>
        <w:tc>
          <w:tcPr>
            <w:tcW w:w="1136" w:type="pct"/>
            <w:tcBorders>
              <w:top w:val="single" w:sz="4" w:space="0" w:color="auto"/>
              <w:bottom w:val="single" w:sz="4" w:space="0" w:color="auto"/>
            </w:tcBorders>
          </w:tcPr>
          <w:p w14:paraId="59940E6B" w14:textId="77777777" w:rsidR="00D3430B" w:rsidRPr="00616B26" w:rsidRDefault="00D3430B" w:rsidP="00F36942">
            <w:pPr>
              <w:pStyle w:val="Tabletext"/>
              <w:rPr>
                <w:snapToGrid w:val="0"/>
              </w:rPr>
            </w:pPr>
            <w:r w:rsidRPr="00616B26">
              <w:rPr>
                <w:snapToGrid w:val="0"/>
              </w:rPr>
              <w:t>91</w:t>
            </w:r>
          </w:p>
        </w:tc>
        <w:tc>
          <w:tcPr>
            <w:tcW w:w="966" w:type="pct"/>
            <w:tcBorders>
              <w:top w:val="single" w:sz="4" w:space="0" w:color="auto"/>
              <w:bottom w:val="single" w:sz="4" w:space="0" w:color="auto"/>
            </w:tcBorders>
            <w:vAlign w:val="bottom"/>
          </w:tcPr>
          <w:p w14:paraId="1FFA06B9" w14:textId="77777777" w:rsidR="00D3430B" w:rsidRPr="000F120F" w:rsidRDefault="00D3430B" w:rsidP="00F36942">
            <w:pPr>
              <w:pStyle w:val="Tabletext"/>
              <w:rPr>
                <w:snapToGrid w:val="0"/>
              </w:rPr>
            </w:pPr>
            <w:r w:rsidRPr="00295986">
              <w:t>4</w:t>
            </w:r>
            <w:r w:rsidR="00D7157D">
              <w:t>.</w:t>
            </w:r>
            <w:r w:rsidRPr="00295986">
              <w:t>3023</w:t>
            </w:r>
          </w:p>
        </w:tc>
        <w:tc>
          <w:tcPr>
            <w:tcW w:w="966" w:type="pct"/>
            <w:tcBorders>
              <w:top w:val="single" w:sz="4" w:space="0" w:color="auto"/>
              <w:bottom w:val="single" w:sz="4" w:space="0" w:color="auto"/>
            </w:tcBorders>
            <w:vAlign w:val="bottom"/>
          </w:tcPr>
          <w:p w14:paraId="55E0B79B" w14:textId="77777777" w:rsidR="00D3430B" w:rsidRPr="000F120F" w:rsidRDefault="00D3430B" w:rsidP="00F36942">
            <w:pPr>
              <w:pStyle w:val="Tabletext"/>
              <w:rPr>
                <w:snapToGrid w:val="0"/>
              </w:rPr>
            </w:pPr>
            <w:r w:rsidRPr="00295986">
              <w:t>0</w:t>
            </w:r>
            <w:r w:rsidR="00D7157D">
              <w:t>.</w:t>
            </w:r>
            <w:r w:rsidRPr="00295986">
              <w:t>4529</w:t>
            </w:r>
          </w:p>
        </w:tc>
        <w:tc>
          <w:tcPr>
            <w:tcW w:w="966" w:type="pct"/>
            <w:tcBorders>
              <w:top w:val="single" w:sz="4" w:space="0" w:color="auto"/>
              <w:bottom w:val="single" w:sz="4" w:space="0" w:color="auto"/>
            </w:tcBorders>
            <w:vAlign w:val="bottom"/>
          </w:tcPr>
          <w:p w14:paraId="28F08B54" w14:textId="77777777" w:rsidR="00D3430B" w:rsidRPr="000F120F" w:rsidRDefault="00D3430B" w:rsidP="00F36942">
            <w:pPr>
              <w:pStyle w:val="Tabletext"/>
              <w:rPr>
                <w:snapToGrid w:val="0"/>
              </w:rPr>
            </w:pPr>
            <w:r w:rsidRPr="00295986">
              <w:t>5</w:t>
            </w:r>
            <w:r w:rsidR="00D7157D">
              <w:t>.</w:t>
            </w:r>
            <w:r w:rsidRPr="00295986">
              <w:t>0727</w:t>
            </w:r>
          </w:p>
        </w:tc>
        <w:tc>
          <w:tcPr>
            <w:tcW w:w="966" w:type="pct"/>
            <w:tcBorders>
              <w:top w:val="single" w:sz="4" w:space="0" w:color="auto"/>
              <w:bottom w:val="single" w:sz="4" w:space="0" w:color="auto"/>
            </w:tcBorders>
            <w:vAlign w:val="bottom"/>
          </w:tcPr>
          <w:p w14:paraId="2F1DDD13" w14:textId="77777777" w:rsidR="00D3430B" w:rsidRPr="000F120F" w:rsidRDefault="00D3430B" w:rsidP="00F36942">
            <w:pPr>
              <w:pStyle w:val="Tabletext"/>
              <w:rPr>
                <w:snapToGrid w:val="0"/>
              </w:rPr>
            </w:pPr>
            <w:r w:rsidRPr="00295986">
              <w:t>0</w:t>
            </w:r>
            <w:r w:rsidR="00D7157D">
              <w:t>.</w:t>
            </w:r>
            <w:r w:rsidRPr="00295986">
              <w:t>1240</w:t>
            </w:r>
          </w:p>
        </w:tc>
      </w:tr>
      <w:tr w:rsidR="00D3430B" w:rsidRPr="009E2595" w14:paraId="29D6D360" w14:textId="77777777" w:rsidTr="00F36942">
        <w:trPr>
          <w:cantSplit/>
        </w:trPr>
        <w:tc>
          <w:tcPr>
            <w:tcW w:w="1136" w:type="pct"/>
            <w:tcBorders>
              <w:top w:val="single" w:sz="4" w:space="0" w:color="auto"/>
              <w:bottom w:val="single" w:sz="4" w:space="0" w:color="auto"/>
            </w:tcBorders>
          </w:tcPr>
          <w:p w14:paraId="2ED3BD01" w14:textId="77777777" w:rsidR="00D3430B" w:rsidRPr="00616B26" w:rsidRDefault="00D3430B" w:rsidP="00F36942">
            <w:pPr>
              <w:pStyle w:val="Tabletext"/>
              <w:rPr>
                <w:snapToGrid w:val="0"/>
              </w:rPr>
            </w:pPr>
            <w:r w:rsidRPr="00616B26">
              <w:rPr>
                <w:snapToGrid w:val="0"/>
              </w:rPr>
              <w:t>92</w:t>
            </w:r>
          </w:p>
        </w:tc>
        <w:tc>
          <w:tcPr>
            <w:tcW w:w="966" w:type="pct"/>
            <w:tcBorders>
              <w:top w:val="single" w:sz="4" w:space="0" w:color="auto"/>
              <w:bottom w:val="single" w:sz="4" w:space="0" w:color="auto"/>
            </w:tcBorders>
            <w:vAlign w:val="bottom"/>
          </w:tcPr>
          <w:p w14:paraId="0C068EE8" w14:textId="77777777" w:rsidR="00D3430B" w:rsidRPr="000F120F" w:rsidRDefault="00D3430B" w:rsidP="00F36942">
            <w:pPr>
              <w:pStyle w:val="Tabletext"/>
              <w:rPr>
                <w:snapToGrid w:val="0"/>
              </w:rPr>
            </w:pPr>
            <w:r w:rsidRPr="00295986">
              <w:t>3</w:t>
            </w:r>
            <w:r w:rsidR="00D7157D">
              <w:t>.</w:t>
            </w:r>
            <w:r w:rsidRPr="00295986">
              <w:t>9948</w:t>
            </w:r>
          </w:p>
        </w:tc>
        <w:tc>
          <w:tcPr>
            <w:tcW w:w="966" w:type="pct"/>
            <w:tcBorders>
              <w:top w:val="single" w:sz="4" w:space="0" w:color="auto"/>
              <w:bottom w:val="single" w:sz="4" w:space="0" w:color="auto"/>
            </w:tcBorders>
            <w:vAlign w:val="bottom"/>
          </w:tcPr>
          <w:p w14:paraId="72A50EF4" w14:textId="77777777" w:rsidR="00D3430B" w:rsidRPr="000F120F" w:rsidRDefault="00D3430B" w:rsidP="00F36942">
            <w:pPr>
              <w:pStyle w:val="Tabletext"/>
              <w:rPr>
                <w:snapToGrid w:val="0"/>
              </w:rPr>
            </w:pPr>
            <w:r w:rsidRPr="00295986">
              <w:t>0</w:t>
            </w:r>
            <w:r w:rsidR="00D7157D">
              <w:t>.</w:t>
            </w:r>
            <w:r w:rsidRPr="00295986">
              <w:t>4290</w:t>
            </w:r>
          </w:p>
        </w:tc>
        <w:tc>
          <w:tcPr>
            <w:tcW w:w="966" w:type="pct"/>
            <w:tcBorders>
              <w:top w:val="single" w:sz="4" w:space="0" w:color="auto"/>
              <w:bottom w:val="single" w:sz="4" w:space="0" w:color="auto"/>
            </w:tcBorders>
            <w:vAlign w:val="bottom"/>
          </w:tcPr>
          <w:p w14:paraId="413B9B14" w14:textId="77777777" w:rsidR="00D3430B" w:rsidRPr="000F120F" w:rsidRDefault="00D3430B" w:rsidP="00F36942">
            <w:pPr>
              <w:pStyle w:val="Tabletext"/>
              <w:rPr>
                <w:snapToGrid w:val="0"/>
              </w:rPr>
            </w:pPr>
            <w:r w:rsidRPr="00295986">
              <w:t>4</w:t>
            </w:r>
            <w:r w:rsidR="00D7157D">
              <w:t>.</w:t>
            </w:r>
            <w:r w:rsidRPr="00295986">
              <w:t>7183</w:t>
            </w:r>
          </w:p>
        </w:tc>
        <w:tc>
          <w:tcPr>
            <w:tcW w:w="966" w:type="pct"/>
            <w:tcBorders>
              <w:top w:val="single" w:sz="4" w:space="0" w:color="auto"/>
              <w:bottom w:val="single" w:sz="4" w:space="0" w:color="auto"/>
            </w:tcBorders>
            <w:vAlign w:val="bottom"/>
          </w:tcPr>
          <w:p w14:paraId="26B93299" w14:textId="77777777" w:rsidR="00D3430B" w:rsidRPr="000F120F" w:rsidRDefault="00D3430B" w:rsidP="00F36942">
            <w:pPr>
              <w:pStyle w:val="Tabletext"/>
              <w:rPr>
                <w:snapToGrid w:val="0"/>
              </w:rPr>
            </w:pPr>
            <w:r w:rsidRPr="00295986">
              <w:t>0</w:t>
            </w:r>
            <w:r w:rsidR="00D7157D">
              <w:t>.</w:t>
            </w:r>
            <w:r w:rsidRPr="00295986">
              <w:t>1193</w:t>
            </w:r>
          </w:p>
        </w:tc>
      </w:tr>
      <w:tr w:rsidR="00D3430B" w:rsidRPr="009E2595" w14:paraId="17991D99" w14:textId="77777777" w:rsidTr="00F36942">
        <w:trPr>
          <w:cantSplit/>
        </w:trPr>
        <w:tc>
          <w:tcPr>
            <w:tcW w:w="1136" w:type="pct"/>
            <w:tcBorders>
              <w:top w:val="single" w:sz="4" w:space="0" w:color="auto"/>
              <w:bottom w:val="single" w:sz="4" w:space="0" w:color="auto"/>
            </w:tcBorders>
          </w:tcPr>
          <w:p w14:paraId="3177E1C4" w14:textId="77777777" w:rsidR="00D3430B" w:rsidRPr="00616B26" w:rsidRDefault="00D3430B" w:rsidP="00F36942">
            <w:pPr>
              <w:pStyle w:val="Tabletext"/>
              <w:rPr>
                <w:snapToGrid w:val="0"/>
              </w:rPr>
            </w:pPr>
            <w:r w:rsidRPr="00616B26">
              <w:rPr>
                <w:snapToGrid w:val="0"/>
              </w:rPr>
              <w:t>93</w:t>
            </w:r>
          </w:p>
        </w:tc>
        <w:tc>
          <w:tcPr>
            <w:tcW w:w="966" w:type="pct"/>
            <w:tcBorders>
              <w:top w:val="single" w:sz="4" w:space="0" w:color="auto"/>
              <w:bottom w:val="single" w:sz="4" w:space="0" w:color="auto"/>
            </w:tcBorders>
            <w:vAlign w:val="bottom"/>
          </w:tcPr>
          <w:p w14:paraId="5F1CF883" w14:textId="77777777" w:rsidR="00D3430B" w:rsidRPr="000F120F" w:rsidRDefault="00D3430B" w:rsidP="00F36942">
            <w:pPr>
              <w:pStyle w:val="Tabletext"/>
              <w:rPr>
                <w:snapToGrid w:val="0"/>
              </w:rPr>
            </w:pPr>
            <w:r w:rsidRPr="00295986">
              <w:t>3</w:t>
            </w:r>
            <w:r w:rsidR="00D7157D">
              <w:t>.</w:t>
            </w:r>
            <w:r w:rsidRPr="00295986">
              <w:t>7301</w:t>
            </w:r>
          </w:p>
        </w:tc>
        <w:tc>
          <w:tcPr>
            <w:tcW w:w="966" w:type="pct"/>
            <w:tcBorders>
              <w:top w:val="single" w:sz="4" w:space="0" w:color="auto"/>
              <w:bottom w:val="single" w:sz="4" w:space="0" w:color="auto"/>
            </w:tcBorders>
            <w:vAlign w:val="bottom"/>
          </w:tcPr>
          <w:p w14:paraId="7576B166" w14:textId="77777777" w:rsidR="00D3430B" w:rsidRPr="000F120F" w:rsidRDefault="00D3430B" w:rsidP="00F36942">
            <w:pPr>
              <w:pStyle w:val="Tabletext"/>
              <w:rPr>
                <w:snapToGrid w:val="0"/>
              </w:rPr>
            </w:pPr>
            <w:r w:rsidRPr="00295986">
              <w:t>0</w:t>
            </w:r>
            <w:r w:rsidR="00D7157D">
              <w:t>.</w:t>
            </w:r>
            <w:r w:rsidRPr="00295986">
              <w:t>4049</w:t>
            </w:r>
          </w:p>
        </w:tc>
        <w:tc>
          <w:tcPr>
            <w:tcW w:w="966" w:type="pct"/>
            <w:tcBorders>
              <w:top w:val="single" w:sz="4" w:space="0" w:color="auto"/>
              <w:bottom w:val="single" w:sz="4" w:space="0" w:color="auto"/>
            </w:tcBorders>
            <w:vAlign w:val="bottom"/>
          </w:tcPr>
          <w:p w14:paraId="658080E7" w14:textId="77777777" w:rsidR="00D3430B" w:rsidRPr="000F120F" w:rsidRDefault="00D3430B" w:rsidP="00F36942">
            <w:pPr>
              <w:pStyle w:val="Tabletext"/>
              <w:rPr>
                <w:snapToGrid w:val="0"/>
              </w:rPr>
            </w:pPr>
            <w:r w:rsidRPr="00295986">
              <w:t>4</w:t>
            </w:r>
            <w:r w:rsidR="00D7157D">
              <w:t>.</w:t>
            </w:r>
            <w:r w:rsidRPr="00295986">
              <w:t>3778</w:t>
            </w:r>
          </w:p>
        </w:tc>
        <w:tc>
          <w:tcPr>
            <w:tcW w:w="966" w:type="pct"/>
            <w:tcBorders>
              <w:top w:val="single" w:sz="4" w:space="0" w:color="auto"/>
              <w:bottom w:val="single" w:sz="4" w:space="0" w:color="auto"/>
            </w:tcBorders>
            <w:vAlign w:val="bottom"/>
          </w:tcPr>
          <w:p w14:paraId="0DDDF8A9" w14:textId="77777777" w:rsidR="00D3430B" w:rsidRPr="000F120F" w:rsidRDefault="00D3430B" w:rsidP="00F36942">
            <w:pPr>
              <w:pStyle w:val="Tabletext"/>
              <w:rPr>
                <w:snapToGrid w:val="0"/>
              </w:rPr>
            </w:pPr>
            <w:r w:rsidRPr="00295986">
              <w:t>0</w:t>
            </w:r>
            <w:r w:rsidR="00D7157D">
              <w:t>.</w:t>
            </w:r>
            <w:r w:rsidRPr="00295986">
              <w:t>1146</w:t>
            </w:r>
          </w:p>
        </w:tc>
      </w:tr>
      <w:tr w:rsidR="00D3430B" w:rsidRPr="009E2595" w14:paraId="629CE349" w14:textId="77777777" w:rsidTr="00F36942">
        <w:trPr>
          <w:cantSplit/>
        </w:trPr>
        <w:tc>
          <w:tcPr>
            <w:tcW w:w="1136" w:type="pct"/>
            <w:tcBorders>
              <w:top w:val="single" w:sz="4" w:space="0" w:color="auto"/>
              <w:bottom w:val="single" w:sz="4" w:space="0" w:color="auto"/>
            </w:tcBorders>
          </w:tcPr>
          <w:p w14:paraId="681144E1" w14:textId="77777777" w:rsidR="00D3430B" w:rsidRPr="00616B26" w:rsidRDefault="00D3430B" w:rsidP="00F36942">
            <w:pPr>
              <w:pStyle w:val="Tabletext"/>
              <w:rPr>
                <w:snapToGrid w:val="0"/>
              </w:rPr>
            </w:pPr>
            <w:r w:rsidRPr="00616B26">
              <w:rPr>
                <w:snapToGrid w:val="0"/>
              </w:rPr>
              <w:t>94</w:t>
            </w:r>
          </w:p>
        </w:tc>
        <w:tc>
          <w:tcPr>
            <w:tcW w:w="966" w:type="pct"/>
            <w:tcBorders>
              <w:top w:val="single" w:sz="4" w:space="0" w:color="auto"/>
              <w:bottom w:val="single" w:sz="4" w:space="0" w:color="auto"/>
            </w:tcBorders>
            <w:vAlign w:val="bottom"/>
          </w:tcPr>
          <w:p w14:paraId="798C64D2" w14:textId="77777777" w:rsidR="00D3430B" w:rsidRPr="000F120F" w:rsidRDefault="00D3430B" w:rsidP="00F36942">
            <w:pPr>
              <w:pStyle w:val="Tabletext"/>
              <w:rPr>
                <w:snapToGrid w:val="0"/>
              </w:rPr>
            </w:pPr>
            <w:r w:rsidRPr="00295986">
              <w:t>3</w:t>
            </w:r>
            <w:r w:rsidR="00D7157D">
              <w:t>.</w:t>
            </w:r>
            <w:r w:rsidRPr="00295986">
              <w:t>5084</w:t>
            </w:r>
          </w:p>
        </w:tc>
        <w:tc>
          <w:tcPr>
            <w:tcW w:w="966" w:type="pct"/>
            <w:tcBorders>
              <w:top w:val="single" w:sz="4" w:space="0" w:color="auto"/>
              <w:bottom w:val="single" w:sz="4" w:space="0" w:color="auto"/>
            </w:tcBorders>
            <w:vAlign w:val="bottom"/>
          </w:tcPr>
          <w:p w14:paraId="1A04BA83" w14:textId="77777777" w:rsidR="00D3430B" w:rsidRPr="000F120F" w:rsidRDefault="00D3430B" w:rsidP="00F36942">
            <w:pPr>
              <w:pStyle w:val="Tabletext"/>
              <w:rPr>
                <w:snapToGrid w:val="0"/>
              </w:rPr>
            </w:pPr>
            <w:r w:rsidRPr="00295986">
              <w:t>0</w:t>
            </w:r>
            <w:r w:rsidR="00D7157D">
              <w:t>.</w:t>
            </w:r>
            <w:r w:rsidRPr="00295986">
              <w:t>3805</w:t>
            </w:r>
          </w:p>
        </w:tc>
        <w:tc>
          <w:tcPr>
            <w:tcW w:w="966" w:type="pct"/>
            <w:tcBorders>
              <w:top w:val="single" w:sz="4" w:space="0" w:color="auto"/>
              <w:bottom w:val="single" w:sz="4" w:space="0" w:color="auto"/>
            </w:tcBorders>
            <w:vAlign w:val="bottom"/>
          </w:tcPr>
          <w:p w14:paraId="4273EE8F" w14:textId="77777777" w:rsidR="00D3430B" w:rsidRPr="000F120F" w:rsidRDefault="00D3430B" w:rsidP="00F36942">
            <w:pPr>
              <w:pStyle w:val="Tabletext"/>
              <w:rPr>
                <w:snapToGrid w:val="0"/>
              </w:rPr>
            </w:pPr>
            <w:r w:rsidRPr="00295986">
              <w:t>4</w:t>
            </w:r>
            <w:r w:rsidR="00D7157D">
              <w:t>.</w:t>
            </w:r>
            <w:r w:rsidRPr="00295986">
              <w:t>0525</w:t>
            </w:r>
          </w:p>
        </w:tc>
        <w:tc>
          <w:tcPr>
            <w:tcW w:w="966" w:type="pct"/>
            <w:tcBorders>
              <w:top w:val="single" w:sz="4" w:space="0" w:color="auto"/>
              <w:bottom w:val="single" w:sz="4" w:space="0" w:color="auto"/>
            </w:tcBorders>
            <w:vAlign w:val="bottom"/>
          </w:tcPr>
          <w:p w14:paraId="7493BBEA" w14:textId="77777777" w:rsidR="00D3430B" w:rsidRPr="000F120F" w:rsidRDefault="00D3430B" w:rsidP="00F36942">
            <w:pPr>
              <w:pStyle w:val="Tabletext"/>
              <w:rPr>
                <w:snapToGrid w:val="0"/>
              </w:rPr>
            </w:pPr>
            <w:r w:rsidRPr="00295986">
              <w:t>0</w:t>
            </w:r>
            <w:r w:rsidR="00D7157D">
              <w:t>.</w:t>
            </w:r>
            <w:r w:rsidRPr="00295986">
              <w:t>1099</w:t>
            </w:r>
          </w:p>
        </w:tc>
      </w:tr>
      <w:tr w:rsidR="00D3430B" w:rsidRPr="009E2595" w14:paraId="347E74CE" w14:textId="77777777" w:rsidTr="00F36942">
        <w:trPr>
          <w:cantSplit/>
        </w:trPr>
        <w:tc>
          <w:tcPr>
            <w:tcW w:w="1136" w:type="pct"/>
            <w:tcBorders>
              <w:top w:val="single" w:sz="4" w:space="0" w:color="auto"/>
              <w:bottom w:val="single" w:sz="4" w:space="0" w:color="auto"/>
            </w:tcBorders>
          </w:tcPr>
          <w:p w14:paraId="37C85B49" w14:textId="77777777" w:rsidR="00D3430B" w:rsidRPr="00616B26" w:rsidRDefault="00D3430B" w:rsidP="00F36942">
            <w:pPr>
              <w:pStyle w:val="Tabletext"/>
              <w:rPr>
                <w:snapToGrid w:val="0"/>
              </w:rPr>
            </w:pPr>
            <w:r w:rsidRPr="00616B26">
              <w:rPr>
                <w:snapToGrid w:val="0"/>
              </w:rPr>
              <w:t>95</w:t>
            </w:r>
          </w:p>
        </w:tc>
        <w:tc>
          <w:tcPr>
            <w:tcW w:w="966" w:type="pct"/>
            <w:tcBorders>
              <w:top w:val="single" w:sz="4" w:space="0" w:color="auto"/>
              <w:bottom w:val="single" w:sz="4" w:space="0" w:color="auto"/>
            </w:tcBorders>
            <w:vAlign w:val="bottom"/>
          </w:tcPr>
          <w:p w14:paraId="1C62CB59" w14:textId="77777777" w:rsidR="00D3430B" w:rsidRPr="000F120F" w:rsidRDefault="00D3430B" w:rsidP="00F36942">
            <w:pPr>
              <w:pStyle w:val="Tabletext"/>
              <w:rPr>
                <w:snapToGrid w:val="0"/>
              </w:rPr>
            </w:pPr>
            <w:r w:rsidRPr="00295986">
              <w:t>3</w:t>
            </w:r>
            <w:r w:rsidR="00D7157D">
              <w:t>.</w:t>
            </w:r>
            <w:r w:rsidRPr="00295986">
              <w:t>3036</w:t>
            </w:r>
          </w:p>
        </w:tc>
        <w:tc>
          <w:tcPr>
            <w:tcW w:w="966" w:type="pct"/>
            <w:tcBorders>
              <w:top w:val="single" w:sz="4" w:space="0" w:color="auto"/>
              <w:bottom w:val="single" w:sz="4" w:space="0" w:color="auto"/>
            </w:tcBorders>
            <w:vAlign w:val="bottom"/>
          </w:tcPr>
          <w:p w14:paraId="151FE848" w14:textId="77777777" w:rsidR="00D3430B" w:rsidRPr="000F120F" w:rsidRDefault="00D3430B" w:rsidP="00F36942">
            <w:pPr>
              <w:pStyle w:val="Tabletext"/>
              <w:rPr>
                <w:snapToGrid w:val="0"/>
              </w:rPr>
            </w:pPr>
            <w:r w:rsidRPr="00295986">
              <w:t>0</w:t>
            </w:r>
            <w:r w:rsidR="00D7157D">
              <w:t>.</w:t>
            </w:r>
            <w:r w:rsidRPr="00295986">
              <w:t>3565</w:t>
            </w:r>
          </w:p>
        </w:tc>
        <w:tc>
          <w:tcPr>
            <w:tcW w:w="966" w:type="pct"/>
            <w:tcBorders>
              <w:top w:val="single" w:sz="4" w:space="0" w:color="auto"/>
              <w:bottom w:val="single" w:sz="4" w:space="0" w:color="auto"/>
            </w:tcBorders>
            <w:vAlign w:val="bottom"/>
          </w:tcPr>
          <w:p w14:paraId="041EC88F" w14:textId="77777777" w:rsidR="00D3430B" w:rsidRPr="000F120F" w:rsidRDefault="00D3430B" w:rsidP="00F36942">
            <w:pPr>
              <w:pStyle w:val="Tabletext"/>
              <w:rPr>
                <w:snapToGrid w:val="0"/>
              </w:rPr>
            </w:pPr>
            <w:r w:rsidRPr="00295986">
              <w:t>3</w:t>
            </w:r>
            <w:r w:rsidR="00D7157D">
              <w:t>.</w:t>
            </w:r>
            <w:r w:rsidRPr="00295986">
              <w:t>7536</w:t>
            </w:r>
          </w:p>
        </w:tc>
        <w:tc>
          <w:tcPr>
            <w:tcW w:w="966" w:type="pct"/>
            <w:tcBorders>
              <w:top w:val="single" w:sz="4" w:space="0" w:color="auto"/>
              <w:bottom w:val="single" w:sz="4" w:space="0" w:color="auto"/>
            </w:tcBorders>
            <w:vAlign w:val="bottom"/>
          </w:tcPr>
          <w:p w14:paraId="2C00C47B" w14:textId="77777777" w:rsidR="00D3430B" w:rsidRPr="000F120F" w:rsidRDefault="00D3430B" w:rsidP="00F36942">
            <w:pPr>
              <w:pStyle w:val="Tabletext"/>
              <w:rPr>
                <w:snapToGrid w:val="0"/>
              </w:rPr>
            </w:pPr>
            <w:r w:rsidRPr="00295986">
              <w:t>0</w:t>
            </w:r>
            <w:r w:rsidR="00D7157D">
              <w:t>.</w:t>
            </w:r>
            <w:r w:rsidRPr="00295986">
              <w:t>1052</w:t>
            </w:r>
          </w:p>
        </w:tc>
      </w:tr>
      <w:tr w:rsidR="00D3430B" w:rsidRPr="009E2595" w14:paraId="0C3761D5" w14:textId="77777777" w:rsidTr="00F36942">
        <w:trPr>
          <w:cantSplit/>
        </w:trPr>
        <w:tc>
          <w:tcPr>
            <w:tcW w:w="1136" w:type="pct"/>
            <w:tcBorders>
              <w:top w:val="single" w:sz="4" w:space="0" w:color="auto"/>
              <w:bottom w:val="single" w:sz="4" w:space="0" w:color="auto"/>
            </w:tcBorders>
          </w:tcPr>
          <w:p w14:paraId="7253DFAB" w14:textId="77777777" w:rsidR="00D3430B" w:rsidRPr="00616B26" w:rsidRDefault="00D3430B" w:rsidP="00F36942">
            <w:pPr>
              <w:pStyle w:val="Tabletext"/>
              <w:rPr>
                <w:snapToGrid w:val="0"/>
              </w:rPr>
            </w:pPr>
            <w:r w:rsidRPr="00616B26">
              <w:rPr>
                <w:snapToGrid w:val="0"/>
              </w:rPr>
              <w:t>96</w:t>
            </w:r>
          </w:p>
        </w:tc>
        <w:tc>
          <w:tcPr>
            <w:tcW w:w="966" w:type="pct"/>
            <w:tcBorders>
              <w:top w:val="single" w:sz="4" w:space="0" w:color="auto"/>
              <w:bottom w:val="single" w:sz="4" w:space="0" w:color="auto"/>
            </w:tcBorders>
            <w:vAlign w:val="bottom"/>
          </w:tcPr>
          <w:p w14:paraId="16B8A559" w14:textId="77777777" w:rsidR="00D3430B" w:rsidRPr="000F120F" w:rsidRDefault="00D3430B" w:rsidP="00F36942">
            <w:pPr>
              <w:pStyle w:val="Tabletext"/>
              <w:rPr>
                <w:snapToGrid w:val="0"/>
              </w:rPr>
            </w:pPr>
            <w:r w:rsidRPr="00295986">
              <w:t>3</w:t>
            </w:r>
            <w:r w:rsidR="00D7157D">
              <w:t>.</w:t>
            </w:r>
            <w:r w:rsidRPr="00295986">
              <w:t>1141</w:t>
            </w:r>
          </w:p>
        </w:tc>
        <w:tc>
          <w:tcPr>
            <w:tcW w:w="966" w:type="pct"/>
            <w:tcBorders>
              <w:top w:val="single" w:sz="4" w:space="0" w:color="auto"/>
              <w:bottom w:val="single" w:sz="4" w:space="0" w:color="auto"/>
            </w:tcBorders>
            <w:vAlign w:val="bottom"/>
          </w:tcPr>
          <w:p w14:paraId="44AC157B" w14:textId="77777777" w:rsidR="00D3430B" w:rsidRPr="000F120F" w:rsidRDefault="00D3430B" w:rsidP="00F36942">
            <w:pPr>
              <w:pStyle w:val="Tabletext"/>
              <w:rPr>
                <w:snapToGrid w:val="0"/>
              </w:rPr>
            </w:pPr>
            <w:r w:rsidRPr="00295986">
              <w:t>0</w:t>
            </w:r>
            <w:r w:rsidR="00D7157D">
              <w:t>.</w:t>
            </w:r>
            <w:r w:rsidRPr="00295986">
              <w:t>3327</w:t>
            </w:r>
          </w:p>
        </w:tc>
        <w:tc>
          <w:tcPr>
            <w:tcW w:w="966" w:type="pct"/>
            <w:tcBorders>
              <w:top w:val="single" w:sz="4" w:space="0" w:color="auto"/>
              <w:bottom w:val="single" w:sz="4" w:space="0" w:color="auto"/>
            </w:tcBorders>
            <w:vAlign w:val="bottom"/>
          </w:tcPr>
          <w:p w14:paraId="18C0FAD5" w14:textId="77777777" w:rsidR="00D3430B" w:rsidRPr="000F120F" w:rsidRDefault="00D3430B" w:rsidP="00F36942">
            <w:pPr>
              <w:pStyle w:val="Tabletext"/>
              <w:rPr>
                <w:snapToGrid w:val="0"/>
              </w:rPr>
            </w:pPr>
            <w:r w:rsidRPr="00295986">
              <w:t>3</w:t>
            </w:r>
            <w:r w:rsidR="00D7157D">
              <w:t>.</w:t>
            </w:r>
            <w:r w:rsidRPr="00295986">
              <w:t>4704</w:t>
            </w:r>
          </w:p>
        </w:tc>
        <w:tc>
          <w:tcPr>
            <w:tcW w:w="966" w:type="pct"/>
            <w:tcBorders>
              <w:top w:val="single" w:sz="4" w:space="0" w:color="auto"/>
              <w:bottom w:val="single" w:sz="4" w:space="0" w:color="auto"/>
            </w:tcBorders>
            <w:vAlign w:val="bottom"/>
          </w:tcPr>
          <w:p w14:paraId="3E638D7A" w14:textId="77777777" w:rsidR="00D3430B" w:rsidRPr="000F120F" w:rsidRDefault="00D3430B" w:rsidP="00F36942">
            <w:pPr>
              <w:pStyle w:val="Tabletext"/>
              <w:rPr>
                <w:snapToGrid w:val="0"/>
              </w:rPr>
            </w:pPr>
            <w:r w:rsidRPr="00295986">
              <w:t>0</w:t>
            </w:r>
            <w:r w:rsidR="00D7157D">
              <w:t>.</w:t>
            </w:r>
            <w:r w:rsidRPr="00295986">
              <w:t>1005</w:t>
            </w:r>
          </w:p>
        </w:tc>
      </w:tr>
      <w:tr w:rsidR="00D3430B" w:rsidRPr="009E2595" w14:paraId="181676E4" w14:textId="77777777" w:rsidTr="00F36942">
        <w:trPr>
          <w:cantSplit/>
        </w:trPr>
        <w:tc>
          <w:tcPr>
            <w:tcW w:w="1136" w:type="pct"/>
            <w:tcBorders>
              <w:top w:val="single" w:sz="4" w:space="0" w:color="auto"/>
              <w:bottom w:val="single" w:sz="4" w:space="0" w:color="auto"/>
            </w:tcBorders>
          </w:tcPr>
          <w:p w14:paraId="43B0DA0E" w14:textId="77777777" w:rsidR="00D3430B" w:rsidRPr="00616B26" w:rsidRDefault="00D3430B" w:rsidP="00F36942">
            <w:pPr>
              <w:pStyle w:val="Tabletext"/>
              <w:rPr>
                <w:snapToGrid w:val="0"/>
              </w:rPr>
            </w:pPr>
            <w:r w:rsidRPr="00616B26">
              <w:rPr>
                <w:snapToGrid w:val="0"/>
              </w:rPr>
              <w:t>97</w:t>
            </w:r>
          </w:p>
        </w:tc>
        <w:tc>
          <w:tcPr>
            <w:tcW w:w="966" w:type="pct"/>
            <w:tcBorders>
              <w:top w:val="single" w:sz="4" w:space="0" w:color="auto"/>
              <w:bottom w:val="single" w:sz="4" w:space="0" w:color="auto"/>
            </w:tcBorders>
            <w:vAlign w:val="bottom"/>
          </w:tcPr>
          <w:p w14:paraId="72AA3555" w14:textId="77777777" w:rsidR="00D3430B" w:rsidRPr="000F120F" w:rsidRDefault="00D3430B" w:rsidP="00F36942">
            <w:pPr>
              <w:pStyle w:val="Tabletext"/>
              <w:rPr>
                <w:snapToGrid w:val="0"/>
              </w:rPr>
            </w:pPr>
            <w:r w:rsidRPr="00295986">
              <w:t>2</w:t>
            </w:r>
            <w:r w:rsidR="00D7157D">
              <w:t>.</w:t>
            </w:r>
            <w:r w:rsidRPr="00295986">
              <w:t>9385</w:t>
            </w:r>
          </w:p>
        </w:tc>
        <w:tc>
          <w:tcPr>
            <w:tcW w:w="966" w:type="pct"/>
            <w:tcBorders>
              <w:top w:val="single" w:sz="4" w:space="0" w:color="auto"/>
              <w:bottom w:val="single" w:sz="4" w:space="0" w:color="auto"/>
            </w:tcBorders>
            <w:vAlign w:val="bottom"/>
          </w:tcPr>
          <w:p w14:paraId="06CCED73" w14:textId="77777777" w:rsidR="00D3430B" w:rsidRPr="000F120F" w:rsidRDefault="00D3430B" w:rsidP="00F36942">
            <w:pPr>
              <w:pStyle w:val="Tabletext"/>
              <w:rPr>
                <w:snapToGrid w:val="0"/>
              </w:rPr>
            </w:pPr>
            <w:r w:rsidRPr="00295986">
              <w:t>0</w:t>
            </w:r>
            <w:r w:rsidR="00D7157D">
              <w:t>.</w:t>
            </w:r>
            <w:r w:rsidRPr="00295986">
              <w:t>3094</w:t>
            </w:r>
          </w:p>
        </w:tc>
        <w:tc>
          <w:tcPr>
            <w:tcW w:w="966" w:type="pct"/>
            <w:tcBorders>
              <w:top w:val="single" w:sz="4" w:space="0" w:color="auto"/>
              <w:bottom w:val="single" w:sz="4" w:space="0" w:color="auto"/>
            </w:tcBorders>
            <w:vAlign w:val="bottom"/>
          </w:tcPr>
          <w:p w14:paraId="7EBE1A15" w14:textId="77777777" w:rsidR="00D3430B" w:rsidRPr="000F120F" w:rsidRDefault="00D3430B" w:rsidP="00F36942">
            <w:pPr>
              <w:pStyle w:val="Tabletext"/>
              <w:rPr>
                <w:snapToGrid w:val="0"/>
              </w:rPr>
            </w:pPr>
            <w:r w:rsidRPr="00295986">
              <w:t>3</w:t>
            </w:r>
            <w:r w:rsidR="00D7157D">
              <w:t>.</w:t>
            </w:r>
            <w:r w:rsidRPr="00295986">
              <w:t>1975</w:t>
            </w:r>
          </w:p>
        </w:tc>
        <w:tc>
          <w:tcPr>
            <w:tcW w:w="966" w:type="pct"/>
            <w:tcBorders>
              <w:top w:val="single" w:sz="4" w:space="0" w:color="auto"/>
              <w:bottom w:val="single" w:sz="4" w:space="0" w:color="auto"/>
            </w:tcBorders>
            <w:vAlign w:val="bottom"/>
          </w:tcPr>
          <w:p w14:paraId="5DFB9881" w14:textId="77777777" w:rsidR="00D3430B" w:rsidRPr="000F120F" w:rsidRDefault="00D3430B" w:rsidP="00F36942">
            <w:pPr>
              <w:pStyle w:val="Tabletext"/>
              <w:rPr>
                <w:snapToGrid w:val="0"/>
              </w:rPr>
            </w:pPr>
            <w:r w:rsidRPr="00295986">
              <w:t>0</w:t>
            </w:r>
            <w:r w:rsidR="00D7157D">
              <w:t>.</w:t>
            </w:r>
            <w:r w:rsidRPr="00295986">
              <w:t>0958</w:t>
            </w:r>
          </w:p>
        </w:tc>
      </w:tr>
      <w:tr w:rsidR="00D3430B" w:rsidRPr="009E2595" w14:paraId="5E7B7156" w14:textId="77777777" w:rsidTr="00F36942">
        <w:trPr>
          <w:cantSplit/>
        </w:trPr>
        <w:tc>
          <w:tcPr>
            <w:tcW w:w="1136" w:type="pct"/>
            <w:tcBorders>
              <w:top w:val="single" w:sz="4" w:space="0" w:color="auto"/>
              <w:bottom w:val="single" w:sz="4" w:space="0" w:color="auto"/>
            </w:tcBorders>
          </w:tcPr>
          <w:p w14:paraId="30DBBD21" w14:textId="77777777" w:rsidR="00D3430B" w:rsidRPr="00616B26" w:rsidRDefault="00D3430B" w:rsidP="00F36942">
            <w:pPr>
              <w:pStyle w:val="Tabletext"/>
              <w:rPr>
                <w:snapToGrid w:val="0"/>
              </w:rPr>
            </w:pPr>
            <w:r w:rsidRPr="00616B26">
              <w:rPr>
                <w:snapToGrid w:val="0"/>
              </w:rPr>
              <w:t>98</w:t>
            </w:r>
          </w:p>
        </w:tc>
        <w:tc>
          <w:tcPr>
            <w:tcW w:w="966" w:type="pct"/>
            <w:tcBorders>
              <w:top w:val="single" w:sz="4" w:space="0" w:color="auto"/>
              <w:bottom w:val="single" w:sz="4" w:space="0" w:color="auto"/>
            </w:tcBorders>
            <w:vAlign w:val="bottom"/>
          </w:tcPr>
          <w:p w14:paraId="78F36C95" w14:textId="77777777" w:rsidR="00D3430B" w:rsidRPr="000F120F" w:rsidRDefault="00D3430B" w:rsidP="00F36942">
            <w:pPr>
              <w:pStyle w:val="Tabletext"/>
              <w:rPr>
                <w:snapToGrid w:val="0"/>
              </w:rPr>
            </w:pPr>
            <w:r w:rsidRPr="00295986">
              <w:t>2</w:t>
            </w:r>
            <w:r w:rsidR="00D7157D">
              <w:t>.</w:t>
            </w:r>
            <w:r w:rsidRPr="00295986">
              <w:t>7756</w:t>
            </w:r>
          </w:p>
        </w:tc>
        <w:tc>
          <w:tcPr>
            <w:tcW w:w="966" w:type="pct"/>
            <w:tcBorders>
              <w:top w:val="single" w:sz="4" w:space="0" w:color="auto"/>
              <w:bottom w:val="single" w:sz="4" w:space="0" w:color="auto"/>
            </w:tcBorders>
            <w:vAlign w:val="bottom"/>
          </w:tcPr>
          <w:p w14:paraId="2D9988EA" w14:textId="77777777" w:rsidR="00D3430B" w:rsidRPr="000F120F" w:rsidRDefault="00D3430B" w:rsidP="00F36942">
            <w:pPr>
              <w:pStyle w:val="Tabletext"/>
              <w:rPr>
                <w:snapToGrid w:val="0"/>
              </w:rPr>
            </w:pPr>
            <w:r w:rsidRPr="00295986">
              <w:t>0</w:t>
            </w:r>
            <w:r w:rsidR="00D7157D">
              <w:t>.</w:t>
            </w:r>
            <w:r w:rsidRPr="00295986">
              <w:t>2862</w:t>
            </w:r>
          </w:p>
        </w:tc>
        <w:tc>
          <w:tcPr>
            <w:tcW w:w="966" w:type="pct"/>
            <w:tcBorders>
              <w:top w:val="single" w:sz="4" w:space="0" w:color="auto"/>
              <w:bottom w:val="single" w:sz="4" w:space="0" w:color="auto"/>
            </w:tcBorders>
            <w:vAlign w:val="bottom"/>
          </w:tcPr>
          <w:p w14:paraId="76264B5A" w14:textId="77777777" w:rsidR="00D3430B" w:rsidRPr="000F120F" w:rsidRDefault="00D3430B" w:rsidP="00F36942">
            <w:pPr>
              <w:pStyle w:val="Tabletext"/>
              <w:rPr>
                <w:snapToGrid w:val="0"/>
              </w:rPr>
            </w:pPr>
            <w:r w:rsidRPr="00295986">
              <w:t>2</w:t>
            </w:r>
            <w:r w:rsidR="00D7157D">
              <w:t>.</w:t>
            </w:r>
            <w:r w:rsidRPr="00295986">
              <w:t>9378</w:t>
            </w:r>
          </w:p>
        </w:tc>
        <w:tc>
          <w:tcPr>
            <w:tcW w:w="966" w:type="pct"/>
            <w:tcBorders>
              <w:top w:val="single" w:sz="4" w:space="0" w:color="auto"/>
              <w:bottom w:val="single" w:sz="4" w:space="0" w:color="auto"/>
            </w:tcBorders>
            <w:vAlign w:val="bottom"/>
          </w:tcPr>
          <w:p w14:paraId="3625AD70" w14:textId="77777777" w:rsidR="00D3430B" w:rsidRPr="000F120F" w:rsidRDefault="00D3430B" w:rsidP="00F36942">
            <w:pPr>
              <w:pStyle w:val="Tabletext"/>
              <w:rPr>
                <w:snapToGrid w:val="0"/>
              </w:rPr>
            </w:pPr>
            <w:r w:rsidRPr="00295986">
              <w:t>0</w:t>
            </w:r>
            <w:r w:rsidR="00D7157D">
              <w:t>.</w:t>
            </w:r>
            <w:r w:rsidRPr="00295986">
              <w:t>0910</w:t>
            </w:r>
          </w:p>
        </w:tc>
      </w:tr>
      <w:tr w:rsidR="00D3430B" w:rsidRPr="009E2595" w14:paraId="185CB36D" w14:textId="77777777" w:rsidTr="00F36942">
        <w:trPr>
          <w:cantSplit/>
        </w:trPr>
        <w:tc>
          <w:tcPr>
            <w:tcW w:w="1136" w:type="pct"/>
            <w:tcBorders>
              <w:top w:val="single" w:sz="4" w:space="0" w:color="auto"/>
              <w:bottom w:val="single" w:sz="12" w:space="0" w:color="auto"/>
            </w:tcBorders>
          </w:tcPr>
          <w:p w14:paraId="40B7CD4E" w14:textId="77777777" w:rsidR="00D3430B" w:rsidRPr="00616B26" w:rsidRDefault="00ED15BD" w:rsidP="00F36942">
            <w:pPr>
              <w:pStyle w:val="Tabletext"/>
              <w:rPr>
                <w:snapToGrid w:val="0"/>
              </w:rPr>
            </w:pPr>
            <w:r>
              <w:rPr>
                <w:snapToGrid w:val="0"/>
              </w:rPr>
              <w:t>99 and over</w:t>
            </w:r>
          </w:p>
        </w:tc>
        <w:tc>
          <w:tcPr>
            <w:tcW w:w="966" w:type="pct"/>
            <w:tcBorders>
              <w:top w:val="single" w:sz="4" w:space="0" w:color="auto"/>
              <w:bottom w:val="single" w:sz="12" w:space="0" w:color="auto"/>
            </w:tcBorders>
            <w:vAlign w:val="bottom"/>
          </w:tcPr>
          <w:p w14:paraId="664BF3BD" w14:textId="77777777" w:rsidR="00D3430B" w:rsidRPr="000F120F" w:rsidRDefault="00D3430B" w:rsidP="00F36942">
            <w:pPr>
              <w:pStyle w:val="Tabletext"/>
              <w:rPr>
                <w:snapToGrid w:val="0"/>
              </w:rPr>
            </w:pPr>
            <w:r w:rsidRPr="00295986">
              <w:t>2</w:t>
            </w:r>
            <w:r w:rsidR="00D7157D">
              <w:t>.</w:t>
            </w:r>
            <w:r w:rsidRPr="00295986">
              <w:t>6241</w:t>
            </w:r>
          </w:p>
        </w:tc>
        <w:tc>
          <w:tcPr>
            <w:tcW w:w="966" w:type="pct"/>
            <w:tcBorders>
              <w:top w:val="single" w:sz="4" w:space="0" w:color="auto"/>
              <w:bottom w:val="single" w:sz="12" w:space="0" w:color="auto"/>
            </w:tcBorders>
            <w:vAlign w:val="bottom"/>
          </w:tcPr>
          <w:p w14:paraId="0AD281AA" w14:textId="77777777" w:rsidR="00D3430B" w:rsidRPr="000F120F" w:rsidRDefault="00D3430B" w:rsidP="00F36942">
            <w:pPr>
              <w:pStyle w:val="Tabletext"/>
              <w:rPr>
                <w:snapToGrid w:val="0"/>
              </w:rPr>
            </w:pPr>
            <w:r w:rsidRPr="00295986">
              <w:t>0</w:t>
            </w:r>
            <w:r w:rsidR="00D7157D">
              <w:t>.</w:t>
            </w:r>
            <w:r w:rsidRPr="00295986">
              <w:t>2628</w:t>
            </w:r>
          </w:p>
        </w:tc>
        <w:tc>
          <w:tcPr>
            <w:tcW w:w="966" w:type="pct"/>
            <w:tcBorders>
              <w:top w:val="single" w:sz="4" w:space="0" w:color="auto"/>
              <w:bottom w:val="single" w:sz="12" w:space="0" w:color="auto"/>
            </w:tcBorders>
            <w:vAlign w:val="bottom"/>
          </w:tcPr>
          <w:p w14:paraId="48C50EBB" w14:textId="77777777" w:rsidR="00D3430B" w:rsidRPr="000F120F" w:rsidRDefault="00D3430B" w:rsidP="00F36942">
            <w:pPr>
              <w:pStyle w:val="Tabletext"/>
              <w:rPr>
                <w:snapToGrid w:val="0"/>
              </w:rPr>
            </w:pPr>
            <w:r w:rsidRPr="00295986">
              <w:t>2</w:t>
            </w:r>
            <w:r w:rsidR="00D7157D">
              <w:t>.</w:t>
            </w:r>
            <w:r w:rsidRPr="00295986">
              <w:t>6850</w:t>
            </w:r>
          </w:p>
        </w:tc>
        <w:tc>
          <w:tcPr>
            <w:tcW w:w="966" w:type="pct"/>
            <w:tcBorders>
              <w:top w:val="single" w:sz="4" w:space="0" w:color="auto"/>
              <w:bottom w:val="single" w:sz="12" w:space="0" w:color="auto"/>
            </w:tcBorders>
            <w:vAlign w:val="bottom"/>
          </w:tcPr>
          <w:p w14:paraId="4AD2E9B5" w14:textId="77777777" w:rsidR="00D3430B" w:rsidRPr="000F120F" w:rsidRDefault="00D3430B" w:rsidP="00F36942">
            <w:pPr>
              <w:pStyle w:val="Tabletext"/>
              <w:rPr>
                <w:snapToGrid w:val="0"/>
              </w:rPr>
            </w:pPr>
            <w:r w:rsidRPr="00295986">
              <w:t>0</w:t>
            </w:r>
            <w:r w:rsidR="00D7157D">
              <w:t>.</w:t>
            </w:r>
            <w:r w:rsidRPr="00295986">
              <w:t>0860</w:t>
            </w:r>
          </w:p>
        </w:tc>
      </w:tr>
    </w:tbl>
    <w:p w14:paraId="375C1AF0" w14:textId="77777777" w:rsidR="00E36572" w:rsidRPr="00232F7F" w:rsidRDefault="006211C7" w:rsidP="00E36572">
      <w:pPr>
        <w:pStyle w:val="ActHead2"/>
        <w:pageBreakBefore/>
      </w:pPr>
      <w:bookmarkStart w:id="313" w:name="_Toc188350790"/>
      <w:r w:rsidRPr="00423C34">
        <w:rPr>
          <w:rStyle w:val="CharPartNo"/>
        </w:rPr>
        <w:t>Part 3</w:t>
      </w:r>
      <w:r w:rsidR="00E36572">
        <w:t>—</w:t>
      </w:r>
      <w:r w:rsidR="00E36572" w:rsidRPr="00423C34">
        <w:rPr>
          <w:rStyle w:val="CharPartText"/>
        </w:rPr>
        <w:t xml:space="preserve">Interest has a guarantee period that </w:t>
      </w:r>
      <w:r w:rsidR="00F22905" w:rsidRPr="00423C34">
        <w:rPr>
          <w:rStyle w:val="CharPartText"/>
        </w:rPr>
        <w:t>is yet to end</w:t>
      </w:r>
      <w:bookmarkEnd w:id="313"/>
    </w:p>
    <w:p w14:paraId="638247D2" w14:textId="77777777" w:rsidR="00AD061A" w:rsidRPr="00AD061A" w:rsidRDefault="00B05FD6" w:rsidP="00AD061A">
      <w:pPr>
        <w:pStyle w:val="ActHead3"/>
      </w:pPr>
      <w:bookmarkStart w:id="314" w:name="_Toc188350791"/>
      <w:r w:rsidRPr="00423C34">
        <w:rPr>
          <w:rStyle w:val="CharDivNo"/>
        </w:rPr>
        <w:t>Division 1</w:t>
      </w:r>
      <w:r w:rsidR="00AD061A">
        <w:t>—</w:t>
      </w:r>
      <w:r w:rsidR="00AD061A" w:rsidRPr="00423C34">
        <w:rPr>
          <w:rStyle w:val="CharDivText"/>
        </w:rPr>
        <w:t>Application and method</w:t>
      </w:r>
      <w:bookmarkEnd w:id="314"/>
    </w:p>
    <w:p w14:paraId="180A2CF1" w14:textId="77777777" w:rsidR="00E36572" w:rsidRPr="00A058B6" w:rsidRDefault="0022507A" w:rsidP="00E36572">
      <w:pPr>
        <w:pStyle w:val="ActHead5"/>
      </w:pPr>
      <w:bookmarkStart w:id="315" w:name="_Toc188350792"/>
      <w:r w:rsidRPr="00423C34">
        <w:rPr>
          <w:rStyle w:val="CharSectno"/>
        </w:rPr>
        <w:t>13</w:t>
      </w:r>
      <w:r w:rsidR="00E36572" w:rsidRPr="00A058B6">
        <w:t xml:space="preserve">  Application of </w:t>
      </w:r>
      <w:r w:rsidR="00E36572">
        <w:t>this Part</w:t>
      </w:r>
      <w:bookmarkEnd w:id="315"/>
    </w:p>
    <w:p w14:paraId="596AD15F" w14:textId="77777777" w:rsidR="00E36572" w:rsidRDefault="00E36572" w:rsidP="00C61494">
      <w:pPr>
        <w:pStyle w:val="subsection"/>
      </w:pPr>
      <w:r w:rsidRPr="00A058B6">
        <w:tab/>
      </w:r>
      <w:r w:rsidRPr="00A058B6">
        <w:tab/>
        <w:t xml:space="preserve">This </w:t>
      </w:r>
      <w:r>
        <w:t>Part</w:t>
      </w:r>
      <w:r w:rsidRPr="00A058B6">
        <w:t xml:space="preserve"> sets out the method for determining the gross value, at the relevant date, of a superannuation interest that is in the payment phase at the relevant date, if</w:t>
      </w:r>
      <w:r w:rsidR="00C61494">
        <w:t xml:space="preserve"> </w:t>
      </w:r>
      <w:r w:rsidRPr="00A058B6">
        <w:t xml:space="preserve">the </w:t>
      </w:r>
      <w:r>
        <w:t xml:space="preserve">interest has </w:t>
      </w:r>
      <w:r w:rsidR="00C61494">
        <w:t>a</w:t>
      </w:r>
      <w:r>
        <w:t xml:space="preserve"> guarantee period</w:t>
      </w:r>
      <w:r w:rsidR="00C61494">
        <w:t xml:space="preserve"> that is yet to end</w:t>
      </w:r>
      <w:r w:rsidR="00D7157D">
        <w:t>.</w:t>
      </w:r>
    </w:p>
    <w:p w14:paraId="71EF0FB6" w14:textId="77777777" w:rsidR="00C61494" w:rsidRDefault="0022507A" w:rsidP="000D51C8">
      <w:pPr>
        <w:pStyle w:val="ActHead5"/>
      </w:pPr>
      <w:bookmarkStart w:id="316" w:name="_Toc188350793"/>
      <w:r w:rsidRPr="00423C34">
        <w:rPr>
          <w:rStyle w:val="CharSectno"/>
        </w:rPr>
        <w:t>14</w:t>
      </w:r>
      <w:r w:rsidR="006E1DFB">
        <w:t xml:space="preserve">  Method</w:t>
      </w:r>
      <w:bookmarkEnd w:id="316"/>
    </w:p>
    <w:p w14:paraId="7B3AB006" w14:textId="77777777" w:rsidR="00AD061A" w:rsidRDefault="00AD061A" w:rsidP="00AD061A">
      <w:pPr>
        <w:pStyle w:val="subsection"/>
      </w:pPr>
      <w:r w:rsidRPr="00A058B6">
        <w:tab/>
      </w:r>
      <w:r w:rsidRPr="00A058B6">
        <w:tab/>
        <w:t>The method is</w:t>
      </w:r>
      <w:r>
        <w:t xml:space="preserve"> the sum of:</w:t>
      </w:r>
    </w:p>
    <w:p w14:paraId="157FE093" w14:textId="44C95015" w:rsidR="00AD061A" w:rsidRDefault="00AD061A" w:rsidP="00AD061A">
      <w:pPr>
        <w:pStyle w:val="paragraph"/>
      </w:pPr>
      <w:r>
        <w:tab/>
        <w:t>(a)</w:t>
      </w:r>
      <w:r>
        <w:tab/>
        <w:t xml:space="preserve">the amount worked out under </w:t>
      </w:r>
      <w:r w:rsidR="00453C86">
        <w:t>Division 2</w:t>
      </w:r>
      <w:r>
        <w:t xml:space="preserve"> to be the present value of the pension benefit payable in respect of the superannuation interest for the guarantee period; and</w:t>
      </w:r>
    </w:p>
    <w:p w14:paraId="65D72DC2" w14:textId="77777777" w:rsidR="00AD061A" w:rsidRPr="00AD061A" w:rsidRDefault="00AD061A" w:rsidP="00AD061A">
      <w:pPr>
        <w:pStyle w:val="paragraph"/>
      </w:pPr>
      <w:r>
        <w:tab/>
        <w:t>(b)</w:t>
      </w:r>
      <w:r>
        <w:tab/>
        <w:t xml:space="preserve">the amount worked out under </w:t>
      </w:r>
      <w:r w:rsidR="00881039">
        <w:t>Division 3</w:t>
      </w:r>
      <w:r>
        <w:t xml:space="preserve"> to be the present value of the pension benefit payable in respect of the superannuation interest after the end of the guarantee period</w:t>
      </w:r>
      <w:r w:rsidR="00D7157D">
        <w:t>.</w:t>
      </w:r>
    </w:p>
    <w:p w14:paraId="0B035AD3" w14:textId="23B42B93" w:rsidR="006E1DFB" w:rsidRDefault="00453C86" w:rsidP="00DC1A88">
      <w:pPr>
        <w:pStyle w:val="ActHead3"/>
        <w:pageBreakBefore/>
      </w:pPr>
      <w:bookmarkStart w:id="317" w:name="_Toc188350794"/>
      <w:r w:rsidRPr="00423C34">
        <w:rPr>
          <w:rStyle w:val="CharDivNo"/>
        </w:rPr>
        <w:t>Division 2</w:t>
      </w:r>
      <w:r w:rsidR="00DC1A88">
        <w:t>—</w:t>
      </w:r>
      <w:r w:rsidR="00DC1A88" w:rsidRPr="00423C34">
        <w:rPr>
          <w:rStyle w:val="CharDivText"/>
        </w:rPr>
        <w:t>Present value of the pension payable for the remaining part of the guarantee period</w:t>
      </w:r>
      <w:bookmarkEnd w:id="317"/>
    </w:p>
    <w:p w14:paraId="1AC000FC" w14:textId="77777777" w:rsidR="00DC1A88" w:rsidRDefault="0022507A" w:rsidP="00DC1A88">
      <w:pPr>
        <w:pStyle w:val="ActHead5"/>
      </w:pPr>
      <w:bookmarkStart w:id="318" w:name="_Toc188350795"/>
      <w:r w:rsidRPr="00423C34">
        <w:rPr>
          <w:rStyle w:val="CharSectno"/>
        </w:rPr>
        <w:t>15</w:t>
      </w:r>
      <w:r w:rsidR="00DC1A88">
        <w:t xml:space="preserve">  </w:t>
      </w:r>
      <w:r w:rsidR="00C653FD">
        <w:t>Present value of the pension payable for the remaining part of the guarantee period</w:t>
      </w:r>
      <w:bookmarkEnd w:id="318"/>
    </w:p>
    <w:p w14:paraId="52F27D17" w14:textId="1AE4AAC8" w:rsidR="00C653FD" w:rsidRDefault="00C653FD" w:rsidP="00C653FD">
      <w:pPr>
        <w:pStyle w:val="subsection"/>
      </w:pPr>
      <w:r>
        <w:tab/>
      </w:r>
      <w:r>
        <w:tab/>
      </w:r>
      <w:r w:rsidR="00757FDF">
        <w:t xml:space="preserve">For the purposes of </w:t>
      </w:r>
      <w:r w:rsidR="00CB78B9">
        <w:t>paragraph 1</w:t>
      </w:r>
      <w:r w:rsidR="0022507A">
        <w:t>4</w:t>
      </w:r>
      <w:r w:rsidR="00757FDF">
        <w:t xml:space="preserve">(a), the amount is equal to the amount that would result from </w:t>
      </w:r>
      <w:r w:rsidR="00453C86">
        <w:t>Schedule 8</w:t>
      </w:r>
      <w:r w:rsidR="00757FDF">
        <w:t xml:space="preserve"> if:</w:t>
      </w:r>
    </w:p>
    <w:p w14:paraId="3BB5C860" w14:textId="77777777" w:rsidR="00757FDF" w:rsidRDefault="00757FDF" w:rsidP="00757FDF">
      <w:pPr>
        <w:pStyle w:val="paragraph"/>
      </w:pPr>
      <w:r>
        <w:tab/>
        <w:t>(a)</w:t>
      </w:r>
      <w:r>
        <w:tab/>
      </w:r>
      <w:r w:rsidR="00B04716">
        <w:t xml:space="preserve">the benefits in respect of the superannuation interest were confined to the pension </w:t>
      </w:r>
      <w:r w:rsidR="003A4A3B">
        <w:t>benefit payable for the guarantee period; and</w:t>
      </w:r>
    </w:p>
    <w:p w14:paraId="47D4EFBA" w14:textId="77777777" w:rsidR="003A4A3B" w:rsidRDefault="003A4A3B" w:rsidP="00757FDF">
      <w:pPr>
        <w:pStyle w:val="paragraph"/>
      </w:pPr>
      <w:r>
        <w:tab/>
        <w:t>(b)</w:t>
      </w:r>
      <w:r>
        <w:tab/>
        <w:t>the pension benefit payable for the guarantee period were treated as a pension for a fixed term</w:t>
      </w:r>
      <w:r w:rsidR="008F2DB7">
        <w:t xml:space="preserve"> ending at the end of the guarantee period</w:t>
      </w:r>
      <w:r w:rsidR="00D7157D">
        <w:t>.</w:t>
      </w:r>
    </w:p>
    <w:p w14:paraId="4EFD9F24" w14:textId="22DCF15C" w:rsidR="00AD061A" w:rsidRPr="00863D0B" w:rsidRDefault="00863D0B" w:rsidP="00863D0B">
      <w:pPr>
        <w:pStyle w:val="notetext"/>
      </w:pPr>
      <w:r>
        <w:t>Note:</w:t>
      </w:r>
      <w:r>
        <w:tab/>
      </w:r>
      <w:r w:rsidR="00B05FD6">
        <w:t>Paragraph (</w:t>
      </w:r>
      <w:r>
        <w:t xml:space="preserve">b) means, for example, that a reference in </w:t>
      </w:r>
      <w:r w:rsidR="00453C86">
        <w:t>Schedule 8</w:t>
      </w:r>
      <w:r>
        <w:t xml:space="preserve"> to the </w:t>
      </w:r>
      <w:r w:rsidRPr="00A058B6">
        <w:rPr>
          <w:snapToGrid w:val="0"/>
        </w:rPr>
        <w:t xml:space="preserve">remaining term of the pension </w:t>
      </w:r>
      <w:r>
        <w:rPr>
          <w:snapToGrid w:val="0"/>
        </w:rPr>
        <w:t>is treated as if it were a reference to the remaining part of the guarantee period</w:t>
      </w:r>
      <w:r w:rsidR="00D7157D">
        <w:rPr>
          <w:snapToGrid w:val="0"/>
        </w:rPr>
        <w:t>.</w:t>
      </w:r>
    </w:p>
    <w:p w14:paraId="72CF097B" w14:textId="77777777" w:rsidR="00B50A4F" w:rsidRDefault="00881039" w:rsidP="00B50A4F">
      <w:pPr>
        <w:pStyle w:val="ActHead3"/>
        <w:pageBreakBefore/>
      </w:pPr>
      <w:bookmarkStart w:id="319" w:name="_Toc188350796"/>
      <w:r w:rsidRPr="00423C34">
        <w:rPr>
          <w:rStyle w:val="CharDivNo"/>
        </w:rPr>
        <w:t>Division 3</w:t>
      </w:r>
      <w:r w:rsidR="00B50A4F">
        <w:t>—</w:t>
      </w:r>
      <w:r w:rsidR="00B50A4F" w:rsidRPr="00423C34">
        <w:rPr>
          <w:rStyle w:val="CharDivText"/>
        </w:rPr>
        <w:t>Present value of the pension payable after the end of the guarantee period</w:t>
      </w:r>
      <w:bookmarkEnd w:id="319"/>
    </w:p>
    <w:p w14:paraId="0BABB8FC" w14:textId="77777777" w:rsidR="007450F8" w:rsidRDefault="0022507A" w:rsidP="007450F8">
      <w:pPr>
        <w:pStyle w:val="ActHead5"/>
      </w:pPr>
      <w:bookmarkStart w:id="320" w:name="_Toc188350797"/>
      <w:r w:rsidRPr="00423C34">
        <w:rPr>
          <w:rStyle w:val="CharSectno"/>
        </w:rPr>
        <w:t>16</w:t>
      </w:r>
      <w:r w:rsidR="007450F8">
        <w:t xml:space="preserve">  Present </w:t>
      </w:r>
      <w:r w:rsidR="00EB5611">
        <w:t>value of the pension payable after the end of the guarantee period</w:t>
      </w:r>
      <w:bookmarkEnd w:id="320"/>
    </w:p>
    <w:p w14:paraId="55E4546B" w14:textId="145F5D71" w:rsidR="007450F8" w:rsidRDefault="007450F8" w:rsidP="007450F8">
      <w:pPr>
        <w:pStyle w:val="subsection"/>
      </w:pPr>
      <w:r>
        <w:tab/>
      </w:r>
      <w:r>
        <w:tab/>
        <w:t xml:space="preserve">For the purposes of </w:t>
      </w:r>
      <w:r w:rsidR="00CB78B9">
        <w:t>paragraph 1</w:t>
      </w:r>
      <w:r w:rsidR="0022507A">
        <w:t>4</w:t>
      </w:r>
      <w:r>
        <w:t>(</w:t>
      </w:r>
      <w:r w:rsidR="00EB5611">
        <w:t>b</w:t>
      </w:r>
      <w:r>
        <w:t>), the amount is:</w:t>
      </w:r>
    </w:p>
    <w:p w14:paraId="3387618B" w14:textId="7EC19D48" w:rsidR="00B26762" w:rsidRPr="0092194E" w:rsidRDefault="00303D7D" w:rsidP="0092194E">
      <w:pPr>
        <w:pStyle w:val="subsection2"/>
      </w:pPr>
      <w:r w:rsidRPr="0092194E">
        <w:rPr>
          <w:position w:val="-26"/>
        </w:rPr>
        <w:object w:dxaOrig="4160" w:dyaOrig="620" w14:anchorId="670EC31B">
          <v:shape id="_x0000_i1085" type="#_x0000_t75" alt="Start formula open bracket D subscript y subscript plus subscript m times S subscript x subscript plus subscript t subscript comma subscript y subscript plus subscript m close bracket times open bracket B times open bracket P2 subscript z subscript plus subscript v plus open bracket r times R subscript z subscript plus subscript v close bracket close bracket close bracket end formula" style="width:206.85pt;height:31.65pt" o:ole="">
            <v:imagedata r:id="rId156" o:title=""/>
          </v:shape>
          <o:OLEObject Type="Embed" ProgID="Equation.DSMT4" ShapeID="_x0000_i1085" DrawAspect="Content" ObjectID="_1801634314" r:id="rId157"/>
        </w:object>
      </w:r>
    </w:p>
    <w:p w14:paraId="6BB5CEB6" w14:textId="77777777" w:rsidR="007450F8" w:rsidRDefault="0092194E" w:rsidP="0092194E">
      <w:pPr>
        <w:pStyle w:val="subsection2"/>
      </w:pPr>
      <w:r>
        <w:t>w</w:t>
      </w:r>
      <w:r w:rsidRPr="0092194E">
        <w:t>here:</w:t>
      </w:r>
    </w:p>
    <w:p w14:paraId="38C80551" w14:textId="77777777" w:rsidR="0092194E" w:rsidRPr="00E423FB" w:rsidRDefault="00AE098F" w:rsidP="00E423FB">
      <w:pPr>
        <w:pStyle w:val="Definition"/>
      </w:pPr>
      <w:r w:rsidRPr="009559CA">
        <w:rPr>
          <w:b/>
          <w:i/>
        </w:rPr>
        <w:t>D</w:t>
      </w:r>
      <w:r w:rsidR="009559CA" w:rsidRPr="009559CA">
        <w:rPr>
          <w:b/>
          <w:i/>
          <w:vertAlign w:val="subscript"/>
        </w:rPr>
        <w:t>y+m</w:t>
      </w:r>
      <w:r>
        <w:t xml:space="preserve"> </w:t>
      </w:r>
      <w:r w:rsidR="001C6430">
        <w:t>means</w:t>
      </w:r>
      <w:r w:rsidR="001C6430" w:rsidRPr="00A058B6">
        <w:t xml:space="preserve"> </w:t>
      </w:r>
      <w:r w:rsidR="00480D2A">
        <w:t>the</w:t>
      </w:r>
      <w:r>
        <w:t xml:space="preserve"> </w:t>
      </w:r>
      <w:r w:rsidRPr="00480D2A">
        <w:t>discount valuation factor</w:t>
      </w:r>
      <w:r w:rsidR="00480D2A">
        <w:t xml:space="preserve"> calculated in accordance with </w:t>
      </w:r>
      <w:r w:rsidR="00B05FD6">
        <w:t>clause </w:t>
      </w:r>
      <w:r w:rsidR="0022507A">
        <w:t>17</w:t>
      </w:r>
      <w:r w:rsidR="00D7157D">
        <w:t>.</w:t>
      </w:r>
    </w:p>
    <w:p w14:paraId="6C80CF29" w14:textId="77777777" w:rsidR="0092194E" w:rsidRDefault="00C01DCC" w:rsidP="00C01DCC">
      <w:pPr>
        <w:pStyle w:val="Definition"/>
      </w:pPr>
      <w:r w:rsidRPr="008C6F2B">
        <w:rPr>
          <w:b/>
          <w:i/>
        </w:rPr>
        <w:t>S</w:t>
      </w:r>
      <w:r w:rsidRPr="008C6F2B">
        <w:rPr>
          <w:b/>
          <w:i/>
          <w:vertAlign w:val="subscript"/>
        </w:rPr>
        <w:t>x+t,</w:t>
      </w:r>
      <w:r w:rsidR="00AD2956">
        <w:rPr>
          <w:b/>
          <w:i/>
          <w:vertAlign w:val="subscript"/>
        </w:rPr>
        <w:t xml:space="preserve"> </w:t>
      </w:r>
      <w:r w:rsidRPr="008C6F2B">
        <w:rPr>
          <w:b/>
          <w:i/>
          <w:vertAlign w:val="subscript"/>
        </w:rPr>
        <w:t>y+m</w:t>
      </w:r>
      <w:r>
        <w:t xml:space="preserve"> </w:t>
      </w:r>
      <w:r w:rsidR="001C6430">
        <w:t>means</w:t>
      </w:r>
      <w:r w:rsidR="001C6430" w:rsidRPr="00A058B6">
        <w:t xml:space="preserve"> </w:t>
      </w:r>
      <w:r w:rsidR="00480D2A">
        <w:t>the</w:t>
      </w:r>
      <w:r>
        <w:t xml:space="preserve"> </w:t>
      </w:r>
      <w:r w:rsidRPr="00480D2A">
        <w:t>survival valuation factor</w:t>
      </w:r>
      <w:r w:rsidR="00480D2A">
        <w:t xml:space="preserve"> calculated in accordance with </w:t>
      </w:r>
      <w:r w:rsidR="00B05FD6">
        <w:t>clause </w:t>
      </w:r>
      <w:r w:rsidR="0022507A">
        <w:t>18</w:t>
      </w:r>
      <w:r w:rsidR="00D7157D">
        <w:t>.</w:t>
      </w:r>
    </w:p>
    <w:p w14:paraId="249856D3" w14:textId="77777777" w:rsidR="008C6F2B" w:rsidRDefault="008C6F2B" w:rsidP="00C01DCC">
      <w:pPr>
        <w:pStyle w:val="Definition"/>
        <w:rPr>
          <w:rFonts w:cstheme="minorHAnsi"/>
        </w:rPr>
      </w:pPr>
      <w:r w:rsidRPr="00480D2A">
        <w:rPr>
          <w:b/>
          <w:i/>
        </w:rPr>
        <w:t>B</w:t>
      </w:r>
      <w:r w:rsidRPr="00480D2A">
        <w:t xml:space="preserve"> </w:t>
      </w:r>
      <w:r w:rsidR="001C6430">
        <w:t>means</w:t>
      </w:r>
      <w:r w:rsidR="001C6430" w:rsidRPr="00A058B6">
        <w:t xml:space="preserve"> </w:t>
      </w:r>
      <w:r w:rsidR="00F93DBB" w:rsidRPr="00480D2A">
        <w:rPr>
          <w:rFonts w:cstheme="minorHAnsi"/>
        </w:rPr>
        <w:t>the amount of the annual pension benefit payable in respect of the superannuation interest at the relevant date</w:t>
      </w:r>
      <w:r w:rsidR="00D7157D">
        <w:rPr>
          <w:rFonts w:cstheme="minorHAnsi"/>
        </w:rPr>
        <w:t>.</w:t>
      </w:r>
    </w:p>
    <w:p w14:paraId="0347AB1B" w14:textId="77777777" w:rsidR="00F93DBB" w:rsidRDefault="00F93DBB" w:rsidP="00C01DCC">
      <w:pPr>
        <w:pStyle w:val="Definition"/>
      </w:pPr>
      <w:r w:rsidRPr="0016520A">
        <w:rPr>
          <w:b/>
          <w:i/>
        </w:rPr>
        <w:t>P2</w:t>
      </w:r>
      <w:r w:rsidRPr="0016520A">
        <w:rPr>
          <w:b/>
          <w:i/>
          <w:vertAlign w:val="subscript"/>
        </w:rPr>
        <w:t>z+v</w:t>
      </w:r>
      <w:r>
        <w:t xml:space="preserve"> </w:t>
      </w:r>
      <w:r w:rsidR="001C6430">
        <w:t>means</w:t>
      </w:r>
      <w:r w:rsidR="001C6430" w:rsidRPr="00A058B6">
        <w:t xml:space="preserve"> </w:t>
      </w:r>
      <w:r w:rsidR="00484244">
        <w:t>the pension valuation factor calculated in accordance with</w:t>
      </w:r>
      <w:r>
        <w:t xml:space="preserve"> </w:t>
      </w:r>
      <w:r w:rsidR="00B05FD6">
        <w:t>clause </w:t>
      </w:r>
      <w:r w:rsidR="0022507A">
        <w:t>19</w:t>
      </w:r>
      <w:r w:rsidR="00D7157D">
        <w:t>.</w:t>
      </w:r>
    </w:p>
    <w:p w14:paraId="6F7BE51A" w14:textId="77777777" w:rsidR="0016520A" w:rsidRDefault="0016520A" w:rsidP="00C01DCC">
      <w:pPr>
        <w:pStyle w:val="Definition"/>
        <w:rPr>
          <w:rFonts w:cstheme="minorHAnsi"/>
        </w:rPr>
      </w:pPr>
      <w:r w:rsidRPr="00484244">
        <w:rPr>
          <w:b/>
          <w:i/>
        </w:rPr>
        <w:t>r</w:t>
      </w:r>
      <w:r w:rsidRPr="00484244">
        <w:t xml:space="preserve"> </w:t>
      </w:r>
      <w:r w:rsidR="001C6430">
        <w:t>means</w:t>
      </w:r>
      <w:r w:rsidR="001C6430" w:rsidRPr="00A058B6">
        <w:t xml:space="preserve"> </w:t>
      </w:r>
      <w:r w:rsidRPr="00484244">
        <w:rPr>
          <w:rFonts w:cstheme="minorHAnsi"/>
        </w:rPr>
        <w:t xml:space="preserve">the proportion of the pension that is payable to any surviving spouse of the member spouse on the death of the member spouse, as provided by the trustee under </w:t>
      </w:r>
      <w:r w:rsidR="00AF1E4E">
        <w:rPr>
          <w:rFonts w:cstheme="minorHAnsi"/>
        </w:rPr>
        <w:t>section 9</w:t>
      </w:r>
      <w:r w:rsidRPr="00484244">
        <w:rPr>
          <w:rFonts w:cstheme="minorHAnsi"/>
        </w:rPr>
        <w:t>0XZB or 90YZR of the Act</w:t>
      </w:r>
      <w:r w:rsidR="00D7157D">
        <w:rPr>
          <w:rFonts w:cstheme="minorHAnsi"/>
        </w:rPr>
        <w:t>.</w:t>
      </w:r>
    </w:p>
    <w:p w14:paraId="7F10FC6C" w14:textId="77777777" w:rsidR="0016520A" w:rsidRPr="00C01DCC" w:rsidRDefault="0016520A" w:rsidP="00C01DCC">
      <w:pPr>
        <w:pStyle w:val="Definition"/>
      </w:pPr>
      <w:r w:rsidRPr="006A19A0">
        <w:rPr>
          <w:b/>
          <w:i/>
        </w:rPr>
        <w:t>R</w:t>
      </w:r>
      <w:r w:rsidRPr="006A19A0">
        <w:rPr>
          <w:b/>
          <w:i/>
          <w:vertAlign w:val="subscript"/>
        </w:rPr>
        <w:t>z+v</w:t>
      </w:r>
      <w:r>
        <w:t xml:space="preserve"> </w:t>
      </w:r>
      <w:r w:rsidR="001C6430">
        <w:t>means</w:t>
      </w:r>
      <w:r w:rsidR="001C6430" w:rsidRPr="00A058B6">
        <w:t xml:space="preserve"> </w:t>
      </w:r>
      <w:r w:rsidR="00484244">
        <w:t>the</w:t>
      </w:r>
      <w:r w:rsidR="001A4F6B">
        <w:t xml:space="preserve"> </w:t>
      </w:r>
      <w:r w:rsidR="001A4F6B" w:rsidRPr="00484244">
        <w:t>reversion valuation factor</w:t>
      </w:r>
      <w:r w:rsidR="00484244">
        <w:t xml:space="preserve"> calculated in accordance with </w:t>
      </w:r>
      <w:r w:rsidR="00B05FD6">
        <w:t>clause </w:t>
      </w:r>
      <w:r w:rsidR="0022507A">
        <w:t>20</w:t>
      </w:r>
      <w:r w:rsidR="00D7157D">
        <w:t>.</w:t>
      </w:r>
    </w:p>
    <w:p w14:paraId="49B0B43E" w14:textId="77777777" w:rsidR="0092194E" w:rsidRDefault="0022507A" w:rsidP="006A19A0">
      <w:pPr>
        <w:pStyle w:val="ActHead5"/>
      </w:pPr>
      <w:bookmarkStart w:id="321" w:name="_Toc188350798"/>
      <w:r w:rsidRPr="00423C34">
        <w:rPr>
          <w:rStyle w:val="CharSectno"/>
        </w:rPr>
        <w:t>17</w:t>
      </w:r>
      <w:r w:rsidR="006A19A0">
        <w:t xml:space="preserve">  Meaning of </w:t>
      </w:r>
      <w:r w:rsidR="006A19A0" w:rsidRPr="006A19A0">
        <w:rPr>
          <w:i/>
        </w:rPr>
        <w:t>discount valuation factor</w:t>
      </w:r>
      <w:bookmarkEnd w:id="321"/>
    </w:p>
    <w:p w14:paraId="1AFF95DA" w14:textId="77777777" w:rsidR="006A19A0" w:rsidRDefault="006A19A0" w:rsidP="006A19A0">
      <w:pPr>
        <w:pStyle w:val="subsection"/>
      </w:pPr>
      <w:r>
        <w:tab/>
      </w:r>
      <w:r w:rsidR="005819B8">
        <w:t>(1)</w:t>
      </w:r>
      <w:r>
        <w:tab/>
        <w:t xml:space="preserve">For the purposes of </w:t>
      </w:r>
      <w:r w:rsidR="00B05FD6">
        <w:t>clause </w:t>
      </w:r>
      <w:r w:rsidR="0022507A">
        <w:t>16</w:t>
      </w:r>
      <w:r>
        <w:t xml:space="preserve">, </w:t>
      </w:r>
      <w:r w:rsidR="00924F6A" w:rsidRPr="009559CA">
        <w:rPr>
          <w:b/>
          <w:i/>
        </w:rPr>
        <w:t>D</w:t>
      </w:r>
      <w:r w:rsidR="00924F6A" w:rsidRPr="009559CA">
        <w:rPr>
          <w:b/>
          <w:i/>
          <w:vertAlign w:val="subscript"/>
        </w:rPr>
        <w:t>y+m</w:t>
      </w:r>
      <w:r w:rsidR="00924F6A">
        <w:t xml:space="preserve"> </w:t>
      </w:r>
      <w:r w:rsidR="005819B8">
        <w:t>is:</w:t>
      </w:r>
    </w:p>
    <w:p w14:paraId="5A24922D" w14:textId="2CF9A280" w:rsidR="005819B8" w:rsidRPr="006A19A0" w:rsidRDefault="00513A0D" w:rsidP="004559F4">
      <w:pPr>
        <w:pStyle w:val="subsection2"/>
      </w:pPr>
      <w:r w:rsidRPr="004559F4">
        <w:rPr>
          <w:position w:val="-32"/>
        </w:rPr>
        <w:object w:dxaOrig="2960" w:dyaOrig="1060" w14:anchorId="3C5FDC45">
          <v:shape id="_x0000_i1086" type="#_x0000_t75" alt="Start formula start fraction open bracket D subscript y times open bracket 12 minus m close bracket close bracket plus open bracket D subscript y subscript plus subscript 1 times m close bracket over 12 end fraction end formula" style="width:148.6pt;height:53.65pt;mso-position-vertical:absolute" o:ole="">
            <v:imagedata r:id="rId158" o:title=""/>
          </v:shape>
          <o:OLEObject Type="Embed" ProgID="Equation.DSMT4" ShapeID="_x0000_i1086" DrawAspect="Content" ObjectID="_1801634315" r:id="rId159"/>
        </w:object>
      </w:r>
    </w:p>
    <w:p w14:paraId="4808BB36" w14:textId="77777777" w:rsidR="00E22462" w:rsidRDefault="00F502C3" w:rsidP="00F502C3">
      <w:pPr>
        <w:pStyle w:val="subsection2"/>
      </w:pPr>
      <w:r>
        <w:t>where:</w:t>
      </w:r>
    </w:p>
    <w:p w14:paraId="1202F1EB" w14:textId="77777777" w:rsidR="00F502C3" w:rsidRPr="005D48FD" w:rsidRDefault="00F502C3" w:rsidP="00F502C3">
      <w:pPr>
        <w:pStyle w:val="Definition"/>
      </w:pPr>
      <w:r w:rsidRPr="00553CB1">
        <w:rPr>
          <w:b/>
          <w:i/>
        </w:rPr>
        <w:t>D</w:t>
      </w:r>
      <w:r w:rsidRPr="00553CB1">
        <w:rPr>
          <w:b/>
          <w:i/>
          <w:vertAlign w:val="subscript"/>
        </w:rPr>
        <w:t>y</w:t>
      </w:r>
      <w:r w:rsidRPr="00553CB1">
        <w:t xml:space="preserve"> </w:t>
      </w:r>
      <w:r w:rsidR="001C6430">
        <w:t>means</w:t>
      </w:r>
      <w:r w:rsidR="001C6430" w:rsidRPr="00A058B6">
        <w:t xml:space="preserve"> </w:t>
      </w:r>
      <w:r w:rsidRPr="00553CB1">
        <w:t xml:space="preserve">the discount valuation factor </w:t>
      </w:r>
      <w:r w:rsidR="00785BB7" w:rsidRPr="00553CB1">
        <w:t>mentioned</w:t>
      </w:r>
      <w:r w:rsidR="00BC4ADE" w:rsidRPr="00553CB1">
        <w:t xml:space="preserve"> in </w:t>
      </w:r>
      <w:r w:rsidR="00B05FD6">
        <w:t>subclause (</w:t>
      </w:r>
      <w:r w:rsidR="00BC4ADE" w:rsidRPr="00553CB1">
        <w:t>2)</w:t>
      </w:r>
      <w:r w:rsidRPr="00553CB1">
        <w:t xml:space="preserve"> that applies to the pension and the remaining guarantee period of the pension in complete years at the relevant date</w:t>
      </w:r>
      <w:r w:rsidR="00D7157D">
        <w:t>.</w:t>
      </w:r>
    </w:p>
    <w:p w14:paraId="16077C0C" w14:textId="77777777" w:rsidR="00F502C3" w:rsidRPr="005D48FD" w:rsidRDefault="005D48FD" w:rsidP="00F502C3">
      <w:pPr>
        <w:pStyle w:val="Definition"/>
      </w:pPr>
      <w:r w:rsidRPr="006A2D63">
        <w:rPr>
          <w:b/>
          <w:i/>
        </w:rPr>
        <w:t>m</w:t>
      </w:r>
      <w:r w:rsidRPr="006A2D63">
        <w:t xml:space="preserve"> </w:t>
      </w:r>
      <w:r w:rsidR="001C6430">
        <w:t>means</w:t>
      </w:r>
      <w:r w:rsidR="001C6430" w:rsidRPr="00A058B6">
        <w:t xml:space="preserve"> </w:t>
      </w:r>
      <w:r w:rsidR="00F502C3" w:rsidRPr="006A2D63">
        <w:t>the number of complete months of the remaining guarantee period of the pension that are not included in the remaining complete years at the relevant date</w:t>
      </w:r>
      <w:r w:rsidR="00D7157D">
        <w:t>.</w:t>
      </w:r>
    </w:p>
    <w:p w14:paraId="382E8A43" w14:textId="77777777" w:rsidR="00F502C3" w:rsidRPr="005D48FD" w:rsidRDefault="005D48FD" w:rsidP="00F502C3">
      <w:pPr>
        <w:pStyle w:val="Definition"/>
      </w:pPr>
      <w:r w:rsidRPr="00553CB1">
        <w:rPr>
          <w:b/>
          <w:i/>
        </w:rPr>
        <w:t>D</w:t>
      </w:r>
      <w:r w:rsidRPr="00553CB1">
        <w:rPr>
          <w:b/>
          <w:i/>
          <w:vertAlign w:val="subscript"/>
        </w:rPr>
        <w:t>y+</w:t>
      </w:r>
      <w:r w:rsidRPr="00553CB1">
        <w:rPr>
          <w:vertAlign w:val="subscript"/>
        </w:rPr>
        <w:t>1</w:t>
      </w:r>
      <w:r w:rsidRPr="00553CB1">
        <w:t xml:space="preserve"> </w:t>
      </w:r>
      <w:r w:rsidR="001C6430">
        <w:t>means</w:t>
      </w:r>
      <w:r w:rsidR="001C6430" w:rsidRPr="00A058B6">
        <w:t xml:space="preserve"> </w:t>
      </w:r>
      <w:r w:rsidR="00F502C3" w:rsidRPr="00553CB1">
        <w:t xml:space="preserve">the discount valuation factor </w:t>
      </w:r>
      <w:r w:rsidR="00553CB1" w:rsidRPr="00553CB1">
        <w:t>mentioned</w:t>
      </w:r>
      <w:r w:rsidR="000108E3" w:rsidRPr="00553CB1">
        <w:t xml:space="preserve"> in </w:t>
      </w:r>
      <w:r w:rsidR="00B05FD6">
        <w:t>subclause (</w:t>
      </w:r>
      <w:r w:rsidR="000108E3" w:rsidRPr="00553CB1">
        <w:t>2)</w:t>
      </w:r>
      <w:r w:rsidR="00F502C3" w:rsidRPr="00553CB1">
        <w:t xml:space="preserve"> that would apply to the pension and the remaining guarantee period of the pension if the remaining guarantee period at the relevant date were one year more than the actual remaining guarantee period at that date</w:t>
      </w:r>
      <w:r w:rsidR="00D7157D">
        <w:t>.</w:t>
      </w:r>
    </w:p>
    <w:p w14:paraId="6C7B0521" w14:textId="77777777" w:rsidR="006F60A0" w:rsidRPr="006F60A0" w:rsidRDefault="006F60A0" w:rsidP="006F60A0">
      <w:pPr>
        <w:pStyle w:val="SubsectionHead"/>
      </w:pPr>
      <w:r>
        <w:t>Discount</w:t>
      </w:r>
      <w:r w:rsidRPr="00A058B6">
        <w:t xml:space="preserve"> valuation factors</w:t>
      </w:r>
    </w:p>
    <w:p w14:paraId="4680A631" w14:textId="77777777" w:rsidR="009B19DB" w:rsidRDefault="000108E3" w:rsidP="001B3FE4">
      <w:pPr>
        <w:pStyle w:val="subsection"/>
      </w:pPr>
      <w:r>
        <w:tab/>
        <w:t>(2)</w:t>
      </w:r>
      <w:r>
        <w:tab/>
      </w:r>
      <w:r w:rsidR="001B3FE4" w:rsidRPr="00A058B6">
        <w:t xml:space="preserve">The </w:t>
      </w:r>
      <w:r w:rsidR="001B3FE4">
        <w:t>discount</w:t>
      </w:r>
      <w:r w:rsidR="001B3FE4" w:rsidRPr="00A058B6">
        <w:t xml:space="preserve"> valuation factors </w:t>
      </w:r>
      <w:r w:rsidR="00C10905">
        <w:t xml:space="preserve">that apply </w:t>
      </w:r>
      <w:r w:rsidR="001B3FE4">
        <w:t xml:space="preserve">are as </w:t>
      </w:r>
      <w:r w:rsidR="00695F75">
        <w:t>in the table</w:t>
      </w:r>
      <w:r w:rsidR="00B63B90">
        <w:t xml:space="preserve"> at the end of this clause</w:t>
      </w:r>
      <w:r w:rsidR="00D7157D">
        <w:t>.</w:t>
      </w:r>
      <w:r w:rsidR="00695F75">
        <w:t xml:space="preserve"> </w:t>
      </w:r>
      <w:r w:rsidR="00EB709F">
        <w:t>The columns of the tabl</w:t>
      </w:r>
      <w:r w:rsidR="009B19DB">
        <w:t>e deal with the following:</w:t>
      </w:r>
    </w:p>
    <w:p w14:paraId="50749285" w14:textId="77777777" w:rsidR="009B19DB" w:rsidRDefault="009B19DB" w:rsidP="009B19DB">
      <w:pPr>
        <w:pStyle w:val="paragraph"/>
      </w:pPr>
      <w:r>
        <w:tab/>
        <w:t>(a)</w:t>
      </w:r>
      <w:r>
        <w:tab/>
        <w:t xml:space="preserve">column </w:t>
      </w:r>
      <w:r w:rsidR="00163126">
        <w:t xml:space="preserve">1 </w:t>
      </w:r>
      <w:r>
        <w:t>sets out the remaining guarantee period (in complete years</w:t>
      </w:r>
      <w:r w:rsidR="00163126">
        <w:t>)</w:t>
      </w:r>
      <w:r>
        <w:t>;</w:t>
      </w:r>
    </w:p>
    <w:p w14:paraId="2325E7A9" w14:textId="77777777" w:rsidR="005B61BB" w:rsidRDefault="005B61BB" w:rsidP="00100BC5">
      <w:pPr>
        <w:pStyle w:val="paragraph"/>
      </w:pPr>
      <w:r>
        <w:tab/>
        <w:t>(</w:t>
      </w:r>
      <w:r w:rsidR="00163126">
        <w:t>b</w:t>
      </w:r>
      <w:r>
        <w:t>)</w:t>
      </w:r>
      <w:r>
        <w:tab/>
        <w:t>column 2 applies if the pension is not indexed;</w:t>
      </w:r>
    </w:p>
    <w:p w14:paraId="00351517" w14:textId="77777777" w:rsidR="005B61BB" w:rsidRDefault="005B61BB" w:rsidP="00100BC5">
      <w:pPr>
        <w:pStyle w:val="paragraph"/>
      </w:pPr>
      <w:r>
        <w:tab/>
        <w:t>(</w:t>
      </w:r>
      <w:r w:rsidR="00B45BF5">
        <w:t>c</w:t>
      </w:r>
      <w:r>
        <w:t>)</w:t>
      </w:r>
      <w:r>
        <w:tab/>
        <w:t xml:space="preserve">column </w:t>
      </w:r>
      <w:r w:rsidR="00A80613">
        <w:t>3</w:t>
      </w:r>
      <w:r>
        <w:t xml:space="preserve"> applies if </w:t>
      </w:r>
      <w:r w:rsidR="00A80613">
        <w:t xml:space="preserve">the pension is </w:t>
      </w:r>
      <w:r w:rsidR="00A80613" w:rsidRPr="00D35CE4">
        <w:rPr>
          <w:szCs w:val="22"/>
        </w:rPr>
        <w:t>CPI indexed with</w:t>
      </w:r>
      <w:r w:rsidR="000B33A2" w:rsidRPr="00D35CE4">
        <w:rPr>
          <w:szCs w:val="22"/>
        </w:rPr>
        <w:t xml:space="preserve"> a</w:t>
      </w:r>
      <w:r w:rsidR="00A80613" w:rsidRPr="00D35CE4">
        <w:rPr>
          <w:szCs w:val="22"/>
        </w:rPr>
        <w:t xml:space="preserve"> 5% cap</w:t>
      </w:r>
      <w:r>
        <w:t>;</w:t>
      </w:r>
    </w:p>
    <w:p w14:paraId="0F76CCE7" w14:textId="77777777" w:rsidR="00A80613" w:rsidRDefault="00A80613" w:rsidP="00A80613">
      <w:pPr>
        <w:pStyle w:val="paragraph"/>
      </w:pPr>
      <w:r>
        <w:tab/>
        <w:t>(</w:t>
      </w:r>
      <w:r w:rsidR="00B45BF5">
        <w:t>d</w:t>
      </w:r>
      <w:r>
        <w:t>)</w:t>
      </w:r>
      <w:r>
        <w:tab/>
        <w:t xml:space="preserve">column 4 applies if </w:t>
      </w:r>
      <w:r w:rsidR="000B33A2">
        <w:t>the pension is CPI indexed</w:t>
      </w:r>
      <w:r>
        <w:t>;</w:t>
      </w:r>
    </w:p>
    <w:p w14:paraId="5B9F8093" w14:textId="77777777" w:rsidR="00A80613" w:rsidRDefault="00A80613" w:rsidP="00A80613">
      <w:pPr>
        <w:pStyle w:val="paragraph"/>
      </w:pPr>
      <w:r>
        <w:tab/>
        <w:t>(</w:t>
      </w:r>
      <w:r w:rsidR="00B45BF5">
        <w:t>e</w:t>
      </w:r>
      <w:r>
        <w:t>)</w:t>
      </w:r>
      <w:r>
        <w:tab/>
        <w:t xml:space="preserve">column 5 applies if </w:t>
      </w:r>
      <w:r w:rsidR="000B33A2">
        <w:t>the pension is CPI indexed plus 1% with a 5% cap</w:t>
      </w:r>
      <w:r>
        <w:t>;</w:t>
      </w:r>
    </w:p>
    <w:p w14:paraId="11147AA0" w14:textId="77777777" w:rsidR="00133538" w:rsidRDefault="00133538" w:rsidP="00133538">
      <w:pPr>
        <w:pStyle w:val="paragraph"/>
      </w:pPr>
      <w:r>
        <w:tab/>
        <w:t>(</w:t>
      </w:r>
      <w:r w:rsidR="00B45BF5">
        <w:t>f</w:t>
      </w:r>
      <w:r>
        <w:t>)</w:t>
      </w:r>
      <w:r>
        <w:tab/>
        <w:t>column 6 applies if the pension is CPI indexed plus 1%;</w:t>
      </w:r>
    </w:p>
    <w:p w14:paraId="59B11567" w14:textId="77777777" w:rsidR="00A80613" w:rsidRDefault="00A80613" w:rsidP="00A80613">
      <w:pPr>
        <w:pStyle w:val="paragraph"/>
      </w:pPr>
      <w:r>
        <w:tab/>
        <w:t>(</w:t>
      </w:r>
      <w:r w:rsidR="00B45BF5">
        <w:t>g</w:t>
      </w:r>
      <w:r>
        <w:t>)</w:t>
      </w:r>
      <w:r>
        <w:tab/>
        <w:t xml:space="preserve">column </w:t>
      </w:r>
      <w:r w:rsidR="00133538">
        <w:t>7</w:t>
      </w:r>
      <w:r>
        <w:t xml:space="preserve"> applies if </w:t>
      </w:r>
      <w:r w:rsidR="000B33A2">
        <w:t xml:space="preserve">the pension is </w:t>
      </w:r>
      <w:r w:rsidR="008370A9">
        <w:t>indexed at 3%</w:t>
      </w:r>
      <w:r>
        <w:t>;</w:t>
      </w:r>
    </w:p>
    <w:p w14:paraId="798F02FB" w14:textId="77777777" w:rsidR="004939D2" w:rsidRDefault="004939D2" w:rsidP="004939D2">
      <w:pPr>
        <w:pStyle w:val="paragraph"/>
      </w:pPr>
      <w:r>
        <w:tab/>
        <w:t>(</w:t>
      </w:r>
      <w:r w:rsidR="00B45BF5">
        <w:t>h</w:t>
      </w:r>
      <w:r>
        <w:t>)</w:t>
      </w:r>
      <w:r>
        <w:tab/>
        <w:t>column 8 applies if the pension is a wage indexed pension;</w:t>
      </w:r>
    </w:p>
    <w:p w14:paraId="7E724CF8" w14:textId="77777777" w:rsidR="00A80613" w:rsidRDefault="00A80613" w:rsidP="00A80613">
      <w:pPr>
        <w:pStyle w:val="paragraph"/>
      </w:pPr>
      <w:r>
        <w:tab/>
        <w:t>(</w:t>
      </w:r>
      <w:r w:rsidR="00B45BF5">
        <w:t>i</w:t>
      </w:r>
      <w:r>
        <w:t>)</w:t>
      </w:r>
      <w:r>
        <w:tab/>
        <w:t xml:space="preserve">column </w:t>
      </w:r>
      <w:r w:rsidR="004939D2">
        <w:t>9</w:t>
      </w:r>
      <w:r>
        <w:t xml:space="preserve"> applies if </w:t>
      </w:r>
      <w:r w:rsidR="000B33A2">
        <w:t xml:space="preserve">the pension is </w:t>
      </w:r>
      <w:r w:rsidR="008370A9">
        <w:t>indexed at 4%;</w:t>
      </w:r>
    </w:p>
    <w:p w14:paraId="01FFB49E" w14:textId="77777777" w:rsidR="00A80613" w:rsidRDefault="00A80613" w:rsidP="00A80613">
      <w:pPr>
        <w:pStyle w:val="paragraph"/>
      </w:pPr>
      <w:r>
        <w:tab/>
        <w:t>(</w:t>
      </w:r>
      <w:r w:rsidR="00B45BF5">
        <w:t>j</w:t>
      </w:r>
      <w:r>
        <w:t>)</w:t>
      </w:r>
      <w:r>
        <w:tab/>
        <w:t xml:space="preserve">column 10 applies if </w:t>
      </w:r>
      <w:r w:rsidR="000B33A2">
        <w:t xml:space="preserve">the pension is </w:t>
      </w:r>
      <w:r w:rsidR="004939D2">
        <w:t>indexed at 5%</w:t>
      </w:r>
      <w:r w:rsidR="00D7157D">
        <w:t>.</w:t>
      </w:r>
    </w:p>
    <w:p w14:paraId="49C0C1E0" w14:textId="77777777" w:rsidR="00E05772" w:rsidRDefault="00E05772" w:rsidP="00E05772">
      <w:pPr>
        <w:pStyle w:val="subsection"/>
      </w:pPr>
      <w:r w:rsidRPr="00A058B6">
        <w:tab/>
        <w:t>(</w:t>
      </w:r>
      <w:r w:rsidR="00B63B90">
        <w:t>3</w:t>
      </w:r>
      <w:r w:rsidRPr="00A058B6">
        <w:t>)</w:t>
      </w:r>
      <w:r w:rsidRPr="00A058B6">
        <w:tab/>
      </w:r>
      <w:r>
        <w:t>In this clause:</w:t>
      </w:r>
    </w:p>
    <w:p w14:paraId="02DA9C3A" w14:textId="77777777" w:rsidR="00E05772" w:rsidRDefault="00E05772" w:rsidP="00E05772">
      <w:pPr>
        <w:pStyle w:val="Definition"/>
      </w:pPr>
      <w:r w:rsidRPr="00D57B96">
        <w:rPr>
          <w:b/>
          <w:i/>
        </w:rPr>
        <w:t>CPI</w:t>
      </w:r>
      <w:r>
        <w:t xml:space="preserve"> means the consumer price index</w:t>
      </w:r>
      <w:r w:rsidR="00D7157D">
        <w:t>.</w:t>
      </w:r>
    </w:p>
    <w:p w14:paraId="17A80C21" w14:textId="77777777" w:rsidR="00E05772" w:rsidRPr="00D57B96" w:rsidRDefault="00E05772" w:rsidP="00E05772">
      <w:pPr>
        <w:pStyle w:val="Definition"/>
      </w:pPr>
      <w:r w:rsidRPr="00025369">
        <w:rPr>
          <w:b/>
          <w:i/>
        </w:rPr>
        <w:t>wage indexed pension</w:t>
      </w:r>
      <w:r>
        <w:t xml:space="preserve"> means a pension indexed in accordance with </w:t>
      </w:r>
      <w:r w:rsidRPr="009158D7">
        <w:t>a general wage index (for example, average weekly earnings, or average</w:t>
      </w:r>
      <w:r w:rsidRPr="00A058B6">
        <w:t xml:space="preserve"> weekly ordinary time earnings, published by the Australian Bureau of Statistics)</w:t>
      </w:r>
      <w:r w:rsidR="00D7157D">
        <w:t>.</w:t>
      </w:r>
    </w:p>
    <w:p w14:paraId="24E6042A" w14:textId="77777777" w:rsidR="00BC58DE" w:rsidRDefault="00BC58DE" w:rsidP="00F12DC7">
      <w:pPr>
        <w:pStyle w:val="Tabletext"/>
      </w:pPr>
    </w:p>
    <w:tbl>
      <w:tblPr>
        <w:tblW w:w="5031" w:type="pct"/>
        <w:tblLayout w:type="fixed"/>
        <w:tblLook w:val="0000" w:firstRow="0" w:lastRow="0" w:firstColumn="0" w:lastColumn="0" w:noHBand="0" w:noVBand="0"/>
      </w:tblPr>
      <w:tblGrid>
        <w:gridCol w:w="707"/>
        <w:gridCol w:w="847"/>
        <w:gridCol w:w="851"/>
        <w:gridCol w:w="852"/>
        <w:gridCol w:w="850"/>
        <w:gridCol w:w="852"/>
        <w:gridCol w:w="850"/>
        <w:gridCol w:w="852"/>
        <w:gridCol w:w="852"/>
        <w:gridCol w:w="852"/>
      </w:tblGrid>
      <w:tr w:rsidR="00007600" w:rsidRPr="00A058B6" w14:paraId="3E117EA8" w14:textId="77777777" w:rsidTr="00196507">
        <w:trPr>
          <w:cantSplit/>
          <w:trHeight w:val="188"/>
          <w:tblHeader/>
        </w:trPr>
        <w:tc>
          <w:tcPr>
            <w:tcW w:w="423" w:type="pct"/>
            <w:vMerge w:val="restart"/>
            <w:tcBorders>
              <w:top w:val="single" w:sz="12" w:space="0" w:color="auto"/>
              <w:left w:val="nil"/>
              <w:bottom w:val="single" w:sz="12" w:space="0" w:color="auto"/>
              <w:right w:val="nil"/>
            </w:tcBorders>
          </w:tcPr>
          <w:p w14:paraId="273A9640" w14:textId="77777777" w:rsidR="00007600" w:rsidRPr="0026599A" w:rsidRDefault="00007600" w:rsidP="00007600">
            <w:pPr>
              <w:pStyle w:val="TableHeading"/>
            </w:pPr>
            <w:r w:rsidRPr="0026599A">
              <w:t>R</w:t>
            </w:r>
            <w:r w:rsidR="00E519CD" w:rsidRPr="0026599A">
              <w:t>GP</w:t>
            </w:r>
          </w:p>
        </w:tc>
        <w:tc>
          <w:tcPr>
            <w:tcW w:w="4577" w:type="pct"/>
            <w:gridSpan w:val="9"/>
            <w:tcBorders>
              <w:top w:val="single" w:sz="12" w:space="0" w:color="auto"/>
              <w:left w:val="nil"/>
              <w:bottom w:val="single" w:sz="4" w:space="0" w:color="auto"/>
              <w:right w:val="nil"/>
            </w:tcBorders>
          </w:tcPr>
          <w:p w14:paraId="0DA2EAAC" w14:textId="77777777" w:rsidR="00007600" w:rsidRPr="00163126" w:rsidRDefault="00007600" w:rsidP="00007600">
            <w:pPr>
              <w:pStyle w:val="TableHeading"/>
            </w:pPr>
            <w:r w:rsidRPr="00163126">
              <w:t>Discount valuation factors</w:t>
            </w:r>
          </w:p>
        </w:tc>
      </w:tr>
      <w:tr w:rsidR="00790B86" w:rsidRPr="00A058B6" w14:paraId="1B5989BF" w14:textId="77777777" w:rsidTr="00196507">
        <w:trPr>
          <w:trHeight w:val="187"/>
          <w:tblHeader/>
        </w:trPr>
        <w:tc>
          <w:tcPr>
            <w:tcW w:w="423" w:type="pct"/>
            <w:vMerge/>
            <w:tcBorders>
              <w:top w:val="nil"/>
              <w:left w:val="nil"/>
              <w:bottom w:val="single" w:sz="12" w:space="0" w:color="auto"/>
              <w:right w:val="nil"/>
            </w:tcBorders>
          </w:tcPr>
          <w:p w14:paraId="4034D962" w14:textId="77777777" w:rsidR="00007600" w:rsidRPr="00A058B6" w:rsidRDefault="00007600" w:rsidP="00007600">
            <w:pPr>
              <w:pStyle w:val="TableHeading"/>
              <w:rPr>
                <w:sz w:val="17"/>
                <w:szCs w:val="17"/>
              </w:rPr>
            </w:pPr>
          </w:p>
        </w:tc>
        <w:tc>
          <w:tcPr>
            <w:tcW w:w="507" w:type="pct"/>
            <w:tcBorders>
              <w:top w:val="single" w:sz="4" w:space="0" w:color="auto"/>
              <w:left w:val="nil"/>
              <w:bottom w:val="single" w:sz="12" w:space="0" w:color="auto"/>
              <w:right w:val="nil"/>
            </w:tcBorders>
          </w:tcPr>
          <w:p w14:paraId="5FDA1EB4" w14:textId="6BDE1ED9" w:rsidR="00007600" w:rsidRPr="0026599A" w:rsidRDefault="00007600" w:rsidP="00FE4AB9">
            <w:pPr>
              <w:pStyle w:val="TableHeading"/>
            </w:pPr>
            <w:r w:rsidRPr="0026599A">
              <w:t>2</w:t>
            </w:r>
          </w:p>
        </w:tc>
        <w:tc>
          <w:tcPr>
            <w:tcW w:w="509" w:type="pct"/>
            <w:tcBorders>
              <w:top w:val="single" w:sz="4" w:space="0" w:color="auto"/>
              <w:left w:val="nil"/>
              <w:bottom w:val="single" w:sz="12" w:space="0" w:color="auto"/>
              <w:right w:val="nil"/>
            </w:tcBorders>
          </w:tcPr>
          <w:p w14:paraId="1029C862" w14:textId="6289E660" w:rsidR="00007600" w:rsidRPr="0026599A" w:rsidRDefault="00007600" w:rsidP="00FE4AB9">
            <w:pPr>
              <w:pStyle w:val="TableHeading"/>
            </w:pPr>
            <w:r w:rsidRPr="0026599A">
              <w:t>3</w:t>
            </w:r>
          </w:p>
        </w:tc>
        <w:tc>
          <w:tcPr>
            <w:tcW w:w="509" w:type="pct"/>
            <w:tcBorders>
              <w:top w:val="single" w:sz="4" w:space="0" w:color="auto"/>
              <w:left w:val="nil"/>
              <w:bottom w:val="single" w:sz="12" w:space="0" w:color="auto"/>
              <w:right w:val="nil"/>
            </w:tcBorders>
          </w:tcPr>
          <w:p w14:paraId="45D493D1" w14:textId="7BD4167B" w:rsidR="00007600" w:rsidRPr="0026599A" w:rsidRDefault="00007600" w:rsidP="00FE4AB9">
            <w:pPr>
              <w:pStyle w:val="TableHeading"/>
            </w:pPr>
            <w:r w:rsidRPr="0026599A">
              <w:t>4</w:t>
            </w:r>
          </w:p>
        </w:tc>
        <w:tc>
          <w:tcPr>
            <w:tcW w:w="508" w:type="pct"/>
            <w:tcBorders>
              <w:top w:val="single" w:sz="4" w:space="0" w:color="auto"/>
              <w:left w:val="nil"/>
              <w:bottom w:val="single" w:sz="12" w:space="0" w:color="auto"/>
              <w:right w:val="nil"/>
            </w:tcBorders>
          </w:tcPr>
          <w:p w14:paraId="7B3CACE8" w14:textId="05000F90" w:rsidR="00007600" w:rsidRPr="0026599A" w:rsidRDefault="00007600" w:rsidP="00FE4AB9">
            <w:pPr>
              <w:pStyle w:val="TableHeading"/>
            </w:pPr>
            <w:r w:rsidRPr="0026599A">
              <w:t>5</w:t>
            </w:r>
          </w:p>
        </w:tc>
        <w:tc>
          <w:tcPr>
            <w:tcW w:w="509" w:type="pct"/>
            <w:tcBorders>
              <w:top w:val="single" w:sz="4" w:space="0" w:color="auto"/>
              <w:left w:val="nil"/>
              <w:bottom w:val="single" w:sz="12" w:space="0" w:color="auto"/>
              <w:right w:val="nil"/>
            </w:tcBorders>
          </w:tcPr>
          <w:p w14:paraId="70AA0F66" w14:textId="37457C47" w:rsidR="00007600" w:rsidRPr="0026599A" w:rsidRDefault="00007600" w:rsidP="00FE4AB9">
            <w:pPr>
              <w:pStyle w:val="TableHeading"/>
            </w:pPr>
            <w:r w:rsidRPr="0026599A">
              <w:t>6</w:t>
            </w:r>
          </w:p>
        </w:tc>
        <w:tc>
          <w:tcPr>
            <w:tcW w:w="508" w:type="pct"/>
            <w:tcBorders>
              <w:top w:val="single" w:sz="4" w:space="0" w:color="auto"/>
              <w:left w:val="nil"/>
              <w:bottom w:val="single" w:sz="12" w:space="0" w:color="auto"/>
              <w:right w:val="nil"/>
            </w:tcBorders>
          </w:tcPr>
          <w:p w14:paraId="5A39683E" w14:textId="67AD0129" w:rsidR="00007600" w:rsidRPr="0026599A" w:rsidRDefault="00007600" w:rsidP="00FE4AB9">
            <w:pPr>
              <w:pStyle w:val="TableHeading"/>
            </w:pPr>
            <w:r w:rsidRPr="0026599A">
              <w:t>7</w:t>
            </w:r>
          </w:p>
        </w:tc>
        <w:tc>
          <w:tcPr>
            <w:tcW w:w="509" w:type="pct"/>
            <w:tcBorders>
              <w:top w:val="single" w:sz="4" w:space="0" w:color="auto"/>
              <w:left w:val="nil"/>
              <w:bottom w:val="single" w:sz="12" w:space="0" w:color="auto"/>
              <w:right w:val="nil"/>
            </w:tcBorders>
          </w:tcPr>
          <w:p w14:paraId="6760FE45" w14:textId="77777777" w:rsidR="00007600" w:rsidRPr="0026599A" w:rsidRDefault="00D16B3C" w:rsidP="00007600">
            <w:pPr>
              <w:pStyle w:val="TableHeading"/>
            </w:pPr>
            <w:r>
              <w:t>8</w:t>
            </w:r>
          </w:p>
        </w:tc>
        <w:tc>
          <w:tcPr>
            <w:tcW w:w="509" w:type="pct"/>
            <w:tcBorders>
              <w:top w:val="single" w:sz="4" w:space="0" w:color="auto"/>
              <w:left w:val="nil"/>
              <w:bottom w:val="single" w:sz="12" w:space="0" w:color="auto"/>
              <w:right w:val="nil"/>
            </w:tcBorders>
          </w:tcPr>
          <w:p w14:paraId="2D8EA6C3" w14:textId="3D580084" w:rsidR="00007600" w:rsidRPr="0026599A" w:rsidRDefault="00D16B3C" w:rsidP="00FE4AB9">
            <w:pPr>
              <w:pStyle w:val="TableHeading"/>
            </w:pPr>
            <w:r>
              <w:t>9</w:t>
            </w:r>
          </w:p>
        </w:tc>
        <w:tc>
          <w:tcPr>
            <w:tcW w:w="507" w:type="pct"/>
            <w:tcBorders>
              <w:top w:val="single" w:sz="4" w:space="0" w:color="auto"/>
              <w:left w:val="nil"/>
              <w:bottom w:val="single" w:sz="12" w:space="0" w:color="auto"/>
              <w:right w:val="nil"/>
            </w:tcBorders>
          </w:tcPr>
          <w:p w14:paraId="27D7C2D1" w14:textId="744C4A49" w:rsidR="00007600" w:rsidRPr="0026599A" w:rsidRDefault="00D16B3C" w:rsidP="00FE4AB9">
            <w:pPr>
              <w:pStyle w:val="TableHeading"/>
            </w:pPr>
            <w:r>
              <w:t>10</w:t>
            </w:r>
          </w:p>
        </w:tc>
      </w:tr>
      <w:tr w:rsidR="00196507" w:rsidRPr="00A058B6" w14:paraId="2EF6C819" w14:textId="77777777" w:rsidTr="00196507">
        <w:tc>
          <w:tcPr>
            <w:tcW w:w="423" w:type="pct"/>
            <w:tcBorders>
              <w:top w:val="single" w:sz="12" w:space="0" w:color="auto"/>
              <w:left w:val="nil"/>
              <w:bottom w:val="single" w:sz="4" w:space="0" w:color="auto"/>
              <w:right w:val="nil"/>
            </w:tcBorders>
          </w:tcPr>
          <w:p w14:paraId="5506123E" w14:textId="77777777" w:rsidR="00196507" w:rsidRPr="00A058B6" w:rsidRDefault="00196507" w:rsidP="00196507">
            <w:pPr>
              <w:pStyle w:val="Tabletext"/>
            </w:pPr>
            <w:r w:rsidRPr="00A058B6">
              <w:t>0</w:t>
            </w:r>
          </w:p>
        </w:tc>
        <w:tc>
          <w:tcPr>
            <w:tcW w:w="507" w:type="pct"/>
            <w:tcBorders>
              <w:top w:val="single" w:sz="12" w:space="0" w:color="auto"/>
              <w:left w:val="nil"/>
              <w:bottom w:val="single" w:sz="4" w:space="0" w:color="auto"/>
              <w:right w:val="nil"/>
            </w:tcBorders>
            <w:shd w:val="clear" w:color="auto" w:fill="auto"/>
            <w:vAlign w:val="bottom"/>
          </w:tcPr>
          <w:p w14:paraId="64F6B4A8" w14:textId="77777777" w:rsidR="00196507" w:rsidRPr="00DF2EC8" w:rsidRDefault="00196507" w:rsidP="00196507">
            <w:pPr>
              <w:pStyle w:val="Tabletext"/>
            </w:pPr>
            <w:r w:rsidRPr="00DF2EC8">
              <w:t>1</w:t>
            </w:r>
            <w:r w:rsidR="00D7157D">
              <w:t>.</w:t>
            </w:r>
            <w:r w:rsidRPr="00DF2EC8">
              <w:t>0000</w:t>
            </w:r>
          </w:p>
        </w:tc>
        <w:tc>
          <w:tcPr>
            <w:tcW w:w="509" w:type="pct"/>
            <w:tcBorders>
              <w:top w:val="single" w:sz="12" w:space="0" w:color="auto"/>
              <w:left w:val="nil"/>
              <w:bottom w:val="single" w:sz="4" w:space="0" w:color="auto"/>
              <w:right w:val="nil"/>
            </w:tcBorders>
            <w:shd w:val="clear" w:color="auto" w:fill="auto"/>
            <w:vAlign w:val="bottom"/>
          </w:tcPr>
          <w:p w14:paraId="677D6C97" w14:textId="77777777" w:rsidR="00196507" w:rsidRPr="00DF2EC8" w:rsidRDefault="00196507" w:rsidP="00196507">
            <w:pPr>
              <w:pStyle w:val="Tabletext"/>
            </w:pPr>
            <w:r w:rsidRPr="00DF2EC8">
              <w:t>1</w:t>
            </w:r>
            <w:r w:rsidR="00D7157D">
              <w:t>.</w:t>
            </w:r>
            <w:r w:rsidRPr="00DF2EC8">
              <w:t>0000</w:t>
            </w:r>
          </w:p>
        </w:tc>
        <w:tc>
          <w:tcPr>
            <w:tcW w:w="509" w:type="pct"/>
            <w:tcBorders>
              <w:top w:val="single" w:sz="12" w:space="0" w:color="auto"/>
              <w:left w:val="nil"/>
              <w:bottom w:val="single" w:sz="4" w:space="0" w:color="auto"/>
              <w:right w:val="nil"/>
            </w:tcBorders>
            <w:shd w:val="clear" w:color="auto" w:fill="auto"/>
            <w:vAlign w:val="bottom"/>
          </w:tcPr>
          <w:p w14:paraId="51BBDBB5" w14:textId="77777777" w:rsidR="00196507" w:rsidRPr="00DF2EC8" w:rsidRDefault="00196507" w:rsidP="00196507">
            <w:pPr>
              <w:pStyle w:val="Tabletext"/>
            </w:pPr>
            <w:r w:rsidRPr="00DF2EC8">
              <w:t>1</w:t>
            </w:r>
            <w:r w:rsidR="00D7157D">
              <w:t>.</w:t>
            </w:r>
            <w:r w:rsidRPr="00DF2EC8">
              <w:t>0000</w:t>
            </w:r>
          </w:p>
        </w:tc>
        <w:tc>
          <w:tcPr>
            <w:tcW w:w="508" w:type="pct"/>
            <w:tcBorders>
              <w:top w:val="single" w:sz="12" w:space="0" w:color="auto"/>
              <w:left w:val="nil"/>
              <w:bottom w:val="single" w:sz="4" w:space="0" w:color="auto"/>
              <w:right w:val="nil"/>
            </w:tcBorders>
            <w:shd w:val="clear" w:color="auto" w:fill="auto"/>
            <w:vAlign w:val="bottom"/>
          </w:tcPr>
          <w:p w14:paraId="2EE89C73" w14:textId="77777777" w:rsidR="00196507" w:rsidRPr="00DF7DF8" w:rsidRDefault="00196507" w:rsidP="00196507">
            <w:pPr>
              <w:pStyle w:val="Tabletext"/>
            </w:pPr>
            <w:r w:rsidRPr="00DF7DF8">
              <w:t>1</w:t>
            </w:r>
            <w:r w:rsidR="00D7157D">
              <w:t>.</w:t>
            </w:r>
            <w:r w:rsidRPr="00DF7DF8">
              <w:t>0000</w:t>
            </w:r>
          </w:p>
        </w:tc>
        <w:tc>
          <w:tcPr>
            <w:tcW w:w="509" w:type="pct"/>
            <w:tcBorders>
              <w:top w:val="single" w:sz="12" w:space="0" w:color="auto"/>
              <w:left w:val="nil"/>
              <w:bottom w:val="single" w:sz="4" w:space="0" w:color="auto"/>
              <w:right w:val="nil"/>
            </w:tcBorders>
            <w:shd w:val="clear" w:color="auto" w:fill="auto"/>
            <w:vAlign w:val="bottom"/>
          </w:tcPr>
          <w:p w14:paraId="2CC6BE9F" w14:textId="77777777" w:rsidR="00196507" w:rsidRPr="00DF7DF8" w:rsidRDefault="00196507" w:rsidP="00196507">
            <w:pPr>
              <w:pStyle w:val="Tabletext"/>
            </w:pPr>
            <w:r w:rsidRPr="00DF7DF8">
              <w:t>1</w:t>
            </w:r>
            <w:r w:rsidR="00D7157D">
              <w:t>.</w:t>
            </w:r>
            <w:r w:rsidRPr="00DF7DF8">
              <w:t>0000</w:t>
            </w:r>
          </w:p>
        </w:tc>
        <w:tc>
          <w:tcPr>
            <w:tcW w:w="508" w:type="pct"/>
            <w:tcBorders>
              <w:top w:val="single" w:sz="12" w:space="0" w:color="auto"/>
              <w:left w:val="nil"/>
              <w:bottom w:val="single" w:sz="4" w:space="0" w:color="auto"/>
              <w:right w:val="nil"/>
            </w:tcBorders>
            <w:shd w:val="clear" w:color="auto" w:fill="auto"/>
            <w:vAlign w:val="bottom"/>
          </w:tcPr>
          <w:p w14:paraId="5F8BA13E" w14:textId="77777777" w:rsidR="00196507" w:rsidRPr="006F111C" w:rsidRDefault="00196507" w:rsidP="00196507">
            <w:pPr>
              <w:pStyle w:val="Tabletext"/>
            </w:pPr>
            <w:r w:rsidRPr="006F111C">
              <w:t>1</w:t>
            </w:r>
            <w:r w:rsidR="00D7157D">
              <w:t>.</w:t>
            </w:r>
            <w:r w:rsidRPr="006F111C">
              <w:t>0000</w:t>
            </w:r>
          </w:p>
        </w:tc>
        <w:tc>
          <w:tcPr>
            <w:tcW w:w="509" w:type="pct"/>
            <w:tcBorders>
              <w:top w:val="single" w:sz="12" w:space="0" w:color="auto"/>
              <w:left w:val="nil"/>
              <w:bottom w:val="single" w:sz="4" w:space="0" w:color="auto"/>
              <w:right w:val="nil"/>
            </w:tcBorders>
            <w:vAlign w:val="bottom"/>
          </w:tcPr>
          <w:p w14:paraId="0AB5AC4E"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0000</w:t>
            </w:r>
          </w:p>
        </w:tc>
        <w:tc>
          <w:tcPr>
            <w:tcW w:w="509" w:type="pct"/>
            <w:tcBorders>
              <w:top w:val="single" w:sz="12" w:space="0" w:color="auto"/>
              <w:left w:val="nil"/>
              <w:bottom w:val="single" w:sz="4" w:space="0" w:color="auto"/>
              <w:right w:val="nil"/>
            </w:tcBorders>
            <w:shd w:val="clear" w:color="auto" w:fill="auto"/>
            <w:vAlign w:val="bottom"/>
          </w:tcPr>
          <w:p w14:paraId="769FEB93" w14:textId="77777777" w:rsidR="00196507" w:rsidRPr="00DF2EC8" w:rsidRDefault="00196507" w:rsidP="00196507">
            <w:pPr>
              <w:pStyle w:val="Tabletext"/>
            </w:pPr>
            <w:r w:rsidRPr="00DF2EC8">
              <w:t>1</w:t>
            </w:r>
            <w:r w:rsidR="00D7157D">
              <w:t>.</w:t>
            </w:r>
            <w:r w:rsidRPr="00DF2EC8">
              <w:t>0000</w:t>
            </w:r>
          </w:p>
        </w:tc>
        <w:tc>
          <w:tcPr>
            <w:tcW w:w="507" w:type="pct"/>
            <w:tcBorders>
              <w:top w:val="single" w:sz="12" w:space="0" w:color="auto"/>
              <w:left w:val="nil"/>
              <w:bottom w:val="single" w:sz="4" w:space="0" w:color="auto"/>
              <w:right w:val="nil"/>
            </w:tcBorders>
            <w:shd w:val="clear" w:color="auto" w:fill="auto"/>
            <w:vAlign w:val="bottom"/>
          </w:tcPr>
          <w:p w14:paraId="701D4BED" w14:textId="77777777" w:rsidR="00196507" w:rsidRPr="00DF2EC8" w:rsidRDefault="00196507" w:rsidP="00196507">
            <w:pPr>
              <w:pStyle w:val="Tabletext"/>
            </w:pPr>
            <w:r w:rsidRPr="00DF2EC8">
              <w:t>1</w:t>
            </w:r>
            <w:r w:rsidR="00D7157D">
              <w:t>.</w:t>
            </w:r>
            <w:r w:rsidRPr="00DF2EC8">
              <w:t>0000</w:t>
            </w:r>
          </w:p>
        </w:tc>
      </w:tr>
      <w:tr w:rsidR="00196507" w:rsidRPr="00A058B6" w14:paraId="12D25088" w14:textId="77777777" w:rsidTr="00196507">
        <w:tc>
          <w:tcPr>
            <w:tcW w:w="423" w:type="pct"/>
            <w:tcBorders>
              <w:top w:val="single" w:sz="4" w:space="0" w:color="auto"/>
              <w:left w:val="nil"/>
              <w:bottom w:val="single" w:sz="4" w:space="0" w:color="auto"/>
              <w:right w:val="nil"/>
            </w:tcBorders>
          </w:tcPr>
          <w:p w14:paraId="4C672A71" w14:textId="77777777" w:rsidR="00196507" w:rsidRPr="00A058B6" w:rsidRDefault="00196507" w:rsidP="00196507">
            <w:pPr>
              <w:pStyle w:val="Tabletext"/>
            </w:pPr>
            <w:r>
              <w:t>1</w:t>
            </w:r>
          </w:p>
        </w:tc>
        <w:tc>
          <w:tcPr>
            <w:tcW w:w="507" w:type="pct"/>
            <w:tcBorders>
              <w:top w:val="single" w:sz="4" w:space="0" w:color="auto"/>
              <w:left w:val="nil"/>
              <w:bottom w:val="single" w:sz="4" w:space="0" w:color="auto"/>
              <w:right w:val="nil"/>
            </w:tcBorders>
            <w:shd w:val="clear" w:color="auto" w:fill="auto"/>
            <w:vAlign w:val="bottom"/>
          </w:tcPr>
          <w:p w14:paraId="2CD41635" w14:textId="77777777" w:rsidR="00196507" w:rsidRPr="00DF2EC8" w:rsidRDefault="00196507" w:rsidP="00196507">
            <w:pPr>
              <w:pStyle w:val="Tabletext"/>
            </w:pPr>
            <w:r w:rsidRPr="00DF2EC8">
              <w:t>0</w:t>
            </w:r>
            <w:r w:rsidR="00D7157D">
              <w:t>.</w:t>
            </w:r>
            <w:r w:rsidRPr="00DF2EC8">
              <w:t>9434</w:t>
            </w:r>
          </w:p>
        </w:tc>
        <w:tc>
          <w:tcPr>
            <w:tcW w:w="509" w:type="pct"/>
            <w:tcBorders>
              <w:top w:val="single" w:sz="4" w:space="0" w:color="auto"/>
              <w:left w:val="nil"/>
              <w:bottom w:val="single" w:sz="4" w:space="0" w:color="auto"/>
              <w:right w:val="nil"/>
            </w:tcBorders>
            <w:shd w:val="clear" w:color="auto" w:fill="auto"/>
            <w:vAlign w:val="bottom"/>
          </w:tcPr>
          <w:p w14:paraId="5F64AAF8" w14:textId="77777777" w:rsidR="00196507" w:rsidRPr="00DF2EC8" w:rsidRDefault="00196507" w:rsidP="00196507">
            <w:pPr>
              <w:pStyle w:val="Tabletext"/>
            </w:pPr>
            <w:r w:rsidRPr="00DF2EC8">
              <w:t>0</w:t>
            </w:r>
            <w:r w:rsidR="00D7157D">
              <w:t>.</w:t>
            </w:r>
            <w:r w:rsidRPr="00DF2EC8">
              <w:t>9660</w:t>
            </w:r>
          </w:p>
        </w:tc>
        <w:tc>
          <w:tcPr>
            <w:tcW w:w="509" w:type="pct"/>
            <w:tcBorders>
              <w:top w:val="single" w:sz="4" w:space="0" w:color="auto"/>
              <w:left w:val="nil"/>
              <w:bottom w:val="single" w:sz="4" w:space="0" w:color="auto"/>
              <w:right w:val="nil"/>
            </w:tcBorders>
            <w:shd w:val="clear" w:color="auto" w:fill="auto"/>
            <w:vAlign w:val="bottom"/>
          </w:tcPr>
          <w:p w14:paraId="33FFE361" w14:textId="77777777" w:rsidR="00196507" w:rsidRPr="00DF2EC8" w:rsidRDefault="00196507" w:rsidP="00196507">
            <w:pPr>
              <w:pStyle w:val="Tabletext"/>
            </w:pPr>
            <w:r w:rsidRPr="00DF2EC8">
              <w:t>0</w:t>
            </w:r>
            <w:r w:rsidR="00D7157D">
              <w:t>.</w:t>
            </w:r>
            <w:r w:rsidRPr="00DF2EC8">
              <w:t>9670</w:t>
            </w:r>
          </w:p>
        </w:tc>
        <w:tc>
          <w:tcPr>
            <w:tcW w:w="508" w:type="pct"/>
            <w:tcBorders>
              <w:top w:val="single" w:sz="4" w:space="0" w:color="auto"/>
              <w:left w:val="nil"/>
              <w:bottom w:val="single" w:sz="4" w:space="0" w:color="auto"/>
              <w:right w:val="nil"/>
            </w:tcBorders>
            <w:shd w:val="clear" w:color="auto" w:fill="auto"/>
            <w:vAlign w:val="bottom"/>
          </w:tcPr>
          <w:p w14:paraId="7AC2E0AB" w14:textId="77777777" w:rsidR="00196507" w:rsidRPr="00DF7DF8" w:rsidRDefault="00196507" w:rsidP="00196507">
            <w:pPr>
              <w:pStyle w:val="Tabletext"/>
            </w:pPr>
            <w:r w:rsidRPr="00DF7DF8">
              <w:t>0</w:t>
            </w:r>
            <w:r w:rsidR="00D7157D">
              <w:t>.</w:t>
            </w:r>
            <w:r w:rsidRPr="00DF7DF8">
              <w:t>9745</w:t>
            </w:r>
          </w:p>
        </w:tc>
        <w:tc>
          <w:tcPr>
            <w:tcW w:w="509" w:type="pct"/>
            <w:tcBorders>
              <w:top w:val="single" w:sz="4" w:space="0" w:color="auto"/>
              <w:left w:val="nil"/>
              <w:bottom w:val="single" w:sz="4" w:space="0" w:color="auto"/>
              <w:right w:val="nil"/>
            </w:tcBorders>
            <w:shd w:val="clear" w:color="auto" w:fill="auto"/>
            <w:vAlign w:val="bottom"/>
          </w:tcPr>
          <w:p w14:paraId="2131F78F" w14:textId="77777777" w:rsidR="00196507" w:rsidRPr="00DF7DF8" w:rsidRDefault="00196507" w:rsidP="00196507">
            <w:pPr>
              <w:pStyle w:val="Tabletext"/>
            </w:pPr>
            <w:r w:rsidRPr="00DF7DF8">
              <w:t>0</w:t>
            </w:r>
            <w:r w:rsidR="00D7157D">
              <w:t>.</w:t>
            </w:r>
            <w:r w:rsidRPr="00DF7DF8">
              <w:t>9764</w:t>
            </w:r>
          </w:p>
        </w:tc>
        <w:tc>
          <w:tcPr>
            <w:tcW w:w="508" w:type="pct"/>
            <w:tcBorders>
              <w:top w:val="single" w:sz="4" w:space="0" w:color="auto"/>
              <w:left w:val="nil"/>
              <w:bottom w:val="single" w:sz="4" w:space="0" w:color="auto"/>
              <w:right w:val="nil"/>
            </w:tcBorders>
            <w:shd w:val="clear" w:color="auto" w:fill="auto"/>
            <w:vAlign w:val="bottom"/>
          </w:tcPr>
          <w:p w14:paraId="14F2F11C" w14:textId="77777777" w:rsidR="00196507" w:rsidRPr="006F111C" w:rsidRDefault="00196507" w:rsidP="00196507">
            <w:pPr>
              <w:pStyle w:val="Tabletext"/>
            </w:pPr>
            <w:r w:rsidRPr="006F111C">
              <w:t>0</w:t>
            </w:r>
            <w:r w:rsidR="00D7157D">
              <w:t>.</w:t>
            </w:r>
            <w:r w:rsidRPr="006F111C">
              <w:t>9717</w:t>
            </w:r>
          </w:p>
        </w:tc>
        <w:tc>
          <w:tcPr>
            <w:tcW w:w="509" w:type="pct"/>
            <w:tcBorders>
              <w:top w:val="single" w:sz="4" w:space="0" w:color="auto"/>
              <w:left w:val="nil"/>
              <w:bottom w:val="single" w:sz="4" w:space="0" w:color="auto"/>
              <w:right w:val="nil"/>
            </w:tcBorders>
            <w:vAlign w:val="bottom"/>
          </w:tcPr>
          <w:p w14:paraId="47186F93"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9788</w:t>
            </w:r>
          </w:p>
        </w:tc>
        <w:tc>
          <w:tcPr>
            <w:tcW w:w="509" w:type="pct"/>
            <w:tcBorders>
              <w:top w:val="single" w:sz="4" w:space="0" w:color="auto"/>
              <w:left w:val="nil"/>
              <w:bottom w:val="single" w:sz="4" w:space="0" w:color="auto"/>
              <w:right w:val="nil"/>
            </w:tcBorders>
            <w:shd w:val="clear" w:color="auto" w:fill="auto"/>
            <w:vAlign w:val="bottom"/>
          </w:tcPr>
          <w:p w14:paraId="0F7D4148" w14:textId="77777777" w:rsidR="00196507" w:rsidRPr="00DF2EC8" w:rsidRDefault="00196507" w:rsidP="00196507">
            <w:pPr>
              <w:pStyle w:val="Tabletext"/>
            </w:pPr>
            <w:r w:rsidRPr="00DF2EC8">
              <w:t>0</w:t>
            </w:r>
            <w:r w:rsidR="00D7157D">
              <w:t>.</w:t>
            </w:r>
            <w:r w:rsidRPr="00DF2EC8">
              <w:t>9811</w:t>
            </w:r>
          </w:p>
        </w:tc>
        <w:tc>
          <w:tcPr>
            <w:tcW w:w="507" w:type="pct"/>
            <w:tcBorders>
              <w:top w:val="single" w:sz="4" w:space="0" w:color="auto"/>
              <w:left w:val="nil"/>
              <w:bottom w:val="single" w:sz="4" w:space="0" w:color="auto"/>
              <w:right w:val="nil"/>
            </w:tcBorders>
            <w:shd w:val="clear" w:color="auto" w:fill="auto"/>
            <w:vAlign w:val="bottom"/>
          </w:tcPr>
          <w:p w14:paraId="533E29B1" w14:textId="77777777" w:rsidR="00196507" w:rsidRPr="00DF2EC8" w:rsidRDefault="00196507" w:rsidP="00196507">
            <w:pPr>
              <w:pStyle w:val="Tabletext"/>
            </w:pPr>
            <w:r w:rsidRPr="00DF2EC8">
              <w:t>0</w:t>
            </w:r>
            <w:r w:rsidR="00D7157D">
              <w:t>.</w:t>
            </w:r>
            <w:r w:rsidRPr="00DF2EC8">
              <w:t>9906</w:t>
            </w:r>
          </w:p>
        </w:tc>
      </w:tr>
      <w:tr w:rsidR="00196507" w:rsidRPr="00A058B6" w14:paraId="3D4485C7" w14:textId="77777777" w:rsidTr="00196507">
        <w:tc>
          <w:tcPr>
            <w:tcW w:w="423" w:type="pct"/>
            <w:tcBorders>
              <w:top w:val="single" w:sz="4" w:space="0" w:color="auto"/>
              <w:left w:val="nil"/>
              <w:bottom w:val="single" w:sz="4" w:space="0" w:color="auto"/>
              <w:right w:val="nil"/>
            </w:tcBorders>
          </w:tcPr>
          <w:p w14:paraId="29683418" w14:textId="77777777" w:rsidR="00196507" w:rsidRPr="00A058B6" w:rsidRDefault="00196507" w:rsidP="00196507">
            <w:pPr>
              <w:pStyle w:val="Tabletext"/>
            </w:pPr>
            <w:r>
              <w:t>2</w:t>
            </w:r>
          </w:p>
        </w:tc>
        <w:tc>
          <w:tcPr>
            <w:tcW w:w="507" w:type="pct"/>
            <w:tcBorders>
              <w:top w:val="single" w:sz="4" w:space="0" w:color="auto"/>
              <w:left w:val="nil"/>
              <w:bottom w:val="single" w:sz="4" w:space="0" w:color="auto"/>
              <w:right w:val="nil"/>
            </w:tcBorders>
            <w:shd w:val="clear" w:color="auto" w:fill="auto"/>
            <w:vAlign w:val="bottom"/>
          </w:tcPr>
          <w:p w14:paraId="1DA34986" w14:textId="77777777" w:rsidR="00196507" w:rsidRPr="00DF2EC8" w:rsidRDefault="00196507" w:rsidP="00196507">
            <w:pPr>
              <w:pStyle w:val="Tabletext"/>
            </w:pPr>
            <w:r w:rsidRPr="00DF2EC8">
              <w:t>0</w:t>
            </w:r>
            <w:r w:rsidR="00D7157D">
              <w:t>.</w:t>
            </w:r>
            <w:r w:rsidRPr="00DF2EC8">
              <w:t>8900</w:t>
            </w:r>
          </w:p>
        </w:tc>
        <w:tc>
          <w:tcPr>
            <w:tcW w:w="509" w:type="pct"/>
            <w:tcBorders>
              <w:top w:val="single" w:sz="4" w:space="0" w:color="auto"/>
              <w:left w:val="nil"/>
              <w:bottom w:val="single" w:sz="4" w:space="0" w:color="auto"/>
              <w:right w:val="nil"/>
            </w:tcBorders>
            <w:shd w:val="clear" w:color="auto" w:fill="auto"/>
            <w:vAlign w:val="bottom"/>
          </w:tcPr>
          <w:p w14:paraId="1C485420" w14:textId="77777777" w:rsidR="00196507" w:rsidRPr="00DF2EC8" w:rsidRDefault="00196507" w:rsidP="00196507">
            <w:pPr>
              <w:pStyle w:val="Tabletext"/>
            </w:pPr>
            <w:r w:rsidRPr="00DF2EC8">
              <w:t>0</w:t>
            </w:r>
            <w:r w:rsidR="00D7157D">
              <w:t>.</w:t>
            </w:r>
            <w:r w:rsidRPr="00DF2EC8">
              <w:t>9332</w:t>
            </w:r>
          </w:p>
        </w:tc>
        <w:tc>
          <w:tcPr>
            <w:tcW w:w="509" w:type="pct"/>
            <w:tcBorders>
              <w:top w:val="single" w:sz="4" w:space="0" w:color="auto"/>
              <w:left w:val="nil"/>
              <w:bottom w:val="single" w:sz="4" w:space="0" w:color="auto"/>
              <w:right w:val="nil"/>
            </w:tcBorders>
            <w:shd w:val="clear" w:color="auto" w:fill="auto"/>
            <w:vAlign w:val="bottom"/>
          </w:tcPr>
          <w:p w14:paraId="1DD01D2E" w14:textId="77777777" w:rsidR="00196507" w:rsidRPr="00DF2EC8" w:rsidRDefault="00196507" w:rsidP="00196507">
            <w:pPr>
              <w:pStyle w:val="Tabletext"/>
            </w:pPr>
            <w:r w:rsidRPr="00DF2EC8">
              <w:t>0</w:t>
            </w:r>
            <w:r w:rsidR="00D7157D">
              <w:t>.</w:t>
            </w:r>
            <w:r w:rsidRPr="00DF2EC8">
              <w:t>9351</w:t>
            </w:r>
          </w:p>
        </w:tc>
        <w:tc>
          <w:tcPr>
            <w:tcW w:w="508" w:type="pct"/>
            <w:tcBorders>
              <w:top w:val="single" w:sz="4" w:space="0" w:color="auto"/>
              <w:left w:val="nil"/>
              <w:bottom w:val="single" w:sz="4" w:space="0" w:color="auto"/>
              <w:right w:val="nil"/>
            </w:tcBorders>
            <w:shd w:val="clear" w:color="auto" w:fill="auto"/>
            <w:vAlign w:val="bottom"/>
          </w:tcPr>
          <w:p w14:paraId="53FC211C" w14:textId="77777777" w:rsidR="00196507" w:rsidRPr="00DF7DF8" w:rsidRDefault="00196507" w:rsidP="00196507">
            <w:pPr>
              <w:pStyle w:val="Tabletext"/>
            </w:pPr>
            <w:r w:rsidRPr="00DF7DF8">
              <w:t>0</w:t>
            </w:r>
            <w:r w:rsidR="00D7157D">
              <w:t>.</w:t>
            </w:r>
            <w:r w:rsidRPr="00DF7DF8">
              <w:t>9497</w:t>
            </w:r>
          </w:p>
        </w:tc>
        <w:tc>
          <w:tcPr>
            <w:tcW w:w="509" w:type="pct"/>
            <w:tcBorders>
              <w:top w:val="single" w:sz="4" w:space="0" w:color="auto"/>
              <w:left w:val="nil"/>
              <w:bottom w:val="single" w:sz="4" w:space="0" w:color="auto"/>
              <w:right w:val="nil"/>
            </w:tcBorders>
            <w:shd w:val="clear" w:color="auto" w:fill="auto"/>
            <w:vAlign w:val="bottom"/>
          </w:tcPr>
          <w:p w14:paraId="0A8F203E" w14:textId="77777777" w:rsidR="00196507" w:rsidRPr="00DF7DF8" w:rsidRDefault="00196507" w:rsidP="00196507">
            <w:pPr>
              <w:pStyle w:val="Tabletext"/>
            </w:pPr>
            <w:r w:rsidRPr="00DF7DF8">
              <w:t>0</w:t>
            </w:r>
            <w:r w:rsidR="00D7157D">
              <w:t>.</w:t>
            </w:r>
            <w:r w:rsidRPr="00DF7DF8">
              <w:t>9534</w:t>
            </w:r>
          </w:p>
        </w:tc>
        <w:tc>
          <w:tcPr>
            <w:tcW w:w="508" w:type="pct"/>
            <w:tcBorders>
              <w:top w:val="single" w:sz="4" w:space="0" w:color="auto"/>
              <w:left w:val="nil"/>
              <w:bottom w:val="single" w:sz="4" w:space="0" w:color="auto"/>
              <w:right w:val="nil"/>
            </w:tcBorders>
            <w:shd w:val="clear" w:color="auto" w:fill="auto"/>
            <w:vAlign w:val="bottom"/>
          </w:tcPr>
          <w:p w14:paraId="2FD4A1AC" w14:textId="77777777" w:rsidR="00196507" w:rsidRPr="006F111C" w:rsidRDefault="00196507" w:rsidP="00196507">
            <w:pPr>
              <w:pStyle w:val="Tabletext"/>
            </w:pPr>
            <w:r w:rsidRPr="006F111C">
              <w:t>0</w:t>
            </w:r>
            <w:r w:rsidR="00D7157D">
              <w:t>.</w:t>
            </w:r>
            <w:r w:rsidRPr="006F111C">
              <w:t>9442</w:t>
            </w:r>
          </w:p>
        </w:tc>
        <w:tc>
          <w:tcPr>
            <w:tcW w:w="509" w:type="pct"/>
            <w:tcBorders>
              <w:top w:val="single" w:sz="4" w:space="0" w:color="auto"/>
              <w:left w:val="nil"/>
              <w:bottom w:val="single" w:sz="4" w:space="0" w:color="auto"/>
              <w:right w:val="nil"/>
            </w:tcBorders>
            <w:vAlign w:val="bottom"/>
          </w:tcPr>
          <w:p w14:paraId="0B4B115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9580</w:t>
            </w:r>
          </w:p>
        </w:tc>
        <w:tc>
          <w:tcPr>
            <w:tcW w:w="509" w:type="pct"/>
            <w:tcBorders>
              <w:top w:val="single" w:sz="4" w:space="0" w:color="auto"/>
              <w:left w:val="nil"/>
              <w:bottom w:val="single" w:sz="4" w:space="0" w:color="auto"/>
              <w:right w:val="nil"/>
            </w:tcBorders>
            <w:shd w:val="clear" w:color="auto" w:fill="auto"/>
            <w:vAlign w:val="bottom"/>
          </w:tcPr>
          <w:p w14:paraId="59E4DF84" w14:textId="77777777" w:rsidR="00196507" w:rsidRPr="00DF2EC8" w:rsidRDefault="00196507" w:rsidP="00196507">
            <w:pPr>
              <w:pStyle w:val="Tabletext"/>
            </w:pPr>
            <w:r w:rsidRPr="00DF2EC8">
              <w:t>0</w:t>
            </w:r>
            <w:r w:rsidR="00D7157D">
              <w:t>.</w:t>
            </w:r>
            <w:r w:rsidRPr="00DF2EC8">
              <w:t>9626</w:t>
            </w:r>
          </w:p>
        </w:tc>
        <w:tc>
          <w:tcPr>
            <w:tcW w:w="507" w:type="pct"/>
            <w:tcBorders>
              <w:top w:val="single" w:sz="4" w:space="0" w:color="auto"/>
              <w:left w:val="nil"/>
              <w:bottom w:val="single" w:sz="4" w:space="0" w:color="auto"/>
              <w:right w:val="nil"/>
            </w:tcBorders>
            <w:shd w:val="clear" w:color="auto" w:fill="auto"/>
            <w:vAlign w:val="bottom"/>
          </w:tcPr>
          <w:p w14:paraId="3C5FAB89" w14:textId="77777777" w:rsidR="00196507" w:rsidRPr="00DF2EC8" w:rsidRDefault="00196507" w:rsidP="00196507">
            <w:pPr>
              <w:pStyle w:val="Tabletext"/>
            </w:pPr>
            <w:r w:rsidRPr="00DF2EC8">
              <w:t>0</w:t>
            </w:r>
            <w:r w:rsidR="00D7157D">
              <w:t>.</w:t>
            </w:r>
            <w:r w:rsidRPr="00DF2EC8">
              <w:t>9812</w:t>
            </w:r>
          </w:p>
        </w:tc>
      </w:tr>
      <w:tr w:rsidR="00196507" w:rsidRPr="00A058B6" w14:paraId="131A8311" w14:textId="77777777" w:rsidTr="00196507">
        <w:tc>
          <w:tcPr>
            <w:tcW w:w="423" w:type="pct"/>
            <w:tcBorders>
              <w:top w:val="single" w:sz="4" w:space="0" w:color="auto"/>
              <w:left w:val="nil"/>
              <w:bottom w:val="single" w:sz="4" w:space="0" w:color="auto"/>
              <w:right w:val="nil"/>
            </w:tcBorders>
          </w:tcPr>
          <w:p w14:paraId="08CD096D" w14:textId="77777777" w:rsidR="00196507" w:rsidRPr="00A058B6" w:rsidRDefault="00196507" w:rsidP="00196507">
            <w:pPr>
              <w:pStyle w:val="Tabletext"/>
            </w:pPr>
            <w:r>
              <w:t>3</w:t>
            </w:r>
          </w:p>
        </w:tc>
        <w:tc>
          <w:tcPr>
            <w:tcW w:w="507" w:type="pct"/>
            <w:tcBorders>
              <w:top w:val="single" w:sz="4" w:space="0" w:color="auto"/>
              <w:left w:val="nil"/>
              <w:bottom w:val="single" w:sz="4" w:space="0" w:color="auto"/>
              <w:right w:val="nil"/>
            </w:tcBorders>
            <w:shd w:val="clear" w:color="auto" w:fill="auto"/>
            <w:vAlign w:val="bottom"/>
          </w:tcPr>
          <w:p w14:paraId="3CEF3DD1" w14:textId="77777777" w:rsidR="00196507" w:rsidRPr="00DF2EC8" w:rsidRDefault="00196507" w:rsidP="00196507">
            <w:pPr>
              <w:pStyle w:val="Tabletext"/>
            </w:pPr>
            <w:r w:rsidRPr="00DF2EC8">
              <w:t>0</w:t>
            </w:r>
            <w:r w:rsidR="00D7157D">
              <w:t>.</w:t>
            </w:r>
            <w:r w:rsidRPr="00DF2EC8">
              <w:t>8396</w:t>
            </w:r>
          </w:p>
        </w:tc>
        <w:tc>
          <w:tcPr>
            <w:tcW w:w="509" w:type="pct"/>
            <w:tcBorders>
              <w:top w:val="single" w:sz="4" w:space="0" w:color="auto"/>
              <w:left w:val="nil"/>
              <w:bottom w:val="single" w:sz="4" w:space="0" w:color="auto"/>
              <w:right w:val="nil"/>
            </w:tcBorders>
            <w:shd w:val="clear" w:color="auto" w:fill="auto"/>
            <w:vAlign w:val="bottom"/>
          </w:tcPr>
          <w:p w14:paraId="41233CA3" w14:textId="77777777" w:rsidR="00196507" w:rsidRPr="00DF2EC8" w:rsidRDefault="00196507" w:rsidP="00196507">
            <w:pPr>
              <w:pStyle w:val="Tabletext"/>
            </w:pPr>
            <w:r w:rsidRPr="00DF2EC8">
              <w:t>0</w:t>
            </w:r>
            <w:r w:rsidR="00D7157D">
              <w:t>.</w:t>
            </w:r>
            <w:r w:rsidRPr="00DF2EC8">
              <w:t>9015</w:t>
            </w:r>
          </w:p>
        </w:tc>
        <w:tc>
          <w:tcPr>
            <w:tcW w:w="509" w:type="pct"/>
            <w:tcBorders>
              <w:top w:val="single" w:sz="4" w:space="0" w:color="auto"/>
              <w:left w:val="nil"/>
              <w:bottom w:val="single" w:sz="4" w:space="0" w:color="auto"/>
              <w:right w:val="nil"/>
            </w:tcBorders>
            <w:shd w:val="clear" w:color="auto" w:fill="auto"/>
            <w:vAlign w:val="bottom"/>
          </w:tcPr>
          <w:p w14:paraId="7FDA1E84" w14:textId="77777777" w:rsidR="00196507" w:rsidRPr="00DF2EC8" w:rsidRDefault="00196507" w:rsidP="00196507">
            <w:pPr>
              <w:pStyle w:val="Tabletext"/>
            </w:pPr>
            <w:r w:rsidRPr="00DF2EC8">
              <w:t>0</w:t>
            </w:r>
            <w:r w:rsidR="00D7157D">
              <w:t>.</w:t>
            </w:r>
            <w:r w:rsidRPr="00DF2EC8">
              <w:t>9042</w:t>
            </w:r>
          </w:p>
        </w:tc>
        <w:tc>
          <w:tcPr>
            <w:tcW w:w="508" w:type="pct"/>
            <w:tcBorders>
              <w:top w:val="single" w:sz="4" w:space="0" w:color="auto"/>
              <w:left w:val="nil"/>
              <w:bottom w:val="single" w:sz="4" w:space="0" w:color="auto"/>
              <w:right w:val="nil"/>
            </w:tcBorders>
            <w:shd w:val="clear" w:color="auto" w:fill="auto"/>
            <w:vAlign w:val="bottom"/>
          </w:tcPr>
          <w:p w14:paraId="6DD19DF8" w14:textId="77777777" w:rsidR="00196507" w:rsidRPr="00DF7DF8" w:rsidRDefault="00196507" w:rsidP="00196507">
            <w:pPr>
              <w:pStyle w:val="Tabletext"/>
            </w:pPr>
            <w:r w:rsidRPr="00DF7DF8">
              <w:t>0</w:t>
            </w:r>
            <w:r w:rsidR="00D7157D">
              <w:t>.</w:t>
            </w:r>
            <w:r w:rsidRPr="00DF7DF8">
              <w:t>9255</w:t>
            </w:r>
          </w:p>
        </w:tc>
        <w:tc>
          <w:tcPr>
            <w:tcW w:w="509" w:type="pct"/>
            <w:tcBorders>
              <w:top w:val="single" w:sz="4" w:space="0" w:color="auto"/>
              <w:left w:val="nil"/>
              <w:bottom w:val="single" w:sz="4" w:space="0" w:color="auto"/>
              <w:right w:val="nil"/>
            </w:tcBorders>
            <w:shd w:val="clear" w:color="auto" w:fill="auto"/>
            <w:vAlign w:val="bottom"/>
          </w:tcPr>
          <w:p w14:paraId="1DA62237" w14:textId="77777777" w:rsidR="00196507" w:rsidRPr="00DF7DF8" w:rsidRDefault="00196507" w:rsidP="00196507">
            <w:pPr>
              <w:pStyle w:val="Tabletext"/>
            </w:pPr>
            <w:r w:rsidRPr="00DF7DF8">
              <w:t>0</w:t>
            </w:r>
            <w:r w:rsidR="00D7157D">
              <w:t>.</w:t>
            </w:r>
            <w:r w:rsidRPr="00DF7DF8">
              <w:t>9309</w:t>
            </w:r>
          </w:p>
        </w:tc>
        <w:tc>
          <w:tcPr>
            <w:tcW w:w="508" w:type="pct"/>
            <w:tcBorders>
              <w:top w:val="single" w:sz="4" w:space="0" w:color="auto"/>
              <w:left w:val="nil"/>
              <w:bottom w:val="single" w:sz="4" w:space="0" w:color="auto"/>
              <w:right w:val="nil"/>
            </w:tcBorders>
            <w:shd w:val="clear" w:color="auto" w:fill="auto"/>
            <w:vAlign w:val="bottom"/>
          </w:tcPr>
          <w:p w14:paraId="097B59D9" w14:textId="77777777" w:rsidR="00196507" w:rsidRPr="006F111C" w:rsidRDefault="00196507" w:rsidP="00196507">
            <w:pPr>
              <w:pStyle w:val="Tabletext"/>
            </w:pPr>
            <w:r w:rsidRPr="006F111C">
              <w:t>0</w:t>
            </w:r>
            <w:r w:rsidR="00D7157D">
              <w:t>.</w:t>
            </w:r>
            <w:r w:rsidRPr="006F111C">
              <w:t>9175</w:t>
            </w:r>
          </w:p>
        </w:tc>
        <w:tc>
          <w:tcPr>
            <w:tcW w:w="509" w:type="pct"/>
            <w:tcBorders>
              <w:top w:val="single" w:sz="4" w:space="0" w:color="auto"/>
              <w:left w:val="nil"/>
              <w:bottom w:val="single" w:sz="4" w:space="0" w:color="auto"/>
              <w:right w:val="nil"/>
            </w:tcBorders>
            <w:vAlign w:val="bottom"/>
          </w:tcPr>
          <w:p w14:paraId="5C32805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9377</w:t>
            </w:r>
          </w:p>
        </w:tc>
        <w:tc>
          <w:tcPr>
            <w:tcW w:w="509" w:type="pct"/>
            <w:tcBorders>
              <w:top w:val="single" w:sz="4" w:space="0" w:color="auto"/>
              <w:left w:val="nil"/>
              <w:bottom w:val="single" w:sz="4" w:space="0" w:color="auto"/>
              <w:right w:val="nil"/>
            </w:tcBorders>
            <w:shd w:val="clear" w:color="auto" w:fill="auto"/>
            <w:vAlign w:val="bottom"/>
          </w:tcPr>
          <w:p w14:paraId="187297BF" w14:textId="77777777" w:rsidR="00196507" w:rsidRPr="00DF2EC8" w:rsidRDefault="00196507" w:rsidP="00196507">
            <w:pPr>
              <w:pStyle w:val="Tabletext"/>
            </w:pPr>
            <w:r w:rsidRPr="00DF2EC8">
              <w:t>0</w:t>
            </w:r>
            <w:r w:rsidR="00D7157D">
              <w:t>.</w:t>
            </w:r>
            <w:r w:rsidRPr="00DF2EC8">
              <w:t>9445</w:t>
            </w:r>
          </w:p>
        </w:tc>
        <w:tc>
          <w:tcPr>
            <w:tcW w:w="507" w:type="pct"/>
            <w:tcBorders>
              <w:top w:val="single" w:sz="4" w:space="0" w:color="auto"/>
              <w:left w:val="nil"/>
              <w:bottom w:val="single" w:sz="4" w:space="0" w:color="auto"/>
              <w:right w:val="nil"/>
            </w:tcBorders>
            <w:shd w:val="clear" w:color="auto" w:fill="auto"/>
            <w:vAlign w:val="bottom"/>
          </w:tcPr>
          <w:p w14:paraId="7F3443D0" w14:textId="77777777" w:rsidR="00196507" w:rsidRPr="00DF2EC8" w:rsidRDefault="00196507" w:rsidP="00196507">
            <w:pPr>
              <w:pStyle w:val="Tabletext"/>
            </w:pPr>
            <w:r w:rsidRPr="00DF2EC8">
              <w:t>0</w:t>
            </w:r>
            <w:r w:rsidR="00D7157D">
              <w:t>.</w:t>
            </w:r>
            <w:r w:rsidRPr="00DF2EC8">
              <w:t>9720</w:t>
            </w:r>
          </w:p>
        </w:tc>
      </w:tr>
      <w:tr w:rsidR="00196507" w:rsidRPr="00A058B6" w14:paraId="64CFBFC0" w14:textId="77777777" w:rsidTr="00196507">
        <w:tc>
          <w:tcPr>
            <w:tcW w:w="423" w:type="pct"/>
            <w:tcBorders>
              <w:top w:val="single" w:sz="4" w:space="0" w:color="auto"/>
              <w:left w:val="nil"/>
              <w:bottom w:val="single" w:sz="4" w:space="0" w:color="auto"/>
              <w:right w:val="nil"/>
            </w:tcBorders>
          </w:tcPr>
          <w:p w14:paraId="7B22EA6E" w14:textId="77777777" w:rsidR="00196507" w:rsidRPr="00A058B6" w:rsidRDefault="00196507" w:rsidP="00196507">
            <w:pPr>
              <w:pStyle w:val="Tabletext"/>
            </w:pPr>
            <w:r>
              <w:t>4</w:t>
            </w:r>
          </w:p>
        </w:tc>
        <w:tc>
          <w:tcPr>
            <w:tcW w:w="507" w:type="pct"/>
            <w:tcBorders>
              <w:top w:val="single" w:sz="4" w:space="0" w:color="auto"/>
              <w:left w:val="nil"/>
              <w:bottom w:val="single" w:sz="4" w:space="0" w:color="auto"/>
              <w:right w:val="nil"/>
            </w:tcBorders>
            <w:shd w:val="clear" w:color="auto" w:fill="auto"/>
            <w:vAlign w:val="bottom"/>
          </w:tcPr>
          <w:p w14:paraId="05887434" w14:textId="77777777" w:rsidR="00196507" w:rsidRPr="00DF2EC8" w:rsidRDefault="00196507" w:rsidP="00196507">
            <w:pPr>
              <w:pStyle w:val="Tabletext"/>
            </w:pPr>
            <w:r w:rsidRPr="00DF2EC8">
              <w:t>0</w:t>
            </w:r>
            <w:r w:rsidR="00D7157D">
              <w:t>.</w:t>
            </w:r>
            <w:r w:rsidRPr="00DF2EC8">
              <w:t>7921</w:t>
            </w:r>
          </w:p>
        </w:tc>
        <w:tc>
          <w:tcPr>
            <w:tcW w:w="509" w:type="pct"/>
            <w:tcBorders>
              <w:top w:val="single" w:sz="4" w:space="0" w:color="auto"/>
              <w:left w:val="nil"/>
              <w:bottom w:val="single" w:sz="4" w:space="0" w:color="auto"/>
              <w:right w:val="nil"/>
            </w:tcBorders>
            <w:shd w:val="clear" w:color="auto" w:fill="auto"/>
            <w:vAlign w:val="bottom"/>
          </w:tcPr>
          <w:p w14:paraId="5EDE9447" w14:textId="77777777" w:rsidR="00196507" w:rsidRPr="00DF2EC8" w:rsidRDefault="00196507" w:rsidP="00196507">
            <w:pPr>
              <w:pStyle w:val="Tabletext"/>
            </w:pPr>
            <w:r w:rsidRPr="00DF2EC8">
              <w:t>0</w:t>
            </w:r>
            <w:r w:rsidR="00D7157D">
              <w:t>.</w:t>
            </w:r>
            <w:r w:rsidRPr="00DF2EC8">
              <w:t>8709</w:t>
            </w:r>
          </w:p>
        </w:tc>
        <w:tc>
          <w:tcPr>
            <w:tcW w:w="509" w:type="pct"/>
            <w:tcBorders>
              <w:top w:val="single" w:sz="4" w:space="0" w:color="auto"/>
              <w:left w:val="nil"/>
              <w:bottom w:val="single" w:sz="4" w:space="0" w:color="auto"/>
              <w:right w:val="nil"/>
            </w:tcBorders>
            <w:shd w:val="clear" w:color="auto" w:fill="auto"/>
            <w:vAlign w:val="bottom"/>
          </w:tcPr>
          <w:p w14:paraId="1BEB5A23" w14:textId="77777777" w:rsidR="00196507" w:rsidRPr="00DF2EC8" w:rsidRDefault="00196507" w:rsidP="00196507">
            <w:pPr>
              <w:pStyle w:val="Tabletext"/>
            </w:pPr>
            <w:r w:rsidRPr="00DF2EC8">
              <w:t>0</w:t>
            </w:r>
            <w:r w:rsidR="00D7157D">
              <w:t>.</w:t>
            </w:r>
            <w:r w:rsidRPr="00DF2EC8">
              <w:t>8743</w:t>
            </w:r>
          </w:p>
        </w:tc>
        <w:tc>
          <w:tcPr>
            <w:tcW w:w="508" w:type="pct"/>
            <w:tcBorders>
              <w:top w:val="single" w:sz="4" w:space="0" w:color="auto"/>
              <w:left w:val="nil"/>
              <w:bottom w:val="single" w:sz="4" w:space="0" w:color="auto"/>
              <w:right w:val="nil"/>
            </w:tcBorders>
            <w:shd w:val="clear" w:color="auto" w:fill="auto"/>
            <w:vAlign w:val="bottom"/>
          </w:tcPr>
          <w:p w14:paraId="2EEDAB3C" w14:textId="77777777" w:rsidR="00196507" w:rsidRPr="00DF7DF8" w:rsidRDefault="00196507" w:rsidP="00196507">
            <w:pPr>
              <w:pStyle w:val="Tabletext"/>
            </w:pPr>
            <w:r w:rsidRPr="00DF7DF8">
              <w:t>0</w:t>
            </w:r>
            <w:r w:rsidR="00D7157D">
              <w:t>.</w:t>
            </w:r>
            <w:r w:rsidRPr="00DF7DF8">
              <w:t>9019</w:t>
            </w:r>
          </w:p>
        </w:tc>
        <w:tc>
          <w:tcPr>
            <w:tcW w:w="509" w:type="pct"/>
            <w:tcBorders>
              <w:top w:val="single" w:sz="4" w:space="0" w:color="auto"/>
              <w:left w:val="nil"/>
              <w:bottom w:val="single" w:sz="4" w:space="0" w:color="auto"/>
              <w:right w:val="nil"/>
            </w:tcBorders>
            <w:shd w:val="clear" w:color="auto" w:fill="auto"/>
            <w:vAlign w:val="bottom"/>
          </w:tcPr>
          <w:p w14:paraId="6ECEF150" w14:textId="77777777" w:rsidR="00196507" w:rsidRPr="00DF7DF8" w:rsidRDefault="00196507" w:rsidP="00196507">
            <w:pPr>
              <w:pStyle w:val="Tabletext"/>
            </w:pPr>
            <w:r w:rsidRPr="00DF7DF8">
              <w:t>0</w:t>
            </w:r>
            <w:r w:rsidR="00D7157D">
              <w:t>.</w:t>
            </w:r>
            <w:r w:rsidRPr="00DF7DF8">
              <w:t>9089</w:t>
            </w:r>
          </w:p>
        </w:tc>
        <w:tc>
          <w:tcPr>
            <w:tcW w:w="508" w:type="pct"/>
            <w:tcBorders>
              <w:top w:val="single" w:sz="4" w:space="0" w:color="auto"/>
              <w:left w:val="nil"/>
              <w:bottom w:val="single" w:sz="4" w:space="0" w:color="auto"/>
              <w:right w:val="nil"/>
            </w:tcBorders>
            <w:shd w:val="clear" w:color="auto" w:fill="auto"/>
            <w:vAlign w:val="bottom"/>
          </w:tcPr>
          <w:p w14:paraId="140C8612" w14:textId="77777777" w:rsidR="00196507" w:rsidRPr="006F111C" w:rsidRDefault="00196507" w:rsidP="00196507">
            <w:pPr>
              <w:pStyle w:val="Tabletext"/>
            </w:pPr>
            <w:r w:rsidRPr="006F111C">
              <w:t>0</w:t>
            </w:r>
            <w:r w:rsidR="00D7157D">
              <w:t>.</w:t>
            </w:r>
            <w:r w:rsidRPr="006F111C">
              <w:t>8915</w:t>
            </w:r>
          </w:p>
        </w:tc>
        <w:tc>
          <w:tcPr>
            <w:tcW w:w="509" w:type="pct"/>
            <w:tcBorders>
              <w:top w:val="single" w:sz="4" w:space="0" w:color="auto"/>
              <w:left w:val="nil"/>
              <w:bottom w:val="single" w:sz="4" w:space="0" w:color="auto"/>
              <w:right w:val="nil"/>
            </w:tcBorders>
            <w:vAlign w:val="bottom"/>
          </w:tcPr>
          <w:p w14:paraId="3F802BB1"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9178</w:t>
            </w:r>
          </w:p>
        </w:tc>
        <w:tc>
          <w:tcPr>
            <w:tcW w:w="509" w:type="pct"/>
            <w:tcBorders>
              <w:top w:val="single" w:sz="4" w:space="0" w:color="auto"/>
              <w:left w:val="nil"/>
              <w:bottom w:val="single" w:sz="4" w:space="0" w:color="auto"/>
              <w:right w:val="nil"/>
            </w:tcBorders>
            <w:shd w:val="clear" w:color="auto" w:fill="auto"/>
            <w:vAlign w:val="bottom"/>
          </w:tcPr>
          <w:p w14:paraId="33190642" w14:textId="77777777" w:rsidR="00196507" w:rsidRPr="00DF2EC8" w:rsidRDefault="00196507" w:rsidP="00196507">
            <w:pPr>
              <w:pStyle w:val="Tabletext"/>
            </w:pPr>
            <w:r w:rsidRPr="00DF2EC8">
              <w:t>0</w:t>
            </w:r>
            <w:r w:rsidR="00D7157D">
              <w:t>.</w:t>
            </w:r>
            <w:r w:rsidRPr="00DF2EC8">
              <w:t>9266</w:t>
            </w:r>
          </w:p>
        </w:tc>
        <w:tc>
          <w:tcPr>
            <w:tcW w:w="507" w:type="pct"/>
            <w:tcBorders>
              <w:top w:val="single" w:sz="4" w:space="0" w:color="auto"/>
              <w:left w:val="nil"/>
              <w:bottom w:val="single" w:sz="4" w:space="0" w:color="auto"/>
              <w:right w:val="nil"/>
            </w:tcBorders>
            <w:shd w:val="clear" w:color="auto" w:fill="auto"/>
            <w:vAlign w:val="bottom"/>
          </w:tcPr>
          <w:p w14:paraId="6211ED76" w14:textId="77777777" w:rsidR="00196507" w:rsidRPr="00DF2EC8" w:rsidRDefault="00196507" w:rsidP="00196507">
            <w:pPr>
              <w:pStyle w:val="Tabletext"/>
            </w:pPr>
            <w:r w:rsidRPr="00DF2EC8">
              <w:t>0</w:t>
            </w:r>
            <w:r w:rsidR="00D7157D">
              <w:t>.</w:t>
            </w:r>
            <w:r w:rsidRPr="00DF2EC8">
              <w:t>9628</w:t>
            </w:r>
          </w:p>
        </w:tc>
      </w:tr>
      <w:tr w:rsidR="00196507" w:rsidRPr="00A058B6" w14:paraId="128EA07A" w14:textId="77777777" w:rsidTr="00196507">
        <w:tc>
          <w:tcPr>
            <w:tcW w:w="423" w:type="pct"/>
            <w:tcBorders>
              <w:top w:val="single" w:sz="4" w:space="0" w:color="auto"/>
              <w:left w:val="nil"/>
              <w:bottom w:val="single" w:sz="4" w:space="0" w:color="auto"/>
              <w:right w:val="nil"/>
            </w:tcBorders>
          </w:tcPr>
          <w:p w14:paraId="10FC1A92" w14:textId="77777777" w:rsidR="00196507" w:rsidRPr="00A058B6" w:rsidRDefault="00196507" w:rsidP="00196507">
            <w:pPr>
              <w:pStyle w:val="Tabletext"/>
            </w:pPr>
            <w:r>
              <w:t>5</w:t>
            </w:r>
          </w:p>
        </w:tc>
        <w:tc>
          <w:tcPr>
            <w:tcW w:w="507" w:type="pct"/>
            <w:tcBorders>
              <w:top w:val="single" w:sz="4" w:space="0" w:color="auto"/>
              <w:left w:val="nil"/>
              <w:bottom w:val="single" w:sz="4" w:space="0" w:color="auto"/>
              <w:right w:val="nil"/>
            </w:tcBorders>
            <w:shd w:val="clear" w:color="auto" w:fill="auto"/>
            <w:vAlign w:val="bottom"/>
          </w:tcPr>
          <w:p w14:paraId="32940325" w14:textId="77777777" w:rsidR="00196507" w:rsidRPr="00DF2EC8" w:rsidRDefault="00196507" w:rsidP="00196507">
            <w:pPr>
              <w:pStyle w:val="Tabletext"/>
            </w:pPr>
            <w:r w:rsidRPr="00DF2EC8">
              <w:t>0</w:t>
            </w:r>
            <w:r w:rsidR="00D7157D">
              <w:t>.</w:t>
            </w:r>
            <w:r w:rsidRPr="00DF2EC8">
              <w:t>7473</w:t>
            </w:r>
          </w:p>
        </w:tc>
        <w:tc>
          <w:tcPr>
            <w:tcW w:w="509" w:type="pct"/>
            <w:tcBorders>
              <w:top w:val="single" w:sz="4" w:space="0" w:color="auto"/>
              <w:left w:val="nil"/>
              <w:bottom w:val="single" w:sz="4" w:space="0" w:color="auto"/>
              <w:right w:val="nil"/>
            </w:tcBorders>
            <w:shd w:val="clear" w:color="auto" w:fill="auto"/>
            <w:vAlign w:val="bottom"/>
          </w:tcPr>
          <w:p w14:paraId="73496D71" w14:textId="77777777" w:rsidR="00196507" w:rsidRPr="00DF2EC8" w:rsidRDefault="00196507" w:rsidP="00196507">
            <w:pPr>
              <w:pStyle w:val="Tabletext"/>
            </w:pPr>
            <w:r w:rsidRPr="00DF2EC8">
              <w:t>0</w:t>
            </w:r>
            <w:r w:rsidR="00D7157D">
              <w:t>.</w:t>
            </w:r>
            <w:r w:rsidRPr="00DF2EC8">
              <w:t>8413</w:t>
            </w:r>
          </w:p>
        </w:tc>
        <w:tc>
          <w:tcPr>
            <w:tcW w:w="509" w:type="pct"/>
            <w:tcBorders>
              <w:top w:val="single" w:sz="4" w:space="0" w:color="auto"/>
              <w:left w:val="nil"/>
              <w:bottom w:val="single" w:sz="4" w:space="0" w:color="auto"/>
              <w:right w:val="nil"/>
            </w:tcBorders>
            <w:shd w:val="clear" w:color="auto" w:fill="auto"/>
            <w:vAlign w:val="bottom"/>
          </w:tcPr>
          <w:p w14:paraId="62F8816F" w14:textId="77777777" w:rsidR="00196507" w:rsidRPr="00DF2EC8" w:rsidRDefault="00196507" w:rsidP="00196507">
            <w:pPr>
              <w:pStyle w:val="Tabletext"/>
            </w:pPr>
            <w:r w:rsidRPr="00DF2EC8">
              <w:t>0</w:t>
            </w:r>
            <w:r w:rsidR="00D7157D">
              <w:t>.</w:t>
            </w:r>
            <w:r w:rsidRPr="00DF2EC8">
              <w:t>8455</w:t>
            </w:r>
          </w:p>
        </w:tc>
        <w:tc>
          <w:tcPr>
            <w:tcW w:w="508" w:type="pct"/>
            <w:tcBorders>
              <w:top w:val="single" w:sz="4" w:space="0" w:color="auto"/>
              <w:left w:val="nil"/>
              <w:bottom w:val="single" w:sz="4" w:space="0" w:color="auto"/>
              <w:right w:val="nil"/>
            </w:tcBorders>
            <w:shd w:val="clear" w:color="auto" w:fill="auto"/>
            <w:vAlign w:val="bottom"/>
          </w:tcPr>
          <w:p w14:paraId="728A630D" w14:textId="77777777" w:rsidR="00196507" w:rsidRPr="00DF7DF8" w:rsidRDefault="00196507" w:rsidP="00196507">
            <w:pPr>
              <w:pStyle w:val="Tabletext"/>
            </w:pPr>
            <w:r w:rsidRPr="00DF7DF8">
              <w:t>0</w:t>
            </w:r>
            <w:r w:rsidR="00D7157D">
              <w:t>.</w:t>
            </w:r>
            <w:r w:rsidRPr="00DF7DF8">
              <w:t>8790</w:t>
            </w:r>
          </w:p>
        </w:tc>
        <w:tc>
          <w:tcPr>
            <w:tcW w:w="509" w:type="pct"/>
            <w:tcBorders>
              <w:top w:val="single" w:sz="4" w:space="0" w:color="auto"/>
              <w:left w:val="nil"/>
              <w:bottom w:val="single" w:sz="4" w:space="0" w:color="auto"/>
              <w:right w:val="nil"/>
            </w:tcBorders>
            <w:shd w:val="clear" w:color="auto" w:fill="auto"/>
            <w:vAlign w:val="bottom"/>
          </w:tcPr>
          <w:p w14:paraId="4206E0DC" w14:textId="77777777" w:rsidR="00196507" w:rsidRPr="00DF7DF8" w:rsidRDefault="00196507" w:rsidP="00196507">
            <w:pPr>
              <w:pStyle w:val="Tabletext"/>
            </w:pPr>
            <w:r w:rsidRPr="00DF7DF8">
              <w:t>0</w:t>
            </w:r>
            <w:r w:rsidR="00D7157D">
              <w:t>.</w:t>
            </w:r>
            <w:r w:rsidRPr="00DF7DF8">
              <w:t>8875</w:t>
            </w:r>
          </w:p>
        </w:tc>
        <w:tc>
          <w:tcPr>
            <w:tcW w:w="508" w:type="pct"/>
            <w:tcBorders>
              <w:top w:val="single" w:sz="4" w:space="0" w:color="auto"/>
              <w:left w:val="nil"/>
              <w:bottom w:val="single" w:sz="4" w:space="0" w:color="auto"/>
              <w:right w:val="nil"/>
            </w:tcBorders>
            <w:shd w:val="clear" w:color="auto" w:fill="auto"/>
            <w:vAlign w:val="bottom"/>
          </w:tcPr>
          <w:p w14:paraId="1CED2A92" w14:textId="77777777" w:rsidR="00196507" w:rsidRPr="006F111C" w:rsidRDefault="00196507" w:rsidP="00196507">
            <w:pPr>
              <w:pStyle w:val="Tabletext"/>
            </w:pPr>
            <w:r w:rsidRPr="006F111C">
              <w:t>0</w:t>
            </w:r>
            <w:r w:rsidR="00D7157D">
              <w:t>.</w:t>
            </w:r>
            <w:r w:rsidRPr="006F111C">
              <w:t>8663</w:t>
            </w:r>
          </w:p>
        </w:tc>
        <w:tc>
          <w:tcPr>
            <w:tcW w:w="509" w:type="pct"/>
            <w:tcBorders>
              <w:top w:val="single" w:sz="4" w:space="0" w:color="auto"/>
              <w:left w:val="nil"/>
              <w:bottom w:val="single" w:sz="4" w:space="0" w:color="auto"/>
              <w:right w:val="nil"/>
            </w:tcBorders>
            <w:vAlign w:val="bottom"/>
          </w:tcPr>
          <w:p w14:paraId="5186E3E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8983</w:t>
            </w:r>
          </w:p>
        </w:tc>
        <w:tc>
          <w:tcPr>
            <w:tcW w:w="509" w:type="pct"/>
            <w:tcBorders>
              <w:top w:val="single" w:sz="4" w:space="0" w:color="auto"/>
              <w:left w:val="nil"/>
              <w:bottom w:val="single" w:sz="4" w:space="0" w:color="auto"/>
              <w:right w:val="nil"/>
            </w:tcBorders>
            <w:shd w:val="clear" w:color="auto" w:fill="auto"/>
            <w:vAlign w:val="bottom"/>
          </w:tcPr>
          <w:p w14:paraId="3EE2E07A" w14:textId="77777777" w:rsidR="00196507" w:rsidRPr="00DF2EC8" w:rsidRDefault="00196507" w:rsidP="00196507">
            <w:pPr>
              <w:pStyle w:val="Tabletext"/>
            </w:pPr>
            <w:r w:rsidRPr="00DF2EC8">
              <w:t>0</w:t>
            </w:r>
            <w:r w:rsidR="00D7157D">
              <w:t>.</w:t>
            </w:r>
            <w:r w:rsidRPr="00DF2EC8">
              <w:t>9092</w:t>
            </w:r>
          </w:p>
        </w:tc>
        <w:tc>
          <w:tcPr>
            <w:tcW w:w="507" w:type="pct"/>
            <w:tcBorders>
              <w:top w:val="single" w:sz="4" w:space="0" w:color="auto"/>
              <w:left w:val="nil"/>
              <w:bottom w:val="single" w:sz="4" w:space="0" w:color="auto"/>
              <w:right w:val="nil"/>
            </w:tcBorders>
            <w:shd w:val="clear" w:color="auto" w:fill="auto"/>
            <w:vAlign w:val="bottom"/>
          </w:tcPr>
          <w:p w14:paraId="20CA78F2" w14:textId="77777777" w:rsidR="00196507" w:rsidRPr="00DF2EC8" w:rsidRDefault="00196507" w:rsidP="00196507">
            <w:pPr>
              <w:pStyle w:val="Tabletext"/>
            </w:pPr>
            <w:r w:rsidRPr="00DF2EC8">
              <w:t>0</w:t>
            </w:r>
            <w:r w:rsidR="00D7157D">
              <w:t>.</w:t>
            </w:r>
            <w:r w:rsidRPr="00DF2EC8">
              <w:t>9537</w:t>
            </w:r>
          </w:p>
        </w:tc>
      </w:tr>
      <w:tr w:rsidR="00196507" w:rsidRPr="00A058B6" w14:paraId="08E78F09" w14:textId="77777777" w:rsidTr="00196507">
        <w:tc>
          <w:tcPr>
            <w:tcW w:w="423" w:type="pct"/>
            <w:tcBorders>
              <w:top w:val="single" w:sz="4" w:space="0" w:color="auto"/>
              <w:left w:val="nil"/>
              <w:bottom w:val="single" w:sz="4" w:space="0" w:color="auto"/>
              <w:right w:val="nil"/>
            </w:tcBorders>
          </w:tcPr>
          <w:p w14:paraId="04AF2385" w14:textId="77777777" w:rsidR="00196507" w:rsidRPr="00A058B6" w:rsidRDefault="00196507" w:rsidP="00196507">
            <w:pPr>
              <w:pStyle w:val="Tabletext"/>
            </w:pPr>
            <w:r>
              <w:t>6</w:t>
            </w:r>
          </w:p>
        </w:tc>
        <w:tc>
          <w:tcPr>
            <w:tcW w:w="507" w:type="pct"/>
            <w:tcBorders>
              <w:top w:val="single" w:sz="4" w:space="0" w:color="auto"/>
              <w:left w:val="nil"/>
              <w:bottom w:val="single" w:sz="4" w:space="0" w:color="auto"/>
              <w:right w:val="nil"/>
            </w:tcBorders>
            <w:shd w:val="clear" w:color="auto" w:fill="auto"/>
            <w:vAlign w:val="bottom"/>
          </w:tcPr>
          <w:p w14:paraId="4DF24576" w14:textId="77777777" w:rsidR="00196507" w:rsidRPr="00DF2EC8" w:rsidRDefault="00196507" w:rsidP="00196507">
            <w:pPr>
              <w:pStyle w:val="Tabletext"/>
            </w:pPr>
            <w:r w:rsidRPr="00DF2EC8">
              <w:t>0</w:t>
            </w:r>
            <w:r w:rsidR="00D7157D">
              <w:t>.</w:t>
            </w:r>
            <w:r w:rsidRPr="00DF2EC8">
              <w:t>7050</w:t>
            </w:r>
          </w:p>
        </w:tc>
        <w:tc>
          <w:tcPr>
            <w:tcW w:w="509" w:type="pct"/>
            <w:tcBorders>
              <w:top w:val="single" w:sz="4" w:space="0" w:color="auto"/>
              <w:left w:val="nil"/>
              <w:bottom w:val="single" w:sz="4" w:space="0" w:color="auto"/>
              <w:right w:val="nil"/>
            </w:tcBorders>
            <w:shd w:val="clear" w:color="auto" w:fill="auto"/>
            <w:vAlign w:val="bottom"/>
          </w:tcPr>
          <w:p w14:paraId="625F96C8" w14:textId="77777777" w:rsidR="00196507" w:rsidRPr="00DF2EC8" w:rsidRDefault="00196507" w:rsidP="00196507">
            <w:pPr>
              <w:pStyle w:val="Tabletext"/>
            </w:pPr>
            <w:r w:rsidRPr="00DF2EC8">
              <w:t>0</w:t>
            </w:r>
            <w:r w:rsidR="00D7157D">
              <w:t>.</w:t>
            </w:r>
            <w:r w:rsidRPr="00DF2EC8">
              <w:t>8128</w:t>
            </w:r>
          </w:p>
        </w:tc>
        <w:tc>
          <w:tcPr>
            <w:tcW w:w="509" w:type="pct"/>
            <w:tcBorders>
              <w:top w:val="single" w:sz="4" w:space="0" w:color="auto"/>
              <w:left w:val="nil"/>
              <w:bottom w:val="single" w:sz="4" w:space="0" w:color="auto"/>
              <w:right w:val="nil"/>
            </w:tcBorders>
            <w:shd w:val="clear" w:color="auto" w:fill="auto"/>
            <w:vAlign w:val="bottom"/>
          </w:tcPr>
          <w:p w14:paraId="08286B79" w14:textId="77777777" w:rsidR="00196507" w:rsidRPr="00DF2EC8" w:rsidRDefault="00196507" w:rsidP="00196507">
            <w:pPr>
              <w:pStyle w:val="Tabletext"/>
            </w:pPr>
            <w:r w:rsidRPr="00DF2EC8">
              <w:t>0</w:t>
            </w:r>
            <w:r w:rsidR="00D7157D">
              <w:t>.</w:t>
            </w:r>
            <w:r w:rsidRPr="00DF2EC8">
              <w:t>8175</w:t>
            </w:r>
          </w:p>
        </w:tc>
        <w:tc>
          <w:tcPr>
            <w:tcW w:w="508" w:type="pct"/>
            <w:tcBorders>
              <w:top w:val="single" w:sz="4" w:space="0" w:color="auto"/>
              <w:left w:val="nil"/>
              <w:bottom w:val="single" w:sz="4" w:space="0" w:color="auto"/>
              <w:right w:val="nil"/>
            </w:tcBorders>
            <w:shd w:val="clear" w:color="auto" w:fill="auto"/>
            <w:vAlign w:val="bottom"/>
          </w:tcPr>
          <w:p w14:paraId="11AFBB41" w14:textId="77777777" w:rsidR="00196507" w:rsidRPr="00DF7DF8" w:rsidRDefault="00196507" w:rsidP="00196507">
            <w:pPr>
              <w:pStyle w:val="Tabletext"/>
            </w:pPr>
            <w:r w:rsidRPr="00DF7DF8">
              <w:t>0</w:t>
            </w:r>
            <w:r w:rsidR="00D7157D">
              <w:t>.</w:t>
            </w:r>
            <w:r w:rsidRPr="00DF7DF8">
              <w:t>8566</w:t>
            </w:r>
          </w:p>
        </w:tc>
        <w:tc>
          <w:tcPr>
            <w:tcW w:w="509" w:type="pct"/>
            <w:tcBorders>
              <w:top w:val="single" w:sz="4" w:space="0" w:color="auto"/>
              <w:left w:val="nil"/>
              <w:bottom w:val="single" w:sz="4" w:space="0" w:color="auto"/>
              <w:right w:val="nil"/>
            </w:tcBorders>
            <w:shd w:val="clear" w:color="auto" w:fill="auto"/>
            <w:vAlign w:val="bottom"/>
          </w:tcPr>
          <w:p w14:paraId="1DAF6C3B" w14:textId="77777777" w:rsidR="00196507" w:rsidRPr="00DF7DF8" w:rsidRDefault="00196507" w:rsidP="00196507">
            <w:pPr>
              <w:pStyle w:val="Tabletext"/>
            </w:pPr>
            <w:r w:rsidRPr="00DF7DF8">
              <w:t>0</w:t>
            </w:r>
            <w:r w:rsidR="00D7157D">
              <w:t>.</w:t>
            </w:r>
            <w:r w:rsidRPr="00DF7DF8">
              <w:t>8666</w:t>
            </w:r>
          </w:p>
        </w:tc>
        <w:tc>
          <w:tcPr>
            <w:tcW w:w="508" w:type="pct"/>
            <w:tcBorders>
              <w:top w:val="single" w:sz="4" w:space="0" w:color="auto"/>
              <w:left w:val="nil"/>
              <w:bottom w:val="single" w:sz="4" w:space="0" w:color="auto"/>
              <w:right w:val="nil"/>
            </w:tcBorders>
            <w:shd w:val="clear" w:color="auto" w:fill="auto"/>
            <w:vAlign w:val="bottom"/>
          </w:tcPr>
          <w:p w14:paraId="6DD7CF13" w14:textId="77777777" w:rsidR="00196507" w:rsidRPr="006F111C" w:rsidRDefault="00196507" w:rsidP="00196507">
            <w:pPr>
              <w:pStyle w:val="Tabletext"/>
            </w:pPr>
            <w:r w:rsidRPr="006F111C">
              <w:t>0</w:t>
            </w:r>
            <w:r w:rsidR="00D7157D">
              <w:t>.</w:t>
            </w:r>
            <w:r w:rsidRPr="006F111C">
              <w:t>8418</w:t>
            </w:r>
          </w:p>
        </w:tc>
        <w:tc>
          <w:tcPr>
            <w:tcW w:w="509" w:type="pct"/>
            <w:tcBorders>
              <w:top w:val="single" w:sz="4" w:space="0" w:color="auto"/>
              <w:left w:val="nil"/>
              <w:bottom w:val="single" w:sz="4" w:space="0" w:color="auto"/>
              <w:right w:val="nil"/>
            </w:tcBorders>
            <w:vAlign w:val="bottom"/>
          </w:tcPr>
          <w:p w14:paraId="0B2FFC3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8792</w:t>
            </w:r>
          </w:p>
        </w:tc>
        <w:tc>
          <w:tcPr>
            <w:tcW w:w="509" w:type="pct"/>
            <w:tcBorders>
              <w:top w:val="single" w:sz="4" w:space="0" w:color="auto"/>
              <w:left w:val="nil"/>
              <w:bottom w:val="single" w:sz="4" w:space="0" w:color="auto"/>
              <w:right w:val="nil"/>
            </w:tcBorders>
            <w:shd w:val="clear" w:color="auto" w:fill="auto"/>
            <w:vAlign w:val="bottom"/>
          </w:tcPr>
          <w:p w14:paraId="4AEBD4F9" w14:textId="77777777" w:rsidR="00196507" w:rsidRPr="00DF2EC8" w:rsidRDefault="00196507" w:rsidP="00196507">
            <w:pPr>
              <w:pStyle w:val="Tabletext"/>
            </w:pPr>
            <w:r w:rsidRPr="00DF2EC8">
              <w:t>0</w:t>
            </w:r>
            <w:r w:rsidR="00D7157D">
              <w:t>.</w:t>
            </w:r>
            <w:r w:rsidRPr="00DF2EC8">
              <w:t>8920</w:t>
            </w:r>
          </w:p>
        </w:tc>
        <w:tc>
          <w:tcPr>
            <w:tcW w:w="507" w:type="pct"/>
            <w:tcBorders>
              <w:top w:val="single" w:sz="4" w:space="0" w:color="auto"/>
              <w:left w:val="nil"/>
              <w:bottom w:val="single" w:sz="4" w:space="0" w:color="auto"/>
              <w:right w:val="nil"/>
            </w:tcBorders>
            <w:shd w:val="clear" w:color="auto" w:fill="auto"/>
            <w:vAlign w:val="bottom"/>
          </w:tcPr>
          <w:p w14:paraId="54562C1F" w14:textId="77777777" w:rsidR="00196507" w:rsidRPr="00DF2EC8" w:rsidRDefault="00196507" w:rsidP="00196507">
            <w:pPr>
              <w:pStyle w:val="Tabletext"/>
            </w:pPr>
            <w:r w:rsidRPr="00DF2EC8">
              <w:t>0</w:t>
            </w:r>
            <w:r w:rsidR="00D7157D">
              <w:t>.</w:t>
            </w:r>
            <w:r w:rsidRPr="00DF2EC8">
              <w:t>9447</w:t>
            </w:r>
          </w:p>
        </w:tc>
      </w:tr>
      <w:tr w:rsidR="00196507" w:rsidRPr="00A058B6" w14:paraId="6CC2AAA7" w14:textId="77777777" w:rsidTr="00196507">
        <w:tc>
          <w:tcPr>
            <w:tcW w:w="423" w:type="pct"/>
            <w:tcBorders>
              <w:top w:val="single" w:sz="4" w:space="0" w:color="auto"/>
              <w:left w:val="nil"/>
              <w:bottom w:val="single" w:sz="4" w:space="0" w:color="auto"/>
              <w:right w:val="nil"/>
            </w:tcBorders>
          </w:tcPr>
          <w:p w14:paraId="366703B8" w14:textId="77777777" w:rsidR="00196507" w:rsidRPr="00A058B6" w:rsidRDefault="00196507" w:rsidP="00196507">
            <w:pPr>
              <w:pStyle w:val="Tabletext"/>
            </w:pPr>
            <w:r>
              <w:t>7</w:t>
            </w:r>
          </w:p>
        </w:tc>
        <w:tc>
          <w:tcPr>
            <w:tcW w:w="507" w:type="pct"/>
            <w:tcBorders>
              <w:top w:val="single" w:sz="4" w:space="0" w:color="auto"/>
              <w:left w:val="nil"/>
              <w:bottom w:val="single" w:sz="4" w:space="0" w:color="auto"/>
              <w:right w:val="nil"/>
            </w:tcBorders>
            <w:shd w:val="clear" w:color="auto" w:fill="auto"/>
            <w:vAlign w:val="bottom"/>
          </w:tcPr>
          <w:p w14:paraId="29066D35" w14:textId="77777777" w:rsidR="00196507" w:rsidRPr="00DF2EC8" w:rsidRDefault="00196507" w:rsidP="00196507">
            <w:pPr>
              <w:pStyle w:val="Tabletext"/>
            </w:pPr>
            <w:r w:rsidRPr="00DF2EC8">
              <w:t>0</w:t>
            </w:r>
            <w:r w:rsidR="00D7157D">
              <w:t>.</w:t>
            </w:r>
            <w:r w:rsidRPr="00DF2EC8">
              <w:t>6651</w:t>
            </w:r>
          </w:p>
        </w:tc>
        <w:tc>
          <w:tcPr>
            <w:tcW w:w="509" w:type="pct"/>
            <w:tcBorders>
              <w:top w:val="single" w:sz="4" w:space="0" w:color="auto"/>
              <w:left w:val="nil"/>
              <w:bottom w:val="single" w:sz="4" w:space="0" w:color="auto"/>
              <w:right w:val="nil"/>
            </w:tcBorders>
            <w:shd w:val="clear" w:color="auto" w:fill="auto"/>
            <w:vAlign w:val="bottom"/>
          </w:tcPr>
          <w:p w14:paraId="7698490A" w14:textId="77777777" w:rsidR="00196507" w:rsidRPr="00DF2EC8" w:rsidRDefault="00196507" w:rsidP="00196507">
            <w:pPr>
              <w:pStyle w:val="Tabletext"/>
            </w:pPr>
            <w:r w:rsidRPr="00DF2EC8">
              <w:t>0</w:t>
            </w:r>
            <w:r w:rsidR="00D7157D">
              <w:t>.</w:t>
            </w:r>
            <w:r w:rsidRPr="00DF2EC8">
              <w:t>7852</w:t>
            </w:r>
          </w:p>
        </w:tc>
        <w:tc>
          <w:tcPr>
            <w:tcW w:w="509" w:type="pct"/>
            <w:tcBorders>
              <w:top w:val="single" w:sz="4" w:space="0" w:color="auto"/>
              <w:left w:val="nil"/>
              <w:bottom w:val="single" w:sz="4" w:space="0" w:color="auto"/>
              <w:right w:val="nil"/>
            </w:tcBorders>
            <w:shd w:val="clear" w:color="auto" w:fill="auto"/>
            <w:vAlign w:val="bottom"/>
          </w:tcPr>
          <w:p w14:paraId="4B370D14" w14:textId="77777777" w:rsidR="00196507" w:rsidRPr="00DF2EC8" w:rsidRDefault="00196507" w:rsidP="00196507">
            <w:pPr>
              <w:pStyle w:val="Tabletext"/>
            </w:pPr>
            <w:r w:rsidRPr="00DF2EC8">
              <w:t>0</w:t>
            </w:r>
            <w:r w:rsidR="00D7157D">
              <w:t>.</w:t>
            </w:r>
            <w:r w:rsidRPr="00DF2EC8">
              <w:t>7905</w:t>
            </w:r>
          </w:p>
        </w:tc>
        <w:tc>
          <w:tcPr>
            <w:tcW w:w="508" w:type="pct"/>
            <w:tcBorders>
              <w:top w:val="single" w:sz="4" w:space="0" w:color="auto"/>
              <w:left w:val="nil"/>
              <w:bottom w:val="single" w:sz="4" w:space="0" w:color="auto"/>
              <w:right w:val="nil"/>
            </w:tcBorders>
            <w:shd w:val="clear" w:color="auto" w:fill="auto"/>
            <w:vAlign w:val="bottom"/>
          </w:tcPr>
          <w:p w14:paraId="19FD8944" w14:textId="77777777" w:rsidR="00196507" w:rsidRPr="00DF7DF8" w:rsidRDefault="00196507" w:rsidP="00196507">
            <w:pPr>
              <w:pStyle w:val="Tabletext"/>
            </w:pPr>
            <w:r w:rsidRPr="00DF7DF8">
              <w:t>0</w:t>
            </w:r>
            <w:r w:rsidR="00D7157D">
              <w:t>.</w:t>
            </w:r>
            <w:r w:rsidRPr="00DF7DF8">
              <w:t>8348</w:t>
            </w:r>
          </w:p>
        </w:tc>
        <w:tc>
          <w:tcPr>
            <w:tcW w:w="509" w:type="pct"/>
            <w:tcBorders>
              <w:top w:val="single" w:sz="4" w:space="0" w:color="auto"/>
              <w:left w:val="nil"/>
              <w:bottom w:val="single" w:sz="4" w:space="0" w:color="auto"/>
              <w:right w:val="nil"/>
            </w:tcBorders>
            <w:shd w:val="clear" w:color="auto" w:fill="auto"/>
            <w:vAlign w:val="bottom"/>
          </w:tcPr>
          <w:p w14:paraId="2E87B6BE" w14:textId="77777777" w:rsidR="00196507" w:rsidRPr="00DF7DF8" w:rsidRDefault="00196507" w:rsidP="00196507">
            <w:pPr>
              <w:pStyle w:val="Tabletext"/>
            </w:pPr>
            <w:r w:rsidRPr="00DF7DF8">
              <w:t>0</w:t>
            </w:r>
            <w:r w:rsidR="00D7157D">
              <w:t>.</w:t>
            </w:r>
            <w:r w:rsidRPr="00DF7DF8">
              <w:t>8461</w:t>
            </w:r>
          </w:p>
        </w:tc>
        <w:tc>
          <w:tcPr>
            <w:tcW w:w="508" w:type="pct"/>
            <w:tcBorders>
              <w:top w:val="single" w:sz="4" w:space="0" w:color="auto"/>
              <w:left w:val="nil"/>
              <w:bottom w:val="single" w:sz="4" w:space="0" w:color="auto"/>
              <w:right w:val="nil"/>
            </w:tcBorders>
            <w:shd w:val="clear" w:color="auto" w:fill="auto"/>
            <w:vAlign w:val="bottom"/>
          </w:tcPr>
          <w:p w14:paraId="277A63FA" w14:textId="77777777" w:rsidR="00196507" w:rsidRPr="006F111C" w:rsidRDefault="00196507" w:rsidP="00196507">
            <w:pPr>
              <w:pStyle w:val="Tabletext"/>
            </w:pPr>
            <w:r w:rsidRPr="006F111C">
              <w:t>0</w:t>
            </w:r>
            <w:r w:rsidR="00D7157D">
              <w:t>.</w:t>
            </w:r>
            <w:r w:rsidRPr="006F111C">
              <w:t>8179</w:t>
            </w:r>
          </w:p>
        </w:tc>
        <w:tc>
          <w:tcPr>
            <w:tcW w:w="509" w:type="pct"/>
            <w:tcBorders>
              <w:top w:val="single" w:sz="4" w:space="0" w:color="auto"/>
              <w:left w:val="nil"/>
              <w:bottom w:val="single" w:sz="4" w:space="0" w:color="auto"/>
              <w:right w:val="nil"/>
            </w:tcBorders>
            <w:vAlign w:val="bottom"/>
          </w:tcPr>
          <w:p w14:paraId="1D5A3634"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8605</w:t>
            </w:r>
          </w:p>
        </w:tc>
        <w:tc>
          <w:tcPr>
            <w:tcW w:w="509" w:type="pct"/>
            <w:tcBorders>
              <w:top w:val="single" w:sz="4" w:space="0" w:color="auto"/>
              <w:left w:val="nil"/>
              <w:bottom w:val="single" w:sz="4" w:space="0" w:color="auto"/>
              <w:right w:val="nil"/>
            </w:tcBorders>
            <w:shd w:val="clear" w:color="auto" w:fill="auto"/>
            <w:vAlign w:val="bottom"/>
          </w:tcPr>
          <w:p w14:paraId="28DE2E33" w14:textId="77777777" w:rsidR="00196507" w:rsidRPr="00DF2EC8" w:rsidRDefault="00196507" w:rsidP="00196507">
            <w:pPr>
              <w:pStyle w:val="Tabletext"/>
            </w:pPr>
            <w:r w:rsidRPr="00DF2EC8">
              <w:t>0</w:t>
            </w:r>
            <w:r w:rsidR="00D7157D">
              <w:t>.</w:t>
            </w:r>
            <w:r w:rsidRPr="00DF2EC8">
              <w:t>8752</w:t>
            </w:r>
          </w:p>
        </w:tc>
        <w:tc>
          <w:tcPr>
            <w:tcW w:w="507" w:type="pct"/>
            <w:tcBorders>
              <w:top w:val="single" w:sz="4" w:space="0" w:color="auto"/>
              <w:left w:val="nil"/>
              <w:bottom w:val="single" w:sz="4" w:space="0" w:color="auto"/>
              <w:right w:val="nil"/>
            </w:tcBorders>
            <w:shd w:val="clear" w:color="auto" w:fill="auto"/>
            <w:vAlign w:val="bottom"/>
          </w:tcPr>
          <w:p w14:paraId="6E9F350A" w14:textId="77777777" w:rsidR="00196507" w:rsidRPr="00DF2EC8" w:rsidRDefault="00196507" w:rsidP="00196507">
            <w:pPr>
              <w:pStyle w:val="Tabletext"/>
            </w:pPr>
            <w:r w:rsidRPr="00DF2EC8">
              <w:t>0</w:t>
            </w:r>
            <w:r w:rsidR="00D7157D">
              <w:t>.</w:t>
            </w:r>
            <w:r w:rsidRPr="00DF2EC8">
              <w:t>9358</w:t>
            </w:r>
          </w:p>
        </w:tc>
      </w:tr>
      <w:tr w:rsidR="00196507" w:rsidRPr="00A058B6" w14:paraId="38ED6D56" w14:textId="77777777" w:rsidTr="00196507">
        <w:tc>
          <w:tcPr>
            <w:tcW w:w="423" w:type="pct"/>
            <w:tcBorders>
              <w:top w:val="single" w:sz="4" w:space="0" w:color="auto"/>
              <w:left w:val="nil"/>
              <w:bottom w:val="single" w:sz="4" w:space="0" w:color="auto"/>
              <w:right w:val="nil"/>
            </w:tcBorders>
          </w:tcPr>
          <w:p w14:paraId="0319C9C6" w14:textId="77777777" w:rsidR="00196507" w:rsidRPr="00A058B6" w:rsidRDefault="00196507" w:rsidP="00196507">
            <w:pPr>
              <w:pStyle w:val="Tabletext"/>
            </w:pPr>
            <w:r>
              <w:t>8</w:t>
            </w:r>
          </w:p>
        </w:tc>
        <w:tc>
          <w:tcPr>
            <w:tcW w:w="507" w:type="pct"/>
            <w:tcBorders>
              <w:top w:val="single" w:sz="4" w:space="0" w:color="auto"/>
              <w:left w:val="nil"/>
              <w:bottom w:val="single" w:sz="4" w:space="0" w:color="auto"/>
              <w:right w:val="nil"/>
            </w:tcBorders>
            <w:shd w:val="clear" w:color="auto" w:fill="auto"/>
            <w:vAlign w:val="bottom"/>
          </w:tcPr>
          <w:p w14:paraId="0F5E6336" w14:textId="77777777" w:rsidR="00196507" w:rsidRPr="00DF2EC8" w:rsidRDefault="00196507" w:rsidP="00196507">
            <w:pPr>
              <w:pStyle w:val="Tabletext"/>
            </w:pPr>
            <w:r w:rsidRPr="00DF2EC8">
              <w:t>0</w:t>
            </w:r>
            <w:r w:rsidR="00D7157D">
              <w:t>.</w:t>
            </w:r>
            <w:r w:rsidRPr="00DF2EC8">
              <w:t>6274</w:t>
            </w:r>
          </w:p>
        </w:tc>
        <w:tc>
          <w:tcPr>
            <w:tcW w:w="509" w:type="pct"/>
            <w:tcBorders>
              <w:top w:val="single" w:sz="4" w:space="0" w:color="auto"/>
              <w:left w:val="nil"/>
              <w:bottom w:val="single" w:sz="4" w:space="0" w:color="auto"/>
              <w:right w:val="nil"/>
            </w:tcBorders>
            <w:shd w:val="clear" w:color="auto" w:fill="auto"/>
            <w:vAlign w:val="bottom"/>
          </w:tcPr>
          <w:p w14:paraId="3310BD87" w14:textId="77777777" w:rsidR="00196507" w:rsidRPr="00DF2EC8" w:rsidRDefault="00196507" w:rsidP="00196507">
            <w:pPr>
              <w:pStyle w:val="Tabletext"/>
            </w:pPr>
            <w:r w:rsidRPr="00DF2EC8">
              <w:t>0</w:t>
            </w:r>
            <w:r w:rsidR="00D7157D">
              <w:t>.</w:t>
            </w:r>
            <w:r w:rsidRPr="00DF2EC8">
              <w:t>7585</w:t>
            </w:r>
          </w:p>
        </w:tc>
        <w:tc>
          <w:tcPr>
            <w:tcW w:w="509" w:type="pct"/>
            <w:tcBorders>
              <w:top w:val="single" w:sz="4" w:space="0" w:color="auto"/>
              <w:left w:val="nil"/>
              <w:bottom w:val="single" w:sz="4" w:space="0" w:color="auto"/>
              <w:right w:val="nil"/>
            </w:tcBorders>
            <w:shd w:val="clear" w:color="auto" w:fill="auto"/>
            <w:vAlign w:val="bottom"/>
          </w:tcPr>
          <w:p w14:paraId="2443A349" w14:textId="77777777" w:rsidR="00196507" w:rsidRPr="00DF2EC8" w:rsidRDefault="00196507" w:rsidP="00196507">
            <w:pPr>
              <w:pStyle w:val="Tabletext"/>
            </w:pPr>
            <w:r w:rsidRPr="00DF2EC8">
              <w:t>0</w:t>
            </w:r>
            <w:r w:rsidR="00D7157D">
              <w:t>.</w:t>
            </w:r>
            <w:r w:rsidRPr="00DF2EC8">
              <w:t>7644</w:t>
            </w:r>
          </w:p>
        </w:tc>
        <w:tc>
          <w:tcPr>
            <w:tcW w:w="508" w:type="pct"/>
            <w:tcBorders>
              <w:top w:val="single" w:sz="4" w:space="0" w:color="auto"/>
              <w:left w:val="nil"/>
              <w:bottom w:val="single" w:sz="4" w:space="0" w:color="auto"/>
              <w:right w:val="nil"/>
            </w:tcBorders>
            <w:shd w:val="clear" w:color="auto" w:fill="auto"/>
            <w:vAlign w:val="bottom"/>
          </w:tcPr>
          <w:p w14:paraId="51DBE6AF" w14:textId="77777777" w:rsidR="00196507" w:rsidRPr="00DF7DF8" w:rsidRDefault="00196507" w:rsidP="00196507">
            <w:pPr>
              <w:pStyle w:val="Tabletext"/>
            </w:pPr>
            <w:r w:rsidRPr="00DF7DF8">
              <w:t>0</w:t>
            </w:r>
            <w:r w:rsidR="00D7157D">
              <w:t>.</w:t>
            </w:r>
            <w:r w:rsidRPr="00DF7DF8">
              <w:t>8135</w:t>
            </w:r>
          </w:p>
        </w:tc>
        <w:tc>
          <w:tcPr>
            <w:tcW w:w="509" w:type="pct"/>
            <w:tcBorders>
              <w:top w:val="single" w:sz="4" w:space="0" w:color="auto"/>
              <w:left w:val="nil"/>
              <w:bottom w:val="single" w:sz="4" w:space="0" w:color="auto"/>
              <w:right w:val="nil"/>
            </w:tcBorders>
            <w:shd w:val="clear" w:color="auto" w:fill="auto"/>
            <w:vAlign w:val="bottom"/>
          </w:tcPr>
          <w:p w14:paraId="7C2DA621" w14:textId="77777777" w:rsidR="00196507" w:rsidRPr="00DF7DF8" w:rsidRDefault="00196507" w:rsidP="00196507">
            <w:pPr>
              <w:pStyle w:val="Tabletext"/>
            </w:pPr>
            <w:r w:rsidRPr="00DF7DF8">
              <w:t>0</w:t>
            </w:r>
            <w:r w:rsidR="00D7157D">
              <w:t>.</w:t>
            </w:r>
            <w:r w:rsidRPr="00DF7DF8">
              <w:t>8262</w:t>
            </w:r>
          </w:p>
        </w:tc>
        <w:tc>
          <w:tcPr>
            <w:tcW w:w="508" w:type="pct"/>
            <w:tcBorders>
              <w:top w:val="single" w:sz="4" w:space="0" w:color="auto"/>
              <w:left w:val="nil"/>
              <w:bottom w:val="single" w:sz="4" w:space="0" w:color="auto"/>
              <w:right w:val="nil"/>
            </w:tcBorders>
            <w:shd w:val="clear" w:color="auto" w:fill="auto"/>
            <w:vAlign w:val="bottom"/>
          </w:tcPr>
          <w:p w14:paraId="7E4B4907" w14:textId="77777777" w:rsidR="00196507" w:rsidRPr="006F111C" w:rsidRDefault="00196507" w:rsidP="00196507">
            <w:pPr>
              <w:pStyle w:val="Tabletext"/>
            </w:pPr>
            <w:r w:rsidRPr="006F111C">
              <w:t>0</w:t>
            </w:r>
            <w:r w:rsidR="00D7157D">
              <w:t>.</w:t>
            </w:r>
            <w:r w:rsidRPr="006F111C">
              <w:t>7948</w:t>
            </w:r>
          </w:p>
        </w:tc>
        <w:tc>
          <w:tcPr>
            <w:tcW w:w="509" w:type="pct"/>
            <w:tcBorders>
              <w:top w:val="single" w:sz="4" w:space="0" w:color="auto"/>
              <w:left w:val="nil"/>
              <w:bottom w:val="single" w:sz="4" w:space="0" w:color="auto"/>
              <w:right w:val="nil"/>
            </w:tcBorders>
            <w:vAlign w:val="bottom"/>
          </w:tcPr>
          <w:p w14:paraId="293D9A4A"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8423</w:t>
            </w:r>
          </w:p>
        </w:tc>
        <w:tc>
          <w:tcPr>
            <w:tcW w:w="509" w:type="pct"/>
            <w:tcBorders>
              <w:top w:val="single" w:sz="4" w:space="0" w:color="auto"/>
              <w:left w:val="nil"/>
              <w:bottom w:val="single" w:sz="4" w:space="0" w:color="auto"/>
              <w:right w:val="nil"/>
            </w:tcBorders>
            <w:shd w:val="clear" w:color="auto" w:fill="auto"/>
            <w:vAlign w:val="bottom"/>
          </w:tcPr>
          <w:p w14:paraId="3B54CF64" w14:textId="77777777" w:rsidR="00196507" w:rsidRPr="00DF2EC8" w:rsidRDefault="00196507" w:rsidP="00196507">
            <w:pPr>
              <w:pStyle w:val="Tabletext"/>
            </w:pPr>
            <w:r w:rsidRPr="00DF2EC8">
              <w:t>0</w:t>
            </w:r>
            <w:r w:rsidR="00D7157D">
              <w:t>.</w:t>
            </w:r>
            <w:r w:rsidRPr="00DF2EC8">
              <w:t>8587</w:t>
            </w:r>
          </w:p>
        </w:tc>
        <w:tc>
          <w:tcPr>
            <w:tcW w:w="507" w:type="pct"/>
            <w:tcBorders>
              <w:top w:val="single" w:sz="4" w:space="0" w:color="auto"/>
              <w:left w:val="nil"/>
              <w:bottom w:val="single" w:sz="4" w:space="0" w:color="auto"/>
              <w:right w:val="nil"/>
            </w:tcBorders>
            <w:shd w:val="clear" w:color="auto" w:fill="auto"/>
            <w:vAlign w:val="bottom"/>
          </w:tcPr>
          <w:p w14:paraId="3FA5063F" w14:textId="77777777" w:rsidR="00196507" w:rsidRPr="00DF2EC8" w:rsidRDefault="00196507" w:rsidP="00196507">
            <w:pPr>
              <w:pStyle w:val="Tabletext"/>
            </w:pPr>
            <w:r w:rsidRPr="00DF2EC8">
              <w:t>0</w:t>
            </w:r>
            <w:r w:rsidR="00D7157D">
              <w:t>.</w:t>
            </w:r>
            <w:r w:rsidRPr="00DF2EC8">
              <w:t>9270</w:t>
            </w:r>
          </w:p>
        </w:tc>
      </w:tr>
      <w:tr w:rsidR="00196507" w:rsidRPr="00A058B6" w14:paraId="6BFD2C02" w14:textId="77777777" w:rsidTr="00196507">
        <w:tc>
          <w:tcPr>
            <w:tcW w:w="423" w:type="pct"/>
            <w:tcBorders>
              <w:top w:val="single" w:sz="4" w:space="0" w:color="auto"/>
              <w:left w:val="nil"/>
              <w:bottom w:val="single" w:sz="4" w:space="0" w:color="auto"/>
              <w:right w:val="nil"/>
            </w:tcBorders>
          </w:tcPr>
          <w:p w14:paraId="07885CE7" w14:textId="77777777" w:rsidR="00196507" w:rsidRPr="00A058B6" w:rsidRDefault="00196507" w:rsidP="00196507">
            <w:pPr>
              <w:pStyle w:val="Tabletext"/>
            </w:pPr>
            <w:r>
              <w:t>9</w:t>
            </w:r>
          </w:p>
        </w:tc>
        <w:tc>
          <w:tcPr>
            <w:tcW w:w="507" w:type="pct"/>
            <w:tcBorders>
              <w:top w:val="single" w:sz="4" w:space="0" w:color="auto"/>
              <w:left w:val="nil"/>
              <w:bottom w:val="single" w:sz="4" w:space="0" w:color="auto"/>
              <w:right w:val="nil"/>
            </w:tcBorders>
            <w:shd w:val="clear" w:color="auto" w:fill="auto"/>
            <w:vAlign w:val="bottom"/>
          </w:tcPr>
          <w:p w14:paraId="1560C989" w14:textId="77777777" w:rsidR="00196507" w:rsidRPr="00DF2EC8" w:rsidRDefault="00196507" w:rsidP="00196507">
            <w:pPr>
              <w:pStyle w:val="Tabletext"/>
            </w:pPr>
            <w:r w:rsidRPr="00DF2EC8">
              <w:t>0</w:t>
            </w:r>
            <w:r w:rsidR="00D7157D">
              <w:t>.</w:t>
            </w:r>
            <w:r w:rsidRPr="00DF2EC8">
              <w:t>5919</w:t>
            </w:r>
          </w:p>
        </w:tc>
        <w:tc>
          <w:tcPr>
            <w:tcW w:w="509" w:type="pct"/>
            <w:tcBorders>
              <w:top w:val="single" w:sz="4" w:space="0" w:color="auto"/>
              <w:left w:val="nil"/>
              <w:bottom w:val="single" w:sz="4" w:space="0" w:color="auto"/>
              <w:right w:val="nil"/>
            </w:tcBorders>
            <w:shd w:val="clear" w:color="auto" w:fill="auto"/>
            <w:vAlign w:val="bottom"/>
          </w:tcPr>
          <w:p w14:paraId="3D20486A" w14:textId="77777777" w:rsidR="00196507" w:rsidRPr="00DF2EC8" w:rsidRDefault="00196507" w:rsidP="00196507">
            <w:pPr>
              <w:pStyle w:val="Tabletext"/>
            </w:pPr>
            <w:r w:rsidRPr="00DF2EC8">
              <w:t>0</w:t>
            </w:r>
            <w:r w:rsidR="00D7157D">
              <w:t>.</w:t>
            </w:r>
            <w:r w:rsidRPr="00DF2EC8">
              <w:t>7327</w:t>
            </w:r>
          </w:p>
        </w:tc>
        <w:tc>
          <w:tcPr>
            <w:tcW w:w="509" w:type="pct"/>
            <w:tcBorders>
              <w:top w:val="single" w:sz="4" w:space="0" w:color="auto"/>
              <w:left w:val="nil"/>
              <w:bottom w:val="single" w:sz="4" w:space="0" w:color="auto"/>
              <w:right w:val="nil"/>
            </w:tcBorders>
            <w:shd w:val="clear" w:color="auto" w:fill="auto"/>
            <w:vAlign w:val="bottom"/>
          </w:tcPr>
          <w:p w14:paraId="1A86D477" w14:textId="77777777" w:rsidR="00196507" w:rsidRPr="00DF2EC8" w:rsidRDefault="00196507" w:rsidP="00196507">
            <w:pPr>
              <w:pStyle w:val="Tabletext"/>
            </w:pPr>
            <w:r w:rsidRPr="00DF2EC8">
              <w:t>0</w:t>
            </w:r>
            <w:r w:rsidR="00D7157D">
              <w:t>.</w:t>
            </w:r>
            <w:r w:rsidRPr="00DF2EC8">
              <w:t>7392</w:t>
            </w:r>
          </w:p>
        </w:tc>
        <w:tc>
          <w:tcPr>
            <w:tcW w:w="508" w:type="pct"/>
            <w:tcBorders>
              <w:top w:val="single" w:sz="4" w:space="0" w:color="auto"/>
              <w:left w:val="nil"/>
              <w:bottom w:val="single" w:sz="4" w:space="0" w:color="auto"/>
              <w:right w:val="nil"/>
            </w:tcBorders>
            <w:shd w:val="clear" w:color="auto" w:fill="auto"/>
            <w:vAlign w:val="bottom"/>
          </w:tcPr>
          <w:p w14:paraId="4191976C" w14:textId="77777777" w:rsidR="00196507" w:rsidRPr="00DF7DF8" w:rsidRDefault="00196507" w:rsidP="00196507">
            <w:pPr>
              <w:pStyle w:val="Tabletext"/>
            </w:pPr>
            <w:r w:rsidRPr="00DF7DF8">
              <w:t>0</w:t>
            </w:r>
            <w:r w:rsidR="00D7157D">
              <w:t>.</w:t>
            </w:r>
            <w:r w:rsidRPr="00DF7DF8">
              <w:t>7928</w:t>
            </w:r>
          </w:p>
        </w:tc>
        <w:tc>
          <w:tcPr>
            <w:tcW w:w="509" w:type="pct"/>
            <w:tcBorders>
              <w:top w:val="single" w:sz="4" w:space="0" w:color="auto"/>
              <w:left w:val="nil"/>
              <w:bottom w:val="single" w:sz="4" w:space="0" w:color="auto"/>
              <w:right w:val="nil"/>
            </w:tcBorders>
            <w:shd w:val="clear" w:color="auto" w:fill="auto"/>
            <w:vAlign w:val="bottom"/>
          </w:tcPr>
          <w:p w14:paraId="096ADAF0" w14:textId="77777777" w:rsidR="00196507" w:rsidRPr="00DF7DF8" w:rsidRDefault="00196507" w:rsidP="00196507">
            <w:pPr>
              <w:pStyle w:val="Tabletext"/>
            </w:pPr>
            <w:r w:rsidRPr="00DF7DF8">
              <w:t>0</w:t>
            </w:r>
            <w:r w:rsidR="00D7157D">
              <w:t>.</w:t>
            </w:r>
            <w:r w:rsidRPr="00DF7DF8">
              <w:t>8067</w:t>
            </w:r>
          </w:p>
        </w:tc>
        <w:tc>
          <w:tcPr>
            <w:tcW w:w="508" w:type="pct"/>
            <w:tcBorders>
              <w:top w:val="single" w:sz="4" w:space="0" w:color="auto"/>
              <w:left w:val="nil"/>
              <w:bottom w:val="single" w:sz="4" w:space="0" w:color="auto"/>
              <w:right w:val="nil"/>
            </w:tcBorders>
            <w:shd w:val="clear" w:color="auto" w:fill="auto"/>
            <w:vAlign w:val="bottom"/>
          </w:tcPr>
          <w:p w14:paraId="635DCE5A" w14:textId="77777777" w:rsidR="00196507" w:rsidRPr="006F111C" w:rsidRDefault="00196507" w:rsidP="00196507">
            <w:pPr>
              <w:pStyle w:val="Tabletext"/>
            </w:pPr>
            <w:r w:rsidRPr="006F111C">
              <w:t>0</w:t>
            </w:r>
            <w:r w:rsidR="00D7157D">
              <w:t>.</w:t>
            </w:r>
            <w:r w:rsidRPr="006F111C">
              <w:t>7723</w:t>
            </w:r>
          </w:p>
        </w:tc>
        <w:tc>
          <w:tcPr>
            <w:tcW w:w="509" w:type="pct"/>
            <w:tcBorders>
              <w:top w:val="single" w:sz="4" w:space="0" w:color="auto"/>
              <w:left w:val="nil"/>
              <w:bottom w:val="single" w:sz="4" w:space="0" w:color="auto"/>
              <w:right w:val="nil"/>
            </w:tcBorders>
            <w:vAlign w:val="bottom"/>
          </w:tcPr>
          <w:p w14:paraId="20C2302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8244</w:t>
            </w:r>
          </w:p>
        </w:tc>
        <w:tc>
          <w:tcPr>
            <w:tcW w:w="509" w:type="pct"/>
            <w:tcBorders>
              <w:top w:val="single" w:sz="4" w:space="0" w:color="auto"/>
              <w:left w:val="nil"/>
              <w:bottom w:val="single" w:sz="4" w:space="0" w:color="auto"/>
              <w:right w:val="nil"/>
            </w:tcBorders>
            <w:shd w:val="clear" w:color="auto" w:fill="auto"/>
            <w:vAlign w:val="bottom"/>
          </w:tcPr>
          <w:p w14:paraId="54BD4F3C" w14:textId="77777777" w:rsidR="00196507" w:rsidRPr="00DF2EC8" w:rsidRDefault="00196507" w:rsidP="00196507">
            <w:pPr>
              <w:pStyle w:val="Tabletext"/>
            </w:pPr>
            <w:r w:rsidRPr="00DF2EC8">
              <w:t>0</w:t>
            </w:r>
            <w:r w:rsidR="00D7157D">
              <w:t>.</w:t>
            </w:r>
            <w:r w:rsidRPr="00DF2EC8">
              <w:t>8425</w:t>
            </w:r>
          </w:p>
        </w:tc>
        <w:tc>
          <w:tcPr>
            <w:tcW w:w="507" w:type="pct"/>
            <w:tcBorders>
              <w:top w:val="single" w:sz="4" w:space="0" w:color="auto"/>
              <w:left w:val="nil"/>
              <w:bottom w:val="single" w:sz="4" w:space="0" w:color="auto"/>
              <w:right w:val="nil"/>
            </w:tcBorders>
            <w:shd w:val="clear" w:color="auto" w:fill="auto"/>
            <w:vAlign w:val="bottom"/>
          </w:tcPr>
          <w:p w14:paraId="7D958430" w14:textId="77777777" w:rsidR="00196507" w:rsidRPr="00DF2EC8" w:rsidRDefault="00196507" w:rsidP="00196507">
            <w:pPr>
              <w:pStyle w:val="Tabletext"/>
            </w:pPr>
            <w:r w:rsidRPr="00DF2EC8">
              <w:t>0</w:t>
            </w:r>
            <w:r w:rsidR="00D7157D">
              <w:t>.</w:t>
            </w:r>
            <w:r w:rsidRPr="00DF2EC8">
              <w:t>9182</w:t>
            </w:r>
          </w:p>
        </w:tc>
      </w:tr>
      <w:tr w:rsidR="00196507" w:rsidRPr="00A058B6" w14:paraId="2616A1CF" w14:textId="77777777" w:rsidTr="00196507">
        <w:tc>
          <w:tcPr>
            <w:tcW w:w="423" w:type="pct"/>
            <w:tcBorders>
              <w:top w:val="single" w:sz="4" w:space="0" w:color="auto"/>
              <w:left w:val="nil"/>
              <w:bottom w:val="single" w:sz="12" w:space="0" w:color="auto"/>
              <w:right w:val="nil"/>
            </w:tcBorders>
          </w:tcPr>
          <w:p w14:paraId="6A8E2B41" w14:textId="77777777" w:rsidR="00196507" w:rsidRPr="00A058B6" w:rsidRDefault="00196507" w:rsidP="00196507">
            <w:pPr>
              <w:pStyle w:val="Tabletext"/>
            </w:pPr>
            <w:r>
              <w:t>10</w:t>
            </w:r>
          </w:p>
        </w:tc>
        <w:tc>
          <w:tcPr>
            <w:tcW w:w="507" w:type="pct"/>
            <w:tcBorders>
              <w:top w:val="single" w:sz="4" w:space="0" w:color="auto"/>
              <w:left w:val="nil"/>
              <w:bottom w:val="single" w:sz="12" w:space="0" w:color="auto"/>
              <w:right w:val="nil"/>
            </w:tcBorders>
            <w:shd w:val="clear" w:color="auto" w:fill="auto"/>
            <w:vAlign w:val="bottom"/>
          </w:tcPr>
          <w:p w14:paraId="6B1E576B" w14:textId="77777777" w:rsidR="00196507" w:rsidRPr="00DF2EC8" w:rsidRDefault="00196507" w:rsidP="00196507">
            <w:pPr>
              <w:pStyle w:val="Tabletext"/>
            </w:pPr>
            <w:r w:rsidRPr="00DF2EC8">
              <w:t>0</w:t>
            </w:r>
            <w:r w:rsidR="00D7157D">
              <w:t>.</w:t>
            </w:r>
            <w:r w:rsidRPr="00DF2EC8">
              <w:t>5584</w:t>
            </w:r>
          </w:p>
        </w:tc>
        <w:tc>
          <w:tcPr>
            <w:tcW w:w="509" w:type="pct"/>
            <w:tcBorders>
              <w:top w:val="single" w:sz="4" w:space="0" w:color="auto"/>
              <w:left w:val="nil"/>
              <w:bottom w:val="single" w:sz="12" w:space="0" w:color="auto"/>
              <w:right w:val="nil"/>
            </w:tcBorders>
            <w:shd w:val="clear" w:color="auto" w:fill="auto"/>
            <w:vAlign w:val="bottom"/>
          </w:tcPr>
          <w:p w14:paraId="060C98EA" w14:textId="77777777" w:rsidR="00196507" w:rsidRPr="00DF2EC8" w:rsidRDefault="00196507" w:rsidP="00196507">
            <w:pPr>
              <w:pStyle w:val="Tabletext"/>
            </w:pPr>
            <w:r w:rsidRPr="00DF2EC8">
              <w:t>0</w:t>
            </w:r>
            <w:r w:rsidR="00D7157D">
              <w:t>.</w:t>
            </w:r>
            <w:r w:rsidRPr="00DF2EC8">
              <w:t>7078</w:t>
            </w:r>
          </w:p>
        </w:tc>
        <w:tc>
          <w:tcPr>
            <w:tcW w:w="509" w:type="pct"/>
            <w:tcBorders>
              <w:top w:val="single" w:sz="4" w:space="0" w:color="auto"/>
              <w:left w:val="nil"/>
              <w:bottom w:val="single" w:sz="12" w:space="0" w:color="auto"/>
              <w:right w:val="nil"/>
            </w:tcBorders>
            <w:shd w:val="clear" w:color="auto" w:fill="auto"/>
            <w:vAlign w:val="bottom"/>
          </w:tcPr>
          <w:p w14:paraId="2C52F1FF" w14:textId="77777777" w:rsidR="00196507" w:rsidRPr="00DF2EC8" w:rsidRDefault="00196507" w:rsidP="00196507">
            <w:pPr>
              <w:pStyle w:val="Tabletext"/>
            </w:pPr>
            <w:r w:rsidRPr="00DF2EC8">
              <w:t>0</w:t>
            </w:r>
            <w:r w:rsidR="00D7157D">
              <w:t>.</w:t>
            </w:r>
            <w:r w:rsidRPr="00DF2EC8">
              <w:t>7148</w:t>
            </w:r>
          </w:p>
        </w:tc>
        <w:tc>
          <w:tcPr>
            <w:tcW w:w="508" w:type="pct"/>
            <w:tcBorders>
              <w:top w:val="single" w:sz="4" w:space="0" w:color="auto"/>
              <w:left w:val="nil"/>
              <w:bottom w:val="single" w:sz="12" w:space="0" w:color="auto"/>
              <w:right w:val="nil"/>
            </w:tcBorders>
            <w:shd w:val="clear" w:color="auto" w:fill="auto"/>
            <w:vAlign w:val="bottom"/>
          </w:tcPr>
          <w:p w14:paraId="051A84D4" w14:textId="77777777" w:rsidR="00196507" w:rsidRPr="00DF7DF8" w:rsidRDefault="00196507" w:rsidP="00196507">
            <w:pPr>
              <w:pStyle w:val="Tabletext"/>
            </w:pPr>
            <w:r w:rsidRPr="00DF7DF8">
              <w:t>0</w:t>
            </w:r>
            <w:r w:rsidR="00D7157D">
              <w:t>.</w:t>
            </w:r>
            <w:r w:rsidRPr="00DF7DF8">
              <w:t>7726</w:t>
            </w:r>
          </w:p>
        </w:tc>
        <w:tc>
          <w:tcPr>
            <w:tcW w:w="509" w:type="pct"/>
            <w:tcBorders>
              <w:top w:val="single" w:sz="4" w:space="0" w:color="auto"/>
              <w:left w:val="nil"/>
              <w:bottom w:val="single" w:sz="12" w:space="0" w:color="auto"/>
              <w:right w:val="nil"/>
            </w:tcBorders>
            <w:shd w:val="clear" w:color="auto" w:fill="auto"/>
            <w:vAlign w:val="bottom"/>
          </w:tcPr>
          <w:p w14:paraId="65666D8A" w14:textId="77777777" w:rsidR="00196507" w:rsidRPr="00DF7DF8" w:rsidRDefault="00196507" w:rsidP="00196507">
            <w:pPr>
              <w:pStyle w:val="Tabletext"/>
            </w:pPr>
            <w:r w:rsidRPr="00DF7DF8">
              <w:t>0</w:t>
            </w:r>
            <w:r w:rsidR="00D7157D">
              <w:t>.</w:t>
            </w:r>
            <w:r w:rsidRPr="00DF7DF8">
              <w:t>7877</w:t>
            </w:r>
          </w:p>
        </w:tc>
        <w:tc>
          <w:tcPr>
            <w:tcW w:w="508" w:type="pct"/>
            <w:tcBorders>
              <w:top w:val="single" w:sz="4" w:space="0" w:color="auto"/>
              <w:left w:val="nil"/>
              <w:bottom w:val="single" w:sz="12" w:space="0" w:color="auto"/>
              <w:right w:val="nil"/>
            </w:tcBorders>
            <w:shd w:val="clear" w:color="auto" w:fill="auto"/>
            <w:vAlign w:val="bottom"/>
          </w:tcPr>
          <w:p w14:paraId="25852DA3" w14:textId="77777777" w:rsidR="00196507" w:rsidRPr="006F111C" w:rsidRDefault="00196507" w:rsidP="00196507">
            <w:pPr>
              <w:pStyle w:val="Tabletext"/>
            </w:pPr>
            <w:r w:rsidRPr="006F111C">
              <w:t>0</w:t>
            </w:r>
            <w:r w:rsidR="00D7157D">
              <w:t>.</w:t>
            </w:r>
            <w:r w:rsidRPr="006F111C">
              <w:t>7504</w:t>
            </w:r>
          </w:p>
        </w:tc>
        <w:tc>
          <w:tcPr>
            <w:tcW w:w="509" w:type="pct"/>
            <w:tcBorders>
              <w:top w:val="single" w:sz="4" w:space="0" w:color="auto"/>
              <w:left w:val="nil"/>
              <w:bottom w:val="single" w:sz="12" w:space="0" w:color="auto"/>
              <w:right w:val="nil"/>
            </w:tcBorders>
            <w:vAlign w:val="bottom"/>
          </w:tcPr>
          <w:p w14:paraId="01348C4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8069</w:t>
            </w:r>
          </w:p>
        </w:tc>
        <w:tc>
          <w:tcPr>
            <w:tcW w:w="509" w:type="pct"/>
            <w:tcBorders>
              <w:top w:val="single" w:sz="4" w:space="0" w:color="auto"/>
              <w:left w:val="nil"/>
              <w:bottom w:val="single" w:sz="12" w:space="0" w:color="auto"/>
              <w:right w:val="nil"/>
            </w:tcBorders>
            <w:shd w:val="clear" w:color="auto" w:fill="auto"/>
            <w:vAlign w:val="bottom"/>
          </w:tcPr>
          <w:p w14:paraId="57F62CE6" w14:textId="77777777" w:rsidR="00196507" w:rsidRPr="00DF2EC8" w:rsidRDefault="00196507" w:rsidP="00196507">
            <w:pPr>
              <w:pStyle w:val="Tabletext"/>
            </w:pPr>
            <w:r w:rsidRPr="00DF2EC8">
              <w:t>0</w:t>
            </w:r>
            <w:r w:rsidR="00D7157D">
              <w:t>.</w:t>
            </w:r>
            <w:r w:rsidRPr="00DF2EC8">
              <w:t>8266</w:t>
            </w:r>
          </w:p>
        </w:tc>
        <w:tc>
          <w:tcPr>
            <w:tcW w:w="507" w:type="pct"/>
            <w:tcBorders>
              <w:top w:val="single" w:sz="4" w:space="0" w:color="auto"/>
              <w:left w:val="nil"/>
              <w:bottom w:val="single" w:sz="12" w:space="0" w:color="auto"/>
              <w:right w:val="nil"/>
            </w:tcBorders>
            <w:shd w:val="clear" w:color="auto" w:fill="auto"/>
            <w:vAlign w:val="bottom"/>
          </w:tcPr>
          <w:p w14:paraId="1A255ABC" w14:textId="77777777" w:rsidR="00196507" w:rsidRPr="00DF2EC8" w:rsidRDefault="00196507" w:rsidP="00196507">
            <w:pPr>
              <w:pStyle w:val="Tabletext"/>
            </w:pPr>
            <w:r w:rsidRPr="00DF2EC8">
              <w:t>0</w:t>
            </w:r>
            <w:r w:rsidR="00D7157D">
              <w:t>.</w:t>
            </w:r>
            <w:r w:rsidRPr="00DF2EC8">
              <w:t>9096</w:t>
            </w:r>
          </w:p>
        </w:tc>
      </w:tr>
    </w:tbl>
    <w:p w14:paraId="4D4A4EED" w14:textId="77777777" w:rsidR="002C29C8" w:rsidRDefault="0022507A" w:rsidP="002C29C8">
      <w:pPr>
        <w:pStyle w:val="ActHead5"/>
      </w:pPr>
      <w:bookmarkStart w:id="322" w:name="_Toc188350799"/>
      <w:r w:rsidRPr="00423C34">
        <w:rPr>
          <w:rStyle w:val="CharSectno"/>
        </w:rPr>
        <w:t>18</w:t>
      </w:r>
      <w:r w:rsidR="002C29C8">
        <w:t xml:space="preserve">  Meaning of </w:t>
      </w:r>
      <w:r w:rsidR="002C29C8">
        <w:rPr>
          <w:i/>
        </w:rPr>
        <w:t>survival</w:t>
      </w:r>
      <w:r w:rsidR="002C29C8" w:rsidRPr="006A19A0">
        <w:rPr>
          <w:i/>
        </w:rPr>
        <w:t xml:space="preserve"> valuation factor</w:t>
      </w:r>
      <w:bookmarkEnd w:id="322"/>
    </w:p>
    <w:p w14:paraId="36C2B3F0" w14:textId="77777777" w:rsidR="002C29C8" w:rsidRDefault="002C29C8" w:rsidP="002C29C8">
      <w:pPr>
        <w:pStyle w:val="subsection"/>
      </w:pPr>
      <w:r>
        <w:tab/>
        <w:t>(1)</w:t>
      </w:r>
      <w:r>
        <w:tab/>
        <w:t xml:space="preserve">For the purposes of </w:t>
      </w:r>
      <w:r w:rsidR="00B05FD6">
        <w:t>clause </w:t>
      </w:r>
      <w:r w:rsidR="0022507A">
        <w:t>16</w:t>
      </w:r>
      <w:r>
        <w:t xml:space="preserve">, </w:t>
      </w:r>
      <w:r w:rsidR="0014689D" w:rsidRPr="008C6F2B">
        <w:rPr>
          <w:b/>
          <w:i/>
        </w:rPr>
        <w:t>S</w:t>
      </w:r>
      <w:r w:rsidR="0014689D" w:rsidRPr="008C6F2B">
        <w:rPr>
          <w:b/>
          <w:i/>
          <w:vertAlign w:val="subscript"/>
        </w:rPr>
        <w:t>x+t,</w:t>
      </w:r>
      <w:r w:rsidR="00B12FB5">
        <w:rPr>
          <w:b/>
          <w:i/>
          <w:vertAlign w:val="subscript"/>
        </w:rPr>
        <w:t xml:space="preserve"> </w:t>
      </w:r>
      <w:r w:rsidR="0014689D" w:rsidRPr="008C6F2B">
        <w:rPr>
          <w:b/>
          <w:i/>
          <w:vertAlign w:val="subscript"/>
        </w:rPr>
        <w:t>y+m</w:t>
      </w:r>
      <w:r w:rsidR="0014689D">
        <w:t xml:space="preserve"> </w:t>
      </w:r>
      <w:r>
        <w:t>is:</w:t>
      </w:r>
    </w:p>
    <w:p w14:paraId="667DCFDB" w14:textId="631DB7AB" w:rsidR="005C7F66" w:rsidRPr="0091271B" w:rsidRDefault="00EC7093" w:rsidP="0091271B">
      <w:pPr>
        <w:pStyle w:val="subsection2"/>
      </w:pPr>
      <w:r w:rsidRPr="0091271B">
        <w:rPr>
          <w:position w:val="-32"/>
        </w:rPr>
        <w:object w:dxaOrig="3280" w:dyaOrig="1060" w14:anchorId="44920767">
          <v:shape id="_x0000_i1087" type="#_x0000_t75" alt="Start formula start fraction open bracket S subscript x subscript plus subscript t subscript comma subscript y times open bracket 12 minus m close bracket close bracket plus open bracket S subscript x subscript plus subscript t subscript comma subscript y subscript plus subscript 1 times m close bracket over 12 end fraction end formula" style="width:163.7pt;height:53.65pt" o:ole="">
            <v:imagedata r:id="rId160" o:title=""/>
          </v:shape>
          <o:OLEObject Type="Embed" ProgID="Equation.DSMT4" ShapeID="_x0000_i1087" DrawAspect="Content" ObjectID="_1801634316" r:id="rId161"/>
        </w:object>
      </w:r>
    </w:p>
    <w:p w14:paraId="039C0451" w14:textId="77777777" w:rsidR="00863D0B" w:rsidRDefault="005773D2" w:rsidP="005773D2">
      <w:pPr>
        <w:pStyle w:val="subsection2"/>
      </w:pPr>
      <w:r>
        <w:t>where:</w:t>
      </w:r>
    </w:p>
    <w:p w14:paraId="135E3F4A" w14:textId="77777777" w:rsidR="005773D2" w:rsidRDefault="00E359C0" w:rsidP="00E359C0">
      <w:pPr>
        <w:pStyle w:val="Definition"/>
      </w:pPr>
      <w:bookmarkStart w:id="323" w:name="_Hlk187412998"/>
      <w:r w:rsidRPr="00925156">
        <w:rPr>
          <w:b/>
          <w:i/>
        </w:rPr>
        <w:t>S</w:t>
      </w:r>
      <w:r w:rsidRPr="00925156">
        <w:rPr>
          <w:b/>
          <w:i/>
          <w:vertAlign w:val="subscript"/>
        </w:rPr>
        <w:t>x+t,</w:t>
      </w:r>
      <w:r w:rsidR="00AD2956">
        <w:rPr>
          <w:b/>
          <w:i/>
          <w:vertAlign w:val="subscript"/>
        </w:rPr>
        <w:t xml:space="preserve"> </w:t>
      </w:r>
      <w:r w:rsidRPr="00925156">
        <w:rPr>
          <w:b/>
          <w:i/>
          <w:vertAlign w:val="subscript"/>
        </w:rPr>
        <w:t>y</w:t>
      </w:r>
      <w:r>
        <w:t xml:space="preserve"> </w:t>
      </w:r>
      <w:r w:rsidR="00E41D57">
        <w:t>means</w:t>
      </w:r>
      <w:r w:rsidR="0006268C">
        <w:t>:</w:t>
      </w:r>
    </w:p>
    <w:bookmarkEnd w:id="323"/>
    <w:p w14:paraId="21AEC5A3" w14:textId="16C3689B" w:rsidR="00175FEC" w:rsidRPr="0091271B" w:rsidRDefault="00C96642" w:rsidP="00175FEC">
      <w:pPr>
        <w:pStyle w:val="subsection2"/>
      </w:pPr>
      <w:r w:rsidRPr="0091271B">
        <w:rPr>
          <w:position w:val="-32"/>
        </w:rPr>
        <w:object w:dxaOrig="2920" w:dyaOrig="1060" w14:anchorId="3132C712">
          <v:shape id="_x0000_i1088" type="#_x0000_t75" alt="Start formula start fraction open bracket S subscript x subscript comma subscript y times open bracket 12 minus t close bracket close bracket plus open bracket S subscript x subscript plus subscript 1 subscript comma subscript y times t close bracket over 12 end fraction end formula" style="width:145.85pt;height:53.65pt" o:ole="">
            <v:imagedata r:id="rId162" o:title=""/>
          </v:shape>
          <o:OLEObject Type="Embed" ProgID="Equation.DSMT4" ShapeID="_x0000_i1088" DrawAspect="Content" ObjectID="_1801634317" r:id="rId163"/>
        </w:object>
      </w:r>
    </w:p>
    <w:p w14:paraId="48E0CA31" w14:textId="77777777" w:rsidR="00894C60" w:rsidRDefault="00894C60" w:rsidP="00894C60">
      <w:pPr>
        <w:pStyle w:val="Definition"/>
        <w:rPr>
          <w:rFonts w:cstheme="minorHAnsi"/>
          <w:bCs/>
          <w:iCs/>
          <w:szCs w:val="24"/>
        </w:rPr>
      </w:pPr>
      <w:r w:rsidRPr="00C22380">
        <w:rPr>
          <w:b/>
          <w:i/>
        </w:rPr>
        <w:t>m</w:t>
      </w:r>
      <w:r w:rsidRPr="00C22380">
        <w:t xml:space="preserve"> </w:t>
      </w:r>
      <w:r w:rsidR="00E41D57">
        <w:t>means</w:t>
      </w:r>
      <w:r w:rsidR="00E41D57" w:rsidRPr="00A058B6">
        <w:t xml:space="preserve"> </w:t>
      </w:r>
      <w:r w:rsidRPr="00C22380">
        <w:rPr>
          <w:rFonts w:cstheme="minorHAnsi"/>
          <w:bCs/>
          <w:iCs/>
          <w:szCs w:val="24"/>
        </w:rPr>
        <w:t>the number of complete months of the remaining guarantee period of the pension that are not included in the remaining complete years at the relevant date</w:t>
      </w:r>
      <w:r w:rsidR="00D7157D">
        <w:rPr>
          <w:rFonts w:cstheme="minorHAnsi"/>
          <w:bCs/>
          <w:iCs/>
          <w:szCs w:val="24"/>
        </w:rPr>
        <w:t>.</w:t>
      </w:r>
    </w:p>
    <w:p w14:paraId="72B99AAE" w14:textId="77777777" w:rsidR="00894C60" w:rsidRDefault="00894C60" w:rsidP="00894C60">
      <w:pPr>
        <w:pStyle w:val="Definition"/>
      </w:pPr>
      <w:r w:rsidRPr="00925156">
        <w:rPr>
          <w:b/>
          <w:i/>
        </w:rPr>
        <w:t>S</w:t>
      </w:r>
      <w:r w:rsidRPr="00925156">
        <w:rPr>
          <w:b/>
          <w:i/>
          <w:vertAlign w:val="subscript"/>
        </w:rPr>
        <w:t>x+t,</w:t>
      </w:r>
      <w:r w:rsidR="00AD2956">
        <w:rPr>
          <w:b/>
          <w:i/>
          <w:vertAlign w:val="subscript"/>
        </w:rPr>
        <w:t xml:space="preserve"> </w:t>
      </w:r>
      <w:r w:rsidRPr="00925156">
        <w:rPr>
          <w:b/>
          <w:i/>
          <w:vertAlign w:val="subscript"/>
        </w:rPr>
        <w:t>y+1</w:t>
      </w:r>
      <w:r>
        <w:t xml:space="preserve"> </w:t>
      </w:r>
      <w:r w:rsidR="00E41D57">
        <w:t>means</w:t>
      </w:r>
      <w:r>
        <w:t>:</w:t>
      </w:r>
    </w:p>
    <w:p w14:paraId="55700018" w14:textId="4BF44DB4" w:rsidR="007E4362" w:rsidRPr="0091271B" w:rsidRDefault="00C17197" w:rsidP="007E4362">
      <w:pPr>
        <w:pStyle w:val="subsection2"/>
      </w:pPr>
      <w:r w:rsidRPr="0091271B">
        <w:rPr>
          <w:position w:val="-32"/>
        </w:rPr>
        <w:object w:dxaOrig="3120" w:dyaOrig="1060" w14:anchorId="040BD06A">
          <v:shape id="_x0000_i1089" type="#_x0000_t75" alt="Start formula start fraction open bracket S subscript x subscript comma subscript y subscript plus subscript 1 times open bracket 12 minus t close bracket close bracket plus open bracket S subscript x subscript plus subscript 1 subscript comma subscript y subscript plus subscript 1 times t close bracket over 12 end fraction end formula" style="width:155pt;height:53.65pt" o:ole="">
            <v:imagedata r:id="rId164" o:title=""/>
          </v:shape>
          <o:OLEObject Type="Embed" ProgID="Equation.DSMT4" ShapeID="_x0000_i1089" DrawAspect="Content" ObjectID="_1801634318" r:id="rId165"/>
        </w:object>
      </w:r>
    </w:p>
    <w:p w14:paraId="44C06E5D" w14:textId="77777777" w:rsidR="00894C60" w:rsidRPr="001B23E1" w:rsidRDefault="00894C60" w:rsidP="00894C60">
      <w:pPr>
        <w:pStyle w:val="Definition"/>
      </w:pPr>
      <w:r w:rsidRPr="001B23E1">
        <w:rPr>
          <w:b/>
          <w:i/>
        </w:rPr>
        <w:t>x</w:t>
      </w:r>
      <w:r w:rsidRPr="001B23E1">
        <w:t xml:space="preserve"> </w:t>
      </w:r>
      <w:r w:rsidR="00E41D57">
        <w:t>means</w:t>
      </w:r>
      <w:r w:rsidR="00E41D57" w:rsidRPr="00A058B6">
        <w:t xml:space="preserve"> </w:t>
      </w:r>
      <w:r w:rsidRPr="001B23E1">
        <w:t>the member spouse’s age in completed years at the relevant date</w:t>
      </w:r>
      <w:r w:rsidR="00D7157D">
        <w:t>.</w:t>
      </w:r>
    </w:p>
    <w:p w14:paraId="2556B0DE" w14:textId="77777777" w:rsidR="00894C60" w:rsidRPr="001B23E1" w:rsidRDefault="00894C60" w:rsidP="00894C60">
      <w:pPr>
        <w:pStyle w:val="Definition"/>
      </w:pPr>
      <w:r w:rsidRPr="001B23E1">
        <w:rPr>
          <w:b/>
          <w:i/>
        </w:rPr>
        <w:t>y</w:t>
      </w:r>
      <w:r w:rsidRPr="001B23E1">
        <w:t xml:space="preserve"> </w:t>
      </w:r>
      <w:r w:rsidR="00E41D57">
        <w:t>means</w:t>
      </w:r>
      <w:r w:rsidR="00E41D57" w:rsidRPr="00A058B6">
        <w:t xml:space="preserve"> </w:t>
      </w:r>
      <w:r w:rsidRPr="001B23E1">
        <w:t>the remaining guarantee period of the pension in complete years at the relevant date</w:t>
      </w:r>
      <w:r w:rsidR="00D7157D">
        <w:t>.</w:t>
      </w:r>
    </w:p>
    <w:p w14:paraId="09CBE847" w14:textId="77777777" w:rsidR="00894C60" w:rsidRPr="001B23E1" w:rsidRDefault="00894C60" w:rsidP="00894C60">
      <w:pPr>
        <w:pStyle w:val="Definition"/>
      </w:pPr>
      <w:r w:rsidRPr="001B23E1">
        <w:rPr>
          <w:b/>
          <w:i/>
        </w:rPr>
        <w:t>t</w:t>
      </w:r>
      <w:r w:rsidRPr="001B23E1">
        <w:t xml:space="preserve"> </w:t>
      </w:r>
      <w:r w:rsidR="00E41D57">
        <w:t>means</w:t>
      </w:r>
      <w:r w:rsidR="00E41D57" w:rsidRPr="00A058B6">
        <w:t xml:space="preserve"> </w:t>
      </w:r>
      <w:r w:rsidRPr="001B23E1">
        <w:t>the number of completed months of the member spouse’s age that are not included in the completed years at the relevant date</w:t>
      </w:r>
      <w:r w:rsidR="00D7157D">
        <w:t>.</w:t>
      </w:r>
    </w:p>
    <w:p w14:paraId="6E9AA509" w14:textId="77777777" w:rsidR="00397752" w:rsidRPr="00397752" w:rsidRDefault="00894C60" w:rsidP="00894C60">
      <w:pPr>
        <w:pStyle w:val="Definition"/>
        <w:rPr>
          <w:rFonts w:cstheme="minorHAnsi"/>
          <w:bCs/>
          <w:iCs/>
          <w:szCs w:val="28"/>
          <w:lang w:eastAsia="zh-CN"/>
        </w:rPr>
      </w:pPr>
      <w:r w:rsidRPr="00397752">
        <w:rPr>
          <w:b/>
          <w:i/>
        </w:rPr>
        <w:t>S</w:t>
      </w:r>
      <w:r w:rsidRPr="00397752">
        <w:rPr>
          <w:b/>
          <w:i/>
          <w:vertAlign w:val="subscript"/>
        </w:rPr>
        <w:t>x,</w:t>
      </w:r>
      <w:r w:rsidR="003A7C7B">
        <w:rPr>
          <w:b/>
          <w:i/>
          <w:vertAlign w:val="subscript"/>
        </w:rPr>
        <w:t xml:space="preserve"> </w:t>
      </w:r>
      <w:r w:rsidRPr="00397752">
        <w:rPr>
          <w:b/>
          <w:i/>
          <w:vertAlign w:val="subscript"/>
        </w:rPr>
        <w:t>y</w:t>
      </w:r>
      <w:r w:rsidRPr="00397752">
        <w:t xml:space="preserve"> </w:t>
      </w:r>
      <w:r w:rsidR="00E41D57">
        <w:t>means</w:t>
      </w:r>
      <w:r w:rsidR="00E41D57" w:rsidRPr="00A058B6">
        <w:t xml:space="preserve"> </w:t>
      </w:r>
      <w:r w:rsidRPr="00397752">
        <w:rPr>
          <w:rFonts w:cstheme="minorHAnsi"/>
          <w:bCs/>
          <w:iCs/>
          <w:szCs w:val="28"/>
          <w:lang w:eastAsia="zh-CN"/>
        </w:rPr>
        <w:t xml:space="preserve">the survival valuation factor </w:t>
      </w:r>
      <w:r w:rsidR="00397752" w:rsidRPr="00397752">
        <w:t>mentioned</w:t>
      </w:r>
      <w:r w:rsidRPr="00397752">
        <w:t xml:space="preserve"> in </w:t>
      </w:r>
      <w:r w:rsidR="00B05FD6">
        <w:t>subclause (</w:t>
      </w:r>
      <w:r w:rsidR="00002893" w:rsidRPr="00397752">
        <w:t>2</w:t>
      </w:r>
      <w:r w:rsidRPr="00397752">
        <w:t>) or (</w:t>
      </w:r>
      <w:r w:rsidR="00002893" w:rsidRPr="00397752">
        <w:t>3</w:t>
      </w:r>
      <w:r w:rsidRPr="00397752">
        <w:t xml:space="preserve">) </w:t>
      </w:r>
      <w:r w:rsidRPr="00397752">
        <w:rPr>
          <w:rFonts w:cstheme="minorHAnsi"/>
          <w:bCs/>
          <w:iCs/>
          <w:szCs w:val="28"/>
          <w:lang w:eastAsia="zh-CN"/>
        </w:rPr>
        <w:t>that applies to</w:t>
      </w:r>
      <w:r w:rsidR="00397752" w:rsidRPr="00397752">
        <w:rPr>
          <w:rFonts w:cstheme="minorHAnsi"/>
          <w:bCs/>
          <w:iCs/>
          <w:szCs w:val="28"/>
          <w:lang w:eastAsia="zh-CN"/>
        </w:rPr>
        <w:t>:</w:t>
      </w:r>
    </w:p>
    <w:p w14:paraId="3DBA41C8" w14:textId="77777777" w:rsidR="00397752" w:rsidRPr="00397752" w:rsidRDefault="00397752" w:rsidP="00397752">
      <w:pPr>
        <w:pStyle w:val="paragraph"/>
      </w:pPr>
      <w:r w:rsidRPr="00397752">
        <w:tab/>
        <w:t>(a)</w:t>
      </w:r>
      <w:r w:rsidRPr="00397752">
        <w:tab/>
      </w:r>
      <w:r w:rsidR="00894C60" w:rsidRPr="00397752">
        <w:t>the member spouse</w:t>
      </w:r>
      <w:r w:rsidRPr="00397752">
        <w:t>; and</w:t>
      </w:r>
    </w:p>
    <w:p w14:paraId="2D7A64B5" w14:textId="77777777" w:rsidR="00397752" w:rsidRPr="00397752" w:rsidRDefault="00397752" w:rsidP="00397752">
      <w:pPr>
        <w:pStyle w:val="paragraph"/>
      </w:pPr>
      <w:r w:rsidRPr="00397752">
        <w:tab/>
        <w:t>(b)</w:t>
      </w:r>
      <w:r w:rsidRPr="00397752">
        <w:tab/>
      </w:r>
      <w:r w:rsidR="00894C60" w:rsidRPr="00397752">
        <w:t>the member spouse’s age in completed years at the relevant date</w:t>
      </w:r>
      <w:r w:rsidRPr="00397752">
        <w:t>;</w:t>
      </w:r>
      <w:r w:rsidR="00894C60" w:rsidRPr="00397752">
        <w:t xml:space="preserve"> and</w:t>
      </w:r>
    </w:p>
    <w:p w14:paraId="4B763F6E" w14:textId="77777777" w:rsidR="00894C60" w:rsidRDefault="00397752" w:rsidP="00397752">
      <w:pPr>
        <w:pStyle w:val="paragraph"/>
      </w:pPr>
      <w:r w:rsidRPr="00397752">
        <w:tab/>
        <w:t>(c)</w:t>
      </w:r>
      <w:r w:rsidRPr="00397752">
        <w:tab/>
      </w:r>
      <w:r w:rsidR="00894C60" w:rsidRPr="00397752">
        <w:t>the remaining guarantee period of the pension in completed years at the relevant date</w:t>
      </w:r>
      <w:r w:rsidR="00D7157D">
        <w:t>.</w:t>
      </w:r>
    </w:p>
    <w:p w14:paraId="126C4A56" w14:textId="77777777" w:rsidR="00C9354A" w:rsidRPr="000778E6" w:rsidRDefault="00894C60" w:rsidP="00894C60">
      <w:pPr>
        <w:pStyle w:val="Definition"/>
        <w:rPr>
          <w:rFonts w:cstheme="minorHAnsi"/>
        </w:rPr>
      </w:pPr>
      <w:r w:rsidRPr="000778E6">
        <w:rPr>
          <w:b/>
          <w:i/>
        </w:rPr>
        <w:t>S</w:t>
      </w:r>
      <w:r w:rsidRPr="000778E6">
        <w:rPr>
          <w:b/>
          <w:i/>
          <w:vertAlign w:val="subscript"/>
        </w:rPr>
        <w:t>x+1,</w:t>
      </w:r>
      <w:r w:rsidR="003A7C7B">
        <w:rPr>
          <w:b/>
          <w:i/>
          <w:vertAlign w:val="subscript"/>
        </w:rPr>
        <w:t xml:space="preserve"> </w:t>
      </w:r>
      <w:r w:rsidRPr="000778E6">
        <w:rPr>
          <w:b/>
          <w:i/>
          <w:vertAlign w:val="subscript"/>
        </w:rPr>
        <w:t>y</w:t>
      </w:r>
      <w:r w:rsidRPr="000778E6">
        <w:t xml:space="preserve"> </w:t>
      </w:r>
      <w:r w:rsidR="00774DE4">
        <w:t>means</w:t>
      </w:r>
      <w:r w:rsidR="00774DE4" w:rsidRPr="00A058B6">
        <w:t xml:space="preserve"> </w:t>
      </w:r>
      <w:r w:rsidRPr="000778E6">
        <w:rPr>
          <w:rFonts w:cstheme="minorHAnsi"/>
          <w:bCs/>
          <w:iCs/>
          <w:szCs w:val="28"/>
          <w:lang w:eastAsia="zh-CN"/>
        </w:rPr>
        <w:t xml:space="preserve">the survival valuation factor </w:t>
      </w:r>
      <w:r w:rsidR="000113FD" w:rsidRPr="000778E6">
        <w:t>mentioned</w:t>
      </w:r>
      <w:r w:rsidRPr="000778E6">
        <w:t xml:space="preserve"> in </w:t>
      </w:r>
      <w:r w:rsidR="00B05FD6">
        <w:t>subclause (</w:t>
      </w:r>
      <w:r w:rsidR="00002893" w:rsidRPr="000778E6">
        <w:t>2</w:t>
      </w:r>
      <w:r w:rsidRPr="000778E6">
        <w:t>) or (</w:t>
      </w:r>
      <w:r w:rsidR="00002893" w:rsidRPr="000778E6">
        <w:t>3</w:t>
      </w:r>
      <w:r w:rsidRPr="000778E6">
        <w:t xml:space="preserve">) </w:t>
      </w:r>
      <w:r w:rsidRPr="000778E6">
        <w:rPr>
          <w:rFonts w:cstheme="minorHAnsi"/>
        </w:rPr>
        <w:t>that would apply to</w:t>
      </w:r>
      <w:r w:rsidR="00C9354A" w:rsidRPr="000778E6">
        <w:rPr>
          <w:rFonts w:cstheme="minorHAnsi"/>
        </w:rPr>
        <w:t>:</w:t>
      </w:r>
    </w:p>
    <w:p w14:paraId="5F6C83E1" w14:textId="77777777" w:rsidR="00C9354A" w:rsidRPr="000778E6" w:rsidRDefault="00C9354A" w:rsidP="00C9354A">
      <w:pPr>
        <w:pStyle w:val="paragraph"/>
      </w:pPr>
      <w:r w:rsidRPr="000778E6">
        <w:tab/>
        <w:t>(a)</w:t>
      </w:r>
      <w:r w:rsidRPr="000778E6">
        <w:tab/>
        <w:t>the member spouse; and</w:t>
      </w:r>
    </w:p>
    <w:p w14:paraId="610C493F" w14:textId="77777777" w:rsidR="00C9354A" w:rsidRPr="000778E6" w:rsidRDefault="00C9354A" w:rsidP="00C9354A">
      <w:pPr>
        <w:pStyle w:val="paragraph"/>
      </w:pPr>
      <w:r w:rsidRPr="000778E6">
        <w:tab/>
        <w:t>(b)</w:t>
      </w:r>
      <w:r w:rsidRPr="000778E6">
        <w:tab/>
        <w:t>the remaining guarantee period of the pension in completed years at the relevant date;</w:t>
      </w:r>
    </w:p>
    <w:p w14:paraId="2F62CF0D" w14:textId="77777777" w:rsidR="00894C60" w:rsidRDefault="00C9354A" w:rsidP="00C9354A">
      <w:pPr>
        <w:pStyle w:val="subsection2"/>
      </w:pPr>
      <w:r w:rsidRPr="000778E6">
        <w:t>if</w:t>
      </w:r>
      <w:r w:rsidR="00894C60" w:rsidRPr="000778E6">
        <w:t xml:space="preserve"> </w:t>
      </w:r>
      <w:r w:rsidRPr="000778E6">
        <w:t>the</w:t>
      </w:r>
      <w:r w:rsidR="00894C60" w:rsidRPr="000778E6">
        <w:t xml:space="preserve"> member spouse</w:t>
      </w:r>
      <w:r w:rsidRPr="000778E6">
        <w:t>’s age</w:t>
      </w:r>
      <w:r w:rsidR="00894C60" w:rsidRPr="000778E6">
        <w:t xml:space="preserve"> in completed years at the relevant date was one year more than the </w:t>
      </w:r>
      <w:r w:rsidR="00A053DD" w:rsidRPr="000778E6">
        <w:t xml:space="preserve">member spouse’s </w:t>
      </w:r>
      <w:r w:rsidR="00894C60" w:rsidRPr="000778E6">
        <w:t>actual age in completed years at that date</w:t>
      </w:r>
      <w:r w:rsidR="00D7157D">
        <w:t>.</w:t>
      </w:r>
    </w:p>
    <w:p w14:paraId="7CAE0567" w14:textId="77777777" w:rsidR="00002893" w:rsidRPr="00002893" w:rsidRDefault="00002893" w:rsidP="00002893">
      <w:pPr>
        <w:pStyle w:val="SubsectionHead"/>
      </w:pPr>
      <w:r>
        <w:t>Survival</w:t>
      </w:r>
      <w:r w:rsidRPr="00A058B6">
        <w:t xml:space="preserve"> valuation factors </w:t>
      </w:r>
      <w:r w:rsidRPr="00002893">
        <w:t>for males</w:t>
      </w:r>
    </w:p>
    <w:p w14:paraId="3B123EE6" w14:textId="77777777" w:rsidR="00411149" w:rsidRPr="00A058B6" w:rsidRDefault="00411149" w:rsidP="00411149">
      <w:pPr>
        <w:pStyle w:val="subsection"/>
      </w:pPr>
      <w:r>
        <w:tab/>
        <w:t>(</w:t>
      </w:r>
      <w:r w:rsidR="00002893">
        <w:t>2</w:t>
      </w:r>
      <w:r>
        <w:t>)</w:t>
      </w:r>
      <w:r>
        <w:tab/>
      </w:r>
      <w:r w:rsidRPr="00A058B6">
        <w:t xml:space="preserve">The </w:t>
      </w:r>
      <w:r>
        <w:t>survival</w:t>
      </w:r>
      <w:r w:rsidRPr="00A058B6">
        <w:t xml:space="preserve"> valuation factors </w:t>
      </w:r>
      <w:r>
        <w:t xml:space="preserve">that apply </w:t>
      </w:r>
      <w:r w:rsidRPr="000778E6">
        <w:t xml:space="preserve">for </w:t>
      </w:r>
      <w:r w:rsidR="00EB688C" w:rsidRPr="000778E6">
        <w:t>males</w:t>
      </w:r>
      <w:r>
        <w:t xml:space="preserve"> are as follows:</w:t>
      </w:r>
    </w:p>
    <w:p w14:paraId="4603C868" w14:textId="77777777" w:rsidR="00925156" w:rsidRDefault="00925156" w:rsidP="00EB688C">
      <w:pPr>
        <w:pStyle w:val="Tabletext"/>
      </w:pPr>
    </w:p>
    <w:tbl>
      <w:tblPr>
        <w:tblW w:w="8314" w:type="dxa"/>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596"/>
        <w:gridCol w:w="878"/>
        <w:gridCol w:w="760"/>
        <w:gridCol w:w="760"/>
        <w:gridCol w:w="760"/>
        <w:gridCol w:w="760"/>
        <w:gridCol w:w="760"/>
        <w:gridCol w:w="760"/>
        <w:gridCol w:w="760"/>
        <w:gridCol w:w="760"/>
        <w:gridCol w:w="760"/>
      </w:tblGrid>
      <w:tr w:rsidR="00290EB8" w14:paraId="6527B004" w14:textId="77777777" w:rsidTr="00275D40">
        <w:trPr>
          <w:tblHeader/>
        </w:trPr>
        <w:tc>
          <w:tcPr>
            <w:tcW w:w="596" w:type="dxa"/>
            <w:tcBorders>
              <w:top w:val="single" w:sz="12" w:space="0" w:color="auto"/>
              <w:bottom w:val="single" w:sz="6" w:space="0" w:color="auto"/>
            </w:tcBorders>
            <w:shd w:val="clear" w:color="auto" w:fill="auto"/>
          </w:tcPr>
          <w:p w14:paraId="1A2C293B" w14:textId="77777777" w:rsidR="00290EB8" w:rsidRDefault="00290EB8" w:rsidP="00EB688C">
            <w:pPr>
              <w:pStyle w:val="TableHeading"/>
            </w:pPr>
          </w:p>
        </w:tc>
        <w:tc>
          <w:tcPr>
            <w:tcW w:w="7718" w:type="dxa"/>
            <w:gridSpan w:val="10"/>
            <w:tcBorders>
              <w:top w:val="single" w:sz="12" w:space="0" w:color="auto"/>
              <w:bottom w:val="single" w:sz="6" w:space="0" w:color="auto"/>
            </w:tcBorders>
            <w:shd w:val="clear" w:color="auto" w:fill="auto"/>
          </w:tcPr>
          <w:p w14:paraId="2B36820B" w14:textId="77777777" w:rsidR="00290EB8" w:rsidRDefault="000358E9" w:rsidP="00EB688C">
            <w:pPr>
              <w:pStyle w:val="TableHeading"/>
            </w:pPr>
            <w:r>
              <w:t>Remaining guaranteed period (in completed years)</w:t>
            </w:r>
          </w:p>
        </w:tc>
      </w:tr>
      <w:tr w:rsidR="00EB688C" w14:paraId="737C8D6F" w14:textId="77777777" w:rsidTr="00EB783E">
        <w:trPr>
          <w:tblHeader/>
        </w:trPr>
        <w:tc>
          <w:tcPr>
            <w:tcW w:w="596" w:type="dxa"/>
            <w:tcBorders>
              <w:top w:val="single" w:sz="6" w:space="0" w:color="auto"/>
              <w:bottom w:val="single" w:sz="12" w:space="0" w:color="auto"/>
            </w:tcBorders>
            <w:shd w:val="clear" w:color="auto" w:fill="auto"/>
          </w:tcPr>
          <w:p w14:paraId="3E98895B" w14:textId="77777777" w:rsidR="00EB688C" w:rsidRDefault="000358E9" w:rsidP="00EB688C">
            <w:pPr>
              <w:pStyle w:val="TableHeading"/>
            </w:pPr>
            <w:r>
              <w:t>Age</w:t>
            </w:r>
          </w:p>
        </w:tc>
        <w:tc>
          <w:tcPr>
            <w:tcW w:w="878" w:type="dxa"/>
            <w:tcBorders>
              <w:top w:val="single" w:sz="6" w:space="0" w:color="auto"/>
              <w:bottom w:val="single" w:sz="12" w:space="0" w:color="auto"/>
            </w:tcBorders>
            <w:shd w:val="clear" w:color="auto" w:fill="auto"/>
          </w:tcPr>
          <w:p w14:paraId="7CDA4438" w14:textId="77777777" w:rsidR="00EB688C" w:rsidRDefault="000358E9" w:rsidP="00EB688C">
            <w:pPr>
              <w:pStyle w:val="TableHeading"/>
            </w:pPr>
            <w:r>
              <w:t>1</w:t>
            </w:r>
          </w:p>
        </w:tc>
        <w:tc>
          <w:tcPr>
            <w:tcW w:w="760" w:type="dxa"/>
            <w:tcBorders>
              <w:top w:val="single" w:sz="6" w:space="0" w:color="auto"/>
              <w:bottom w:val="single" w:sz="12" w:space="0" w:color="auto"/>
            </w:tcBorders>
            <w:shd w:val="clear" w:color="auto" w:fill="auto"/>
          </w:tcPr>
          <w:p w14:paraId="5C780237" w14:textId="77777777" w:rsidR="00EB688C" w:rsidRDefault="000358E9" w:rsidP="00EB688C">
            <w:pPr>
              <w:pStyle w:val="TableHeading"/>
            </w:pPr>
            <w:r>
              <w:t>2</w:t>
            </w:r>
          </w:p>
        </w:tc>
        <w:tc>
          <w:tcPr>
            <w:tcW w:w="760" w:type="dxa"/>
            <w:tcBorders>
              <w:top w:val="single" w:sz="6" w:space="0" w:color="auto"/>
              <w:bottom w:val="single" w:sz="12" w:space="0" w:color="auto"/>
            </w:tcBorders>
            <w:shd w:val="clear" w:color="auto" w:fill="auto"/>
          </w:tcPr>
          <w:p w14:paraId="02F9EB26" w14:textId="77777777" w:rsidR="00EB688C" w:rsidRDefault="000358E9" w:rsidP="00EB688C">
            <w:pPr>
              <w:pStyle w:val="TableHeading"/>
            </w:pPr>
            <w:r>
              <w:t>3</w:t>
            </w:r>
          </w:p>
        </w:tc>
        <w:tc>
          <w:tcPr>
            <w:tcW w:w="760" w:type="dxa"/>
            <w:tcBorders>
              <w:top w:val="single" w:sz="6" w:space="0" w:color="auto"/>
              <w:bottom w:val="single" w:sz="12" w:space="0" w:color="auto"/>
            </w:tcBorders>
            <w:shd w:val="clear" w:color="auto" w:fill="auto"/>
          </w:tcPr>
          <w:p w14:paraId="48BECB40" w14:textId="77777777" w:rsidR="00EB688C" w:rsidRDefault="000358E9" w:rsidP="00EB688C">
            <w:pPr>
              <w:pStyle w:val="TableHeading"/>
            </w:pPr>
            <w:r>
              <w:t>4</w:t>
            </w:r>
          </w:p>
        </w:tc>
        <w:tc>
          <w:tcPr>
            <w:tcW w:w="760" w:type="dxa"/>
            <w:tcBorders>
              <w:top w:val="single" w:sz="6" w:space="0" w:color="auto"/>
              <w:bottom w:val="single" w:sz="12" w:space="0" w:color="auto"/>
            </w:tcBorders>
            <w:shd w:val="clear" w:color="auto" w:fill="auto"/>
          </w:tcPr>
          <w:p w14:paraId="5A8823CD" w14:textId="77777777" w:rsidR="00EB688C" w:rsidRDefault="000358E9" w:rsidP="00EB688C">
            <w:pPr>
              <w:pStyle w:val="TableHeading"/>
            </w:pPr>
            <w:r>
              <w:t>5</w:t>
            </w:r>
          </w:p>
        </w:tc>
        <w:tc>
          <w:tcPr>
            <w:tcW w:w="760" w:type="dxa"/>
            <w:tcBorders>
              <w:top w:val="single" w:sz="6" w:space="0" w:color="auto"/>
              <w:bottom w:val="single" w:sz="12" w:space="0" w:color="auto"/>
            </w:tcBorders>
            <w:shd w:val="clear" w:color="auto" w:fill="auto"/>
          </w:tcPr>
          <w:p w14:paraId="33D2603E" w14:textId="77777777" w:rsidR="00EB688C" w:rsidRDefault="000358E9" w:rsidP="00EB688C">
            <w:pPr>
              <w:pStyle w:val="TableHeading"/>
            </w:pPr>
            <w:r>
              <w:t>6</w:t>
            </w:r>
          </w:p>
        </w:tc>
        <w:tc>
          <w:tcPr>
            <w:tcW w:w="760" w:type="dxa"/>
            <w:tcBorders>
              <w:top w:val="single" w:sz="6" w:space="0" w:color="auto"/>
              <w:bottom w:val="single" w:sz="12" w:space="0" w:color="auto"/>
            </w:tcBorders>
            <w:shd w:val="clear" w:color="auto" w:fill="auto"/>
          </w:tcPr>
          <w:p w14:paraId="28C2EC2A" w14:textId="77777777" w:rsidR="00EB688C" w:rsidRDefault="000358E9" w:rsidP="00EB688C">
            <w:pPr>
              <w:pStyle w:val="TableHeading"/>
            </w:pPr>
            <w:r>
              <w:t>7</w:t>
            </w:r>
          </w:p>
        </w:tc>
        <w:tc>
          <w:tcPr>
            <w:tcW w:w="760" w:type="dxa"/>
            <w:tcBorders>
              <w:top w:val="single" w:sz="6" w:space="0" w:color="auto"/>
              <w:bottom w:val="single" w:sz="12" w:space="0" w:color="auto"/>
            </w:tcBorders>
            <w:shd w:val="clear" w:color="auto" w:fill="auto"/>
          </w:tcPr>
          <w:p w14:paraId="58EABF3A" w14:textId="77777777" w:rsidR="00EB688C" w:rsidRDefault="000358E9" w:rsidP="00EB688C">
            <w:pPr>
              <w:pStyle w:val="TableHeading"/>
            </w:pPr>
            <w:r>
              <w:t>8</w:t>
            </w:r>
          </w:p>
        </w:tc>
        <w:tc>
          <w:tcPr>
            <w:tcW w:w="760" w:type="dxa"/>
            <w:tcBorders>
              <w:top w:val="single" w:sz="6" w:space="0" w:color="auto"/>
              <w:bottom w:val="single" w:sz="12" w:space="0" w:color="auto"/>
            </w:tcBorders>
            <w:shd w:val="clear" w:color="auto" w:fill="auto"/>
          </w:tcPr>
          <w:p w14:paraId="40B70836" w14:textId="77777777" w:rsidR="00EB688C" w:rsidRDefault="000358E9" w:rsidP="00EB688C">
            <w:pPr>
              <w:pStyle w:val="TableHeading"/>
            </w:pPr>
            <w:r>
              <w:t>9</w:t>
            </w:r>
          </w:p>
        </w:tc>
        <w:tc>
          <w:tcPr>
            <w:tcW w:w="760" w:type="dxa"/>
            <w:tcBorders>
              <w:top w:val="single" w:sz="6" w:space="0" w:color="auto"/>
              <w:bottom w:val="single" w:sz="12" w:space="0" w:color="auto"/>
            </w:tcBorders>
            <w:shd w:val="clear" w:color="auto" w:fill="auto"/>
          </w:tcPr>
          <w:p w14:paraId="48C2C7EC" w14:textId="77777777" w:rsidR="00EB688C" w:rsidRDefault="001A0708" w:rsidP="00EB688C">
            <w:pPr>
              <w:pStyle w:val="TableHeading"/>
            </w:pPr>
            <w:r>
              <w:t>10</w:t>
            </w:r>
          </w:p>
        </w:tc>
      </w:tr>
      <w:tr w:rsidR="001A0708" w:rsidRPr="00CE6CA4" w14:paraId="7354D02C" w14:textId="77777777" w:rsidTr="00EB783E">
        <w:tc>
          <w:tcPr>
            <w:tcW w:w="596" w:type="dxa"/>
            <w:tcBorders>
              <w:top w:val="single" w:sz="12" w:space="0" w:color="auto"/>
              <w:bottom w:val="single" w:sz="4" w:space="0" w:color="auto"/>
            </w:tcBorders>
            <w:shd w:val="clear" w:color="auto" w:fill="auto"/>
          </w:tcPr>
          <w:p w14:paraId="0C4AE053" w14:textId="77777777" w:rsidR="001A0708" w:rsidRPr="00B81FFE" w:rsidRDefault="00AD0E54" w:rsidP="001A0708">
            <w:pPr>
              <w:pStyle w:val="Tabletext"/>
            </w:pPr>
            <w:r w:rsidRPr="00B81FFE">
              <w:t>≤</w:t>
            </w:r>
            <w:r w:rsidR="001A0708" w:rsidRPr="00B81FFE">
              <w:t>60</w:t>
            </w:r>
          </w:p>
        </w:tc>
        <w:tc>
          <w:tcPr>
            <w:tcW w:w="878" w:type="dxa"/>
            <w:tcBorders>
              <w:top w:val="single" w:sz="12" w:space="0" w:color="auto"/>
              <w:left w:val="nil"/>
              <w:bottom w:val="single" w:sz="4" w:space="0" w:color="auto"/>
              <w:right w:val="nil"/>
            </w:tcBorders>
            <w:shd w:val="clear" w:color="auto" w:fill="auto"/>
            <w:vAlign w:val="bottom"/>
          </w:tcPr>
          <w:p w14:paraId="2F8C938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9977</w:t>
            </w:r>
          </w:p>
        </w:tc>
        <w:tc>
          <w:tcPr>
            <w:tcW w:w="760" w:type="dxa"/>
            <w:tcBorders>
              <w:top w:val="single" w:sz="12" w:space="0" w:color="auto"/>
              <w:left w:val="nil"/>
              <w:bottom w:val="single" w:sz="4" w:space="0" w:color="auto"/>
              <w:right w:val="nil"/>
            </w:tcBorders>
            <w:shd w:val="clear" w:color="auto" w:fill="auto"/>
            <w:vAlign w:val="bottom"/>
          </w:tcPr>
          <w:p w14:paraId="3F03EDB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9953</w:t>
            </w:r>
          </w:p>
        </w:tc>
        <w:tc>
          <w:tcPr>
            <w:tcW w:w="760" w:type="dxa"/>
            <w:tcBorders>
              <w:top w:val="single" w:sz="12" w:space="0" w:color="auto"/>
              <w:left w:val="nil"/>
              <w:bottom w:val="single" w:sz="4" w:space="0" w:color="auto"/>
              <w:right w:val="nil"/>
            </w:tcBorders>
            <w:shd w:val="clear" w:color="auto" w:fill="auto"/>
            <w:vAlign w:val="bottom"/>
          </w:tcPr>
          <w:p w14:paraId="14C4741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9928</w:t>
            </w:r>
          </w:p>
        </w:tc>
        <w:tc>
          <w:tcPr>
            <w:tcW w:w="760" w:type="dxa"/>
            <w:tcBorders>
              <w:top w:val="single" w:sz="12" w:space="0" w:color="auto"/>
              <w:left w:val="nil"/>
              <w:bottom w:val="single" w:sz="4" w:space="0" w:color="auto"/>
              <w:right w:val="nil"/>
            </w:tcBorders>
            <w:shd w:val="clear" w:color="auto" w:fill="auto"/>
            <w:vAlign w:val="bottom"/>
          </w:tcPr>
          <w:p w14:paraId="4FA700B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9902</w:t>
            </w:r>
          </w:p>
        </w:tc>
        <w:tc>
          <w:tcPr>
            <w:tcW w:w="760" w:type="dxa"/>
            <w:tcBorders>
              <w:top w:val="single" w:sz="12" w:space="0" w:color="auto"/>
              <w:left w:val="nil"/>
              <w:bottom w:val="single" w:sz="4" w:space="0" w:color="auto"/>
              <w:right w:val="nil"/>
            </w:tcBorders>
            <w:shd w:val="clear" w:color="auto" w:fill="auto"/>
            <w:vAlign w:val="bottom"/>
          </w:tcPr>
          <w:p w14:paraId="54D3E65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9874</w:t>
            </w:r>
          </w:p>
        </w:tc>
        <w:tc>
          <w:tcPr>
            <w:tcW w:w="760" w:type="dxa"/>
            <w:tcBorders>
              <w:top w:val="single" w:sz="12" w:space="0" w:color="auto"/>
              <w:left w:val="nil"/>
              <w:bottom w:val="single" w:sz="4" w:space="0" w:color="auto"/>
              <w:right w:val="nil"/>
            </w:tcBorders>
            <w:shd w:val="clear" w:color="auto" w:fill="auto"/>
            <w:vAlign w:val="bottom"/>
          </w:tcPr>
          <w:p w14:paraId="6039753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9840</w:t>
            </w:r>
          </w:p>
        </w:tc>
        <w:tc>
          <w:tcPr>
            <w:tcW w:w="760" w:type="dxa"/>
            <w:tcBorders>
              <w:top w:val="single" w:sz="12" w:space="0" w:color="auto"/>
              <w:left w:val="nil"/>
              <w:bottom w:val="single" w:sz="4" w:space="0" w:color="auto"/>
              <w:right w:val="nil"/>
            </w:tcBorders>
            <w:shd w:val="clear" w:color="auto" w:fill="auto"/>
            <w:vAlign w:val="bottom"/>
          </w:tcPr>
          <w:p w14:paraId="1752D3B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9802</w:t>
            </w:r>
          </w:p>
        </w:tc>
        <w:tc>
          <w:tcPr>
            <w:tcW w:w="760" w:type="dxa"/>
            <w:tcBorders>
              <w:top w:val="single" w:sz="12" w:space="0" w:color="auto"/>
              <w:left w:val="nil"/>
              <w:bottom w:val="single" w:sz="4" w:space="0" w:color="auto"/>
              <w:right w:val="nil"/>
            </w:tcBorders>
            <w:shd w:val="clear" w:color="auto" w:fill="auto"/>
            <w:vAlign w:val="bottom"/>
          </w:tcPr>
          <w:p w14:paraId="5F90DC4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9758</w:t>
            </w:r>
          </w:p>
        </w:tc>
        <w:tc>
          <w:tcPr>
            <w:tcW w:w="760" w:type="dxa"/>
            <w:tcBorders>
              <w:top w:val="single" w:sz="12" w:space="0" w:color="auto"/>
              <w:left w:val="nil"/>
              <w:bottom w:val="single" w:sz="4" w:space="0" w:color="auto"/>
              <w:right w:val="nil"/>
            </w:tcBorders>
            <w:shd w:val="clear" w:color="auto" w:fill="auto"/>
            <w:vAlign w:val="bottom"/>
          </w:tcPr>
          <w:p w14:paraId="5360B1D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9709</w:t>
            </w:r>
          </w:p>
        </w:tc>
        <w:tc>
          <w:tcPr>
            <w:tcW w:w="760" w:type="dxa"/>
            <w:tcBorders>
              <w:top w:val="single" w:sz="12" w:space="0" w:color="auto"/>
              <w:left w:val="nil"/>
              <w:bottom w:val="single" w:sz="4" w:space="0" w:color="auto"/>
              <w:right w:val="nil"/>
            </w:tcBorders>
            <w:shd w:val="clear" w:color="auto" w:fill="auto"/>
            <w:vAlign w:val="bottom"/>
          </w:tcPr>
          <w:p w14:paraId="3F92871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9654</w:t>
            </w:r>
          </w:p>
        </w:tc>
      </w:tr>
      <w:tr w:rsidR="001A0708" w:rsidRPr="00CE6CA4" w14:paraId="7AFB5D4E" w14:textId="77777777" w:rsidTr="00EB783E">
        <w:tc>
          <w:tcPr>
            <w:tcW w:w="596" w:type="dxa"/>
            <w:tcBorders>
              <w:top w:val="single" w:sz="4" w:space="0" w:color="auto"/>
              <w:bottom w:val="single" w:sz="4" w:space="0" w:color="auto"/>
            </w:tcBorders>
            <w:shd w:val="clear" w:color="auto" w:fill="auto"/>
          </w:tcPr>
          <w:p w14:paraId="17C313E2" w14:textId="77777777" w:rsidR="001A0708" w:rsidRPr="00B81FFE" w:rsidRDefault="003822F9" w:rsidP="001A0708">
            <w:pPr>
              <w:pStyle w:val="Tabletext"/>
            </w:pPr>
            <w:r w:rsidRPr="00B81FFE">
              <w:t>61</w:t>
            </w:r>
          </w:p>
        </w:tc>
        <w:tc>
          <w:tcPr>
            <w:tcW w:w="878" w:type="dxa"/>
            <w:tcBorders>
              <w:top w:val="single" w:sz="4" w:space="0" w:color="auto"/>
              <w:left w:val="nil"/>
              <w:bottom w:val="single" w:sz="4" w:space="0" w:color="auto"/>
              <w:right w:val="nil"/>
            </w:tcBorders>
            <w:shd w:val="clear" w:color="auto" w:fill="auto"/>
            <w:vAlign w:val="bottom"/>
          </w:tcPr>
          <w:p w14:paraId="31DE8E2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9976</w:t>
            </w:r>
          </w:p>
        </w:tc>
        <w:tc>
          <w:tcPr>
            <w:tcW w:w="760" w:type="dxa"/>
            <w:tcBorders>
              <w:top w:val="single" w:sz="4" w:space="0" w:color="auto"/>
              <w:left w:val="nil"/>
              <w:bottom w:val="single" w:sz="4" w:space="0" w:color="auto"/>
              <w:right w:val="nil"/>
            </w:tcBorders>
            <w:shd w:val="clear" w:color="auto" w:fill="auto"/>
            <w:vAlign w:val="bottom"/>
          </w:tcPr>
          <w:p w14:paraId="4200723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9951</w:t>
            </w:r>
          </w:p>
        </w:tc>
        <w:tc>
          <w:tcPr>
            <w:tcW w:w="760" w:type="dxa"/>
            <w:tcBorders>
              <w:top w:val="single" w:sz="4" w:space="0" w:color="auto"/>
              <w:left w:val="nil"/>
              <w:bottom w:val="single" w:sz="4" w:space="0" w:color="auto"/>
              <w:right w:val="nil"/>
            </w:tcBorders>
            <w:shd w:val="clear" w:color="auto" w:fill="auto"/>
            <w:vAlign w:val="bottom"/>
          </w:tcPr>
          <w:p w14:paraId="26299D9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9924</w:t>
            </w:r>
          </w:p>
        </w:tc>
        <w:tc>
          <w:tcPr>
            <w:tcW w:w="760" w:type="dxa"/>
            <w:tcBorders>
              <w:top w:val="single" w:sz="4" w:space="0" w:color="auto"/>
              <w:left w:val="nil"/>
              <w:bottom w:val="single" w:sz="4" w:space="0" w:color="auto"/>
              <w:right w:val="nil"/>
            </w:tcBorders>
            <w:shd w:val="clear" w:color="auto" w:fill="auto"/>
            <w:vAlign w:val="bottom"/>
          </w:tcPr>
          <w:p w14:paraId="258F70E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9895</w:t>
            </w:r>
          </w:p>
        </w:tc>
        <w:tc>
          <w:tcPr>
            <w:tcW w:w="760" w:type="dxa"/>
            <w:tcBorders>
              <w:top w:val="single" w:sz="4" w:space="0" w:color="auto"/>
              <w:left w:val="nil"/>
              <w:bottom w:val="single" w:sz="4" w:space="0" w:color="auto"/>
              <w:right w:val="nil"/>
            </w:tcBorders>
            <w:shd w:val="clear" w:color="auto" w:fill="auto"/>
            <w:vAlign w:val="bottom"/>
          </w:tcPr>
          <w:p w14:paraId="0AEA95C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9861</w:t>
            </w:r>
          </w:p>
        </w:tc>
        <w:tc>
          <w:tcPr>
            <w:tcW w:w="760" w:type="dxa"/>
            <w:tcBorders>
              <w:top w:val="single" w:sz="4" w:space="0" w:color="auto"/>
              <w:left w:val="nil"/>
              <w:bottom w:val="single" w:sz="4" w:space="0" w:color="auto"/>
              <w:right w:val="nil"/>
            </w:tcBorders>
            <w:shd w:val="clear" w:color="auto" w:fill="auto"/>
            <w:vAlign w:val="bottom"/>
          </w:tcPr>
          <w:p w14:paraId="64818B1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9822</w:t>
            </w:r>
          </w:p>
        </w:tc>
        <w:tc>
          <w:tcPr>
            <w:tcW w:w="760" w:type="dxa"/>
            <w:tcBorders>
              <w:top w:val="single" w:sz="4" w:space="0" w:color="auto"/>
              <w:left w:val="nil"/>
              <w:bottom w:val="single" w:sz="4" w:space="0" w:color="auto"/>
              <w:right w:val="nil"/>
            </w:tcBorders>
            <w:shd w:val="clear" w:color="auto" w:fill="auto"/>
            <w:vAlign w:val="bottom"/>
          </w:tcPr>
          <w:p w14:paraId="58C13B2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9777</w:t>
            </w:r>
          </w:p>
        </w:tc>
        <w:tc>
          <w:tcPr>
            <w:tcW w:w="760" w:type="dxa"/>
            <w:tcBorders>
              <w:top w:val="single" w:sz="4" w:space="0" w:color="auto"/>
              <w:left w:val="nil"/>
              <w:bottom w:val="single" w:sz="4" w:space="0" w:color="auto"/>
              <w:right w:val="nil"/>
            </w:tcBorders>
            <w:shd w:val="clear" w:color="auto" w:fill="auto"/>
            <w:vAlign w:val="bottom"/>
          </w:tcPr>
          <w:p w14:paraId="0808476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9727</w:t>
            </w:r>
          </w:p>
        </w:tc>
        <w:tc>
          <w:tcPr>
            <w:tcW w:w="760" w:type="dxa"/>
            <w:tcBorders>
              <w:top w:val="single" w:sz="4" w:space="0" w:color="auto"/>
              <w:left w:val="nil"/>
              <w:bottom w:val="single" w:sz="4" w:space="0" w:color="auto"/>
              <w:right w:val="nil"/>
            </w:tcBorders>
            <w:shd w:val="clear" w:color="auto" w:fill="auto"/>
            <w:vAlign w:val="bottom"/>
          </w:tcPr>
          <w:p w14:paraId="40A7FF4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9672</w:t>
            </w:r>
          </w:p>
        </w:tc>
        <w:tc>
          <w:tcPr>
            <w:tcW w:w="760" w:type="dxa"/>
            <w:tcBorders>
              <w:top w:val="single" w:sz="4" w:space="0" w:color="auto"/>
              <w:left w:val="nil"/>
              <w:bottom w:val="single" w:sz="4" w:space="0" w:color="auto"/>
              <w:right w:val="nil"/>
            </w:tcBorders>
            <w:shd w:val="clear" w:color="auto" w:fill="auto"/>
            <w:vAlign w:val="bottom"/>
          </w:tcPr>
          <w:p w14:paraId="07F91DD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9611</w:t>
            </w:r>
          </w:p>
        </w:tc>
      </w:tr>
      <w:tr w:rsidR="001A0708" w:rsidRPr="00CE6CA4" w14:paraId="0A7DE632" w14:textId="77777777" w:rsidTr="00EB783E">
        <w:tc>
          <w:tcPr>
            <w:tcW w:w="596" w:type="dxa"/>
            <w:tcBorders>
              <w:top w:val="single" w:sz="4" w:space="0" w:color="auto"/>
              <w:bottom w:val="single" w:sz="4" w:space="0" w:color="auto"/>
            </w:tcBorders>
            <w:shd w:val="clear" w:color="auto" w:fill="auto"/>
          </w:tcPr>
          <w:p w14:paraId="1837781E" w14:textId="77777777" w:rsidR="001A0708" w:rsidRPr="00B81FFE" w:rsidRDefault="003822F9" w:rsidP="001A0708">
            <w:pPr>
              <w:pStyle w:val="Tabletext"/>
            </w:pPr>
            <w:r w:rsidRPr="00B81FFE">
              <w:t>62</w:t>
            </w:r>
          </w:p>
        </w:tc>
        <w:tc>
          <w:tcPr>
            <w:tcW w:w="878" w:type="dxa"/>
            <w:tcBorders>
              <w:top w:val="single" w:sz="4" w:space="0" w:color="auto"/>
              <w:left w:val="nil"/>
              <w:bottom w:val="single" w:sz="4" w:space="0" w:color="auto"/>
              <w:right w:val="nil"/>
            </w:tcBorders>
            <w:shd w:val="clear" w:color="auto" w:fill="auto"/>
            <w:vAlign w:val="bottom"/>
          </w:tcPr>
          <w:p w14:paraId="2307D74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9974</w:t>
            </w:r>
          </w:p>
        </w:tc>
        <w:tc>
          <w:tcPr>
            <w:tcW w:w="760" w:type="dxa"/>
            <w:tcBorders>
              <w:top w:val="single" w:sz="4" w:space="0" w:color="auto"/>
              <w:left w:val="nil"/>
              <w:bottom w:val="single" w:sz="4" w:space="0" w:color="auto"/>
              <w:right w:val="nil"/>
            </w:tcBorders>
            <w:shd w:val="clear" w:color="auto" w:fill="auto"/>
            <w:vAlign w:val="bottom"/>
          </w:tcPr>
          <w:p w14:paraId="7EDA004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9947</w:t>
            </w:r>
          </w:p>
        </w:tc>
        <w:tc>
          <w:tcPr>
            <w:tcW w:w="760" w:type="dxa"/>
            <w:tcBorders>
              <w:top w:val="single" w:sz="4" w:space="0" w:color="auto"/>
              <w:left w:val="nil"/>
              <w:bottom w:val="single" w:sz="4" w:space="0" w:color="auto"/>
              <w:right w:val="nil"/>
            </w:tcBorders>
            <w:shd w:val="clear" w:color="auto" w:fill="auto"/>
            <w:vAlign w:val="bottom"/>
          </w:tcPr>
          <w:p w14:paraId="0C4A777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9918</w:t>
            </w:r>
          </w:p>
        </w:tc>
        <w:tc>
          <w:tcPr>
            <w:tcW w:w="760" w:type="dxa"/>
            <w:tcBorders>
              <w:top w:val="single" w:sz="4" w:space="0" w:color="auto"/>
              <w:left w:val="nil"/>
              <w:bottom w:val="single" w:sz="4" w:space="0" w:color="auto"/>
              <w:right w:val="nil"/>
            </w:tcBorders>
            <w:shd w:val="clear" w:color="auto" w:fill="auto"/>
            <w:vAlign w:val="bottom"/>
          </w:tcPr>
          <w:p w14:paraId="1FD5126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9883</w:t>
            </w:r>
          </w:p>
        </w:tc>
        <w:tc>
          <w:tcPr>
            <w:tcW w:w="760" w:type="dxa"/>
            <w:tcBorders>
              <w:top w:val="single" w:sz="4" w:space="0" w:color="auto"/>
              <w:left w:val="nil"/>
              <w:bottom w:val="single" w:sz="4" w:space="0" w:color="auto"/>
              <w:right w:val="nil"/>
            </w:tcBorders>
            <w:shd w:val="clear" w:color="auto" w:fill="auto"/>
            <w:vAlign w:val="bottom"/>
          </w:tcPr>
          <w:p w14:paraId="4C30BA6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9843</w:t>
            </w:r>
          </w:p>
        </w:tc>
        <w:tc>
          <w:tcPr>
            <w:tcW w:w="760" w:type="dxa"/>
            <w:tcBorders>
              <w:top w:val="single" w:sz="4" w:space="0" w:color="auto"/>
              <w:left w:val="nil"/>
              <w:bottom w:val="single" w:sz="4" w:space="0" w:color="auto"/>
              <w:right w:val="nil"/>
            </w:tcBorders>
            <w:shd w:val="clear" w:color="auto" w:fill="auto"/>
            <w:vAlign w:val="bottom"/>
          </w:tcPr>
          <w:p w14:paraId="046C2DA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9798</w:t>
            </w:r>
          </w:p>
        </w:tc>
        <w:tc>
          <w:tcPr>
            <w:tcW w:w="760" w:type="dxa"/>
            <w:tcBorders>
              <w:top w:val="single" w:sz="4" w:space="0" w:color="auto"/>
              <w:left w:val="nil"/>
              <w:bottom w:val="single" w:sz="4" w:space="0" w:color="auto"/>
              <w:right w:val="nil"/>
            </w:tcBorders>
            <w:shd w:val="clear" w:color="auto" w:fill="auto"/>
            <w:vAlign w:val="bottom"/>
          </w:tcPr>
          <w:p w14:paraId="4521366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9748</w:t>
            </w:r>
          </w:p>
        </w:tc>
        <w:tc>
          <w:tcPr>
            <w:tcW w:w="760" w:type="dxa"/>
            <w:tcBorders>
              <w:top w:val="single" w:sz="4" w:space="0" w:color="auto"/>
              <w:left w:val="nil"/>
              <w:bottom w:val="single" w:sz="4" w:space="0" w:color="auto"/>
              <w:right w:val="nil"/>
            </w:tcBorders>
            <w:shd w:val="clear" w:color="auto" w:fill="auto"/>
            <w:vAlign w:val="bottom"/>
          </w:tcPr>
          <w:p w14:paraId="26306D6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9691</w:t>
            </w:r>
          </w:p>
        </w:tc>
        <w:tc>
          <w:tcPr>
            <w:tcW w:w="760" w:type="dxa"/>
            <w:tcBorders>
              <w:top w:val="single" w:sz="4" w:space="0" w:color="auto"/>
              <w:left w:val="nil"/>
              <w:bottom w:val="single" w:sz="4" w:space="0" w:color="auto"/>
              <w:right w:val="nil"/>
            </w:tcBorders>
            <w:shd w:val="clear" w:color="auto" w:fill="auto"/>
            <w:vAlign w:val="bottom"/>
          </w:tcPr>
          <w:p w14:paraId="2AE2B2E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9630</w:t>
            </w:r>
          </w:p>
        </w:tc>
        <w:tc>
          <w:tcPr>
            <w:tcW w:w="760" w:type="dxa"/>
            <w:tcBorders>
              <w:top w:val="single" w:sz="4" w:space="0" w:color="auto"/>
              <w:left w:val="nil"/>
              <w:bottom w:val="single" w:sz="4" w:space="0" w:color="auto"/>
              <w:right w:val="nil"/>
            </w:tcBorders>
            <w:shd w:val="clear" w:color="auto" w:fill="auto"/>
            <w:vAlign w:val="bottom"/>
          </w:tcPr>
          <w:p w14:paraId="55F7477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9561</w:t>
            </w:r>
          </w:p>
        </w:tc>
      </w:tr>
      <w:tr w:rsidR="001A0708" w:rsidRPr="00CE6CA4" w14:paraId="4AFD6B54" w14:textId="77777777" w:rsidTr="00EB783E">
        <w:tc>
          <w:tcPr>
            <w:tcW w:w="596" w:type="dxa"/>
            <w:tcBorders>
              <w:top w:val="single" w:sz="4" w:space="0" w:color="auto"/>
              <w:bottom w:val="single" w:sz="4" w:space="0" w:color="auto"/>
            </w:tcBorders>
            <w:shd w:val="clear" w:color="auto" w:fill="auto"/>
          </w:tcPr>
          <w:p w14:paraId="1AF4BB99" w14:textId="77777777" w:rsidR="001A0708" w:rsidRPr="00B81FFE" w:rsidRDefault="003822F9" w:rsidP="001A0708">
            <w:pPr>
              <w:pStyle w:val="Tabletext"/>
            </w:pPr>
            <w:r w:rsidRPr="00B81FFE">
              <w:t>63</w:t>
            </w:r>
          </w:p>
        </w:tc>
        <w:tc>
          <w:tcPr>
            <w:tcW w:w="878" w:type="dxa"/>
            <w:tcBorders>
              <w:top w:val="single" w:sz="4" w:space="0" w:color="auto"/>
              <w:left w:val="nil"/>
              <w:bottom w:val="single" w:sz="4" w:space="0" w:color="auto"/>
              <w:right w:val="nil"/>
            </w:tcBorders>
            <w:shd w:val="clear" w:color="auto" w:fill="auto"/>
            <w:vAlign w:val="bottom"/>
          </w:tcPr>
          <w:p w14:paraId="39CD8F3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9973</w:t>
            </w:r>
          </w:p>
        </w:tc>
        <w:tc>
          <w:tcPr>
            <w:tcW w:w="760" w:type="dxa"/>
            <w:tcBorders>
              <w:top w:val="single" w:sz="4" w:space="0" w:color="auto"/>
              <w:left w:val="nil"/>
              <w:bottom w:val="single" w:sz="4" w:space="0" w:color="auto"/>
              <w:right w:val="nil"/>
            </w:tcBorders>
            <w:shd w:val="clear" w:color="auto" w:fill="auto"/>
            <w:vAlign w:val="bottom"/>
          </w:tcPr>
          <w:p w14:paraId="1DFCC28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9943</w:t>
            </w:r>
          </w:p>
        </w:tc>
        <w:tc>
          <w:tcPr>
            <w:tcW w:w="760" w:type="dxa"/>
            <w:tcBorders>
              <w:top w:val="single" w:sz="4" w:space="0" w:color="auto"/>
              <w:left w:val="nil"/>
              <w:bottom w:val="single" w:sz="4" w:space="0" w:color="auto"/>
              <w:right w:val="nil"/>
            </w:tcBorders>
            <w:shd w:val="clear" w:color="auto" w:fill="auto"/>
            <w:vAlign w:val="bottom"/>
          </w:tcPr>
          <w:p w14:paraId="04C02ED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9907</w:t>
            </w:r>
          </w:p>
        </w:tc>
        <w:tc>
          <w:tcPr>
            <w:tcW w:w="760" w:type="dxa"/>
            <w:tcBorders>
              <w:top w:val="single" w:sz="4" w:space="0" w:color="auto"/>
              <w:left w:val="nil"/>
              <w:bottom w:val="single" w:sz="4" w:space="0" w:color="auto"/>
              <w:right w:val="nil"/>
            </w:tcBorders>
            <w:shd w:val="clear" w:color="auto" w:fill="auto"/>
            <w:vAlign w:val="bottom"/>
          </w:tcPr>
          <w:p w14:paraId="5BD251A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9867</w:t>
            </w:r>
          </w:p>
        </w:tc>
        <w:tc>
          <w:tcPr>
            <w:tcW w:w="760" w:type="dxa"/>
            <w:tcBorders>
              <w:top w:val="single" w:sz="4" w:space="0" w:color="auto"/>
              <w:left w:val="nil"/>
              <w:bottom w:val="single" w:sz="4" w:space="0" w:color="auto"/>
              <w:right w:val="nil"/>
            </w:tcBorders>
            <w:shd w:val="clear" w:color="auto" w:fill="auto"/>
            <w:vAlign w:val="bottom"/>
          </w:tcPr>
          <w:p w14:paraId="2E93B2E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9821</w:t>
            </w:r>
          </w:p>
        </w:tc>
        <w:tc>
          <w:tcPr>
            <w:tcW w:w="760" w:type="dxa"/>
            <w:tcBorders>
              <w:top w:val="single" w:sz="4" w:space="0" w:color="auto"/>
              <w:left w:val="nil"/>
              <w:bottom w:val="single" w:sz="4" w:space="0" w:color="auto"/>
              <w:right w:val="nil"/>
            </w:tcBorders>
            <w:shd w:val="clear" w:color="auto" w:fill="auto"/>
            <w:vAlign w:val="bottom"/>
          </w:tcPr>
          <w:p w14:paraId="734276E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9770</w:t>
            </w:r>
          </w:p>
        </w:tc>
        <w:tc>
          <w:tcPr>
            <w:tcW w:w="760" w:type="dxa"/>
            <w:tcBorders>
              <w:top w:val="single" w:sz="4" w:space="0" w:color="auto"/>
              <w:left w:val="nil"/>
              <w:bottom w:val="single" w:sz="4" w:space="0" w:color="auto"/>
              <w:right w:val="nil"/>
            </w:tcBorders>
            <w:shd w:val="clear" w:color="auto" w:fill="auto"/>
            <w:vAlign w:val="bottom"/>
          </w:tcPr>
          <w:p w14:paraId="57D9080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9713</w:t>
            </w:r>
          </w:p>
        </w:tc>
        <w:tc>
          <w:tcPr>
            <w:tcW w:w="760" w:type="dxa"/>
            <w:tcBorders>
              <w:top w:val="single" w:sz="4" w:space="0" w:color="auto"/>
              <w:left w:val="nil"/>
              <w:bottom w:val="single" w:sz="4" w:space="0" w:color="auto"/>
              <w:right w:val="nil"/>
            </w:tcBorders>
            <w:shd w:val="clear" w:color="auto" w:fill="auto"/>
            <w:vAlign w:val="bottom"/>
          </w:tcPr>
          <w:p w14:paraId="3C1531A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9650</w:t>
            </w:r>
          </w:p>
        </w:tc>
        <w:tc>
          <w:tcPr>
            <w:tcW w:w="760" w:type="dxa"/>
            <w:tcBorders>
              <w:top w:val="single" w:sz="4" w:space="0" w:color="auto"/>
              <w:left w:val="nil"/>
              <w:bottom w:val="single" w:sz="4" w:space="0" w:color="auto"/>
              <w:right w:val="nil"/>
            </w:tcBorders>
            <w:shd w:val="clear" w:color="auto" w:fill="auto"/>
            <w:vAlign w:val="bottom"/>
          </w:tcPr>
          <w:p w14:paraId="141DE5D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9580</w:t>
            </w:r>
          </w:p>
        </w:tc>
        <w:tc>
          <w:tcPr>
            <w:tcW w:w="760" w:type="dxa"/>
            <w:tcBorders>
              <w:top w:val="single" w:sz="4" w:space="0" w:color="auto"/>
              <w:left w:val="nil"/>
              <w:bottom w:val="single" w:sz="4" w:space="0" w:color="auto"/>
              <w:right w:val="nil"/>
            </w:tcBorders>
            <w:shd w:val="clear" w:color="auto" w:fill="auto"/>
            <w:vAlign w:val="bottom"/>
          </w:tcPr>
          <w:p w14:paraId="5A069E8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9502</w:t>
            </w:r>
          </w:p>
        </w:tc>
      </w:tr>
      <w:tr w:rsidR="001A0708" w:rsidRPr="00CE6CA4" w14:paraId="53D1D834" w14:textId="77777777" w:rsidTr="00EB783E">
        <w:tc>
          <w:tcPr>
            <w:tcW w:w="596" w:type="dxa"/>
            <w:tcBorders>
              <w:top w:val="single" w:sz="4" w:space="0" w:color="auto"/>
              <w:bottom w:val="single" w:sz="4" w:space="0" w:color="auto"/>
            </w:tcBorders>
            <w:shd w:val="clear" w:color="auto" w:fill="auto"/>
          </w:tcPr>
          <w:p w14:paraId="770B42C3" w14:textId="77777777" w:rsidR="001A0708" w:rsidRPr="00B81FFE" w:rsidRDefault="003822F9" w:rsidP="001A0708">
            <w:pPr>
              <w:pStyle w:val="Tabletext"/>
            </w:pPr>
            <w:r w:rsidRPr="00B81FFE">
              <w:t>64</w:t>
            </w:r>
          </w:p>
        </w:tc>
        <w:tc>
          <w:tcPr>
            <w:tcW w:w="878" w:type="dxa"/>
            <w:tcBorders>
              <w:top w:val="single" w:sz="4" w:space="0" w:color="auto"/>
              <w:left w:val="nil"/>
              <w:bottom w:val="single" w:sz="4" w:space="0" w:color="auto"/>
              <w:right w:val="nil"/>
            </w:tcBorders>
            <w:shd w:val="clear" w:color="auto" w:fill="auto"/>
            <w:vAlign w:val="bottom"/>
          </w:tcPr>
          <w:p w14:paraId="060D3D7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9970</w:t>
            </w:r>
          </w:p>
        </w:tc>
        <w:tc>
          <w:tcPr>
            <w:tcW w:w="760" w:type="dxa"/>
            <w:tcBorders>
              <w:top w:val="single" w:sz="4" w:space="0" w:color="auto"/>
              <w:left w:val="nil"/>
              <w:bottom w:val="single" w:sz="4" w:space="0" w:color="auto"/>
              <w:right w:val="nil"/>
            </w:tcBorders>
            <w:shd w:val="clear" w:color="auto" w:fill="auto"/>
            <w:vAlign w:val="bottom"/>
          </w:tcPr>
          <w:p w14:paraId="44FB8CD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9934</w:t>
            </w:r>
          </w:p>
        </w:tc>
        <w:tc>
          <w:tcPr>
            <w:tcW w:w="760" w:type="dxa"/>
            <w:tcBorders>
              <w:top w:val="single" w:sz="4" w:space="0" w:color="auto"/>
              <w:left w:val="nil"/>
              <w:bottom w:val="single" w:sz="4" w:space="0" w:color="auto"/>
              <w:right w:val="nil"/>
            </w:tcBorders>
            <w:shd w:val="clear" w:color="auto" w:fill="auto"/>
            <w:vAlign w:val="bottom"/>
          </w:tcPr>
          <w:p w14:paraId="0156FE0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9893</w:t>
            </w:r>
          </w:p>
        </w:tc>
        <w:tc>
          <w:tcPr>
            <w:tcW w:w="760" w:type="dxa"/>
            <w:tcBorders>
              <w:top w:val="single" w:sz="4" w:space="0" w:color="auto"/>
              <w:left w:val="nil"/>
              <w:bottom w:val="single" w:sz="4" w:space="0" w:color="auto"/>
              <w:right w:val="nil"/>
            </w:tcBorders>
            <w:shd w:val="clear" w:color="auto" w:fill="auto"/>
            <w:vAlign w:val="bottom"/>
          </w:tcPr>
          <w:p w14:paraId="015D32C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9846</w:t>
            </w:r>
          </w:p>
        </w:tc>
        <w:tc>
          <w:tcPr>
            <w:tcW w:w="760" w:type="dxa"/>
            <w:tcBorders>
              <w:top w:val="single" w:sz="4" w:space="0" w:color="auto"/>
              <w:left w:val="nil"/>
              <w:bottom w:val="single" w:sz="4" w:space="0" w:color="auto"/>
              <w:right w:val="nil"/>
            </w:tcBorders>
            <w:shd w:val="clear" w:color="auto" w:fill="auto"/>
            <w:vAlign w:val="bottom"/>
          </w:tcPr>
          <w:p w14:paraId="6F71F85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9794</w:t>
            </w:r>
          </w:p>
        </w:tc>
        <w:tc>
          <w:tcPr>
            <w:tcW w:w="760" w:type="dxa"/>
            <w:tcBorders>
              <w:top w:val="single" w:sz="4" w:space="0" w:color="auto"/>
              <w:left w:val="nil"/>
              <w:bottom w:val="single" w:sz="4" w:space="0" w:color="auto"/>
              <w:right w:val="nil"/>
            </w:tcBorders>
            <w:shd w:val="clear" w:color="auto" w:fill="auto"/>
            <w:vAlign w:val="bottom"/>
          </w:tcPr>
          <w:p w14:paraId="0252586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9736</w:t>
            </w:r>
          </w:p>
        </w:tc>
        <w:tc>
          <w:tcPr>
            <w:tcW w:w="760" w:type="dxa"/>
            <w:tcBorders>
              <w:top w:val="single" w:sz="4" w:space="0" w:color="auto"/>
              <w:left w:val="nil"/>
              <w:bottom w:val="single" w:sz="4" w:space="0" w:color="auto"/>
              <w:right w:val="nil"/>
            </w:tcBorders>
            <w:shd w:val="clear" w:color="auto" w:fill="auto"/>
            <w:vAlign w:val="bottom"/>
          </w:tcPr>
          <w:p w14:paraId="2C16F4C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9672</w:t>
            </w:r>
          </w:p>
        </w:tc>
        <w:tc>
          <w:tcPr>
            <w:tcW w:w="760" w:type="dxa"/>
            <w:tcBorders>
              <w:top w:val="single" w:sz="4" w:space="0" w:color="auto"/>
              <w:left w:val="nil"/>
              <w:bottom w:val="single" w:sz="4" w:space="0" w:color="auto"/>
              <w:right w:val="nil"/>
            </w:tcBorders>
            <w:shd w:val="clear" w:color="auto" w:fill="auto"/>
            <w:vAlign w:val="bottom"/>
          </w:tcPr>
          <w:p w14:paraId="07B99CC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9601</w:t>
            </w:r>
          </w:p>
        </w:tc>
        <w:tc>
          <w:tcPr>
            <w:tcW w:w="760" w:type="dxa"/>
            <w:tcBorders>
              <w:top w:val="single" w:sz="4" w:space="0" w:color="auto"/>
              <w:left w:val="nil"/>
              <w:bottom w:val="single" w:sz="4" w:space="0" w:color="auto"/>
              <w:right w:val="nil"/>
            </w:tcBorders>
            <w:shd w:val="clear" w:color="auto" w:fill="auto"/>
            <w:vAlign w:val="bottom"/>
          </w:tcPr>
          <w:p w14:paraId="76C0ACB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9522</w:t>
            </w:r>
          </w:p>
        </w:tc>
        <w:tc>
          <w:tcPr>
            <w:tcW w:w="760" w:type="dxa"/>
            <w:tcBorders>
              <w:top w:val="single" w:sz="4" w:space="0" w:color="auto"/>
              <w:left w:val="nil"/>
              <w:bottom w:val="single" w:sz="4" w:space="0" w:color="auto"/>
              <w:right w:val="nil"/>
            </w:tcBorders>
            <w:shd w:val="clear" w:color="auto" w:fill="auto"/>
            <w:vAlign w:val="bottom"/>
          </w:tcPr>
          <w:p w14:paraId="58AF300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9434</w:t>
            </w:r>
          </w:p>
        </w:tc>
      </w:tr>
      <w:tr w:rsidR="001A0708" w:rsidRPr="00CE6CA4" w14:paraId="67553AB3" w14:textId="77777777" w:rsidTr="00EB783E">
        <w:tc>
          <w:tcPr>
            <w:tcW w:w="596" w:type="dxa"/>
            <w:tcBorders>
              <w:top w:val="single" w:sz="4" w:space="0" w:color="auto"/>
              <w:bottom w:val="single" w:sz="4" w:space="0" w:color="auto"/>
            </w:tcBorders>
            <w:shd w:val="clear" w:color="auto" w:fill="auto"/>
          </w:tcPr>
          <w:p w14:paraId="3460190F" w14:textId="77777777" w:rsidR="001A0708" w:rsidRPr="00B81FFE" w:rsidRDefault="003822F9" w:rsidP="001A0708">
            <w:pPr>
              <w:pStyle w:val="Tabletext"/>
            </w:pPr>
            <w:r w:rsidRPr="00B81FFE">
              <w:t>65</w:t>
            </w:r>
          </w:p>
        </w:tc>
        <w:tc>
          <w:tcPr>
            <w:tcW w:w="878" w:type="dxa"/>
            <w:tcBorders>
              <w:top w:val="single" w:sz="4" w:space="0" w:color="auto"/>
              <w:left w:val="nil"/>
              <w:bottom w:val="single" w:sz="4" w:space="0" w:color="auto"/>
              <w:right w:val="nil"/>
            </w:tcBorders>
            <w:shd w:val="clear" w:color="auto" w:fill="auto"/>
            <w:vAlign w:val="bottom"/>
          </w:tcPr>
          <w:p w14:paraId="65AE29F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9964</w:t>
            </w:r>
          </w:p>
        </w:tc>
        <w:tc>
          <w:tcPr>
            <w:tcW w:w="760" w:type="dxa"/>
            <w:tcBorders>
              <w:top w:val="single" w:sz="4" w:space="0" w:color="auto"/>
              <w:left w:val="nil"/>
              <w:bottom w:val="single" w:sz="4" w:space="0" w:color="auto"/>
              <w:right w:val="nil"/>
            </w:tcBorders>
            <w:shd w:val="clear" w:color="auto" w:fill="auto"/>
            <w:vAlign w:val="bottom"/>
          </w:tcPr>
          <w:p w14:paraId="658BE60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9922</w:t>
            </w:r>
          </w:p>
        </w:tc>
        <w:tc>
          <w:tcPr>
            <w:tcW w:w="760" w:type="dxa"/>
            <w:tcBorders>
              <w:top w:val="single" w:sz="4" w:space="0" w:color="auto"/>
              <w:left w:val="nil"/>
              <w:bottom w:val="single" w:sz="4" w:space="0" w:color="auto"/>
              <w:right w:val="nil"/>
            </w:tcBorders>
            <w:shd w:val="clear" w:color="auto" w:fill="auto"/>
            <w:vAlign w:val="bottom"/>
          </w:tcPr>
          <w:p w14:paraId="4305895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9875</w:t>
            </w:r>
          </w:p>
        </w:tc>
        <w:tc>
          <w:tcPr>
            <w:tcW w:w="760" w:type="dxa"/>
            <w:tcBorders>
              <w:top w:val="single" w:sz="4" w:space="0" w:color="auto"/>
              <w:left w:val="nil"/>
              <w:bottom w:val="single" w:sz="4" w:space="0" w:color="auto"/>
              <w:right w:val="nil"/>
            </w:tcBorders>
            <w:shd w:val="clear" w:color="auto" w:fill="auto"/>
            <w:vAlign w:val="bottom"/>
          </w:tcPr>
          <w:p w14:paraId="4671C74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9821</w:t>
            </w:r>
          </w:p>
        </w:tc>
        <w:tc>
          <w:tcPr>
            <w:tcW w:w="760" w:type="dxa"/>
            <w:tcBorders>
              <w:top w:val="single" w:sz="4" w:space="0" w:color="auto"/>
              <w:left w:val="nil"/>
              <w:bottom w:val="single" w:sz="4" w:space="0" w:color="auto"/>
              <w:right w:val="nil"/>
            </w:tcBorders>
            <w:shd w:val="clear" w:color="auto" w:fill="auto"/>
            <w:vAlign w:val="bottom"/>
          </w:tcPr>
          <w:p w14:paraId="15F713B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9762</w:t>
            </w:r>
          </w:p>
        </w:tc>
        <w:tc>
          <w:tcPr>
            <w:tcW w:w="760" w:type="dxa"/>
            <w:tcBorders>
              <w:top w:val="single" w:sz="4" w:space="0" w:color="auto"/>
              <w:left w:val="nil"/>
              <w:bottom w:val="single" w:sz="4" w:space="0" w:color="auto"/>
              <w:right w:val="nil"/>
            </w:tcBorders>
            <w:shd w:val="clear" w:color="auto" w:fill="auto"/>
            <w:vAlign w:val="bottom"/>
          </w:tcPr>
          <w:p w14:paraId="42BBFEF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9698</w:t>
            </w:r>
          </w:p>
        </w:tc>
        <w:tc>
          <w:tcPr>
            <w:tcW w:w="760" w:type="dxa"/>
            <w:tcBorders>
              <w:top w:val="single" w:sz="4" w:space="0" w:color="auto"/>
              <w:left w:val="nil"/>
              <w:bottom w:val="single" w:sz="4" w:space="0" w:color="auto"/>
              <w:right w:val="nil"/>
            </w:tcBorders>
            <w:shd w:val="clear" w:color="auto" w:fill="auto"/>
            <w:vAlign w:val="bottom"/>
          </w:tcPr>
          <w:p w14:paraId="4130248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9626</w:t>
            </w:r>
          </w:p>
        </w:tc>
        <w:tc>
          <w:tcPr>
            <w:tcW w:w="760" w:type="dxa"/>
            <w:tcBorders>
              <w:top w:val="single" w:sz="4" w:space="0" w:color="auto"/>
              <w:left w:val="nil"/>
              <w:bottom w:val="single" w:sz="4" w:space="0" w:color="auto"/>
              <w:right w:val="nil"/>
            </w:tcBorders>
            <w:shd w:val="clear" w:color="auto" w:fill="auto"/>
            <w:vAlign w:val="bottom"/>
          </w:tcPr>
          <w:p w14:paraId="6EF5A1E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9546</w:t>
            </w:r>
          </w:p>
        </w:tc>
        <w:tc>
          <w:tcPr>
            <w:tcW w:w="760" w:type="dxa"/>
            <w:tcBorders>
              <w:top w:val="single" w:sz="4" w:space="0" w:color="auto"/>
              <w:left w:val="nil"/>
              <w:bottom w:val="single" w:sz="4" w:space="0" w:color="auto"/>
              <w:right w:val="nil"/>
            </w:tcBorders>
            <w:shd w:val="clear" w:color="auto" w:fill="auto"/>
            <w:vAlign w:val="bottom"/>
          </w:tcPr>
          <w:p w14:paraId="605240B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9456</w:t>
            </w:r>
          </w:p>
        </w:tc>
        <w:tc>
          <w:tcPr>
            <w:tcW w:w="760" w:type="dxa"/>
            <w:tcBorders>
              <w:top w:val="single" w:sz="4" w:space="0" w:color="auto"/>
              <w:left w:val="nil"/>
              <w:bottom w:val="single" w:sz="4" w:space="0" w:color="auto"/>
              <w:right w:val="nil"/>
            </w:tcBorders>
            <w:shd w:val="clear" w:color="auto" w:fill="auto"/>
            <w:vAlign w:val="bottom"/>
          </w:tcPr>
          <w:p w14:paraId="4E888B4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9354</w:t>
            </w:r>
          </w:p>
        </w:tc>
      </w:tr>
      <w:tr w:rsidR="001A0708" w:rsidRPr="00CE6CA4" w14:paraId="724798C4" w14:textId="77777777" w:rsidTr="00EB783E">
        <w:tc>
          <w:tcPr>
            <w:tcW w:w="596" w:type="dxa"/>
            <w:tcBorders>
              <w:top w:val="single" w:sz="4" w:space="0" w:color="auto"/>
              <w:bottom w:val="single" w:sz="4" w:space="0" w:color="auto"/>
            </w:tcBorders>
            <w:shd w:val="clear" w:color="auto" w:fill="auto"/>
          </w:tcPr>
          <w:p w14:paraId="4BB9DF89" w14:textId="77777777" w:rsidR="001A0708" w:rsidRPr="00B81FFE" w:rsidRDefault="003822F9" w:rsidP="001A0708">
            <w:pPr>
              <w:pStyle w:val="Tabletext"/>
            </w:pPr>
            <w:r w:rsidRPr="00B81FFE">
              <w:t>66</w:t>
            </w:r>
          </w:p>
        </w:tc>
        <w:tc>
          <w:tcPr>
            <w:tcW w:w="878" w:type="dxa"/>
            <w:tcBorders>
              <w:top w:val="single" w:sz="4" w:space="0" w:color="auto"/>
              <w:left w:val="nil"/>
              <w:bottom w:val="single" w:sz="4" w:space="0" w:color="auto"/>
              <w:right w:val="nil"/>
            </w:tcBorders>
            <w:shd w:val="clear" w:color="auto" w:fill="auto"/>
            <w:vAlign w:val="bottom"/>
          </w:tcPr>
          <w:p w14:paraId="34C163E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9958</w:t>
            </w:r>
          </w:p>
        </w:tc>
        <w:tc>
          <w:tcPr>
            <w:tcW w:w="760" w:type="dxa"/>
            <w:tcBorders>
              <w:top w:val="single" w:sz="4" w:space="0" w:color="auto"/>
              <w:left w:val="nil"/>
              <w:bottom w:val="single" w:sz="4" w:space="0" w:color="auto"/>
              <w:right w:val="nil"/>
            </w:tcBorders>
            <w:shd w:val="clear" w:color="auto" w:fill="auto"/>
            <w:vAlign w:val="bottom"/>
          </w:tcPr>
          <w:p w14:paraId="7A23A78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9909</w:t>
            </w:r>
          </w:p>
        </w:tc>
        <w:tc>
          <w:tcPr>
            <w:tcW w:w="760" w:type="dxa"/>
            <w:tcBorders>
              <w:top w:val="single" w:sz="4" w:space="0" w:color="auto"/>
              <w:left w:val="nil"/>
              <w:bottom w:val="single" w:sz="4" w:space="0" w:color="auto"/>
              <w:right w:val="nil"/>
            </w:tcBorders>
            <w:shd w:val="clear" w:color="auto" w:fill="auto"/>
            <w:vAlign w:val="bottom"/>
          </w:tcPr>
          <w:p w14:paraId="44DDFE5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9855</w:t>
            </w:r>
          </w:p>
        </w:tc>
        <w:tc>
          <w:tcPr>
            <w:tcW w:w="760" w:type="dxa"/>
            <w:tcBorders>
              <w:top w:val="single" w:sz="4" w:space="0" w:color="auto"/>
              <w:left w:val="nil"/>
              <w:bottom w:val="single" w:sz="4" w:space="0" w:color="auto"/>
              <w:right w:val="nil"/>
            </w:tcBorders>
            <w:shd w:val="clear" w:color="auto" w:fill="auto"/>
            <w:vAlign w:val="bottom"/>
          </w:tcPr>
          <w:p w14:paraId="137340D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9795</w:t>
            </w:r>
          </w:p>
        </w:tc>
        <w:tc>
          <w:tcPr>
            <w:tcW w:w="760" w:type="dxa"/>
            <w:tcBorders>
              <w:top w:val="single" w:sz="4" w:space="0" w:color="auto"/>
              <w:left w:val="nil"/>
              <w:bottom w:val="single" w:sz="4" w:space="0" w:color="auto"/>
              <w:right w:val="nil"/>
            </w:tcBorders>
            <w:shd w:val="clear" w:color="auto" w:fill="auto"/>
            <w:vAlign w:val="bottom"/>
          </w:tcPr>
          <w:p w14:paraId="478AA3B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9730</w:t>
            </w:r>
          </w:p>
        </w:tc>
        <w:tc>
          <w:tcPr>
            <w:tcW w:w="760" w:type="dxa"/>
            <w:tcBorders>
              <w:top w:val="single" w:sz="4" w:space="0" w:color="auto"/>
              <w:left w:val="nil"/>
              <w:bottom w:val="single" w:sz="4" w:space="0" w:color="auto"/>
              <w:right w:val="nil"/>
            </w:tcBorders>
            <w:shd w:val="clear" w:color="auto" w:fill="auto"/>
            <w:vAlign w:val="bottom"/>
          </w:tcPr>
          <w:p w14:paraId="2CB84F4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9656</w:t>
            </w:r>
          </w:p>
        </w:tc>
        <w:tc>
          <w:tcPr>
            <w:tcW w:w="760" w:type="dxa"/>
            <w:tcBorders>
              <w:top w:val="single" w:sz="4" w:space="0" w:color="auto"/>
              <w:left w:val="nil"/>
              <w:bottom w:val="single" w:sz="4" w:space="0" w:color="auto"/>
              <w:right w:val="nil"/>
            </w:tcBorders>
            <w:shd w:val="clear" w:color="auto" w:fill="auto"/>
            <w:vAlign w:val="bottom"/>
          </w:tcPr>
          <w:p w14:paraId="35C5DA1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9575</w:t>
            </w:r>
          </w:p>
        </w:tc>
        <w:tc>
          <w:tcPr>
            <w:tcW w:w="760" w:type="dxa"/>
            <w:tcBorders>
              <w:top w:val="single" w:sz="4" w:space="0" w:color="auto"/>
              <w:left w:val="nil"/>
              <w:bottom w:val="single" w:sz="4" w:space="0" w:color="auto"/>
              <w:right w:val="nil"/>
            </w:tcBorders>
            <w:shd w:val="clear" w:color="auto" w:fill="auto"/>
            <w:vAlign w:val="bottom"/>
          </w:tcPr>
          <w:p w14:paraId="024C7DE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9484</w:t>
            </w:r>
          </w:p>
        </w:tc>
        <w:tc>
          <w:tcPr>
            <w:tcW w:w="760" w:type="dxa"/>
            <w:tcBorders>
              <w:top w:val="single" w:sz="4" w:space="0" w:color="auto"/>
              <w:left w:val="nil"/>
              <w:bottom w:val="single" w:sz="4" w:space="0" w:color="auto"/>
              <w:right w:val="nil"/>
            </w:tcBorders>
            <w:shd w:val="clear" w:color="auto" w:fill="auto"/>
            <w:vAlign w:val="bottom"/>
          </w:tcPr>
          <w:p w14:paraId="4B86965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9381</w:t>
            </w:r>
          </w:p>
        </w:tc>
        <w:tc>
          <w:tcPr>
            <w:tcW w:w="760" w:type="dxa"/>
            <w:tcBorders>
              <w:top w:val="single" w:sz="4" w:space="0" w:color="auto"/>
              <w:left w:val="nil"/>
              <w:bottom w:val="single" w:sz="4" w:space="0" w:color="auto"/>
              <w:right w:val="nil"/>
            </w:tcBorders>
            <w:shd w:val="clear" w:color="auto" w:fill="auto"/>
            <w:vAlign w:val="bottom"/>
          </w:tcPr>
          <w:p w14:paraId="0542E49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9265</w:t>
            </w:r>
          </w:p>
        </w:tc>
      </w:tr>
      <w:tr w:rsidR="001A0708" w:rsidRPr="00CE6CA4" w14:paraId="5D2DFD13" w14:textId="77777777" w:rsidTr="00EB783E">
        <w:tc>
          <w:tcPr>
            <w:tcW w:w="596" w:type="dxa"/>
            <w:tcBorders>
              <w:top w:val="single" w:sz="4" w:space="0" w:color="auto"/>
              <w:bottom w:val="single" w:sz="4" w:space="0" w:color="auto"/>
            </w:tcBorders>
            <w:shd w:val="clear" w:color="auto" w:fill="auto"/>
          </w:tcPr>
          <w:p w14:paraId="3FBC8E57" w14:textId="77777777" w:rsidR="001A0708" w:rsidRPr="00B81FFE" w:rsidRDefault="003822F9" w:rsidP="001A0708">
            <w:pPr>
              <w:pStyle w:val="Tabletext"/>
            </w:pPr>
            <w:r w:rsidRPr="00B81FFE">
              <w:t>67</w:t>
            </w:r>
          </w:p>
        </w:tc>
        <w:tc>
          <w:tcPr>
            <w:tcW w:w="878" w:type="dxa"/>
            <w:tcBorders>
              <w:top w:val="single" w:sz="4" w:space="0" w:color="auto"/>
              <w:left w:val="nil"/>
              <w:bottom w:val="single" w:sz="4" w:space="0" w:color="auto"/>
              <w:right w:val="nil"/>
            </w:tcBorders>
            <w:shd w:val="clear" w:color="auto" w:fill="auto"/>
            <w:vAlign w:val="bottom"/>
          </w:tcPr>
          <w:p w14:paraId="3FAD724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9951</w:t>
            </w:r>
          </w:p>
        </w:tc>
        <w:tc>
          <w:tcPr>
            <w:tcW w:w="760" w:type="dxa"/>
            <w:tcBorders>
              <w:top w:val="single" w:sz="4" w:space="0" w:color="auto"/>
              <w:left w:val="nil"/>
              <w:bottom w:val="single" w:sz="4" w:space="0" w:color="auto"/>
              <w:right w:val="nil"/>
            </w:tcBorders>
            <w:shd w:val="clear" w:color="auto" w:fill="auto"/>
            <w:vAlign w:val="bottom"/>
          </w:tcPr>
          <w:p w14:paraId="7C04E87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9896</w:t>
            </w:r>
          </w:p>
        </w:tc>
        <w:tc>
          <w:tcPr>
            <w:tcW w:w="760" w:type="dxa"/>
            <w:tcBorders>
              <w:top w:val="single" w:sz="4" w:space="0" w:color="auto"/>
              <w:left w:val="nil"/>
              <w:bottom w:val="single" w:sz="4" w:space="0" w:color="auto"/>
              <w:right w:val="nil"/>
            </w:tcBorders>
            <w:shd w:val="clear" w:color="auto" w:fill="auto"/>
            <w:vAlign w:val="bottom"/>
          </w:tcPr>
          <w:p w14:paraId="63585BE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9835</w:t>
            </w:r>
          </w:p>
        </w:tc>
        <w:tc>
          <w:tcPr>
            <w:tcW w:w="760" w:type="dxa"/>
            <w:tcBorders>
              <w:top w:val="single" w:sz="4" w:space="0" w:color="auto"/>
              <w:left w:val="nil"/>
              <w:bottom w:val="single" w:sz="4" w:space="0" w:color="auto"/>
              <w:right w:val="nil"/>
            </w:tcBorders>
            <w:shd w:val="clear" w:color="auto" w:fill="auto"/>
            <w:vAlign w:val="bottom"/>
          </w:tcPr>
          <w:p w14:paraId="4FC9976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9768</w:t>
            </w:r>
          </w:p>
        </w:tc>
        <w:tc>
          <w:tcPr>
            <w:tcW w:w="760" w:type="dxa"/>
            <w:tcBorders>
              <w:top w:val="single" w:sz="4" w:space="0" w:color="auto"/>
              <w:left w:val="nil"/>
              <w:bottom w:val="single" w:sz="4" w:space="0" w:color="auto"/>
              <w:right w:val="nil"/>
            </w:tcBorders>
            <w:shd w:val="clear" w:color="auto" w:fill="auto"/>
            <w:vAlign w:val="bottom"/>
          </w:tcPr>
          <w:p w14:paraId="03C36F3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9694</w:t>
            </w:r>
          </w:p>
        </w:tc>
        <w:tc>
          <w:tcPr>
            <w:tcW w:w="760" w:type="dxa"/>
            <w:tcBorders>
              <w:top w:val="single" w:sz="4" w:space="0" w:color="auto"/>
              <w:left w:val="nil"/>
              <w:bottom w:val="single" w:sz="4" w:space="0" w:color="auto"/>
              <w:right w:val="nil"/>
            </w:tcBorders>
            <w:shd w:val="clear" w:color="auto" w:fill="auto"/>
            <w:vAlign w:val="bottom"/>
          </w:tcPr>
          <w:p w14:paraId="7B8E6E6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9611</w:t>
            </w:r>
          </w:p>
        </w:tc>
        <w:tc>
          <w:tcPr>
            <w:tcW w:w="760" w:type="dxa"/>
            <w:tcBorders>
              <w:top w:val="single" w:sz="4" w:space="0" w:color="auto"/>
              <w:left w:val="nil"/>
              <w:bottom w:val="single" w:sz="4" w:space="0" w:color="auto"/>
              <w:right w:val="nil"/>
            </w:tcBorders>
            <w:shd w:val="clear" w:color="auto" w:fill="auto"/>
            <w:vAlign w:val="bottom"/>
          </w:tcPr>
          <w:p w14:paraId="222EC5C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9518</w:t>
            </w:r>
          </w:p>
        </w:tc>
        <w:tc>
          <w:tcPr>
            <w:tcW w:w="760" w:type="dxa"/>
            <w:tcBorders>
              <w:top w:val="single" w:sz="4" w:space="0" w:color="auto"/>
              <w:left w:val="nil"/>
              <w:bottom w:val="single" w:sz="4" w:space="0" w:color="auto"/>
              <w:right w:val="nil"/>
            </w:tcBorders>
            <w:shd w:val="clear" w:color="auto" w:fill="auto"/>
            <w:vAlign w:val="bottom"/>
          </w:tcPr>
          <w:p w14:paraId="776550A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9413</w:t>
            </w:r>
          </w:p>
        </w:tc>
        <w:tc>
          <w:tcPr>
            <w:tcW w:w="760" w:type="dxa"/>
            <w:tcBorders>
              <w:top w:val="single" w:sz="4" w:space="0" w:color="auto"/>
              <w:left w:val="nil"/>
              <w:bottom w:val="single" w:sz="4" w:space="0" w:color="auto"/>
              <w:right w:val="nil"/>
            </w:tcBorders>
            <w:shd w:val="clear" w:color="auto" w:fill="auto"/>
            <w:vAlign w:val="bottom"/>
          </w:tcPr>
          <w:p w14:paraId="04D42B2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9296</w:t>
            </w:r>
          </w:p>
        </w:tc>
        <w:tc>
          <w:tcPr>
            <w:tcW w:w="760" w:type="dxa"/>
            <w:tcBorders>
              <w:top w:val="single" w:sz="4" w:space="0" w:color="auto"/>
              <w:left w:val="nil"/>
              <w:bottom w:val="single" w:sz="4" w:space="0" w:color="auto"/>
              <w:right w:val="nil"/>
            </w:tcBorders>
            <w:shd w:val="clear" w:color="auto" w:fill="auto"/>
            <w:vAlign w:val="bottom"/>
          </w:tcPr>
          <w:p w14:paraId="5A8937C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9163</w:t>
            </w:r>
          </w:p>
        </w:tc>
      </w:tr>
      <w:tr w:rsidR="001A0708" w:rsidRPr="00CE6CA4" w14:paraId="5EDFCA7D" w14:textId="77777777" w:rsidTr="00EB783E">
        <w:tc>
          <w:tcPr>
            <w:tcW w:w="596" w:type="dxa"/>
            <w:tcBorders>
              <w:top w:val="single" w:sz="4" w:space="0" w:color="auto"/>
              <w:bottom w:val="single" w:sz="4" w:space="0" w:color="auto"/>
            </w:tcBorders>
            <w:shd w:val="clear" w:color="auto" w:fill="auto"/>
          </w:tcPr>
          <w:p w14:paraId="4852A0B0" w14:textId="77777777" w:rsidR="001A0708" w:rsidRPr="00B81FFE" w:rsidRDefault="003822F9" w:rsidP="001A0708">
            <w:pPr>
              <w:pStyle w:val="Tabletext"/>
            </w:pPr>
            <w:r w:rsidRPr="00B81FFE">
              <w:t>68</w:t>
            </w:r>
          </w:p>
        </w:tc>
        <w:tc>
          <w:tcPr>
            <w:tcW w:w="878" w:type="dxa"/>
            <w:tcBorders>
              <w:top w:val="single" w:sz="4" w:space="0" w:color="auto"/>
              <w:left w:val="nil"/>
              <w:bottom w:val="single" w:sz="4" w:space="0" w:color="auto"/>
              <w:right w:val="nil"/>
            </w:tcBorders>
            <w:shd w:val="clear" w:color="auto" w:fill="auto"/>
            <w:vAlign w:val="bottom"/>
          </w:tcPr>
          <w:p w14:paraId="24EB512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9944</w:t>
            </w:r>
          </w:p>
        </w:tc>
        <w:tc>
          <w:tcPr>
            <w:tcW w:w="760" w:type="dxa"/>
            <w:tcBorders>
              <w:top w:val="single" w:sz="4" w:space="0" w:color="auto"/>
              <w:left w:val="nil"/>
              <w:bottom w:val="single" w:sz="4" w:space="0" w:color="auto"/>
              <w:right w:val="nil"/>
            </w:tcBorders>
            <w:shd w:val="clear" w:color="auto" w:fill="auto"/>
            <w:vAlign w:val="bottom"/>
          </w:tcPr>
          <w:p w14:paraId="729567D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9882</w:t>
            </w:r>
          </w:p>
        </w:tc>
        <w:tc>
          <w:tcPr>
            <w:tcW w:w="760" w:type="dxa"/>
            <w:tcBorders>
              <w:top w:val="single" w:sz="4" w:space="0" w:color="auto"/>
              <w:left w:val="nil"/>
              <w:bottom w:val="single" w:sz="4" w:space="0" w:color="auto"/>
              <w:right w:val="nil"/>
            </w:tcBorders>
            <w:shd w:val="clear" w:color="auto" w:fill="auto"/>
            <w:vAlign w:val="bottom"/>
          </w:tcPr>
          <w:p w14:paraId="68BD63B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9814</w:t>
            </w:r>
          </w:p>
        </w:tc>
        <w:tc>
          <w:tcPr>
            <w:tcW w:w="760" w:type="dxa"/>
            <w:tcBorders>
              <w:top w:val="single" w:sz="4" w:space="0" w:color="auto"/>
              <w:left w:val="nil"/>
              <w:bottom w:val="single" w:sz="4" w:space="0" w:color="auto"/>
              <w:right w:val="nil"/>
            </w:tcBorders>
            <w:shd w:val="clear" w:color="auto" w:fill="auto"/>
            <w:vAlign w:val="bottom"/>
          </w:tcPr>
          <w:p w14:paraId="44A66D5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9738</w:t>
            </w:r>
          </w:p>
        </w:tc>
        <w:tc>
          <w:tcPr>
            <w:tcW w:w="760" w:type="dxa"/>
            <w:tcBorders>
              <w:top w:val="single" w:sz="4" w:space="0" w:color="auto"/>
              <w:left w:val="nil"/>
              <w:bottom w:val="single" w:sz="4" w:space="0" w:color="auto"/>
              <w:right w:val="nil"/>
            </w:tcBorders>
            <w:shd w:val="clear" w:color="auto" w:fill="auto"/>
            <w:vAlign w:val="bottom"/>
          </w:tcPr>
          <w:p w14:paraId="3FBCAB7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9654</w:t>
            </w:r>
          </w:p>
        </w:tc>
        <w:tc>
          <w:tcPr>
            <w:tcW w:w="760" w:type="dxa"/>
            <w:tcBorders>
              <w:top w:val="single" w:sz="4" w:space="0" w:color="auto"/>
              <w:left w:val="nil"/>
              <w:bottom w:val="single" w:sz="4" w:space="0" w:color="auto"/>
              <w:right w:val="nil"/>
            </w:tcBorders>
            <w:shd w:val="clear" w:color="auto" w:fill="auto"/>
            <w:vAlign w:val="bottom"/>
          </w:tcPr>
          <w:p w14:paraId="440AFBC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9559</w:t>
            </w:r>
          </w:p>
        </w:tc>
        <w:tc>
          <w:tcPr>
            <w:tcW w:w="760" w:type="dxa"/>
            <w:tcBorders>
              <w:top w:val="single" w:sz="4" w:space="0" w:color="auto"/>
              <w:left w:val="nil"/>
              <w:bottom w:val="single" w:sz="4" w:space="0" w:color="auto"/>
              <w:right w:val="nil"/>
            </w:tcBorders>
            <w:shd w:val="clear" w:color="auto" w:fill="auto"/>
            <w:vAlign w:val="bottom"/>
          </w:tcPr>
          <w:p w14:paraId="7469CB5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9453</w:t>
            </w:r>
          </w:p>
        </w:tc>
        <w:tc>
          <w:tcPr>
            <w:tcW w:w="760" w:type="dxa"/>
            <w:tcBorders>
              <w:top w:val="single" w:sz="4" w:space="0" w:color="auto"/>
              <w:left w:val="nil"/>
              <w:bottom w:val="single" w:sz="4" w:space="0" w:color="auto"/>
              <w:right w:val="nil"/>
            </w:tcBorders>
            <w:shd w:val="clear" w:color="auto" w:fill="auto"/>
            <w:vAlign w:val="bottom"/>
          </w:tcPr>
          <w:p w14:paraId="19A9F45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9334</w:t>
            </w:r>
          </w:p>
        </w:tc>
        <w:tc>
          <w:tcPr>
            <w:tcW w:w="760" w:type="dxa"/>
            <w:tcBorders>
              <w:top w:val="single" w:sz="4" w:space="0" w:color="auto"/>
              <w:left w:val="nil"/>
              <w:bottom w:val="single" w:sz="4" w:space="0" w:color="auto"/>
              <w:right w:val="nil"/>
            </w:tcBorders>
            <w:shd w:val="clear" w:color="auto" w:fill="auto"/>
            <w:vAlign w:val="bottom"/>
          </w:tcPr>
          <w:p w14:paraId="280E6DB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9198</w:t>
            </w:r>
          </w:p>
        </w:tc>
        <w:tc>
          <w:tcPr>
            <w:tcW w:w="760" w:type="dxa"/>
            <w:tcBorders>
              <w:top w:val="single" w:sz="4" w:space="0" w:color="auto"/>
              <w:left w:val="nil"/>
              <w:bottom w:val="single" w:sz="4" w:space="0" w:color="auto"/>
              <w:right w:val="nil"/>
            </w:tcBorders>
            <w:shd w:val="clear" w:color="auto" w:fill="auto"/>
            <w:vAlign w:val="bottom"/>
          </w:tcPr>
          <w:p w14:paraId="4C93D85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9045</w:t>
            </w:r>
          </w:p>
        </w:tc>
      </w:tr>
      <w:tr w:rsidR="001A0708" w:rsidRPr="00CE6CA4" w14:paraId="4FAA3C4A" w14:textId="77777777" w:rsidTr="00EB783E">
        <w:tc>
          <w:tcPr>
            <w:tcW w:w="596" w:type="dxa"/>
            <w:tcBorders>
              <w:top w:val="single" w:sz="4" w:space="0" w:color="auto"/>
              <w:bottom w:val="single" w:sz="4" w:space="0" w:color="auto"/>
            </w:tcBorders>
            <w:shd w:val="clear" w:color="auto" w:fill="auto"/>
          </w:tcPr>
          <w:p w14:paraId="4A67F66D" w14:textId="77777777" w:rsidR="001A0708" w:rsidRPr="00B81FFE" w:rsidRDefault="003822F9" w:rsidP="001A0708">
            <w:pPr>
              <w:pStyle w:val="Tabletext"/>
            </w:pPr>
            <w:r w:rsidRPr="00B81FFE">
              <w:t>69</w:t>
            </w:r>
          </w:p>
        </w:tc>
        <w:tc>
          <w:tcPr>
            <w:tcW w:w="878" w:type="dxa"/>
            <w:tcBorders>
              <w:top w:val="single" w:sz="4" w:space="0" w:color="auto"/>
              <w:left w:val="nil"/>
              <w:bottom w:val="single" w:sz="4" w:space="0" w:color="auto"/>
              <w:right w:val="nil"/>
            </w:tcBorders>
            <w:shd w:val="clear" w:color="auto" w:fill="auto"/>
            <w:vAlign w:val="bottom"/>
          </w:tcPr>
          <w:p w14:paraId="1165855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9937</w:t>
            </w:r>
          </w:p>
        </w:tc>
        <w:tc>
          <w:tcPr>
            <w:tcW w:w="760" w:type="dxa"/>
            <w:tcBorders>
              <w:top w:val="single" w:sz="4" w:space="0" w:color="auto"/>
              <w:left w:val="nil"/>
              <w:bottom w:val="single" w:sz="4" w:space="0" w:color="auto"/>
              <w:right w:val="nil"/>
            </w:tcBorders>
            <w:shd w:val="clear" w:color="auto" w:fill="auto"/>
            <w:vAlign w:val="bottom"/>
          </w:tcPr>
          <w:p w14:paraId="7EB9615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9867</w:t>
            </w:r>
          </w:p>
        </w:tc>
        <w:tc>
          <w:tcPr>
            <w:tcW w:w="760" w:type="dxa"/>
            <w:tcBorders>
              <w:top w:val="single" w:sz="4" w:space="0" w:color="auto"/>
              <w:left w:val="nil"/>
              <w:bottom w:val="single" w:sz="4" w:space="0" w:color="auto"/>
              <w:right w:val="nil"/>
            </w:tcBorders>
            <w:shd w:val="clear" w:color="auto" w:fill="auto"/>
            <w:vAlign w:val="bottom"/>
          </w:tcPr>
          <w:p w14:paraId="28D79D9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9790</w:t>
            </w:r>
          </w:p>
        </w:tc>
        <w:tc>
          <w:tcPr>
            <w:tcW w:w="760" w:type="dxa"/>
            <w:tcBorders>
              <w:top w:val="single" w:sz="4" w:space="0" w:color="auto"/>
              <w:left w:val="nil"/>
              <w:bottom w:val="single" w:sz="4" w:space="0" w:color="auto"/>
              <w:right w:val="nil"/>
            </w:tcBorders>
            <w:shd w:val="clear" w:color="auto" w:fill="auto"/>
            <w:vAlign w:val="bottom"/>
          </w:tcPr>
          <w:p w14:paraId="72C6A8F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9705</w:t>
            </w:r>
          </w:p>
        </w:tc>
        <w:tc>
          <w:tcPr>
            <w:tcW w:w="760" w:type="dxa"/>
            <w:tcBorders>
              <w:top w:val="single" w:sz="4" w:space="0" w:color="auto"/>
              <w:left w:val="nil"/>
              <w:bottom w:val="single" w:sz="4" w:space="0" w:color="auto"/>
              <w:right w:val="nil"/>
            </w:tcBorders>
            <w:shd w:val="clear" w:color="auto" w:fill="auto"/>
            <w:vAlign w:val="bottom"/>
          </w:tcPr>
          <w:p w14:paraId="4A4CDB2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9609</w:t>
            </w:r>
          </w:p>
        </w:tc>
        <w:tc>
          <w:tcPr>
            <w:tcW w:w="760" w:type="dxa"/>
            <w:tcBorders>
              <w:top w:val="single" w:sz="4" w:space="0" w:color="auto"/>
              <w:left w:val="nil"/>
              <w:bottom w:val="single" w:sz="4" w:space="0" w:color="auto"/>
              <w:right w:val="nil"/>
            </w:tcBorders>
            <w:shd w:val="clear" w:color="auto" w:fill="auto"/>
            <w:vAlign w:val="bottom"/>
          </w:tcPr>
          <w:p w14:paraId="018055B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9500</w:t>
            </w:r>
          </w:p>
        </w:tc>
        <w:tc>
          <w:tcPr>
            <w:tcW w:w="760" w:type="dxa"/>
            <w:tcBorders>
              <w:top w:val="single" w:sz="4" w:space="0" w:color="auto"/>
              <w:left w:val="nil"/>
              <w:bottom w:val="single" w:sz="4" w:space="0" w:color="auto"/>
              <w:right w:val="nil"/>
            </w:tcBorders>
            <w:shd w:val="clear" w:color="auto" w:fill="auto"/>
            <w:vAlign w:val="bottom"/>
          </w:tcPr>
          <w:p w14:paraId="336417B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9379</w:t>
            </w:r>
          </w:p>
        </w:tc>
        <w:tc>
          <w:tcPr>
            <w:tcW w:w="760" w:type="dxa"/>
            <w:tcBorders>
              <w:top w:val="single" w:sz="4" w:space="0" w:color="auto"/>
              <w:left w:val="nil"/>
              <w:bottom w:val="single" w:sz="4" w:space="0" w:color="auto"/>
              <w:right w:val="nil"/>
            </w:tcBorders>
            <w:shd w:val="clear" w:color="auto" w:fill="auto"/>
            <w:vAlign w:val="bottom"/>
          </w:tcPr>
          <w:p w14:paraId="21EE3B4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9241</w:t>
            </w:r>
          </w:p>
        </w:tc>
        <w:tc>
          <w:tcPr>
            <w:tcW w:w="760" w:type="dxa"/>
            <w:tcBorders>
              <w:top w:val="single" w:sz="4" w:space="0" w:color="auto"/>
              <w:left w:val="nil"/>
              <w:bottom w:val="single" w:sz="4" w:space="0" w:color="auto"/>
              <w:right w:val="nil"/>
            </w:tcBorders>
            <w:shd w:val="clear" w:color="auto" w:fill="auto"/>
            <w:vAlign w:val="bottom"/>
          </w:tcPr>
          <w:p w14:paraId="4B64941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9086</w:t>
            </w:r>
          </w:p>
        </w:tc>
        <w:tc>
          <w:tcPr>
            <w:tcW w:w="760" w:type="dxa"/>
            <w:tcBorders>
              <w:top w:val="single" w:sz="4" w:space="0" w:color="auto"/>
              <w:left w:val="nil"/>
              <w:bottom w:val="single" w:sz="4" w:space="0" w:color="auto"/>
              <w:right w:val="nil"/>
            </w:tcBorders>
            <w:shd w:val="clear" w:color="auto" w:fill="auto"/>
            <w:vAlign w:val="bottom"/>
          </w:tcPr>
          <w:p w14:paraId="6C929D5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8908</w:t>
            </w:r>
          </w:p>
        </w:tc>
      </w:tr>
      <w:tr w:rsidR="001A0708" w:rsidRPr="00CE6CA4" w14:paraId="4E158247" w14:textId="77777777" w:rsidTr="00EB783E">
        <w:tc>
          <w:tcPr>
            <w:tcW w:w="596" w:type="dxa"/>
            <w:tcBorders>
              <w:top w:val="single" w:sz="4" w:space="0" w:color="auto"/>
              <w:bottom w:val="single" w:sz="4" w:space="0" w:color="auto"/>
            </w:tcBorders>
            <w:shd w:val="clear" w:color="auto" w:fill="auto"/>
          </w:tcPr>
          <w:p w14:paraId="50D7B321" w14:textId="77777777" w:rsidR="001A0708" w:rsidRPr="00B81FFE" w:rsidRDefault="003822F9" w:rsidP="001A0708">
            <w:pPr>
              <w:pStyle w:val="Tabletext"/>
            </w:pPr>
            <w:r w:rsidRPr="00B81FFE">
              <w:t>70</w:t>
            </w:r>
          </w:p>
        </w:tc>
        <w:tc>
          <w:tcPr>
            <w:tcW w:w="878" w:type="dxa"/>
            <w:tcBorders>
              <w:top w:val="single" w:sz="4" w:space="0" w:color="auto"/>
              <w:left w:val="nil"/>
              <w:bottom w:val="single" w:sz="4" w:space="0" w:color="auto"/>
              <w:right w:val="nil"/>
            </w:tcBorders>
            <w:shd w:val="clear" w:color="auto" w:fill="auto"/>
            <w:vAlign w:val="bottom"/>
          </w:tcPr>
          <w:p w14:paraId="7DFFE76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9929</w:t>
            </w:r>
          </w:p>
        </w:tc>
        <w:tc>
          <w:tcPr>
            <w:tcW w:w="760" w:type="dxa"/>
            <w:tcBorders>
              <w:top w:val="single" w:sz="4" w:space="0" w:color="auto"/>
              <w:left w:val="nil"/>
              <w:bottom w:val="single" w:sz="4" w:space="0" w:color="auto"/>
              <w:right w:val="nil"/>
            </w:tcBorders>
            <w:shd w:val="clear" w:color="auto" w:fill="auto"/>
            <w:vAlign w:val="bottom"/>
          </w:tcPr>
          <w:p w14:paraId="5D5E5D1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9851</w:t>
            </w:r>
          </w:p>
        </w:tc>
        <w:tc>
          <w:tcPr>
            <w:tcW w:w="760" w:type="dxa"/>
            <w:tcBorders>
              <w:top w:val="single" w:sz="4" w:space="0" w:color="auto"/>
              <w:left w:val="nil"/>
              <w:bottom w:val="single" w:sz="4" w:space="0" w:color="auto"/>
              <w:right w:val="nil"/>
            </w:tcBorders>
            <w:shd w:val="clear" w:color="auto" w:fill="auto"/>
            <w:vAlign w:val="bottom"/>
          </w:tcPr>
          <w:p w14:paraId="0827595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9764</w:t>
            </w:r>
          </w:p>
        </w:tc>
        <w:tc>
          <w:tcPr>
            <w:tcW w:w="760" w:type="dxa"/>
            <w:tcBorders>
              <w:top w:val="single" w:sz="4" w:space="0" w:color="auto"/>
              <w:left w:val="nil"/>
              <w:bottom w:val="single" w:sz="4" w:space="0" w:color="auto"/>
              <w:right w:val="nil"/>
            </w:tcBorders>
            <w:shd w:val="clear" w:color="auto" w:fill="auto"/>
            <w:vAlign w:val="bottom"/>
          </w:tcPr>
          <w:p w14:paraId="689B015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9666</w:t>
            </w:r>
          </w:p>
        </w:tc>
        <w:tc>
          <w:tcPr>
            <w:tcW w:w="760" w:type="dxa"/>
            <w:tcBorders>
              <w:top w:val="single" w:sz="4" w:space="0" w:color="auto"/>
              <w:left w:val="nil"/>
              <w:bottom w:val="single" w:sz="4" w:space="0" w:color="auto"/>
              <w:right w:val="nil"/>
            </w:tcBorders>
            <w:shd w:val="clear" w:color="auto" w:fill="auto"/>
            <w:vAlign w:val="bottom"/>
          </w:tcPr>
          <w:p w14:paraId="1D907E2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9556</w:t>
            </w:r>
          </w:p>
        </w:tc>
        <w:tc>
          <w:tcPr>
            <w:tcW w:w="760" w:type="dxa"/>
            <w:tcBorders>
              <w:top w:val="single" w:sz="4" w:space="0" w:color="auto"/>
              <w:left w:val="nil"/>
              <w:bottom w:val="single" w:sz="4" w:space="0" w:color="auto"/>
              <w:right w:val="nil"/>
            </w:tcBorders>
            <w:shd w:val="clear" w:color="auto" w:fill="auto"/>
            <w:vAlign w:val="bottom"/>
          </w:tcPr>
          <w:p w14:paraId="4B4402B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9432</w:t>
            </w:r>
          </w:p>
        </w:tc>
        <w:tc>
          <w:tcPr>
            <w:tcW w:w="760" w:type="dxa"/>
            <w:tcBorders>
              <w:top w:val="single" w:sz="4" w:space="0" w:color="auto"/>
              <w:left w:val="nil"/>
              <w:bottom w:val="single" w:sz="4" w:space="0" w:color="auto"/>
              <w:right w:val="nil"/>
            </w:tcBorders>
            <w:shd w:val="clear" w:color="auto" w:fill="auto"/>
            <w:vAlign w:val="bottom"/>
          </w:tcPr>
          <w:p w14:paraId="0B2A20C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9292</w:t>
            </w:r>
          </w:p>
        </w:tc>
        <w:tc>
          <w:tcPr>
            <w:tcW w:w="760" w:type="dxa"/>
            <w:tcBorders>
              <w:top w:val="single" w:sz="4" w:space="0" w:color="auto"/>
              <w:left w:val="nil"/>
              <w:bottom w:val="single" w:sz="4" w:space="0" w:color="auto"/>
              <w:right w:val="nil"/>
            </w:tcBorders>
            <w:shd w:val="clear" w:color="auto" w:fill="auto"/>
            <w:vAlign w:val="bottom"/>
          </w:tcPr>
          <w:p w14:paraId="6A38E98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9134</w:t>
            </w:r>
          </w:p>
        </w:tc>
        <w:tc>
          <w:tcPr>
            <w:tcW w:w="760" w:type="dxa"/>
            <w:tcBorders>
              <w:top w:val="single" w:sz="4" w:space="0" w:color="auto"/>
              <w:left w:val="nil"/>
              <w:bottom w:val="single" w:sz="4" w:space="0" w:color="auto"/>
              <w:right w:val="nil"/>
            </w:tcBorders>
            <w:shd w:val="clear" w:color="auto" w:fill="auto"/>
            <w:vAlign w:val="bottom"/>
          </w:tcPr>
          <w:p w14:paraId="2464D65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8953</w:t>
            </w:r>
          </w:p>
        </w:tc>
        <w:tc>
          <w:tcPr>
            <w:tcW w:w="760" w:type="dxa"/>
            <w:tcBorders>
              <w:top w:val="single" w:sz="4" w:space="0" w:color="auto"/>
              <w:left w:val="nil"/>
              <w:bottom w:val="single" w:sz="4" w:space="0" w:color="auto"/>
              <w:right w:val="nil"/>
            </w:tcBorders>
            <w:shd w:val="clear" w:color="auto" w:fill="auto"/>
            <w:vAlign w:val="bottom"/>
          </w:tcPr>
          <w:p w14:paraId="4B7E79D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8745</w:t>
            </w:r>
          </w:p>
        </w:tc>
      </w:tr>
      <w:tr w:rsidR="001A0708" w:rsidRPr="00CE6CA4" w14:paraId="43C0B703" w14:textId="77777777" w:rsidTr="00EB783E">
        <w:tc>
          <w:tcPr>
            <w:tcW w:w="596" w:type="dxa"/>
            <w:tcBorders>
              <w:top w:val="single" w:sz="4" w:space="0" w:color="auto"/>
              <w:bottom w:val="single" w:sz="4" w:space="0" w:color="auto"/>
            </w:tcBorders>
            <w:shd w:val="clear" w:color="auto" w:fill="auto"/>
          </w:tcPr>
          <w:p w14:paraId="2A33AEB8" w14:textId="77777777" w:rsidR="001A0708" w:rsidRPr="00B81FFE" w:rsidRDefault="003822F9" w:rsidP="001A0708">
            <w:pPr>
              <w:pStyle w:val="Tabletext"/>
            </w:pPr>
            <w:r w:rsidRPr="00B81FFE">
              <w:t>71</w:t>
            </w:r>
          </w:p>
        </w:tc>
        <w:tc>
          <w:tcPr>
            <w:tcW w:w="878" w:type="dxa"/>
            <w:tcBorders>
              <w:top w:val="single" w:sz="4" w:space="0" w:color="auto"/>
              <w:left w:val="nil"/>
              <w:bottom w:val="single" w:sz="4" w:space="0" w:color="auto"/>
              <w:right w:val="nil"/>
            </w:tcBorders>
            <w:shd w:val="clear" w:color="auto" w:fill="auto"/>
            <w:vAlign w:val="bottom"/>
          </w:tcPr>
          <w:p w14:paraId="1BC282E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9920</w:t>
            </w:r>
          </w:p>
        </w:tc>
        <w:tc>
          <w:tcPr>
            <w:tcW w:w="760" w:type="dxa"/>
            <w:tcBorders>
              <w:top w:val="single" w:sz="4" w:space="0" w:color="auto"/>
              <w:left w:val="nil"/>
              <w:bottom w:val="single" w:sz="4" w:space="0" w:color="auto"/>
              <w:right w:val="nil"/>
            </w:tcBorders>
            <w:shd w:val="clear" w:color="auto" w:fill="auto"/>
            <w:vAlign w:val="bottom"/>
          </w:tcPr>
          <w:p w14:paraId="10251C1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9831</w:t>
            </w:r>
          </w:p>
        </w:tc>
        <w:tc>
          <w:tcPr>
            <w:tcW w:w="760" w:type="dxa"/>
            <w:tcBorders>
              <w:top w:val="single" w:sz="4" w:space="0" w:color="auto"/>
              <w:left w:val="nil"/>
              <w:bottom w:val="single" w:sz="4" w:space="0" w:color="auto"/>
              <w:right w:val="nil"/>
            </w:tcBorders>
            <w:shd w:val="clear" w:color="auto" w:fill="auto"/>
            <w:vAlign w:val="bottom"/>
          </w:tcPr>
          <w:p w14:paraId="7AB319A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9731</w:t>
            </w:r>
          </w:p>
        </w:tc>
        <w:tc>
          <w:tcPr>
            <w:tcW w:w="760" w:type="dxa"/>
            <w:tcBorders>
              <w:top w:val="single" w:sz="4" w:space="0" w:color="auto"/>
              <w:left w:val="nil"/>
              <w:bottom w:val="single" w:sz="4" w:space="0" w:color="auto"/>
              <w:right w:val="nil"/>
            </w:tcBorders>
            <w:shd w:val="clear" w:color="auto" w:fill="auto"/>
            <w:vAlign w:val="bottom"/>
          </w:tcPr>
          <w:p w14:paraId="43EB4B0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9619</w:t>
            </w:r>
          </w:p>
        </w:tc>
        <w:tc>
          <w:tcPr>
            <w:tcW w:w="760" w:type="dxa"/>
            <w:tcBorders>
              <w:top w:val="single" w:sz="4" w:space="0" w:color="auto"/>
              <w:left w:val="nil"/>
              <w:bottom w:val="single" w:sz="4" w:space="0" w:color="auto"/>
              <w:right w:val="nil"/>
            </w:tcBorders>
            <w:shd w:val="clear" w:color="auto" w:fill="auto"/>
            <w:vAlign w:val="bottom"/>
          </w:tcPr>
          <w:p w14:paraId="34AAD41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9493</w:t>
            </w:r>
          </w:p>
        </w:tc>
        <w:tc>
          <w:tcPr>
            <w:tcW w:w="760" w:type="dxa"/>
            <w:tcBorders>
              <w:top w:val="single" w:sz="4" w:space="0" w:color="auto"/>
              <w:left w:val="nil"/>
              <w:bottom w:val="single" w:sz="4" w:space="0" w:color="auto"/>
              <w:right w:val="nil"/>
            </w:tcBorders>
            <w:shd w:val="clear" w:color="auto" w:fill="auto"/>
            <w:vAlign w:val="bottom"/>
          </w:tcPr>
          <w:p w14:paraId="189844B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9351</w:t>
            </w:r>
          </w:p>
        </w:tc>
        <w:tc>
          <w:tcPr>
            <w:tcW w:w="760" w:type="dxa"/>
            <w:tcBorders>
              <w:top w:val="single" w:sz="4" w:space="0" w:color="auto"/>
              <w:left w:val="nil"/>
              <w:bottom w:val="single" w:sz="4" w:space="0" w:color="auto"/>
              <w:right w:val="nil"/>
            </w:tcBorders>
            <w:shd w:val="clear" w:color="auto" w:fill="auto"/>
            <w:vAlign w:val="bottom"/>
          </w:tcPr>
          <w:p w14:paraId="248FD9D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9190</w:t>
            </w:r>
          </w:p>
        </w:tc>
        <w:tc>
          <w:tcPr>
            <w:tcW w:w="760" w:type="dxa"/>
            <w:tcBorders>
              <w:top w:val="single" w:sz="4" w:space="0" w:color="auto"/>
              <w:left w:val="nil"/>
              <w:bottom w:val="single" w:sz="4" w:space="0" w:color="auto"/>
              <w:right w:val="nil"/>
            </w:tcBorders>
            <w:shd w:val="clear" w:color="auto" w:fill="auto"/>
            <w:vAlign w:val="bottom"/>
          </w:tcPr>
          <w:p w14:paraId="3DA51F5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9006</w:t>
            </w:r>
          </w:p>
        </w:tc>
        <w:tc>
          <w:tcPr>
            <w:tcW w:w="760" w:type="dxa"/>
            <w:tcBorders>
              <w:top w:val="single" w:sz="4" w:space="0" w:color="auto"/>
              <w:left w:val="nil"/>
              <w:bottom w:val="single" w:sz="4" w:space="0" w:color="auto"/>
              <w:right w:val="nil"/>
            </w:tcBorders>
            <w:shd w:val="clear" w:color="auto" w:fill="auto"/>
            <w:vAlign w:val="bottom"/>
          </w:tcPr>
          <w:p w14:paraId="02B1223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8794</w:t>
            </w:r>
          </w:p>
        </w:tc>
        <w:tc>
          <w:tcPr>
            <w:tcW w:w="760" w:type="dxa"/>
            <w:tcBorders>
              <w:top w:val="single" w:sz="4" w:space="0" w:color="auto"/>
              <w:left w:val="nil"/>
              <w:bottom w:val="single" w:sz="4" w:space="0" w:color="auto"/>
              <w:right w:val="nil"/>
            </w:tcBorders>
            <w:shd w:val="clear" w:color="auto" w:fill="auto"/>
            <w:vAlign w:val="bottom"/>
          </w:tcPr>
          <w:p w14:paraId="607A028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8552</w:t>
            </w:r>
          </w:p>
        </w:tc>
      </w:tr>
      <w:tr w:rsidR="001A0708" w:rsidRPr="00CE6CA4" w14:paraId="01C1C0ED" w14:textId="77777777" w:rsidTr="00EB783E">
        <w:tc>
          <w:tcPr>
            <w:tcW w:w="596" w:type="dxa"/>
            <w:tcBorders>
              <w:top w:val="single" w:sz="4" w:space="0" w:color="auto"/>
              <w:bottom w:val="single" w:sz="4" w:space="0" w:color="auto"/>
            </w:tcBorders>
            <w:shd w:val="clear" w:color="auto" w:fill="auto"/>
          </w:tcPr>
          <w:p w14:paraId="5339CC20" w14:textId="77777777" w:rsidR="001A0708" w:rsidRPr="00B81FFE" w:rsidRDefault="003822F9" w:rsidP="001A0708">
            <w:pPr>
              <w:pStyle w:val="Tabletext"/>
            </w:pPr>
            <w:r w:rsidRPr="00B81FFE">
              <w:t>72</w:t>
            </w:r>
          </w:p>
        </w:tc>
        <w:tc>
          <w:tcPr>
            <w:tcW w:w="878" w:type="dxa"/>
            <w:tcBorders>
              <w:top w:val="single" w:sz="4" w:space="0" w:color="auto"/>
              <w:left w:val="nil"/>
              <w:bottom w:val="single" w:sz="4" w:space="0" w:color="auto"/>
              <w:right w:val="nil"/>
            </w:tcBorders>
            <w:shd w:val="clear" w:color="auto" w:fill="auto"/>
            <w:vAlign w:val="bottom"/>
          </w:tcPr>
          <w:p w14:paraId="6B58BFE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9909</w:t>
            </w:r>
          </w:p>
        </w:tc>
        <w:tc>
          <w:tcPr>
            <w:tcW w:w="760" w:type="dxa"/>
            <w:tcBorders>
              <w:top w:val="single" w:sz="4" w:space="0" w:color="auto"/>
              <w:left w:val="nil"/>
              <w:bottom w:val="single" w:sz="4" w:space="0" w:color="auto"/>
              <w:right w:val="nil"/>
            </w:tcBorders>
            <w:shd w:val="clear" w:color="auto" w:fill="auto"/>
            <w:vAlign w:val="bottom"/>
          </w:tcPr>
          <w:p w14:paraId="46C6669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9807</w:t>
            </w:r>
          </w:p>
        </w:tc>
        <w:tc>
          <w:tcPr>
            <w:tcW w:w="760" w:type="dxa"/>
            <w:tcBorders>
              <w:top w:val="single" w:sz="4" w:space="0" w:color="auto"/>
              <w:left w:val="nil"/>
              <w:bottom w:val="single" w:sz="4" w:space="0" w:color="auto"/>
              <w:right w:val="nil"/>
            </w:tcBorders>
            <w:shd w:val="clear" w:color="auto" w:fill="auto"/>
            <w:vAlign w:val="bottom"/>
          </w:tcPr>
          <w:p w14:paraId="445B9EA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9693</w:t>
            </w:r>
          </w:p>
        </w:tc>
        <w:tc>
          <w:tcPr>
            <w:tcW w:w="760" w:type="dxa"/>
            <w:tcBorders>
              <w:top w:val="single" w:sz="4" w:space="0" w:color="auto"/>
              <w:left w:val="nil"/>
              <w:bottom w:val="single" w:sz="4" w:space="0" w:color="auto"/>
              <w:right w:val="nil"/>
            </w:tcBorders>
            <w:shd w:val="clear" w:color="auto" w:fill="auto"/>
            <w:vAlign w:val="bottom"/>
          </w:tcPr>
          <w:p w14:paraId="09E3468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9564</w:t>
            </w:r>
          </w:p>
        </w:tc>
        <w:tc>
          <w:tcPr>
            <w:tcW w:w="760" w:type="dxa"/>
            <w:tcBorders>
              <w:top w:val="single" w:sz="4" w:space="0" w:color="auto"/>
              <w:left w:val="nil"/>
              <w:bottom w:val="single" w:sz="4" w:space="0" w:color="auto"/>
              <w:right w:val="nil"/>
            </w:tcBorders>
            <w:shd w:val="clear" w:color="auto" w:fill="auto"/>
            <w:vAlign w:val="bottom"/>
          </w:tcPr>
          <w:p w14:paraId="6F15E0F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9419</w:t>
            </w:r>
          </w:p>
        </w:tc>
        <w:tc>
          <w:tcPr>
            <w:tcW w:w="760" w:type="dxa"/>
            <w:tcBorders>
              <w:top w:val="single" w:sz="4" w:space="0" w:color="auto"/>
              <w:left w:val="nil"/>
              <w:bottom w:val="single" w:sz="4" w:space="0" w:color="auto"/>
              <w:right w:val="nil"/>
            </w:tcBorders>
            <w:shd w:val="clear" w:color="auto" w:fill="auto"/>
            <w:vAlign w:val="bottom"/>
          </w:tcPr>
          <w:p w14:paraId="3565475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9256</w:t>
            </w:r>
          </w:p>
        </w:tc>
        <w:tc>
          <w:tcPr>
            <w:tcW w:w="760" w:type="dxa"/>
            <w:tcBorders>
              <w:top w:val="single" w:sz="4" w:space="0" w:color="auto"/>
              <w:left w:val="nil"/>
              <w:bottom w:val="single" w:sz="4" w:space="0" w:color="auto"/>
              <w:right w:val="nil"/>
            </w:tcBorders>
            <w:shd w:val="clear" w:color="auto" w:fill="auto"/>
            <w:vAlign w:val="bottom"/>
          </w:tcPr>
          <w:p w14:paraId="096EB12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9068</w:t>
            </w:r>
          </w:p>
        </w:tc>
        <w:tc>
          <w:tcPr>
            <w:tcW w:w="760" w:type="dxa"/>
            <w:tcBorders>
              <w:top w:val="single" w:sz="4" w:space="0" w:color="auto"/>
              <w:left w:val="nil"/>
              <w:bottom w:val="single" w:sz="4" w:space="0" w:color="auto"/>
              <w:right w:val="nil"/>
            </w:tcBorders>
            <w:shd w:val="clear" w:color="auto" w:fill="auto"/>
            <w:vAlign w:val="bottom"/>
          </w:tcPr>
          <w:p w14:paraId="768E986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8853</w:t>
            </w:r>
          </w:p>
        </w:tc>
        <w:tc>
          <w:tcPr>
            <w:tcW w:w="760" w:type="dxa"/>
            <w:tcBorders>
              <w:top w:val="single" w:sz="4" w:space="0" w:color="auto"/>
              <w:left w:val="nil"/>
              <w:bottom w:val="single" w:sz="4" w:space="0" w:color="auto"/>
              <w:right w:val="nil"/>
            </w:tcBorders>
            <w:shd w:val="clear" w:color="auto" w:fill="auto"/>
            <w:vAlign w:val="bottom"/>
          </w:tcPr>
          <w:p w14:paraId="577A927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8607</w:t>
            </w:r>
          </w:p>
        </w:tc>
        <w:tc>
          <w:tcPr>
            <w:tcW w:w="760" w:type="dxa"/>
            <w:tcBorders>
              <w:top w:val="single" w:sz="4" w:space="0" w:color="auto"/>
              <w:left w:val="nil"/>
              <w:bottom w:val="single" w:sz="4" w:space="0" w:color="auto"/>
              <w:right w:val="nil"/>
            </w:tcBorders>
            <w:shd w:val="clear" w:color="auto" w:fill="auto"/>
            <w:vAlign w:val="bottom"/>
          </w:tcPr>
          <w:p w14:paraId="1450FB3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8371</w:t>
            </w:r>
          </w:p>
        </w:tc>
      </w:tr>
      <w:tr w:rsidR="001A0708" w:rsidRPr="00CE6CA4" w14:paraId="229ED267" w14:textId="77777777" w:rsidTr="00EB783E">
        <w:tc>
          <w:tcPr>
            <w:tcW w:w="596" w:type="dxa"/>
            <w:tcBorders>
              <w:top w:val="single" w:sz="4" w:space="0" w:color="auto"/>
              <w:bottom w:val="single" w:sz="4" w:space="0" w:color="auto"/>
            </w:tcBorders>
            <w:shd w:val="clear" w:color="auto" w:fill="auto"/>
          </w:tcPr>
          <w:p w14:paraId="0112FF12" w14:textId="77777777" w:rsidR="001A0708" w:rsidRPr="00B81FFE" w:rsidRDefault="003822F9" w:rsidP="001A0708">
            <w:pPr>
              <w:pStyle w:val="Tabletext"/>
            </w:pPr>
            <w:r w:rsidRPr="00B81FFE">
              <w:t>73</w:t>
            </w:r>
          </w:p>
        </w:tc>
        <w:tc>
          <w:tcPr>
            <w:tcW w:w="878" w:type="dxa"/>
            <w:tcBorders>
              <w:top w:val="single" w:sz="4" w:space="0" w:color="auto"/>
              <w:left w:val="nil"/>
              <w:bottom w:val="single" w:sz="4" w:space="0" w:color="auto"/>
              <w:right w:val="nil"/>
            </w:tcBorders>
            <w:shd w:val="clear" w:color="auto" w:fill="auto"/>
            <w:vAlign w:val="bottom"/>
          </w:tcPr>
          <w:p w14:paraId="50D0072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9896</w:t>
            </w:r>
          </w:p>
        </w:tc>
        <w:tc>
          <w:tcPr>
            <w:tcW w:w="760" w:type="dxa"/>
            <w:tcBorders>
              <w:top w:val="single" w:sz="4" w:space="0" w:color="auto"/>
              <w:left w:val="nil"/>
              <w:bottom w:val="single" w:sz="4" w:space="0" w:color="auto"/>
              <w:right w:val="nil"/>
            </w:tcBorders>
            <w:shd w:val="clear" w:color="auto" w:fill="auto"/>
            <w:vAlign w:val="bottom"/>
          </w:tcPr>
          <w:p w14:paraId="57AEEA5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9779</w:t>
            </w:r>
          </w:p>
        </w:tc>
        <w:tc>
          <w:tcPr>
            <w:tcW w:w="760" w:type="dxa"/>
            <w:tcBorders>
              <w:top w:val="single" w:sz="4" w:space="0" w:color="auto"/>
              <w:left w:val="nil"/>
              <w:bottom w:val="single" w:sz="4" w:space="0" w:color="auto"/>
              <w:right w:val="nil"/>
            </w:tcBorders>
            <w:shd w:val="clear" w:color="auto" w:fill="auto"/>
            <w:vAlign w:val="bottom"/>
          </w:tcPr>
          <w:p w14:paraId="6C617C9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9648</w:t>
            </w:r>
          </w:p>
        </w:tc>
        <w:tc>
          <w:tcPr>
            <w:tcW w:w="760" w:type="dxa"/>
            <w:tcBorders>
              <w:top w:val="single" w:sz="4" w:space="0" w:color="auto"/>
              <w:left w:val="nil"/>
              <w:bottom w:val="single" w:sz="4" w:space="0" w:color="auto"/>
              <w:right w:val="nil"/>
            </w:tcBorders>
            <w:shd w:val="clear" w:color="auto" w:fill="auto"/>
            <w:vAlign w:val="bottom"/>
          </w:tcPr>
          <w:p w14:paraId="72F4F33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9500</w:t>
            </w:r>
          </w:p>
        </w:tc>
        <w:tc>
          <w:tcPr>
            <w:tcW w:w="760" w:type="dxa"/>
            <w:tcBorders>
              <w:top w:val="single" w:sz="4" w:space="0" w:color="auto"/>
              <w:left w:val="nil"/>
              <w:bottom w:val="single" w:sz="4" w:space="0" w:color="auto"/>
              <w:right w:val="nil"/>
            </w:tcBorders>
            <w:shd w:val="clear" w:color="auto" w:fill="auto"/>
            <w:vAlign w:val="bottom"/>
          </w:tcPr>
          <w:p w14:paraId="3A242AE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9333</w:t>
            </w:r>
          </w:p>
        </w:tc>
        <w:tc>
          <w:tcPr>
            <w:tcW w:w="760" w:type="dxa"/>
            <w:tcBorders>
              <w:top w:val="single" w:sz="4" w:space="0" w:color="auto"/>
              <w:left w:val="nil"/>
              <w:bottom w:val="single" w:sz="4" w:space="0" w:color="auto"/>
              <w:right w:val="nil"/>
            </w:tcBorders>
            <w:shd w:val="clear" w:color="auto" w:fill="auto"/>
            <w:vAlign w:val="bottom"/>
          </w:tcPr>
          <w:p w14:paraId="188F8FC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9142</w:t>
            </w:r>
          </w:p>
        </w:tc>
        <w:tc>
          <w:tcPr>
            <w:tcW w:w="760" w:type="dxa"/>
            <w:tcBorders>
              <w:top w:val="single" w:sz="4" w:space="0" w:color="auto"/>
              <w:left w:val="nil"/>
              <w:bottom w:val="single" w:sz="4" w:space="0" w:color="auto"/>
              <w:right w:val="nil"/>
            </w:tcBorders>
            <w:shd w:val="clear" w:color="auto" w:fill="auto"/>
            <w:vAlign w:val="bottom"/>
          </w:tcPr>
          <w:p w14:paraId="568AA7C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8923</w:t>
            </w:r>
          </w:p>
        </w:tc>
        <w:tc>
          <w:tcPr>
            <w:tcW w:w="760" w:type="dxa"/>
            <w:tcBorders>
              <w:top w:val="single" w:sz="4" w:space="0" w:color="auto"/>
              <w:left w:val="nil"/>
              <w:bottom w:val="single" w:sz="4" w:space="0" w:color="auto"/>
              <w:right w:val="nil"/>
            </w:tcBorders>
            <w:shd w:val="clear" w:color="auto" w:fill="auto"/>
            <w:vAlign w:val="bottom"/>
          </w:tcPr>
          <w:p w14:paraId="2053F7E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8673</w:t>
            </w:r>
          </w:p>
        </w:tc>
        <w:tc>
          <w:tcPr>
            <w:tcW w:w="760" w:type="dxa"/>
            <w:tcBorders>
              <w:top w:val="single" w:sz="4" w:space="0" w:color="auto"/>
              <w:left w:val="nil"/>
              <w:bottom w:val="single" w:sz="4" w:space="0" w:color="auto"/>
              <w:right w:val="nil"/>
            </w:tcBorders>
            <w:shd w:val="clear" w:color="auto" w:fill="auto"/>
            <w:vAlign w:val="bottom"/>
          </w:tcPr>
          <w:p w14:paraId="505B2F7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8432</w:t>
            </w:r>
          </w:p>
        </w:tc>
        <w:tc>
          <w:tcPr>
            <w:tcW w:w="760" w:type="dxa"/>
            <w:tcBorders>
              <w:top w:val="single" w:sz="4" w:space="0" w:color="auto"/>
              <w:left w:val="nil"/>
              <w:bottom w:val="single" w:sz="4" w:space="0" w:color="auto"/>
              <w:right w:val="nil"/>
            </w:tcBorders>
            <w:shd w:val="clear" w:color="auto" w:fill="auto"/>
            <w:vAlign w:val="bottom"/>
          </w:tcPr>
          <w:p w14:paraId="5539B9E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8200</w:t>
            </w:r>
          </w:p>
        </w:tc>
      </w:tr>
      <w:tr w:rsidR="001A0708" w:rsidRPr="00CE6CA4" w14:paraId="2A690D09" w14:textId="77777777" w:rsidTr="00EB783E">
        <w:tc>
          <w:tcPr>
            <w:tcW w:w="596" w:type="dxa"/>
            <w:tcBorders>
              <w:top w:val="single" w:sz="4" w:space="0" w:color="auto"/>
              <w:bottom w:val="single" w:sz="4" w:space="0" w:color="auto"/>
            </w:tcBorders>
            <w:shd w:val="clear" w:color="auto" w:fill="auto"/>
          </w:tcPr>
          <w:p w14:paraId="41FA8552" w14:textId="77777777" w:rsidR="001A0708" w:rsidRPr="00B81FFE" w:rsidRDefault="003822F9" w:rsidP="001A0708">
            <w:pPr>
              <w:pStyle w:val="Tabletext"/>
            </w:pPr>
            <w:r w:rsidRPr="00B81FFE">
              <w:t>74</w:t>
            </w:r>
          </w:p>
        </w:tc>
        <w:tc>
          <w:tcPr>
            <w:tcW w:w="878" w:type="dxa"/>
            <w:tcBorders>
              <w:top w:val="single" w:sz="4" w:space="0" w:color="auto"/>
              <w:left w:val="nil"/>
              <w:bottom w:val="single" w:sz="4" w:space="0" w:color="auto"/>
              <w:right w:val="nil"/>
            </w:tcBorders>
            <w:shd w:val="clear" w:color="auto" w:fill="auto"/>
            <w:vAlign w:val="bottom"/>
          </w:tcPr>
          <w:p w14:paraId="42D974B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9881</w:t>
            </w:r>
          </w:p>
        </w:tc>
        <w:tc>
          <w:tcPr>
            <w:tcW w:w="760" w:type="dxa"/>
            <w:tcBorders>
              <w:top w:val="single" w:sz="4" w:space="0" w:color="auto"/>
              <w:left w:val="nil"/>
              <w:bottom w:val="single" w:sz="4" w:space="0" w:color="auto"/>
              <w:right w:val="nil"/>
            </w:tcBorders>
            <w:shd w:val="clear" w:color="auto" w:fill="auto"/>
            <w:vAlign w:val="bottom"/>
          </w:tcPr>
          <w:p w14:paraId="2B5EF60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9746</w:t>
            </w:r>
          </w:p>
        </w:tc>
        <w:tc>
          <w:tcPr>
            <w:tcW w:w="760" w:type="dxa"/>
            <w:tcBorders>
              <w:top w:val="single" w:sz="4" w:space="0" w:color="auto"/>
              <w:left w:val="nil"/>
              <w:bottom w:val="single" w:sz="4" w:space="0" w:color="auto"/>
              <w:right w:val="nil"/>
            </w:tcBorders>
            <w:shd w:val="clear" w:color="auto" w:fill="auto"/>
            <w:vAlign w:val="bottom"/>
          </w:tcPr>
          <w:p w14:paraId="7511662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9595</w:t>
            </w:r>
          </w:p>
        </w:tc>
        <w:tc>
          <w:tcPr>
            <w:tcW w:w="760" w:type="dxa"/>
            <w:tcBorders>
              <w:top w:val="single" w:sz="4" w:space="0" w:color="auto"/>
              <w:left w:val="nil"/>
              <w:bottom w:val="single" w:sz="4" w:space="0" w:color="auto"/>
              <w:right w:val="nil"/>
            </w:tcBorders>
            <w:shd w:val="clear" w:color="auto" w:fill="auto"/>
            <w:vAlign w:val="bottom"/>
          </w:tcPr>
          <w:p w14:paraId="37899AF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9425</w:t>
            </w:r>
          </w:p>
        </w:tc>
        <w:tc>
          <w:tcPr>
            <w:tcW w:w="760" w:type="dxa"/>
            <w:tcBorders>
              <w:top w:val="single" w:sz="4" w:space="0" w:color="auto"/>
              <w:left w:val="nil"/>
              <w:bottom w:val="single" w:sz="4" w:space="0" w:color="auto"/>
              <w:right w:val="nil"/>
            </w:tcBorders>
            <w:shd w:val="clear" w:color="auto" w:fill="auto"/>
            <w:vAlign w:val="bottom"/>
          </w:tcPr>
          <w:p w14:paraId="350A249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9230</w:t>
            </w:r>
          </w:p>
        </w:tc>
        <w:tc>
          <w:tcPr>
            <w:tcW w:w="760" w:type="dxa"/>
            <w:tcBorders>
              <w:top w:val="single" w:sz="4" w:space="0" w:color="auto"/>
              <w:left w:val="nil"/>
              <w:bottom w:val="single" w:sz="4" w:space="0" w:color="auto"/>
              <w:right w:val="nil"/>
            </w:tcBorders>
            <w:shd w:val="clear" w:color="auto" w:fill="auto"/>
            <w:vAlign w:val="bottom"/>
          </w:tcPr>
          <w:p w14:paraId="612A4CD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9007</w:t>
            </w:r>
          </w:p>
        </w:tc>
        <w:tc>
          <w:tcPr>
            <w:tcW w:w="760" w:type="dxa"/>
            <w:tcBorders>
              <w:top w:val="single" w:sz="4" w:space="0" w:color="auto"/>
              <w:left w:val="nil"/>
              <w:bottom w:val="single" w:sz="4" w:space="0" w:color="auto"/>
              <w:right w:val="nil"/>
            </w:tcBorders>
            <w:shd w:val="clear" w:color="auto" w:fill="auto"/>
            <w:vAlign w:val="bottom"/>
          </w:tcPr>
          <w:p w14:paraId="2ED2660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8752</w:t>
            </w:r>
          </w:p>
        </w:tc>
        <w:tc>
          <w:tcPr>
            <w:tcW w:w="760" w:type="dxa"/>
            <w:tcBorders>
              <w:top w:val="single" w:sz="4" w:space="0" w:color="auto"/>
              <w:left w:val="nil"/>
              <w:bottom w:val="single" w:sz="4" w:space="0" w:color="auto"/>
              <w:right w:val="nil"/>
            </w:tcBorders>
            <w:shd w:val="clear" w:color="auto" w:fill="auto"/>
            <w:vAlign w:val="bottom"/>
          </w:tcPr>
          <w:p w14:paraId="58A06AB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8506</w:t>
            </w:r>
          </w:p>
        </w:tc>
        <w:tc>
          <w:tcPr>
            <w:tcW w:w="760" w:type="dxa"/>
            <w:tcBorders>
              <w:top w:val="single" w:sz="4" w:space="0" w:color="auto"/>
              <w:left w:val="nil"/>
              <w:bottom w:val="single" w:sz="4" w:space="0" w:color="auto"/>
              <w:right w:val="nil"/>
            </w:tcBorders>
            <w:shd w:val="clear" w:color="auto" w:fill="auto"/>
            <w:vAlign w:val="bottom"/>
          </w:tcPr>
          <w:p w14:paraId="1D2BB2D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8270</w:t>
            </w:r>
          </w:p>
        </w:tc>
        <w:tc>
          <w:tcPr>
            <w:tcW w:w="760" w:type="dxa"/>
            <w:tcBorders>
              <w:top w:val="single" w:sz="4" w:space="0" w:color="auto"/>
              <w:left w:val="nil"/>
              <w:bottom w:val="single" w:sz="4" w:space="0" w:color="auto"/>
              <w:right w:val="nil"/>
            </w:tcBorders>
            <w:shd w:val="clear" w:color="auto" w:fill="auto"/>
            <w:vAlign w:val="bottom"/>
          </w:tcPr>
          <w:p w14:paraId="3078EEA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8042</w:t>
            </w:r>
          </w:p>
        </w:tc>
      </w:tr>
      <w:tr w:rsidR="001A0708" w:rsidRPr="00CE6CA4" w14:paraId="4AC37986" w14:textId="77777777" w:rsidTr="00EB783E">
        <w:tc>
          <w:tcPr>
            <w:tcW w:w="596" w:type="dxa"/>
            <w:tcBorders>
              <w:top w:val="single" w:sz="4" w:space="0" w:color="auto"/>
              <w:bottom w:val="single" w:sz="4" w:space="0" w:color="auto"/>
            </w:tcBorders>
            <w:shd w:val="clear" w:color="auto" w:fill="auto"/>
          </w:tcPr>
          <w:p w14:paraId="1B25CFDD" w14:textId="77777777" w:rsidR="001A0708" w:rsidRPr="00B81FFE" w:rsidRDefault="003822F9" w:rsidP="001A0708">
            <w:pPr>
              <w:pStyle w:val="Tabletext"/>
            </w:pPr>
            <w:r w:rsidRPr="00B81FFE">
              <w:t>75</w:t>
            </w:r>
          </w:p>
        </w:tc>
        <w:tc>
          <w:tcPr>
            <w:tcW w:w="878" w:type="dxa"/>
            <w:tcBorders>
              <w:top w:val="single" w:sz="4" w:space="0" w:color="auto"/>
              <w:left w:val="nil"/>
              <w:bottom w:val="single" w:sz="4" w:space="0" w:color="auto"/>
              <w:right w:val="nil"/>
            </w:tcBorders>
            <w:shd w:val="clear" w:color="auto" w:fill="auto"/>
            <w:vAlign w:val="bottom"/>
          </w:tcPr>
          <w:p w14:paraId="14A4109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9863</w:t>
            </w:r>
          </w:p>
        </w:tc>
        <w:tc>
          <w:tcPr>
            <w:tcW w:w="760" w:type="dxa"/>
            <w:tcBorders>
              <w:top w:val="single" w:sz="4" w:space="0" w:color="auto"/>
              <w:left w:val="nil"/>
              <w:bottom w:val="single" w:sz="4" w:space="0" w:color="auto"/>
              <w:right w:val="nil"/>
            </w:tcBorders>
            <w:shd w:val="clear" w:color="auto" w:fill="auto"/>
            <w:vAlign w:val="bottom"/>
          </w:tcPr>
          <w:p w14:paraId="751DAA1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9708</w:t>
            </w:r>
          </w:p>
        </w:tc>
        <w:tc>
          <w:tcPr>
            <w:tcW w:w="760" w:type="dxa"/>
            <w:tcBorders>
              <w:top w:val="single" w:sz="4" w:space="0" w:color="auto"/>
              <w:left w:val="nil"/>
              <w:bottom w:val="single" w:sz="4" w:space="0" w:color="auto"/>
              <w:right w:val="nil"/>
            </w:tcBorders>
            <w:shd w:val="clear" w:color="auto" w:fill="auto"/>
            <w:vAlign w:val="bottom"/>
          </w:tcPr>
          <w:p w14:paraId="0E129BB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9533</w:t>
            </w:r>
          </w:p>
        </w:tc>
        <w:tc>
          <w:tcPr>
            <w:tcW w:w="760" w:type="dxa"/>
            <w:tcBorders>
              <w:top w:val="single" w:sz="4" w:space="0" w:color="auto"/>
              <w:left w:val="nil"/>
              <w:bottom w:val="single" w:sz="4" w:space="0" w:color="auto"/>
              <w:right w:val="nil"/>
            </w:tcBorders>
            <w:shd w:val="clear" w:color="auto" w:fill="auto"/>
            <w:vAlign w:val="bottom"/>
          </w:tcPr>
          <w:p w14:paraId="7AEC2B8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9334</w:t>
            </w:r>
          </w:p>
        </w:tc>
        <w:tc>
          <w:tcPr>
            <w:tcW w:w="760" w:type="dxa"/>
            <w:tcBorders>
              <w:top w:val="single" w:sz="4" w:space="0" w:color="auto"/>
              <w:left w:val="nil"/>
              <w:bottom w:val="single" w:sz="4" w:space="0" w:color="auto"/>
              <w:right w:val="nil"/>
            </w:tcBorders>
            <w:shd w:val="clear" w:color="auto" w:fill="auto"/>
            <w:vAlign w:val="bottom"/>
          </w:tcPr>
          <w:p w14:paraId="514E731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9106</w:t>
            </w:r>
          </w:p>
        </w:tc>
        <w:tc>
          <w:tcPr>
            <w:tcW w:w="760" w:type="dxa"/>
            <w:tcBorders>
              <w:top w:val="single" w:sz="4" w:space="0" w:color="auto"/>
              <w:left w:val="nil"/>
              <w:bottom w:val="single" w:sz="4" w:space="0" w:color="auto"/>
              <w:right w:val="nil"/>
            </w:tcBorders>
            <w:shd w:val="clear" w:color="auto" w:fill="auto"/>
            <w:vAlign w:val="bottom"/>
          </w:tcPr>
          <w:p w14:paraId="49A146C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8846</w:t>
            </w:r>
          </w:p>
        </w:tc>
        <w:tc>
          <w:tcPr>
            <w:tcW w:w="760" w:type="dxa"/>
            <w:tcBorders>
              <w:top w:val="single" w:sz="4" w:space="0" w:color="auto"/>
              <w:left w:val="nil"/>
              <w:bottom w:val="single" w:sz="4" w:space="0" w:color="auto"/>
              <w:right w:val="nil"/>
            </w:tcBorders>
            <w:shd w:val="clear" w:color="auto" w:fill="auto"/>
            <w:vAlign w:val="bottom"/>
          </w:tcPr>
          <w:p w14:paraId="4B2597A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8596</w:t>
            </w:r>
          </w:p>
        </w:tc>
        <w:tc>
          <w:tcPr>
            <w:tcW w:w="760" w:type="dxa"/>
            <w:tcBorders>
              <w:top w:val="single" w:sz="4" w:space="0" w:color="auto"/>
              <w:left w:val="nil"/>
              <w:bottom w:val="single" w:sz="4" w:space="0" w:color="auto"/>
              <w:right w:val="nil"/>
            </w:tcBorders>
            <w:shd w:val="clear" w:color="auto" w:fill="auto"/>
            <w:vAlign w:val="bottom"/>
          </w:tcPr>
          <w:p w14:paraId="7C37236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8354</w:t>
            </w:r>
          </w:p>
        </w:tc>
        <w:tc>
          <w:tcPr>
            <w:tcW w:w="760" w:type="dxa"/>
            <w:tcBorders>
              <w:top w:val="single" w:sz="4" w:space="0" w:color="auto"/>
              <w:left w:val="nil"/>
              <w:bottom w:val="single" w:sz="4" w:space="0" w:color="auto"/>
              <w:right w:val="nil"/>
            </w:tcBorders>
            <w:shd w:val="clear" w:color="auto" w:fill="auto"/>
            <w:vAlign w:val="bottom"/>
          </w:tcPr>
          <w:p w14:paraId="6A56026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8122</w:t>
            </w:r>
          </w:p>
        </w:tc>
        <w:tc>
          <w:tcPr>
            <w:tcW w:w="760" w:type="dxa"/>
            <w:tcBorders>
              <w:top w:val="single" w:sz="4" w:space="0" w:color="auto"/>
              <w:left w:val="nil"/>
              <w:bottom w:val="single" w:sz="4" w:space="0" w:color="auto"/>
              <w:right w:val="nil"/>
            </w:tcBorders>
            <w:shd w:val="clear" w:color="auto" w:fill="auto"/>
            <w:vAlign w:val="bottom"/>
          </w:tcPr>
          <w:p w14:paraId="00A811E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7899</w:t>
            </w:r>
          </w:p>
        </w:tc>
      </w:tr>
      <w:tr w:rsidR="001A0708" w:rsidRPr="00CE6CA4" w14:paraId="77514F60" w14:textId="77777777" w:rsidTr="00EB783E">
        <w:tc>
          <w:tcPr>
            <w:tcW w:w="596" w:type="dxa"/>
            <w:tcBorders>
              <w:top w:val="single" w:sz="4" w:space="0" w:color="auto"/>
              <w:bottom w:val="single" w:sz="4" w:space="0" w:color="auto"/>
            </w:tcBorders>
            <w:shd w:val="clear" w:color="auto" w:fill="auto"/>
          </w:tcPr>
          <w:p w14:paraId="4819E2C5" w14:textId="77777777" w:rsidR="001A0708" w:rsidRPr="00B81FFE" w:rsidRDefault="003822F9" w:rsidP="001A0708">
            <w:pPr>
              <w:pStyle w:val="Tabletext"/>
            </w:pPr>
            <w:r w:rsidRPr="00B81FFE">
              <w:t>76</w:t>
            </w:r>
          </w:p>
        </w:tc>
        <w:tc>
          <w:tcPr>
            <w:tcW w:w="878" w:type="dxa"/>
            <w:tcBorders>
              <w:top w:val="single" w:sz="4" w:space="0" w:color="auto"/>
              <w:left w:val="nil"/>
              <w:bottom w:val="single" w:sz="4" w:space="0" w:color="auto"/>
              <w:right w:val="nil"/>
            </w:tcBorders>
            <w:shd w:val="clear" w:color="auto" w:fill="auto"/>
            <w:vAlign w:val="bottom"/>
          </w:tcPr>
          <w:p w14:paraId="241D83B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9841</w:t>
            </w:r>
          </w:p>
        </w:tc>
        <w:tc>
          <w:tcPr>
            <w:tcW w:w="760" w:type="dxa"/>
            <w:tcBorders>
              <w:top w:val="single" w:sz="4" w:space="0" w:color="auto"/>
              <w:left w:val="nil"/>
              <w:bottom w:val="single" w:sz="4" w:space="0" w:color="auto"/>
              <w:right w:val="nil"/>
            </w:tcBorders>
            <w:shd w:val="clear" w:color="auto" w:fill="auto"/>
            <w:vAlign w:val="bottom"/>
          </w:tcPr>
          <w:p w14:paraId="1B540A9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9663</w:t>
            </w:r>
          </w:p>
        </w:tc>
        <w:tc>
          <w:tcPr>
            <w:tcW w:w="760" w:type="dxa"/>
            <w:tcBorders>
              <w:top w:val="single" w:sz="4" w:space="0" w:color="auto"/>
              <w:left w:val="nil"/>
              <w:bottom w:val="single" w:sz="4" w:space="0" w:color="auto"/>
              <w:right w:val="nil"/>
            </w:tcBorders>
            <w:shd w:val="clear" w:color="auto" w:fill="auto"/>
            <w:vAlign w:val="bottom"/>
          </w:tcPr>
          <w:p w14:paraId="0227BC7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9458</w:t>
            </w:r>
          </w:p>
        </w:tc>
        <w:tc>
          <w:tcPr>
            <w:tcW w:w="760" w:type="dxa"/>
            <w:tcBorders>
              <w:top w:val="single" w:sz="4" w:space="0" w:color="auto"/>
              <w:left w:val="nil"/>
              <w:bottom w:val="single" w:sz="4" w:space="0" w:color="auto"/>
              <w:right w:val="nil"/>
            </w:tcBorders>
            <w:shd w:val="clear" w:color="auto" w:fill="auto"/>
            <w:vAlign w:val="bottom"/>
          </w:tcPr>
          <w:p w14:paraId="4975169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9225</w:t>
            </w:r>
          </w:p>
        </w:tc>
        <w:tc>
          <w:tcPr>
            <w:tcW w:w="760" w:type="dxa"/>
            <w:tcBorders>
              <w:top w:val="single" w:sz="4" w:space="0" w:color="auto"/>
              <w:left w:val="nil"/>
              <w:bottom w:val="single" w:sz="4" w:space="0" w:color="auto"/>
              <w:right w:val="nil"/>
            </w:tcBorders>
            <w:shd w:val="clear" w:color="auto" w:fill="auto"/>
            <w:vAlign w:val="bottom"/>
          </w:tcPr>
          <w:p w14:paraId="2BF15D8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8959</w:t>
            </w:r>
          </w:p>
        </w:tc>
        <w:tc>
          <w:tcPr>
            <w:tcW w:w="760" w:type="dxa"/>
            <w:tcBorders>
              <w:top w:val="single" w:sz="4" w:space="0" w:color="auto"/>
              <w:left w:val="nil"/>
              <w:bottom w:val="single" w:sz="4" w:space="0" w:color="auto"/>
              <w:right w:val="nil"/>
            </w:tcBorders>
            <w:shd w:val="clear" w:color="auto" w:fill="auto"/>
            <w:vAlign w:val="bottom"/>
          </w:tcPr>
          <w:p w14:paraId="659DE26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8703</w:t>
            </w:r>
          </w:p>
        </w:tc>
        <w:tc>
          <w:tcPr>
            <w:tcW w:w="760" w:type="dxa"/>
            <w:tcBorders>
              <w:top w:val="single" w:sz="4" w:space="0" w:color="auto"/>
              <w:left w:val="nil"/>
              <w:bottom w:val="single" w:sz="4" w:space="0" w:color="auto"/>
              <w:right w:val="nil"/>
            </w:tcBorders>
            <w:shd w:val="clear" w:color="auto" w:fill="auto"/>
            <w:vAlign w:val="bottom"/>
          </w:tcPr>
          <w:p w14:paraId="75027103"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8456</w:t>
            </w:r>
          </w:p>
        </w:tc>
        <w:tc>
          <w:tcPr>
            <w:tcW w:w="760" w:type="dxa"/>
            <w:tcBorders>
              <w:top w:val="single" w:sz="4" w:space="0" w:color="auto"/>
              <w:left w:val="nil"/>
              <w:bottom w:val="single" w:sz="4" w:space="0" w:color="auto"/>
              <w:right w:val="nil"/>
            </w:tcBorders>
            <w:shd w:val="clear" w:color="auto" w:fill="auto"/>
            <w:vAlign w:val="bottom"/>
          </w:tcPr>
          <w:p w14:paraId="79B66EC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8219</w:t>
            </w:r>
          </w:p>
        </w:tc>
        <w:tc>
          <w:tcPr>
            <w:tcW w:w="760" w:type="dxa"/>
            <w:tcBorders>
              <w:top w:val="single" w:sz="4" w:space="0" w:color="auto"/>
              <w:left w:val="nil"/>
              <w:bottom w:val="single" w:sz="4" w:space="0" w:color="auto"/>
              <w:right w:val="nil"/>
            </w:tcBorders>
            <w:shd w:val="clear" w:color="auto" w:fill="auto"/>
            <w:vAlign w:val="bottom"/>
          </w:tcPr>
          <w:p w14:paraId="66C3ED4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7991</w:t>
            </w:r>
          </w:p>
        </w:tc>
        <w:tc>
          <w:tcPr>
            <w:tcW w:w="760" w:type="dxa"/>
            <w:tcBorders>
              <w:top w:val="single" w:sz="4" w:space="0" w:color="auto"/>
              <w:left w:val="nil"/>
              <w:bottom w:val="single" w:sz="4" w:space="0" w:color="auto"/>
              <w:right w:val="nil"/>
            </w:tcBorders>
            <w:shd w:val="clear" w:color="auto" w:fill="auto"/>
            <w:vAlign w:val="bottom"/>
          </w:tcPr>
          <w:p w14:paraId="0571BC4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7771</w:t>
            </w:r>
          </w:p>
        </w:tc>
      </w:tr>
      <w:tr w:rsidR="001A0708" w:rsidRPr="00CE6CA4" w14:paraId="46CF7410" w14:textId="77777777" w:rsidTr="00EB783E">
        <w:tc>
          <w:tcPr>
            <w:tcW w:w="596" w:type="dxa"/>
            <w:tcBorders>
              <w:top w:val="single" w:sz="4" w:space="0" w:color="auto"/>
              <w:bottom w:val="single" w:sz="4" w:space="0" w:color="auto"/>
            </w:tcBorders>
            <w:shd w:val="clear" w:color="auto" w:fill="auto"/>
          </w:tcPr>
          <w:p w14:paraId="055F16AE" w14:textId="77777777" w:rsidR="001A0708" w:rsidRPr="00B81FFE" w:rsidRDefault="003822F9" w:rsidP="001A0708">
            <w:pPr>
              <w:pStyle w:val="Tabletext"/>
            </w:pPr>
            <w:r w:rsidRPr="00B81FFE">
              <w:t>77</w:t>
            </w:r>
          </w:p>
        </w:tc>
        <w:tc>
          <w:tcPr>
            <w:tcW w:w="878" w:type="dxa"/>
            <w:tcBorders>
              <w:top w:val="single" w:sz="4" w:space="0" w:color="auto"/>
              <w:left w:val="nil"/>
              <w:bottom w:val="single" w:sz="4" w:space="0" w:color="auto"/>
              <w:right w:val="nil"/>
            </w:tcBorders>
            <w:shd w:val="clear" w:color="auto" w:fill="auto"/>
            <w:vAlign w:val="bottom"/>
          </w:tcPr>
          <w:p w14:paraId="2BF5CDF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9816</w:t>
            </w:r>
          </w:p>
        </w:tc>
        <w:tc>
          <w:tcPr>
            <w:tcW w:w="760" w:type="dxa"/>
            <w:tcBorders>
              <w:top w:val="single" w:sz="4" w:space="0" w:color="auto"/>
              <w:left w:val="nil"/>
              <w:bottom w:val="single" w:sz="4" w:space="0" w:color="auto"/>
              <w:right w:val="nil"/>
            </w:tcBorders>
            <w:shd w:val="clear" w:color="auto" w:fill="auto"/>
            <w:vAlign w:val="bottom"/>
          </w:tcPr>
          <w:p w14:paraId="0FEBD59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9607</w:t>
            </w:r>
          </w:p>
        </w:tc>
        <w:tc>
          <w:tcPr>
            <w:tcW w:w="760" w:type="dxa"/>
            <w:tcBorders>
              <w:top w:val="single" w:sz="4" w:space="0" w:color="auto"/>
              <w:left w:val="nil"/>
              <w:bottom w:val="single" w:sz="4" w:space="0" w:color="auto"/>
              <w:right w:val="nil"/>
            </w:tcBorders>
            <w:shd w:val="clear" w:color="auto" w:fill="auto"/>
            <w:vAlign w:val="bottom"/>
          </w:tcPr>
          <w:p w14:paraId="656D358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9368</w:t>
            </w:r>
          </w:p>
        </w:tc>
        <w:tc>
          <w:tcPr>
            <w:tcW w:w="760" w:type="dxa"/>
            <w:tcBorders>
              <w:top w:val="single" w:sz="4" w:space="0" w:color="auto"/>
              <w:left w:val="nil"/>
              <w:bottom w:val="single" w:sz="4" w:space="0" w:color="auto"/>
              <w:right w:val="nil"/>
            </w:tcBorders>
            <w:shd w:val="clear" w:color="auto" w:fill="auto"/>
            <w:vAlign w:val="bottom"/>
          </w:tcPr>
          <w:p w14:paraId="29AA6C2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9095</w:t>
            </w:r>
          </w:p>
        </w:tc>
        <w:tc>
          <w:tcPr>
            <w:tcW w:w="760" w:type="dxa"/>
            <w:tcBorders>
              <w:top w:val="single" w:sz="4" w:space="0" w:color="auto"/>
              <w:left w:val="nil"/>
              <w:bottom w:val="single" w:sz="4" w:space="0" w:color="auto"/>
              <w:right w:val="nil"/>
            </w:tcBorders>
            <w:shd w:val="clear" w:color="auto" w:fill="auto"/>
            <w:vAlign w:val="bottom"/>
          </w:tcPr>
          <w:p w14:paraId="0A05042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8832</w:t>
            </w:r>
          </w:p>
        </w:tc>
        <w:tc>
          <w:tcPr>
            <w:tcW w:w="760" w:type="dxa"/>
            <w:tcBorders>
              <w:top w:val="single" w:sz="4" w:space="0" w:color="auto"/>
              <w:left w:val="nil"/>
              <w:bottom w:val="single" w:sz="4" w:space="0" w:color="auto"/>
              <w:right w:val="nil"/>
            </w:tcBorders>
            <w:shd w:val="clear" w:color="auto" w:fill="auto"/>
            <w:vAlign w:val="bottom"/>
          </w:tcPr>
          <w:p w14:paraId="7D7CB45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8579</w:t>
            </w:r>
          </w:p>
        </w:tc>
        <w:tc>
          <w:tcPr>
            <w:tcW w:w="760" w:type="dxa"/>
            <w:tcBorders>
              <w:top w:val="single" w:sz="4" w:space="0" w:color="auto"/>
              <w:left w:val="nil"/>
              <w:bottom w:val="single" w:sz="4" w:space="0" w:color="auto"/>
              <w:right w:val="nil"/>
            </w:tcBorders>
            <w:shd w:val="clear" w:color="auto" w:fill="auto"/>
            <w:vAlign w:val="bottom"/>
          </w:tcPr>
          <w:p w14:paraId="341F509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8337</w:t>
            </w:r>
          </w:p>
        </w:tc>
        <w:tc>
          <w:tcPr>
            <w:tcW w:w="760" w:type="dxa"/>
            <w:tcBorders>
              <w:top w:val="single" w:sz="4" w:space="0" w:color="auto"/>
              <w:left w:val="nil"/>
              <w:bottom w:val="single" w:sz="4" w:space="0" w:color="auto"/>
              <w:right w:val="nil"/>
            </w:tcBorders>
            <w:shd w:val="clear" w:color="auto" w:fill="auto"/>
            <w:vAlign w:val="bottom"/>
          </w:tcPr>
          <w:p w14:paraId="3063626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8103</w:t>
            </w:r>
          </w:p>
        </w:tc>
        <w:tc>
          <w:tcPr>
            <w:tcW w:w="760" w:type="dxa"/>
            <w:tcBorders>
              <w:top w:val="single" w:sz="4" w:space="0" w:color="auto"/>
              <w:left w:val="nil"/>
              <w:bottom w:val="single" w:sz="4" w:space="0" w:color="auto"/>
              <w:right w:val="nil"/>
            </w:tcBorders>
            <w:shd w:val="clear" w:color="auto" w:fill="auto"/>
            <w:vAlign w:val="bottom"/>
          </w:tcPr>
          <w:p w14:paraId="6FC225E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7878</w:t>
            </w:r>
          </w:p>
        </w:tc>
        <w:tc>
          <w:tcPr>
            <w:tcW w:w="760" w:type="dxa"/>
            <w:tcBorders>
              <w:top w:val="single" w:sz="4" w:space="0" w:color="auto"/>
              <w:left w:val="nil"/>
              <w:bottom w:val="single" w:sz="4" w:space="0" w:color="auto"/>
              <w:right w:val="nil"/>
            </w:tcBorders>
            <w:shd w:val="clear" w:color="auto" w:fill="auto"/>
            <w:vAlign w:val="bottom"/>
          </w:tcPr>
          <w:p w14:paraId="0635537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7661</w:t>
            </w:r>
          </w:p>
        </w:tc>
      </w:tr>
      <w:tr w:rsidR="001A0708" w:rsidRPr="00CE6CA4" w14:paraId="4C1ED110" w14:textId="77777777" w:rsidTr="00EB783E">
        <w:tc>
          <w:tcPr>
            <w:tcW w:w="596" w:type="dxa"/>
            <w:tcBorders>
              <w:top w:val="single" w:sz="4" w:space="0" w:color="auto"/>
              <w:bottom w:val="single" w:sz="4" w:space="0" w:color="auto"/>
            </w:tcBorders>
            <w:shd w:val="clear" w:color="auto" w:fill="auto"/>
          </w:tcPr>
          <w:p w14:paraId="1FA46B5F" w14:textId="77777777" w:rsidR="001A0708" w:rsidRPr="00B81FFE" w:rsidRDefault="003822F9" w:rsidP="001A0708">
            <w:pPr>
              <w:pStyle w:val="Tabletext"/>
            </w:pPr>
            <w:r w:rsidRPr="00B81FFE">
              <w:t>78</w:t>
            </w:r>
          </w:p>
        </w:tc>
        <w:tc>
          <w:tcPr>
            <w:tcW w:w="878" w:type="dxa"/>
            <w:tcBorders>
              <w:top w:val="single" w:sz="4" w:space="0" w:color="auto"/>
              <w:left w:val="nil"/>
              <w:bottom w:val="single" w:sz="4" w:space="0" w:color="auto"/>
              <w:right w:val="nil"/>
            </w:tcBorders>
            <w:shd w:val="clear" w:color="auto" w:fill="auto"/>
            <w:vAlign w:val="bottom"/>
          </w:tcPr>
          <w:p w14:paraId="01B7E20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9784</w:t>
            </w:r>
          </w:p>
        </w:tc>
        <w:tc>
          <w:tcPr>
            <w:tcW w:w="760" w:type="dxa"/>
            <w:tcBorders>
              <w:top w:val="single" w:sz="4" w:space="0" w:color="auto"/>
              <w:left w:val="nil"/>
              <w:bottom w:val="single" w:sz="4" w:space="0" w:color="auto"/>
              <w:right w:val="nil"/>
            </w:tcBorders>
            <w:shd w:val="clear" w:color="auto" w:fill="auto"/>
            <w:vAlign w:val="bottom"/>
          </w:tcPr>
          <w:p w14:paraId="0666B0B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9538</w:t>
            </w:r>
          </w:p>
        </w:tc>
        <w:tc>
          <w:tcPr>
            <w:tcW w:w="760" w:type="dxa"/>
            <w:tcBorders>
              <w:top w:val="single" w:sz="4" w:space="0" w:color="auto"/>
              <w:left w:val="nil"/>
              <w:bottom w:val="single" w:sz="4" w:space="0" w:color="auto"/>
              <w:right w:val="nil"/>
            </w:tcBorders>
            <w:shd w:val="clear" w:color="auto" w:fill="auto"/>
            <w:vAlign w:val="bottom"/>
          </w:tcPr>
          <w:p w14:paraId="2C96EAC0"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9258</w:t>
            </w:r>
          </w:p>
        </w:tc>
        <w:tc>
          <w:tcPr>
            <w:tcW w:w="760" w:type="dxa"/>
            <w:tcBorders>
              <w:top w:val="single" w:sz="4" w:space="0" w:color="auto"/>
              <w:left w:val="nil"/>
              <w:bottom w:val="single" w:sz="4" w:space="0" w:color="auto"/>
              <w:right w:val="nil"/>
            </w:tcBorders>
            <w:shd w:val="clear" w:color="auto" w:fill="auto"/>
            <w:vAlign w:val="bottom"/>
          </w:tcPr>
          <w:p w14:paraId="34B8990A"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8988</w:t>
            </w:r>
          </w:p>
        </w:tc>
        <w:tc>
          <w:tcPr>
            <w:tcW w:w="760" w:type="dxa"/>
            <w:tcBorders>
              <w:top w:val="single" w:sz="4" w:space="0" w:color="auto"/>
              <w:left w:val="nil"/>
              <w:bottom w:val="single" w:sz="4" w:space="0" w:color="auto"/>
              <w:right w:val="nil"/>
            </w:tcBorders>
            <w:shd w:val="clear" w:color="auto" w:fill="auto"/>
            <w:vAlign w:val="bottom"/>
          </w:tcPr>
          <w:p w14:paraId="28D3E24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8728</w:t>
            </w:r>
          </w:p>
        </w:tc>
        <w:tc>
          <w:tcPr>
            <w:tcW w:w="760" w:type="dxa"/>
            <w:tcBorders>
              <w:top w:val="single" w:sz="4" w:space="0" w:color="auto"/>
              <w:left w:val="nil"/>
              <w:bottom w:val="single" w:sz="4" w:space="0" w:color="auto"/>
              <w:right w:val="nil"/>
            </w:tcBorders>
            <w:shd w:val="clear" w:color="auto" w:fill="auto"/>
            <w:vAlign w:val="bottom"/>
          </w:tcPr>
          <w:p w14:paraId="639D4EA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8479</w:t>
            </w:r>
          </w:p>
        </w:tc>
        <w:tc>
          <w:tcPr>
            <w:tcW w:w="760" w:type="dxa"/>
            <w:tcBorders>
              <w:top w:val="single" w:sz="4" w:space="0" w:color="auto"/>
              <w:left w:val="nil"/>
              <w:bottom w:val="single" w:sz="4" w:space="0" w:color="auto"/>
              <w:right w:val="nil"/>
            </w:tcBorders>
            <w:shd w:val="clear" w:color="auto" w:fill="auto"/>
            <w:vAlign w:val="bottom"/>
          </w:tcPr>
          <w:p w14:paraId="24DEE7A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8239</w:t>
            </w:r>
          </w:p>
        </w:tc>
        <w:tc>
          <w:tcPr>
            <w:tcW w:w="760" w:type="dxa"/>
            <w:tcBorders>
              <w:top w:val="single" w:sz="4" w:space="0" w:color="auto"/>
              <w:left w:val="nil"/>
              <w:bottom w:val="single" w:sz="4" w:space="0" w:color="auto"/>
              <w:right w:val="nil"/>
            </w:tcBorders>
            <w:shd w:val="clear" w:color="auto" w:fill="auto"/>
            <w:vAlign w:val="bottom"/>
          </w:tcPr>
          <w:p w14:paraId="1669830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8007</w:t>
            </w:r>
          </w:p>
        </w:tc>
        <w:tc>
          <w:tcPr>
            <w:tcW w:w="760" w:type="dxa"/>
            <w:tcBorders>
              <w:top w:val="single" w:sz="4" w:space="0" w:color="auto"/>
              <w:left w:val="nil"/>
              <w:bottom w:val="single" w:sz="4" w:space="0" w:color="auto"/>
              <w:right w:val="nil"/>
            </w:tcBorders>
            <w:shd w:val="clear" w:color="auto" w:fill="auto"/>
            <w:vAlign w:val="bottom"/>
          </w:tcPr>
          <w:p w14:paraId="68D568F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7785</w:t>
            </w:r>
          </w:p>
        </w:tc>
        <w:tc>
          <w:tcPr>
            <w:tcW w:w="760" w:type="dxa"/>
            <w:tcBorders>
              <w:top w:val="single" w:sz="4" w:space="0" w:color="auto"/>
              <w:left w:val="nil"/>
              <w:bottom w:val="single" w:sz="4" w:space="0" w:color="auto"/>
              <w:right w:val="nil"/>
            </w:tcBorders>
            <w:shd w:val="clear" w:color="auto" w:fill="auto"/>
            <w:vAlign w:val="bottom"/>
          </w:tcPr>
          <w:p w14:paraId="5E2853A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7571</w:t>
            </w:r>
          </w:p>
        </w:tc>
      </w:tr>
      <w:tr w:rsidR="001A0708" w:rsidRPr="00CE6CA4" w14:paraId="1BD59A88" w14:textId="77777777" w:rsidTr="00EB783E">
        <w:tc>
          <w:tcPr>
            <w:tcW w:w="596" w:type="dxa"/>
            <w:tcBorders>
              <w:top w:val="single" w:sz="4" w:space="0" w:color="auto"/>
              <w:bottom w:val="single" w:sz="4" w:space="0" w:color="auto"/>
            </w:tcBorders>
            <w:shd w:val="clear" w:color="auto" w:fill="auto"/>
          </w:tcPr>
          <w:p w14:paraId="55473C03" w14:textId="77777777" w:rsidR="001A0708" w:rsidRPr="00B81FFE" w:rsidRDefault="003822F9" w:rsidP="001A0708">
            <w:pPr>
              <w:pStyle w:val="Tabletext"/>
            </w:pPr>
            <w:r w:rsidRPr="00B81FFE">
              <w:t>79</w:t>
            </w:r>
          </w:p>
        </w:tc>
        <w:tc>
          <w:tcPr>
            <w:tcW w:w="878" w:type="dxa"/>
            <w:tcBorders>
              <w:top w:val="single" w:sz="4" w:space="0" w:color="auto"/>
              <w:left w:val="nil"/>
              <w:bottom w:val="single" w:sz="4" w:space="0" w:color="auto"/>
              <w:right w:val="nil"/>
            </w:tcBorders>
            <w:shd w:val="clear" w:color="auto" w:fill="auto"/>
            <w:vAlign w:val="bottom"/>
          </w:tcPr>
          <w:p w14:paraId="28D619D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9746</w:t>
            </w:r>
          </w:p>
        </w:tc>
        <w:tc>
          <w:tcPr>
            <w:tcW w:w="760" w:type="dxa"/>
            <w:tcBorders>
              <w:top w:val="single" w:sz="4" w:space="0" w:color="auto"/>
              <w:left w:val="nil"/>
              <w:bottom w:val="single" w:sz="4" w:space="0" w:color="auto"/>
              <w:right w:val="nil"/>
            </w:tcBorders>
            <w:shd w:val="clear" w:color="auto" w:fill="auto"/>
            <w:vAlign w:val="bottom"/>
          </w:tcPr>
          <w:p w14:paraId="38A9B295"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9456</w:t>
            </w:r>
          </w:p>
        </w:tc>
        <w:tc>
          <w:tcPr>
            <w:tcW w:w="760" w:type="dxa"/>
            <w:tcBorders>
              <w:top w:val="single" w:sz="4" w:space="0" w:color="auto"/>
              <w:left w:val="nil"/>
              <w:bottom w:val="single" w:sz="4" w:space="0" w:color="auto"/>
              <w:right w:val="nil"/>
            </w:tcBorders>
            <w:shd w:val="clear" w:color="auto" w:fill="auto"/>
            <w:vAlign w:val="bottom"/>
          </w:tcPr>
          <w:p w14:paraId="6134CC6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9178</w:t>
            </w:r>
          </w:p>
        </w:tc>
        <w:tc>
          <w:tcPr>
            <w:tcW w:w="760" w:type="dxa"/>
            <w:tcBorders>
              <w:top w:val="single" w:sz="4" w:space="0" w:color="auto"/>
              <w:left w:val="nil"/>
              <w:bottom w:val="single" w:sz="4" w:space="0" w:color="auto"/>
              <w:right w:val="nil"/>
            </w:tcBorders>
            <w:shd w:val="clear" w:color="auto" w:fill="auto"/>
            <w:vAlign w:val="bottom"/>
          </w:tcPr>
          <w:p w14:paraId="41936AAF"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8911</w:t>
            </w:r>
          </w:p>
        </w:tc>
        <w:tc>
          <w:tcPr>
            <w:tcW w:w="760" w:type="dxa"/>
            <w:tcBorders>
              <w:top w:val="single" w:sz="4" w:space="0" w:color="auto"/>
              <w:left w:val="nil"/>
              <w:bottom w:val="single" w:sz="4" w:space="0" w:color="auto"/>
              <w:right w:val="nil"/>
            </w:tcBorders>
            <w:shd w:val="clear" w:color="auto" w:fill="auto"/>
            <w:vAlign w:val="bottom"/>
          </w:tcPr>
          <w:p w14:paraId="4F70836E"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8654</w:t>
            </w:r>
          </w:p>
        </w:tc>
        <w:tc>
          <w:tcPr>
            <w:tcW w:w="760" w:type="dxa"/>
            <w:tcBorders>
              <w:top w:val="single" w:sz="4" w:space="0" w:color="auto"/>
              <w:left w:val="nil"/>
              <w:bottom w:val="single" w:sz="4" w:space="0" w:color="auto"/>
              <w:right w:val="nil"/>
            </w:tcBorders>
            <w:shd w:val="clear" w:color="auto" w:fill="auto"/>
            <w:vAlign w:val="bottom"/>
          </w:tcPr>
          <w:p w14:paraId="2A6EF43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8406</w:t>
            </w:r>
          </w:p>
        </w:tc>
        <w:tc>
          <w:tcPr>
            <w:tcW w:w="760" w:type="dxa"/>
            <w:tcBorders>
              <w:top w:val="single" w:sz="4" w:space="0" w:color="auto"/>
              <w:left w:val="nil"/>
              <w:bottom w:val="single" w:sz="4" w:space="0" w:color="auto"/>
              <w:right w:val="nil"/>
            </w:tcBorders>
            <w:shd w:val="clear" w:color="auto" w:fill="auto"/>
            <w:vAlign w:val="bottom"/>
          </w:tcPr>
          <w:p w14:paraId="7D9BD956"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8168</w:t>
            </w:r>
          </w:p>
        </w:tc>
        <w:tc>
          <w:tcPr>
            <w:tcW w:w="760" w:type="dxa"/>
            <w:tcBorders>
              <w:top w:val="single" w:sz="4" w:space="0" w:color="auto"/>
              <w:left w:val="nil"/>
              <w:bottom w:val="single" w:sz="4" w:space="0" w:color="auto"/>
              <w:right w:val="nil"/>
            </w:tcBorders>
            <w:shd w:val="clear" w:color="auto" w:fill="auto"/>
            <w:vAlign w:val="bottom"/>
          </w:tcPr>
          <w:p w14:paraId="5EEDC601"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7939</w:t>
            </w:r>
          </w:p>
        </w:tc>
        <w:tc>
          <w:tcPr>
            <w:tcW w:w="760" w:type="dxa"/>
            <w:tcBorders>
              <w:top w:val="single" w:sz="4" w:space="0" w:color="auto"/>
              <w:left w:val="nil"/>
              <w:bottom w:val="single" w:sz="4" w:space="0" w:color="auto"/>
              <w:right w:val="nil"/>
            </w:tcBorders>
            <w:shd w:val="clear" w:color="auto" w:fill="auto"/>
            <w:vAlign w:val="bottom"/>
          </w:tcPr>
          <w:p w14:paraId="62D207AD"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7718</w:t>
            </w:r>
          </w:p>
        </w:tc>
        <w:tc>
          <w:tcPr>
            <w:tcW w:w="760" w:type="dxa"/>
            <w:tcBorders>
              <w:top w:val="single" w:sz="4" w:space="0" w:color="auto"/>
              <w:left w:val="nil"/>
              <w:bottom w:val="single" w:sz="4" w:space="0" w:color="auto"/>
              <w:right w:val="nil"/>
            </w:tcBorders>
            <w:shd w:val="clear" w:color="auto" w:fill="auto"/>
            <w:vAlign w:val="bottom"/>
          </w:tcPr>
          <w:p w14:paraId="2E7D669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7506</w:t>
            </w:r>
          </w:p>
        </w:tc>
      </w:tr>
      <w:tr w:rsidR="001A0708" w:rsidRPr="00CE6CA4" w14:paraId="30086059" w14:textId="77777777" w:rsidTr="00275D40">
        <w:tc>
          <w:tcPr>
            <w:tcW w:w="596" w:type="dxa"/>
            <w:tcBorders>
              <w:top w:val="single" w:sz="4" w:space="0" w:color="auto"/>
              <w:bottom w:val="single" w:sz="12" w:space="0" w:color="auto"/>
            </w:tcBorders>
            <w:shd w:val="clear" w:color="auto" w:fill="auto"/>
          </w:tcPr>
          <w:p w14:paraId="6C96078E" w14:textId="77777777" w:rsidR="001A0708" w:rsidRPr="00B81FFE" w:rsidRDefault="003822F9" w:rsidP="001A0708">
            <w:pPr>
              <w:pStyle w:val="Tabletext"/>
            </w:pPr>
            <w:r w:rsidRPr="00B81FFE">
              <w:t>80</w:t>
            </w:r>
          </w:p>
        </w:tc>
        <w:tc>
          <w:tcPr>
            <w:tcW w:w="878" w:type="dxa"/>
            <w:tcBorders>
              <w:top w:val="single" w:sz="4" w:space="0" w:color="auto"/>
              <w:left w:val="nil"/>
              <w:bottom w:val="single" w:sz="12" w:space="0" w:color="auto"/>
              <w:right w:val="nil"/>
            </w:tcBorders>
            <w:shd w:val="clear" w:color="auto" w:fill="auto"/>
            <w:vAlign w:val="bottom"/>
          </w:tcPr>
          <w:p w14:paraId="52ACBC9C"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9700</w:t>
            </w:r>
          </w:p>
        </w:tc>
        <w:tc>
          <w:tcPr>
            <w:tcW w:w="760" w:type="dxa"/>
            <w:tcBorders>
              <w:top w:val="single" w:sz="4" w:space="0" w:color="auto"/>
              <w:left w:val="nil"/>
              <w:bottom w:val="single" w:sz="12" w:space="0" w:color="auto"/>
              <w:right w:val="nil"/>
            </w:tcBorders>
            <w:shd w:val="clear" w:color="auto" w:fill="auto"/>
            <w:vAlign w:val="bottom"/>
          </w:tcPr>
          <w:p w14:paraId="47CC876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9412</w:t>
            </w:r>
          </w:p>
        </w:tc>
        <w:tc>
          <w:tcPr>
            <w:tcW w:w="760" w:type="dxa"/>
            <w:tcBorders>
              <w:top w:val="single" w:sz="4" w:space="0" w:color="auto"/>
              <w:left w:val="nil"/>
              <w:bottom w:val="single" w:sz="12" w:space="0" w:color="auto"/>
              <w:right w:val="nil"/>
            </w:tcBorders>
            <w:shd w:val="clear" w:color="auto" w:fill="auto"/>
            <w:vAlign w:val="bottom"/>
          </w:tcPr>
          <w:p w14:paraId="0C739FB7"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9135</w:t>
            </w:r>
          </w:p>
        </w:tc>
        <w:tc>
          <w:tcPr>
            <w:tcW w:w="760" w:type="dxa"/>
            <w:tcBorders>
              <w:top w:val="single" w:sz="4" w:space="0" w:color="auto"/>
              <w:left w:val="nil"/>
              <w:bottom w:val="single" w:sz="12" w:space="0" w:color="auto"/>
              <w:right w:val="nil"/>
            </w:tcBorders>
            <w:shd w:val="clear" w:color="auto" w:fill="auto"/>
            <w:vAlign w:val="bottom"/>
          </w:tcPr>
          <w:p w14:paraId="4AC2D76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8869</w:t>
            </w:r>
          </w:p>
        </w:tc>
        <w:tc>
          <w:tcPr>
            <w:tcW w:w="760" w:type="dxa"/>
            <w:tcBorders>
              <w:top w:val="single" w:sz="4" w:space="0" w:color="auto"/>
              <w:left w:val="nil"/>
              <w:bottom w:val="single" w:sz="12" w:space="0" w:color="auto"/>
              <w:right w:val="nil"/>
            </w:tcBorders>
            <w:shd w:val="clear" w:color="auto" w:fill="auto"/>
            <w:vAlign w:val="bottom"/>
          </w:tcPr>
          <w:p w14:paraId="2FCEF698"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8613</w:t>
            </w:r>
          </w:p>
        </w:tc>
        <w:tc>
          <w:tcPr>
            <w:tcW w:w="760" w:type="dxa"/>
            <w:tcBorders>
              <w:top w:val="single" w:sz="4" w:space="0" w:color="auto"/>
              <w:left w:val="nil"/>
              <w:bottom w:val="single" w:sz="12" w:space="0" w:color="auto"/>
              <w:right w:val="nil"/>
            </w:tcBorders>
            <w:shd w:val="clear" w:color="auto" w:fill="auto"/>
            <w:vAlign w:val="bottom"/>
          </w:tcPr>
          <w:p w14:paraId="31D6ED1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8367</w:t>
            </w:r>
          </w:p>
        </w:tc>
        <w:tc>
          <w:tcPr>
            <w:tcW w:w="760" w:type="dxa"/>
            <w:tcBorders>
              <w:top w:val="single" w:sz="4" w:space="0" w:color="auto"/>
              <w:left w:val="nil"/>
              <w:bottom w:val="single" w:sz="12" w:space="0" w:color="auto"/>
              <w:right w:val="nil"/>
            </w:tcBorders>
            <w:shd w:val="clear" w:color="auto" w:fill="auto"/>
            <w:vAlign w:val="bottom"/>
          </w:tcPr>
          <w:p w14:paraId="1D51D329"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8130</w:t>
            </w:r>
          </w:p>
        </w:tc>
        <w:tc>
          <w:tcPr>
            <w:tcW w:w="760" w:type="dxa"/>
            <w:tcBorders>
              <w:top w:val="single" w:sz="4" w:space="0" w:color="auto"/>
              <w:left w:val="nil"/>
              <w:bottom w:val="single" w:sz="12" w:space="0" w:color="auto"/>
              <w:right w:val="nil"/>
            </w:tcBorders>
            <w:shd w:val="clear" w:color="auto" w:fill="auto"/>
            <w:vAlign w:val="bottom"/>
          </w:tcPr>
          <w:p w14:paraId="671E9CE4"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7902</w:t>
            </w:r>
          </w:p>
        </w:tc>
        <w:tc>
          <w:tcPr>
            <w:tcW w:w="760" w:type="dxa"/>
            <w:tcBorders>
              <w:top w:val="single" w:sz="4" w:space="0" w:color="auto"/>
              <w:left w:val="nil"/>
              <w:bottom w:val="single" w:sz="12" w:space="0" w:color="auto"/>
              <w:right w:val="nil"/>
            </w:tcBorders>
            <w:shd w:val="clear" w:color="auto" w:fill="auto"/>
            <w:vAlign w:val="bottom"/>
          </w:tcPr>
          <w:p w14:paraId="1C75BE3B"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7682</w:t>
            </w:r>
          </w:p>
        </w:tc>
        <w:tc>
          <w:tcPr>
            <w:tcW w:w="760" w:type="dxa"/>
            <w:tcBorders>
              <w:top w:val="single" w:sz="4" w:space="0" w:color="auto"/>
              <w:left w:val="nil"/>
              <w:bottom w:val="single" w:sz="12" w:space="0" w:color="auto"/>
              <w:right w:val="nil"/>
            </w:tcBorders>
            <w:shd w:val="clear" w:color="auto" w:fill="auto"/>
            <w:vAlign w:val="bottom"/>
          </w:tcPr>
          <w:p w14:paraId="6C0FAA62" w14:textId="77777777" w:rsidR="001A0708" w:rsidRPr="00CE6CA4" w:rsidRDefault="001A0708" w:rsidP="00D85BCE">
            <w:pPr>
              <w:pStyle w:val="Tabletext"/>
              <w:rPr>
                <w:sz w:val="18"/>
                <w:szCs w:val="18"/>
              </w:rPr>
            </w:pPr>
            <w:r w:rsidRPr="00CE6CA4">
              <w:rPr>
                <w:sz w:val="18"/>
                <w:szCs w:val="18"/>
              </w:rPr>
              <w:t>0</w:t>
            </w:r>
            <w:r w:rsidR="00D7157D">
              <w:rPr>
                <w:sz w:val="18"/>
                <w:szCs w:val="18"/>
              </w:rPr>
              <w:t>.</w:t>
            </w:r>
            <w:r w:rsidRPr="00CE6CA4">
              <w:rPr>
                <w:sz w:val="18"/>
                <w:szCs w:val="18"/>
              </w:rPr>
              <w:t>7471</w:t>
            </w:r>
          </w:p>
        </w:tc>
      </w:tr>
    </w:tbl>
    <w:p w14:paraId="4C64FBCA" w14:textId="77777777" w:rsidR="00D255B2" w:rsidRPr="00002893" w:rsidRDefault="00D255B2" w:rsidP="00D255B2">
      <w:pPr>
        <w:pStyle w:val="SubsectionHead"/>
      </w:pPr>
      <w:r>
        <w:t>Survival</w:t>
      </w:r>
      <w:r w:rsidRPr="00A058B6">
        <w:t xml:space="preserve"> valuation factors </w:t>
      </w:r>
      <w:r w:rsidRPr="00002893">
        <w:t xml:space="preserve">for </w:t>
      </w:r>
      <w:r>
        <w:t>fe</w:t>
      </w:r>
      <w:r w:rsidRPr="00002893">
        <w:t>males</w:t>
      </w:r>
    </w:p>
    <w:p w14:paraId="591C5CD5" w14:textId="77777777" w:rsidR="006E6F25" w:rsidRPr="00A058B6" w:rsidRDefault="006E6F25" w:rsidP="006E6F25">
      <w:pPr>
        <w:pStyle w:val="subsection"/>
      </w:pPr>
      <w:r>
        <w:tab/>
        <w:t>(</w:t>
      </w:r>
      <w:r w:rsidR="00D255B2">
        <w:t>3</w:t>
      </w:r>
      <w:r>
        <w:t>)</w:t>
      </w:r>
      <w:r>
        <w:tab/>
      </w:r>
      <w:r w:rsidRPr="00A058B6">
        <w:t xml:space="preserve">The </w:t>
      </w:r>
      <w:r>
        <w:t>survival</w:t>
      </w:r>
      <w:r w:rsidRPr="00A058B6">
        <w:t xml:space="preserve"> valuation factors </w:t>
      </w:r>
      <w:r>
        <w:t xml:space="preserve">that apply </w:t>
      </w:r>
      <w:r w:rsidRPr="000778E6">
        <w:t>for females</w:t>
      </w:r>
      <w:r>
        <w:t xml:space="preserve"> are as follows:</w:t>
      </w:r>
    </w:p>
    <w:p w14:paraId="30223929" w14:textId="77777777" w:rsidR="006E6F25" w:rsidRDefault="006E6F25" w:rsidP="006E6F25">
      <w:pPr>
        <w:pStyle w:val="Tabletext"/>
      </w:pPr>
    </w:p>
    <w:tbl>
      <w:tblPr>
        <w:tblW w:w="8314" w:type="dxa"/>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596"/>
        <w:gridCol w:w="878"/>
        <w:gridCol w:w="760"/>
        <w:gridCol w:w="760"/>
        <w:gridCol w:w="760"/>
        <w:gridCol w:w="760"/>
        <w:gridCol w:w="760"/>
        <w:gridCol w:w="760"/>
        <w:gridCol w:w="760"/>
        <w:gridCol w:w="760"/>
        <w:gridCol w:w="760"/>
      </w:tblGrid>
      <w:tr w:rsidR="006E6F25" w14:paraId="0C0D2731" w14:textId="77777777" w:rsidTr="006E6F25">
        <w:trPr>
          <w:tblHeader/>
        </w:trPr>
        <w:tc>
          <w:tcPr>
            <w:tcW w:w="596" w:type="dxa"/>
            <w:tcBorders>
              <w:top w:val="single" w:sz="12" w:space="0" w:color="auto"/>
              <w:bottom w:val="single" w:sz="6" w:space="0" w:color="auto"/>
            </w:tcBorders>
            <w:shd w:val="clear" w:color="auto" w:fill="auto"/>
          </w:tcPr>
          <w:p w14:paraId="2BF7B54F" w14:textId="77777777" w:rsidR="006E6F25" w:rsidRDefault="006E6F25" w:rsidP="006E6F25">
            <w:pPr>
              <w:pStyle w:val="TableHeading"/>
            </w:pPr>
          </w:p>
        </w:tc>
        <w:tc>
          <w:tcPr>
            <w:tcW w:w="7718" w:type="dxa"/>
            <w:gridSpan w:val="10"/>
            <w:tcBorders>
              <w:top w:val="single" w:sz="12" w:space="0" w:color="auto"/>
              <w:bottom w:val="single" w:sz="6" w:space="0" w:color="auto"/>
            </w:tcBorders>
            <w:shd w:val="clear" w:color="auto" w:fill="auto"/>
          </w:tcPr>
          <w:p w14:paraId="58F36240" w14:textId="77777777" w:rsidR="006E6F25" w:rsidRDefault="006E6F25" w:rsidP="006E6F25">
            <w:pPr>
              <w:pStyle w:val="TableHeading"/>
            </w:pPr>
            <w:r>
              <w:t>Remaining guaranteed period (in completed years)</w:t>
            </w:r>
          </w:p>
        </w:tc>
      </w:tr>
      <w:tr w:rsidR="006E6F25" w14:paraId="7D3221C4" w14:textId="77777777" w:rsidTr="00EB783E">
        <w:trPr>
          <w:tblHeader/>
        </w:trPr>
        <w:tc>
          <w:tcPr>
            <w:tcW w:w="596" w:type="dxa"/>
            <w:tcBorders>
              <w:top w:val="single" w:sz="6" w:space="0" w:color="auto"/>
              <w:bottom w:val="single" w:sz="12" w:space="0" w:color="auto"/>
            </w:tcBorders>
            <w:shd w:val="clear" w:color="auto" w:fill="auto"/>
          </w:tcPr>
          <w:p w14:paraId="6FA53287" w14:textId="77777777" w:rsidR="006E6F25" w:rsidRDefault="006E6F25" w:rsidP="006E6F25">
            <w:pPr>
              <w:pStyle w:val="TableHeading"/>
            </w:pPr>
            <w:r>
              <w:t>Age</w:t>
            </w:r>
          </w:p>
        </w:tc>
        <w:tc>
          <w:tcPr>
            <w:tcW w:w="878" w:type="dxa"/>
            <w:tcBorders>
              <w:top w:val="single" w:sz="6" w:space="0" w:color="auto"/>
              <w:bottom w:val="single" w:sz="12" w:space="0" w:color="auto"/>
            </w:tcBorders>
            <w:shd w:val="clear" w:color="auto" w:fill="auto"/>
          </w:tcPr>
          <w:p w14:paraId="2F9059EF" w14:textId="77777777" w:rsidR="006E6F25" w:rsidRDefault="006E6F25" w:rsidP="006E6F25">
            <w:pPr>
              <w:pStyle w:val="TableHeading"/>
            </w:pPr>
            <w:r>
              <w:t>1</w:t>
            </w:r>
          </w:p>
        </w:tc>
        <w:tc>
          <w:tcPr>
            <w:tcW w:w="760" w:type="dxa"/>
            <w:tcBorders>
              <w:top w:val="single" w:sz="6" w:space="0" w:color="auto"/>
              <w:bottom w:val="single" w:sz="12" w:space="0" w:color="auto"/>
            </w:tcBorders>
            <w:shd w:val="clear" w:color="auto" w:fill="auto"/>
          </w:tcPr>
          <w:p w14:paraId="4FD6E716" w14:textId="77777777" w:rsidR="006E6F25" w:rsidRDefault="006E6F25" w:rsidP="006E6F25">
            <w:pPr>
              <w:pStyle w:val="TableHeading"/>
            </w:pPr>
            <w:r>
              <w:t>2</w:t>
            </w:r>
          </w:p>
        </w:tc>
        <w:tc>
          <w:tcPr>
            <w:tcW w:w="760" w:type="dxa"/>
            <w:tcBorders>
              <w:top w:val="single" w:sz="6" w:space="0" w:color="auto"/>
              <w:bottom w:val="single" w:sz="12" w:space="0" w:color="auto"/>
            </w:tcBorders>
            <w:shd w:val="clear" w:color="auto" w:fill="auto"/>
          </w:tcPr>
          <w:p w14:paraId="026C18DA" w14:textId="77777777" w:rsidR="006E6F25" w:rsidRDefault="006E6F25" w:rsidP="006E6F25">
            <w:pPr>
              <w:pStyle w:val="TableHeading"/>
            </w:pPr>
            <w:r>
              <w:t>3</w:t>
            </w:r>
          </w:p>
        </w:tc>
        <w:tc>
          <w:tcPr>
            <w:tcW w:w="760" w:type="dxa"/>
            <w:tcBorders>
              <w:top w:val="single" w:sz="6" w:space="0" w:color="auto"/>
              <w:bottom w:val="single" w:sz="12" w:space="0" w:color="auto"/>
            </w:tcBorders>
            <w:shd w:val="clear" w:color="auto" w:fill="auto"/>
          </w:tcPr>
          <w:p w14:paraId="08021F37" w14:textId="77777777" w:rsidR="006E6F25" w:rsidRDefault="006E6F25" w:rsidP="006E6F25">
            <w:pPr>
              <w:pStyle w:val="TableHeading"/>
            </w:pPr>
            <w:r>
              <w:t>4</w:t>
            </w:r>
          </w:p>
        </w:tc>
        <w:tc>
          <w:tcPr>
            <w:tcW w:w="760" w:type="dxa"/>
            <w:tcBorders>
              <w:top w:val="single" w:sz="6" w:space="0" w:color="auto"/>
              <w:bottom w:val="single" w:sz="12" w:space="0" w:color="auto"/>
            </w:tcBorders>
            <w:shd w:val="clear" w:color="auto" w:fill="auto"/>
          </w:tcPr>
          <w:p w14:paraId="5474476A" w14:textId="77777777" w:rsidR="006E6F25" w:rsidRDefault="006E6F25" w:rsidP="006E6F25">
            <w:pPr>
              <w:pStyle w:val="TableHeading"/>
            </w:pPr>
            <w:r>
              <w:t>5</w:t>
            </w:r>
          </w:p>
        </w:tc>
        <w:tc>
          <w:tcPr>
            <w:tcW w:w="760" w:type="dxa"/>
            <w:tcBorders>
              <w:top w:val="single" w:sz="6" w:space="0" w:color="auto"/>
              <w:bottom w:val="single" w:sz="12" w:space="0" w:color="auto"/>
            </w:tcBorders>
            <w:shd w:val="clear" w:color="auto" w:fill="auto"/>
          </w:tcPr>
          <w:p w14:paraId="0BE49474" w14:textId="77777777" w:rsidR="006E6F25" w:rsidRDefault="006E6F25" w:rsidP="006E6F25">
            <w:pPr>
              <w:pStyle w:val="TableHeading"/>
            </w:pPr>
            <w:r>
              <w:t>6</w:t>
            </w:r>
          </w:p>
        </w:tc>
        <w:tc>
          <w:tcPr>
            <w:tcW w:w="760" w:type="dxa"/>
            <w:tcBorders>
              <w:top w:val="single" w:sz="6" w:space="0" w:color="auto"/>
              <w:bottom w:val="single" w:sz="12" w:space="0" w:color="auto"/>
            </w:tcBorders>
            <w:shd w:val="clear" w:color="auto" w:fill="auto"/>
          </w:tcPr>
          <w:p w14:paraId="5B1FE05C" w14:textId="77777777" w:rsidR="006E6F25" w:rsidRDefault="006E6F25" w:rsidP="006E6F25">
            <w:pPr>
              <w:pStyle w:val="TableHeading"/>
            </w:pPr>
            <w:r>
              <w:t>7</w:t>
            </w:r>
          </w:p>
        </w:tc>
        <w:tc>
          <w:tcPr>
            <w:tcW w:w="760" w:type="dxa"/>
            <w:tcBorders>
              <w:top w:val="single" w:sz="6" w:space="0" w:color="auto"/>
              <w:bottom w:val="single" w:sz="12" w:space="0" w:color="auto"/>
            </w:tcBorders>
            <w:shd w:val="clear" w:color="auto" w:fill="auto"/>
          </w:tcPr>
          <w:p w14:paraId="70EF086E" w14:textId="77777777" w:rsidR="006E6F25" w:rsidRDefault="006E6F25" w:rsidP="006E6F25">
            <w:pPr>
              <w:pStyle w:val="TableHeading"/>
            </w:pPr>
            <w:r>
              <w:t>8</w:t>
            </w:r>
          </w:p>
        </w:tc>
        <w:tc>
          <w:tcPr>
            <w:tcW w:w="760" w:type="dxa"/>
            <w:tcBorders>
              <w:top w:val="single" w:sz="6" w:space="0" w:color="auto"/>
              <w:bottom w:val="single" w:sz="12" w:space="0" w:color="auto"/>
            </w:tcBorders>
            <w:shd w:val="clear" w:color="auto" w:fill="auto"/>
          </w:tcPr>
          <w:p w14:paraId="1D234A17" w14:textId="77777777" w:rsidR="006E6F25" w:rsidRDefault="006E6F25" w:rsidP="006E6F25">
            <w:pPr>
              <w:pStyle w:val="TableHeading"/>
            </w:pPr>
            <w:r>
              <w:t>9</w:t>
            </w:r>
          </w:p>
        </w:tc>
        <w:tc>
          <w:tcPr>
            <w:tcW w:w="760" w:type="dxa"/>
            <w:tcBorders>
              <w:top w:val="single" w:sz="6" w:space="0" w:color="auto"/>
              <w:bottom w:val="single" w:sz="12" w:space="0" w:color="auto"/>
            </w:tcBorders>
            <w:shd w:val="clear" w:color="auto" w:fill="auto"/>
          </w:tcPr>
          <w:p w14:paraId="6DDE1E02" w14:textId="77777777" w:rsidR="006E6F25" w:rsidRDefault="006E6F25" w:rsidP="006E6F25">
            <w:pPr>
              <w:pStyle w:val="TableHeading"/>
            </w:pPr>
            <w:r>
              <w:t>10</w:t>
            </w:r>
          </w:p>
        </w:tc>
      </w:tr>
      <w:tr w:rsidR="006E6F25" w:rsidRPr="006E6F25" w14:paraId="4631C605" w14:textId="77777777" w:rsidTr="00EB783E">
        <w:tc>
          <w:tcPr>
            <w:tcW w:w="596" w:type="dxa"/>
            <w:tcBorders>
              <w:top w:val="single" w:sz="12" w:space="0" w:color="auto"/>
              <w:bottom w:val="single" w:sz="4" w:space="0" w:color="auto"/>
            </w:tcBorders>
            <w:shd w:val="clear" w:color="auto" w:fill="auto"/>
          </w:tcPr>
          <w:p w14:paraId="074663E7" w14:textId="77777777" w:rsidR="006E6F25" w:rsidRPr="0031545C" w:rsidRDefault="00CD5F92" w:rsidP="006E6F25">
            <w:pPr>
              <w:pStyle w:val="Tabletext"/>
            </w:pPr>
            <w:r w:rsidRPr="0031545C">
              <w:t>≤</w:t>
            </w:r>
            <w:r w:rsidR="006E6F25" w:rsidRPr="0031545C">
              <w:t>60</w:t>
            </w:r>
          </w:p>
        </w:tc>
        <w:tc>
          <w:tcPr>
            <w:tcW w:w="878" w:type="dxa"/>
            <w:tcBorders>
              <w:top w:val="single" w:sz="12" w:space="0" w:color="auto"/>
              <w:left w:val="nil"/>
              <w:bottom w:val="single" w:sz="4" w:space="0" w:color="auto"/>
              <w:right w:val="nil"/>
            </w:tcBorders>
            <w:shd w:val="clear" w:color="auto" w:fill="auto"/>
            <w:vAlign w:val="bottom"/>
          </w:tcPr>
          <w:p w14:paraId="3273469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9985</w:t>
            </w:r>
          </w:p>
        </w:tc>
        <w:tc>
          <w:tcPr>
            <w:tcW w:w="760" w:type="dxa"/>
            <w:tcBorders>
              <w:top w:val="single" w:sz="12" w:space="0" w:color="auto"/>
              <w:left w:val="nil"/>
              <w:bottom w:val="single" w:sz="4" w:space="0" w:color="auto"/>
              <w:right w:val="nil"/>
            </w:tcBorders>
            <w:shd w:val="clear" w:color="auto" w:fill="auto"/>
            <w:vAlign w:val="bottom"/>
          </w:tcPr>
          <w:p w14:paraId="0B681F7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9969</w:t>
            </w:r>
          </w:p>
        </w:tc>
        <w:tc>
          <w:tcPr>
            <w:tcW w:w="760" w:type="dxa"/>
            <w:tcBorders>
              <w:top w:val="single" w:sz="12" w:space="0" w:color="auto"/>
              <w:left w:val="nil"/>
              <w:bottom w:val="single" w:sz="4" w:space="0" w:color="auto"/>
              <w:right w:val="nil"/>
            </w:tcBorders>
            <w:shd w:val="clear" w:color="auto" w:fill="auto"/>
            <w:vAlign w:val="bottom"/>
          </w:tcPr>
          <w:p w14:paraId="348C07C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9952</w:t>
            </w:r>
          </w:p>
        </w:tc>
        <w:tc>
          <w:tcPr>
            <w:tcW w:w="760" w:type="dxa"/>
            <w:tcBorders>
              <w:top w:val="single" w:sz="12" w:space="0" w:color="auto"/>
              <w:left w:val="nil"/>
              <w:bottom w:val="single" w:sz="4" w:space="0" w:color="auto"/>
              <w:right w:val="nil"/>
            </w:tcBorders>
            <w:shd w:val="clear" w:color="auto" w:fill="auto"/>
            <w:vAlign w:val="bottom"/>
          </w:tcPr>
          <w:p w14:paraId="7B1408B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9933</w:t>
            </w:r>
          </w:p>
        </w:tc>
        <w:tc>
          <w:tcPr>
            <w:tcW w:w="760" w:type="dxa"/>
            <w:tcBorders>
              <w:top w:val="single" w:sz="12" w:space="0" w:color="auto"/>
              <w:left w:val="nil"/>
              <w:bottom w:val="single" w:sz="4" w:space="0" w:color="auto"/>
              <w:right w:val="nil"/>
            </w:tcBorders>
            <w:shd w:val="clear" w:color="auto" w:fill="auto"/>
            <w:vAlign w:val="bottom"/>
          </w:tcPr>
          <w:p w14:paraId="4A9EDB4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9913</w:t>
            </w:r>
          </w:p>
        </w:tc>
        <w:tc>
          <w:tcPr>
            <w:tcW w:w="760" w:type="dxa"/>
            <w:tcBorders>
              <w:top w:val="single" w:sz="12" w:space="0" w:color="auto"/>
              <w:left w:val="nil"/>
              <w:bottom w:val="single" w:sz="4" w:space="0" w:color="auto"/>
              <w:right w:val="nil"/>
            </w:tcBorders>
            <w:shd w:val="clear" w:color="auto" w:fill="auto"/>
            <w:vAlign w:val="bottom"/>
          </w:tcPr>
          <w:p w14:paraId="4B4FE0D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9891</w:t>
            </w:r>
          </w:p>
        </w:tc>
        <w:tc>
          <w:tcPr>
            <w:tcW w:w="760" w:type="dxa"/>
            <w:tcBorders>
              <w:top w:val="single" w:sz="12" w:space="0" w:color="auto"/>
              <w:left w:val="nil"/>
              <w:bottom w:val="single" w:sz="4" w:space="0" w:color="auto"/>
              <w:right w:val="nil"/>
            </w:tcBorders>
            <w:shd w:val="clear" w:color="auto" w:fill="auto"/>
            <w:vAlign w:val="bottom"/>
          </w:tcPr>
          <w:p w14:paraId="5271064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9864</w:t>
            </w:r>
          </w:p>
        </w:tc>
        <w:tc>
          <w:tcPr>
            <w:tcW w:w="760" w:type="dxa"/>
            <w:tcBorders>
              <w:top w:val="single" w:sz="12" w:space="0" w:color="auto"/>
              <w:left w:val="nil"/>
              <w:bottom w:val="single" w:sz="4" w:space="0" w:color="auto"/>
              <w:right w:val="nil"/>
            </w:tcBorders>
            <w:shd w:val="clear" w:color="auto" w:fill="auto"/>
            <w:vAlign w:val="bottom"/>
          </w:tcPr>
          <w:p w14:paraId="550A7C6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9834</w:t>
            </w:r>
          </w:p>
        </w:tc>
        <w:tc>
          <w:tcPr>
            <w:tcW w:w="760" w:type="dxa"/>
            <w:tcBorders>
              <w:top w:val="single" w:sz="12" w:space="0" w:color="auto"/>
              <w:left w:val="nil"/>
              <w:bottom w:val="single" w:sz="4" w:space="0" w:color="auto"/>
              <w:right w:val="nil"/>
            </w:tcBorders>
            <w:shd w:val="clear" w:color="auto" w:fill="auto"/>
            <w:vAlign w:val="bottom"/>
          </w:tcPr>
          <w:p w14:paraId="0E54490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9801</w:t>
            </w:r>
          </w:p>
        </w:tc>
        <w:tc>
          <w:tcPr>
            <w:tcW w:w="760" w:type="dxa"/>
            <w:tcBorders>
              <w:top w:val="single" w:sz="12" w:space="0" w:color="auto"/>
              <w:left w:val="nil"/>
              <w:bottom w:val="single" w:sz="4" w:space="0" w:color="auto"/>
              <w:right w:val="nil"/>
            </w:tcBorders>
            <w:shd w:val="clear" w:color="auto" w:fill="auto"/>
            <w:vAlign w:val="bottom"/>
          </w:tcPr>
          <w:p w14:paraId="528151F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9765</w:t>
            </w:r>
          </w:p>
        </w:tc>
      </w:tr>
      <w:tr w:rsidR="006E6F25" w:rsidRPr="006E6F25" w14:paraId="7BF15782" w14:textId="77777777" w:rsidTr="00EB783E">
        <w:tc>
          <w:tcPr>
            <w:tcW w:w="596" w:type="dxa"/>
            <w:tcBorders>
              <w:top w:val="single" w:sz="4" w:space="0" w:color="auto"/>
              <w:bottom w:val="single" w:sz="4" w:space="0" w:color="auto"/>
            </w:tcBorders>
            <w:shd w:val="clear" w:color="auto" w:fill="auto"/>
          </w:tcPr>
          <w:p w14:paraId="7E86997C" w14:textId="77777777" w:rsidR="006E6F25" w:rsidRPr="0031545C" w:rsidRDefault="006E6F25" w:rsidP="006E6F25">
            <w:pPr>
              <w:pStyle w:val="Tabletext"/>
            </w:pPr>
            <w:r w:rsidRPr="0031545C">
              <w:t>61</w:t>
            </w:r>
          </w:p>
        </w:tc>
        <w:tc>
          <w:tcPr>
            <w:tcW w:w="878" w:type="dxa"/>
            <w:tcBorders>
              <w:top w:val="single" w:sz="4" w:space="0" w:color="auto"/>
              <w:left w:val="nil"/>
              <w:bottom w:val="single" w:sz="4" w:space="0" w:color="auto"/>
              <w:right w:val="nil"/>
            </w:tcBorders>
            <w:shd w:val="clear" w:color="auto" w:fill="auto"/>
            <w:vAlign w:val="bottom"/>
          </w:tcPr>
          <w:p w14:paraId="0CBB2AE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9984</w:t>
            </w:r>
          </w:p>
        </w:tc>
        <w:tc>
          <w:tcPr>
            <w:tcW w:w="760" w:type="dxa"/>
            <w:tcBorders>
              <w:top w:val="single" w:sz="4" w:space="0" w:color="auto"/>
              <w:left w:val="nil"/>
              <w:bottom w:val="single" w:sz="4" w:space="0" w:color="auto"/>
              <w:right w:val="nil"/>
            </w:tcBorders>
            <w:shd w:val="clear" w:color="auto" w:fill="auto"/>
            <w:vAlign w:val="bottom"/>
          </w:tcPr>
          <w:p w14:paraId="036A89C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9966</w:t>
            </w:r>
          </w:p>
        </w:tc>
        <w:tc>
          <w:tcPr>
            <w:tcW w:w="760" w:type="dxa"/>
            <w:tcBorders>
              <w:top w:val="single" w:sz="4" w:space="0" w:color="auto"/>
              <w:left w:val="nil"/>
              <w:bottom w:val="single" w:sz="4" w:space="0" w:color="auto"/>
              <w:right w:val="nil"/>
            </w:tcBorders>
            <w:shd w:val="clear" w:color="auto" w:fill="auto"/>
            <w:vAlign w:val="bottom"/>
          </w:tcPr>
          <w:p w14:paraId="2933B22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9948</w:t>
            </w:r>
          </w:p>
        </w:tc>
        <w:tc>
          <w:tcPr>
            <w:tcW w:w="760" w:type="dxa"/>
            <w:tcBorders>
              <w:top w:val="single" w:sz="4" w:space="0" w:color="auto"/>
              <w:left w:val="nil"/>
              <w:bottom w:val="single" w:sz="4" w:space="0" w:color="auto"/>
              <w:right w:val="nil"/>
            </w:tcBorders>
            <w:shd w:val="clear" w:color="auto" w:fill="auto"/>
            <w:vAlign w:val="bottom"/>
          </w:tcPr>
          <w:p w14:paraId="3F45E0A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9927</w:t>
            </w:r>
          </w:p>
        </w:tc>
        <w:tc>
          <w:tcPr>
            <w:tcW w:w="760" w:type="dxa"/>
            <w:tcBorders>
              <w:top w:val="single" w:sz="4" w:space="0" w:color="auto"/>
              <w:left w:val="nil"/>
              <w:bottom w:val="single" w:sz="4" w:space="0" w:color="auto"/>
              <w:right w:val="nil"/>
            </w:tcBorders>
            <w:shd w:val="clear" w:color="auto" w:fill="auto"/>
            <w:vAlign w:val="bottom"/>
          </w:tcPr>
          <w:p w14:paraId="76C91F4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9904</w:t>
            </w:r>
          </w:p>
        </w:tc>
        <w:tc>
          <w:tcPr>
            <w:tcW w:w="760" w:type="dxa"/>
            <w:tcBorders>
              <w:top w:val="single" w:sz="4" w:space="0" w:color="auto"/>
              <w:left w:val="nil"/>
              <w:bottom w:val="single" w:sz="4" w:space="0" w:color="auto"/>
              <w:right w:val="nil"/>
            </w:tcBorders>
            <w:shd w:val="clear" w:color="auto" w:fill="auto"/>
            <w:vAlign w:val="bottom"/>
          </w:tcPr>
          <w:p w14:paraId="1CC16C6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9878</w:t>
            </w:r>
          </w:p>
        </w:tc>
        <w:tc>
          <w:tcPr>
            <w:tcW w:w="760" w:type="dxa"/>
            <w:tcBorders>
              <w:top w:val="single" w:sz="4" w:space="0" w:color="auto"/>
              <w:left w:val="nil"/>
              <w:bottom w:val="single" w:sz="4" w:space="0" w:color="auto"/>
              <w:right w:val="nil"/>
            </w:tcBorders>
            <w:shd w:val="clear" w:color="auto" w:fill="auto"/>
            <w:vAlign w:val="bottom"/>
          </w:tcPr>
          <w:p w14:paraId="4368E9F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9847</w:t>
            </w:r>
          </w:p>
        </w:tc>
        <w:tc>
          <w:tcPr>
            <w:tcW w:w="760" w:type="dxa"/>
            <w:tcBorders>
              <w:top w:val="single" w:sz="4" w:space="0" w:color="auto"/>
              <w:left w:val="nil"/>
              <w:bottom w:val="single" w:sz="4" w:space="0" w:color="auto"/>
              <w:right w:val="nil"/>
            </w:tcBorders>
            <w:shd w:val="clear" w:color="auto" w:fill="auto"/>
            <w:vAlign w:val="bottom"/>
          </w:tcPr>
          <w:p w14:paraId="2AE458D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9814</w:t>
            </w:r>
          </w:p>
        </w:tc>
        <w:tc>
          <w:tcPr>
            <w:tcW w:w="760" w:type="dxa"/>
            <w:tcBorders>
              <w:top w:val="single" w:sz="4" w:space="0" w:color="auto"/>
              <w:left w:val="nil"/>
              <w:bottom w:val="single" w:sz="4" w:space="0" w:color="auto"/>
              <w:right w:val="nil"/>
            </w:tcBorders>
            <w:shd w:val="clear" w:color="auto" w:fill="auto"/>
            <w:vAlign w:val="bottom"/>
          </w:tcPr>
          <w:p w14:paraId="1530D4C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9776</w:t>
            </w:r>
          </w:p>
        </w:tc>
        <w:tc>
          <w:tcPr>
            <w:tcW w:w="760" w:type="dxa"/>
            <w:tcBorders>
              <w:top w:val="single" w:sz="4" w:space="0" w:color="auto"/>
              <w:left w:val="nil"/>
              <w:bottom w:val="single" w:sz="4" w:space="0" w:color="auto"/>
              <w:right w:val="nil"/>
            </w:tcBorders>
            <w:shd w:val="clear" w:color="auto" w:fill="auto"/>
            <w:vAlign w:val="bottom"/>
          </w:tcPr>
          <w:p w14:paraId="0D5E766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9734</w:t>
            </w:r>
          </w:p>
        </w:tc>
      </w:tr>
      <w:tr w:rsidR="006E6F25" w:rsidRPr="006E6F25" w14:paraId="7D392A58" w14:textId="77777777" w:rsidTr="00EB783E">
        <w:tc>
          <w:tcPr>
            <w:tcW w:w="596" w:type="dxa"/>
            <w:tcBorders>
              <w:top w:val="single" w:sz="4" w:space="0" w:color="auto"/>
              <w:bottom w:val="single" w:sz="4" w:space="0" w:color="auto"/>
            </w:tcBorders>
            <w:shd w:val="clear" w:color="auto" w:fill="auto"/>
          </w:tcPr>
          <w:p w14:paraId="74B70D5C" w14:textId="77777777" w:rsidR="006E6F25" w:rsidRPr="0031545C" w:rsidRDefault="006E6F25" w:rsidP="006E6F25">
            <w:pPr>
              <w:pStyle w:val="Tabletext"/>
            </w:pPr>
            <w:r w:rsidRPr="0031545C">
              <w:t>62</w:t>
            </w:r>
          </w:p>
        </w:tc>
        <w:tc>
          <w:tcPr>
            <w:tcW w:w="878" w:type="dxa"/>
            <w:tcBorders>
              <w:top w:val="single" w:sz="4" w:space="0" w:color="auto"/>
              <w:left w:val="nil"/>
              <w:bottom w:val="single" w:sz="4" w:space="0" w:color="auto"/>
              <w:right w:val="nil"/>
            </w:tcBorders>
            <w:shd w:val="clear" w:color="auto" w:fill="auto"/>
            <w:vAlign w:val="bottom"/>
          </w:tcPr>
          <w:p w14:paraId="2D887B6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9982</w:t>
            </w:r>
          </w:p>
        </w:tc>
        <w:tc>
          <w:tcPr>
            <w:tcW w:w="760" w:type="dxa"/>
            <w:tcBorders>
              <w:top w:val="single" w:sz="4" w:space="0" w:color="auto"/>
              <w:left w:val="nil"/>
              <w:bottom w:val="single" w:sz="4" w:space="0" w:color="auto"/>
              <w:right w:val="nil"/>
            </w:tcBorders>
            <w:shd w:val="clear" w:color="auto" w:fill="auto"/>
            <w:vAlign w:val="bottom"/>
          </w:tcPr>
          <w:p w14:paraId="67F4124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9964</w:t>
            </w:r>
          </w:p>
        </w:tc>
        <w:tc>
          <w:tcPr>
            <w:tcW w:w="760" w:type="dxa"/>
            <w:tcBorders>
              <w:top w:val="single" w:sz="4" w:space="0" w:color="auto"/>
              <w:left w:val="nil"/>
              <w:bottom w:val="single" w:sz="4" w:space="0" w:color="auto"/>
              <w:right w:val="nil"/>
            </w:tcBorders>
            <w:shd w:val="clear" w:color="auto" w:fill="auto"/>
            <w:vAlign w:val="bottom"/>
          </w:tcPr>
          <w:p w14:paraId="196E66D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9943</w:t>
            </w:r>
          </w:p>
        </w:tc>
        <w:tc>
          <w:tcPr>
            <w:tcW w:w="760" w:type="dxa"/>
            <w:tcBorders>
              <w:top w:val="single" w:sz="4" w:space="0" w:color="auto"/>
              <w:left w:val="nil"/>
              <w:bottom w:val="single" w:sz="4" w:space="0" w:color="auto"/>
              <w:right w:val="nil"/>
            </w:tcBorders>
            <w:shd w:val="clear" w:color="auto" w:fill="auto"/>
            <w:vAlign w:val="bottom"/>
          </w:tcPr>
          <w:p w14:paraId="3B6D1F2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9920</w:t>
            </w:r>
          </w:p>
        </w:tc>
        <w:tc>
          <w:tcPr>
            <w:tcW w:w="760" w:type="dxa"/>
            <w:tcBorders>
              <w:top w:val="single" w:sz="4" w:space="0" w:color="auto"/>
              <w:left w:val="nil"/>
              <w:bottom w:val="single" w:sz="4" w:space="0" w:color="auto"/>
              <w:right w:val="nil"/>
            </w:tcBorders>
            <w:shd w:val="clear" w:color="auto" w:fill="auto"/>
            <w:vAlign w:val="bottom"/>
          </w:tcPr>
          <w:p w14:paraId="6450E01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9892</w:t>
            </w:r>
          </w:p>
        </w:tc>
        <w:tc>
          <w:tcPr>
            <w:tcW w:w="760" w:type="dxa"/>
            <w:tcBorders>
              <w:top w:val="single" w:sz="4" w:space="0" w:color="auto"/>
              <w:left w:val="nil"/>
              <w:bottom w:val="single" w:sz="4" w:space="0" w:color="auto"/>
              <w:right w:val="nil"/>
            </w:tcBorders>
            <w:shd w:val="clear" w:color="auto" w:fill="auto"/>
            <w:vAlign w:val="bottom"/>
          </w:tcPr>
          <w:p w14:paraId="0DB2237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9861</w:t>
            </w:r>
          </w:p>
        </w:tc>
        <w:tc>
          <w:tcPr>
            <w:tcW w:w="760" w:type="dxa"/>
            <w:tcBorders>
              <w:top w:val="single" w:sz="4" w:space="0" w:color="auto"/>
              <w:left w:val="nil"/>
              <w:bottom w:val="single" w:sz="4" w:space="0" w:color="auto"/>
              <w:right w:val="nil"/>
            </w:tcBorders>
            <w:shd w:val="clear" w:color="auto" w:fill="auto"/>
            <w:vAlign w:val="bottom"/>
          </w:tcPr>
          <w:p w14:paraId="0607FDF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9827</w:t>
            </w:r>
          </w:p>
        </w:tc>
        <w:tc>
          <w:tcPr>
            <w:tcW w:w="760" w:type="dxa"/>
            <w:tcBorders>
              <w:top w:val="single" w:sz="4" w:space="0" w:color="auto"/>
              <w:left w:val="nil"/>
              <w:bottom w:val="single" w:sz="4" w:space="0" w:color="auto"/>
              <w:right w:val="nil"/>
            </w:tcBorders>
            <w:shd w:val="clear" w:color="auto" w:fill="auto"/>
            <w:vAlign w:val="bottom"/>
          </w:tcPr>
          <w:p w14:paraId="7BA62C1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9789</w:t>
            </w:r>
          </w:p>
        </w:tc>
        <w:tc>
          <w:tcPr>
            <w:tcW w:w="760" w:type="dxa"/>
            <w:tcBorders>
              <w:top w:val="single" w:sz="4" w:space="0" w:color="auto"/>
              <w:left w:val="nil"/>
              <w:bottom w:val="single" w:sz="4" w:space="0" w:color="auto"/>
              <w:right w:val="nil"/>
            </w:tcBorders>
            <w:shd w:val="clear" w:color="auto" w:fill="auto"/>
            <w:vAlign w:val="bottom"/>
          </w:tcPr>
          <w:p w14:paraId="30F56B6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9747</w:t>
            </w:r>
          </w:p>
        </w:tc>
        <w:tc>
          <w:tcPr>
            <w:tcW w:w="760" w:type="dxa"/>
            <w:tcBorders>
              <w:top w:val="single" w:sz="4" w:space="0" w:color="auto"/>
              <w:left w:val="nil"/>
              <w:bottom w:val="single" w:sz="4" w:space="0" w:color="auto"/>
              <w:right w:val="nil"/>
            </w:tcBorders>
            <w:shd w:val="clear" w:color="auto" w:fill="auto"/>
            <w:vAlign w:val="bottom"/>
          </w:tcPr>
          <w:p w14:paraId="522554F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9698</w:t>
            </w:r>
          </w:p>
        </w:tc>
      </w:tr>
      <w:tr w:rsidR="006E6F25" w:rsidRPr="006E6F25" w14:paraId="273ED9B4" w14:textId="77777777" w:rsidTr="00EB783E">
        <w:tc>
          <w:tcPr>
            <w:tcW w:w="596" w:type="dxa"/>
            <w:tcBorders>
              <w:top w:val="single" w:sz="4" w:space="0" w:color="auto"/>
              <w:bottom w:val="single" w:sz="4" w:space="0" w:color="auto"/>
            </w:tcBorders>
            <w:shd w:val="clear" w:color="auto" w:fill="auto"/>
          </w:tcPr>
          <w:p w14:paraId="151A6F07" w14:textId="77777777" w:rsidR="006E6F25" w:rsidRPr="0031545C" w:rsidRDefault="006E6F25" w:rsidP="006E6F25">
            <w:pPr>
              <w:pStyle w:val="Tabletext"/>
            </w:pPr>
            <w:r w:rsidRPr="0031545C">
              <w:t>63</w:t>
            </w:r>
          </w:p>
        </w:tc>
        <w:tc>
          <w:tcPr>
            <w:tcW w:w="878" w:type="dxa"/>
            <w:tcBorders>
              <w:top w:val="single" w:sz="4" w:space="0" w:color="auto"/>
              <w:left w:val="nil"/>
              <w:bottom w:val="single" w:sz="4" w:space="0" w:color="auto"/>
              <w:right w:val="nil"/>
            </w:tcBorders>
            <w:shd w:val="clear" w:color="auto" w:fill="auto"/>
            <w:vAlign w:val="bottom"/>
          </w:tcPr>
          <w:p w14:paraId="3222192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9981</w:t>
            </w:r>
          </w:p>
        </w:tc>
        <w:tc>
          <w:tcPr>
            <w:tcW w:w="760" w:type="dxa"/>
            <w:tcBorders>
              <w:top w:val="single" w:sz="4" w:space="0" w:color="auto"/>
              <w:left w:val="nil"/>
              <w:bottom w:val="single" w:sz="4" w:space="0" w:color="auto"/>
              <w:right w:val="nil"/>
            </w:tcBorders>
            <w:shd w:val="clear" w:color="auto" w:fill="auto"/>
            <w:vAlign w:val="bottom"/>
          </w:tcPr>
          <w:p w14:paraId="612C2DE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9960</w:t>
            </w:r>
          </w:p>
        </w:tc>
        <w:tc>
          <w:tcPr>
            <w:tcW w:w="760" w:type="dxa"/>
            <w:tcBorders>
              <w:top w:val="single" w:sz="4" w:space="0" w:color="auto"/>
              <w:left w:val="nil"/>
              <w:bottom w:val="single" w:sz="4" w:space="0" w:color="auto"/>
              <w:right w:val="nil"/>
            </w:tcBorders>
            <w:shd w:val="clear" w:color="auto" w:fill="auto"/>
            <w:vAlign w:val="bottom"/>
          </w:tcPr>
          <w:p w14:paraId="76E917D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9936</w:t>
            </w:r>
          </w:p>
        </w:tc>
        <w:tc>
          <w:tcPr>
            <w:tcW w:w="760" w:type="dxa"/>
            <w:tcBorders>
              <w:top w:val="single" w:sz="4" w:space="0" w:color="auto"/>
              <w:left w:val="nil"/>
              <w:bottom w:val="single" w:sz="4" w:space="0" w:color="auto"/>
              <w:right w:val="nil"/>
            </w:tcBorders>
            <w:shd w:val="clear" w:color="auto" w:fill="auto"/>
            <w:vAlign w:val="bottom"/>
          </w:tcPr>
          <w:p w14:paraId="6744335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9908</w:t>
            </w:r>
          </w:p>
        </w:tc>
        <w:tc>
          <w:tcPr>
            <w:tcW w:w="760" w:type="dxa"/>
            <w:tcBorders>
              <w:top w:val="single" w:sz="4" w:space="0" w:color="auto"/>
              <w:left w:val="nil"/>
              <w:bottom w:val="single" w:sz="4" w:space="0" w:color="auto"/>
              <w:right w:val="nil"/>
            </w:tcBorders>
            <w:shd w:val="clear" w:color="auto" w:fill="auto"/>
            <w:vAlign w:val="bottom"/>
          </w:tcPr>
          <w:p w14:paraId="3E71D53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9877</w:t>
            </w:r>
          </w:p>
        </w:tc>
        <w:tc>
          <w:tcPr>
            <w:tcW w:w="760" w:type="dxa"/>
            <w:tcBorders>
              <w:top w:val="single" w:sz="4" w:space="0" w:color="auto"/>
              <w:left w:val="nil"/>
              <w:bottom w:val="single" w:sz="4" w:space="0" w:color="auto"/>
              <w:right w:val="nil"/>
            </w:tcBorders>
            <w:shd w:val="clear" w:color="auto" w:fill="auto"/>
            <w:vAlign w:val="bottom"/>
          </w:tcPr>
          <w:p w14:paraId="300C6AB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9842</w:t>
            </w:r>
          </w:p>
        </w:tc>
        <w:tc>
          <w:tcPr>
            <w:tcW w:w="760" w:type="dxa"/>
            <w:tcBorders>
              <w:top w:val="single" w:sz="4" w:space="0" w:color="auto"/>
              <w:left w:val="nil"/>
              <w:bottom w:val="single" w:sz="4" w:space="0" w:color="auto"/>
              <w:right w:val="nil"/>
            </w:tcBorders>
            <w:shd w:val="clear" w:color="auto" w:fill="auto"/>
            <w:vAlign w:val="bottom"/>
          </w:tcPr>
          <w:p w14:paraId="6766542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9804</w:t>
            </w:r>
          </w:p>
        </w:tc>
        <w:tc>
          <w:tcPr>
            <w:tcW w:w="760" w:type="dxa"/>
            <w:tcBorders>
              <w:top w:val="single" w:sz="4" w:space="0" w:color="auto"/>
              <w:left w:val="nil"/>
              <w:bottom w:val="single" w:sz="4" w:space="0" w:color="auto"/>
              <w:right w:val="nil"/>
            </w:tcBorders>
            <w:shd w:val="clear" w:color="auto" w:fill="auto"/>
            <w:vAlign w:val="bottom"/>
          </w:tcPr>
          <w:p w14:paraId="5BB84BE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9760</w:t>
            </w:r>
          </w:p>
        </w:tc>
        <w:tc>
          <w:tcPr>
            <w:tcW w:w="760" w:type="dxa"/>
            <w:tcBorders>
              <w:top w:val="single" w:sz="4" w:space="0" w:color="auto"/>
              <w:left w:val="nil"/>
              <w:bottom w:val="single" w:sz="4" w:space="0" w:color="auto"/>
              <w:right w:val="nil"/>
            </w:tcBorders>
            <w:shd w:val="clear" w:color="auto" w:fill="auto"/>
            <w:vAlign w:val="bottom"/>
          </w:tcPr>
          <w:p w14:paraId="48453CB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9711</w:t>
            </w:r>
          </w:p>
        </w:tc>
        <w:tc>
          <w:tcPr>
            <w:tcW w:w="760" w:type="dxa"/>
            <w:tcBorders>
              <w:top w:val="single" w:sz="4" w:space="0" w:color="auto"/>
              <w:left w:val="nil"/>
              <w:bottom w:val="single" w:sz="4" w:space="0" w:color="auto"/>
              <w:right w:val="nil"/>
            </w:tcBorders>
            <w:shd w:val="clear" w:color="auto" w:fill="auto"/>
            <w:vAlign w:val="bottom"/>
          </w:tcPr>
          <w:p w14:paraId="23379AE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9655</w:t>
            </w:r>
          </w:p>
        </w:tc>
      </w:tr>
      <w:tr w:rsidR="006E6F25" w:rsidRPr="006E6F25" w14:paraId="067DF8BC" w14:textId="77777777" w:rsidTr="00EB783E">
        <w:tc>
          <w:tcPr>
            <w:tcW w:w="596" w:type="dxa"/>
            <w:tcBorders>
              <w:top w:val="single" w:sz="4" w:space="0" w:color="auto"/>
              <w:bottom w:val="single" w:sz="4" w:space="0" w:color="auto"/>
            </w:tcBorders>
            <w:shd w:val="clear" w:color="auto" w:fill="auto"/>
          </w:tcPr>
          <w:p w14:paraId="313287F0" w14:textId="77777777" w:rsidR="006E6F25" w:rsidRPr="0031545C" w:rsidRDefault="006E6F25" w:rsidP="006E6F25">
            <w:pPr>
              <w:pStyle w:val="Tabletext"/>
            </w:pPr>
            <w:r w:rsidRPr="0031545C">
              <w:t>64</w:t>
            </w:r>
          </w:p>
        </w:tc>
        <w:tc>
          <w:tcPr>
            <w:tcW w:w="878" w:type="dxa"/>
            <w:tcBorders>
              <w:top w:val="single" w:sz="4" w:space="0" w:color="auto"/>
              <w:left w:val="nil"/>
              <w:bottom w:val="single" w:sz="4" w:space="0" w:color="auto"/>
              <w:right w:val="nil"/>
            </w:tcBorders>
            <w:shd w:val="clear" w:color="auto" w:fill="auto"/>
            <w:vAlign w:val="bottom"/>
          </w:tcPr>
          <w:p w14:paraId="7A95C8D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9979</w:t>
            </w:r>
          </w:p>
        </w:tc>
        <w:tc>
          <w:tcPr>
            <w:tcW w:w="760" w:type="dxa"/>
            <w:tcBorders>
              <w:top w:val="single" w:sz="4" w:space="0" w:color="auto"/>
              <w:left w:val="nil"/>
              <w:bottom w:val="single" w:sz="4" w:space="0" w:color="auto"/>
              <w:right w:val="nil"/>
            </w:tcBorders>
            <w:shd w:val="clear" w:color="auto" w:fill="auto"/>
            <w:vAlign w:val="bottom"/>
          </w:tcPr>
          <w:p w14:paraId="5F46EB5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9954</w:t>
            </w:r>
          </w:p>
        </w:tc>
        <w:tc>
          <w:tcPr>
            <w:tcW w:w="760" w:type="dxa"/>
            <w:tcBorders>
              <w:top w:val="single" w:sz="4" w:space="0" w:color="auto"/>
              <w:left w:val="nil"/>
              <w:bottom w:val="single" w:sz="4" w:space="0" w:color="auto"/>
              <w:right w:val="nil"/>
            </w:tcBorders>
            <w:shd w:val="clear" w:color="auto" w:fill="auto"/>
            <w:vAlign w:val="bottom"/>
          </w:tcPr>
          <w:p w14:paraId="3EBE958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9926</w:t>
            </w:r>
          </w:p>
        </w:tc>
        <w:tc>
          <w:tcPr>
            <w:tcW w:w="760" w:type="dxa"/>
            <w:tcBorders>
              <w:top w:val="single" w:sz="4" w:space="0" w:color="auto"/>
              <w:left w:val="nil"/>
              <w:bottom w:val="single" w:sz="4" w:space="0" w:color="auto"/>
              <w:right w:val="nil"/>
            </w:tcBorders>
            <w:shd w:val="clear" w:color="auto" w:fill="auto"/>
            <w:vAlign w:val="bottom"/>
          </w:tcPr>
          <w:p w14:paraId="307A8B9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9894</w:t>
            </w:r>
          </w:p>
        </w:tc>
        <w:tc>
          <w:tcPr>
            <w:tcW w:w="760" w:type="dxa"/>
            <w:tcBorders>
              <w:top w:val="single" w:sz="4" w:space="0" w:color="auto"/>
              <w:left w:val="nil"/>
              <w:bottom w:val="single" w:sz="4" w:space="0" w:color="auto"/>
              <w:right w:val="nil"/>
            </w:tcBorders>
            <w:shd w:val="clear" w:color="auto" w:fill="auto"/>
            <w:vAlign w:val="bottom"/>
          </w:tcPr>
          <w:p w14:paraId="684936B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9859</w:t>
            </w:r>
          </w:p>
        </w:tc>
        <w:tc>
          <w:tcPr>
            <w:tcW w:w="760" w:type="dxa"/>
            <w:tcBorders>
              <w:top w:val="single" w:sz="4" w:space="0" w:color="auto"/>
              <w:left w:val="nil"/>
              <w:bottom w:val="single" w:sz="4" w:space="0" w:color="auto"/>
              <w:right w:val="nil"/>
            </w:tcBorders>
            <w:shd w:val="clear" w:color="auto" w:fill="auto"/>
            <w:vAlign w:val="bottom"/>
          </w:tcPr>
          <w:p w14:paraId="5BC583D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9820</w:t>
            </w:r>
          </w:p>
        </w:tc>
        <w:tc>
          <w:tcPr>
            <w:tcW w:w="760" w:type="dxa"/>
            <w:tcBorders>
              <w:top w:val="single" w:sz="4" w:space="0" w:color="auto"/>
              <w:left w:val="nil"/>
              <w:bottom w:val="single" w:sz="4" w:space="0" w:color="auto"/>
              <w:right w:val="nil"/>
            </w:tcBorders>
            <w:shd w:val="clear" w:color="auto" w:fill="auto"/>
            <w:vAlign w:val="bottom"/>
          </w:tcPr>
          <w:p w14:paraId="435FBC2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9776</w:t>
            </w:r>
          </w:p>
        </w:tc>
        <w:tc>
          <w:tcPr>
            <w:tcW w:w="760" w:type="dxa"/>
            <w:tcBorders>
              <w:top w:val="single" w:sz="4" w:space="0" w:color="auto"/>
              <w:left w:val="nil"/>
              <w:bottom w:val="single" w:sz="4" w:space="0" w:color="auto"/>
              <w:right w:val="nil"/>
            </w:tcBorders>
            <w:shd w:val="clear" w:color="auto" w:fill="auto"/>
            <w:vAlign w:val="bottom"/>
          </w:tcPr>
          <w:p w14:paraId="4AC0FC7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9726</w:t>
            </w:r>
          </w:p>
        </w:tc>
        <w:tc>
          <w:tcPr>
            <w:tcW w:w="760" w:type="dxa"/>
            <w:tcBorders>
              <w:top w:val="single" w:sz="4" w:space="0" w:color="auto"/>
              <w:left w:val="nil"/>
              <w:bottom w:val="single" w:sz="4" w:space="0" w:color="auto"/>
              <w:right w:val="nil"/>
            </w:tcBorders>
            <w:shd w:val="clear" w:color="auto" w:fill="auto"/>
            <w:vAlign w:val="bottom"/>
          </w:tcPr>
          <w:p w14:paraId="68A2C0E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9668</w:t>
            </w:r>
          </w:p>
        </w:tc>
        <w:tc>
          <w:tcPr>
            <w:tcW w:w="760" w:type="dxa"/>
            <w:tcBorders>
              <w:top w:val="single" w:sz="4" w:space="0" w:color="auto"/>
              <w:left w:val="nil"/>
              <w:bottom w:val="single" w:sz="4" w:space="0" w:color="auto"/>
              <w:right w:val="nil"/>
            </w:tcBorders>
            <w:shd w:val="clear" w:color="auto" w:fill="auto"/>
            <w:vAlign w:val="bottom"/>
          </w:tcPr>
          <w:p w14:paraId="46CECC3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9604</w:t>
            </w:r>
          </w:p>
        </w:tc>
      </w:tr>
      <w:tr w:rsidR="006E6F25" w:rsidRPr="006E6F25" w14:paraId="1ED5C2CE" w14:textId="77777777" w:rsidTr="00EB783E">
        <w:tc>
          <w:tcPr>
            <w:tcW w:w="596" w:type="dxa"/>
            <w:tcBorders>
              <w:top w:val="single" w:sz="4" w:space="0" w:color="auto"/>
              <w:bottom w:val="single" w:sz="4" w:space="0" w:color="auto"/>
            </w:tcBorders>
            <w:shd w:val="clear" w:color="auto" w:fill="auto"/>
          </w:tcPr>
          <w:p w14:paraId="29BBFD18" w14:textId="77777777" w:rsidR="006E6F25" w:rsidRPr="0031545C" w:rsidRDefault="006E6F25" w:rsidP="006E6F25">
            <w:pPr>
              <w:pStyle w:val="Tabletext"/>
            </w:pPr>
            <w:r w:rsidRPr="0031545C">
              <w:t>65</w:t>
            </w:r>
          </w:p>
        </w:tc>
        <w:tc>
          <w:tcPr>
            <w:tcW w:w="878" w:type="dxa"/>
            <w:tcBorders>
              <w:top w:val="single" w:sz="4" w:space="0" w:color="auto"/>
              <w:left w:val="nil"/>
              <w:bottom w:val="single" w:sz="4" w:space="0" w:color="auto"/>
              <w:right w:val="nil"/>
            </w:tcBorders>
            <w:shd w:val="clear" w:color="auto" w:fill="auto"/>
            <w:vAlign w:val="bottom"/>
          </w:tcPr>
          <w:p w14:paraId="2BE94F6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9975</w:t>
            </w:r>
          </w:p>
        </w:tc>
        <w:tc>
          <w:tcPr>
            <w:tcW w:w="760" w:type="dxa"/>
            <w:tcBorders>
              <w:top w:val="single" w:sz="4" w:space="0" w:color="auto"/>
              <w:left w:val="nil"/>
              <w:bottom w:val="single" w:sz="4" w:space="0" w:color="auto"/>
              <w:right w:val="nil"/>
            </w:tcBorders>
            <w:shd w:val="clear" w:color="auto" w:fill="auto"/>
            <w:vAlign w:val="bottom"/>
          </w:tcPr>
          <w:p w14:paraId="3098A39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9947</w:t>
            </w:r>
          </w:p>
        </w:tc>
        <w:tc>
          <w:tcPr>
            <w:tcW w:w="760" w:type="dxa"/>
            <w:tcBorders>
              <w:top w:val="single" w:sz="4" w:space="0" w:color="auto"/>
              <w:left w:val="nil"/>
              <w:bottom w:val="single" w:sz="4" w:space="0" w:color="auto"/>
              <w:right w:val="nil"/>
            </w:tcBorders>
            <w:shd w:val="clear" w:color="auto" w:fill="auto"/>
            <w:vAlign w:val="bottom"/>
          </w:tcPr>
          <w:p w14:paraId="6AC800D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9914</w:t>
            </w:r>
          </w:p>
        </w:tc>
        <w:tc>
          <w:tcPr>
            <w:tcW w:w="760" w:type="dxa"/>
            <w:tcBorders>
              <w:top w:val="single" w:sz="4" w:space="0" w:color="auto"/>
              <w:left w:val="nil"/>
              <w:bottom w:val="single" w:sz="4" w:space="0" w:color="auto"/>
              <w:right w:val="nil"/>
            </w:tcBorders>
            <w:shd w:val="clear" w:color="auto" w:fill="auto"/>
            <w:vAlign w:val="bottom"/>
          </w:tcPr>
          <w:p w14:paraId="15D5FC8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9879</w:t>
            </w:r>
          </w:p>
        </w:tc>
        <w:tc>
          <w:tcPr>
            <w:tcW w:w="760" w:type="dxa"/>
            <w:tcBorders>
              <w:top w:val="single" w:sz="4" w:space="0" w:color="auto"/>
              <w:left w:val="nil"/>
              <w:bottom w:val="single" w:sz="4" w:space="0" w:color="auto"/>
              <w:right w:val="nil"/>
            </w:tcBorders>
            <w:shd w:val="clear" w:color="auto" w:fill="auto"/>
            <w:vAlign w:val="bottom"/>
          </w:tcPr>
          <w:p w14:paraId="4D464DD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9839</w:t>
            </w:r>
          </w:p>
        </w:tc>
        <w:tc>
          <w:tcPr>
            <w:tcW w:w="760" w:type="dxa"/>
            <w:tcBorders>
              <w:top w:val="single" w:sz="4" w:space="0" w:color="auto"/>
              <w:left w:val="nil"/>
              <w:bottom w:val="single" w:sz="4" w:space="0" w:color="auto"/>
              <w:right w:val="nil"/>
            </w:tcBorders>
            <w:shd w:val="clear" w:color="auto" w:fill="auto"/>
            <w:vAlign w:val="bottom"/>
          </w:tcPr>
          <w:p w14:paraId="1D24254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9794</w:t>
            </w:r>
          </w:p>
        </w:tc>
        <w:tc>
          <w:tcPr>
            <w:tcW w:w="760" w:type="dxa"/>
            <w:tcBorders>
              <w:top w:val="single" w:sz="4" w:space="0" w:color="auto"/>
              <w:left w:val="nil"/>
              <w:bottom w:val="single" w:sz="4" w:space="0" w:color="auto"/>
              <w:right w:val="nil"/>
            </w:tcBorders>
            <w:shd w:val="clear" w:color="auto" w:fill="auto"/>
            <w:vAlign w:val="bottom"/>
          </w:tcPr>
          <w:p w14:paraId="0EB763F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9743</w:t>
            </w:r>
          </w:p>
        </w:tc>
        <w:tc>
          <w:tcPr>
            <w:tcW w:w="760" w:type="dxa"/>
            <w:tcBorders>
              <w:top w:val="single" w:sz="4" w:space="0" w:color="auto"/>
              <w:left w:val="nil"/>
              <w:bottom w:val="single" w:sz="4" w:space="0" w:color="auto"/>
              <w:right w:val="nil"/>
            </w:tcBorders>
            <w:shd w:val="clear" w:color="auto" w:fill="auto"/>
            <w:vAlign w:val="bottom"/>
          </w:tcPr>
          <w:p w14:paraId="2C83040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9685</w:t>
            </w:r>
          </w:p>
        </w:tc>
        <w:tc>
          <w:tcPr>
            <w:tcW w:w="760" w:type="dxa"/>
            <w:tcBorders>
              <w:top w:val="single" w:sz="4" w:space="0" w:color="auto"/>
              <w:left w:val="nil"/>
              <w:bottom w:val="single" w:sz="4" w:space="0" w:color="auto"/>
              <w:right w:val="nil"/>
            </w:tcBorders>
            <w:shd w:val="clear" w:color="auto" w:fill="auto"/>
            <w:vAlign w:val="bottom"/>
          </w:tcPr>
          <w:p w14:paraId="393D44D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9619</w:t>
            </w:r>
          </w:p>
        </w:tc>
        <w:tc>
          <w:tcPr>
            <w:tcW w:w="760" w:type="dxa"/>
            <w:tcBorders>
              <w:top w:val="single" w:sz="4" w:space="0" w:color="auto"/>
              <w:left w:val="nil"/>
              <w:bottom w:val="single" w:sz="4" w:space="0" w:color="auto"/>
              <w:right w:val="nil"/>
            </w:tcBorders>
            <w:shd w:val="clear" w:color="auto" w:fill="auto"/>
            <w:vAlign w:val="bottom"/>
          </w:tcPr>
          <w:p w14:paraId="7E87124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9546</w:t>
            </w:r>
          </w:p>
        </w:tc>
      </w:tr>
      <w:tr w:rsidR="006E6F25" w:rsidRPr="006E6F25" w14:paraId="21EBCE94" w14:textId="77777777" w:rsidTr="00EB783E">
        <w:tc>
          <w:tcPr>
            <w:tcW w:w="596" w:type="dxa"/>
            <w:tcBorders>
              <w:top w:val="single" w:sz="4" w:space="0" w:color="auto"/>
              <w:bottom w:val="single" w:sz="4" w:space="0" w:color="auto"/>
            </w:tcBorders>
            <w:shd w:val="clear" w:color="auto" w:fill="auto"/>
          </w:tcPr>
          <w:p w14:paraId="099F208C" w14:textId="77777777" w:rsidR="006E6F25" w:rsidRPr="0031545C" w:rsidRDefault="006E6F25" w:rsidP="006E6F25">
            <w:pPr>
              <w:pStyle w:val="Tabletext"/>
            </w:pPr>
            <w:r w:rsidRPr="0031545C">
              <w:t>66</w:t>
            </w:r>
          </w:p>
        </w:tc>
        <w:tc>
          <w:tcPr>
            <w:tcW w:w="878" w:type="dxa"/>
            <w:tcBorders>
              <w:top w:val="single" w:sz="4" w:space="0" w:color="auto"/>
              <w:left w:val="nil"/>
              <w:bottom w:val="single" w:sz="4" w:space="0" w:color="auto"/>
              <w:right w:val="nil"/>
            </w:tcBorders>
            <w:shd w:val="clear" w:color="auto" w:fill="auto"/>
            <w:vAlign w:val="bottom"/>
          </w:tcPr>
          <w:p w14:paraId="38B047D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9971</w:t>
            </w:r>
          </w:p>
        </w:tc>
        <w:tc>
          <w:tcPr>
            <w:tcW w:w="760" w:type="dxa"/>
            <w:tcBorders>
              <w:top w:val="single" w:sz="4" w:space="0" w:color="auto"/>
              <w:left w:val="nil"/>
              <w:bottom w:val="single" w:sz="4" w:space="0" w:color="auto"/>
              <w:right w:val="nil"/>
            </w:tcBorders>
            <w:shd w:val="clear" w:color="auto" w:fill="auto"/>
            <w:vAlign w:val="bottom"/>
          </w:tcPr>
          <w:p w14:paraId="5DBFF62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9938</w:t>
            </w:r>
          </w:p>
        </w:tc>
        <w:tc>
          <w:tcPr>
            <w:tcW w:w="760" w:type="dxa"/>
            <w:tcBorders>
              <w:top w:val="single" w:sz="4" w:space="0" w:color="auto"/>
              <w:left w:val="nil"/>
              <w:bottom w:val="single" w:sz="4" w:space="0" w:color="auto"/>
              <w:right w:val="nil"/>
            </w:tcBorders>
            <w:shd w:val="clear" w:color="auto" w:fill="auto"/>
            <w:vAlign w:val="bottom"/>
          </w:tcPr>
          <w:p w14:paraId="28538FE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9901</w:t>
            </w:r>
          </w:p>
        </w:tc>
        <w:tc>
          <w:tcPr>
            <w:tcW w:w="760" w:type="dxa"/>
            <w:tcBorders>
              <w:top w:val="single" w:sz="4" w:space="0" w:color="auto"/>
              <w:left w:val="nil"/>
              <w:bottom w:val="single" w:sz="4" w:space="0" w:color="auto"/>
              <w:right w:val="nil"/>
            </w:tcBorders>
            <w:shd w:val="clear" w:color="auto" w:fill="auto"/>
            <w:vAlign w:val="bottom"/>
          </w:tcPr>
          <w:p w14:paraId="28C4B1A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9861</w:t>
            </w:r>
          </w:p>
        </w:tc>
        <w:tc>
          <w:tcPr>
            <w:tcW w:w="760" w:type="dxa"/>
            <w:tcBorders>
              <w:top w:val="single" w:sz="4" w:space="0" w:color="auto"/>
              <w:left w:val="nil"/>
              <w:bottom w:val="single" w:sz="4" w:space="0" w:color="auto"/>
              <w:right w:val="nil"/>
            </w:tcBorders>
            <w:shd w:val="clear" w:color="auto" w:fill="auto"/>
            <w:vAlign w:val="bottom"/>
          </w:tcPr>
          <w:p w14:paraId="1CDFABC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9816</w:t>
            </w:r>
          </w:p>
        </w:tc>
        <w:tc>
          <w:tcPr>
            <w:tcW w:w="760" w:type="dxa"/>
            <w:tcBorders>
              <w:top w:val="single" w:sz="4" w:space="0" w:color="auto"/>
              <w:left w:val="nil"/>
              <w:bottom w:val="single" w:sz="4" w:space="0" w:color="auto"/>
              <w:right w:val="nil"/>
            </w:tcBorders>
            <w:shd w:val="clear" w:color="auto" w:fill="auto"/>
            <w:vAlign w:val="bottom"/>
          </w:tcPr>
          <w:p w14:paraId="4BCEE5C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9764</w:t>
            </w:r>
          </w:p>
        </w:tc>
        <w:tc>
          <w:tcPr>
            <w:tcW w:w="760" w:type="dxa"/>
            <w:tcBorders>
              <w:top w:val="single" w:sz="4" w:space="0" w:color="auto"/>
              <w:left w:val="nil"/>
              <w:bottom w:val="single" w:sz="4" w:space="0" w:color="auto"/>
              <w:right w:val="nil"/>
            </w:tcBorders>
            <w:shd w:val="clear" w:color="auto" w:fill="auto"/>
            <w:vAlign w:val="bottom"/>
          </w:tcPr>
          <w:p w14:paraId="5B51413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9705</w:t>
            </w:r>
          </w:p>
        </w:tc>
        <w:tc>
          <w:tcPr>
            <w:tcW w:w="760" w:type="dxa"/>
            <w:tcBorders>
              <w:top w:val="single" w:sz="4" w:space="0" w:color="auto"/>
              <w:left w:val="nil"/>
              <w:bottom w:val="single" w:sz="4" w:space="0" w:color="auto"/>
              <w:right w:val="nil"/>
            </w:tcBorders>
            <w:shd w:val="clear" w:color="auto" w:fill="auto"/>
            <w:vAlign w:val="bottom"/>
          </w:tcPr>
          <w:p w14:paraId="573F602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9638</w:t>
            </w:r>
          </w:p>
        </w:tc>
        <w:tc>
          <w:tcPr>
            <w:tcW w:w="760" w:type="dxa"/>
            <w:tcBorders>
              <w:top w:val="single" w:sz="4" w:space="0" w:color="auto"/>
              <w:left w:val="nil"/>
              <w:bottom w:val="single" w:sz="4" w:space="0" w:color="auto"/>
              <w:right w:val="nil"/>
            </w:tcBorders>
            <w:shd w:val="clear" w:color="auto" w:fill="auto"/>
            <w:vAlign w:val="bottom"/>
          </w:tcPr>
          <w:p w14:paraId="3558801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9564</w:t>
            </w:r>
          </w:p>
        </w:tc>
        <w:tc>
          <w:tcPr>
            <w:tcW w:w="760" w:type="dxa"/>
            <w:tcBorders>
              <w:top w:val="single" w:sz="4" w:space="0" w:color="auto"/>
              <w:left w:val="nil"/>
              <w:bottom w:val="single" w:sz="4" w:space="0" w:color="auto"/>
              <w:right w:val="nil"/>
            </w:tcBorders>
            <w:shd w:val="clear" w:color="auto" w:fill="auto"/>
            <w:vAlign w:val="bottom"/>
          </w:tcPr>
          <w:p w14:paraId="1F37274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9483</w:t>
            </w:r>
          </w:p>
        </w:tc>
      </w:tr>
      <w:tr w:rsidR="006E6F25" w:rsidRPr="006E6F25" w14:paraId="4BBF1FBE" w14:textId="77777777" w:rsidTr="00EB783E">
        <w:tc>
          <w:tcPr>
            <w:tcW w:w="596" w:type="dxa"/>
            <w:tcBorders>
              <w:top w:val="single" w:sz="4" w:space="0" w:color="auto"/>
              <w:bottom w:val="single" w:sz="4" w:space="0" w:color="auto"/>
            </w:tcBorders>
            <w:shd w:val="clear" w:color="auto" w:fill="auto"/>
          </w:tcPr>
          <w:p w14:paraId="6E60C52D" w14:textId="77777777" w:rsidR="006E6F25" w:rsidRPr="0031545C" w:rsidRDefault="006E6F25" w:rsidP="006E6F25">
            <w:pPr>
              <w:pStyle w:val="Tabletext"/>
            </w:pPr>
            <w:r w:rsidRPr="0031545C">
              <w:t>67</w:t>
            </w:r>
          </w:p>
        </w:tc>
        <w:tc>
          <w:tcPr>
            <w:tcW w:w="878" w:type="dxa"/>
            <w:tcBorders>
              <w:top w:val="single" w:sz="4" w:space="0" w:color="auto"/>
              <w:left w:val="nil"/>
              <w:bottom w:val="single" w:sz="4" w:space="0" w:color="auto"/>
              <w:right w:val="nil"/>
            </w:tcBorders>
            <w:shd w:val="clear" w:color="auto" w:fill="auto"/>
            <w:vAlign w:val="bottom"/>
          </w:tcPr>
          <w:p w14:paraId="11793F2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9967</w:t>
            </w:r>
          </w:p>
        </w:tc>
        <w:tc>
          <w:tcPr>
            <w:tcW w:w="760" w:type="dxa"/>
            <w:tcBorders>
              <w:top w:val="single" w:sz="4" w:space="0" w:color="auto"/>
              <w:left w:val="nil"/>
              <w:bottom w:val="single" w:sz="4" w:space="0" w:color="auto"/>
              <w:right w:val="nil"/>
            </w:tcBorders>
            <w:shd w:val="clear" w:color="auto" w:fill="auto"/>
            <w:vAlign w:val="bottom"/>
          </w:tcPr>
          <w:p w14:paraId="7378223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9929</w:t>
            </w:r>
          </w:p>
        </w:tc>
        <w:tc>
          <w:tcPr>
            <w:tcW w:w="760" w:type="dxa"/>
            <w:tcBorders>
              <w:top w:val="single" w:sz="4" w:space="0" w:color="auto"/>
              <w:left w:val="nil"/>
              <w:bottom w:val="single" w:sz="4" w:space="0" w:color="auto"/>
              <w:right w:val="nil"/>
            </w:tcBorders>
            <w:shd w:val="clear" w:color="auto" w:fill="auto"/>
            <w:vAlign w:val="bottom"/>
          </w:tcPr>
          <w:p w14:paraId="62C5858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9888</w:t>
            </w:r>
          </w:p>
        </w:tc>
        <w:tc>
          <w:tcPr>
            <w:tcW w:w="760" w:type="dxa"/>
            <w:tcBorders>
              <w:top w:val="single" w:sz="4" w:space="0" w:color="auto"/>
              <w:left w:val="nil"/>
              <w:bottom w:val="single" w:sz="4" w:space="0" w:color="auto"/>
              <w:right w:val="nil"/>
            </w:tcBorders>
            <w:shd w:val="clear" w:color="auto" w:fill="auto"/>
            <w:vAlign w:val="bottom"/>
          </w:tcPr>
          <w:p w14:paraId="4EA0551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9842</w:t>
            </w:r>
          </w:p>
        </w:tc>
        <w:tc>
          <w:tcPr>
            <w:tcW w:w="760" w:type="dxa"/>
            <w:tcBorders>
              <w:top w:val="single" w:sz="4" w:space="0" w:color="auto"/>
              <w:left w:val="nil"/>
              <w:bottom w:val="single" w:sz="4" w:space="0" w:color="auto"/>
              <w:right w:val="nil"/>
            </w:tcBorders>
            <w:shd w:val="clear" w:color="auto" w:fill="auto"/>
            <w:vAlign w:val="bottom"/>
          </w:tcPr>
          <w:p w14:paraId="77ED7DB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9789</w:t>
            </w:r>
          </w:p>
        </w:tc>
        <w:tc>
          <w:tcPr>
            <w:tcW w:w="760" w:type="dxa"/>
            <w:tcBorders>
              <w:top w:val="single" w:sz="4" w:space="0" w:color="auto"/>
              <w:left w:val="nil"/>
              <w:bottom w:val="single" w:sz="4" w:space="0" w:color="auto"/>
              <w:right w:val="nil"/>
            </w:tcBorders>
            <w:shd w:val="clear" w:color="auto" w:fill="auto"/>
            <w:vAlign w:val="bottom"/>
          </w:tcPr>
          <w:p w14:paraId="6CFDBDC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9730</w:t>
            </w:r>
          </w:p>
        </w:tc>
        <w:tc>
          <w:tcPr>
            <w:tcW w:w="760" w:type="dxa"/>
            <w:tcBorders>
              <w:top w:val="single" w:sz="4" w:space="0" w:color="auto"/>
              <w:left w:val="nil"/>
              <w:bottom w:val="single" w:sz="4" w:space="0" w:color="auto"/>
              <w:right w:val="nil"/>
            </w:tcBorders>
            <w:shd w:val="clear" w:color="auto" w:fill="auto"/>
            <w:vAlign w:val="bottom"/>
          </w:tcPr>
          <w:p w14:paraId="5D679BA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9662</w:t>
            </w:r>
          </w:p>
        </w:tc>
        <w:tc>
          <w:tcPr>
            <w:tcW w:w="760" w:type="dxa"/>
            <w:tcBorders>
              <w:top w:val="single" w:sz="4" w:space="0" w:color="auto"/>
              <w:left w:val="nil"/>
              <w:bottom w:val="single" w:sz="4" w:space="0" w:color="auto"/>
              <w:right w:val="nil"/>
            </w:tcBorders>
            <w:shd w:val="clear" w:color="auto" w:fill="auto"/>
            <w:vAlign w:val="bottom"/>
          </w:tcPr>
          <w:p w14:paraId="6ACBD77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9587</w:t>
            </w:r>
          </w:p>
        </w:tc>
        <w:tc>
          <w:tcPr>
            <w:tcW w:w="760" w:type="dxa"/>
            <w:tcBorders>
              <w:top w:val="single" w:sz="4" w:space="0" w:color="auto"/>
              <w:left w:val="nil"/>
              <w:bottom w:val="single" w:sz="4" w:space="0" w:color="auto"/>
              <w:right w:val="nil"/>
            </w:tcBorders>
            <w:shd w:val="clear" w:color="auto" w:fill="auto"/>
            <w:vAlign w:val="bottom"/>
          </w:tcPr>
          <w:p w14:paraId="2916FDF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9504</w:t>
            </w:r>
          </w:p>
        </w:tc>
        <w:tc>
          <w:tcPr>
            <w:tcW w:w="760" w:type="dxa"/>
            <w:tcBorders>
              <w:top w:val="single" w:sz="4" w:space="0" w:color="auto"/>
              <w:left w:val="nil"/>
              <w:bottom w:val="single" w:sz="4" w:space="0" w:color="auto"/>
              <w:right w:val="nil"/>
            </w:tcBorders>
            <w:shd w:val="clear" w:color="auto" w:fill="auto"/>
            <w:vAlign w:val="bottom"/>
          </w:tcPr>
          <w:p w14:paraId="721932C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9412</w:t>
            </w:r>
          </w:p>
        </w:tc>
      </w:tr>
      <w:tr w:rsidR="006E6F25" w:rsidRPr="006E6F25" w14:paraId="753758BA" w14:textId="77777777" w:rsidTr="00EB783E">
        <w:tc>
          <w:tcPr>
            <w:tcW w:w="596" w:type="dxa"/>
            <w:tcBorders>
              <w:top w:val="single" w:sz="4" w:space="0" w:color="auto"/>
              <w:bottom w:val="single" w:sz="4" w:space="0" w:color="auto"/>
            </w:tcBorders>
            <w:shd w:val="clear" w:color="auto" w:fill="auto"/>
          </w:tcPr>
          <w:p w14:paraId="7E318F44" w14:textId="77777777" w:rsidR="006E6F25" w:rsidRPr="0031545C" w:rsidRDefault="006E6F25" w:rsidP="006E6F25">
            <w:pPr>
              <w:pStyle w:val="Tabletext"/>
            </w:pPr>
            <w:r w:rsidRPr="0031545C">
              <w:t>68</w:t>
            </w:r>
          </w:p>
        </w:tc>
        <w:tc>
          <w:tcPr>
            <w:tcW w:w="878" w:type="dxa"/>
            <w:tcBorders>
              <w:top w:val="single" w:sz="4" w:space="0" w:color="auto"/>
              <w:left w:val="nil"/>
              <w:bottom w:val="single" w:sz="4" w:space="0" w:color="auto"/>
              <w:right w:val="nil"/>
            </w:tcBorders>
            <w:shd w:val="clear" w:color="auto" w:fill="auto"/>
            <w:vAlign w:val="bottom"/>
          </w:tcPr>
          <w:p w14:paraId="4E521C5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9962</w:t>
            </w:r>
          </w:p>
        </w:tc>
        <w:tc>
          <w:tcPr>
            <w:tcW w:w="760" w:type="dxa"/>
            <w:tcBorders>
              <w:top w:val="single" w:sz="4" w:space="0" w:color="auto"/>
              <w:left w:val="nil"/>
              <w:bottom w:val="single" w:sz="4" w:space="0" w:color="auto"/>
              <w:right w:val="nil"/>
            </w:tcBorders>
            <w:shd w:val="clear" w:color="auto" w:fill="auto"/>
            <w:vAlign w:val="bottom"/>
          </w:tcPr>
          <w:p w14:paraId="3F15FA2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9920</w:t>
            </w:r>
          </w:p>
        </w:tc>
        <w:tc>
          <w:tcPr>
            <w:tcW w:w="760" w:type="dxa"/>
            <w:tcBorders>
              <w:top w:val="single" w:sz="4" w:space="0" w:color="auto"/>
              <w:left w:val="nil"/>
              <w:bottom w:val="single" w:sz="4" w:space="0" w:color="auto"/>
              <w:right w:val="nil"/>
            </w:tcBorders>
            <w:shd w:val="clear" w:color="auto" w:fill="auto"/>
            <w:vAlign w:val="bottom"/>
          </w:tcPr>
          <w:p w14:paraId="492AFED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9873</w:t>
            </w:r>
          </w:p>
        </w:tc>
        <w:tc>
          <w:tcPr>
            <w:tcW w:w="760" w:type="dxa"/>
            <w:tcBorders>
              <w:top w:val="single" w:sz="4" w:space="0" w:color="auto"/>
              <w:left w:val="nil"/>
              <w:bottom w:val="single" w:sz="4" w:space="0" w:color="auto"/>
              <w:right w:val="nil"/>
            </w:tcBorders>
            <w:shd w:val="clear" w:color="auto" w:fill="auto"/>
            <w:vAlign w:val="bottom"/>
          </w:tcPr>
          <w:p w14:paraId="117E5E7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9820</w:t>
            </w:r>
          </w:p>
        </w:tc>
        <w:tc>
          <w:tcPr>
            <w:tcW w:w="760" w:type="dxa"/>
            <w:tcBorders>
              <w:top w:val="single" w:sz="4" w:space="0" w:color="auto"/>
              <w:left w:val="nil"/>
              <w:bottom w:val="single" w:sz="4" w:space="0" w:color="auto"/>
              <w:right w:val="nil"/>
            </w:tcBorders>
            <w:shd w:val="clear" w:color="auto" w:fill="auto"/>
            <w:vAlign w:val="bottom"/>
          </w:tcPr>
          <w:p w14:paraId="37F99F3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9759</w:t>
            </w:r>
          </w:p>
        </w:tc>
        <w:tc>
          <w:tcPr>
            <w:tcW w:w="760" w:type="dxa"/>
            <w:tcBorders>
              <w:top w:val="single" w:sz="4" w:space="0" w:color="auto"/>
              <w:left w:val="nil"/>
              <w:bottom w:val="single" w:sz="4" w:space="0" w:color="auto"/>
              <w:right w:val="nil"/>
            </w:tcBorders>
            <w:shd w:val="clear" w:color="auto" w:fill="auto"/>
            <w:vAlign w:val="bottom"/>
          </w:tcPr>
          <w:p w14:paraId="7E5EDBF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9690</w:t>
            </w:r>
          </w:p>
        </w:tc>
        <w:tc>
          <w:tcPr>
            <w:tcW w:w="760" w:type="dxa"/>
            <w:tcBorders>
              <w:top w:val="single" w:sz="4" w:space="0" w:color="auto"/>
              <w:left w:val="nil"/>
              <w:bottom w:val="single" w:sz="4" w:space="0" w:color="auto"/>
              <w:right w:val="nil"/>
            </w:tcBorders>
            <w:shd w:val="clear" w:color="auto" w:fill="auto"/>
            <w:vAlign w:val="bottom"/>
          </w:tcPr>
          <w:p w14:paraId="1829C01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9614</w:t>
            </w:r>
          </w:p>
        </w:tc>
        <w:tc>
          <w:tcPr>
            <w:tcW w:w="760" w:type="dxa"/>
            <w:tcBorders>
              <w:top w:val="single" w:sz="4" w:space="0" w:color="auto"/>
              <w:left w:val="nil"/>
              <w:bottom w:val="single" w:sz="4" w:space="0" w:color="auto"/>
              <w:right w:val="nil"/>
            </w:tcBorders>
            <w:shd w:val="clear" w:color="auto" w:fill="auto"/>
            <w:vAlign w:val="bottom"/>
          </w:tcPr>
          <w:p w14:paraId="14BBFEA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9530</w:t>
            </w:r>
          </w:p>
        </w:tc>
        <w:tc>
          <w:tcPr>
            <w:tcW w:w="760" w:type="dxa"/>
            <w:tcBorders>
              <w:top w:val="single" w:sz="4" w:space="0" w:color="auto"/>
              <w:left w:val="nil"/>
              <w:bottom w:val="single" w:sz="4" w:space="0" w:color="auto"/>
              <w:right w:val="nil"/>
            </w:tcBorders>
            <w:shd w:val="clear" w:color="auto" w:fill="auto"/>
            <w:vAlign w:val="bottom"/>
          </w:tcPr>
          <w:p w14:paraId="0B25895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9437</w:t>
            </w:r>
          </w:p>
        </w:tc>
        <w:tc>
          <w:tcPr>
            <w:tcW w:w="760" w:type="dxa"/>
            <w:tcBorders>
              <w:top w:val="single" w:sz="4" w:space="0" w:color="auto"/>
              <w:left w:val="nil"/>
              <w:bottom w:val="single" w:sz="4" w:space="0" w:color="auto"/>
              <w:right w:val="nil"/>
            </w:tcBorders>
            <w:shd w:val="clear" w:color="auto" w:fill="auto"/>
            <w:vAlign w:val="bottom"/>
          </w:tcPr>
          <w:p w14:paraId="3A12905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9331</w:t>
            </w:r>
          </w:p>
        </w:tc>
      </w:tr>
      <w:tr w:rsidR="006E6F25" w:rsidRPr="006E6F25" w14:paraId="0BDB93F8" w14:textId="77777777" w:rsidTr="00EB783E">
        <w:tc>
          <w:tcPr>
            <w:tcW w:w="596" w:type="dxa"/>
            <w:tcBorders>
              <w:top w:val="single" w:sz="4" w:space="0" w:color="auto"/>
              <w:bottom w:val="single" w:sz="4" w:space="0" w:color="auto"/>
            </w:tcBorders>
            <w:shd w:val="clear" w:color="auto" w:fill="auto"/>
          </w:tcPr>
          <w:p w14:paraId="6753C796" w14:textId="77777777" w:rsidR="006E6F25" w:rsidRPr="0031545C" w:rsidRDefault="006E6F25" w:rsidP="006E6F25">
            <w:pPr>
              <w:pStyle w:val="Tabletext"/>
            </w:pPr>
            <w:r w:rsidRPr="0031545C">
              <w:t>69</w:t>
            </w:r>
          </w:p>
        </w:tc>
        <w:tc>
          <w:tcPr>
            <w:tcW w:w="878" w:type="dxa"/>
            <w:tcBorders>
              <w:top w:val="single" w:sz="4" w:space="0" w:color="auto"/>
              <w:left w:val="nil"/>
              <w:bottom w:val="single" w:sz="4" w:space="0" w:color="auto"/>
              <w:right w:val="nil"/>
            </w:tcBorders>
            <w:shd w:val="clear" w:color="auto" w:fill="auto"/>
            <w:vAlign w:val="bottom"/>
          </w:tcPr>
          <w:p w14:paraId="141CB49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9958</w:t>
            </w:r>
          </w:p>
        </w:tc>
        <w:tc>
          <w:tcPr>
            <w:tcW w:w="760" w:type="dxa"/>
            <w:tcBorders>
              <w:top w:val="single" w:sz="4" w:space="0" w:color="auto"/>
              <w:left w:val="nil"/>
              <w:bottom w:val="single" w:sz="4" w:space="0" w:color="auto"/>
              <w:right w:val="nil"/>
            </w:tcBorders>
            <w:shd w:val="clear" w:color="auto" w:fill="auto"/>
            <w:vAlign w:val="bottom"/>
          </w:tcPr>
          <w:p w14:paraId="2C49ACD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9910</w:t>
            </w:r>
          </w:p>
        </w:tc>
        <w:tc>
          <w:tcPr>
            <w:tcW w:w="760" w:type="dxa"/>
            <w:tcBorders>
              <w:top w:val="single" w:sz="4" w:space="0" w:color="auto"/>
              <w:left w:val="nil"/>
              <w:bottom w:val="single" w:sz="4" w:space="0" w:color="auto"/>
              <w:right w:val="nil"/>
            </w:tcBorders>
            <w:shd w:val="clear" w:color="auto" w:fill="auto"/>
            <w:vAlign w:val="bottom"/>
          </w:tcPr>
          <w:p w14:paraId="2177E09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9855</w:t>
            </w:r>
          </w:p>
        </w:tc>
        <w:tc>
          <w:tcPr>
            <w:tcW w:w="760" w:type="dxa"/>
            <w:tcBorders>
              <w:top w:val="single" w:sz="4" w:space="0" w:color="auto"/>
              <w:left w:val="nil"/>
              <w:bottom w:val="single" w:sz="4" w:space="0" w:color="auto"/>
              <w:right w:val="nil"/>
            </w:tcBorders>
            <w:shd w:val="clear" w:color="auto" w:fill="auto"/>
            <w:vAlign w:val="bottom"/>
          </w:tcPr>
          <w:p w14:paraId="0EEEB9D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9793</w:t>
            </w:r>
          </w:p>
        </w:tc>
        <w:tc>
          <w:tcPr>
            <w:tcW w:w="760" w:type="dxa"/>
            <w:tcBorders>
              <w:top w:val="single" w:sz="4" w:space="0" w:color="auto"/>
              <w:left w:val="nil"/>
              <w:bottom w:val="single" w:sz="4" w:space="0" w:color="auto"/>
              <w:right w:val="nil"/>
            </w:tcBorders>
            <w:shd w:val="clear" w:color="auto" w:fill="auto"/>
            <w:vAlign w:val="bottom"/>
          </w:tcPr>
          <w:p w14:paraId="775C82E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9723</w:t>
            </w:r>
          </w:p>
        </w:tc>
        <w:tc>
          <w:tcPr>
            <w:tcW w:w="760" w:type="dxa"/>
            <w:tcBorders>
              <w:top w:val="single" w:sz="4" w:space="0" w:color="auto"/>
              <w:left w:val="nil"/>
              <w:bottom w:val="single" w:sz="4" w:space="0" w:color="auto"/>
              <w:right w:val="nil"/>
            </w:tcBorders>
            <w:shd w:val="clear" w:color="auto" w:fill="auto"/>
            <w:vAlign w:val="bottom"/>
          </w:tcPr>
          <w:p w14:paraId="33161C2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9646</w:t>
            </w:r>
          </w:p>
        </w:tc>
        <w:tc>
          <w:tcPr>
            <w:tcW w:w="760" w:type="dxa"/>
            <w:tcBorders>
              <w:top w:val="single" w:sz="4" w:space="0" w:color="auto"/>
              <w:left w:val="nil"/>
              <w:bottom w:val="single" w:sz="4" w:space="0" w:color="auto"/>
              <w:right w:val="nil"/>
            </w:tcBorders>
            <w:shd w:val="clear" w:color="auto" w:fill="auto"/>
            <w:vAlign w:val="bottom"/>
          </w:tcPr>
          <w:p w14:paraId="7241D38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9561</w:t>
            </w:r>
          </w:p>
        </w:tc>
        <w:tc>
          <w:tcPr>
            <w:tcW w:w="760" w:type="dxa"/>
            <w:tcBorders>
              <w:top w:val="single" w:sz="4" w:space="0" w:color="auto"/>
              <w:left w:val="nil"/>
              <w:bottom w:val="single" w:sz="4" w:space="0" w:color="auto"/>
              <w:right w:val="nil"/>
            </w:tcBorders>
            <w:shd w:val="clear" w:color="auto" w:fill="auto"/>
            <w:vAlign w:val="bottom"/>
          </w:tcPr>
          <w:p w14:paraId="625E104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9466</w:t>
            </w:r>
          </w:p>
        </w:tc>
        <w:tc>
          <w:tcPr>
            <w:tcW w:w="760" w:type="dxa"/>
            <w:tcBorders>
              <w:top w:val="single" w:sz="4" w:space="0" w:color="auto"/>
              <w:left w:val="nil"/>
              <w:bottom w:val="single" w:sz="4" w:space="0" w:color="auto"/>
              <w:right w:val="nil"/>
            </w:tcBorders>
            <w:shd w:val="clear" w:color="auto" w:fill="auto"/>
            <w:vAlign w:val="bottom"/>
          </w:tcPr>
          <w:p w14:paraId="4DA3736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9358</w:t>
            </w:r>
          </w:p>
        </w:tc>
        <w:tc>
          <w:tcPr>
            <w:tcW w:w="760" w:type="dxa"/>
            <w:tcBorders>
              <w:top w:val="single" w:sz="4" w:space="0" w:color="auto"/>
              <w:left w:val="nil"/>
              <w:bottom w:val="single" w:sz="4" w:space="0" w:color="auto"/>
              <w:right w:val="nil"/>
            </w:tcBorders>
            <w:shd w:val="clear" w:color="auto" w:fill="auto"/>
            <w:vAlign w:val="bottom"/>
          </w:tcPr>
          <w:p w14:paraId="128ED05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9235</w:t>
            </w:r>
          </w:p>
        </w:tc>
      </w:tr>
      <w:tr w:rsidR="006E6F25" w:rsidRPr="006E6F25" w14:paraId="06BD3B52" w14:textId="77777777" w:rsidTr="00EB783E">
        <w:tc>
          <w:tcPr>
            <w:tcW w:w="596" w:type="dxa"/>
            <w:tcBorders>
              <w:top w:val="single" w:sz="4" w:space="0" w:color="auto"/>
              <w:bottom w:val="single" w:sz="4" w:space="0" w:color="auto"/>
            </w:tcBorders>
            <w:shd w:val="clear" w:color="auto" w:fill="auto"/>
          </w:tcPr>
          <w:p w14:paraId="01C835F6" w14:textId="77777777" w:rsidR="006E6F25" w:rsidRPr="0031545C" w:rsidRDefault="006E6F25" w:rsidP="006E6F25">
            <w:pPr>
              <w:pStyle w:val="Tabletext"/>
            </w:pPr>
            <w:r w:rsidRPr="0031545C">
              <w:t>70</w:t>
            </w:r>
          </w:p>
        </w:tc>
        <w:tc>
          <w:tcPr>
            <w:tcW w:w="878" w:type="dxa"/>
            <w:tcBorders>
              <w:top w:val="single" w:sz="4" w:space="0" w:color="auto"/>
              <w:left w:val="nil"/>
              <w:bottom w:val="single" w:sz="4" w:space="0" w:color="auto"/>
              <w:right w:val="nil"/>
            </w:tcBorders>
            <w:shd w:val="clear" w:color="auto" w:fill="auto"/>
            <w:vAlign w:val="bottom"/>
          </w:tcPr>
          <w:p w14:paraId="78CADFE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9951</w:t>
            </w:r>
          </w:p>
        </w:tc>
        <w:tc>
          <w:tcPr>
            <w:tcW w:w="760" w:type="dxa"/>
            <w:tcBorders>
              <w:top w:val="single" w:sz="4" w:space="0" w:color="auto"/>
              <w:left w:val="nil"/>
              <w:bottom w:val="single" w:sz="4" w:space="0" w:color="auto"/>
              <w:right w:val="nil"/>
            </w:tcBorders>
            <w:shd w:val="clear" w:color="auto" w:fill="auto"/>
            <w:vAlign w:val="bottom"/>
          </w:tcPr>
          <w:p w14:paraId="19FD84D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9896</w:t>
            </w:r>
          </w:p>
        </w:tc>
        <w:tc>
          <w:tcPr>
            <w:tcW w:w="760" w:type="dxa"/>
            <w:tcBorders>
              <w:top w:val="single" w:sz="4" w:space="0" w:color="auto"/>
              <w:left w:val="nil"/>
              <w:bottom w:val="single" w:sz="4" w:space="0" w:color="auto"/>
              <w:right w:val="nil"/>
            </w:tcBorders>
            <w:shd w:val="clear" w:color="auto" w:fill="auto"/>
            <w:vAlign w:val="bottom"/>
          </w:tcPr>
          <w:p w14:paraId="2DDDA1F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9833</w:t>
            </w:r>
          </w:p>
        </w:tc>
        <w:tc>
          <w:tcPr>
            <w:tcW w:w="760" w:type="dxa"/>
            <w:tcBorders>
              <w:top w:val="single" w:sz="4" w:space="0" w:color="auto"/>
              <w:left w:val="nil"/>
              <w:bottom w:val="single" w:sz="4" w:space="0" w:color="auto"/>
              <w:right w:val="nil"/>
            </w:tcBorders>
            <w:shd w:val="clear" w:color="auto" w:fill="auto"/>
            <w:vAlign w:val="bottom"/>
          </w:tcPr>
          <w:p w14:paraId="2A9C531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9762</w:t>
            </w:r>
          </w:p>
        </w:tc>
        <w:tc>
          <w:tcPr>
            <w:tcW w:w="760" w:type="dxa"/>
            <w:tcBorders>
              <w:top w:val="single" w:sz="4" w:space="0" w:color="auto"/>
              <w:left w:val="nil"/>
              <w:bottom w:val="single" w:sz="4" w:space="0" w:color="auto"/>
              <w:right w:val="nil"/>
            </w:tcBorders>
            <w:shd w:val="clear" w:color="auto" w:fill="auto"/>
            <w:vAlign w:val="bottom"/>
          </w:tcPr>
          <w:p w14:paraId="4A2D17B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9683</w:t>
            </w:r>
          </w:p>
        </w:tc>
        <w:tc>
          <w:tcPr>
            <w:tcW w:w="760" w:type="dxa"/>
            <w:tcBorders>
              <w:top w:val="single" w:sz="4" w:space="0" w:color="auto"/>
              <w:left w:val="nil"/>
              <w:bottom w:val="single" w:sz="4" w:space="0" w:color="auto"/>
              <w:right w:val="nil"/>
            </w:tcBorders>
            <w:shd w:val="clear" w:color="auto" w:fill="auto"/>
            <w:vAlign w:val="bottom"/>
          </w:tcPr>
          <w:p w14:paraId="3EF47AD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9596</w:t>
            </w:r>
          </w:p>
        </w:tc>
        <w:tc>
          <w:tcPr>
            <w:tcW w:w="760" w:type="dxa"/>
            <w:tcBorders>
              <w:top w:val="single" w:sz="4" w:space="0" w:color="auto"/>
              <w:left w:val="nil"/>
              <w:bottom w:val="single" w:sz="4" w:space="0" w:color="auto"/>
              <w:right w:val="nil"/>
            </w:tcBorders>
            <w:shd w:val="clear" w:color="auto" w:fill="auto"/>
            <w:vAlign w:val="bottom"/>
          </w:tcPr>
          <w:p w14:paraId="4419410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9500</w:t>
            </w:r>
          </w:p>
        </w:tc>
        <w:tc>
          <w:tcPr>
            <w:tcW w:w="760" w:type="dxa"/>
            <w:tcBorders>
              <w:top w:val="single" w:sz="4" w:space="0" w:color="auto"/>
              <w:left w:val="nil"/>
              <w:bottom w:val="single" w:sz="4" w:space="0" w:color="auto"/>
              <w:right w:val="nil"/>
            </w:tcBorders>
            <w:shd w:val="clear" w:color="auto" w:fill="auto"/>
            <w:vAlign w:val="bottom"/>
          </w:tcPr>
          <w:p w14:paraId="17E088D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9390</w:t>
            </w:r>
          </w:p>
        </w:tc>
        <w:tc>
          <w:tcPr>
            <w:tcW w:w="760" w:type="dxa"/>
            <w:tcBorders>
              <w:top w:val="single" w:sz="4" w:space="0" w:color="auto"/>
              <w:left w:val="nil"/>
              <w:bottom w:val="single" w:sz="4" w:space="0" w:color="auto"/>
              <w:right w:val="nil"/>
            </w:tcBorders>
            <w:shd w:val="clear" w:color="auto" w:fill="auto"/>
            <w:vAlign w:val="bottom"/>
          </w:tcPr>
          <w:p w14:paraId="1BEEEED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9265</w:t>
            </w:r>
          </w:p>
        </w:tc>
        <w:tc>
          <w:tcPr>
            <w:tcW w:w="760" w:type="dxa"/>
            <w:tcBorders>
              <w:top w:val="single" w:sz="4" w:space="0" w:color="auto"/>
              <w:left w:val="nil"/>
              <w:bottom w:val="single" w:sz="4" w:space="0" w:color="auto"/>
              <w:right w:val="nil"/>
            </w:tcBorders>
            <w:shd w:val="clear" w:color="auto" w:fill="auto"/>
            <w:vAlign w:val="bottom"/>
          </w:tcPr>
          <w:p w14:paraId="384D40D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9120</w:t>
            </w:r>
          </w:p>
        </w:tc>
      </w:tr>
      <w:tr w:rsidR="006E6F25" w:rsidRPr="006E6F25" w14:paraId="6FA3AD44" w14:textId="77777777" w:rsidTr="00EB783E">
        <w:tc>
          <w:tcPr>
            <w:tcW w:w="596" w:type="dxa"/>
            <w:tcBorders>
              <w:top w:val="single" w:sz="4" w:space="0" w:color="auto"/>
              <w:bottom w:val="single" w:sz="4" w:space="0" w:color="auto"/>
            </w:tcBorders>
            <w:shd w:val="clear" w:color="auto" w:fill="auto"/>
          </w:tcPr>
          <w:p w14:paraId="249969A5" w14:textId="77777777" w:rsidR="006E6F25" w:rsidRPr="0031545C" w:rsidRDefault="006E6F25" w:rsidP="006E6F25">
            <w:pPr>
              <w:pStyle w:val="Tabletext"/>
            </w:pPr>
            <w:r w:rsidRPr="0031545C">
              <w:t>71</w:t>
            </w:r>
          </w:p>
        </w:tc>
        <w:tc>
          <w:tcPr>
            <w:tcW w:w="878" w:type="dxa"/>
            <w:tcBorders>
              <w:top w:val="single" w:sz="4" w:space="0" w:color="auto"/>
              <w:left w:val="nil"/>
              <w:bottom w:val="single" w:sz="4" w:space="0" w:color="auto"/>
              <w:right w:val="nil"/>
            </w:tcBorders>
            <w:shd w:val="clear" w:color="auto" w:fill="auto"/>
            <w:vAlign w:val="bottom"/>
          </w:tcPr>
          <w:p w14:paraId="2C76A2E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9944</w:t>
            </w:r>
          </w:p>
        </w:tc>
        <w:tc>
          <w:tcPr>
            <w:tcW w:w="760" w:type="dxa"/>
            <w:tcBorders>
              <w:top w:val="single" w:sz="4" w:space="0" w:color="auto"/>
              <w:left w:val="nil"/>
              <w:bottom w:val="single" w:sz="4" w:space="0" w:color="auto"/>
              <w:right w:val="nil"/>
            </w:tcBorders>
            <w:shd w:val="clear" w:color="auto" w:fill="auto"/>
            <w:vAlign w:val="bottom"/>
          </w:tcPr>
          <w:p w14:paraId="5E54481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9879</w:t>
            </w:r>
          </w:p>
        </w:tc>
        <w:tc>
          <w:tcPr>
            <w:tcW w:w="760" w:type="dxa"/>
            <w:tcBorders>
              <w:top w:val="single" w:sz="4" w:space="0" w:color="auto"/>
              <w:left w:val="nil"/>
              <w:bottom w:val="single" w:sz="4" w:space="0" w:color="auto"/>
              <w:right w:val="nil"/>
            </w:tcBorders>
            <w:shd w:val="clear" w:color="auto" w:fill="auto"/>
            <w:vAlign w:val="bottom"/>
          </w:tcPr>
          <w:p w14:paraId="625E81D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9807</w:t>
            </w:r>
          </w:p>
        </w:tc>
        <w:tc>
          <w:tcPr>
            <w:tcW w:w="760" w:type="dxa"/>
            <w:tcBorders>
              <w:top w:val="single" w:sz="4" w:space="0" w:color="auto"/>
              <w:left w:val="nil"/>
              <w:bottom w:val="single" w:sz="4" w:space="0" w:color="auto"/>
              <w:right w:val="nil"/>
            </w:tcBorders>
            <w:shd w:val="clear" w:color="auto" w:fill="auto"/>
            <w:vAlign w:val="bottom"/>
          </w:tcPr>
          <w:p w14:paraId="5EA79C4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9727</w:t>
            </w:r>
          </w:p>
        </w:tc>
        <w:tc>
          <w:tcPr>
            <w:tcW w:w="760" w:type="dxa"/>
            <w:tcBorders>
              <w:top w:val="single" w:sz="4" w:space="0" w:color="auto"/>
              <w:left w:val="nil"/>
              <w:bottom w:val="single" w:sz="4" w:space="0" w:color="auto"/>
              <w:right w:val="nil"/>
            </w:tcBorders>
            <w:shd w:val="clear" w:color="auto" w:fill="auto"/>
            <w:vAlign w:val="bottom"/>
          </w:tcPr>
          <w:p w14:paraId="5F23FA3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9639</w:t>
            </w:r>
          </w:p>
        </w:tc>
        <w:tc>
          <w:tcPr>
            <w:tcW w:w="760" w:type="dxa"/>
            <w:tcBorders>
              <w:top w:val="single" w:sz="4" w:space="0" w:color="auto"/>
              <w:left w:val="nil"/>
              <w:bottom w:val="single" w:sz="4" w:space="0" w:color="auto"/>
              <w:right w:val="nil"/>
            </w:tcBorders>
            <w:shd w:val="clear" w:color="auto" w:fill="auto"/>
            <w:vAlign w:val="bottom"/>
          </w:tcPr>
          <w:p w14:paraId="0243957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9540</w:t>
            </w:r>
          </w:p>
        </w:tc>
        <w:tc>
          <w:tcPr>
            <w:tcW w:w="760" w:type="dxa"/>
            <w:tcBorders>
              <w:top w:val="single" w:sz="4" w:space="0" w:color="auto"/>
              <w:left w:val="nil"/>
              <w:bottom w:val="single" w:sz="4" w:space="0" w:color="auto"/>
              <w:right w:val="nil"/>
            </w:tcBorders>
            <w:shd w:val="clear" w:color="auto" w:fill="auto"/>
            <w:vAlign w:val="bottom"/>
          </w:tcPr>
          <w:p w14:paraId="75CA66A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9429</w:t>
            </w:r>
          </w:p>
        </w:tc>
        <w:tc>
          <w:tcPr>
            <w:tcW w:w="760" w:type="dxa"/>
            <w:tcBorders>
              <w:top w:val="single" w:sz="4" w:space="0" w:color="auto"/>
              <w:left w:val="nil"/>
              <w:bottom w:val="single" w:sz="4" w:space="0" w:color="auto"/>
              <w:right w:val="nil"/>
            </w:tcBorders>
            <w:shd w:val="clear" w:color="auto" w:fill="auto"/>
            <w:vAlign w:val="bottom"/>
          </w:tcPr>
          <w:p w14:paraId="70D1D04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9302</w:t>
            </w:r>
          </w:p>
        </w:tc>
        <w:tc>
          <w:tcPr>
            <w:tcW w:w="760" w:type="dxa"/>
            <w:tcBorders>
              <w:top w:val="single" w:sz="4" w:space="0" w:color="auto"/>
              <w:left w:val="nil"/>
              <w:bottom w:val="single" w:sz="4" w:space="0" w:color="auto"/>
              <w:right w:val="nil"/>
            </w:tcBorders>
            <w:shd w:val="clear" w:color="auto" w:fill="auto"/>
            <w:vAlign w:val="bottom"/>
          </w:tcPr>
          <w:p w14:paraId="3C2FB45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9155</w:t>
            </w:r>
          </w:p>
        </w:tc>
        <w:tc>
          <w:tcPr>
            <w:tcW w:w="760" w:type="dxa"/>
            <w:tcBorders>
              <w:top w:val="single" w:sz="4" w:space="0" w:color="auto"/>
              <w:left w:val="nil"/>
              <w:bottom w:val="single" w:sz="4" w:space="0" w:color="auto"/>
              <w:right w:val="nil"/>
            </w:tcBorders>
            <w:shd w:val="clear" w:color="auto" w:fill="auto"/>
            <w:vAlign w:val="bottom"/>
          </w:tcPr>
          <w:p w14:paraId="0D256BC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8985</w:t>
            </w:r>
          </w:p>
        </w:tc>
      </w:tr>
      <w:tr w:rsidR="006E6F25" w:rsidRPr="006E6F25" w14:paraId="4D26DB0D" w14:textId="77777777" w:rsidTr="00EB783E">
        <w:tc>
          <w:tcPr>
            <w:tcW w:w="596" w:type="dxa"/>
            <w:tcBorders>
              <w:top w:val="single" w:sz="4" w:space="0" w:color="auto"/>
              <w:bottom w:val="single" w:sz="4" w:space="0" w:color="auto"/>
            </w:tcBorders>
            <w:shd w:val="clear" w:color="auto" w:fill="auto"/>
          </w:tcPr>
          <w:p w14:paraId="753B07F4" w14:textId="77777777" w:rsidR="006E6F25" w:rsidRPr="0031545C" w:rsidRDefault="006E6F25" w:rsidP="006E6F25">
            <w:pPr>
              <w:pStyle w:val="Tabletext"/>
            </w:pPr>
            <w:r w:rsidRPr="0031545C">
              <w:t>72</w:t>
            </w:r>
          </w:p>
        </w:tc>
        <w:tc>
          <w:tcPr>
            <w:tcW w:w="878" w:type="dxa"/>
            <w:tcBorders>
              <w:top w:val="single" w:sz="4" w:space="0" w:color="auto"/>
              <w:left w:val="nil"/>
              <w:bottom w:val="single" w:sz="4" w:space="0" w:color="auto"/>
              <w:right w:val="nil"/>
            </w:tcBorders>
            <w:shd w:val="clear" w:color="auto" w:fill="auto"/>
            <w:vAlign w:val="bottom"/>
          </w:tcPr>
          <w:p w14:paraId="74AD1E6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9935</w:t>
            </w:r>
          </w:p>
        </w:tc>
        <w:tc>
          <w:tcPr>
            <w:tcW w:w="760" w:type="dxa"/>
            <w:tcBorders>
              <w:top w:val="single" w:sz="4" w:space="0" w:color="auto"/>
              <w:left w:val="nil"/>
              <w:bottom w:val="single" w:sz="4" w:space="0" w:color="auto"/>
              <w:right w:val="nil"/>
            </w:tcBorders>
            <w:shd w:val="clear" w:color="auto" w:fill="auto"/>
            <w:vAlign w:val="bottom"/>
          </w:tcPr>
          <w:p w14:paraId="3073BAD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9861</w:t>
            </w:r>
          </w:p>
        </w:tc>
        <w:tc>
          <w:tcPr>
            <w:tcW w:w="760" w:type="dxa"/>
            <w:tcBorders>
              <w:top w:val="single" w:sz="4" w:space="0" w:color="auto"/>
              <w:left w:val="nil"/>
              <w:bottom w:val="single" w:sz="4" w:space="0" w:color="auto"/>
              <w:right w:val="nil"/>
            </w:tcBorders>
            <w:shd w:val="clear" w:color="auto" w:fill="auto"/>
            <w:vAlign w:val="bottom"/>
          </w:tcPr>
          <w:p w14:paraId="62D2D1B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9779</w:t>
            </w:r>
          </w:p>
        </w:tc>
        <w:tc>
          <w:tcPr>
            <w:tcW w:w="760" w:type="dxa"/>
            <w:tcBorders>
              <w:top w:val="single" w:sz="4" w:space="0" w:color="auto"/>
              <w:left w:val="nil"/>
              <w:bottom w:val="single" w:sz="4" w:space="0" w:color="auto"/>
              <w:right w:val="nil"/>
            </w:tcBorders>
            <w:shd w:val="clear" w:color="auto" w:fill="auto"/>
            <w:vAlign w:val="bottom"/>
          </w:tcPr>
          <w:p w14:paraId="4CC3777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9690</w:t>
            </w:r>
          </w:p>
        </w:tc>
        <w:tc>
          <w:tcPr>
            <w:tcW w:w="760" w:type="dxa"/>
            <w:tcBorders>
              <w:top w:val="single" w:sz="4" w:space="0" w:color="auto"/>
              <w:left w:val="nil"/>
              <w:bottom w:val="single" w:sz="4" w:space="0" w:color="auto"/>
              <w:right w:val="nil"/>
            </w:tcBorders>
            <w:shd w:val="clear" w:color="auto" w:fill="auto"/>
            <w:vAlign w:val="bottom"/>
          </w:tcPr>
          <w:p w14:paraId="01CB46A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9590</w:t>
            </w:r>
          </w:p>
        </w:tc>
        <w:tc>
          <w:tcPr>
            <w:tcW w:w="760" w:type="dxa"/>
            <w:tcBorders>
              <w:top w:val="single" w:sz="4" w:space="0" w:color="auto"/>
              <w:left w:val="nil"/>
              <w:bottom w:val="single" w:sz="4" w:space="0" w:color="auto"/>
              <w:right w:val="nil"/>
            </w:tcBorders>
            <w:shd w:val="clear" w:color="auto" w:fill="auto"/>
            <w:vAlign w:val="bottom"/>
          </w:tcPr>
          <w:p w14:paraId="6E63665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9477</w:t>
            </w:r>
          </w:p>
        </w:tc>
        <w:tc>
          <w:tcPr>
            <w:tcW w:w="760" w:type="dxa"/>
            <w:tcBorders>
              <w:top w:val="single" w:sz="4" w:space="0" w:color="auto"/>
              <w:left w:val="nil"/>
              <w:bottom w:val="single" w:sz="4" w:space="0" w:color="auto"/>
              <w:right w:val="nil"/>
            </w:tcBorders>
            <w:shd w:val="clear" w:color="auto" w:fill="auto"/>
            <w:vAlign w:val="bottom"/>
          </w:tcPr>
          <w:p w14:paraId="765ADFD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9347</w:t>
            </w:r>
          </w:p>
        </w:tc>
        <w:tc>
          <w:tcPr>
            <w:tcW w:w="760" w:type="dxa"/>
            <w:tcBorders>
              <w:top w:val="single" w:sz="4" w:space="0" w:color="auto"/>
              <w:left w:val="nil"/>
              <w:bottom w:val="single" w:sz="4" w:space="0" w:color="auto"/>
              <w:right w:val="nil"/>
            </w:tcBorders>
            <w:shd w:val="clear" w:color="auto" w:fill="auto"/>
            <w:vAlign w:val="bottom"/>
          </w:tcPr>
          <w:p w14:paraId="174B2F9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9198</w:t>
            </w:r>
          </w:p>
        </w:tc>
        <w:tc>
          <w:tcPr>
            <w:tcW w:w="760" w:type="dxa"/>
            <w:tcBorders>
              <w:top w:val="single" w:sz="4" w:space="0" w:color="auto"/>
              <w:left w:val="nil"/>
              <w:bottom w:val="single" w:sz="4" w:space="0" w:color="auto"/>
              <w:right w:val="nil"/>
            </w:tcBorders>
            <w:shd w:val="clear" w:color="auto" w:fill="auto"/>
            <w:vAlign w:val="bottom"/>
          </w:tcPr>
          <w:p w14:paraId="3A6CF1D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9025</w:t>
            </w:r>
          </w:p>
        </w:tc>
        <w:tc>
          <w:tcPr>
            <w:tcW w:w="760" w:type="dxa"/>
            <w:tcBorders>
              <w:top w:val="single" w:sz="4" w:space="0" w:color="auto"/>
              <w:left w:val="nil"/>
              <w:bottom w:val="single" w:sz="4" w:space="0" w:color="auto"/>
              <w:right w:val="nil"/>
            </w:tcBorders>
            <w:shd w:val="clear" w:color="auto" w:fill="auto"/>
            <w:vAlign w:val="bottom"/>
          </w:tcPr>
          <w:p w14:paraId="0086C45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8858</w:t>
            </w:r>
          </w:p>
        </w:tc>
      </w:tr>
      <w:tr w:rsidR="006E6F25" w:rsidRPr="006E6F25" w14:paraId="56B57BD8" w14:textId="77777777" w:rsidTr="00EB783E">
        <w:tc>
          <w:tcPr>
            <w:tcW w:w="596" w:type="dxa"/>
            <w:tcBorders>
              <w:top w:val="single" w:sz="4" w:space="0" w:color="auto"/>
              <w:bottom w:val="single" w:sz="4" w:space="0" w:color="auto"/>
            </w:tcBorders>
            <w:shd w:val="clear" w:color="auto" w:fill="auto"/>
          </w:tcPr>
          <w:p w14:paraId="66AE6A52" w14:textId="77777777" w:rsidR="006E6F25" w:rsidRPr="0031545C" w:rsidRDefault="006E6F25" w:rsidP="006E6F25">
            <w:pPr>
              <w:pStyle w:val="Tabletext"/>
            </w:pPr>
            <w:r w:rsidRPr="0031545C">
              <w:t>73</w:t>
            </w:r>
          </w:p>
        </w:tc>
        <w:tc>
          <w:tcPr>
            <w:tcW w:w="878" w:type="dxa"/>
            <w:tcBorders>
              <w:top w:val="single" w:sz="4" w:space="0" w:color="auto"/>
              <w:left w:val="nil"/>
              <w:bottom w:val="single" w:sz="4" w:space="0" w:color="auto"/>
              <w:right w:val="nil"/>
            </w:tcBorders>
            <w:shd w:val="clear" w:color="auto" w:fill="auto"/>
            <w:vAlign w:val="bottom"/>
          </w:tcPr>
          <w:p w14:paraId="4C31C6F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9925</w:t>
            </w:r>
          </w:p>
        </w:tc>
        <w:tc>
          <w:tcPr>
            <w:tcW w:w="760" w:type="dxa"/>
            <w:tcBorders>
              <w:top w:val="single" w:sz="4" w:space="0" w:color="auto"/>
              <w:left w:val="nil"/>
              <w:bottom w:val="single" w:sz="4" w:space="0" w:color="auto"/>
              <w:right w:val="nil"/>
            </w:tcBorders>
            <w:shd w:val="clear" w:color="auto" w:fill="auto"/>
            <w:vAlign w:val="bottom"/>
          </w:tcPr>
          <w:p w14:paraId="2CAB099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9842</w:t>
            </w:r>
          </w:p>
        </w:tc>
        <w:tc>
          <w:tcPr>
            <w:tcW w:w="760" w:type="dxa"/>
            <w:tcBorders>
              <w:top w:val="single" w:sz="4" w:space="0" w:color="auto"/>
              <w:left w:val="nil"/>
              <w:bottom w:val="single" w:sz="4" w:space="0" w:color="auto"/>
              <w:right w:val="nil"/>
            </w:tcBorders>
            <w:shd w:val="clear" w:color="auto" w:fill="auto"/>
            <w:vAlign w:val="bottom"/>
          </w:tcPr>
          <w:p w14:paraId="389C86A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9750</w:t>
            </w:r>
          </w:p>
        </w:tc>
        <w:tc>
          <w:tcPr>
            <w:tcW w:w="760" w:type="dxa"/>
            <w:tcBorders>
              <w:top w:val="single" w:sz="4" w:space="0" w:color="auto"/>
              <w:left w:val="nil"/>
              <w:bottom w:val="single" w:sz="4" w:space="0" w:color="auto"/>
              <w:right w:val="nil"/>
            </w:tcBorders>
            <w:shd w:val="clear" w:color="auto" w:fill="auto"/>
            <w:vAlign w:val="bottom"/>
          </w:tcPr>
          <w:p w14:paraId="67E5A9F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9648</w:t>
            </w:r>
          </w:p>
        </w:tc>
        <w:tc>
          <w:tcPr>
            <w:tcW w:w="760" w:type="dxa"/>
            <w:tcBorders>
              <w:top w:val="single" w:sz="4" w:space="0" w:color="auto"/>
              <w:left w:val="nil"/>
              <w:bottom w:val="single" w:sz="4" w:space="0" w:color="auto"/>
              <w:right w:val="nil"/>
            </w:tcBorders>
            <w:shd w:val="clear" w:color="auto" w:fill="auto"/>
            <w:vAlign w:val="bottom"/>
          </w:tcPr>
          <w:p w14:paraId="70B6AD5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9533</w:t>
            </w:r>
          </w:p>
        </w:tc>
        <w:tc>
          <w:tcPr>
            <w:tcW w:w="760" w:type="dxa"/>
            <w:tcBorders>
              <w:top w:val="single" w:sz="4" w:space="0" w:color="auto"/>
              <w:left w:val="nil"/>
              <w:bottom w:val="single" w:sz="4" w:space="0" w:color="auto"/>
              <w:right w:val="nil"/>
            </w:tcBorders>
            <w:shd w:val="clear" w:color="auto" w:fill="auto"/>
            <w:vAlign w:val="bottom"/>
          </w:tcPr>
          <w:p w14:paraId="2B24D46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9401</w:t>
            </w:r>
          </w:p>
        </w:tc>
        <w:tc>
          <w:tcPr>
            <w:tcW w:w="760" w:type="dxa"/>
            <w:tcBorders>
              <w:top w:val="single" w:sz="4" w:space="0" w:color="auto"/>
              <w:left w:val="nil"/>
              <w:bottom w:val="single" w:sz="4" w:space="0" w:color="auto"/>
              <w:right w:val="nil"/>
            </w:tcBorders>
            <w:shd w:val="clear" w:color="auto" w:fill="auto"/>
            <w:vAlign w:val="bottom"/>
          </w:tcPr>
          <w:p w14:paraId="3EF609C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9249</w:t>
            </w:r>
          </w:p>
        </w:tc>
        <w:tc>
          <w:tcPr>
            <w:tcW w:w="760" w:type="dxa"/>
            <w:tcBorders>
              <w:top w:val="single" w:sz="4" w:space="0" w:color="auto"/>
              <w:left w:val="nil"/>
              <w:bottom w:val="single" w:sz="4" w:space="0" w:color="auto"/>
              <w:right w:val="nil"/>
            </w:tcBorders>
            <w:shd w:val="clear" w:color="auto" w:fill="auto"/>
            <w:vAlign w:val="bottom"/>
          </w:tcPr>
          <w:p w14:paraId="7FE1E94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9074</w:t>
            </w:r>
          </w:p>
        </w:tc>
        <w:tc>
          <w:tcPr>
            <w:tcW w:w="760" w:type="dxa"/>
            <w:tcBorders>
              <w:top w:val="single" w:sz="4" w:space="0" w:color="auto"/>
              <w:left w:val="nil"/>
              <w:bottom w:val="single" w:sz="4" w:space="0" w:color="auto"/>
              <w:right w:val="nil"/>
            </w:tcBorders>
            <w:shd w:val="clear" w:color="auto" w:fill="auto"/>
            <w:vAlign w:val="bottom"/>
          </w:tcPr>
          <w:p w14:paraId="18BEA49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8903</w:t>
            </w:r>
          </w:p>
        </w:tc>
        <w:tc>
          <w:tcPr>
            <w:tcW w:w="760" w:type="dxa"/>
            <w:tcBorders>
              <w:top w:val="single" w:sz="4" w:space="0" w:color="auto"/>
              <w:left w:val="nil"/>
              <w:bottom w:val="single" w:sz="4" w:space="0" w:color="auto"/>
              <w:right w:val="nil"/>
            </w:tcBorders>
            <w:shd w:val="clear" w:color="auto" w:fill="auto"/>
            <w:vAlign w:val="bottom"/>
          </w:tcPr>
          <w:p w14:paraId="64BD8C1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8738</w:t>
            </w:r>
          </w:p>
        </w:tc>
      </w:tr>
      <w:tr w:rsidR="006E6F25" w:rsidRPr="006E6F25" w14:paraId="130C633C" w14:textId="77777777" w:rsidTr="00EB783E">
        <w:tc>
          <w:tcPr>
            <w:tcW w:w="596" w:type="dxa"/>
            <w:tcBorders>
              <w:top w:val="single" w:sz="4" w:space="0" w:color="auto"/>
              <w:bottom w:val="single" w:sz="4" w:space="0" w:color="auto"/>
            </w:tcBorders>
            <w:shd w:val="clear" w:color="auto" w:fill="auto"/>
          </w:tcPr>
          <w:p w14:paraId="0B5CED9B" w14:textId="77777777" w:rsidR="006E6F25" w:rsidRPr="0031545C" w:rsidRDefault="006E6F25" w:rsidP="006E6F25">
            <w:pPr>
              <w:pStyle w:val="Tabletext"/>
            </w:pPr>
            <w:r w:rsidRPr="0031545C">
              <w:t>74</w:t>
            </w:r>
          </w:p>
        </w:tc>
        <w:tc>
          <w:tcPr>
            <w:tcW w:w="878" w:type="dxa"/>
            <w:tcBorders>
              <w:top w:val="single" w:sz="4" w:space="0" w:color="auto"/>
              <w:left w:val="nil"/>
              <w:bottom w:val="single" w:sz="4" w:space="0" w:color="auto"/>
              <w:right w:val="nil"/>
            </w:tcBorders>
            <w:shd w:val="clear" w:color="auto" w:fill="auto"/>
            <w:vAlign w:val="bottom"/>
          </w:tcPr>
          <w:p w14:paraId="0714088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9915</w:t>
            </w:r>
          </w:p>
        </w:tc>
        <w:tc>
          <w:tcPr>
            <w:tcW w:w="760" w:type="dxa"/>
            <w:tcBorders>
              <w:top w:val="single" w:sz="4" w:space="0" w:color="auto"/>
              <w:left w:val="nil"/>
              <w:bottom w:val="single" w:sz="4" w:space="0" w:color="auto"/>
              <w:right w:val="nil"/>
            </w:tcBorders>
            <w:shd w:val="clear" w:color="auto" w:fill="auto"/>
            <w:vAlign w:val="bottom"/>
          </w:tcPr>
          <w:p w14:paraId="26973BB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9822</w:t>
            </w:r>
          </w:p>
        </w:tc>
        <w:tc>
          <w:tcPr>
            <w:tcW w:w="760" w:type="dxa"/>
            <w:tcBorders>
              <w:top w:val="single" w:sz="4" w:space="0" w:color="auto"/>
              <w:left w:val="nil"/>
              <w:bottom w:val="single" w:sz="4" w:space="0" w:color="auto"/>
              <w:right w:val="nil"/>
            </w:tcBorders>
            <w:shd w:val="clear" w:color="auto" w:fill="auto"/>
            <w:vAlign w:val="bottom"/>
          </w:tcPr>
          <w:p w14:paraId="12DAC92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9718</w:t>
            </w:r>
          </w:p>
        </w:tc>
        <w:tc>
          <w:tcPr>
            <w:tcW w:w="760" w:type="dxa"/>
            <w:tcBorders>
              <w:top w:val="single" w:sz="4" w:space="0" w:color="auto"/>
              <w:left w:val="nil"/>
              <w:bottom w:val="single" w:sz="4" w:space="0" w:color="auto"/>
              <w:right w:val="nil"/>
            </w:tcBorders>
            <w:shd w:val="clear" w:color="auto" w:fill="auto"/>
            <w:vAlign w:val="bottom"/>
          </w:tcPr>
          <w:p w14:paraId="6E649A3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9600</w:t>
            </w:r>
          </w:p>
        </w:tc>
        <w:tc>
          <w:tcPr>
            <w:tcW w:w="760" w:type="dxa"/>
            <w:tcBorders>
              <w:top w:val="single" w:sz="4" w:space="0" w:color="auto"/>
              <w:left w:val="nil"/>
              <w:bottom w:val="single" w:sz="4" w:space="0" w:color="auto"/>
              <w:right w:val="nil"/>
            </w:tcBorders>
            <w:shd w:val="clear" w:color="auto" w:fill="auto"/>
            <w:vAlign w:val="bottom"/>
          </w:tcPr>
          <w:p w14:paraId="247C114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9466</w:t>
            </w:r>
          </w:p>
        </w:tc>
        <w:tc>
          <w:tcPr>
            <w:tcW w:w="760" w:type="dxa"/>
            <w:tcBorders>
              <w:top w:val="single" w:sz="4" w:space="0" w:color="auto"/>
              <w:left w:val="nil"/>
              <w:bottom w:val="single" w:sz="4" w:space="0" w:color="auto"/>
              <w:right w:val="nil"/>
            </w:tcBorders>
            <w:shd w:val="clear" w:color="auto" w:fill="auto"/>
            <w:vAlign w:val="bottom"/>
          </w:tcPr>
          <w:p w14:paraId="46AFDC1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9311</w:t>
            </w:r>
          </w:p>
        </w:tc>
        <w:tc>
          <w:tcPr>
            <w:tcW w:w="760" w:type="dxa"/>
            <w:tcBorders>
              <w:top w:val="single" w:sz="4" w:space="0" w:color="auto"/>
              <w:left w:val="nil"/>
              <w:bottom w:val="single" w:sz="4" w:space="0" w:color="auto"/>
              <w:right w:val="nil"/>
            </w:tcBorders>
            <w:shd w:val="clear" w:color="auto" w:fill="auto"/>
            <w:vAlign w:val="bottom"/>
          </w:tcPr>
          <w:p w14:paraId="639B052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9133</w:t>
            </w:r>
          </w:p>
        </w:tc>
        <w:tc>
          <w:tcPr>
            <w:tcW w:w="760" w:type="dxa"/>
            <w:tcBorders>
              <w:top w:val="single" w:sz="4" w:space="0" w:color="auto"/>
              <w:left w:val="nil"/>
              <w:bottom w:val="single" w:sz="4" w:space="0" w:color="auto"/>
              <w:right w:val="nil"/>
            </w:tcBorders>
            <w:shd w:val="clear" w:color="auto" w:fill="auto"/>
            <w:vAlign w:val="bottom"/>
          </w:tcPr>
          <w:p w14:paraId="4D221FE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8959</w:t>
            </w:r>
          </w:p>
        </w:tc>
        <w:tc>
          <w:tcPr>
            <w:tcW w:w="760" w:type="dxa"/>
            <w:tcBorders>
              <w:top w:val="single" w:sz="4" w:space="0" w:color="auto"/>
              <w:left w:val="nil"/>
              <w:bottom w:val="single" w:sz="4" w:space="0" w:color="auto"/>
              <w:right w:val="nil"/>
            </w:tcBorders>
            <w:shd w:val="clear" w:color="auto" w:fill="auto"/>
            <w:vAlign w:val="bottom"/>
          </w:tcPr>
          <w:p w14:paraId="312EE697"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8791</w:t>
            </w:r>
          </w:p>
        </w:tc>
        <w:tc>
          <w:tcPr>
            <w:tcW w:w="760" w:type="dxa"/>
            <w:tcBorders>
              <w:top w:val="single" w:sz="4" w:space="0" w:color="auto"/>
              <w:left w:val="nil"/>
              <w:bottom w:val="single" w:sz="4" w:space="0" w:color="auto"/>
              <w:right w:val="nil"/>
            </w:tcBorders>
            <w:shd w:val="clear" w:color="auto" w:fill="auto"/>
            <w:vAlign w:val="bottom"/>
          </w:tcPr>
          <w:p w14:paraId="6F510A7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8628</w:t>
            </w:r>
          </w:p>
        </w:tc>
      </w:tr>
      <w:tr w:rsidR="006E6F25" w:rsidRPr="006E6F25" w14:paraId="24982640" w14:textId="77777777" w:rsidTr="00EB783E">
        <w:tc>
          <w:tcPr>
            <w:tcW w:w="596" w:type="dxa"/>
            <w:tcBorders>
              <w:top w:val="single" w:sz="4" w:space="0" w:color="auto"/>
              <w:bottom w:val="single" w:sz="4" w:space="0" w:color="auto"/>
            </w:tcBorders>
            <w:shd w:val="clear" w:color="auto" w:fill="auto"/>
          </w:tcPr>
          <w:p w14:paraId="5D47B828" w14:textId="77777777" w:rsidR="006E6F25" w:rsidRPr="0031545C" w:rsidRDefault="006E6F25" w:rsidP="006E6F25">
            <w:pPr>
              <w:pStyle w:val="Tabletext"/>
            </w:pPr>
            <w:r w:rsidRPr="0031545C">
              <w:t>75</w:t>
            </w:r>
          </w:p>
        </w:tc>
        <w:tc>
          <w:tcPr>
            <w:tcW w:w="878" w:type="dxa"/>
            <w:tcBorders>
              <w:top w:val="single" w:sz="4" w:space="0" w:color="auto"/>
              <w:left w:val="nil"/>
              <w:bottom w:val="single" w:sz="4" w:space="0" w:color="auto"/>
              <w:right w:val="nil"/>
            </w:tcBorders>
            <w:shd w:val="clear" w:color="auto" w:fill="auto"/>
            <w:vAlign w:val="bottom"/>
          </w:tcPr>
          <w:p w14:paraId="2370BBB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9905</w:t>
            </w:r>
          </w:p>
        </w:tc>
        <w:tc>
          <w:tcPr>
            <w:tcW w:w="760" w:type="dxa"/>
            <w:tcBorders>
              <w:top w:val="single" w:sz="4" w:space="0" w:color="auto"/>
              <w:left w:val="nil"/>
              <w:bottom w:val="single" w:sz="4" w:space="0" w:color="auto"/>
              <w:right w:val="nil"/>
            </w:tcBorders>
            <w:shd w:val="clear" w:color="auto" w:fill="auto"/>
            <w:vAlign w:val="bottom"/>
          </w:tcPr>
          <w:p w14:paraId="36DD0AA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9799</w:t>
            </w:r>
          </w:p>
        </w:tc>
        <w:tc>
          <w:tcPr>
            <w:tcW w:w="760" w:type="dxa"/>
            <w:tcBorders>
              <w:top w:val="single" w:sz="4" w:space="0" w:color="auto"/>
              <w:left w:val="nil"/>
              <w:bottom w:val="single" w:sz="4" w:space="0" w:color="auto"/>
              <w:right w:val="nil"/>
            </w:tcBorders>
            <w:shd w:val="clear" w:color="auto" w:fill="auto"/>
            <w:vAlign w:val="bottom"/>
          </w:tcPr>
          <w:p w14:paraId="58EE9FF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9679</w:t>
            </w:r>
          </w:p>
        </w:tc>
        <w:tc>
          <w:tcPr>
            <w:tcW w:w="760" w:type="dxa"/>
            <w:tcBorders>
              <w:top w:val="single" w:sz="4" w:space="0" w:color="auto"/>
              <w:left w:val="nil"/>
              <w:bottom w:val="single" w:sz="4" w:space="0" w:color="auto"/>
              <w:right w:val="nil"/>
            </w:tcBorders>
            <w:shd w:val="clear" w:color="auto" w:fill="auto"/>
            <w:vAlign w:val="bottom"/>
          </w:tcPr>
          <w:p w14:paraId="557B341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9542</w:t>
            </w:r>
          </w:p>
        </w:tc>
        <w:tc>
          <w:tcPr>
            <w:tcW w:w="760" w:type="dxa"/>
            <w:tcBorders>
              <w:top w:val="single" w:sz="4" w:space="0" w:color="auto"/>
              <w:left w:val="nil"/>
              <w:bottom w:val="single" w:sz="4" w:space="0" w:color="auto"/>
              <w:right w:val="nil"/>
            </w:tcBorders>
            <w:shd w:val="clear" w:color="auto" w:fill="auto"/>
            <w:vAlign w:val="bottom"/>
          </w:tcPr>
          <w:p w14:paraId="72898DF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9384</w:t>
            </w:r>
          </w:p>
        </w:tc>
        <w:tc>
          <w:tcPr>
            <w:tcW w:w="760" w:type="dxa"/>
            <w:tcBorders>
              <w:top w:val="single" w:sz="4" w:space="0" w:color="auto"/>
              <w:left w:val="nil"/>
              <w:bottom w:val="single" w:sz="4" w:space="0" w:color="auto"/>
              <w:right w:val="nil"/>
            </w:tcBorders>
            <w:shd w:val="clear" w:color="auto" w:fill="auto"/>
            <w:vAlign w:val="bottom"/>
          </w:tcPr>
          <w:p w14:paraId="221877D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9202</w:t>
            </w:r>
          </w:p>
        </w:tc>
        <w:tc>
          <w:tcPr>
            <w:tcW w:w="760" w:type="dxa"/>
            <w:tcBorders>
              <w:top w:val="single" w:sz="4" w:space="0" w:color="auto"/>
              <w:left w:val="nil"/>
              <w:bottom w:val="single" w:sz="4" w:space="0" w:color="auto"/>
              <w:right w:val="nil"/>
            </w:tcBorders>
            <w:shd w:val="clear" w:color="auto" w:fill="auto"/>
            <w:vAlign w:val="bottom"/>
          </w:tcPr>
          <w:p w14:paraId="1FB9C8E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9025</w:t>
            </w:r>
          </w:p>
        </w:tc>
        <w:tc>
          <w:tcPr>
            <w:tcW w:w="760" w:type="dxa"/>
            <w:tcBorders>
              <w:top w:val="single" w:sz="4" w:space="0" w:color="auto"/>
              <w:left w:val="nil"/>
              <w:bottom w:val="single" w:sz="4" w:space="0" w:color="auto"/>
              <w:right w:val="nil"/>
            </w:tcBorders>
            <w:shd w:val="clear" w:color="auto" w:fill="auto"/>
            <w:vAlign w:val="bottom"/>
          </w:tcPr>
          <w:p w14:paraId="355DD57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8854</w:t>
            </w:r>
          </w:p>
        </w:tc>
        <w:tc>
          <w:tcPr>
            <w:tcW w:w="760" w:type="dxa"/>
            <w:tcBorders>
              <w:top w:val="single" w:sz="4" w:space="0" w:color="auto"/>
              <w:left w:val="nil"/>
              <w:bottom w:val="single" w:sz="4" w:space="0" w:color="auto"/>
              <w:right w:val="nil"/>
            </w:tcBorders>
            <w:shd w:val="clear" w:color="auto" w:fill="auto"/>
            <w:vAlign w:val="bottom"/>
          </w:tcPr>
          <w:p w14:paraId="6BD2CD8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8688</w:t>
            </w:r>
          </w:p>
        </w:tc>
        <w:tc>
          <w:tcPr>
            <w:tcW w:w="760" w:type="dxa"/>
            <w:tcBorders>
              <w:top w:val="single" w:sz="4" w:space="0" w:color="auto"/>
              <w:left w:val="nil"/>
              <w:bottom w:val="single" w:sz="4" w:space="0" w:color="auto"/>
              <w:right w:val="nil"/>
            </w:tcBorders>
            <w:shd w:val="clear" w:color="auto" w:fill="auto"/>
            <w:vAlign w:val="bottom"/>
          </w:tcPr>
          <w:p w14:paraId="1123C70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8527</w:t>
            </w:r>
          </w:p>
        </w:tc>
      </w:tr>
      <w:tr w:rsidR="006E6F25" w:rsidRPr="006E6F25" w14:paraId="08491727" w14:textId="77777777" w:rsidTr="00EB783E">
        <w:tc>
          <w:tcPr>
            <w:tcW w:w="596" w:type="dxa"/>
            <w:tcBorders>
              <w:top w:val="single" w:sz="4" w:space="0" w:color="auto"/>
              <w:bottom w:val="single" w:sz="4" w:space="0" w:color="auto"/>
            </w:tcBorders>
            <w:shd w:val="clear" w:color="auto" w:fill="auto"/>
          </w:tcPr>
          <w:p w14:paraId="7C0027A2" w14:textId="77777777" w:rsidR="006E6F25" w:rsidRPr="0031545C" w:rsidRDefault="006E6F25" w:rsidP="006E6F25">
            <w:pPr>
              <w:pStyle w:val="Tabletext"/>
            </w:pPr>
            <w:r w:rsidRPr="0031545C">
              <w:t>76</w:t>
            </w:r>
          </w:p>
        </w:tc>
        <w:tc>
          <w:tcPr>
            <w:tcW w:w="878" w:type="dxa"/>
            <w:tcBorders>
              <w:top w:val="single" w:sz="4" w:space="0" w:color="auto"/>
              <w:left w:val="nil"/>
              <w:bottom w:val="single" w:sz="4" w:space="0" w:color="auto"/>
              <w:right w:val="nil"/>
            </w:tcBorders>
            <w:shd w:val="clear" w:color="auto" w:fill="auto"/>
            <w:vAlign w:val="bottom"/>
          </w:tcPr>
          <w:p w14:paraId="2CFD6F8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9892</w:t>
            </w:r>
          </w:p>
        </w:tc>
        <w:tc>
          <w:tcPr>
            <w:tcW w:w="760" w:type="dxa"/>
            <w:tcBorders>
              <w:top w:val="single" w:sz="4" w:space="0" w:color="auto"/>
              <w:left w:val="nil"/>
              <w:bottom w:val="single" w:sz="4" w:space="0" w:color="auto"/>
              <w:right w:val="nil"/>
            </w:tcBorders>
            <w:shd w:val="clear" w:color="auto" w:fill="auto"/>
            <w:vAlign w:val="bottom"/>
          </w:tcPr>
          <w:p w14:paraId="11AB993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9769</w:t>
            </w:r>
          </w:p>
        </w:tc>
        <w:tc>
          <w:tcPr>
            <w:tcW w:w="760" w:type="dxa"/>
            <w:tcBorders>
              <w:top w:val="single" w:sz="4" w:space="0" w:color="auto"/>
              <w:left w:val="nil"/>
              <w:bottom w:val="single" w:sz="4" w:space="0" w:color="auto"/>
              <w:right w:val="nil"/>
            </w:tcBorders>
            <w:shd w:val="clear" w:color="auto" w:fill="auto"/>
            <w:vAlign w:val="bottom"/>
          </w:tcPr>
          <w:p w14:paraId="7F223F7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9629</w:t>
            </w:r>
          </w:p>
        </w:tc>
        <w:tc>
          <w:tcPr>
            <w:tcW w:w="760" w:type="dxa"/>
            <w:tcBorders>
              <w:top w:val="single" w:sz="4" w:space="0" w:color="auto"/>
              <w:left w:val="nil"/>
              <w:bottom w:val="single" w:sz="4" w:space="0" w:color="auto"/>
              <w:right w:val="nil"/>
            </w:tcBorders>
            <w:shd w:val="clear" w:color="auto" w:fill="auto"/>
            <w:vAlign w:val="bottom"/>
          </w:tcPr>
          <w:p w14:paraId="5FE928D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9468</w:t>
            </w:r>
          </w:p>
        </w:tc>
        <w:tc>
          <w:tcPr>
            <w:tcW w:w="760" w:type="dxa"/>
            <w:tcBorders>
              <w:top w:val="single" w:sz="4" w:space="0" w:color="auto"/>
              <w:left w:val="nil"/>
              <w:bottom w:val="single" w:sz="4" w:space="0" w:color="auto"/>
              <w:right w:val="nil"/>
            </w:tcBorders>
            <w:shd w:val="clear" w:color="auto" w:fill="auto"/>
            <w:vAlign w:val="bottom"/>
          </w:tcPr>
          <w:p w14:paraId="0ED1C3D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9282</w:t>
            </w:r>
          </w:p>
        </w:tc>
        <w:tc>
          <w:tcPr>
            <w:tcW w:w="760" w:type="dxa"/>
            <w:tcBorders>
              <w:top w:val="single" w:sz="4" w:space="0" w:color="auto"/>
              <w:left w:val="nil"/>
              <w:bottom w:val="single" w:sz="4" w:space="0" w:color="auto"/>
              <w:right w:val="nil"/>
            </w:tcBorders>
            <w:shd w:val="clear" w:color="auto" w:fill="auto"/>
            <w:vAlign w:val="bottom"/>
          </w:tcPr>
          <w:p w14:paraId="2053A86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9102</w:t>
            </w:r>
          </w:p>
        </w:tc>
        <w:tc>
          <w:tcPr>
            <w:tcW w:w="760" w:type="dxa"/>
            <w:tcBorders>
              <w:top w:val="single" w:sz="4" w:space="0" w:color="auto"/>
              <w:left w:val="nil"/>
              <w:bottom w:val="single" w:sz="4" w:space="0" w:color="auto"/>
              <w:right w:val="nil"/>
            </w:tcBorders>
            <w:shd w:val="clear" w:color="auto" w:fill="auto"/>
            <w:vAlign w:val="bottom"/>
          </w:tcPr>
          <w:p w14:paraId="446FB32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8928</w:t>
            </w:r>
          </w:p>
        </w:tc>
        <w:tc>
          <w:tcPr>
            <w:tcW w:w="760" w:type="dxa"/>
            <w:tcBorders>
              <w:top w:val="single" w:sz="4" w:space="0" w:color="auto"/>
              <w:left w:val="nil"/>
              <w:bottom w:val="single" w:sz="4" w:space="0" w:color="auto"/>
              <w:right w:val="nil"/>
            </w:tcBorders>
            <w:shd w:val="clear" w:color="auto" w:fill="auto"/>
            <w:vAlign w:val="bottom"/>
          </w:tcPr>
          <w:p w14:paraId="0C38F38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8758</w:t>
            </w:r>
          </w:p>
        </w:tc>
        <w:tc>
          <w:tcPr>
            <w:tcW w:w="760" w:type="dxa"/>
            <w:tcBorders>
              <w:top w:val="single" w:sz="4" w:space="0" w:color="auto"/>
              <w:left w:val="nil"/>
              <w:bottom w:val="single" w:sz="4" w:space="0" w:color="auto"/>
              <w:right w:val="nil"/>
            </w:tcBorders>
            <w:shd w:val="clear" w:color="auto" w:fill="auto"/>
            <w:vAlign w:val="bottom"/>
          </w:tcPr>
          <w:p w14:paraId="7FE34E6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8594</w:t>
            </w:r>
          </w:p>
        </w:tc>
        <w:tc>
          <w:tcPr>
            <w:tcW w:w="760" w:type="dxa"/>
            <w:tcBorders>
              <w:top w:val="single" w:sz="4" w:space="0" w:color="auto"/>
              <w:left w:val="nil"/>
              <w:bottom w:val="single" w:sz="4" w:space="0" w:color="auto"/>
              <w:right w:val="nil"/>
            </w:tcBorders>
            <w:shd w:val="clear" w:color="auto" w:fill="auto"/>
            <w:vAlign w:val="bottom"/>
          </w:tcPr>
          <w:p w14:paraId="4E43560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8434</w:t>
            </w:r>
          </w:p>
        </w:tc>
      </w:tr>
      <w:tr w:rsidR="006E6F25" w:rsidRPr="006E6F25" w14:paraId="4C59E0DA" w14:textId="77777777" w:rsidTr="00EB783E">
        <w:tc>
          <w:tcPr>
            <w:tcW w:w="596" w:type="dxa"/>
            <w:tcBorders>
              <w:top w:val="single" w:sz="4" w:space="0" w:color="auto"/>
              <w:bottom w:val="single" w:sz="4" w:space="0" w:color="auto"/>
            </w:tcBorders>
            <w:shd w:val="clear" w:color="auto" w:fill="auto"/>
          </w:tcPr>
          <w:p w14:paraId="7709F241" w14:textId="77777777" w:rsidR="006E6F25" w:rsidRPr="0031545C" w:rsidRDefault="006E6F25" w:rsidP="006E6F25">
            <w:pPr>
              <w:pStyle w:val="Tabletext"/>
            </w:pPr>
            <w:r w:rsidRPr="0031545C">
              <w:t>77</w:t>
            </w:r>
          </w:p>
        </w:tc>
        <w:tc>
          <w:tcPr>
            <w:tcW w:w="878" w:type="dxa"/>
            <w:tcBorders>
              <w:top w:val="single" w:sz="4" w:space="0" w:color="auto"/>
              <w:left w:val="nil"/>
              <w:bottom w:val="single" w:sz="4" w:space="0" w:color="auto"/>
              <w:right w:val="nil"/>
            </w:tcBorders>
            <w:shd w:val="clear" w:color="auto" w:fill="auto"/>
            <w:vAlign w:val="bottom"/>
          </w:tcPr>
          <w:p w14:paraId="539FA59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9875</w:t>
            </w:r>
          </w:p>
        </w:tc>
        <w:tc>
          <w:tcPr>
            <w:tcW w:w="760" w:type="dxa"/>
            <w:tcBorders>
              <w:top w:val="single" w:sz="4" w:space="0" w:color="auto"/>
              <w:left w:val="nil"/>
              <w:bottom w:val="single" w:sz="4" w:space="0" w:color="auto"/>
              <w:right w:val="nil"/>
            </w:tcBorders>
            <w:shd w:val="clear" w:color="auto" w:fill="auto"/>
            <w:vAlign w:val="bottom"/>
          </w:tcPr>
          <w:p w14:paraId="2E9F928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9732</w:t>
            </w:r>
          </w:p>
        </w:tc>
        <w:tc>
          <w:tcPr>
            <w:tcW w:w="760" w:type="dxa"/>
            <w:tcBorders>
              <w:top w:val="single" w:sz="4" w:space="0" w:color="auto"/>
              <w:left w:val="nil"/>
              <w:bottom w:val="single" w:sz="4" w:space="0" w:color="auto"/>
              <w:right w:val="nil"/>
            </w:tcBorders>
            <w:shd w:val="clear" w:color="auto" w:fill="auto"/>
            <w:vAlign w:val="bottom"/>
          </w:tcPr>
          <w:p w14:paraId="3AC6141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9567</w:t>
            </w:r>
          </w:p>
        </w:tc>
        <w:tc>
          <w:tcPr>
            <w:tcW w:w="760" w:type="dxa"/>
            <w:tcBorders>
              <w:top w:val="single" w:sz="4" w:space="0" w:color="auto"/>
              <w:left w:val="nil"/>
              <w:bottom w:val="single" w:sz="4" w:space="0" w:color="auto"/>
              <w:right w:val="nil"/>
            </w:tcBorders>
            <w:shd w:val="clear" w:color="auto" w:fill="auto"/>
            <w:vAlign w:val="bottom"/>
          </w:tcPr>
          <w:p w14:paraId="5BFECE7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9377</w:t>
            </w:r>
          </w:p>
        </w:tc>
        <w:tc>
          <w:tcPr>
            <w:tcW w:w="760" w:type="dxa"/>
            <w:tcBorders>
              <w:top w:val="single" w:sz="4" w:space="0" w:color="auto"/>
              <w:left w:val="nil"/>
              <w:bottom w:val="single" w:sz="4" w:space="0" w:color="auto"/>
              <w:right w:val="nil"/>
            </w:tcBorders>
            <w:shd w:val="clear" w:color="auto" w:fill="auto"/>
            <w:vAlign w:val="bottom"/>
          </w:tcPr>
          <w:p w14:paraId="59447A7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9193</w:t>
            </w:r>
          </w:p>
        </w:tc>
        <w:tc>
          <w:tcPr>
            <w:tcW w:w="760" w:type="dxa"/>
            <w:tcBorders>
              <w:top w:val="single" w:sz="4" w:space="0" w:color="auto"/>
              <w:left w:val="nil"/>
              <w:bottom w:val="single" w:sz="4" w:space="0" w:color="auto"/>
              <w:right w:val="nil"/>
            </w:tcBorders>
            <w:shd w:val="clear" w:color="auto" w:fill="auto"/>
            <w:vAlign w:val="bottom"/>
          </w:tcPr>
          <w:p w14:paraId="331ACDA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9015</w:t>
            </w:r>
          </w:p>
        </w:tc>
        <w:tc>
          <w:tcPr>
            <w:tcW w:w="760" w:type="dxa"/>
            <w:tcBorders>
              <w:top w:val="single" w:sz="4" w:space="0" w:color="auto"/>
              <w:left w:val="nil"/>
              <w:bottom w:val="single" w:sz="4" w:space="0" w:color="auto"/>
              <w:right w:val="nil"/>
            </w:tcBorders>
            <w:shd w:val="clear" w:color="auto" w:fill="auto"/>
            <w:vAlign w:val="bottom"/>
          </w:tcPr>
          <w:p w14:paraId="2650F9E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8842</w:t>
            </w:r>
          </w:p>
        </w:tc>
        <w:tc>
          <w:tcPr>
            <w:tcW w:w="760" w:type="dxa"/>
            <w:tcBorders>
              <w:top w:val="single" w:sz="4" w:space="0" w:color="auto"/>
              <w:left w:val="nil"/>
              <w:bottom w:val="single" w:sz="4" w:space="0" w:color="auto"/>
              <w:right w:val="nil"/>
            </w:tcBorders>
            <w:shd w:val="clear" w:color="auto" w:fill="auto"/>
            <w:vAlign w:val="bottom"/>
          </w:tcPr>
          <w:p w14:paraId="0B90ED0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8674</w:t>
            </w:r>
          </w:p>
        </w:tc>
        <w:tc>
          <w:tcPr>
            <w:tcW w:w="760" w:type="dxa"/>
            <w:tcBorders>
              <w:top w:val="single" w:sz="4" w:space="0" w:color="auto"/>
              <w:left w:val="nil"/>
              <w:bottom w:val="single" w:sz="4" w:space="0" w:color="auto"/>
              <w:right w:val="nil"/>
            </w:tcBorders>
            <w:shd w:val="clear" w:color="auto" w:fill="auto"/>
            <w:vAlign w:val="bottom"/>
          </w:tcPr>
          <w:p w14:paraId="51E165D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8511</w:t>
            </w:r>
          </w:p>
        </w:tc>
        <w:tc>
          <w:tcPr>
            <w:tcW w:w="760" w:type="dxa"/>
            <w:tcBorders>
              <w:top w:val="single" w:sz="4" w:space="0" w:color="auto"/>
              <w:left w:val="nil"/>
              <w:bottom w:val="single" w:sz="4" w:space="0" w:color="auto"/>
              <w:right w:val="nil"/>
            </w:tcBorders>
            <w:shd w:val="clear" w:color="auto" w:fill="auto"/>
            <w:vAlign w:val="bottom"/>
          </w:tcPr>
          <w:p w14:paraId="4F0D4D4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8353</w:t>
            </w:r>
          </w:p>
        </w:tc>
      </w:tr>
      <w:tr w:rsidR="006E6F25" w:rsidRPr="006E6F25" w14:paraId="4FE5F60B" w14:textId="77777777" w:rsidTr="00EB783E">
        <w:tc>
          <w:tcPr>
            <w:tcW w:w="596" w:type="dxa"/>
            <w:tcBorders>
              <w:top w:val="single" w:sz="4" w:space="0" w:color="auto"/>
              <w:bottom w:val="single" w:sz="4" w:space="0" w:color="auto"/>
            </w:tcBorders>
            <w:shd w:val="clear" w:color="auto" w:fill="auto"/>
          </w:tcPr>
          <w:p w14:paraId="2F13D90C" w14:textId="77777777" w:rsidR="006E6F25" w:rsidRPr="0031545C" w:rsidRDefault="006E6F25" w:rsidP="006E6F25">
            <w:pPr>
              <w:pStyle w:val="Tabletext"/>
            </w:pPr>
            <w:r w:rsidRPr="0031545C">
              <w:t>78</w:t>
            </w:r>
          </w:p>
        </w:tc>
        <w:tc>
          <w:tcPr>
            <w:tcW w:w="878" w:type="dxa"/>
            <w:tcBorders>
              <w:top w:val="single" w:sz="4" w:space="0" w:color="auto"/>
              <w:left w:val="nil"/>
              <w:bottom w:val="single" w:sz="4" w:space="0" w:color="auto"/>
              <w:right w:val="nil"/>
            </w:tcBorders>
            <w:shd w:val="clear" w:color="auto" w:fill="auto"/>
            <w:vAlign w:val="bottom"/>
          </w:tcPr>
          <w:p w14:paraId="277A70A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9853</w:t>
            </w:r>
          </w:p>
        </w:tc>
        <w:tc>
          <w:tcPr>
            <w:tcW w:w="760" w:type="dxa"/>
            <w:tcBorders>
              <w:top w:val="single" w:sz="4" w:space="0" w:color="auto"/>
              <w:left w:val="nil"/>
              <w:bottom w:val="single" w:sz="4" w:space="0" w:color="auto"/>
              <w:right w:val="nil"/>
            </w:tcBorders>
            <w:shd w:val="clear" w:color="auto" w:fill="auto"/>
            <w:vAlign w:val="bottom"/>
          </w:tcPr>
          <w:p w14:paraId="1F3FD77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9685</w:t>
            </w:r>
          </w:p>
        </w:tc>
        <w:tc>
          <w:tcPr>
            <w:tcW w:w="760" w:type="dxa"/>
            <w:tcBorders>
              <w:top w:val="single" w:sz="4" w:space="0" w:color="auto"/>
              <w:left w:val="nil"/>
              <w:bottom w:val="single" w:sz="4" w:space="0" w:color="auto"/>
              <w:right w:val="nil"/>
            </w:tcBorders>
            <w:shd w:val="clear" w:color="auto" w:fill="auto"/>
            <w:vAlign w:val="bottom"/>
          </w:tcPr>
          <w:p w14:paraId="6F389C5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9490</w:t>
            </w:r>
          </w:p>
        </w:tc>
        <w:tc>
          <w:tcPr>
            <w:tcW w:w="760" w:type="dxa"/>
            <w:tcBorders>
              <w:top w:val="single" w:sz="4" w:space="0" w:color="auto"/>
              <w:left w:val="nil"/>
              <w:bottom w:val="single" w:sz="4" w:space="0" w:color="auto"/>
              <w:right w:val="nil"/>
            </w:tcBorders>
            <w:shd w:val="clear" w:color="auto" w:fill="auto"/>
            <w:vAlign w:val="bottom"/>
          </w:tcPr>
          <w:p w14:paraId="69D24F01"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9302</w:t>
            </w:r>
          </w:p>
        </w:tc>
        <w:tc>
          <w:tcPr>
            <w:tcW w:w="760" w:type="dxa"/>
            <w:tcBorders>
              <w:top w:val="single" w:sz="4" w:space="0" w:color="auto"/>
              <w:left w:val="nil"/>
              <w:bottom w:val="single" w:sz="4" w:space="0" w:color="auto"/>
              <w:right w:val="nil"/>
            </w:tcBorders>
            <w:shd w:val="clear" w:color="auto" w:fill="auto"/>
            <w:vAlign w:val="bottom"/>
          </w:tcPr>
          <w:p w14:paraId="442DC96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9120</w:t>
            </w:r>
          </w:p>
        </w:tc>
        <w:tc>
          <w:tcPr>
            <w:tcW w:w="760" w:type="dxa"/>
            <w:tcBorders>
              <w:top w:val="single" w:sz="4" w:space="0" w:color="auto"/>
              <w:left w:val="nil"/>
              <w:bottom w:val="single" w:sz="4" w:space="0" w:color="auto"/>
              <w:right w:val="nil"/>
            </w:tcBorders>
            <w:shd w:val="clear" w:color="auto" w:fill="auto"/>
            <w:vAlign w:val="bottom"/>
          </w:tcPr>
          <w:p w14:paraId="2B937D4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8943</w:t>
            </w:r>
          </w:p>
        </w:tc>
        <w:tc>
          <w:tcPr>
            <w:tcW w:w="760" w:type="dxa"/>
            <w:tcBorders>
              <w:top w:val="single" w:sz="4" w:space="0" w:color="auto"/>
              <w:left w:val="nil"/>
              <w:bottom w:val="single" w:sz="4" w:space="0" w:color="auto"/>
              <w:right w:val="nil"/>
            </w:tcBorders>
            <w:shd w:val="clear" w:color="auto" w:fill="auto"/>
            <w:vAlign w:val="bottom"/>
          </w:tcPr>
          <w:p w14:paraId="543A1456"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8771</w:t>
            </w:r>
          </w:p>
        </w:tc>
        <w:tc>
          <w:tcPr>
            <w:tcW w:w="760" w:type="dxa"/>
            <w:tcBorders>
              <w:top w:val="single" w:sz="4" w:space="0" w:color="auto"/>
              <w:left w:val="nil"/>
              <w:bottom w:val="single" w:sz="4" w:space="0" w:color="auto"/>
              <w:right w:val="nil"/>
            </w:tcBorders>
            <w:shd w:val="clear" w:color="auto" w:fill="auto"/>
            <w:vAlign w:val="bottom"/>
          </w:tcPr>
          <w:p w14:paraId="532B17A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8605</w:t>
            </w:r>
          </w:p>
        </w:tc>
        <w:tc>
          <w:tcPr>
            <w:tcW w:w="760" w:type="dxa"/>
            <w:tcBorders>
              <w:top w:val="single" w:sz="4" w:space="0" w:color="auto"/>
              <w:left w:val="nil"/>
              <w:bottom w:val="single" w:sz="4" w:space="0" w:color="auto"/>
              <w:right w:val="nil"/>
            </w:tcBorders>
            <w:shd w:val="clear" w:color="auto" w:fill="auto"/>
            <w:vAlign w:val="bottom"/>
          </w:tcPr>
          <w:p w14:paraId="37368D6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8443</w:t>
            </w:r>
          </w:p>
        </w:tc>
        <w:tc>
          <w:tcPr>
            <w:tcW w:w="760" w:type="dxa"/>
            <w:tcBorders>
              <w:top w:val="single" w:sz="4" w:space="0" w:color="auto"/>
              <w:left w:val="nil"/>
              <w:bottom w:val="single" w:sz="4" w:space="0" w:color="auto"/>
              <w:right w:val="nil"/>
            </w:tcBorders>
            <w:shd w:val="clear" w:color="auto" w:fill="auto"/>
            <w:vAlign w:val="bottom"/>
          </w:tcPr>
          <w:p w14:paraId="42DA687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8287</w:t>
            </w:r>
          </w:p>
        </w:tc>
      </w:tr>
      <w:tr w:rsidR="006E6F25" w:rsidRPr="006E6F25" w14:paraId="0DE9F69A" w14:textId="77777777" w:rsidTr="00EB783E">
        <w:tc>
          <w:tcPr>
            <w:tcW w:w="596" w:type="dxa"/>
            <w:tcBorders>
              <w:top w:val="single" w:sz="4" w:space="0" w:color="auto"/>
              <w:bottom w:val="single" w:sz="4" w:space="0" w:color="auto"/>
            </w:tcBorders>
            <w:shd w:val="clear" w:color="auto" w:fill="auto"/>
          </w:tcPr>
          <w:p w14:paraId="441CDDE9" w14:textId="77777777" w:rsidR="006E6F25" w:rsidRPr="0031545C" w:rsidRDefault="006E6F25" w:rsidP="006E6F25">
            <w:pPr>
              <w:pStyle w:val="Tabletext"/>
            </w:pPr>
            <w:r w:rsidRPr="0031545C">
              <w:t>79</w:t>
            </w:r>
          </w:p>
        </w:tc>
        <w:tc>
          <w:tcPr>
            <w:tcW w:w="878" w:type="dxa"/>
            <w:tcBorders>
              <w:top w:val="single" w:sz="4" w:space="0" w:color="auto"/>
              <w:left w:val="nil"/>
              <w:bottom w:val="single" w:sz="4" w:space="0" w:color="auto"/>
              <w:right w:val="nil"/>
            </w:tcBorders>
            <w:shd w:val="clear" w:color="auto" w:fill="auto"/>
            <w:vAlign w:val="bottom"/>
          </w:tcPr>
          <w:p w14:paraId="227A0C49"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9827</w:t>
            </w:r>
          </w:p>
        </w:tc>
        <w:tc>
          <w:tcPr>
            <w:tcW w:w="760" w:type="dxa"/>
            <w:tcBorders>
              <w:top w:val="single" w:sz="4" w:space="0" w:color="auto"/>
              <w:left w:val="nil"/>
              <w:bottom w:val="single" w:sz="4" w:space="0" w:color="auto"/>
              <w:right w:val="nil"/>
            </w:tcBorders>
            <w:shd w:val="clear" w:color="auto" w:fill="auto"/>
            <w:vAlign w:val="bottom"/>
          </w:tcPr>
          <w:p w14:paraId="3F3621C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9628</w:t>
            </w:r>
          </w:p>
        </w:tc>
        <w:tc>
          <w:tcPr>
            <w:tcW w:w="760" w:type="dxa"/>
            <w:tcBorders>
              <w:top w:val="single" w:sz="4" w:space="0" w:color="auto"/>
              <w:left w:val="nil"/>
              <w:bottom w:val="single" w:sz="4" w:space="0" w:color="auto"/>
              <w:right w:val="nil"/>
            </w:tcBorders>
            <w:shd w:val="clear" w:color="auto" w:fill="auto"/>
            <w:vAlign w:val="bottom"/>
          </w:tcPr>
          <w:p w14:paraId="1ABB10F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9435</w:t>
            </w:r>
          </w:p>
        </w:tc>
        <w:tc>
          <w:tcPr>
            <w:tcW w:w="760" w:type="dxa"/>
            <w:tcBorders>
              <w:top w:val="single" w:sz="4" w:space="0" w:color="auto"/>
              <w:left w:val="nil"/>
              <w:bottom w:val="single" w:sz="4" w:space="0" w:color="auto"/>
              <w:right w:val="nil"/>
            </w:tcBorders>
            <w:shd w:val="clear" w:color="auto" w:fill="auto"/>
            <w:vAlign w:val="bottom"/>
          </w:tcPr>
          <w:p w14:paraId="15875BC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9248</w:t>
            </w:r>
          </w:p>
        </w:tc>
        <w:tc>
          <w:tcPr>
            <w:tcW w:w="760" w:type="dxa"/>
            <w:tcBorders>
              <w:top w:val="single" w:sz="4" w:space="0" w:color="auto"/>
              <w:left w:val="nil"/>
              <w:bottom w:val="single" w:sz="4" w:space="0" w:color="auto"/>
              <w:right w:val="nil"/>
            </w:tcBorders>
            <w:shd w:val="clear" w:color="auto" w:fill="auto"/>
            <w:vAlign w:val="bottom"/>
          </w:tcPr>
          <w:p w14:paraId="04D8BF08"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9066</w:t>
            </w:r>
          </w:p>
        </w:tc>
        <w:tc>
          <w:tcPr>
            <w:tcW w:w="760" w:type="dxa"/>
            <w:tcBorders>
              <w:top w:val="single" w:sz="4" w:space="0" w:color="auto"/>
              <w:left w:val="nil"/>
              <w:bottom w:val="single" w:sz="4" w:space="0" w:color="auto"/>
              <w:right w:val="nil"/>
            </w:tcBorders>
            <w:shd w:val="clear" w:color="auto" w:fill="auto"/>
            <w:vAlign w:val="bottom"/>
          </w:tcPr>
          <w:p w14:paraId="0A25524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8890</w:t>
            </w:r>
          </w:p>
        </w:tc>
        <w:tc>
          <w:tcPr>
            <w:tcW w:w="760" w:type="dxa"/>
            <w:tcBorders>
              <w:top w:val="single" w:sz="4" w:space="0" w:color="auto"/>
              <w:left w:val="nil"/>
              <w:bottom w:val="single" w:sz="4" w:space="0" w:color="auto"/>
              <w:right w:val="nil"/>
            </w:tcBorders>
            <w:shd w:val="clear" w:color="auto" w:fill="auto"/>
            <w:vAlign w:val="bottom"/>
          </w:tcPr>
          <w:p w14:paraId="54D316E2"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8720</w:t>
            </w:r>
          </w:p>
        </w:tc>
        <w:tc>
          <w:tcPr>
            <w:tcW w:w="760" w:type="dxa"/>
            <w:tcBorders>
              <w:top w:val="single" w:sz="4" w:space="0" w:color="auto"/>
              <w:left w:val="nil"/>
              <w:bottom w:val="single" w:sz="4" w:space="0" w:color="auto"/>
              <w:right w:val="nil"/>
            </w:tcBorders>
            <w:shd w:val="clear" w:color="auto" w:fill="auto"/>
            <w:vAlign w:val="bottom"/>
          </w:tcPr>
          <w:p w14:paraId="4121BDC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8554</w:t>
            </w:r>
          </w:p>
        </w:tc>
        <w:tc>
          <w:tcPr>
            <w:tcW w:w="760" w:type="dxa"/>
            <w:tcBorders>
              <w:top w:val="single" w:sz="4" w:space="0" w:color="auto"/>
              <w:left w:val="nil"/>
              <w:bottom w:val="single" w:sz="4" w:space="0" w:color="auto"/>
              <w:right w:val="nil"/>
            </w:tcBorders>
            <w:shd w:val="clear" w:color="auto" w:fill="auto"/>
            <w:vAlign w:val="bottom"/>
          </w:tcPr>
          <w:p w14:paraId="467B82A5"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8394</w:t>
            </w:r>
          </w:p>
        </w:tc>
        <w:tc>
          <w:tcPr>
            <w:tcW w:w="760" w:type="dxa"/>
            <w:tcBorders>
              <w:top w:val="single" w:sz="4" w:space="0" w:color="auto"/>
              <w:left w:val="nil"/>
              <w:bottom w:val="single" w:sz="4" w:space="0" w:color="auto"/>
              <w:right w:val="nil"/>
            </w:tcBorders>
            <w:shd w:val="clear" w:color="auto" w:fill="auto"/>
            <w:vAlign w:val="bottom"/>
          </w:tcPr>
          <w:p w14:paraId="0B4FC29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8238</w:t>
            </w:r>
          </w:p>
        </w:tc>
      </w:tr>
      <w:tr w:rsidR="006E6F25" w:rsidRPr="00CE6CA4" w14:paraId="2D2E5D99" w14:textId="77777777" w:rsidTr="005A0C5E">
        <w:tc>
          <w:tcPr>
            <w:tcW w:w="596" w:type="dxa"/>
            <w:tcBorders>
              <w:top w:val="single" w:sz="4" w:space="0" w:color="auto"/>
              <w:bottom w:val="single" w:sz="12" w:space="0" w:color="auto"/>
            </w:tcBorders>
            <w:shd w:val="clear" w:color="auto" w:fill="auto"/>
          </w:tcPr>
          <w:p w14:paraId="63A62532" w14:textId="77777777" w:rsidR="006E6F25" w:rsidRPr="0031545C" w:rsidRDefault="006E6F25" w:rsidP="006E6F25">
            <w:pPr>
              <w:pStyle w:val="Tabletext"/>
            </w:pPr>
            <w:r w:rsidRPr="0031545C">
              <w:t>80</w:t>
            </w:r>
          </w:p>
        </w:tc>
        <w:tc>
          <w:tcPr>
            <w:tcW w:w="878" w:type="dxa"/>
            <w:tcBorders>
              <w:top w:val="single" w:sz="4" w:space="0" w:color="auto"/>
              <w:left w:val="nil"/>
              <w:bottom w:val="single" w:sz="12" w:space="0" w:color="auto"/>
              <w:right w:val="nil"/>
            </w:tcBorders>
            <w:shd w:val="clear" w:color="auto" w:fill="auto"/>
            <w:vAlign w:val="bottom"/>
          </w:tcPr>
          <w:p w14:paraId="77EDD24B"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9795</w:t>
            </w:r>
          </w:p>
        </w:tc>
        <w:tc>
          <w:tcPr>
            <w:tcW w:w="760" w:type="dxa"/>
            <w:tcBorders>
              <w:top w:val="single" w:sz="4" w:space="0" w:color="auto"/>
              <w:left w:val="nil"/>
              <w:bottom w:val="single" w:sz="12" w:space="0" w:color="auto"/>
              <w:right w:val="nil"/>
            </w:tcBorders>
            <w:shd w:val="clear" w:color="auto" w:fill="auto"/>
            <w:vAlign w:val="bottom"/>
          </w:tcPr>
          <w:p w14:paraId="79A96CFF"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9597</w:t>
            </w:r>
          </w:p>
        </w:tc>
        <w:tc>
          <w:tcPr>
            <w:tcW w:w="760" w:type="dxa"/>
            <w:tcBorders>
              <w:top w:val="single" w:sz="4" w:space="0" w:color="auto"/>
              <w:left w:val="nil"/>
              <w:bottom w:val="single" w:sz="12" w:space="0" w:color="auto"/>
              <w:right w:val="nil"/>
            </w:tcBorders>
            <w:shd w:val="clear" w:color="auto" w:fill="auto"/>
            <w:vAlign w:val="bottom"/>
          </w:tcPr>
          <w:p w14:paraId="73C7664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9404</w:t>
            </w:r>
          </w:p>
        </w:tc>
        <w:tc>
          <w:tcPr>
            <w:tcW w:w="760" w:type="dxa"/>
            <w:tcBorders>
              <w:top w:val="single" w:sz="4" w:space="0" w:color="auto"/>
              <w:left w:val="nil"/>
              <w:bottom w:val="single" w:sz="12" w:space="0" w:color="auto"/>
              <w:right w:val="nil"/>
            </w:tcBorders>
            <w:shd w:val="clear" w:color="auto" w:fill="auto"/>
            <w:vAlign w:val="bottom"/>
          </w:tcPr>
          <w:p w14:paraId="43AA8994"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9218</w:t>
            </w:r>
          </w:p>
        </w:tc>
        <w:tc>
          <w:tcPr>
            <w:tcW w:w="760" w:type="dxa"/>
            <w:tcBorders>
              <w:top w:val="single" w:sz="4" w:space="0" w:color="auto"/>
              <w:left w:val="nil"/>
              <w:bottom w:val="single" w:sz="12" w:space="0" w:color="auto"/>
              <w:right w:val="nil"/>
            </w:tcBorders>
            <w:shd w:val="clear" w:color="auto" w:fill="auto"/>
            <w:vAlign w:val="bottom"/>
          </w:tcPr>
          <w:p w14:paraId="006CD500"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9037</w:t>
            </w:r>
          </w:p>
        </w:tc>
        <w:tc>
          <w:tcPr>
            <w:tcW w:w="760" w:type="dxa"/>
            <w:tcBorders>
              <w:top w:val="single" w:sz="4" w:space="0" w:color="auto"/>
              <w:left w:val="nil"/>
              <w:bottom w:val="single" w:sz="12" w:space="0" w:color="auto"/>
              <w:right w:val="nil"/>
            </w:tcBorders>
            <w:shd w:val="clear" w:color="auto" w:fill="auto"/>
            <w:vAlign w:val="bottom"/>
          </w:tcPr>
          <w:p w14:paraId="6A34197E"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8862</w:t>
            </w:r>
          </w:p>
        </w:tc>
        <w:tc>
          <w:tcPr>
            <w:tcW w:w="760" w:type="dxa"/>
            <w:tcBorders>
              <w:top w:val="single" w:sz="4" w:space="0" w:color="auto"/>
              <w:left w:val="nil"/>
              <w:bottom w:val="single" w:sz="12" w:space="0" w:color="auto"/>
              <w:right w:val="nil"/>
            </w:tcBorders>
            <w:shd w:val="clear" w:color="auto" w:fill="auto"/>
            <w:vAlign w:val="bottom"/>
          </w:tcPr>
          <w:p w14:paraId="6BC2F553"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8692</w:t>
            </w:r>
          </w:p>
        </w:tc>
        <w:tc>
          <w:tcPr>
            <w:tcW w:w="760" w:type="dxa"/>
            <w:tcBorders>
              <w:top w:val="single" w:sz="4" w:space="0" w:color="auto"/>
              <w:left w:val="nil"/>
              <w:bottom w:val="single" w:sz="12" w:space="0" w:color="auto"/>
              <w:right w:val="nil"/>
            </w:tcBorders>
            <w:shd w:val="clear" w:color="auto" w:fill="auto"/>
            <w:vAlign w:val="bottom"/>
          </w:tcPr>
          <w:p w14:paraId="314A74CD"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8527</w:t>
            </w:r>
          </w:p>
        </w:tc>
        <w:tc>
          <w:tcPr>
            <w:tcW w:w="760" w:type="dxa"/>
            <w:tcBorders>
              <w:top w:val="single" w:sz="4" w:space="0" w:color="auto"/>
              <w:left w:val="nil"/>
              <w:bottom w:val="single" w:sz="12" w:space="0" w:color="auto"/>
              <w:right w:val="nil"/>
            </w:tcBorders>
            <w:shd w:val="clear" w:color="auto" w:fill="auto"/>
            <w:vAlign w:val="bottom"/>
          </w:tcPr>
          <w:p w14:paraId="106FBBDC"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8367</w:t>
            </w:r>
          </w:p>
        </w:tc>
        <w:tc>
          <w:tcPr>
            <w:tcW w:w="760" w:type="dxa"/>
            <w:tcBorders>
              <w:top w:val="single" w:sz="4" w:space="0" w:color="auto"/>
              <w:left w:val="nil"/>
              <w:bottom w:val="single" w:sz="12" w:space="0" w:color="auto"/>
              <w:right w:val="nil"/>
            </w:tcBorders>
            <w:shd w:val="clear" w:color="auto" w:fill="auto"/>
            <w:vAlign w:val="bottom"/>
          </w:tcPr>
          <w:p w14:paraId="2986A32A" w14:textId="77777777" w:rsidR="006E6F25" w:rsidRPr="005A0C5E" w:rsidRDefault="006E6F25" w:rsidP="006E6F25">
            <w:pPr>
              <w:pStyle w:val="Tabletext"/>
              <w:rPr>
                <w:sz w:val="18"/>
                <w:szCs w:val="18"/>
              </w:rPr>
            </w:pPr>
            <w:r w:rsidRPr="005A0C5E">
              <w:rPr>
                <w:sz w:val="18"/>
                <w:szCs w:val="18"/>
              </w:rPr>
              <w:t>0</w:t>
            </w:r>
            <w:r w:rsidR="00D7157D">
              <w:rPr>
                <w:sz w:val="18"/>
                <w:szCs w:val="18"/>
              </w:rPr>
              <w:t>.</w:t>
            </w:r>
            <w:r w:rsidRPr="005A0C5E">
              <w:rPr>
                <w:sz w:val="18"/>
                <w:szCs w:val="18"/>
              </w:rPr>
              <w:t>8211</w:t>
            </w:r>
          </w:p>
        </w:tc>
      </w:tr>
    </w:tbl>
    <w:p w14:paraId="66C97A2A" w14:textId="77777777" w:rsidR="006E6F25" w:rsidRPr="003B33C0" w:rsidRDefault="0022507A" w:rsidP="003B33C0">
      <w:pPr>
        <w:pStyle w:val="ActHead5"/>
      </w:pPr>
      <w:bookmarkStart w:id="324" w:name="_Toc188350800"/>
      <w:r w:rsidRPr="00423C34">
        <w:rPr>
          <w:rStyle w:val="CharSectno"/>
        </w:rPr>
        <w:t>19</w:t>
      </w:r>
      <w:r w:rsidR="003B33C0">
        <w:t xml:space="preserve">  Meaning of </w:t>
      </w:r>
      <w:r w:rsidR="003B33C0" w:rsidRPr="003B33C0">
        <w:rPr>
          <w:i/>
        </w:rPr>
        <w:t>pension valuation factor</w:t>
      </w:r>
      <w:bookmarkEnd w:id="324"/>
    </w:p>
    <w:p w14:paraId="5A609751" w14:textId="77777777" w:rsidR="003B33C0" w:rsidRDefault="003B33C0" w:rsidP="003B33C0">
      <w:pPr>
        <w:pStyle w:val="subsection"/>
      </w:pPr>
      <w:r>
        <w:tab/>
      </w:r>
      <w:r>
        <w:tab/>
        <w:t xml:space="preserve">For the purposes of </w:t>
      </w:r>
      <w:r w:rsidR="00B05FD6">
        <w:t>clause </w:t>
      </w:r>
      <w:r w:rsidR="0022507A">
        <w:t>16</w:t>
      </w:r>
      <w:r>
        <w:t xml:space="preserve">, </w:t>
      </w:r>
      <w:r w:rsidR="0014689D" w:rsidRPr="0016520A">
        <w:rPr>
          <w:b/>
          <w:i/>
        </w:rPr>
        <w:t>P2</w:t>
      </w:r>
      <w:r w:rsidR="0014689D" w:rsidRPr="0016520A">
        <w:rPr>
          <w:b/>
          <w:i/>
          <w:vertAlign w:val="subscript"/>
        </w:rPr>
        <w:t>z+v</w:t>
      </w:r>
      <w:r w:rsidR="0014689D">
        <w:t xml:space="preserve"> </w:t>
      </w:r>
      <w:r>
        <w:t>is:</w:t>
      </w:r>
    </w:p>
    <w:p w14:paraId="4699D425" w14:textId="77427ACB" w:rsidR="0014689D" w:rsidRPr="000E7397" w:rsidRDefault="00493504" w:rsidP="000E7397">
      <w:pPr>
        <w:pStyle w:val="subsection2"/>
      </w:pPr>
      <w:r w:rsidRPr="000E7397">
        <w:rPr>
          <w:position w:val="-32"/>
        </w:rPr>
        <w:object w:dxaOrig="2960" w:dyaOrig="960" w14:anchorId="544721F0">
          <v:shape id="_x0000_i1090" type="#_x0000_t75" alt="Start formula start fraction open bracket P2 subscript z times open bracket 12 minus v close bracket close bracket plus open bracket P2 subscript z subscript plus subscript 1 times v close bracket over 12 end fraction end formula" style="width:148.6pt;height:48.15pt" o:ole="">
            <v:imagedata r:id="rId166" o:title=""/>
          </v:shape>
          <o:OLEObject Type="Embed" ProgID="Equation.DSMT4" ShapeID="_x0000_i1090" DrawAspect="Content" ObjectID="_1801634319" r:id="rId167"/>
        </w:object>
      </w:r>
    </w:p>
    <w:p w14:paraId="166C617E" w14:textId="77777777" w:rsidR="00925156" w:rsidRDefault="000E7397" w:rsidP="000E7397">
      <w:pPr>
        <w:pStyle w:val="subsection2"/>
      </w:pPr>
      <w:r>
        <w:t>where:</w:t>
      </w:r>
    </w:p>
    <w:p w14:paraId="415E0D02" w14:textId="537B8B36" w:rsidR="00166CFB" w:rsidRDefault="00166CFB" w:rsidP="00166CFB">
      <w:pPr>
        <w:pStyle w:val="Definition"/>
      </w:pPr>
      <w:bookmarkStart w:id="325" w:name="_Hlk147781516"/>
      <w:r w:rsidRPr="0016520A">
        <w:rPr>
          <w:b/>
          <w:i/>
        </w:rPr>
        <w:t>P2</w:t>
      </w:r>
      <w:r w:rsidRPr="0016520A">
        <w:rPr>
          <w:b/>
          <w:i/>
          <w:vertAlign w:val="subscript"/>
        </w:rPr>
        <w:t>z</w:t>
      </w:r>
      <w:r>
        <w:t xml:space="preserve"> means</w:t>
      </w:r>
      <w:r w:rsidRPr="00A058B6">
        <w:t xml:space="preserve"> </w:t>
      </w:r>
      <w:r>
        <w:t>the</w:t>
      </w:r>
      <w:r w:rsidRPr="00DB7A21">
        <w:t xml:space="preserve"> pension valuation factor that </w:t>
      </w:r>
      <w:r>
        <w:t>would apply if:</w:t>
      </w:r>
    </w:p>
    <w:p w14:paraId="78741974" w14:textId="50BEDE8B" w:rsidR="00166CFB" w:rsidRDefault="00166CFB" w:rsidP="00166CFB">
      <w:pPr>
        <w:pStyle w:val="paragraph"/>
      </w:pPr>
      <w:r>
        <w:tab/>
        <w:t>(a)</w:t>
      </w:r>
      <w:r>
        <w:tab/>
      </w:r>
      <w:r w:rsidR="00417EE2">
        <w:t xml:space="preserve">it were assumed that </w:t>
      </w:r>
      <w:r w:rsidR="00AB0143">
        <w:t>Part 2</w:t>
      </w:r>
      <w:r>
        <w:t xml:space="preserve"> appl</w:t>
      </w:r>
      <w:r w:rsidR="00417EE2">
        <w:t>ies</w:t>
      </w:r>
      <w:r>
        <w:t xml:space="preserve"> to the pension; and</w:t>
      </w:r>
    </w:p>
    <w:p w14:paraId="59E4597E" w14:textId="07731438" w:rsidR="00166CFB" w:rsidRPr="00EB6127" w:rsidRDefault="00166CFB" w:rsidP="00166CFB">
      <w:pPr>
        <w:pStyle w:val="paragraph"/>
      </w:pPr>
      <w:r>
        <w:tab/>
        <w:t>(b)</w:t>
      </w:r>
      <w:r>
        <w:tab/>
        <w:t xml:space="preserve">for the purposes of whichever of </w:t>
      </w:r>
      <w:r w:rsidR="00453C86">
        <w:t>clauses 4</w:t>
      </w:r>
      <w:r>
        <w:t xml:space="preserve"> to 12 that would </w:t>
      </w:r>
      <w:r w:rsidR="00417EE2">
        <w:t xml:space="preserve">then </w:t>
      </w:r>
      <w:r>
        <w:t xml:space="preserve">so apply to the pension, </w:t>
      </w:r>
      <w:r w:rsidR="00417EE2">
        <w:t xml:space="preserve">it were assumed that </w:t>
      </w:r>
      <w:r>
        <w:t>the member spouse’s age at the relevant date (in completed years) were</w:t>
      </w:r>
      <w:r w:rsidR="004931C4">
        <w:t xml:space="preserve"> z</w:t>
      </w:r>
      <w:r>
        <w:rPr>
          <w:szCs w:val="24"/>
        </w:rPr>
        <w:t>.</w:t>
      </w:r>
    </w:p>
    <w:bookmarkEnd w:id="325"/>
    <w:p w14:paraId="59CDB83C" w14:textId="77777777" w:rsidR="00417EE2" w:rsidRDefault="00417EE2" w:rsidP="00417EE2">
      <w:pPr>
        <w:pStyle w:val="Definition"/>
      </w:pPr>
      <w:r w:rsidRPr="0016520A">
        <w:rPr>
          <w:b/>
          <w:i/>
        </w:rPr>
        <w:t>P2</w:t>
      </w:r>
      <w:r w:rsidRPr="0016520A">
        <w:rPr>
          <w:b/>
          <w:i/>
          <w:vertAlign w:val="subscript"/>
        </w:rPr>
        <w:t>z</w:t>
      </w:r>
      <w:r>
        <w:rPr>
          <w:b/>
          <w:i/>
          <w:vertAlign w:val="subscript"/>
        </w:rPr>
        <w:t>+1</w:t>
      </w:r>
      <w:r>
        <w:t xml:space="preserve"> means</w:t>
      </w:r>
      <w:r w:rsidRPr="00A058B6">
        <w:t xml:space="preserve"> </w:t>
      </w:r>
      <w:r>
        <w:t>the</w:t>
      </w:r>
      <w:r w:rsidRPr="00DB7A21">
        <w:t xml:space="preserve"> pension valuation factor that </w:t>
      </w:r>
      <w:r>
        <w:t>would apply if:</w:t>
      </w:r>
    </w:p>
    <w:p w14:paraId="4167577B" w14:textId="46A920F0" w:rsidR="00417EE2" w:rsidRDefault="00417EE2" w:rsidP="00417EE2">
      <w:pPr>
        <w:pStyle w:val="paragraph"/>
      </w:pPr>
      <w:r>
        <w:tab/>
        <w:t>(a)</w:t>
      </w:r>
      <w:r>
        <w:tab/>
        <w:t xml:space="preserve">it were assumed that </w:t>
      </w:r>
      <w:r w:rsidR="00AB0143">
        <w:t>Part 2</w:t>
      </w:r>
      <w:r>
        <w:t xml:space="preserve"> applies to the pension; and</w:t>
      </w:r>
    </w:p>
    <w:p w14:paraId="5B6FF0FB" w14:textId="1536E671" w:rsidR="00417EE2" w:rsidRPr="00EB6127" w:rsidRDefault="00417EE2" w:rsidP="00417EE2">
      <w:pPr>
        <w:pStyle w:val="paragraph"/>
      </w:pPr>
      <w:r>
        <w:tab/>
        <w:t>(b)</w:t>
      </w:r>
      <w:r>
        <w:tab/>
        <w:t xml:space="preserve">for the purposes of whichever of </w:t>
      </w:r>
      <w:r w:rsidR="00453C86">
        <w:t>clauses 4</w:t>
      </w:r>
      <w:r>
        <w:t xml:space="preserve"> to 12 that would then so apply to the pension, it were assumed that the member spouse’s age at the relevant date (in completed years) were the sum of z and 1</w:t>
      </w:r>
      <w:r>
        <w:rPr>
          <w:szCs w:val="24"/>
        </w:rPr>
        <w:t>.</w:t>
      </w:r>
    </w:p>
    <w:p w14:paraId="52F3C84F" w14:textId="77777777" w:rsidR="00A56CE8" w:rsidRPr="00BD3C21" w:rsidRDefault="00A56CE8" w:rsidP="00A56CE8">
      <w:pPr>
        <w:pStyle w:val="Definition"/>
      </w:pPr>
      <m:oMath>
        <m:r>
          <m:rPr>
            <m:sty m:val="bi"/>
          </m:rPr>
          <w:rPr>
            <w:rFonts w:ascii="Cambria Math" w:hAnsi="Cambria Math"/>
          </w:rPr>
          <m:t>z</m:t>
        </m:r>
      </m:oMath>
      <w:r w:rsidRPr="00BD3C21">
        <w:t xml:space="preserve"> is</w:t>
      </w:r>
      <w:r w:rsidR="00773048">
        <w:t xml:space="preserve"> equal to</w:t>
      </w:r>
      <w:r w:rsidR="00012DEF">
        <w:t xml:space="preserve"> one of the following</w:t>
      </w:r>
      <w:r w:rsidRPr="00BD3C21">
        <w:t>:</w:t>
      </w:r>
    </w:p>
    <w:p w14:paraId="6D585FBB" w14:textId="77777777" w:rsidR="00012DEF" w:rsidRDefault="00773048" w:rsidP="00773048">
      <w:pPr>
        <w:pStyle w:val="paragraph"/>
      </w:pPr>
      <w:r>
        <w:tab/>
        <w:t>(a)</w:t>
      </w:r>
      <w:r>
        <w:tab/>
        <w:t>i</w:t>
      </w:r>
      <w:r w:rsidR="00A56CE8" w:rsidRPr="00BD3C21">
        <w:t>f</w:t>
      </w:r>
      <w:r>
        <w:t xml:space="preserve"> </w:t>
      </w:r>
      <w:r w:rsidR="000A4480">
        <w:t xml:space="preserve">the sum of t and m is greater </w:t>
      </w:r>
      <w:r w:rsidR="00012DEF">
        <w:t xml:space="preserve">than </w:t>
      </w:r>
      <w:r w:rsidR="000A4480">
        <w:t xml:space="preserve">or equal </w:t>
      </w:r>
      <w:r>
        <w:t>t</w:t>
      </w:r>
      <w:r w:rsidR="00012DEF">
        <w:t>o 12—the sum of x, y and 1;</w:t>
      </w:r>
    </w:p>
    <w:p w14:paraId="725D6B63" w14:textId="77777777" w:rsidR="00012DEF" w:rsidRDefault="00012DEF" w:rsidP="00773048">
      <w:pPr>
        <w:pStyle w:val="paragraph"/>
      </w:pPr>
      <w:r>
        <w:tab/>
        <w:t>(b)</w:t>
      </w:r>
      <w:r>
        <w:tab/>
        <w:t>if the sum of t and m is less than 12—the sum of x and y</w:t>
      </w:r>
      <w:r w:rsidR="00D7157D">
        <w:t>.</w:t>
      </w:r>
    </w:p>
    <w:p w14:paraId="04EDA8E2" w14:textId="77777777" w:rsidR="00C05C7A" w:rsidRPr="00BD3C21" w:rsidRDefault="00C05C7A" w:rsidP="00C05C7A">
      <w:pPr>
        <w:pStyle w:val="Definition"/>
      </w:pPr>
      <w:r w:rsidRPr="00D51042">
        <w:rPr>
          <w:b/>
          <w:i/>
        </w:rPr>
        <w:t>t</w:t>
      </w:r>
      <w:r>
        <w:t xml:space="preserve"> </w:t>
      </w:r>
      <w:r w:rsidR="00774DE4">
        <w:t>means</w:t>
      </w:r>
      <w:r w:rsidR="00774DE4" w:rsidRPr="00A058B6">
        <w:t xml:space="preserve"> </w:t>
      </w:r>
      <w:r w:rsidRPr="00BD3C21">
        <w:t>the number of completed months of the member spouse’s age that are not included in the completed years at the relevant date</w:t>
      </w:r>
      <w:r w:rsidR="00D7157D">
        <w:t>.</w:t>
      </w:r>
    </w:p>
    <w:p w14:paraId="2C749994" w14:textId="77777777" w:rsidR="00C05C7A" w:rsidRPr="00BD3C21" w:rsidRDefault="00C05C7A" w:rsidP="00C05C7A">
      <w:pPr>
        <w:pStyle w:val="Definition"/>
      </w:pPr>
      <w:r w:rsidRPr="00D51042">
        <w:rPr>
          <w:b/>
          <w:i/>
        </w:rPr>
        <w:t>m</w:t>
      </w:r>
      <w:r>
        <w:t xml:space="preserve"> </w:t>
      </w:r>
      <w:r w:rsidR="00774DE4">
        <w:t>means</w:t>
      </w:r>
      <w:r w:rsidR="00774DE4" w:rsidRPr="00A058B6">
        <w:t xml:space="preserve"> </w:t>
      </w:r>
      <w:r w:rsidRPr="00BD3C21">
        <w:t>the number of complete months of the remaining guarantee period of the pension that are not included in the remaining complete years at the relevant date</w:t>
      </w:r>
      <w:r w:rsidR="00D7157D">
        <w:t>.</w:t>
      </w:r>
    </w:p>
    <w:p w14:paraId="10349471" w14:textId="77777777" w:rsidR="008B5CA9" w:rsidRPr="00BD3C21" w:rsidRDefault="00C22D2D" w:rsidP="00BD3C21">
      <w:pPr>
        <w:pStyle w:val="Definition"/>
      </w:pPr>
      <w:r w:rsidRPr="00C22D2D">
        <w:rPr>
          <w:b/>
          <w:i/>
        </w:rPr>
        <w:t>x</w:t>
      </w:r>
      <w:r>
        <w:t xml:space="preserve"> </w:t>
      </w:r>
      <w:r w:rsidR="00774DE4">
        <w:t>means</w:t>
      </w:r>
      <w:r w:rsidR="00774DE4" w:rsidRPr="00A058B6">
        <w:t xml:space="preserve"> </w:t>
      </w:r>
      <w:r w:rsidR="008B5CA9" w:rsidRPr="00BD3C21">
        <w:t>the member spouse’s age in completed years at the relevant date</w:t>
      </w:r>
      <w:r w:rsidR="00D7157D">
        <w:t>.</w:t>
      </w:r>
    </w:p>
    <w:p w14:paraId="4C2F6614" w14:textId="77777777" w:rsidR="008B5CA9" w:rsidRPr="00BD3C21" w:rsidRDefault="00D51042" w:rsidP="00BD3C21">
      <w:pPr>
        <w:pStyle w:val="Definition"/>
      </w:pPr>
      <w:r w:rsidRPr="00D51042">
        <w:rPr>
          <w:b/>
          <w:i/>
        </w:rPr>
        <w:t>y</w:t>
      </w:r>
      <w:r>
        <w:t xml:space="preserve"> </w:t>
      </w:r>
      <w:r w:rsidR="00774DE4">
        <w:t>means</w:t>
      </w:r>
      <w:r w:rsidR="00774DE4" w:rsidRPr="00A058B6">
        <w:t xml:space="preserve"> </w:t>
      </w:r>
      <w:r w:rsidR="008B5CA9" w:rsidRPr="00BD3C21">
        <w:t>the remaining guarantee period of the pension in complete years at the relevant date</w:t>
      </w:r>
      <w:r w:rsidR="00D7157D">
        <w:t>.</w:t>
      </w:r>
    </w:p>
    <w:p w14:paraId="516BDB7D" w14:textId="77777777" w:rsidR="008B5CA9" w:rsidRDefault="006A215B" w:rsidP="00BD3C21">
      <w:pPr>
        <w:pStyle w:val="Definition"/>
        <w:rPr>
          <w:bCs/>
          <w:iCs/>
          <w:szCs w:val="24"/>
        </w:rPr>
      </w:pPr>
      <w:r w:rsidRPr="006A215B">
        <w:rPr>
          <w:b/>
          <w:i/>
        </w:rPr>
        <w:t>v</w:t>
      </w:r>
      <w:r>
        <w:t xml:space="preserve"> </w:t>
      </w:r>
      <w:r w:rsidR="008B5CA9" w:rsidRPr="00BD3C21">
        <w:t xml:space="preserve">is </w:t>
      </w:r>
      <w:r>
        <w:t>equal to one of the following</w:t>
      </w:r>
      <w:r w:rsidR="008B5CA9" w:rsidRPr="00C35E58">
        <w:rPr>
          <w:bCs/>
          <w:iCs/>
          <w:szCs w:val="24"/>
        </w:rPr>
        <w:t>:</w:t>
      </w:r>
    </w:p>
    <w:p w14:paraId="31D03C87" w14:textId="77777777" w:rsidR="006A215B" w:rsidRDefault="006A215B" w:rsidP="006A215B">
      <w:pPr>
        <w:pStyle w:val="paragraph"/>
      </w:pPr>
      <w:r>
        <w:tab/>
        <w:t>(a)</w:t>
      </w:r>
      <w:r>
        <w:tab/>
        <w:t>i</w:t>
      </w:r>
      <w:r w:rsidRPr="00BD3C21">
        <w:t>f</w:t>
      </w:r>
      <w:r>
        <w:t xml:space="preserve"> the sum of t and m is greater than or equal to 12—the </w:t>
      </w:r>
      <w:r w:rsidR="00730246">
        <w:t>result of adding</w:t>
      </w:r>
      <w:r>
        <w:t xml:space="preserve"> </w:t>
      </w:r>
      <w:r w:rsidR="00C05C7A">
        <w:t xml:space="preserve">t and m, </w:t>
      </w:r>
      <w:r w:rsidR="00730246">
        <w:t>and subtracting</w:t>
      </w:r>
      <w:r w:rsidR="00C05C7A">
        <w:t xml:space="preserve"> 12</w:t>
      </w:r>
      <w:r>
        <w:t>;</w:t>
      </w:r>
    </w:p>
    <w:p w14:paraId="1CAED306" w14:textId="77777777" w:rsidR="006A215B" w:rsidRDefault="006A215B" w:rsidP="006A215B">
      <w:pPr>
        <w:pStyle w:val="paragraph"/>
      </w:pPr>
      <w:r>
        <w:tab/>
        <w:t>(b)</w:t>
      </w:r>
      <w:r>
        <w:tab/>
        <w:t xml:space="preserve">if the sum of t and m is less than 12—the sum of </w:t>
      </w:r>
      <w:r w:rsidR="00730246">
        <w:t>t</w:t>
      </w:r>
      <w:r>
        <w:t xml:space="preserve"> and </w:t>
      </w:r>
      <w:r w:rsidR="00730246">
        <w:t>m</w:t>
      </w:r>
      <w:r w:rsidR="00D7157D">
        <w:t>.</w:t>
      </w:r>
    </w:p>
    <w:p w14:paraId="79E247B2" w14:textId="77777777" w:rsidR="001A4F6B" w:rsidRPr="003B33C0" w:rsidRDefault="0022507A" w:rsidP="001A4F6B">
      <w:pPr>
        <w:pStyle w:val="ActHead5"/>
      </w:pPr>
      <w:bookmarkStart w:id="326" w:name="_Toc188350801"/>
      <w:r w:rsidRPr="00423C34">
        <w:rPr>
          <w:rStyle w:val="CharSectno"/>
        </w:rPr>
        <w:t>20</w:t>
      </w:r>
      <w:r w:rsidR="001A4F6B">
        <w:t xml:space="preserve">  Meaning of </w:t>
      </w:r>
      <w:r w:rsidR="001A4F6B">
        <w:rPr>
          <w:i/>
        </w:rPr>
        <w:t>reversion</w:t>
      </w:r>
      <w:r w:rsidR="001A4F6B" w:rsidRPr="003B33C0">
        <w:rPr>
          <w:i/>
        </w:rPr>
        <w:t xml:space="preserve"> valuation factor</w:t>
      </w:r>
      <w:bookmarkEnd w:id="326"/>
    </w:p>
    <w:p w14:paraId="78E5728B" w14:textId="77777777" w:rsidR="001A4F6B" w:rsidRDefault="001A4F6B" w:rsidP="001A4F6B">
      <w:pPr>
        <w:pStyle w:val="subsection"/>
      </w:pPr>
      <w:r>
        <w:tab/>
      </w:r>
      <w:r>
        <w:tab/>
        <w:t xml:space="preserve">For the purposes of </w:t>
      </w:r>
      <w:r w:rsidR="00B05FD6">
        <w:t>clause </w:t>
      </w:r>
      <w:r w:rsidR="0022507A">
        <w:t>16</w:t>
      </w:r>
      <w:r>
        <w:t xml:space="preserve">, </w:t>
      </w:r>
      <w:r w:rsidR="00DD5124" w:rsidRPr="006A19A0">
        <w:rPr>
          <w:b/>
          <w:i/>
        </w:rPr>
        <w:t>R</w:t>
      </w:r>
      <w:r w:rsidR="00DD5124" w:rsidRPr="006A19A0">
        <w:rPr>
          <w:b/>
          <w:i/>
          <w:vertAlign w:val="subscript"/>
        </w:rPr>
        <w:t>z+v</w:t>
      </w:r>
      <w:r w:rsidR="00DD5124">
        <w:t xml:space="preserve"> </w:t>
      </w:r>
      <w:r>
        <w:t>is:</w:t>
      </w:r>
    </w:p>
    <w:p w14:paraId="15683A81" w14:textId="72B8F09F" w:rsidR="00DD5124" w:rsidRPr="004E38AA" w:rsidRDefault="00F04B49" w:rsidP="004E38AA">
      <w:pPr>
        <w:pStyle w:val="subsection2"/>
      </w:pPr>
      <w:r w:rsidRPr="004E38AA">
        <w:rPr>
          <w:position w:val="-32"/>
        </w:rPr>
        <w:object w:dxaOrig="2799" w:dyaOrig="960" w14:anchorId="47EDCD34">
          <v:shape id="_x0000_i1091" type="#_x0000_t75" alt="Start formula start fraction open bracket R subscript z times open bracket 12 minus v close bracket close bracket plus open bracket R subscript z subscript plus subscript 1 times v close bracket over 12 end fraction end formula" style="width:141pt;height:48pt" o:ole="">
            <v:imagedata r:id="rId168" o:title=""/>
          </v:shape>
          <o:OLEObject Type="Embed" ProgID="Equation.DSMT4" ShapeID="_x0000_i1091" DrawAspect="Content" ObjectID="_1801634320" r:id="rId169"/>
        </w:object>
      </w:r>
    </w:p>
    <w:p w14:paraId="5A993204" w14:textId="77777777" w:rsidR="001A4F6B" w:rsidRDefault="004E38AA" w:rsidP="004E38AA">
      <w:pPr>
        <w:pStyle w:val="subsection2"/>
      </w:pPr>
      <w:r>
        <w:t>where:</w:t>
      </w:r>
    </w:p>
    <w:p w14:paraId="4220A469" w14:textId="77777777" w:rsidR="00807EA0" w:rsidRDefault="00394535" w:rsidP="00807EA0">
      <w:pPr>
        <w:pStyle w:val="Definition"/>
      </w:pPr>
      <w:r w:rsidRPr="006A19A0">
        <w:rPr>
          <w:b/>
          <w:i/>
        </w:rPr>
        <w:t>R</w:t>
      </w:r>
      <w:r w:rsidRPr="006A19A0">
        <w:rPr>
          <w:b/>
          <w:i/>
          <w:vertAlign w:val="subscript"/>
        </w:rPr>
        <w:t>z</w:t>
      </w:r>
      <w:r>
        <w:t xml:space="preserve"> </w:t>
      </w:r>
      <w:r w:rsidR="00774DE4">
        <w:t>means</w:t>
      </w:r>
      <w:r w:rsidR="00774DE4" w:rsidRPr="00A058B6">
        <w:t xml:space="preserve"> </w:t>
      </w:r>
      <w:r>
        <w:t>the</w:t>
      </w:r>
      <w:r w:rsidRPr="00DB7A21">
        <w:t xml:space="preserve"> </w:t>
      </w:r>
      <w:r>
        <w:t>reversion</w:t>
      </w:r>
      <w:r w:rsidRPr="00DB7A21">
        <w:t xml:space="preserve"> valuation factor </w:t>
      </w:r>
      <w:r w:rsidR="00807EA0" w:rsidRPr="00DB7A21">
        <w:t xml:space="preserve">that </w:t>
      </w:r>
      <w:r w:rsidR="00807EA0">
        <w:t>would apply if:</w:t>
      </w:r>
    </w:p>
    <w:p w14:paraId="6632EB4B" w14:textId="7184D35C" w:rsidR="00B84661" w:rsidRDefault="00B84661" w:rsidP="00B84661">
      <w:pPr>
        <w:pStyle w:val="paragraph"/>
      </w:pPr>
      <w:r>
        <w:tab/>
        <w:t>(a)</w:t>
      </w:r>
      <w:r>
        <w:tab/>
        <w:t xml:space="preserve">it were assumed that </w:t>
      </w:r>
      <w:r w:rsidR="00AB0143">
        <w:t>Part 2</w:t>
      </w:r>
      <w:r>
        <w:t xml:space="preserve"> applies to the pension; and</w:t>
      </w:r>
    </w:p>
    <w:p w14:paraId="4A797795" w14:textId="7DAC18C1" w:rsidR="00B84661" w:rsidRPr="00EB6127" w:rsidRDefault="00B84661" w:rsidP="00B84661">
      <w:pPr>
        <w:pStyle w:val="paragraph"/>
      </w:pPr>
      <w:r>
        <w:tab/>
        <w:t>(b)</w:t>
      </w:r>
      <w:r>
        <w:tab/>
        <w:t xml:space="preserve">for the purposes of whichever of clauses 4 to 12 that would then so apply to the pension, it were assumed that the member spouse’s age at the relevant date (in completed years) were </w:t>
      </w:r>
      <w:r w:rsidR="004931C4">
        <w:t>z</w:t>
      </w:r>
      <w:r>
        <w:rPr>
          <w:szCs w:val="24"/>
        </w:rPr>
        <w:t>.</w:t>
      </w:r>
    </w:p>
    <w:p w14:paraId="7DD5A953" w14:textId="77777777" w:rsidR="00315A37" w:rsidRDefault="00807EA0" w:rsidP="00807EA0">
      <w:pPr>
        <w:pStyle w:val="Definition"/>
      </w:pPr>
      <w:r w:rsidRPr="006A19A0">
        <w:rPr>
          <w:b/>
          <w:i/>
        </w:rPr>
        <w:t>R</w:t>
      </w:r>
      <w:r w:rsidRPr="006A19A0">
        <w:rPr>
          <w:b/>
          <w:i/>
          <w:vertAlign w:val="subscript"/>
        </w:rPr>
        <w:t>z</w:t>
      </w:r>
      <w:r>
        <w:rPr>
          <w:b/>
          <w:i/>
          <w:vertAlign w:val="subscript"/>
        </w:rPr>
        <w:t>+1</w:t>
      </w:r>
      <w:r>
        <w:t xml:space="preserve"> </w:t>
      </w:r>
      <w:r w:rsidR="00774DE4">
        <w:t>means</w:t>
      </w:r>
      <w:r w:rsidR="00774DE4" w:rsidRPr="00A058B6">
        <w:t xml:space="preserve"> </w:t>
      </w:r>
      <w:r>
        <w:t>the</w:t>
      </w:r>
      <w:r w:rsidRPr="00DB7A21">
        <w:t xml:space="preserve"> </w:t>
      </w:r>
      <w:r>
        <w:t>reversion</w:t>
      </w:r>
      <w:r w:rsidRPr="00DB7A21">
        <w:t xml:space="preserve"> valuation factor </w:t>
      </w:r>
      <w:r w:rsidR="00315A37">
        <w:t>that would apply if:</w:t>
      </w:r>
    </w:p>
    <w:p w14:paraId="4CE5FE16" w14:textId="0A5F2C1E" w:rsidR="00B84661" w:rsidRDefault="00B84661" w:rsidP="00B84661">
      <w:pPr>
        <w:pStyle w:val="paragraph"/>
      </w:pPr>
      <w:r>
        <w:tab/>
        <w:t>(a)</w:t>
      </w:r>
      <w:r>
        <w:tab/>
        <w:t xml:space="preserve">it were assumed that </w:t>
      </w:r>
      <w:r w:rsidR="00AB0143">
        <w:t>Part 2</w:t>
      </w:r>
      <w:r>
        <w:t xml:space="preserve"> applies to the pension; and</w:t>
      </w:r>
    </w:p>
    <w:p w14:paraId="2E51640A" w14:textId="77777777" w:rsidR="00B84661" w:rsidRPr="00EB6127" w:rsidRDefault="00B84661" w:rsidP="00B84661">
      <w:pPr>
        <w:pStyle w:val="paragraph"/>
      </w:pPr>
      <w:r>
        <w:tab/>
        <w:t>(b)</w:t>
      </w:r>
      <w:r>
        <w:tab/>
        <w:t>for the purposes of whichever of clauses 4 to 12 that would then so apply to the pension, it were assumed that the member spouse’s age at the relevant date (in completed years) were the sum of z and 1</w:t>
      </w:r>
      <w:r>
        <w:rPr>
          <w:szCs w:val="24"/>
        </w:rPr>
        <w:t>.</w:t>
      </w:r>
    </w:p>
    <w:p w14:paraId="497F62FC" w14:textId="77777777" w:rsidR="001B7298" w:rsidRDefault="001B7298" w:rsidP="001B7298">
      <w:pPr>
        <w:pStyle w:val="Definition"/>
      </w:pPr>
      <w:r w:rsidRPr="001B7298">
        <w:rPr>
          <w:b/>
          <w:i/>
        </w:rPr>
        <w:t>z</w:t>
      </w:r>
      <w:r>
        <w:t xml:space="preserve">, </w:t>
      </w:r>
      <w:r w:rsidRPr="001B7298">
        <w:rPr>
          <w:b/>
          <w:i/>
        </w:rPr>
        <w:t>t</w:t>
      </w:r>
      <w:r>
        <w:t xml:space="preserve">, </w:t>
      </w:r>
      <w:r w:rsidRPr="001B7298">
        <w:rPr>
          <w:b/>
          <w:i/>
        </w:rPr>
        <w:t>m</w:t>
      </w:r>
      <w:r>
        <w:t xml:space="preserve">, </w:t>
      </w:r>
      <w:r w:rsidRPr="001B7298">
        <w:rPr>
          <w:b/>
          <w:i/>
        </w:rPr>
        <w:t>x</w:t>
      </w:r>
      <w:r>
        <w:t xml:space="preserve">, </w:t>
      </w:r>
      <w:r w:rsidRPr="001B7298">
        <w:rPr>
          <w:b/>
          <w:i/>
        </w:rPr>
        <w:t>y</w:t>
      </w:r>
      <w:r>
        <w:t xml:space="preserve"> and </w:t>
      </w:r>
      <w:r w:rsidRPr="001B7298">
        <w:rPr>
          <w:b/>
          <w:i/>
        </w:rPr>
        <w:t>v</w:t>
      </w:r>
      <w:r>
        <w:t xml:space="preserve"> have the same meanings as in </w:t>
      </w:r>
      <w:r w:rsidR="00B05FD6">
        <w:t>clause </w:t>
      </w:r>
      <w:r w:rsidR="0022507A">
        <w:t>19</w:t>
      </w:r>
      <w:r w:rsidR="00D7157D">
        <w:t>.</w:t>
      </w:r>
    </w:p>
    <w:p w14:paraId="05453F78" w14:textId="241033F4" w:rsidR="003809E5" w:rsidRPr="001B6A6D" w:rsidRDefault="00453C86" w:rsidP="003809E5">
      <w:pPr>
        <w:pStyle w:val="ActHead1"/>
        <w:pageBreakBefore/>
      </w:pPr>
      <w:bookmarkStart w:id="327" w:name="_Toc188350802"/>
      <w:r w:rsidRPr="00423C34">
        <w:rPr>
          <w:rStyle w:val="CharChapNo"/>
        </w:rPr>
        <w:t>Schedule 6</w:t>
      </w:r>
      <w:r w:rsidR="003809E5" w:rsidRPr="001B6A6D">
        <w:t>—</w:t>
      </w:r>
      <w:r w:rsidR="003809E5" w:rsidRPr="00423C34">
        <w:rPr>
          <w:rStyle w:val="CharChapText"/>
        </w:rPr>
        <w:t>Method for determining value of superannuation interest in lifetime annuity</w:t>
      </w:r>
      <w:bookmarkEnd w:id="327"/>
    </w:p>
    <w:p w14:paraId="4CA083C2" w14:textId="386CA6EE" w:rsidR="003809E5" w:rsidRPr="00C4365E" w:rsidRDefault="003809E5" w:rsidP="003809E5">
      <w:pPr>
        <w:pStyle w:val="notemargin"/>
      </w:pPr>
      <w:r w:rsidRPr="00C4365E">
        <w:t>(</w:t>
      </w:r>
      <w:r w:rsidR="00CB78B9">
        <w:t>section 3</w:t>
      </w:r>
      <w:r w:rsidR="00485CC2">
        <w:t>5</w:t>
      </w:r>
      <w:r w:rsidRPr="00C4365E">
        <w:t>)</w:t>
      </w:r>
    </w:p>
    <w:p w14:paraId="44EB86EA" w14:textId="77777777" w:rsidR="003809E5" w:rsidRPr="00423C34" w:rsidRDefault="003809E5" w:rsidP="003809E5">
      <w:pPr>
        <w:pStyle w:val="Header"/>
      </w:pPr>
      <w:r w:rsidRPr="00423C34">
        <w:rPr>
          <w:rStyle w:val="CharPartNo"/>
        </w:rPr>
        <w:t xml:space="preserve"> </w:t>
      </w:r>
      <w:r w:rsidRPr="00423C34">
        <w:rPr>
          <w:rStyle w:val="CharPartText"/>
        </w:rPr>
        <w:t xml:space="preserve"> </w:t>
      </w:r>
    </w:p>
    <w:p w14:paraId="3AF69452" w14:textId="77777777" w:rsidR="004F183B" w:rsidRPr="00423C34" w:rsidRDefault="004F183B" w:rsidP="004F183B">
      <w:pPr>
        <w:pStyle w:val="Header"/>
      </w:pPr>
      <w:r w:rsidRPr="00423C34">
        <w:rPr>
          <w:rStyle w:val="CharDivNo"/>
        </w:rPr>
        <w:t xml:space="preserve"> </w:t>
      </w:r>
      <w:r w:rsidRPr="00423C34">
        <w:rPr>
          <w:rStyle w:val="CharDivText"/>
        </w:rPr>
        <w:t xml:space="preserve"> </w:t>
      </w:r>
    </w:p>
    <w:p w14:paraId="1AA385E5" w14:textId="555380FF" w:rsidR="003809E5" w:rsidRPr="001B6A6D" w:rsidRDefault="003809E5" w:rsidP="003809E5">
      <w:pPr>
        <w:pStyle w:val="ActHead5"/>
      </w:pPr>
      <w:bookmarkStart w:id="328" w:name="_Toc188350803"/>
      <w:r w:rsidRPr="00423C34">
        <w:rPr>
          <w:rStyle w:val="CharSectno"/>
        </w:rPr>
        <w:t>1</w:t>
      </w:r>
      <w:r w:rsidRPr="001B6A6D">
        <w:t xml:space="preserve">  Application of </w:t>
      </w:r>
      <w:r w:rsidR="00366F59">
        <w:t xml:space="preserve">this </w:t>
      </w:r>
      <w:r w:rsidRPr="001B6A6D">
        <w:t>Schedule</w:t>
      </w:r>
      <w:bookmarkEnd w:id="328"/>
    </w:p>
    <w:p w14:paraId="0E544F3A" w14:textId="03EC879D" w:rsidR="003809E5" w:rsidRPr="00C4365E" w:rsidRDefault="003809E5" w:rsidP="003809E5">
      <w:pPr>
        <w:pStyle w:val="subsection"/>
      </w:pPr>
      <w:r w:rsidRPr="00C4365E">
        <w:tab/>
      </w:r>
      <w:r w:rsidRPr="00C4365E">
        <w:tab/>
        <w:t xml:space="preserve">This Schedule sets out the method for determining the value, at the termination time, of a superannuation interest </w:t>
      </w:r>
      <w:r w:rsidR="00C17E02">
        <w:t xml:space="preserve">that </w:t>
      </w:r>
      <w:r w:rsidR="00C17E02" w:rsidRPr="00E57555">
        <w:t>is in a superannuation annuity that is</w:t>
      </w:r>
      <w:r w:rsidR="00C17E02">
        <w:t xml:space="preserve"> </w:t>
      </w:r>
      <w:r w:rsidRPr="00C4365E">
        <w:t>a lifetime annuity if the interest was in the payment phase at the termination time.</w:t>
      </w:r>
    </w:p>
    <w:p w14:paraId="53701DEA" w14:textId="77777777" w:rsidR="003809E5" w:rsidRPr="001B6A6D" w:rsidRDefault="003809E5" w:rsidP="003809E5">
      <w:pPr>
        <w:pStyle w:val="ActHead5"/>
      </w:pPr>
      <w:bookmarkStart w:id="329" w:name="_Toc188350804"/>
      <w:r w:rsidRPr="00423C34">
        <w:rPr>
          <w:rStyle w:val="CharSectno"/>
        </w:rPr>
        <w:t>2</w:t>
      </w:r>
      <w:r w:rsidRPr="001B6A6D">
        <w:t xml:space="preserve">  Method</w:t>
      </w:r>
      <w:bookmarkEnd w:id="329"/>
    </w:p>
    <w:p w14:paraId="0F387C8B" w14:textId="77777777" w:rsidR="003809E5" w:rsidRPr="00C4365E" w:rsidRDefault="003809E5" w:rsidP="003809E5">
      <w:pPr>
        <w:pStyle w:val="subsection"/>
      </w:pPr>
      <w:r w:rsidRPr="00C4365E">
        <w:tab/>
        <w:t>(1)</w:t>
      </w:r>
      <w:r w:rsidRPr="00C4365E">
        <w:tab/>
        <w:t>The method is:</w:t>
      </w:r>
    </w:p>
    <w:p w14:paraId="3071BE7F" w14:textId="48BF0FA7" w:rsidR="00C17E02" w:rsidRPr="00C17E02" w:rsidRDefault="003C3479" w:rsidP="00C17E02">
      <w:pPr>
        <w:pStyle w:val="subsection2"/>
      </w:pPr>
      <w:r w:rsidRPr="00C17E02">
        <w:rPr>
          <w:position w:val="-66"/>
        </w:rPr>
        <w:object w:dxaOrig="3560" w:dyaOrig="1420" w14:anchorId="04A34DB4">
          <v:shape id="_x0000_i1092" type="#_x0000_t75" alt="Start formula B times open bracket start fraction open bracket V subscript y times open bracket 12 minus m close bracket close bracket plus open bracket V subscript y subscript plus subscript 1 times m close bracket over 12 end fraction close bracket end formula" style="width:178pt;height:71pt" o:ole="">
            <v:imagedata r:id="rId170" o:title=""/>
          </v:shape>
          <o:OLEObject Type="Embed" ProgID="Equation.DSMT4" ShapeID="_x0000_i1092" DrawAspect="Content" ObjectID="_1801634321" r:id="rId171"/>
        </w:object>
      </w:r>
    </w:p>
    <w:p w14:paraId="1A7DB293" w14:textId="241B3388" w:rsidR="003809E5" w:rsidRPr="00C4365E" w:rsidRDefault="003809E5" w:rsidP="003809E5">
      <w:pPr>
        <w:pStyle w:val="subsection2"/>
      </w:pPr>
      <w:r w:rsidRPr="00C4365E">
        <w:t>where:</w:t>
      </w:r>
    </w:p>
    <w:p w14:paraId="63385E5C" w14:textId="77777777" w:rsidR="003809E5" w:rsidRPr="00C4365E" w:rsidRDefault="003809E5" w:rsidP="003809E5">
      <w:pPr>
        <w:pStyle w:val="Definition"/>
      </w:pPr>
      <w:r w:rsidRPr="00C4365E">
        <w:rPr>
          <w:b/>
          <w:bCs/>
          <w:i/>
          <w:iCs/>
        </w:rPr>
        <w:t>B</w:t>
      </w:r>
      <w:r w:rsidRPr="00C4365E">
        <w:t xml:space="preserve"> is the amount of the annual benefit payable in respect of the superannuation interest at the termination time.</w:t>
      </w:r>
    </w:p>
    <w:p w14:paraId="0488C8AA" w14:textId="38B71929" w:rsidR="003809E5" w:rsidRPr="00C4365E" w:rsidRDefault="003809E5" w:rsidP="003809E5">
      <w:pPr>
        <w:pStyle w:val="Definition"/>
      </w:pPr>
      <w:r w:rsidRPr="00C4365E">
        <w:rPr>
          <w:b/>
          <w:bCs/>
          <w:i/>
          <w:iCs/>
        </w:rPr>
        <w:t>V</w:t>
      </w:r>
      <w:r w:rsidRPr="00C4365E">
        <w:rPr>
          <w:b/>
          <w:bCs/>
          <w:i/>
          <w:iCs/>
          <w:vertAlign w:val="subscript"/>
        </w:rPr>
        <w:t>y</w:t>
      </w:r>
      <w:r w:rsidRPr="00C4365E">
        <w:t xml:space="preserve"> is the pension valuation factor under </w:t>
      </w:r>
      <w:r w:rsidR="00AB0143">
        <w:t>Part 2</w:t>
      </w:r>
      <w:r w:rsidR="00A22894">
        <w:t xml:space="preserve"> of </w:t>
      </w:r>
      <w:r w:rsidRPr="00C4365E">
        <w:t>Schedule </w:t>
      </w:r>
      <w:r w:rsidR="00C17E02">
        <w:t>5</w:t>
      </w:r>
      <w:r w:rsidRPr="00C4365E">
        <w:t xml:space="preserve"> that applies to the particular lifetime annuity and the member spouse’s age in completed years at the termination time.</w:t>
      </w:r>
    </w:p>
    <w:p w14:paraId="0E86E20D" w14:textId="77777777" w:rsidR="003809E5" w:rsidRPr="00C4365E" w:rsidRDefault="003809E5" w:rsidP="003809E5">
      <w:pPr>
        <w:pStyle w:val="Definition"/>
      </w:pPr>
      <w:r w:rsidRPr="00C4365E">
        <w:rPr>
          <w:b/>
          <w:bCs/>
          <w:i/>
          <w:iCs/>
        </w:rPr>
        <w:t>m</w:t>
      </w:r>
      <w:r w:rsidRPr="00C4365E">
        <w:t xml:space="preserve"> is the number of completed months of the member spouse’s age that are not included in the completed years at the termination time.</w:t>
      </w:r>
    </w:p>
    <w:p w14:paraId="679ABA5A" w14:textId="1FB5CAF3" w:rsidR="003809E5" w:rsidRPr="00C4365E" w:rsidRDefault="003809E5" w:rsidP="003809E5">
      <w:pPr>
        <w:pStyle w:val="Definition"/>
        <w:rPr>
          <w:vertAlign w:val="subscript"/>
        </w:rPr>
      </w:pPr>
      <w:r w:rsidRPr="00C4365E">
        <w:rPr>
          <w:b/>
          <w:bCs/>
          <w:i/>
          <w:iCs/>
        </w:rPr>
        <w:t>V</w:t>
      </w:r>
      <w:r w:rsidRPr="00C4365E">
        <w:rPr>
          <w:b/>
          <w:bCs/>
          <w:i/>
          <w:iCs/>
          <w:vertAlign w:val="subscript"/>
        </w:rPr>
        <w:t>y+1</w:t>
      </w:r>
      <w:r w:rsidRPr="00C4365E">
        <w:t xml:space="preserve"> is the pension valuation factor under </w:t>
      </w:r>
      <w:r w:rsidR="00AB0143">
        <w:t>Part 2</w:t>
      </w:r>
      <w:r w:rsidR="00A22894">
        <w:t xml:space="preserve"> of </w:t>
      </w:r>
      <w:r w:rsidRPr="00C4365E">
        <w:t>Schedule </w:t>
      </w:r>
      <w:r w:rsidR="00C17E02">
        <w:t>5</w:t>
      </w:r>
      <w:r w:rsidRPr="00C4365E">
        <w:t xml:space="preserve"> that applies to the particular lifetime annuity and the member spouse’s age at the completion of the next year after the year mentioned in the definition of the factor </w:t>
      </w:r>
      <w:r w:rsidRPr="00F51337">
        <w:rPr>
          <w:b/>
          <w:bCs/>
          <w:i/>
        </w:rPr>
        <w:t>V</w:t>
      </w:r>
      <w:r w:rsidRPr="00F51337">
        <w:rPr>
          <w:b/>
          <w:bCs/>
          <w:i/>
          <w:vertAlign w:val="subscript"/>
        </w:rPr>
        <w:t>y</w:t>
      </w:r>
      <w:r w:rsidRPr="00C4365E">
        <w:rPr>
          <w:vertAlign w:val="subscript"/>
        </w:rPr>
        <w:t>.</w:t>
      </w:r>
    </w:p>
    <w:p w14:paraId="35EC004A" w14:textId="1D3D4676" w:rsidR="003809E5" w:rsidRPr="00C4365E" w:rsidRDefault="003809E5" w:rsidP="003809E5">
      <w:pPr>
        <w:pStyle w:val="subsection"/>
      </w:pPr>
      <w:r w:rsidRPr="00C4365E">
        <w:tab/>
        <w:t>(2)</w:t>
      </w:r>
      <w:r w:rsidRPr="00C4365E">
        <w:tab/>
        <w:t>For the purpose of applying the factors</w:t>
      </w:r>
      <w:r w:rsidRPr="00C4365E">
        <w:rPr>
          <w:snapToGrid w:val="0"/>
        </w:rPr>
        <w:t xml:space="preserve"> </w:t>
      </w:r>
      <w:r w:rsidRPr="00C4365E">
        <w:rPr>
          <w:b/>
          <w:bCs/>
          <w:i/>
          <w:iCs/>
        </w:rPr>
        <w:t>V</w:t>
      </w:r>
      <w:r w:rsidRPr="00C4365E">
        <w:rPr>
          <w:b/>
          <w:bCs/>
          <w:i/>
          <w:iCs/>
          <w:vertAlign w:val="subscript"/>
        </w:rPr>
        <w:t xml:space="preserve">y </w:t>
      </w:r>
      <w:r w:rsidRPr="00C4365E">
        <w:t xml:space="preserve">and </w:t>
      </w:r>
      <w:r w:rsidRPr="00C4365E">
        <w:rPr>
          <w:b/>
          <w:bCs/>
          <w:i/>
          <w:iCs/>
        </w:rPr>
        <w:t>V</w:t>
      </w:r>
      <w:r w:rsidRPr="00C4365E">
        <w:rPr>
          <w:b/>
          <w:bCs/>
          <w:i/>
          <w:iCs/>
          <w:vertAlign w:val="subscript"/>
        </w:rPr>
        <w:t xml:space="preserve">y+1 </w:t>
      </w:r>
      <w:r w:rsidRPr="00C4365E">
        <w:rPr>
          <w:snapToGrid w:val="0"/>
        </w:rPr>
        <w:t xml:space="preserve">in the formula in subclause (1), a reference in </w:t>
      </w:r>
      <w:r w:rsidR="00AB0143">
        <w:t>Part 2</w:t>
      </w:r>
      <w:r w:rsidR="00A22894">
        <w:t xml:space="preserve"> of </w:t>
      </w:r>
      <w:r w:rsidRPr="00C4365E">
        <w:rPr>
          <w:snapToGrid w:val="0"/>
        </w:rPr>
        <w:t>Schedule </w:t>
      </w:r>
      <w:r w:rsidR="00C17E02">
        <w:rPr>
          <w:snapToGrid w:val="0"/>
        </w:rPr>
        <w:t>5</w:t>
      </w:r>
      <w:r w:rsidRPr="00C4365E">
        <w:rPr>
          <w:snapToGrid w:val="0"/>
        </w:rPr>
        <w:t xml:space="preserve"> to </w:t>
      </w:r>
      <w:r w:rsidR="0010709F">
        <w:rPr>
          <w:snapToGrid w:val="0"/>
        </w:rPr>
        <w:t>“p</w:t>
      </w:r>
      <w:r w:rsidRPr="00C4365E">
        <w:rPr>
          <w:snapToGrid w:val="0"/>
        </w:rPr>
        <w:t>ension</w:t>
      </w:r>
      <w:r w:rsidR="0010709F">
        <w:rPr>
          <w:snapToGrid w:val="0"/>
        </w:rPr>
        <w:t>”</w:t>
      </w:r>
      <w:r w:rsidRPr="00C4365E">
        <w:rPr>
          <w:snapToGrid w:val="0"/>
        </w:rPr>
        <w:t xml:space="preserve"> is taken to be read as a reference to </w:t>
      </w:r>
      <w:r w:rsidR="0010709F">
        <w:rPr>
          <w:snapToGrid w:val="0"/>
        </w:rPr>
        <w:t>“</w:t>
      </w:r>
      <w:r w:rsidRPr="00C4365E">
        <w:rPr>
          <w:snapToGrid w:val="0"/>
        </w:rPr>
        <w:t>annuity</w:t>
      </w:r>
      <w:r w:rsidR="0010709F">
        <w:rPr>
          <w:snapToGrid w:val="0"/>
        </w:rPr>
        <w:t>”</w:t>
      </w:r>
      <w:r w:rsidRPr="00C4365E">
        <w:rPr>
          <w:snapToGrid w:val="0"/>
        </w:rPr>
        <w:t>.</w:t>
      </w:r>
    </w:p>
    <w:p w14:paraId="37053909" w14:textId="379C4533" w:rsidR="000527FC" w:rsidRPr="00A058B6" w:rsidRDefault="00453C86" w:rsidP="000527FC">
      <w:pPr>
        <w:pStyle w:val="ActHead1"/>
        <w:pageBreakBefore/>
      </w:pPr>
      <w:bookmarkStart w:id="330" w:name="_Toc188350805"/>
      <w:r w:rsidRPr="00423C34">
        <w:rPr>
          <w:rStyle w:val="CharChapNo"/>
        </w:rPr>
        <w:t>Schedule 7</w:t>
      </w:r>
      <w:r w:rsidR="000527FC" w:rsidRPr="00A058B6">
        <w:t>—</w:t>
      </w:r>
      <w:r w:rsidR="000527FC" w:rsidRPr="00423C34">
        <w:rPr>
          <w:rStyle w:val="CharChapText"/>
        </w:rPr>
        <w:t>Method for determining gross value of superannuation interest payable as life pension</w:t>
      </w:r>
      <w:r w:rsidR="00EB63BF" w:rsidRPr="00423C34">
        <w:rPr>
          <w:rStyle w:val="CharChapText"/>
        </w:rPr>
        <w:t xml:space="preserve"> due to invalidity</w:t>
      </w:r>
      <w:bookmarkEnd w:id="330"/>
    </w:p>
    <w:p w14:paraId="5E69DFCA" w14:textId="68B8FE2E" w:rsidR="000527FC" w:rsidRPr="00A058B6" w:rsidRDefault="000527FC" w:rsidP="000527FC">
      <w:pPr>
        <w:pStyle w:val="notemargin"/>
      </w:pPr>
      <w:r w:rsidRPr="00A058B6">
        <w:t>(</w:t>
      </w:r>
      <w:r w:rsidR="00CB78B9">
        <w:t>section 6</w:t>
      </w:r>
      <w:r w:rsidR="00485CC2">
        <w:t>6</w:t>
      </w:r>
      <w:r w:rsidR="00F51337">
        <w:t xml:space="preserve"> or 68</w:t>
      </w:r>
      <w:r w:rsidRPr="00A058B6">
        <w:t>)</w:t>
      </w:r>
    </w:p>
    <w:p w14:paraId="1EBB3A34" w14:textId="77777777" w:rsidR="000527FC" w:rsidRPr="00423C34" w:rsidRDefault="000527FC" w:rsidP="000527FC">
      <w:pPr>
        <w:pStyle w:val="Header"/>
      </w:pPr>
      <w:r w:rsidRPr="00423C34">
        <w:rPr>
          <w:rStyle w:val="CharPartNo"/>
        </w:rPr>
        <w:t xml:space="preserve"> </w:t>
      </w:r>
      <w:r w:rsidRPr="00423C34">
        <w:rPr>
          <w:rStyle w:val="CharPartText"/>
        </w:rPr>
        <w:t xml:space="preserve"> </w:t>
      </w:r>
    </w:p>
    <w:p w14:paraId="0FB48CFF" w14:textId="77777777" w:rsidR="000527FC" w:rsidRPr="00423C34" w:rsidRDefault="000527FC" w:rsidP="000527FC">
      <w:pPr>
        <w:pStyle w:val="Header"/>
      </w:pPr>
      <w:r w:rsidRPr="00423C34">
        <w:rPr>
          <w:rStyle w:val="CharDivNo"/>
        </w:rPr>
        <w:t xml:space="preserve"> </w:t>
      </w:r>
      <w:r w:rsidRPr="00423C34">
        <w:rPr>
          <w:rStyle w:val="CharDivText"/>
        </w:rPr>
        <w:t xml:space="preserve"> </w:t>
      </w:r>
    </w:p>
    <w:p w14:paraId="1C91DDA4" w14:textId="77777777" w:rsidR="000527FC" w:rsidRPr="00A058B6" w:rsidRDefault="000527FC" w:rsidP="000527FC">
      <w:pPr>
        <w:pStyle w:val="ActHead5"/>
      </w:pPr>
      <w:bookmarkStart w:id="331" w:name="_Toc188350806"/>
      <w:r w:rsidRPr="00423C34">
        <w:rPr>
          <w:rStyle w:val="CharSectno"/>
        </w:rPr>
        <w:t>1</w:t>
      </w:r>
      <w:r w:rsidRPr="00A058B6">
        <w:t xml:space="preserve">  Application of </w:t>
      </w:r>
      <w:r w:rsidR="00AD061A">
        <w:t xml:space="preserve">this </w:t>
      </w:r>
      <w:r w:rsidRPr="00A058B6">
        <w:t>Schedule</w:t>
      </w:r>
      <w:bookmarkEnd w:id="331"/>
    </w:p>
    <w:p w14:paraId="22F0AF9A" w14:textId="77777777" w:rsidR="000527FC" w:rsidRDefault="000527FC" w:rsidP="000527FC">
      <w:pPr>
        <w:pStyle w:val="subsection"/>
      </w:pPr>
      <w:r w:rsidRPr="00A058B6">
        <w:tab/>
      </w:r>
      <w:r w:rsidRPr="00A058B6">
        <w:tab/>
        <w:t>This Schedule sets out the method for determining the gross value, at the relevant date, of a superannuation interest that is in the payment phase at the relevant date, if the benefits in respect of the interest are payable</w:t>
      </w:r>
      <w:r>
        <w:t>:</w:t>
      </w:r>
    </w:p>
    <w:p w14:paraId="068D6451" w14:textId="77777777" w:rsidR="000527FC" w:rsidRDefault="000527FC" w:rsidP="000527FC">
      <w:pPr>
        <w:pStyle w:val="paragraph"/>
      </w:pPr>
      <w:r>
        <w:tab/>
        <w:t>(a)</w:t>
      </w:r>
      <w:r>
        <w:tab/>
      </w:r>
      <w:r w:rsidRPr="00A058B6">
        <w:t>as a pension for the life of the member spouse</w:t>
      </w:r>
      <w:r>
        <w:t>; and</w:t>
      </w:r>
    </w:p>
    <w:p w14:paraId="794E21D5" w14:textId="77777777" w:rsidR="000527FC" w:rsidRPr="00A058B6" w:rsidRDefault="000527FC" w:rsidP="000527FC">
      <w:pPr>
        <w:pStyle w:val="paragraph"/>
      </w:pPr>
      <w:r>
        <w:tab/>
        <w:t>(b)</w:t>
      </w:r>
      <w:r>
        <w:tab/>
        <w:t>due to the member spouse’s invalidity</w:t>
      </w:r>
      <w:r w:rsidR="00D7157D">
        <w:t>.</w:t>
      </w:r>
    </w:p>
    <w:p w14:paraId="4574E13D" w14:textId="77777777" w:rsidR="000527FC" w:rsidRPr="00A058B6" w:rsidRDefault="000527FC" w:rsidP="000527FC">
      <w:pPr>
        <w:pStyle w:val="ActHead5"/>
      </w:pPr>
      <w:bookmarkStart w:id="332" w:name="_Toc188350807"/>
      <w:r w:rsidRPr="00423C34">
        <w:rPr>
          <w:rStyle w:val="CharSectno"/>
        </w:rPr>
        <w:t>2</w:t>
      </w:r>
      <w:r w:rsidRPr="00A058B6">
        <w:t xml:space="preserve">  Method</w:t>
      </w:r>
      <w:bookmarkEnd w:id="332"/>
    </w:p>
    <w:p w14:paraId="2FF1BA8D" w14:textId="77777777" w:rsidR="000527FC" w:rsidRDefault="000527FC" w:rsidP="000527FC">
      <w:pPr>
        <w:pStyle w:val="subsection"/>
      </w:pPr>
      <w:r w:rsidRPr="00A058B6">
        <w:tab/>
        <w:t>(1)</w:t>
      </w:r>
      <w:r w:rsidRPr="00A058B6">
        <w:tab/>
        <w:t>The method is:</w:t>
      </w:r>
    </w:p>
    <w:p w14:paraId="678E8172" w14:textId="2461011F" w:rsidR="000527FC" w:rsidRPr="00A058B6" w:rsidRDefault="00134C11" w:rsidP="000527FC">
      <w:pPr>
        <w:pStyle w:val="subsection2"/>
      </w:pPr>
      <w:r w:rsidRPr="00075919">
        <w:rPr>
          <w:position w:val="-26"/>
        </w:rPr>
        <w:object w:dxaOrig="2380" w:dyaOrig="720" w14:anchorId="08E615A4">
          <v:shape id="_x0000_i1093" type="#_x0000_t75" alt="Start formula B times open bracket P subscript y subscript plus subscript m plus open bracket r times R subscript y subscript plus subscript m close bracket close bracket end formula" style="width:118pt;height:35pt" o:ole="">
            <v:imagedata r:id="rId150" o:title=""/>
          </v:shape>
          <o:OLEObject Type="Embed" ProgID="Equation.DSMT4" ShapeID="_x0000_i1093" DrawAspect="Content" ObjectID="_1801634322" r:id="rId172"/>
        </w:object>
      </w:r>
    </w:p>
    <w:p w14:paraId="6108E487" w14:textId="77777777" w:rsidR="000527FC" w:rsidRPr="00A058B6" w:rsidRDefault="000527FC" w:rsidP="000527FC">
      <w:pPr>
        <w:pStyle w:val="subsection2"/>
      </w:pPr>
      <w:r w:rsidRPr="00A058B6">
        <w:t>where:</w:t>
      </w:r>
    </w:p>
    <w:p w14:paraId="2D340163" w14:textId="77777777" w:rsidR="000527FC" w:rsidRPr="00A058B6" w:rsidRDefault="000527FC" w:rsidP="000527FC">
      <w:pPr>
        <w:pStyle w:val="Definition"/>
      </w:pPr>
      <w:r w:rsidRPr="00A058B6">
        <w:rPr>
          <w:b/>
          <w:i/>
        </w:rPr>
        <w:t>B</w:t>
      </w:r>
      <w:r w:rsidRPr="00A058B6">
        <w:t xml:space="preserve"> </w:t>
      </w:r>
      <w:r w:rsidR="002F0F98">
        <w:t>means</w:t>
      </w:r>
      <w:r w:rsidR="002F0F98" w:rsidRPr="00A058B6">
        <w:t xml:space="preserve"> </w:t>
      </w:r>
      <w:r w:rsidRPr="00A058B6">
        <w:t>the amount of the annual pension benefit payable in respect of the superannuation interest at the relevant date</w:t>
      </w:r>
      <w:r w:rsidR="00D7157D">
        <w:t>.</w:t>
      </w:r>
    </w:p>
    <w:p w14:paraId="3F25ED7C" w14:textId="77777777" w:rsidR="000527FC" w:rsidRPr="00A058B6" w:rsidRDefault="000527FC" w:rsidP="000527FC">
      <w:pPr>
        <w:pStyle w:val="Definition"/>
      </w:pPr>
      <w:r w:rsidRPr="00A058B6">
        <w:rPr>
          <w:b/>
          <w:i/>
        </w:rPr>
        <w:t>P</w:t>
      </w:r>
      <w:r w:rsidRPr="00A058B6">
        <w:rPr>
          <w:b/>
          <w:i/>
          <w:vertAlign w:val="subscript"/>
        </w:rPr>
        <w:t>y+m</w:t>
      </w:r>
      <w:r w:rsidRPr="00A058B6">
        <w:t xml:space="preserve"> </w:t>
      </w:r>
      <w:r w:rsidR="002F0F98">
        <w:t>means</w:t>
      </w:r>
      <w:r w:rsidR="002F0F98" w:rsidRPr="00A058B6">
        <w:t xml:space="preserve"> </w:t>
      </w:r>
      <w:r w:rsidRPr="00A058B6">
        <w:t xml:space="preserve">the pension valuation factor calculated in accordance with </w:t>
      </w:r>
      <w:r w:rsidR="00B05FD6">
        <w:t>subclause (</w:t>
      </w:r>
      <w:r w:rsidRPr="00A058B6">
        <w:t>2)</w:t>
      </w:r>
      <w:r w:rsidR="00D7157D">
        <w:t>.</w:t>
      </w:r>
    </w:p>
    <w:p w14:paraId="2D148291" w14:textId="77777777" w:rsidR="000527FC" w:rsidRPr="00A058B6" w:rsidRDefault="000527FC" w:rsidP="000527FC">
      <w:pPr>
        <w:pStyle w:val="Definition"/>
      </w:pPr>
      <w:r w:rsidRPr="00A058B6">
        <w:rPr>
          <w:b/>
          <w:i/>
        </w:rPr>
        <w:t>r</w:t>
      </w:r>
      <w:r w:rsidRPr="00A058B6">
        <w:t xml:space="preserve"> </w:t>
      </w:r>
      <w:r w:rsidR="002F0F98">
        <w:t>means</w:t>
      </w:r>
      <w:r w:rsidR="002F0F98" w:rsidRPr="00A058B6">
        <w:t xml:space="preserve"> </w:t>
      </w:r>
      <w:r w:rsidRPr="00A058B6">
        <w:t xml:space="preserve">the proportion of the pension that is payable to any surviving spouse of the member spouse on the death of the member spouse, as provided by the trustee under </w:t>
      </w:r>
      <w:r w:rsidR="00AF1E4E">
        <w:t>section 9</w:t>
      </w:r>
      <w:r w:rsidRPr="00A058B6">
        <w:t>0XZB or 90YZR of the Act</w:t>
      </w:r>
      <w:r w:rsidR="00D7157D">
        <w:t>.</w:t>
      </w:r>
    </w:p>
    <w:p w14:paraId="06E1CA53" w14:textId="77777777" w:rsidR="000527FC" w:rsidRPr="00A058B6" w:rsidRDefault="000527FC" w:rsidP="000527FC">
      <w:pPr>
        <w:pStyle w:val="Definition"/>
      </w:pPr>
      <w:r w:rsidRPr="00A058B6">
        <w:rPr>
          <w:b/>
          <w:i/>
        </w:rPr>
        <w:t>R</w:t>
      </w:r>
      <w:r w:rsidRPr="00A058B6">
        <w:rPr>
          <w:b/>
          <w:i/>
          <w:vertAlign w:val="subscript"/>
        </w:rPr>
        <w:t>y+m</w:t>
      </w:r>
      <w:r w:rsidRPr="00A058B6">
        <w:t xml:space="preserve"> </w:t>
      </w:r>
      <w:r w:rsidR="002F0F98">
        <w:t>means</w:t>
      </w:r>
      <w:r w:rsidR="002F0F98" w:rsidRPr="00A058B6">
        <w:t xml:space="preserve"> </w:t>
      </w:r>
      <w:r w:rsidRPr="00A058B6">
        <w:t xml:space="preserve">the reversion valuation factor calculated in accordance with </w:t>
      </w:r>
      <w:r w:rsidR="00B05FD6">
        <w:t>subclause (</w:t>
      </w:r>
      <w:r w:rsidRPr="00A058B6">
        <w:t>3)</w:t>
      </w:r>
      <w:r w:rsidR="00D7157D">
        <w:t>.</w:t>
      </w:r>
    </w:p>
    <w:p w14:paraId="1F1B76DF" w14:textId="77777777" w:rsidR="000527FC" w:rsidRDefault="000527FC" w:rsidP="000527FC">
      <w:pPr>
        <w:pStyle w:val="subsection"/>
      </w:pPr>
      <w:r w:rsidRPr="00A058B6">
        <w:tab/>
        <w:t>(2)</w:t>
      </w:r>
      <w:r w:rsidRPr="00A058B6">
        <w:tab/>
        <w:t xml:space="preserve">For the purposes of </w:t>
      </w:r>
      <w:r w:rsidR="00B05FD6">
        <w:t>subclause (</w:t>
      </w:r>
      <w:r w:rsidRPr="00A058B6">
        <w:t>1), the pension valuation factor (</w:t>
      </w:r>
      <w:r w:rsidRPr="00A058B6">
        <w:rPr>
          <w:b/>
          <w:i/>
        </w:rPr>
        <w:t>P</w:t>
      </w:r>
      <w:r w:rsidRPr="00A058B6">
        <w:rPr>
          <w:b/>
          <w:i/>
          <w:vertAlign w:val="subscript"/>
        </w:rPr>
        <w:t>y+m</w:t>
      </w:r>
      <w:r w:rsidRPr="00A058B6">
        <w:t>) at the relevant date is:</w:t>
      </w:r>
    </w:p>
    <w:p w14:paraId="7BABFCA2" w14:textId="55CB5259" w:rsidR="000527FC" w:rsidRPr="00A058B6" w:rsidRDefault="008058DA" w:rsidP="000527FC">
      <w:pPr>
        <w:pStyle w:val="subsection2"/>
      </w:pPr>
      <w:r w:rsidRPr="00EB3DA0">
        <w:object w:dxaOrig="2920" w:dyaOrig="1060" w14:anchorId="7DD8EE92">
          <v:shape id="_x0000_i1094" type="#_x0000_t75" alt="Start formula start fraction open bracket P subscript y times open bracket 12 minus m close bracket close bracket plus open bracket P subscript y subscript plus subscript 1 times m close bracket over 12 end fraction end formula" style="width:146pt;height:53.5pt" o:ole="">
            <v:imagedata r:id="rId152" o:title=""/>
          </v:shape>
          <o:OLEObject Type="Embed" ProgID="Equation.DSMT4" ShapeID="_x0000_i1094" DrawAspect="Content" ObjectID="_1801634323" r:id="rId173"/>
        </w:object>
      </w:r>
    </w:p>
    <w:p w14:paraId="1007D8D4" w14:textId="77777777" w:rsidR="000527FC" w:rsidRPr="00A058B6" w:rsidRDefault="000527FC" w:rsidP="000527FC">
      <w:pPr>
        <w:pStyle w:val="subsection2"/>
      </w:pPr>
      <w:r w:rsidRPr="00A058B6">
        <w:t>where:</w:t>
      </w:r>
    </w:p>
    <w:p w14:paraId="1815E7CD" w14:textId="77777777" w:rsidR="00476230" w:rsidRPr="00A058B6" w:rsidRDefault="00476230" w:rsidP="00476230">
      <w:pPr>
        <w:pStyle w:val="Definition"/>
      </w:pPr>
      <w:r w:rsidRPr="00A058B6">
        <w:rPr>
          <w:b/>
          <w:i/>
        </w:rPr>
        <w:t>P</w:t>
      </w:r>
      <w:r w:rsidRPr="00A058B6">
        <w:rPr>
          <w:b/>
          <w:i/>
          <w:vertAlign w:val="subscript"/>
        </w:rPr>
        <w:t>y</w:t>
      </w:r>
      <w:r w:rsidRPr="00A058B6">
        <w:t xml:space="preserve"> </w:t>
      </w:r>
      <w:r w:rsidR="002F0F98">
        <w:t>means</w:t>
      </w:r>
      <w:r w:rsidR="002F0F98" w:rsidRPr="00A058B6">
        <w:t xml:space="preserve"> </w:t>
      </w:r>
      <w:r w:rsidRPr="00A058B6">
        <w:t>the pension valuation factor mentioned in the relevant clause of this Schedule that applies to the pension and the member spouse’s age in completed years at the relevant date</w:t>
      </w:r>
      <w:r w:rsidR="00D7157D">
        <w:t>.</w:t>
      </w:r>
    </w:p>
    <w:p w14:paraId="1B6A7273" w14:textId="77777777" w:rsidR="000527FC" w:rsidRPr="00A058B6" w:rsidRDefault="000527FC" w:rsidP="000527FC">
      <w:pPr>
        <w:pStyle w:val="Definition"/>
      </w:pPr>
      <w:r w:rsidRPr="00A058B6">
        <w:rPr>
          <w:b/>
          <w:i/>
        </w:rPr>
        <w:t>m</w:t>
      </w:r>
      <w:r w:rsidRPr="00A058B6">
        <w:t xml:space="preserve"> </w:t>
      </w:r>
      <w:r w:rsidR="002F0F98">
        <w:t>means</w:t>
      </w:r>
      <w:r w:rsidR="002F0F98" w:rsidRPr="00A058B6">
        <w:t xml:space="preserve"> </w:t>
      </w:r>
      <w:r w:rsidRPr="00A058B6">
        <w:t>the number of completed months of the member spouse’s age that are not included in the completed years at the relevant date</w:t>
      </w:r>
      <w:r w:rsidR="00D7157D">
        <w:t>.</w:t>
      </w:r>
    </w:p>
    <w:p w14:paraId="5DB56A7C" w14:textId="77777777" w:rsidR="000527FC" w:rsidRPr="00A058B6" w:rsidRDefault="000527FC" w:rsidP="000527FC">
      <w:pPr>
        <w:pStyle w:val="Definition"/>
      </w:pPr>
      <w:r w:rsidRPr="00A058B6">
        <w:rPr>
          <w:b/>
          <w:i/>
        </w:rPr>
        <w:t>P</w:t>
      </w:r>
      <w:r w:rsidRPr="00A058B6">
        <w:rPr>
          <w:b/>
          <w:i/>
          <w:vertAlign w:val="subscript"/>
        </w:rPr>
        <w:t>y+1</w:t>
      </w:r>
      <w:r w:rsidRPr="00A058B6">
        <w:t xml:space="preserve"> </w:t>
      </w:r>
      <w:r w:rsidR="002F0F98">
        <w:t>means</w:t>
      </w:r>
      <w:r w:rsidR="002F0F98" w:rsidRPr="00A058B6">
        <w:t xml:space="preserve"> </w:t>
      </w:r>
      <w:r w:rsidRPr="00A058B6">
        <w:t xml:space="preserve">the pension valuation factor mentioned in the relevant clause of this Schedule that applies to the pension and the member spouse’s age at the completion of the next year after the year mentioned in the definition of the factor </w:t>
      </w:r>
      <w:r w:rsidRPr="00A058B6">
        <w:rPr>
          <w:b/>
          <w:i/>
        </w:rPr>
        <w:t>P</w:t>
      </w:r>
      <w:r w:rsidRPr="00A058B6">
        <w:rPr>
          <w:b/>
          <w:i/>
          <w:vertAlign w:val="subscript"/>
        </w:rPr>
        <w:t>y</w:t>
      </w:r>
      <w:r w:rsidR="00D7157D">
        <w:t>.</w:t>
      </w:r>
    </w:p>
    <w:p w14:paraId="13C3068B" w14:textId="77777777" w:rsidR="000527FC" w:rsidRPr="00A058B6" w:rsidRDefault="000527FC" w:rsidP="000527FC">
      <w:pPr>
        <w:pStyle w:val="subsection"/>
      </w:pPr>
      <w:r w:rsidRPr="00A058B6">
        <w:tab/>
        <w:t>(3)</w:t>
      </w:r>
      <w:r w:rsidRPr="00A058B6">
        <w:tab/>
        <w:t xml:space="preserve">For the purposes of </w:t>
      </w:r>
      <w:r w:rsidR="00B05FD6">
        <w:t>subclause (</w:t>
      </w:r>
      <w:r w:rsidRPr="00A058B6">
        <w:t>1), the reversion valuation factor (</w:t>
      </w:r>
      <w:r w:rsidRPr="00A058B6">
        <w:rPr>
          <w:b/>
          <w:i/>
        </w:rPr>
        <w:t>R</w:t>
      </w:r>
      <w:r w:rsidRPr="00A058B6">
        <w:rPr>
          <w:b/>
          <w:i/>
          <w:vertAlign w:val="subscript"/>
        </w:rPr>
        <w:t>y+m</w:t>
      </w:r>
      <w:r w:rsidRPr="00A058B6">
        <w:t>) at the relevant date is:</w:t>
      </w:r>
    </w:p>
    <w:p w14:paraId="3BDEC0C3" w14:textId="63BA72D3" w:rsidR="000527FC" w:rsidRPr="00A058B6" w:rsidRDefault="00B7403E" w:rsidP="000527FC">
      <w:pPr>
        <w:pStyle w:val="subsection2"/>
      </w:pPr>
      <w:r w:rsidRPr="00F845EF">
        <w:rPr>
          <w:position w:val="-32"/>
        </w:rPr>
        <w:object w:dxaOrig="3000" w:dyaOrig="1060" w14:anchorId="06454783">
          <v:shape id="_x0000_i1095" type="#_x0000_t75" alt="Start formula start fraction open bracket R subscript y times open bracket 12 minus m close bracket close bracket plus open bracket R subscript y subscript plus subscript 1 times m close bracket over 12 end fraction end formula" style="width:150.5pt;height:53.5pt;mso-position-vertical:absolute" o:ole="">
            <v:imagedata r:id="rId154" o:title=""/>
          </v:shape>
          <o:OLEObject Type="Embed" ProgID="Equation.DSMT4" ShapeID="_x0000_i1095" DrawAspect="Content" ObjectID="_1801634324" r:id="rId174"/>
        </w:object>
      </w:r>
    </w:p>
    <w:p w14:paraId="6B95D081" w14:textId="77777777" w:rsidR="000527FC" w:rsidRPr="00A058B6" w:rsidRDefault="000527FC" w:rsidP="000527FC">
      <w:pPr>
        <w:pStyle w:val="subsection2"/>
      </w:pPr>
      <w:r w:rsidRPr="00A058B6">
        <w:t>where:</w:t>
      </w:r>
    </w:p>
    <w:p w14:paraId="6D6CD2A1" w14:textId="77777777" w:rsidR="000527FC" w:rsidRPr="00A058B6" w:rsidRDefault="000527FC" w:rsidP="000527FC">
      <w:pPr>
        <w:pStyle w:val="Definition"/>
      </w:pPr>
      <w:r w:rsidRPr="00A058B6">
        <w:rPr>
          <w:b/>
          <w:i/>
        </w:rPr>
        <w:t>R</w:t>
      </w:r>
      <w:r w:rsidRPr="00A058B6">
        <w:rPr>
          <w:b/>
          <w:i/>
          <w:vertAlign w:val="subscript"/>
        </w:rPr>
        <w:t>y</w:t>
      </w:r>
      <w:r w:rsidRPr="00A058B6">
        <w:t xml:space="preserve"> </w:t>
      </w:r>
      <w:r w:rsidR="002F0F98">
        <w:t>means</w:t>
      </w:r>
      <w:r w:rsidR="002F0F98" w:rsidRPr="00A058B6">
        <w:t xml:space="preserve"> </w:t>
      </w:r>
      <w:r w:rsidRPr="00A058B6">
        <w:t>the reversion valuation factor mentioned in the relevant clause of this Schedule that applies to the pension and the member spouse’s age in completed years at the relevant date</w:t>
      </w:r>
      <w:r w:rsidR="00D7157D">
        <w:t>.</w:t>
      </w:r>
    </w:p>
    <w:p w14:paraId="02D96EBE" w14:textId="77777777" w:rsidR="00476230" w:rsidRPr="00A058B6" w:rsidRDefault="00476230" w:rsidP="00476230">
      <w:pPr>
        <w:pStyle w:val="Definition"/>
      </w:pPr>
      <w:r w:rsidRPr="00A058B6">
        <w:rPr>
          <w:b/>
          <w:i/>
        </w:rPr>
        <w:t>m</w:t>
      </w:r>
      <w:r w:rsidRPr="00A058B6">
        <w:t xml:space="preserve"> </w:t>
      </w:r>
      <w:r w:rsidR="002F0F98">
        <w:t>means</w:t>
      </w:r>
      <w:r w:rsidR="002F0F98" w:rsidRPr="00A058B6">
        <w:t xml:space="preserve"> </w:t>
      </w:r>
      <w:r w:rsidRPr="00A058B6">
        <w:t>the number of completed months of the member spouse’s age that are not included in the completed years at the relevant date</w:t>
      </w:r>
      <w:r w:rsidR="00D7157D">
        <w:t>.</w:t>
      </w:r>
    </w:p>
    <w:p w14:paraId="6A7A1310" w14:textId="77777777" w:rsidR="000527FC" w:rsidRPr="00A058B6" w:rsidRDefault="000527FC" w:rsidP="000527FC">
      <w:pPr>
        <w:pStyle w:val="Definition"/>
      </w:pPr>
      <w:r w:rsidRPr="00A058B6">
        <w:rPr>
          <w:b/>
          <w:i/>
        </w:rPr>
        <w:t>R</w:t>
      </w:r>
      <w:r w:rsidRPr="00A058B6">
        <w:rPr>
          <w:b/>
          <w:i/>
          <w:vertAlign w:val="subscript"/>
        </w:rPr>
        <w:t>y+1</w:t>
      </w:r>
      <w:r w:rsidRPr="00A058B6">
        <w:t xml:space="preserve"> </w:t>
      </w:r>
      <w:r w:rsidR="002F0F98">
        <w:t>means</w:t>
      </w:r>
      <w:r w:rsidR="002F0F98" w:rsidRPr="00A058B6">
        <w:t xml:space="preserve"> </w:t>
      </w:r>
      <w:r w:rsidRPr="00A058B6">
        <w:t xml:space="preserve">the reversion valuation factor mentioned in the relevant clause of this Schedule that applies to the pension and the member spouse’s age at the completion of the next year after the year mentioned in the definition of the factor </w:t>
      </w:r>
      <w:r w:rsidRPr="00A058B6">
        <w:rPr>
          <w:b/>
          <w:i/>
        </w:rPr>
        <w:t>R</w:t>
      </w:r>
      <w:r w:rsidRPr="00A058B6">
        <w:rPr>
          <w:b/>
          <w:i/>
          <w:vertAlign w:val="subscript"/>
        </w:rPr>
        <w:t>y</w:t>
      </w:r>
      <w:r w:rsidR="00D7157D">
        <w:t>.</w:t>
      </w:r>
    </w:p>
    <w:p w14:paraId="683A34D0" w14:textId="77777777" w:rsidR="000527FC" w:rsidRPr="00A058B6" w:rsidRDefault="000527FC" w:rsidP="000527FC">
      <w:pPr>
        <w:pStyle w:val="ActHead5"/>
      </w:pPr>
      <w:bookmarkStart w:id="333" w:name="_Toc188350808"/>
      <w:r w:rsidRPr="00423C34">
        <w:rPr>
          <w:rStyle w:val="CharSectno"/>
        </w:rPr>
        <w:t>3</w:t>
      </w:r>
      <w:r w:rsidRPr="00A058B6">
        <w:t xml:space="preserve">  Valuation factors—pension not indexed</w:t>
      </w:r>
      <w:bookmarkEnd w:id="333"/>
    </w:p>
    <w:p w14:paraId="1C0904E7" w14:textId="77777777" w:rsidR="000527FC" w:rsidRPr="00A058B6" w:rsidRDefault="000527FC" w:rsidP="000527FC">
      <w:pPr>
        <w:pStyle w:val="subsection"/>
      </w:pPr>
      <w:r w:rsidRPr="00A058B6">
        <w:tab/>
      </w:r>
      <w:r w:rsidRPr="00A058B6">
        <w:tab/>
        <w:t>The pension valuation factors and reversion valuation factors set out in this clause apply if the pension is not indexed</w:t>
      </w:r>
      <w:r w:rsidR="00D7157D">
        <w:t>.</w:t>
      </w:r>
    </w:p>
    <w:p w14:paraId="210DD6A1" w14:textId="77777777" w:rsidR="000527FC" w:rsidRPr="00A058B6"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A058B6" w14:paraId="22780D36" w14:textId="77777777" w:rsidTr="00FD658D">
        <w:trPr>
          <w:cantSplit/>
          <w:trHeight w:val="86"/>
          <w:tblHeader/>
        </w:trPr>
        <w:tc>
          <w:tcPr>
            <w:tcW w:w="1136" w:type="pct"/>
            <w:vMerge w:val="restart"/>
            <w:tcBorders>
              <w:top w:val="single" w:sz="12" w:space="0" w:color="auto"/>
              <w:bottom w:val="single" w:sz="12" w:space="0" w:color="auto"/>
            </w:tcBorders>
          </w:tcPr>
          <w:p w14:paraId="2AEFA79F" w14:textId="77777777" w:rsidR="000527FC" w:rsidRPr="00A058B6" w:rsidRDefault="000527FC" w:rsidP="00FD658D">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46FE3D07" w14:textId="77777777" w:rsidR="000527FC" w:rsidRPr="00A058B6" w:rsidRDefault="000527FC" w:rsidP="00FD658D">
            <w:pPr>
              <w:pStyle w:val="TableHeading"/>
            </w:pPr>
            <w:r w:rsidRPr="00A058B6">
              <w:t>Valuation factors—pension not indexed</w:t>
            </w:r>
          </w:p>
        </w:tc>
      </w:tr>
      <w:tr w:rsidR="000527FC" w:rsidRPr="00A058B6" w14:paraId="1F90E615" w14:textId="77777777" w:rsidTr="00FD658D">
        <w:trPr>
          <w:cantSplit/>
          <w:trHeight w:val="50"/>
          <w:tblHeader/>
        </w:trPr>
        <w:tc>
          <w:tcPr>
            <w:tcW w:w="1136" w:type="pct"/>
            <w:vMerge/>
            <w:tcBorders>
              <w:bottom w:val="single" w:sz="12" w:space="0" w:color="auto"/>
            </w:tcBorders>
          </w:tcPr>
          <w:p w14:paraId="729F9805" w14:textId="77777777" w:rsidR="000527FC" w:rsidRPr="00A058B6" w:rsidRDefault="000527FC" w:rsidP="00FD658D">
            <w:pPr>
              <w:pStyle w:val="TableHeading"/>
            </w:pPr>
          </w:p>
        </w:tc>
        <w:tc>
          <w:tcPr>
            <w:tcW w:w="1932" w:type="pct"/>
            <w:gridSpan w:val="2"/>
            <w:tcBorders>
              <w:top w:val="single" w:sz="4" w:space="0" w:color="auto"/>
              <w:bottom w:val="single" w:sz="4" w:space="0" w:color="auto"/>
            </w:tcBorders>
          </w:tcPr>
          <w:p w14:paraId="6F97FBFD" w14:textId="77777777" w:rsidR="000527FC" w:rsidRPr="00A058B6" w:rsidRDefault="000527FC" w:rsidP="00FD658D">
            <w:pPr>
              <w:pStyle w:val="TableHeading"/>
            </w:pPr>
            <w:r w:rsidRPr="00A058B6">
              <w:t>Males</w:t>
            </w:r>
          </w:p>
        </w:tc>
        <w:tc>
          <w:tcPr>
            <w:tcW w:w="1932" w:type="pct"/>
            <w:gridSpan w:val="2"/>
            <w:tcBorders>
              <w:top w:val="single" w:sz="4" w:space="0" w:color="auto"/>
              <w:bottom w:val="single" w:sz="4" w:space="0" w:color="auto"/>
            </w:tcBorders>
          </w:tcPr>
          <w:p w14:paraId="34AB02A3" w14:textId="77777777" w:rsidR="000527FC" w:rsidRPr="00A058B6" w:rsidRDefault="000527FC" w:rsidP="00FD658D">
            <w:pPr>
              <w:pStyle w:val="TableHeading"/>
            </w:pPr>
            <w:r w:rsidRPr="00A058B6">
              <w:t>Females</w:t>
            </w:r>
          </w:p>
        </w:tc>
      </w:tr>
      <w:tr w:rsidR="000527FC" w:rsidRPr="00A058B6" w14:paraId="30EF4B02" w14:textId="77777777" w:rsidTr="00F160E0">
        <w:trPr>
          <w:cantSplit/>
          <w:trHeight w:val="50"/>
          <w:tblHeader/>
        </w:trPr>
        <w:tc>
          <w:tcPr>
            <w:tcW w:w="1136" w:type="pct"/>
            <w:vMerge/>
            <w:tcBorders>
              <w:bottom w:val="single" w:sz="12" w:space="0" w:color="auto"/>
            </w:tcBorders>
          </w:tcPr>
          <w:p w14:paraId="14D77651" w14:textId="77777777" w:rsidR="000527FC" w:rsidRPr="00A058B6" w:rsidRDefault="000527FC" w:rsidP="00FD658D"/>
        </w:tc>
        <w:tc>
          <w:tcPr>
            <w:tcW w:w="966" w:type="pct"/>
            <w:tcBorders>
              <w:top w:val="single" w:sz="4" w:space="0" w:color="auto"/>
              <w:bottom w:val="single" w:sz="12" w:space="0" w:color="auto"/>
            </w:tcBorders>
          </w:tcPr>
          <w:p w14:paraId="28E2CE3B"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200E67E1" w14:textId="77777777" w:rsidR="000527FC" w:rsidRPr="00A058B6" w:rsidRDefault="000527FC" w:rsidP="00FD658D">
            <w:pPr>
              <w:pStyle w:val="TableHeading"/>
            </w:pPr>
            <w:r w:rsidRPr="00A058B6">
              <w:t>Reversion</w:t>
            </w:r>
          </w:p>
        </w:tc>
        <w:tc>
          <w:tcPr>
            <w:tcW w:w="966" w:type="pct"/>
            <w:tcBorders>
              <w:top w:val="single" w:sz="4" w:space="0" w:color="auto"/>
              <w:bottom w:val="single" w:sz="12" w:space="0" w:color="auto"/>
            </w:tcBorders>
          </w:tcPr>
          <w:p w14:paraId="63B3F04A"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091620A7" w14:textId="77777777" w:rsidR="000527FC" w:rsidRPr="00A058B6" w:rsidRDefault="000527FC" w:rsidP="00FD658D">
            <w:pPr>
              <w:pStyle w:val="TableHeading"/>
            </w:pPr>
            <w:r w:rsidRPr="00A058B6">
              <w:t>Reversion</w:t>
            </w:r>
          </w:p>
        </w:tc>
      </w:tr>
      <w:tr w:rsidR="00FD658D" w:rsidRPr="005E4819" w14:paraId="7BD71A96" w14:textId="77777777" w:rsidTr="00F160E0">
        <w:trPr>
          <w:cantSplit/>
        </w:trPr>
        <w:tc>
          <w:tcPr>
            <w:tcW w:w="1136" w:type="pct"/>
            <w:tcBorders>
              <w:top w:val="single" w:sz="12" w:space="0" w:color="auto"/>
              <w:bottom w:val="single" w:sz="4" w:space="0" w:color="auto"/>
            </w:tcBorders>
          </w:tcPr>
          <w:p w14:paraId="671D693C" w14:textId="77777777" w:rsidR="00FD658D" w:rsidRPr="00616B26" w:rsidRDefault="00FD658D" w:rsidP="00FD658D">
            <w:pPr>
              <w:pStyle w:val="Tabletext"/>
              <w:rPr>
                <w:snapToGrid w:val="0"/>
              </w:rPr>
            </w:pPr>
            <w:r w:rsidRPr="00616B26">
              <w:rPr>
                <w:snapToGrid w:val="0"/>
              </w:rPr>
              <w:t>18</w:t>
            </w:r>
          </w:p>
        </w:tc>
        <w:tc>
          <w:tcPr>
            <w:tcW w:w="966" w:type="pct"/>
            <w:tcBorders>
              <w:top w:val="single" w:sz="12" w:space="0" w:color="auto"/>
              <w:bottom w:val="single" w:sz="4" w:space="0" w:color="auto"/>
            </w:tcBorders>
            <w:shd w:val="clear" w:color="auto" w:fill="auto"/>
            <w:vAlign w:val="bottom"/>
          </w:tcPr>
          <w:p w14:paraId="6E5B1702" w14:textId="77777777" w:rsidR="00FD658D" w:rsidRPr="005E4819" w:rsidRDefault="00FD658D" w:rsidP="005E4819">
            <w:pPr>
              <w:pStyle w:val="Tabletext"/>
            </w:pPr>
            <w:r w:rsidRPr="005E4819">
              <w:t>16</w:t>
            </w:r>
            <w:r w:rsidR="00D7157D">
              <w:t>.</w:t>
            </w:r>
            <w:r w:rsidRPr="005E4819">
              <w:t>0236</w:t>
            </w:r>
          </w:p>
        </w:tc>
        <w:tc>
          <w:tcPr>
            <w:tcW w:w="966" w:type="pct"/>
            <w:tcBorders>
              <w:top w:val="single" w:sz="12" w:space="0" w:color="auto"/>
              <w:bottom w:val="single" w:sz="4" w:space="0" w:color="auto"/>
            </w:tcBorders>
            <w:shd w:val="clear" w:color="auto" w:fill="auto"/>
            <w:vAlign w:val="bottom"/>
          </w:tcPr>
          <w:p w14:paraId="378E9D5D" w14:textId="77777777" w:rsidR="00FD658D" w:rsidRPr="005E4819" w:rsidRDefault="00FD658D" w:rsidP="005E4819">
            <w:pPr>
              <w:pStyle w:val="Tabletext"/>
            </w:pPr>
            <w:r w:rsidRPr="005E4819">
              <w:t>0</w:t>
            </w:r>
            <w:r w:rsidR="00D7157D">
              <w:t>.</w:t>
            </w:r>
            <w:r w:rsidRPr="005E4819">
              <w:t>5713</w:t>
            </w:r>
          </w:p>
        </w:tc>
        <w:tc>
          <w:tcPr>
            <w:tcW w:w="966" w:type="pct"/>
            <w:tcBorders>
              <w:top w:val="single" w:sz="12" w:space="0" w:color="auto"/>
              <w:bottom w:val="single" w:sz="4" w:space="0" w:color="auto"/>
            </w:tcBorders>
            <w:shd w:val="clear" w:color="auto" w:fill="auto"/>
            <w:vAlign w:val="bottom"/>
          </w:tcPr>
          <w:p w14:paraId="7537D984" w14:textId="77777777" w:rsidR="00FD658D" w:rsidRPr="005E4819" w:rsidRDefault="00FD658D" w:rsidP="005E4819">
            <w:pPr>
              <w:pStyle w:val="Tabletext"/>
            </w:pPr>
            <w:r w:rsidRPr="005E4819">
              <w:t>16</w:t>
            </w:r>
            <w:r w:rsidR="00D7157D">
              <w:t>.</w:t>
            </w:r>
            <w:r w:rsidRPr="005E4819">
              <w:t>3262</w:t>
            </w:r>
          </w:p>
        </w:tc>
        <w:tc>
          <w:tcPr>
            <w:tcW w:w="966" w:type="pct"/>
            <w:tcBorders>
              <w:top w:val="single" w:sz="12" w:space="0" w:color="auto"/>
              <w:bottom w:val="single" w:sz="4" w:space="0" w:color="auto"/>
              <w:right w:val="nil"/>
            </w:tcBorders>
            <w:shd w:val="clear" w:color="auto" w:fill="auto"/>
            <w:vAlign w:val="bottom"/>
          </w:tcPr>
          <w:p w14:paraId="7AA089E5" w14:textId="77777777" w:rsidR="00FD658D" w:rsidRPr="005E4819" w:rsidRDefault="00FD658D" w:rsidP="005E4819">
            <w:pPr>
              <w:pStyle w:val="Tabletext"/>
            </w:pPr>
            <w:r w:rsidRPr="005E4819">
              <w:t>0</w:t>
            </w:r>
            <w:r w:rsidR="00D7157D">
              <w:t>.</w:t>
            </w:r>
            <w:r w:rsidRPr="005E4819">
              <w:t>2924</w:t>
            </w:r>
          </w:p>
        </w:tc>
      </w:tr>
      <w:tr w:rsidR="00FD658D" w:rsidRPr="005E4819" w14:paraId="60106B08" w14:textId="77777777" w:rsidTr="00F160E0">
        <w:trPr>
          <w:cantSplit/>
        </w:trPr>
        <w:tc>
          <w:tcPr>
            <w:tcW w:w="1136" w:type="pct"/>
            <w:tcBorders>
              <w:top w:val="single" w:sz="4" w:space="0" w:color="auto"/>
              <w:bottom w:val="single" w:sz="4" w:space="0" w:color="auto"/>
            </w:tcBorders>
          </w:tcPr>
          <w:p w14:paraId="0623EB33" w14:textId="77777777" w:rsidR="00FD658D" w:rsidRPr="005E4819" w:rsidRDefault="00FD658D" w:rsidP="00FD658D">
            <w:pPr>
              <w:pStyle w:val="Tabletext"/>
            </w:pPr>
            <w:r w:rsidRPr="005E4819">
              <w:t>19</w:t>
            </w:r>
          </w:p>
        </w:tc>
        <w:tc>
          <w:tcPr>
            <w:tcW w:w="966" w:type="pct"/>
            <w:tcBorders>
              <w:top w:val="single" w:sz="4" w:space="0" w:color="auto"/>
              <w:bottom w:val="single" w:sz="4" w:space="0" w:color="auto"/>
            </w:tcBorders>
            <w:shd w:val="clear" w:color="auto" w:fill="auto"/>
            <w:vAlign w:val="bottom"/>
          </w:tcPr>
          <w:p w14:paraId="2B02BD00" w14:textId="77777777" w:rsidR="00FD658D" w:rsidRPr="005E4819" w:rsidRDefault="00FD658D" w:rsidP="005E4819">
            <w:pPr>
              <w:pStyle w:val="Tabletext"/>
            </w:pPr>
            <w:r w:rsidRPr="005E4819">
              <w:t>15</w:t>
            </w:r>
            <w:r w:rsidR="00D7157D">
              <w:t>.</w:t>
            </w:r>
            <w:r w:rsidRPr="005E4819">
              <w:t>9891</w:t>
            </w:r>
          </w:p>
        </w:tc>
        <w:tc>
          <w:tcPr>
            <w:tcW w:w="966" w:type="pct"/>
            <w:tcBorders>
              <w:top w:val="single" w:sz="4" w:space="0" w:color="auto"/>
              <w:bottom w:val="single" w:sz="4" w:space="0" w:color="auto"/>
            </w:tcBorders>
            <w:shd w:val="clear" w:color="auto" w:fill="auto"/>
            <w:vAlign w:val="bottom"/>
          </w:tcPr>
          <w:p w14:paraId="231968B1" w14:textId="77777777" w:rsidR="00FD658D" w:rsidRPr="005E4819" w:rsidRDefault="00FD658D" w:rsidP="005E4819">
            <w:pPr>
              <w:pStyle w:val="Tabletext"/>
            </w:pPr>
            <w:r w:rsidRPr="005E4819">
              <w:t>0</w:t>
            </w:r>
            <w:r w:rsidR="00D7157D">
              <w:t>.</w:t>
            </w:r>
            <w:r w:rsidRPr="005E4819">
              <w:t>5851</w:t>
            </w:r>
          </w:p>
        </w:tc>
        <w:tc>
          <w:tcPr>
            <w:tcW w:w="966" w:type="pct"/>
            <w:tcBorders>
              <w:top w:val="single" w:sz="4" w:space="0" w:color="auto"/>
              <w:bottom w:val="single" w:sz="4" w:space="0" w:color="auto"/>
            </w:tcBorders>
            <w:shd w:val="clear" w:color="auto" w:fill="auto"/>
            <w:vAlign w:val="bottom"/>
          </w:tcPr>
          <w:p w14:paraId="20D210EA" w14:textId="77777777" w:rsidR="00FD658D" w:rsidRPr="005E4819" w:rsidRDefault="00FD658D" w:rsidP="005E4819">
            <w:pPr>
              <w:pStyle w:val="Tabletext"/>
            </w:pPr>
            <w:r w:rsidRPr="005E4819">
              <w:t>16</w:t>
            </w:r>
            <w:r w:rsidR="00D7157D">
              <w:t>.</w:t>
            </w:r>
            <w:r w:rsidRPr="005E4819">
              <w:t>2976</w:t>
            </w:r>
          </w:p>
        </w:tc>
        <w:tc>
          <w:tcPr>
            <w:tcW w:w="966" w:type="pct"/>
            <w:tcBorders>
              <w:top w:val="single" w:sz="4" w:space="0" w:color="auto"/>
              <w:bottom w:val="single" w:sz="4" w:space="0" w:color="auto"/>
              <w:right w:val="nil"/>
            </w:tcBorders>
            <w:shd w:val="clear" w:color="auto" w:fill="auto"/>
            <w:vAlign w:val="bottom"/>
          </w:tcPr>
          <w:p w14:paraId="35DFA6D8" w14:textId="77777777" w:rsidR="00FD658D" w:rsidRPr="005E4819" w:rsidRDefault="00FD658D" w:rsidP="005E4819">
            <w:pPr>
              <w:pStyle w:val="Tabletext"/>
            </w:pPr>
            <w:r w:rsidRPr="005E4819">
              <w:t>0</w:t>
            </w:r>
            <w:r w:rsidR="00D7157D">
              <w:t>.</w:t>
            </w:r>
            <w:r w:rsidRPr="005E4819">
              <w:t>2992</w:t>
            </w:r>
          </w:p>
        </w:tc>
      </w:tr>
      <w:tr w:rsidR="00FD658D" w:rsidRPr="005E4819" w14:paraId="37666DF1" w14:textId="77777777" w:rsidTr="00F160E0">
        <w:trPr>
          <w:cantSplit/>
        </w:trPr>
        <w:tc>
          <w:tcPr>
            <w:tcW w:w="1136" w:type="pct"/>
            <w:tcBorders>
              <w:top w:val="single" w:sz="4" w:space="0" w:color="auto"/>
              <w:bottom w:val="single" w:sz="4" w:space="0" w:color="auto"/>
            </w:tcBorders>
          </w:tcPr>
          <w:p w14:paraId="70E70571" w14:textId="77777777" w:rsidR="00FD658D" w:rsidRPr="005E4819" w:rsidRDefault="00FD658D" w:rsidP="00FD658D">
            <w:pPr>
              <w:pStyle w:val="Tabletext"/>
            </w:pPr>
            <w:r w:rsidRPr="005E4819">
              <w:t>20</w:t>
            </w:r>
          </w:p>
        </w:tc>
        <w:tc>
          <w:tcPr>
            <w:tcW w:w="966" w:type="pct"/>
            <w:tcBorders>
              <w:top w:val="single" w:sz="4" w:space="0" w:color="auto"/>
              <w:bottom w:val="single" w:sz="4" w:space="0" w:color="auto"/>
            </w:tcBorders>
            <w:shd w:val="clear" w:color="auto" w:fill="auto"/>
            <w:vAlign w:val="bottom"/>
          </w:tcPr>
          <w:p w14:paraId="69C8C3B3" w14:textId="77777777" w:rsidR="00FD658D" w:rsidRPr="005E4819" w:rsidRDefault="00FD658D" w:rsidP="005E4819">
            <w:pPr>
              <w:pStyle w:val="Tabletext"/>
            </w:pPr>
            <w:r w:rsidRPr="005E4819">
              <w:t>15</w:t>
            </w:r>
            <w:r w:rsidR="00D7157D">
              <w:t>.</w:t>
            </w:r>
            <w:r w:rsidRPr="005E4819">
              <w:t>9525</w:t>
            </w:r>
          </w:p>
        </w:tc>
        <w:tc>
          <w:tcPr>
            <w:tcW w:w="966" w:type="pct"/>
            <w:tcBorders>
              <w:top w:val="single" w:sz="4" w:space="0" w:color="auto"/>
              <w:bottom w:val="single" w:sz="4" w:space="0" w:color="auto"/>
            </w:tcBorders>
            <w:shd w:val="clear" w:color="auto" w:fill="auto"/>
            <w:vAlign w:val="bottom"/>
          </w:tcPr>
          <w:p w14:paraId="56088969" w14:textId="77777777" w:rsidR="00FD658D" w:rsidRPr="005E4819" w:rsidRDefault="00FD658D" w:rsidP="005E4819">
            <w:pPr>
              <w:pStyle w:val="Tabletext"/>
            </w:pPr>
            <w:r w:rsidRPr="005E4819">
              <w:t>0</w:t>
            </w:r>
            <w:r w:rsidR="00D7157D">
              <w:t>.</w:t>
            </w:r>
            <w:r w:rsidRPr="005E4819">
              <w:t>5999</w:t>
            </w:r>
          </w:p>
        </w:tc>
        <w:tc>
          <w:tcPr>
            <w:tcW w:w="966" w:type="pct"/>
            <w:tcBorders>
              <w:top w:val="single" w:sz="4" w:space="0" w:color="auto"/>
              <w:bottom w:val="single" w:sz="4" w:space="0" w:color="auto"/>
            </w:tcBorders>
            <w:shd w:val="clear" w:color="auto" w:fill="auto"/>
            <w:vAlign w:val="bottom"/>
          </w:tcPr>
          <w:p w14:paraId="208C63C1" w14:textId="77777777" w:rsidR="00FD658D" w:rsidRPr="005E4819" w:rsidRDefault="00FD658D" w:rsidP="005E4819">
            <w:pPr>
              <w:pStyle w:val="Tabletext"/>
            </w:pPr>
            <w:r w:rsidRPr="005E4819">
              <w:t>16</w:t>
            </w:r>
            <w:r w:rsidR="00D7157D">
              <w:t>.</w:t>
            </w:r>
            <w:r w:rsidRPr="005E4819">
              <w:t>2672</w:t>
            </w:r>
          </w:p>
        </w:tc>
        <w:tc>
          <w:tcPr>
            <w:tcW w:w="966" w:type="pct"/>
            <w:tcBorders>
              <w:top w:val="single" w:sz="4" w:space="0" w:color="auto"/>
              <w:bottom w:val="single" w:sz="4" w:space="0" w:color="auto"/>
              <w:right w:val="nil"/>
            </w:tcBorders>
            <w:shd w:val="clear" w:color="auto" w:fill="auto"/>
            <w:vAlign w:val="bottom"/>
          </w:tcPr>
          <w:p w14:paraId="44DB9816" w14:textId="77777777" w:rsidR="00FD658D" w:rsidRPr="005E4819" w:rsidRDefault="00FD658D" w:rsidP="005E4819">
            <w:pPr>
              <w:pStyle w:val="Tabletext"/>
            </w:pPr>
            <w:r w:rsidRPr="005E4819">
              <w:t>0</w:t>
            </w:r>
            <w:r w:rsidR="00D7157D">
              <w:t>.</w:t>
            </w:r>
            <w:r w:rsidRPr="005E4819">
              <w:t>3064</w:t>
            </w:r>
          </w:p>
        </w:tc>
      </w:tr>
      <w:tr w:rsidR="00FD658D" w:rsidRPr="005E4819" w14:paraId="1B2B6300" w14:textId="77777777" w:rsidTr="00F160E0">
        <w:trPr>
          <w:cantSplit/>
        </w:trPr>
        <w:tc>
          <w:tcPr>
            <w:tcW w:w="1136" w:type="pct"/>
            <w:tcBorders>
              <w:top w:val="single" w:sz="4" w:space="0" w:color="auto"/>
              <w:bottom w:val="single" w:sz="4" w:space="0" w:color="auto"/>
            </w:tcBorders>
          </w:tcPr>
          <w:p w14:paraId="6F948A3E" w14:textId="77777777" w:rsidR="00FD658D" w:rsidRPr="005E4819" w:rsidRDefault="00FD658D" w:rsidP="00FD658D">
            <w:pPr>
              <w:pStyle w:val="Tabletext"/>
            </w:pPr>
            <w:r w:rsidRPr="005E4819">
              <w:t>21</w:t>
            </w:r>
          </w:p>
        </w:tc>
        <w:tc>
          <w:tcPr>
            <w:tcW w:w="966" w:type="pct"/>
            <w:tcBorders>
              <w:top w:val="single" w:sz="4" w:space="0" w:color="auto"/>
              <w:bottom w:val="single" w:sz="4" w:space="0" w:color="auto"/>
            </w:tcBorders>
            <w:shd w:val="clear" w:color="auto" w:fill="auto"/>
            <w:vAlign w:val="bottom"/>
          </w:tcPr>
          <w:p w14:paraId="3088689B" w14:textId="77777777" w:rsidR="00FD658D" w:rsidRPr="005E4819" w:rsidRDefault="00FD658D" w:rsidP="005E4819">
            <w:pPr>
              <w:pStyle w:val="Tabletext"/>
            </w:pPr>
            <w:r w:rsidRPr="005E4819">
              <w:t>15</w:t>
            </w:r>
            <w:r w:rsidR="00D7157D">
              <w:t>.</w:t>
            </w:r>
            <w:r w:rsidRPr="005E4819">
              <w:t>9136</w:t>
            </w:r>
          </w:p>
        </w:tc>
        <w:tc>
          <w:tcPr>
            <w:tcW w:w="966" w:type="pct"/>
            <w:tcBorders>
              <w:top w:val="single" w:sz="4" w:space="0" w:color="auto"/>
              <w:bottom w:val="single" w:sz="4" w:space="0" w:color="auto"/>
            </w:tcBorders>
            <w:shd w:val="clear" w:color="auto" w:fill="auto"/>
            <w:vAlign w:val="bottom"/>
          </w:tcPr>
          <w:p w14:paraId="7C21D45A" w14:textId="77777777" w:rsidR="00FD658D" w:rsidRPr="005E4819" w:rsidRDefault="00FD658D" w:rsidP="005E4819">
            <w:pPr>
              <w:pStyle w:val="Tabletext"/>
            </w:pPr>
            <w:r w:rsidRPr="005E4819">
              <w:t>0</w:t>
            </w:r>
            <w:r w:rsidR="00D7157D">
              <w:t>.</w:t>
            </w:r>
            <w:r w:rsidRPr="005E4819">
              <w:t>6155</w:t>
            </w:r>
          </w:p>
        </w:tc>
        <w:tc>
          <w:tcPr>
            <w:tcW w:w="966" w:type="pct"/>
            <w:tcBorders>
              <w:top w:val="single" w:sz="4" w:space="0" w:color="auto"/>
              <w:bottom w:val="single" w:sz="4" w:space="0" w:color="auto"/>
            </w:tcBorders>
            <w:shd w:val="clear" w:color="auto" w:fill="auto"/>
            <w:vAlign w:val="bottom"/>
          </w:tcPr>
          <w:p w14:paraId="38DC7CED" w14:textId="77777777" w:rsidR="00FD658D" w:rsidRPr="005E4819" w:rsidRDefault="00FD658D" w:rsidP="005E4819">
            <w:pPr>
              <w:pStyle w:val="Tabletext"/>
            </w:pPr>
            <w:r w:rsidRPr="005E4819">
              <w:t>16</w:t>
            </w:r>
            <w:r w:rsidR="00D7157D">
              <w:t>.</w:t>
            </w:r>
            <w:r w:rsidRPr="005E4819">
              <w:t>2350</w:t>
            </w:r>
          </w:p>
        </w:tc>
        <w:tc>
          <w:tcPr>
            <w:tcW w:w="966" w:type="pct"/>
            <w:tcBorders>
              <w:top w:val="single" w:sz="4" w:space="0" w:color="auto"/>
              <w:bottom w:val="single" w:sz="4" w:space="0" w:color="auto"/>
              <w:right w:val="nil"/>
            </w:tcBorders>
            <w:shd w:val="clear" w:color="auto" w:fill="auto"/>
            <w:vAlign w:val="bottom"/>
          </w:tcPr>
          <w:p w14:paraId="7DB1703A" w14:textId="77777777" w:rsidR="00FD658D" w:rsidRPr="005E4819" w:rsidRDefault="00FD658D" w:rsidP="005E4819">
            <w:pPr>
              <w:pStyle w:val="Tabletext"/>
            </w:pPr>
            <w:r w:rsidRPr="005E4819">
              <w:t>0</w:t>
            </w:r>
            <w:r w:rsidR="00D7157D">
              <w:t>.</w:t>
            </w:r>
            <w:r w:rsidRPr="005E4819">
              <w:t>3140</w:t>
            </w:r>
          </w:p>
        </w:tc>
      </w:tr>
      <w:tr w:rsidR="00FD658D" w:rsidRPr="005E4819" w14:paraId="03203173" w14:textId="77777777" w:rsidTr="00F160E0">
        <w:trPr>
          <w:cantSplit/>
        </w:trPr>
        <w:tc>
          <w:tcPr>
            <w:tcW w:w="1136" w:type="pct"/>
            <w:tcBorders>
              <w:top w:val="single" w:sz="4" w:space="0" w:color="auto"/>
              <w:bottom w:val="single" w:sz="4" w:space="0" w:color="auto"/>
            </w:tcBorders>
          </w:tcPr>
          <w:p w14:paraId="6A81A946" w14:textId="77777777" w:rsidR="00FD658D" w:rsidRPr="005E4819" w:rsidRDefault="00FD658D" w:rsidP="00FD658D">
            <w:pPr>
              <w:pStyle w:val="Tabletext"/>
            </w:pPr>
            <w:r w:rsidRPr="005E4819">
              <w:t>22</w:t>
            </w:r>
          </w:p>
        </w:tc>
        <w:tc>
          <w:tcPr>
            <w:tcW w:w="966" w:type="pct"/>
            <w:tcBorders>
              <w:top w:val="single" w:sz="4" w:space="0" w:color="auto"/>
              <w:bottom w:val="single" w:sz="4" w:space="0" w:color="auto"/>
            </w:tcBorders>
            <w:shd w:val="clear" w:color="auto" w:fill="auto"/>
            <w:vAlign w:val="bottom"/>
          </w:tcPr>
          <w:p w14:paraId="0B47DE11" w14:textId="77777777" w:rsidR="00FD658D" w:rsidRPr="005E4819" w:rsidRDefault="00FD658D" w:rsidP="005E4819">
            <w:pPr>
              <w:pStyle w:val="Tabletext"/>
            </w:pPr>
            <w:r w:rsidRPr="005E4819">
              <w:t>15</w:t>
            </w:r>
            <w:r w:rsidR="00D7157D">
              <w:t>.</w:t>
            </w:r>
            <w:r w:rsidRPr="005E4819">
              <w:t>8723</w:t>
            </w:r>
          </w:p>
        </w:tc>
        <w:tc>
          <w:tcPr>
            <w:tcW w:w="966" w:type="pct"/>
            <w:tcBorders>
              <w:top w:val="single" w:sz="4" w:space="0" w:color="auto"/>
              <w:bottom w:val="single" w:sz="4" w:space="0" w:color="auto"/>
            </w:tcBorders>
            <w:shd w:val="clear" w:color="auto" w:fill="auto"/>
            <w:vAlign w:val="bottom"/>
          </w:tcPr>
          <w:p w14:paraId="5F1EDA69" w14:textId="77777777" w:rsidR="00FD658D" w:rsidRPr="005E4819" w:rsidRDefault="00FD658D" w:rsidP="005E4819">
            <w:pPr>
              <w:pStyle w:val="Tabletext"/>
            </w:pPr>
            <w:r w:rsidRPr="005E4819">
              <w:t>0</w:t>
            </w:r>
            <w:r w:rsidR="00D7157D">
              <w:t>.</w:t>
            </w:r>
            <w:r w:rsidRPr="005E4819">
              <w:t>6322</w:t>
            </w:r>
          </w:p>
        </w:tc>
        <w:tc>
          <w:tcPr>
            <w:tcW w:w="966" w:type="pct"/>
            <w:tcBorders>
              <w:top w:val="single" w:sz="4" w:space="0" w:color="auto"/>
              <w:bottom w:val="single" w:sz="4" w:space="0" w:color="auto"/>
            </w:tcBorders>
            <w:shd w:val="clear" w:color="auto" w:fill="auto"/>
            <w:vAlign w:val="bottom"/>
          </w:tcPr>
          <w:p w14:paraId="3DADDCBD" w14:textId="77777777" w:rsidR="00FD658D" w:rsidRPr="005E4819" w:rsidRDefault="00FD658D" w:rsidP="005E4819">
            <w:pPr>
              <w:pStyle w:val="Tabletext"/>
            </w:pPr>
            <w:r w:rsidRPr="005E4819">
              <w:t>16</w:t>
            </w:r>
            <w:r w:rsidR="00D7157D">
              <w:t>.</w:t>
            </w:r>
            <w:r w:rsidRPr="005E4819">
              <w:t>2007</w:t>
            </w:r>
          </w:p>
        </w:tc>
        <w:tc>
          <w:tcPr>
            <w:tcW w:w="966" w:type="pct"/>
            <w:tcBorders>
              <w:top w:val="single" w:sz="4" w:space="0" w:color="auto"/>
              <w:bottom w:val="single" w:sz="4" w:space="0" w:color="auto"/>
              <w:right w:val="nil"/>
            </w:tcBorders>
            <w:shd w:val="clear" w:color="auto" w:fill="auto"/>
            <w:vAlign w:val="bottom"/>
          </w:tcPr>
          <w:p w14:paraId="51FA1C65" w14:textId="77777777" w:rsidR="00FD658D" w:rsidRPr="005E4819" w:rsidRDefault="00FD658D" w:rsidP="005E4819">
            <w:pPr>
              <w:pStyle w:val="Tabletext"/>
            </w:pPr>
            <w:r w:rsidRPr="005E4819">
              <w:t>0</w:t>
            </w:r>
            <w:r w:rsidR="00D7157D">
              <w:t>.</w:t>
            </w:r>
            <w:r w:rsidRPr="005E4819">
              <w:t>3221</w:t>
            </w:r>
          </w:p>
        </w:tc>
      </w:tr>
      <w:tr w:rsidR="00FD658D" w:rsidRPr="005E4819" w14:paraId="7214D16E" w14:textId="77777777" w:rsidTr="00F160E0">
        <w:trPr>
          <w:cantSplit/>
        </w:trPr>
        <w:tc>
          <w:tcPr>
            <w:tcW w:w="1136" w:type="pct"/>
            <w:tcBorders>
              <w:top w:val="single" w:sz="4" w:space="0" w:color="auto"/>
              <w:bottom w:val="single" w:sz="4" w:space="0" w:color="auto"/>
            </w:tcBorders>
          </w:tcPr>
          <w:p w14:paraId="0515CBB1" w14:textId="77777777" w:rsidR="00FD658D" w:rsidRPr="005E4819" w:rsidRDefault="00FD658D" w:rsidP="00FD658D">
            <w:pPr>
              <w:pStyle w:val="Tabletext"/>
            </w:pPr>
            <w:r w:rsidRPr="005E4819">
              <w:t>23</w:t>
            </w:r>
          </w:p>
        </w:tc>
        <w:tc>
          <w:tcPr>
            <w:tcW w:w="966" w:type="pct"/>
            <w:tcBorders>
              <w:top w:val="single" w:sz="4" w:space="0" w:color="auto"/>
              <w:bottom w:val="single" w:sz="4" w:space="0" w:color="auto"/>
            </w:tcBorders>
            <w:shd w:val="clear" w:color="auto" w:fill="auto"/>
            <w:vAlign w:val="bottom"/>
          </w:tcPr>
          <w:p w14:paraId="303400A6" w14:textId="77777777" w:rsidR="00FD658D" w:rsidRPr="005E4819" w:rsidRDefault="00FD658D" w:rsidP="005E4819">
            <w:pPr>
              <w:pStyle w:val="Tabletext"/>
            </w:pPr>
            <w:r w:rsidRPr="005E4819">
              <w:t>15</w:t>
            </w:r>
            <w:r w:rsidR="00D7157D">
              <w:t>.</w:t>
            </w:r>
            <w:r w:rsidRPr="005E4819">
              <w:t>8285</w:t>
            </w:r>
          </w:p>
        </w:tc>
        <w:tc>
          <w:tcPr>
            <w:tcW w:w="966" w:type="pct"/>
            <w:tcBorders>
              <w:top w:val="single" w:sz="4" w:space="0" w:color="auto"/>
              <w:bottom w:val="single" w:sz="4" w:space="0" w:color="auto"/>
            </w:tcBorders>
            <w:shd w:val="clear" w:color="auto" w:fill="auto"/>
            <w:vAlign w:val="bottom"/>
          </w:tcPr>
          <w:p w14:paraId="5609A561" w14:textId="77777777" w:rsidR="00FD658D" w:rsidRPr="005E4819" w:rsidRDefault="00FD658D" w:rsidP="005E4819">
            <w:pPr>
              <w:pStyle w:val="Tabletext"/>
            </w:pPr>
            <w:r w:rsidRPr="005E4819">
              <w:t>0</w:t>
            </w:r>
            <w:r w:rsidR="00D7157D">
              <w:t>.</w:t>
            </w:r>
            <w:r w:rsidRPr="005E4819">
              <w:t>6499</w:t>
            </w:r>
          </w:p>
        </w:tc>
        <w:tc>
          <w:tcPr>
            <w:tcW w:w="966" w:type="pct"/>
            <w:tcBorders>
              <w:top w:val="single" w:sz="4" w:space="0" w:color="auto"/>
              <w:bottom w:val="single" w:sz="4" w:space="0" w:color="auto"/>
            </w:tcBorders>
            <w:shd w:val="clear" w:color="auto" w:fill="auto"/>
            <w:vAlign w:val="bottom"/>
          </w:tcPr>
          <w:p w14:paraId="4B1A56F6" w14:textId="77777777" w:rsidR="00FD658D" w:rsidRPr="005E4819" w:rsidRDefault="00FD658D" w:rsidP="005E4819">
            <w:pPr>
              <w:pStyle w:val="Tabletext"/>
            </w:pPr>
            <w:r w:rsidRPr="005E4819">
              <w:t>16</w:t>
            </w:r>
            <w:r w:rsidR="00D7157D">
              <w:t>.</w:t>
            </w:r>
            <w:r w:rsidRPr="005E4819">
              <w:t>1644</w:t>
            </w:r>
          </w:p>
        </w:tc>
        <w:tc>
          <w:tcPr>
            <w:tcW w:w="966" w:type="pct"/>
            <w:tcBorders>
              <w:top w:val="single" w:sz="4" w:space="0" w:color="auto"/>
              <w:bottom w:val="single" w:sz="4" w:space="0" w:color="auto"/>
              <w:right w:val="nil"/>
            </w:tcBorders>
            <w:shd w:val="clear" w:color="auto" w:fill="auto"/>
            <w:vAlign w:val="bottom"/>
          </w:tcPr>
          <w:p w14:paraId="4C86FFEC" w14:textId="77777777" w:rsidR="00FD658D" w:rsidRPr="005E4819" w:rsidRDefault="00FD658D" w:rsidP="005E4819">
            <w:pPr>
              <w:pStyle w:val="Tabletext"/>
            </w:pPr>
            <w:r w:rsidRPr="005E4819">
              <w:t>0</w:t>
            </w:r>
            <w:r w:rsidR="00D7157D">
              <w:t>.</w:t>
            </w:r>
            <w:r w:rsidRPr="005E4819">
              <w:t>3308</w:t>
            </w:r>
          </w:p>
        </w:tc>
      </w:tr>
      <w:tr w:rsidR="00FD658D" w:rsidRPr="005E4819" w14:paraId="4BEF3DC2" w14:textId="77777777" w:rsidTr="00F160E0">
        <w:trPr>
          <w:cantSplit/>
        </w:trPr>
        <w:tc>
          <w:tcPr>
            <w:tcW w:w="1136" w:type="pct"/>
            <w:tcBorders>
              <w:top w:val="single" w:sz="4" w:space="0" w:color="auto"/>
              <w:bottom w:val="single" w:sz="4" w:space="0" w:color="auto"/>
            </w:tcBorders>
          </w:tcPr>
          <w:p w14:paraId="23B35ADB" w14:textId="77777777" w:rsidR="00FD658D" w:rsidRPr="005E4819" w:rsidRDefault="00FD658D" w:rsidP="00FD658D">
            <w:pPr>
              <w:pStyle w:val="Tabletext"/>
            </w:pPr>
            <w:r w:rsidRPr="005E4819">
              <w:t>24</w:t>
            </w:r>
          </w:p>
        </w:tc>
        <w:tc>
          <w:tcPr>
            <w:tcW w:w="966" w:type="pct"/>
            <w:tcBorders>
              <w:top w:val="single" w:sz="4" w:space="0" w:color="auto"/>
              <w:bottom w:val="single" w:sz="4" w:space="0" w:color="auto"/>
            </w:tcBorders>
            <w:shd w:val="clear" w:color="auto" w:fill="auto"/>
            <w:vAlign w:val="bottom"/>
          </w:tcPr>
          <w:p w14:paraId="32B13AA2" w14:textId="77777777" w:rsidR="00FD658D" w:rsidRPr="005E4819" w:rsidRDefault="00FD658D" w:rsidP="005E4819">
            <w:pPr>
              <w:pStyle w:val="Tabletext"/>
            </w:pPr>
            <w:r w:rsidRPr="005E4819">
              <w:t>15</w:t>
            </w:r>
            <w:r w:rsidR="00D7157D">
              <w:t>.</w:t>
            </w:r>
            <w:r w:rsidRPr="005E4819">
              <w:t>7819</w:t>
            </w:r>
          </w:p>
        </w:tc>
        <w:tc>
          <w:tcPr>
            <w:tcW w:w="966" w:type="pct"/>
            <w:tcBorders>
              <w:top w:val="single" w:sz="4" w:space="0" w:color="auto"/>
              <w:bottom w:val="single" w:sz="4" w:space="0" w:color="auto"/>
            </w:tcBorders>
            <w:shd w:val="clear" w:color="auto" w:fill="auto"/>
            <w:vAlign w:val="bottom"/>
          </w:tcPr>
          <w:p w14:paraId="54231FBC" w14:textId="77777777" w:rsidR="00FD658D" w:rsidRPr="005E4819" w:rsidRDefault="00FD658D" w:rsidP="005E4819">
            <w:pPr>
              <w:pStyle w:val="Tabletext"/>
            </w:pPr>
            <w:r w:rsidRPr="005E4819">
              <w:t>0</w:t>
            </w:r>
            <w:r w:rsidR="00D7157D">
              <w:t>.</w:t>
            </w:r>
            <w:r w:rsidRPr="005E4819">
              <w:t>6687</w:t>
            </w:r>
          </w:p>
        </w:tc>
        <w:tc>
          <w:tcPr>
            <w:tcW w:w="966" w:type="pct"/>
            <w:tcBorders>
              <w:top w:val="single" w:sz="4" w:space="0" w:color="auto"/>
              <w:bottom w:val="single" w:sz="4" w:space="0" w:color="auto"/>
            </w:tcBorders>
            <w:shd w:val="clear" w:color="auto" w:fill="auto"/>
            <w:vAlign w:val="bottom"/>
          </w:tcPr>
          <w:p w14:paraId="628542B1" w14:textId="77777777" w:rsidR="00FD658D" w:rsidRPr="005E4819" w:rsidRDefault="00FD658D" w:rsidP="005E4819">
            <w:pPr>
              <w:pStyle w:val="Tabletext"/>
            </w:pPr>
            <w:r w:rsidRPr="005E4819">
              <w:t>16</w:t>
            </w:r>
            <w:r w:rsidR="00D7157D">
              <w:t>.</w:t>
            </w:r>
            <w:r w:rsidRPr="005E4819">
              <w:t>1259</w:t>
            </w:r>
          </w:p>
        </w:tc>
        <w:tc>
          <w:tcPr>
            <w:tcW w:w="966" w:type="pct"/>
            <w:tcBorders>
              <w:top w:val="single" w:sz="4" w:space="0" w:color="auto"/>
              <w:bottom w:val="single" w:sz="4" w:space="0" w:color="auto"/>
              <w:right w:val="nil"/>
            </w:tcBorders>
            <w:shd w:val="clear" w:color="auto" w:fill="auto"/>
            <w:vAlign w:val="bottom"/>
          </w:tcPr>
          <w:p w14:paraId="2D5C6083" w14:textId="77777777" w:rsidR="00FD658D" w:rsidRPr="005E4819" w:rsidRDefault="00FD658D" w:rsidP="005E4819">
            <w:pPr>
              <w:pStyle w:val="Tabletext"/>
            </w:pPr>
            <w:r w:rsidRPr="005E4819">
              <w:t>0</w:t>
            </w:r>
            <w:r w:rsidR="00D7157D">
              <w:t>.</w:t>
            </w:r>
            <w:r w:rsidRPr="005E4819">
              <w:t>3399</w:t>
            </w:r>
          </w:p>
        </w:tc>
      </w:tr>
      <w:tr w:rsidR="00FD658D" w:rsidRPr="005E4819" w14:paraId="548918D2" w14:textId="77777777" w:rsidTr="00F160E0">
        <w:trPr>
          <w:cantSplit/>
        </w:trPr>
        <w:tc>
          <w:tcPr>
            <w:tcW w:w="1136" w:type="pct"/>
            <w:tcBorders>
              <w:top w:val="single" w:sz="4" w:space="0" w:color="auto"/>
              <w:bottom w:val="single" w:sz="4" w:space="0" w:color="auto"/>
            </w:tcBorders>
          </w:tcPr>
          <w:p w14:paraId="34210FD9" w14:textId="77777777" w:rsidR="00FD658D" w:rsidRPr="005E4819" w:rsidRDefault="00FD658D" w:rsidP="00FD658D">
            <w:pPr>
              <w:pStyle w:val="Tabletext"/>
            </w:pPr>
            <w:r w:rsidRPr="005E4819">
              <w:t>25</w:t>
            </w:r>
          </w:p>
        </w:tc>
        <w:tc>
          <w:tcPr>
            <w:tcW w:w="966" w:type="pct"/>
            <w:tcBorders>
              <w:top w:val="single" w:sz="4" w:space="0" w:color="auto"/>
              <w:bottom w:val="single" w:sz="4" w:space="0" w:color="auto"/>
            </w:tcBorders>
            <w:shd w:val="clear" w:color="auto" w:fill="auto"/>
            <w:vAlign w:val="bottom"/>
          </w:tcPr>
          <w:p w14:paraId="7369BF89" w14:textId="77777777" w:rsidR="00FD658D" w:rsidRPr="005E4819" w:rsidRDefault="00FD658D" w:rsidP="005E4819">
            <w:pPr>
              <w:pStyle w:val="Tabletext"/>
            </w:pPr>
            <w:r w:rsidRPr="005E4819">
              <w:t>15</w:t>
            </w:r>
            <w:r w:rsidR="00D7157D">
              <w:t>.</w:t>
            </w:r>
            <w:r w:rsidRPr="005E4819">
              <w:t>7324</w:t>
            </w:r>
          </w:p>
        </w:tc>
        <w:tc>
          <w:tcPr>
            <w:tcW w:w="966" w:type="pct"/>
            <w:tcBorders>
              <w:top w:val="single" w:sz="4" w:space="0" w:color="auto"/>
              <w:bottom w:val="single" w:sz="4" w:space="0" w:color="auto"/>
            </w:tcBorders>
            <w:shd w:val="clear" w:color="auto" w:fill="auto"/>
            <w:vAlign w:val="bottom"/>
          </w:tcPr>
          <w:p w14:paraId="3AE5E474" w14:textId="77777777" w:rsidR="00FD658D" w:rsidRPr="005E4819" w:rsidRDefault="00FD658D" w:rsidP="005E4819">
            <w:pPr>
              <w:pStyle w:val="Tabletext"/>
            </w:pPr>
            <w:r w:rsidRPr="005E4819">
              <w:t>0</w:t>
            </w:r>
            <w:r w:rsidR="00D7157D">
              <w:t>.</w:t>
            </w:r>
            <w:r w:rsidRPr="005E4819">
              <w:t>6886</w:t>
            </w:r>
          </w:p>
        </w:tc>
        <w:tc>
          <w:tcPr>
            <w:tcW w:w="966" w:type="pct"/>
            <w:tcBorders>
              <w:top w:val="single" w:sz="4" w:space="0" w:color="auto"/>
              <w:bottom w:val="single" w:sz="4" w:space="0" w:color="auto"/>
            </w:tcBorders>
            <w:shd w:val="clear" w:color="auto" w:fill="auto"/>
            <w:vAlign w:val="bottom"/>
          </w:tcPr>
          <w:p w14:paraId="207A0F62" w14:textId="77777777" w:rsidR="00FD658D" w:rsidRPr="005E4819" w:rsidRDefault="00FD658D" w:rsidP="005E4819">
            <w:pPr>
              <w:pStyle w:val="Tabletext"/>
            </w:pPr>
            <w:r w:rsidRPr="005E4819">
              <w:t>16</w:t>
            </w:r>
            <w:r w:rsidR="00D7157D">
              <w:t>.</w:t>
            </w:r>
            <w:r w:rsidRPr="005E4819">
              <w:t>0850</w:t>
            </w:r>
          </w:p>
        </w:tc>
        <w:tc>
          <w:tcPr>
            <w:tcW w:w="966" w:type="pct"/>
            <w:tcBorders>
              <w:top w:val="single" w:sz="4" w:space="0" w:color="auto"/>
              <w:bottom w:val="single" w:sz="4" w:space="0" w:color="auto"/>
              <w:right w:val="nil"/>
            </w:tcBorders>
            <w:shd w:val="clear" w:color="auto" w:fill="auto"/>
            <w:vAlign w:val="bottom"/>
          </w:tcPr>
          <w:p w14:paraId="05ACE2E5" w14:textId="77777777" w:rsidR="00FD658D" w:rsidRPr="005E4819" w:rsidRDefault="00FD658D" w:rsidP="005E4819">
            <w:pPr>
              <w:pStyle w:val="Tabletext"/>
            </w:pPr>
            <w:r w:rsidRPr="005E4819">
              <w:t>0</w:t>
            </w:r>
            <w:r w:rsidR="00D7157D">
              <w:t>.</w:t>
            </w:r>
            <w:r w:rsidRPr="005E4819">
              <w:t>3497</w:t>
            </w:r>
          </w:p>
        </w:tc>
      </w:tr>
      <w:tr w:rsidR="00FD658D" w:rsidRPr="005E4819" w14:paraId="08A66AE7" w14:textId="77777777" w:rsidTr="00F160E0">
        <w:trPr>
          <w:cantSplit/>
        </w:trPr>
        <w:tc>
          <w:tcPr>
            <w:tcW w:w="1136" w:type="pct"/>
            <w:tcBorders>
              <w:top w:val="single" w:sz="4" w:space="0" w:color="auto"/>
              <w:bottom w:val="single" w:sz="4" w:space="0" w:color="auto"/>
            </w:tcBorders>
          </w:tcPr>
          <w:p w14:paraId="2A8A21E2" w14:textId="77777777" w:rsidR="00FD658D" w:rsidRPr="005E4819" w:rsidRDefault="00FD658D" w:rsidP="00FD658D">
            <w:pPr>
              <w:pStyle w:val="Tabletext"/>
            </w:pPr>
            <w:r w:rsidRPr="005E4819">
              <w:t>26</w:t>
            </w:r>
          </w:p>
        </w:tc>
        <w:tc>
          <w:tcPr>
            <w:tcW w:w="966" w:type="pct"/>
            <w:tcBorders>
              <w:top w:val="single" w:sz="4" w:space="0" w:color="auto"/>
              <w:bottom w:val="single" w:sz="4" w:space="0" w:color="auto"/>
            </w:tcBorders>
            <w:shd w:val="clear" w:color="auto" w:fill="auto"/>
            <w:vAlign w:val="bottom"/>
          </w:tcPr>
          <w:p w14:paraId="10429CAB" w14:textId="77777777" w:rsidR="00FD658D" w:rsidRPr="005E4819" w:rsidRDefault="00FD658D" w:rsidP="005E4819">
            <w:pPr>
              <w:pStyle w:val="Tabletext"/>
            </w:pPr>
            <w:r w:rsidRPr="005E4819">
              <w:t>15</w:t>
            </w:r>
            <w:r w:rsidR="00D7157D">
              <w:t>.</w:t>
            </w:r>
            <w:r w:rsidRPr="005E4819">
              <w:t>6799</w:t>
            </w:r>
          </w:p>
        </w:tc>
        <w:tc>
          <w:tcPr>
            <w:tcW w:w="966" w:type="pct"/>
            <w:tcBorders>
              <w:top w:val="single" w:sz="4" w:space="0" w:color="auto"/>
              <w:bottom w:val="single" w:sz="4" w:space="0" w:color="auto"/>
            </w:tcBorders>
            <w:shd w:val="clear" w:color="auto" w:fill="auto"/>
            <w:vAlign w:val="bottom"/>
          </w:tcPr>
          <w:p w14:paraId="6680FD1F" w14:textId="77777777" w:rsidR="00FD658D" w:rsidRPr="005E4819" w:rsidRDefault="00FD658D" w:rsidP="005E4819">
            <w:pPr>
              <w:pStyle w:val="Tabletext"/>
            </w:pPr>
            <w:r w:rsidRPr="005E4819">
              <w:t>0</w:t>
            </w:r>
            <w:r w:rsidR="00D7157D">
              <w:t>.</w:t>
            </w:r>
            <w:r w:rsidRPr="005E4819">
              <w:t>7099</w:t>
            </w:r>
          </w:p>
        </w:tc>
        <w:tc>
          <w:tcPr>
            <w:tcW w:w="966" w:type="pct"/>
            <w:tcBorders>
              <w:top w:val="single" w:sz="4" w:space="0" w:color="auto"/>
              <w:bottom w:val="single" w:sz="4" w:space="0" w:color="auto"/>
            </w:tcBorders>
            <w:shd w:val="clear" w:color="auto" w:fill="auto"/>
            <w:vAlign w:val="bottom"/>
          </w:tcPr>
          <w:p w14:paraId="7D7B8685" w14:textId="77777777" w:rsidR="00FD658D" w:rsidRPr="005E4819" w:rsidRDefault="00FD658D" w:rsidP="005E4819">
            <w:pPr>
              <w:pStyle w:val="Tabletext"/>
            </w:pPr>
            <w:r w:rsidRPr="005E4819">
              <w:t>16</w:t>
            </w:r>
            <w:r w:rsidR="00D7157D">
              <w:t>.</w:t>
            </w:r>
            <w:r w:rsidRPr="005E4819">
              <w:t>0416</w:t>
            </w:r>
          </w:p>
        </w:tc>
        <w:tc>
          <w:tcPr>
            <w:tcW w:w="966" w:type="pct"/>
            <w:tcBorders>
              <w:top w:val="single" w:sz="4" w:space="0" w:color="auto"/>
              <w:bottom w:val="single" w:sz="4" w:space="0" w:color="auto"/>
              <w:right w:val="nil"/>
            </w:tcBorders>
            <w:shd w:val="clear" w:color="auto" w:fill="auto"/>
            <w:vAlign w:val="bottom"/>
          </w:tcPr>
          <w:p w14:paraId="06E48A9D" w14:textId="77777777" w:rsidR="00FD658D" w:rsidRPr="005E4819" w:rsidRDefault="00FD658D" w:rsidP="005E4819">
            <w:pPr>
              <w:pStyle w:val="Tabletext"/>
            </w:pPr>
            <w:r w:rsidRPr="005E4819">
              <w:t>0</w:t>
            </w:r>
            <w:r w:rsidR="00D7157D">
              <w:t>.</w:t>
            </w:r>
            <w:r w:rsidRPr="005E4819">
              <w:t>3600</w:t>
            </w:r>
          </w:p>
        </w:tc>
      </w:tr>
      <w:tr w:rsidR="00FD658D" w:rsidRPr="005E4819" w14:paraId="7627EEE5" w14:textId="77777777" w:rsidTr="00F160E0">
        <w:trPr>
          <w:cantSplit/>
        </w:trPr>
        <w:tc>
          <w:tcPr>
            <w:tcW w:w="1136" w:type="pct"/>
            <w:tcBorders>
              <w:top w:val="single" w:sz="4" w:space="0" w:color="auto"/>
              <w:bottom w:val="single" w:sz="4" w:space="0" w:color="auto"/>
            </w:tcBorders>
          </w:tcPr>
          <w:p w14:paraId="735FC66E" w14:textId="77777777" w:rsidR="00FD658D" w:rsidRPr="005E4819" w:rsidRDefault="00FD658D" w:rsidP="00FD658D">
            <w:pPr>
              <w:pStyle w:val="Tabletext"/>
            </w:pPr>
            <w:r w:rsidRPr="005E4819">
              <w:t>27</w:t>
            </w:r>
          </w:p>
        </w:tc>
        <w:tc>
          <w:tcPr>
            <w:tcW w:w="966" w:type="pct"/>
            <w:tcBorders>
              <w:top w:val="single" w:sz="4" w:space="0" w:color="auto"/>
              <w:bottom w:val="single" w:sz="4" w:space="0" w:color="auto"/>
            </w:tcBorders>
            <w:shd w:val="clear" w:color="auto" w:fill="auto"/>
            <w:vAlign w:val="bottom"/>
          </w:tcPr>
          <w:p w14:paraId="3C4C51BD" w14:textId="77777777" w:rsidR="00FD658D" w:rsidRPr="005E4819" w:rsidRDefault="00FD658D" w:rsidP="005E4819">
            <w:pPr>
              <w:pStyle w:val="Tabletext"/>
            </w:pPr>
            <w:r w:rsidRPr="005E4819">
              <w:t>15</w:t>
            </w:r>
            <w:r w:rsidR="00D7157D">
              <w:t>.</w:t>
            </w:r>
            <w:r w:rsidRPr="005E4819">
              <w:t>6240</w:t>
            </w:r>
          </w:p>
        </w:tc>
        <w:tc>
          <w:tcPr>
            <w:tcW w:w="966" w:type="pct"/>
            <w:tcBorders>
              <w:top w:val="single" w:sz="4" w:space="0" w:color="auto"/>
              <w:bottom w:val="single" w:sz="4" w:space="0" w:color="auto"/>
            </w:tcBorders>
            <w:shd w:val="clear" w:color="auto" w:fill="auto"/>
            <w:vAlign w:val="bottom"/>
          </w:tcPr>
          <w:p w14:paraId="56E8892A" w14:textId="77777777" w:rsidR="00FD658D" w:rsidRPr="005E4819" w:rsidRDefault="00FD658D" w:rsidP="005E4819">
            <w:pPr>
              <w:pStyle w:val="Tabletext"/>
            </w:pPr>
            <w:r w:rsidRPr="005E4819">
              <w:t>0</w:t>
            </w:r>
            <w:r w:rsidR="00D7157D">
              <w:t>.</w:t>
            </w:r>
            <w:r w:rsidRPr="005E4819">
              <w:t>7324</w:t>
            </w:r>
          </w:p>
        </w:tc>
        <w:tc>
          <w:tcPr>
            <w:tcW w:w="966" w:type="pct"/>
            <w:tcBorders>
              <w:top w:val="single" w:sz="4" w:space="0" w:color="auto"/>
              <w:bottom w:val="single" w:sz="4" w:space="0" w:color="auto"/>
            </w:tcBorders>
            <w:shd w:val="clear" w:color="auto" w:fill="auto"/>
            <w:vAlign w:val="bottom"/>
          </w:tcPr>
          <w:p w14:paraId="31E2F15E" w14:textId="77777777" w:rsidR="00FD658D" w:rsidRPr="005E4819" w:rsidRDefault="00FD658D" w:rsidP="005E4819">
            <w:pPr>
              <w:pStyle w:val="Tabletext"/>
            </w:pPr>
            <w:r w:rsidRPr="005E4819">
              <w:t>15</w:t>
            </w:r>
            <w:r w:rsidR="00D7157D">
              <w:t>.</w:t>
            </w:r>
            <w:r w:rsidRPr="005E4819">
              <w:t>9955</w:t>
            </w:r>
          </w:p>
        </w:tc>
        <w:tc>
          <w:tcPr>
            <w:tcW w:w="966" w:type="pct"/>
            <w:tcBorders>
              <w:top w:val="single" w:sz="4" w:space="0" w:color="auto"/>
              <w:bottom w:val="single" w:sz="4" w:space="0" w:color="auto"/>
              <w:right w:val="nil"/>
            </w:tcBorders>
            <w:shd w:val="clear" w:color="auto" w:fill="auto"/>
            <w:vAlign w:val="bottom"/>
          </w:tcPr>
          <w:p w14:paraId="6A526635" w14:textId="77777777" w:rsidR="00FD658D" w:rsidRPr="005E4819" w:rsidRDefault="00FD658D" w:rsidP="005E4819">
            <w:pPr>
              <w:pStyle w:val="Tabletext"/>
            </w:pPr>
            <w:r w:rsidRPr="005E4819">
              <w:t>0</w:t>
            </w:r>
            <w:r w:rsidR="00D7157D">
              <w:t>.</w:t>
            </w:r>
            <w:r w:rsidRPr="005E4819">
              <w:t>3710</w:t>
            </w:r>
          </w:p>
        </w:tc>
      </w:tr>
      <w:tr w:rsidR="00FD658D" w:rsidRPr="005E4819" w14:paraId="7216501B" w14:textId="77777777" w:rsidTr="00F160E0">
        <w:trPr>
          <w:cantSplit/>
        </w:trPr>
        <w:tc>
          <w:tcPr>
            <w:tcW w:w="1136" w:type="pct"/>
            <w:tcBorders>
              <w:top w:val="single" w:sz="4" w:space="0" w:color="auto"/>
              <w:bottom w:val="single" w:sz="4" w:space="0" w:color="auto"/>
            </w:tcBorders>
          </w:tcPr>
          <w:p w14:paraId="7504B9C1" w14:textId="77777777" w:rsidR="00FD658D" w:rsidRPr="005E4819" w:rsidRDefault="00FD658D" w:rsidP="00FD658D">
            <w:pPr>
              <w:pStyle w:val="Tabletext"/>
            </w:pPr>
            <w:r w:rsidRPr="005E4819">
              <w:t>28</w:t>
            </w:r>
          </w:p>
        </w:tc>
        <w:tc>
          <w:tcPr>
            <w:tcW w:w="966" w:type="pct"/>
            <w:tcBorders>
              <w:top w:val="single" w:sz="4" w:space="0" w:color="auto"/>
              <w:bottom w:val="single" w:sz="4" w:space="0" w:color="auto"/>
            </w:tcBorders>
            <w:shd w:val="clear" w:color="auto" w:fill="auto"/>
            <w:vAlign w:val="bottom"/>
          </w:tcPr>
          <w:p w14:paraId="515716FA" w14:textId="77777777" w:rsidR="00FD658D" w:rsidRPr="005E4819" w:rsidRDefault="00FD658D" w:rsidP="005E4819">
            <w:pPr>
              <w:pStyle w:val="Tabletext"/>
            </w:pPr>
            <w:r w:rsidRPr="005E4819">
              <w:t>15</w:t>
            </w:r>
            <w:r w:rsidR="00D7157D">
              <w:t>.</w:t>
            </w:r>
            <w:r w:rsidRPr="005E4819">
              <w:t>5647</w:t>
            </w:r>
          </w:p>
        </w:tc>
        <w:tc>
          <w:tcPr>
            <w:tcW w:w="966" w:type="pct"/>
            <w:tcBorders>
              <w:top w:val="single" w:sz="4" w:space="0" w:color="auto"/>
              <w:bottom w:val="single" w:sz="4" w:space="0" w:color="auto"/>
            </w:tcBorders>
            <w:shd w:val="clear" w:color="auto" w:fill="auto"/>
            <w:vAlign w:val="bottom"/>
          </w:tcPr>
          <w:p w14:paraId="15194406" w14:textId="77777777" w:rsidR="00FD658D" w:rsidRPr="005E4819" w:rsidRDefault="00FD658D" w:rsidP="005E4819">
            <w:pPr>
              <w:pStyle w:val="Tabletext"/>
            </w:pPr>
            <w:r w:rsidRPr="005E4819">
              <w:t>0</w:t>
            </w:r>
            <w:r w:rsidR="00D7157D">
              <w:t>.</w:t>
            </w:r>
            <w:r w:rsidRPr="005E4819">
              <w:t>7563</w:t>
            </w:r>
          </w:p>
        </w:tc>
        <w:tc>
          <w:tcPr>
            <w:tcW w:w="966" w:type="pct"/>
            <w:tcBorders>
              <w:top w:val="single" w:sz="4" w:space="0" w:color="auto"/>
              <w:bottom w:val="single" w:sz="4" w:space="0" w:color="auto"/>
            </w:tcBorders>
            <w:shd w:val="clear" w:color="auto" w:fill="auto"/>
            <w:vAlign w:val="bottom"/>
          </w:tcPr>
          <w:p w14:paraId="05534D6F" w14:textId="77777777" w:rsidR="00FD658D" w:rsidRPr="005E4819" w:rsidRDefault="00FD658D" w:rsidP="005E4819">
            <w:pPr>
              <w:pStyle w:val="Tabletext"/>
            </w:pPr>
            <w:r w:rsidRPr="005E4819">
              <w:t>15</w:t>
            </w:r>
            <w:r w:rsidR="00D7157D">
              <w:t>.</w:t>
            </w:r>
            <w:r w:rsidRPr="005E4819">
              <w:t>9466</w:t>
            </w:r>
          </w:p>
        </w:tc>
        <w:tc>
          <w:tcPr>
            <w:tcW w:w="966" w:type="pct"/>
            <w:tcBorders>
              <w:top w:val="single" w:sz="4" w:space="0" w:color="auto"/>
              <w:bottom w:val="single" w:sz="4" w:space="0" w:color="auto"/>
              <w:right w:val="nil"/>
            </w:tcBorders>
            <w:shd w:val="clear" w:color="auto" w:fill="auto"/>
            <w:vAlign w:val="bottom"/>
          </w:tcPr>
          <w:p w14:paraId="67CE5817" w14:textId="77777777" w:rsidR="00FD658D" w:rsidRPr="005E4819" w:rsidRDefault="00FD658D" w:rsidP="005E4819">
            <w:pPr>
              <w:pStyle w:val="Tabletext"/>
            </w:pPr>
            <w:r w:rsidRPr="005E4819">
              <w:t>0</w:t>
            </w:r>
            <w:r w:rsidR="00D7157D">
              <w:t>.</w:t>
            </w:r>
            <w:r w:rsidRPr="005E4819">
              <w:t>3827</w:t>
            </w:r>
          </w:p>
        </w:tc>
      </w:tr>
      <w:tr w:rsidR="00FD658D" w:rsidRPr="005E4819" w14:paraId="25E6810F" w14:textId="77777777" w:rsidTr="00F160E0">
        <w:trPr>
          <w:cantSplit/>
        </w:trPr>
        <w:tc>
          <w:tcPr>
            <w:tcW w:w="1136" w:type="pct"/>
            <w:tcBorders>
              <w:top w:val="single" w:sz="4" w:space="0" w:color="auto"/>
              <w:bottom w:val="single" w:sz="4" w:space="0" w:color="auto"/>
            </w:tcBorders>
          </w:tcPr>
          <w:p w14:paraId="5D0C0F46" w14:textId="77777777" w:rsidR="00FD658D" w:rsidRPr="005E4819" w:rsidRDefault="00FD658D" w:rsidP="00FD658D">
            <w:pPr>
              <w:pStyle w:val="Tabletext"/>
            </w:pPr>
            <w:r w:rsidRPr="005E4819">
              <w:t>29</w:t>
            </w:r>
          </w:p>
        </w:tc>
        <w:tc>
          <w:tcPr>
            <w:tcW w:w="966" w:type="pct"/>
            <w:tcBorders>
              <w:top w:val="single" w:sz="4" w:space="0" w:color="auto"/>
              <w:bottom w:val="single" w:sz="4" w:space="0" w:color="auto"/>
            </w:tcBorders>
            <w:shd w:val="clear" w:color="auto" w:fill="auto"/>
            <w:vAlign w:val="bottom"/>
          </w:tcPr>
          <w:p w14:paraId="32B2C6D3" w14:textId="77777777" w:rsidR="00FD658D" w:rsidRPr="005E4819" w:rsidRDefault="00FD658D" w:rsidP="005E4819">
            <w:pPr>
              <w:pStyle w:val="Tabletext"/>
            </w:pPr>
            <w:r w:rsidRPr="005E4819">
              <w:t>15</w:t>
            </w:r>
            <w:r w:rsidR="00D7157D">
              <w:t>.</w:t>
            </w:r>
            <w:r w:rsidRPr="005E4819">
              <w:t>5018</w:t>
            </w:r>
          </w:p>
        </w:tc>
        <w:tc>
          <w:tcPr>
            <w:tcW w:w="966" w:type="pct"/>
            <w:tcBorders>
              <w:top w:val="single" w:sz="4" w:space="0" w:color="auto"/>
              <w:bottom w:val="single" w:sz="4" w:space="0" w:color="auto"/>
            </w:tcBorders>
            <w:shd w:val="clear" w:color="auto" w:fill="auto"/>
            <w:vAlign w:val="bottom"/>
          </w:tcPr>
          <w:p w14:paraId="0F8250B1" w14:textId="77777777" w:rsidR="00FD658D" w:rsidRPr="005E4819" w:rsidRDefault="00FD658D" w:rsidP="005E4819">
            <w:pPr>
              <w:pStyle w:val="Tabletext"/>
            </w:pPr>
            <w:r w:rsidRPr="005E4819">
              <w:t>0</w:t>
            </w:r>
            <w:r w:rsidR="00D7157D">
              <w:t>.</w:t>
            </w:r>
            <w:r w:rsidRPr="005E4819">
              <w:t>7817</w:t>
            </w:r>
          </w:p>
        </w:tc>
        <w:tc>
          <w:tcPr>
            <w:tcW w:w="966" w:type="pct"/>
            <w:tcBorders>
              <w:top w:val="single" w:sz="4" w:space="0" w:color="auto"/>
              <w:bottom w:val="single" w:sz="4" w:space="0" w:color="auto"/>
            </w:tcBorders>
            <w:shd w:val="clear" w:color="auto" w:fill="auto"/>
            <w:vAlign w:val="bottom"/>
          </w:tcPr>
          <w:p w14:paraId="155E4715" w14:textId="77777777" w:rsidR="00FD658D" w:rsidRPr="005E4819" w:rsidRDefault="00FD658D" w:rsidP="005E4819">
            <w:pPr>
              <w:pStyle w:val="Tabletext"/>
            </w:pPr>
            <w:r w:rsidRPr="005E4819">
              <w:t>15</w:t>
            </w:r>
            <w:r w:rsidR="00D7157D">
              <w:t>.</w:t>
            </w:r>
            <w:r w:rsidRPr="005E4819">
              <w:t>8947</w:t>
            </w:r>
          </w:p>
        </w:tc>
        <w:tc>
          <w:tcPr>
            <w:tcW w:w="966" w:type="pct"/>
            <w:tcBorders>
              <w:top w:val="single" w:sz="4" w:space="0" w:color="auto"/>
              <w:bottom w:val="single" w:sz="4" w:space="0" w:color="auto"/>
              <w:right w:val="nil"/>
            </w:tcBorders>
            <w:shd w:val="clear" w:color="auto" w:fill="auto"/>
            <w:vAlign w:val="bottom"/>
          </w:tcPr>
          <w:p w14:paraId="5CD9AD9E" w14:textId="77777777" w:rsidR="00FD658D" w:rsidRPr="005E4819" w:rsidRDefault="00FD658D" w:rsidP="005E4819">
            <w:pPr>
              <w:pStyle w:val="Tabletext"/>
            </w:pPr>
            <w:r w:rsidRPr="005E4819">
              <w:t>0</w:t>
            </w:r>
            <w:r w:rsidR="00D7157D">
              <w:t>.</w:t>
            </w:r>
            <w:r w:rsidRPr="005E4819">
              <w:t>3951</w:t>
            </w:r>
          </w:p>
        </w:tc>
      </w:tr>
      <w:tr w:rsidR="00FD658D" w:rsidRPr="005E4819" w14:paraId="3EB5C1DB" w14:textId="77777777" w:rsidTr="00F160E0">
        <w:trPr>
          <w:cantSplit/>
        </w:trPr>
        <w:tc>
          <w:tcPr>
            <w:tcW w:w="1136" w:type="pct"/>
            <w:tcBorders>
              <w:top w:val="single" w:sz="4" w:space="0" w:color="auto"/>
              <w:bottom w:val="single" w:sz="4" w:space="0" w:color="auto"/>
            </w:tcBorders>
          </w:tcPr>
          <w:p w14:paraId="16F1DD31" w14:textId="77777777" w:rsidR="00FD658D" w:rsidRPr="005E4819" w:rsidRDefault="00FD658D" w:rsidP="00FD658D">
            <w:pPr>
              <w:pStyle w:val="Tabletext"/>
            </w:pPr>
            <w:r w:rsidRPr="005E4819">
              <w:t>30</w:t>
            </w:r>
          </w:p>
        </w:tc>
        <w:tc>
          <w:tcPr>
            <w:tcW w:w="966" w:type="pct"/>
            <w:tcBorders>
              <w:top w:val="single" w:sz="4" w:space="0" w:color="auto"/>
              <w:bottom w:val="single" w:sz="4" w:space="0" w:color="auto"/>
            </w:tcBorders>
            <w:shd w:val="clear" w:color="auto" w:fill="auto"/>
            <w:vAlign w:val="bottom"/>
          </w:tcPr>
          <w:p w14:paraId="57BF51E1" w14:textId="77777777" w:rsidR="00FD658D" w:rsidRPr="005E4819" w:rsidRDefault="00FD658D" w:rsidP="005E4819">
            <w:pPr>
              <w:pStyle w:val="Tabletext"/>
            </w:pPr>
            <w:r w:rsidRPr="005E4819">
              <w:t>15</w:t>
            </w:r>
            <w:r w:rsidR="00D7157D">
              <w:t>.</w:t>
            </w:r>
            <w:r w:rsidRPr="005E4819">
              <w:t>4349</w:t>
            </w:r>
          </w:p>
        </w:tc>
        <w:tc>
          <w:tcPr>
            <w:tcW w:w="966" w:type="pct"/>
            <w:tcBorders>
              <w:top w:val="single" w:sz="4" w:space="0" w:color="auto"/>
              <w:bottom w:val="single" w:sz="4" w:space="0" w:color="auto"/>
            </w:tcBorders>
            <w:shd w:val="clear" w:color="auto" w:fill="auto"/>
            <w:vAlign w:val="bottom"/>
          </w:tcPr>
          <w:p w14:paraId="61B4FD9A" w14:textId="77777777" w:rsidR="00FD658D" w:rsidRPr="005E4819" w:rsidRDefault="00FD658D" w:rsidP="005E4819">
            <w:pPr>
              <w:pStyle w:val="Tabletext"/>
            </w:pPr>
            <w:r w:rsidRPr="005E4819">
              <w:t>0</w:t>
            </w:r>
            <w:r w:rsidR="00D7157D">
              <w:t>.</w:t>
            </w:r>
            <w:r w:rsidRPr="005E4819">
              <w:t>8087</w:t>
            </w:r>
          </w:p>
        </w:tc>
        <w:tc>
          <w:tcPr>
            <w:tcW w:w="966" w:type="pct"/>
            <w:tcBorders>
              <w:top w:val="single" w:sz="4" w:space="0" w:color="auto"/>
              <w:bottom w:val="single" w:sz="4" w:space="0" w:color="auto"/>
            </w:tcBorders>
            <w:shd w:val="clear" w:color="auto" w:fill="auto"/>
            <w:vAlign w:val="bottom"/>
          </w:tcPr>
          <w:p w14:paraId="7771E71E" w14:textId="77777777" w:rsidR="00FD658D" w:rsidRPr="005E4819" w:rsidRDefault="00FD658D" w:rsidP="005E4819">
            <w:pPr>
              <w:pStyle w:val="Tabletext"/>
            </w:pPr>
            <w:r w:rsidRPr="005E4819">
              <w:t>15</w:t>
            </w:r>
            <w:r w:rsidR="00D7157D">
              <w:t>.</w:t>
            </w:r>
            <w:r w:rsidRPr="005E4819">
              <w:t>8396</w:t>
            </w:r>
          </w:p>
        </w:tc>
        <w:tc>
          <w:tcPr>
            <w:tcW w:w="966" w:type="pct"/>
            <w:tcBorders>
              <w:top w:val="single" w:sz="4" w:space="0" w:color="auto"/>
              <w:bottom w:val="single" w:sz="4" w:space="0" w:color="auto"/>
              <w:right w:val="nil"/>
            </w:tcBorders>
            <w:shd w:val="clear" w:color="auto" w:fill="auto"/>
            <w:vAlign w:val="bottom"/>
          </w:tcPr>
          <w:p w14:paraId="67BC527F" w14:textId="77777777" w:rsidR="00FD658D" w:rsidRPr="005E4819" w:rsidRDefault="00FD658D" w:rsidP="005E4819">
            <w:pPr>
              <w:pStyle w:val="Tabletext"/>
            </w:pPr>
            <w:r w:rsidRPr="005E4819">
              <w:t>0</w:t>
            </w:r>
            <w:r w:rsidR="00D7157D">
              <w:t>.</w:t>
            </w:r>
            <w:r w:rsidRPr="005E4819">
              <w:t>4082</w:t>
            </w:r>
          </w:p>
        </w:tc>
      </w:tr>
      <w:tr w:rsidR="00FD658D" w:rsidRPr="005E4819" w14:paraId="5BD920C2" w14:textId="77777777" w:rsidTr="00F160E0">
        <w:trPr>
          <w:cantSplit/>
        </w:trPr>
        <w:tc>
          <w:tcPr>
            <w:tcW w:w="1136" w:type="pct"/>
            <w:tcBorders>
              <w:top w:val="single" w:sz="4" w:space="0" w:color="auto"/>
              <w:bottom w:val="single" w:sz="4" w:space="0" w:color="auto"/>
            </w:tcBorders>
          </w:tcPr>
          <w:p w14:paraId="5DDAC1BA" w14:textId="77777777" w:rsidR="00FD658D" w:rsidRPr="005E4819" w:rsidRDefault="00FD658D" w:rsidP="00FD658D">
            <w:pPr>
              <w:pStyle w:val="Tabletext"/>
            </w:pPr>
            <w:r w:rsidRPr="005E4819">
              <w:t>31</w:t>
            </w:r>
          </w:p>
        </w:tc>
        <w:tc>
          <w:tcPr>
            <w:tcW w:w="966" w:type="pct"/>
            <w:tcBorders>
              <w:top w:val="single" w:sz="4" w:space="0" w:color="auto"/>
              <w:bottom w:val="single" w:sz="4" w:space="0" w:color="auto"/>
            </w:tcBorders>
            <w:shd w:val="clear" w:color="auto" w:fill="auto"/>
            <w:vAlign w:val="bottom"/>
          </w:tcPr>
          <w:p w14:paraId="2C46EE3D" w14:textId="77777777" w:rsidR="00FD658D" w:rsidRPr="005E4819" w:rsidRDefault="00FD658D" w:rsidP="005E4819">
            <w:pPr>
              <w:pStyle w:val="Tabletext"/>
            </w:pPr>
            <w:r w:rsidRPr="005E4819">
              <w:t>15</w:t>
            </w:r>
            <w:r w:rsidR="00D7157D">
              <w:t>.</w:t>
            </w:r>
            <w:r w:rsidRPr="005E4819">
              <w:t>3649</w:t>
            </w:r>
          </w:p>
        </w:tc>
        <w:tc>
          <w:tcPr>
            <w:tcW w:w="966" w:type="pct"/>
            <w:tcBorders>
              <w:top w:val="single" w:sz="4" w:space="0" w:color="auto"/>
              <w:bottom w:val="single" w:sz="4" w:space="0" w:color="auto"/>
            </w:tcBorders>
            <w:shd w:val="clear" w:color="auto" w:fill="auto"/>
            <w:vAlign w:val="bottom"/>
          </w:tcPr>
          <w:p w14:paraId="382E62B1" w14:textId="77777777" w:rsidR="00FD658D" w:rsidRPr="005E4819" w:rsidRDefault="00FD658D" w:rsidP="005E4819">
            <w:pPr>
              <w:pStyle w:val="Tabletext"/>
            </w:pPr>
            <w:r w:rsidRPr="005E4819">
              <w:t>0</w:t>
            </w:r>
            <w:r w:rsidR="00D7157D">
              <w:t>.</w:t>
            </w:r>
            <w:r w:rsidRPr="005E4819">
              <w:t>8368</w:t>
            </w:r>
          </w:p>
        </w:tc>
        <w:tc>
          <w:tcPr>
            <w:tcW w:w="966" w:type="pct"/>
            <w:tcBorders>
              <w:top w:val="single" w:sz="4" w:space="0" w:color="auto"/>
              <w:bottom w:val="single" w:sz="4" w:space="0" w:color="auto"/>
            </w:tcBorders>
            <w:shd w:val="clear" w:color="auto" w:fill="auto"/>
            <w:vAlign w:val="bottom"/>
          </w:tcPr>
          <w:p w14:paraId="668CF38B" w14:textId="77777777" w:rsidR="00FD658D" w:rsidRPr="005E4819" w:rsidRDefault="00FD658D" w:rsidP="005E4819">
            <w:pPr>
              <w:pStyle w:val="Tabletext"/>
            </w:pPr>
            <w:r w:rsidRPr="005E4819">
              <w:t>15</w:t>
            </w:r>
            <w:r w:rsidR="00D7157D">
              <w:t>.</w:t>
            </w:r>
            <w:r w:rsidRPr="005E4819">
              <w:t>7818</w:t>
            </w:r>
          </w:p>
        </w:tc>
        <w:tc>
          <w:tcPr>
            <w:tcW w:w="966" w:type="pct"/>
            <w:tcBorders>
              <w:top w:val="single" w:sz="4" w:space="0" w:color="auto"/>
              <w:bottom w:val="single" w:sz="4" w:space="0" w:color="auto"/>
              <w:right w:val="nil"/>
            </w:tcBorders>
            <w:shd w:val="clear" w:color="auto" w:fill="auto"/>
            <w:vAlign w:val="bottom"/>
          </w:tcPr>
          <w:p w14:paraId="48681421" w14:textId="77777777" w:rsidR="00FD658D" w:rsidRPr="005E4819" w:rsidRDefault="00FD658D" w:rsidP="005E4819">
            <w:pPr>
              <w:pStyle w:val="Tabletext"/>
            </w:pPr>
            <w:r w:rsidRPr="005E4819">
              <w:t>0</w:t>
            </w:r>
            <w:r w:rsidR="00D7157D">
              <w:t>.</w:t>
            </w:r>
            <w:r w:rsidRPr="005E4819">
              <w:t>4219</w:t>
            </w:r>
          </w:p>
        </w:tc>
      </w:tr>
      <w:tr w:rsidR="00FD658D" w:rsidRPr="005E4819" w14:paraId="5410B301" w14:textId="77777777" w:rsidTr="00F160E0">
        <w:trPr>
          <w:cantSplit/>
        </w:trPr>
        <w:tc>
          <w:tcPr>
            <w:tcW w:w="1136" w:type="pct"/>
            <w:tcBorders>
              <w:top w:val="single" w:sz="4" w:space="0" w:color="auto"/>
              <w:bottom w:val="single" w:sz="4" w:space="0" w:color="auto"/>
            </w:tcBorders>
          </w:tcPr>
          <w:p w14:paraId="33CAAC76" w14:textId="77777777" w:rsidR="00FD658D" w:rsidRPr="005E4819" w:rsidRDefault="00FD658D" w:rsidP="00FD658D">
            <w:pPr>
              <w:pStyle w:val="Tabletext"/>
            </w:pPr>
            <w:r w:rsidRPr="005E4819">
              <w:t>32</w:t>
            </w:r>
          </w:p>
        </w:tc>
        <w:tc>
          <w:tcPr>
            <w:tcW w:w="966" w:type="pct"/>
            <w:tcBorders>
              <w:top w:val="single" w:sz="4" w:space="0" w:color="auto"/>
              <w:bottom w:val="single" w:sz="4" w:space="0" w:color="auto"/>
            </w:tcBorders>
            <w:shd w:val="clear" w:color="auto" w:fill="auto"/>
            <w:vAlign w:val="bottom"/>
          </w:tcPr>
          <w:p w14:paraId="0146F99F" w14:textId="77777777" w:rsidR="00FD658D" w:rsidRPr="005E4819" w:rsidRDefault="00FD658D" w:rsidP="005E4819">
            <w:pPr>
              <w:pStyle w:val="Tabletext"/>
            </w:pPr>
            <w:r w:rsidRPr="005E4819">
              <w:t>15</w:t>
            </w:r>
            <w:r w:rsidR="00D7157D">
              <w:t>.</w:t>
            </w:r>
            <w:r w:rsidRPr="005E4819">
              <w:t>2919</w:t>
            </w:r>
          </w:p>
        </w:tc>
        <w:tc>
          <w:tcPr>
            <w:tcW w:w="966" w:type="pct"/>
            <w:tcBorders>
              <w:top w:val="single" w:sz="4" w:space="0" w:color="auto"/>
              <w:bottom w:val="single" w:sz="4" w:space="0" w:color="auto"/>
            </w:tcBorders>
            <w:shd w:val="clear" w:color="auto" w:fill="auto"/>
            <w:vAlign w:val="bottom"/>
          </w:tcPr>
          <w:p w14:paraId="1AE2F892" w14:textId="77777777" w:rsidR="00FD658D" w:rsidRPr="005E4819" w:rsidRDefault="00FD658D" w:rsidP="005E4819">
            <w:pPr>
              <w:pStyle w:val="Tabletext"/>
            </w:pPr>
            <w:r w:rsidRPr="005E4819">
              <w:t>0</w:t>
            </w:r>
            <w:r w:rsidR="00D7157D">
              <w:t>.</w:t>
            </w:r>
            <w:r w:rsidRPr="005E4819">
              <w:t>8658</w:t>
            </w:r>
          </w:p>
        </w:tc>
        <w:tc>
          <w:tcPr>
            <w:tcW w:w="966" w:type="pct"/>
            <w:tcBorders>
              <w:top w:val="single" w:sz="4" w:space="0" w:color="auto"/>
              <w:bottom w:val="single" w:sz="4" w:space="0" w:color="auto"/>
            </w:tcBorders>
            <w:shd w:val="clear" w:color="auto" w:fill="auto"/>
            <w:vAlign w:val="bottom"/>
          </w:tcPr>
          <w:p w14:paraId="1066A82C" w14:textId="77777777" w:rsidR="00FD658D" w:rsidRPr="005E4819" w:rsidRDefault="00FD658D" w:rsidP="005E4819">
            <w:pPr>
              <w:pStyle w:val="Tabletext"/>
            </w:pPr>
            <w:r w:rsidRPr="005E4819">
              <w:t>15</w:t>
            </w:r>
            <w:r w:rsidR="00D7157D">
              <w:t>.</w:t>
            </w:r>
            <w:r w:rsidRPr="005E4819">
              <w:t>7212</w:t>
            </w:r>
          </w:p>
        </w:tc>
        <w:tc>
          <w:tcPr>
            <w:tcW w:w="966" w:type="pct"/>
            <w:tcBorders>
              <w:top w:val="single" w:sz="4" w:space="0" w:color="auto"/>
              <w:bottom w:val="single" w:sz="4" w:space="0" w:color="auto"/>
              <w:right w:val="nil"/>
            </w:tcBorders>
            <w:shd w:val="clear" w:color="auto" w:fill="auto"/>
            <w:vAlign w:val="bottom"/>
          </w:tcPr>
          <w:p w14:paraId="4D4E68A0" w14:textId="77777777" w:rsidR="00FD658D" w:rsidRPr="005E4819" w:rsidRDefault="00FD658D" w:rsidP="005E4819">
            <w:pPr>
              <w:pStyle w:val="Tabletext"/>
            </w:pPr>
            <w:r w:rsidRPr="005E4819">
              <w:t>0</w:t>
            </w:r>
            <w:r w:rsidR="00D7157D">
              <w:t>.</w:t>
            </w:r>
            <w:r w:rsidRPr="005E4819">
              <w:t>4360</w:t>
            </w:r>
          </w:p>
        </w:tc>
      </w:tr>
      <w:tr w:rsidR="00FD658D" w:rsidRPr="005E4819" w14:paraId="371DFB52" w14:textId="77777777" w:rsidTr="00F160E0">
        <w:trPr>
          <w:cantSplit/>
        </w:trPr>
        <w:tc>
          <w:tcPr>
            <w:tcW w:w="1136" w:type="pct"/>
            <w:tcBorders>
              <w:top w:val="single" w:sz="4" w:space="0" w:color="auto"/>
              <w:bottom w:val="single" w:sz="4" w:space="0" w:color="auto"/>
            </w:tcBorders>
          </w:tcPr>
          <w:p w14:paraId="1FB00CAD" w14:textId="77777777" w:rsidR="00FD658D" w:rsidRPr="005E4819" w:rsidRDefault="00FD658D" w:rsidP="00FD658D">
            <w:pPr>
              <w:pStyle w:val="Tabletext"/>
            </w:pPr>
            <w:r w:rsidRPr="005E4819">
              <w:t>33</w:t>
            </w:r>
          </w:p>
        </w:tc>
        <w:tc>
          <w:tcPr>
            <w:tcW w:w="966" w:type="pct"/>
            <w:tcBorders>
              <w:top w:val="single" w:sz="4" w:space="0" w:color="auto"/>
              <w:bottom w:val="single" w:sz="4" w:space="0" w:color="auto"/>
            </w:tcBorders>
            <w:shd w:val="clear" w:color="auto" w:fill="auto"/>
            <w:vAlign w:val="bottom"/>
          </w:tcPr>
          <w:p w14:paraId="3FE2FE1F" w14:textId="77777777" w:rsidR="00FD658D" w:rsidRPr="005E4819" w:rsidRDefault="00FD658D" w:rsidP="005E4819">
            <w:pPr>
              <w:pStyle w:val="Tabletext"/>
            </w:pPr>
            <w:r w:rsidRPr="005E4819">
              <w:t>15</w:t>
            </w:r>
            <w:r w:rsidR="00D7157D">
              <w:t>.</w:t>
            </w:r>
            <w:r w:rsidRPr="005E4819">
              <w:t>2156</w:t>
            </w:r>
          </w:p>
        </w:tc>
        <w:tc>
          <w:tcPr>
            <w:tcW w:w="966" w:type="pct"/>
            <w:tcBorders>
              <w:top w:val="single" w:sz="4" w:space="0" w:color="auto"/>
              <w:bottom w:val="single" w:sz="4" w:space="0" w:color="auto"/>
            </w:tcBorders>
            <w:shd w:val="clear" w:color="auto" w:fill="auto"/>
            <w:vAlign w:val="bottom"/>
          </w:tcPr>
          <w:p w14:paraId="023BCAB9" w14:textId="77777777" w:rsidR="00FD658D" w:rsidRPr="005E4819" w:rsidRDefault="00FD658D" w:rsidP="005E4819">
            <w:pPr>
              <w:pStyle w:val="Tabletext"/>
            </w:pPr>
            <w:r w:rsidRPr="005E4819">
              <w:t>0</w:t>
            </w:r>
            <w:r w:rsidR="00D7157D">
              <w:t>.</w:t>
            </w:r>
            <w:r w:rsidRPr="005E4819">
              <w:t>8959</w:t>
            </w:r>
          </w:p>
        </w:tc>
        <w:tc>
          <w:tcPr>
            <w:tcW w:w="966" w:type="pct"/>
            <w:tcBorders>
              <w:top w:val="single" w:sz="4" w:space="0" w:color="auto"/>
              <w:bottom w:val="single" w:sz="4" w:space="0" w:color="auto"/>
            </w:tcBorders>
            <w:shd w:val="clear" w:color="auto" w:fill="auto"/>
            <w:vAlign w:val="bottom"/>
          </w:tcPr>
          <w:p w14:paraId="4ADCDE6B" w14:textId="77777777" w:rsidR="00FD658D" w:rsidRPr="005E4819" w:rsidRDefault="00FD658D" w:rsidP="005E4819">
            <w:pPr>
              <w:pStyle w:val="Tabletext"/>
            </w:pPr>
            <w:r w:rsidRPr="005E4819">
              <w:t>15</w:t>
            </w:r>
            <w:r w:rsidR="00D7157D">
              <w:t>.</w:t>
            </w:r>
            <w:r w:rsidRPr="005E4819">
              <w:t>6578</w:t>
            </w:r>
          </w:p>
        </w:tc>
        <w:tc>
          <w:tcPr>
            <w:tcW w:w="966" w:type="pct"/>
            <w:tcBorders>
              <w:top w:val="single" w:sz="4" w:space="0" w:color="auto"/>
              <w:bottom w:val="single" w:sz="4" w:space="0" w:color="auto"/>
              <w:right w:val="nil"/>
            </w:tcBorders>
            <w:shd w:val="clear" w:color="auto" w:fill="auto"/>
            <w:vAlign w:val="bottom"/>
          </w:tcPr>
          <w:p w14:paraId="164D8618" w14:textId="77777777" w:rsidR="00FD658D" w:rsidRPr="005E4819" w:rsidRDefault="00FD658D" w:rsidP="005E4819">
            <w:pPr>
              <w:pStyle w:val="Tabletext"/>
            </w:pPr>
            <w:r w:rsidRPr="005E4819">
              <w:t>0</w:t>
            </w:r>
            <w:r w:rsidR="00D7157D">
              <w:t>.</w:t>
            </w:r>
            <w:r w:rsidRPr="005E4819">
              <w:t>4505</w:t>
            </w:r>
          </w:p>
        </w:tc>
      </w:tr>
      <w:tr w:rsidR="00FD658D" w:rsidRPr="005E4819" w14:paraId="733A5971" w14:textId="77777777" w:rsidTr="00F160E0">
        <w:trPr>
          <w:cantSplit/>
        </w:trPr>
        <w:tc>
          <w:tcPr>
            <w:tcW w:w="1136" w:type="pct"/>
            <w:tcBorders>
              <w:top w:val="single" w:sz="4" w:space="0" w:color="auto"/>
              <w:bottom w:val="single" w:sz="4" w:space="0" w:color="auto"/>
            </w:tcBorders>
          </w:tcPr>
          <w:p w14:paraId="143F3FE6" w14:textId="77777777" w:rsidR="00FD658D" w:rsidRPr="005E4819" w:rsidRDefault="00FD658D" w:rsidP="00FD658D">
            <w:pPr>
              <w:pStyle w:val="Tabletext"/>
            </w:pPr>
            <w:r w:rsidRPr="005E4819">
              <w:t>34</w:t>
            </w:r>
          </w:p>
        </w:tc>
        <w:tc>
          <w:tcPr>
            <w:tcW w:w="966" w:type="pct"/>
            <w:tcBorders>
              <w:top w:val="single" w:sz="4" w:space="0" w:color="auto"/>
              <w:bottom w:val="single" w:sz="4" w:space="0" w:color="auto"/>
            </w:tcBorders>
            <w:shd w:val="clear" w:color="auto" w:fill="auto"/>
            <w:vAlign w:val="bottom"/>
          </w:tcPr>
          <w:p w14:paraId="59831C7E" w14:textId="77777777" w:rsidR="00FD658D" w:rsidRPr="005E4819" w:rsidRDefault="00FD658D" w:rsidP="005E4819">
            <w:pPr>
              <w:pStyle w:val="Tabletext"/>
            </w:pPr>
            <w:r w:rsidRPr="005E4819">
              <w:t>15</w:t>
            </w:r>
            <w:r w:rsidR="00D7157D">
              <w:t>.</w:t>
            </w:r>
            <w:r w:rsidRPr="005E4819">
              <w:t>1358</w:t>
            </w:r>
          </w:p>
        </w:tc>
        <w:tc>
          <w:tcPr>
            <w:tcW w:w="966" w:type="pct"/>
            <w:tcBorders>
              <w:top w:val="single" w:sz="4" w:space="0" w:color="auto"/>
              <w:bottom w:val="single" w:sz="4" w:space="0" w:color="auto"/>
            </w:tcBorders>
            <w:shd w:val="clear" w:color="auto" w:fill="auto"/>
            <w:vAlign w:val="bottom"/>
          </w:tcPr>
          <w:p w14:paraId="15E8E19F" w14:textId="77777777" w:rsidR="00FD658D" w:rsidRPr="005E4819" w:rsidRDefault="00FD658D" w:rsidP="005E4819">
            <w:pPr>
              <w:pStyle w:val="Tabletext"/>
            </w:pPr>
            <w:r w:rsidRPr="005E4819">
              <w:t>0</w:t>
            </w:r>
            <w:r w:rsidR="00D7157D">
              <w:t>.</w:t>
            </w:r>
            <w:r w:rsidRPr="005E4819">
              <w:t>9271</w:t>
            </w:r>
          </w:p>
        </w:tc>
        <w:tc>
          <w:tcPr>
            <w:tcW w:w="966" w:type="pct"/>
            <w:tcBorders>
              <w:top w:val="single" w:sz="4" w:space="0" w:color="auto"/>
              <w:bottom w:val="single" w:sz="4" w:space="0" w:color="auto"/>
            </w:tcBorders>
            <w:shd w:val="clear" w:color="auto" w:fill="auto"/>
            <w:vAlign w:val="bottom"/>
          </w:tcPr>
          <w:p w14:paraId="22244E0E" w14:textId="77777777" w:rsidR="00FD658D" w:rsidRPr="005E4819" w:rsidRDefault="00FD658D" w:rsidP="005E4819">
            <w:pPr>
              <w:pStyle w:val="Tabletext"/>
            </w:pPr>
            <w:r w:rsidRPr="005E4819">
              <w:t>15</w:t>
            </w:r>
            <w:r w:rsidR="00D7157D">
              <w:t>.</w:t>
            </w:r>
            <w:r w:rsidRPr="005E4819">
              <w:t>5912</w:t>
            </w:r>
          </w:p>
        </w:tc>
        <w:tc>
          <w:tcPr>
            <w:tcW w:w="966" w:type="pct"/>
            <w:tcBorders>
              <w:top w:val="single" w:sz="4" w:space="0" w:color="auto"/>
              <w:bottom w:val="single" w:sz="4" w:space="0" w:color="auto"/>
              <w:right w:val="nil"/>
            </w:tcBorders>
            <w:shd w:val="clear" w:color="auto" w:fill="auto"/>
            <w:vAlign w:val="bottom"/>
          </w:tcPr>
          <w:p w14:paraId="65D338E3" w14:textId="77777777" w:rsidR="00FD658D" w:rsidRPr="005E4819" w:rsidRDefault="00FD658D" w:rsidP="005E4819">
            <w:pPr>
              <w:pStyle w:val="Tabletext"/>
            </w:pPr>
            <w:r w:rsidRPr="005E4819">
              <w:t>0</w:t>
            </w:r>
            <w:r w:rsidR="00D7157D">
              <w:t>.</w:t>
            </w:r>
            <w:r w:rsidRPr="005E4819">
              <w:t>4656</w:t>
            </w:r>
          </w:p>
        </w:tc>
      </w:tr>
      <w:tr w:rsidR="00FD658D" w:rsidRPr="005E4819" w14:paraId="1ACC95AD" w14:textId="77777777" w:rsidTr="00F160E0">
        <w:trPr>
          <w:cantSplit/>
        </w:trPr>
        <w:tc>
          <w:tcPr>
            <w:tcW w:w="1136" w:type="pct"/>
            <w:tcBorders>
              <w:top w:val="single" w:sz="4" w:space="0" w:color="auto"/>
              <w:bottom w:val="single" w:sz="4" w:space="0" w:color="auto"/>
            </w:tcBorders>
          </w:tcPr>
          <w:p w14:paraId="2086435B" w14:textId="77777777" w:rsidR="00FD658D" w:rsidRPr="005E4819" w:rsidRDefault="00FD658D" w:rsidP="00FD658D">
            <w:pPr>
              <w:pStyle w:val="Tabletext"/>
            </w:pPr>
            <w:r w:rsidRPr="005E4819">
              <w:t>35</w:t>
            </w:r>
          </w:p>
        </w:tc>
        <w:tc>
          <w:tcPr>
            <w:tcW w:w="966" w:type="pct"/>
            <w:tcBorders>
              <w:top w:val="single" w:sz="4" w:space="0" w:color="auto"/>
              <w:bottom w:val="single" w:sz="4" w:space="0" w:color="auto"/>
            </w:tcBorders>
            <w:shd w:val="clear" w:color="auto" w:fill="auto"/>
            <w:vAlign w:val="bottom"/>
          </w:tcPr>
          <w:p w14:paraId="59D2C4E9" w14:textId="77777777" w:rsidR="00FD658D" w:rsidRPr="005E4819" w:rsidRDefault="00FD658D" w:rsidP="005E4819">
            <w:pPr>
              <w:pStyle w:val="Tabletext"/>
            </w:pPr>
            <w:r w:rsidRPr="005E4819">
              <w:t>15</w:t>
            </w:r>
            <w:r w:rsidR="00D7157D">
              <w:t>.</w:t>
            </w:r>
            <w:r w:rsidRPr="005E4819">
              <w:t>0523</w:t>
            </w:r>
          </w:p>
        </w:tc>
        <w:tc>
          <w:tcPr>
            <w:tcW w:w="966" w:type="pct"/>
            <w:tcBorders>
              <w:top w:val="single" w:sz="4" w:space="0" w:color="auto"/>
              <w:bottom w:val="single" w:sz="4" w:space="0" w:color="auto"/>
            </w:tcBorders>
            <w:shd w:val="clear" w:color="auto" w:fill="auto"/>
            <w:vAlign w:val="bottom"/>
          </w:tcPr>
          <w:p w14:paraId="05D90A18" w14:textId="77777777" w:rsidR="00FD658D" w:rsidRPr="005E4819" w:rsidRDefault="00FD658D" w:rsidP="005E4819">
            <w:pPr>
              <w:pStyle w:val="Tabletext"/>
            </w:pPr>
            <w:r w:rsidRPr="005E4819">
              <w:t>0</w:t>
            </w:r>
            <w:r w:rsidR="00D7157D">
              <w:t>.</w:t>
            </w:r>
            <w:r w:rsidRPr="005E4819">
              <w:t>9595</w:t>
            </w:r>
          </w:p>
        </w:tc>
        <w:tc>
          <w:tcPr>
            <w:tcW w:w="966" w:type="pct"/>
            <w:tcBorders>
              <w:top w:val="single" w:sz="4" w:space="0" w:color="auto"/>
              <w:bottom w:val="single" w:sz="4" w:space="0" w:color="auto"/>
            </w:tcBorders>
            <w:shd w:val="clear" w:color="auto" w:fill="auto"/>
            <w:vAlign w:val="bottom"/>
          </w:tcPr>
          <w:p w14:paraId="72650053" w14:textId="77777777" w:rsidR="00FD658D" w:rsidRPr="005E4819" w:rsidRDefault="00FD658D" w:rsidP="005E4819">
            <w:pPr>
              <w:pStyle w:val="Tabletext"/>
            </w:pPr>
            <w:r w:rsidRPr="005E4819">
              <w:t>15</w:t>
            </w:r>
            <w:r w:rsidR="00D7157D">
              <w:t>.</w:t>
            </w:r>
            <w:r w:rsidRPr="005E4819">
              <w:t>5215</w:t>
            </w:r>
          </w:p>
        </w:tc>
        <w:tc>
          <w:tcPr>
            <w:tcW w:w="966" w:type="pct"/>
            <w:tcBorders>
              <w:top w:val="single" w:sz="4" w:space="0" w:color="auto"/>
              <w:bottom w:val="single" w:sz="4" w:space="0" w:color="auto"/>
              <w:right w:val="nil"/>
            </w:tcBorders>
            <w:shd w:val="clear" w:color="auto" w:fill="auto"/>
            <w:vAlign w:val="bottom"/>
          </w:tcPr>
          <w:p w14:paraId="27CA668A" w14:textId="77777777" w:rsidR="00FD658D" w:rsidRPr="005E4819" w:rsidRDefault="00FD658D" w:rsidP="005E4819">
            <w:pPr>
              <w:pStyle w:val="Tabletext"/>
            </w:pPr>
            <w:r w:rsidRPr="005E4819">
              <w:t>0</w:t>
            </w:r>
            <w:r w:rsidR="00D7157D">
              <w:t>.</w:t>
            </w:r>
            <w:r w:rsidRPr="005E4819">
              <w:t>4812</w:t>
            </w:r>
          </w:p>
        </w:tc>
      </w:tr>
      <w:tr w:rsidR="00FD658D" w:rsidRPr="005E4819" w14:paraId="6DB4DCD0" w14:textId="77777777" w:rsidTr="00F160E0">
        <w:trPr>
          <w:cantSplit/>
        </w:trPr>
        <w:tc>
          <w:tcPr>
            <w:tcW w:w="1136" w:type="pct"/>
            <w:tcBorders>
              <w:top w:val="single" w:sz="4" w:space="0" w:color="auto"/>
              <w:bottom w:val="single" w:sz="4" w:space="0" w:color="auto"/>
            </w:tcBorders>
          </w:tcPr>
          <w:p w14:paraId="3596C3A6" w14:textId="77777777" w:rsidR="00FD658D" w:rsidRPr="005E4819" w:rsidRDefault="00FD658D" w:rsidP="00FD658D">
            <w:pPr>
              <w:pStyle w:val="Tabletext"/>
            </w:pPr>
            <w:r w:rsidRPr="005E4819">
              <w:t>36</w:t>
            </w:r>
          </w:p>
        </w:tc>
        <w:tc>
          <w:tcPr>
            <w:tcW w:w="966" w:type="pct"/>
            <w:tcBorders>
              <w:top w:val="single" w:sz="4" w:space="0" w:color="auto"/>
              <w:bottom w:val="single" w:sz="4" w:space="0" w:color="auto"/>
            </w:tcBorders>
            <w:shd w:val="clear" w:color="auto" w:fill="auto"/>
            <w:vAlign w:val="bottom"/>
          </w:tcPr>
          <w:p w14:paraId="73DC7AD0" w14:textId="77777777" w:rsidR="00FD658D" w:rsidRPr="005E4819" w:rsidRDefault="00FD658D" w:rsidP="005E4819">
            <w:pPr>
              <w:pStyle w:val="Tabletext"/>
            </w:pPr>
            <w:r w:rsidRPr="005E4819">
              <w:t>14</w:t>
            </w:r>
            <w:r w:rsidR="00D7157D">
              <w:t>.</w:t>
            </w:r>
            <w:r w:rsidRPr="005E4819">
              <w:t>9651</w:t>
            </w:r>
          </w:p>
        </w:tc>
        <w:tc>
          <w:tcPr>
            <w:tcW w:w="966" w:type="pct"/>
            <w:tcBorders>
              <w:top w:val="single" w:sz="4" w:space="0" w:color="auto"/>
              <w:bottom w:val="single" w:sz="4" w:space="0" w:color="auto"/>
            </w:tcBorders>
            <w:shd w:val="clear" w:color="auto" w:fill="auto"/>
            <w:vAlign w:val="bottom"/>
          </w:tcPr>
          <w:p w14:paraId="6C6070A6" w14:textId="77777777" w:rsidR="00FD658D" w:rsidRPr="005E4819" w:rsidRDefault="00FD658D" w:rsidP="005E4819">
            <w:pPr>
              <w:pStyle w:val="Tabletext"/>
            </w:pPr>
            <w:r w:rsidRPr="005E4819">
              <w:t>0</w:t>
            </w:r>
            <w:r w:rsidR="00D7157D">
              <w:t>.</w:t>
            </w:r>
            <w:r w:rsidRPr="005E4819">
              <w:t>9931</w:t>
            </w:r>
          </w:p>
        </w:tc>
        <w:tc>
          <w:tcPr>
            <w:tcW w:w="966" w:type="pct"/>
            <w:tcBorders>
              <w:top w:val="single" w:sz="4" w:space="0" w:color="auto"/>
              <w:bottom w:val="single" w:sz="4" w:space="0" w:color="auto"/>
            </w:tcBorders>
            <w:shd w:val="clear" w:color="auto" w:fill="auto"/>
            <w:vAlign w:val="bottom"/>
          </w:tcPr>
          <w:p w14:paraId="4ACE9082" w14:textId="77777777" w:rsidR="00FD658D" w:rsidRPr="005E4819" w:rsidRDefault="00FD658D" w:rsidP="005E4819">
            <w:pPr>
              <w:pStyle w:val="Tabletext"/>
            </w:pPr>
            <w:r w:rsidRPr="005E4819">
              <w:t>15</w:t>
            </w:r>
            <w:r w:rsidR="00D7157D">
              <w:t>.</w:t>
            </w:r>
            <w:r w:rsidRPr="005E4819">
              <w:t>4483</w:t>
            </w:r>
          </w:p>
        </w:tc>
        <w:tc>
          <w:tcPr>
            <w:tcW w:w="966" w:type="pct"/>
            <w:tcBorders>
              <w:top w:val="single" w:sz="4" w:space="0" w:color="auto"/>
              <w:bottom w:val="single" w:sz="4" w:space="0" w:color="auto"/>
              <w:right w:val="nil"/>
            </w:tcBorders>
            <w:shd w:val="clear" w:color="auto" w:fill="auto"/>
            <w:vAlign w:val="bottom"/>
          </w:tcPr>
          <w:p w14:paraId="718A9CF8" w14:textId="77777777" w:rsidR="00FD658D" w:rsidRPr="005E4819" w:rsidRDefault="00FD658D" w:rsidP="005E4819">
            <w:pPr>
              <w:pStyle w:val="Tabletext"/>
            </w:pPr>
            <w:r w:rsidRPr="005E4819">
              <w:t>0</w:t>
            </w:r>
            <w:r w:rsidR="00D7157D">
              <w:t>.</w:t>
            </w:r>
            <w:r w:rsidRPr="005E4819">
              <w:t>4974</w:t>
            </w:r>
          </w:p>
        </w:tc>
      </w:tr>
      <w:tr w:rsidR="00FD658D" w:rsidRPr="005E4819" w14:paraId="21934029" w14:textId="77777777" w:rsidTr="00F160E0">
        <w:trPr>
          <w:cantSplit/>
        </w:trPr>
        <w:tc>
          <w:tcPr>
            <w:tcW w:w="1136" w:type="pct"/>
            <w:tcBorders>
              <w:top w:val="single" w:sz="4" w:space="0" w:color="auto"/>
              <w:bottom w:val="single" w:sz="4" w:space="0" w:color="auto"/>
            </w:tcBorders>
          </w:tcPr>
          <w:p w14:paraId="4E88082E" w14:textId="77777777" w:rsidR="00FD658D" w:rsidRPr="005E4819" w:rsidRDefault="00FD658D" w:rsidP="00FD658D">
            <w:pPr>
              <w:pStyle w:val="Tabletext"/>
            </w:pPr>
            <w:r w:rsidRPr="005E4819">
              <w:t>37</w:t>
            </w:r>
          </w:p>
        </w:tc>
        <w:tc>
          <w:tcPr>
            <w:tcW w:w="966" w:type="pct"/>
            <w:tcBorders>
              <w:top w:val="single" w:sz="4" w:space="0" w:color="auto"/>
              <w:bottom w:val="single" w:sz="4" w:space="0" w:color="auto"/>
            </w:tcBorders>
            <w:shd w:val="clear" w:color="auto" w:fill="auto"/>
            <w:vAlign w:val="bottom"/>
          </w:tcPr>
          <w:p w14:paraId="53AEA6D9" w14:textId="77777777" w:rsidR="00FD658D" w:rsidRPr="005E4819" w:rsidRDefault="00FD658D" w:rsidP="005E4819">
            <w:pPr>
              <w:pStyle w:val="Tabletext"/>
            </w:pPr>
            <w:r w:rsidRPr="005E4819">
              <w:t>14</w:t>
            </w:r>
            <w:r w:rsidR="00D7157D">
              <w:t>.</w:t>
            </w:r>
            <w:r w:rsidRPr="005E4819">
              <w:t>8739</w:t>
            </w:r>
          </w:p>
        </w:tc>
        <w:tc>
          <w:tcPr>
            <w:tcW w:w="966" w:type="pct"/>
            <w:tcBorders>
              <w:top w:val="single" w:sz="4" w:space="0" w:color="auto"/>
              <w:bottom w:val="single" w:sz="4" w:space="0" w:color="auto"/>
            </w:tcBorders>
            <w:shd w:val="clear" w:color="auto" w:fill="auto"/>
            <w:vAlign w:val="bottom"/>
          </w:tcPr>
          <w:p w14:paraId="6E43C060" w14:textId="77777777" w:rsidR="00FD658D" w:rsidRPr="005E4819" w:rsidRDefault="00FD658D" w:rsidP="005E4819">
            <w:pPr>
              <w:pStyle w:val="Tabletext"/>
            </w:pPr>
            <w:r w:rsidRPr="005E4819">
              <w:t>1</w:t>
            </w:r>
            <w:r w:rsidR="00D7157D">
              <w:t>.</w:t>
            </w:r>
            <w:r w:rsidRPr="005E4819">
              <w:t>0278</w:t>
            </w:r>
          </w:p>
        </w:tc>
        <w:tc>
          <w:tcPr>
            <w:tcW w:w="966" w:type="pct"/>
            <w:tcBorders>
              <w:top w:val="single" w:sz="4" w:space="0" w:color="auto"/>
              <w:bottom w:val="single" w:sz="4" w:space="0" w:color="auto"/>
            </w:tcBorders>
            <w:shd w:val="clear" w:color="auto" w:fill="auto"/>
            <w:vAlign w:val="bottom"/>
          </w:tcPr>
          <w:p w14:paraId="38381225" w14:textId="77777777" w:rsidR="00FD658D" w:rsidRPr="005E4819" w:rsidRDefault="00FD658D" w:rsidP="005E4819">
            <w:pPr>
              <w:pStyle w:val="Tabletext"/>
            </w:pPr>
            <w:r w:rsidRPr="005E4819">
              <w:t>15</w:t>
            </w:r>
            <w:r w:rsidR="00D7157D">
              <w:t>.</w:t>
            </w:r>
            <w:r w:rsidRPr="005E4819">
              <w:t>3716</w:t>
            </w:r>
          </w:p>
        </w:tc>
        <w:tc>
          <w:tcPr>
            <w:tcW w:w="966" w:type="pct"/>
            <w:tcBorders>
              <w:top w:val="single" w:sz="4" w:space="0" w:color="auto"/>
              <w:bottom w:val="single" w:sz="4" w:space="0" w:color="auto"/>
              <w:right w:val="nil"/>
            </w:tcBorders>
            <w:shd w:val="clear" w:color="auto" w:fill="auto"/>
            <w:vAlign w:val="bottom"/>
          </w:tcPr>
          <w:p w14:paraId="5A1CE53D" w14:textId="77777777" w:rsidR="00FD658D" w:rsidRPr="005E4819" w:rsidRDefault="00FD658D" w:rsidP="005E4819">
            <w:pPr>
              <w:pStyle w:val="Tabletext"/>
            </w:pPr>
            <w:r w:rsidRPr="005E4819">
              <w:t>0</w:t>
            </w:r>
            <w:r w:rsidR="00D7157D">
              <w:t>.</w:t>
            </w:r>
            <w:r w:rsidRPr="005E4819">
              <w:t>5141</w:t>
            </w:r>
          </w:p>
        </w:tc>
      </w:tr>
      <w:tr w:rsidR="00FD658D" w:rsidRPr="005E4819" w14:paraId="0DF2829F" w14:textId="77777777" w:rsidTr="00F160E0">
        <w:trPr>
          <w:cantSplit/>
        </w:trPr>
        <w:tc>
          <w:tcPr>
            <w:tcW w:w="1136" w:type="pct"/>
            <w:tcBorders>
              <w:top w:val="single" w:sz="4" w:space="0" w:color="auto"/>
              <w:bottom w:val="single" w:sz="4" w:space="0" w:color="auto"/>
            </w:tcBorders>
          </w:tcPr>
          <w:p w14:paraId="2911270F" w14:textId="77777777" w:rsidR="00FD658D" w:rsidRPr="005E4819" w:rsidRDefault="00FD658D" w:rsidP="00FD658D">
            <w:pPr>
              <w:pStyle w:val="Tabletext"/>
            </w:pPr>
            <w:r w:rsidRPr="005E4819">
              <w:t>38</w:t>
            </w:r>
          </w:p>
        </w:tc>
        <w:tc>
          <w:tcPr>
            <w:tcW w:w="966" w:type="pct"/>
            <w:tcBorders>
              <w:top w:val="single" w:sz="4" w:space="0" w:color="auto"/>
              <w:bottom w:val="single" w:sz="4" w:space="0" w:color="auto"/>
            </w:tcBorders>
            <w:shd w:val="clear" w:color="auto" w:fill="auto"/>
            <w:vAlign w:val="bottom"/>
          </w:tcPr>
          <w:p w14:paraId="12142CD7" w14:textId="77777777" w:rsidR="00FD658D" w:rsidRPr="005E4819" w:rsidRDefault="00FD658D" w:rsidP="005E4819">
            <w:pPr>
              <w:pStyle w:val="Tabletext"/>
            </w:pPr>
            <w:r w:rsidRPr="005E4819">
              <w:t>14</w:t>
            </w:r>
            <w:r w:rsidR="00D7157D">
              <w:t>.</w:t>
            </w:r>
            <w:r w:rsidRPr="005E4819">
              <w:t>7786</w:t>
            </w:r>
          </w:p>
        </w:tc>
        <w:tc>
          <w:tcPr>
            <w:tcW w:w="966" w:type="pct"/>
            <w:tcBorders>
              <w:top w:val="single" w:sz="4" w:space="0" w:color="auto"/>
              <w:bottom w:val="single" w:sz="4" w:space="0" w:color="auto"/>
            </w:tcBorders>
            <w:shd w:val="clear" w:color="auto" w:fill="auto"/>
            <w:vAlign w:val="bottom"/>
          </w:tcPr>
          <w:p w14:paraId="2B08E509" w14:textId="77777777" w:rsidR="00FD658D" w:rsidRPr="005E4819" w:rsidRDefault="00FD658D" w:rsidP="005E4819">
            <w:pPr>
              <w:pStyle w:val="Tabletext"/>
            </w:pPr>
            <w:r w:rsidRPr="005E4819">
              <w:t>1</w:t>
            </w:r>
            <w:r w:rsidR="00D7157D">
              <w:t>.</w:t>
            </w:r>
            <w:r w:rsidRPr="005E4819">
              <w:t>0639</w:t>
            </w:r>
          </w:p>
        </w:tc>
        <w:tc>
          <w:tcPr>
            <w:tcW w:w="966" w:type="pct"/>
            <w:tcBorders>
              <w:top w:val="single" w:sz="4" w:space="0" w:color="auto"/>
              <w:bottom w:val="single" w:sz="4" w:space="0" w:color="auto"/>
            </w:tcBorders>
            <w:shd w:val="clear" w:color="auto" w:fill="auto"/>
            <w:vAlign w:val="bottom"/>
          </w:tcPr>
          <w:p w14:paraId="0F475533" w14:textId="77777777" w:rsidR="00FD658D" w:rsidRPr="005E4819" w:rsidRDefault="00FD658D" w:rsidP="005E4819">
            <w:pPr>
              <w:pStyle w:val="Tabletext"/>
            </w:pPr>
            <w:r w:rsidRPr="005E4819">
              <w:t>15</w:t>
            </w:r>
            <w:r w:rsidR="00D7157D">
              <w:t>.</w:t>
            </w:r>
            <w:r w:rsidRPr="005E4819">
              <w:t>2912</w:t>
            </w:r>
          </w:p>
        </w:tc>
        <w:tc>
          <w:tcPr>
            <w:tcW w:w="966" w:type="pct"/>
            <w:tcBorders>
              <w:top w:val="single" w:sz="4" w:space="0" w:color="auto"/>
              <w:bottom w:val="single" w:sz="4" w:space="0" w:color="auto"/>
              <w:right w:val="nil"/>
            </w:tcBorders>
            <w:shd w:val="clear" w:color="auto" w:fill="auto"/>
            <w:vAlign w:val="bottom"/>
          </w:tcPr>
          <w:p w14:paraId="3E9C5194" w14:textId="77777777" w:rsidR="00FD658D" w:rsidRPr="005E4819" w:rsidRDefault="00FD658D" w:rsidP="005E4819">
            <w:pPr>
              <w:pStyle w:val="Tabletext"/>
            </w:pPr>
            <w:r w:rsidRPr="005E4819">
              <w:t>0</w:t>
            </w:r>
            <w:r w:rsidR="00D7157D">
              <w:t>.</w:t>
            </w:r>
            <w:r w:rsidRPr="005E4819">
              <w:t>5314</w:t>
            </w:r>
          </w:p>
        </w:tc>
      </w:tr>
      <w:tr w:rsidR="00FD658D" w:rsidRPr="005E4819" w14:paraId="07EDB845" w14:textId="77777777" w:rsidTr="00F160E0">
        <w:trPr>
          <w:cantSplit/>
        </w:trPr>
        <w:tc>
          <w:tcPr>
            <w:tcW w:w="1136" w:type="pct"/>
            <w:tcBorders>
              <w:top w:val="single" w:sz="4" w:space="0" w:color="auto"/>
              <w:bottom w:val="single" w:sz="4" w:space="0" w:color="auto"/>
            </w:tcBorders>
          </w:tcPr>
          <w:p w14:paraId="2B89B7CC" w14:textId="77777777" w:rsidR="00FD658D" w:rsidRPr="005E4819" w:rsidRDefault="00FD658D" w:rsidP="00FD658D">
            <w:pPr>
              <w:pStyle w:val="Tabletext"/>
            </w:pPr>
            <w:r w:rsidRPr="005E4819">
              <w:t>39</w:t>
            </w:r>
          </w:p>
        </w:tc>
        <w:tc>
          <w:tcPr>
            <w:tcW w:w="966" w:type="pct"/>
            <w:tcBorders>
              <w:top w:val="single" w:sz="4" w:space="0" w:color="auto"/>
              <w:bottom w:val="single" w:sz="4" w:space="0" w:color="auto"/>
            </w:tcBorders>
            <w:shd w:val="clear" w:color="auto" w:fill="auto"/>
            <w:vAlign w:val="bottom"/>
          </w:tcPr>
          <w:p w14:paraId="5D5CE320" w14:textId="77777777" w:rsidR="00FD658D" w:rsidRPr="005E4819" w:rsidRDefault="00FD658D" w:rsidP="005E4819">
            <w:pPr>
              <w:pStyle w:val="Tabletext"/>
            </w:pPr>
            <w:r w:rsidRPr="005E4819">
              <w:t>14</w:t>
            </w:r>
            <w:r w:rsidR="00D7157D">
              <w:t>.</w:t>
            </w:r>
            <w:r w:rsidRPr="005E4819">
              <w:t>6789</w:t>
            </w:r>
          </w:p>
        </w:tc>
        <w:tc>
          <w:tcPr>
            <w:tcW w:w="966" w:type="pct"/>
            <w:tcBorders>
              <w:top w:val="single" w:sz="4" w:space="0" w:color="auto"/>
              <w:bottom w:val="single" w:sz="4" w:space="0" w:color="auto"/>
            </w:tcBorders>
            <w:shd w:val="clear" w:color="auto" w:fill="auto"/>
            <w:vAlign w:val="bottom"/>
          </w:tcPr>
          <w:p w14:paraId="4F82308B" w14:textId="77777777" w:rsidR="00FD658D" w:rsidRPr="005E4819" w:rsidRDefault="00FD658D" w:rsidP="005E4819">
            <w:pPr>
              <w:pStyle w:val="Tabletext"/>
            </w:pPr>
            <w:r w:rsidRPr="005E4819">
              <w:t>1</w:t>
            </w:r>
            <w:r w:rsidR="00D7157D">
              <w:t>.</w:t>
            </w:r>
            <w:r w:rsidRPr="005E4819">
              <w:t>1013</w:t>
            </w:r>
          </w:p>
        </w:tc>
        <w:tc>
          <w:tcPr>
            <w:tcW w:w="966" w:type="pct"/>
            <w:tcBorders>
              <w:top w:val="single" w:sz="4" w:space="0" w:color="auto"/>
              <w:bottom w:val="single" w:sz="4" w:space="0" w:color="auto"/>
            </w:tcBorders>
            <w:shd w:val="clear" w:color="auto" w:fill="auto"/>
            <w:vAlign w:val="bottom"/>
          </w:tcPr>
          <w:p w14:paraId="508D303E" w14:textId="77777777" w:rsidR="00FD658D" w:rsidRPr="005E4819" w:rsidRDefault="00FD658D" w:rsidP="005E4819">
            <w:pPr>
              <w:pStyle w:val="Tabletext"/>
            </w:pPr>
            <w:r w:rsidRPr="005E4819">
              <w:t>15</w:t>
            </w:r>
            <w:r w:rsidR="00D7157D">
              <w:t>.</w:t>
            </w:r>
            <w:r w:rsidRPr="005E4819">
              <w:t>2070</w:t>
            </w:r>
          </w:p>
        </w:tc>
        <w:tc>
          <w:tcPr>
            <w:tcW w:w="966" w:type="pct"/>
            <w:tcBorders>
              <w:top w:val="single" w:sz="4" w:space="0" w:color="auto"/>
              <w:bottom w:val="single" w:sz="4" w:space="0" w:color="auto"/>
              <w:right w:val="nil"/>
            </w:tcBorders>
            <w:shd w:val="clear" w:color="auto" w:fill="auto"/>
            <w:vAlign w:val="bottom"/>
          </w:tcPr>
          <w:p w14:paraId="53809C01" w14:textId="77777777" w:rsidR="00FD658D" w:rsidRPr="005E4819" w:rsidRDefault="00FD658D" w:rsidP="005E4819">
            <w:pPr>
              <w:pStyle w:val="Tabletext"/>
            </w:pPr>
            <w:r w:rsidRPr="005E4819">
              <w:t>0</w:t>
            </w:r>
            <w:r w:rsidR="00D7157D">
              <w:t>.</w:t>
            </w:r>
            <w:r w:rsidRPr="005E4819">
              <w:t>5492</w:t>
            </w:r>
          </w:p>
        </w:tc>
      </w:tr>
      <w:tr w:rsidR="00FD658D" w:rsidRPr="005E4819" w14:paraId="5D03F231" w14:textId="77777777" w:rsidTr="00F160E0">
        <w:trPr>
          <w:cantSplit/>
        </w:trPr>
        <w:tc>
          <w:tcPr>
            <w:tcW w:w="1136" w:type="pct"/>
            <w:tcBorders>
              <w:top w:val="single" w:sz="4" w:space="0" w:color="auto"/>
              <w:bottom w:val="single" w:sz="4" w:space="0" w:color="auto"/>
            </w:tcBorders>
          </w:tcPr>
          <w:p w14:paraId="45C2E3BE" w14:textId="77777777" w:rsidR="00FD658D" w:rsidRPr="005E4819" w:rsidRDefault="00FD658D" w:rsidP="00FD658D">
            <w:pPr>
              <w:pStyle w:val="Tabletext"/>
            </w:pPr>
            <w:r w:rsidRPr="005E4819">
              <w:t>40</w:t>
            </w:r>
          </w:p>
        </w:tc>
        <w:tc>
          <w:tcPr>
            <w:tcW w:w="966" w:type="pct"/>
            <w:tcBorders>
              <w:top w:val="single" w:sz="4" w:space="0" w:color="auto"/>
              <w:bottom w:val="single" w:sz="4" w:space="0" w:color="auto"/>
            </w:tcBorders>
            <w:shd w:val="clear" w:color="auto" w:fill="auto"/>
            <w:vAlign w:val="bottom"/>
          </w:tcPr>
          <w:p w14:paraId="60A7BE19" w14:textId="77777777" w:rsidR="00FD658D" w:rsidRPr="005E4819" w:rsidRDefault="00FD658D" w:rsidP="005E4819">
            <w:pPr>
              <w:pStyle w:val="Tabletext"/>
            </w:pPr>
            <w:r w:rsidRPr="005E4819">
              <w:t>14</w:t>
            </w:r>
            <w:r w:rsidR="00D7157D">
              <w:t>.</w:t>
            </w:r>
            <w:r w:rsidRPr="005E4819">
              <w:t>5748</w:t>
            </w:r>
          </w:p>
        </w:tc>
        <w:tc>
          <w:tcPr>
            <w:tcW w:w="966" w:type="pct"/>
            <w:tcBorders>
              <w:top w:val="single" w:sz="4" w:space="0" w:color="auto"/>
              <w:bottom w:val="single" w:sz="4" w:space="0" w:color="auto"/>
            </w:tcBorders>
            <w:shd w:val="clear" w:color="auto" w:fill="auto"/>
            <w:vAlign w:val="bottom"/>
          </w:tcPr>
          <w:p w14:paraId="1E34A943" w14:textId="77777777" w:rsidR="00FD658D" w:rsidRPr="005E4819" w:rsidRDefault="00FD658D" w:rsidP="005E4819">
            <w:pPr>
              <w:pStyle w:val="Tabletext"/>
            </w:pPr>
            <w:r w:rsidRPr="005E4819">
              <w:t>1</w:t>
            </w:r>
            <w:r w:rsidR="00D7157D">
              <w:t>.</w:t>
            </w:r>
            <w:r w:rsidRPr="005E4819">
              <w:t>1400</w:t>
            </w:r>
          </w:p>
        </w:tc>
        <w:tc>
          <w:tcPr>
            <w:tcW w:w="966" w:type="pct"/>
            <w:tcBorders>
              <w:top w:val="single" w:sz="4" w:space="0" w:color="auto"/>
              <w:bottom w:val="single" w:sz="4" w:space="0" w:color="auto"/>
            </w:tcBorders>
            <w:shd w:val="clear" w:color="auto" w:fill="auto"/>
            <w:vAlign w:val="bottom"/>
          </w:tcPr>
          <w:p w14:paraId="654E438F" w14:textId="77777777" w:rsidR="00FD658D" w:rsidRPr="005E4819" w:rsidRDefault="00FD658D" w:rsidP="005E4819">
            <w:pPr>
              <w:pStyle w:val="Tabletext"/>
            </w:pPr>
            <w:r w:rsidRPr="005E4819">
              <w:t>15</w:t>
            </w:r>
            <w:r w:rsidR="00D7157D">
              <w:t>.</w:t>
            </w:r>
            <w:r w:rsidRPr="005E4819">
              <w:t>1186</w:t>
            </w:r>
          </w:p>
        </w:tc>
        <w:tc>
          <w:tcPr>
            <w:tcW w:w="966" w:type="pct"/>
            <w:tcBorders>
              <w:top w:val="single" w:sz="4" w:space="0" w:color="auto"/>
              <w:bottom w:val="single" w:sz="4" w:space="0" w:color="auto"/>
              <w:right w:val="nil"/>
            </w:tcBorders>
            <w:shd w:val="clear" w:color="auto" w:fill="auto"/>
            <w:vAlign w:val="bottom"/>
          </w:tcPr>
          <w:p w14:paraId="0682A516" w14:textId="77777777" w:rsidR="00FD658D" w:rsidRPr="005E4819" w:rsidRDefault="00FD658D" w:rsidP="005E4819">
            <w:pPr>
              <w:pStyle w:val="Tabletext"/>
            </w:pPr>
            <w:r w:rsidRPr="005E4819">
              <w:t>0</w:t>
            </w:r>
            <w:r w:rsidR="00D7157D">
              <w:t>.</w:t>
            </w:r>
            <w:r w:rsidRPr="005E4819">
              <w:t>5677</w:t>
            </w:r>
          </w:p>
        </w:tc>
      </w:tr>
      <w:tr w:rsidR="00FD658D" w:rsidRPr="005E4819" w14:paraId="0012B169" w14:textId="77777777" w:rsidTr="00F160E0">
        <w:trPr>
          <w:cantSplit/>
        </w:trPr>
        <w:tc>
          <w:tcPr>
            <w:tcW w:w="1136" w:type="pct"/>
            <w:tcBorders>
              <w:top w:val="single" w:sz="4" w:space="0" w:color="auto"/>
              <w:bottom w:val="single" w:sz="4" w:space="0" w:color="auto"/>
            </w:tcBorders>
          </w:tcPr>
          <w:p w14:paraId="7B6F1A4A" w14:textId="77777777" w:rsidR="00FD658D" w:rsidRPr="005E4819" w:rsidRDefault="00FD658D" w:rsidP="00FD658D">
            <w:pPr>
              <w:pStyle w:val="Tabletext"/>
            </w:pPr>
            <w:r w:rsidRPr="005E4819">
              <w:t>41</w:t>
            </w:r>
          </w:p>
        </w:tc>
        <w:tc>
          <w:tcPr>
            <w:tcW w:w="966" w:type="pct"/>
            <w:tcBorders>
              <w:top w:val="single" w:sz="4" w:space="0" w:color="auto"/>
              <w:bottom w:val="single" w:sz="4" w:space="0" w:color="auto"/>
            </w:tcBorders>
            <w:shd w:val="clear" w:color="auto" w:fill="auto"/>
            <w:vAlign w:val="bottom"/>
          </w:tcPr>
          <w:p w14:paraId="70507693" w14:textId="77777777" w:rsidR="00FD658D" w:rsidRPr="005E4819" w:rsidRDefault="00FD658D" w:rsidP="005E4819">
            <w:pPr>
              <w:pStyle w:val="Tabletext"/>
            </w:pPr>
            <w:r w:rsidRPr="005E4819">
              <w:t>14</w:t>
            </w:r>
            <w:r w:rsidR="00D7157D">
              <w:t>.</w:t>
            </w:r>
            <w:r w:rsidRPr="005E4819">
              <w:t>4660</w:t>
            </w:r>
          </w:p>
        </w:tc>
        <w:tc>
          <w:tcPr>
            <w:tcW w:w="966" w:type="pct"/>
            <w:tcBorders>
              <w:top w:val="single" w:sz="4" w:space="0" w:color="auto"/>
              <w:bottom w:val="single" w:sz="4" w:space="0" w:color="auto"/>
            </w:tcBorders>
            <w:shd w:val="clear" w:color="auto" w:fill="auto"/>
            <w:vAlign w:val="bottom"/>
          </w:tcPr>
          <w:p w14:paraId="59E1E29B" w14:textId="77777777" w:rsidR="00FD658D" w:rsidRPr="005E4819" w:rsidRDefault="00FD658D" w:rsidP="005E4819">
            <w:pPr>
              <w:pStyle w:val="Tabletext"/>
            </w:pPr>
            <w:r w:rsidRPr="005E4819">
              <w:t>1</w:t>
            </w:r>
            <w:r w:rsidR="00D7157D">
              <w:t>.</w:t>
            </w:r>
            <w:r w:rsidRPr="005E4819">
              <w:t>1407</w:t>
            </w:r>
          </w:p>
        </w:tc>
        <w:tc>
          <w:tcPr>
            <w:tcW w:w="966" w:type="pct"/>
            <w:tcBorders>
              <w:top w:val="single" w:sz="4" w:space="0" w:color="auto"/>
              <w:bottom w:val="single" w:sz="4" w:space="0" w:color="auto"/>
            </w:tcBorders>
            <w:shd w:val="clear" w:color="auto" w:fill="auto"/>
            <w:vAlign w:val="bottom"/>
          </w:tcPr>
          <w:p w14:paraId="49BF423A" w14:textId="77777777" w:rsidR="00FD658D" w:rsidRPr="005E4819" w:rsidRDefault="00FD658D" w:rsidP="005E4819">
            <w:pPr>
              <w:pStyle w:val="Tabletext"/>
            </w:pPr>
            <w:r w:rsidRPr="005E4819">
              <w:t>15</w:t>
            </w:r>
            <w:r w:rsidR="00D7157D">
              <w:t>.</w:t>
            </w:r>
            <w:r w:rsidRPr="005E4819">
              <w:t>0260</w:t>
            </w:r>
          </w:p>
        </w:tc>
        <w:tc>
          <w:tcPr>
            <w:tcW w:w="966" w:type="pct"/>
            <w:tcBorders>
              <w:top w:val="single" w:sz="4" w:space="0" w:color="auto"/>
              <w:bottom w:val="single" w:sz="4" w:space="0" w:color="auto"/>
              <w:right w:val="nil"/>
            </w:tcBorders>
            <w:shd w:val="clear" w:color="auto" w:fill="auto"/>
            <w:vAlign w:val="bottom"/>
          </w:tcPr>
          <w:p w14:paraId="495C96D1" w14:textId="77777777" w:rsidR="00FD658D" w:rsidRPr="005E4819" w:rsidRDefault="00FD658D" w:rsidP="005E4819">
            <w:pPr>
              <w:pStyle w:val="Tabletext"/>
            </w:pPr>
            <w:r w:rsidRPr="005E4819">
              <w:t>0</w:t>
            </w:r>
            <w:r w:rsidR="00D7157D">
              <w:t>.</w:t>
            </w:r>
            <w:r w:rsidRPr="005E4819">
              <w:t>5515</w:t>
            </w:r>
          </w:p>
        </w:tc>
      </w:tr>
      <w:tr w:rsidR="00FD658D" w:rsidRPr="005E4819" w14:paraId="1CEE710C" w14:textId="77777777" w:rsidTr="00F160E0">
        <w:trPr>
          <w:cantSplit/>
        </w:trPr>
        <w:tc>
          <w:tcPr>
            <w:tcW w:w="1136" w:type="pct"/>
            <w:tcBorders>
              <w:top w:val="single" w:sz="4" w:space="0" w:color="auto"/>
              <w:bottom w:val="single" w:sz="4" w:space="0" w:color="auto"/>
            </w:tcBorders>
          </w:tcPr>
          <w:p w14:paraId="682CC8AE" w14:textId="77777777" w:rsidR="00FD658D" w:rsidRPr="005E4819" w:rsidRDefault="00FD658D" w:rsidP="00FD658D">
            <w:pPr>
              <w:pStyle w:val="Tabletext"/>
            </w:pPr>
            <w:r w:rsidRPr="005E4819">
              <w:t>42</w:t>
            </w:r>
          </w:p>
        </w:tc>
        <w:tc>
          <w:tcPr>
            <w:tcW w:w="966" w:type="pct"/>
            <w:tcBorders>
              <w:top w:val="single" w:sz="4" w:space="0" w:color="auto"/>
              <w:bottom w:val="single" w:sz="4" w:space="0" w:color="auto"/>
            </w:tcBorders>
            <w:shd w:val="clear" w:color="auto" w:fill="auto"/>
            <w:vAlign w:val="bottom"/>
          </w:tcPr>
          <w:p w14:paraId="191BBC9E" w14:textId="77777777" w:rsidR="00FD658D" w:rsidRPr="005E4819" w:rsidRDefault="00FD658D" w:rsidP="005E4819">
            <w:pPr>
              <w:pStyle w:val="Tabletext"/>
            </w:pPr>
            <w:r w:rsidRPr="005E4819">
              <w:t>14</w:t>
            </w:r>
            <w:r w:rsidR="00D7157D">
              <w:t>.</w:t>
            </w:r>
            <w:r w:rsidRPr="005E4819">
              <w:t>3525</w:t>
            </w:r>
          </w:p>
        </w:tc>
        <w:tc>
          <w:tcPr>
            <w:tcW w:w="966" w:type="pct"/>
            <w:tcBorders>
              <w:top w:val="single" w:sz="4" w:space="0" w:color="auto"/>
              <w:bottom w:val="single" w:sz="4" w:space="0" w:color="auto"/>
            </w:tcBorders>
            <w:shd w:val="clear" w:color="auto" w:fill="auto"/>
            <w:vAlign w:val="bottom"/>
          </w:tcPr>
          <w:p w14:paraId="581FAEBF" w14:textId="77777777" w:rsidR="00FD658D" w:rsidRPr="005E4819" w:rsidRDefault="00FD658D" w:rsidP="005E4819">
            <w:pPr>
              <w:pStyle w:val="Tabletext"/>
            </w:pPr>
            <w:r w:rsidRPr="005E4819">
              <w:t>1</w:t>
            </w:r>
            <w:r w:rsidR="00D7157D">
              <w:t>.</w:t>
            </w:r>
            <w:r w:rsidRPr="005E4819">
              <w:t>1399</w:t>
            </w:r>
          </w:p>
        </w:tc>
        <w:tc>
          <w:tcPr>
            <w:tcW w:w="966" w:type="pct"/>
            <w:tcBorders>
              <w:top w:val="single" w:sz="4" w:space="0" w:color="auto"/>
              <w:bottom w:val="single" w:sz="4" w:space="0" w:color="auto"/>
            </w:tcBorders>
            <w:shd w:val="clear" w:color="auto" w:fill="auto"/>
            <w:vAlign w:val="bottom"/>
          </w:tcPr>
          <w:p w14:paraId="527FBBD0" w14:textId="77777777" w:rsidR="00FD658D" w:rsidRPr="005E4819" w:rsidRDefault="00FD658D" w:rsidP="005E4819">
            <w:pPr>
              <w:pStyle w:val="Tabletext"/>
            </w:pPr>
            <w:r w:rsidRPr="005E4819">
              <w:t>14</w:t>
            </w:r>
            <w:r w:rsidR="00D7157D">
              <w:t>.</w:t>
            </w:r>
            <w:r w:rsidRPr="005E4819">
              <w:t>9291</w:t>
            </w:r>
          </w:p>
        </w:tc>
        <w:tc>
          <w:tcPr>
            <w:tcW w:w="966" w:type="pct"/>
            <w:tcBorders>
              <w:top w:val="single" w:sz="4" w:space="0" w:color="auto"/>
              <w:bottom w:val="single" w:sz="4" w:space="0" w:color="auto"/>
              <w:right w:val="nil"/>
            </w:tcBorders>
            <w:shd w:val="clear" w:color="auto" w:fill="auto"/>
            <w:vAlign w:val="bottom"/>
          </w:tcPr>
          <w:p w14:paraId="09550005" w14:textId="77777777" w:rsidR="00FD658D" w:rsidRPr="005E4819" w:rsidRDefault="00FD658D" w:rsidP="005E4819">
            <w:pPr>
              <w:pStyle w:val="Tabletext"/>
            </w:pPr>
            <w:r w:rsidRPr="005E4819">
              <w:t>0</w:t>
            </w:r>
            <w:r w:rsidR="00D7157D">
              <w:t>.</w:t>
            </w:r>
            <w:r w:rsidRPr="005E4819">
              <w:t>5335</w:t>
            </w:r>
          </w:p>
        </w:tc>
      </w:tr>
      <w:tr w:rsidR="00FD658D" w:rsidRPr="005E4819" w14:paraId="38C2B272" w14:textId="77777777" w:rsidTr="00F160E0">
        <w:trPr>
          <w:cantSplit/>
        </w:trPr>
        <w:tc>
          <w:tcPr>
            <w:tcW w:w="1136" w:type="pct"/>
            <w:tcBorders>
              <w:top w:val="single" w:sz="4" w:space="0" w:color="auto"/>
              <w:bottom w:val="single" w:sz="4" w:space="0" w:color="auto"/>
            </w:tcBorders>
          </w:tcPr>
          <w:p w14:paraId="027399CD" w14:textId="77777777" w:rsidR="00FD658D" w:rsidRPr="005E4819" w:rsidRDefault="00FD658D" w:rsidP="00FD658D">
            <w:pPr>
              <w:pStyle w:val="Tabletext"/>
            </w:pPr>
            <w:r w:rsidRPr="005E4819">
              <w:t>43</w:t>
            </w:r>
          </w:p>
        </w:tc>
        <w:tc>
          <w:tcPr>
            <w:tcW w:w="966" w:type="pct"/>
            <w:tcBorders>
              <w:top w:val="single" w:sz="4" w:space="0" w:color="auto"/>
              <w:bottom w:val="single" w:sz="4" w:space="0" w:color="auto"/>
            </w:tcBorders>
            <w:shd w:val="clear" w:color="auto" w:fill="auto"/>
            <w:vAlign w:val="bottom"/>
          </w:tcPr>
          <w:p w14:paraId="27E0090B" w14:textId="77777777" w:rsidR="00FD658D" w:rsidRPr="005E4819" w:rsidRDefault="00FD658D" w:rsidP="005E4819">
            <w:pPr>
              <w:pStyle w:val="Tabletext"/>
            </w:pPr>
            <w:r w:rsidRPr="005E4819">
              <w:t>14</w:t>
            </w:r>
            <w:r w:rsidR="00D7157D">
              <w:t>.</w:t>
            </w:r>
            <w:r w:rsidRPr="005E4819">
              <w:t>2338</w:t>
            </w:r>
          </w:p>
        </w:tc>
        <w:tc>
          <w:tcPr>
            <w:tcW w:w="966" w:type="pct"/>
            <w:tcBorders>
              <w:top w:val="single" w:sz="4" w:space="0" w:color="auto"/>
              <w:bottom w:val="single" w:sz="4" w:space="0" w:color="auto"/>
            </w:tcBorders>
            <w:shd w:val="clear" w:color="auto" w:fill="auto"/>
            <w:vAlign w:val="bottom"/>
          </w:tcPr>
          <w:p w14:paraId="58C7ADFC" w14:textId="77777777" w:rsidR="00FD658D" w:rsidRPr="005E4819" w:rsidRDefault="00FD658D" w:rsidP="005E4819">
            <w:pPr>
              <w:pStyle w:val="Tabletext"/>
            </w:pPr>
            <w:r w:rsidRPr="005E4819">
              <w:t>1</w:t>
            </w:r>
            <w:r w:rsidR="00D7157D">
              <w:t>.</w:t>
            </w:r>
            <w:r w:rsidRPr="005E4819">
              <w:t>1378</w:t>
            </w:r>
          </w:p>
        </w:tc>
        <w:tc>
          <w:tcPr>
            <w:tcW w:w="966" w:type="pct"/>
            <w:tcBorders>
              <w:top w:val="single" w:sz="4" w:space="0" w:color="auto"/>
              <w:bottom w:val="single" w:sz="4" w:space="0" w:color="auto"/>
            </w:tcBorders>
            <w:shd w:val="clear" w:color="auto" w:fill="auto"/>
            <w:vAlign w:val="bottom"/>
          </w:tcPr>
          <w:p w14:paraId="7F6A75DC" w14:textId="77777777" w:rsidR="00FD658D" w:rsidRPr="005E4819" w:rsidRDefault="00FD658D" w:rsidP="005E4819">
            <w:pPr>
              <w:pStyle w:val="Tabletext"/>
            </w:pPr>
            <w:r w:rsidRPr="005E4819">
              <w:t>14</w:t>
            </w:r>
            <w:r w:rsidR="00D7157D">
              <w:t>.</w:t>
            </w:r>
            <w:r w:rsidRPr="005E4819">
              <w:t>8275</w:t>
            </w:r>
          </w:p>
        </w:tc>
        <w:tc>
          <w:tcPr>
            <w:tcW w:w="966" w:type="pct"/>
            <w:tcBorders>
              <w:top w:val="single" w:sz="4" w:space="0" w:color="auto"/>
              <w:bottom w:val="single" w:sz="4" w:space="0" w:color="auto"/>
              <w:right w:val="nil"/>
            </w:tcBorders>
            <w:shd w:val="clear" w:color="auto" w:fill="auto"/>
            <w:vAlign w:val="bottom"/>
          </w:tcPr>
          <w:p w14:paraId="3238668B" w14:textId="77777777" w:rsidR="00FD658D" w:rsidRPr="005E4819" w:rsidRDefault="00FD658D" w:rsidP="005E4819">
            <w:pPr>
              <w:pStyle w:val="Tabletext"/>
            </w:pPr>
            <w:r w:rsidRPr="005E4819">
              <w:t>0</w:t>
            </w:r>
            <w:r w:rsidR="00D7157D">
              <w:t>.</w:t>
            </w:r>
            <w:r w:rsidRPr="005E4819">
              <w:t>5136</w:t>
            </w:r>
          </w:p>
        </w:tc>
      </w:tr>
      <w:tr w:rsidR="00FD658D" w:rsidRPr="005E4819" w14:paraId="5B917467" w14:textId="77777777" w:rsidTr="00F160E0">
        <w:trPr>
          <w:cantSplit/>
        </w:trPr>
        <w:tc>
          <w:tcPr>
            <w:tcW w:w="1136" w:type="pct"/>
            <w:tcBorders>
              <w:top w:val="single" w:sz="4" w:space="0" w:color="auto"/>
              <w:bottom w:val="single" w:sz="4" w:space="0" w:color="auto"/>
            </w:tcBorders>
          </w:tcPr>
          <w:p w14:paraId="204491FD" w14:textId="77777777" w:rsidR="00FD658D" w:rsidRPr="005E4819" w:rsidRDefault="00FD658D" w:rsidP="00FD658D">
            <w:pPr>
              <w:pStyle w:val="Tabletext"/>
            </w:pPr>
            <w:r w:rsidRPr="005E4819">
              <w:t>44</w:t>
            </w:r>
          </w:p>
        </w:tc>
        <w:tc>
          <w:tcPr>
            <w:tcW w:w="966" w:type="pct"/>
            <w:tcBorders>
              <w:top w:val="single" w:sz="4" w:space="0" w:color="auto"/>
              <w:bottom w:val="single" w:sz="4" w:space="0" w:color="auto"/>
            </w:tcBorders>
            <w:shd w:val="clear" w:color="auto" w:fill="auto"/>
            <w:vAlign w:val="bottom"/>
          </w:tcPr>
          <w:p w14:paraId="01A150D5" w14:textId="77777777" w:rsidR="00FD658D" w:rsidRPr="005E4819" w:rsidRDefault="00FD658D" w:rsidP="005E4819">
            <w:pPr>
              <w:pStyle w:val="Tabletext"/>
            </w:pPr>
            <w:r w:rsidRPr="005E4819">
              <w:t>14</w:t>
            </w:r>
            <w:r w:rsidR="00D7157D">
              <w:t>.</w:t>
            </w:r>
            <w:r w:rsidRPr="005E4819">
              <w:t>1100</w:t>
            </w:r>
          </w:p>
        </w:tc>
        <w:tc>
          <w:tcPr>
            <w:tcW w:w="966" w:type="pct"/>
            <w:tcBorders>
              <w:top w:val="single" w:sz="4" w:space="0" w:color="auto"/>
              <w:bottom w:val="single" w:sz="4" w:space="0" w:color="auto"/>
            </w:tcBorders>
            <w:shd w:val="clear" w:color="auto" w:fill="auto"/>
            <w:vAlign w:val="bottom"/>
          </w:tcPr>
          <w:p w14:paraId="24A6BE84" w14:textId="77777777" w:rsidR="00FD658D" w:rsidRPr="005E4819" w:rsidRDefault="00FD658D" w:rsidP="005E4819">
            <w:pPr>
              <w:pStyle w:val="Tabletext"/>
            </w:pPr>
            <w:r w:rsidRPr="005E4819">
              <w:t>1</w:t>
            </w:r>
            <w:r w:rsidR="00D7157D">
              <w:t>.</w:t>
            </w:r>
            <w:r w:rsidRPr="005E4819">
              <w:t>1339</w:t>
            </w:r>
          </w:p>
        </w:tc>
        <w:tc>
          <w:tcPr>
            <w:tcW w:w="966" w:type="pct"/>
            <w:tcBorders>
              <w:top w:val="single" w:sz="4" w:space="0" w:color="auto"/>
              <w:bottom w:val="single" w:sz="4" w:space="0" w:color="auto"/>
            </w:tcBorders>
            <w:shd w:val="clear" w:color="auto" w:fill="auto"/>
            <w:vAlign w:val="bottom"/>
          </w:tcPr>
          <w:p w14:paraId="2BE79E34" w14:textId="77777777" w:rsidR="00FD658D" w:rsidRPr="005E4819" w:rsidRDefault="00FD658D" w:rsidP="005E4819">
            <w:pPr>
              <w:pStyle w:val="Tabletext"/>
            </w:pPr>
            <w:r w:rsidRPr="005E4819">
              <w:t>14</w:t>
            </w:r>
            <w:r w:rsidR="00D7157D">
              <w:t>.</w:t>
            </w:r>
            <w:r w:rsidRPr="005E4819">
              <w:t>7211</w:t>
            </w:r>
          </w:p>
        </w:tc>
        <w:tc>
          <w:tcPr>
            <w:tcW w:w="966" w:type="pct"/>
            <w:tcBorders>
              <w:top w:val="single" w:sz="4" w:space="0" w:color="auto"/>
              <w:bottom w:val="single" w:sz="4" w:space="0" w:color="auto"/>
              <w:right w:val="nil"/>
            </w:tcBorders>
            <w:shd w:val="clear" w:color="auto" w:fill="auto"/>
            <w:vAlign w:val="bottom"/>
          </w:tcPr>
          <w:p w14:paraId="6FAD0478" w14:textId="77777777" w:rsidR="00FD658D" w:rsidRPr="005E4819" w:rsidRDefault="00FD658D" w:rsidP="005E4819">
            <w:pPr>
              <w:pStyle w:val="Tabletext"/>
            </w:pPr>
            <w:r w:rsidRPr="005E4819">
              <w:t>0</w:t>
            </w:r>
            <w:r w:rsidR="00D7157D">
              <w:t>.</w:t>
            </w:r>
            <w:r w:rsidRPr="005E4819">
              <w:t>4918</w:t>
            </w:r>
          </w:p>
        </w:tc>
      </w:tr>
      <w:tr w:rsidR="00FD658D" w:rsidRPr="005E4819" w14:paraId="5FCD4B52" w14:textId="77777777" w:rsidTr="00F160E0">
        <w:trPr>
          <w:cantSplit/>
        </w:trPr>
        <w:tc>
          <w:tcPr>
            <w:tcW w:w="1136" w:type="pct"/>
            <w:tcBorders>
              <w:top w:val="single" w:sz="4" w:space="0" w:color="auto"/>
              <w:bottom w:val="single" w:sz="4" w:space="0" w:color="auto"/>
            </w:tcBorders>
          </w:tcPr>
          <w:p w14:paraId="762B7EF0" w14:textId="77777777" w:rsidR="00FD658D" w:rsidRPr="005E4819" w:rsidRDefault="00FD658D" w:rsidP="00FD658D">
            <w:pPr>
              <w:pStyle w:val="Tabletext"/>
            </w:pPr>
            <w:r w:rsidRPr="005E4819">
              <w:t>45</w:t>
            </w:r>
          </w:p>
        </w:tc>
        <w:tc>
          <w:tcPr>
            <w:tcW w:w="966" w:type="pct"/>
            <w:tcBorders>
              <w:top w:val="single" w:sz="4" w:space="0" w:color="auto"/>
              <w:bottom w:val="single" w:sz="4" w:space="0" w:color="auto"/>
            </w:tcBorders>
            <w:shd w:val="clear" w:color="auto" w:fill="auto"/>
            <w:vAlign w:val="bottom"/>
          </w:tcPr>
          <w:p w14:paraId="7DB1B020" w14:textId="77777777" w:rsidR="00FD658D" w:rsidRPr="005E4819" w:rsidRDefault="00FD658D" w:rsidP="005E4819">
            <w:pPr>
              <w:pStyle w:val="Tabletext"/>
            </w:pPr>
            <w:r w:rsidRPr="005E4819">
              <w:t>13</w:t>
            </w:r>
            <w:r w:rsidR="00D7157D">
              <w:t>.</w:t>
            </w:r>
            <w:r w:rsidRPr="005E4819">
              <w:t>9809</w:t>
            </w:r>
          </w:p>
        </w:tc>
        <w:tc>
          <w:tcPr>
            <w:tcW w:w="966" w:type="pct"/>
            <w:tcBorders>
              <w:top w:val="single" w:sz="4" w:space="0" w:color="auto"/>
              <w:bottom w:val="single" w:sz="4" w:space="0" w:color="auto"/>
            </w:tcBorders>
            <w:shd w:val="clear" w:color="auto" w:fill="auto"/>
            <w:vAlign w:val="bottom"/>
          </w:tcPr>
          <w:p w14:paraId="24BEAE0B" w14:textId="77777777" w:rsidR="00FD658D" w:rsidRPr="005E4819" w:rsidRDefault="00FD658D" w:rsidP="005E4819">
            <w:pPr>
              <w:pStyle w:val="Tabletext"/>
            </w:pPr>
            <w:r w:rsidRPr="005E4819">
              <w:t>1</w:t>
            </w:r>
            <w:r w:rsidR="00D7157D">
              <w:t>.</w:t>
            </w:r>
            <w:r w:rsidRPr="005E4819">
              <w:t>1282</w:t>
            </w:r>
          </w:p>
        </w:tc>
        <w:tc>
          <w:tcPr>
            <w:tcW w:w="966" w:type="pct"/>
            <w:tcBorders>
              <w:top w:val="single" w:sz="4" w:space="0" w:color="auto"/>
              <w:bottom w:val="single" w:sz="4" w:space="0" w:color="auto"/>
            </w:tcBorders>
            <w:shd w:val="clear" w:color="auto" w:fill="auto"/>
            <w:vAlign w:val="bottom"/>
          </w:tcPr>
          <w:p w14:paraId="42279D8F" w14:textId="77777777" w:rsidR="00FD658D" w:rsidRPr="005E4819" w:rsidRDefault="00FD658D" w:rsidP="005E4819">
            <w:pPr>
              <w:pStyle w:val="Tabletext"/>
            </w:pPr>
            <w:r w:rsidRPr="005E4819">
              <w:t>14</w:t>
            </w:r>
            <w:r w:rsidR="00D7157D">
              <w:t>.</w:t>
            </w:r>
            <w:r w:rsidRPr="005E4819">
              <w:t>6098</w:t>
            </w:r>
          </w:p>
        </w:tc>
        <w:tc>
          <w:tcPr>
            <w:tcW w:w="966" w:type="pct"/>
            <w:tcBorders>
              <w:top w:val="single" w:sz="4" w:space="0" w:color="auto"/>
              <w:bottom w:val="single" w:sz="4" w:space="0" w:color="auto"/>
              <w:right w:val="nil"/>
            </w:tcBorders>
            <w:shd w:val="clear" w:color="auto" w:fill="auto"/>
            <w:vAlign w:val="bottom"/>
          </w:tcPr>
          <w:p w14:paraId="04D44E52" w14:textId="77777777" w:rsidR="00FD658D" w:rsidRPr="005E4819" w:rsidRDefault="00FD658D" w:rsidP="005E4819">
            <w:pPr>
              <w:pStyle w:val="Tabletext"/>
            </w:pPr>
            <w:r w:rsidRPr="005E4819">
              <w:t>0</w:t>
            </w:r>
            <w:r w:rsidR="00D7157D">
              <w:t>.</w:t>
            </w:r>
            <w:r w:rsidRPr="005E4819">
              <w:t>4680</w:t>
            </w:r>
          </w:p>
        </w:tc>
      </w:tr>
      <w:tr w:rsidR="00FD658D" w:rsidRPr="005E4819" w14:paraId="32D0AD4C" w14:textId="77777777" w:rsidTr="00F160E0">
        <w:trPr>
          <w:cantSplit/>
        </w:trPr>
        <w:tc>
          <w:tcPr>
            <w:tcW w:w="1136" w:type="pct"/>
            <w:tcBorders>
              <w:top w:val="single" w:sz="4" w:space="0" w:color="auto"/>
              <w:bottom w:val="single" w:sz="4" w:space="0" w:color="auto"/>
            </w:tcBorders>
          </w:tcPr>
          <w:p w14:paraId="61CF7715" w14:textId="77777777" w:rsidR="00FD658D" w:rsidRPr="005E4819" w:rsidRDefault="00FD658D" w:rsidP="00FD658D">
            <w:pPr>
              <w:pStyle w:val="Tabletext"/>
            </w:pPr>
            <w:r w:rsidRPr="005E4819">
              <w:t>46</w:t>
            </w:r>
          </w:p>
        </w:tc>
        <w:tc>
          <w:tcPr>
            <w:tcW w:w="966" w:type="pct"/>
            <w:tcBorders>
              <w:top w:val="single" w:sz="4" w:space="0" w:color="auto"/>
              <w:bottom w:val="single" w:sz="4" w:space="0" w:color="auto"/>
            </w:tcBorders>
            <w:shd w:val="clear" w:color="auto" w:fill="auto"/>
            <w:vAlign w:val="bottom"/>
          </w:tcPr>
          <w:p w14:paraId="6F1848DA" w14:textId="77777777" w:rsidR="00FD658D" w:rsidRPr="005E4819" w:rsidRDefault="00FD658D" w:rsidP="005E4819">
            <w:pPr>
              <w:pStyle w:val="Tabletext"/>
            </w:pPr>
            <w:r w:rsidRPr="005E4819">
              <w:t>13</w:t>
            </w:r>
            <w:r w:rsidR="00D7157D">
              <w:t>.</w:t>
            </w:r>
            <w:r w:rsidRPr="005E4819">
              <w:t>8462</w:t>
            </w:r>
          </w:p>
        </w:tc>
        <w:tc>
          <w:tcPr>
            <w:tcW w:w="966" w:type="pct"/>
            <w:tcBorders>
              <w:top w:val="single" w:sz="4" w:space="0" w:color="auto"/>
              <w:bottom w:val="single" w:sz="4" w:space="0" w:color="auto"/>
            </w:tcBorders>
            <w:shd w:val="clear" w:color="auto" w:fill="auto"/>
            <w:vAlign w:val="bottom"/>
          </w:tcPr>
          <w:p w14:paraId="11AFC670" w14:textId="77777777" w:rsidR="00FD658D" w:rsidRPr="005E4819" w:rsidRDefault="00FD658D" w:rsidP="005E4819">
            <w:pPr>
              <w:pStyle w:val="Tabletext"/>
            </w:pPr>
            <w:r w:rsidRPr="005E4819">
              <w:t>1</w:t>
            </w:r>
            <w:r w:rsidR="00D7157D">
              <w:t>.</w:t>
            </w:r>
            <w:r w:rsidRPr="005E4819">
              <w:t>1207</w:t>
            </w:r>
          </w:p>
        </w:tc>
        <w:tc>
          <w:tcPr>
            <w:tcW w:w="966" w:type="pct"/>
            <w:tcBorders>
              <w:top w:val="single" w:sz="4" w:space="0" w:color="auto"/>
              <w:bottom w:val="single" w:sz="4" w:space="0" w:color="auto"/>
            </w:tcBorders>
            <w:shd w:val="clear" w:color="auto" w:fill="auto"/>
            <w:vAlign w:val="bottom"/>
          </w:tcPr>
          <w:p w14:paraId="1F5C7841" w14:textId="77777777" w:rsidR="00FD658D" w:rsidRPr="005E4819" w:rsidRDefault="00FD658D" w:rsidP="005E4819">
            <w:pPr>
              <w:pStyle w:val="Tabletext"/>
            </w:pPr>
            <w:r w:rsidRPr="005E4819">
              <w:t>14</w:t>
            </w:r>
            <w:r w:rsidR="00D7157D">
              <w:t>.</w:t>
            </w:r>
            <w:r w:rsidRPr="005E4819">
              <w:t>4933</w:t>
            </w:r>
          </w:p>
        </w:tc>
        <w:tc>
          <w:tcPr>
            <w:tcW w:w="966" w:type="pct"/>
            <w:tcBorders>
              <w:top w:val="single" w:sz="4" w:space="0" w:color="auto"/>
              <w:bottom w:val="single" w:sz="4" w:space="0" w:color="auto"/>
              <w:right w:val="nil"/>
            </w:tcBorders>
            <w:shd w:val="clear" w:color="auto" w:fill="auto"/>
            <w:vAlign w:val="bottom"/>
          </w:tcPr>
          <w:p w14:paraId="397E069E" w14:textId="77777777" w:rsidR="00FD658D" w:rsidRPr="005E4819" w:rsidRDefault="00FD658D" w:rsidP="005E4819">
            <w:pPr>
              <w:pStyle w:val="Tabletext"/>
            </w:pPr>
            <w:r w:rsidRPr="005E4819">
              <w:t>0</w:t>
            </w:r>
            <w:r w:rsidR="00D7157D">
              <w:t>.</w:t>
            </w:r>
            <w:r w:rsidRPr="005E4819">
              <w:t>4418</w:t>
            </w:r>
          </w:p>
        </w:tc>
      </w:tr>
      <w:tr w:rsidR="00FD658D" w:rsidRPr="005E4819" w14:paraId="038FBAD6" w14:textId="77777777" w:rsidTr="00F160E0">
        <w:trPr>
          <w:cantSplit/>
        </w:trPr>
        <w:tc>
          <w:tcPr>
            <w:tcW w:w="1136" w:type="pct"/>
            <w:tcBorders>
              <w:top w:val="single" w:sz="4" w:space="0" w:color="auto"/>
              <w:bottom w:val="single" w:sz="4" w:space="0" w:color="auto"/>
            </w:tcBorders>
          </w:tcPr>
          <w:p w14:paraId="0A95048B" w14:textId="77777777" w:rsidR="00FD658D" w:rsidRPr="005E4819" w:rsidRDefault="00FD658D" w:rsidP="00FD658D">
            <w:pPr>
              <w:pStyle w:val="Tabletext"/>
            </w:pPr>
            <w:r w:rsidRPr="005E4819">
              <w:t>47</w:t>
            </w:r>
          </w:p>
        </w:tc>
        <w:tc>
          <w:tcPr>
            <w:tcW w:w="966" w:type="pct"/>
            <w:tcBorders>
              <w:top w:val="single" w:sz="4" w:space="0" w:color="auto"/>
              <w:bottom w:val="single" w:sz="4" w:space="0" w:color="auto"/>
            </w:tcBorders>
            <w:shd w:val="clear" w:color="auto" w:fill="auto"/>
            <w:vAlign w:val="bottom"/>
          </w:tcPr>
          <w:p w14:paraId="11DC0A5C" w14:textId="77777777" w:rsidR="00FD658D" w:rsidRPr="005E4819" w:rsidRDefault="00FD658D" w:rsidP="005E4819">
            <w:pPr>
              <w:pStyle w:val="Tabletext"/>
            </w:pPr>
            <w:r w:rsidRPr="005E4819">
              <w:t>13</w:t>
            </w:r>
            <w:r w:rsidR="00D7157D">
              <w:t>.</w:t>
            </w:r>
            <w:r w:rsidRPr="005E4819">
              <w:t>7059</w:t>
            </w:r>
          </w:p>
        </w:tc>
        <w:tc>
          <w:tcPr>
            <w:tcW w:w="966" w:type="pct"/>
            <w:tcBorders>
              <w:top w:val="single" w:sz="4" w:space="0" w:color="auto"/>
              <w:bottom w:val="single" w:sz="4" w:space="0" w:color="auto"/>
            </w:tcBorders>
            <w:shd w:val="clear" w:color="auto" w:fill="auto"/>
            <w:vAlign w:val="bottom"/>
          </w:tcPr>
          <w:p w14:paraId="4186384C" w14:textId="77777777" w:rsidR="00FD658D" w:rsidRPr="005E4819" w:rsidRDefault="00FD658D" w:rsidP="005E4819">
            <w:pPr>
              <w:pStyle w:val="Tabletext"/>
            </w:pPr>
            <w:r w:rsidRPr="005E4819">
              <w:t>1</w:t>
            </w:r>
            <w:r w:rsidR="00D7157D">
              <w:t>.</w:t>
            </w:r>
            <w:r w:rsidRPr="005E4819">
              <w:t>1109</w:t>
            </w:r>
          </w:p>
        </w:tc>
        <w:tc>
          <w:tcPr>
            <w:tcW w:w="966" w:type="pct"/>
            <w:tcBorders>
              <w:top w:val="single" w:sz="4" w:space="0" w:color="auto"/>
              <w:bottom w:val="single" w:sz="4" w:space="0" w:color="auto"/>
            </w:tcBorders>
            <w:shd w:val="clear" w:color="auto" w:fill="auto"/>
            <w:vAlign w:val="bottom"/>
          </w:tcPr>
          <w:p w14:paraId="552AA362" w14:textId="77777777" w:rsidR="00FD658D" w:rsidRPr="005E4819" w:rsidRDefault="00FD658D" w:rsidP="005E4819">
            <w:pPr>
              <w:pStyle w:val="Tabletext"/>
            </w:pPr>
            <w:r w:rsidRPr="005E4819">
              <w:t>14</w:t>
            </w:r>
            <w:r w:rsidR="00D7157D">
              <w:t>.</w:t>
            </w:r>
            <w:r w:rsidRPr="005E4819">
              <w:t>3715</w:t>
            </w:r>
          </w:p>
        </w:tc>
        <w:tc>
          <w:tcPr>
            <w:tcW w:w="966" w:type="pct"/>
            <w:tcBorders>
              <w:top w:val="single" w:sz="4" w:space="0" w:color="auto"/>
              <w:bottom w:val="single" w:sz="4" w:space="0" w:color="auto"/>
              <w:right w:val="nil"/>
            </w:tcBorders>
            <w:shd w:val="clear" w:color="auto" w:fill="auto"/>
            <w:vAlign w:val="bottom"/>
          </w:tcPr>
          <w:p w14:paraId="5FCAD665" w14:textId="77777777" w:rsidR="00FD658D" w:rsidRPr="005E4819" w:rsidRDefault="00FD658D" w:rsidP="005E4819">
            <w:pPr>
              <w:pStyle w:val="Tabletext"/>
            </w:pPr>
            <w:r w:rsidRPr="005E4819">
              <w:t>0</w:t>
            </w:r>
            <w:r w:rsidR="00D7157D">
              <w:t>.</w:t>
            </w:r>
            <w:r w:rsidRPr="005E4819">
              <w:t>4134</w:t>
            </w:r>
          </w:p>
        </w:tc>
      </w:tr>
      <w:tr w:rsidR="00FD658D" w:rsidRPr="005E4819" w14:paraId="0165C026" w14:textId="77777777" w:rsidTr="00F160E0">
        <w:trPr>
          <w:cantSplit/>
        </w:trPr>
        <w:tc>
          <w:tcPr>
            <w:tcW w:w="1136" w:type="pct"/>
            <w:tcBorders>
              <w:top w:val="single" w:sz="4" w:space="0" w:color="auto"/>
              <w:bottom w:val="single" w:sz="4" w:space="0" w:color="auto"/>
            </w:tcBorders>
          </w:tcPr>
          <w:p w14:paraId="3BFF4490" w14:textId="77777777" w:rsidR="00FD658D" w:rsidRPr="005E4819" w:rsidRDefault="00FD658D" w:rsidP="00FD658D">
            <w:pPr>
              <w:pStyle w:val="Tabletext"/>
            </w:pPr>
            <w:r w:rsidRPr="005E4819">
              <w:t>48</w:t>
            </w:r>
          </w:p>
        </w:tc>
        <w:tc>
          <w:tcPr>
            <w:tcW w:w="966" w:type="pct"/>
            <w:tcBorders>
              <w:top w:val="single" w:sz="4" w:space="0" w:color="auto"/>
              <w:bottom w:val="single" w:sz="4" w:space="0" w:color="auto"/>
            </w:tcBorders>
            <w:shd w:val="clear" w:color="auto" w:fill="auto"/>
            <w:vAlign w:val="bottom"/>
          </w:tcPr>
          <w:p w14:paraId="4AF61138" w14:textId="77777777" w:rsidR="00FD658D" w:rsidRPr="005E4819" w:rsidRDefault="00FD658D" w:rsidP="005E4819">
            <w:pPr>
              <w:pStyle w:val="Tabletext"/>
            </w:pPr>
            <w:r w:rsidRPr="005E4819">
              <w:t>13</w:t>
            </w:r>
            <w:r w:rsidR="00D7157D">
              <w:t>.</w:t>
            </w:r>
            <w:r w:rsidRPr="005E4819">
              <w:t>5598</w:t>
            </w:r>
          </w:p>
        </w:tc>
        <w:tc>
          <w:tcPr>
            <w:tcW w:w="966" w:type="pct"/>
            <w:tcBorders>
              <w:top w:val="single" w:sz="4" w:space="0" w:color="auto"/>
              <w:bottom w:val="single" w:sz="4" w:space="0" w:color="auto"/>
            </w:tcBorders>
            <w:shd w:val="clear" w:color="auto" w:fill="auto"/>
            <w:vAlign w:val="bottom"/>
          </w:tcPr>
          <w:p w14:paraId="5CFF6111" w14:textId="77777777" w:rsidR="00FD658D" w:rsidRPr="005E4819" w:rsidRDefault="00FD658D" w:rsidP="005E4819">
            <w:pPr>
              <w:pStyle w:val="Tabletext"/>
            </w:pPr>
            <w:r w:rsidRPr="005E4819">
              <w:t>1</w:t>
            </w:r>
            <w:r w:rsidR="00D7157D">
              <w:t>.</w:t>
            </w:r>
            <w:r w:rsidRPr="005E4819">
              <w:t>0990</w:t>
            </w:r>
          </w:p>
        </w:tc>
        <w:tc>
          <w:tcPr>
            <w:tcW w:w="966" w:type="pct"/>
            <w:tcBorders>
              <w:top w:val="single" w:sz="4" w:space="0" w:color="auto"/>
              <w:bottom w:val="single" w:sz="4" w:space="0" w:color="auto"/>
            </w:tcBorders>
            <w:shd w:val="clear" w:color="auto" w:fill="auto"/>
            <w:vAlign w:val="bottom"/>
          </w:tcPr>
          <w:p w14:paraId="4C3BAD34" w14:textId="77777777" w:rsidR="00FD658D" w:rsidRPr="005E4819" w:rsidRDefault="00FD658D" w:rsidP="005E4819">
            <w:pPr>
              <w:pStyle w:val="Tabletext"/>
            </w:pPr>
            <w:r w:rsidRPr="005E4819">
              <w:t>14</w:t>
            </w:r>
            <w:r w:rsidR="00D7157D">
              <w:t>.</w:t>
            </w:r>
            <w:r w:rsidRPr="005E4819">
              <w:t>2441</w:t>
            </w:r>
          </w:p>
        </w:tc>
        <w:tc>
          <w:tcPr>
            <w:tcW w:w="966" w:type="pct"/>
            <w:tcBorders>
              <w:top w:val="single" w:sz="4" w:space="0" w:color="auto"/>
              <w:bottom w:val="single" w:sz="4" w:space="0" w:color="auto"/>
              <w:right w:val="nil"/>
            </w:tcBorders>
            <w:shd w:val="clear" w:color="auto" w:fill="auto"/>
            <w:vAlign w:val="bottom"/>
          </w:tcPr>
          <w:p w14:paraId="2870908A" w14:textId="77777777" w:rsidR="00FD658D" w:rsidRPr="005E4819" w:rsidRDefault="00FD658D" w:rsidP="005E4819">
            <w:pPr>
              <w:pStyle w:val="Tabletext"/>
            </w:pPr>
            <w:r w:rsidRPr="005E4819">
              <w:t>0</w:t>
            </w:r>
            <w:r w:rsidR="00D7157D">
              <w:t>.</w:t>
            </w:r>
            <w:r w:rsidRPr="005E4819">
              <w:t>3826</w:t>
            </w:r>
          </w:p>
        </w:tc>
      </w:tr>
      <w:tr w:rsidR="00FD658D" w:rsidRPr="005E4819" w14:paraId="4371C479" w14:textId="77777777" w:rsidTr="00F160E0">
        <w:trPr>
          <w:cantSplit/>
        </w:trPr>
        <w:tc>
          <w:tcPr>
            <w:tcW w:w="1136" w:type="pct"/>
            <w:tcBorders>
              <w:top w:val="single" w:sz="4" w:space="0" w:color="auto"/>
              <w:bottom w:val="single" w:sz="4" w:space="0" w:color="auto"/>
            </w:tcBorders>
          </w:tcPr>
          <w:p w14:paraId="37892641" w14:textId="77777777" w:rsidR="00FD658D" w:rsidRPr="005E4819" w:rsidRDefault="00FD658D" w:rsidP="00FD658D">
            <w:pPr>
              <w:pStyle w:val="Tabletext"/>
            </w:pPr>
            <w:r w:rsidRPr="005E4819">
              <w:t>49</w:t>
            </w:r>
          </w:p>
        </w:tc>
        <w:tc>
          <w:tcPr>
            <w:tcW w:w="966" w:type="pct"/>
            <w:tcBorders>
              <w:top w:val="single" w:sz="4" w:space="0" w:color="auto"/>
              <w:bottom w:val="single" w:sz="4" w:space="0" w:color="auto"/>
            </w:tcBorders>
            <w:shd w:val="clear" w:color="auto" w:fill="auto"/>
            <w:vAlign w:val="bottom"/>
          </w:tcPr>
          <w:p w14:paraId="238D6B26" w14:textId="77777777" w:rsidR="00FD658D" w:rsidRPr="005E4819" w:rsidRDefault="00FD658D" w:rsidP="005E4819">
            <w:pPr>
              <w:pStyle w:val="Tabletext"/>
            </w:pPr>
            <w:r w:rsidRPr="005E4819">
              <w:t>13</w:t>
            </w:r>
            <w:r w:rsidR="00D7157D">
              <w:t>.</w:t>
            </w:r>
            <w:r w:rsidRPr="005E4819">
              <w:t>4076</w:t>
            </w:r>
          </w:p>
        </w:tc>
        <w:tc>
          <w:tcPr>
            <w:tcW w:w="966" w:type="pct"/>
            <w:tcBorders>
              <w:top w:val="single" w:sz="4" w:space="0" w:color="auto"/>
              <w:bottom w:val="single" w:sz="4" w:space="0" w:color="auto"/>
            </w:tcBorders>
            <w:shd w:val="clear" w:color="auto" w:fill="auto"/>
            <w:vAlign w:val="bottom"/>
          </w:tcPr>
          <w:p w14:paraId="03546674" w14:textId="77777777" w:rsidR="00FD658D" w:rsidRPr="005E4819" w:rsidRDefault="00FD658D" w:rsidP="005E4819">
            <w:pPr>
              <w:pStyle w:val="Tabletext"/>
            </w:pPr>
            <w:r w:rsidRPr="005E4819">
              <w:t>1</w:t>
            </w:r>
            <w:r w:rsidR="00D7157D">
              <w:t>.</w:t>
            </w:r>
            <w:r w:rsidRPr="005E4819">
              <w:t>0847</w:t>
            </w:r>
          </w:p>
        </w:tc>
        <w:tc>
          <w:tcPr>
            <w:tcW w:w="966" w:type="pct"/>
            <w:tcBorders>
              <w:top w:val="single" w:sz="4" w:space="0" w:color="auto"/>
              <w:bottom w:val="single" w:sz="4" w:space="0" w:color="auto"/>
            </w:tcBorders>
            <w:shd w:val="clear" w:color="auto" w:fill="auto"/>
            <w:vAlign w:val="bottom"/>
          </w:tcPr>
          <w:p w14:paraId="57EB14DB" w14:textId="77777777" w:rsidR="00FD658D" w:rsidRPr="005E4819" w:rsidRDefault="00FD658D" w:rsidP="005E4819">
            <w:pPr>
              <w:pStyle w:val="Tabletext"/>
            </w:pPr>
            <w:r w:rsidRPr="005E4819">
              <w:t>14</w:t>
            </w:r>
            <w:r w:rsidR="00D7157D">
              <w:t>.</w:t>
            </w:r>
            <w:r w:rsidRPr="005E4819">
              <w:t>1109</w:t>
            </w:r>
          </w:p>
        </w:tc>
        <w:tc>
          <w:tcPr>
            <w:tcW w:w="966" w:type="pct"/>
            <w:tcBorders>
              <w:top w:val="single" w:sz="4" w:space="0" w:color="auto"/>
              <w:bottom w:val="single" w:sz="4" w:space="0" w:color="auto"/>
              <w:right w:val="nil"/>
            </w:tcBorders>
            <w:shd w:val="clear" w:color="auto" w:fill="auto"/>
            <w:vAlign w:val="bottom"/>
          </w:tcPr>
          <w:p w14:paraId="708BEF8C" w14:textId="77777777" w:rsidR="00FD658D" w:rsidRPr="005E4819" w:rsidRDefault="00FD658D" w:rsidP="005E4819">
            <w:pPr>
              <w:pStyle w:val="Tabletext"/>
            </w:pPr>
            <w:r w:rsidRPr="005E4819">
              <w:t>0</w:t>
            </w:r>
            <w:r w:rsidR="00D7157D">
              <w:t>.</w:t>
            </w:r>
            <w:r w:rsidRPr="005E4819">
              <w:t>3492</w:t>
            </w:r>
          </w:p>
        </w:tc>
      </w:tr>
      <w:tr w:rsidR="00FD658D" w:rsidRPr="005E4819" w14:paraId="4C51B72A" w14:textId="77777777" w:rsidTr="00F160E0">
        <w:trPr>
          <w:cantSplit/>
        </w:trPr>
        <w:tc>
          <w:tcPr>
            <w:tcW w:w="1136" w:type="pct"/>
            <w:tcBorders>
              <w:top w:val="single" w:sz="4" w:space="0" w:color="auto"/>
              <w:bottom w:val="single" w:sz="4" w:space="0" w:color="auto"/>
            </w:tcBorders>
          </w:tcPr>
          <w:p w14:paraId="7E8B1E1C" w14:textId="77777777" w:rsidR="00FD658D" w:rsidRPr="005E4819" w:rsidRDefault="00FD658D" w:rsidP="00FD658D">
            <w:pPr>
              <w:pStyle w:val="Tabletext"/>
            </w:pPr>
            <w:r w:rsidRPr="005E4819">
              <w:t>50</w:t>
            </w:r>
          </w:p>
        </w:tc>
        <w:tc>
          <w:tcPr>
            <w:tcW w:w="966" w:type="pct"/>
            <w:tcBorders>
              <w:top w:val="single" w:sz="4" w:space="0" w:color="auto"/>
              <w:bottom w:val="single" w:sz="4" w:space="0" w:color="auto"/>
            </w:tcBorders>
            <w:shd w:val="clear" w:color="auto" w:fill="auto"/>
            <w:vAlign w:val="bottom"/>
          </w:tcPr>
          <w:p w14:paraId="3A0F154E" w14:textId="77777777" w:rsidR="00FD658D" w:rsidRPr="005E4819" w:rsidRDefault="00FD658D" w:rsidP="005E4819">
            <w:pPr>
              <w:pStyle w:val="Tabletext"/>
            </w:pPr>
            <w:r w:rsidRPr="005E4819">
              <w:t>13</w:t>
            </w:r>
            <w:r w:rsidR="00D7157D">
              <w:t>.</w:t>
            </w:r>
            <w:r w:rsidRPr="005E4819">
              <w:t>2494</w:t>
            </w:r>
          </w:p>
        </w:tc>
        <w:tc>
          <w:tcPr>
            <w:tcW w:w="966" w:type="pct"/>
            <w:tcBorders>
              <w:top w:val="single" w:sz="4" w:space="0" w:color="auto"/>
              <w:bottom w:val="single" w:sz="4" w:space="0" w:color="auto"/>
            </w:tcBorders>
            <w:shd w:val="clear" w:color="auto" w:fill="auto"/>
            <w:vAlign w:val="bottom"/>
          </w:tcPr>
          <w:p w14:paraId="6FB111FF" w14:textId="77777777" w:rsidR="00FD658D" w:rsidRPr="005E4819" w:rsidRDefault="00FD658D" w:rsidP="005E4819">
            <w:pPr>
              <w:pStyle w:val="Tabletext"/>
            </w:pPr>
            <w:r w:rsidRPr="005E4819">
              <w:t>1</w:t>
            </w:r>
            <w:r w:rsidR="00D7157D">
              <w:t>.</w:t>
            </w:r>
            <w:r w:rsidRPr="005E4819">
              <w:t>0678</w:t>
            </w:r>
          </w:p>
        </w:tc>
        <w:tc>
          <w:tcPr>
            <w:tcW w:w="966" w:type="pct"/>
            <w:tcBorders>
              <w:top w:val="single" w:sz="4" w:space="0" w:color="auto"/>
              <w:bottom w:val="single" w:sz="4" w:space="0" w:color="auto"/>
            </w:tcBorders>
            <w:shd w:val="clear" w:color="auto" w:fill="auto"/>
            <w:vAlign w:val="bottom"/>
          </w:tcPr>
          <w:p w14:paraId="770C5A78" w14:textId="77777777" w:rsidR="00FD658D" w:rsidRPr="005E4819" w:rsidRDefault="00FD658D" w:rsidP="005E4819">
            <w:pPr>
              <w:pStyle w:val="Tabletext"/>
            </w:pPr>
            <w:r w:rsidRPr="005E4819">
              <w:t>13</w:t>
            </w:r>
            <w:r w:rsidR="00D7157D">
              <w:t>.</w:t>
            </w:r>
            <w:r w:rsidRPr="005E4819">
              <w:t>9717</w:t>
            </w:r>
          </w:p>
        </w:tc>
        <w:tc>
          <w:tcPr>
            <w:tcW w:w="966" w:type="pct"/>
            <w:tcBorders>
              <w:top w:val="single" w:sz="4" w:space="0" w:color="auto"/>
              <w:bottom w:val="single" w:sz="4" w:space="0" w:color="auto"/>
              <w:right w:val="nil"/>
            </w:tcBorders>
            <w:shd w:val="clear" w:color="auto" w:fill="auto"/>
            <w:vAlign w:val="bottom"/>
          </w:tcPr>
          <w:p w14:paraId="2FF7B118" w14:textId="77777777" w:rsidR="00FD658D" w:rsidRPr="005E4819" w:rsidRDefault="00FD658D" w:rsidP="005E4819">
            <w:pPr>
              <w:pStyle w:val="Tabletext"/>
            </w:pPr>
            <w:r w:rsidRPr="005E4819">
              <w:t>0</w:t>
            </w:r>
            <w:r w:rsidR="00D7157D">
              <w:t>.</w:t>
            </w:r>
            <w:r w:rsidRPr="005E4819">
              <w:t>3132</w:t>
            </w:r>
          </w:p>
        </w:tc>
      </w:tr>
      <w:tr w:rsidR="00FD658D" w:rsidRPr="005E4819" w14:paraId="2EF62C1E" w14:textId="77777777" w:rsidTr="00F160E0">
        <w:trPr>
          <w:cantSplit/>
        </w:trPr>
        <w:tc>
          <w:tcPr>
            <w:tcW w:w="1136" w:type="pct"/>
            <w:tcBorders>
              <w:top w:val="single" w:sz="4" w:space="0" w:color="auto"/>
              <w:bottom w:val="single" w:sz="4" w:space="0" w:color="auto"/>
            </w:tcBorders>
          </w:tcPr>
          <w:p w14:paraId="75ECB11A" w14:textId="77777777" w:rsidR="00FD658D" w:rsidRPr="005E4819" w:rsidRDefault="00FD658D" w:rsidP="00FD658D">
            <w:pPr>
              <w:pStyle w:val="Tabletext"/>
            </w:pPr>
            <w:r w:rsidRPr="005E4819">
              <w:t>51</w:t>
            </w:r>
          </w:p>
        </w:tc>
        <w:tc>
          <w:tcPr>
            <w:tcW w:w="966" w:type="pct"/>
            <w:tcBorders>
              <w:top w:val="single" w:sz="4" w:space="0" w:color="auto"/>
              <w:bottom w:val="single" w:sz="4" w:space="0" w:color="auto"/>
            </w:tcBorders>
            <w:shd w:val="clear" w:color="auto" w:fill="auto"/>
            <w:vAlign w:val="bottom"/>
          </w:tcPr>
          <w:p w14:paraId="14533366" w14:textId="77777777" w:rsidR="00FD658D" w:rsidRPr="005E4819" w:rsidRDefault="00FD658D" w:rsidP="005E4819">
            <w:pPr>
              <w:pStyle w:val="Tabletext"/>
            </w:pPr>
            <w:r w:rsidRPr="005E4819">
              <w:t>13</w:t>
            </w:r>
            <w:r w:rsidR="00D7157D">
              <w:t>.</w:t>
            </w:r>
            <w:r w:rsidRPr="005E4819">
              <w:t>0848</w:t>
            </w:r>
          </w:p>
        </w:tc>
        <w:tc>
          <w:tcPr>
            <w:tcW w:w="966" w:type="pct"/>
            <w:tcBorders>
              <w:top w:val="single" w:sz="4" w:space="0" w:color="auto"/>
              <w:bottom w:val="single" w:sz="4" w:space="0" w:color="auto"/>
            </w:tcBorders>
            <w:shd w:val="clear" w:color="auto" w:fill="auto"/>
            <w:vAlign w:val="bottom"/>
          </w:tcPr>
          <w:p w14:paraId="56E79AC2" w14:textId="77777777" w:rsidR="00FD658D" w:rsidRPr="005E4819" w:rsidRDefault="00FD658D" w:rsidP="005E4819">
            <w:pPr>
              <w:pStyle w:val="Tabletext"/>
            </w:pPr>
            <w:r w:rsidRPr="005E4819">
              <w:t>0</w:t>
            </w:r>
            <w:r w:rsidR="00D7157D">
              <w:t>.</w:t>
            </w:r>
            <w:r w:rsidRPr="005E4819">
              <w:t>9379</w:t>
            </w:r>
          </w:p>
        </w:tc>
        <w:tc>
          <w:tcPr>
            <w:tcW w:w="966" w:type="pct"/>
            <w:tcBorders>
              <w:top w:val="single" w:sz="4" w:space="0" w:color="auto"/>
              <w:bottom w:val="single" w:sz="4" w:space="0" w:color="auto"/>
            </w:tcBorders>
            <w:shd w:val="clear" w:color="auto" w:fill="auto"/>
            <w:vAlign w:val="bottom"/>
          </w:tcPr>
          <w:p w14:paraId="0E28E1FE" w14:textId="77777777" w:rsidR="00FD658D" w:rsidRPr="005E4819" w:rsidRDefault="00FD658D" w:rsidP="005E4819">
            <w:pPr>
              <w:pStyle w:val="Tabletext"/>
            </w:pPr>
            <w:r w:rsidRPr="005E4819">
              <w:t>13</w:t>
            </w:r>
            <w:r w:rsidR="00D7157D">
              <w:t>.</w:t>
            </w:r>
            <w:r w:rsidRPr="005E4819">
              <w:t>8265</w:t>
            </w:r>
          </w:p>
        </w:tc>
        <w:tc>
          <w:tcPr>
            <w:tcW w:w="966" w:type="pct"/>
            <w:tcBorders>
              <w:top w:val="single" w:sz="4" w:space="0" w:color="auto"/>
              <w:bottom w:val="single" w:sz="4" w:space="0" w:color="auto"/>
              <w:right w:val="nil"/>
            </w:tcBorders>
            <w:shd w:val="clear" w:color="auto" w:fill="auto"/>
            <w:vAlign w:val="bottom"/>
          </w:tcPr>
          <w:p w14:paraId="517274C3" w14:textId="77777777" w:rsidR="00FD658D" w:rsidRPr="005E4819" w:rsidRDefault="00FD658D" w:rsidP="005E4819">
            <w:pPr>
              <w:pStyle w:val="Tabletext"/>
            </w:pPr>
            <w:r w:rsidRPr="005E4819">
              <w:t>0</w:t>
            </w:r>
            <w:r w:rsidR="00D7157D">
              <w:t>.</w:t>
            </w:r>
            <w:r w:rsidRPr="005E4819">
              <w:t>2745</w:t>
            </w:r>
          </w:p>
        </w:tc>
      </w:tr>
      <w:tr w:rsidR="00FD658D" w:rsidRPr="005E4819" w14:paraId="028A535B" w14:textId="77777777" w:rsidTr="00F160E0">
        <w:trPr>
          <w:cantSplit/>
        </w:trPr>
        <w:tc>
          <w:tcPr>
            <w:tcW w:w="1136" w:type="pct"/>
            <w:tcBorders>
              <w:top w:val="single" w:sz="4" w:space="0" w:color="auto"/>
              <w:bottom w:val="single" w:sz="4" w:space="0" w:color="auto"/>
            </w:tcBorders>
          </w:tcPr>
          <w:p w14:paraId="3507351E" w14:textId="77777777" w:rsidR="00FD658D" w:rsidRPr="005E4819" w:rsidRDefault="00FD658D" w:rsidP="00FD658D">
            <w:pPr>
              <w:pStyle w:val="Tabletext"/>
            </w:pPr>
            <w:r w:rsidRPr="005E4819">
              <w:t>52</w:t>
            </w:r>
          </w:p>
        </w:tc>
        <w:tc>
          <w:tcPr>
            <w:tcW w:w="966" w:type="pct"/>
            <w:tcBorders>
              <w:top w:val="single" w:sz="4" w:space="0" w:color="auto"/>
              <w:bottom w:val="single" w:sz="4" w:space="0" w:color="auto"/>
            </w:tcBorders>
            <w:shd w:val="clear" w:color="auto" w:fill="auto"/>
            <w:vAlign w:val="bottom"/>
          </w:tcPr>
          <w:p w14:paraId="708D9EE8" w14:textId="77777777" w:rsidR="00FD658D" w:rsidRPr="005E4819" w:rsidRDefault="00FD658D" w:rsidP="005E4819">
            <w:pPr>
              <w:pStyle w:val="Tabletext"/>
            </w:pPr>
            <w:r w:rsidRPr="005E4819">
              <w:t>12</w:t>
            </w:r>
            <w:r w:rsidR="00D7157D">
              <w:t>.</w:t>
            </w:r>
            <w:r w:rsidRPr="005E4819">
              <w:t>9140</w:t>
            </w:r>
          </w:p>
        </w:tc>
        <w:tc>
          <w:tcPr>
            <w:tcW w:w="966" w:type="pct"/>
            <w:tcBorders>
              <w:top w:val="single" w:sz="4" w:space="0" w:color="auto"/>
              <w:bottom w:val="single" w:sz="4" w:space="0" w:color="auto"/>
            </w:tcBorders>
            <w:shd w:val="clear" w:color="auto" w:fill="auto"/>
            <w:vAlign w:val="bottom"/>
          </w:tcPr>
          <w:p w14:paraId="0416106A" w14:textId="77777777" w:rsidR="00FD658D" w:rsidRPr="005E4819" w:rsidRDefault="00FD658D" w:rsidP="005E4819">
            <w:pPr>
              <w:pStyle w:val="Tabletext"/>
            </w:pPr>
            <w:r w:rsidRPr="005E4819">
              <w:t>0</w:t>
            </w:r>
            <w:r w:rsidR="00D7157D">
              <w:t>.</w:t>
            </w:r>
            <w:r w:rsidRPr="005E4819">
              <w:t>7978</w:t>
            </w:r>
          </w:p>
        </w:tc>
        <w:tc>
          <w:tcPr>
            <w:tcW w:w="966" w:type="pct"/>
            <w:tcBorders>
              <w:top w:val="single" w:sz="4" w:space="0" w:color="auto"/>
              <w:bottom w:val="single" w:sz="4" w:space="0" w:color="auto"/>
            </w:tcBorders>
            <w:shd w:val="clear" w:color="auto" w:fill="auto"/>
            <w:vAlign w:val="bottom"/>
          </w:tcPr>
          <w:p w14:paraId="5D8055CC" w14:textId="77777777" w:rsidR="00FD658D" w:rsidRPr="005E4819" w:rsidRDefault="00FD658D" w:rsidP="005E4819">
            <w:pPr>
              <w:pStyle w:val="Tabletext"/>
            </w:pPr>
            <w:r w:rsidRPr="005E4819">
              <w:t>13</w:t>
            </w:r>
            <w:r w:rsidR="00D7157D">
              <w:t>.</w:t>
            </w:r>
            <w:r w:rsidRPr="005E4819">
              <w:t>6750</w:t>
            </w:r>
          </w:p>
        </w:tc>
        <w:tc>
          <w:tcPr>
            <w:tcW w:w="966" w:type="pct"/>
            <w:tcBorders>
              <w:top w:val="single" w:sz="4" w:space="0" w:color="auto"/>
              <w:bottom w:val="single" w:sz="4" w:space="0" w:color="auto"/>
              <w:right w:val="nil"/>
            </w:tcBorders>
            <w:shd w:val="clear" w:color="auto" w:fill="auto"/>
            <w:vAlign w:val="bottom"/>
          </w:tcPr>
          <w:p w14:paraId="1F686228" w14:textId="77777777" w:rsidR="00FD658D" w:rsidRPr="005E4819" w:rsidRDefault="00FD658D" w:rsidP="005E4819">
            <w:pPr>
              <w:pStyle w:val="Tabletext"/>
            </w:pPr>
            <w:r w:rsidRPr="005E4819">
              <w:t>0</w:t>
            </w:r>
            <w:r w:rsidR="00D7157D">
              <w:t>.</w:t>
            </w:r>
            <w:r w:rsidRPr="005E4819">
              <w:t>2330</w:t>
            </w:r>
          </w:p>
        </w:tc>
      </w:tr>
      <w:tr w:rsidR="00FD658D" w:rsidRPr="005E4819" w14:paraId="7095D1D3" w14:textId="77777777" w:rsidTr="00F160E0">
        <w:trPr>
          <w:cantSplit/>
        </w:trPr>
        <w:tc>
          <w:tcPr>
            <w:tcW w:w="1136" w:type="pct"/>
            <w:tcBorders>
              <w:top w:val="single" w:sz="4" w:space="0" w:color="auto"/>
              <w:bottom w:val="single" w:sz="4" w:space="0" w:color="auto"/>
            </w:tcBorders>
          </w:tcPr>
          <w:p w14:paraId="0FAC6DBA" w14:textId="77777777" w:rsidR="00FD658D" w:rsidRPr="005E4819" w:rsidRDefault="00FD658D" w:rsidP="00FD658D">
            <w:pPr>
              <w:pStyle w:val="Tabletext"/>
            </w:pPr>
            <w:r w:rsidRPr="005E4819">
              <w:t>53</w:t>
            </w:r>
          </w:p>
        </w:tc>
        <w:tc>
          <w:tcPr>
            <w:tcW w:w="966" w:type="pct"/>
            <w:tcBorders>
              <w:top w:val="single" w:sz="4" w:space="0" w:color="auto"/>
              <w:bottom w:val="single" w:sz="4" w:space="0" w:color="auto"/>
            </w:tcBorders>
            <w:shd w:val="clear" w:color="auto" w:fill="auto"/>
            <w:vAlign w:val="bottom"/>
          </w:tcPr>
          <w:p w14:paraId="64FA3DBB" w14:textId="77777777" w:rsidR="00FD658D" w:rsidRPr="005E4819" w:rsidRDefault="00FD658D" w:rsidP="005E4819">
            <w:pPr>
              <w:pStyle w:val="Tabletext"/>
            </w:pPr>
            <w:r w:rsidRPr="005E4819">
              <w:t>12</w:t>
            </w:r>
            <w:r w:rsidR="00D7157D">
              <w:t>.</w:t>
            </w:r>
            <w:r w:rsidRPr="005E4819">
              <w:t>7375</w:t>
            </w:r>
          </w:p>
        </w:tc>
        <w:tc>
          <w:tcPr>
            <w:tcW w:w="966" w:type="pct"/>
            <w:tcBorders>
              <w:top w:val="single" w:sz="4" w:space="0" w:color="auto"/>
              <w:bottom w:val="single" w:sz="4" w:space="0" w:color="auto"/>
            </w:tcBorders>
            <w:shd w:val="clear" w:color="auto" w:fill="auto"/>
            <w:vAlign w:val="bottom"/>
          </w:tcPr>
          <w:p w14:paraId="6F1F1283" w14:textId="77777777" w:rsidR="00FD658D" w:rsidRPr="005E4819" w:rsidRDefault="00FD658D" w:rsidP="005E4819">
            <w:pPr>
              <w:pStyle w:val="Tabletext"/>
            </w:pPr>
            <w:r w:rsidRPr="005E4819">
              <w:t>0</w:t>
            </w:r>
            <w:r w:rsidR="00D7157D">
              <w:t>.</w:t>
            </w:r>
            <w:r w:rsidRPr="005E4819">
              <w:t>6470</w:t>
            </w:r>
          </w:p>
        </w:tc>
        <w:tc>
          <w:tcPr>
            <w:tcW w:w="966" w:type="pct"/>
            <w:tcBorders>
              <w:top w:val="single" w:sz="4" w:space="0" w:color="auto"/>
              <w:bottom w:val="single" w:sz="4" w:space="0" w:color="auto"/>
            </w:tcBorders>
            <w:shd w:val="clear" w:color="auto" w:fill="auto"/>
            <w:vAlign w:val="bottom"/>
          </w:tcPr>
          <w:p w14:paraId="161614CB" w14:textId="77777777" w:rsidR="00FD658D" w:rsidRPr="005E4819" w:rsidRDefault="00FD658D" w:rsidP="005E4819">
            <w:pPr>
              <w:pStyle w:val="Tabletext"/>
            </w:pPr>
            <w:r w:rsidRPr="005E4819">
              <w:t>13</w:t>
            </w:r>
            <w:r w:rsidR="00D7157D">
              <w:t>.</w:t>
            </w:r>
            <w:r w:rsidRPr="005E4819">
              <w:t>5174</w:t>
            </w:r>
          </w:p>
        </w:tc>
        <w:tc>
          <w:tcPr>
            <w:tcW w:w="966" w:type="pct"/>
            <w:tcBorders>
              <w:top w:val="single" w:sz="4" w:space="0" w:color="auto"/>
              <w:bottom w:val="single" w:sz="4" w:space="0" w:color="auto"/>
              <w:right w:val="nil"/>
            </w:tcBorders>
            <w:shd w:val="clear" w:color="auto" w:fill="auto"/>
            <w:vAlign w:val="bottom"/>
          </w:tcPr>
          <w:p w14:paraId="6828641E" w14:textId="77777777" w:rsidR="00FD658D" w:rsidRPr="005E4819" w:rsidRDefault="00FD658D" w:rsidP="005E4819">
            <w:pPr>
              <w:pStyle w:val="Tabletext"/>
            </w:pPr>
            <w:r w:rsidRPr="005E4819">
              <w:t>0</w:t>
            </w:r>
            <w:r w:rsidR="00D7157D">
              <w:t>.</w:t>
            </w:r>
            <w:r w:rsidRPr="005E4819">
              <w:t>1885</w:t>
            </w:r>
          </w:p>
        </w:tc>
      </w:tr>
      <w:tr w:rsidR="00FD658D" w:rsidRPr="005E4819" w14:paraId="24BBDA88" w14:textId="77777777" w:rsidTr="00F160E0">
        <w:trPr>
          <w:cantSplit/>
        </w:trPr>
        <w:tc>
          <w:tcPr>
            <w:tcW w:w="1136" w:type="pct"/>
            <w:tcBorders>
              <w:top w:val="single" w:sz="4" w:space="0" w:color="auto"/>
              <w:bottom w:val="single" w:sz="4" w:space="0" w:color="auto"/>
            </w:tcBorders>
          </w:tcPr>
          <w:p w14:paraId="3E9F8051" w14:textId="77777777" w:rsidR="00FD658D" w:rsidRPr="005E4819" w:rsidRDefault="00FD658D" w:rsidP="00FD658D">
            <w:pPr>
              <w:pStyle w:val="Tabletext"/>
            </w:pPr>
            <w:r w:rsidRPr="005E4819">
              <w:t>54</w:t>
            </w:r>
          </w:p>
        </w:tc>
        <w:tc>
          <w:tcPr>
            <w:tcW w:w="966" w:type="pct"/>
            <w:tcBorders>
              <w:top w:val="single" w:sz="4" w:space="0" w:color="auto"/>
              <w:bottom w:val="single" w:sz="4" w:space="0" w:color="auto"/>
            </w:tcBorders>
            <w:shd w:val="clear" w:color="auto" w:fill="auto"/>
            <w:vAlign w:val="bottom"/>
          </w:tcPr>
          <w:p w14:paraId="080A763A" w14:textId="77777777" w:rsidR="00FD658D" w:rsidRPr="005E4819" w:rsidRDefault="00FD658D" w:rsidP="005E4819">
            <w:pPr>
              <w:pStyle w:val="Tabletext"/>
            </w:pPr>
            <w:r w:rsidRPr="005E4819">
              <w:t>12</w:t>
            </w:r>
            <w:r w:rsidR="00D7157D">
              <w:t>.</w:t>
            </w:r>
            <w:r w:rsidRPr="005E4819">
              <w:t>5556</w:t>
            </w:r>
          </w:p>
        </w:tc>
        <w:tc>
          <w:tcPr>
            <w:tcW w:w="966" w:type="pct"/>
            <w:tcBorders>
              <w:top w:val="single" w:sz="4" w:space="0" w:color="auto"/>
              <w:bottom w:val="single" w:sz="4" w:space="0" w:color="auto"/>
            </w:tcBorders>
            <w:shd w:val="clear" w:color="auto" w:fill="auto"/>
            <w:vAlign w:val="bottom"/>
          </w:tcPr>
          <w:p w14:paraId="14663789" w14:textId="77777777" w:rsidR="00FD658D" w:rsidRPr="005E4819" w:rsidRDefault="00FD658D" w:rsidP="005E4819">
            <w:pPr>
              <w:pStyle w:val="Tabletext"/>
            </w:pPr>
            <w:r w:rsidRPr="005E4819">
              <w:t>0</w:t>
            </w:r>
            <w:r w:rsidR="00D7157D">
              <w:t>.</w:t>
            </w:r>
            <w:r w:rsidRPr="005E4819">
              <w:t>4853</w:t>
            </w:r>
          </w:p>
        </w:tc>
        <w:tc>
          <w:tcPr>
            <w:tcW w:w="966" w:type="pct"/>
            <w:tcBorders>
              <w:top w:val="single" w:sz="4" w:space="0" w:color="auto"/>
              <w:bottom w:val="single" w:sz="4" w:space="0" w:color="auto"/>
            </w:tcBorders>
            <w:shd w:val="clear" w:color="auto" w:fill="auto"/>
            <w:vAlign w:val="bottom"/>
          </w:tcPr>
          <w:p w14:paraId="306D398B" w14:textId="77777777" w:rsidR="00FD658D" w:rsidRPr="005E4819" w:rsidRDefault="00FD658D" w:rsidP="005E4819">
            <w:pPr>
              <w:pStyle w:val="Tabletext"/>
            </w:pPr>
            <w:r w:rsidRPr="005E4819">
              <w:t>13</w:t>
            </w:r>
            <w:r w:rsidR="00D7157D">
              <w:t>.</w:t>
            </w:r>
            <w:r w:rsidRPr="005E4819">
              <w:t>3538</w:t>
            </w:r>
          </w:p>
        </w:tc>
        <w:tc>
          <w:tcPr>
            <w:tcW w:w="966" w:type="pct"/>
            <w:tcBorders>
              <w:top w:val="single" w:sz="4" w:space="0" w:color="auto"/>
              <w:bottom w:val="single" w:sz="4" w:space="0" w:color="auto"/>
              <w:right w:val="nil"/>
            </w:tcBorders>
            <w:shd w:val="clear" w:color="auto" w:fill="auto"/>
            <w:vAlign w:val="bottom"/>
          </w:tcPr>
          <w:p w14:paraId="69455ADE" w14:textId="77777777" w:rsidR="00FD658D" w:rsidRPr="005E4819" w:rsidRDefault="00FD658D" w:rsidP="005E4819">
            <w:pPr>
              <w:pStyle w:val="Tabletext"/>
            </w:pPr>
            <w:r w:rsidRPr="005E4819">
              <w:t>0</w:t>
            </w:r>
            <w:r w:rsidR="00D7157D">
              <w:t>.</w:t>
            </w:r>
            <w:r w:rsidRPr="005E4819">
              <w:t>1411</w:t>
            </w:r>
          </w:p>
        </w:tc>
      </w:tr>
      <w:tr w:rsidR="00FD658D" w:rsidRPr="005E4819" w14:paraId="355D8927" w14:textId="77777777" w:rsidTr="00F160E0">
        <w:trPr>
          <w:cantSplit/>
        </w:trPr>
        <w:tc>
          <w:tcPr>
            <w:tcW w:w="1136" w:type="pct"/>
            <w:tcBorders>
              <w:top w:val="single" w:sz="4" w:space="0" w:color="auto"/>
              <w:bottom w:val="single" w:sz="4" w:space="0" w:color="auto"/>
            </w:tcBorders>
          </w:tcPr>
          <w:p w14:paraId="55BB4BC0" w14:textId="77777777" w:rsidR="00FD658D" w:rsidRPr="005E4819" w:rsidRDefault="00FD658D" w:rsidP="00FD658D">
            <w:pPr>
              <w:pStyle w:val="Tabletext"/>
            </w:pPr>
            <w:r w:rsidRPr="005E4819">
              <w:t>55</w:t>
            </w:r>
          </w:p>
        </w:tc>
        <w:tc>
          <w:tcPr>
            <w:tcW w:w="966" w:type="pct"/>
            <w:tcBorders>
              <w:top w:val="single" w:sz="4" w:space="0" w:color="auto"/>
              <w:bottom w:val="single" w:sz="4" w:space="0" w:color="auto"/>
            </w:tcBorders>
            <w:shd w:val="clear" w:color="auto" w:fill="auto"/>
            <w:vAlign w:val="bottom"/>
          </w:tcPr>
          <w:p w14:paraId="0D55F55F" w14:textId="77777777" w:rsidR="00FD658D" w:rsidRPr="005E4819" w:rsidRDefault="00FD658D" w:rsidP="005E4819">
            <w:pPr>
              <w:pStyle w:val="Tabletext"/>
            </w:pPr>
            <w:r w:rsidRPr="005E4819">
              <w:t>12</w:t>
            </w:r>
            <w:r w:rsidR="00D7157D">
              <w:t>.</w:t>
            </w:r>
            <w:r w:rsidRPr="005E4819">
              <w:t>3685</w:t>
            </w:r>
          </w:p>
        </w:tc>
        <w:tc>
          <w:tcPr>
            <w:tcW w:w="966" w:type="pct"/>
            <w:tcBorders>
              <w:top w:val="single" w:sz="4" w:space="0" w:color="auto"/>
              <w:bottom w:val="single" w:sz="4" w:space="0" w:color="auto"/>
            </w:tcBorders>
            <w:shd w:val="clear" w:color="auto" w:fill="auto"/>
            <w:vAlign w:val="bottom"/>
          </w:tcPr>
          <w:p w14:paraId="35B2F137" w14:textId="77777777" w:rsidR="00FD658D" w:rsidRPr="005E4819" w:rsidRDefault="00FD658D" w:rsidP="005E4819">
            <w:pPr>
              <w:pStyle w:val="Tabletext"/>
            </w:pPr>
            <w:r w:rsidRPr="005E4819">
              <w:t>0</w:t>
            </w:r>
            <w:r w:rsidR="00D7157D">
              <w:t>.</w:t>
            </w:r>
            <w:r w:rsidRPr="005E4819">
              <w:t>3125</w:t>
            </w:r>
          </w:p>
        </w:tc>
        <w:tc>
          <w:tcPr>
            <w:tcW w:w="966" w:type="pct"/>
            <w:tcBorders>
              <w:top w:val="single" w:sz="4" w:space="0" w:color="auto"/>
              <w:bottom w:val="single" w:sz="4" w:space="0" w:color="auto"/>
            </w:tcBorders>
            <w:shd w:val="clear" w:color="auto" w:fill="auto"/>
            <w:vAlign w:val="bottom"/>
          </w:tcPr>
          <w:p w14:paraId="2CDC8B32" w14:textId="77777777" w:rsidR="00FD658D" w:rsidRPr="005E4819" w:rsidRDefault="00FD658D" w:rsidP="005E4819">
            <w:pPr>
              <w:pStyle w:val="Tabletext"/>
            </w:pPr>
            <w:r w:rsidRPr="005E4819">
              <w:t>13</w:t>
            </w:r>
            <w:r w:rsidR="00D7157D">
              <w:t>.</w:t>
            </w:r>
            <w:r w:rsidRPr="005E4819">
              <w:t>1838</w:t>
            </w:r>
          </w:p>
        </w:tc>
        <w:tc>
          <w:tcPr>
            <w:tcW w:w="966" w:type="pct"/>
            <w:tcBorders>
              <w:top w:val="single" w:sz="4" w:space="0" w:color="auto"/>
              <w:bottom w:val="single" w:sz="4" w:space="0" w:color="auto"/>
              <w:right w:val="nil"/>
            </w:tcBorders>
            <w:shd w:val="clear" w:color="auto" w:fill="auto"/>
            <w:vAlign w:val="bottom"/>
          </w:tcPr>
          <w:p w14:paraId="23D4CA31" w14:textId="77777777" w:rsidR="00FD658D" w:rsidRPr="005E4819" w:rsidRDefault="00FD658D" w:rsidP="005E4819">
            <w:pPr>
              <w:pStyle w:val="Tabletext"/>
            </w:pPr>
            <w:r w:rsidRPr="005E4819">
              <w:t>0</w:t>
            </w:r>
            <w:r w:rsidR="00D7157D">
              <w:t>.</w:t>
            </w:r>
            <w:r w:rsidRPr="005E4819">
              <w:t>0906</w:t>
            </w:r>
          </w:p>
        </w:tc>
      </w:tr>
      <w:tr w:rsidR="00FD658D" w:rsidRPr="005E4819" w14:paraId="7EC69DA2" w14:textId="77777777" w:rsidTr="00F160E0">
        <w:trPr>
          <w:cantSplit/>
        </w:trPr>
        <w:tc>
          <w:tcPr>
            <w:tcW w:w="1136" w:type="pct"/>
            <w:tcBorders>
              <w:top w:val="single" w:sz="4" w:space="0" w:color="auto"/>
              <w:bottom w:val="single" w:sz="4" w:space="0" w:color="auto"/>
            </w:tcBorders>
          </w:tcPr>
          <w:p w14:paraId="60635E5B" w14:textId="77777777" w:rsidR="00FD658D" w:rsidRPr="005E4819" w:rsidRDefault="00FD658D" w:rsidP="00FD658D">
            <w:pPr>
              <w:pStyle w:val="Tabletext"/>
            </w:pPr>
            <w:r w:rsidRPr="005E4819">
              <w:t>56</w:t>
            </w:r>
          </w:p>
        </w:tc>
        <w:tc>
          <w:tcPr>
            <w:tcW w:w="966" w:type="pct"/>
            <w:tcBorders>
              <w:top w:val="single" w:sz="4" w:space="0" w:color="auto"/>
              <w:bottom w:val="single" w:sz="4" w:space="0" w:color="auto"/>
            </w:tcBorders>
            <w:shd w:val="clear" w:color="auto" w:fill="auto"/>
            <w:vAlign w:val="bottom"/>
          </w:tcPr>
          <w:p w14:paraId="5F27A3F2" w14:textId="77777777" w:rsidR="00FD658D" w:rsidRPr="005E4819" w:rsidRDefault="00FD658D" w:rsidP="005E4819">
            <w:pPr>
              <w:pStyle w:val="Tabletext"/>
            </w:pPr>
            <w:r w:rsidRPr="005E4819">
              <w:t>12</w:t>
            </w:r>
            <w:r w:rsidR="00D7157D">
              <w:t>.</w:t>
            </w:r>
            <w:r w:rsidRPr="005E4819">
              <w:t>1764</w:t>
            </w:r>
          </w:p>
        </w:tc>
        <w:tc>
          <w:tcPr>
            <w:tcW w:w="966" w:type="pct"/>
            <w:tcBorders>
              <w:top w:val="single" w:sz="4" w:space="0" w:color="auto"/>
              <w:bottom w:val="single" w:sz="4" w:space="0" w:color="auto"/>
            </w:tcBorders>
            <w:shd w:val="clear" w:color="auto" w:fill="auto"/>
            <w:vAlign w:val="bottom"/>
          </w:tcPr>
          <w:p w14:paraId="0EC9616B" w14:textId="77777777" w:rsidR="00FD658D" w:rsidRPr="005E4819" w:rsidRDefault="00FD658D" w:rsidP="005E4819">
            <w:pPr>
              <w:pStyle w:val="Tabletext"/>
            </w:pPr>
            <w:r w:rsidRPr="005E4819">
              <w:t>0</w:t>
            </w:r>
            <w:r w:rsidR="00D7157D">
              <w:t>.</w:t>
            </w:r>
            <w:r w:rsidRPr="005E4819">
              <w:t>3217</w:t>
            </w:r>
          </w:p>
        </w:tc>
        <w:tc>
          <w:tcPr>
            <w:tcW w:w="966" w:type="pct"/>
            <w:tcBorders>
              <w:top w:val="single" w:sz="4" w:space="0" w:color="auto"/>
              <w:bottom w:val="single" w:sz="4" w:space="0" w:color="auto"/>
            </w:tcBorders>
            <w:shd w:val="clear" w:color="auto" w:fill="auto"/>
            <w:vAlign w:val="bottom"/>
          </w:tcPr>
          <w:p w14:paraId="5EAB0BED" w14:textId="77777777" w:rsidR="00FD658D" w:rsidRPr="005E4819" w:rsidRDefault="00FD658D" w:rsidP="005E4819">
            <w:pPr>
              <w:pStyle w:val="Tabletext"/>
            </w:pPr>
            <w:r w:rsidRPr="005E4819">
              <w:t>13</w:t>
            </w:r>
            <w:r w:rsidR="00D7157D">
              <w:t>.</w:t>
            </w:r>
            <w:r w:rsidRPr="005E4819">
              <w:t>0070</w:t>
            </w:r>
          </w:p>
        </w:tc>
        <w:tc>
          <w:tcPr>
            <w:tcW w:w="966" w:type="pct"/>
            <w:tcBorders>
              <w:top w:val="single" w:sz="4" w:space="0" w:color="auto"/>
              <w:bottom w:val="single" w:sz="4" w:space="0" w:color="auto"/>
              <w:right w:val="nil"/>
            </w:tcBorders>
            <w:shd w:val="clear" w:color="auto" w:fill="auto"/>
            <w:vAlign w:val="bottom"/>
          </w:tcPr>
          <w:p w14:paraId="62F57CEE" w14:textId="77777777" w:rsidR="00FD658D" w:rsidRPr="005E4819" w:rsidRDefault="00FD658D" w:rsidP="005E4819">
            <w:pPr>
              <w:pStyle w:val="Tabletext"/>
            </w:pPr>
            <w:r w:rsidRPr="005E4819">
              <w:t>0</w:t>
            </w:r>
            <w:r w:rsidR="00D7157D">
              <w:t>.</w:t>
            </w:r>
            <w:r w:rsidRPr="005E4819">
              <w:t>0931</w:t>
            </w:r>
          </w:p>
        </w:tc>
      </w:tr>
      <w:tr w:rsidR="00FD658D" w:rsidRPr="005E4819" w14:paraId="4AE44B42" w14:textId="77777777" w:rsidTr="00F160E0">
        <w:trPr>
          <w:cantSplit/>
        </w:trPr>
        <w:tc>
          <w:tcPr>
            <w:tcW w:w="1136" w:type="pct"/>
            <w:tcBorders>
              <w:top w:val="single" w:sz="4" w:space="0" w:color="auto"/>
              <w:bottom w:val="single" w:sz="4" w:space="0" w:color="auto"/>
            </w:tcBorders>
          </w:tcPr>
          <w:p w14:paraId="249A54A0" w14:textId="77777777" w:rsidR="00FD658D" w:rsidRPr="005E4819" w:rsidRDefault="00FD658D" w:rsidP="00FD658D">
            <w:pPr>
              <w:pStyle w:val="Tabletext"/>
            </w:pPr>
            <w:r w:rsidRPr="005E4819">
              <w:t>57</w:t>
            </w:r>
          </w:p>
        </w:tc>
        <w:tc>
          <w:tcPr>
            <w:tcW w:w="966" w:type="pct"/>
            <w:tcBorders>
              <w:top w:val="single" w:sz="4" w:space="0" w:color="auto"/>
              <w:bottom w:val="single" w:sz="4" w:space="0" w:color="auto"/>
            </w:tcBorders>
            <w:shd w:val="clear" w:color="auto" w:fill="auto"/>
            <w:vAlign w:val="bottom"/>
          </w:tcPr>
          <w:p w14:paraId="4FAD52DE" w14:textId="77777777" w:rsidR="00FD658D" w:rsidRPr="005E4819" w:rsidRDefault="00FD658D" w:rsidP="005E4819">
            <w:pPr>
              <w:pStyle w:val="Tabletext"/>
            </w:pPr>
            <w:r w:rsidRPr="005E4819">
              <w:t>11</w:t>
            </w:r>
            <w:r w:rsidR="00D7157D">
              <w:t>.</w:t>
            </w:r>
            <w:r w:rsidRPr="005E4819">
              <w:t>9793</w:t>
            </w:r>
          </w:p>
        </w:tc>
        <w:tc>
          <w:tcPr>
            <w:tcW w:w="966" w:type="pct"/>
            <w:tcBorders>
              <w:top w:val="single" w:sz="4" w:space="0" w:color="auto"/>
              <w:bottom w:val="single" w:sz="4" w:space="0" w:color="auto"/>
            </w:tcBorders>
            <w:shd w:val="clear" w:color="auto" w:fill="auto"/>
            <w:vAlign w:val="bottom"/>
          </w:tcPr>
          <w:p w14:paraId="4750F932" w14:textId="77777777" w:rsidR="00FD658D" w:rsidRPr="005E4819" w:rsidRDefault="00FD658D" w:rsidP="005E4819">
            <w:pPr>
              <w:pStyle w:val="Tabletext"/>
            </w:pPr>
            <w:r w:rsidRPr="005E4819">
              <w:t>0</w:t>
            </w:r>
            <w:r w:rsidR="00D7157D">
              <w:t>.</w:t>
            </w:r>
            <w:r w:rsidRPr="005E4819">
              <w:t>3307</w:t>
            </w:r>
          </w:p>
        </w:tc>
        <w:tc>
          <w:tcPr>
            <w:tcW w:w="966" w:type="pct"/>
            <w:tcBorders>
              <w:top w:val="single" w:sz="4" w:space="0" w:color="auto"/>
              <w:bottom w:val="single" w:sz="4" w:space="0" w:color="auto"/>
            </w:tcBorders>
            <w:shd w:val="clear" w:color="auto" w:fill="auto"/>
            <w:vAlign w:val="bottom"/>
          </w:tcPr>
          <w:p w14:paraId="0874D83F" w14:textId="77777777" w:rsidR="00FD658D" w:rsidRPr="005E4819" w:rsidRDefault="00FD658D" w:rsidP="005E4819">
            <w:pPr>
              <w:pStyle w:val="Tabletext"/>
            </w:pPr>
            <w:r w:rsidRPr="005E4819">
              <w:t>12</w:t>
            </w:r>
            <w:r w:rsidR="00D7157D">
              <w:t>.</w:t>
            </w:r>
            <w:r w:rsidRPr="005E4819">
              <w:t>8237</w:t>
            </w:r>
          </w:p>
        </w:tc>
        <w:tc>
          <w:tcPr>
            <w:tcW w:w="966" w:type="pct"/>
            <w:tcBorders>
              <w:top w:val="single" w:sz="4" w:space="0" w:color="auto"/>
              <w:bottom w:val="single" w:sz="4" w:space="0" w:color="auto"/>
              <w:right w:val="nil"/>
            </w:tcBorders>
            <w:shd w:val="clear" w:color="auto" w:fill="auto"/>
            <w:vAlign w:val="bottom"/>
          </w:tcPr>
          <w:p w14:paraId="05989DA4" w14:textId="77777777" w:rsidR="00FD658D" w:rsidRPr="005E4819" w:rsidRDefault="00FD658D" w:rsidP="005E4819">
            <w:pPr>
              <w:pStyle w:val="Tabletext"/>
            </w:pPr>
            <w:r w:rsidRPr="005E4819">
              <w:t>0</w:t>
            </w:r>
            <w:r w:rsidR="00D7157D">
              <w:t>.</w:t>
            </w:r>
            <w:r w:rsidRPr="005E4819">
              <w:t>0956</w:t>
            </w:r>
          </w:p>
        </w:tc>
      </w:tr>
      <w:tr w:rsidR="00FD658D" w:rsidRPr="005E4819" w14:paraId="77430F98" w14:textId="77777777" w:rsidTr="00F160E0">
        <w:trPr>
          <w:cantSplit/>
        </w:trPr>
        <w:tc>
          <w:tcPr>
            <w:tcW w:w="1136" w:type="pct"/>
            <w:tcBorders>
              <w:top w:val="single" w:sz="4" w:space="0" w:color="auto"/>
              <w:bottom w:val="single" w:sz="4" w:space="0" w:color="auto"/>
            </w:tcBorders>
          </w:tcPr>
          <w:p w14:paraId="33280309" w14:textId="77777777" w:rsidR="00FD658D" w:rsidRPr="005E4819" w:rsidRDefault="00FD658D" w:rsidP="00FD658D">
            <w:pPr>
              <w:pStyle w:val="Tabletext"/>
            </w:pPr>
            <w:r w:rsidRPr="005E4819">
              <w:t>58</w:t>
            </w:r>
          </w:p>
        </w:tc>
        <w:tc>
          <w:tcPr>
            <w:tcW w:w="966" w:type="pct"/>
            <w:tcBorders>
              <w:top w:val="single" w:sz="4" w:space="0" w:color="auto"/>
              <w:bottom w:val="single" w:sz="4" w:space="0" w:color="auto"/>
            </w:tcBorders>
            <w:shd w:val="clear" w:color="auto" w:fill="auto"/>
            <w:vAlign w:val="bottom"/>
          </w:tcPr>
          <w:p w14:paraId="210944DE" w14:textId="77777777" w:rsidR="00FD658D" w:rsidRPr="005E4819" w:rsidRDefault="00FD658D" w:rsidP="005E4819">
            <w:pPr>
              <w:pStyle w:val="Tabletext"/>
            </w:pPr>
            <w:r w:rsidRPr="005E4819">
              <w:t>11</w:t>
            </w:r>
            <w:r w:rsidR="00D7157D">
              <w:t>.</w:t>
            </w:r>
            <w:r w:rsidRPr="005E4819">
              <w:t>7771</w:t>
            </w:r>
          </w:p>
        </w:tc>
        <w:tc>
          <w:tcPr>
            <w:tcW w:w="966" w:type="pct"/>
            <w:tcBorders>
              <w:top w:val="single" w:sz="4" w:space="0" w:color="auto"/>
              <w:bottom w:val="single" w:sz="4" w:space="0" w:color="auto"/>
            </w:tcBorders>
            <w:shd w:val="clear" w:color="auto" w:fill="auto"/>
            <w:vAlign w:val="bottom"/>
          </w:tcPr>
          <w:p w14:paraId="7BA3AEE5" w14:textId="77777777" w:rsidR="00FD658D" w:rsidRPr="005E4819" w:rsidRDefault="00FD658D" w:rsidP="005E4819">
            <w:pPr>
              <w:pStyle w:val="Tabletext"/>
            </w:pPr>
            <w:r w:rsidRPr="005E4819">
              <w:t>0</w:t>
            </w:r>
            <w:r w:rsidR="00D7157D">
              <w:t>.</w:t>
            </w:r>
            <w:r w:rsidRPr="005E4819">
              <w:t>3397</w:t>
            </w:r>
          </w:p>
        </w:tc>
        <w:tc>
          <w:tcPr>
            <w:tcW w:w="966" w:type="pct"/>
            <w:tcBorders>
              <w:top w:val="single" w:sz="4" w:space="0" w:color="auto"/>
              <w:bottom w:val="single" w:sz="4" w:space="0" w:color="auto"/>
            </w:tcBorders>
            <w:shd w:val="clear" w:color="auto" w:fill="auto"/>
            <w:vAlign w:val="bottom"/>
          </w:tcPr>
          <w:p w14:paraId="51797483" w14:textId="77777777" w:rsidR="00FD658D" w:rsidRPr="005E4819" w:rsidRDefault="00FD658D" w:rsidP="005E4819">
            <w:pPr>
              <w:pStyle w:val="Tabletext"/>
            </w:pPr>
            <w:r w:rsidRPr="005E4819">
              <w:t>12</w:t>
            </w:r>
            <w:r w:rsidR="00D7157D">
              <w:t>.</w:t>
            </w:r>
            <w:r w:rsidRPr="005E4819">
              <w:t>6330</w:t>
            </w:r>
          </w:p>
        </w:tc>
        <w:tc>
          <w:tcPr>
            <w:tcW w:w="966" w:type="pct"/>
            <w:tcBorders>
              <w:top w:val="single" w:sz="4" w:space="0" w:color="auto"/>
              <w:bottom w:val="single" w:sz="4" w:space="0" w:color="auto"/>
              <w:right w:val="nil"/>
            </w:tcBorders>
            <w:shd w:val="clear" w:color="auto" w:fill="auto"/>
            <w:vAlign w:val="bottom"/>
          </w:tcPr>
          <w:p w14:paraId="3B77A007" w14:textId="77777777" w:rsidR="00FD658D" w:rsidRPr="005E4819" w:rsidRDefault="00FD658D" w:rsidP="005E4819">
            <w:pPr>
              <w:pStyle w:val="Tabletext"/>
            </w:pPr>
            <w:r w:rsidRPr="005E4819">
              <w:t>0</w:t>
            </w:r>
            <w:r w:rsidR="00D7157D">
              <w:t>.</w:t>
            </w:r>
            <w:r w:rsidRPr="005E4819">
              <w:t>0980</w:t>
            </w:r>
          </w:p>
        </w:tc>
      </w:tr>
      <w:tr w:rsidR="00FD658D" w:rsidRPr="005E4819" w14:paraId="5914520D" w14:textId="77777777" w:rsidTr="00F160E0">
        <w:trPr>
          <w:cantSplit/>
        </w:trPr>
        <w:tc>
          <w:tcPr>
            <w:tcW w:w="1136" w:type="pct"/>
            <w:tcBorders>
              <w:top w:val="single" w:sz="4" w:space="0" w:color="auto"/>
              <w:bottom w:val="single" w:sz="4" w:space="0" w:color="auto"/>
            </w:tcBorders>
          </w:tcPr>
          <w:p w14:paraId="62BA3F5D" w14:textId="77777777" w:rsidR="00FD658D" w:rsidRPr="005E4819" w:rsidRDefault="00FD658D" w:rsidP="00FD658D">
            <w:pPr>
              <w:pStyle w:val="Tabletext"/>
            </w:pPr>
            <w:r w:rsidRPr="005E4819">
              <w:t>59</w:t>
            </w:r>
          </w:p>
        </w:tc>
        <w:tc>
          <w:tcPr>
            <w:tcW w:w="966" w:type="pct"/>
            <w:tcBorders>
              <w:top w:val="single" w:sz="4" w:space="0" w:color="auto"/>
              <w:bottom w:val="single" w:sz="4" w:space="0" w:color="auto"/>
            </w:tcBorders>
            <w:shd w:val="clear" w:color="auto" w:fill="auto"/>
            <w:vAlign w:val="bottom"/>
          </w:tcPr>
          <w:p w14:paraId="1E1DCA73" w14:textId="77777777" w:rsidR="00FD658D" w:rsidRPr="005E4819" w:rsidRDefault="00FD658D" w:rsidP="005E4819">
            <w:pPr>
              <w:pStyle w:val="Tabletext"/>
            </w:pPr>
            <w:r w:rsidRPr="005E4819">
              <w:t>11</w:t>
            </w:r>
            <w:r w:rsidR="00D7157D">
              <w:t>.</w:t>
            </w:r>
            <w:r w:rsidRPr="005E4819">
              <w:t>5699</w:t>
            </w:r>
          </w:p>
        </w:tc>
        <w:tc>
          <w:tcPr>
            <w:tcW w:w="966" w:type="pct"/>
            <w:tcBorders>
              <w:top w:val="single" w:sz="4" w:space="0" w:color="auto"/>
              <w:bottom w:val="single" w:sz="4" w:space="0" w:color="auto"/>
            </w:tcBorders>
            <w:shd w:val="clear" w:color="auto" w:fill="auto"/>
            <w:vAlign w:val="bottom"/>
          </w:tcPr>
          <w:p w14:paraId="77EC5452" w14:textId="77777777" w:rsidR="00FD658D" w:rsidRPr="005E4819" w:rsidRDefault="00FD658D" w:rsidP="005E4819">
            <w:pPr>
              <w:pStyle w:val="Tabletext"/>
            </w:pPr>
            <w:r w:rsidRPr="005E4819">
              <w:t>0</w:t>
            </w:r>
            <w:r w:rsidR="00D7157D">
              <w:t>.</w:t>
            </w:r>
            <w:r w:rsidRPr="005E4819">
              <w:t>3485</w:t>
            </w:r>
          </w:p>
        </w:tc>
        <w:tc>
          <w:tcPr>
            <w:tcW w:w="966" w:type="pct"/>
            <w:tcBorders>
              <w:top w:val="single" w:sz="4" w:space="0" w:color="auto"/>
              <w:bottom w:val="single" w:sz="4" w:space="0" w:color="auto"/>
            </w:tcBorders>
            <w:shd w:val="clear" w:color="auto" w:fill="auto"/>
            <w:vAlign w:val="bottom"/>
          </w:tcPr>
          <w:p w14:paraId="406BD6FC" w14:textId="77777777" w:rsidR="00FD658D" w:rsidRPr="005E4819" w:rsidRDefault="00FD658D" w:rsidP="005E4819">
            <w:pPr>
              <w:pStyle w:val="Tabletext"/>
            </w:pPr>
            <w:r w:rsidRPr="005E4819">
              <w:t>12</w:t>
            </w:r>
            <w:r w:rsidR="00D7157D">
              <w:t>.</w:t>
            </w:r>
            <w:r w:rsidRPr="005E4819">
              <w:t>4348</w:t>
            </w:r>
          </w:p>
        </w:tc>
        <w:tc>
          <w:tcPr>
            <w:tcW w:w="966" w:type="pct"/>
            <w:tcBorders>
              <w:top w:val="single" w:sz="4" w:space="0" w:color="auto"/>
              <w:bottom w:val="single" w:sz="4" w:space="0" w:color="auto"/>
              <w:right w:val="nil"/>
            </w:tcBorders>
            <w:shd w:val="clear" w:color="auto" w:fill="auto"/>
            <w:vAlign w:val="bottom"/>
          </w:tcPr>
          <w:p w14:paraId="04234B81" w14:textId="77777777" w:rsidR="00FD658D" w:rsidRPr="005E4819" w:rsidRDefault="00FD658D" w:rsidP="005E4819">
            <w:pPr>
              <w:pStyle w:val="Tabletext"/>
            </w:pPr>
            <w:r w:rsidRPr="005E4819">
              <w:t>0</w:t>
            </w:r>
            <w:r w:rsidR="00D7157D">
              <w:t>.</w:t>
            </w:r>
            <w:r w:rsidRPr="005E4819">
              <w:t>1004</w:t>
            </w:r>
          </w:p>
        </w:tc>
      </w:tr>
      <w:tr w:rsidR="00FD658D" w:rsidRPr="005E4819" w14:paraId="7D8F05E7" w14:textId="77777777" w:rsidTr="00F160E0">
        <w:trPr>
          <w:cantSplit/>
        </w:trPr>
        <w:tc>
          <w:tcPr>
            <w:tcW w:w="1136" w:type="pct"/>
            <w:tcBorders>
              <w:top w:val="single" w:sz="4" w:space="0" w:color="auto"/>
              <w:bottom w:val="single" w:sz="4" w:space="0" w:color="auto"/>
            </w:tcBorders>
          </w:tcPr>
          <w:p w14:paraId="7B9CB3C8" w14:textId="77777777" w:rsidR="00FD658D" w:rsidRPr="005E4819" w:rsidRDefault="00FD658D" w:rsidP="00FD658D">
            <w:pPr>
              <w:pStyle w:val="Tabletext"/>
            </w:pPr>
            <w:r w:rsidRPr="005E4819">
              <w:t>60</w:t>
            </w:r>
          </w:p>
        </w:tc>
        <w:tc>
          <w:tcPr>
            <w:tcW w:w="966" w:type="pct"/>
            <w:tcBorders>
              <w:top w:val="single" w:sz="4" w:space="0" w:color="auto"/>
              <w:bottom w:val="single" w:sz="4" w:space="0" w:color="auto"/>
            </w:tcBorders>
            <w:shd w:val="clear" w:color="auto" w:fill="auto"/>
            <w:vAlign w:val="bottom"/>
          </w:tcPr>
          <w:p w14:paraId="45A9F18C" w14:textId="77777777" w:rsidR="00FD658D" w:rsidRPr="005E4819" w:rsidRDefault="00FD658D" w:rsidP="005E4819">
            <w:pPr>
              <w:pStyle w:val="Tabletext"/>
            </w:pPr>
            <w:r w:rsidRPr="005E4819">
              <w:t>11</w:t>
            </w:r>
            <w:r w:rsidR="00D7157D">
              <w:t>.</w:t>
            </w:r>
            <w:r w:rsidRPr="005E4819">
              <w:t>3574</w:t>
            </w:r>
          </w:p>
        </w:tc>
        <w:tc>
          <w:tcPr>
            <w:tcW w:w="966" w:type="pct"/>
            <w:tcBorders>
              <w:top w:val="single" w:sz="4" w:space="0" w:color="auto"/>
              <w:bottom w:val="single" w:sz="4" w:space="0" w:color="auto"/>
            </w:tcBorders>
            <w:shd w:val="clear" w:color="auto" w:fill="auto"/>
            <w:vAlign w:val="bottom"/>
          </w:tcPr>
          <w:p w14:paraId="23A4654C" w14:textId="77777777" w:rsidR="00FD658D" w:rsidRPr="005E4819" w:rsidRDefault="00FD658D" w:rsidP="005E4819">
            <w:pPr>
              <w:pStyle w:val="Tabletext"/>
            </w:pPr>
            <w:r w:rsidRPr="005E4819">
              <w:t>0</w:t>
            </w:r>
            <w:r w:rsidR="00D7157D">
              <w:t>.</w:t>
            </w:r>
            <w:r w:rsidRPr="005E4819">
              <w:t>3572</w:t>
            </w:r>
          </w:p>
        </w:tc>
        <w:tc>
          <w:tcPr>
            <w:tcW w:w="966" w:type="pct"/>
            <w:tcBorders>
              <w:top w:val="single" w:sz="4" w:space="0" w:color="auto"/>
              <w:bottom w:val="single" w:sz="4" w:space="0" w:color="auto"/>
            </w:tcBorders>
            <w:shd w:val="clear" w:color="auto" w:fill="auto"/>
            <w:vAlign w:val="bottom"/>
          </w:tcPr>
          <w:p w14:paraId="74CEDB7D" w14:textId="77777777" w:rsidR="00FD658D" w:rsidRPr="005E4819" w:rsidRDefault="00FD658D" w:rsidP="005E4819">
            <w:pPr>
              <w:pStyle w:val="Tabletext"/>
            </w:pPr>
            <w:r w:rsidRPr="005E4819">
              <w:t>12</w:t>
            </w:r>
            <w:r w:rsidR="00D7157D">
              <w:t>.</w:t>
            </w:r>
            <w:r w:rsidRPr="005E4819">
              <w:t>2289</w:t>
            </w:r>
          </w:p>
        </w:tc>
        <w:tc>
          <w:tcPr>
            <w:tcW w:w="966" w:type="pct"/>
            <w:tcBorders>
              <w:top w:val="single" w:sz="4" w:space="0" w:color="auto"/>
              <w:bottom w:val="single" w:sz="4" w:space="0" w:color="auto"/>
              <w:right w:val="nil"/>
            </w:tcBorders>
            <w:shd w:val="clear" w:color="auto" w:fill="auto"/>
            <w:vAlign w:val="bottom"/>
          </w:tcPr>
          <w:p w14:paraId="3EC7442B" w14:textId="77777777" w:rsidR="00FD658D" w:rsidRPr="005E4819" w:rsidRDefault="00FD658D" w:rsidP="005E4819">
            <w:pPr>
              <w:pStyle w:val="Tabletext"/>
            </w:pPr>
            <w:r w:rsidRPr="005E4819">
              <w:t>0</w:t>
            </w:r>
            <w:r w:rsidR="00D7157D">
              <w:t>.</w:t>
            </w:r>
            <w:r w:rsidRPr="005E4819">
              <w:t>1029</w:t>
            </w:r>
          </w:p>
        </w:tc>
      </w:tr>
      <w:tr w:rsidR="00FD658D" w:rsidRPr="005E4819" w14:paraId="29332226" w14:textId="77777777" w:rsidTr="00F160E0">
        <w:trPr>
          <w:cantSplit/>
        </w:trPr>
        <w:tc>
          <w:tcPr>
            <w:tcW w:w="1136" w:type="pct"/>
            <w:tcBorders>
              <w:top w:val="single" w:sz="4" w:space="0" w:color="auto"/>
              <w:bottom w:val="single" w:sz="4" w:space="0" w:color="auto"/>
            </w:tcBorders>
          </w:tcPr>
          <w:p w14:paraId="72E2586A" w14:textId="77777777" w:rsidR="00FD658D" w:rsidRPr="005E4819" w:rsidRDefault="00FD658D" w:rsidP="00FD658D">
            <w:pPr>
              <w:pStyle w:val="Tabletext"/>
            </w:pPr>
            <w:r w:rsidRPr="005E4819">
              <w:t>61</w:t>
            </w:r>
          </w:p>
        </w:tc>
        <w:tc>
          <w:tcPr>
            <w:tcW w:w="966" w:type="pct"/>
            <w:tcBorders>
              <w:top w:val="single" w:sz="4" w:space="0" w:color="auto"/>
              <w:bottom w:val="single" w:sz="4" w:space="0" w:color="auto"/>
            </w:tcBorders>
            <w:shd w:val="clear" w:color="auto" w:fill="auto"/>
            <w:vAlign w:val="bottom"/>
          </w:tcPr>
          <w:p w14:paraId="7066D11E" w14:textId="77777777" w:rsidR="00FD658D" w:rsidRPr="005E4819" w:rsidRDefault="00FD658D" w:rsidP="005E4819">
            <w:pPr>
              <w:pStyle w:val="Tabletext"/>
            </w:pPr>
            <w:r w:rsidRPr="005E4819">
              <w:t>11</w:t>
            </w:r>
            <w:r w:rsidR="00D7157D">
              <w:t>.</w:t>
            </w:r>
            <w:r w:rsidRPr="005E4819">
              <w:t>1396</w:t>
            </w:r>
          </w:p>
        </w:tc>
        <w:tc>
          <w:tcPr>
            <w:tcW w:w="966" w:type="pct"/>
            <w:tcBorders>
              <w:top w:val="single" w:sz="4" w:space="0" w:color="auto"/>
              <w:bottom w:val="single" w:sz="4" w:space="0" w:color="auto"/>
            </w:tcBorders>
            <w:shd w:val="clear" w:color="auto" w:fill="auto"/>
            <w:vAlign w:val="bottom"/>
          </w:tcPr>
          <w:p w14:paraId="33715A6B" w14:textId="77777777" w:rsidR="00FD658D" w:rsidRPr="005E4819" w:rsidRDefault="00FD658D" w:rsidP="005E4819">
            <w:pPr>
              <w:pStyle w:val="Tabletext"/>
            </w:pPr>
            <w:r w:rsidRPr="005E4819">
              <w:t>0</w:t>
            </w:r>
            <w:r w:rsidR="00D7157D">
              <w:t>.</w:t>
            </w:r>
            <w:r w:rsidRPr="005E4819">
              <w:t>3657</w:t>
            </w:r>
          </w:p>
        </w:tc>
        <w:tc>
          <w:tcPr>
            <w:tcW w:w="966" w:type="pct"/>
            <w:tcBorders>
              <w:top w:val="single" w:sz="4" w:space="0" w:color="auto"/>
              <w:bottom w:val="single" w:sz="4" w:space="0" w:color="auto"/>
            </w:tcBorders>
            <w:shd w:val="clear" w:color="auto" w:fill="auto"/>
            <w:vAlign w:val="bottom"/>
          </w:tcPr>
          <w:p w14:paraId="1EA691B7" w14:textId="77777777" w:rsidR="00FD658D" w:rsidRPr="005E4819" w:rsidRDefault="00FD658D" w:rsidP="005E4819">
            <w:pPr>
              <w:pStyle w:val="Tabletext"/>
            </w:pPr>
            <w:r w:rsidRPr="005E4819">
              <w:t>12</w:t>
            </w:r>
            <w:r w:rsidR="00D7157D">
              <w:t>.</w:t>
            </w:r>
            <w:r w:rsidRPr="005E4819">
              <w:t>0148</w:t>
            </w:r>
          </w:p>
        </w:tc>
        <w:tc>
          <w:tcPr>
            <w:tcW w:w="966" w:type="pct"/>
            <w:tcBorders>
              <w:top w:val="single" w:sz="4" w:space="0" w:color="auto"/>
              <w:bottom w:val="single" w:sz="4" w:space="0" w:color="auto"/>
              <w:right w:val="nil"/>
            </w:tcBorders>
            <w:shd w:val="clear" w:color="auto" w:fill="auto"/>
            <w:vAlign w:val="bottom"/>
          </w:tcPr>
          <w:p w14:paraId="7730E0F6" w14:textId="77777777" w:rsidR="00FD658D" w:rsidRPr="005E4819" w:rsidRDefault="00FD658D" w:rsidP="005E4819">
            <w:pPr>
              <w:pStyle w:val="Tabletext"/>
            </w:pPr>
            <w:r w:rsidRPr="005E4819">
              <w:t>0</w:t>
            </w:r>
            <w:r w:rsidR="00D7157D">
              <w:t>.</w:t>
            </w:r>
            <w:r w:rsidRPr="005E4819">
              <w:t>1052</w:t>
            </w:r>
          </w:p>
        </w:tc>
      </w:tr>
      <w:tr w:rsidR="00FD658D" w:rsidRPr="005E4819" w14:paraId="7975F59E" w14:textId="77777777" w:rsidTr="00F160E0">
        <w:trPr>
          <w:cantSplit/>
        </w:trPr>
        <w:tc>
          <w:tcPr>
            <w:tcW w:w="1136" w:type="pct"/>
            <w:tcBorders>
              <w:top w:val="single" w:sz="4" w:space="0" w:color="auto"/>
              <w:bottom w:val="single" w:sz="4" w:space="0" w:color="auto"/>
            </w:tcBorders>
          </w:tcPr>
          <w:p w14:paraId="29B1CB1F" w14:textId="77777777" w:rsidR="00FD658D" w:rsidRPr="005E4819" w:rsidRDefault="00FD658D" w:rsidP="00FD658D">
            <w:pPr>
              <w:pStyle w:val="Tabletext"/>
            </w:pPr>
            <w:r w:rsidRPr="005E4819">
              <w:t>62</w:t>
            </w:r>
          </w:p>
        </w:tc>
        <w:tc>
          <w:tcPr>
            <w:tcW w:w="966" w:type="pct"/>
            <w:tcBorders>
              <w:top w:val="single" w:sz="4" w:space="0" w:color="auto"/>
              <w:bottom w:val="single" w:sz="4" w:space="0" w:color="auto"/>
            </w:tcBorders>
            <w:shd w:val="clear" w:color="auto" w:fill="auto"/>
            <w:vAlign w:val="bottom"/>
          </w:tcPr>
          <w:p w14:paraId="24CA2A66" w14:textId="77777777" w:rsidR="00FD658D" w:rsidRPr="005E4819" w:rsidRDefault="00FD658D" w:rsidP="005E4819">
            <w:pPr>
              <w:pStyle w:val="Tabletext"/>
            </w:pPr>
            <w:r w:rsidRPr="005E4819">
              <w:t>10</w:t>
            </w:r>
            <w:r w:rsidR="00D7157D">
              <w:t>.</w:t>
            </w:r>
            <w:r w:rsidRPr="005E4819">
              <w:t>9161</w:t>
            </w:r>
          </w:p>
        </w:tc>
        <w:tc>
          <w:tcPr>
            <w:tcW w:w="966" w:type="pct"/>
            <w:tcBorders>
              <w:top w:val="single" w:sz="4" w:space="0" w:color="auto"/>
              <w:bottom w:val="single" w:sz="4" w:space="0" w:color="auto"/>
            </w:tcBorders>
            <w:shd w:val="clear" w:color="auto" w:fill="auto"/>
            <w:vAlign w:val="bottom"/>
          </w:tcPr>
          <w:p w14:paraId="7AC93F20" w14:textId="77777777" w:rsidR="00FD658D" w:rsidRPr="005E4819" w:rsidRDefault="00FD658D" w:rsidP="005E4819">
            <w:pPr>
              <w:pStyle w:val="Tabletext"/>
            </w:pPr>
            <w:r w:rsidRPr="005E4819">
              <w:t>0</w:t>
            </w:r>
            <w:r w:rsidR="00D7157D">
              <w:t>.</w:t>
            </w:r>
            <w:r w:rsidRPr="005E4819">
              <w:t>3740</w:t>
            </w:r>
          </w:p>
        </w:tc>
        <w:tc>
          <w:tcPr>
            <w:tcW w:w="966" w:type="pct"/>
            <w:tcBorders>
              <w:top w:val="single" w:sz="4" w:space="0" w:color="auto"/>
              <w:bottom w:val="single" w:sz="4" w:space="0" w:color="auto"/>
            </w:tcBorders>
            <w:shd w:val="clear" w:color="auto" w:fill="auto"/>
            <w:vAlign w:val="bottom"/>
          </w:tcPr>
          <w:p w14:paraId="1587B80C" w14:textId="77777777" w:rsidR="00FD658D" w:rsidRPr="005E4819" w:rsidRDefault="00FD658D" w:rsidP="005E4819">
            <w:pPr>
              <w:pStyle w:val="Tabletext"/>
            </w:pPr>
            <w:r w:rsidRPr="005E4819">
              <w:t>11</w:t>
            </w:r>
            <w:r w:rsidR="00D7157D">
              <w:t>.</w:t>
            </w:r>
            <w:r w:rsidRPr="005E4819">
              <w:t>7923</w:t>
            </w:r>
          </w:p>
        </w:tc>
        <w:tc>
          <w:tcPr>
            <w:tcW w:w="966" w:type="pct"/>
            <w:tcBorders>
              <w:top w:val="single" w:sz="4" w:space="0" w:color="auto"/>
              <w:bottom w:val="single" w:sz="4" w:space="0" w:color="auto"/>
              <w:right w:val="nil"/>
            </w:tcBorders>
            <w:shd w:val="clear" w:color="auto" w:fill="auto"/>
            <w:vAlign w:val="bottom"/>
          </w:tcPr>
          <w:p w14:paraId="12AC5CEF" w14:textId="77777777" w:rsidR="00FD658D" w:rsidRPr="005E4819" w:rsidRDefault="00FD658D" w:rsidP="005E4819">
            <w:pPr>
              <w:pStyle w:val="Tabletext"/>
            </w:pPr>
            <w:r w:rsidRPr="005E4819">
              <w:t>0</w:t>
            </w:r>
            <w:r w:rsidR="00D7157D">
              <w:t>.</w:t>
            </w:r>
            <w:r w:rsidRPr="005E4819">
              <w:t>1076</w:t>
            </w:r>
          </w:p>
        </w:tc>
      </w:tr>
      <w:tr w:rsidR="00FD658D" w:rsidRPr="005E4819" w14:paraId="38FC11F9" w14:textId="77777777" w:rsidTr="00F160E0">
        <w:trPr>
          <w:cantSplit/>
        </w:trPr>
        <w:tc>
          <w:tcPr>
            <w:tcW w:w="1136" w:type="pct"/>
            <w:tcBorders>
              <w:top w:val="single" w:sz="4" w:space="0" w:color="auto"/>
              <w:bottom w:val="single" w:sz="4" w:space="0" w:color="auto"/>
            </w:tcBorders>
          </w:tcPr>
          <w:p w14:paraId="3D5CA276" w14:textId="77777777" w:rsidR="00FD658D" w:rsidRPr="005E4819" w:rsidRDefault="00FD658D" w:rsidP="00FD658D">
            <w:pPr>
              <w:pStyle w:val="Tabletext"/>
            </w:pPr>
            <w:r w:rsidRPr="005E4819">
              <w:t>63</w:t>
            </w:r>
          </w:p>
        </w:tc>
        <w:tc>
          <w:tcPr>
            <w:tcW w:w="966" w:type="pct"/>
            <w:tcBorders>
              <w:top w:val="single" w:sz="4" w:space="0" w:color="auto"/>
              <w:bottom w:val="single" w:sz="4" w:space="0" w:color="auto"/>
            </w:tcBorders>
            <w:shd w:val="clear" w:color="auto" w:fill="auto"/>
            <w:vAlign w:val="bottom"/>
          </w:tcPr>
          <w:p w14:paraId="25D170A5" w14:textId="77777777" w:rsidR="00FD658D" w:rsidRPr="005E4819" w:rsidRDefault="00FD658D" w:rsidP="005E4819">
            <w:pPr>
              <w:pStyle w:val="Tabletext"/>
            </w:pPr>
            <w:r w:rsidRPr="005E4819">
              <w:t>10</w:t>
            </w:r>
            <w:r w:rsidR="00D7157D">
              <w:t>.</w:t>
            </w:r>
            <w:r w:rsidRPr="005E4819">
              <w:t>6865</w:t>
            </w:r>
          </w:p>
        </w:tc>
        <w:tc>
          <w:tcPr>
            <w:tcW w:w="966" w:type="pct"/>
            <w:tcBorders>
              <w:top w:val="single" w:sz="4" w:space="0" w:color="auto"/>
              <w:bottom w:val="single" w:sz="4" w:space="0" w:color="auto"/>
            </w:tcBorders>
            <w:shd w:val="clear" w:color="auto" w:fill="auto"/>
            <w:vAlign w:val="bottom"/>
          </w:tcPr>
          <w:p w14:paraId="6EDB335E" w14:textId="77777777" w:rsidR="00FD658D" w:rsidRPr="005E4819" w:rsidRDefault="00FD658D" w:rsidP="005E4819">
            <w:pPr>
              <w:pStyle w:val="Tabletext"/>
            </w:pPr>
            <w:r w:rsidRPr="005E4819">
              <w:t>0</w:t>
            </w:r>
            <w:r w:rsidR="00D7157D">
              <w:t>.</w:t>
            </w:r>
            <w:r w:rsidRPr="005E4819">
              <w:t>3822</w:t>
            </w:r>
          </w:p>
        </w:tc>
        <w:tc>
          <w:tcPr>
            <w:tcW w:w="966" w:type="pct"/>
            <w:tcBorders>
              <w:top w:val="single" w:sz="4" w:space="0" w:color="auto"/>
              <w:bottom w:val="single" w:sz="4" w:space="0" w:color="auto"/>
            </w:tcBorders>
            <w:shd w:val="clear" w:color="auto" w:fill="auto"/>
            <w:vAlign w:val="bottom"/>
          </w:tcPr>
          <w:p w14:paraId="6A4E9DA6" w14:textId="77777777" w:rsidR="00FD658D" w:rsidRPr="005E4819" w:rsidRDefault="00FD658D" w:rsidP="005E4819">
            <w:pPr>
              <w:pStyle w:val="Tabletext"/>
            </w:pPr>
            <w:r w:rsidRPr="005E4819">
              <w:t>11</w:t>
            </w:r>
            <w:r w:rsidR="00D7157D">
              <w:t>.</w:t>
            </w:r>
            <w:r w:rsidRPr="005E4819">
              <w:t>5614</w:t>
            </w:r>
          </w:p>
        </w:tc>
        <w:tc>
          <w:tcPr>
            <w:tcW w:w="966" w:type="pct"/>
            <w:tcBorders>
              <w:top w:val="single" w:sz="4" w:space="0" w:color="auto"/>
              <w:bottom w:val="single" w:sz="4" w:space="0" w:color="auto"/>
              <w:right w:val="nil"/>
            </w:tcBorders>
            <w:shd w:val="clear" w:color="auto" w:fill="auto"/>
            <w:vAlign w:val="bottom"/>
          </w:tcPr>
          <w:p w14:paraId="6502D6EC" w14:textId="77777777" w:rsidR="00FD658D" w:rsidRPr="005E4819" w:rsidRDefault="00FD658D" w:rsidP="005E4819">
            <w:pPr>
              <w:pStyle w:val="Tabletext"/>
            </w:pPr>
            <w:r w:rsidRPr="005E4819">
              <w:t>0</w:t>
            </w:r>
            <w:r w:rsidR="00D7157D">
              <w:t>.</w:t>
            </w:r>
            <w:r w:rsidRPr="005E4819">
              <w:t>1100</w:t>
            </w:r>
          </w:p>
        </w:tc>
      </w:tr>
      <w:tr w:rsidR="00FD658D" w:rsidRPr="005E4819" w14:paraId="535637E7" w14:textId="77777777" w:rsidTr="00F160E0">
        <w:trPr>
          <w:cantSplit/>
        </w:trPr>
        <w:tc>
          <w:tcPr>
            <w:tcW w:w="1136" w:type="pct"/>
            <w:tcBorders>
              <w:top w:val="single" w:sz="4" w:space="0" w:color="auto"/>
              <w:bottom w:val="single" w:sz="4" w:space="0" w:color="auto"/>
            </w:tcBorders>
          </w:tcPr>
          <w:p w14:paraId="394A490F" w14:textId="77777777" w:rsidR="00FD658D" w:rsidRPr="005E4819" w:rsidRDefault="00FD658D" w:rsidP="00FD658D">
            <w:pPr>
              <w:pStyle w:val="Tabletext"/>
            </w:pPr>
            <w:r w:rsidRPr="005E4819">
              <w:t>64</w:t>
            </w:r>
          </w:p>
        </w:tc>
        <w:tc>
          <w:tcPr>
            <w:tcW w:w="966" w:type="pct"/>
            <w:tcBorders>
              <w:top w:val="single" w:sz="4" w:space="0" w:color="auto"/>
              <w:bottom w:val="single" w:sz="4" w:space="0" w:color="auto"/>
            </w:tcBorders>
            <w:shd w:val="clear" w:color="auto" w:fill="auto"/>
            <w:vAlign w:val="bottom"/>
          </w:tcPr>
          <w:p w14:paraId="71E1A8DA" w14:textId="77777777" w:rsidR="00FD658D" w:rsidRPr="005E4819" w:rsidRDefault="00FD658D" w:rsidP="005E4819">
            <w:pPr>
              <w:pStyle w:val="Tabletext"/>
            </w:pPr>
            <w:r w:rsidRPr="005E4819">
              <w:t>10</w:t>
            </w:r>
            <w:r w:rsidR="00D7157D">
              <w:t>.</w:t>
            </w:r>
            <w:r w:rsidRPr="005E4819">
              <w:t>4511</w:t>
            </w:r>
          </w:p>
        </w:tc>
        <w:tc>
          <w:tcPr>
            <w:tcW w:w="966" w:type="pct"/>
            <w:tcBorders>
              <w:top w:val="single" w:sz="4" w:space="0" w:color="auto"/>
              <w:bottom w:val="single" w:sz="4" w:space="0" w:color="auto"/>
            </w:tcBorders>
            <w:shd w:val="clear" w:color="auto" w:fill="auto"/>
            <w:vAlign w:val="bottom"/>
          </w:tcPr>
          <w:p w14:paraId="79179C51" w14:textId="77777777" w:rsidR="00FD658D" w:rsidRPr="005E4819" w:rsidRDefault="00FD658D" w:rsidP="005E4819">
            <w:pPr>
              <w:pStyle w:val="Tabletext"/>
            </w:pPr>
            <w:r w:rsidRPr="005E4819">
              <w:t>0</w:t>
            </w:r>
            <w:r w:rsidR="00D7157D">
              <w:t>.</w:t>
            </w:r>
            <w:r w:rsidRPr="005E4819">
              <w:t>3901</w:t>
            </w:r>
          </w:p>
        </w:tc>
        <w:tc>
          <w:tcPr>
            <w:tcW w:w="966" w:type="pct"/>
            <w:tcBorders>
              <w:top w:val="single" w:sz="4" w:space="0" w:color="auto"/>
              <w:bottom w:val="single" w:sz="4" w:space="0" w:color="auto"/>
            </w:tcBorders>
            <w:shd w:val="clear" w:color="auto" w:fill="auto"/>
            <w:vAlign w:val="bottom"/>
          </w:tcPr>
          <w:p w14:paraId="19D4C9A3" w14:textId="77777777" w:rsidR="00FD658D" w:rsidRPr="005E4819" w:rsidRDefault="00FD658D" w:rsidP="005E4819">
            <w:pPr>
              <w:pStyle w:val="Tabletext"/>
            </w:pPr>
            <w:r w:rsidRPr="005E4819">
              <w:t>11</w:t>
            </w:r>
            <w:r w:rsidR="00D7157D">
              <w:t>.</w:t>
            </w:r>
            <w:r w:rsidRPr="005E4819">
              <w:t>3223</w:t>
            </w:r>
          </w:p>
        </w:tc>
        <w:tc>
          <w:tcPr>
            <w:tcW w:w="966" w:type="pct"/>
            <w:tcBorders>
              <w:top w:val="single" w:sz="4" w:space="0" w:color="auto"/>
              <w:bottom w:val="single" w:sz="4" w:space="0" w:color="auto"/>
              <w:right w:val="nil"/>
            </w:tcBorders>
            <w:shd w:val="clear" w:color="auto" w:fill="auto"/>
            <w:vAlign w:val="bottom"/>
          </w:tcPr>
          <w:p w14:paraId="13482F96" w14:textId="77777777" w:rsidR="00FD658D" w:rsidRPr="005E4819" w:rsidRDefault="00FD658D" w:rsidP="005E4819">
            <w:pPr>
              <w:pStyle w:val="Tabletext"/>
            </w:pPr>
            <w:r w:rsidRPr="005E4819">
              <w:t>0</w:t>
            </w:r>
            <w:r w:rsidR="00D7157D">
              <w:t>.</w:t>
            </w:r>
            <w:r w:rsidRPr="005E4819">
              <w:t>1122</w:t>
            </w:r>
          </w:p>
        </w:tc>
      </w:tr>
      <w:tr w:rsidR="00FD658D" w:rsidRPr="005E4819" w14:paraId="1817CD85" w14:textId="77777777" w:rsidTr="00F160E0">
        <w:trPr>
          <w:cantSplit/>
        </w:trPr>
        <w:tc>
          <w:tcPr>
            <w:tcW w:w="1136" w:type="pct"/>
            <w:tcBorders>
              <w:top w:val="single" w:sz="4" w:space="0" w:color="auto"/>
              <w:bottom w:val="single" w:sz="4" w:space="0" w:color="auto"/>
            </w:tcBorders>
          </w:tcPr>
          <w:p w14:paraId="2DAB6B6A" w14:textId="77777777" w:rsidR="00FD658D" w:rsidRPr="005E4819" w:rsidRDefault="00FD658D" w:rsidP="00FD658D">
            <w:pPr>
              <w:pStyle w:val="Tabletext"/>
            </w:pPr>
            <w:r w:rsidRPr="005E4819">
              <w:t>65</w:t>
            </w:r>
          </w:p>
        </w:tc>
        <w:tc>
          <w:tcPr>
            <w:tcW w:w="966" w:type="pct"/>
            <w:tcBorders>
              <w:top w:val="single" w:sz="4" w:space="0" w:color="auto"/>
              <w:bottom w:val="single" w:sz="4" w:space="0" w:color="auto"/>
            </w:tcBorders>
            <w:shd w:val="clear" w:color="auto" w:fill="auto"/>
            <w:vAlign w:val="bottom"/>
          </w:tcPr>
          <w:p w14:paraId="24449AD3" w14:textId="77777777" w:rsidR="00FD658D" w:rsidRPr="005E4819" w:rsidRDefault="00FD658D" w:rsidP="005E4819">
            <w:pPr>
              <w:pStyle w:val="Tabletext"/>
            </w:pPr>
            <w:r w:rsidRPr="005E4819">
              <w:t>10</w:t>
            </w:r>
            <w:r w:rsidR="00D7157D">
              <w:t>.</w:t>
            </w:r>
            <w:r w:rsidRPr="005E4819">
              <w:t>2099</w:t>
            </w:r>
          </w:p>
        </w:tc>
        <w:tc>
          <w:tcPr>
            <w:tcW w:w="966" w:type="pct"/>
            <w:tcBorders>
              <w:top w:val="single" w:sz="4" w:space="0" w:color="auto"/>
              <w:bottom w:val="single" w:sz="4" w:space="0" w:color="auto"/>
            </w:tcBorders>
            <w:shd w:val="clear" w:color="auto" w:fill="auto"/>
            <w:vAlign w:val="bottom"/>
          </w:tcPr>
          <w:p w14:paraId="76F457E8" w14:textId="77777777" w:rsidR="00FD658D" w:rsidRPr="005E4819" w:rsidRDefault="00FD658D" w:rsidP="005E4819">
            <w:pPr>
              <w:pStyle w:val="Tabletext"/>
            </w:pPr>
            <w:r w:rsidRPr="005E4819">
              <w:t>0</w:t>
            </w:r>
            <w:r w:rsidR="00D7157D">
              <w:t>.</w:t>
            </w:r>
            <w:r w:rsidRPr="005E4819">
              <w:t>3978</w:t>
            </w:r>
          </w:p>
        </w:tc>
        <w:tc>
          <w:tcPr>
            <w:tcW w:w="966" w:type="pct"/>
            <w:tcBorders>
              <w:top w:val="single" w:sz="4" w:space="0" w:color="auto"/>
              <w:bottom w:val="single" w:sz="4" w:space="0" w:color="auto"/>
            </w:tcBorders>
            <w:shd w:val="clear" w:color="auto" w:fill="auto"/>
            <w:vAlign w:val="bottom"/>
          </w:tcPr>
          <w:p w14:paraId="16DD5585" w14:textId="77777777" w:rsidR="00FD658D" w:rsidRPr="005E4819" w:rsidRDefault="00FD658D" w:rsidP="005E4819">
            <w:pPr>
              <w:pStyle w:val="Tabletext"/>
            </w:pPr>
            <w:r w:rsidRPr="005E4819">
              <w:t>11</w:t>
            </w:r>
            <w:r w:rsidR="00D7157D">
              <w:t>.</w:t>
            </w:r>
            <w:r w:rsidRPr="005E4819">
              <w:t>0753</w:t>
            </w:r>
          </w:p>
        </w:tc>
        <w:tc>
          <w:tcPr>
            <w:tcW w:w="966" w:type="pct"/>
            <w:tcBorders>
              <w:top w:val="single" w:sz="4" w:space="0" w:color="auto"/>
              <w:bottom w:val="single" w:sz="4" w:space="0" w:color="auto"/>
              <w:right w:val="nil"/>
            </w:tcBorders>
            <w:shd w:val="clear" w:color="auto" w:fill="auto"/>
            <w:vAlign w:val="bottom"/>
          </w:tcPr>
          <w:p w14:paraId="44269B12" w14:textId="77777777" w:rsidR="00FD658D" w:rsidRPr="005E4819" w:rsidRDefault="00FD658D" w:rsidP="005E4819">
            <w:pPr>
              <w:pStyle w:val="Tabletext"/>
            </w:pPr>
            <w:r w:rsidRPr="005E4819">
              <w:t>0</w:t>
            </w:r>
            <w:r w:rsidR="00D7157D">
              <w:t>.</w:t>
            </w:r>
            <w:r w:rsidRPr="005E4819">
              <w:t>1144</w:t>
            </w:r>
          </w:p>
        </w:tc>
      </w:tr>
      <w:tr w:rsidR="00FD658D" w:rsidRPr="005E4819" w14:paraId="3BD227E3" w14:textId="77777777" w:rsidTr="00F160E0">
        <w:trPr>
          <w:cantSplit/>
        </w:trPr>
        <w:tc>
          <w:tcPr>
            <w:tcW w:w="1136" w:type="pct"/>
            <w:tcBorders>
              <w:top w:val="single" w:sz="4" w:space="0" w:color="auto"/>
              <w:bottom w:val="single" w:sz="4" w:space="0" w:color="auto"/>
            </w:tcBorders>
          </w:tcPr>
          <w:p w14:paraId="643421D5" w14:textId="77777777" w:rsidR="00FD658D" w:rsidRPr="005E4819" w:rsidRDefault="00FD658D" w:rsidP="00FD658D">
            <w:pPr>
              <w:pStyle w:val="Tabletext"/>
            </w:pPr>
            <w:r w:rsidRPr="005E4819">
              <w:t>66</w:t>
            </w:r>
          </w:p>
        </w:tc>
        <w:tc>
          <w:tcPr>
            <w:tcW w:w="966" w:type="pct"/>
            <w:tcBorders>
              <w:top w:val="single" w:sz="4" w:space="0" w:color="auto"/>
              <w:bottom w:val="single" w:sz="4" w:space="0" w:color="auto"/>
            </w:tcBorders>
            <w:shd w:val="clear" w:color="auto" w:fill="auto"/>
            <w:vAlign w:val="bottom"/>
          </w:tcPr>
          <w:p w14:paraId="3F02E343" w14:textId="77777777" w:rsidR="00FD658D" w:rsidRPr="005E4819" w:rsidRDefault="00FD658D" w:rsidP="005E4819">
            <w:pPr>
              <w:pStyle w:val="Tabletext"/>
            </w:pPr>
            <w:r w:rsidRPr="005E4819">
              <w:t>9</w:t>
            </w:r>
            <w:r w:rsidR="00D7157D">
              <w:t>.</w:t>
            </w:r>
            <w:r w:rsidRPr="005E4819">
              <w:t>9636</w:t>
            </w:r>
          </w:p>
        </w:tc>
        <w:tc>
          <w:tcPr>
            <w:tcW w:w="966" w:type="pct"/>
            <w:tcBorders>
              <w:top w:val="single" w:sz="4" w:space="0" w:color="auto"/>
              <w:bottom w:val="single" w:sz="4" w:space="0" w:color="auto"/>
            </w:tcBorders>
            <w:shd w:val="clear" w:color="auto" w:fill="auto"/>
            <w:vAlign w:val="bottom"/>
          </w:tcPr>
          <w:p w14:paraId="6CD556FB" w14:textId="77777777" w:rsidR="00FD658D" w:rsidRPr="005E4819" w:rsidRDefault="00FD658D" w:rsidP="005E4819">
            <w:pPr>
              <w:pStyle w:val="Tabletext"/>
            </w:pPr>
            <w:r w:rsidRPr="005E4819">
              <w:t>0</w:t>
            </w:r>
            <w:r w:rsidR="00D7157D">
              <w:t>.</w:t>
            </w:r>
            <w:r w:rsidRPr="005E4819">
              <w:t>4050</w:t>
            </w:r>
          </w:p>
        </w:tc>
        <w:tc>
          <w:tcPr>
            <w:tcW w:w="966" w:type="pct"/>
            <w:tcBorders>
              <w:top w:val="single" w:sz="4" w:space="0" w:color="auto"/>
              <w:bottom w:val="single" w:sz="4" w:space="0" w:color="auto"/>
            </w:tcBorders>
            <w:shd w:val="clear" w:color="auto" w:fill="auto"/>
            <w:vAlign w:val="bottom"/>
          </w:tcPr>
          <w:p w14:paraId="4F76CCA0" w14:textId="77777777" w:rsidR="00FD658D" w:rsidRPr="005E4819" w:rsidRDefault="00FD658D" w:rsidP="005E4819">
            <w:pPr>
              <w:pStyle w:val="Tabletext"/>
            </w:pPr>
            <w:r w:rsidRPr="005E4819">
              <w:t>10</w:t>
            </w:r>
            <w:r w:rsidR="00D7157D">
              <w:t>.</w:t>
            </w:r>
            <w:r w:rsidRPr="005E4819">
              <w:t>8208</w:t>
            </w:r>
          </w:p>
        </w:tc>
        <w:tc>
          <w:tcPr>
            <w:tcW w:w="966" w:type="pct"/>
            <w:tcBorders>
              <w:top w:val="single" w:sz="4" w:space="0" w:color="auto"/>
              <w:bottom w:val="single" w:sz="4" w:space="0" w:color="auto"/>
              <w:right w:val="nil"/>
            </w:tcBorders>
            <w:shd w:val="clear" w:color="auto" w:fill="auto"/>
            <w:vAlign w:val="bottom"/>
          </w:tcPr>
          <w:p w14:paraId="1B94F044" w14:textId="77777777" w:rsidR="00FD658D" w:rsidRPr="005E4819" w:rsidRDefault="00FD658D" w:rsidP="005E4819">
            <w:pPr>
              <w:pStyle w:val="Tabletext"/>
            </w:pPr>
            <w:r w:rsidRPr="005E4819">
              <w:t>0</w:t>
            </w:r>
            <w:r w:rsidR="00D7157D">
              <w:t>.</w:t>
            </w:r>
            <w:r w:rsidRPr="005E4819">
              <w:t>1165</w:t>
            </w:r>
          </w:p>
        </w:tc>
      </w:tr>
      <w:tr w:rsidR="00FD658D" w:rsidRPr="005E4819" w14:paraId="49F3C95C" w14:textId="77777777" w:rsidTr="00F160E0">
        <w:trPr>
          <w:cantSplit/>
        </w:trPr>
        <w:tc>
          <w:tcPr>
            <w:tcW w:w="1136" w:type="pct"/>
            <w:tcBorders>
              <w:top w:val="single" w:sz="4" w:space="0" w:color="auto"/>
              <w:bottom w:val="single" w:sz="4" w:space="0" w:color="auto"/>
            </w:tcBorders>
          </w:tcPr>
          <w:p w14:paraId="0850F860" w14:textId="77777777" w:rsidR="00FD658D" w:rsidRPr="005E4819" w:rsidRDefault="00FD658D" w:rsidP="00FD658D">
            <w:pPr>
              <w:pStyle w:val="Tabletext"/>
            </w:pPr>
            <w:r w:rsidRPr="005E4819">
              <w:t>67</w:t>
            </w:r>
          </w:p>
        </w:tc>
        <w:tc>
          <w:tcPr>
            <w:tcW w:w="966" w:type="pct"/>
            <w:tcBorders>
              <w:top w:val="single" w:sz="4" w:space="0" w:color="auto"/>
              <w:bottom w:val="single" w:sz="4" w:space="0" w:color="auto"/>
            </w:tcBorders>
            <w:shd w:val="clear" w:color="auto" w:fill="auto"/>
            <w:vAlign w:val="bottom"/>
          </w:tcPr>
          <w:p w14:paraId="2555243D" w14:textId="77777777" w:rsidR="00FD658D" w:rsidRPr="005E4819" w:rsidRDefault="00FD658D" w:rsidP="005E4819">
            <w:pPr>
              <w:pStyle w:val="Tabletext"/>
            </w:pPr>
            <w:r w:rsidRPr="005E4819">
              <w:t>9</w:t>
            </w:r>
            <w:r w:rsidR="00D7157D">
              <w:t>.</w:t>
            </w:r>
            <w:r w:rsidRPr="005E4819">
              <w:t>7099</w:t>
            </w:r>
          </w:p>
        </w:tc>
        <w:tc>
          <w:tcPr>
            <w:tcW w:w="966" w:type="pct"/>
            <w:tcBorders>
              <w:top w:val="single" w:sz="4" w:space="0" w:color="auto"/>
              <w:bottom w:val="single" w:sz="4" w:space="0" w:color="auto"/>
            </w:tcBorders>
            <w:shd w:val="clear" w:color="auto" w:fill="auto"/>
            <w:vAlign w:val="bottom"/>
          </w:tcPr>
          <w:p w14:paraId="4E5BF5D3" w14:textId="77777777" w:rsidR="00FD658D" w:rsidRPr="005E4819" w:rsidRDefault="00FD658D" w:rsidP="005E4819">
            <w:pPr>
              <w:pStyle w:val="Tabletext"/>
            </w:pPr>
            <w:r w:rsidRPr="005E4819">
              <w:t>0</w:t>
            </w:r>
            <w:r w:rsidR="00D7157D">
              <w:t>.</w:t>
            </w:r>
            <w:r w:rsidRPr="005E4819">
              <w:t>4121</w:t>
            </w:r>
          </w:p>
        </w:tc>
        <w:tc>
          <w:tcPr>
            <w:tcW w:w="966" w:type="pct"/>
            <w:tcBorders>
              <w:top w:val="single" w:sz="4" w:space="0" w:color="auto"/>
              <w:bottom w:val="single" w:sz="4" w:space="0" w:color="auto"/>
            </w:tcBorders>
            <w:shd w:val="clear" w:color="auto" w:fill="auto"/>
            <w:vAlign w:val="bottom"/>
          </w:tcPr>
          <w:p w14:paraId="38F28C4D" w14:textId="77777777" w:rsidR="00FD658D" w:rsidRPr="005E4819" w:rsidRDefault="00FD658D" w:rsidP="005E4819">
            <w:pPr>
              <w:pStyle w:val="Tabletext"/>
            </w:pPr>
            <w:r w:rsidRPr="005E4819">
              <w:t>10</w:t>
            </w:r>
            <w:r w:rsidR="00D7157D">
              <w:t>.</w:t>
            </w:r>
            <w:r w:rsidRPr="005E4819">
              <w:t>5583</w:t>
            </w:r>
          </w:p>
        </w:tc>
        <w:tc>
          <w:tcPr>
            <w:tcW w:w="966" w:type="pct"/>
            <w:tcBorders>
              <w:top w:val="single" w:sz="4" w:space="0" w:color="auto"/>
              <w:bottom w:val="single" w:sz="4" w:space="0" w:color="auto"/>
              <w:right w:val="nil"/>
            </w:tcBorders>
            <w:shd w:val="clear" w:color="auto" w:fill="auto"/>
            <w:vAlign w:val="bottom"/>
          </w:tcPr>
          <w:p w14:paraId="4BFD27FC" w14:textId="77777777" w:rsidR="00FD658D" w:rsidRPr="005E4819" w:rsidRDefault="00FD658D" w:rsidP="005E4819">
            <w:pPr>
              <w:pStyle w:val="Tabletext"/>
            </w:pPr>
            <w:r w:rsidRPr="005E4819">
              <w:t>0</w:t>
            </w:r>
            <w:r w:rsidR="00D7157D">
              <w:t>.</w:t>
            </w:r>
            <w:r w:rsidRPr="005E4819">
              <w:t>1184</w:t>
            </w:r>
          </w:p>
        </w:tc>
      </w:tr>
      <w:tr w:rsidR="00FD658D" w:rsidRPr="005E4819" w14:paraId="253535D0" w14:textId="77777777" w:rsidTr="00F160E0">
        <w:trPr>
          <w:cantSplit/>
        </w:trPr>
        <w:tc>
          <w:tcPr>
            <w:tcW w:w="1136" w:type="pct"/>
            <w:tcBorders>
              <w:top w:val="single" w:sz="4" w:space="0" w:color="auto"/>
              <w:bottom w:val="single" w:sz="4" w:space="0" w:color="auto"/>
            </w:tcBorders>
          </w:tcPr>
          <w:p w14:paraId="2880ADF5" w14:textId="77777777" w:rsidR="00FD658D" w:rsidRPr="005E4819" w:rsidRDefault="00FD658D" w:rsidP="00FD658D">
            <w:pPr>
              <w:pStyle w:val="Tabletext"/>
            </w:pPr>
            <w:r w:rsidRPr="005E4819">
              <w:t>68</w:t>
            </w:r>
          </w:p>
        </w:tc>
        <w:tc>
          <w:tcPr>
            <w:tcW w:w="966" w:type="pct"/>
            <w:tcBorders>
              <w:top w:val="single" w:sz="4" w:space="0" w:color="auto"/>
              <w:bottom w:val="single" w:sz="4" w:space="0" w:color="auto"/>
            </w:tcBorders>
            <w:shd w:val="clear" w:color="auto" w:fill="auto"/>
            <w:vAlign w:val="bottom"/>
          </w:tcPr>
          <w:p w14:paraId="6B9E5A2E" w14:textId="77777777" w:rsidR="00FD658D" w:rsidRPr="005E4819" w:rsidRDefault="00FD658D" w:rsidP="005E4819">
            <w:pPr>
              <w:pStyle w:val="Tabletext"/>
            </w:pPr>
            <w:r w:rsidRPr="005E4819">
              <w:t>9</w:t>
            </w:r>
            <w:r w:rsidR="00D7157D">
              <w:t>.</w:t>
            </w:r>
            <w:r w:rsidRPr="005E4819">
              <w:t>4493</w:t>
            </w:r>
          </w:p>
        </w:tc>
        <w:tc>
          <w:tcPr>
            <w:tcW w:w="966" w:type="pct"/>
            <w:tcBorders>
              <w:top w:val="single" w:sz="4" w:space="0" w:color="auto"/>
              <w:bottom w:val="single" w:sz="4" w:space="0" w:color="auto"/>
            </w:tcBorders>
            <w:shd w:val="clear" w:color="auto" w:fill="auto"/>
            <w:vAlign w:val="bottom"/>
          </w:tcPr>
          <w:p w14:paraId="34F6902C" w14:textId="77777777" w:rsidR="00FD658D" w:rsidRPr="005E4819" w:rsidRDefault="00FD658D" w:rsidP="005E4819">
            <w:pPr>
              <w:pStyle w:val="Tabletext"/>
            </w:pPr>
            <w:r w:rsidRPr="005E4819">
              <w:t>0</w:t>
            </w:r>
            <w:r w:rsidR="00D7157D">
              <w:t>.</w:t>
            </w:r>
            <w:r w:rsidRPr="005E4819">
              <w:t>4190</w:t>
            </w:r>
          </w:p>
        </w:tc>
        <w:tc>
          <w:tcPr>
            <w:tcW w:w="966" w:type="pct"/>
            <w:tcBorders>
              <w:top w:val="single" w:sz="4" w:space="0" w:color="auto"/>
              <w:bottom w:val="single" w:sz="4" w:space="0" w:color="auto"/>
            </w:tcBorders>
            <w:shd w:val="clear" w:color="auto" w:fill="auto"/>
            <w:vAlign w:val="bottom"/>
          </w:tcPr>
          <w:p w14:paraId="7205AC64" w14:textId="77777777" w:rsidR="00FD658D" w:rsidRPr="005E4819" w:rsidRDefault="00FD658D" w:rsidP="005E4819">
            <w:pPr>
              <w:pStyle w:val="Tabletext"/>
            </w:pPr>
            <w:r w:rsidRPr="005E4819">
              <w:t>10</w:t>
            </w:r>
            <w:r w:rsidR="00D7157D">
              <w:t>.</w:t>
            </w:r>
            <w:r w:rsidRPr="005E4819">
              <w:t>2880</w:t>
            </w:r>
          </w:p>
        </w:tc>
        <w:tc>
          <w:tcPr>
            <w:tcW w:w="966" w:type="pct"/>
            <w:tcBorders>
              <w:top w:val="single" w:sz="4" w:space="0" w:color="auto"/>
              <w:bottom w:val="single" w:sz="4" w:space="0" w:color="auto"/>
              <w:right w:val="nil"/>
            </w:tcBorders>
            <w:shd w:val="clear" w:color="auto" w:fill="auto"/>
            <w:vAlign w:val="bottom"/>
          </w:tcPr>
          <w:p w14:paraId="5EB3724F" w14:textId="77777777" w:rsidR="00FD658D" w:rsidRPr="005E4819" w:rsidRDefault="00FD658D" w:rsidP="005E4819">
            <w:pPr>
              <w:pStyle w:val="Tabletext"/>
            </w:pPr>
            <w:r w:rsidRPr="005E4819">
              <w:t>0</w:t>
            </w:r>
            <w:r w:rsidR="00D7157D">
              <w:t>.</w:t>
            </w:r>
            <w:r w:rsidRPr="005E4819">
              <w:t>1202</w:t>
            </w:r>
          </w:p>
        </w:tc>
      </w:tr>
      <w:tr w:rsidR="00FD658D" w:rsidRPr="005E4819" w14:paraId="36C5F7F2" w14:textId="77777777" w:rsidTr="00F160E0">
        <w:trPr>
          <w:cantSplit/>
        </w:trPr>
        <w:tc>
          <w:tcPr>
            <w:tcW w:w="1136" w:type="pct"/>
            <w:tcBorders>
              <w:top w:val="single" w:sz="4" w:space="0" w:color="auto"/>
              <w:bottom w:val="single" w:sz="4" w:space="0" w:color="auto"/>
            </w:tcBorders>
          </w:tcPr>
          <w:p w14:paraId="055E42BC" w14:textId="77777777" w:rsidR="00FD658D" w:rsidRPr="005E4819" w:rsidRDefault="00FD658D" w:rsidP="00FD658D">
            <w:pPr>
              <w:pStyle w:val="Tabletext"/>
            </w:pPr>
            <w:r w:rsidRPr="005E4819">
              <w:t>69</w:t>
            </w:r>
          </w:p>
        </w:tc>
        <w:tc>
          <w:tcPr>
            <w:tcW w:w="966" w:type="pct"/>
            <w:tcBorders>
              <w:top w:val="single" w:sz="4" w:space="0" w:color="auto"/>
              <w:bottom w:val="single" w:sz="4" w:space="0" w:color="auto"/>
            </w:tcBorders>
            <w:shd w:val="clear" w:color="auto" w:fill="auto"/>
            <w:vAlign w:val="bottom"/>
          </w:tcPr>
          <w:p w14:paraId="0C32D56E" w14:textId="77777777" w:rsidR="00FD658D" w:rsidRPr="005E4819" w:rsidRDefault="00FD658D" w:rsidP="005E4819">
            <w:pPr>
              <w:pStyle w:val="Tabletext"/>
            </w:pPr>
            <w:r w:rsidRPr="005E4819">
              <w:t>9</w:t>
            </w:r>
            <w:r w:rsidR="00D7157D">
              <w:t>.</w:t>
            </w:r>
            <w:r w:rsidRPr="005E4819">
              <w:t>1824</w:t>
            </w:r>
          </w:p>
        </w:tc>
        <w:tc>
          <w:tcPr>
            <w:tcW w:w="966" w:type="pct"/>
            <w:tcBorders>
              <w:top w:val="single" w:sz="4" w:space="0" w:color="auto"/>
              <w:bottom w:val="single" w:sz="4" w:space="0" w:color="auto"/>
            </w:tcBorders>
            <w:shd w:val="clear" w:color="auto" w:fill="auto"/>
            <w:vAlign w:val="bottom"/>
          </w:tcPr>
          <w:p w14:paraId="15329A1B" w14:textId="77777777" w:rsidR="00FD658D" w:rsidRPr="005E4819" w:rsidRDefault="00FD658D" w:rsidP="005E4819">
            <w:pPr>
              <w:pStyle w:val="Tabletext"/>
            </w:pPr>
            <w:r w:rsidRPr="005E4819">
              <w:t>0</w:t>
            </w:r>
            <w:r w:rsidR="00D7157D">
              <w:t>.</w:t>
            </w:r>
            <w:r w:rsidRPr="005E4819">
              <w:t>4254</w:t>
            </w:r>
          </w:p>
        </w:tc>
        <w:tc>
          <w:tcPr>
            <w:tcW w:w="966" w:type="pct"/>
            <w:tcBorders>
              <w:top w:val="single" w:sz="4" w:space="0" w:color="auto"/>
              <w:bottom w:val="single" w:sz="4" w:space="0" w:color="auto"/>
            </w:tcBorders>
            <w:shd w:val="clear" w:color="auto" w:fill="auto"/>
            <w:vAlign w:val="bottom"/>
          </w:tcPr>
          <w:p w14:paraId="514EB9AD" w14:textId="77777777" w:rsidR="00FD658D" w:rsidRPr="005E4819" w:rsidRDefault="00FD658D" w:rsidP="005E4819">
            <w:pPr>
              <w:pStyle w:val="Tabletext"/>
            </w:pPr>
            <w:r w:rsidRPr="005E4819">
              <w:t>10</w:t>
            </w:r>
            <w:r w:rsidR="00D7157D">
              <w:t>.</w:t>
            </w:r>
            <w:r w:rsidRPr="005E4819">
              <w:t>0105</w:t>
            </w:r>
          </w:p>
        </w:tc>
        <w:tc>
          <w:tcPr>
            <w:tcW w:w="966" w:type="pct"/>
            <w:tcBorders>
              <w:top w:val="single" w:sz="4" w:space="0" w:color="auto"/>
              <w:bottom w:val="single" w:sz="4" w:space="0" w:color="auto"/>
              <w:right w:val="nil"/>
            </w:tcBorders>
            <w:shd w:val="clear" w:color="auto" w:fill="auto"/>
            <w:vAlign w:val="bottom"/>
          </w:tcPr>
          <w:p w14:paraId="543600B5" w14:textId="77777777" w:rsidR="00FD658D" w:rsidRPr="005E4819" w:rsidRDefault="00FD658D" w:rsidP="005E4819">
            <w:pPr>
              <w:pStyle w:val="Tabletext"/>
            </w:pPr>
            <w:r w:rsidRPr="005E4819">
              <w:t>0</w:t>
            </w:r>
            <w:r w:rsidR="00D7157D">
              <w:t>.</w:t>
            </w:r>
            <w:r w:rsidRPr="005E4819">
              <w:t>1218</w:t>
            </w:r>
          </w:p>
        </w:tc>
      </w:tr>
      <w:tr w:rsidR="00FD658D" w:rsidRPr="005E4819" w14:paraId="182364B2" w14:textId="77777777" w:rsidTr="00F160E0">
        <w:trPr>
          <w:cantSplit/>
        </w:trPr>
        <w:tc>
          <w:tcPr>
            <w:tcW w:w="1136" w:type="pct"/>
            <w:tcBorders>
              <w:top w:val="single" w:sz="4" w:space="0" w:color="auto"/>
              <w:bottom w:val="single" w:sz="4" w:space="0" w:color="auto"/>
            </w:tcBorders>
          </w:tcPr>
          <w:p w14:paraId="63C5D0BC" w14:textId="77777777" w:rsidR="00FD658D" w:rsidRPr="005E4819" w:rsidRDefault="00FD658D" w:rsidP="00FD658D">
            <w:pPr>
              <w:pStyle w:val="Tabletext"/>
            </w:pPr>
            <w:r w:rsidRPr="005E4819">
              <w:t>70</w:t>
            </w:r>
          </w:p>
        </w:tc>
        <w:tc>
          <w:tcPr>
            <w:tcW w:w="966" w:type="pct"/>
            <w:tcBorders>
              <w:top w:val="single" w:sz="4" w:space="0" w:color="auto"/>
              <w:bottom w:val="single" w:sz="4" w:space="0" w:color="auto"/>
            </w:tcBorders>
            <w:shd w:val="clear" w:color="auto" w:fill="auto"/>
            <w:vAlign w:val="bottom"/>
          </w:tcPr>
          <w:p w14:paraId="36E5A3A0" w14:textId="77777777" w:rsidR="00FD658D" w:rsidRPr="005E4819" w:rsidRDefault="00FD658D" w:rsidP="005E4819">
            <w:pPr>
              <w:pStyle w:val="Tabletext"/>
            </w:pPr>
            <w:r w:rsidRPr="005E4819">
              <w:t>8</w:t>
            </w:r>
            <w:r w:rsidR="00D7157D">
              <w:t>.</w:t>
            </w:r>
            <w:r w:rsidRPr="005E4819">
              <w:t>9097</w:t>
            </w:r>
          </w:p>
        </w:tc>
        <w:tc>
          <w:tcPr>
            <w:tcW w:w="966" w:type="pct"/>
            <w:tcBorders>
              <w:top w:val="single" w:sz="4" w:space="0" w:color="auto"/>
              <w:bottom w:val="single" w:sz="4" w:space="0" w:color="auto"/>
            </w:tcBorders>
            <w:shd w:val="clear" w:color="auto" w:fill="auto"/>
            <w:vAlign w:val="bottom"/>
          </w:tcPr>
          <w:p w14:paraId="22C2F71C" w14:textId="77777777" w:rsidR="00FD658D" w:rsidRPr="005E4819" w:rsidRDefault="00FD658D" w:rsidP="005E4819">
            <w:pPr>
              <w:pStyle w:val="Tabletext"/>
            </w:pPr>
            <w:r w:rsidRPr="005E4819">
              <w:t>0</w:t>
            </w:r>
            <w:r w:rsidR="00D7157D">
              <w:t>.</w:t>
            </w:r>
            <w:r w:rsidRPr="005E4819">
              <w:t>4314</w:t>
            </w:r>
          </w:p>
        </w:tc>
        <w:tc>
          <w:tcPr>
            <w:tcW w:w="966" w:type="pct"/>
            <w:tcBorders>
              <w:top w:val="single" w:sz="4" w:space="0" w:color="auto"/>
              <w:bottom w:val="single" w:sz="4" w:space="0" w:color="auto"/>
            </w:tcBorders>
            <w:shd w:val="clear" w:color="auto" w:fill="auto"/>
            <w:vAlign w:val="bottom"/>
          </w:tcPr>
          <w:p w14:paraId="2C8EB9AD" w14:textId="77777777" w:rsidR="00FD658D" w:rsidRPr="005E4819" w:rsidRDefault="00FD658D" w:rsidP="005E4819">
            <w:pPr>
              <w:pStyle w:val="Tabletext"/>
            </w:pPr>
            <w:r w:rsidRPr="005E4819">
              <w:t>9</w:t>
            </w:r>
            <w:r w:rsidR="00D7157D">
              <w:t>.</w:t>
            </w:r>
            <w:r w:rsidRPr="005E4819">
              <w:t>7262</w:t>
            </w:r>
          </w:p>
        </w:tc>
        <w:tc>
          <w:tcPr>
            <w:tcW w:w="966" w:type="pct"/>
            <w:tcBorders>
              <w:top w:val="single" w:sz="4" w:space="0" w:color="auto"/>
              <w:bottom w:val="single" w:sz="4" w:space="0" w:color="auto"/>
              <w:right w:val="nil"/>
            </w:tcBorders>
            <w:shd w:val="clear" w:color="auto" w:fill="auto"/>
            <w:vAlign w:val="bottom"/>
          </w:tcPr>
          <w:p w14:paraId="7A75E6C7" w14:textId="77777777" w:rsidR="00FD658D" w:rsidRPr="005E4819" w:rsidRDefault="00FD658D" w:rsidP="005E4819">
            <w:pPr>
              <w:pStyle w:val="Tabletext"/>
            </w:pPr>
            <w:r w:rsidRPr="005E4819">
              <w:t>0</w:t>
            </w:r>
            <w:r w:rsidR="00D7157D">
              <w:t>.</w:t>
            </w:r>
            <w:r w:rsidRPr="005E4819">
              <w:t>1233</w:t>
            </w:r>
          </w:p>
        </w:tc>
      </w:tr>
      <w:tr w:rsidR="00FD658D" w:rsidRPr="005E4819" w14:paraId="52532C64" w14:textId="77777777" w:rsidTr="00F160E0">
        <w:trPr>
          <w:cantSplit/>
        </w:trPr>
        <w:tc>
          <w:tcPr>
            <w:tcW w:w="1136" w:type="pct"/>
            <w:tcBorders>
              <w:top w:val="single" w:sz="4" w:space="0" w:color="auto"/>
              <w:bottom w:val="single" w:sz="4" w:space="0" w:color="auto"/>
            </w:tcBorders>
          </w:tcPr>
          <w:p w14:paraId="20DAB2A5" w14:textId="77777777" w:rsidR="00FD658D" w:rsidRPr="005E4819" w:rsidRDefault="00FD658D" w:rsidP="00FD658D">
            <w:pPr>
              <w:pStyle w:val="Tabletext"/>
            </w:pPr>
            <w:r w:rsidRPr="005E4819">
              <w:t>71</w:t>
            </w:r>
          </w:p>
        </w:tc>
        <w:tc>
          <w:tcPr>
            <w:tcW w:w="966" w:type="pct"/>
            <w:tcBorders>
              <w:top w:val="single" w:sz="4" w:space="0" w:color="auto"/>
              <w:bottom w:val="single" w:sz="4" w:space="0" w:color="auto"/>
            </w:tcBorders>
            <w:shd w:val="clear" w:color="auto" w:fill="auto"/>
            <w:vAlign w:val="bottom"/>
          </w:tcPr>
          <w:p w14:paraId="01041D57" w14:textId="77777777" w:rsidR="00FD658D" w:rsidRPr="005E4819" w:rsidRDefault="00FD658D" w:rsidP="005E4819">
            <w:pPr>
              <w:pStyle w:val="Tabletext"/>
            </w:pPr>
            <w:r w:rsidRPr="005E4819">
              <w:t>8</w:t>
            </w:r>
            <w:r w:rsidR="00D7157D">
              <w:t>.</w:t>
            </w:r>
            <w:r w:rsidRPr="005E4819">
              <w:t>6320</w:t>
            </w:r>
          </w:p>
        </w:tc>
        <w:tc>
          <w:tcPr>
            <w:tcW w:w="966" w:type="pct"/>
            <w:tcBorders>
              <w:top w:val="single" w:sz="4" w:space="0" w:color="auto"/>
              <w:bottom w:val="single" w:sz="4" w:space="0" w:color="auto"/>
            </w:tcBorders>
            <w:shd w:val="clear" w:color="auto" w:fill="auto"/>
            <w:vAlign w:val="bottom"/>
          </w:tcPr>
          <w:p w14:paraId="15E64B54" w14:textId="77777777" w:rsidR="00FD658D" w:rsidRPr="005E4819" w:rsidRDefault="00FD658D" w:rsidP="005E4819">
            <w:pPr>
              <w:pStyle w:val="Tabletext"/>
            </w:pPr>
            <w:r w:rsidRPr="005E4819">
              <w:t>0</w:t>
            </w:r>
            <w:r w:rsidR="00D7157D">
              <w:t>.</w:t>
            </w:r>
            <w:r w:rsidRPr="005E4819">
              <w:t>4368</w:t>
            </w:r>
          </w:p>
        </w:tc>
        <w:tc>
          <w:tcPr>
            <w:tcW w:w="966" w:type="pct"/>
            <w:tcBorders>
              <w:top w:val="single" w:sz="4" w:space="0" w:color="auto"/>
              <w:bottom w:val="single" w:sz="4" w:space="0" w:color="auto"/>
            </w:tcBorders>
            <w:shd w:val="clear" w:color="auto" w:fill="auto"/>
            <w:vAlign w:val="bottom"/>
          </w:tcPr>
          <w:p w14:paraId="3EE49C40" w14:textId="77777777" w:rsidR="00FD658D" w:rsidRPr="005E4819" w:rsidRDefault="00FD658D" w:rsidP="005E4819">
            <w:pPr>
              <w:pStyle w:val="Tabletext"/>
            </w:pPr>
            <w:r w:rsidRPr="005E4819">
              <w:t>9</w:t>
            </w:r>
            <w:r w:rsidR="00D7157D">
              <w:t>.</w:t>
            </w:r>
            <w:r w:rsidRPr="005E4819">
              <w:t>4356</w:t>
            </w:r>
          </w:p>
        </w:tc>
        <w:tc>
          <w:tcPr>
            <w:tcW w:w="966" w:type="pct"/>
            <w:tcBorders>
              <w:top w:val="single" w:sz="4" w:space="0" w:color="auto"/>
              <w:bottom w:val="single" w:sz="4" w:space="0" w:color="auto"/>
              <w:right w:val="nil"/>
            </w:tcBorders>
            <w:shd w:val="clear" w:color="auto" w:fill="auto"/>
            <w:vAlign w:val="bottom"/>
          </w:tcPr>
          <w:p w14:paraId="634B1435" w14:textId="77777777" w:rsidR="00FD658D" w:rsidRPr="005E4819" w:rsidRDefault="00FD658D" w:rsidP="005E4819">
            <w:pPr>
              <w:pStyle w:val="Tabletext"/>
            </w:pPr>
            <w:r w:rsidRPr="005E4819">
              <w:t>0</w:t>
            </w:r>
            <w:r w:rsidR="00D7157D">
              <w:t>.</w:t>
            </w:r>
            <w:r w:rsidRPr="005E4819">
              <w:t>1245</w:t>
            </w:r>
          </w:p>
        </w:tc>
      </w:tr>
      <w:tr w:rsidR="00FD658D" w:rsidRPr="005E4819" w14:paraId="14A5C7BF" w14:textId="77777777" w:rsidTr="00F160E0">
        <w:trPr>
          <w:cantSplit/>
        </w:trPr>
        <w:tc>
          <w:tcPr>
            <w:tcW w:w="1136" w:type="pct"/>
            <w:tcBorders>
              <w:top w:val="single" w:sz="4" w:space="0" w:color="auto"/>
              <w:bottom w:val="single" w:sz="4" w:space="0" w:color="auto"/>
            </w:tcBorders>
          </w:tcPr>
          <w:p w14:paraId="5BDACAD3" w14:textId="77777777" w:rsidR="00FD658D" w:rsidRPr="005E4819" w:rsidRDefault="00FD658D" w:rsidP="00FD658D">
            <w:pPr>
              <w:pStyle w:val="Tabletext"/>
            </w:pPr>
            <w:r w:rsidRPr="005E4819">
              <w:t>72</w:t>
            </w:r>
          </w:p>
        </w:tc>
        <w:tc>
          <w:tcPr>
            <w:tcW w:w="966" w:type="pct"/>
            <w:tcBorders>
              <w:top w:val="single" w:sz="4" w:space="0" w:color="auto"/>
              <w:bottom w:val="single" w:sz="4" w:space="0" w:color="auto"/>
            </w:tcBorders>
            <w:shd w:val="clear" w:color="auto" w:fill="auto"/>
            <w:vAlign w:val="bottom"/>
          </w:tcPr>
          <w:p w14:paraId="73A3D9F7" w14:textId="77777777" w:rsidR="00FD658D" w:rsidRPr="005E4819" w:rsidRDefault="00FD658D" w:rsidP="005E4819">
            <w:pPr>
              <w:pStyle w:val="Tabletext"/>
            </w:pPr>
            <w:r w:rsidRPr="005E4819">
              <w:t>8</w:t>
            </w:r>
            <w:r w:rsidR="00D7157D">
              <w:t>.</w:t>
            </w:r>
            <w:r w:rsidRPr="005E4819">
              <w:t>3497</w:t>
            </w:r>
          </w:p>
        </w:tc>
        <w:tc>
          <w:tcPr>
            <w:tcW w:w="966" w:type="pct"/>
            <w:tcBorders>
              <w:top w:val="single" w:sz="4" w:space="0" w:color="auto"/>
              <w:bottom w:val="single" w:sz="4" w:space="0" w:color="auto"/>
            </w:tcBorders>
            <w:shd w:val="clear" w:color="auto" w:fill="auto"/>
            <w:vAlign w:val="bottom"/>
          </w:tcPr>
          <w:p w14:paraId="6FEDC659" w14:textId="77777777" w:rsidR="00FD658D" w:rsidRPr="005E4819" w:rsidRDefault="00FD658D" w:rsidP="005E4819">
            <w:pPr>
              <w:pStyle w:val="Tabletext"/>
            </w:pPr>
            <w:r w:rsidRPr="005E4819">
              <w:t>0</w:t>
            </w:r>
            <w:r w:rsidR="00D7157D">
              <w:t>.</w:t>
            </w:r>
            <w:r w:rsidRPr="005E4819">
              <w:t>4417</w:t>
            </w:r>
          </w:p>
        </w:tc>
        <w:tc>
          <w:tcPr>
            <w:tcW w:w="966" w:type="pct"/>
            <w:tcBorders>
              <w:top w:val="single" w:sz="4" w:space="0" w:color="auto"/>
              <w:bottom w:val="single" w:sz="4" w:space="0" w:color="auto"/>
            </w:tcBorders>
            <w:shd w:val="clear" w:color="auto" w:fill="auto"/>
            <w:vAlign w:val="bottom"/>
          </w:tcPr>
          <w:p w14:paraId="0FDF3AA6" w14:textId="77777777" w:rsidR="00FD658D" w:rsidRPr="005E4819" w:rsidRDefault="00FD658D" w:rsidP="005E4819">
            <w:pPr>
              <w:pStyle w:val="Tabletext"/>
            </w:pPr>
            <w:r w:rsidRPr="005E4819">
              <w:t>9</w:t>
            </w:r>
            <w:r w:rsidR="00D7157D">
              <w:t>.</w:t>
            </w:r>
            <w:r w:rsidRPr="005E4819">
              <w:t>1382</w:t>
            </w:r>
          </w:p>
        </w:tc>
        <w:tc>
          <w:tcPr>
            <w:tcW w:w="966" w:type="pct"/>
            <w:tcBorders>
              <w:top w:val="single" w:sz="4" w:space="0" w:color="auto"/>
              <w:bottom w:val="single" w:sz="4" w:space="0" w:color="auto"/>
              <w:right w:val="nil"/>
            </w:tcBorders>
            <w:shd w:val="clear" w:color="auto" w:fill="auto"/>
            <w:vAlign w:val="bottom"/>
          </w:tcPr>
          <w:p w14:paraId="01D99E97" w14:textId="77777777" w:rsidR="00FD658D" w:rsidRPr="005E4819" w:rsidRDefault="00FD658D" w:rsidP="005E4819">
            <w:pPr>
              <w:pStyle w:val="Tabletext"/>
            </w:pPr>
            <w:r w:rsidRPr="005E4819">
              <w:t>0</w:t>
            </w:r>
            <w:r w:rsidR="00D7157D">
              <w:t>.</w:t>
            </w:r>
            <w:r w:rsidRPr="005E4819">
              <w:t>1255</w:t>
            </w:r>
          </w:p>
        </w:tc>
      </w:tr>
      <w:tr w:rsidR="00FD658D" w:rsidRPr="005E4819" w14:paraId="63F4EC79" w14:textId="77777777" w:rsidTr="00F160E0">
        <w:trPr>
          <w:cantSplit/>
        </w:trPr>
        <w:tc>
          <w:tcPr>
            <w:tcW w:w="1136" w:type="pct"/>
            <w:tcBorders>
              <w:top w:val="single" w:sz="4" w:space="0" w:color="auto"/>
              <w:bottom w:val="single" w:sz="4" w:space="0" w:color="auto"/>
            </w:tcBorders>
          </w:tcPr>
          <w:p w14:paraId="36ECA968" w14:textId="77777777" w:rsidR="00FD658D" w:rsidRPr="005E4819" w:rsidRDefault="00FD658D" w:rsidP="00FD658D">
            <w:pPr>
              <w:pStyle w:val="Tabletext"/>
            </w:pPr>
            <w:r w:rsidRPr="005E4819">
              <w:t>73</w:t>
            </w:r>
          </w:p>
        </w:tc>
        <w:tc>
          <w:tcPr>
            <w:tcW w:w="966" w:type="pct"/>
            <w:tcBorders>
              <w:top w:val="single" w:sz="4" w:space="0" w:color="auto"/>
              <w:bottom w:val="single" w:sz="4" w:space="0" w:color="auto"/>
            </w:tcBorders>
            <w:shd w:val="clear" w:color="auto" w:fill="auto"/>
            <w:vAlign w:val="bottom"/>
          </w:tcPr>
          <w:p w14:paraId="302BBC0C" w14:textId="77777777" w:rsidR="00FD658D" w:rsidRPr="005E4819" w:rsidRDefault="00FD658D" w:rsidP="005E4819">
            <w:pPr>
              <w:pStyle w:val="Tabletext"/>
            </w:pPr>
            <w:r w:rsidRPr="005E4819">
              <w:t>8</w:t>
            </w:r>
            <w:r w:rsidR="00D7157D">
              <w:t>.</w:t>
            </w:r>
            <w:r w:rsidRPr="005E4819">
              <w:t>0633</w:t>
            </w:r>
          </w:p>
        </w:tc>
        <w:tc>
          <w:tcPr>
            <w:tcW w:w="966" w:type="pct"/>
            <w:tcBorders>
              <w:top w:val="single" w:sz="4" w:space="0" w:color="auto"/>
              <w:bottom w:val="single" w:sz="4" w:space="0" w:color="auto"/>
            </w:tcBorders>
            <w:shd w:val="clear" w:color="auto" w:fill="auto"/>
            <w:vAlign w:val="bottom"/>
          </w:tcPr>
          <w:p w14:paraId="18D9D3DB" w14:textId="77777777" w:rsidR="00FD658D" w:rsidRPr="005E4819" w:rsidRDefault="00FD658D" w:rsidP="005E4819">
            <w:pPr>
              <w:pStyle w:val="Tabletext"/>
            </w:pPr>
            <w:r w:rsidRPr="005E4819">
              <w:t>0</w:t>
            </w:r>
            <w:r w:rsidR="00D7157D">
              <w:t>.</w:t>
            </w:r>
            <w:r w:rsidRPr="005E4819">
              <w:t>4458</w:t>
            </w:r>
          </w:p>
        </w:tc>
        <w:tc>
          <w:tcPr>
            <w:tcW w:w="966" w:type="pct"/>
            <w:tcBorders>
              <w:top w:val="single" w:sz="4" w:space="0" w:color="auto"/>
              <w:bottom w:val="single" w:sz="4" w:space="0" w:color="auto"/>
            </w:tcBorders>
            <w:shd w:val="clear" w:color="auto" w:fill="auto"/>
            <w:vAlign w:val="bottom"/>
          </w:tcPr>
          <w:p w14:paraId="77A13493" w14:textId="77777777" w:rsidR="00FD658D" w:rsidRPr="005E4819" w:rsidRDefault="00FD658D" w:rsidP="005E4819">
            <w:pPr>
              <w:pStyle w:val="Tabletext"/>
            </w:pPr>
            <w:r w:rsidRPr="005E4819">
              <w:t>8</w:t>
            </w:r>
            <w:r w:rsidR="00D7157D">
              <w:t>.</w:t>
            </w:r>
            <w:r w:rsidRPr="005E4819">
              <w:t>8354</w:t>
            </w:r>
          </w:p>
        </w:tc>
        <w:tc>
          <w:tcPr>
            <w:tcW w:w="966" w:type="pct"/>
            <w:tcBorders>
              <w:top w:val="single" w:sz="4" w:space="0" w:color="auto"/>
              <w:bottom w:val="single" w:sz="4" w:space="0" w:color="auto"/>
              <w:right w:val="nil"/>
            </w:tcBorders>
            <w:shd w:val="clear" w:color="auto" w:fill="auto"/>
            <w:vAlign w:val="bottom"/>
          </w:tcPr>
          <w:p w14:paraId="7E6AD832" w14:textId="77777777" w:rsidR="00FD658D" w:rsidRPr="005E4819" w:rsidRDefault="00FD658D" w:rsidP="005E4819">
            <w:pPr>
              <w:pStyle w:val="Tabletext"/>
            </w:pPr>
            <w:r w:rsidRPr="005E4819">
              <w:t>0</w:t>
            </w:r>
            <w:r w:rsidR="00D7157D">
              <w:t>.</w:t>
            </w:r>
            <w:r w:rsidRPr="005E4819">
              <w:t>1263</w:t>
            </w:r>
          </w:p>
        </w:tc>
      </w:tr>
      <w:tr w:rsidR="00FD658D" w:rsidRPr="005E4819" w14:paraId="1DBB0FD6" w14:textId="77777777" w:rsidTr="00F160E0">
        <w:trPr>
          <w:cantSplit/>
        </w:trPr>
        <w:tc>
          <w:tcPr>
            <w:tcW w:w="1136" w:type="pct"/>
            <w:tcBorders>
              <w:top w:val="single" w:sz="4" w:space="0" w:color="auto"/>
              <w:bottom w:val="single" w:sz="4" w:space="0" w:color="auto"/>
            </w:tcBorders>
          </w:tcPr>
          <w:p w14:paraId="4620D6F7" w14:textId="77777777" w:rsidR="00FD658D" w:rsidRPr="005E4819" w:rsidRDefault="00FD658D" w:rsidP="00FD658D">
            <w:pPr>
              <w:pStyle w:val="Tabletext"/>
            </w:pPr>
            <w:r w:rsidRPr="005E4819">
              <w:t>74</w:t>
            </w:r>
          </w:p>
        </w:tc>
        <w:tc>
          <w:tcPr>
            <w:tcW w:w="966" w:type="pct"/>
            <w:tcBorders>
              <w:top w:val="single" w:sz="4" w:space="0" w:color="auto"/>
              <w:bottom w:val="single" w:sz="4" w:space="0" w:color="auto"/>
            </w:tcBorders>
            <w:shd w:val="clear" w:color="auto" w:fill="auto"/>
            <w:vAlign w:val="bottom"/>
          </w:tcPr>
          <w:p w14:paraId="74E3A8FB" w14:textId="77777777" w:rsidR="00FD658D" w:rsidRPr="005E4819" w:rsidRDefault="00FD658D" w:rsidP="005E4819">
            <w:pPr>
              <w:pStyle w:val="Tabletext"/>
            </w:pPr>
            <w:r w:rsidRPr="005E4819">
              <w:t>7</w:t>
            </w:r>
            <w:r w:rsidR="00D7157D">
              <w:t>.</w:t>
            </w:r>
            <w:r w:rsidRPr="005E4819">
              <w:t>7732</w:t>
            </w:r>
          </w:p>
        </w:tc>
        <w:tc>
          <w:tcPr>
            <w:tcW w:w="966" w:type="pct"/>
            <w:tcBorders>
              <w:top w:val="single" w:sz="4" w:space="0" w:color="auto"/>
              <w:bottom w:val="single" w:sz="4" w:space="0" w:color="auto"/>
            </w:tcBorders>
            <w:shd w:val="clear" w:color="auto" w:fill="auto"/>
            <w:vAlign w:val="bottom"/>
          </w:tcPr>
          <w:p w14:paraId="5CD68A8F" w14:textId="77777777" w:rsidR="00FD658D" w:rsidRPr="005E4819" w:rsidRDefault="00FD658D" w:rsidP="005E4819">
            <w:pPr>
              <w:pStyle w:val="Tabletext"/>
            </w:pPr>
            <w:r w:rsidRPr="005E4819">
              <w:t>0</w:t>
            </w:r>
            <w:r w:rsidR="00D7157D">
              <w:t>.</w:t>
            </w:r>
            <w:r w:rsidRPr="005E4819">
              <w:t>4492</w:t>
            </w:r>
          </w:p>
        </w:tc>
        <w:tc>
          <w:tcPr>
            <w:tcW w:w="966" w:type="pct"/>
            <w:tcBorders>
              <w:top w:val="single" w:sz="4" w:space="0" w:color="auto"/>
              <w:bottom w:val="single" w:sz="4" w:space="0" w:color="auto"/>
            </w:tcBorders>
            <w:shd w:val="clear" w:color="auto" w:fill="auto"/>
            <w:vAlign w:val="bottom"/>
          </w:tcPr>
          <w:p w14:paraId="2D8E8703" w14:textId="77777777" w:rsidR="00FD658D" w:rsidRPr="005E4819" w:rsidRDefault="00FD658D" w:rsidP="005E4819">
            <w:pPr>
              <w:pStyle w:val="Tabletext"/>
            </w:pPr>
            <w:r w:rsidRPr="005E4819">
              <w:t>8</w:t>
            </w:r>
            <w:r w:rsidR="00D7157D">
              <w:t>.</w:t>
            </w:r>
            <w:r w:rsidRPr="005E4819">
              <w:t>5277</w:t>
            </w:r>
          </w:p>
        </w:tc>
        <w:tc>
          <w:tcPr>
            <w:tcW w:w="966" w:type="pct"/>
            <w:tcBorders>
              <w:top w:val="single" w:sz="4" w:space="0" w:color="auto"/>
              <w:bottom w:val="single" w:sz="4" w:space="0" w:color="auto"/>
              <w:right w:val="nil"/>
            </w:tcBorders>
            <w:shd w:val="clear" w:color="auto" w:fill="auto"/>
            <w:vAlign w:val="bottom"/>
          </w:tcPr>
          <w:p w14:paraId="4FDE499E" w14:textId="77777777" w:rsidR="00FD658D" w:rsidRPr="005E4819" w:rsidRDefault="00FD658D" w:rsidP="005E4819">
            <w:pPr>
              <w:pStyle w:val="Tabletext"/>
            </w:pPr>
            <w:r w:rsidRPr="005E4819">
              <w:t>0</w:t>
            </w:r>
            <w:r w:rsidR="00D7157D">
              <w:t>.</w:t>
            </w:r>
            <w:r w:rsidRPr="005E4819">
              <w:t>1268</w:t>
            </w:r>
          </w:p>
        </w:tc>
      </w:tr>
      <w:tr w:rsidR="00FD658D" w:rsidRPr="005E4819" w14:paraId="189DD19F" w14:textId="77777777" w:rsidTr="00F160E0">
        <w:trPr>
          <w:cantSplit/>
        </w:trPr>
        <w:tc>
          <w:tcPr>
            <w:tcW w:w="1136" w:type="pct"/>
            <w:tcBorders>
              <w:top w:val="single" w:sz="4" w:space="0" w:color="auto"/>
              <w:bottom w:val="single" w:sz="4" w:space="0" w:color="auto"/>
            </w:tcBorders>
          </w:tcPr>
          <w:p w14:paraId="2C5B4BA0" w14:textId="77777777" w:rsidR="00FD658D" w:rsidRPr="005E4819" w:rsidRDefault="00FD658D" w:rsidP="00FD658D">
            <w:pPr>
              <w:pStyle w:val="Tabletext"/>
            </w:pPr>
            <w:r w:rsidRPr="005E4819">
              <w:t>75</w:t>
            </w:r>
          </w:p>
        </w:tc>
        <w:tc>
          <w:tcPr>
            <w:tcW w:w="966" w:type="pct"/>
            <w:tcBorders>
              <w:top w:val="single" w:sz="4" w:space="0" w:color="auto"/>
              <w:bottom w:val="single" w:sz="4" w:space="0" w:color="auto"/>
            </w:tcBorders>
            <w:shd w:val="clear" w:color="auto" w:fill="auto"/>
            <w:vAlign w:val="bottom"/>
          </w:tcPr>
          <w:p w14:paraId="45710C85" w14:textId="77777777" w:rsidR="00FD658D" w:rsidRPr="005E4819" w:rsidRDefault="00FD658D" w:rsidP="005E4819">
            <w:pPr>
              <w:pStyle w:val="Tabletext"/>
            </w:pPr>
            <w:r w:rsidRPr="005E4819">
              <w:t>7</w:t>
            </w:r>
            <w:r w:rsidR="00D7157D">
              <w:t>.</w:t>
            </w:r>
            <w:r w:rsidRPr="005E4819">
              <w:t>4795</w:t>
            </w:r>
          </w:p>
        </w:tc>
        <w:tc>
          <w:tcPr>
            <w:tcW w:w="966" w:type="pct"/>
            <w:tcBorders>
              <w:top w:val="single" w:sz="4" w:space="0" w:color="auto"/>
              <w:bottom w:val="single" w:sz="4" w:space="0" w:color="auto"/>
            </w:tcBorders>
            <w:shd w:val="clear" w:color="auto" w:fill="auto"/>
            <w:vAlign w:val="bottom"/>
          </w:tcPr>
          <w:p w14:paraId="1CFA2A87" w14:textId="77777777" w:rsidR="00FD658D" w:rsidRPr="005E4819" w:rsidRDefault="00FD658D" w:rsidP="005E4819">
            <w:pPr>
              <w:pStyle w:val="Tabletext"/>
            </w:pPr>
            <w:r w:rsidRPr="005E4819">
              <w:t>0</w:t>
            </w:r>
            <w:r w:rsidR="00D7157D">
              <w:t>.</w:t>
            </w:r>
            <w:r w:rsidRPr="005E4819">
              <w:t>4518</w:t>
            </w:r>
          </w:p>
        </w:tc>
        <w:tc>
          <w:tcPr>
            <w:tcW w:w="966" w:type="pct"/>
            <w:tcBorders>
              <w:top w:val="single" w:sz="4" w:space="0" w:color="auto"/>
              <w:bottom w:val="single" w:sz="4" w:space="0" w:color="auto"/>
            </w:tcBorders>
            <w:shd w:val="clear" w:color="auto" w:fill="auto"/>
            <w:vAlign w:val="bottom"/>
          </w:tcPr>
          <w:p w14:paraId="443E3936" w14:textId="77777777" w:rsidR="00FD658D" w:rsidRPr="005E4819" w:rsidRDefault="00FD658D" w:rsidP="005E4819">
            <w:pPr>
              <w:pStyle w:val="Tabletext"/>
            </w:pPr>
            <w:r w:rsidRPr="005E4819">
              <w:t>8</w:t>
            </w:r>
            <w:r w:rsidR="00D7157D">
              <w:t>.</w:t>
            </w:r>
            <w:r w:rsidRPr="005E4819">
              <w:t>2146</w:t>
            </w:r>
          </w:p>
        </w:tc>
        <w:tc>
          <w:tcPr>
            <w:tcW w:w="966" w:type="pct"/>
            <w:tcBorders>
              <w:top w:val="single" w:sz="4" w:space="0" w:color="auto"/>
              <w:bottom w:val="single" w:sz="4" w:space="0" w:color="auto"/>
              <w:right w:val="nil"/>
            </w:tcBorders>
            <w:shd w:val="clear" w:color="auto" w:fill="auto"/>
            <w:vAlign w:val="bottom"/>
          </w:tcPr>
          <w:p w14:paraId="2225A0FD" w14:textId="77777777" w:rsidR="00FD658D" w:rsidRPr="005E4819" w:rsidRDefault="00FD658D" w:rsidP="005E4819">
            <w:pPr>
              <w:pStyle w:val="Tabletext"/>
            </w:pPr>
            <w:r w:rsidRPr="005E4819">
              <w:t>0</w:t>
            </w:r>
            <w:r w:rsidR="00D7157D">
              <w:t>.</w:t>
            </w:r>
            <w:r w:rsidRPr="005E4819">
              <w:t>1271</w:t>
            </w:r>
          </w:p>
        </w:tc>
      </w:tr>
      <w:tr w:rsidR="00FD658D" w:rsidRPr="005E4819" w14:paraId="58B8F0D2" w14:textId="77777777" w:rsidTr="00F160E0">
        <w:trPr>
          <w:cantSplit/>
        </w:trPr>
        <w:tc>
          <w:tcPr>
            <w:tcW w:w="1136" w:type="pct"/>
            <w:tcBorders>
              <w:top w:val="single" w:sz="4" w:space="0" w:color="auto"/>
              <w:bottom w:val="single" w:sz="4" w:space="0" w:color="auto"/>
            </w:tcBorders>
          </w:tcPr>
          <w:p w14:paraId="797F6DB7" w14:textId="77777777" w:rsidR="00FD658D" w:rsidRPr="005E4819" w:rsidRDefault="00FD658D" w:rsidP="00FD658D">
            <w:pPr>
              <w:pStyle w:val="Tabletext"/>
            </w:pPr>
            <w:r w:rsidRPr="005E4819">
              <w:t>76</w:t>
            </w:r>
          </w:p>
        </w:tc>
        <w:tc>
          <w:tcPr>
            <w:tcW w:w="966" w:type="pct"/>
            <w:tcBorders>
              <w:top w:val="single" w:sz="4" w:space="0" w:color="auto"/>
              <w:bottom w:val="single" w:sz="4" w:space="0" w:color="auto"/>
            </w:tcBorders>
            <w:shd w:val="clear" w:color="auto" w:fill="auto"/>
            <w:vAlign w:val="bottom"/>
          </w:tcPr>
          <w:p w14:paraId="28A10516" w14:textId="77777777" w:rsidR="00FD658D" w:rsidRPr="005E4819" w:rsidRDefault="00FD658D" w:rsidP="005E4819">
            <w:pPr>
              <w:pStyle w:val="Tabletext"/>
            </w:pPr>
            <w:r w:rsidRPr="005E4819">
              <w:t>7</w:t>
            </w:r>
            <w:r w:rsidR="00D7157D">
              <w:t>.</w:t>
            </w:r>
            <w:r w:rsidRPr="005E4819">
              <w:t>1822</w:t>
            </w:r>
          </w:p>
        </w:tc>
        <w:tc>
          <w:tcPr>
            <w:tcW w:w="966" w:type="pct"/>
            <w:tcBorders>
              <w:top w:val="single" w:sz="4" w:space="0" w:color="auto"/>
              <w:bottom w:val="single" w:sz="4" w:space="0" w:color="auto"/>
            </w:tcBorders>
            <w:shd w:val="clear" w:color="auto" w:fill="auto"/>
            <w:vAlign w:val="bottom"/>
          </w:tcPr>
          <w:p w14:paraId="444CDD5B" w14:textId="77777777" w:rsidR="00FD658D" w:rsidRPr="005E4819" w:rsidRDefault="00FD658D" w:rsidP="005E4819">
            <w:pPr>
              <w:pStyle w:val="Tabletext"/>
            </w:pPr>
            <w:r w:rsidRPr="005E4819">
              <w:t>0</w:t>
            </w:r>
            <w:r w:rsidR="00D7157D">
              <w:t>.</w:t>
            </w:r>
            <w:r w:rsidRPr="005E4819">
              <w:t>4535</w:t>
            </w:r>
          </w:p>
        </w:tc>
        <w:tc>
          <w:tcPr>
            <w:tcW w:w="966" w:type="pct"/>
            <w:tcBorders>
              <w:top w:val="single" w:sz="4" w:space="0" w:color="auto"/>
              <w:bottom w:val="single" w:sz="4" w:space="0" w:color="auto"/>
            </w:tcBorders>
            <w:shd w:val="clear" w:color="auto" w:fill="auto"/>
            <w:vAlign w:val="bottom"/>
          </w:tcPr>
          <w:p w14:paraId="53D4C705" w14:textId="77777777" w:rsidR="00FD658D" w:rsidRPr="005E4819" w:rsidRDefault="00FD658D" w:rsidP="005E4819">
            <w:pPr>
              <w:pStyle w:val="Tabletext"/>
            </w:pPr>
            <w:r w:rsidRPr="005E4819">
              <w:t>7</w:t>
            </w:r>
            <w:r w:rsidR="00D7157D">
              <w:t>.</w:t>
            </w:r>
            <w:r w:rsidRPr="005E4819">
              <w:t>8960</w:t>
            </w:r>
          </w:p>
        </w:tc>
        <w:tc>
          <w:tcPr>
            <w:tcW w:w="966" w:type="pct"/>
            <w:tcBorders>
              <w:top w:val="single" w:sz="4" w:space="0" w:color="auto"/>
              <w:bottom w:val="single" w:sz="4" w:space="0" w:color="auto"/>
              <w:right w:val="nil"/>
            </w:tcBorders>
            <w:shd w:val="clear" w:color="auto" w:fill="auto"/>
            <w:vAlign w:val="bottom"/>
          </w:tcPr>
          <w:p w14:paraId="24E3F84A" w14:textId="77777777" w:rsidR="00FD658D" w:rsidRPr="005E4819" w:rsidRDefault="00FD658D" w:rsidP="005E4819">
            <w:pPr>
              <w:pStyle w:val="Tabletext"/>
            </w:pPr>
            <w:r w:rsidRPr="005E4819">
              <w:t>0</w:t>
            </w:r>
            <w:r w:rsidR="00D7157D">
              <w:t>.</w:t>
            </w:r>
            <w:r w:rsidRPr="005E4819">
              <w:t>1272</w:t>
            </w:r>
          </w:p>
        </w:tc>
      </w:tr>
      <w:tr w:rsidR="00FD658D" w:rsidRPr="005E4819" w14:paraId="423CC10A" w14:textId="77777777" w:rsidTr="00F160E0">
        <w:trPr>
          <w:cantSplit/>
        </w:trPr>
        <w:tc>
          <w:tcPr>
            <w:tcW w:w="1136" w:type="pct"/>
            <w:tcBorders>
              <w:top w:val="single" w:sz="4" w:space="0" w:color="auto"/>
              <w:bottom w:val="single" w:sz="4" w:space="0" w:color="auto"/>
            </w:tcBorders>
          </w:tcPr>
          <w:p w14:paraId="49FB7C22" w14:textId="77777777" w:rsidR="00FD658D" w:rsidRPr="005E4819" w:rsidRDefault="00FD658D" w:rsidP="00FD658D">
            <w:pPr>
              <w:pStyle w:val="Tabletext"/>
            </w:pPr>
            <w:r w:rsidRPr="005E4819">
              <w:t>77</w:t>
            </w:r>
          </w:p>
        </w:tc>
        <w:tc>
          <w:tcPr>
            <w:tcW w:w="966" w:type="pct"/>
            <w:tcBorders>
              <w:top w:val="single" w:sz="4" w:space="0" w:color="auto"/>
              <w:bottom w:val="single" w:sz="4" w:space="0" w:color="auto"/>
            </w:tcBorders>
            <w:shd w:val="clear" w:color="auto" w:fill="auto"/>
            <w:vAlign w:val="bottom"/>
          </w:tcPr>
          <w:p w14:paraId="4FD60801" w14:textId="77777777" w:rsidR="00FD658D" w:rsidRPr="005E4819" w:rsidRDefault="00FD658D" w:rsidP="005E4819">
            <w:pPr>
              <w:pStyle w:val="Tabletext"/>
            </w:pPr>
            <w:r w:rsidRPr="005E4819">
              <w:t>6</w:t>
            </w:r>
            <w:r w:rsidR="00D7157D">
              <w:t>.</w:t>
            </w:r>
            <w:r w:rsidRPr="005E4819">
              <w:t>8820</w:t>
            </w:r>
          </w:p>
        </w:tc>
        <w:tc>
          <w:tcPr>
            <w:tcW w:w="966" w:type="pct"/>
            <w:tcBorders>
              <w:top w:val="single" w:sz="4" w:space="0" w:color="auto"/>
              <w:bottom w:val="single" w:sz="4" w:space="0" w:color="auto"/>
            </w:tcBorders>
            <w:shd w:val="clear" w:color="auto" w:fill="auto"/>
            <w:vAlign w:val="bottom"/>
          </w:tcPr>
          <w:p w14:paraId="60FDFE87" w14:textId="77777777" w:rsidR="00FD658D" w:rsidRPr="005E4819" w:rsidRDefault="00FD658D" w:rsidP="005E4819">
            <w:pPr>
              <w:pStyle w:val="Tabletext"/>
            </w:pPr>
            <w:r w:rsidRPr="005E4819">
              <w:t>0</w:t>
            </w:r>
            <w:r w:rsidR="00D7157D">
              <w:t>.</w:t>
            </w:r>
            <w:r w:rsidRPr="005E4819">
              <w:t>4545</w:t>
            </w:r>
          </w:p>
        </w:tc>
        <w:tc>
          <w:tcPr>
            <w:tcW w:w="966" w:type="pct"/>
            <w:tcBorders>
              <w:top w:val="single" w:sz="4" w:space="0" w:color="auto"/>
              <w:bottom w:val="single" w:sz="4" w:space="0" w:color="auto"/>
            </w:tcBorders>
            <w:shd w:val="clear" w:color="auto" w:fill="auto"/>
            <w:vAlign w:val="bottom"/>
          </w:tcPr>
          <w:p w14:paraId="0B1A7E07" w14:textId="77777777" w:rsidR="00FD658D" w:rsidRPr="005E4819" w:rsidRDefault="00FD658D" w:rsidP="005E4819">
            <w:pPr>
              <w:pStyle w:val="Tabletext"/>
            </w:pPr>
            <w:r w:rsidRPr="005E4819">
              <w:t>7</w:t>
            </w:r>
            <w:r w:rsidR="00D7157D">
              <w:t>.</w:t>
            </w:r>
            <w:r w:rsidRPr="005E4819">
              <w:t>5731</w:t>
            </w:r>
          </w:p>
        </w:tc>
        <w:tc>
          <w:tcPr>
            <w:tcW w:w="966" w:type="pct"/>
            <w:tcBorders>
              <w:top w:val="single" w:sz="4" w:space="0" w:color="auto"/>
              <w:bottom w:val="single" w:sz="4" w:space="0" w:color="auto"/>
              <w:right w:val="nil"/>
            </w:tcBorders>
            <w:shd w:val="clear" w:color="auto" w:fill="auto"/>
            <w:vAlign w:val="bottom"/>
          </w:tcPr>
          <w:p w14:paraId="1261851F" w14:textId="77777777" w:rsidR="00FD658D" w:rsidRPr="005E4819" w:rsidRDefault="00FD658D" w:rsidP="005E4819">
            <w:pPr>
              <w:pStyle w:val="Tabletext"/>
            </w:pPr>
            <w:r w:rsidRPr="005E4819">
              <w:t>0</w:t>
            </w:r>
            <w:r w:rsidR="00D7157D">
              <w:t>.</w:t>
            </w:r>
            <w:r w:rsidRPr="005E4819">
              <w:t>1270</w:t>
            </w:r>
          </w:p>
        </w:tc>
      </w:tr>
      <w:tr w:rsidR="00FD658D" w:rsidRPr="005E4819" w14:paraId="2D5605C8" w14:textId="77777777" w:rsidTr="00F160E0">
        <w:trPr>
          <w:cantSplit/>
        </w:trPr>
        <w:tc>
          <w:tcPr>
            <w:tcW w:w="1136" w:type="pct"/>
            <w:tcBorders>
              <w:top w:val="single" w:sz="4" w:space="0" w:color="auto"/>
              <w:bottom w:val="single" w:sz="4" w:space="0" w:color="auto"/>
            </w:tcBorders>
          </w:tcPr>
          <w:p w14:paraId="2FC6811D" w14:textId="77777777" w:rsidR="00FD658D" w:rsidRPr="005E4819" w:rsidRDefault="00FD658D" w:rsidP="00FD658D">
            <w:pPr>
              <w:pStyle w:val="Tabletext"/>
            </w:pPr>
            <w:r w:rsidRPr="005E4819">
              <w:t>78</w:t>
            </w:r>
          </w:p>
        </w:tc>
        <w:tc>
          <w:tcPr>
            <w:tcW w:w="966" w:type="pct"/>
            <w:tcBorders>
              <w:top w:val="single" w:sz="4" w:space="0" w:color="auto"/>
              <w:bottom w:val="single" w:sz="4" w:space="0" w:color="auto"/>
            </w:tcBorders>
            <w:shd w:val="clear" w:color="auto" w:fill="auto"/>
            <w:vAlign w:val="bottom"/>
          </w:tcPr>
          <w:p w14:paraId="6D53FF43" w14:textId="77777777" w:rsidR="00FD658D" w:rsidRPr="005E4819" w:rsidRDefault="00FD658D" w:rsidP="005E4819">
            <w:pPr>
              <w:pStyle w:val="Tabletext"/>
            </w:pPr>
            <w:r w:rsidRPr="005E4819">
              <w:t>6</w:t>
            </w:r>
            <w:r w:rsidR="00D7157D">
              <w:t>.</w:t>
            </w:r>
            <w:r w:rsidRPr="005E4819">
              <w:t>5797</w:t>
            </w:r>
          </w:p>
        </w:tc>
        <w:tc>
          <w:tcPr>
            <w:tcW w:w="966" w:type="pct"/>
            <w:tcBorders>
              <w:top w:val="single" w:sz="4" w:space="0" w:color="auto"/>
              <w:bottom w:val="single" w:sz="4" w:space="0" w:color="auto"/>
            </w:tcBorders>
            <w:shd w:val="clear" w:color="auto" w:fill="auto"/>
            <w:vAlign w:val="bottom"/>
          </w:tcPr>
          <w:p w14:paraId="4A74A35A" w14:textId="77777777" w:rsidR="00FD658D" w:rsidRPr="005E4819" w:rsidRDefault="00FD658D" w:rsidP="005E4819">
            <w:pPr>
              <w:pStyle w:val="Tabletext"/>
            </w:pPr>
            <w:r w:rsidRPr="005E4819">
              <w:t>0</w:t>
            </w:r>
            <w:r w:rsidR="00D7157D">
              <w:t>.</w:t>
            </w:r>
            <w:r w:rsidRPr="005E4819">
              <w:t>4544</w:t>
            </w:r>
          </w:p>
        </w:tc>
        <w:tc>
          <w:tcPr>
            <w:tcW w:w="966" w:type="pct"/>
            <w:tcBorders>
              <w:top w:val="single" w:sz="4" w:space="0" w:color="auto"/>
              <w:bottom w:val="single" w:sz="4" w:space="0" w:color="auto"/>
            </w:tcBorders>
            <w:shd w:val="clear" w:color="auto" w:fill="auto"/>
            <w:vAlign w:val="bottom"/>
          </w:tcPr>
          <w:p w14:paraId="77AB90D4" w14:textId="77777777" w:rsidR="00FD658D" w:rsidRPr="005E4819" w:rsidRDefault="00FD658D" w:rsidP="005E4819">
            <w:pPr>
              <w:pStyle w:val="Tabletext"/>
            </w:pPr>
            <w:r w:rsidRPr="005E4819">
              <w:t>7</w:t>
            </w:r>
            <w:r w:rsidR="00D7157D">
              <w:t>.</w:t>
            </w:r>
            <w:r w:rsidRPr="005E4819">
              <w:t>2462</w:t>
            </w:r>
          </w:p>
        </w:tc>
        <w:tc>
          <w:tcPr>
            <w:tcW w:w="966" w:type="pct"/>
            <w:tcBorders>
              <w:top w:val="single" w:sz="4" w:space="0" w:color="auto"/>
              <w:bottom w:val="single" w:sz="4" w:space="0" w:color="auto"/>
              <w:right w:val="nil"/>
            </w:tcBorders>
            <w:shd w:val="clear" w:color="auto" w:fill="auto"/>
            <w:vAlign w:val="bottom"/>
          </w:tcPr>
          <w:p w14:paraId="0BE00CC1" w14:textId="77777777" w:rsidR="00FD658D" w:rsidRPr="005E4819" w:rsidRDefault="00FD658D" w:rsidP="005E4819">
            <w:pPr>
              <w:pStyle w:val="Tabletext"/>
            </w:pPr>
            <w:r w:rsidRPr="005E4819">
              <w:t>0</w:t>
            </w:r>
            <w:r w:rsidR="00D7157D">
              <w:t>.</w:t>
            </w:r>
            <w:r w:rsidRPr="005E4819">
              <w:t>1266</w:t>
            </w:r>
          </w:p>
        </w:tc>
      </w:tr>
      <w:tr w:rsidR="00FD658D" w:rsidRPr="005E4819" w14:paraId="621C5EFF" w14:textId="77777777" w:rsidTr="00F160E0">
        <w:trPr>
          <w:cantSplit/>
        </w:trPr>
        <w:tc>
          <w:tcPr>
            <w:tcW w:w="1136" w:type="pct"/>
            <w:tcBorders>
              <w:top w:val="single" w:sz="4" w:space="0" w:color="auto"/>
              <w:bottom w:val="single" w:sz="4" w:space="0" w:color="auto"/>
            </w:tcBorders>
          </w:tcPr>
          <w:p w14:paraId="58288FF0" w14:textId="77777777" w:rsidR="00FD658D" w:rsidRPr="005E4819" w:rsidRDefault="00FD658D" w:rsidP="00FD658D">
            <w:pPr>
              <w:pStyle w:val="Tabletext"/>
            </w:pPr>
            <w:r w:rsidRPr="005E4819">
              <w:t>79</w:t>
            </w:r>
          </w:p>
        </w:tc>
        <w:tc>
          <w:tcPr>
            <w:tcW w:w="966" w:type="pct"/>
            <w:tcBorders>
              <w:top w:val="single" w:sz="4" w:space="0" w:color="auto"/>
              <w:bottom w:val="single" w:sz="4" w:space="0" w:color="auto"/>
            </w:tcBorders>
            <w:shd w:val="clear" w:color="auto" w:fill="auto"/>
            <w:vAlign w:val="bottom"/>
          </w:tcPr>
          <w:p w14:paraId="2726D290" w14:textId="77777777" w:rsidR="00FD658D" w:rsidRPr="005E4819" w:rsidRDefault="00FD658D" w:rsidP="005E4819">
            <w:pPr>
              <w:pStyle w:val="Tabletext"/>
            </w:pPr>
            <w:r w:rsidRPr="005E4819">
              <w:t>6</w:t>
            </w:r>
            <w:r w:rsidR="00D7157D">
              <w:t>.</w:t>
            </w:r>
            <w:r w:rsidRPr="005E4819">
              <w:t>2764</w:t>
            </w:r>
          </w:p>
        </w:tc>
        <w:tc>
          <w:tcPr>
            <w:tcW w:w="966" w:type="pct"/>
            <w:tcBorders>
              <w:top w:val="single" w:sz="4" w:space="0" w:color="auto"/>
              <w:bottom w:val="single" w:sz="4" w:space="0" w:color="auto"/>
            </w:tcBorders>
            <w:shd w:val="clear" w:color="auto" w:fill="auto"/>
            <w:vAlign w:val="bottom"/>
          </w:tcPr>
          <w:p w14:paraId="1768B921" w14:textId="77777777" w:rsidR="00FD658D" w:rsidRPr="005E4819" w:rsidRDefault="00FD658D" w:rsidP="005E4819">
            <w:pPr>
              <w:pStyle w:val="Tabletext"/>
            </w:pPr>
            <w:r w:rsidRPr="005E4819">
              <w:t>0</w:t>
            </w:r>
            <w:r w:rsidR="00D7157D">
              <w:t>.</w:t>
            </w:r>
            <w:r w:rsidRPr="005E4819">
              <w:t>4534</w:t>
            </w:r>
          </w:p>
        </w:tc>
        <w:tc>
          <w:tcPr>
            <w:tcW w:w="966" w:type="pct"/>
            <w:tcBorders>
              <w:top w:val="single" w:sz="4" w:space="0" w:color="auto"/>
              <w:bottom w:val="single" w:sz="4" w:space="0" w:color="auto"/>
            </w:tcBorders>
            <w:shd w:val="clear" w:color="auto" w:fill="auto"/>
            <w:vAlign w:val="bottom"/>
          </w:tcPr>
          <w:p w14:paraId="2792E029" w14:textId="77777777" w:rsidR="00FD658D" w:rsidRPr="005E4819" w:rsidRDefault="00FD658D" w:rsidP="005E4819">
            <w:pPr>
              <w:pStyle w:val="Tabletext"/>
            </w:pPr>
            <w:r w:rsidRPr="005E4819">
              <w:t>6</w:t>
            </w:r>
            <w:r w:rsidR="00D7157D">
              <w:t>.</w:t>
            </w:r>
            <w:r w:rsidRPr="005E4819">
              <w:t>9176</w:t>
            </w:r>
          </w:p>
        </w:tc>
        <w:tc>
          <w:tcPr>
            <w:tcW w:w="966" w:type="pct"/>
            <w:tcBorders>
              <w:top w:val="single" w:sz="4" w:space="0" w:color="auto"/>
              <w:bottom w:val="single" w:sz="4" w:space="0" w:color="auto"/>
              <w:right w:val="nil"/>
            </w:tcBorders>
            <w:shd w:val="clear" w:color="auto" w:fill="auto"/>
            <w:vAlign w:val="bottom"/>
          </w:tcPr>
          <w:p w14:paraId="48AE4F13" w14:textId="77777777" w:rsidR="00FD658D" w:rsidRPr="005E4819" w:rsidRDefault="00FD658D" w:rsidP="005E4819">
            <w:pPr>
              <w:pStyle w:val="Tabletext"/>
            </w:pPr>
            <w:r w:rsidRPr="005E4819">
              <w:t>0</w:t>
            </w:r>
            <w:r w:rsidR="00D7157D">
              <w:t>.</w:t>
            </w:r>
            <w:r w:rsidRPr="005E4819">
              <w:t>1260</w:t>
            </w:r>
          </w:p>
        </w:tc>
      </w:tr>
      <w:tr w:rsidR="00FD658D" w:rsidRPr="005E4819" w14:paraId="54FA1A1A" w14:textId="77777777" w:rsidTr="00F160E0">
        <w:trPr>
          <w:cantSplit/>
        </w:trPr>
        <w:tc>
          <w:tcPr>
            <w:tcW w:w="1136" w:type="pct"/>
            <w:tcBorders>
              <w:top w:val="single" w:sz="4" w:space="0" w:color="auto"/>
              <w:bottom w:val="single" w:sz="4" w:space="0" w:color="auto"/>
            </w:tcBorders>
          </w:tcPr>
          <w:p w14:paraId="75754755" w14:textId="77777777" w:rsidR="00FD658D" w:rsidRPr="005E4819" w:rsidRDefault="00FD658D" w:rsidP="00FD658D">
            <w:pPr>
              <w:pStyle w:val="Tabletext"/>
            </w:pPr>
            <w:r w:rsidRPr="005E4819">
              <w:t>80</w:t>
            </w:r>
          </w:p>
        </w:tc>
        <w:tc>
          <w:tcPr>
            <w:tcW w:w="966" w:type="pct"/>
            <w:tcBorders>
              <w:top w:val="single" w:sz="4" w:space="0" w:color="auto"/>
              <w:bottom w:val="single" w:sz="4" w:space="0" w:color="auto"/>
            </w:tcBorders>
            <w:shd w:val="clear" w:color="auto" w:fill="auto"/>
            <w:vAlign w:val="bottom"/>
          </w:tcPr>
          <w:p w14:paraId="2F3E7AE5" w14:textId="77777777" w:rsidR="00FD658D" w:rsidRPr="005E4819" w:rsidRDefault="00FD658D" w:rsidP="005E4819">
            <w:pPr>
              <w:pStyle w:val="Tabletext"/>
            </w:pPr>
            <w:r w:rsidRPr="005E4819">
              <w:t>5</w:t>
            </w:r>
            <w:r w:rsidR="00D7157D">
              <w:t>.</w:t>
            </w:r>
            <w:r w:rsidRPr="005E4819">
              <w:t>9734</w:t>
            </w:r>
          </w:p>
        </w:tc>
        <w:tc>
          <w:tcPr>
            <w:tcW w:w="966" w:type="pct"/>
            <w:tcBorders>
              <w:top w:val="single" w:sz="4" w:space="0" w:color="auto"/>
              <w:bottom w:val="single" w:sz="4" w:space="0" w:color="auto"/>
            </w:tcBorders>
            <w:shd w:val="clear" w:color="auto" w:fill="auto"/>
            <w:vAlign w:val="bottom"/>
          </w:tcPr>
          <w:p w14:paraId="0AFD7624" w14:textId="77777777" w:rsidR="00FD658D" w:rsidRPr="005E4819" w:rsidRDefault="00FD658D" w:rsidP="005E4819">
            <w:pPr>
              <w:pStyle w:val="Tabletext"/>
            </w:pPr>
            <w:r w:rsidRPr="005E4819">
              <w:t>0</w:t>
            </w:r>
            <w:r w:rsidR="00D7157D">
              <w:t>.</w:t>
            </w:r>
            <w:r w:rsidRPr="005E4819">
              <w:t>4513</w:t>
            </w:r>
          </w:p>
        </w:tc>
        <w:tc>
          <w:tcPr>
            <w:tcW w:w="966" w:type="pct"/>
            <w:tcBorders>
              <w:top w:val="single" w:sz="4" w:space="0" w:color="auto"/>
              <w:bottom w:val="single" w:sz="4" w:space="0" w:color="auto"/>
            </w:tcBorders>
            <w:shd w:val="clear" w:color="auto" w:fill="auto"/>
            <w:vAlign w:val="bottom"/>
          </w:tcPr>
          <w:p w14:paraId="38A9F97A" w14:textId="77777777" w:rsidR="00FD658D" w:rsidRPr="005E4819" w:rsidRDefault="00FD658D" w:rsidP="005E4819">
            <w:pPr>
              <w:pStyle w:val="Tabletext"/>
            </w:pPr>
            <w:r w:rsidRPr="005E4819">
              <w:t>6</w:t>
            </w:r>
            <w:r w:rsidR="00D7157D">
              <w:t>.</w:t>
            </w:r>
            <w:r w:rsidRPr="005E4819">
              <w:t>5877</w:t>
            </w:r>
          </w:p>
        </w:tc>
        <w:tc>
          <w:tcPr>
            <w:tcW w:w="966" w:type="pct"/>
            <w:tcBorders>
              <w:top w:val="single" w:sz="4" w:space="0" w:color="auto"/>
              <w:bottom w:val="single" w:sz="4" w:space="0" w:color="auto"/>
              <w:right w:val="nil"/>
            </w:tcBorders>
            <w:shd w:val="clear" w:color="auto" w:fill="auto"/>
            <w:vAlign w:val="bottom"/>
          </w:tcPr>
          <w:p w14:paraId="6BD49236" w14:textId="77777777" w:rsidR="00FD658D" w:rsidRPr="005E4819" w:rsidRDefault="00FD658D" w:rsidP="005E4819">
            <w:pPr>
              <w:pStyle w:val="Tabletext"/>
            </w:pPr>
            <w:r w:rsidRPr="005E4819">
              <w:t>0</w:t>
            </w:r>
            <w:r w:rsidR="00D7157D">
              <w:t>.</w:t>
            </w:r>
            <w:r w:rsidRPr="005E4819">
              <w:t>1251</w:t>
            </w:r>
          </w:p>
        </w:tc>
      </w:tr>
      <w:tr w:rsidR="00FD658D" w:rsidRPr="005E4819" w14:paraId="187BA5D9" w14:textId="77777777" w:rsidTr="00F160E0">
        <w:trPr>
          <w:cantSplit/>
        </w:trPr>
        <w:tc>
          <w:tcPr>
            <w:tcW w:w="1136" w:type="pct"/>
            <w:tcBorders>
              <w:top w:val="single" w:sz="4" w:space="0" w:color="auto"/>
              <w:bottom w:val="single" w:sz="4" w:space="0" w:color="auto"/>
            </w:tcBorders>
          </w:tcPr>
          <w:p w14:paraId="19C83449" w14:textId="77777777" w:rsidR="00FD658D" w:rsidRPr="005E4819" w:rsidRDefault="00FD658D" w:rsidP="00FD658D">
            <w:pPr>
              <w:pStyle w:val="Tabletext"/>
            </w:pPr>
            <w:r w:rsidRPr="005E4819">
              <w:t>81</w:t>
            </w:r>
          </w:p>
        </w:tc>
        <w:tc>
          <w:tcPr>
            <w:tcW w:w="966" w:type="pct"/>
            <w:tcBorders>
              <w:top w:val="single" w:sz="4" w:space="0" w:color="auto"/>
              <w:bottom w:val="single" w:sz="4" w:space="0" w:color="auto"/>
            </w:tcBorders>
            <w:shd w:val="clear" w:color="auto" w:fill="auto"/>
            <w:vAlign w:val="bottom"/>
          </w:tcPr>
          <w:p w14:paraId="308A8A05" w14:textId="77777777" w:rsidR="00FD658D" w:rsidRPr="005E4819" w:rsidRDefault="00FD658D" w:rsidP="005E4819">
            <w:pPr>
              <w:pStyle w:val="Tabletext"/>
            </w:pPr>
            <w:r w:rsidRPr="005E4819">
              <w:t>5</w:t>
            </w:r>
            <w:r w:rsidR="00D7157D">
              <w:t>.</w:t>
            </w:r>
            <w:r w:rsidRPr="005E4819">
              <w:t>6720</w:t>
            </w:r>
          </w:p>
        </w:tc>
        <w:tc>
          <w:tcPr>
            <w:tcW w:w="966" w:type="pct"/>
            <w:tcBorders>
              <w:top w:val="single" w:sz="4" w:space="0" w:color="auto"/>
              <w:bottom w:val="single" w:sz="4" w:space="0" w:color="auto"/>
            </w:tcBorders>
            <w:shd w:val="clear" w:color="auto" w:fill="auto"/>
            <w:vAlign w:val="bottom"/>
          </w:tcPr>
          <w:p w14:paraId="4DDDAFD1" w14:textId="77777777" w:rsidR="00FD658D" w:rsidRPr="005E4819" w:rsidRDefault="00FD658D" w:rsidP="005E4819">
            <w:pPr>
              <w:pStyle w:val="Tabletext"/>
            </w:pPr>
            <w:r w:rsidRPr="005E4819">
              <w:t>0</w:t>
            </w:r>
            <w:r w:rsidR="00D7157D">
              <w:t>.</w:t>
            </w:r>
            <w:r w:rsidRPr="005E4819">
              <w:t>4480</w:t>
            </w:r>
          </w:p>
        </w:tc>
        <w:tc>
          <w:tcPr>
            <w:tcW w:w="966" w:type="pct"/>
            <w:tcBorders>
              <w:top w:val="single" w:sz="4" w:space="0" w:color="auto"/>
              <w:bottom w:val="single" w:sz="4" w:space="0" w:color="auto"/>
            </w:tcBorders>
            <w:shd w:val="clear" w:color="auto" w:fill="auto"/>
            <w:vAlign w:val="bottom"/>
          </w:tcPr>
          <w:p w14:paraId="4CAEC223" w14:textId="77777777" w:rsidR="00FD658D" w:rsidRPr="005E4819" w:rsidRDefault="00FD658D" w:rsidP="005E4819">
            <w:pPr>
              <w:pStyle w:val="Tabletext"/>
            </w:pPr>
            <w:r w:rsidRPr="005E4819">
              <w:t>6</w:t>
            </w:r>
            <w:r w:rsidR="00D7157D">
              <w:t>.</w:t>
            </w:r>
            <w:r w:rsidRPr="005E4819">
              <w:t>2591</w:t>
            </w:r>
          </w:p>
        </w:tc>
        <w:tc>
          <w:tcPr>
            <w:tcW w:w="966" w:type="pct"/>
            <w:tcBorders>
              <w:top w:val="single" w:sz="4" w:space="0" w:color="auto"/>
              <w:bottom w:val="single" w:sz="4" w:space="0" w:color="auto"/>
              <w:right w:val="nil"/>
            </w:tcBorders>
            <w:shd w:val="clear" w:color="auto" w:fill="auto"/>
            <w:vAlign w:val="bottom"/>
          </w:tcPr>
          <w:p w14:paraId="675A910E" w14:textId="77777777" w:rsidR="00FD658D" w:rsidRPr="005E4819" w:rsidRDefault="00FD658D" w:rsidP="005E4819">
            <w:pPr>
              <w:pStyle w:val="Tabletext"/>
            </w:pPr>
            <w:r w:rsidRPr="005E4819">
              <w:t>0</w:t>
            </w:r>
            <w:r w:rsidR="00D7157D">
              <w:t>.</w:t>
            </w:r>
            <w:r w:rsidRPr="005E4819">
              <w:t>1239</w:t>
            </w:r>
          </w:p>
        </w:tc>
      </w:tr>
      <w:tr w:rsidR="00FD658D" w:rsidRPr="005E4819" w14:paraId="6F5E8297" w14:textId="77777777" w:rsidTr="00F160E0">
        <w:trPr>
          <w:cantSplit/>
        </w:trPr>
        <w:tc>
          <w:tcPr>
            <w:tcW w:w="1136" w:type="pct"/>
            <w:tcBorders>
              <w:top w:val="single" w:sz="4" w:space="0" w:color="auto"/>
              <w:bottom w:val="single" w:sz="4" w:space="0" w:color="auto"/>
            </w:tcBorders>
          </w:tcPr>
          <w:p w14:paraId="5A962E8D" w14:textId="77777777" w:rsidR="00FD658D" w:rsidRPr="005E4819" w:rsidRDefault="00FD658D" w:rsidP="00FD658D">
            <w:pPr>
              <w:pStyle w:val="Tabletext"/>
            </w:pPr>
            <w:r w:rsidRPr="005E4819">
              <w:t>82</w:t>
            </w:r>
          </w:p>
        </w:tc>
        <w:tc>
          <w:tcPr>
            <w:tcW w:w="966" w:type="pct"/>
            <w:tcBorders>
              <w:top w:val="single" w:sz="4" w:space="0" w:color="auto"/>
              <w:bottom w:val="single" w:sz="4" w:space="0" w:color="auto"/>
            </w:tcBorders>
            <w:shd w:val="clear" w:color="auto" w:fill="auto"/>
            <w:vAlign w:val="bottom"/>
          </w:tcPr>
          <w:p w14:paraId="4E84C451" w14:textId="77777777" w:rsidR="00FD658D" w:rsidRPr="005E4819" w:rsidRDefault="00FD658D" w:rsidP="005E4819">
            <w:pPr>
              <w:pStyle w:val="Tabletext"/>
            </w:pPr>
            <w:r w:rsidRPr="005E4819">
              <w:t>5</w:t>
            </w:r>
            <w:r w:rsidR="00D7157D">
              <w:t>.</w:t>
            </w:r>
            <w:r w:rsidRPr="005E4819">
              <w:t>3771</w:t>
            </w:r>
          </w:p>
        </w:tc>
        <w:tc>
          <w:tcPr>
            <w:tcW w:w="966" w:type="pct"/>
            <w:tcBorders>
              <w:top w:val="single" w:sz="4" w:space="0" w:color="auto"/>
              <w:bottom w:val="single" w:sz="4" w:space="0" w:color="auto"/>
            </w:tcBorders>
            <w:shd w:val="clear" w:color="auto" w:fill="auto"/>
            <w:vAlign w:val="bottom"/>
          </w:tcPr>
          <w:p w14:paraId="566C433F" w14:textId="77777777" w:rsidR="00FD658D" w:rsidRPr="005E4819" w:rsidRDefault="00FD658D" w:rsidP="005E4819">
            <w:pPr>
              <w:pStyle w:val="Tabletext"/>
            </w:pPr>
            <w:r w:rsidRPr="005E4819">
              <w:t>0</w:t>
            </w:r>
            <w:r w:rsidR="00D7157D">
              <w:t>.</w:t>
            </w:r>
            <w:r w:rsidRPr="005E4819">
              <w:t>4433</w:t>
            </w:r>
          </w:p>
        </w:tc>
        <w:tc>
          <w:tcPr>
            <w:tcW w:w="966" w:type="pct"/>
            <w:tcBorders>
              <w:top w:val="single" w:sz="4" w:space="0" w:color="auto"/>
              <w:bottom w:val="single" w:sz="4" w:space="0" w:color="auto"/>
            </w:tcBorders>
            <w:shd w:val="clear" w:color="auto" w:fill="auto"/>
            <w:vAlign w:val="bottom"/>
          </w:tcPr>
          <w:p w14:paraId="125CB057" w14:textId="77777777" w:rsidR="00FD658D" w:rsidRPr="005E4819" w:rsidRDefault="00FD658D" w:rsidP="005E4819">
            <w:pPr>
              <w:pStyle w:val="Tabletext"/>
            </w:pPr>
            <w:r w:rsidRPr="005E4819">
              <w:t>5</w:t>
            </w:r>
            <w:r w:rsidR="00D7157D">
              <w:t>.</w:t>
            </w:r>
            <w:r w:rsidRPr="005E4819">
              <w:t>9328</w:t>
            </w:r>
          </w:p>
        </w:tc>
        <w:tc>
          <w:tcPr>
            <w:tcW w:w="966" w:type="pct"/>
            <w:tcBorders>
              <w:top w:val="single" w:sz="4" w:space="0" w:color="auto"/>
              <w:bottom w:val="single" w:sz="4" w:space="0" w:color="auto"/>
              <w:right w:val="nil"/>
            </w:tcBorders>
            <w:shd w:val="clear" w:color="auto" w:fill="auto"/>
            <w:vAlign w:val="bottom"/>
          </w:tcPr>
          <w:p w14:paraId="08E5B507" w14:textId="77777777" w:rsidR="00FD658D" w:rsidRPr="005E4819" w:rsidRDefault="00FD658D" w:rsidP="005E4819">
            <w:pPr>
              <w:pStyle w:val="Tabletext"/>
            </w:pPr>
            <w:r w:rsidRPr="005E4819">
              <w:t>0</w:t>
            </w:r>
            <w:r w:rsidR="00D7157D">
              <w:t>.</w:t>
            </w:r>
            <w:r w:rsidRPr="005E4819">
              <w:t>1225</w:t>
            </w:r>
          </w:p>
        </w:tc>
      </w:tr>
      <w:tr w:rsidR="00FD658D" w:rsidRPr="005E4819" w14:paraId="545C2020" w14:textId="77777777" w:rsidTr="00F160E0">
        <w:trPr>
          <w:cantSplit/>
        </w:trPr>
        <w:tc>
          <w:tcPr>
            <w:tcW w:w="1136" w:type="pct"/>
            <w:tcBorders>
              <w:top w:val="single" w:sz="4" w:space="0" w:color="auto"/>
              <w:bottom w:val="single" w:sz="4" w:space="0" w:color="auto"/>
            </w:tcBorders>
          </w:tcPr>
          <w:p w14:paraId="17C4CBC6" w14:textId="77777777" w:rsidR="00FD658D" w:rsidRPr="005E4819" w:rsidRDefault="00FD658D" w:rsidP="00FD658D">
            <w:pPr>
              <w:pStyle w:val="Tabletext"/>
            </w:pPr>
            <w:r w:rsidRPr="005E4819">
              <w:t>83</w:t>
            </w:r>
          </w:p>
        </w:tc>
        <w:tc>
          <w:tcPr>
            <w:tcW w:w="966" w:type="pct"/>
            <w:tcBorders>
              <w:top w:val="single" w:sz="4" w:space="0" w:color="auto"/>
              <w:bottom w:val="single" w:sz="4" w:space="0" w:color="auto"/>
            </w:tcBorders>
            <w:shd w:val="clear" w:color="auto" w:fill="auto"/>
            <w:vAlign w:val="bottom"/>
          </w:tcPr>
          <w:p w14:paraId="73CA3A93" w14:textId="77777777" w:rsidR="00FD658D" w:rsidRPr="005E4819" w:rsidRDefault="00FD658D" w:rsidP="005E4819">
            <w:pPr>
              <w:pStyle w:val="Tabletext"/>
            </w:pPr>
            <w:r w:rsidRPr="005E4819">
              <w:t>5</w:t>
            </w:r>
            <w:r w:rsidR="00D7157D">
              <w:t>.</w:t>
            </w:r>
            <w:r w:rsidRPr="005E4819">
              <w:t>0912</w:t>
            </w:r>
          </w:p>
        </w:tc>
        <w:tc>
          <w:tcPr>
            <w:tcW w:w="966" w:type="pct"/>
            <w:tcBorders>
              <w:top w:val="single" w:sz="4" w:space="0" w:color="auto"/>
              <w:bottom w:val="single" w:sz="4" w:space="0" w:color="auto"/>
            </w:tcBorders>
            <w:shd w:val="clear" w:color="auto" w:fill="auto"/>
            <w:vAlign w:val="bottom"/>
          </w:tcPr>
          <w:p w14:paraId="30361CD4" w14:textId="77777777" w:rsidR="00FD658D" w:rsidRPr="005E4819" w:rsidRDefault="00FD658D" w:rsidP="005E4819">
            <w:pPr>
              <w:pStyle w:val="Tabletext"/>
            </w:pPr>
            <w:r w:rsidRPr="005E4819">
              <w:t>0</w:t>
            </w:r>
            <w:r w:rsidR="00D7157D">
              <w:t>.</w:t>
            </w:r>
            <w:r w:rsidRPr="005E4819">
              <w:t>4371</w:t>
            </w:r>
          </w:p>
        </w:tc>
        <w:tc>
          <w:tcPr>
            <w:tcW w:w="966" w:type="pct"/>
            <w:tcBorders>
              <w:top w:val="single" w:sz="4" w:space="0" w:color="auto"/>
              <w:bottom w:val="single" w:sz="4" w:space="0" w:color="auto"/>
            </w:tcBorders>
            <w:shd w:val="clear" w:color="auto" w:fill="auto"/>
            <w:vAlign w:val="bottom"/>
          </w:tcPr>
          <w:p w14:paraId="26FCBB92" w14:textId="77777777" w:rsidR="00FD658D" w:rsidRPr="005E4819" w:rsidRDefault="00FD658D" w:rsidP="005E4819">
            <w:pPr>
              <w:pStyle w:val="Tabletext"/>
            </w:pPr>
            <w:r w:rsidRPr="005E4819">
              <w:t>5</w:t>
            </w:r>
            <w:r w:rsidR="00D7157D">
              <w:t>.</w:t>
            </w:r>
            <w:r w:rsidRPr="005E4819">
              <w:t>6107</w:t>
            </w:r>
          </w:p>
        </w:tc>
        <w:tc>
          <w:tcPr>
            <w:tcW w:w="966" w:type="pct"/>
            <w:tcBorders>
              <w:top w:val="single" w:sz="4" w:space="0" w:color="auto"/>
              <w:bottom w:val="single" w:sz="4" w:space="0" w:color="auto"/>
              <w:right w:val="nil"/>
            </w:tcBorders>
            <w:shd w:val="clear" w:color="auto" w:fill="auto"/>
            <w:vAlign w:val="bottom"/>
          </w:tcPr>
          <w:p w14:paraId="48B49F9D" w14:textId="77777777" w:rsidR="00FD658D" w:rsidRPr="005E4819" w:rsidRDefault="00FD658D" w:rsidP="005E4819">
            <w:pPr>
              <w:pStyle w:val="Tabletext"/>
            </w:pPr>
            <w:r w:rsidRPr="005E4819">
              <w:t>0</w:t>
            </w:r>
            <w:r w:rsidR="00D7157D">
              <w:t>.</w:t>
            </w:r>
            <w:r w:rsidRPr="005E4819">
              <w:t>1208</w:t>
            </w:r>
          </w:p>
        </w:tc>
      </w:tr>
      <w:tr w:rsidR="00FD658D" w:rsidRPr="005E4819" w14:paraId="62975199" w14:textId="77777777" w:rsidTr="00F160E0">
        <w:trPr>
          <w:cantSplit/>
        </w:trPr>
        <w:tc>
          <w:tcPr>
            <w:tcW w:w="1136" w:type="pct"/>
            <w:tcBorders>
              <w:top w:val="single" w:sz="4" w:space="0" w:color="auto"/>
              <w:bottom w:val="single" w:sz="4" w:space="0" w:color="auto"/>
            </w:tcBorders>
          </w:tcPr>
          <w:p w14:paraId="6D496083" w14:textId="77777777" w:rsidR="00FD658D" w:rsidRPr="005E4819" w:rsidRDefault="00FD658D" w:rsidP="00FD658D">
            <w:pPr>
              <w:pStyle w:val="Tabletext"/>
            </w:pPr>
            <w:r w:rsidRPr="005E4819">
              <w:t>84</w:t>
            </w:r>
          </w:p>
        </w:tc>
        <w:tc>
          <w:tcPr>
            <w:tcW w:w="966" w:type="pct"/>
            <w:tcBorders>
              <w:top w:val="single" w:sz="4" w:space="0" w:color="auto"/>
              <w:bottom w:val="single" w:sz="4" w:space="0" w:color="auto"/>
            </w:tcBorders>
            <w:shd w:val="clear" w:color="auto" w:fill="auto"/>
            <w:vAlign w:val="bottom"/>
          </w:tcPr>
          <w:p w14:paraId="33086937" w14:textId="77777777" w:rsidR="00FD658D" w:rsidRPr="005E4819" w:rsidRDefault="00FD658D" w:rsidP="005E4819">
            <w:pPr>
              <w:pStyle w:val="Tabletext"/>
            </w:pPr>
            <w:r w:rsidRPr="005E4819">
              <w:t>4</w:t>
            </w:r>
            <w:r w:rsidR="00D7157D">
              <w:t>.</w:t>
            </w:r>
            <w:r w:rsidRPr="005E4819">
              <w:t>8162</w:t>
            </w:r>
          </w:p>
        </w:tc>
        <w:tc>
          <w:tcPr>
            <w:tcW w:w="966" w:type="pct"/>
            <w:tcBorders>
              <w:top w:val="single" w:sz="4" w:space="0" w:color="auto"/>
              <w:bottom w:val="single" w:sz="4" w:space="0" w:color="auto"/>
            </w:tcBorders>
            <w:shd w:val="clear" w:color="auto" w:fill="auto"/>
            <w:vAlign w:val="bottom"/>
          </w:tcPr>
          <w:p w14:paraId="64B944E9" w14:textId="77777777" w:rsidR="00FD658D" w:rsidRPr="005E4819" w:rsidRDefault="00FD658D" w:rsidP="005E4819">
            <w:pPr>
              <w:pStyle w:val="Tabletext"/>
            </w:pPr>
            <w:r w:rsidRPr="005E4819">
              <w:t>0</w:t>
            </w:r>
            <w:r w:rsidR="00D7157D">
              <w:t>.</w:t>
            </w:r>
            <w:r w:rsidRPr="005E4819">
              <w:t>4293</w:t>
            </w:r>
          </w:p>
        </w:tc>
        <w:tc>
          <w:tcPr>
            <w:tcW w:w="966" w:type="pct"/>
            <w:tcBorders>
              <w:top w:val="single" w:sz="4" w:space="0" w:color="auto"/>
              <w:bottom w:val="single" w:sz="4" w:space="0" w:color="auto"/>
            </w:tcBorders>
            <w:shd w:val="clear" w:color="auto" w:fill="auto"/>
            <w:vAlign w:val="bottom"/>
          </w:tcPr>
          <w:p w14:paraId="329587FF" w14:textId="77777777" w:rsidR="00FD658D" w:rsidRPr="005E4819" w:rsidRDefault="00FD658D" w:rsidP="005E4819">
            <w:pPr>
              <w:pStyle w:val="Tabletext"/>
            </w:pPr>
            <w:r w:rsidRPr="005E4819">
              <w:t>5</w:t>
            </w:r>
            <w:r w:rsidR="00D7157D">
              <w:t>.</w:t>
            </w:r>
            <w:r w:rsidRPr="005E4819">
              <w:t>2944</w:t>
            </w:r>
          </w:p>
        </w:tc>
        <w:tc>
          <w:tcPr>
            <w:tcW w:w="966" w:type="pct"/>
            <w:tcBorders>
              <w:top w:val="single" w:sz="4" w:space="0" w:color="auto"/>
              <w:bottom w:val="single" w:sz="4" w:space="0" w:color="auto"/>
              <w:right w:val="nil"/>
            </w:tcBorders>
            <w:shd w:val="clear" w:color="auto" w:fill="auto"/>
            <w:vAlign w:val="bottom"/>
          </w:tcPr>
          <w:p w14:paraId="2D8F03F3" w14:textId="77777777" w:rsidR="00FD658D" w:rsidRPr="005E4819" w:rsidRDefault="00FD658D" w:rsidP="005E4819">
            <w:pPr>
              <w:pStyle w:val="Tabletext"/>
            </w:pPr>
            <w:r w:rsidRPr="005E4819">
              <w:t>0</w:t>
            </w:r>
            <w:r w:rsidR="00D7157D">
              <w:t>.</w:t>
            </w:r>
            <w:r w:rsidRPr="005E4819">
              <w:t>1189</w:t>
            </w:r>
          </w:p>
        </w:tc>
      </w:tr>
      <w:tr w:rsidR="00FD658D" w:rsidRPr="005E4819" w14:paraId="75EDFAA2" w14:textId="77777777" w:rsidTr="00F160E0">
        <w:trPr>
          <w:cantSplit/>
        </w:trPr>
        <w:tc>
          <w:tcPr>
            <w:tcW w:w="1136" w:type="pct"/>
            <w:tcBorders>
              <w:top w:val="single" w:sz="4" w:space="0" w:color="auto"/>
              <w:bottom w:val="single" w:sz="4" w:space="0" w:color="auto"/>
            </w:tcBorders>
          </w:tcPr>
          <w:p w14:paraId="62224FFE" w14:textId="77777777" w:rsidR="00FD658D" w:rsidRPr="005E4819" w:rsidRDefault="00FD658D" w:rsidP="00FD658D">
            <w:pPr>
              <w:pStyle w:val="Tabletext"/>
            </w:pPr>
            <w:r w:rsidRPr="005E4819">
              <w:t>85</w:t>
            </w:r>
          </w:p>
        </w:tc>
        <w:tc>
          <w:tcPr>
            <w:tcW w:w="966" w:type="pct"/>
            <w:tcBorders>
              <w:top w:val="single" w:sz="4" w:space="0" w:color="auto"/>
              <w:bottom w:val="single" w:sz="4" w:space="0" w:color="auto"/>
            </w:tcBorders>
            <w:shd w:val="clear" w:color="auto" w:fill="auto"/>
            <w:vAlign w:val="bottom"/>
          </w:tcPr>
          <w:p w14:paraId="5963B550" w14:textId="77777777" w:rsidR="00FD658D" w:rsidRPr="005E4819" w:rsidRDefault="00FD658D" w:rsidP="005E4819">
            <w:pPr>
              <w:pStyle w:val="Tabletext"/>
            </w:pPr>
            <w:r w:rsidRPr="005E4819">
              <w:t>4</w:t>
            </w:r>
            <w:r w:rsidR="00D7157D">
              <w:t>.</w:t>
            </w:r>
            <w:r w:rsidRPr="005E4819">
              <w:t>5544</w:t>
            </w:r>
          </w:p>
        </w:tc>
        <w:tc>
          <w:tcPr>
            <w:tcW w:w="966" w:type="pct"/>
            <w:tcBorders>
              <w:top w:val="single" w:sz="4" w:space="0" w:color="auto"/>
              <w:bottom w:val="single" w:sz="4" w:space="0" w:color="auto"/>
            </w:tcBorders>
            <w:shd w:val="clear" w:color="auto" w:fill="auto"/>
            <w:vAlign w:val="bottom"/>
          </w:tcPr>
          <w:p w14:paraId="612FA96F" w14:textId="77777777" w:rsidR="00FD658D" w:rsidRPr="005E4819" w:rsidRDefault="00FD658D" w:rsidP="005E4819">
            <w:pPr>
              <w:pStyle w:val="Tabletext"/>
            </w:pPr>
            <w:r w:rsidRPr="005E4819">
              <w:t>0</w:t>
            </w:r>
            <w:r w:rsidR="00D7157D">
              <w:t>.</w:t>
            </w:r>
            <w:r w:rsidRPr="005E4819">
              <w:t>4200</w:t>
            </w:r>
          </w:p>
        </w:tc>
        <w:tc>
          <w:tcPr>
            <w:tcW w:w="966" w:type="pct"/>
            <w:tcBorders>
              <w:top w:val="single" w:sz="4" w:space="0" w:color="auto"/>
              <w:bottom w:val="single" w:sz="4" w:space="0" w:color="auto"/>
            </w:tcBorders>
            <w:shd w:val="clear" w:color="auto" w:fill="auto"/>
            <w:vAlign w:val="bottom"/>
          </w:tcPr>
          <w:p w14:paraId="7C83EC53" w14:textId="77777777" w:rsidR="00FD658D" w:rsidRPr="005E4819" w:rsidRDefault="00FD658D" w:rsidP="005E4819">
            <w:pPr>
              <w:pStyle w:val="Tabletext"/>
            </w:pPr>
            <w:r w:rsidRPr="005E4819">
              <w:t>4</w:t>
            </w:r>
            <w:r w:rsidR="00D7157D">
              <w:t>.</w:t>
            </w:r>
            <w:r w:rsidRPr="005E4819">
              <w:t>9862</w:t>
            </w:r>
          </w:p>
        </w:tc>
        <w:tc>
          <w:tcPr>
            <w:tcW w:w="966" w:type="pct"/>
            <w:tcBorders>
              <w:top w:val="single" w:sz="4" w:space="0" w:color="auto"/>
              <w:bottom w:val="single" w:sz="4" w:space="0" w:color="auto"/>
              <w:right w:val="nil"/>
            </w:tcBorders>
            <w:shd w:val="clear" w:color="auto" w:fill="auto"/>
            <w:vAlign w:val="bottom"/>
          </w:tcPr>
          <w:p w14:paraId="6C0E26A8" w14:textId="77777777" w:rsidR="00FD658D" w:rsidRPr="005E4819" w:rsidRDefault="00FD658D" w:rsidP="005E4819">
            <w:pPr>
              <w:pStyle w:val="Tabletext"/>
            </w:pPr>
            <w:r w:rsidRPr="005E4819">
              <w:t>0</w:t>
            </w:r>
            <w:r w:rsidR="00D7157D">
              <w:t>.</w:t>
            </w:r>
            <w:r w:rsidRPr="005E4819">
              <w:t>1168</w:t>
            </w:r>
          </w:p>
        </w:tc>
      </w:tr>
      <w:tr w:rsidR="00FD658D" w:rsidRPr="005E4819" w14:paraId="58BE6A25" w14:textId="77777777" w:rsidTr="00F160E0">
        <w:trPr>
          <w:cantSplit/>
        </w:trPr>
        <w:tc>
          <w:tcPr>
            <w:tcW w:w="1136" w:type="pct"/>
            <w:tcBorders>
              <w:top w:val="single" w:sz="4" w:space="0" w:color="auto"/>
              <w:bottom w:val="single" w:sz="4" w:space="0" w:color="auto"/>
            </w:tcBorders>
          </w:tcPr>
          <w:p w14:paraId="45B4FF94" w14:textId="77777777" w:rsidR="00FD658D" w:rsidRPr="005E4819" w:rsidRDefault="00FD658D" w:rsidP="00FD658D">
            <w:pPr>
              <w:pStyle w:val="Tabletext"/>
            </w:pPr>
            <w:r w:rsidRPr="005E4819">
              <w:t>86</w:t>
            </w:r>
          </w:p>
        </w:tc>
        <w:tc>
          <w:tcPr>
            <w:tcW w:w="966" w:type="pct"/>
            <w:tcBorders>
              <w:top w:val="single" w:sz="4" w:space="0" w:color="auto"/>
              <w:bottom w:val="single" w:sz="4" w:space="0" w:color="auto"/>
            </w:tcBorders>
            <w:shd w:val="clear" w:color="auto" w:fill="auto"/>
            <w:vAlign w:val="bottom"/>
          </w:tcPr>
          <w:p w14:paraId="4BBDABCE" w14:textId="77777777" w:rsidR="00FD658D" w:rsidRPr="005E4819" w:rsidRDefault="00FD658D" w:rsidP="005E4819">
            <w:pPr>
              <w:pStyle w:val="Tabletext"/>
            </w:pPr>
            <w:r w:rsidRPr="005E4819">
              <w:t>4</w:t>
            </w:r>
            <w:r w:rsidR="00D7157D">
              <w:t>.</w:t>
            </w:r>
            <w:r w:rsidRPr="005E4819">
              <w:t>3080</w:t>
            </w:r>
          </w:p>
        </w:tc>
        <w:tc>
          <w:tcPr>
            <w:tcW w:w="966" w:type="pct"/>
            <w:tcBorders>
              <w:top w:val="single" w:sz="4" w:space="0" w:color="auto"/>
              <w:bottom w:val="single" w:sz="4" w:space="0" w:color="auto"/>
            </w:tcBorders>
            <w:shd w:val="clear" w:color="auto" w:fill="auto"/>
            <w:vAlign w:val="bottom"/>
          </w:tcPr>
          <w:p w14:paraId="4674CBE9" w14:textId="77777777" w:rsidR="00FD658D" w:rsidRPr="005E4819" w:rsidRDefault="00FD658D" w:rsidP="005E4819">
            <w:pPr>
              <w:pStyle w:val="Tabletext"/>
            </w:pPr>
            <w:r w:rsidRPr="005E4819">
              <w:t>0</w:t>
            </w:r>
            <w:r w:rsidR="00D7157D">
              <w:t>.</w:t>
            </w:r>
            <w:r w:rsidRPr="005E4819">
              <w:t>4091</w:t>
            </w:r>
          </w:p>
        </w:tc>
        <w:tc>
          <w:tcPr>
            <w:tcW w:w="966" w:type="pct"/>
            <w:tcBorders>
              <w:top w:val="single" w:sz="4" w:space="0" w:color="auto"/>
              <w:bottom w:val="single" w:sz="4" w:space="0" w:color="auto"/>
            </w:tcBorders>
            <w:shd w:val="clear" w:color="auto" w:fill="auto"/>
            <w:vAlign w:val="bottom"/>
          </w:tcPr>
          <w:p w14:paraId="09BF8DD4" w14:textId="77777777" w:rsidR="00FD658D" w:rsidRPr="005E4819" w:rsidRDefault="00FD658D" w:rsidP="005E4819">
            <w:pPr>
              <w:pStyle w:val="Tabletext"/>
            </w:pPr>
            <w:r w:rsidRPr="005E4819">
              <w:t>4</w:t>
            </w:r>
            <w:r w:rsidR="00D7157D">
              <w:t>.</w:t>
            </w:r>
            <w:r w:rsidRPr="005E4819">
              <w:t>6872</w:t>
            </w:r>
          </w:p>
        </w:tc>
        <w:tc>
          <w:tcPr>
            <w:tcW w:w="966" w:type="pct"/>
            <w:tcBorders>
              <w:top w:val="single" w:sz="4" w:space="0" w:color="auto"/>
              <w:bottom w:val="single" w:sz="4" w:space="0" w:color="auto"/>
              <w:right w:val="nil"/>
            </w:tcBorders>
            <w:shd w:val="clear" w:color="auto" w:fill="auto"/>
            <w:vAlign w:val="bottom"/>
          </w:tcPr>
          <w:p w14:paraId="14B0ABE0" w14:textId="77777777" w:rsidR="00FD658D" w:rsidRPr="005E4819" w:rsidRDefault="00FD658D" w:rsidP="005E4819">
            <w:pPr>
              <w:pStyle w:val="Tabletext"/>
            </w:pPr>
            <w:r w:rsidRPr="005E4819">
              <w:t>0</w:t>
            </w:r>
            <w:r w:rsidR="00D7157D">
              <w:t>.</w:t>
            </w:r>
            <w:r w:rsidRPr="005E4819">
              <w:t>1145</w:t>
            </w:r>
          </w:p>
        </w:tc>
      </w:tr>
      <w:tr w:rsidR="00FD658D" w:rsidRPr="005E4819" w14:paraId="029CF583" w14:textId="77777777" w:rsidTr="00F160E0">
        <w:trPr>
          <w:cantSplit/>
        </w:trPr>
        <w:tc>
          <w:tcPr>
            <w:tcW w:w="1136" w:type="pct"/>
            <w:tcBorders>
              <w:top w:val="single" w:sz="4" w:space="0" w:color="auto"/>
              <w:bottom w:val="single" w:sz="4" w:space="0" w:color="auto"/>
            </w:tcBorders>
          </w:tcPr>
          <w:p w14:paraId="1BFAE902" w14:textId="77777777" w:rsidR="00FD658D" w:rsidRPr="005E4819" w:rsidRDefault="00FD658D" w:rsidP="00FD658D">
            <w:pPr>
              <w:pStyle w:val="Tabletext"/>
            </w:pPr>
            <w:r w:rsidRPr="005E4819">
              <w:t>87</w:t>
            </w:r>
          </w:p>
        </w:tc>
        <w:tc>
          <w:tcPr>
            <w:tcW w:w="966" w:type="pct"/>
            <w:tcBorders>
              <w:top w:val="single" w:sz="4" w:space="0" w:color="auto"/>
              <w:bottom w:val="single" w:sz="4" w:space="0" w:color="auto"/>
            </w:tcBorders>
            <w:shd w:val="clear" w:color="auto" w:fill="auto"/>
            <w:vAlign w:val="bottom"/>
          </w:tcPr>
          <w:p w14:paraId="03C9A3DC" w14:textId="77777777" w:rsidR="00FD658D" w:rsidRPr="005E4819" w:rsidRDefault="00FD658D" w:rsidP="005E4819">
            <w:pPr>
              <w:pStyle w:val="Tabletext"/>
            </w:pPr>
            <w:r w:rsidRPr="005E4819">
              <w:t>4</w:t>
            </w:r>
            <w:r w:rsidR="00D7157D">
              <w:t>.</w:t>
            </w:r>
            <w:r w:rsidRPr="005E4819">
              <w:t>0747</w:t>
            </w:r>
          </w:p>
        </w:tc>
        <w:tc>
          <w:tcPr>
            <w:tcW w:w="966" w:type="pct"/>
            <w:tcBorders>
              <w:top w:val="single" w:sz="4" w:space="0" w:color="auto"/>
              <w:bottom w:val="single" w:sz="4" w:space="0" w:color="auto"/>
            </w:tcBorders>
            <w:shd w:val="clear" w:color="auto" w:fill="auto"/>
            <w:vAlign w:val="bottom"/>
          </w:tcPr>
          <w:p w14:paraId="699FCFE3" w14:textId="77777777" w:rsidR="00FD658D" w:rsidRPr="005E4819" w:rsidRDefault="00FD658D" w:rsidP="005E4819">
            <w:pPr>
              <w:pStyle w:val="Tabletext"/>
            </w:pPr>
            <w:r w:rsidRPr="005E4819">
              <w:t>0</w:t>
            </w:r>
            <w:r w:rsidR="00D7157D">
              <w:t>.</w:t>
            </w:r>
            <w:r w:rsidRPr="005E4819">
              <w:t>3969</w:t>
            </w:r>
          </w:p>
        </w:tc>
        <w:tc>
          <w:tcPr>
            <w:tcW w:w="966" w:type="pct"/>
            <w:tcBorders>
              <w:top w:val="single" w:sz="4" w:space="0" w:color="auto"/>
              <w:bottom w:val="single" w:sz="4" w:space="0" w:color="auto"/>
            </w:tcBorders>
            <w:shd w:val="clear" w:color="auto" w:fill="auto"/>
            <w:vAlign w:val="bottom"/>
          </w:tcPr>
          <w:p w14:paraId="32F734AC" w14:textId="77777777" w:rsidR="00FD658D" w:rsidRPr="005E4819" w:rsidRDefault="00FD658D" w:rsidP="005E4819">
            <w:pPr>
              <w:pStyle w:val="Tabletext"/>
            </w:pPr>
            <w:r w:rsidRPr="005E4819">
              <w:t>4</w:t>
            </w:r>
            <w:r w:rsidR="00D7157D">
              <w:t>.</w:t>
            </w:r>
            <w:r w:rsidRPr="005E4819">
              <w:t>4013</w:t>
            </w:r>
          </w:p>
        </w:tc>
        <w:tc>
          <w:tcPr>
            <w:tcW w:w="966" w:type="pct"/>
            <w:tcBorders>
              <w:top w:val="single" w:sz="4" w:space="0" w:color="auto"/>
              <w:bottom w:val="single" w:sz="4" w:space="0" w:color="auto"/>
              <w:right w:val="nil"/>
            </w:tcBorders>
            <w:shd w:val="clear" w:color="auto" w:fill="auto"/>
            <w:vAlign w:val="bottom"/>
          </w:tcPr>
          <w:p w14:paraId="50AC71F7" w14:textId="77777777" w:rsidR="00FD658D" w:rsidRPr="005E4819" w:rsidRDefault="00FD658D" w:rsidP="005E4819">
            <w:pPr>
              <w:pStyle w:val="Tabletext"/>
            </w:pPr>
            <w:r w:rsidRPr="005E4819">
              <w:t>0</w:t>
            </w:r>
            <w:r w:rsidR="00D7157D">
              <w:t>.</w:t>
            </w:r>
            <w:r w:rsidRPr="005E4819">
              <w:t>1120</w:t>
            </w:r>
          </w:p>
        </w:tc>
      </w:tr>
      <w:tr w:rsidR="00FD658D" w:rsidRPr="005E4819" w14:paraId="3636BF32" w14:textId="77777777" w:rsidTr="00F160E0">
        <w:trPr>
          <w:cantSplit/>
        </w:trPr>
        <w:tc>
          <w:tcPr>
            <w:tcW w:w="1136" w:type="pct"/>
            <w:tcBorders>
              <w:top w:val="single" w:sz="4" w:space="0" w:color="auto"/>
              <w:bottom w:val="single" w:sz="4" w:space="0" w:color="auto"/>
            </w:tcBorders>
          </w:tcPr>
          <w:p w14:paraId="5A8361D4" w14:textId="77777777" w:rsidR="00FD658D" w:rsidRPr="005E4819" w:rsidRDefault="00FD658D" w:rsidP="00FD658D">
            <w:pPr>
              <w:pStyle w:val="Tabletext"/>
            </w:pPr>
            <w:r w:rsidRPr="005E4819">
              <w:t>88</w:t>
            </w:r>
          </w:p>
        </w:tc>
        <w:tc>
          <w:tcPr>
            <w:tcW w:w="966" w:type="pct"/>
            <w:tcBorders>
              <w:top w:val="single" w:sz="4" w:space="0" w:color="auto"/>
              <w:bottom w:val="single" w:sz="4" w:space="0" w:color="auto"/>
            </w:tcBorders>
            <w:shd w:val="clear" w:color="auto" w:fill="auto"/>
            <w:vAlign w:val="bottom"/>
          </w:tcPr>
          <w:p w14:paraId="7D4CE78B" w14:textId="77777777" w:rsidR="00FD658D" w:rsidRPr="005E4819" w:rsidRDefault="00FD658D" w:rsidP="005E4819">
            <w:pPr>
              <w:pStyle w:val="Tabletext"/>
            </w:pPr>
            <w:r w:rsidRPr="005E4819">
              <w:t>3</w:t>
            </w:r>
            <w:r w:rsidR="00D7157D">
              <w:t>.</w:t>
            </w:r>
            <w:r w:rsidRPr="005E4819">
              <w:t>8554</w:t>
            </w:r>
          </w:p>
        </w:tc>
        <w:tc>
          <w:tcPr>
            <w:tcW w:w="966" w:type="pct"/>
            <w:tcBorders>
              <w:top w:val="single" w:sz="4" w:space="0" w:color="auto"/>
              <w:bottom w:val="single" w:sz="4" w:space="0" w:color="auto"/>
            </w:tcBorders>
            <w:shd w:val="clear" w:color="auto" w:fill="auto"/>
            <w:vAlign w:val="bottom"/>
          </w:tcPr>
          <w:p w14:paraId="0A5BB510" w14:textId="77777777" w:rsidR="00FD658D" w:rsidRPr="005E4819" w:rsidRDefault="00FD658D" w:rsidP="005E4819">
            <w:pPr>
              <w:pStyle w:val="Tabletext"/>
            </w:pPr>
            <w:r w:rsidRPr="005E4819">
              <w:t>0</w:t>
            </w:r>
            <w:r w:rsidR="00D7157D">
              <w:t>.</w:t>
            </w:r>
            <w:r w:rsidRPr="005E4819">
              <w:t>3836</w:t>
            </w:r>
          </w:p>
        </w:tc>
        <w:tc>
          <w:tcPr>
            <w:tcW w:w="966" w:type="pct"/>
            <w:tcBorders>
              <w:top w:val="single" w:sz="4" w:space="0" w:color="auto"/>
              <w:bottom w:val="single" w:sz="4" w:space="0" w:color="auto"/>
            </w:tcBorders>
            <w:shd w:val="clear" w:color="auto" w:fill="auto"/>
            <w:vAlign w:val="bottom"/>
          </w:tcPr>
          <w:p w14:paraId="7B3DDA23" w14:textId="77777777" w:rsidR="00FD658D" w:rsidRPr="005E4819" w:rsidRDefault="00FD658D" w:rsidP="005E4819">
            <w:pPr>
              <w:pStyle w:val="Tabletext"/>
            </w:pPr>
            <w:r w:rsidRPr="005E4819">
              <w:t>4</w:t>
            </w:r>
            <w:r w:rsidR="00D7157D">
              <w:t>.</w:t>
            </w:r>
            <w:r w:rsidRPr="005E4819">
              <w:t>1295</w:t>
            </w:r>
          </w:p>
        </w:tc>
        <w:tc>
          <w:tcPr>
            <w:tcW w:w="966" w:type="pct"/>
            <w:tcBorders>
              <w:top w:val="single" w:sz="4" w:space="0" w:color="auto"/>
              <w:bottom w:val="single" w:sz="4" w:space="0" w:color="auto"/>
              <w:right w:val="nil"/>
            </w:tcBorders>
            <w:shd w:val="clear" w:color="auto" w:fill="auto"/>
            <w:vAlign w:val="bottom"/>
          </w:tcPr>
          <w:p w14:paraId="0EE65AD1" w14:textId="77777777" w:rsidR="00FD658D" w:rsidRPr="005E4819" w:rsidRDefault="00FD658D" w:rsidP="005E4819">
            <w:pPr>
              <w:pStyle w:val="Tabletext"/>
            </w:pPr>
            <w:r w:rsidRPr="005E4819">
              <w:t>0</w:t>
            </w:r>
            <w:r w:rsidR="00D7157D">
              <w:t>.</w:t>
            </w:r>
            <w:r w:rsidRPr="005E4819">
              <w:t>1095</w:t>
            </w:r>
          </w:p>
        </w:tc>
      </w:tr>
      <w:tr w:rsidR="00FD658D" w:rsidRPr="005E4819" w14:paraId="3AB54B55" w14:textId="77777777" w:rsidTr="00F160E0">
        <w:trPr>
          <w:cantSplit/>
        </w:trPr>
        <w:tc>
          <w:tcPr>
            <w:tcW w:w="1136" w:type="pct"/>
            <w:tcBorders>
              <w:top w:val="single" w:sz="4" w:space="0" w:color="auto"/>
              <w:bottom w:val="single" w:sz="4" w:space="0" w:color="auto"/>
            </w:tcBorders>
          </w:tcPr>
          <w:p w14:paraId="6D51AEA3" w14:textId="77777777" w:rsidR="00FD658D" w:rsidRPr="005E4819" w:rsidRDefault="00FD658D" w:rsidP="00FD658D">
            <w:pPr>
              <w:pStyle w:val="Tabletext"/>
            </w:pPr>
            <w:r w:rsidRPr="005E4819">
              <w:t>89</w:t>
            </w:r>
          </w:p>
        </w:tc>
        <w:tc>
          <w:tcPr>
            <w:tcW w:w="966" w:type="pct"/>
            <w:tcBorders>
              <w:top w:val="single" w:sz="4" w:space="0" w:color="auto"/>
              <w:bottom w:val="single" w:sz="4" w:space="0" w:color="auto"/>
            </w:tcBorders>
            <w:shd w:val="clear" w:color="auto" w:fill="auto"/>
            <w:vAlign w:val="bottom"/>
          </w:tcPr>
          <w:p w14:paraId="71A59C5F" w14:textId="77777777" w:rsidR="00FD658D" w:rsidRPr="005E4819" w:rsidRDefault="00FD658D" w:rsidP="005E4819">
            <w:pPr>
              <w:pStyle w:val="Tabletext"/>
            </w:pPr>
            <w:r w:rsidRPr="005E4819">
              <w:t>3</w:t>
            </w:r>
            <w:r w:rsidR="00D7157D">
              <w:t>.</w:t>
            </w:r>
            <w:r w:rsidRPr="005E4819">
              <w:t>6501</w:t>
            </w:r>
          </w:p>
        </w:tc>
        <w:tc>
          <w:tcPr>
            <w:tcW w:w="966" w:type="pct"/>
            <w:tcBorders>
              <w:top w:val="single" w:sz="4" w:space="0" w:color="auto"/>
              <w:bottom w:val="single" w:sz="4" w:space="0" w:color="auto"/>
            </w:tcBorders>
            <w:shd w:val="clear" w:color="auto" w:fill="auto"/>
            <w:vAlign w:val="bottom"/>
          </w:tcPr>
          <w:p w14:paraId="796CDDC5" w14:textId="77777777" w:rsidR="00FD658D" w:rsidRPr="005E4819" w:rsidRDefault="00FD658D" w:rsidP="005E4819">
            <w:pPr>
              <w:pStyle w:val="Tabletext"/>
            </w:pPr>
            <w:r w:rsidRPr="005E4819">
              <w:t>0</w:t>
            </w:r>
            <w:r w:rsidR="00D7157D">
              <w:t>.</w:t>
            </w:r>
            <w:r w:rsidRPr="005E4819">
              <w:t>3695</w:t>
            </w:r>
          </w:p>
        </w:tc>
        <w:tc>
          <w:tcPr>
            <w:tcW w:w="966" w:type="pct"/>
            <w:tcBorders>
              <w:top w:val="single" w:sz="4" w:space="0" w:color="auto"/>
              <w:bottom w:val="single" w:sz="4" w:space="0" w:color="auto"/>
            </w:tcBorders>
            <w:shd w:val="clear" w:color="auto" w:fill="auto"/>
            <w:vAlign w:val="bottom"/>
          </w:tcPr>
          <w:p w14:paraId="6084D91B" w14:textId="77777777" w:rsidR="00FD658D" w:rsidRPr="005E4819" w:rsidRDefault="00FD658D" w:rsidP="005E4819">
            <w:pPr>
              <w:pStyle w:val="Tabletext"/>
            </w:pPr>
            <w:r w:rsidRPr="005E4819">
              <w:t>3</w:t>
            </w:r>
            <w:r w:rsidR="00D7157D">
              <w:t>.</w:t>
            </w:r>
            <w:r w:rsidRPr="005E4819">
              <w:t>8742</w:t>
            </w:r>
          </w:p>
        </w:tc>
        <w:tc>
          <w:tcPr>
            <w:tcW w:w="966" w:type="pct"/>
            <w:tcBorders>
              <w:top w:val="single" w:sz="4" w:space="0" w:color="auto"/>
              <w:bottom w:val="single" w:sz="4" w:space="0" w:color="auto"/>
              <w:right w:val="nil"/>
            </w:tcBorders>
            <w:shd w:val="clear" w:color="auto" w:fill="auto"/>
            <w:vAlign w:val="bottom"/>
          </w:tcPr>
          <w:p w14:paraId="6389DB77" w14:textId="77777777" w:rsidR="00FD658D" w:rsidRPr="005E4819" w:rsidRDefault="00FD658D" w:rsidP="005E4819">
            <w:pPr>
              <w:pStyle w:val="Tabletext"/>
            </w:pPr>
            <w:r w:rsidRPr="005E4819">
              <w:t>0</w:t>
            </w:r>
            <w:r w:rsidR="00D7157D">
              <w:t>.</w:t>
            </w:r>
            <w:r w:rsidRPr="005E4819">
              <w:t>1068</w:t>
            </w:r>
          </w:p>
        </w:tc>
      </w:tr>
      <w:tr w:rsidR="00FD658D" w:rsidRPr="005E4819" w14:paraId="5AA79357" w14:textId="77777777" w:rsidTr="00F160E0">
        <w:trPr>
          <w:cantSplit/>
        </w:trPr>
        <w:tc>
          <w:tcPr>
            <w:tcW w:w="1136" w:type="pct"/>
            <w:tcBorders>
              <w:top w:val="single" w:sz="4" w:space="0" w:color="auto"/>
              <w:bottom w:val="single" w:sz="4" w:space="0" w:color="auto"/>
            </w:tcBorders>
          </w:tcPr>
          <w:p w14:paraId="5817D352" w14:textId="77777777" w:rsidR="00FD658D" w:rsidRPr="005E4819" w:rsidRDefault="00FD658D" w:rsidP="00FD658D">
            <w:pPr>
              <w:pStyle w:val="Tabletext"/>
            </w:pPr>
            <w:r w:rsidRPr="005E4819">
              <w:t>90</w:t>
            </w:r>
          </w:p>
        </w:tc>
        <w:tc>
          <w:tcPr>
            <w:tcW w:w="966" w:type="pct"/>
            <w:tcBorders>
              <w:top w:val="single" w:sz="4" w:space="0" w:color="auto"/>
              <w:bottom w:val="single" w:sz="4" w:space="0" w:color="auto"/>
            </w:tcBorders>
            <w:shd w:val="clear" w:color="auto" w:fill="auto"/>
            <w:vAlign w:val="bottom"/>
          </w:tcPr>
          <w:p w14:paraId="2512C9A8" w14:textId="77777777" w:rsidR="00FD658D" w:rsidRPr="005E4819" w:rsidRDefault="00FD658D" w:rsidP="005E4819">
            <w:pPr>
              <w:pStyle w:val="Tabletext"/>
            </w:pPr>
            <w:r w:rsidRPr="005E4819">
              <w:t>3</w:t>
            </w:r>
            <w:r w:rsidR="00D7157D">
              <w:t>.</w:t>
            </w:r>
            <w:r w:rsidRPr="005E4819">
              <w:t>4575</w:t>
            </w:r>
          </w:p>
        </w:tc>
        <w:tc>
          <w:tcPr>
            <w:tcW w:w="966" w:type="pct"/>
            <w:tcBorders>
              <w:top w:val="single" w:sz="4" w:space="0" w:color="auto"/>
              <w:bottom w:val="single" w:sz="4" w:space="0" w:color="auto"/>
            </w:tcBorders>
            <w:shd w:val="clear" w:color="auto" w:fill="auto"/>
            <w:vAlign w:val="bottom"/>
          </w:tcPr>
          <w:p w14:paraId="5CCEF5D7" w14:textId="77777777" w:rsidR="00FD658D" w:rsidRPr="005E4819" w:rsidRDefault="00FD658D" w:rsidP="005E4819">
            <w:pPr>
              <w:pStyle w:val="Tabletext"/>
            </w:pPr>
            <w:r w:rsidRPr="005E4819">
              <w:t>0</w:t>
            </w:r>
            <w:r w:rsidR="00D7157D">
              <w:t>.</w:t>
            </w:r>
            <w:r w:rsidRPr="005E4819">
              <w:t>3548</w:t>
            </w:r>
          </w:p>
        </w:tc>
        <w:tc>
          <w:tcPr>
            <w:tcW w:w="966" w:type="pct"/>
            <w:tcBorders>
              <w:top w:val="single" w:sz="4" w:space="0" w:color="auto"/>
              <w:bottom w:val="single" w:sz="4" w:space="0" w:color="auto"/>
            </w:tcBorders>
            <w:shd w:val="clear" w:color="auto" w:fill="auto"/>
            <w:vAlign w:val="bottom"/>
          </w:tcPr>
          <w:p w14:paraId="0ABA21B5" w14:textId="77777777" w:rsidR="00FD658D" w:rsidRPr="005E4819" w:rsidRDefault="00FD658D" w:rsidP="005E4819">
            <w:pPr>
              <w:pStyle w:val="Tabletext"/>
            </w:pPr>
            <w:r w:rsidRPr="005E4819">
              <w:t>3</w:t>
            </w:r>
            <w:r w:rsidR="00D7157D">
              <w:t>.</w:t>
            </w:r>
            <w:r w:rsidRPr="005E4819">
              <w:t>6384</w:t>
            </w:r>
          </w:p>
        </w:tc>
        <w:tc>
          <w:tcPr>
            <w:tcW w:w="966" w:type="pct"/>
            <w:tcBorders>
              <w:top w:val="single" w:sz="4" w:space="0" w:color="auto"/>
              <w:bottom w:val="single" w:sz="4" w:space="0" w:color="auto"/>
              <w:right w:val="nil"/>
            </w:tcBorders>
            <w:shd w:val="clear" w:color="auto" w:fill="auto"/>
            <w:vAlign w:val="bottom"/>
          </w:tcPr>
          <w:p w14:paraId="21ABE61C" w14:textId="77777777" w:rsidR="00FD658D" w:rsidRPr="005E4819" w:rsidRDefault="00FD658D" w:rsidP="005E4819">
            <w:pPr>
              <w:pStyle w:val="Tabletext"/>
            </w:pPr>
            <w:r w:rsidRPr="005E4819">
              <w:t>0</w:t>
            </w:r>
            <w:r w:rsidR="00D7157D">
              <w:t>.</w:t>
            </w:r>
            <w:r w:rsidRPr="005E4819">
              <w:t>1041</w:t>
            </w:r>
          </w:p>
        </w:tc>
      </w:tr>
      <w:tr w:rsidR="00FD658D" w:rsidRPr="005E4819" w14:paraId="50B17488" w14:textId="77777777" w:rsidTr="00F160E0">
        <w:trPr>
          <w:cantSplit/>
        </w:trPr>
        <w:tc>
          <w:tcPr>
            <w:tcW w:w="1136" w:type="pct"/>
            <w:tcBorders>
              <w:top w:val="single" w:sz="4" w:space="0" w:color="auto"/>
              <w:bottom w:val="single" w:sz="4" w:space="0" w:color="auto"/>
            </w:tcBorders>
          </w:tcPr>
          <w:p w14:paraId="69CC6245" w14:textId="77777777" w:rsidR="00FD658D" w:rsidRPr="005E4819" w:rsidRDefault="00FD658D" w:rsidP="00FD658D">
            <w:pPr>
              <w:pStyle w:val="Tabletext"/>
            </w:pPr>
            <w:r w:rsidRPr="005E4819">
              <w:t>91</w:t>
            </w:r>
          </w:p>
        </w:tc>
        <w:tc>
          <w:tcPr>
            <w:tcW w:w="966" w:type="pct"/>
            <w:tcBorders>
              <w:top w:val="single" w:sz="4" w:space="0" w:color="auto"/>
              <w:bottom w:val="single" w:sz="4" w:space="0" w:color="auto"/>
            </w:tcBorders>
            <w:shd w:val="clear" w:color="auto" w:fill="auto"/>
            <w:vAlign w:val="bottom"/>
          </w:tcPr>
          <w:p w14:paraId="60E2DFF5" w14:textId="77777777" w:rsidR="00FD658D" w:rsidRPr="005E4819" w:rsidRDefault="00FD658D" w:rsidP="005E4819">
            <w:pPr>
              <w:pStyle w:val="Tabletext"/>
            </w:pPr>
            <w:r w:rsidRPr="005E4819">
              <w:t>3</w:t>
            </w:r>
            <w:r w:rsidR="00D7157D">
              <w:t>.</w:t>
            </w:r>
            <w:r w:rsidRPr="005E4819">
              <w:t>2742</w:t>
            </w:r>
          </w:p>
        </w:tc>
        <w:tc>
          <w:tcPr>
            <w:tcW w:w="966" w:type="pct"/>
            <w:tcBorders>
              <w:top w:val="single" w:sz="4" w:space="0" w:color="auto"/>
              <w:bottom w:val="single" w:sz="4" w:space="0" w:color="auto"/>
            </w:tcBorders>
            <w:shd w:val="clear" w:color="auto" w:fill="auto"/>
            <w:vAlign w:val="bottom"/>
          </w:tcPr>
          <w:p w14:paraId="7AB6B39C" w14:textId="77777777" w:rsidR="00FD658D" w:rsidRPr="005E4819" w:rsidRDefault="00FD658D" w:rsidP="005E4819">
            <w:pPr>
              <w:pStyle w:val="Tabletext"/>
            </w:pPr>
            <w:r w:rsidRPr="005E4819">
              <w:t>0</w:t>
            </w:r>
            <w:r w:rsidR="00D7157D">
              <w:t>.</w:t>
            </w:r>
            <w:r w:rsidRPr="005E4819">
              <w:t>3402</w:t>
            </w:r>
          </w:p>
        </w:tc>
        <w:tc>
          <w:tcPr>
            <w:tcW w:w="966" w:type="pct"/>
            <w:tcBorders>
              <w:top w:val="single" w:sz="4" w:space="0" w:color="auto"/>
              <w:bottom w:val="single" w:sz="4" w:space="0" w:color="auto"/>
            </w:tcBorders>
            <w:shd w:val="clear" w:color="auto" w:fill="auto"/>
            <w:vAlign w:val="bottom"/>
          </w:tcPr>
          <w:p w14:paraId="4E15604E" w14:textId="77777777" w:rsidR="00FD658D" w:rsidRPr="005E4819" w:rsidRDefault="00FD658D" w:rsidP="005E4819">
            <w:pPr>
              <w:pStyle w:val="Tabletext"/>
            </w:pPr>
            <w:r w:rsidRPr="005E4819">
              <w:t>3</w:t>
            </w:r>
            <w:r w:rsidR="00D7157D">
              <w:t>.</w:t>
            </w:r>
            <w:r w:rsidRPr="005E4819">
              <w:t>4202</w:t>
            </w:r>
          </w:p>
        </w:tc>
        <w:tc>
          <w:tcPr>
            <w:tcW w:w="966" w:type="pct"/>
            <w:tcBorders>
              <w:top w:val="single" w:sz="4" w:space="0" w:color="auto"/>
              <w:bottom w:val="single" w:sz="4" w:space="0" w:color="auto"/>
              <w:right w:val="nil"/>
            </w:tcBorders>
            <w:shd w:val="clear" w:color="auto" w:fill="auto"/>
            <w:vAlign w:val="bottom"/>
          </w:tcPr>
          <w:p w14:paraId="251C7B43" w14:textId="77777777" w:rsidR="00FD658D" w:rsidRPr="005E4819" w:rsidRDefault="00FD658D" w:rsidP="005E4819">
            <w:pPr>
              <w:pStyle w:val="Tabletext"/>
            </w:pPr>
            <w:r w:rsidRPr="005E4819">
              <w:t>0</w:t>
            </w:r>
            <w:r w:rsidR="00D7157D">
              <w:t>.</w:t>
            </w:r>
            <w:r w:rsidRPr="005E4819">
              <w:t>1013</w:t>
            </w:r>
          </w:p>
        </w:tc>
      </w:tr>
      <w:tr w:rsidR="00FD658D" w:rsidRPr="005E4819" w14:paraId="4F7EC890" w14:textId="77777777" w:rsidTr="00F160E0">
        <w:trPr>
          <w:cantSplit/>
        </w:trPr>
        <w:tc>
          <w:tcPr>
            <w:tcW w:w="1136" w:type="pct"/>
            <w:tcBorders>
              <w:top w:val="single" w:sz="4" w:space="0" w:color="auto"/>
              <w:bottom w:val="single" w:sz="4" w:space="0" w:color="auto"/>
            </w:tcBorders>
          </w:tcPr>
          <w:p w14:paraId="42D07247" w14:textId="77777777" w:rsidR="00FD658D" w:rsidRPr="005E4819" w:rsidRDefault="00FD658D" w:rsidP="00FD658D">
            <w:pPr>
              <w:pStyle w:val="Tabletext"/>
            </w:pPr>
            <w:r w:rsidRPr="005E4819">
              <w:t>92</w:t>
            </w:r>
          </w:p>
        </w:tc>
        <w:tc>
          <w:tcPr>
            <w:tcW w:w="966" w:type="pct"/>
            <w:tcBorders>
              <w:top w:val="single" w:sz="4" w:space="0" w:color="auto"/>
              <w:bottom w:val="single" w:sz="4" w:space="0" w:color="auto"/>
            </w:tcBorders>
            <w:shd w:val="clear" w:color="auto" w:fill="auto"/>
            <w:vAlign w:val="bottom"/>
          </w:tcPr>
          <w:p w14:paraId="51BCE4B6" w14:textId="77777777" w:rsidR="00FD658D" w:rsidRPr="005E4819" w:rsidRDefault="00FD658D" w:rsidP="005E4819">
            <w:pPr>
              <w:pStyle w:val="Tabletext"/>
            </w:pPr>
            <w:r w:rsidRPr="005E4819">
              <w:t>3</w:t>
            </w:r>
            <w:r w:rsidR="00D7157D">
              <w:t>.</w:t>
            </w:r>
            <w:r w:rsidRPr="005E4819">
              <w:t>1030</w:t>
            </w:r>
          </w:p>
        </w:tc>
        <w:tc>
          <w:tcPr>
            <w:tcW w:w="966" w:type="pct"/>
            <w:tcBorders>
              <w:top w:val="single" w:sz="4" w:space="0" w:color="auto"/>
              <w:bottom w:val="single" w:sz="4" w:space="0" w:color="auto"/>
            </w:tcBorders>
            <w:shd w:val="clear" w:color="auto" w:fill="auto"/>
            <w:vAlign w:val="bottom"/>
          </w:tcPr>
          <w:p w14:paraId="569EE891" w14:textId="77777777" w:rsidR="00FD658D" w:rsidRPr="005E4819" w:rsidRDefault="00FD658D" w:rsidP="005E4819">
            <w:pPr>
              <w:pStyle w:val="Tabletext"/>
            </w:pPr>
            <w:r w:rsidRPr="005E4819">
              <w:t>0</w:t>
            </w:r>
            <w:r w:rsidR="00D7157D">
              <w:t>.</w:t>
            </w:r>
            <w:r w:rsidRPr="005E4819">
              <w:t>3257</w:t>
            </w:r>
          </w:p>
        </w:tc>
        <w:tc>
          <w:tcPr>
            <w:tcW w:w="966" w:type="pct"/>
            <w:tcBorders>
              <w:top w:val="single" w:sz="4" w:space="0" w:color="auto"/>
              <w:bottom w:val="single" w:sz="4" w:space="0" w:color="auto"/>
            </w:tcBorders>
            <w:shd w:val="clear" w:color="auto" w:fill="auto"/>
            <w:vAlign w:val="bottom"/>
          </w:tcPr>
          <w:p w14:paraId="294CE356" w14:textId="77777777" w:rsidR="00FD658D" w:rsidRPr="005E4819" w:rsidRDefault="00FD658D" w:rsidP="005E4819">
            <w:pPr>
              <w:pStyle w:val="Tabletext"/>
            </w:pPr>
            <w:r w:rsidRPr="005E4819">
              <w:t>3</w:t>
            </w:r>
            <w:r w:rsidR="00D7157D">
              <w:t>.</w:t>
            </w:r>
            <w:r w:rsidRPr="005E4819">
              <w:t>2267</w:t>
            </w:r>
          </w:p>
        </w:tc>
        <w:tc>
          <w:tcPr>
            <w:tcW w:w="966" w:type="pct"/>
            <w:tcBorders>
              <w:top w:val="single" w:sz="4" w:space="0" w:color="auto"/>
              <w:bottom w:val="single" w:sz="4" w:space="0" w:color="auto"/>
              <w:right w:val="nil"/>
            </w:tcBorders>
            <w:shd w:val="clear" w:color="auto" w:fill="auto"/>
            <w:vAlign w:val="bottom"/>
          </w:tcPr>
          <w:p w14:paraId="05BA19DC" w14:textId="77777777" w:rsidR="00FD658D" w:rsidRPr="005E4819" w:rsidRDefault="00FD658D" w:rsidP="005E4819">
            <w:pPr>
              <w:pStyle w:val="Tabletext"/>
            </w:pPr>
            <w:r w:rsidRPr="005E4819">
              <w:t>0</w:t>
            </w:r>
            <w:r w:rsidR="00D7157D">
              <w:t>.</w:t>
            </w:r>
            <w:r w:rsidRPr="005E4819">
              <w:t>0982</w:t>
            </w:r>
          </w:p>
        </w:tc>
      </w:tr>
      <w:tr w:rsidR="00FD658D" w:rsidRPr="005E4819" w14:paraId="105A830C" w14:textId="77777777" w:rsidTr="00F160E0">
        <w:trPr>
          <w:cantSplit/>
        </w:trPr>
        <w:tc>
          <w:tcPr>
            <w:tcW w:w="1136" w:type="pct"/>
            <w:tcBorders>
              <w:top w:val="single" w:sz="4" w:space="0" w:color="auto"/>
              <w:bottom w:val="single" w:sz="4" w:space="0" w:color="auto"/>
            </w:tcBorders>
          </w:tcPr>
          <w:p w14:paraId="4DE12CA1" w14:textId="77777777" w:rsidR="00FD658D" w:rsidRPr="005E4819" w:rsidRDefault="00FD658D" w:rsidP="00FD658D">
            <w:pPr>
              <w:pStyle w:val="Tabletext"/>
            </w:pPr>
            <w:r w:rsidRPr="005E4819">
              <w:t>93</w:t>
            </w:r>
          </w:p>
        </w:tc>
        <w:tc>
          <w:tcPr>
            <w:tcW w:w="966" w:type="pct"/>
            <w:tcBorders>
              <w:top w:val="single" w:sz="4" w:space="0" w:color="auto"/>
              <w:bottom w:val="single" w:sz="4" w:space="0" w:color="auto"/>
            </w:tcBorders>
            <w:shd w:val="clear" w:color="auto" w:fill="auto"/>
            <w:vAlign w:val="bottom"/>
          </w:tcPr>
          <w:p w14:paraId="527A010B" w14:textId="77777777" w:rsidR="00FD658D" w:rsidRPr="005E4819" w:rsidRDefault="00FD658D" w:rsidP="005E4819">
            <w:pPr>
              <w:pStyle w:val="Tabletext"/>
            </w:pPr>
            <w:r w:rsidRPr="005E4819">
              <w:t>2</w:t>
            </w:r>
            <w:r w:rsidR="00D7157D">
              <w:t>.</w:t>
            </w:r>
            <w:r w:rsidRPr="005E4819">
              <w:t>9424</w:t>
            </w:r>
          </w:p>
        </w:tc>
        <w:tc>
          <w:tcPr>
            <w:tcW w:w="966" w:type="pct"/>
            <w:tcBorders>
              <w:top w:val="single" w:sz="4" w:space="0" w:color="auto"/>
              <w:bottom w:val="single" w:sz="4" w:space="0" w:color="auto"/>
            </w:tcBorders>
            <w:shd w:val="clear" w:color="auto" w:fill="auto"/>
            <w:vAlign w:val="bottom"/>
          </w:tcPr>
          <w:p w14:paraId="2D86D3B2" w14:textId="77777777" w:rsidR="00FD658D" w:rsidRPr="005E4819" w:rsidRDefault="00FD658D" w:rsidP="005E4819">
            <w:pPr>
              <w:pStyle w:val="Tabletext"/>
            </w:pPr>
            <w:r w:rsidRPr="005E4819">
              <w:t>0</w:t>
            </w:r>
            <w:r w:rsidR="00D7157D">
              <w:t>.</w:t>
            </w:r>
            <w:r w:rsidRPr="005E4819">
              <w:t>3112</w:t>
            </w:r>
          </w:p>
        </w:tc>
        <w:tc>
          <w:tcPr>
            <w:tcW w:w="966" w:type="pct"/>
            <w:tcBorders>
              <w:top w:val="single" w:sz="4" w:space="0" w:color="auto"/>
              <w:bottom w:val="single" w:sz="4" w:space="0" w:color="auto"/>
            </w:tcBorders>
            <w:shd w:val="clear" w:color="auto" w:fill="auto"/>
            <w:vAlign w:val="bottom"/>
          </w:tcPr>
          <w:p w14:paraId="28741F32" w14:textId="77777777" w:rsidR="00FD658D" w:rsidRPr="005E4819" w:rsidRDefault="00FD658D" w:rsidP="005E4819">
            <w:pPr>
              <w:pStyle w:val="Tabletext"/>
            </w:pPr>
            <w:r w:rsidRPr="005E4819">
              <w:t>3</w:t>
            </w:r>
            <w:r w:rsidR="00D7157D">
              <w:t>.</w:t>
            </w:r>
            <w:r w:rsidRPr="005E4819">
              <w:t>0518</w:t>
            </w:r>
          </w:p>
        </w:tc>
        <w:tc>
          <w:tcPr>
            <w:tcW w:w="966" w:type="pct"/>
            <w:tcBorders>
              <w:top w:val="single" w:sz="4" w:space="0" w:color="auto"/>
              <w:bottom w:val="single" w:sz="4" w:space="0" w:color="auto"/>
              <w:right w:val="nil"/>
            </w:tcBorders>
            <w:shd w:val="clear" w:color="auto" w:fill="auto"/>
            <w:vAlign w:val="bottom"/>
          </w:tcPr>
          <w:p w14:paraId="09DD783D" w14:textId="77777777" w:rsidR="00FD658D" w:rsidRPr="005E4819" w:rsidRDefault="00FD658D" w:rsidP="005E4819">
            <w:pPr>
              <w:pStyle w:val="Tabletext"/>
            </w:pPr>
            <w:r w:rsidRPr="005E4819">
              <w:t>0</w:t>
            </w:r>
            <w:r w:rsidR="00D7157D">
              <w:t>.</w:t>
            </w:r>
            <w:r w:rsidRPr="005E4819">
              <w:t>0950</w:t>
            </w:r>
          </w:p>
        </w:tc>
      </w:tr>
      <w:tr w:rsidR="00FD658D" w:rsidRPr="005E4819" w14:paraId="17503110" w14:textId="77777777" w:rsidTr="00F160E0">
        <w:trPr>
          <w:cantSplit/>
        </w:trPr>
        <w:tc>
          <w:tcPr>
            <w:tcW w:w="1136" w:type="pct"/>
            <w:tcBorders>
              <w:top w:val="single" w:sz="4" w:space="0" w:color="auto"/>
              <w:bottom w:val="single" w:sz="4" w:space="0" w:color="auto"/>
            </w:tcBorders>
          </w:tcPr>
          <w:p w14:paraId="7B621063" w14:textId="77777777" w:rsidR="00FD658D" w:rsidRPr="005E4819" w:rsidRDefault="00FD658D" w:rsidP="00FD658D">
            <w:pPr>
              <w:pStyle w:val="Tabletext"/>
            </w:pPr>
            <w:r w:rsidRPr="005E4819">
              <w:t>94</w:t>
            </w:r>
          </w:p>
        </w:tc>
        <w:tc>
          <w:tcPr>
            <w:tcW w:w="966" w:type="pct"/>
            <w:tcBorders>
              <w:top w:val="single" w:sz="4" w:space="0" w:color="auto"/>
              <w:bottom w:val="single" w:sz="4" w:space="0" w:color="auto"/>
            </w:tcBorders>
            <w:shd w:val="clear" w:color="auto" w:fill="auto"/>
            <w:vAlign w:val="bottom"/>
          </w:tcPr>
          <w:p w14:paraId="7C1BAC88" w14:textId="77777777" w:rsidR="00FD658D" w:rsidRPr="005E4819" w:rsidRDefault="00FD658D" w:rsidP="005E4819">
            <w:pPr>
              <w:pStyle w:val="Tabletext"/>
            </w:pPr>
            <w:r w:rsidRPr="005E4819">
              <w:t>2</w:t>
            </w:r>
            <w:r w:rsidR="00D7157D">
              <w:t>.</w:t>
            </w:r>
            <w:r w:rsidRPr="005E4819">
              <w:t>7903</w:t>
            </w:r>
          </w:p>
        </w:tc>
        <w:tc>
          <w:tcPr>
            <w:tcW w:w="966" w:type="pct"/>
            <w:tcBorders>
              <w:top w:val="single" w:sz="4" w:space="0" w:color="auto"/>
              <w:bottom w:val="single" w:sz="4" w:space="0" w:color="auto"/>
            </w:tcBorders>
            <w:shd w:val="clear" w:color="auto" w:fill="auto"/>
            <w:vAlign w:val="bottom"/>
          </w:tcPr>
          <w:p w14:paraId="4CB6E64D" w14:textId="77777777" w:rsidR="00FD658D" w:rsidRPr="005E4819" w:rsidRDefault="00FD658D" w:rsidP="005E4819">
            <w:pPr>
              <w:pStyle w:val="Tabletext"/>
            </w:pPr>
            <w:r w:rsidRPr="005E4819">
              <w:t>0</w:t>
            </w:r>
            <w:r w:rsidR="00D7157D">
              <w:t>.</w:t>
            </w:r>
            <w:r w:rsidRPr="005E4819">
              <w:t>2968</w:t>
            </w:r>
          </w:p>
        </w:tc>
        <w:tc>
          <w:tcPr>
            <w:tcW w:w="966" w:type="pct"/>
            <w:tcBorders>
              <w:top w:val="single" w:sz="4" w:space="0" w:color="auto"/>
              <w:bottom w:val="single" w:sz="4" w:space="0" w:color="auto"/>
            </w:tcBorders>
            <w:shd w:val="clear" w:color="auto" w:fill="auto"/>
            <w:vAlign w:val="bottom"/>
          </w:tcPr>
          <w:p w14:paraId="1FADEC6B" w14:textId="77777777" w:rsidR="00FD658D" w:rsidRPr="005E4819" w:rsidRDefault="00FD658D" w:rsidP="005E4819">
            <w:pPr>
              <w:pStyle w:val="Tabletext"/>
            </w:pPr>
            <w:r w:rsidRPr="005E4819">
              <w:t>2</w:t>
            </w:r>
            <w:r w:rsidR="00D7157D">
              <w:t>.</w:t>
            </w:r>
            <w:r w:rsidRPr="005E4819">
              <w:t>8937</w:t>
            </w:r>
          </w:p>
        </w:tc>
        <w:tc>
          <w:tcPr>
            <w:tcW w:w="966" w:type="pct"/>
            <w:tcBorders>
              <w:top w:val="single" w:sz="4" w:space="0" w:color="auto"/>
              <w:bottom w:val="single" w:sz="4" w:space="0" w:color="auto"/>
              <w:right w:val="nil"/>
            </w:tcBorders>
            <w:shd w:val="clear" w:color="auto" w:fill="auto"/>
            <w:vAlign w:val="bottom"/>
          </w:tcPr>
          <w:p w14:paraId="6E53938B" w14:textId="77777777" w:rsidR="00FD658D" w:rsidRPr="005E4819" w:rsidRDefault="00FD658D" w:rsidP="005E4819">
            <w:pPr>
              <w:pStyle w:val="Tabletext"/>
            </w:pPr>
            <w:r w:rsidRPr="005E4819">
              <w:t>0</w:t>
            </w:r>
            <w:r w:rsidR="00D7157D">
              <w:t>.</w:t>
            </w:r>
            <w:r w:rsidRPr="005E4819">
              <w:t>0916</w:t>
            </w:r>
          </w:p>
        </w:tc>
      </w:tr>
      <w:tr w:rsidR="00FD658D" w:rsidRPr="005E4819" w14:paraId="4E0CF9B3" w14:textId="77777777" w:rsidTr="00F160E0">
        <w:trPr>
          <w:cantSplit/>
        </w:trPr>
        <w:tc>
          <w:tcPr>
            <w:tcW w:w="1136" w:type="pct"/>
            <w:tcBorders>
              <w:top w:val="single" w:sz="4" w:space="0" w:color="auto"/>
              <w:bottom w:val="single" w:sz="4" w:space="0" w:color="auto"/>
            </w:tcBorders>
          </w:tcPr>
          <w:p w14:paraId="7A76E623" w14:textId="77777777" w:rsidR="00FD658D" w:rsidRPr="005E4819" w:rsidRDefault="00FD658D" w:rsidP="00FD658D">
            <w:pPr>
              <w:pStyle w:val="Tabletext"/>
            </w:pPr>
            <w:r w:rsidRPr="005E4819">
              <w:t>95</w:t>
            </w:r>
          </w:p>
        </w:tc>
        <w:tc>
          <w:tcPr>
            <w:tcW w:w="966" w:type="pct"/>
            <w:tcBorders>
              <w:top w:val="single" w:sz="4" w:space="0" w:color="auto"/>
              <w:bottom w:val="single" w:sz="4" w:space="0" w:color="auto"/>
            </w:tcBorders>
            <w:shd w:val="clear" w:color="auto" w:fill="auto"/>
            <w:vAlign w:val="bottom"/>
          </w:tcPr>
          <w:p w14:paraId="3E67B6D0" w14:textId="77777777" w:rsidR="00FD658D" w:rsidRPr="005E4819" w:rsidRDefault="00FD658D" w:rsidP="005E4819">
            <w:pPr>
              <w:pStyle w:val="Tabletext"/>
            </w:pPr>
            <w:r w:rsidRPr="005E4819">
              <w:t>2</w:t>
            </w:r>
            <w:r w:rsidR="00D7157D">
              <w:t>.</w:t>
            </w:r>
            <w:r w:rsidRPr="005E4819">
              <w:t>6446</w:t>
            </w:r>
          </w:p>
        </w:tc>
        <w:tc>
          <w:tcPr>
            <w:tcW w:w="966" w:type="pct"/>
            <w:tcBorders>
              <w:top w:val="single" w:sz="4" w:space="0" w:color="auto"/>
              <w:bottom w:val="single" w:sz="4" w:space="0" w:color="auto"/>
            </w:tcBorders>
            <w:shd w:val="clear" w:color="auto" w:fill="auto"/>
            <w:vAlign w:val="bottom"/>
          </w:tcPr>
          <w:p w14:paraId="2BDD2B32" w14:textId="77777777" w:rsidR="00FD658D" w:rsidRPr="005E4819" w:rsidRDefault="00FD658D" w:rsidP="005E4819">
            <w:pPr>
              <w:pStyle w:val="Tabletext"/>
            </w:pPr>
            <w:r w:rsidRPr="005E4819">
              <w:t>0</w:t>
            </w:r>
            <w:r w:rsidR="00D7157D">
              <w:t>.</w:t>
            </w:r>
            <w:r w:rsidRPr="005E4819">
              <w:t>2822</w:t>
            </w:r>
          </w:p>
        </w:tc>
        <w:tc>
          <w:tcPr>
            <w:tcW w:w="966" w:type="pct"/>
            <w:tcBorders>
              <w:top w:val="single" w:sz="4" w:space="0" w:color="auto"/>
              <w:bottom w:val="single" w:sz="4" w:space="0" w:color="auto"/>
            </w:tcBorders>
            <w:shd w:val="clear" w:color="auto" w:fill="auto"/>
            <w:vAlign w:val="bottom"/>
          </w:tcPr>
          <w:p w14:paraId="5ECEEAA3" w14:textId="77777777" w:rsidR="00FD658D" w:rsidRPr="005E4819" w:rsidRDefault="00FD658D" w:rsidP="005E4819">
            <w:pPr>
              <w:pStyle w:val="Tabletext"/>
            </w:pPr>
            <w:r w:rsidRPr="005E4819">
              <w:t>2</w:t>
            </w:r>
            <w:r w:rsidR="00D7157D">
              <w:t>.</w:t>
            </w:r>
            <w:r w:rsidRPr="005E4819">
              <w:t>7426</w:t>
            </w:r>
          </w:p>
        </w:tc>
        <w:tc>
          <w:tcPr>
            <w:tcW w:w="966" w:type="pct"/>
            <w:tcBorders>
              <w:top w:val="single" w:sz="4" w:space="0" w:color="auto"/>
              <w:bottom w:val="single" w:sz="4" w:space="0" w:color="auto"/>
              <w:right w:val="nil"/>
            </w:tcBorders>
            <w:shd w:val="clear" w:color="auto" w:fill="auto"/>
            <w:vAlign w:val="bottom"/>
          </w:tcPr>
          <w:p w14:paraId="430C6860" w14:textId="77777777" w:rsidR="00FD658D" w:rsidRPr="005E4819" w:rsidRDefault="00FD658D" w:rsidP="005E4819">
            <w:pPr>
              <w:pStyle w:val="Tabletext"/>
            </w:pPr>
            <w:r w:rsidRPr="005E4819">
              <w:t>0</w:t>
            </w:r>
            <w:r w:rsidR="00D7157D">
              <w:t>.</w:t>
            </w:r>
            <w:r w:rsidRPr="005E4819">
              <w:t>0883</w:t>
            </w:r>
          </w:p>
        </w:tc>
      </w:tr>
      <w:tr w:rsidR="00FD658D" w:rsidRPr="005E4819" w14:paraId="675C414D" w14:textId="77777777" w:rsidTr="00F160E0">
        <w:trPr>
          <w:cantSplit/>
        </w:trPr>
        <w:tc>
          <w:tcPr>
            <w:tcW w:w="1136" w:type="pct"/>
            <w:tcBorders>
              <w:top w:val="single" w:sz="4" w:space="0" w:color="auto"/>
              <w:bottom w:val="single" w:sz="4" w:space="0" w:color="auto"/>
            </w:tcBorders>
          </w:tcPr>
          <w:p w14:paraId="62D42529" w14:textId="77777777" w:rsidR="00FD658D" w:rsidRPr="005E4819" w:rsidRDefault="00FD658D" w:rsidP="00FD658D">
            <w:pPr>
              <w:pStyle w:val="Tabletext"/>
            </w:pPr>
            <w:r w:rsidRPr="005E4819">
              <w:t>96</w:t>
            </w:r>
          </w:p>
        </w:tc>
        <w:tc>
          <w:tcPr>
            <w:tcW w:w="966" w:type="pct"/>
            <w:tcBorders>
              <w:top w:val="single" w:sz="4" w:space="0" w:color="auto"/>
              <w:bottom w:val="single" w:sz="4" w:space="0" w:color="auto"/>
            </w:tcBorders>
            <w:shd w:val="clear" w:color="auto" w:fill="auto"/>
            <w:vAlign w:val="bottom"/>
          </w:tcPr>
          <w:p w14:paraId="7FA28DA0" w14:textId="77777777" w:rsidR="00FD658D" w:rsidRPr="005E4819" w:rsidRDefault="00FD658D" w:rsidP="005E4819">
            <w:pPr>
              <w:pStyle w:val="Tabletext"/>
            </w:pPr>
            <w:r w:rsidRPr="005E4819">
              <w:t>2</w:t>
            </w:r>
            <w:r w:rsidR="00D7157D">
              <w:t>.</w:t>
            </w:r>
            <w:r w:rsidRPr="005E4819">
              <w:t>5025</w:t>
            </w:r>
          </w:p>
        </w:tc>
        <w:tc>
          <w:tcPr>
            <w:tcW w:w="966" w:type="pct"/>
            <w:tcBorders>
              <w:top w:val="single" w:sz="4" w:space="0" w:color="auto"/>
              <w:bottom w:val="single" w:sz="4" w:space="0" w:color="auto"/>
            </w:tcBorders>
            <w:shd w:val="clear" w:color="auto" w:fill="auto"/>
            <w:vAlign w:val="bottom"/>
          </w:tcPr>
          <w:p w14:paraId="1A203D5F" w14:textId="77777777" w:rsidR="00FD658D" w:rsidRPr="005E4819" w:rsidRDefault="00FD658D" w:rsidP="005E4819">
            <w:pPr>
              <w:pStyle w:val="Tabletext"/>
            </w:pPr>
            <w:r w:rsidRPr="005E4819">
              <w:t>0</w:t>
            </w:r>
            <w:r w:rsidR="00D7157D">
              <w:t>.</w:t>
            </w:r>
            <w:r w:rsidRPr="005E4819">
              <w:t>2676</w:t>
            </w:r>
          </w:p>
        </w:tc>
        <w:tc>
          <w:tcPr>
            <w:tcW w:w="966" w:type="pct"/>
            <w:tcBorders>
              <w:top w:val="single" w:sz="4" w:space="0" w:color="auto"/>
              <w:bottom w:val="single" w:sz="4" w:space="0" w:color="auto"/>
            </w:tcBorders>
            <w:shd w:val="clear" w:color="auto" w:fill="auto"/>
            <w:vAlign w:val="bottom"/>
          </w:tcPr>
          <w:p w14:paraId="61DF1DEE" w14:textId="77777777" w:rsidR="00FD658D" w:rsidRPr="005E4819" w:rsidRDefault="00FD658D" w:rsidP="005E4819">
            <w:pPr>
              <w:pStyle w:val="Tabletext"/>
            </w:pPr>
            <w:r w:rsidRPr="005E4819">
              <w:t>2</w:t>
            </w:r>
            <w:r w:rsidR="00D7157D">
              <w:t>.</w:t>
            </w:r>
            <w:r w:rsidRPr="005E4819">
              <w:t>5991</w:t>
            </w:r>
          </w:p>
        </w:tc>
        <w:tc>
          <w:tcPr>
            <w:tcW w:w="966" w:type="pct"/>
            <w:tcBorders>
              <w:top w:val="single" w:sz="4" w:space="0" w:color="auto"/>
              <w:bottom w:val="single" w:sz="4" w:space="0" w:color="auto"/>
              <w:right w:val="nil"/>
            </w:tcBorders>
            <w:shd w:val="clear" w:color="auto" w:fill="auto"/>
            <w:vAlign w:val="bottom"/>
          </w:tcPr>
          <w:p w14:paraId="478C2B0C" w14:textId="77777777" w:rsidR="00FD658D" w:rsidRPr="005E4819" w:rsidRDefault="00FD658D" w:rsidP="005E4819">
            <w:pPr>
              <w:pStyle w:val="Tabletext"/>
            </w:pPr>
            <w:r w:rsidRPr="005E4819">
              <w:t>0</w:t>
            </w:r>
            <w:r w:rsidR="00D7157D">
              <w:t>.</w:t>
            </w:r>
            <w:r w:rsidRPr="005E4819">
              <w:t>0849</w:t>
            </w:r>
          </w:p>
        </w:tc>
      </w:tr>
      <w:tr w:rsidR="00FD658D" w:rsidRPr="005E4819" w14:paraId="53573232" w14:textId="77777777" w:rsidTr="00F160E0">
        <w:trPr>
          <w:cantSplit/>
        </w:trPr>
        <w:tc>
          <w:tcPr>
            <w:tcW w:w="1136" w:type="pct"/>
            <w:tcBorders>
              <w:top w:val="single" w:sz="4" w:space="0" w:color="auto"/>
              <w:bottom w:val="single" w:sz="4" w:space="0" w:color="auto"/>
            </w:tcBorders>
          </w:tcPr>
          <w:p w14:paraId="59420DEC" w14:textId="77777777" w:rsidR="00FD658D" w:rsidRPr="005E4819" w:rsidRDefault="00FD658D" w:rsidP="00FD658D">
            <w:pPr>
              <w:pStyle w:val="Tabletext"/>
            </w:pPr>
            <w:r w:rsidRPr="005E4819">
              <w:t>97</w:t>
            </w:r>
          </w:p>
        </w:tc>
        <w:tc>
          <w:tcPr>
            <w:tcW w:w="966" w:type="pct"/>
            <w:tcBorders>
              <w:top w:val="single" w:sz="4" w:space="0" w:color="auto"/>
              <w:bottom w:val="single" w:sz="4" w:space="0" w:color="auto"/>
            </w:tcBorders>
            <w:shd w:val="clear" w:color="auto" w:fill="auto"/>
            <w:vAlign w:val="bottom"/>
          </w:tcPr>
          <w:p w14:paraId="561D069A" w14:textId="77777777" w:rsidR="00FD658D" w:rsidRPr="005E4819" w:rsidRDefault="00FD658D" w:rsidP="005E4819">
            <w:pPr>
              <w:pStyle w:val="Tabletext"/>
            </w:pPr>
            <w:r w:rsidRPr="005E4819">
              <w:t>2</w:t>
            </w:r>
            <w:r w:rsidR="00D7157D">
              <w:t>.</w:t>
            </w:r>
            <w:r w:rsidRPr="005E4819">
              <w:t>3698</w:t>
            </w:r>
          </w:p>
        </w:tc>
        <w:tc>
          <w:tcPr>
            <w:tcW w:w="966" w:type="pct"/>
            <w:tcBorders>
              <w:top w:val="single" w:sz="4" w:space="0" w:color="auto"/>
              <w:bottom w:val="single" w:sz="4" w:space="0" w:color="auto"/>
            </w:tcBorders>
            <w:shd w:val="clear" w:color="auto" w:fill="auto"/>
            <w:vAlign w:val="bottom"/>
          </w:tcPr>
          <w:p w14:paraId="3293230E" w14:textId="77777777" w:rsidR="00FD658D" w:rsidRPr="005E4819" w:rsidRDefault="00FD658D" w:rsidP="005E4819">
            <w:pPr>
              <w:pStyle w:val="Tabletext"/>
            </w:pPr>
            <w:r w:rsidRPr="005E4819">
              <w:t>0</w:t>
            </w:r>
            <w:r w:rsidR="00D7157D">
              <w:t>.</w:t>
            </w:r>
            <w:r w:rsidRPr="005E4819">
              <w:t>2528</w:t>
            </w:r>
          </w:p>
        </w:tc>
        <w:tc>
          <w:tcPr>
            <w:tcW w:w="966" w:type="pct"/>
            <w:tcBorders>
              <w:top w:val="single" w:sz="4" w:space="0" w:color="auto"/>
              <w:bottom w:val="single" w:sz="4" w:space="0" w:color="auto"/>
            </w:tcBorders>
            <w:shd w:val="clear" w:color="auto" w:fill="auto"/>
            <w:vAlign w:val="bottom"/>
          </w:tcPr>
          <w:p w14:paraId="51B49325" w14:textId="77777777" w:rsidR="00FD658D" w:rsidRPr="005E4819" w:rsidRDefault="00FD658D" w:rsidP="005E4819">
            <w:pPr>
              <w:pStyle w:val="Tabletext"/>
            </w:pPr>
            <w:r w:rsidRPr="005E4819">
              <w:t>2</w:t>
            </w:r>
            <w:r w:rsidR="00D7157D">
              <w:t>.</w:t>
            </w:r>
            <w:r w:rsidRPr="005E4819">
              <w:t>4598</w:t>
            </w:r>
          </w:p>
        </w:tc>
        <w:tc>
          <w:tcPr>
            <w:tcW w:w="966" w:type="pct"/>
            <w:tcBorders>
              <w:top w:val="single" w:sz="4" w:space="0" w:color="auto"/>
              <w:bottom w:val="single" w:sz="4" w:space="0" w:color="auto"/>
              <w:right w:val="nil"/>
            </w:tcBorders>
            <w:shd w:val="clear" w:color="auto" w:fill="auto"/>
            <w:vAlign w:val="bottom"/>
          </w:tcPr>
          <w:p w14:paraId="177DE216" w14:textId="77777777" w:rsidR="00FD658D" w:rsidRPr="005E4819" w:rsidRDefault="00FD658D" w:rsidP="005E4819">
            <w:pPr>
              <w:pStyle w:val="Tabletext"/>
            </w:pPr>
            <w:r w:rsidRPr="005E4819">
              <w:t>0</w:t>
            </w:r>
            <w:r w:rsidR="00D7157D">
              <w:t>.</w:t>
            </w:r>
            <w:r w:rsidRPr="005E4819">
              <w:t>0815</w:t>
            </w:r>
          </w:p>
        </w:tc>
      </w:tr>
      <w:tr w:rsidR="00FD658D" w:rsidRPr="005E4819" w14:paraId="181DB7F0" w14:textId="77777777" w:rsidTr="00F160E0">
        <w:trPr>
          <w:cantSplit/>
        </w:trPr>
        <w:tc>
          <w:tcPr>
            <w:tcW w:w="1136" w:type="pct"/>
            <w:tcBorders>
              <w:top w:val="single" w:sz="4" w:space="0" w:color="auto"/>
              <w:bottom w:val="single" w:sz="4" w:space="0" w:color="auto"/>
            </w:tcBorders>
          </w:tcPr>
          <w:p w14:paraId="532D7796" w14:textId="77777777" w:rsidR="00FD658D" w:rsidRPr="005E4819" w:rsidRDefault="00FD658D" w:rsidP="00FD658D">
            <w:pPr>
              <w:pStyle w:val="Tabletext"/>
            </w:pPr>
            <w:r w:rsidRPr="005E4819">
              <w:t>98</w:t>
            </w:r>
          </w:p>
        </w:tc>
        <w:tc>
          <w:tcPr>
            <w:tcW w:w="966" w:type="pct"/>
            <w:tcBorders>
              <w:top w:val="single" w:sz="4" w:space="0" w:color="auto"/>
              <w:bottom w:val="single" w:sz="4" w:space="0" w:color="auto"/>
            </w:tcBorders>
            <w:shd w:val="clear" w:color="auto" w:fill="auto"/>
            <w:vAlign w:val="bottom"/>
          </w:tcPr>
          <w:p w14:paraId="1251A404" w14:textId="77777777" w:rsidR="00FD658D" w:rsidRPr="005E4819" w:rsidRDefault="00FD658D" w:rsidP="005E4819">
            <w:pPr>
              <w:pStyle w:val="Tabletext"/>
            </w:pPr>
            <w:r w:rsidRPr="005E4819">
              <w:t>2</w:t>
            </w:r>
            <w:r w:rsidR="00D7157D">
              <w:t>.</w:t>
            </w:r>
            <w:r w:rsidRPr="005E4819">
              <w:t>2458</w:t>
            </w:r>
          </w:p>
        </w:tc>
        <w:tc>
          <w:tcPr>
            <w:tcW w:w="966" w:type="pct"/>
            <w:tcBorders>
              <w:top w:val="single" w:sz="4" w:space="0" w:color="auto"/>
              <w:bottom w:val="single" w:sz="4" w:space="0" w:color="auto"/>
            </w:tcBorders>
            <w:shd w:val="clear" w:color="auto" w:fill="auto"/>
            <w:vAlign w:val="bottom"/>
          </w:tcPr>
          <w:p w14:paraId="610DDDDB" w14:textId="77777777" w:rsidR="00FD658D" w:rsidRPr="005E4819" w:rsidRDefault="00FD658D" w:rsidP="005E4819">
            <w:pPr>
              <w:pStyle w:val="Tabletext"/>
            </w:pPr>
            <w:r w:rsidRPr="005E4819">
              <w:t>0</w:t>
            </w:r>
            <w:r w:rsidR="00D7157D">
              <w:t>.</w:t>
            </w:r>
            <w:r w:rsidRPr="005E4819">
              <w:t>2377</w:t>
            </w:r>
          </w:p>
        </w:tc>
        <w:tc>
          <w:tcPr>
            <w:tcW w:w="966" w:type="pct"/>
            <w:tcBorders>
              <w:top w:val="single" w:sz="4" w:space="0" w:color="auto"/>
              <w:bottom w:val="single" w:sz="4" w:space="0" w:color="auto"/>
            </w:tcBorders>
            <w:shd w:val="clear" w:color="auto" w:fill="auto"/>
            <w:vAlign w:val="bottom"/>
          </w:tcPr>
          <w:p w14:paraId="6C05016F" w14:textId="77777777" w:rsidR="00FD658D" w:rsidRPr="005E4819" w:rsidRDefault="00FD658D" w:rsidP="005E4819">
            <w:pPr>
              <w:pStyle w:val="Tabletext"/>
            </w:pPr>
            <w:r w:rsidRPr="005E4819">
              <w:t>2</w:t>
            </w:r>
            <w:r w:rsidR="00D7157D">
              <w:t>.</w:t>
            </w:r>
            <w:r w:rsidRPr="005E4819">
              <w:t>3317</w:t>
            </w:r>
          </w:p>
        </w:tc>
        <w:tc>
          <w:tcPr>
            <w:tcW w:w="966" w:type="pct"/>
            <w:tcBorders>
              <w:top w:val="single" w:sz="4" w:space="0" w:color="auto"/>
              <w:bottom w:val="single" w:sz="4" w:space="0" w:color="auto"/>
              <w:right w:val="nil"/>
            </w:tcBorders>
            <w:shd w:val="clear" w:color="auto" w:fill="auto"/>
            <w:vAlign w:val="bottom"/>
          </w:tcPr>
          <w:p w14:paraId="1714E83A" w14:textId="77777777" w:rsidR="00FD658D" w:rsidRPr="005E4819" w:rsidRDefault="00FD658D" w:rsidP="005E4819">
            <w:pPr>
              <w:pStyle w:val="Tabletext"/>
            </w:pPr>
            <w:r w:rsidRPr="005E4819">
              <w:t>0</w:t>
            </w:r>
            <w:r w:rsidR="00D7157D">
              <w:t>.</w:t>
            </w:r>
            <w:r w:rsidRPr="005E4819">
              <w:t>0778</w:t>
            </w:r>
          </w:p>
        </w:tc>
      </w:tr>
      <w:tr w:rsidR="00FD658D" w:rsidRPr="009E2595" w14:paraId="6BF8B964" w14:textId="77777777" w:rsidTr="00F160E0">
        <w:trPr>
          <w:cantSplit/>
        </w:trPr>
        <w:tc>
          <w:tcPr>
            <w:tcW w:w="1136" w:type="pct"/>
            <w:tcBorders>
              <w:top w:val="single" w:sz="4" w:space="0" w:color="auto"/>
              <w:bottom w:val="single" w:sz="12" w:space="0" w:color="auto"/>
            </w:tcBorders>
          </w:tcPr>
          <w:p w14:paraId="472634E0" w14:textId="77777777" w:rsidR="00FD658D" w:rsidRPr="005E4819" w:rsidRDefault="00ED15BD" w:rsidP="00FD658D">
            <w:pPr>
              <w:pStyle w:val="Tabletext"/>
            </w:pPr>
            <w:r>
              <w:t>99 and over</w:t>
            </w:r>
          </w:p>
        </w:tc>
        <w:tc>
          <w:tcPr>
            <w:tcW w:w="966" w:type="pct"/>
            <w:tcBorders>
              <w:top w:val="single" w:sz="4" w:space="0" w:color="auto"/>
              <w:bottom w:val="single" w:sz="12" w:space="0" w:color="auto"/>
            </w:tcBorders>
            <w:shd w:val="clear" w:color="auto" w:fill="auto"/>
            <w:vAlign w:val="bottom"/>
          </w:tcPr>
          <w:p w14:paraId="1FC7422E" w14:textId="77777777" w:rsidR="00FD658D" w:rsidRPr="005E4819" w:rsidRDefault="00FD658D" w:rsidP="005E4819">
            <w:pPr>
              <w:pStyle w:val="Tabletext"/>
            </w:pPr>
            <w:r w:rsidRPr="005E4819">
              <w:t>2</w:t>
            </w:r>
            <w:r w:rsidR="00D7157D">
              <w:t>.</w:t>
            </w:r>
            <w:r w:rsidRPr="005E4819">
              <w:t>1304</w:t>
            </w:r>
          </w:p>
        </w:tc>
        <w:tc>
          <w:tcPr>
            <w:tcW w:w="966" w:type="pct"/>
            <w:tcBorders>
              <w:top w:val="single" w:sz="4" w:space="0" w:color="auto"/>
              <w:bottom w:val="single" w:sz="12" w:space="0" w:color="auto"/>
            </w:tcBorders>
            <w:shd w:val="clear" w:color="auto" w:fill="auto"/>
            <w:vAlign w:val="bottom"/>
          </w:tcPr>
          <w:p w14:paraId="3A429928" w14:textId="77777777" w:rsidR="00FD658D" w:rsidRPr="005E4819" w:rsidRDefault="00FD658D" w:rsidP="005E4819">
            <w:pPr>
              <w:pStyle w:val="Tabletext"/>
            </w:pPr>
            <w:r w:rsidRPr="005E4819">
              <w:t>0</w:t>
            </w:r>
            <w:r w:rsidR="00D7157D">
              <w:t>.</w:t>
            </w:r>
            <w:r w:rsidRPr="005E4819">
              <w:t>2220</w:t>
            </w:r>
          </w:p>
        </w:tc>
        <w:tc>
          <w:tcPr>
            <w:tcW w:w="966" w:type="pct"/>
            <w:tcBorders>
              <w:top w:val="single" w:sz="4" w:space="0" w:color="auto"/>
              <w:bottom w:val="single" w:sz="12" w:space="0" w:color="auto"/>
            </w:tcBorders>
            <w:shd w:val="clear" w:color="auto" w:fill="auto"/>
            <w:vAlign w:val="bottom"/>
          </w:tcPr>
          <w:p w14:paraId="27FA6115" w14:textId="77777777" w:rsidR="00FD658D" w:rsidRPr="005E4819" w:rsidRDefault="00FD658D" w:rsidP="005E4819">
            <w:pPr>
              <w:pStyle w:val="Tabletext"/>
            </w:pPr>
            <w:r w:rsidRPr="005E4819">
              <w:t>2</w:t>
            </w:r>
            <w:r w:rsidR="00D7157D">
              <w:t>.</w:t>
            </w:r>
            <w:r w:rsidRPr="005E4819">
              <w:t>2136</w:t>
            </w:r>
          </w:p>
        </w:tc>
        <w:tc>
          <w:tcPr>
            <w:tcW w:w="966" w:type="pct"/>
            <w:tcBorders>
              <w:top w:val="single" w:sz="4" w:space="0" w:color="auto"/>
              <w:bottom w:val="single" w:sz="12" w:space="0" w:color="auto"/>
              <w:right w:val="nil"/>
            </w:tcBorders>
            <w:shd w:val="clear" w:color="auto" w:fill="auto"/>
            <w:vAlign w:val="bottom"/>
          </w:tcPr>
          <w:p w14:paraId="4B6B3C65" w14:textId="77777777" w:rsidR="00FD658D" w:rsidRPr="005E4819" w:rsidRDefault="00FD658D" w:rsidP="005E4819">
            <w:pPr>
              <w:pStyle w:val="Tabletext"/>
            </w:pPr>
            <w:r w:rsidRPr="005E4819">
              <w:t>0</w:t>
            </w:r>
            <w:r w:rsidR="00D7157D">
              <w:t>.</w:t>
            </w:r>
            <w:r w:rsidRPr="005E4819">
              <w:t>0739</w:t>
            </w:r>
          </w:p>
        </w:tc>
      </w:tr>
    </w:tbl>
    <w:p w14:paraId="3FED3534" w14:textId="77777777" w:rsidR="000527FC" w:rsidRPr="00063033" w:rsidRDefault="000527FC" w:rsidP="000527FC">
      <w:pPr>
        <w:pStyle w:val="ActHead5"/>
      </w:pPr>
      <w:bookmarkStart w:id="334" w:name="_Toc188350809"/>
      <w:r w:rsidRPr="00423C34">
        <w:rPr>
          <w:rStyle w:val="CharSectno"/>
        </w:rPr>
        <w:t>4</w:t>
      </w:r>
      <w:r w:rsidRPr="00063033">
        <w:t xml:space="preserve">  Valuation factors—CPI indexed pension</w:t>
      </w:r>
      <w:bookmarkEnd w:id="334"/>
    </w:p>
    <w:p w14:paraId="0A1ED9BF" w14:textId="77777777" w:rsidR="000527FC" w:rsidRPr="00063033" w:rsidRDefault="000527FC" w:rsidP="000527FC">
      <w:pPr>
        <w:pStyle w:val="subsection"/>
      </w:pPr>
      <w:r w:rsidRPr="00063033">
        <w:tab/>
      </w:r>
      <w:r w:rsidRPr="00063033">
        <w:tab/>
        <w:t>The pension valuation factors and reversion valuation factors set out in this clause apply if the pension is indexed in accordance with the consumer price index</w:t>
      </w:r>
      <w:r w:rsidR="00D7157D">
        <w:t>.</w:t>
      </w:r>
    </w:p>
    <w:p w14:paraId="5C941D4C" w14:textId="77777777" w:rsidR="000527FC" w:rsidRPr="00063033"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063033" w14:paraId="4A557E54" w14:textId="77777777" w:rsidTr="00FD658D">
        <w:trPr>
          <w:cantSplit/>
          <w:trHeight w:val="256"/>
          <w:tblHeader/>
        </w:trPr>
        <w:tc>
          <w:tcPr>
            <w:tcW w:w="1136" w:type="pct"/>
            <w:vMerge w:val="restart"/>
            <w:tcBorders>
              <w:top w:val="single" w:sz="12" w:space="0" w:color="auto"/>
              <w:bottom w:val="single" w:sz="12" w:space="0" w:color="auto"/>
            </w:tcBorders>
          </w:tcPr>
          <w:p w14:paraId="3934CD31" w14:textId="77777777" w:rsidR="000527FC" w:rsidRPr="00063033" w:rsidRDefault="000527FC" w:rsidP="00FD658D">
            <w:pPr>
              <w:pStyle w:val="TableHeading"/>
            </w:pPr>
            <w:r w:rsidRPr="00063033">
              <w:t>Age at relevant date (in completed years)</w:t>
            </w:r>
          </w:p>
        </w:tc>
        <w:tc>
          <w:tcPr>
            <w:tcW w:w="3864" w:type="pct"/>
            <w:gridSpan w:val="4"/>
            <w:tcBorders>
              <w:top w:val="single" w:sz="12" w:space="0" w:color="auto"/>
              <w:bottom w:val="single" w:sz="4" w:space="0" w:color="auto"/>
            </w:tcBorders>
          </w:tcPr>
          <w:p w14:paraId="39B0AFD0" w14:textId="77777777" w:rsidR="000527FC" w:rsidRPr="00063033" w:rsidRDefault="000527FC" w:rsidP="00FD658D">
            <w:pPr>
              <w:pStyle w:val="TableHeading"/>
            </w:pPr>
            <w:r w:rsidRPr="00063033">
              <w:t>Valuation factors—CPI indexed pension</w:t>
            </w:r>
          </w:p>
        </w:tc>
      </w:tr>
      <w:tr w:rsidR="000527FC" w:rsidRPr="00063033" w14:paraId="26426761" w14:textId="77777777" w:rsidTr="00FD658D">
        <w:trPr>
          <w:cantSplit/>
          <w:trHeight w:val="50"/>
          <w:tblHeader/>
        </w:trPr>
        <w:tc>
          <w:tcPr>
            <w:tcW w:w="1136" w:type="pct"/>
            <w:vMerge/>
            <w:tcBorders>
              <w:bottom w:val="single" w:sz="12" w:space="0" w:color="auto"/>
            </w:tcBorders>
          </w:tcPr>
          <w:p w14:paraId="4CDC2618" w14:textId="77777777" w:rsidR="000527FC" w:rsidRPr="00063033" w:rsidRDefault="000527FC" w:rsidP="00FD658D">
            <w:pPr>
              <w:pStyle w:val="TableHeading"/>
            </w:pPr>
          </w:p>
        </w:tc>
        <w:tc>
          <w:tcPr>
            <w:tcW w:w="1932" w:type="pct"/>
            <w:gridSpan w:val="2"/>
            <w:tcBorders>
              <w:top w:val="single" w:sz="4" w:space="0" w:color="auto"/>
              <w:bottom w:val="single" w:sz="4" w:space="0" w:color="auto"/>
            </w:tcBorders>
          </w:tcPr>
          <w:p w14:paraId="34AE4ECC" w14:textId="77777777" w:rsidR="000527FC" w:rsidRPr="00063033" w:rsidRDefault="000527FC" w:rsidP="00FD658D">
            <w:pPr>
              <w:pStyle w:val="TableHeading"/>
            </w:pPr>
            <w:r w:rsidRPr="00063033">
              <w:t>Males</w:t>
            </w:r>
          </w:p>
        </w:tc>
        <w:tc>
          <w:tcPr>
            <w:tcW w:w="1932" w:type="pct"/>
            <w:gridSpan w:val="2"/>
            <w:tcBorders>
              <w:top w:val="single" w:sz="4" w:space="0" w:color="auto"/>
              <w:bottom w:val="single" w:sz="4" w:space="0" w:color="auto"/>
            </w:tcBorders>
          </w:tcPr>
          <w:p w14:paraId="1E11A70D" w14:textId="77777777" w:rsidR="000527FC" w:rsidRPr="00063033" w:rsidRDefault="000527FC" w:rsidP="00FD658D">
            <w:pPr>
              <w:pStyle w:val="TableHeading"/>
            </w:pPr>
            <w:r w:rsidRPr="00063033">
              <w:t>Females</w:t>
            </w:r>
          </w:p>
        </w:tc>
      </w:tr>
      <w:tr w:rsidR="000527FC" w:rsidRPr="00F61CED" w14:paraId="6DC393F1" w14:textId="77777777" w:rsidTr="00F160E0">
        <w:trPr>
          <w:cantSplit/>
          <w:trHeight w:val="152"/>
          <w:tblHeader/>
        </w:trPr>
        <w:tc>
          <w:tcPr>
            <w:tcW w:w="1136" w:type="pct"/>
            <w:vMerge/>
            <w:tcBorders>
              <w:bottom w:val="single" w:sz="12" w:space="0" w:color="auto"/>
            </w:tcBorders>
          </w:tcPr>
          <w:p w14:paraId="5C84BCEB" w14:textId="77777777" w:rsidR="000527FC" w:rsidRPr="00063033" w:rsidRDefault="000527FC" w:rsidP="00FD658D">
            <w:pPr>
              <w:pStyle w:val="TableHeading"/>
            </w:pPr>
          </w:p>
        </w:tc>
        <w:tc>
          <w:tcPr>
            <w:tcW w:w="966" w:type="pct"/>
            <w:tcBorders>
              <w:top w:val="single" w:sz="4" w:space="0" w:color="auto"/>
              <w:bottom w:val="single" w:sz="12" w:space="0" w:color="auto"/>
            </w:tcBorders>
          </w:tcPr>
          <w:p w14:paraId="6B50648D" w14:textId="77777777" w:rsidR="000527FC" w:rsidRPr="00063033" w:rsidRDefault="000527FC" w:rsidP="00FD658D">
            <w:pPr>
              <w:pStyle w:val="TableHeading"/>
            </w:pPr>
            <w:r w:rsidRPr="00063033">
              <w:t>Pension</w:t>
            </w:r>
          </w:p>
        </w:tc>
        <w:tc>
          <w:tcPr>
            <w:tcW w:w="966" w:type="pct"/>
            <w:tcBorders>
              <w:top w:val="single" w:sz="4" w:space="0" w:color="auto"/>
              <w:bottom w:val="single" w:sz="12" w:space="0" w:color="auto"/>
            </w:tcBorders>
          </w:tcPr>
          <w:p w14:paraId="062E659E" w14:textId="77777777" w:rsidR="000527FC" w:rsidRPr="00063033" w:rsidRDefault="000527FC" w:rsidP="00FD658D">
            <w:pPr>
              <w:pStyle w:val="TableHeading"/>
            </w:pPr>
            <w:r w:rsidRPr="00063033">
              <w:t>Reversion</w:t>
            </w:r>
          </w:p>
        </w:tc>
        <w:tc>
          <w:tcPr>
            <w:tcW w:w="966" w:type="pct"/>
            <w:tcBorders>
              <w:top w:val="single" w:sz="4" w:space="0" w:color="auto"/>
              <w:bottom w:val="single" w:sz="12" w:space="0" w:color="auto"/>
            </w:tcBorders>
          </w:tcPr>
          <w:p w14:paraId="3CFD238F" w14:textId="77777777" w:rsidR="000527FC" w:rsidRPr="00063033" w:rsidRDefault="000527FC" w:rsidP="00FD658D">
            <w:pPr>
              <w:pStyle w:val="TableHeading"/>
            </w:pPr>
            <w:r w:rsidRPr="00063033">
              <w:t>Pension</w:t>
            </w:r>
          </w:p>
        </w:tc>
        <w:tc>
          <w:tcPr>
            <w:tcW w:w="966" w:type="pct"/>
            <w:tcBorders>
              <w:top w:val="single" w:sz="4" w:space="0" w:color="auto"/>
              <w:bottom w:val="single" w:sz="12" w:space="0" w:color="auto"/>
            </w:tcBorders>
          </w:tcPr>
          <w:p w14:paraId="5649F186" w14:textId="77777777" w:rsidR="000527FC" w:rsidRPr="00063033" w:rsidRDefault="000527FC" w:rsidP="00FD658D">
            <w:pPr>
              <w:pStyle w:val="TableHeading"/>
            </w:pPr>
            <w:r w:rsidRPr="00063033">
              <w:t>Reversion</w:t>
            </w:r>
          </w:p>
        </w:tc>
      </w:tr>
      <w:tr w:rsidR="008342F0" w:rsidRPr="008342F0" w14:paraId="4D78B5A6" w14:textId="77777777" w:rsidTr="00F160E0">
        <w:trPr>
          <w:cantSplit/>
        </w:trPr>
        <w:tc>
          <w:tcPr>
            <w:tcW w:w="1136" w:type="pct"/>
            <w:tcBorders>
              <w:top w:val="single" w:sz="12" w:space="0" w:color="auto"/>
              <w:bottom w:val="single" w:sz="4" w:space="0" w:color="auto"/>
            </w:tcBorders>
          </w:tcPr>
          <w:p w14:paraId="030F84D5" w14:textId="77777777" w:rsidR="008342F0" w:rsidRPr="00063033" w:rsidRDefault="008342F0" w:rsidP="008342F0">
            <w:pPr>
              <w:pStyle w:val="Tabletext"/>
              <w:rPr>
                <w:snapToGrid w:val="0"/>
              </w:rPr>
            </w:pPr>
            <w:r w:rsidRPr="00063033">
              <w:rPr>
                <w:snapToGrid w:val="0"/>
              </w:rPr>
              <w:t>18</w:t>
            </w:r>
          </w:p>
        </w:tc>
        <w:tc>
          <w:tcPr>
            <w:tcW w:w="966" w:type="pct"/>
            <w:tcBorders>
              <w:top w:val="single" w:sz="12" w:space="0" w:color="auto"/>
              <w:bottom w:val="single" w:sz="4" w:space="0" w:color="auto"/>
            </w:tcBorders>
            <w:shd w:val="clear" w:color="auto" w:fill="auto"/>
            <w:vAlign w:val="bottom"/>
          </w:tcPr>
          <w:p w14:paraId="056791A9" w14:textId="77777777" w:rsidR="008342F0" w:rsidRPr="008342F0" w:rsidRDefault="008342F0" w:rsidP="008342F0">
            <w:pPr>
              <w:pStyle w:val="Tabletext"/>
            </w:pPr>
            <w:r w:rsidRPr="008342F0">
              <w:t>24</w:t>
            </w:r>
            <w:r w:rsidR="00D7157D">
              <w:t>.</w:t>
            </w:r>
            <w:r w:rsidRPr="008342F0">
              <w:t>6150</w:t>
            </w:r>
          </w:p>
        </w:tc>
        <w:tc>
          <w:tcPr>
            <w:tcW w:w="966" w:type="pct"/>
            <w:tcBorders>
              <w:top w:val="single" w:sz="12" w:space="0" w:color="auto"/>
              <w:bottom w:val="single" w:sz="4" w:space="0" w:color="auto"/>
            </w:tcBorders>
            <w:shd w:val="clear" w:color="auto" w:fill="auto"/>
            <w:vAlign w:val="bottom"/>
          </w:tcPr>
          <w:p w14:paraId="714BAF4D" w14:textId="77777777" w:rsidR="008342F0" w:rsidRPr="008342F0" w:rsidRDefault="008342F0" w:rsidP="008342F0">
            <w:pPr>
              <w:pStyle w:val="Tabletext"/>
            </w:pPr>
            <w:r w:rsidRPr="008342F0">
              <w:t>1</w:t>
            </w:r>
            <w:r w:rsidR="00D7157D">
              <w:t>.</w:t>
            </w:r>
            <w:r w:rsidRPr="008342F0">
              <w:t>8241</w:t>
            </w:r>
          </w:p>
        </w:tc>
        <w:tc>
          <w:tcPr>
            <w:tcW w:w="966" w:type="pct"/>
            <w:tcBorders>
              <w:top w:val="single" w:sz="12" w:space="0" w:color="auto"/>
              <w:bottom w:val="single" w:sz="4" w:space="0" w:color="auto"/>
            </w:tcBorders>
            <w:shd w:val="clear" w:color="auto" w:fill="auto"/>
            <w:vAlign w:val="bottom"/>
          </w:tcPr>
          <w:p w14:paraId="7F910290" w14:textId="77777777" w:rsidR="008342F0" w:rsidRPr="008342F0" w:rsidRDefault="008342F0" w:rsidP="008342F0">
            <w:pPr>
              <w:pStyle w:val="Tabletext"/>
            </w:pPr>
            <w:r w:rsidRPr="008342F0">
              <w:t>25</w:t>
            </w:r>
            <w:r w:rsidR="00D7157D">
              <w:t>.</w:t>
            </w:r>
            <w:r w:rsidRPr="008342F0">
              <w:t>4446</w:t>
            </w:r>
          </w:p>
        </w:tc>
        <w:tc>
          <w:tcPr>
            <w:tcW w:w="966" w:type="pct"/>
            <w:tcBorders>
              <w:top w:val="single" w:sz="12" w:space="0" w:color="auto"/>
              <w:bottom w:val="single" w:sz="4" w:space="0" w:color="auto"/>
              <w:right w:val="nil"/>
            </w:tcBorders>
            <w:shd w:val="clear" w:color="auto" w:fill="auto"/>
            <w:vAlign w:val="bottom"/>
          </w:tcPr>
          <w:p w14:paraId="791C4B11" w14:textId="77777777" w:rsidR="008342F0" w:rsidRPr="008342F0" w:rsidRDefault="008342F0" w:rsidP="008342F0">
            <w:pPr>
              <w:pStyle w:val="Tabletext"/>
            </w:pPr>
            <w:r w:rsidRPr="008342F0">
              <w:t>0</w:t>
            </w:r>
            <w:r w:rsidR="00D7157D">
              <w:t>.</w:t>
            </w:r>
            <w:r w:rsidRPr="008342F0">
              <w:t>9025</w:t>
            </w:r>
          </w:p>
        </w:tc>
      </w:tr>
      <w:tr w:rsidR="008342F0" w:rsidRPr="008342F0" w14:paraId="32274AD5" w14:textId="77777777" w:rsidTr="00F160E0">
        <w:trPr>
          <w:cantSplit/>
        </w:trPr>
        <w:tc>
          <w:tcPr>
            <w:tcW w:w="1136" w:type="pct"/>
            <w:tcBorders>
              <w:top w:val="single" w:sz="4" w:space="0" w:color="auto"/>
              <w:bottom w:val="single" w:sz="4" w:space="0" w:color="auto"/>
            </w:tcBorders>
          </w:tcPr>
          <w:p w14:paraId="2ADD7F7E" w14:textId="77777777" w:rsidR="008342F0" w:rsidRPr="00063033" w:rsidRDefault="008342F0" w:rsidP="008342F0">
            <w:pPr>
              <w:pStyle w:val="Tabletext"/>
            </w:pPr>
            <w:r w:rsidRPr="00063033">
              <w:t>19</w:t>
            </w:r>
          </w:p>
        </w:tc>
        <w:tc>
          <w:tcPr>
            <w:tcW w:w="966" w:type="pct"/>
            <w:tcBorders>
              <w:top w:val="single" w:sz="4" w:space="0" w:color="auto"/>
              <w:bottom w:val="single" w:sz="4" w:space="0" w:color="auto"/>
            </w:tcBorders>
            <w:shd w:val="clear" w:color="auto" w:fill="auto"/>
            <w:vAlign w:val="bottom"/>
          </w:tcPr>
          <w:p w14:paraId="0E70C49E" w14:textId="77777777" w:rsidR="008342F0" w:rsidRPr="008342F0" w:rsidRDefault="008342F0" w:rsidP="008342F0">
            <w:pPr>
              <w:pStyle w:val="Tabletext"/>
            </w:pPr>
            <w:r w:rsidRPr="008342F0">
              <w:t>24</w:t>
            </w:r>
            <w:r w:rsidR="00D7157D">
              <w:t>.</w:t>
            </w:r>
            <w:r w:rsidRPr="008342F0">
              <w:t>4896</w:t>
            </w:r>
          </w:p>
        </w:tc>
        <w:tc>
          <w:tcPr>
            <w:tcW w:w="966" w:type="pct"/>
            <w:tcBorders>
              <w:top w:val="single" w:sz="4" w:space="0" w:color="auto"/>
              <w:bottom w:val="single" w:sz="4" w:space="0" w:color="auto"/>
            </w:tcBorders>
            <w:shd w:val="clear" w:color="auto" w:fill="auto"/>
            <w:vAlign w:val="bottom"/>
          </w:tcPr>
          <w:p w14:paraId="17338B96" w14:textId="77777777" w:rsidR="008342F0" w:rsidRPr="008342F0" w:rsidRDefault="008342F0" w:rsidP="008342F0">
            <w:pPr>
              <w:pStyle w:val="Tabletext"/>
            </w:pPr>
            <w:r w:rsidRPr="008342F0">
              <w:t>1</w:t>
            </w:r>
            <w:r w:rsidR="00D7157D">
              <w:t>.</w:t>
            </w:r>
            <w:r w:rsidRPr="008342F0">
              <w:t>8544</w:t>
            </w:r>
          </w:p>
        </w:tc>
        <w:tc>
          <w:tcPr>
            <w:tcW w:w="966" w:type="pct"/>
            <w:tcBorders>
              <w:top w:val="single" w:sz="4" w:space="0" w:color="auto"/>
              <w:bottom w:val="single" w:sz="4" w:space="0" w:color="auto"/>
            </w:tcBorders>
            <w:shd w:val="clear" w:color="auto" w:fill="auto"/>
            <w:vAlign w:val="bottom"/>
          </w:tcPr>
          <w:p w14:paraId="2F7EB716" w14:textId="77777777" w:rsidR="008342F0" w:rsidRPr="008342F0" w:rsidRDefault="008342F0" w:rsidP="008342F0">
            <w:pPr>
              <w:pStyle w:val="Tabletext"/>
            </w:pPr>
            <w:r w:rsidRPr="008342F0">
              <w:t>25</w:t>
            </w:r>
            <w:r w:rsidR="00D7157D">
              <w:t>.</w:t>
            </w:r>
            <w:r w:rsidRPr="008342F0">
              <w:t>3293</w:t>
            </w:r>
          </w:p>
        </w:tc>
        <w:tc>
          <w:tcPr>
            <w:tcW w:w="966" w:type="pct"/>
            <w:tcBorders>
              <w:top w:val="single" w:sz="4" w:space="0" w:color="auto"/>
              <w:bottom w:val="single" w:sz="4" w:space="0" w:color="auto"/>
              <w:right w:val="nil"/>
            </w:tcBorders>
            <w:shd w:val="clear" w:color="auto" w:fill="auto"/>
            <w:vAlign w:val="bottom"/>
          </w:tcPr>
          <w:p w14:paraId="2B42864F" w14:textId="77777777" w:rsidR="008342F0" w:rsidRPr="008342F0" w:rsidRDefault="008342F0" w:rsidP="008342F0">
            <w:pPr>
              <w:pStyle w:val="Tabletext"/>
            </w:pPr>
            <w:r w:rsidRPr="008342F0">
              <w:t>0</w:t>
            </w:r>
            <w:r w:rsidR="00D7157D">
              <w:t>.</w:t>
            </w:r>
            <w:r w:rsidRPr="008342F0">
              <w:t>9163</w:t>
            </w:r>
          </w:p>
        </w:tc>
      </w:tr>
      <w:tr w:rsidR="008342F0" w:rsidRPr="008342F0" w14:paraId="31DBFB1A" w14:textId="77777777" w:rsidTr="00F160E0">
        <w:trPr>
          <w:cantSplit/>
        </w:trPr>
        <w:tc>
          <w:tcPr>
            <w:tcW w:w="1136" w:type="pct"/>
            <w:tcBorders>
              <w:top w:val="single" w:sz="4" w:space="0" w:color="auto"/>
              <w:bottom w:val="single" w:sz="4" w:space="0" w:color="auto"/>
            </w:tcBorders>
          </w:tcPr>
          <w:p w14:paraId="286EA7D2" w14:textId="77777777" w:rsidR="008342F0" w:rsidRPr="00063033" w:rsidRDefault="008342F0" w:rsidP="008342F0">
            <w:pPr>
              <w:pStyle w:val="Tabletext"/>
            </w:pPr>
            <w:r w:rsidRPr="00063033">
              <w:t>20</w:t>
            </w:r>
          </w:p>
        </w:tc>
        <w:tc>
          <w:tcPr>
            <w:tcW w:w="966" w:type="pct"/>
            <w:tcBorders>
              <w:top w:val="single" w:sz="4" w:space="0" w:color="auto"/>
              <w:bottom w:val="single" w:sz="4" w:space="0" w:color="auto"/>
            </w:tcBorders>
            <w:shd w:val="clear" w:color="auto" w:fill="auto"/>
            <w:vAlign w:val="bottom"/>
          </w:tcPr>
          <w:p w14:paraId="3828DFFB" w14:textId="77777777" w:rsidR="008342F0" w:rsidRPr="008342F0" w:rsidRDefault="008342F0" w:rsidP="008342F0">
            <w:pPr>
              <w:pStyle w:val="Tabletext"/>
            </w:pPr>
            <w:r w:rsidRPr="008342F0">
              <w:t>24</w:t>
            </w:r>
            <w:r w:rsidR="00D7157D">
              <w:t>.</w:t>
            </w:r>
            <w:r w:rsidRPr="008342F0">
              <w:t>3597</w:t>
            </w:r>
          </w:p>
        </w:tc>
        <w:tc>
          <w:tcPr>
            <w:tcW w:w="966" w:type="pct"/>
            <w:tcBorders>
              <w:top w:val="single" w:sz="4" w:space="0" w:color="auto"/>
              <w:bottom w:val="single" w:sz="4" w:space="0" w:color="auto"/>
            </w:tcBorders>
            <w:shd w:val="clear" w:color="auto" w:fill="auto"/>
            <w:vAlign w:val="bottom"/>
          </w:tcPr>
          <w:p w14:paraId="13257EF9" w14:textId="77777777" w:rsidR="008342F0" w:rsidRPr="008342F0" w:rsidRDefault="008342F0" w:rsidP="008342F0">
            <w:pPr>
              <w:pStyle w:val="Tabletext"/>
            </w:pPr>
            <w:r w:rsidRPr="008342F0">
              <w:t>1</w:t>
            </w:r>
            <w:r w:rsidR="00D7157D">
              <w:t>.</w:t>
            </w:r>
            <w:r w:rsidRPr="008342F0">
              <w:t>8860</w:t>
            </w:r>
          </w:p>
        </w:tc>
        <w:tc>
          <w:tcPr>
            <w:tcW w:w="966" w:type="pct"/>
            <w:tcBorders>
              <w:top w:val="single" w:sz="4" w:space="0" w:color="auto"/>
              <w:bottom w:val="single" w:sz="4" w:space="0" w:color="auto"/>
            </w:tcBorders>
            <w:shd w:val="clear" w:color="auto" w:fill="auto"/>
            <w:vAlign w:val="bottom"/>
          </w:tcPr>
          <w:p w14:paraId="2084C151" w14:textId="77777777" w:rsidR="008342F0" w:rsidRPr="008342F0" w:rsidRDefault="008342F0" w:rsidP="008342F0">
            <w:pPr>
              <w:pStyle w:val="Tabletext"/>
            </w:pPr>
            <w:r w:rsidRPr="008342F0">
              <w:t>25</w:t>
            </w:r>
            <w:r w:rsidR="00D7157D">
              <w:t>.</w:t>
            </w:r>
            <w:r w:rsidRPr="008342F0">
              <w:t>2100</w:t>
            </w:r>
          </w:p>
        </w:tc>
        <w:tc>
          <w:tcPr>
            <w:tcW w:w="966" w:type="pct"/>
            <w:tcBorders>
              <w:top w:val="single" w:sz="4" w:space="0" w:color="auto"/>
              <w:bottom w:val="single" w:sz="4" w:space="0" w:color="auto"/>
              <w:right w:val="nil"/>
            </w:tcBorders>
            <w:shd w:val="clear" w:color="auto" w:fill="auto"/>
            <w:vAlign w:val="bottom"/>
          </w:tcPr>
          <w:p w14:paraId="1FF9165F" w14:textId="77777777" w:rsidR="008342F0" w:rsidRPr="008342F0" w:rsidRDefault="008342F0" w:rsidP="008342F0">
            <w:pPr>
              <w:pStyle w:val="Tabletext"/>
            </w:pPr>
            <w:r w:rsidRPr="008342F0">
              <w:t>0</w:t>
            </w:r>
            <w:r w:rsidR="00D7157D">
              <w:t>.</w:t>
            </w:r>
            <w:r w:rsidRPr="008342F0">
              <w:t>9306</w:t>
            </w:r>
          </w:p>
        </w:tc>
      </w:tr>
      <w:tr w:rsidR="008342F0" w:rsidRPr="008342F0" w14:paraId="1F4B30FC" w14:textId="77777777" w:rsidTr="00F160E0">
        <w:trPr>
          <w:cantSplit/>
        </w:trPr>
        <w:tc>
          <w:tcPr>
            <w:tcW w:w="1136" w:type="pct"/>
            <w:tcBorders>
              <w:top w:val="single" w:sz="4" w:space="0" w:color="auto"/>
              <w:bottom w:val="single" w:sz="4" w:space="0" w:color="auto"/>
            </w:tcBorders>
          </w:tcPr>
          <w:p w14:paraId="5F3CDDF3" w14:textId="77777777" w:rsidR="008342F0" w:rsidRPr="00063033" w:rsidRDefault="008342F0" w:rsidP="008342F0">
            <w:pPr>
              <w:pStyle w:val="Tabletext"/>
            </w:pPr>
            <w:r w:rsidRPr="00063033">
              <w:t>21</w:t>
            </w:r>
          </w:p>
        </w:tc>
        <w:tc>
          <w:tcPr>
            <w:tcW w:w="966" w:type="pct"/>
            <w:tcBorders>
              <w:top w:val="single" w:sz="4" w:space="0" w:color="auto"/>
              <w:bottom w:val="single" w:sz="4" w:space="0" w:color="auto"/>
            </w:tcBorders>
            <w:shd w:val="clear" w:color="auto" w:fill="auto"/>
            <w:vAlign w:val="bottom"/>
          </w:tcPr>
          <w:p w14:paraId="3D1B9463" w14:textId="77777777" w:rsidR="008342F0" w:rsidRPr="008342F0" w:rsidRDefault="008342F0" w:rsidP="008342F0">
            <w:pPr>
              <w:pStyle w:val="Tabletext"/>
            </w:pPr>
            <w:r w:rsidRPr="008342F0">
              <w:t>24</w:t>
            </w:r>
            <w:r w:rsidR="00D7157D">
              <w:t>.</w:t>
            </w:r>
            <w:r w:rsidRPr="008342F0">
              <w:t>2250</w:t>
            </w:r>
          </w:p>
        </w:tc>
        <w:tc>
          <w:tcPr>
            <w:tcW w:w="966" w:type="pct"/>
            <w:tcBorders>
              <w:top w:val="single" w:sz="4" w:space="0" w:color="auto"/>
              <w:bottom w:val="single" w:sz="4" w:space="0" w:color="auto"/>
            </w:tcBorders>
            <w:shd w:val="clear" w:color="auto" w:fill="auto"/>
            <w:vAlign w:val="bottom"/>
          </w:tcPr>
          <w:p w14:paraId="66185D06" w14:textId="77777777" w:rsidR="008342F0" w:rsidRPr="008342F0" w:rsidRDefault="008342F0" w:rsidP="008342F0">
            <w:pPr>
              <w:pStyle w:val="Tabletext"/>
            </w:pPr>
            <w:r w:rsidRPr="008342F0">
              <w:t>1</w:t>
            </w:r>
            <w:r w:rsidR="00D7157D">
              <w:t>.</w:t>
            </w:r>
            <w:r w:rsidRPr="008342F0">
              <w:t>9187</w:t>
            </w:r>
          </w:p>
        </w:tc>
        <w:tc>
          <w:tcPr>
            <w:tcW w:w="966" w:type="pct"/>
            <w:tcBorders>
              <w:top w:val="single" w:sz="4" w:space="0" w:color="auto"/>
              <w:bottom w:val="single" w:sz="4" w:space="0" w:color="auto"/>
            </w:tcBorders>
            <w:shd w:val="clear" w:color="auto" w:fill="auto"/>
            <w:vAlign w:val="bottom"/>
          </w:tcPr>
          <w:p w14:paraId="4FB59ED2" w14:textId="77777777" w:rsidR="008342F0" w:rsidRPr="008342F0" w:rsidRDefault="008342F0" w:rsidP="008342F0">
            <w:pPr>
              <w:pStyle w:val="Tabletext"/>
            </w:pPr>
            <w:r w:rsidRPr="008342F0">
              <w:t>25</w:t>
            </w:r>
            <w:r w:rsidR="00D7157D">
              <w:t>.</w:t>
            </w:r>
            <w:r w:rsidRPr="008342F0">
              <w:t>0864</w:t>
            </w:r>
          </w:p>
        </w:tc>
        <w:tc>
          <w:tcPr>
            <w:tcW w:w="966" w:type="pct"/>
            <w:tcBorders>
              <w:top w:val="single" w:sz="4" w:space="0" w:color="auto"/>
              <w:bottom w:val="single" w:sz="4" w:space="0" w:color="auto"/>
              <w:right w:val="nil"/>
            </w:tcBorders>
            <w:shd w:val="clear" w:color="auto" w:fill="auto"/>
            <w:vAlign w:val="bottom"/>
          </w:tcPr>
          <w:p w14:paraId="059AD0DC" w14:textId="77777777" w:rsidR="008342F0" w:rsidRPr="008342F0" w:rsidRDefault="008342F0" w:rsidP="008342F0">
            <w:pPr>
              <w:pStyle w:val="Tabletext"/>
            </w:pPr>
            <w:r w:rsidRPr="008342F0">
              <w:t>0</w:t>
            </w:r>
            <w:r w:rsidR="00D7157D">
              <w:t>.</w:t>
            </w:r>
            <w:r w:rsidRPr="008342F0">
              <w:t>9455</w:t>
            </w:r>
          </w:p>
        </w:tc>
      </w:tr>
      <w:tr w:rsidR="008342F0" w:rsidRPr="008342F0" w14:paraId="2A285FBD" w14:textId="77777777" w:rsidTr="00F160E0">
        <w:trPr>
          <w:cantSplit/>
        </w:trPr>
        <w:tc>
          <w:tcPr>
            <w:tcW w:w="1136" w:type="pct"/>
            <w:tcBorders>
              <w:top w:val="single" w:sz="4" w:space="0" w:color="auto"/>
              <w:bottom w:val="single" w:sz="4" w:space="0" w:color="auto"/>
            </w:tcBorders>
          </w:tcPr>
          <w:p w14:paraId="22A2FBB4" w14:textId="77777777" w:rsidR="008342F0" w:rsidRPr="00063033" w:rsidRDefault="008342F0" w:rsidP="008342F0">
            <w:pPr>
              <w:pStyle w:val="Tabletext"/>
            </w:pPr>
            <w:r w:rsidRPr="00063033">
              <w:t>22</w:t>
            </w:r>
          </w:p>
        </w:tc>
        <w:tc>
          <w:tcPr>
            <w:tcW w:w="966" w:type="pct"/>
            <w:tcBorders>
              <w:top w:val="single" w:sz="4" w:space="0" w:color="auto"/>
              <w:bottom w:val="single" w:sz="4" w:space="0" w:color="auto"/>
            </w:tcBorders>
            <w:shd w:val="clear" w:color="auto" w:fill="auto"/>
            <w:vAlign w:val="bottom"/>
          </w:tcPr>
          <w:p w14:paraId="619EFF28" w14:textId="77777777" w:rsidR="008342F0" w:rsidRPr="008342F0" w:rsidRDefault="008342F0" w:rsidP="008342F0">
            <w:pPr>
              <w:pStyle w:val="Tabletext"/>
            </w:pPr>
            <w:r w:rsidRPr="008342F0">
              <w:t>24</w:t>
            </w:r>
            <w:r w:rsidR="00D7157D">
              <w:t>.</w:t>
            </w:r>
            <w:r w:rsidRPr="008342F0">
              <w:t>0855</w:t>
            </w:r>
          </w:p>
        </w:tc>
        <w:tc>
          <w:tcPr>
            <w:tcW w:w="966" w:type="pct"/>
            <w:tcBorders>
              <w:top w:val="single" w:sz="4" w:space="0" w:color="auto"/>
              <w:bottom w:val="single" w:sz="4" w:space="0" w:color="auto"/>
            </w:tcBorders>
            <w:shd w:val="clear" w:color="auto" w:fill="auto"/>
            <w:vAlign w:val="bottom"/>
          </w:tcPr>
          <w:p w14:paraId="2BAF8869" w14:textId="77777777" w:rsidR="008342F0" w:rsidRPr="008342F0" w:rsidRDefault="008342F0" w:rsidP="008342F0">
            <w:pPr>
              <w:pStyle w:val="Tabletext"/>
            </w:pPr>
            <w:r w:rsidRPr="008342F0">
              <w:t>1</w:t>
            </w:r>
            <w:r w:rsidR="00D7157D">
              <w:t>.</w:t>
            </w:r>
            <w:r w:rsidRPr="008342F0">
              <w:t>9527</w:t>
            </w:r>
          </w:p>
        </w:tc>
        <w:tc>
          <w:tcPr>
            <w:tcW w:w="966" w:type="pct"/>
            <w:tcBorders>
              <w:top w:val="single" w:sz="4" w:space="0" w:color="auto"/>
              <w:bottom w:val="single" w:sz="4" w:space="0" w:color="auto"/>
            </w:tcBorders>
            <w:shd w:val="clear" w:color="auto" w:fill="auto"/>
            <w:vAlign w:val="bottom"/>
          </w:tcPr>
          <w:p w14:paraId="0810E6AF" w14:textId="77777777" w:rsidR="008342F0" w:rsidRPr="008342F0" w:rsidRDefault="008342F0" w:rsidP="008342F0">
            <w:pPr>
              <w:pStyle w:val="Tabletext"/>
            </w:pPr>
            <w:r w:rsidRPr="008342F0">
              <w:t>24</w:t>
            </w:r>
            <w:r w:rsidR="00D7157D">
              <w:t>.</w:t>
            </w:r>
            <w:r w:rsidRPr="008342F0">
              <w:t>9584</w:t>
            </w:r>
          </w:p>
        </w:tc>
        <w:tc>
          <w:tcPr>
            <w:tcW w:w="966" w:type="pct"/>
            <w:tcBorders>
              <w:top w:val="single" w:sz="4" w:space="0" w:color="auto"/>
              <w:bottom w:val="single" w:sz="4" w:space="0" w:color="auto"/>
              <w:right w:val="nil"/>
            </w:tcBorders>
            <w:shd w:val="clear" w:color="auto" w:fill="auto"/>
            <w:vAlign w:val="bottom"/>
          </w:tcPr>
          <w:p w14:paraId="0B6E8671" w14:textId="77777777" w:rsidR="008342F0" w:rsidRPr="008342F0" w:rsidRDefault="008342F0" w:rsidP="008342F0">
            <w:pPr>
              <w:pStyle w:val="Tabletext"/>
            </w:pPr>
            <w:r w:rsidRPr="008342F0">
              <w:t>0</w:t>
            </w:r>
            <w:r w:rsidR="00D7157D">
              <w:t>.</w:t>
            </w:r>
            <w:r w:rsidRPr="008342F0">
              <w:t>9609</w:t>
            </w:r>
          </w:p>
        </w:tc>
      </w:tr>
      <w:tr w:rsidR="008342F0" w:rsidRPr="008342F0" w14:paraId="0ECDB488" w14:textId="77777777" w:rsidTr="00F160E0">
        <w:trPr>
          <w:cantSplit/>
        </w:trPr>
        <w:tc>
          <w:tcPr>
            <w:tcW w:w="1136" w:type="pct"/>
            <w:tcBorders>
              <w:top w:val="single" w:sz="4" w:space="0" w:color="auto"/>
              <w:bottom w:val="single" w:sz="4" w:space="0" w:color="auto"/>
            </w:tcBorders>
          </w:tcPr>
          <w:p w14:paraId="69EDA276" w14:textId="77777777" w:rsidR="008342F0" w:rsidRPr="00063033" w:rsidRDefault="008342F0" w:rsidP="008342F0">
            <w:pPr>
              <w:pStyle w:val="Tabletext"/>
            </w:pPr>
            <w:r w:rsidRPr="00063033">
              <w:t>23</w:t>
            </w:r>
          </w:p>
        </w:tc>
        <w:tc>
          <w:tcPr>
            <w:tcW w:w="966" w:type="pct"/>
            <w:tcBorders>
              <w:top w:val="single" w:sz="4" w:space="0" w:color="auto"/>
              <w:bottom w:val="single" w:sz="4" w:space="0" w:color="auto"/>
            </w:tcBorders>
            <w:shd w:val="clear" w:color="auto" w:fill="auto"/>
            <w:vAlign w:val="bottom"/>
          </w:tcPr>
          <w:p w14:paraId="5C7E69AC" w14:textId="77777777" w:rsidR="008342F0" w:rsidRPr="008342F0" w:rsidRDefault="008342F0" w:rsidP="008342F0">
            <w:pPr>
              <w:pStyle w:val="Tabletext"/>
            </w:pPr>
            <w:r w:rsidRPr="008342F0">
              <w:t>23</w:t>
            </w:r>
            <w:r w:rsidR="00D7157D">
              <w:t>.</w:t>
            </w:r>
            <w:r w:rsidRPr="008342F0">
              <w:t>9409</w:t>
            </w:r>
          </w:p>
        </w:tc>
        <w:tc>
          <w:tcPr>
            <w:tcW w:w="966" w:type="pct"/>
            <w:tcBorders>
              <w:top w:val="single" w:sz="4" w:space="0" w:color="auto"/>
              <w:bottom w:val="single" w:sz="4" w:space="0" w:color="auto"/>
            </w:tcBorders>
            <w:shd w:val="clear" w:color="auto" w:fill="auto"/>
            <w:vAlign w:val="bottom"/>
          </w:tcPr>
          <w:p w14:paraId="78A8DF65" w14:textId="77777777" w:rsidR="008342F0" w:rsidRPr="008342F0" w:rsidRDefault="008342F0" w:rsidP="008342F0">
            <w:pPr>
              <w:pStyle w:val="Tabletext"/>
            </w:pPr>
            <w:r w:rsidRPr="008342F0">
              <w:t>1</w:t>
            </w:r>
            <w:r w:rsidR="00D7157D">
              <w:t>.</w:t>
            </w:r>
            <w:r w:rsidRPr="008342F0">
              <w:t>9880</w:t>
            </w:r>
          </w:p>
        </w:tc>
        <w:tc>
          <w:tcPr>
            <w:tcW w:w="966" w:type="pct"/>
            <w:tcBorders>
              <w:top w:val="single" w:sz="4" w:space="0" w:color="auto"/>
              <w:bottom w:val="single" w:sz="4" w:space="0" w:color="auto"/>
            </w:tcBorders>
            <w:shd w:val="clear" w:color="auto" w:fill="auto"/>
            <w:vAlign w:val="bottom"/>
          </w:tcPr>
          <w:p w14:paraId="018F25D3" w14:textId="77777777" w:rsidR="008342F0" w:rsidRPr="008342F0" w:rsidRDefault="008342F0" w:rsidP="008342F0">
            <w:pPr>
              <w:pStyle w:val="Tabletext"/>
            </w:pPr>
            <w:r w:rsidRPr="008342F0">
              <w:t>24</w:t>
            </w:r>
            <w:r w:rsidR="00D7157D">
              <w:t>.</w:t>
            </w:r>
            <w:r w:rsidRPr="008342F0">
              <w:t>8259</w:t>
            </w:r>
          </w:p>
        </w:tc>
        <w:tc>
          <w:tcPr>
            <w:tcW w:w="966" w:type="pct"/>
            <w:tcBorders>
              <w:top w:val="single" w:sz="4" w:space="0" w:color="auto"/>
              <w:bottom w:val="single" w:sz="4" w:space="0" w:color="auto"/>
              <w:right w:val="nil"/>
            </w:tcBorders>
            <w:shd w:val="clear" w:color="auto" w:fill="auto"/>
            <w:vAlign w:val="bottom"/>
          </w:tcPr>
          <w:p w14:paraId="6BAAB424" w14:textId="77777777" w:rsidR="008342F0" w:rsidRPr="008342F0" w:rsidRDefault="008342F0" w:rsidP="008342F0">
            <w:pPr>
              <w:pStyle w:val="Tabletext"/>
            </w:pPr>
            <w:r w:rsidRPr="008342F0">
              <w:t>0</w:t>
            </w:r>
            <w:r w:rsidR="00D7157D">
              <w:t>.</w:t>
            </w:r>
            <w:r w:rsidRPr="008342F0">
              <w:t>9769</w:t>
            </w:r>
          </w:p>
        </w:tc>
      </w:tr>
      <w:tr w:rsidR="008342F0" w:rsidRPr="008342F0" w14:paraId="23EE8516" w14:textId="77777777" w:rsidTr="00F160E0">
        <w:trPr>
          <w:cantSplit/>
        </w:trPr>
        <w:tc>
          <w:tcPr>
            <w:tcW w:w="1136" w:type="pct"/>
            <w:tcBorders>
              <w:top w:val="single" w:sz="4" w:space="0" w:color="auto"/>
              <w:bottom w:val="single" w:sz="4" w:space="0" w:color="auto"/>
            </w:tcBorders>
          </w:tcPr>
          <w:p w14:paraId="04937032" w14:textId="77777777" w:rsidR="008342F0" w:rsidRPr="00063033" w:rsidRDefault="008342F0" w:rsidP="008342F0">
            <w:pPr>
              <w:pStyle w:val="Tabletext"/>
            </w:pPr>
            <w:r w:rsidRPr="00063033">
              <w:t>24</w:t>
            </w:r>
          </w:p>
        </w:tc>
        <w:tc>
          <w:tcPr>
            <w:tcW w:w="966" w:type="pct"/>
            <w:tcBorders>
              <w:top w:val="single" w:sz="4" w:space="0" w:color="auto"/>
              <w:bottom w:val="single" w:sz="4" w:space="0" w:color="auto"/>
            </w:tcBorders>
            <w:shd w:val="clear" w:color="auto" w:fill="auto"/>
            <w:vAlign w:val="bottom"/>
          </w:tcPr>
          <w:p w14:paraId="2743D6C7" w14:textId="77777777" w:rsidR="008342F0" w:rsidRPr="008342F0" w:rsidRDefault="008342F0" w:rsidP="008342F0">
            <w:pPr>
              <w:pStyle w:val="Tabletext"/>
            </w:pPr>
            <w:r w:rsidRPr="008342F0">
              <w:t>23</w:t>
            </w:r>
            <w:r w:rsidR="00D7157D">
              <w:t>.</w:t>
            </w:r>
            <w:r w:rsidRPr="008342F0">
              <w:t>7910</w:t>
            </w:r>
          </w:p>
        </w:tc>
        <w:tc>
          <w:tcPr>
            <w:tcW w:w="966" w:type="pct"/>
            <w:tcBorders>
              <w:top w:val="single" w:sz="4" w:space="0" w:color="auto"/>
              <w:bottom w:val="single" w:sz="4" w:space="0" w:color="auto"/>
            </w:tcBorders>
            <w:shd w:val="clear" w:color="auto" w:fill="auto"/>
            <w:vAlign w:val="bottom"/>
          </w:tcPr>
          <w:p w14:paraId="70935500" w14:textId="77777777" w:rsidR="008342F0" w:rsidRPr="008342F0" w:rsidRDefault="008342F0" w:rsidP="008342F0">
            <w:pPr>
              <w:pStyle w:val="Tabletext"/>
            </w:pPr>
            <w:r w:rsidRPr="008342F0">
              <w:t>2</w:t>
            </w:r>
            <w:r w:rsidR="00D7157D">
              <w:t>.</w:t>
            </w:r>
            <w:r w:rsidRPr="008342F0">
              <w:t>0246</w:t>
            </w:r>
          </w:p>
        </w:tc>
        <w:tc>
          <w:tcPr>
            <w:tcW w:w="966" w:type="pct"/>
            <w:tcBorders>
              <w:top w:val="single" w:sz="4" w:space="0" w:color="auto"/>
              <w:bottom w:val="single" w:sz="4" w:space="0" w:color="auto"/>
            </w:tcBorders>
            <w:shd w:val="clear" w:color="auto" w:fill="auto"/>
            <w:vAlign w:val="bottom"/>
          </w:tcPr>
          <w:p w14:paraId="5F30D07E" w14:textId="77777777" w:rsidR="008342F0" w:rsidRPr="008342F0" w:rsidRDefault="008342F0" w:rsidP="008342F0">
            <w:pPr>
              <w:pStyle w:val="Tabletext"/>
            </w:pPr>
            <w:r w:rsidRPr="008342F0">
              <w:t>24</w:t>
            </w:r>
            <w:r w:rsidR="00D7157D">
              <w:t>.</w:t>
            </w:r>
            <w:r w:rsidRPr="008342F0">
              <w:t>6888</w:t>
            </w:r>
          </w:p>
        </w:tc>
        <w:tc>
          <w:tcPr>
            <w:tcW w:w="966" w:type="pct"/>
            <w:tcBorders>
              <w:top w:val="single" w:sz="4" w:space="0" w:color="auto"/>
              <w:bottom w:val="single" w:sz="4" w:space="0" w:color="auto"/>
              <w:right w:val="nil"/>
            </w:tcBorders>
            <w:shd w:val="clear" w:color="auto" w:fill="auto"/>
            <w:vAlign w:val="bottom"/>
          </w:tcPr>
          <w:p w14:paraId="6EBB5666" w14:textId="77777777" w:rsidR="008342F0" w:rsidRPr="008342F0" w:rsidRDefault="008342F0" w:rsidP="008342F0">
            <w:pPr>
              <w:pStyle w:val="Tabletext"/>
            </w:pPr>
            <w:r w:rsidRPr="008342F0">
              <w:t>0</w:t>
            </w:r>
            <w:r w:rsidR="00D7157D">
              <w:t>.</w:t>
            </w:r>
            <w:r w:rsidRPr="008342F0">
              <w:t>9936</w:t>
            </w:r>
          </w:p>
        </w:tc>
      </w:tr>
      <w:tr w:rsidR="008342F0" w:rsidRPr="008342F0" w14:paraId="78C09F19" w14:textId="77777777" w:rsidTr="00F160E0">
        <w:trPr>
          <w:cantSplit/>
        </w:trPr>
        <w:tc>
          <w:tcPr>
            <w:tcW w:w="1136" w:type="pct"/>
            <w:tcBorders>
              <w:top w:val="single" w:sz="4" w:space="0" w:color="auto"/>
              <w:bottom w:val="single" w:sz="4" w:space="0" w:color="auto"/>
            </w:tcBorders>
          </w:tcPr>
          <w:p w14:paraId="1074648D" w14:textId="77777777" w:rsidR="008342F0" w:rsidRPr="00063033" w:rsidRDefault="008342F0" w:rsidP="008342F0">
            <w:pPr>
              <w:pStyle w:val="Tabletext"/>
            </w:pPr>
            <w:r w:rsidRPr="00063033">
              <w:t>25</w:t>
            </w:r>
          </w:p>
        </w:tc>
        <w:tc>
          <w:tcPr>
            <w:tcW w:w="966" w:type="pct"/>
            <w:tcBorders>
              <w:top w:val="single" w:sz="4" w:space="0" w:color="auto"/>
              <w:bottom w:val="single" w:sz="4" w:space="0" w:color="auto"/>
            </w:tcBorders>
            <w:shd w:val="clear" w:color="auto" w:fill="auto"/>
            <w:vAlign w:val="bottom"/>
          </w:tcPr>
          <w:p w14:paraId="5C423A9B" w14:textId="77777777" w:rsidR="008342F0" w:rsidRPr="008342F0" w:rsidRDefault="008342F0" w:rsidP="008342F0">
            <w:pPr>
              <w:pStyle w:val="Tabletext"/>
            </w:pPr>
            <w:r w:rsidRPr="008342F0">
              <w:t>23</w:t>
            </w:r>
            <w:r w:rsidR="00D7157D">
              <w:t>.</w:t>
            </w:r>
            <w:r w:rsidRPr="008342F0">
              <w:t>6358</w:t>
            </w:r>
          </w:p>
        </w:tc>
        <w:tc>
          <w:tcPr>
            <w:tcW w:w="966" w:type="pct"/>
            <w:tcBorders>
              <w:top w:val="single" w:sz="4" w:space="0" w:color="auto"/>
              <w:bottom w:val="single" w:sz="4" w:space="0" w:color="auto"/>
            </w:tcBorders>
            <w:shd w:val="clear" w:color="auto" w:fill="auto"/>
            <w:vAlign w:val="bottom"/>
          </w:tcPr>
          <w:p w14:paraId="73CF2DCA" w14:textId="77777777" w:rsidR="008342F0" w:rsidRPr="008342F0" w:rsidRDefault="008342F0" w:rsidP="008342F0">
            <w:pPr>
              <w:pStyle w:val="Tabletext"/>
            </w:pPr>
            <w:r w:rsidRPr="008342F0">
              <w:t>2</w:t>
            </w:r>
            <w:r w:rsidR="00D7157D">
              <w:t>.</w:t>
            </w:r>
            <w:r w:rsidRPr="008342F0">
              <w:t>0626</w:t>
            </w:r>
          </w:p>
        </w:tc>
        <w:tc>
          <w:tcPr>
            <w:tcW w:w="966" w:type="pct"/>
            <w:tcBorders>
              <w:top w:val="single" w:sz="4" w:space="0" w:color="auto"/>
              <w:bottom w:val="single" w:sz="4" w:space="0" w:color="auto"/>
            </w:tcBorders>
            <w:shd w:val="clear" w:color="auto" w:fill="auto"/>
            <w:vAlign w:val="bottom"/>
          </w:tcPr>
          <w:p w14:paraId="6E1C8448" w14:textId="77777777" w:rsidR="008342F0" w:rsidRPr="008342F0" w:rsidRDefault="008342F0" w:rsidP="008342F0">
            <w:pPr>
              <w:pStyle w:val="Tabletext"/>
            </w:pPr>
            <w:r w:rsidRPr="008342F0">
              <w:t>24</w:t>
            </w:r>
            <w:r w:rsidR="00D7157D">
              <w:t>.</w:t>
            </w:r>
            <w:r w:rsidRPr="008342F0">
              <w:t>5467</w:t>
            </w:r>
          </w:p>
        </w:tc>
        <w:tc>
          <w:tcPr>
            <w:tcW w:w="966" w:type="pct"/>
            <w:tcBorders>
              <w:top w:val="single" w:sz="4" w:space="0" w:color="auto"/>
              <w:bottom w:val="single" w:sz="4" w:space="0" w:color="auto"/>
              <w:right w:val="nil"/>
            </w:tcBorders>
            <w:shd w:val="clear" w:color="auto" w:fill="auto"/>
            <w:vAlign w:val="bottom"/>
          </w:tcPr>
          <w:p w14:paraId="570BBF8E" w14:textId="77777777" w:rsidR="008342F0" w:rsidRPr="008342F0" w:rsidRDefault="008342F0" w:rsidP="008342F0">
            <w:pPr>
              <w:pStyle w:val="Tabletext"/>
            </w:pPr>
            <w:r w:rsidRPr="008342F0">
              <w:t>1</w:t>
            </w:r>
            <w:r w:rsidR="00D7157D">
              <w:t>.</w:t>
            </w:r>
            <w:r w:rsidRPr="008342F0">
              <w:t>0108</w:t>
            </w:r>
          </w:p>
        </w:tc>
      </w:tr>
      <w:tr w:rsidR="008342F0" w:rsidRPr="008342F0" w14:paraId="40F94C7C" w14:textId="77777777" w:rsidTr="00F160E0">
        <w:trPr>
          <w:cantSplit/>
        </w:trPr>
        <w:tc>
          <w:tcPr>
            <w:tcW w:w="1136" w:type="pct"/>
            <w:tcBorders>
              <w:top w:val="single" w:sz="4" w:space="0" w:color="auto"/>
              <w:bottom w:val="single" w:sz="4" w:space="0" w:color="auto"/>
            </w:tcBorders>
          </w:tcPr>
          <w:p w14:paraId="10A46D3C" w14:textId="77777777" w:rsidR="008342F0" w:rsidRPr="00063033" w:rsidRDefault="008342F0" w:rsidP="008342F0">
            <w:pPr>
              <w:pStyle w:val="Tabletext"/>
            </w:pPr>
            <w:r w:rsidRPr="00063033">
              <w:t>26</w:t>
            </w:r>
          </w:p>
        </w:tc>
        <w:tc>
          <w:tcPr>
            <w:tcW w:w="966" w:type="pct"/>
            <w:tcBorders>
              <w:top w:val="single" w:sz="4" w:space="0" w:color="auto"/>
              <w:bottom w:val="single" w:sz="4" w:space="0" w:color="auto"/>
            </w:tcBorders>
            <w:shd w:val="clear" w:color="auto" w:fill="auto"/>
            <w:vAlign w:val="bottom"/>
          </w:tcPr>
          <w:p w14:paraId="0EFF40AF" w14:textId="77777777" w:rsidR="008342F0" w:rsidRPr="008342F0" w:rsidRDefault="008342F0" w:rsidP="008342F0">
            <w:pPr>
              <w:pStyle w:val="Tabletext"/>
            </w:pPr>
            <w:r w:rsidRPr="008342F0">
              <w:t>23</w:t>
            </w:r>
            <w:r w:rsidR="00D7157D">
              <w:t>.</w:t>
            </w:r>
            <w:r w:rsidRPr="008342F0">
              <w:t>4749</w:t>
            </w:r>
          </w:p>
        </w:tc>
        <w:tc>
          <w:tcPr>
            <w:tcW w:w="966" w:type="pct"/>
            <w:tcBorders>
              <w:top w:val="single" w:sz="4" w:space="0" w:color="auto"/>
              <w:bottom w:val="single" w:sz="4" w:space="0" w:color="auto"/>
            </w:tcBorders>
            <w:shd w:val="clear" w:color="auto" w:fill="auto"/>
            <w:vAlign w:val="bottom"/>
          </w:tcPr>
          <w:p w14:paraId="716141A7" w14:textId="77777777" w:rsidR="008342F0" w:rsidRPr="008342F0" w:rsidRDefault="008342F0" w:rsidP="008342F0">
            <w:pPr>
              <w:pStyle w:val="Tabletext"/>
            </w:pPr>
            <w:r w:rsidRPr="008342F0">
              <w:t>2</w:t>
            </w:r>
            <w:r w:rsidR="00D7157D">
              <w:t>.</w:t>
            </w:r>
            <w:r w:rsidRPr="008342F0">
              <w:t>1020</w:t>
            </w:r>
          </w:p>
        </w:tc>
        <w:tc>
          <w:tcPr>
            <w:tcW w:w="966" w:type="pct"/>
            <w:tcBorders>
              <w:top w:val="single" w:sz="4" w:space="0" w:color="auto"/>
              <w:bottom w:val="single" w:sz="4" w:space="0" w:color="auto"/>
            </w:tcBorders>
            <w:shd w:val="clear" w:color="auto" w:fill="auto"/>
            <w:vAlign w:val="bottom"/>
          </w:tcPr>
          <w:p w14:paraId="3B2099D5" w14:textId="77777777" w:rsidR="008342F0" w:rsidRPr="008342F0" w:rsidRDefault="008342F0" w:rsidP="008342F0">
            <w:pPr>
              <w:pStyle w:val="Tabletext"/>
            </w:pPr>
            <w:r w:rsidRPr="008342F0">
              <w:t>24</w:t>
            </w:r>
            <w:r w:rsidR="00D7157D">
              <w:t>.</w:t>
            </w:r>
            <w:r w:rsidRPr="008342F0">
              <w:t>3996</w:t>
            </w:r>
          </w:p>
        </w:tc>
        <w:tc>
          <w:tcPr>
            <w:tcW w:w="966" w:type="pct"/>
            <w:tcBorders>
              <w:top w:val="single" w:sz="4" w:space="0" w:color="auto"/>
              <w:bottom w:val="single" w:sz="4" w:space="0" w:color="auto"/>
              <w:right w:val="nil"/>
            </w:tcBorders>
            <w:shd w:val="clear" w:color="auto" w:fill="auto"/>
            <w:vAlign w:val="bottom"/>
          </w:tcPr>
          <w:p w14:paraId="6CBA4516" w14:textId="77777777" w:rsidR="008342F0" w:rsidRPr="008342F0" w:rsidRDefault="008342F0" w:rsidP="008342F0">
            <w:pPr>
              <w:pStyle w:val="Tabletext"/>
            </w:pPr>
            <w:r w:rsidRPr="008342F0">
              <w:t>1</w:t>
            </w:r>
            <w:r w:rsidR="00D7157D">
              <w:t>.</w:t>
            </w:r>
            <w:r w:rsidRPr="008342F0">
              <w:t>0288</w:t>
            </w:r>
          </w:p>
        </w:tc>
      </w:tr>
      <w:tr w:rsidR="008342F0" w:rsidRPr="008342F0" w14:paraId="2BCC5FB0" w14:textId="77777777" w:rsidTr="00F160E0">
        <w:trPr>
          <w:cantSplit/>
        </w:trPr>
        <w:tc>
          <w:tcPr>
            <w:tcW w:w="1136" w:type="pct"/>
            <w:tcBorders>
              <w:top w:val="single" w:sz="4" w:space="0" w:color="auto"/>
              <w:bottom w:val="single" w:sz="4" w:space="0" w:color="auto"/>
            </w:tcBorders>
          </w:tcPr>
          <w:p w14:paraId="36F815AD" w14:textId="77777777" w:rsidR="008342F0" w:rsidRPr="00063033" w:rsidRDefault="008342F0" w:rsidP="008342F0">
            <w:pPr>
              <w:pStyle w:val="Tabletext"/>
            </w:pPr>
            <w:r w:rsidRPr="00063033">
              <w:t>27</w:t>
            </w:r>
          </w:p>
        </w:tc>
        <w:tc>
          <w:tcPr>
            <w:tcW w:w="966" w:type="pct"/>
            <w:tcBorders>
              <w:top w:val="single" w:sz="4" w:space="0" w:color="auto"/>
              <w:bottom w:val="single" w:sz="4" w:space="0" w:color="auto"/>
            </w:tcBorders>
            <w:shd w:val="clear" w:color="auto" w:fill="auto"/>
            <w:vAlign w:val="bottom"/>
          </w:tcPr>
          <w:p w14:paraId="66646583" w14:textId="77777777" w:rsidR="008342F0" w:rsidRPr="008342F0" w:rsidRDefault="008342F0" w:rsidP="008342F0">
            <w:pPr>
              <w:pStyle w:val="Tabletext"/>
            </w:pPr>
            <w:r w:rsidRPr="008342F0">
              <w:t>23</w:t>
            </w:r>
            <w:r w:rsidR="00D7157D">
              <w:t>.</w:t>
            </w:r>
            <w:r w:rsidRPr="008342F0">
              <w:t>3081</w:t>
            </w:r>
          </w:p>
        </w:tc>
        <w:tc>
          <w:tcPr>
            <w:tcW w:w="966" w:type="pct"/>
            <w:tcBorders>
              <w:top w:val="single" w:sz="4" w:space="0" w:color="auto"/>
              <w:bottom w:val="single" w:sz="4" w:space="0" w:color="auto"/>
            </w:tcBorders>
            <w:shd w:val="clear" w:color="auto" w:fill="auto"/>
            <w:vAlign w:val="bottom"/>
          </w:tcPr>
          <w:p w14:paraId="3497405C" w14:textId="77777777" w:rsidR="008342F0" w:rsidRPr="008342F0" w:rsidRDefault="008342F0" w:rsidP="008342F0">
            <w:pPr>
              <w:pStyle w:val="Tabletext"/>
            </w:pPr>
            <w:r w:rsidRPr="008342F0">
              <w:t>2</w:t>
            </w:r>
            <w:r w:rsidR="00D7157D">
              <w:t>.</w:t>
            </w:r>
            <w:r w:rsidRPr="008342F0">
              <w:t>1429</w:t>
            </w:r>
          </w:p>
        </w:tc>
        <w:tc>
          <w:tcPr>
            <w:tcW w:w="966" w:type="pct"/>
            <w:tcBorders>
              <w:top w:val="single" w:sz="4" w:space="0" w:color="auto"/>
              <w:bottom w:val="single" w:sz="4" w:space="0" w:color="auto"/>
            </w:tcBorders>
            <w:shd w:val="clear" w:color="auto" w:fill="auto"/>
            <w:vAlign w:val="bottom"/>
          </w:tcPr>
          <w:p w14:paraId="298CE73C" w14:textId="77777777" w:rsidR="008342F0" w:rsidRPr="008342F0" w:rsidRDefault="008342F0" w:rsidP="008342F0">
            <w:pPr>
              <w:pStyle w:val="Tabletext"/>
            </w:pPr>
            <w:r w:rsidRPr="008342F0">
              <w:t>24</w:t>
            </w:r>
            <w:r w:rsidR="00D7157D">
              <w:t>.</w:t>
            </w:r>
            <w:r w:rsidRPr="008342F0">
              <w:t>2473</w:t>
            </w:r>
          </w:p>
        </w:tc>
        <w:tc>
          <w:tcPr>
            <w:tcW w:w="966" w:type="pct"/>
            <w:tcBorders>
              <w:top w:val="single" w:sz="4" w:space="0" w:color="auto"/>
              <w:bottom w:val="single" w:sz="4" w:space="0" w:color="auto"/>
              <w:right w:val="nil"/>
            </w:tcBorders>
            <w:shd w:val="clear" w:color="auto" w:fill="auto"/>
            <w:vAlign w:val="bottom"/>
          </w:tcPr>
          <w:p w14:paraId="1D8FAC29" w14:textId="77777777" w:rsidR="008342F0" w:rsidRPr="008342F0" w:rsidRDefault="008342F0" w:rsidP="008342F0">
            <w:pPr>
              <w:pStyle w:val="Tabletext"/>
            </w:pPr>
            <w:r w:rsidRPr="008342F0">
              <w:t>1</w:t>
            </w:r>
            <w:r w:rsidR="00D7157D">
              <w:t>.</w:t>
            </w:r>
            <w:r w:rsidRPr="008342F0">
              <w:t>0474</w:t>
            </w:r>
          </w:p>
        </w:tc>
      </w:tr>
      <w:tr w:rsidR="008342F0" w:rsidRPr="008342F0" w14:paraId="083336BE" w14:textId="77777777" w:rsidTr="00F160E0">
        <w:trPr>
          <w:cantSplit/>
        </w:trPr>
        <w:tc>
          <w:tcPr>
            <w:tcW w:w="1136" w:type="pct"/>
            <w:tcBorders>
              <w:top w:val="single" w:sz="4" w:space="0" w:color="auto"/>
              <w:bottom w:val="single" w:sz="4" w:space="0" w:color="auto"/>
            </w:tcBorders>
          </w:tcPr>
          <w:p w14:paraId="5A7F9EA7" w14:textId="77777777" w:rsidR="008342F0" w:rsidRPr="00063033" w:rsidRDefault="008342F0" w:rsidP="008342F0">
            <w:pPr>
              <w:pStyle w:val="Tabletext"/>
            </w:pPr>
            <w:r w:rsidRPr="00063033">
              <w:t>28</w:t>
            </w:r>
          </w:p>
        </w:tc>
        <w:tc>
          <w:tcPr>
            <w:tcW w:w="966" w:type="pct"/>
            <w:tcBorders>
              <w:top w:val="single" w:sz="4" w:space="0" w:color="auto"/>
              <w:bottom w:val="single" w:sz="4" w:space="0" w:color="auto"/>
            </w:tcBorders>
            <w:shd w:val="clear" w:color="auto" w:fill="auto"/>
            <w:vAlign w:val="bottom"/>
          </w:tcPr>
          <w:p w14:paraId="6CF663F4" w14:textId="77777777" w:rsidR="008342F0" w:rsidRPr="008342F0" w:rsidRDefault="008342F0" w:rsidP="008342F0">
            <w:pPr>
              <w:pStyle w:val="Tabletext"/>
            </w:pPr>
            <w:r w:rsidRPr="008342F0">
              <w:t>23</w:t>
            </w:r>
            <w:r w:rsidR="00D7157D">
              <w:t>.</w:t>
            </w:r>
            <w:r w:rsidRPr="008342F0">
              <w:t>1353</w:t>
            </w:r>
          </w:p>
        </w:tc>
        <w:tc>
          <w:tcPr>
            <w:tcW w:w="966" w:type="pct"/>
            <w:tcBorders>
              <w:top w:val="single" w:sz="4" w:space="0" w:color="auto"/>
              <w:bottom w:val="single" w:sz="4" w:space="0" w:color="auto"/>
            </w:tcBorders>
            <w:shd w:val="clear" w:color="auto" w:fill="auto"/>
            <w:vAlign w:val="bottom"/>
          </w:tcPr>
          <w:p w14:paraId="43656813" w14:textId="77777777" w:rsidR="008342F0" w:rsidRPr="008342F0" w:rsidRDefault="008342F0" w:rsidP="008342F0">
            <w:pPr>
              <w:pStyle w:val="Tabletext"/>
            </w:pPr>
            <w:r w:rsidRPr="008342F0">
              <w:t>2</w:t>
            </w:r>
            <w:r w:rsidR="00D7157D">
              <w:t>.</w:t>
            </w:r>
            <w:r w:rsidRPr="008342F0">
              <w:t>1854</w:t>
            </w:r>
          </w:p>
        </w:tc>
        <w:tc>
          <w:tcPr>
            <w:tcW w:w="966" w:type="pct"/>
            <w:tcBorders>
              <w:top w:val="single" w:sz="4" w:space="0" w:color="auto"/>
              <w:bottom w:val="single" w:sz="4" w:space="0" w:color="auto"/>
            </w:tcBorders>
            <w:shd w:val="clear" w:color="auto" w:fill="auto"/>
            <w:vAlign w:val="bottom"/>
          </w:tcPr>
          <w:p w14:paraId="2456720D" w14:textId="77777777" w:rsidR="008342F0" w:rsidRPr="008342F0" w:rsidRDefault="008342F0" w:rsidP="008342F0">
            <w:pPr>
              <w:pStyle w:val="Tabletext"/>
            </w:pPr>
            <w:r w:rsidRPr="008342F0">
              <w:t>24</w:t>
            </w:r>
            <w:r w:rsidR="00D7157D">
              <w:t>.</w:t>
            </w:r>
            <w:r w:rsidRPr="008342F0">
              <w:t>0896</w:t>
            </w:r>
          </w:p>
        </w:tc>
        <w:tc>
          <w:tcPr>
            <w:tcW w:w="966" w:type="pct"/>
            <w:tcBorders>
              <w:top w:val="single" w:sz="4" w:space="0" w:color="auto"/>
              <w:bottom w:val="single" w:sz="4" w:space="0" w:color="auto"/>
              <w:right w:val="nil"/>
            </w:tcBorders>
            <w:shd w:val="clear" w:color="auto" w:fill="auto"/>
            <w:vAlign w:val="bottom"/>
          </w:tcPr>
          <w:p w14:paraId="23622BB3" w14:textId="77777777" w:rsidR="008342F0" w:rsidRPr="008342F0" w:rsidRDefault="008342F0" w:rsidP="008342F0">
            <w:pPr>
              <w:pStyle w:val="Tabletext"/>
            </w:pPr>
            <w:r w:rsidRPr="008342F0">
              <w:t>1</w:t>
            </w:r>
            <w:r w:rsidR="00D7157D">
              <w:t>.</w:t>
            </w:r>
            <w:r w:rsidRPr="008342F0">
              <w:t>0667</w:t>
            </w:r>
          </w:p>
        </w:tc>
      </w:tr>
      <w:tr w:rsidR="008342F0" w:rsidRPr="008342F0" w14:paraId="63F4255E" w14:textId="77777777" w:rsidTr="00F160E0">
        <w:trPr>
          <w:cantSplit/>
        </w:trPr>
        <w:tc>
          <w:tcPr>
            <w:tcW w:w="1136" w:type="pct"/>
            <w:tcBorders>
              <w:top w:val="single" w:sz="4" w:space="0" w:color="auto"/>
              <w:bottom w:val="single" w:sz="4" w:space="0" w:color="auto"/>
            </w:tcBorders>
          </w:tcPr>
          <w:p w14:paraId="2FC7B9CB" w14:textId="77777777" w:rsidR="008342F0" w:rsidRPr="00063033" w:rsidRDefault="008342F0" w:rsidP="008342F0">
            <w:pPr>
              <w:pStyle w:val="Tabletext"/>
            </w:pPr>
            <w:r w:rsidRPr="00063033">
              <w:t>29</w:t>
            </w:r>
          </w:p>
        </w:tc>
        <w:tc>
          <w:tcPr>
            <w:tcW w:w="966" w:type="pct"/>
            <w:tcBorders>
              <w:top w:val="single" w:sz="4" w:space="0" w:color="auto"/>
              <w:bottom w:val="single" w:sz="4" w:space="0" w:color="auto"/>
            </w:tcBorders>
            <w:shd w:val="clear" w:color="auto" w:fill="auto"/>
            <w:vAlign w:val="bottom"/>
          </w:tcPr>
          <w:p w14:paraId="1C2F5F04" w14:textId="77777777" w:rsidR="008342F0" w:rsidRPr="008342F0" w:rsidRDefault="008342F0" w:rsidP="008342F0">
            <w:pPr>
              <w:pStyle w:val="Tabletext"/>
            </w:pPr>
            <w:r w:rsidRPr="008342F0">
              <w:t>22</w:t>
            </w:r>
            <w:r w:rsidR="00D7157D">
              <w:t>.</w:t>
            </w:r>
            <w:r w:rsidRPr="008342F0">
              <w:t>9563</w:t>
            </w:r>
          </w:p>
        </w:tc>
        <w:tc>
          <w:tcPr>
            <w:tcW w:w="966" w:type="pct"/>
            <w:tcBorders>
              <w:top w:val="single" w:sz="4" w:space="0" w:color="auto"/>
              <w:bottom w:val="single" w:sz="4" w:space="0" w:color="auto"/>
            </w:tcBorders>
            <w:shd w:val="clear" w:color="auto" w:fill="auto"/>
            <w:vAlign w:val="bottom"/>
          </w:tcPr>
          <w:p w14:paraId="605CCDC1" w14:textId="77777777" w:rsidR="008342F0" w:rsidRPr="008342F0" w:rsidRDefault="008342F0" w:rsidP="008342F0">
            <w:pPr>
              <w:pStyle w:val="Tabletext"/>
            </w:pPr>
            <w:r w:rsidRPr="008342F0">
              <w:t>2</w:t>
            </w:r>
            <w:r w:rsidR="00D7157D">
              <w:t>.</w:t>
            </w:r>
            <w:r w:rsidRPr="008342F0">
              <w:t>2294</w:t>
            </w:r>
          </w:p>
        </w:tc>
        <w:tc>
          <w:tcPr>
            <w:tcW w:w="966" w:type="pct"/>
            <w:tcBorders>
              <w:top w:val="single" w:sz="4" w:space="0" w:color="auto"/>
              <w:bottom w:val="single" w:sz="4" w:space="0" w:color="auto"/>
            </w:tcBorders>
            <w:shd w:val="clear" w:color="auto" w:fill="auto"/>
            <w:vAlign w:val="bottom"/>
          </w:tcPr>
          <w:p w14:paraId="634E52E2" w14:textId="77777777" w:rsidR="008342F0" w:rsidRPr="008342F0" w:rsidRDefault="008342F0" w:rsidP="008342F0">
            <w:pPr>
              <w:pStyle w:val="Tabletext"/>
            </w:pPr>
            <w:r w:rsidRPr="008342F0">
              <w:t>23</w:t>
            </w:r>
            <w:r w:rsidR="00D7157D">
              <w:t>.</w:t>
            </w:r>
            <w:r w:rsidRPr="008342F0">
              <w:t>9263</w:t>
            </w:r>
          </w:p>
        </w:tc>
        <w:tc>
          <w:tcPr>
            <w:tcW w:w="966" w:type="pct"/>
            <w:tcBorders>
              <w:top w:val="single" w:sz="4" w:space="0" w:color="auto"/>
              <w:bottom w:val="single" w:sz="4" w:space="0" w:color="auto"/>
              <w:right w:val="nil"/>
            </w:tcBorders>
            <w:shd w:val="clear" w:color="auto" w:fill="auto"/>
            <w:vAlign w:val="bottom"/>
          </w:tcPr>
          <w:p w14:paraId="4ECE85E9" w14:textId="77777777" w:rsidR="008342F0" w:rsidRPr="008342F0" w:rsidRDefault="008342F0" w:rsidP="008342F0">
            <w:pPr>
              <w:pStyle w:val="Tabletext"/>
            </w:pPr>
            <w:r w:rsidRPr="008342F0">
              <w:t>1</w:t>
            </w:r>
            <w:r w:rsidR="00D7157D">
              <w:t>.</w:t>
            </w:r>
            <w:r w:rsidRPr="008342F0">
              <w:t>0868</w:t>
            </w:r>
          </w:p>
        </w:tc>
      </w:tr>
      <w:tr w:rsidR="008342F0" w:rsidRPr="008342F0" w14:paraId="26B90240" w14:textId="77777777" w:rsidTr="00F160E0">
        <w:trPr>
          <w:cantSplit/>
        </w:trPr>
        <w:tc>
          <w:tcPr>
            <w:tcW w:w="1136" w:type="pct"/>
            <w:tcBorders>
              <w:top w:val="single" w:sz="4" w:space="0" w:color="auto"/>
              <w:bottom w:val="single" w:sz="4" w:space="0" w:color="auto"/>
            </w:tcBorders>
          </w:tcPr>
          <w:p w14:paraId="284A6C4E" w14:textId="77777777" w:rsidR="008342F0" w:rsidRPr="00063033" w:rsidRDefault="008342F0" w:rsidP="008342F0">
            <w:pPr>
              <w:pStyle w:val="Tabletext"/>
            </w:pPr>
            <w:r w:rsidRPr="00063033">
              <w:t>30</w:t>
            </w:r>
          </w:p>
        </w:tc>
        <w:tc>
          <w:tcPr>
            <w:tcW w:w="966" w:type="pct"/>
            <w:tcBorders>
              <w:top w:val="single" w:sz="4" w:space="0" w:color="auto"/>
              <w:bottom w:val="single" w:sz="4" w:space="0" w:color="auto"/>
            </w:tcBorders>
            <w:shd w:val="clear" w:color="auto" w:fill="auto"/>
            <w:vAlign w:val="bottom"/>
          </w:tcPr>
          <w:p w14:paraId="4A29A80E" w14:textId="77777777" w:rsidR="008342F0" w:rsidRPr="008342F0" w:rsidRDefault="008342F0" w:rsidP="008342F0">
            <w:pPr>
              <w:pStyle w:val="Tabletext"/>
            </w:pPr>
            <w:r w:rsidRPr="008342F0">
              <w:t>22</w:t>
            </w:r>
            <w:r w:rsidR="00D7157D">
              <w:t>.</w:t>
            </w:r>
            <w:r w:rsidRPr="008342F0">
              <w:t>7707</w:t>
            </w:r>
          </w:p>
        </w:tc>
        <w:tc>
          <w:tcPr>
            <w:tcW w:w="966" w:type="pct"/>
            <w:tcBorders>
              <w:top w:val="single" w:sz="4" w:space="0" w:color="auto"/>
              <w:bottom w:val="single" w:sz="4" w:space="0" w:color="auto"/>
            </w:tcBorders>
            <w:shd w:val="clear" w:color="auto" w:fill="auto"/>
            <w:vAlign w:val="bottom"/>
          </w:tcPr>
          <w:p w14:paraId="3B20F202" w14:textId="77777777" w:rsidR="008342F0" w:rsidRPr="008342F0" w:rsidRDefault="008342F0" w:rsidP="008342F0">
            <w:pPr>
              <w:pStyle w:val="Tabletext"/>
            </w:pPr>
            <w:r w:rsidRPr="008342F0">
              <w:t>2</w:t>
            </w:r>
            <w:r w:rsidR="00D7157D">
              <w:t>.</w:t>
            </w:r>
            <w:r w:rsidRPr="008342F0">
              <w:t>2751</w:t>
            </w:r>
          </w:p>
        </w:tc>
        <w:tc>
          <w:tcPr>
            <w:tcW w:w="966" w:type="pct"/>
            <w:tcBorders>
              <w:top w:val="single" w:sz="4" w:space="0" w:color="auto"/>
              <w:bottom w:val="single" w:sz="4" w:space="0" w:color="auto"/>
            </w:tcBorders>
            <w:shd w:val="clear" w:color="auto" w:fill="auto"/>
            <w:vAlign w:val="bottom"/>
          </w:tcPr>
          <w:p w14:paraId="79F11728" w14:textId="77777777" w:rsidR="008342F0" w:rsidRPr="008342F0" w:rsidRDefault="008342F0" w:rsidP="008342F0">
            <w:pPr>
              <w:pStyle w:val="Tabletext"/>
            </w:pPr>
            <w:r w:rsidRPr="008342F0">
              <w:t>23</w:t>
            </w:r>
            <w:r w:rsidR="00D7157D">
              <w:t>.</w:t>
            </w:r>
            <w:r w:rsidRPr="008342F0">
              <w:t>7572</w:t>
            </w:r>
          </w:p>
        </w:tc>
        <w:tc>
          <w:tcPr>
            <w:tcW w:w="966" w:type="pct"/>
            <w:tcBorders>
              <w:top w:val="single" w:sz="4" w:space="0" w:color="auto"/>
              <w:bottom w:val="single" w:sz="4" w:space="0" w:color="auto"/>
              <w:right w:val="nil"/>
            </w:tcBorders>
            <w:shd w:val="clear" w:color="auto" w:fill="auto"/>
            <w:vAlign w:val="bottom"/>
          </w:tcPr>
          <w:p w14:paraId="311250F8" w14:textId="77777777" w:rsidR="008342F0" w:rsidRPr="008342F0" w:rsidRDefault="008342F0" w:rsidP="008342F0">
            <w:pPr>
              <w:pStyle w:val="Tabletext"/>
            </w:pPr>
            <w:r w:rsidRPr="008342F0">
              <w:t>1</w:t>
            </w:r>
            <w:r w:rsidR="00D7157D">
              <w:t>.</w:t>
            </w:r>
            <w:r w:rsidRPr="008342F0">
              <w:t>1076</w:t>
            </w:r>
          </w:p>
        </w:tc>
      </w:tr>
      <w:tr w:rsidR="008342F0" w:rsidRPr="008342F0" w14:paraId="2C220649" w14:textId="77777777" w:rsidTr="00F160E0">
        <w:trPr>
          <w:cantSplit/>
        </w:trPr>
        <w:tc>
          <w:tcPr>
            <w:tcW w:w="1136" w:type="pct"/>
            <w:tcBorders>
              <w:top w:val="single" w:sz="4" w:space="0" w:color="auto"/>
              <w:bottom w:val="single" w:sz="4" w:space="0" w:color="auto"/>
            </w:tcBorders>
          </w:tcPr>
          <w:p w14:paraId="22982805" w14:textId="77777777" w:rsidR="008342F0" w:rsidRPr="00063033" w:rsidRDefault="008342F0" w:rsidP="008342F0">
            <w:pPr>
              <w:pStyle w:val="Tabletext"/>
            </w:pPr>
            <w:r w:rsidRPr="00063033">
              <w:t>31</w:t>
            </w:r>
          </w:p>
        </w:tc>
        <w:tc>
          <w:tcPr>
            <w:tcW w:w="966" w:type="pct"/>
            <w:tcBorders>
              <w:top w:val="single" w:sz="4" w:space="0" w:color="auto"/>
              <w:bottom w:val="single" w:sz="4" w:space="0" w:color="auto"/>
            </w:tcBorders>
            <w:shd w:val="clear" w:color="auto" w:fill="auto"/>
            <w:vAlign w:val="bottom"/>
          </w:tcPr>
          <w:p w14:paraId="42440854" w14:textId="77777777" w:rsidR="008342F0" w:rsidRPr="008342F0" w:rsidRDefault="008342F0" w:rsidP="008342F0">
            <w:pPr>
              <w:pStyle w:val="Tabletext"/>
            </w:pPr>
            <w:r w:rsidRPr="008342F0">
              <w:t>22</w:t>
            </w:r>
            <w:r w:rsidR="00D7157D">
              <w:t>.</w:t>
            </w:r>
            <w:r w:rsidRPr="008342F0">
              <w:t>5801</w:t>
            </w:r>
          </w:p>
        </w:tc>
        <w:tc>
          <w:tcPr>
            <w:tcW w:w="966" w:type="pct"/>
            <w:tcBorders>
              <w:top w:val="single" w:sz="4" w:space="0" w:color="auto"/>
              <w:bottom w:val="single" w:sz="4" w:space="0" w:color="auto"/>
            </w:tcBorders>
            <w:shd w:val="clear" w:color="auto" w:fill="auto"/>
            <w:vAlign w:val="bottom"/>
          </w:tcPr>
          <w:p w14:paraId="4700676A" w14:textId="77777777" w:rsidR="008342F0" w:rsidRPr="008342F0" w:rsidRDefault="008342F0" w:rsidP="008342F0">
            <w:pPr>
              <w:pStyle w:val="Tabletext"/>
            </w:pPr>
            <w:r w:rsidRPr="008342F0">
              <w:t>2</w:t>
            </w:r>
            <w:r w:rsidR="00D7157D">
              <w:t>.</w:t>
            </w:r>
            <w:r w:rsidRPr="008342F0">
              <w:t>3216</w:t>
            </w:r>
          </w:p>
        </w:tc>
        <w:tc>
          <w:tcPr>
            <w:tcW w:w="966" w:type="pct"/>
            <w:tcBorders>
              <w:top w:val="single" w:sz="4" w:space="0" w:color="auto"/>
              <w:bottom w:val="single" w:sz="4" w:space="0" w:color="auto"/>
            </w:tcBorders>
            <w:shd w:val="clear" w:color="auto" w:fill="auto"/>
            <w:vAlign w:val="bottom"/>
          </w:tcPr>
          <w:p w14:paraId="758C32BC" w14:textId="77777777" w:rsidR="008342F0" w:rsidRPr="008342F0" w:rsidRDefault="008342F0" w:rsidP="008342F0">
            <w:pPr>
              <w:pStyle w:val="Tabletext"/>
            </w:pPr>
            <w:r w:rsidRPr="008342F0">
              <w:t>23</w:t>
            </w:r>
            <w:r w:rsidR="00D7157D">
              <w:t>.</w:t>
            </w:r>
            <w:r w:rsidRPr="008342F0">
              <w:t>5831</w:t>
            </w:r>
          </w:p>
        </w:tc>
        <w:tc>
          <w:tcPr>
            <w:tcW w:w="966" w:type="pct"/>
            <w:tcBorders>
              <w:top w:val="single" w:sz="4" w:space="0" w:color="auto"/>
              <w:bottom w:val="single" w:sz="4" w:space="0" w:color="auto"/>
              <w:right w:val="nil"/>
            </w:tcBorders>
            <w:shd w:val="clear" w:color="auto" w:fill="auto"/>
            <w:vAlign w:val="bottom"/>
          </w:tcPr>
          <w:p w14:paraId="1E833F59" w14:textId="77777777" w:rsidR="008342F0" w:rsidRPr="008342F0" w:rsidRDefault="008342F0" w:rsidP="008342F0">
            <w:pPr>
              <w:pStyle w:val="Tabletext"/>
            </w:pPr>
            <w:r w:rsidRPr="008342F0">
              <w:t>1</w:t>
            </w:r>
            <w:r w:rsidR="00D7157D">
              <w:t>.</w:t>
            </w:r>
            <w:r w:rsidRPr="008342F0">
              <w:t>1288</w:t>
            </w:r>
          </w:p>
        </w:tc>
      </w:tr>
      <w:tr w:rsidR="008342F0" w:rsidRPr="008342F0" w14:paraId="7EA86CD8" w14:textId="77777777" w:rsidTr="00F160E0">
        <w:trPr>
          <w:cantSplit/>
        </w:trPr>
        <w:tc>
          <w:tcPr>
            <w:tcW w:w="1136" w:type="pct"/>
            <w:tcBorders>
              <w:top w:val="single" w:sz="4" w:space="0" w:color="auto"/>
              <w:bottom w:val="single" w:sz="4" w:space="0" w:color="auto"/>
            </w:tcBorders>
          </w:tcPr>
          <w:p w14:paraId="3057E6E7" w14:textId="77777777" w:rsidR="008342F0" w:rsidRPr="00063033" w:rsidRDefault="008342F0" w:rsidP="008342F0">
            <w:pPr>
              <w:pStyle w:val="Tabletext"/>
            </w:pPr>
            <w:r w:rsidRPr="00063033">
              <w:t>32</w:t>
            </w:r>
          </w:p>
        </w:tc>
        <w:tc>
          <w:tcPr>
            <w:tcW w:w="966" w:type="pct"/>
            <w:tcBorders>
              <w:top w:val="single" w:sz="4" w:space="0" w:color="auto"/>
              <w:bottom w:val="single" w:sz="4" w:space="0" w:color="auto"/>
            </w:tcBorders>
            <w:shd w:val="clear" w:color="auto" w:fill="auto"/>
            <w:vAlign w:val="bottom"/>
          </w:tcPr>
          <w:p w14:paraId="3741F13A" w14:textId="77777777" w:rsidR="008342F0" w:rsidRPr="008342F0" w:rsidRDefault="008342F0" w:rsidP="008342F0">
            <w:pPr>
              <w:pStyle w:val="Tabletext"/>
            </w:pPr>
            <w:r w:rsidRPr="008342F0">
              <w:t>22</w:t>
            </w:r>
            <w:r w:rsidR="00D7157D">
              <w:t>.</w:t>
            </w:r>
            <w:r w:rsidRPr="008342F0">
              <w:t>3843</w:t>
            </w:r>
          </w:p>
        </w:tc>
        <w:tc>
          <w:tcPr>
            <w:tcW w:w="966" w:type="pct"/>
            <w:tcBorders>
              <w:top w:val="single" w:sz="4" w:space="0" w:color="auto"/>
              <w:bottom w:val="single" w:sz="4" w:space="0" w:color="auto"/>
            </w:tcBorders>
            <w:shd w:val="clear" w:color="auto" w:fill="auto"/>
            <w:vAlign w:val="bottom"/>
          </w:tcPr>
          <w:p w14:paraId="77D01895" w14:textId="77777777" w:rsidR="008342F0" w:rsidRPr="008342F0" w:rsidRDefault="008342F0" w:rsidP="008342F0">
            <w:pPr>
              <w:pStyle w:val="Tabletext"/>
            </w:pPr>
            <w:r w:rsidRPr="008342F0">
              <w:t>2</w:t>
            </w:r>
            <w:r w:rsidR="00D7157D">
              <w:t>.</w:t>
            </w:r>
            <w:r w:rsidRPr="008342F0">
              <w:t>3689</w:t>
            </w:r>
          </w:p>
        </w:tc>
        <w:tc>
          <w:tcPr>
            <w:tcW w:w="966" w:type="pct"/>
            <w:tcBorders>
              <w:top w:val="single" w:sz="4" w:space="0" w:color="auto"/>
              <w:bottom w:val="single" w:sz="4" w:space="0" w:color="auto"/>
            </w:tcBorders>
            <w:shd w:val="clear" w:color="auto" w:fill="auto"/>
            <w:vAlign w:val="bottom"/>
          </w:tcPr>
          <w:p w14:paraId="054BF628" w14:textId="77777777" w:rsidR="008342F0" w:rsidRPr="008342F0" w:rsidRDefault="008342F0" w:rsidP="008342F0">
            <w:pPr>
              <w:pStyle w:val="Tabletext"/>
            </w:pPr>
            <w:r w:rsidRPr="008342F0">
              <w:t>23</w:t>
            </w:r>
            <w:r w:rsidR="00D7157D">
              <w:t>.</w:t>
            </w:r>
            <w:r w:rsidRPr="008342F0">
              <w:t>4039</w:t>
            </w:r>
          </w:p>
        </w:tc>
        <w:tc>
          <w:tcPr>
            <w:tcW w:w="966" w:type="pct"/>
            <w:tcBorders>
              <w:top w:val="single" w:sz="4" w:space="0" w:color="auto"/>
              <w:bottom w:val="single" w:sz="4" w:space="0" w:color="auto"/>
              <w:right w:val="nil"/>
            </w:tcBorders>
            <w:shd w:val="clear" w:color="auto" w:fill="auto"/>
            <w:vAlign w:val="bottom"/>
          </w:tcPr>
          <w:p w14:paraId="4E2F10E8" w14:textId="77777777" w:rsidR="008342F0" w:rsidRPr="008342F0" w:rsidRDefault="008342F0" w:rsidP="008342F0">
            <w:pPr>
              <w:pStyle w:val="Tabletext"/>
            </w:pPr>
            <w:r w:rsidRPr="008342F0">
              <w:t>1</w:t>
            </w:r>
            <w:r w:rsidR="00D7157D">
              <w:t>.</w:t>
            </w:r>
            <w:r w:rsidRPr="008342F0">
              <w:t>1502</w:t>
            </w:r>
          </w:p>
        </w:tc>
      </w:tr>
      <w:tr w:rsidR="008342F0" w:rsidRPr="008342F0" w14:paraId="281A0E05" w14:textId="77777777" w:rsidTr="00F160E0">
        <w:trPr>
          <w:cantSplit/>
        </w:trPr>
        <w:tc>
          <w:tcPr>
            <w:tcW w:w="1136" w:type="pct"/>
            <w:tcBorders>
              <w:top w:val="single" w:sz="4" w:space="0" w:color="auto"/>
              <w:bottom w:val="single" w:sz="4" w:space="0" w:color="auto"/>
            </w:tcBorders>
          </w:tcPr>
          <w:p w14:paraId="1E648F22" w14:textId="77777777" w:rsidR="008342F0" w:rsidRPr="00063033" w:rsidRDefault="008342F0" w:rsidP="008342F0">
            <w:pPr>
              <w:pStyle w:val="Tabletext"/>
            </w:pPr>
            <w:r w:rsidRPr="00063033">
              <w:t>33</w:t>
            </w:r>
          </w:p>
        </w:tc>
        <w:tc>
          <w:tcPr>
            <w:tcW w:w="966" w:type="pct"/>
            <w:tcBorders>
              <w:top w:val="single" w:sz="4" w:space="0" w:color="auto"/>
              <w:bottom w:val="single" w:sz="4" w:space="0" w:color="auto"/>
            </w:tcBorders>
            <w:shd w:val="clear" w:color="auto" w:fill="auto"/>
            <w:vAlign w:val="bottom"/>
          </w:tcPr>
          <w:p w14:paraId="12D3DE27" w14:textId="77777777" w:rsidR="008342F0" w:rsidRPr="008342F0" w:rsidRDefault="008342F0" w:rsidP="008342F0">
            <w:pPr>
              <w:pStyle w:val="Tabletext"/>
            </w:pPr>
            <w:r w:rsidRPr="008342F0">
              <w:t>22</w:t>
            </w:r>
            <w:r w:rsidR="00D7157D">
              <w:t>.</w:t>
            </w:r>
            <w:r w:rsidRPr="008342F0">
              <w:t>1833</w:t>
            </w:r>
          </w:p>
        </w:tc>
        <w:tc>
          <w:tcPr>
            <w:tcW w:w="966" w:type="pct"/>
            <w:tcBorders>
              <w:top w:val="single" w:sz="4" w:space="0" w:color="auto"/>
              <w:bottom w:val="single" w:sz="4" w:space="0" w:color="auto"/>
            </w:tcBorders>
            <w:shd w:val="clear" w:color="auto" w:fill="auto"/>
            <w:vAlign w:val="bottom"/>
          </w:tcPr>
          <w:p w14:paraId="64FE26A1" w14:textId="77777777" w:rsidR="008342F0" w:rsidRPr="008342F0" w:rsidRDefault="008342F0" w:rsidP="008342F0">
            <w:pPr>
              <w:pStyle w:val="Tabletext"/>
            </w:pPr>
            <w:r w:rsidRPr="008342F0">
              <w:t>2</w:t>
            </w:r>
            <w:r w:rsidR="00D7157D">
              <w:t>.</w:t>
            </w:r>
            <w:r w:rsidRPr="008342F0">
              <w:t>4167</w:t>
            </w:r>
          </w:p>
        </w:tc>
        <w:tc>
          <w:tcPr>
            <w:tcW w:w="966" w:type="pct"/>
            <w:tcBorders>
              <w:top w:val="single" w:sz="4" w:space="0" w:color="auto"/>
              <w:bottom w:val="single" w:sz="4" w:space="0" w:color="auto"/>
            </w:tcBorders>
            <w:shd w:val="clear" w:color="auto" w:fill="auto"/>
            <w:vAlign w:val="bottom"/>
          </w:tcPr>
          <w:p w14:paraId="051CCBA1" w14:textId="77777777" w:rsidR="008342F0" w:rsidRPr="008342F0" w:rsidRDefault="008342F0" w:rsidP="008342F0">
            <w:pPr>
              <w:pStyle w:val="Tabletext"/>
            </w:pPr>
            <w:r w:rsidRPr="008342F0">
              <w:t>23</w:t>
            </w:r>
            <w:r w:rsidR="00D7157D">
              <w:t>.</w:t>
            </w:r>
            <w:r w:rsidRPr="008342F0">
              <w:t>2197</w:t>
            </w:r>
          </w:p>
        </w:tc>
        <w:tc>
          <w:tcPr>
            <w:tcW w:w="966" w:type="pct"/>
            <w:tcBorders>
              <w:top w:val="single" w:sz="4" w:space="0" w:color="auto"/>
              <w:bottom w:val="single" w:sz="4" w:space="0" w:color="auto"/>
              <w:right w:val="nil"/>
            </w:tcBorders>
            <w:shd w:val="clear" w:color="auto" w:fill="auto"/>
            <w:vAlign w:val="bottom"/>
          </w:tcPr>
          <w:p w14:paraId="3CBC8A7F" w14:textId="77777777" w:rsidR="008342F0" w:rsidRPr="008342F0" w:rsidRDefault="008342F0" w:rsidP="008342F0">
            <w:pPr>
              <w:pStyle w:val="Tabletext"/>
            </w:pPr>
            <w:r w:rsidRPr="008342F0">
              <w:t>1</w:t>
            </w:r>
            <w:r w:rsidR="00D7157D">
              <w:t>.</w:t>
            </w:r>
            <w:r w:rsidRPr="008342F0">
              <w:t>1718</w:t>
            </w:r>
          </w:p>
        </w:tc>
      </w:tr>
      <w:tr w:rsidR="008342F0" w:rsidRPr="008342F0" w14:paraId="6F57205B" w14:textId="77777777" w:rsidTr="00F160E0">
        <w:trPr>
          <w:cantSplit/>
        </w:trPr>
        <w:tc>
          <w:tcPr>
            <w:tcW w:w="1136" w:type="pct"/>
            <w:tcBorders>
              <w:top w:val="single" w:sz="4" w:space="0" w:color="auto"/>
              <w:bottom w:val="single" w:sz="4" w:space="0" w:color="auto"/>
            </w:tcBorders>
          </w:tcPr>
          <w:p w14:paraId="0A988E2B" w14:textId="77777777" w:rsidR="008342F0" w:rsidRPr="00063033" w:rsidRDefault="008342F0" w:rsidP="008342F0">
            <w:pPr>
              <w:pStyle w:val="Tabletext"/>
            </w:pPr>
            <w:r w:rsidRPr="00063033">
              <w:t>34</w:t>
            </w:r>
          </w:p>
        </w:tc>
        <w:tc>
          <w:tcPr>
            <w:tcW w:w="966" w:type="pct"/>
            <w:tcBorders>
              <w:top w:val="single" w:sz="4" w:space="0" w:color="auto"/>
              <w:bottom w:val="single" w:sz="4" w:space="0" w:color="auto"/>
            </w:tcBorders>
            <w:shd w:val="clear" w:color="auto" w:fill="auto"/>
            <w:vAlign w:val="bottom"/>
          </w:tcPr>
          <w:p w14:paraId="1992AB84" w14:textId="77777777" w:rsidR="008342F0" w:rsidRPr="008342F0" w:rsidRDefault="008342F0" w:rsidP="008342F0">
            <w:pPr>
              <w:pStyle w:val="Tabletext"/>
            </w:pPr>
            <w:r w:rsidRPr="008342F0">
              <w:t>21</w:t>
            </w:r>
            <w:r w:rsidR="00D7157D">
              <w:t>.</w:t>
            </w:r>
            <w:r w:rsidRPr="008342F0">
              <w:t>9767</w:t>
            </w:r>
          </w:p>
        </w:tc>
        <w:tc>
          <w:tcPr>
            <w:tcW w:w="966" w:type="pct"/>
            <w:tcBorders>
              <w:top w:val="single" w:sz="4" w:space="0" w:color="auto"/>
              <w:bottom w:val="single" w:sz="4" w:space="0" w:color="auto"/>
            </w:tcBorders>
            <w:shd w:val="clear" w:color="auto" w:fill="auto"/>
            <w:vAlign w:val="bottom"/>
          </w:tcPr>
          <w:p w14:paraId="2ACA9AA8" w14:textId="77777777" w:rsidR="008342F0" w:rsidRPr="008342F0" w:rsidRDefault="008342F0" w:rsidP="008342F0">
            <w:pPr>
              <w:pStyle w:val="Tabletext"/>
            </w:pPr>
            <w:r w:rsidRPr="008342F0">
              <w:t>2</w:t>
            </w:r>
            <w:r w:rsidR="00D7157D">
              <w:t>.</w:t>
            </w:r>
            <w:r w:rsidRPr="008342F0">
              <w:t>4655</w:t>
            </w:r>
          </w:p>
        </w:tc>
        <w:tc>
          <w:tcPr>
            <w:tcW w:w="966" w:type="pct"/>
            <w:tcBorders>
              <w:top w:val="single" w:sz="4" w:space="0" w:color="auto"/>
              <w:bottom w:val="single" w:sz="4" w:space="0" w:color="auto"/>
            </w:tcBorders>
            <w:shd w:val="clear" w:color="auto" w:fill="auto"/>
            <w:vAlign w:val="bottom"/>
          </w:tcPr>
          <w:p w14:paraId="399BDF3F" w14:textId="77777777" w:rsidR="008342F0" w:rsidRPr="008342F0" w:rsidRDefault="008342F0" w:rsidP="008342F0">
            <w:pPr>
              <w:pStyle w:val="Tabletext"/>
            </w:pPr>
            <w:r w:rsidRPr="008342F0">
              <w:t>23</w:t>
            </w:r>
            <w:r w:rsidR="00D7157D">
              <w:t>.</w:t>
            </w:r>
            <w:r w:rsidRPr="008342F0">
              <w:t>0300</w:t>
            </w:r>
          </w:p>
        </w:tc>
        <w:tc>
          <w:tcPr>
            <w:tcW w:w="966" w:type="pct"/>
            <w:tcBorders>
              <w:top w:val="single" w:sz="4" w:space="0" w:color="auto"/>
              <w:bottom w:val="single" w:sz="4" w:space="0" w:color="auto"/>
              <w:right w:val="nil"/>
            </w:tcBorders>
            <w:shd w:val="clear" w:color="auto" w:fill="auto"/>
            <w:vAlign w:val="bottom"/>
          </w:tcPr>
          <w:p w14:paraId="2BD040EA" w14:textId="77777777" w:rsidR="008342F0" w:rsidRPr="008342F0" w:rsidRDefault="008342F0" w:rsidP="008342F0">
            <w:pPr>
              <w:pStyle w:val="Tabletext"/>
            </w:pPr>
            <w:r w:rsidRPr="008342F0">
              <w:t>1</w:t>
            </w:r>
            <w:r w:rsidR="00D7157D">
              <w:t>.</w:t>
            </w:r>
            <w:r w:rsidRPr="008342F0">
              <w:t>1938</w:t>
            </w:r>
          </w:p>
        </w:tc>
      </w:tr>
      <w:tr w:rsidR="008342F0" w:rsidRPr="008342F0" w14:paraId="518AE90D" w14:textId="77777777" w:rsidTr="00F160E0">
        <w:trPr>
          <w:cantSplit/>
        </w:trPr>
        <w:tc>
          <w:tcPr>
            <w:tcW w:w="1136" w:type="pct"/>
            <w:tcBorders>
              <w:top w:val="single" w:sz="4" w:space="0" w:color="auto"/>
              <w:bottom w:val="single" w:sz="4" w:space="0" w:color="auto"/>
            </w:tcBorders>
          </w:tcPr>
          <w:p w14:paraId="7C812A9B" w14:textId="77777777" w:rsidR="008342F0" w:rsidRPr="00063033" w:rsidRDefault="008342F0" w:rsidP="008342F0">
            <w:pPr>
              <w:pStyle w:val="Tabletext"/>
            </w:pPr>
            <w:r w:rsidRPr="00063033">
              <w:t>35</w:t>
            </w:r>
          </w:p>
        </w:tc>
        <w:tc>
          <w:tcPr>
            <w:tcW w:w="966" w:type="pct"/>
            <w:tcBorders>
              <w:top w:val="single" w:sz="4" w:space="0" w:color="auto"/>
              <w:bottom w:val="single" w:sz="4" w:space="0" w:color="auto"/>
            </w:tcBorders>
            <w:shd w:val="clear" w:color="auto" w:fill="auto"/>
            <w:vAlign w:val="bottom"/>
          </w:tcPr>
          <w:p w14:paraId="024C7DB7" w14:textId="77777777" w:rsidR="008342F0" w:rsidRPr="008342F0" w:rsidRDefault="008342F0" w:rsidP="008342F0">
            <w:pPr>
              <w:pStyle w:val="Tabletext"/>
            </w:pPr>
            <w:r w:rsidRPr="008342F0">
              <w:t>21</w:t>
            </w:r>
            <w:r w:rsidR="00D7157D">
              <w:t>.</w:t>
            </w:r>
            <w:r w:rsidRPr="008342F0">
              <w:t>7646</w:t>
            </w:r>
          </w:p>
        </w:tc>
        <w:tc>
          <w:tcPr>
            <w:tcW w:w="966" w:type="pct"/>
            <w:tcBorders>
              <w:top w:val="single" w:sz="4" w:space="0" w:color="auto"/>
              <w:bottom w:val="single" w:sz="4" w:space="0" w:color="auto"/>
            </w:tcBorders>
            <w:shd w:val="clear" w:color="auto" w:fill="auto"/>
            <w:vAlign w:val="bottom"/>
          </w:tcPr>
          <w:p w14:paraId="4B7F7D44" w14:textId="77777777" w:rsidR="008342F0" w:rsidRPr="008342F0" w:rsidRDefault="008342F0" w:rsidP="008342F0">
            <w:pPr>
              <w:pStyle w:val="Tabletext"/>
            </w:pPr>
            <w:r w:rsidRPr="008342F0">
              <w:t>2</w:t>
            </w:r>
            <w:r w:rsidR="00D7157D">
              <w:t>.</w:t>
            </w:r>
            <w:r w:rsidRPr="008342F0">
              <w:t>5148</w:t>
            </w:r>
          </w:p>
        </w:tc>
        <w:tc>
          <w:tcPr>
            <w:tcW w:w="966" w:type="pct"/>
            <w:tcBorders>
              <w:top w:val="single" w:sz="4" w:space="0" w:color="auto"/>
              <w:bottom w:val="single" w:sz="4" w:space="0" w:color="auto"/>
            </w:tcBorders>
            <w:shd w:val="clear" w:color="auto" w:fill="auto"/>
            <w:vAlign w:val="bottom"/>
          </w:tcPr>
          <w:p w14:paraId="74F584DA" w14:textId="77777777" w:rsidR="008342F0" w:rsidRPr="008342F0" w:rsidRDefault="008342F0" w:rsidP="008342F0">
            <w:pPr>
              <w:pStyle w:val="Tabletext"/>
            </w:pPr>
            <w:r w:rsidRPr="008342F0">
              <w:t>22</w:t>
            </w:r>
            <w:r w:rsidR="00D7157D">
              <w:t>.</w:t>
            </w:r>
            <w:r w:rsidRPr="008342F0">
              <w:t>8349</w:t>
            </w:r>
          </w:p>
        </w:tc>
        <w:tc>
          <w:tcPr>
            <w:tcW w:w="966" w:type="pct"/>
            <w:tcBorders>
              <w:top w:val="single" w:sz="4" w:space="0" w:color="auto"/>
              <w:bottom w:val="single" w:sz="4" w:space="0" w:color="auto"/>
              <w:right w:val="nil"/>
            </w:tcBorders>
            <w:shd w:val="clear" w:color="auto" w:fill="auto"/>
            <w:vAlign w:val="bottom"/>
          </w:tcPr>
          <w:p w14:paraId="09F6864D" w14:textId="77777777" w:rsidR="008342F0" w:rsidRPr="008342F0" w:rsidRDefault="008342F0" w:rsidP="008342F0">
            <w:pPr>
              <w:pStyle w:val="Tabletext"/>
            </w:pPr>
            <w:r w:rsidRPr="008342F0">
              <w:t>1</w:t>
            </w:r>
            <w:r w:rsidR="00D7157D">
              <w:t>.</w:t>
            </w:r>
            <w:r w:rsidRPr="008342F0">
              <w:t>2159</w:t>
            </w:r>
          </w:p>
        </w:tc>
      </w:tr>
      <w:tr w:rsidR="008342F0" w:rsidRPr="008342F0" w14:paraId="15D87F2C" w14:textId="77777777" w:rsidTr="00F160E0">
        <w:trPr>
          <w:cantSplit/>
        </w:trPr>
        <w:tc>
          <w:tcPr>
            <w:tcW w:w="1136" w:type="pct"/>
            <w:tcBorders>
              <w:top w:val="single" w:sz="4" w:space="0" w:color="auto"/>
              <w:bottom w:val="single" w:sz="4" w:space="0" w:color="auto"/>
            </w:tcBorders>
          </w:tcPr>
          <w:p w14:paraId="591B7096" w14:textId="77777777" w:rsidR="008342F0" w:rsidRPr="00063033" w:rsidRDefault="008342F0" w:rsidP="008342F0">
            <w:pPr>
              <w:pStyle w:val="Tabletext"/>
            </w:pPr>
            <w:r w:rsidRPr="00063033">
              <w:t>36</w:t>
            </w:r>
          </w:p>
        </w:tc>
        <w:tc>
          <w:tcPr>
            <w:tcW w:w="966" w:type="pct"/>
            <w:tcBorders>
              <w:top w:val="single" w:sz="4" w:space="0" w:color="auto"/>
              <w:bottom w:val="single" w:sz="4" w:space="0" w:color="auto"/>
            </w:tcBorders>
            <w:shd w:val="clear" w:color="auto" w:fill="auto"/>
            <w:vAlign w:val="bottom"/>
          </w:tcPr>
          <w:p w14:paraId="0CBB14AB" w14:textId="77777777" w:rsidR="008342F0" w:rsidRPr="008342F0" w:rsidRDefault="008342F0" w:rsidP="008342F0">
            <w:pPr>
              <w:pStyle w:val="Tabletext"/>
            </w:pPr>
            <w:r w:rsidRPr="008342F0">
              <w:t>21</w:t>
            </w:r>
            <w:r w:rsidR="00D7157D">
              <w:t>.</w:t>
            </w:r>
            <w:r w:rsidRPr="008342F0">
              <w:t>5466</w:t>
            </w:r>
          </w:p>
        </w:tc>
        <w:tc>
          <w:tcPr>
            <w:tcW w:w="966" w:type="pct"/>
            <w:tcBorders>
              <w:top w:val="single" w:sz="4" w:space="0" w:color="auto"/>
              <w:bottom w:val="single" w:sz="4" w:space="0" w:color="auto"/>
            </w:tcBorders>
            <w:shd w:val="clear" w:color="auto" w:fill="auto"/>
            <w:vAlign w:val="bottom"/>
          </w:tcPr>
          <w:p w14:paraId="0014A65D" w14:textId="77777777" w:rsidR="008342F0" w:rsidRPr="008342F0" w:rsidRDefault="008342F0" w:rsidP="008342F0">
            <w:pPr>
              <w:pStyle w:val="Tabletext"/>
            </w:pPr>
            <w:r w:rsidRPr="008342F0">
              <w:t>2</w:t>
            </w:r>
            <w:r w:rsidR="00D7157D">
              <w:t>.</w:t>
            </w:r>
            <w:r w:rsidRPr="008342F0">
              <w:t>5651</w:t>
            </w:r>
          </w:p>
        </w:tc>
        <w:tc>
          <w:tcPr>
            <w:tcW w:w="966" w:type="pct"/>
            <w:tcBorders>
              <w:top w:val="single" w:sz="4" w:space="0" w:color="auto"/>
              <w:bottom w:val="single" w:sz="4" w:space="0" w:color="auto"/>
            </w:tcBorders>
            <w:shd w:val="clear" w:color="auto" w:fill="auto"/>
            <w:vAlign w:val="bottom"/>
          </w:tcPr>
          <w:p w14:paraId="333EE0C7" w14:textId="77777777" w:rsidR="008342F0" w:rsidRPr="008342F0" w:rsidRDefault="008342F0" w:rsidP="008342F0">
            <w:pPr>
              <w:pStyle w:val="Tabletext"/>
            </w:pPr>
            <w:r w:rsidRPr="008342F0">
              <w:t>22</w:t>
            </w:r>
            <w:r w:rsidR="00D7157D">
              <w:t>.</w:t>
            </w:r>
            <w:r w:rsidRPr="008342F0">
              <w:t>6341</w:t>
            </w:r>
          </w:p>
        </w:tc>
        <w:tc>
          <w:tcPr>
            <w:tcW w:w="966" w:type="pct"/>
            <w:tcBorders>
              <w:top w:val="single" w:sz="4" w:space="0" w:color="auto"/>
              <w:bottom w:val="single" w:sz="4" w:space="0" w:color="auto"/>
              <w:right w:val="nil"/>
            </w:tcBorders>
            <w:shd w:val="clear" w:color="auto" w:fill="auto"/>
            <w:vAlign w:val="bottom"/>
          </w:tcPr>
          <w:p w14:paraId="0E420578" w14:textId="77777777" w:rsidR="008342F0" w:rsidRPr="008342F0" w:rsidRDefault="008342F0" w:rsidP="008342F0">
            <w:pPr>
              <w:pStyle w:val="Tabletext"/>
            </w:pPr>
            <w:r w:rsidRPr="008342F0">
              <w:t>1</w:t>
            </w:r>
            <w:r w:rsidR="00D7157D">
              <w:t>.</w:t>
            </w:r>
            <w:r w:rsidRPr="008342F0">
              <w:t>2384</w:t>
            </w:r>
          </w:p>
        </w:tc>
      </w:tr>
      <w:tr w:rsidR="008342F0" w:rsidRPr="008342F0" w14:paraId="5267284D" w14:textId="77777777" w:rsidTr="00F160E0">
        <w:trPr>
          <w:cantSplit/>
        </w:trPr>
        <w:tc>
          <w:tcPr>
            <w:tcW w:w="1136" w:type="pct"/>
            <w:tcBorders>
              <w:top w:val="single" w:sz="4" w:space="0" w:color="auto"/>
              <w:bottom w:val="single" w:sz="4" w:space="0" w:color="auto"/>
            </w:tcBorders>
          </w:tcPr>
          <w:p w14:paraId="2D9385C4" w14:textId="77777777" w:rsidR="008342F0" w:rsidRPr="00063033" w:rsidRDefault="008342F0" w:rsidP="008342F0">
            <w:pPr>
              <w:pStyle w:val="Tabletext"/>
            </w:pPr>
            <w:r w:rsidRPr="00063033">
              <w:t>37</w:t>
            </w:r>
          </w:p>
        </w:tc>
        <w:tc>
          <w:tcPr>
            <w:tcW w:w="966" w:type="pct"/>
            <w:tcBorders>
              <w:top w:val="single" w:sz="4" w:space="0" w:color="auto"/>
              <w:bottom w:val="single" w:sz="4" w:space="0" w:color="auto"/>
            </w:tcBorders>
            <w:shd w:val="clear" w:color="auto" w:fill="auto"/>
            <w:vAlign w:val="bottom"/>
          </w:tcPr>
          <w:p w14:paraId="0F7F6E52" w14:textId="77777777" w:rsidR="008342F0" w:rsidRPr="008342F0" w:rsidRDefault="008342F0" w:rsidP="008342F0">
            <w:pPr>
              <w:pStyle w:val="Tabletext"/>
            </w:pPr>
            <w:r w:rsidRPr="008342F0">
              <w:t>21</w:t>
            </w:r>
            <w:r w:rsidR="00D7157D">
              <w:t>.</w:t>
            </w:r>
            <w:r w:rsidRPr="008342F0">
              <w:t>3229</w:t>
            </w:r>
          </w:p>
        </w:tc>
        <w:tc>
          <w:tcPr>
            <w:tcW w:w="966" w:type="pct"/>
            <w:tcBorders>
              <w:top w:val="single" w:sz="4" w:space="0" w:color="auto"/>
              <w:bottom w:val="single" w:sz="4" w:space="0" w:color="auto"/>
            </w:tcBorders>
            <w:shd w:val="clear" w:color="auto" w:fill="auto"/>
            <w:vAlign w:val="bottom"/>
          </w:tcPr>
          <w:p w14:paraId="26B80985" w14:textId="77777777" w:rsidR="008342F0" w:rsidRPr="008342F0" w:rsidRDefault="008342F0" w:rsidP="008342F0">
            <w:pPr>
              <w:pStyle w:val="Tabletext"/>
            </w:pPr>
            <w:r w:rsidRPr="008342F0">
              <w:t>2</w:t>
            </w:r>
            <w:r w:rsidR="00D7157D">
              <w:t>.</w:t>
            </w:r>
            <w:r w:rsidRPr="008342F0">
              <w:t>6159</w:t>
            </w:r>
          </w:p>
        </w:tc>
        <w:tc>
          <w:tcPr>
            <w:tcW w:w="966" w:type="pct"/>
            <w:tcBorders>
              <w:top w:val="single" w:sz="4" w:space="0" w:color="auto"/>
              <w:bottom w:val="single" w:sz="4" w:space="0" w:color="auto"/>
            </w:tcBorders>
            <w:shd w:val="clear" w:color="auto" w:fill="auto"/>
            <w:vAlign w:val="bottom"/>
          </w:tcPr>
          <w:p w14:paraId="7D5202F6" w14:textId="77777777" w:rsidR="008342F0" w:rsidRPr="008342F0" w:rsidRDefault="008342F0" w:rsidP="008342F0">
            <w:pPr>
              <w:pStyle w:val="Tabletext"/>
            </w:pPr>
            <w:r w:rsidRPr="008342F0">
              <w:t>22</w:t>
            </w:r>
            <w:r w:rsidR="00D7157D">
              <w:t>.</w:t>
            </w:r>
            <w:r w:rsidRPr="008342F0">
              <w:t>4275</w:t>
            </w:r>
          </w:p>
        </w:tc>
        <w:tc>
          <w:tcPr>
            <w:tcW w:w="966" w:type="pct"/>
            <w:tcBorders>
              <w:top w:val="single" w:sz="4" w:space="0" w:color="auto"/>
              <w:bottom w:val="single" w:sz="4" w:space="0" w:color="auto"/>
              <w:right w:val="nil"/>
            </w:tcBorders>
            <w:shd w:val="clear" w:color="auto" w:fill="auto"/>
            <w:vAlign w:val="bottom"/>
          </w:tcPr>
          <w:p w14:paraId="4E489ACA" w14:textId="77777777" w:rsidR="008342F0" w:rsidRPr="008342F0" w:rsidRDefault="008342F0" w:rsidP="008342F0">
            <w:pPr>
              <w:pStyle w:val="Tabletext"/>
            </w:pPr>
            <w:r w:rsidRPr="008342F0">
              <w:t>1</w:t>
            </w:r>
            <w:r w:rsidR="00D7157D">
              <w:t>.</w:t>
            </w:r>
            <w:r w:rsidRPr="008342F0">
              <w:t>2612</w:t>
            </w:r>
          </w:p>
        </w:tc>
      </w:tr>
      <w:tr w:rsidR="008342F0" w:rsidRPr="008342F0" w14:paraId="69763688" w14:textId="77777777" w:rsidTr="00F160E0">
        <w:trPr>
          <w:cantSplit/>
        </w:trPr>
        <w:tc>
          <w:tcPr>
            <w:tcW w:w="1136" w:type="pct"/>
            <w:tcBorders>
              <w:top w:val="single" w:sz="4" w:space="0" w:color="auto"/>
              <w:bottom w:val="single" w:sz="4" w:space="0" w:color="auto"/>
            </w:tcBorders>
          </w:tcPr>
          <w:p w14:paraId="5A81E18C" w14:textId="77777777" w:rsidR="008342F0" w:rsidRPr="00063033" w:rsidRDefault="008342F0" w:rsidP="008342F0">
            <w:pPr>
              <w:pStyle w:val="Tabletext"/>
            </w:pPr>
            <w:r w:rsidRPr="00063033">
              <w:t>38</w:t>
            </w:r>
          </w:p>
        </w:tc>
        <w:tc>
          <w:tcPr>
            <w:tcW w:w="966" w:type="pct"/>
            <w:tcBorders>
              <w:top w:val="single" w:sz="4" w:space="0" w:color="auto"/>
              <w:bottom w:val="single" w:sz="4" w:space="0" w:color="auto"/>
            </w:tcBorders>
            <w:shd w:val="clear" w:color="auto" w:fill="auto"/>
            <w:vAlign w:val="bottom"/>
          </w:tcPr>
          <w:p w14:paraId="43B68DF4" w14:textId="77777777" w:rsidR="008342F0" w:rsidRPr="008342F0" w:rsidRDefault="008342F0" w:rsidP="008342F0">
            <w:pPr>
              <w:pStyle w:val="Tabletext"/>
            </w:pPr>
            <w:r w:rsidRPr="008342F0">
              <w:t>21</w:t>
            </w:r>
            <w:r w:rsidR="00D7157D">
              <w:t>.</w:t>
            </w:r>
            <w:r w:rsidRPr="008342F0">
              <w:t>0931</w:t>
            </w:r>
          </w:p>
        </w:tc>
        <w:tc>
          <w:tcPr>
            <w:tcW w:w="966" w:type="pct"/>
            <w:tcBorders>
              <w:top w:val="single" w:sz="4" w:space="0" w:color="auto"/>
              <w:bottom w:val="single" w:sz="4" w:space="0" w:color="auto"/>
            </w:tcBorders>
            <w:shd w:val="clear" w:color="auto" w:fill="auto"/>
            <w:vAlign w:val="bottom"/>
          </w:tcPr>
          <w:p w14:paraId="4D70982A" w14:textId="77777777" w:rsidR="008342F0" w:rsidRPr="008342F0" w:rsidRDefault="008342F0" w:rsidP="008342F0">
            <w:pPr>
              <w:pStyle w:val="Tabletext"/>
            </w:pPr>
            <w:r w:rsidRPr="008342F0">
              <w:t>2</w:t>
            </w:r>
            <w:r w:rsidR="00D7157D">
              <w:t>.</w:t>
            </w:r>
            <w:r w:rsidRPr="008342F0">
              <w:t>6675</w:t>
            </w:r>
          </w:p>
        </w:tc>
        <w:tc>
          <w:tcPr>
            <w:tcW w:w="966" w:type="pct"/>
            <w:tcBorders>
              <w:top w:val="single" w:sz="4" w:space="0" w:color="auto"/>
              <w:bottom w:val="single" w:sz="4" w:space="0" w:color="auto"/>
            </w:tcBorders>
            <w:shd w:val="clear" w:color="auto" w:fill="auto"/>
            <w:vAlign w:val="bottom"/>
          </w:tcPr>
          <w:p w14:paraId="738A6AE1" w14:textId="77777777" w:rsidR="008342F0" w:rsidRPr="008342F0" w:rsidRDefault="008342F0" w:rsidP="008342F0">
            <w:pPr>
              <w:pStyle w:val="Tabletext"/>
            </w:pPr>
            <w:r w:rsidRPr="008342F0">
              <w:t>22</w:t>
            </w:r>
            <w:r w:rsidR="00D7157D">
              <w:t>.</w:t>
            </w:r>
            <w:r w:rsidRPr="008342F0">
              <w:t>2150</w:t>
            </w:r>
          </w:p>
        </w:tc>
        <w:tc>
          <w:tcPr>
            <w:tcW w:w="966" w:type="pct"/>
            <w:tcBorders>
              <w:top w:val="single" w:sz="4" w:space="0" w:color="auto"/>
              <w:bottom w:val="single" w:sz="4" w:space="0" w:color="auto"/>
              <w:right w:val="nil"/>
            </w:tcBorders>
            <w:shd w:val="clear" w:color="auto" w:fill="auto"/>
            <w:vAlign w:val="bottom"/>
          </w:tcPr>
          <w:p w14:paraId="203341F6" w14:textId="77777777" w:rsidR="008342F0" w:rsidRPr="008342F0" w:rsidRDefault="008342F0" w:rsidP="008342F0">
            <w:pPr>
              <w:pStyle w:val="Tabletext"/>
            </w:pPr>
            <w:r w:rsidRPr="008342F0">
              <w:t>1</w:t>
            </w:r>
            <w:r w:rsidR="00D7157D">
              <w:t>.</w:t>
            </w:r>
            <w:r w:rsidRPr="008342F0">
              <w:t>2841</w:t>
            </w:r>
          </w:p>
        </w:tc>
      </w:tr>
      <w:tr w:rsidR="008342F0" w:rsidRPr="008342F0" w14:paraId="37886476" w14:textId="77777777" w:rsidTr="00F160E0">
        <w:trPr>
          <w:cantSplit/>
        </w:trPr>
        <w:tc>
          <w:tcPr>
            <w:tcW w:w="1136" w:type="pct"/>
            <w:tcBorders>
              <w:top w:val="single" w:sz="4" w:space="0" w:color="auto"/>
              <w:bottom w:val="single" w:sz="4" w:space="0" w:color="auto"/>
            </w:tcBorders>
          </w:tcPr>
          <w:p w14:paraId="7716FA23" w14:textId="77777777" w:rsidR="008342F0" w:rsidRPr="00063033" w:rsidRDefault="008342F0" w:rsidP="008342F0">
            <w:pPr>
              <w:pStyle w:val="Tabletext"/>
            </w:pPr>
            <w:r w:rsidRPr="00063033">
              <w:t>39</w:t>
            </w:r>
          </w:p>
        </w:tc>
        <w:tc>
          <w:tcPr>
            <w:tcW w:w="966" w:type="pct"/>
            <w:tcBorders>
              <w:top w:val="single" w:sz="4" w:space="0" w:color="auto"/>
              <w:bottom w:val="single" w:sz="4" w:space="0" w:color="auto"/>
            </w:tcBorders>
            <w:shd w:val="clear" w:color="auto" w:fill="auto"/>
            <w:vAlign w:val="bottom"/>
          </w:tcPr>
          <w:p w14:paraId="4786FEC9" w14:textId="77777777" w:rsidR="008342F0" w:rsidRPr="008342F0" w:rsidRDefault="008342F0" w:rsidP="008342F0">
            <w:pPr>
              <w:pStyle w:val="Tabletext"/>
            </w:pPr>
            <w:r w:rsidRPr="008342F0">
              <w:t>20</w:t>
            </w:r>
            <w:r w:rsidR="00D7157D">
              <w:t>.</w:t>
            </w:r>
            <w:r w:rsidRPr="008342F0">
              <w:t>8571</w:t>
            </w:r>
          </w:p>
        </w:tc>
        <w:tc>
          <w:tcPr>
            <w:tcW w:w="966" w:type="pct"/>
            <w:tcBorders>
              <w:top w:val="single" w:sz="4" w:space="0" w:color="auto"/>
              <w:bottom w:val="single" w:sz="4" w:space="0" w:color="auto"/>
            </w:tcBorders>
            <w:shd w:val="clear" w:color="auto" w:fill="auto"/>
            <w:vAlign w:val="bottom"/>
          </w:tcPr>
          <w:p w14:paraId="20E9386B" w14:textId="77777777" w:rsidR="008342F0" w:rsidRPr="008342F0" w:rsidRDefault="008342F0" w:rsidP="008342F0">
            <w:pPr>
              <w:pStyle w:val="Tabletext"/>
            </w:pPr>
            <w:r w:rsidRPr="008342F0">
              <w:t>2</w:t>
            </w:r>
            <w:r w:rsidR="00D7157D">
              <w:t>.</w:t>
            </w:r>
            <w:r w:rsidRPr="008342F0">
              <w:t>7198</w:t>
            </w:r>
          </w:p>
        </w:tc>
        <w:tc>
          <w:tcPr>
            <w:tcW w:w="966" w:type="pct"/>
            <w:tcBorders>
              <w:top w:val="single" w:sz="4" w:space="0" w:color="auto"/>
              <w:bottom w:val="single" w:sz="4" w:space="0" w:color="auto"/>
            </w:tcBorders>
            <w:shd w:val="clear" w:color="auto" w:fill="auto"/>
            <w:vAlign w:val="bottom"/>
          </w:tcPr>
          <w:p w14:paraId="2E261AB8" w14:textId="77777777" w:rsidR="008342F0" w:rsidRPr="008342F0" w:rsidRDefault="008342F0" w:rsidP="008342F0">
            <w:pPr>
              <w:pStyle w:val="Tabletext"/>
            </w:pPr>
            <w:r w:rsidRPr="008342F0">
              <w:t>21</w:t>
            </w:r>
            <w:r w:rsidR="00D7157D">
              <w:t>.</w:t>
            </w:r>
            <w:r w:rsidRPr="008342F0">
              <w:t>9965</w:t>
            </w:r>
          </w:p>
        </w:tc>
        <w:tc>
          <w:tcPr>
            <w:tcW w:w="966" w:type="pct"/>
            <w:tcBorders>
              <w:top w:val="single" w:sz="4" w:space="0" w:color="auto"/>
              <w:bottom w:val="single" w:sz="4" w:space="0" w:color="auto"/>
              <w:right w:val="nil"/>
            </w:tcBorders>
            <w:shd w:val="clear" w:color="auto" w:fill="auto"/>
            <w:vAlign w:val="bottom"/>
          </w:tcPr>
          <w:p w14:paraId="06DBC104" w14:textId="77777777" w:rsidR="008342F0" w:rsidRPr="008342F0" w:rsidRDefault="008342F0" w:rsidP="008342F0">
            <w:pPr>
              <w:pStyle w:val="Tabletext"/>
            </w:pPr>
            <w:r w:rsidRPr="008342F0">
              <w:t>1</w:t>
            </w:r>
            <w:r w:rsidR="00D7157D">
              <w:t>.</w:t>
            </w:r>
            <w:r w:rsidRPr="008342F0">
              <w:t>3072</w:t>
            </w:r>
          </w:p>
        </w:tc>
      </w:tr>
      <w:tr w:rsidR="008342F0" w:rsidRPr="008342F0" w14:paraId="05F1F54B" w14:textId="77777777" w:rsidTr="00F160E0">
        <w:trPr>
          <w:cantSplit/>
        </w:trPr>
        <w:tc>
          <w:tcPr>
            <w:tcW w:w="1136" w:type="pct"/>
            <w:tcBorders>
              <w:top w:val="single" w:sz="4" w:space="0" w:color="auto"/>
              <w:bottom w:val="single" w:sz="4" w:space="0" w:color="auto"/>
            </w:tcBorders>
          </w:tcPr>
          <w:p w14:paraId="0682CA94" w14:textId="77777777" w:rsidR="008342F0" w:rsidRPr="00063033" w:rsidRDefault="008342F0" w:rsidP="008342F0">
            <w:pPr>
              <w:pStyle w:val="Tabletext"/>
            </w:pPr>
            <w:r w:rsidRPr="00063033">
              <w:t>40</w:t>
            </w:r>
          </w:p>
        </w:tc>
        <w:tc>
          <w:tcPr>
            <w:tcW w:w="966" w:type="pct"/>
            <w:tcBorders>
              <w:top w:val="single" w:sz="4" w:space="0" w:color="auto"/>
              <w:bottom w:val="single" w:sz="4" w:space="0" w:color="auto"/>
            </w:tcBorders>
            <w:shd w:val="clear" w:color="auto" w:fill="auto"/>
            <w:vAlign w:val="bottom"/>
          </w:tcPr>
          <w:p w14:paraId="62A23CB9" w14:textId="77777777" w:rsidR="008342F0" w:rsidRPr="008342F0" w:rsidRDefault="008342F0" w:rsidP="008342F0">
            <w:pPr>
              <w:pStyle w:val="Tabletext"/>
            </w:pPr>
            <w:r w:rsidRPr="008342F0">
              <w:t>20</w:t>
            </w:r>
            <w:r w:rsidR="00D7157D">
              <w:t>.</w:t>
            </w:r>
            <w:r w:rsidRPr="008342F0">
              <w:t>6149</w:t>
            </w:r>
          </w:p>
        </w:tc>
        <w:tc>
          <w:tcPr>
            <w:tcW w:w="966" w:type="pct"/>
            <w:tcBorders>
              <w:top w:val="single" w:sz="4" w:space="0" w:color="auto"/>
              <w:bottom w:val="single" w:sz="4" w:space="0" w:color="auto"/>
            </w:tcBorders>
            <w:shd w:val="clear" w:color="auto" w:fill="auto"/>
            <w:vAlign w:val="bottom"/>
          </w:tcPr>
          <w:p w14:paraId="05005E73" w14:textId="77777777" w:rsidR="008342F0" w:rsidRPr="008342F0" w:rsidRDefault="008342F0" w:rsidP="008342F0">
            <w:pPr>
              <w:pStyle w:val="Tabletext"/>
            </w:pPr>
            <w:r w:rsidRPr="008342F0">
              <w:t>2</w:t>
            </w:r>
            <w:r w:rsidR="00D7157D">
              <w:t>.</w:t>
            </w:r>
            <w:r w:rsidRPr="008342F0">
              <w:t>7727</w:t>
            </w:r>
          </w:p>
        </w:tc>
        <w:tc>
          <w:tcPr>
            <w:tcW w:w="966" w:type="pct"/>
            <w:tcBorders>
              <w:top w:val="single" w:sz="4" w:space="0" w:color="auto"/>
              <w:bottom w:val="single" w:sz="4" w:space="0" w:color="auto"/>
            </w:tcBorders>
            <w:shd w:val="clear" w:color="auto" w:fill="auto"/>
            <w:vAlign w:val="bottom"/>
          </w:tcPr>
          <w:p w14:paraId="7A342210" w14:textId="77777777" w:rsidR="008342F0" w:rsidRPr="008342F0" w:rsidRDefault="008342F0" w:rsidP="008342F0">
            <w:pPr>
              <w:pStyle w:val="Tabletext"/>
            </w:pPr>
            <w:r w:rsidRPr="008342F0">
              <w:t>21</w:t>
            </w:r>
            <w:r w:rsidR="00D7157D">
              <w:t>.</w:t>
            </w:r>
            <w:r w:rsidRPr="008342F0">
              <w:t>7717</w:t>
            </w:r>
          </w:p>
        </w:tc>
        <w:tc>
          <w:tcPr>
            <w:tcW w:w="966" w:type="pct"/>
            <w:tcBorders>
              <w:top w:val="single" w:sz="4" w:space="0" w:color="auto"/>
              <w:bottom w:val="single" w:sz="4" w:space="0" w:color="auto"/>
              <w:right w:val="nil"/>
            </w:tcBorders>
            <w:shd w:val="clear" w:color="auto" w:fill="auto"/>
            <w:vAlign w:val="bottom"/>
          </w:tcPr>
          <w:p w14:paraId="3D0BBA2C" w14:textId="77777777" w:rsidR="008342F0" w:rsidRPr="008342F0" w:rsidRDefault="008342F0" w:rsidP="008342F0">
            <w:pPr>
              <w:pStyle w:val="Tabletext"/>
            </w:pPr>
            <w:r w:rsidRPr="008342F0">
              <w:t>1</w:t>
            </w:r>
            <w:r w:rsidR="00D7157D">
              <w:t>.</w:t>
            </w:r>
            <w:r w:rsidRPr="008342F0">
              <w:t>3306</w:t>
            </w:r>
          </w:p>
        </w:tc>
      </w:tr>
      <w:tr w:rsidR="008342F0" w:rsidRPr="008342F0" w14:paraId="3E7639E3" w14:textId="77777777" w:rsidTr="00F160E0">
        <w:trPr>
          <w:cantSplit/>
        </w:trPr>
        <w:tc>
          <w:tcPr>
            <w:tcW w:w="1136" w:type="pct"/>
            <w:tcBorders>
              <w:top w:val="single" w:sz="4" w:space="0" w:color="auto"/>
              <w:bottom w:val="single" w:sz="4" w:space="0" w:color="auto"/>
            </w:tcBorders>
          </w:tcPr>
          <w:p w14:paraId="2E5BE06A" w14:textId="77777777" w:rsidR="008342F0" w:rsidRPr="00063033" w:rsidRDefault="008342F0" w:rsidP="008342F0">
            <w:pPr>
              <w:pStyle w:val="Tabletext"/>
            </w:pPr>
            <w:r w:rsidRPr="00063033">
              <w:t>41</w:t>
            </w:r>
          </w:p>
        </w:tc>
        <w:tc>
          <w:tcPr>
            <w:tcW w:w="966" w:type="pct"/>
            <w:tcBorders>
              <w:top w:val="single" w:sz="4" w:space="0" w:color="auto"/>
              <w:bottom w:val="single" w:sz="4" w:space="0" w:color="auto"/>
            </w:tcBorders>
            <w:shd w:val="clear" w:color="auto" w:fill="auto"/>
            <w:vAlign w:val="bottom"/>
          </w:tcPr>
          <w:p w14:paraId="15BD15C2" w14:textId="77777777" w:rsidR="008342F0" w:rsidRPr="008342F0" w:rsidRDefault="008342F0" w:rsidP="008342F0">
            <w:pPr>
              <w:pStyle w:val="Tabletext"/>
            </w:pPr>
            <w:r w:rsidRPr="008342F0">
              <w:t>20</w:t>
            </w:r>
            <w:r w:rsidR="00D7157D">
              <w:t>.</w:t>
            </w:r>
            <w:r w:rsidRPr="008342F0">
              <w:t>3664</w:t>
            </w:r>
          </w:p>
        </w:tc>
        <w:tc>
          <w:tcPr>
            <w:tcW w:w="966" w:type="pct"/>
            <w:tcBorders>
              <w:top w:val="single" w:sz="4" w:space="0" w:color="auto"/>
              <w:bottom w:val="single" w:sz="4" w:space="0" w:color="auto"/>
            </w:tcBorders>
            <w:shd w:val="clear" w:color="auto" w:fill="auto"/>
            <w:vAlign w:val="bottom"/>
          </w:tcPr>
          <w:p w14:paraId="11F85F63" w14:textId="77777777" w:rsidR="008342F0" w:rsidRPr="008342F0" w:rsidRDefault="008342F0" w:rsidP="008342F0">
            <w:pPr>
              <w:pStyle w:val="Tabletext"/>
            </w:pPr>
            <w:r w:rsidRPr="008342F0">
              <w:t>2</w:t>
            </w:r>
            <w:r w:rsidR="00D7157D">
              <w:t>.</w:t>
            </w:r>
            <w:r w:rsidRPr="008342F0">
              <w:t>7320</w:t>
            </w:r>
          </w:p>
        </w:tc>
        <w:tc>
          <w:tcPr>
            <w:tcW w:w="966" w:type="pct"/>
            <w:tcBorders>
              <w:top w:val="single" w:sz="4" w:space="0" w:color="auto"/>
              <w:bottom w:val="single" w:sz="4" w:space="0" w:color="auto"/>
            </w:tcBorders>
            <w:shd w:val="clear" w:color="auto" w:fill="auto"/>
            <w:vAlign w:val="bottom"/>
          </w:tcPr>
          <w:p w14:paraId="00701D61" w14:textId="77777777" w:rsidR="008342F0" w:rsidRPr="008342F0" w:rsidRDefault="008342F0" w:rsidP="008342F0">
            <w:pPr>
              <w:pStyle w:val="Tabletext"/>
            </w:pPr>
            <w:r w:rsidRPr="008342F0">
              <w:t>21</w:t>
            </w:r>
            <w:r w:rsidR="00D7157D">
              <w:t>.</w:t>
            </w:r>
            <w:r w:rsidRPr="008342F0">
              <w:t>5405</w:t>
            </w:r>
          </w:p>
        </w:tc>
        <w:tc>
          <w:tcPr>
            <w:tcW w:w="966" w:type="pct"/>
            <w:tcBorders>
              <w:top w:val="single" w:sz="4" w:space="0" w:color="auto"/>
              <w:bottom w:val="single" w:sz="4" w:space="0" w:color="auto"/>
              <w:right w:val="nil"/>
            </w:tcBorders>
            <w:shd w:val="clear" w:color="auto" w:fill="auto"/>
            <w:vAlign w:val="bottom"/>
          </w:tcPr>
          <w:p w14:paraId="6823BF7E" w14:textId="77777777" w:rsidR="008342F0" w:rsidRPr="008342F0" w:rsidRDefault="008342F0" w:rsidP="008342F0">
            <w:pPr>
              <w:pStyle w:val="Tabletext"/>
            </w:pPr>
            <w:r w:rsidRPr="008342F0">
              <w:t>1</w:t>
            </w:r>
            <w:r w:rsidR="00D7157D">
              <w:t>.</w:t>
            </w:r>
            <w:r w:rsidRPr="008342F0">
              <w:t>2729</w:t>
            </w:r>
          </w:p>
        </w:tc>
      </w:tr>
      <w:tr w:rsidR="008342F0" w:rsidRPr="008342F0" w14:paraId="086BCA7D" w14:textId="77777777" w:rsidTr="00F160E0">
        <w:trPr>
          <w:cantSplit/>
        </w:trPr>
        <w:tc>
          <w:tcPr>
            <w:tcW w:w="1136" w:type="pct"/>
            <w:tcBorders>
              <w:top w:val="single" w:sz="4" w:space="0" w:color="auto"/>
              <w:bottom w:val="single" w:sz="4" w:space="0" w:color="auto"/>
            </w:tcBorders>
          </w:tcPr>
          <w:p w14:paraId="58979B18" w14:textId="77777777" w:rsidR="008342F0" w:rsidRPr="00063033" w:rsidRDefault="008342F0" w:rsidP="008342F0">
            <w:pPr>
              <w:pStyle w:val="Tabletext"/>
            </w:pPr>
            <w:r w:rsidRPr="00063033">
              <w:t>42</w:t>
            </w:r>
          </w:p>
        </w:tc>
        <w:tc>
          <w:tcPr>
            <w:tcW w:w="966" w:type="pct"/>
            <w:tcBorders>
              <w:top w:val="single" w:sz="4" w:space="0" w:color="auto"/>
              <w:bottom w:val="single" w:sz="4" w:space="0" w:color="auto"/>
            </w:tcBorders>
            <w:shd w:val="clear" w:color="auto" w:fill="auto"/>
            <w:vAlign w:val="bottom"/>
          </w:tcPr>
          <w:p w14:paraId="4B25DB8F" w14:textId="77777777" w:rsidR="008342F0" w:rsidRPr="008342F0" w:rsidRDefault="008342F0" w:rsidP="008342F0">
            <w:pPr>
              <w:pStyle w:val="Tabletext"/>
            </w:pPr>
            <w:r w:rsidRPr="008342F0">
              <w:t>20</w:t>
            </w:r>
            <w:r w:rsidR="00D7157D">
              <w:t>.</w:t>
            </w:r>
            <w:r w:rsidRPr="008342F0">
              <w:t>1115</w:t>
            </w:r>
          </w:p>
        </w:tc>
        <w:tc>
          <w:tcPr>
            <w:tcW w:w="966" w:type="pct"/>
            <w:tcBorders>
              <w:top w:val="single" w:sz="4" w:space="0" w:color="auto"/>
              <w:bottom w:val="single" w:sz="4" w:space="0" w:color="auto"/>
            </w:tcBorders>
            <w:shd w:val="clear" w:color="auto" w:fill="auto"/>
            <w:vAlign w:val="bottom"/>
          </w:tcPr>
          <w:p w14:paraId="0664CFC0" w14:textId="77777777" w:rsidR="008342F0" w:rsidRPr="008342F0" w:rsidRDefault="008342F0" w:rsidP="008342F0">
            <w:pPr>
              <w:pStyle w:val="Tabletext"/>
            </w:pPr>
            <w:r w:rsidRPr="008342F0">
              <w:t>2</w:t>
            </w:r>
            <w:r w:rsidR="00D7157D">
              <w:t>.</w:t>
            </w:r>
            <w:r w:rsidRPr="008342F0">
              <w:t>6882</w:t>
            </w:r>
          </w:p>
        </w:tc>
        <w:tc>
          <w:tcPr>
            <w:tcW w:w="966" w:type="pct"/>
            <w:tcBorders>
              <w:top w:val="single" w:sz="4" w:space="0" w:color="auto"/>
              <w:bottom w:val="single" w:sz="4" w:space="0" w:color="auto"/>
            </w:tcBorders>
            <w:shd w:val="clear" w:color="auto" w:fill="auto"/>
            <w:vAlign w:val="bottom"/>
          </w:tcPr>
          <w:p w14:paraId="6482A136" w14:textId="77777777" w:rsidR="008342F0" w:rsidRPr="008342F0" w:rsidRDefault="008342F0" w:rsidP="008342F0">
            <w:pPr>
              <w:pStyle w:val="Tabletext"/>
            </w:pPr>
            <w:r w:rsidRPr="008342F0">
              <w:t>21</w:t>
            </w:r>
            <w:r w:rsidR="00D7157D">
              <w:t>.</w:t>
            </w:r>
            <w:r w:rsidRPr="008342F0">
              <w:t>3030</w:t>
            </w:r>
          </w:p>
        </w:tc>
        <w:tc>
          <w:tcPr>
            <w:tcW w:w="966" w:type="pct"/>
            <w:tcBorders>
              <w:top w:val="single" w:sz="4" w:space="0" w:color="auto"/>
              <w:bottom w:val="single" w:sz="4" w:space="0" w:color="auto"/>
              <w:right w:val="nil"/>
            </w:tcBorders>
            <w:shd w:val="clear" w:color="auto" w:fill="auto"/>
            <w:vAlign w:val="bottom"/>
          </w:tcPr>
          <w:p w14:paraId="026F71C2" w14:textId="77777777" w:rsidR="008342F0" w:rsidRPr="008342F0" w:rsidRDefault="008342F0" w:rsidP="008342F0">
            <w:pPr>
              <w:pStyle w:val="Tabletext"/>
            </w:pPr>
            <w:r w:rsidRPr="008342F0">
              <w:t>1</w:t>
            </w:r>
            <w:r w:rsidR="00D7157D">
              <w:t>.</w:t>
            </w:r>
            <w:r w:rsidRPr="008342F0">
              <w:t>2124</w:t>
            </w:r>
          </w:p>
        </w:tc>
      </w:tr>
      <w:tr w:rsidR="008342F0" w:rsidRPr="008342F0" w14:paraId="30D3C60B" w14:textId="77777777" w:rsidTr="00F160E0">
        <w:trPr>
          <w:cantSplit/>
        </w:trPr>
        <w:tc>
          <w:tcPr>
            <w:tcW w:w="1136" w:type="pct"/>
            <w:tcBorders>
              <w:top w:val="single" w:sz="4" w:space="0" w:color="auto"/>
              <w:bottom w:val="single" w:sz="4" w:space="0" w:color="auto"/>
            </w:tcBorders>
          </w:tcPr>
          <w:p w14:paraId="2A43DAEE" w14:textId="77777777" w:rsidR="008342F0" w:rsidRPr="00063033" w:rsidRDefault="008342F0" w:rsidP="008342F0">
            <w:pPr>
              <w:pStyle w:val="Tabletext"/>
            </w:pPr>
            <w:r w:rsidRPr="00063033">
              <w:t>43</w:t>
            </w:r>
          </w:p>
        </w:tc>
        <w:tc>
          <w:tcPr>
            <w:tcW w:w="966" w:type="pct"/>
            <w:tcBorders>
              <w:top w:val="single" w:sz="4" w:space="0" w:color="auto"/>
              <w:bottom w:val="single" w:sz="4" w:space="0" w:color="auto"/>
            </w:tcBorders>
            <w:shd w:val="clear" w:color="auto" w:fill="auto"/>
            <w:vAlign w:val="bottom"/>
          </w:tcPr>
          <w:p w14:paraId="0832ABCE" w14:textId="77777777" w:rsidR="008342F0" w:rsidRPr="008342F0" w:rsidRDefault="008342F0" w:rsidP="008342F0">
            <w:pPr>
              <w:pStyle w:val="Tabletext"/>
            </w:pPr>
            <w:r w:rsidRPr="008342F0">
              <w:t>19</w:t>
            </w:r>
            <w:r w:rsidR="00D7157D">
              <w:t>.</w:t>
            </w:r>
            <w:r w:rsidRPr="008342F0">
              <w:t>8500</w:t>
            </w:r>
          </w:p>
        </w:tc>
        <w:tc>
          <w:tcPr>
            <w:tcW w:w="966" w:type="pct"/>
            <w:tcBorders>
              <w:top w:val="single" w:sz="4" w:space="0" w:color="auto"/>
              <w:bottom w:val="single" w:sz="4" w:space="0" w:color="auto"/>
            </w:tcBorders>
            <w:shd w:val="clear" w:color="auto" w:fill="auto"/>
            <w:vAlign w:val="bottom"/>
          </w:tcPr>
          <w:p w14:paraId="1AF5AFC7" w14:textId="77777777" w:rsidR="008342F0" w:rsidRPr="008342F0" w:rsidRDefault="008342F0" w:rsidP="008342F0">
            <w:pPr>
              <w:pStyle w:val="Tabletext"/>
            </w:pPr>
            <w:r w:rsidRPr="008342F0">
              <w:t>2</w:t>
            </w:r>
            <w:r w:rsidR="00D7157D">
              <w:t>.</w:t>
            </w:r>
            <w:r w:rsidRPr="008342F0">
              <w:t>6414</w:t>
            </w:r>
          </w:p>
        </w:tc>
        <w:tc>
          <w:tcPr>
            <w:tcW w:w="966" w:type="pct"/>
            <w:tcBorders>
              <w:top w:val="single" w:sz="4" w:space="0" w:color="auto"/>
              <w:bottom w:val="single" w:sz="4" w:space="0" w:color="auto"/>
            </w:tcBorders>
            <w:shd w:val="clear" w:color="auto" w:fill="auto"/>
            <w:vAlign w:val="bottom"/>
          </w:tcPr>
          <w:p w14:paraId="5E652E62" w14:textId="77777777" w:rsidR="008342F0" w:rsidRPr="008342F0" w:rsidRDefault="008342F0" w:rsidP="008342F0">
            <w:pPr>
              <w:pStyle w:val="Tabletext"/>
            </w:pPr>
            <w:r w:rsidRPr="008342F0">
              <w:t>21</w:t>
            </w:r>
            <w:r w:rsidR="00D7157D">
              <w:t>.</w:t>
            </w:r>
            <w:r w:rsidRPr="008342F0">
              <w:t>0588</w:t>
            </w:r>
          </w:p>
        </w:tc>
        <w:tc>
          <w:tcPr>
            <w:tcW w:w="966" w:type="pct"/>
            <w:tcBorders>
              <w:top w:val="single" w:sz="4" w:space="0" w:color="auto"/>
              <w:bottom w:val="single" w:sz="4" w:space="0" w:color="auto"/>
              <w:right w:val="nil"/>
            </w:tcBorders>
            <w:shd w:val="clear" w:color="auto" w:fill="auto"/>
            <w:vAlign w:val="bottom"/>
          </w:tcPr>
          <w:p w14:paraId="6AB159ED" w14:textId="77777777" w:rsidR="008342F0" w:rsidRPr="008342F0" w:rsidRDefault="008342F0" w:rsidP="008342F0">
            <w:pPr>
              <w:pStyle w:val="Tabletext"/>
            </w:pPr>
            <w:r w:rsidRPr="008342F0">
              <w:t>1</w:t>
            </w:r>
            <w:r w:rsidR="00D7157D">
              <w:t>.</w:t>
            </w:r>
            <w:r w:rsidRPr="008342F0">
              <w:t>1492</w:t>
            </w:r>
          </w:p>
        </w:tc>
      </w:tr>
      <w:tr w:rsidR="008342F0" w:rsidRPr="008342F0" w14:paraId="4465D03D" w14:textId="77777777" w:rsidTr="00F160E0">
        <w:trPr>
          <w:cantSplit/>
        </w:trPr>
        <w:tc>
          <w:tcPr>
            <w:tcW w:w="1136" w:type="pct"/>
            <w:tcBorders>
              <w:top w:val="single" w:sz="4" w:space="0" w:color="auto"/>
              <w:bottom w:val="single" w:sz="4" w:space="0" w:color="auto"/>
            </w:tcBorders>
          </w:tcPr>
          <w:p w14:paraId="476171E2" w14:textId="77777777" w:rsidR="008342F0" w:rsidRPr="00063033" w:rsidRDefault="008342F0" w:rsidP="008342F0">
            <w:pPr>
              <w:pStyle w:val="Tabletext"/>
            </w:pPr>
            <w:r w:rsidRPr="00063033">
              <w:t>44</w:t>
            </w:r>
          </w:p>
        </w:tc>
        <w:tc>
          <w:tcPr>
            <w:tcW w:w="966" w:type="pct"/>
            <w:tcBorders>
              <w:top w:val="single" w:sz="4" w:space="0" w:color="auto"/>
              <w:bottom w:val="single" w:sz="4" w:space="0" w:color="auto"/>
            </w:tcBorders>
            <w:shd w:val="clear" w:color="auto" w:fill="auto"/>
            <w:vAlign w:val="bottom"/>
          </w:tcPr>
          <w:p w14:paraId="005AB56F" w14:textId="77777777" w:rsidR="008342F0" w:rsidRPr="008342F0" w:rsidRDefault="008342F0" w:rsidP="008342F0">
            <w:pPr>
              <w:pStyle w:val="Tabletext"/>
            </w:pPr>
            <w:r w:rsidRPr="008342F0">
              <w:t>19</w:t>
            </w:r>
            <w:r w:rsidR="00D7157D">
              <w:t>.</w:t>
            </w:r>
            <w:r w:rsidRPr="008342F0">
              <w:t>5820</w:t>
            </w:r>
          </w:p>
        </w:tc>
        <w:tc>
          <w:tcPr>
            <w:tcW w:w="966" w:type="pct"/>
            <w:tcBorders>
              <w:top w:val="single" w:sz="4" w:space="0" w:color="auto"/>
              <w:bottom w:val="single" w:sz="4" w:space="0" w:color="auto"/>
            </w:tcBorders>
            <w:shd w:val="clear" w:color="auto" w:fill="auto"/>
            <w:vAlign w:val="bottom"/>
          </w:tcPr>
          <w:p w14:paraId="32EF1DFF" w14:textId="77777777" w:rsidR="008342F0" w:rsidRPr="008342F0" w:rsidRDefault="008342F0" w:rsidP="008342F0">
            <w:pPr>
              <w:pStyle w:val="Tabletext"/>
            </w:pPr>
            <w:r w:rsidRPr="008342F0">
              <w:t>2</w:t>
            </w:r>
            <w:r w:rsidR="00D7157D">
              <w:t>.</w:t>
            </w:r>
            <w:r w:rsidRPr="008342F0">
              <w:t>5912</w:t>
            </w:r>
          </w:p>
        </w:tc>
        <w:tc>
          <w:tcPr>
            <w:tcW w:w="966" w:type="pct"/>
            <w:tcBorders>
              <w:top w:val="single" w:sz="4" w:space="0" w:color="auto"/>
              <w:bottom w:val="single" w:sz="4" w:space="0" w:color="auto"/>
            </w:tcBorders>
            <w:shd w:val="clear" w:color="auto" w:fill="auto"/>
            <w:vAlign w:val="bottom"/>
          </w:tcPr>
          <w:p w14:paraId="1A5E7BBC" w14:textId="77777777" w:rsidR="008342F0" w:rsidRPr="008342F0" w:rsidRDefault="008342F0" w:rsidP="008342F0">
            <w:pPr>
              <w:pStyle w:val="Tabletext"/>
            </w:pPr>
            <w:r w:rsidRPr="008342F0">
              <w:t>20</w:t>
            </w:r>
            <w:r w:rsidR="00D7157D">
              <w:t>.</w:t>
            </w:r>
            <w:r w:rsidRPr="008342F0">
              <w:t>8079</w:t>
            </w:r>
          </w:p>
        </w:tc>
        <w:tc>
          <w:tcPr>
            <w:tcW w:w="966" w:type="pct"/>
            <w:tcBorders>
              <w:top w:val="single" w:sz="4" w:space="0" w:color="auto"/>
              <w:bottom w:val="single" w:sz="4" w:space="0" w:color="auto"/>
              <w:right w:val="nil"/>
            </w:tcBorders>
            <w:shd w:val="clear" w:color="auto" w:fill="auto"/>
            <w:vAlign w:val="bottom"/>
          </w:tcPr>
          <w:p w14:paraId="35BD90B9" w14:textId="77777777" w:rsidR="008342F0" w:rsidRPr="008342F0" w:rsidRDefault="008342F0" w:rsidP="008342F0">
            <w:pPr>
              <w:pStyle w:val="Tabletext"/>
            </w:pPr>
            <w:r w:rsidRPr="008342F0">
              <w:t>1</w:t>
            </w:r>
            <w:r w:rsidR="00D7157D">
              <w:t>.</w:t>
            </w:r>
            <w:r w:rsidRPr="008342F0">
              <w:t>0833</w:t>
            </w:r>
          </w:p>
        </w:tc>
      </w:tr>
      <w:tr w:rsidR="008342F0" w:rsidRPr="008342F0" w14:paraId="7A238DB8" w14:textId="77777777" w:rsidTr="00F160E0">
        <w:trPr>
          <w:cantSplit/>
        </w:trPr>
        <w:tc>
          <w:tcPr>
            <w:tcW w:w="1136" w:type="pct"/>
            <w:tcBorders>
              <w:top w:val="single" w:sz="4" w:space="0" w:color="auto"/>
              <w:bottom w:val="single" w:sz="4" w:space="0" w:color="auto"/>
            </w:tcBorders>
          </w:tcPr>
          <w:p w14:paraId="10F2957F" w14:textId="77777777" w:rsidR="008342F0" w:rsidRPr="00063033" w:rsidRDefault="008342F0" w:rsidP="008342F0">
            <w:pPr>
              <w:pStyle w:val="Tabletext"/>
            </w:pPr>
            <w:r w:rsidRPr="00063033">
              <w:t>45</w:t>
            </w:r>
          </w:p>
        </w:tc>
        <w:tc>
          <w:tcPr>
            <w:tcW w:w="966" w:type="pct"/>
            <w:tcBorders>
              <w:top w:val="single" w:sz="4" w:space="0" w:color="auto"/>
              <w:bottom w:val="single" w:sz="4" w:space="0" w:color="auto"/>
            </w:tcBorders>
            <w:shd w:val="clear" w:color="auto" w:fill="auto"/>
            <w:vAlign w:val="bottom"/>
          </w:tcPr>
          <w:p w14:paraId="455DDABD" w14:textId="77777777" w:rsidR="008342F0" w:rsidRPr="008342F0" w:rsidRDefault="008342F0" w:rsidP="008342F0">
            <w:pPr>
              <w:pStyle w:val="Tabletext"/>
            </w:pPr>
            <w:r w:rsidRPr="008342F0">
              <w:t>19</w:t>
            </w:r>
            <w:r w:rsidR="00D7157D">
              <w:t>.</w:t>
            </w:r>
            <w:r w:rsidRPr="008342F0">
              <w:t>3073</w:t>
            </w:r>
          </w:p>
        </w:tc>
        <w:tc>
          <w:tcPr>
            <w:tcW w:w="966" w:type="pct"/>
            <w:tcBorders>
              <w:top w:val="single" w:sz="4" w:space="0" w:color="auto"/>
              <w:bottom w:val="single" w:sz="4" w:space="0" w:color="auto"/>
            </w:tcBorders>
            <w:shd w:val="clear" w:color="auto" w:fill="auto"/>
            <w:vAlign w:val="bottom"/>
          </w:tcPr>
          <w:p w14:paraId="3C9D67F1" w14:textId="77777777" w:rsidR="008342F0" w:rsidRPr="008342F0" w:rsidRDefault="008342F0" w:rsidP="008342F0">
            <w:pPr>
              <w:pStyle w:val="Tabletext"/>
            </w:pPr>
            <w:r w:rsidRPr="008342F0">
              <w:t>2</w:t>
            </w:r>
            <w:r w:rsidR="00D7157D">
              <w:t>.</w:t>
            </w:r>
            <w:r w:rsidRPr="008342F0">
              <w:t>5377</w:t>
            </w:r>
          </w:p>
        </w:tc>
        <w:tc>
          <w:tcPr>
            <w:tcW w:w="966" w:type="pct"/>
            <w:tcBorders>
              <w:top w:val="single" w:sz="4" w:space="0" w:color="auto"/>
              <w:bottom w:val="single" w:sz="4" w:space="0" w:color="auto"/>
            </w:tcBorders>
            <w:shd w:val="clear" w:color="auto" w:fill="auto"/>
            <w:vAlign w:val="bottom"/>
          </w:tcPr>
          <w:p w14:paraId="7DA955E0" w14:textId="77777777" w:rsidR="008342F0" w:rsidRPr="008342F0" w:rsidRDefault="008342F0" w:rsidP="008342F0">
            <w:pPr>
              <w:pStyle w:val="Tabletext"/>
            </w:pPr>
            <w:r w:rsidRPr="008342F0">
              <w:t>20</w:t>
            </w:r>
            <w:r w:rsidR="00D7157D">
              <w:t>.</w:t>
            </w:r>
            <w:r w:rsidRPr="008342F0">
              <w:t>5501</w:t>
            </w:r>
          </w:p>
        </w:tc>
        <w:tc>
          <w:tcPr>
            <w:tcW w:w="966" w:type="pct"/>
            <w:tcBorders>
              <w:top w:val="single" w:sz="4" w:space="0" w:color="auto"/>
              <w:bottom w:val="single" w:sz="4" w:space="0" w:color="auto"/>
              <w:right w:val="nil"/>
            </w:tcBorders>
            <w:shd w:val="clear" w:color="auto" w:fill="auto"/>
            <w:vAlign w:val="bottom"/>
          </w:tcPr>
          <w:p w14:paraId="64505D98" w14:textId="77777777" w:rsidR="008342F0" w:rsidRPr="008342F0" w:rsidRDefault="008342F0" w:rsidP="008342F0">
            <w:pPr>
              <w:pStyle w:val="Tabletext"/>
            </w:pPr>
            <w:r w:rsidRPr="008342F0">
              <w:t>1</w:t>
            </w:r>
            <w:r w:rsidR="00D7157D">
              <w:t>.</w:t>
            </w:r>
            <w:r w:rsidRPr="008342F0">
              <w:t>0144</w:t>
            </w:r>
          </w:p>
        </w:tc>
      </w:tr>
      <w:tr w:rsidR="008342F0" w:rsidRPr="008342F0" w14:paraId="55168BF8" w14:textId="77777777" w:rsidTr="00F160E0">
        <w:trPr>
          <w:cantSplit/>
        </w:trPr>
        <w:tc>
          <w:tcPr>
            <w:tcW w:w="1136" w:type="pct"/>
            <w:tcBorders>
              <w:top w:val="single" w:sz="4" w:space="0" w:color="auto"/>
              <w:bottom w:val="single" w:sz="4" w:space="0" w:color="auto"/>
            </w:tcBorders>
          </w:tcPr>
          <w:p w14:paraId="4100D590" w14:textId="77777777" w:rsidR="008342F0" w:rsidRPr="00063033" w:rsidRDefault="008342F0" w:rsidP="008342F0">
            <w:pPr>
              <w:pStyle w:val="Tabletext"/>
            </w:pPr>
            <w:r w:rsidRPr="00063033">
              <w:t>46</w:t>
            </w:r>
          </w:p>
        </w:tc>
        <w:tc>
          <w:tcPr>
            <w:tcW w:w="966" w:type="pct"/>
            <w:tcBorders>
              <w:top w:val="single" w:sz="4" w:space="0" w:color="auto"/>
              <w:bottom w:val="single" w:sz="4" w:space="0" w:color="auto"/>
            </w:tcBorders>
            <w:shd w:val="clear" w:color="auto" w:fill="auto"/>
            <w:vAlign w:val="bottom"/>
          </w:tcPr>
          <w:p w14:paraId="580DC9C1" w14:textId="77777777" w:rsidR="008342F0" w:rsidRPr="008342F0" w:rsidRDefault="008342F0" w:rsidP="008342F0">
            <w:pPr>
              <w:pStyle w:val="Tabletext"/>
            </w:pPr>
            <w:r w:rsidRPr="008342F0">
              <w:t>19</w:t>
            </w:r>
            <w:r w:rsidR="00D7157D">
              <w:t>.</w:t>
            </w:r>
            <w:r w:rsidRPr="008342F0">
              <w:t>0258</w:t>
            </w:r>
          </w:p>
        </w:tc>
        <w:tc>
          <w:tcPr>
            <w:tcW w:w="966" w:type="pct"/>
            <w:tcBorders>
              <w:top w:val="single" w:sz="4" w:space="0" w:color="auto"/>
              <w:bottom w:val="single" w:sz="4" w:space="0" w:color="auto"/>
            </w:tcBorders>
            <w:shd w:val="clear" w:color="auto" w:fill="auto"/>
            <w:vAlign w:val="bottom"/>
          </w:tcPr>
          <w:p w14:paraId="2401E627" w14:textId="77777777" w:rsidR="008342F0" w:rsidRPr="008342F0" w:rsidRDefault="008342F0" w:rsidP="008342F0">
            <w:pPr>
              <w:pStyle w:val="Tabletext"/>
            </w:pPr>
            <w:r w:rsidRPr="008342F0">
              <w:t>2</w:t>
            </w:r>
            <w:r w:rsidR="00D7157D">
              <w:t>.</w:t>
            </w:r>
            <w:r w:rsidRPr="008342F0">
              <w:t>4806</w:t>
            </w:r>
          </w:p>
        </w:tc>
        <w:tc>
          <w:tcPr>
            <w:tcW w:w="966" w:type="pct"/>
            <w:tcBorders>
              <w:top w:val="single" w:sz="4" w:space="0" w:color="auto"/>
              <w:bottom w:val="single" w:sz="4" w:space="0" w:color="auto"/>
            </w:tcBorders>
            <w:shd w:val="clear" w:color="auto" w:fill="auto"/>
            <w:vAlign w:val="bottom"/>
          </w:tcPr>
          <w:p w14:paraId="77E7355D" w14:textId="77777777" w:rsidR="008342F0" w:rsidRPr="008342F0" w:rsidRDefault="008342F0" w:rsidP="008342F0">
            <w:pPr>
              <w:pStyle w:val="Tabletext"/>
            </w:pPr>
            <w:r w:rsidRPr="008342F0">
              <w:t>20</w:t>
            </w:r>
            <w:r w:rsidR="00D7157D">
              <w:t>.</w:t>
            </w:r>
            <w:r w:rsidRPr="008342F0">
              <w:t>2854</w:t>
            </w:r>
          </w:p>
        </w:tc>
        <w:tc>
          <w:tcPr>
            <w:tcW w:w="966" w:type="pct"/>
            <w:tcBorders>
              <w:top w:val="single" w:sz="4" w:space="0" w:color="auto"/>
              <w:bottom w:val="single" w:sz="4" w:space="0" w:color="auto"/>
              <w:right w:val="nil"/>
            </w:tcBorders>
            <w:shd w:val="clear" w:color="auto" w:fill="auto"/>
            <w:vAlign w:val="bottom"/>
          </w:tcPr>
          <w:p w14:paraId="7BF730C2" w14:textId="77777777" w:rsidR="008342F0" w:rsidRPr="008342F0" w:rsidRDefault="008342F0" w:rsidP="008342F0">
            <w:pPr>
              <w:pStyle w:val="Tabletext"/>
            </w:pPr>
            <w:r w:rsidRPr="008342F0">
              <w:t>0</w:t>
            </w:r>
            <w:r w:rsidR="00D7157D">
              <w:t>.</w:t>
            </w:r>
            <w:r w:rsidRPr="008342F0">
              <w:t>9427</w:t>
            </w:r>
          </w:p>
        </w:tc>
      </w:tr>
      <w:tr w:rsidR="008342F0" w:rsidRPr="008342F0" w14:paraId="380C814C" w14:textId="77777777" w:rsidTr="00F160E0">
        <w:trPr>
          <w:cantSplit/>
        </w:trPr>
        <w:tc>
          <w:tcPr>
            <w:tcW w:w="1136" w:type="pct"/>
            <w:tcBorders>
              <w:top w:val="single" w:sz="4" w:space="0" w:color="auto"/>
              <w:bottom w:val="single" w:sz="4" w:space="0" w:color="auto"/>
            </w:tcBorders>
          </w:tcPr>
          <w:p w14:paraId="5D048EEB" w14:textId="77777777" w:rsidR="008342F0" w:rsidRPr="00063033" w:rsidRDefault="008342F0" w:rsidP="008342F0">
            <w:pPr>
              <w:pStyle w:val="Tabletext"/>
            </w:pPr>
            <w:r w:rsidRPr="00063033">
              <w:t>47</w:t>
            </w:r>
          </w:p>
        </w:tc>
        <w:tc>
          <w:tcPr>
            <w:tcW w:w="966" w:type="pct"/>
            <w:tcBorders>
              <w:top w:val="single" w:sz="4" w:space="0" w:color="auto"/>
              <w:bottom w:val="single" w:sz="4" w:space="0" w:color="auto"/>
            </w:tcBorders>
            <w:shd w:val="clear" w:color="auto" w:fill="auto"/>
            <w:vAlign w:val="bottom"/>
          </w:tcPr>
          <w:p w14:paraId="12EBC7CF" w14:textId="77777777" w:rsidR="008342F0" w:rsidRPr="008342F0" w:rsidRDefault="008342F0" w:rsidP="008342F0">
            <w:pPr>
              <w:pStyle w:val="Tabletext"/>
            </w:pPr>
            <w:r w:rsidRPr="008342F0">
              <w:t>18</w:t>
            </w:r>
            <w:r w:rsidR="00D7157D">
              <w:t>.</w:t>
            </w:r>
            <w:r w:rsidRPr="008342F0">
              <w:t>7377</w:t>
            </w:r>
          </w:p>
        </w:tc>
        <w:tc>
          <w:tcPr>
            <w:tcW w:w="966" w:type="pct"/>
            <w:tcBorders>
              <w:top w:val="single" w:sz="4" w:space="0" w:color="auto"/>
              <w:bottom w:val="single" w:sz="4" w:space="0" w:color="auto"/>
            </w:tcBorders>
            <w:shd w:val="clear" w:color="auto" w:fill="auto"/>
            <w:vAlign w:val="bottom"/>
          </w:tcPr>
          <w:p w14:paraId="7A5CFC07" w14:textId="77777777" w:rsidR="008342F0" w:rsidRPr="008342F0" w:rsidRDefault="008342F0" w:rsidP="008342F0">
            <w:pPr>
              <w:pStyle w:val="Tabletext"/>
            </w:pPr>
            <w:r w:rsidRPr="008342F0">
              <w:t>2</w:t>
            </w:r>
            <w:r w:rsidR="00D7157D">
              <w:t>.</w:t>
            </w:r>
            <w:r w:rsidRPr="008342F0">
              <w:t>4200</w:t>
            </w:r>
          </w:p>
        </w:tc>
        <w:tc>
          <w:tcPr>
            <w:tcW w:w="966" w:type="pct"/>
            <w:tcBorders>
              <w:top w:val="single" w:sz="4" w:space="0" w:color="auto"/>
              <w:bottom w:val="single" w:sz="4" w:space="0" w:color="auto"/>
            </w:tcBorders>
            <w:shd w:val="clear" w:color="auto" w:fill="auto"/>
            <w:vAlign w:val="bottom"/>
          </w:tcPr>
          <w:p w14:paraId="5C3DA2B6" w14:textId="77777777" w:rsidR="008342F0" w:rsidRPr="008342F0" w:rsidRDefault="008342F0" w:rsidP="008342F0">
            <w:pPr>
              <w:pStyle w:val="Tabletext"/>
            </w:pPr>
            <w:r w:rsidRPr="008342F0">
              <w:t>20</w:t>
            </w:r>
            <w:r w:rsidR="00D7157D">
              <w:t>.</w:t>
            </w:r>
            <w:r w:rsidRPr="008342F0">
              <w:t>0137</w:t>
            </w:r>
          </w:p>
        </w:tc>
        <w:tc>
          <w:tcPr>
            <w:tcW w:w="966" w:type="pct"/>
            <w:tcBorders>
              <w:top w:val="single" w:sz="4" w:space="0" w:color="auto"/>
              <w:bottom w:val="single" w:sz="4" w:space="0" w:color="auto"/>
              <w:right w:val="nil"/>
            </w:tcBorders>
            <w:shd w:val="clear" w:color="auto" w:fill="auto"/>
            <w:vAlign w:val="bottom"/>
          </w:tcPr>
          <w:p w14:paraId="4397F7DC" w14:textId="77777777" w:rsidR="008342F0" w:rsidRPr="008342F0" w:rsidRDefault="008342F0" w:rsidP="008342F0">
            <w:pPr>
              <w:pStyle w:val="Tabletext"/>
            </w:pPr>
            <w:r w:rsidRPr="008342F0">
              <w:t>0</w:t>
            </w:r>
            <w:r w:rsidR="00D7157D">
              <w:t>.</w:t>
            </w:r>
            <w:r w:rsidRPr="008342F0">
              <w:t>8681</w:t>
            </w:r>
          </w:p>
        </w:tc>
      </w:tr>
      <w:tr w:rsidR="008342F0" w:rsidRPr="008342F0" w14:paraId="4D591F66" w14:textId="77777777" w:rsidTr="00F160E0">
        <w:trPr>
          <w:cantSplit/>
        </w:trPr>
        <w:tc>
          <w:tcPr>
            <w:tcW w:w="1136" w:type="pct"/>
            <w:tcBorders>
              <w:top w:val="single" w:sz="4" w:space="0" w:color="auto"/>
              <w:bottom w:val="single" w:sz="4" w:space="0" w:color="auto"/>
            </w:tcBorders>
          </w:tcPr>
          <w:p w14:paraId="52C91A4C" w14:textId="77777777" w:rsidR="008342F0" w:rsidRPr="00063033" w:rsidRDefault="008342F0" w:rsidP="008342F0">
            <w:pPr>
              <w:pStyle w:val="Tabletext"/>
            </w:pPr>
            <w:r w:rsidRPr="00063033">
              <w:t>48</w:t>
            </w:r>
          </w:p>
        </w:tc>
        <w:tc>
          <w:tcPr>
            <w:tcW w:w="966" w:type="pct"/>
            <w:tcBorders>
              <w:top w:val="single" w:sz="4" w:space="0" w:color="auto"/>
              <w:bottom w:val="single" w:sz="4" w:space="0" w:color="auto"/>
            </w:tcBorders>
            <w:shd w:val="clear" w:color="auto" w:fill="auto"/>
            <w:vAlign w:val="bottom"/>
          </w:tcPr>
          <w:p w14:paraId="0802BFB6" w14:textId="77777777" w:rsidR="008342F0" w:rsidRPr="008342F0" w:rsidRDefault="008342F0" w:rsidP="008342F0">
            <w:pPr>
              <w:pStyle w:val="Tabletext"/>
            </w:pPr>
            <w:r w:rsidRPr="008342F0">
              <w:t>18</w:t>
            </w:r>
            <w:r w:rsidR="00D7157D">
              <w:t>.</w:t>
            </w:r>
            <w:r w:rsidRPr="008342F0">
              <w:t>4428</w:t>
            </w:r>
          </w:p>
        </w:tc>
        <w:tc>
          <w:tcPr>
            <w:tcW w:w="966" w:type="pct"/>
            <w:tcBorders>
              <w:top w:val="single" w:sz="4" w:space="0" w:color="auto"/>
              <w:bottom w:val="single" w:sz="4" w:space="0" w:color="auto"/>
            </w:tcBorders>
            <w:shd w:val="clear" w:color="auto" w:fill="auto"/>
            <w:vAlign w:val="bottom"/>
          </w:tcPr>
          <w:p w14:paraId="6C816462" w14:textId="77777777" w:rsidR="008342F0" w:rsidRPr="008342F0" w:rsidRDefault="008342F0" w:rsidP="008342F0">
            <w:pPr>
              <w:pStyle w:val="Tabletext"/>
            </w:pPr>
            <w:r w:rsidRPr="008342F0">
              <w:t>2</w:t>
            </w:r>
            <w:r w:rsidR="00D7157D">
              <w:t>.</w:t>
            </w:r>
            <w:r w:rsidRPr="008342F0">
              <w:t>3557</w:t>
            </w:r>
          </w:p>
        </w:tc>
        <w:tc>
          <w:tcPr>
            <w:tcW w:w="966" w:type="pct"/>
            <w:tcBorders>
              <w:top w:val="single" w:sz="4" w:space="0" w:color="auto"/>
              <w:bottom w:val="single" w:sz="4" w:space="0" w:color="auto"/>
            </w:tcBorders>
            <w:shd w:val="clear" w:color="auto" w:fill="auto"/>
            <w:vAlign w:val="bottom"/>
          </w:tcPr>
          <w:p w14:paraId="3AF4F771" w14:textId="77777777" w:rsidR="008342F0" w:rsidRPr="008342F0" w:rsidRDefault="008342F0" w:rsidP="008342F0">
            <w:pPr>
              <w:pStyle w:val="Tabletext"/>
            </w:pPr>
            <w:r w:rsidRPr="008342F0">
              <w:t>19</w:t>
            </w:r>
            <w:r w:rsidR="00D7157D">
              <w:t>.</w:t>
            </w:r>
            <w:r w:rsidRPr="008342F0">
              <w:t>7349</w:t>
            </w:r>
          </w:p>
        </w:tc>
        <w:tc>
          <w:tcPr>
            <w:tcW w:w="966" w:type="pct"/>
            <w:tcBorders>
              <w:top w:val="single" w:sz="4" w:space="0" w:color="auto"/>
              <w:bottom w:val="single" w:sz="4" w:space="0" w:color="auto"/>
              <w:right w:val="nil"/>
            </w:tcBorders>
            <w:shd w:val="clear" w:color="auto" w:fill="auto"/>
            <w:vAlign w:val="bottom"/>
          </w:tcPr>
          <w:p w14:paraId="62C57CFF" w14:textId="77777777" w:rsidR="008342F0" w:rsidRPr="008342F0" w:rsidRDefault="008342F0" w:rsidP="008342F0">
            <w:pPr>
              <w:pStyle w:val="Tabletext"/>
            </w:pPr>
            <w:r w:rsidRPr="008342F0">
              <w:t>0</w:t>
            </w:r>
            <w:r w:rsidR="00D7157D">
              <w:t>.</w:t>
            </w:r>
            <w:r w:rsidRPr="008342F0">
              <w:t>7906</w:t>
            </w:r>
          </w:p>
        </w:tc>
      </w:tr>
      <w:tr w:rsidR="008342F0" w:rsidRPr="008342F0" w14:paraId="6435362E" w14:textId="77777777" w:rsidTr="00F160E0">
        <w:trPr>
          <w:cantSplit/>
        </w:trPr>
        <w:tc>
          <w:tcPr>
            <w:tcW w:w="1136" w:type="pct"/>
            <w:tcBorders>
              <w:top w:val="single" w:sz="4" w:space="0" w:color="auto"/>
              <w:bottom w:val="single" w:sz="4" w:space="0" w:color="auto"/>
            </w:tcBorders>
          </w:tcPr>
          <w:p w14:paraId="6F1660F2" w14:textId="77777777" w:rsidR="008342F0" w:rsidRPr="00063033" w:rsidRDefault="008342F0" w:rsidP="008342F0">
            <w:pPr>
              <w:pStyle w:val="Tabletext"/>
            </w:pPr>
            <w:r w:rsidRPr="00063033">
              <w:t>49</w:t>
            </w:r>
          </w:p>
        </w:tc>
        <w:tc>
          <w:tcPr>
            <w:tcW w:w="966" w:type="pct"/>
            <w:tcBorders>
              <w:top w:val="single" w:sz="4" w:space="0" w:color="auto"/>
              <w:bottom w:val="single" w:sz="4" w:space="0" w:color="auto"/>
            </w:tcBorders>
            <w:shd w:val="clear" w:color="auto" w:fill="auto"/>
            <w:vAlign w:val="bottom"/>
          </w:tcPr>
          <w:p w14:paraId="48921C66" w14:textId="77777777" w:rsidR="008342F0" w:rsidRPr="008342F0" w:rsidRDefault="008342F0" w:rsidP="008342F0">
            <w:pPr>
              <w:pStyle w:val="Tabletext"/>
            </w:pPr>
            <w:r w:rsidRPr="008342F0">
              <w:t>18</w:t>
            </w:r>
            <w:r w:rsidR="00D7157D">
              <w:t>.</w:t>
            </w:r>
            <w:r w:rsidRPr="008342F0">
              <w:t>1411</w:t>
            </w:r>
          </w:p>
        </w:tc>
        <w:tc>
          <w:tcPr>
            <w:tcW w:w="966" w:type="pct"/>
            <w:tcBorders>
              <w:top w:val="single" w:sz="4" w:space="0" w:color="auto"/>
              <w:bottom w:val="single" w:sz="4" w:space="0" w:color="auto"/>
            </w:tcBorders>
            <w:shd w:val="clear" w:color="auto" w:fill="auto"/>
            <w:vAlign w:val="bottom"/>
          </w:tcPr>
          <w:p w14:paraId="285851E5" w14:textId="77777777" w:rsidR="008342F0" w:rsidRPr="008342F0" w:rsidRDefault="008342F0" w:rsidP="008342F0">
            <w:pPr>
              <w:pStyle w:val="Tabletext"/>
            </w:pPr>
            <w:r w:rsidRPr="008342F0">
              <w:t>2</w:t>
            </w:r>
            <w:r w:rsidR="00D7157D">
              <w:t>.</w:t>
            </w:r>
            <w:r w:rsidRPr="008342F0">
              <w:t>2877</w:t>
            </w:r>
          </w:p>
        </w:tc>
        <w:tc>
          <w:tcPr>
            <w:tcW w:w="966" w:type="pct"/>
            <w:tcBorders>
              <w:top w:val="single" w:sz="4" w:space="0" w:color="auto"/>
              <w:bottom w:val="single" w:sz="4" w:space="0" w:color="auto"/>
            </w:tcBorders>
            <w:shd w:val="clear" w:color="auto" w:fill="auto"/>
            <w:vAlign w:val="bottom"/>
          </w:tcPr>
          <w:p w14:paraId="5F4A73B0" w14:textId="77777777" w:rsidR="008342F0" w:rsidRPr="008342F0" w:rsidRDefault="008342F0" w:rsidP="008342F0">
            <w:pPr>
              <w:pStyle w:val="Tabletext"/>
            </w:pPr>
            <w:r w:rsidRPr="008342F0">
              <w:t>19</w:t>
            </w:r>
            <w:r w:rsidR="00D7157D">
              <w:t>.</w:t>
            </w:r>
            <w:r w:rsidRPr="008342F0">
              <w:t>4487</w:t>
            </w:r>
          </w:p>
        </w:tc>
        <w:tc>
          <w:tcPr>
            <w:tcW w:w="966" w:type="pct"/>
            <w:tcBorders>
              <w:top w:val="single" w:sz="4" w:space="0" w:color="auto"/>
              <w:bottom w:val="single" w:sz="4" w:space="0" w:color="auto"/>
              <w:right w:val="nil"/>
            </w:tcBorders>
            <w:shd w:val="clear" w:color="auto" w:fill="auto"/>
            <w:vAlign w:val="bottom"/>
          </w:tcPr>
          <w:p w14:paraId="46451B4D" w14:textId="77777777" w:rsidR="008342F0" w:rsidRPr="008342F0" w:rsidRDefault="008342F0" w:rsidP="008342F0">
            <w:pPr>
              <w:pStyle w:val="Tabletext"/>
            </w:pPr>
            <w:r w:rsidRPr="008342F0">
              <w:t>0</w:t>
            </w:r>
            <w:r w:rsidR="00D7157D">
              <w:t>.</w:t>
            </w:r>
            <w:r w:rsidRPr="008342F0">
              <w:t>7101</w:t>
            </w:r>
          </w:p>
        </w:tc>
      </w:tr>
      <w:tr w:rsidR="008342F0" w:rsidRPr="008342F0" w14:paraId="7703C581" w14:textId="77777777" w:rsidTr="00F160E0">
        <w:trPr>
          <w:cantSplit/>
        </w:trPr>
        <w:tc>
          <w:tcPr>
            <w:tcW w:w="1136" w:type="pct"/>
            <w:tcBorders>
              <w:top w:val="single" w:sz="4" w:space="0" w:color="auto"/>
              <w:bottom w:val="single" w:sz="4" w:space="0" w:color="auto"/>
            </w:tcBorders>
          </w:tcPr>
          <w:p w14:paraId="686C816A" w14:textId="77777777" w:rsidR="008342F0" w:rsidRPr="00063033" w:rsidRDefault="008342F0" w:rsidP="008342F0">
            <w:pPr>
              <w:pStyle w:val="Tabletext"/>
            </w:pPr>
            <w:r w:rsidRPr="00063033">
              <w:t>50</w:t>
            </w:r>
          </w:p>
        </w:tc>
        <w:tc>
          <w:tcPr>
            <w:tcW w:w="966" w:type="pct"/>
            <w:tcBorders>
              <w:top w:val="single" w:sz="4" w:space="0" w:color="auto"/>
              <w:bottom w:val="single" w:sz="4" w:space="0" w:color="auto"/>
            </w:tcBorders>
            <w:shd w:val="clear" w:color="auto" w:fill="auto"/>
            <w:vAlign w:val="bottom"/>
          </w:tcPr>
          <w:p w14:paraId="25AD9F45" w14:textId="77777777" w:rsidR="008342F0" w:rsidRPr="008342F0" w:rsidRDefault="008342F0" w:rsidP="008342F0">
            <w:pPr>
              <w:pStyle w:val="Tabletext"/>
            </w:pPr>
            <w:r w:rsidRPr="008342F0">
              <w:t>17</w:t>
            </w:r>
            <w:r w:rsidR="00D7157D">
              <w:t>.</w:t>
            </w:r>
            <w:r w:rsidRPr="008342F0">
              <w:t>8328</w:t>
            </w:r>
          </w:p>
        </w:tc>
        <w:tc>
          <w:tcPr>
            <w:tcW w:w="966" w:type="pct"/>
            <w:tcBorders>
              <w:top w:val="single" w:sz="4" w:space="0" w:color="auto"/>
              <w:bottom w:val="single" w:sz="4" w:space="0" w:color="auto"/>
            </w:tcBorders>
            <w:shd w:val="clear" w:color="auto" w:fill="auto"/>
            <w:vAlign w:val="bottom"/>
          </w:tcPr>
          <w:p w14:paraId="10C3D2CA" w14:textId="77777777" w:rsidR="008342F0" w:rsidRPr="008342F0" w:rsidRDefault="008342F0" w:rsidP="008342F0">
            <w:pPr>
              <w:pStyle w:val="Tabletext"/>
            </w:pPr>
            <w:r w:rsidRPr="008342F0">
              <w:t>2</w:t>
            </w:r>
            <w:r w:rsidR="00D7157D">
              <w:t>.</w:t>
            </w:r>
            <w:r w:rsidRPr="008342F0">
              <w:t>2157</w:t>
            </w:r>
          </w:p>
        </w:tc>
        <w:tc>
          <w:tcPr>
            <w:tcW w:w="966" w:type="pct"/>
            <w:tcBorders>
              <w:top w:val="single" w:sz="4" w:space="0" w:color="auto"/>
              <w:bottom w:val="single" w:sz="4" w:space="0" w:color="auto"/>
            </w:tcBorders>
            <w:shd w:val="clear" w:color="auto" w:fill="auto"/>
            <w:vAlign w:val="bottom"/>
          </w:tcPr>
          <w:p w14:paraId="437A561E" w14:textId="77777777" w:rsidR="008342F0" w:rsidRPr="008342F0" w:rsidRDefault="008342F0" w:rsidP="008342F0">
            <w:pPr>
              <w:pStyle w:val="Tabletext"/>
            </w:pPr>
            <w:r w:rsidRPr="008342F0">
              <w:t>19</w:t>
            </w:r>
            <w:r w:rsidR="00D7157D">
              <w:t>.</w:t>
            </w:r>
            <w:r w:rsidRPr="008342F0">
              <w:t>1553</w:t>
            </w:r>
          </w:p>
        </w:tc>
        <w:tc>
          <w:tcPr>
            <w:tcW w:w="966" w:type="pct"/>
            <w:tcBorders>
              <w:top w:val="single" w:sz="4" w:space="0" w:color="auto"/>
              <w:bottom w:val="single" w:sz="4" w:space="0" w:color="auto"/>
              <w:right w:val="nil"/>
            </w:tcBorders>
            <w:shd w:val="clear" w:color="auto" w:fill="auto"/>
            <w:vAlign w:val="bottom"/>
          </w:tcPr>
          <w:p w14:paraId="4746825B" w14:textId="77777777" w:rsidR="008342F0" w:rsidRPr="008342F0" w:rsidRDefault="008342F0" w:rsidP="008342F0">
            <w:pPr>
              <w:pStyle w:val="Tabletext"/>
            </w:pPr>
            <w:r w:rsidRPr="008342F0">
              <w:t>0</w:t>
            </w:r>
            <w:r w:rsidR="00D7157D">
              <w:t>.</w:t>
            </w:r>
            <w:r w:rsidRPr="008342F0">
              <w:t>6267</w:t>
            </w:r>
          </w:p>
        </w:tc>
      </w:tr>
      <w:tr w:rsidR="008342F0" w:rsidRPr="008342F0" w14:paraId="64B7FA31" w14:textId="77777777" w:rsidTr="00F160E0">
        <w:trPr>
          <w:cantSplit/>
        </w:trPr>
        <w:tc>
          <w:tcPr>
            <w:tcW w:w="1136" w:type="pct"/>
            <w:tcBorders>
              <w:top w:val="single" w:sz="4" w:space="0" w:color="auto"/>
              <w:bottom w:val="single" w:sz="4" w:space="0" w:color="auto"/>
            </w:tcBorders>
          </w:tcPr>
          <w:p w14:paraId="66BCEE02" w14:textId="77777777" w:rsidR="008342F0" w:rsidRPr="00063033" w:rsidRDefault="008342F0" w:rsidP="008342F0">
            <w:pPr>
              <w:pStyle w:val="Tabletext"/>
            </w:pPr>
            <w:r w:rsidRPr="00063033">
              <w:t>51</w:t>
            </w:r>
          </w:p>
        </w:tc>
        <w:tc>
          <w:tcPr>
            <w:tcW w:w="966" w:type="pct"/>
            <w:tcBorders>
              <w:top w:val="single" w:sz="4" w:space="0" w:color="auto"/>
              <w:bottom w:val="single" w:sz="4" w:space="0" w:color="auto"/>
            </w:tcBorders>
            <w:shd w:val="clear" w:color="auto" w:fill="auto"/>
            <w:vAlign w:val="bottom"/>
          </w:tcPr>
          <w:p w14:paraId="79039E36" w14:textId="77777777" w:rsidR="008342F0" w:rsidRPr="008342F0" w:rsidRDefault="008342F0" w:rsidP="008342F0">
            <w:pPr>
              <w:pStyle w:val="Tabletext"/>
            </w:pPr>
            <w:r w:rsidRPr="008342F0">
              <w:t>17</w:t>
            </w:r>
            <w:r w:rsidR="00D7157D">
              <w:t>.</w:t>
            </w:r>
            <w:r w:rsidRPr="008342F0">
              <w:t>5176</w:t>
            </w:r>
          </w:p>
        </w:tc>
        <w:tc>
          <w:tcPr>
            <w:tcW w:w="966" w:type="pct"/>
            <w:tcBorders>
              <w:top w:val="single" w:sz="4" w:space="0" w:color="auto"/>
              <w:bottom w:val="single" w:sz="4" w:space="0" w:color="auto"/>
            </w:tcBorders>
            <w:shd w:val="clear" w:color="auto" w:fill="auto"/>
            <w:vAlign w:val="bottom"/>
          </w:tcPr>
          <w:p w14:paraId="1AD97581" w14:textId="77777777" w:rsidR="008342F0" w:rsidRPr="008342F0" w:rsidRDefault="008342F0" w:rsidP="008342F0">
            <w:pPr>
              <w:pStyle w:val="Tabletext"/>
            </w:pPr>
            <w:r w:rsidRPr="008342F0">
              <w:t>1</w:t>
            </w:r>
            <w:r w:rsidR="00D7157D">
              <w:t>.</w:t>
            </w:r>
            <w:r w:rsidRPr="008342F0">
              <w:t>9146</w:t>
            </w:r>
          </w:p>
        </w:tc>
        <w:tc>
          <w:tcPr>
            <w:tcW w:w="966" w:type="pct"/>
            <w:tcBorders>
              <w:top w:val="single" w:sz="4" w:space="0" w:color="auto"/>
              <w:bottom w:val="single" w:sz="4" w:space="0" w:color="auto"/>
            </w:tcBorders>
            <w:shd w:val="clear" w:color="auto" w:fill="auto"/>
            <w:vAlign w:val="bottom"/>
          </w:tcPr>
          <w:p w14:paraId="237DA151" w14:textId="77777777" w:rsidR="008342F0" w:rsidRPr="008342F0" w:rsidRDefault="008342F0" w:rsidP="008342F0">
            <w:pPr>
              <w:pStyle w:val="Tabletext"/>
            </w:pPr>
            <w:r w:rsidRPr="008342F0">
              <w:t>18</w:t>
            </w:r>
            <w:r w:rsidR="00D7157D">
              <w:t>.</w:t>
            </w:r>
            <w:r w:rsidRPr="008342F0">
              <w:t>8546</w:t>
            </w:r>
          </w:p>
        </w:tc>
        <w:tc>
          <w:tcPr>
            <w:tcW w:w="966" w:type="pct"/>
            <w:tcBorders>
              <w:top w:val="single" w:sz="4" w:space="0" w:color="auto"/>
              <w:bottom w:val="single" w:sz="4" w:space="0" w:color="auto"/>
              <w:right w:val="nil"/>
            </w:tcBorders>
            <w:shd w:val="clear" w:color="auto" w:fill="auto"/>
            <w:vAlign w:val="bottom"/>
          </w:tcPr>
          <w:p w14:paraId="25A276E5" w14:textId="77777777" w:rsidR="008342F0" w:rsidRPr="008342F0" w:rsidRDefault="008342F0" w:rsidP="008342F0">
            <w:pPr>
              <w:pStyle w:val="Tabletext"/>
            </w:pPr>
            <w:r w:rsidRPr="008342F0">
              <w:t>0</w:t>
            </w:r>
            <w:r w:rsidR="00D7157D">
              <w:t>.</w:t>
            </w:r>
            <w:r w:rsidRPr="008342F0">
              <w:t>5405</w:t>
            </w:r>
          </w:p>
        </w:tc>
      </w:tr>
      <w:tr w:rsidR="008342F0" w:rsidRPr="008342F0" w14:paraId="505314B7" w14:textId="77777777" w:rsidTr="00F160E0">
        <w:trPr>
          <w:cantSplit/>
        </w:trPr>
        <w:tc>
          <w:tcPr>
            <w:tcW w:w="1136" w:type="pct"/>
            <w:tcBorders>
              <w:top w:val="single" w:sz="4" w:space="0" w:color="auto"/>
              <w:bottom w:val="single" w:sz="4" w:space="0" w:color="auto"/>
            </w:tcBorders>
          </w:tcPr>
          <w:p w14:paraId="01062330" w14:textId="77777777" w:rsidR="008342F0" w:rsidRPr="00063033" w:rsidRDefault="008342F0" w:rsidP="008342F0">
            <w:pPr>
              <w:pStyle w:val="Tabletext"/>
            </w:pPr>
            <w:r w:rsidRPr="00063033">
              <w:t>52</w:t>
            </w:r>
          </w:p>
        </w:tc>
        <w:tc>
          <w:tcPr>
            <w:tcW w:w="966" w:type="pct"/>
            <w:tcBorders>
              <w:top w:val="single" w:sz="4" w:space="0" w:color="auto"/>
              <w:bottom w:val="single" w:sz="4" w:space="0" w:color="auto"/>
            </w:tcBorders>
            <w:shd w:val="clear" w:color="auto" w:fill="auto"/>
            <w:vAlign w:val="bottom"/>
          </w:tcPr>
          <w:p w14:paraId="6380A5CD" w14:textId="77777777" w:rsidR="008342F0" w:rsidRPr="008342F0" w:rsidRDefault="008342F0" w:rsidP="008342F0">
            <w:pPr>
              <w:pStyle w:val="Tabletext"/>
            </w:pPr>
            <w:r w:rsidRPr="008342F0">
              <w:t>17</w:t>
            </w:r>
            <w:r w:rsidR="00D7157D">
              <w:t>.</w:t>
            </w:r>
            <w:r w:rsidRPr="008342F0">
              <w:t>1959</w:t>
            </w:r>
          </w:p>
        </w:tc>
        <w:tc>
          <w:tcPr>
            <w:tcW w:w="966" w:type="pct"/>
            <w:tcBorders>
              <w:top w:val="single" w:sz="4" w:space="0" w:color="auto"/>
              <w:bottom w:val="single" w:sz="4" w:space="0" w:color="auto"/>
            </w:tcBorders>
            <w:shd w:val="clear" w:color="auto" w:fill="auto"/>
            <w:vAlign w:val="bottom"/>
          </w:tcPr>
          <w:p w14:paraId="5965A09C" w14:textId="77777777" w:rsidR="008342F0" w:rsidRPr="008342F0" w:rsidRDefault="008342F0" w:rsidP="008342F0">
            <w:pPr>
              <w:pStyle w:val="Tabletext"/>
            </w:pPr>
            <w:r w:rsidRPr="008342F0">
              <w:t>1</w:t>
            </w:r>
            <w:r w:rsidR="00D7157D">
              <w:t>.</w:t>
            </w:r>
            <w:r w:rsidRPr="008342F0">
              <w:t>6023</w:t>
            </w:r>
          </w:p>
        </w:tc>
        <w:tc>
          <w:tcPr>
            <w:tcW w:w="966" w:type="pct"/>
            <w:tcBorders>
              <w:top w:val="single" w:sz="4" w:space="0" w:color="auto"/>
              <w:bottom w:val="single" w:sz="4" w:space="0" w:color="auto"/>
            </w:tcBorders>
            <w:shd w:val="clear" w:color="auto" w:fill="auto"/>
            <w:vAlign w:val="bottom"/>
          </w:tcPr>
          <w:p w14:paraId="2ACF5EA2" w14:textId="77777777" w:rsidR="008342F0" w:rsidRPr="008342F0" w:rsidRDefault="008342F0" w:rsidP="008342F0">
            <w:pPr>
              <w:pStyle w:val="Tabletext"/>
            </w:pPr>
            <w:r w:rsidRPr="008342F0">
              <w:t>18</w:t>
            </w:r>
            <w:r w:rsidR="00D7157D">
              <w:t>.</w:t>
            </w:r>
            <w:r w:rsidRPr="008342F0">
              <w:t>5465</w:t>
            </w:r>
          </w:p>
        </w:tc>
        <w:tc>
          <w:tcPr>
            <w:tcW w:w="966" w:type="pct"/>
            <w:tcBorders>
              <w:top w:val="single" w:sz="4" w:space="0" w:color="auto"/>
              <w:bottom w:val="single" w:sz="4" w:space="0" w:color="auto"/>
              <w:right w:val="nil"/>
            </w:tcBorders>
            <w:shd w:val="clear" w:color="auto" w:fill="auto"/>
            <w:vAlign w:val="bottom"/>
          </w:tcPr>
          <w:p w14:paraId="706E3E25" w14:textId="77777777" w:rsidR="008342F0" w:rsidRPr="008342F0" w:rsidRDefault="008342F0" w:rsidP="008342F0">
            <w:pPr>
              <w:pStyle w:val="Tabletext"/>
            </w:pPr>
            <w:r w:rsidRPr="008342F0">
              <w:t>0</w:t>
            </w:r>
            <w:r w:rsidR="00D7157D">
              <w:t>.</w:t>
            </w:r>
            <w:r w:rsidRPr="008342F0">
              <w:t>4513</w:t>
            </w:r>
          </w:p>
        </w:tc>
      </w:tr>
      <w:tr w:rsidR="008342F0" w:rsidRPr="008342F0" w14:paraId="5F5197B1" w14:textId="77777777" w:rsidTr="00F160E0">
        <w:trPr>
          <w:cantSplit/>
        </w:trPr>
        <w:tc>
          <w:tcPr>
            <w:tcW w:w="1136" w:type="pct"/>
            <w:tcBorders>
              <w:top w:val="single" w:sz="4" w:space="0" w:color="auto"/>
              <w:bottom w:val="single" w:sz="4" w:space="0" w:color="auto"/>
            </w:tcBorders>
          </w:tcPr>
          <w:p w14:paraId="1E4E9350" w14:textId="77777777" w:rsidR="008342F0" w:rsidRPr="00063033" w:rsidRDefault="008342F0" w:rsidP="008342F0">
            <w:pPr>
              <w:pStyle w:val="Tabletext"/>
            </w:pPr>
            <w:r w:rsidRPr="00063033">
              <w:t>53</w:t>
            </w:r>
          </w:p>
        </w:tc>
        <w:tc>
          <w:tcPr>
            <w:tcW w:w="966" w:type="pct"/>
            <w:tcBorders>
              <w:top w:val="single" w:sz="4" w:space="0" w:color="auto"/>
              <w:bottom w:val="single" w:sz="4" w:space="0" w:color="auto"/>
            </w:tcBorders>
            <w:shd w:val="clear" w:color="auto" w:fill="auto"/>
            <w:vAlign w:val="bottom"/>
          </w:tcPr>
          <w:p w14:paraId="47762DF1" w14:textId="77777777" w:rsidR="008342F0" w:rsidRPr="008342F0" w:rsidRDefault="008342F0" w:rsidP="008342F0">
            <w:pPr>
              <w:pStyle w:val="Tabletext"/>
            </w:pPr>
            <w:r w:rsidRPr="008342F0">
              <w:t>16</w:t>
            </w:r>
            <w:r w:rsidR="00D7157D">
              <w:t>.</w:t>
            </w:r>
            <w:r w:rsidRPr="008342F0">
              <w:t>8687</w:t>
            </w:r>
          </w:p>
        </w:tc>
        <w:tc>
          <w:tcPr>
            <w:tcW w:w="966" w:type="pct"/>
            <w:tcBorders>
              <w:top w:val="single" w:sz="4" w:space="0" w:color="auto"/>
              <w:bottom w:val="single" w:sz="4" w:space="0" w:color="auto"/>
            </w:tcBorders>
            <w:shd w:val="clear" w:color="auto" w:fill="auto"/>
            <w:vAlign w:val="bottom"/>
          </w:tcPr>
          <w:p w14:paraId="1BCD5424" w14:textId="77777777" w:rsidR="008342F0" w:rsidRPr="008342F0" w:rsidRDefault="008342F0" w:rsidP="008342F0">
            <w:pPr>
              <w:pStyle w:val="Tabletext"/>
            </w:pPr>
            <w:r w:rsidRPr="008342F0">
              <w:t>1</w:t>
            </w:r>
            <w:r w:rsidR="00D7157D">
              <w:t>.</w:t>
            </w:r>
            <w:r w:rsidRPr="008342F0">
              <w:t>2785</w:t>
            </w:r>
          </w:p>
        </w:tc>
        <w:tc>
          <w:tcPr>
            <w:tcW w:w="966" w:type="pct"/>
            <w:tcBorders>
              <w:top w:val="single" w:sz="4" w:space="0" w:color="auto"/>
              <w:bottom w:val="single" w:sz="4" w:space="0" w:color="auto"/>
            </w:tcBorders>
            <w:shd w:val="clear" w:color="auto" w:fill="auto"/>
            <w:vAlign w:val="bottom"/>
          </w:tcPr>
          <w:p w14:paraId="2F219789" w14:textId="77777777" w:rsidR="008342F0" w:rsidRPr="008342F0" w:rsidRDefault="008342F0" w:rsidP="008342F0">
            <w:pPr>
              <w:pStyle w:val="Tabletext"/>
            </w:pPr>
            <w:r w:rsidRPr="008342F0">
              <w:t>18</w:t>
            </w:r>
            <w:r w:rsidR="00D7157D">
              <w:t>.</w:t>
            </w:r>
            <w:r w:rsidRPr="008342F0">
              <w:t>2317</w:t>
            </w:r>
          </w:p>
        </w:tc>
        <w:tc>
          <w:tcPr>
            <w:tcW w:w="966" w:type="pct"/>
            <w:tcBorders>
              <w:top w:val="single" w:sz="4" w:space="0" w:color="auto"/>
              <w:bottom w:val="single" w:sz="4" w:space="0" w:color="auto"/>
              <w:right w:val="nil"/>
            </w:tcBorders>
            <w:shd w:val="clear" w:color="auto" w:fill="auto"/>
            <w:vAlign w:val="bottom"/>
          </w:tcPr>
          <w:p w14:paraId="36BF2DEC" w14:textId="77777777" w:rsidR="008342F0" w:rsidRPr="008342F0" w:rsidRDefault="008342F0" w:rsidP="008342F0">
            <w:pPr>
              <w:pStyle w:val="Tabletext"/>
            </w:pPr>
            <w:r w:rsidRPr="008342F0">
              <w:t>0</w:t>
            </w:r>
            <w:r w:rsidR="00D7157D">
              <w:t>.</w:t>
            </w:r>
            <w:r w:rsidRPr="008342F0">
              <w:t>3593</w:t>
            </w:r>
          </w:p>
        </w:tc>
      </w:tr>
      <w:tr w:rsidR="008342F0" w:rsidRPr="008342F0" w14:paraId="2D53E547" w14:textId="77777777" w:rsidTr="00F160E0">
        <w:trPr>
          <w:cantSplit/>
        </w:trPr>
        <w:tc>
          <w:tcPr>
            <w:tcW w:w="1136" w:type="pct"/>
            <w:tcBorders>
              <w:top w:val="single" w:sz="4" w:space="0" w:color="auto"/>
              <w:bottom w:val="single" w:sz="4" w:space="0" w:color="auto"/>
            </w:tcBorders>
          </w:tcPr>
          <w:p w14:paraId="58353CC9" w14:textId="77777777" w:rsidR="008342F0" w:rsidRPr="00063033" w:rsidRDefault="008342F0" w:rsidP="008342F0">
            <w:pPr>
              <w:pStyle w:val="Tabletext"/>
            </w:pPr>
            <w:r w:rsidRPr="00063033">
              <w:t>54</w:t>
            </w:r>
          </w:p>
        </w:tc>
        <w:tc>
          <w:tcPr>
            <w:tcW w:w="966" w:type="pct"/>
            <w:tcBorders>
              <w:top w:val="single" w:sz="4" w:space="0" w:color="auto"/>
              <w:bottom w:val="single" w:sz="4" w:space="0" w:color="auto"/>
            </w:tcBorders>
            <w:shd w:val="clear" w:color="auto" w:fill="auto"/>
            <w:vAlign w:val="bottom"/>
          </w:tcPr>
          <w:p w14:paraId="0D69E2E9" w14:textId="77777777" w:rsidR="008342F0" w:rsidRPr="008342F0" w:rsidRDefault="008342F0" w:rsidP="008342F0">
            <w:pPr>
              <w:pStyle w:val="Tabletext"/>
            </w:pPr>
            <w:r w:rsidRPr="008342F0">
              <w:t>16</w:t>
            </w:r>
            <w:r w:rsidR="00D7157D">
              <w:t>.</w:t>
            </w:r>
            <w:r w:rsidRPr="008342F0">
              <w:t>5365</w:t>
            </w:r>
          </w:p>
        </w:tc>
        <w:tc>
          <w:tcPr>
            <w:tcW w:w="966" w:type="pct"/>
            <w:tcBorders>
              <w:top w:val="single" w:sz="4" w:space="0" w:color="auto"/>
              <w:bottom w:val="single" w:sz="4" w:space="0" w:color="auto"/>
            </w:tcBorders>
            <w:shd w:val="clear" w:color="auto" w:fill="auto"/>
            <w:vAlign w:val="bottom"/>
          </w:tcPr>
          <w:p w14:paraId="3232A9BC" w14:textId="77777777" w:rsidR="008342F0" w:rsidRPr="008342F0" w:rsidRDefault="008342F0" w:rsidP="008342F0">
            <w:pPr>
              <w:pStyle w:val="Tabletext"/>
            </w:pPr>
            <w:r w:rsidRPr="008342F0">
              <w:t>0</w:t>
            </w:r>
            <w:r w:rsidR="00D7157D">
              <w:t>.</w:t>
            </w:r>
            <w:r w:rsidRPr="008342F0">
              <w:t>9435</w:t>
            </w:r>
          </w:p>
        </w:tc>
        <w:tc>
          <w:tcPr>
            <w:tcW w:w="966" w:type="pct"/>
            <w:tcBorders>
              <w:top w:val="single" w:sz="4" w:space="0" w:color="auto"/>
              <w:bottom w:val="single" w:sz="4" w:space="0" w:color="auto"/>
            </w:tcBorders>
            <w:shd w:val="clear" w:color="auto" w:fill="auto"/>
            <w:vAlign w:val="bottom"/>
          </w:tcPr>
          <w:p w14:paraId="5CA667C3" w14:textId="77777777" w:rsidR="008342F0" w:rsidRPr="008342F0" w:rsidRDefault="008342F0" w:rsidP="008342F0">
            <w:pPr>
              <w:pStyle w:val="Tabletext"/>
            </w:pPr>
            <w:r w:rsidRPr="008342F0">
              <w:t>17</w:t>
            </w:r>
            <w:r w:rsidR="00D7157D">
              <w:t>.</w:t>
            </w:r>
            <w:r w:rsidRPr="008342F0">
              <w:t>9103</w:t>
            </w:r>
          </w:p>
        </w:tc>
        <w:tc>
          <w:tcPr>
            <w:tcW w:w="966" w:type="pct"/>
            <w:tcBorders>
              <w:top w:val="single" w:sz="4" w:space="0" w:color="auto"/>
              <w:bottom w:val="single" w:sz="4" w:space="0" w:color="auto"/>
              <w:right w:val="nil"/>
            </w:tcBorders>
            <w:shd w:val="clear" w:color="auto" w:fill="auto"/>
            <w:vAlign w:val="bottom"/>
          </w:tcPr>
          <w:p w14:paraId="76E79534" w14:textId="77777777" w:rsidR="008342F0" w:rsidRPr="008342F0" w:rsidRDefault="008342F0" w:rsidP="008342F0">
            <w:pPr>
              <w:pStyle w:val="Tabletext"/>
            </w:pPr>
            <w:r w:rsidRPr="008342F0">
              <w:t>0</w:t>
            </w:r>
            <w:r w:rsidR="00D7157D">
              <w:t>.</w:t>
            </w:r>
            <w:r w:rsidRPr="008342F0">
              <w:t>2646</w:t>
            </w:r>
          </w:p>
        </w:tc>
      </w:tr>
      <w:tr w:rsidR="008342F0" w:rsidRPr="008342F0" w14:paraId="50F04888" w14:textId="77777777" w:rsidTr="00F160E0">
        <w:trPr>
          <w:cantSplit/>
        </w:trPr>
        <w:tc>
          <w:tcPr>
            <w:tcW w:w="1136" w:type="pct"/>
            <w:tcBorders>
              <w:top w:val="single" w:sz="4" w:space="0" w:color="auto"/>
              <w:bottom w:val="single" w:sz="4" w:space="0" w:color="auto"/>
            </w:tcBorders>
          </w:tcPr>
          <w:p w14:paraId="068F922A" w14:textId="77777777" w:rsidR="008342F0" w:rsidRPr="00063033" w:rsidRDefault="008342F0" w:rsidP="008342F0">
            <w:pPr>
              <w:pStyle w:val="Tabletext"/>
            </w:pPr>
            <w:r w:rsidRPr="00063033">
              <w:t>55</w:t>
            </w:r>
          </w:p>
        </w:tc>
        <w:tc>
          <w:tcPr>
            <w:tcW w:w="966" w:type="pct"/>
            <w:tcBorders>
              <w:top w:val="single" w:sz="4" w:space="0" w:color="auto"/>
              <w:bottom w:val="single" w:sz="4" w:space="0" w:color="auto"/>
            </w:tcBorders>
            <w:shd w:val="clear" w:color="auto" w:fill="auto"/>
            <w:vAlign w:val="bottom"/>
          </w:tcPr>
          <w:p w14:paraId="4CE6FFAB" w14:textId="77777777" w:rsidR="008342F0" w:rsidRPr="008342F0" w:rsidRDefault="008342F0" w:rsidP="008342F0">
            <w:pPr>
              <w:pStyle w:val="Tabletext"/>
            </w:pPr>
            <w:r w:rsidRPr="008342F0">
              <w:t>16</w:t>
            </w:r>
            <w:r w:rsidR="00D7157D">
              <w:t>.</w:t>
            </w:r>
            <w:r w:rsidRPr="008342F0">
              <w:t>1999</w:t>
            </w:r>
          </w:p>
        </w:tc>
        <w:tc>
          <w:tcPr>
            <w:tcW w:w="966" w:type="pct"/>
            <w:tcBorders>
              <w:top w:val="single" w:sz="4" w:space="0" w:color="auto"/>
              <w:bottom w:val="single" w:sz="4" w:space="0" w:color="auto"/>
            </w:tcBorders>
            <w:shd w:val="clear" w:color="auto" w:fill="auto"/>
            <w:vAlign w:val="bottom"/>
          </w:tcPr>
          <w:p w14:paraId="54EB159E" w14:textId="77777777" w:rsidR="008342F0" w:rsidRPr="008342F0" w:rsidRDefault="008342F0" w:rsidP="008342F0">
            <w:pPr>
              <w:pStyle w:val="Tabletext"/>
            </w:pPr>
            <w:r w:rsidRPr="008342F0">
              <w:t>0</w:t>
            </w:r>
            <w:r w:rsidR="00D7157D">
              <w:t>.</w:t>
            </w:r>
            <w:r w:rsidRPr="008342F0">
              <w:t>5979</w:t>
            </w:r>
          </w:p>
        </w:tc>
        <w:tc>
          <w:tcPr>
            <w:tcW w:w="966" w:type="pct"/>
            <w:tcBorders>
              <w:top w:val="single" w:sz="4" w:space="0" w:color="auto"/>
              <w:bottom w:val="single" w:sz="4" w:space="0" w:color="auto"/>
            </w:tcBorders>
            <w:shd w:val="clear" w:color="auto" w:fill="auto"/>
            <w:vAlign w:val="bottom"/>
          </w:tcPr>
          <w:p w14:paraId="59A927B6" w14:textId="77777777" w:rsidR="008342F0" w:rsidRPr="008342F0" w:rsidRDefault="008342F0" w:rsidP="008342F0">
            <w:pPr>
              <w:pStyle w:val="Tabletext"/>
            </w:pPr>
            <w:r w:rsidRPr="008342F0">
              <w:t>17</w:t>
            </w:r>
            <w:r w:rsidR="00D7157D">
              <w:t>.</w:t>
            </w:r>
            <w:r w:rsidRPr="008342F0">
              <w:t>5818</w:t>
            </w:r>
          </w:p>
        </w:tc>
        <w:tc>
          <w:tcPr>
            <w:tcW w:w="966" w:type="pct"/>
            <w:tcBorders>
              <w:top w:val="single" w:sz="4" w:space="0" w:color="auto"/>
              <w:bottom w:val="single" w:sz="4" w:space="0" w:color="auto"/>
              <w:right w:val="nil"/>
            </w:tcBorders>
            <w:shd w:val="clear" w:color="auto" w:fill="auto"/>
            <w:vAlign w:val="bottom"/>
          </w:tcPr>
          <w:p w14:paraId="49655EBD" w14:textId="77777777" w:rsidR="008342F0" w:rsidRPr="008342F0" w:rsidRDefault="008342F0" w:rsidP="008342F0">
            <w:pPr>
              <w:pStyle w:val="Tabletext"/>
            </w:pPr>
            <w:r w:rsidRPr="008342F0">
              <w:t>0</w:t>
            </w:r>
            <w:r w:rsidR="00D7157D">
              <w:t>.</w:t>
            </w:r>
            <w:r w:rsidRPr="008342F0">
              <w:t>1673</w:t>
            </w:r>
          </w:p>
        </w:tc>
      </w:tr>
      <w:tr w:rsidR="008342F0" w:rsidRPr="008342F0" w14:paraId="411101F2" w14:textId="77777777" w:rsidTr="00F160E0">
        <w:trPr>
          <w:cantSplit/>
        </w:trPr>
        <w:tc>
          <w:tcPr>
            <w:tcW w:w="1136" w:type="pct"/>
            <w:tcBorders>
              <w:top w:val="single" w:sz="4" w:space="0" w:color="auto"/>
              <w:bottom w:val="single" w:sz="4" w:space="0" w:color="auto"/>
            </w:tcBorders>
          </w:tcPr>
          <w:p w14:paraId="2D1B7B60" w14:textId="77777777" w:rsidR="008342F0" w:rsidRPr="00063033" w:rsidRDefault="008342F0" w:rsidP="008342F0">
            <w:pPr>
              <w:pStyle w:val="Tabletext"/>
            </w:pPr>
            <w:r w:rsidRPr="00063033">
              <w:t>56</w:t>
            </w:r>
          </w:p>
        </w:tc>
        <w:tc>
          <w:tcPr>
            <w:tcW w:w="966" w:type="pct"/>
            <w:tcBorders>
              <w:top w:val="single" w:sz="4" w:space="0" w:color="auto"/>
              <w:bottom w:val="single" w:sz="4" w:space="0" w:color="auto"/>
            </w:tcBorders>
            <w:shd w:val="clear" w:color="auto" w:fill="auto"/>
            <w:vAlign w:val="bottom"/>
          </w:tcPr>
          <w:p w14:paraId="1258CFEB" w14:textId="77777777" w:rsidR="008342F0" w:rsidRPr="008342F0" w:rsidRDefault="008342F0" w:rsidP="008342F0">
            <w:pPr>
              <w:pStyle w:val="Tabletext"/>
            </w:pPr>
            <w:r w:rsidRPr="008342F0">
              <w:t>15</w:t>
            </w:r>
            <w:r w:rsidR="00D7157D">
              <w:t>.</w:t>
            </w:r>
            <w:r w:rsidRPr="008342F0">
              <w:t>8591</w:t>
            </w:r>
          </w:p>
        </w:tc>
        <w:tc>
          <w:tcPr>
            <w:tcW w:w="966" w:type="pct"/>
            <w:tcBorders>
              <w:top w:val="single" w:sz="4" w:space="0" w:color="auto"/>
              <w:bottom w:val="single" w:sz="4" w:space="0" w:color="auto"/>
            </w:tcBorders>
            <w:shd w:val="clear" w:color="auto" w:fill="auto"/>
            <w:vAlign w:val="bottom"/>
          </w:tcPr>
          <w:p w14:paraId="742D2D21" w14:textId="77777777" w:rsidR="008342F0" w:rsidRPr="008342F0" w:rsidRDefault="008342F0" w:rsidP="008342F0">
            <w:pPr>
              <w:pStyle w:val="Tabletext"/>
            </w:pPr>
            <w:r w:rsidRPr="008342F0">
              <w:t>0</w:t>
            </w:r>
            <w:r w:rsidR="00D7157D">
              <w:t>.</w:t>
            </w:r>
            <w:r w:rsidRPr="008342F0">
              <w:t>6057</w:t>
            </w:r>
          </w:p>
        </w:tc>
        <w:tc>
          <w:tcPr>
            <w:tcW w:w="966" w:type="pct"/>
            <w:tcBorders>
              <w:top w:val="single" w:sz="4" w:space="0" w:color="auto"/>
              <w:bottom w:val="single" w:sz="4" w:space="0" w:color="auto"/>
            </w:tcBorders>
            <w:shd w:val="clear" w:color="auto" w:fill="auto"/>
            <w:vAlign w:val="bottom"/>
          </w:tcPr>
          <w:p w14:paraId="04294520" w14:textId="77777777" w:rsidR="008342F0" w:rsidRPr="008342F0" w:rsidRDefault="008342F0" w:rsidP="008342F0">
            <w:pPr>
              <w:pStyle w:val="Tabletext"/>
            </w:pPr>
            <w:r w:rsidRPr="008342F0">
              <w:t>17</w:t>
            </w:r>
            <w:r w:rsidR="00D7157D">
              <w:t>.</w:t>
            </w:r>
            <w:r w:rsidRPr="008342F0">
              <w:t>2464</w:t>
            </w:r>
          </w:p>
        </w:tc>
        <w:tc>
          <w:tcPr>
            <w:tcW w:w="966" w:type="pct"/>
            <w:tcBorders>
              <w:top w:val="single" w:sz="4" w:space="0" w:color="auto"/>
              <w:bottom w:val="single" w:sz="4" w:space="0" w:color="auto"/>
              <w:right w:val="nil"/>
            </w:tcBorders>
            <w:shd w:val="clear" w:color="auto" w:fill="auto"/>
            <w:vAlign w:val="bottom"/>
          </w:tcPr>
          <w:p w14:paraId="3E4D9319" w14:textId="77777777" w:rsidR="008342F0" w:rsidRPr="008342F0" w:rsidRDefault="008342F0" w:rsidP="008342F0">
            <w:pPr>
              <w:pStyle w:val="Tabletext"/>
            </w:pPr>
            <w:r w:rsidRPr="008342F0">
              <w:t>0</w:t>
            </w:r>
            <w:r w:rsidR="00D7157D">
              <w:t>.</w:t>
            </w:r>
            <w:r w:rsidRPr="008342F0">
              <w:t>1692</w:t>
            </w:r>
          </w:p>
        </w:tc>
      </w:tr>
      <w:tr w:rsidR="008342F0" w:rsidRPr="008342F0" w14:paraId="57380A76" w14:textId="77777777" w:rsidTr="00F160E0">
        <w:trPr>
          <w:cantSplit/>
        </w:trPr>
        <w:tc>
          <w:tcPr>
            <w:tcW w:w="1136" w:type="pct"/>
            <w:tcBorders>
              <w:top w:val="single" w:sz="4" w:space="0" w:color="auto"/>
              <w:bottom w:val="single" w:sz="4" w:space="0" w:color="auto"/>
            </w:tcBorders>
          </w:tcPr>
          <w:p w14:paraId="44846EEA" w14:textId="77777777" w:rsidR="008342F0" w:rsidRPr="00063033" w:rsidRDefault="008342F0" w:rsidP="008342F0">
            <w:pPr>
              <w:pStyle w:val="Tabletext"/>
            </w:pPr>
            <w:r w:rsidRPr="00063033">
              <w:t>57</w:t>
            </w:r>
          </w:p>
        </w:tc>
        <w:tc>
          <w:tcPr>
            <w:tcW w:w="966" w:type="pct"/>
            <w:tcBorders>
              <w:top w:val="single" w:sz="4" w:space="0" w:color="auto"/>
              <w:bottom w:val="single" w:sz="4" w:space="0" w:color="auto"/>
            </w:tcBorders>
            <w:shd w:val="clear" w:color="auto" w:fill="auto"/>
            <w:vAlign w:val="bottom"/>
          </w:tcPr>
          <w:p w14:paraId="279FE438" w14:textId="77777777" w:rsidR="008342F0" w:rsidRPr="008342F0" w:rsidRDefault="008342F0" w:rsidP="008342F0">
            <w:pPr>
              <w:pStyle w:val="Tabletext"/>
            </w:pPr>
            <w:r w:rsidRPr="008342F0">
              <w:t>15</w:t>
            </w:r>
            <w:r w:rsidR="00D7157D">
              <w:t>.</w:t>
            </w:r>
            <w:r w:rsidRPr="008342F0">
              <w:t>5143</w:t>
            </w:r>
          </w:p>
        </w:tc>
        <w:tc>
          <w:tcPr>
            <w:tcW w:w="966" w:type="pct"/>
            <w:tcBorders>
              <w:top w:val="single" w:sz="4" w:space="0" w:color="auto"/>
              <w:bottom w:val="single" w:sz="4" w:space="0" w:color="auto"/>
            </w:tcBorders>
            <w:shd w:val="clear" w:color="auto" w:fill="auto"/>
            <w:vAlign w:val="bottom"/>
          </w:tcPr>
          <w:p w14:paraId="3C0310AF" w14:textId="77777777" w:rsidR="008342F0" w:rsidRPr="008342F0" w:rsidRDefault="008342F0" w:rsidP="008342F0">
            <w:pPr>
              <w:pStyle w:val="Tabletext"/>
            </w:pPr>
            <w:r w:rsidRPr="008342F0">
              <w:t>0</w:t>
            </w:r>
            <w:r w:rsidR="00D7157D">
              <w:t>.</w:t>
            </w:r>
            <w:r w:rsidRPr="008342F0">
              <w:t>6131</w:t>
            </w:r>
          </w:p>
        </w:tc>
        <w:tc>
          <w:tcPr>
            <w:tcW w:w="966" w:type="pct"/>
            <w:tcBorders>
              <w:top w:val="single" w:sz="4" w:space="0" w:color="auto"/>
              <w:bottom w:val="single" w:sz="4" w:space="0" w:color="auto"/>
            </w:tcBorders>
            <w:shd w:val="clear" w:color="auto" w:fill="auto"/>
            <w:vAlign w:val="bottom"/>
          </w:tcPr>
          <w:p w14:paraId="5CA3E955" w14:textId="77777777" w:rsidR="008342F0" w:rsidRPr="008342F0" w:rsidRDefault="008342F0" w:rsidP="008342F0">
            <w:pPr>
              <w:pStyle w:val="Tabletext"/>
            </w:pPr>
            <w:r w:rsidRPr="008342F0">
              <w:t>16</w:t>
            </w:r>
            <w:r w:rsidR="00D7157D">
              <w:t>.</w:t>
            </w:r>
            <w:r w:rsidRPr="008342F0">
              <w:t>9042</w:t>
            </w:r>
          </w:p>
        </w:tc>
        <w:tc>
          <w:tcPr>
            <w:tcW w:w="966" w:type="pct"/>
            <w:tcBorders>
              <w:top w:val="single" w:sz="4" w:space="0" w:color="auto"/>
              <w:bottom w:val="single" w:sz="4" w:space="0" w:color="auto"/>
              <w:right w:val="nil"/>
            </w:tcBorders>
            <w:shd w:val="clear" w:color="auto" w:fill="auto"/>
            <w:vAlign w:val="bottom"/>
          </w:tcPr>
          <w:p w14:paraId="173B40F7" w14:textId="77777777" w:rsidR="008342F0" w:rsidRPr="008342F0" w:rsidRDefault="008342F0" w:rsidP="008342F0">
            <w:pPr>
              <w:pStyle w:val="Tabletext"/>
            </w:pPr>
            <w:r w:rsidRPr="008342F0">
              <w:t>0</w:t>
            </w:r>
            <w:r w:rsidR="00D7157D">
              <w:t>.</w:t>
            </w:r>
            <w:r w:rsidRPr="008342F0">
              <w:t>1709</w:t>
            </w:r>
          </w:p>
        </w:tc>
      </w:tr>
      <w:tr w:rsidR="008342F0" w:rsidRPr="008342F0" w14:paraId="63832431" w14:textId="77777777" w:rsidTr="00F160E0">
        <w:trPr>
          <w:cantSplit/>
        </w:trPr>
        <w:tc>
          <w:tcPr>
            <w:tcW w:w="1136" w:type="pct"/>
            <w:tcBorders>
              <w:top w:val="single" w:sz="4" w:space="0" w:color="auto"/>
              <w:bottom w:val="single" w:sz="4" w:space="0" w:color="auto"/>
            </w:tcBorders>
          </w:tcPr>
          <w:p w14:paraId="1BF63CB1" w14:textId="77777777" w:rsidR="008342F0" w:rsidRPr="00063033" w:rsidRDefault="008342F0" w:rsidP="008342F0">
            <w:pPr>
              <w:pStyle w:val="Tabletext"/>
            </w:pPr>
            <w:r w:rsidRPr="00063033">
              <w:t>58</w:t>
            </w:r>
          </w:p>
        </w:tc>
        <w:tc>
          <w:tcPr>
            <w:tcW w:w="966" w:type="pct"/>
            <w:tcBorders>
              <w:top w:val="single" w:sz="4" w:space="0" w:color="auto"/>
              <w:bottom w:val="single" w:sz="4" w:space="0" w:color="auto"/>
            </w:tcBorders>
            <w:shd w:val="clear" w:color="auto" w:fill="auto"/>
            <w:vAlign w:val="bottom"/>
          </w:tcPr>
          <w:p w14:paraId="50831463" w14:textId="77777777" w:rsidR="008342F0" w:rsidRPr="008342F0" w:rsidRDefault="008342F0" w:rsidP="008342F0">
            <w:pPr>
              <w:pStyle w:val="Tabletext"/>
            </w:pPr>
            <w:r w:rsidRPr="008342F0">
              <w:t>15</w:t>
            </w:r>
            <w:r w:rsidR="00D7157D">
              <w:t>.</w:t>
            </w:r>
            <w:r w:rsidRPr="008342F0">
              <w:t>1657</w:t>
            </w:r>
          </w:p>
        </w:tc>
        <w:tc>
          <w:tcPr>
            <w:tcW w:w="966" w:type="pct"/>
            <w:tcBorders>
              <w:top w:val="single" w:sz="4" w:space="0" w:color="auto"/>
              <w:bottom w:val="single" w:sz="4" w:space="0" w:color="auto"/>
            </w:tcBorders>
            <w:shd w:val="clear" w:color="auto" w:fill="auto"/>
            <w:vAlign w:val="bottom"/>
          </w:tcPr>
          <w:p w14:paraId="4FB1FBBF" w14:textId="77777777" w:rsidR="008342F0" w:rsidRPr="008342F0" w:rsidRDefault="008342F0" w:rsidP="008342F0">
            <w:pPr>
              <w:pStyle w:val="Tabletext"/>
            </w:pPr>
            <w:r w:rsidRPr="008342F0">
              <w:t>0</w:t>
            </w:r>
            <w:r w:rsidR="00D7157D">
              <w:t>.</w:t>
            </w:r>
            <w:r w:rsidRPr="008342F0">
              <w:t>6200</w:t>
            </w:r>
          </w:p>
        </w:tc>
        <w:tc>
          <w:tcPr>
            <w:tcW w:w="966" w:type="pct"/>
            <w:tcBorders>
              <w:top w:val="single" w:sz="4" w:space="0" w:color="auto"/>
              <w:bottom w:val="single" w:sz="4" w:space="0" w:color="auto"/>
            </w:tcBorders>
            <w:shd w:val="clear" w:color="auto" w:fill="auto"/>
            <w:vAlign w:val="bottom"/>
          </w:tcPr>
          <w:p w14:paraId="7A13A9CC" w14:textId="77777777" w:rsidR="008342F0" w:rsidRPr="008342F0" w:rsidRDefault="008342F0" w:rsidP="008342F0">
            <w:pPr>
              <w:pStyle w:val="Tabletext"/>
            </w:pPr>
            <w:r w:rsidRPr="008342F0">
              <w:t>16</w:t>
            </w:r>
            <w:r w:rsidR="00D7157D">
              <w:t>.</w:t>
            </w:r>
            <w:r w:rsidRPr="008342F0">
              <w:t>5547</w:t>
            </w:r>
          </w:p>
        </w:tc>
        <w:tc>
          <w:tcPr>
            <w:tcW w:w="966" w:type="pct"/>
            <w:tcBorders>
              <w:top w:val="single" w:sz="4" w:space="0" w:color="auto"/>
              <w:bottom w:val="single" w:sz="4" w:space="0" w:color="auto"/>
              <w:right w:val="nil"/>
            </w:tcBorders>
            <w:shd w:val="clear" w:color="auto" w:fill="auto"/>
            <w:vAlign w:val="bottom"/>
          </w:tcPr>
          <w:p w14:paraId="5F65E806" w14:textId="77777777" w:rsidR="008342F0" w:rsidRPr="008342F0" w:rsidRDefault="008342F0" w:rsidP="008342F0">
            <w:pPr>
              <w:pStyle w:val="Tabletext"/>
            </w:pPr>
            <w:r w:rsidRPr="008342F0">
              <w:t>0</w:t>
            </w:r>
            <w:r w:rsidR="00D7157D">
              <w:t>.</w:t>
            </w:r>
            <w:r w:rsidRPr="008342F0">
              <w:t>1726</w:t>
            </w:r>
          </w:p>
        </w:tc>
      </w:tr>
      <w:tr w:rsidR="008342F0" w:rsidRPr="008342F0" w14:paraId="47361ACF" w14:textId="77777777" w:rsidTr="00F160E0">
        <w:trPr>
          <w:cantSplit/>
        </w:trPr>
        <w:tc>
          <w:tcPr>
            <w:tcW w:w="1136" w:type="pct"/>
            <w:tcBorders>
              <w:top w:val="single" w:sz="4" w:space="0" w:color="auto"/>
              <w:bottom w:val="single" w:sz="4" w:space="0" w:color="auto"/>
            </w:tcBorders>
          </w:tcPr>
          <w:p w14:paraId="391048DD" w14:textId="77777777" w:rsidR="008342F0" w:rsidRPr="00063033" w:rsidRDefault="008342F0" w:rsidP="008342F0">
            <w:pPr>
              <w:pStyle w:val="Tabletext"/>
            </w:pPr>
            <w:r w:rsidRPr="00063033">
              <w:t>59</w:t>
            </w:r>
          </w:p>
        </w:tc>
        <w:tc>
          <w:tcPr>
            <w:tcW w:w="966" w:type="pct"/>
            <w:tcBorders>
              <w:top w:val="single" w:sz="4" w:space="0" w:color="auto"/>
              <w:bottom w:val="single" w:sz="4" w:space="0" w:color="auto"/>
            </w:tcBorders>
            <w:shd w:val="clear" w:color="auto" w:fill="auto"/>
            <w:vAlign w:val="bottom"/>
          </w:tcPr>
          <w:p w14:paraId="40C810B0" w14:textId="77777777" w:rsidR="008342F0" w:rsidRPr="008342F0" w:rsidRDefault="008342F0" w:rsidP="008342F0">
            <w:pPr>
              <w:pStyle w:val="Tabletext"/>
            </w:pPr>
            <w:r w:rsidRPr="008342F0">
              <w:t>14</w:t>
            </w:r>
            <w:r w:rsidR="00D7157D">
              <w:t>.</w:t>
            </w:r>
            <w:r w:rsidRPr="008342F0">
              <w:t>8133</w:t>
            </w:r>
          </w:p>
        </w:tc>
        <w:tc>
          <w:tcPr>
            <w:tcW w:w="966" w:type="pct"/>
            <w:tcBorders>
              <w:top w:val="single" w:sz="4" w:space="0" w:color="auto"/>
              <w:bottom w:val="single" w:sz="4" w:space="0" w:color="auto"/>
            </w:tcBorders>
            <w:shd w:val="clear" w:color="auto" w:fill="auto"/>
            <w:vAlign w:val="bottom"/>
          </w:tcPr>
          <w:p w14:paraId="563517F0" w14:textId="77777777" w:rsidR="008342F0" w:rsidRPr="008342F0" w:rsidRDefault="008342F0" w:rsidP="008342F0">
            <w:pPr>
              <w:pStyle w:val="Tabletext"/>
            </w:pPr>
            <w:r w:rsidRPr="008342F0">
              <w:t>0</w:t>
            </w:r>
            <w:r w:rsidR="00D7157D">
              <w:t>.</w:t>
            </w:r>
            <w:r w:rsidRPr="008342F0">
              <w:t>6263</w:t>
            </w:r>
          </w:p>
        </w:tc>
        <w:tc>
          <w:tcPr>
            <w:tcW w:w="966" w:type="pct"/>
            <w:tcBorders>
              <w:top w:val="single" w:sz="4" w:space="0" w:color="auto"/>
              <w:bottom w:val="single" w:sz="4" w:space="0" w:color="auto"/>
            </w:tcBorders>
            <w:shd w:val="clear" w:color="auto" w:fill="auto"/>
            <w:vAlign w:val="bottom"/>
          </w:tcPr>
          <w:p w14:paraId="4DE43086" w14:textId="77777777" w:rsidR="008342F0" w:rsidRPr="008342F0" w:rsidRDefault="008342F0" w:rsidP="008342F0">
            <w:pPr>
              <w:pStyle w:val="Tabletext"/>
            </w:pPr>
            <w:r w:rsidRPr="008342F0">
              <w:t>16</w:t>
            </w:r>
            <w:r w:rsidR="00D7157D">
              <w:t>.</w:t>
            </w:r>
            <w:r w:rsidRPr="008342F0">
              <w:t>1978</w:t>
            </w:r>
          </w:p>
        </w:tc>
        <w:tc>
          <w:tcPr>
            <w:tcW w:w="966" w:type="pct"/>
            <w:tcBorders>
              <w:top w:val="single" w:sz="4" w:space="0" w:color="auto"/>
              <w:bottom w:val="single" w:sz="4" w:space="0" w:color="auto"/>
              <w:right w:val="nil"/>
            </w:tcBorders>
            <w:shd w:val="clear" w:color="auto" w:fill="auto"/>
            <w:vAlign w:val="bottom"/>
          </w:tcPr>
          <w:p w14:paraId="46265275" w14:textId="77777777" w:rsidR="008342F0" w:rsidRPr="008342F0" w:rsidRDefault="008342F0" w:rsidP="008342F0">
            <w:pPr>
              <w:pStyle w:val="Tabletext"/>
            </w:pPr>
            <w:r w:rsidRPr="008342F0">
              <w:t>0</w:t>
            </w:r>
            <w:r w:rsidR="00D7157D">
              <w:t>.</w:t>
            </w:r>
            <w:r w:rsidRPr="008342F0">
              <w:t>1741</w:t>
            </w:r>
          </w:p>
        </w:tc>
      </w:tr>
      <w:tr w:rsidR="008342F0" w:rsidRPr="008342F0" w14:paraId="0B563535" w14:textId="77777777" w:rsidTr="00F160E0">
        <w:trPr>
          <w:cantSplit/>
        </w:trPr>
        <w:tc>
          <w:tcPr>
            <w:tcW w:w="1136" w:type="pct"/>
            <w:tcBorders>
              <w:top w:val="single" w:sz="4" w:space="0" w:color="auto"/>
              <w:bottom w:val="single" w:sz="4" w:space="0" w:color="auto"/>
            </w:tcBorders>
          </w:tcPr>
          <w:p w14:paraId="01AF5BE8" w14:textId="77777777" w:rsidR="008342F0" w:rsidRPr="00063033" w:rsidRDefault="008342F0" w:rsidP="008342F0">
            <w:pPr>
              <w:pStyle w:val="Tabletext"/>
            </w:pPr>
            <w:r w:rsidRPr="00063033">
              <w:t>60</w:t>
            </w:r>
          </w:p>
        </w:tc>
        <w:tc>
          <w:tcPr>
            <w:tcW w:w="966" w:type="pct"/>
            <w:tcBorders>
              <w:top w:val="single" w:sz="4" w:space="0" w:color="auto"/>
              <w:bottom w:val="single" w:sz="4" w:space="0" w:color="auto"/>
            </w:tcBorders>
            <w:shd w:val="clear" w:color="auto" w:fill="auto"/>
            <w:vAlign w:val="bottom"/>
          </w:tcPr>
          <w:p w14:paraId="3F658B8E" w14:textId="77777777" w:rsidR="008342F0" w:rsidRPr="008342F0" w:rsidRDefault="008342F0" w:rsidP="008342F0">
            <w:pPr>
              <w:pStyle w:val="Tabletext"/>
            </w:pPr>
            <w:r w:rsidRPr="008342F0">
              <w:t>14</w:t>
            </w:r>
            <w:r w:rsidR="00D7157D">
              <w:t>.</w:t>
            </w:r>
            <w:r w:rsidRPr="008342F0">
              <w:t>4571</w:t>
            </w:r>
          </w:p>
        </w:tc>
        <w:tc>
          <w:tcPr>
            <w:tcW w:w="966" w:type="pct"/>
            <w:tcBorders>
              <w:top w:val="single" w:sz="4" w:space="0" w:color="auto"/>
              <w:bottom w:val="single" w:sz="4" w:space="0" w:color="auto"/>
            </w:tcBorders>
            <w:shd w:val="clear" w:color="auto" w:fill="auto"/>
            <w:vAlign w:val="bottom"/>
          </w:tcPr>
          <w:p w14:paraId="35A789E0" w14:textId="77777777" w:rsidR="008342F0" w:rsidRPr="008342F0" w:rsidRDefault="008342F0" w:rsidP="008342F0">
            <w:pPr>
              <w:pStyle w:val="Tabletext"/>
            </w:pPr>
            <w:r w:rsidRPr="008342F0">
              <w:t>0</w:t>
            </w:r>
            <w:r w:rsidR="00D7157D">
              <w:t>.</w:t>
            </w:r>
            <w:r w:rsidRPr="008342F0">
              <w:t>6322</w:t>
            </w:r>
          </w:p>
        </w:tc>
        <w:tc>
          <w:tcPr>
            <w:tcW w:w="966" w:type="pct"/>
            <w:tcBorders>
              <w:top w:val="single" w:sz="4" w:space="0" w:color="auto"/>
              <w:bottom w:val="single" w:sz="4" w:space="0" w:color="auto"/>
            </w:tcBorders>
            <w:shd w:val="clear" w:color="auto" w:fill="auto"/>
            <w:vAlign w:val="bottom"/>
          </w:tcPr>
          <w:p w14:paraId="77612532" w14:textId="77777777" w:rsidR="008342F0" w:rsidRPr="008342F0" w:rsidRDefault="008342F0" w:rsidP="008342F0">
            <w:pPr>
              <w:pStyle w:val="Tabletext"/>
            </w:pPr>
            <w:r w:rsidRPr="008342F0">
              <w:t>15</w:t>
            </w:r>
            <w:r w:rsidR="00D7157D">
              <w:t>.</w:t>
            </w:r>
            <w:r w:rsidRPr="008342F0">
              <w:t>8333</w:t>
            </w:r>
          </w:p>
        </w:tc>
        <w:tc>
          <w:tcPr>
            <w:tcW w:w="966" w:type="pct"/>
            <w:tcBorders>
              <w:top w:val="single" w:sz="4" w:space="0" w:color="auto"/>
              <w:bottom w:val="single" w:sz="4" w:space="0" w:color="auto"/>
              <w:right w:val="nil"/>
            </w:tcBorders>
            <w:shd w:val="clear" w:color="auto" w:fill="auto"/>
            <w:vAlign w:val="bottom"/>
          </w:tcPr>
          <w:p w14:paraId="64DCF2A9" w14:textId="77777777" w:rsidR="008342F0" w:rsidRPr="008342F0" w:rsidRDefault="008342F0" w:rsidP="008342F0">
            <w:pPr>
              <w:pStyle w:val="Tabletext"/>
            </w:pPr>
            <w:r w:rsidRPr="008342F0">
              <w:t>0</w:t>
            </w:r>
            <w:r w:rsidR="00D7157D">
              <w:t>.</w:t>
            </w:r>
            <w:r w:rsidRPr="008342F0">
              <w:t>1755</w:t>
            </w:r>
          </w:p>
        </w:tc>
      </w:tr>
      <w:tr w:rsidR="008342F0" w:rsidRPr="008342F0" w14:paraId="6CB72AC2" w14:textId="77777777" w:rsidTr="00F160E0">
        <w:trPr>
          <w:cantSplit/>
        </w:trPr>
        <w:tc>
          <w:tcPr>
            <w:tcW w:w="1136" w:type="pct"/>
            <w:tcBorders>
              <w:top w:val="single" w:sz="4" w:space="0" w:color="auto"/>
              <w:bottom w:val="single" w:sz="4" w:space="0" w:color="auto"/>
            </w:tcBorders>
          </w:tcPr>
          <w:p w14:paraId="0543F6BE" w14:textId="77777777" w:rsidR="008342F0" w:rsidRPr="00063033" w:rsidRDefault="008342F0" w:rsidP="008342F0">
            <w:pPr>
              <w:pStyle w:val="Tabletext"/>
            </w:pPr>
            <w:r w:rsidRPr="00063033">
              <w:t>61</w:t>
            </w:r>
          </w:p>
        </w:tc>
        <w:tc>
          <w:tcPr>
            <w:tcW w:w="966" w:type="pct"/>
            <w:tcBorders>
              <w:top w:val="single" w:sz="4" w:space="0" w:color="auto"/>
              <w:bottom w:val="single" w:sz="4" w:space="0" w:color="auto"/>
            </w:tcBorders>
            <w:shd w:val="clear" w:color="auto" w:fill="auto"/>
            <w:vAlign w:val="bottom"/>
          </w:tcPr>
          <w:p w14:paraId="1B5D8B40" w14:textId="77777777" w:rsidR="008342F0" w:rsidRPr="008342F0" w:rsidRDefault="008342F0" w:rsidP="008342F0">
            <w:pPr>
              <w:pStyle w:val="Tabletext"/>
            </w:pPr>
            <w:r w:rsidRPr="008342F0">
              <w:t>14</w:t>
            </w:r>
            <w:r w:rsidR="00D7157D">
              <w:t>.</w:t>
            </w:r>
            <w:r w:rsidRPr="008342F0">
              <w:t>0971</w:t>
            </w:r>
          </w:p>
        </w:tc>
        <w:tc>
          <w:tcPr>
            <w:tcW w:w="966" w:type="pct"/>
            <w:tcBorders>
              <w:top w:val="single" w:sz="4" w:space="0" w:color="auto"/>
              <w:bottom w:val="single" w:sz="4" w:space="0" w:color="auto"/>
            </w:tcBorders>
            <w:shd w:val="clear" w:color="auto" w:fill="auto"/>
            <w:vAlign w:val="bottom"/>
          </w:tcPr>
          <w:p w14:paraId="6EB3E0E0" w14:textId="77777777" w:rsidR="008342F0" w:rsidRPr="008342F0" w:rsidRDefault="008342F0" w:rsidP="008342F0">
            <w:pPr>
              <w:pStyle w:val="Tabletext"/>
            </w:pPr>
            <w:r w:rsidRPr="008342F0">
              <w:t>0</w:t>
            </w:r>
            <w:r w:rsidR="00D7157D">
              <w:t>.</w:t>
            </w:r>
            <w:r w:rsidRPr="008342F0">
              <w:t>6374</w:t>
            </w:r>
          </w:p>
        </w:tc>
        <w:tc>
          <w:tcPr>
            <w:tcW w:w="966" w:type="pct"/>
            <w:tcBorders>
              <w:top w:val="single" w:sz="4" w:space="0" w:color="auto"/>
              <w:bottom w:val="single" w:sz="4" w:space="0" w:color="auto"/>
            </w:tcBorders>
            <w:shd w:val="clear" w:color="auto" w:fill="auto"/>
            <w:vAlign w:val="bottom"/>
          </w:tcPr>
          <w:p w14:paraId="05C6EE49" w14:textId="77777777" w:rsidR="008342F0" w:rsidRPr="008342F0" w:rsidRDefault="008342F0" w:rsidP="008342F0">
            <w:pPr>
              <w:pStyle w:val="Tabletext"/>
            </w:pPr>
            <w:r w:rsidRPr="008342F0">
              <w:t>15</w:t>
            </w:r>
            <w:r w:rsidR="00D7157D">
              <w:t>.</w:t>
            </w:r>
            <w:r w:rsidRPr="008342F0">
              <w:t>4612</w:t>
            </w:r>
          </w:p>
        </w:tc>
        <w:tc>
          <w:tcPr>
            <w:tcW w:w="966" w:type="pct"/>
            <w:tcBorders>
              <w:top w:val="single" w:sz="4" w:space="0" w:color="auto"/>
              <w:bottom w:val="single" w:sz="4" w:space="0" w:color="auto"/>
              <w:right w:val="nil"/>
            </w:tcBorders>
            <w:shd w:val="clear" w:color="auto" w:fill="auto"/>
            <w:vAlign w:val="bottom"/>
          </w:tcPr>
          <w:p w14:paraId="3BB01234" w14:textId="77777777" w:rsidR="008342F0" w:rsidRPr="008342F0" w:rsidRDefault="008342F0" w:rsidP="008342F0">
            <w:pPr>
              <w:pStyle w:val="Tabletext"/>
            </w:pPr>
            <w:r w:rsidRPr="008342F0">
              <w:t>0</w:t>
            </w:r>
            <w:r w:rsidR="00D7157D">
              <w:t>.</w:t>
            </w:r>
            <w:r w:rsidRPr="008342F0">
              <w:t>1768</w:t>
            </w:r>
          </w:p>
        </w:tc>
      </w:tr>
      <w:tr w:rsidR="008342F0" w:rsidRPr="008342F0" w14:paraId="762A97B0" w14:textId="77777777" w:rsidTr="00F160E0">
        <w:trPr>
          <w:cantSplit/>
        </w:trPr>
        <w:tc>
          <w:tcPr>
            <w:tcW w:w="1136" w:type="pct"/>
            <w:tcBorders>
              <w:top w:val="single" w:sz="4" w:space="0" w:color="auto"/>
              <w:bottom w:val="single" w:sz="4" w:space="0" w:color="auto"/>
            </w:tcBorders>
          </w:tcPr>
          <w:p w14:paraId="49F03476" w14:textId="77777777" w:rsidR="008342F0" w:rsidRPr="00063033" w:rsidRDefault="008342F0" w:rsidP="008342F0">
            <w:pPr>
              <w:pStyle w:val="Tabletext"/>
            </w:pPr>
            <w:r w:rsidRPr="00063033">
              <w:t>62</w:t>
            </w:r>
          </w:p>
        </w:tc>
        <w:tc>
          <w:tcPr>
            <w:tcW w:w="966" w:type="pct"/>
            <w:tcBorders>
              <w:top w:val="single" w:sz="4" w:space="0" w:color="auto"/>
              <w:bottom w:val="single" w:sz="4" w:space="0" w:color="auto"/>
            </w:tcBorders>
            <w:shd w:val="clear" w:color="auto" w:fill="auto"/>
            <w:vAlign w:val="bottom"/>
          </w:tcPr>
          <w:p w14:paraId="1F196092" w14:textId="77777777" w:rsidR="008342F0" w:rsidRPr="008342F0" w:rsidRDefault="008342F0" w:rsidP="008342F0">
            <w:pPr>
              <w:pStyle w:val="Tabletext"/>
            </w:pPr>
            <w:r w:rsidRPr="008342F0">
              <w:t>13</w:t>
            </w:r>
            <w:r w:rsidR="00D7157D">
              <w:t>.</w:t>
            </w:r>
            <w:r w:rsidRPr="008342F0">
              <w:t>7331</w:t>
            </w:r>
          </w:p>
        </w:tc>
        <w:tc>
          <w:tcPr>
            <w:tcW w:w="966" w:type="pct"/>
            <w:tcBorders>
              <w:top w:val="single" w:sz="4" w:space="0" w:color="auto"/>
              <w:bottom w:val="single" w:sz="4" w:space="0" w:color="auto"/>
            </w:tcBorders>
            <w:shd w:val="clear" w:color="auto" w:fill="auto"/>
            <w:vAlign w:val="bottom"/>
          </w:tcPr>
          <w:p w14:paraId="2B9A8261" w14:textId="77777777" w:rsidR="008342F0" w:rsidRPr="008342F0" w:rsidRDefault="008342F0" w:rsidP="008342F0">
            <w:pPr>
              <w:pStyle w:val="Tabletext"/>
            </w:pPr>
            <w:r w:rsidRPr="008342F0">
              <w:t>0</w:t>
            </w:r>
            <w:r w:rsidR="00D7157D">
              <w:t>.</w:t>
            </w:r>
            <w:r w:rsidRPr="008342F0">
              <w:t>6421</w:t>
            </w:r>
          </w:p>
        </w:tc>
        <w:tc>
          <w:tcPr>
            <w:tcW w:w="966" w:type="pct"/>
            <w:tcBorders>
              <w:top w:val="single" w:sz="4" w:space="0" w:color="auto"/>
              <w:bottom w:val="single" w:sz="4" w:space="0" w:color="auto"/>
            </w:tcBorders>
            <w:shd w:val="clear" w:color="auto" w:fill="auto"/>
            <w:vAlign w:val="bottom"/>
          </w:tcPr>
          <w:p w14:paraId="618885B3" w14:textId="77777777" w:rsidR="008342F0" w:rsidRPr="008342F0" w:rsidRDefault="008342F0" w:rsidP="008342F0">
            <w:pPr>
              <w:pStyle w:val="Tabletext"/>
            </w:pPr>
            <w:r w:rsidRPr="008342F0">
              <w:t>15</w:t>
            </w:r>
            <w:r w:rsidR="00D7157D">
              <w:t>.</w:t>
            </w:r>
            <w:r w:rsidRPr="008342F0">
              <w:t>0813</w:t>
            </w:r>
          </w:p>
        </w:tc>
        <w:tc>
          <w:tcPr>
            <w:tcW w:w="966" w:type="pct"/>
            <w:tcBorders>
              <w:top w:val="single" w:sz="4" w:space="0" w:color="auto"/>
              <w:bottom w:val="single" w:sz="4" w:space="0" w:color="auto"/>
              <w:right w:val="nil"/>
            </w:tcBorders>
            <w:shd w:val="clear" w:color="auto" w:fill="auto"/>
            <w:vAlign w:val="bottom"/>
          </w:tcPr>
          <w:p w14:paraId="4D7E0249" w14:textId="77777777" w:rsidR="008342F0" w:rsidRPr="008342F0" w:rsidRDefault="008342F0" w:rsidP="008342F0">
            <w:pPr>
              <w:pStyle w:val="Tabletext"/>
            </w:pPr>
            <w:r w:rsidRPr="008342F0">
              <w:t>0</w:t>
            </w:r>
            <w:r w:rsidR="00D7157D">
              <w:t>.</w:t>
            </w:r>
            <w:r w:rsidRPr="008342F0">
              <w:t>1780</w:t>
            </w:r>
          </w:p>
        </w:tc>
      </w:tr>
      <w:tr w:rsidR="008342F0" w:rsidRPr="008342F0" w14:paraId="603A5D14" w14:textId="77777777" w:rsidTr="00F160E0">
        <w:trPr>
          <w:cantSplit/>
        </w:trPr>
        <w:tc>
          <w:tcPr>
            <w:tcW w:w="1136" w:type="pct"/>
            <w:tcBorders>
              <w:top w:val="single" w:sz="4" w:space="0" w:color="auto"/>
              <w:bottom w:val="single" w:sz="4" w:space="0" w:color="auto"/>
            </w:tcBorders>
          </w:tcPr>
          <w:p w14:paraId="5B0A2DBA" w14:textId="77777777" w:rsidR="008342F0" w:rsidRPr="00063033" w:rsidRDefault="008342F0" w:rsidP="008342F0">
            <w:pPr>
              <w:pStyle w:val="Tabletext"/>
            </w:pPr>
            <w:r w:rsidRPr="00063033">
              <w:t>63</w:t>
            </w:r>
          </w:p>
        </w:tc>
        <w:tc>
          <w:tcPr>
            <w:tcW w:w="966" w:type="pct"/>
            <w:tcBorders>
              <w:top w:val="single" w:sz="4" w:space="0" w:color="auto"/>
              <w:bottom w:val="single" w:sz="4" w:space="0" w:color="auto"/>
            </w:tcBorders>
            <w:shd w:val="clear" w:color="auto" w:fill="auto"/>
            <w:vAlign w:val="bottom"/>
          </w:tcPr>
          <w:p w14:paraId="30891CE7" w14:textId="77777777" w:rsidR="008342F0" w:rsidRPr="008342F0" w:rsidRDefault="008342F0" w:rsidP="008342F0">
            <w:pPr>
              <w:pStyle w:val="Tabletext"/>
            </w:pPr>
            <w:r w:rsidRPr="008342F0">
              <w:t>13</w:t>
            </w:r>
            <w:r w:rsidR="00D7157D">
              <w:t>.</w:t>
            </w:r>
            <w:r w:rsidRPr="008342F0">
              <w:t>3648</w:t>
            </w:r>
          </w:p>
        </w:tc>
        <w:tc>
          <w:tcPr>
            <w:tcW w:w="966" w:type="pct"/>
            <w:tcBorders>
              <w:top w:val="single" w:sz="4" w:space="0" w:color="auto"/>
              <w:bottom w:val="single" w:sz="4" w:space="0" w:color="auto"/>
            </w:tcBorders>
            <w:shd w:val="clear" w:color="auto" w:fill="auto"/>
            <w:vAlign w:val="bottom"/>
          </w:tcPr>
          <w:p w14:paraId="172685B7" w14:textId="77777777" w:rsidR="008342F0" w:rsidRPr="008342F0" w:rsidRDefault="008342F0" w:rsidP="008342F0">
            <w:pPr>
              <w:pStyle w:val="Tabletext"/>
            </w:pPr>
            <w:r w:rsidRPr="008342F0">
              <w:t>0</w:t>
            </w:r>
            <w:r w:rsidR="00D7157D">
              <w:t>.</w:t>
            </w:r>
            <w:r w:rsidRPr="008342F0">
              <w:t>6463</w:t>
            </w:r>
          </w:p>
        </w:tc>
        <w:tc>
          <w:tcPr>
            <w:tcW w:w="966" w:type="pct"/>
            <w:tcBorders>
              <w:top w:val="single" w:sz="4" w:space="0" w:color="auto"/>
              <w:bottom w:val="single" w:sz="4" w:space="0" w:color="auto"/>
            </w:tcBorders>
            <w:shd w:val="clear" w:color="auto" w:fill="auto"/>
            <w:vAlign w:val="bottom"/>
          </w:tcPr>
          <w:p w14:paraId="3BE46F02" w14:textId="77777777" w:rsidR="008342F0" w:rsidRPr="008342F0" w:rsidRDefault="008342F0" w:rsidP="008342F0">
            <w:pPr>
              <w:pStyle w:val="Tabletext"/>
            </w:pPr>
            <w:r w:rsidRPr="008342F0">
              <w:t>14</w:t>
            </w:r>
            <w:r w:rsidR="00D7157D">
              <w:t>.</w:t>
            </w:r>
            <w:r w:rsidRPr="008342F0">
              <w:t>6942</w:t>
            </w:r>
          </w:p>
        </w:tc>
        <w:tc>
          <w:tcPr>
            <w:tcW w:w="966" w:type="pct"/>
            <w:tcBorders>
              <w:top w:val="single" w:sz="4" w:space="0" w:color="auto"/>
              <w:bottom w:val="single" w:sz="4" w:space="0" w:color="auto"/>
              <w:right w:val="nil"/>
            </w:tcBorders>
            <w:shd w:val="clear" w:color="auto" w:fill="auto"/>
            <w:vAlign w:val="bottom"/>
          </w:tcPr>
          <w:p w14:paraId="45837C0A" w14:textId="77777777" w:rsidR="008342F0" w:rsidRPr="008342F0" w:rsidRDefault="008342F0" w:rsidP="008342F0">
            <w:pPr>
              <w:pStyle w:val="Tabletext"/>
            </w:pPr>
            <w:r w:rsidRPr="008342F0">
              <w:t>0</w:t>
            </w:r>
            <w:r w:rsidR="00D7157D">
              <w:t>.</w:t>
            </w:r>
            <w:r w:rsidRPr="008342F0">
              <w:t>1790</w:t>
            </w:r>
          </w:p>
        </w:tc>
      </w:tr>
      <w:tr w:rsidR="008342F0" w:rsidRPr="008342F0" w14:paraId="4EC22FC3" w14:textId="77777777" w:rsidTr="00F160E0">
        <w:trPr>
          <w:cantSplit/>
        </w:trPr>
        <w:tc>
          <w:tcPr>
            <w:tcW w:w="1136" w:type="pct"/>
            <w:tcBorders>
              <w:top w:val="single" w:sz="4" w:space="0" w:color="auto"/>
              <w:bottom w:val="single" w:sz="4" w:space="0" w:color="auto"/>
            </w:tcBorders>
          </w:tcPr>
          <w:p w14:paraId="3A11B31D" w14:textId="77777777" w:rsidR="008342F0" w:rsidRPr="00063033" w:rsidRDefault="008342F0" w:rsidP="008342F0">
            <w:pPr>
              <w:pStyle w:val="Tabletext"/>
            </w:pPr>
            <w:r w:rsidRPr="00063033">
              <w:t>64</w:t>
            </w:r>
          </w:p>
        </w:tc>
        <w:tc>
          <w:tcPr>
            <w:tcW w:w="966" w:type="pct"/>
            <w:tcBorders>
              <w:top w:val="single" w:sz="4" w:space="0" w:color="auto"/>
              <w:bottom w:val="single" w:sz="4" w:space="0" w:color="auto"/>
            </w:tcBorders>
            <w:shd w:val="clear" w:color="auto" w:fill="auto"/>
            <w:vAlign w:val="bottom"/>
          </w:tcPr>
          <w:p w14:paraId="54113A1F" w14:textId="77777777" w:rsidR="008342F0" w:rsidRPr="008342F0" w:rsidRDefault="008342F0" w:rsidP="008342F0">
            <w:pPr>
              <w:pStyle w:val="Tabletext"/>
            </w:pPr>
            <w:r w:rsidRPr="008342F0">
              <w:t>12</w:t>
            </w:r>
            <w:r w:rsidR="00D7157D">
              <w:t>.</w:t>
            </w:r>
            <w:r w:rsidRPr="008342F0">
              <w:t>9924</w:t>
            </w:r>
          </w:p>
        </w:tc>
        <w:tc>
          <w:tcPr>
            <w:tcW w:w="966" w:type="pct"/>
            <w:tcBorders>
              <w:top w:val="single" w:sz="4" w:space="0" w:color="auto"/>
              <w:bottom w:val="single" w:sz="4" w:space="0" w:color="auto"/>
            </w:tcBorders>
            <w:shd w:val="clear" w:color="auto" w:fill="auto"/>
            <w:vAlign w:val="bottom"/>
          </w:tcPr>
          <w:p w14:paraId="33EFA841" w14:textId="77777777" w:rsidR="008342F0" w:rsidRPr="008342F0" w:rsidRDefault="008342F0" w:rsidP="008342F0">
            <w:pPr>
              <w:pStyle w:val="Tabletext"/>
            </w:pPr>
            <w:r w:rsidRPr="008342F0">
              <w:t>0</w:t>
            </w:r>
            <w:r w:rsidR="00D7157D">
              <w:t>.</w:t>
            </w:r>
            <w:r w:rsidRPr="008342F0">
              <w:t>6499</w:t>
            </w:r>
          </w:p>
        </w:tc>
        <w:tc>
          <w:tcPr>
            <w:tcW w:w="966" w:type="pct"/>
            <w:tcBorders>
              <w:top w:val="single" w:sz="4" w:space="0" w:color="auto"/>
              <w:bottom w:val="single" w:sz="4" w:space="0" w:color="auto"/>
            </w:tcBorders>
            <w:shd w:val="clear" w:color="auto" w:fill="auto"/>
            <w:vAlign w:val="bottom"/>
          </w:tcPr>
          <w:p w14:paraId="0C169C29" w14:textId="77777777" w:rsidR="008342F0" w:rsidRPr="008342F0" w:rsidRDefault="008342F0" w:rsidP="008342F0">
            <w:pPr>
              <w:pStyle w:val="Tabletext"/>
            </w:pPr>
            <w:r w:rsidRPr="008342F0">
              <w:t>14</w:t>
            </w:r>
            <w:r w:rsidR="00D7157D">
              <w:t>.</w:t>
            </w:r>
            <w:r w:rsidRPr="008342F0">
              <w:t>3000</w:t>
            </w:r>
          </w:p>
        </w:tc>
        <w:tc>
          <w:tcPr>
            <w:tcW w:w="966" w:type="pct"/>
            <w:tcBorders>
              <w:top w:val="single" w:sz="4" w:space="0" w:color="auto"/>
              <w:bottom w:val="single" w:sz="4" w:space="0" w:color="auto"/>
              <w:right w:val="nil"/>
            </w:tcBorders>
            <w:shd w:val="clear" w:color="auto" w:fill="auto"/>
            <w:vAlign w:val="bottom"/>
          </w:tcPr>
          <w:p w14:paraId="5A717C80" w14:textId="77777777" w:rsidR="008342F0" w:rsidRPr="008342F0" w:rsidRDefault="008342F0" w:rsidP="008342F0">
            <w:pPr>
              <w:pStyle w:val="Tabletext"/>
            </w:pPr>
            <w:r w:rsidRPr="008342F0">
              <w:t>0</w:t>
            </w:r>
            <w:r w:rsidR="00D7157D">
              <w:t>.</w:t>
            </w:r>
            <w:r w:rsidRPr="008342F0">
              <w:t>1799</w:t>
            </w:r>
          </w:p>
        </w:tc>
      </w:tr>
      <w:tr w:rsidR="008342F0" w:rsidRPr="008342F0" w14:paraId="46B8410E" w14:textId="77777777" w:rsidTr="00F160E0">
        <w:trPr>
          <w:cantSplit/>
        </w:trPr>
        <w:tc>
          <w:tcPr>
            <w:tcW w:w="1136" w:type="pct"/>
            <w:tcBorders>
              <w:top w:val="single" w:sz="4" w:space="0" w:color="auto"/>
              <w:bottom w:val="single" w:sz="4" w:space="0" w:color="auto"/>
            </w:tcBorders>
          </w:tcPr>
          <w:p w14:paraId="0AAF2FF3" w14:textId="77777777" w:rsidR="008342F0" w:rsidRPr="00063033" w:rsidRDefault="008342F0" w:rsidP="008342F0">
            <w:pPr>
              <w:pStyle w:val="Tabletext"/>
            </w:pPr>
            <w:r w:rsidRPr="00063033">
              <w:t>65</w:t>
            </w:r>
          </w:p>
        </w:tc>
        <w:tc>
          <w:tcPr>
            <w:tcW w:w="966" w:type="pct"/>
            <w:tcBorders>
              <w:top w:val="single" w:sz="4" w:space="0" w:color="auto"/>
              <w:bottom w:val="single" w:sz="4" w:space="0" w:color="auto"/>
            </w:tcBorders>
            <w:shd w:val="clear" w:color="auto" w:fill="auto"/>
            <w:vAlign w:val="bottom"/>
          </w:tcPr>
          <w:p w14:paraId="7DCF2429" w14:textId="77777777" w:rsidR="008342F0" w:rsidRPr="008342F0" w:rsidRDefault="008342F0" w:rsidP="008342F0">
            <w:pPr>
              <w:pStyle w:val="Tabletext"/>
            </w:pPr>
            <w:r w:rsidRPr="008342F0">
              <w:t>12</w:t>
            </w:r>
            <w:r w:rsidR="00D7157D">
              <w:t>.</w:t>
            </w:r>
            <w:r w:rsidRPr="008342F0">
              <w:t>6165</w:t>
            </w:r>
          </w:p>
        </w:tc>
        <w:tc>
          <w:tcPr>
            <w:tcW w:w="966" w:type="pct"/>
            <w:tcBorders>
              <w:top w:val="single" w:sz="4" w:space="0" w:color="auto"/>
              <w:bottom w:val="single" w:sz="4" w:space="0" w:color="auto"/>
            </w:tcBorders>
            <w:shd w:val="clear" w:color="auto" w:fill="auto"/>
            <w:vAlign w:val="bottom"/>
          </w:tcPr>
          <w:p w14:paraId="0EAB4384" w14:textId="77777777" w:rsidR="008342F0" w:rsidRPr="008342F0" w:rsidRDefault="008342F0" w:rsidP="008342F0">
            <w:pPr>
              <w:pStyle w:val="Tabletext"/>
            </w:pPr>
            <w:r w:rsidRPr="008342F0">
              <w:t>0</w:t>
            </w:r>
            <w:r w:rsidR="00D7157D">
              <w:t>.</w:t>
            </w:r>
            <w:r w:rsidRPr="008342F0">
              <w:t>6528</w:t>
            </w:r>
          </w:p>
        </w:tc>
        <w:tc>
          <w:tcPr>
            <w:tcW w:w="966" w:type="pct"/>
            <w:tcBorders>
              <w:top w:val="single" w:sz="4" w:space="0" w:color="auto"/>
              <w:bottom w:val="single" w:sz="4" w:space="0" w:color="auto"/>
            </w:tcBorders>
            <w:shd w:val="clear" w:color="auto" w:fill="auto"/>
            <w:vAlign w:val="bottom"/>
          </w:tcPr>
          <w:p w14:paraId="5B49D3ED" w14:textId="77777777" w:rsidR="008342F0" w:rsidRPr="008342F0" w:rsidRDefault="008342F0" w:rsidP="008342F0">
            <w:pPr>
              <w:pStyle w:val="Tabletext"/>
            </w:pPr>
            <w:r w:rsidRPr="008342F0">
              <w:t>13</w:t>
            </w:r>
            <w:r w:rsidR="00D7157D">
              <w:t>.</w:t>
            </w:r>
            <w:r w:rsidRPr="008342F0">
              <w:t>8998</w:t>
            </w:r>
          </w:p>
        </w:tc>
        <w:tc>
          <w:tcPr>
            <w:tcW w:w="966" w:type="pct"/>
            <w:tcBorders>
              <w:top w:val="single" w:sz="4" w:space="0" w:color="auto"/>
              <w:bottom w:val="single" w:sz="4" w:space="0" w:color="auto"/>
              <w:right w:val="nil"/>
            </w:tcBorders>
            <w:shd w:val="clear" w:color="auto" w:fill="auto"/>
            <w:vAlign w:val="bottom"/>
          </w:tcPr>
          <w:p w14:paraId="3A54150C" w14:textId="77777777" w:rsidR="008342F0" w:rsidRPr="008342F0" w:rsidRDefault="008342F0" w:rsidP="008342F0">
            <w:pPr>
              <w:pStyle w:val="Tabletext"/>
            </w:pPr>
            <w:r w:rsidRPr="008342F0">
              <w:t>0</w:t>
            </w:r>
            <w:r w:rsidR="00D7157D">
              <w:t>.</w:t>
            </w:r>
            <w:r w:rsidRPr="008342F0">
              <w:t>1806</w:t>
            </w:r>
          </w:p>
        </w:tc>
      </w:tr>
      <w:tr w:rsidR="008342F0" w:rsidRPr="008342F0" w14:paraId="0284DF91" w14:textId="77777777" w:rsidTr="00F160E0">
        <w:trPr>
          <w:cantSplit/>
        </w:trPr>
        <w:tc>
          <w:tcPr>
            <w:tcW w:w="1136" w:type="pct"/>
            <w:tcBorders>
              <w:top w:val="single" w:sz="4" w:space="0" w:color="auto"/>
              <w:bottom w:val="single" w:sz="4" w:space="0" w:color="auto"/>
            </w:tcBorders>
          </w:tcPr>
          <w:p w14:paraId="25A48BCE" w14:textId="77777777" w:rsidR="008342F0" w:rsidRPr="00063033" w:rsidRDefault="008342F0" w:rsidP="008342F0">
            <w:pPr>
              <w:pStyle w:val="Tabletext"/>
            </w:pPr>
            <w:r w:rsidRPr="00063033">
              <w:t>66</w:t>
            </w:r>
          </w:p>
        </w:tc>
        <w:tc>
          <w:tcPr>
            <w:tcW w:w="966" w:type="pct"/>
            <w:tcBorders>
              <w:top w:val="single" w:sz="4" w:space="0" w:color="auto"/>
              <w:bottom w:val="single" w:sz="4" w:space="0" w:color="auto"/>
            </w:tcBorders>
            <w:shd w:val="clear" w:color="auto" w:fill="auto"/>
            <w:vAlign w:val="bottom"/>
          </w:tcPr>
          <w:p w14:paraId="34942FE2" w14:textId="77777777" w:rsidR="008342F0" w:rsidRPr="008342F0" w:rsidRDefault="008342F0" w:rsidP="008342F0">
            <w:pPr>
              <w:pStyle w:val="Tabletext"/>
            </w:pPr>
            <w:r w:rsidRPr="008342F0">
              <w:t>12</w:t>
            </w:r>
            <w:r w:rsidR="00D7157D">
              <w:t>.</w:t>
            </w:r>
            <w:r w:rsidRPr="008342F0">
              <w:t>2381</w:t>
            </w:r>
          </w:p>
        </w:tc>
        <w:tc>
          <w:tcPr>
            <w:tcW w:w="966" w:type="pct"/>
            <w:tcBorders>
              <w:top w:val="single" w:sz="4" w:space="0" w:color="auto"/>
              <w:bottom w:val="single" w:sz="4" w:space="0" w:color="auto"/>
            </w:tcBorders>
            <w:shd w:val="clear" w:color="auto" w:fill="auto"/>
            <w:vAlign w:val="bottom"/>
          </w:tcPr>
          <w:p w14:paraId="33FDC6F8" w14:textId="77777777" w:rsidR="008342F0" w:rsidRPr="008342F0" w:rsidRDefault="008342F0" w:rsidP="008342F0">
            <w:pPr>
              <w:pStyle w:val="Tabletext"/>
            </w:pPr>
            <w:r w:rsidRPr="008342F0">
              <w:t>0</w:t>
            </w:r>
            <w:r w:rsidR="00D7157D">
              <w:t>.</w:t>
            </w:r>
            <w:r w:rsidRPr="008342F0">
              <w:t>6549</w:t>
            </w:r>
          </w:p>
        </w:tc>
        <w:tc>
          <w:tcPr>
            <w:tcW w:w="966" w:type="pct"/>
            <w:tcBorders>
              <w:top w:val="single" w:sz="4" w:space="0" w:color="auto"/>
              <w:bottom w:val="single" w:sz="4" w:space="0" w:color="auto"/>
            </w:tcBorders>
            <w:shd w:val="clear" w:color="auto" w:fill="auto"/>
            <w:vAlign w:val="bottom"/>
          </w:tcPr>
          <w:p w14:paraId="29C6F814" w14:textId="77777777" w:rsidR="008342F0" w:rsidRPr="008342F0" w:rsidRDefault="008342F0" w:rsidP="008342F0">
            <w:pPr>
              <w:pStyle w:val="Tabletext"/>
            </w:pPr>
            <w:r w:rsidRPr="008342F0">
              <w:t>13</w:t>
            </w:r>
            <w:r w:rsidR="00D7157D">
              <w:t>.</w:t>
            </w:r>
            <w:r w:rsidRPr="008342F0">
              <w:t>4940</w:t>
            </w:r>
          </w:p>
        </w:tc>
        <w:tc>
          <w:tcPr>
            <w:tcW w:w="966" w:type="pct"/>
            <w:tcBorders>
              <w:top w:val="single" w:sz="4" w:space="0" w:color="auto"/>
              <w:bottom w:val="single" w:sz="4" w:space="0" w:color="auto"/>
              <w:right w:val="nil"/>
            </w:tcBorders>
            <w:shd w:val="clear" w:color="auto" w:fill="auto"/>
            <w:vAlign w:val="bottom"/>
          </w:tcPr>
          <w:p w14:paraId="5127E4E4" w14:textId="77777777" w:rsidR="008342F0" w:rsidRPr="008342F0" w:rsidRDefault="008342F0" w:rsidP="008342F0">
            <w:pPr>
              <w:pStyle w:val="Tabletext"/>
            </w:pPr>
            <w:r w:rsidRPr="008342F0">
              <w:t>0</w:t>
            </w:r>
            <w:r w:rsidR="00D7157D">
              <w:t>.</w:t>
            </w:r>
            <w:r w:rsidRPr="008342F0">
              <w:t>1810</w:t>
            </w:r>
          </w:p>
        </w:tc>
      </w:tr>
      <w:tr w:rsidR="008342F0" w:rsidRPr="008342F0" w14:paraId="5FAD1D38" w14:textId="77777777" w:rsidTr="00F160E0">
        <w:trPr>
          <w:cantSplit/>
        </w:trPr>
        <w:tc>
          <w:tcPr>
            <w:tcW w:w="1136" w:type="pct"/>
            <w:tcBorders>
              <w:top w:val="single" w:sz="4" w:space="0" w:color="auto"/>
              <w:bottom w:val="single" w:sz="4" w:space="0" w:color="auto"/>
            </w:tcBorders>
          </w:tcPr>
          <w:p w14:paraId="3E815DE5" w14:textId="77777777" w:rsidR="008342F0" w:rsidRPr="00063033" w:rsidRDefault="008342F0" w:rsidP="008342F0">
            <w:pPr>
              <w:pStyle w:val="Tabletext"/>
            </w:pPr>
            <w:r w:rsidRPr="00063033">
              <w:t>67</w:t>
            </w:r>
          </w:p>
        </w:tc>
        <w:tc>
          <w:tcPr>
            <w:tcW w:w="966" w:type="pct"/>
            <w:tcBorders>
              <w:top w:val="single" w:sz="4" w:space="0" w:color="auto"/>
              <w:bottom w:val="single" w:sz="4" w:space="0" w:color="auto"/>
            </w:tcBorders>
            <w:shd w:val="clear" w:color="auto" w:fill="auto"/>
            <w:vAlign w:val="bottom"/>
          </w:tcPr>
          <w:p w14:paraId="03FBF815" w14:textId="77777777" w:rsidR="008342F0" w:rsidRPr="008342F0" w:rsidRDefault="008342F0" w:rsidP="008342F0">
            <w:pPr>
              <w:pStyle w:val="Tabletext"/>
            </w:pPr>
            <w:r w:rsidRPr="008342F0">
              <w:t>11</w:t>
            </w:r>
            <w:r w:rsidR="00D7157D">
              <w:t>.</w:t>
            </w:r>
            <w:r w:rsidRPr="008342F0">
              <w:t>8543</w:t>
            </w:r>
          </w:p>
        </w:tc>
        <w:tc>
          <w:tcPr>
            <w:tcW w:w="966" w:type="pct"/>
            <w:tcBorders>
              <w:top w:val="single" w:sz="4" w:space="0" w:color="auto"/>
              <w:bottom w:val="single" w:sz="4" w:space="0" w:color="auto"/>
            </w:tcBorders>
            <w:shd w:val="clear" w:color="auto" w:fill="auto"/>
            <w:vAlign w:val="bottom"/>
          </w:tcPr>
          <w:p w14:paraId="7468F898" w14:textId="77777777" w:rsidR="008342F0" w:rsidRPr="008342F0" w:rsidRDefault="008342F0" w:rsidP="008342F0">
            <w:pPr>
              <w:pStyle w:val="Tabletext"/>
            </w:pPr>
            <w:r w:rsidRPr="008342F0">
              <w:t>0</w:t>
            </w:r>
            <w:r w:rsidR="00D7157D">
              <w:t>.</w:t>
            </w:r>
            <w:r w:rsidRPr="008342F0">
              <w:t>6566</w:t>
            </w:r>
          </w:p>
        </w:tc>
        <w:tc>
          <w:tcPr>
            <w:tcW w:w="966" w:type="pct"/>
            <w:tcBorders>
              <w:top w:val="single" w:sz="4" w:space="0" w:color="auto"/>
              <w:bottom w:val="single" w:sz="4" w:space="0" w:color="auto"/>
            </w:tcBorders>
            <w:shd w:val="clear" w:color="auto" w:fill="auto"/>
            <w:vAlign w:val="bottom"/>
          </w:tcPr>
          <w:p w14:paraId="7A15DD8B" w14:textId="77777777" w:rsidR="008342F0" w:rsidRPr="008342F0" w:rsidRDefault="008342F0" w:rsidP="008342F0">
            <w:pPr>
              <w:pStyle w:val="Tabletext"/>
            </w:pPr>
            <w:r w:rsidRPr="008342F0">
              <w:t>13</w:t>
            </w:r>
            <w:r w:rsidR="00D7157D">
              <w:t>.</w:t>
            </w:r>
            <w:r w:rsidRPr="008342F0">
              <w:t>0823</w:t>
            </w:r>
          </w:p>
        </w:tc>
        <w:tc>
          <w:tcPr>
            <w:tcW w:w="966" w:type="pct"/>
            <w:tcBorders>
              <w:top w:val="single" w:sz="4" w:space="0" w:color="auto"/>
              <w:bottom w:val="single" w:sz="4" w:space="0" w:color="auto"/>
              <w:right w:val="nil"/>
            </w:tcBorders>
            <w:shd w:val="clear" w:color="auto" w:fill="auto"/>
            <w:vAlign w:val="bottom"/>
          </w:tcPr>
          <w:p w14:paraId="33E1274A" w14:textId="77777777" w:rsidR="008342F0" w:rsidRPr="008342F0" w:rsidRDefault="008342F0" w:rsidP="008342F0">
            <w:pPr>
              <w:pStyle w:val="Tabletext"/>
            </w:pPr>
            <w:r w:rsidRPr="008342F0">
              <w:t>0</w:t>
            </w:r>
            <w:r w:rsidR="00D7157D">
              <w:t>.</w:t>
            </w:r>
            <w:r w:rsidRPr="008342F0">
              <w:t>1813</w:t>
            </w:r>
          </w:p>
        </w:tc>
      </w:tr>
      <w:tr w:rsidR="008342F0" w:rsidRPr="008342F0" w14:paraId="1AFD1067" w14:textId="77777777" w:rsidTr="00F160E0">
        <w:trPr>
          <w:cantSplit/>
        </w:trPr>
        <w:tc>
          <w:tcPr>
            <w:tcW w:w="1136" w:type="pct"/>
            <w:tcBorders>
              <w:top w:val="single" w:sz="4" w:space="0" w:color="auto"/>
              <w:bottom w:val="single" w:sz="4" w:space="0" w:color="auto"/>
            </w:tcBorders>
          </w:tcPr>
          <w:p w14:paraId="0F46D74C" w14:textId="77777777" w:rsidR="008342F0" w:rsidRPr="00063033" w:rsidRDefault="008342F0" w:rsidP="008342F0">
            <w:pPr>
              <w:pStyle w:val="Tabletext"/>
            </w:pPr>
            <w:r w:rsidRPr="00063033">
              <w:t>68</w:t>
            </w:r>
          </w:p>
        </w:tc>
        <w:tc>
          <w:tcPr>
            <w:tcW w:w="966" w:type="pct"/>
            <w:tcBorders>
              <w:top w:val="single" w:sz="4" w:space="0" w:color="auto"/>
              <w:bottom w:val="single" w:sz="4" w:space="0" w:color="auto"/>
            </w:tcBorders>
            <w:shd w:val="clear" w:color="auto" w:fill="auto"/>
            <w:vAlign w:val="bottom"/>
          </w:tcPr>
          <w:p w14:paraId="2BBE2BF1" w14:textId="77777777" w:rsidR="008342F0" w:rsidRPr="008342F0" w:rsidRDefault="008342F0" w:rsidP="008342F0">
            <w:pPr>
              <w:pStyle w:val="Tabletext"/>
            </w:pPr>
            <w:r w:rsidRPr="008342F0">
              <w:t>11</w:t>
            </w:r>
            <w:r w:rsidR="00D7157D">
              <w:t>.</w:t>
            </w:r>
            <w:r w:rsidRPr="008342F0">
              <w:t>4661</w:t>
            </w:r>
          </w:p>
        </w:tc>
        <w:tc>
          <w:tcPr>
            <w:tcW w:w="966" w:type="pct"/>
            <w:tcBorders>
              <w:top w:val="single" w:sz="4" w:space="0" w:color="auto"/>
              <w:bottom w:val="single" w:sz="4" w:space="0" w:color="auto"/>
            </w:tcBorders>
            <w:shd w:val="clear" w:color="auto" w:fill="auto"/>
            <w:vAlign w:val="bottom"/>
          </w:tcPr>
          <w:p w14:paraId="39A89245" w14:textId="77777777" w:rsidR="008342F0" w:rsidRPr="008342F0" w:rsidRDefault="008342F0" w:rsidP="008342F0">
            <w:pPr>
              <w:pStyle w:val="Tabletext"/>
            </w:pPr>
            <w:r w:rsidRPr="008342F0">
              <w:t>0</w:t>
            </w:r>
            <w:r w:rsidR="00D7157D">
              <w:t>.</w:t>
            </w:r>
            <w:r w:rsidRPr="008342F0">
              <w:t>6576</w:t>
            </w:r>
          </w:p>
        </w:tc>
        <w:tc>
          <w:tcPr>
            <w:tcW w:w="966" w:type="pct"/>
            <w:tcBorders>
              <w:top w:val="single" w:sz="4" w:space="0" w:color="auto"/>
              <w:bottom w:val="single" w:sz="4" w:space="0" w:color="auto"/>
            </w:tcBorders>
            <w:shd w:val="clear" w:color="auto" w:fill="auto"/>
            <w:vAlign w:val="bottom"/>
          </w:tcPr>
          <w:p w14:paraId="1300331E" w14:textId="77777777" w:rsidR="008342F0" w:rsidRPr="008342F0" w:rsidRDefault="008342F0" w:rsidP="008342F0">
            <w:pPr>
              <w:pStyle w:val="Tabletext"/>
            </w:pPr>
            <w:r w:rsidRPr="008342F0">
              <w:t>12</w:t>
            </w:r>
            <w:r w:rsidR="00D7157D">
              <w:t>.</w:t>
            </w:r>
            <w:r w:rsidRPr="008342F0">
              <w:t>6655</w:t>
            </w:r>
          </w:p>
        </w:tc>
        <w:tc>
          <w:tcPr>
            <w:tcW w:w="966" w:type="pct"/>
            <w:tcBorders>
              <w:top w:val="single" w:sz="4" w:space="0" w:color="auto"/>
              <w:bottom w:val="single" w:sz="4" w:space="0" w:color="auto"/>
              <w:right w:val="nil"/>
            </w:tcBorders>
            <w:shd w:val="clear" w:color="auto" w:fill="auto"/>
            <w:vAlign w:val="bottom"/>
          </w:tcPr>
          <w:p w14:paraId="09B5B568" w14:textId="77777777" w:rsidR="008342F0" w:rsidRPr="008342F0" w:rsidRDefault="008342F0" w:rsidP="008342F0">
            <w:pPr>
              <w:pStyle w:val="Tabletext"/>
            </w:pPr>
            <w:r w:rsidRPr="008342F0">
              <w:t>0</w:t>
            </w:r>
            <w:r w:rsidR="00D7157D">
              <w:t>.</w:t>
            </w:r>
            <w:r w:rsidRPr="008342F0">
              <w:t>1813</w:t>
            </w:r>
          </w:p>
        </w:tc>
      </w:tr>
      <w:tr w:rsidR="008342F0" w:rsidRPr="008342F0" w14:paraId="431A858F" w14:textId="77777777" w:rsidTr="00F160E0">
        <w:trPr>
          <w:cantSplit/>
        </w:trPr>
        <w:tc>
          <w:tcPr>
            <w:tcW w:w="1136" w:type="pct"/>
            <w:tcBorders>
              <w:top w:val="single" w:sz="4" w:space="0" w:color="auto"/>
              <w:bottom w:val="single" w:sz="4" w:space="0" w:color="auto"/>
            </w:tcBorders>
          </w:tcPr>
          <w:p w14:paraId="796B0D0A" w14:textId="77777777" w:rsidR="008342F0" w:rsidRPr="00063033" w:rsidRDefault="008342F0" w:rsidP="008342F0">
            <w:pPr>
              <w:pStyle w:val="Tabletext"/>
            </w:pPr>
            <w:r w:rsidRPr="00063033">
              <w:t>69</w:t>
            </w:r>
          </w:p>
        </w:tc>
        <w:tc>
          <w:tcPr>
            <w:tcW w:w="966" w:type="pct"/>
            <w:tcBorders>
              <w:top w:val="single" w:sz="4" w:space="0" w:color="auto"/>
              <w:bottom w:val="single" w:sz="4" w:space="0" w:color="auto"/>
            </w:tcBorders>
            <w:shd w:val="clear" w:color="auto" w:fill="auto"/>
            <w:vAlign w:val="bottom"/>
          </w:tcPr>
          <w:p w14:paraId="1AE03FBB" w14:textId="77777777" w:rsidR="008342F0" w:rsidRPr="008342F0" w:rsidRDefault="008342F0" w:rsidP="008342F0">
            <w:pPr>
              <w:pStyle w:val="Tabletext"/>
            </w:pPr>
            <w:r w:rsidRPr="008342F0">
              <w:t>11</w:t>
            </w:r>
            <w:r w:rsidR="00D7157D">
              <w:t>.</w:t>
            </w:r>
            <w:r w:rsidRPr="008342F0">
              <w:t>0745</w:t>
            </w:r>
          </w:p>
        </w:tc>
        <w:tc>
          <w:tcPr>
            <w:tcW w:w="966" w:type="pct"/>
            <w:tcBorders>
              <w:top w:val="single" w:sz="4" w:space="0" w:color="auto"/>
              <w:bottom w:val="single" w:sz="4" w:space="0" w:color="auto"/>
            </w:tcBorders>
            <w:shd w:val="clear" w:color="auto" w:fill="auto"/>
            <w:vAlign w:val="bottom"/>
          </w:tcPr>
          <w:p w14:paraId="27F9AF98" w14:textId="77777777" w:rsidR="008342F0" w:rsidRPr="008342F0" w:rsidRDefault="008342F0" w:rsidP="008342F0">
            <w:pPr>
              <w:pStyle w:val="Tabletext"/>
            </w:pPr>
            <w:r w:rsidRPr="008342F0">
              <w:t>0</w:t>
            </w:r>
            <w:r w:rsidR="00D7157D">
              <w:t>.</w:t>
            </w:r>
            <w:r w:rsidRPr="008342F0">
              <w:t>6579</w:t>
            </w:r>
          </w:p>
        </w:tc>
        <w:tc>
          <w:tcPr>
            <w:tcW w:w="966" w:type="pct"/>
            <w:tcBorders>
              <w:top w:val="single" w:sz="4" w:space="0" w:color="auto"/>
              <w:bottom w:val="single" w:sz="4" w:space="0" w:color="auto"/>
            </w:tcBorders>
            <w:shd w:val="clear" w:color="auto" w:fill="auto"/>
            <w:vAlign w:val="bottom"/>
          </w:tcPr>
          <w:p w14:paraId="30D218B6" w14:textId="77777777" w:rsidR="008342F0" w:rsidRPr="008342F0" w:rsidRDefault="008342F0" w:rsidP="008342F0">
            <w:pPr>
              <w:pStyle w:val="Tabletext"/>
            </w:pPr>
            <w:r w:rsidRPr="008342F0">
              <w:t>12</w:t>
            </w:r>
            <w:r w:rsidR="00D7157D">
              <w:t>.</w:t>
            </w:r>
            <w:r w:rsidRPr="008342F0">
              <w:t>2444</w:t>
            </w:r>
          </w:p>
        </w:tc>
        <w:tc>
          <w:tcPr>
            <w:tcW w:w="966" w:type="pct"/>
            <w:tcBorders>
              <w:top w:val="single" w:sz="4" w:space="0" w:color="auto"/>
              <w:bottom w:val="single" w:sz="4" w:space="0" w:color="auto"/>
              <w:right w:val="nil"/>
            </w:tcBorders>
            <w:shd w:val="clear" w:color="auto" w:fill="auto"/>
            <w:vAlign w:val="bottom"/>
          </w:tcPr>
          <w:p w14:paraId="070AC454" w14:textId="77777777" w:rsidR="008342F0" w:rsidRPr="008342F0" w:rsidRDefault="008342F0" w:rsidP="008342F0">
            <w:pPr>
              <w:pStyle w:val="Tabletext"/>
            </w:pPr>
            <w:r w:rsidRPr="008342F0">
              <w:t>0</w:t>
            </w:r>
            <w:r w:rsidR="00D7157D">
              <w:t>.</w:t>
            </w:r>
            <w:r w:rsidRPr="008342F0">
              <w:t>1810</w:t>
            </w:r>
          </w:p>
        </w:tc>
      </w:tr>
      <w:tr w:rsidR="008342F0" w:rsidRPr="008342F0" w14:paraId="3286260F" w14:textId="77777777" w:rsidTr="00F160E0">
        <w:trPr>
          <w:cantSplit/>
        </w:trPr>
        <w:tc>
          <w:tcPr>
            <w:tcW w:w="1136" w:type="pct"/>
            <w:tcBorders>
              <w:top w:val="single" w:sz="4" w:space="0" w:color="auto"/>
              <w:bottom w:val="single" w:sz="4" w:space="0" w:color="auto"/>
            </w:tcBorders>
          </w:tcPr>
          <w:p w14:paraId="6B829DE2" w14:textId="77777777" w:rsidR="008342F0" w:rsidRPr="00063033" w:rsidRDefault="008342F0" w:rsidP="008342F0">
            <w:pPr>
              <w:pStyle w:val="Tabletext"/>
            </w:pPr>
            <w:r w:rsidRPr="00063033">
              <w:t>70</w:t>
            </w:r>
          </w:p>
        </w:tc>
        <w:tc>
          <w:tcPr>
            <w:tcW w:w="966" w:type="pct"/>
            <w:tcBorders>
              <w:top w:val="single" w:sz="4" w:space="0" w:color="auto"/>
              <w:bottom w:val="single" w:sz="4" w:space="0" w:color="auto"/>
            </w:tcBorders>
            <w:shd w:val="clear" w:color="auto" w:fill="auto"/>
            <w:vAlign w:val="bottom"/>
          </w:tcPr>
          <w:p w14:paraId="0CEFC644" w14:textId="77777777" w:rsidR="008342F0" w:rsidRPr="008342F0" w:rsidRDefault="008342F0" w:rsidP="008342F0">
            <w:pPr>
              <w:pStyle w:val="Tabletext"/>
            </w:pPr>
            <w:r w:rsidRPr="008342F0">
              <w:t>10</w:t>
            </w:r>
            <w:r w:rsidR="00D7157D">
              <w:t>.</w:t>
            </w:r>
            <w:r w:rsidRPr="008342F0">
              <w:t>6802</w:t>
            </w:r>
          </w:p>
        </w:tc>
        <w:tc>
          <w:tcPr>
            <w:tcW w:w="966" w:type="pct"/>
            <w:tcBorders>
              <w:top w:val="single" w:sz="4" w:space="0" w:color="auto"/>
              <w:bottom w:val="single" w:sz="4" w:space="0" w:color="auto"/>
            </w:tcBorders>
            <w:shd w:val="clear" w:color="auto" w:fill="auto"/>
            <w:vAlign w:val="bottom"/>
          </w:tcPr>
          <w:p w14:paraId="6595C630" w14:textId="77777777" w:rsidR="008342F0" w:rsidRPr="008342F0" w:rsidRDefault="008342F0" w:rsidP="008342F0">
            <w:pPr>
              <w:pStyle w:val="Tabletext"/>
            </w:pPr>
            <w:r w:rsidRPr="008342F0">
              <w:t>0</w:t>
            </w:r>
            <w:r w:rsidR="00D7157D">
              <w:t>.</w:t>
            </w:r>
            <w:r w:rsidRPr="008342F0">
              <w:t>6574</w:t>
            </w:r>
          </w:p>
        </w:tc>
        <w:tc>
          <w:tcPr>
            <w:tcW w:w="966" w:type="pct"/>
            <w:tcBorders>
              <w:top w:val="single" w:sz="4" w:space="0" w:color="auto"/>
              <w:bottom w:val="single" w:sz="4" w:space="0" w:color="auto"/>
            </w:tcBorders>
            <w:shd w:val="clear" w:color="auto" w:fill="auto"/>
            <w:vAlign w:val="bottom"/>
          </w:tcPr>
          <w:p w14:paraId="3DE11513" w14:textId="77777777" w:rsidR="008342F0" w:rsidRPr="008342F0" w:rsidRDefault="008342F0" w:rsidP="008342F0">
            <w:pPr>
              <w:pStyle w:val="Tabletext"/>
            </w:pPr>
            <w:r w:rsidRPr="008342F0">
              <w:t>11</w:t>
            </w:r>
            <w:r w:rsidR="00D7157D">
              <w:t>.</w:t>
            </w:r>
            <w:r w:rsidRPr="008342F0">
              <w:t>8197</w:t>
            </w:r>
          </w:p>
        </w:tc>
        <w:tc>
          <w:tcPr>
            <w:tcW w:w="966" w:type="pct"/>
            <w:tcBorders>
              <w:top w:val="single" w:sz="4" w:space="0" w:color="auto"/>
              <w:bottom w:val="single" w:sz="4" w:space="0" w:color="auto"/>
              <w:right w:val="nil"/>
            </w:tcBorders>
            <w:shd w:val="clear" w:color="auto" w:fill="auto"/>
            <w:vAlign w:val="bottom"/>
          </w:tcPr>
          <w:p w14:paraId="7EF25A7B" w14:textId="77777777" w:rsidR="008342F0" w:rsidRPr="008342F0" w:rsidRDefault="008342F0" w:rsidP="008342F0">
            <w:pPr>
              <w:pStyle w:val="Tabletext"/>
            </w:pPr>
            <w:r w:rsidRPr="008342F0">
              <w:t>0</w:t>
            </w:r>
            <w:r w:rsidR="00D7157D">
              <w:t>.</w:t>
            </w:r>
            <w:r w:rsidRPr="008342F0">
              <w:t>1805</w:t>
            </w:r>
          </w:p>
        </w:tc>
      </w:tr>
      <w:tr w:rsidR="008342F0" w:rsidRPr="008342F0" w14:paraId="3C2B7926" w14:textId="77777777" w:rsidTr="00F160E0">
        <w:trPr>
          <w:cantSplit/>
        </w:trPr>
        <w:tc>
          <w:tcPr>
            <w:tcW w:w="1136" w:type="pct"/>
            <w:tcBorders>
              <w:top w:val="single" w:sz="4" w:space="0" w:color="auto"/>
              <w:bottom w:val="single" w:sz="4" w:space="0" w:color="auto"/>
            </w:tcBorders>
          </w:tcPr>
          <w:p w14:paraId="5F6ECD36" w14:textId="77777777" w:rsidR="008342F0" w:rsidRPr="00063033" w:rsidRDefault="008342F0" w:rsidP="008342F0">
            <w:pPr>
              <w:pStyle w:val="Tabletext"/>
            </w:pPr>
            <w:r w:rsidRPr="00063033">
              <w:t>71</w:t>
            </w:r>
          </w:p>
        </w:tc>
        <w:tc>
          <w:tcPr>
            <w:tcW w:w="966" w:type="pct"/>
            <w:tcBorders>
              <w:top w:val="single" w:sz="4" w:space="0" w:color="auto"/>
              <w:bottom w:val="single" w:sz="4" w:space="0" w:color="auto"/>
            </w:tcBorders>
            <w:shd w:val="clear" w:color="auto" w:fill="auto"/>
            <w:vAlign w:val="bottom"/>
          </w:tcPr>
          <w:p w14:paraId="38C38090" w14:textId="77777777" w:rsidR="008342F0" w:rsidRPr="008342F0" w:rsidRDefault="008342F0" w:rsidP="008342F0">
            <w:pPr>
              <w:pStyle w:val="Tabletext"/>
            </w:pPr>
            <w:r w:rsidRPr="008342F0">
              <w:t>10</w:t>
            </w:r>
            <w:r w:rsidR="00D7157D">
              <w:t>.</w:t>
            </w:r>
            <w:r w:rsidRPr="008342F0">
              <w:t>2843</w:t>
            </w:r>
          </w:p>
        </w:tc>
        <w:tc>
          <w:tcPr>
            <w:tcW w:w="966" w:type="pct"/>
            <w:tcBorders>
              <w:top w:val="single" w:sz="4" w:space="0" w:color="auto"/>
              <w:bottom w:val="single" w:sz="4" w:space="0" w:color="auto"/>
            </w:tcBorders>
            <w:shd w:val="clear" w:color="auto" w:fill="auto"/>
            <w:vAlign w:val="bottom"/>
          </w:tcPr>
          <w:p w14:paraId="3F27D606" w14:textId="77777777" w:rsidR="008342F0" w:rsidRPr="008342F0" w:rsidRDefault="008342F0" w:rsidP="008342F0">
            <w:pPr>
              <w:pStyle w:val="Tabletext"/>
            </w:pPr>
            <w:r w:rsidRPr="008342F0">
              <w:t>0</w:t>
            </w:r>
            <w:r w:rsidR="00D7157D">
              <w:t>.</w:t>
            </w:r>
            <w:r w:rsidRPr="008342F0">
              <w:t>6561</w:t>
            </w:r>
          </w:p>
        </w:tc>
        <w:tc>
          <w:tcPr>
            <w:tcW w:w="966" w:type="pct"/>
            <w:tcBorders>
              <w:top w:val="single" w:sz="4" w:space="0" w:color="auto"/>
              <w:bottom w:val="single" w:sz="4" w:space="0" w:color="auto"/>
            </w:tcBorders>
            <w:shd w:val="clear" w:color="auto" w:fill="auto"/>
            <w:vAlign w:val="bottom"/>
          </w:tcPr>
          <w:p w14:paraId="764A897B" w14:textId="77777777" w:rsidR="008342F0" w:rsidRPr="008342F0" w:rsidRDefault="008342F0" w:rsidP="008342F0">
            <w:pPr>
              <w:pStyle w:val="Tabletext"/>
            </w:pPr>
            <w:r w:rsidRPr="008342F0">
              <w:t>11</w:t>
            </w:r>
            <w:r w:rsidR="00D7157D">
              <w:t>.</w:t>
            </w:r>
            <w:r w:rsidRPr="008342F0">
              <w:t>3922</w:t>
            </w:r>
          </w:p>
        </w:tc>
        <w:tc>
          <w:tcPr>
            <w:tcW w:w="966" w:type="pct"/>
            <w:tcBorders>
              <w:top w:val="single" w:sz="4" w:space="0" w:color="auto"/>
              <w:bottom w:val="single" w:sz="4" w:space="0" w:color="auto"/>
              <w:right w:val="nil"/>
            </w:tcBorders>
            <w:shd w:val="clear" w:color="auto" w:fill="auto"/>
            <w:vAlign w:val="bottom"/>
          </w:tcPr>
          <w:p w14:paraId="248923B4" w14:textId="77777777" w:rsidR="008342F0" w:rsidRPr="008342F0" w:rsidRDefault="008342F0" w:rsidP="008342F0">
            <w:pPr>
              <w:pStyle w:val="Tabletext"/>
            </w:pPr>
            <w:r w:rsidRPr="008342F0">
              <w:t>0</w:t>
            </w:r>
            <w:r w:rsidR="00D7157D">
              <w:t>.</w:t>
            </w:r>
            <w:r w:rsidRPr="008342F0">
              <w:t>1797</w:t>
            </w:r>
          </w:p>
        </w:tc>
      </w:tr>
      <w:tr w:rsidR="008342F0" w:rsidRPr="008342F0" w14:paraId="25DBA4FF" w14:textId="77777777" w:rsidTr="00F160E0">
        <w:trPr>
          <w:cantSplit/>
        </w:trPr>
        <w:tc>
          <w:tcPr>
            <w:tcW w:w="1136" w:type="pct"/>
            <w:tcBorders>
              <w:top w:val="single" w:sz="4" w:space="0" w:color="auto"/>
              <w:bottom w:val="single" w:sz="4" w:space="0" w:color="auto"/>
            </w:tcBorders>
          </w:tcPr>
          <w:p w14:paraId="6AD36897" w14:textId="77777777" w:rsidR="008342F0" w:rsidRPr="00063033" w:rsidRDefault="008342F0" w:rsidP="008342F0">
            <w:pPr>
              <w:pStyle w:val="Tabletext"/>
            </w:pPr>
            <w:r w:rsidRPr="00063033">
              <w:t>72</w:t>
            </w:r>
          </w:p>
        </w:tc>
        <w:tc>
          <w:tcPr>
            <w:tcW w:w="966" w:type="pct"/>
            <w:tcBorders>
              <w:top w:val="single" w:sz="4" w:space="0" w:color="auto"/>
              <w:bottom w:val="single" w:sz="4" w:space="0" w:color="auto"/>
            </w:tcBorders>
            <w:shd w:val="clear" w:color="auto" w:fill="auto"/>
            <w:vAlign w:val="bottom"/>
          </w:tcPr>
          <w:p w14:paraId="4B605520" w14:textId="77777777" w:rsidR="008342F0" w:rsidRPr="008342F0" w:rsidRDefault="008342F0" w:rsidP="008342F0">
            <w:pPr>
              <w:pStyle w:val="Tabletext"/>
            </w:pPr>
            <w:r w:rsidRPr="008342F0">
              <w:t>9</w:t>
            </w:r>
            <w:r w:rsidR="00D7157D">
              <w:t>.</w:t>
            </w:r>
            <w:r w:rsidRPr="008342F0">
              <w:t>8875</w:t>
            </w:r>
          </w:p>
        </w:tc>
        <w:tc>
          <w:tcPr>
            <w:tcW w:w="966" w:type="pct"/>
            <w:tcBorders>
              <w:top w:val="single" w:sz="4" w:space="0" w:color="auto"/>
              <w:bottom w:val="single" w:sz="4" w:space="0" w:color="auto"/>
            </w:tcBorders>
            <w:shd w:val="clear" w:color="auto" w:fill="auto"/>
            <w:vAlign w:val="bottom"/>
          </w:tcPr>
          <w:p w14:paraId="49AE9899" w14:textId="77777777" w:rsidR="008342F0" w:rsidRPr="008342F0" w:rsidRDefault="008342F0" w:rsidP="008342F0">
            <w:pPr>
              <w:pStyle w:val="Tabletext"/>
            </w:pPr>
            <w:r w:rsidRPr="008342F0">
              <w:t>0</w:t>
            </w:r>
            <w:r w:rsidR="00D7157D">
              <w:t>.</w:t>
            </w:r>
            <w:r w:rsidRPr="008342F0">
              <w:t>6537</w:t>
            </w:r>
          </w:p>
        </w:tc>
        <w:tc>
          <w:tcPr>
            <w:tcW w:w="966" w:type="pct"/>
            <w:tcBorders>
              <w:top w:val="single" w:sz="4" w:space="0" w:color="auto"/>
              <w:bottom w:val="single" w:sz="4" w:space="0" w:color="auto"/>
            </w:tcBorders>
            <w:shd w:val="clear" w:color="auto" w:fill="auto"/>
            <w:vAlign w:val="bottom"/>
          </w:tcPr>
          <w:p w14:paraId="4A20F59B" w14:textId="77777777" w:rsidR="008342F0" w:rsidRPr="008342F0" w:rsidRDefault="008342F0" w:rsidP="008342F0">
            <w:pPr>
              <w:pStyle w:val="Tabletext"/>
            </w:pPr>
            <w:r w:rsidRPr="008342F0">
              <w:t>10</w:t>
            </w:r>
            <w:r w:rsidR="00D7157D">
              <w:t>.</w:t>
            </w:r>
            <w:r w:rsidRPr="008342F0">
              <w:t>9615</w:t>
            </w:r>
          </w:p>
        </w:tc>
        <w:tc>
          <w:tcPr>
            <w:tcW w:w="966" w:type="pct"/>
            <w:tcBorders>
              <w:top w:val="single" w:sz="4" w:space="0" w:color="auto"/>
              <w:bottom w:val="single" w:sz="4" w:space="0" w:color="auto"/>
              <w:right w:val="nil"/>
            </w:tcBorders>
            <w:shd w:val="clear" w:color="auto" w:fill="auto"/>
            <w:vAlign w:val="bottom"/>
          </w:tcPr>
          <w:p w14:paraId="6D7B14D8" w14:textId="77777777" w:rsidR="008342F0" w:rsidRPr="008342F0" w:rsidRDefault="008342F0" w:rsidP="008342F0">
            <w:pPr>
              <w:pStyle w:val="Tabletext"/>
            </w:pPr>
            <w:r w:rsidRPr="008342F0">
              <w:t>0</w:t>
            </w:r>
            <w:r w:rsidR="00D7157D">
              <w:t>.</w:t>
            </w:r>
            <w:r w:rsidRPr="008342F0">
              <w:t>1786</w:t>
            </w:r>
          </w:p>
        </w:tc>
      </w:tr>
      <w:tr w:rsidR="008342F0" w:rsidRPr="008342F0" w14:paraId="64B6160C" w14:textId="77777777" w:rsidTr="00F160E0">
        <w:trPr>
          <w:cantSplit/>
        </w:trPr>
        <w:tc>
          <w:tcPr>
            <w:tcW w:w="1136" w:type="pct"/>
            <w:tcBorders>
              <w:top w:val="single" w:sz="4" w:space="0" w:color="auto"/>
              <w:bottom w:val="single" w:sz="4" w:space="0" w:color="auto"/>
            </w:tcBorders>
          </w:tcPr>
          <w:p w14:paraId="76558E4B" w14:textId="77777777" w:rsidR="008342F0" w:rsidRPr="00063033" w:rsidRDefault="008342F0" w:rsidP="008342F0">
            <w:pPr>
              <w:pStyle w:val="Tabletext"/>
            </w:pPr>
            <w:r w:rsidRPr="00063033">
              <w:t>73</w:t>
            </w:r>
          </w:p>
        </w:tc>
        <w:tc>
          <w:tcPr>
            <w:tcW w:w="966" w:type="pct"/>
            <w:tcBorders>
              <w:top w:val="single" w:sz="4" w:space="0" w:color="auto"/>
              <w:bottom w:val="single" w:sz="4" w:space="0" w:color="auto"/>
            </w:tcBorders>
            <w:shd w:val="clear" w:color="auto" w:fill="auto"/>
            <w:vAlign w:val="bottom"/>
          </w:tcPr>
          <w:p w14:paraId="4B40D446" w14:textId="77777777" w:rsidR="008342F0" w:rsidRPr="008342F0" w:rsidRDefault="008342F0" w:rsidP="008342F0">
            <w:pPr>
              <w:pStyle w:val="Tabletext"/>
            </w:pPr>
            <w:r w:rsidRPr="008342F0">
              <w:t>9</w:t>
            </w:r>
            <w:r w:rsidR="00D7157D">
              <w:t>.</w:t>
            </w:r>
            <w:r w:rsidRPr="008342F0">
              <w:t>4905</w:t>
            </w:r>
          </w:p>
        </w:tc>
        <w:tc>
          <w:tcPr>
            <w:tcW w:w="966" w:type="pct"/>
            <w:tcBorders>
              <w:top w:val="single" w:sz="4" w:space="0" w:color="auto"/>
              <w:bottom w:val="single" w:sz="4" w:space="0" w:color="auto"/>
            </w:tcBorders>
            <w:shd w:val="clear" w:color="auto" w:fill="auto"/>
            <w:vAlign w:val="bottom"/>
          </w:tcPr>
          <w:p w14:paraId="111C532E" w14:textId="77777777" w:rsidR="008342F0" w:rsidRPr="008342F0" w:rsidRDefault="008342F0" w:rsidP="008342F0">
            <w:pPr>
              <w:pStyle w:val="Tabletext"/>
            </w:pPr>
            <w:r w:rsidRPr="008342F0">
              <w:t>0</w:t>
            </w:r>
            <w:r w:rsidR="00D7157D">
              <w:t>.</w:t>
            </w:r>
            <w:r w:rsidRPr="008342F0">
              <w:t>6504</w:t>
            </w:r>
          </w:p>
        </w:tc>
        <w:tc>
          <w:tcPr>
            <w:tcW w:w="966" w:type="pct"/>
            <w:tcBorders>
              <w:top w:val="single" w:sz="4" w:space="0" w:color="auto"/>
              <w:bottom w:val="single" w:sz="4" w:space="0" w:color="auto"/>
            </w:tcBorders>
            <w:shd w:val="clear" w:color="auto" w:fill="auto"/>
            <w:vAlign w:val="bottom"/>
          </w:tcPr>
          <w:p w14:paraId="06AFC5B6" w14:textId="77777777" w:rsidR="008342F0" w:rsidRPr="008342F0" w:rsidRDefault="008342F0" w:rsidP="008342F0">
            <w:pPr>
              <w:pStyle w:val="Tabletext"/>
            </w:pPr>
            <w:r w:rsidRPr="008342F0">
              <w:t>10</w:t>
            </w:r>
            <w:r w:rsidR="00D7157D">
              <w:t>.</w:t>
            </w:r>
            <w:r w:rsidRPr="008342F0">
              <w:t>5295</w:t>
            </w:r>
          </w:p>
        </w:tc>
        <w:tc>
          <w:tcPr>
            <w:tcW w:w="966" w:type="pct"/>
            <w:tcBorders>
              <w:top w:val="single" w:sz="4" w:space="0" w:color="auto"/>
              <w:bottom w:val="single" w:sz="4" w:space="0" w:color="auto"/>
              <w:right w:val="nil"/>
            </w:tcBorders>
            <w:shd w:val="clear" w:color="auto" w:fill="auto"/>
            <w:vAlign w:val="bottom"/>
          </w:tcPr>
          <w:p w14:paraId="20407ADC" w14:textId="77777777" w:rsidR="008342F0" w:rsidRPr="008342F0" w:rsidRDefault="008342F0" w:rsidP="008342F0">
            <w:pPr>
              <w:pStyle w:val="Tabletext"/>
            </w:pPr>
            <w:r w:rsidRPr="008342F0">
              <w:t>0</w:t>
            </w:r>
            <w:r w:rsidR="00D7157D">
              <w:t>.</w:t>
            </w:r>
            <w:r w:rsidRPr="008342F0">
              <w:t>1772</w:t>
            </w:r>
          </w:p>
        </w:tc>
      </w:tr>
      <w:tr w:rsidR="008342F0" w:rsidRPr="008342F0" w14:paraId="7B249A05" w14:textId="77777777" w:rsidTr="00F160E0">
        <w:trPr>
          <w:cantSplit/>
        </w:trPr>
        <w:tc>
          <w:tcPr>
            <w:tcW w:w="1136" w:type="pct"/>
            <w:tcBorders>
              <w:top w:val="single" w:sz="4" w:space="0" w:color="auto"/>
              <w:bottom w:val="single" w:sz="4" w:space="0" w:color="auto"/>
            </w:tcBorders>
          </w:tcPr>
          <w:p w14:paraId="3878B92E" w14:textId="77777777" w:rsidR="008342F0" w:rsidRPr="00063033" w:rsidRDefault="008342F0" w:rsidP="008342F0">
            <w:pPr>
              <w:pStyle w:val="Tabletext"/>
            </w:pPr>
            <w:r w:rsidRPr="00063033">
              <w:t>74</w:t>
            </w:r>
          </w:p>
        </w:tc>
        <w:tc>
          <w:tcPr>
            <w:tcW w:w="966" w:type="pct"/>
            <w:tcBorders>
              <w:top w:val="single" w:sz="4" w:space="0" w:color="auto"/>
              <w:bottom w:val="single" w:sz="4" w:space="0" w:color="auto"/>
            </w:tcBorders>
            <w:shd w:val="clear" w:color="auto" w:fill="auto"/>
            <w:vAlign w:val="bottom"/>
          </w:tcPr>
          <w:p w14:paraId="0A64E5FE" w14:textId="77777777" w:rsidR="008342F0" w:rsidRPr="008342F0" w:rsidRDefault="008342F0" w:rsidP="008342F0">
            <w:pPr>
              <w:pStyle w:val="Tabletext"/>
            </w:pPr>
            <w:r w:rsidRPr="008342F0">
              <w:t>9</w:t>
            </w:r>
            <w:r w:rsidR="00D7157D">
              <w:t>.</w:t>
            </w:r>
            <w:r w:rsidRPr="008342F0">
              <w:t>0938</w:t>
            </w:r>
          </w:p>
        </w:tc>
        <w:tc>
          <w:tcPr>
            <w:tcW w:w="966" w:type="pct"/>
            <w:tcBorders>
              <w:top w:val="single" w:sz="4" w:space="0" w:color="auto"/>
              <w:bottom w:val="single" w:sz="4" w:space="0" w:color="auto"/>
            </w:tcBorders>
            <w:shd w:val="clear" w:color="auto" w:fill="auto"/>
            <w:vAlign w:val="bottom"/>
          </w:tcPr>
          <w:p w14:paraId="5BD7F14D" w14:textId="77777777" w:rsidR="008342F0" w:rsidRPr="008342F0" w:rsidRDefault="008342F0" w:rsidP="008342F0">
            <w:pPr>
              <w:pStyle w:val="Tabletext"/>
            </w:pPr>
            <w:r w:rsidRPr="008342F0">
              <w:t>0</w:t>
            </w:r>
            <w:r w:rsidR="00D7157D">
              <w:t>.</w:t>
            </w:r>
            <w:r w:rsidRPr="008342F0">
              <w:t>6461</w:t>
            </w:r>
          </w:p>
        </w:tc>
        <w:tc>
          <w:tcPr>
            <w:tcW w:w="966" w:type="pct"/>
            <w:tcBorders>
              <w:top w:val="single" w:sz="4" w:space="0" w:color="auto"/>
              <w:bottom w:val="single" w:sz="4" w:space="0" w:color="auto"/>
            </w:tcBorders>
            <w:shd w:val="clear" w:color="auto" w:fill="auto"/>
            <w:vAlign w:val="bottom"/>
          </w:tcPr>
          <w:p w14:paraId="06510160" w14:textId="77777777" w:rsidR="008342F0" w:rsidRPr="008342F0" w:rsidRDefault="008342F0" w:rsidP="008342F0">
            <w:pPr>
              <w:pStyle w:val="Tabletext"/>
            </w:pPr>
            <w:r w:rsidRPr="008342F0">
              <w:t>10</w:t>
            </w:r>
            <w:r w:rsidR="00D7157D">
              <w:t>.</w:t>
            </w:r>
            <w:r w:rsidRPr="008342F0">
              <w:t>0971</w:t>
            </w:r>
          </w:p>
        </w:tc>
        <w:tc>
          <w:tcPr>
            <w:tcW w:w="966" w:type="pct"/>
            <w:tcBorders>
              <w:top w:val="single" w:sz="4" w:space="0" w:color="auto"/>
              <w:bottom w:val="single" w:sz="4" w:space="0" w:color="auto"/>
              <w:right w:val="nil"/>
            </w:tcBorders>
            <w:shd w:val="clear" w:color="auto" w:fill="auto"/>
            <w:vAlign w:val="bottom"/>
          </w:tcPr>
          <w:p w14:paraId="6CAE70A7" w14:textId="77777777" w:rsidR="008342F0" w:rsidRPr="008342F0" w:rsidRDefault="008342F0" w:rsidP="008342F0">
            <w:pPr>
              <w:pStyle w:val="Tabletext"/>
            </w:pPr>
            <w:r w:rsidRPr="008342F0">
              <w:t>0</w:t>
            </w:r>
            <w:r w:rsidR="00D7157D">
              <w:t>.</w:t>
            </w:r>
            <w:r w:rsidRPr="008342F0">
              <w:t>1755</w:t>
            </w:r>
          </w:p>
        </w:tc>
      </w:tr>
      <w:tr w:rsidR="008342F0" w:rsidRPr="008342F0" w14:paraId="3A11813E" w14:textId="77777777" w:rsidTr="00F160E0">
        <w:trPr>
          <w:cantSplit/>
        </w:trPr>
        <w:tc>
          <w:tcPr>
            <w:tcW w:w="1136" w:type="pct"/>
            <w:tcBorders>
              <w:top w:val="single" w:sz="4" w:space="0" w:color="auto"/>
              <w:bottom w:val="single" w:sz="4" w:space="0" w:color="auto"/>
            </w:tcBorders>
          </w:tcPr>
          <w:p w14:paraId="4635ACA0" w14:textId="77777777" w:rsidR="008342F0" w:rsidRPr="00063033" w:rsidRDefault="008342F0" w:rsidP="008342F0">
            <w:pPr>
              <w:pStyle w:val="Tabletext"/>
            </w:pPr>
            <w:r w:rsidRPr="00063033">
              <w:t>75</w:t>
            </w:r>
          </w:p>
        </w:tc>
        <w:tc>
          <w:tcPr>
            <w:tcW w:w="966" w:type="pct"/>
            <w:tcBorders>
              <w:top w:val="single" w:sz="4" w:space="0" w:color="auto"/>
              <w:bottom w:val="single" w:sz="4" w:space="0" w:color="auto"/>
            </w:tcBorders>
            <w:shd w:val="clear" w:color="auto" w:fill="auto"/>
            <w:vAlign w:val="bottom"/>
          </w:tcPr>
          <w:p w14:paraId="142C44E1" w14:textId="77777777" w:rsidR="008342F0" w:rsidRPr="008342F0" w:rsidRDefault="008342F0" w:rsidP="008342F0">
            <w:pPr>
              <w:pStyle w:val="Tabletext"/>
            </w:pPr>
            <w:r w:rsidRPr="008342F0">
              <w:t>8</w:t>
            </w:r>
            <w:r w:rsidR="00D7157D">
              <w:t>.</w:t>
            </w:r>
            <w:r w:rsidRPr="008342F0">
              <w:t>6976</w:t>
            </w:r>
          </w:p>
        </w:tc>
        <w:tc>
          <w:tcPr>
            <w:tcW w:w="966" w:type="pct"/>
            <w:tcBorders>
              <w:top w:val="single" w:sz="4" w:space="0" w:color="auto"/>
              <w:bottom w:val="single" w:sz="4" w:space="0" w:color="auto"/>
            </w:tcBorders>
            <w:shd w:val="clear" w:color="auto" w:fill="auto"/>
            <w:vAlign w:val="bottom"/>
          </w:tcPr>
          <w:p w14:paraId="015B1B8C" w14:textId="77777777" w:rsidR="008342F0" w:rsidRPr="008342F0" w:rsidRDefault="008342F0" w:rsidP="008342F0">
            <w:pPr>
              <w:pStyle w:val="Tabletext"/>
            </w:pPr>
            <w:r w:rsidRPr="008342F0">
              <w:t>0</w:t>
            </w:r>
            <w:r w:rsidR="00D7157D">
              <w:t>.</w:t>
            </w:r>
            <w:r w:rsidRPr="008342F0">
              <w:t>6407</w:t>
            </w:r>
          </w:p>
        </w:tc>
        <w:tc>
          <w:tcPr>
            <w:tcW w:w="966" w:type="pct"/>
            <w:tcBorders>
              <w:top w:val="single" w:sz="4" w:space="0" w:color="auto"/>
              <w:bottom w:val="single" w:sz="4" w:space="0" w:color="auto"/>
            </w:tcBorders>
            <w:shd w:val="clear" w:color="auto" w:fill="auto"/>
            <w:vAlign w:val="bottom"/>
          </w:tcPr>
          <w:p w14:paraId="1F3C78FE" w14:textId="77777777" w:rsidR="008342F0" w:rsidRPr="008342F0" w:rsidRDefault="008342F0" w:rsidP="008342F0">
            <w:pPr>
              <w:pStyle w:val="Tabletext"/>
            </w:pPr>
            <w:r w:rsidRPr="008342F0">
              <w:t>9</w:t>
            </w:r>
            <w:r w:rsidR="00D7157D">
              <w:t>.</w:t>
            </w:r>
            <w:r w:rsidRPr="008342F0">
              <w:t>6635</w:t>
            </w:r>
          </w:p>
        </w:tc>
        <w:tc>
          <w:tcPr>
            <w:tcW w:w="966" w:type="pct"/>
            <w:tcBorders>
              <w:top w:val="single" w:sz="4" w:space="0" w:color="auto"/>
              <w:bottom w:val="single" w:sz="4" w:space="0" w:color="auto"/>
              <w:right w:val="nil"/>
            </w:tcBorders>
            <w:shd w:val="clear" w:color="auto" w:fill="auto"/>
            <w:vAlign w:val="bottom"/>
          </w:tcPr>
          <w:p w14:paraId="6DFA656A" w14:textId="77777777" w:rsidR="008342F0" w:rsidRPr="008342F0" w:rsidRDefault="008342F0" w:rsidP="008342F0">
            <w:pPr>
              <w:pStyle w:val="Tabletext"/>
            </w:pPr>
            <w:r w:rsidRPr="008342F0">
              <w:t>0</w:t>
            </w:r>
            <w:r w:rsidR="00D7157D">
              <w:t>.</w:t>
            </w:r>
            <w:r w:rsidRPr="008342F0">
              <w:t>1735</w:t>
            </w:r>
          </w:p>
        </w:tc>
      </w:tr>
      <w:tr w:rsidR="008342F0" w:rsidRPr="008342F0" w14:paraId="3C811D32" w14:textId="77777777" w:rsidTr="00F160E0">
        <w:trPr>
          <w:cantSplit/>
        </w:trPr>
        <w:tc>
          <w:tcPr>
            <w:tcW w:w="1136" w:type="pct"/>
            <w:tcBorders>
              <w:top w:val="single" w:sz="4" w:space="0" w:color="auto"/>
              <w:bottom w:val="single" w:sz="4" w:space="0" w:color="auto"/>
            </w:tcBorders>
          </w:tcPr>
          <w:p w14:paraId="4C97EEC8" w14:textId="77777777" w:rsidR="008342F0" w:rsidRPr="00063033" w:rsidRDefault="008342F0" w:rsidP="008342F0">
            <w:pPr>
              <w:pStyle w:val="Tabletext"/>
            </w:pPr>
            <w:r w:rsidRPr="00063033">
              <w:t>76</w:t>
            </w:r>
          </w:p>
        </w:tc>
        <w:tc>
          <w:tcPr>
            <w:tcW w:w="966" w:type="pct"/>
            <w:tcBorders>
              <w:top w:val="single" w:sz="4" w:space="0" w:color="auto"/>
              <w:bottom w:val="single" w:sz="4" w:space="0" w:color="auto"/>
            </w:tcBorders>
            <w:shd w:val="clear" w:color="auto" w:fill="auto"/>
            <w:vAlign w:val="bottom"/>
          </w:tcPr>
          <w:p w14:paraId="7BB03E87" w14:textId="77777777" w:rsidR="008342F0" w:rsidRPr="008342F0" w:rsidRDefault="008342F0" w:rsidP="008342F0">
            <w:pPr>
              <w:pStyle w:val="Tabletext"/>
            </w:pPr>
            <w:r w:rsidRPr="008342F0">
              <w:t>8</w:t>
            </w:r>
            <w:r w:rsidR="00D7157D">
              <w:t>.</w:t>
            </w:r>
            <w:r w:rsidRPr="008342F0">
              <w:t>3023</w:t>
            </w:r>
          </w:p>
        </w:tc>
        <w:tc>
          <w:tcPr>
            <w:tcW w:w="966" w:type="pct"/>
            <w:tcBorders>
              <w:top w:val="single" w:sz="4" w:space="0" w:color="auto"/>
              <w:bottom w:val="single" w:sz="4" w:space="0" w:color="auto"/>
            </w:tcBorders>
            <w:shd w:val="clear" w:color="auto" w:fill="auto"/>
            <w:vAlign w:val="bottom"/>
          </w:tcPr>
          <w:p w14:paraId="335BB303" w14:textId="77777777" w:rsidR="008342F0" w:rsidRPr="008342F0" w:rsidRDefault="008342F0" w:rsidP="008342F0">
            <w:pPr>
              <w:pStyle w:val="Tabletext"/>
            </w:pPr>
            <w:r w:rsidRPr="008342F0">
              <w:t>0</w:t>
            </w:r>
            <w:r w:rsidR="00D7157D">
              <w:t>.</w:t>
            </w:r>
            <w:r w:rsidRPr="008342F0">
              <w:t>6343</w:t>
            </w:r>
          </w:p>
        </w:tc>
        <w:tc>
          <w:tcPr>
            <w:tcW w:w="966" w:type="pct"/>
            <w:tcBorders>
              <w:top w:val="single" w:sz="4" w:space="0" w:color="auto"/>
              <w:bottom w:val="single" w:sz="4" w:space="0" w:color="auto"/>
            </w:tcBorders>
            <w:shd w:val="clear" w:color="auto" w:fill="auto"/>
            <w:vAlign w:val="bottom"/>
          </w:tcPr>
          <w:p w14:paraId="5FEF3834" w14:textId="77777777" w:rsidR="008342F0" w:rsidRPr="008342F0" w:rsidRDefault="008342F0" w:rsidP="008342F0">
            <w:pPr>
              <w:pStyle w:val="Tabletext"/>
            </w:pPr>
            <w:r w:rsidRPr="008342F0">
              <w:t>9</w:t>
            </w:r>
            <w:r w:rsidR="00D7157D">
              <w:t>.</w:t>
            </w:r>
            <w:r w:rsidRPr="008342F0">
              <w:t>2291</w:t>
            </w:r>
          </w:p>
        </w:tc>
        <w:tc>
          <w:tcPr>
            <w:tcW w:w="966" w:type="pct"/>
            <w:tcBorders>
              <w:top w:val="single" w:sz="4" w:space="0" w:color="auto"/>
              <w:bottom w:val="single" w:sz="4" w:space="0" w:color="auto"/>
              <w:right w:val="nil"/>
            </w:tcBorders>
            <w:shd w:val="clear" w:color="auto" w:fill="auto"/>
            <w:vAlign w:val="bottom"/>
          </w:tcPr>
          <w:p w14:paraId="774C12FB" w14:textId="77777777" w:rsidR="008342F0" w:rsidRPr="008342F0" w:rsidRDefault="008342F0" w:rsidP="008342F0">
            <w:pPr>
              <w:pStyle w:val="Tabletext"/>
            </w:pPr>
            <w:r w:rsidRPr="008342F0">
              <w:t>0</w:t>
            </w:r>
            <w:r w:rsidR="00D7157D">
              <w:t>.</w:t>
            </w:r>
            <w:r w:rsidRPr="008342F0">
              <w:t>1713</w:t>
            </w:r>
          </w:p>
        </w:tc>
      </w:tr>
      <w:tr w:rsidR="008342F0" w:rsidRPr="008342F0" w14:paraId="3285E8B5" w14:textId="77777777" w:rsidTr="00F160E0">
        <w:trPr>
          <w:cantSplit/>
        </w:trPr>
        <w:tc>
          <w:tcPr>
            <w:tcW w:w="1136" w:type="pct"/>
            <w:tcBorders>
              <w:top w:val="single" w:sz="4" w:space="0" w:color="auto"/>
              <w:bottom w:val="single" w:sz="4" w:space="0" w:color="auto"/>
            </w:tcBorders>
          </w:tcPr>
          <w:p w14:paraId="4049E44D" w14:textId="77777777" w:rsidR="008342F0" w:rsidRPr="00063033" w:rsidRDefault="008342F0" w:rsidP="008342F0">
            <w:pPr>
              <w:pStyle w:val="Tabletext"/>
            </w:pPr>
            <w:r w:rsidRPr="00063033">
              <w:t>77</w:t>
            </w:r>
          </w:p>
        </w:tc>
        <w:tc>
          <w:tcPr>
            <w:tcW w:w="966" w:type="pct"/>
            <w:tcBorders>
              <w:top w:val="single" w:sz="4" w:space="0" w:color="auto"/>
              <w:bottom w:val="single" w:sz="4" w:space="0" w:color="auto"/>
            </w:tcBorders>
            <w:shd w:val="clear" w:color="auto" w:fill="auto"/>
            <w:vAlign w:val="bottom"/>
          </w:tcPr>
          <w:p w14:paraId="6DC82F58" w14:textId="77777777" w:rsidR="008342F0" w:rsidRPr="008342F0" w:rsidRDefault="008342F0" w:rsidP="008342F0">
            <w:pPr>
              <w:pStyle w:val="Tabletext"/>
            </w:pPr>
            <w:r w:rsidRPr="008342F0">
              <w:t>7</w:t>
            </w:r>
            <w:r w:rsidR="00D7157D">
              <w:t>.</w:t>
            </w:r>
            <w:r w:rsidRPr="008342F0">
              <w:t>9084</w:t>
            </w:r>
          </w:p>
        </w:tc>
        <w:tc>
          <w:tcPr>
            <w:tcW w:w="966" w:type="pct"/>
            <w:tcBorders>
              <w:top w:val="single" w:sz="4" w:space="0" w:color="auto"/>
              <w:bottom w:val="single" w:sz="4" w:space="0" w:color="auto"/>
            </w:tcBorders>
            <w:shd w:val="clear" w:color="auto" w:fill="auto"/>
            <w:vAlign w:val="bottom"/>
          </w:tcPr>
          <w:p w14:paraId="33CD26D9" w14:textId="77777777" w:rsidR="008342F0" w:rsidRPr="008342F0" w:rsidRDefault="008342F0" w:rsidP="008342F0">
            <w:pPr>
              <w:pStyle w:val="Tabletext"/>
            </w:pPr>
            <w:r w:rsidRPr="008342F0">
              <w:t>0</w:t>
            </w:r>
            <w:r w:rsidR="00D7157D">
              <w:t>.</w:t>
            </w:r>
            <w:r w:rsidRPr="008342F0">
              <w:t>6269</w:t>
            </w:r>
          </w:p>
        </w:tc>
        <w:tc>
          <w:tcPr>
            <w:tcW w:w="966" w:type="pct"/>
            <w:tcBorders>
              <w:top w:val="single" w:sz="4" w:space="0" w:color="auto"/>
              <w:bottom w:val="single" w:sz="4" w:space="0" w:color="auto"/>
            </w:tcBorders>
            <w:shd w:val="clear" w:color="auto" w:fill="auto"/>
            <w:vAlign w:val="bottom"/>
          </w:tcPr>
          <w:p w14:paraId="6058319D" w14:textId="77777777" w:rsidR="008342F0" w:rsidRPr="008342F0" w:rsidRDefault="008342F0" w:rsidP="008342F0">
            <w:pPr>
              <w:pStyle w:val="Tabletext"/>
            </w:pPr>
            <w:r w:rsidRPr="008342F0">
              <w:t>8</w:t>
            </w:r>
            <w:r w:rsidR="00D7157D">
              <w:t>.</w:t>
            </w:r>
            <w:r w:rsidRPr="008342F0">
              <w:t>7952</w:t>
            </w:r>
          </w:p>
        </w:tc>
        <w:tc>
          <w:tcPr>
            <w:tcW w:w="966" w:type="pct"/>
            <w:tcBorders>
              <w:top w:val="single" w:sz="4" w:space="0" w:color="auto"/>
              <w:bottom w:val="single" w:sz="4" w:space="0" w:color="auto"/>
              <w:right w:val="nil"/>
            </w:tcBorders>
            <w:shd w:val="clear" w:color="auto" w:fill="auto"/>
            <w:vAlign w:val="bottom"/>
          </w:tcPr>
          <w:p w14:paraId="32744B9F" w14:textId="77777777" w:rsidR="008342F0" w:rsidRPr="008342F0" w:rsidRDefault="008342F0" w:rsidP="008342F0">
            <w:pPr>
              <w:pStyle w:val="Tabletext"/>
            </w:pPr>
            <w:r w:rsidRPr="008342F0">
              <w:t>0</w:t>
            </w:r>
            <w:r w:rsidR="00D7157D">
              <w:t>.</w:t>
            </w:r>
            <w:r w:rsidRPr="008342F0">
              <w:t>1689</w:t>
            </w:r>
          </w:p>
        </w:tc>
      </w:tr>
      <w:tr w:rsidR="008342F0" w:rsidRPr="008342F0" w14:paraId="1261858C" w14:textId="77777777" w:rsidTr="00F160E0">
        <w:trPr>
          <w:cantSplit/>
        </w:trPr>
        <w:tc>
          <w:tcPr>
            <w:tcW w:w="1136" w:type="pct"/>
            <w:tcBorders>
              <w:top w:val="single" w:sz="4" w:space="0" w:color="auto"/>
              <w:bottom w:val="single" w:sz="4" w:space="0" w:color="auto"/>
            </w:tcBorders>
          </w:tcPr>
          <w:p w14:paraId="563D2857" w14:textId="77777777" w:rsidR="008342F0" w:rsidRPr="00063033" w:rsidRDefault="008342F0" w:rsidP="008342F0">
            <w:pPr>
              <w:pStyle w:val="Tabletext"/>
            </w:pPr>
            <w:r w:rsidRPr="00063033">
              <w:t>78</w:t>
            </w:r>
          </w:p>
        </w:tc>
        <w:tc>
          <w:tcPr>
            <w:tcW w:w="966" w:type="pct"/>
            <w:tcBorders>
              <w:top w:val="single" w:sz="4" w:space="0" w:color="auto"/>
              <w:bottom w:val="single" w:sz="4" w:space="0" w:color="auto"/>
            </w:tcBorders>
            <w:shd w:val="clear" w:color="auto" w:fill="auto"/>
            <w:vAlign w:val="bottom"/>
          </w:tcPr>
          <w:p w14:paraId="0341817A" w14:textId="77777777" w:rsidR="008342F0" w:rsidRPr="008342F0" w:rsidRDefault="008342F0" w:rsidP="008342F0">
            <w:pPr>
              <w:pStyle w:val="Tabletext"/>
            </w:pPr>
            <w:r w:rsidRPr="008342F0">
              <w:t>7</w:t>
            </w:r>
            <w:r w:rsidR="00D7157D">
              <w:t>.</w:t>
            </w:r>
            <w:r w:rsidRPr="008342F0">
              <w:t>5171</w:t>
            </w:r>
          </w:p>
        </w:tc>
        <w:tc>
          <w:tcPr>
            <w:tcW w:w="966" w:type="pct"/>
            <w:tcBorders>
              <w:top w:val="single" w:sz="4" w:space="0" w:color="auto"/>
              <w:bottom w:val="single" w:sz="4" w:space="0" w:color="auto"/>
            </w:tcBorders>
            <w:shd w:val="clear" w:color="auto" w:fill="auto"/>
            <w:vAlign w:val="bottom"/>
          </w:tcPr>
          <w:p w14:paraId="0310E011" w14:textId="77777777" w:rsidR="008342F0" w:rsidRPr="008342F0" w:rsidRDefault="008342F0" w:rsidP="008342F0">
            <w:pPr>
              <w:pStyle w:val="Tabletext"/>
            </w:pPr>
            <w:r w:rsidRPr="008342F0">
              <w:t>0</w:t>
            </w:r>
            <w:r w:rsidR="00D7157D">
              <w:t>.</w:t>
            </w:r>
            <w:r w:rsidRPr="008342F0">
              <w:t>6183</w:t>
            </w:r>
          </w:p>
        </w:tc>
        <w:tc>
          <w:tcPr>
            <w:tcW w:w="966" w:type="pct"/>
            <w:tcBorders>
              <w:top w:val="single" w:sz="4" w:space="0" w:color="auto"/>
              <w:bottom w:val="single" w:sz="4" w:space="0" w:color="auto"/>
            </w:tcBorders>
            <w:shd w:val="clear" w:color="auto" w:fill="auto"/>
            <w:vAlign w:val="bottom"/>
          </w:tcPr>
          <w:p w14:paraId="3970AF3D" w14:textId="77777777" w:rsidR="008342F0" w:rsidRPr="008342F0" w:rsidRDefault="008342F0" w:rsidP="008342F0">
            <w:pPr>
              <w:pStyle w:val="Tabletext"/>
            </w:pPr>
            <w:r w:rsidRPr="008342F0">
              <w:t>8</w:t>
            </w:r>
            <w:r w:rsidR="00D7157D">
              <w:t>.</w:t>
            </w:r>
            <w:r w:rsidRPr="008342F0">
              <w:t>3624</w:t>
            </w:r>
          </w:p>
        </w:tc>
        <w:tc>
          <w:tcPr>
            <w:tcW w:w="966" w:type="pct"/>
            <w:tcBorders>
              <w:top w:val="single" w:sz="4" w:space="0" w:color="auto"/>
              <w:bottom w:val="single" w:sz="4" w:space="0" w:color="auto"/>
              <w:right w:val="nil"/>
            </w:tcBorders>
            <w:shd w:val="clear" w:color="auto" w:fill="auto"/>
            <w:vAlign w:val="bottom"/>
          </w:tcPr>
          <w:p w14:paraId="32FF9770" w14:textId="77777777" w:rsidR="008342F0" w:rsidRPr="008342F0" w:rsidRDefault="008342F0" w:rsidP="008342F0">
            <w:pPr>
              <w:pStyle w:val="Tabletext"/>
            </w:pPr>
            <w:r w:rsidRPr="008342F0">
              <w:t>0</w:t>
            </w:r>
            <w:r w:rsidR="00D7157D">
              <w:t>.</w:t>
            </w:r>
            <w:r w:rsidRPr="008342F0">
              <w:t>1662</w:t>
            </w:r>
          </w:p>
        </w:tc>
      </w:tr>
      <w:tr w:rsidR="008342F0" w:rsidRPr="008342F0" w14:paraId="6A254AF4" w14:textId="77777777" w:rsidTr="00F160E0">
        <w:trPr>
          <w:cantSplit/>
        </w:trPr>
        <w:tc>
          <w:tcPr>
            <w:tcW w:w="1136" w:type="pct"/>
            <w:tcBorders>
              <w:top w:val="single" w:sz="4" w:space="0" w:color="auto"/>
              <w:bottom w:val="single" w:sz="4" w:space="0" w:color="auto"/>
            </w:tcBorders>
          </w:tcPr>
          <w:p w14:paraId="424D07E1" w14:textId="77777777" w:rsidR="008342F0" w:rsidRPr="00063033" w:rsidRDefault="008342F0" w:rsidP="008342F0">
            <w:pPr>
              <w:pStyle w:val="Tabletext"/>
            </w:pPr>
            <w:r w:rsidRPr="00063033">
              <w:t>79</w:t>
            </w:r>
          </w:p>
        </w:tc>
        <w:tc>
          <w:tcPr>
            <w:tcW w:w="966" w:type="pct"/>
            <w:tcBorders>
              <w:top w:val="single" w:sz="4" w:space="0" w:color="auto"/>
              <w:bottom w:val="single" w:sz="4" w:space="0" w:color="auto"/>
            </w:tcBorders>
            <w:shd w:val="clear" w:color="auto" w:fill="auto"/>
            <w:vAlign w:val="bottom"/>
          </w:tcPr>
          <w:p w14:paraId="2034092C" w14:textId="77777777" w:rsidR="008342F0" w:rsidRPr="008342F0" w:rsidRDefault="008342F0" w:rsidP="008342F0">
            <w:pPr>
              <w:pStyle w:val="Tabletext"/>
            </w:pPr>
            <w:r w:rsidRPr="008342F0">
              <w:t>7</w:t>
            </w:r>
            <w:r w:rsidR="00D7157D">
              <w:t>.</w:t>
            </w:r>
            <w:r w:rsidRPr="008342F0">
              <w:t>1297</w:t>
            </w:r>
          </w:p>
        </w:tc>
        <w:tc>
          <w:tcPr>
            <w:tcW w:w="966" w:type="pct"/>
            <w:tcBorders>
              <w:top w:val="single" w:sz="4" w:space="0" w:color="auto"/>
              <w:bottom w:val="single" w:sz="4" w:space="0" w:color="auto"/>
            </w:tcBorders>
            <w:shd w:val="clear" w:color="auto" w:fill="auto"/>
            <w:vAlign w:val="bottom"/>
          </w:tcPr>
          <w:p w14:paraId="0750ACF0" w14:textId="77777777" w:rsidR="008342F0" w:rsidRPr="008342F0" w:rsidRDefault="008342F0" w:rsidP="008342F0">
            <w:pPr>
              <w:pStyle w:val="Tabletext"/>
            </w:pPr>
            <w:r w:rsidRPr="008342F0">
              <w:t>0</w:t>
            </w:r>
            <w:r w:rsidR="00D7157D">
              <w:t>.</w:t>
            </w:r>
            <w:r w:rsidRPr="008342F0">
              <w:t>6086</w:t>
            </w:r>
          </w:p>
        </w:tc>
        <w:tc>
          <w:tcPr>
            <w:tcW w:w="966" w:type="pct"/>
            <w:tcBorders>
              <w:top w:val="single" w:sz="4" w:space="0" w:color="auto"/>
              <w:bottom w:val="single" w:sz="4" w:space="0" w:color="auto"/>
            </w:tcBorders>
            <w:shd w:val="clear" w:color="auto" w:fill="auto"/>
            <w:vAlign w:val="bottom"/>
          </w:tcPr>
          <w:p w14:paraId="3D071F65" w14:textId="77777777" w:rsidR="008342F0" w:rsidRPr="008342F0" w:rsidRDefault="008342F0" w:rsidP="008342F0">
            <w:pPr>
              <w:pStyle w:val="Tabletext"/>
            </w:pPr>
            <w:r w:rsidRPr="008342F0">
              <w:t>7</w:t>
            </w:r>
            <w:r w:rsidR="00D7157D">
              <w:t>.</w:t>
            </w:r>
            <w:r w:rsidRPr="008342F0">
              <w:t>9334</w:t>
            </w:r>
          </w:p>
        </w:tc>
        <w:tc>
          <w:tcPr>
            <w:tcW w:w="966" w:type="pct"/>
            <w:tcBorders>
              <w:top w:val="single" w:sz="4" w:space="0" w:color="auto"/>
              <w:bottom w:val="single" w:sz="4" w:space="0" w:color="auto"/>
              <w:right w:val="nil"/>
            </w:tcBorders>
            <w:shd w:val="clear" w:color="auto" w:fill="auto"/>
            <w:vAlign w:val="bottom"/>
          </w:tcPr>
          <w:p w14:paraId="554C45F9" w14:textId="77777777" w:rsidR="008342F0" w:rsidRPr="008342F0" w:rsidRDefault="008342F0" w:rsidP="008342F0">
            <w:pPr>
              <w:pStyle w:val="Tabletext"/>
            </w:pPr>
            <w:r w:rsidRPr="008342F0">
              <w:t>0</w:t>
            </w:r>
            <w:r w:rsidR="00D7157D">
              <w:t>.</w:t>
            </w:r>
            <w:r w:rsidRPr="008342F0">
              <w:t>1633</w:t>
            </w:r>
          </w:p>
        </w:tc>
      </w:tr>
      <w:tr w:rsidR="008342F0" w:rsidRPr="008342F0" w14:paraId="1256DCD8" w14:textId="77777777" w:rsidTr="00F160E0">
        <w:trPr>
          <w:cantSplit/>
        </w:trPr>
        <w:tc>
          <w:tcPr>
            <w:tcW w:w="1136" w:type="pct"/>
            <w:tcBorders>
              <w:top w:val="single" w:sz="4" w:space="0" w:color="auto"/>
              <w:bottom w:val="single" w:sz="4" w:space="0" w:color="auto"/>
            </w:tcBorders>
          </w:tcPr>
          <w:p w14:paraId="33B96941" w14:textId="77777777" w:rsidR="008342F0" w:rsidRPr="00063033" w:rsidRDefault="008342F0" w:rsidP="008342F0">
            <w:pPr>
              <w:pStyle w:val="Tabletext"/>
            </w:pPr>
            <w:r w:rsidRPr="00063033">
              <w:t>80</w:t>
            </w:r>
          </w:p>
        </w:tc>
        <w:tc>
          <w:tcPr>
            <w:tcW w:w="966" w:type="pct"/>
            <w:tcBorders>
              <w:top w:val="single" w:sz="4" w:space="0" w:color="auto"/>
              <w:bottom w:val="single" w:sz="4" w:space="0" w:color="auto"/>
            </w:tcBorders>
            <w:shd w:val="clear" w:color="auto" w:fill="auto"/>
            <w:vAlign w:val="bottom"/>
          </w:tcPr>
          <w:p w14:paraId="6B07AAB1" w14:textId="77777777" w:rsidR="008342F0" w:rsidRPr="008342F0" w:rsidRDefault="008342F0" w:rsidP="008342F0">
            <w:pPr>
              <w:pStyle w:val="Tabletext"/>
            </w:pPr>
            <w:r w:rsidRPr="008342F0">
              <w:t>6</w:t>
            </w:r>
            <w:r w:rsidR="00D7157D">
              <w:t>.</w:t>
            </w:r>
            <w:r w:rsidRPr="008342F0">
              <w:t>7476</w:t>
            </w:r>
          </w:p>
        </w:tc>
        <w:tc>
          <w:tcPr>
            <w:tcW w:w="966" w:type="pct"/>
            <w:tcBorders>
              <w:top w:val="single" w:sz="4" w:space="0" w:color="auto"/>
              <w:bottom w:val="single" w:sz="4" w:space="0" w:color="auto"/>
            </w:tcBorders>
            <w:shd w:val="clear" w:color="auto" w:fill="auto"/>
            <w:vAlign w:val="bottom"/>
          </w:tcPr>
          <w:p w14:paraId="202C3E77" w14:textId="77777777" w:rsidR="008342F0" w:rsidRPr="008342F0" w:rsidRDefault="008342F0" w:rsidP="008342F0">
            <w:pPr>
              <w:pStyle w:val="Tabletext"/>
            </w:pPr>
            <w:r w:rsidRPr="008342F0">
              <w:t>0</w:t>
            </w:r>
            <w:r w:rsidR="00D7157D">
              <w:t>.</w:t>
            </w:r>
            <w:r w:rsidRPr="008342F0">
              <w:t>5977</w:t>
            </w:r>
          </w:p>
        </w:tc>
        <w:tc>
          <w:tcPr>
            <w:tcW w:w="966" w:type="pct"/>
            <w:tcBorders>
              <w:top w:val="single" w:sz="4" w:space="0" w:color="auto"/>
              <w:bottom w:val="single" w:sz="4" w:space="0" w:color="auto"/>
            </w:tcBorders>
            <w:shd w:val="clear" w:color="auto" w:fill="auto"/>
            <w:vAlign w:val="bottom"/>
          </w:tcPr>
          <w:p w14:paraId="5C651FF0" w14:textId="77777777" w:rsidR="008342F0" w:rsidRPr="008342F0" w:rsidRDefault="008342F0" w:rsidP="008342F0">
            <w:pPr>
              <w:pStyle w:val="Tabletext"/>
            </w:pPr>
            <w:r w:rsidRPr="008342F0">
              <w:t>7</w:t>
            </w:r>
            <w:r w:rsidR="00D7157D">
              <w:t>.</w:t>
            </w:r>
            <w:r w:rsidRPr="008342F0">
              <w:t>5085</w:t>
            </w:r>
          </w:p>
        </w:tc>
        <w:tc>
          <w:tcPr>
            <w:tcW w:w="966" w:type="pct"/>
            <w:tcBorders>
              <w:top w:val="single" w:sz="4" w:space="0" w:color="auto"/>
              <w:bottom w:val="single" w:sz="4" w:space="0" w:color="auto"/>
              <w:right w:val="nil"/>
            </w:tcBorders>
            <w:shd w:val="clear" w:color="auto" w:fill="auto"/>
            <w:vAlign w:val="bottom"/>
          </w:tcPr>
          <w:p w14:paraId="2E8729AF" w14:textId="77777777" w:rsidR="008342F0" w:rsidRPr="008342F0" w:rsidRDefault="008342F0" w:rsidP="008342F0">
            <w:pPr>
              <w:pStyle w:val="Tabletext"/>
            </w:pPr>
            <w:r w:rsidRPr="008342F0">
              <w:t>0</w:t>
            </w:r>
            <w:r w:rsidR="00D7157D">
              <w:t>.</w:t>
            </w:r>
            <w:r w:rsidRPr="008342F0">
              <w:t>1601</w:t>
            </w:r>
          </w:p>
        </w:tc>
      </w:tr>
      <w:tr w:rsidR="008342F0" w:rsidRPr="008342F0" w14:paraId="396531C2" w14:textId="77777777" w:rsidTr="00F160E0">
        <w:trPr>
          <w:cantSplit/>
        </w:trPr>
        <w:tc>
          <w:tcPr>
            <w:tcW w:w="1136" w:type="pct"/>
            <w:tcBorders>
              <w:top w:val="single" w:sz="4" w:space="0" w:color="auto"/>
              <w:bottom w:val="single" w:sz="4" w:space="0" w:color="auto"/>
            </w:tcBorders>
          </w:tcPr>
          <w:p w14:paraId="2962FBC6" w14:textId="77777777" w:rsidR="008342F0" w:rsidRPr="00063033" w:rsidRDefault="008342F0" w:rsidP="008342F0">
            <w:pPr>
              <w:pStyle w:val="Tabletext"/>
            </w:pPr>
            <w:r w:rsidRPr="00063033">
              <w:t>81</w:t>
            </w:r>
          </w:p>
        </w:tc>
        <w:tc>
          <w:tcPr>
            <w:tcW w:w="966" w:type="pct"/>
            <w:tcBorders>
              <w:top w:val="single" w:sz="4" w:space="0" w:color="auto"/>
              <w:bottom w:val="single" w:sz="4" w:space="0" w:color="auto"/>
            </w:tcBorders>
            <w:shd w:val="clear" w:color="auto" w:fill="auto"/>
            <w:vAlign w:val="bottom"/>
          </w:tcPr>
          <w:p w14:paraId="5561A256" w14:textId="77777777" w:rsidR="008342F0" w:rsidRPr="008342F0" w:rsidRDefault="008342F0" w:rsidP="008342F0">
            <w:pPr>
              <w:pStyle w:val="Tabletext"/>
            </w:pPr>
            <w:r w:rsidRPr="008342F0">
              <w:t>6</w:t>
            </w:r>
            <w:r w:rsidR="00D7157D">
              <w:t>.</w:t>
            </w:r>
            <w:r w:rsidRPr="008342F0">
              <w:t>3722</w:t>
            </w:r>
          </w:p>
        </w:tc>
        <w:tc>
          <w:tcPr>
            <w:tcW w:w="966" w:type="pct"/>
            <w:tcBorders>
              <w:top w:val="single" w:sz="4" w:space="0" w:color="auto"/>
              <w:bottom w:val="single" w:sz="4" w:space="0" w:color="auto"/>
            </w:tcBorders>
            <w:shd w:val="clear" w:color="auto" w:fill="auto"/>
            <w:vAlign w:val="bottom"/>
          </w:tcPr>
          <w:p w14:paraId="1D9D9B0E" w14:textId="77777777" w:rsidR="008342F0" w:rsidRPr="008342F0" w:rsidRDefault="008342F0" w:rsidP="008342F0">
            <w:pPr>
              <w:pStyle w:val="Tabletext"/>
            </w:pPr>
            <w:r w:rsidRPr="008342F0">
              <w:t>0</w:t>
            </w:r>
            <w:r w:rsidR="00D7157D">
              <w:t>.</w:t>
            </w:r>
            <w:r w:rsidRPr="008342F0">
              <w:t>5857</w:t>
            </w:r>
          </w:p>
        </w:tc>
        <w:tc>
          <w:tcPr>
            <w:tcW w:w="966" w:type="pct"/>
            <w:tcBorders>
              <w:top w:val="single" w:sz="4" w:space="0" w:color="auto"/>
              <w:bottom w:val="single" w:sz="4" w:space="0" w:color="auto"/>
            </w:tcBorders>
            <w:shd w:val="clear" w:color="auto" w:fill="auto"/>
            <w:vAlign w:val="bottom"/>
          </w:tcPr>
          <w:p w14:paraId="42522B72" w14:textId="77777777" w:rsidR="008342F0" w:rsidRPr="008342F0" w:rsidRDefault="008342F0" w:rsidP="008342F0">
            <w:pPr>
              <w:pStyle w:val="Tabletext"/>
            </w:pPr>
            <w:r w:rsidRPr="008342F0">
              <w:t>7</w:t>
            </w:r>
            <w:r w:rsidR="00D7157D">
              <w:t>.</w:t>
            </w:r>
            <w:r w:rsidRPr="008342F0">
              <w:t>0910</w:t>
            </w:r>
          </w:p>
        </w:tc>
        <w:tc>
          <w:tcPr>
            <w:tcW w:w="966" w:type="pct"/>
            <w:tcBorders>
              <w:top w:val="single" w:sz="4" w:space="0" w:color="auto"/>
              <w:bottom w:val="single" w:sz="4" w:space="0" w:color="auto"/>
              <w:right w:val="nil"/>
            </w:tcBorders>
            <w:shd w:val="clear" w:color="auto" w:fill="auto"/>
            <w:vAlign w:val="bottom"/>
          </w:tcPr>
          <w:p w14:paraId="65599991" w14:textId="77777777" w:rsidR="008342F0" w:rsidRPr="008342F0" w:rsidRDefault="008342F0" w:rsidP="008342F0">
            <w:pPr>
              <w:pStyle w:val="Tabletext"/>
            </w:pPr>
            <w:r w:rsidRPr="008342F0">
              <w:t>0</w:t>
            </w:r>
            <w:r w:rsidR="00D7157D">
              <w:t>.</w:t>
            </w:r>
            <w:r w:rsidRPr="008342F0">
              <w:t>1567</w:t>
            </w:r>
          </w:p>
        </w:tc>
      </w:tr>
      <w:tr w:rsidR="008342F0" w:rsidRPr="008342F0" w14:paraId="203A3755" w14:textId="77777777" w:rsidTr="00F160E0">
        <w:trPr>
          <w:cantSplit/>
        </w:trPr>
        <w:tc>
          <w:tcPr>
            <w:tcW w:w="1136" w:type="pct"/>
            <w:tcBorders>
              <w:top w:val="single" w:sz="4" w:space="0" w:color="auto"/>
              <w:bottom w:val="single" w:sz="4" w:space="0" w:color="auto"/>
            </w:tcBorders>
          </w:tcPr>
          <w:p w14:paraId="7A32B065" w14:textId="77777777" w:rsidR="008342F0" w:rsidRPr="00063033" w:rsidRDefault="008342F0" w:rsidP="008342F0">
            <w:pPr>
              <w:pStyle w:val="Tabletext"/>
            </w:pPr>
            <w:r w:rsidRPr="00063033">
              <w:t>82</w:t>
            </w:r>
          </w:p>
        </w:tc>
        <w:tc>
          <w:tcPr>
            <w:tcW w:w="966" w:type="pct"/>
            <w:tcBorders>
              <w:top w:val="single" w:sz="4" w:space="0" w:color="auto"/>
              <w:bottom w:val="single" w:sz="4" w:space="0" w:color="auto"/>
            </w:tcBorders>
            <w:shd w:val="clear" w:color="auto" w:fill="auto"/>
            <w:vAlign w:val="bottom"/>
          </w:tcPr>
          <w:p w14:paraId="05A6197E" w14:textId="77777777" w:rsidR="008342F0" w:rsidRPr="008342F0" w:rsidRDefault="008342F0" w:rsidP="008342F0">
            <w:pPr>
              <w:pStyle w:val="Tabletext"/>
            </w:pPr>
            <w:r w:rsidRPr="008342F0">
              <w:t>6</w:t>
            </w:r>
            <w:r w:rsidR="00D7157D">
              <w:t>.</w:t>
            </w:r>
            <w:r w:rsidRPr="008342F0">
              <w:t>0092</w:t>
            </w:r>
          </w:p>
        </w:tc>
        <w:tc>
          <w:tcPr>
            <w:tcW w:w="966" w:type="pct"/>
            <w:tcBorders>
              <w:top w:val="single" w:sz="4" w:space="0" w:color="auto"/>
              <w:bottom w:val="single" w:sz="4" w:space="0" w:color="auto"/>
            </w:tcBorders>
            <w:shd w:val="clear" w:color="auto" w:fill="auto"/>
            <w:vAlign w:val="bottom"/>
          </w:tcPr>
          <w:p w14:paraId="502CA18F" w14:textId="77777777" w:rsidR="008342F0" w:rsidRPr="008342F0" w:rsidRDefault="008342F0" w:rsidP="008342F0">
            <w:pPr>
              <w:pStyle w:val="Tabletext"/>
            </w:pPr>
            <w:r w:rsidRPr="008342F0">
              <w:t>0</w:t>
            </w:r>
            <w:r w:rsidR="00D7157D">
              <w:t>.</w:t>
            </w:r>
            <w:r w:rsidRPr="008342F0">
              <w:t>5722</w:t>
            </w:r>
          </w:p>
        </w:tc>
        <w:tc>
          <w:tcPr>
            <w:tcW w:w="966" w:type="pct"/>
            <w:tcBorders>
              <w:top w:val="single" w:sz="4" w:space="0" w:color="auto"/>
              <w:bottom w:val="single" w:sz="4" w:space="0" w:color="auto"/>
            </w:tcBorders>
            <w:shd w:val="clear" w:color="auto" w:fill="auto"/>
            <w:vAlign w:val="bottom"/>
          </w:tcPr>
          <w:p w14:paraId="5B3EB9EC" w14:textId="77777777" w:rsidR="008342F0" w:rsidRPr="008342F0" w:rsidRDefault="008342F0" w:rsidP="008342F0">
            <w:pPr>
              <w:pStyle w:val="Tabletext"/>
            </w:pPr>
            <w:r w:rsidRPr="008342F0">
              <w:t>6</w:t>
            </w:r>
            <w:r w:rsidR="00D7157D">
              <w:t>.</w:t>
            </w:r>
            <w:r w:rsidRPr="008342F0">
              <w:t>6817</w:t>
            </w:r>
          </w:p>
        </w:tc>
        <w:tc>
          <w:tcPr>
            <w:tcW w:w="966" w:type="pct"/>
            <w:tcBorders>
              <w:top w:val="single" w:sz="4" w:space="0" w:color="auto"/>
              <w:bottom w:val="single" w:sz="4" w:space="0" w:color="auto"/>
              <w:right w:val="nil"/>
            </w:tcBorders>
            <w:shd w:val="clear" w:color="auto" w:fill="auto"/>
            <w:vAlign w:val="bottom"/>
          </w:tcPr>
          <w:p w14:paraId="106F7DCF" w14:textId="77777777" w:rsidR="008342F0" w:rsidRPr="008342F0" w:rsidRDefault="008342F0" w:rsidP="008342F0">
            <w:pPr>
              <w:pStyle w:val="Tabletext"/>
            </w:pPr>
            <w:r w:rsidRPr="008342F0">
              <w:t>0</w:t>
            </w:r>
            <w:r w:rsidR="00D7157D">
              <w:t>.</w:t>
            </w:r>
            <w:r w:rsidRPr="008342F0">
              <w:t>1531</w:t>
            </w:r>
          </w:p>
        </w:tc>
      </w:tr>
      <w:tr w:rsidR="008342F0" w:rsidRPr="008342F0" w14:paraId="60C92EEC" w14:textId="77777777" w:rsidTr="00F160E0">
        <w:trPr>
          <w:cantSplit/>
        </w:trPr>
        <w:tc>
          <w:tcPr>
            <w:tcW w:w="1136" w:type="pct"/>
            <w:tcBorders>
              <w:top w:val="single" w:sz="4" w:space="0" w:color="auto"/>
              <w:bottom w:val="single" w:sz="4" w:space="0" w:color="auto"/>
            </w:tcBorders>
          </w:tcPr>
          <w:p w14:paraId="74697624" w14:textId="77777777" w:rsidR="008342F0" w:rsidRPr="00063033" w:rsidRDefault="008342F0" w:rsidP="008342F0">
            <w:pPr>
              <w:pStyle w:val="Tabletext"/>
            </w:pPr>
            <w:r w:rsidRPr="00063033">
              <w:t>83</w:t>
            </w:r>
          </w:p>
        </w:tc>
        <w:tc>
          <w:tcPr>
            <w:tcW w:w="966" w:type="pct"/>
            <w:tcBorders>
              <w:top w:val="single" w:sz="4" w:space="0" w:color="auto"/>
              <w:bottom w:val="single" w:sz="4" w:space="0" w:color="auto"/>
            </w:tcBorders>
            <w:shd w:val="clear" w:color="auto" w:fill="auto"/>
            <w:vAlign w:val="bottom"/>
          </w:tcPr>
          <w:p w14:paraId="0CE6411C" w14:textId="77777777" w:rsidR="008342F0" w:rsidRPr="008342F0" w:rsidRDefault="008342F0" w:rsidP="008342F0">
            <w:pPr>
              <w:pStyle w:val="Tabletext"/>
            </w:pPr>
            <w:r w:rsidRPr="008342F0">
              <w:t>5</w:t>
            </w:r>
            <w:r w:rsidR="00D7157D">
              <w:t>.</w:t>
            </w:r>
            <w:r w:rsidRPr="008342F0">
              <w:t>6607</w:t>
            </w:r>
          </w:p>
        </w:tc>
        <w:tc>
          <w:tcPr>
            <w:tcW w:w="966" w:type="pct"/>
            <w:tcBorders>
              <w:top w:val="single" w:sz="4" w:space="0" w:color="auto"/>
              <w:bottom w:val="single" w:sz="4" w:space="0" w:color="auto"/>
            </w:tcBorders>
            <w:shd w:val="clear" w:color="auto" w:fill="auto"/>
            <w:vAlign w:val="bottom"/>
          </w:tcPr>
          <w:p w14:paraId="785C96BA" w14:textId="77777777" w:rsidR="008342F0" w:rsidRPr="008342F0" w:rsidRDefault="008342F0" w:rsidP="008342F0">
            <w:pPr>
              <w:pStyle w:val="Tabletext"/>
            </w:pPr>
            <w:r w:rsidRPr="008342F0">
              <w:t>0</w:t>
            </w:r>
            <w:r w:rsidR="00D7157D">
              <w:t>.</w:t>
            </w:r>
            <w:r w:rsidRPr="008342F0">
              <w:t>5573</w:t>
            </w:r>
          </w:p>
        </w:tc>
        <w:tc>
          <w:tcPr>
            <w:tcW w:w="966" w:type="pct"/>
            <w:tcBorders>
              <w:top w:val="single" w:sz="4" w:space="0" w:color="auto"/>
              <w:bottom w:val="single" w:sz="4" w:space="0" w:color="auto"/>
            </w:tcBorders>
            <w:shd w:val="clear" w:color="auto" w:fill="auto"/>
            <w:vAlign w:val="bottom"/>
          </w:tcPr>
          <w:p w14:paraId="130F4952" w14:textId="77777777" w:rsidR="008342F0" w:rsidRPr="008342F0" w:rsidRDefault="008342F0" w:rsidP="008342F0">
            <w:pPr>
              <w:pStyle w:val="Tabletext"/>
            </w:pPr>
            <w:r w:rsidRPr="008342F0">
              <w:t>6</w:t>
            </w:r>
            <w:r w:rsidR="00D7157D">
              <w:t>.</w:t>
            </w:r>
            <w:r w:rsidRPr="008342F0">
              <w:t>2825</w:t>
            </w:r>
          </w:p>
        </w:tc>
        <w:tc>
          <w:tcPr>
            <w:tcW w:w="966" w:type="pct"/>
            <w:tcBorders>
              <w:top w:val="single" w:sz="4" w:space="0" w:color="auto"/>
              <w:bottom w:val="single" w:sz="4" w:space="0" w:color="auto"/>
              <w:right w:val="nil"/>
            </w:tcBorders>
            <w:shd w:val="clear" w:color="auto" w:fill="auto"/>
            <w:vAlign w:val="bottom"/>
          </w:tcPr>
          <w:p w14:paraId="4C7C8A0F" w14:textId="77777777" w:rsidR="008342F0" w:rsidRPr="008342F0" w:rsidRDefault="008342F0" w:rsidP="008342F0">
            <w:pPr>
              <w:pStyle w:val="Tabletext"/>
            </w:pPr>
            <w:r w:rsidRPr="008342F0">
              <w:t>0</w:t>
            </w:r>
            <w:r w:rsidR="00D7157D">
              <w:t>.</w:t>
            </w:r>
            <w:r w:rsidRPr="008342F0">
              <w:t>1493</w:t>
            </w:r>
          </w:p>
        </w:tc>
      </w:tr>
      <w:tr w:rsidR="008342F0" w:rsidRPr="008342F0" w14:paraId="7EFE82E0" w14:textId="77777777" w:rsidTr="00F160E0">
        <w:trPr>
          <w:cantSplit/>
        </w:trPr>
        <w:tc>
          <w:tcPr>
            <w:tcW w:w="1136" w:type="pct"/>
            <w:tcBorders>
              <w:top w:val="single" w:sz="4" w:space="0" w:color="auto"/>
              <w:bottom w:val="single" w:sz="4" w:space="0" w:color="auto"/>
            </w:tcBorders>
          </w:tcPr>
          <w:p w14:paraId="211A0CE5" w14:textId="77777777" w:rsidR="008342F0" w:rsidRPr="00063033" w:rsidRDefault="008342F0" w:rsidP="008342F0">
            <w:pPr>
              <w:pStyle w:val="Tabletext"/>
            </w:pPr>
            <w:r w:rsidRPr="00063033">
              <w:t>84</w:t>
            </w:r>
          </w:p>
        </w:tc>
        <w:tc>
          <w:tcPr>
            <w:tcW w:w="966" w:type="pct"/>
            <w:tcBorders>
              <w:top w:val="single" w:sz="4" w:space="0" w:color="auto"/>
              <w:bottom w:val="single" w:sz="4" w:space="0" w:color="auto"/>
            </w:tcBorders>
            <w:shd w:val="clear" w:color="auto" w:fill="auto"/>
            <w:vAlign w:val="bottom"/>
          </w:tcPr>
          <w:p w14:paraId="7F6D7C03" w14:textId="77777777" w:rsidR="008342F0" w:rsidRPr="008342F0" w:rsidRDefault="008342F0" w:rsidP="008342F0">
            <w:pPr>
              <w:pStyle w:val="Tabletext"/>
            </w:pPr>
            <w:r w:rsidRPr="008342F0">
              <w:t>5</w:t>
            </w:r>
            <w:r w:rsidR="00D7157D">
              <w:t>.</w:t>
            </w:r>
            <w:r w:rsidRPr="008342F0">
              <w:t>3289</w:t>
            </w:r>
          </w:p>
        </w:tc>
        <w:tc>
          <w:tcPr>
            <w:tcW w:w="966" w:type="pct"/>
            <w:tcBorders>
              <w:top w:val="single" w:sz="4" w:space="0" w:color="auto"/>
              <w:bottom w:val="single" w:sz="4" w:space="0" w:color="auto"/>
            </w:tcBorders>
            <w:shd w:val="clear" w:color="auto" w:fill="auto"/>
            <w:vAlign w:val="bottom"/>
          </w:tcPr>
          <w:p w14:paraId="263B8297" w14:textId="77777777" w:rsidR="008342F0" w:rsidRPr="008342F0" w:rsidRDefault="008342F0" w:rsidP="008342F0">
            <w:pPr>
              <w:pStyle w:val="Tabletext"/>
            </w:pPr>
            <w:r w:rsidRPr="008342F0">
              <w:t>0</w:t>
            </w:r>
            <w:r w:rsidR="00D7157D">
              <w:t>.</w:t>
            </w:r>
            <w:r w:rsidRPr="008342F0">
              <w:t>5409</w:t>
            </w:r>
          </w:p>
        </w:tc>
        <w:tc>
          <w:tcPr>
            <w:tcW w:w="966" w:type="pct"/>
            <w:tcBorders>
              <w:top w:val="single" w:sz="4" w:space="0" w:color="auto"/>
              <w:bottom w:val="single" w:sz="4" w:space="0" w:color="auto"/>
            </w:tcBorders>
            <w:shd w:val="clear" w:color="auto" w:fill="auto"/>
            <w:vAlign w:val="bottom"/>
          </w:tcPr>
          <w:p w14:paraId="540DAC4D" w14:textId="77777777" w:rsidR="008342F0" w:rsidRPr="008342F0" w:rsidRDefault="008342F0" w:rsidP="008342F0">
            <w:pPr>
              <w:pStyle w:val="Tabletext"/>
            </w:pPr>
            <w:r w:rsidRPr="008342F0">
              <w:t>5</w:t>
            </w:r>
            <w:r w:rsidR="00D7157D">
              <w:t>.</w:t>
            </w:r>
            <w:r w:rsidRPr="008342F0">
              <w:t>8953</w:t>
            </w:r>
          </w:p>
        </w:tc>
        <w:tc>
          <w:tcPr>
            <w:tcW w:w="966" w:type="pct"/>
            <w:tcBorders>
              <w:top w:val="single" w:sz="4" w:space="0" w:color="auto"/>
              <w:bottom w:val="single" w:sz="4" w:space="0" w:color="auto"/>
              <w:right w:val="nil"/>
            </w:tcBorders>
            <w:shd w:val="clear" w:color="auto" w:fill="auto"/>
            <w:vAlign w:val="bottom"/>
          </w:tcPr>
          <w:p w14:paraId="2B97F0D2" w14:textId="77777777" w:rsidR="008342F0" w:rsidRPr="008342F0" w:rsidRDefault="008342F0" w:rsidP="008342F0">
            <w:pPr>
              <w:pStyle w:val="Tabletext"/>
            </w:pPr>
            <w:r w:rsidRPr="008342F0">
              <w:t>0</w:t>
            </w:r>
            <w:r w:rsidR="00D7157D">
              <w:t>.</w:t>
            </w:r>
            <w:r w:rsidRPr="008342F0">
              <w:t>1454</w:t>
            </w:r>
          </w:p>
        </w:tc>
      </w:tr>
      <w:tr w:rsidR="008342F0" w:rsidRPr="008342F0" w14:paraId="6EE9E2CB" w14:textId="77777777" w:rsidTr="00F160E0">
        <w:trPr>
          <w:cantSplit/>
        </w:trPr>
        <w:tc>
          <w:tcPr>
            <w:tcW w:w="1136" w:type="pct"/>
            <w:tcBorders>
              <w:top w:val="single" w:sz="4" w:space="0" w:color="auto"/>
              <w:bottom w:val="single" w:sz="4" w:space="0" w:color="auto"/>
            </w:tcBorders>
          </w:tcPr>
          <w:p w14:paraId="04EFBC5F" w14:textId="77777777" w:rsidR="008342F0" w:rsidRPr="00063033" w:rsidRDefault="008342F0" w:rsidP="008342F0">
            <w:pPr>
              <w:pStyle w:val="Tabletext"/>
            </w:pPr>
            <w:r w:rsidRPr="00063033">
              <w:t>85</w:t>
            </w:r>
          </w:p>
        </w:tc>
        <w:tc>
          <w:tcPr>
            <w:tcW w:w="966" w:type="pct"/>
            <w:tcBorders>
              <w:top w:val="single" w:sz="4" w:space="0" w:color="auto"/>
              <w:bottom w:val="single" w:sz="4" w:space="0" w:color="auto"/>
            </w:tcBorders>
            <w:shd w:val="clear" w:color="auto" w:fill="auto"/>
            <w:vAlign w:val="bottom"/>
          </w:tcPr>
          <w:p w14:paraId="7C1A38B0" w14:textId="77777777" w:rsidR="008342F0" w:rsidRPr="008342F0" w:rsidRDefault="008342F0" w:rsidP="008342F0">
            <w:pPr>
              <w:pStyle w:val="Tabletext"/>
            </w:pPr>
            <w:r w:rsidRPr="008342F0">
              <w:t>5</w:t>
            </w:r>
            <w:r w:rsidR="00D7157D">
              <w:t>.</w:t>
            </w:r>
            <w:r w:rsidRPr="008342F0">
              <w:t>0157</w:t>
            </w:r>
          </w:p>
        </w:tc>
        <w:tc>
          <w:tcPr>
            <w:tcW w:w="966" w:type="pct"/>
            <w:tcBorders>
              <w:top w:val="single" w:sz="4" w:space="0" w:color="auto"/>
              <w:bottom w:val="single" w:sz="4" w:space="0" w:color="auto"/>
            </w:tcBorders>
            <w:shd w:val="clear" w:color="auto" w:fill="auto"/>
            <w:vAlign w:val="bottom"/>
          </w:tcPr>
          <w:p w14:paraId="14FDB046" w14:textId="77777777" w:rsidR="008342F0" w:rsidRPr="008342F0" w:rsidRDefault="008342F0" w:rsidP="008342F0">
            <w:pPr>
              <w:pStyle w:val="Tabletext"/>
            </w:pPr>
            <w:r w:rsidRPr="008342F0">
              <w:t>0</w:t>
            </w:r>
            <w:r w:rsidR="00D7157D">
              <w:t>.</w:t>
            </w:r>
            <w:r w:rsidRPr="008342F0">
              <w:t>5232</w:t>
            </w:r>
          </w:p>
        </w:tc>
        <w:tc>
          <w:tcPr>
            <w:tcW w:w="966" w:type="pct"/>
            <w:tcBorders>
              <w:top w:val="single" w:sz="4" w:space="0" w:color="auto"/>
              <w:bottom w:val="single" w:sz="4" w:space="0" w:color="auto"/>
            </w:tcBorders>
            <w:shd w:val="clear" w:color="auto" w:fill="auto"/>
            <w:vAlign w:val="bottom"/>
          </w:tcPr>
          <w:p w14:paraId="63603C7A" w14:textId="77777777" w:rsidR="008342F0" w:rsidRPr="008342F0" w:rsidRDefault="008342F0" w:rsidP="008342F0">
            <w:pPr>
              <w:pStyle w:val="Tabletext"/>
            </w:pPr>
            <w:r w:rsidRPr="008342F0">
              <w:t>5</w:t>
            </w:r>
            <w:r w:rsidR="00D7157D">
              <w:t>.</w:t>
            </w:r>
            <w:r w:rsidRPr="008342F0">
              <w:t>5222</w:t>
            </w:r>
          </w:p>
        </w:tc>
        <w:tc>
          <w:tcPr>
            <w:tcW w:w="966" w:type="pct"/>
            <w:tcBorders>
              <w:top w:val="single" w:sz="4" w:space="0" w:color="auto"/>
              <w:bottom w:val="single" w:sz="4" w:space="0" w:color="auto"/>
              <w:right w:val="nil"/>
            </w:tcBorders>
            <w:shd w:val="clear" w:color="auto" w:fill="auto"/>
            <w:vAlign w:val="bottom"/>
          </w:tcPr>
          <w:p w14:paraId="7DFD065C" w14:textId="77777777" w:rsidR="008342F0" w:rsidRPr="008342F0" w:rsidRDefault="008342F0" w:rsidP="008342F0">
            <w:pPr>
              <w:pStyle w:val="Tabletext"/>
            </w:pPr>
            <w:r w:rsidRPr="008342F0">
              <w:t>0</w:t>
            </w:r>
            <w:r w:rsidR="00D7157D">
              <w:t>.</w:t>
            </w:r>
            <w:r w:rsidRPr="008342F0">
              <w:t>1413</w:t>
            </w:r>
          </w:p>
        </w:tc>
      </w:tr>
      <w:tr w:rsidR="008342F0" w:rsidRPr="008342F0" w14:paraId="667CA634" w14:textId="77777777" w:rsidTr="00F160E0">
        <w:trPr>
          <w:cantSplit/>
        </w:trPr>
        <w:tc>
          <w:tcPr>
            <w:tcW w:w="1136" w:type="pct"/>
            <w:tcBorders>
              <w:top w:val="single" w:sz="4" w:space="0" w:color="auto"/>
              <w:bottom w:val="single" w:sz="4" w:space="0" w:color="auto"/>
            </w:tcBorders>
          </w:tcPr>
          <w:p w14:paraId="1DAE6AD4" w14:textId="77777777" w:rsidR="008342F0" w:rsidRPr="00063033" w:rsidRDefault="008342F0" w:rsidP="008342F0">
            <w:pPr>
              <w:pStyle w:val="Tabletext"/>
            </w:pPr>
            <w:r w:rsidRPr="00063033">
              <w:t>86</w:t>
            </w:r>
          </w:p>
        </w:tc>
        <w:tc>
          <w:tcPr>
            <w:tcW w:w="966" w:type="pct"/>
            <w:tcBorders>
              <w:top w:val="single" w:sz="4" w:space="0" w:color="auto"/>
              <w:bottom w:val="single" w:sz="4" w:space="0" w:color="auto"/>
            </w:tcBorders>
            <w:shd w:val="clear" w:color="auto" w:fill="auto"/>
            <w:vAlign w:val="bottom"/>
          </w:tcPr>
          <w:p w14:paraId="4744FBD7" w14:textId="77777777" w:rsidR="008342F0" w:rsidRPr="008342F0" w:rsidRDefault="008342F0" w:rsidP="008342F0">
            <w:pPr>
              <w:pStyle w:val="Tabletext"/>
            </w:pPr>
            <w:r w:rsidRPr="008342F0">
              <w:t>4</w:t>
            </w:r>
            <w:r w:rsidR="00D7157D">
              <w:t>.</w:t>
            </w:r>
            <w:r w:rsidRPr="008342F0">
              <w:t>7232</w:t>
            </w:r>
          </w:p>
        </w:tc>
        <w:tc>
          <w:tcPr>
            <w:tcW w:w="966" w:type="pct"/>
            <w:tcBorders>
              <w:top w:val="single" w:sz="4" w:space="0" w:color="auto"/>
              <w:bottom w:val="single" w:sz="4" w:space="0" w:color="auto"/>
            </w:tcBorders>
            <w:shd w:val="clear" w:color="auto" w:fill="auto"/>
            <w:vAlign w:val="bottom"/>
          </w:tcPr>
          <w:p w14:paraId="3C7E431E" w14:textId="77777777" w:rsidR="008342F0" w:rsidRPr="008342F0" w:rsidRDefault="008342F0" w:rsidP="008342F0">
            <w:pPr>
              <w:pStyle w:val="Tabletext"/>
            </w:pPr>
            <w:r w:rsidRPr="008342F0">
              <w:t>0</w:t>
            </w:r>
            <w:r w:rsidR="00D7157D">
              <w:t>.</w:t>
            </w:r>
            <w:r w:rsidRPr="008342F0">
              <w:t>5041</w:t>
            </w:r>
          </w:p>
        </w:tc>
        <w:tc>
          <w:tcPr>
            <w:tcW w:w="966" w:type="pct"/>
            <w:tcBorders>
              <w:top w:val="single" w:sz="4" w:space="0" w:color="auto"/>
              <w:bottom w:val="single" w:sz="4" w:space="0" w:color="auto"/>
            </w:tcBorders>
            <w:shd w:val="clear" w:color="auto" w:fill="auto"/>
            <w:vAlign w:val="bottom"/>
          </w:tcPr>
          <w:p w14:paraId="52E1B1D6" w14:textId="77777777" w:rsidR="008342F0" w:rsidRPr="008342F0" w:rsidRDefault="008342F0" w:rsidP="008342F0">
            <w:pPr>
              <w:pStyle w:val="Tabletext"/>
            </w:pPr>
            <w:r w:rsidRPr="008342F0">
              <w:t>5</w:t>
            </w:r>
            <w:r w:rsidR="00D7157D">
              <w:t>.</w:t>
            </w:r>
            <w:r w:rsidRPr="008342F0">
              <w:t>1643</w:t>
            </w:r>
          </w:p>
        </w:tc>
        <w:tc>
          <w:tcPr>
            <w:tcW w:w="966" w:type="pct"/>
            <w:tcBorders>
              <w:top w:val="single" w:sz="4" w:space="0" w:color="auto"/>
              <w:bottom w:val="single" w:sz="4" w:space="0" w:color="auto"/>
              <w:right w:val="nil"/>
            </w:tcBorders>
            <w:shd w:val="clear" w:color="auto" w:fill="auto"/>
            <w:vAlign w:val="bottom"/>
          </w:tcPr>
          <w:p w14:paraId="377033B6" w14:textId="77777777" w:rsidR="008342F0" w:rsidRPr="008342F0" w:rsidRDefault="008342F0" w:rsidP="008342F0">
            <w:pPr>
              <w:pStyle w:val="Tabletext"/>
            </w:pPr>
            <w:r w:rsidRPr="008342F0">
              <w:t>0</w:t>
            </w:r>
            <w:r w:rsidR="00D7157D">
              <w:t>.</w:t>
            </w:r>
            <w:r w:rsidRPr="008342F0">
              <w:t>1371</w:t>
            </w:r>
          </w:p>
        </w:tc>
      </w:tr>
      <w:tr w:rsidR="008342F0" w:rsidRPr="008342F0" w14:paraId="201FE4A2" w14:textId="77777777" w:rsidTr="00F160E0">
        <w:trPr>
          <w:cantSplit/>
        </w:trPr>
        <w:tc>
          <w:tcPr>
            <w:tcW w:w="1136" w:type="pct"/>
            <w:tcBorders>
              <w:top w:val="single" w:sz="4" w:space="0" w:color="auto"/>
              <w:bottom w:val="single" w:sz="4" w:space="0" w:color="auto"/>
            </w:tcBorders>
          </w:tcPr>
          <w:p w14:paraId="570117F8" w14:textId="77777777" w:rsidR="008342F0" w:rsidRPr="00063033" w:rsidRDefault="008342F0" w:rsidP="008342F0">
            <w:pPr>
              <w:pStyle w:val="Tabletext"/>
            </w:pPr>
            <w:r w:rsidRPr="00063033">
              <w:t>87</w:t>
            </w:r>
          </w:p>
        </w:tc>
        <w:tc>
          <w:tcPr>
            <w:tcW w:w="966" w:type="pct"/>
            <w:tcBorders>
              <w:top w:val="single" w:sz="4" w:space="0" w:color="auto"/>
              <w:bottom w:val="single" w:sz="4" w:space="0" w:color="auto"/>
            </w:tcBorders>
            <w:shd w:val="clear" w:color="auto" w:fill="auto"/>
            <w:vAlign w:val="bottom"/>
          </w:tcPr>
          <w:p w14:paraId="60016154" w14:textId="77777777" w:rsidR="008342F0" w:rsidRPr="008342F0" w:rsidRDefault="008342F0" w:rsidP="008342F0">
            <w:pPr>
              <w:pStyle w:val="Tabletext"/>
            </w:pPr>
            <w:r w:rsidRPr="008342F0">
              <w:t>4</w:t>
            </w:r>
            <w:r w:rsidR="00D7157D">
              <w:t>.</w:t>
            </w:r>
            <w:r w:rsidRPr="008342F0">
              <w:t>4483</w:t>
            </w:r>
          </w:p>
        </w:tc>
        <w:tc>
          <w:tcPr>
            <w:tcW w:w="966" w:type="pct"/>
            <w:tcBorders>
              <w:top w:val="single" w:sz="4" w:space="0" w:color="auto"/>
              <w:bottom w:val="single" w:sz="4" w:space="0" w:color="auto"/>
            </w:tcBorders>
            <w:shd w:val="clear" w:color="auto" w:fill="auto"/>
            <w:vAlign w:val="bottom"/>
          </w:tcPr>
          <w:p w14:paraId="2FFFC45C" w14:textId="77777777" w:rsidR="008342F0" w:rsidRPr="008342F0" w:rsidRDefault="008342F0" w:rsidP="008342F0">
            <w:pPr>
              <w:pStyle w:val="Tabletext"/>
            </w:pPr>
            <w:r w:rsidRPr="008342F0">
              <w:t>0</w:t>
            </w:r>
            <w:r w:rsidR="00D7157D">
              <w:t>.</w:t>
            </w:r>
            <w:r w:rsidRPr="008342F0">
              <w:t>4841</w:t>
            </w:r>
          </w:p>
        </w:tc>
        <w:tc>
          <w:tcPr>
            <w:tcW w:w="966" w:type="pct"/>
            <w:tcBorders>
              <w:top w:val="single" w:sz="4" w:space="0" w:color="auto"/>
              <w:bottom w:val="single" w:sz="4" w:space="0" w:color="auto"/>
            </w:tcBorders>
            <w:shd w:val="clear" w:color="auto" w:fill="auto"/>
            <w:vAlign w:val="bottom"/>
          </w:tcPr>
          <w:p w14:paraId="021CC608" w14:textId="77777777" w:rsidR="008342F0" w:rsidRPr="008342F0" w:rsidRDefault="008342F0" w:rsidP="008342F0">
            <w:pPr>
              <w:pStyle w:val="Tabletext"/>
            </w:pPr>
            <w:r w:rsidRPr="008342F0">
              <w:t>4</w:t>
            </w:r>
            <w:r w:rsidR="00D7157D">
              <w:t>.</w:t>
            </w:r>
            <w:r w:rsidRPr="008342F0">
              <w:t>8255</w:t>
            </w:r>
          </w:p>
        </w:tc>
        <w:tc>
          <w:tcPr>
            <w:tcW w:w="966" w:type="pct"/>
            <w:tcBorders>
              <w:top w:val="single" w:sz="4" w:space="0" w:color="auto"/>
              <w:bottom w:val="single" w:sz="4" w:space="0" w:color="auto"/>
              <w:right w:val="nil"/>
            </w:tcBorders>
            <w:shd w:val="clear" w:color="auto" w:fill="auto"/>
            <w:vAlign w:val="bottom"/>
          </w:tcPr>
          <w:p w14:paraId="24E5D4C2" w14:textId="77777777" w:rsidR="008342F0" w:rsidRPr="008342F0" w:rsidRDefault="008342F0" w:rsidP="008342F0">
            <w:pPr>
              <w:pStyle w:val="Tabletext"/>
            </w:pPr>
            <w:r w:rsidRPr="008342F0">
              <w:t>0</w:t>
            </w:r>
            <w:r w:rsidR="00D7157D">
              <w:t>.</w:t>
            </w:r>
            <w:r w:rsidRPr="008342F0">
              <w:t>1329</w:t>
            </w:r>
          </w:p>
        </w:tc>
      </w:tr>
      <w:tr w:rsidR="008342F0" w:rsidRPr="008342F0" w14:paraId="38B670C6" w14:textId="77777777" w:rsidTr="00F160E0">
        <w:trPr>
          <w:cantSplit/>
        </w:trPr>
        <w:tc>
          <w:tcPr>
            <w:tcW w:w="1136" w:type="pct"/>
            <w:tcBorders>
              <w:top w:val="single" w:sz="4" w:space="0" w:color="auto"/>
              <w:bottom w:val="single" w:sz="4" w:space="0" w:color="auto"/>
            </w:tcBorders>
          </w:tcPr>
          <w:p w14:paraId="0292D048" w14:textId="77777777" w:rsidR="008342F0" w:rsidRPr="00063033" w:rsidRDefault="008342F0" w:rsidP="008342F0">
            <w:pPr>
              <w:pStyle w:val="Tabletext"/>
            </w:pPr>
            <w:r w:rsidRPr="00063033">
              <w:t>88</w:t>
            </w:r>
          </w:p>
        </w:tc>
        <w:tc>
          <w:tcPr>
            <w:tcW w:w="966" w:type="pct"/>
            <w:tcBorders>
              <w:top w:val="single" w:sz="4" w:space="0" w:color="auto"/>
              <w:bottom w:val="single" w:sz="4" w:space="0" w:color="auto"/>
            </w:tcBorders>
            <w:shd w:val="clear" w:color="auto" w:fill="auto"/>
            <w:vAlign w:val="bottom"/>
          </w:tcPr>
          <w:p w14:paraId="554CFAD3" w14:textId="77777777" w:rsidR="008342F0" w:rsidRPr="008342F0" w:rsidRDefault="008342F0" w:rsidP="008342F0">
            <w:pPr>
              <w:pStyle w:val="Tabletext"/>
            </w:pPr>
            <w:r w:rsidRPr="008342F0">
              <w:t>4</w:t>
            </w:r>
            <w:r w:rsidR="00D7157D">
              <w:t>.</w:t>
            </w:r>
            <w:r w:rsidRPr="008342F0">
              <w:t>1917</w:t>
            </w:r>
          </w:p>
        </w:tc>
        <w:tc>
          <w:tcPr>
            <w:tcW w:w="966" w:type="pct"/>
            <w:tcBorders>
              <w:top w:val="single" w:sz="4" w:space="0" w:color="auto"/>
              <w:bottom w:val="single" w:sz="4" w:space="0" w:color="auto"/>
            </w:tcBorders>
            <w:shd w:val="clear" w:color="auto" w:fill="auto"/>
            <w:vAlign w:val="bottom"/>
          </w:tcPr>
          <w:p w14:paraId="053F51FE" w14:textId="77777777" w:rsidR="008342F0" w:rsidRPr="008342F0" w:rsidRDefault="008342F0" w:rsidP="008342F0">
            <w:pPr>
              <w:pStyle w:val="Tabletext"/>
            </w:pPr>
            <w:r w:rsidRPr="008342F0">
              <w:t>0</w:t>
            </w:r>
            <w:r w:rsidR="00D7157D">
              <w:t>.</w:t>
            </w:r>
            <w:r w:rsidRPr="008342F0">
              <w:t>4633</w:t>
            </w:r>
          </w:p>
        </w:tc>
        <w:tc>
          <w:tcPr>
            <w:tcW w:w="966" w:type="pct"/>
            <w:tcBorders>
              <w:top w:val="single" w:sz="4" w:space="0" w:color="auto"/>
              <w:bottom w:val="single" w:sz="4" w:space="0" w:color="auto"/>
            </w:tcBorders>
            <w:shd w:val="clear" w:color="auto" w:fill="auto"/>
            <w:vAlign w:val="bottom"/>
          </w:tcPr>
          <w:p w14:paraId="69391F83" w14:textId="77777777" w:rsidR="008342F0" w:rsidRPr="008342F0" w:rsidRDefault="008342F0" w:rsidP="008342F0">
            <w:pPr>
              <w:pStyle w:val="Tabletext"/>
            </w:pPr>
            <w:r w:rsidRPr="008342F0">
              <w:t>4</w:t>
            </w:r>
            <w:r w:rsidR="00D7157D">
              <w:t>.</w:t>
            </w:r>
            <w:r w:rsidRPr="008342F0">
              <w:t>5064</w:t>
            </w:r>
          </w:p>
        </w:tc>
        <w:tc>
          <w:tcPr>
            <w:tcW w:w="966" w:type="pct"/>
            <w:tcBorders>
              <w:top w:val="single" w:sz="4" w:space="0" w:color="auto"/>
              <w:bottom w:val="single" w:sz="4" w:space="0" w:color="auto"/>
              <w:right w:val="nil"/>
            </w:tcBorders>
            <w:shd w:val="clear" w:color="auto" w:fill="auto"/>
            <w:vAlign w:val="bottom"/>
          </w:tcPr>
          <w:p w14:paraId="4F7AE52B" w14:textId="77777777" w:rsidR="008342F0" w:rsidRPr="008342F0" w:rsidRDefault="008342F0" w:rsidP="008342F0">
            <w:pPr>
              <w:pStyle w:val="Tabletext"/>
            </w:pPr>
            <w:r w:rsidRPr="008342F0">
              <w:t>0</w:t>
            </w:r>
            <w:r w:rsidR="00D7157D">
              <w:t>.</w:t>
            </w:r>
            <w:r w:rsidRPr="008342F0">
              <w:t>1287</w:t>
            </w:r>
          </w:p>
        </w:tc>
      </w:tr>
      <w:tr w:rsidR="008342F0" w:rsidRPr="008342F0" w14:paraId="2B6DF7AD" w14:textId="77777777" w:rsidTr="00F160E0">
        <w:trPr>
          <w:cantSplit/>
        </w:trPr>
        <w:tc>
          <w:tcPr>
            <w:tcW w:w="1136" w:type="pct"/>
            <w:tcBorders>
              <w:top w:val="single" w:sz="4" w:space="0" w:color="auto"/>
              <w:bottom w:val="single" w:sz="4" w:space="0" w:color="auto"/>
            </w:tcBorders>
          </w:tcPr>
          <w:p w14:paraId="4A1120B7" w14:textId="77777777" w:rsidR="008342F0" w:rsidRPr="00063033" w:rsidRDefault="008342F0" w:rsidP="008342F0">
            <w:pPr>
              <w:pStyle w:val="Tabletext"/>
            </w:pPr>
            <w:r w:rsidRPr="00063033">
              <w:t>89</w:t>
            </w:r>
          </w:p>
        </w:tc>
        <w:tc>
          <w:tcPr>
            <w:tcW w:w="966" w:type="pct"/>
            <w:tcBorders>
              <w:top w:val="single" w:sz="4" w:space="0" w:color="auto"/>
              <w:bottom w:val="single" w:sz="4" w:space="0" w:color="auto"/>
            </w:tcBorders>
            <w:shd w:val="clear" w:color="auto" w:fill="auto"/>
            <w:vAlign w:val="bottom"/>
          </w:tcPr>
          <w:p w14:paraId="0E20DC95" w14:textId="77777777" w:rsidR="008342F0" w:rsidRPr="008342F0" w:rsidRDefault="008342F0" w:rsidP="008342F0">
            <w:pPr>
              <w:pStyle w:val="Tabletext"/>
            </w:pPr>
            <w:r w:rsidRPr="008342F0">
              <w:t>3</w:t>
            </w:r>
            <w:r w:rsidR="00D7157D">
              <w:t>.</w:t>
            </w:r>
            <w:r w:rsidRPr="008342F0">
              <w:t>9531</w:t>
            </w:r>
          </w:p>
        </w:tc>
        <w:tc>
          <w:tcPr>
            <w:tcW w:w="966" w:type="pct"/>
            <w:tcBorders>
              <w:top w:val="single" w:sz="4" w:space="0" w:color="auto"/>
              <w:bottom w:val="single" w:sz="4" w:space="0" w:color="auto"/>
            </w:tcBorders>
            <w:shd w:val="clear" w:color="auto" w:fill="auto"/>
            <w:vAlign w:val="bottom"/>
          </w:tcPr>
          <w:p w14:paraId="1DBAFA47" w14:textId="77777777" w:rsidR="008342F0" w:rsidRPr="008342F0" w:rsidRDefault="008342F0" w:rsidP="008342F0">
            <w:pPr>
              <w:pStyle w:val="Tabletext"/>
            </w:pPr>
            <w:r w:rsidRPr="008342F0">
              <w:t>0</w:t>
            </w:r>
            <w:r w:rsidR="00D7157D">
              <w:t>.</w:t>
            </w:r>
            <w:r w:rsidRPr="008342F0">
              <w:t>4420</w:t>
            </w:r>
          </w:p>
        </w:tc>
        <w:tc>
          <w:tcPr>
            <w:tcW w:w="966" w:type="pct"/>
            <w:tcBorders>
              <w:top w:val="single" w:sz="4" w:space="0" w:color="auto"/>
              <w:bottom w:val="single" w:sz="4" w:space="0" w:color="auto"/>
            </w:tcBorders>
            <w:shd w:val="clear" w:color="auto" w:fill="auto"/>
            <w:vAlign w:val="bottom"/>
          </w:tcPr>
          <w:p w14:paraId="29202779" w14:textId="77777777" w:rsidR="008342F0" w:rsidRPr="008342F0" w:rsidRDefault="008342F0" w:rsidP="008342F0">
            <w:pPr>
              <w:pStyle w:val="Tabletext"/>
            </w:pPr>
            <w:r w:rsidRPr="008342F0">
              <w:t>4</w:t>
            </w:r>
            <w:r w:rsidR="00D7157D">
              <w:t>.</w:t>
            </w:r>
            <w:r w:rsidRPr="008342F0">
              <w:t>2093</w:t>
            </w:r>
          </w:p>
        </w:tc>
        <w:tc>
          <w:tcPr>
            <w:tcW w:w="966" w:type="pct"/>
            <w:tcBorders>
              <w:top w:val="single" w:sz="4" w:space="0" w:color="auto"/>
              <w:bottom w:val="single" w:sz="4" w:space="0" w:color="auto"/>
              <w:right w:val="nil"/>
            </w:tcBorders>
            <w:shd w:val="clear" w:color="auto" w:fill="auto"/>
            <w:vAlign w:val="bottom"/>
          </w:tcPr>
          <w:p w14:paraId="519710D7" w14:textId="77777777" w:rsidR="008342F0" w:rsidRPr="008342F0" w:rsidRDefault="008342F0" w:rsidP="008342F0">
            <w:pPr>
              <w:pStyle w:val="Tabletext"/>
            </w:pPr>
            <w:r w:rsidRPr="008342F0">
              <w:t>0</w:t>
            </w:r>
            <w:r w:rsidR="00D7157D">
              <w:t>.</w:t>
            </w:r>
            <w:r w:rsidRPr="008342F0">
              <w:t>1245</w:t>
            </w:r>
          </w:p>
        </w:tc>
      </w:tr>
      <w:tr w:rsidR="008342F0" w:rsidRPr="008342F0" w14:paraId="595E65AB" w14:textId="77777777" w:rsidTr="00F160E0">
        <w:trPr>
          <w:cantSplit/>
        </w:trPr>
        <w:tc>
          <w:tcPr>
            <w:tcW w:w="1136" w:type="pct"/>
            <w:tcBorders>
              <w:top w:val="single" w:sz="4" w:space="0" w:color="auto"/>
              <w:bottom w:val="single" w:sz="4" w:space="0" w:color="auto"/>
            </w:tcBorders>
          </w:tcPr>
          <w:p w14:paraId="34C36D15" w14:textId="77777777" w:rsidR="008342F0" w:rsidRPr="00063033" w:rsidRDefault="008342F0" w:rsidP="008342F0">
            <w:pPr>
              <w:pStyle w:val="Tabletext"/>
            </w:pPr>
            <w:r w:rsidRPr="00063033">
              <w:t>90</w:t>
            </w:r>
          </w:p>
        </w:tc>
        <w:tc>
          <w:tcPr>
            <w:tcW w:w="966" w:type="pct"/>
            <w:tcBorders>
              <w:top w:val="single" w:sz="4" w:space="0" w:color="auto"/>
              <w:bottom w:val="single" w:sz="4" w:space="0" w:color="auto"/>
            </w:tcBorders>
            <w:shd w:val="clear" w:color="auto" w:fill="auto"/>
            <w:vAlign w:val="bottom"/>
          </w:tcPr>
          <w:p w14:paraId="483C922C" w14:textId="77777777" w:rsidR="008342F0" w:rsidRPr="008342F0" w:rsidRDefault="008342F0" w:rsidP="008342F0">
            <w:pPr>
              <w:pStyle w:val="Tabletext"/>
            </w:pPr>
            <w:r w:rsidRPr="008342F0">
              <w:t>3</w:t>
            </w:r>
            <w:r w:rsidR="00D7157D">
              <w:t>.</w:t>
            </w:r>
            <w:r w:rsidRPr="008342F0">
              <w:t>7307</w:t>
            </w:r>
          </w:p>
        </w:tc>
        <w:tc>
          <w:tcPr>
            <w:tcW w:w="966" w:type="pct"/>
            <w:tcBorders>
              <w:top w:val="single" w:sz="4" w:space="0" w:color="auto"/>
              <w:bottom w:val="single" w:sz="4" w:space="0" w:color="auto"/>
            </w:tcBorders>
            <w:shd w:val="clear" w:color="auto" w:fill="auto"/>
            <w:vAlign w:val="bottom"/>
          </w:tcPr>
          <w:p w14:paraId="56C09021" w14:textId="77777777" w:rsidR="008342F0" w:rsidRPr="008342F0" w:rsidRDefault="008342F0" w:rsidP="008342F0">
            <w:pPr>
              <w:pStyle w:val="Tabletext"/>
            </w:pPr>
            <w:r w:rsidRPr="008342F0">
              <w:t>0</w:t>
            </w:r>
            <w:r w:rsidR="00D7157D">
              <w:t>.</w:t>
            </w:r>
            <w:r w:rsidRPr="008342F0">
              <w:t>4207</w:t>
            </w:r>
          </w:p>
        </w:tc>
        <w:tc>
          <w:tcPr>
            <w:tcW w:w="966" w:type="pct"/>
            <w:tcBorders>
              <w:top w:val="single" w:sz="4" w:space="0" w:color="auto"/>
              <w:bottom w:val="single" w:sz="4" w:space="0" w:color="auto"/>
            </w:tcBorders>
            <w:shd w:val="clear" w:color="auto" w:fill="auto"/>
            <w:vAlign w:val="bottom"/>
          </w:tcPr>
          <w:p w14:paraId="34661C47" w14:textId="77777777" w:rsidR="008342F0" w:rsidRPr="008342F0" w:rsidRDefault="008342F0" w:rsidP="008342F0">
            <w:pPr>
              <w:pStyle w:val="Tabletext"/>
            </w:pPr>
            <w:r w:rsidRPr="008342F0">
              <w:t>3</w:t>
            </w:r>
            <w:r w:rsidR="00D7157D">
              <w:t>.</w:t>
            </w:r>
            <w:r w:rsidRPr="008342F0">
              <w:t>9368</w:t>
            </w:r>
          </w:p>
        </w:tc>
        <w:tc>
          <w:tcPr>
            <w:tcW w:w="966" w:type="pct"/>
            <w:tcBorders>
              <w:top w:val="single" w:sz="4" w:space="0" w:color="auto"/>
              <w:bottom w:val="single" w:sz="4" w:space="0" w:color="auto"/>
              <w:right w:val="nil"/>
            </w:tcBorders>
            <w:shd w:val="clear" w:color="auto" w:fill="auto"/>
            <w:vAlign w:val="bottom"/>
          </w:tcPr>
          <w:p w14:paraId="4C57A4E9" w14:textId="77777777" w:rsidR="008342F0" w:rsidRPr="008342F0" w:rsidRDefault="008342F0" w:rsidP="008342F0">
            <w:pPr>
              <w:pStyle w:val="Tabletext"/>
            </w:pPr>
            <w:r w:rsidRPr="008342F0">
              <w:t>0</w:t>
            </w:r>
            <w:r w:rsidR="00D7157D">
              <w:t>.</w:t>
            </w:r>
            <w:r w:rsidRPr="008342F0">
              <w:t>1204</w:t>
            </w:r>
          </w:p>
        </w:tc>
      </w:tr>
      <w:tr w:rsidR="008342F0" w:rsidRPr="008342F0" w14:paraId="749E8789" w14:textId="77777777" w:rsidTr="00F160E0">
        <w:trPr>
          <w:cantSplit/>
        </w:trPr>
        <w:tc>
          <w:tcPr>
            <w:tcW w:w="1136" w:type="pct"/>
            <w:tcBorders>
              <w:top w:val="single" w:sz="4" w:space="0" w:color="auto"/>
              <w:bottom w:val="single" w:sz="4" w:space="0" w:color="auto"/>
            </w:tcBorders>
          </w:tcPr>
          <w:p w14:paraId="156F47F6" w14:textId="77777777" w:rsidR="008342F0" w:rsidRPr="00063033" w:rsidRDefault="008342F0" w:rsidP="008342F0">
            <w:pPr>
              <w:pStyle w:val="Tabletext"/>
            </w:pPr>
            <w:r w:rsidRPr="00063033">
              <w:t>91</w:t>
            </w:r>
          </w:p>
        </w:tc>
        <w:tc>
          <w:tcPr>
            <w:tcW w:w="966" w:type="pct"/>
            <w:tcBorders>
              <w:top w:val="single" w:sz="4" w:space="0" w:color="auto"/>
              <w:bottom w:val="single" w:sz="4" w:space="0" w:color="auto"/>
            </w:tcBorders>
            <w:shd w:val="clear" w:color="auto" w:fill="auto"/>
            <w:vAlign w:val="bottom"/>
          </w:tcPr>
          <w:p w14:paraId="69285EFD" w14:textId="77777777" w:rsidR="008342F0" w:rsidRPr="008342F0" w:rsidRDefault="008342F0" w:rsidP="008342F0">
            <w:pPr>
              <w:pStyle w:val="Tabletext"/>
            </w:pPr>
            <w:r w:rsidRPr="008342F0">
              <w:t>3</w:t>
            </w:r>
            <w:r w:rsidR="00D7157D">
              <w:t>.</w:t>
            </w:r>
            <w:r w:rsidRPr="008342F0">
              <w:t>5204</w:t>
            </w:r>
          </w:p>
        </w:tc>
        <w:tc>
          <w:tcPr>
            <w:tcW w:w="966" w:type="pct"/>
            <w:tcBorders>
              <w:top w:val="single" w:sz="4" w:space="0" w:color="auto"/>
              <w:bottom w:val="single" w:sz="4" w:space="0" w:color="auto"/>
            </w:tcBorders>
            <w:shd w:val="clear" w:color="auto" w:fill="auto"/>
            <w:vAlign w:val="bottom"/>
          </w:tcPr>
          <w:p w14:paraId="4CD0F9B5" w14:textId="77777777" w:rsidR="008342F0" w:rsidRPr="008342F0" w:rsidRDefault="008342F0" w:rsidP="008342F0">
            <w:pPr>
              <w:pStyle w:val="Tabletext"/>
            </w:pPr>
            <w:r w:rsidRPr="008342F0">
              <w:t>0</w:t>
            </w:r>
            <w:r w:rsidR="00D7157D">
              <w:t>.</w:t>
            </w:r>
            <w:r w:rsidRPr="008342F0">
              <w:t>3999</w:t>
            </w:r>
          </w:p>
        </w:tc>
        <w:tc>
          <w:tcPr>
            <w:tcW w:w="966" w:type="pct"/>
            <w:tcBorders>
              <w:top w:val="single" w:sz="4" w:space="0" w:color="auto"/>
              <w:bottom w:val="single" w:sz="4" w:space="0" w:color="auto"/>
            </w:tcBorders>
            <w:shd w:val="clear" w:color="auto" w:fill="auto"/>
            <w:vAlign w:val="bottom"/>
          </w:tcPr>
          <w:p w14:paraId="080880E1" w14:textId="77777777" w:rsidR="008342F0" w:rsidRPr="008342F0" w:rsidRDefault="008342F0" w:rsidP="008342F0">
            <w:pPr>
              <w:pStyle w:val="Tabletext"/>
            </w:pPr>
            <w:r w:rsidRPr="008342F0">
              <w:t>3</w:t>
            </w:r>
            <w:r w:rsidR="00D7157D">
              <w:t>.</w:t>
            </w:r>
            <w:r w:rsidRPr="008342F0">
              <w:t>6866</w:t>
            </w:r>
          </w:p>
        </w:tc>
        <w:tc>
          <w:tcPr>
            <w:tcW w:w="966" w:type="pct"/>
            <w:tcBorders>
              <w:top w:val="single" w:sz="4" w:space="0" w:color="auto"/>
              <w:bottom w:val="single" w:sz="4" w:space="0" w:color="auto"/>
              <w:right w:val="nil"/>
            </w:tcBorders>
            <w:shd w:val="clear" w:color="auto" w:fill="auto"/>
            <w:vAlign w:val="bottom"/>
          </w:tcPr>
          <w:p w14:paraId="4944EF56" w14:textId="77777777" w:rsidR="008342F0" w:rsidRPr="008342F0" w:rsidRDefault="008342F0" w:rsidP="008342F0">
            <w:pPr>
              <w:pStyle w:val="Tabletext"/>
            </w:pPr>
            <w:r w:rsidRPr="008342F0">
              <w:t>0</w:t>
            </w:r>
            <w:r w:rsidR="00D7157D">
              <w:t>.</w:t>
            </w:r>
            <w:r w:rsidRPr="008342F0">
              <w:t>1162</w:t>
            </w:r>
          </w:p>
        </w:tc>
      </w:tr>
      <w:tr w:rsidR="008342F0" w:rsidRPr="008342F0" w14:paraId="1420E1F6" w14:textId="77777777" w:rsidTr="00F160E0">
        <w:trPr>
          <w:cantSplit/>
        </w:trPr>
        <w:tc>
          <w:tcPr>
            <w:tcW w:w="1136" w:type="pct"/>
            <w:tcBorders>
              <w:top w:val="single" w:sz="4" w:space="0" w:color="auto"/>
              <w:bottom w:val="single" w:sz="4" w:space="0" w:color="auto"/>
            </w:tcBorders>
          </w:tcPr>
          <w:p w14:paraId="00C2960C" w14:textId="77777777" w:rsidR="008342F0" w:rsidRPr="00063033" w:rsidRDefault="008342F0" w:rsidP="008342F0">
            <w:pPr>
              <w:pStyle w:val="Tabletext"/>
            </w:pPr>
            <w:r w:rsidRPr="00063033">
              <w:t>92</w:t>
            </w:r>
          </w:p>
        </w:tc>
        <w:tc>
          <w:tcPr>
            <w:tcW w:w="966" w:type="pct"/>
            <w:tcBorders>
              <w:top w:val="single" w:sz="4" w:space="0" w:color="auto"/>
              <w:bottom w:val="single" w:sz="4" w:space="0" w:color="auto"/>
            </w:tcBorders>
            <w:shd w:val="clear" w:color="auto" w:fill="auto"/>
            <w:vAlign w:val="bottom"/>
          </w:tcPr>
          <w:p w14:paraId="440306D4" w14:textId="77777777" w:rsidR="008342F0" w:rsidRPr="008342F0" w:rsidRDefault="008342F0" w:rsidP="008342F0">
            <w:pPr>
              <w:pStyle w:val="Tabletext"/>
            </w:pPr>
            <w:r w:rsidRPr="008342F0">
              <w:t>3</w:t>
            </w:r>
            <w:r w:rsidR="00D7157D">
              <w:t>.</w:t>
            </w:r>
            <w:r w:rsidRPr="008342F0">
              <w:t>3251</w:t>
            </w:r>
          </w:p>
        </w:tc>
        <w:tc>
          <w:tcPr>
            <w:tcW w:w="966" w:type="pct"/>
            <w:tcBorders>
              <w:top w:val="single" w:sz="4" w:space="0" w:color="auto"/>
              <w:bottom w:val="single" w:sz="4" w:space="0" w:color="auto"/>
            </w:tcBorders>
            <w:shd w:val="clear" w:color="auto" w:fill="auto"/>
            <w:vAlign w:val="bottom"/>
          </w:tcPr>
          <w:p w14:paraId="4329BCE5" w14:textId="77777777" w:rsidR="008342F0" w:rsidRPr="008342F0" w:rsidRDefault="008342F0" w:rsidP="008342F0">
            <w:pPr>
              <w:pStyle w:val="Tabletext"/>
            </w:pPr>
            <w:r w:rsidRPr="008342F0">
              <w:t>0</w:t>
            </w:r>
            <w:r w:rsidR="00D7157D">
              <w:t>.</w:t>
            </w:r>
            <w:r w:rsidRPr="008342F0">
              <w:t>3797</w:t>
            </w:r>
          </w:p>
        </w:tc>
        <w:tc>
          <w:tcPr>
            <w:tcW w:w="966" w:type="pct"/>
            <w:tcBorders>
              <w:top w:val="single" w:sz="4" w:space="0" w:color="auto"/>
              <w:bottom w:val="single" w:sz="4" w:space="0" w:color="auto"/>
            </w:tcBorders>
            <w:shd w:val="clear" w:color="auto" w:fill="auto"/>
            <w:vAlign w:val="bottom"/>
          </w:tcPr>
          <w:p w14:paraId="3340863E" w14:textId="77777777" w:rsidR="008342F0" w:rsidRPr="008342F0" w:rsidRDefault="008342F0" w:rsidP="008342F0">
            <w:pPr>
              <w:pStyle w:val="Tabletext"/>
            </w:pPr>
            <w:r w:rsidRPr="008342F0">
              <w:t>3</w:t>
            </w:r>
            <w:r w:rsidR="00D7157D">
              <w:t>.</w:t>
            </w:r>
            <w:r w:rsidRPr="008342F0">
              <w:t>4656</w:t>
            </w:r>
          </w:p>
        </w:tc>
        <w:tc>
          <w:tcPr>
            <w:tcW w:w="966" w:type="pct"/>
            <w:tcBorders>
              <w:top w:val="single" w:sz="4" w:space="0" w:color="auto"/>
              <w:bottom w:val="single" w:sz="4" w:space="0" w:color="auto"/>
              <w:right w:val="nil"/>
            </w:tcBorders>
            <w:shd w:val="clear" w:color="auto" w:fill="auto"/>
            <w:vAlign w:val="bottom"/>
          </w:tcPr>
          <w:p w14:paraId="4D6AC553" w14:textId="77777777" w:rsidR="008342F0" w:rsidRPr="008342F0" w:rsidRDefault="008342F0" w:rsidP="008342F0">
            <w:pPr>
              <w:pStyle w:val="Tabletext"/>
            </w:pPr>
            <w:r w:rsidRPr="008342F0">
              <w:t>0</w:t>
            </w:r>
            <w:r w:rsidR="00D7157D">
              <w:t>.</w:t>
            </w:r>
            <w:r w:rsidRPr="008342F0">
              <w:t>1119</w:t>
            </w:r>
          </w:p>
        </w:tc>
      </w:tr>
      <w:tr w:rsidR="008342F0" w:rsidRPr="008342F0" w14:paraId="3976996A" w14:textId="77777777" w:rsidTr="00F160E0">
        <w:trPr>
          <w:cantSplit/>
        </w:trPr>
        <w:tc>
          <w:tcPr>
            <w:tcW w:w="1136" w:type="pct"/>
            <w:tcBorders>
              <w:top w:val="single" w:sz="4" w:space="0" w:color="auto"/>
              <w:bottom w:val="single" w:sz="4" w:space="0" w:color="auto"/>
            </w:tcBorders>
          </w:tcPr>
          <w:p w14:paraId="4C8967EB" w14:textId="77777777" w:rsidR="008342F0" w:rsidRPr="00063033" w:rsidRDefault="008342F0" w:rsidP="008342F0">
            <w:pPr>
              <w:pStyle w:val="Tabletext"/>
            </w:pPr>
            <w:r w:rsidRPr="00063033">
              <w:t>93</w:t>
            </w:r>
          </w:p>
        </w:tc>
        <w:tc>
          <w:tcPr>
            <w:tcW w:w="966" w:type="pct"/>
            <w:tcBorders>
              <w:top w:val="single" w:sz="4" w:space="0" w:color="auto"/>
              <w:bottom w:val="single" w:sz="4" w:space="0" w:color="auto"/>
            </w:tcBorders>
            <w:shd w:val="clear" w:color="auto" w:fill="auto"/>
            <w:vAlign w:val="bottom"/>
          </w:tcPr>
          <w:p w14:paraId="4E647C22" w14:textId="77777777" w:rsidR="008342F0" w:rsidRPr="008342F0" w:rsidRDefault="008342F0" w:rsidP="008342F0">
            <w:pPr>
              <w:pStyle w:val="Tabletext"/>
            </w:pPr>
            <w:r w:rsidRPr="008342F0">
              <w:t>3</w:t>
            </w:r>
            <w:r w:rsidR="00D7157D">
              <w:t>.</w:t>
            </w:r>
            <w:r w:rsidRPr="008342F0">
              <w:t>1427</w:t>
            </w:r>
          </w:p>
        </w:tc>
        <w:tc>
          <w:tcPr>
            <w:tcW w:w="966" w:type="pct"/>
            <w:tcBorders>
              <w:top w:val="single" w:sz="4" w:space="0" w:color="auto"/>
              <w:bottom w:val="single" w:sz="4" w:space="0" w:color="auto"/>
            </w:tcBorders>
            <w:shd w:val="clear" w:color="auto" w:fill="auto"/>
            <w:vAlign w:val="bottom"/>
          </w:tcPr>
          <w:p w14:paraId="7FFB156A" w14:textId="77777777" w:rsidR="008342F0" w:rsidRPr="008342F0" w:rsidRDefault="008342F0" w:rsidP="008342F0">
            <w:pPr>
              <w:pStyle w:val="Tabletext"/>
            </w:pPr>
            <w:r w:rsidRPr="008342F0">
              <w:t>0</w:t>
            </w:r>
            <w:r w:rsidR="00D7157D">
              <w:t>.</w:t>
            </w:r>
            <w:r w:rsidRPr="008342F0">
              <w:t>3600</w:t>
            </w:r>
          </w:p>
        </w:tc>
        <w:tc>
          <w:tcPr>
            <w:tcW w:w="966" w:type="pct"/>
            <w:tcBorders>
              <w:top w:val="single" w:sz="4" w:space="0" w:color="auto"/>
              <w:bottom w:val="single" w:sz="4" w:space="0" w:color="auto"/>
            </w:tcBorders>
            <w:shd w:val="clear" w:color="auto" w:fill="auto"/>
            <w:vAlign w:val="bottom"/>
          </w:tcPr>
          <w:p w14:paraId="5E718761" w14:textId="77777777" w:rsidR="008342F0" w:rsidRPr="008342F0" w:rsidRDefault="008342F0" w:rsidP="008342F0">
            <w:pPr>
              <w:pStyle w:val="Tabletext"/>
            </w:pPr>
            <w:r w:rsidRPr="008342F0">
              <w:t>3</w:t>
            </w:r>
            <w:r w:rsidR="00D7157D">
              <w:t>.</w:t>
            </w:r>
            <w:r w:rsidRPr="008342F0">
              <w:t>2667</w:t>
            </w:r>
          </w:p>
        </w:tc>
        <w:tc>
          <w:tcPr>
            <w:tcW w:w="966" w:type="pct"/>
            <w:tcBorders>
              <w:top w:val="single" w:sz="4" w:space="0" w:color="auto"/>
              <w:bottom w:val="single" w:sz="4" w:space="0" w:color="auto"/>
              <w:right w:val="nil"/>
            </w:tcBorders>
            <w:shd w:val="clear" w:color="auto" w:fill="auto"/>
            <w:vAlign w:val="bottom"/>
          </w:tcPr>
          <w:p w14:paraId="44638874" w14:textId="77777777" w:rsidR="008342F0" w:rsidRPr="008342F0" w:rsidRDefault="008342F0" w:rsidP="008342F0">
            <w:pPr>
              <w:pStyle w:val="Tabletext"/>
            </w:pPr>
            <w:r w:rsidRPr="008342F0">
              <w:t>0</w:t>
            </w:r>
            <w:r w:rsidR="00D7157D">
              <w:t>.</w:t>
            </w:r>
            <w:r w:rsidRPr="008342F0">
              <w:t>1075</w:t>
            </w:r>
          </w:p>
        </w:tc>
      </w:tr>
      <w:tr w:rsidR="008342F0" w:rsidRPr="008342F0" w14:paraId="189E25FB" w14:textId="77777777" w:rsidTr="00F160E0">
        <w:trPr>
          <w:cantSplit/>
        </w:trPr>
        <w:tc>
          <w:tcPr>
            <w:tcW w:w="1136" w:type="pct"/>
            <w:tcBorders>
              <w:top w:val="single" w:sz="4" w:space="0" w:color="auto"/>
              <w:bottom w:val="single" w:sz="4" w:space="0" w:color="auto"/>
            </w:tcBorders>
          </w:tcPr>
          <w:p w14:paraId="15E85818" w14:textId="77777777" w:rsidR="008342F0" w:rsidRPr="00063033" w:rsidRDefault="008342F0" w:rsidP="008342F0">
            <w:pPr>
              <w:pStyle w:val="Tabletext"/>
            </w:pPr>
            <w:r w:rsidRPr="00063033">
              <w:t>94</w:t>
            </w:r>
          </w:p>
        </w:tc>
        <w:tc>
          <w:tcPr>
            <w:tcW w:w="966" w:type="pct"/>
            <w:tcBorders>
              <w:top w:val="single" w:sz="4" w:space="0" w:color="auto"/>
              <w:bottom w:val="single" w:sz="4" w:space="0" w:color="auto"/>
            </w:tcBorders>
            <w:shd w:val="clear" w:color="auto" w:fill="auto"/>
            <w:vAlign w:val="bottom"/>
          </w:tcPr>
          <w:p w14:paraId="0D88495E" w14:textId="77777777" w:rsidR="008342F0" w:rsidRPr="008342F0" w:rsidRDefault="008342F0" w:rsidP="008342F0">
            <w:pPr>
              <w:pStyle w:val="Tabletext"/>
            </w:pPr>
            <w:r w:rsidRPr="008342F0">
              <w:t>2</w:t>
            </w:r>
            <w:r w:rsidR="00D7157D">
              <w:t>.</w:t>
            </w:r>
            <w:r w:rsidRPr="008342F0">
              <w:t>9710</w:t>
            </w:r>
          </w:p>
        </w:tc>
        <w:tc>
          <w:tcPr>
            <w:tcW w:w="966" w:type="pct"/>
            <w:tcBorders>
              <w:top w:val="single" w:sz="4" w:space="0" w:color="auto"/>
              <w:bottom w:val="single" w:sz="4" w:space="0" w:color="auto"/>
            </w:tcBorders>
            <w:shd w:val="clear" w:color="auto" w:fill="auto"/>
            <w:vAlign w:val="bottom"/>
          </w:tcPr>
          <w:p w14:paraId="40735AEA" w14:textId="77777777" w:rsidR="008342F0" w:rsidRPr="008342F0" w:rsidRDefault="008342F0" w:rsidP="008342F0">
            <w:pPr>
              <w:pStyle w:val="Tabletext"/>
            </w:pPr>
            <w:r w:rsidRPr="008342F0">
              <w:t>0</w:t>
            </w:r>
            <w:r w:rsidR="00D7157D">
              <w:t>.</w:t>
            </w:r>
            <w:r w:rsidRPr="008342F0">
              <w:t>3406</w:t>
            </w:r>
          </w:p>
        </w:tc>
        <w:tc>
          <w:tcPr>
            <w:tcW w:w="966" w:type="pct"/>
            <w:tcBorders>
              <w:top w:val="single" w:sz="4" w:space="0" w:color="auto"/>
              <w:bottom w:val="single" w:sz="4" w:space="0" w:color="auto"/>
            </w:tcBorders>
            <w:shd w:val="clear" w:color="auto" w:fill="auto"/>
            <w:vAlign w:val="bottom"/>
          </w:tcPr>
          <w:p w14:paraId="24738C97" w14:textId="77777777" w:rsidR="008342F0" w:rsidRPr="008342F0" w:rsidRDefault="008342F0" w:rsidP="008342F0">
            <w:pPr>
              <w:pStyle w:val="Tabletext"/>
            </w:pPr>
            <w:r w:rsidRPr="008342F0">
              <w:t>3</w:t>
            </w:r>
            <w:r w:rsidR="00D7157D">
              <w:t>.</w:t>
            </w:r>
            <w:r w:rsidRPr="008342F0">
              <w:t>0875</w:t>
            </w:r>
          </w:p>
        </w:tc>
        <w:tc>
          <w:tcPr>
            <w:tcW w:w="966" w:type="pct"/>
            <w:tcBorders>
              <w:top w:val="single" w:sz="4" w:space="0" w:color="auto"/>
              <w:bottom w:val="single" w:sz="4" w:space="0" w:color="auto"/>
              <w:right w:val="nil"/>
            </w:tcBorders>
            <w:shd w:val="clear" w:color="auto" w:fill="auto"/>
            <w:vAlign w:val="bottom"/>
          </w:tcPr>
          <w:p w14:paraId="7FE53E90" w14:textId="77777777" w:rsidR="008342F0" w:rsidRPr="008342F0" w:rsidRDefault="008342F0" w:rsidP="008342F0">
            <w:pPr>
              <w:pStyle w:val="Tabletext"/>
            </w:pPr>
            <w:r w:rsidRPr="008342F0">
              <w:t>0</w:t>
            </w:r>
            <w:r w:rsidR="00D7157D">
              <w:t>.</w:t>
            </w:r>
            <w:r w:rsidRPr="008342F0">
              <w:t>1031</w:t>
            </w:r>
          </w:p>
        </w:tc>
      </w:tr>
      <w:tr w:rsidR="008342F0" w:rsidRPr="008342F0" w14:paraId="0EC9B6C5" w14:textId="77777777" w:rsidTr="00F160E0">
        <w:trPr>
          <w:cantSplit/>
        </w:trPr>
        <w:tc>
          <w:tcPr>
            <w:tcW w:w="1136" w:type="pct"/>
            <w:tcBorders>
              <w:top w:val="single" w:sz="4" w:space="0" w:color="auto"/>
              <w:bottom w:val="single" w:sz="4" w:space="0" w:color="auto"/>
            </w:tcBorders>
          </w:tcPr>
          <w:p w14:paraId="0623D7D8" w14:textId="77777777" w:rsidR="008342F0" w:rsidRPr="00063033" w:rsidRDefault="008342F0" w:rsidP="008342F0">
            <w:pPr>
              <w:pStyle w:val="Tabletext"/>
            </w:pPr>
            <w:r w:rsidRPr="00063033">
              <w:t>95</w:t>
            </w:r>
          </w:p>
        </w:tc>
        <w:tc>
          <w:tcPr>
            <w:tcW w:w="966" w:type="pct"/>
            <w:tcBorders>
              <w:top w:val="single" w:sz="4" w:space="0" w:color="auto"/>
              <w:bottom w:val="single" w:sz="4" w:space="0" w:color="auto"/>
            </w:tcBorders>
            <w:shd w:val="clear" w:color="auto" w:fill="auto"/>
            <w:vAlign w:val="bottom"/>
          </w:tcPr>
          <w:p w14:paraId="281C1BCA" w14:textId="77777777" w:rsidR="008342F0" w:rsidRPr="008342F0" w:rsidRDefault="008342F0" w:rsidP="008342F0">
            <w:pPr>
              <w:pStyle w:val="Tabletext"/>
            </w:pPr>
            <w:r w:rsidRPr="008342F0">
              <w:t>2</w:t>
            </w:r>
            <w:r w:rsidR="00D7157D">
              <w:t>.</w:t>
            </w:r>
            <w:r w:rsidRPr="008342F0">
              <w:t>8075</w:t>
            </w:r>
          </w:p>
        </w:tc>
        <w:tc>
          <w:tcPr>
            <w:tcW w:w="966" w:type="pct"/>
            <w:tcBorders>
              <w:top w:val="single" w:sz="4" w:space="0" w:color="auto"/>
              <w:bottom w:val="single" w:sz="4" w:space="0" w:color="auto"/>
            </w:tcBorders>
            <w:shd w:val="clear" w:color="auto" w:fill="auto"/>
            <w:vAlign w:val="bottom"/>
          </w:tcPr>
          <w:p w14:paraId="5962CF33" w14:textId="77777777" w:rsidR="008342F0" w:rsidRPr="008342F0" w:rsidRDefault="008342F0" w:rsidP="008342F0">
            <w:pPr>
              <w:pStyle w:val="Tabletext"/>
            </w:pPr>
            <w:r w:rsidRPr="008342F0">
              <w:t>0</w:t>
            </w:r>
            <w:r w:rsidR="00D7157D">
              <w:t>.</w:t>
            </w:r>
            <w:r w:rsidRPr="008342F0">
              <w:t>3215</w:t>
            </w:r>
          </w:p>
        </w:tc>
        <w:tc>
          <w:tcPr>
            <w:tcW w:w="966" w:type="pct"/>
            <w:tcBorders>
              <w:top w:val="single" w:sz="4" w:space="0" w:color="auto"/>
              <w:bottom w:val="single" w:sz="4" w:space="0" w:color="auto"/>
            </w:tcBorders>
            <w:shd w:val="clear" w:color="auto" w:fill="auto"/>
            <w:vAlign w:val="bottom"/>
          </w:tcPr>
          <w:p w14:paraId="3EB3C7EC" w14:textId="77777777" w:rsidR="008342F0" w:rsidRPr="008342F0" w:rsidRDefault="008342F0" w:rsidP="008342F0">
            <w:pPr>
              <w:pStyle w:val="Tabletext"/>
            </w:pPr>
            <w:r w:rsidRPr="008342F0">
              <w:t>2</w:t>
            </w:r>
            <w:r w:rsidR="00D7157D">
              <w:t>.</w:t>
            </w:r>
            <w:r w:rsidRPr="008342F0">
              <w:t>9173</w:t>
            </w:r>
          </w:p>
        </w:tc>
        <w:tc>
          <w:tcPr>
            <w:tcW w:w="966" w:type="pct"/>
            <w:tcBorders>
              <w:top w:val="single" w:sz="4" w:space="0" w:color="auto"/>
              <w:bottom w:val="single" w:sz="4" w:space="0" w:color="auto"/>
              <w:right w:val="nil"/>
            </w:tcBorders>
            <w:shd w:val="clear" w:color="auto" w:fill="auto"/>
            <w:vAlign w:val="bottom"/>
          </w:tcPr>
          <w:p w14:paraId="12096DE5" w14:textId="77777777" w:rsidR="008342F0" w:rsidRPr="008342F0" w:rsidRDefault="008342F0" w:rsidP="008342F0">
            <w:pPr>
              <w:pStyle w:val="Tabletext"/>
            </w:pPr>
            <w:r w:rsidRPr="008342F0">
              <w:t>0</w:t>
            </w:r>
            <w:r w:rsidR="00D7157D">
              <w:t>.</w:t>
            </w:r>
            <w:r w:rsidRPr="008342F0">
              <w:t>0987</w:t>
            </w:r>
          </w:p>
        </w:tc>
      </w:tr>
      <w:tr w:rsidR="008342F0" w:rsidRPr="008342F0" w14:paraId="2BA2916E" w14:textId="77777777" w:rsidTr="00F160E0">
        <w:trPr>
          <w:cantSplit/>
        </w:trPr>
        <w:tc>
          <w:tcPr>
            <w:tcW w:w="1136" w:type="pct"/>
            <w:tcBorders>
              <w:top w:val="single" w:sz="4" w:space="0" w:color="auto"/>
              <w:bottom w:val="single" w:sz="4" w:space="0" w:color="auto"/>
            </w:tcBorders>
          </w:tcPr>
          <w:p w14:paraId="6B756F77" w14:textId="77777777" w:rsidR="008342F0" w:rsidRPr="00063033" w:rsidRDefault="008342F0" w:rsidP="008342F0">
            <w:pPr>
              <w:pStyle w:val="Tabletext"/>
            </w:pPr>
            <w:r w:rsidRPr="00063033">
              <w:t>96</w:t>
            </w:r>
          </w:p>
        </w:tc>
        <w:tc>
          <w:tcPr>
            <w:tcW w:w="966" w:type="pct"/>
            <w:tcBorders>
              <w:top w:val="single" w:sz="4" w:space="0" w:color="auto"/>
              <w:bottom w:val="single" w:sz="4" w:space="0" w:color="auto"/>
            </w:tcBorders>
            <w:shd w:val="clear" w:color="auto" w:fill="auto"/>
            <w:vAlign w:val="bottom"/>
          </w:tcPr>
          <w:p w14:paraId="13422883" w14:textId="77777777" w:rsidR="008342F0" w:rsidRPr="008342F0" w:rsidRDefault="008342F0" w:rsidP="008342F0">
            <w:pPr>
              <w:pStyle w:val="Tabletext"/>
            </w:pPr>
            <w:r w:rsidRPr="008342F0">
              <w:t>2</w:t>
            </w:r>
            <w:r w:rsidR="00D7157D">
              <w:t>.</w:t>
            </w:r>
            <w:r w:rsidRPr="008342F0">
              <w:t>6492</w:t>
            </w:r>
          </w:p>
        </w:tc>
        <w:tc>
          <w:tcPr>
            <w:tcW w:w="966" w:type="pct"/>
            <w:tcBorders>
              <w:top w:val="single" w:sz="4" w:space="0" w:color="auto"/>
              <w:bottom w:val="single" w:sz="4" w:space="0" w:color="auto"/>
            </w:tcBorders>
            <w:shd w:val="clear" w:color="auto" w:fill="auto"/>
            <w:vAlign w:val="bottom"/>
          </w:tcPr>
          <w:p w14:paraId="6C18DBDD" w14:textId="77777777" w:rsidR="008342F0" w:rsidRPr="008342F0" w:rsidRDefault="008342F0" w:rsidP="008342F0">
            <w:pPr>
              <w:pStyle w:val="Tabletext"/>
            </w:pPr>
            <w:r w:rsidRPr="008342F0">
              <w:t>0</w:t>
            </w:r>
            <w:r w:rsidR="00D7157D">
              <w:t>.</w:t>
            </w:r>
            <w:r w:rsidRPr="008342F0">
              <w:t>3026</w:t>
            </w:r>
          </w:p>
        </w:tc>
        <w:tc>
          <w:tcPr>
            <w:tcW w:w="966" w:type="pct"/>
            <w:tcBorders>
              <w:top w:val="single" w:sz="4" w:space="0" w:color="auto"/>
              <w:bottom w:val="single" w:sz="4" w:space="0" w:color="auto"/>
            </w:tcBorders>
            <w:shd w:val="clear" w:color="auto" w:fill="auto"/>
            <w:vAlign w:val="bottom"/>
          </w:tcPr>
          <w:p w14:paraId="10B7A8EC" w14:textId="77777777" w:rsidR="008342F0" w:rsidRPr="008342F0" w:rsidRDefault="008342F0" w:rsidP="008342F0">
            <w:pPr>
              <w:pStyle w:val="Tabletext"/>
            </w:pPr>
            <w:r w:rsidRPr="008342F0">
              <w:t>2</w:t>
            </w:r>
            <w:r w:rsidR="00D7157D">
              <w:t>.</w:t>
            </w:r>
            <w:r w:rsidRPr="008342F0">
              <w:t>7565</w:t>
            </w:r>
          </w:p>
        </w:tc>
        <w:tc>
          <w:tcPr>
            <w:tcW w:w="966" w:type="pct"/>
            <w:tcBorders>
              <w:top w:val="single" w:sz="4" w:space="0" w:color="auto"/>
              <w:bottom w:val="single" w:sz="4" w:space="0" w:color="auto"/>
              <w:right w:val="nil"/>
            </w:tcBorders>
            <w:shd w:val="clear" w:color="auto" w:fill="auto"/>
            <w:vAlign w:val="bottom"/>
          </w:tcPr>
          <w:p w14:paraId="70D80E1E" w14:textId="77777777" w:rsidR="008342F0" w:rsidRPr="008342F0" w:rsidRDefault="008342F0" w:rsidP="008342F0">
            <w:pPr>
              <w:pStyle w:val="Tabletext"/>
            </w:pPr>
            <w:r w:rsidRPr="008342F0">
              <w:t>0</w:t>
            </w:r>
            <w:r w:rsidR="00D7157D">
              <w:t>.</w:t>
            </w:r>
            <w:r w:rsidRPr="008342F0">
              <w:t>0943</w:t>
            </w:r>
          </w:p>
        </w:tc>
      </w:tr>
      <w:tr w:rsidR="008342F0" w:rsidRPr="008342F0" w14:paraId="382E7608" w14:textId="77777777" w:rsidTr="00F160E0">
        <w:trPr>
          <w:cantSplit/>
        </w:trPr>
        <w:tc>
          <w:tcPr>
            <w:tcW w:w="1136" w:type="pct"/>
            <w:tcBorders>
              <w:top w:val="single" w:sz="4" w:space="0" w:color="auto"/>
              <w:bottom w:val="single" w:sz="4" w:space="0" w:color="auto"/>
            </w:tcBorders>
          </w:tcPr>
          <w:p w14:paraId="16B1FE9B" w14:textId="77777777" w:rsidR="008342F0" w:rsidRPr="00063033" w:rsidRDefault="008342F0" w:rsidP="008342F0">
            <w:pPr>
              <w:pStyle w:val="Tabletext"/>
            </w:pPr>
            <w:r w:rsidRPr="00063033">
              <w:t>97</w:t>
            </w:r>
          </w:p>
        </w:tc>
        <w:tc>
          <w:tcPr>
            <w:tcW w:w="966" w:type="pct"/>
            <w:tcBorders>
              <w:top w:val="single" w:sz="4" w:space="0" w:color="auto"/>
              <w:bottom w:val="single" w:sz="4" w:space="0" w:color="auto"/>
            </w:tcBorders>
            <w:shd w:val="clear" w:color="auto" w:fill="auto"/>
            <w:vAlign w:val="bottom"/>
          </w:tcPr>
          <w:p w14:paraId="45814B63" w14:textId="77777777" w:rsidR="008342F0" w:rsidRPr="008342F0" w:rsidRDefault="008342F0" w:rsidP="008342F0">
            <w:pPr>
              <w:pStyle w:val="Tabletext"/>
            </w:pPr>
            <w:r w:rsidRPr="008342F0">
              <w:t>2</w:t>
            </w:r>
            <w:r w:rsidR="00D7157D">
              <w:t>.</w:t>
            </w:r>
            <w:r w:rsidRPr="008342F0">
              <w:t>5019</w:t>
            </w:r>
          </w:p>
        </w:tc>
        <w:tc>
          <w:tcPr>
            <w:tcW w:w="966" w:type="pct"/>
            <w:tcBorders>
              <w:top w:val="single" w:sz="4" w:space="0" w:color="auto"/>
              <w:bottom w:val="single" w:sz="4" w:space="0" w:color="auto"/>
            </w:tcBorders>
            <w:shd w:val="clear" w:color="auto" w:fill="auto"/>
            <w:vAlign w:val="bottom"/>
          </w:tcPr>
          <w:p w14:paraId="0C35EEF5" w14:textId="77777777" w:rsidR="008342F0" w:rsidRPr="008342F0" w:rsidRDefault="008342F0" w:rsidP="008342F0">
            <w:pPr>
              <w:pStyle w:val="Tabletext"/>
            </w:pPr>
            <w:r w:rsidRPr="008342F0">
              <w:t>0</w:t>
            </w:r>
            <w:r w:rsidR="00D7157D">
              <w:t>.</w:t>
            </w:r>
            <w:r w:rsidRPr="008342F0">
              <w:t>2838</w:t>
            </w:r>
          </w:p>
        </w:tc>
        <w:tc>
          <w:tcPr>
            <w:tcW w:w="966" w:type="pct"/>
            <w:tcBorders>
              <w:top w:val="single" w:sz="4" w:space="0" w:color="auto"/>
              <w:bottom w:val="single" w:sz="4" w:space="0" w:color="auto"/>
            </w:tcBorders>
            <w:shd w:val="clear" w:color="auto" w:fill="auto"/>
            <w:vAlign w:val="bottom"/>
          </w:tcPr>
          <w:p w14:paraId="0C1CE641" w14:textId="77777777" w:rsidR="008342F0" w:rsidRPr="008342F0" w:rsidRDefault="008342F0" w:rsidP="008342F0">
            <w:pPr>
              <w:pStyle w:val="Tabletext"/>
            </w:pPr>
            <w:r w:rsidRPr="008342F0">
              <w:t>2</w:t>
            </w:r>
            <w:r w:rsidR="00D7157D">
              <w:t>.</w:t>
            </w:r>
            <w:r w:rsidRPr="008342F0">
              <w:t>6014</w:t>
            </w:r>
          </w:p>
        </w:tc>
        <w:tc>
          <w:tcPr>
            <w:tcW w:w="966" w:type="pct"/>
            <w:tcBorders>
              <w:top w:val="single" w:sz="4" w:space="0" w:color="auto"/>
              <w:bottom w:val="single" w:sz="4" w:space="0" w:color="auto"/>
              <w:right w:val="nil"/>
            </w:tcBorders>
            <w:shd w:val="clear" w:color="auto" w:fill="auto"/>
            <w:vAlign w:val="bottom"/>
          </w:tcPr>
          <w:p w14:paraId="4BB9F666" w14:textId="77777777" w:rsidR="008342F0" w:rsidRPr="008342F0" w:rsidRDefault="008342F0" w:rsidP="008342F0">
            <w:pPr>
              <w:pStyle w:val="Tabletext"/>
            </w:pPr>
            <w:r w:rsidRPr="008342F0">
              <w:t>0</w:t>
            </w:r>
            <w:r w:rsidR="00D7157D">
              <w:t>.</w:t>
            </w:r>
            <w:r w:rsidRPr="008342F0">
              <w:t>0900</w:t>
            </w:r>
          </w:p>
        </w:tc>
      </w:tr>
      <w:tr w:rsidR="008342F0" w:rsidRPr="008342F0" w14:paraId="1B964241" w14:textId="77777777" w:rsidTr="00F160E0">
        <w:trPr>
          <w:cantSplit/>
        </w:trPr>
        <w:tc>
          <w:tcPr>
            <w:tcW w:w="1136" w:type="pct"/>
            <w:tcBorders>
              <w:top w:val="single" w:sz="4" w:space="0" w:color="auto"/>
              <w:bottom w:val="single" w:sz="4" w:space="0" w:color="auto"/>
            </w:tcBorders>
          </w:tcPr>
          <w:p w14:paraId="6972D59D" w14:textId="77777777" w:rsidR="008342F0" w:rsidRPr="00063033" w:rsidRDefault="008342F0" w:rsidP="008342F0">
            <w:pPr>
              <w:pStyle w:val="Tabletext"/>
            </w:pPr>
            <w:r w:rsidRPr="00063033">
              <w:t>98</w:t>
            </w:r>
          </w:p>
        </w:tc>
        <w:tc>
          <w:tcPr>
            <w:tcW w:w="966" w:type="pct"/>
            <w:tcBorders>
              <w:top w:val="single" w:sz="4" w:space="0" w:color="auto"/>
              <w:bottom w:val="single" w:sz="4" w:space="0" w:color="auto"/>
            </w:tcBorders>
            <w:shd w:val="clear" w:color="auto" w:fill="auto"/>
            <w:vAlign w:val="bottom"/>
          </w:tcPr>
          <w:p w14:paraId="7579D787" w14:textId="77777777" w:rsidR="008342F0" w:rsidRPr="008342F0" w:rsidRDefault="008342F0" w:rsidP="008342F0">
            <w:pPr>
              <w:pStyle w:val="Tabletext"/>
            </w:pPr>
            <w:r w:rsidRPr="008342F0">
              <w:t>2</w:t>
            </w:r>
            <w:r w:rsidR="00D7157D">
              <w:t>.</w:t>
            </w:r>
            <w:r w:rsidRPr="008342F0">
              <w:t>3650</w:t>
            </w:r>
          </w:p>
        </w:tc>
        <w:tc>
          <w:tcPr>
            <w:tcW w:w="966" w:type="pct"/>
            <w:tcBorders>
              <w:top w:val="single" w:sz="4" w:space="0" w:color="auto"/>
              <w:bottom w:val="single" w:sz="4" w:space="0" w:color="auto"/>
            </w:tcBorders>
            <w:shd w:val="clear" w:color="auto" w:fill="auto"/>
            <w:vAlign w:val="bottom"/>
          </w:tcPr>
          <w:p w14:paraId="5E4E3AAC" w14:textId="77777777" w:rsidR="008342F0" w:rsidRPr="008342F0" w:rsidRDefault="008342F0" w:rsidP="008342F0">
            <w:pPr>
              <w:pStyle w:val="Tabletext"/>
            </w:pPr>
            <w:r w:rsidRPr="008342F0">
              <w:t>0</w:t>
            </w:r>
            <w:r w:rsidR="00D7157D">
              <w:t>.</w:t>
            </w:r>
            <w:r w:rsidRPr="008342F0">
              <w:t>2649</w:t>
            </w:r>
          </w:p>
        </w:tc>
        <w:tc>
          <w:tcPr>
            <w:tcW w:w="966" w:type="pct"/>
            <w:tcBorders>
              <w:top w:val="single" w:sz="4" w:space="0" w:color="auto"/>
              <w:bottom w:val="single" w:sz="4" w:space="0" w:color="auto"/>
            </w:tcBorders>
            <w:shd w:val="clear" w:color="auto" w:fill="auto"/>
            <w:vAlign w:val="bottom"/>
          </w:tcPr>
          <w:p w14:paraId="7A2DB039" w14:textId="77777777" w:rsidR="008342F0" w:rsidRPr="008342F0" w:rsidRDefault="008342F0" w:rsidP="008342F0">
            <w:pPr>
              <w:pStyle w:val="Tabletext"/>
            </w:pPr>
            <w:r w:rsidRPr="008342F0">
              <w:t>2</w:t>
            </w:r>
            <w:r w:rsidR="00D7157D">
              <w:t>.</w:t>
            </w:r>
            <w:r w:rsidRPr="008342F0">
              <w:t>4592</w:t>
            </w:r>
          </w:p>
        </w:tc>
        <w:tc>
          <w:tcPr>
            <w:tcW w:w="966" w:type="pct"/>
            <w:tcBorders>
              <w:top w:val="single" w:sz="4" w:space="0" w:color="auto"/>
              <w:bottom w:val="single" w:sz="4" w:space="0" w:color="auto"/>
              <w:right w:val="nil"/>
            </w:tcBorders>
            <w:shd w:val="clear" w:color="auto" w:fill="auto"/>
            <w:vAlign w:val="bottom"/>
          </w:tcPr>
          <w:p w14:paraId="45CE6F72" w14:textId="77777777" w:rsidR="008342F0" w:rsidRPr="008342F0" w:rsidRDefault="008342F0" w:rsidP="008342F0">
            <w:pPr>
              <w:pStyle w:val="Tabletext"/>
            </w:pPr>
            <w:r w:rsidRPr="008342F0">
              <w:t>0</w:t>
            </w:r>
            <w:r w:rsidR="00D7157D">
              <w:t>.</w:t>
            </w:r>
            <w:r w:rsidRPr="008342F0">
              <w:t>0855</w:t>
            </w:r>
          </w:p>
        </w:tc>
      </w:tr>
      <w:tr w:rsidR="008342F0" w:rsidRPr="009E2595" w14:paraId="2E65A0CC" w14:textId="77777777" w:rsidTr="00F160E0">
        <w:trPr>
          <w:cantSplit/>
        </w:trPr>
        <w:tc>
          <w:tcPr>
            <w:tcW w:w="1136" w:type="pct"/>
            <w:tcBorders>
              <w:top w:val="single" w:sz="4" w:space="0" w:color="auto"/>
              <w:bottom w:val="single" w:sz="12" w:space="0" w:color="auto"/>
            </w:tcBorders>
          </w:tcPr>
          <w:p w14:paraId="6E788948" w14:textId="77777777" w:rsidR="008342F0" w:rsidRPr="00063033" w:rsidRDefault="00ED15BD" w:rsidP="008342F0">
            <w:pPr>
              <w:pStyle w:val="Tabletext"/>
            </w:pPr>
            <w:r>
              <w:t>99 and over</w:t>
            </w:r>
          </w:p>
        </w:tc>
        <w:tc>
          <w:tcPr>
            <w:tcW w:w="966" w:type="pct"/>
            <w:tcBorders>
              <w:top w:val="single" w:sz="4" w:space="0" w:color="auto"/>
              <w:bottom w:val="single" w:sz="12" w:space="0" w:color="auto"/>
            </w:tcBorders>
            <w:shd w:val="clear" w:color="auto" w:fill="auto"/>
            <w:vAlign w:val="bottom"/>
          </w:tcPr>
          <w:p w14:paraId="21378EE9" w14:textId="77777777" w:rsidR="008342F0" w:rsidRPr="008342F0" w:rsidRDefault="008342F0" w:rsidP="008342F0">
            <w:pPr>
              <w:pStyle w:val="Tabletext"/>
            </w:pPr>
            <w:r w:rsidRPr="008342F0">
              <w:t>2</w:t>
            </w:r>
            <w:r w:rsidR="00D7157D">
              <w:t>.</w:t>
            </w:r>
            <w:r w:rsidRPr="008342F0">
              <w:t>2382</w:t>
            </w:r>
          </w:p>
        </w:tc>
        <w:tc>
          <w:tcPr>
            <w:tcW w:w="966" w:type="pct"/>
            <w:tcBorders>
              <w:top w:val="single" w:sz="4" w:space="0" w:color="auto"/>
              <w:bottom w:val="single" w:sz="12" w:space="0" w:color="auto"/>
            </w:tcBorders>
            <w:shd w:val="clear" w:color="auto" w:fill="auto"/>
            <w:vAlign w:val="bottom"/>
          </w:tcPr>
          <w:p w14:paraId="6B724EF1" w14:textId="77777777" w:rsidR="008342F0" w:rsidRPr="008342F0" w:rsidRDefault="008342F0" w:rsidP="008342F0">
            <w:pPr>
              <w:pStyle w:val="Tabletext"/>
            </w:pPr>
            <w:r w:rsidRPr="008342F0">
              <w:t>0</w:t>
            </w:r>
            <w:r w:rsidR="00D7157D">
              <w:t>.</w:t>
            </w:r>
            <w:r w:rsidRPr="008342F0">
              <w:t>2457</w:t>
            </w:r>
          </w:p>
        </w:tc>
        <w:tc>
          <w:tcPr>
            <w:tcW w:w="966" w:type="pct"/>
            <w:tcBorders>
              <w:top w:val="single" w:sz="4" w:space="0" w:color="auto"/>
              <w:bottom w:val="single" w:sz="12" w:space="0" w:color="auto"/>
            </w:tcBorders>
            <w:shd w:val="clear" w:color="auto" w:fill="auto"/>
            <w:vAlign w:val="bottom"/>
          </w:tcPr>
          <w:p w14:paraId="1B4B6CA3" w14:textId="77777777" w:rsidR="008342F0" w:rsidRPr="008342F0" w:rsidRDefault="008342F0" w:rsidP="008342F0">
            <w:pPr>
              <w:pStyle w:val="Tabletext"/>
            </w:pPr>
            <w:r w:rsidRPr="008342F0">
              <w:t>2</w:t>
            </w:r>
            <w:r w:rsidR="00D7157D">
              <w:t>.</w:t>
            </w:r>
            <w:r w:rsidRPr="008342F0">
              <w:t>3286</w:t>
            </w:r>
          </w:p>
        </w:tc>
        <w:tc>
          <w:tcPr>
            <w:tcW w:w="966" w:type="pct"/>
            <w:tcBorders>
              <w:top w:val="single" w:sz="4" w:space="0" w:color="auto"/>
              <w:bottom w:val="single" w:sz="12" w:space="0" w:color="auto"/>
              <w:right w:val="nil"/>
            </w:tcBorders>
            <w:shd w:val="clear" w:color="auto" w:fill="auto"/>
            <w:vAlign w:val="bottom"/>
          </w:tcPr>
          <w:p w14:paraId="37937112" w14:textId="77777777" w:rsidR="008342F0" w:rsidRPr="008342F0" w:rsidRDefault="008342F0" w:rsidP="008342F0">
            <w:pPr>
              <w:pStyle w:val="Tabletext"/>
            </w:pPr>
            <w:r w:rsidRPr="008342F0">
              <w:t>0</w:t>
            </w:r>
            <w:r w:rsidR="00D7157D">
              <w:t>.</w:t>
            </w:r>
            <w:r w:rsidRPr="008342F0">
              <w:t>0807</w:t>
            </w:r>
          </w:p>
        </w:tc>
      </w:tr>
    </w:tbl>
    <w:p w14:paraId="0BD6831C" w14:textId="77777777" w:rsidR="000527FC" w:rsidRPr="00A058B6" w:rsidRDefault="000527FC" w:rsidP="000527FC">
      <w:pPr>
        <w:pStyle w:val="ActHead5"/>
      </w:pPr>
      <w:bookmarkStart w:id="335" w:name="_Toc188350810"/>
      <w:r w:rsidRPr="00423C34">
        <w:rPr>
          <w:rStyle w:val="CharSectno"/>
        </w:rPr>
        <w:t>5</w:t>
      </w:r>
      <w:r w:rsidRPr="00A058B6">
        <w:t xml:space="preserve">  Valuation factors—CPI indexed pension with 5% cap</w:t>
      </w:r>
      <w:bookmarkEnd w:id="335"/>
    </w:p>
    <w:p w14:paraId="3F708A36" w14:textId="77777777" w:rsidR="000527FC" w:rsidRPr="00A058B6" w:rsidRDefault="000527FC" w:rsidP="000527FC">
      <w:pPr>
        <w:pStyle w:val="subsection"/>
      </w:pPr>
      <w:r w:rsidRPr="00A058B6">
        <w:tab/>
      </w:r>
      <w:r w:rsidRPr="00A058B6">
        <w:tab/>
        <w:t>The pension valuation factors and reversion valuation factors set out in this clause apply if the pension is indexed in accordance with the consumer price index with a cap of 5%</w:t>
      </w:r>
      <w:r w:rsidR="00D7157D">
        <w:t>.</w:t>
      </w:r>
    </w:p>
    <w:p w14:paraId="5B730691" w14:textId="77777777" w:rsidR="000527FC" w:rsidRPr="00A058B6"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A058B6" w14:paraId="54C92202" w14:textId="77777777" w:rsidTr="00FD658D">
        <w:trPr>
          <w:cantSplit/>
          <w:trHeight w:val="50"/>
          <w:tblHeader/>
        </w:trPr>
        <w:tc>
          <w:tcPr>
            <w:tcW w:w="1136" w:type="pct"/>
            <w:vMerge w:val="restart"/>
            <w:tcBorders>
              <w:top w:val="single" w:sz="12" w:space="0" w:color="auto"/>
              <w:bottom w:val="single" w:sz="12" w:space="0" w:color="auto"/>
            </w:tcBorders>
          </w:tcPr>
          <w:p w14:paraId="66CFD76B" w14:textId="77777777" w:rsidR="000527FC" w:rsidRPr="00A058B6" w:rsidRDefault="000527FC" w:rsidP="00FD658D">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4E880F8B" w14:textId="77777777" w:rsidR="000527FC" w:rsidRPr="00A058B6" w:rsidRDefault="000527FC" w:rsidP="00FD658D">
            <w:pPr>
              <w:pStyle w:val="TableHeading"/>
            </w:pPr>
            <w:r w:rsidRPr="00A058B6">
              <w:t>Valuation factors—CPI indexed pension with 5% cap</w:t>
            </w:r>
          </w:p>
        </w:tc>
      </w:tr>
      <w:tr w:rsidR="000527FC" w:rsidRPr="00A058B6" w14:paraId="6659B23A" w14:textId="77777777" w:rsidTr="00FD658D">
        <w:trPr>
          <w:cantSplit/>
          <w:trHeight w:val="50"/>
          <w:tblHeader/>
        </w:trPr>
        <w:tc>
          <w:tcPr>
            <w:tcW w:w="1136" w:type="pct"/>
            <w:vMerge/>
            <w:tcBorders>
              <w:bottom w:val="single" w:sz="12" w:space="0" w:color="auto"/>
            </w:tcBorders>
          </w:tcPr>
          <w:p w14:paraId="432A90C0" w14:textId="77777777" w:rsidR="000527FC" w:rsidRPr="00A058B6" w:rsidRDefault="000527FC" w:rsidP="00FD658D">
            <w:pPr>
              <w:pStyle w:val="TableHeading"/>
            </w:pPr>
          </w:p>
        </w:tc>
        <w:tc>
          <w:tcPr>
            <w:tcW w:w="1932" w:type="pct"/>
            <w:gridSpan w:val="2"/>
            <w:tcBorders>
              <w:bottom w:val="single" w:sz="4" w:space="0" w:color="auto"/>
            </w:tcBorders>
          </w:tcPr>
          <w:p w14:paraId="52FFF06A" w14:textId="77777777" w:rsidR="000527FC" w:rsidRPr="00A058B6" w:rsidRDefault="000527FC" w:rsidP="00FD658D">
            <w:pPr>
              <w:pStyle w:val="TableHeading"/>
            </w:pPr>
            <w:r w:rsidRPr="00A058B6">
              <w:t>Males</w:t>
            </w:r>
          </w:p>
        </w:tc>
        <w:tc>
          <w:tcPr>
            <w:tcW w:w="1932" w:type="pct"/>
            <w:gridSpan w:val="2"/>
            <w:tcBorders>
              <w:top w:val="single" w:sz="4" w:space="0" w:color="auto"/>
              <w:bottom w:val="single" w:sz="4" w:space="0" w:color="auto"/>
            </w:tcBorders>
          </w:tcPr>
          <w:p w14:paraId="3FB6E41B" w14:textId="77777777" w:rsidR="000527FC" w:rsidRPr="00A058B6" w:rsidRDefault="000527FC" w:rsidP="00FD658D">
            <w:pPr>
              <w:pStyle w:val="TableHeading"/>
            </w:pPr>
            <w:r w:rsidRPr="00A058B6">
              <w:t>Females</w:t>
            </w:r>
          </w:p>
        </w:tc>
      </w:tr>
      <w:tr w:rsidR="000527FC" w:rsidRPr="00A058B6" w14:paraId="33A4BA2B" w14:textId="77777777" w:rsidTr="00F160E0">
        <w:trPr>
          <w:cantSplit/>
          <w:trHeight w:val="50"/>
          <w:tblHeader/>
        </w:trPr>
        <w:tc>
          <w:tcPr>
            <w:tcW w:w="1136" w:type="pct"/>
            <w:vMerge/>
            <w:tcBorders>
              <w:bottom w:val="single" w:sz="12" w:space="0" w:color="auto"/>
            </w:tcBorders>
          </w:tcPr>
          <w:p w14:paraId="1A1753C8" w14:textId="77777777" w:rsidR="000527FC" w:rsidRPr="00A058B6" w:rsidRDefault="000527FC" w:rsidP="00FD658D">
            <w:pPr>
              <w:pStyle w:val="TableHeading"/>
            </w:pPr>
          </w:p>
        </w:tc>
        <w:tc>
          <w:tcPr>
            <w:tcW w:w="966" w:type="pct"/>
            <w:tcBorders>
              <w:top w:val="single" w:sz="4" w:space="0" w:color="auto"/>
              <w:bottom w:val="single" w:sz="12" w:space="0" w:color="auto"/>
            </w:tcBorders>
          </w:tcPr>
          <w:p w14:paraId="0BF5EB0A"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744687C4" w14:textId="77777777" w:rsidR="000527FC" w:rsidRPr="00A058B6" w:rsidRDefault="000527FC" w:rsidP="00FD658D">
            <w:pPr>
              <w:pStyle w:val="TableHeading"/>
            </w:pPr>
            <w:r w:rsidRPr="00A058B6">
              <w:t>Reversion</w:t>
            </w:r>
          </w:p>
        </w:tc>
        <w:tc>
          <w:tcPr>
            <w:tcW w:w="966" w:type="pct"/>
            <w:tcBorders>
              <w:top w:val="single" w:sz="4" w:space="0" w:color="auto"/>
              <w:bottom w:val="single" w:sz="12" w:space="0" w:color="auto"/>
            </w:tcBorders>
          </w:tcPr>
          <w:p w14:paraId="50D35FB1"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580ADBF2" w14:textId="77777777" w:rsidR="000527FC" w:rsidRPr="00A058B6" w:rsidRDefault="000527FC" w:rsidP="00FD658D">
            <w:pPr>
              <w:pStyle w:val="TableHeading"/>
            </w:pPr>
            <w:r w:rsidRPr="00A058B6">
              <w:t>Reversion</w:t>
            </w:r>
          </w:p>
        </w:tc>
      </w:tr>
      <w:tr w:rsidR="00F61CED" w:rsidRPr="00F61CED" w14:paraId="1F0C12BE" w14:textId="77777777" w:rsidTr="00F160E0">
        <w:trPr>
          <w:cantSplit/>
        </w:trPr>
        <w:tc>
          <w:tcPr>
            <w:tcW w:w="1136" w:type="pct"/>
            <w:tcBorders>
              <w:top w:val="single" w:sz="12" w:space="0" w:color="auto"/>
              <w:bottom w:val="single" w:sz="4" w:space="0" w:color="auto"/>
            </w:tcBorders>
          </w:tcPr>
          <w:p w14:paraId="5186C2A3" w14:textId="77777777" w:rsidR="00F61CED" w:rsidRPr="00616B26" w:rsidRDefault="00F61CED" w:rsidP="00F61CED">
            <w:pPr>
              <w:pStyle w:val="Tabletext"/>
              <w:rPr>
                <w:snapToGrid w:val="0"/>
              </w:rPr>
            </w:pPr>
            <w:r w:rsidRPr="00616B26">
              <w:rPr>
                <w:snapToGrid w:val="0"/>
              </w:rPr>
              <w:t>18</w:t>
            </w:r>
          </w:p>
        </w:tc>
        <w:tc>
          <w:tcPr>
            <w:tcW w:w="966" w:type="pct"/>
            <w:tcBorders>
              <w:top w:val="single" w:sz="12" w:space="0" w:color="auto"/>
              <w:bottom w:val="single" w:sz="4" w:space="0" w:color="auto"/>
            </w:tcBorders>
            <w:shd w:val="clear" w:color="auto" w:fill="auto"/>
            <w:vAlign w:val="bottom"/>
          </w:tcPr>
          <w:p w14:paraId="39E5B7D7" w14:textId="77777777" w:rsidR="00F61CED" w:rsidRPr="00F61CED" w:rsidRDefault="00F61CED" w:rsidP="00F61CED">
            <w:pPr>
              <w:pStyle w:val="Tabletext"/>
            </w:pPr>
            <w:r w:rsidRPr="00F61CED">
              <w:t>24</w:t>
            </w:r>
            <w:r w:rsidR="00D7157D">
              <w:t>.</w:t>
            </w:r>
            <w:r w:rsidRPr="00F61CED">
              <w:t>1356</w:t>
            </w:r>
          </w:p>
        </w:tc>
        <w:tc>
          <w:tcPr>
            <w:tcW w:w="966" w:type="pct"/>
            <w:tcBorders>
              <w:top w:val="single" w:sz="12" w:space="0" w:color="auto"/>
              <w:bottom w:val="single" w:sz="4" w:space="0" w:color="auto"/>
            </w:tcBorders>
            <w:shd w:val="clear" w:color="auto" w:fill="auto"/>
            <w:vAlign w:val="bottom"/>
          </w:tcPr>
          <w:p w14:paraId="3CCA77AA" w14:textId="77777777" w:rsidR="00F61CED" w:rsidRPr="00F61CED" w:rsidRDefault="00F61CED" w:rsidP="00F61CED">
            <w:pPr>
              <w:pStyle w:val="Tabletext"/>
            </w:pPr>
            <w:r w:rsidRPr="00F61CED">
              <w:t>1</w:t>
            </w:r>
            <w:r w:rsidR="00D7157D">
              <w:t>.</w:t>
            </w:r>
            <w:r w:rsidRPr="00F61CED">
              <w:t>7335</w:t>
            </w:r>
          </w:p>
        </w:tc>
        <w:tc>
          <w:tcPr>
            <w:tcW w:w="966" w:type="pct"/>
            <w:tcBorders>
              <w:top w:val="single" w:sz="12" w:space="0" w:color="auto"/>
              <w:bottom w:val="single" w:sz="4" w:space="0" w:color="auto"/>
            </w:tcBorders>
            <w:shd w:val="clear" w:color="auto" w:fill="auto"/>
            <w:vAlign w:val="bottom"/>
          </w:tcPr>
          <w:p w14:paraId="3E5D9651" w14:textId="77777777" w:rsidR="00F61CED" w:rsidRPr="00F61CED" w:rsidRDefault="00F61CED" w:rsidP="00F61CED">
            <w:pPr>
              <w:pStyle w:val="Tabletext"/>
            </w:pPr>
            <w:r w:rsidRPr="00F61CED">
              <w:t>24</w:t>
            </w:r>
            <w:r w:rsidR="00D7157D">
              <w:t>.</w:t>
            </w:r>
            <w:r w:rsidRPr="00F61CED">
              <w:t>9294</w:t>
            </w:r>
          </w:p>
        </w:tc>
        <w:tc>
          <w:tcPr>
            <w:tcW w:w="966" w:type="pct"/>
            <w:tcBorders>
              <w:top w:val="single" w:sz="12" w:space="0" w:color="auto"/>
              <w:bottom w:val="single" w:sz="4" w:space="0" w:color="auto"/>
              <w:right w:val="nil"/>
            </w:tcBorders>
            <w:shd w:val="clear" w:color="auto" w:fill="auto"/>
            <w:vAlign w:val="bottom"/>
          </w:tcPr>
          <w:p w14:paraId="275C67EF" w14:textId="77777777" w:rsidR="00F61CED" w:rsidRPr="00F61CED" w:rsidRDefault="00F61CED" w:rsidP="00F61CED">
            <w:pPr>
              <w:pStyle w:val="Tabletext"/>
            </w:pPr>
            <w:r w:rsidRPr="00F61CED">
              <w:t>0</w:t>
            </w:r>
            <w:r w:rsidR="00D7157D">
              <w:t>.</w:t>
            </w:r>
            <w:r w:rsidRPr="00F61CED">
              <w:t>8591</w:t>
            </w:r>
          </w:p>
        </w:tc>
      </w:tr>
      <w:tr w:rsidR="00F61CED" w:rsidRPr="00F61CED" w14:paraId="7EC3FFD2" w14:textId="77777777" w:rsidTr="00F160E0">
        <w:trPr>
          <w:cantSplit/>
        </w:trPr>
        <w:tc>
          <w:tcPr>
            <w:tcW w:w="1136" w:type="pct"/>
            <w:tcBorders>
              <w:top w:val="single" w:sz="4" w:space="0" w:color="auto"/>
              <w:bottom w:val="single" w:sz="4" w:space="0" w:color="auto"/>
            </w:tcBorders>
          </w:tcPr>
          <w:p w14:paraId="2D37D17A" w14:textId="77777777" w:rsidR="00F61CED" w:rsidRPr="00F61CED" w:rsidRDefault="00F61CED" w:rsidP="00F61CED">
            <w:pPr>
              <w:pStyle w:val="Tabletext"/>
            </w:pPr>
            <w:r w:rsidRPr="00F61CED">
              <w:t>19</w:t>
            </w:r>
          </w:p>
        </w:tc>
        <w:tc>
          <w:tcPr>
            <w:tcW w:w="966" w:type="pct"/>
            <w:tcBorders>
              <w:top w:val="single" w:sz="4" w:space="0" w:color="auto"/>
              <w:bottom w:val="single" w:sz="4" w:space="0" w:color="auto"/>
            </w:tcBorders>
            <w:shd w:val="clear" w:color="auto" w:fill="auto"/>
            <w:vAlign w:val="bottom"/>
          </w:tcPr>
          <w:p w14:paraId="516BEF9D" w14:textId="77777777" w:rsidR="00F61CED" w:rsidRPr="00F61CED" w:rsidRDefault="00F61CED" w:rsidP="00F61CED">
            <w:pPr>
              <w:pStyle w:val="Tabletext"/>
            </w:pPr>
            <w:r w:rsidRPr="00F61CED">
              <w:t>24</w:t>
            </w:r>
            <w:r w:rsidR="00D7157D">
              <w:t>.</w:t>
            </w:r>
            <w:r w:rsidRPr="00F61CED">
              <w:t>0167</w:t>
            </w:r>
          </w:p>
        </w:tc>
        <w:tc>
          <w:tcPr>
            <w:tcW w:w="966" w:type="pct"/>
            <w:tcBorders>
              <w:top w:val="single" w:sz="4" w:space="0" w:color="auto"/>
              <w:bottom w:val="single" w:sz="4" w:space="0" w:color="auto"/>
            </w:tcBorders>
            <w:shd w:val="clear" w:color="auto" w:fill="auto"/>
            <w:vAlign w:val="bottom"/>
          </w:tcPr>
          <w:p w14:paraId="34D44003" w14:textId="77777777" w:rsidR="00F61CED" w:rsidRPr="00F61CED" w:rsidRDefault="00F61CED" w:rsidP="00F61CED">
            <w:pPr>
              <w:pStyle w:val="Tabletext"/>
            </w:pPr>
            <w:r w:rsidRPr="00F61CED">
              <w:t>1</w:t>
            </w:r>
            <w:r w:rsidR="00D7157D">
              <w:t>.</w:t>
            </w:r>
            <w:r w:rsidRPr="00F61CED">
              <w:t>7632</w:t>
            </w:r>
          </w:p>
        </w:tc>
        <w:tc>
          <w:tcPr>
            <w:tcW w:w="966" w:type="pct"/>
            <w:tcBorders>
              <w:top w:val="single" w:sz="4" w:space="0" w:color="auto"/>
              <w:bottom w:val="single" w:sz="4" w:space="0" w:color="auto"/>
            </w:tcBorders>
            <w:shd w:val="clear" w:color="auto" w:fill="auto"/>
            <w:vAlign w:val="bottom"/>
          </w:tcPr>
          <w:p w14:paraId="4DA89518" w14:textId="77777777" w:rsidR="00F61CED" w:rsidRPr="00F61CED" w:rsidRDefault="00F61CED" w:rsidP="00F61CED">
            <w:pPr>
              <w:pStyle w:val="Tabletext"/>
            </w:pPr>
            <w:r w:rsidRPr="00F61CED">
              <w:t>24</w:t>
            </w:r>
            <w:r w:rsidR="00D7157D">
              <w:t>.</w:t>
            </w:r>
            <w:r w:rsidRPr="00F61CED">
              <w:t>8206</w:t>
            </w:r>
          </w:p>
        </w:tc>
        <w:tc>
          <w:tcPr>
            <w:tcW w:w="966" w:type="pct"/>
            <w:tcBorders>
              <w:top w:val="single" w:sz="4" w:space="0" w:color="auto"/>
              <w:bottom w:val="single" w:sz="4" w:space="0" w:color="auto"/>
              <w:right w:val="nil"/>
            </w:tcBorders>
            <w:shd w:val="clear" w:color="auto" w:fill="auto"/>
            <w:vAlign w:val="bottom"/>
          </w:tcPr>
          <w:p w14:paraId="576CAA09" w14:textId="77777777" w:rsidR="00F61CED" w:rsidRPr="00F61CED" w:rsidRDefault="00F61CED" w:rsidP="00F61CED">
            <w:pPr>
              <w:pStyle w:val="Tabletext"/>
            </w:pPr>
            <w:r w:rsidRPr="00F61CED">
              <w:t>0</w:t>
            </w:r>
            <w:r w:rsidR="00D7157D">
              <w:t>.</w:t>
            </w:r>
            <w:r w:rsidRPr="00F61CED">
              <w:t>8727</w:t>
            </w:r>
          </w:p>
        </w:tc>
      </w:tr>
      <w:tr w:rsidR="00F61CED" w:rsidRPr="00F61CED" w14:paraId="32E0E570" w14:textId="77777777" w:rsidTr="00F160E0">
        <w:trPr>
          <w:cantSplit/>
        </w:trPr>
        <w:tc>
          <w:tcPr>
            <w:tcW w:w="1136" w:type="pct"/>
            <w:tcBorders>
              <w:top w:val="single" w:sz="4" w:space="0" w:color="auto"/>
              <w:bottom w:val="single" w:sz="4" w:space="0" w:color="auto"/>
            </w:tcBorders>
          </w:tcPr>
          <w:p w14:paraId="403A125A" w14:textId="77777777" w:rsidR="00F61CED" w:rsidRPr="00F61CED" w:rsidRDefault="00F61CED" w:rsidP="00F61CED">
            <w:pPr>
              <w:pStyle w:val="Tabletext"/>
            </w:pPr>
            <w:r w:rsidRPr="00F61CED">
              <w:t>20</w:t>
            </w:r>
          </w:p>
        </w:tc>
        <w:tc>
          <w:tcPr>
            <w:tcW w:w="966" w:type="pct"/>
            <w:tcBorders>
              <w:top w:val="single" w:sz="4" w:space="0" w:color="auto"/>
              <w:bottom w:val="single" w:sz="4" w:space="0" w:color="auto"/>
            </w:tcBorders>
            <w:shd w:val="clear" w:color="auto" w:fill="auto"/>
            <w:vAlign w:val="bottom"/>
          </w:tcPr>
          <w:p w14:paraId="0EDED24D" w14:textId="77777777" w:rsidR="00F61CED" w:rsidRPr="00F61CED" w:rsidRDefault="00F61CED" w:rsidP="00F61CED">
            <w:pPr>
              <w:pStyle w:val="Tabletext"/>
            </w:pPr>
            <w:r w:rsidRPr="00F61CED">
              <w:t>23</w:t>
            </w:r>
            <w:r w:rsidR="00D7157D">
              <w:t>.</w:t>
            </w:r>
            <w:r w:rsidRPr="00F61CED">
              <w:t>8934</w:t>
            </w:r>
          </w:p>
        </w:tc>
        <w:tc>
          <w:tcPr>
            <w:tcW w:w="966" w:type="pct"/>
            <w:tcBorders>
              <w:top w:val="single" w:sz="4" w:space="0" w:color="auto"/>
              <w:bottom w:val="single" w:sz="4" w:space="0" w:color="auto"/>
            </w:tcBorders>
            <w:shd w:val="clear" w:color="auto" w:fill="auto"/>
            <w:vAlign w:val="bottom"/>
          </w:tcPr>
          <w:p w14:paraId="15369204" w14:textId="77777777" w:rsidR="00F61CED" w:rsidRPr="00F61CED" w:rsidRDefault="00F61CED" w:rsidP="00F61CED">
            <w:pPr>
              <w:pStyle w:val="Tabletext"/>
            </w:pPr>
            <w:r w:rsidRPr="00F61CED">
              <w:t>1</w:t>
            </w:r>
            <w:r w:rsidR="00D7157D">
              <w:t>.</w:t>
            </w:r>
            <w:r w:rsidRPr="00F61CED">
              <w:t>7941</w:t>
            </w:r>
          </w:p>
        </w:tc>
        <w:tc>
          <w:tcPr>
            <w:tcW w:w="966" w:type="pct"/>
            <w:tcBorders>
              <w:top w:val="single" w:sz="4" w:space="0" w:color="auto"/>
              <w:bottom w:val="single" w:sz="4" w:space="0" w:color="auto"/>
            </w:tcBorders>
            <w:shd w:val="clear" w:color="auto" w:fill="auto"/>
            <w:vAlign w:val="bottom"/>
          </w:tcPr>
          <w:p w14:paraId="698C6636" w14:textId="77777777" w:rsidR="00F61CED" w:rsidRPr="00F61CED" w:rsidRDefault="00F61CED" w:rsidP="00F61CED">
            <w:pPr>
              <w:pStyle w:val="Tabletext"/>
            </w:pPr>
            <w:r w:rsidRPr="00F61CED">
              <w:t>24</w:t>
            </w:r>
            <w:r w:rsidR="00D7157D">
              <w:t>.</w:t>
            </w:r>
            <w:r w:rsidRPr="00F61CED">
              <w:t>7078</w:t>
            </w:r>
          </w:p>
        </w:tc>
        <w:tc>
          <w:tcPr>
            <w:tcW w:w="966" w:type="pct"/>
            <w:tcBorders>
              <w:top w:val="single" w:sz="4" w:space="0" w:color="auto"/>
              <w:bottom w:val="single" w:sz="4" w:space="0" w:color="auto"/>
              <w:right w:val="nil"/>
            </w:tcBorders>
            <w:shd w:val="clear" w:color="auto" w:fill="auto"/>
            <w:vAlign w:val="bottom"/>
          </w:tcPr>
          <w:p w14:paraId="4A3A1FC0" w14:textId="77777777" w:rsidR="00F61CED" w:rsidRPr="00F61CED" w:rsidRDefault="00F61CED" w:rsidP="00F61CED">
            <w:pPr>
              <w:pStyle w:val="Tabletext"/>
            </w:pPr>
            <w:r w:rsidRPr="00F61CED">
              <w:t>0</w:t>
            </w:r>
            <w:r w:rsidR="00D7157D">
              <w:t>.</w:t>
            </w:r>
            <w:r w:rsidRPr="00F61CED">
              <w:t>8868</w:t>
            </w:r>
          </w:p>
        </w:tc>
      </w:tr>
      <w:tr w:rsidR="00F61CED" w:rsidRPr="00F61CED" w14:paraId="30B7AF11" w14:textId="77777777" w:rsidTr="00F160E0">
        <w:trPr>
          <w:cantSplit/>
        </w:trPr>
        <w:tc>
          <w:tcPr>
            <w:tcW w:w="1136" w:type="pct"/>
            <w:tcBorders>
              <w:top w:val="single" w:sz="4" w:space="0" w:color="auto"/>
              <w:bottom w:val="single" w:sz="4" w:space="0" w:color="auto"/>
            </w:tcBorders>
          </w:tcPr>
          <w:p w14:paraId="78CEC79C" w14:textId="77777777" w:rsidR="00F61CED" w:rsidRPr="00F61CED" w:rsidRDefault="00F61CED" w:rsidP="00F61CED">
            <w:pPr>
              <w:pStyle w:val="Tabletext"/>
            </w:pPr>
            <w:r w:rsidRPr="00F61CED">
              <w:t>21</w:t>
            </w:r>
          </w:p>
        </w:tc>
        <w:tc>
          <w:tcPr>
            <w:tcW w:w="966" w:type="pct"/>
            <w:tcBorders>
              <w:top w:val="single" w:sz="4" w:space="0" w:color="auto"/>
              <w:bottom w:val="single" w:sz="4" w:space="0" w:color="auto"/>
            </w:tcBorders>
            <w:shd w:val="clear" w:color="auto" w:fill="auto"/>
            <w:vAlign w:val="bottom"/>
          </w:tcPr>
          <w:p w14:paraId="2FCCA847" w14:textId="77777777" w:rsidR="00F61CED" w:rsidRPr="00F61CED" w:rsidRDefault="00F61CED" w:rsidP="00F61CED">
            <w:pPr>
              <w:pStyle w:val="Tabletext"/>
            </w:pPr>
            <w:r w:rsidRPr="00F61CED">
              <w:t>23</w:t>
            </w:r>
            <w:r w:rsidR="00D7157D">
              <w:t>.</w:t>
            </w:r>
            <w:r w:rsidRPr="00F61CED">
              <w:t>7655</w:t>
            </w:r>
          </w:p>
        </w:tc>
        <w:tc>
          <w:tcPr>
            <w:tcW w:w="966" w:type="pct"/>
            <w:tcBorders>
              <w:top w:val="single" w:sz="4" w:space="0" w:color="auto"/>
              <w:bottom w:val="single" w:sz="4" w:space="0" w:color="auto"/>
            </w:tcBorders>
            <w:shd w:val="clear" w:color="auto" w:fill="auto"/>
            <w:vAlign w:val="bottom"/>
          </w:tcPr>
          <w:p w14:paraId="59608854" w14:textId="77777777" w:rsidR="00F61CED" w:rsidRPr="00F61CED" w:rsidRDefault="00F61CED" w:rsidP="00F61CED">
            <w:pPr>
              <w:pStyle w:val="Tabletext"/>
            </w:pPr>
            <w:r w:rsidRPr="00F61CED">
              <w:t>1</w:t>
            </w:r>
            <w:r w:rsidR="00D7157D">
              <w:t>.</w:t>
            </w:r>
            <w:r w:rsidRPr="00F61CED">
              <w:t>8262</w:t>
            </w:r>
          </w:p>
        </w:tc>
        <w:tc>
          <w:tcPr>
            <w:tcW w:w="966" w:type="pct"/>
            <w:tcBorders>
              <w:top w:val="single" w:sz="4" w:space="0" w:color="auto"/>
              <w:bottom w:val="single" w:sz="4" w:space="0" w:color="auto"/>
            </w:tcBorders>
            <w:shd w:val="clear" w:color="auto" w:fill="auto"/>
            <w:vAlign w:val="bottom"/>
          </w:tcPr>
          <w:p w14:paraId="675AE4DE" w14:textId="77777777" w:rsidR="00F61CED" w:rsidRPr="00F61CED" w:rsidRDefault="00F61CED" w:rsidP="00F61CED">
            <w:pPr>
              <w:pStyle w:val="Tabletext"/>
            </w:pPr>
            <w:r w:rsidRPr="00F61CED">
              <w:t>24</w:t>
            </w:r>
            <w:r w:rsidR="00D7157D">
              <w:t>.</w:t>
            </w:r>
            <w:r w:rsidRPr="00F61CED">
              <w:t>5909</w:t>
            </w:r>
          </w:p>
        </w:tc>
        <w:tc>
          <w:tcPr>
            <w:tcW w:w="966" w:type="pct"/>
            <w:tcBorders>
              <w:top w:val="single" w:sz="4" w:space="0" w:color="auto"/>
              <w:bottom w:val="single" w:sz="4" w:space="0" w:color="auto"/>
              <w:right w:val="nil"/>
            </w:tcBorders>
            <w:shd w:val="clear" w:color="auto" w:fill="auto"/>
            <w:vAlign w:val="bottom"/>
          </w:tcPr>
          <w:p w14:paraId="250AF723" w14:textId="77777777" w:rsidR="00F61CED" w:rsidRPr="00F61CED" w:rsidRDefault="00F61CED" w:rsidP="00F61CED">
            <w:pPr>
              <w:pStyle w:val="Tabletext"/>
            </w:pPr>
            <w:r w:rsidRPr="00F61CED">
              <w:t>0</w:t>
            </w:r>
            <w:r w:rsidR="00D7157D">
              <w:t>.</w:t>
            </w:r>
            <w:r w:rsidRPr="00F61CED">
              <w:t>9014</w:t>
            </w:r>
          </w:p>
        </w:tc>
      </w:tr>
      <w:tr w:rsidR="00F61CED" w:rsidRPr="00F61CED" w14:paraId="35F685E5" w14:textId="77777777" w:rsidTr="00F160E0">
        <w:trPr>
          <w:cantSplit/>
        </w:trPr>
        <w:tc>
          <w:tcPr>
            <w:tcW w:w="1136" w:type="pct"/>
            <w:tcBorders>
              <w:top w:val="single" w:sz="4" w:space="0" w:color="auto"/>
              <w:bottom w:val="single" w:sz="4" w:space="0" w:color="auto"/>
            </w:tcBorders>
          </w:tcPr>
          <w:p w14:paraId="11C3DF3E" w14:textId="77777777" w:rsidR="00F61CED" w:rsidRPr="00F61CED" w:rsidRDefault="00F61CED" w:rsidP="00F61CED">
            <w:pPr>
              <w:pStyle w:val="Tabletext"/>
            </w:pPr>
            <w:r w:rsidRPr="00F61CED">
              <w:t>22</w:t>
            </w:r>
          </w:p>
        </w:tc>
        <w:tc>
          <w:tcPr>
            <w:tcW w:w="966" w:type="pct"/>
            <w:tcBorders>
              <w:top w:val="single" w:sz="4" w:space="0" w:color="auto"/>
              <w:bottom w:val="single" w:sz="4" w:space="0" w:color="auto"/>
            </w:tcBorders>
            <w:shd w:val="clear" w:color="auto" w:fill="auto"/>
            <w:vAlign w:val="bottom"/>
          </w:tcPr>
          <w:p w14:paraId="22580C9D" w14:textId="77777777" w:rsidR="00F61CED" w:rsidRPr="00F61CED" w:rsidRDefault="00F61CED" w:rsidP="00F61CED">
            <w:pPr>
              <w:pStyle w:val="Tabletext"/>
            </w:pPr>
            <w:r w:rsidRPr="00F61CED">
              <w:t>23</w:t>
            </w:r>
            <w:r w:rsidR="00D7157D">
              <w:t>.</w:t>
            </w:r>
            <w:r w:rsidRPr="00F61CED">
              <w:t>6329</w:t>
            </w:r>
          </w:p>
        </w:tc>
        <w:tc>
          <w:tcPr>
            <w:tcW w:w="966" w:type="pct"/>
            <w:tcBorders>
              <w:top w:val="single" w:sz="4" w:space="0" w:color="auto"/>
              <w:bottom w:val="single" w:sz="4" w:space="0" w:color="auto"/>
            </w:tcBorders>
            <w:shd w:val="clear" w:color="auto" w:fill="auto"/>
            <w:vAlign w:val="bottom"/>
          </w:tcPr>
          <w:p w14:paraId="26E8BAA1" w14:textId="77777777" w:rsidR="00F61CED" w:rsidRPr="00F61CED" w:rsidRDefault="00F61CED" w:rsidP="00F61CED">
            <w:pPr>
              <w:pStyle w:val="Tabletext"/>
            </w:pPr>
            <w:r w:rsidRPr="00F61CED">
              <w:t>1</w:t>
            </w:r>
            <w:r w:rsidR="00D7157D">
              <w:t>.</w:t>
            </w:r>
            <w:r w:rsidRPr="00F61CED">
              <w:t>8595</w:t>
            </w:r>
          </w:p>
        </w:tc>
        <w:tc>
          <w:tcPr>
            <w:tcW w:w="966" w:type="pct"/>
            <w:tcBorders>
              <w:top w:val="single" w:sz="4" w:space="0" w:color="auto"/>
              <w:bottom w:val="single" w:sz="4" w:space="0" w:color="auto"/>
            </w:tcBorders>
            <w:shd w:val="clear" w:color="auto" w:fill="auto"/>
            <w:vAlign w:val="bottom"/>
          </w:tcPr>
          <w:p w14:paraId="494C72ED" w14:textId="77777777" w:rsidR="00F61CED" w:rsidRPr="00F61CED" w:rsidRDefault="00F61CED" w:rsidP="00F61CED">
            <w:pPr>
              <w:pStyle w:val="Tabletext"/>
            </w:pPr>
            <w:r w:rsidRPr="00F61CED">
              <w:t>24</w:t>
            </w:r>
            <w:r w:rsidR="00D7157D">
              <w:t>.</w:t>
            </w:r>
            <w:r w:rsidRPr="00F61CED">
              <w:t>4698</w:t>
            </w:r>
          </w:p>
        </w:tc>
        <w:tc>
          <w:tcPr>
            <w:tcW w:w="966" w:type="pct"/>
            <w:tcBorders>
              <w:top w:val="single" w:sz="4" w:space="0" w:color="auto"/>
              <w:bottom w:val="single" w:sz="4" w:space="0" w:color="auto"/>
              <w:right w:val="nil"/>
            </w:tcBorders>
            <w:shd w:val="clear" w:color="auto" w:fill="auto"/>
            <w:vAlign w:val="bottom"/>
          </w:tcPr>
          <w:p w14:paraId="14E1D008" w14:textId="77777777" w:rsidR="00F61CED" w:rsidRPr="00F61CED" w:rsidRDefault="00F61CED" w:rsidP="00F61CED">
            <w:pPr>
              <w:pStyle w:val="Tabletext"/>
            </w:pPr>
            <w:r w:rsidRPr="00F61CED">
              <w:t>0</w:t>
            </w:r>
            <w:r w:rsidR="00D7157D">
              <w:t>.</w:t>
            </w:r>
            <w:r w:rsidRPr="00F61CED">
              <w:t>9166</w:t>
            </w:r>
          </w:p>
        </w:tc>
      </w:tr>
      <w:tr w:rsidR="00F61CED" w:rsidRPr="00F61CED" w14:paraId="4FC597CA" w14:textId="77777777" w:rsidTr="00F160E0">
        <w:trPr>
          <w:cantSplit/>
        </w:trPr>
        <w:tc>
          <w:tcPr>
            <w:tcW w:w="1136" w:type="pct"/>
            <w:tcBorders>
              <w:top w:val="single" w:sz="4" w:space="0" w:color="auto"/>
              <w:bottom w:val="single" w:sz="4" w:space="0" w:color="auto"/>
            </w:tcBorders>
          </w:tcPr>
          <w:p w14:paraId="4D7B6481" w14:textId="77777777" w:rsidR="00F61CED" w:rsidRPr="00F61CED" w:rsidRDefault="00F61CED" w:rsidP="00F61CED">
            <w:pPr>
              <w:pStyle w:val="Tabletext"/>
            </w:pPr>
            <w:r w:rsidRPr="00F61CED">
              <w:t>23</w:t>
            </w:r>
          </w:p>
        </w:tc>
        <w:tc>
          <w:tcPr>
            <w:tcW w:w="966" w:type="pct"/>
            <w:tcBorders>
              <w:top w:val="single" w:sz="4" w:space="0" w:color="auto"/>
              <w:bottom w:val="single" w:sz="4" w:space="0" w:color="auto"/>
            </w:tcBorders>
            <w:shd w:val="clear" w:color="auto" w:fill="auto"/>
            <w:vAlign w:val="bottom"/>
          </w:tcPr>
          <w:p w14:paraId="11CB7931" w14:textId="77777777" w:rsidR="00F61CED" w:rsidRPr="00F61CED" w:rsidRDefault="00F61CED" w:rsidP="00F61CED">
            <w:pPr>
              <w:pStyle w:val="Tabletext"/>
            </w:pPr>
            <w:r w:rsidRPr="00F61CED">
              <w:t>23</w:t>
            </w:r>
            <w:r w:rsidR="00D7157D">
              <w:t>.</w:t>
            </w:r>
            <w:r w:rsidRPr="00F61CED">
              <w:t>4953</w:t>
            </w:r>
          </w:p>
        </w:tc>
        <w:tc>
          <w:tcPr>
            <w:tcW w:w="966" w:type="pct"/>
            <w:tcBorders>
              <w:top w:val="single" w:sz="4" w:space="0" w:color="auto"/>
              <w:bottom w:val="single" w:sz="4" w:space="0" w:color="auto"/>
            </w:tcBorders>
            <w:shd w:val="clear" w:color="auto" w:fill="auto"/>
            <w:vAlign w:val="bottom"/>
          </w:tcPr>
          <w:p w14:paraId="45F4F57D" w14:textId="77777777" w:rsidR="00F61CED" w:rsidRPr="00F61CED" w:rsidRDefault="00F61CED" w:rsidP="00F61CED">
            <w:pPr>
              <w:pStyle w:val="Tabletext"/>
            </w:pPr>
            <w:r w:rsidRPr="00F61CED">
              <w:t>1</w:t>
            </w:r>
            <w:r w:rsidR="00D7157D">
              <w:t>.</w:t>
            </w:r>
            <w:r w:rsidRPr="00F61CED">
              <w:t>8941</w:t>
            </w:r>
          </w:p>
        </w:tc>
        <w:tc>
          <w:tcPr>
            <w:tcW w:w="966" w:type="pct"/>
            <w:tcBorders>
              <w:top w:val="single" w:sz="4" w:space="0" w:color="auto"/>
              <w:bottom w:val="single" w:sz="4" w:space="0" w:color="auto"/>
            </w:tcBorders>
            <w:shd w:val="clear" w:color="auto" w:fill="auto"/>
            <w:vAlign w:val="bottom"/>
          </w:tcPr>
          <w:p w14:paraId="617A8816" w14:textId="77777777" w:rsidR="00F61CED" w:rsidRPr="00F61CED" w:rsidRDefault="00F61CED" w:rsidP="00F61CED">
            <w:pPr>
              <w:pStyle w:val="Tabletext"/>
            </w:pPr>
            <w:r w:rsidRPr="00F61CED">
              <w:t>24</w:t>
            </w:r>
            <w:r w:rsidR="00D7157D">
              <w:t>.</w:t>
            </w:r>
            <w:r w:rsidRPr="00F61CED">
              <w:t>3442</w:t>
            </w:r>
          </w:p>
        </w:tc>
        <w:tc>
          <w:tcPr>
            <w:tcW w:w="966" w:type="pct"/>
            <w:tcBorders>
              <w:top w:val="single" w:sz="4" w:space="0" w:color="auto"/>
              <w:bottom w:val="single" w:sz="4" w:space="0" w:color="auto"/>
              <w:right w:val="nil"/>
            </w:tcBorders>
            <w:shd w:val="clear" w:color="auto" w:fill="auto"/>
            <w:vAlign w:val="bottom"/>
          </w:tcPr>
          <w:p w14:paraId="34C39F5E" w14:textId="77777777" w:rsidR="00F61CED" w:rsidRPr="00F61CED" w:rsidRDefault="00F61CED" w:rsidP="00F61CED">
            <w:pPr>
              <w:pStyle w:val="Tabletext"/>
            </w:pPr>
            <w:r w:rsidRPr="00F61CED">
              <w:t>0</w:t>
            </w:r>
            <w:r w:rsidR="00D7157D">
              <w:t>.</w:t>
            </w:r>
            <w:r w:rsidRPr="00F61CED">
              <w:t>9324</w:t>
            </w:r>
          </w:p>
        </w:tc>
      </w:tr>
      <w:tr w:rsidR="00F61CED" w:rsidRPr="00F61CED" w14:paraId="2A939AF6" w14:textId="77777777" w:rsidTr="00F160E0">
        <w:trPr>
          <w:cantSplit/>
        </w:trPr>
        <w:tc>
          <w:tcPr>
            <w:tcW w:w="1136" w:type="pct"/>
            <w:tcBorders>
              <w:top w:val="single" w:sz="4" w:space="0" w:color="auto"/>
              <w:bottom w:val="single" w:sz="4" w:space="0" w:color="auto"/>
            </w:tcBorders>
          </w:tcPr>
          <w:p w14:paraId="6A5CF486" w14:textId="77777777" w:rsidR="00F61CED" w:rsidRPr="00F61CED" w:rsidRDefault="00F61CED" w:rsidP="00F61CED">
            <w:pPr>
              <w:pStyle w:val="Tabletext"/>
            </w:pPr>
            <w:r w:rsidRPr="00F61CED">
              <w:t>24</w:t>
            </w:r>
          </w:p>
        </w:tc>
        <w:tc>
          <w:tcPr>
            <w:tcW w:w="966" w:type="pct"/>
            <w:tcBorders>
              <w:top w:val="single" w:sz="4" w:space="0" w:color="auto"/>
              <w:bottom w:val="single" w:sz="4" w:space="0" w:color="auto"/>
            </w:tcBorders>
            <w:shd w:val="clear" w:color="auto" w:fill="auto"/>
            <w:vAlign w:val="bottom"/>
          </w:tcPr>
          <w:p w14:paraId="0B1DB836" w14:textId="77777777" w:rsidR="00F61CED" w:rsidRPr="00F61CED" w:rsidRDefault="00F61CED" w:rsidP="00F61CED">
            <w:pPr>
              <w:pStyle w:val="Tabletext"/>
            </w:pPr>
            <w:r w:rsidRPr="00F61CED">
              <w:t>23</w:t>
            </w:r>
            <w:r w:rsidR="00D7157D">
              <w:t>.</w:t>
            </w:r>
            <w:r w:rsidRPr="00F61CED">
              <w:t>3526</w:t>
            </w:r>
          </w:p>
        </w:tc>
        <w:tc>
          <w:tcPr>
            <w:tcW w:w="966" w:type="pct"/>
            <w:tcBorders>
              <w:top w:val="single" w:sz="4" w:space="0" w:color="auto"/>
              <w:bottom w:val="single" w:sz="4" w:space="0" w:color="auto"/>
            </w:tcBorders>
            <w:shd w:val="clear" w:color="auto" w:fill="auto"/>
            <w:vAlign w:val="bottom"/>
          </w:tcPr>
          <w:p w14:paraId="0E30A8F1" w14:textId="77777777" w:rsidR="00F61CED" w:rsidRPr="00F61CED" w:rsidRDefault="00F61CED" w:rsidP="00F61CED">
            <w:pPr>
              <w:pStyle w:val="Tabletext"/>
            </w:pPr>
            <w:r w:rsidRPr="00F61CED">
              <w:t>1</w:t>
            </w:r>
            <w:r w:rsidR="00D7157D">
              <w:t>.</w:t>
            </w:r>
            <w:r w:rsidRPr="00F61CED">
              <w:t>9300</w:t>
            </w:r>
          </w:p>
        </w:tc>
        <w:tc>
          <w:tcPr>
            <w:tcW w:w="966" w:type="pct"/>
            <w:tcBorders>
              <w:top w:val="single" w:sz="4" w:space="0" w:color="auto"/>
              <w:bottom w:val="single" w:sz="4" w:space="0" w:color="auto"/>
            </w:tcBorders>
            <w:shd w:val="clear" w:color="auto" w:fill="auto"/>
            <w:vAlign w:val="bottom"/>
          </w:tcPr>
          <w:p w14:paraId="7BCDD74D" w14:textId="77777777" w:rsidR="00F61CED" w:rsidRPr="00F61CED" w:rsidRDefault="00F61CED" w:rsidP="00F61CED">
            <w:pPr>
              <w:pStyle w:val="Tabletext"/>
            </w:pPr>
            <w:r w:rsidRPr="00F61CED">
              <w:t>24</w:t>
            </w:r>
            <w:r w:rsidR="00D7157D">
              <w:t>.</w:t>
            </w:r>
            <w:r w:rsidRPr="00F61CED">
              <w:t>2141</w:t>
            </w:r>
          </w:p>
        </w:tc>
        <w:tc>
          <w:tcPr>
            <w:tcW w:w="966" w:type="pct"/>
            <w:tcBorders>
              <w:top w:val="single" w:sz="4" w:space="0" w:color="auto"/>
              <w:bottom w:val="single" w:sz="4" w:space="0" w:color="auto"/>
              <w:right w:val="nil"/>
            </w:tcBorders>
            <w:shd w:val="clear" w:color="auto" w:fill="auto"/>
            <w:vAlign w:val="bottom"/>
          </w:tcPr>
          <w:p w14:paraId="22C99631" w14:textId="77777777" w:rsidR="00F61CED" w:rsidRPr="00F61CED" w:rsidRDefault="00F61CED" w:rsidP="00F61CED">
            <w:pPr>
              <w:pStyle w:val="Tabletext"/>
            </w:pPr>
            <w:r w:rsidRPr="00F61CED">
              <w:t>0</w:t>
            </w:r>
            <w:r w:rsidR="00D7157D">
              <w:t>.</w:t>
            </w:r>
            <w:r w:rsidRPr="00F61CED">
              <w:t>9488</w:t>
            </w:r>
          </w:p>
        </w:tc>
      </w:tr>
      <w:tr w:rsidR="00F61CED" w:rsidRPr="00F61CED" w14:paraId="141594D6" w14:textId="77777777" w:rsidTr="00F160E0">
        <w:trPr>
          <w:cantSplit/>
        </w:trPr>
        <w:tc>
          <w:tcPr>
            <w:tcW w:w="1136" w:type="pct"/>
            <w:tcBorders>
              <w:top w:val="single" w:sz="4" w:space="0" w:color="auto"/>
              <w:bottom w:val="single" w:sz="4" w:space="0" w:color="auto"/>
            </w:tcBorders>
          </w:tcPr>
          <w:p w14:paraId="7BAC9BF1" w14:textId="77777777" w:rsidR="00F61CED" w:rsidRPr="00F61CED" w:rsidRDefault="00F61CED" w:rsidP="00F61CED">
            <w:pPr>
              <w:pStyle w:val="Tabletext"/>
            </w:pPr>
            <w:r w:rsidRPr="00F61CED">
              <w:t>25</w:t>
            </w:r>
          </w:p>
        </w:tc>
        <w:tc>
          <w:tcPr>
            <w:tcW w:w="966" w:type="pct"/>
            <w:tcBorders>
              <w:top w:val="single" w:sz="4" w:space="0" w:color="auto"/>
              <w:bottom w:val="single" w:sz="4" w:space="0" w:color="auto"/>
            </w:tcBorders>
            <w:shd w:val="clear" w:color="auto" w:fill="auto"/>
            <w:vAlign w:val="bottom"/>
          </w:tcPr>
          <w:p w14:paraId="27E75ED1" w14:textId="77777777" w:rsidR="00F61CED" w:rsidRPr="00F61CED" w:rsidRDefault="00F61CED" w:rsidP="00F61CED">
            <w:pPr>
              <w:pStyle w:val="Tabletext"/>
            </w:pPr>
            <w:r w:rsidRPr="00F61CED">
              <w:t>23</w:t>
            </w:r>
            <w:r w:rsidR="00D7157D">
              <w:t>.</w:t>
            </w:r>
            <w:r w:rsidRPr="00F61CED">
              <w:t>2046</w:t>
            </w:r>
          </w:p>
        </w:tc>
        <w:tc>
          <w:tcPr>
            <w:tcW w:w="966" w:type="pct"/>
            <w:tcBorders>
              <w:top w:val="single" w:sz="4" w:space="0" w:color="auto"/>
              <w:bottom w:val="single" w:sz="4" w:space="0" w:color="auto"/>
            </w:tcBorders>
            <w:shd w:val="clear" w:color="auto" w:fill="auto"/>
            <w:vAlign w:val="bottom"/>
          </w:tcPr>
          <w:p w14:paraId="722D51E9" w14:textId="77777777" w:rsidR="00F61CED" w:rsidRPr="00F61CED" w:rsidRDefault="00F61CED" w:rsidP="00F61CED">
            <w:pPr>
              <w:pStyle w:val="Tabletext"/>
            </w:pPr>
            <w:r w:rsidRPr="00F61CED">
              <w:t>1</w:t>
            </w:r>
            <w:r w:rsidR="00D7157D">
              <w:t>.</w:t>
            </w:r>
            <w:r w:rsidRPr="00F61CED">
              <w:t>9673</w:t>
            </w:r>
          </w:p>
        </w:tc>
        <w:tc>
          <w:tcPr>
            <w:tcW w:w="966" w:type="pct"/>
            <w:tcBorders>
              <w:top w:val="single" w:sz="4" w:space="0" w:color="auto"/>
              <w:bottom w:val="single" w:sz="4" w:space="0" w:color="auto"/>
            </w:tcBorders>
            <w:shd w:val="clear" w:color="auto" w:fill="auto"/>
            <w:vAlign w:val="bottom"/>
          </w:tcPr>
          <w:p w14:paraId="4FAC5D9E" w14:textId="77777777" w:rsidR="00F61CED" w:rsidRPr="00F61CED" w:rsidRDefault="00F61CED" w:rsidP="00F61CED">
            <w:pPr>
              <w:pStyle w:val="Tabletext"/>
            </w:pPr>
            <w:r w:rsidRPr="00F61CED">
              <w:t>24</w:t>
            </w:r>
            <w:r w:rsidR="00D7157D">
              <w:t>.</w:t>
            </w:r>
            <w:r w:rsidRPr="00F61CED">
              <w:t>0792</w:t>
            </w:r>
          </w:p>
        </w:tc>
        <w:tc>
          <w:tcPr>
            <w:tcW w:w="966" w:type="pct"/>
            <w:tcBorders>
              <w:top w:val="single" w:sz="4" w:space="0" w:color="auto"/>
              <w:bottom w:val="single" w:sz="4" w:space="0" w:color="auto"/>
              <w:right w:val="nil"/>
            </w:tcBorders>
            <w:shd w:val="clear" w:color="auto" w:fill="auto"/>
            <w:vAlign w:val="bottom"/>
          </w:tcPr>
          <w:p w14:paraId="2290478C" w14:textId="77777777" w:rsidR="00F61CED" w:rsidRPr="00F61CED" w:rsidRDefault="00F61CED" w:rsidP="00F61CED">
            <w:pPr>
              <w:pStyle w:val="Tabletext"/>
            </w:pPr>
            <w:r w:rsidRPr="00F61CED">
              <w:t>0</w:t>
            </w:r>
            <w:r w:rsidR="00D7157D">
              <w:t>.</w:t>
            </w:r>
            <w:r w:rsidRPr="00F61CED">
              <w:t>9659</w:t>
            </w:r>
          </w:p>
        </w:tc>
      </w:tr>
      <w:tr w:rsidR="00F61CED" w:rsidRPr="00F61CED" w14:paraId="18EF3A55" w14:textId="77777777" w:rsidTr="00F160E0">
        <w:trPr>
          <w:cantSplit/>
        </w:trPr>
        <w:tc>
          <w:tcPr>
            <w:tcW w:w="1136" w:type="pct"/>
            <w:tcBorders>
              <w:top w:val="single" w:sz="4" w:space="0" w:color="auto"/>
              <w:bottom w:val="single" w:sz="4" w:space="0" w:color="auto"/>
            </w:tcBorders>
          </w:tcPr>
          <w:p w14:paraId="1AFB9A74" w14:textId="77777777" w:rsidR="00F61CED" w:rsidRPr="00F61CED" w:rsidRDefault="00F61CED" w:rsidP="00F61CED">
            <w:pPr>
              <w:pStyle w:val="Tabletext"/>
            </w:pPr>
            <w:r w:rsidRPr="00F61CED">
              <w:t>26</w:t>
            </w:r>
          </w:p>
        </w:tc>
        <w:tc>
          <w:tcPr>
            <w:tcW w:w="966" w:type="pct"/>
            <w:tcBorders>
              <w:top w:val="single" w:sz="4" w:space="0" w:color="auto"/>
              <w:bottom w:val="single" w:sz="4" w:space="0" w:color="auto"/>
            </w:tcBorders>
            <w:shd w:val="clear" w:color="auto" w:fill="auto"/>
            <w:vAlign w:val="bottom"/>
          </w:tcPr>
          <w:p w14:paraId="41611D45" w14:textId="77777777" w:rsidR="00F61CED" w:rsidRPr="00F61CED" w:rsidRDefault="00F61CED" w:rsidP="00F61CED">
            <w:pPr>
              <w:pStyle w:val="Tabletext"/>
            </w:pPr>
            <w:r w:rsidRPr="00F61CED">
              <w:t>23</w:t>
            </w:r>
            <w:r w:rsidR="00D7157D">
              <w:t>.</w:t>
            </w:r>
            <w:r w:rsidRPr="00F61CED">
              <w:t>0510</w:t>
            </w:r>
          </w:p>
        </w:tc>
        <w:tc>
          <w:tcPr>
            <w:tcW w:w="966" w:type="pct"/>
            <w:tcBorders>
              <w:top w:val="single" w:sz="4" w:space="0" w:color="auto"/>
              <w:bottom w:val="single" w:sz="4" w:space="0" w:color="auto"/>
            </w:tcBorders>
            <w:shd w:val="clear" w:color="auto" w:fill="auto"/>
            <w:vAlign w:val="bottom"/>
          </w:tcPr>
          <w:p w14:paraId="45ACC4B2" w14:textId="77777777" w:rsidR="00F61CED" w:rsidRPr="00F61CED" w:rsidRDefault="00F61CED" w:rsidP="00F61CED">
            <w:pPr>
              <w:pStyle w:val="Tabletext"/>
            </w:pPr>
            <w:r w:rsidRPr="00F61CED">
              <w:t>2</w:t>
            </w:r>
            <w:r w:rsidR="00D7157D">
              <w:t>.</w:t>
            </w:r>
            <w:r w:rsidRPr="00F61CED">
              <w:t>0062</w:t>
            </w:r>
          </w:p>
        </w:tc>
        <w:tc>
          <w:tcPr>
            <w:tcW w:w="966" w:type="pct"/>
            <w:tcBorders>
              <w:top w:val="single" w:sz="4" w:space="0" w:color="auto"/>
              <w:bottom w:val="single" w:sz="4" w:space="0" w:color="auto"/>
            </w:tcBorders>
            <w:shd w:val="clear" w:color="auto" w:fill="auto"/>
            <w:vAlign w:val="bottom"/>
          </w:tcPr>
          <w:p w14:paraId="1002B855" w14:textId="77777777" w:rsidR="00F61CED" w:rsidRPr="00F61CED" w:rsidRDefault="00F61CED" w:rsidP="00F61CED">
            <w:pPr>
              <w:pStyle w:val="Tabletext"/>
            </w:pPr>
            <w:r w:rsidRPr="00F61CED">
              <w:t>23</w:t>
            </w:r>
            <w:r w:rsidR="00D7157D">
              <w:t>.</w:t>
            </w:r>
            <w:r w:rsidRPr="00F61CED">
              <w:t>9393</w:t>
            </w:r>
          </w:p>
        </w:tc>
        <w:tc>
          <w:tcPr>
            <w:tcW w:w="966" w:type="pct"/>
            <w:tcBorders>
              <w:top w:val="single" w:sz="4" w:space="0" w:color="auto"/>
              <w:bottom w:val="single" w:sz="4" w:space="0" w:color="auto"/>
              <w:right w:val="nil"/>
            </w:tcBorders>
            <w:shd w:val="clear" w:color="auto" w:fill="auto"/>
            <w:vAlign w:val="bottom"/>
          </w:tcPr>
          <w:p w14:paraId="53665C49" w14:textId="77777777" w:rsidR="00F61CED" w:rsidRPr="00F61CED" w:rsidRDefault="00F61CED" w:rsidP="00F61CED">
            <w:pPr>
              <w:pStyle w:val="Tabletext"/>
            </w:pPr>
            <w:r w:rsidRPr="00F61CED">
              <w:t>0</w:t>
            </w:r>
            <w:r w:rsidR="00D7157D">
              <w:t>.</w:t>
            </w:r>
            <w:r w:rsidRPr="00F61CED">
              <w:t>9836</w:t>
            </w:r>
          </w:p>
        </w:tc>
      </w:tr>
      <w:tr w:rsidR="00F61CED" w:rsidRPr="00F61CED" w14:paraId="0071F66C" w14:textId="77777777" w:rsidTr="00F160E0">
        <w:trPr>
          <w:cantSplit/>
        </w:trPr>
        <w:tc>
          <w:tcPr>
            <w:tcW w:w="1136" w:type="pct"/>
            <w:tcBorders>
              <w:top w:val="single" w:sz="4" w:space="0" w:color="auto"/>
              <w:bottom w:val="single" w:sz="4" w:space="0" w:color="auto"/>
            </w:tcBorders>
          </w:tcPr>
          <w:p w14:paraId="2C9D923E" w14:textId="77777777" w:rsidR="00F61CED" w:rsidRPr="00F61CED" w:rsidRDefault="00F61CED" w:rsidP="00F61CED">
            <w:pPr>
              <w:pStyle w:val="Tabletext"/>
            </w:pPr>
            <w:r w:rsidRPr="00F61CED">
              <w:t>27</w:t>
            </w:r>
          </w:p>
        </w:tc>
        <w:tc>
          <w:tcPr>
            <w:tcW w:w="966" w:type="pct"/>
            <w:tcBorders>
              <w:top w:val="single" w:sz="4" w:space="0" w:color="auto"/>
              <w:bottom w:val="single" w:sz="4" w:space="0" w:color="auto"/>
            </w:tcBorders>
            <w:shd w:val="clear" w:color="auto" w:fill="auto"/>
            <w:vAlign w:val="bottom"/>
          </w:tcPr>
          <w:p w14:paraId="34001350" w14:textId="77777777" w:rsidR="00F61CED" w:rsidRPr="00F61CED" w:rsidRDefault="00F61CED" w:rsidP="00F61CED">
            <w:pPr>
              <w:pStyle w:val="Tabletext"/>
            </w:pPr>
            <w:r w:rsidRPr="00F61CED">
              <w:t>22</w:t>
            </w:r>
            <w:r w:rsidR="00D7157D">
              <w:t>.</w:t>
            </w:r>
            <w:r w:rsidRPr="00F61CED">
              <w:t>8917</w:t>
            </w:r>
          </w:p>
        </w:tc>
        <w:tc>
          <w:tcPr>
            <w:tcW w:w="966" w:type="pct"/>
            <w:tcBorders>
              <w:top w:val="single" w:sz="4" w:space="0" w:color="auto"/>
              <w:bottom w:val="single" w:sz="4" w:space="0" w:color="auto"/>
            </w:tcBorders>
            <w:shd w:val="clear" w:color="auto" w:fill="auto"/>
            <w:vAlign w:val="bottom"/>
          </w:tcPr>
          <w:p w14:paraId="01F1C626" w14:textId="77777777" w:rsidR="00F61CED" w:rsidRPr="00F61CED" w:rsidRDefault="00F61CED" w:rsidP="00F61CED">
            <w:pPr>
              <w:pStyle w:val="Tabletext"/>
            </w:pPr>
            <w:r w:rsidRPr="00F61CED">
              <w:t>2</w:t>
            </w:r>
            <w:r w:rsidR="00D7157D">
              <w:t>.</w:t>
            </w:r>
            <w:r w:rsidRPr="00F61CED">
              <w:t>0464</w:t>
            </w:r>
          </w:p>
        </w:tc>
        <w:tc>
          <w:tcPr>
            <w:tcW w:w="966" w:type="pct"/>
            <w:tcBorders>
              <w:top w:val="single" w:sz="4" w:space="0" w:color="auto"/>
              <w:bottom w:val="single" w:sz="4" w:space="0" w:color="auto"/>
            </w:tcBorders>
            <w:shd w:val="clear" w:color="auto" w:fill="auto"/>
            <w:vAlign w:val="bottom"/>
          </w:tcPr>
          <w:p w14:paraId="334B4A5D" w14:textId="77777777" w:rsidR="00F61CED" w:rsidRPr="00F61CED" w:rsidRDefault="00F61CED" w:rsidP="00F61CED">
            <w:pPr>
              <w:pStyle w:val="Tabletext"/>
            </w:pPr>
            <w:r w:rsidRPr="00F61CED">
              <w:t>23</w:t>
            </w:r>
            <w:r w:rsidR="00D7157D">
              <w:t>.</w:t>
            </w:r>
            <w:r w:rsidRPr="00F61CED">
              <w:t>7944</w:t>
            </w:r>
          </w:p>
        </w:tc>
        <w:tc>
          <w:tcPr>
            <w:tcW w:w="966" w:type="pct"/>
            <w:tcBorders>
              <w:top w:val="single" w:sz="4" w:space="0" w:color="auto"/>
              <w:bottom w:val="single" w:sz="4" w:space="0" w:color="auto"/>
              <w:right w:val="nil"/>
            </w:tcBorders>
            <w:shd w:val="clear" w:color="auto" w:fill="auto"/>
            <w:vAlign w:val="bottom"/>
          </w:tcPr>
          <w:p w14:paraId="6A70B238" w14:textId="77777777" w:rsidR="00F61CED" w:rsidRPr="00F61CED" w:rsidRDefault="00F61CED" w:rsidP="00F61CED">
            <w:pPr>
              <w:pStyle w:val="Tabletext"/>
            </w:pPr>
            <w:r w:rsidRPr="00F61CED">
              <w:t>1</w:t>
            </w:r>
            <w:r w:rsidR="00D7157D">
              <w:t>.</w:t>
            </w:r>
            <w:r w:rsidRPr="00F61CED">
              <w:t>0020</w:t>
            </w:r>
          </w:p>
        </w:tc>
      </w:tr>
      <w:tr w:rsidR="00F61CED" w:rsidRPr="00F61CED" w14:paraId="3489645D" w14:textId="77777777" w:rsidTr="00F160E0">
        <w:trPr>
          <w:cantSplit/>
        </w:trPr>
        <w:tc>
          <w:tcPr>
            <w:tcW w:w="1136" w:type="pct"/>
            <w:tcBorders>
              <w:top w:val="single" w:sz="4" w:space="0" w:color="auto"/>
              <w:bottom w:val="single" w:sz="4" w:space="0" w:color="auto"/>
            </w:tcBorders>
          </w:tcPr>
          <w:p w14:paraId="2F074C2D" w14:textId="77777777" w:rsidR="00F61CED" w:rsidRPr="00F61CED" w:rsidRDefault="00F61CED" w:rsidP="00F61CED">
            <w:pPr>
              <w:pStyle w:val="Tabletext"/>
            </w:pPr>
            <w:r w:rsidRPr="00F61CED">
              <w:t>28</w:t>
            </w:r>
          </w:p>
        </w:tc>
        <w:tc>
          <w:tcPr>
            <w:tcW w:w="966" w:type="pct"/>
            <w:tcBorders>
              <w:top w:val="single" w:sz="4" w:space="0" w:color="auto"/>
              <w:bottom w:val="single" w:sz="4" w:space="0" w:color="auto"/>
            </w:tcBorders>
            <w:shd w:val="clear" w:color="auto" w:fill="auto"/>
            <w:vAlign w:val="bottom"/>
          </w:tcPr>
          <w:p w14:paraId="46022401" w14:textId="77777777" w:rsidR="00F61CED" w:rsidRPr="00F61CED" w:rsidRDefault="00F61CED" w:rsidP="00F61CED">
            <w:pPr>
              <w:pStyle w:val="Tabletext"/>
            </w:pPr>
            <w:r w:rsidRPr="00F61CED">
              <w:t>22</w:t>
            </w:r>
            <w:r w:rsidR="00D7157D">
              <w:t>.</w:t>
            </w:r>
            <w:r w:rsidRPr="00F61CED">
              <w:t>7265</w:t>
            </w:r>
          </w:p>
        </w:tc>
        <w:tc>
          <w:tcPr>
            <w:tcW w:w="966" w:type="pct"/>
            <w:tcBorders>
              <w:top w:val="single" w:sz="4" w:space="0" w:color="auto"/>
              <w:bottom w:val="single" w:sz="4" w:space="0" w:color="auto"/>
            </w:tcBorders>
            <w:shd w:val="clear" w:color="auto" w:fill="auto"/>
            <w:vAlign w:val="bottom"/>
          </w:tcPr>
          <w:p w14:paraId="5B2C0E8B" w14:textId="77777777" w:rsidR="00F61CED" w:rsidRPr="00F61CED" w:rsidRDefault="00F61CED" w:rsidP="00F61CED">
            <w:pPr>
              <w:pStyle w:val="Tabletext"/>
            </w:pPr>
            <w:r w:rsidRPr="00F61CED">
              <w:t>2</w:t>
            </w:r>
            <w:r w:rsidR="00D7157D">
              <w:t>.</w:t>
            </w:r>
            <w:r w:rsidRPr="00F61CED">
              <w:t>0882</w:t>
            </w:r>
          </w:p>
        </w:tc>
        <w:tc>
          <w:tcPr>
            <w:tcW w:w="966" w:type="pct"/>
            <w:tcBorders>
              <w:top w:val="single" w:sz="4" w:space="0" w:color="auto"/>
              <w:bottom w:val="single" w:sz="4" w:space="0" w:color="auto"/>
            </w:tcBorders>
            <w:shd w:val="clear" w:color="auto" w:fill="auto"/>
            <w:vAlign w:val="bottom"/>
          </w:tcPr>
          <w:p w14:paraId="4436DA4A" w14:textId="77777777" w:rsidR="00F61CED" w:rsidRPr="00F61CED" w:rsidRDefault="00F61CED" w:rsidP="00F61CED">
            <w:pPr>
              <w:pStyle w:val="Tabletext"/>
            </w:pPr>
            <w:r w:rsidRPr="00F61CED">
              <w:t>23</w:t>
            </w:r>
            <w:r w:rsidR="00D7157D">
              <w:t>.</w:t>
            </w:r>
            <w:r w:rsidRPr="00F61CED">
              <w:t>6442</w:t>
            </w:r>
          </w:p>
        </w:tc>
        <w:tc>
          <w:tcPr>
            <w:tcW w:w="966" w:type="pct"/>
            <w:tcBorders>
              <w:top w:val="single" w:sz="4" w:space="0" w:color="auto"/>
              <w:bottom w:val="single" w:sz="4" w:space="0" w:color="auto"/>
              <w:right w:val="nil"/>
            </w:tcBorders>
            <w:shd w:val="clear" w:color="auto" w:fill="auto"/>
            <w:vAlign w:val="bottom"/>
          </w:tcPr>
          <w:p w14:paraId="07612306" w14:textId="77777777" w:rsidR="00F61CED" w:rsidRPr="00F61CED" w:rsidRDefault="00F61CED" w:rsidP="00F61CED">
            <w:pPr>
              <w:pStyle w:val="Tabletext"/>
            </w:pPr>
            <w:r w:rsidRPr="00F61CED">
              <w:t>1</w:t>
            </w:r>
            <w:r w:rsidR="00D7157D">
              <w:t>.</w:t>
            </w:r>
            <w:r w:rsidRPr="00F61CED">
              <w:t>0211</w:t>
            </w:r>
          </w:p>
        </w:tc>
      </w:tr>
      <w:tr w:rsidR="00F61CED" w:rsidRPr="00F61CED" w14:paraId="185DD147" w14:textId="77777777" w:rsidTr="00F160E0">
        <w:trPr>
          <w:cantSplit/>
        </w:trPr>
        <w:tc>
          <w:tcPr>
            <w:tcW w:w="1136" w:type="pct"/>
            <w:tcBorders>
              <w:top w:val="single" w:sz="4" w:space="0" w:color="auto"/>
              <w:bottom w:val="single" w:sz="4" w:space="0" w:color="auto"/>
            </w:tcBorders>
          </w:tcPr>
          <w:p w14:paraId="15DC0CB1" w14:textId="77777777" w:rsidR="00F61CED" w:rsidRPr="00F61CED" w:rsidRDefault="00F61CED" w:rsidP="00F61CED">
            <w:pPr>
              <w:pStyle w:val="Tabletext"/>
            </w:pPr>
            <w:r w:rsidRPr="00F61CED">
              <w:t>29</w:t>
            </w:r>
          </w:p>
        </w:tc>
        <w:tc>
          <w:tcPr>
            <w:tcW w:w="966" w:type="pct"/>
            <w:tcBorders>
              <w:top w:val="single" w:sz="4" w:space="0" w:color="auto"/>
              <w:bottom w:val="single" w:sz="4" w:space="0" w:color="auto"/>
            </w:tcBorders>
            <w:shd w:val="clear" w:color="auto" w:fill="auto"/>
            <w:vAlign w:val="bottom"/>
          </w:tcPr>
          <w:p w14:paraId="35DFB207" w14:textId="77777777" w:rsidR="00F61CED" w:rsidRPr="00F61CED" w:rsidRDefault="00F61CED" w:rsidP="00F61CED">
            <w:pPr>
              <w:pStyle w:val="Tabletext"/>
            </w:pPr>
            <w:r w:rsidRPr="00F61CED">
              <w:t>22</w:t>
            </w:r>
            <w:r w:rsidR="00D7157D">
              <w:t>.</w:t>
            </w:r>
            <w:r w:rsidRPr="00F61CED">
              <w:t>5551</w:t>
            </w:r>
          </w:p>
        </w:tc>
        <w:tc>
          <w:tcPr>
            <w:tcW w:w="966" w:type="pct"/>
            <w:tcBorders>
              <w:top w:val="single" w:sz="4" w:space="0" w:color="auto"/>
              <w:bottom w:val="single" w:sz="4" w:space="0" w:color="auto"/>
            </w:tcBorders>
            <w:shd w:val="clear" w:color="auto" w:fill="auto"/>
            <w:vAlign w:val="bottom"/>
          </w:tcPr>
          <w:p w14:paraId="61BD7435" w14:textId="77777777" w:rsidR="00F61CED" w:rsidRPr="00F61CED" w:rsidRDefault="00F61CED" w:rsidP="00F61CED">
            <w:pPr>
              <w:pStyle w:val="Tabletext"/>
            </w:pPr>
            <w:r w:rsidRPr="00F61CED">
              <w:t>2</w:t>
            </w:r>
            <w:r w:rsidR="00D7157D">
              <w:t>.</w:t>
            </w:r>
            <w:r w:rsidRPr="00F61CED">
              <w:t>1317</w:t>
            </w:r>
          </w:p>
        </w:tc>
        <w:tc>
          <w:tcPr>
            <w:tcW w:w="966" w:type="pct"/>
            <w:tcBorders>
              <w:top w:val="single" w:sz="4" w:space="0" w:color="auto"/>
              <w:bottom w:val="single" w:sz="4" w:space="0" w:color="auto"/>
            </w:tcBorders>
            <w:shd w:val="clear" w:color="auto" w:fill="auto"/>
            <w:vAlign w:val="bottom"/>
          </w:tcPr>
          <w:p w14:paraId="3C2001E7" w14:textId="77777777" w:rsidR="00F61CED" w:rsidRPr="00F61CED" w:rsidRDefault="00F61CED" w:rsidP="00F61CED">
            <w:pPr>
              <w:pStyle w:val="Tabletext"/>
            </w:pPr>
            <w:r w:rsidRPr="00F61CED">
              <w:t>23</w:t>
            </w:r>
            <w:r w:rsidR="00D7157D">
              <w:t>.</w:t>
            </w:r>
            <w:r w:rsidRPr="00F61CED">
              <w:t>4885</w:t>
            </w:r>
          </w:p>
        </w:tc>
        <w:tc>
          <w:tcPr>
            <w:tcW w:w="966" w:type="pct"/>
            <w:tcBorders>
              <w:top w:val="single" w:sz="4" w:space="0" w:color="auto"/>
              <w:bottom w:val="single" w:sz="4" w:space="0" w:color="auto"/>
              <w:right w:val="nil"/>
            </w:tcBorders>
            <w:shd w:val="clear" w:color="auto" w:fill="auto"/>
            <w:vAlign w:val="bottom"/>
          </w:tcPr>
          <w:p w14:paraId="32F5BCEE" w14:textId="77777777" w:rsidR="00F61CED" w:rsidRPr="00F61CED" w:rsidRDefault="00F61CED" w:rsidP="00F61CED">
            <w:pPr>
              <w:pStyle w:val="Tabletext"/>
            </w:pPr>
            <w:r w:rsidRPr="00F61CED">
              <w:t>1</w:t>
            </w:r>
            <w:r w:rsidR="00D7157D">
              <w:t>.</w:t>
            </w:r>
            <w:r w:rsidRPr="00F61CED">
              <w:t>0410</w:t>
            </w:r>
          </w:p>
        </w:tc>
      </w:tr>
      <w:tr w:rsidR="00F61CED" w:rsidRPr="00F61CED" w14:paraId="1A49B1C7" w14:textId="77777777" w:rsidTr="00F160E0">
        <w:trPr>
          <w:cantSplit/>
        </w:trPr>
        <w:tc>
          <w:tcPr>
            <w:tcW w:w="1136" w:type="pct"/>
            <w:tcBorders>
              <w:top w:val="single" w:sz="4" w:space="0" w:color="auto"/>
              <w:bottom w:val="single" w:sz="4" w:space="0" w:color="auto"/>
            </w:tcBorders>
          </w:tcPr>
          <w:p w14:paraId="623249F6" w14:textId="77777777" w:rsidR="00F61CED" w:rsidRPr="00F61CED" w:rsidRDefault="00F61CED" w:rsidP="00F61CED">
            <w:pPr>
              <w:pStyle w:val="Tabletext"/>
            </w:pPr>
            <w:r w:rsidRPr="00F61CED">
              <w:t>30</w:t>
            </w:r>
          </w:p>
        </w:tc>
        <w:tc>
          <w:tcPr>
            <w:tcW w:w="966" w:type="pct"/>
            <w:tcBorders>
              <w:top w:val="single" w:sz="4" w:space="0" w:color="auto"/>
              <w:bottom w:val="single" w:sz="4" w:space="0" w:color="auto"/>
            </w:tcBorders>
            <w:shd w:val="clear" w:color="auto" w:fill="auto"/>
            <w:vAlign w:val="bottom"/>
          </w:tcPr>
          <w:p w14:paraId="3E4C52E9" w14:textId="77777777" w:rsidR="00F61CED" w:rsidRPr="00F61CED" w:rsidRDefault="00F61CED" w:rsidP="00F61CED">
            <w:pPr>
              <w:pStyle w:val="Tabletext"/>
            </w:pPr>
            <w:r w:rsidRPr="00F61CED">
              <w:t>22</w:t>
            </w:r>
            <w:r w:rsidR="00D7157D">
              <w:t>.</w:t>
            </w:r>
            <w:r w:rsidRPr="00F61CED">
              <w:t>3774</w:t>
            </w:r>
          </w:p>
        </w:tc>
        <w:tc>
          <w:tcPr>
            <w:tcW w:w="966" w:type="pct"/>
            <w:tcBorders>
              <w:top w:val="single" w:sz="4" w:space="0" w:color="auto"/>
              <w:bottom w:val="single" w:sz="4" w:space="0" w:color="auto"/>
            </w:tcBorders>
            <w:shd w:val="clear" w:color="auto" w:fill="auto"/>
            <w:vAlign w:val="bottom"/>
          </w:tcPr>
          <w:p w14:paraId="111587BE" w14:textId="77777777" w:rsidR="00F61CED" w:rsidRPr="00F61CED" w:rsidRDefault="00F61CED" w:rsidP="00F61CED">
            <w:pPr>
              <w:pStyle w:val="Tabletext"/>
            </w:pPr>
            <w:r w:rsidRPr="00F61CED">
              <w:t>2</w:t>
            </w:r>
            <w:r w:rsidR="00D7157D">
              <w:t>.</w:t>
            </w:r>
            <w:r w:rsidRPr="00F61CED">
              <w:t>1769</w:t>
            </w:r>
          </w:p>
        </w:tc>
        <w:tc>
          <w:tcPr>
            <w:tcW w:w="966" w:type="pct"/>
            <w:tcBorders>
              <w:top w:val="single" w:sz="4" w:space="0" w:color="auto"/>
              <w:bottom w:val="single" w:sz="4" w:space="0" w:color="auto"/>
            </w:tcBorders>
            <w:shd w:val="clear" w:color="auto" w:fill="auto"/>
            <w:vAlign w:val="bottom"/>
          </w:tcPr>
          <w:p w14:paraId="0205485D" w14:textId="77777777" w:rsidR="00F61CED" w:rsidRPr="00F61CED" w:rsidRDefault="00F61CED" w:rsidP="00F61CED">
            <w:pPr>
              <w:pStyle w:val="Tabletext"/>
            </w:pPr>
            <w:r w:rsidRPr="00F61CED">
              <w:t>23</w:t>
            </w:r>
            <w:r w:rsidR="00D7157D">
              <w:t>.</w:t>
            </w:r>
            <w:r w:rsidRPr="00F61CED">
              <w:t>3272</w:t>
            </w:r>
          </w:p>
        </w:tc>
        <w:tc>
          <w:tcPr>
            <w:tcW w:w="966" w:type="pct"/>
            <w:tcBorders>
              <w:top w:val="single" w:sz="4" w:space="0" w:color="auto"/>
              <w:bottom w:val="single" w:sz="4" w:space="0" w:color="auto"/>
              <w:right w:val="nil"/>
            </w:tcBorders>
            <w:shd w:val="clear" w:color="auto" w:fill="auto"/>
            <w:vAlign w:val="bottom"/>
          </w:tcPr>
          <w:p w14:paraId="1FB5BE13" w14:textId="77777777" w:rsidR="00F61CED" w:rsidRPr="00F61CED" w:rsidRDefault="00F61CED" w:rsidP="00F61CED">
            <w:pPr>
              <w:pStyle w:val="Tabletext"/>
            </w:pPr>
            <w:r w:rsidRPr="00F61CED">
              <w:t>1</w:t>
            </w:r>
            <w:r w:rsidR="00D7157D">
              <w:t>.</w:t>
            </w:r>
            <w:r w:rsidRPr="00F61CED">
              <w:t>0616</w:t>
            </w:r>
          </w:p>
        </w:tc>
      </w:tr>
      <w:tr w:rsidR="00F61CED" w:rsidRPr="00F61CED" w14:paraId="21EEE0B7" w14:textId="77777777" w:rsidTr="00F160E0">
        <w:trPr>
          <w:cantSplit/>
        </w:trPr>
        <w:tc>
          <w:tcPr>
            <w:tcW w:w="1136" w:type="pct"/>
            <w:tcBorders>
              <w:top w:val="single" w:sz="4" w:space="0" w:color="auto"/>
              <w:bottom w:val="single" w:sz="4" w:space="0" w:color="auto"/>
            </w:tcBorders>
          </w:tcPr>
          <w:p w14:paraId="1835E5BA" w14:textId="77777777" w:rsidR="00F61CED" w:rsidRPr="00F61CED" w:rsidRDefault="00F61CED" w:rsidP="00F61CED">
            <w:pPr>
              <w:pStyle w:val="Tabletext"/>
            </w:pPr>
            <w:r w:rsidRPr="00F61CED">
              <w:t>31</w:t>
            </w:r>
          </w:p>
        </w:tc>
        <w:tc>
          <w:tcPr>
            <w:tcW w:w="966" w:type="pct"/>
            <w:tcBorders>
              <w:top w:val="single" w:sz="4" w:space="0" w:color="auto"/>
              <w:bottom w:val="single" w:sz="4" w:space="0" w:color="auto"/>
            </w:tcBorders>
            <w:shd w:val="clear" w:color="auto" w:fill="auto"/>
            <w:vAlign w:val="bottom"/>
          </w:tcPr>
          <w:p w14:paraId="66BAE084" w14:textId="77777777" w:rsidR="00F61CED" w:rsidRPr="00F61CED" w:rsidRDefault="00F61CED" w:rsidP="00F61CED">
            <w:pPr>
              <w:pStyle w:val="Tabletext"/>
            </w:pPr>
            <w:r w:rsidRPr="00F61CED">
              <w:t>22</w:t>
            </w:r>
            <w:r w:rsidR="00D7157D">
              <w:t>.</w:t>
            </w:r>
            <w:r w:rsidRPr="00F61CED">
              <w:t>1946</w:t>
            </w:r>
          </w:p>
        </w:tc>
        <w:tc>
          <w:tcPr>
            <w:tcW w:w="966" w:type="pct"/>
            <w:tcBorders>
              <w:top w:val="single" w:sz="4" w:space="0" w:color="auto"/>
              <w:bottom w:val="single" w:sz="4" w:space="0" w:color="auto"/>
            </w:tcBorders>
            <w:shd w:val="clear" w:color="auto" w:fill="auto"/>
            <w:vAlign w:val="bottom"/>
          </w:tcPr>
          <w:p w14:paraId="2A4420E4" w14:textId="77777777" w:rsidR="00F61CED" w:rsidRPr="00F61CED" w:rsidRDefault="00F61CED" w:rsidP="00F61CED">
            <w:pPr>
              <w:pStyle w:val="Tabletext"/>
            </w:pPr>
            <w:r w:rsidRPr="00F61CED">
              <w:t>2</w:t>
            </w:r>
            <w:r w:rsidR="00D7157D">
              <w:t>.</w:t>
            </w:r>
            <w:r w:rsidRPr="00F61CED">
              <w:t>2228</w:t>
            </w:r>
          </w:p>
        </w:tc>
        <w:tc>
          <w:tcPr>
            <w:tcW w:w="966" w:type="pct"/>
            <w:tcBorders>
              <w:top w:val="single" w:sz="4" w:space="0" w:color="auto"/>
              <w:bottom w:val="single" w:sz="4" w:space="0" w:color="auto"/>
            </w:tcBorders>
            <w:shd w:val="clear" w:color="auto" w:fill="auto"/>
            <w:vAlign w:val="bottom"/>
          </w:tcPr>
          <w:p w14:paraId="12AE84C0" w14:textId="77777777" w:rsidR="00F61CED" w:rsidRPr="00F61CED" w:rsidRDefault="00F61CED" w:rsidP="00F61CED">
            <w:pPr>
              <w:pStyle w:val="Tabletext"/>
            </w:pPr>
            <w:r w:rsidRPr="00F61CED">
              <w:t>23</w:t>
            </w:r>
            <w:r w:rsidR="00D7157D">
              <w:t>.</w:t>
            </w:r>
            <w:r w:rsidRPr="00F61CED">
              <w:t>1609</w:t>
            </w:r>
          </w:p>
        </w:tc>
        <w:tc>
          <w:tcPr>
            <w:tcW w:w="966" w:type="pct"/>
            <w:tcBorders>
              <w:top w:val="single" w:sz="4" w:space="0" w:color="auto"/>
              <w:bottom w:val="single" w:sz="4" w:space="0" w:color="auto"/>
              <w:right w:val="nil"/>
            </w:tcBorders>
            <w:shd w:val="clear" w:color="auto" w:fill="auto"/>
            <w:vAlign w:val="bottom"/>
          </w:tcPr>
          <w:p w14:paraId="4C277CE3" w14:textId="77777777" w:rsidR="00F61CED" w:rsidRPr="00F61CED" w:rsidRDefault="00F61CED" w:rsidP="00F61CED">
            <w:pPr>
              <w:pStyle w:val="Tabletext"/>
            </w:pPr>
            <w:r w:rsidRPr="00F61CED">
              <w:t>1</w:t>
            </w:r>
            <w:r w:rsidR="00D7157D">
              <w:t>.</w:t>
            </w:r>
            <w:r w:rsidRPr="00F61CED">
              <w:t>0826</w:t>
            </w:r>
          </w:p>
        </w:tc>
      </w:tr>
      <w:tr w:rsidR="00F61CED" w:rsidRPr="00F61CED" w14:paraId="72AD3617" w14:textId="77777777" w:rsidTr="00F160E0">
        <w:trPr>
          <w:cantSplit/>
        </w:trPr>
        <w:tc>
          <w:tcPr>
            <w:tcW w:w="1136" w:type="pct"/>
            <w:tcBorders>
              <w:top w:val="single" w:sz="4" w:space="0" w:color="auto"/>
              <w:bottom w:val="single" w:sz="4" w:space="0" w:color="auto"/>
            </w:tcBorders>
          </w:tcPr>
          <w:p w14:paraId="642F948F" w14:textId="77777777" w:rsidR="00F61CED" w:rsidRPr="00F61CED" w:rsidRDefault="00F61CED" w:rsidP="00F61CED">
            <w:pPr>
              <w:pStyle w:val="Tabletext"/>
            </w:pPr>
            <w:r w:rsidRPr="00F61CED">
              <w:t>32</w:t>
            </w:r>
          </w:p>
        </w:tc>
        <w:tc>
          <w:tcPr>
            <w:tcW w:w="966" w:type="pct"/>
            <w:tcBorders>
              <w:top w:val="single" w:sz="4" w:space="0" w:color="auto"/>
              <w:bottom w:val="single" w:sz="4" w:space="0" w:color="auto"/>
            </w:tcBorders>
            <w:shd w:val="clear" w:color="auto" w:fill="auto"/>
            <w:vAlign w:val="bottom"/>
          </w:tcPr>
          <w:p w14:paraId="1063281D" w14:textId="77777777" w:rsidR="00F61CED" w:rsidRPr="00F61CED" w:rsidRDefault="00F61CED" w:rsidP="00F61CED">
            <w:pPr>
              <w:pStyle w:val="Tabletext"/>
            </w:pPr>
            <w:r w:rsidRPr="00F61CED">
              <w:t>22</w:t>
            </w:r>
            <w:r w:rsidR="00D7157D">
              <w:t>.</w:t>
            </w:r>
            <w:r w:rsidRPr="00F61CED">
              <w:t>0067</w:t>
            </w:r>
          </w:p>
        </w:tc>
        <w:tc>
          <w:tcPr>
            <w:tcW w:w="966" w:type="pct"/>
            <w:tcBorders>
              <w:top w:val="single" w:sz="4" w:space="0" w:color="auto"/>
              <w:bottom w:val="single" w:sz="4" w:space="0" w:color="auto"/>
            </w:tcBorders>
            <w:shd w:val="clear" w:color="auto" w:fill="auto"/>
            <w:vAlign w:val="bottom"/>
          </w:tcPr>
          <w:p w14:paraId="4706A52B" w14:textId="77777777" w:rsidR="00F61CED" w:rsidRPr="00F61CED" w:rsidRDefault="00F61CED" w:rsidP="00F61CED">
            <w:pPr>
              <w:pStyle w:val="Tabletext"/>
            </w:pPr>
            <w:r w:rsidRPr="00F61CED">
              <w:t>2</w:t>
            </w:r>
            <w:r w:rsidR="00D7157D">
              <w:t>.</w:t>
            </w:r>
            <w:r w:rsidRPr="00F61CED">
              <w:t>2695</w:t>
            </w:r>
          </w:p>
        </w:tc>
        <w:tc>
          <w:tcPr>
            <w:tcW w:w="966" w:type="pct"/>
            <w:tcBorders>
              <w:top w:val="single" w:sz="4" w:space="0" w:color="auto"/>
              <w:bottom w:val="single" w:sz="4" w:space="0" w:color="auto"/>
            </w:tcBorders>
            <w:shd w:val="clear" w:color="auto" w:fill="auto"/>
            <w:vAlign w:val="bottom"/>
          </w:tcPr>
          <w:p w14:paraId="64FB4B25" w14:textId="77777777" w:rsidR="00F61CED" w:rsidRPr="00F61CED" w:rsidRDefault="00F61CED" w:rsidP="00F61CED">
            <w:pPr>
              <w:pStyle w:val="Tabletext"/>
            </w:pPr>
            <w:r w:rsidRPr="00F61CED">
              <w:t>22</w:t>
            </w:r>
            <w:r w:rsidR="00D7157D">
              <w:t>.</w:t>
            </w:r>
            <w:r w:rsidRPr="00F61CED">
              <w:t>9897</w:t>
            </w:r>
          </w:p>
        </w:tc>
        <w:tc>
          <w:tcPr>
            <w:tcW w:w="966" w:type="pct"/>
            <w:tcBorders>
              <w:top w:val="single" w:sz="4" w:space="0" w:color="auto"/>
              <w:bottom w:val="single" w:sz="4" w:space="0" w:color="auto"/>
              <w:right w:val="nil"/>
            </w:tcBorders>
            <w:shd w:val="clear" w:color="auto" w:fill="auto"/>
            <w:vAlign w:val="bottom"/>
          </w:tcPr>
          <w:p w14:paraId="177EB332" w14:textId="77777777" w:rsidR="00F61CED" w:rsidRPr="00F61CED" w:rsidRDefault="00F61CED" w:rsidP="00F61CED">
            <w:pPr>
              <w:pStyle w:val="Tabletext"/>
            </w:pPr>
            <w:r w:rsidRPr="00F61CED">
              <w:t>1</w:t>
            </w:r>
            <w:r w:rsidR="00D7157D">
              <w:t>.</w:t>
            </w:r>
            <w:r w:rsidRPr="00F61CED">
              <w:t>1039</w:t>
            </w:r>
          </w:p>
        </w:tc>
      </w:tr>
      <w:tr w:rsidR="00F61CED" w:rsidRPr="00F61CED" w14:paraId="64819B36" w14:textId="77777777" w:rsidTr="00F160E0">
        <w:trPr>
          <w:cantSplit/>
        </w:trPr>
        <w:tc>
          <w:tcPr>
            <w:tcW w:w="1136" w:type="pct"/>
            <w:tcBorders>
              <w:top w:val="single" w:sz="4" w:space="0" w:color="auto"/>
              <w:bottom w:val="single" w:sz="4" w:space="0" w:color="auto"/>
            </w:tcBorders>
          </w:tcPr>
          <w:p w14:paraId="7A0101A5" w14:textId="77777777" w:rsidR="00F61CED" w:rsidRPr="00F61CED" w:rsidRDefault="00F61CED" w:rsidP="00F61CED">
            <w:pPr>
              <w:pStyle w:val="Tabletext"/>
            </w:pPr>
            <w:r w:rsidRPr="00F61CED">
              <w:t>33</w:t>
            </w:r>
          </w:p>
        </w:tc>
        <w:tc>
          <w:tcPr>
            <w:tcW w:w="966" w:type="pct"/>
            <w:tcBorders>
              <w:top w:val="single" w:sz="4" w:space="0" w:color="auto"/>
              <w:bottom w:val="single" w:sz="4" w:space="0" w:color="auto"/>
            </w:tcBorders>
            <w:shd w:val="clear" w:color="auto" w:fill="auto"/>
            <w:vAlign w:val="bottom"/>
          </w:tcPr>
          <w:p w14:paraId="13A9095C" w14:textId="77777777" w:rsidR="00F61CED" w:rsidRPr="00F61CED" w:rsidRDefault="00F61CED" w:rsidP="00F61CED">
            <w:pPr>
              <w:pStyle w:val="Tabletext"/>
            </w:pPr>
            <w:r w:rsidRPr="00F61CED">
              <w:t>21</w:t>
            </w:r>
            <w:r w:rsidR="00D7157D">
              <w:t>.</w:t>
            </w:r>
            <w:r w:rsidRPr="00F61CED">
              <w:t>8137</w:t>
            </w:r>
          </w:p>
        </w:tc>
        <w:tc>
          <w:tcPr>
            <w:tcW w:w="966" w:type="pct"/>
            <w:tcBorders>
              <w:top w:val="single" w:sz="4" w:space="0" w:color="auto"/>
              <w:bottom w:val="single" w:sz="4" w:space="0" w:color="auto"/>
            </w:tcBorders>
            <w:shd w:val="clear" w:color="auto" w:fill="auto"/>
            <w:vAlign w:val="bottom"/>
          </w:tcPr>
          <w:p w14:paraId="56D8CFFC" w14:textId="77777777" w:rsidR="00F61CED" w:rsidRPr="00F61CED" w:rsidRDefault="00F61CED" w:rsidP="00F61CED">
            <w:pPr>
              <w:pStyle w:val="Tabletext"/>
            </w:pPr>
            <w:r w:rsidRPr="00F61CED">
              <w:t>2</w:t>
            </w:r>
            <w:r w:rsidR="00D7157D">
              <w:t>.</w:t>
            </w:r>
            <w:r w:rsidRPr="00F61CED">
              <w:t>3170</w:t>
            </w:r>
          </w:p>
        </w:tc>
        <w:tc>
          <w:tcPr>
            <w:tcW w:w="966" w:type="pct"/>
            <w:tcBorders>
              <w:top w:val="single" w:sz="4" w:space="0" w:color="auto"/>
              <w:bottom w:val="single" w:sz="4" w:space="0" w:color="auto"/>
            </w:tcBorders>
            <w:shd w:val="clear" w:color="auto" w:fill="auto"/>
            <w:vAlign w:val="bottom"/>
          </w:tcPr>
          <w:p w14:paraId="56AFCDEA" w14:textId="77777777" w:rsidR="00F61CED" w:rsidRPr="00F61CED" w:rsidRDefault="00F61CED" w:rsidP="00F61CED">
            <w:pPr>
              <w:pStyle w:val="Tabletext"/>
            </w:pPr>
            <w:r w:rsidRPr="00F61CED">
              <w:t>22</w:t>
            </w:r>
            <w:r w:rsidR="00D7157D">
              <w:t>.</w:t>
            </w:r>
            <w:r w:rsidRPr="00F61CED">
              <w:t>8134</w:t>
            </w:r>
          </w:p>
        </w:tc>
        <w:tc>
          <w:tcPr>
            <w:tcW w:w="966" w:type="pct"/>
            <w:tcBorders>
              <w:top w:val="single" w:sz="4" w:space="0" w:color="auto"/>
              <w:bottom w:val="single" w:sz="4" w:space="0" w:color="auto"/>
              <w:right w:val="nil"/>
            </w:tcBorders>
            <w:shd w:val="clear" w:color="auto" w:fill="auto"/>
            <w:vAlign w:val="bottom"/>
          </w:tcPr>
          <w:p w14:paraId="317B5BE8" w14:textId="77777777" w:rsidR="00F61CED" w:rsidRPr="00F61CED" w:rsidRDefault="00F61CED" w:rsidP="00F61CED">
            <w:pPr>
              <w:pStyle w:val="Tabletext"/>
            </w:pPr>
            <w:r w:rsidRPr="00F61CED">
              <w:t>1</w:t>
            </w:r>
            <w:r w:rsidR="00D7157D">
              <w:t>.</w:t>
            </w:r>
            <w:r w:rsidRPr="00F61CED">
              <w:t>1254</w:t>
            </w:r>
          </w:p>
        </w:tc>
      </w:tr>
      <w:tr w:rsidR="00F61CED" w:rsidRPr="00F61CED" w14:paraId="15E1BB5C" w14:textId="77777777" w:rsidTr="00F160E0">
        <w:trPr>
          <w:cantSplit/>
        </w:trPr>
        <w:tc>
          <w:tcPr>
            <w:tcW w:w="1136" w:type="pct"/>
            <w:tcBorders>
              <w:top w:val="single" w:sz="4" w:space="0" w:color="auto"/>
              <w:bottom w:val="single" w:sz="4" w:space="0" w:color="auto"/>
            </w:tcBorders>
          </w:tcPr>
          <w:p w14:paraId="5B2C4ED7" w14:textId="77777777" w:rsidR="00F61CED" w:rsidRPr="00F61CED" w:rsidRDefault="00F61CED" w:rsidP="00F61CED">
            <w:pPr>
              <w:pStyle w:val="Tabletext"/>
            </w:pPr>
            <w:r w:rsidRPr="00F61CED">
              <w:t>34</w:t>
            </w:r>
          </w:p>
        </w:tc>
        <w:tc>
          <w:tcPr>
            <w:tcW w:w="966" w:type="pct"/>
            <w:tcBorders>
              <w:top w:val="single" w:sz="4" w:space="0" w:color="auto"/>
              <w:bottom w:val="single" w:sz="4" w:space="0" w:color="auto"/>
            </w:tcBorders>
            <w:shd w:val="clear" w:color="auto" w:fill="auto"/>
            <w:vAlign w:val="bottom"/>
          </w:tcPr>
          <w:p w14:paraId="4DD98158" w14:textId="77777777" w:rsidR="00F61CED" w:rsidRPr="00F61CED" w:rsidRDefault="00F61CED" w:rsidP="00F61CED">
            <w:pPr>
              <w:pStyle w:val="Tabletext"/>
            </w:pPr>
            <w:r w:rsidRPr="00F61CED">
              <w:t>21</w:t>
            </w:r>
            <w:r w:rsidR="00D7157D">
              <w:t>.</w:t>
            </w:r>
            <w:r w:rsidRPr="00F61CED">
              <w:t>6152</w:t>
            </w:r>
          </w:p>
        </w:tc>
        <w:tc>
          <w:tcPr>
            <w:tcW w:w="966" w:type="pct"/>
            <w:tcBorders>
              <w:top w:val="single" w:sz="4" w:space="0" w:color="auto"/>
              <w:bottom w:val="single" w:sz="4" w:space="0" w:color="auto"/>
            </w:tcBorders>
            <w:shd w:val="clear" w:color="auto" w:fill="auto"/>
            <w:vAlign w:val="bottom"/>
          </w:tcPr>
          <w:p w14:paraId="2C43F4BF" w14:textId="77777777" w:rsidR="00F61CED" w:rsidRPr="00F61CED" w:rsidRDefault="00F61CED" w:rsidP="00F61CED">
            <w:pPr>
              <w:pStyle w:val="Tabletext"/>
            </w:pPr>
            <w:r w:rsidRPr="00F61CED">
              <w:t>2</w:t>
            </w:r>
            <w:r w:rsidR="00D7157D">
              <w:t>.</w:t>
            </w:r>
            <w:r w:rsidRPr="00F61CED">
              <w:t>3652</w:t>
            </w:r>
          </w:p>
        </w:tc>
        <w:tc>
          <w:tcPr>
            <w:tcW w:w="966" w:type="pct"/>
            <w:tcBorders>
              <w:top w:val="single" w:sz="4" w:space="0" w:color="auto"/>
              <w:bottom w:val="single" w:sz="4" w:space="0" w:color="auto"/>
            </w:tcBorders>
            <w:shd w:val="clear" w:color="auto" w:fill="auto"/>
            <w:vAlign w:val="bottom"/>
          </w:tcPr>
          <w:p w14:paraId="46110CD1" w14:textId="77777777" w:rsidR="00F61CED" w:rsidRPr="00F61CED" w:rsidRDefault="00F61CED" w:rsidP="00F61CED">
            <w:pPr>
              <w:pStyle w:val="Tabletext"/>
            </w:pPr>
            <w:r w:rsidRPr="00F61CED">
              <w:t>22</w:t>
            </w:r>
            <w:r w:rsidR="00D7157D">
              <w:t>.</w:t>
            </w:r>
            <w:r w:rsidRPr="00F61CED">
              <w:t>6318</w:t>
            </w:r>
          </w:p>
        </w:tc>
        <w:tc>
          <w:tcPr>
            <w:tcW w:w="966" w:type="pct"/>
            <w:tcBorders>
              <w:top w:val="single" w:sz="4" w:space="0" w:color="auto"/>
              <w:bottom w:val="single" w:sz="4" w:space="0" w:color="auto"/>
              <w:right w:val="nil"/>
            </w:tcBorders>
            <w:shd w:val="clear" w:color="auto" w:fill="auto"/>
            <w:vAlign w:val="bottom"/>
          </w:tcPr>
          <w:p w14:paraId="17258811" w14:textId="77777777" w:rsidR="00F61CED" w:rsidRPr="00F61CED" w:rsidRDefault="00F61CED" w:rsidP="00F61CED">
            <w:pPr>
              <w:pStyle w:val="Tabletext"/>
            </w:pPr>
            <w:r w:rsidRPr="00F61CED">
              <w:t>1</w:t>
            </w:r>
            <w:r w:rsidR="00D7157D">
              <w:t>.</w:t>
            </w:r>
            <w:r w:rsidRPr="00F61CED">
              <w:t>1472</w:t>
            </w:r>
          </w:p>
        </w:tc>
      </w:tr>
      <w:tr w:rsidR="00F61CED" w:rsidRPr="00F61CED" w14:paraId="472E3FEB" w14:textId="77777777" w:rsidTr="00F160E0">
        <w:trPr>
          <w:cantSplit/>
        </w:trPr>
        <w:tc>
          <w:tcPr>
            <w:tcW w:w="1136" w:type="pct"/>
            <w:tcBorders>
              <w:top w:val="single" w:sz="4" w:space="0" w:color="auto"/>
              <w:bottom w:val="single" w:sz="4" w:space="0" w:color="auto"/>
            </w:tcBorders>
          </w:tcPr>
          <w:p w14:paraId="0FDD8155" w14:textId="77777777" w:rsidR="00F61CED" w:rsidRPr="00F61CED" w:rsidRDefault="00F61CED" w:rsidP="00F61CED">
            <w:pPr>
              <w:pStyle w:val="Tabletext"/>
            </w:pPr>
            <w:r w:rsidRPr="00F61CED">
              <w:t>35</w:t>
            </w:r>
          </w:p>
        </w:tc>
        <w:tc>
          <w:tcPr>
            <w:tcW w:w="966" w:type="pct"/>
            <w:tcBorders>
              <w:top w:val="single" w:sz="4" w:space="0" w:color="auto"/>
              <w:bottom w:val="single" w:sz="4" w:space="0" w:color="auto"/>
            </w:tcBorders>
            <w:shd w:val="clear" w:color="auto" w:fill="auto"/>
            <w:vAlign w:val="bottom"/>
          </w:tcPr>
          <w:p w14:paraId="3FB7433D" w14:textId="77777777" w:rsidR="00F61CED" w:rsidRPr="00F61CED" w:rsidRDefault="00F61CED" w:rsidP="00F61CED">
            <w:pPr>
              <w:pStyle w:val="Tabletext"/>
            </w:pPr>
            <w:r w:rsidRPr="00F61CED">
              <w:t>21</w:t>
            </w:r>
            <w:r w:rsidR="00D7157D">
              <w:t>.</w:t>
            </w:r>
            <w:r w:rsidRPr="00F61CED">
              <w:t>4112</w:t>
            </w:r>
          </w:p>
        </w:tc>
        <w:tc>
          <w:tcPr>
            <w:tcW w:w="966" w:type="pct"/>
            <w:tcBorders>
              <w:top w:val="single" w:sz="4" w:space="0" w:color="auto"/>
              <w:bottom w:val="single" w:sz="4" w:space="0" w:color="auto"/>
            </w:tcBorders>
            <w:shd w:val="clear" w:color="auto" w:fill="auto"/>
            <w:vAlign w:val="bottom"/>
          </w:tcPr>
          <w:p w14:paraId="749B5F30" w14:textId="77777777" w:rsidR="00F61CED" w:rsidRPr="00F61CED" w:rsidRDefault="00F61CED" w:rsidP="00F61CED">
            <w:pPr>
              <w:pStyle w:val="Tabletext"/>
            </w:pPr>
            <w:r w:rsidRPr="00F61CED">
              <w:t>2</w:t>
            </w:r>
            <w:r w:rsidR="00D7157D">
              <w:t>.</w:t>
            </w:r>
            <w:r w:rsidRPr="00F61CED">
              <w:t>4142</w:t>
            </w:r>
          </w:p>
        </w:tc>
        <w:tc>
          <w:tcPr>
            <w:tcW w:w="966" w:type="pct"/>
            <w:tcBorders>
              <w:top w:val="single" w:sz="4" w:space="0" w:color="auto"/>
              <w:bottom w:val="single" w:sz="4" w:space="0" w:color="auto"/>
            </w:tcBorders>
            <w:shd w:val="clear" w:color="auto" w:fill="auto"/>
            <w:vAlign w:val="bottom"/>
          </w:tcPr>
          <w:p w14:paraId="079FA116" w14:textId="77777777" w:rsidR="00F61CED" w:rsidRPr="00F61CED" w:rsidRDefault="00F61CED" w:rsidP="00F61CED">
            <w:pPr>
              <w:pStyle w:val="Tabletext"/>
            </w:pPr>
            <w:r w:rsidRPr="00F61CED">
              <w:t>22</w:t>
            </w:r>
            <w:r w:rsidR="00D7157D">
              <w:t>.</w:t>
            </w:r>
            <w:r w:rsidRPr="00F61CED">
              <w:t>4449</w:t>
            </w:r>
          </w:p>
        </w:tc>
        <w:tc>
          <w:tcPr>
            <w:tcW w:w="966" w:type="pct"/>
            <w:tcBorders>
              <w:top w:val="single" w:sz="4" w:space="0" w:color="auto"/>
              <w:bottom w:val="single" w:sz="4" w:space="0" w:color="auto"/>
              <w:right w:val="nil"/>
            </w:tcBorders>
            <w:shd w:val="clear" w:color="auto" w:fill="auto"/>
            <w:vAlign w:val="bottom"/>
          </w:tcPr>
          <w:p w14:paraId="11F38B28" w14:textId="77777777" w:rsidR="00F61CED" w:rsidRPr="00F61CED" w:rsidRDefault="00F61CED" w:rsidP="00F61CED">
            <w:pPr>
              <w:pStyle w:val="Tabletext"/>
            </w:pPr>
            <w:r w:rsidRPr="00F61CED">
              <w:t>1</w:t>
            </w:r>
            <w:r w:rsidR="00D7157D">
              <w:t>.</w:t>
            </w:r>
            <w:r w:rsidRPr="00F61CED">
              <w:t>1693</w:t>
            </w:r>
          </w:p>
        </w:tc>
      </w:tr>
      <w:tr w:rsidR="00F61CED" w:rsidRPr="00F61CED" w14:paraId="6252D02D" w14:textId="77777777" w:rsidTr="00F160E0">
        <w:trPr>
          <w:cantSplit/>
        </w:trPr>
        <w:tc>
          <w:tcPr>
            <w:tcW w:w="1136" w:type="pct"/>
            <w:tcBorders>
              <w:top w:val="single" w:sz="4" w:space="0" w:color="auto"/>
              <w:bottom w:val="single" w:sz="4" w:space="0" w:color="auto"/>
            </w:tcBorders>
          </w:tcPr>
          <w:p w14:paraId="5456F1A9" w14:textId="77777777" w:rsidR="00F61CED" w:rsidRPr="00F61CED" w:rsidRDefault="00F61CED" w:rsidP="00F61CED">
            <w:pPr>
              <w:pStyle w:val="Tabletext"/>
            </w:pPr>
            <w:r w:rsidRPr="00F61CED">
              <w:t>36</w:t>
            </w:r>
          </w:p>
        </w:tc>
        <w:tc>
          <w:tcPr>
            <w:tcW w:w="966" w:type="pct"/>
            <w:tcBorders>
              <w:top w:val="single" w:sz="4" w:space="0" w:color="auto"/>
              <w:bottom w:val="single" w:sz="4" w:space="0" w:color="auto"/>
            </w:tcBorders>
            <w:shd w:val="clear" w:color="auto" w:fill="auto"/>
            <w:vAlign w:val="bottom"/>
          </w:tcPr>
          <w:p w14:paraId="2681D1B0" w14:textId="77777777" w:rsidR="00F61CED" w:rsidRPr="00F61CED" w:rsidRDefault="00F61CED" w:rsidP="00F61CED">
            <w:pPr>
              <w:pStyle w:val="Tabletext"/>
            </w:pPr>
            <w:r w:rsidRPr="00F61CED">
              <w:t>21</w:t>
            </w:r>
            <w:r w:rsidR="00D7157D">
              <w:t>.</w:t>
            </w:r>
            <w:r w:rsidRPr="00F61CED">
              <w:t>2014</w:t>
            </w:r>
          </w:p>
        </w:tc>
        <w:tc>
          <w:tcPr>
            <w:tcW w:w="966" w:type="pct"/>
            <w:tcBorders>
              <w:top w:val="single" w:sz="4" w:space="0" w:color="auto"/>
              <w:bottom w:val="single" w:sz="4" w:space="0" w:color="auto"/>
            </w:tcBorders>
            <w:shd w:val="clear" w:color="auto" w:fill="auto"/>
            <w:vAlign w:val="bottom"/>
          </w:tcPr>
          <w:p w14:paraId="5D5618FD" w14:textId="77777777" w:rsidR="00F61CED" w:rsidRPr="00F61CED" w:rsidRDefault="00F61CED" w:rsidP="00F61CED">
            <w:pPr>
              <w:pStyle w:val="Tabletext"/>
            </w:pPr>
            <w:r w:rsidRPr="00F61CED">
              <w:t>2</w:t>
            </w:r>
            <w:r w:rsidR="00D7157D">
              <w:t>.</w:t>
            </w:r>
            <w:r w:rsidRPr="00F61CED">
              <w:t>4640</w:t>
            </w:r>
          </w:p>
        </w:tc>
        <w:tc>
          <w:tcPr>
            <w:tcW w:w="966" w:type="pct"/>
            <w:tcBorders>
              <w:top w:val="single" w:sz="4" w:space="0" w:color="auto"/>
              <w:bottom w:val="single" w:sz="4" w:space="0" w:color="auto"/>
            </w:tcBorders>
            <w:shd w:val="clear" w:color="auto" w:fill="auto"/>
            <w:vAlign w:val="bottom"/>
          </w:tcPr>
          <w:p w14:paraId="4B0989C3" w14:textId="77777777" w:rsidR="00F61CED" w:rsidRPr="00F61CED" w:rsidRDefault="00F61CED" w:rsidP="00F61CED">
            <w:pPr>
              <w:pStyle w:val="Tabletext"/>
            </w:pPr>
            <w:r w:rsidRPr="00F61CED">
              <w:t>22</w:t>
            </w:r>
            <w:r w:rsidR="00D7157D">
              <w:t>.</w:t>
            </w:r>
            <w:r w:rsidRPr="00F61CED">
              <w:t>2523</w:t>
            </w:r>
          </w:p>
        </w:tc>
        <w:tc>
          <w:tcPr>
            <w:tcW w:w="966" w:type="pct"/>
            <w:tcBorders>
              <w:top w:val="single" w:sz="4" w:space="0" w:color="auto"/>
              <w:bottom w:val="single" w:sz="4" w:space="0" w:color="auto"/>
              <w:right w:val="nil"/>
            </w:tcBorders>
            <w:shd w:val="clear" w:color="auto" w:fill="auto"/>
            <w:vAlign w:val="bottom"/>
          </w:tcPr>
          <w:p w14:paraId="47F6CE3D" w14:textId="77777777" w:rsidR="00F61CED" w:rsidRPr="00F61CED" w:rsidRDefault="00F61CED" w:rsidP="00F61CED">
            <w:pPr>
              <w:pStyle w:val="Tabletext"/>
            </w:pPr>
            <w:r w:rsidRPr="00F61CED">
              <w:t>1</w:t>
            </w:r>
            <w:r w:rsidR="00D7157D">
              <w:t>.</w:t>
            </w:r>
            <w:r w:rsidRPr="00F61CED">
              <w:t>1917</w:t>
            </w:r>
          </w:p>
        </w:tc>
      </w:tr>
      <w:tr w:rsidR="00F61CED" w:rsidRPr="00F61CED" w14:paraId="3107745F" w14:textId="77777777" w:rsidTr="00F160E0">
        <w:trPr>
          <w:cantSplit/>
        </w:trPr>
        <w:tc>
          <w:tcPr>
            <w:tcW w:w="1136" w:type="pct"/>
            <w:tcBorders>
              <w:top w:val="single" w:sz="4" w:space="0" w:color="auto"/>
              <w:bottom w:val="single" w:sz="4" w:space="0" w:color="auto"/>
            </w:tcBorders>
          </w:tcPr>
          <w:p w14:paraId="1E093C45" w14:textId="77777777" w:rsidR="00F61CED" w:rsidRPr="00F61CED" w:rsidRDefault="00F61CED" w:rsidP="00F61CED">
            <w:pPr>
              <w:pStyle w:val="Tabletext"/>
            </w:pPr>
            <w:r w:rsidRPr="00F61CED">
              <w:t>37</w:t>
            </w:r>
          </w:p>
        </w:tc>
        <w:tc>
          <w:tcPr>
            <w:tcW w:w="966" w:type="pct"/>
            <w:tcBorders>
              <w:top w:val="single" w:sz="4" w:space="0" w:color="auto"/>
              <w:bottom w:val="single" w:sz="4" w:space="0" w:color="auto"/>
            </w:tcBorders>
            <w:shd w:val="clear" w:color="auto" w:fill="auto"/>
            <w:vAlign w:val="bottom"/>
          </w:tcPr>
          <w:p w14:paraId="6359E873" w14:textId="77777777" w:rsidR="00F61CED" w:rsidRPr="00F61CED" w:rsidRDefault="00F61CED" w:rsidP="00F61CED">
            <w:pPr>
              <w:pStyle w:val="Tabletext"/>
            </w:pPr>
            <w:r w:rsidRPr="00F61CED">
              <w:t>20</w:t>
            </w:r>
            <w:r w:rsidR="00D7157D">
              <w:t>.</w:t>
            </w:r>
            <w:r w:rsidRPr="00F61CED">
              <w:t>9859</w:t>
            </w:r>
          </w:p>
        </w:tc>
        <w:tc>
          <w:tcPr>
            <w:tcW w:w="966" w:type="pct"/>
            <w:tcBorders>
              <w:top w:val="single" w:sz="4" w:space="0" w:color="auto"/>
              <w:bottom w:val="single" w:sz="4" w:space="0" w:color="auto"/>
            </w:tcBorders>
            <w:shd w:val="clear" w:color="auto" w:fill="auto"/>
            <w:vAlign w:val="bottom"/>
          </w:tcPr>
          <w:p w14:paraId="0B376543" w14:textId="77777777" w:rsidR="00F61CED" w:rsidRPr="00F61CED" w:rsidRDefault="00F61CED" w:rsidP="00F61CED">
            <w:pPr>
              <w:pStyle w:val="Tabletext"/>
            </w:pPr>
            <w:r w:rsidRPr="00F61CED">
              <w:t>2</w:t>
            </w:r>
            <w:r w:rsidR="00D7157D">
              <w:t>.</w:t>
            </w:r>
            <w:r w:rsidRPr="00F61CED">
              <w:t>5146</w:t>
            </w:r>
          </w:p>
        </w:tc>
        <w:tc>
          <w:tcPr>
            <w:tcW w:w="966" w:type="pct"/>
            <w:tcBorders>
              <w:top w:val="single" w:sz="4" w:space="0" w:color="auto"/>
              <w:bottom w:val="single" w:sz="4" w:space="0" w:color="auto"/>
            </w:tcBorders>
            <w:shd w:val="clear" w:color="auto" w:fill="auto"/>
            <w:vAlign w:val="bottom"/>
          </w:tcPr>
          <w:p w14:paraId="67347AE1" w14:textId="77777777" w:rsidR="00F61CED" w:rsidRPr="00F61CED" w:rsidRDefault="00F61CED" w:rsidP="00F61CED">
            <w:pPr>
              <w:pStyle w:val="Tabletext"/>
            </w:pPr>
            <w:r w:rsidRPr="00F61CED">
              <w:t>22</w:t>
            </w:r>
            <w:r w:rsidR="00D7157D">
              <w:t>.</w:t>
            </w:r>
            <w:r w:rsidRPr="00F61CED">
              <w:t>0540</w:t>
            </w:r>
          </w:p>
        </w:tc>
        <w:tc>
          <w:tcPr>
            <w:tcW w:w="966" w:type="pct"/>
            <w:tcBorders>
              <w:top w:val="single" w:sz="4" w:space="0" w:color="auto"/>
              <w:bottom w:val="single" w:sz="4" w:space="0" w:color="auto"/>
              <w:right w:val="nil"/>
            </w:tcBorders>
            <w:shd w:val="clear" w:color="auto" w:fill="auto"/>
            <w:vAlign w:val="bottom"/>
          </w:tcPr>
          <w:p w14:paraId="635AE4C6" w14:textId="77777777" w:rsidR="00F61CED" w:rsidRPr="00F61CED" w:rsidRDefault="00F61CED" w:rsidP="00F61CED">
            <w:pPr>
              <w:pStyle w:val="Tabletext"/>
            </w:pPr>
            <w:r w:rsidRPr="00F61CED">
              <w:t>1</w:t>
            </w:r>
            <w:r w:rsidR="00D7157D">
              <w:t>.</w:t>
            </w:r>
            <w:r w:rsidRPr="00F61CED">
              <w:t>2145</w:t>
            </w:r>
          </w:p>
        </w:tc>
      </w:tr>
      <w:tr w:rsidR="00F61CED" w:rsidRPr="00F61CED" w14:paraId="3D521F88" w14:textId="77777777" w:rsidTr="00F160E0">
        <w:trPr>
          <w:cantSplit/>
        </w:trPr>
        <w:tc>
          <w:tcPr>
            <w:tcW w:w="1136" w:type="pct"/>
            <w:tcBorders>
              <w:top w:val="single" w:sz="4" w:space="0" w:color="auto"/>
              <w:bottom w:val="single" w:sz="4" w:space="0" w:color="auto"/>
            </w:tcBorders>
          </w:tcPr>
          <w:p w14:paraId="06081E55" w14:textId="77777777" w:rsidR="00F61CED" w:rsidRPr="00F61CED" w:rsidRDefault="00F61CED" w:rsidP="00F61CED">
            <w:pPr>
              <w:pStyle w:val="Tabletext"/>
            </w:pPr>
            <w:r w:rsidRPr="00F61CED">
              <w:t>38</w:t>
            </w:r>
          </w:p>
        </w:tc>
        <w:tc>
          <w:tcPr>
            <w:tcW w:w="966" w:type="pct"/>
            <w:tcBorders>
              <w:top w:val="single" w:sz="4" w:space="0" w:color="auto"/>
              <w:bottom w:val="single" w:sz="4" w:space="0" w:color="auto"/>
            </w:tcBorders>
            <w:shd w:val="clear" w:color="auto" w:fill="auto"/>
            <w:vAlign w:val="bottom"/>
          </w:tcPr>
          <w:p w14:paraId="008050BD" w14:textId="77777777" w:rsidR="00F61CED" w:rsidRPr="00F61CED" w:rsidRDefault="00F61CED" w:rsidP="00F61CED">
            <w:pPr>
              <w:pStyle w:val="Tabletext"/>
            </w:pPr>
            <w:r w:rsidRPr="00F61CED">
              <w:t>20</w:t>
            </w:r>
            <w:r w:rsidR="00D7157D">
              <w:t>.</w:t>
            </w:r>
            <w:r w:rsidRPr="00F61CED">
              <w:t>7644</w:t>
            </w:r>
          </w:p>
        </w:tc>
        <w:tc>
          <w:tcPr>
            <w:tcW w:w="966" w:type="pct"/>
            <w:tcBorders>
              <w:top w:val="single" w:sz="4" w:space="0" w:color="auto"/>
              <w:bottom w:val="single" w:sz="4" w:space="0" w:color="auto"/>
            </w:tcBorders>
            <w:shd w:val="clear" w:color="auto" w:fill="auto"/>
            <w:vAlign w:val="bottom"/>
          </w:tcPr>
          <w:p w14:paraId="55A61C6E" w14:textId="77777777" w:rsidR="00F61CED" w:rsidRPr="00F61CED" w:rsidRDefault="00F61CED" w:rsidP="00F61CED">
            <w:pPr>
              <w:pStyle w:val="Tabletext"/>
            </w:pPr>
            <w:r w:rsidRPr="00F61CED">
              <w:t>2</w:t>
            </w:r>
            <w:r w:rsidR="00D7157D">
              <w:t>.</w:t>
            </w:r>
            <w:r w:rsidRPr="00F61CED">
              <w:t>5660</w:t>
            </w:r>
          </w:p>
        </w:tc>
        <w:tc>
          <w:tcPr>
            <w:tcW w:w="966" w:type="pct"/>
            <w:tcBorders>
              <w:top w:val="single" w:sz="4" w:space="0" w:color="auto"/>
              <w:bottom w:val="single" w:sz="4" w:space="0" w:color="auto"/>
            </w:tcBorders>
            <w:shd w:val="clear" w:color="auto" w:fill="auto"/>
            <w:vAlign w:val="bottom"/>
          </w:tcPr>
          <w:p w14:paraId="609D8386" w14:textId="77777777" w:rsidR="00F61CED" w:rsidRPr="00F61CED" w:rsidRDefault="00F61CED" w:rsidP="00F61CED">
            <w:pPr>
              <w:pStyle w:val="Tabletext"/>
            </w:pPr>
            <w:r w:rsidRPr="00F61CED">
              <w:t>21</w:t>
            </w:r>
            <w:r w:rsidR="00D7157D">
              <w:t>.</w:t>
            </w:r>
            <w:r w:rsidRPr="00F61CED">
              <w:t>8500</w:t>
            </w:r>
          </w:p>
        </w:tc>
        <w:tc>
          <w:tcPr>
            <w:tcW w:w="966" w:type="pct"/>
            <w:tcBorders>
              <w:top w:val="single" w:sz="4" w:space="0" w:color="auto"/>
              <w:bottom w:val="single" w:sz="4" w:space="0" w:color="auto"/>
              <w:right w:val="nil"/>
            </w:tcBorders>
            <w:shd w:val="clear" w:color="auto" w:fill="auto"/>
            <w:vAlign w:val="bottom"/>
          </w:tcPr>
          <w:p w14:paraId="15CB8FA3" w14:textId="77777777" w:rsidR="00F61CED" w:rsidRPr="00F61CED" w:rsidRDefault="00F61CED" w:rsidP="00F61CED">
            <w:pPr>
              <w:pStyle w:val="Tabletext"/>
            </w:pPr>
            <w:r w:rsidRPr="00F61CED">
              <w:t>1</w:t>
            </w:r>
            <w:r w:rsidR="00D7157D">
              <w:t>.</w:t>
            </w:r>
            <w:r w:rsidRPr="00F61CED">
              <w:t>2374</w:t>
            </w:r>
          </w:p>
        </w:tc>
      </w:tr>
      <w:tr w:rsidR="00F61CED" w:rsidRPr="00F61CED" w14:paraId="169A5CF0" w14:textId="77777777" w:rsidTr="00F160E0">
        <w:trPr>
          <w:cantSplit/>
        </w:trPr>
        <w:tc>
          <w:tcPr>
            <w:tcW w:w="1136" w:type="pct"/>
            <w:tcBorders>
              <w:top w:val="single" w:sz="4" w:space="0" w:color="auto"/>
              <w:bottom w:val="single" w:sz="4" w:space="0" w:color="auto"/>
            </w:tcBorders>
          </w:tcPr>
          <w:p w14:paraId="12906A8B" w14:textId="77777777" w:rsidR="00F61CED" w:rsidRPr="00F61CED" w:rsidRDefault="00F61CED" w:rsidP="00F61CED">
            <w:pPr>
              <w:pStyle w:val="Tabletext"/>
            </w:pPr>
            <w:r w:rsidRPr="00F61CED">
              <w:t>39</w:t>
            </w:r>
          </w:p>
        </w:tc>
        <w:tc>
          <w:tcPr>
            <w:tcW w:w="966" w:type="pct"/>
            <w:tcBorders>
              <w:top w:val="single" w:sz="4" w:space="0" w:color="auto"/>
              <w:bottom w:val="single" w:sz="4" w:space="0" w:color="auto"/>
            </w:tcBorders>
            <w:shd w:val="clear" w:color="auto" w:fill="auto"/>
            <w:vAlign w:val="bottom"/>
          </w:tcPr>
          <w:p w14:paraId="49540A92" w14:textId="77777777" w:rsidR="00F61CED" w:rsidRPr="00F61CED" w:rsidRDefault="00F61CED" w:rsidP="00F61CED">
            <w:pPr>
              <w:pStyle w:val="Tabletext"/>
            </w:pPr>
            <w:r w:rsidRPr="00F61CED">
              <w:t>20</w:t>
            </w:r>
            <w:r w:rsidR="00D7157D">
              <w:t>.</w:t>
            </w:r>
            <w:r w:rsidRPr="00F61CED">
              <w:t>5367</w:t>
            </w:r>
          </w:p>
        </w:tc>
        <w:tc>
          <w:tcPr>
            <w:tcW w:w="966" w:type="pct"/>
            <w:tcBorders>
              <w:top w:val="single" w:sz="4" w:space="0" w:color="auto"/>
              <w:bottom w:val="single" w:sz="4" w:space="0" w:color="auto"/>
            </w:tcBorders>
            <w:shd w:val="clear" w:color="auto" w:fill="auto"/>
            <w:vAlign w:val="bottom"/>
          </w:tcPr>
          <w:p w14:paraId="38266618" w14:textId="77777777" w:rsidR="00F61CED" w:rsidRPr="00F61CED" w:rsidRDefault="00F61CED" w:rsidP="00F61CED">
            <w:pPr>
              <w:pStyle w:val="Tabletext"/>
            </w:pPr>
            <w:r w:rsidRPr="00F61CED">
              <w:t>2</w:t>
            </w:r>
            <w:r w:rsidR="00D7157D">
              <w:t>.</w:t>
            </w:r>
            <w:r w:rsidRPr="00F61CED">
              <w:t>6180</w:t>
            </w:r>
          </w:p>
        </w:tc>
        <w:tc>
          <w:tcPr>
            <w:tcW w:w="966" w:type="pct"/>
            <w:tcBorders>
              <w:top w:val="single" w:sz="4" w:space="0" w:color="auto"/>
              <w:bottom w:val="single" w:sz="4" w:space="0" w:color="auto"/>
            </w:tcBorders>
            <w:shd w:val="clear" w:color="auto" w:fill="auto"/>
            <w:vAlign w:val="bottom"/>
          </w:tcPr>
          <w:p w14:paraId="34278581" w14:textId="77777777" w:rsidR="00F61CED" w:rsidRPr="00F61CED" w:rsidRDefault="00F61CED" w:rsidP="00F61CED">
            <w:pPr>
              <w:pStyle w:val="Tabletext"/>
            </w:pPr>
            <w:r w:rsidRPr="00F61CED">
              <w:t>21</w:t>
            </w:r>
            <w:r w:rsidR="00D7157D">
              <w:t>.</w:t>
            </w:r>
            <w:r w:rsidRPr="00F61CED">
              <w:t>6399</w:t>
            </w:r>
          </w:p>
        </w:tc>
        <w:tc>
          <w:tcPr>
            <w:tcW w:w="966" w:type="pct"/>
            <w:tcBorders>
              <w:top w:val="single" w:sz="4" w:space="0" w:color="auto"/>
              <w:bottom w:val="single" w:sz="4" w:space="0" w:color="auto"/>
              <w:right w:val="nil"/>
            </w:tcBorders>
            <w:shd w:val="clear" w:color="auto" w:fill="auto"/>
            <w:vAlign w:val="bottom"/>
          </w:tcPr>
          <w:p w14:paraId="6B397715" w14:textId="77777777" w:rsidR="00F61CED" w:rsidRPr="00F61CED" w:rsidRDefault="00F61CED" w:rsidP="00F61CED">
            <w:pPr>
              <w:pStyle w:val="Tabletext"/>
            </w:pPr>
            <w:r w:rsidRPr="00F61CED">
              <w:t>1</w:t>
            </w:r>
            <w:r w:rsidR="00D7157D">
              <w:t>.</w:t>
            </w:r>
            <w:r w:rsidRPr="00F61CED">
              <w:t>2605</w:t>
            </w:r>
          </w:p>
        </w:tc>
      </w:tr>
      <w:tr w:rsidR="00F61CED" w:rsidRPr="00F61CED" w14:paraId="226BC7EC" w14:textId="77777777" w:rsidTr="00F160E0">
        <w:trPr>
          <w:cantSplit/>
        </w:trPr>
        <w:tc>
          <w:tcPr>
            <w:tcW w:w="1136" w:type="pct"/>
            <w:tcBorders>
              <w:top w:val="single" w:sz="4" w:space="0" w:color="auto"/>
              <w:bottom w:val="single" w:sz="4" w:space="0" w:color="auto"/>
            </w:tcBorders>
          </w:tcPr>
          <w:p w14:paraId="3AEC23DA" w14:textId="77777777" w:rsidR="00F61CED" w:rsidRPr="00F61CED" w:rsidRDefault="00F61CED" w:rsidP="00F61CED">
            <w:pPr>
              <w:pStyle w:val="Tabletext"/>
            </w:pPr>
            <w:r w:rsidRPr="00F61CED">
              <w:t>40</w:t>
            </w:r>
          </w:p>
        </w:tc>
        <w:tc>
          <w:tcPr>
            <w:tcW w:w="966" w:type="pct"/>
            <w:tcBorders>
              <w:top w:val="single" w:sz="4" w:space="0" w:color="auto"/>
              <w:bottom w:val="single" w:sz="4" w:space="0" w:color="auto"/>
            </w:tcBorders>
            <w:shd w:val="clear" w:color="auto" w:fill="auto"/>
            <w:vAlign w:val="bottom"/>
          </w:tcPr>
          <w:p w14:paraId="102832AC" w14:textId="77777777" w:rsidR="00F61CED" w:rsidRPr="00F61CED" w:rsidRDefault="00F61CED" w:rsidP="00F61CED">
            <w:pPr>
              <w:pStyle w:val="Tabletext"/>
            </w:pPr>
            <w:r w:rsidRPr="00F61CED">
              <w:t>20</w:t>
            </w:r>
            <w:r w:rsidR="00D7157D">
              <w:t>.</w:t>
            </w:r>
            <w:r w:rsidRPr="00F61CED">
              <w:t>3029</w:t>
            </w:r>
          </w:p>
        </w:tc>
        <w:tc>
          <w:tcPr>
            <w:tcW w:w="966" w:type="pct"/>
            <w:tcBorders>
              <w:top w:val="single" w:sz="4" w:space="0" w:color="auto"/>
              <w:bottom w:val="single" w:sz="4" w:space="0" w:color="auto"/>
            </w:tcBorders>
            <w:shd w:val="clear" w:color="auto" w:fill="auto"/>
            <w:vAlign w:val="bottom"/>
          </w:tcPr>
          <w:p w14:paraId="712CA71B" w14:textId="77777777" w:rsidR="00F61CED" w:rsidRPr="00F61CED" w:rsidRDefault="00F61CED" w:rsidP="00F61CED">
            <w:pPr>
              <w:pStyle w:val="Tabletext"/>
            </w:pPr>
            <w:r w:rsidRPr="00F61CED">
              <w:t>2</w:t>
            </w:r>
            <w:r w:rsidR="00D7157D">
              <w:t>.</w:t>
            </w:r>
            <w:r w:rsidRPr="00F61CED">
              <w:t>6708</w:t>
            </w:r>
          </w:p>
        </w:tc>
        <w:tc>
          <w:tcPr>
            <w:tcW w:w="966" w:type="pct"/>
            <w:tcBorders>
              <w:top w:val="single" w:sz="4" w:space="0" w:color="auto"/>
              <w:bottom w:val="single" w:sz="4" w:space="0" w:color="auto"/>
            </w:tcBorders>
            <w:shd w:val="clear" w:color="auto" w:fill="auto"/>
            <w:vAlign w:val="bottom"/>
          </w:tcPr>
          <w:p w14:paraId="5913A09B" w14:textId="77777777" w:rsidR="00F61CED" w:rsidRPr="00F61CED" w:rsidRDefault="00F61CED" w:rsidP="00F61CED">
            <w:pPr>
              <w:pStyle w:val="Tabletext"/>
            </w:pPr>
            <w:r w:rsidRPr="00F61CED">
              <w:t>21</w:t>
            </w:r>
            <w:r w:rsidR="00D7157D">
              <w:t>.</w:t>
            </w:r>
            <w:r w:rsidRPr="00F61CED">
              <w:t>4237</w:t>
            </w:r>
          </w:p>
        </w:tc>
        <w:tc>
          <w:tcPr>
            <w:tcW w:w="966" w:type="pct"/>
            <w:tcBorders>
              <w:top w:val="single" w:sz="4" w:space="0" w:color="auto"/>
              <w:bottom w:val="single" w:sz="4" w:space="0" w:color="auto"/>
              <w:right w:val="nil"/>
            </w:tcBorders>
            <w:shd w:val="clear" w:color="auto" w:fill="auto"/>
            <w:vAlign w:val="bottom"/>
          </w:tcPr>
          <w:p w14:paraId="6105466E" w14:textId="77777777" w:rsidR="00F61CED" w:rsidRPr="00F61CED" w:rsidRDefault="00F61CED" w:rsidP="00F61CED">
            <w:pPr>
              <w:pStyle w:val="Tabletext"/>
            </w:pPr>
            <w:r w:rsidRPr="00F61CED">
              <w:t>1</w:t>
            </w:r>
            <w:r w:rsidR="00D7157D">
              <w:t>.</w:t>
            </w:r>
            <w:r w:rsidRPr="00F61CED">
              <w:t>2839</w:t>
            </w:r>
          </w:p>
        </w:tc>
      </w:tr>
      <w:tr w:rsidR="00F61CED" w:rsidRPr="00F61CED" w14:paraId="1E65FFC3" w14:textId="77777777" w:rsidTr="00F160E0">
        <w:trPr>
          <w:cantSplit/>
        </w:trPr>
        <w:tc>
          <w:tcPr>
            <w:tcW w:w="1136" w:type="pct"/>
            <w:tcBorders>
              <w:top w:val="single" w:sz="4" w:space="0" w:color="auto"/>
              <w:bottom w:val="single" w:sz="4" w:space="0" w:color="auto"/>
            </w:tcBorders>
          </w:tcPr>
          <w:p w14:paraId="1BE17A09" w14:textId="77777777" w:rsidR="00F61CED" w:rsidRPr="00F61CED" w:rsidRDefault="00F61CED" w:rsidP="00F61CED">
            <w:pPr>
              <w:pStyle w:val="Tabletext"/>
            </w:pPr>
            <w:r w:rsidRPr="00F61CED">
              <w:t>41</w:t>
            </w:r>
          </w:p>
        </w:tc>
        <w:tc>
          <w:tcPr>
            <w:tcW w:w="966" w:type="pct"/>
            <w:tcBorders>
              <w:top w:val="single" w:sz="4" w:space="0" w:color="auto"/>
              <w:bottom w:val="single" w:sz="4" w:space="0" w:color="auto"/>
            </w:tcBorders>
            <w:shd w:val="clear" w:color="auto" w:fill="auto"/>
            <w:vAlign w:val="bottom"/>
          </w:tcPr>
          <w:p w14:paraId="341361D2" w14:textId="77777777" w:rsidR="00F61CED" w:rsidRPr="00F61CED" w:rsidRDefault="00F61CED" w:rsidP="00F61CED">
            <w:pPr>
              <w:pStyle w:val="Tabletext"/>
            </w:pPr>
            <w:r w:rsidRPr="00F61CED">
              <w:t>20</w:t>
            </w:r>
            <w:r w:rsidR="00D7157D">
              <w:t>.</w:t>
            </w:r>
            <w:r w:rsidRPr="00F61CED">
              <w:t>0629</w:t>
            </w:r>
          </w:p>
        </w:tc>
        <w:tc>
          <w:tcPr>
            <w:tcW w:w="966" w:type="pct"/>
            <w:tcBorders>
              <w:top w:val="single" w:sz="4" w:space="0" w:color="auto"/>
              <w:bottom w:val="single" w:sz="4" w:space="0" w:color="auto"/>
            </w:tcBorders>
            <w:shd w:val="clear" w:color="auto" w:fill="auto"/>
            <w:vAlign w:val="bottom"/>
          </w:tcPr>
          <w:p w14:paraId="669C71C1" w14:textId="77777777" w:rsidR="00F61CED" w:rsidRPr="00F61CED" w:rsidRDefault="00F61CED" w:rsidP="00F61CED">
            <w:pPr>
              <w:pStyle w:val="Tabletext"/>
            </w:pPr>
            <w:r w:rsidRPr="00F61CED">
              <w:t>2</w:t>
            </w:r>
            <w:r w:rsidR="00D7157D">
              <w:t>.</w:t>
            </w:r>
            <w:r w:rsidRPr="00F61CED">
              <w:t>6334</w:t>
            </w:r>
          </w:p>
        </w:tc>
        <w:tc>
          <w:tcPr>
            <w:tcW w:w="966" w:type="pct"/>
            <w:tcBorders>
              <w:top w:val="single" w:sz="4" w:space="0" w:color="auto"/>
              <w:bottom w:val="single" w:sz="4" w:space="0" w:color="auto"/>
            </w:tcBorders>
            <w:shd w:val="clear" w:color="auto" w:fill="auto"/>
            <w:vAlign w:val="bottom"/>
          </w:tcPr>
          <w:p w14:paraId="1AC4E95C" w14:textId="77777777" w:rsidR="00F61CED" w:rsidRPr="00F61CED" w:rsidRDefault="00F61CED" w:rsidP="00F61CED">
            <w:pPr>
              <w:pStyle w:val="Tabletext"/>
            </w:pPr>
            <w:r w:rsidRPr="00F61CED">
              <w:t>21</w:t>
            </w:r>
            <w:r w:rsidR="00D7157D">
              <w:t>.</w:t>
            </w:r>
            <w:r w:rsidRPr="00F61CED">
              <w:t>2011</w:t>
            </w:r>
          </w:p>
        </w:tc>
        <w:tc>
          <w:tcPr>
            <w:tcW w:w="966" w:type="pct"/>
            <w:tcBorders>
              <w:top w:val="single" w:sz="4" w:space="0" w:color="auto"/>
              <w:bottom w:val="single" w:sz="4" w:space="0" w:color="auto"/>
              <w:right w:val="nil"/>
            </w:tcBorders>
            <w:shd w:val="clear" w:color="auto" w:fill="auto"/>
            <w:vAlign w:val="bottom"/>
          </w:tcPr>
          <w:p w14:paraId="0F3925A6" w14:textId="77777777" w:rsidR="00F61CED" w:rsidRPr="00F61CED" w:rsidRDefault="00F61CED" w:rsidP="00F61CED">
            <w:pPr>
              <w:pStyle w:val="Tabletext"/>
            </w:pPr>
            <w:r w:rsidRPr="00F61CED">
              <w:t>1</w:t>
            </w:r>
            <w:r w:rsidR="00D7157D">
              <w:t>.</w:t>
            </w:r>
            <w:r w:rsidRPr="00F61CED">
              <w:t>2291</w:t>
            </w:r>
          </w:p>
        </w:tc>
      </w:tr>
      <w:tr w:rsidR="00F61CED" w:rsidRPr="00F61CED" w14:paraId="2D25B581" w14:textId="77777777" w:rsidTr="00F160E0">
        <w:trPr>
          <w:cantSplit/>
        </w:trPr>
        <w:tc>
          <w:tcPr>
            <w:tcW w:w="1136" w:type="pct"/>
            <w:tcBorders>
              <w:top w:val="single" w:sz="4" w:space="0" w:color="auto"/>
              <w:bottom w:val="single" w:sz="4" w:space="0" w:color="auto"/>
            </w:tcBorders>
          </w:tcPr>
          <w:p w14:paraId="4A11A6FE" w14:textId="77777777" w:rsidR="00F61CED" w:rsidRPr="00F61CED" w:rsidRDefault="00F61CED" w:rsidP="00F61CED">
            <w:pPr>
              <w:pStyle w:val="Tabletext"/>
            </w:pPr>
            <w:r w:rsidRPr="00F61CED">
              <w:t>42</w:t>
            </w:r>
          </w:p>
        </w:tc>
        <w:tc>
          <w:tcPr>
            <w:tcW w:w="966" w:type="pct"/>
            <w:tcBorders>
              <w:top w:val="single" w:sz="4" w:space="0" w:color="auto"/>
              <w:bottom w:val="single" w:sz="4" w:space="0" w:color="auto"/>
            </w:tcBorders>
            <w:shd w:val="clear" w:color="auto" w:fill="auto"/>
            <w:vAlign w:val="bottom"/>
          </w:tcPr>
          <w:p w14:paraId="22403F3C" w14:textId="77777777" w:rsidR="00F61CED" w:rsidRPr="00F61CED" w:rsidRDefault="00F61CED" w:rsidP="00F61CED">
            <w:pPr>
              <w:pStyle w:val="Tabletext"/>
            </w:pPr>
            <w:r w:rsidRPr="00F61CED">
              <w:t>19</w:t>
            </w:r>
            <w:r w:rsidR="00D7157D">
              <w:t>.</w:t>
            </w:r>
            <w:r w:rsidRPr="00F61CED">
              <w:t>8164</w:t>
            </w:r>
          </w:p>
        </w:tc>
        <w:tc>
          <w:tcPr>
            <w:tcW w:w="966" w:type="pct"/>
            <w:tcBorders>
              <w:top w:val="single" w:sz="4" w:space="0" w:color="auto"/>
              <w:bottom w:val="single" w:sz="4" w:space="0" w:color="auto"/>
            </w:tcBorders>
            <w:shd w:val="clear" w:color="auto" w:fill="auto"/>
            <w:vAlign w:val="bottom"/>
          </w:tcPr>
          <w:p w14:paraId="15C695ED" w14:textId="77777777" w:rsidR="00F61CED" w:rsidRPr="00F61CED" w:rsidRDefault="00F61CED" w:rsidP="00F61CED">
            <w:pPr>
              <w:pStyle w:val="Tabletext"/>
            </w:pPr>
            <w:r w:rsidRPr="00F61CED">
              <w:t>2</w:t>
            </w:r>
            <w:r w:rsidR="00D7157D">
              <w:t>.</w:t>
            </w:r>
            <w:r w:rsidRPr="00F61CED">
              <w:t>5930</w:t>
            </w:r>
          </w:p>
        </w:tc>
        <w:tc>
          <w:tcPr>
            <w:tcW w:w="966" w:type="pct"/>
            <w:tcBorders>
              <w:top w:val="single" w:sz="4" w:space="0" w:color="auto"/>
              <w:bottom w:val="single" w:sz="4" w:space="0" w:color="auto"/>
            </w:tcBorders>
            <w:shd w:val="clear" w:color="auto" w:fill="auto"/>
            <w:vAlign w:val="bottom"/>
          </w:tcPr>
          <w:p w14:paraId="7E725041" w14:textId="77777777" w:rsidR="00F61CED" w:rsidRPr="00F61CED" w:rsidRDefault="00F61CED" w:rsidP="00F61CED">
            <w:pPr>
              <w:pStyle w:val="Tabletext"/>
            </w:pPr>
            <w:r w:rsidRPr="00F61CED">
              <w:t>20</w:t>
            </w:r>
            <w:r w:rsidR="00D7157D">
              <w:t>.</w:t>
            </w:r>
            <w:r w:rsidRPr="00F61CED">
              <w:t>9722</w:t>
            </w:r>
          </w:p>
        </w:tc>
        <w:tc>
          <w:tcPr>
            <w:tcW w:w="966" w:type="pct"/>
            <w:tcBorders>
              <w:top w:val="single" w:sz="4" w:space="0" w:color="auto"/>
              <w:bottom w:val="single" w:sz="4" w:space="0" w:color="auto"/>
              <w:right w:val="nil"/>
            </w:tcBorders>
            <w:shd w:val="clear" w:color="auto" w:fill="auto"/>
            <w:vAlign w:val="bottom"/>
          </w:tcPr>
          <w:p w14:paraId="027DBF6F" w14:textId="77777777" w:rsidR="00F61CED" w:rsidRPr="00F61CED" w:rsidRDefault="00F61CED" w:rsidP="00F61CED">
            <w:pPr>
              <w:pStyle w:val="Tabletext"/>
            </w:pPr>
            <w:r w:rsidRPr="00F61CED">
              <w:t>1</w:t>
            </w:r>
            <w:r w:rsidR="00D7157D">
              <w:t>.</w:t>
            </w:r>
            <w:r w:rsidRPr="00F61CED">
              <w:t>1715</w:t>
            </w:r>
          </w:p>
        </w:tc>
      </w:tr>
      <w:tr w:rsidR="00F61CED" w:rsidRPr="00F61CED" w14:paraId="647AE3D3" w14:textId="77777777" w:rsidTr="00F160E0">
        <w:trPr>
          <w:cantSplit/>
        </w:trPr>
        <w:tc>
          <w:tcPr>
            <w:tcW w:w="1136" w:type="pct"/>
            <w:tcBorders>
              <w:top w:val="single" w:sz="4" w:space="0" w:color="auto"/>
              <w:bottom w:val="single" w:sz="4" w:space="0" w:color="auto"/>
            </w:tcBorders>
          </w:tcPr>
          <w:p w14:paraId="1AB0E7D7" w14:textId="77777777" w:rsidR="00F61CED" w:rsidRPr="00F61CED" w:rsidRDefault="00F61CED" w:rsidP="00F61CED">
            <w:pPr>
              <w:pStyle w:val="Tabletext"/>
            </w:pPr>
            <w:r w:rsidRPr="00F61CED">
              <w:t>43</w:t>
            </w:r>
          </w:p>
        </w:tc>
        <w:tc>
          <w:tcPr>
            <w:tcW w:w="966" w:type="pct"/>
            <w:tcBorders>
              <w:top w:val="single" w:sz="4" w:space="0" w:color="auto"/>
              <w:bottom w:val="single" w:sz="4" w:space="0" w:color="auto"/>
            </w:tcBorders>
            <w:shd w:val="clear" w:color="auto" w:fill="auto"/>
            <w:vAlign w:val="bottom"/>
          </w:tcPr>
          <w:p w14:paraId="0FBAE2A6" w14:textId="77777777" w:rsidR="00F61CED" w:rsidRPr="00F61CED" w:rsidRDefault="00F61CED" w:rsidP="00F61CED">
            <w:pPr>
              <w:pStyle w:val="Tabletext"/>
            </w:pPr>
            <w:r w:rsidRPr="00F61CED">
              <w:t>19</w:t>
            </w:r>
            <w:r w:rsidR="00D7157D">
              <w:t>.</w:t>
            </w:r>
            <w:r w:rsidRPr="00F61CED">
              <w:t>5633</w:t>
            </w:r>
          </w:p>
        </w:tc>
        <w:tc>
          <w:tcPr>
            <w:tcW w:w="966" w:type="pct"/>
            <w:tcBorders>
              <w:top w:val="single" w:sz="4" w:space="0" w:color="auto"/>
              <w:bottom w:val="single" w:sz="4" w:space="0" w:color="auto"/>
            </w:tcBorders>
            <w:shd w:val="clear" w:color="auto" w:fill="auto"/>
            <w:vAlign w:val="bottom"/>
          </w:tcPr>
          <w:p w14:paraId="0F95AEFC" w14:textId="77777777" w:rsidR="00F61CED" w:rsidRPr="00F61CED" w:rsidRDefault="00F61CED" w:rsidP="00F61CED">
            <w:pPr>
              <w:pStyle w:val="Tabletext"/>
            </w:pPr>
            <w:r w:rsidRPr="00F61CED">
              <w:t>2</w:t>
            </w:r>
            <w:r w:rsidR="00D7157D">
              <w:t>.</w:t>
            </w:r>
            <w:r w:rsidRPr="00F61CED">
              <w:t>5496</w:t>
            </w:r>
          </w:p>
        </w:tc>
        <w:tc>
          <w:tcPr>
            <w:tcW w:w="966" w:type="pct"/>
            <w:tcBorders>
              <w:top w:val="single" w:sz="4" w:space="0" w:color="auto"/>
              <w:bottom w:val="single" w:sz="4" w:space="0" w:color="auto"/>
            </w:tcBorders>
            <w:shd w:val="clear" w:color="auto" w:fill="auto"/>
            <w:vAlign w:val="bottom"/>
          </w:tcPr>
          <w:p w14:paraId="7C66A141" w14:textId="77777777" w:rsidR="00F61CED" w:rsidRPr="00F61CED" w:rsidRDefault="00F61CED" w:rsidP="00F61CED">
            <w:pPr>
              <w:pStyle w:val="Tabletext"/>
            </w:pPr>
            <w:r w:rsidRPr="00F61CED">
              <w:t>20</w:t>
            </w:r>
            <w:r w:rsidR="00D7157D">
              <w:t>.</w:t>
            </w:r>
            <w:r w:rsidRPr="00F61CED">
              <w:t>7368</w:t>
            </w:r>
          </w:p>
        </w:tc>
        <w:tc>
          <w:tcPr>
            <w:tcW w:w="966" w:type="pct"/>
            <w:tcBorders>
              <w:top w:val="single" w:sz="4" w:space="0" w:color="auto"/>
              <w:bottom w:val="single" w:sz="4" w:space="0" w:color="auto"/>
              <w:right w:val="nil"/>
            </w:tcBorders>
            <w:shd w:val="clear" w:color="auto" w:fill="auto"/>
            <w:vAlign w:val="bottom"/>
          </w:tcPr>
          <w:p w14:paraId="08454529" w14:textId="77777777" w:rsidR="00F61CED" w:rsidRPr="00F61CED" w:rsidRDefault="00F61CED" w:rsidP="00F61CED">
            <w:pPr>
              <w:pStyle w:val="Tabletext"/>
            </w:pPr>
            <w:r w:rsidRPr="00F61CED">
              <w:t>1</w:t>
            </w:r>
            <w:r w:rsidR="00D7157D">
              <w:t>.</w:t>
            </w:r>
            <w:r w:rsidRPr="00F61CED">
              <w:t>1112</w:t>
            </w:r>
          </w:p>
        </w:tc>
      </w:tr>
      <w:tr w:rsidR="00F61CED" w:rsidRPr="00F61CED" w14:paraId="37CC7718" w14:textId="77777777" w:rsidTr="00F160E0">
        <w:trPr>
          <w:cantSplit/>
        </w:trPr>
        <w:tc>
          <w:tcPr>
            <w:tcW w:w="1136" w:type="pct"/>
            <w:tcBorders>
              <w:top w:val="single" w:sz="4" w:space="0" w:color="auto"/>
              <w:bottom w:val="single" w:sz="4" w:space="0" w:color="auto"/>
            </w:tcBorders>
          </w:tcPr>
          <w:p w14:paraId="5982FCC1" w14:textId="77777777" w:rsidR="00F61CED" w:rsidRPr="00F61CED" w:rsidRDefault="00F61CED" w:rsidP="00F61CED">
            <w:pPr>
              <w:pStyle w:val="Tabletext"/>
            </w:pPr>
            <w:r w:rsidRPr="00F61CED">
              <w:t>44</w:t>
            </w:r>
          </w:p>
        </w:tc>
        <w:tc>
          <w:tcPr>
            <w:tcW w:w="966" w:type="pct"/>
            <w:tcBorders>
              <w:top w:val="single" w:sz="4" w:space="0" w:color="auto"/>
              <w:bottom w:val="single" w:sz="4" w:space="0" w:color="auto"/>
            </w:tcBorders>
            <w:shd w:val="clear" w:color="auto" w:fill="auto"/>
            <w:vAlign w:val="bottom"/>
          </w:tcPr>
          <w:p w14:paraId="11274F8F" w14:textId="77777777" w:rsidR="00F61CED" w:rsidRPr="00F61CED" w:rsidRDefault="00F61CED" w:rsidP="00F61CED">
            <w:pPr>
              <w:pStyle w:val="Tabletext"/>
            </w:pPr>
            <w:r w:rsidRPr="00F61CED">
              <w:t>19</w:t>
            </w:r>
            <w:r w:rsidR="00D7157D">
              <w:t>.</w:t>
            </w:r>
            <w:r w:rsidRPr="00F61CED">
              <w:t>3039</w:t>
            </w:r>
          </w:p>
        </w:tc>
        <w:tc>
          <w:tcPr>
            <w:tcW w:w="966" w:type="pct"/>
            <w:tcBorders>
              <w:top w:val="single" w:sz="4" w:space="0" w:color="auto"/>
              <w:bottom w:val="single" w:sz="4" w:space="0" w:color="auto"/>
            </w:tcBorders>
            <w:shd w:val="clear" w:color="auto" w:fill="auto"/>
            <w:vAlign w:val="bottom"/>
          </w:tcPr>
          <w:p w14:paraId="2C23D374" w14:textId="77777777" w:rsidR="00F61CED" w:rsidRPr="00F61CED" w:rsidRDefault="00F61CED" w:rsidP="00F61CED">
            <w:pPr>
              <w:pStyle w:val="Tabletext"/>
            </w:pPr>
            <w:r w:rsidRPr="00F61CED">
              <w:t>2</w:t>
            </w:r>
            <w:r w:rsidR="00D7157D">
              <w:t>.</w:t>
            </w:r>
            <w:r w:rsidRPr="00F61CED">
              <w:t>5029</w:t>
            </w:r>
          </w:p>
        </w:tc>
        <w:tc>
          <w:tcPr>
            <w:tcW w:w="966" w:type="pct"/>
            <w:tcBorders>
              <w:top w:val="single" w:sz="4" w:space="0" w:color="auto"/>
              <w:bottom w:val="single" w:sz="4" w:space="0" w:color="auto"/>
            </w:tcBorders>
            <w:shd w:val="clear" w:color="auto" w:fill="auto"/>
            <w:vAlign w:val="bottom"/>
          </w:tcPr>
          <w:p w14:paraId="7573CCF3" w14:textId="77777777" w:rsidR="00F61CED" w:rsidRPr="00F61CED" w:rsidRDefault="00F61CED" w:rsidP="00F61CED">
            <w:pPr>
              <w:pStyle w:val="Tabletext"/>
            </w:pPr>
            <w:r w:rsidRPr="00F61CED">
              <w:t>20</w:t>
            </w:r>
            <w:r w:rsidR="00D7157D">
              <w:t>.</w:t>
            </w:r>
            <w:r w:rsidRPr="00F61CED">
              <w:t>4946</w:t>
            </w:r>
          </w:p>
        </w:tc>
        <w:tc>
          <w:tcPr>
            <w:tcW w:w="966" w:type="pct"/>
            <w:tcBorders>
              <w:top w:val="single" w:sz="4" w:space="0" w:color="auto"/>
              <w:bottom w:val="single" w:sz="4" w:space="0" w:color="auto"/>
              <w:right w:val="nil"/>
            </w:tcBorders>
            <w:shd w:val="clear" w:color="auto" w:fill="auto"/>
            <w:vAlign w:val="bottom"/>
          </w:tcPr>
          <w:p w14:paraId="768A6EE0" w14:textId="77777777" w:rsidR="00F61CED" w:rsidRPr="00F61CED" w:rsidRDefault="00F61CED" w:rsidP="00F61CED">
            <w:pPr>
              <w:pStyle w:val="Tabletext"/>
            </w:pPr>
            <w:r w:rsidRPr="00F61CED">
              <w:t>1</w:t>
            </w:r>
            <w:r w:rsidR="00D7157D">
              <w:t>.</w:t>
            </w:r>
            <w:r w:rsidRPr="00F61CED">
              <w:t>0482</w:t>
            </w:r>
          </w:p>
        </w:tc>
      </w:tr>
      <w:tr w:rsidR="00F61CED" w:rsidRPr="00F61CED" w14:paraId="1DB2F063" w14:textId="77777777" w:rsidTr="00F160E0">
        <w:trPr>
          <w:cantSplit/>
        </w:trPr>
        <w:tc>
          <w:tcPr>
            <w:tcW w:w="1136" w:type="pct"/>
            <w:tcBorders>
              <w:top w:val="single" w:sz="4" w:space="0" w:color="auto"/>
              <w:bottom w:val="single" w:sz="4" w:space="0" w:color="auto"/>
            </w:tcBorders>
          </w:tcPr>
          <w:p w14:paraId="3A01A6F7" w14:textId="77777777" w:rsidR="00F61CED" w:rsidRPr="00F61CED" w:rsidRDefault="00F61CED" w:rsidP="00F61CED">
            <w:pPr>
              <w:pStyle w:val="Tabletext"/>
            </w:pPr>
            <w:r w:rsidRPr="00F61CED">
              <w:t>45</w:t>
            </w:r>
          </w:p>
        </w:tc>
        <w:tc>
          <w:tcPr>
            <w:tcW w:w="966" w:type="pct"/>
            <w:tcBorders>
              <w:top w:val="single" w:sz="4" w:space="0" w:color="auto"/>
              <w:bottom w:val="single" w:sz="4" w:space="0" w:color="auto"/>
            </w:tcBorders>
            <w:shd w:val="clear" w:color="auto" w:fill="auto"/>
            <w:vAlign w:val="bottom"/>
          </w:tcPr>
          <w:p w14:paraId="6C6F2400" w14:textId="77777777" w:rsidR="00F61CED" w:rsidRPr="00F61CED" w:rsidRDefault="00F61CED" w:rsidP="00F61CED">
            <w:pPr>
              <w:pStyle w:val="Tabletext"/>
            </w:pPr>
            <w:r w:rsidRPr="00F61CED">
              <w:t>19</w:t>
            </w:r>
            <w:r w:rsidR="00D7157D">
              <w:t>.</w:t>
            </w:r>
            <w:r w:rsidRPr="00F61CED">
              <w:t>0376</w:t>
            </w:r>
          </w:p>
        </w:tc>
        <w:tc>
          <w:tcPr>
            <w:tcW w:w="966" w:type="pct"/>
            <w:tcBorders>
              <w:top w:val="single" w:sz="4" w:space="0" w:color="auto"/>
              <w:bottom w:val="single" w:sz="4" w:space="0" w:color="auto"/>
            </w:tcBorders>
            <w:shd w:val="clear" w:color="auto" w:fill="auto"/>
            <w:vAlign w:val="bottom"/>
          </w:tcPr>
          <w:p w14:paraId="7EC4FEC5" w14:textId="77777777" w:rsidR="00F61CED" w:rsidRPr="00F61CED" w:rsidRDefault="00F61CED" w:rsidP="00F61CED">
            <w:pPr>
              <w:pStyle w:val="Tabletext"/>
            </w:pPr>
            <w:r w:rsidRPr="00F61CED">
              <w:t>2</w:t>
            </w:r>
            <w:r w:rsidR="00D7157D">
              <w:t>.</w:t>
            </w:r>
            <w:r w:rsidRPr="00F61CED">
              <w:t>4529</w:t>
            </w:r>
          </w:p>
        </w:tc>
        <w:tc>
          <w:tcPr>
            <w:tcW w:w="966" w:type="pct"/>
            <w:tcBorders>
              <w:top w:val="single" w:sz="4" w:space="0" w:color="auto"/>
              <w:bottom w:val="single" w:sz="4" w:space="0" w:color="auto"/>
            </w:tcBorders>
            <w:shd w:val="clear" w:color="auto" w:fill="auto"/>
            <w:vAlign w:val="bottom"/>
          </w:tcPr>
          <w:p w14:paraId="666EC59F" w14:textId="77777777" w:rsidR="00F61CED" w:rsidRPr="00F61CED" w:rsidRDefault="00F61CED" w:rsidP="00F61CED">
            <w:pPr>
              <w:pStyle w:val="Tabletext"/>
            </w:pPr>
            <w:r w:rsidRPr="00F61CED">
              <w:t>20</w:t>
            </w:r>
            <w:r w:rsidR="00D7157D">
              <w:t>.</w:t>
            </w:r>
            <w:r w:rsidRPr="00F61CED">
              <w:t>2456</w:t>
            </w:r>
          </w:p>
        </w:tc>
        <w:tc>
          <w:tcPr>
            <w:tcW w:w="966" w:type="pct"/>
            <w:tcBorders>
              <w:top w:val="single" w:sz="4" w:space="0" w:color="auto"/>
              <w:bottom w:val="single" w:sz="4" w:space="0" w:color="auto"/>
              <w:right w:val="nil"/>
            </w:tcBorders>
            <w:shd w:val="clear" w:color="auto" w:fill="auto"/>
            <w:vAlign w:val="bottom"/>
          </w:tcPr>
          <w:p w14:paraId="42A060EB" w14:textId="77777777" w:rsidR="00F61CED" w:rsidRPr="00F61CED" w:rsidRDefault="00F61CED" w:rsidP="00F61CED">
            <w:pPr>
              <w:pStyle w:val="Tabletext"/>
            </w:pPr>
            <w:r w:rsidRPr="00F61CED">
              <w:t>0</w:t>
            </w:r>
            <w:r w:rsidR="00D7157D">
              <w:t>.</w:t>
            </w:r>
            <w:r w:rsidRPr="00F61CED">
              <w:t>9822</w:t>
            </w:r>
          </w:p>
        </w:tc>
      </w:tr>
      <w:tr w:rsidR="00F61CED" w:rsidRPr="00F61CED" w14:paraId="0C0AD53B" w14:textId="77777777" w:rsidTr="00F160E0">
        <w:trPr>
          <w:cantSplit/>
        </w:trPr>
        <w:tc>
          <w:tcPr>
            <w:tcW w:w="1136" w:type="pct"/>
            <w:tcBorders>
              <w:top w:val="single" w:sz="4" w:space="0" w:color="auto"/>
              <w:bottom w:val="single" w:sz="4" w:space="0" w:color="auto"/>
            </w:tcBorders>
          </w:tcPr>
          <w:p w14:paraId="74BCD7B5" w14:textId="77777777" w:rsidR="00F61CED" w:rsidRPr="00F61CED" w:rsidRDefault="00F61CED" w:rsidP="00F61CED">
            <w:pPr>
              <w:pStyle w:val="Tabletext"/>
            </w:pPr>
            <w:r w:rsidRPr="00F61CED">
              <w:t>46</w:t>
            </w:r>
          </w:p>
        </w:tc>
        <w:tc>
          <w:tcPr>
            <w:tcW w:w="966" w:type="pct"/>
            <w:tcBorders>
              <w:top w:val="single" w:sz="4" w:space="0" w:color="auto"/>
              <w:bottom w:val="single" w:sz="4" w:space="0" w:color="auto"/>
            </w:tcBorders>
            <w:shd w:val="clear" w:color="auto" w:fill="auto"/>
            <w:vAlign w:val="bottom"/>
          </w:tcPr>
          <w:p w14:paraId="0BAC417A" w14:textId="77777777" w:rsidR="00F61CED" w:rsidRPr="00F61CED" w:rsidRDefault="00F61CED" w:rsidP="00F61CED">
            <w:pPr>
              <w:pStyle w:val="Tabletext"/>
            </w:pPr>
            <w:r w:rsidRPr="00F61CED">
              <w:t>18</w:t>
            </w:r>
            <w:r w:rsidR="00D7157D">
              <w:t>.</w:t>
            </w:r>
            <w:r w:rsidRPr="00F61CED">
              <w:t>7647</w:t>
            </w:r>
          </w:p>
        </w:tc>
        <w:tc>
          <w:tcPr>
            <w:tcW w:w="966" w:type="pct"/>
            <w:tcBorders>
              <w:top w:val="single" w:sz="4" w:space="0" w:color="auto"/>
              <w:bottom w:val="single" w:sz="4" w:space="0" w:color="auto"/>
            </w:tcBorders>
            <w:shd w:val="clear" w:color="auto" w:fill="auto"/>
            <w:vAlign w:val="bottom"/>
          </w:tcPr>
          <w:p w14:paraId="6A58AF92" w14:textId="77777777" w:rsidR="00F61CED" w:rsidRPr="00F61CED" w:rsidRDefault="00F61CED" w:rsidP="00F61CED">
            <w:pPr>
              <w:pStyle w:val="Tabletext"/>
            </w:pPr>
            <w:r w:rsidRPr="00F61CED">
              <w:t>2</w:t>
            </w:r>
            <w:r w:rsidR="00D7157D">
              <w:t>.</w:t>
            </w:r>
            <w:r w:rsidRPr="00F61CED">
              <w:t>3995</w:t>
            </w:r>
          </w:p>
        </w:tc>
        <w:tc>
          <w:tcPr>
            <w:tcW w:w="966" w:type="pct"/>
            <w:tcBorders>
              <w:top w:val="single" w:sz="4" w:space="0" w:color="auto"/>
              <w:bottom w:val="single" w:sz="4" w:space="0" w:color="auto"/>
            </w:tcBorders>
            <w:shd w:val="clear" w:color="auto" w:fill="auto"/>
            <w:vAlign w:val="bottom"/>
          </w:tcPr>
          <w:p w14:paraId="67547477" w14:textId="77777777" w:rsidR="00F61CED" w:rsidRPr="00F61CED" w:rsidRDefault="00F61CED" w:rsidP="00F61CED">
            <w:pPr>
              <w:pStyle w:val="Tabletext"/>
            </w:pPr>
            <w:r w:rsidRPr="00F61CED">
              <w:t>19</w:t>
            </w:r>
            <w:r w:rsidR="00D7157D">
              <w:t>.</w:t>
            </w:r>
            <w:r w:rsidRPr="00F61CED">
              <w:t>9898</w:t>
            </w:r>
          </w:p>
        </w:tc>
        <w:tc>
          <w:tcPr>
            <w:tcW w:w="966" w:type="pct"/>
            <w:tcBorders>
              <w:top w:val="single" w:sz="4" w:space="0" w:color="auto"/>
              <w:bottom w:val="single" w:sz="4" w:space="0" w:color="auto"/>
              <w:right w:val="nil"/>
            </w:tcBorders>
            <w:shd w:val="clear" w:color="auto" w:fill="auto"/>
            <w:vAlign w:val="bottom"/>
          </w:tcPr>
          <w:p w14:paraId="2E04DFCF" w14:textId="77777777" w:rsidR="00F61CED" w:rsidRPr="00F61CED" w:rsidRDefault="00F61CED" w:rsidP="00F61CED">
            <w:pPr>
              <w:pStyle w:val="Tabletext"/>
            </w:pPr>
            <w:r w:rsidRPr="00F61CED">
              <w:t>0</w:t>
            </w:r>
            <w:r w:rsidR="00D7157D">
              <w:t>.</w:t>
            </w:r>
            <w:r w:rsidRPr="00F61CED">
              <w:t>9134</w:t>
            </w:r>
          </w:p>
        </w:tc>
      </w:tr>
      <w:tr w:rsidR="00F61CED" w:rsidRPr="00F61CED" w14:paraId="6453591B" w14:textId="77777777" w:rsidTr="00F160E0">
        <w:trPr>
          <w:cantSplit/>
        </w:trPr>
        <w:tc>
          <w:tcPr>
            <w:tcW w:w="1136" w:type="pct"/>
            <w:tcBorders>
              <w:top w:val="single" w:sz="4" w:space="0" w:color="auto"/>
              <w:bottom w:val="single" w:sz="4" w:space="0" w:color="auto"/>
            </w:tcBorders>
          </w:tcPr>
          <w:p w14:paraId="16A2E16C" w14:textId="77777777" w:rsidR="00F61CED" w:rsidRPr="00F61CED" w:rsidRDefault="00F61CED" w:rsidP="00F61CED">
            <w:pPr>
              <w:pStyle w:val="Tabletext"/>
            </w:pPr>
            <w:r w:rsidRPr="00F61CED">
              <w:t>47</w:t>
            </w:r>
          </w:p>
        </w:tc>
        <w:tc>
          <w:tcPr>
            <w:tcW w:w="966" w:type="pct"/>
            <w:tcBorders>
              <w:top w:val="single" w:sz="4" w:space="0" w:color="auto"/>
              <w:bottom w:val="single" w:sz="4" w:space="0" w:color="auto"/>
            </w:tcBorders>
            <w:shd w:val="clear" w:color="auto" w:fill="auto"/>
            <w:vAlign w:val="bottom"/>
          </w:tcPr>
          <w:p w14:paraId="01AEAD6D" w14:textId="77777777" w:rsidR="00F61CED" w:rsidRPr="00F61CED" w:rsidRDefault="00F61CED" w:rsidP="00F61CED">
            <w:pPr>
              <w:pStyle w:val="Tabletext"/>
            </w:pPr>
            <w:r w:rsidRPr="00F61CED">
              <w:t>18</w:t>
            </w:r>
            <w:r w:rsidR="00D7157D">
              <w:t>.</w:t>
            </w:r>
            <w:r w:rsidRPr="00F61CED">
              <w:t>4850</w:t>
            </w:r>
          </w:p>
        </w:tc>
        <w:tc>
          <w:tcPr>
            <w:tcW w:w="966" w:type="pct"/>
            <w:tcBorders>
              <w:top w:val="single" w:sz="4" w:space="0" w:color="auto"/>
              <w:bottom w:val="single" w:sz="4" w:space="0" w:color="auto"/>
            </w:tcBorders>
            <w:shd w:val="clear" w:color="auto" w:fill="auto"/>
            <w:vAlign w:val="bottom"/>
          </w:tcPr>
          <w:p w14:paraId="253FE320" w14:textId="77777777" w:rsidR="00F61CED" w:rsidRPr="00F61CED" w:rsidRDefault="00F61CED" w:rsidP="00F61CED">
            <w:pPr>
              <w:pStyle w:val="Tabletext"/>
            </w:pPr>
            <w:r w:rsidRPr="00F61CED">
              <w:t>2</w:t>
            </w:r>
            <w:r w:rsidR="00D7157D">
              <w:t>.</w:t>
            </w:r>
            <w:r w:rsidRPr="00F61CED">
              <w:t>3425</w:t>
            </w:r>
          </w:p>
        </w:tc>
        <w:tc>
          <w:tcPr>
            <w:tcW w:w="966" w:type="pct"/>
            <w:tcBorders>
              <w:top w:val="single" w:sz="4" w:space="0" w:color="auto"/>
              <w:bottom w:val="single" w:sz="4" w:space="0" w:color="auto"/>
            </w:tcBorders>
            <w:shd w:val="clear" w:color="auto" w:fill="auto"/>
            <w:vAlign w:val="bottom"/>
          </w:tcPr>
          <w:p w14:paraId="1EF902C5" w14:textId="77777777" w:rsidR="00F61CED" w:rsidRPr="00F61CED" w:rsidRDefault="00F61CED" w:rsidP="00F61CED">
            <w:pPr>
              <w:pStyle w:val="Tabletext"/>
            </w:pPr>
            <w:r w:rsidRPr="00F61CED">
              <w:t>19</w:t>
            </w:r>
            <w:r w:rsidR="00D7157D">
              <w:t>.</w:t>
            </w:r>
            <w:r w:rsidRPr="00F61CED">
              <w:t>7270</w:t>
            </w:r>
          </w:p>
        </w:tc>
        <w:tc>
          <w:tcPr>
            <w:tcW w:w="966" w:type="pct"/>
            <w:tcBorders>
              <w:top w:val="single" w:sz="4" w:space="0" w:color="auto"/>
              <w:bottom w:val="single" w:sz="4" w:space="0" w:color="auto"/>
              <w:right w:val="nil"/>
            </w:tcBorders>
            <w:shd w:val="clear" w:color="auto" w:fill="auto"/>
            <w:vAlign w:val="bottom"/>
          </w:tcPr>
          <w:p w14:paraId="51EBF643" w14:textId="77777777" w:rsidR="00F61CED" w:rsidRPr="00F61CED" w:rsidRDefault="00F61CED" w:rsidP="00F61CED">
            <w:pPr>
              <w:pStyle w:val="Tabletext"/>
            </w:pPr>
            <w:r w:rsidRPr="00F61CED">
              <w:t>0</w:t>
            </w:r>
            <w:r w:rsidR="00D7157D">
              <w:t>.</w:t>
            </w:r>
            <w:r w:rsidRPr="00F61CED">
              <w:t>8417</w:t>
            </w:r>
          </w:p>
        </w:tc>
      </w:tr>
      <w:tr w:rsidR="00F61CED" w:rsidRPr="00F61CED" w14:paraId="49BF9DF2" w14:textId="77777777" w:rsidTr="00F160E0">
        <w:trPr>
          <w:cantSplit/>
        </w:trPr>
        <w:tc>
          <w:tcPr>
            <w:tcW w:w="1136" w:type="pct"/>
            <w:tcBorders>
              <w:top w:val="single" w:sz="4" w:space="0" w:color="auto"/>
              <w:bottom w:val="single" w:sz="4" w:space="0" w:color="auto"/>
            </w:tcBorders>
          </w:tcPr>
          <w:p w14:paraId="6C8E48CF" w14:textId="77777777" w:rsidR="00F61CED" w:rsidRPr="00F61CED" w:rsidRDefault="00F61CED" w:rsidP="00F61CED">
            <w:pPr>
              <w:pStyle w:val="Tabletext"/>
            </w:pPr>
            <w:r w:rsidRPr="00F61CED">
              <w:t>48</w:t>
            </w:r>
          </w:p>
        </w:tc>
        <w:tc>
          <w:tcPr>
            <w:tcW w:w="966" w:type="pct"/>
            <w:tcBorders>
              <w:top w:val="single" w:sz="4" w:space="0" w:color="auto"/>
              <w:bottom w:val="single" w:sz="4" w:space="0" w:color="auto"/>
            </w:tcBorders>
            <w:shd w:val="clear" w:color="auto" w:fill="auto"/>
            <w:vAlign w:val="bottom"/>
          </w:tcPr>
          <w:p w14:paraId="298C0B89" w14:textId="77777777" w:rsidR="00F61CED" w:rsidRPr="00F61CED" w:rsidRDefault="00F61CED" w:rsidP="00F61CED">
            <w:pPr>
              <w:pStyle w:val="Tabletext"/>
            </w:pPr>
            <w:r w:rsidRPr="00F61CED">
              <w:t>18</w:t>
            </w:r>
            <w:r w:rsidR="00D7157D">
              <w:t>.</w:t>
            </w:r>
            <w:r w:rsidRPr="00F61CED">
              <w:t>1987</w:t>
            </w:r>
          </w:p>
        </w:tc>
        <w:tc>
          <w:tcPr>
            <w:tcW w:w="966" w:type="pct"/>
            <w:tcBorders>
              <w:top w:val="single" w:sz="4" w:space="0" w:color="auto"/>
              <w:bottom w:val="single" w:sz="4" w:space="0" w:color="auto"/>
            </w:tcBorders>
            <w:shd w:val="clear" w:color="auto" w:fill="auto"/>
            <w:vAlign w:val="bottom"/>
          </w:tcPr>
          <w:p w14:paraId="7CA3549E" w14:textId="77777777" w:rsidR="00F61CED" w:rsidRPr="00F61CED" w:rsidRDefault="00F61CED" w:rsidP="00F61CED">
            <w:pPr>
              <w:pStyle w:val="Tabletext"/>
            </w:pPr>
            <w:r w:rsidRPr="00F61CED">
              <w:t>2</w:t>
            </w:r>
            <w:r w:rsidR="00D7157D">
              <w:t>.</w:t>
            </w:r>
            <w:r w:rsidRPr="00F61CED">
              <w:t>2818</w:t>
            </w:r>
          </w:p>
        </w:tc>
        <w:tc>
          <w:tcPr>
            <w:tcW w:w="966" w:type="pct"/>
            <w:tcBorders>
              <w:top w:val="single" w:sz="4" w:space="0" w:color="auto"/>
              <w:bottom w:val="single" w:sz="4" w:space="0" w:color="auto"/>
            </w:tcBorders>
            <w:shd w:val="clear" w:color="auto" w:fill="auto"/>
            <w:vAlign w:val="bottom"/>
          </w:tcPr>
          <w:p w14:paraId="20F2270A" w14:textId="77777777" w:rsidR="00F61CED" w:rsidRPr="00F61CED" w:rsidRDefault="00F61CED" w:rsidP="00F61CED">
            <w:pPr>
              <w:pStyle w:val="Tabletext"/>
            </w:pPr>
            <w:r w:rsidRPr="00F61CED">
              <w:t>19</w:t>
            </w:r>
            <w:r w:rsidR="00D7157D">
              <w:t>.</w:t>
            </w:r>
            <w:r w:rsidRPr="00F61CED">
              <w:t>4570</w:t>
            </w:r>
          </w:p>
        </w:tc>
        <w:tc>
          <w:tcPr>
            <w:tcW w:w="966" w:type="pct"/>
            <w:tcBorders>
              <w:top w:val="single" w:sz="4" w:space="0" w:color="auto"/>
              <w:bottom w:val="single" w:sz="4" w:space="0" w:color="auto"/>
              <w:right w:val="nil"/>
            </w:tcBorders>
            <w:shd w:val="clear" w:color="auto" w:fill="auto"/>
            <w:vAlign w:val="bottom"/>
          </w:tcPr>
          <w:p w14:paraId="04D06502" w14:textId="77777777" w:rsidR="00F61CED" w:rsidRPr="00F61CED" w:rsidRDefault="00F61CED" w:rsidP="00F61CED">
            <w:pPr>
              <w:pStyle w:val="Tabletext"/>
            </w:pPr>
            <w:r w:rsidRPr="00F61CED">
              <w:t>0</w:t>
            </w:r>
            <w:r w:rsidR="00D7157D">
              <w:t>.</w:t>
            </w:r>
            <w:r w:rsidRPr="00F61CED">
              <w:t>7671</w:t>
            </w:r>
          </w:p>
        </w:tc>
      </w:tr>
      <w:tr w:rsidR="00F61CED" w:rsidRPr="00F61CED" w14:paraId="0FB4AEB5" w14:textId="77777777" w:rsidTr="00F160E0">
        <w:trPr>
          <w:cantSplit/>
        </w:trPr>
        <w:tc>
          <w:tcPr>
            <w:tcW w:w="1136" w:type="pct"/>
            <w:tcBorders>
              <w:top w:val="single" w:sz="4" w:space="0" w:color="auto"/>
              <w:bottom w:val="single" w:sz="4" w:space="0" w:color="auto"/>
            </w:tcBorders>
          </w:tcPr>
          <w:p w14:paraId="571B2ACC" w14:textId="77777777" w:rsidR="00F61CED" w:rsidRPr="00F61CED" w:rsidRDefault="00F61CED" w:rsidP="00F61CED">
            <w:pPr>
              <w:pStyle w:val="Tabletext"/>
            </w:pPr>
            <w:r w:rsidRPr="00F61CED">
              <w:t>49</w:t>
            </w:r>
          </w:p>
        </w:tc>
        <w:tc>
          <w:tcPr>
            <w:tcW w:w="966" w:type="pct"/>
            <w:tcBorders>
              <w:top w:val="single" w:sz="4" w:space="0" w:color="auto"/>
              <w:bottom w:val="single" w:sz="4" w:space="0" w:color="auto"/>
            </w:tcBorders>
            <w:shd w:val="clear" w:color="auto" w:fill="auto"/>
            <w:vAlign w:val="bottom"/>
          </w:tcPr>
          <w:p w14:paraId="4845C4CD" w14:textId="77777777" w:rsidR="00F61CED" w:rsidRPr="00F61CED" w:rsidRDefault="00F61CED" w:rsidP="00F61CED">
            <w:pPr>
              <w:pStyle w:val="Tabletext"/>
            </w:pPr>
            <w:r w:rsidRPr="00F61CED">
              <w:t>17</w:t>
            </w:r>
            <w:r w:rsidR="00D7157D">
              <w:t>.</w:t>
            </w:r>
            <w:r w:rsidRPr="00F61CED">
              <w:t>9054</w:t>
            </w:r>
          </w:p>
        </w:tc>
        <w:tc>
          <w:tcPr>
            <w:tcW w:w="966" w:type="pct"/>
            <w:tcBorders>
              <w:top w:val="single" w:sz="4" w:space="0" w:color="auto"/>
              <w:bottom w:val="single" w:sz="4" w:space="0" w:color="auto"/>
            </w:tcBorders>
            <w:shd w:val="clear" w:color="auto" w:fill="auto"/>
            <w:vAlign w:val="bottom"/>
          </w:tcPr>
          <w:p w14:paraId="379BCD81" w14:textId="77777777" w:rsidR="00F61CED" w:rsidRPr="00F61CED" w:rsidRDefault="00F61CED" w:rsidP="00F61CED">
            <w:pPr>
              <w:pStyle w:val="Tabletext"/>
            </w:pPr>
            <w:r w:rsidRPr="00F61CED">
              <w:t>2</w:t>
            </w:r>
            <w:r w:rsidR="00D7157D">
              <w:t>.</w:t>
            </w:r>
            <w:r w:rsidRPr="00F61CED">
              <w:t>2175</w:t>
            </w:r>
          </w:p>
        </w:tc>
        <w:tc>
          <w:tcPr>
            <w:tcW w:w="966" w:type="pct"/>
            <w:tcBorders>
              <w:top w:val="single" w:sz="4" w:space="0" w:color="auto"/>
              <w:bottom w:val="single" w:sz="4" w:space="0" w:color="auto"/>
            </w:tcBorders>
            <w:shd w:val="clear" w:color="auto" w:fill="auto"/>
            <w:vAlign w:val="bottom"/>
          </w:tcPr>
          <w:p w14:paraId="6F27B051" w14:textId="77777777" w:rsidR="00F61CED" w:rsidRPr="00F61CED" w:rsidRDefault="00F61CED" w:rsidP="00F61CED">
            <w:pPr>
              <w:pStyle w:val="Tabletext"/>
            </w:pPr>
            <w:r w:rsidRPr="00F61CED">
              <w:t>19</w:t>
            </w:r>
            <w:r w:rsidR="00D7157D">
              <w:t>.</w:t>
            </w:r>
            <w:r w:rsidRPr="00F61CED">
              <w:t>1797</w:t>
            </w:r>
          </w:p>
        </w:tc>
        <w:tc>
          <w:tcPr>
            <w:tcW w:w="966" w:type="pct"/>
            <w:tcBorders>
              <w:top w:val="single" w:sz="4" w:space="0" w:color="auto"/>
              <w:bottom w:val="single" w:sz="4" w:space="0" w:color="auto"/>
              <w:right w:val="nil"/>
            </w:tcBorders>
            <w:shd w:val="clear" w:color="auto" w:fill="auto"/>
            <w:vAlign w:val="bottom"/>
          </w:tcPr>
          <w:p w14:paraId="60A40730" w14:textId="77777777" w:rsidR="00F61CED" w:rsidRPr="00F61CED" w:rsidRDefault="00F61CED" w:rsidP="00F61CED">
            <w:pPr>
              <w:pStyle w:val="Tabletext"/>
            </w:pPr>
            <w:r w:rsidRPr="00F61CED">
              <w:t>0</w:t>
            </w:r>
            <w:r w:rsidR="00D7157D">
              <w:t>.</w:t>
            </w:r>
            <w:r w:rsidRPr="00F61CED">
              <w:t>6895</w:t>
            </w:r>
          </w:p>
        </w:tc>
      </w:tr>
      <w:tr w:rsidR="00F61CED" w:rsidRPr="00F61CED" w14:paraId="2E6BEB51" w14:textId="77777777" w:rsidTr="00F160E0">
        <w:trPr>
          <w:cantSplit/>
        </w:trPr>
        <w:tc>
          <w:tcPr>
            <w:tcW w:w="1136" w:type="pct"/>
            <w:tcBorders>
              <w:top w:val="single" w:sz="4" w:space="0" w:color="auto"/>
              <w:bottom w:val="single" w:sz="4" w:space="0" w:color="auto"/>
            </w:tcBorders>
          </w:tcPr>
          <w:p w14:paraId="219F094F" w14:textId="77777777" w:rsidR="00F61CED" w:rsidRPr="00F61CED" w:rsidRDefault="00F61CED" w:rsidP="00F61CED">
            <w:pPr>
              <w:pStyle w:val="Tabletext"/>
            </w:pPr>
            <w:r w:rsidRPr="00F61CED">
              <w:t>50</w:t>
            </w:r>
          </w:p>
        </w:tc>
        <w:tc>
          <w:tcPr>
            <w:tcW w:w="966" w:type="pct"/>
            <w:tcBorders>
              <w:top w:val="single" w:sz="4" w:space="0" w:color="auto"/>
              <w:bottom w:val="single" w:sz="4" w:space="0" w:color="auto"/>
            </w:tcBorders>
            <w:shd w:val="clear" w:color="auto" w:fill="auto"/>
            <w:vAlign w:val="bottom"/>
          </w:tcPr>
          <w:p w14:paraId="6D34CDF9" w14:textId="77777777" w:rsidR="00F61CED" w:rsidRPr="00F61CED" w:rsidRDefault="00F61CED" w:rsidP="00F61CED">
            <w:pPr>
              <w:pStyle w:val="Tabletext"/>
            </w:pPr>
            <w:r w:rsidRPr="00F61CED">
              <w:t>17</w:t>
            </w:r>
            <w:r w:rsidR="00D7157D">
              <w:t>.</w:t>
            </w:r>
            <w:r w:rsidRPr="00F61CED">
              <w:t>6055</w:t>
            </w:r>
          </w:p>
        </w:tc>
        <w:tc>
          <w:tcPr>
            <w:tcW w:w="966" w:type="pct"/>
            <w:tcBorders>
              <w:top w:val="single" w:sz="4" w:space="0" w:color="auto"/>
              <w:bottom w:val="single" w:sz="4" w:space="0" w:color="auto"/>
            </w:tcBorders>
            <w:shd w:val="clear" w:color="auto" w:fill="auto"/>
            <w:vAlign w:val="bottom"/>
          </w:tcPr>
          <w:p w14:paraId="1DCEC517" w14:textId="77777777" w:rsidR="00F61CED" w:rsidRPr="00F61CED" w:rsidRDefault="00F61CED" w:rsidP="00F61CED">
            <w:pPr>
              <w:pStyle w:val="Tabletext"/>
            </w:pPr>
            <w:r w:rsidRPr="00F61CED">
              <w:t>2</w:t>
            </w:r>
            <w:r w:rsidR="00D7157D">
              <w:t>.</w:t>
            </w:r>
            <w:r w:rsidRPr="00F61CED">
              <w:t>1492</w:t>
            </w:r>
          </w:p>
        </w:tc>
        <w:tc>
          <w:tcPr>
            <w:tcW w:w="966" w:type="pct"/>
            <w:tcBorders>
              <w:top w:val="single" w:sz="4" w:space="0" w:color="auto"/>
              <w:bottom w:val="single" w:sz="4" w:space="0" w:color="auto"/>
            </w:tcBorders>
            <w:shd w:val="clear" w:color="auto" w:fill="auto"/>
            <w:vAlign w:val="bottom"/>
          </w:tcPr>
          <w:p w14:paraId="206BD21B" w14:textId="77777777" w:rsidR="00F61CED" w:rsidRPr="00F61CED" w:rsidRDefault="00F61CED" w:rsidP="00F61CED">
            <w:pPr>
              <w:pStyle w:val="Tabletext"/>
            </w:pPr>
            <w:r w:rsidRPr="00F61CED">
              <w:t>18</w:t>
            </w:r>
            <w:r w:rsidR="00D7157D">
              <w:t>.</w:t>
            </w:r>
            <w:r w:rsidRPr="00F61CED">
              <w:t>8952</w:t>
            </w:r>
          </w:p>
        </w:tc>
        <w:tc>
          <w:tcPr>
            <w:tcW w:w="966" w:type="pct"/>
            <w:tcBorders>
              <w:top w:val="single" w:sz="4" w:space="0" w:color="auto"/>
              <w:bottom w:val="single" w:sz="4" w:space="0" w:color="auto"/>
              <w:right w:val="nil"/>
            </w:tcBorders>
            <w:shd w:val="clear" w:color="auto" w:fill="auto"/>
            <w:vAlign w:val="bottom"/>
          </w:tcPr>
          <w:p w14:paraId="63682BF9" w14:textId="77777777" w:rsidR="00F61CED" w:rsidRPr="00F61CED" w:rsidRDefault="00F61CED" w:rsidP="00F61CED">
            <w:pPr>
              <w:pStyle w:val="Tabletext"/>
            </w:pPr>
            <w:r w:rsidRPr="00F61CED">
              <w:t>0</w:t>
            </w:r>
            <w:r w:rsidR="00D7157D">
              <w:t>.</w:t>
            </w:r>
            <w:r w:rsidRPr="00F61CED">
              <w:t>6090</w:t>
            </w:r>
          </w:p>
        </w:tc>
      </w:tr>
      <w:tr w:rsidR="00F61CED" w:rsidRPr="00F61CED" w14:paraId="367C86FF" w14:textId="77777777" w:rsidTr="00F160E0">
        <w:trPr>
          <w:cantSplit/>
        </w:trPr>
        <w:tc>
          <w:tcPr>
            <w:tcW w:w="1136" w:type="pct"/>
            <w:tcBorders>
              <w:top w:val="single" w:sz="4" w:space="0" w:color="auto"/>
              <w:bottom w:val="single" w:sz="4" w:space="0" w:color="auto"/>
            </w:tcBorders>
          </w:tcPr>
          <w:p w14:paraId="7D2F3F90" w14:textId="77777777" w:rsidR="00F61CED" w:rsidRPr="00F61CED" w:rsidRDefault="00F61CED" w:rsidP="00F61CED">
            <w:pPr>
              <w:pStyle w:val="Tabletext"/>
            </w:pPr>
            <w:r w:rsidRPr="00F61CED">
              <w:t>51</w:t>
            </w:r>
          </w:p>
        </w:tc>
        <w:tc>
          <w:tcPr>
            <w:tcW w:w="966" w:type="pct"/>
            <w:tcBorders>
              <w:top w:val="single" w:sz="4" w:space="0" w:color="auto"/>
              <w:bottom w:val="single" w:sz="4" w:space="0" w:color="auto"/>
            </w:tcBorders>
            <w:shd w:val="clear" w:color="auto" w:fill="auto"/>
            <w:vAlign w:val="bottom"/>
          </w:tcPr>
          <w:p w14:paraId="18A67FE9" w14:textId="77777777" w:rsidR="00F61CED" w:rsidRPr="00F61CED" w:rsidRDefault="00F61CED" w:rsidP="00F61CED">
            <w:pPr>
              <w:pStyle w:val="Tabletext"/>
            </w:pPr>
            <w:r w:rsidRPr="00F61CED">
              <w:t>17</w:t>
            </w:r>
            <w:r w:rsidR="00D7157D">
              <w:t>.</w:t>
            </w:r>
            <w:r w:rsidRPr="00F61CED">
              <w:t>2988</w:t>
            </w:r>
          </w:p>
        </w:tc>
        <w:tc>
          <w:tcPr>
            <w:tcW w:w="966" w:type="pct"/>
            <w:tcBorders>
              <w:top w:val="single" w:sz="4" w:space="0" w:color="auto"/>
              <w:bottom w:val="single" w:sz="4" w:space="0" w:color="auto"/>
            </w:tcBorders>
            <w:shd w:val="clear" w:color="auto" w:fill="auto"/>
            <w:vAlign w:val="bottom"/>
          </w:tcPr>
          <w:p w14:paraId="4685C637" w14:textId="77777777" w:rsidR="00F61CED" w:rsidRPr="00F61CED" w:rsidRDefault="00F61CED" w:rsidP="00F61CED">
            <w:pPr>
              <w:pStyle w:val="Tabletext"/>
            </w:pPr>
            <w:r w:rsidRPr="00F61CED">
              <w:t>1</w:t>
            </w:r>
            <w:r w:rsidR="00D7157D">
              <w:t>.</w:t>
            </w:r>
            <w:r w:rsidRPr="00F61CED">
              <w:t>8585</w:t>
            </w:r>
          </w:p>
        </w:tc>
        <w:tc>
          <w:tcPr>
            <w:tcW w:w="966" w:type="pct"/>
            <w:tcBorders>
              <w:top w:val="single" w:sz="4" w:space="0" w:color="auto"/>
              <w:bottom w:val="single" w:sz="4" w:space="0" w:color="auto"/>
            </w:tcBorders>
            <w:shd w:val="clear" w:color="auto" w:fill="auto"/>
            <w:vAlign w:val="bottom"/>
          </w:tcPr>
          <w:p w14:paraId="15120B24" w14:textId="77777777" w:rsidR="00F61CED" w:rsidRPr="00F61CED" w:rsidRDefault="00F61CED" w:rsidP="00F61CED">
            <w:pPr>
              <w:pStyle w:val="Tabletext"/>
            </w:pPr>
            <w:r w:rsidRPr="00F61CED">
              <w:t>18</w:t>
            </w:r>
            <w:r w:rsidR="00D7157D">
              <w:t>.</w:t>
            </w:r>
            <w:r w:rsidRPr="00F61CED">
              <w:t>6035</w:t>
            </w:r>
          </w:p>
        </w:tc>
        <w:tc>
          <w:tcPr>
            <w:tcW w:w="966" w:type="pct"/>
            <w:tcBorders>
              <w:top w:val="single" w:sz="4" w:space="0" w:color="auto"/>
              <w:bottom w:val="single" w:sz="4" w:space="0" w:color="auto"/>
              <w:right w:val="nil"/>
            </w:tcBorders>
            <w:shd w:val="clear" w:color="auto" w:fill="auto"/>
            <w:vAlign w:val="bottom"/>
          </w:tcPr>
          <w:p w14:paraId="704231C7" w14:textId="77777777" w:rsidR="00F61CED" w:rsidRPr="00F61CED" w:rsidRDefault="00F61CED" w:rsidP="00F61CED">
            <w:pPr>
              <w:pStyle w:val="Tabletext"/>
            </w:pPr>
            <w:r w:rsidRPr="00F61CED">
              <w:t>0</w:t>
            </w:r>
            <w:r w:rsidR="00D7157D">
              <w:t>.</w:t>
            </w:r>
            <w:r w:rsidRPr="00F61CED">
              <w:t>5255</w:t>
            </w:r>
          </w:p>
        </w:tc>
      </w:tr>
      <w:tr w:rsidR="00F61CED" w:rsidRPr="00F61CED" w14:paraId="190F5925" w14:textId="77777777" w:rsidTr="00F160E0">
        <w:trPr>
          <w:cantSplit/>
        </w:trPr>
        <w:tc>
          <w:tcPr>
            <w:tcW w:w="1136" w:type="pct"/>
            <w:tcBorders>
              <w:top w:val="single" w:sz="4" w:space="0" w:color="auto"/>
              <w:bottom w:val="single" w:sz="4" w:space="0" w:color="auto"/>
            </w:tcBorders>
          </w:tcPr>
          <w:p w14:paraId="6253A719" w14:textId="77777777" w:rsidR="00F61CED" w:rsidRPr="00F61CED" w:rsidRDefault="00F61CED" w:rsidP="00F61CED">
            <w:pPr>
              <w:pStyle w:val="Tabletext"/>
            </w:pPr>
            <w:r w:rsidRPr="00F61CED">
              <w:t>52</w:t>
            </w:r>
          </w:p>
        </w:tc>
        <w:tc>
          <w:tcPr>
            <w:tcW w:w="966" w:type="pct"/>
            <w:tcBorders>
              <w:top w:val="single" w:sz="4" w:space="0" w:color="auto"/>
              <w:bottom w:val="single" w:sz="4" w:space="0" w:color="auto"/>
            </w:tcBorders>
            <w:shd w:val="clear" w:color="auto" w:fill="auto"/>
            <w:vAlign w:val="bottom"/>
          </w:tcPr>
          <w:p w14:paraId="3E3E4858" w14:textId="77777777" w:rsidR="00F61CED" w:rsidRPr="00F61CED" w:rsidRDefault="00F61CED" w:rsidP="00F61CED">
            <w:pPr>
              <w:pStyle w:val="Tabletext"/>
            </w:pPr>
            <w:r w:rsidRPr="00F61CED">
              <w:t>16</w:t>
            </w:r>
            <w:r w:rsidR="00D7157D">
              <w:t>.</w:t>
            </w:r>
            <w:r w:rsidRPr="00F61CED">
              <w:t>9854</w:t>
            </w:r>
          </w:p>
        </w:tc>
        <w:tc>
          <w:tcPr>
            <w:tcW w:w="966" w:type="pct"/>
            <w:tcBorders>
              <w:top w:val="single" w:sz="4" w:space="0" w:color="auto"/>
              <w:bottom w:val="single" w:sz="4" w:space="0" w:color="auto"/>
            </w:tcBorders>
            <w:shd w:val="clear" w:color="auto" w:fill="auto"/>
            <w:vAlign w:val="bottom"/>
          </w:tcPr>
          <w:p w14:paraId="766A1EC6" w14:textId="77777777" w:rsidR="00F61CED" w:rsidRPr="00F61CED" w:rsidRDefault="00F61CED" w:rsidP="00F61CED">
            <w:pPr>
              <w:pStyle w:val="Tabletext"/>
            </w:pPr>
            <w:r w:rsidRPr="00F61CED">
              <w:t>1</w:t>
            </w:r>
            <w:r w:rsidR="00D7157D">
              <w:t>.</w:t>
            </w:r>
            <w:r w:rsidRPr="00F61CED">
              <w:t>5564</w:t>
            </w:r>
          </w:p>
        </w:tc>
        <w:tc>
          <w:tcPr>
            <w:tcW w:w="966" w:type="pct"/>
            <w:tcBorders>
              <w:top w:val="single" w:sz="4" w:space="0" w:color="auto"/>
              <w:bottom w:val="single" w:sz="4" w:space="0" w:color="auto"/>
            </w:tcBorders>
            <w:shd w:val="clear" w:color="auto" w:fill="auto"/>
            <w:vAlign w:val="bottom"/>
          </w:tcPr>
          <w:p w14:paraId="602B84B8" w14:textId="77777777" w:rsidR="00F61CED" w:rsidRPr="00F61CED" w:rsidRDefault="00F61CED" w:rsidP="00F61CED">
            <w:pPr>
              <w:pStyle w:val="Tabletext"/>
            </w:pPr>
            <w:r w:rsidRPr="00F61CED">
              <w:t>18</w:t>
            </w:r>
            <w:r w:rsidR="00D7157D">
              <w:t>.</w:t>
            </w:r>
            <w:r w:rsidRPr="00F61CED">
              <w:t>3042</w:t>
            </w:r>
          </w:p>
        </w:tc>
        <w:tc>
          <w:tcPr>
            <w:tcW w:w="966" w:type="pct"/>
            <w:tcBorders>
              <w:top w:val="single" w:sz="4" w:space="0" w:color="auto"/>
              <w:bottom w:val="single" w:sz="4" w:space="0" w:color="auto"/>
              <w:right w:val="nil"/>
            </w:tcBorders>
            <w:shd w:val="clear" w:color="auto" w:fill="auto"/>
            <w:vAlign w:val="bottom"/>
          </w:tcPr>
          <w:p w14:paraId="008F6B2D" w14:textId="77777777" w:rsidR="00F61CED" w:rsidRPr="00F61CED" w:rsidRDefault="00F61CED" w:rsidP="00F61CED">
            <w:pPr>
              <w:pStyle w:val="Tabletext"/>
            </w:pPr>
            <w:r w:rsidRPr="00F61CED">
              <w:t>0</w:t>
            </w:r>
            <w:r w:rsidR="00D7157D">
              <w:t>.</w:t>
            </w:r>
            <w:r w:rsidRPr="00F61CED">
              <w:t>4391</w:t>
            </w:r>
          </w:p>
        </w:tc>
      </w:tr>
      <w:tr w:rsidR="00F61CED" w:rsidRPr="00F61CED" w14:paraId="4AB2F93D" w14:textId="77777777" w:rsidTr="00F160E0">
        <w:trPr>
          <w:cantSplit/>
        </w:trPr>
        <w:tc>
          <w:tcPr>
            <w:tcW w:w="1136" w:type="pct"/>
            <w:tcBorders>
              <w:top w:val="single" w:sz="4" w:space="0" w:color="auto"/>
              <w:bottom w:val="single" w:sz="4" w:space="0" w:color="auto"/>
            </w:tcBorders>
          </w:tcPr>
          <w:p w14:paraId="7CDB91F7" w14:textId="77777777" w:rsidR="00F61CED" w:rsidRPr="00F61CED" w:rsidRDefault="00F61CED" w:rsidP="00F61CED">
            <w:pPr>
              <w:pStyle w:val="Tabletext"/>
            </w:pPr>
            <w:r w:rsidRPr="00F61CED">
              <w:t>53</w:t>
            </w:r>
          </w:p>
        </w:tc>
        <w:tc>
          <w:tcPr>
            <w:tcW w:w="966" w:type="pct"/>
            <w:tcBorders>
              <w:top w:val="single" w:sz="4" w:space="0" w:color="auto"/>
              <w:bottom w:val="single" w:sz="4" w:space="0" w:color="auto"/>
            </w:tcBorders>
            <w:shd w:val="clear" w:color="auto" w:fill="auto"/>
            <w:vAlign w:val="bottom"/>
          </w:tcPr>
          <w:p w14:paraId="0E7BBEE9" w14:textId="77777777" w:rsidR="00F61CED" w:rsidRPr="00F61CED" w:rsidRDefault="00F61CED" w:rsidP="00F61CED">
            <w:pPr>
              <w:pStyle w:val="Tabletext"/>
            </w:pPr>
            <w:r w:rsidRPr="00F61CED">
              <w:t>16</w:t>
            </w:r>
            <w:r w:rsidR="00D7157D">
              <w:t>.</w:t>
            </w:r>
            <w:r w:rsidRPr="00F61CED">
              <w:t>6665</w:t>
            </w:r>
          </w:p>
        </w:tc>
        <w:tc>
          <w:tcPr>
            <w:tcW w:w="966" w:type="pct"/>
            <w:tcBorders>
              <w:top w:val="single" w:sz="4" w:space="0" w:color="auto"/>
              <w:bottom w:val="single" w:sz="4" w:space="0" w:color="auto"/>
            </w:tcBorders>
            <w:shd w:val="clear" w:color="auto" w:fill="auto"/>
            <w:vAlign w:val="bottom"/>
          </w:tcPr>
          <w:p w14:paraId="3C57AA6A" w14:textId="77777777" w:rsidR="00F61CED" w:rsidRPr="00F61CED" w:rsidRDefault="00F61CED" w:rsidP="00F61CED">
            <w:pPr>
              <w:pStyle w:val="Tabletext"/>
            </w:pPr>
            <w:r w:rsidRPr="00F61CED">
              <w:t>1</w:t>
            </w:r>
            <w:r w:rsidR="00D7157D">
              <w:t>.</w:t>
            </w:r>
            <w:r w:rsidRPr="00F61CED">
              <w:t>2427</w:t>
            </w:r>
          </w:p>
        </w:tc>
        <w:tc>
          <w:tcPr>
            <w:tcW w:w="966" w:type="pct"/>
            <w:tcBorders>
              <w:top w:val="single" w:sz="4" w:space="0" w:color="auto"/>
              <w:bottom w:val="single" w:sz="4" w:space="0" w:color="auto"/>
            </w:tcBorders>
            <w:shd w:val="clear" w:color="auto" w:fill="auto"/>
            <w:vAlign w:val="bottom"/>
          </w:tcPr>
          <w:p w14:paraId="0A318013" w14:textId="77777777" w:rsidR="00F61CED" w:rsidRPr="00F61CED" w:rsidRDefault="00F61CED" w:rsidP="00F61CED">
            <w:pPr>
              <w:pStyle w:val="Tabletext"/>
            </w:pPr>
            <w:r w:rsidRPr="00F61CED">
              <w:t>17</w:t>
            </w:r>
            <w:r w:rsidR="00D7157D">
              <w:t>.</w:t>
            </w:r>
            <w:r w:rsidRPr="00F61CED">
              <w:t>9983</w:t>
            </w:r>
          </w:p>
        </w:tc>
        <w:tc>
          <w:tcPr>
            <w:tcW w:w="966" w:type="pct"/>
            <w:tcBorders>
              <w:top w:val="single" w:sz="4" w:space="0" w:color="auto"/>
              <w:bottom w:val="single" w:sz="4" w:space="0" w:color="auto"/>
              <w:right w:val="nil"/>
            </w:tcBorders>
            <w:shd w:val="clear" w:color="auto" w:fill="auto"/>
            <w:vAlign w:val="bottom"/>
          </w:tcPr>
          <w:p w14:paraId="280B0B08" w14:textId="77777777" w:rsidR="00F61CED" w:rsidRPr="00F61CED" w:rsidRDefault="00F61CED" w:rsidP="00F61CED">
            <w:pPr>
              <w:pStyle w:val="Tabletext"/>
            </w:pPr>
            <w:r w:rsidRPr="00F61CED">
              <w:t>0</w:t>
            </w:r>
            <w:r w:rsidR="00D7157D">
              <w:t>.</w:t>
            </w:r>
            <w:r w:rsidRPr="00F61CED">
              <w:t>3499</w:t>
            </w:r>
          </w:p>
        </w:tc>
      </w:tr>
      <w:tr w:rsidR="00F61CED" w:rsidRPr="00F61CED" w14:paraId="7E0FF7BF" w14:textId="77777777" w:rsidTr="00F160E0">
        <w:trPr>
          <w:cantSplit/>
        </w:trPr>
        <w:tc>
          <w:tcPr>
            <w:tcW w:w="1136" w:type="pct"/>
            <w:tcBorders>
              <w:top w:val="single" w:sz="4" w:space="0" w:color="auto"/>
              <w:bottom w:val="single" w:sz="4" w:space="0" w:color="auto"/>
            </w:tcBorders>
          </w:tcPr>
          <w:p w14:paraId="4F107000" w14:textId="77777777" w:rsidR="00F61CED" w:rsidRPr="00F61CED" w:rsidRDefault="00F61CED" w:rsidP="00F61CED">
            <w:pPr>
              <w:pStyle w:val="Tabletext"/>
            </w:pPr>
            <w:r w:rsidRPr="00F61CED">
              <w:t>54</w:t>
            </w:r>
          </w:p>
        </w:tc>
        <w:tc>
          <w:tcPr>
            <w:tcW w:w="966" w:type="pct"/>
            <w:tcBorders>
              <w:top w:val="single" w:sz="4" w:space="0" w:color="auto"/>
              <w:bottom w:val="single" w:sz="4" w:space="0" w:color="auto"/>
            </w:tcBorders>
            <w:shd w:val="clear" w:color="auto" w:fill="auto"/>
            <w:vAlign w:val="bottom"/>
          </w:tcPr>
          <w:p w14:paraId="44A59DD8" w14:textId="77777777" w:rsidR="00F61CED" w:rsidRPr="00F61CED" w:rsidRDefault="00F61CED" w:rsidP="00F61CED">
            <w:pPr>
              <w:pStyle w:val="Tabletext"/>
            </w:pPr>
            <w:r w:rsidRPr="00F61CED">
              <w:t>16</w:t>
            </w:r>
            <w:r w:rsidR="00D7157D">
              <w:t>.</w:t>
            </w:r>
            <w:r w:rsidRPr="00F61CED">
              <w:t>3425</w:t>
            </w:r>
          </w:p>
        </w:tc>
        <w:tc>
          <w:tcPr>
            <w:tcW w:w="966" w:type="pct"/>
            <w:tcBorders>
              <w:top w:val="single" w:sz="4" w:space="0" w:color="auto"/>
              <w:bottom w:val="single" w:sz="4" w:space="0" w:color="auto"/>
            </w:tcBorders>
            <w:shd w:val="clear" w:color="auto" w:fill="auto"/>
            <w:vAlign w:val="bottom"/>
          </w:tcPr>
          <w:p w14:paraId="20A54C40" w14:textId="77777777" w:rsidR="00F61CED" w:rsidRPr="00F61CED" w:rsidRDefault="00F61CED" w:rsidP="00F61CED">
            <w:pPr>
              <w:pStyle w:val="Tabletext"/>
            </w:pPr>
            <w:r w:rsidRPr="00F61CED">
              <w:t>0</w:t>
            </w:r>
            <w:r w:rsidR="00D7157D">
              <w:t>.</w:t>
            </w:r>
            <w:r w:rsidRPr="00F61CED">
              <w:t>9178</w:t>
            </w:r>
          </w:p>
        </w:tc>
        <w:tc>
          <w:tcPr>
            <w:tcW w:w="966" w:type="pct"/>
            <w:tcBorders>
              <w:top w:val="single" w:sz="4" w:space="0" w:color="auto"/>
              <w:bottom w:val="single" w:sz="4" w:space="0" w:color="auto"/>
            </w:tcBorders>
            <w:shd w:val="clear" w:color="auto" w:fill="auto"/>
            <w:vAlign w:val="bottom"/>
          </w:tcPr>
          <w:p w14:paraId="006AF27E" w14:textId="77777777" w:rsidR="00F61CED" w:rsidRPr="00F61CED" w:rsidRDefault="00F61CED" w:rsidP="00F61CED">
            <w:pPr>
              <w:pStyle w:val="Tabletext"/>
            </w:pPr>
            <w:r w:rsidRPr="00F61CED">
              <w:t>17</w:t>
            </w:r>
            <w:r w:rsidR="00D7157D">
              <w:t>.</w:t>
            </w:r>
            <w:r w:rsidRPr="00F61CED">
              <w:t>6857</w:t>
            </w:r>
          </w:p>
        </w:tc>
        <w:tc>
          <w:tcPr>
            <w:tcW w:w="966" w:type="pct"/>
            <w:tcBorders>
              <w:top w:val="single" w:sz="4" w:space="0" w:color="auto"/>
              <w:bottom w:val="single" w:sz="4" w:space="0" w:color="auto"/>
              <w:right w:val="nil"/>
            </w:tcBorders>
            <w:shd w:val="clear" w:color="auto" w:fill="auto"/>
            <w:vAlign w:val="bottom"/>
          </w:tcPr>
          <w:p w14:paraId="21E58AF1" w14:textId="77777777" w:rsidR="00F61CED" w:rsidRPr="00F61CED" w:rsidRDefault="00F61CED" w:rsidP="00F61CED">
            <w:pPr>
              <w:pStyle w:val="Tabletext"/>
            </w:pPr>
            <w:r w:rsidRPr="00F61CED">
              <w:t>0</w:t>
            </w:r>
            <w:r w:rsidR="00D7157D">
              <w:t>.</w:t>
            </w:r>
            <w:r w:rsidRPr="00F61CED">
              <w:t>2578</w:t>
            </w:r>
          </w:p>
        </w:tc>
      </w:tr>
      <w:tr w:rsidR="00F61CED" w:rsidRPr="00F61CED" w14:paraId="04D81EDB" w14:textId="77777777" w:rsidTr="00F160E0">
        <w:trPr>
          <w:cantSplit/>
        </w:trPr>
        <w:tc>
          <w:tcPr>
            <w:tcW w:w="1136" w:type="pct"/>
            <w:tcBorders>
              <w:top w:val="single" w:sz="4" w:space="0" w:color="auto"/>
              <w:bottom w:val="single" w:sz="4" w:space="0" w:color="auto"/>
            </w:tcBorders>
          </w:tcPr>
          <w:p w14:paraId="45A04892" w14:textId="77777777" w:rsidR="00F61CED" w:rsidRPr="00F61CED" w:rsidRDefault="00F61CED" w:rsidP="00F61CED">
            <w:pPr>
              <w:pStyle w:val="Tabletext"/>
            </w:pPr>
            <w:r w:rsidRPr="00F61CED">
              <w:t>55</w:t>
            </w:r>
          </w:p>
        </w:tc>
        <w:tc>
          <w:tcPr>
            <w:tcW w:w="966" w:type="pct"/>
            <w:tcBorders>
              <w:top w:val="single" w:sz="4" w:space="0" w:color="auto"/>
              <w:bottom w:val="single" w:sz="4" w:space="0" w:color="auto"/>
            </w:tcBorders>
            <w:shd w:val="clear" w:color="auto" w:fill="auto"/>
            <w:vAlign w:val="bottom"/>
          </w:tcPr>
          <w:p w14:paraId="310CD3BE" w14:textId="77777777" w:rsidR="00F61CED" w:rsidRPr="00F61CED" w:rsidRDefault="00F61CED" w:rsidP="00F61CED">
            <w:pPr>
              <w:pStyle w:val="Tabletext"/>
            </w:pPr>
            <w:r w:rsidRPr="00F61CED">
              <w:t>16</w:t>
            </w:r>
            <w:r w:rsidR="00D7157D">
              <w:t>.</w:t>
            </w:r>
            <w:r w:rsidRPr="00F61CED">
              <w:t>0140</w:t>
            </w:r>
          </w:p>
        </w:tc>
        <w:tc>
          <w:tcPr>
            <w:tcW w:w="966" w:type="pct"/>
            <w:tcBorders>
              <w:top w:val="single" w:sz="4" w:space="0" w:color="auto"/>
              <w:bottom w:val="single" w:sz="4" w:space="0" w:color="auto"/>
            </w:tcBorders>
            <w:shd w:val="clear" w:color="auto" w:fill="auto"/>
            <w:vAlign w:val="bottom"/>
          </w:tcPr>
          <w:p w14:paraId="5423FD88" w14:textId="77777777" w:rsidR="00F61CED" w:rsidRPr="00F61CED" w:rsidRDefault="00F61CED" w:rsidP="00F61CED">
            <w:pPr>
              <w:pStyle w:val="Tabletext"/>
            </w:pPr>
            <w:r w:rsidRPr="00F61CED">
              <w:t>0</w:t>
            </w:r>
            <w:r w:rsidR="00D7157D">
              <w:t>.</w:t>
            </w:r>
            <w:r w:rsidRPr="00F61CED">
              <w:t>5820</w:t>
            </w:r>
          </w:p>
        </w:tc>
        <w:tc>
          <w:tcPr>
            <w:tcW w:w="966" w:type="pct"/>
            <w:tcBorders>
              <w:top w:val="single" w:sz="4" w:space="0" w:color="auto"/>
              <w:bottom w:val="single" w:sz="4" w:space="0" w:color="auto"/>
            </w:tcBorders>
            <w:shd w:val="clear" w:color="auto" w:fill="auto"/>
            <w:vAlign w:val="bottom"/>
          </w:tcPr>
          <w:p w14:paraId="03C23EA0" w14:textId="77777777" w:rsidR="00F61CED" w:rsidRPr="00F61CED" w:rsidRDefault="00F61CED" w:rsidP="00F61CED">
            <w:pPr>
              <w:pStyle w:val="Tabletext"/>
            </w:pPr>
            <w:r w:rsidRPr="00F61CED">
              <w:t>17</w:t>
            </w:r>
            <w:r w:rsidR="00D7157D">
              <w:t>.</w:t>
            </w:r>
            <w:r w:rsidRPr="00F61CED">
              <w:t>3660</w:t>
            </w:r>
          </w:p>
        </w:tc>
        <w:tc>
          <w:tcPr>
            <w:tcW w:w="966" w:type="pct"/>
            <w:tcBorders>
              <w:top w:val="single" w:sz="4" w:space="0" w:color="auto"/>
              <w:bottom w:val="single" w:sz="4" w:space="0" w:color="auto"/>
              <w:right w:val="nil"/>
            </w:tcBorders>
            <w:shd w:val="clear" w:color="auto" w:fill="auto"/>
            <w:vAlign w:val="bottom"/>
          </w:tcPr>
          <w:p w14:paraId="4DE92909" w14:textId="77777777" w:rsidR="00F61CED" w:rsidRPr="00F61CED" w:rsidRDefault="00F61CED" w:rsidP="00F61CED">
            <w:pPr>
              <w:pStyle w:val="Tabletext"/>
            </w:pPr>
            <w:r w:rsidRPr="00F61CED">
              <w:t>0</w:t>
            </w:r>
            <w:r w:rsidR="00D7157D">
              <w:t>.</w:t>
            </w:r>
            <w:r w:rsidRPr="00F61CED">
              <w:t>1631</w:t>
            </w:r>
          </w:p>
        </w:tc>
      </w:tr>
      <w:tr w:rsidR="00F61CED" w:rsidRPr="00F61CED" w14:paraId="45EE6AF9" w14:textId="77777777" w:rsidTr="00F160E0">
        <w:trPr>
          <w:cantSplit/>
        </w:trPr>
        <w:tc>
          <w:tcPr>
            <w:tcW w:w="1136" w:type="pct"/>
            <w:tcBorders>
              <w:top w:val="single" w:sz="4" w:space="0" w:color="auto"/>
              <w:bottom w:val="single" w:sz="4" w:space="0" w:color="auto"/>
            </w:tcBorders>
          </w:tcPr>
          <w:p w14:paraId="72247034" w14:textId="77777777" w:rsidR="00F61CED" w:rsidRPr="00F61CED" w:rsidRDefault="00F61CED" w:rsidP="00F61CED">
            <w:pPr>
              <w:pStyle w:val="Tabletext"/>
            </w:pPr>
            <w:r w:rsidRPr="00F61CED">
              <w:t>56</w:t>
            </w:r>
          </w:p>
        </w:tc>
        <w:tc>
          <w:tcPr>
            <w:tcW w:w="966" w:type="pct"/>
            <w:tcBorders>
              <w:top w:val="single" w:sz="4" w:space="0" w:color="auto"/>
              <w:bottom w:val="single" w:sz="4" w:space="0" w:color="auto"/>
            </w:tcBorders>
            <w:shd w:val="clear" w:color="auto" w:fill="auto"/>
            <w:vAlign w:val="bottom"/>
          </w:tcPr>
          <w:p w14:paraId="7AF16104" w14:textId="77777777" w:rsidR="00F61CED" w:rsidRPr="00F61CED" w:rsidRDefault="00F61CED" w:rsidP="00F61CED">
            <w:pPr>
              <w:pStyle w:val="Tabletext"/>
            </w:pPr>
            <w:r w:rsidRPr="00F61CED">
              <w:t>15</w:t>
            </w:r>
            <w:r w:rsidR="00D7157D">
              <w:t>.</w:t>
            </w:r>
            <w:r w:rsidRPr="00F61CED">
              <w:t>6812</w:t>
            </w:r>
          </w:p>
        </w:tc>
        <w:tc>
          <w:tcPr>
            <w:tcW w:w="966" w:type="pct"/>
            <w:tcBorders>
              <w:top w:val="single" w:sz="4" w:space="0" w:color="auto"/>
              <w:bottom w:val="single" w:sz="4" w:space="0" w:color="auto"/>
            </w:tcBorders>
            <w:shd w:val="clear" w:color="auto" w:fill="auto"/>
            <w:vAlign w:val="bottom"/>
          </w:tcPr>
          <w:p w14:paraId="1923C679" w14:textId="77777777" w:rsidR="00F61CED" w:rsidRPr="00F61CED" w:rsidRDefault="00F61CED" w:rsidP="00F61CED">
            <w:pPr>
              <w:pStyle w:val="Tabletext"/>
            </w:pPr>
            <w:r w:rsidRPr="00F61CED">
              <w:t>0</w:t>
            </w:r>
            <w:r w:rsidR="00D7157D">
              <w:t>.</w:t>
            </w:r>
            <w:r w:rsidRPr="00F61CED">
              <w:t>5900</w:t>
            </w:r>
          </w:p>
        </w:tc>
        <w:tc>
          <w:tcPr>
            <w:tcW w:w="966" w:type="pct"/>
            <w:tcBorders>
              <w:top w:val="single" w:sz="4" w:space="0" w:color="auto"/>
              <w:bottom w:val="single" w:sz="4" w:space="0" w:color="auto"/>
            </w:tcBorders>
            <w:shd w:val="clear" w:color="auto" w:fill="auto"/>
            <w:vAlign w:val="bottom"/>
          </w:tcPr>
          <w:p w14:paraId="0C81D8B7" w14:textId="77777777" w:rsidR="00F61CED" w:rsidRPr="00F61CED" w:rsidRDefault="00F61CED" w:rsidP="00F61CED">
            <w:pPr>
              <w:pStyle w:val="Tabletext"/>
            </w:pPr>
            <w:r w:rsidRPr="00F61CED">
              <w:t>17</w:t>
            </w:r>
            <w:r w:rsidR="00D7157D">
              <w:t>.</w:t>
            </w:r>
            <w:r w:rsidRPr="00F61CED">
              <w:t>0393</w:t>
            </w:r>
          </w:p>
        </w:tc>
        <w:tc>
          <w:tcPr>
            <w:tcW w:w="966" w:type="pct"/>
            <w:tcBorders>
              <w:top w:val="single" w:sz="4" w:space="0" w:color="auto"/>
              <w:bottom w:val="single" w:sz="4" w:space="0" w:color="auto"/>
              <w:right w:val="nil"/>
            </w:tcBorders>
            <w:shd w:val="clear" w:color="auto" w:fill="auto"/>
            <w:vAlign w:val="bottom"/>
          </w:tcPr>
          <w:p w14:paraId="6C63A644" w14:textId="77777777" w:rsidR="00F61CED" w:rsidRPr="00F61CED" w:rsidRDefault="00F61CED" w:rsidP="00F61CED">
            <w:pPr>
              <w:pStyle w:val="Tabletext"/>
            </w:pPr>
            <w:r w:rsidRPr="00F61CED">
              <w:t>0</w:t>
            </w:r>
            <w:r w:rsidR="00D7157D">
              <w:t>.</w:t>
            </w:r>
            <w:r w:rsidRPr="00F61CED">
              <w:t>1651</w:t>
            </w:r>
          </w:p>
        </w:tc>
      </w:tr>
      <w:tr w:rsidR="00F61CED" w:rsidRPr="00F61CED" w14:paraId="68DEFC13" w14:textId="77777777" w:rsidTr="00F160E0">
        <w:trPr>
          <w:cantSplit/>
        </w:trPr>
        <w:tc>
          <w:tcPr>
            <w:tcW w:w="1136" w:type="pct"/>
            <w:tcBorders>
              <w:top w:val="single" w:sz="4" w:space="0" w:color="auto"/>
              <w:bottom w:val="single" w:sz="4" w:space="0" w:color="auto"/>
            </w:tcBorders>
          </w:tcPr>
          <w:p w14:paraId="668ABE6D" w14:textId="77777777" w:rsidR="00F61CED" w:rsidRPr="00F61CED" w:rsidRDefault="00F61CED" w:rsidP="00F61CED">
            <w:pPr>
              <w:pStyle w:val="Tabletext"/>
            </w:pPr>
            <w:r w:rsidRPr="00F61CED">
              <w:t>57</w:t>
            </w:r>
          </w:p>
        </w:tc>
        <w:tc>
          <w:tcPr>
            <w:tcW w:w="966" w:type="pct"/>
            <w:tcBorders>
              <w:top w:val="single" w:sz="4" w:space="0" w:color="auto"/>
              <w:bottom w:val="single" w:sz="4" w:space="0" w:color="auto"/>
            </w:tcBorders>
            <w:shd w:val="clear" w:color="auto" w:fill="auto"/>
            <w:vAlign w:val="bottom"/>
          </w:tcPr>
          <w:p w14:paraId="73B851FB" w14:textId="77777777" w:rsidR="00F61CED" w:rsidRPr="00F61CED" w:rsidRDefault="00F61CED" w:rsidP="00F61CED">
            <w:pPr>
              <w:pStyle w:val="Tabletext"/>
            </w:pPr>
            <w:r w:rsidRPr="00F61CED">
              <w:t>15</w:t>
            </w:r>
            <w:r w:rsidR="00D7157D">
              <w:t>.</w:t>
            </w:r>
            <w:r w:rsidRPr="00F61CED">
              <w:t>3443</w:t>
            </w:r>
          </w:p>
        </w:tc>
        <w:tc>
          <w:tcPr>
            <w:tcW w:w="966" w:type="pct"/>
            <w:tcBorders>
              <w:top w:val="single" w:sz="4" w:space="0" w:color="auto"/>
              <w:bottom w:val="single" w:sz="4" w:space="0" w:color="auto"/>
            </w:tcBorders>
            <w:shd w:val="clear" w:color="auto" w:fill="auto"/>
            <w:vAlign w:val="bottom"/>
          </w:tcPr>
          <w:p w14:paraId="012E0A17" w14:textId="77777777" w:rsidR="00F61CED" w:rsidRPr="00F61CED" w:rsidRDefault="00F61CED" w:rsidP="00F61CED">
            <w:pPr>
              <w:pStyle w:val="Tabletext"/>
            </w:pPr>
            <w:r w:rsidRPr="00F61CED">
              <w:t>0</w:t>
            </w:r>
            <w:r w:rsidR="00D7157D">
              <w:t>.</w:t>
            </w:r>
            <w:r w:rsidRPr="00F61CED">
              <w:t>5976</w:t>
            </w:r>
          </w:p>
        </w:tc>
        <w:tc>
          <w:tcPr>
            <w:tcW w:w="966" w:type="pct"/>
            <w:tcBorders>
              <w:top w:val="single" w:sz="4" w:space="0" w:color="auto"/>
              <w:bottom w:val="single" w:sz="4" w:space="0" w:color="auto"/>
            </w:tcBorders>
            <w:shd w:val="clear" w:color="auto" w:fill="auto"/>
            <w:vAlign w:val="bottom"/>
          </w:tcPr>
          <w:p w14:paraId="5E45CA3A" w14:textId="77777777" w:rsidR="00F61CED" w:rsidRPr="00F61CED" w:rsidRDefault="00F61CED" w:rsidP="00F61CED">
            <w:pPr>
              <w:pStyle w:val="Tabletext"/>
            </w:pPr>
            <w:r w:rsidRPr="00F61CED">
              <w:t>16</w:t>
            </w:r>
            <w:r w:rsidR="00D7157D">
              <w:t>.</w:t>
            </w:r>
            <w:r w:rsidRPr="00F61CED">
              <w:t>7058</w:t>
            </w:r>
          </w:p>
        </w:tc>
        <w:tc>
          <w:tcPr>
            <w:tcW w:w="966" w:type="pct"/>
            <w:tcBorders>
              <w:top w:val="single" w:sz="4" w:space="0" w:color="auto"/>
              <w:bottom w:val="single" w:sz="4" w:space="0" w:color="auto"/>
              <w:right w:val="nil"/>
            </w:tcBorders>
            <w:shd w:val="clear" w:color="auto" w:fill="auto"/>
            <w:vAlign w:val="bottom"/>
          </w:tcPr>
          <w:p w14:paraId="366C03EA" w14:textId="77777777" w:rsidR="00F61CED" w:rsidRPr="00F61CED" w:rsidRDefault="00F61CED" w:rsidP="00F61CED">
            <w:pPr>
              <w:pStyle w:val="Tabletext"/>
            </w:pPr>
            <w:r w:rsidRPr="00F61CED">
              <w:t>0</w:t>
            </w:r>
            <w:r w:rsidR="00D7157D">
              <w:t>.</w:t>
            </w:r>
            <w:r w:rsidRPr="00F61CED">
              <w:t>1669</w:t>
            </w:r>
          </w:p>
        </w:tc>
      </w:tr>
      <w:tr w:rsidR="00F61CED" w:rsidRPr="00F61CED" w14:paraId="7799BA9E" w14:textId="77777777" w:rsidTr="00F160E0">
        <w:trPr>
          <w:cantSplit/>
        </w:trPr>
        <w:tc>
          <w:tcPr>
            <w:tcW w:w="1136" w:type="pct"/>
            <w:tcBorders>
              <w:top w:val="single" w:sz="4" w:space="0" w:color="auto"/>
              <w:bottom w:val="single" w:sz="4" w:space="0" w:color="auto"/>
            </w:tcBorders>
          </w:tcPr>
          <w:p w14:paraId="4D795D76" w14:textId="77777777" w:rsidR="00F61CED" w:rsidRPr="00F61CED" w:rsidRDefault="00F61CED" w:rsidP="00F61CED">
            <w:pPr>
              <w:pStyle w:val="Tabletext"/>
            </w:pPr>
            <w:r w:rsidRPr="00F61CED">
              <w:t>58</w:t>
            </w:r>
          </w:p>
        </w:tc>
        <w:tc>
          <w:tcPr>
            <w:tcW w:w="966" w:type="pct"/>
            <w:tcBorders>
              <w:top w:val="single" w:sz="4" w:space="0" w:color="auto"/>
              <w:bottom w:val="single" w:sz="4" w:space="0" w:color="auto"/>
            </w:tcBorders>
            <w:shd w:val="clear" w:color="auto" w:fill="auto"/>
            <w:vAlign w:val="bottom"/>
          </w:tcPr>
          <w:p w14:paraId="44035BAC" w14:textId="77777777" w:rsidR="00F61CED" w:rsidRPr="00F61CED" w:rsidRDefault="00F61CED" w:rsidP="00F61CED">
            <w:pPr>
              <w:pStyle w:val="Tabletext"/>
            </w:pPr>
            <w:r w:rsidRPr="00F61CED">
              <w:t>15</w:t>
            </w:r>
            <w:r w:rsidR="00D7157D">
              <w:t>.</w:t>
            </w:r>
            <w:r w:rsidRPr="00F61CED">
              <w:t>0034</w:t>
            </w:r>
          </w:p>
        </w:tc>
        <w:tc>
          <w:tcPr>
            <w:tcW w:w="966" w:type="pct"/>
            <w:tcBorders>
              <w:top w:val="single" w:sz="4" w:space="0" w:color="auto"/>
              <w:bottom w:val="single" w:sz="4" w:space="0" w:color="auto"/>
            </w:tcBorders>
            <w:shd w:val="clear" w:color="auto" w:fill="auto"/>
            <w:vAlign w:val="bottom"/>
          </w:tcPr>
          <w:p w14:paraId="4FE0AD3A" w14:textId="77777777" w:rsidR="00F61CED" w:rsidRPr="00F61CED" w:rsidRDefault="00F61CED" w:rsidP="00F61CED">
            <w:pPr>
              <w:pStyle w:val="Tabletext"/>
            </w:pPr>
            <w:r w:rsidRPr="00F61CED">
              <w:t>0</w:t>
            </w:r>
            <w:r w:rsidR="00D7157D">
              <w:t>.</w:t>
            </w:r>
            <w:r w:rsidRPr="00F61CED">
              <w:t>6047</w:t>
            </w:r>
          </w:p>
        </w:tc>
        <w:tc>
          <w:tcPr>
            <w:tcW w:w="966" w:type="pct"/>
            <w:tcBorders>
              <w:top w:val="single" w:sz="4" w:space="0" w:color="auto"/>
              <w:bottom w:val="single" w:sz="4" w:space="0" w:color="auto"/>
            </w:tcBorders>
            <w:shd w:val="clear" w:color="auto" w:fill="auto"/>
            <w:vAlign w:val="bottom"/>
          </w:tcPr>
          <w:p w14:paraId="79625871" w14:textId="77777777" w:rsidR="00F61CED" w:rsidRPr="00F61CED" w:rsidRDefault="00F61CED" w:rsidP="00F61CED">
            <w:pPr>
              <w:pStyle w:val="Tabletext"/>
            </w:pPr>
            <w:r w:rsidRPr="00F61CED">
              <w:t>16</w:t>
            </w:r>
            <w:r w:rsidR="00D7157D">
              <w:t>.</w:t>
            </w:r>
            <w:r w:rsidRPr="00F61CED">
              <w:t>3648</w:t>
            </w:r>
          </w:p>
        </w:tc>
        <w:tc>
          <w:tcPr>
            <w:tcW w:w="966" w:type="pct"/>
            <w:tcBorders>
              <w:top w:val="single" w:sz="4" w:space="0" w:color="auto"/>
              <w:bottom w:val="single" w:sz="4" w:space="0" w:color="auto"/>
              <w:right w:val="nil"/>
            </w:tcBorders>
            <w:shd w:val="clear" w:color="auto" w:fill="auto"/>
            <w:vAlign w:val="bottom"/>
          </w:tcPr>
          <w:p w14:paraId="4CE7E71A" w14:textId="77777777" w:rsidR="00F61CED" w:rsidRPr="00F61CED" w:rsidRDefault="00F61CED" w:rsidP="00F61CED">
            <w:pPr>
              <w:pStyle w:val="Tabletext"/>
            </w:pPr>
            <w:r w:rsidRPr="00F61CED">
              <w:t>0</w:t>
            </w:r>
            <w:r w:rsidR="00D7157D">
              <w:t>.</w:t>
            </w:r>
            <w:r w:rsidRPr="00F61CED">
              <w:t>1686</w:t>
            </w:r>
          </w:p>
        </w:tc>
      </w:tr>
      <w:tr w:rsidR="00F61CED" w:rsidRPr="00F61CED" w14:paraId="27C89B0D" w14:textId="77777777" w:rsidTr="00F160E0">
        <w:trPr>
          <w:cantSplit/>
        </w:trPr>
        <w:tc>
          <w:tcPr>
            <w:tcW w:w="1136" w:type="pct"/>
            <w:tcBorders>
              <w:top w:val="single" w:sz="4" w:space="0" w:color="auto"/>
              <w:bottom w:val="single" w:sz="4" w:space="0" w:color="auto"/>
            </w:tcBorders>
          </w:tcPr>
          <w:p w14:paraId="5F9927FF" w14:textId="77777777" w:rsidR="00F61CED" w:rsidRPr="00F61CED" w:rsidRDefault="00F61CED" w:rsidP="00F61CED">
            <w:pPr>
              <w:pStyle w:val="Tabletext"/>
            </w:pPr>
            <w:r w:rsidRPr="00F61CED">
              <w:t>59</w:t>
            </w:r>
          </w:p>
        </w:tc>
        <w:tc>
          <w:tcPr>
            <w:tcW w:w="966" w:type="pct"/>
            <w:tcBorders>
              <w:top w:val="single" w:sz="4" w:space="0" w:color="auto"/>
              <w:bottom w:val="single" w:sz="4" w:space="0" w:color="auto"/>
            </w:tcBorders>
            <w:shd w:val="clear" w:color="auto" w:fill="auto"/>
            <w:vAlign w:val="bottom"/>
          </w:tcPr>
          <w:p w14:paraId="11A0515C" w14:textId="77777777" w:rsidR="00F61CED" w:rsidRPr="00F61CED" w:rsidRDefault="00F61CED" w:rsidP="00F61CED">
            <w:pPr>
              <w:pStyle w:val="Tabletext"/>
            </w:pPr>
            <w:r w:rsidRPr="00F61CED">
              <w:t>14</w:t>
            </w:r>
            <w:r w:rsidR="00D7157D">
              <w:t>.</w:t>
            </w:r>
            <w:r w:rsidRPr="00F61CED">
              <w:t>6586</w:t>
            </w:r>
          </w:p>
        </w:tc>
        <w:tc>
          <w:tcPr>
            <w:tcW w:w="966" w:type="pct"/>
            <w:tcBorders>
              <w:top w:val="single" w:sz="4" w:space="0" w:color="auto"/>
              <w:bottom w:val="single" w:sz="4" w:space="0" w:color="auto"/>
            </w:tcBorders>
            <w:shd w:val="clear" w:color="auto" w:fill="auto"/>
            <w:vAlign w:val="bottom"/>
          </w:tcPr>
          <w:p w14:paraId="4E5DE33A" w14:textId="77777777" w:rsidR="00F61CED" w:rsidRPr="00F61CED" w:rsidRDefault="00F61CED" w:rsidP="00F61CED">
            <w:pPr>
              <w:pStyle w:val="Tabletext"/>
            </w:pPr>
            <w:r w:rsidRPr="00F61CED">
              <w:t>0</w:t>
            </w:r>
            <w:r w:rsidR="00D7157D">
              <w:t>.</w:t>
            </w:r>
            <w:r w:rsidRPr="00F61CED">
              <w:t>6113</w:t>
            </w:r>
          </w:p>
        </w:tc>
        <w:tc>
          <w:tcPr>
            <w:tcW w:w="966" w:type="pct"/>
            <w:tcBorders>
              <w:top w:val="single" w:sz="4" w:space="0" w:color="auto"/>
              <w:bottom w:val="single" w:sz="4" w:space="0" w:color="auto"/>
            </w:tcBorders>
            <w:shd w:val="clear" w:color="auto" w:fill="auto"/>
            <w:vAlign w:val="bottom"/>
          </w:tcPr>
          <w:p w14:paraId="02E319BE" w14:textId="77777777" w:rsidR="00F61CED" w:rsidRPr="00F61CED" w:rsidRDefault="00F61CED" w:rsidP="00F61CED">
            <w:pPr>
              <w:pStyle w:val="Tabletext"/>
            </w:pPr>
            <w:r w:rsidRPr="00F61CED">
              <w:t>16</w:t>
            </w:r>
            <w:r w:rsidR="00D7157D">
              <w:t>.</w:t>
            </w:r>
            <w:r w:rsidRPr="00F61CED">
              <w:t>0164</w:t>
            </w:r>
          </w:p>
        </w:tc>
        <w:tc>
          <w:tcPr>
            <w:tcW w:w="966" w:type="pct"/>
            <w:tcBorders>
              <w:top w:val="single" w:sz="4" w:space="0" w:color="auto"/>
              <w:bottom w:val="single" w:sz="4" w:space="0" w:color="auto"/>
              <w:right w:val="nil"/>
            </w:tcBorders>
            <w:shd w:val="clear" w:color="auto" w:fill="auto"/>
            <w:vAlign w:val="bottom"/>
          </w:tcPr>
          <w:p w14:paraId="5D5F3030" w14:textId="77777777" w:rsidR="00F61CED" w:rsidRPr="00F61CED" w:rsidRDefault="00F61CED" w:rsidP="00F61CED">
            <w:pPr>
              <w:pStyle w:val="Tabletext"/>
            </w:pPr>
            <w:r w:rsidRPr="00F61CED">
              <w:t>0</w:t>
            </w:r>
            <w:r w:rsidR="00D7157D">
              <w:t>.</w:t>
            </w:r>
            <w:r w:rsidRPr="00F61CED">
              <w:t>1702</w:t>
            </w:r>
          </w:p>
        </w:tc>
      </w:tr>
      <w:tr w:rsidR="00F61CED" w:rsidRPr="00F61CED" w14:paraId="3F743FF2" w14:textId="77777777" w:rsidTr="00F160E0">
        <w:trPr>
          <w:cantSplit/>
        </w:trPr>
        <w:tc>
          <w:tcPr>
            <w:tcW w:w="1136" w:type="pct"/>
            <w:tcBorders>
              <w:top w:val="single" w:sz="4" w:space="0" w:color="auto"/>
              <w:bottom w:val="single" w:sz="4" w:space="0" w:color="auto"/>
            </w:tcBorders>
          </w:tcPr>
          <w:p w14:paraId="55F104A2" w14:textId="77777777" w:rsidR="00F61CED" w:rsidRPr="00F61CED" w:rsidRDefault="00F61CED" w:rsidP="00F61CED">
            <w:pPr>
              <w:pStyle w:val="Tabletext"/>
            </w:pPr>
            <w:r w:rsidRPr="00F61CED">
              <w:t>60</w:t>
            </w:r>
          </w:p>
        </w:tc>
        <w:tc>
          <w:tcPr>
            <w:tcW w:w="966" w:type="pct"/>
            <w:tcBorders>
              <w:top w:val="single" w:sz="4" w:space="0" w:color="auto"/>
              <w:bottom w:val="single" w:sz="4" w:space="0" w:color="auto"/>
            </w:tcBorders>
            <w:shd w:val="clear" w:color="auto" w:fill="auto"/>
            <w:vAlign w:val="bottom"/>
          </w:tcPr>
          <w:p w14:paraId="1A4B9C90" w14:textId="77777777" w:rsidR="00F61CED" w:rsidRPr="00F61CED" w:rsidRDefault="00F61CED" w:rsidP="00F61CED">
            <w:pPr>
              <w:pStyle w:val="Tabletext"/>
            </w:pPr>
            <w:r w:rsidRPr="00F61CED">
              <w:t>14</w:t>
            </w:r>
            <w:r w:rsidR="00D7157D">
              <w:t>.</w:t>
            </w:r>
            <w:r w:rsidRPr="00F61CED">
              <w:t>3099</w:t>
            </w:r>
          </w:p>
        </w:tc>
        <w:tc>
          <w:tcPr>
            <w:tcW w:w="966" w:type="pct"/>
            <w:tcBorders>
              <w:top w:val="single" w:sz="4" w:space="0" w:color="auto"/>
              <w:bottom w:val="single" w:sz="4" w:space="0" w:color="auto"/>
            </w:tcBorders>
            <w:shd w:val="clear" w:color="auto" w:fill="auto"/>
            <w:vAlign w:val="bottom"/>
          </w:tcPr>
          <w:p w14:paraId="61C1EE64" w14:textId="77777777" w:rsidR="00F61CED" w:rsidRPr="00F61CED" w:rsidRDefault="00F61CED" w:rsidP="00F61CED">
            <w:pPr>
              <w:pStyle w:val="Tabletext"/>
            </w:pPr>
            <w:r w:rsidRPr="00F61CED">
              <w:t>0</w:t>
            </w:r>
            <w:r w:rsidR="00D7157D">
              <w:t>.</w:t>
            </w:r>
            <w:r w:rsidRPr="00F61CED">
              <w:t>6174</w:t>
            </w:r>
          </w:p>
        </w:tc>
        <w:tc>
          <w:tcPr>
            <w:tcW w:w="966" w:type="pct"/>
            <w:tcBorders>
              <w:top w:val="single" w:sz="4" w:space="0" w:color="auto"/>
              <w:bottom w:val="single" w:sz="4" w:space="0" w:color="auto"/>
            </w:tcBorders>
            <w:shd w:val="clear" w:color="auto" w:fill="auto"/>
            <w:vAlign w:val="bottom"/>
          </w:tcPr>
          <w:p w14:paraId="67E3675D" w14:textId="77777777" w:rsidR="00F61CED" w:rsidRPr="00F61CED" w:rsidRDefault="00F61CED" w:rsidP="00F61CED">
            <w:pPr>
              <w:pStyle w:val="Tabletext"/>
            </w:pPr>
            <w:r w:rsidRPr="00F61CED">
              <w:t>15</w:t>
            </w:r>
            <w:r w:rsidR="00D7157D">
              <w:t>.</w:t>
            </w:r>
            <w:r w:rsidRPr="00F61CED">
              <w:t>6604</w:t>
            </w:r>
          </w:p>
        </w:tc>
        <w:tc>
          <w:tcPr>
            <w:tcW w:w="966" w:type="pct"/>
            <w:tcBorders>
              <w:top w:val="single" w:sz="4" w:space="0" w:color="auto"/>
              <w:bottom w:val="single" w:sz="4" w:space="0" w:color="auto"/>
              <w:right w:val="nil"/>
            </w:tcBorders>
            <w:shd w:val="clear" w:color="auto" w:fill="auto"/>
            <w:vAlign w:val="bottom"/>
          </w:tcPr>
          <w:p w14:paraId="1A01505A" w14:textId="77777777" w:rsidR="00F61CED" w:rsidRPr="00F61CED" w:rsidRDefault="00F61CED" w:rsidP="00F61CED">
            <w:pPr>
              <w:pStyle w:val="Tabletext"/>
            </w:pPr>
            <w:r w:rsidRPr="00F61CED">
              <w:t>0</w:t>
            </w:r>
            <w:r w:rsidR="00D7157D">
              <w:t>.</w:t>
            </w:r>
            <w:r w:rsidRPr="00F61CED">
              <w:t>1717</w:t>
            </w:r>
          </w:p>
        </w:tc>
      </w:tr>
      <w:tr w:rsidR="00F61CED" w:rsidRPr="00F61CED" w14:paraId="363535F8" w14:textId="77777777" w:rsidTr="00F160E0">
        <w:trPr>
          <w:cantSplit/>
        </w:trPr>
        <w:tc>
          <w:tcPr>
            <w:tcW w:w="1136" w:type="pct"/>
            <w:tcBorders>
              <w:top w:val="single" w:sz="4" w:space="0" w:color="auto"/>
              <w:bottom w:val="single" w:sz="4" w:space="0" w:color="auto"/>
            </w:tcBorders>
          </w:tcPr>
          <w:p w14:paraId="69C60A0B" w14:textId="77777777" w:rsidR="00F61CED" w:rsidRPr="00F61CED" w:rsidRDefault="00F61CED" w:rsidP="00F61CED">
            <w:pPr>
              <w:pStyle w:val="Tabletext"/>
            </w:pPr>
            <w:r w:rsidRPr="00F61CED">
              <w:t>61</w:t>
            </w:r>
          </w:p>
        </w:tc>
        <w:tc>
          <w:tcPr>
            <w:tcW w:w="966" w:type="pct"/>
            <w:tcBorders>
              <w:top w:val="single" w:sz="4" w:space="0" w:color="auto"/>
              <w:bottom w:val="single" w:sz="4" w:space="0" w:color="auto"/>
            </w:tcBorders>
            <w:shd w:val="clear" w:color="auto" w:fill="auto"/>
            <w:vAlign w:val="bottom"/>
          </w:tcPr>
          <w:p w14:paraId="6D7C2DBF" w14:textId="77777777" w:rsidR="00F61CED" w:rsidRPr="00F61CED" w:rsidRDefault="00F61CED" w:rsidP="00F61CED">
            <w:pPr>
              <w:pStyle w:val="Tabletext"/>
            </w:pPr>
            <w:r w:rsidRPr="00F61CED">
              <w:t>13</w:t>
            </w:r>
            <w:r w:rsidR="00D7157D">
              <w:t>.</w:t>
            </w:r>
            <w:r w:rsidRPr="00F61CED">
              <w:t>9574</w:t>
            </w:r>
          </w:p>
        </w:tc>
        <w:tc>
          <w:tcPr>
            <w:tcW w:w="966" w:type="pct"/>
            <w:tcBorders>
              <w:top w:val="single" w:sz="4" w:space="0" w:color="auto"/>
              <w:bottom w:val="single" w:sz="4" w:space="0" w:color="auto"/>
            </w:tcBorders>
            <w:shd w:val="clear" w:color="auto" w:fill="auto"/>
            <w:vAlign w:val="bottom"/>
          </w:tcPr>
          <w:p w14:paraId="4FF3EBDA" w14:textId="77777777" w:rsidR="00F61CED" w:rsidRPr="00F61CED" w:rsidRDefault="00F61CED" w:rsidP="00F61CED">
            <w:pPr>
              <w:pStyle w:val="Tabletext"/>
            </w:pPr>
            <w:r w:rsidRPr="00F61CED">
              <w:t>0</w:t>
            </w:r>
            <w:r w:rsidR="00D7157D">
              <w:t>.</w:t>
            </w:r>
            <w:r w:rsidRPr="00F61CED">
              <w:t>6229</w:t>
            </w:r>
          </w:p>
        </w:tc>
        <w:tc>
          <w:tcPr>
            <w:tcW w:w="966" w:type="pct"/>
            <w:tcBorders>
              <w:top w:val="single" w:sz="4" w:space="0" w:color="auto"/>
              <w:bottom w:val="single" w:sz="4" w:space="0" w:color="auto"/>
            </w:tcBorders>
            <w:shd w:val="clear" w:color="auto" w:fill="auto"/>
            <w:vAlign w:val="bottom"/>
          </w:tcPr>
          <w:p w14:paraId="5BABE096" w14:textId="77777777" w:rsidR="00F61CED" w:rsidRPr="00F61CED" w:rsidRDefault="00F61CED" w:rsidP="00F61CED">
            <w:pPr>
              <w:pStyle w:val="Tabletext"/>
            </w:pPr>
            <w:r w:rsidRPr="00F61CED">
              <w:t>15</w:t>
            </w:r>
            <w:r w:rsidR="00D7157D">
              <w:t>.</w:t>
            </w:r>
            <w:r w:rsidRPr="00F61CED">
              <w:t>2966</w:t>
            </w:r>
          </w:p>
        </w:tc>
        <w:tc>
          <w:tcPr>
            <w:tcW w:w="966" w:type="pct"/>
            <w:tcBorders>
              <w:top w:val="single" w:sz="4" w:space="0" w:color="auto"/>
              <w:bottom w:val="single" w:sz="4" w:space="0" w:color="auto"/>
              <w:right w:val="nil"/>
            </w:tcBorders>
            <w:shd w:val="clear" w:color="auto" w:fill="auto"/>
            <w:vAlign w:val="bottom"/>
          </w:tcPr>
          <w:p w14:paraId="6BD3C4E3" w14:textId="77777777" w:rsidR="00F61CED" w:rsidRPr="00F61CED" w:rsidRDefault="00F61CED" w:rsidP="00F61CED">
            <w:pPr>
              <w:pStyle w:val="Tabletext"/>
            </w:pPr>
            <w:r w:rsidRPr="00F61CED">
              <w:t>0</w:t>
            </w:r>
            <w:r w:rsidR="00D7157D">
              <w:t>.</w:t>
            </w:r>
            <w:r w:rsidRPr="00F61CED">
              <w:t>1731</w:t>
            </w:r>
          </w:p>
        </w:tc>
      </w:tr>
      <w:tr w:rsidR="00F61CED" w:rsidRPr="00F61CED" w14:paraId="6362BE4A" w14:textId="77777777" w:rsidTr="00F160E0">
        <w:trPr>
          <w:cantSplit/>
        </w:trPr>
        <w:tc>
          <w:tcPr>
            <w:tcW w:w="1136" w:type="pct"/>
            <w:tcBorders>
              <w:top w:val="single" w:sz="4" w:space="0" w:color="auto"/>
              <w:bottom w:val="single" w:sz="4" w:space="0" w:color="auto"/>
            </w:tcBorders>
          </w:tcPr>
          <w:p w14:paraId="32644E86" w14:textId="77777777" w:rsidR="00F61CED" w:rsidRPr="00F61CED" w:rsidRDefault="00F61CED" w:rsidP="00F61CED">
            <w:pPr>
              <w:pStyle w:val="Tabletext"/>
            </w:pPr>
            <w:r w:rsidRPr="00F61CED">
              <w:t>62</w:t>
            </w:r>
          </w:p>
        </w:tc>
        <w:tc>
          <w:tcPr>
            <w:tcW w:w="966" w:type="pct"/>
            <w:tcBorders>
              <w:top w:val="single" w:sz="4" w:space="0" w:color="auto"/>
              <w:bottom w:val="single" w:sz="4" w:space="0" w:color="auto"/>
            </w:tcBorders>
            <w:shd w:val="clear" w:color="auto" w:fill="auto"/>
            <w:vAlign w:val="bottom"/>
          </w:tcPr>
          <w:p w14:paraId="4D2545F1" w14:textId="77777777" w:rsidR="00F61CED" w:rsidRPr="00F61CED" w:rsidRDefault="00F61CED" w:rsidP="00F61CED">
            <w:pPr>
              <w:pStyle w:val="Tabletext"/>
            </w:pPr>
            <w:r w:rsidRPr="00F61CED">
              <w:t>13</w:t>
            </w:r>
            <w:r w:rsidR="00D7157D">
              <w:t>.</w:t>
            </w:r>
            <w:r w:rsidRPr="00F61CED">
              <w:t>6005</w:t>
            </w:r>
          </w:p>
        </w:tc>
        <w:tc>
          <w:tcPr>
            <w:tcW w:w="966" w:type="pct"/>
            <w:tcBorders>
              <w:top w:val="single" w:sz="4" w:space="0" w:color="auto"/>
              <w:bottom w:val="single" w:sz="4" w:space="0" w:color="auto"/>
            </w:tcBorders>
            <w:shd w:val="clear" w:color="auto" w:fill="auto"/>
            <w:vAlign w:val="bottom"/>
          </w:tcPr>
          <w:p w14:paraId="29F91188" w14:textId="77777777" w:rsidR="00F61CED" w:rsidRPr="00F61CED" w:rsidRDefault="00F61CED" w:rsidP="00F61CED">
            <w:pPr>
              <w:pStyle w:val="Tabletext"/>
            </w:pPr>
            <w:r w:rsidRPr="00F61CED">
              <w:t>0</w:t>
            </w:r>
            <w:r w:rsidR="00D7157D">
              <w:t>.</w:t>
            </w:r>
            <w:r w:rsidRPr="00F61CED">
              <w:t>6280</w:t>
            </w:r>
          </w:p>
        </w:tc>
        <w:tc>
          <w:tcPr>
            <w:tcW w:w="966" w:type="pct"/>
            <w:tcBorders>
              <w:top w:val="single" w:sz="4" w:space="0" w:color="auto"/>
              <w:bottom w:val="single" w:sz="4" w:space="0" w:color="auto"/>
            </w:tcBorders>
            <w:shd w:val="clear" w:color="auto" w:fill="auto"/>
            <w:vAlign w:val="bottom"/>
          </w:tcPr>
          <w:p w14:paraId="53226639" w14:textId="77777777" w:rsidR="00F61CED" w:rsidRPr="00F61CED" w:rsidRDefault="00F61CED" w:rsidP="00F61CED">
            <w:pPr>
              <w:pStyle w:val="Tabletext"/>
            </w:pPr>
            <w:r w:rsidRPr="00F61CED">
              <w:t>14</w:t>
            </w:r>
            <w:r w:rsidR="00D7157D">
              <w:t>.</w:t>
            </w:r>
            <w:r w:rsidRPr="00F61CED">
              <w:t>9250</w:t>
            </w:r>
          </w:p>
        </w:tc>
        <w:tc>
          <w:tcPr>
            <w:tcW w:w="966" w:type="pct"/>
            <w:tcBorders>
              <w:top w:val="single" w:sz="4" w:space="0" w:color="auto"/>
              <w:bottom w:val="single" w:sz="4" w:space="0" w:color="auto"/>
              <w:right w:val="nil"/>
            </w:tcBorders>
            <w:shd w:val="clear" w:color="auto" w:fill="auto"/>
            <w:vAlign w:val="bottom"/>
          </w:tcPr>
          <w:p w14:paraId="69B86E0C" w14:textId="77777777" w:rsidR="00F61CED" w:rsidRPr="00F61CED" w:rsidRDefault="00F61CED" w:rsidP="00F61CED">
            <w:pPr>
              <w:pStyle w:val="Tabletext"/>
            </w:pPr>
            <w:r w:rsidRPr="00F61CED">
              <w:t>0</w:t>
            </w:r>
            <w:r w:rsidR="00D7157D">
              <w:t>.</w:t>
            </w:r>
            <w:r w:rsidRPr="00F61CED">
              <w:t>1743</w:t>
            </w:r>
          </w:p>
        </w:tc>
      </w:tr>
      <w:tr w:rsidR="00F61CED" w:rsidRPr="00F61CED" w14:paraId="0BBE3F82" w14:textId="77777777" w:rsidTr="00F160E0">
        <w:trPr>
          <w:cantSplit/>
        </w:trPr>
        <w:tc>
          <w:tcPr>
            <w:tcW w:w="1136" w:type="pct"/>
            <w:tcBorders>
              <w:top w:val="single" w:sz="4" w:space="0" w:color="auto"/>
              <w:bottom w:val="single" w:sz="4" w:space="0" w:color="auto"/>
            </w:tcBorders>
          </w:tcPr>
          <w:p w14:paraId="5E2B075B" w14:textId="77777777" w:rsidR="00F61CED" w:rsidRPr="00F61CED" w:rsidRDefault="00F61CED" w:rsidP="00F61CED">
            <w:pPr>
              <w:pStyle w:val="Tabletext"/>
            </w:pPr>
            <w:r w:rsidRPr="00F61CED">
              <w:t>63</w:t>
            </w:r>
          </w:p>
        </w:tc>
        <w:tc>
          <w:tcPr>
            <w:tcW w:w="966" w:type="pct"/>
            <w:tcBorders>
              <w:top w:val="single" w:sz="4" w:space="0" w:color="auto"/>
              <w:bottom w:val="single" w:sz="4" w:space="0" w:color="auto"/>
            </w:tcBorders>
            <w:shd w:val="clear" w:color="auto" w:fill="auto"/>
            <w:vAlign w:val="bottom"/>
          </w:tcPr>
          <w:p w14:paraId="33C60C2B" w14:textId="77777777" w:rsidR="00F61CED" w:rsidRPr="00F61CED" w:rsidRDefault="00F61CED" w:rsidP="00F61CED">
            <w:pPr>
              <w:pStyle w:val="Tabletext"/>
            </w:pPr>
            <w:r w:rsidRPr="00F61CED">
              <w:t>13</w:t>
            </w:r>
            <w:r w:rsidR="00D7157D">
              <w:t>.</w:t>
            </w:r>
            <w:r w:rsidRPr="00F61CED">
              <w:t>2393</w:t>
            </w:r>
          </w:p>
        </w:tc>
        <w:tc>
          <w:tcPr>
            <w:tcW w:w="966" w:type="pct"/>
            <w:tcBorders>
              <w:top w:val="single" w:sz="4" w:space="0" w:color="auto"/>
              <w:bottom w:val="single" w:sz="4" w:space="0" w:color="auto"/>
            </w:tcBorders>
            <w:shd w:val="clear" w:color="auto" w:fill="auto"/>
            <w:vAlign w:val="bottom"/>
          </w:tcPr>
          <w:p w14:paraId="4FCDACDB" w14:textId="77777777" w:rsidR="00F61CED" w:rsidRPr="00F61CED" w:rsidRDefault="00F61CED" w:rsidP="00F61CED">
            <w:pPr>
              <w:pStyle w:val="Tabletext"/>
            </w:pPr>
            <w:r w:rsidRPr="00F61CED">
              <w:t>0</w:t>
            </w:r>
            <w:r w:rsidR="00D7157D">
              <w:t>.</w:t>
            </w:r>
            <w:r w:rsidRPr="00F61CED">
              <w:t>6324</w:t>
            </w:r>
          </w:p>
        </w:tc>
        <w:tc>
          <w:tcPr>
            <w:tcW w:w="966" w:type="pct"/>
            <w:tcBorders>
              <w:top w:val="single" w:sz="4" w:space="0" w:color="auto"/>
              <w:bottom w:val="single" w:sz="4" w:space="0" w:color="auto"/>
            </w:tcBorders>
            <w:shd w:val="clear" w:color="auto" w:fill="auto"/>
            <w:vAlign w:val="bottom"/>
          </w:tcPr>
          <w:p w14:paraId="206D223B" w14:textId="77777777" w:rsidR="00F61CED" w:rsidRPr="00F61CED" w:rsidRDefault="00F61CED" w:rsidP="00F61CED">
            <w:pPr>
              <w:pStyle w:val="Tabletext"/>
            </w:pPr>
            <w:r w:rsidRPr="00F61CED">
              <w:t>14</w:t>
            </w:r>
            <w:r w:rsidR="00D7157D">
              <w:t>.</w:t>
            </w:r>
            <w:r w:rsidRPr="00F61CED">
              <w:t>5460</w:t>
            </w:r>
          </w:p>
        </w:tc>
        <w:tc>
          <w:tcPr>
            <w:tcW w:w="966" w:type="pct"/>
            <w:tcBorders>
              <w:top w:val="single" w:sz="4" w:space="0" w:color="auto"/>
              <w:bottom w:val="single" w:sz="4" w:space="0" w:color="auto"/>
              <w:right w:val="nil"/>
            </w:tcBorders>
            <w:shd w:val="clear" w:color="auto" w:fill="auto"/>
            <w:vAlign w:val="bottom"/>
          </w:tcPr>
          <w:p w14:paraId="15C6EEA7" w14:textId="77777777" w:rsidR="00F61CED" w:rsidRPr="00F61CED" w:rsidRDefault="00F61CED" w:rsidP="00F61CED">
            <w:pPr>
              <w:pStyle w:val="Tabletext"/>
            </w:pPr>
            <w:r w:rsidRPr="00F61CED">
              <w:t>0</w:t>
            </w:r>
            <w:r w:rsidR="00D7157D">
              <w:t>.</w:t>
            </w:r>
            <w:r w:rsidRPr="00F61CED">
              <w:t>1755</w:t>
            </w:r>
          </w:p>
        </w:tc>
      </w:tr>
      <w:tr w:rsidR="00F61CED" w:rsidRPr="00F61CED" w14:paraId="675AAB85" w14:textId="77777777" w:rsidTr="00F160E0">
        <w:trPr>
          <w:cantSplit/>
        </w:trPr>
        <w:tc>
          <w:tcPr>
            <w:tcW w:w="1136" w:type="pct"/>
            <w:tcBorders>
              <w:top w:val="single" w:sz="4" w:space="0" w:color="auto"/>
              <w:bottom w:val="single" w:sz="4" w:space="0" w:color="auto"/>
            </w:tcBorders>
          </w:tcPr>
          <w:p w14:paraId="1C97129B" w14:textId="77777777" w:rsidR="00F61CED" w:rsidRPr="00F61CED" w:rsidRDefault="00F61CED" w:rsidP="00F61CED">
            <w:pPr>
              <w:pStyle w:val="Tabletext"/>
            </w:pPr>
            <w:r w:rsidRPr="00F61CED">
              <w:t>64</w:t>
            </w:r>
          </w:p>
        </w:tc>
        <w:tc>
          <w:tcPr>
            <w:tcW w:w="966" w:type="pct"/>
            <w:tcBorders>
              <w:top w:val="single" w:sz="4" w:space="0" w:color="auto"/>
              <w:bottom w:val="single" w:sz="4" w:space="0" w:color="auto"/>
            </w:tcBorders>
            <w:shd w:val="clear" w:color="auto" w:fill="auto"/>
            <w:vAlign w:val="bottom"/>
          </w:tcPr>
          <w:p w14:paraId="6AB17682" w14:textId="77777777" w:rsidR="00F61CED" w:rsidRPr="00F61CED" w:rsidRDefault="00F61CED" w:rsidP="00F61CED">
            <w:pPr>
              <w:pStyle w:val="Tabletext"/>
            </w:pPr>
            <w:r w:rsidRPr="00F61CED">
              <w:t>12</w:t>
            </w:r>
            <w:r w:rsidR="00D7157D">
              <w:t>.</w:t>
            </w:r>
            <w:r w:rsidRPr="00F61CED">
              <w:t>8739</w:t>
            </w:r>
          </w:p>
        </w:tc>
        <w:tc>
          <w:tcPr>
            <w:tcW w:w="966" w:type="pct"/>
            <w:tcBorders>
              <w:top w:val="single" w:sz="4" w:space="0" w:color="auto"/>
              <w:bottom w:val="single" w:sz="4" w:space="0" w:color="auto"/>
            </w:tcBorders>
            <w:shd w:val="clear" w:color="auto" w:fill="auto"/>
            <w:vAlign w:val="bottom"/>
          </w:tcPr>
          <w:p w14:paraId="351C4DE4" w14:textId="77777777" w:rsidR="00F61CED" w:rsidRPr="00F61CED" w:rsidRDefault="00F61CED" w:rsidP="00F61CED">
            <w:pPr>
              <w:pStyle w:val="Tabletext"/>
            </w:pPr>
            <w:r w:rsidRPr="00F61CED">
              <w:t>0</w:t>
            </w:r>
            <w:r w:rsidR="00D7157D">
              <w:t>.</w:t>
            </w:r>
            <w:r w:rsidRPr="00F61CED">
              <w:t>6363</w:t>
            </w:r>
          </w:p>
        </w:tc>
        <w:tc>
          <w:tcPr>
            <w:tcW w:w="966" w:type="pct"/>
            <w:tcBorders>
              <w:top w:val="single" w:sz="4" w:space="0" w:color="auto"/>
              <w:bottom w:val="single" w:sz="4" w:space="0" w:color="auto"/>
            </w:tcBorders>
            <w:shd w:val="clear" w:color="auto" w:fill="auto"/>
            <w:vAlign w:val="bottom"/>
          </w:tcPr>
          <w:p w14:paraId="19E4F68D" w14:textId="77777777" w:rsidR="00F61CED" w:rsidRPr="00F61CED" w:rsidRDefault="00F61CED" w:rsidP="00F61CED">
            <w:pPr>
              <w:pStyle w:val="Tabletext"/>
            </w:pPr>
            <w:r w:rsidRPr="00F61CED">
              <w:t>14</w:t>
            </w:r>
            <w:r w:rsidR="00D7157D">
              <w:t>.</w:t>
            </w:r>
            <w:r w:rsidRPr="00F61CED">
              <w:t>1598</w:t>
            </w:r>
          </w:p>
        </w:tc>
        <w:tc>
          <w:tcPr>
            <w:tcW w:w="966" w:type="pct"/>
            <w:tcBorders>
              <w:top w:val="single" w:sz="4" w:space="0" w:color="auto"/>
              <w:bottom w:val="single" w:sz="4" w:space="0" w:color="auto"/>
              <w:right w:val="nil"/>
            </w:tcBorders>
            <w:shd w:val="clear" w:color="auto" w:fill="auto"/>
            <w:vAlign w:val="bottom"/>
          </w:tcPr>
          <w:p w14:paraId="7FD34713" w14:textId="77777777" w:rsidR="00F61CED" w:rsidRPr="00F61CED" w:rsidRDefault="00F61CED" w:rsidP="00F61CED">
            <w:pPr>
              <w:pStyle w:val="Tabletext"/>
            </w:pPr>
            <w:r w:rsidRPr="00F61CED">
              <w:t>0</w:t>
            </w:r>
            <w:r w:rsidR="00D7157D">
              <w:t>.</w:t>
            </w:r>
            <w:r w:rsidRPr="00F61CED">
              <w:t>1764</w:t>
            </w:r>
          </w:p>
        </w:tc>
      </w:tr>
      <w:tr w:rsidR="00F61CED" w:rsidRPr="00F61CED" w14:paraId="58DCD3FC" w14:textId="77777777" w:rsidTr="00F160E0">
        <w:trPr>
          <w:cantSplit/>
        </w:trPr>
        <w:tc>
          <w:tcPr>
            <w:tcW w:w="1136" w:type="pct"/>
            <w:tcBorders>
              <w:top w:val="single" w:sz="4" w:space="0" w:color="auto"/>
              <w:bottom w:val="single" w:sz="4" w:space="0" w:color="auto"/>
            </w:tcBorders>
          </w:tcPr>
          <w:p w14:paraId="1C7304D4" w14:textId="77777777" w:rsidR="00F61CED" w:rsidRPr="00F61CED" w:rsidRDefault="00F61CED" w:rsidP="00F61CED">
            <w:pPr>
              <w:pStyle w:val="Tabletext"/>
            </w:pPr>
            <w:r w:rsidRPr="00F61CED">
              <w:t>65</w:t>
            </w:r>
          </w:p>
        </w:tc>
        <w:tc>
          <w:tcPr>
            <w:tcW w:w="966" w:type="pct"/>
            <w:tcBorders>
              <w:top w:val="single" w:sz="4" w:space="0" w:color="auto"/>
              <w:bottom w:val="single" w:sz="4" w:space="0" w:color="auto"/>
            </w:tcBorders>
            <w:shd w:val="clear" w:color="auto" w:fill="auto"/>
            <w:vAlign w:val="bottom"/>
          </w:tcPr>
          <w:p w14:paraId="038D07FE" w14:textId="77777777" w:rsidR="00F61CED" w:rsidRPr="00F61CED" w:rsidRDefault="00F61CED" w:rsidP="00F61CED">
            <w:pPr>
              <w:pStyle w:val="Tabletext"/>
            </w:pPr>
            <w:r w:rsidRPr="00F61CED">
              <w:t>12</w:t>
            </w:r>
            <w:r w:rsidR="00D7157D">
              <w:t>.</w:t>
            </w:r>
            <w:r w:rsidRPr="00F61CED">
              <w:t>5048</w:t>
            </w:r>
          </w:p>
        </w:tc>
        <w:tc>
          <w:tcPr>
            <w:tcW w:w="966" w:type="pct"/>
            <w:tcBorders>
              <w:top w:val="single" w:sz="4" w:space="0" w:color="auto"/>
              <w:bottom w:val="single" w:sz="4" w:space="0" w:color="auto"/>
            </w:tcBorders>
            <w:shd w:val="clear" w:color="auto" w:fill="auto"/>
            <w:vAlign w:val="bottom"/>
          </w:tcPr>
          <w:p w14:paraId="54785FFB" w14:textId="77777777" w:rsidR="00F61CED" w:rsidRPr="00F61CED" w:rsidRDefault="00F61CED" w:rsidP="00F61CED">
            <w:pPr>
              <w:pStyle w:val="Tabletext"/>
            </w:pPr>
            <w:r w:rsidRPr="00F61CED">
              <w:t>0</w:t>
            </w:r>
            <w:r w:rsidR="00D7157D">
              <w:t>.</w:t>
            </w:r>
            <w:r w:rsidRPr="00F61CED">
              <w:t>6396</w:t>
            </w:r>
          </w:p>
        </w:tc>
        <w:tc>
          <w:tcPr>
            <w:tcW w:w="966" w:type="pct"/>
            <w:tcBorders>
              <w:top w:val="single" w:sz="4" w:space="0" w:color="auto"/>
              <w:bottom w:val="single" w:sz="4" w:space="0" w:color="auto"/>
            </w:tcBorders>
            <w:shd w:val="clear" w:color="auto" w:fill="auto"/>
            <w:vAlign w:val="bottom"/>
          </w:tcPr>
          <w:p w14:paraId="29070FAE" w14:textId="77777777" w:rsidR="00F61CED" w:rsidRPr="00F61CED" w:rsidRDefault="00F61CED" w:rsidP="00F61CED">
            <w:pPr>
              <w:pStyle w:val="Tabletext"/>
            </w:pPr>
            <w:r w:rsidRPr="00F61CED">
              <w:t>13</w:t>
            </w:r>
            <w:r w:rsidR="00D7157D">
              <w:t>.</w:t>
            </w:r>
            <w:r w:rsidRPr="00F61CED">
              <w:t>7674</w:t>
            </w:r>
          </w:p>
        </w:tc>
        <w:tc>
          <w:tcPr>
            <w:tcW w:w="966" w:type="pct"/>
            <w:tcBorders>
              <w:top w:val="single" w:sz="4" w:space="0" w:color="auto"/>
              <w:bottom w:val="single" w:sz="4" w:space="0" w:color="auto"/>
              <w:right w:val="nil"/>
            </w:tcBorders>
            <w:shd w:val="clear" w:color="auto" w:fill="auto"/>
            <w:vAlign w:val="bottom"/>
          </w:tcPr>
          <w:p w14:paraId="0EF1447B" w14:textId="77777777" w:rsidR="00F61CED" w:rsidRPr="00F61CED" w:rsidRDefault="00F61CED" w:rsidP="00F61CED">
            <w:pPr>
              <w:pStyle w:val="Tabletext"/>
            </w:pPr>
            <w:r w:rsidRPr="00F61CED">
              <w:t>0</w:t>
            </w:r>
            <w:r w:rsidR="00D7157D">
              <w:t>.</w:t>
            </w:r>
            <w:r w:rsidRPr="00F61CED">
              <w:t>1772</w:t>
            </w:r>
          </w:p>
        </w:tc>
      </w:tr>
      <w:tr w:rsidR="00F61CED" w:rsidRPr="00F61CED" w14:paraId="45587DD8" w14:textId="77777777" w:rsidTr="00F160E0">
        <w:trPr>
          <w:cantSplit/>
        </w:trPr>
        <w:tc>
          <w:tcPr>
            <w:tcW w:w="1136" w:type="pct"/>
            <w:tcBorders>
              <w:top w:val="single" w:sz="4" w:space="0" w:color="auto"/>
              <w:bottom w:val="single" w:sz="4" w:space="0" w:color="auto"/>
            </w:tcBorders>
          </w:tcPr>
          <w:p w14:paraId="2ABD5852" w14:textId="77777777" w:rsidR="00F61CED" w:rsidRPr="00F61CED" w:rsidRDefault="00F61CED" w:rsidP="00F61CED">
            <w:pPr>
              <w:pStyle w:val="Tabletext"/>
            </w:pPr>
            <w:r w:rsidRPr="00F61CED">
              <w:t>66</w:t>
            </w:r>
          </w:p>
        </w:tc>
        <w:tc>
          <w:tcPr>
            <w:tcW w:w="966" w:type="pct"/>
            <w:tcBorders>
              <w:top w:val="single" w:sz="4" w:space="0" w:color="auto"/>
              <w:bottom w:val="single" w:sz="4" w:space="0" w:color="auto"/>
            </w:tcBorders>
            <w:shd w:val="clear" w:color="auto" w:fill="auto"/>
            <w:vAlign w:val="bottom"/>
          </w:tcPr>
          <w:p w14:paraId="3CF1F93D" w14:textId="77777777" w:rsidR="00F61CED" w:rsidRPr="00F61CED" w:rsidRDefault="00F61CED" w:rsidP="00F61CED">
            <w:pPr>
              <w:pStyle w:val="Tabletext"/>
            </w:pPr>
            <w:r w:rsidRPr="00F61CED">
              <w:t>12</w:t>
            </w:r>
            <w:r w:rsidR="00D7157D">
              <w:t>.</w:t>
            </w:r>
            <w:r w:rsidRPr="00F61CED">
              <w:t>1330</w:t>
            </w:r>
          </w:p>
        </w:tc>
        <w:tc>
          <w:tcPr>
            <w:tcW w:w="966" w:type="pct"/>
            <w:tcBorders>
              <w:top w:val="single" w:sz="4" w:space="0" w:color="auto"/>
              <w:bottom w:val="single" w:sz="4" w:space="0" w:color="auto"/>
            </w:tcBorders>
            <w:shd w:val="clear" w:color="auto" w:fill="auto"/>
            <w:vAlign w:val="bottom"/>
          </w:tcPr>
          <w:p w14:paraId="29F35C86" w14:textId="77777777" w:rsidR="00F61CED" w:rsidRPr="00F61CED" w:rsidRDefault="00F61CED" w:rsidP="00F61CED">
            <w:pPr>
              <w:pStyle w:val="Tabletext"/>
            </w:pPr>
            <w:r w:rsidRPr="00F61CED">
              <w:t>0</w:t>
            </w:r>
            <w:r w:rsidR="00D7157D">
              <w:t>.</w:t>
            </w:r>
            <w:r w:rsidRPr="00F61CED">
              <w:t>6421</w:t>
            </w:r>
          </w:p>
        </w:tc>
        <w:tc>
          <w:tcPr>
            <w:tcW w:w="966" w:type="pct"/>
            <w:tcBorders>
              <w:top w:val="single" w:sz="4" w:space="0" w:color="auto"/>
              <w:bottom w:val="single" w:sz="4" w:space="0" w:color="auto"/>
            </w:tcBorders>
            <w:shd w:val="clear" w:color="auto" w:fill="auto"/>
            <w:vAlign w:val="bottom"/>
          </w:tcPr>
          <w:p w14:paraId="78313F77" w14:textId="77777777" w:rsidR="00F61CED" w:rsidRPr="00F61CED" w:rsidRDefault="00F61CED" w:rsidP="00F61CED">
            <w:pPr>
              <w:pStyle w:val="Tabletext"/>
            </w:pPr>
            <w:r w:rsidRPr="00F61CED">
              <w:t>13</w:t>
            </w:r>
            <w:r w:rsidR="00D7157D">
              <w:t>.</w:t>
            </w:r>
            <w:r w:rsidRPr="00F61CED">
              <w:t>3693</w:t>
            </w:r>
          </w:p>
        </w:tc>
        <w:tc>
          <w:tcPr>
            <w:tcW w:w="966" w:type="pct"/>
            <w:tcBorders>
              <w:top w:val="single" w:sz="4" w:space="0" w:color="auto"/>
              <w:bottom w:val="single" w:sz="4" w:space="0" w:color="auto"/>
              <w:right w:val="nil"/>
            </w:tcBorders>
            <w:shd w:val="clear" w:color="auto" w:fill="auto"/>
            <w:vAlign w:val="bottom"/>
          </w:tcPr>
          <w:p w14:paraId="145CC0AE" w14:textId="77777777" w:rsidR="00F61CED" w:rsidRPr="00F61CED" w:rsidRDefault="00F61CED" w:rsidP="00F61CED">
            <w:pPr>
              <w:pStyle w:val="Tabletext"/>
            </w:pPr>
            <w:r w:rsidRPr="00F61CED">
              <w:t>0</w:t>
            </w:r>
            <w:r w:rsidR="00D7157D">
              <w:t>.</w:t>
            </w:r>
            <w:r w:rsidRPr="00F61CED">
              <w:t>1778</w:t>
            </w:r>
          </w:p>
        </w:tc>
      </w:tr>
      <w:tr w:rsidR="00F61CED" w:rsidRPr="00F61CED" w14:paraId="6012ED7C" w14:textId="77777777" w:rsidTr="00F160E0">
        <w:trPr>
          <w:cantSplit/>
        </w:trPr>
        <w:tc>
          <w:tcPr>
            <w:tcW w:w="1136" w:type="pct"/>
            <w:tcBorders>
              <w:top w:val="single" w:sz="4" w:space="0" w:color="auto"/>
              <w:bottom w:val="single" w:sz="4" w:space="0" w:color="auto"/>
            </w:tcBorders>
          </w:tcPr>
          <w:p w14:paraId="6EE0AEDE" w14:textId="77777777" w:rsidR="00F61CED" w:rsidRPr="00F61CED" w:rsidRDefault="00F61CED" w:rsidP="00F61CED">
            <w:pPr>
              <w:pStyle w:val="Tabletext"/>
            </w:pPr>
            <w:r w:rsidRPr="00F61CED">
              <w:t>67</w:t>
            </w:r>
          </w:p>
        </w:tc>
        <w:tc>
          <w:tcPr>
            <w:tcW w:w="966" w:type="pct"/>
            <w:tcBorders>
              <w:top w:val="single" w:sz="4" w:space="0" w:color="auto"/>
              <w:bottom w:val="single" w:sz="4" w:space="0" w:color="auto"/>
            </w:tcBorders>
            <w:shd w:val="clear" w:color="auto" w:fill="auto"/>
            <w:vAlign w:val="bottom"/>
          </w:tcPr>
          <w:p w14:paraId="3CA16DF7" w14:textId="77777777" w:rsidR="00F61CED" w:rsidRPr="00F61CED" w:rsidRDefault="00F61CED" w:rsidP="00F61CED">
            <w:pPr>
              <w:pStyle w:val="Tabletext"/>
            </w:pPr>
            <w:r w:rsidRPr="00F61CED">
              <w:t>11</w:t>
            </w:r>
            <w:r w:rsidR="00D7157D">
              <w:t>.</w:t>
            </w:r>
            <w:r w:rsidRPr="00F61CED">
              <w:t>7556</w:t>
            </w:r>
          </w:p>
        </w:tc>
        <w:tc>
          <w:tcPr>
            <w:tcW w:w="966" w:type="pct"/>
            <w:tcBorders>
              <w:top w:val="single" w:sz="4" w:space="0" w:color="auto"/>
              <w:bottom w:val="single" w:sz="4" w:space="0" w:color="auto"/>
            </w:tcBorders>
            <w:shd w:val="clear" w:color="auto" w:fill="auto"/>
            <w:vAlign w:val="bottom"/>
          </w:tcPr>
          <w:p w14:paraId="18046530" w14:textId="77777777" w:rsidR="00F61CED" w:rsidRPr="00F61CED" w:rsidRDefault="00F61CED" w:rsidP="00F61CED">
            <w:pPr>
              <w:pStyle w:val="Tabletext"/>
            </w:pPr>
            <w:r w:rsidRPr="00F61CED">
              <w:t>0</w:t>
            </w:r>
            <w:r w:rsidR="00D7157D">
              <w:t>.</w:t>
            </w:r>
            <w:r w:rsidRPr="00F61CED">
              <w:t>6441</w:t>
            </w:r>
          </w:p>
        </w:tc>
        <w:tc>
          <w:tcPr>
            <w:tcW w:w="966" w:type="pct"/>
            <w:tcBorders>
              <w:top w:val="single" w:sz="4" w:space="0" w:color="auto"/>
              <w:bottom w:val="single" w:sz="4" w:space="0" w:color="auto"/>
            </w:tcBorders>
            <w:shd w:val="clear" w:color="auto" w:fill="auto"/>
            <w:vAlign w:val="bottom"/>
          </w:tcPr>
          <w:p w14:paraId="7BAAAEB6" w14:textId="77777777" w:rsidR="00F61CED" w:rsidRPr="00F61CED" w:rsidRDefault="00F61CED" w:rsidP="00F61CED">
            <w:pPr>
              <w:pStyle w:val="Tabletext"/>
            </w:pPr>
            <w:r w:rsidRPr="00F61CED">
              <w:t>12</w:t>
            </w:r>
            <w:r w:rsidR="00D7157D">
              <w:t>.</w:t>
            </w:r>
            <w:r w:rsidRPr="00F61CED">
              <w:t>9652</w:t>
            </w:r>
          </w:p>
        </w:tc>
        <w:tc>
          <w:tcPr>
            <w:tcW w:w="966" w:type="pct"/>
            <w:tcBorders>
              <w:top w:val="single" w:sz="4" w:space="0" w:color="auto"/>
              <w:bottom w:val="single" w:sz="4" w:space="0" w:color="auto"/>
              <w:right w:val="nil"/>
            </w:tcBorders>
            <w:shd w:val="clear" w:color="auto" w:fill="auto"/>
            <w:vAlign w:val="bottom"/>
          </w:tcPr>
          <w:p w14:paraId="5DFD78DF" w14:textId="77777777" w:rsidR="00F61CED" w:rsidRPr="00F61CED" w:rsidRDefault="00F61CED" w:rsidP="00F61CED">
            <w:pPr>
              <w:pStyle w:val="Tabletext"/>
            </w:pPr>
            <w:r w:rsidRPr="00F61CED">
              <w:t>0</w:t>
            </w:r>
            <w:r w:rsidR="00D7157D">
              <w:t>.</w:t>
            </w:r>
            <w:r w:rsidRPr="00F61CED">
              <w:t>1781</w:t>
            </w:r>
          </w:p>
        </w:tc>
      </w:tr>
      <w:tr w:rsidR="00F61CED" w:rsidRPr="00F61CED" w14:paraId="125C5BD4" w14:textId="77777777" w:rsidTr="00F160E0">
        <w:trPr>
          <w:cantSplit/>
        </w:trPr>
        <w:tc>
          <w:tcPr>
            <w:tcW w:w="1136" w:type="pct"/>
            <w:tcBorders>
              <w:top w:val="single" w:sz="4" w:space="0" w:color="auto"/>
              <w:bottom w:val="single" w:sz="4" w:space="0" w:color="auto"/>
            </w:tcBorders>
          </w:tcPr>
          <w:p w14:paraId="512D8C28" w14:textId="77777777" w:rsidR="00F61CED" w:rsidRPr="00F61CED" w:rsidRDefault="00F61CED" w:rsidP="00F61CED">
            <w:pPr>
              <w:pStyle w:val="Tabletext"/>
            </w:pPr>
            <w:r w:rsidRPr="00F61CED">
              <w:t>68</w:t>
            </w:r>
          </w:p>
        </w:tc>
        <w:tc>
          <w:tcPr>
            <w:tcW w:w="966" w:type="pct"/>
            <w:tcBorders>
              <w:top w:val="single" w:sz="4" w:space="0" w:color="auto"/>
              <w:bottom w:val="single" w:sz="4" w:space="0" w:color="auto"/>
            </w:tcBorders>
            <w:shd w:val="clear" w:color="auto" w:fill="auto"/>
            <w:vAlign w:val="bottom"/>
          </w:tcPr>
          <w:p w14:paraId="5B66B9C4" w14:textId="77777777" w:rsidR="00F61CED" w:rsidRPr="00F61CED" w:rsidRDefault="00F61CED" w:rsidP="00F61CED">
            <w:pPr>
              <w:pStyle w:val="Tabletext"/>
            </w:pPr>
            <w:r w:rsidRPr="00F61CED">
              <w:t>11</w:t>
            </w:r>
            <w:r w:rsidR="00D7157D">
              <w:t>.</w:t>
            </w:r>
            <w:r w:rsidRPr="00F61CED">
              <w:t>3737</w:t>
            </w:r>
          </w:p>
        </w:tc>
        <w:tc>
          <w:tcPr>
            <w:tcW w:w="966" w:type="pct"/>
            <w:tcBorders>
              <w:top w:val="single" w:sz="4" w:space="0" w:color="auto"/>
              <w:bottom w:val="single" w:sz="4" w:space="0" w:color="auto"/>
            </w:tcBorders>
            <w:shd w:val="clear" w:color="auto" w:fill="auto"/>
            <w:vAlign w:val="bottom"/>
          </w:tcPr>
          <w:p w14:paraId="0EF168E0" w14:textId="77777777" w:rsidR="00F61CED" w:rsidRPr="00F61CED" w:rsidRDefault="00F61CED" w:rsidP="00F61CED">
            <w:pPr>
              <w:pStyle w:val="Tabletext"/>
            </w:pPr>
            <w:r w:rsidRPr="00F61CED">
              <w:t>0</w:t>
            </w:r>
            <w:r w:rsidR="00D7157D">
              <w:t>.</w:t>
            </w:r>
            <w:r w:rsidRPr="00F61CED">
              <w:t>6455</w:t>
            </w:r>
          </w:p>
        </w:tc>
        <w:tc>
          <w:tcPr>
            <w:tcW w:w="966" w:type="pct"/>
            <w:tcBorders>
              <w:top w:val="single" w:sz="4" w:space="0" w:color="auto"/>
              <w:bottom w:val="single" w:sz="4" w:space="0" w:color="auto"/>
            </w:tcBorders>
            <w:shd w:val="clear" w:color="auto" w:fill="auto"/>
            <w:vAlign w:val="bottom"/>
          </w:tcPr>
          <w:p w14:paraId="5E511697" w14:textId="77777777" w:rsidR="00F61CED" w:rsidRPr="00F61CED" w:rsidRDefault="00F61CED" w:rsidP="00F61CED">
            <w:pPr>
              <w:pStyle w:val="Tabletext"/>
            </w:pPr>
            <w:r w:rsidRPr="00F61CED">
              <w:t>12</w:t>
            </w:r>
            <w:r w:rsidR="00D7157D">
              <w:t>.</w:t>
            </w:r>
            <w:r w:rsidRPr="00F61CED">
              <w:t>5556</w:t>
            </w:r>
          </w:p>
        </w:tc>
        <w:tc>
          <w:tcPr>
            <w:tcW w:w="966" w:type="pct"/>
            <w:tcBorders>
              <w:top w:val="single" w:sz="4" w:space="0" w:color="auto"/>
              <w:bottom w:val="single" w:sz="4" w:space="0" w:color="auto"/>
              <w:right w:val="nil"/>
            </w:tcBorders>
            <w:shd w:val="clear" w:color="auto" w:fill="auto"/>
            <w:vAlign w:val="bottom"/>
          </w:tcPr>
          <w:p w14:paraId="67DC880D" w14:textId="77777777" w:rsidR="00F61CED" w:rsidRPr="00F61CED" w:rsidRDefault="00F61CED" w:rsidP="00F61CED">
            <w:pPr>
              <w:pStyle w:val="Tabletext"/>
            </w:pPr>
            <w:r w:rsidRPr="00F61CED">
              <w:t>0</w:t>
            </w:r>
            <w:r w:rsidR="00D7157D">
              <w:t>.</w:t>
            </w:r>
            <w:r w:rsidRPr="00F61CED">
              <w:t>1783</w:t>
            </w:r>
          </w:p>
        </w:tc>
      </w:tr>
      <w:tr w:rsidR="00F61CED" w:rsidRPr="00F61CED" w14:paraId="621ECB72" w14:textId="77777777" w:rsidTr="00F160E0">
        <w:trPr>
          <w:cantSplit/>
        </w:trPr>
        <w:tc>
          <w:tcPr>
            <w:tcW w:w="1136" w:type="pct"/>
            <w:tcBorders>
              <w:top w:val="single" w:sz="4" w:space="0" w:color="auto"/>
              <w:bottom w:val="single" w:sz="4" w:space="0" w:color="auto"/>
            </w:tcBorders>
          </w:tcPr>
          <w:p w14:paraId="7C3B8637" w14:textId="77777777" w:rsidR="00F61CED" w:rsidRPr="00F61CED" w:rsidRDefault="00F61CED" w:rsidP="00F61CED">
            <w:pPr>
              <w:pStyle w:val="Tabletext"/>
            </w:pPr>
            <w:r w:rsidRPr="00F61CED">
              <w:t>69</w:t>
            </w:r>
          </w:p>
        </w:tc>
        <w:tc>
          <w:tcPr>
            <w:tcW w:w="966" w:type="pct"/>
            <w:tcBorders>
              <w:top w:val="single" w:sz="4" w:space="0" w:color="auto"/>
              <w:bottom w:val="single" w:sz="4" w:space="0" w:color="auto"/>
            </w:tcBorders>
            <w:shd w:val="clear" w:color="auto" w:fill="auto"/>
            <w:vAlign w:val="bottom"/>
          </w:tcPr>
          <w:p w14:paraId="1298E0A6" w14:textId="77777777" w:rsidR="00F61CED" w:rsidRPr="00F61CED" w:rsidRDefault="00F61CED" w:rsidP="00F61CED">
            <w:pPr>
              <w:pStyle w:val="Tabletext"/>
            </w:pPr>
            <w:r w:rsidRPr="00F61CED">
              <w:t>10</w:t>
            </w:r>
            <w:r w:rsidR="00D7157D">
              <w:t>.</w:t>
            </w:r>
            <w:r w:rsidRPr="00F61CED">
              <w:t>9882</w:t>
            </w:r>
          </w:p>
        </w:tc>
        <w:tc>
          <w:tcPr>
            <w:tcW w:w="966" w:type="pct"/>
            <w:tcBorders>
              <w:top w:val="single" w:sz="4" w:space="0" w:color="auto"/>
              <w:bottom w:val="single" w:sz="4" w:space="0" w:color="auto"/>
            </w:tcBorders>
            <w:shd w:val="clear" w:color="auto" w:fill="auto"/>
            <w:vAlign w:val="bottom"/>
          </w:tcPr>
          <w:p w14:paraId="0DEEECBE" w14:textId="77777777" w:rsidR="00F61CED" w:rsidRPr="00F61CED" w:rsidRDefault="00F61CED" w:rsidP="00F61CED">
            <w:pPr>
              <w:pStyle w:val="Tabletext"/>
            </w:pPr>
            <w:r w:rsidRPr="00F61CED">
              <w:t>0</w:t>
            </w:r>
            <w:r w:rsidR="00D7157D">
              <w:t>.</w:t>
            </w:r>
            <w:r w:rsidRPr="00F61CED">
              <w:t>6462</w:t>
            </w:r>
          </w:p>
        </w:tc>
        <w:tc>
          <w:tcPr>
            <w:tcW w:w="966" w:type="pct"/>
            <w:tcBorders>
              <w:top w:val="single" w:sz="4" w:space="0" w:color="auto"/>
              <w:bottom w:val="single" w:sz="4" w:space="0" w:color="auto"/>
            </w:tcBorders>
            <w:shd w:val="clear" w:color="auto" w:fill="auto"/>
            <w:vAlign w:val="bottom"/>
          </w:tcPr>
          <w:p w14:paraId="21FCDD7D" w14:textId="77777777" w:rsidR="00F61CED" w:rsidRPr="00F61CED" w:rsidRDefault="00F61CED" w:rsidP="00F61CED">
            <w:pPr>
              <w:pStyle w:val="Tabletext"/>
            </w:pPr>
            <w:r w:rsidRPr="00F61CED">
              <w:t>12</w:t>
            </w:r>
            <w:r w:rsidR="00D7157D">
              <w:t>.</w:t>
            </w:r>
            <w:r w:rsidRPr="00F61CED">
              <w:t>1417</w:t>
            </w:r>
          </w:p>
        </w:tc>
        <w:tc>
          <w:tcPr>
            <w:tcW w:w="966" w:type="pct"/>
            <w:tcBorders>
              <w:top w:val="single" w:sz="4" w:space="0" w:color="auto"/>
              <w:bottom w:val="single" w:sz="4" w:space="0" w:color="auto"/>
              <w:right w:val="nil"/>
            </w:tcBorders>
            <w:shd w:val="clear" w:color="auto" w:fill="auto"/>
            <w:vAlign w:val="bottom"/>
          </w:tcPr>
          <w:p w14:paraId="7CC9BB2E" w14:textId="77777777" w:rsidR="00F61CED" w:rsidRPr="00F61CED" w:rsidRDefault="00F61CED" w:rsidP="00F61CED">
            <w:pPr>
              <w:pStyle w:val="Tabletext"/>
            </w:pPr>
            <w:r w:rsidRPr="00F61CED">
              <w:t>0</w:t>
            </w:r>
            <w:r w:rsidR="00D7157D">
              <w:t>.</w:t>
            </w:r>
            <w:r w:rsidRPr="00F61CED">
              <w:t>1781</w:t>
            </w:r>
          </w:p>
        </w:tc>
      </w:tr>
      <w:tr w:rsidR="00F61CED" w:rsidRPr="00F61CED" w14:paraId="1A398E76" w14:textId="77777777" w:rsidTr="00F160E0">
        <w:trPr>
          <w:cantSplit/>
        </w:trPr>
        <w:tc>
          <w:tcPr>
            <w:tcW w:w="1136" w:type="pct"/>
            <w:tcBorders>
              <w:top w:val="single" w:sz="4" w:space="0" w:color="auto"/>
              <w:bottom w:val="single" w:sz="4" w:space="0" w:color="auto"/>
            </w:tcBorders>
          </w:tcPr>
          <w:p w14:paraId="526FB871" w14:textId="77777777" w:rsidR="00F61CED" w:rsidRPr="00F61CED" w:rsidRDefault="00F61CED" w:rsidP="00F61CED">
            <w:pPr>
              <w:pStyle w:val="Tabletext"/>
            </w:pPr>
            <w:r w:rsidRPr="00F61CED">
              <w:t>70</w:t>
            </w:r>
          </w:p>
        </w:tc>
        <w:tc>
          <w:tcPr>
            <w:tcW w:w="966" w:type="pct"/>
            <w:tcBorders>
              <w:top w:val="single" w:sz="4" w:space="0" w:color="auto"/>
              <w:bottom w:val="single" w:sz="4" w:space="0" w:color="auto"/>
            </w:tcBorders>
            <w:shd w:val="clear" w:color="auto" w:fill="auto"/>
            <w:vAlign w:val="bottom"/>
          </w:tcPr>
          <w:p w14:paraId="2303B3B3" w14:textId="77777777" w:rsidR="00F61CED" w:rsidRPr="00F61CED" w:rsidRDefault="00F61CED" w:rsidP="00F61CED">
            <w:pPr>
              <w:pStyle w:val="Tabletext"/>
            </w:pPr>
            <w:r w:rsidRPr="00F61CED">
              <w:t>10</w:t>
            </w:r>
            <w:r w:rsidR="00D7157D">
              <w:t>.</w:t>
            </w:r>
            <w:r w:rsidRPr="00F61CED">
              <w:t>5998</w:t>
            </w:r>
          </w:p>
        </w:tc>
        <w:tc>
          <w:tcPr>
            <w:tcW w:w="966" w:type="pct"/>
            <w:tcBorders>
              <w:top w:val="single" w:sz="4" w:space="0" w:color="auto"/>
              <w:bottom w:val="single" w:sz="4" w:space="0" w:color="auto"/>
            </w:tcBorders>
            <w:shd w:val="clear" w:color="auto" w:fill="auto"/>
            <w:vAlign w:val="bottom"/>
          </w:tcPr>
          <w:p w14:paraId="60119C0A" w14:textId="77777777" w:rsidR="00F61CED" w:rsidRPr="00F61CED" w:rsidRDefault="00F61CED" w:rsidP="00F61CED">
            <w:pPr>
              <w:pStyle w:val="Tabletext"/>
            </w:pPr>
            <w:r w:rsidRPr="00F61CED">
              <w:t>0</w:t>
            </w:r>
            <w:r w:rsidR="00D7157D">
              <w:t>.</w:t>
            </w:r>
            <w:r w:rsidRPr="00F61CED">
              <w:t>6461</w:t>
            </w:r>
          </w:p>
        </w:tc>
        <w:tc>
          <w:tcPr>
            <w:tcW w:w="966" w:type="pct"/>
            <w:tcBorders>
              <w:top w:val="single" w:sz="4" w:space="0" w:color="auto"/>
              <w:bottom w:val="single" w:sz="4" w:space="0" w:color="auto"/>
            </w:tcBorders>
            <w:shd w:val="clear" w:color="auto" w:fill="auto"/>
            <w:vAlign w:val="bottom"/>
          </w:tcPr>
          <w:p w14:paraId="1E9C0673" w14:textId="77777777" w:rsidR="00F61CED" w:rsidRPr="00F61CED" w:rsidRDefault="00F61CED" w:rsidP="00F61CED">
            <w:pPr>
              <w:pStyle w:val="Tabletext"/>
            </w:pPr>
            <w:r w:rsidRPr="00F61CED">
              <w:t>11</w:t>
            </w:r>
            <w:r w:rsidR="00D7157D">
              <w:t>.</w:t>
            </w:r>
            <w:r w:rsidRPr="00F61CED">
              <w:t>7239</w:t>
            </w:r>
          </w:p>
        </w:tc>
        <w:tc>
          <w:tcPr>
            <w:tcW w:w="966" w:type="pct"/>
            <w:tcBorders>
              <w:top w:val="single" w:sz="4" w:space="0" w:color="auto"/>
              <w:bottom w:val="single" w:sz="4" w:space="0" w:color="auto"/>
              <w:right w:val="nil"/>
            </w:tcBorders>
            <w:shd w:val="clear" w:color="auto" w:fill="auto"/>
            <w:vAlign w:val="bottom"/>
          </w:tcPr>
          <w:p w14:paraId="62B022F2" w14:textId="77777777" w:rsidR="00F61CED" w:rsidRPr="00F61CED" w:rsidRDefault="00F61CED" w:rsidP="00F61CED">
            <w:pPr>
              <w:pStyle w:val="Tabletext"/>
            </w:pPr>
            <w:r w:rsidRPr="00F61CED">
              <w:t>0</w:t>
            </w:r>
            <w:r w:rsidR="00D7157D">
              <w:t>.</w:t>
            </w:r>
            <w:r w:rsidRPr="00F61CED">
              <w:t>1777</w:t>
            </w:r>
          </w:p>
        </w:tc>
      </w:tr>
      <w:tr w:rsidR="00F61CED" w:rsidRPr="00F61CED" w14:paraId="0BD762F0" w14:textId="77777777" w:rsidTr="00F160E0">
        <w:trPr>
          <w:cantSplit/>
        </w:trPr>
        <w:tc>
          <w:tcPr>
            <w:tcW w:w="1136" w:type="pct"/>
            <w:tcBorders>
              <w:top w:val="single" w:sz="4" w:space="0" w:color="auto"/>
              <w:bottom w:val="single" w:sz="4" w:space="0" w:color="auto"/>
            </w:tcBorders>
          </w:tcPr>
          <w:p w14:paraId="2D1AF19A" w14:textId="77777777" w:rsidR="00F61CED" w:rsidRPr="00F61CED" w:rsidRDefault="00F61CED" w:rsidP="00F61CED">
            <w:pPr>
              <w:pStyle w:val="Tabletext"/>
            </w:pPr>
            <w:r w:rsidRPr="00F61CED">
              <w:t>71</w:t>
            </w:r>
          </w:p>
        </w:tc>
        <w:tc>
          <w:tcPr>
            <w:tcW w:w="966" w:type="pct"/>
            <w:tcBorders>
              <w:top w:val="single" w:sz="4" w:space="0" w:color="auto"/>
              <w:bottom w:val="single" w:sz="4" w:space="0" w:color="auto"/>
            </w:tcBorders>
            <w:shd w:val="clear" w:color="auto" w:fill="auto"/>
            <w:vAlign w:val="bottom"/>
          </w:tcPr>
          <w:p w14:paraId="7DB36547" w14:textId="77777777" w:rsidR="00F61CED" w:rsidRPr="00F61CED" w:rsidRDefault="00F61CED" w:rsidP="00F61CED">
            <w:pPr>
              <w:pStyle w:val="Tabletext"/>
            </w:pPr>
            <w:r w:rsidRPr="00F61CED">
              <w:t>10</w:t>
            </w:r>
            <w:r w:rsidR="00D7157D">
              <w:t>.</w:t>
            </w:r>
            <w:r w:rsidRPr="00F61CED">
              <w:t>2096</w:t>
            </w:r>
          </w:p>
        </w:tc>
        <w:tc>
          <w:tcPr>
            <w:tcW w:w="966" w:type="pct"/>
            <w:tcBorders>
              <w:top w:val="single" w:sz="4" w:space="0" w:color="auto"/>
              <w:bottom w:val="single" w:sz="4" w:space="0" w:color="auto"/>
            </w:tcBorders>
            <w:shd w:val="clear" w:color="auto" w:fill="auto"/>
            <w:vAlign w:val="bottom"/>
          </w:tcPr>
          <w:p w14:paraId="664147CE" w14:textId="77777777" w:rsidR="00F61CED" w:rsidRPr="00F61CED" w:rsidRDefault="00F61CED" w:rsidP="00F61CED">
            <w:pPr>
              <w:pStyle w:val="Tabletext"/>
            </w:pPr>
            <w:r w:rsidRPr="00F61CED">
              <w:t>0</w:t>
            </w:r>
            <w:r w:rsidR="00D7157D">
              <w:t>.</w:t>
            </w:r>
            <w:r w:rsidRPr="00F61CED">
              <w:t>6452</w:t>
            </w:r>
          </w:p>
        </w:tc>
        <w:tc>
          <w:tcPr>
            <w:tcW w:w="966" w:type="pct"/>
            <w:tcBorders>
              <w:top w:val="single" w:sz="4" w:space="0" w:color="auto"/>
              <w:bottom w:val="single" w:sz="4" w:space="0" w:color="auto"/>
            </w:tcBorders>
            <w:shd w:val="clear" w:color="auto" w:fill="auto"/>
            <w:vAlign w:val="bottom"/>
          </w:tcPr>
          <w:p w14:paraId="716CA324" w14:textId="77777777" w:rsidR="00F61CED" w:rsidRPr="00F61CED" w:rsidRDefault="00F61CED" w:rsidP="00F61CED">
            <w:pPr>
              <w:pStyle w:val="Tabletext"/>
            </w:pPr>
            <w:r w:rsidRPr="00F61CED">
              <w:t>11</w:t>
            </w:r>
            <w:r w:rsidR="00D7157D">
              <w:t>.</w:t>
            </w:r>
            <w:r w:rsidRPr="00F61CED">
              <w:t>3030</w:t>
            </w:r>
          </w:p>
        </w:tc>
        <w:tc>
          <w:tcPr>
            <w:tcW w:w="966" w:type="pct"/>
            <w:tcBorders>
              <w:top w:val="single" w:sz="4" w:space="0" w:color="auto"/>
              <w:bottom w:val="single" w:sz="4" w:space="0" w:color="auto"/>
              <w:right w:val="nil"/>
            </w:tcBorders>
            <w:shd w:val="clear" w:color="auto" w:fill="auto"/>
            <w:vAlign w:val="bottom"/>
          </w:tcPr>
          <w:p w14:paraId="6FBB9F33" w14:textId="77777777" w:rsidR="00F61CED" w:rsidRPr="00F61CED" w:rsidRDefault="00F61CED" w:rsidP="00F61CED">
            <w:pPr>
              <w:pStyle w:val="Tabletext"/>
            </w:pPr>
            <w:r w:rsidRPr="00F61CED">
              <w:t>0</w:t>
            </w:r>
            <w:r w:rsidR="00D7157D">
              <w:t>.</w:t>
            </w:r>
            <w:r w:rsidRPr="00F61CED">
              <w:t>1770</w:t>
            </w:r>
          </w:p>
        </w:tc>
      </w:tr>
      <w:tr w:rsidR="00F61CED" w:rsidRPr="00F61CED" w14:paraId="43815287" w14:textId="77777777" w:rsidTr="00F160E0">
        <w:trPr>
          <w:cantSplit/>
        </w:trPr>
        <w:tc>
          <w:tcPr>
            <w:tcW w:w="1136" w:type="pct"/>
            <w:tcBorders>
              <w:top w:val="single" w:sz="4" w:space="0" w:color="auto"/>
              <w:bottom w:val="single" w:sz="4" w:space="0" w:color="auto"/>
            </w:tcBorders>
          </w:tcPr>
          <w:p w14:paraId="60FB4AF5" w14:textId="77777777" w:rsidR="00F61CED" w:rsidRPr="00F61CED" w:rsidRDefault="00F61CED" w:rsidP="00F61CED">
            <w:pPr>
              <w:pStyle w:val="Tabletext"/>
            </w:pPr>
            <w:r w:rsidRPr="00F61CED">
              <w:t>72</w:t>
            </w:r>
          </w:p>
        </w:tc>
        <w:tc>
          <w:tcPr>
            <w:tcW w:w="966" w:type="pct"/>
            <w:tcBorders>
              <w:top w:val="single" w:sz="4" w:space="0" w:color="auto"/>
              <w:bottom w:val="single" w:sz="4" w:space="0" w:color="auto"/>
            </w:tcBorders>
            <w:shd w:val="clear" w:color="auto" w:fill="auto"/>
            <w:vAlign w:val="bottom"/>
          </w:tcPr>
          <w:p w14:paraId="23777491" w14:textId="77777777" w:rsidR="00F61CED" w:rsidRPr="00F61CED" w:rsidRDefault="00F61CED" w:rsidP="00F61CED">
            <w:pPr>
              <w:pStyle w:val="Tabletext"/>
            </w:pPr>
            <w:r w:rsidRPr="00F61CED">
              <w:t>9</w:t>
            </w:r>
            <w:r w:rsidR="00D7157D">
              <w:t>.</w:t>
            </w:r>
            <w:r w:rsidRPr="00F61CED">
              <w:t>8183</w:t>
            </w:r>
          </w:p>
        </w:tc>
        <w:tc>
          <w:tcPr>
            <w:tcW w:w="966" w:type="pct"/>
            <w:tcBorders>
              <w:top w:val="single" w:sz="4" w:space="0" w:color="auto"/>
              <w:bottom w:val="single" w:sz="4" w:space="0" w:color="auto"/>
            </w:tcBorders>
            <w:shd w:val="clear" w:color="auto" w:fill="auto"/>
            <w:vAlign w:val="bottom"/>
          </w:tcPr>
          <w:p w14:paraId="38BFB72B" w14:textId="77777777" w:rsidR="00F61CED" w:rsidRPr="00F61CED" w:rsidRDefault="00F61CED" w:rsidP="00F61CED">
            <w:pPr>
              <w:pStyle w:val="Tabletext"/>
            </w:pPr>
            <w:r w:rsidRPr="00F61CED">
              <w:t>0</w:t>
            </w:r>
            <w:r w:rsidR="00D7157D">
              <w:t>.</w:t>
            </w:r>
            <w:r w:rsidRPr="00F61CED">
              <w:t>6433</w:t>
            </w:r>
          </w:p>
        </w:tc>
        <w:tc>
          <w:tcPr>
            <w:tcW w:w="966" w:type="pct"/>
            <w:tcBorders>
              <w:top w:val="single" w:sz="4" w:space="0" w:color="auto"/>
              <w:bottom w:val="single" w:sz="4" w:space="0" w:color="auto"/>
            </w:tcBorders>
            <w:shd w:val="clear" w:color="auto" w:fill="auto"/>
            <w:vAlign w:val="bottom"/>
          </w:tcPr>
          <w:p w14:paraId="2DE2B3F4" w14:textId="77777777" w:rsidR="00F61CED" w:rsidRPr="00F61CED" w:rsidRDefault="00F61CED" w:rsidP="00F61CED">
            <w:pPr>
              <w:pStyle w:val="Tabletext"/>
            </w:pPr>
            <w:r w:rsidRPr="00F61CED">
              <w:t>10</w:t>
            </w:r>
            <w:r w:rsidR="00D7157D">
              <w:t>.</w:t>
            </w:r>
            <w:r w:rsidRPr="00F61CED">
              <w:t>8788</w:t>
            </w:r>
          </w:p>
        </w:tc>
        <w:tc>
          <w:tcPr>
            <w:tcW w:w="966" w:type="pct"/>
            <w:tcBorders>
              <w:top w:val="single" w:sz="4" w:space="0" w:color="auto"/>
              <w:bottom w:val="single" w:sz="4" w:space="0" w:color="auto"/>
              <w:right w:val="nil"/>
            </w:tcBorders>
            <w:shd w:val="clear" w:color="auto" w:fill="auto"/>
            <w:vAlign w:val="bottom"/>
          </w:tcPr>
          <w:p w14:paraId="6D1E6E7B" w14:textId="77777777" w:rsidR="00F61CED" w:rsidRPr="00F61CED" w:rsidRDefault="00F61CED" w:rsidP="00F61CED">
            <w:pPr>
              <w:pStyle w:val="Tabletext"/>
            </w:pPr>
            <w:r w:rsidRPr="00F61CED">
              <w:t>0</w:t>
            </w:r>
            <w:r w:rsidR="00D7157D">
              <w:t>.</w:t>
            </w:r>
            <w:r w:rsidRPr="00F61CED">
              <w:t>1760</w:t>
            </w:r>
          </w:p>
        </w:tc>
      </w:tr>
      <w:tr w:rsidR="00F61CED" w:rsidRPr="00F61CED" w14:paraId="794DF262" w14:textId="77777777" w:rsidTr="00F160E0">
        <w:trPr>
          <w:cantSplit/>
        </w:trPr>
        <w:tc>
          <w:tcPr>
            <w:tcW w:w="1136" w:type="pct"/>
            <w:tcBorders>
              <w:top w:val="single" w:sz="4" w:space="0" w:color="auto"/>
              <w:bottom w:val="single" w:sz="4" w:space="0" w:color="auto"/>
            </w:tcBorders>
          </w:tcPr>
          <w:p w14:paraId="5347E9F8" w14:textId="77777777" w:rsidR="00F61CED" w:rsidRPr="00F61CED" w:rsidRDefault="00F61CED" w:rsidP="00F61CED">
            <w:pPr>
              <w:pStyle w:val="Tabletext"/>
            </w:pPr>
            <w:r w:rsidRPr="00F61CED">
              <w:t>73</w:t>
            </w:r>
          </w:p>
        </w:tc>
        <w:tc>
          <w:tcPr>
            <w:tcW w:w="966" w:type="pct"/>
            <w:tcBorders>
              <w:top w:val="single" w:sz="4" w:space="0" w:color="auto"/>
              <w:bottom w:val="single" w:sz="4" w:space="0" w:color="auto"/>
            </w:tcBorders>
            <w:shd w:val="clear" w:color="auto" w:fill="auto"/>
            <w:vAlign w:val="bottom"/>
          </w:tcPr>
          <w:p w14:paraId="08E7C2A3" w14:textId="77777777" w:rsidR="00F61CED" w:rsidRPr="00F61CED" w:rsidRDefault="00F61CED" w:rsidP="00F61CED">
            <w:pPr>
              <w:pStyle w:val="Tabletext"/>
            </w:pPr>
            <w:r w:rsidRPr="00F61CED">
              <w:t>9</w:t>
            </w:r>
            <w:r w:rsidR="00D7157D">
              <w:t>.</w:t>
            </w:r>
            <w:r w:rsidRPr="00F61CED">
              <w:t>4265</w:t>
            </w:r>
          </w:p>
        </w:tc>
        <w:tc>
          <w:tcPr>
            <w:tcW w:w="966" w:type="pct"/>
            <w:tcBorders>
              <w:top w:val="single" w:sz="4" w:space="0" w:color="auto"/>
              <w:bottom w:val="single" w:sz="4" w:space="0" w:color="auto"/>
            </w:tcBorders>
            <w:shd w:val="clear" w:color="auto" w:fill="auto"/>
            <w:vAlign w:val="bottom"/>
          </w:tcPr>
          <w:p w14:paraId="3E229E23" w14:textId="77777777" w:rsidR="00F61CED" w:rsidRPr="00F61CED" w:rsidRDefault="00F61CED" w:rsidP="00F61CED">
            <w:pPr>
              <w:pStyle w:val="Tabletext"/>
            </w:pPr>
            <w:r w:rsidRPr="00F61CED">
              <w:t>0</w:t>
            </w:r>
            <w:r w:rsidR="00D7157D">
              <w:t>.</w:t>
            </w:r>
            <w:r w:rsidRPr="00F61CED">
              <w:t>6404</w:t>
            </w:r>
          </w:p>
        </w:tc>
        <w:tc>
          <w:tcPr>
            <w:tcW w:w="966" w:type="pct"/>
            <w:tcBorders>
              <w:top w:val="single" w:sz="4" w:space="0" w:color="auto"/>
              <w:bottom w:val="single" w:sz="4" w:space="0" w:color="auto"/>
            </w:tcBorders>
            <w:shd w:val="clear" w:color="auto" w:fill="auto"/>
            <w:vAlign w:val="bottom"/>
          </w:tcPr>
          <w:p w14:paraId="51198406" w14:textId="77777777" w:rsidR="00F61CED" w:rsidRPr="00F61CED" w:rsidRDefault="00F61CED" w:rsidP="00F61CED">
            <w:pPr>
              <w:pStyle w:val="Tabletext"/>
            </w:pPr>
            <w:r w:rsidRPr="00F61CED">
              <w:t>10</w:t>
            </w:r>
            <w:r w:rsidR="00D7157D">
              <w:t>.</w:t>
            </w:r>
            <w:r w:rsidRPr="00F61CED">
              <w:t>4530</w:t>
            </w:r>
          </w:p>
        </w:tc>
        <w:tc>
          <w:tcPr>
            <w:tcW w:w="966" w:type="pct"/>
            <w:tcBorders>
              <w:top w:val="single" w:sz="4" w:space="0" w:color="auto"/>
              <w:bottom w:val="single" w:sz="4" w:space="0" w:color="auto"/>
              <w:right w:val="nil"/>
            </w:tcBorders>
            <w:shd w:val="clear" w:color="auto" w:fill="auto"/>
            <w:vAlign w:val="bottom"/>
          </w:tcPr>
          <w:p w14:paraId="5AEAB5D1" w14:textId="77777777" w:rsidR="00F61CED" w:rsidRPr="00F61CED" w:rsidRDefault="00F61CED" w:rsidP="00F61CED">
            <w:pPr>
              <w:pStyle w:val="Tabletext"/>
            </w:pPr>
            <w:r w:rsidRPr="00F61CED">
              <w:t>0</w:t>
            </w:r>
            <w:r w:rsidR="00D7157D">
              <w:t>.</w:t>
            </w:r>
            <w:r w:rsidRPr="00F61CED">
              <w:t>1748</w:t>
            </w:r>
          </w:p>
        </w:tc>
      </w:tr>
      <w:tr w:rsidR="00F61CED" w:rsidRPr="00F61CED" w14:paraId="1C578A58" w14:textId="77777777" w:rsidTr="00F160E0">
        <w:trPr>
          <w:cantSplit/>
        </w:trPr>
        <w:tc>
          <w:tcPr>
            <w:tcW w:w="1136" w:type="pct"/>
            <w:tcBorders>
              <w:top w:val="single" w:sz="4" w:space="0" w:color="auto"/>
              <w:bottom w:val="single" w:sz="4" w:space="0" w:color="auto"/>
            </w:tcBorders>
          </w:tcPr>
          <w:p w14:paraId="3E58832D" w14:textId="77777777" w:rsidR="00F61CED" w:rsidRPr="00F61CED" w:rsidRDefault="00F61CED" w:rsidP="00F61CED">
            <w:pPr>
              <w:pStyle w:val="Tabletext"/>
            </w:pPr>
            <w:r w:rsidRPr="00F61CED">
              <w:t>74</w:t>
            </w:r>
          </w:p>
        </w:tc>
        <w:tc>
          <w:tcPr>
            <w:tcW w:w="966" w:type="pct"/>
            <w:tcBorders>
              <w:top w:val="single" w:sz="4" w:space="0" w:color="auto"/>
              <w:bottom w:val="single" w:sz="4" w:space="0" w:color="auto"/>
            </w:tcBorders>
            <w:shd w:val="clear" w:color="auto" w:fill="auto"/>
            <w:vAlign w:val="bottom"/>
          </w:tcPr>
          <w:p w14:paraId="64AD2CA3" w14:textId="77777777" w:rsidR="00F61CED" w:rsidRPr="00F61CED" w:rsidRDefault="00F61CED" w:rsidP="00F61CED">
            <w:pPr>
              <w:pStyle w:val="Tabletext"/>
            </w:pPr>
            <w:r w:rsidRPr="00F61CED">
              <w:t>9</w:t>
            </w:r>
            <w:r w:rsidR="00D7157D">
              <w:t>.</w:t>
            </w:r>
            <w:r w:rsidRPr="00F61CED">
              <w:t>0348</w:t>
            </w:r>
          </w:p>
        </w:tc>
        <w:tc>
          <w:tcPr>
            <w:tcW w:w="966" w:type="pct"/>
            <w:tcBorders>
              <w:top w:val="single" w:sz="4" w:space="0" w:color="auto"/>
              <w:bottom w:val="single" w:sz="4" w:space="0" w:color="auto"/>
            </w:tcBorders>
            <w:shd w:val="clear" w:color="auto" w:fill="auto"/>
            <w:vAlign w:val="bottom"/>
          </w:tcPr>
          <w:p w14:paraId="62965A81" w14:textId="77777777" w:rsidR="00F61CED" w:rsidRPr="00F61CED" w:rsidRDefault="00F61CED" w:rsidP="00F61CED">
            <w:pPr>
              <w:pStyle w:val="Tabletext"/>
            </w:pPr>
            <w:r w:rsidRPr="00F61CED">
              <w:t>0</w:t>
            </w:r>
            <w:r w:rsidR="00D7157D">
              <w:t>.</w:t>
            </w:r>
            <w:r w:rsidRPr="00F61CED">
              <w:t>6366</w:t>
            </w:r>
          </w:p>
        </w:tc>
        <w:tc>
          <w:tcPr>
            <w:tcW w:w="966" w:type="pct"/>
            <w:tcBorders>
              <w:top w:val="single" w:sz="4" w:space="0" w:color="auto"/>
              <w:bottom w:val="single" w:sz="4" w:space="0" w:color="auto"/>
            </w:tcBorders>
            <w:shd w:val="clear" w:color="auto" w:fill="auto"/>
            <w:vAlign w:val="bottom"/>
          </w:tcPr>
          <w:p w14:paraId="3D1AF947" w14:textId="77777777" w:rsidR="00F61CED" w:rsidRPr="00F61CED" w:rsidRDefault="00F61CED" w:rsidP="00F61CED">
            <w:pPr>
              <w:pStyle w:val="Tabletext"/>
            </w:pPr>
            <w:r w:rsidRPr="00F61CED">
              <w:t>10</w:t>
            </w:r>
            <w:r w:rsidR="00D7157D">
              <w:t>.</w:t>
            </w:r>
            <w:r w:rsidRPr="00F61CED">
              <w:t>0266</w:t>
            </w:r>
          </w:p>
        </w:tc>
        <w:tc>
          <w:tcPr>
            <w:tcW w:w="966" w:type="pct"/>
            <w:tcBorders>
              <w:top w:val="single" w:sz="4" w:space="0" w:color="auto"/>
              <w:bottom w:val="single" w:sz="4" w:space="0" w:color="auto"/>
              <w:right w:val="nil"/>
            </w:tcBorders>
            <w:shd w:val="clear" w:color="auto" w:fill="auto"/>
            <w:vAlign w:val="bottom"/>
          </w:tcPr>
          <w:p w14:paraId="4EDA00A5" w14:textId="77777777" w:rsidR="00F61CED" w:rsidRPr="00F61CED" w:rsidRDefault="00F61CED" w:rsidP="00F61CED">
            <w:pPr>
              <w:pStyle w:val="Tabletext"/>
            </w:pPr>
            <w:r w:rsidRPr="00F61CED">
              <w:t>0</w:t>
            </w:r>
            <w:r w:rsidR="00D7157D">
              <w:t>.</w:t>
            </w:r>
            <w:r w:rsidRPr="00F61CED">
              <w:t>1732</w:t>
            </w:r>
          </w:p>
        </w:tc>
      </w:tr>
      <w:tr w:rsidR="00F61CED" w:rsidRPr="00F61CED" w14:paraId="2B246351" w14:textId="77777777" w:rsidTr="00F160E0">
        <w:trPr>
          <w:cantSplit/>
        </w:trPr>
        <w:tc>
          <w:tcPr>
            <w:tcW w:w="1136" w:type="pct"/>
            <w:tcBorders>
              <w:top w:val="single" w:sz="4" w:space="0" w:color="auto"/>
              <w:bottom w:val="single" w:sz="4" w:space="0" w:color="auto"/>
            </w:tcBorders>
          </w:tcPr>
          <w:p w14:paraId="6563019F" w14:textId="77777777" w:rsidR="00F61CED" w:rsidRPr="00F61CED" w:rsidRDefault="00F61CED" w:rsidP="00F61CED">
            <w:pPr>
              <w:pStyle w:val="Tabletext"/>
            </w:pPr>
            <w:r w:rsidRPr="00F61CED">
              <w:t>75</w:t>
            </w:r>
          </w:p>
        </w:tc>
        <w:tc>
          <w:tcPr>
            <w:tcW w:w="966" w:type="pct"/>
            <w:tcBorders>
              <w:top w:val="single" w:sz="4" w:space="0" w:color="auto"/>
              <w:bottom w:val="single" w:sz="4" w:space="0" w:color="auto"/>
            </w:tcBorders>
            <w:shd w:val="clear" w:color="auto" w:fill="auto"/>
            <w:vAlign w:val="bottom"/>
          </w:tcPr>
          <w:p w14:paraId="22421EAF" w14:textId="77777777" w:rsidR="00F61CED" w:rsidRPr="00F61CED" w:rsidRDefault="00F61CED" w:rsidP="00F61CED">
            <w:pPr>
              <w:pStyle w:val="Tabletext"/>
            </w:pPr>
            <w:r w:rsidRPr="00F61CED">
              <w:t>8</w:t>
            </w:r>
            <w:r w:rsidR="00D7157D">
              <w:t>.</w:t>
            </w:r>
            <w:r w:rsidRPr="00F61CED">
              <w:t>6435</w:t>
            </w:r>
          </w:p>
        </w:tc>
        <w:tc>
          <w:tcPr>
            <w:tcW w:w="966" w:type="pct"/>
            <w:tcBorders>
              <w:top w:val="single" w:sz="4" w:space="0" w:color="auto"/>
              <w:bottom w:val="single" w:sz="4" w:space="0" w:color="auto"/>
            </w:tcBorders>
            <w:shd w:val="clear" w:color="auto" w:fill="auto"/>
            <w:vAlign w:val="bottom"/>
          </w:tcPr>
          <w:p w14:paraId="5D9FE4F5" w14:textId="77777777" w:rsidR="00F61CED" w:rsidRPr="00F61CED" w:rsidRDefault="00F61CED" w:rsidP="00F61CED">
            <w:pPr>
              <w:pStyle w:val="Tabletext"/>
            </w:pPr>
            <w:r w:rsidRPr="00F61CED">
              <w:t>0</w:t>
            </w:r>
            <w:r w:rsidR="00D7157D">
              <w:t>.</w:t>
            </w:r>
            <w:r w:rsidRPr="00F61CED">
              <w:t>6316</w:t>
            </w:r>
          </w:p>
        </w:tc>
        <w:tc>
          <w:tcPr>
            <w:tcW w:w="966" w:type="pct"/>
            <w:tcBorders>
              <w:top w:val="single" w:sz="4" w:space="0" w:color="auto"/>
              <w:bottom w:val="single" w:sz="4" w:space="0" w:color="auto"/>
            </w:tcBorders>
            <w:shd w:val="clear" w:color="auto" w:fill="auto"/>
            <w:vAlign w:val="bottom"/>
          </w:tcPr>
          <w:p w14:paraId="5A1F6C7C" w14:textId="77777777" w:rsidR="00F61CED" w:rsidRPr="00F61CED" w:rsidRDefault="00F61CED" w:rsidP="00F61CED">
            <w:pPr>
              <w:pStyle w:val="Tabletext"/>
            </w:pPr>
            <w:r w:rsidRPr="00F61CED">
              <w:t>9</w:t>
            </w:r>
            <w:r w:rsidR="00D7157D">
              <w:t>.</w:t>
            </w:r>
            <w:r w:rsidRPr="00F61CED">
              <w:t>5987</w:t>
            </w:r>
          </w:p>
        </w:tc>
        <w:tc>
          <w:tcPr>
            <w:tcW w:w="966" w:type="pct"/>
            <w:tcBorders>
              <w:top w:val="single" w:sz="4" w:space="0" w:color="auto"/>
              <w:bottom w:val="single" w:sz="4" w:space="0" w:color="auto"/>
              <w:right w:val="nil"/>
            </w:tcBorders>
            <w:shd w:val="clear" w:color="auto" w:fill="auto"/>
            <w:vAlign w:val="bottom"/>
          </w:tcPr>
          <w:p w14:paraId="0291B6F4" w14:textId="77777777" w:rsidR="00F61CED" w:rsidRPr="00F61CED" w:rsidRDefault="00F61CED" w:rsidP="00F61CED">
            <w:pPr>
              <w:pStyle w:val="Tabletext"/>
            </w:pPr>
            <w:r w:rsidRPr="00F61CED">
              <w:t>0</w:t>
            </w:r>
            <w:r w:rsidR="00D7157D">
              <w:t>.</w:t>
            </w:r>
            <w:r w:rsidRPr="00F61CED">
              <w:t>1713</w:t>
            </w:r>
          </w:p>
        </w:tc>
      </w:tr>
      <w:tr w:rsidR="00F61CED" w:rsidRPr="00F61CED" w14:paraId="77DD45ED" w14:textId="77777777" w:rsidTr="00F160E0">
        <w:trPr>
          <w:cantSplit/>
        </w:trPr>
        <w:tc>
          <w:tcPr>
            <w:tcW w:w="1136" w:type="pct"/>
            <w:tcBorders>
              <w:top w:val="single" w:sz="4" w:space="0" w:color="auto"/>
              <w:bottom w:val="single" w:sz="4" w:space="0" w:color="auto"/>
            </w:tcBorders>
          </w:tcPr>
          <w:p w14:paraId="2E02E881" w14:textId="77777777" w:rsidR="00F61CED" w:rsidRPr="00F61CED" w:rsidRDefault="00F61CED" w:rsidP="00F61CED">
            <w:pPr>
              <w:pStyle w:val="Tabletext"/>
            </w:pPr>
            <w:r w:rsidRPr="00F61CED">
              <w:t>76</w:t>
            </w:r>
          </w:p>
        </w:tc>
        <w:tc>
          <w:tcPr>
            <w:tcW w:w="966" w:type="pct"/>
            <w:tcBorders>
              <w:top w:val="single" w:sz="4" w:space="0" w:color="auto"/>
              <w:bottom w:val="single" w:sz="4" w:space="0" w:color="auto"/>
            </w:tcBorders>
            <w:shd w:val="clear" w:color="auto" w:fill="auto"/>
            <w:vAlign w:val="bottom"/>
          </w:tcPr>
          <w:p w14:paraId="409E71AF" w14:textId="77777777" w:rsidR="00F61CED" w:rsidRPr="00F61CED" w:rsidRDefault="00F61CED" w:rsidP="00F61CED">
            <w:pPr>
              <w:pStyle w:val="Tabletext"/>
            </w:pPr>
            <w:r w:rsidRPr="00F61CED">
              <w:t>8</w:t>
            </w:r>
            <w:r w:rsidR="00D7157D">
              <w:t>.</w:t>
            </w:r>
            <w:r w:rsidRPr="00F61CED">
              <w:t>2527</w:t>
            </w:r>
          </w:p>
        </w:tc>
        <w:tc>
          <w:tcPr>
            <w:tcW w:w="966" w:type="pct"/>
            <w:tcBorders>
              <w:top w:val="single" w:sz="4" w:space="0" w:color="auto"/>
              <w:bottom w:val="single" w:sz="4" w:space="0" w:color="auto"/>
            </w:tcBorders>
            <w:shd w:val="clear" w:color="auto" w:fill="auto"/>
            <w:vAlign w:val="bottom"/>
          </w:tcPr>
          <w:p w14:paraId="197C11BB" w14:textId="77777777" w:rsidR="00F61CED" w:rsidRPr="00F61CED" w:rsidRDefault="00F61CED" w:rsidP="00F61CED">
            <w:pPr>
              <w:pStyle w:val="Tabletext"/>
            </w:pPr>
            <w:r w:rsidRPr="00F61CED">
              <w:t>0</w:t>
            </w:r>
            <w:r w:rsidR="00D7157D">
              <w:t>.</w:t>
            </w:r>
            <w:r w:rsidRPr="00F61CED">
              <w:t>6257</w:t>
            </w:r>
          </w:p>
        </w:tc>
        <w:tc>
          <w:tcPr>
            <w:tcW w:w="966" w:type="pct"/>
            <w:tcBorders>
              <w:top w:val="single" w:sz="4" w:space="0" w:color="auto"/>
              <w:bottom w:val="single" w:sz="4" w:space="0" w:color="auto"/>
            </w:tcBorders>
            <w:shd w:val="clear" w:color="auto" w:fill="auto"/>
            <w:vAlign w:val="bottom"/>
          </w:tcPr>
          <w:p w14:paraId="47C0ED87" w14:textId="77777777" w:rsidR="00F61CED" w:rsidRPr="00F61CED" w:rsidRDefault="00F61CED" w:rsidP="00F61CED">
            <w:pPr>
              <w:pStyle w:val="Tabletext"/>
            </w:pPr>
            <w:r w:rsidRPr="00F61CED">
              <w:t>9</w:t>
            </w:r>
            <w:r w:rsidR="00D7157D">
              <w:t>.</w:t>
            </w:r>
            <w:r w:rsidRPr="00F61CED">
              <w:t>1697</w:t>
            </w:r>
          </w:p>
        </w:tc>
        <w:tc>
          <w:tcPr>
            <w:tcW w:w="966" w:type="pct"/>
            <w:tcBorders>
              <w:top w:val="single" w:sz="4" w:space="0" w:color="auto"/>
              <w:bottom w:val="single" w:sz="4" w:space="0" w:color="auto"/>
              <w:right w:val="nil"/>
            </w:tcBorders>
            <w:shd w:val="clear" w:color="auto" w:fill="auto"/>
            <w:vAlign w:val="bottom"/>
          </w:tcPr>
          <w:p w14:paraId="4F652F88" w14:textId="77777777" w:rsidR="00F61CED" w:rsidRPr="00F61CED" w:rsidRDefault="00F61CED" w:rsidP="00F61CED">
            <w:pPr>
              <w:pStyle w:val="Tabletext"/>
            </w:pPr>
            <w:r w:rsidRPr="00F61CED">
              <w:t>0</w:t>
            </w:r>
            <w:r w:rsidR="00D7157D">
              <w:t>.</w:t>
            </w:r>
            <w:r w:rsidRPr="00F61CED">
              <w:t>1692</w:t>
            </w:r>
          </w:p>
        </w:tc>
      </w:tr>
      <w:tr w:rsidR="00F61CED" w:rsidRPr="00F61CED" w14:paraId="36ABB2D3" w14:textId="77777777" w:rsidTr="00F160E0">
        <w:trPr>
          <w:cantSplit/>
        </w:trPr>
        <w:tc>
          <w:tcPr>
            <w:tcW w:w="1136" w:type="pct"/>
            <w:tcBorders>
              <w:top w:val="single" w:sz="4" w:space="0" w:color="auto"/>
              <w:bottom w:val="single" w:sz="4" w:space="0" w:color="auto"/>
            </w:tcBorders>
          </w:tcPr>
          <w:p w14:paraId="7ED086E9" w14:textId="77777777" w:rsidR="00F61CED" w:rsidRPr="00F61CED" w:rsidRDefault="00F61CED" w:rsidP="00F61CED">
            <w:pPr>
              <w:pStyle w:val="Tabletext"/>
            </w:pPr>
            <w:r w:rsidRPr="00F61CED">
              <w:t>77</w:t>
            </w:r>
          </w:p>
        </w:tc>
        <w:tc>
          <w:tcPr>
            <w:tcW w:w="966" w:type="pct"/>
            <w:tcBorders>
              <w:top w:val="single" w:sz="4" w:space="0" w:color="auto"/>
              <w:bottom w:val="single" w:sz="4" w:space="0" w:color="auto"/>
            </w:tcBorders>
            <w:shd w:val="clear" w:color="auto" w:fill="auto"/>
            <w:vAlign w:val="bottom"/>
          </w:tcPr>
          <w:p w14:paraId="20D4958D" w14:textId="77777777" w:rsidR="00F61CED" w:rsidRPr="00F61CED" w:rsidRDefault="00F61CED" w:rsidP="00F61CED">
            <w:pPr>
              <w:pStyle w:val="Tabletext"/>
            </w:pPr>
            <w:r w:rsidRPr="00F61CED">
              <w:t>7</w:t>
            </w:r>
            <w:r w:rsidR="00D7157D">
              <w:t>.</w:t>
            </w:r>
            <w:r w:rsidRPr="00F61CED">
              <w:t>8632</w:t>
            </w:r>
          </w:p>
        </w:tc>
        <w:tc>
          <w:tcPr>
            <w:tcW w:w="966" w:type="pct"/>
            <w:tcBorders>
              <w:top w:val="single" w:sz="4" w:space="0" w:color="auto"/>
              <w:bottom w:val="single" w:sz="4" w:space="0" w:color="auto"/>
            </w:tcBorders>
            <w:shd w:val="clear" w:color="auto" w:fill="auto"/>
            <w:vAlign w:val="bottom"/>
          </w:tcPr>
          <w:p w14:paraId="167A1446" w14:textId="77777777" w:rsidR="00F61CED" w:rsidRPr="00F61CED" w:rsidRDefault="00F61CED" w:rsidP="00F61CED">
            <w:pPr>
              <w:pStyle w:val="Tabletext"/>
            </w:pPr>
            <w:r w:rsidRPr="00F61CED">
              <w:t>0</w:t>
            </w:r>
            <w:r w:rsidR="00D7157D">
              <w:t>.</w:t>
            </w:r>
            <w:r w:rsidRPr="00F61CED">
              <w:t>6187</w:t>
            </w:r>
          </w:p>
        </w:tc>
        <w:tc>
          <w:tcPr>
            <w:tcW w:w="966" w:type="pct"/>
            <w:tcBorders>
              <w:top w:val="single" w:sz="4" w:space="0" w:color="auto"/>
              <w:bottom w:val="single" w:sz="4" w:space="0" w:color="auto"/>
            </w:tcBorders>
            <w:shd w:val="clear" w:color="auto" w:fill="auto"/>
            <w:vAlign w:val="bottom"/>
          </w:tcPr>
          <w:p w14:paraId="646870EF" w14:textId="77777777" w:rsidR="00F61CED" w:rsidRPr="00F61CED" w:rsidRDefault="00F61CED" w:rsidP="00F61CED">
            <w:pPr>
              <w:pStyle w:val="Tabletext"/>
            </w:pPr>
            <w:r w:rsidRPr="00F61CED">
              <w:t>8</w:t>
            </w:r>
            <w:r w:rsidR="00D7157D">
              <w:t>.</w:t>
            </w:r>
            <w:r w:rsidRPr="00F61CED">
              <w:t>7410</w:t>
            </w:r>
          </w:p>
        </w:tc>
        <w:tc>
          <w:tcPr>
            <w:tcW w:w="966" w:type="pct"/>
            <w:tcBorders>
              <w:top w:val="single" w:sz="4" w:space="0" w:color="auto"/>
              <w:bottom w:val="single" w:sz="4" w:space="0" w:color="auto"/>
              <w:right w:val="nil"/>
            </w:tcBorders>
            <w:shd w:val="clear" w:color="auto" w:fill="auto"/>
            <w:vAlign w:val="bottom"/>
          </w:tcPr>
          <w:p w14:paraId="15C160CF" w14:textId="77777777" w:rsidR="00F61CED" w:rsidRPr="00F61CED" w:rsidRDefault="00F61CED" w:rsidP="00F61CED">
            <w:pPr>
              <w:pStyle w:val="Tabletext"/>
            </w:pPr>
            <w:r w:rsidRPr="00F61CED">
              <w:t>0</w:t>
            </w:r>
            <w:r w:rsidR="00D7157D">
              <w:t>.</w:t>
            </w:r>
            <w:r w:rsidRPr="00F61CED">
              <w:t>1669</w:t>
            </w:r>
          </w:p>
        </w:tc>
      </w:tr>
      <w:tr w:rsidR="00F61CED" w:rsidRPr="00F61CED" w14:paraId="6E651786" w14:textId="77777777" w:rsidTr="00F160E0">
        <w:trPr>
          <w:cantSplit/>
        </w:trPr>
        <w:tc>
          <w:tcPr>
            <w:tcW w:w="1136" w:type="pct"/>
            <w:tcBorders>
              <w:top w:val="single" w:sz="4" w:space="0" w:color="auto"/>
              <w:bottom w:val="single" w:sz="4" w:space="0" w:color="auto"/>
            </w:tcBorders>
          </w:tcPr>
          <w:p w14:paraId="73F82962" w14:textId="77777777" w:rsidR="00F61CED" w:rsidRPr="00F61CED" w:rsidRDefault="00F61CED" w:rsidP="00F61CED">
            <w:pPr>
              <w:pStyle w:val="Tabletext"/>
            </w:pPr>
            <w:r w:rsidRPr="00F61CED">
              <w:t>78</w:t>
            </w:r>
          </w:p>
        </w:tc>
        <w:tc>
          <w:tcPr>
            <w:tcW w:w="966" w:type="pct"/>
            <w:tcBorders>
              <w:top w:val="single" w:sz="4" w:space="0" w:color="auto"/>
              <w:bottom w:val="single" w:sz="4" w:space="0" w:color="auto"/>
            </w:tcBorders>
            <w:shd w:val="clear" w:color="auto" w:fill="auto"/>
            <w:vAlign w:val="bottom"/>
          </w:tcPr>
          <w:p w14:paraId="1258818D" w14:textId="77777777" w:rsidR="00F61CED" w:rsidRPr="00F61CED" w:rsidRDefault="00F61CED" w:rsidP="00F61CED">
            <w:pPr>
              <w:pStyle w:val="Tabletext"/>
            </w:pPr>
            <w:r w:rsidRPr="00F61CED">
              <w:t>7</w:t>
            </w:r>
            <w:r w:rsidR="00D7157D">
              <w:t>.</w:t>
            </w:r>
            <w:r w:rsidRPr="00F61CED">
              <w:t>4760</w:t>
            </w:r>
          </w:p>
        </w:tc>
        <w:tc>
          <w:tcPr>
            <w:tcW w:w="966" w:type="pct"/>
            <w:tcBorders>
              <w:top w:val="single" w:sz="4" w:space="0" w:color="auto"/>
              <w:bottom w:val="single" w:sz="4" w:space="0" w:color="auto"/>
            </w:tcBorders>
            <w:shd w:val="clear" w:color="auto" w:fill="auto"/>
            <w:vAlign w:val="bottom"/>
          </w:tcPr>
          <w:p w14:paraId="686EB5E4" w14:textId="77777777" w:rsidR="00F61CED" w:rsidRPr="00F61CED" w:rsidRDefault="00F61CED" w:rsidP="00F61CED">
            <w:pPr>
              <w:pStyle w:val="Tabletext"/>
            </w:pPr>
            <w:r w:rsidRPr="00F61CED">
              <w:t>0</w:t>
            </w:r>
            <w:r w:rsidR="00D7157D">
              <w:t>.</w:t>
            </w:r>
            <w:r w:rsidRPr="00F61CED">
              <w:t>6106</w:t>
            </w:r>
          </w:p>
        </w:tc>
        <w:tc>
          <w:tcPr>
            <w:tcW w:w="966" w:type="pct"/>
            <w:tcBorders>
              <w:top w:val="single" w:sz="4" w:space="0" w:color="auto"/>
              <w:bottom w:val="single" w:sz="4" w:space="0" w:color="auto"/>
            </w:tcBorders>
            <w:shd w:val="clear" w:color="auto" w:fill="auto"/>
            <w:vAlign w:val="bottom"/>
          </w:tcPr>
          <w:p w14:paraId="7A44EA74" w14:textId="77777777" w:rsidR="00F61CED" w:rsidRPr="00F61CED" w:rsidRDefault="00F61CED" w:rsidP="00F61CED">
            <w:pPr>
              <w:pStyle w:val="Tabletext"/>
            </w:pPr>
            <w:r w:rsidRPr="00F61CED">
              <w:t>8</w:t>
            </w:r>
            <w:r w:rsidR="00D7157D">
              <w:t>.</w:t>
            </w:r>
            <w:r w:rsidRPr="00F61CED">
              <w:t>3132</w:t>
            </w:r>
          </w:p>
        </w:tc>
        <w:tc>
          <w:tcPr>
            <w:tcW w:w="966" w:type="pct"/>
            <w:tcBorders>
              <w:top w:val="single" w:sz="4" w:space="0" w:color="auto"/>
              <w:bottom w:val="single" w:sz="4" w:space="0" w:color="auto"/>
              <w:right w:val="nil"/>
            </w:tcBorders>
            <w:shd w:val="clear" w:color="auto" w:fill="auto"/>
            <w:vAlign w:val="bottom"/>
          </w:tcPr>
          <w:p w14:paraId="40E3634B" w14:textId="77777777" w:rsidR="00F61CED" w:rsidRPr="00F61CED" w:rsidRDefault="00F61CED" w:rsidP="00F61CED">
            <w:pPr>
              <w:pStyle w:val="Tabletext"/>
            </w:pPr>
            <w:r w:rsidRPr="00F61CED">
              <w:t>0</w:t>
            </w:r>
            <w:r w:rsidR="00D7157D">
              <w:t>.</w:t>
            </w:r>
            <w:r w:rsidRPr="00F61CED">
              <w:t>1644</w:t>
            </w:r>
          </w:p>
        </w:tc>
      </w:tr>
      <w:tr w:rsidR="00F61CED" w:rsidRPr="00F61CED" w14:paraId="7CC7DBDA" w14:textId="77777777" w:rsidTr="00F160E0">
        <w:trPr>
          <w:cantSplit/>
        </w:trPr>
        <w:tc>
          <w:tcPr>
            <w:tcW w:w="1136" w:type="pct"/>
            <w:tcBorders>
              <w:top w:val="single" w:sz="4" w:space="0" w:color="auto"/>
              <w:bottom w:val="single" w:sz="4" w:space="0" w:color="auto"/>
            </w:tcBorders>
          </w:tcPr>
          <w:p w14:paraId="3744635F" w14:textId="77777777" w:rsidR="00F61CED" w:rsidRPr="00F61CED" w:rsidRDefault="00F61CED" w:rsidP="00F61CED">
            <w:pPr>
              <w:pStyle w:val="Tabletext"/>
            </w:pPr>
            <w:r w:rsidRPr="00F61CED">
              <w:t>79</w:t>
            </w:r>
          </w:p>
        </w:tc>
        <w:tc>
          <w:tcPr>
            <w:tcW w:w="966" w:type="pct"/>
            <w:tcBorders>
              <w:top w:val="single" w:sz="4" w:space="0" w:color="auto"/>
              <w:bottom w:val="single" w:sz="4" w:space="0" w:color="auto"/>
            </w:tcBorders>
            <w:shd w:val="clear" w:color="auto" w:fill="auto"/>
            <w:vAlign w:val="bottom"/>
          </w:tcPr>
          <w:p w14:paraId="55A4F85F" w14:textId="77777777" w:rsidR="00F61CED" w:rsidRPr="00F61CED" w:rsidRDefault="00F61CED" w:rsidP="00F61CED">
            <w:pPr>
              <w:pStyle w:val="Tabletext"/>
            </w:pPr>
            <w:r w:rsidRPr="00F61CED">
              <w:t>7</w:t>
            </w:r>
            <w:r w:rsidR="00D7157D">
              <w:t>.</w:t>
            </w:r>
            <w:r w:rsidRPr="00F61CED">
              <w:t>0924</w:t>
            </w:r>
          </w:p>
        </w:tc>
        <w:tc>
          <w:tcPr>
            <w:tcW w:w="966" w:type="pct"/>
            <w:tcBorders>
              <w:top w:val="single" w:sz="4" w:space="0" w:color="auto"/>
              <w:bottom w:val="single" w:sz="4" w:space="0" w:color="auto"/>
            </w:tcBorders>
            <w:shd w:val="clear" w:color="auto" w:fill="auto"/>
            <w:vAlign w:val="bottom"/>
          </w:tcPr>
          <w:p w14:paraId="34D92B94" w14:textId="77777777" w:rsidR="00F61CED" w:rsidRPr="00F61CED" w:rsidRDefault="00F61CED" w:rsidP="00F61CED">
            <w:pPr>
              <w:pStyle w:val="Tabletext"/>
            </w:pPr>
            <w:r w:rsidRPr="00F61CED">
              <w:t>0</w:t>
            </w:r>
            <w:r w:rsidR="00D7157D">
              <w:t>.</w:t>
            </w:r>
            <w:r w:rsidRPr="00F61CED">
              <w:t>6013</w:t>
            </w:r>
          </w:p>
        </w:tc>
        <w:tc>
          <w:tcPr>
            <w:tcW w:w="966" w:type="pct"/>
            <w:tcBorders>
              <w:top w:val="single" w:sz="4" w:space="0" w:color="auto"/>
              <w:bottom w:val="single" w:sz="4" w:space="0" w:color="auto"/>
            </w:tcBorders>
            <w:shd w:val="clear" w:color="auto" w:fill="auto"/>
            <w:vAlign w:val="bottom"/>
          </w:tcPr>
          <w:p w14:paraId="0A69A928" w14:textId="77777777" w:rsidR="00F61CED" w:rsidRPr="00F61CED" w:rsidRDefault="00F61CED" w:rsidP="00F61CED">
            <w:pPr>
              <w:pStyle w:val="Tabletext"/>
            </w:pPr>
            <w:r w:rsidRPr="00F61CED">
              <w:t>7</w:t>
            </w:r>
            <w:r w:rsidR="00D7157D">
              <w:t>.</w:t>
            </w:r>
            <w:r w:rsidRPr="00F61CED">
              <w:t>8887</w:t>
            </w:r>
          </w:p>
        </w:tc>
        <w:tc>
          <w:tcPr>
            <w:tcW w:w="966" w:type="pct"/>
            <w:tcBorders>
              <w:top w:val="single" w:sz="4" w:space="0" w:color="auto"/>
              <w:bottom w:val="single" w:sz="4" w:space="0" w:color="auto"/>
              <w:right w:val="nil"/>
            </w:tcBorders>
            <w:shd w:val="clear" w:color="auto" w:fill="auto"/>
            <w:vAlign w:val="bottom"/>
          </w:tcPr>
          <w:p w14:paraId="128B1596" w14:textId="77777777" w:rsidR="00F61CED" w:rsidRPr="00F61CED" w:rsidRDefault="00F61CED" w:rsidP="00F61CED">
            <w:pPr>
              <w:pStyle w:val="Tabletext"/>
            </w:pPr>
            <w:r w:rsidRPr="00F61CED">
              <w:t>0</w:t>
            </w:r>
            <w:r w:rsidR="00D7157D">
              <w:t>.</w:t>
            </w:r>
            <w:r w:rsidRPr="00F61CED">
              <w:t>1616</w:t>
            </w:r>
          </w:p>
        </w:tc>
      </w:tr>
      <w:tr w:rsidR="00F61CED" w:rsidRPr="00F61CED" w14:paraId="198A87C6" w14:textId="77777777" w:rsidTr="00F160E0">
        <w:trPr>
          <w:cantSplit/>
        </w:trPr>
        <w:tc>
          <w:tcPr>
            <w:tcW w:w="1136" w:type="pct"/>
            <w:tcBorders>
              <w:top w:val="single" w:sz="4" w:space="0" w:color="auto"/>
              <w:bottom w:val="single" w:sz="4" w:space="0" w:color="auto"/>
            </w:tcBorders>
          </w:tcPr>
          <w:p w14:paraId="1A4A3B86" w14:textId="77777777" w:rsidR="00F61CED" w:rsidRPr="00F61CED" w:rsidRDefault="00F61CED" w:rsidP="00F61CED">
            <w:pPr>
              <w:pStyle w:val="Tabletext"/>
            </w:pPr>
            <w:r w:rsidRPr="00F61CED">
              <w:t>80</w:t>
            </w:r>
          </w:p>
        </w:tc>
        <w:tc>
          <w:tcPr>
            <w:tcW w:w="966" w:type="pct"/>
            <w:tcBorders>
              <w:top w:val="single" w:sz="4" w:space="0" w:color="auto"/>
              <w:bottom w:val="single" w:sz="4" w:space="0" w:color="auto"/>
            </w:tcBorders>
            <w:shd w:val="clear" w:color="auto" w:fill="auto"/>
            <w:vAlign w:val="bottom"/>
          </w:tcPr>
          <w:p w14:paraId="2CDA4AF0" w14:textId="77777777" w:rsidR="00F61CED" w:rsidRPr="00F61CED" w:rsidRDefault="00F61CED" w:rsidP="00F61CED">
            <w:pPr>
              <w:pStyle w:val="Tabletext"/>
            </w:pPr>
            <w:r w:rsidRPr="00F61CED">
              <w:t>6</w:t>
            </w:r>
            <w:r w:rsidR="00D7157D">
              <w:t>.</w:t>
            </w:r>
            <w:r w:rsidRPr="00F61CED">
              <w:t>7139</w:t>
            </w:r>
          </w:p>
        </w:tc>
        <w:tc>
          <w:tcPr>
            <w:tcW w:w="966" w:type="pct"/>
            <w:tcBorders>
              <w:top w:val="single" w:sz="4" w:space="0" w:color="auto"/>
              <w:bottom w:val="single" w:sz="4" w:space="0" w:color="auto"/>
            </w:tcBorders>
            <w:shd w:val="clear" w:color="auto" w:fill="auto"/>
            <w:vAlign w:val="bottom"/>
          </w:tcPr>
          <w:p w14:paraId="4D79A910" w14:textId="77777777" w:rsidR="00F61CED" w:rsidRPr="00F61CED" w:rsidRDefault="00F61CED" w:rsidP="00F61CED">
            <w:pPr>
              <w:pStyle w:val="Tabletext"/>
            </w:pPr>
            <w:r w:rsidRPr="00F61CED">
              <w:t>0</w:t>
            </w:r>
            <w:r w:rsidR="00D7157D">
              <w:t>.</w:t>
            </w:r>
            <w:r w:rsidRPr="00F61CED">
              <w:t>5909</w:t>
            </w:r>
          </w:p>
        </w:tc>
        <w:tc>
          <w:tcPr>
            <w:tcW w:w="966" w:type="pct"/>
            <w:tcBorders>
              <w:top w:val="single" w:sz="4" w:space="0" w:color="auto"/>
              <w:bottom w:val="single" w:sz="4" w:space="0" w:color="auto"/>
            </w:tcBorders>
            <w:shd w:val="clear" w:color="auto" w:fill="auto"/>
            <w:vAlign w:val="bottom"/>
          </w:tcPr>
          <w:p w14:paraId="4F57966A" w14:textId="77777777" w:rsidR="00F61CED" w:rsidRPr="00F61CED" w:rsidRDefault="00F61CED" w:rsidP="00F61CED">
            <w:pPr>
              <w:pStyle w:val="Tabletext"/>
            </w:pPr>
            <w:r w:rsidRPr="00F61CED">
              <w:t>7</w:t>
            </w:r>
            <w:r w:rsidR="00D7157D">
              <w:t>.</w:t>
            </w:r>
            <w:r w:rsidRPr="00F61CED">
              <w:t>4682</w:t>
            </w:r>
          </w:p>
        </w:tc>
        <w:tc>
          <w:tcPr>
            <w:tcW w:w="966" w:type="pct"/>
            <w:tcBorders>
              <w:top w:val="single" w:sz="4" w:space="0" w:color="auto"/>
              <w:bottom w:val="single" w:sz="4" w:space="0" w:color="auto"/>
              <w:right w:val="nil"/>
            </w:tcBorders>
            <w:shd w:val="clear" w:color="auto" w:fill="auto"/>
            <w:vAlign w:val="bottom"/>
          </w:tcPr>
          <w:p w14:paraId="6E3244E9" w14:textId="77777777" w:rsidR="00F61CED" w:rsidRPr="00F61CED" w:rsidRDefault="00F61CED" w:rsidP="00F61CED">
            <w:pPr>
              <w:pStyle w:val="Tabletext"/>
            </w:pPr>
            <w:r w:rsidRPr="00F61CED">
              <w:t>0</w:t>
            </w:r>
            <w:r w:rsidR="00D7157D">
              <w:t>.</w:t>
            </w:r>
            <w:r w:rsidRPr="00F61CED">
              <w:t>1585</w:t>
            </w:r>
          </w:p>
        </w:tc>
      </w:tr>
      <w:tr w:rsidR="00F61CED" w:rsidRPr="00F61CED" w14:paraId="78318F2C" w14:textId="77777777" w:rsidTr="00F160E0">
        <w:trPr>
          <w:cantSplit/>
        </w:trPr>
        <w:tc>
          <w:tcPr>
            <w:tcW w:w="1136" w:type="pct"/>
            <w:tcBorders>
              <w:top w:val="single" w:sz="4" w:space="0" w:color="auto"/>
              <w:bottom w:val="single" w:sz="4" w:space="0" w:color="auto"/>
            </w:tcBorders>
          </w:tcPr>
          <w:p w14:paraId="72876469" w14:textId="77777777" w:rsidR="00F61CED" w:rsidRPr="00F61CED" w:rsidRDefault="00F61CED" w:rsidP="00F61CED">
            <w:pPr>
              <w:pStyle w:val="Tabletext"/>
            </w:pPr>
            <w:r w:rsidRPr="00F61CED">
              <w:t>81</w:t>
            </w:r>
          </w:p>
        </w:tc>
        <w:tc>
          <w:tcPr>
            <w:tcW w:w="966" w:type="pct"/>
            <w:tcBorders>
              <w:top w:val="single" w:sz="4" w:space="0" w:color="auto"/>
              <w:bottom w:val="single" w:sz="4" w:space="0" w:color="auto"/>
            </w:tcBorders>
            <w:shd w:val="clear" w:color="auto" w:fill="auto"/>
            <w:vAlign w:val="bottom"/>
          </w:tcPr>
          <w:p w14:paraId="4F23F3CC" w14:textId="77777777" w:rsidR="00F61CED" w:rsidRPr="00F61CED" w:rsidRDefault="00F61CED" w:rsidP="00F61CED">
            <w:pPr>
              <w:pStyle w:val="Tabletext"/>
            </w:pPr>
            <w:r w:rsidRPr="00F61CED">
              <w:t>6</w:t>
            </w:r>
            <w:r w:rsidR="00D7157D">
              <w:t>.</w:t>
            </w:r>
            <w:r w:rsidRPr="00F61CED">
              <w:t>3419</w:t>
            </w:r>
          </w:p>
        </w:tc>
        <w:tc>
          <w:tcPr>
            <w:tcW w:w="966" w:type="pct"/>
            <w:tcBorders>
              <w:top w:val="single" w:sz="4" w:space="0" w:color="auto"/>
              <w:bottom w:val="single" w:sz="4" w:space="0" w:color="auto"/>
            </w:tcBorders>
            <w:shd w:val="clear" w:color="auto" w:fill="auto"/>
            <w:vAlign w:val="bottom"/>
          </w:tcPr>
          <w:p w14:paraId="314CC96E" w14:textId="77777777" w:rsidR="00F61CED" w:rsidRPr="00F61CED" w:rsidRDefault="00F61CED" w:rsidP="00F61CED">
            <w:pPr>
              <w:pStyle w:val="Tabletext"/>
            </w:pPr>
            <w:r w:rsidRPr="00F61CED">
              <w:t>0</w:t>
            </w:r>
            <w:r w:rsidR="00D7157D">
              <w:t>.</w:t>
            </w:r>
            <w:r w:rsidRPr="00F61CED">
              <w:t>5793</w:t>
            </w:r>
          </w:p>
        </w:tc>
        <w:tc>
          <w:tcPr>
            <w:tcW w:w="966" w:type="pct"/>
            <w:tcBorders>
              <w:top w:val="single" w:sz="4" w:space="0" w:color="auto"/>
              <w:bottom w:val="single" w:sz="4" w:space="0" w:color="auto"/>
            </w:tcBorders>
            <w:shd w:val="clear" w:color="auto" w:fill="auto"/>
            <w:vAlign w:val="bottom"/>
          </w:tcPr>
          <w:p w14:paraId="69D83F26" w14:textId="77777777" w:rsidR="00F61CED" w:rsidRPr="00F61CED" w:rsidRDefault="00F61CED" w:rsidP="00F61CED">
            <w:pPr>
              <w:pStyle w:val="Tabletext"/>
            </w:pPr>
            <w:r w:rsidRPr="00F61CED">
              <w:t>7</w:t>
            </w:r>
            <w:r w:rsidR="00D7157D">
              <w:t>.</w:t>
            </w:r>
            <w:r w:rsidRPr="00F61CED">
              <w:t>0547</w:t>
            </w:r>
          </w:p>
        </w:tc>
        <w:tc>
          <w:tcPr>
            <w:tcW w:w="966" w:type="pct"/>
            <w:tcBorders>
              <w:top w:val="single" w:sz="4" w:space="0" w:color="auto"/>
              <w:bottom w:val="single" w:sz="4" w:space="0" w:color="auto"/>
              <w:right w:val="nil"/>
            </w:tcBorders>
            <w:shd w:val="clear" w:color="auto" w:fill="auto"/>
            <w:vAlign w:val="bottom"/>
          </w:tcPr>
          <w:p w14:paraId="27FB8BDE" w14:textId="77777777" w:rsidR="00F61CED" w:rsidRPr="00F61CED" w:rsidRDefault="00F61CED" w:rsidP="00F61CED">
            <w:pPr>
              <w:pStyle w:val="Tabletext"/>
            </w:pPr>
            <w:r w:rsidRPr="00F61CED">
              <w:t>0</w:t>
            </w:r>
            <w:r w:rsidR="00D7157D">
              <w:t>.</w:t>
            </w:r>
            <w:r w:rsidRPr="00F61CED">
              <w:t>1553</w:t>
            </w:r>
          </w:p>
        </w:tc>
      </w:tr>
      <w:tr w:rsidR="00F61CED" w:rsidRPr="00F61CED" w14:paraId="5A70AF6E" w14:textId="77777777" w:rsidTr="00F160E0">
        <w:trPr>
          <w:cantSplit/>
        </w:trPr>
        <w:tc>
          <w:tcPr>
            <w:tcW w:w="1136" w:type="pct"/>
            <w:tcBorders>
              <w:top w:val="single" w:sz="4" w:space="0" w:color="auto"/>
              <w:bottom w:val="single" w:sz="4" w:space="0" w:color="auto"/>
            </w:tcBorders>
          </w:tcPr>
          <w:p w14:paraId="204E8EC9" w14:textId="77777777" w:rsidR="00F61CED" w:rsidRPr="00F61CED" w:rsidRDefault="00F61CED" w:rsidP="00F61CED">
            <w:pPr>
              <w:pStyle w:val="Tabletext"/>
            </w:pPr>
            <w:r w:rsidRPr="00F61CED">
              <w:t>82</w:t>
            </w:r>
          </w:p>
        </w:tc>
        <w:tc>
          <w:tcPr>
            <w:tcW w:w="966" w:type="pct"/>
            <w:tcBorders>
              <w:top w:val="single" w:sz="4" w:space="0" w:color="auto"/>
              <w:bottom w:val="single" w:sz="4" w:space="0" w:color="auto"/>
            </w:tcBorders>
            <w:shd w:val="clear" w:color="auto" w:fill="auto"/>
            <w:vAlign w:val="bottom"/>
          </w:tcPr>
          <w:p w14:paraId="00C87BFB" w14:textId="77777777" w:rsidR="00F61CED" w:rsidRPr="00F61CED" w:rsidRDefault="00F61CED" w:rsidP="00F61CED">
            <w:pPr>
              <w:pStyle w:val="Tabletext"/>
            </w:pPr>
            <w:r w:rsidRPr="00F61CED">
              <w:t>5</w:t>
            </w:r>
            <w:r w:rsidR="00D7157D">
              <w:t>.</w:t>
            </w:r>
            <w:r w:rsidRPr="00F61CED">
              <w:t>9819</w:t>
            </w:r>
          </w:p>
        </w:tc>
        <w:tc>
          <w:tcPr>
            <w:tcW w:w="966" w:type="pct"/>
            <w:tcBorders>
              <w:top w:val="single" w:sz="4" w:space="0" w:color="auto"/>
              <w:bottom w:val="single" w:sz="4" w:space="0" w:color="auto"/>
            </w:tcBorders>
            <w:shd w:val="clear" w:color="auto" w:fill="auto"/>
            <w:vAlign w:val="bottom"/>
          </w:tcPr>
          <w:p w14:paraId="26490030" w14:textId="77777777" w:rsidR="00F61CED" w:rsidRPr="00F61CED" w:rsidRDefault="00F61CED" w:rsidP="00F61CED">
            <w:pPr>
              <w:pStyle w:val="Tabletext"/>
            </w:pPr>
            <w:r w:rsidRPr="00F61CED">
              <w:t>0</w:t>
            </w:r>
            <w:r w:rsidR="00D7157D">
              <w:t>.</w:t>
            </w:r>
            <w:r w:rsidRPr="00F61CED">
              <w:t>5663</w:t>
            </w:r>
          </w:p>
        </w:tc>
        <w:tc>
          <w:tcPr>
            <w:tcW w:w="966" w:type="pct"/>
            <w:tcBorders>
              <w:top w:val="single" w:sz="4" w:space="0" w:color="auto"/>
              <w:bottom w:val="single" w:sz="4" w:space="0" w:color="auto"/>
            </w:tcBorders>
            <w:shd w:val="clear" w:color="auto" w:fill="auto"/>
            <w:vAlign w:val="bottom"/>
          </w:tcPr>
          <w:p w14:paraId="5998E729" w14:textId="77777777" w:rsidR="00F61CED" w:rsidRPr="00F61CED" w:rsidRDefault="00F61CED" w:rsidP="00F61CED">
            <w:pPr>
              <w:pStyle w:val="Tabletext"/>
            </w:pPr>
            <w:r w:rsidRPr="00F61CED">
              <w:t>6</w:t>
            </w:r>
            <w:r w:rsidR="00D7157D">
              <w:t>.</w:t>
            </w:r>
            <w:r w:rsidRPr="00F61CED">
              <w:t>6492</w:t>
            </w:r>
          </w:p>
        </w:tc>
        <w:tc>
          <w:tcPr>
            <w:tcW w:w="966" w:type="pct"/>
            <w:tcBorders>
              <w:top w:val="single" w:sz="4" w:space="0" w:color="auto"/>
              <w:bottom w:val="single" w:sz="4" w:space="0" w:color="auto"/>
              <w:right w:val="nil"/>
            </w:tcBorders>
            <w:shd w:val="clear" w:color="auto" w:fill="auto"/>
            <w:vAlign w:val="bottom"/>
          </w:tcPr>
          <w:p w14:paraId="59E8FE4D" w14:textId="77777777" w:rsidR="00F61CED" w:rsidRPr="00F61CED" w:rsidRDefault="00F61CED" w:rsidP="00F61CED">
            <w:pPr>
              <w:pStyle w:val="Tabletext"/>
            </w:pPr>
            <w:r w:rsidRPr="00F61CED">
              <w:t>0</w:t>
            </w:r>
            <w:r w:rsidR="00D7157D">
              <w:t>.</w:t>
            </w:r>
            <w:r w:rsidRPr="00F61CED">
              <w:t>1518</w:t>
            </w:r>
          </w:p>
        </w:tc>
      </w:tr>
      <w:tr w:rsidR="00F61CED" w:rsidRPr="00F61CED" w14:paraId="12F0E925" w14:textId="77777777" w:rsidTr="00F160E0">
        <w:trPr>
          <w:cantSplit/>
        </w:trPr>
        <w:tc>
          <w:tcPr>
            <w:tcW w:w="1136" w:type="pct"/>
            <w:tcBorders>
              <w:top w:val="single" w:sz="4" w:space="0" w:color="auto"/>
              <w:bottom w:val="single" w:sz="4" w:space="0" w:color="auto"/>
            </w:tcBorders>
          </w:tcPr>
          <w:p w14:paraId="3006F889" w14:textId="77777777" w:rsidR="00F61CED" w:rsidRPr="00F61CED" w:rsidRDefault="00F61CED" w:rsidP="00F61CED">
            <w:pPr>
              <w:pStyle w:val="Tabletext"/>
            </w:pPr>
            <w:r w:rsidRPr="00F61CED">
              <w:t>83</w:t>
            </w:r>
          </w:p>
        </w:tc>
        <w:tc>
          <w:tcPr>
            <w:tcW w:w="966" w:type="pct"/>
            <w:tcBorders>
              <w:top w:val="single" w:sz="4" w:space="0" w:color="auto"/>
              <w:bottom w:val="single" w:sz="4" w:space="0" w:color="auto"/>
            </w:tcBorders>
            <w:shd w:val="clear" w:color="auto" w:fill="auto"/>
            <w:vAlign w:val="bottom"/>
          </w:tcPr>
          <w:p w14:paraId="167976FD" w14:textId="77777777" w:rsidR="00F61CED" w:rsidRPr="00F61CED" w:rsidRDefault="00F61CED" w:rsidP="00F61CED">
            <w:pPr>
              <w:pStyle w:val="Tabletext"/>
            </w:pPr>
            <w:r w:rsidRPr="00F61CED">
              <w:t>5</w:t>
            </w:r>
            <w:r w:rsidR="00D7157D">
              <w:t>.</w:t>
            </w:r>
            <w:r w:rsidRPr="00F61CED">
              <w:t>6362</w:t>
            </w:r>
          </w:p>
        </w:tc>
        <w:tc>
          <w:tcPr>
            <w:tcW w:w="966" w:type="pct"/>
            <w:tcBorders>
              <w:top w:val="single" w:sz="4" w:space="0" w:color="auto"/>
              <w:bottom w:val="single" w:sz="4" w:space="0" w:color="auto"/>
            </w:tcBorders>
            <w:shd w:val="clear" w:color="auto" w:fill="auto"/>
            <w:vAlign w:val="bottom"/>
          </w:tcPr>
          <w:p w14:paraId="4CD68BDF" w14:textId="77777777" w:rsidR="00F61CED" w:rsidRPr="00F61CED" w:rsidRDefault="00F61CED" w:rsidP="00F61CED">
            <w:pPr>
              <w:pStyle w:val="Tabletext"/>
            </w:pPr>
            <w:r w:rsidRPr="00F61CED">
              <w:t>0</w:t>
            </w:r>
            <w:r w:rsidR="00D7157D">
              <w:t>.</w:t>
            </w:r>
            <w:r w:rsidRPr="00F61CED">
              <w:t>5518</w:t>
            </w:r>
          </w:p>
        </w:tc>
        <w:tc>
          <w:tcPr>
            <w:tcW w:w="966" w:type="pct"/>
            <w:tcBorders>
              <w:top w:val="single" w:sz="4" w:space="0" w:color="auto"/>
              <w:bottom w:val="single" w:sz="4" w:space="0" w:color="auto"/>
            </w:tcBorders>
            <w:shd w:val="clear" w:color="auto" w:fill="auto"/>
            <w:vAlign w:val="bottom"/>
          </w:tcPr>
          <w:p w14:paraId="5DC0BA2F" w14:textId="77777777" w:rsidR="00F61CED" w:rsidRPr="00F61CED" w:rsidRDefault="00F61CED" w:rsidP="00F61CED">
            <w:pPr>
              <w:pStyle w:val="Tabletext"/>
            </w:pPr>
            <w:r w:rsidRPr="00F61CED">
              <w:t>6</w:t>
            </w:r>
            <w:r w:rsidR="00D7157D">
              <w:t>.</w:t>
            </w:r>
            <w:r w:rsidRPr="00F61CED">
              <w:t>2535</w:t>
            </w:r>
          </w:p>
        </w:tc>
        <w:tc>
          <w:tcPr>
            <w:tcW w:w="966" w:type="pct"/>
            <w:tcBorders>
              <w:top w:val="single" w:sz="4" w:space="0" w:color="auto"/>
              <w:bottom w:val="single" w:sz="4" w:space="0" w:color="auto"/>
              <w:right w:val="nil"/>
            </w:tcBorders>
            <w:shd w:val="clear" w:color="auto" w:fill="auto"/>
            <w:vAlign w:val="bottom"/>
          </w:tcPr>
          <w:p w14:paraId="45B3848D" w14:textId="77777777" w:rsidR="00F61CED" w:rsidRPr="00F61CED" w:rsidRDefault="00F61CED" w:rsidP="00F61CED">
            <w:pPr>
              <w:pStyle w:val="Tabletext"/>
            </w:pPr>
            <w:r w:rsidRPr="00F61CED">
              <w:t>0</w:t>
            </w:r>
            <w:r w:rsidR="00D7157D">
              <w:t>.</w:t>
            </w:r>
            <w:r w:rsidRPr="00F61CED">
              <w:t>1481</w:t>
            </w:r>
          </w:p>
        </w:tc>
      </w:tr>
      <w:tr w:rsidR="00F61CED" w:rsidRPr="00F61CED" w14:paraId="3F80149B" w14:textId="77777777" w:rsidTr="00F160E0">
        <w:trPr>
          <w:cantSplit/>
        </w:trPr>
        <w:tc>
          <w:tcPr>
            <w:tcW w:w="1136" w:type="pct"/>
            <w:tcBorders>
              <w:top w:val="single" w:sz="4" w:space="0" w:color="auto"/>
              <w:bottom w:val="single" w:sz="4" w:space="0" w:color="auto"/>
            </w:tcBorders>
          </w:tcPr>
          <w:p w14:paraId="3F2CF4B4" w14:textId="77777777" w:rsidR="00F61CED" w:rsidRPr="00F61CED" w:rsidRDefault="00F61CED" w:rsidP="00F61CED">
            <w:pPr>
              <w:pStyle w:val="Tabletext"/>
            </w:pPr>
            <w:r w:rsidRPr="00F61CED">
              <w:t>84</w:t>
            </w:r>
          </w:p>
        </w:tc>
        <w:tc>
          <w:tcPr>
            <w:tcW w:w="966" w:type="pct"/>
            <w:tcBorders>
              <w:top w:val="single" w:sz="4" w:space="0" w:color="auto"/>
              <w:bottom w:val="single" w:sz="4" w:space="0" w:color="auto"/>
            </w:tcBorders>
            <w:shd w:val="clear" w:color="auto" w:fill="auto"/>
            <w:vAlign w:val="bottom"/>
          </w:tcPr>
          <w:p w14:paraId="3AB46313" w14:textId="77777777" w:rsidR="00F61CED" w:rsidRPr="00F61CED" w:rsidRDefault="00F61CED" w:rsidP="00F61CED">
            <w:pPr>
              <w:pStyle w:val="Tabletext"/>
            </w:pPr>
            <w:r w:rsidRPr="00F61CED">
              <w:t>5</w:t>
            </w:r>
            <w:r w:rsidR="00D7157D">
              <w:t>.</w:t>
            </w:r>
            <w:r w:rsidRPr="00F61CED">
              <w:t>3069</w:t>
            </w:r>
          </w:p>
        </w:tc>
        <w:tc>
          <w:tcPr>
            <w:tcW w:w="966" w:type="pct"/>
            <w:tcBorders>
              <w:top w:val="single" w:sz="4" w:space="0" w:color="auto"/>
              <w:bottom w:val="single" w:sz="4" w:space="0" w:color="auto"/>
            </w:tcBorders>
            <w:shd w:val="clear" w:color="auto" w:fill="auto"/>
            <w:vAlign w:val="bottom"/>
          </w:tcPr>
          <w:p w14:paraId="3549A6E5" w14:textId="77777777" w:rsidR="00F61CED" w:rsidRPr="00F61CED" w:rsidRDefault="00F61CED" w:rsidP="00F61CED">
            <w:pPr>
              <w:pStyle w:val="Tabletext"/>
            </w:pPr>
            <w:r w:rsidRPr="00F61CED">
              <w:t>0</w:t>
            </w:r>
            <w:r w:rsidR="00D7157D">
              <w:t>.</w:t>
            </w:r>
            <w:r w:rsidRPr="00F61CED">
              <w:t>5358</w:t>
            </w:r>
          </w:p>
        </w:tc>
        <w:tc>
          <w:tcPr>
            <w:tcW w:w="966" w:type="pct"/>
            <w:tcBorders>
              <w:top w:val="single" w:sz="4" w:space="0" w:color="auto"/>
              <w:bottom w:val="single" w:sz="4" w:space="0" w:color="auto"/>
            </w:tcBorders>
            <w:shd w:val="clear" w:color="auto" w:fill="auto"/>
            <w:vAlign w:val="bottom"/>
          </w:tcPr>
          <w:p w14:paraId="6594749C" w14:textId="77777777" w:rsidR="00F61CED" w:rsidRPr="00F61CED" w:rsidRDefault="00F61CED" w:rsidP="00F61CED">
            <w:pPr>
              <w:pStyle w:val="Tabletext"/>
            </w:pPr>
            <w:r w:rsidRPr="00F61CED">
              <w:t>5</w:t>
            </w:r>
            <w:r w:rsidR="00D7157D">
              <w:t>.</w:t>
            </w:r>
            <w:r w:rsidRPr="00F61CED">
              <w:t>8694</w:t>
            </w:r>
          </w:p>
        </w:tc>
        <w:tc>
          <w:tcPr>
            <w:tcW w:w="966" w:type="pct"/>
            <w:tcBorders>
              <w:top w:val="single" w:sz="4" w:space="0" w:color="auto"/>
              <w:bottom w:val="single" w:sz="4" w:space="0" w:color="auto"/>
              <w:right w:val="nil"/>
            </w:tcBorders>
            <w:shd w:val="clear" w:color="auto" w:fill="auto"/>
            <w:vAlign w:val="bottom"/>
          </w:tcPr>
          <w:p w14:paraId="0B4A6136" w14:textId="77777777" w:rsidR="00F61CED" w:rsidRPr="00F61CED" w:rsidRDefault="00F61CED" w:rsidP="00F61CED">
            <w:pPr>
              <w:pStyle w:val="Tabletext"/>
            </w:pPr>
            <w:r w:rsidRPr="00F61CED">
              <w:t>0</w:t>
            </w:r>
            <w:r w:rsidR="00D7157D">
              <w:t>.</w:t>
            </w:r>
            <w:r w:rsidRPr="00F61CED">
              <w:t>1442</w:t>
            </w:r>
          </w:p>
        </w:tc>
      </w:tr>
      <w:tr w:rsidR="00F61CED" w:rsidRPr="00F61CED" w14:paraId="04E8AC63" w14:textId="77777777" w:rsidTr="00F160E0">
        <w:trPr>
          <w:cantSplit/>
        </w:trPr>
        <w:tc>
          <w:tcPr>
            <w:tcW w:w="1136" w:type="pct"/>
            <w:tcBorders>
              <w:top w:val="single" w:sz="4" w:space="0" w:color="auto"/>
              <w:bottom w:val="single" w:sz="4" w:space="0" w:color="auto"/>
            </w:tcBorders>
          </w:tcPr>
          <w:p w14:paraId="2FA35CCB" w14:textId="77777777" w:rsidR="00F61CED" w:rsidRPr="00F61CED" w:rsidRDefault="00F61CED" w:rsidP="00F61CED">
            <w:pPr>
              <w:pStyle w:val="Tabletext"/>
            </w:pPr>
            <w:r w:rsidRPr="00F61CED">
              <w:t>85</w:t>
            </w:r>
          </w:p>
        </w:tc>
        <w:tc>
          <w:tcPr>
            <w:tcW w:w="966" w:type="pct"/>
            <w:tcBorders>
              <w:top w:val="single" w:sz="4" w:space="0" w:color="auto"/>
              <w:bottom w:val="single" w:sz="4" w:space="0" w:color="auto"/>
            </w:tcBorders>
            <w:shd w:val="clear" w:color="auto" w:fill="auto"/>
            <w:vAlign w:val="bottom"/>
          </w:tcPr>
          <w:p w14:paraId="292BB376" w14:textId="77777777" w:rsidR="00F61CED" w:rsidRPr="00F61CED" w:rsidRDefault="00F61CED" w:rsidP="00F61CED">
            <w:pPr>
              <w:pStyle w:val="Tabletext"/>
            </w:pPr>
            <w:r w:rsidRPr="00F61CED">
              <w:t>4</w:t>
            </w:r>
            <w:r w:rsidR="00D7157D">
              <w:t>.</w:t>
            </w:r>
            <w:r w:rsidRPr="00F61CED">
              <w:t>9959</w:t>
            </w:r>
          </w:p>
        </w:tc>
        <w:tc>
          <w:tcPr>
            <w:tcW w:w="966" w:type="pct"/>
            <w:tcBorders>
              <w:top w:val="single" w:sz="4" w:space="0" w:color="auto"/>
              <w:bottom w:val="single" w:sz="4" w:space="0" w:color="auto"/>
            </w:tcBorders>
            <w:shd w:val="clear" w:color="auto" w:fill="auto"/>
            <w:vAlign w:val="bottom"/>
          </w:tcPr>
          <w:p w14:paraId="0C9075EF" w14:textId="77777777" w:rsidR="00F61CED" w:rsidRPr="00F61CED" w:rsidRDefault="00F61CED" w:rsidP="00F61CED">
            <w:pPr>
              <w:pStyle w:val="Tabletext"/>
            </w:pPr>
            <w:r w:rsidRPr="00F61CED">
              <w:t>0</w:t>
            </w:r>
            <w:r w:rsidR="00D7157D">
              <w:t>.</w:t>
            </w:r>
            <w:r w:rsidRPr="00F61CED">
              <w:t>5185</w:t>
            </w:r>
          </w:p>
        </w:tc>
        <w:tc>
          <w:tcPr>
            <w:tcW w:w="966" w:type="pct"/>
            <w:tcBorders>
              <w:top w:val="single" w:sz="4" w:space="0" w:color="auto"/>
              <w:bottom w:val="single" w:sz="4" w:space="0" w:color="auto"/>
            </w:tcBorders>
            <w:shd w:val="clear" w:color="auto" w:fill="auto"/>
            <w:vAlign w:val="bottom"/>
          </w:tcPr>
          <w:p w14:paraId="1D0910EB" w14:textId="77777777" w:rsidR="00F61CED" w:rsidRPr="00F61CED" w:rsidRDefault="00F61CED" w:rsidP="00F61CED">
            <w:pPr>
              <w:pStyle w:val="Tabletext"/>
            </w:pPr>
            <w:r w:rsidRPr="00F61CED">
              <w:t>5</w:t>
            </w:r>
            <w:r w:rsidR="00D7157D">
              <w:t>.</w:t>
            </w:r>
            <w:r w:rsidRPr="00F61CED">
              <w:t>4992</w:t>
            </w:r>
          </w:p>
        </w:tc>
        <w:tc>
          <w:tcPr>
            <w:tcW w:w="966" w:type="pct"/>
            <w:tcBorders>
              <w:top w:val="single" w:sz="4" w:space="0" w:color="auto"/>
              <w:bottom w:val="single" w:sz="4" w:space="0" w:color="auto"/>
              <w:right w:val="nil"/>
            </w:tcBorders>
            <w:shd w:val="clear" w:color="auto" w:fill="auto"/>
            <w:vAlign w:val="bottom"/>
          </w:tcPr>
          <w:p w14:paraId="7FDAB898" w14:textId="77777777" w:rsidR="00F61CED" w:rsidRPr="00F61CED" w:rsidRDefault="00F61CED" w:rsidP="00F61CED">
            <w:pPr>
              <w:pStyle w:val="Tabletext"/>
            </w:pPr>
            <w:r w:rsidRPr="00F61CED">
              <w:t>0</w:t>
            </w:r>
            <w:r w:rsidR="00D7157D">
              <w:t>.</w:t>
            </w:r>
            <w:r w:rsidRPr="00F61CED">
              <w:t>1402</w:t>
            </w:r>
          </w:p>
        </w:tc>
      </w:tr>
      <w:tr w:rsidR="00F61CED" w:rsidRPr="00F61CED" w14:paraId="4084A148" w14:textId="77777777" w:rsidTr="00F160E0">
        <w:trPr>
          <w:cantSplit/>
        </w:trPr>
        <w:tc>
          <w:tcPr>
            <w:tcW w:w="1136" w:type="pct"/>
            <w:tcBorders>
              <w:top w:val="single" w:sz="4" w:space="0" w:color="auto"/>
              <w:bottom w:val="single" w:sz="4" w:space="0" w:color="auto"/>
            </w:tcBorders>
          </w:tcPr>
          <w:p w14:paraId="6D2A0D88" w14:textId="77777777" w:rsidR="00F61CED" w:rsidRPr="00F61CED" w:rsidRDefault="00F61CED" w:rsidP="00F61CED">
            <w:pPr>
              <w:pStyle w:val="Tabletext"/>
            </w:pPr>
            <w:r w:rsidRPr="00F61CED">
              <w:t>86</w:t>
            </w:r>
          </w:p>
        </w:tc>
        <w:tc>
          <w:tcPr>
            <w:tcW w:w="966" w:type="pct"/>
            <w:tcBorders>
              <w:top w:val="single" w:sz="4" w:space="0" w:color="auto"/>
              <w:bottom w:val="single" w:sz="4" w:space="0" w:color="auto"/>
            </w:tcBorders>
            <w:shd w:val="clear" w:color="auto" w:fill="auto"/>
            <w:vAlign w:val="bottom"/>
          </w:tcPr>
          <w:p w14:paraId="015603C2" w14:textId="77777777" w:rsidR="00F61CED" w:rsidRPr="00F61CED" w:rsidRDefault="00F61CED" w:rsidP="00F61CED">
            <w:pPr>
              <w:pStyle w:val="Tabletext"/>
            </w:pPr>
            <w:r w:rsidRPr="00F61CED">
              <w:t>4</w:t>
            </w:r>
            <w:r w:rsidR="00D7157D">
              <w:t>.</w:t>
            </w:r>
            <w:r w:rsidRPr="00F61CED">
              <w:t>7055</w:t>
            </w:r>
          </w:p>
        </w:tc>
        <w:tc>
          <w:tcPr>
            <w:tcW w:w="966" w:type="pct"/>
            <w:tcBorders>
              <w:top w:val="single" w:sz="4" w:space="0" w:color="auto"/>
              <w:bottom w:val="single" w:sz="4" w:space="0" w:color="auto"/>
            </w:tcBorders>
            <w:shd w:val="clear" w:color="auto" w:fill="auto"/>
            <w:vAlign w:val="bottom"/>
          </w:tcPr>
          <w:p w14:paraId="5BDAEBF0" w14:textId="77777777" w:rsidR="00F61CED" w:rsidRPr="00F61CED" w:rsidRDefault="00F61CED" w:rsidP="00F61CED">
            <w:pPr>
              <w:pStyle w:val="Tabletext"/>
            </w:pPr>
            <w:r w:rsidRPr="00F61CED">
              <w:t>0</w:t>
            </w:r>
            <w:r w:rsidR="00D7157D">
              <w:t>.</w:t>
            </w:r>
            <w:r w:rsidRPr="00F61CED">
              <w:t>4998</w:t>
            </w:r>
          </w:p>
        </w:tc>
        <w:tc>
          <w:tcPr>
            <w:tcW w:w="966" w:type="pct"/>
            <w:tcBorders>
              <w:top w:val="single" w:sz="4" w:space="0" w:color="auto"/>
              <w:bottom w:val="single" w:sz="4" w:space="0" w:color="auto"/>
            </w:tcBorders>
            <w:shd w:val="clear" w:color="auto" w:fill="auto"/>
            <w:vAlign w:val="bottom"/>
          </w:tcPr>
          <w:p w14:paraId="789A3472" w14:textId="77777777" w:rsidR="00F61CED" w:rsidRPr="00F61CED" w:rsidRDefault="00F61CED" w:rsidP="00F61CED">
            <w:pPr>
              <w:pStyle w:val="Tabletext"/>
            </w:pPr>
            <w:r w:rsidRPr="00F61CED">
              <w:t>5</w:t>
            </w:r>
            <w:r w:rsidR="00D7157D">
              <w:t>.</w:t>
            </w:r>
            <w:r w:rsidRPr="00F61CED">
              <w:t>1439</w:t>
            </w:r>
          </w:p>
        </w:tc>
        <w:tc>
          <w:tcPr>
            <w:tcW w:w="966" w:type="pct"/>
            <w:tcBorders>
              <w:top w:val="single" w:sz="4" w:space="0" w:color="auto"/>
              <w:bottom w:val="single" w:sz="4" w:space="0" w:color="auto"/>
              <w:right w:val="nil"/>
            </w:tcBorders>
            <w:shd w:val="clear" w:color="auto" w:fill="auto"/>
            <w:vAlign w:val="bottom"/>
          </w:tcPr>
          <w:p w14:paraId="4EDAF20C" w14:textId="77777777" w:rsidR="00F61CED" w:rsidRPr="00F61CED" w:rsidRDefault="00F61CED" w:rsidP="00F61CED">
            <w:pPr>
              <w:pStyle w:val="Tabletext"/>
            </w:pPr>
            <w:r w:rsidRPr="00F61CED">
              <w:t>0</w:t>
            </w:r>
            <w:r w:rsidR="00D7157D">
              <w:t>.</w:t>
            </w:r>
            <w:r w:rsidRPr="00F61CED">
              <w:t>1361</w:t>
            </w:r>
          </w:p>
        </w:tc>
      </w:tr>
      <w:tr w:rsidR="00F61CED" w:rsidRPr="00F61CED" w14:paraId="5AE8B097" w14:textId="77777777" w:rsidTr="00F160E0">
        <w:trPr>
          <w:cantSplit/>
        </w:trPr>
        <w:tc>
          <w:tcPr>
            <w:tcW w:w="1136" w:type="pct"/>
            <w:tcBorders>
              <w:top w:val="single" w:sz="4" w:space="0" w:color="auto"/>
              <w:bottom w:val="single" w:sz="4" w:space="0" w:color="auto"/>
            </w:tcBorders>
          </w:tcPr>
          <w:p w14:paraId="3B2C28B7" w14:textId="77777777" w:rsidR="00F61CED" w:rsidRPr="00F61CED" w:rsidRDefault="00F61CED" w:rsidP="00F61CED">
            <w:pPr>
              <w:pStyle w:val="Tabletext"/>
            </w:pPr>
            <w:r w:rsidRPr="00F61CED">
              <w:t>87</w:t>
            </w:r>
          </w:p>
        </w:tc>
        <w:tc>
          <w:tcPr>
            <w:tcW w:w="966" w:type="pct"/>
            <w:tcBorders>
              <w:top w:val="single" w:sz="4" w:space="0" w:color="auto"/>
              <w:bottom w:val="single" w:sz="4" w:space="0" w:color="auto"/>
            </w:tcBorders>
            <w:shd w:val="clear" w:color="auto" w:fill="auto"/>
            <w:vAlign w:val="bottom"/>
          </w:tcPr>
          <w:p w14:paraId="2822BAFD" w14:textId="77777777" w:rsidR="00F61CED" w:rsidRPr="00F61CED" w:rsidRDefault="00F61CED" w:rsidP="00F61CED">
            <w:pPr>
              <w:pStyle w:val="Tabletext"/>
            </w:pPr>
            <w:r w:rsidRPr="00F61CED">
              <w:t>4</w:t>
            </w:r>
            <w:r w:rsidR="00D7157D">
              <w:t>.</w:t>
            </w:r>
            <w:r w:rsidRPr="00F61CED">
              <w:t>4325</w:t>
            </w:r>
          </w:p>
        </w:tc>
        <w:tc>
          <w:tcPr>
            <w:tcW w:w="966" w:type="pct"/>
            <w:tcBorders>
              <w:top w:val="single" w:sz="4" w:space="0" w:color="auto"/>
              <w:bottom w:val="single" w:sz="4" w:space="0" w:color="auto"/>
            </w:tcBorders>
            <w:shd w:val="clear" w:color="auto" w:fill="auto"/>
            <w:vAlign w:val="bottom"/>
          </w:tcPr>
          <w:p w14:paraId="576C52D3" w14:textId="77777777" w:rsidR="00F61CED" w:rsidRPr="00F61CED" w:rsidRDefault="00F61CED" w:rsidP="00F61CED">
            <w:pPr>
              <w:pStyle w:val="Tabletext"/>
            </w:pPr>
            <w:r w:rsidRPr="00F61CED">
              <w:t>0</w:t>
            </w:r>
            <w:r w:rsidR="00D7157D">
              <w:t>.</w:t>
            </w:r>
            <w:r w:rsidRPr="00F61CED">
              <w:t>4802</w:t>
            </w:r>
          </w:p>
        </w:tc>
        <w:tc>
          <w:tcPr>
            <w:tcW w:w="966" w:type="pct"/>
            <w:tcBorders>
              <w:top w:val="single" w:sz="4" w:space="0" w:color="auto"/>
              <w:bottom w:val="single" w:sz="4" w:space="0" w:color="auto"/>
            </w:tcBorders>
            <w:shd w:val="clear" w:color="auto" w:fill="auto"/>
            <w:vAlign w:val="bottom"/>
          </w:tcPr>
          <w:p w14:paraId="71B25D76" w14:textId="77777777" w:rsidR="00F61CED" w:rsidRPr="00F61CED" w:rsidRDefault="00F61CED" w:rsidP="00F61CED">
            <w:pPr>
              <w:pStyle w:val="Tabletext"/>
            </w:pPr>
            <w:r w:rsidRPr="00F61CED">
              <w:t>4</w:t>
            </w:r>
            <w:r w:rsidR="00D7157D">
              <w:t>.</w:t>
            </w:r>
            <w:r w:rsidRPr="00F61CED">
              <w:t>8074</w:t>
            </w:r>
          </w:p>
        </w:tc>
        <w:tc>
          <w:tcPr>
            <w:tcW w:w="966" w:type="pct"/>
            <w:tcBorders>
              <w:top w:val="single" w:sz="4" w:space="0" w:color="auto"/>
              <w:bottom w:val="single" w:sz="4" w:space="0" w:color="auto"/>
              <w:right w:val="nil"/>
            </w:tcBorders>
            <w:shd w:val="clear" w:color="auto" w:fill="auto"/>
            <w:vAlign w:val="bottom"/>
          </w:tcPr>
          <w:p w14:paraId="62B87EE3" w14:textId="77777777" w:rsidR="00F61CED" w:rsidRPr="00F61CED" w:rsidRDefault="00F61CED" w:rsidP="00F61CED">
            <w:pPr>
              <w:pStyle w:val="Tabletext"/>
            </w:pPr>
            <w:r w:rsidRPr="00F61CED">
              <w:t>0</w:t>
            </w:r>
            <w:r w:rsidR="00D7157D">
              <w:t>.</w:t>
            </w:r>
            <w:r w:rsidRPr="00F61CED">
              <w:t>1320</w:t>
            </w:r>
          </w:p>
        </w:tc>
      </w:tr>
      <w:tr w:rsidR="00F61CED" w:rsidRPr="00F61CED" w14:paraId="6FDB8D31" w14:textId="77777777" w:rsidTr="00F160E0">
        <w:trPr>
          <w:cantSplit/>
        </w:trPr>
        <w:tc>
          <w:tcPr>
            <w:tcW w:w="1136" w:type="pct"/>
            <w:tcBorders>
              <w:top w:val="single" w:sz="4" w:space="0" w:color="auto"/>
              <w:bottom w:val="single" w:sz="4" w:space="0" w:color="auto"/>
            </w:tcBorders>
          </w:tcPr>
          <w:p w14:paraId="2BCB80CD" w14:textId="77777777" w:rsidR="00F61CED" w:rsidRPr="00F61CED" w:rsidRDefault="00F61CED" w:rsidP="00F61CED">
            <w:pPr>
              <w:pStyle w:val="Tabletext"/>
            </w:pPr>
            <w:r w:rsidRPr="00F61CED">
              <w:t>88</w:t>
            </w:r>
          </w:p>
        </w:tc>
        <w:tc>
          <w:tcPr>
            <w:tcW w:w="966" w:type="pct"/>
            <w:tcBorders>
              <w:top w:val="single" w:sz="4" w:space="0" w:color="auto"/>
              <w:bottom w:val="single" w:sz="4" w:space="0" w:color="auto"/>
            </w:tcBorders>
            <w:shd w:val="clear" w:color="auto" w:fill="auto"/>
            <w:vAlign w:val="bottom"/>
          </w:tcPr>
          <w:p w14:paraId="3918FA2F" w14:textId="77777777" w:rsidR="00F61CED" w:rsidRPr="00F61CED" w:rsidRDefault="00F61CED" w:rsidP="00F61CED">
            <w:pPr>
              <w:pStyle w:val="Tabletext"/>
            </w:pPr>
            <w:r w:rsidRPr="00F61CED">
              <w:t>4</w:t>
            </w:r>
            <w:r w:rsidR="00D7157D">
              <w:t>.</w:t>
            </w:r>
            <w:r w:rsidRPr="00F61CED">
              <w:t>1775</w:t>
            </w:r>
          </w:p>
        </w:tc>
        <w:tc>
          <w:tcPr>
            <w:tcW w:w="966" w:type="pct"/>
            <w:tcBorders>
              <w:top w:val="single" w:sz="4" w:space="0" w:color="auto"/>
              <w:bottom w:val="single" w:sz="4" w:space="0" w:color="auto"/>
            </w:tcBorders>
            <w:shd w:val="clear" w:color="auto" w:fill="auto"/>
            <w:vAlign w:val="bottom"/>
          </w:tcPr>
          <w:p w14:paraId="0E42C261" w14:textId="77777777" w:rsidR="00F61CED" w:rsidRPr="00F61CED" w:rsidRDefault="00F61CED" w:rsidP="00F61CED">
            <w:pPr>
              <w:pStyle w:val="Tabletext"/>
            </w:pPr>
            <w:r w:rsidRPr="00F61CED">
              <w:t>0</w:t>
            </w:r>
            <w:r w:rsidR="00D7157D">
              <w:t>.</w:t>
            </w:r>
            <w:r w:rsidRPr="00F61CED">
              <w:t>4597</w:t>
            </w:r>
          </w:p>
        </w:tc>
        <w:tc>
          <w:tcPr>
            <w:tcW w:w="966" w:type="pct"/>
            <w:tcBorders>
              <w:top w:val="single" w:sz="4" w:space="0" w:color="auto"/>
              <w:bottom w:val="single" w:sz="4" w:space="0" w:color="auto"/>
            </w:tcBorders>
            <w:shd w:val="clear" w:color="auto" w:fill="auto"/>
            <w:vAlign w:val="bottom"/>
          </w:tcPr>
          <w:p w14:paraId="3227CCE5" w14:textId="77777777" w:rsidR="00F61CED" w:rsidRPr="00F61CED" w:rsidRDefault="00F61CED" w:rsidP="00F61CED">
            <w:pPr>
              <w:pStyle w:val="Tabletext"/>
            </w:pPr>
            <w:r w:rsidRPr="00F61CED">
              <w:t>4</w:t>
            </w:r>
            <w:r w:rsidR="00D7157D">
              <w:t>.</w:t>
            </w:r>
            <w:r w:rsidRPr="00F61CED">
              <w:t>4904</w:t>
            </w:r>
          </w:p>
        </w:tc>
        <w:tc>
          <w:tcPr>
            <w:tcW w:w="966" w:type="pct"/>
            <w:tcBorders>
              <w:top w:val="single" w:sz="4" w:space="0" w:color="auto"/>
              <w:bottom w:val="single" w:sz="4" w:space="0" w:color="auto"/>
              <w:right w:val="nil"/>
            </w:tcBorders>
            <w:shd w:val="clear" w:color="auto" w:fill="auto"/>
            <w:vAlign w:val="bottom"/>
          </w:tcPr>
          <w:p w14:paraId="3BEC35DF" w14:textId="77777777" w:rsidR="00F61CED" w:rsidRPr="00F61CED" w:rsidRDefault="00F61CED" w:rsidP="00F61CED">
            <w:pPr>
              <w:pStyle w:val="Tabletext"/>
            </w:pPr>
            <w:r w:rsidRPr="00F61CED">
              <w:t>0</w:t>
            </w:r>
            <w:r w:rsidR="00D7157D">
              <w:t>.</w:t>
            </w:r>
            <w:r w:rsidRPr="00F61CED">
              <w:t>1279</w:t>
            </w:r>
          </w:p>
        </w:tc>
      </w:tr>
      <w:tr w:rsidR="00F61CED" w:rsidRPr="00F61CED" w14:paraId="5537C9AC" w14:textId="77777777" w:rsidTr="00F160E0">
        <w:trPr>
          <w:cantSplit/>
        </w:trPr>
        <w:tc>
          <w:tcPr>
            <w:tcW w:w="1136" w:type="pct"/>
            <w:tcBorders>
              <w:top w:val="single" w:sz="4" w:space="0" w:color="auto"/>
              <w:bottom w:val="single" w:sz="4" w:space="0" w:color="auto"/>
            </w:tcBorders>
          </w:tcPr>
          <w:p w14:paraId="54C48131" w14:textId="77777777" w:rsidR="00F61CED" w:rsidRPr="00F61CED" w:rsidRDefault="00F61CED" w:rsidP="00F61CED">
            <w:pPr>
              <w:pStyle w:val="Tabletext"/>
            </w:pPr>
            <w:r w:rsidRPr="00F61CED">
              <w:t>89</w:t>
            </w:r>
          </w:p>
        </w:tc>
        <w:tc>
          <w:tcPr>
            <w:tcW w:w="966" w:type="pct"/>
            <w:tcBorders>
              <w:top w:val="single" w:sz="4" w:space="0" w:color="auto"/>
              <w:bottom w:val="single" w:sz="4" w:space="0" w:color="auto"/>
            </w:tcBorders>
            <w:shd w:val="clear" w:color="auto" w:fill="auto"/>
            <w:vAlign w:val="bottom"/>
          </w:tcPr>
          <w:p w14:paraId="119D2053" w14:textId="77777777" w:rsidR="00F61CED" w:rsidRPr="00F61CED" w:rsidRDefault="00F61CED" w:rsidP="00F61CED">
            <w:pPr>
              <w:pStyle w:val="Tabletext"/>
            </w:pPr>
            <w:r w:rsidRPr="00F61CED">
              <w:t>3</w:t>
            </w:r>
            <w:r w:rsidR="00D7157D">
              <w:t>.</w:t>
            </w:r>
            <w:r w:rsidRPr="00F61CED">
              <w:t>9403</w:t>
            </w:r>
          </w:p>
        </w:tc>
        <w:tc>
          <w:tcPr>
            <w:tcW w:w="966" w:type="pct"/>
            <w:tcBorders>
              <w:top w:val="single" w:sz="4" w:space="0" w:color="auto"/>
              <w:bottom w:val="single" w:sz="4" w:space="0" w:color="auto"/>
            </w:tcBorders>
            <w:shd w:val="clear" w:color="auto" w:fill="auto"/>
            <w:vAlign w:val="bottom"/>
          </w:tcPr>
          <w:p w14:paraId="53EDDCBA" w14:textId="77777777" w:rsidR="00F61CED" w:rsidRPr="00F61CED" w:rsidRDefault="00F61CED" w:rsidP="00F61CED">
            <w:pPr>
              <w:pStyle w:val="Tabletext"/>
            </w:pPr>
            <w:r w:rsidRPr="00F61CED">
              <w:t>0</w:t>
            </w:r>
            <w:r w:rsidR="00D7157D">
              <w:t>.</w:t>
            </w:r>
            <w:r w:rsidRPr="00F61CED">
              <w:t>4388</w:t>
            </w:r>
          </w:p>
        </w:tc>
        <w:tc>
          <w:tcPr>
            <w:tcW w:w="966" w:type="pct"/>
            <w:tcBorders>
              <w:top w:val="single" w:sz="4" w:space="0" w:color="auto"/>
              <w:bottom w:val="single" w:sz="4" w:space="0" w:color="auto"/>
            </w:tcBorders>
            <w:shd w:val="clear" w:color="auto" w:fill="auto"/>
            <w:vAlign w:val="bottom"/>
          </w:tcPr>
          <w:p w14:paraId="6739BDD5" w14:textId="77777777" w:rsidR="00F61CED" w:rsidRPr="00F61CED" w:rsidRDefault="00F61CED" w:rsidP="00F61CED">
            <w:pPr>
              <w:pStyle w:val="Tabletext"/>
            </w:pPr>
            <w:r w:rsidRPr="00F61CED">
              <w:t>4</w:t>
            </w:r>
            <w:r w:rsidR="00D7157D">
              <w:t>.</w:t>
            </w:r>
            <w:r w:rsidRPr="00F61CED">
              <w:t>1951</w:t>
            </w:r>
          </w:p>
        </w:tc>
        <w:tc>
          <w:tcPr>
            <w:tcW w:w="966" w:type="pct"/>
            <w:tcBorders>
              <w:top w:val="single" w:sz="4" w:space="0" w:color="auto"/>
              <w:bottom w:val="single" w:sz="4" w:space="0" w:color="auto"/>
              <w:right w:val="nil"/>
            </w:tcBorders>
            <w:shd w:val="clear" w:color="auto" w:fill="auto"/>
            <w:vAlign w:val="bottom"/>
          </w:tcPr>
          <w:p w14:paraId="2D3494A8" w14:textId="77777777" w:rsidR="00F61CED" w:rsidRPr="00F61CED" w:rsidRDefault="00F61CED" w:rsidP="00F61CED">
            <w:pPr>
              <w:pStyle w:val="Tabletext"/>
            </w:pPr>
            <w:r w:rsidRPr="00F61CED">
              <w:t>0</w:t>
            </w:r>
            <w:r w:rsidR="00D7157D">
              <w:t>.</w:t>
            </w:r>
            <w:r w:rsidRPr="00F61CED">
              <w:t>1238</w:t>
            </w:r>
          </w:p>
        </w:tc>
      </w:tr>
      <w:tr w:rsidR="00F61CED" w:rsidRPr="00F61CED" w14:paraId="3BAA05B4" w14:textId="77777777" w:rsidTr="00F160E0">
        <w:trPr>
          <w:cantSplit/>
        </w:trPr>
        <w:tc>
          <w:tcPr>
            <w:tcW w:w="1136" w:type="pct"/>
            <w:tcBorders>
              <w:top w:val="single" w:sz="4" w:space="0" w:color="auto"/>
              <w:bottom w:val="single" w:sz="4" w:space="0" w:color="auto"/>
            </w:tcBorders>
          </w:tcPr>
          <w:p w14:paraId="5840A0C0" w14:textId="77777777" w:rsidR="00F61CED" w:rsidRPr="00F61CED" w:rsidRDefault="00F61CED" w:rsidP="00F61CED">
            <w:pPr>
              <w:pStyle w:val="Tabletext"/>
            </w:pPr>
            <w:r w:rsidRPr="00F61CED">
              <w:t>90</w:t>
            </w:r>
          </w:p>
        </w:tc>
        <w:tc>
          <w:tcPr>
            <w:tcW w:w="966" w:type="pct"/>
            <w:tcBorders>
              <w:top w:val="single" w:sz="4" w:space="0" w:color="auto"/>
              <w:bottom w:val="single" w:sz="4" w:space="0" w:color="auto"/>
            </w:tcBorders>
            <w:shd w:val="clear" w:color="auto" w:fill="auto"/>
            <w:vAlign w:val="bottom"/>
          </w:tcPr>
          <w:p w14:paraId="4263DAB7" w14:textId="77777777" w:rsidR="00F61CED" w:rsidRPr="00F61CED" w:rsidRDefault="00F61CED" w:rsidP="00F61CED">
            <w:pPr>
              <w:pStyle w:val="Tabletext"/>
            </w:pPr>
            <w:r w:rsidRPr="00F61CED">
              <w:t>3</w:t>
            </w:r>
            <w:r w:rsidR="00D7157D">
              <w:t>.</w:t>
            </w:r>
            <w:r w:rsidRPr="00F61CED">
              <w:t>7192</w:t>
            </w:r>
          </w:p>
        </w:tc>
        <w:tc>
          <w:tcPr>
            <w:tcW w:w="966" w:type="pct"/>
            <w:tcBorders>
              <w:top w:val="single" w:sz="4" w:space="0" w:color="auto"/>
              <w:bottom w:val="single" w:sz="4" w:space="0" w:color="auto"/>
            </w:tcBorders>
            <w:shd w:val="clear" w:color="auto" w:fill="auto"/>
            <w:vAlign w:val="bottom"/>
          </w:tcPr>
          <w:p w14:paraId="0BCA66B7" w14:textId="77777777" w:rsidR="00F61CED" w:rsidRPr="00F61CED" w:rsidRDefault="00F61CED" w:rsidP="00F61CED">
            <w:pPr>
              <w:pStyle w:val="Tabletext"/>
            </w:pPr>
            <w:r w:rsidRPr="00F61CED">
              <w:t>0</w:t>
            </w:r>
            <w:r w:rsidR="00D7157D">
              <w:t>.</w:t>
            </w:r>
            <w:r w:rsidRPr="00F61CED">
              <w:t>4178</w:t>
            </w:r>
          </w:p>
        </w:tc>
        <w:tc>
          <w:tcPr>
            <w:tcW w:w="966" w:type="pct"/>
            <w:tcBorders>
              <w:top w:val="single" w:sz="4" w:space="0" w:color="auto"/>
              <w:bottom w:val="single" w:sz="4" w:space="0" w:color="auto"/>
            </w:tcBorders>
            <w:shd w:val="clear" w:color="auto" w:fill="auto"/>
            <w:vAlign w:val="bottom"/>
          </w:tcPr>
          <w:p w14:paraId="6ED331DA" w14:textId="77777777" w:rsidR="00F61CED" w:rsidRPr="00F61CED" w:rsidRDefault="00F61CED" w:rsidP="00F61CED">
            <w:pPr>
              <w:pStyle w:val="Tabletext"/>
            </w:pPr>
            <w:r w:rsidRPr="00F61CED">
              <w:t>3</w:t>
            </w:r>
            <w:r w:rsidR="00D7157D">
              <w:t>.</w:t>
            </w:r>
            <w:r w:rsidRPr="00F61CED">
              <w:t>9242</w:t>
            </w:r>
          </w:p>
        </w:tc>
        <w:tc>
          <w:tcPr>
            <w:tcW w:w="966" w:type="pct"/>
            <w:tcBorders>
              <w:top w:val="single" w:sz="4" w:space="0" w:color="auto"/>
              <w:bottom w:val="single" w:sz="4" w:space="0" w:color="auto"/>
              <w:right w:val="nil"/>
            </w:tcBorders>
            <w:shd w:val="clear" w:color="auto" w:fill="auto"/>
            <w:vAlign w:val="bottom"/>
          </w:tcPr>
          <w:p w14:paraId="372C5AF4" w14:textId="77777777" w:rsidR="00F61CED" w:rsidRPr="00F61CED" w:rsidRDefault="00F61CED" w:rsidP="00F61CED">
            <w:pPr>
              <w:pStyle w:val="Tabletext"/>
            </w:pPr>
            <w:r w:rsidRPr="00F61CED">
              <w:t>0</w:t>
            </w:r>
            <w:r w:rsidR="00D7157D">
              <w:t>.</w:t>
            </w:r>
            <w:r w:rsidRPr="00F61CED">
              <w:t>1197</w:t>
            </w:r>
          </w:p>
        </w:tc>
      </w:tr>
      <w:tr w:rsidR="00F61CED" w:rsidRPr="00F61CED" w14:paraId="5DD6914D" w14:textId="77777777" w:rsidTr="00F160E0">
        <w:trPr>
          <w:cantSplit/>
        </w:trPr>
        <w:tc>
          <w:tcPr>
            <w:tcW w:w="1136" w:type="pct"/>
            <w:tcBorders>
              <w:top w:val="single" w:sz="4" w:space="0" w:color="auto"/>
              <w:bottom w:val="single" w:sz="4" w:space="0" w:color="auto"/>
            </w:tcBorders>
          </w:tcPr>
          <w:p w14:paraId="04A993AD" w14:textId="77777777" w:rsidR="00F61CED" w:rsidRPr="00F61CED" w:rsidRDefault="00F61CED" w:rsidP="00F61CED">
            <w:pPr>
              <w:pStyle w:val="Tabletext"/>
            </w:pPr>
            <w:r w:rsidRPr="00F61CED">
              <w:t>91</w:t>
            </w:r>
          </w:p>
        </w:tc>
        <w:tc>
          <w:tcPr>
            <w:tcW w:w="966" w:type="pct"/>
            <w:tcBorders>
              <w:top w:val="single" w:sz="4" w:space="0" w:color="auto"/>
              <w:bottom w:val="single" w:sz="4" w:space="0" w:color="auto"/>
            </w:tcBorders>
            <w:shd w:val="clear" w:color="auto" w:fill="auto"/>
            <w:vAlign w:val="bottom"/>
          </w:tcPr>
          <w:p w14:paraId="7892F9AF" w14:textId="77777777" w:rsidR="00F61CED" w:rsidRPr="00F61CED" w:rsidRDefault="00F61CED" w:rsidP="00F61CED">
            <w:pPr>
              <w:pStyle w:val="Tabletext"/>
            </w:pPr>
            <w:r w:rsidRPr="00F61CED">
              <w:t>3</w:t>
            </w:r>
            <w:r w:rsidR="00D7157D">
              <w:t>.</w:t>
            </w:r>
            <w:r w:rsidRPr="00F61CED">
              <w:t>5101</w:t>
            </w:r>
          </w:p>
        </w:tc>
        <w:tc>
          <w:tcPr>
            <w:tcW w:w="966" w:type="pct"/>
            <w:tcBorders>
              <w:top w:val="single" w:sz="4" w:space="0" w:color="auto"/>
              <w:bottom w:val="single" w:sz="4" w:space="0" w:color="auto"/>
            </w:tcBorders>
            <w:shd w:val="clear" w:color="auto" w:fill="auto"/>
            <w:vAlign w:val="bottom"/>
          </w:tcPr>
          <w:p w14:paraId="3981A45D" w14:textId="77777777" w:rsidR="00F61CED" w:rsidRPr="00F61CED" w:rsidRDefault="00F61CED" w:rsidP="00F61CED">
            <w:pPr>
              <w:pStyle w:val="Tabletext"/>
            </w:pPr>
            <w:r w:rsidRPr="00F61CED">
              <w:t>0</w:t>
            </w:r>
            <w:r w:rsidR="00D7157D">
              <w:t>.</w:t>
            </w:r>
            <w:r w:rsidRPr="00F61CED">
              <w:t>3973</w:t>
            </w:r>
          </w:p>
        </w:tc>
        <w:tc>
          <w:tcPr>
            <w:tcW w:w="966" w:type="pct"/>
            <w:tcBorders>
              <w:top w:val="single" w:sz="4" w:space="0" w:color="auto"/>
              <w:bottom w:val="single" w:sz="4" w:space="0" w:color="auto"/>
            </w:tcBorders>
            <w:shd w:val="clear" w:color="auto" w:fill="auto"/>
            <w:vAlign w:val="bottom"/>
          </w:tcPr>
          <w:p w14:paraId="3D8B4BF1" w14:textId="77777777" w:rsidR="00F61CED" w:rsidRPr="00F61CED" w:rsidRDefault="00F61CED" w:rsidP="00F61CED">
            <w:pPr>
              <w:pStyle w:val="Tabletext"/>
            </w:pPr>
            <w:r w:rsidRPr="00F61CED">
              <w:t>3</w:t>
            </w:r>
            <w:r w:rsidR="00D7157D">
              <w:t>.</w:t>
            </w:r>
            <w:r w:rsidRPr="00F61CED">
              <w:t>6753</w:t>
            </w:r>
          </w:p>
        </w:tc>
        <w:tc>
          <w:tcPr>
            <w:tcW w:w="966" w:type="pct"/>
            <w:tcBorders>
              <w:top w:val="single" w:sz="4" w:space="0" w:color="auto"/>
              <w:bottom w:val="single" w:sz="4" w:space="0" w:color="auto"/>
              <w:right w:val="nil"/>
            </w:tcBorders>
            <w:shd w:val="clear" w:color="auto" w:fill="auto"/>
            <w:vAlign w:val="bottom"/>
          </w:tcPr>
          <w:p w14:paraId="23ED3352" w14:textId="77777777" w:rsidR="00F61CED" w:rsidRPr="00F61CED" w:rsidRDefault="00F61CED" w:rsidP="00F61CED">
            <w:pPr>
              <w:pStyle w:val="Tabletext"/>
            </w:pPr>
            <w:r w:rsidRPr="00F61CED">
              <w:t>0</w:t>
            </w:r>
            <w:r w:rsidR="00D7157D">
              <w:t>.</w:t>
            </w:r>
            <w:r w:rsidRPr="00F61CED">
              <w:t>1156</w:t>
            </w:r>
          </w:p>
        </w:tc>
      </w:tr>
      <w:tr w:rsidR="00F61CED" w:rsidRPr="00F61CED" w14:paraId="30ABCDC3" w14:textId="77777777" w:rsidTr="00F160E0">
        <w:trPr>
          <w:cantSplit/>
        </w:trPr>
        <w:tc>
          <w:tcPr>
            <w:tcW w:w="1136" w:type="pct"/>
            <w:tcBorders>
              <w:top w:val="single" w:sz="4" w:space="0" w:color="auto"/>
              <w:bottom w:val="single" w:sz="4" w:space="0" w:color="auto"/>
            </w:tcBorders>
          </w:tcPr>
          <w:p w14:paraId="0B911FE0" w14:textId="77777777" w:rsidR="00F61CED" w:rsidRPr="00F61CED" w:rsidRDefault="00F61CED" w:rsidP="00F61CED">
            <w:pPr>
              <w:pStyle w:val="Tabletext"/>
            </w:pPr>
            <w:r w:rsidRPr="00F61CED">
              <w:t>92</w:t>
            </w:r>
          </w:p>
        </w:tc>
        <w:tc>
          <w:tcPr>
            <w:tcW w:w="966" w:type="pct"/>
            <w:tcBorders>
              <w:top w:val="single" w:sz="4" w:space="0" w:color="auto"/>
              <w:bottom w:val="single" w:sz="4" w:space="0" w:color="auto"/>
            </w:tcBorders>
            <w:shd w:val="clear" w:color="auto" w:fill="auto"/>
            <w:vAlign w:val="bottom"/>
          </w:tcPr>
          <w:p w14:paraId="5980933D" w14:textId="77777777" w:rsidR="00F61CED" w:rsidRPr="00F61CED" w:rsidRDefault="00F61CED" w:rsidP="00F61CED">
            <w:pPr>
              <w:pStyle w:val="Tabletext"/>
            </w:pPr>
            <w:r w:rsidRPr="00F61CED">
              <w:t>3</w:t>
            </w:r>
            <w:r w:rsidR="00D7157D">
              <w:t>.</w:t>
            </w:r>
            <w:r w:rsidRPr="00F61CED">
              <w:t>3158</w:t>
            </w:r>
          </w:p>
        </w:tc>
        <w:tc>
          <w:tcPr>
            <w:tcW w:w="966" w:type="pct"/>
            <w:tcBorders>
              <w:top w:val="single" w:sz="4" w:space="0" w:color="auto"/>
              <w:bottom w:val="single" w:sz="4" w:space="0" w:color="auto"/>
            </w:tcBorders>
            <w:shd w:val="clear" w:color="auto" w:fill="auto"/>
            <w:vAlign w:val="bottom"/>
          </w:tcPr>
          <w:p w14:paraId="349D7436" w14:textId="77777777" w:rsidR="00F61CED" w:rsidRPr="00F61CED" w:rsidRDefault="00F61CED" w:rsidP="00F61CED">
            <w:pPr>
              <w:pStyle w:val="Tabletext"/>
            </w:pPr>
            <w:r w:rsidRPr="00F61CED">
              <w:t>0</w:t>
            </w:r>
            <w:r w:rsidR="00D7157D">
              <w:t>.</w:t>
            </w:r>
            <w:r w:rsidRPr="00F61CED">
              <w:t>3773</w:t>
            </w:r>
          </w:p>
        </w:tc>
        <w:tc>
          <w:tcPr>
            <w:tcW w:w="966" w:type="pct"/>
            <w:tcBorders>
              <w:top w:val="single" w:sz="4" w:space="0" w:color="auto"/>
              <w:bottom w:val="single" w:sz="4" w:space="0" w:color="auto"/>
            </w:tcBorders>
            <w:shd w:val="clear" w:color="auto" w:fill="auto"/>
            <w:vAlign w:val="bottom"/>
          </w:tcPr>
          <w:p w14:paraId="1780086C" w14:textId="77777777" w:rsidR="00F61CED" w:rsidRPr="00F61CED" w:rsidRDefault="00F61CED" w:rsidP="00F61CED">
            <w:pPr>
              <w:pStyle w:val="Tabletext"/>
            </w:pPr>
            <w:r w:rsidRPr="00F61CED">
              <w:t>3</w:t>
            </w:r>
            <w:r w:rsidR="00D7157D">
              <w:t>.</w:t>
            </w:r>
            <w:r w:rsidRPr="00F61CED">
              <w:t>4556</w:t>
            </w:r>
          </w:p>
        </w:tc>
        <w:tc>
          <w:tcPr>
            <w:tcW w:w="966" w:type="pct"/>
            <w:tcBorders>
              <w:top w:val="single" w:sz="4" w:space="0" w:color="auto"/>
              <w:bottom w:val="single" w:sz="4" w:space="0" w:color="auto"/>
              <w:right w:val="nil"/>
            </w:tcBorders>
            <w:shd w:val="clear" w:color="auto" w:fill="auto"/>
            <w:vAlign w:val="bottom"/>
          </w:tcPr>
          <w:p w14:paraId="25CFD1AE" w14:textId="77777777" w:rsidR="00F61CED" w:rsidRPr="00F61CED" w:rsidRDefault="00F61CED" w:rsidP="00F61CED">
            <w:pPr>
              <w:pStyle w:val="Tabletext"/>
            </w:pPr>
            <w:r w:rsidRPr="00F61CED">
              <w:t>0</w:t>
            </w:r>
            <w:r w:rsidR="00D7157D">
              <w:t>.</w:t>
            </w:r>
            <w:r w:rsidRPr="00F61CED">
              <w:t>1113</w:t>
            </w:r>
          </w:p>
        </w:tc>
      </w:tr>
      <w:tr w:rsidR="00F61CED" w:rsidRPr="00F61CED" w14:paraId="593BCA2F" w14:textId="77777777" w:rsidTr="00F160E0">
        <w:trPr>
          <w:cantSplit/>
        </w:trPr>
        <w:tc>
          <w:tcPr>
            <w:tcW w:w="1136" w:type="pct"/>
            <w:tcBorders>
              <w:top w:val="single" w:sz="4" w:space="0" w:color="auto"/>
              <w:bottom w:val="single" w:sz="4" w:space="0" w:color="auto"/>
            </w:tcBorders>
          </w:tcPr>
          <w:p w14:paraId="4A018B9B" w14:textId="77777777" w:rsidR="00F61CED" w:rsidRPr="00F61CED" w:rsidRDefault="00F61CED" w:rsidP="00F61CED">
            <w:pPr>
              <w:pStyle w:val="Tabletext"/>
            </w:pPr>
            <w:r w:rsidRPr="00F61CED">
              <w:t>93</w:t>
            </w:r>
          </w:p>
        </w:tc>
        <w:tc>
          <w:tcPr>
            <w:tcW w:w="966" w:type="pct"/>
            <w:tcBorders>
              <w:top w:val="single" w:sz="4" w:space="0" w:color="auto"/>
              <w:bottom w:val="single" w:sz="4" w:space="0" w:color="auto"/>
            </w:tcBorders>
            <w:shd w:val="clear" w:color="auto" w:fill="auto"/>
            <w:vAlign w:val="bottom"/>
          </w:tcPr>
          <w:p w14:paraId="38558403" w14:textId="77777777" w:rsidR="00F61CED" w:rsidRPr="00F61CED" w:rsidRDefault="00F61CED" w:rsidP="00F61CED">
            <w:pPr>
              <w:pStyle w:val="Tabletext"/>
            </w:pPr>
            <w:r w:rsidRPr="00F61CED">
              <w:t>3</w:t>
            </w:r>
            <w:r w:rsidR="00D7157D">
              <w:t>.</w:t>
            </w:r>
            <w:r w:rsidRPr="00F61CED">
              <w:t>1343</w:t>
            </w:r>
          </w:p>
        </w:tc>
        <w:tc>
          <w:tcPr>
            <w:tcW w:w="966" w:type="pct"/>
            <w:tcBorders>
              <w:top w:val="single" w:sz="4" w:space="0" w:color="auto"/>
              <w:bottom w:val="single" w:sz="4" w:space="0" w:color="auto"/>
            </w:tcBorders>
            <w:shd w:val="clear" w:color="auto" w:fill="auto"/>
            <w:vAlign w:val="bottom"/>
          </w:tcPr>
          <w:p w14:paraId="43B6449A" w14:textId="77777777" w:rsidR="00F61CED" w:rsidRPr="00F61CED" w:rsidRDefault="00F61CED" w:rsidP="00F61CED">
            <w:pPr>
              <w:pStyle w:val="Tabletext"/>
            </w:pPr>
            <w:r w:rsidRPr="00F61CED">
              <w:t>0</w:t>
            </w:r>
            <w:r w:rsidR="00D7157D">
              <w:t>.</w:t>
            </w:r>
            <w:r w:rsidRPr="00F61CED">
              <w:t>3579</w:t>
            </w:r>
          </w:p>
        </w:tc>
        <w:tc>
          <w:tcPr>
            <w:tcW w:w="966" w:type="pct"/>
            <w:tcBorders>
              <w:top w:val="single" w:sz="4" w:space="0" w:color="auto"/>
              <w:bottom w:val="single" w:sz="4" w:space="0" w:color="auto"/>
            </w:tcBorders>
            <w:shd w:val="clear" w:color="auto" w:fill="auto"/>
            <w:vAlign w:val="bottom"/>
          </w:tcPr>
          <w:p w14:paraId="427295CC" w14:textId="77777777" w:rsidR="00F61CED" w:rsidRPr="00F61CED" w:rsidRDefault="00F61CED" w:rsidP="00F61CED">
            <w:pPr>
              <w:pStyle w:val="Tabletext"/>
            </w:pPr>
            <w:r w:rsidRPr="00F61CED">
              <w:t>3</w:t>
            </w:r>
            <w:r w:rsidR="00D7157D">
              <w:t>.</w:t>
            </w:r>
            <w:r w:rsidRPr="00F61CED">
              <w:t>2577</w:t>
            </w:r>
          </w:p>
        </w:tc>
        <w:tc>
          <w:tcPr>
            <w:tcW w:w="966" w:type="pct"/>
            <w:tcBorders>
              <w:top w:val="single" w:sz="4" w:space="0" w:color="auto"/>
              <w:bottom w:val="single" w:sz="4" w:space="0" w:color="auto"/>
              <w:right w:val="nil"/>
            </w:tcBorders>
            <w:shd w:val="clear" w:color="auto" w:fill="auto"/>
            <w:vAlign w:val="bottom"/>
          </w:tcPr>
          <w:p w14:paraId="40E98262" w14:textId="77777777" w:rsidR="00F61CED" w:rsidRPr="00F61CED" w:rsidRDefault="00F61CED" w:rsidP="00F61CED">
            <w:pPr>
              <w:pStyle w:val="Tabletext"/>
            </w:pPr>
            <w:r w:rsidRPr="00F61CED">
              <w:t>0</w:t>
            </w:r>
            <w:r w:rsidR="00D7157D">
              <w:t>.</w:t>
            </w:r>
            <w:r w:rsidRPr="00F61CED">
              <w:t>1070</w:t>
            </w:r>
          </w:p>
        </w:tc>
      </w:tr>
      <w:tr w:rsidR="00F61CED" w:rsidRPr="00F61CED" w14:paraId="4C757C2E" w14:textId="77777777" w:rsidTr="00F160E0">
        <w:trPr>
          <w:cantSplit/>
        </w:trPr>
        <w:tc>
          <w:tcPr>
            <w:tcW w:w="1136" w:type="pct"/>
            <w:tcBorders>
              <w:top w:val="single" w:sz="4" w:space="0" w:color="auto"/>
              <w:bottom w:val="single" w:sz="4" w:space="0" w:color="auto"/>
            </w:tcBorders>
          </w:tcPr>
          <w:p w14:paraId="65C84C15" w14:textId="77777777" w:rsidR="00F61CED" w:rsidRPr="00F61CED" w:rsidRDefault="00F61CED" w:rsidP="00F61CED">
            <w:pPr>
              <w:pStyle w:val="Tabletext"/>
            </w:pPr>
            <w:r w:rsidRPr="00F61CED">
              <w:t>94</w:t>
            </w:r>
          </w:p>
        </w:tc>
        <w:tc>
          <w:tcPr>
            <w:tcW w:w="966" w:type="pct"/>
            <w:tcBorders>
              <w:top w:val="single" w:sz="4" w:space="0" w:color="auto"/>
              <w:bottom w:val="single" w:sz="4" w:space="0" w:color="auto"/>
            </w:tcBorders>
            <w:shd w:val="clear" w:color="auto" w:fill="auto"/>
            <w:vAlign w:val="bottom"/>
          </w:tcPr>
          <w:p w14:paraId="501BA7C1" w14:textId="77777777" w:rsidR="00F61CED" w:rsidRPr="00F61CED" w:rsidRDefault="00F61CED" w:rsidP="00F61CED">
            <w:pPr>
              <w:pStyle w:val="Tabletext"/>
            </w:pPr>
            <w:r w:rsidRPr="00F61CED">
              <w:t>2</w:t>
            </w:r>
            <w:r w:rsidR="00D7157D">
              <w:t>.</w:t>
            </w:r>
            <w:r w:rsidRPr="00F61CED">
              <w:t>9635</w:t>
            </w:r>
          </w:p>
        </w:tc>
        <w:tc>
          <w:tcPr>
            <w:tcW w:w="966" w:type="pct"/>
            <w:tcBorders>
              <w:top w:val="single" w:sz="4" w:space="0" w:color="auto"/>
              <w:bottom w:val="single" w:sz="4" w:space="0" w:color="auto"/>
            </w:tcBorders>
            <w:shd w:val="clear" w:color="auto" w:fill="auto"/>
            <w:vAlign w:val="bottom"/>
          </w:tcPr>
          <w:p w14:paraId="4FFF870E" w14:textId="77777777" w:rsidR="00F61CED" w:rsidRPr="00F61CED" w:rsidRDefault="00F61CED" w:rsidP="00F61CED">
            <w:pPr>
              <w:pStyle w:val="Tabletext"/>
            </w:pPr>
            <w:r w:rsidRPr="00F61CED">
              <w:t>0</w:t>
            </w:r>
            <w:r w:rsidR="00D7157D">
              <w:t>.</w:t>
            </w:r>
            <w:r w:rsidRPr="00F61CED">
              <w:t>3387</w:t>
            </w:r>
          </w:p>
        </w:tc>
        <w:tc>
          <w:tcPr>
            <w:tcW w:w="966" w:type="pct"/>
            <w:tcBorders>
              <w:top w:val="single" w:sz="4" w:space="0" w:color="auto"/>
              <w:bottom w:val="single" w:sz="4" w:space="0" w:color="auto"/>
            </w:tcBorders>
            <w:shd w:val="clear" w:color="auto" w:fill="auto"/>
            <w:vAlign w:val="bottom"/>
          </w:tcPr>
          <w:p w14:paraId="18ED0C2A" w14:textId="77777777" w:rsidR="00F61CED" w:rsidRPr="00F61CED" w:rsidRDefault="00F61CED" w:rsidP="00F61CED">
            <w:pPr>
              <w:pStyle w:val="Tabletext"/>
            </w:pPr>
            <w:r w:rsidRPr="00F61CED">
              <w:t>3</w:t>
            </w:r>
            <w:r w:rsidR="00D7157D">
              <w:t>.</w:t>
            </w:r>
            <w:r w:rsidRPr="00F61CED">
              <w:t>0794</w:t>
            </w:r>
          </w:p>
        </w:tc>
        <w:tc>
          <w:tcPr>
            <w:tcW w:w="966" w:type="pct"/>
            <w:tcBorders>
              <w:top w:val="single" w:sz="4" w:space="0" w:color="auto"/>
              <w:bottom w:val="single" w:sz="4" w:space="0" w:color="auto"/>
              <w:right w:val="nil"/>
            </w:tcBorders>
            <w:shd w:val="clear" w:color="auto" w:fill="auto"/>
            <w:vAlign w:val="bottom"/>
          </w:tcPr>
          <w:p w14:paraId="58F86632" w14:textId="77777777" w:rsidR="00F61CED" w:rsidRPr="00F61CED" w:rsidRDefault="00F61CED" w:rsidP="00F61CED">
            <w:pPr>
              <w:pStyle w:val="Tabletext"/>
            </w:pPr>
            <w:r w:rsidRPr="00F61CED">
              <w:t>0</w:t>
            </w:r>
            <w:r w:rsidR="00D7157D">
              <w:t>.</w:t>
            </w:r>
            <w:r w:rsidRPr="00F61CED">
              <w:t>1026</w:t>
            </w:r>
          </w:p>
        </w:tc>
      </w:tr>
      <w:tr w:rsidR="00F61CED" w:rsidRPr="00F61CED" w14:paraId="20B0DBEF" w14:textId="77777777" w:rsidTr="00F160E0">
        <w:trPr>
          <w:cantSplit/>
        </w:trPr>
        <w:tc>
          <w:tcPr>
            <w:tcW w:w="1136" w:type="pct"/>
            <w:tcBorders>
              <w:top w:val="single" w:sz="4" w:space="0" w:color="auto"/>
              <w:bottom w:val="single" w:sz="4" w:space="0" w:color="auto"/>
            </w:tcBorders>
          </w:tcPr>
          <w:p w14:paraId="5229DFC1" w14:textId="77777777" w:rsidR="00F61CED" w:rsidRPr="00F61CED" w:rsidRDefault="00F61CED" w:rsidP="00F61CED">
            <w:pPr>
              <w:pStyle w:val="Tabletext"/>
            </w:pPr>
            <w:r w:rsidRPr="00F61CED">
              <w:t>95</w:t>
            </w:r>
          </w:p>
        </w:tc>
        <w:tc>
          <w:tcPr>
            <w:tcW w:w="966" w:type="pct"/>
            <w:tcBorders>
              <w:top w:val="single" w:sz="4" w:space="0" w:color="auto"/>
              <w:bottom w:val="single" w:sz="4" w:space="0" w:color="auto"/>
            </w:tcBorders>
            <w:shd w:val="clear" w:color="auto" w:fill="auto"/>
            <w:vAlign w:val="bottom"/>
          </w:tcPr>
          <w:p w14:paraId="2B79D04C" w14:textId="77777777" w:rsidR="00F61CED" w:rsidRPr="00F61CED" w:rsidRDefault="00F61CED" w:rsidP="00F61CED">
            <w:pPr>
              <w:pStyle w:val="Tabletext"/>
            </w:pPr>
            <w:r w:rsidRPr="00F61CED">
              <w:t>2</w:t>
            </w:r>
            <w:r w:rsidR="00D7157D">
              <w:t>.</w:t>
            </w:r>
            <w:r w:rsidRPr="00F61CED">
              <w:t>8007</w:t>
            </w:r>
          </w:p>
        </w:tc>
        <w:tc>
          <w:tcPr>
            <w:tcW w:w="966" w:type="pct"/>
            <w:tcBorders>
              <w:top w:val="single" w:sz="4" w:space="0" w:color="auto"/>
              <w:bottom w:val="single" w:sz="4" w:space="0" w:color="auto"/>
            </w:tcBorders>
            <w:shd w:val="clear" w:color="auto" w:fill="auto"/>
            <w:vAlign w:val="bottom"/>
          </w:tcPr>
          <w:p w14:paraId="7B38BDA3" w14:textId="77777777" w:rsidR="00F61CED" w:rsidRPr="00F61CED" w:rsidRDefault="00F61CED" w:rsidP="00F61CED">
            <w:pPr>
              <w:pStyle w:val="Tabletext"/>
            </w:pPr>
            <w:r w:rsidRPr="00F61CED">
              <w:t>0</w:t>
            </w:r>
            <w:r w:rsidR="00D7157D">
              <w:t>.</w:t>
            </w:r>
            <w:r w:rsidRPr="00F61CED">
              <w:t>3198</w:t>
            </w:r>
          </w:p>
        </w:tc>
        <w:tc>
          <w:tcPr>
            <w:tcW w:w="966" w:type="pct"/>
            <w:tcBorders>
              <w:top w:val="single" w:sz="4" w:space="0" w:color="auto"/>
              <w:bottom w:val="single" w:sz="4" w:space="0" w:color="auto"/>
            </w:tcBorders>
            <w:shd w:val="clear" w:color="auto" w:fill="auto"/>
            <w:vAlign w:val="bottom"/>
          </w:tcPr>
          <w:p w14:paraId="4AD001BD" w14:textId="77777777" w:rsidR="00F61CED" w:rsidRPr="00F61CED" w:rsidRDefault="00F61CED" w:rsidP="00F61CED">
            <w:pPr>
              <w:pStyle w:val="Tabletext"/>
            </w:pPr>
            <w:r w:rsidRPr="00F61CED">
              <w:t>2</w:t>
            </w:r>
            <w:r w:rsidR="00D7157D">
              <w:t>.</w:t>
            </w:r>
            <w:r w:rsidRPr="00F61CED">
              <w:t>9100</w:t>
            </w:r>
          </w:p>
        </w:tc>
        <w:tc>
          <w:tcPr>
            <w:tcW w:w="966" w:type="pct"/>
            <w:tcBorders>
              <w:top w:val="single" w:sz="4" w:space="0" w:color="auto"/>
              <w:bottom w:val="single" w:sz="4" w:space="0" w:color="auto"/>
              <w:right w:val="nil"/>
            </w:tcBorders>
            <w:shd w:val="clear" w:color="auto" w:fill="auto"/>
            <w:vAlign w:val="bottom"/>
          </w:tcPr>
          <w:p w14:paraId="28DF7C50" w14:textId="77777777" w:rsidR="00F61CED" w:rsidRPr="00F61CED" w:rsidRDefault="00F61CED" w:rsidP="00F61CED">
            <w:pPr>
              <w:pStyle w:val="Tabletext"/>
            </w:pPr>
            <w:r w:rsidRPr="00F61CED">
              <w:t>0</w:t>
            </w:r>
            <w:r w:rsidR="00D7157D">
              <w:t>.</w:t>
            </w:r>
            <w:r w:rsidRPr="00F61CED">
              <w:t>0983</w:t>
            </w:r>
          </w:p>
        </w:tc>
      </w:tr>
      <w:tr w:rsidR="00F61CED" w:rsidRPr="00F61CED" w14:paraId="54EE1270" w14:textId="77777777" w:rsidTr="00F160E0">
        <w:trPr>
          <w:cantSplit/>
        </w:trPr>
        <w:tc>
          <w:tcPr>
            <w:tcW w:w="1136" w:type="pct"/>
            <w:tcBorders>
              <w:top w:val="single" w:sz="4" w:space="0" w:color="auto"/>
              <w:bottom w:val="single" w:sz="4" w:space="0" w:color="auto"/>
            </w:tcBorders>
          </w:tcPr>
          <w:p w14:paraId="3BF2359E" w14:textId="77777777" w:rsidR="00F61CED" w:rsidRPr="00F61CED" w:rsidRDefault="00F61CED" w:rsidP="00F61CED">
            <w:pPr>
              <w:pStyle w:val="Tabletext"/>
            </w:pPr>
            <w:r w:rsidRPr="00F61CED">
              <w:t>96</w:t>
            </w:r>
          </w:p>
        </w:tc>
        <w:tc>
          <w:tcPr>
            <w:tcW w:w="966" w:type="pct"/>
            <w:tcBorders>
              <w:top w:val="single" w:sz="4" w:space="0" w:color="auto"/>
              <w:bottom w:val="single" w:sz="4" w:space="0" w:color="auto"/>
            </w:tcBorders>
            <w:shd w:val="clear" w:color="auto" w:fill="auto"/>
            <w:vAlign w:val="bottom"/>
          </w:tcPr>
          <w:p w14:paraId="55FFC76A" w14:textId="77777777" w:rsidR="00F61CED" w:rsidRPr="00F61CED" w:rsidRDefault="00F61CED" w:rsidP="00F61CED">
            <w:pPr>
              <w:pStyle w:val="Tabletext"/>
            </w:pPr>
            <w:r w:rsidRPr="00F61CED">
              <w:t>2</w:t>
            </w:r>
            <w:r w:rsidR="00D7157D">
              <w:t>.</w:t>
            </w:r>
            <w:r w:rsidRPr="00F61CED">
              <w:t>6431</w:t>
            </w:r>
          </w:p>
        </w:tc>
        <w:tc>
          <w:tcPr>
            <w:tcW w:w="966" w:type="pct"/>
            <w:tcBorders>
              <w:top w:val="single" w:sz="4" w:space="0" w:color="auto"/>
              <w:bottom w:val="single" w:sz="4" w:space="0" w:color="auto"/>
            </w:tcBorders>
            <w:shd w:val="clear" w:color="auto" w:fill="auto"/>
            <w:vAlign w:val="bottom"/>
          </w:tcPr>
          <w:p w14:paraId="5091FF41" w14:textId="77777777" w:rsidR="00F61CED" w:rsidRPr="00F61CED" w:rsidRDefault="00F61CED" w:rsidP="00F61CED">
            <w:pPr>
              <w:pStyle w:val="Tabletext"/>
            </w:pPr>
            <w:r w:rsidRPr="00F61CED">
              <w:t>0</w:t>
            </w:r>
            <w:r w:rsidR="00D7157D">
              <w:t>.</w:t>
            </w:r>
            <w:r w:rsidRPr="00F61CED">
              <w:t>3011</w:t>
            </w:r>
          </w:p>
        </w:tc>
        <w:tc>
          <w:tcPr>
            <w:tcW w:w="966" w:type="pct"/>
            <w:tcBorders>
              <w:top w:val="single" w:sz="4" w:space="0" w:color="auto"/>
              <w:bottom w:val="single" w:sz="4" w:space="0" w:color="auto"/>
            </w:tcBorders>
            <w:shd w:val="clear" w:color="auto" w:fill="auto"/>
            <w:vAlign w:val="bottom"/>
          </w:tcPr>
          <w:p w14:paraId="0BFA40F9" w14:textId="77777777" w:rsidR="00F61CED" w:rsidRPr="00F61CED" w:rsidRDefault="00F61CED" w:rsidP="00F61CED">
            <w:pPr>
              <w:pStyle w:val="Tabletext"/>
            </w:pPr>
            <w:r w:rsidRPr="00F61CED">
              <w:t>2</w:t>
            </w:r>
            <w:r w:rsidR="00D7157D">
              <w:t>.</w:t>
            </w:r>
            <w:r w:rsidRPr="00F61CED">
              <w:t>7499</w:t>
            </w:r>
          </w:p>
        </w:tc>
        <w:tc>
          <w:tcPr>
            <w:tcW w:w="966" w:type="pct"/>
            <w:tcBorders>
              <w:top w:val="single" w:sz="4" w:space="0" w:color="auto"/>
              <w:bottom w:val="single" w:sz="4" w:space="0" w:color="auto"/>
              <w:right w:val="nil"/>
            </w:tcBorders>
            <w:shd w:val="clear" w:color="auto" w:fill="auto"/>
            <w:vAlign w:val="bottom"/>
          </w:tcPr>
          <w:p w14:paraId="1A9B5A90" w14:textId="77777777" w:rsidR="00F61CED" w:rsidRPr="00F61CED" w:rsidRDefault="00F61CED" w:rsidP="00F61CED">
            <w:pPr>
              <w:pStyle w:val="Tabletext"/>
            </w:pPr>
            <w:r w:rsidRPr="00F61CED">
              <w:t>0</w:t>
            </w:r>
            <w:r w:rsidR="00D7157D">
              <w:t>.</w:t>
            </w:r>
            <w:r w:rsidRPr="00F61CED">
              <w:t>0939</w:t>
            </w:r>
          </w:p>
        </w:tc>
      </w:tr>
      <w:tr w:rsidR="00F61CED" w:rsidRPr="00F61CED" w14:paraId="3DA18B41" w14:textId="77777777" w:rsidTr="00F160E0">
        <w:trPr>
          <w:cantSplit/>
        </w:trPr>
        <w:tc>
          <w:tcPr>
            <w:tcW w:w="1136" w:type="pct"/>
            <w:tcBorders>
              <w:top w:val="single" w:sz="4" w:space="0" w:color="auto"/>
              <w:bottom w:val="single" w:sz="4" w:space="0" w:color="auto"/>
            </w:tcBorders>
          </w:tcPr>
          <w:p w14:paraId="4C464182" w14:textId="77777777" w:rsidR="00F61CED" w:rsidRPr="00F61CED" w:rsidRDefault="00F61CED" w:rsidP="00F61CED">
            <w:pPr>
              <w:pStyle w:val="Tabletext"/>
            </w:pPr>
            <w:r w:rsidRPr="00F61CED">
              <w:t>97</w:t>
            </w:r>
          </w:p>
        </w:tc>
        <w:tc>
          <w:tcPr>
            <w:tcW w:w="966" w:type="pct"/>
            <w:tcBorders>
              <w:top w:val="single" w:sz="4" w:space="0" w:color="auto"/>
              <w:bottom w:val="single" w:sz="4" w:space="0" w:color="auto"/>
            </w:tcBorders>
            <w:shd w:val="clear" w:color="auto" w:fill="auto"/>
            <w:vAlign w:val="bottom"/>
          </w:tcPr>
          <w:p w14:paraId="3E4BE481" w14:textId="77777777" w:rsidR="00F61CED" w:rsidRPr="00F61CED" w:rsidRDefault="00F61CED" w:rsidP="00F61CED">
            <w:pPr>
              <w:pStyle w:val="Tabletext"/>
            </w:pPr>
            <w:r w:rsidRPr="00F61CED">
              <w:t>2</w:t>
            </w:r>
            <w:r w:rsidR="00D7157D">
              <w:t>.</w:t>
            </w:r>
            <w:r w:rsidRPr="00F61CED">
              <w:t>4964</w:t>
            </w:r>
          </w:p>
        </w:tc>
        <w:tc>
          <w:tcPr>
            <w:tcW w:w="966" w:type="pct"/>
            <w:tcBorders>
              <w:top w:val="single" w:sz="4" w:space="0" w:color="auto"/>
              <w:bottom w:val="single" w:sz="4" w:space="0" w:color="auto"/>
            </w:tcBorders>
            <w:shd w:val="clear" w:color="auto" w:fill="auto"/>
            <w:vAlign w:val="bottom"/>
          </w:tcPr>
          <w:p w14:paraId="0089FF43" w14:textId="77777777" w:rsidR="00F61CED" w:rsidRPr="00F61CED" w:rsidRDefault="00F61CED" w:rsidP="00F61CED">
            <w:pPr>
              <w:pStyle w:val="Tabletext"/>
            </w:pPr>
            <w:r w:rsidRPr="00F61CED">
              <w:t>0</w:t>
            </w:r>
            <w:r w:rsidR="00D7157D">
              <w:t>.</w:t>
            </w:r>
            <w:r w:rsidRPr="00F61CED">
              <w:t>2825</w:t>
            </w:r>
          </w:p>
        </w:tc>
        <w:tc>
          <w:tcPr>
            <w:tcW w:w="966" w:type="pct"/>
            <w:tcBorders>
              <w:top w:val="single" w:sz="4" w:space="0" w:color="auto"/>
              <w:bottom w:val="single" w:sz="4" w:space="0" w:color="auto"/>
            </w:tcBorders>
            <w:shd w:val="clear" w:color="auto" w:fill="auto"/>
            <w:vAlign w:val="bottom"/>
          </w:tcPr>
          <w:p w14:paraId="49124B03" w14:textId="77777777" w:rsidR="00F61CED" w:rsidRPr="00F61CED" w:rsidRDefault="00F61CED" w:rsidP="00F61CED">
            <w:pPr>
              <w:pStyle w:val="Tabletext"/>
            </w:pPr>
            <w:r w:rsidRPr="00F61CED">
              <w:t>2</w:t>
            </w:r>
            <w:r w:rsidR="00D7157D">
              <w:t>.</w:t>
            </w:r>
            <w:r w:rsidRPr="00F61CED">
              <w:t>5955</w:t>
            </w:r>
          </w:p>
        </w:tc>
        <w:tc>
          <w:tcPr>
            <w:tcW w:w="966" w:type="pct"/>
            <w:tcBorders>
              <w:top w:val="single" w:sz="4" w:space="0" w:color="auto"/>
              <w:bottom w:val="single" w:sz="4" w:space="0" w:color="auto"/>
              <w:right w:val="nil"/>
            </w:tcBorders>
            <w:shd w:val="clear" w:color="auto" w:fill="auto"/>
            <w:vAlign w:val="bottom"/>
          </w:tcPr>
          <w:p w14:paraId="5DD4893B" w14:textId="77777777" w:rsidR="00F61CED" w:rsidRPr="00F61CED" w:rsidRDefault="00F61CED" w:rsidP="00F61CED">
            <w:pPr>
              <w:pStyle w:val="Tabletext"/>
            </w:pPr>
            <w:r w:rsidRPr="00F61CED">
              <w:t>0</w:t>
            </w:r>
            <w:r w:rsidR="00D7157D">
              <w:t>.</w:t>
            </w:r>
            <w:r w:rsidRPr="00F61CED">
              <w:t>0896</w:t>
            </w:r>
          </w:p>
        </w:tc>
      </w:tr>
      <w:tr w:rsidR="00F61CED" w:rsidRPr="00F61CED" w14:paraId="3D0CF088" w14:textId="77777777" w:rsidTr="00F160E0">
        <w:trPr>
          <w:cantSplit/>
        </w:trPr>
        <w:tc>
          <w:tcPr>
            <w:tcW w:w="1136" w:type="pct"/>
            <w:tcBorders>
              <w:top w:val="single" w:sz="4" w:space="0" w:color="auto"/>
              <w:bottom w:val="single" w:sz="4" w:space="0" w:color="auto"/>
            </w:tcBorders>
          </w:tcPr>
          <w:p w14:paraId="796808E3" w14:textId="77777777" w:rsidR="00F61CED" w:rsidRPr="00F61CED" w:rsidRDefault="00F61CED" w:rsidP="00F61CED">
            <w:pPr>
              <w:pStyle w:val="Tabletext"/>
            </w:pPr>
            <w:r w:rsidRPr="00F61CED">
              <w:t>98</w:t>
            </w:r>
          </w:p>
        </w:tc>
        <w:tc>
          <w:tcPr>
            <w:tcW w:w="966" w:type="pct"/>
            <w:tcBorders>
              <w:top w:val="single" w:sz="4" w:space="0" w:color="auto"/>
              <w:bottom w:val="single" w:sz="4" w:space="0" w:color="auto"/>
            </w:tcBorders>
            <w:shd w:val="clear" w:color="auto" w:fill="auto"/>
            <w:vAlign w:val="bottom"/>
          </w:tcPr>
          <w:p w14:paraId="2729E939" w14:textId="77777777" w:rsidR="00F61CED" w:rsidRPr="00F61CED" w:rsidRDefault="00F61CED" w:rsidP="00F61CED">
            <w:pPr>
              <w:pStyle w:val="Tabletext"/>
            </w:pPr>
            <w:r w:rsidRPr="00F61CED">
              <w:t>2</w:t>
            </w:r>
            <w:r w:rsidR="00D7157D">
              <w:t>.</w:t>
            </w:r>
            <w:r w:rsidRPr="00F61CED">
              <w:t>3601</w:t>
            </w:r>
          </w:p>
        </w:tc>
        <w:tc>
          <w:tcPr>
            <w:tcW w:w="966" w:type="pct"/>
            <w:tcBorders>
              <w:top w:val="single" w:sz="4" w:space="0" w:color="auto"/>
              <w:bottom w:val="single" w:sz="4" w:space="0" w:color="auto"/>
            </w:tcBorders>
            <w:shd w:val="clear" w:color="auto" w:fill="auto"/>
            <w:vAlign w:val="bottom"/>
          </w:tcPr>
          <w:p w14:paraId="0DE4F3D2" w14:textId="77777777" w:rsidR="00F61CED" w:rsidRPr="00F61CED" w:rsidRDefault="00F61CED" w:rsidP="00F61CED">
            <w:pPr>
              <w:pStyle w:val="Tabletext"/>
            </w:pPr>
            <w:r w:rsidRPr="00F61CED">
              <w:t>0</w:t>
            </w:r>
            <w:r w:rsidR="00D7157D">
              <w:t>.</w:t>
            </w:r>
            <w:r w:rsidRPr="00F61CED">
              <w:t>2638</w:t>
            </w:r>
          </w:p>
        </w:tc>
        <w:tc>
          <w:tcPr>
            <w:tcW w:w="966" w:type="pct"/>
            <w:tcBorders>
              <w:top w:val="single" w:sz="4" w:space="0" w:color="auto"/>
              <w:bottom w:val="single" w:sz="4" w:space="0" w:color="auto"/>
            </w:tcBorders>
            <w:shd w:val="clear" w:color="auto" w:fill="auto"/>
            <w:vAlign w:val="bottom"/>
          </w:tcPr>
          <w:p w14:paraId="236A770A" w14:textId="77777777" w:rsidR="00F61CED" w:rsidRPr="00F61CED" w:rsidRDefault="00F61CED" w:rsidP="00F61CED">
            <w:pPr>
              <w:pStyle w:val="Tabletext"/>
            </w:pPr>
            <w:r w:rsidRPr="00F61CED">
              <w:t>2</w:t>
            </w:r>
            <w:r w:rsidR="00D7157D">
              <w:t>.</w:t>
            </w:r>
            <w:r w:rsidRPr="00F61CED">
              <w:t>4540</w:t>
            </w:r>
          </w:p>
        </w:tc>
        <w:tc>
          <w:tcPr>
            <w:tcW w:w="966" w:type="pct"/>
            <w:tcBorders>
              <w:top w:val="single" w:sz="4" w:space="0" w:color="auto"/>
              <w:bottom w:val="single" w:sz="4" w:space="0" w:color="auto"/>
              <w:right w:val="nil"/>
            </w:tcBorders>
            <w:shd w:val="clear" w:color="auto" w:fill="auto"/>
            <w:vAlign w:val="bottom"/>
          </w:tcPr>
          <w:p w14:paraId="46657381" w14:textId="77777777" w:rsidR="00F61CED" w:rsidRPr="00F61CED" w:rsidRDefault="00F61CED" w:rsidP="00F61CED">
            <w:pPr>
              <w:pStyle w:val="Tabletext"/>
            </w:pPr>
            <w:r w:rsidRPr="00F61CED">
              <w:t>0</w:t>
            </w:r>
            <w:r w:rsidR="00D7157D">
              <w:t>.</w:t>
            </w:r>
            <w:r w:rsidRPr="00F61CED">
              <w:t>0852</w:t>
            </w:r>
          </w:p>
        </w:tc>
      </w:tr>
      <w:tr w:rsidR="00F61CED" w:rsidRPr="009E2595" w14:paraId="01EBE610" w14:textId="77777777" w:rsidTr="00F160E0">
        <w:trPr>
          <w:cantSplit/>
        </w:trPr>
        <w:tc>
          <w:tcPr>
            <w:tcW w:w="1136" w:type="pct"/>
            <w:tcBorders>
              <w:top w:val="single" w:sz="4" w:space="0" w:color="auto"/>
              <w:bottom w:val="single" w:sz="12" w:space="0" w:color="auto"/>
            </w:tcBorders>
          </w:tcPr>
          <w:p w14:paraId="347474FD" w14:textId="77777777" w:rsidR="00F61CED" w:rsidRPr="00F61CED" w:rsidRDefault="00ED15BD" w:rsidP="00F61CED">
            <w:pPr>
              <w:pStyle w:val="Tabletext"/>
            </w:pPr>
            <w:r>
              <w:t>99 and over</w:t>
            </w:r>
          </w:p>
        </w:tc>
        <w:tc>
          <w:tcPr>
            <w:tcW w:w="966" w:type="pct"/>
            <w:tcBorders>
              <w:top w:val="single" w:sz="4" w:space="0" w:color="auto"/>
              <w:bottom w:val="single" w:sz="12" w:space="0" w:color="auto"/>
            </w:tcBorders>
            <w:shd w:val="clear" w:color="auto" w:fill="auto"/>
            <w:vAlign w:val="bottom"/>
          </w:tcPr>
          <w:p w14:paraId="72B8D0BE" w14:textId="77777777" w:rsidR="00F61CED" w:rsidRPr="00F61CED" w:rsidRDefault="00F61CED" w:rsidP="00F61CED">
            <w:pPr>
              <w:pStyle w:val="Tabletext"/>
            </w:pPr>
            <w:r w:rsidRPr="00F61CED">
              <w:t>2</w:t>
            </w:r>
            <w:r w:rsidR="00D7157D">
              <w:t>.</w:t>
            </w:r>
            <w:r w:rsidRPr="00F61CED">
              <w:t>2337</w:t>
            </w:r>
          </w:p>
        </w:tc>
        <w:tc>
          <w:tcPr>
            <w:tcW w:w="966" w:type="pct"/>
            <w:tcBorders>
              <w:top w:val="single" w:sz="4" w:space="0" w:color="auto"/>
              <w:bottom w:val="single" w:sz="12" w:space="0" w:color="auto"/>
            </w:tcBorders>
            <w:shd w:val="clear" w:color="auto" w:fill="auto"/>
            <w:vAlign w:val="bottom"/>
          </w:tcPr>
          <w:p w14:paraId="372D0A20" w14:textId="77777777" w:rsidR="00F61CED" w:rsidRPr="00F61CED" w:rsidRDefault="00F61CED" w:rsidP="00F61CED">
            <w:pPr>
              <w:pStyle w:val="Tabletext"/>
            </w:pPr>
            <w:r w:rsidRPr="00F61CED">
              <w:t>0</w:t>
            </w:r>
            <w:r w:rsidR="00D7157D">
              <w:t>.</w:t>
            </w:r>
            <w:r w:rsidRPr="00F61CED">
              <w:t>2447</w:t>
            </w:r>
          </w:p>
        </w:tc>
        <w:tc>
          <w:tcPr>
            <w:tcW w:w="966" w:type="pct"/>
            <w:tcBorders>
              <w:top w:val="single" w:sz="4" w:space="0" w:color="auto"/>
              <w:bottom w:val="single" w:sz="12" w:space="0" w:color="auto"/>
            </w:tcBorders>
            <w:shd w:val="clear" w:color="auto" w:fill="auto"/>
            <w:vAlign w:val="bottom"/>
          </w:tcPr>
          <w:p w14:paraId="55EA4644" w14:textId="77777777" w:rsidR="00F61CED" w:rsidRPr="00F61CED" w:rsidRDefault="00F61CED" w:rsidP="00F61CED">
            <w:pPr>
              <w:pStyle w:val="Tabletext"/>
            </w:pPr>
            <w:r w:rsidRPr="00F61CED">
              <w:t>2</w:t>
            </w:r>
            <w:r w:rsidR="00D7157D">
              <w:t>.</w:t>
            </w:r>
            <w:r w:rsidRPr="00F61CED">
              <w:t>3239</w:t>
            </w:r>
          </w:p>
        </w:tc>
        <w:tc>
          <w:tcPr>
            <w:tcW w:w="966" w:type="pct"/>
            <w:tcBorders>
              <w:top w:val="single" w:sz="4" w:space="0" w:color="auto"/>
              <w:bottom w:val="single" w:sz="12" w:space="0" w:color="auto"/>
              <w:right w:val="nil"/>
            </w:tcBorders>
            <w:shd w:val="clear" w:color="auto" w:fill="auto"/>
            <w:vAlign w:val="bottom"/>
          </w:tcPr>
          <w:p w14:paraId="179673F9" w14:textId="77777777" w:rsidR="00F61CED" w:rsidRPr="00F61CED" w:rsidRDefault="00F61CED" w:rsidP="00F61CED">
            <w:pPr>
              <w:pStyle w:val="Tabletext"/>
            </w:pPr>
            <w:r w:rsidRPr="00F61CED">
              <w:t>0</w:t>
            </w:r>
            <w:r w:rsidR="00D7157D">
              <w:t>.</w:t>
            </w:r>
            <w:r w:rsidRPr="00F61CED">
              <w:t>0804</w:t>
            </w:r>
          </w:p>
        </w:tc>
      </w:tr>
    </w:tbl>
    <w:p w14:paraId="51E595AE" w14:textId="77777777" w:rsidR="000527FC" w:rsidRPr="00A058B6" w:rsidRDefault="000527FC" w:rsidP="000527FC">
      <w:pPr>
        <w:pStyle w:val="ActHead5"/>
      </w:pPr>
      <w:bookmarkStart w:id="336" w:name="_Toc188350811"/>
      <w:r w:rsidRPr="00423C34">
        <w:rPr>
          <w:rStyle w:val="CharSectno"/>
        </w:rPr>
        <w:t>6</w:t>
      </w:r>
      <w:r w:rsidRPr="00A058B6">
        <w:t xml:space="preserve">  Valuation factors—CPI indexed pension plus 1%</w:t>
      </w:r>
      <w:bookmarkEnd w:id="336"/>
    </w:p>
    <w:p w14:paraId="6FAC11F2" w14:textId="77777777" w:rsidR="000527FC" w:rsidRPr="009158D7" w:rsidRDefault="000527FC" w:rsidP="006556DE">
      <w:pPr>
        <w:pStyle w:val="subsection"/>
      </w:pPr>
      <w:r w:rsidRPr="00A058B6">
        <w:tab/>
      </w:r>
      <w:r w:rsidRPr="00A058B6">
        <w:tab/>
        <w:t>The pension valuation factors and reversion valuation factors set out in this clause apply if the pension is indexed in accordance with</w:t>
      </w:r>
      <w:r w:rsidR="006556DE">
        <w:t xml:space="preserve"> </w:t>
      </w:r>
      <w:r w:rsidRPr="00A058B6">
        <w:t>the co</w:t>
      </w:r>
      <w:r w:rsidRPr="009158D7">
        <w:t>nsumer price index plus 1%</w:t>
      </w:r>
      <w:r w:rsidR="00D7157D">
        <w:t>.</w:t>
      </w:r>
    </w:p>
    <w:p w14:paraId="37396AAC" w14:textId="77777777" w:rsidR="000527FC" w:rsidRPr="00A058B6" w:rsidRDefault="000527FC" w:rsidP="000527FC">
      <w:pPr>
        <w:pStyle w:val="Tabletext"/>
      </w:pPr>
    </w:p>
    <w:tbl>
      <w:tblPr>
        <w:tblW w:w="5000" w:type="pct"/>
        <w:tblLook w:val="0000" w:firstRow="0" w:lastRow="0" w:firstColumn="0" w:lastColumn="0" w:noHBand="0" w:noVBand="0"/>
      </w:tblPr>
      <w:tblGrid>
        <w:gridCol w:w="2270"/>
        <w:gridCol w:w="1511"/>
        <w:gridCol w:w="1511"/>
        <w:gridCol w:w="1511"/>
        <w:gridCol w:w="1510"/>
      </w:tblGrid>
      <w:tr w:rsidR="000527FC" w:rsidRPr="00A058B6" w14:paraId="410959A4" w14:textId="77777777" w:rsidTr="00FD658D">
        <w:trPr>
          <w:cantSplit/>
          <w:trHeight w:val="144"/>
          <w:tblHeader/>
        </w:trPr>
        <w:tc>
          <w:tcPr>
            <w:tcW w:w="1365" w:type="pct"/>
            <w:vMerge w:val="restart"/>
            <w:tcBorders>
              <w:top w:val="single" w:sz="12" w:space="0" w:color="auto"/>
              <w:bottom w:val="single" w:sz="12" w:space="0" w:color="auto"/>
            </w:tcBorders>
          </w:tcPr>
          <w:p w14:paraId="30BE28C5" w14:textId="77777777" w:rsidR="000527FC" w:rsidRPr="00A058B6" w:rsidRDefault="000527FC" w:rsidP="00FD658D">
            <w:pPr>
              <w:pStyle w:val="TableHeading"/>
            </w:pPr>
            <w:r w:rsidRPr="00A058B6">
              <w:t>Age at relevant date (in completed years)</w:t>
            </w:r>
          </w:p>
        </w:tc>
        <w:tc>
          <w:tcPr>
            <w:tcW w:w="3635" w:type="pct"/>
            <w:gridSpan w:val="4"/>
            <w:tcBorders>
              <w:top w:val="single" w:sz="12" w:space="0" w:color="auto"/>
              <w:bottom w:val="single" w:sz="4" w:space="0" w:color="auto"/>
            </w:tcBorders>
          </w:tcPr>
          <w:p w14:paraId="0A2ED0B5" w14:textId="77777777" w:rsidR="000527FC" w:rsidRPr="00A058B6" w:rsidRDefault="000527FC" w:rsidP="00FD658D">
            <w:pPr>
              <w:pStyle w:val="TableHeading"/>
            </w:pPr>
            <w:r w:rsidRPr="00A058B6">
              <w:t>Valuation factors—CPI indexed pension plus 1%</w:t>
            </w:r>
          </w:p>
        </w:tc>
      </w:tr>
      <w:tr w:rsidR="000527FC" w:rsidRPr="00A058B6" w14:paraId="3C5F5FA3" w14:textId="77777777" w:rsidTr="00FD658D">
        <w:trPr>
          <w:cantSplit/>
          <w:trHeight w:val="121"/>
          <w:tblHeader/>
        </w:trPr>
        <w:tc>
          <w:tcPr>
            <w:tcW w:w="1365" w:type="pct"/>
            <w:vMerge/>
            <w:tcBorders>
              <w:bottom w:val="single" w:sz="12" w:space="0" w:color="auto"/>
            </w:tcBorders>
          </w:tcPr>
          <w:p w14:paraId="1EC0B0A9" w14:textId="77777777" w:rsidR="000527FC" w:rsidRPr="00A058B6" w:rsidRDefault="000527FC" w:rsidP="00FD658D">
            <w:pPr>
              <w:pStyle w:val="TableHeading"/>
            </w:pPr>
          </w:p>
        </w:tc>
        <w:tc>
          <w:tcPr>
            <w:tcW w:w="1818" w:type="pct"/>
            <w:gridSpan w:val="2"/>
            <w:tcBorders>
              <w:top w:val="single" w:sz="4" w:space="0" w:color="auto"/>
              <w:bottom w:val="single" w:sz="4" w:space="0" w:color="auto"/>
            </w:tcBorders>
          </w:tcPr>
          <w:p w14:paraId="61461331" w14:textId="77777777" w:rsidR="000527FC" w:rsidRPr="00A058B6" w:rsidRDefault="000527FC" w:rsidP="00FD658D">
            <w:pPr>
              <w:pStyle w:val="TableHeading"/>
            </w:pPr>
            <w:r w:rsidRPr="00A058B6">
              <w:t>Males</w:t>
            </w:r>
          </w:p>
        </w:tc>
        <w:tc>
          <w:tcPr>
            <w:tcW w:w="1817" w:type="pct"/>
            <w:gridSpan w:val="2"/>
            <w:tcBorders>
              <w:top w:val="single" w:sz="4" w:space="0" w:color="auto"/>
              <w:bottom w:val="single" w:sz="4" w:space="0" w:color="auto"/>
            </w:tcBorders>
          </w:tcPr>
          <w:p w14:paraId="585B29CC" w14:textId="77777777" w:rsidR="000527FC" w:rsidRPr="00A058B6" w:rsidRDefault="000527FC" w:rsidP="00FD658D">
            <w:pPr>
              <w:pStyle w:val="TableHeading"/>
            </w:pPr>
            <w:r w:rsidRPr="00A058B6">
              <w:t>Females</w:t>
            </w:r>
          </w:p>
        </w:tc>
      </w:tr>
      <w:tr w:rsidR="000527FC" w:rsidRPr="00A058B6" w14:paraId="71097E3F" w14:textId="77777777" w:rsidTr="00A11447">
        <w:trPr>
          <w:cantSplit/>
          <w:trHeight w:val="80"/>
          <w:tblHeader/>
        </w:trPr>
        <w:tc>
          <w:tcPr>
            <w:tcW w:w="1365" w:type="pct"/>
            <w:vMerge/>
            <w:tcBorders>
              <w:bottom w:val="single" w:sz="12" w:space="0" w:color="auto"/>
            </w:tcBorders>
          </w:tcPr>
          <w:p w14:paraId="31E4B29A" w14:textId="77777777" w:rsidR="000527FC" w:rsidRPr="00A058B6" w:rsidRDefault="000527FC" w:rsidP="00FD658D">
            <w:pPr>
              <w:pStyle w:val="TableHeading"/>
            </w:pPr>
          </w:p>
        </w:tc>
        <w:tc>
          <w:tcPr>
            <w:tcW w:w="909" w:type="pct"/>
            <w:tcBorders>
              <w:top w:val="single" w:sz="4" w:space="0" w:color="auto"/>
              <w:bottom w:val="single" w:sz="12" w:space="0" w:color="auto"/>
            </w:tcBorders>
          </w:tcPr>
          <w:p w14:paraId="2DA4953D" w14:textId="77777777" w:rsidR="000527FC" w:rsidRPr="00A058B6" w:rsidRDefault="000527FC" w:rsidP="00FD658D">
            <w:pPr>
              <w:pStyle w:val="TableHeading"/>
            </w:pPr>
            <w:r w:rsidRPr="00A058B6">
              <w:t>Pension</w:t>
            </w:r>
          </w:p>
        </w:tc>
        <w:tc>
          <w:tcPr>
            <w:tcW w:w="909" w:type="pct"/>
            <w:tcBorders>
              <w:top w:val="single" w:sz="4" w:space="0" w:color="auto"/>
              <w:bottom w:val="single" w:sz="12" w:space="0" w:color="auto"/>
            </w:tcBorders>
          </w:tcPr>
          <w:p w14:paraId="1DFE1017" w14:textId="77777777" w:rsidR="000527FC" w:rsidRPr="00A058B6" w:rsidRDefault="000527FC" w:rsidP="00FD658D">
            <w:pPr>
              <w:pStyle w:val="TableHeading"/>
            </w:pPr>
            <w:r w:rsidRPr="00A058B6">
              <w:t>Reversion</w:t>
            </w:r>
          </w:p>
        </w:tc>
        <w:tc>
          <w:tcPr>
            <w:tcW w:w="909" w:type="pct"/>
            <w:tcBorders>
              <w:top w:val="single" w:sz="4" w:space="0" w:color="auto"/>
              <w:bottom w:val="single" w:sz="12" w:space="0" w:color="auto"/>
            </w:tcBorders>
          </w:tcPr>
          <w:p w14:paraId="36BC0E69" w14:textId="77777777" w:rsidR="000527FC" w:rsidRPr="00A058B6" w:rsidRDefault="000527FC" w:rsidP="00FD658D">
            <w:pPr>
              <w:pStyle w:val="TableHeading"/>
            </w:pPr>
            <w:r w:rsidRPr="00A058B6">
              <w:t>Pension</w:t>
            </w:r>
          </w:p>
        </w:tc>
        <w:tc>
          <w:tcPr>
            <w:tcW w:w="908" w:type="pct"/>
            <w:tcBorders>
              <w:top w:val="single" w:sz="4" w:space="0" w:color="auto"/>
              <w:bottom w:val="single" w:sz="12" w:space="0" w:color="auto"/>
            </w:tcBorders>
          </w:tcPr>
          <w:p w14:paraId="678193A1" w14:textId="77777777" w:rsidR="000527FC" w:rsidRPr="00A058B6" w:rsidRDefault="000527FC" w:rsidP="00FD658D">
            <w:pPr>
              <w:pStyle w:val="TableHeading"/>
            </w:pPr>
            <w:r w:rsidRPr="00A058B6">
              <w:t>Reversion</w:t>
            </w:r>
          </w:p>
        </w:tc>
      </w:tr>
      <w:tr w:rsidR="00F9176A" w:rsidRPr="00F9176A" w14:paraId="6ABF9088" w14:textId="77777777" w:rsidTr="00A11447">
        <w:trPr>
          <w:cantSplit/>
        </w:trPr>
        <w:tc>
          <w:tcPr>
            <w:tcW w:w="1365" w:type="pct"/>
            <w:tcBorders>
              <w:top w:val="single" w:sz="12" w:space="0" w:color="auto"/>
              <w:bottom w:val="single" w:sz="4" w:space="0" w:color="auto"/>
            </w:tcBorders>
          </w:tcPr>
          <w:p w14:paraId="143D3345" w14:textId="77777777" w:rsidR="00F9176A" w:rsidRPr="00616B26" w:rsidRDefault="00F9176A" w:rsidP="00F9176A">
            <w:pPr>
              <w:pStyle w:val="Tabletext"/>
              <w:rPr>
                <w:snapToGrid w:val="0"/>
              </w:rPr>
            </w:pPr>
            <w:r w:rsidRPr="00616B26">
              <w:rPr>
                <w:snapToGrid w:val="0"/>
              </w:rPr>
              <w:t>18</w:t>
            </w:r>
          </w:p>
        </w:tc>
        <w:tc>
          <w:tcPr>
            <w:tcW w:w="909" w:type="pct"/>
            <w:tcBorders>
              <w:top w:val="single" w:sz="12" w:space="0" w:color="auto"/>
              <w:bottom w:val="single" w:sz="4" w:space="0" w:color="auto"/>
            </w:tcBorders>
            <w:shd w:val="clear" w:color="auto" w:fill="auto"/>
            <w:vAlign w:val="bottom"/>
          </w:tcPr>
          <w:p w14:paraId="0AE4A5A0" w14:textId="77777777" w:rsidR="00F9176A" w:rsidRPr="00F9176A" w:rsidRDefault="00F9176A" w:rsidP="00F9176A">
            <w:pPr>
              <w:pStyle w:val="Tabletext"/>
            </w:pPr>
            <w:r w:rsidRPr="00F9176A">
              <w:t>30</w:t>
            </w:r>
            <w:r w:rsidR="00D7157D">
              <w:t>.</w:t>
            </w:r>
            <w:r w:rsidRPr="00F9176A">
              <w:t>3684</w:t>
            </w:r>
          </w:p>
        </w:tc>
        <w:tc>
          <w:tcPr>
            <w:tcW w:w="909" w:type="pct"/>
            <w:tcBorders>
              <w:top w:val="single" w:sz="12" w:space="0" w:color="auto"/>
              <w:bottom w:val="single" w:sz="4" w:space="0" w:color="auto"/>
            </w:tcBorders>
            <w:shd w:val="clear" w:color="auto" w:fill="auto"/>
            <w:vAlign w:val="bottom"/>
          </w:tcPr>
          <w:p w14:paraId="00B2B083" w14:textId="77777777" w:rsidR="00F9176A" w:rsidRPr="00F9176A" w:rsidRDefault="00F9176A" w:rsidP="00F9176A">
            <w:pPr>
              <w:pStyle w:val="Tabletext"/>
            </w:pPr>
            <w:r w:rsidRPr="00F9176A">
              <w:t>3</w:t>
            </w:r>
            <w:r w:rsidR="00D7157D">
              <w:t>.</w:t>
            </w:r>
            <w:r w:rsidRPr="00F9176A">
              <w:t>0901</w:t>
            </w:r>
          </w:p>
        </w:tc>
        <w:tc>
          <w:tcPr>
            <w:tcW w:w="909" w:type="pct"/>
            <w:tcBorders>
              <w:top w:val="single" w:sz="12" w:space="0" w:color="auto"/>
              <w:bottom w:val="single" w:sz="4" w:space="0" w:color="auto"/>
            </w:tcBorders>
            <w:shd w:val="clear" w:color="auto" w:fill="auto"/>
            <w:vAlign w:val="bottom"/>
          </w:tcPr>
          <w:p w14:paraId="622A4CB5" w14:textId="77777777" w:rsidR="00F9176A" w:rsidRPr="00F9176A" w:rsidRDefault="00F9176A" w:rsidP="00F9176A">
            <w:pPr>
              <w:pStyle w:val="Tabletext"/>
            </w:pPr>
            <w:r w:rsidRPr="00F9176A">
              <w:t>31</w:t>
            </w:r>
            <w:r w:rsidR="00D7157D">
              <w:t>.</w:t>
            </w:r>
            <w:r w:rsidRPr="00F9176A">
              <w:t>6754</w:t>
            </w:r>
          </w:p>
        </w:tc>
        <w:tc>
          <w:tcPr>
            <w:tcW w:w="908" w:type="pct"/>
            <w:tcBorders>
              <w:top w:val="single" w:sz="12" w:space="0" w:color="auto"/>
              <w:bottom w:val="single" w:sz="4" w:space="0" w:color="auto"/>
              <w:right w:val="nil"/>
            </w:tcBorders>
            <w:shd w:val="clear" w:color="auto" w:fill="auto"/>
            <w:vAlign w:val="bottom"/>
          </w:tcPr>
          <w:p w14:paraId="0BCDA1A9" w14:textId="77777777" w:rsidR="00F9176A" w:rsidRPr="00F9176A" w:rsidRDefault="00F9176A" w:rsidP="00F9176A">
            <w:pPr>
              <w:pStyle w:val="Tabletext"/>
            </w:pPr>
            <w:r w:rsidRPr="00F9176A">
              <w:t>1</w:t>
            </w:r>
            <w:r w:rsidR="00D7157D">
              <w:t>.</w:t>
            </w:r>
            <w:r w:rsidRPr="00F9176A">
              <w:t>5000</w:t>
            </w:r>
          </w:p>
        </w:tc>
      </w:tr>
      <w:tr w:rsidR="00F9176A" w:rsidRPr="00F9176A" w14:paraId="2B39F321" w14:textId="77777777" w:rsidTr="00A11447">
        <w:trPr>
          <w:cantSplit/>
        </w:trPr>
        <w:tc>
          <w:tcPr>
            <w:tcW w:w="1365" w:type="pct"/>
            <w:tcBorders>
              <w:top w:val="single" w:sz="4" w:space="0" w:color="auto"/>
              <w:bottom w:val="single" w:sz="4" w:space="0" w:color="auto"/>
            </w:tcBorders>
          </w:tcPr>
          <w:p w14:paraId="52189DD4" w14:textId="77777777" w:rsidR="00F9176A" w:rsidRPr="00F9176A" w:rsidRDefault="00F9176A" w:rsidP="00F9176A">
            <w:pPr>
              <w:pStyle w:val="Tabletext"/>
            </w:pPr>
            <w:r w:rsidRPr="00F9176A">
              <w:t>19</w:t>
            </w:r>
          </w:p>
        </w:tc>
        <w:tc>
          <w:tcPr>
            <w:tcW w:w="909" w:type="pct"/>
            <w:tcBorders>
              <w:top w:val="single" w:sz="4" w:space="0" w:color="auto"/>
              <w:bottom w:val="single" w:sz="4" w:space="0" w:color="auto"/>
            </w:tcBorders>
            <w:shd w:val="clear" w:color="auto" w:fill="auto"/>
            <w:vAlign w:val="bottom"/>
          </w:tcPr>
          <w:p w14:paraId="156BA17D" w14:textId="77777777" w:rsidR="00F9176A" w:rsidRPr="00F9176A" w:rsidRDefault="00F9176A" w:rsidP="00F9176A">
            <w:pPr>
              <w:pStyle w:val="Tabletext"/>
            </w:pPr>
            <w:r w:rsidRPr="00F9176A">
              <w:t>30</w:t>
            </w:r>
            <w:r w:rsidR="00D7157D">
              <w:t>.</w:t>
            </w:r>
            <w:r w:rsidRPr="00F9176A">
              <w:t>1525</w:t>
            </w:r>
          </w:p>
        </w:tc>
        <w:tc>
          <w:tcPr>
            <w:tcW w:w="909" w:type="pct"/>
            <w:tcBorders>
              <w:top w:val="single" w:sz="4" w:space="0" w:color="auto"/>
              <w:bottom w:val="single" w:sz="4" w:space="0" w:color="auto"/>
            </w:tcBorders>
            <w:shd w:val="clear" w:color="auto" w:fill="auto"/>
            <w:vAlign w:val="bottom"/>
          </w:tcPr>
          <w:p w14:paraId="5D1EF939" w14:textId="77777777" w:rsidR="00F9176A" w:rsidRPr="00F9176A" w:rsidRDefault="00F9176A" w:rsidP="00F9176A">
            <w:pPr>
              <w:pStyle w:val="Tabletext"/>
            </w:pPr>
            <w:r w:rsidRPr="00F9176A">
              <w:t>3</w:t>
            </w:r>
            <w:r w:rsidR="00D7157D">
              <w:t>.</w:t>
            </w:r>
            <w:r w:rsidRPr="00F9176A">
              <w:t>1244</w:t>
            </w:r>
          </w:p>
        </w:tc>
        <w:tc>
          <w:tcPr>
            <w:tcW w:w="909" w:type="pct"/>
            <w:tcBorders>
              <w:top w:val="single" w:sz="4" w:space="0" w:color="auto"/>
              <w:bottom w:val="single" w:sz="4" w:space="0" w:color="auto"/>
            </w:tcBorders>
            <w:shd w:val="clear" w:color="auto" w:fill="auto"/>
            <w:vAlign w:val="bottom"/>
          </w:tcPr>
          <w:p w14:paraId="084BDE1F" w14:textId="77777777" w:rsidR="00F9176A" w:rsidRPr="00F9176A" w:rsidRDefault="00F9176A" w:rsidP="00F9176A">
            <w:pPr>
              <w:pStyle w:val="Tabletext"/>
            </w:pPr>
            <w:r w:rsidRPr="00F9176A">
              <w:t>31</w:t>
            </w:r>
            <w:r w:rsidR="00D7157D">
              <w:t>.</w:t>
            </w:r>
            <w:r w:rsidRPr="00F9176A">
              <w:t>4691</w:t>
            </w:r>
          </w:p>
        </w:tc>
        <w:tc>
          <w:tcPr>
            <w:tcW w:w="908" w:type="pct"/>
            <w:tcBorders>
              <w:top w:val="single" w:sz="4" w:space="0" w:color="auto"/>
              <w:bottom w:val="single" w:sz="4" w:space="0" w:color="auto"/>
              <w:right w:val="nil"/>
            </w:tcBorders>
            <w:shd w:val="clear" w:color="auto" w:fill="auto"/>
            <w:vAlign w:val="bottom"/>
          </w:tcPr>
          <w:p w14:paraId="6194F9A4" w14:textId="77777777" w:rsidR="00F9176A" w:rsidRPr="00F9176A" w:rsidRDefault="00F9176A" w:rsidP="00F9176A">
            <w:pPr>
              <w:pStyle w:val="Tabletext"/>
            </w:pPr>
            <w:r w:rsidRPr="00F9176A">
              <w:t>1</w:t>
            </w:r>
            <w:r w:rsidR="00D7157D">
              <w:t>.</w:t>
            </w:r>
            <w:r w:rsidRPr="00F9176A">
              <w:t>5146</w:t>
            </w:r>
          </w:p>
        </w:tc>
      </w:tr>
      <w:tr w:rsidR="00F9176A" w:rsidRPr="00F9176A" w14:paraId="091B7724" w14:textId="77777777" w:rsidTr="00A11447">
        <w:trPr>
          <w:cantSplit/>
        </w:trPr>
        <w:tc>
          <w:tcPr>
            <w:tcW w:w="1365" w:type="pct"/>
            <w:tcBorders>
              <w:top w:val="single" w:sz="4" w:space="0" w:color="auto"/>
              <w:bottom w:val="single" w:sz="4" w:space="0" w:color="auto"/>
            </w:tcBorders>
          </w:tcPr>
          <w:p w14:paraId="6930F7B3" w14:textId="77777777" w:rsidR="00F9176A" w:rsidRPr="00F9176A" w:rsidRDefault="00F9176A" w:rsidP="00F9176A">
            <w:pPr>
              <w:pStyle w:val="Tabletext"/>
            </w:pPr>
            <w:r w:rsidRPr="00F9176A">
              <w:t>20</w:t>
            </w:r>
          </w:p>
        </w:tc>
        <w:tc>
          <w:tcPr>
            <w:tcW w:w="909" w:type="pct"/>
            <w:tcBorders>
              <w:top w:val="single" w:sz="4" w:space="0" w:color="auto"/>
              <w:bottom w:val="single" w:sz="4" w:space="0" w:color="auto"/>
            </w:tcBorders>
            <w:shd w:val="clear" w:color="auto" w:fill="auto"/>
            <w:vAlign w:val="bottom"/>
          </w:tcPr>
          <w:p w14:paraId="169B8F82" w14:textId="77777777" w:rsidR="00F9176A" w:rsidRPr="00F9176A" w:rsidRDefault="00F9176A" w:rsidP="00F9176A">
            <w:pPr>
              <w:pStyle w:val="Tabletext"/>
            </w:pPr>
            <w:r w:rsidRPr="00F9176A">
              <w:t>29</w:t>
            </w:r>
            <w:r w:rsidR="00D7157D">
              <w:t>.</w:t>
            </w:r>
            <w:r w:rsidRPr="00F9176A">
              <w:t>9310</w:t>
            </w:r>
          </w:p>
        </w:tc>
        <w:tc>
          <w:tcPr>
            <w:tcW w:w="909" w:type="pct"/>
            <w:tcBorders>
              <w:top w:val="single" w:sz="4" w:space="0" w:color="auto"/>
              <w:bottom w:val="single" w:sz="4" w:space="0" w:color="auto"/>
            </w:tcBorders>
            <w:shd w:val="clear" w:color="auto" w:fill="auto"/>
            <w:vAlign w:val="bottom"/>
          </w:tcPr>
          <w:p w14:paraId="68DD1CE8" w14:textId="77777777" w:rsidR="00F9176A" w:rsidRPr="00F9176A" w:rsidRDefault="00F9176A" w:rsidP="00F9176A">
            <w:pPr>
              <w:pStyle w:val="Tabletext"/>
            </w:pPr>
            <w:r w:rsidRPr="00F9176A">
              <w:t>3</w:t>
            </w:r>
            <w:r w:rsidR="00D7157D">
              <w:t>.</w:t>
            </w:r>
            <w:r w:rsidRPr="00F9176A">
              <w:t>1599</w:t>
            </w:r>
          </w:p>
        </w:tc>
        <w:tc>
          <w:tcPr>
            <w:tcW w:w="909" w:type="pct"/>
            <w:tcBorders>
              <w:top w:val="single" w:sz="4" w:space="0" w:color="auto"/>
              <w:bottom w:val="single" w:sz="4" w:space="0" w:color="auto"/>
            </w:tcBorders>
            <w:shd w:val="clear" w:color="auto" w:fill="auto"/>
            <w:vAlign w:val="bottom"/>
          </w:tcPr>
          <w:p w14:paraId="05AAD058" w14:textId="77777777" w:rsidR="00F9176A" w:rsidRPr="00F9176A" w:rsidRDefault="00F9176A" w:rsidP="00F9176A">
            <w:pPr>
              <w:pStyle w:val="Tabletext"/>
            </w:pPr>
            <w:r w:rsidRPr="00F9176A">
              <w:t>31</w:t>
            </w:r>
            <w:r w:rsidR="00D7157D">
              <w:t>.</w:t>
            </w:r>
            <w:r w:rsidRPr="00F9176A">
              <w:t>2576</w:t>
            </w:r>
          </w:p>
        </w:tc>
        <w:tc>
          <w:tcPr>
            <w:tcW w:w="908" w:type="pct"/>
            <w:tcBorders>
              <w:top w:val="single" w:sz="4" w:space="0" w:color="auto"/>
              <w:bottom w:val="single" w:sz="4" w:space="0" w:color="auto"/>
              <w:right w:val="nil"/>
            </w:tcBorders>
            <w:shd w:val="clear" w:color="auto" w:fill="auto"/>
            <w:vAlign w:val="bottom"/>
          </w:tcPr>
          <w:p w14:paraId="05076E34" w14:textId="77777777" w:rsidR="00F9176A" w:rsidRPr="00F9176A" w:rsidRDefault="00F9176A" w:rsidP="00F9176A">
            <w:pPr>
              <w:pStyle w:val="Tabletext"/>
            </w:pPr>
            <w:r w:rsidRPr="00F9176A">
              <w:t>1</w:t>
            </w:r>
            <w:r w:rsidR="00D7157D">
              <w:t>.</w:t>
            </w:r>
            <w:r w:rsidRPr="00F9176A">
              <w:t>5298</w:t>
            </w:r>
          </w:p>
        </w:tc>
      </w:tr>
      <w:tr w:rsidR="00F9176A" w:rsidRPr="00F9176A" w14:paraId="0B7C2B8D" w14:textId="77777777" w:rsidTr="00A11447">
        <w:trPr>
          <w:cantSplit/>
        </w:trPr>
        <w:tc>
          <w:tcPr>
            <w:tcW w:w="1365" w:type="pct"/>
            <w:tcBorders>
              <w:top w:val="single" w:sz="4" w:space="0" w:color="auto"/>
              <w:bottom w:val="single" w:sz="4" w:space="0" w:color="auto"/>
            </w:tcBorders>
          </w:tcPr>
          <w:p w14:paraId="7DB66708" w14:textId="77777777" w:rsidR="00F9176A" w:rsidRPr="00F9176A" w:rsidRDefault="00F9176A" w:rsidP="00F9176A">
            <w:pPr>
              <w:pStyle w:val="Tabletext"/>
            </w:pPr>
            <w:r w:rsidRPr="00F9176A">
              <w:t>21</w:t>
            </w:r>
          </w:p>
        </w:tc>
        <w:tc>
          <w:tcPr>
            <w:tcW w:w="909" w:type="pct"/>
            <w:tcBorders>
              <w:top w:val="single" w:sz="4" w:space="0" w:color="auto"/>
              <w:bottom w:val="single" w:sz="4" w:space="0" w:color="auto"/>
            </w:tcBorders>
            <w:shd w:val="clear" w:color="auto" w:fill="auto"/>
            <w:vAlign w:val="bottom"/>
          </w:tcPr>
          <w:p w14:paraId="599B9EA2" w14:textId="77777777" w:rsidR="00F9176A" w:rsidRPr="00F9176A" w:rsidRDefault="00F9176A" w:rsidP="00F9176A">
            <w:pPr>
              <w:pStyle w:val="Tabletext"/>
            </w:pPr>
            <w:r w:rsidRPr="00F9176A">
              <w:t>29</w:t>
            </w:r>
            <w:r w:rsidR="00D7157D">
              <w:t>.</w:t>
            </w:r>
            <w:r w:rsidRPr="00F9176A">
              <w:t>7036</w:t>
            </w:r>
          </w:p>
        </w:tc>
        <w:tc>
          <w:tcPr>
            <w:tcW w:w="909" w:type="pct"/>
            <w:tcBorders>
              <w:top w:val="single" w:sz="4" w:space="0" w:color="auto"/>
              <w:bottom w:val="single" w:sz="4" w:space="0" w:color="auto"/>
            </w:tcBorders>
            <w:shd w:val="clear" w:color="auto" w:fill="auto"/>
            <w:vAlign w:val="bottom"/>
          </w:tcPr>
          <w:p w14:paraId="42218917" w14:textId="77777777" w:rsidR="00F9176A" w:rsidRPr="00F9176A" w:rsidRDefault="00F9176A" w:rsidP="00F9176A">
            <w:pPr>
              <w:pStyle w:val="Tabletext"/>
            </w:pPr>
            <w:r w:rsidRPr="00F9176A">
              <w:t>3</w:t>
            </w:r>
            <w:r w:rsidR="00D7157D">
              <w:t>.</w:t>
            </w:r>
            <w:r w:rsidRPr="00F9176A">
              <w:t>1964</w:t>
            </w:r>
          </w:p>
        </w:tc>
        <w:tc>
          <w:tcPr>
            <w:tcW w:w="909" w:type="pct"/>
            <w:tcBorders>
              <w:top w:val="single" w:sz="4" w:space="0" w:color="auto"/>
              <w:bottom w:val="single" w:sz="4" w:space="0" w:color="auto"/>
            </w:tcBorders>
            <w:shd w:val="clear" w:color="auto" w:fill="auto"/>
            <w:vAlign w:val="bottom"/>
          </w:tcPr>
          <w:p w14:paraId="1B9501D6" w14:textId="77777777" w:rsidR="00F9176A" w:rsidRPr="00F9176A" w:rsidRDefault="00F9176A" w:rsidP="00F9176A">
            <w:pPr>
              <w:pStyle w:val="Tabletext"/>
            </w:pPr>
            <w:r w:rsidRPr="00F9176A">
              <w:t>31</w:t>
            </w:r>
            <w:r w:rsidR="00D7157D">
              <w:t>.</w:t>
            </w:r>
            <w:r w:rsidRPr="00F9176A">
              <w:t>0407</w:t>
            </w:r>
          </w:p>
        </w:tc>
        <w:tc>
          <w:tcPr>
            <w:tcW w:w="908" w:type="pct"/>
            <w:tcBorders>
              <w:top w:val="single" w:sz="4" w:space="0" w:color="auto"/>
              <w:bottom w:val="single" w:sz="4" w:space="0" w:color="auto"/>
              <w:right w:val="nil"/>
            </w:tcBorders>
            <w:shd w:val="clear" w:color="auto" w:fill="auto"/>
            <w:vAlign w:val="bottom"/>
          </w:tcPr>
          <w:p w14:paraId="3E743759" w14:textId="77777777" w:rsidR="00F9176A" w:rsidRPr="00F9176A" w:rsidRDefault="00F9176A" w:rsidP="00F9176A">
            <w:pPr>
              <w:pStyle w:val="Tabletext"/>
            </w:pPr>
            <w:r w:rsidRPr="00F9176A">
              <w:t>1</w:t>
            </w:r>
            <w:r w:rsidR="00D7157D">
              <w:t>.</w:t>
            </w:r>
            <w:r w:rsidRPr="00F9176A">
              <w:t>5454</w:t>
            </w:r>
          </w:p>
        </w:tc>
      </w:tr>
      <w:tr w:rsidR="00F9176A" w:rsidRPr="00F9176A" w14:paraId="134AC051" w14:textId="77777777" w:rsidTr="00A11447">
        <w:trPr>
          <w:cantSplit/>
        </w:trPr>
        <w:tc>
          <w:tcPr>
            <w:tcW w:w="1365" w:type="pct"/>
            <w:tcBorders>
              <w:top w:val="single" w:sz="4" w:space="0" w:color="auto"/>
              <w:bottom w:val="single" w:sz="4" w:space="0" w:color="auto"/>
            </w:tcBorders>
          </w:tcPr>
          <w:p w14:paraId="359F6803" w14:textId="77777777" w:rsidR="00F9176A" w:rsidRPr="00F9176A" w:rsidRDefault="00F9176A" w:rsidP="00F9176A">
            <w:pPr>
              <w:pStyle w:val="Tabletext"/>
            </w:pPr>
            <w:r w:rsidRPr="00F9176A">
              <w:t>22</w:t>
            </w:r>
          </w:p>
        </w:tc>
        <w:tc>
          <w:tcPr>
            <w:tcW w:w="909" w:type="pct"/>
            <w:tcBorders>
              <w:top w:val="single" w:sz="4" w:space="0" w:color="auto"/>
              <w:bottom w:val="single" w:sz="4" w:space="0" w:color="auto"/>
            </w:tcBorders>
            <w:shd w:val="clear" w:color="auto" w:fill="auto"/>
            <w:vAlign w:val="bottom"/>
          </w:tcPr>
          <w:p w14:paraId="3F65FFE0" w14:textId="77777777" w:rsidR="00F9176A" w:rsidRPr="00F9176A" w:rsidRDefault="00F9176A" w:rsidP="00F9176A">
            <w:pPr>
              <w:pStyle w:val="Tabletext"/>
            </w:pPr>
            <w:r w:rsidRPr="00F9176A">
              <w:t>29</w:t>
            </w:r>
            <w:r w:rsidR="00D7157D">
              <w:t>.</w:t>
            </w:r>
            <w:r w:rsidRPr="00F9176A">
              <w:t>4702</w:t>
            </w:r>
          </w:p>
        </w:tc>
        <w:tc>
          <w:tcPr>
            <w:tcW w:w="909" w:type="pct"/>
            <w:tcBorders>
              <w:top w:val="single" w:sz="4" w:space="0" w:color="auto"/>
              <w:bottom w:val="single" w:sz="4" w:space="0" w:color="auto"/>
            </w:tcBorders>
            <w:shd w:val="clear" w:color="auto" w:fill="auto"/>
            <w:vAlign w:val="bottom"/>
          </w:tcPr>
          <w:p w14:paraId="47160479" w14:textId="77777777" w:rsidR="00F9176A" w:rsidRPr="00F9176A" w:rsidRDefault="00F9176A" w:rsidP="00F9176A">
            <w:pPr>
              <w:pStyle w:val="Tabletext"/>
            </w:pPr>
            <w:r w:rsidRPr="00F9176A">
              <w:t>3</w:t>
            </w:r>
            <w:r w:rsidR="00D7157D">
              <w:t>.</w:t>
            </w:r>
            <w:r w:rsidRPr="00F9176A">
              <w:t>2340</w:t>
            </w:r>
          </w:p>
        </w:tc>
        <w:tc>
          <w:tcPr>
            <w:tcW w:w="909" w:type="pct"/>
            <w:tcBorders>
              <w:top w:val="single" w:sz="4" w:space="0" w:color="auto"/>
              <w:bottom w:val="single" w:sz="4" w:space="0" w:color="auto"/>
            </w:tcBorders>
            <w:shd w:val="clear" w:color="auto" w:fill="auto"/>
            <w:vAlign w:val="bottom"/>
          </w:tcPr>
          <w:p w14:paraId="32B67677" w14:textId="77777777" w:rsidR="00F9176A" w:rsidRPr="00F9176A" w:rsidRDefault="00F9176A" w:rsidP="00F9176A">
            <w:pPr>
              <w:pStyle w:val="Tabletext"/>
            </w:pPr>
            <w:r w:rsidRPr="00F9176A">
              <w:t>30</w:t>
            </w:r>
            <w:r w:rsidR="00D7157D">
              <w:t>.</w:t>
            </w:r>
            <w:r w:rsidRPr="00F9176A">
              <w:t>8183</w:t>
            </w:r>
          </w:p>
        </w:tc>
        <w:tc>
          <w:tcPr>
            <w:tcW w:w="908" w:type="pct"/>
            <w:tcBorders>
              <w:top w:val="single" w:sz="4" w:space="0" w:color="auto"/>
              <w:bottom w:val="single" w:sz="4" w:space="0" w:color="auto"/>
              <w:right w:val="nil"/>
            </w:tcBorders>
            <w:shd w:val="clear" w:color="auto" w:fill="auto"/>
            <w:vAlign w:val="bottom"/>
          </w:tcPr>
          <w:p w14:paraId="1CEB8B46" w14:textId="77777777" w:rsidR="00F9176A" w:rsidRPr="00F9176A" w:rsidRDefault="00F9176A" w:rsidP="00F9176A">
            <w:pPr>
              <w:pStyle w:val="Tabletext"/>
            </w:pPr>
            <w:r w:rsidRPr="00F9176A">
              <w:t>1</w:t>
            </w:r>
            <w:r w:rsidR="00D7157D">
              <w:t>.</w:t>
            </w:r>
            <w:r w:rsidRPr="00F9176A">
              <w:t>5614</w:t>
            </w:r>
          </w:p>
        </w:tc>
      </w:tr>
      <w:tr w:rsidR="00F9176A" w:rsidRPr="00F9176A" w14:paraId="4B5317BA" w14:textId="77777777" w:rsidTr="00A11447">
        <w:trPr>
          <w:cantSplit/>
        </w:trPr>
        <w:tc>
          <w:tcPr>
            <w:tcW w:w="1365" w:type="pct"/>
            <w:tcBorders>
              <w:top w:val="single" w:sz="4" w:space="0" w:color="auto"/>
              <w:bottom w:val="single" w:sz="4" w:space="0" w:color="auto"/>
            </w:tcBorders>
          </w:tcPr>
          <w:p w14:paraId="35C0ACA2" w14:textId="77777777" w:rsidR="00F9176A" w:rsidRPr="00F9176A" w:rsidRDefault="00F9176A" w:rsidP="00F9176A">
            <w:pPr>
              <w:pStyle w:val="Tabletext"/>
            </w:pPr>
            <w:r w:rsidRPr="00F9176A">
              <w:t>23</w:t>
            </w:r>
          </w:p>
        </w:tc>
        <w:tc>
          <w:tcPr>
            <w:tcW w:w="909" w:type="pct"/>
            <w:tcBorders>
              <w:top w:val="single" w:sz="4" w:space="0" w:color="auto"/>
              <w:bottom w:val="single" w:sz="4" w:space="0" w:color="auto"/>
            </w:tcBorders>
            <w:shd w:val="clear" w:color="auto" w:fill="auto"/>
            <w:vAlign w:val="bottom"/>
          </w:tcPr>
          <w:p w14:paraId="3BAB8816" w14:textId="77777777" w:rsidR="00F9176A" w:rsidRPr="00F9176A" w:rsidRDefault="00F9176A" w:rsidP="00F9176A">
            <w:pPr>
              <w:pStyle w:val="Tabletext"/>
            </w:pPr>
            <w:r w:rsidRPr="00F9176A">
              <w:t>29</w:t>
            </w:r>
            <w:r w:rsidR="00D7157D">
              <w:t>.</w:t>
            </w:r>
            <w:r w:rsidRPr="00F9176A">
              <w:t>2307</w:t>
            </w:r>
          </w:p>
        </w:tc>
        <w:tc>
          <w:tcPr>
            <w:tcW w:w="909" w:type="pct"/>
            <w:tcBorders>
              <w:top w:val="single" w:sz="4" w:space="0" w:color="auto"/>
              <w:bottom w:val="single" w:sz="4" w:space="0" w:color="auto"/>
            </w:tcBorders>
            <w:shd w:val="clear" w:color="auto" w:fill="auto"/>
            <w:vAlign w:val="bottom"/>
          </w:tcPr>
          <w:p w14:paraId="3E90878A" w14:textId="77777777" w:rsidR="00F9176A" w:rsidRPr="00F9176A" w:rsidRDefault="00F9176A" w:rsidP="00F9176A">
            <w:pPr>
              <w:pStyle w:val="Tabletext"/>
            </w:pPr>
            <w:r w:rsidRPr="00F9176A">
              <w:t>3</w:t>
            </w:r>
            <w:r w:rsidR="00D7157D">
              <w:t>.</w:t>
            </w:r>
            <w:r w:rsidRPr="00F9176A">
              <w:t>2727</w:t>
            </w:r>
          </w:p>
        </w:tc>
        <w:tc>
          <w:tcPr>
            <w:tcW w:w="909" w:type="pct"/>
            <w:tcBorders>
              <w:top w:val="single" w:sz="4" w:space="0" w:color="auto"/>
              <w:bottom w:val="single" w:sz="4" w:space="0" w:color="auto"/>
            </w:tcBorders>
            <w:shd w:val="clear" w:color="auto" w:fill="auto"/>
            <w:vAlign w:val="bottom"/>
          </w:tcPr>
          <w:p w14:paraId="49AC80EA" w14:textId="77777777" w:rsidR="00F9176A" w:rsidRPr="00F9176A" w:rsidRDefault="00F9176A" w:rsidP="00F9176A">
            <w:pPr>
              <w:pStyle w:val="Tabletext"/>
            </w:pPr>
            <w:r w:rsidRPr="00F9176A">
              <w:t>30</w:t>
            </w:r>
            <w:r w:rsidR="00D7157D">
              <w:t>.</w:t>
            </w:r>
            <w:r w:rsidRPr="00F9176A">
              <w:t>5902</w:t>
            </w:r>
          </w:p>
        </w:tc>
        <w:tc>
          <w:tcPr>
            <w:tcW w:w="908" w:type="pct"/>
            <w:tcBorders>
              <w:top w:val="single" w:sz="4" w:space="0" w:color="auto"/>
              <w:bottom w:val="single" w:sz="4" w:space="0" w:color="auto"/>
              <w:right w:val="nil"/>
            </w:tcBorders>
            <w:shd w:val="clear" w:color="auto" w:fill="auto"/>
            <w:vAlign w:val="bottom"/>
          </w:tcPr>
          <w:p w14:paraId="79DA6B4B" w14:textId="77777777" w:rsidR="00F9176A" w:rsidRPr="00F9176A" w:rsidRDefault="00F9176A" w:rsidP="00F9176A">
            <w:pPr>
              <w:pStyle w:val="Tabletext"/>
            </w:pPr>
            <w:r w:rsidRPr="00F9176A">
              <w:t>1</w:t>
            </w:r>
            <w:r w:rsidR="00D7157D">
              <w:t>.</w:t>
            </w:r>
            <w:r w:rsidRPr="00F9176A">
              <w:t>5780</w:t>
            </w:r>
          </w:p>
        </w:tc>
      </w:tr>
      <w:tr w:rsidR="00F9176A" w:rsidRPr="00F9176A" w14:paraId="2FB1F5D2" w14:textId="77777777" w:rsidTr="00A11447">
        <w:trPr>
          <w:cantSplit/>
        </w:trPr>
        <w:tc>
          <w:tcPr>
            <w:tcW w:w="1365" w:type="pct"/>
            <w:tcBorders>
              <w:top w:val="single" w:sz="4" w:space="0" w:color="auto"/>
              <w:bottom w:val="single" w:sz="4" w:space="0" w:color="auto"/>
            </w:tcBorders>
          </w:tcPr>
          <w:p w14:paraId="4DC22199" w14:textId="77777777" w:rsidR="00F9176A" w:rsidRPr="00F9176A" w:rsidRDefault="00F9176A" w:rsidP="00F9176A">
            <w:pPr>
              <w:pStyle w:val="Tabletext"/>
            </w:pPr>
            <w:r w:rsidRPr="00F9176A">
              <w:t>24</w:t>
            </w:r>
          </w:p>
        </w:tc>
        <w:tc>
          <w:tcPr>
            <w:tcW w:w="909" w:type="pct"/>
            <w:tcBorders>
              <w:top w:val="single" w:sz="4" w:space="0" w:color="auto"/>
              <w:bottom w:val="single" w:sz="4" w:space="0" w:color="auto"/>
            </w:tcBorders>
            <w:shd w:val="clear" w:color="auto" w:fill="auto"/>
            <w:vAlign w:val="bottom"/>
          </w:tcPr>
          <w:p w14:paraId="2B8FBB0E" w14:textId="77777777" w:rsidR="00F9176A" w:rsidRPr="00F9176A" w:rsidRDefault="00F9176A" w:rsidP="00F9176A">
            <w:pPr>
              <w:pStyle w:val="Tabletext"/>
            </w:pPr>
            <w:r w:rsidRPr="00F9176A">
              <w:t>28</w:t>
            </w:r>
            <w:r w:rsidR="00D7157D">
              <w:t>.</w:t>
            </w:r>
            <w:r w:rsidRPr="00F9176A">
              <w:t>9850</w:t>
            </w:r>
          </w:p>
        </w:tc>
        <w:tc>
          <w:tcPr>
            <w:tcW w:w="909" w:type="pct"/>
            <w:tcBorders>
              <w:top w:val="single" w:sz="4" w:space="0" w:color="auto"/>
              <w:bottom w:val="single" w:sz="4" w:space="0" w:color="auto"/>
            </w:tcBorders>
            <w:shd w:val="clear" w:color="auto" w:fill="auto"/>
            <w:vAlign w:val="bottom"/>
          </w:tcPr>
          <w:p w14:paraId="4407E512" w14:textId="77777777" w:rsidR="00F9176A" w:rsidRPr="00F9176A" w:rsidRDefault="00F9176A" w:rsidP="00F9176A">
            <w:pPr>
              <w:pStyle w:val="Tabletext"/>
            </w:pPr>
            <w:r w:rsidRPr="00F9176A">
              <w:t>3</w:t>
            </w:r>
            <w:r w:rsidR="00D7157D">
              <w:t>.</w:t>
            </w:r>
            <w:r w:rsidRPr="00F9176A">
              <w:t>3126</w:t>
            </w:r>
          </w:p>
        </w:tc>
        <w:tc>
          <w:tcPr>
            <w:tcW w:w="909" w:type="pct"/>
            <w:tcBorders>
              <w:top w:val="single" w:sz="4" w:space="0" w:color="auto"/>
              <w:bottom w:val="single" w:sz="4" w:space="0" w:color="auto"/>
            </w:tcBorders>
            <w:shd w:val="clear" w:color="auto" w:fill="auto"/>
            <w:vAlign w:val="bottom"/>
          </w:tcPr>
          <w:p w14:paraId="7DEBCD56" w14:textId="77777777" w:rsidR="00F9176A" w:rsidRPr="00F9176A" w:rsidRDefault="00F9176A" w:rsidP="00F9176A">
            <w:pPr>
              <w:pStyle w:val="Tabletext"/>
            </w:pPr>
            <w:r w:rsidRPr="00F9176A">
              <w:t>30</w:t>
            </w:r>
            <w:r w:rsidR="00D7157D">
              <w:t>.</w:t>
            </w:r>
            <w:r w:rsidRPr="00F9176A">
              <w:t>3563</w:t>
            </w:r>
          </w:p>
        </w:tc>
        <w:tc>
          <w:tcPr>
            <w:tcW w:w="908" w:type="pct"/>
            <w:tcBorders>
              <w:top w:val="single" w:sz="4" w:space="0" w:color="auto"/>
              <w:bottom w:val="single" w:sz="4" w:space="0" w:color="auto"/>
              <w:right w:val="nil"/>
            </w:tcBorders>
            <w:shd w:val="clear" w:color="auto" w:fill="auto"/>
            <w:vAlign w:val="bottom"/>
          </w:tcPr>
          <w:p w14:paraId="5A31485D" w14:textId="77777777" w:rsidR="00F9176A" w:rsidRPr="00F9176A" w:rsidRDefault="00F9176A" w:rsidP="00F9176A">
            <w:pPr>
              <w:pStyle w:val="Tabletext"/>
            </w:pPr>
            <w:r w:rsidRPr="00F9176A">
              <w:t>1</w:t>
            </w:r>
            <w:r w:rsidR="00D7157D">
              <w:t>.</w:t>
            </w:r>
            <w:r w:rsidRPr="00F9176A">
              <w:t>5951</w:t>
            </w:r>
          </w:p>
        </w:tc>
      </w:tr>
      <w:tr w:rsidR="00F9176A" w:rsidRPr="00F9176A" w14:paraId="5D2FA985" w14:textId="77777777" w:rsidTr="00A11447">
        <w:trPr>
          <w:cantSplit/>
        </w:trPr>
        <w:tc>
          <w:tcPr>
            <w:tcW w:w="1365" w:type="pct"/>
            <w:tcBorders>
              <w:top w:val="single" w:sz="4" w:space="0" w:color="auto"/>
              <w:bottom w:val="single" w:sz="4" w:space="0" w:color="auto"/>
            </w:tcBorders>
          </w:tcPr>
          <w:p w14:paraId="5930518E" w14:textId="77777777" w:rsidR="00F9176A" w:rsidRPr="00F9176A" w:rsidRDefault="00F9176A" w:rsidP="00F9176A">
            <w:pPr>
              <w:pStyle w:val="Tabletext"/>
            </w:pPr>
            <w:r w:rsidRPr="00F9176A">
              <w:t>25</w:t>
            </w:r>
          </w:p>
        </w:tc>
        <w:tc>
          <w:tcPr>
            <w:tcW w:w="909" w:type="pct"/>
            <w:tcBorders>
              <w:top w:val="single" w:sz="4" w:space="0" w:color="auto"/>
              <w:bottom w:val="single" w:sz="4" w:space="0" w:color="auto"/>
            </w:tcBorders>
            <w:shd w:val="clear" w:color="auto" w:fill="auto"/>
            <w:vAlign w:val="bottom"/>
          </w:tcPr>
          <w:p w14:paraId="2DB58D61" w14:textId="77777777" w:rsidR="00F9176A" w:rsidRPr="00F9176A" w:rsidRDefault="00F9176A" w:rsidP="00F9176A">
            <w:pPr>
              <w:pStyle w:val="Tabletext"/>
            </w:pPr>
            <w:r w:rsidRPr="00F9176A">
              <w:t>28</w:t>
            </w:r>
            <w:r w:rsidR="00D7157D">
              <w:t>.</w:t>
            </w:r>
            <w:r w:rsidRPr="00F9176A">
              <w:t>7328</w:t>
            </w:r>
          </w:p>
        </w:tc>
        <w:tc>
          <w:tcPr>
            <w:tcW w:w="909" w:type="pct"/>
            <w:tcBorders>
              <w:top w:val="single" w:sz="4" w:space="0" w:color="auto"/>
              <w:bottom w:val="single" w:sz="4" w:space="0" w:color="auto"/>
            </w:tcBorders>
            <w:shd w:val="clear" w:color="auto" w:fill="auto"/>
            <w:vAlign w:val="bottom"/>
          </w:tcPr>
          <w:p w14:paraId="28FD7F15" w14:textId="77777777" w:rsidR="00F9176A" w:rsidRPr="00F9176A" w:rsidRDefault="00F9176A" w:rsidP="00F9176A">
            <w:pPr>
              <w:pStyle w:val="Tabletext"/>
            </w:pPr>
            <w:r w:rsidRPr="00F9176A">
              <w:t>3</w:t>
            </w:r>
            <w:r w:rsidR="00D7157D">
              <w:t>.</w:t>
            </w:r>
            <w:r w:rsidRPr="00F9176A">
              <w:t>3536</w:t>
            </w:r>
          </w:p>
        </w:tc>
        <w:tc>
          <w:tcPr>
            <w:tcW w:w="909" w:type="pct"/>
            <w:tcBorders>
              <w:top w:val="single" w:sz="4" w:space="0" w:color="auto"/>
              <w:bottom w:val="single" w:sz="4" w:space="0" w:color="auto"/>
            </w:tcBorders>
            <w:shd w:val="clear" w:color="auto" w:fill="auto"/>
            <w:vAlign w:val="bottom"/>
          </w:tcPr>
          <w:p w14:paraId="20010EFD" w14:textId="77777777" w:rsidR="00F9176A" w:rsidRPr="00F9176A" w:rsidRDefault="00F9176A" w:rsidP="00F9176A">
            <w:pPr>
              <w:pStyle w:val="Tabletext"/>
            </w:pPr>
            <w:r w:rsidRPr="00F9176A">
              <w:t>30</w:t>
            </w:r>
            <w:r w:rsidR="00D7157D">
              <w:t>.</w:t>
            </w:r>
            <w:r w:rsidRPr="00F9176A">
              <w:t>1164</w:t>
            </w:r>
          </w:p>
        </w:tc>
        <w:tc>
          <w:tcPr>
            <w:tcW w:w="908" w:type="pct"/>
            <w:tcBorders>
              <w:top w:val="single" w:sz="4" w:space="0" w:color="auto"/>
              <w:bottom w:val="single" w:sz="4" w:space="0" w:color="auto"/>
              <w:right w:val="nil"/>
            </w:tcBorders>
            <w:shd w:val="clear" w:color="auto" w:fill="auto"/>
            <w:vAlign w:val="bottom"/>
          </w:tcPr>
          <w:p w14:paraId="63A8C8E3" w14:textId="77777777" w:rsidR="00F9176A" w:rsidRPr="00F9176A" w:rsidRDefault="00F9176A" w:rsidP="00F9176A">
            <w:pPr>
              <w:pStyle w:val="Tabletext"/>
            </w:pPr>
            <w:r w:rsidRPr="00F9176A">
              <w:t>1</w:t>
            </w:r>
            <w:r w:rsidR="00D7157D">
              <w:t>.</w:t>
            </w:r>
            <w:r w:rsidRPr="00F9176A">
              <w:t>6127</w:t>
            </w:r>
          </w:p>
        </w:tc>
      </w:tr>
      <w:tr w:rsidR="00F9176A" w:rsidRPr="00F9176A" w14:paraId="49354E75" w14:textId="77777777" w:rsidTr="00A11447">
        <w:trPr>
          <w:cantSplit/>
        </w:trPr>
        <w:tc>
          <w:tcPr>
            <w:tcW w:w="1365" w:type="pct"/>
            <w:tcBorders>
              <w:top w:val="single" w:sz="4" w:space="0" w:color="auto"/>
              <w:bottom w:val="single" w:sz="4" w:space="0" w:color="auto"/>
            </w:tcBorders>
          </w:tcPr>
          <w:p w14:paraId="0887333A" w14:textId="77777777" w:rsidR="00F9176A" w:rsidRPr="00F9176A" w:rsidRDefault="00F9176A" w:rsidP="00F9176A">
            <w:pPr>
              <w:pStyle w:val="Tabletext"/>
            </w:pPr>
            <w:r w:rsidRPr="00F9176A">
              <w:t>26</w:t>
            </w:r>
          </w:p>
        </w:tc>
        <w:tc>
          <w:tcPr>
            <w:tcW w:w="909" w:type="pct"/>
            <w:tcBorders>
              <w:top w:val="single" w:sz="4" w:space="0" w:color="auto"/>
              <w:bottom w:val="single" w:sz="4" w:space="0" w:color="auto"/>
            </w:tcBorders>
            <w:shd w:val="clear" w:color="auto" w:fill="auto"/>
            <w:vAlign w:val="bottom"/>
          </w:tcPr>
          <w:p w14:paraId="45C4FEBA" w14:textId="77777777" w:rsidR="00F9176A" w:rsidRPr="00F9176A" w:rsidRDefault="00F9176A" w:rsidP="00F9176A">
            <w:pPr>
              <w:pStyle w:val="Tabletext"/>
            </w:pPr>
            <w:r w:rsidRPr="00F9176A">
              <w:t>28</w:t>
            </w:r>
            <w:r w:rsidR="00D7157D">
              <w:t>.</w:t>
            </w:r>
            <w:r w:rsidRPr="00F9176A">
              <w:t>4739</w:t>
            </w:r>
          </w:p>
        </w:tc>
        <w:tc>
          <w:tcPr>
            <w:tcW w:w="909" w:type="pct"/>
            <w:tcBorders>
              <w:top w:val="single" w:sz="4" w:space="0" w:color="auto"/>
              <w:bottom w:val="single" w:sz="4" w:space="0" w:color="auto"/>
            </w:tcBorders>
            <w:shd w:val="clear" w:color="auto" w:fill="auto"/>
            <w:vAlign w:val="bottom"/>
          </w:tcPr>
          <w:p w14:paraId="316D0A6D" w14:textId="77777777" w:rsidR="00F9176A" w:rsidRPr="00F9176A" w:rsidRDefault="00F9176A" w:rsidP="00F9176A">
            <w:pPr>
              <w:pStyle w:val="Tabletext"/>
            </w:pPr>
            <w:r w:rsidRPr="00F9176A">
              <w:t>3</w:t>
            </w:r>
            <w:r w:rsidR="00D7157D">
              <w:t>.</w:t>
            </w:r>
            <w:r w:rsidRPr="00F9176A">
              <w:t>3959</w:t>
            </w:r>
          </w:p>
        </w:tc>
        <w:tc>
          <w:tcPr>
            <w:tcW w:w="909" w:type="pct"/>
            <w:tcBorders>
              <w:top w:val="single" w:sz="4" w:space="0" w:color="auto"/>
              <w:bottom w:val="single" w:sz="4" w:space="0" w:color="auto"/>
            </w:tcBorders>
            <w:shd w:val="clear" w:color="auto" w:fill="auto"/>
            <w:vAlign w:val="bottom"/>
          </w:tcPr>
          <w:p w14:paraId="3F35BDCE" w14:textId="77777777" w:rsidR="00F9176A" w:rsidRPr="00F9176A" w:rsidRDefault="00F9176A" w:rsidP="00F9176A">
            <w:pPr>
              <w:pStyle w:val="Tabletext"/>
            </w:pPr>
            <w:r w:rsidRPr="00F9176A">
              <w:t>29</w:t>
            </w:r>
            <w:r w:rsidR="00D7157D">
              <w:t>.</w:t>
            </w:r>
            <w:r w:rsidRPr="00F9176A">
              <w:t>8705</w:t>
            </w:r>
          </w:p>
        </w:tc>
        <w:tc>
          <w:tcPr>
            <w:tcW w:w="908" w:type="pct"/>
            <w:tcBorders>
              <w:top w:val="single" w:sz="4" w:space="0" w:color="auto"/>
              <w:bottom w:val="single" w:sz="4" w:space="0" w:color="auto"/>
              <w:right w:val="nil"/>
            </w:tcBorders>
            <w:shd w:val="clear" w:color="auto" w:fill="auto"/>
            <w:vAlign w:val="bottom"/>
          </w:tcPr>
          <w:p w14:paraId="0BBF693F" w14:textId="77777777" w:rsidR="00F9176A" w:rsidRPr="00F9176A" w:rsidRDefault="00F9176A" w:rsidP="00F9176A">
            <w:pPr>
              <w:pStyle w:val="Tabletext"/>
            </w:pPr>
            <w:r w:rsidRPr="00F9176A">
              <w:t>1</w:t>
            </w:r>
            <w:r w:rsidR="00D7157D">
              <w:t>.</w:t>
            </w:r>
            <w:r w:rsidRPr="00F9176A">
              <w:t>6309</w:t>
            </w:r>
          </w:p>
        </w:tc>
      </w:tr>
      <w:tr w:rsidR="00F9176A" w:rsidRPr="00F9176A" w14:paraId="0876CCD6" w14:textId="77777777" w:rsidTr="00A11447">
        <w:trPr>
          <w:cantSplit/>
        </w:trPr>
        <w:tc>
          <w:tcPr>
            <w:tcW w:w="1365" w:type="pct"/>
            <w:tcBorders>
              <w:top w:val="single" w:sz="4" w:space="0" w:color="auto"/>
              <w:bottom w:val="single" w:sz="4" w:space="0" w:color="auto"/>
            </w:tcBorders>
          </w:tcPr>
          <w:p w14:paraId="1D0FBDAA" w14:textId="77777777" w:rsidR="00F9176A" w:rsidRPr="00F9176A" w:rsidRDefault="00F9176A" w:rsidP="00F9176A">
            <w:pPr>
              <w:pStyle w:val="Tabletext"/>
            </w:pPr>
            <w:r w:rsidRPr="00F9176A">
              <w:t>27</w:t>
            </w:r>
          </w:p>
        </w:tc>
        <w:tc>
          <w:tcPr>
            <w:tcW w:w="909" w:type="pct"/>
            <w:tcBorders>
              <w:top w:val="single" w:sz="4" w:space="0" w:color="auto"/>
              <w:bottom w:val="single" w:sz="4" w:space="0" w:color="auto"/>
            </w:tcBorders>
            <w:shd w:val="clear" w:color="auto" w:fill="auto"/>
            <w:vAlign w:val="bottom"/>
          </w:tcPr>
          <w:p w14:paraId="7FEBF074" w14:textId="77777777" w:rsidR="00F9176A" w:rsidRPr="00F9176A" w:rsidRDefault="00F9176A" w:rsidP="00F9176A">
            <w:pPr>
              <w:pStyle w:val="Tabletext"/>
            </w:pPr>
            <w:r w:rsidRPr="00F9176A">
              <w:t>28</w:t>
            </w:r>
            <w:r w:rsidR="00D7157D">
              <w:t>.</w:t>
            </w:r>
            <w:r w:rsidRPr="00F9176A">
              <w:t>2083</w:t>
            </w:r>
          </w:p>
        </w:tc>
        <w:tc>
          <w:tcPr>
            <w:tcW w:w="909" w:type="pct"/>
            <w:tcBorders>
              <w:top w:val="single" w:sz="4" w:space="0" w:color="auto"/>
              <w:bottom w:val="single" w:sz="4" w:space="0" w:color="auto"/>
            </w:tcBorders>
            <w:shd w:val="clear" w:color="auto" w:fill="auto"/>
            <w:vAlign w:val="bottom"/>
          </w:tcPr>
          <w:p w14:paraId="1974A035" w14:textId="77777777" w:rsidR="00F9176A" w:rsidRPr="00F9176A" w:rsidRDefault="00F9176A" w:rsidP="00F9176A">
            <w:pPr>
              <w:pStyle w:val="Tabletext"/>
            </w:pPr>
            <w:r w:rsidRPr="00F9176A">
              <w:t>3</w:t>
            </w:r>
            <w:r w:rsidR="00D7157D">
              <w:t>.</w:t>
            </w:r>
            <w:r w:rsidRPr="00F9176A">
              <w:t>4395</w:t>
            </w:r>
          </w:p>
        </w:tc>
        <w:tc>
          <w:tcPr>
            <w:tcW w:w="909" w:type="pct"/>
            <w:tcBorders>
              <w:top w:val="single" w:sz="4" w:space="0" w:color="auto"/>
              <w:bottom w:val="single" w:sz="4" w:space="0" w:color="auto"/>
            </w:tcBorders>
            <w:shd w:val="clear" w:color="auto" w:fill="auto"/>
            <w:vAlign w:val="bottom"/>
          </w:tcPr>
          <w:p w14:paraId="2A32D3B8" w14:textId="77777777" w:rsidR="00F9176A" w:rsidRPr="00F9176A" w:rsidRDefault="00F9176A" w:rsidP="00F9176A">
            <w:pPr>
              <w:pStyle w:val="Tabletext"/>
            </w:pPr>
            <w:r w:rsidRPr="00F9176A">
              <w:t>29</w:t>
            </w:r>
            <w:r w:rsidR="00D7157D">
              <w:t>.</w:t>
            </w:r>
            <w:r w:rsidRPr="00F9176A">
              <w:t>6182</w:t>
            </w:r>
          </w:p>
        </w:tc>
        <w:tc>
          <w:tcPr>
            <w:tcW w:w="908" w:type="pct"/>
            <w:tcBorders>
              <w:top w:val="single" w:sz="4" w:space="0" w:color="auto"/>
              <w:bottom w:val="single" w:sz="4" w:space="0" w:color="auto"/>
              <w:right w:val="nil"/>
            </w:tcBorders>
            <w:shd w:val="clear" w:color="auto" w:fill="auto"/>
            <w:vAlign w:val="bottom"/>
          </w:tcPr>
          <w:p w14:paraId="7AF0F1BD" w14:textId="77777777" w:rsidR="00F9176A" w:rsidRPr="00F9176A" w:rsidRDefault="00F9176A" w:rsidP="00F9176A">
            <w:pPr>
              <w:pStyle w:val="Tabletext"/>
            </w:pPr>
            <w:r w:rsidRPr="00F9176A">
              <w:t>1</w:t>
            </w:r>
            <w:r w:rsidR="00D7157D">
              <w:t>.</w:t>
            </w:r>
            <w:r w:rsidRPr="00F9176A">
              <w:t>6497</w:t>
            </w:r>
          </w:p>
        </w:tc>
      </w:tr>
      <w:tr w:rsidR="00F9176A" w:rsidRPr="00F9176A" w14:paraId="28F31094" w14:textId="77777777" w:rsidTr="00A11447">
        <w:trPr>
          <w:cantSplit/>
        </w:trPr>
        <w:tc>
          <w:tcPr>
            <w:tcW w:w="1365" w:type="pct"/>
            <w:tcBorders>
              <w:top w:val="single" w:sz="4" w:space="0" w:color="auto"/>
              <w:bottom w:val="single" w:sz="4" w:space="0" w:color="auto"/>
            </w:tcBorders>
          </w:tcPr>
          <w:p w14:paraId="509CD3E1" w14:textId="77777777" w:rsidR="00F9176A" w:rsidRPr="00F9176A" w:rsidRDefault="00F9176A" w:rsidP="00F9176A">
            <w:pPr>
              <w:pStyle w:val="Tabletext"/>
            </w:pPr>
            <w:r w:rsidRPr="00F9176A">
              <w:t>28</w:t>
            </w:r>
          </w:p>
        </w:tc>
        <w:tc>
          <w:tcPr>
            <w:tcW w:w="909" w:type="pct"/>
            <w:tcBorders>
              <w:top w:val="single" w:sz="4" w:space="0" w:color="auto"/>
              <w:bottom w:val="single" w:sz="4" w:space="0" w:color="auto"/>
            </w:tcBorders>
            <w:shd w:val="clear" w:color="auto" w:fill="auto"/>
            <w:vAlign w:val="bottom"/>
          </w:tcPr>
          <w:p w14:paraId="2B794A0A" w14:textId="77777777" w:rsidR="00F9176A" w:rsidRPr="00F9176A" w:rsidRDefault="00F9176A" w:rsidP="00F9176A">
            <w:pPr>
              <w:pStyle w:val="Tabletext"/>
            </w:pPr>
            <w:r w:rsidRPr="00F9176A">
              <w:t>27</w:t>
            </w:r>
            <w:r w:rsidR="00D7157D">
              <w:t>.</w:t>
            </w:r>
            <w:r w:rsidRPr="00F9176A">
              <w:t>9357</w:t>
            </w:r>
          </w:p>
        </w:tc>
        <w:tc>
          <w:tcPr>
            <w:tcW w:w="909" w:type="pct"/>
            <w:tcBorders>
              <w:top w:val="single" w:sz="4" w:space="0" w:color="auto"/>
              <w:bottom w:val="single" w:sz="4" w:space="0" w:color="auto"/>
            </w:tcBorders>
            <w:shd w:val="clear" w:color="auto" w:fill="auto"/>
            <w:vAlign w:val="bottom"/>
          </w:tcPr>
          <w:p w14:paraId="671A194D" w14:textId="77777777" w:rsidR="00F9176A" w:rsidRPr="00F9176A" w:rsidRDefault="00F9176A" w:rsidP="00F9176A">
            <w:pPr>
              <w:pStyle w:val="Tabletext"/>
            </w:pPr>
            <w:r w:rsidRPr="00F9176A">
              <w:t>3</w:t>
            </w:r>
            <w:r w:rsidR="00D7157D">
              <w:t>.</w:t>
            </w:r>
            <w:r w:rsidRPr="00F9176A">
              <w:t>4843</w:t>
            </w:r>
          </w:p>
        </w:tc>
        <w:tc>
          <w:tcPr>
            <w:tcW w:w="909" w:type="pct"/>
            <w:tcBorders>
              <w:top w:val="single" w:sz="4" w:space="0" w:color="auto"/>
              <w:bottom w:val="single" w:sz="4" w:space="0" w:color="auto"/>
            </w:tcBorders>
            <w:shd w:val="clear" w:color="auto" w:fill="auto"/>
            <w:vAlign w:val="bottom"/>
          </w:tcPr>
          <w:p w14:paraId="6F499D99" w14:textId="77777777" w:rsidR="00F9176A" w:rsidRPr="00F9176A" w:rsidRDefault="00F9176A" w:rsidP="00F9176A">
            <w:pPr>
              <w:pStyle w:val="Tabletext"/>
            </w:pPr>
            <w:r w:rsidRPr="00F9176A">
              <w:t>29</w:t>
            </w:r>
            <w:r w:rsidR="00D7157D">
              <w:t>.</w:t>
            </w:r>
            <w:r w:rsidRPr="00F9176A">
              <w:t>3596</w:t>
            </w:r>
          </w:p>
        </w:tc>
        <w:tc>
          <w:tcPr>
            <w:tcW w:w="908" w:type="pct"/>
            <w:tcBorders>
              <w:top w:val="single" w:sz="4" w:space="0" w:color="auto"/>
              <w:bottom w:val="single" w:sz="4" w:space="0" w:color="auto"/>
              <w:right w:val="nil"/>
            </w:tcBorders>
            <w:shd w:val="clear" w:color="auto" w:fill="auto"/>
            <w:vAlign w:val="bottom"/>
          </w:tcPr>
          <w:p w14:paraId="762FF5BB" w14:textId="77777777" w:rsidR="00F9176A" w:rsidRPr="00F9176A" w:rsidRDefault="00F9176A" w:rsidP="00F9176A">
            <w:pPr>
              <w:pStyle w:val="Tabletext"/>
            </w:pPr>
            <w:r w:rsidRPr="00F9176A">
              <w:t>1</w:t>
            </w:r>
            <w:r w:rsidR="00D7157D">
              <w:t>.</w:t>
            </w:r>
            <w:r w:rsidRPr="00F9176A">
              <w:t>6690</w:t>
            </w:r>
          </w:p>
        </w:tc>
      </w:tr>
      <w:tr w:rsidR="00F9176A" w:rsidRPr="00F9176A" w14:paraId="17270109" w14:textId="77777777" w:rsidTr="00A11447">
        <w:trPr>
          <w:cantSplit/>
        </w:trPr>
        <w:tc>
          <w:tcPr>
            <w:tcW w:w="1365" w:type="pct"/>
            <w:tcBorders>
              <w:top w:val="single" w:sz="4" w:space="0" w:color="auto"/>
              <w:bottom w:val="single" w:sz="4" w:space="0" w:color="auto"/>
            </w:tcBorders>
          </w:tcPr>
          <w:p w14:paraId="0FCFCB2B" w14:textId="77777777" w:rsidR="00F9176A" w:rsidRPr="00F9176A" w:rsidRDefault="00F9176A" w:rsidP="00F9176A">
            <w:pPr>
              <w:pStyle w:val="Tabletext"/>
            </w:pPr>
            <w:r w:rsidRPr="00F9176A">
              <w:t>29</w:t>
            </w:r>
          </w:p>
        </w:tc>
        <w:tc>
          <w:tcPr>
            <w:tcW w:w="909" w:type="pct"/>
            <w:tcBorders>
              <w:top w:val="single" w:sz="4" w:space="0" w:color="auto"/>
              <w:bottom w:val="single" w:sz="4" w:space="0" w:color="auto"/>
            </w:tcBorders>
            <w:shd w:val="clear" w:color="auto" w:fill="auto"/>
            <w:vAlign w:val="bottom"/>
          </w:tcPr>
          <w:p w14:paraId="31B1FC73" w14:textId="77777777" w:rsidR="00F9176A" w:rsidRPr="00F9176A" w:rsidRDefault="00F9176A" w:rsidP="00F9176A">
            <w:pPr>
              <w:pStyle w:val="Tabletext"/>
            </w:pPr>
            <w:r w:rsidRPr="00F9176A">
              <w:t>27</w:t>
            </w:r>
            <w:r w:rsidR="00D7157D">
              <w:t>.</w:t>
            </w:r>
            <w:r w:rsidRPr="00F9176A">
              <w:t>6559</w:t>
            </w:r>
          </w:p>
        </w:tc>
        <w:tc>
          <w:tcPr>
            <w:tcW w:w="909" w:type="pct"/>
            <w:tcBorders>
              <w:top w:val="single" w:sz="4" w:space="0" w:color="auto"/>
              <w:bottom w:val="single" w:sz="4" w:space="0" w:color="auto"/>
            </w:tcBorders>
            <w:shd w:val="clear" w:color="auto" w:fill="auto"/>
            <w:vAlign w:val="bottom"/>
          </w:tcPr>
          <w:p w14:paraId="142E9ABA" w14:textId="77777777" w:rsidR="00F9176A" w:rsidRPr="00F9176A" w:rsidRDefault="00F9176A" w:rsidP="00F9176A">
            <w:pPr>
              <w:pStyle w:val="Tabletext"/>
            </w:pPr>
            <w:r w:rsidRPr="00F9176A">
              <w:t>3</w:t>
            </w:r>
            <w:r w:rsidR="00D7157D">
              <w:t>.</w:t>
            </w:r>
            <w:r w:rsidRPr="00F9176A">
              <w:t>5305</w:t>
            </w:r>
          </w:p>
        </w:tc>
        <w:tc>
          <w:tcPr>
            <w:tcW w:w="909" w:type="pct"/>
            <w:tcBorders>
              <w:top w:val="single" w:sz="4" w:space="0" w:color="auto"/>
              <w:bottom w:val="single" w:sz="4" w:space="0" w:color="auto"/>
            </w:tcBorders>
            <w:shd w:val="clear" w:color="auto" w:fill="auto"/>
            <w:vAlign w:val="bottom"/>
          </w:tcPr>
          <w:p w14:paraId="5AF287F8" w14:textId="77777777" w:rsidR="00F9176A" w:rsidRPr="00F9176A" w:rsidRDefault="00F9176A" w:rsidP="00F9176A">
            <w:pPr>
              <w:pStyle w:val="Tabletext"/>
            </w:pPr>
            <w:r w:rsidRPr="00F9176A">
              <w:t>29</w:t>
            </w:r>
            <w:r w:rsidR="00D7157D">
              <w:t>.</w:t>
            </w:r>
            <w:r w:rsidRPr="00F9176A">
              <w:t>0944</w:t>
            </w:r>
          </w:p>
        </w:tc>
        <w:tc>
          <w:tcPr>
            <w:tcW w:w="908" w:type="pct"/>
            <w:tcBorders>
              <w:top w:val="single" w:sz="4" w:space="0" w:color="auto"/>
              <w:bottom w:val="single" w:sz="4" w:space="0" w:color="auto"/>
              <w:right w:val="nil"/>
            </w:tcBorders>
            <w:shd w:val="clear" w:color="auto" w:fill="auto"/>
            <w:vAlign w:val="bottom"/>
          </w:tcPr>
          <w:p w14:paraId="255709FD" w14:textId="77777777" w:rsidR="00F9176A" w:rsidRPr="00F9176A" w:rsidRDefault="00F9176A" w:rsidP="00F9176A">
            <w:pPr>
              <w:pStyle w:val="Tabletext"/>
            </w:pPr>
            <w:r w:rsidRPr="00F9176A">
              <w:t>1</w:t>
            </w:r>
            <w:r w:rsidR="00D7157D">
              <w:t>.</w:t>
            </w:r>
            <w:r w:rsidRPr="00F9176A">
              <w:t>6889</w:t>
            </w:r>
          </w:p>
        </w:tc>
      </w:tr>
      <w:tr w:rsidR="00F9176A" w:rsidRPr="00F9176A" w14:paraId="2C259317" w14:textId="77777777" w:rsidTr="00A11447">
        <w:trPr>
          <w:cantSplit/>
        </w:trPr>
        <w:tc>
          <w:tcPr>
            <w:tcW w:w="1365" w:type="pct"/>
            <w:tcBorders>
              <w:top w:val="single" w:sz="4" w:space="0" w:color="auto"/>
              <w:bottom w:val="single" w:sz="4" w:space="0" w:color="auto"/>
            </w:tcBorders>
          </w:tcPr>
          <w:p w14:paraId="4E5F6CBE" w14:textId="77777777" w:rsidR="00F9176A" w:rsidRPr="00F9176A" w:rsidRDefault="00F9176A" w:rsidP="00F9176A">
            <w:pPr>
              <w:pStyle w:val="Tabletext"/>
            </w:pPr>
            <w:r w:rsidRPr="00F9176A">
              <w:t>30</w:t>
            </w:r>
          </w:p>
        </w:tc>
        <w:tc>
          <w:tcPr>
            <w:tcW w:w="909" w:type="pct"/>
            <w:tcBorders>
              <w:top w:val="single" w:sz="4" w:space="0" w:color="auto"/>
              <w:bottom w:val="single" w:sz="4" w:space="0" w:color="auto"/>
            </w:tcBorders>
            <w:shd w:val="clear" w:color="auto" w:fill="auto"/>
            <w:vAlign w:val="bottom"/>
          </w:tcPr>
          <w:p w14:paraId="3DDB90E3" w14:textId="77777777" w:rsidR="00F9176A" w:rsidRPr="00F9176A" w:rsidRDefault="00F9176A" w:rsidP="00F9176A">
            <w:pPr>
              <w:pStyle w:val="Tabletext"/>
            </w:pPr>
            <w:r w:rsidRPr="00F9176A">
              <w:t>27</w:t>
            </w:r>
            <w:r w:rsidR="00D7157D">
              <w:t>.</w:t>
            </w:r>
            <w:r w:rsidRPr="00F9176A">
              <w:t>3688</w:t>
            </w:r>
          </w:p>
        </w:tc>
        <w:tc>
          <w:tcPr>
            <w:tcW w:w="909" w:type="pct"/>
            <w:tcBorders>
              <w:top w:val="single" w:sz="4" w:space="0" w:color="auto"/>
              <w:bottom w:val="single" w:sz="4" w:space="0" w:color="auto"/>
            </w:tcBorders>
            <w:shd w:val="clear" w:color="auto" w:fill="auto"/>
            <w:vAlign w:val="bottom"/>
          </w:tcPr>
          <w:p w14:paraId="2B522277" w14:textId="77777777" w:rsidR="00F9176A" w:rsidRPr="00F9176A" w:rsidRDefault="00F9176A" w:rsidP="00F9176A">
            <w:pPr>
              <w:pStyle w:val="Tabletext"/>
            </w:pPr>
            <w:r w:rsidRPr="00F9176A">
              <w:t>3</w:t>
            </w:r>
            <w:r w:rsidR="00D7157D">
              <w:t>.</w:t>
            </w:r>
            <w:r w:rsidRPr="00F9176A">
              <w:t>5780</w:t>
            </w:r>
          </w:p>
        </w:tc>
        <w:tc>
          <w:tcPr>
            <w:tcW w:w="909" w:type="pct"/>
            <w:tcBorders>
              <w:top w:val="single" w:sz="4" w:space="0" w:color="auto"/>
              <w:bottom w:val="single" w:sz="4" w:space="0" w:color="auto"/>
            </w:tcBorders>
            <w:shd w:val="clear" w:color="auto" w:fill="auto"/>
            <w:vAlign w:val="bottom"/>
          </w:tcPr>
          <w:p w14:paraId="09010C72" w14:textId="77777777" w:rsidR="00F9176A" w:rsidRPr="00F9176A" w:rsidRDefault="00F9176A" w:rsidP="00F9176A">
            <w:pPr>
              <w:pStyle w:val="Tabletext"/>
            </w:pPr>
            <w:r w:rsidRPr="00F9176A">
              <w:t>28</w:t>
            </w:r>
            <w:r w:rsidR="00D7157D">
              <w:t>.</w:t>
            </w:r>
            <w:r w:rsidRPr="00F9176A">
              <w:t>8224</w:t>
            </w:r>
          </w:p>
        </w:tc>
        <w:tc>
          <w:tcPr>
            <w:tcW w:w="908" w:type="pct"/>
            <w:tcBorders>
              <w:top w:val="single" w:sz="4" w:space="0" w:color="auto"/>
              <w:bottom w:val="single" w:sz="4" w:space="0" w:color="auto"/>
              <w:right w:val="nil"/>
            </w:tcBorders>
            <w:shd w:val="clear" w:color="auto" w:fill="auto"/>
            <w:vAlign w:val="bottom"/>
          </w:tcPr>
          <w:p w14:paraId="08472365" w14:textId="77777777" w:rsidR="00F9176A" w:rsidRPr="00F9176A" w:rsidRDefault="00F9176A" w:rsidP="00F9176A">
            <w:pPr>
              <w:pStyle w:val="Tabletext"/>
            </w:pPr>
            <w:r w:rsidRPr="00F9176A">
              <w:t>1</w:t>
            </w:r>
            <w:r w:rsidR="00D7157D">
              <w:t>.</w:t>
            </w:r>
            <w:r w:rsidRPr="00F9176A">
              <w:t>7095</w:t>
            </w:r>
          </w:p>
        </w:tc>
      </w:tr>
      <w:tr w:rsidR="00F9176A" w:rsidRPr="00F9176A" w14:paraId="14F4CD64" w14:textId="77777777" w:rsidTr="00A11447">
        <w:trPr>
          <w:cantSplit/>
        </w:trPr>
        <w:tc>
          <w:tcPr>
            <w:tcW w:w="1365" w:type="pct"/>
            <w:tcBorders>
              <w:top w:val="single" w:sz="4" w:space="0" w:color="auto"/>
              <w:bottom w:val="single" w:sz="4" w:space="0" w:color="auto"/>
            </w:tcBorders>
          </w:tcPr>
          <w:p w14:paraId="38889214" w14:textId="77777777" w:rsidR="00F9176A" w:rsidRPr="00F9176A" w:rsidRDefault="00F9176A" w:rsidP="00F9176A">
            <w:pPr>
              <w:pStyle w:val="Tabletext"/>
            </w:pPr>
            <w:r w:rsidRPr="00F9176A">
              <w:t>31</w:t>
            </w:r>
          </w:p>
        </w:tc>
        <w:tc>
          <w:tcPr>
            <w:tcW w:w="909" w:type="pct"/>
            <w:tcBorders>
              <w:top w:val="single" w:sz="4" w:space="0" w:color="auto"/>
              <w:bottom w:val="single" w:sz="4" w:space="0" w:color="auto"/>
            </w:tcBorders>
            <w:shd w:val="clear" w:color="auto" w:fill="auto"/>
            <w:vAlign w:val="bottom"/>
          </w:tcPr>
          <w:p w14:paraId="6A58CFFF" w14:textId="77777777" w:rsidR="00F9176A" w:rsidRPr="00F9176A" w:rsidRDefault="00F9176A" w:rsidP="00F9176A">
            <w:pPr>
              <w:pStyle w:val="Tabletext"/>
            </w:pPr>
            <w:r w:rsidRPr="00F9176A">
              <w:t>27</w:t>
            </w:r>
            <w:r w:rsidR="00D7157D">
              <w:t>.</w:t>
            </w:r>
            <w:r w:rsidRPr="00F9176A">
              <w:t>0761</w:t>
            </w:r>
          </w:p>
        </w:tc>
        <w:tc>
          <w:tcPr>
            <w:tcW w:w="909" w:type="pct"/>
            <w:tcBorders>
              <w:top w:val="single" w:sz="4" w:space="0" w:color="auto"/>
              <w:bottom w:val="single" w:sz="4" w:space="0" w:color="auto"/>
            </w:tcBorders>
            <w:shd w:val="clear" w:color="auto" w:fill="auto"/>
            <w:vAlign w:val="bottom"/>
          </w:tcPr>
          <w:p w14:paraId="6C305575" w14:textId="77777777" w:rsidR="00F9176A" w:rsidRPr="00F9176A" w:rsidRDefault="00F9176A" w:rsidP="00F9176A">
            <w:pPr>
              <w:pStyle w:val="Tabletext"/>
            </w:pPr>
            <w:r w:rsidRPr="00F9176A">
              <w:t>3</w:t>
            </w:r>
            <w:r w:rsidR="00D7157D">
              <w:t>.</w:t>
            </w:r>
            <w:r w:rsidRPr="00F9176A">
              <w:t>6259</w:t>
            </w:r>
          </w:p>
        </w:tc>
        <w:tc>
          <w:tcPr>
            <w:tcW w:w="909" w:type="pct"/>
            <w:tcBorders>
              <w:top w:val="single" w:sz="4" w:space="0" w:color="auto"/>
              <w:bottom w:val="single" w:sz="4" w:space="0" w:color="auto"/>
            </w:tcBorders>
            <w:shd w:val="clear" w:color="auto" w:fill="auto"/>
            <w:vAlign w:val="bottom"/>
          </w:tcPr>
          <w:p w14:paraId="154B51F5" w14:textId="77777777" w:rsidR="00F9176A" w:rsidRPr="00F9176A" w:rsidRDefault="00F9176A" w:rsidP="00F9176A">
            <w:pPr>
              <w:pStyle w:val="Tabletext"/>
            </w:pPr>
            <w:r w:rsidRPr="00F9176A">
              <w:t>28</w:t>
            </w:r>
            <w:r w:rsidR="00D7157D">
              <w:t>.</w:t>
            </w:r>
            <w:r w:rsidRPr="00F9176A">
              <w:t>5447</w:t>
            </w:r>
          </w:p>
        </w:tc>
        <w:tc>
          <w:tcPr>
            <w:tcW w:w="908" w:type="pct"/>
            <w:tcBorders>
              <w:top w:val="single" w:sz="4" w:space="0" w:color="auto"/>
              <w:bottom w:val="single" w:sz="4" w:space="0" w:color="auto"/>
              <w:right w:val="nil"/>
            </w:tcBorders>
            <w:shd w:val="clear" w:color="auto" w:fill="auto"/>
            <w:vAlign w:val="bottom"/>
          </w:tcPr>
          <w:p w14:paraId="0593DF93" w14:textId="77777777" w:rsidR="00F9176A" w:rsidRPr="00F9176A" w:rsidRDefault="00F9176A" w:rsidP="00F9176A">
            <w:pPr>
              <w:pStyle w:val="Tabletext"/>
            </w:pPr>
            <w:r w:rsidRPr="00F9176A">
              <w:t>1</w:t>
            </w:r>
            <w:r w:rsidR="00D7157D">
              <w:t>.</w:t>
            </w:r>
            <w:r w:rsidRPr="00F9176A">
              <w:t>7301</w:t>
            </w:r>
          </w:p>
        </w:tc>
      </w:tr>
      <w:tr w:rsidR="00F9176A" w:rsidRPr="00F9176A" w14:paraId="09ACC332" w14:textId="77777777" w:rsidTr="00A11447">
        <w:trPr>
          <w:cantSplit/>
        </w:trPr>
        <w:tc>
          <w:tcPr>
            <w:tcW w:w="1365" w:type="pct"/>
            <w:tcBorders>
              <w:top w:val="single" w:sz="4" w:space="0" w:color="auto"/>
              <w:bottom w:val="single" w:sz="4" w:space="0" w:color="auto"/>
            </w:tcBorders>
          </w:tcPr>
          <w:p w14:paraId="0E7837A5" w14:textId="77777777" w:rsidR="00F9176A" w:rsidRPr="00F9176A" w:rsidRDefault="00F9176A" w:rsidP="00F9176A">
            <w:pPr>
              <w:pStyle w:val="Tabletext"/>
            </w:pPr>
            <w:r w:rsidRPr="00F9176A">
              <w:t>32</w:t>
            </w:r>
          </w:p>
        </w:tc>
        <w:tc>
          <w:tcPr>
            <w:tcW w:w="909" w:type="pct"/>
            <w:tcBorders>
              <w:top w:val="single" w:sz="4" w:space="0" w:color="auto"/>
              <w:bottom w:val="single" w:sz="4" w:space="0" w:color="auto"/>
            </w:tcBorders>
            <w:shd w:val="clear" w:color="auto" w:fill="auto"/>
            <w:vAlign w:val="bottom"/>
          </w:tcPr>
          <w:p w14:paraId="34FB5EE7" w14:textId="77777777" w:rsidR="00F9176A" w:rsidRPr="00F9176A" w:rsidRDefault="00F9176A" w:rsidP="00F9176A">
            <w:pPr>
              <w:pStyle w:val="Tabletext"/>
            </w:pPr>
            <w:r w:rsidRPr="00F9176A">
              <w:t>26</w:t>
            </w:r>
            <w:r w:rsidR="00D7157D">
              <w:t>.</w:t>
            </w:r>
            <w:r w:rsidRPr="00F9176A">
              <w:t>7779</w:t>
            </w:r>
          </w:p>
        </w:tc>
        <w:tc>
          <w:tcPr>
            <w:tcW w:w="909" w:type="pct"/>
            <w:tcBorders>
              <w:top w:val="single" w:sz="4" w:space="0" w:color="auto"/>
              <w:bottom w:val="single" w:sz="4" w:space="0" w:color="auto"/>
            </w:tcBorders>
            <w:shd w:val="clear" w:color="auto" w:fill="auto"/>
            <w:vAlign w:val="bottom"/>
          </w:tcPr>
          <w:p w14:paraId="2A7492F8" w14:textId="77777777" w:rsidR="00F9176A" w:rsidRPr="00F9176A" w:rsidRDefault="00F9176A" w:rsidP="00F9176A">
            <w:pPr>
              <w:pStyle w:val="Tabletext"/>
            </w:pPr>
            <w:r w:rsidRPr="00F9176A">
              <w:t>3</w:t>
            </w:r>
            <w:r w:rsidR="00D7157D">
              <w:t>.</w:t>
            </w:r>
            <w:r w:rsidRPr="00F9176A">
              <w:t>6739</w:t>
            </w:r>
          </w:p>
        </w:tc>
        <w:tc>
          <w:tcPr>
            <w:tcW w:w="909" w:type="pct"/>
            <w:tcBorders>
              <w:top w:val="single" w:sz="4" w:space="0" w:color="auto"/>
              <w:bottom w:val="single" w:sz="4" w:space="0" w:color="auto"/>
            </w:tcBorders>
            <w:shd w:val="clear" w:color="auto" w:fill="auto"/>
            <w:vAlign w:val="bottom"/>
          </w:tcPr>
          <w:p w14:paraId="5536FFC5" w14:textId="77777777" w:rsidR="00F9176A" w:rsidRPr="00F9176A" w:rsidRDefault="00F9176A" w:rsidP="00F9176A">
            <w:pPr>
              <w:pStyle w:val="Tabletext"/>
            </w:pPr>
            <w:r w:rsidRPr="00F9176A">
              <w:t>28</w:t>
            </w:r>
            <w:r w:rsidR="00D7157D">
              <w:t>.</w:t>
            </w:r>
            <w:r w:rsidRPr="00F9176A">
              <w:t>2613</w:t>
            </w:r>
          </w:p>
        </w:tc>
        <w:tc>
          <w:tcPr>
            <w:tcW w:w="908" w:type="pct"/>
            <w:tcBorders>
              <w:top w:val="single" w:sz="4" w:space="0" w:color="auto"/>
              <w:bottom w:val="single" w:sz="4" w:space="0" w:color="auto"/>
              <w:right w:val="nil"/>
            </w:tcBorders>
            <w:shd w:val="clear" w:color="auto" w:fill="auto"/>
            <w:vAlign w:val="bottom"/>
          </w:tcPr>
          <w:p w14:paraId="39FF13F0" w14:textId="77777777" w:rsidR="00F9176A" w:rsidRPr="00F9176A" w:rsidRDefault="00F9176A" w:rsidP="00F9176A">
            <w:pPr>
              <w:pStyle w:val="Tabletext"/>
            </w:pPr>
            <w:r w:rsidRPr="00F9176A">
              <w:t>1</w:t>
            </w:r>
            <w:r w:rsidR="00D7157D">
              <w:t>.</w:t>
            </w:r>
            <w:r w:rsidRPr="00F9176A">
              <w:t>7508</w:t>
            </w:r>
          </w:p>
        </w:tc>
      </w:tr>
      <w:tr w:rsidR="00F9176A" w:rsidRPr="00F9176A" w14:paraId="45ED87F1" w14:textId="77777777" w:rsidTr="00A11447">
        <w:trPr>
          <w:cantSplit/>
        </w:trPr>
        <w:tc>
          <w:tcPr>
            <w:tcW w:w="1365" w:type="pct"/>
            <w:tcBorders>
              <w:top w:val="single" w:sz="4" w:space="0" w:color="auto"/>
              <w:bottom w:val="single" w:sz="4" w:space="0" w:color="auto"/>
            </w:tcBorders>
          </w:tcPr>
          <w:p w14:paraId="43C902F2" w14:textId="77777777" w:rsidR="00F9176A" w:rsidRPr="00F9176A" w:rsidRDefault="00F9176A" w:rsidP="00F9176A">
            <w:pPr>
              <w:pStyle w:val="Tabletext"/>
            </w:pPr>
            <w:r w:rsidRPr="00F9176A">
              <w:t>33</w:t>
            </w:r>
          </w:p>
        </w:tc>
        <w:tc>
          <w:tcPr>
            <w:tcW w:w="909" w:type="pct"/>
            <w:tcBorders>
              <w:top w:val="single" w:sz="4" w:space="0" w:color="auto"/>
              <w:bottom w:val="single" w:sz="4" w:space="0" w:color="auto"/>
            </w:tcBorders>
            <w:shd w:val="clear" w:color="auto" w:fill="auto"/>
            <w:vAlign w:val="bottom"/>
          </w:tcPr>
          <w:p w14:paraId="1182D715" w14:textId="77777777" w:rsidR="00F9176A" w:rsidRPr="00F9176A" w:rsidRDefault="00F9176A" w:rsidP="00F9176A">
            <w:pPr>
              <w:pStyle w:val="Tabletext"/>
            </w:pPr>
            <w:r w:rsidRPr="00F9176A">
              <w:t>26</w:t>
            </w:r>
            <w:r w:rsidR="00D7157D">
              <w:t>.</w:t>
            </w:r>
            <w:r w:rsidRPr="00F9176A">
              <w:t>4740</w:t>
            </w:r>
          </w:p>
        </w:tc>
        <w:tc>
          <w:tcPr>
            <w:tcW w:w="909" w:type="pct"/>
            <w:tcBorders>
              <w:top w:val="single" w:sz="4" w:space="0" w:color="auto"/>
              <w:bottom w:val="single" w:sz="4" w:space="0" w:color="auto"/>
            </w:tcBorders>
            <w:shd w:val="clear" w:color="auto" w:fill="auto"/>
            <w:vAlign w:val="bottom"/>
          </w:tcPr>
          <w:p w14:paraId="6381F9F2" w14:textId="77777777" w:rsidR="00F9176A" w:rsidRPr="00F9176A" w:rsidRDefault="00F9176A" w:rsidP="00F9176A">
            <w:pPr>
              <w:pStyle w:val="Tabletext"/>
            </w:pPr>
            <w:r w:rsidRPr="00F9176A">
              <w:t>3</w:t>
            </w:r>
            <w:r w:rsidR="00D7157D">
              <w:t>.</w:t>
            </w:r>
            <w:r w:rsidRPr="00F9176A">
              <w:t>7221</w:t>
            </w:r>
          </w:p>
        </w:tc>
        <w:tc>
          <w:tcPr>
            <w:tcW w:w="909" w:type="pct"/>
            <w:tcBorders>
              <w:top w:val="single" w:sz="4" w:space="0" w:color="auto"/>
              <w:bottom w:val="single" w:sz="4" w:space="0" w:color="auto"/>
            </w:tcBorders>
            <w:shd w:val="clear" w:color="auto" w:fill="auto"/>
            <w:vAlign w:val="bottom"/>
          </w:tcPr>
          <w:p w14:paraId="0C5EB766" w14:textId="77777777" w:rsidR="00F9176A" w:rsidRPr="00F9176A" w:rsidRDefault="00F9176A" w:rsidP="00F9176A">
            <w:pPr>
              <w:pStyle w:val="Tabletext"/>
            </w:pPr>
            <w:r w:rsidRPr="00F9176A">
              <w:t>27</w:t>
            </w:r>
            <w:r w:rsidR="00D7157D">
              <w:t>.</w:t>
            </w:r>
            <w:r w:rsidRPr="00F9176A">
              <w:t>9721</w:t>
            </w:r>
          </w:p>
        </w:tc>
        <w:tc>
          <w:tcPr>
            <w:tcW w:w="908" w:type="pct"/>
            <w:tcBorders>
              <w:top w:val="single" w:sz="4" w:space="0" w:color="auto"/>
              <w:bottom w:val="single" w:sz="4" w:space="0" w:color="auto"/>
              <w:right w:val="nil"/>
            </w:tcBorders>
            <w:shd w:val="clear" w:color="auto" w:fill="auto"/>
            <w:vAlign w:val="bottom"/>
          </w:tcPr>
          <w:p w14:paraId="28AE688C" w14:textId="77777777" w:rsidR="00F9176A" w:rsidRPr="00F9176A" w:rsidRDefault="00F9176A" w:rsidP="00F9176A">
            <w:pPr>
              <w:pStyle w:val="Tabletext"/>
            </w:pPr>
            <w:r w:rsidRPr="00F9176A">
              <w:t>1</w:t>
            </w:r>
            <w:r w:rsidR="00D7157D">
              <w:t>.</w:t>
            </w:r>
            <w:r w:rsidRPr="00F9176A">
              <w:t>7714</w:t>
            </w:r>
          </w:p>
        </w:tc>
      </w:tr>
      <w:tr w:rsidR="00F9176A" w:rsidRPr="00F9176A" w14:paraId="6EE3DAF0" w14:textId="77777777" w:rsidTr="00A11447">
        <w:trPr>
          <w:cantSplit/>
        </w:trPr>
        <w:tc>
          <w:tcPr>
            <w:tcW w:w="1365" w:type="pct"/>
            <w:tcBorders>
              <w:top w:val="single" w:sz="4" w:space="0" w:color="auto"/>
              <w:bottom w:val="single" w:sz="4" w:space="0" w:color="auto"/>
            </w:tcBorders>
          </w:tcPr>
          <w:p w14:paraId="44851486" w14:textId="77777777" w:rsidR="00F9176A" w:rsidRPr="00F9176A" w:rsidRDefault="00F9176A" w:rsidP="00F9176A">
            <w:pPr>
              <w:pStyle w:val="Tabletext"/>
            </w:pPr>
            <w:r w:rsidRPr="00F9176A">
              <w:t>34</w:t>
            </w:r>
          </w:p>
        </w:tc>
        <w:tc>
          <w:tcPr>
            <w:tcW w:w="909" w:type="pct"/>
            <w:tcBorders>
              <w:top w:val="single" w:sz="4" w:space="0" w:color="auto"/>
              <w:bottom w:val="single" w:sz="4" w:space="0" w:color="auto"/>
            </w:tcBorders>
            <w:shd w:val="clear" w:color="auto" w:fill="auto"/>
            <w:vAlign w:val="bottom"/>
          </w:tcPr>
          <w:p w14:paraId="407128B4" w14:textId="77777777" w:rsidR="00F9176A" w:rsidRPr="00F9176A" w:rsidRDefault="00F9176A" w:rsidP="00F9176A">
            <w:pPr>
              <w:pStyle w:val="Tabletext"/>
            </w:pPr>
            <w:r w:rsidRPr="00F9176A">
              <w:t>26</w:t>
            </w:r>
            <w:r w:rsidR="00D7157D">
              <w:t>.</w:t>
            </w:r>
            <w:r w:rsidRPr="00F9176A">
              <w:t>1642</w:t>
            </w:r>
          </w:p>
        </w:tc>
        <w:tc>
          <w:tcPr>
            <w:tcW w:w="909" w:type="pct"/>
            <w:tcBorders>
              <w:top w:val="single" w:sz="4" w:space="0" w:color="auto"/>
              <w:bottom w:val="single" w:sz="4" w:space="0" w:color="auto"/>
            </w:tcBorders>
            <w:shd w:val="clear" w:color="auto" w:fill="auto"/>
            <w:vAlign w:val="bottom"/>
          </w:tcPr>
          <w:p w14:paraId="50335AEE" w14:textId="77777777" w:rsidR="00F9176A" w:rsidRPr="00F9176A" w:rsidRDefault="00F9176A" w:rsidP="00F9176A">
            <w:pPr>
              <w:pStyle w:val="Tabletext"/>
            </w:pPr>
            <w:r w:rsidRPr="00F9176A">
              <w:t>3</w:t>
            </w:r>
            <w:r w:rsidR="00D7157D">
              <w:t>.</w:t>
            </w:r>
            <w:r w:rsidRPr="00F9176A">
              <w:t>7705</w:t>
            </w:r>
          </w:p>
        </w:tc>
        <w:tc>
          <w:tcPr>
            <w:tcW w:w="909" w:type="pct"/>
            <w:tcBorders>
              <w:top w:val="single" w:sz="4" w:space="0" w:color="auto"/>
              <w:bottom w:val="single" w:sz="4" w:space="0" w:color="auto"/>
            </w:tcBorders>
            <w:shd w:val="clear" w:color="auto" w:fill="auto"/>
            <w:vAlign w:val="bottom"/>
          </w:tcPr>
          <w:p w14:paraId="5D34389F" w14:textId="77777777" w:rsidR="00F9176A" w:rsidRPr="00F9176A" w:rsidRDefault="00F9176A" w:rsidP="00F9176A">
            <w:pPr>
              <w:pStyle w:val="Tabletext"/>
            </w:pPr>
            <w:r w:rsidRPr="00F9176A">
              <w:t>27</w:t>
            </w:r>
            <w:r w:rsidR="00D7157D">
              <w:t>.</w:t>
            </w:r>
            <w:r w:rsidRPr="00F9176A">
              <w:t>6769</w:t>
            </w:r>
          </w:p>
        </w:tc>
        <w:tc>
          <w:tcPr>
            <w:tcW w:w="908" w:type="pct"/>
            <w:tcBorders>
              <w:top w:val="single" w:sz="4" w:space="0" w:color="auto"/>
              <w:bottom w:val="single" w:sz="4" w:space="0" w:color="auto"/>
              <w:right w:val="nil"/>
            </w:tcBorders>
            <w:shd w:val="clear" w:color="auto" w:fill="auto"/>
            <w:vAlign w:val="bottom"/>
          </w:tcPr>
          <w:p w14:paraId="376D15A3" w14:textId="77777777" w:rsidR="00F9176A" w:rsidRPr="00F9176A" w:rsidRDefault="00F9176A" w:rsidP="00F9176A">
            <w:pPr>
              <w:pStyle w:val="Tabletext"/>
            </w:pPr>
            <w:r w:rsidRPr="00F9176A">
              <w:t>1</w:t>
            </w:r>
            <w:r w:rsidR="00D7157D">
              <w:t>.</w:t>
            </w:r>
            <w:r w:rsidRPr="00F9176A">
              <w:t>7920</w:t>
            </w:r>
          </w:p>
        </w:tc>
      </w:tr>
      <w:tr w:rsidR="00F9176A" w:rsidRPr="00F9176A" w14:paraId="47578DF4" w14:textId="77777777" w:rsidTr="00A11447">
        <w:trPr>
          <w:cantSplit/>
        </w:trPr>
        <w:tc>
          <w:tcPr>
            <w:tcW w:w="1365" w:type="pct"/>
            <w:tcBorders>
              <w:top w:val="single" w:sz="4" w:space="0" w:color="auto"/>
              <w:bottom w:val="single" w:sz="4" w:space="0" w:color="auto"/>
            </w:tcBorders>
          </w:tcPr>
          <w:p w14:paraId="36532964" w14:textId="77777777" w:rsidR="00F9176A" w:rsidRPr="00F9176A" w:rsidRDefault="00F9176A" w:rsidP="00F9176A">
            <w:pPr>
              <w:pStyle w:val="Tabletext"/>
            </w:pPr>
            <w:r w:rsidRPr="00F9176A">
              <w:t>35</w:t>
            </w:r>
          </w:p>
        </w:tc>
        <w:tc>
          <w:tcPr>
            <w:tcW w:w="909" w:type="pct"/>
            <w:tcBorders>
              <w:top w:val="single" w:sz="4" w:space="0" w:color="auto"/>
              <w:bottom w:val="single" w:sz="4" w:space="0" w:color="auto"/>
            </w:tcBorders>
            <w:shd w:val="clear" w:color="auto" w:fill="auto"/>
            <w:vAlign w:val="bottom"/>
          </w:tcPr>
          <w:p w14:paraId="2F67B314" w14:textId="77777777" w:rsidR="00F9176A" w:rsidRPr="00F9176A" w:rsidRDefault="00F9176A" w:rsidP="00F9176A">
            <w:pPr>
              <w:pStyle w:val="Tabletext"/>
            </w:pPr>
            <w:r w:rsidRPr="00F9176A">
              <w:t>25</w:t>
            </w:r>
            <w:r w:rsidR="00D7157D">
              <w:t>.</w:t>
            </w:r>
            <w:r w:rsidRPr="00F9176A">
              <w:t>8485</w:t>
            </w:r>
          </w:p>
        </w:tc>
        <w:tc>
          <w:tcPr>
            <w:tcW w:w="909" w:type="pct"/>
            <w:tcBorders>
              <w:top w:val="single" w:sz="4" w:space="0" w:color="auto"/>
              <w:bottom w:val="single" w:sz="4" w:space="0" w:color="auto"/>
            </w:tcBorders>
            <w:shd w:val="clear" w:color="auto" w:fill="auto"/>
            <w:vAlign w:val="bottom"/>
          </w:tcPr>
          <w:p w14:paraId="384DC043" w14:textId="77777777" w:rsidR="00F9176A" w:rsidRPr="00F9176A" w:rsidRDefault="00F9176A" w:rsidP="00F9176A">
            <w:pPr>
              <w:pStyle w:val="Tabletext"/>
            </w:pPr>
            <w:r w:rsidRPr="00F9176A">
              <w:t>3</w:t>
            </w:r>
            <w:r w:rsidR="00D7157D">
              <w:t>.</w:t>
            </w:r>
            <w:r w:rsidRPr="00F9176A">
              <w:t>8191</w:t>
            </w:r>
          </w:p>
        </w:tc>
        <w:tc>
          <w:tcPr>
            <w:tcW w:w="909" w:type="pct"/>
            <w:tcBorders>
              <w:top w:val="single" w:sz="4" w:space="0" w:color="auto"/>
              <w:bottom w:val="single" w:sz="4" w:space="0" w:color="auto"/>
            </w:tcBorders>
            <w:shd w:val="clear" w:color="auto" w:fill="auto"/>
            <w:vAlign w:val="bottom"/>
          </w:tcPr>
          <w:p w14:paraId="19D59472" w14:textId="77777777" w:rsidR="00F9176A" w:rsidRPr="00F9176A" w:rsidRDefault="00F9176A" w:rsidP="00F9176A">
            <w:pPr>
              <w:pStyle w:val="Tabletext"/>
            </w:pPr>
            <w:r w:rsidRPr="00F9176A">
              <w:t>27</w:t>
            </w:r>
            <w:r w:rsidR="00D7157D">
              <w:t>.</w:t>
            </w:r>
            <w:r w:rsidRPr="00F9176A">
              <w:t>3759</w:t>
            </w:r>
          </w:p>
        </w:tc>
        <w:tc>
          <w:tcPr>
            <w:tcW w:w="908" w:type="pct"/>
            <w:tcBorders>
              <w:top w:val="single" w:sz="4" w:space="0" w:color="auto"/>
              <w:bottom w:val="single" w:sz="4" w:space="0" w:color="auto"/>
              <w:right w:val="nil"/>
            </w:tcBorders>
            <w:shd w:val="clear" w:color="auto" w:fill="auto"/>
            <w:vAlign w:val="bottom"/>
          </w:tcPr>
          <w:p w14:paraId="31ACA58B" w14:textId="77777777" w:rsidR="00F9176A" w:rsidRPr="00F9176A" w:rsidRDefault="00F9176A" w:rsidP="00F9176A">
            <w:pPr>
              <w:pStyle w:val="Tabletext"/>
            </w:pPr>
            <w:r w:rsidRPr="00F9176A">
              <w:t>1</w:t>
            </w:r>
            <w:r w:rsidR="00D7157D">
              <w:t>.</w:t>
            </w:r>
            <w:r w:rsidRPr="00F9176A">
              <w:t>8126</w:t>
            </w:r>
          </w:p>
        </w:tc>
      </w:tr>
      <w:tr w:rsidR="00F9176A" w:rsidRPr="00F9176A" w14:paraId="19B753D0" w14:textId="77777777" w:rsidTr="00A11447">
        <w:trPr>
          <w:cantSplit/>
        </w:trPr>
        <w:tc>
          <w:tcPr>
            <w:tcW w:w="1365" w:type="pct"/>
            <w:tcBorders>
              <w:top w:val="single" w:sz="4" w:space="0" w:color="auto"/>
              <w:bottom w:val="single" w:sz="4" w:space="0" w:color="auto"/>
            </w:tcBorders>
          </w:tcPr>
          <w:p w14:paraId="04ED95EC" w14:textId="77777777" w:rsidR="00F9176A" w:rsidRPr="00F9176A" w:rsidRDefault="00F9176A" w:rsidP="00F9176A">
            <w:pPr>
              <w:pStyle w:val="Tabletext"/>
            </w:pPr>
            <w:r w:rsidRPr="00F9176A">
              <w:t>36</w:t>
            </w:r>
          </w:p>
        </w:tc>
        <w:tc>
          <w:tcPr>
            <w:tcW w:w="909" w:type="pct"/>
            <w:tcBorders>
              <w:top w:val="single" w:sz="4" w:space="0" w:color="auto"/>
              <w:bottom w:val="single" w:sz="4" w:space="0" w:color="auto"/>
            </w:tcBorders>
            <w:shd w:val="clear" w:color="auto" w:fill="auto"/>
            <w:vAlign w:val="bottom"/>
          </w:tcPr>
          <w:p w14:paraId="299D2EC4" w14:textId="77777777" w:rsidR="00F9176A" w:rsidRPr="00F9176A" w:rsidRDefault="00F9176A" w:rsidP="00F9176A">
            <w:pPr>
              <w:pStyle w:val="Tabletext"/>
            </w:pPr>
            <w:r w:rsidRPr="00F9176A">
              <w:t>25</w:t>
            </w:r>
            <w:r w:rsidR="00D7157D">
              <w:t>.</w:t>
            </w:r>
            <w:r w:rsidRPr="00F9176A">
              <w:t>5267</w:t>
            </w:r>
          </w:p>
        </w:tc>
        <w:tc>
          <w:tcPr>
            <w:tcW w:w="909" w:type="pct"/>
            <w:tcBorders>
              <w:top w:val="single" w:sz="4" w:space="0" w:color="auto"/>
              <w:bottom w:val="single" w:sz="4" w:space="0" w:color="auto"/>
            </w:tcBorders>
            <w:shd w:val="clear" w:color="auto" w:fill="auto"/>
            <w:vAlign w:val="bottom"/>
          </w:tcPr>
          <w:p w14:paraId="0E17D93E" w14:textId="77777777" w:rsidR="00F9176A" w:rsidRPr="00F9176A" w:rsidRDefault="00F9176A" w:rsidP="00F9176A">
            <w:pPr>
              <w:pStyle w:val="Tabletext"/>
            </w:pPr>
            <w:r w:rsidRPr="00F9176A">
              <w:t>3</w:t>
            </w:r>
            <w:r w:rsidR="00D7157D">
              <w:t>.</w:t>
            </w:r>
            <w:r w:rsidRPr="00F9176A">
              <w:t>8678</w:t>
            </w:r>
          </w:p>
        </w:tc>
        <w:tc>
          <w:tcPr>
            <w:tcW w:w="909" w:type="pct"/>
            <w:tcBorders>
              <w:top w:val="single" w:sz="4" w:space="0" w:color="auto"/>
              <w:bottom w:val="single" w:sz="4" w:space="0" w:color="auto"/>
            </w:tcBorders>
            <w:shd w:val="clear" w:color="auto" w:fill="auto"/>
            <w:vAlign w:val="bottom"/>
          </w:tcPr>
          <w:p w14:paraId="43F5D04D" w14:textId="77777777" w:rsidR="00F9176A" w:rsidRPr="00F9176A" w:rsidRDefault="00F9176A" w:rsidP="00F9176A">
            <w:pPr>
              <w:pStyle w:val="Tabletext"/>
            </w:pPr>
            <w:r w:rsidRPr="00F9176A">
              <w:t>27</w:t>
            </w:r>
            <w:r w:rsidR="00D7157D">
              <w:t>.</w:t>
            </w:r>
            <w:r w:rsidRPr="00F9176A">
              <w:t>0684</w:t>
            </w:r>
          </w:p>
        </w:tc>
        <w:tc>
          <w:tcPr>
            <w:tcW w:w="908" w:type="pct"/>
            <w:tcBorders>
              <w:top w:val="single" w:sz="4" w:space="0" w:color="auto"/>
              <w:bottom w:val="single" w:sz="4" w:space="0" w:color="auto"/>
              <w:right w:val="nil"/>
            </w:tcBorders>
            <w:shd w:val="clear" w:color="auto" w:fill="auto"/>
            <w:vAlign w:val="bottom"/>
          </w:tcPr>
          <w:p w14:paraId="4844FD54" w14:textId="77777777" w:rsidR="00F9176A" w:rsidRPr="00F9176A" w:rsidRDefault="00F9176A" w:rsidP="00F9176A">
            <w:pPr>
              <w:pStyle w:val="Tabletext"/>
            </w:pPr>
            <w:r w:rsidRPr="00F9176A">
              <w:t>1</w:t>
            </w:r>
            <w:r w:rsidR="00D7157D">
              <w:t>.</w:t>
            </w:r>
            <w:r w:rsidRPr="00F9176A">
              <w:t>8332</w:t>
            </w:r>
          </w:p>
        </w:tc>
      </w:tr>
      <w:tr w:rsidR="00F9176A" w:rsidRPr="00F9176A" w14:paraId="6028FA7B" w14:textId="77777777" w:rsidTr="00A11447">
        <w:trPr>
          <w:cantSplit/>
        </w:trPr>
        <w:tc>
          <w:tcPr>
            <w:tcW w:w="1365" w:type="pct"/>
            <w:tcBorders>
              <w:top w:val="single" w:sz="4" w:space="0" w:color="auto"/>
              <w:bottom w:val="single" w:sz="4" w:space="0" w:color="auto"/>
            </w:tcBorders>
          </w:tcPr>
          <w:p w14:paraId="2917134D" w14:textId="77777777" w:rsidR="00F9176A" w:rsidRPr="00F9176A" w:rsidRDefault="00F9176A" w:rsidP="00F9176A">
            <w:pPr>
              <w:pStyle w:val="Tabletext"/>
            </w:pPr>
            <w:r w:rsidRPr="00F9176A">
              <w:t>37</w:t>
            </w:r>
          </w:p>
        </w:tc>
        <w:tc>
          <w:tcPr>
            <w:tcW w:w="909" w:type="pct"/>
            <w:tcBorders>
              <w:top w:val="single" w:sz="4" w:space="0" w:color="auto"/>
              <w:bottom w:val="single" w:sz="4" w:space="0" w:color="auto"/>
            </w:tcBorders>
            <w:shd w:val="clear" w:color="auto" w:fill="auto"/>
            <w:vAlign w:val="bottom"/>
          </w:tcPr>
          <w:p w14:paraId="754C4869" w14:textId="77777777" w:rsidR="00F9176A" w:rsidRPr="00F9176A" w:rsidRDefault="00F9176A" w:rsidP="00F9176A">
            <w:pPr>
              <w:pStyle w:val="Tabletext"/>
            </w:pPr>
            <w:r w:rsidRPr="00F9176A">
              <w:t>25</w:t>
            </w:r>
            <w:r w:rsidR="00D7157D">
              <w:t>.</w:t>
            </w:r>
            <w:r w:rsidRPr="00F9176A">
              <w:t>1989</w:t>
            </w:r>
          </w:p>
        </w:tc>
        <w:tc>
          <w:tcPr>
            <w:tcW w:w="909" w:type="pct"/>
            <w:tcBorders>
              <w:top w:val="single" w:sz="4" w:space="0" w:color="auto"/>
              <w:bottom w:val="single" w:sz="4" w:space="0" w:color="auto"/>
            </w:tcBorders>
            <w:shd w:val="clear" w:color="auto" w:fill="auto"/>
            <w:vAlign w:val="bottom"/>
          </w:tcPr>
          <w:p w14:paraId="0A82E360" w14:textId="77777777" w:rsidR="00F9176A" w:rsidRPr="00F9176A" w:rsidRDefault="00F9176A" w:rsidP="00F9176A">
            <w:pPr>
              <w:pStyle w:val="Tabletext"/>
            </w:pPr>
            <w:r w:rsidRPr="00F9176A">
              <w:t>3</w:t>
            </w:r>
            <w:r w:rsidR="00D7157D">
              <w:t>.</w:t>
            </w:r>
            <w:r w:rsidRPr="00F9176A">
              <w:t>9166</w:t>
            </w:r>
          </w:p>
        </w:tc>
        <w:tc>
          <w:tcPr>
            <w:tcW w:w="909" w:type="pct"/>
            <w:tcBorders>
              <w:top w:val="single" w:sz="4" w:space="0" w:color="auto"/>
              <w:bottom w:val="single" w:sz="4" w:space="0" w:color="auto"/>
            </w:tcBorders>
            <w:shd w:val="clear" w:color="auto" w:fill="auto"/>
            <w:vAlign w:val="bottom"/>
          </w:tcPr>
          <w:p w14:paraId="5A599DD5" w14:textId="77777777" w:rsidR="00F9176A" w:rsidRPr="00F9176A" w:rsidRDefault="00F9176A" w:rsidP="00F9176A">
            <w:pPr>
              <w:pStyle w:val="Tabletext"/>
            </w:pPr>
            <w:r w:rsidRPr="00F9176A">
              <w:t>26</w:t>
            </w:r>
            <w:r w:rsidR="00D7157D">
              <w:t>.</w:t>
            </w:r>
            <w:r w:rsidRPr="00F9176A">
              <w:t>7547</w:t>
            </w:r>
          </w:p>
        </w:tc>
        <w:tc>
          <w:tcPr>
            <w:tcW w:w="908" w:type="pct"/>
            <w:tcBorders>
              <w:top w:val="single" w:sz="4" w:space="0" w:color="auto"/>
              <w:bottom w:val="single" w:sz="4" w:space="0" w:color="auto"/>
              <w:right w:val="nil"/>
            </w:tcBorders>
            <w:shd w:val="clear" w:color="auto" w:fill="auto"/>
            <w:vAlign w:val="bottom"/>
          </w:tcPr>
          <w:p w14:paraId="3B08EAEB" w14:textId="77777777" w:rsidR="00F9176A" w:rsidRPr="00F9176A" w:rsidRDefault="00F9176A" w:rsidP="00F9176A">
            <w:pPr>
              <w:pStyle w:val="Tabletext"/>
            </w:pPr>
            <w:r w:rsidRPr="00F9176A">
              <w:t>1</w:t>
            </w:r>
            <w:r w:rsidR="00D7157D">
              <w:t>.</w:t>
            </w:r>
            <w:r w:rsidRPr="00F9176A">
              <w:t>8537</w:t>
            </w:r>
          </w:p>
        </w:tc>
      </w:tr>
      <w:tr w:rsidR="00F9176A" w:rsidRPr="00F9176A" w14:paraId="49C2F56B" w14:textId="77777777" w:rsidTr="00A11447">
        <w:trPr>
          <w:cantSplit/>
        </w:trPr>
        <w:tc>
          <w:tcPr>
            <w:tcW w:w="1365" w:type="pct"/>
            <w:tcBorders>
              <w:top w:val="single" w:sz="4" w:space="0" w:color="auto"/>
              <w:bottom w:val="single" w:sz="4" w:space="0" w:color="auto"/>
            </w:tcBorders>
          </w:tcPr>
          <w:p w14:paraId="1F1E3AF8" w14:textId="77777777" w:rsidR="00F9176A" w:rsidRPr="00F9176A" w:rsidRDefault="00F9176A" w:rsidP="00F9176A">
            <w:pPr>
              <w:pStyle w:val="Tabletext"/>
            </w:pPr>
            <w:r w:rsidRPr="00F9176A">
              <w:t>38</w:t>
            </w:r>
          </w:p>
        </w:tc>
        <w:tc>
          <w:tcPr>
            <w:tcW w:w="909" w:type="pct"/>
            <w:tcBorders>
              <w:top w:val="single" w:sz="4" w:space="0" w:color="auto"/>
              <w:bottom w:val="single" w:sz="4" w:space="0" w:color="auto"/>
            </w:tcBorders>
            <w:shd w:val="clear" w:color="auto" w:fill="auto"/>
            <w:vAlign w:val="bottom"/>
          </w:tcPr>
          <w:p w14:paraId="65C9005A" w14:textId="77777777" w:rsidR="00F9176A" w:rsidRPr="00F9176A" w:rsidRDefault="00F9176A" w:rsidP="00F9176A">
            <w:pPr>
              <w:pStyle w:val="Tabletext"/>
            </w:pPr>
            <w:r w:rsidRPr="00F9176A">
              <w:t>24</w:t>
            </w:r>
            <w:r w:rsidR="00D7157D">
              <w:t>.</w:t>
            </w:r>
            <w:r w:rsidRPr="00F9176A">
              <w:t>8649</w:t>
            </w:r>
          </w:p>
        </w:tc>
        <w:tc>
          <w:tcPr>
            <w:tcW w:w="909" w:type="pct"/>
            <w:tcBorders>
              <w:top w:val="single" w:sz="4" w:space="0" w:color="auto"/>
              <w:bottom w:val="single" w:sz="4" w:space="0" w:color="auto"/>
            </w:tcBorders>
            <w:shd w:val="clear" w:color="auto" w:fill="auto"/>
            <w:vAlign w:val="bottom"/>
          </w:tcPr>
          <w:p w14:paraId="6B1F68BD" w14:textId="77777777" w:rsidR="00F9176A" w:rsidRPr="00F9176A" w:rsidRDefault="00F9176A" w:rsidP="00F9176A">
            <w:pPr>
              <w:pStyle w:val="Tabletext"/>
            </w:pPr>
            <w:r w:rsidRPr="00F9176A">
              <w:t>3</w:t>
            </w:r>
            <w:r w:rsidR="00D7157D">
              <w:t>.</w:t>
            </w:r>
            <w:r w:rsidRPr="00F9176A">
              <w:t>9655</w:t>
            </w:r>
          </w:p>
        </w:tc>
        <w:tc>
          <w:tcPr>
            <w:tcW w:w="909" w:type="pct"/>
            <w:tcBorders>
              <w:top w:val="single" w:sz="4" w:space="0" w:color="auto"/>
              <w:bottom w:val="single" w:sz="4" w:space="0" w:color="auto"/>
            </w:tcBorders>
            <w:shd w:val="clear" w:color="auto" w:fill="auto"/>
            <w:vAlign w:val="bottom"/>
          </w:tcPr>
          <w:p w14:paraId="2F021804" w14:textId="77777777" w:rsidR="00F9176A" w:rsidRPr="00F9176A" w:rsidRDefault="00F9176A" w:rsidP="00F9176A">
            <w:pPr>
              <w:pStyle w:val="Tabletext"/>
            </w:pPr>
            <w:r w:rsidRPr="00F9176A">
              <w:t>26</w:t>
            </w:r>
            <w:r w:rsidR="00D7157D">
              <w:t>.</w:t>
            </w:r>
            <w:r w:rsidRPr="00F9176A">
              <w:t>4348</w:t>
            </w:r>
          </w:p>
        </w:tc>
        <w:tc>
          <w:tcPr>
            <w:tcW w:w="908" w:type="pct"/>
            <w:tcBorders>
              <w:top w:val="single" w:sz="4" w:space="0" w:color="auto"/>
              <w:bottom w:val="single" w:sz="4" w:space="0" w:color="auto"/>
              <w:right w:val="nil"/>
            </w:tcBorders>
            <w:shd w:val="clear" w:color="auto" w:fill="auto"/>
            <w:vAlign w:val="bottom"/>
          </w:tcPr>
          <w:p w14:paraId="7E6026F1" w14:textId="77777777" w:rsidR="00F9176A" w:rsidRPr="00F9176A" w:rsidRDefault="00F9176A" w:rsidP="00F9176A">
            <w:pPr>
              <w:pStyle w:val="Tabletext"/>
            </w:pPr>
            <w:r w:rsidRPr="00F9176A">
              <w:t>1</w:t>
            </w:r>
            <w:r w:rsidR="00D7157D">
              <w:t>.</w:t>
            </w:r>
            <w:r w:rsidRPr="00F9176A">
              <w:t>8741</w:t>
            </w:r>
          </w:p>
        </w:tc>
      </w:tr>
      <w:tr w:rsidR="00F9176A" w:rsidRPr="00F9176A" w14:paraId="0C22B206" w14:textId="77777777" w:rsidTr="00A11447">
        <w:trPr>
          <w:cantSplit/>
        </w:trPr>
        <w:tc>
          <w:tcPr>
            <w:tcW w:w="1365" w:type="pct"/>
            <w:tcBorders>
              <w:top w:val="single" w:sz="4" w:space="0" w:color="auto"/>
              <w:bottom w:val="single" w:sz="4" w:space="0" w:color="auto"/>
            </w:tcBorders>
          </w:tcPr>
          <w:p w14:paraId="574DEC1A" w14:textId="77777777" w:rsidR="00F9176A" w:rsidRPr="00F9176A" w:rsidRDefault="00F9176A" w:rsidP="00F9176A">
            <w:pPr>
              <w:pStyle w:val="Tabletext"/>
            </w:pPr>
            <w:r w:rsidRPr="00F9176A">
              <w:t>39</w:t>
            </w:r>
          </w:p>
        </w:tc>
        <w:tc>
          <w:tcPr>
            <w:tcW w:w="909" w:type="pct"/>
            <w:tcBorders>
              <w:top w:val="single" w:sz="4" w:space="0" w:color="auto"/>
              <w:bottom w:val="single" w:sz="4" w:space="0" w:color="auto"/>
            </w:tcBorders>
            <w:shd w:val="clear" w:color="auto" w:fill="auto"/>
            <w:vAlign w:val="bottom"/>
          </w:tcPr>
          <w:p w14:paraId="6367804D" w14:textId="77777777" w:rsidR="00F9176A" w:rsidRPr="00F9176A" w:rsidRDefault="00F9176A" w:rsidP="00F9176A">
            <w:pPr>
              <w:pStyle w:val="Tabletext"/>
            </w:pPr>
            <w:r w:rsidRPr="00F9176A">
              <w:t>24</w:t>
            </w:r>
            <w:r w:rsidR="00D7157D">
              <w:t>.</w:t>
            </w:r>
            <w:r w:rsidRPr="00F9176A">
              <w:t>5246</w:t>
            </w:r>
          </w:p>
        </w:tc>
        <w:tc>
          <w:tcPr>
            <w:tcW w:w="909" w:type="pct"/>
            <w:tcBorders>
              <w:top w:val="single" w:sz="4" w:space="0" w:color="auto"/>
              <w:bottom w:val="single" w:sz="4" w:space="0" w:color="auto"/>
            </w:tcBorders>
            <w:shd w:val="clear" w:color="auto" w:fill="auto"/>
            <w:vAlign w:val="bottom"/>
          </w:tcPr>
          <w:p w14:paraId="14B20888" w14:textId="77777777" w:rsidR="00F9176A" w:rsidRPr="00F9176A" w:rsidRDefault="00F9176A" w:rsidP="00F9176A">
            <w:pPr>
              <w:pStyle w:val="Tabletext"/>
            </w:pPr>
            <w:r w:rsidRPr="00F9176A">
              <w:t>4</w:t>
            </w:r>
            <w:r w:rsidR="00D7157D">
              <w:t>.</w:t>
            </w:r>
            <w:r w:rsidRPr="00F9176A">
              <w:t>0145</w:t>
            </w:r>
          </w:p>
        </w:tc>
        <w:tc>
          <w:tcPr>
            <w:tcW w:w="909" w:type="pct"/>
            <w:tcBorders>
              <w:top w:val="single" w:sz="4" w:space="0" w:color="auto"/>
              <w:bottom w:val="single" w:sz="4" w:space="0" w:color="auto"/>
            </w:tcBorders>
            <w:shd w:val="clear" w:color="auto" w:fill="auto"/>
            <w:vAlign w:val="bottom"/>
          </w:tcPr>
          <w:p w14:paraId="0CFDF4DE" w14:textId="77777777" w:rsidR="00F9176A" w:rsidRPr="00F9176A" w:rsidRDefault="00F9176A" w:rsidP="00F9176A">
            <w:pPr>
              <w:pStyle w:val="Tabletext"/>
            </w:pPr>
            <w:r w:rsidRPr="00F9176A">
              <w:t>26</w:t>
            </w:r>
            <w:r w:rsidR="00D7157D">
              <w:t>.</w:t>
            </w:r>
            <w:r w:rsidRPr="00F9176A">
              <w:t>1084</w:t>
            </w:r>
          </w:p>
        </w:tc>
        <w:tc>
          <w:tcPr>
            <w:tcW w:w="908" w:type="pct"/>
            <w:tcBorders>
              <w:top w:val="single" w:sz="4" w:space="0" w:color="auto"/>
              <w:bottom w:val="single" w:sz="4" w:space="0" w:color="auto"/>
              <w:right w:val="nil"/>
            </w:tcBorders>
            <w:shd w:val="clear" w:color="auto" w:fill="auto"/>
            <w:vAlign w:val="bottom"/>
          </w:tcPr>
          <w:p w14:paraId="05A7A99D" w14:textId="77777777" w:rsidR="00F9176A" w:rsidRPr="00F9176A" w:rsidRDefault="00F9176A" w:rsidP="00F9176A">
            <w:pPr>
              <w:pStyle w:val="Tabletext"/>
            </w:pPr>
            <w:r w:rsidRPr="00F9176A">
              <w:t>1</w:t>
            </w:r>
            <w:r w:rsidR="00D7157D">
              <w:t>.</w:t>
            </w:r>
            <w:r w:rsidRPr="00F9176A">
              <w:t>8944</w:t>
            </w:r>
          </w:p>
        </w:tc>
      </w:tr>
      <w:tr w:rsidR="00F9176A" w:rsidRPr="00F9176A" w14:paraId="00E931EF" w14:textId="77777777" w:rsidTr="00A11447">
        <w:trPr>
          <w:cantSplit/>
        </w:trPr>
        <w:tc>
          <w:tcPr>
            <w:tcW w:w="1365" w:type="pct"/>
            <w:tcBorders>
              <w:top w:val="single" w:sz="4" w:space="0" w:color="auto"/>
              <w:bottom w:val="single" w:sz="4" w:space="0" w:color="auto"/>
            </w:tcBorders>
          </w:tcPr>
          <w:p w14:paraId="2A143652" w14:textId="77777777" w:rsidR="00F9176A" w:rsidRPr="00F9176A" w:rsidRDefault="00F9176A" w:rsidP="00F9176A">
            <w:pPr>
              <w:pStyle w:val="Tabletext"/>
            </w:pPr>
            <w:r w:rsidRPr="00F9176A">
              <w:t>40</w:t>
            </w:r>
          </w:p>
        </w:tc>
        <w:tc>
          <w:tcPr>
            <w:tcW w:w="909" w:type="pct"/>
            <w:tcBorders>
              <w:top w:val="single" w:sz="4" w:space="0" w:color="auto"/>
              <w:bottom w:val="single" w:sz="4" w:space="0" w:color="auto"/>
            </w:tcBorders>
            <w:shd w:val="clear" w:color="auto" w:fill="auto"/>
            <w:vAlign w:val="bottom"/>
          </w:tcPr>
          <w:p w14:paraId="6474ACB9" w14:textId="77777777" w:rsidR="00F9176A" w:rsidRPr="00F9176A" w:rsidRDefault="00F9176A" w:rsidP="00F9176A">
            <w:pPr>
              <w:pStyle w:val="Tabletext"/>
            </w:pPr>
            <w:r w:rsidRPr="00F9176A">
              <w:t>24</w:t>
            </w:r>
            <w:r w:rsidR="00D7157D">
              <w:t>.</w:t>
            </w:r>
            <w:r w:rsidRPr="00F9176A">
              <w:t>1780</w:t>
            </w:r>
          </w:p>
        </w:tc>
        <w:tc>
          <w:tcPr>
            <w:tcW w:w="909" w:type="pct"/>
            <w:tcBorders>
              <w:top w:val="single" w:sz="4" w:space="0" w:color="auto"/>
              <w:bottom w:val="single" w:sz="4" w:space="0" w:color="auto"/>
            </w:tcBorders>
            <w:shd w:val="clear" w:color="auto" w:fill="auto"/>
            <w:vAlign w:val="bottom"/>
          </w:tcPr>
          <w:p w14:paraId="6B13133D" w14:textId="77777777" w:rsidR="00F9176A" w:rsidRPr="00F9176A" w:rsidRDefault="00F9176A" w:rsidP="00F9176A">
            <w:pPr>
              <w:pStyle w:val="Tabletext"/>
            </w:pPr>
            <w:r w:rsidRPr="00F9176A">
              <w:t>4</w:t>
            </w:r>
            <w:r w:rsidR="00D7157D">
              <w:t>.</w:t>
            </w:r>
            <w:r w:rsidRPr="00F9176A">
              <w:t>0634</w:t>
            </w:r>
          </w:p>
        </w:tc>
        <w:tc>
          <w:tcPr>
            <w:tcW w:w="909" w:type="pct"/>
            <w:tcBorders>
              <w:top w:val="single" w:sz="4" w:space="0" w:color="auto"/>
              <w:bottom w:val="single" w:sz="4" w:space="0" w:color="auto"/>
            </w:tcBorders>
            <w:shd w:val="clear" w:color="auto" w:fill="auto"/>
            <w:vAlign w:val="bottom"/>
          </w:tcPr>
          <w:p w14:paraId="55D609CA" w14:textId="77777777" w:rsidR="00F9176A" w:rsidRPr="00F9176A" w:rsidRDefault="00F9176A" w:rsidP="00F9176A">
            <w:pPr>
              <w:pStyle w:val="Tabletext"/>
            </w:pPr>
            <w:r w:rsidRPr="00F9176A">
              <w:t>25</w:t>
            </w:r>
            <w:r w:rsidR="00D7157D">
              <w:t>.</w:t>
            </w:r>
            <w:r w:rsidRPr="00F9176A">
              <w:t>7754</w:t>
            </w:r>
          </w:p>
        </w:tc>
        <w:tc>
          <w:tcPr>
            <w:tcW w:w="908" w:type="pct"/>
            <w:tcBorders>
              <w:top w:val="single" w:sz="4" w:space="0" w:color="auto"/>
              <w:bottom w:val="single" w:sz="4" w:space="0" w:color="auto"/>
              <w:right w:val="nil"/>
            </w:tcBorders>
            <w:shd w:val="clear" w:color="auto" w:fill="auto"/>
            <w:vAlign w:val="bottom"/>
          </w:tcPr>
          <w:p w14:paraId="0F426353" w14:textId="77777777" w:rsidR="00F9176A" w:rsidRPr="00F9176A" w:rsidRDefault="00F9176A" w:rsidP="00F9176A">
            <w:pPr>
              <w:pStyle w:val="Tabletext"/>
            </w:pPr>
            <w:r w:rsidRPr="00F9176A">
              <w:t>1</w:t>
            </w:r>
            <w:r w:rsidR="00D7157D">
              <w:t>.</w:t>
            </w:r>
            <w:r w:rsidRPr="00F9176A">
              <w:t>9146</w:t>
            </w:r>
          </w:p>
        </w:tc>
      </w:tr>
      <w:tr w:rsidR="00F9176A" w:rsidRPr="00F9176A" w14:paraId="0A576925" w14:textId="77777777" w:rsidTr="00A11447">
        <w:trPr>
          <w:cantSplit/>
        </w:trPr>
        <w:tc>
          <w:tcPr>
            <w:tcW w:w="1365" w:type="pct"/>
            <w:tcBorders>
              <w:top w:val="single" w:sz="4" w:space="0" w:color="auto"/>
              <w:bottom w:val="single" w:sz="4" w:space="0" w:color="auto"/>
            </w:tcBorders>
          </w:tcPr>
          <w:p w14:paraId="0D2D5BF1" w14:textId="77777777" w:rsidR="00F9176A" w:rsidRPr="00F9176A" w:rsidRDefault="00F9176A" w:rsidP="00F9176A">
            <w:pPr>
              <w:pStyle w:val="Tabletext"/>
            </w:pPr>
            <w:r w:rsidRPr="00F9176A">
              <w:t>41</w:t>
            </w:r>
          </w:p>
        </w:tc>
        <w:tc>
          <w:tcPr>
            <w:tcW w:w="909" w:type="pct"/>
            <w:tcBorders>
              <w:top w:val="single" w:sz="4" w:space="0" w:color="auto"/>
              <w:bottom w:val="single" w:sz="4" w:space="0" w:color="auto"/>
            </w:tcBorders>
            <w:shd w:val="clear" w:color="auto" w:fill="auto"/>
            <w:vAlign w:val="bottom"/>
          </w:tcPr>
          <w:p w14:paraId="202CF649" w14:textId="77777777" w:rsidR="00F9176A" w:rsidRPr="00F9176A" w:rsidRDefault="00F9176A" w:rsidP="00F9176A">
            <w:pPr>
              <w:pStyle w:val="Tabletext"/>
            </w:pPr>
            <w:r w:rsidRPr="00F9176A">
              <w:t>23</w:t>
            </w:r>
            <w:r w:rsidR="00D7157D">
              <w:t>.</w:t>
            </w:r>
            <w:r w:rsidRPr="00F9176A">
              <w:t>8252</w:t>
            </w:r>
          </w:p>
        </w:tc>
        <w:tc>
          <w:tcPr>
            <w:tcW w:w="909" w:type="pct"/>
            <w:tcBorders>
              <w:top w:val="single" w:sz="4" w:space="0" w:color="auto"/>
              <w:bottom w:val="single" w:sz="4" w:space="0" w:color="auto"/>
            </w:tcBorders>
            <w:shd w:val="clear" w:color="auto" w:fill="auto"/>
            <w:vAlign w:val="bottom"/>
          </w:tcPr>
          <w:p w14:paraId="77F1034E" w14:textId="77777777" w:rsidR="00F9176A" w:rsidRPr="00F9176A" w:rsidRDefault="00F9176A" w:rsidP="00F9176A">
            <w:pPr>
              <w:pStyle w:val="Tabletext"/>
            </w:pPr>
            <w:r w:rsidRPr="00F9176A">
              <w:t>3</w:t>
            </w:r>
            <w:r w:rsidR="00D7157D">
              <w:t>.</w:t>
            </w:r>
            <w:r w:rsidRPr="00F9176A">
              <w:t>9751</w:t>
            </w:r>
          </w:p>
        </w:tc>
        <w:tc>
          <w:tcPr>
            <w:tcW w:w="909" w:type="pct"/>
            <w:tcBorders>
              <w:top w:val="single" w:sz="4" w:space="0" w:color="auto"/>
              <w:bottom w:val="single" w:sz="4" w:space="0" w:color="auto"/>
            </w:tcBorders>
            <w:shd w:val="clear" w:color="auto" w:fill="auto"/>
            <w:vAlign w:val="bottom"/>
          </w:tcPr>
          <w:p w14:paraId="7418B30B" w14:textId="77777777" w:rsidR="00F9176A" w:rsidRPr="00F9176A" w:rsidRDefault="00F9176A" w:rsidP="00F9176A">
            <w:pPr>
              <w:pStyle w:val="Tabletext"/>
            </w:pPr>
            <w:r w:rsidRPr="00F9176A">
              <w:t>25</w:t>
            </w:r>
            <w:r w:rsidR="00D7157D">
              <w:t>.</w:t>
            </w:r>
            <w:r w:rsidRPr="00F9176A">
              <w:t>4359</w:t>
            </w:r>
          </w:p>
        </w:tc>
        <w:tc>
          <w:tcPr>
            <w:tcW w:w="908" w:type="pct"/>
            <w:tcBorders>
              <w:top w:val="single" w:sz="4" w:space="0" w:color="auto"/>
              <w:bottom w:val="single" w:sz="4" w:space="0" w:color="auto"/>
              <w:right w:val="nil"/>
            </w:tcBorders>
            <w:shd w:val="clear" w:color="auto" w:fill="auto"/>
            <w:vAlign w:val="bottom"/>
          </w:tcPr>
          <w:p w14:paraId="72999E36" w14:textId="77777777" w:rsidR="00F9176A" w:rsidRPr="00F9176A" w:rsidRDefault="00F9176A" w:rsidP="00F9176A">
            <w:pPr>
              <w:pStyle w:val="Tabletext"/>
            </w:pPr>
            <w:r w:rsidRPr="00F9176A">
              <w:t>1</w:t>
            </w:r>
            <w:r w:rsidR="00D7157D">
              <w:t>.</w:t>
            </w:r>
            <w:r w:rsidRPr="00F9176A">
              <w:t>8186</w:t>
            </w:r>
          </w:p>
        </w:tc>
      </w:tr>
      <w:tr w:rsidR="00F9176A" w:rsidRPr="00F9176A" w14:paraId="10BA0A1C" w14:textId="77777777" w:rsidTr="00A11447">
        <w:trPr>
          <w:cantSplit/>
        </w:trPr>
        <w:tc>
          <w:tcPr>
            <w:tcW w:w="1365" w:type="pct"/>
            <w:tcBorders>
              <w:top w:val="single" w:sz="4" w:space="0" w:color="auto"/>
              <w:bottom w:val="single" w:sz="4" w:space="0" w:color="auto"/>
            </w:tcBorders>
          </w:tcPr>
          <w:p w14:paraId="566956BB" w14:textId="77777777" w:rsidR="00F9176A" w:rsidRPr="00F9176A" w:rsidRDefault="00F9176A" w:rsidP="00F9176A">
            <w:pPr>
              <w:pStyle w:val="Tabletext"/>
            </w:pPr>
            <w:r w:rsidRPr="00F9176A">
              <w:t>42</w:t>
            </w:r>
          </w:p>
        </w:tc>
        <w:tc>
          <w:tcPr>
            <w:tcW w:w="909" w:type="pct"/>
            <w:tcBorders>
              <w:top w:val="single" w:sz="4" w:space="0" w:color="auto"/>
              <w:bottom w:val="single" w:sz="4" w:space="0" w:color="auto"/>
            </w:tcBorders>
            <w:shd w:val="clear" w:color="auto" w:fill="auto"/>
            <w:vAlign w:val="bottom"/>
          </w:tcPr>
          <w:p w14:paraId="223116CE" w14:textId="77777777" w:rsidR="00F9176A" w:rsidRPr="00F9176A" w:rsidRDefault="00F9176A" w:rsidP="00F9176A">
            <w:pPr>
              <w:pStyle w:val="Tabletext"/>
            </w:pPr>
            <w:r w:rsidRPr="00F9176A">
              <w:t>23</w:t>
            </w:r>
            <w:r w:rsidR="00D7157D">
              <w:t>.</w:t>
            </w:r>
            <w:r w:rsidRPr="00F9176A">
              <w:t>4662</w:t>
            </w:r>
          </w:p>
        </w:tc>
        <w:tc>
          <w:tcPr>
            <w:tcW w:w="909" w:type="pct"/>
            <w:tcBorders>
              <w:top w:val="single" w:sz="4" w:space="0" w:color="auto"/>
              <w:bottom w:val="single" w:sz="4" w:space="0" w:color="auto"/>
            </w:tcBorders>
            <w:shd w:val="clear" w:color="auto" w:fill="auto"/>
            <w:vAlign w:val="bottom"/>
          </w:tcPr>
          <w:p w14:paraId="5044B2A1" w14:textId="77777777" w:rsidR="00F9176A" w:rsidRPr="00F9176A" w:rsidRDefault="00F9176A" w:rsidP="00F9176A">
            <w:pPr>
              <w:pStyle w:val="Tabletext"/>
            </w:pPr>
            <w:r w:rsidRPr="00F9176A">
              <w:t>3</w:t>
            </w:r>
            <w:r w:rsidR="00D7157D">
              <w:t>.</w:t>
            </w:r>
            <w:r w:rsidRPr="00F9176A">
              <w:t>8834</w:t>
            </w:r>
          </w:p>
        </w:tc>
        <w:tc>
          <w:tcPr>
            <w:tcW w:w="909" w:type="pct"/>
            <w:tcBorders>
              <w:top w:val="single" w:sz="4" w:space="0" w:color="auto"/>
              <w:bottom w:val="single" w:sz="4" w:space="0" w:color="auto"/>
            </w:tcBorders>
            <w:shd w:val="clear" w:color="auto" w:fill="auto"/>
            <w:vAlign w:val="bottom"/>
          </w:tcPr>
          <w:p w14:paraId="7685A380" w14:textId="77777777" w:rsidR="00F9176A" w:rsidRPr="00F9176A" w:rsidRDefault="00F9176A" w:rsidP="00F9176A">
            <w:pPr>
              <w:pStyle w:val="Tabletext"/>
            </w:pPr>
            <w:r w:rsidRPr="00F9176A">
              <w:t>25</w:t>
            </w:r>
            <w:r w:rsidR="00D7157D">
              <w:t>.</w:t>
            </w:r>
            <w:r w:rsidRPr="00F9176A">
              <w:t>0897</w:t>
            </w:r>
          </w:p>
        </w:tc>
        <w:tc>
          <w:tcPr>
            <w:tcW w:w="908" w:type="pct"/>
            <w:tcBorders>
              <w:top w:val="single" w:sz="4" w:space="0" w:color="auto"/>
              <w:bottom w:val="single" w:sz="4" w:space="0" w:color="auto"/>
              <w:right w:val="nil"/>
            </w:tcBorders>
            <w:shd w:val="clear" w:color="auto" w:fill="auto"/>
            <w:vAlign w:val="bottom"/>
          </w:tcPr>
          <w:p w14:paraId="7FDE5D9B" w14:textId="77777777" w:rsidR="00F9176A" w:rsidRPr="00F9176A" w:rsidRDefault="00F9176A" w:rsidP="00F9176A">
            <w:pPr>
              <w:pStyle w:val="Tabletext"/>
            </w:pPr>
            <w:r w:rsidRPr="00F9176A">
              <w:t>1</w:t>
            </w:r>
            <w:r w:rsidR="00D7157D">
              <w:t>.</w:t>
            </w:r>
            <w:r w:rsidRPr="00F9176A">
              <w:t>7199</w:t>
            </w:r>
          </w:p>
        </w:tc>
      </w:tr>
      <w:tr w:rsidR="00F9176A" w:rsidRPr="00F9176A" w14:paraId="3F6F208A" w14:textId="77777777" w:rsidTr="00A11447">
        <w:trPr>
          <w:cantSplit/>
        </w:trPr>
        <w:tc>
          <w:tcPr>
            <w:tcW w:w="1365" w:type="pct"/>
            <w:tcBorders>
              <w:top w:val="single" w:sz="4" w:space="0" w:color="auto"/>
              <w:bottom w:val="single" w:sz="4" w:space="0" w:color="auto"/>
            </w:tcBorders>
          </w:tcPr>
          <w:p w14:paraId="4C227EF5" w14:textId="77777777" w:rsidR="00F9176A" w:rsidRPr="00F9176A" w:rsidRDefault="00F9176A" w:rsidP="00F9176A">
            <w:pPr>
              <w:pStyle w:val="Tabletext"/>
            </w:pPr>
            <w:r w:rsidRPr="00F9176A">
              <w:t>43</w:t>
            </w:r>
          </w:p>
        </w:tc>
        <w:tc>
          <w:tcPr>
            <w:tcW w:w="909" w:type="pct"/>
            <w:tcBorders>
              <w:top w:val="single" w:sz="4" w:space="0" w:color="auto"/>
              <w:bottom w:val="single" w:sz="4" w:space="0" w:color="auto"/>
            </w:tcBorders>
            <w:shd w:val="clear" w:color="auto" w:fill="auto"/>
            <w:vAlign w:val="bottom"/>
          </w:tcPr>
          <w:p w14:paraId="626D4BFA" w14:textId="77777777" w:rsidR="00F9176A" w:rsidRPr="00F9176A" w:rsidRDefault="00F9176A" w:rsidP="00F9176A">
            <w:pPr>
              <w:pStyle w:val="Tabletext"/>
            </w:pPr>
            <w:r w:rsidRPr="00F9176A">
              <w:t>23</w:t>
            </w:r>
            <w:r w:rsidR="00D7157D">
              <w:t>.</w:t>
            </w:r>
            <w:r w:rsidRPr="00F9176A">
              <w:t>1006</w:t>
            </w:r>
          </w:p>
        </w:tc>
        <w:tc>
          <w:tcPr>
            <w:tcW w:w="909" w:type="pct"/>
            <w:tcBorders>
              <w:top w:val="single" w:sz="4" w:space="0" w:color="auto"/>
              <w:bottom w:val="single" w:sz="4" w:space="0" w:color="auto"/>
            </w:tcBorders>
            <w:shd w:val="clear" w:color="auto" w:fill="auto"/>
            <w:vAlign w:val="bottom"/>
          </w:tcPr>
          <w:p w14:paraId="1608A0E5" w14:textId="77777777" w:rsidR="00F9176A" w:rsidRPr="00F9176A" w:rsidRDefault="00F9176A" w:rsidP="00F9176A">
            <w:pPr>
              <w:pStyle w:val="Tabletext"/>
            </w:pPr>
            <w:r w:rsidRPr="00F9176A">
              <w:t>3</w:t>
            </w:r>
            <w:r w:rsidR="00D7157D">
              <w:t>.</w:t>
            </w:r>
            <w:r w:rsidRPr="00F9176A">
              <w:t>7883</w:t>
            </w:r>
          </w:p>
        </w:tc>
        <w:tc>
          <w:tcPr>
            <w:tcW w:w="909" w:type="pct"/>
            <w:tcBorders>
              <w:top w:val="single" w:sz="4" w:space="0" w:color="auto"/>
              <w:bottom w:val="single" w:sz="4" w:space="0" w:color="auto"/>
            </w:tcBorders>
            <w:shd w:val="clear" w:color="auto" w:fill="auto"/>
            <w:vAlign w:val="bottom"/>
          </w:tcPr>
          <w:p w14:paraId="64113A52" w14:textId="77777777" w:rsidR="00F9176A" w:rsidRPr="00F9176A" w:rsidRDefault="00F9176A" w:rsidP="00F9176A">
            <w:pPr>
              <w:pStyle w:val="Tabletext"/>
            </w:pPr>
            <w:r w:rsidRPr="00F9176A">
              <w:t>24</w:t>
            </w:r>
            <w:r w:rsidR="00D7157D">
              <w:t>.</w:t>
            </w:r>
            <w:r w:rsidRPr="00F9176A">
              <w:t>7368</w:t>
            </w:r>
          </w:p>
        </w:tc>
        <w:tc>
          <w:tcPr>
            <w:tcW w:w="908" w:type="pct"/>
            <w:tcBorders>
              <w:top w:val="single" w:sz="4" w:space="0" w:color="auto"/>
              <w:bottom w:val="single" w:sz="4" w:space="0" w:color="auto"/>
              <w:right w:val="nil"/>
            </w:tcBorders>
            <w:shd w:val="clear" w:color="auto" w:fill="auto"/>
            <w:vAlign w:val="bottom"/>
          </w:tcPr>
          <w:p w14:paraId="03F7406C" w14:textId="77777777" w:rsidR="00F9176A" w:rsidRPr="00F9176A" w:rsidRDefault="00F9176A" w:rsidP="00F9176A">
            <w:pPr>
              <w:pStyle w:val="Tabletext"/>
            </w:pPr>
            <w:r w:rsidRPr="00F9176A">
              <w:t>1</w:t>
            </w:r>
            <w:r w:rsidR="00D7157D">
              <w:t>.</w:t>
            </w:r>
            <w:r w:rsidRPr="00F9176A">
              <w:t>6186</w:t>
            </w:r>
          </w:p>
        </w:tc>
      </w:tr>
      <w:tr w:rsidR="00F9176A" w:rsidRPr="00F9176A" w14:paraId="4915878A" w14:textId="77777777" w:rsidTr="00A11447">
        <w:trPr>
          <w:cantSplit/>
        </w:trPr>
        <w:tc>
          <w:tcPr>
            <w:tcW w:w="1365" w:type="pct"/>
            <w:tcBorders>
              <w:top w:val="single" w:sz="4" w:space="0" w:color="auto"/>
              <w:bottom w:val="single" w:sz="4" w:space="0" w:color="auto"/>
            </w:tcBorders>
          </w:tcPr>
          <w:p w14:paraId="2540158B" w14:textId="77777777" w:rsidR="00F9176A" w:rsidRPr="00F9176A" w:rsidRDefault="00F9176A" w:rsidP="00F9176A">
            <w:pPr>
              <w:pStyle w:val="Tabletext"/>
            </w:pPr>
            <w:r w:rsidRPr="00F9176A">
              <w:t>44</w:t>
            </w:r>
          </w:p>
        </w:tc>
        <w:tc>
          <w:tcPr>
            <w:tcW w:w="909" w:type="pct"/>
            <w:tcBorders>
              <w:top w:val="single" w:sz="4" w:space="0" w:color="auto"/>
              <w:bottom w:val="single" w:sz="4" w:space="0" w:color="auto"/>
            </w:tcBorders>
            <w:shd w:val="clear" w:color="auto" w:fill="auto"/>
            <w:vAlign w:val="bottom"/>
          </w:tcPr>
          <w:p w14:paraId="26872CF2" w14:textId="77777777" w:rsidR="00F9176A" w:rsidRPr="00F9176A" w:rsidRDefault="00F9176A" w:rsidP="00F9176A">
            <w:pPr>
              <w:pStyle w:val="Tabletext"/>
            </w:pPr>
            <w:r w:rsidRPr="00F9176A">
              <w:t>22</w:t>
            </w:r>
            <w:r w:rsidR="00D7157D">
              <w:t>.</w:t>
            </w:r>
            <w:r w:rsidRPr="00F9176A">
              <w:t>7288</w:t>
            </w:r>
          </w:p>
        </w:tc>
        <w:tc>
          <w:tcPr>
            <w:tcW w:w="909" w:type="pct"/>
            <w:tcBorders>
              <w:top w:val="single" w:sz="4" w:space="0" w:color="auto"/>
              <w:bottom w:val="single" w:sz="4" w:space="0" w:color="auto"/>
            </w:tcBorders>
            <w:shd w:val="clear" w:color="auto" w:fill="auto"/>
            <w:vAlign w:val="bottom"/>
          </w:tcPr>
          <w:p w14:paraId="2AD40347" w14:textId="77777777" w:rsidR="00F9176A" w:rsidRPr="00F9176A" w:rsidRDefault="00F9176A" w:rsidP="00F9176A">
            <w:pPr>
              <w:pStyle w:val="Tabletext"/>
            </w:pPr>
            <w:r w:rsidRPr="00F9176A">
              <w:t>3</w:t>
            </w:r>
            <w:r w:rsidR="00D7157D">
              <w:t>.</w:t>
            </w:r>
            <w:r w:rsidRPr="00F9176A">
              <w:t>6895</w:t>
            </w:r>
          </w:p>
        </w:tc>
        <w:tc>
          <w:tcPr>
            <w:tcW w:w="909" w:type="pct"/>
            <w:tcBorders>
              <w:top w:val="single" w:sz="4" w:space="0" w:color="auto"/>
              <w:bottom w:val="single" w:sz="4" w:space="0" w:color="auto"/>
            </w:tcBorders>
            <w:shd w:val="clear" w:color="auto" w:fill="auto"/>
            <w:vAlign w:val="bottom"/>
          </w:tcPr>
          <w:p w14:paraId="228E7996" w14:textId="77777777" w:rsidR="00F9176A" w:rsidRPr="00F9176A" w:rsidRDefault="00F9176A" w:rsidP="00F9176A">
            <w:pPr>
              <w:pStyle w:val="Tabletext"/>
            </w:pPr>
            <w:r w:rsidRPr="00F9176A">
              <w:t>24</w:t>
            </w:r>
            <w:r w:rsidR="00D7157D">
              <w:t>.</w:t>
            </w:r>
            <w:r w:rsidRPr="00F9176A">
              <w:t>3770</w:t>
            </w:r>
          </w:p>
        </w:tc>
        <w:tc>
          <w:tcPr>
            <w:tcW w:w="908" w:type="pct"/>
            <w:tcBorders>
              <w:top w:val="single" w:sz="4" w:space="0" w:color="auto"/>
              <w:bottom w:val="single" w:sz="4" w:space="0" w:color="auto"/>
              <w:right w:val="nil"/>
            </w:tcBorders>
            <w:shd w:val="clear" w:color="auto" w:fill="auto"/>
            <w:vAlign w:val="bottom"/>
          </w:tcPr>
          <w:p w14:paraId="4EDB2B36" w14:textId="77777777" w:rsidR="00F9176A" w:rsidRPr="00F9176A" w:rsidRDefault="00F9176A" w:rsidP="00F9176A">
            <w:pPr>
              <w:pStyle w:val="Tabletext"/>
            </w:pPr>
            <w:r w:rsidRPr="00F9176A">
              <w:t>1</w:t>
            </w:r>
            <w:r w:rsidR="00D7157D">
              <w:t>.</w:t>
            </w:r>
            <w:r w:rsidRPr="00F9176A">
              <w:t>5149</w:t>
            </w:r>
          </w:p>
        </w:tc>
      </w:tr>
      <w:tr w:rsidR="00F9176A" w:rsidRPr="00F9176A" w14:paraId="54B74B2E" w14:textId="77777777" w:rsidTr="00A11447">
        <w:trPr>
          <w:cantSplit/>
        </w:trPr>
        <w:tc>
          <w:tcPr>
            <w:tcW w:w="1365" w:type="pct"/>
            <w:tcBorders>
              <w:top w:val="single" w:sz="4" w:space="0" w:color="auto"/>
              <w:bottom w:val="single" w:sz="4" w:space="0" w:color="auto"/>
            </w:tcBorders>
          </w:tcPr>
          <w:p w14:paraId="59FD9990" w14:textId="77777777" w:rsidR="00F9176A" w:rsidRPr="00F9176A" w:rsidRDefault="00F9176A" w:rsidP="00F9176A">
            <w:pPr>
              <w:pStyle w:val="Tabletext"/>
            </w:pPr>
            <w:r w:rsidRPr="00F9176A">
              <w:t>45</w:t>
            </w:r>
          </w:p>
        </w:tc>
        <w:tc>
          <w:tcPr>
            <w:tcW w:w="909" w:type="pct"/>
            <w:tcBorders>
              <w:top w:val="single" w:sz="4" w:space="0" w:color="auto"/>
              <w:bottom w:val="single" w:sz="4" w:space="0" w:color="auto"/>
            </w:tcBorders>
            <w:shd w:val="clear" w:color="auto" w:fill="auto"/>
            <w:vAlign w:val="bottom"/>
          </w:tcPr>
          <w:p w14:paraId="70F920BF" w14:textId="77777777" w:rsidR="00F9176A" w:rsidRPr="00F9176A" w:rsidRDefault="00F9176A" w:rsidP="00F9176A">
            <w:pPr>
              <w:pStyle w:val="Tabletext"/>
            </w:pPr>
            <w:r w:rsidRPr="00F9176A">
              <w:t>22</w:t>
            </w:r>
            <w:r w:rsidR="00D7157D">
              <w:t>.</w:t>
            </w:r>
            <w:r w:rsidRPr="00F9176A">
              <w:t>3506</w:t>
            </w:r>
          </w:p>
        </w:tc>
        <w:tc>
          <w:tcPr>
            <w:tcW w:w="909" w:type="pct"/>
            <w:tcBorders>
              <w:top w:val="single" w:sz="4" w:space="0" w:color="auto"/>
              <w:bottom w:val="single" w:sz="4" w:space="0" w:color="auto"/>
            </w:tcBorders>
            <w:shd w:val="clear" w:color="auto" w:fill="auto"/>
            <w:vAlign w:val="bottom"/>
          </w:tcPr>
          <w:p w14:paraId="206A2DC2" w14:textId="77777777" w:rsidR="00F9176A" w:rsidRPr="00F9176A" w:rsidRDefault="00F9176A" w:rsidP="00F9176A">
            <w:pPr>
              <w:pStyle w:val="Tabletext"/>
            </w:pPr>
            <w:r w:rsidRPr="00F9176A">
              <w:t>3</w:t>
            </w:r>
            <w:r w:rsidR="00D7157D">
              <w:t>.</w:t>
            </w:r>
            <w:r w:rsidRPr="00F9176A">
              <w:t>5873</w:t>
            </w:r>
          </w:p>
        </w:tc>
        <w:tc>
          <w:tcPr>
            <w:tcW w:w="909" w:type="pct"/>
            <w:tcBorders>
              <w:top w:val="single" w:sz="4" w:space="0" w:color="auto"/>
              <w:bottom w:val="single" w:sz="4" w:space="0" w:color="auto"/>
            </w:tcBorders>
            <w:shd w:val="clear" w:color="auto" w:fill="auto"/>
            <w:vAlign w:val="bottom"/>
          </w:tcPr>
          <w:p w14:paraId="246A3462" w14:textId="77777777" w:rsidR="00F9176A" w:rsidRPr="00F9176A" w:rsidRDefault="00F9176A" w:rsidP="00F9176A">
            <w:pPr>
              <w:pStyle w:val="Tabletext"/>
            </w:pPr>
            <w:r w:rsidRPr="00F9176A">
              <w:t>24</w:t>
            </w:r>
            <w:r w:rsidR="00D7157D">
              <w:t>.</w:t>
            </w:r>
            <w:r w:rsidRPr="00F9176A">
              <w:t>0105</w:t>
            </w:r>
          </w:p>
        </w:tc>
        <w:tc>
          <w:tcPr>
            <w:tcW w:w="908" w:type="pct"/>
            <w:tcBorders>
              <w:top w:val="single" w:sz="4" w:space="0" w:color="auto"/>
              <w:bottom w:val="single" w:sz="4" w:space="0" w:color="auto"/>
              <w:right w:val="nil"/>
            </w:tcBorders>
            <w:shd w:val="clear" w:color="auto" w:fill="auto"/>
            <w:vAlign w:val="bottom"/>
          </w:tcPr>
          <w:p w14:paraId="19686354" w14:textId="77777777" w:rsidR="00F9176A" w:rsidRPr="00F9176A" w:rsidRDefault="00F9176A" w:rsidP="00F9176A">
            <w:pPr>
              <w:pStyle w:val="Tabletext"/>
            </w:pPr>
            <w:r w:rsidRPr="00F9176A">
              <w:t>1</w:t>
            </w:r>
            <w:r w:rsidR="00D7157D">
              <w:t>.</w:t>
            </w:r>
            <w:r w:rsidRPr="00F9176A">
              <w:t>4085</w:t>
            </w:r>
          </w:p>
        </w:tc>
      </w:tr>
      <w:tr w:rsidR="00F9176A" w:rsidRPr="00F9176A" w14:paraId="6582D634" w14:textId="77777777" w:rsidTr="00A11447">
        <w:trPr>
          <w:cantSplit/>
        </w:trPr>
        <w:tc>
          <w:tcPr>
            <w:tcW w:w="1365" w:type="pct"/>
            <w:tcBorders>
              <w:top w:val="single" w:sz="4" w:space="0" w:color="auto"/>
              <w:bottom w:val="single" w:sz="4" w:space="0" w:color="auto"/>
            </w:tcBorders>
          </w:tcPr>
          <w:p w14:paraId="16CC105C" w14:textId="77777777" w:rsidR="00F9176A" w:rsidRPr="00F9176A" w:rsidRDefault="00F9176A" w:rsidP="00F9176A">
            <w:pPr>
              <w:pStyle w:val="Tabletext"/>
            </w:pPr>
            <w:r w:rsidRPr="00F9176A">
              <w:t>46</w:t>
            </w:r>
          </w:p>
        </w:tc>
        <w:tc>
          <w:tcPr>
            <w:tcW w:w="909" w:type="pct"/>
            <w:tcBorders>
              <w:top w:val="single" w:sz="4" w:space="0" w:color="auto"/>
              <w:bottom w:val="single" w:sz="4" w:space="0" w:color="auto"/>
            </w:tcBorders>
            <w:shd w:val="clear" w:color="auto" w:fill="auto"/>
            <w:vAlign w:val="bottom"/>
          </w:tcPr>
          <w:p w14:paraId="2D9C5B6F" w14:textId="77777777" w:rsidR="00F9176A" w:rsidRPr="00F9176A" w:rsidRDefault="00F9176A" w:rsidP="00F9176A">
            <w:pPr>
              <w:pStyle w:val="Tabletext"/>
            </w:pPr>
            <w:r w:rsidRPr="00F9176A">
              <w:t>21</w:t>
            </w:r>
            <w:r w:rsidR="00D7157D">
              <w:t>.</w:t>
            </w:r>
            <w:r w:rsidRPr="00F9176A">
              <w:t>9662</w:t>
            </w:r>
          </w:p>
        </w:tc>
        <w:tc>
          <w:tcPr>
            <w:tcW w:w="909" w:type="pct"/>
            <w:tcBorders>
              <w:top w:val="single" w:sz="4" w:space="0" w:color="auto"/>
              <w:bottom w:val="single" w:sz="4" w:space="0" w:color="auto"/>
            </w:tcBorders>
            <w:shd w:val="clear" w:color="auto" w:fill="auto"/>
            <w:vAlign w:val="bottom"/>
          </w:tcPr>
          <w:p w14:paraId="626C8C23" w14:textId="77777777" w:rsidR="00F9176A" w:rsidRPr="00F9176A" w:rsidRDefault="00F9176A" w:rsidP="00F9176A">
            <w:pPr>
              <w:pStyle w:val="Tabletext"/>
            </w:pPr>
            <w:r w:rsidRPr="00F9176A">
              <w:t>3</w:t>
            </w:r>
            <w:r w:rsidR="00D7157D">
              <w:t>.</w:t>
            </w:r>
            <w:r w:rsidRPr="00F9176A">
              <w:t>4813</w:t>
            </w:r>
          </w:p>
        </w:tc>
        <w:tc>
          <w:tcPr>
            <w:tcW w:w="909" w:type="pct"/>
            <w:tcBorders>
              <w:top w:val="single" w:sz="4" w:space="0" w:color="auto"/>
              <w:bottom w:val="single" w:sz="4" w:space="0" w:color="auto"/>
            </w:tcBorders>
            <w:shd w:val="clear" w:color="auto" w:fill="auto"/>
            <w:vAlign w:val="bottom"/>
          </w:tcPr>
          <w:p w14:paraId="7948FA3F" w14:textId="77777777" w:rsidR="00F9176A" w:rsidRPr="00F9176A" w:rsidRDefault="00F9176A" w:rsidP="00F9176A">
            <w:pPr>
              <w:pStyle w:val="Tabletext"/>
            </w:pPr>
            <w:r w:rsidRPr="00F9176A">
              <w:t>23</w:t>
            </w:r>
            <w:r w:rsidR="00D7157D">
              <w:t>.</w:t>
            </w:r>
            <w:r w:rsidRPr="00F9176A">
              <w:t>6372</w:t>
            </w:r>
          </w:p>
        </w:tc>
        <w:tc>
          <w:tcPr>
            <w:tcW w:w="908" w:type="pct"/>
            <w:tcBorders>
              <w:top w:val="single" w:sz="4" w:space="0" w:color="auto"/>
              <w:bottom w:val="single" w:sz="4" w:space="0" w:color="auto"/>
              <w:right w:val="nil"/>
            </w:tcBorders>
            <w:shd w:val="clear" w:color="auto" w:fill="auto"/>
            <w:vAlign w:val="bottom"/>
          </w:tcPr>
          <w:p w14:paraId="7FB5336D" w14:textId="77777777" w:rsidR="00F9176A" w:rsidRPr="00F9176A" w:rsidRDefault="00F9176A" w:rsidP="00F9176A">
            <w:pPr>
              <w:pStyle w:val="Tabletext"/>
            </w:pPr>
            <w:r w:rsidRPr="00F9176A">
              <w:t>1</w:t>
            </w:r>
            <w:r w:rsidR="00D7157D">
              <w:t>.</w:t>
            </w:r>
            <w:r w:rsidRPr="00F9176A">
              <w:t>2996</w:t>
            </w:r>
          </w:p>
        </w:tc>
      </w:tr>
      <w:tr w:rsidR="00F9176A" w:rsidRPr="00F9176A" w14:paraId="630FA757" w14:textId="77777777" w:rsidTr="00A11447">
        <w:trPr>
          <w:cantSplit/>
        </w:trPr>
        <w:tc>
          <w:tcPr>
            <w:tcW w:w="1365" w:type="pct"/>
            <w:tcBorders>
              <w:top w:val="single" w:sz="4" w:space="0" w:color="auto"/>
              <w:bottom w:val="single" w:sz="4" w:space="0" w:color="auto"/>
            </w:tcBorders>
          </w:tcPr>
          <w:p w14:paraId="67608199" w14:textId="77777777" w:rsidR="00F9176A" w:rsidRPr="00F9176A" w:rsidRDefault="00F9176A" w:rsidP="00F9176A">
            <w:pPr>
              <w:pStyle w:val="Tabletext"/>
            </w:pPr>
            <w:r w:rsidRPr="00F9176A">
              <w:t>47</w:t>
            </w:r>
          </w:p>
        </w:tc>
        <w:tc>
          <w:tcPr>
            <w:tcW w:w="909" w:type="pct"/>
            <w:tcBorders>
              <w:top w:val="single" w:sz="4" w:space="0" w:color="auto"/>
              <w:bottom w:val="single" w:sz="4" w:space="0" w:color="auto"/>
            </w:tcBorders>
            <w:shd w:val="clear" w:color="auto" w:fill="auto"/>
            <w:vAlign w:val="bottom"/>
          </w:tcPr>
          <w:p w14:paraId="7C58BC52" w14:textId="77777777" w:rsidR="00F9176A" w:rsidRPr="00F9176A" w:rsidRDefault="00F9176A" w:rsidP="00F9176A">
            <w:pPr>
              <w:pStyle w:val="Tabletext"/>
            </w:pPr>
            <w:r w:rsidRPr="00F9176A">
              <w:t>21</w:t>
            </w:r>
            <w:r w:rsidR="00D7157D">
              <w:t>.</w:t>
            </w:r>
            <w:r w:rsidRPr="00F9176A">
              <w:t>5755</w:t>
            </w:r>
          </w:p>
        </w:tc>
        <w:tc>
          <w:tcPr>
            <w:tcW w:w="909" w:type="pct"/>
            <w:tcBorders>
              <w:top w:val="single" w:sz="4" w:space="0" w:color="auto"/>
              <w:bottom w:val="single" w:sz="4" w:space="0" w:color="auto"/>
            </w:tcBorders>
            <w:shd w:val="clear" w:color="auto" w:fill="auto"/>
            <w:vAlign w:val="bottom"/>
          </w:tcPr>
          <w:p w14:paraId="733D8BA6" w14:textId="77777777" w:rsidR="00F9176A" w:rsidRPr="00F9176A" w:rsidRDefault="00F9176A" w:rsidP="00F9176A">
            <w:pPr>
              <w:pStyle w:val="Tabletext"/>
            </w:pPr>
            <w:r w:rsidRPr="00F9176A">
              <w:t>3</w:t>
            </w:r>
            <w:r w:rsidR="00D7157D">
              <w:t>.</w:t>
            </w:r>
            <w:r w:rsidRPr="00F9176A">
              <w:t>3718</w:t>
            </w:r>
          </w:p>
        </w:tc>
        <w:tc>
          <w:tcPr>
            <w:tcW w:w="909" w:type="pct"/>
            <w:tcBorders>
              <w:top w:val="single" w:sz="4" w:space="0" w:color="auto"/>
              <w:bottom w:val="single" w:sz="4" w:space="0" w:color="auto"/>
            </w:tcBorders>
            <w:shd w:val="clear" w:color="auto" w:fill="auto"/>
            <w:vAlign w:val="bottom"/>
          </w:tcPr>
          <w:p w14:paraId="1B2354DF" w14:textId="77777777" w:rsidR="00F9176A" w:rsidRPr="00F9176A" w:rsidRDefault="00F9176A" w:rsidP="00F9176A">
            <w:pPr>
              <w:pStyle w:val="Tabletext"/>
            </w:pPr>
            <w:r w:rsidRPr="00F9176A">
              <w:t>23</w:t>
            </w:r>
            <w:r w:rsidR="00D7157D">
              <w:t>.</w:t>
            </w:r>
            <w:r w:rsidRPr="00F9176A">
              <w:t>2570</w:t>
            </w:r>
          </w:p>
        </w:tc>
        <w:tc>
          <w:tcPr>
            <w:tcW w:w="908" w:type="pct"/>
            <w:tcBorders>
              <w:top w:val="single" w:sz="4" w:space="0" w:color="auto"/>
              <w:bottom w:val="single" w:sz="4" w:space="0" w:color="auto"/>
              <w:right w:val="nil"/>
            </w:tcBorders>
            <w:shd w:val="clear" w:color="auto" w:fill="auto"/>
            <w:vAlign w:val="bottom"/>
          </w:tcPr>
          <w:p w14:paraId="357BA257" w14:textId="77777777" w:rsidR="00F9176A" w:rsidRPr="00F9176A" w:rsidRDefault="00F9176A" w:rsidP="00F9176A">
            <w:pPr>
              <w:pStyle w:val="Tabletext"/>
            </w:pPr>
            <w:r w:rsidRPr="00F9176A">
              <w:t>1</w:t>
            </w:r>
            <w:r w:rsidR="00D7157D">
              <w:t>.</w:t>
            </w:r>
            <w:r w:rsidRPr="00F9176A">
              <w:t>1882</w:t>
            </w:r>
          </w:p>
        </w:tc>
      </w:tr>
      <w:tr w:rsidR="00F9176A" w:rsidRPr="00F9176A" w14:paraId="1199BAD1" w14:textId="77777777" w:rsidTr="00A11447">
        <w:trPr>
          <w:cantSplit/>
        </w:trPr>
        <w:tc>
          <w:tcPr>
            <w:tcW w:w="1365" w:type="pct"/>
            <w:tcBorders>
              <w:top w:val="single" w:sz="4" w:space="0" w:color="auto"/>
              <w:bottom w:val="single" w:sz="4" w:space="0" w:color="auto"/>
            </w:tcBorders>
          </w:tcPr>
          <w:p w14:paraId="6A93963C" w14:textId="77777777" w:rsidR="00F9176A" w:rsidRPr="00F9176A" w:rsidRDefault="00F9176A" w:rsidP="00F9176A">
            <w:pPr>
              <w:pStyle w:val="Tabletext"/>
            </w:pPr>
            <w:r w:rsidRPr="00F9176A">
              <w:t>48</w:t>
            </w:r>
          </w:p>
        </w:tc>
        <w:tc>
          <w:tcPr>
            <w:tcW w:w="909" w:type="pct"/>
            <w:tcBorders>
              <w:top w:val="single" w:sz="4" w:space="0" w:color="auto"/>
              <w:bottom w:val="single" w:sz="4" w:space="0" w:color="auto"/>
            </w:tcBorders>
            <w:shd w:val="clear" w:color="auto" w:fill="auto"/>
            <w:vAlign w:val="bottom"/>
          </w:tcPr>
          <w:p w14:paraId="3AF76FA3" w14:textId="77777777" w:rsidR="00F9176A" w:rsidRPr="00F9176A" w:rsidRDefault="00F9176A" w:rsidP="00F9176A">
            <w:pPr>
              <w:pStyle w:val="Tabletext"/>
            </w:pPr>
            <w:r w:rsidRPr="00F9176A">
              <w:t>21</w:t>
            </w:r>
            <w:r w:rsidR="00D7157D">
              <w:t>.</w:t>
            </w:r>
            <w:r w:rsidRPr="00F9176A">
              <w:t>1788</w:t>
            </w:r>
          </w:p>
        </w:tc>
        <w:tc>
          <w:tcPr>
            <w:tcW w:w="909" w:type="pct"/>
            <w:tcBorders>
              <w:top w:val="single" w:sz="4" w:space="0" w:color="auto"/>
              <w:bottom w:val="single" w:sz="4" w:space="0" w:color="auto"/>
            </w:tcBorders>
            <w:shd w:val="clear" w:color="auto" w:fill="auto"/>
            <w:vAlign w:val="bottom"/>
          </w:tcPr>
          <w:p w14:paraId="41829303" w14:textId="77777777" w:rsidR="00F9176A" w:rsidRPr="00F9176A" w:rsidRDefault="00F9176A" w:rsidP="00F9176A">
            <w:pPr>
              <w:pStyle w:val="Tabletext"/>
            </w:pPr>
            <w:r w:rsidRPr="00F9176A">
              <w:t>3</w:t>
            </w:r>
            <w:r w:rsidR="00D7157D">
              <w:t>.</w:t>
            </w:r>
            <w:r w:rsidRPr="00F9176A">
              <w:t>2585</w:t>
            </w:r>
          </w:p>
        </w:tc>
        <w:tc>
          <w:tcPr>
            <w:tcW w:w="909" w:type="pct"/>
            <w:tcBorders>
              <w:top w:val="single" w:sz="4" w:space="0" w:color="auto"/>
              <w:bottom w:val="single" w:sz="4" w:space="0" w:color="auto"/>
            </w:tcBorders>
            <w:shd w:val="clear" w:color="auto" w:fill="auto"/>
            <w:vAlign w:val="bottom"/>
          </w:tcPr>
          <w:p w14:paraId="494EA8EA" w14:textId="77777777" w:rsidR="00F9176A" w:rsidRPr="00F9176A" w:rsidRDefault="00F9176A" w:rsidP="00F9176A">
            <w:pPr>
              <w:pStyle w:val="Tabletext"/>
            </w:pPr>
            <w:r w:rsidRPr="00F9176A">
              <w:t>22</w:t>
            </w:r>
            <w:r w:rsidR="00D7157D">
              <w:t>.</w:t>
            </w:r>
            <w:r w:rsidRPr="00F9176A">
              <w:t>8698</w:t>
            </w:r>
          </w:p>
        </w:tc>
        <w:tc>
          <w:tcPr>
            <w:tcW w:w="908" w:type="pct"/>
            <w:tcBorders>
              <w:top w:val="single" w:sz="4" w:space="0" w:color="auto"/>
              <w:bottom w:val="single" w:sz="4" w:space="0" w:color="auto"/>
              <w:right w:val="nil"/>
            </w:tcBorders>
            <w:shd w:val="clear" w:color="auto" w:fill="auto"/>
            <w:vAlign w:val="bottom"/>
          </w:tcPr>
          <w:p w14:paraId="69B2F624" w14:textId="77777777" w:rsidR="00F9176A" w:rsidRPr="00F9176A" w:rsidRDefault="00F9176A" w:rsidP="00F9176A">
            <w:pPr>
              <w:pStyle w:val="Tabletext"/>
            </w:pPr>
            <w:r w:rsidRPr="00F9176A">
              <w:t>1</w:t>
            </w:r>
            <w:r w:rsidR="00D7157D">
              <w:t>.</w:t>
            </w:r>
            <w:r w:rsidRPr="00F9176A">
              <w:t>0743</w:t>
            </w:r>
          </w:p>
        </w:tc>
      </w:tr>
      <w:tr w:rsidR="00F9176A" w:rsidRPr="00F9176A" w14:paraId="52C0C8D3" w14:textId="77777777" w:rsidTr="00A11447">
        <w:trPr>
          <w:cantSplit/>
        </w:trPr>
        <w:tc>
          <w:tcPr>
            <w:tcW w:w="1365" w:type="pct"/>
            <w:tcBorders>
              <w:top w:val="single" w:sz="4" w:space="0" w:color="auto"/>
              <w:bottom w:val="single" w:sz="4" w:space="0" w:color="auto"/>
            </w:tcBorders>
          </w:tcPr>
          <w:p w14:paraId="51A0A171" w14:textId="77777777" w:rsidR="00F9176A" w:rsidRPr="00F9176A" w:rsidRDefault="00F9176A" w:rsidP="00F9176A">
            <w:pPr>
              <w:pStyle w:val="Tabletext"/>
            </w:pPr>
            <w:r w:rsidRPr="00F9176A">
              <w:t>49</w:t>
            </w:r>
          </w:p>
        </w:tc>
        <w:tc>
          <w:tcPr>
            <w:tcW w:w="909" w:type="pct"/>
            <w:tcBorders>
              <w:top w:val="single" w:sz="4" w:space="0" w:color="auto"/>
              <w:bottom w:val="single" w:sz="4" w:space="0" w:color="auto"/>
            </w:tcBorders>
            <w:shd w:val="clear" w:color="auto" w:fill="auto"/>
            <w:vAlign w:val="bottom"/>
          </w:tcPr>
          <w:p w14:paraId="1A5E4AC3" w14:textId="77777777" w:rsidR="00F9176A" w:rsidRPr="00F9176A" w:rsidRDefault="00F9176A" w:rsidP="00F9176A">
            <w:pPr>
              <w:pStyle w:val="Tabletext"/>
            </w:pPr>
            <w:r w:rsidRPr="00F9176A">
              <w:t>20</w:t>
            </w:r>
            <w:r w:rsidR="00D7157D">
              <w:t>.</w:t>
            </w:r>
            <w:r w:rsidRPr="00F9176A">
              <w:t>7759</w:t>
            </w:r>
          </w:p>
        </w:tc>
        <w:tc>
          <w:tcPr>
            <w:tcW w:w="909" w:type="pct"/>
            <w:tcBorders>
              <w:top w:val="single" w:sz="4" w:space="0" w:color="auto"/>
              <w:bottom w:val="single" w:sz="4" w:space="0" w:color="auto"/>
            </w:tcBorders>
            <w:shd w:val="clear" w:color="auto" w:fill="auto"/>
            <w:vAlign w:val="bottom"/>
          </w:tcPr>
          <w:p w14:paraId="2E66E518" w14:textId="77777777" w:rsidR="00F9176A" w:rsidRPr="00F9176A" w:rsidRDefault="00F9176A" w:rsidP="00F9176A">
            <w:pPr>
              <w:pStyle w:val="Tabletext"/>
            </w:pPr>
            <w:r w:rsidRPr="00F9176A">
              <w:t>3</w:t>
            </w:r>
            <w:r w:rsidR="00D7157D">
              <w:t>.</w:t>
            </w:r>
            <w:r w:rsidRPr="00F9176A">
              <w:t>1415</w:t>
            </w:r>
          </w:p>
        </w:tc>
        <w:tc>
          <w:tcPr>
            <w:tcW w:w="909" w:type="pct"/>
            <w:tcBorders>
              <w:top w:val="single" w:sz="4" w:space="0" w:color="auto"/>
              <w:bottom w:val="single" w:sz="4" w:space="0" w:color="auto"/>
            </w:tcBorders>
            <w:shd w:val="clear" w:color="auto" w:fill="auto"/>
            <w:vAlign w:val="bottom"/>
          </w:tcPr>
          <w:p w14:paraId="3C6FA3C8" w14:textId="77777777" w:rsidR="00F9176A" w:rsidRPr="00F9176A" w:rsidRDefault="00F9176A" w:rsidP="00F9176A">
            <w:pPr>
              <w:pStyle w:val="Tabletext"/>
            </w:pPr>
            <w:r w:rsidRPr="00F9176A">
              <w:t>22</w:t>
            </w:r>
            <w:r w:rsidR="00D7157D">
              <w:t>.</w:t>
            </w:r>
            <w:r w:rsidRPr="00F9176A">
              <w:t>4758</w:t>
            </w:r>
          </w:p>
        </w:tc>
        <w:tc>
          <w:tcPr>
            <w:tcW w:w="908" w:type="pct"/>
            <w:tcBorders>
              <w:top w:val="single" w:sz="4" w:space="0" w:color="auto"/>
              <w:bottom w:val="single" w:sz="4" w:space="0" w:color="auto"/>
              <w:right w:val="nil"/>
            </w:tcBorders>
            <w:shd w:val="clear" w:color="auto" w:fill="auto"/>
            <w:vAlign w:val="bottom"/>
          </w:tcPr>
          <w:p w14:paraId="21EB163C" w14:textId="77777777" w:rsidR="00F9176A" w:rsidRPr="00F9176A" w:rsidRDefault="00F9176A" w:rsidP="00F9176A">
            <w:pPr>
              <w:pStyle w:val="Tabletext"/>
            </w:pPr>
            <w:r w:rsidRPr="00F9176A">
              <w:t>0</w:t>
            </w:r>
            <w:r w:rsidR="00D7157D">
              <w:t>.</w:t>
            </w:r>
            <w:r w:rsidRPr="00F9176A">
              <w:t>9581</w:t>
            </w:r>
          </w:p>
        </w:tc>
      </w:tr>
      <w:tr w:rsidR="00F9176A" w:rsidRPr="00F9176A" w14:paraId="190EFAC1" w14:textId="77777777" w:rsidTr="00A11447">
        <w:trPr>
          <w:cantSplit/>
        </w:trPr>
        <w:tc>
          <w:tcPr>
            <w:tcW w:w="1365" w:type="pct"/>
            <w:tcBorders>
              <w:top w:val="single" w:sz="4" w:space="0" w:color="auto"/>
              <w:bottom w:val="single" w:sz="4" w:space="0" w:color="auto"/>
            </w:tcBorders>
          </w:tcPr>
          <w:p w14:paraId="48E51600" w14:textId="77777777" w:rsidR="00F9176A" w:rsidRPr="00F9176A" w:rsidRDefault="00F9176A" w:rsidP="00F9176A">
            <w:pPr>
              <w:pStyle w:val="Tabletext"/>
            </w:pPr>
            <w:r w:rsidRPr="00F9176A">
              <w:t>50</w:t>
            </w:r>
          </w:p>
        </w:tc>
        <w:tc>
          <w:tcPr>
            <w:tcW w:w="909" w:type="pct"/>
            <w:tcBorders>
              <w:top w:val="single" w:sz="4" w:space="0" w:color="auto"/>
              <w:bottom w:val="single" w:sz="4" w:space="0" w:color="auto"/>
            </w:tcBorders>
            <w:shd w:val="clear" w:color="auto" w:fill="auto"/>
            <w:vAlign w:val="bottom"/>
          </w:tcPr>
          <w:p w14:paraId="1789E58E" w14:textId="77777777" w:rsidR="00F9176A" w:rsidRPr="00F9176A" w:rsidRDefault="00F9176A" w:rsidP="00F9176A">
            <w:pPr>
              <w:pStyle w:val="Tabletext"/>
            </w:pPr>
            <w:r w:rsidRPr="00F9176A">
              <w:t>20</w:t>
            </w:r>
            <w:r w:rsidR="00D7157D">
              <w:t>.</w:t>
            </w:r>
            <w:r w:rsidRPr="00F9176A">
              <w:t>3671</w:t>
            </w:r>
          </w:p>
        </w:tc>
        <w:tc>
          <w:tcPr>
            <w:tcW w:w="909" w:type="pct"/>
            <w:tcBorders>
              <w:top w:val="single" w:sz="4" w:space="0" w:color="auto"/>
              <w:bottom w:val="single" w:sz="4" w:space="0" w:color="auto"/>
            </w:tcBorders>
            <w:shd w:val="clear" w:color="auto" w:fill="auto"/>
            <w:vAlign w:val="bottom"/>
          </w:tcPr>
          <w:p w14:paraId="20382D1D" w14:textId="77777777" w:rsidR="00F9176A" w:rsidRPr="00F9176A" w:rsidRDefault="00F9176A" w:rsidP="00F9176A">
            <w:pPr>
              <w:pStyle w:val="Tabletext"/>
            </w:pPr>
            <w:r w:rsidRPr="00F9176A">
              <w:t>3</w:t>
            </w:r>
            <w:r w:rsidR="00D7157D">
              <w:t>.</w:t>
            </w:r>
            <w:r w:rsidRPr="00F9176A">
              <w:t>0208</w:t>
            </w:r>
          </w:p>
        </w:tc>
        <w:tc>
          <w:tcPr>
            <w:tcW w:w="909" w:type="pct"/>
            <w:tcBorders>
              <w:top w:val="single" w:sz="4" w:space="0" w:color="auto"/>
              <w:bottom w:val="single" w:sz="4" w:space="0" w:color="auto"/>
            </w:tcBorders>
            <w:shd w:val="clear" w:color="auto" w:fill="auto"/>
            <w:vAlign w:val="bottom"/>
          </w:tcPr>
          <w:p w14:paraId="262771AD" w14:textId="77777777" w:rsidR="00F9176A" w:rsidRPr="00F9176A" w:rsidRDefault="00F9176A" w:rsidP="00F9176A">
            <w:pPr>
              <w:pStyle w:val="Tabletext"/>
            </w:pPr>
            <w:r w:rsidRPr="00F9176A">
              <w:t>22</w:t>
            </w:r>
            <w:r w:rsidR="00D7157D">
              <w:t>.</w:t>
            </w:r>
            <w:r w:rsidRPr="00F9176A">
              <w:t>0749</w:t>
            </w:r>
          </w:p>
        </w:tc>
        <w:tc>
          <w:tcPr>
            <w:tcW w:w="908" w:type="pct"/>
            <w:tcBorders>
              <w:top w:val="single" w:sz="4" w:space="0" w:color="auto"/>
              <w:bottom w:val="single" w:sz="4" w:space="0" w:color="auto"/>
              <w:right w:val="nil"/>
            </w:tcBorders>
            <w:shd w:val="clear" w:color="auto" w:fill="auto"/>
            <w:vAlign w:val="bottom"/>
          </w:tcPr>
          <w:p w14:paraId="5240BFE8" w14:textId="77777777" w:rsidR="00F9176A" w:rsidRPr="00F9176A" w:rsidRDefault="00F9176A" w:rsidP="00F9176A">
            <w:pPr>
              <w:pStyle w:val="Tabletext"/>
            </w:pPr>
            <w:r w:rsidRPr="00F9176A">
              <w:t>0</w:t>
            </w:r>
            <w:r w:rsidR="00D7157D">
              <w:t>.</w:t>
            </w:r>
            <w:r w:rsidRPr="00F9176A">
              <w:t>8396</w:t>
            </w:r>
          </w:p>
        </w:tc>
      </w:tr>
      <w:tr w:rsidR="00F9176A" w:rsidRPr="00F9176A" w14:paraId="3A6A8725" w14:textId="77777777" w:rsidTr="00A11447">
        <w:trPr>
          <w:cantSplit/>
        </w:trPr>
        <w:tc>
          <w:tcPr>
            <w:tcW w:w="1365" w:type="pct"/>
            <w:tcBorders>
              <w:top w:val="single" w:sz="4" w:space="0" w:color="auto"/>
              <w:bottom w:val="single" w:sz="4" w:space="0" w:color="auto"/>
            </w:tcBorders>
          </w:tcPr>
          <w:p w14:paraId="6EB67EEC" w14:textId="77777777" w:rsidR="00F9176A" w:rsidRPr="00F9176A" w:rsidRDefault="00F9176A" w:rsidP="00F9176A">
            <w:pPr>
              <w:pStyle w:val="Tabletext"/>
            </w:pPr>
            <w:r w:rsidRPr="00F9176A">
              <w:t>51</w:t>
            </w:r>
          </w:p>
        </w:tc>
        <w:tc>
          <w:tcPr>
            <w:tcW w:w="909" w:type="pct"/>
            <w:tcBorders>
              <w:top w:val="single" w:sz="4" w:space="0" w:color="auto"/>
              <w:bottom w:val="single" w:sz="4" w:space="0" w:color="auto"/>
            </w:tcBorders>
            <w:shd w:val="clear" w:color="auto" w:fill="auto"/>
            <w:vAlign w:val="bottom"/>
          </w:tcPr>
          <w:p w14:paraId="6A302881" w14:textId="77777777" w:rsidR="00F9176A" w:rsidRPr="00F9176A" w:rsidRDefault="00F9176A" w:rsidP="00F9176A">
            <w:pPr>
              <w:pStyle w:val="Tabletext"/>
            </w:pPr>
            <w:r w:rsidRPr="00F9176A">
              <w:t>19</w:t>
            </w:r>
            <w:r w:rsidR="00D7157D">
              <w:t>.</w:t>
            </w:r>
            <w:r w:rsidRPr="00F9176A">
              <w:t>9525</w:t>
            </w:r>
          </w:p>
        </w:tc>
        <w:tc>
          <w:tcPr>
            <w:tcW w:w="909" w:type="pct"/>
            <w:tcBorders>
              <w:top w:val="single" w:sz="4" w:space="0" w:color="auto"/>
              <w:bottom w:val="single" w:sz="4" w:space="0" w:color="auto"/>
            </w:tcBorders>
            <w:shd w:val="clear" w:color="auto" w:fill="auto"/>
            <w:vAlign w:val="bottom"/>
          </w:tcPr>
          <w:p w14:paraId="548ED7F8" w14:textId="77777777" w:rsidR="00F9176A" w:rsidRPr="00F9176A" w:rsidRDefault="00F9176A" w:rsidP="00F9176A">
            <w:pPr>
              <w:pStyle w:val="Tabletext"/>
            </w:pPr>
            <w:r w:rsidRPr="00F9176A">
              <w:t>2</w:t>
            </w:r>
            <w:r w:rsidR="00D7157D">
              <w:t>.</w:t>
            </w:r>
            <w:r w:rsidRPr="00F9176A">
              <w:t>5915</w:t>
            </w:r>
          </w:p>
        </w:tc>
        <w:tc>
          <w:tcPr>
            <w:tcW w:w="909" w:type="pct"/>
            <w:tcBorders>
              <w:top w:val="single" w:sz="4" w:space="0" w:color="auto"/>
              <w:bottom w:val="single" w:sz="4" w:space="0" w:color="auto"/>
            </w:tcBorders>
            <w:shd w:val="clear" w:color="auto" w:fill="auto"/>
            <w:vAlign w:val="bottom"/>
          </w:tcPr>
          <w:p w14:paraId="07002FA5" w14:textId="77777777" w:rsidR="00F9176A" w:rsidRPr="00F9176A" w:rsidRDefault="00F9176A" w:rsidP="00F9176A">
            <w:pPr>
              <w:pStyle w:val="Tabletext"/>
            </w:pPr>
            <w:r w:rsidRPr="00F9176A">
              <w:t>21</w:t>
            </w:r>
            <w:r w:rsidR="00D7157D">
              <w:t>.</w:t>
            </w:r>
            <w:r w:rsidRPr="00F9176A">
              <w:t>6673</w:t>
            </w:r>
          </w:p>
        </w:tc>
        <w:tc>
          <w:tcPr>
            <w:tcW w:w="908" w:type="pct"/>
            <w:tcBorders>
              <w:top w:val="single" w:sz="4" w:space="0" w:color="auto"/>
              <w:bottom w:val="single" w:sz="4" w:space="0" w:color="auto"/>
              <w:right w:val="nil"/>
            </w:tcBorders>
            <w:shd w:val="clear" w:color="auto" w:fill="auto"/>
            <w:vAlign w:val="bottom"/>
          </w:tcPr>
          <w:p w14:paraId="2D308BA8" w14:textId="77777777" w:rsidR="00F9176A" w:rsidRPr="00F9176A" w:rsidRDefault="00F9176A" w:rsidP="00F9176A">
            <w:pPr>
              <w:pStyle w:val="Tabletext"/>
            </w:pPr>
            <w:r w:rsidRPr="00F9176A">
              <w:t>0</w:t>
            </w:r>
            <w:r w:rsidR="00D7157D">
              <w:t>.</w:t>
            </w:r>
            <w:r w:rsidRPr="00F9176A">
              <w:t>7189</w:t>
            </w:r>
          </w:p>
        </w:tc>
      </w:tr>
      <w:tr w:rsidR="00F9176A" w:rsidRPr="00F9176A" w14:paraId="5A3B0DA6" w14:textId="77777777" w:rsidTr="00A11447">
        <w:trPr>
          <w:cantSplit/>
        </w:trPr>
        <w:tc>
          <w:tcPr>
            <w:tcW w:w="1365" w:type="pct"/>
            <w:tcBorders>
              <w:top w:val="single" w:sz="4" w:space="0" w:color="auto"/>
              <w:bottom w:val="single" w:sz="4" w:space="0" w:color="auto"/>
            </w:tcBorders>
          </w:tcPr>
          <w:p w14:paraId="23CF6B7D" w14:textId="77777777" w:rsidR="00F9176A" w:rsidRPr="00F9176A" w:rsidRDefault="00F9176A" w:rsidP="00F9176A">
            <w:pPr>
              <w:pStyle w:val="Tabletext"/>
            </w:pPr>
            <w:r w:rsidRPr="00F9176A">
              <w:t>52</w:t>
            </w:r>
          </w:p>
        </w:tc>
        <w:tc>
          <w:tcPr>
            <w:tcW w:w="909" w:type="pct"/>
            <w:tcBorders>
              <w:top w:val="single" w:sz="4" w:space="0" w:color="auto"/>
              <w:bottom w:val="single" w:sz="4" w:space="0" w:color="auto"/>
            </w:tcBorders>
            <w:shd w:val="clear" w:color="auto" w:fill="auto"/>
            <w:vAlign w:val="bottom"/>
          </w:tcPr>
          <w:p w14:paraId="675B541A" w14:textId="77777777" w:rsidR="00F9176A" w:rsidRPr="00F9176A" w:rsidRDefault="00F9176A" w:rsidP="00F9176A">
            <w:pPr>
              <w:pStyle w:val="Tabletext"/>
            </w:pPr>
            <w:r w:rsidRPr="00F9176A">
              <w:t>19</w:t>
            </w:r>
            <w:r w:rsidR="00D7157D">
              <w:t>.</w:t>
            </w:r>
            <w:r w:rsidRPr="00F9176A">
              <w:t>5323</w:t>
            </w:r>
          </w:p>
        </w:tc>
        <w:tc>
          <w:tcPr>
            <w:tcW w:w="909" w:type="pct"/>
            <w:tcBorders>
              <w:top w:val="single" w:sz="4" w:space="0" w:color="auto"/>
              <w:bottom w:val="single" w:sz="4" w:space="0" w:color="auto"/>
            </w:tcBorders>
            <w:shd w:val="clear" w:color="auto" w:fill="auto"/>
            <w:vAlign w:val="bottom"/>
          </w:tcPr>
          <w:p w14:paraId="35B66467" w14:textId="77777777" w:rsidR="00F9176A" w:rsidRPr="00F9176A" w:rsidRDefault="00F9176A" w:rsidP="00F9176A">
            <w:pPr>
              <w:pStyle w:val="Tabletext"/>
            </w:pPr>
            <w:r w:rsidRPr="00F9176A">
              <w:t>2</w:t>
            </w:r>
            <w:r w:rsidR="00D7157D">
              <w:t>.</w:t>
            </w:r>
            <w:r w:rsidRPr="00F9176A">
              <w:t>1531</w:t>
            </w:r>
          </w:p>
        </w:tc>
        <w:tc>
          <w:tcPr>
            <w:tcW w:w="909" w:type="pct"/>
            <w:tcBorders>
              <w:top w:val="single" w:sz="4" w:space="0" w:color="auto"/>
              <w:bottom w:val="single" w:sz="4" w:space="0" w:color="auto"/>
            </w:tcBorders>
            <w:shd w:val="clear" w:color="auto" w:fill="auto"/>
            <w:vAlign w:val="bottom"/>
          </w:tcPr>
          <w:p w14:paraId="3136A008" w14:textId="77777777" w:rsidR="00F9176A" w:rsidRPr="00F9176A" w:rsidRDefault="00F9176A" w:rsidP="00F9176A">
            <w:pPr>
              <w:pStyle w:val="Tabletext"/>
            </w:pPr>
            <w:r w:rsidRPr="00F9176A">
              <w:t>21</w:t>
            </w:r>
            <w:r w:rsidR="00D7157D">
              <w:t>.</w:t>
            </w:r>
            <w:r w:rsidRPr="00F9176A">
              <w:t>2529</w:t>
            </w:r>
          </w:p>
        </w:tc>
        <w:tc>
          <w:tcPr>
            <w:tcW w:w="908" w:type="pct"/>
            <w:tcBorders>
              <w:top w:val="single" w:sz="4" w:space="0" w:color="auto"/>
              <w:bottom w:val="single" w:sz="4" w:space="0" w:color="auto"/>
              <w:right w:val="nil"/>
            </w:tcBorders>
            <w:shd w:val="clear" w:color="auto" w:fill="auto"/>
            <w:vAlign w:val="bottom"/>
          </w:tcPr>
          <w:p w14:paraId="17A619DE" w14:textId="77777777" w:rsidR="00F9176A" w:rsidRPr="00F9176A" w:rsidRDefault="00F9176A" w:rsidP="00F9176A">
            <w:pPr>
              <w:pStyle w:val="Tabletext"/>
            </w:pPr>
            <w:r w:rsidRPr="00F9176A">
              <w:t>0</w:t>
            </w:r>
            <w:r w:rsidR="00D7157D">
              <w:t>.</w:t>
            </w:r>
            <w:r w:rsidRPr="00F9176A">
              <w:t>5961</w:t>
            </w:r>
          </w:p>
        </w:tc>
      </w:tr>
      <w:tr w:rsidR="00F9176A" w:rsidRPr="00F9176A" w14:paraId="25729187" w14:textId="77777777" w:rsidTr="00A11447">
        <w:trPr>
          <w:cantSplit/>
        </w:trPr>
        <w:tc>
          <w:tcPr>
            <w:tcW w:w="1365" w:type="pct"/>
            <w:tcBorders>
              <w:top w:val="single" w:sz="4" w:space="0" w:color="auto"/>
              <w:bottom w:val="single" w:sz="4" w:space="0" w:color="auto"/>
            </w:tcBorders>
          </w:tcPr>
          <w:p w14:paraId="26877565" w14:textId="77777777" w:rsidR="00F9176A" w:rsidRPr="00F9176A" w:rsidRDefault="00F9176A" w:rsidP="00F9176A">
            <w:pPr>
              <w:pStyle w:val="Tabletext"/>
            </w:pPr>
            <w:r w:rsidRPr="00F9176A">
              <w:t>53</w:t>
            </w:r>
          </w:p>
        </w:tc>
        <w:tc>
          <w:tcPr>
            <w:tcW w:w="909" w:type="pct"/>
            <w:tcBorders>
              <w:top w:val="single" w:sz="4" w:space="0" w:color="auto"/>
              <w:bottom w:val="single" w:sz="4" w:space="0" w:color="auto"/>
            </w:tcBorders>
            <w:shd w:val="clear" w:color="auto" w:fill="auto"/>
            <w:vAlign w:val="bottom"/>
          </w:tcPr>
          <w:p w14:paraId="35AF603C" w14:textId="77777777" w:rsidR="00F9176A" w:rsidRPr="00F9176A" w:rsidRDefault="00F9176A" w:rsidP="00F9176A">
            <w:pPr>
              <w:pStyle w:val="Tabletext"/>
            </w:pPr>
            <w:r w:rsidRPr="00F9176A">
              <w:t>19</w:t>
            </w:r>
            <w:r w:rsidR="00D7157D">
              <w:t>.</w:t>
            </w:r>
            <w:r w:rsidRPr="00F9176A">
              <w:t>1078</w:t>
            </w:r>
          </w:p>
        </w:tc>
        <w:tc>
          <w:tcPr>
            <w:tcW w:w="909" w:type="pct"/>
            <w:tcBorders>
              <w:top w:val="single" w:sz="4" w:space="0" w:color="auto"/>
              <w:bottom w:val="single" w:sz="4" w:space="0" w:color="auto"/>
            </w:tcBorders>
            <w:shd w:val="clear" w:color="auto" w:fill="auto"/>
            <w:vAlign w:val="bottom"/>
          </w:tcPr>
          <w:p w14:paraId="240BAEA6" w14:textId="77777777" w:rsidR="00F9176A" w:rsidRPr="00F9176A" w:rsidRDefault="00F9176A" w:rsidP="00F9176A">
            <w:pPr>
              <w:pStyle w:val="Tabletext"/>
            </w:pPr>
            <w:r w:rsidRPr="00F9176A">
              <w:t>1</w:t>
            </w:r>
            <w:r w:rsidR="00D7157D">
              <w:t>.</w:t>
            </w:r>
            <w:r w:rsidRPr="00F9176A">
              <w:t>7057</w:t>
            </w:r>
          </w:p>
        </w:tc>
        <w:tc>
          <w:tcPr>
            <w:tcW w:w="909" w:type="pct"/>
            <w:tcBorders>
              <w:top w:val="single" w:sz="4" w:space="0" w:color="auto"/>
              <w:bottom w:val="single" w:sz="4" w:space="0" w:color="auto"/>
            </w:tcBorders>
            <w:shd w:val="clear" w:color="auto" w:fill="auto"/>
            <w:vAlign w:val="bottom"/>
          </w:tcPr>
          <w:p w14:paraId="6F37C967" w14:textId="77777777" w:rsidR="00F9176A" w:rsidRPr="00F9176A" w:rsidRDefault="00F9176A" w:rsidP="00F9176A">
            <w:pPr>
              <w:pStyle w:val="Tabletext"/>
            </w:pPr>
            <w:r w:rsidRPr="00F9176A">
              <w:t>20</w:t>
            </w:r>
            <w:r w:rsidR="00D7157D">
              <w:t>.</w:t>
            </w:r>
            <w:r w:rsidRPr="00F9176A">
              <w:t>8325</w:t>
            </w:r>
          </w:p>
        </w:tc>
        <w:tc>
          <w:tcPr>
            <w:tcW w:w="908" w:type="pct"/>
            <w:tcBorders>
              <w:top w:val="single" w:sz="4" w:space="0" w:color="auto"/>
              <w:bottom w:val="single" w:sz="4" w:space="0" w:color="auto"/>
              <w:right w:val="nil"/>
            </w:tcBorders>
            <w:shd w:val="clear" w:color="auto" w:fill="auto"/>
            <w:vAlign w:val="bottom"/>
          </w:tcPr>
          <w:p w14:paraId="4A366FF9" w14:textId="77777777" w:rsidR="00F9176A" w:rsidRPr="00F9176A" w:rsidRDefault="00F9176A" w:rsidP="00F9176A">
            <w:pPr>
              <w:pStyle w:val="Tabletext"/>
            </w:pPr>
            <w:r w:rsidRPr="00F9176A">
              <w:t>0</w:t>
            </w:r>
            <w:r w:rsidR="00D7157D">
              <w:t>.</w:t>
            </w:r>
            <w:r w:rsidRPr="00F9176A">
              <w:t>4713</w:t>
            </w:r>
          </w:p>
        </w:tc>
      </w:tr>
      <w:tr w:rsidR="00F9176A" w:rsidRPr="00F9176A" w14:paraId="522DAE5F" w14:textId="77777777" w:rsidTr="00A11447">
        <w:trPr>
          <w:cantSplit/>
        </w:trPr>
        <w:tc>
          <w:tcPr>
            <w:tcW w:w="1365" w:type="pct"/>
            <w:tcBorders>
              <w:top w:val="single" w:sz="4" w:space="0" w:color="auto"/>
              <w:bottom w:val="single" w:sz="4" w:space="0" w:color="auto"/>
            </w:tcBorders>
          </w:tcPr>
          <w:p w14:paraId="3745BB5D" w14:textId="77777777" w:rsidR="00F9176A" w:rsidRPr="00F9176A" w:rsidRDefault="00F9176A" w:rsidP="00F9176A">
            <w:pPr>
              <w:pStyle w:val="Tabletext"/>
            </w:pPr>
            <w:r w:rsidRPr="00F9176A">
              <w:t>54</w:t>
            </w:r>
          </w:p>
        </w:tc>
        <w:tc>
          <w:tcPr>
            <w:tcW w:w="909" w:type="pct"/>
            <w:tcBorders>
              <w:top w:val="single" w:sz="4" w:space="0" w:color="auto"/>
              <w:bottom w:val="single" w:sz="4" w:space="0" w:color="auto"/>
            </w:tcBorders>
            <w:shd w:val="clear" w:color="auto" w:fill="auto"/>
            <w:vAlign w:val="bottom"/>
          </w:tcPr>
          <w:p w14:paraId="0931B807" w14:textId="77777777" w:rsidR="00F9176A" w:rsidRPr="00F9176A" w:rsidRDefault="00F9176A" w:rsidP="00F9176A">
            <w:pPr>
              <w:pStyle w:val="Tabletext"/>
            </w:pPr>
            <w:r w:rsidRPr="00F9176A">
              <w:t>18</w:t>
            </w:r>
            <w:r w:rsidR="00D7157D">
              <w:t>.</w:t>
            </w:r>
            <w:r w:rsidRPr="00F9176A">
              <w:t>6797</w:t>
            </w:r>
          </w:p>
        </w:tc>
        <w:tc>
          <w:tcPr>
            <w:tcW w:w="909" w:type="pct"/>
            <w:tcBorders>
              <w:top w:val="single" w:sz="4" w:space="0" w:color="auto"/>
              <w:bottom w:val="single" w:sz="4" w:space="0" w:color="auto"/>
            </w:tcBorders>
            <w:shd w:val="clear" w:color="auto" w:fill="auto"/>
            <w:vAlign w:val="bottom"/>
          </w:tcPr>
          <w:p w14:paraId="536DA4D5" w14:textId="77777777" w:rsidR="00F9176A" w:rsidRPr="00F9176A" w:rsidRDefault="00F9176A" w:rsidP="00F9176A">
            <w:pPr>
              <w:pStyle w:val="Tabletext"/>
            </w:pPr>
            <w:r w:rsidRPr="00F9176A">
              <w:t>1</w:t>
            </w:r>
            <w:r w:rsidR="00D7157D">
              <w:t>.</w:t>
            </w:r>
            <w:r w:rsidRPr="00F9176A">
              <w:t>2499</w:t>
            </w:r>
          </w:p>
        </w:tc>
        <w:tc>
          <w:tcPr>
            <w:tcW w:w="909" w:type="pct"/>
            <w:tcBorders>
              <w:top w:val="single" w:sz="4" w:space="0" w:color="auto"/>
              <w:bottom w:val="single" w:sz="4" w:space="0" w:color="auto"/>
            </w:tcBorders>
            <w:shd w:val="clear" w:color="auto" w:fill="auto"/>
            <w:vAlign w:val="bottom"/>
          </w:tcPr>
          <w:p w14:paraId="30595360" w14:textId="77777777" w:rsidR="00F9176A" w:rsidRPr="00F9176A" w:rsidRDefault="00F9176A" w:rsidP="00F9176A">
            <w:pPr>
              <w:pStyle w:val="Tabletext"/>
            </w:pPr>
            <w:r w:rsidRPr="00F9176A">
              <w:t>20</w:t>
            </w:r>
            <w:r w:rsidR="00D7157D">
              <w:t>.</w:t>
            </w:r>
            <w:r w:rsidRPr="00F9176A">
              <w:t>4066</w:t>
            </w:r>
          </w:p>
        </w:tc>
        <w:tc>
          <w:tcPr>
            <w:tcW w:w="908" w:type="pct"/>
            <w:tcBorders>
              <w:top w:val="single" w:sz="4" w:space="0" w:color="auto"/>
              <w:bottom w:val="single" w:sz="4" w:space="0" w:color="auto"/>
              <w:right w:val="nil"/>
            </w:tcBorders>
            <w:shd w:val="clear" w:color="auto" w:fill="auto"/>
            <w:vAlign w:val="bottom"/>
          </w:tcPr>
          <w:p w14:paraId="6DE0551A" w14:textId="77777777" w:rsidR="00F9176A" w:rsidRPr="00F9176A" w:rsidRDefault="00F9176A" w:rsidP="00F9176A">
            <w:pPr>
              <w:pStyle w:val="Tabletext"/>
            </w:pPr>
            <w:r w:rsidRPr="00F9176A">
              <w:t>0</w:t>
            </w:r>
            <w:r w:rsidR="00D7157D">
              <w:t>.</w:t>
            </w:r>
            <w:r w:rsidRPr="00F9176A">
              <w:t>3446</w:t>
            </w:r>
          </w:p>
        </w:tc>
      </w:tr>
      <w:tr w:rsidR="00F9176A" w:rsidRPr="00F9176A" w14:paraId="62135F64" w14:textId="77777777" w:rsidTr="00A11447">
        <w:trPr>
          <w:cantSplit/>
        </w:trPr>
        <w:tc>
          <w:tcPr>
            <w:tcW w:w="1365" w:type="pct"/>
            <w:tcBorders>
              <w:top w:val="single" w:sz="4" w:space="0" w:color="auto"/>
              <w:bottom w:val="single" w:sz="4" w:space="0" w:color="auto"/>
            </w:tcBorders>
          </w:tcPr>
          <w:p w14:paraId="3D8749F4" w14:textId="77777777" w:rsidR="00F9176A" w:rsidRPr="00F9176A" w:rsidRDefault="00F9176A" w:rsidP="00F9176A">
            <w:pPr>
              <w:pStyle w:val="Tabletext"/>
            </w:pPr>
            <w:r w:rsidRPr="00F9176A">
              <w:t>55</w:t>
            </w:r>
          </w:p>
        </w:tc>
        <w:tc>
          <w:tcPr>
            <w:tcW w:w="909" w:type="pct"/>
            <w:tcBorders>
              <w:top w:val="single" w:sz="4" w:space="0" w:color="auto"/>
              <w:bottom w:val="single" w:sz="4" w:space="0" w:color="auto"/>
            </w:tcBorders>
            <w:shd w:val="clear" w:color="auto" w:fill="auto"/>
            <w:vAlign w:val="bottom"/>
          </w:tcPr>
          <w:p w14:paraId="0A2CEE82" w14:textId="77777777" w:rsidR="00F9176A" w:rsidRPr="00F9176A" w:rsidRDefault="00F9176A" w:rsidP="00F9176A">
            <w:pPr>
              <w:pStyle w:val="Tabletext"/>
            </w:pPr>
            <w:r w:rsidRPr="00F9176A">
              <w:t>18</w:t>
            </w:r>
            <w:r w:rsidR="00D7157D">
              <w:t>.</w:t>
            </w:r>
            <w:r w:rsidRPr="00F9176A">
              <w:t>2488</w:t>
            </w:r>
          </w:p>
        </w:tc>
        <w:tc>
          <w:tcPr>
            <w:tcW w:w="909" w:type="pct"/>
            <w:tcBorders>
              <w:top w:val="single" w:sz="4" w:space="0" w:color="auto"/>
              <w:bottom w:val="single" w:sz="4" w:space="0" w:color="auto"/>
            </w:tcBorders>
            <w:shd w:val="clear" w:color="auto" w:fill="auto"/>
            <w:vAlign w:val="bottom"/>
          </w:tcPr>
          <w:p w14:paraId="78C6B509" w14:textId="77777777" w:rsidR="00F9176A" w:rsidRPr="00F9176A" w:rsidRDefault="00F9176A" w:rsidP="00F9176A">
            <w:pPr>
              <w:pStyle w:val="Tabletext"/>
            </w:pPr>
            <w:r w:rsidRPr="00F9176A">
              <w:t>0</w:t>
            </w:r>
            <w:r w:rsidR="00D7157D">
              <w:t>.</w:t>
            </w:r>
            <w:r w:rsidRPr="00F9176A">
              <w:t>7865</w:t>
            </w:r>
          </w:p>
        </w:tc>
        <w:tc>
          <w:tcPr>
            <w:tcW w:w="909" w:type="pct"/>
            <w:tcBorders>
              <w:top w:val="single" w:sz="4" w:space="0" w:color="auto"/>
              <w:bottom w:val="single" w:sz="4" w:space="0" w:color="auto"/>
            </w:tcBorders>
            <w:shd w:val="clear" w:color="auto" w:fill="auto"/>
            <w:vAlign w:val="bottom"/>
          </w:tcPr>
          <w:p w14:paraId="7A1C02DE" w14:textId="77777777" w:rsidR="00F9176A" w:rsidRPr="00F9176A" w:rsidRDefault="00F9176A" w:rsidP="00F9176A">
            <w:pPr>
              <w:pStyle w:val="Tabletext"/>
            </w:pPr>
            <w:r w:rsidRPr="00F9176A">
              <w:t>19</w:t>
            </w:r>
            <w:r w:rsidR="00D7157D">
              <w:t>.</w:t>
            </w:r>
            <w:r w:rsidRPr="00F9176A">
              <w:t>9746</w:t>
            </w:r>
          </w:p>
        </w:tc>
        <w:tc>
          <w:tcPr>
            <w:tcW w:w="908" w:type="pct"/>
            <w:tcBorders>
              <w:top w:val="single" w:sz="4" w:space="0" w:color="auto"/>
              <w:bottom w:val="single" w:sz="4" w:space="0" w:color="auto"/>
              <w:right w:val="nil"/>
            </w:tcBorders>
            <w:shd w:val="clear" w:color="auto" w:fill="auto"/>
            <w:vAlign w:val="bottom"/>
          </w:tcPr>
          <w:p w14:paraId="1FA6EE5E" w14:textId="77777777" w:rsidR="00F9176A" w:rsidRPr="00F9176A" w:rsidRDefault="00F9176A" w:rsidP="00F9176A">
            <w:pPr>
              <w:pStyle w:val="Tabletext"/>
            </w:pPr>
            <w:r w:rsidRPr="00F9176A">
              <w:t>0</w:t>
            </w:r>
            <w:r w:rsidR="00D7157D">
              <w:t>.</w:t>
            </w:r>
            <w:r w:rsidRPr="00F9176A">
              <w:t>2164</w:t>
            </w:r>
          </w:p>
        </w:tc>
      </w:tr>
      <w:tr w:rsidR="00F9176A" w:rsidRPr="00F9176A" w14:paraId="4BE4805C" w14:textId="77777777" w:rsidTr="00A11447">
        <w:trPr>
          <w:cantSplit/>
        </w:trPr>
        <w:tc>
          <w:tcPr>
            <w:tcW w:w="1365" w:type="pct"/>
            <w:tcBorders>
              <w:top w:val="single" w:sz="4" w:space="0" w:color="auto"/>
              <w:bottom w:val="single" w:sz="4" w:space="0" w:color="auto"/>
            </w:tcBorders>
          </w:tcPr>
          <w:p w14:paraId="1C3F77F7" w14:textId="77777777" w:rsidR="00F9176A" w:rsidRPr="00F9176A" w:rsidRDefault="00F9176A" w:rsidP="00F9176A">
            <w:pPr>
              <w:pStyle w:val="Tabletext"/>
            </w:pPr>
            <w:r w:rsidRPr="00F9176A">
              <w:t>56</w:t>
            </w:r>
          </w:p>
        </w:tc>
        <w:tc>
          <w:tcPr>
            <w:tcW w:w="909" w:type="pct"/>
            <w:tcBorders>
              <w:top w:val="single" w:sz="4" w:space="0" w:color="auto"/>
              <w:bottom w:val="single" w:sz="4" w:space="0" w:color="auto"/>
            </w:tcBorders>
            <w:shd w:val="clear" w:color="auto" w:fill="auto"/>
            <w:vAlign w:val="bottom"/>
          </w:tcPr>
          <w:p w14:paraId="49EA0324" w14:textId="77777777" w:rsidR="00F9176A" w:rsidRPr="00F9176A" w:rsidRDefault="00F9176A" w:rsidP="00F9176A">
            <w:pPr>
              <w:pStyle w:val="Tabletext"/>
            </w:pPr>
            <w:r w:rsidRPr="00F9176A">
              <w:t>17</w:t>
            </w:r>
            <w:r w:rsidR="00D7157D">
              <w:t>.</w:t>
            </w:r>
            <w:r w:rsidRPr="00F9176A">
              <w:t>8152</w:t>
            </w:r>
          </w:p>
        </w:tc>
        <w:tc>
          <w:tcPr>
            <w:tcW w:w="909" w:type="pct"/>
            <w:tcBorders>
              <w:top w:val="single" w:sz="4" w:space="0" w:color="auto"/>
              <w:bottom w:val="single" w:sz="4" w:space="0" w:color="auto"/>
            </w:tcBorders>
            <w:shd w:val="clear" w:color="auto" w:fill="auto"/>
            <w:vAlign w:val="bottom"/>
          </w:tcPr>
          <w:p w14:paraId="31874FB3" w14:textId="77777777" w:rsidR="00F9176A" w:rsidRPr="00F9176A" w:rsidRDefault="00F9176A" w:rsidP="00F9176A">
            <w:pPr>
              <w:pStyle w:val="Tabletext"/>
            </w:pPr>
            <w:r w:rsidRPr="00F9176A">
              <w:t>0</w:t>
            </w:r>
            <w:r w:rsidR="00D7157D">
              <w:t>.</w:t>
            </w:r>
            <w:r w:rsidRPr="00F9176A">
              <w:t>7912</w:t>
            </w:r>
          </w:p>
        </w:tc>
        <w:tc>
          <w:tcPr>
            <w:tcW w:w="909" w:type="pct"/>
            <w:tcBorders>
              <w:top w:val="single" w:sz="4" w:space="0" w:color="auto"/>
              <w:bottom w:val="single" w:sz="4" w:space="0" w:color="auto"/>
            </w:tcBorders>
            <w:shd w:val="clear" w:color="auto" w:fill="auto"/>
            <w:vAlign w:val="bottom"/>
          </w:tcPr>
          <w:p w14:paraId="2F0954C7" w14:textId="77777777" w:rsidR="00F9176A" w:rsidRPr="00F9176A" w:rsidRDefault="00F9176A" w:rsidP="00F9176A">
            <w:pPr>
              <w:pStyle w:val="Tabletext"/>
            </w:pPr>
            <w:r w:rsidRPr="00F9176A">
              <w:t>19</w:t>
            </w:r>
            <w:r w:rsidR="00D7157D">
              <w:t>.</w:t>
            </w:r>
            <w:r w:rsidRPr="00F9176A">
              <w:t>5366</w:t>
            </w:r>
          </w:p>
        </w:tc>
        <w:tc>
          <w:tcPr>
            <w:tcW w:w="908" w:type="pct"/>
            <w:tcBorders>
              <w:top w:val="single" w:sz="4" w:space="0" w:color="auto"/>
              <w:bottom w:val="single" w:sz="4" w:space="0" w:color="auto"/>
              <w:right w:val="nil"/>
            </w:tcBorders>
            <w:shd w:val="clear" w:color="auto" w:fill="auto"/>
            <w:vAlign w:val="bottom"/>
          </w:tcPr>
          <w:p w14:paraId="14062C77" w14:textId="77777777" w:rsidR="00F9176A" w:rsidRPr="00F9176A" w:rsidRDefault="00F9176A" w:rsidP="00F9176A">
            <w:pPr>
              <w:pStyle w:val="Tabletext"/>
            </w:pPr>
            <w:r w:rsidRPr="00F9176A">
              <w:t>0</w:t>
            </w:r>
            <w:r w:rsidR="00D7157D">
              <w:t>.</w:t>
            </w:r>
            <w:r w:rsidRPr="00F9176A">
              <w:t>2173</w:t>
            </w:r>
          </w:p>
        </w:tc>
      </w:tr>
      <w:tr w:rsidR="00F9176A" w:rsidRPr="00F9176A" w14:paraId="0C4F64E9" w14:textId="77777777" w:rsidTr="00A11447">
        <w:trPr>
          <w:cantSplit/>
        </w:trPr>
        <w:tc>
          <w:tcPr>
            <w:tcW w:w="1365" w:type="pct"/>
            <w:tcBorders>
              <w:top w:val="single" w:sz="4" w:space="0" w:color="auto"/>
              <w:bottom w:val="single" w:sz="4" w:space="0" w:color="auto"/>
            </w:tcBorders>
          </w:tcPr>
          <w:p w14:paraId="181D2CEE" w14:textId="77777777" w:rsidR="00F9176A" w:rsidRPr="00F9176A" w:rsidRDefault="00F9176A" w:rsidP="00F9176A">
            <w:pPr>
              <w:pStyle w:val="Tabletext"/>
            </w:pPr>
            <w:r w:rsidRPr="00F9176A">
              <w:t>57</w:t>
            </w:r>
          </w:p>
        </w:tc>
        <w:tc>
          <w:tcPr>
            <w:tcW w:w="909" w:type="pct"/>
            <w:tcBorders>
              <w:top w:val="single" w:sz="4" w:space="0" w:color="auto"/>
              <w:bottom w:val="single" w:sz="4" w:space="0" w:color="auto"/>
            </w:tcBorders>
            <w:shd w:val="clear" w:color="auto" w:fill="auto"/>
            <w:vAlign w:val="bottom"/>
          </w:tcPr>
          <w:p w14:paraId="32516254" w14:textId="77777777" w:rsidR="00F9176A" w:rsidRPr="00F9176A" w:rsidRDefault="00F9176A" w:rsidP="00F9176A">
            <w:pPr>
              <w:pStyle w:val="Tabletext"/>
            </w:pPr>
            <w:r w:rsidRPr="00F9176A">
              <w:t>17</w:t>
            </w:r>
            <w:r w:rsidR="00D7157D">
              <w:t>.</w:t>
            </w:r>
            <w:r w:rsidRPr="00F9176A">
              <w:t>3793</w:t>
            </w:r>
          </w:p>
        </w:tc>
        <w:tc>
          <w:tcPr>
            <w:tcW w:w="909" w:type="pct"/>
            <w:tcBorders>
              <w:top w:val="single" w:sz="4" w:space="0" w:color="auto"/>
              <w:bottom w:val="single" w:sz="4" w:space="0" w:color="auto"/>
            </w:tcBorders>
            <w:shd w:val="clear" w:color="auto" w:fill="auto"/>
            <w:vAlign w:val="bottom"/>
          </w:tcPr>
          <w:p w14:paraId="77360F5F" w14:textId="77777777" w:rsidR="00F9176A" w:rsidRPr="00F9176A" w:rsidRDefault="00F9176A" w:rsidP="00F9176A">
            <w:pPr>
              <w:pStyle w:val="Tabletext"/>
            </w:pPr>
            <w:r w:rsidRPr="00F9176A">
              <w:t>0</w:t>
            </w:r>
            <w:r w:rsidR="00D7157D">
              <w:t>.</w:t>
            </w:r>
            <w:r w:rsidRPr="00F9176A">
              <w:t>7953</w:t>
            </w:r>
          </w:p>
        </w:tc>
        <w:tc>
          <w:tcPr>
            <w:tcW w:w="909" w:type="pct"/>
            <w:tcBorders>
              <w:top w:val="single" w:sz="4" w:space="0" w:color="auto"/>
              <w:bottom w:val="single" w:sz="4" w:space="0" w:color="auto"/>
            </w:tcBorders>
            <w:shd w:val="clear" w:color="auto" w:fill="auto"/>
            <w:vAlign w:val="bottom"/>
          </w:tcPr>
          <w:p w14:paraId="6FF8AE10" w14:textId="77777777" w:rsidR="00F9176A" w:rsidRPr="00F9176A" w:rsidRDefault="00F9176A" w:rsidP="00F9176A">
            <w:pPr>
              <w:pStyle w:val="Tabletext"/>
            </w:pPr>
            <w:r w:rsidRPr="00F9176A">
              <w:t>19</w:t>
            </w:r>
            <w:r w:rsidR="00D7157D">
              <w:t>.</w:t>
            </w:r>
            <w:r w:rsidRPr="00F9176A">
              <w:t>0932</w:t>
            </w:r>
          </w:p>
        </w:tc>
        <w:tc>
          <w:tcPr>
            <w:tcW w:w="908" w:type="pct"/>
            <w:tcBorders>
              <w:top w:val="single" w:sz="4" w:space="0" w:color="auto"/>
              <w:bottom w:val="single" w:sz="4" w:space="0" w:color="auto"/>
              <w:right w:val="nil"/>
            </w:tcBorders>
            <w:shd w:val="clear" w:color="auto" w:fill="auto"/>
            <w:vAlign w:val="bottom"/>
          </w:tcPr>
          <w:p w14:paraId="323A9413" w14:textId="77777777" w:rsidR="00F9176A" w:rsidRPr="00F9176A" w:rsidRDefault="00F9176A" w:rsidP="00F9176A">
            <w:pPr>
              <w:pStyle w:val="Tabletext"/>
            </w:pPr>
            <w:r w:rsidRPr="00F9176A">
              <w:t>0</w:t>
            </w:r>
            <w:r w:rsidR="00D7157D">
              <w:t>.</w:t>
            </w:r>
            <w:r w:rsidRPr="00F9176A">
              <w:t>2180</w:t>
            </w:r>
          </w:p>
        </w:tc>
      </w:tr>
      <w:tr w:rsidR="00F9176A" w:rsidRPr="00F9176A" w14:paraId="78082FD2" w14:textId="77777777" w:rsidTr="00A11447">
        <w:trPr>
          <w:cantSplit/>
        </w:trPr>
        <w:tc>
          <w:tcPr>
            <w:tcW w:w="1365" w:type="pct"/>
            <w:tcBorders>
              <w:top w:val="single" w:sz="4" w:space="0" w:color="auto"/>
              <w:bottom w:val="single" w:sz="4" w:space="0" w:color="auto"/>
            </w:tcBorders>
          </w:tcPr>
          <w:p w14:paraId="5CDF0779" w14:textId="77777777" w:rsidR="00F9176A" w:rsidRPr="00F9176A" w:rsidRDefault="00F9176A" w:rsidP="00F9176A">
            <w:pPr>
              <w:pStyle w:val="Tabletext"/>
            </w:pPr>
            <w:r w:rsidRPr="00F9176A">
              <w:t>58</w:t>
            </w:r>
          </w:p>
        </w:tc>
        <w:tc>
          <w:tcPr>
            <w:tcW w:w="909" w:type="pct"/>
            <w:tcBorders>
              <w:top w:val="single" w:sz="4" w:space="0" w:color="auto"/>
              <w:bottom w:val="single" w:sz="4" w:space="0" w:color="auto"/>
            </w:tcBorders>
            <w:shd w:val="clear" w:color="auto" w:fill="auto"/>
            <w:vAlign w:val="bottom"/>
          </w:tcPr>
          <w:p w14:paraId="732E9C13" w14:textId="77777777" w:rsidR="00F9176A" w:rsidRPr="00F9176A" w:rsidRDefault="00F9176A" w:rsidP="00F9176A">
            <w:pPr>
              <w:pStyle w:val="Tabletext"/>
            </w:pPr>
            <w:r w:rsidRPr="00F9176A">
              <w:t>16</w:t>
            </w:r>
            <w:r w:rsidR="00D7157D">
              <w:t>.</w:t>
            </w:r>
            <w:r w:rsidRPr="00F9176A">
              <w:t>9413</w:t>
            </w:r>
          </w:p>
        </w:tc>
        <w:tc>
          <w:tcPr>
            <w:tcW w:w="909" w:type="pct"/>
            <w:tcBorders>
              <w:top w:val="single" w:sz="4" w:space="0" w:color="auto"/>
              <w:bottom w:val="single" w:sz="4" w:space="0" w:color="auto"/>
            </w:tcBorders>
            <w:shd w:val="clear" w:color="auto" w:fill="auto"/>
            <w:vAlign w:val="bottom"/>
          </w:tcPr>
          <w:p w14:paraId="5E266D0D" w14:textId="77777777" w:rsidR="00F9176A" w:rsidRPr="00F9176A" w:rsidRDefault="00F9176A" w:rsidP="00F9176A">
            <w:pPr>
              <w:pStyle w:val="Tabletext"/>
            </w:pPr>
            <w:r w:rsidRPr="00F9176A">
              <w:t>0</w:t>
            </w:r>
            <w:r w:rsidR="00D7157D">
              <w:t>.</w:t>
            </w:r>
            <w:r w:rsidRPr="00F9176A">
              <w:t>7987</w:t>
            </w:r>
          </w:p>
        </w:tc>
        <w:tc>
          <w:tcPr>
            <w:tcW w:w="909" w:type="pct"/>
            <w:tcBorders>
              <w:top w:val="single" w:sz="4" w:space="0" w:color="auto"/>
              <w:bottom w:val="single" w:sz="4" w:space="0" w:color="auto"/>
            </w:tcBorders>
            <w:shd w:val="clear" w:color="auto" w:fill="auto"/>
            <w:vAlign w:val="bottom"/>
          </w:tcPr>
          <w:p w14:paraId="03327826" w14:textId="77777777" w:rsidR="00F9176A" w:rsidRPr="00F9176A" w:rsidRDefault="00F9176A" w:rsidP="00F9176A">
            <w:pPr>
              <w:pStyle w:val="Tabletext"/>
            </w:pPr>
            <w:r w:rsidRPr="00F9176A">
              <w:t>18</w:t>
            </w:r>
            <w:r w:rsidR="00D7157D">
              <w:t>.</w:t>
            </w:r>
            <w:r w:rsidRPr="00F9176A">
              <w:t>6435</w:t>
            </w:r>
          </w:p>
        </w:tc>
        <w:tc>
          <w:tcPr>
            <w:tcW w:w="908" w:type="pct"/>
            <w:tcBorders>
              <w:top w:val="single" w:sz="4" w:space="0" w:color="auto"/>
              <w:bottom w:val="single" w:sz="4" w:space="0" w:color="auto"/>
              <w:right w:val="nil"/>
            </w:tcBorders>
            <w:shd w:val="clear" w:color="auto" w:fill="auto"/>
            <w:vAlign w:val="bottom"/>
          </w:tcPr>
          <w:p w14:paraId="4237F6E9" w14:textId="77777777" w:rsidR="00F9176A" w:rsidRPr="00F9176A" w:rsidRDefault="00F9176A" w:rsidP="00F9176A">
            <w:pPr>
              <w:pStyle w:val="Tabletext"/>
            </w:pPr>
            <w:r w:rsidRPr="00F9176A">
              <w:t>0</w:t>
            </w:r>
            <w:r w:rsidR="00D7157D">
              <w:t>.</w:t>
            </w:r>
            <w:r w:rsidRPr="00F9176A">
              <w:t>2186</w:t>
            </w:r>
          </w:p>
        </w:tc>
      </w:tr>
      <w:tr w:rsidR="00F9176A" w:rsidRPr="00F9176A" w14:paraId="1A528F97" w14:textId="77777777" w:rsidTr="00A11447">
        <w:trPr>
          <w:cantSplit/>
        </w:trPr>
        <w:tc>
          <w:tcPr>
            <w:tcW w:w="1365" w:type="pct"/>
            <w:tcBorders>
              <w:top w:val="single" w:sz="4" w:space="0" w:color="auto"/>
              <w:bottom w:val="single" w:sz="4" w:space="0" w:color="auto"/>
            </w:tcBorders>
          </w:tcPr>
          <w:p w14:paraId="6D1F80B3" w14:textId="77777777" w:rsidR="00F9176A" w:rsidRPr="00F9176A" w:rsidRDefault="00F9176A" w:rsidP="00F9176A">
            <w:pPr>
              <w:pStyle w:val="Tabletext"/>
            </w:pPr>
            <w:r w:rsidRPr="00F9176A">
              <w:t>59</w:t>
            </w:r>
          </w:p>
        </w:tc>
        <w:tc>
          <w:tcPr>
            <w:tcW w:w="909" w:type="pct"/>
            <w:tcBorders>
              <w:top w:val="single" w:sz="4" w:space="0" w:color="auto"/>
              <w:bottom w:val="single" w:sz="4" w:space="0" w:color="auto"/>
            </w:tcBorders>
            <w:shd w:val="clear" w:color="auto" w:fill="auto"/>
            <w:vAlign w:val="bottom"/>
          </w:tcPr>
          <w:p w14:paraId="6C994524" w14:textId="77777777" w:rsidR="00F9176A" w:rsidRPr="00F9176A" w:rsidRDefault="00F9176A" w:rsidP="00F9176A">
            <w:pPr>
              <w:pStyle w:val="Tabletext"/>
            </w:pPr>
            <w:r w:rsidRPr="00F9176A">
              <w:t>16</w:t>
            </w:r>
            <w:r w:rsidR="00D7157D">
              <w:t>.</w:t>
            </w:r>
            <w:r w:rsidRPr="00F9176A">
              <w:t>5013</w:t>
            </w:r>
          </w:p>
        </w:tc>
        <w:tc>
          <w:tcPr>
            <w:tcW w:w="909" w:type="pct"/>
            <w:tcBorders>
              <w:top w:val="single" w:sz="4" w:space="0" w:color="auto"/>
              <w:bottom w:val="single" w:sz="4" w:space="0" w:color="auto"/>
            </w:tcBorders>
            <w:shd w:val="clear" w:color="auto" w:fill="auto"/>
            <w:vAlign w:val="bottom"/>
          </w:tcPr>
          <w:p w14:paraId="4EFE687E" w14:textId="77777777" w:rsidR="00F9176A" w:rsidRPr="00F9176A" w:rsidRDefault="00F9176A" w:rsidP="00F9176A">
            <w:pPr>
              <w:pStyle w:val="Tabletext"/>
            </w:pPr>
            <w:r w:rsidRPr="00F9176A">
              <w:t>0</w:t>
            </w:r>
            <w:r w:rsidR="00D7157D">
              <w:t>.</w:t>
            </w:r>
            <w:r w:rsidRPr="00F9176A">
              <w:t>8015</w:t>
            </w:r>
          </w:p>
        </w:tc>
        <w:tc>
          <w:tcPr>
            <w:tcW w:w="909" w:type="pct"/>
            <w:tcBorders>
              <w:top w:val="single" w:sz="4" w:space="0" w:color="auto"/>
              <w:bottom w:val="single" w:sz="4" w:space="0" w:color="auto"/>
            </w:tcBorders>
            <w:shd w:val="clear" w:color="auto" w:fill="auto"/>
            <w:vAlign w:val="bottom"/>
          </w:tcPr>
          <w:p w14:paraId="10FB91B4" w14:textId="77777777" w:rsidR="00F9176A" w:rsidRPr="00F9176A" w:rsidRDefault="00F9176A" w:rsidP="00F9176A">
            <w:pPr>
              <w:pStyle w:val="Tabletext"/>
            </w:pPr>
            <w:r w:rsidRPr="00F9176A">
              <w:t>18</w:t>
            </w:r>
            <w:r w:rsidR="00D7157D">
              <w:t>.</w:t>
            </w:r>
            <w:r w:rsidRPr="00F9176A">
              <w:t>1878</w:t>
            </w:r>
          </w:p>
        </w:tc>
        <w:tc>
          <w:tcPr>
            <w:tcW w:w="908" w:type="pct"/>
            <w:tcBorders>
              <w:top w:val="single" w:sz="4" w:space="0" w:color="auto"/>
              <w:bottom w:val="single" w:sz="4" w:space="0" w:color="auto"/>
              <w:right w:val="nil"/>
            </w:tcBorders>
            <w:shd w:val="clear" w:color="auto" w:fill="auto"/>
            <w:vAlign w:val="bottom"/>
          </w:tcPr>
          <w:p w14:paraId="1E115765" w14:textId="77777777" w:rsidR="00F9176A" w:rsidRPr="00F9176A" w:rsidRDefault="00F9176A" w:rsidP="00F9176A">
            <w:pPr>
              <w:pStyle w:val="Tabletext"/>
            </w:pPr>
            <w:r w:rsidRPr="00F9176A">
              <w:t>0</w:t>
            </w:r>
            <w:r w:rsidR="00D7157D">
              <w:t>.</w:t>
            </w:r>
            <w:r w:rsidRPr="00F9176A">
              <w:t>2190</w:t>
            </w:r>
          </w:p>
        </w:tc>
      </w:tr>
      <w:tr w:rsidR="00F9176A" w:rsidRPr="00F9176A" w14:paraId="7F5F145B" w14:textId="77777777" w:rsidTr="00A11447">
        <w:trPr>
          <w:cantSplit/>
        </w:trPr>
        <w:tc>
          <w:tcPr>
            <w:tcW w:w="1365" w:type="pct"/>
            <w:tcBorders>
              <w:top w:val="single" w:sz="4" w:space="0" w:color="auto"/>
              <w:bottom w:val="single" w:sz="4" w:space="0" w:color="auto"/>
            </w:tcBorders>
          </w:tcPr>
          <w:p w14:paraId="6C5B5BC9" w14:textId="77777777" w:rsidR="00F9176A" w:rsidRPr="00F9176A" w:rsidRDefault="00F9176A" w:rsidP="00F9176A">
            <w:pPr>
              <w:pStyle w:val="Tabletext"/>
            </w:pPr>
            <w:r w:rsidRPr="00F9176A">
              <w:t>60</w:t>
            </w:r>
          </w:p>
        </w:tc>
        <w:tc>
          <w:tcPr>
            <w:tcW w:w="909" w:type="pct"/>
            <w:tcBorders>
              <w:top w:val="single" w:sz="4" w:space="0" w:color="auto"/>
              <w:bottom w:val="single" w:sz="4" w:space="0" w:color="auto"/>
            </w:tcBorders>
            <w:shd w:val="clear" w:color="auto" w:fill="auto"/>
            <w:vAlign w:val="bottom"/>
          </w:tcPr>
          <w:p w14:paraId="07DD1640" w14:textId="77777777" w:rsidR="00F9176A" w:rsidRPr="00F9176A" w:rsidRDefault="00F9176A" w:rsidP="00F9176A">
            <w:pPr>
              <w:pStyle w:val="Tabletext"/>
            </w:pPr>
            <w:r w:rsidRPr="00F9176A">
              <w:t>16</w:t>
            </w:r>
            <w:r w:rsidR="00D7157D">
              <w:t>.</w:t>
            </w:r>
            <w:r w:rsidRPr="00F9176A">
              <w:t>0593</w:t>
            </w:r>
          </w:p>
        </w:tc>
        <w:tc>
          <w:tcPr>
            <w:tcW w:w="909" w:type="pct"/>
            <w:tcBorders>
              <w:top w:val="single" w:sz="4" w:space="0" w:color="auto"/>
              <w:bottom w:val="single" w:sz="4" w:space="0" w:color="auto"/>
            </w:tcBorders>
            <w:shd w:val="clear" w:color="auto" w:fill="auto"/>
            <w:vAlign w:val="bottom"/>
          </w:tcPr>
          <w:p w14:paraId="47AB3BD7" w14:textId="77777777" w:rsidR="00F9176A" w:rsidRPr="00F9176A" w:rsidRDefault="00F9176A" w:rsidP="00F9176A">
            <w:pPr>
              <w:pStyle w:val="Tabletext"/>
            </w:pPr>
            <w:r w:rsidRPr="00F9176A">
              <w:t>0</w:t>
            </w:r>
            <w:r w:rsidR="00D7157D">
              <w:t>.</w:t>
            </w:r>
            <w:r w:rsidRPr="00F9176A">
              <w:t>8035</w:t>
            </w:r>
          </w:p>
        </w:tc>
        <w:tc>
          <w:tcPr>
            <w:tcW w:w="909" w:type="pct"/>
            <w:tcBorders>
              <w:top w:val="single" w:sz="4" w:space="0" w:color="auto"/>
              <w:bottom w:val="single" w:sz="4" w:space="0" w:color="auto"/>
            </w:tcBorders>
            <w:shd w:val="clear" w:color="auto" w:fill="auto"/>
            <w:vAlign w:val="bottom"/>
          </w:tcPr>
          <w:p w14:paraId="0F236F7D" w14:textId="77777777" w:rsidR="00F9176A" w:rsidRPr="00F9176A" w:rsidRDefault="00F9176A" w:rsidP="00F9176A">
            <w:pPr>
              <w:pStyle w:val="Tabletext"/>
            </w:pPr>
            <w:r w:rsidRPr="00F9176A">
              <w:t>17</w:t>
            </w:r>
            <w:r w:rsidR="00D7157D">
              <w:t>.</w:t>
            </w:r>
            <w:r w:rsidRPr="00F9176A">
              <w:t>7260</w:t>
            </w:r>
          </w:p>
        </w:tc>
        <w:tc>
          <w:tcPr>
            <w:tcW w:w="908" w:type="pct"/>
            <w:tcBorders>
              <w:top w:val="single" w:sz="4" w:space="0" w:color="auto"/>
              <w:bottom w:val="single" w:sz="4" w:space="0" w:color="auto"/>
              <w:right w:val="nil"/>
            </w:tcBorders>
            <w:shd w:val="clear" w:color="auto" w:fill="auto"/>
            <w:vAlign w:val="bottom"/>
          </w:tcPr>
          <w:p w14:paraId="5D78D3B8" w14:textId="77777777" w:rsidR="00F9176A" w:rsidRPr="00F9176A" w:rsidRDefault="00F9176A" w:rsidP="00F9176A">
            <w:pPr>
              <w:pStyle w:val="Tabletext"/>
            </w:pPr>
            <w:r w:rsidRPr="00F9176A">
              <w:t>0</w:t>
            </w:r>
            <w:r w:rsidR="00D7157D">
              <w:t>.</w:t>
            </w:r>
            <w:r w:rsidRPr="00F9176A">
              <w:t>2193</w:t>
            </w:r>
          </w:p>
        </w:tc>
      </w:tr>
      <w:tr w:rsidR="00F9176A" w:rsidRPr="00F9176A" w14:paraId="67AD0D4C" w14:textId="77777777" w:rsidTr="00A11447">
        <w:trPr>
          <w:cantSplit/>
        </w:trPr>
        <w:tc>
          <w:tcPr>
            <w:tcW w:w="1365" w:type="pct"/>
            <w:tcBorders>
              <w:top w:val="single" w:sz="4" w:space="0" w:color="auto"/>
              <w:bottom w:val="single" w:sz="4" w:space="0" w:color="auto"/>
            </w:tcBorders>
          </w:tcPr>
          <w:p w14:paraId="7D9CD114" w14:textId="77777777" w:rsidR="00F9176A" w:rsidRPr="00F9176A" w:rsidRDefault="00F9176A" w:rsidP="00F9176A">
            <w:pPr>
              <w:pStyle w:val="Tabletext"/>
            </w:pPr>
            <w:r w:rsidRPr="00F9176A">
              <w:t>61</w:t>
            </w:r>
          </w:p>
        </w:tc>
        <w:tc>
          <w:tcPr>
            <w:tcW w:w="909" w:type="pct"/>
            <w:tcBorders>
              <w:top w:val="single" w:sz="4" w:space="0" w:color="auto"/>
              <w:bottom w:val="single" w:sz="4" w:space="0" w:color="auto"/>
            </w:tcBorders>
            <w:shd w:val="clear" w:color="auto" w:fill="auto"/>
            <w:vAlign w:val="bottom"/>
          </w:tcPr>
          <w:p w14:paraId="040DED5F" w14:textId="77777777" w:rsidR="00F9176A" w:rsidRPr="00F9176A" w:rsidRDefault="00F9176A" w:rsidP="00F9176A">
            <w:pPr>
              <w:pStyle w:val="Tabletext"/>
            </w:pPr>
            <w:r w:rsidRPr="00F9176A">
              <w:t>15</w:t>
            </w:r>
            <w:r w:rsidR="00D7157D">
              <w:t>.</w:t>
            </w:r>
            <w:r w:rsidRPr="00F9176A">
              <w:t>6155</w:t>
            </w:r>
          </w:p>
        </w:tc>
        <w:tc>
          <w:tcPr>
            <w:tcW w:w="909" w:type="pct"/>
            <w:tcBorders>
              <w:top w:val="single" w:sz="4" w:space="0" w:color="auto"/>
              <w:bottom w:val="single" w:sz="4" w:space="0" w:color="auto"/>
            </w:tcBorders>
            <w:shd w:val="clear" w:color="auto" w:fill="auto"/>
            <w:vAlign w:val="bottom"/>
          </w:tcPr>
          <w:p w14:paraId="255807CA" w14:textId="77777777" w:rsidR="00F9176A" w:rsidRPr="00F9176A" w:rsidRDefault="00F9176A" w:rsidP="00F9176A">
            <w:pPr>
              <w:pStyle w:val="Tabletext"/>
            </w:pPr>
            <w:r w:rsidRPr="00F9176A">
              <w:t>0</w:t>
            </w:r>
            <w:r w:rsidR="00D7157D">
              <w:t>.</w:t>
            </w:r>
            <w:r w:rsidRPr="00F9176A">
              <w:t>8048</w:t>
            </w:r>
          </w:p>
        </w:tc>
        <w:tc>
          <w:tcPr>
            <w:tcW w:w="909" w:type="pct"/>
            <w:tcBorders>
              <w:top w:val="single" w:sz="4" w:space="0" w:color="auto"/>
              <w:bottom w:val="single" w:sz="4" w:space="0" w:color="auto"/>
            </w:tcBorders>
            <w:shd w:val="clear" w:color="auto" w:fill="auto"/>
            <w:vAlign w:val="bottom"/>
          </w:tcPr>
          <w:p w14:paraId="3D2FA5A7" w14:textId="77777777" w:rsidR="00F9176A" w:rsidRPr="00F9176A" w:rsidRDefault="00F9176A" w:rsidP="00F9176A">
            <w:pPr>
              <w:pStyle w:val="Tabletext"/>
            </w:pPr>
            <w:r w:rsidRPr="00F9176A">
              <w:t>17</w:t>
            </w:r>
            <w:r w:rsidR="00D7157D">
              <w:t>.</w:t>
            </w:r>
            <w:r w:rsidRPr="00F9176A">
              <w:t>2580</w:t>
            </w:r>
          </w:p>
        </w:tc>
        <w:tc>
          <w:tcPr>
            <w:tcW w:w="908" w:type="pct"/>
            <w:tcBorders>
              <w:top w:val="single" w:sz="4" w:space="0" w:color="auto"/>
              <w:bottom w:val="single" w:sz="4" w:space="0" w:color="auto"/>
              <w:right w:val="nil"/>
            </w:tcBorders>
            <w:shd w:val="clear" w:color="auto" w:fill="auto"/>
            <w:vAlign w:val="bottom"/>
          </w:tcPr>
          <w:p w14:paraId="67F2C644" w14:textId="77777777" w:rsidR="00F9176A" w:rsidRPr="00F9176A" w:rsidRDefault="00F9176A" w:rsidP="00F9176A">
            <w:pPr>
              <w:pStyle w:val="Tabletext"/>
            </w:pPr>
            <w:r w:rsidRPr="00F9176A">
              <w:t>0</w:t>
            </w:r>
            <w:r w:rsidR="00D7157D">
              <w:t>.</w:t>
            </w:r>
            <w:r w:rsidRPr="00F9176A">
              <w:t>2195</w:t>
            </w:r>
          </w:p>
        </w:tc>
      </w:tr>
      <w:tr w:rsidR="00F9176A" w:rsidRPr="00F9176A" w14:paraId="6DF188C0" w14:textId="77777777" w:rsidTr="00A11447">
        <w:trPr>
          <w:cantSplit/>
        </w:trPr>
        <w:tc>
          <w:tcPr>
            <w:tcW w:w="1365" w:type="pct"/>
            <w:tcBorders>
              <w:top w:val="single" w:sz="4" w:space="0" w:color="auto"/>
              <w:bottom w:val="single" w:sz="4" w:space="0" w:color="auto"/>
            </w:tcBorders>
          </w:tcPr>
          <w:p w14:paraId="74E3FA57" w14:textId="77777777" w:rsidR="00F9176A" w:rsidRPr="00F9176A" w:rsidRDefault="00F9176A" w:rsidP="00F9176A">
            <w:pPr>
              <w:pStyle w:val="Tabletext"/>
            </w:pPr>
            <w:r w:rsidRPr="00F9176A">
              <w:t>62</w:t>
            </w:r>
          </w:p>
        </w:tc>
        <w:tc>
          <w:tcPr>
            <w:tcW w:w="909" w:type="pct"/>
            <w:tcBorders>
              <w:top w:val="single" w:sz="4" w:space="0" w:color="auto"/>
              <w:bottom w:val="single" w:sz="4" w:space="0" w:color="auto"/>
            </w:tcBorders>
            <w:shd w:val="clear" w:color="auto" w:fill="auto"/>
            <w:vAlign w:val="bottom"/>
          </w:tcPr>
          <w:p w14:paraId="6907E4B9" w14:textId="77777777" w:rsidR="00F9176A" w:rsidRPr="00F9176A" w:rsidRDefault="00F9176A" w:rsidP="00F9176A">
            <w:pPr>
              <w:pStyle w:val="Tabletext"/>
            </w:pPr>
            <w:r w:rsidRPr="00F9176A">
              <w:t>15</w:t>
            </w:r>
            <w:r w:rsidR="00D7157D">
              <w:t>.</w:t>
            </w:r>
            <w:r w:rsidRPr="00F9176A">
              <w:t>1694</w:t>
            </w:r>
          </w:p>
        </w:tc>
        <w:tc>
          <w:tcPr>
            <w:tcW w:w="909" w:type="pct"/>
            <w:tcBorders>
              <w:top w:val="single" w:sz="4" w:space="0" w:color="auto"/>
              <w:bottom w:val="single" w:sz="4" w:space="0" w:color="auto"/>
            </w:tcBorders>
            <w:shd w:val="clear" w:color="auto" w:fill="auto"/>
            <w:vAlign w:val="bottom"/>
          </w:tcPr>
          <w:p w14:paraId="6EDE76A1" w14:textId="77777777" w:rsidR="00F9176A" w:rsidRPr="00F9176A" w:rsidRDefault="00F9176A" w:rsidP="00F9176A">
            <w:pPr>
              <w:pStyle w:val="Tabletext"/>
            </w:pPr>
            <w:r w:rsidRPr="00F9176A">
              <w:t>0</w:t>
            </w:r>
            <w:r w:rsidR="00D7157D">
              <w:t>.</w:t>
            </w:r>
            <w:r w:rsidRPr="00F9176A">
              <w:t>8054</w:t>
            </w:r>
          </w:p>
        </w:tc>
        <w:tc>
          <w:tcPr>
            <w:tcW w:w="909" w:type="pct"/>
            <w:tcBorders>
              <w:top w:val="single" w:sz="4" w:space="0" w:color="auto"/>
              <w:bottom w:val="single" w:sz="4" w:space="0" w:color="auto"/>
            </w:tcBorders>
            <w:shd w:val="clear" w:color="auto" w:fill="auto"/>
            <w:vAlign w:val="bottom"/>
          </w:tcPr>
          <w:p w14:paraId="6779EE21" w14:textId="77777777" w:rsidR="00F9176A" w:rsidRPr="00F9176A" w:rsidRDefault="00F9176A" w:rsidP="00F9176A">
            <w:pPr>
              <w:pStyle w:val="Tabletext"/>
            </w:pPr>
            <w:r w:rsidRPr="00F9176A">
              <w:t>16</w:t>
            </w:r>
            <w:r w:rsidR="00D7157D">
              <w:t>.</w:t>
            </w:r>
            <w:r w:rsidRPr="00F9176A">
              <w:t>7839</w:t>
            </w:r>
          </w:p>
        </w:tc>
        <w:tc>
          <w:tcPr>
            <w:tcW w:w="908" w:type="pct"/>
            <w:tcBorders>
              <w:top w:val="single" w:sz="4" w:space="0" w:color="auto"/>
              <w:bottom w:val="single" w:sz="4" w:space="0" w:color="auto"/>
              <w:right w:val="nil"/>
            </w:tcBorders>
            <w:shd w:val="clear" w:color="auto" w:fill="auto"/>
            <w:vAlign w:val="bottom"/>
          </w:tcPr>
          <w:p w14:paraId="4BB15AB4" w14:textId="77777777" w:rsidR="00F9176A" w:rsidRPr="00F9176A" w:rsidRDefault="00F9176A" w:rsidP="00F9176A">
            <w:pPr>
              <w:pStyle w:val="Tabletext"/>
            </w:pPr>
            <w:r w:rsidRPr="00F9176A">
              <w:t>0</w:t>
            </w:r>
            <w:r w:rsidR="00D7157D">
              <w:t>.</w:t>
            </w:r>
            <w:r w:rsidRPr="00F9176A">
              <w:t>2194</w:t>
            </w:r>
          </w:p>
        </w:tc>
      </w:tr>
      <w:tr w:rsidR="00F9176A" w:rsidRPr="00F9176A" w14:paraId="7FC019A2" w14:textId="77777777" w:rsidTr="00A11447">
        <w:trPr>
          <w:cantSplit/>
        </w:trPr>
        <w:tc>
          <w:tcPr>
            <w:tcW w:w="1365" w:type="pct"/>
            <w:tcBorders>
              <w:top w:val="single" w:sz="4" w:space="0" w:color="auto"/>
              <w:bottom w:val="single" w:sz="4" w:space="0" w:color="auto"/>
            </w:tcBorders>
          </w:tcPr>
          <w:p w14:paraId="66181406" w14:textId="77777777" w:rsidR="00F9176A" w:rsidRPr="00F9176A" w:rsidRDefault="00F9176A" w:rsidP="00F9176A">
            <w:pPr>
              <w:pStyle w:val="Tabletext"/>
            </w:pPr>
            <w:r w:rsidRPr="00F9176A">
              <w:t>63</w:t>
            </w:r>
          </w:p>
        </w:tc>
        <w:tc>
          <w:tcPr>
            <w:tcW w:w="909" w:type="pct"/>
            <w:tcBorders>
              <w:top w:val="single" w:sz="4" w:space="0" w:color="auto"/>
              <w:bottom w:val="single" w:sz="4" w:space="0" w:color="auto"/>
            </w:tcBorders>
            <w:shd w:val="clear" w:color="auto" w:fill="auto"/>
            <w:vAlign w:val="bottom"/>
          </w:tcPr>
          <w:p w14:paraId="44C52822" w14:textId="77777777" w:rsidR="00F9176A" w:rsidRPr="00F9176A" w:rsidRDefault="00F9176A" w:rsidP="00F9176A">
            <w:pPr>
              <w:pStyle w:val="Tabletext"/>
            </w:pPr>
            <w:r w:rsidRPr="00F9176A">
              <w:t>14</w:t>
            </w:r>
            <w:r w:rsidR="00D7157D">
              <w:t>.</w:t>
            </w:r>
            <w:r w:rsidRPr="00F9176A">
              <w:t>7210</w:t>
            </w:r>
          </w:p>
        </w:tc>
        <w:tc>
          <w:tcPr>
            <w:tcW w:w="909" w:type="pct"/>
            <w:tcBorders>
              <w:top w:val="single" w:sz="4" w:space="0" w:color="auto"/>
              <w:bottom w:val="single" w:sz="4" w:space="0" w:color="auto"/>
            </w:tcBorders>
            <w:shd w:val="clear" w:color="auto" w:fill="auto"/>
            <w:vAlign w:val="bottom"/>
          </w:tcPr>
          <w:p w14:paraId="5AA18727" w14:textId="77777777" w:rsidR="00F9176A" w:rsidRPr="00F9176A" w:rsidRDefault="00F9176A" w:rsidP="00F9176A">
            <w:pPr>
              <w:pStyle w:val="Tabletext"/>
            </w:pPr>
            <w:r w:rsidRPr="00F9176A">
              <w:t>0</w:t>
            </w:r>
            <w:r w:rsidR="00D7157D">
              <w:t>.</w:t>
            </w:r>
            <w:r w:rsidRPr="00F9176A">
              <w:t>8053</w:t>
            </w:r>
          </w:p>
        </w:tc>
        <w:tc>
          <w:tcPr>
            <w:tcW w:w="909" w:type="pct"/>
            <w:tcBorders>
              <w:top w:val="single" w:sz="4" w:space="0" w:color="auto"/>
              <w:bottom w:val="single" w:sz="4" w:space="0" w:color="auto"/>
            </w:tcBorders>
            <w:shd w:val="clear" w:color="auto" w:fill="auto"/>
            <w:vAlign w:val="bottom"/>
          </w:tcPr>
          <w:p w14:paraId="01CAC51A" w14:textId="77777777" w:rsidR="00F9176A" w:rsidRPr="00F9176A" w:rsidRDefault="00F9176A" w:rsidP="00F9176A">
            <w:pPr>
              <w:pStyle w:val="Tabletext"/>
            </w:pPr>
            <w:r w:rsidRPr="00F9176A">
              <w:t>16</w:t>
            </w:r>
            <w:r w:rsidR="00D7157D">
              <w:t>.</w:t>
            </w:r>
            <w:r w:rsidRPr="00F9176A">
              <w:t>3043</w:t>
            </w:r>
          </w:p>
        </w:tc>
        <w:tc>
          <w:tcPr>
            <w:tcW w:w="908" w:type="pct"/>
            <w:tcBorders>
              <w:top w:val="single" w:sz="4" w:space="0" w:color="auto"/>
              <w:bottom w:val="single" w:sz="4" w:space="0" w:color="auto"/>
              <w:right w:val="nil"/>
            </w:tcBorders>
            <w:shd w:val="clear" w:color="auto" w:fill="auto"/>
            <w:vAlign w:val="bottom"/>
          </w:tcPr>
          <w:p w14:paraId="5AF8396E" w14:textId="77777777" w:rsidR="00F9176A" w:rsidRPr="00F9176A" w:rsidRDefault="00F9176A" w:rsidP="00F9176A">
            <w:pPr>
              <w:pStyle w:val="Tabletext"/>
            </w:pPr>
            <w:r w:rsidRPr="00F9176A">
              <w:t>0</w:t>
            </w:r>
            <w:r w:rsidR="00D7157D">
              <w:t>.</w:t>
            </w:r>
            <w:r w:rsidRPr="00F9176A">
              <w:t>2192</w:t>
            </w:r>
          </w:p>
        </w:tc>
      </w:tr>
      <w:tr w:rsidR="00F9176A" w:rsidRPr="00F9176A" w14:paraId="322B587F" w14:textId="77777777" w:rsidTr="00A11447">
        <w:trPr>
          <w:cantSplit/>
        </w:trPr>
        <w:tc>
          <w:tcPr>
            <w:tcW w:w="1365" w:type="pct"/>
            <w:tcBorders>
              <w:top w:val="single" w:sz="4" w:space="0" w:color="auto"/>
              <w:bottom w:val="single" w:sz="4" w:space="0" w:color="auto"/>
            </w:tcBorders>
          </w:tcPr>
          <w:p w14:paraId="07A4698B" w14:textId="77777777" w:rsidR="00F9176A" w:rsidRPr="00F9176A" w:rsidRDefault="00F9176A" w:rsidP="00F9176A">
            <w:pPr>
              <w:pStyle w:val="Tabletext"/>
            </w:pPr>
            <w:r w:rsidRPr="00F9176A">
              <w:t>64</w:t>
            </w:r>
          </w:p>
        </w:tc>
        <w:tc>
          <w:tcPr>
            <w:tcW w:w="909" w:type="pct"/>
            <w:tcBorders>
              <w:top w:val="single" w:sz="4" w:space="0" w:color="auto"/>
              <w:bottom w:val="single" w:sz="4" w:space="0" w:color="auto"/>
            </w:tcBorders>
            <w:shd w:val="clear" w:color="auto" w:fill="auto"/>
            <w:vAlign w:val="bottom"/>
          </w:tcPr>
          <w:p w14:paraId="4971BF8E" w14:textId="77777777" w:rsidR="00F9176A" w:rsidRPr="00F9176A" w:rsidRDefault="00F9176A" w:rsidP="00F9176A">
            <w:pPr>
              <w:pStyle w:val="Tabletext"/>
            </w:pPr>
            <w:r w:rsidRPr="00F9176A">
              <w:t>14</w:t>
            </w:r>
            <w:r w:rsidR="00D7157D">
              <w:t>.</w:t>
            </w:r>
            <w:r w:rsidRPr="00F9176A">
              <w:t>2706</w:t>
            </w:r>
          </w:p>
        </w:tc>
        <w:tc>
          <w:tcPr>
            <w:tcW w:w="909" w:type="pct"/>
            <w:tcBorders>
              <w:top w:val="single" w:sz="4" w:space="0" w:color="auto"/>
              <w:bottom w:val="single" w:sz="4" w:space="0" w:color="auto"/>
            </w:tcBorders>
            <w:shd w:val="clear" w:color="auto" w:fill="auto"/>
            <w:vAlign w:val="bottom"/>
          </w:tcPr>
          <w:p w14:paraId="2BCE7E0F" w14:textId="77777777" w:rsidR="00F9176A" w:rsidRPr="00F9176A" w:rsidRDefault="00F9176A" w:rsidP="00F9176A">
            <w:pPr>
              <w:pStyle w:val="Tabletext"/>
            </w:pPr>
            <w:r w:rsidRPr="00F9176A">
              <w:t>0</w:t>
            </w:r>
            <w:r w:rsidR="00D7157D">
              <w:t>.</w:t>
            </w:r>
            <w:r w:rsidRPr="00F9176A">
              <w:t>8044</w:t>
            </w:r>
          </w:p>
        </w:tc>
        <w:tc>
          <w:tcPr>
            <w:tcW w:w="909" w:type="pct"/>
            <w:tcBorders>
              <w:top w:val="single" w:sz="4" w:space="0" w:color="auto"/>
              <w:bottom w:val="single" w:sz="4" w:space="0" w:color="auto"/>
            </w:tcBorders>
            <w:shd w:val="clear" w:color="auto" w:fill="auto"/>
            <w:vAlign w:val="bottom"/>
          </w:tcPr>
          <w:p w14:paraId="2BC6C644" w14:textId="77777777" w:rsidR="00F9176A" w:rsidRPr="00F9176A" w:rsidRDefault="00F9176A" w:rsidP="00F9176A">
            <w:pPr>
              <w:pStyle w:val="Tabletext"/>
            </w:pPr>
            <w:r w:rsidRPr="00F9176A">
              <w:t>15</w:t>
            </w:r>
            <w:r w:rsidR="00D7157D">
              <w:t>.</w:t>
            </w:r>
            <w:r w:rsidRPr="00F9176A">
              <w:t>8195</w:t>
            </w:r>
          </w:p>
        </w:tc>
        <w:tc>
          <w:tcPr>
            <w:tcW w:w="908" w:type="pct"/>
            <w:tcBorders>
              <w:top w:val="single" w:sz="4" w:space="0" w:color="auto"/>
              <w:bottom w:val="single" w:sz="4" w:space="0" w:color="auto"/>
              <w:right w:val="nil"/>
            </w:tcBorders>
            <w:shd w:val="clear" w:color="auto" w:fill="auto"/>
            <w:vAlign w:val="bottom"/>
          </w:tcPr>
          <w:p w14:paraId="03B0D6C1" w14:textId="77777777" w:rsidR="00F9176A" w:rsidRPr="00F9176A" w:rsidRDefault="00F9176A" w:rsidP="00F9176A">
            <w:pPr>
              <w:pStyle w:val="Tabletext"/>
            </w:pPr>
            <w:r w:rsidRPr="00F9176A">
              <w:t>0</w:t>
            </w:r>
            <w:r w:rsidR="00D7157D">
              <w:t>.</w:t>
            </w:r>
            <w:r w:rsidRPr="00F9176A">
              <w:t>2189</w:t>
            </w:r>
          </w:p>
        </w:tc>
      </w:tr>
      <w:tr w:rsidR="00F9176A" w:rsidRPr="00F9176A" w14:paraId="1009D1A4" w14:textId="77777777" w:rsidTr="00A11447">
        <w:trPr>
          <w:cantSplit/>
        </w:trPr>
        <w:tc>
          <w:tcPr>
            <w:tcW w:w="1365" w:type="pct"/>
            <w:tcBorders>
              <w:top w:val="single" w:sz="4" w:space="0" w:color="auto"/>
              <w:bottom w:val="single" w:sz="4" w:space="0" w:color="auto"/>
            </w:tcBorders>
          </w:tcPr>
          <w:p w14:paraId="43EEC452" w14:textId="77777777" w:rsidR="00F9176A" w:rsidRPr="00F9176A" w:rsidRDefault="00F9176A" w:rsidP="00F9176A">
            <w:pPr>
              <w:pStyle w:val="Tabletext"/>
            </w:pPr>
            <w:r w:rsidRPr="00F9176A">
              <w:t>65</w:t>
            </w:r>
          </w:p>
        </w:tc>
        <w:tc>
          <w:tcPr>
            <w:tcW w:w="909" w:type="pct"/>
            <w:tcBorders>
              <w:top w:val="single" w:sz="4" w:space="0" w:color="auto"/>
              <w:bottom w:val="single" w:sz="4" w:space="0" w:color="auto"/>
            </w:tcBorders>
            <w:shd w:val="clear" w:color="auto" w:fill="auto"/>
            <w:vAlign w:val="bottom"/>
          </w:tcPr>
          <w:p w14:paraId="39EE62DE" w14:textId="77777777" w:rsidR="00F9176A" w:rsidRPr="00F9176A" w:rsidRDefault="00F9176A" w:rsidP="00F9176A">
            <w:pPr>
              <w:pStyle w:val="Tabletext"/>
            </w:pPr>
            <w:r w:rsidRPr="00F9176A">
              <w:t>13</w:t>
            </w:r>
            <w:r w:rsidR="00D7157D">
              <w:t>.</w:t>
            </w:r>
            <w:r w:rsidRPr="00F9176A">
              <w:t>8188</w:t>
            </w:r>
          </w:p>
        </w:tc>
        <w:tc>
          <w:tcPr>
            <w:tcW w:w="909" w:type="pct"/>
            <w:tcBorders>
              <w:top w:val="single" w:sz="4" w:space="0" w:color="auto"/>
              <w:bottom w:val="single" w:sz="4" w:space="0" w:color="auto"/>
            </w:tcBorders>
            <w:shd w:val="clear" w:color="auto" w:fill="auto"/>
            <w:vAlign w:val="bottom"/>
          </w:tcPr>
          <w:p w14:paraId="0953B9C4" w14:textId="77777777" w:rsidR="00F9176A" w:rsidRPr="00F9176A" w:rsidRDefault="00F9176A" w:rsidP="00F9176A">
            <w:pPr>
              <w:pStyle w:val="Tabletext"/>
            </w:pPr>
            <w:r w:rsidRPr="00F9176A">
              <w:t>0</w:t>
            </w:r>
            <w:r w:rsidR="00D7157D">
              <w:t>.</w:t>
            </w:r>
            <w:r w:rsidRPr="00F9176A">
              <w:t>8028</w:t>
            </w:r>
          </w:p>
        </w:tc>
        <w:tc>
          <w:tcPr>
            <w:tcW w:w="909" w:type="pct"/>
            <w:tcBorders>
              <w:top w:val="single" w:sz="4" w:space="0" w:color="auto"/>
              <w:bottom w:val="single" w:sz="4" w:space="0" w:color="auto"/>
            </w:tcBorders>
            <w:shd w:val="clear" w:color="auto" w:fill="auto"/>
            <w:vAlign w:val="bottom"/>
          </w:tcPr>
          <w:p w14:paraId="6C0A42E2" w14:textId="77777777" w:rsidR="00F9176A" w:rsidRPr="00F9176A" w:rsidRDefault="00F9176A" w:rsidP="00F9176A">
            <w:pPr>
              <w:pStyle w:val="Tabletext"/>
            </w:pPr>
            <w:r w:rsidRPr="00F9176A">
              <w:t>15</w:t>
            </w:r>
            <w:r w:rsidR="00D7157D">
              <w:t>.</w:t>
            </w:r>
            <w:r w:rsidRPr="00F9176A">
              <w:t>3307</w:t>
            </w:r>
          </w:p>
        </w:tc>
        <w:tc>
          <w:tcPr>
            <w:tcW w:w="908" w:type="pct"/>
            <w:tcBorders>
              <w:top w:val="single" w:sz="4" w:space="0" w:color="auto"/>
              <w:bottom w:val="single" w:sz="4" w:space="0" w:color="auto"/>
              <w:right w:val="nil"/>
            </w:tcBorders>
            <w:shd w:val="clear" w:color="auto" w:fill="auto"/>
            <w:vAlign w:val="bottom"/>
          </w:tcPr>
          <w:p w14:paraId="60B4B828" w14:textId="77777777" w:rsidR="00F9176A" w:rsidRPr="00F9176A" w:rsidRDefault="00F9176A" w:rsidP="00F9176A">
            <w:pPr>
              <w:pStyle w:val="Tabletext"/>
            </w:pPr>
            <w:r w:rsidRPr="00F9176A">
              <w:t>0</w:t>
            </w:r>
            <w:r w:rsidR="00D7157D">
              <w:t>.</w:t>
            </w:r>
            <w:r w:rsidRPr="00F9176A">
              <w:t>2182</w:t>
            </w:r>
          </w:p>
        </w:tc>
      </w:tr>
      <w:tr w:rsidR="00F9176A" w:rsidRPr="00F9176A" w14:paraId="696AB61A" w14:textId="77777777" w:rsidTr="00A11447">
        <w:trPr>
          <w:cantSplit/>
        </w:trPr>
        <w:tc>
          <w:tcPr>
            <w:tcW w:w="1365" w:type="pct"/>
            <w:tcBorders>
              <w:top w:val="single" w:sz="4" w:space="0" w:color="auto"/>
              <w:bottom w:val="single" w:sz="4" w:space="0" w:color="auto"/>
            </w:tcBorders>
          </w:tcPr>
          <w:p w14:paraId="63BC44C3" w14:textId="77777777" w:rsidR="00F9176A" w:rsidRPr="00F9176A" w:rsidRDefault="00F9176A" w:rsidP="00F9176A">
            <w:pPr>
              <w:pStyle w:val="Tabletext"/>
            </w:pPr>
            <w:r w:rsidRPr="00F9176A">
              <w:t>66</w:t>
            </w:r>
          </w:p>
        </w:tc>
        <w:tc>
          <w:tcPr>
            <w:tcW w:w="909" w:type="pct"/>
            <w:tcBorders>
              <w:top w:val="single" w:sz="4" w:space="0" w:color="auto"/>
              <w:bottom w:val="single" w:sz="4" w:space="0" w:color="auto"/>
            </w:tcBorders>
            <w:shd w:val="clear" w:color="auto" w:fill="auto"/>
            <w:vAlign w:val="bottom"/>
          </w:tcPr>
          <w:p w14:paraId="48A6D1EB" w14:textId="77777777" w:rsidR="00F9176A" w:rsidRPr="00F9176A" w:rsidRDefault="00F9176A" w:rsidP="00F9176A">
            <w:pPr>
              <w:pStyle w:val="Tabletext"/>
            </w:pPr>
            <w:r w:rsidRPr="00F9176A">
              <w:t>13</w:t>
            </w:r>
            <w:r w:rsidR="00D7157D">
              <w:t>.</w:t>
            </w:r>
            <w:r w:rsidRPr="00F9176A">
              <w:t>3666</w:t>
            </w:r>
          </w:p>
        </w:tc>
        <w:tc>
          <w:tcPr>
            <w:tcW w:w="909" w:type="pct"/>
            <w:tcBorders>
              <w:top w:val="single" w:sz="4" w:space="0" w:color="auto"/>
              <w:bottom w:val="single" w:sz="4" w:space="0" w:color="auto"/>
            </w:tcBorders>
            <w:shd w:val="clear" w:color="auto" w:fill="auto"/>
            <w:vAlign w:val="bottom"/>
          </w:tcPr>
          <w:p w14:paraId="42CFFF7C" w14:textId="77777777" w:rsidR="00F9176A" w:rsidRPr="00F9176A" w:rsidRDefault="00F9176A" w:rsidP="00F9176A">
            <w:pPr>
              <w:pStyle w:val="Tabletext"/>
            </w:pPr>
            <w:r w:rsidRPr="00F9176A">
              <w:t>0</w:t>
            </w:r>
            <w:r w:rsidR="00D7157D">
              <w:t>.</w:t>
            </w:r>
            <w:r w:rsidRPr="00F9176A">
              <w:t>8003</w:t>
            </w:r>
          </w:p>
        </w:tc>
        <w:tc>
          <w:tcPr>
            <w:tcW w:w="909" w:type="pct"/>
            <w:tcBorders>
              <w:top w:val="single" w:sz="4" w:space="0" w:color="auto"/>
              <w:bottom w:val="single" w:sz="4" w:space="0" w:color="auto"/>
            </w:tcBorders>
            <w:shd w:val="clear" w:color="auto" w:fill="auto"/>
            <w:vAlign w:val="bottom"/>
          </w:tcPr>
          <w:p w14:paraId="40890D17" w14:textId="77777777" w:rsidR="00F9176A" w:rsidRPr="00F9176A" w:rsidRDefault="00F9176A" w:rsidP="00F9176A">
            <w:pPr>
              <w:pStyle w:val="Tabletext"/>
            </w:pPr>
            <w:r w:rsidRPr="00F9176A">
              <w:t>14</w:t>
            </w:r>
            <w:r w:rsidR="00D7157D">
              <w:t>.</w:t>
            </w:r>
            <w:r w:rsidRPr="00F9176A">
              <w:t>8387</w:t>
            </w:r>
          </w:p>
        </w:tc>
        <w:tc>
          <w:tcPr>
            <w:tcW w:w="908" w:type="pct"/>
            <w:tcBorders>
              <w:top w:val="single" w:sz="4" w:space="0" w:color="auto"/>
              <w:bottom w:val="single" w:sz="4" w:space="0" w:color="auto"/>
              <w:right w:val="nil"/>
            </w:tcBorders>
            <w:shd w:val="clear" w:color="auto" w:fill="auto"/>
            <w:vAlign w:val="bottom"/>
          </w:tcPr>
          <w:p w14:paraId="64C80B69" w14:textId="77777777" w:rsidR="00F9176A" w:rsidRPr="00F9176A" w:rsidRDefault="00F9176A" w:rsidP="00F9176A">
            <w:pPr>
              <w:pStyle w:val="Tabletext"/>
            </w:pPr>
            <w:r w:rsidRPr="00F9176A">
              <w:t>0</w:t>
            </w:r>
            <w:r w:rsidR="00D7157D">
              <w:t>.</w:t>
            </w:r>
            <w:r w:rsidRPr="00F9176A">
              <w:t>2174</w:t>
            </w:r>
          </w:p>
        </w:tc>
      </w:tr>
      <w:tr w:rsidR="00F9176A" w:rsidRPr="00F9176A" w14:paraId="490AF8FF" w14:textId="77777777" w:rsidTr="00A11447">
        <w:trPr>
          <w:cantSplit/>
        </w:trPr>
        <w:tc>
          <w:tcPr>
            <w:tcW w:w="1365" w:type="pct"/>
            <w:tcBorders>
              <w:top w:val="single" w:sz="4" w:space="0" w:color="auto"/>
              <w:bottom w:val="single" w:sz="4" w:space="0" w:color="auto"/>
            </w:tcBorders>
          </w:tcPr>
          <w:p w14:paraId="3DD8E00F" w14:textId="77777777" w:rsidR="00F9176A" w:rsidRPr="00F9176A" w:rsidRDefault="00F9176A" w:rsidP="00F9176A">
            <w:pPr>
              <w:pStyle w:val="Tabletext"/>
            </w:pPr>
            <w:r w:rsidRPr="00F9176A">
              <w:t>67</w:t>
            </w:r>
          </w:p>
        </w:tc>
        <w:tc>
          <w:tcPr>
            <w:tcW w:w="909" w:type="pct"/>
            <w:tcBorders>
              <w:top w:val="single" w:sz="4" w:space="0" w:color="auto"/>
              <w:bottom w:val="single" w:sz="4" w:space="0" w:color="auto"/>
            </w:tcBorders>
            <w:shd w:val="clear" w:color="auto" w:fill="auto"/>
            <w:vAlign w:val="bottom"/>
          </w:tcPr>
          <w:p w14:paraId="44186668" w14:textId="77777777" w:rsidR="00F9176A" w:rsidRPr="00F9176A" w:rsidRDefault="00F9176A" w:rsidP="00F9176A">
            <w:pPr>
              <w:pStyle w:val="Tabletext"/>
            </w:pPr>
            <w:r w:rsidRPr="00F9176A">
              <w:t>12</w:t>
            </w:r>
            <w:r w:rsidR="00D7157D">
              <w:t>.</w:t>
            </w:r>
            <w:r w:rsidRPr="00F9176A">
              <w:t>9111</w:t>
            </w:r>
          </w:p>
        </w:tc>
        <w:tc>
          <w:tcPr>
            <w:tcW w:w="909" w:type="pct"/>
            <w:tcBorders>
              <w:top w:val="single" w:sz="4" w:space="0" w:color="auto"/>
              <w:bottom w:val="single" w:sz="4" w:space="0" w:color="auto"/>
            </w:tcBorders>
            <w:shd w:val="clear" w:color="auto" w:fill="auto"/>
            <w:vAlign w:val="bottom"/>
          </w:tcPr>
          <w:p w14:paraId="771D7E24" w14:textId="77777777" w:rsidR="00F9176A" w:rsidRPr="00F9176A" w:rsidRDefault="00F9176A" w:rsidP="00F9176A">
            <w:pPr>
              <w:pStyle w:val="Tabletext"/>
            </w:pPr>
            <w:r w:rsidRPr="00F9176A">
              <w:t>0</w:t>
            </w:r>
            <w:r w:rsidR="00D7157D">
              <w:t>.</w:t>
            </w:r>
            <w:r w:rsidRPr="00F9176A">
              <w:t>7972</w:t>
            </w:r>
          </w:p>
        </w:tc>
        <w:tc>
          <w:tcPr>
            <w:tcW w:w="909" w:type="pct"/>
            <w:tcBorders>
              <w:top w:val="single" w:sz="4" w:space="0" w:color="auto"/>
              <w:bottom w:val="single" w:sz="4" w:space="0" w:color="auto"/>
            </w:tcBorders>
            <w:shd w:val="clear" w:color="auto" w:fill="auto"/>
            <w:vAlign w:val="bottom"/>
          </w:tcPr>
          <w:p w14:paraId="417D2D87" w14:textId="77777777" w:rsidR="00F9176A" w:rsidRPr="00F9176A" w:rsidRDefault="00F9176A" w:rsidP="00F9176A">
            <w:pPr>
              <w:pStyle w:val="Tabletext"/>
            </w:pPr>
            <w:r w:rsidRPr="00F9176A">
              <w:t>14</w:t>
            </w:r>
            <w:r w:rsidR="00D7157D">
              <w:t>.</w:t>
            </w:r>
            <w:r w:rsidRPr="00F9176A">
              <w:t>3430</w:t>
            </w:r>
          </w:p>
        </w:tc>
        <w:tc>
          <w:tcPr>
            <w:tcW w:w="908" w:type="pct"/>
            <w:tcBorders>
              <w:top w:val="single" w:sz="4" w:space="0" w:color="auto"/>
              <w:bottom w:val="single" w:sz="4" w:space="0" w:color="auto"/>
              <w:right w:val="nil"/>
            </w:tcBorders>
            <w:shd w:val="clear" w:color="auto" w:fill="auto"/>
            <w:vAlign w:val="bottom"/>
          </w:tcPr>
          <w:p w14:paraId="7A487705" w14:textId="77777777" w:rsidR="00F9176A" w:rsidRPr="00F9176A" w:rsidRDefault="00F9176A" w:rsidP="00F9176A">
            <w:pPr>
              <w:pStyle w:val="Tabletext"/>
            </w:pPr>
            <w:r w:rsidRPr="00F9176A">
              <w:t>0</w:t>
            </w:r>
            <w:r w:rsidR="00D7157D">
              <w:t>.</w:t>
            </w:r>
            <w:r w:rsidRPr="00F9176A">
              <w:t>2163</w:t>
            </w:r>
          </w:p>
        </w:tc>
      </w:tr>
      <w:tr w:rsidR="00F9176A" w:rsidRPr="00F9176A" w14:paraId="24425791" w14:textId="77777777" w:rsidTr="00A11447">
        <w:trPr>
          <w:cantSplit/>
        </w:trPr>
        <w:tc>
          <w:tcPr>
            <w:tcW w:w="1365" w:type="pct"/>
            <w:tcBorders>
              <w:top w:val="single" w:sz="4" w:space="0" w:color="auto"/>
              <w:bottom w:val="single" w:sz="4" w:space="0" w:color="auto"/>
            </w:tcBorders>
          </w:tcPr>
          <w:p w14:paraId="44FF23FB" w14:textId="77777777" w:rsidR="00F9176A" w:rsidRPr="00F9176A" w:rsidRDefault="00F9176A" w:rsidP="00F9176A">
            <w:pPr>
              <w:pStyle w:val="Tabletext"/>
            </w:pPr>
            <w:r w:rsidRPr="00F9176A">
              <w:t>68</w:t>
            </w:r>
          </w:p>
        </w:tc>
        <w:tc>
          <w:tcPr>
            <w:tcW w:w="909" w:type="pct"/>
            <w:tcBorders>
              <w:top w:val="single" w:sz="4" w:space="0" w:color="auto"/>
              <w:bottom w:val="single" w:sz="4" w:space="0" w:color="auto"/>
            </w:tcBorders>
            <w:shd w:val="clear" w:color="auto" w:fill="auto"/>
            <w:vAlign w:val="bottom"/>
          </w:tcPr>
          <w:p w14:paraId="0B1429C1" w14:textId="77777777" w:rsidR="00F9176A" w:rsidRPr="00F9176A" w:rsidRDefault="00F9176A" w:rsidP="00F9176A">
            <w:pPr>
              <w:pStyle w:val="Tabletext"/>
            </w:pPr>
            <w:r w:rsidRPr="00F9176A">
              <w:t>12</w:t>
            </w:r>
            <w:r w:rsidR="00D7157D">
              <w:t>.</w:t>
            </w:r>
            <w:r w:rsidRPr="00F9176A">
              <w:t>4533</w:t>
            </w:r>
          </w:p>
        </w:tc>
        <w:tc>
          <w:tcPr>
            <w:tcW w:w="909" w:type="pct"/>
            <w:tcBorders>
              <w:top w:val="single" w:sz="4" w:space="0" w:color="auto"/>
              <w:bottom w:val="single" w:sz="4" w:space="0" w:color="auto"/>
            </w:tcBorders>
            <w:shd w:val="clear" w:color="auto" w:fill="auto"/>
            <w:vAlign w:val="bottom"/>
          </w:tcPr>
          <w:p w14:paraId="1F92953A" w14:textId="77777777" w:rsidR="00F9176A" w:rsidRPr="00F9176A" w:rsidRDefault="00F9176A" w:rsidP="00F9176A">
            <w:pPr>
              <w:pStyle w:val="Tabletext"/>
            </w:pPr>
            <w:r w:rsidRPr="00F9176A">
              <w:t>0</w:t>
            </w:r>
            <w:r w:rsidR="00D7157D">
              <w:t>.</w:t>
            </w:r>
            <w:r w:rsidRPr="00F9176A">
              <w:t>7933</w:t>
            </w:r>
          </w:p>
        </w:tc>
        <w:tc>
          <w:tcPr>
            <w:tcW w:w="909" w:type="pct"/>
            <w:tcBorders>
              <w:top w:val="single" w:sz="4" w:space="0" w:color="auto"/>
              <w:bottom w:val="single" w:sz="4" w:space="0" w:color="auto"/>
            </w:tcBorders>
            <w:shd w:val="clear" w:color="auto" w:fill="auto"/>
            <w:vAlign w:val="bottom"/>
          </w:tcPr>
          <w:p w14:paraId="557389D1" w14:textId="77777777" w:rsidR="00F9176A" w:rsidRPr="00F9176A" w:rsidRDefault="00F9176A" w:rsidP="00F9176A">
            <w:pPr>
              <w:pStyle w:val="Tabletext"/>
            </w:pPr>
            <w:r w:rsidRPr="00F9176A">
              <w:t>13</w:t>
            </w:r>
            <w:r w:rsidR="00D7157D">
              <w:t>.</w:t>
            </w:r>
            <w:r w:rsidRPr="00F9176A">
              <w:t>8445</w:t>
            </w:r>
          </w:p>
        </w:tc>
        <w:tc>
          <w:tcPr>
            <w:tcW w:w="908" w:type="pct"/>
            <w:tcBorders>
              <w:top w:val="single" w:sz="4" w:space="0" w:color="auto"/>
              <w:bottom w:val="single" w:sz="4" w:space="0" w:color="auto"/>
              <w:right w:val="nil"/>
            </w:tcBorders>
            <w:shd w:val="clear" w:color="auto" w:fill="auto"/>
            <w:vAlign w:val="bottom"/>
          </w:tcPr>
          <w:p w14:paraId="4C7AF629" w14:textId="77777777" w:rsidR="00F9176A" w:rsidRPr="00F9176A" w:rsidRDefault="00F9176A" w:rsidP="00F9176A">
            <w:pPr>
              <w:pStyle w:val="Tabletext"/>
            </w:pPr>
            <w:r w:rsidRPr="00F9176A">
              <w:t>0</w:t>
            </w:r>
            <w:r w:rsidR="00D7157D">
              <w:t>.</w:t>
            </w:r>
            <w:r w:rsidRPr="00F9176A">
              <w:t>2149</w:t>
            </w:r>
          </w:p>
        </w:tc>
      </w:tr>
      <w:tr w:rsidR="00F9176A" w:rsidRPr="00F9176A" w14:paraId="610175D6" w14:textId="77777777" w:rsidTr="00A11447">
        <w:trPr>
          <w:cantSplit/>
        </w:trPr>
        <w:tc>
          <w:tcPr>
            <w:tcW w:w="1365" w:type="pct"/>
            <w:tcBorders>
              <w:top w:val="single" w:sz="4" w:space="0" w:color="auto"/>
              <w:bottom w:val="single" w:sz="4" w:space="0" w:color="auto"/>
            </w:tcBorders>
          </w:tcPr>
          <w:p w14:paraId="202612E5" w14:textId="77777777" w:rsidR="00F9176A" w:rsidRPr="00F9176A" w:rsidRDefault="00F9176A" w:rsidP="00F9176A">
            <w:pPr>
              <w:pStyle w:val="Tabletext"/>
            </w:pPr>
            <w:r w:rsidRPr="00F9176A">
              <w:t>69</w:t>
            </w:r>
          </w:p>
        </w:tc>
        <w:tc>
          <w:tcPr>
            <w:tcW w:w="909" w:type="pct"/>
            <w:tcBorders>
              <w:top w:val="single" w:sz="4" w:space="0" w:color="auto"/>
              <w:bottom w:val="single" w:sz="4" w:space="0" w:color="auto"/>
            </w:tcBorders>
            <w:shd w:val="clear" w:color="auto" w:fill="auto"/>
            <w:vAlign w:val="bottom"/>
          </w:tcPr>
          <w:p w14:paraId="6FAF9E06" w14:textId="77777777" w:rsidR="00F9176A" w:rsidRPr="00F9176A" w:rsidRDefault="00F9176A" w:rsidP="00F9176A">
            <w:pPr>
              <w:pStyle w:val="Tabletext"/>
            </w:pPr>
            <w:r w:rsidRPr="00F9176A">
              <w:t>11</w:t>
            </w:r>
            <w:r w:rsidR="00D7157D">
              <w:t>.</w:t>
            </w:r>
            <w:r w:rsidRPr="00F9176A">
              <w:t>9943</w:t>
            </w:r>
          </w:p>
        </w:tc>
        <w:tc>
          <w:tcPr>
            <w:tcW w:w="909" w:type="pct"/>
            <w:tcBorders>
              <w:top w:val="single" w:sz="4" w:space="0" w:color="auto"/>
              <w:bottom w:val="single" w:sz="4" w:space="0" w:color="auto"/>
            </w:tcBorders>
            <w:shd w:val="clear" w:color="auto" w:fill="auto"/>
            <w:vAlign w:val="bottom"/>
          </w:tcPr>
          <w:p w14:paraId="3F4E4D48" w14:textId="77777777" w:rsidR="00F9176A" w:rsidRPr="00F9176A" w:rsidRDefault="00F9176A" w:rsidP="00F9176A">
            <w:pPr>
              <w:pStyle w:val="Tabletext"/>
            </w:pPr>
            <w:r w:rsidRPr="00F9176A">
              <w:t>0</w:t>
            </w:r>
            <w:r w:rsidR="00D7157D">
              <w:t>.</w:t>
            </w:r>
            <w:r w:rsidRPr="00F9176A">
              <w:t>7887</w:t>
            </w:r>
          </w:p>
        </w:tc>
        <w:tc>
          <w:tcPr>
            <w:tcW w:w="909" w:type="pct"/>
            <w:tcBorders>
              <w:top w:val="single" w:sz="4" w:space="0" w:color="auto"/>
              <w:bottom w:val="single" w:sz="4" w:space="0" w:color="auto"/>
            </w:tcBorders>
            <w:shd w:val="clear" w:color="auto" w:fill="auto"/>
            <w:vAlign w:val="bottom"/>
          </w:tcPr>
          <w:p w14:paraId="39F79BCC" w14:textId="77777777" w:rsidR="00F9176A" w:rsidRPr="00F9176A" w:rsidRDefault="00F9176A" w:rsidP="00F9176A">
            <w:pPr>
              <w:pStyle w:val="Tabletext"/>
            </w:pPr>
            <w:r w:rsidRPr="00F9176A">
              <w:t>13</w:t>
            </w:r>
            <w:r w:rsidR="00D7157D">
              <w:t>.</w:t>
            </w:r>
            <w:r w:rsidRPr="00F9176A">
              <w:t>3443</w:t>
            </w:r>
          </w:p>
        </w:tc>
        <w:tc>
          <w:tcPr>
            <w:tcW w:w="908" w:type="pct"/>
            <w:tcBorders>
              <w:top w:val="single" w:sz="4" w:space="0" w:color="auto"/>
              <w:bottom w:val="single" w:sz="4" w:space="0" w:color="auto"/>
              <w:right w:val="nil"/>
            </w:tcBorders>
            <w:shd w:val="clear" w:color="auto" w:fill="auto"/>
            <w:vAlign w:val="bottom"/>
          </w:tcPr>
          <w:p w14:paraId="6B20B660" w14:textId="77777777" w:rsidR="00F9176A" w:rsidRPr="00F9176A" w:rsidRDefault="00F9176A" w:rsidP="00F9176A">
            <w:pPr>
              <w:pStyle w:val="Tabletext"/>
            </w:pPr>
            <w:r w:rsidRPr="00F9176A">
              <w:t>0</w:t>
            </w:r>
            <w:r w:rsidR="00D7157D">
              <w:t>.</w:t>
            </w:r>
            <w:r w:rsidRPr="00F9176A">
              <w:t>2133</w:t>
            </w:r>
          </w:p>
        </w:tc>
      </w:tr>
      <w:tr w:rsidR="00F9176A" w:rsidRPr="00F9176A" w14:paraId="077A8EF1" w14:textId="77777777" w:rsidTr="00A11447">
        <w:trPr>
          <w:cantSplit/>
        </w:trPr>
        <w:tc>
          <w:tcPr>
            <w:tcW w:w="1365" w:type="pct"/>
            <w:tcBorders>
              <w:top w:val="single" w:sz="4" w:space="0" w:color="auto"/>
              <w:bottom w:val="single" w:sz="4" w:space="0" w:color="auto"/>
            </w:tcBorders>
          </w:tcPr>
          <w:p w14:paraId="1012816A" w14:textId="77777777" w:rsidR="00F9176A" w:rsidRPr="00F9176A" w:rsidRDefault="00F9176A" w:rsidP="00F9176A">
            <w:pPr>
              <w:pStyle w:val="Tabletext"/>
            </w:pPr>
            <w:r w:rsidRPr="00F9176A">
              <w:t>70</w:t>
            </w:r>
          </w:p>
        </w:tc>
        <w:tc>
          <w:tcPr>
            <w:tcW w:w="909" w:type="pct"/>
            <w:tcBorders>
              <w:top w:val="single" w:sz="4" w:space="0" w:color="auto"/>
              <w:bottom w:val="single" w:sz="4" w:space="0" w:color="auto"/>
            </w:tcBorders>
            <w:shd w:val="clear" w:color="auto" w:fill="auto"/>
            <w:vAlign w:val="bottom"/>
          </w:tcPr>
          <w:p w14:paraId="30FB7DD9" w14:textId="77777777" w:rsidR="00F9176A" w:rsidRPr="00F9176A" w:rsidRDefault="00F9176A" w:rsidP="00F9176A">
            <w:pPr>
              <w:pStyle w:val="Tabletext"/>
            </w:pPr>
            <w:r w:rsidRPr="00F9176A">
              <w:t>11</w:t>
            </w:r>
            <w:r w:rsidR="00D7157D">
              <w:t>.</w:t>
            </w:r>
            <w:r w:rsidRPr="00F9176A">
              <w:t>5352</w:t>
            </w:r>
          </w:p>
        </w:tc>
        <w:tc>
          <w:tcPr>
            <w:tcW w:w="909" w:type="pct"/>
            <w:tcBorders>
              <w:top w:val="single" w:sz="4" w:space="0" w:color="auto"/>
              <w:bottom w:val="single" w:sz="4" w:space="0" w:color="auto"/>
            </w:tcBorders>
            <w:shd w:val="clear" w:color="auto" w:fill="auto"/>
            <w:vAlign w:val="bottom"/>
          </w:tcPr>
          <w:p w14:paraId="3B17CC78" w14:textId="77777777" w:rsidR="00F9176A" w:rsidRPr="00F9176A" w:rsidRDefault="00F9176A" w:rsidP="00F9176A">
            <w:pPr>
              <w:pStyle w:val="Tabletext"/>
            </w:pPr>
            <w:r w:rsidRPr="00F9176A">
              <w:t>0</w:t>
            </w:r>
            <w:r w:rsidR="00D7157D">
              <w:t>.</w:t>
            </w:r>
            <w:r w:rsidRPr="00F9176A">
              <w:t>7831</w:t>
            </w:r>
          </w:p>
        </w:tc>
        <w:tc>
          <w:tcPr>
            <w:tcW w:w="909" w:type="pct"/>
            <w:tcBorders>
              <w:top w:val="single" w:sz="4" w:space="0" w:color="auto"/>
              <w:bottom w:val="single" w:sz="4" w:space="0" w:color="auto"/>
            </w:tcBorders>
            <w:shd w:val="clear" w:color="auto" w:fill="auto"/>
            <w:vAlign w:val="bottom"/>
          </w:tcPr>
          <w:p w14:paraId="1B0BDAE2" w14:textId="77777777" w:rsidR="00F9176A" w:rsidRPr="00F9176A" w:rsidRDefault="00F9176A" w:rsidP="00F9176A">
            <w:pPr>
              <w:pStyle w:val="Tabletext"/>
            </w:pPr>
            <w:r w:rsidRPr="00F9176A">
              <w:t>12</w:t>
            </w:r>
            <w:r w:rsidR="00D7157D">
              <w:t>.</w:t>
            </w:r>
            <w:r w:rsidRPr="00F9176A">
              <w:t>8431</w:t>
            </w:r>
          </w:p>
        </w:tc>
        <w:tc>
          <w:tcPr>
            <w:tcW w:w="908" w:type="pct"/>
            <w:tcBorders>
              <w:top w:val="single" w:sz="4" w:space="0" w:color="auto"/>
              <w:bottom w:val="single" w:sz="4" w:space="0" w:color="auto"/>
              <w:right w:val="nil"/>
            </w:tcBorders>
            <w:shd w:val="clear" w:color="auto" w:fill="auto"/>
            <w:vAlign w:val="bottom"/>
          </w:tcPr>
          <w:p w14:paraId="30D8C7ED" w14:textId="77777777" w:rsidR="00F9176A" w:rsidRPr="00F9176A" w:rsidRDefault="00F9176A" w:rsidP="00F9176A">
            <w:pPr>
              <w:pStyle w:val="Tabletext"/>
            </w:pPr>
            <w:r w:rsidRPr="00F9176A">
              <w:t>0</w:t>
            </w:r>
            <w:r w:rsidR="00D7157D">
              <w:t>.</w:t>
            </w:r>
            <w:r w:rsidRPr="00F9176A">
              <w:t>2113</w:t>
            </w:r>
          </w:p>
        </w:tc>
      </w:tr>
      <w:tr w:rsidR="00F9176A" w:rsidRPr="00F9176A" w14:paraId="3FA01216" w14:textId="77777777" w:rsidTr="00A11447">
        <w:trPr>
          <w:cantSplit/>
        </w:trPr>
        <w:tc>
          <w:tcPr>
            <w:tcW w:w="1365" w:type="pct"/>
            <w:tcBorders>
              <w:top w:val="single" w:sz="4" w:space="0" w:color="auto"/>
              <w:bottom w:val="single" w:sz="4" w:space="0" w:color="auto"/>
            </w:tcBorders>
          </w:tcPr>
          <w:p w14:paraId="03CA5DBD" w14:textId="77777777" w:rsidR="00F9176A" w:rsidRPr="00F9176A" w:rsidRDefault="00F9176A" w:rsidP="00F9176A">
            <w:pPr>
              <w:pStyle w:val="Tabletext"/>
            </w:pPr>
            <w:r w:rsidRPr="00F9176A">
              <w:t>71</w:t>
            </w:r>
          </w:p>
        </w:tc>
        <w:tc>
          <w:tcPr>
            <w:tcW w:w="909" w:type="pct"/>
            <w:tcBorders>
              <w:top w:val="single" w:sz="4" w:space="0" w:color="auto"/>
              <w:bottom w:val="single" w:sz="4" w:space="0" w:color="auto"/>
            </w:tcBorders>
            <w:shd w:val="clear" w:color="auto" w:fill="auto"/>
            <w:vAlign w:val="bottom"/>
          </w:tcPr>
          <w:p w14:paraId="057AD941" w14:textId="77777777" w:rsidR="00F9176A" w:rsidRPr="00F9176A" w:rsidRDefault="00F9176A" w:rsidP="00F9176A">
            <w:pPr>
              <w:pStyle w:val="Tabletext"/>
            </w:pPr>
            <w:r w:rsidRPr="00F9176A">
              <w:t>11</w:t>
            </w:r>
            <w:r w:rsidR="00D7157D">
              <w:t>.</w:t>
            </w:r>
            <w:r w:rsidRPr="00F9176A">
              <w:t>0769</w:t>
            </w:r>
          </w:p>
        </w:tc>
        <w:tc>
          <w:tcPr>
            <w:tcW w:w="909" w:type="pct"/>
            <w:tcBorders>
              <w:top w:val="single" w:sz="4" w:space="0" w:color="auto"/>
              <w:bottom w:val="single" w:sz="4" w:space="0" w:color="auto"/>
            </w:tcBorders>
            <w:shd w:val="clear" w:color="auto" w:fill="auto"/>
            <w:vAlign w:val="bottom"/>
          </w:tcPr>
          <w:p w14:paraId="54ED51ED" w14:textId="77777777" w:rsidR="00F9176A" w:rsidRPr="00F9176A" w:rsidRDefault="00F9176A" w:rsidP="00F9176A">
            <w:pPr>
              <w:pStyle w:val="Tabletext"/>
            </w:pPr>
            <w:r w:rsidRPr="00F9176A">
              <w:t>0</w:t>
            </w:r>
            <w:r w:rsidR="00D7157D">
              <w:t>.</w:t>
            </w:r>
            <w:r w:rsidRPr="00F9176A">
              <w:t>7767</w:t>
            </w:r>
          </w:p>
        </w:tc>
        <w:tc>
          <w:tcPr>
            <w:tcW w:w="909" w:type="pct"/>
            <w:tcBorders>
              <w:top w:val="single" w:sz="4" w:space="0" w:color="auto"/>
              <w:bottom w:val="single" w:sz="4" w:space="0" w:color="auto"/>
            </w:tcBorders>
            <w:shd w:val="clear" w:color="auto" w:fill="auto"/>
            <w:vAlign w:val="bottom"/>
          </w:tcPr>
          <w:p w14:paraId="2F6CDD98" w14:textId="77777777" w:rsidR="00F9176A" w:rsidRPr="00F9176A" w:rsidRDefault="00F9176A" w:rsidP="00F9176A">
            <w:pPr>
              <w:pStyle w:val="Tabletext"/>
            </w:pPr>
            <w:r w:rsidRPr="00F9176A">
              <w:t>12</w:t>
            </w:r>
            <w:r w:rsidR="00D7157D">
              <w:t>.</w:t>
            </w:r>
            <w:r w:rsidRPr="00F9176A">
              <w:t>3419</w:t>
            </w:r>
          </w:p>
        </w:tc>
        <w:tc>
          <w:tcPr>
            <w:tcW w:w="908" w:type="pct"/>
            <w:tcBorders>
              <w:top w:val="single" w:sz="4" w:space="0" w:color="auto"/>
              <w:bottom w:val="single" w:sz="4" w:space="0" w:color="auto"/>
              <w:right w:val="nil"/>
            </w:tcBorders>
            <w:shd w:val="clear" w:color="auto" w:fill="auto"/>
            <w:vAlign w:val="bottom"/>
          </w:tcPr>
          <w:p w14:paraId="7E7DEAA7" w14:textId="77777777" w:rsidR="00F9176A" w:rsidRPr="00F9176A" w:rsidRDefault="00F9176A" w:rsidP="00F9176A">
            <w:pPr>
              <w:pStyle w:val="Tabletext"/>
            </w:pPr>
            <w:r w:rsidRPr="00F9176A">
              <w:t>0</w:t>
            </w:r>
            <w:r w:rsidR="00D7157D">
              <w:t>.</w:t>
            </w:r>
            <w:r w:rsidRPr="00F9176A">
              <w:t>2091</w:t>
            </w:r>
          </w:p>
        </w:tc>
      </w:tr>
      <w:tr w:rsidR="00F9176A" w:rsidRPr="00F9176A" w14:paraId="73E18F3D" w14:textId="77777777" w:rsidTr="00A11447">
        <w:trPr>
          <w:cantSplit/>
        </w:trPr>
        <w:tc>
          <w:tcPr>
            <w:tcW w:w="1365" w:type="pct"/>
            <w:tcBorders>
              <w:top w:val="single" w:sz="4" w:space="0" w:color="auto"/>
              <w:bottom w:val="single" w:sz="4" w:space="0" w:color="auto"/>
            </w:tcBorders>
          </w:tcPr>
          <w:p w14:paraId="7AE2B4EC" w14:textId="77777777" w:rsidR="00F9176A" w:rsidRPr="00F9176A" w:rsidRDefault="00F9176A" w:rsidP="00F9176A">
            <w:pPr>
              <w:pStyle w:val="Tabletext"/>
            </w:pPr>
            <w:r w:rsidRPr="00F9176A">
              <w:t>72</w:t>
            </w:r>
          </w:p>
        </w:tc>
        <w:tc>
          <w:tcPr>
            <w:tcW w:w="909" w:type="pct"/>
            <w:tcBorders>
              <w:top w:val="single" w:sz="4" w:space="0" w:color="auto"/>
              <w:bottom w:val="single" w:sz="4" w:space="0" w:color="auto"/>
            </w:tcBorders>
            <w:shd w:val="clear" w:color="auto" w:fill="auto"/>
            <w:vAlign w:val="bottom"/>
          </w:tcPr>
          <w:p w14:paraId="6643C741" w14:textId="77777777" w:rsidR="00F9176A" w:rsidRPr="00F9176A" w:rsidRDefault="00F9176A" w:rsidP="00F9176A">
            <w:pPr>
              <w:pStyle w:val="Tabletext"/>
            </w:pPr>
            <w:r w:rsidRPr="00F9176A">
              <w:t>10</w:t>
            </w:r>
            <w:r w:rsidR="00D7157D">
              <w:t>.</w:t>
            </w:r>
            <w:r w:rsidRPr="00F9176A">
              <w:t>6203</w:t>
            </w:r>
          </w:p>
        </w:tc>
        <w:tc>
          <w:tcPr>
            <w:tcW w:w="909" w:type="pct"/>
            <w:tcBorders>
              <w:top w:val="single" w:sz="4" w:space="0" w:color="auto"/>
              <w:bottom w:val="single" w:sz="4" w:space="0" w:color="auto"/>
            </w:tcBorders>
            <w:shd w:val="clear" w:color="auto" w:fill="auto"/>
            <w:vAlign w:val="bottom"/>
          </w:tcPr>
          <w:p w14:paraId="513FFCD4" w14:textId="77777777" w:rsidR="00F9176A" w:rsidRPr="00F9176A" w:rsidRDefault="00F9176A" w:rsidP="00F9176A">
            <w:pPr>
              <w:pStyle w:val="Tabletext"/>
            </w:pPr>
            <w:r w:rsidRPr="00F9176A">
              <w:t>0</w:t>
            </w:r>
            <w:r w:rsidR="00D7157D">
              <w:t>.</w:t>
            </w:r>
            <w:r w:rsidRPr="00F9176A">
              <w:t>7691</w:t>
            </w:r>
          </w:p>
        </w:tc>
        <w:tc>
          <w:tcPr>
            <w:tcW w:w="909" w:type="pct"/>
            <w:tcBorders>
              <w:top w:val="single" w:sz="4" w:space="0" w:color="auto"/>
              <w:bottom w:val="single" w:sz="4" w:space="0" w:color="auto"/>
            </w:tcBorders>
            <w:shd w:val="clear" w:color="auto" w:fill="auto"/>
            <w:vAlign w:val="bottom"/>
          </w:tcPr>
          <w:p w14:paraId="1ED3204B" w14:textId="77777777" w:rsidR="00F9176A" w:rsidRPr="00F9176A" w:rsidRDefault="00F9176A" w:rsidP="00F9176A">
            <w:pPr>
              <w:pStyle w:val="Tabletext"/>
            </w:pPr>
            <w:r w:rsidRPr="00F9176A">
              <w:t>11</w:t>
            </w:r>
            <w:r w:rsidR="00D7157D">
              <w:t>.</w:t>
            </w:r>
            <w:r w:rsidRPr="00F9176A">
              <w:t>8404</w:t>
            </w:r>
          </w:p>
        </w:tc>
        <w:tc>
          <w:tcPr>
            <w:tcW w:w="908" w:type="pct"/>
            <w:tcBorders>
              <w:top w:val="single" w:sz="4" w:space="0" w:color="auto"/>
              <w:bottom w:val="single" w:sz="4" w:space="0" w:color="auto"/>
              <w:right w:val="nil"/>
            </w:tcBorders>
            <w:shd w:val="clear" w:color="auto" w:fill="auto"/>
            <w:vAlign w:val="bottom"/>
          </w:tcPr>
          <w:p w14:paraId="248A9778" w14:textId="77777777" w:rsidR="00F9176A" w:rsidRPr="00F9176A" w:rsidRDefault="00F9176A" w:rsidP="00F9176A">
            <w:pPr>
              <w:pStyle w:val="Tabletext"/>
            </w:pPr>
            <w:r w:rsidRPr="00F9176A">
              <w:t>0</w:t>
            </w:r>
            <w:r w:rsidR="00D7157D">
              <w:t>.</w:t>
            </w:r>
            <w:r w:rsidRPr="00F9176A">
              <w:t>2066</w:t>
            </w:r>
          </w:p>
        </w:tc>
      </w:tr>
      <w:tr w:rsidR="00F9176A" w:rsidRPr="00F9176A" w14:paraId="602799CF" w14:textId="77777777" w:rsidTr="00A11447">
        <w:trPr>
          <w:cantSplit/>
        </w:trPr>
        <w:tc>
          <w:tcPr>
            <w:tcW w:w="1365" w:type="pct"/>
            <w:tcBorders>
              <w:top w:val="single" w:sz="4" w:space="0" w:color="auto"/>
              <w:bottom w:val="single" w:sz="4" w:space="0" w:color="auto"/>
            </w:tcBorders>
          </w:tcPr>
          <w:p w14:paraId="2F40FD4A" w14:textId="77777777" w:rsidR="00F9176A" w:rsidRPr="00F9176A" w:rsidRDefault="00F9176A" w:rsidP="00F9176A">
            <w:pPr>
              <w:pStyle w:val="Tabletext"/>
            </w:pPr>
            <w:r w:rsidRPr="00F9176A">
              <w:t>73</w:t>
            </w:r>
          </w:p>
        </w:tc>
        <w:tc>
          <w:tcPr>
            <w:tcW w:w="909" w:type="pct"/>
            <w:tcBorders>
              <w:top w:val="single" w:sz="4" w:space="0" w:color="auto"/>
              <w:bottom w:val="single" w:sz="4" w:space="0" w:color="auto"/>
            </w:tcBorders>
            <w:shd w:val="clear" w:color="auto" w:fill="auto"/>
            <w:vAlign w:val="bottom"/>
          </w:tcPr>
          <w:p w14:paraId="6B41C989" w14:textId="77777777" w:rsidR="00F9176A" w:rsidRPr="00F9176A" w:rsidRDefault="00F9176A" w:rsidP="00F9176A">
            <w:pPr>
              <w:pStyle w:val="Tabletext"/>
            </w:pPr>
            <w:r w:rsidRPr="00F9176A">
              <w:t>10</w:t>
            </w:r>
            <w:r w:rsidR="00D7157D">
              <w:t>.</w:t>
            </w:r>
            <w:r w:rsidRPr="00F9176A">
              <w:t>1662</w:t>
            </w:r>
          </w:p>
        </w:tc>
        <w:tc>
          <w:tcPr>
            <w:tcW w:w="909" w:type="pct"/>
            <w:tcBorders>
              <w:top w:val="single" w:sz="4" w:space="0" w:color="auto"/>
              <w:bottom w:val="single" w:sz="4" w:space="0" w:color="auto"/>
            </w:tcBorders>
            <w:shd w:val="clear" w:color="auto" w:fill="auto"/>
            <w:vAlign w:val="bottom"/>
          </w:tcPr>
          <w:p w14:paraId="55DD7BD0" w14:textId="77777777" w:rsidR="00F9176A" w:rsidRPr="00F9176A" w:rsidRDefault="00F9176A" w:rsidP="00F9176A">
            <w:pPr>
              <w:pStyle w:val="Tabletext"/>
            </w:pPr>
            <w:r w:rsidRPr="00F9176A">
              <w:t>0</w:t>
            </w:r>
            <w:r w:rsidR="00D7157D">
              <w:t>.</w:t>
            </w:r>
            <w:r w:rsidRPr="00F9176A">
              <w:t>7606</w:t>
            </w:r>
          </w:p>
        </w:tc>
        <w:tc>
          <w:tcPr>
            <w:tcW w:w="909" w:type="pct"/>
            <w:tcBorders>
              <w:top w:val="single" w:sz="4" w:space="0" w:color="auto"/>
              <w:bottom w:val="single" w:sz="4" w:space="0" w:color="auto"/>
            </w:tcBorders>
            <w:shd w:val="clear" w:color="auto" w:fill="auto"/>
            <w:vAlign w:val="bottom"/>
          </w:tcPr>
          <w:p w14:paraId="2CE3BBE5" w14:textId="77777777" w:rsidR="00F9176A" w:rsidRPr="00F9176A" w:rsidRDefault="00F9176A" w:rsidP="00F9176A">
            <w:pPr>
              <w:pStyle w:val="Tabletext"/>
            </w:pPr>
            <w:r w:rsidRPr="00F9176A">
              <w:t>11</w:t>
            </w:r>
            <w:r w:rsidR="00D7157D">
              <w:t>.</w:t>
            </w:r>
            <w:r w:rsidRPr="00F9176A">
              <w:t>3405</w:t>
            </w:r>
          </w:p>
        </w:tc>
        <w:tc>
          <w:tcPr>
            <w:tcW w:w="908" w:type="pct"/>
            <w:tcBorders>
              <w:top w:val="single" w:sz="4" w:space="0" w:color="auto"/>
              <w:bottom w:val="single" w:sz="4" w:space="0" w:color="auto"/>
              <w:right w:val="nil"/>
            </w:tcBorders>
            <w:shd w:val="clear" w:color="auto" w:fill="auto"/>
            <w:vAlign w:val="bottom"/>
          </w:tcPr>
          <w:p w14:paraId="37AC1828" w14:textId="77777777" w:rsidR="00F9176A" w:rsidRPr="00F9176A" w:rsidRDefault="00F9176A" w:rsidP="00F9176A">
            <w:pPr>
              <w:pStyle w:val="Tabletext"/>
            </w:pPr>
            <w:r w:rsidRPr="00F9176A">
              <w:t>0</w:t>
            </w:r>
            <w:r w:rsidR="00D7157D">
              <w:t>.</w:t>
            </w:r>
            <w:r w:rsidRPr="00F9176A">
              <w:t>2037</w:t>
            </w:r>
          </w:p>
        </w:tc>
      </w:tr>
      <w:tr w:rsidR="00F9176A" w:rsidRPr="00F9176A" w14:paraId="7E8EE4FB" w14:textId="77777777" w:rsidTr="00A11447">
        <w:trPr>
          <w:cantSplit/>
        </w:trPr>
        <w:tc>
          <w:tcPr>
            <w:tcW w:w="1365" w:type="pct"/>
            <w:tcBorders>
              <w:top w:val="single" w:sz="4" w:space="0" w:color="auto"/>
              <w:bottom w:val="single" w:sz="4" w:space="0" w:color="auto"/>
            </w:tcBorders>
          </w:tcPr>
          <w:p w14:paraId="6A448DE3" w14:textId="77777777" w:rsidR="00F9176A" w:rsidRPr="00F9176A" w:rsidRDefault="00F9176A" w:rsidP="00F9176A">
            <w:pPr>
              <w:pStyle w:val="Tabletext"/>
            </w:pPr>
            <w:r w:rsidRPr="00F9176A">
              <w:t>74</w:t>
            </w:r>
          </w:p>
        </w:tc>
        <w:tc>
          <w:tcPr>
            <w:tcW w:w="909" w:type="pct"/>
            <w:tcBorders>
              <w:top w:val="single" w:sz="4" w:space="0" w:color="auto"/>
              <w:bottom w:val="single" w:sz="4" w:space="0" w:color="auto"/>
            </w:tcBorders>
            <w:shd w:val="clear" w:color="auto" w:fill="auto"/>
            <w:vAlign w:val="bottom"/>
          </w:tcPr>
          <w:p w14:paraId="630428AF" w14:textId="77777777" w:rsidR="00F9176A" w:rsidRPr="00F9176A" w:rsidRDefault="00F9176A" w:rsidP="00F9176A">
            <w:pPr>
              <w:pStyle w:val="Tabletext"/>
            </w:pPr>
            <w:r w:rsidRPr="00F9176A">
              <w:t>9</w:t>
            </w:r>
            <w:r w:rsidR="00D7157D">
              <w:t>.</w:t>
            </w:r>
            <w:r w:rsidRPr="00F9176A">
              <w:t>7150</w:t>
            </w:r>
          </w:p>
        </w:tc>
        <w:tc>
          <w:tcPr>
            <w:tcW w:w="909" w:type="pct"/>
            <w:tcBorders>
              <w:top w:val="single" w:sz="4" w:space="0" w:color="auto"/>
              <w:bottom w:val="single" w:sz="4" w:space="0" w:color="auto"/>
            </w:tcBorders>
            <w:shd w:val="clear" w:color="auto" w:fill="auto"/>
            <w:vAlign w:val="bottom"/>
          </w:tcPr>
          <w:p w14:paraId="3199BF01" w14:textId="77777777" w:rsidR="00F9176A" w:rsidRPr="00F9176A" w:rsidRDefault="00F9176A" w:rsidP="00F9176A">
            <w:pPr>
              <w:pStyle w:val="Tabletext"/>
            </w:pPr>
            <w:r w:rsidRPr="00F9176A">
              <w:t>0</w:t>
            </w:r>
            <w:r w:rsidR="00D7157D">
              <w:t>.</w:t>
            </w:r>
            <w:r w:rsidRPr="00F9176A">
              <w:t>7510</w:t>
            </w:r>
          </w:p>
        </w:tc>
        <w:tc>
          <w:tcPr>
            <w:tcW w:w="909" w:type="pct"/>
            <w:tcBorders>
              <w:top w:val="single" w:sz="4" w:space="0" w:color="auto"/>
              <w:bottom w:val="single" w:sz="4" w:space="0" w:color="auto"/>
            </w:tcBorders>
            <w:shd w:val="clear" w:color="auto" w:fill="auto"/>
            <w:vAlign w:val="bottom"/>
          </w:tcPr>
          <w:p w14:paraId="724165BF" w14:textId="77777777" w:rsidR="00F9176A" w:rsidRPr="00F9176A" w:rsidRDefault="00F9176A" w:rsidP="00F9176A">
            <w:pPr>
              <w:pStyle w:val="Tabletext"/>
            </w:pPr>
            <w:r w:rsidRPr="00F9176A">
              <w:t>10</w:t>
            </w:r>
            <w:r w:rsidR="00D7157D">
              <w:t>.</w:t>
            </w:r>
            <w:r w:rsidRPr="00F9176A">
              <w:t>8431</w:t>
            </w:r>
          </w:p>
        </w:tc>
        <w:tc>
          <w:tcPr>
            <w:tcW w:w="908" w:type="pct"/>
            <w:tcBorders>
              <w:top w:val="single" w:sz="4" w:space="0" w:color="auto"/>
              <w:bottom w:val="single" w:sz="4" w:space="0" w:color="auto"/>
              <w:right w:val="nil"/>
            </w:tcBorders>
            <w:shd w:val="clear" w:color="auto" w:fill="auto"/>
            <w:vAlign w:val="bottom"/>
          </w:tcPr>
          <w:p w14:paraId="51E94F2A" w14:textId="77777777" w:rsidR="00F9176A" w:rsidRPr="00F9176A" w:rsidRDefault="00F9176A" w:rsidP="00F9176A">
            <w:pPr>
              <w:pStyle w:val="Tabletext"/>
            </w:pPr>
            <w:r w:rsidRPr="00F9176A">
              <w:t>0</w:t>
            </w:r>
            <w:r w:rsidR="00D7157D">
              <w:t>.</w:t>
            </w:r>
            <w:r w:rsidRPr="00F9176A">
              <w:t>2006</w:t>
            </w:r>
          </w:p>
        </w:tc>
      </w:tr>
      <w:tr w:rsidR="00F9176A" w:rsidRPr="00F9176A" w14:paraId="64170FC5" w14:textId="77777777" w:rsidTr="00A11447">
        <w:trPr>
          <w:cantSplit/>
        </w:trPr>
        <w:tc>
          <w:tcPr>
            <w:tcW w:w="1365" w:type="pct"/>
            <w:tcBorders>
              <w:top w:val="single" w:sz="4" w:space="0" w:color="auto"/>
              <w:bottom w:val="single" w:sz="4" w:space="0" w:color="auto"/>
            </w:tcBorders>
          </w:tcPr>
          <w:p w14:paraId="4AF37282" w14:textId="77777777" w:rsidR="00F9176A" w:rsidRPr="00F9176A" w:rsidRDefault="00F9176A" w:rsidP="00F9176A">
            <w:pPr>
              <w:pStyle w:val="Tabletext"/>
            </w:pPr>
            <w:r w:rsidRPr="00F9176A">
              <w:t>75</w:t>
            </w:r>
          </w:p>
        </w:tc>
        <w:tc>
          <w:tcPr>
            <w:tcW w:w="909" w:type="pct"/>
            <w:tcBorders>
              <w:top w:val="single" w:sz="4" w:space="0" w:color="auto"/>
              <w:bottom w:val="single" w:sz="4" w:space="0" w:color="auto"/>
            </w:tcBorders>
            <w:shd w:val="clear" w:color="auto" w:fill="auto"/>
            <w:vAlign w:val="bottom"/>
          </w:tcPr>
          <w:p w14:paraId="787CD2D8" w14:textId="77777777" w:rsidR="00F9176A" w:rsidRPr="00F9176A" w:rsidRDefault="00F9176A" w:rsidP="00F9176A">
            <w:pPr>
              <w:pStyle w:val="Tabletext"/>
            </w:pPr>
            <w:r w:rsidRPr="00F9176A">
              <w:t>9</w:t>
            </w:r>
            <w:r w:rsidR="00D7157D">
              <w:t>.</w:t>
            </w:r>
            <w:r w:rsidRPr="00F9176A">
              <w:t>2670</w:t>
            </w:r>
          </w:p>
        </w:tc>
        <w:tc>
          <w:tcPr>
            <w:tcW w:w="909" w:type="pct"/>
            <w:tcBorders>
              <w:top w:val="single" w:sz="4" w:space="0" w:color="auto"/>
              <w:bottom w:val="single" w:sz="4" w:space="0" w:color="auto"/>
            </w:tcBorders>
            <w:shd w:val="clear" w:color="auto" w:fill="auto"/>
            <w:vAlign w:val="bottom"/>
          </w:tcPr>
          <w:p w14:paraId="67B19EB4" w14:textId="77777777" w:rsidR="00F9176A" w:rsidRPr="00F9176A" w:rsidRDefault="00F9176A" w:rsidP="00F9176A">
            <w:pPr>
              <w:pStyle w:val="Tabletext"/>
            </w:pPr>
            <w:r w:rsidRPr="00F9176A">
              <w:t>0</w:t>
            </w:r>
            <w:r w:rsidR="00D7157D">
              <w:t>.</w:t>
            </w:r>
            <w:r w:rsidRPr="00F9176A">
              <w:t>7403</w:t>
            </w:r>
          </w:p>
        </w:tc>
        <w:tc>
          <w:tcPr>
            <w:tcW w:w="909" w:type="pct"/>
            <w:tcBorders>
              <w:top w:val="single" w:sz="4" w:space="0" w:color="auto"/>
              <w:bottom w:val="single" w:sz="4" w:space="0" w:color="auto"/>
            </w:tcBorders>
            <w:shd w:val="clear" w:color="auto" w:fill="auto"/>
            <w:vAlign w:val="bottom"/>
          </w:tcPr>
          <w:p w14:paraId="24225182" w14:textId="77777777" w:rsidR="00F9176A" w:rsidRPr="00F9176A" w:rsidRDefault="00F9176A" w:rsidP="00F9176A">
            <w:pPr>
              <w:pStyle w:val="Tabletext"/>
            </w:pPr>
            <w:r w:rsidRPr="00F9176A">
              <w:t>10</w:t>
            </w:r>
            <w:r w:rsidR="00D7157D">
              <w:t>.</w:t>
            </w:r>
            <w:r w:rsidRPr="00F9176A">
              <w:t>3476</w:t>
            </w:r>
          </w:p>
        </w:tc>
        <w:tc>
          <w:tcPr>
            <w:tcW w:w="908" w:type="pct"/>
            <w:tcBorders>
              <w:top w:val="single" w:sz="4" w:space="0" w:color="auto"/>
              <w:bottom w:val="single" w:sz="4" w:space="0" w:color="auto"/>
              <w:right w:val="nil"/>
            </w:tcBorders>
            <w:shd w:val="clear" w:color="auto" w:fill="auto"/>
            <w:vAlign w:val="bottom"/>
          </w:tcPr>
          <w:p w14:paraId="539DB434" w14:textId="77777777" w:rsidR="00F9176A" w:rsidRPr="00F9176A" w:rsidRDefault="00F9176A" w:rsidP="00F9176A">
            <w:pPr>
              <w:pStyle w:val="Tabletext"/>
            </w:pPr>
            <w:r w:rsidRPr="00F9176A">
              <w:t>0</w:t>
            </w:r>
            <w:r w:rsidR="00D7157D">
              <w:t>.</w:t>
            </w:r>
            <w:r w:rsidRPr="00F9176A">
              <w:t>1972</w:t>
            </w:r>
          </w:p>
        </w:tc>
      </w:tr>
      <w:tr w:rsidR="00F9176A" w:rsidRPr="00F9176A" w14:paraId="67F340E5" w14:textId="77777777" w:rsidTr="00A11447">
        <w:trPr>
          <w:cantSplit/>
        </w:trPr>
        <w:tc>
          <w:tcPr>
            <w:tcW w:w="1365" w:type="pct"/>
            <w:tcBorders>
              <w:top w:val="single" w:sz="4" w:space="0" w:color="auto"/>
              <w:bottom w:val="single" w:sz="4" w:space="0" w:color="auto"/>
            </w:tcBorders>
          </w:tcPr>
          <w:p w14:paraId="63C4F372" w14:textId="77777777" w:rsidR="00F9176A" w:rsidRPr="00F9176A" w:rsidRDefault="00F9176A" w:rsidP="00F9176A">
            <w:pPr>
              <w:pStyle w:val="Tabletext"/>
            </w:pPr>
            <w:r w:rsidRPr="00F9176A">
              <w:t>76</w:t>
            </w:r>
          </w:p>
        </w:tc>
        <w:tc>
          <w:tcPr>
            <w:tcW w:w="909" w:type="pct"/>
            <w:tcBorders>
              <w:top w:val="single" w:sz="4" w:space="0" w:color="auto"/>
              <w:bottom w:val="single" w:sz="4" w:space="0" w:color="auto"/>
            </w:tcBorders>
            <w:shd w:val="clear" w:color="auto" w:fill="auto"/>
            <w:vAlign w:val="bottom"/>
          </w:tcPr>
          <w:p w14:paraId="15BC586C" w14:textId="77777777" w:rsidR="00F9176A" w:rsidRPr="00F9176A" w:rsidRDefault="00F9176A" w:rsidP="00F9176A">
            <w:pPr>
              <w:pStyle w:val="Tabletext"/>
            </w:pPr>
            <w:r w:rsidRPr="00F9176A">
              <w:t>8</w:t>
            </w:r>
            <w:r w:rsidR="00D7157D">
              <w:t>.</w:t>
            </w:r>
            <w:r w:rsidRPr="00F9176A">
              <w:t>8225</w:t>
            </w:r>
          </w:p>
        </w:tc>
        <w:tc>
          <w:tcPr>
            <w:tcW w:w="909" w:type="pct"/>
            <w:tcBorders>
              <w:top w:val="single" w:sz="4" w:space="0" w:color="auto"/>
              <w:bottom w:val="single" w:sz="4" w:space="0" w:color="auto"/>
            </w:tcBorders>
            <w:shd w:val="clear" w:color="auto" w:fill="auto"/>
            <w:vAlign w:val="bottom"/>
          </w:tcPr>
          <w:p w14:paraId="7598F24F" w14:textId="77777777" w:rsidR="00F9176A" w:rsidRPr="00F9176A" w:rsidRDefault="00F9176A" w:rsidP="00F9176A">
            <w:pPr>
              <w:pStyle w:val="Tabletext"/>
            </w:pPr>
            <w:r w:rsidRPr="00F9176A">
              <w:t>0</w:t>
            </w:r>
            <w:r w:rsidR="00D7157D">
              <w:t>.</w:t>
            </w:r>
            <w:r w:rsidRPr="00F9176A">
              <w:t>7285</w:t>
            </w:r>
          </w:p>
        </w:tc>
        <w:tc>
          <w:tcPr>
            <w:tcW w:w="909" w:type="pct"/>
            <w:tcBorders>
              <w:top w:val="single" w:sz="4" w:space="0" w:color="auto"/>
              <w:bottom w:val="single" w:sz="4" w:space="0" w:color="auto"/>
            </w:tcBorders>
            <w:shd w:val="clear" w:color="auto" w:fill="auto"/>
            <w:vAlign w:val="bottom"/>
          </w:tcPr>
          <w:p w14:paraId="0794C10E" w14:textId="77777777" w:rsidR="00F9176A" w:rsidRPr="00F9176A" w:rsidRDefault="00F9176A" w:rsidP="00F9176A">
            <w:pPr>
              <w:pStyle w:val="Tabletext"/>
            </w:pPr>
            <w:r w:rsidRPr="00F9176A">
              <w:t>9</w:t>
            </w:r>
            <w:r w:rsidR="00D7157D">
              <w:t>.</w:t>
            </w:r>
            <w:r w:rsidRPr="00F9176A">
              <w:t>8542</w:t>
            </w:r>
          </w:p>
        </w:tc>
        <w:tc>
          <w:tcPr>
            <w:tcW w:w="908" w:type="pct"/>
            <w:tcBorders>
              <w:top w:val="single" w:sz="4" w:space="0" w:color="auto"/>
              <w:bottom w:val="single" w:sz="4" w:space="0" w:color="auto"/>
              <w:right w:val="nil"/>
            </w:tcBorders>
            <w:shd w:val="clear" w:color="auto" w:fill="auto"/>
            <w:vAlign w:val="bottom"/>
          </w:tcPr>
          <w:p w14:paraId="70BEEF67" w14:textId="77777777" w:rsidR="00F9176A" w:rsidRPr="00F9176A" w:rsidRDefault="00F9176A" w:rsidP="00F9176A">
            <w:pPr>
              <w:pStyle w:val="Tabletext"/>
            </w:pPr>
            <w:r w:rsidRPr="00F9176A">
              <w:t>0</w:t>
            </w:r>
            <w:r w:rsidR="00D7157D">
              <w:t>.</w:t>
            </w:r>
            <w:r w:rsidRPr="00F9176A">
              <w:t>1936</w:t>
            </w:r>
          </w:p>
        </w:tc>
      </w:tr>
      <w:tr w:rsidR="00F9176A" w:rsidRPr="00F9176A" w14:paraId="2F556063" w14:textId="77777777" w:rsidTr="00A11447">
        <w:trPr>
          <w:cantSplit/>
        </w:trPr>
        <w:tc>
          <w:tcPr>
            <w:tcW w:w="1365" w:type="pct"/>
            <w:tcBorders>
              <w:top w:val="single" w:sz="4" w:space="0" w:color="auto"/>
              <w:bottom w:val="single" w:sz="4" w:space="0" w:color="auto"/>
            </w:tcBorders>
          </w:tcPr>
          <w:p w14:paraId="7A0D8268" w14:textId="77777777" w:rsidR="00F9176A" w:rsidRPr="00F9176A" w:rsidRDefault="00F9176A" w:rsidP="00F9176A">
            <w:pPr>
              <w:pStyle w:val="Tabletext"/>
            </w:pPr>
            <w:r w:rsidRPr="00F9176A">
              <w:t>77</w:t>
            </w:r>
          </w:p>
        </w:tc>
        <w:tc>
          <w:tcPr>
            <w:tcW w:w="909" w:type="pct"/>
            <w:tcBorders>
              <w:top w:val="single" w:sz="4" w:space="0" w:color="auto"/>
              <w:bottom w:val="single" w:sz="4" w:space="0" w:color="auto"/>
            </w:tcBorders>
            <w:shd w:val="clear" w:color="auto" w:fill="auto"/>
            <w:vAlign w:val="bottom"/>
          </w:tcPr>
          <w:p w14:paraId="7350BB3A" w14:textId="77777777" w:rsidR="00F9176A" w:rsidRPr="00F9176A" w:rsidRDefault="00F9176A" w:rsidP="00F9176A">
            <w:pPr>
              <w:pStyle w:val="Tabletext"/>
            </w:pPr>
            <w:r w:rsidRPr="00F9176A">
              <w:t>8</w:t>
            </w:r>
            <w:r w:rsidR="00D7157D">
              <w:t>.</w:t>
            </w:r>
            <w:r w:rsidRPr="00F9176A">
              <w:t>3822</w:t>
            </w:r>
          </w:p>
        </w:tc>
        <w:tc>
          <w:tcPr>
            <w:tcW w:w="909" w:type="pct"/>
            <w:tcBorders>
              <w:top w:val="single" w:sz="4" w:space="0" w:color="auto"/>
              <w:bottom w:val="single" w:sz="4" w:space="0" w:color="auto"/>
            </w:tcBorders>
            <w:shd w:val="clear" w:color="auto" w:fill="auto"/>
            <w:vAlign w:val="bottom"/>
          </w:tcPr>
          <w:p w14:paraId="7B2B8C30" w14:textId="77777777" w:rsidR="00F9176A" w:rsidRPr="00F9176A" w:rsidRDefault="00F9176A" w:rsidP="00F9176A">
            <w:pPr>
              <w:pStyle w:val="Tabletext"/>
            </w:pPr>
            <w:r w:rsidRPr="00F9176A">
              <w:t>0</w:t>
            </w:r>
            <w:r w:rsidR="00D7157D">
              <w:t>.</w:t>
            </w:r>
            <w:r w:rsidRPr="00F9176A">
              <w:t>7158</w:t>
            </w:r>
          </w:p>
        </w:tc>
        <w:tc>
          <w:tcPr>
            <w:tcW w:w="909" w:type="pct"/>
            <w:tcBorders>
              <w:top w:val="single" w:sz="4" w:space="0" w:color="auto"/>
              <w:bottom w:val="single" w:sz="4" w:space="0" w:color="auto"/>
            </w:tcBorders>
            <w:shd w:val="clear" w:color="auto" w:fill="auto"/>
            <w:vAlign w:val="bottom"/>
          </w:tcPr>
          <w:p w14:paraId="50AE11D6" w14:textId="77777777" w:rsidR="00F9176A" w:rsidRPr="00F9176A" w:rsidRDefault="00F9176A" w:rsidP="00F9176A">
            <w:pPr>
              <w:pStyle w:val="Tabletext"/>
            </w:pPr>
            <w:r w:rsidRPr="00F9176A">
              <w:t>9</w:t>
            </w:r>
            <w:r w:rsidR="00D7157D">
              <w:t>.</w:t>
            </w:r>
            <w:r w:rsidRPr="00F9176A">
              <w:t>3644</w:t>
            </w:r>
          </w:p>
        </w:tc>
        <w:tc>
          <w:tcPr>
            <w:tcW w:w="908" w:type="pct"/>
            <w:tcBorders>
              <w:top w:val="single" w:sz="4" w:space="0" w:color="auto"/>
              <w:bottom w:val="single" w:sz="4" w:space="0" w:color="auto"/>
              <w:right w:val="nil"/>
            </w:tcBorders>
            <w:shd w:val="clear" w:color="auto" w:fill="auto"/>
            <w:vAlign w:val="bottom"/>
          </w:tcPr>
          <w:p w14:paraId="40EF1715" w14:textId="77777777" w:rsidR="00F9176A" w:rsidRPr="00F9176A" w:rsidRDefault="00F9176A" w:rsidP="00F9176A">
            <w:pPr>
              <w:pStyle w:val="Tabletext"/>
            </w:pPr>
            <w:r w:rsidRPr="00F9176A">
              <w:t>0</w:t>
            </w:r>
            <w:r w:rsidR="00D7157D">
              <w:t>.</w:t>
            </w:r>
            <w:r w:rsidRPr="00F9176A">
              <w:t>1898</w:t>
            </w:r>
          </w:p>
        </w:tc>
      </w:tr>
      <w:tr w:rsidR="00F9176A" w:rsidRPr="00F9176A" w14:paraId="4069AA3E" w14:textId="77777777" w:rsidTr="00A11447">
        <w:trPr>
          <w:cantSplit/>
        </w:trPr>
        <w:tc>
          <w:tcPr>
            <w:tcW w:w="1365" w:type="pct"/>
            <w:tcBorders>
              <w:top w:val="single" w:sz="4" w:space="0" w:color="auto"/>
              <w:bottom w:val="single" w:sz="4" w:space="0" w:color="auto"/>
            </w:tcBorders>
          </w:tcPr>
          <w:p w14:paraId="795F950C" w14:textId="77777777" w:rsidR="00F9176A" w:rsidRPr="00F9176A" w:rsidRDefault="00F9176A" w:rsidP="00F9176A">
            <w:pPr>
              <w:pStyle w:val="Tabletext"/>
            </w:pPr>
            <w:r w:rsidRPr="00F9176A">
              <w:t>78</w:t>
            </w:r>
          </w:p>
        </w:tc>
        <w:tc>
          <w:tcPr>
            <w:tcW w:w="909" w:type="pct"/>
            <w:tcBorders>
              <w:top w:val="single" w:sz="4" w:space="0" w:color="auto"/>
              <w:bottom w:val="single" w:sz="4" w:space="0" w:color="auto"/>
            </w:tcBorders>
            <w:shd w:val="clear" w:color="auto" w:fill="auto"/>
            <w:vAlign w:val="bottom"/>
          </w:tcPr>
          <w:p w14:paraId="62E5DA74" w14:textId="77777777" w:rsidR="00F9176A" w:rsidRPr="00F9176A" w:rsidRDefault="00F9176A" w:rsidP="00F9176A">
            <w:pPr>
              <w:pStyle w:val="Tabletext"/>
            </w:pPr>
            <w:r w:rsidRPr="00F9176A">
              <w:t>7</w:t>
            </w:r>
            <w:r w:rsidR="00D7157D">
              <w:t>.</w:t>
            </w:r>
            <w:r w:rsidRPr="00F9176A">
              <w:t>9471</w:t>
            </w:r>
          </w:p>
        </w:tc>
        <w:tc>
          <w:tcPr>
            <w:tcW w:w="909" w:type="pct"/>
            <w:tcBorders>
              <w:top w:val="single" w:sz="4" w:space="0" w:color="auto"/>
              <w:bottom w:val="single" w:sz="4" w:space="0" w:color="auto"/>
            </w:tcBorders>
            <w:shd w:val="clear" w:color="auto" w:fill="auto"/>
            <w:vAlign w:val="bottom"/>
          </w:tcPr>
          <w:p w14:paraId="26FA7FF7" w14:textId="77777777" w:rsidR="00F9176A" w:rsidRPr="00F9176A" w:rsidRDefault="00F9176A" w:rsidP="00F9176A">
            <w:pPr>
              <w:pStyle w:val="Tabletext"/>
            </w:pPr>
            <w:r w:rsidRPr="00F9176A">
              <w:t>0</w:t>
            </w:r>
            <w:r w:rsidR="00D7157D">
              <w:t>.</w:t>
            </w:r>
            <w:r w:rsidRPr="00F9176A">
              <w:t>7019</w:t>
            </w:r>
          </w:p>
        </w:tc>
        <w:tc>
          <w:tcPr>
            <w:tcW w:w="909" w:type="pct"/>
            <w:tcBorders>
              <w:top w:val="single" w:sz="4" w:space="0" w:color="auto"/>
              <w:bottom w:val="single" w:sz="4" w:space="0" w:color="auto"/>
            </w:tcBorders>
            <w:shd w:val="clear" w:color="auto" w:fill="auto"/>
            <w:vAlign w:val="bottom"/>
          </w:tcPr>
          <w:p w14:paraId="730BE8D0" w14:textId="77777777" w:rsidR="00F9176A" w:rsidRPr="00F9176A" w:rsidRDefault="00F9176A" w:rsidP="00F9176A">
            <w:pPr>
              <w:pStyle w:val="Tabletext"/>
            </w:pPr>
            <w:r w:rsidRPr="00F9176A">
              <w:t>8</w:t>
            </w:r>
            <w:r w:rsidR="00D7157D">
              <w:t>.</w:t>
            </w:r>
            <w:r w:rsidRPr="00F9176A">
              <w:t>8789</w:t>
            </w:r>
          </w:p>
        </w:tc>
        <w:tc>
          <w:tcPr>
            <w:tcW w:w="908" w:type="pct"/>
            <w:tcBorders>
              <w:top w:val="single" w:sz="4" w:space="0" w:color="auto"/>
              <w:bottom w:val="single" w:sz="4" w:space="0" w:color="auto"/>
              <w:right w:val="nil"/>
            </w:tcBorders>
            <w:shd w:val="clear" w:color="auto" w:fill="auto"/>
            <w:vAlign w:val="bottom"/>
          </w:tcPr>
          <w:p w14:paraId="2AEF7BB5" w14:textId="77777777" w:rsidR="00F9176A" w:rsidRPr="00F9176A" w:rsidRDefault="00F9176A" w:rsidP="00F9176A">
            <w:pPr>
              <w:pStyle w:val="Tabletext"/>
            </w:pPr>
            <w:r w:rsidRPr="00F9176A">
              <w:t>0</w:t>
            </w:r>
            <w:r w:rsidR="00D7157D">
              <w:t>.</w:t>
            </w:r>
            <w:r w:rsidRPr="00F9176A">
              <w:t>1858</w:t>
            </w:r>
          </w:p>
        </w:tc>
      </w:tr>
      <w:tr w:rsidR="00F9176A" w:rsidRPr="00F9176A" w14:paraId="19E0997E" w14:textId="77777777" w:rsidTr="00A11447">
        <w:trPr>
          <w:cantSplit/>
        </w:trPr>
        <w:tc>
          <w:tcPr>
            <w:tcW w:w="1365" w:type="pct"/>
            <w:tcBorders>
              <w:top w:val="single" w:sz="4" w:space="0" w:color="auto"/>
              <w:bottom w:val="single" w:sz="4" w:space="0" w:color="auto"/>
            </w:tcBorders>
          </w:tcPr>
          <w:p w14:paraId="30B4DE0C" w14:textId="77777777" w:rsidR="00F9176A" w:rsidRPr="00F9176A" w:rsidRDefault="00F9176A" w:rsidP="00F9176A">
            <w:pPr>
              <w:pStyle w:val="Tabletext"/>
            </w:pPr>
            <w:r w:rsidRPr="00F9176A">
              <w:t>79</w:t>
            </w:r>
          </w:p>
        </w:tc>
        <w:tc>
          <w:tcPr>
            <w:tcW w:w="909" w:type="pct"/>
            <w:tcBorders>
              <w:top w:val="single" w:sz="4" w:space="0" w:color="auto"/>
              <w:bottom w:val="single" w:sz="4" w:space="0" w:color="auto"/>
            </w:tcBorders>
            <w:shd w:val="clear" w:color="auto" w:fill="auto"/>
            <w:vAlign w:val="bottom"/>
          </w:tcPr>
          <w:p w14:paraId="25B73DD0" w14:textId="77777777" w:rsidR="00F9176A" w:rsidRPr="00F9176A" w:rsidRDefault="00F9176A" w:rsidP="00F9176A">
            <w:pPr>
              <w:pStyle w:val="Tabletext"/>
            </w:pPr>
            <w:r w:rsidRPr="00F9176A">
              <w:t>7</w:t>
            </w:r>
            <w:r w:rsidR="00D7157D">
              <w:t>.</w:t>
            </w:r>
            <w:r w:rsidRPr="00F9176A">
              <w:t>5188</w:t>
            </w:r>
          </w:p>
        </w:tc>
        <w:tc>
          <w:tcPr>
            <w:tcW w:w="909" w:type="pct"/>
            <w:tcBorders>
              <w:top w:val="single" w:sz="4" w:space="0" w:color="auto"/>
              <w:bottom w:val="single" w:sz="4" w:space="0" w:color="auto"/>
            </w:tcBorders>
            <w:shd w:val="clear" w:color="auto" w:fill="auto"/>
            <w:vAlign w:val="bottom"/>
          </w:tcPr>
          <w:p w14:paraId="01CB2B09" w14:textId="77777777" w:rsidR="00F9176A" w:rsidRPr="00F9176A" w:rsidRDefault="00F9176A" w:rsidP="00F9176A">
            <w:pPr>
              <w:pStyle w:val="Tabletext"/>
            </w:pPr>
            <w:r w:rsidRPr="00F9176A">
              <w:t>0</w:t>
            </w:r>
            <w:r w:rsidR="00D7157D">
              <w:t>.</w:t>
            </w:r>
            <w:r w:rsidRPr="00F9176A">
              <w:t>6870</w:t>
            </w:r>
          </w:p>
        </w:tc>
        <w:tc>
          <w:tcPr>
            <w:tcW w:w="909" w:type="pct"/>
            <w:tcBorders>
              <w:top w:val="single" w:sz="4" w:space="0" w:color="auto"/>
              <w:bottom w:val="single" w:sz="4" w:space="0" w:color="auto"/>
            </w:tcBorders>
            <w:shd w:val="clear" w:color="auto" w:fill="auto"/>
            <w:vAlign w:val="bottom"/>
          </w:tcPr>
          <w:p w14:paraId="6A3E9CE8" w14:textId="77777777" w:rsidR="00F9176A" w:rsidRPr="00F9176A" w:rsidRDefault="00F9176A" w:rsidP="00F9176A">
            <w:pPr>
              <w:pStyle w:val="Tabletext"/>
            </w:pPr>
            <w:r w:rsidRPr="00F9176A">
              <w:t>8</w:t>
            </w:r>
            <w:r w:rsidR="00D7157D">
              <w:t>.</w:t>
            </w:r>
            <w:r w:rsidRPr="00F9176A">
              <w:t>4003</w:t>
            </w:r>
          </w:p>
        </w:tc>
        <w:tc>
          <w:tcPr>
            <w:tcW w:w="908" w:type="pct"/>
            <w:tcBorders>
              <w:top w:val="single" w:sz="4" w:space="0" w:color="auto"/>
              <w:bottom w:val="single" w:sz="4" w:space="0" w:color="auto"/>
              <w:right w:val="nil"/>
            </w:tcBorders>
            <w:shd w:val="clear" w:color="auto" w:fill="auto"/>
            <w:vAlign w:val="bottom"/>
          </w:tcPr>
          <w:p w14:paraId="7F1669AA" w14:textId="77777777" w:rsidR="00F9176A" w:rsidRPr="00F9176A" w:rsidRDefault="00F9176A" w:rsidP="00F9176A">
            <w:pPr>
              <w:pStyle w:val="Tabletext"/>
            </w:pPr>
            <w:r w:rsidRPr="00F9176A">
              <w:t>0</w:t>
            </w:r>
            <w:r w:rsidR="00D7157D">
              <w:t>.</w:t>
            </w:r>
            <w:r w:rsidRPr="00F9176A">
              <w:t>1816</w:t>
            </w:r>
          </w:p>
        </w:tc>
      </w:tr>
      <w:tr w:rsidR="00F9176A" w:rsidRPr="00F9176A" w14:paraId="37E092B3" w14:textId="77777777" w:rsidTr="00A11447">
        <w:trPr>
          <w:cantSplit/>
        </w:trPr>
        <w:tc>
          <w:tcPr>
            <w:tcW w:w="1365" w:type="pct"/>
            <w:tcBorders>
              <w:top w:val="single" w:sz="4" w:space="0" w:color="auto"/>
              <w:bottom w:val="single" w:sz="4" w:space="0" w:color="auto"/>
            </w:tcBorders>
          </w:tcPr>
          <w:p w14:paraId="586D3EA1" w14:textId="77777777" w:rsidR="00F9176A" w:rsidRPr="00F9176A" w:rsidRDefault="00F9176A" w:rsidP="00F9176A">
            <w:pPr>
              <w:pStyle w:val="Tabletext"/>
            </w:pPr>
            <w:r w:rsidRPr="00F9176A">
              <w:t>80</w:t>
            </w:r>
          </w:p>
        </w:tc>
        <w:tc>
          <w:tcPr>
            <w:tcW w:w="909" w:type="pct"/>
            <w:tcBorders>
              <w:top w:val="single" w:sz="4" w:space="0" w:color="auto"/>
              <w:bottom w:val="single" w:sz="4" w:space="0" w:color="auto"/>
            </w:tcBorders>
            <w:shd w:val="clear" w:color="auto" w:fill="auto"/>
            <w:vAlign w:val="bottom"/>
          </w:tcPr>
          <w:p w14:paraId="720887BE" w14:textId="77777777" w:rsidR="00F9176A" w:rsidRPr="00F9176A" w:rsidRDefault="00F9176A" w:rsidP="00F9176A">
            <w:pPr>
              <w:pStyle w:val="Tabletext"/>
            </w:pPr>
            <w:r w:rsidRPr="00F9176A">
              <w:t>7</w:t>
            </w:r>
            <w:r w:rsidR="00D7157D">
              <w:t>.</w:t>
            </w:r>
            <w:r w:rsidRPr="00F9176A">
              <w:t>0986</w:t>
            </w:r>
          </w:p>
        </w:tc>
        <w:tc>
          <w:tcPr>
            <w:tcW w:w="909" w:type="pct"/>
            <w:tcBorders>
              <w:top w:val="single" w:sz="4" w:space="0" w:color="auto"/>
              <w:bottom w:val="single" w:sz="4" w:space="0" w:color="auto"/>
            </w:tcBorders>
            <w:shd w:val="clear" w:color="auto" w:fill="auto"/>
            <w:vAlign w:val="bottom"/>
          </w:tcPr>
          <w:p w14:paraId="4C4C7B62" w14:textId="77777777" w:rsidR="00F9176A" w:rsidRPr="00F9176A" w:rsidRDefault="00F9176A" w:rsidP="00F9176A">
            <w:pPr>
              <w:pStyle w:val="Tabletext"/>
            </w:pPr>
            <w:r w:rsidRPr="00F9176A">
              <w:t>0</w:t>
            </w:r>
            <w:r w:rsidR="00D7157D">
              <w:t>.</w:t>
            </w:r>
            <w:r w:rsidRPr="00F9176A">
              <w:t>6710</w:t>
            </w:r>
          </w:p>
        </w:tc>
        <w:tc>
          <w:tcPr>
            <w:tcW w:w="909" w:type="pct"/>
            <w:tcBorders>
              <w:top w:val="single" w:sz="4" w:space="0" w:color="auto"/>
              <w:bottom w:val="single" w:sz="4" w:space="0" w:color="auto"/>
            </w:tcBorders>
            <w:shd w:val="clear" w:color="auto" w:fill="auto"/>
            <w:vAlign w:val="bottom"/>
          </w:tcPr>
          <w:p w14:paraId="2D264614" w14:textId="77777777" w:rsidR="00F9176A" w:rsidRPr="00F9176A" w:rsidRDefault="00F9176A" w:rsidP="00F9176A">
            <w:pPr>
              <w:pStyle w:val="Tabletext"/>
            </w:pPr>
            <w:r w:rsidRPr="00F9176A">
              <w:t>7</w:t>
            </w:r>
            <w:r w:rsidR="00D7157D">
              <w:t>.</w:t>
            </w:r>
            <w:r w:rsidRPr="00F9176A">
              <w:t>9292</w:t>
            </w:r>
          </w:p>
        </w:tc>
        <w:tc>
          <w:tcPr>
            <w:tcW w:w="908" w:type="pct"/>
            <w:tcBorders>
              <w:top w:val="single" w:sz="4" w:space="0" w:color="auto"/>
              <w:bottom w:val="single" w:sz="4" w:space="0" w:color="auto"/>
              <w:right w:val="nil"/>
            </w:tcBorders>
            <w:shd w:val="clear" w:color="auto" w:fill="auto"/>
            <w:vAlign w:val="bottom"/>
          </w:tcPr>
          <w:p w14:paraId="305B4130" w14:textId="77777777" w:rsidR="00F9176A" w:rsidRPr="00F9176A" w:rsidRDefault="00F9176A" w:rsidP="00F9176A">
            <w:pPr>
              <w:pStyle w:val="Tabletext"/>
            </w:pPr>
            <w:r w:rsidRPr="00F9176A">
              <w:t>0</w:t>
            </w:r>
            <w:r w:rsidR="00D7157D">
              <w:t>.</w:t>
            </w:r>
            <w:r w:rsidRPr="00F9176A">
              <w:t>1772</w:t>
            </w:r>
          </w:p>
        </w:tc>
      </w:tr>
      <w:tr w:rsidR="00F9176A" w:rsidRPr="00F9176A" w14:paraId="3307FAB3" w14:textId="77777777" w:rsidTr="00A11447">
        <w:trPr>
          <w:cantSplit/>
        </w:trPr>
        <w:tc>
          <w:tcPr>
            <w:tcW w:w="1365" w:type="pct"/>
            <w:tcBorders>
              <w:top w:val="single" w:sz="4" w:space="0" w:color="auto"/>
              <w:bottom w:val="single" w:sz="4" w:space="0" w:color="auto"/>
            </w:tcBorders>
          </w:tcPr>
          <w:p w14:paraId="3D68A2B6" w14:textId="77777777" w:rsidR="00F9176A" w:rsidRPr="00F9176A" w:rsidRDefault="00F9176A" w:rsidP="00F9176A">
            <w:pPr>
              <w:pStyle w:val="Tabletext"/>
            </w:pPr>
            <w:r w:rsidRPr="00F9176A">
              <w:t>81</w:t>
            </w:r>
          </w:p>
        </w:tc>
        <w:tc>
          <w:tcPr>
            <w:tcW w:w="909" w:type="pct"/>
            <w:tcBorders>
              <w:top w:val="single" w:sz="4" w:space="0" w:color="auto"/>
              <w:bottom w:val="single" w:sz="4" w:space="0" w:color="auto"/>
            </w:tcBorders>
            <w:shd w:val="clear" w:color="auto" w:fill="auto"/>
            <w:vAlign w:val="bottom"/>
          </w:tcPr>
          <w:p w14:paraId="7236F71B" w14:textId="77777777" w:rsidR="00F9176A" w:rsidRPr="00F9176A" w:rsidRDefault="00F9176A" w:rsidP="00F9176A">
            <w:pPr>
              <w:pStyle w:val="Tabletext"/>
            </w:pPr>
            <w:r w:rsidRPr="00F9176A">
              <w:t>6</w:t>
            </w:r>
            <w:r w:rsidR="00D7157D">
              <w:t>.</w:t>
            </w:r>
            <w:r w:rsidRPr="00F9176A">
              <w:t>6879</w:t>
            </w:r>
          </w:p>
        </w:tc>
        <w:tc>
          <w:tcPr>
            <w:tcW w:w="909" w:type="pct"/>
            <w:tcBorders>
              <w:top w:val="single" w:sz="4" w:space="0" w:color="auto"/>
              <w:bottom w:val="single" w:sz="4" w:space="0" w:color="auto"/>
            </w:tcBorders>
            <w:shd w:val="clear" w:color="auto" w:fill="auto"/>
            <w:vAlign w:val="bottom"/>
          </w:tcPr>
          <w:p w14:paraId="41B2C297" w14:textId="77777777" w:rsidR="00F9176A" w:rsidRPr="00F9176A" w:rsidRDefault="00F9176A" w:rsidP="00F9176A">
            <w:pPr>
              <w:pStyle w:val="Tabletext"/>
            </w:pPr>
            <w:r w:rsidRPr="00F9176A">
              <w:t>0</w:t>
            </w:r>
            <w:r w:rsidR="00D7157D">
              <w:t>.</w:t>
            </w:r>
            <w:r w:rsidRPr="00F9176A">
              <w:t>6539</w:t>
            </w:r>
          </w:p>
        </w:tc>
        <w:tc>
          <w:tcPr>
            <w:tcW w:w="909" w:type="pct"/>
            <w:tcBorders>
              <w:top w:val="single" w:sz="4" w:space="0" w:color="auto"/>
              <w:bottom w:val="single" w:sz="4" w:space="0" w:color="auto"/>
            </w:tcBorders>
            <w:shd w:val="clear" w:color="auto" w:fill="auto"/>
            <w:vAlign w:val="bottom"/>
          </w:tcPr>
          <w:p w14:paraId="01DFF765" w14:textId="77777777" w:rsidR="00F9176A" w:rsidRPr="00F9176A" w:rsidRDefault="00F9176A" w:rsidP="00F9176A">
            <w:pPr>
              <w:pStyle w:val="Tabletext"/>
            </w:pPr>
            <w:r w:rsidRPr="00F9176A">
              <w:t>7</w:t>
            </w:r>
            <w:r w:rsidR="00D7157D">
              <w:t>.</w:t>
            </w:r>
            <w:r w:rsidRPr="00F9176A">
              <w:t>4686</w:t>
            </w:r>
          </w:p>
        </w:tc>
        <w:tc>
          <w:tcPr>
            <w:tcW w:w="908" w:type="pct"/>
            <w:tcBorders>
              <w:top w:val="single" w:sz="4" w:space="0" w:color="auto"/>
              <w:bottom w:val="single" w:sz="4" w:space="0" w:color="auto"/>
              <w:right w:val="nil"/>
            </w:tcBorders>
            <w:shd w:val="clear" w:color="auto" w:fill="auto"/>
            <w:vAlign w:val="bottom"/>
          </w:tcPr>
          <w:p w14:paraId="08229DAF" w14:textId="77777777" w:rsidR="00F9176A" w:rsidRPr="00F9176A" w:rsidRDefault="00F9176A" w:rsidP="00F9176A">
            <w:pPr>
              <w:pStyle w:val="Tabletext"/>
            </w:pPr>
            <w:r w:rsidRPr="00F9176A">
              <w:t>0</w:t>
            </w:r>
            <w:r w:rsidR="00D7157D">
              <w:t>.</w:t>
            </w:r>
            <w:r w:rsidRPr="00F9176A">
              <w:t>1726</w:t>
            </w:r>
          </w:p>
        </w:tc>
      </w:tr>
      <w:tr w:rsidR="00F9176A" w:rsidRPr="00F9176A" w14:paraId="6B5EBFE5" w14:textId="77777777" w:rsidTr="00A11447">
        <w:trPr>
          <w:cantSplit/>
        </w:trPr>
        <w:tc>
          <w:tcPr>
            <w:tcW w:w="1365" w:type="pct"/>
            <w:tcBorders>
              <w:top w:val="single" w:sz="4" w:space="0" w:color="auto"/>
              <w:bottom w:val="single" w:sz="4" w:space="0" w:color="auto"/>
            </w:tcBorders>
          </w:tcPr>
          <w:p w14:paraId="5429715E" w14:textId="77777777" w:rsidR="00F9176A" w:rsidRPr="00F9176A" w:rsidRDefault="00F9176A" w:rsidP="00F9176A">
            <w:pPr>
              <w:pStyle w:val="Tabletext"/>
            </w:pPr>
            <w:r w:rsidRPr="00F9176A">
              <w:t>82</w:t>
            </w:r>
          </w:p>
        </w:tc>
        <w:tc>
          <w:tcPr>
            <w:tcW w:w="909" w:type="pct"/>
            <w:tcBorders>
              <w:top w:val="single" w:sz="4" w:space="0" w:color="auto"/>
              <w:bottom w:val="single" w:sz="4" w:space="0" w:color="auto"/>
            </w:tcBorders>
            <w:shd w:val="clear" w:color="auto" w:fill="auto"/>
            <w:vAlign w:val="bottom"/>
          </w:tcPr>
          <w:p w14:paraId="54EF17A0" w14:textId="77777777" w:rsidR="00F9176A" w:rsidRPr="00F9176A" w:rsidRDefault="00F9176A" w:rsidP="00F9176A">
            <w:pPr>
              <w:pStyle w:val="Tabletext"/>
            </w:pPr>
            <w:r w:rsidRPr="00F9176A">
              <w:t>6</w:t>
            </w:r>
            <w:r w:rsidR="00D7157D">
              <w:t>.</w:t>
            </w:r>
            <w:r w:rsidRPr="00F9176A">
              <w:t>2926</w:t>
            </w:r>
          </w:p>
        </w:tc>
        <w:tc>
          <w:tcPr>
            <w:tcW w:w="909" w:type="pct"/>
            <w:tcBorders>
              <w:top w:val="single" w:sz="4" w:space="0" w:color="auto"/>
              <w:bottom w:val="single" w:sz="4" w:space="0" w:color="auto"/>
            </w:tcBorders>
            <w:shd w:val="clear" w:color="auto" w:fill="auto"/>
            <w:vAlign w:val="bottom"/>
          </w:tcPr>
          <w:p w14:paraId="736A29A4" w14:textId="77777777" w:rsidR="00F9176A" w:rsidRPr="00F9176A" w:rsidRDefault="00F9176A" w:rsidP="00F9176A">
            <w:pPr>
              <w:pStyle w:val="Tabletext"/>
            </w:pPr>
            <w:r w:rsidRPr="00F9176A">
              <w:t>0</w:t>
            </w:r>
            <w:r w:rsidR="00D7157D">
              <w:t>.</w:t>
            </w:r>
            <w:r w:rsidRPr="00F9176A">
              <w:t>6355</w:t>
            </w:r>
          </w:p>
        </w:tc>
        <w:tc>
          <w:tcPr>
            <w:tcW w:w="909" w:type="pct"/>
            <w:tcBorders>
              <w:top w:val="single" w:sz="4" w:space="0" w:color="auto"/>
              <w:bottom w:val="single" w:sz="4" w:space="0" w:color="auto"/>
            </w:tcBorders>
            <w:shd w:val="clear" w:color="auto" w:fill="auto"/>
            <w:vAlign w:val="bottom"/>
          </w:tcPr>
          <w:p w14:paraId="4ACC7496" w14:textId="77777777" w:rsidR="00F9176A" w:rsidRPr="00F9176A" w:rsidRDefault="00F9176A" w:rsidP="00F9176A">
            <w:pPr>
              <w:pStyle w:val="Tabletext"/>
            </w:pPr>
            <w:r w:rsidRPr="00F9176A">
              <w:t>7</w:t>
            </w:r>
            <w:r w:rsidR="00D7157D">
              <w:t>.</w:t>
            </w:r>
            <w:r w:rsidRPr="00F9176A">
              <w:t>0195</w:t>
            </w:r>
          </w:p>
        </w:tc>
        <w:tc>
          <w:tcPr>
            <w:tcW w:w="908" w:type="pct"/>
            <w:tcBorders>
              <w:top w:val="single" w:sz="4" w:space="0" w:color="auto"/>
              <w:bottom w:val="single" w:sz="4" w:space="0" w:color="auto"/>
              <w:right w:val="nil"/>
            </w:tcBorders>
            <w:shd w:val="clear" w:color="auto" w:fill="auto"/>
            <w:vAlign w:val="bottom"/>
          </w:tcPr>
          <w:p w14:paraId="20A169A6" w14:textId="77777777" w:rsidR="00F9176A" w:rsidRPr="00F9176A" w:rsidRDefault="00F9176A" w:rsidP="00F9176A">
            <w:pPr>
              <w:pStyle w:val="Tabletext"/>
            </w:pPr>
            <w:r w:rsidRPr="00F9176A">
              <w:t>0</w:t>
            </w:r>
            <w:r w:rsidR="00D7157D">
              <w:t>.</w:t>
            </w:r>
            <w:r w:rsidRPr="00F9176A">
              <w:t>1678</w:t>
            </w:r>
          </w:p>
        </w:tc>
      </w:tr>
      <w:tr w:rsidR="00F9176A" w:rsidRPr="00F9176A" w14:paraId="3171B9D2" w14:textId="77777777" w:rsidTr="00A11447">
        <w:trPr>
          <w:cantSplit/>
        </w:trPr>
        <w:tc>
          <w:tcPr>
            <w:tcW w:w="1365" w:type="pct"/>
            <w:tcBorders>
              <w:top w:val="single" w:sz="4" w:space="0" w:color="auto"/>
              <w:bottom w:val="single" w:sz="4" w:space="0" w:color="auto"/>
            </w:tcBorders>
          </w:tcPr>
          <w:p w14:paraId="2CF4B60B" w14:textId="77777777" w:rsidR="00F9176A" w:rsidRPr="00F9176A" w:rsidRDefault="00F9176A" w:rsidP="00F9176A">
            <w:pPr>
              <w:pStyle w:val="Tabletext"/>
            </w:pPr>
            <w:r w:rsidRPr="00F9176A">
              <w:t>83</w:t>
            </w:r>
          </w:p>
        </w:tc>
        <w:tc>
          <w:tcPr>
            <w:tcW w:w="909" w:type="pct"/>
            <w:tcBorders>
              <w:top w:val="single" w:sz="4" w:space="0" w:color="auto"/>
              <w:bottom w:val="single" w:sz="4" w:space="0" w:color="auto"/>
            </w:tcBorders>
            <w:shd w:val="clear" w:color="auto" w:fill="auto"/>
            <w:vAlign w:val="bottom"/>
          </w:tcPr>
          <w:p w14:paraId="42F89598" w14:textId="77777777" w:rsidR="00F9176A" w:rsidRPr="00F9176A" w:rsidRDefault="00F9176A" w:rsidP="00F9176A">
            <w:pPr>
              <w:pStyle w:val="Tabletext"/>
            </w:pPr>
            <w:r w:rsidRPr="00F9176A">
              <w:t>5</w:t>
            </w:r>
            <w:r w:rsidR="00D7157D">
              <w:t>.</w:t>
            </w:r>
            <w:r w:rsidRPr="00F9176A">
              <w:t>9147</w:t>
            </w:r>
          </w:p>
        </w:tc>
        <w:tc>
          <w:tcPr>
            <w:tcW w:w="909" w:type="pct"/>
            <w:tcBorders>
              <w:top w:val="single" w:sz="4" w:space="0" w:color="auto"/>
              <w:bottom w:val="single" w:sz="4" w:space="0" w:color="auto"/>
            </w:tcBorders>
            <w:shd w:val="clear" w:color="auto" w:fill="auto"/>
            <w:vAlign w:val="bottom"/>
          </w:tcPr>
          <w:p w14:paraId="558FBAA4" w14:textId="77777777" w:rsidR="00F9176A" w:rsidRPr="00F9176A" w:rsidRDefault="00F9176A" w:rsidP="00F9176A">
            <w:pPr>
              <w:pStyle w:val="Tabletext"/>
            </w:pPr>
            <w:r w:rsidRPr="00F9176A">
              <w:t>0</w:t>
            </w:r>
            <w:r w:rsidR="00D7157D">
              <w:t>.</w:t>
            </w:r>
            <w:r w:rsidRPr="00F9176A">
              <w:t>6157</w:t>
            </w:r>
          </w:p>
        </w:tc>
        <w:tc>
          <w:tcPr>
            <w:tcW w:w="909" w:type="pct"/>
            <w:tcBorders>
              <w:top w:val="single" w:sz="4" w:space="0" w:color="auto"/>
              <w:bottom w:val="single" w:sz="4" w:space="0" w:color="auto"/>
            </w:tcBorders>
            <w:shd w:val="clear" w:color="auto" w:fill="auto"/>
            <w:vAlign w:val="bottom"/>
          </w:tcPr>
          <w:p w14:paraId="05F7F7EE" w14:textId="77777777" w:rsidR="00F9176A" w:rsidRPr="00F9176A" w:rsidRDefault="00F9176A" w:rsidP="00F9176A">
            <w:pPr>
              <w:pStyle w:val="Tabletext"/>
            </w:pPr>
            <w:r w:rsidRPr="00F9176A">
              <w:t>6</w:t>
            </w:r>
            <w:r w:rsidR="00D7157D">
              <w:t>.</w:t>
            </w:r>
            <w:r w:rsidRPr="00F9176A">
              <w:t>5839</w:t>
            </w:r>
          </w:p>
        </w:tc>
        <w:tc>
          <w:tcPr>
            <w:tcW w:w="908" w:type="pct"/>
            <w:tcBorders>
              <w:top w:val="single" w:sz="4" w:space="0" w:color="auto"/>
              <w:bottom w:val="single" w:sz="4" w:space="0" w:color="auto"/>
              <w:right w:val="nil"/>
            </w:tcBorders>
            <w:shd w:val="clear" w:color="auto" w:fill="auto"/>
            <w:vAlign w:val="bottom"/>
          </w:tcPr>
          <w:p w14:paraId="14EF0A7A" w14:textId="77777777" w:rsidR="00F9176A" w:rsidRPr="00F9176A" w:rsidRDefault="00F9176A" w:rsidP="00F9176A">
            <w:pPr>
              <w:pStyle w:val="Tabletext"/>
            </w:pPr>
            <w:r w:rsidRPr="00F9176A">
              <w:t>0</w:t>
            </w:r>
            <w:r w:rsidR="00D7157D">
              <w:t>.</w:t>
            </w:r>
            <w:r w:rsidRPr="00F9176A">
              <w:t>1629</w:t>
            </w:r>
          </w:p>
        </w:tc>
      </w:tr>
      <w:tr w:rsidR="00F9176A" w:rsidRPr="00F9176A" w14:paraId="2EBA46A4" w14:textId="77777777" w:rsidTr="00A11447">
        <w:trPr>
          <w:cantSplit/>
        </w:trPr>
        <w:tc>
          <w:tcPr>
            <w:tcW w:w="1365" w:type="pct"/>
            <w:tcBorders>
              <w:top w:val="single" w:sz="4" w:space="0" w:color="auto"/>
              <w:bottom w:val="single" w:sz="4" w:space="0" w:color="auto"/>
            </w:tcBorders>
          </w:tcPr>
          <w:p w14:paraId="72F27C69" w14:textId="77777777" w:rsidR="00F9176A" w:rsidRPr="00F9176A" w:rsidRDefault="00F9176A" w:rsidP="00F9176A">
            <w:pPr>
              <w:pStyle w:val="Tabletext"/>
            </w:pPr>
            <w:r w:rsidRPr="00F9176A">
              <w:t>84</w:t>
            </w:r>
          </w:p>
        </w:tc>
        <w:tc>
          <w:tcPr>
            <w:tcW w:w="909" w:type="pct"/>
            <w:tcBorders>
              <w:top w:val="single" w:sz="4" w:space="0" w:color="auto"/>
              <w:bottom w:val="single" w:sz="4" w:space="0" w:color="auto"/>
            </w:tcBorders>
            <w:shd w:val="clear" w:color="auto" w:fill="auto"/>
            <w:vAlign w:val="bottom"/>
          </w:tcPr>
          <w:p w14:paraId="5B9BC127" w14:textId="77777777" w:rsidR="00F9176A" w:rsidRPr="00F9176A" w:rsidRDefault="00F9176A" w:rsidP="00F9176A">
            <w:pPr>
              <w:pStyle w:val="Tabletext"/>
            </w:pPr>
            <w:r w:rsidRPr="00F9176A">
              <w:t>5</w:t>
            </w:r>
            <w:r w:rsidR="00D7157D">
              <w:t>.</w:t>
            </w:r>
            <w:r w:rsidRPr="00F9176A">
              <w:t>5563</w:t>
            </w:r>
          </w:p>
        </w:tc>
        <w:tc>
          <w:tcPr>
            <w:tcW w:w="909" w:type="pct"/>
            <w:tcBorders>
              <w:top w:val="single" w:sz="4" w:space="0" w:color="auto"/>
              <w:bottom w:val="single" w:sz="4" w:space="0" w:color="auto"/>
            </w:tcBorders>
            <w:shd w:val="clear" w:color="auto" w:fill="auto"/>
            <w:vAlign w:val="bottom"/>
          </w:tcPr>
          <w:p w14:paraId="014DDC80" w14:textId="77777777" w:rsidR="00F9176A" w:rsidRPr="00F9176A" w:rsidRDefault="00F9176A" w:rsidP="00F9176A">
            <w:pPr>
              <w:pStyle w:val="Tabletext"/>
            </w:pPr>
            <w:r w:rsidRPr="00F9176A">
              <w:t>0</w:t>
            </w:r>
            <w:r w:rsidR="00D7157D">
              <w:t>.</w:t>
            </w:r>
            <w:r w:rsidRPr="00F9176A">
              <w:t>5947</w:t>
            </w:r>
          </w:p>
        </w:tc>
        <w:tc>
          <w:tcPr>
            <w:tcW w:w="909" w:type="pct"/>
            <w:tcBorders>
              <w:top w:val="single" w:sz="4" w:space="0" w:color="auto"/>
              <w:bottom w:val="single" w:sz="4" w:space="0" w:color="auto"/>
            </w:tcBorders>
            <w:shd w:val="clear" w:color="auto" w:fill="auto"/>
            <w:vAlign w:val="bottom"/>
          </w:tcPr>
          <w:p w14:paraId="2310BA1F" w14:textId="77777777" w:rsidR="00F9176A" w:rsidRPr="00F9176A" w:rsidRDefault="00F9176A" w:rsidP="00F9176A">
            <w:pPr>
              <w:pStyle w:val="Tabletext"/>
            </w:pPr>
            <w:r w:rsidRPr="00F9176A">
              <w:t>6</w:t>
            </w:r>
            <w:r w:rsidR="00D7157D">
              <w:t>.</w:t>
            </w:r>
            <w:r w:rsidRPr="00F9176A">
              <w:t>1633</w:t>
            </w:r>
          </w:p>
        </w:tc>
        <w:tc>
          <w:tcPr>
            <w:tcW w:w="908" w:type="pct"/>
            <w:tcBorders>
              <w:top w:val="single" w:sz="4" w:space="0" w:color="auto"/>
              <w:bottom w:val="single" w:sz="4" w:space="0" w:color="auto"/>
              <w:right w:val="nil"/>
            </w:tcBorders>
            <w:shd w:val="clear" w:color="auto" w:fill="auto"/>
            <w:vAlign w:val="bottom"/>
          </w:tcPr>
          <w:p w14:paraId="53C103C4" w14:textId="77777777" w:rsidR="00F9176A" w:rsidRPr="00F9176A" w:rsidRDefault="00F9176A" w:rsidP="00F9176A">
            <w:pPr>
              <w:pStyle w:val="Tabletext"/>
            </w:pPr>
            <w:r w:rsidRPr="00F9176A">
              <w:t>0</w:t>
            </w:r>
            <w:r w:rsidR="00D7157D">
              <w:t>.</w:t>
            </w:r>
            <w:r w:rsidRPr="00F9176A">
              <w:t>1578</w:t>
            </w:r>
          </w:p>
        </w:tc>
      </w:tr>
      <w:tr w:rsidR="00F9176A" w:rsidRPr="00F9176A" w14:paraId="7BE5747B" w14:textId="77777777" w:rsidTr="00A11447">
        <w:trPr>
          <w:cantSplit/>
        </w:trPr>
        <w:tc>
          <w:tcPr>
            <w:tcW w:w="1365" w:type="pct"/>
            <w:tcBorders>
              <w:top w:val="single" w:sz="4" w:space="0" w:color="auto"/>
              <w:bottom w:val="single" w:sz="4" w:space="0" w:color="auto"/>
            </w:tcBorders>
          </w:tcPr>
          <w:p w14:paraId="3B34C7DD" w14:textId="77777777" w:rsidR="00F9176A" w:rsidRPr="00F9176A" w:rsidRDefault="00F9176A" w:rsidP="00F9176A">
            <w:pPr>
              <w:pStyle w:val="Tabletext"/>
            </w:pPr>
            <w:r w:rsidRPr="00F9176A">
              <w:t>85</w:t>
            </w:r>
          </w:p>
        </w:tc>
        <w:tc>
          <w:tcPr>
            <w:tcW w:w="909" w:type="pct"/>
            <w:tcBorders>
              <w:top w:val="single" w:sz="4" w:space="0" w:color="auto"/>
              <w:bottom w:val="single" w:sz="4" w:space="0" w:color="auto"/>
            </w:tcBorders>
            <w:shd w:val="clear" w:color="auto" w:fill="auto"/>
            <w:vAlign w:val="bottom"/>
          </w:tcPr>
          <w:p w14:paraId="72E42B4B" w14:textId="77777777" w:rsidR="00F9176A" w:rsidRPr="00F9176A" w:rsidRDefault="00F9176A" w:rsidP="00F9176A">
            <w:pPr>
              <w:pStyle w:val="Tabletext"/>
            </w:pPr>
            <w:r w:rsidRPr="00F9176A">
              <w:t>5</w:t>
            </w:r>
            <w:r w:rsidR="00D7157D">
              <w:t>.</w:t>
            </w:r>
            <w:r w:rsidRPr="00F9176A">
              <w:t>2193</w:t>
            </w:r>
          </w:p>
        </w:tc>
        <w:tc>
          <w:tcPr>
            <w:tcW w:w="909" w:type="pct"/>
            <w:tcBorders>
              <w:top w:val="single" w:sz="4" w:space="0" w:color="auto"/>
              <w:bottom w:val="single" w:sz="4" w:space="0" w:color="auto"/>
            </w:tcBorders>
            <w:shd w:val="clear" w:color="auto" w:fill="auto"/>
            <w:vAlign w:val="bottom"/>
          </w:tcPr>
          <w:p w14:paraId="365DDD6C" w14:textId="77777777" w:rsidR="00F9176A" w:rsidRPr="00F9176A" w:rsidRDefault="00F9176A" w:rsidP="00F9176A">
            <w:pPr>
              <w:pStyle w:val="Tabletext"/>
            </w:pPr>
            <w:r w:rsidRPr="00F9176A">
              <w:t>0</w:t>
            </w:r>
            <w:r w:rsidR="00D7157D">
              <w:t>.</w:t>
            </w:r>
            <w:r w:rsidRPr="00F9176A">
              <w:t>5724</w:t>
            </w:r>
          </w:p>
        </w:tc>
        <w:tc>
          <w:tcPr>
            <w:tcW w:w="909" w:type="pct"/>
            <w:tcBorders>
              <w:top w:val="single" w:sz="4" w:space="0" w:color="auto"/>
              <w:bottom w:val="single" w:sz="4" w:space="0" w:color="auto"/>
            </w:tcBorders>
            <w:shd w:val="clear" w:color="auto" w:fill="auto"/>
            <w:vAlign w:val="bottom"/>
          </w:tcPr>
          <w:p w14:paraId="4A0457C5" w14:textId="77777777" w:rsidR="00F9176A" w:rsidRPr="00F9176A" w:rsidRDefault="00F9176A" w:rsidP="00F9176A">
            <w:pPr>
              <w:pStyle w:val="Tabletext"/>
            </w:pPr>
            <w:r w:rsidRPr="00F9176A">
              <w:t>5</w:t>
            </w:r>
            <w:r w:rsidR="00D7157D">
              <w:t>.</w:t>
            </w:r>
            <w:r w:rsidRPr="00F9176A">
              <w:t>7600</w:t>
            </w:r>
          </w:p>
        </w:tc>
        <w:tc>
          <w:tcPr>
            <w:tcW w:w="908" w:type="pct"/>
            <w:tcBorders>
              <w:top w:val="single" w:sz="4" w:space="0" w:color="auto"/>
              <w:bottom w:val="single" w:sz="4" w:space="0" w:color="auto"/>
              <w:right w:val="nil"/>
            </w:tcBorders>
            <w:shd w:val="clear" w:color="auto" w:fill="auto"/>
            <w:vAlign w:val="bottom"/>
          </w:tcPr>
          <w:p w14:paraId="23A7EABF" w14:textId="77777777" w:rsidR="00F9176A" w:rsidRPr="00F9176A" w:rsidRDefault="00F9176A" w:rsidP="00F9176A">
            <w:pPr>
              <w:pStyle w:val="Tabletext"/>
            </w:pPr>
            <w:r w:rsidRPr="00F9176A">
              <w:t>0</w:t>
            </w:r>
            <w:r w:rsidR="00D7157D">
              <w:t>.</w:t>
            </w:r>
            <w:r w:rsidRPr="00F9176A">
              <w:t>1527</w:t>
            </w:r>
          </w:p>
        </w:tc>
      </w:tr>
      <w:tr w:rsidR="00F9176A" w:rsidRPr="00F9176A" w14:paraId="3131A302" w14:textId="77777777" w:rsidTr="00A11447">
        <w:trPr>
          <w:cantSplit/>
        </w:trPr>
        <w:tc>
          <w:tcPr>
            <w:tcW w:w="1365" w:type="pct"/>
            <w:tcBorders>
              <w:top w:val="single" w:sz="4" w:space="0" w:color="auto"/>
              <w:bottom w:val="single" w:sz="4" w:space="0" w:color="auto"/>
            </w:tcBorders>
          </w:tcPr>
          <w:p w14:paraId="2CB27D62" w14:textId="77777777" w:rsidR="00F9176A" w:rsidRPr="00F9176A" w:rsidRDefault="00F9176A" w:rsidP="00F9176A">
            <w:pPr>
              <w:pStyle w:val="Tabletext"/>
            </w:pPr>
            <w:r w:rsidRPr="00F9176A">
              <w:t>86</w:t>
            </w:r>
          </w:p>
        </w:tc>
        <w:tc>
          <w:tcPr>
            <w:tcW w:w="909" w:type="pct"/>
            <w:tcBorders>
              <w:top w:val="single" w:sz="4" w:space="0" w:color="auto"/>
              <w:bottom w:val="single" w:sz="4" w:space="0" w:color="auto"/>
            </w:tcBorders>
            <w:shd w:val="clear" w:color="auto" w:fill="auto"/>
            <w:vAlign w:val="bottom"/>
          </w:tcPr>
          <w:p w14:paraId="5680E541" w14:textId="77777777" w:rsidR="00F9176A" w:rsidRPr="00F9176A" w:rsidRDefault="00F9176A" w:rsidP="00F9176A">
            <w:pPr>
              <w:pStyle w:val="Tabletext"/>
            </w:pPr>
            <w:r w:rsidRPr="00F9176A">
              <w:t>4</w:t>
            </w:r>
            <w:r w:rsidR="00D7157D">
              <w:t>.</w:t>
            </w:r>
            <w:r w:rsidRPr="00F9176A">
              <w:t>9055</w:t>
            </w:r>
          </w:p>
        </w:tc>
        <w:tc>
          <w:tcPr>
            <w:tcW w:w="909" w:type="pct"/>
            <w:tcBorders>
              <w:top w:val="single" w:sz="4" w:space="0" w:color="auto"/>
              <w:bottom w:val="single" w:sz="4" w:space="0" w:color="auto"/>
            </w:tcBorders>
            <w:shd w:val="clear" w:color="auto" w:fill="auto"/>
            <w:vAlign w:val="bottom"/>
          </w:tcPr>
          <w:p w14:paraId="29E7C17C" w14:textId="77777777" w:rsidR="00F9176A" w:rsidRPr="00F9176A" w:rsidRDefault="00F9176A" w:rsidP="00F9176A">
            <w:pPr>
              <w:pStyle w:val="Tabletext"/>
            </w:pPr>
            <w:r w:rsidRPr="00F9176A">
              <w:t>0</w:t>
            </w:r>
            <w:r w:rsidR="00D7157D">
              <w:t>.</w:t>
            </w:r>
            <w:r w:rsidRPr="00F9176A">
              <w:t>5491</w:t>
            </w:r>
          </w:p>
        </w:tc>
        <w:tc>
          <w:tcPr>
            <w:tcW w:w="909" w:type="pct"/>
            <w:tcBorders>
              <w:top w:val="single" w:sz="4" w:space="0" w:color="auto"/>
              <w:bottom w:val="single" w:sz="4" w:space="0" w:color="auto"/>
            </w:tcBorders>
            <w:shd w:val="clear" w:color="auto" w:fill="auto"/>
            <w:vAlign w:val="bottom"/>
          </w:tcPr>
          <w:p w14:paraId="3AF687D7" w14:textId="77777777" w:rsidR="00F9176A" w:rsidRPr="00F9176A" w:rsidRDefault="00F9176A" w:rsidP="00F9176A">
            <w:pPr>
              <w:pStyle w:val="Tabletext"/>
            </w:pPr>
            <w:r w:rsidRPr="00F9176A">
              <w:t>5</w:t>
            </w:r>
            <w:r w:rsidR="00D7157D">
              <w:t>.</w:t>
            </w:r>
            <w:r w:rsidRPr="00F9176A">
              <w:t>3748</w:t>
            </w:r>
          </w:p>
        </w:tc>
        <w:tc>
          <w:tcPr>
            <w:tcW w:w="908" w:type="pct"/>
            <w:tcBorders>
              <w:top w:val="single" w:sz="4" w:space="0" w:color="auto"/>
              <w:bottom w:val="single" w:sz="4" w:space="0" w:color="auto"/>
              <w:right w:val="nil"/>
            </w:tcBorders>
            <w:shd w:val="clear" w:color="auto" w:fill="auto"/>
            <w:vAlign w:val="bottom"/>
          </w:tcPr>
          <w:p w14:paraId="1EC61C1F" w14:textId="77777777" w:rsidR="00F9176A" w:rsidRPr="00F9176A" w:rsidRDefault="00F9176A" w:rsidP="00F9176A">
            <w:pPr>
              <w:pStyle w:val="Tabletext"/>
            </w:pPr>
            <w:r w:rsidRPr="00F9176A">
              <w:t>0</w:t>
            </w:r>
            <w:r w:rsidR="00D7157D">
              <w:t>.</w:t>
            </w:r>
            <w:r w:rsidRPr="00F9176A">
              <w:t>1476</w:t>
            </w:r>
          </w:p>
        </w:tc>
      </w:tr>
      <w:tr w:rsidR="00F9176A" w:rsidRPr="00F9176A" w14:paraId="0475ACFA" w14:textId="77777777" w:rsidTr="00A11447">
        <w:trPr>
          <w:cantSplit/>
        </w:trPr>
        <w:tc>
          <w:tcPr>
            <w:tcW w:w="1365" w:type="pct"/>
            <w:tcBorders>
              <w:top w:val="single" w:sz="4" w:space="0" w:color="auto"/>
              <w:bottom w:val="single" w:sz="4" w:space="0" w:color="auto"/>
            </w:tcBorders>
          </w:tcPr>
          <w:p w14:paraId="58476415" w14:textId="77777777" w:rsidR="00F9176A" w:rsidRPr="00F9176A" w:rsidRDefault="00F9176A" w:rsidP="00F9176A">
            <w:pPr>
              <w:pStyle w:val="Tabletext"/>
            </w:pPr>
            <w:r w:rsidRPr="00F9176A">
              <w:t>87</w:t>
            </w:r>
          </w:p>
        </w:tc>
        <w:tc>
          <w:tcPr>
            <w:tcW w:w="909" w:type="pct"/>
            <w:tcBorders>
              <w:top w:val="single" w:sz="4" w:space="0" w:color="auto"/>
              <w:bottom w:val="single" w:sz="4" w:space="0" w:color="auto"/>
            </w:tcBorders>
            <w:shd w:val="clear" w:color="auto" w:fill="auto"/>
            <w:vAlign w:val="bottom"/>
          </w:tcPr>
          <w:p w14:paraId="45D76A19" w14:textId="77777777" w:rsidR="00F9176A" w:rsidRPr="00F9176A" w:rsidRDefault="00F9176A" w:rsidP="00F9176A">
            <w:pPr>
              <w:pStyle w:val="Tabletext"/>
            </w:pPr>
            <w:r w:rsidRPr="00F9176A">
              <w:t>4</w:t>
            </w:r>
            <w:r w:rsidR="00D7157D">
              <w:t>.</w:t>
            </w:r>
            <w:r w:rsidRPr="00F9176A">
              <w:t>6117</w:t>
            </w:r>
          </w:p>
        </w:tc>
        <w:tc>
          <w:tcPr>
            <w:tcW w:w="909" w:type="pct"/>
            <w:tcBorders>
              <w:top w:val="single" w:sz="4" w:space="0" w:color="auto"/>
              <w:bottom w:val="single" w:sz="4" w:space="0" w:color="auto"/>
            </w:tcBorders>
            <w:shd w:val="clear" w:color="auto" w:fill="auto"/>
            <w:vAlign w:val="bottom"/>
          </w:tcPr>
          <w:p w14:paraId="740E0D35" w14:textId="77777777" w:rsidR="00F9176A" w:rsidRPr="00F9176A" w:rsidRDefault="00F9176A" w:rsidP="00F9176A">
            <w:pPr>
              <w:pStyle w:val="Tabletext"/>
            </w:pPr>
            <w:r w:rsidRPr="00F9176A">
              <w:t>0</w:t>
            </w:r>
            <w:r w:rsidR="00D7157D">
              <w:t>.</w:t>
            </w:r>
            <w:r w:rsidRPr="00F9176A">
              <w:t>5250</w:t>
            </w:r>
          </w:p>
        </w:tc>
        <w:tc>
          <w:tcPr>
            <w:tcW w:w="909" w:type="pct"/>
            <w:tcBorders>
              <w:top w:val="single" w:sz="4" w:space="0" w:color="auto"/>
              <w:bottom w:val="single" w:sz="4" w:space="0" w:color="auto"/>
            </w:tcBorders>
            <w:shd w:val="clear" w:color="auto" w:fill="auto"/>
            <w:vAlign w:val="bottom"/>
          </w:tcPr>
          <w:p w14:paraId="5A1D9912" w14:textId="77777777" w:rsidR="00F9176A" w:rsidRPr="00F9176A" w:rsidRDefault="00F9176A" w:rsidP="00F9176A">
            <w:pPr>
              <w:pStyle w:val="Tabletext"/>
            </w:pPr>
            <w:r w:rsidRPr="00F9176A">
              <w:t>5</w:t>
            </w:r>
            <w:r w:rsidR="00D7157D">
              <w:t>.</w:t>
            </w:r>
            <w:r w:rsidRPr="00F9176A">
              <w:t>0116</w:t>
            </w:r>
          </w:p>
        </w:tc>
        <w:tc>
          <w:tcPr>
            <w:tcW w:w="908" w:type="pct"/>
            <w:tcBorders>
              <w:top w:val="single" w:sz="4" w:space="0" w:color="auto"/>
              <w:bottom w:val="single" w:sz="4" w:space="0" w:color="auto"/>
              <w:right w:val="nil"/>
            </w:tcBorders>
            <w:shd w:val="clear" w:color="auto" w:fill="auto"/>
            <w:vAlign w:val="bottom"/>
          </w:tcPr>
          <w:p w14:paraId="3C863A41" w14:textId="77777777" w:rsidR="00F9176A" w:rsidRPr="00F9176A" w:rsidRDefault="00F9176A" w:rsidP="00F9176A">
            <w:pPr>
              <w:pStyle w:val="Tabletext"/>
            </w:pPr>
            <w:r w:rsidRPr="00F9176A">
              <w:t>0</w:t>
            </w:r>
            <w:r w:rsidR="00D7157D">
              <w:t>.</w:t>
            </w:r>
            <w:r w:rsidRPr="00F9176A">
              <w:t>1425</w:t>
            </w:r>
          </w:p>
        </w:tc>
      </w:tr>
      <w:tr w:rsidR="00F9176A" w:rsidRPr="00F9176A" w14:paraId="47121BD5" w14:textId="77777777" w:rsidTr="00A11447">
        <w:trPr>
          <w:cantSplit/>
        </w:trPr>
        <w:tc>
          <w:tcPr>
            <w:tcW w:w="1365" w:type="pct"/>
            <w:tcBorders>
              <w:top w:val="single" w:sz="4" w:space="0" w:color="auto"/>
              <w:bottom w:val="single" w:sz="4" w:space="0" w:color="auto"/>
            </w:tcBorders>
          </w:tcPr>
          <w:p w14:paraId="3179B2BC" w14:textId="77777777" w:rsidR="00F9176A" w:rsidRPr="00F9176A" w:rsidRDefault="00F9176A" w:rsidP="00F9176A">
            <w:pPr>
              <w:pStyle w:val="Tabletext"/>
            </w:pPr>
            <w:r w:rsidRPr="00F9176A">
              <w:t>88</w:t>
            </w:r>
          </w:p>
        </w:tc>
        <w:tc>
          <w:tcPr>
            <w:tcW w:w="909" w:type="pct"/>
            <w:tcBorders>
              <w:top w:val="single" w:sz="4" w:space="0" w:color="auto"/>
              <w:bottom w:val="single" w:sz="4" w:space="0" w:color="auto"/>
            </w:tcBorders>
            <w:shd w:val="clear" w:color="auto" w:fill="auto"/>
            <w:vAlign w:val="bottom"/>
          </w:tcPr>
          <w:p w14:paraId="24CAADD1" w14:textId="77777777" w:rsidR="00F9176A" w:rsidRPr="00F9176A" w:rsidRDefault="00F9176A" w:rsidP="00F9176A">
            <w:pPr>
              <w:pStyle w:val="Tabletext"/>
            </w:pPr>
            <w:r w:rsidRPr="00F9176A">
              <w:t>4</w:t>
            </w:r>
            <w:r w:rsidR="00D7157D">
              <w:t>.</w:t>
            </w:r>
            <w:r w:rsidRPr="00F9176A">
              <w:t>3381</w:t>
            </w:r>
          </w:p>
        </w:tc>
        <w:tc>
          <w:tcPr>
            <w:tcW w:w="909" w:type="pct"/>
            <w:tcBorders>
              <w:top w:val="single" w:sz="4" w:space="0" w:color="auto"/>
              <w:bottom w:val="single" w:sz="4" w:space="0" w:color="auto"/>
            </w:tcBorders>
            <w:shd w:val="clear" w:color="auto" w:fill="auto"/>
            <w:vAlign w:val="bottom"/>
          </w:tcPr>
          <w:p w14:paraId="0E7AE466" w14:textId="77777777" w:rsidR="00F9176A" w:rsidRPr="00F9176A" w:rsidRDefault="00F9176A" w:rsidP="00F9176A">
            <w:pPr>
              <w:pStyle w:val="Tabletext"/>
            </w:pPr>
            <w:r w:rsidRPr="00F9176A">
              <w:t>0</w:t>
            </w:r>
            <w:r w:rsidR="00D7157D">
              <w:t>.</w:t>
            </w:r>
            <w:r w:rsidRPr="00F9176A">
              <w:t>5004</w:t>
            </w:r>
          </w:p>
        </w:tc>
        <w:tc>
          <w:tcPr>
            <w:tcW w:w="909" w:type="pct"/>
            <w:tcBorders>
              <w:top w:val="single" w:sz="4" w:space="0" w:color="auto"/>
              <w:bottom w:val="single" w:sz="4" w:space="0" w:color="auto"/>
            </w:tcBorders>
            <w:shd w:val="clear" w:color="auto" w:fill="auto"/>
            <w:vAlign w:val="bottom"/>
          </w:tcPr>
          <w:p w14:paraId="1B98DCBF" w14:textId="77777777" w:rsidR="00F9176A" w:rsidRPr="00F9176A" w:rsidRDefault="00F9176A" w:rsidP="00F9176A">
            <w:pPr>
              <w:pStyle w:val="Tabletext"/>
            </w:pPr>
            <w:r w:rsidRPr="00F9176A">
              <w:t>4</w:t>
            </w:r>
            <w:r w:rsidR="00D7157D">
              <w:t>.</w:t>
            </w:r>
            <w:r w:rsidRPr="00F9176A">
              <w:t>6710</w:t>
            </w:r>
          </w:p>
        </w:tc>
        <w:tc>
          <w:tcPr>
            <w:tcW w:w="908" w:type="pct"/>
            <w:tcBorders>
              <w:top w:val="single" w:sz="4" w:space="0" w:color="auto"/>
              <w:bottom w:val="single" w:sz="4" w:space="0" w:color="auto"/>
              <w:right w:val="nil"/>
            </w:tcBorders>
            <w:shd w:val="clear" w:color="auto" w:fill="auto"/>
            <w:vAlign w:val="bottom"/>
          </w:tcPr>
          <w:p w14:paraId="52594DFF" w14:textId="77777777" w:rsidR="00F9176A" w:rsidRPr="00F9176A" w:rsidRDefault="00F9176A" w:rsidP="00F9176A">
            <w:pPr>
              <w:pStyle w:val="Tabletext"/>
            </w:pPr>
            <w:r w:rsidRPr="00F9176A">
              <w:t>0</w:t>
            </w:r>
            <w:r w:rsidR="00D7157D">
              <w:t>.</w:t>
            </w:r>
            <w:r w:rsidRPr="00F9176A">
              <w:t>1375</w:t>
            </w:r>
          </w:p>
        </w:tc>
      </w:tr>
      <w:tr w:rsidR="00F9176A" w:rsidRPr="00F9176A" w14:paraId="21CD7065" w14:textId="77777777" w:rsidTr="00A11447">
        <w:trPr>
          <w:cantSplit/>
        </w:trPr>
        <w:tc>
          <w:tcPr>
            <w:tcW w:w="1365" w:type="pct"/>
            <w:tcBorders>
              <w:top w:val="single" w:sz="4" w:space="0" w:color="auto"/>
              <w:bottom w:val="single" w:sz="4" w:space="0" w:color="auto"/>
            </w:tcBorders>
          </w:tcPr>
          <w:p w14:paraId="1CC29F4F" w14:textId="77777777" w:rsidR="00F9176A" w:rsidRPr="00F9176A" w:rsidRDefault="00F9176A" w:rsidP="00F9176A">
            <w:pPr>
              <w:pStyle w:val="Tabletext"/>
            </w:pPr>
            <w:r w:rsidRPr="00F9176A">
              <w:t>89</w:t>
            </w:r>
          </w:p>
        </w:tc>
        <w:tc>
          <w:tcPr>
            <w:tcW w:w="909" w:type="pct"/>
            <w:tcBorders>
              <w:top w:val="single" w:sz="4" w:space="0" w:color="auto"/>
              <w:bottom w:val="single" w:sz="4" w:space="0" w:color="auto"/>
            </w:tcBorders>
            <w:shd w:val="clear" w:color="auto" w:fill="auto"/>
            <w:vAlign w:val="bottom"/>
          </w:tcPr>
          <w:p w14:paraId="716666DF" w14:textId="77777777" w:rsidR="00F9176A" w:rsidRPr="00F9176A" w:rsidRDefault="00F9176A" w:rsidP="00F9176A">
            <w:pPr>
              <w:pStyle w:val="Tabletext"/>
            </w:pPr>
            <w:r w:rsidRPr="00F9176A">
              <w:t>4</w:t>
            </w:r>
            <w:r w:rsidR="00D7157D">
              <w:t>.</w:t>
            </w:r>
            <w:r w:rsidRPr="00F9176A">
              <w:t>0845</w:t>
            </w:r>
          </w:p>
        </w:tc>
        <w:tc>
          <w:tcPr>
            <w:tcW w:w="909" w:type="pct"/>
            <w:tcBorders>
              <w:top w:val="single" w:sz="4" w:space="0" w:color="auto"/>
              <w:bottom w:val="single" w:sz="4" w:space="0" w:color="auto"/>
            </w:tcBorders>
            <w:shd w:val="clear" w:color="auto" w:fill="auto"/>
            <w:vAlign w:val="bottom"/>
          </w:tcPr>
          <w:p w14:paraId="00857CAA" w14:textId="77777777" w:rsidR="00F9176A" w:rsidRPr="00F9176A" w:rsidRDefault="00F9176A" w:rsidP="00F9176A">
            <w:pPr>
              <w:pStyle w:val="Tabletext"/>
            </w:pPr>
            <w:r w:rsidRPr="00F9176A">
              <w:t>0</w:t>
            </w:r>
            <w:r w:rsidR="00D7157D">
              <w:t>.</w:t>
            </w:r>
            <w:r w:rsidRPr="00F9176A">
              <w:t>4755</w:t>
            </w:r>
          </w:p>
        </w:tc>
        <w:tc>
          <w:tcPr>
            <w:tcW w:w="909" w:type="pct"/>
            <w:tcBorders>
              <w:top w:val="single" w:sz="4" w:space="0" w:color="auto"/>
              <w:bottom w:val="single" w:sz="4" w:space="0" w:color="auto"/>
            </w:tcBorders>
            <w:shd w:val="clear" w:color="auto" w:fill="auto"/>
            <w:vAlign w:val="bottom"/>
          </w:tcPr>
          <w:p w14:paraId="1C0C3EC8" w14:textId="77777777" w:rsidR="00F9176A" w:rsidRPr="00F9176A" w:rsidRDefault="00F9176A" w:rsidP="00F9176A">
            <w:pPr>
              <w:pStyle w:val="Tabletext"/>
            </w:pPr>
            <w:r w:rsidRPr="00F9176A">
              <w:t>4</w:t>
            </w:r>
            <w:r w:rsidR="00D7157D">
              <w:t>.</w:t>
            </w:r>
            <w:r w:rsidRPr="00F9176A">
              <w:t>3549</w:t>
            </w:r>
          </w:p>
        </w:tc>
        <w:tc>
          <w:tcPr>
            <w:tcW w:w="908" w:type="pct"/>
            <w:tcBorders>
              <w:top w:val="single" w:sz="4" w:space="0" w:color="auto"/>
              <w:bottom w:val="single" w:sz="4" w:space="0" w:color="auto"/>
              <w:right w:val="nil"/>
            </w:tcBorders>
            <w:shd w:val="clear" w:color="auto" w:fill="auto"/>
            <w:vAlign w:val="bottom"/>
          </w:tcPr>
          <w:p w14:paraId="1CD13AE7" w14:textId="77777777" w:rsidR="00F9176A" w:rsidRPr="00F9176A" w:rsidRDefault="00F9176A" w:rsidP="00F9176A">
            <w:pPr>
              <w:pStyle w:val="Tabletext"/>
            </w:pPr>
            <w:r w:rsidRPr="00F9176A">
              <w:t>0</w:t>
            </w:r>
            <w:r w:rsidR="00D7157D">
              <w:t>.</w:t>
            </w:r>
            <w:r w:rsidRPr="00F9176A">
              <w:t>1325</w:t>
            </w:r>
          </w:p>
        </w:tc>
      </w:tr>
      <w:tr w:rsidR="00F9176A" w:rsidRPr="00F9176A" w14:paraId="25533029" w14:textId="77777777" w:rsidTr="00A11447">
        <w:trPr>
          <w:cantSplit/>
        </w:trPr>
        <w:tc>
          <w:tcPr>
            <w:tcW w:w="1365" w:type="pct"/>
            <w:tcBorders>
              <w:top w:val="single" w:sz="4" w:space="0" w:color="auto"/>
              <w:bottom w:val="single" w:sz="4" w:space="0" w:color="auto"/>
            </w:tcBorders>
          </w:tcPr>
          <w:p w14:paraId="615DA4EC" w14:textId="77777777" w:rsidR="00F9176A" w:rsidRPr="00F9176A" w:rsidRDefault="00F9176A" w:rsidP="00F9176A">
            <w:pPr>
              <w:pStyle w:val="Tabletext"/>
            </w:pPr>
            <w:r w:rsidRPr="00F9176A">
              <w:t>90</w:t>
            </w:r>
          </w:p>
        </w:tc>
        <w:tc>
          <w:tcPr>
            <w:tcW w:w="909" w:type="pct"/>
            <w:tcBorders>
              <w:top w:val="single" w:sz="4" w:space="0" w:color="auto"/>
              <w:bottom w:val="single" w:sz="4" w:space="0" w:color="auto"/>
            </w:tcBorders>
            <w:shd w:val="clear" w:color="auto" w:fill="auto"/>
            <w:vAlign w:val="bottom"/>
          </w:tcPr>
          <w:p w14:paraId="608CEC34" w14:textId="77777777" w:rsidR="00F9176A" w:rsidRPr="00F9176A" w:rsidRDefault="00F9176A" w:rsidP="00F9176A">
            <w:pPr>
              <w:pStyle w:val="Tabletext"/>
            </w:pPr>
            <w:r w:rsidRPr="00F9176A">
              <w:t>3</w:t>
            </w:r>
            <w:r w:rsidR="00D7157D">
              <w:t>.</w:t>
            </w:r>
            <w:r w:rsidRPr="00F9176A">
              <w:t>8486</w:t>
            </w:r>
          </w:p>
        </w:tc>
        <w:tc>
          <w:tcPr>
            <w:tcW w:w="909" w:type="pct"/>
            <w:tcBorders>
              <w:top w:val="single" w:sz="4" w:space="0" w:color="auto"/>
              <w:bottom w:val="single" w:sz="4" w:space="0" w:color="auto"/>
            </w:tcBorders>
            <w:shd w:val="clear" w:color="auto" w:fill="auto"/>
            <w:vAlign w:val="bottom"/>
          </w:tcPr>
          <w:p w14:paraId="194E6FCB" w14:textId="77777777" w:rsidR="00F9176A" w:rsidRPr="00F9176A" w:rsidRDefault="00F9176A" w:rsidP="00F9176A">
            <w:pPr>
              <w:pStyle w:val="Tabletext"/>
            </w:pPr>
            <w:r w:rsidRPr="00F9176A">
              <w:t>0</w:t>
            </w:r>
            <w:r w:rsidR="00D7157D">
              <w:t>.</w:t>
            </w:r>
            <w:r w:rsidRPr="00F9176A">
              <w:t>4510</w:t>
            </w:r>
          </w:p>
        </w:tc>
        <w:tc>
          <w:tcPr>
            <w:tcW w:w="909" w:type="pct"/>
            <w:tcBorders>
              <w:top w:val="single" w:sz="4" w:space="0" w:color="auto"/>
              <w:bottom w:val="single" w:sz="4" w:space="0" w:color="auto"/>
            </w:tcBorders>
            <w:shd w:val="clear" w:color="auto" w:fill="auto"/>
            <w:vAlign w:val="bottom"/>
          </w:tcPr>
          <w:p w14:paraId="71237D9C" w14:textId="77777777" w:rsidR="00F9176A" w:rsidRPr="00F9176A" w:rsidRDefault="00F9176A" w:rsidP="00F9176A">
            <w:pPr>
              <w:pStyle w:val="Tabletext"/>
            </w:pPr>
            <w:r w:rsidRPr="00F9176A">
              <w:t>4</w:t>
            </w:r>
            <w:r w:rsidR="00D7157D">
              <w:t>.</w:t>
            </w:r>
            <w:r w:rsidRPr="00F9176A">
              <w:t>0659</w:t>
            </w:r>
          </w:p>
        </w:tc>
        <w:tc>
          <w:tcPr>
            <w:tcW w:w="908" w:type="pct"/>
            <w:tcBorders>
              <w:top w:val="single" w:sz="4" w:space="0" w:color="auto"/>
              <w:bottom w:val="single" w:sz="4" w:space="0" w:color="auto"/>
              <w:right w:val="nil"/>
            </w:tcBorders>
            <w:shd w:val="clear" w:color="auto" w:fill="auto"/>
            <w:vAlign w:val="bottom"/>
          </w:tcPr>
          <w:p w14:paraId="7996B2B8" w14:textId="77777777" w:rsidR="00F9176A" w:rsidRPr="00F9176A" w:rsidRDefault="00F9176A" w:rsidP="00F9176A">
            <w:pPr>
              <w:pStyle w:val="Tabletext"/>
            </w:pPr>
            <w:r w:rsidRPr="00F9176A">
              <w:t>0</w:t>
            </w:r>
            <w:r w:rsidR="00D7157D">
              <w:t>.</w:t>
            </w:r>
            <w:r w:rsidRPr="00F9176A">
              <w:t>1277</w:t>
            </w:r>
          </w:p>
        </w:tc>
      </w:tr>
      <w:tr w:rsidR="00F9176A" w:rsidRPr="00F9176A" w14:paraId="503EE6D5" w14:textId="77777777" w:rsidTr="00A11447">
        <w:trPr>
          <w:cantSplit/>
        </w:trPr>
        <w:tc>
          <w:tcPr>
            <w:tcW w:w="1365" w:type="pct"/>
            <w:tcBorders>
              <w:top w:val="single" w:sz="4" w:space="0" w:color="auto"/>
              <w:bottom w:val="single" w:sz="4" w:space="0" w:color="auto"/>
            </w:tcBorders>
          </w:tcPr>
          <w:p w14:paraId="036B5D5B" w14:textId="77777777" w:rsidR="00F9176A" w:rsidRPr="00F9176A" w:rsidRDefault="00F9176A" w:rsidP="00F9176A">
            <w:pPr>
              <w:pStyle w:val="Tabletext"/>
            </w:pPr>
            <w:r w:rsidRPr="00F9176A">
              <w:t>91</w:t>
            </w:r>
          </w:p>
        </w:tc>
        <w:tc>
          <w:tcPr>
            <w:tcW w:w="909" w:type="pct"/>
            <w:tcBorders>
              <w:top w:val="single" w:sz="4" w:space="0" w:color="auto"/>
              <w:bottom w:val="single" w:sz="4" w:space="0" w:color="auto"/>
            </w:tcBorders>
            <w:shd w:val="clear" w:color="auto" w:fill="auto"/>
            <w:vAlign w:val="bottom"/>
          </w:tcPr>
          <w:p w14:paraId="48E911F9" w14:textId="77777777" w:rsidR="00F9176A" w:rsidRPr="00F9176A" w:rsidRDefault="00F9176A" w:rsidP="00F9176A">
            <w:pPr>
              <w:pStyle w:val="Tabletext"/>
            </w:pPr>
            <w:r w:rsidRPr="00F9176A">
              <w:t>3</w:t>
            </w:r>
            <w:r w:rsidR="00D7157D">
              <w:t>.</w:t>
            </w:r>
            <w:r w:rsidRPr="00F9176A">
              <w:t>6262</w:t>
            </w:r>
          </w:p>
        </w:tc>
        <w:tc>
          <w:tcPr>
            <w:tcW w:w="909" w:type="pct"/>
            <w:tcBorders>
              <w:top w:val="single" w:sz="4" w:space="0" w:color="auto"/>
              <w:bottom w:val="single" w:sz="4" w:space="0" w:color="auto"/>
            </w:tcBorders>
            <w:shd w:val="clear" w:color="auto" w:fill="auto"/>
            <w:vAlign w:val="bottom"/>
          </w:tcPr>
          <w:p w14:paraId="306353DA" w14:textId="77777777" w:rsidR="00F9176A" w:rsidRPr="00F9176A" w:rsidRDefault="00F9176A" w:rsidP="00F9176A">
            <w:pPr>
              <w:pStyle w:val="Tabletext"/>
            </w:pPr>
            <w:r w:rsidRPr="00F9176A">
              <w:t>0</w:t>
            </w:r>
            <w:r w:rsidR="00D7157D">
              <w:t>.</w:t>
            </w:r>
            <w:r w:rsidRPr="00F9176A">
              <w:t>4272</w:t>
            </w:r>
          </w:p>
        </w:tc>
        <w:tc>
          <w:tcPr>
            <w:tcW w:w="909" w:type="pct"/>
            <w:tcBorders>
              <w:top w:val="single" w:sz="4" w:space="0" w:color="auto"/>
              <w:bottom w:val="single" w:sz="4" w:space="0" w:color="auto"/>
            </w:tcBorders>
            <w:shd w:val="clear" w:color="auto" w:fill="auto"/>
            <w:vAlign w:val="bottom"/>
          </w:tcPr>
          <w:p w14:paraId="6D94963A" w14:textId="77777777" w:rsidR="00F9176A" w:rsidRPr="00F9176A" w:rsidRDefault="00F9176A" w:rsidP="00F9176A">
            <w:pPr>
              <w:pStyle w:val="Tabletext"/>
            </w:pPr>
            <w:r w:rsidRPr="00F9176A">
              <w:t>3</w:t>
            </w:r>
            <w:r w:rsidR="00D7157D">
              <w:t>.</w:t>
            </w:r>
            <w:r w:rsidRPr="00F9176A">
              <w:t>8014</w:t>
            </w:r>
          </w:p>
        </w:tc>
        <w:tc>
          <w:tcPr>
            <w:tcW w:w="908" w:type="pct"/>
            <w:tcBorders>
              <w:top w:val="single" w:sz="4" w:space="0" w:color="auto"/>
              <w:bottom w:val="single" w:sz="4" w:space="0" w:color="auto"/>
              <w:right w:val="nil"/>
            </w:tcBorders>
            <w:shd w:val="clear" w:color="auto" w:fill="auto"/>
            <w:vAlign w:val="bottom"/>
          </w:tcPr>
          <w:p w14:paraId="78542C92" w14:textId="77777777" w:rsidR="00F9176A" w:rsidRPr="00F9176A" w:rsidRDefault="00F9176A" w:rsidP="00F9176A">
            <w:pPr>
              <w:pStyle w:val="Tabletext"/>
            </w:pPr>
            <w:r w:rsidRPr="00F9176A">
              <w:t>0</w:t>
            </w:r>
            <w:r w:rsidR="00D7157D">
              <w:t>.</w:t>
            </w:r>
            <w:r w:rsidRPr="00F9176A">
              <w:t>1229</w:t>
            </w:r>
          </w:p>
        </w:tc>
      </w:tr>
      <w:tr w:rsidR="00F9176A" w:rsidRPr="00F9176A" w14:paraId="41B559FA" w14:textId="77777777" w:rsidTr="00A11447">
        <w:trPr>
          <w:cantSplit/>
        </w:trPr>
        <w:tc>
          <w:tcPr>
            <w:tcW w:w="1365" w:type="pct"/>
            <w:tcBorders>
              <w:top w:val="single" w:sz="4" w:space="0" w:color="auto"/>
              <w:bottom w:val="single" w:sz="4" w:space="0" w:color="auto"/>
            </w:tcBorders>
          </w:tcPr>
          <w:p w14:paraId="182A54B8" w14:textId="77777777" w:rsidR="00F9176A" w:rsidRPr="00F9176A" w:rsidRDefault="00F9176A" w:rsidP="00F9176A">
            <w:pPr>
              <w:pStyle w:val="Tabletext"/>
            </w:pPr>
            <w:r w:rsidRPr="00F9176A">
              <w:t>92</w:t>
            </w:r>
          </w:p>
        </w:tc>
        <w:tc>
          <w:tcPr>
            <w:tcW w:w="909" w:type="pct"/>
            <w:tcBorders>
              <w:top w:val="single" w:sz="4" w:space="0" w:color="auto"/>
              <w:bottom w:val="single" w:sz="4" w:space="0" w:color="auto"/>
            </w:tcBorders>
            <w:shd w:val="clear" w:color="auto" w:fill="auto"/>
            <w:vAlign w:val="bottom"/>
          </w:tcPr>
          <w:p w14:paraId="2B00DA6E" w14:textId="77777777" w:rsidR="00F9176A" w:rsidRPr="00F9176A" w:rsidRDefault="00F9176A" w:rsidP="00F9176A">
            <w:pPr>
              <w:pStyle w:val="Tabletext"/>
            </w:pPr>
            <w:r w:rsidRPr="00F9176A">
              <w:t>3</w:t>
            </w:r>
            <w:r w:rsidR="00D7157D">
              <w:t>.</w:t>
            </w:r>
            <w:r w:rsidRPr="00F9176A">
              <w:t>4202</w:t>
            </w:r>
          </w:p>
        </w:tc>
        <w:tc>
          <w:tcPr>
            <w:tcW w:w="909" w:type="pct"/>
            <w:tcBorders>
              <w:top w:val="single" w:sz="4" w:space="0" w:color="auto"/>
              <w:bottom w:val="single" w:sz="4" w:space="0" w:color="auto"/>
            </w:tcBorders>
            <w:shd w:val="clear" w:color="auto" w:fill="auto"/>
            <w:vAlign w:val="bottom"/>
          </w:tcPr>
          <w:p w14:paraId="5AC881A8" w14:textId="77777777" w:rsidR="00F9176A" w:rsidRPr="00F9176A" w:rsidRDefault="00F9176A" w:rsidP="00F9176A">
            <w:pPr>
              <w:pStyle w:val="Tabletext"/>
            </w:pPr>
            <w:r w:rsidRPr="00F9176A">
              <w:t>0</w:t>
            </w:r>
            <w:r w:rsidR="00D7157D">
              <w:t>.</w:t>
            </w:r>
            <w:r w:rsidRPr="00F9176A">
              <w:t>4041</w:t>
            </w:r>
          </w:p>
        </w:tc>
        <w:tc>
          <w:tcPr>
            <w:tcW w:w="909" w:type="pct"/>
            <w:tcBorders>
              <w:top w:val="single" w:sz="4" w:space="0" w:color="auto"/>
              <w:bottom w:val="single" w:sz="4" w:space="0" w:color="auto"/>
            </w:tcBorders>
            <w:shd w:val="clear" w:color="auto" w:fill="auto"/>
            <w:vAlign w:val="bottom"/>
          </w:tcPr>
          <w:p w14:paraId="5922DFBF" w14:textId="77777777" w:rsidR="00F9176A" w:rsidRPr="00F9176A" w:rsidRDefault="00F9176A" w:rsidP="00F9176A">
            <w:pPr>
              <w:pStyle w:val="Tabletext"/>
            </w:pPr>
            <w:r w:rsidRPr="00F9176A">
              <w:t>3</w:t>
            </w:r>
            <w:r w:rsidR="00D7157D">
              <w:t>.</w:t>
            </w:r>
            <w:r w:rsidRPr="00F9176A">
              <w:t>5681</w:t>
            </w:r>
          </w:p>
        </w:tc>
        <w:tc>
          <w:tcPr>
            <w:tcW w:w="908" w:type="pct"/>
            <w:tcBorders>
              <w:top w:val="single" w:sz="4" w:space="0" w:color="auto"/>
              <w:bottom w:val="single" w:sz="4" w:space="0" w:color="auto"/>
              <w:right w:val="nil"/>
            </w:tcBorders>
            <w:shd w:val="clear" w:color="auto" w:fill="auto"/>
            <w:vAlign w:val="bottom"/>
          </w:tcPr>
          <w:p w14:paraId="29EE9ACC" w14:textId="77777777" w:rsidR="00F9176A" w:rsidRPr="00F9176A" w:rsidRDefault="00F9176A" w:rsidP="00F9176A">
            <w:pPr>
              <w:pStyle w:val="Tabletext"/>
            </w:pPr>
            <w:r w:rsidRPr="00F9176A">
              <w:t>0</w:t>
            </w:r>
            <w:r w:rsidR="00D7157D">
              <w:t>.</w:t>
            </w:r>
            <w:r w:rsidRPr="00F9176A">
              <w:t>1180</w:t>
            </w:r>
          </w:p>
        </w:tc>
      </w:tr>
      <w:tr w:rsidR="00F9176A" w:rsidRPr="00F9176A" w14:paraId="6AD79C87" w14:textId="77777777" w:rsidTr="00A11447">
        <w:trPr>
          <w:cantSplit/>
        </w:trPr>
        <w:tc>
          <w:tcPr>
            <w:tcW w:w="1365" w:type="pct"/>
            <w:tcBorders>
              <w:top w:val="single" w:sz="4" w:space="0" w:color="auto"/>
              <w:bottom w:val="single" w:sz="4" w:space="0" w:color="auto"/>
            </w:tcBorders>
          </w:tcPr>
          <w:p w14:paraId="6549ABCD" w14:textId="77777777" w:rsidR="00F9176A" w:rsidRPr="00F9176A" w:rsidRDefault="00F9176A" w:rsidP="00F9176A">
            <w:pPr>
              <w:pStyle w:val="Tabletext"/>
            </w:pPr>
            <w:r w:rsidRPr="00F9176A">
              <w:t>93</w:t>
            </w:r>
          </w:p>
        </w:tc>
        <w:tc>
          <w:tcPr>
            <w:tcW w:w="909" w:type="pct"/>
            <w:tcBorders>
              <w:top w:val="single" w:sz="4" w:space="0" w:color="auto"/>
              <w:bottom w:val="single" w:sz="4" w:space="0" w:color="auto"/>
            </w:tcBorders>
            <w:shd w:val="clear" w:color="auto" w:fill="auto"/>
            <w:vAlign w:val="bottom"/>
          </w:tcPr>
          <w:p w14:paraId="5650CB76" w14:textId="77777777" w:rsidR="00F9176A" w:rsidRPr="00F9176A" w:rsidRDefault="00F9176A" w:rsidP="00F9176A">
            <w:pPr>
              <w:pStyle w:val="Tabletext"/>
            </w:pPr>
            <w:r w:rsidRPr="00F9176A">
              <w:t>3</w:t>
            </w:r>
            <w:r w:rsidR="00D7157D">
              <w:t>.</w:t>
            </w:r>
            <w:r w:rsidRPr="00F9176A">
              <w:t>2282</w:t>
            </w:r>
          </w:p>
        </w:tc>
        <w:tc>
          <w:tcPr>
            <w:tcW w:w="909" w:type="pct"/>
            <w:tcBorders>
              <w:top w:val="single" w:sz="4" w:space="0" w:color="auto"/>
              <w:bottom w:val="single" w:sz="4" w:space="0" w:color="auto"/>
            </w:tcBorders>
            <w:shd w:val="clear" w:color="auto" w:fill="auto"/>
            <w:vAlign w:val="bottom"/>
          </w:tcPr>
          <w:p w14:paraId="749A4E99" w14:textId="77777777" w:rsidR="00F9176A" w:rsidRPr="00F9176A" w:rsidRDefault="00F9176A" w:rsidP="00F9176A">
            <w:pPr>
              <w:pStyle w:val="Tabletext"/>
            </w:pPr>
            <w:r w:rsidRPr="00F9176A">
              <w:t>0</w:t>
            </w:r>
            <w:r w:rsidR="00D7157D">
              <w:t>.</w:t>
            </w:r>
            <w:r w:rsidRPr="00F9176A">
              <w:t>3819</w:t>
            </w:r>
          </w:p>
        </w:tc>
        <w:tc>
          <w:tcPr>
            <w:tcW w:w="909" w:type="pct"/>
            <w:tcBorders>
              <w:top w:val="single" w:sz="4" w:space="0" w:color="auto"/>
              <w:bottom w:val="single" w:sz="4" w:space="0" w:color="auto"/>
            </w:tcBorders>
            <w:shd w:val="clear" w:color="auto" w:fill="auto"/>
            <w:vAlign w:val="bottom"/>
          </w:tcPr>
          <w:p w14:paraId="5EC63087" w14:textId="77777777" w:rsidR="00F9176A" w:rsidRPr="00F9176A" w:rsidRDefault="00F9176A" w:rsidP="00F9176A">
            <w:pPr>
              <w:pStyle w:val="Tabletext"/>
            </w:pPr>
            <w:r w:rsidRPr="00F9176A">
              <w:t>3</w:t>
            </w:r>
            <w:r w:rsidR="00D7157D">
              <w:t>.</w:t>
            </w:r>
            <w:r w:rsidRPr="00F9176A">
              <w:t>3586</w:t>
            </w:r>
          </w:p>
        </w:tc>
        <w:tc>
          <w:tcPr>
            <w:tcW w:w="908" w:type="pct"/>
            <w:tcBorders>
              <w:top w:val="single" w:sz="4" w:space="0" w:color="auto"/>
              <w:bottom w:val="single" w:sz="4" w:space="0" w:color="auto"/>
              <w:right w:val="nil"/>
            </w:tcBorders>
            <w:shd w:val="clear" w:color="auto" w:fill="auto"/>
            <w:vAlign w:val="bottom"/>
          </w:tcPr>
          <w:p w14:paraId="74408913" w14:textId="77777777" w:rsidR="00F9176A" w:rsidRPr="00F9176A" w:rsidRDefault="00F9176A" w:rsidP="00F9176A">
            <w:pPr>
              <w:pStyle w:val="Tabletext"/>
            </w:pPr>
            <w:r w:rsidRPr="00F9176A">
              <w:t>0</w:t>
            </w:r>
            <w:r w:rsidR="00D7157D">
              <w:t>.</w:t>
            </w:r>
            <w:r w:rsidRPr="00F9176A">
              <w:t>1131</w:t>
            </w:r>
          </w:p>
        </w:tc>
      </w:tr>
      <w:tr w:rsidR="00F9176A" w:rsidRPr="00F9176A" w14:paraId="75645305" w14:textId="77777777" w:rsidTr="00A11447">
        <w:trPr>
          <w:cantSplit/>
        </w:trPr>
        <w:tc>
          <w:tcPr>
            <w:tcW w:w="1365" w:type="pct"/>
            <w:tcBorders>
              <w:top w:val="single" w:sz="4" w:space="0" w:color="auto"/>
              <w:bottom w:val="single" w:sz="4" w:space="0" w:color="auto"/>
            </w:tcBorders>
          </w:tcPr>
          <w:p w14:paraId="6C9CE658" w14:textId="77777777" w:rsidR="00F9176A" w:rsidRPr="00F9176A" w:rsidRDefault="00F9176A" w:rsidP="00F9176A">
            <w:pPr>
              <w:pStyle w:val="Tabletext"/>
            </w:pPr>
            <w:r w:rsidRPr="00F9176A">
              <w:t>94</w:t>
            </w:r>
          </w:p>
        </w:tc>
        <w:tc>
          <w:tcPr>
            <w:tcW w:w="909" w:type="pct"/>
            <w:tcBorders>
              <w:top w:val="single" w:sz="4" w:space="0" w:color="auto"/>
              <w:bottom w:val="single" w:sz="4" w:space="0" w:color="auto"/>
            </w:tcBorders>
            <w:shd w:val="clear" w:color="auto" w:fill="auto"/>
            <w:vAlign w:val="bottom"/>
          </w:tcPr>
          <w:p w14:paraId="5A3DAF2F" w14:textId="77777777" w:rsidR="00F9176A" w:rsidRPr="00F9176A" w:rsidRDefault="00F9176A" w:rsidP="00F9176A">
            <w:pPr>
              <w:pStyle w:val="Tabletext"/>
            </w:pPr>
            <w:r w:rsidRPr="00F9176A">
              <w:t>3</w:t>
            </w:r>
            <w:r w:rsidR="00D7157D">
              <w:t>.</w:t>
            </w:r>
            <w:r w:rsidRPr="00F9176A">
              <w:t>0478</w:t>
            </w:r>
          </w:p>
        </w:tc>
        <w:tc>
          <w:tcPr>
            <w:tcW w:w="909" w:type="pct"/>
            <w:tcBorders>
              <w:top w:val="single" w:sz="4" w:space="0" w:color="auto"/>
              <w:bottom w:val="single" w:sz="4" w:space="0" w:color="auto"/>
            </w:tcBorders>
            <w:shd w:val="clear" w:color="auto" w:fill="auto"/>
            <w:vAlign w:val="bottom"/>
          </w:tcPr>
          <w:p w14:paraId="0B76899A" w14:textId="77777777" w:rsidR="00F9176A" w:rsidRPr="00F9176A" w:rsidRDefault="00F9176A" w:rsidP="00F9176A">
            <w:pPr>
              <w:pStyle w:val="Tabletext"/>
            </w:pPr>
            <w:r w:rsidRPr="00F9176A">
              <w:t>0</w:t>
            </w:r>
            <w:r w:rsidR="00D7157D">
              <w:t>.</w:t>
            </w:r>
            <w:r w:rsidRPr="00F9176A">
              <w:t>3602</w:t>
            </w:r>
          </w:p>
        </w:tc>
        <w:tc>
          <w:tcPr>
            <w:tcW w:w="909" w:type="pct"/>
            <w:tcBorders>
              <w:top w:val="single" w:sz="4" w:space="0" w:color="auto"/>
              <w:bottom w:val="single" w:sz="4" w:space="0" w:color="auto"/>
            </w:tcBorders>
            <w:shd w:val="clear" w:color="auto" w:fill="auto"/>
            <w:vAlign w:val="bottom"/>
          </w:tcPr>
          <w:p w14:paraId="5D897F28" w14:textId="77777777" w:rsidR="00F9176A" w:rsidRPr="00F9176A" w:rsidRDefault="00F9176A" w:rsidP="00F9176A">
            <w:pPr>
              <w:pStyle w:val="Tabletext"/>
            </w:pPr>
            <w:r w:rsidRPr="00F9176A">
              <w:t>3</w:t>
            </w:r>
            <w:r w:rsidR="00D7157D">
              <w:t>.</w:t>
            </w:r>
            <w:r w:rsidRPr="00F9176A">
              <w:t>1700</w:t>
            </w:r>
          </w:p>
        </w:tc>
        <w:tc>
          <w:tcPr>
            <w:tcW w:w="908" w:type="pct"/>
            <w:tcBorders>
              <w:top w:val="single" w:sz="4" w:space="0" w:color="auto"/>
              <w:bottom w:val="single" w:sz="4" w:space="0" w:color="auto"/>
              <w:right w:val="nil"/>
            </w:tcBorders>
            <w:shd w:val="clear" w:color="auto" w:fill="auto"/>
            <w:vAlign w:val="bottom"/>
          </w:tcPr>
          <w:p w14:paraId="7EE013CB" w14:textId="77777777" w:rsidR="00F9176A" w:rsidRPr="00F9176A" w:rsidRDefault="00F9176A" w:rsidP="00F9176A">
            <w:pPr>
              <w:pStyle w:val="Tabletext"/>
            </w:pPr>
            <w:r w:rsidRPr="00F9176A">
              <w:t>0</w:t>
            </w:r>
            <w:r w:rsidR="00D7157D">
              <w:t>.</w:t>
            </w:r>
            <w:r w:rsidRPr="00F9176A">
              <w:t>1081</w:t>
            </w:r>
          </w:p>
        </w:tc>
      </w:tr>
      <w:tr w:rsidR="00F9176A" w:rsidRPr="00F9176A" w14:paraId="63F9297F" w14:textId="77777777" w:rsidTr="00A11447">
        <w:trPr>
          <w:cantSplit/>
        </w:trPr>
        <w:tc>
          <w:tcPr>
            <w:tcW w:w="1365" w:type="pct"/>
            <w:tcBorders>
              <w:top w:val="single" w:sz="4" w:space="0" w:color="auto"/>
              <w:bottom w:val="single" w:sz="4" w:space="0" w:color="auto"/>
            </w:tcBorders>
          </w:tcPr>
          <w:p w14:paraId="24D1E5D2" w14:textId="77777777" w:rsidR="00F9176A" w:rsidRPr="00F9176A" w:rsidRDefault="00F9176A" w:rsidP="00F9176A">
            <w:pPr>
              <w:pStyle w:val="Tabletext"/>
            </w:pPr>
            <w:r w:rsidRPr="00F9176A">
              <w:t>95</w:t>
            </w:r>
          </w:p>
        </w:tc>
        <w:tc>
          <w:tcPr>
            <w:tcW w:w="909" w:type="pct"/>
            <w:tcBorders>
              <w:top w:val="single" w:sz="4" w:space="0" w:color="auto"/>
              <w:bottom w:val="single" w:sz="4" w:space="0" w:color="auto"/>
            </w:tcBorders>
            <w:shd w:val="clear" w:color="auto" w:fill="auto"/>
            <w:vAlign w:val="bottom"/>
          </w:tcPr>
          <w:p w14:paraId="236A7EA2" w14:textId="77777777" w:rsidR="00F9176A" w:rsidRPr="00F9176A" w:rsidRDefault="00F9176A" w:rsidP="00F9176A">
            <w:pPr>
              <w:pStyle w:val="Tabletext"/>
            </w:pPr>
            <w:r w:rsidRPr="00F9176A">
              <w:t>2</w:t>
            </w:r>
            <w:r w:rsidR="00D7157D">
              <w:t>.</w:t>
            </w:r>
            <w:r w:rsidRPr="00F9176A">
              <w:t>8765</w:t>
            </w:r>
          </w:p>
        </w:tc>
        <w:tc>
          <w:tcPr>
            <w:tcW w:w="909" w:type="pct"/>
            <w:tcBorders>
              <w:top w:val="single" w:sz="4" w:space="0" w:color="auto"/>
              <w:bottom w:val="single" w:sz="4" w:space="0" w:color="auto"/>
            </w:tcBorders>
            <w:shd w:val="clear" w:color="auto" w:fill="auto"/>
            <w:vAlign w:val="bottom"/>
          </w:tcPr>
          <w:p w14:paraId="4788E26B" w14:textId="77777777" w:rsidR="00F9176A" w:rsidRPr="00F9176A" w:rsidRDefault="00F9176A" w:rsidP="00F9176A">
            <w:pPr>
              <w:pStyle w:val="Tabletext"/>
            </w:pPr>
            <w:r w:rsidRPr="00F9176A">
              <w:t>0</w:t>
            </w:r>
            <w:r w:rsidR="00D7157D">
              <w:t>.</w:t>
            </w:r>
            <w:r w:rsidRPr="00F9176A">
              <w:t>3389</w:t>
            </w:r>
          </w:p>
        </w:tc>
        <w:tc>
          <w:tcPr>
            <w:tcW w:w="909" w:type="pct"/>
            <w:tcBorders>
              <w:top w:val="single" w:sz="4" w:space="0" w:color="auto"/>
              <w:bottom w:val="single" w:sz="4" w:space="0" w:color="auto"/>
            </w:tcBorders>
            <w:shd w:val="clear" w:color="auto" w:fill="auto"/>
            <w:vAlign w:val="bottom"/>
          </w:tcPr>
          <w:p w14:paraId="69630D58" w14:textId="77777777" w:rsidR="00F9176A" w:rsidRPr="00F9176A" w:rsidRDefault="00F9176A" w:rsidP="00F9176A">
            <w:pPr>
              <w:pStyle w:val="Tabletext"/>
            </w:pPr>
            <w:r w:rsidRPr="00F9176A">
              <w:t>2</w:t>
            </w:r>
            <w:r w:rsidR="00D7157D">
              <w:t>.</w:t>
            </w:r>
            <w:r w:rsidRPr="00F9176A">
              <w:t>9914</w:t>
            </w:r>
          </w:p>
        </w:tc>
        <w:tc>
          <w:tcPr>
            <w:tcW w:w="908" w:type="pct"/>
            <w:tcBorders>
              <w:top w:val="single" w:sz="4" w:space="0" w:color="auto"/>
              <w:bottom w:val="single" w:sz="4" w:space="0" w:color="auto"/>
              <w:right w:val="nil"/>
            </w:tcBorders>
            <w:shd w:val="clear" w:color="auto" w:fill="auto"/>
            <w:vAlign w:val="bottom"/>
          </w:tcPr>
          <w:p w14:paraId="1803C715" w14:textId="77777777" w:rsidR="00F9176A" w:rsidRPr="00F9176A" w:rsidRDefault="00F9176A" w:rsidP="00F9176A">
            <w:pPr>
              <w:pStyle w:val="Tabletext"/>
            </w:pPr>
            <w:r w:rsidRPr="00F9176A">
              <w:t>0</w:t>
            </w:r>
            <w:r w:rsidR="00D7157D">
              <w:t>.</w:t>
            </w:r>
            <w:r w:rsidRPr="00F9176A">
              <w:t>1033</w:t>
            </w:r>
          </w:p>
        </w:tc>
      </w:tr>
      <w:tr w:rsidR="00F9176A" w:rsidRPr="00F9176A" w14:paraId="405A8A27" w14:textId="77777777" w:rsidTr="00A11447">
        <w:trPr>
          <w:cantSplit/>
        </w:trPr>
        <w:tc>
          <w:tcPr>
            <w:tcW w:w="1365" w:type="pct"/>
            <w:tcBorders>
              <w:top w:val="single" w:sz="4" w:space="0" w:color="auto"/>
              <w:bottom w:val="single" w:sz="4" w:space="0" w:color="auto"/>
            </w:tcBorders>
          </w:tcPr>
          <w:p w14:paraId="68B9E82B" w14:textId="77777777" w:rsidR="00F9176A" w:rsidRPr="00F9176A" w:rsidRDefault="00F9176A" w:rsidP="00F9176A">
            <w:pPr>
              <w:pStyle w:val="Tabletext"/>
            </w:pPr>
            <w:r w:rsidRPr="00F9176A">
              <w:t>96</w:t>
            </w:r>
          </w:p>
        </w:tc>
        <w:tc>
          <w:tcPr>
            <w:tcW w:w="909" w:type="pct"/>
            <w:tcBorders>
              <w:top w:val="single" w:sz="4" w:space="0" w:color="auto"/>
              <w:bottom w:val="single" w:sz="4" w:space="0" w:color="auto"/>
            </w:tcBorders>
            <w:shd w:val="clear" w:color="auto" w:fill="auto"/>
            <w:vAlign w:val="bottom"/>
          </w:tcPr>
          <w:p w14:paraId="3F0C9D34" w14:textId="77777777" w:rsidR="00F9176A" w:rsidRPr="00F9176A" w:rsidRDefault="00F9176A" w:rsidP="00F9176A">
            <w:pPr>
              <w:pStyle w:val="Tabletext"/>
            </w:pPr>
            <w:r w:rsidRPr="00F9176A">
              <w:t>2</w:t>
            </w:r>
            <w:r w:rsidR="00D7157D">
              <w:t>.</w:t>
            </w:r>
            <w:r w:rsidRPr="00F9176A">
              <w:t>7111</w:t>
            </w:r>
          </w:p>
        </w:tc>
        <w:tc>
          <w:tcPr>
            <w:tcW w:w="909" w:type="pct"/>
            <w:tcBorders>
              <w:top w:val="single" w:sz="4" w:space="0" w:color="auto"/>
              <w:bottom w:val="single" w:sz="4" w:space="0" w:color="auto"/>
            </w:tcBorders>
            <w:shd w:val="clear" w:color="auto" w:fill="auto"/>
            <w:vAlign w:val="bottom"/>
          </w:tcPr>
          <w:p w14:paraId="61F796BA" w14:textId="77777777" w:rsidR="00F9176A" w:rsidRPr="00F9176A" w:rsidRDefault="00F9176A" w:rsidP="00F9176A">
            <w:pPr>
              <w:pStyle w:val="Tabletext"/>
            </w:pPr>
            <w:r w:rsidRPr="00F9176A">
              <w:t>0</w:t>
            </w:r>
            <w:r w:rsidR="00D7157D">
              <w:t>.</w:t>
            </w:r>
            <w:r w:rsidRPr="00F9176A">
              <w:t>3180</w:t>
            </w:r>
          </w:p>
        </w:tc>
        <w:tc>
          <w:tcPr>
            <w:tcW w:w="909" w:type="pct"/>
            <w:tcBorders>
              <w:top w:val="single" w:sz="4" w:space="0" w:color="auto"/>
              <w:bottom w:val="single" w:sz="4" w:space="0" w:color="auto"/>
            </w:tcBorders>
            <w:shd w:val="clear" w:color="auto" w:fill="auto"/>
            <w:vAlign w:val="bottom"/>
          </w:tcPr>
          <w:p w14:paraId="725E384E" w14:textId="77777777" w:rsidR="00F9176A" w:rsidRPr="00F9176A" w:rsidRDefault="00F9176A" w:rsidP="00F9176A">
            <w:pPr>
              <w:pStyle w:val="Tabletext"/>
            </w:pPr>
            <w:r w:rsidRPr="00F9176A">
              <w:t>2</w:t>
            </w:r>
            <w:r w:rsidR="00D7157D">
              <w:t>.</w:t>
            </w:r>
            <w:r w:rsidRPr="00F9176A">
              <w:t>8230</w:t>
            </w:r>
          </w:p>
        </w:tc>
        <w:tc>
          <w:tcPr>
            <w:tcW w:w="908" w:type="pct"/>
            <w:tcBorders>
              <w:top w:val="single" w:sz="4" w:space="0" w:color="auto"/>
              <w:bottom w:val="single" w:sz="4" w:space="0" w:color="auto"/>
              <w:right w:val="nil"/>
            </w:tcBorders>
            <w:shd w:val="clear" w:color="auto" w:fill="auto"/>
            <w:vAlign w:val="bottom"/>
          </w:tcPr>
          <w:p w14:paraId="23A30744" w14:textId="77777777" w:rsidR="00F9176A" w:rsidRPr="00F9176A" w:rsidRDefault="00F9176A" w:rsidP="00F9176A">
            <w:pPr>
              <w:pStyle w:val="Tabletext"/>
            </w:pPr>
            <w:r w:rsidRPr="00F9176A">
              <w:t>0</w:t>
            </w:r>
            <w:r w:rsidR="00D7157D">
              <w:t>.</w:t>
            </w:r>
            <w:r w:rsidRPr="00F9176A">
              <w:t>0985</w:t>
            </w:r>
          </w:p>
        </w:tc>
      </w:tr>
      <w:tr w:rsidR="00F9176A" w:rsidRPr="00F9176A" w14:paraId="725DCB8B" w14:textId="77777777" w:rsidTr="00A11447">
        <w:trPr>
          <w:cantSplit/>
        </w:trPr>
        <w:tc>
          <w:tcPr>
            <w:tcW w:w="1365" w:type="pct"/>
            <w:tcBorders>
              <w:top w:val="single" w:sz="4" w:space="0" w:color="auto"/>
              <w:bottom w:val="single" w:sz="4" w:space="0" w:color="auto"/>
            </w:tcBorders>
          </w:tcPr>
          <w:p w14:paraId="6C72DAD3" w14:textId="77777777" w:rsidR="00F9176A" w:rsidRPr="00F9176A" w:rsidRDefault="00F9176A" w:rsidP="00F9176A">
            <w:pPr>
              <w:pStyle w:val="Tabletext"/>
            </w:pPr>
            <w:r w:rsidRPr="00F9176A">
              <w:t>97</w:t>
            </w:r>
          </w:p>
        </w:tc>
        <w:tc>
          <w:tcPr>
            <w:tcW w:w="909" w:type="pct"/>
            <w:tcBorders>
              <w:top w:val="single" w:sz="4" w:space="0" w:color="auto"/>
              <w:bottom w:val="single" w:sz="4" w:space="0" w:color="auto"/>
            </w:tcBorders>
            <w:shd w:val="clear" w:color="auto" w:fill="auto"/>
            <w:vAlign w:val="bottom"/>
          </w:tcPr>
          <w:p w14:paraId="0D41B6A2" w14:textId="77777777" w:rsidR="00F9176A" w:rsidRPr="00F9176A" w:rsidRDefault="00F9176A" w:rsidP="00F9176A">
            <w:pPr>
              <w:pStyle w:val="Tabletext"/>
            </w:pPr>
            <w:r w:rsidRPr="00F9176A">
              <w:t>2</w:t>
            </w:r>
            <w:r w:rsidR="00D7157D">
              <w:t>.</w:t>
            </w:r>
            <w:r w:rsidRPr="00F9176A">
              <w:t>5575</w:t>
            </w:r>
          </w:p>
        </w:tc>
        <w:tc>
          <w:tcPr>
            <w:tcW w:w="909" w:type="pct"/>
            <w:tcBorders>
              <w:top w:val="single" w:sz="4" w:space="0" w:color="auto"/>
              <w:bottom w:val="single" w:sz="4" w:space="0" w:color="auto"/>
            </w:tcBorders>
            <w:shd w:val="clear" w:color="auto" w:fill="auto"/>
            <w:vAlign w:val="bottom"/>
          </w:tcPr>
          <w:p w14:paraId="2D082092" w14:textId="77777777" w:rsidR="00F9176A" w:rsidRPr="00F9176A" w:rsidRDefault="00F9176A" w:rsidP="00F9176A">
            <w:pPr>
              <w:pStyle w:val="Tabletext"/>
            </w:pPr>
            <w:r w:rsidRPr="00F9176A">
              <w:t>0</w:t>
            </w:r>
            <w:r w:rsidR="00D7157D">
              <w:t>.</w:t>
            </w:r>
            <w:r w:rsidRPr="00F9176A">
              <w:t>2974</w:t>
            </w:r>
          </w:p>
        </w:tc>
        <w:tc>
          <w:tcPr>
            <w:tcW w:w="909" w:type="pct"/>
            <w:tcBorders>
              <w:top w:val="single" w:sz="4" w:space="0" w:color="auto"/>
              <w:bottom w:val="single" w:sz="4" w:space="0" w:color="auto"/>
            </w:tcBorders>
            <w:shd w:val="clear" w:color="auto" w:fill="auto"/>
            <w:vAlign w:val="bottom"/>
          </w:tcPr>
          <w:p w14:paraId="2BD651F7" w14:textId="77777777" w:rsidR="00F9176A" w:rsidRPr="00F9176A" w:rsidRDefault="00F9176A" w:rsidP="00F9176A">
            <w:pPr>
              <w:pStyle w:val="Tabletext"/>
            </w:pPr>
            <w:r w:rsidRPr="00F9176A">
              <w:t>2</w:t>
            </w:r>
            <w:r w:rsidR="00D7157D">
              <w:t>.</w:t>
            </w:r>
            <w:r w:rsidRPr="00F9176A">
              <w:t>6610</w:t>
            </w:r>
          </w:p>
        </w:tc>
        <w:tc>
          <w:tcPr>
            <w:tcW w:w="908" w:type="pct"/>
            <w:tcBorders>
              <w:top w:val="single" w:sz="4" w:space="0" w:color="auto"/>
              <w:bottom w:val="single" w:sz="4" w:space="0" w:color="auto"/>
              <w:right w:val="nil"/>
            </w:tcBorders>
            <w:shd w:val="clear" w:color="auto" w:fill="auto"/>
            <w:vAlign w:val="bottom"/>
          </w:tcPr>
          <w:p w14:paraId="58132ACC" w14:textId="77777777" w:rsidR="00F9176A" w:rsidRPr="00F9176A" w:rsidRDefault="00F9176A" w:rsidP="00F9176A">
            <w:pPr>
              <w:pStyle w:val="Tabletext"/>
            </w:pPr>
            <w:r w:rsidRPr="00F9176A">
              <w:t>0</w:t>
            </w:r>
            <w:r w:rsidR="00D7157D">
              <w:t>.</w:t>
            </w:r>
            <w:r w:rsidRPr="00F9176A">
              <w:t>0937</w:t>
            </w:r>
          </w:p>
        </w:tc>
      </w:tr>
      <w:tr w:rsidR="00F9176A" w:rsidRPr="00F9176A" w14:paraId="6732C95A" w14:textId="77777777" w:rsidTr="00A11447">
        <w:trPr>
          <w:cantSplit/>
        </w:trPr>
        <w:tc>
          <w:tcPr>
            <w:tcW w:w="1365" w:type="pct"/>
            <w:tcBorders>
              <w:top w:val="single" w:sz="4" w:space="0" w:color="auto"/>
              <w:bottom w:val="single" w:sz="4" w:space="0" w:color="auto"/>
            </w:tcBorders>
          </w:tcPr>
          <w:p w14:paraId="135681DE" w14:textId="77777777" w:rsidR="00F9176A" w:rsidRPr="00F9176A" w:rsidRDefault="00F9176A" w:rsidP="00F9176A">
            <w:pPr>
              <w:pStyle w:val="Tabletext"/>
            </w:pPr>
            <w:r w:rsidRPr="00F9176A">
              <w:t>98</w:t>
            </w:r>
          </w:p>
        </w:tc>
        <w:tc>
          <w:tcPr>
            <w:tcW w:w="909" w:type="pct"/>
            <w:tcBorders>
              <w:top w:val="single" w:sz="4" w:space="0" w:color="auto"/>
              <w:bottom w:val="single" w:sz="4" w:space="0" w:color="auto"/>
            </w:tcBorders>
            <w:shd w:val="clear" w:color="auto" w:fill="auto"/>
            <w:vAlign w:val="bottom"/>
          </w:tcPr>
          <w:p w14:paraId="78C0EA8D" w14:textId="77777777" w:rsidR="00F9176A" w:rsidRPr="00F9176A" w:rsidRDefault="00F9176A" w:rsidP="00F9176A">
            <w:pPr>
              <w:pStyle w:val="Tabletext"/>
            </w:pPr>
            <w:r w:rsidRPr="00F9176A">
              <w:t>2</w:t>
            </w:r>
            <w:r w:rsidR="00D7157D">
              <w:t>.</w:t>
            </w:r>
            <w:r w:rsidRPr="00F9176A">
              <w:t>4150</w:t>
            </w:r>
          </w:p>
        </w:tc>
        <w:tc>
          <w:tcPr>
            <w:tcW w:w="909" w:type="pct"/>
            <w:tcBorders>
              <w:top w:val="single" w:sz="4" w:space="0" w:color="auto"/>
              <w:bottom w:val="single" w:sz="4" w:space="0" w:color="auto"/>
            </w:tcBorders>
            <w:shd w:val="clear" w:color="auto" w:fill="auto"/>
            <w:vAlign w:val="bottom"/>
          </w:tcPr>
          <w:p w14:paraId="1BF31950" w14:textId="77777777" w:rsidR="00F9176A" w:rsidRPr="00F9176A" w:rsidRDefault="00F9176A" w:rsidP="00F9176A">
            <w:pPr>
              <w:pStyle w:val="Tabletext"/>
            </w:pPr>
            <w:r w:rsidRPr="00F9176A">
              <w:t>0</w:t>
            </w:r>
            <w:r w:rsidR="00D7157D">
              <w:t>.</w:t>
            </w:r>
            <w:r w:rsidRPr="00F9176A">
              <w:t>2768</w:t>
            </w:r>
          </w:p>
        </w:tc>
        <w:tc>
          <w:tcPr>
            <w:tcW w:w="909" w:type="pct"/>
            <w:tcBorders>
              <w:top w:val="single" w:sz="4" w:space="0" w:color="auto"/>
              <w:bottom w:val="single" w:sz="4" w:space="0" w:color="auto"/>
            </w:tcBorders>
            <w:shd w:val="clear" w:color="auto" w:fill="auto"/>
            <w:vAlign w:val="bottom"/>
          </w:tcPr>
          <w:p w14:paraId="581ECFBA" w14:textId="77777777" w:rsidR="00F9176A" w:rsidRPr="00F9176A" w:rsidRDefault="00F9176A" w:rsidP="00F9176A">
            <w:pPr>
              <w:pStyle w:val="Tabletext"/>
            </w:pPr>
            <w:r w:rsidRPr="00F9176A">
              <w:t>2</w:t>
            </w:r>
            <w:r w:rsidR="00D7157D">
              <w:t>.</w:t>
            </w:r>
            <w:r w:rsidRPr="00F9176A">
              <w:t>5128</w:t>
            </w:r>
          </w:p>
        </w:tc>
        <w:tc>
          <w:tcPr>
            <w:tcW w:w="908" w:type="pct"/>
            <w:tcBorders>
              <w:top w:val="single" w:sz="4" w:space="0" w:color="auto"/>
              <w:bottom w:val="single" w:sz="4" w:space="0" w:color="auto"/>
              <w:right w:val="nil"/>
            </w:tcBorders>
            <w:shd w:val="clear" w:color="auto" w:fill="auto"/>
            <w:vAlign w:val="bottom"/>
          </w:tcPr>
          <w:p w14:paraId="3113FF38" w14:textId="77777777" w:rsidR="00F9176A" w:rsidRPr="00F9176A" w:rsidRDefault="00F9176A" w:rsidP="00F9176A">
            <w:pPr>
              <w:pStyle w:val="Tabletext"/>
            </w:pPr>
            <w:r w:rsidRPr="00F9176A">
              <w:t>0</w:t>
            </w:r>
            <w:r w:rsidR="00D7157D">
              <w:t>.</w:t>
            </w:r>
            <w:r w:rsidRPr="00F9176A">
              <w:t>0888</w:t>
            </w:r>
          </w:p>
        </w:tc>
      </w:tr>
      <w:tr w:rsidR="00F9176A" w:rsidRPr="009E2595" w14:paraId="246584B8" w14:textId="77777777" w:rsidTr="00A11447">
        <w:trPr>
          <w:cantSplit/>
        </w:trPr>
        <w:tc>
          <w:tcPr>
            <w:tcW w:w="1365" w:type="pct"/>
            <w:tcBorders>
              <w:top w:val="single" w:sz="4" w:space="0" w:color="auto"/>
              <w:bottom w:val="single" w:sz="12" w:space="0" w:color="auto"/>
            </w:tcBorders>
          </w:tcPr>
          <w:p w14:paraId="226382E0" w14:textId="77777777" w:rsidR="00F9176A" w:rsidRPr="00F9176A" w:rsidRDefault="00ED15BD" w:rsidP="00F9176A">
            <w:pPr>
              <w:pStyle w:val="Tabletext"/>
            </w:pPr>
            <w:r>
              <w:t>99 and over</w:t>
            </w:r>
          </w:p>
        </w:tc>
        <w:tc>
          <w:tcPr>
            <w:tcW w:w="909" w:type="pct"/>
            <w:tcBorders>
              <w:top w:val="single" w:sz="4" w:space="0" w:color="auto"/>
              <w:bottom w:val="single" w:sz="12" w:space="0" w:color="auto"/>
            </w:tcBorders>
            <w:shd w:val="clear" w:color="auto" w:fill="auto"/>
            <w:vAlign w:val="bottom"/>
          </w:tcPr>
          <w:p w14:paraId="5EA0848B" w14:textId="77777777" w:rsidR="00F9176A" w:rsidRPr="00F9176A" w:rsidRDefault="00F9176A" w:rsidP="00F9176A">
            <w:pPr>
              <w:pStyle w:val="Tabletext"/>
            </w:pPr>
            <w:r w:rsidRPr="00F9176A">
              <w:t>2</w:t>
            </w:r>
            <w:r w:rsidR="00D7157D">
              <w:t>.</w:t>
            </w:r>
            <w:r w:rsidRPr="00F9176A">
              <w:t>2832</w:t>
            </w:r>
          </w:p>
        </w:tc>
        <w:tc>
          <w:tcPr>
            <w:tcW w:w="909" w:type="pct"/>
            <w:tcBorders>
              <w:top w:val="single" w:sz="4" w:space="0" w:color="auto"/>
              <w:bottom w:val="single" w:sz="12" w:space="0" w:color="auto"/>
            </w:tcBorders>
            <w:shd w:val="clear" w:color="auto" w:fill="auto"/>
            <w:vAlign w:val="bottom"/>
          </w:tcPr>
          <w:p w14:paraId="4F09B90A" w14:textId="77777777" w:rsidR="00F9176A" w:rsidRPr="00F9176A" w:rsidRDefault="00F9176A" w:rsidP="00F9176A">
            <w:pPr>
              <w:pStyle w:val="Tabletext"/>
            </w:pPr>
            <w:r w:rsidRPr="00F9176A">
              <w:t>0</w:t>
            </w:r>
            <w:r w:rsidR="00D7157D">
              <w:t>.</w:t>
            </w:r>
            <w:r w:rsidRPr="00F9176A">
              <w:t>2559</w:t>
            </w:r>
          </w:p>
        </w:tc>
        <w:tc>
          <w:tcPr>
            <w:tcW w:w="909" w:type="pct"/>
            <w:tcBorders>
              <w:top w:val="single" w:sz="4" w:space="0" w:color="auto"/>
              <w:bottom w:val="single" w:sz="12" w:space="0" w:color="auto"/>
            </w:tcBorders>
            <w:shd w:val="clear" w:color="auto" w:fill="auto"/>
            <w:vAlign w:val="bottom"/>
          </w:tcPr>
          <w:p w14:paraId="430C87BA" w14:textId="77777777" w:rsidR="00F9176A" w:rsidRPr="00F9176A" w:rsidRDefault="00F9176A" w:rsidP="00F9176A">
            <w:pPr>
              <w:pStyle w:val="Tabletext"/>
            </w:pPr>
            <w:r w:rsidRPr="00F9176A">
              <w:t>2</w:t>
            </w:r>
            <w:r w:rsidR="00D7157D">
              <w:t>.</w:t>
            </w:r>
            <w:r w:rsidRPr="00F9176A">
              <w:t>3768</w:t>
            </w:r>
          </w:p>
        </w:tc>
        <w:tc>
          <w:tcPr>
            <w:tcW w:w="908" w:type="pct"/>
            <w:tcBorders>
              <w:top w:val="single" w:sz="4" w:space="0" w:color="auto"/>
              <w:bottom w:val="single" w:sz="12" w:space="0" w:color="auto"/>
              <w:right w:val="nil"/>
            </w:tcBorders>
            <w:shd w:val="clear" w:color="auto" w:fill="auto"/>
            <w:vAlign w:val="bottom"/>
          </w:tcPr>
          <w:p w14:paraId="52BFD544" w14:textId="77777777" w:rsidR="00F9176A" w:rsidRPr="00F9176A" w:rsidRDefault="00F9176A" w:rsidP="00F9176A">
            <w:pPr>
              <w:pStyle w:val="Tabletext"/>
            </w:pPr>
            <w:r w:rsidRPr="00F9176A">
              <w:t>0</w:t>
            </w:r>
            <w:r w:rsidR="00D7157D">
              <w:t>.</w:t>
            </w:r>
            <w:r w:rsidRPr="00F9176A">
              <w:t>0836</w:t>
            </w:r>
          </w:p>
        </w:tc>
      </w:tr>
    </w:tbl>
    <w:p w14:paraId="65A159B6" w14:textId="77777777" w:rsidR="000527FC" w:rsidRPr="00A058B6" w:rsidRDefault="000527FC" w:rsidP="000527FC">
      <w:pPr>
        <w:pStyle w:val="ActHead5"/>
      </w:pPr>
      <w:bookmarkStart w:id="337" w:name="_Toc188350812"/>
      <w:r w:rsidRPr="00423C34">
        <w:rPr>
          <w:rStyle w:val="CharSectno"/>
        </w:rPr>
        <w:t>7</w:t>
      </w:r>
      <w:r w:rsidRPr="00A058B6">
        <w:t xml:space="preserve">  Valuation factors—CPI indexed pension plus 1% with 5% cap</w:t>
      </w:r>
      <w:bookmarkEnd w:id="337"/>
    </w:p>
    <w:p w14:paraId="79FB9745" w14:textId="77777777" w:rsidR="000527FC" w:rsidRPr="00A058B6" w:rsidRDefault="000527FC" w:rsidP="000527FC">
      <w:pPr>
        <w:pStyle w:val="subsection"/>
      </w:pPr>
      <w:r w:rsidRPr="00A058B6">
        <w:tab/>
      </w:r>
      <w:r w:rsidRPr="00A058B6">
        <w:tab/>
        <w:t>The pension valuation factors and reversion valuation factors set out in this clause apply if the pension is indexed in accordance with the consumer price index plus 1% with a cap of 5%</w:t>
      </w:r>
      <w:r w:rsidR="00D7157D">
        <w:t>.</w:t>
      </w:r>
    </w:p>
    <w:p w14:paraId="43E73172" w14:textId="77777777" w:rsidR="000527FC" w:rsidRPr="00A058B6"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A058B6" w14:paraId="4F8EACB7" w14:textId="77777777" w:rsidTr="00FD658D">
        <w:trPr>
          <w:cantSplit/>
          <w:trHeight w:val="383"/>
          <w:tblHeader/>
        </w:trPr>
        <w:tc>
          <w:tcPr>
            <w:tcW w:w="1136" w:type="pct"/>
            <w:vMerge w:val="restart"/>
            <w:tcBorders>
              <w:top w:val="single" w:sz="12" w:space="0" w:color="auto"/>
              <w:bottom w:val="single" w:sz="12" w:space="0" w:color="auto"/>
            </w:tcBorders>
          </w:tcPr>
          <w:p w14:paraId="1760B42A" w14:textId="77777777" w:rsidR="000527FC" w:rsidRPr="00A058B6" w:rsidRDefault="000527FC" w:rsidP="00FD658D">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73EC6940" w14:textId="77777777" w:rsidR="000527FC" w:rsidRPr="00A058B6" w:rsidRDefault="000527FC" w:rsidP="00FD658D">
            <w:pPr>
              <w:pStyle w:val="TableHeading"/>
            </w:pPr>
            <w:r w:rsidRPr="00A058B6">
              <w:t>Valuation factors</w:t>
            </w:r>
            <w:r w:rsidRPr="00A058B6">
              <w:br/>
              <w:t>CPI indexed pension plus 1% with 5% cap</w:t>
            </w:r>
          </w:p>
        </w:tc>
      </w:tr>
      <w:tr w:rsidR="000527FC" w:rsidRPr="00A058B6" w14:paraId="3D8A7A1D" w14:textId="77777777" w:rsidTr="00FD658D">
        <w:trPr>
          <w:cantSplit/>
          <w:trHeight w:val="87"/>
          <w:tblHeader/>
        </w:trPr>
        <w:tc>
          <w:tcPr>
            <w:tcW w:w="1136" w:type="pct"/>
            <w:vMerge/>
            <w:tcBorders>
              <w:bottom w:val="single" w:sz="12" w:space="0" w:color="auto"/>
            </w:tcBorders>
          </w:tcPr>
          <w:p w14:paraId="2F84DB0C" w14:textId="77777777" w:rsidR="000527FC" w:rsidRPr="00A058B6" w:rsidRDefault="000527FC" w:rsidP="00FD658D">
            <w:pPr>
              <w:pStyle w:val="TableHeading"/>
            </w:pPr>
          </w:p>
        </w:tc>
        <w:tc>
          <w:tcPr>
            <w:tcW w:w="1932" w:type="pct"/>
            <w:gridSpan w:val="2"/>
            <w:tcBorders>
              <w:top w:val="single" w:sz="4" w:space="0" w:color="auto"/>
              <w:bottom w:val="single" w:sz="4" w:space="0" w:color="auto"/>
            </w:tcBorders>
          </w:tcPr>
          <w:p w14:paraId="16D42AC9" w14:textId="77777777" w:rsidR="000527FC" w:rsidRPr="00A058B6" w:rsidRDefault="000527FC" w:rsidP="00FD658D">
            <w:pPr>
              <w:pStyle w:val="TableHeading"/>
            </w:pPr>
            <w:r w:rsidRPr="00A058B6">
              <w:t>Males</w:t>
            </w:r>
          </w:p>
        </w:tc>
        <w:tc>
          <w:tcPr>
            <w:tcW w:w="1932" w:type="pct"/>
            <w:gridSpan w:val="2"/>
            <w:tcBorders>
              <w:top w:val="single" w:sz="4" w:space="0" w:color="auto"/>
              <w:bottom w:val="single" w:sz="4" w:space="0" w:color="auto"/>
            </w:tcBorders>
          </w:tcPr>
          <w:p w14:paraId="647A292C" w14:textId="77777777" w:rsidR="000527FC" w:rsidRPr="00A058B6" w:rsidRDefault="000527FC" w:rsidP="00FD658D">
            <w:pPr>
              <w:pStyle w:val="TableHeading"/>
            </w:pPr>
            <w:r w:rsidRPr="00A058B6">
              <w:t>Females</w:t>
            </w:r>
          </w:p>
        </w:tc>
      </w:tr>
      <w:tr w:rsidR="000527FC" w:rsidRPr="00A058B6" w14:paraId="47AD7B9A" w14:textId="77777777" w:rsidTr="00993D49">
        <w:trPr>
          <w:cantSplit/>
          <w:trHeight w:val="87"/>
          <w:tblHeader/>
        </w:trPr>
        <w:tc>
          <w:tcPr>
            <w:tcW w:w="1136" w:type="pct"/>
            <w:vMerge/>
            <w:tcBorders>
              <w:bottom w:val="single" w:sz="12" w:space="0" w:color="auto"/>
            </w:tcBorders>
          </w:tcPr>
          <w:p w14:paraId="047B916A" w14:textId="77777777" w:rsidR="000527FC" w:rsidRPr="00A058B6" w:rsidRDefault="000527FC" w:rsidP="00FD658D">
            <w:pPr>
              <w:pStyle w:val="TableHeading"/>
            </w:pPr>
          </w:p>
        </w:tc>
        <w:tc>
          <w:tcPr>
            <w:tcW w:w="966" w:type="pct"/>
            <w:tcBorders>
              <w:top w:val="single" w:sz="4" w:space="0" w:color="auto"/>
              <w:bottom w:val="single" w:sz="12" w:space="0" w:color="auto"/>
            </w:tcBorders>
          </w:tcPr>
          <w:p w14:paraId="1386520C"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2306553A" w14:textId="77777777" w:rsidR="000527FC" w:rsidRPr="00A058B6" w:rsidRDefault="000527FC" w:rsidP="00FD658D">
            <w:pPr>
              <w:pStyle w:val="TableHeading"/>
            </w:pPr>
            <w:r w:rsidRPr="00A058B6">
              <w:t>Reversion</w:t>
            </w:r>
          </w:p>
        </w:tc>
        <w:tc>
          <w:tcPr>
            <w:tcW w:w="966" w:type="pct"/>
            <w:tcBorders>
              <w:top w:val="single" w:sz="4" w:space="0" w:color="auto"/>
              <w:bottom w:val="single" w:sz="12" w:space="0" w:color="auto"/>
            </w:tcBorders>
          </w:tcPr>
          <w:p w14:paraId="450054C2"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38C06347" w14:textId="77777777" w:rsidR="000527FC" w:rsidRPr="00A058B6" w:rsidRDefault="000527FC" w:rsidP="00FD658D">
            <w:pPr>
              <w:pStyle w:val="TableHeading"/>
            </w:pPr>
            <w:r w:rsidRPr="00A058B6">
              <w:t>Reversion</w:t>
            </w:r>
          </w:p>
        </w:tc>
      </w:tr>
      <w:tr w:rsidR="003233A7" w:rsidRPr="003233A7" w14:paraId="013ADA82" w14:textId="77777777" w:rsidTr="00993D49">
        <w:trPr>
          <w:cantSplit/>
        </w:trPr>
        <w:tc>
          <w:tcPr>
            <w:tcW w:w="1136" w:type="pct"/>
            <w:tcBorders>
              <w:top w:val="single" w:sz="12" w:space="0" w:color="auto"/>
              <w:bottom w:val="single" w:sz="4" w:space="0" w:color="auto"/>
            </w:tcBorders>
          </w:tcPr>
          <w:p w14:paraId="656B907E" w14:textId="77777777" w:rsidR="003233A7" w:rsidRPr="00616B26" w:rsidRDefault="003233A7" w:rsidP="003233A7">
            <w:pPr>
              <w:pStyle w:val="Tabletext"/>
              <w:rPr>
                <w:snapToGrid w:val="0"/>
              </w:rPr>
            </w:pPr>
            <w:r w:rsidRPr="00616B26">
              <w:rPr>
                <w:snapToGrid w:val="0"/>
              </w:rPr>
              <w:t>18</w:t>
            </w:r>
          </w:p>
        </w:tc>
        <w:tc>
          <w:tcPr>
            <w:tcW w:w="966" w:type="pct"/>
            <w:tcBorders>
              <w:top w:val="single" w:sz="12" w:space="0" w:color="auto"/>
              <w:bottom w:val="single" w:sz="4" w:space="0" w:color="auto"/>
            </w:tcBorders>
            <w:shd w:val="clear" w:color="auto" w:fill="auto"/>
            <w:vAlign w:val="bottom"/>
          </w:tcPr>
          <w:p w14:paraId="6A9331E6" w14:textId="77777777" w:rsidR="003233A7" w:rsidRPr="003233A7" w:rsidRDefault="003233A7" w:rsidP="003233A7">
            <w:pPr>
              <w:pStyle w:val="Tabletext"/>
            </w:pPr>
            <w:r w:rsidRPr="003233A7">
              <w:t>29</w:t>
            </w:r>
            <w:r w:rsidR="00D7157D">
              <w:t>.</w:t>
            </w:r>
            <w:r w:rsidRPr="003233A7">
              <w:t>0606</w:t>
            </w:r>
          </w:p>
        </w:tc>
        <w:tc>
          <w:tcPr>
            <w:tcW w:w="966" w:type="pct"/>
            <w:tcBorders>
              <w:top w:val="single" w:sz="12" w:space="0" w:color="auto"/>
              <w:bottom w:val="single" w:sz="4" w:space="0" w:color="auto"/>
            </w:tcBorders>
            <w:shd w:val="clear" w:color="auto" w:fill="auto"/>
            <w:vAlign w:val="bottom"/>
          </w:tcPr>
          <w:p w14:paraId="2BEE359F" w14:textId="77777777" w:rsidR="003233A7" w:rsidRPr="003233A7" w:rsidRDefault="003233A7" w:rsidP="003233A7">
            <w:pPr>
              <w:pStyle w:val="Tabletext"/>
            </w:pPr>
            <w:r w:rsidRPr="003233A7">
              <w:t>2</w:t>
            </w:r>
            <w:r w:rsidR="00D7157D">
              <w:t>.</w:t>
            </w:r>
            <w:r w:rsidRPr="003233A7">
              <w:t>7740</w:t>
            </w:r>
          </w:p>
        </w:tc>
        <w:tc>
          <w:tcPr>
            <w:tcW w:w="966" w:type="pct"/>
            <w:tcBorders>
              <w:top w:val="single" w:sz="12" w:space="0" w:color="auto"/>
              <w:bottom w:val="single" w:sz="4" w:space="0" w:color="auto"/>
            </w:tcBorders>
            <w:shd w:val="clear" w:color="auto" w:fill="auto"/>
            <w:vAlign w:val="bottom"/>
          </w:tcPr>
          <w:p w14:paraId="6C8BF245" w14:textId="77777777" w:rsidR="003233A7" w:rsidRPr="003233A7" w:rsidRDefault="003233A7" w:rsidP="003233A7">
            <w:pPr>
              <w:pStyle w:val="Tabletext"/>
            </w:pPr>
            <w:r w:rsidRPr="003233A7">
              <w:t>30</w:t>
            </w:r>
            <w:r w:rsidR="00D7157D">
              <w:t>.</w:t>
            </w:r>
            <w:r w:rsidRPr="003233A7">
              <w:t>2515</w:t>
            </w:r>
          </w:p>
        </w:tc>
        <w:tc>
          <w:tcPr>
            <w:tcW w:w="966" w:type="pct"/>
            <w:tcBorders>
              <w:top w:val="single" w:sz="12" w:space="0" w:color="auto"/>
              <w:bottom w:val="single" w:sz="4" w:space="0" w:color="auto"/>
              <w:right w:val="nil"/>
            </w:tcBorders>
            <w:shd w:val="clear" w:color="auto" w:fill="auto"/>
            <w:vAlign w:val="bottom"/>
          </w:tcPr>
          <w:p w14:paraId="4FDA3548" w14:textId="77777777" w:rsidR="003233A7" w:rsidRPr="003233A7" w:rsidRDefault="003233A7" w:rsidP="003233A7">
            <w:pPr>
              <w:pStyle w:val="Tabletext"/>
            </w:pPr>
            <w:r w:rsidRPr="003233A7">
              <w:t>1</w:t>
            </w:r>
            <w:r w:rsidR="00D7157D">
              <w:t>.</w:t>
            </w:r>
            <w:r w:rsidRPr="003233A7">
              <w:t>3520</w:t>
            </w:r>
          </w:p>
        </w:tc>
      </w:tr>
      <w:tr w:rsidR="003233A7" w:rsidRPr="003233A7" w14:paraId="7A606E8B" w14:textId="77777777" w:rsidTr="00993D49">
        <w:trPr>
          <w:cantSplit/>
        </w:trPr>
        <w:tc>
          <w:tcPr>
            <w:tcW w:w="1136" w:type="pct"/>
            <w:tcBorders>
              <w:top w:val="single" w:sz="4" w:space="0" w:color="auto"/>
              <w:bottom w:val="single" w:sz="4" w:space="0" w:color="auto"/>
            </w:tcBorders>
          </w:tcPr>
          <w:p w14:paraId="49DD6E6A" w14:textId="77777777" w:rsidR="003233A7" w:rsidRPr="003233A7" w:rsidRDefault="003233A7" w:rsidP="003233A7">
            <w:pPr>
              <w:pStyle w:val="Tabletext"/>
            </w:pPr>
            <w:r w:rsidRPr="003233A7">
              <w:t>19</w:t>
            </w:r>
          </w:p>
        </w:tc>
        <w:tc>
          <w:tcPr>
            <w:tcW w:w="966" w:type="pct"/>
            <w:tcBorders>
              <w:top w:val="single" w:sz="4" w:space="0" w:color="auto"/>
              <w:bottom w:val="single" w:sz="4" w:space="0" w:color="auto"/>
            </w:tcBorders>
            <w:shd w:val="clear" w:color="auto" w:fill="auto"/>
            <w:vAlign w:val="bottom"/>
          </w:tcPr>
          <w:p w14:paraId="4EE1B365" w14:textId="77777777" w:rsidR="003233A7" w:rsidRPr="003233A7" w:rsidRDefault="003233A7" w:rsidP="003233A7">
            <w:pPr>
              <w:pStyle w:val="Tabletext"/>
            </w:pPr>
            <w:r w:rsidRPr="003233A7">
              <w:t>28</w:t>
            </w:r>
            <w:r w:rsidR="00D7157D">
              <w:t>.</w:t>
            </w:r>
            <w:r w:rsidRPr="003233A7">
              <w:t>8672</w:t>
            </w:r>
          </w:p>
        </w:tc>
        <w:tc>
          <w:tcPr>
            <w:tcW w:w="966" w:type="pct"/>
            <w:tcBorders>
              <w:top w:val="single" w:sz="4" w:space="0" w:color="auto"/>
              <w:bottom w:val="single" w:sz="4" w:space="0" w:color="auto"/>
            </w:tcBorders>
            <w:shd w:val="clear" w:color="auto" w:fill="auto"/>
            <w:vAlign w:val="bottom"/>
          </w:tcPr>
          <w:p w14:paraId="43AC1BA8" w14:textId="77777777" w:rsidR="003233A7" w:rsidRPr="003233A7" w:rsidRDefault="003233A7" w:rsidP="003233A7">
            <w:pPr>
              <w:pStyle w:val="Tabletext"/>
            </w:pPr>
            <w:r w:rsidRPr="003233A7">
              <w:t>2</w:t>
            </w:r>
            <w:r w:rsidR="00D7157D">
              <w:t>.</w:t>
            </w:r>
            <w:r w:rsidRPr="003233A7">
              <w:t>8082</w:t>
            </w:r>
          </w:p>
        </w:tc>
        <w:tc>
          <w:tcPr>
            <w:tcW w:w="966" w:type="pct"/>
            <w:tcBorders>
              <w:top w:val="single" w:sz="4" w:space="0" w:color="auto"/>
              <w:bottom w:val="single" w:sz="4" w:space="0" w:color="auto"/>
            </w:tcBorders>
            <w:shd w:val="clear" w:color="auto" w:fill="auto"/>
            <w:vAlign w:val="bottom"/>
          </w:tcPr>
          <w:p w14:paraId="3CADE070" w14:textId="77777777" w:rsidR="003233A7" w:rsidRPr="003233A7" w:rsidRDefault="003233A7" w:rsidP="003233A7">
            <w:pPr>
              <w:pStyle w:val="Tabletext"/>
            </w:pPr>
            <w:r w:rsidRPr="003233A7">
              <w:t>30</w:t>
            </w:r>
            <w:r w:rsidR="00D7157D">
              <w:t>.</w:t>
            </w:r>
            <w:r w:rsidRPr="003233A7">
              <w:t>0681</w:t>
            </w:r>
          </w:p>
        </w:tc>
        <w:tc>
          <w:tcPr>
            <w:tcW w:w="966" w:type="pct"/>
            <w:tcBorders>
              <w:top w:val="single" w:sz="4" w:space="0" w:color="auto"/>
              <w:bottom w:val="single" w:sz="4" w:space="0" w:color="auto"/>
              <w:right w:val="nil"/>
            </w:tcBorders>
            <w:shd w:val="clear" w:color="auto" w:fill="auto"/>
            <w:vAlign w:val="bottom"/>
          </w:tcPr>
          <w:p w14:paraId="7587EB72" w14:textId="77777777" w:rsidR="003233A7" w:rsidRPr="003233A7" w:rsidRDefault="003233A7" w:rsidP="003233A7">
            <w:pPr>
              <w:pStyle w:val="Tabletext"/>
            </w:pPr>
            <w:r w:rsidRPr="003233A7">
              <w:t>1</w:t>
            </w:r>
            <w:r w:rsidR="00D7157D">
              <w:t>.</w:t>
            </w:r>
            <w:r w:rsidRPr="003233A7">
              <w:t>3669</w:t>
            </w:r>
          </w:p>
        </w:tc>
      </w:tr>
      <w:tr w:rsidR="003233A7" w:rsidRPr="003233A7" w14:paraId="21F43C38" w14:textId="77777777" w:rsidTr="00993D49">
        <w:trPr>
          <w:cantSplit/>
        </w:trPr>
        <w:tc>
          <w:tcPr>
            <w:tcW w:w="1136" w:type="pct"/>
            <w:tcBorders>
              <w:top w:val="single" w:sz="4" w:space="0" w:color="auto"/>
              <w:bottom w:val="single" w:sz="4" w:space="0" w:color="auto"/>
            </w:tcBorders>
          </w:tcPr>
          <w:p w14:paraId="607DCDB2" w14:textId="77777777" w:rsidR="003233A7" w:rsidRPr="003233A7" w:rsidRDefault="003233A7" w:rsidP="003233A7">
            <w:pPr>
              <w:pStyle w:val="Tabletext"/>
            </w:pPr>
            <w:r w:rsidRPr="003233A7">
              <w:t>20</w:t>
            </w:r>
          </w:p>
        </w:tc>
        <w:tc>
          <w:tcPr>
            <w:tcW w:w="966" w:type="pct"/>
            <w:tcBorders>
              <w:top w:val="single" w:sz="4" w:space="0" w:color="auto"/>
              <w:bottom w:val="single" w:sz="4" w:space="0" w:color="auto"/>
            </w:tcBorders>
            <w:shd w:val="clear" w:color="auto" w:fill="auto"/>
            <w:vAlign w:val="bottom"/>
          </w:tcPr>
          <w:p w14:paraId="5549019A" w14:textId="77777777" w:rsidR="003233A7" w:rsidRPr="003233A7" w:rsidRDefault="003233A7" w:rsidP="003233A7">
            <w:pPr>
              <w:pStyle w:val="Tabletext"/>
            </w:pPr>
            <w:r w:rsidRPr="003233A7">
              <w:t>28</w:t>
            </w:r>
            <w:r w:rsidR="00D7157D">
              <w:t>.</w:t>
            </w:r>
            <w:r w:rsidRPr="003233A7">
              <w:t>6682</w:t>
            </w:r>
          </w:p>
        </w:tc>
        <w:tc>
          <w:tcPr>
            <w:tcW w:w="966" w:type="pct"/>
            <w:tcBorders>
              <w:top w:val="single" w:sz="4" w:space="0" w:color="auto"/>
              <w:bottom w:val="single" w:sz="4" w:space="0" w:color="auto"/>
            </w:tcBorders>
            <w:shd w:val="clear" w:color="auto" w:fill="auto"/>
            <w:vAlign w:val="bottom"/>
          </w:tcPr>
          <w:p w14:paraId="6CCF45E9" w14:textId="77777777" w:rsidR="003233A7" w:rsidRPr="003233A7" w:rsidRDefault="003233A7" w:rsidP="003233A7">
            <w:pPr>
              <w:pStyle w:val="Tabletext"/>
            </w:pPr>
            <w:r w:rsidRPr="003233A7">
              <w:t>2</w:t>
            </w:r>
            <w:r w:rsidR="00D7157D">
              <w:t>.</w:t>
            </w:r>
            <w:r w:rsidRPr="003233A7">
              <w:t>8436</w:t>
            </w:r>
          </w:p>
        </w:tc>
        <w:tc>
          <w:tcPr>
            <w:tcW w:w="966" w:type="pct"/>
            <w:tcBorders>
              <w:top w:val="single" w:sz="4" w:space="0" w:color="auto"/>
              <w:bottom w:val="single" w:sz="4" w:space="0" w:color="auto"/>
            </w:tcBorders>
            <w:shd w:val="clear" w:color="auto" w:fill="auto"/>
            <w:vAlign w:val="bottom"/>
          </w:tcPr>
          <w:p w14:paraId="66B9FB18" w14:textId="77777777" w:rsidR="003233A7" w:rsidRPr="003233A7" w:rsidRDefault="003233A7" w:rsidP="003233A7">
            <w:pPr>
              <w:pStyle w:val="Tabletext"/>
            </w:pPr>
            <w:r w:rsidRPr="003233A7">
              <w:t>29</w:t>
            </w:r>
            <w:r w:rsidR="00D7157D">
              <w:t>.</w:t>
            </w:r>
            <w:r w:rsidRPr="003233A7">
              <w:t>8796</w:t>
            </w:r>
          </w:p>
        </w:tc>
        <w:tc>
          <w:tcPr>
            <w:tcW w:w="966" w:type="pct"/>
            <w:tcBorders>
              <w:top w:val="single" w:sz="4" w:space="0" w:color="auto"/>
              <w:bottom w:val="single" w:sz="4" w:space="0" w:color="auto"/>
              <w:right w:val="nil"/>
            </w:tcBorders>
            <w:shd w:val="clear" w:color="auto" w:fill="auto"/>
            <w:vAlign w:val="bottom"/>
          </w:tcPr>
          <w:p w14:paraId="07E2C6E0" w14:textId="77777777" w:rsidR="003233A7" w:rsidRPr="003233A7" w:rsidRDefault="003233A7" w:rsidP="003233A7">
            <w:pPr>
              <w:pStyle w:val="Tabletext"/>
            </w:pPr>
            <w:r w:rsidRPr="003233A7">
              <w:t>1</w:t>
            </w:r>
            <w:r w:rsidR="00D7157D">
              <w:t>.</w:t>
            </w:r>
            <w:r w:rsidRPr="003233A7">
              <w:t>3822</w:t>
            </w:r>
          </w:p>
        </w:tc>
      </w:tr>
      <w:tr w:rsidR="003233A7" w:rsidRPr="003233A7" w14:paraId="2260F2D8" w14:textId="77777777" w:rsidTr="00993D49">
        <w:trPr>
          <w:cantSplit/>
        </w:trPr>
        <w:tc>
          <w:tcPr>
            <w:tcW w:w="1136" w:type="pct"/>
            <w:tcBorders>
              <w:top w:val="single" w:sz="4" w:space="0" w:color="auto"/>
              <w:bottom w:val="single" w:sz="4" w:space="0" w:color="auto"/>
            </w:tcBorders>
          </w:tcPr>
          <w:p w14:paraId="31B6F6B4" w14:textId="77777777" w:rsidR="003233A7" w:rsidRPr="003233A7" w:rsidRDefault="003233A7" w:rsidP="003233A7">
            <w:pPr>
              <w:pStyle w:val="Tabletext"/>
            </w:pPr>
            <w:r w:rsidRPr="003233A7">
              <w:t>21</w:t>
            </w:r>
          </w:p>
        </w:tc>
        <w:tc>
          <w:tcPr>
            <w:tcW w:w="966" w:type="pct"/>
            <w:tcBorders>
              <w:top w:val="single" w:sz="4" w:space="0" w:color="auto"/>
              <w:bottom w:val="single" w:sz="4" w:space="0" w:color="auto"/>
            </w:tcBorders>
            <w:shd w:val="clear" w:color="auto" w:fill="auto"/>
            <w:vAlign w:val="bottom"/>
          </w:tcPr>
          <w:p w14:paraId="5323205F" w14:textId="77777777" w:rsidR="003233A7" w:rsidRPr="003233A7" w:rsidRDefault="003233A7" w:rsidP="003233A7">
            <w:pPr>
              <w:pStyle w:val="Tabletext"/>
            </w:pPr>
            <w:r w:rsidRPr="003233A7">
              <w:t>28</w:t>
            </w:r>
            <w:r w:rsidR="00D7157D">
              <w:t>.</w:t>
            </w:r>
            <w:r w:rsidRPr="003233A7">
              <w:t>4637</w:t>
            </w:r>
          </w:p>
        </w:tc>
        <w:tc>
          <w:tcPr>
            <w:tcW w:w="966" w:type="pct"/>
            <w:tcBorders>
              <w:top w:val="single" w:sz="4" w:space="0" w:color="auto"/>
              <w:bottom w:val="single" w:sz="4" w:space="0" w:color="auto"/>
            </w:tcBorders>
            <w:shd w:val="clear" w:color="auto" w:fill="auto"/>
            <w:vAlign w:val="bottom"/>
          </w:tcPr>
          <w:p w14:paraId="059DB335" w14:textId="77777777" w:rsidR="003233A7" w:rsidRPr="003233A7" w:rsidRDefault="003233A7" w:rsidP="003233A7">
            <w:pPr>
              <w:pStyle w:val="Tabletext"/>
            </w:pPr>
            <w:r w:rsidRPr="003233A7">
              <w:t>2</w:t>
            </w:r>
            <w:r w:rsidR="00D7157D">
              <w:t>.</w:t>
            </w:r>
            <w:r w:rsidRPr="003233A7">
              <w:t>8799</w:t>
            </w:r>
          </w:p>
        </w:tc>
        <w:tc>
          <w:tcPr>
            <w:tcW w:w="966" w:type="pct"/>
            <w:tcBorders>
              <w:top w:val="single" w:sz="4" w:space="0" w:color="auto"/>
              <w:bottom w:val="single" w:sz="4" w:space="0" w:color="auto"/>
            </w:tcBorders>
            <w:shd w:val="clear" w:color="auto" w:fill="auto"/>
            <w:vAlign w:val="bottom"/>
          </w:tcPr>
          <w:p w14:paraId="0DF0B1CD" w14:textId="77777777" w:rsidR="003233A7" w:rsidRPr="003233A7" w:rsidRDefault="003233A7" w:rsidP="003233A7">
            <w:pPr>
              <w:pStyle w:val="Tabletext"/>
            </w:pPr>
            <w:r w:rsidRPr="003233A7">
              <w:t>29</w:t>
            </w:r>
            <w:r w:rsidR="00D7157D">
              <w:t>.</w:t>
            </w:r>
            <w:r w:rsidRPr="003233A7">
              <w:t>6859</w:t>
            </w:r>
          </w:p>
        </w:tc>
        <w:tc>
          <w:tcPr>
            <w:tcW w:w="966" w:type="pct"/>
            <w:tcBorders>
              <w:top w:val="single" w:sz="4" w:space="0" w:color="auto"/>
              <w:bottom w:val="single" w:sz="4" w:space="0" w:color="auto"/>
              <w:right w:val="nil"/>
            </w:tcBorders>
            <w:shd w:val="clear" w:color="auto" w:fill="auto"/>
            <w:vAlign w:val="bottom"/>
          </w:tcPr>
          <w:p w14:paraId="65E1CC21" w14:textId="77777777" w:rsidR="003233A7" w:rsidRPr="003233A7" w:rsidRDefault="003233A7" w:rsidP="003233A7">
            <w:pPr>
              <w:pStyle w:val="Tabletext"/>
            </w:pPr>
            <w:r w:rsidRPr="003233A7">
              <w:t>1</w:t>
            </w:r>
            <w:r w:rsidR="00D7157D">
              <w:t>.</w:t>
            </w:r>
            <w:r w:rsidRPr="003233A7">
              <w:t>3980</w:t>
            </w:r>
          </w:p>
        </w:tc>
      </w:tr>
      <w:tr w:rsidR="003233A7" w:rsidRPr="003233A7" w14:paraId="51B442A7" w14:textId="77777777" w:rsidTr="00993D49">
        <w:trPr>
          <w:cantSplit/>
        </w:trPr>
        <w:tc>
          <w:tcPr>
            <w:tcW w:w="1136" w:type="pct"/>
            <w:tcBorders>
              <w:top w:val="single" w:sz="4" w:space="0" w:color="auto"/>
              <w:bottom w:val="single" w:sz="4" w:space="0" w:color="auto"/>
            </w:tcBorders>
          </w:tcPr>
          <w:p w14:paraId="7C510EAC" w14:textId="77777777" w:rsidR="003233A7" w:rsidRPr="003233A7" w:rsidRDefault="003233A7" w:rsidP="003233A7">
            <w:pPr>
              <w:pStyle w:val="Tabletext"/>
            </w:pPr>
            <w:r w:rsidRPr="003233A7">
              <w:t>22</w:t>
            </w:r>
          </w:p>
        </w:tc>
        <w:tc>
          <w:tcPr>
            <w:tcW w:w="966" w:type="pct"/>
            <w:tcBorders>
              <w:top w:val="single" w:sz="4" w:space="0" w:color="auto"/>
              <w:bottom w:val="single" w:sz="4" w:space="0" w:color="auto"/>
            </w:tcBorders>
            <w:shd w:val="clear" w:color="auto" w:fill="auto"/>
            <w:vAlign w:val="bottom"/>
          </w:tcPr>
          <w:p w14:paraId="4CACE441" w14:textId="77777777" w:rsidR="003233A7" w:rsidRPr="003233A7" w:rsidRDefault="003233A7" w:rsidP="003233A7">
            <w:pPr>
              <w:pStyle w:val="Tabletext"/>
            </w:pPr>
            <w:r w:rsidRPr="003233A7">
              <w:t>28</w:t>
            </w:r>
            <w:r w:rsidR="00D7157D">
              <w:t>.</w:t>
            </w:r>
            <w:r w:rsidRPr="003233A7">
              <w:t>2534</w:t>
            </w:r>
          </w:p>
        </w:tc>
        <w:tc>
          <w:tcPr>
            <w:tcW w:w="966" w:type="pct"/>
            <w:tcBorders>
              <w:top w:val="single" w:sz="4" w:space="0" w:color="auto"/>
              <w:bottom w:val="single" w:sz="4" w:space="0" w:color="auto"/>
            </w:tcBorders>
            <w:shd w:val="clear" w:color="auto" w:fill="auto"/>
            <w:vAlign w:val="bottom"/>
          </w:tcPr>
          <w:p w14:paraId="1FBD708D" w14:textId="77777777" w:rsidR="003233A7" w:rsidRPr="003233A7" w:rsidRDefault="003233A7" w:rsidP="003233A7">
            <w:pPr>
              <w:pStyle w:val="Tabletext"/>
            </w:pPr>
            <w:r w:rsidRPr="003233A7">
              <w:t>2</w:t>
            </w:r>
            <w:r w:rsidR="00D7157D">
              <w:t>.</w:t>
            </w:r>
            <w:r w:rsidRPr="003233A7">
              <w:t>9175</w:t>
            </w:r>
          </w:p>
        </w:tc>
        <w:tc>
          <w:tcPr>
            <w:tcW w:w="966" w:type="pct"/>
            <w:tcBorders>
              <w:top w:val="single" w:sz="4" w:space="0" w:color="auto"/>
              <w:bottom w:val="single" w:sz="4" w:space="0" w:color="auto"/>
            </w:tcBorders>
            <w:shd w:val="clear" w:color="auto" w:fill="auto"/>
            <w:vAlign w:val="bottom"/>
          </w:tcPr>
          <w:p w14:paraId="41938A05" w14:textId="77777777" w:rsidR="003233A7" w:rsidRPr="003233A7" w:rsidRDefault="003233A7" w:rsidP="003233A7">
            <w:pPr>
              <w:pStyle w:val="Tabletext"/>
            </w:pPr>
            <w:r w:rsidRPr="003233A7">
              <w:t>29</w:t>
            </w:r>
            <w:r w:rsidR="00D7157D">
              <w:t>.</w:t>
            </w:r>
            <w:r w:rsidRPr="003233A7">
              <w:t>4870</w:t>
            </w:r>
          </w:p>
        </w:tc>
        <w:tc>
          <w:tcPr>
            <w:tcW w:w="966" w:type="pct"/>
            <w:tcBorders>
              <w:top w:val="single" w:sz="4" w:space="0" w:color="auto"/>
              <w:bottom w:val="single" w:sz="4" w:space="0" w:color="auto"/>
              <w:right w:val="nil"/>
            </w:tcBorders>
            <w:shd w:val="clear" w:color="auto" w:fill="auto"/>
            <w:vAlign w:val="bottom"/>
          </w:tcPr>
          <w:p w14:paraId="5422AF84" w14:textId="77777777" w:rsidR="003233A7" w:rsidRPr="003233A7" w:rsidRDefault="003233A7" w:rsidP="003233A7">
            <w:pPr>
              <w:pStyle w:val="Tabletext"/>
            </w:pPr>
            <w:r w:rsidRPr="003233A7">
              <w:t>1</w:t>
            </w:r>
            <w:r w:rsidR="00D7157D">
              <w:t>.</w:t>
            </w:r>
            <w:r w:rsidRPr="003233A7">
              <w:t>4143</w:t>
            </w:r>
          </w:p>
        </w:tc>
      </w:tr>
      <w:tr w:rsidR="003233A7" w:rsidRPr="003233A7" w14:paraId="34C6FCA5" w14:textId="77777777" w:rsidTr="00993D49">
        <w:trPr>
          <w:cantSplit/>
        </w:trPr>
        <w:tc>
          <w:tcPr>
            <w:tcW w:w="1136" w:type="pct"/>
            <w:tcBorders>
              <w:top w:val="single" w:sz="4" w:space="0" w:color="auto"/>
              <w:bottom w:val="single" w:sz="4" w:space="0" w:color="auto"/>
            </w:tcBorders>
          </w:tcPr>
          <w:p w14:paraId="0B6DE97F" w14:textId="77777777" w:rsidR="003233A7" w:rsidRPr="003233A7" w:rsidRDefault="003233A7" w:rsidP="003233A7">
            <w:pPr>
              <w:pStyle w:val="Tabletext"/>
            </w:pPr>
            <w:r w:rsidRPr="003233A7">
              <w:t>23</w:t>
            </w:r>
          </w:p>
        </w:tc>
        <w:tc>
          <w:tcPr>
            <w:tcW w:w="966" w:type="pct"/>
            <w:tcBorders>
              <w:top w:val="single" w:sz="4" w:space="0" w:color="auto"/>
              <w:bottom w:val="single" w:sz="4" w:space="0" w:color="auto"/>
            </w:tcBorders>
            <w:shd w:val="clear" w:color="auto" w:fill="auto"/>
            <w:vAlign w:val="bottom"/>
          </w:tcPr>
          <w:p w14:paraId="12A36509" w14:textId="77777777" w:rsidR="003233A7" w:rsidRPr="003233A7" w:rsidRDefault="003233A7" w:rsidP="003233A7">
            <w:pPr>
              <w:pStyle w:val="Tabletext"/>
            </w:pPr>
            <w:r w:rsidRPr="003233A7">
              <w:t>28</w:t>
            </w:r>
            <w:r w:rsidR="00D7157D">
              <w:t>.</w:t>
            </w:r>
            <w:r w:rsidRPr="003233A7">
              <w:t>0371</w:t>
            </w:r>
          </w:p>
        </w:tc>
        <w:tc>
          <w:tcPr>
            <w:tcW w:w="966" w:type="pct"/>
            <w:tcBorders>
              <w:top w:val="single" w:sz="4" w:space="0" w:color="auto"/>
              <w:bottom w:val="single" w:sz="4" w:space="0" w:color="auto"/>
            </w:tcBorders>
            <w:shd w:val="clear" w:color="auto" w:fill="auto"/>
            <w:vAlign w:val="bottom"/>
          </w:tcPr>
          <w:p w14:paraId="2167D114" w14:textId="77777777" w:rsidR="003233A7" w:rsidRPr="003233A7" w:rsidRDefault="003233A7" w:rsidP="003233A7">
            <w:pPr>
              <w:pStyle w:val="Tabletext"/>
            </w:pPr>
            <w:r w:rsidRPr="003233A7">
              <w:t>2</w:t>
            </w:r>
            <w:r w:rsidR="00D7157D">
              <w:t>.</w:t>
            </w:r>
            <w:r w:rsidRPr="003233A7">
              <w:t>9562</w:t>
            </w:r>
          </w:p>
        </w:tc>
        <w:tc>
          <w:tcPr>
            <w:tcW w:w="966" w:type="pct"/>
            <w:tcBorders>
              <w:top w:val="single" w:sz="4" w:space="0" w:color="auto"/>
              <w:bottom w:val="single" w:sz="4" w:space="0" w:color="auto"/>
            </w:tcBorders>
            <w:shd w:val="clear" w:color="auto" w:fill="auto"/>
            <w:vAlign w:val="bottom"/>
          </w:tcPr>
          <w:p w14:paraId="26CCB8B2" w14:textId="77777777" w:rsidR="003233A7" w:rsidRPr="003233A7" w:rsidRDefault="003233A7" w:rsidP="003233A7">
            <w:pPr>
              <w:pStyle w:val="Tabletext"/>
            </w:pPr>
            <w:r w:rsidRPr="003233A7">
              <w:t>29</w:t>
            </w:r>
            <w:r w:rsidR="00D7157D">
              <w:t>.</w:t>
            </w:r>
            <w:r w:rsidRPr="003233A7">
              <w:t>2826</w:t>
            </w:r>
          </w:p>
        </w:tc>
        <w:tc>
          <w:tcPr>
            <w:tcW w:w="966" w:type="pct"/>
            <w:tcBorders>
              <w:top w:val="single" w:sz="4" w:space="0" w:color="auto"/>
              <w:bottom w:val="single" w:sz="4" w:space="0" w:color="auto"/>
              <w:right w:val="nil"/>
            </w:tcBorders>
            <w:shd w:val="clear" w:color="auto" w:fill="auto"/>
            <w:vAlign w:val="bottom"/>
          </w:tcPr>
          <w:p w14:paraId="16D642A2" w14:textId="77777777" w:rsidR="003233A7" w:rsidRPr="003233A7" w:rsidRDefault="003233A7" w:rsidP="003233A7">
            <w:pPr>
              <w:pStyle w:val="Tabletext"/>
            </w:pPr>
            <w:r w:rsidRPr="003233A7">
              <w:t>1</w:t>
            </w:r>
            <w:r w:rsidR="00D7157D">
              <w:t>.</w:t>
            </w:r>
            <w:r w:rsidRPr="003233A7">
              <w:t>4311</w:t>
            </w:r>
          </w:p>
        </w:tc>
      </w:tr>
      <w:tr w:rsidR="003233A7" w:rsidRPr="003233A7" w14:paraId="37687598" w14:textId="77777777" w:rsidTr="00993D49">
        <w:trPr>
          <w:cantSplit/>
        </w:trPr>
        <w:tc>
          <w:tcPr>
            <w:tcW w:w="1136" w:type="pct"/>
            <w:tcBorders>
              <w:top w:val="single" w:sz="4" w:space="0" w:color="auto"/>
              <w:bottom w:val="single" w:sz="4" w:space="0" w:color="auto"/>
            </w:tcBorders>
          </w:tcPr>
          <w:p w14:paraId="50D71DD5" w14:textId="77777777" w:rsidR="003233A7" w:rsidRPr="003233A7" w:rsidRDefault="003233A7" w:rsidP="003233A7">
            <w:pPr>
              <w:pStyle w:val="Tabletext"/>
            </w:pPr>
            <w:r w:rsidRPr="003233A7">
              <w:t>24</w:t>
            </w:r>
          </w:p>
        </w:tc>
        <w:tc>
          <w:tcPr>
            <w:tcW w:w="966" w:type="pct"/>
            <w:tcBorders>
              <w:top w:val="single" w:sz="4" w:space="0" w:color="auto"/>
              <w:bottom w:val="single" w:sz="4" w:space="0" w:color="auto"/>
            </w:tcBorders>
            <w:shd w:val="clear" w:color="auto" w:fill="auto"/>
            <w:vAlign w:val="bottom"/>
          </w:tcPr>
          <w:p w14:paraId="67A050B0" w14:textId="77777777" w:rsidR="003233A7" w:rsidRPr="003233A7" w:rsidRDefault="003233A7" w:rsidP="003233A7">
            <w:pPr>
              <w:pStyle w:val="Tabletext"/>
            </w:pPr>
            <w:r w:rsidRPr="003233A7">
              <w:t>27</w:t>
            </w:r>
            <w:r w:rsidR="00D7157D">
              <w:t>.</w:t>
            </w:r>
            <w:r w:rsidRPr="003233A7">
              <w:t>8147</w:t>
            </w:r>
          </w:p>
        </w:tc>
        <w:tc>
          <w:tcPr>
            <w:tcW w:w="966" w:type="pct"/>
            <w:tcBorders>
              <w:top w:val="single" w:sz="4" w:space="0" w:color="auto"/>
              <w:bottom w:val="single" w:sz="4" w:space="0" w:color="auto"/>
            </w:tcBorders>
            <w:shd w:val="clear" w:color="auto" w:fill="auto"/>
            <w:vAlign w:val="bottom"/>
          </w:tcPr>
          <w:p w14:paraId="0C4467C0" w14:textId="77777777" w:rsidR="003233A7" w:rsidRPr="003233A7" w:rsidRDefault="003233A7" w:rsidP="003233A7">
            <w:pPr>
              <w:pStyle w:val="Tabletext"/>
            </w:pPr>
            <w:r w:rsidRPr="003233A7">
              <w:t>2</w:t>
            </w:r>
            <w:r w:rsidR="00D7157D">
              <w:t>.</w:t>
            </w:r>
            <w:r w:rsidRPr="003233A7">
              <w:t>9961</w:t>
            </w:r>
          </w:p>
        </w:tc>
        <w:tc>
          <w:tcPr>
            <w:tcW w:w="966" w:type="pct"/>
            <w:tcBorders>
              <w:top w:val="single" w:sz="4" w:space="0" w:color="auto"/>
              <w:bottom w:val="single" w:sz="4" w:space="0" w:color="auto"/>
            </w:tcBorders>
            <w:shd w:val="clear" w:color="auto" w:fill="auto"/>
            <w:vAlign w:val="bottom"/>
          </w:tcPr>
          <w:p w14:paraId="374CF53C" w14:textId="77777777" w:rsidR="003233A7" w:rsidRPr="003233A7" w:rsidRDefault="003233A7" w:rsidP="003233A7">
            <w:pPr>
              <w:pStyle w:val="Tabletext"/>
            </w:pPr>
            <w:r w:rsidRPr="003233A7">
              <w:t>29</w:t>
            </w:r>
            <w:r w:rsidR="00D7157D">
              <w:t>.</w:t>
            </w:r>
            <w:r w:rsidRPr="003233A7">
              <w:t>0726</w:t>
            </w:r>
          </w:p>
        </w:tc>
        <w:tc>
          <w:tcPr>
            <w:tcW w:w="966" w:type="pct"/>
            <w:tcBorders>
              <w:top w:val="single" w:sz="4" w:space="0" w:color="auto"/>
              <w:bottom w:val="single" w:sz="4" w:space="0" w:color="auto"/>
              <w:right w:val="nil"/>
            </w:tcBorders>
            <w:shd w:val="clear" w:color="auto" w:fill="auto"/>
            <w:vAlign w:val="bottom"/>
          </w:tcPr>
          <w:p w14:paraId="1E68D963" w14:textId="77777777" w:rsidR="003233A7" w:rsidRPr="003233A7" w:rsidRDefault="003233A7" w:rsidP="003233A7">
            <w:pPr>
              <w:pStyle w:val="Tabletext"/>
            </w:pPr>
            <w:r w:rsidRPr="003233A7">
              <w:t>1</w:t>
            </w:r>
            <w:r w:rsidR="00D7157D">
              <w:t>.</w:t>
            </w:r>
            <w:r w:rsidRPr="003233A7">
              <w:t>4485</w:t>
            </w:r>
          </w:p>
        </w:tc>
      </w:tr>
      <w:tr w:rsidR="003233A7" w:rsidRPr="003233A7" w14:paraId="0E810116" w14:textId="77777777" w:rsidTr="00993D49">
        <w:trPr>
          <w:cantSplit/>
        </w:trPr>
        <w:tc>
          <w:tcPr>
            <w:tcW w:w="1136" w:type="pct"/>
            <w:tcBorders>
              <w:top w:val="single" w:sz="4" w:space="0" w:color="auto"/>
              <w:bottom w:val="single" w:sz="4" w:space="0" w:color="auto"/>
            </w:tcBorders>
          </w:tcPr>
          <w:p w14:paraId="3D741EC3" w14:textId="77777777" w:rsidR="003233A7" w:rsidRPr="003233A7" w:rsidRDefault="003233A7" w:rsidP="003233A7">
            <w:pPr>
              <w:pStyle w:val="Tabletext"/>
            </w:pPr>
            <w:r w:rsidRPr="003233A7">
              <w:t>25</w:t>
            </w:r>
          </w:p>
        </w:tc>
        <w:tc>
          <w:tcPr>
            <w:tcW w:w="966" w:type="pct"/>
            <w:tcBorders>
              <w:top w:val="single" w:sz="4" w:space="0" w:color="auto"/>
              <w:bottom w:val="single" w:sz="4" w:space="0" w:color="auto"/>
            </w:tcBorders>
            <w:shd w:val="clear" w:color="auto" w:fill="auto"/>
            <w:vAlign w:val="bottom"/>
          </w:tcPr>
          <w:p w14:paraId="2ACCF0D0" w14:textId="77777777" w:rsidR="003233A7" w:rsidRPr="003233A7" w:rsidRDefault="003233A7" w:rsidP="003233A7">
            <w:pPr>
              <w:pStyle w:val="Tabletext"/>
            </w:pPr>
            <w:r w:rsidRPr="003233A7">
              <w:t>27</w:t>
            </w:r>
            <w:r w:rsidR="00D7157D">
              <w:t>.</w:t>
            </w:r>
            <w:r w:rsidRPr="003233A7">
              <w:t>5861</w:t>
            </w:r>
          </w:p>
        </w:tc>
        <w:tc>
          <w:tcPr>
            <w:tcW w:w="966" w:type="pct"/>
            <w:tcBorders>
              <w:top w:val="single" w:sz="4" w:space="0" w:color="auto"/>
              <w:bottom w:val="single" w:sz="4" w:space="0" w:color="auto"/>
            </w:tcBorders>
            <w:shd w:val="clear" w:color="auto" w:fill="auto"/>
            <w:vAlign w:val="bottom"/>
          </w:tcPr>
          <w:p w14:paraId="133F2A77" w14:textId="77777777" w:rsidR="003233A7" w:rsidRPr="003233A7" w:rsidRDefault="003233A7" w:rsidP="003233A7">
            <w:pPr>
              <w:pStyle w:val="Tabletext"/>
            </w:pPr>
            <w:r w:rsidRPr="003233A7">
              <w:t>3</w:t>
            </w:r>
            <w:r w:rsidR="00D7157D">
              <w:t>.</w:t>
            </w:r>
            <w:r w:rsidRPr="003233A7">
              <w:t>0373</w:t>
            </w:r>
          </w:p>
        </w:tc>
        <w:tc>
          <w:tcPr>
            <w:tcW w:w="966" w:type="pct"/>
            <w:tcBorders>
              <w:top w:val="single" w:sz="4" w:space="0" w:color="auto"/>
              <w:bottom w:val="single" w:sz="4" w:space="0" w:color="auto"/>
            </w:tcBorders>
            <w:shd w:val="clear" w:color="auto" w:fill="auto"/>
            <w:vAlign w:val="bottom"/>
          </w:tcPr>
          <w:p w14:paraId="794CD4F8" w14:textId="77777777" w:rsidR="003233A7" w:rsidRPr="003233A7" w:rsidRDefault="003233A7" w:rsidP="003233A7">
            <w:pPr>
              <w:pStyle w:val="Tabletext"/>
            </w:pPr>
            <w:r w:rsidRPr="003233A7">
              <w:t>28</w:t>
            </w:r>
            <w:r w:rsidR="00D7157D">
              <w:t>.</w:t>
            </w:r>
            <w:r w:rsidRPr="003233A7">
              <w:t>8568</w:t>
            </w:r>
          </w:p>
        </w:tc>
        <w:tc>
          <w:tcPr>
            <w:tcW w:w="966" w:type="pct"/>
            <w:tcBorders>
              <w:top w:val="single" w:sz="4" w:space="0" w:color="auto"/>
              <w:bottom w:val="single" w:sz="4" w:space="0" w:color="auto"/>
              <w:right w:val="nil"/>
            </w:tcBorders>
            <w:shd w:val="clear" w:color="auto" w:fill="auto"/>
            <w:vAlign w:val="bottom"/>
          </w:tcPr>
          <w:p w14:paraId="139321B6" w14:textId="77777777" w:rsidR="003233A7" w:rsidRPr="003233A7" w:rsidRDefault="003233A7" w:rsidP="003233A7">
            <w:pPr>
              <w:pStyle w:val="Tabletext"/>
            </w:pPr>
            <w:r w:rsidRPr="003233A7">
              <w:t>1</w:t>
            </w:r>
            <w:r w:rsidR="00D7157D">
              <w:t>.</w:t>
            </w:r>
            <w:r w:rsidRPr="003233A7">
              <w:t>4664</w:t>
            </w:r>
          </w:p>
        </w:tc>
      </w:tr>
      <w:tr w:rsidR="003233A7" w:rsidRPr="003233A7" w14:paraId="6B17B2B6" w14:textId="77777777" w:rsidTr="00993D49">
        <w:trPr>
          <w:cantSplit/>
        </w:trPr>
        <w:tc>
          <w:tcPr>
            <w:tcW w:w="1136" w:type="pct"/>
            <w:tcBorders>
              <w:top w:val="single" w:sz="4" w:space="0" w:color="auto"/>
              <w:bottom w:val="single" w:sz="4" w:space="0" w:color="auto"/>
            </w:tcBorders>
          </w:tcPr>
          <w:p w14:paraId="061364CA" w14:textId="77777777" w:rsidR="003233A7" w:rsidRPr="003233A7" w:rsidRDefault="003233A7" w:rsidP="003233A7">
            <w:pPr>
              <w:pStyle w:val="Tabletext"/>
            </w:pPr>
            <w:r w:rsidRPr="003233A7">
              <w:t>26</w:t>
            </w:r>
          </w:p>
        </w:tc>
        <w:tc>
          <w:tcPr>
            <w:tcW w:w="966" w:type="pct"/>
            <w:tcBorders>
              <w:top w:val="single" w:sz="4" w:space="0" w:color="auto"/>
              <w:bottom w:val="single" w:sz="4" w:space="0" w:color="auto"/>
            </w:tcBorders>
            <w:shd w:val="clear" w:color="auto" w:fill="auto"/>
            <w:vAlign w:val="bottom"/>
          </w:tcPr>
          <w:p w14:paraId="310E4AE9" w14:textId="77777777" w:rsidR="003233A7" w:rsidRPr="003233A7" w:rsidRDefault="003233A7" w:rsidP="003233A7">
            <w:pPr>
              <w:pStyle w:val="Tabletext"/>
            </w:pPr>
            <w:r w:rsidRPr="003233A7">
              <w:t>27</w:t>
            </w:r>
            <w:r w:rsidR="00D7157D">
              <w:t>.</w:t>
            </w:r>
            <w:r w:rsidRPr="003233A7">
              <w:t>3510</w:t>
            </w:r>
          </w:p>
        </w:tc>
        <w:tc>
          <w:tcPr>
            <w:tcW w:w="966" w:type="pct"/>
            <w:tcBorders>
              <w:top w:val="single" w:sz="4" w:space="0" w:color="auto"/>
              <w:bottom w:val="single" w:sz="4" w:space="0" w:color="auto"/>
            </w:tcBorders>
            <w:shd w:val="clear" w:color="auto" w:fill="auto"/>
            <w:vAlign w:val="bottom"/>
          </w:tcPr>
          <w:p w14:paraId="0C5CA8F6" w14:textId="77777777" w:rsidR="003233A7" w:rsidRPr="003233A7" w:rsidRDefault="003233A7" w:rsidP="003233A7">
            <w:pPr>
              <w:pStyle w:val="Tabletext"/>
            </w:pPr>
            <w:r w:rsidRPr="003233A7">
              <w:t>3</w:t>
            </w:r>
            <w:r w:rsidR="00D7157D">
              <w:t>.</w:t>
            </w:r>
            <w:r w:rsidRPr="003233A7">
              <w:t>0797</w:t>
            </w:r>
          </w:p>
        </w:tc>
        <w:tc>
          <w:tcPr>
            <w:tcW w:w="966" w:type="pct"/>
            <w:tcBorders>
              <w:top w:val="single" w:sz="4" w:space="0" w:color="auto"/>
              <w:bottom w:val="single" w:sz="4" w:space="0" w:color="auto"/>
            </w:tcBorders>
            <w:shd w:val="clear" w:color="auto" w:fill="auto"/>
            <w:vAlign w:val="bottom"/>
          </w:tcPr>
          <w:p w14:paraId="59CA9073" w14:textId="77777777" w:rsidR="003233A7" w:rsidRPr="003233A7" w:rsidRDefault="003233A7" w:rsidP="003233A7">
            <w:pPr>
              <w:pStyle w:val="Tabletext"/>
            </w:pPr>
            <w:r w:rsidRPr="003233A7">
              <w:t>28</w:t>
            </w:r>
            <w:r w:rsidR="00D7157D">
              <w:t>.</w:t>
            </w:r>
            <w:r w:rsidRPr="003233A7">
              <w:t>6351</w:t>
            </w:r>
          </w:p>
        </w:tc>
        <w:tc>
          <w:tcPr>
            <w:tcW w:w="966" w:type="pct"/>
            <w:tcBorders>
              <w:top w:val="single" w:sz="4" w:space="0" w:color="auto"/>
              <w:bottom w:val="single" w:sz="4" w:space="0" w:color="auto"/>
              <w:right w:val="nil"/>
            </w:tcBorders>
            <w:shd w:val="clear" w:color="auto" w:fill="auto"/>
            <w:vAlign w:val="bottom"/>
          </w:tcPr>
          <w:p w14:paraId="4B1476A0" w14:textId="77777777" w:rsidR="003233A7" w:rsidRPr="003233A7" w:rsidRDefault="003233A7" w:rsidP="003233A7">
            <w:pPr>
              <w:pStyle w:val="Tabletext"/>
            </w:pPr>
            <w:r w:rsidRPr="003233A7">
              <w:t>1</w:t>
            </w:r>
            <w:r w:rsidR="00D7157D">
              <w:t>.</w:t>
            </w:r>
            <w:r w:rsidRPr="003233A7">
              <w:t>4850</w:t>
            </w:r>
          </w:p>
        </w:tc>
      </w:tr>
      <w:tr w:rsidR="003233A7" w:rsidRPr="003233A7" w14:paraId="79DE9AE8" w14:textId="77777777" w:rsidTr="00993D49">
        <w:trPr>
          <w:cantSplit/>
        </w:trPr>
        <w:tc>
          <w:tcPr>
            <w:tcW w:w="1136" w:type="pct"/>
            <w:tcBorders>
              <w:top w:val="single" w:sz="4" w:space="0" w:color="auto"/>
              <w:bottom w:val="single" w:sz="4" w:space="0" w:color="auto"/>
            </w:tcBorders>
          </w:tcPr>
          <w:p w14:paraId="072FE11D" w14:textId="77777777" w:rsidR="003233A7" w:rsidRPr="003233A7" w:rsidRDefault="003233A7" w:rsidP="003233A7">
            <w:pPr>
              <w:pStyle w:val="Tabletext"/>
            </w:pPr>
            <w:r w:rsidRPr="003233A7">
              <w:t>27</w:t>
            </w:r>
          </w:p>
        </w:tc>
        <w:tc>
          <w:tcPr>
            <w:tcW w:w="966" w:type="pct"/>
            <w:tcBorders>
              <w:top w:val="single" w:sz="4" w:space="0" w:color="auto"/>
              <w:bottom w:val="single" w:sz="4" w:space="0" w:color="auto"/>
            </w:tcBorders>
            <w:shd w:val="clear" w:color="auto" w:fill="auto"/>
            <w:vAlign w:val="bottom"/>
          </w:tcPr>
          <w:p w14:paraId="52DBC5B7" w14:textId="77777777" w:rsidR="003233A7" w:rsidRPr="003233A7" w:rsidRDefault="003233A7" w:rsidP="003233A7">
            <w:pPr>
              <w:pStyle w:val="Tabletext"/>
            </w:pPr>
            <w:r w:rsidRPr="003233A7">
              <w:t>27</w:t>
            </w:r>
            <w:r w:rsidR="00D7157D">
              <w:t>.</w:t>
            </w:r>
            <w:r w:rsidRPr="003233A7">
              <w:t>1093</w:t>
            </w:r>
          </w:p>
        </w:tc>
        <w:tc>
          <w:tcPr>
            <w:tcW w:w="966" w:type="pct"/>
            <w:tcBorders>
              <w:top w:val="single" w:sz="4" w:space="0" w:color="auto"/>
              <w:bottom w:val="single" w:sz="4" w:space="0" w:color="auto"/>
            </w:tcBorders>
            <w:shd w:val="clear" w:color="auto" w:fill="auto"/>
            <w:vAlign w:val="bottom"/>
          </w:tcPr>
          <w:p w14:paraId="543CCF73" w14:textId="77777777" w:rsidR="003233A7" w:rsidRPr="003233A7" w:rsidRDefault="003233A7" w:rsidP="003233A7">
            <w:pPr>
              <w:pStyle w:val="Tabletext"/>
            </w:pPr>
            <w:r w:rsidRPr="003233A7">
              <w:t>3</w:t>
            </w:r>
            <w:r w:rsidR="00D7157D">
              <w:t>.</w:t>
            </w:r>
            <w:r w:rsidRPr="003233A7">
              <w:t>1235</w:t>
            </w:r>
          </w:p>
        </w:tc>
        <w:tc>
          <w:tcPr>
            <w:tcW w:w="966" w:type="pct"/>
            <w:tcBorders>
              <w:top w:val="single" w:sz="4" w:space="0" w:color="auto"/>
              <w:bottom w:val="single" w:sz="4" w:space="0" w:color="auto"/>
            </w:tcBorders>
            <w:shd w:val="clear" w:color="auto" w:fill="auto"/>
            <w:vAlign w:val="bottom"/>
          </w:tcPr>
          <w:p w14:paraId="3BEF640A" w14:textId="77777777" w:rsidR="003233A7" w:rsidRPr="003233A7" w:rsidRDefault="003233A7" w:rsidP="003233A7">
            <w:pPr>
              <w:pStyle w:val="Tabletext"/>
            </w:pPr>
            <w:r w:rsidRPr="003233A7">
              <w:t>28</w:t>
            </w:r>
            <w:r w:rsidR="00D7157D">
              <w:t>.</w:t>
            </w:r>
            <w:r w:rsidRPr="003233A7">
              <w:t>4073</w:t>
            </w:r>
          </w:p>
        </w:tc>
        <w:tc>
          <w:tcPr>
            <w:tcW w:w="966" w:type="pct"/>
            <w:tcBorders>
              <w:top w:val="single" w:sz="4" w:space="0" w:color="auto"/>
              <w:bottom w:val="single" w:sz="4" w:space="0" w:color="auto"/>
              <w:right w:val="nil"/>
            </w:tcBorders>
            <w:shd w:val="clear" w:color="auto" w:fill="auto"/>
            <w:vAlign w:val="bottom"/>
          </w:tcPr>
          <w:p w14:paraId="69DDB7BC" w14:textId="77777777" w:rsidR="003233A7" w:rsidRPr="003233A7" w:rsidRDefault="003233A7" w:rsidP="003233A7">
            <w:pPr>
              <w:pStyle w:val="Tabletext"/>
            </w:pPr>
            <w:r w:rsidRPr="003233A7">
              <w:t>1</w:t>
            </w:r>
            <w:r w:rsidR="00D7157D">
              <w:t>.</w:t>
            </w:r>
            <w:r w:rsidRPr="003233A7">
              <w:t>5041</w:t>
            </w:r>
          </w:p>
        </w:tc>
      </w:tr>
      <w:tr w:rsidR="003233A7" w:rsidRPr="003233A7" w14:paraId="4CD284EC" w14:textId="77777777" w:rsidTr="00993D49">
        <w:trPr>
          <w:cantSplit/>
        </w:trPr>
        <w:tc>
          <w:tcPr>
            <w:tcW w:w="1136" w:type="pct"/>
            <w:tcBorders>
              <w:top w:val="single" w:sz="4" w:space="0" w:color="auto"/>
              <w:bottom w:val="single" w:sz="4" w:space="0" w:color="auto"/>
            </w:tcBorders>
          </w:tcPr>
          <w:p w14:paraId="6BE9C0E5" w14:textId="77777777" w:rsidR="003233A7" w:rsidRPr="003233A7" w:rsidRDefault="003233A7" w:rsidP="003233A7">
            <w:pPr>
              <w:pStyle w:val="Tabletext"/>
            </w:pPr>
            <w:r w:rsidRPr="003233A7">
              <w:t>28</w:t>
            </w:r>
          </w:p>
        </w:tc>
        <w:tc>
          <w:tcPr>
            <w:tcW w:w="966" w:type="pct"/>
            <w:tcBorders>
              <w:top w:val="single" w:sz="4" w:space="0" w:color="auto"/>
              <w:bottom w:val="single" w:sz="4" w:space="0" w:color="auto"/>
            </w:tcBorders>
            <w:shd w:val="clear" w:color="auto" w:fill="auto"/>
            <w:vAlign w:val="bottom"/>
          </w:tcPr>
          <w:p w14:paraId="019A12E5" w14:textId="77777777" w:rsidR="003233A7" w:rsidRPr="003233A7" w:rsidRDefault="003233A7" w:rsidP="003233A7">
            <w:pPr>
              <w:pStyle w:val="Tabletext"/>
            </w:pPr>
            <w:r w:rsidRPr="003233A7">
              <w:t>26</w:t>
            </w:r>
            <w:r w:rsidR="00D7157D">
              <w:t>.</w:t>
            </w:r>
            <w:r w:rsidRPr="003233A7">
              <w:t>8607</w:t>
            </w:r>
          </w:p>
        </w:tc>
        <w:tc>
          <w:tcPr>
            <w:tcW w:w="966" w:type="pct"/>
            <w:tcBorders>
              <w:top w:val="single" w:sz="4" w:space="0" w:color="auto"/>
              <w:bottom w:val="single" w:sz="4" w:space="0" w:color="auto"/>
            </w:tcBorders>
            <w:shd w:val="clear" w:color="auto" w:fill="auto"/>
            <w:vAlign w:val="bottom"/>
          </w:tcPr>
          <w:p w14:paraId="0ED39EDB" w14:textId="77777777" w:rsidR="003233A7" w:rsidRPr="003233A7" w:rsidRDefault="003233A7" w:rsidP="003233A7">
            <w:pPr>
              <w:pStyle w:val="Tabletext"/>
            </w:pPr>
            <w:r w:rsidRPr="003233A7">
              <w:t>3</w:t>
            </w:r>
            <w:r w:rsidR="00D7157D">
              <w:t>.</w:t>
            </w:r>
            <w:r w:rsidRPr="003233A7">
              <w:t>1687</w:t>
            </w:r>
          </w:p>
        </w:tc>
        <w:tc>
          <w:tcPr>
            <w:tcW w:w="966" w:type="pct"/>
            <w:tcBorders>
              <w:top w:val="single" w:sz="4" w:space="0" w:color="auto"/>
              <w:bottom w:val="single" w:sz="4" w:space="0" w:color="auto"/>
            </w:tcBorders>
            <w:shd w:val="clear" w:color="auto" w:fill="auto"/>
            <w:vAlign w:val="bottom"/>
          </w:tcPr>
          <w:p w14:paraId="6781EBDC" w14:textId="77777777" w:rsidR="003233A7" w:rsidRPr="003233A7" w:rsidRDefault="003233A7" w:rsidP="003233A7">
            <w:pPr>
              <w:pStyle w:val="Tabletext"/>
            </w:pPr>
            <w:r w:rsidRPr="003233A7">
              <w:t>28</w:t>
            </w:r>
            <w:r w:rsidR="00D7157D">
              <w:t>.</w:t>
            </w:r>
            <w:r w:rsidRPr="003233A7">
              <w:t>1732</w:t>
            </w:r>
          </w:p>
        </w:tc>
        <w:tc>
          <w:tcPr>
            <w:tcW w:w="966" w:type="pct"/>
            <w:tcBorders>
              <w:top w:val="single" w:sz="4" w:space="0" w:color="auto"/>
              <w:bottom w:val="single" w:sz="4" w:space="0" w:color="auto"/>
              <w:right w:val="nil"/>
            </w:tcBorders>
            <w:shd w:val="clear" w:color="auto" w:fill="auto"/>
            <w:vAlign w:val="bottom"/>
          </w:tcPr>
          <w:p w14:paraId="7E423404" w14:textId="77777777" w:rsidR="003233A7" w:rsidRPr="003233A7" w:rsidRDefault="003233A7" w:rsidP="003233A7">
            <w:pPr>
              <w:pStyle w:val="Tabletext"/>
            </w:pPr>
            <w:r w:rsidRPr="003233A7">
              <w:t>1</w:t>
            </w:r>
            <w:r w:rsidR="00D7157D">
              <w:t>.</w:t>
            </w:r>
            <w:r w:rsidRPr="003233A7">
              <w:t>5238</w:t>
            </w:r>
          </w:p>
        </w:tc>
      </w:tr>
      <w:tr w:rsidR="003233A7" w:rsidRPr="003233A7" w14:paraId="7D9E9CA1" w14:textId="77777777" w:rsidTr="00993D49">
        <w:trPr>
          <w:cantSplit/>
        </w:trPr>
        <w:tc>
          <w:tcPr>
            <w:tcW w:w="1136" w:type="pct"/>
            <w:tcBorders>
              <w:top w:val="single" w:sz="4" w:space="0" w:color="auto"/>
              <w:bottom w:val="single" w:sz="4" w:space="0" w:color="auto"/>
            </w:tcBorders>
          </w:tcPr>
          <w:p w14:paraId="43423B29" w14:textId="77777777" w:rsidR="003233A7" w:rsidRPr="003233A7" w:rsidRDefault="003233A7" w:rsidP="003233A7">
            <w:pPr>
              <w:pStyle w:val="Tabletext"/>
            </w:pPr>
            <w:r w:rsidRPr="003233A7">
              <w:t>29</w:t>
            </w:r>
          </w:p>
        </w:tc>
        <w:tc>
          <w:tcPr>
            <w:tcW w:w="966" w:type="pct"/>
            <w:tcBorders>
              <w:top w:val="single" w:sz="4" w:space="0" w:color="auto"/>
              <w:bottom w:val="single" w:sz="4" w:space="0" w:color="auto"/>
            </w:tcBorders>
            <w:shd w:val="clear" w:color="auto" w:fill="auto"/>
            <w:vAlign w:val="bottom"/>
          </w:tcPr>
          <w:p w14:paraId="5EE45D2C" w14:textId="77777777" w:rsidR="003233A7" w:rsidRPr="003233A7" w:rsidRDefault="003233A7" w:rsidP="003233A7">
            <w:pPr>
              <w:pStyle w:val="Tabletext"/>
            </w:pPr>
            <w:r w:rsidRPr="003233A7">
              <w:t>26</w:t>
            </w:r>
            <w:r w:rsidR="00D7157D">
              <w:t>.</w:t>
            </w:r>
            <w:r w:rsidRPr="003233A7">
              <w:t>6051</w:t>
            </w:r>
          </w:p>
        </w:tc>
        <w:tc>
          <w:tcPr>
            <w:tcW w:w="966" w:type="pct"/>
            <w:tcBorders>
              <w:top w:val="single" w:sz="4" w:space="0" w:color="auto"/>
              <w:bottom w:val="single" w:sz="4" w:space="0" w:color="auto"/>
            </w:tcBorders>
            <w:shd w:val="clear" w:color="auto" w:fill="auto"/>
            <w:vAlign w:val="bottom"/>
          </w:tcPr>
          <w:p w14:paraId="79D7538C" w14:textId="77777777" w:rsidR="003233A7" w:rsidRPr="003233A7" w:rsidRDefault="003233A7" w:rsidP="003233A7">
            <w:pPr>
              <w:pStyle w:val="Tabletext"/>
            </w:pPr>
            <w:r w:rsidRPr="003233A7">
              <w:t>3</w:t>
            </w:r>
            <w:r w:rsidR="00D7157D">
              <w:t>.</w:t>
            </w:r>
            <w:r w:rsidRPr="003233A7">
              <w:t>2152</w:t>
            </w:r>
          </w:p>
        </w:tc>
        <w:tc>
          <w:tcPr>
            <w:tcW w:w="966" w:type="pct"/>
            <w:tcBorders>
              <w:top w:val="single" w:sz="4" w:space="0" w:color="auto"/>
              <w:bottom w:val="single" w:sz="4" w:space="0" w:color="auto"/>
            </w:tcBorders>
            <w:shd w:val="clear" w:color="auto" w:fill="auto"/>
            <w:vAlign w:val="bottom"/>
          </w:tcPr>
          <w:p w14:paraId="54AD17A5" w14:textId="77777777" w:rsidR="003233A7" w:rsidRPr="003233A7" w:rsidRDefault="003233A7" w:rsidP="003233A7">
            <w:pPr>
              <w:pStyle w:val="Tabletext"/>
            </w:pPr>
            <w:r w:rsidRPr="003233A7">
              <w:t>27</w:t>
            </w:r>
            <w:r w:rsidR="00D7157D">
              <w:t>.</w:t>
            </w:r>
            <w:r w:rsidRPr="003233A7">
              <w:t>9328</w:t>
            </w:r>
          </w:p>
        </w:tc>
        <w:tc>
          <w:tcPr>
            <w:tcW w:w="966" w:type="pct"/>
            <w:tcBorders>
              <w:top w:val="single" w:sz="4" w:space="0" w:color="auto"/>
              <w:bottom w:val="single" w:sz="4" w:space="0" w:color="auto"/>
              <w:right w:val="nil"/>
            </w:tcBorders>
            <w:shd w:val="clear" w:color="auto" w:fill="auto"/>
            <w:vAlign w:val="bottom"/>
          </w:tcPr>
          <w:p w14:paraId="0F710377" w14:textId="77777777" w:rsidR="003233A7" w:rsidRPr="003233A7" w:rsidRDefault="003233A7" w:rsidP="003233A7">
            <w:pPr>
              <w:pStyle w:val="Tabletext"/>
            </w:pPr>
            <w:r w:rsidRPr="003233A7">
              <w:t>1</w:t>
            </w:r>
            <w:r w:rsidR="00D7157D">
              <w:t>.</w:t>
            </w:r>
            <w:r w:rsidRPr="003233A7">
              <w:t>5442</w:t>
            </w:r>
          </w:p>
        </w:tc>
      </w:tr>
      <w:tr w:rsidR="003233A7" w:rsidRPr="003233A7" w14:paraId="576AC1F5" w14:textId="77777777" w:rsidTr="00993D49">
        <w:trPr>
          <w:cantSplit/>
        </w:trPr>
        <w:tc>
          <w:tcPr>
            <w:tcW w:w="1136" w:type="pct"/>
            <w:tcBorders>
              <w:top w:val="single" w:sz="4" w:space="0" w:color="auto"/>
              <w:bottom w:val="single" w:sz="4" w:space="0" w:color="auto"/>
            </w:tcBorders>
          </w:tcPr>
          <w:p w14:paraId="48EBD9BA" w14:textId="77777777" w:rsidR="003233A7" w:rsidRPr="003233A7" w:rsidRDefault="003233A7" w:rsidP="003233A7">
            <w:pPr>
              <w:pStyle w:val="Tabletext"/>
            </w:pPr>
            <w:r w:rsidRPr="003233A7">
              <w:t>30</w:t>
            </w:r>
          </w:p>
        </w:tc>
        <w:tc>
          <w:tcPr>
            <w:tcW w:w="966" w:type="pct"/>
            <w:tcBorders>
              <w:top w:val="single" w:sz="4" w:space="0" w:color="auto"/>
              <w:bottom w:val="single" w:sz="4" w:space="0" w:color="auto"/>
            </w:tcBorders>
            <w:shd w:val="clear" w:color="auto" w:fill="auto"/>
            <w:vAlign w:val="bottom"/>
          </w:tcPr>
          <w:p w14:paraId="1B0C9D8C" w14:textId="77777777" w:rsidR="003233A7" w:rsidRPr="003233A7" w:rsidRDefault="003233A7" w:rsidP="003233A7">
            <w:pPr>
              <w:pStyle w:val="Tabletext"/>
            </w:pPr>
            <w:r w:rsidRPr="003233A7">
              <w:t>26</w:t>
            </w:r>
            <w:r w:rsidR="00D7157D">
              <w:t>.</w:t>
            </w:r>
            <w:r w:rsidRPr="003233A7">
              <w:t>3423</w:t>
            </w:r>
          </w:p>
        </w:tc>
        <w:tc>
          <w:tcPr>
            <w:tcW w:w="966" w:type="pct"/>
            <w:tcBorders>
              <w:top w:val="single" w:sz="4" w:space="0" w:color="auto"/>
              <w:bottom w:val="single" w:sz="4" w:space="0" w:color="auto"/>
            </w:tcBorders>
            <w:shd w:val="clear" w:color="auto" w:fill="auto"/>
            <w:vAlign w:val="bottom"/>
          </w:tcPr>
          <w:p w14:paraId="4E04C9B1" w14:textId="77777777" w:rsidR="003233A7" w:rsidRPr="003233A7" w:rsidRDefault="003233A7" w:rsidP="003233A7">
            <w:pPr>
              <w:pStyle w:val="Tabletext"/>
            </w:pPr>
            <w:r w:rsidRPr="003233A7">
              <w:t>3</w:t>
            </w:r>
            <w:r w:rsidR="00D7157D">
              <w:t>.</w:t>
            </w:r>
            <w:r w:rsidRPr="003233A7">
              <w:t>2632</w:t>
            </w:r>
          </w:p>
        </w:tc>
        <w:tc>
          <w:tcPr>
            <w:tcW w:w="966" w:type="pct"/>
            <w:tcBorders>
              <w:top w:val="single" w:sz="4" w:space="0" w:color="auto"/>
              <w:bottom w:val="single" w:sz="4" w:space="0" w:color="auto"/>
            </w:tcBorders>
            <w:shd w:val="clear" w:color="auto" w:fill="auto"/>
            <w:vAlign w:val="bottom"/>
          </w:tcPr>
          <w:p w14:paraId="28BA703B" w14:textId="77777777" w:rsidR="003233A7" w:rsidRPr="003233A7" w:rsidRDefault="003233A7" w:rsidP="003233A7">
            <w:pPr>
              <w:pStyle w:val="Tabletext"/>
            </w:pPr>
            <w:r w:rsidRPr="003233A7">
              <w:t>27</w:t>
            </w:r>
            <w:r w:rsidR="00D7157D">
              <w:t>.</w:t>
            </w:r>
            <w:r w:rsidRPr="003233A7">
              <w:t>6857</w:t>
            </w:r>
          </w:p>
        </w:tc>
        <w:tc>
          <w:tcPr>
            <w:tcW w:w="966" w:type="pct"/>
            <w:tcBorders>
              <w:top w:val="single" w:sz="4" w:space="0" w:color="auto"/>
              <w:bottom w:val="single" w:sz="4" w:space="0" w:color="auto"/>
              <w:right w:val="nil"/>
            </w:tcBorders>
            <w:shd w:val="clear" w:color="auto" w:fill="auto"/>
            <w:vAlign w:val="bottom"/>
          </w:tcPr>
          <w:p w14:paraId="1370549D" w14:textId="77777777" w:rsidR="003233A7" w:rsidRPr="003233A7" w:rsidRDefault="003233A7" w:rsidP="003233A7">
            <w:pPr>
              <w:pStyle w:val="Tabletext"/>
            </w:pPr>
            <w:r w:rsidRPr="003233A7">
              <w:t>1</w:t>
            </w:r>
            <w:r w:rsidR="00D7157D">
              <w:t>.</w:t>
            </w:r>
            <w:r w:rsidRPr="003233A7">
              <w:t>5652</w:t>
            </w:r>
          </w:p>
        </w:tc>
      </w:tr>
      <w:tr w:rsidR="003233A7" w:rsidRPr="003233A7" w14:paraId="6BD39A24" w14:textId="77777777" w:rsidTr="00993D49">
        <w:trPr>
          <w:cantSplit/>
        </w:trPr>
        <w:tc>
          <w:tcPr>
            <w:tcW w:w="1136" w:type="pct"/>
            <w:tcBorders>
              <w:top w:val="single" w:sz="4" w:space="0" w:color="auto"/>
              <w:bottom w:val="single" w:sz="4" w:space="0" w:color="auto"/>
            </w:tcBorders>
          </w:tcPr>
          <w:p w14:paraId="359FB350" w14:textId="77777777" w:rsidR="003233A7" w:rsidRPr="003233A7" w:rsidRDefault="003233A7" w:rsidP="003233A7">
            <w:pPr>
              <w:pStyle w:val="Tabletext"/>
            </w:pPr>
            <w:r w:rsidRPr="003233A7">
              <w:t>31</w:t>
            </w:r>
          </w:p>
        </w:tc>
        <w:tc>
          <w:tcPr>
            <w:tcW w:w="966" w:type="pct"/>
            <w:tcBorders>
              <w:top w:val="single" w:sz="4" w:space="0" w:color="auto"/>
              <w:bottom w:val="single" w:sz="4" w:space="0" w:color="auto"/>
            </w:tcBorders>
            <w:shd w:val="clear" w:color="auto" w:fill="auto"/>
            <w:vAlign w:val="bottom"/>
          </w:tcPr>
          <w:p w14:paraId="4AAEDFB3" w14:textId="77777777" w:rsidR="003233A7" w:rsidRPr="003233A7" w:rsidRDefault="003233A7" w:rsidP="003233A7">
            <w:pPr>
              <w:pStyle w:val="Tabletext"/>
            </w:pPr>
            <w:r w:rsidRPr="003233A7">
              <w:t>26</w:t>
            </w:r>
            <w:r w:rsidR="00D7157D">
              <w:t>.</w:t>
            </w:r>
            <w:r w:rsidRPr="003233A7">
              <w:t>0739</w:t>
            </w:r>
          </w:p>
        </w:tc>
        <w:tc>
          <w:tcPr>
            <w:tcW w:w="966" w:type="pct"/>
            <w:tcBorders>
              <w:top w:val="single" w:sz="4" w:space="0" w:color="auto"/>
              <w:bottom w:val="single" w:sz="4" w:space="0" w:color="auto"/>
            </w:tcBorders>
            <w:shd w:val="clear" w:color="auto" w:fill="auto"/>
            <w:vAlign w:val="bottom"/>
          </w:tcPr>
          <w:p w14:paraId="31C8B57D" w14:textId="77777777" w:rsidR="003233A7" w:rsidRPr="003233A7" w:rsidRDefault="003233A7" w:rsidP="003233A7">
            <w:pPr>
              <w:pStyle w:val="Tabletext"/>
            </w:pPr>
            <w:r w:rsidRPr="003233A7">
              <w:t>3</w:t>
            </w:r>
            <w:r w:rsidR="00D7157D">
              <w:t>.</w:t>
            </w:r>
            <w:r w:rsidRPr="003233A7">
              <w:t>3116</w:t>
            </w:r>
          </w:p>
        </w:tc>
        <w:tc>
          <w:tcPr>
            <w:tcW w:w="966" w:type="pct"/>
            <w:tcBorders>
              <w:top w:val="single" w:sz="4" w:space="0" w:color="auto"/>
              <w:bottom w:val="single" w:sz="4" w:space="0" w:color="auto"/>
            </w:tcBorders>
            <w:shd w:val="clear" w:color="auto" w:fill="auto"/>
            <w:vAlign w:val="bottom"/>
          </w:tcPr>
          <w:p w14:paraId="7BE73F9E" w14:textId="77777777" w:rsidR="003233A7" w:rsidRPr="003233A7" w:rsidRDefault="003233A7" w:rsidP="003233A7">
            <w:pPr>
              <w:pStyle w:val="Tabletext"/>
            </w:pPr>
            <w:r w:rsidRPr="003233A7">
              <w:t>27</w:t>
            </w:r>
            <w:r w:rsidR="00D7157D">
              <w:t>.</w:t>
            </w:r>
            <w:r w:rsidRPr="003233A7">
              <w:t>4330</w:t>
            </w:r>
          </w:p>
        </w:tc>
        <w:tc>
          <w:tcPr>
            <w:tcW w:w="966" w:type="pct"/>
            <w:tcBorders>
              <w:top w:val="single" w:sz="4" w:space="0" w:color="auto"/>
              <w:bottom w:val="single" w:sz="4" w:space="0" w:color="auto"/>
              <w:right w:val="nil"/>
            </w:tcBorders>
            <w:shd w:val="clear" w:color="auto" w:fill="auto"/>
            <w:vAlign w:val="bottom"/>
          </w:tcPr>
          <w:p w14:paraId="71808DFA" w14:textId="77777777" w:rsidR="003233A7" w:rsidRPr="003233A7" w:rsidRDefault="003233A7" w:rsidP="003233A7">
            <w:pPr>
              <w:pStyle w:val="Tabletext"/>
            </w:pPr>
            <w:r w:rsidRPr="003233A7">
              <w:t>1</w:t>
            </w:r>
            <w:r w:rsidR="00D7157D">
              <w:t>.</w:t>
            </w:r>
            <w:r w:rsidRPr="003233A7">
              <w:t>5864</w:t>
            </w:r>
          </w:p>
        </w:tc>
      </w:tr>
      <w:tr w:rsidR="003233A7" w:rsidRPr="003233A7" w14:paraId="358AD9CA" w14:textId="77777777" w:rsidTr="00993D49">
        <w:trPr>
          <w:cantSplit/>
        </w:trPr>
        <w:tc>
          <w:tcPr>
            <w:tcW w:w="1136" w:type="pct"/>
            <w:tcBorders>
              <w:top w:val="single" w:sz="4" w:space="0" w:color="auto"/>
              <w:bottom w:val="single" w:sz="4" w:space="0" w:color="auto"/>
            </w:tcBorders>
          </w:tcPr>
          <w:p w14:paraId="2FCD4DB1" w14:textId="77777777" w:rsidR="003233A7" w:rsidRPr="003233A7" w:rsidRDefault="003233A7" w:rsidP="003233A7">
            <w:pPr>
              <w:pStyle w:val="Tabletext"/>
            </w:pPr>
            <w:r w:rsidRPr="003233A7">
              <w:t>32</w:t>
            </w:r>
          </w:p>
        </w:tc>
        <w:tc>
          <w:tcPr>
            <w:tcW w:w="966" w:type="pct"/>
            <w:tcBorders>
              <w:top w:val="single" w:sz="4" w:space="0" w:color="auto"/>
              <w:bottom w:val="single" w:sz="4" w:space="0" w:color="auto"/>
            </w:tcBorders>
            <w:shd w:val="clear" w:color="auto" w:fill="auto"/>
            <w:vAlign w:val="bottom"/>
          </w:tcPr>
          <w:p w14:paraId="722A4774" w14:textId="77777777" w:rsidR="003233A7" w:rsidRPr="003233A7" w:rsidRDefault="003233A7" w:rsidP="003233A7">
            <w:pPr>
              <w:pStyle w:val="Tabletext"/>
            </w:pPr>
            <w:r w:rsidRPr="003233A7">
              <w:t>25</w:t>
            </w:r>
            <w:r w:rsidR="00D7157D">
              <w:t>.</w:t>
            </w:r>
            <w:r w:rsidRPr="003233A7">
              <w:t>8001</w:t>
            </w:r>
          </w:p>
        </w:tc>
        <w:tc>
          <w:tcPr>
            <w:tcW w:w="966" w:type="pct"/>
            <w:tcBorders>
              <w:top w:val="single" w:sz="4" w:space="0" w:color="auto"/>
              <w:bottom w:val="single" w:sz="4" w:space="0" w:color="auto"/>
            </w:tcBorders>
            <w:shd w:val="clear" w:color="auto" w:fill="auto"/>
            <w:vAlign w:val="bottom"/>
          </w:tcPr>
          <w:p w14:paraId="5B042A45" w14:textId="77777777" w:rsidR="003233A7" w:rsidRPr="003233A7" w:rsidRDefault="003233A7" w:rsidP="003233A7">
            <w:pPr>
              <w:pStyle w:val="Tabletext"/>
            </w:pPr>
            <w:r w:rsidRPr="003233A7">
              <w:t>3</w:t>
            </w:r>
            <w:r w:rsidR="00D7157D">
              <w:t>.</w:t>
            </w:r>
            <w:r w:rsidRPr="003233A7">
              <w:t>3603</w:t>
            </w:r>
          </w:p>
        </w:tc>
        <w:tc>
          <w:tcPr>
            <w:tcW w:w="966" w:type="pct"/>
            <w:tcBorders>
              <w:top w:val="single" w:sz="4" w:space="0" w:color="auto"/>
              <w:bottom w:val="single" w:sz="4" w:space="0" w:color="auto"/>
            </w:tcBorders>
            <w:shd w:val="clear" w:color="auto" w:fill="auto"/>
            <w:vAlign w:val="bottom"/>
          </w:tcPr>
          <w:p w14:paraId="49D68018" w14:textId="77777777" w:rsidR="003233A7" w:rsidRPr="003233A7" w:rsidRDefault="003233A7" w:rsidP="003233A7">
            <w:pPr>
              <w:pStyle w:val="Tabletext"/>
            </w:pPr>
            <w:r w:rsidRPr="003233A7">
              <w:t>27</w:t>
            </w:r>
            <w:r w:rsidR="00D7157D">
              <w:t>.</w:t>
            </w:r>
            <w:r w:rsidRPr="003233A7">
              <w:t>1747</w:t>
            </w:r>
          </w:p>
        </w:tc>
        <w:tc>
          <w:tcPr>
            <w:tcW w:w="966" w:type="pct"/>
            <w:tcBorders>
              <w:top w:val="single" w:sz="4" w:space="0" w:color="auto"/>
              <w:bottom w:val="single" w:sz="4" w:space="0" w:color="auto"/>
              <w:right w:val="nil"/>
            </w:tcBorders>
            <w:shd w:val="clear" w:color="auto" w:fill="auto"/>
            <w:vAlign w:val="bottom"/>
          </w:tcPr>
          <w:p w14:paraId="44FCE931" w14:textId="77777777" w:rsidR="003233A7" w:rsidRPr="003233A7" w:rsidRDefault="003233A7" w:rsidP="003233A7">
            <w:pPr>
              <w:pStyle w:val="Tabletext"/>
            </w:pPr>
            <w:r w:rsidRPr="003233A7">
              <w:t>1</w:t>
            </w:r>
            <w:r w:rsidR="00D7157D">
              <w:t>.</w:t>
            </w:r>
            <w:r w:rsidRPr="003233A7">
              <w:t>6076</w:t>
            </w:r>
          </w:p>
        </w:tc>
      </w:tr>
      <w:tr w:rsidR="003233A7" w:rsidRPr="003233A7" w14:paraId="1965A49F" w14:textId="77777777" w:rsidTr="00993D49">
        <w:trPr>
          <w:cantSplit/>
        </w:trPr>
        <w:tc>
          <w:tcPr>
            <w:tcW w:w="1136" w:type="pct"/>
            <w:tcBorders>
              <w:top w:val="single" w:sz="4" w:space="0" w:color="auto"/>
              <w:bottom w:val="single" w:sz="4" w:space="0" w:color="auto"/>
            </w:tcBorders>
          </w:tcPr>
          <w:p w14:paraId="2AD1DDD2" w14:textId="77777777" w:rsidR="003233A7" w:rsidRPr="003233A7" w:rsidRDefault="003233A7" w:rsidP="003233A7">
            <w:pPr>
              <w:pStyle w:val="Tabletext"/>
            </w:pPr>
            <w:r w:rsidRPr="003233A7">
              <w:t>33</w:t>
            </w:r>
          </w:p>
        </w:tc>
        <w:tc>
          <w:tcPr>
            <w:tcW w:w="966" w:type="pct"/>
            <w:tcBorders>
              <w:top w:val="single" w:sz="4" w:space="0" w:color="auto"/>
              <w:bottom w:val="single" w:sz="4" w:space="0" w:color="auto"/>
            </w:tcBorders>
            <w:shd w:val="clear" w:color="auto" w:fill="auto"/>
            <w:vAlign w:val="bottom"/>
          </w:tcPr>
          <w:p w14:paraId="5037870C" w14:textId="77777777" w:rsidR="003233A7" w:rsidRPr="003233A7" w:rsidRDefault="003233A7" w:rsidP="003233A7">
            <w:pPr>
              <w:pStyle w:val="Tabletext"/>
            </w:pPr>
            <w:r w:rsidRPr="003233A7">
              <w:t>25</w:t>
            </w:r>
            <w:r w:rsidR="00D7157D">
              <w:t>.</w:t>
            </w:r>
            <w:r w:rsidRPr="003233A7">
              <w:t>5206</w:t>
            </w:r>
          </w:p>
        </w:tc>
        <w:tc>
          <w:tcPr>
            <w:tcW w:w="966" w:type="pct"/>
            <w:tcBorders>
              <w:top w:val="single" w:sz="4" w:space="0" w:color="auto"/>
              <w:bottom w:val="single" w:sz="4" w:space="0" w:color="auto"/>
            </w:tcBorders>
            <w:shd w:val="clear" w:color="auto" w:fill="auto"/>
            <w:vAlign w:val="bottom"/>
          </w:tcPr>
          <w:p w14:paraId="7D44B551" w14:textId="77777777" w:rsidR="003233A7" w:rsidRPr="003233A7" w:rsidRDefault="003233A7" w:rsidP="003233A7">
            <w:pPr>
              <w:pStyle w:val="Tabletext"/>
            </w:pPr>
            <w:r w:rsidRPr="003233A7">
              <w:t>3</w:t>
            </w:r>
            <w:r w:rsidR="00D7157D">
              <w:t>.</w:t>
            </w:r>
            <w:r w:rsidRPr="003233A7">
              <w:t>4093</w:t>
            </w:r>
          </w:p>
        </w:tc>
        <w:tc>
          <w:tcPr>
            <w:tcW w:w="966" w:type="pct"/>
            <w:tcBorders>
              <w:top w:val="single" w:sz="4" w:space="0" w:color="auto"/>
              <w:bottom w:val="single" w:sz="4" w:space="0" w:color="auto"/>
            </w:tcBorders>
            <w:shd w:val="clear" w:color="auto" w:fill="auto"/>
            <w:vAlign w:val="bottom"/>
          </w:tcPr>
          <w:p w14:paraId="4FECDC16" w14:textId="77777777" w:rsidR="003233A7" w:rsidRPr="003233A7" w:rsidRDefault="003233A7" w:rsidP="003233A7">
            <w:pPr>
              <w:pStyle w:val="Tabletext"/>
            </w:pPr>
            <w:r w:rsidRPr="003233A7">
              <w:t>26</w:t>
            </w:r>
            <w:r w:rsidR="00D7157D">
              <w:t>.</w:t>
            </w:r>
            <w:r w:rsidRPr="003233A7">
              <w:t>9106</w:t>
            </w:r>
          </w:p>
        </w:tc>
        <w:tc>
          <w:tcPr>
            <w:tcW w:w="966" w:type="pct"/>
            <w:tcBorders>
              <w:top w:val="single" w:sz="4" w:space="0" w:color="auto"/>
              <w:bottom w:val="single" w:sz="4" w:space="0" w:color="auto"/>
              <w:right w:val="nil"/>
            </w:tcBorders>
            <w:shd w:val="clear" w:color="auto" w:fill="auto"/>
            <w:vAlign w:val="bottom"/>
          </w:tcPr>
          <w:p w14:paraId="4CC414FA" w14:textId="77777777" w:rsidR="003233A7" w:rsidRPr="003233A7" w:rsidRDefault="003233A7" w:rsidP="003233A7">
            <w:pPr>
              <w:pStyle w:val="Tabletext"/>
            </w:pPr>
            <w:r w:rsidRPr="003233A7">
              <w:t>1</w:t>
            </w:r>
            <w:r w:rsidR="00D7157D">
              <w:t>.</w:t>
            </w:r>
            <w:r w:rsidRPr="003233A7">
              <w:t>6289</w:t>
            </w:r>
          </w:p>
        </w:tc>
      </w:tr>
      <w:tr w:rsidR="003233A7" w:rsidRPr="003233A7" w14:paraId="06315E0F" w14:textId="77777777" w:rsidTr="00993D49">
        <w:trPr>
          <w:cantSplit/>
        </w:trPr>
        <w:tc>
          <w:tcPr>
            <w:tcW w:w="1136" w:type="pct"/>
            <w:tcBorders>
              <w:top w:val="single" w:sz="4" w:space="0" w:color="auto"/>
              <w:bottom w:val="single" w:sz="4" w:space="0" w:color="auto"/>
            </w:tcBorders>
          </w:tcPr>
          <w:p w14:paraId="6B692D85" w14:textId="77777777" w:rsidR="003233A7" w:rsidRPr="003233A7" w:rsidRDefault="003233A7" w:rsidP="003233A7">
            <w:pPr>
              <w:pStyle w:val="Tabletext"/>
            </w:pPr>
            <w:r w:rsidRPr="003233A7">
              <w:t>34</w:t>
            </w:r>
          </w:p>
        </w:tc>
        <w:tc>
          <w:tcPr>
            <w:tcW w:w="966" w:type="pct"/>
            <w:tcBorders>
              <w:top w:val="single" w:sz="4" w:space="0" w:color="auto"/>
              <w:bottom w:val="single" w:sz="4" w:space="0" w:color="auto"/>
            </w:tcBorders>
            <w:shd w:val="clear" w:color="auto" w:fill="auto"/>
            <w:vAlign w:val="bottom"/>
          </w:tcPr>
          <w:p w14:paraId="3D042547" w14:textId="77777777" w:rsidR="003233A7" w:rsidRPr="003233A7" w:rsidRDefault="003233A7" w:rsidP="003233A7">
            <w:pPr>
              <w:pStyle w:val="Tabletext"/>
            </w:pPr>
            <w:r w:rsidRPr="003233A7">
              <w:t>25</w:t>
            </w:r>
            <w:r w:rsidR="00D7157D">
              <w:t>.</w:t>
            </w:r>
            <w:r w:rsidRPr="003233A7">
              <w:t>2351</w:t>
            </w:r>
          </w:p>
        </w:tc>
        <w:tc>
          <w:tcPr>
            <w:tcW w:w="966" w:type="pct"/>
            <w:tcBorders>
              <w:top w:val="single" w:sz="4" w:space="0" w:color="auto"/>
              <w:bottom w:val="single" w:sz="4" w:space="0" w:color="auto"/>
            </w:tcBorders>
            <w:shd w:val="clear" w:color="auto" w:fill="auto"/>
            <w:vAlign w:val="bottom"/>
          </w:tcPr>
          <w:p w14:paraId="6316E63D" w14:textId="77777777" w:rsidR="003233A7" w:rsidRPr="003233A7" w:rsidRDefault="003233A7" w:rsidP="003233A7">
            <w:pPr>
              <w:pStyle w:val="Tabletext"/>
            </w:pPr>
            <w:r w:rsidRPr="003233A7">
              <w:t>3</w:t>
            </w:r>
            <w:r w:rsidR="00D7157D">
              <w:t>.</w:t>
            </w:r>
            <w:r w:rsidRPr="003233A7">
              <w:t>4587</w:t>
            </w:r>
          </w:p>
        </w:tc>
        <w:tc>
          <w:tcPr>
            <w:tcW w:w="966" w:type="pct"/>
            <w:tcBorders>
              <w:top w:val="single" w:sz="4" w:space="0" w:color="auto"/>
              <w:bottom w:val="single" w:sz="4" w:space="0" w:color="auto"/>
            </w:tcBorders>
            <w:shd w:val="clear" w:color="auto" w:fill="auto"/>
            <w:vAlign w:val="bottom"/>
          </w:tcPr>
          <w:p w14:paraId="008B9D03" w14:textId="77777777" w:rsidR="003233A7" w:rsidRPr="003233A7" w:rsidRDefault="003233A7" w:rsidP="003233A7">
            <w:pPr>
              <w:pStyle w:val="Tabletext"/>
            </w:pPr>
            <w:r w:rsidRPr="003233A7">
              <w:t>26</w:t>
            </w:r>
            <w:r w:rsidR="00D7157D">
              <w:t>.</w:t>
            </w:r>
            <w:r w:rsidRPr="003233A7">
              <w:t>6407</w:t>
            </w:r>
          </w:p>
        </w:tc>
        <w:tc>
          <w:tcPr>
            <w:tcW w:w="966" w:type="pct"/>
            <w:tcBorders>
              <w:top w:val="single" w:sz="4" w:space="0" w:color="auto"/>
              <w:bottom w:val="single" w:sz="4" w:space="0" w:color="auto"/>
              <w:right w:val="nil"/>
            </w:tcBorders>
            <w:shd w:val="clear" w:color="auto" w:fill="auto"/>
            <w:vAlign w:val="bottom"/>
          </w:tcPr>
          <w:p w14:paraId="07133052" w14:textId="77777777" w:rsidR="003233A7" w:rsidRPr="003233A7" w:rsidRDefault="003233A7" w:rsidP="003233A7">
            <w:pPr>
              <w:pStyle w:val="Tabletext"/>
            </w:pPr>
            <w:r w:rsidRPr="003233A7">
              <w:t>1</w:t>
            </w:r>
            <w:r w:rsidR="00D7157D">
              <w:t>.</w:t>
            </w:r>
            <w:r w:rsidRPr="003233A7">
              <w:t>6502</w:t>
            </w:r>
          </w:p>
        </w:tc>
      </w:tr>
      <w:tr w:rsidR="003233A7" w:rsidRPr="003233A7" w14:paraId="339D42BC" w14:textId="77777777" w:rsidTr="00993D49">
        <w:trPr>
          <w:cantSplit/>
        </w:trPr>
        <w:tc>
          <w:tcPr>
            <w:tcW w:w="1136" w:type="pct"/>
            <w:tcBorders>
              <w:top w:val="single" w:sz="4" w:space="0" w:color="auto"/>
              <w:bottom w:val="single" w:sz="4" w:space="0" w:color="auto"/>
            </w:tcBorders>
          </w:tcPr>
          <w:p w14:paraId="2EF22122" w14:textId="77777777" w:rsidR="003233A7" w:rsidRPr="003233A7" w:rsidRDefault="003233A7" w:rsidP="003233A7">
            <w:pPr>
              <w:pStyle w:val="Tabletext"/>
            </w:pPr>
            <w:r w:rsidRPr="003233A7">
              <w:t>35</w:t>
            </w:r>
          </w:p>
        </w:tc>
        <w:tc>
          <w:tcPr>
            <w:tcW w:w="966" w:type="pct"/>
            <w:tcBorders>
              <w:top w:val="single" w:sz="4" w:space="0" w:color="auto"/>
              <w:bottom w:val="single" w:sz="4" w:space="0" w:color="auto"/>
            </w:tcBorders>
            <w:shd w:val="clear" w:color="auto" w:fill="auto"/>
            <w:vAlign w:val="bottom"/>
          </w:tcPr>
          <w:p w14:paraId="19EDCF9C" w14:textId="77777777" w:rsidR="003233A7" w:rsidRPr="003233A7" w:rsidRDefault="003233A7" w:rsidP="003233A7">
            <w:pPr>
              <w:pStyle w:val="Tabletext"/>
            </w:pPr>
            <w:r w:rsidRPr="003233A7">
              <w:t>24</w:t>
            </w:r>
            <w:r w:rsidR="00D7157D">
              <w:t>.</w:t>
            </w:r>
            <w:r w:rsidRPr="003233A7">
              <w:t>9439</w:t>
            </w:r>
          </w:p>
        </w:tc>
        <w:tc>
          <w:tcPr>
            <w:tcW w:w="966" w:type="pct"/>
            <w:tcBorders>
              <w:top w:val="single" w:sz="4" w:space="0" w:color="auto"/>
              <w:bottom w:val="single" w:sz="4" w:space="0" w:color="auto"/>
            </w:tcBorders>
            <w:shd w:val="clear" w:color="auto" w:fill="auto"/>
            <w:vAlign w:val="bottom"/>
          </w:tcPr>
          <w:p w14:paraId="534262FC" w14:textId="77777777" w:rsidR="003233A7" w:rsidRPr="003233A7" w:rsidRDefault="003233A7" w:rsidP="003233A7">
            <w:pPr>
              <w:pStyle w:val="Tabletext"/>
            </w:pPr>
            <w:r w:rsidRPr="003233A7">
              <w:t>3</w:t>
            </w:r>
            <w:r w:rsidR="00D7157D">
              <w:t>.</w:t>
            </w:r>
            <w:r w:rsidRPr="003233A7">
              <w:t>5083</w:t>
            </w:r>
          </w:p>
        </w:tc>
        <w:tc>
          <w:tcPr>
            <w:tcW w:w="966" w:type="pct"/>
            <w:tcBorders>
              <w:top w:val="single" w:sz="4" w:space="0" w:color="auto"/>
              <w:bottom w:val="single" w:sz="4" w:space="0" w:color="auto"/>
            </w:tcBorders>
            <w:shd w:val="clear" w:color="auto" w:fill="auto"/>
            <w:vAlign w:val="bottom"/>
          </w:tcPr>
          <w:p w14:paraId="34DC2E6F" w14:textId="77777777" w:rsidR="003233A7" w:rsidRPr="003233A7" w:rsidRDefault="003233A7" w:rsidP="003233A7">
            <w:pPr>
              <w:pStyle w:val="Tabletext"/>
            </w:pPr>
            <w:r w:rsidRPr="003233A7">
              <w:t>26</w:t>
            </w:r>
            <w:r w:rsidR="00D7157D">
              <w:t>.</w:t>
            </w:r>
            <w:r w:rsidRPr="003233A7">
              <w:t>3649</w:t>
            </w:r>
          </w:p>
        </w:tc>
        <w:tc>
          <w:tcPr>
            <w:tcW w:w="966" w:type="pct"/>
            <w:tcBorders>
              <w:top w:val="single" w:sz="4" w:space="0" w:color="auto"/>
              <w:bottom w:val="single" w:sz="4" w:space="0" w:color="auto"/>
              <w:right w:val="nil"/>
            </w:tcBorders>
            <w:shd w:val="clear" w:color="auto" w:fill="auto"/>
            <w:vAlign w:val="bottom"/>
          </w:tcPr>
          <w:p w14:paraId="7DEE220D" w14:textId="77777777" w:rsidR="003233A7" w:rsidRPr="003233A7" w:rsidRDefault="003233A7" w:rsidP="003233A7">
            <w:pPr>
              <w:pStyle w:val="Tabletext"/>
            </w:pPr>
            <w:r w:rsidRPr="003233A7">
              <w:t>1</w:t>
            </w:r>
            <w:r w:rsidR="00D7157D">
              <w:t>.</w:t>
            </w:r>
            <w:r w:rsidRPr="003233A7">
              <w:t>6716</w:t>
            </w:r>
          </w:p>
        </w:tc>
      </w:tr>
      <w:tr w:rsidR="003233A7" w:rsidRPr="003233A7" w14:paraId="2B7A930E" w14:textId="77777777" w:rsidTr="00993D49">
        <w:trPr>
          <w:cantSplit/>
        </w:trPr>
        <w:tc>
          <w:tcPr>
            <w:tcW w:w="1136" w:type="pct"/>
            <w:tcBorders>
              <w:top w:val="single" w:sz="4" w:space="0" w:color="auto"/>
              <w:bottom w:val="single" w:sz="4" w:space="0" w:color="auto"/>
            </w:tcBorders>
          </w:tcPr>
          <w:p w14:paraId="3316036F" w14:textId="77777777" w:rsidR="003233A7" w:rsidRPr="003233A7" w:rsidRDefault="003233A7" w:rsidP="003233A7">
            <w:pPr>
              <w:pStyle w:val="Tabletext"/>
            </w:pPr>
            <w:r w:rsidRPr="003233A7">
              <w:t>36</w:t>
            </w:r>
          </w:p>
        </w:tc>
        <w:tc>
          <w:tcPr>
            <w:tcW w:w="966" w:type="pct"/>
            <w:tcBorders>
              <w:top w:val="single" w:sz="4" w:space="0" w:color="auto"/>
              <w:bottom w:val="single" w:sz="4" w:space="0" w:color="auto"/>
            </w:tcBorders>
            <w:shd w:val="clear" w:color="auto" w:fill="auto"/>
            <w:vAlign w:val="bottom"/>
          </w:tcPr>
          <w:p w14:paraId="6E8E8AB2" w14:textId="77777777" w:rsidR="003233A7" w:rsidRPr="003233A7" w:rsidRDefault="003233A7" w:rsidP="003233A7">
            <w:pPr>
              <w:pStyle w:val="Tabletext"/>
            </w:pPr>
            <w:r w:rsidRPr="003233A7">
              <w:t>24</w:t>
            </w:r>
            <w:r w:rsidR="00D7157D">
              <w:t>.</w:t>
            </w:r>
            <w:r w:rsidRPr="003233A7">
              <w:t>6465</w:t>
            </w:r>
          </w:p>
        </w:tc>
        <w:tc>
          <w:tcPr>
            <w:tcW w:w="966" w:type="pct"/>
            <w:tcBorders>
              <w:top w:val="single" w:sz="4" w:space="0" w:color="auto"/>
              <w:bottom w:val="single" w:sz="4" w:space="0" w:color="auto"/>
            </w:tcBorders>
            <w:shd w:val="clear" w:color="auto" w:fill="auto"/>
            <w:vAlign w:val="bottom"/>
          </w:tcPr>
          <w:p w14:paraId="6D6BB28B" w14:textId="77777777" w:rsidR="003233A7" w:rsidRPr="003233A7" w:rsidRDefault="003233A7" w:rsidP="003233A7">
            <w:pPr>
              <w:pStyle w:val="Tabletext"/>
            </w:pPr>
            <w:r w:rsidRPr="003233A7">
              <w:t>3</w:t>
            </w:r>
            <w:r w:rsidR="00D7157D">
              <w:t>.</w:t>
            </w:r>
            <w:r w:rsidRPr="003233A7">
              <w:t>5583</w:t>
            </w:r>
          </w:p>
        </w:tc>
        <w:tc>
          <w:tcPr>
            <w:tcW w:w="966" w:type="pct"/>
            <w:tcBorders>
              <w:top w:val="single" w:sz="4" w:space="0" w:color="auto"/>
              <w:bottom w:val="single" w:sz="4" w:space="0" w:color="auto"/>
            </w:tcBorders>
            <w:shd w:val="clear" w:color="auto" w:fill="auto"/>
            <w:vAlign w:val="bottom"/>
          </w:tcPr>
          <w:p w14:paraId="57AD5D47" w14:textId="77777777" w:rsidR="003233A7" w:rsidRPr="003233A7" w:rsidRDefault="003233A7" w:rsidP="003233A7">
            <w:pPr>
              <w:pStyle w:val="Tabletext"/>
            </w:pPr>
            <w:r w:rsidRPr="003233A7">
              <w:t>26</w:t>
            </w:r>
            <w:r w:rsidR="00D7157D">
              <w:t>.</w:t>
            </w:r>
            <w:r w:rsidRPr="003233A7">
              <w:t>0828</w:t>
            </w:r>
          </w:p>
        </w:tc>
        <w:tc>
          <w:tcPr>
            <w:tcW w:w="966" w:type="pct"/>
            <w:tcBorders>
              <w:top w:val="single" w:sz="4" w:space="0" w:color="auto"/>
              <w:bottom w:val="single" w:sz="4" w:space="0" w:color="auto"/>
              <w:right w:val="nil"/>
            </w:tcBorders>
            <w:shd w:val="clear" w:color="auto" w:fill="auto"/>
            <w:vAlign w:val="bottom"/>
          </w:tcPr>
          <w:p w14:paraId="30E06474" w14:textId="77777777" w:rsidR="003233A7" w:rsidRPr="003233A7" w:rsidRDefault="003233A7" w:rsidP="003233A7">
            <w:pPr>
              <w:pStyle w:val="Tabletext"/>
            </w:pPr>
            <w:r w:rsidRPr="003233A7">
              <w:t>1</w:t>
            </w:r>
            <w:r w:rsidR="00D7157D">
              <w:t>.</w:t>
            </w:r>
            <w:r w:rsidRPr="003233A7">
              <w:t>6930</w:t>
            </w:r>
          </w:p>
        </w:tc>
      </w:tr>
      <w:tr w:rsidR="003233A7" w:rsidRPr="003233A7" w14:paraId="75C737FA" w14:textId="77777777" w:rsidTr="00993D49">
        <w:trPr>
          <w:cantSplit/>
        </w:trPr>
        <w:tc>
          <w:tcPr>
            <w:tcW w:w="1136" w:type="pct"/>
            <w:tcBorders>
              <w:top w:val="single" w:sz="4" w:space="0" w:color="auto"/>
              <w:bottom w:val="single" w:sz="4" w:space="0" w:color="auto"/>
            </w:tcBorders>
          </w:tcPr>
          <w:p w14:paraId="18683C8E" w14:textId="77777777" w:rsidR="003233A7" w:rsidRPr="003233A7" w:rsidRDefault="003233A7" w:rsidP="003233A7">
            <w:pPr>
              <w:pStyle w:val="Tabletext"/>
            </w:pPr>
            <w:r w:rsidRPr="003233A7">
              <w:t>37</w:t>
            </w:r>
          </w:p>
        </w:tc>
        <w:tc>
          <w:tcPr>
            <w:tcW w:w="966" w:type="pct"/>
            <w:tcBorders>
              <w:top w:val="single" w:sz="4" w:space="0" w:color="auto"/>
              <w:bottom w:val="single" w:sz="4" w:space="0" w:color="auto"/>
            </w:tcBorders>
            <w:shd w:val="clear" w:color="auto" w:fill="auto"/>
            <w:vAlign w:val="bottom"/>
          </w:tcPr>
          <w:p w14:paraId="71E7DD76" w14:textId="77777777" w:rsidR="003233A7" w:rsidRPr="003233A7" w:rsidRDefault="003233A7" w:rsidP="003233A7">
            <w:pPr>
              <w:pStyle w:val="Tabletext"/>
            </w:pPr>
            <w:r w:rsidRPr="003233A7">
              <w:t>24</w:t>
            </w:r>
            <w:r w:rsidR="00D7157D">
              <w:t>.</w:t>
            </w:r>
            <w:r w:rsidRPr="003233A7">
              <w:t>3431</w:t>
            </w:r>
          </w:p>
        </w:tc>
        <w:tc>
          <w:tcPr>
            <w:tcW w:w="966" w:type="pct"/>
            <w:tcBorders>
              <w:top w:val="single" w:sz="4" w:space="0" w:color="auto"/>
              <w:bottom w:val="single" w:sz="4" w:space="0" w:color="auto"/>
            </w:tcBorders>
            <w:shd w:val="clear" w:color="auto" w:fill="auto"/>
            <w:vAlign w:val="bottom"/>
          </w:tcPr>
          <w:p w14:paraId="6727FBD0" w14:textId="77777777" w:rsidR="003233A7" w:rsidRPr="003233A7" w:rsidRDefault="003233A7" w:rsidP="003233A7">
            <w:pPr>
              <w:pStyle w:val="Tabletext"/>
            </w:pPr>
            <w:r w:rsidRPr="003233A7">
              <w:t>3</w:t>
            </w:r>
            <w:r w:rsidR="00D7157D">
              <w:t>.</w:t>
            </w:r>
            <w:r w:rsidRPr="003233A7">
              <w:t>6085</w:t>
            </w:r>
          </w:p>
        </w:tc>
        <w:tc>
          <w:tcPr>
            <w:tcW w:w="966" w:type="pct"/>
            <w:tcBorders>
              <w:top w:val="single" w:sz="4" w:space="0" w:color="auto"/>
              <w:bottom w:val="single" w:sz="4" w:space="0" w:color="auto"/>
            </w:tcBorders>
            <w:shd w:val="clear" w:color="auto" w:fill="auto"/>
            <w:vAlign w:val="bottom"/>
          </w:tcPr>
          <w:p w14:paraId="03F455D3" w14:textId="77777777" w:rsidR="003233A7" w:rsidRPr="003233A7" w:rsidRDefault="003233A7" w:rsidP="003233A7">
            <w:pPr>
              <w:pStyle w:val="Tabletext"/>
            </w:pPr>
            <w:r w:rsidRPr="003233A7">
              <w:t>25</w:t>
            </w:r>
            <w:r w:rsidR="00D7157D">
              <w:t>.</w:t>
            </w:r>
            <w:r w:rsidRPr="003233A7">
              <w:t>7944</w:t>
            </w:r>
          </w:p>
        </w:tc>
        <w:tc>
          <w:tcPr>
            <w:tcW w:w="966" w:type="pct"/>
            <w:tcBorders>
              <w:top w:val="single" w:sz="4" w:space="0" w:color="auto"/>
              <w:bottom w:val="single" w:sz="4" w:space="0" w:color="auto"/>
              <w:right w:val="nil"/>
            </w:tcBorders>
            <w:shd w:val="clear" w:color="auto" w:fill="auto"/>
            <w:vAlign w:val="bottom"/>
          </w:tcPr>
          <w:p w14:paraId="4F8D2B69" w14:textId="77777777" w:rsidR="003233A7" w:rsidRPr="003233A7" w:rsidRDefault="003233A7" w:rsidP="003233A7">
            <w:pPr>
              <w:pStyle w:val="Tabletext"/>
            </w:pPr>
            <w:r w:rsidRPr="003233A7">
              <w:t>1</w:t>
            </w:r>
            <w:r w:rsidR="00D7157D">
              <w:t>.</w:t>
            </w:r>
            <w:r w:rsidRPr="003233A7">
              <w:t>7145</w:t>
            </w:r>
          </w:p>
        </w:tc>
      </w:tr>
      <w:tr w:rsidR="003233A7" w:rsidRPr="003233A7" w14:paraId="2A0BF9FA" w14:textId="77777777" w:rsidTr="00993D49">
        <w:trPr>
          <w:cantSplit/>
        </w:trPr>
        <w:tc>
          <w:tcPr>
            <w:tcW w:w="1136" w:type="pct"/>
            <w:tcBorders>
              <w:top w:val="single" w:sz="4" w:space="0" w:color="auto"/>
              <w:bottom w:val="single" w:sz="4" w:space="0" w:color="auto"/>
            </w:tcBorders>
          </w:tcPr>
          <w:p w14:paraId="76BB740B" w14:textId="77777777" w:rsidR="003233A7" w:rsidRPr="003233A7" w:rsidRDefault="003233A7" w:rsidP="003233A7">
            <w:pPr>
              <w:pStyle w:val="Tabletext"/>
            </w:pPr>
            <w:r w:rsidRPr="003233A7">
              <w:t>38</w:t>
            </w:r>
          </w:p>
        </w:tc>
        <w:tc>
          <w:tcPr>
            <w:tcW w:w="966" w:type="pct"/>
            <w:tcBorders>
              <w:top w:val="single" w:sz="4" w:space="0" w:color="auto"/>
              <w:bottom w:val="single" w:sz="4" w:space="0" w:color="auto"/>
            </w:tcBorders>
            <w:shd w:val="clear" w:color="auto" w:fill="auto"/>
            <w:vAlign w:val="bottom"/>
          </w:tcPr>
          <w:p w14:paraId="105FBE83" w14:textId="77777777" w:rsidR="003233A7" w:rsidRPr="003233A7" w:rsidRDefault="003233A7" w:rsidP="003233A7">
            <w:pPr>
              <w:pStyle w:val="Tabletext"/>
            </w:pPr>
            <w:r w:rsidRPr="003233A7">
              <w:t>24</w:t>
            </w:r>
            <w:r w:rsidR="00D7157D">
              <w:t>.</w:t>
            </w:r>
            <w:r w:rsidRPr="003233A7">
              <w:t>0334</w:t>
            </w:r>
          </w:p>
        </w:tc>
        <w:tc>
          <w:tcPr>
            <w:tcW w:w="966" w:type="pct"/>
            <w:tcBorders>
              <w:top w:val="single" w:sz="4" w:space="0" w:color="auto"/>
              <w:bottom w:val="single" w:sz="4" w:space="0" w:color="auto"/>
            </w:tcBorders>
            <w:shd w:val="clear" w:color="auto" w:fill="auto"/>
            <w:vAlign w:val="bottom"/>
          </w:tcPr>
          <w:p w14:paraId="441C6C73" w14:textId="77777777" w:rsidR="003233A7" w:rsidRPr="003233A7" w:rsidRDefault="003233A7" w:rsidP="003233A7">
            <w:pPr>
              <w:pStyle w:val="Tabletext"/>
            </w:pPr>
            <w:r w:rsidRPr="003233A7">
              <w:t>3</w:t>
            </w:r>
            <w:r w:rsidR="00D7157D">
              <w:t>.</w:t>
            </w:r>
            <w:r w:rsidRPr="003233A7">
              <w:t>6589</w:t>
            </w:r>
          </w:p>
        </w:tc>
        <w:tc>
          <w:tcPr>
            <w:tcW w:w="966" w:type="pct"/>
            <w:tcBorders>
              <w:top w:val="single" w:sz="4" w:space="0" w:color="auto"/>
              <w:bottom w:val="single" w:sz="4" w:space="0" w:color="auto"/>
            </w:tcBorders>
            <w:shd w:val="clear" w:color="auto" w:fill="auto"/>
            <w:vAlign w:val="bottom"/>
          </w:tcPr>
          <w:p w14:paraId="11794ED9" w14:textId="77777777" w:rsidR="003233A7" w:rsidRPr="003233A7" w:rsidRDefault="003233A7" w:rsidP="003233A7">
            <w:pPr>
              <w:pStyle w:val="Tabletext"/>
            </w:pPr>
            <w:r w:rsidRPr="003233A7">
              <w:t>25</w:t>
            </w:r>
            <w:r w:rsidR="00D7157D">
              <w:t>.</w:t>
            </w:r>
            <w:r w:rsidRPr="003233A7">
              <w:t>4999</w:t>
            </w:r>
          </w:p>
        </w:tc>
        <w:tc>
          <w:tcPr>
            <w:tcW w:w="966" w:type="pct"/>
            <w:tcBorders>
              <w:top w:val="single" w:sz="4" w:space="0" w:color="auto"/>
              <w:bottom w:val="single" w:sz="4" w:space="0" w:color="auto"/>
              <w:right w:val="nil"/>
            </w:tcBorders>
            <w:shd w:val="clear" w:color="auto" w:fill="auto"/>
            <w:vAlign w:val="bottom"/>
          </w:tcPr>
          <w:p w14:paraId="75D290DA" w14:textId="77777777" w:rsidR="003233A7" w:rsidRPr="003233A7" w:rsidRDefault="003233A7" w:rsidP="003233A7">
            <w:pPr>
              <w:pStyle w:val="Tabletext"/>
            </w:pPr>
            <w:r w:rsidRPr="003233A7">
              <w:t>1</w:t>
            </w:r>
            <w:r w:rsidR="00D7157D">
              <w:t>.</w:t>
            </w:r>
            <w:r w:rsidRPr="003233A7">
              <w:t>7359</w:t>
            </w:r>
          </w:p>
        </w:tc>
      </w:tr>
      <w:tr w:rsidR="003233A7" w:rsidRPr="003233A7" w14:paraId="44B53259" w14:textId="77777777" w:rsidTr="00993D49">
        <w:trPr>
          <w:cantSplit/>
        </w:trPr>
        <w:tc>
          <w:tcPr>
            <w:tcW w:w="1136" w:type="pct"/>
            <w:tcBorders>
              <w:top w:val="single" w:sz="4" w:space="0" w:color="auto"/>
              <w:bottom w:val="single" w:sz="4" w:space="0" w:color="auto"/>
            </w:tcBorders>
          </w:tcPr>
          <w:p w14:paraId="2881AC2F" w14:textId="77777777" w:rsidR="003233A7" w:rsidRPr="003233A7" w:rsidRDefault="003233A7" w:rsidP="003233A7">
            <w:pPr>
              <w:pStyle w:val="Tabletext"/>
            </w:pPr>
            <w:r w:rsidRPr="003233A7">
              <w:t>39</w:t>
            </w:r>
          </w:p>
        </w:tc>
        <w:tc>
          <w:tcPr>
            <w:tcW w:w="966" w:type="pct"/>
            <w:tcBorders>
              <w:top w:val="single" w:sz="4" w:space="0" w:color="auto"/>
              <w:bottom w:val="single" w:sz="4" w:space="0" w:color="auto"/>
            </w:tcBorders>
            <w:shd w:val="clear" w:color="auto" w:fill="auto"/>
            <w:vAlign w:val="bottom"/>
          </w:tcPr>
          <w:p w14:paraId="11B7620A" w14:textId="77777777" w:rsidR="003233A7" w:rsidRPr="003233A7" w:rsidRDefault="003233A7" w:rsidP="003233A7">
            <w:pPr>
              <w:pStyle w:val="Tabletext"/>
            </w:pPr>
            <w:r w:rsidRPr="003233A7">
              <w:t>23</w:t>
            </w:r>
            <w:r w:rsidR="00D7157D">
              <w:t>.</w:t>
            </w:r>
            <w:r w:rsidRPr="003233A7">
              <w:t>7174</w:t>
            </w:r>
          </w:p>
        </w:tc>
        <w:tc>
          <w:tcPr>
            <w:tcW w:w="966" w:type="pct"/>
            <w:tcBorders>
              <w:top w:val="single" w:sz="4" w:space="0" w:color="auto"/>
              <w:bottom w:val="single" w:sz="4" w:space="0" w:color="auto"/>
            </w:tcBorders>
            <w:shd w:val="clear" w:color="auto" w:fill="auto"/>
            <w:vAlign w:val="bottom"/>
          </w:tcPr>
          <w:p w14:paraId="4338E0BD" w14:textId="77777777" w:rsidR="003233A7" w:rsidRPr="003233A7" w:rsidRDefault="003233A7" w:rsidP="003233A7">
            <w:pPr>
              <w:pStyle w:val="Tabletext"/>
            </w:pPr>
            <w:r w:rsidRPr="003233A7">
              <w:t>3</w:t>
            </w:r>
            <w:r w:rsidR="00D7157D">
              <w:t>.</w:t>
            </w:r>
            <w:r w:rsidRPr="003233A7">
              <w:t>7096</w:t>
            </w:r>
          </w:p>
        </w:tc>
        <w:tc>
          <w:tcPr>
            <w:tcW w:w="966" w:type="pct"/>
            <w:tcBorders>
              <w:top w:val="single" w:sz="4" w:space="0" w:color="auto"/>
              <w:bottom w:val="single" w:sz="4" w:space="0" w:color="auto"/>
            </w:tcBorders>
            <w:shd w:val="clear" w:color="auto" w:fill="auto"/>
            <w:vAlign w:val="bottom"/>
          </w:tcPr>
          <w:p w14:paraId="78129AF5" w14:textId="77777777" w:rsidR="003233A7" w:rsidRPr="003233A7" w:rsidRDefault="003233A7" w:rsidP="003233A7">
            <w:pPr>
              <w:pStyle w:val="Tabletext"/>
            </w:pPr>
            <w:r w:rsidRPr="003233A7">
              <w:t>25</w:t>
            </w:r>
            <w:r w:rsidR="00D7157D">
              <w:t>.</w:t>
            </w:r>
            <w:r w:rsidRPr="003233A7">
              <w:t>1989</w:t>
            </w:r>
          </w:p>
        </w:tc>
        <w:tc>
          <w:tcPr>
            <w:tcW w:w="966" w:type="pct"/>
            <w:tcBorders>
              <w:top w:val="single" w:sz="4" w:space="0" w:color="auto"/>
              <w:bottom w:val="single" w:sz="4" w:space="0" w:color="auto"/>
              <w:right w:val="nil"/>
            </w:tcBorders>
            <w:shd w:val="clear" w:color="auto" w:fill="auto"/>
            <w:vAlign w:val="bottom"/>
          </w:tcPr>
          <w:p w14:paraId="7CCFA335" w14:textId="77777777" w:rsidR="003233A7" w:rsidRPr="003233A7" w:rsidRDefault="003233A7" w:rsidP="003233A7">
            <w:pPr>
              <w:pStyle w:val="Tabletext"/>
            </w:pPr>
            <w:r w:rsidRPr="003233A7">
              <w:t>1</w:t>
            </w:r>
            <w:r w:rsidR="00D7157D">
              <w:t>.</w:t>
            </w:r>
            <w:r w:rsidRPr="003233A7">
              <w:t>7572</w:t>
            </w:r>
          </w:p>
        </w:tc>
      </w:tr>
      <w:tr w:rsidR="003233A7" w:rsidRPr="003233A7" w14:paraId="18DE0360" w14:textId="77777777" w:rsidTr="00993D49">
        <w:trPr>
          <w:cantSplit/>
        </w:trPr>
        <w:tc>
          <w:tcPr>
            <w:tcW w:w="1136" w:type="pct"/>
            <w:tcBorders>
              <w:top w:val="single" w:sz="4" w:space="0" w:color="auto"/>
              <w:bottom w:val="single" w:sz="4" w:space="0" w:color="auto"/>
            </w:tcBorders>
          </w:tcPr>
          <w:p w14:paraId="7659512D" w14:textId="77777777" w:rsidR="003233A7" w:rsidRPr="003233A7" w:rsidRDefault="003233A7" w:rsidP="003233A7">
            <w:pPr>
              <w:pStyle w:val="Tabletext"/>
            </w:pPr>
            <w:r w:rsidRPr="003233A7">
              <w:t>40</w:t>
            </w:r>
          </w:p>
        </w:tc>
        <w:tc>
          <w:tcPr>
            <w:tcW w:w="966" w:type="pct"/>
            <w:tcBorders>
              <w:top w:val="single" w:sz="4" w:space="0" w:color="auto"/>
              <w:bottom w:val="single" w:sz="4" w:space="0" w:color="auto"/>
            </w:tcBorders>
            <w:shd w:val="clear" w:color="auto" w:fill="auto"/>
            <w:vAlign w:val="bottom"/>
          </w:tcPr>
          <w:p w14:paraId="5B8C2B2D" w14:textId="77777777" w:rsidR="003233A7" w:rsidRPr="003233A7" w:rsidRDefault="003233A7" w:rsidP="003233A7">
            <w:pPr>
              <w:pStyle w:val="Tabletext"/>
            </w:pPr>
            <w:r w:rsidRPr="003233A7">
              <w:t>23</w:t>
            </w:r>
            <w:r w:rsidR="00D7157D">
              <w:t>.</w:t>
            </w:r>
            <w:r w:rsidRPr="003233A7">
              <w:t>3951</w:t>
            </w:r>
          </w:p>
        </w:tc>
        <w:tc>
          <w:tcPr>
            <w:tcW w:w="966" w:type="pct"/>
            <w:tcBorders>
              <w:top w:val="single" w:sz="4" w:space="0" w:color="auto"/>
              <w:bottom w:val="single" w:sz="4" w:space="0" w:color="auto"/>
            </w:tcBorders>
            <w:shd w:val="clear" w:color="auto" w:fill="auto"/>
            <w:vAlign w:val="bottom"/>
          </w:tcPr>
          <w:p w14:paraId="2B6132B1" w14:textId="77777777" w:rsidR="003233A7" w:rsidRPr="003233A7" w:rsidRDefault="003233A7" w:rsidP="003233A7">
            <w:pPr>
              <w:pStyle w:val="Tabletext"/>
            </w:pPr>
            <w:r w:rsidRPr="003233A7">
              <w:t>3</w:t>
            </w:r>
            <w:r w:rsidR="00D7157D">
              <w:t>.</w:t>
            </w:r>
            <w:r w:rsidRPr="003233A7">
              <w:t>7603</w:t>
            </w:r>
          </w:p>
        </w:tc>
        <w:tc>
          <w:tcPr>
            <w:tcW w:w="966" w:type="pct"/>
            <w:tcBorders>
              <w:top w:val="single" w:sz="4" w:space="0" w:color="auto"/>
              <w:bottom w:val="single" w:sz="4" w:space="0" w:color="auto"/>
            </w:tcBorders>
            <w:shd w:val="clear" w:color="auto" w:fill="auto"/>
            <w:vAlign w:val="bottom"/>
          </w:tcPr>
          <w:p w14:paraId="4AE285DE" w14:textId="77777777" w:rsidR="003233A7" w:rsidRPr="003233A7" w:rsidRDefault="003233A7" w:rsidP="003233A7">
            <w:pPr>
              <w:pStyle w:val="Tabletext"/>
            </w:pPr>
            <w:r w:rsidRPr="003233A7">
              <w:t>24</w:t>
            </w:r>
            <w:r w:rsidR="00D7157D">
              <w:t>.</w:t>
            </w:r>
            <w:r w:rsidRPr="003233A7">
              <w:t>8913</w:t>
            </w:r>
          </w:p>
        </w:tc>
        <w:tc>
          <w:tcPr>
            <w:tcW w:w="966" w:type="pct"/>
            <w:tcBorders>
              <w:top w:val="single" w:sz="4" w:space="0" w:color="auto"/>
              <w:bottom w:val="single" w:sz="4" w:space="0" w:color="auto"/>
              <w:right w:val="nil"/>
            </w:tcBorders>
            <w:shd w:val="clear" w:color="auto" w:fill="auto"/>
            <w:vAlign w:val="bottom"/>
          </w:tcPr>
          <w:p w14:paraId="6F36801E" w14:textId="77777777" w:rsidR="003233A7" w:rsidRPr="003233A7" w:rsidRDefault="003233A7" w:rsidP="003233A7">
            <w:pPr>
              <w:pStyle w:val="Tabletext"/>
            </w:pPr>
            <w:r w:rsidRPr="003233A7">
              <w:t>1</w:t>
            </w:r>
            <w:r w:rsidR="00D7157D">
              <w:t>.</w:t>
            </w:r>
            <w:r w:rsidRPr="003233A7">
              <w:t>7786</w:t>
            </w:r>
          </w:p>
        </w:tc>
      </w:tr>
      <w:tr w:rsidR="003233A7" w:rsidRPr="003233A7" w14:paraId="20E6DA97" w14:textId="77777777" w:rsidTr="00993D49">
        <w:trPr>
          <w:cantSplit/>
        </w:trPr>
        <w:tc>
          <w:tcPr>
            <w:tcW w:w="1136" w:type="pct"/>
            <w:tcBorders>
              <w:top w:val="single" w:sz="4" w:space="0" w:color="auto"/>
              <w:bottom w:val="single" w:sz="4" w:space="0" w:color="auto"/>
            </w:tcBorders>
          </w:tcPr>
          <w:p w14:paraId="183432C0" w14:textId="77777777" w:rsidR="003233A7" w:rsidRPr="003233A7" w:rsidRDefault="003233A7" w:rsidP="003233A7">
            <w:pPr>
              <w:pStyle w:val="Tabletext"/>
            </w:pPr>
            <w:r w:rsidRPr="003233A7">
              <w:t>41</w:t>
            </w:r>
          </w:p>
        </w:tc>
        <w:tc>
          <w:tcPr>
            <w:tcW w:w="966" w:type="pct"/>
            <w:tcBorders>
              <w:top w:val="single" w:sz="4" w:space="0" w:color="auto"/>
              <w:bottom w:val="single" w:sz="4" w:space="0" w:color="auto"/>
            </w:tcBorders>
            <w:shd w:val="clear" w:color="auto" w:fill="auto"/>
            <w:vAlign w:val="bottom"/>
          </w:tcPr>
          <w:p w14:paraId="258B9E0F" w14:textId="77777777" w:rsidR="003233A7" w:rsidRPr="003233A7" w:rsidRDefault="003233A7" w:rsidP="003233A7">
            <w:pPr>
              <w:pStyle w:val="Tabletext"/>
            </w:pPr>
            <w:r w:rsidRPr="003233A7">
              <w:t>23</w:t>
            </w:r>
            <w:r w:rsidR="00D7157D">
              <w:t>.</w:t>
            </w:r>
            <w:r w:rsidRPr="003233A7">
              <w:t>0665</w:t>
            </w:r>
          </w:p>
        </w:tc>
        <w:tc>
          <w:tcPr>
            <w:tcW w:w="966" w:type="pct"/>
            <w:tcBorders>
              <w:top w:val="single" w:sz="4" w:space="0" w:color="auto"/>
              <w:bottom w:val="single" w:sz="4" w:space="0" w:color="auto"/>
            </w:tcBorders>
            <w:shd w:val="clear" w:color="auto" w:fill="auto"/>
            <w:vAlign w:val="bottom"/>
          </w:tcPr>
          <w:p w14:paraId="783B62AA" w14:textId="77777777" w:rsidR="003233A7" w:rsidRPr="003233A7" w:rsidRDefault="003233A7" w:rsidP="003233A7">
            <w:pPr>
              <w:pStyle w:val="Tabletext"/>
            </w:pPr>
            <w:r w:rsidRPr="003233A7">
              <w:t>3</w:t>
            </w:r>
            <w:r w:rsidR="00D7157D">
              <w:t>.</w:t>
            </w:r>
            <w:r w:rsidRPr="003233A7">
              <w:t>6840</w:t>
            </w:r>
          </w:p>
        </w:tc>
        <w:tc>
          <w:tcPr>
            <w:tcW w:w="966" w:type="pct"/>
            <w:tcBorders>
              <w:top w:val="single" w:sz="4" w:space="0" w:color="auto"/>
              <w:bottom w:val="single" w:sz="4" w:space="0" w:color="auto"/>
            </w:tcBorders>
            <w:shd w:val="clear" w:color="auto" w:fill="auto"/>
            <w:vAlign w:val="bottom"/>
          </w:tcPr>
          <w:p w14:paraId="1944FCF6" w14:textId="77777777" w:rsidR="003233A7" w:rsidRPr="003233A7" w:rsidRDefault="003233A7" w:rsidP="003233A7">
            <w:pPr>
              <w:pStyle w:val="Tabletext"/>
            </w:pPr>
            <w:r w:rsidRPr="003233A7">
              <w:t>24</w:t>
            </w:r>
            <w:r w:rsidR="00D7157D">
              <w:t>.</w:t>
            </w:r>
            <w:r w:rsidRPr="003233A7">
              <w:t>5771</w:t>
            </w:r>
          </w:p>
        </w:tc>
        <w:tc>
          <w:tcPr>
            <w:tcW w:w="966" w:type="pct"/>
            <w:tcBorders>
              <w:top w:val="single" w:sz="4" w:space="0" w:color="auto"/>
              <w:bottom w:val="single" w:sz="4" w:space="0" w:color="auto"/>
              <w:right w:val="nil"/>
            </w:tcBorders>
            <w:shd w:val="clear" w:color="auto" w:fill="auto"/>
            <w:vAlign w:val="bottom"/>
          </w:tcPr>
          <w:p w14:paraId="06A91DBF" w14:textId="77777777" w:rsidR="003233A7" w:rsidRPr="003233A7" w:rsidRDefault="003233A7" w:rsidP="003233A7">
            <w:pPr>
              <w:pStyle w:val="Tabletext"/>
            </w:pPr>
            <w:r w:rsidRPr="003233A7">
              <w:t>1</w:t>
            </w:r>
            <w:r w:rsidR="00D7157D">
              <w:t>.</w:t>
            </w:r>
            <w:r w:rsidRPr="003233A7">
              <w:t>6918</w:t>
            </w:r>
          </w:p>
        </w:tc>
      </w:tr>
      <w:tr w:rsidR="003233A7" w:rsidRPr="003233A7" w14:paraId="1E724E34" w14:textId="77777777" w:rsidTr="00993D49">
        <w:trPr>
          <w:cantSplit/>
        </w:trPr>
        <w:tc>
          <w:tcPr>
            <w:tcW w:w="1136" w:type="pct"/>
            <w:tcBorders>
              <w:top w:val="single" w:sz="4" w:space="0" w:color="auto"/>
              <w:bottom w:val="single" w:sz="4" w:space="0" w:color="auto"/>
            </w:tcBorders>
          </w:tcPr>
          <w:p w14:paraId="535CA128" w14:textId="77777777" w:rsidR="003233A7" w:rsidRPr="003233A7" w:rsidRDefault="003233A7" w:rsidP="003233A7">
            <w:pPr>
              <w:pStyle w:val="Tabletext"/>
            </w:pPr>
            <w:r w:rsidRPr="003233A7">
              <w:t>42</w:t>
            </w:r>
          </w:p>
        </w:tc>
        <w:tc>
          <w:tcPr>
            <w:tcW w:w="966" w:type="pct"/>
            <w:tcBorders>
              <w:top w:val="single" w:sz="4" w:space="0" w:color="auto"/>
              <w:bottom w:val="single" w:sz="4" w:space="0" w:color="auto"/>
            </w:tcBorders>
            <w:shd w:val="clear" w:color="auto" w:fill="auto"/>
            <w:vAlign w:val="bottom"/>
          </w:tcPr>
          <w:p w14:paraId="239F4E41" w14:textId="77777777" w:rsidR="003233A7" w:rsidRPr="003233A7" w:rsidRDefault="003233A7" w:rsidP="003233A7">
            <w:pPr>
              <w:pStyle w:val="Tabletext"/>
            </w:pPr>
            <w:r w:rsidRPr="003233A7">
              <w:t>22</w:t>
            </w:r>
            <w:r w:rsidR="00D7157D">
              <w:t>.</w:t>
            </w:r>
            <w:r w:rsidRPr="003233A7">
              <w:t>7315</w:t>
            </w:r>
          </w:p>
        </w:tc>
        <w:tc>
          <w:tcPr>
            <w:tcW w:w="966" w:type="pct"/>
            <w:tcBorders>
              <w:top w:val="single" w:sz="4" w:space="0" w:color="auto"/>
              <w:bottom w:val="single" w:sz="4" w:space="0" w:color="auto"/>
            </w:tcBorders>
            <w:shd w:val="clear" w:color="auto" w:fill="auto"/>
            <w:vAlign w:val="bottom"/>
          </w:tcPr>
          <w:p w14:paraId="3189DB79" w14:textId="77777777" w:rsidR="003233A7" w:rsidRPr="003233A7" w:rsidRDefault="003233A7" w:rsidP="003233A7">
            <w:pPr>
              <w:pStyle w:val="Tabletext"/>
            </w:pPr>
            <w:r w:rsidRPr="003233A7">
              <w:t>3</w:t>
            </w:r>
            <w:r w:rsidR="00D7157D">
              <w:t>.</w:t>
            </w:r>
            <w:r w:rsidRPr="003233A7">
              <w:t>6043</w:t>
            </w:r>
          </w:p>
        </w:tc>
        <w:tc>
          <w:tcPr>
            <w:tcW w:w="966" w:type="pct"/>
            <w:tcBorders>
              <w:top w:val="single" w:sz="4" w:space="0" w:color="auto"/>
              <w:bottom w:val="single" w:sz="4" w:space="0" w:color="auto"/>
            </w:tcBorders>
            <w:shd w:val="clear" w:color="auto" w:fill="auto"/>
            <w:vAlign w:val="bottom"/>
          </w:tcPr>
          <w:p w14:paraId="10B56BDB" w14:textId="77777777" w:rsidR="003233A7" w:rsidRPr="003233A7" w:rsidRDefault="003233A7" w:rsidP="003233A7">
            <w:pPr>
              <w:pStyle w:val="Tabletext"/>
            </w:pPr>
            <w:r w:rsidRPr="003233A7">
              <w:t>24</w:t>
            </w:r>
            <w:r w:rsidR="00D7157D">
              <w:t>.</w:t>
            </w:r>
            <w:r w:rsidRPr="003233A7">
              <w:t>2563</w:t>
            </w:r>
          </w:p>
        </w:tc>
        <w:tc>
          <w:tcPr>
            <w:tcW w:w="966" w:type="pct"/>
            <w:tcBorders>
              <w:top w:val="single" w:sz="4" w:space="0" w:color="auto"/>
              <w:bottom w:val="single" w:sz="4" w:space="0" w:color="auto"/>
              <w:right w:val="nil"/>
            </w:tcBorders>
            <w:shd w:val="clear" w:color="auto" w:fill="auto"/>
            <w:vAlign w:val="bottom"/>
          </w:tcPr>
          <w:p w14:paraId="1AF75B32" w14:textId="77777777" w:rsidR="003233A7" w:rsidRPr="003233A7" w:rsidRDefault="003233A7" w:rsidP="003233A7">
            <w:pPr>
              <w:pStyle w:val="Tabletext"/>
            </w:pPr>
            <w:r w:rsidRPr="003233A7">
              <w:t>1</w:t>
            </w:r>
            <w:r w:rsidR="00D7157D">
              <w:t>.</w:t>
            </w:r>
            <w:r w:rsidRPr="003233A7">
              <w:t>6023</w:t>
            </w:r>
          </w:p>
        </w:tc>
      </w:tr>
      <w:tr w:rsidR="003233A7" w:rsidRPr="003233A7" w14:paraId="32A9BDFB" w14:textId="77777777" w:rsidTr="00993D49">
        <w:trPr>
          <w:cantSplit/>
        </w:trPr>
        <w:tc>
          <w:tcPr>
            <w:tcW w:w="1136" w:type="pct"/>
            <w:tcBorders>
              <w:top w:val="single" w:sz="4" w:space="0" w:color="auto"/>
              <w:bottom w:val="single" w:sz="4" w:space="0" w:color="auto"/>
            </w:tcBorders>
          </w:tcPr>
          <w:p w14:paraId="222EEDD8" w14:textId="77777777" w:rsidR="003233A7" w:rsidRPr="003233A7" w:rsidRDefault="003233A7" w:rsidP="003233A7">
            <w:pPr>
              <w:pStyle w:val="Tabletext"/>
            </w:pPr>
            <w:r w:rsidRPr="003233A7">
              <w:t>43</w:t>
            </w:r>
          </w:p>
        </w:tc>
        <w:tc>
          <w:tcPr>
            <w:tcW w:w="966" w:type="pct"/>
            <w:tcBorders>
              <w:top w:val="single" w:sz="4" w:space="0" w:color="auto"/>
              <w:bottom w:val="single" w:sz="4" w:space="0" w:color="auto"/>
            </w:tcBorders>
            <w:shd w:val="clear" w:color="auto" w:fill="auto"/>
            <w:vAlign w:val="bottom"/>
          </w:tcPr>
          <w:p w14:paraId="7D673FD9" w14:textId="77777777" w:rsidR="003233A7" w:rsidRPr="003233A7" w:rsidRDefault="003233A7" w:rsidP="003233A7">
            <w:pPr>
              <w:pStyle w:val="Tabletext"/>
            </w:pPr>
            <w:r w:rsidRPr="003233A7">
              <w:t>22</w:t>
            </w:r>
            <w:r w:rsidR="00D7157D">
              <w:t>.</w:t>
            </w:r>
            <w:r w:rsidRPr="003233A7">
              <w:t>3898</w:t>
            </w:r>
          </w:p>
        </w:tc>
        <w:tc>
          <w:tcPr>
            <w:tcW w:w="966" w:type="pct"/>
            <w:tcBorders>
              <w:top w:val="single" w:sz="4" w:space="0" w:color="auto"/>
              <w:bottom w:val="single" w:sz="4" w:space="0" w:color="auto"/>
            </w:tcBorders>
            <w:shd w:val="clear" w:color="auto" w:fill="auto"/>
            <w:vAlign w:val="bottom"/>
          </w:tcPr>
          <w:p w14:paraId="7D095380" w14:textId="77777777" w:rsidR="003233A7" w:rsidRPr="003233A7" w:rsidRDefault="003233A7" w:rsidP="003233A7">
            <w:pPr>
              <w:pStyle w:val="Tabletext"/>
            </w:pPr>
            <w:r w:rsidRPr="003233A7">
              <w:t>3</w:t>
            </w:r>
            <w:r w:rsidR="00D7157D">
              <w:t>.</w:t>
            </w:r>
            <w:r w:rsidRPr="003233A7">
              <w:t>5212</w:t>
            </w:r>
          </w:p>
        </w:tc>
        <w:tc>
          <w:tcPr>
            <w:tcW w:w="966" w:type="pct"/>
            <w:tcBorders>
              <w:top w:val="single" w:sz="4" w:space="0" w:color="auto"/>
              <w:bottom w:val="single" w:sz="4" w:space="0" w:color="auto"/>
            </w:tcBorders>
            <w:shd w:val="clear" w:color="auto" w:fill="auto"/>
            <w:vAlign w:val="bottom"/>
          </w:tcPr>
          <w:p w14:paraId="69D55673" w14:textId="77777777" w:rsidR="003233A7" w:rsidRPr="003233A7" w:rsidRDefault="003233A7" w:rsidP="003233A7">
            <w:pPr>
              <w:pStyle w:val="Tabletext"/>
            </w:pPr>
            <w:r w:rsidRPr="003233A7">
              <w:t>23</w:t>
            </w:r>
            <w:r w:rsidR="00D7157D">
              <w:t>.</w:t>
            </w:r>
            <w:r w:rsidRPr="003233A7">
              <w:t>9287</w:t>
            </w:r>
          </w:p>
        </w:tc>
        <w:tc>
          <w:tcPr>
            <w:tcW w:w="966" w:type="pct"/>
            <w:tcBorders>
              <w:top w:val="single" w:sz="4" w:space="0" w:color="auto"/>
              <w:bottom w:val="single" w:sz="4" w:space="0" w:color="auto"/>
              <w:right w:val="nil"/>
            </w:tcBorders>
            <w:shd w:val="clear" w:color="auto" w:fill="auto"/>
            <w:vAlign w:val="bottom"/>
          </w:tcPr>
          <w:p w14:paraId="38626AD8" w14:textId="77777777" w:rsidR="003233A7" w:rsidRPr="003233A7" w:rsidRDefault="003233A7" w:rsidP="003233A7">
            <w:pPr>
              <w:pStyle w:val="Tabletext"/>
            </w:pPr>
            <w:r w:rsidRPr="003233A7">
              <w:t>1</w:t>
            </w:r>
            <w:r w:rsidR="00D7157D">
              <w:t>.</w:t>
            </w:r>
            <w:r w:rsidRPr="003233A7">
              <w:t>5102</w:t>
            </w:r>
          </w:p>
        </w:tc>
      </w:tr>
      <w:tr w:rsidR="003233A7" w:rsidRPr="003233A7" w14:paraId="53CA3187" w14:textId="77777777" w:rsidTr="00993D49">
        <w:trPr>
          <w:cantSplit/>
        </w:trPr>
        <w:tc>
          <w:tcPr>
            <w:tcW w:w="1136" w:type="pct"/>
            <w:tcBorders>
              <w:top w:val="single" w:sz="4" w:space="0" w:color="auto"/>
              <w:bottom w:val="single" w:sz="4" w:space="0" w:color="auto"/>
            </w:tcBorders>
          </w:tcPr>
          <w:p w14:paraId="34EA1409" w14:textId="77777777" w:rsidR="003233A7" w:rsidRPr="003233A7" w:rsidRDefault="003233A7" w:rsidP="003233A7">
            <w:pPr>
              <w:pStyle w:val="Tabletext"/>
            </w:pPr>
            <w:r w:rsidRPr="003233A7">
              <w:t>44</w:t>
            </w:r>
          </w:p>
        </w:tc>
        <w:tc>
          <w:tcPr>
            <w:tcW w:w="966" w:type="pct"/>
            <w:tcBorders>
              <w:top w:val="single" w:sz="4" w:space="0" w:color="auto"/>
              <w:bottom w:val="single" w:sz="4" w:space="0" w:color="auto"/>
            </w:tcBorders>
            <w:shd w:val="clear" w:color="auto" w:fill="auto"/>
            <w:vAlign w:val="bottom"/>
          </w:tcPr>
          <w:p w14:paraId="130F6C8C" w14:textId="77777777" w:rsidR="003233A7" w:rsidRPr="003233A7" w:rsidRDefault="003233A7" w:rsidP="003233A7">
            <w:pPr>
              <w:pStyle w:val="Tabletext"/>
            </w:pPr>
            <w:r w:rsidRPr="003233A7">
              <w:t>22</w:t>
            </w:r>
            <w:r w:rsidR="00D7157D">
              <w:t>.</w:t>
            </w:r>
            <w:r w:rsidRPr="003233A7">
              <w:t>0419</w:t>
            </w:r>
          </w:p>
        </w:tc>
        <w:tc>
          <w:tcPr>
            <w:tcW w:w="966" w:type="pct"/>
            <w:tcBorders>
              <w:top w:val="single" w:sz="4" w:space="0" w:color="auto"/>
              <w:bottom w:val="single" w:sz="4" w:space="0" w:color="auto"/>
            </w:tcBorders>
            <w:shd w:val="clear" w:color="auto" w:fill="auto"/>
            <w:vAlign w:val="bottom"/>
          </w:tcPr>
          <w:p w14:paraId="51C3F114" w14:textId="77777777" w:rsidR="003233A7" w:rsidRPr="003233A7" w:rsidRDefault="003233A7" w:rsidP="003233A7">
            <w:pPr>
              <w:pStyle w:val="Tabletext"/>
            </w:pPr>
            <w:r w:rsidRPr="003233A7">
              <w:t>3</w:t>
            </w:r>
            <w:r w:rsidR="00D7157D">
              <w:t>.</w:t>
            </w:r>
            <w:r w:rsidRPr="003233A7">
              <w:t>4345</w:t>
            </w:r>
          </w:p>
        </w:tc>
        <w:tc>
          <w:tcPr>
            <w:tcW w:w="966" w:type="pct"/>
            <w:tcBorders>
              <w:top w:val="single" w:sz="4" w:space="0" w:color="auto"/>
              <w:bottom w:val="single" w:sz="4" w:space="0" w:color="auto"/>
            </w:tcBorders>
            <w:shd w:val="clear" w:color="auto" w:fill="auto"/>
            <w:vAlign w:val="bottom"/>
          </w:tcPr>
          <w:p w14:paraId="65046B46" w14:textId="77777777" w:rsidR="003233A7" w:rsidRPr="003233A7" w:rsidRDefault="003233A7" w:rsidP="003233A7">
            <w:pPr>
              <w:pStyle w:val="Tabletext"/>
            </w:pPr>
            <w:r w:rsidRPr="003233A7">
              <w:t>23</w:t>
            </w:r>
            <w:r w:rsidR="00D7157D">
              <w:t>.</w:t>
            </w:r>
            <w:r w:rsidRPr="003233A7">
              <w:t>5942</w:t>
            </w:r>
          </w:p>
        </w:tc>
        <w:tc>
          <w:tcPr>
            <w:tcW w:w="966" w:type="pct"/>
            <w:tcBorders>
              <w:top w:val="single" w:sz="4" w:space="0" w:color="auto"/>
              <w:bottom w:val="single" w:sz="4" w:space="0" w:color="auto"/>
              <w:right w:val="nil"/>
            </w:tcBorders>
            <w:shd w:val="clear" w:color="auto" w:fill="auto"/>
            <w:vAlign w:val="bottom"/>
          </w:tcPr>
          <w:p w14:paraId="7594428E" w14:textId="77777777" w:rsidR="003233A7" w:rsidRPr="003233A7" w:rsidRDefault="003233A7" w:rsidP="003233A7">
            <w:pPr>
              <w:pStyle w:val="Tabletext"/>
            </w:pPr>
            <w:r w:rsidRPr="003233A7">
              <w:t>1</w:t>
            </w:r>
            <w:r w:rsidR="00D7157D">
              <w:t>.</w:t>
            </w:r>
            <w:r w:rsidRPr="003233A7">
              <w:t>4155</w:t>
            </w:r>
          </w:p>
        </w:tc>
      </w:tr>
      <w:tr w:rsidR="003233A7" w:rsidRPr="003233A7" w14:paraId="14572071" w14:textId="77777777" w:rsidTr="00993D49">
        <w:trPr>
          <w:cantSplit/>
        </w:trPr>
        <w:tc>
          <w:tcPr>
            <w:tcW w:w="1136" w:type="pct"/>
            <w:tcBorders>
              <w:top w:val="single" w:sz="4" w:space="0" w:color="auto"/>
              <w:bottom w:val="single" w:sz="4" w:space="0" w:color="auto"/>
            </w:tcBorders>
          </w:tcPr>
          <w:p w14:paraId="0EDAF046" w14:textId="77777777" w:rsidR="003233A7" w:rsidRPr="003233A7" w:rsidRDefault="003233A7" w:rsidP="003233A7">
            <w:pPr>
              <w:pStyle w:val="Tabletext"/>
            </w:pPr>
            <w:r w:rsidRPr="003233A7">
              <w:t>45</w:t>
            </w:r>
          </w:p>
        </w:tc>
        <w:tc>
          <w:tcPr>
            <w:tcW w:w="966" w:type="pct"/>
            <w:tcBorders>
              <w:top w:val="single" w:sz="4" w:space="0" w:color="auto"/>
              <w:bottom w:val="single" w:sz="4" w:space="0" w:color="auto"/>
            </w:tcBorders>
            <w:shd w:val="clear" w:color="auto" w:fill="auto"/>
            <w:vAlign w:val="bottom"/>
          </w:tcPr>
          <w:p w14:paraId="004053F2" w14:textId="77777777" w:rsidR="003233A7" w:rsidRPr="003233A7" w:rsidRDefault="003233A7" w:rsidP="003233A7">
            <w:pPr>
              <w:pStyle w:val="Tabletext"/>
            </w:pPr>
            <w:r w:rsidRPr="003233A7">
              <w:t>21</w:t>
            </w:r>
            <w:r w:rsidR="00D7157D">
              <w:t>.</w:t>
            </w:r>
            <w:r w:rsidRPr="003233A7">
              <w:t>6874</w:t>
            </w:r>
          </w:p>
        </w:tc>
        <w:tc>
          <w:tcPr>
            <w:tcW w:w="966" w:type="pct"/>
            <w:tcBorders>
              <w:top w:val="single" w:sz="4" w:space="0" w:color="auto"/>
              <w:bottom w:val="single" w:sz="4" w:space="0" w:color="auto"/>
            </w:tcBorders>
            <w:shd w:val="clear" w:color="auto" w:fill="auto"/>
            <w:vAlign w:val="bottom"/>
          </w:tcPr>
          <w:p w14:paraId="3EE12C54" w14:textId="77777777" w:rsidR="003233A7" w:rsidRPr="003233A7" w:rsidRDefault="003233A7" w:rsidP="003233A7">
            <w:pPr>
              <w:pStyle w:val="Tabletext"/>
            </w:pPr>
            <w:r w:rsidRPr="003233A7">
              <w:t>3</w:t>
            </w:r>
            <w:r w:rsidR="00D7157D">
              <w:t>.</w:t>
            </w:r>
            <w:r w:rsidRPr="003233A7">
              <w:t>3443</w:t>
            </w:r>
          </w:p>
        </w:tc>
        <w:tc>
          <w:tcPr>
            <w:tcW w:w="966" w:type="pct"/>
            <w:tcBorders>
              <w:top w:val="single" w:sz="4" w:space="0" w:color="auto"/>
              <w:bottom w:val="single" w:sz="4" w:space="0" w:color="auto"/>
            </w:tcBorders>
            <w:shd w:val="clear" w:color="auto" w:fill="auto"/>
            <w:vAlign w:val="bottom"/>
          </w:tcPr>
          <w:p w14:paraId="5F6E5BF2" w14:textId="77777777" w:rsidR="003233A7" w:rsidRPr="003233A7" w:rsidRDefault="003233A7" w:rsidP="003233A7">
            <w:pPr>
              <w:pStyle w:val="Tabletext"/>
            </w:pPr>
            <w:r w:rsidRPr="003233A7">
              <w:t>23</w:t>
            </w:r>
            <w:r w:rsidR="00D7157D">
              <w:t>.</w:t>
            </w:r>
            <w:r w:rsidRPr="003233A7">
              <w:t>2528</w:t>
            </w:r>
          </w:p>
        </w:tc>
        <w:tc>
          <w:tcPr>
            <w:tcW w:w="966" w:type="pct"/>
            <w:tcBorders>
              <w:top w:val="single" w:sz="4" w:space="0" w:color="auto"/>
              <w:bottom w:val="single" w:sz="4" w:space="0" w:color="auto"/>
              <w:right w:val="nil"/>
            </w:tcBorders>
            <w:shd w:val="clear" w:color="auto" w:fill="auto"/>
            <w:vAlign w:val="bottom"/>
          </w:tcPr>
          <w:p w14:paraId="27CA3B71" w14:textId="77777777" w:rsidR="003233A7" w:rsidRPr="003233A7" w:rsidRDefault="003233A7" w:rsidP="003233A7">
            <w:pPr>
              <w:pStyle w:val="Tabletext"/>
            </w:pPr>
            <w:r w:rsidRPr="003233A7">
              <w:t>1</w:t>
            </w:r>
            <w:r w:rsidR="00D7157D">
              <w:t>.</w:t>
            </w:r>
            <w:r w:rsidRPr="003233A7">
              <w:t>3180</w:t>
            </w:r>
          </w:p>
        </w:tc>
      </w:tr>
      <w:tr w:rsidR="003233A7" w:rsidRPr="003233A7" w14:paraId="42D5CD2B" w14:textId="77777777" w:rsidTr="00993D49">
        <w:trPr>
          <w:cantSplit/>
        </w:trPr>
        <w:tc>
          <w:tcPr>
            <w:tcW w:w="1136" w:type="pct"/>
            <w:tcBorders>
              <w:top w:val="single" w:sz="4" w:space="0" w:color="auto"/>
              <w:bottom w:val="single" w:sz="4" w:space="0" w:color="auto"/>
            </w:tcBorders>
          </w:tcPr>
          <w:p w14:paraId="6D843FFA" w14:textId="77777777" w:rsidR="003233A7" w:rsidRPr="003233A7" w:rsidRDefault="003233A7" w:rsidP="003233A7">
            <w:pPr>
              <w:pStyle w:val="Tabletext"/>
            </w:pPr>
            <w:r w:rsidRPr="003233A7">
              <w:t>46</w:t>
            </w:r>
          </w:p>
        </w:tc>
        <w:tc>
          <w:tcPr>
            <w:tcW w:w="966" w:type="pct"/>
            <w:tcBorders>
              <w:top w:val="single" w:sz="4" w:space="0" w:color="auto"/>
              <w:bottom w:val="single" w:sz="4" w:space="0" w:color="auto"/>
            </w:tcBorders>
            <w:shd w:val="clear" w:color="auto" w:fill="auto"/>
            <w:vAlign w:val="bottom"/>
          </w:tcPr>
          <w:p w14:paraId="05974B1E" w14:textId="77777777" w:rsidR="003233A7" w:rsidRPr="003233A7" w:rsidRDefault="003233A7" w:rsidP="003233A7">
            <w:pPr>
              <w:pStyle w:val="Tabletext"/>
            </w:pPr>
            <w:r w:rsidRPr="003233A7">
              <w:t>21</w:t>
            </w:r>
            <w:r w:rsidR="00D7157D">
              <w:t>.</w:t>
            </w:r>
            <w:r w:rsidRPr="003233A7">
              <w:t>3264</w:t>
            </w:r>
          </w:p>
        </w:tc>
        <w:tc>
          <w:tcPr>
            <w:tcW w:w="966" w:type="pct"/>
            <w:tcBorders>
              <w:top w:val="single" w:sz="4" w:space="0" w:color="auto"/>
              <w:bottom w:val="single" w:sz="4" w:space="0" w:color="auto"/>
            </w:tcBorders>
            <w:shd w:val="clear" w:color="auto" w:fill="auto"/>
            <w:vAlign w:val="bottom"/>
          </w:tcPr>
          <w:p w14:paraId="18296397" w14:textId="77777777" w:rsidR="003233A7" w:rsidRPr="003233A7" w:rsidRDefault="003233A7" w:rsidP="003233A7">
            <w:pPr>
              <w:pStyle w:val="Tabletext"/>
            </w:pPr>
            <w:r w:rsidRPr="003233A7">
              <w:t>3</w:t>
            </w:r>
            <w:r w:rsidR="00D7157D">
              <w:t>.</w:t>
            </w:r>
            <w:r w:rsidRPr="003233A7">
              <w:t>2504</w:t>
            </w:r>
          </w:p>
        </w:tc>
        <w:tc>
          <w:tcPr>
            <w:tcW w:w="966" w:type="pct"/>
            <w:tcBorders>
              <w:top w:val="single" w:sz="4" w:space="0" w:color="auto"/>
              <w:bottom w:val="single" w:sz="4" w:space="0" w:color="auto"/>
            </w:tcBorders>
            <w:shd w:val="clear" w:color="auto" w:fill="auto"/>
            <w:vAlign w:val="bottom"/>
          </w:tcPr>
          <w:p w14:paraId="06DE5959" w14:textId="77777777" w:rsidR="003233A7" w:rsidRPr="003233A7" w:rsidRDefault="003233A7" w:rsidP="003233A7">
            <w:pPr>
              <w:pStyle w:val="Tabletext"/>
            </w:pPr>
            <w:r w:rsidRPr="003233A7">
              <w:t>22</w:t>
            </w:r>
            <w:r w:rsidR="00D7157D">
              <w:t>.</w:t>
            </w:r>
            <w:r w:rsidRPr="003233A7">
              <w:t>9045</w:t>
            </w:r>
          </w:p>
        </w:tc>
        <w:tc>
          <w:tcPr>
            <w:tcW w:w="966" w:type="pct"/>
            <w:tcBorders>
              <w:top w:val="single" w:sz="4" w:space="0" w:color="auto"/>
              <w:bottom w:val="single" w:sz="4" w:space="0" w:color="auto"/>
              <w:right w:val="nil"/>
            </w:tcBorders>
            <w:shd w:val="clear" w:color="auto" w:fill="auto"/>
            <w:vAlign w:val="bottom"/>
          </w:tcPr>
          <w:p w14:paraId="1B16555F" w14:textId="77777777" w:rsidR="003233A7" w:rsidRPr="003233A7" w:rsidRDefault="003233A7" w:rsidP="003233A7">
            <w:pPr>
              <w:pStyle w:val="Tabletext"/>
            </w:pPr>
            <w:r w:rsidRPr="003233A7">
              <w:t>1</w:t>
            </w:r>
            <w:r w:rsidR="00D7157D">
              <w:t>.</w:t>
            </w:r>
            <w:r w:rsidRPr="003233A7">
              <w:t>2179</w:t>
            </w:r>
          </w:p>
        </w:tc>
      </w:tr>
      <w:tr w:rsidR="003233A7" w:rsidRPr="003233A7" w14:paraId="16D0B914" w14:textId="77777777" w:rsidTr="00993D49">
        <w:trPr>
          <w:cantSplit/>
        </w:trPr>
        <w:tc>
          <w:tcPr>
            <w:tcW w:w="1136" w:type="pct"/>
            <w:tcBorders>
              <w:top w:val="single" w:sz="4" w:space="0" w:color="auto"/>
              <w:bottom w:val="single" w:sz="4" w:space="0" w:color="auto"/>
            </w:tcBorders>
          </w:tcPr>
          <w:p w14:paraId="1F2CB22E" w14:textId="77777777" w:rsidR="003233A7" w:rsidRPr="003233A7" w:rsidRDefault="003233A7" w:rsidP="003233A7">
            <w:pPr>
              <w:pStyle w:val="Tabletext"/>
            </w:pPr>
            <w:r w:rsidRPr="003233A7">
              <w:t>47</w:t>
            </w:r>
          </w:p>
        </w:tc>
        <w:tc>
          <w:tcPr>
            <w:tcW w:w="966" w:type="pct"/>
            <w:tcBorders>
              <w:top w:val="single" w:sz="4" w:space="0" w:color="auto"/>
              <w:bottom w:val="single" w:sz="4" w:space="0" w:color="auto"/>
            </w:tcBorders>
            <w:shd w:val="clear" w:color="auto" w:fill="auto"/>
            <w:vAlign w:val="bottom"/>
          </w:tcPr>
          <w:p w14:paraId="10BC5419" w14:textId="77777777" w:rsidR="003233A7" w:rsidRPr="003233A7" w:rsidRDefault="003233A7" w:rsidP="003233A7">
            <w:pPr>
              <w:pStyle w:val="Tabletext"/>
            </w:pPr>
            <w:r w:rsidRPr="003233A7">
              <w:t>20</w:t>
            </w:r>
            <w:r w:rsidR="00D7157D">
              <w:t>.</w:t>
            </w:r>
            <w:r w:rsidRPr="003233A7">
              <w:t>9591</w:t>
            </w:r>
          </w:p>
        </w:tc>
        <w:tc>
          <w:tcPr>
            <w:tcW w:w="966" w:type="pct"/>
            <w:tcBorders>
              <w:top w:val="single" w:sz="4" w:space="0" w:color="auto"/>
              <w:bottom w:val="single" w:sz="4" w:space="0" w:color="auto"/>
            </w:tcBorders>
            <w:shd w:val="clear" w:color="auto" w:fill="auto"/>
            <w:vAlign w:val="bottom"/>
          </w:tcPr>
          <w:p w14:paraId="23F2FE34" w14:textId="77777777" w:rsidR="003233A7" w:rsidRPr="003233A7" w:rsidRDefault="003233A7" w:rsidP="003233A7">
            <w:pPr>
              <w:pStyle w:val="Tabletext"/>
            </w:pPr>
            <w:r w:rsidRPr="003233A7">
              <w:t>3</w:t>
            </w:r>
            <w:r w:rsidR="00D7157D">
              <w:t>.</w:t>
            </w:r>
            <w:r w:rsidRPr="003233A7">
              <w:t>1527</w:t>
            </w:r>
          </w:p>
        </w:tc>
        <w:tc>
          <w:tcPr>
            <w:tcW w:w="966" w:type="pct"/>
            <w:tcBorders>
              <w:top w:val="single" w:sz="4" w:space="0" w:color="auto"/>
              <w:bottom w:val="single" w:sz="4" w:space="0" w:color="auto"/>
            </w:tcBorders>
            <w:shd w:val="clear" w:color="auto" w:fill="auto"/>
            <w:vAlign w:val="bottom"/>
          </w:tcPr>
          <w:p w14:paraId="3C0ED06E" w14:textId="77777777" w:rsidR="003233A7" w:rsidRPr="003233A7" w:rsidRDefault="003233A7" w:rsidP="003233A7">
            <w:pPr>
              <w:pStyle w:val="Tabletext"/>
            </w:pPr>
            <w:r w:rsidRPr="003233A7">
              <w:t>22</w:t>
            </w:r>
            <w:r w:rsidR="00D7157D">
              <w:t>.</w:t>
            </w:r>
            <w:r w:rsidRPr="003233A7">
              <w:t>5492</w:t>
            </w:r>
          </w:p>
        </w:tc>
        <w:tc>
          <w:tcPr>
            <w:tcW w:w="966" w:type="pct"/>
            <w:tcBorders>
              <w:top w:val="single" w:sz="4" w:space="0" w:color="auto"/>
              <w:bottom w:val="single" w:sz="4" w:space="0" w:color="auto"/>
              <w:right w:val="nil"/>
            </w:tcBorders>
            <w:shd w:val="clear" w:color="auto" w:fill="auto"/>
            <w:vAlign w:val="bottom"/>
          </w:tcPr>
          <w:p w14:paraId="1F5EE700" w14:textId="77777777" w:rsidR="003233A7" w:rsidRPr="003233A7" w:rsidRDefault="003233A7" w:rsidP="003233A7">
            <w:pPr>
              <w:pStyle w:val="Tabletext"/>
            </w:pPr>
            <w:r w:rsidRPr="003233A7">
              <w:t>1</w:t>
            </w:r>
            <w:r w:rsidR="00D7157D">
              <w:t>.</w:t>
            </w:r>
            <w:r w:rsidRPr="003233A7">
              <w:t>1151</w:t>
            </w:r>
          </w:p>
        </w:tc>
      </w:tr>
      <w:tr w:rsidR="003233A7" w:rsidRPr="003233A7" w14:paraId="221E18FE" w14:textId="77777777" w:rsidTr="00993D49">
        <w:trPr>
          <w:cantSplit/>
        </w:trPr>
        <w:tc>
          <w:tcPr>
            <w:tcW w:w="1136" w:type="pct"/>
            <w:tcBorders>
              <w:top w:val="single" w:sz="4" w:space="0" w:color="auto"/>
              <w:bottom w:val="single" w:sz="4" w:space="0" w:color="auto"/>
            </w:tcBorders>
          </w:tcPr>
          <w:p w14:paraId="6058F214" w14:textId="77777777" w:rsidR="003233A7" w:rsidRPr="003233A7" w:rsidRDefault="003233A7" w:rsidP="003233A7">
            <w:pPr>
              <w:pStyle w:val="Tabletext"/>
            </w:pPr>
            <w:r w:rsidRPr="003233A7">
              <w:t>48</w:t>
            </w:r>
          </w:p>
        </w:tc>
        <w:tc>
          <w:tcPr>
            <w:tcW w:w="966" w:type="pct"/>
            <w:tcBorders>
              <w:top w:val="single" w:sz="4" w:space="0" w:color="auto"/>
              <w:bottom w:val="single" w:sz="4" w:space="0" w:color="auto"/>
            </w:tcBorders>
            <w:shd w:val="clear" w:color="auto" w:fill="auto"/>
            <w:vAlign w:val="bottom"/>
          </w:tcPr>
          <w:p w14:paraId="4F4BE3D9" w14:textId="77777777" w:rsidR="003233A7" w:rsidRPr="003233A7" w:rsidRDefault="003233A7" w:rsidP="003233A7">
            <w:pPr>
              <w:pStyle w:val="Tabletext"/>
            </w:pPr>
            <w:r w:rsidRPr="003233A7">
              <w:t>20</w:t>
            </w:r>
            <w:r w:rsidR="00D7157D">
              <w:t>.</w:t>
            </w:r>
            <w:r w:rsidRPr="003233A7">
              <w:t>5855</w:t>
            </w:r>
          </w:p>
        </w:tc>
        <w:tc>
          <w:tcPr>
            <w:tcW w:w="966" w:type="pct"/>
            <w:tcBorders>
              <w:top w:val="single" w:sz="4" w:space="0" w:color="auto"/>
              <w:bottom w:val="single" w:sz="4" w:space="0" w:color="auto"/>
            </w:tcBorders>
            <w:shd w:val="clear" w:color="auto" w:fill="auto"/>
            <w:vAlign w:val="bottom"/>
          </w:tcPr>
          <w:p w14:paraId="2D70DBF7" w14:textId="77777777" w:rsidR="003233A7" w:rsidRPr="003233A7" w:rsidRDefault="003233A7" w:rsidP="003233A7">
            <w:pPr>
              <w:pStyle w:val="Tabletext"/>
            </w:pPr>
            <w:r w:rsidRPr="003233A7">
              <w:t>3</w:t>
            </w:r>
            <w:r w:rsidR="00D7157D">
              <w:t>.</w:t>
            </w:r>
            <w:r w:rsidRPr="003233A7">
              <w:t>0513</w:t>
            </w:r>
          </w:p>
        </w:tc>
        <w:tc>
          <w:tcPr>
            <w:tcW w:w="966" w:type="pct"/>
            <w:tcBorders>
              <w:top w:val="single" w:sz="4" w:space="0" w:color="auto"/>
              <w:bottom w:val="single" w:sz="4" w:space="0" w:color="auto"/>
            </w:tcBorders>
            <w:shd w:val="clear" w:color="auto" w:fill="auto"/>
            <w:vAlign w:val="bottom"/>
          </w:tcPr>
          <w:p w14:paraId="5DB36E4B" w14:textId="77777777" w:rsidR="003233A7" w:rsidRPr="003233A7" w:rsidRDefault="003233A7" w:rsidP="003233A7">
            <w:pPr>
              <w:pStyle w:val="Tabletext"/>
            </w:pPr>
            <w:r w:rsidRPr="003233A7">
              <w:t>22</w:t>
            </w:r>
            <w:r w:rsidR="00D7157D">
              <w:t>.</w:t>
            </w:r>
            <w:r w:rsidRPr="003233A7">
              <w:t>1869</w:t>
            </w:r>
          </w:p>
        </w:tc>
        <w:tc>
          <w:tcPr>
            <w:tcW w:w="966" w:type="pct"/>
            <w:tcBorders>
              <w:top w:val="single" w:sz="4" w:space="0" w:color="auto"/>
              <w:bottom w:val="single" w:sz="4" w:space="0" w:color="auto"/>
              <w:right w:val="nil"/>
            </w:tcBorders>
            <w:shd w:val="clear" w:color="auto" w:fill="auto"/>
            <w:vAlign w:val="bottom"/>
          </w:tcPr>
          <w:p w14:paraId="479B0BBC" w14:textId="77777777" w:rsidR="003233A7" w:rsidRPr="003233A7" w:rsidRDefault="003233A7" w:rsidP="003233A7">
            <w:pPr>
              <w:pStyle w:val="Tabletext"/>
            </w:pPr>
            <w:r w:rsidRPr="003233A7">
              <w:t>1</w:t>
            </w:r>
            <w:r w:rsidR="00D7157D">
              <w:t>.</w:t>
            </w:r>
            <w:r w:rsidRPr="003233A7">
              <w:t>0097</w:t>
            </w:r>
          </w:p>
        </w:tc>
      </w:tr>
      <w:tr w:rsidR="003233A7" w:rsidRPr="003233A7" w14:paraId="5176EBE4" w14:textId="77777777" w:rsidTr="00993D49">
        <w:trPr>
          <w:cantSplit/>
        </w:trPr>
        <w:tc>
          <w:tcPr>
            <w:tcW w:w="1136" w:type="pct"/>
            <w:tcBorders>
              <w:top w:val="single" w:sz="4" w:space="0" w:color="auto"/>
              <w:bottom w:val="single" w:sz="4" w:space="0" w:color="auto"/>
            </w:tcBorders>
          </w:tcPr>
          <w:p w14:paraId="77B19F1D" w14:textId="77777777" w:rsidR="003233A7" w:rsidRPr="003233A7" w:rsidRDefault="003233A7" w:rsidP="003233A7">
            <w:pPr>
              <w:pStyle w:val="Tabletext"/>
            </w:pPr>
            <w:r w:rsidRPr="003233A7">
              <w:t>49</w:t>
            </w:r>
          </w:p>
        </w:tc>
        <w:tc>
          <w:tcPr>
            <w:tcW w:w="966" w:type="pct"/>
            <w:tcBorders>
              <w:top w:val="single" w:sz="4" w:space="0" w:color="auto"/>
              <w:bottom w:val="single" w:sz="4" w:space="0" w:color="auto"/>
            </w:tcBorders>
            <w:shd w:val="clear" w:color="auto" w:fill="auto"/>
            <w:vAlign w:val="bottom"/>
          </w:tcPr>
          <w:p w14:paraId="74320961" w14:textId="77777777" w:rsidR="003233A7" w:rsidRPr="003233A7" w:rsidRDefault="003233A7" w:rsidP="003233A7">
            <w:pPr>
              <w:pStyle w:val="Tabletext"/>
            </w:pPr>
            <w:r w:rsidRPr="003233A7">
              <w:t>20</w:t>
            </w:r>
            <w:r w:rsidR="00D7157D">
              <w:t>.</w:t>
            </w:r>
            <w:r w:rsidRPr="003233A7">
              <w:t>2054</w:t>
            </w:r>
          </w:p>
        </w:tc>
        <w:tc>
          <w:tcPr>
            <w:tcW w:w="966" w:type="pct"/>
            <w:tcBorders>
              <w:top w:val="single" w:sz="4" w:space="0" w:color="auto"/>
              <w:bottom w:val="single" w:sz="4" w:space="0" w:color="auto"/>
            </w:tcBorders>
            <w:shd w:val="clear" w:color="auto" w:fill="auto"/>
            <w:vAlign w:val="bottom"/>
          </w:tcPr>
          <w:p w14:paraId="3E9EB32B" w14:textId="77777777" w:rsidR="003233A7" w:rsidRPr="003233A7" w:rsidRDefault="003233A7" w:rsidP="003233A7">
            <w:pPr>
              <w:pStyle w:val="Tabletext"/>
            </w:pPr>
            <w:r w:rsidRPr="003233A7">
              <w:t>2</w:t>
            </w:r>
            <w:r w:rsidR="00D7157D">
              <w:t>.</w:t>
            </w:r>
            <w:r w:rsidRPr="003233A7">
              <w:t>9461</w:t>
            </w:r>
          </w:p>
        </w:tc>
        <w:tc>
          <w:tcPr>
            <w:tcW w:w="966" w:type="pct"/>
            <w:tcBorders>
              <w:top w:val="single" w:sz="4" w:space="0" w:color="auto"/>
              <w:bottom w:val="single" w:sz="4" w:space="0" w:color="auto"/>
            </w:tcBorders>
            <w:shd w:val="clear" w:color="auto" w:fill="auto"/>
            <w:vAlign w:val="bottom"/>
          </w:tcPr>
          <w:p w14:paraId="694C45DF" w14:textId="77777777" w:rsidR="003233A7" w:rsidRPr="003233A7" w:rsidRDefault="003233A7" w:rsidP="003233A7">
            <w:pPr>
              <w:pStyle w:val="Tabletext"/>
            </w:pPr>
            <w:r w:rsidRPr="003233A7">
              <w:t>21</w:t>
            </w:r>
            <w:r w:rsidR="00D7157D">
              <w:t>.</w:t>
            </w:r>
            <w:r w:rsidRPr="003233A7">
              <w:t>8175</w:t>
            </w:r>
          </w:p>
        </w:tc>
        <w:tc>
          <w:tcPr>
            <w:tcW w:w="966" w:type="pct"/>
            <w:tcBorders>
              <w:top w:val="single" w:sz="4" w:space="0" w:color="auto"/>
              <w:bottom w:val="single" w:sz="4" w:space="0" w:color="auto"/>
              <w:right w:val="nil"/>
            </w:tcBorders>
            <w:shd w:val="clear" w:color="auto" w:fill="auto"/>
            <w:vAlign w:val="bottom"/>
          </w:tcPr>
          <w:p w14:paraId="2E216044" w14:textId="77777777" w:rsidR="003233A7" w:rsidRPr="003233A7" w:rsidRDefault="003233A7" w:rsidP="003233A7">
            <w:pPr>
              <w:pStyle w:val="Tabletext"/>
            </w:pPr>
            <w:r w:rsidRPr="003233A7">
              <w:t>0</w:t>
            </w:r>
            <w:r w:rsidR="00D7157D">
              <w:t>.</w:t>
            </w:r>
            <w:r w:rsidRPr="003233A7">
              <w:t>9018</w:t>
            </w:r>
          </w:p>
        </w:tc>
      </w:tr>
      <w:tr w:rsidR="003233A7" w:rsidRPr="003233A7" w14:paraId="04AD629B" w14:textId="77777777" w:rsidTr="00993D49">
        <w:trPr>
          <w:cantSplit/>
        </w:trPr>
        <w:tc>
          <w:tcPr>
            <w:tcW w:w="1136" w:type="pct"/>
            <w:tcBorders>
              <w:top w:val="single" w:sz="4" w:space="0" w:color="auto"/>
              <w:bottom w:val="single" w:sz="4" w:space="0" w:color="auto"/>
            </w:tcBorders>
          </w:tcPr>
          <w:p w14:paraId="5A4465D7" w14:textId="77777777" w:rsidR="003233A7" w:rsidRPr="003233A7" w:rsidRDefault="003233A7" w:rsidP="003233A7">
            <w:pPr>
              <w:pStyle w:val="Tabletext"/>
            </w:pPr>
            <w:r w:rsidRPr="003233A7">
              <w:t>50</w:t>
            </w:r>
          </w:p>
        </w:tc>
        <w:tc>
          <w:tcPr>
            <w:tcW w:w="966" w:type="pct"/>
            <w:tcBorders>
              <w:top w:val="single" w:sz="4" w:space="0" w:color="auto"/>
              <w:bottom w:val="single" w:sz="4" w:space="0" w:color="auto"/>
            </w:tcBorders>
            <w:shd w:val="clear" w:color="auto" w:fill="auto"/>
            <w:vAlign w:val="bottom"/>
          </w:tcPr>
          <w:p w14:paraId="0D03C50C" w14:textId="77777777" w:rsidR="003233A7" w:rsidRPr="003233A7" w:rsidRDefault="003233A7" w:rsidP="003233A7">
            <w:pPr>
              <w:pStyle w:val="Tabletext"/>
            </w:pPr>
            <w:r w:rsidRPr="003233A7">
              <w:t>19</w:t>
            </w:r>
            <w:r w:rsidR="00D7157D">
              <w:t>.</w:t>
            </w:r>
            <w:r w:rsidRPr="003233A7">
              <w:t>8194</w:t>
            </w:r>
          </w:p>
        </w:tc>
        <w:tc>
          <w:tcPr>
            <w:tcW w:w="966" w:type="pct"/>
            <w:tcBorders>
              <w:top w:val="single" w:sz="4" w:space="0" w:color="auto"/>
              <w:bottom w:val="single" w:sz="4" w:space="0" w:color="auto"/>
            </w:tcBorders>
            <w:shd w:val="clear" w:color="auto" w:fill="auto"/>
            <w:vAlign w:val="bottom"/>
          </w:tcPr>
          <w:p w14:paraId="64AB0BF6" w14:textId="77777777" w:rsidR="003233A7" w:rsidRPr="003233A7" w:rsidRDefault="003233A7" w:rsidP="003233A7">
            <w:pPr>
              <w:pStyle w:val="Tabletext"/>
            </w:pPr>
            <w:r w:rsidRPr="003233A7">
              <w:t>2</w:t>
            </w:r>
            <w:r w:rsidR="00D7157D">
              <w:t>.</w:t>
            </w:r>
            <w:r w:rsidRPr="003233A7">
              <w:t>8371</w:t>
            </w:r>
          </w:p>
        </w:tc>
        <w:tc>
          <w:tcPr>
            <w:tcW w:w="966" w:type="pct"/>
            <w:tcBorders>
              <w:top w:val="single" w:sz="4" w:space="0" w:color="auto"/>
              <w:bottom w:val="single" w:sz="4" w:space="0" w:color="auto"/>
            </w:tcBorders>
            <w:shd w:val="clear" w:color="auto" w:fill="auto"/>
            <w:vAlign w:val="bottom"/>
          </w:tcPr>
          <w:p w14:paraId="10F6DBD3" w14:textId="77777777" w:rsidR="003233A7" w:rsidRPr="003233A7" w:rsidRDefault="003233A7" w:rsidP="003233A7">
            <w:pPr>
              <w:pStyle w:val="Tabletext"/>
            </w:pPr>
            <w:r w:rsidRPr="003233A7">
              <w:t>21</w:t>
            </w:r>
            <w:r w:rsidR="00D7157D">
              <w:t>.</w:t>
            </w:r>
            <w:r w:rsidRPr="003233A7">
              <w:t>4410</w:t>
            </w:r>
          </w:p>
        </w:tc>
        <w:tc>
          <w:tcPr>
            <w:tcW w:w="966" w:type="pct"/>
            <w:tcBorders>
              <w:top w:val="single" w:sz="4" w:space="0" w:color="auto"/>
              <w:bottom w:val="single" w:sz="4" w:space="0" w:color="auto"/>
              <w:right w:val="nil"/>
            </w:tcBorders>
            <w:shd w:val="clear" w:color="auto" w:fill="auto"/>
            <w:vAlign w:val="bottom"/>
          </w:tcPr>
          <w:p w14:paraId="695BE001" w14:textId="77777777" w:rsidR="003233A7" w:rsidRPr="003233A7" w:rsidRDefault="003233A7" w:rsidP="003233A7">
            <w:pPr>
              <w:pStyle w:val="Tabletext"/>
            </w:pPr>
            <w:r w:rsidRPr="003233A7">
              <w:t>0</w:t>
            </w:r>
            <w:r w:rsidR="00D7157D">
              <w:t>.</w:t>
            </w:r>
            <w:r w:rsidRPr="003233A7">
              <w:t>7914</w:t>
            </w:r>
          </w:p>
        </w:tc>
      </w:tr>
      <w:tr w:rsidR="003233A7" w:rsidRPr="003233A7" w14:paraId="4C87B244" w14:textId="77777777" w:rsidTr="00993D49">
        <w:trPr>
          <w:cantSplit/>
        </w:trPr>
        <w:tc>
          <w:tcPr>
            <w:tcW w:w="1136" w:type="pct"/>
            <w:tcBorders>
              <w:top w:val="single" w:sz="4" w:space="0" w:color="auto"/>
              <w:bottom w:val="single" w:sz="4" w:space="0" w:color="auto"/>
            </w:tcBorders>
          </w:tcPr>
          <w:p w14:paraId="0AAC786D" w14:textId="77777777" w:rsidR="003233A7" w:rsidRPr="003233A7" w:rsidRDefault="003233A7" w:rsidP="003233A7">
            <w:pPr>
              <w:pStyle w:val="Tabletext"/>
            </w:pPr>
            <w:r w:rsidRPr="003233A7">
              <w:t>51</w:t>
            </w:r>
          </w:p>
        </w:tc>
        <w:tc>
          <w:tcPr>
            <w:tcW w:w="966" w:type="pct"/>
            <w:tcBorders>
              <w:top w:val="single" w:sz="4" w:space="0" w:color="auto"/>
              <w:bottom w:val="single" w:sz="4" w:space="0" w:color="auto"/>
            </w:tcBorders>
            <w:shd w:val="clear" w:color="auto" w:fill="auto"/>
            <w:vAlign w:val="bottom"/>
          </w:tcPr>
          <w:p w14:paraId="1594B635" w14:textId="77777777" w:rsidR="003233A7" w:rsidRPr="003233A7" w:rsidRDefault="003233A7" w:rsidP="003233A7">
            <w:pPr>
              <w:pStyle w:val="Tabletext"/>
            </w:pPr>
            <w:r w:rsidRPr="003233A7">
              <w:t>19</w:t>
            </w:r>
            <w:r w:rsidR="00D7157D">
              <w:t>.</w:t>
            </w:r>
            <w:r w:rsidRPr="003233A7">
              <w:t>4271</w:t>
            </w:r>
          </w:p>
        </w:tc>
        <w:tc>
          <w:tcPr>
            <w:tcW w:w="966" w:type="pct"/>
            <w:tcBorders>
              <w:top w:val="single" w:sz="4" w:space="0" w:color="auto"/>
              <w:bottom w:val="single" w:sz="4" w:space="0" w:color="auto"/>
            </w:tcBorders>
            <w:shd w:val="clear" w:color="auto" w:fill="auto"/>
            <w:vAlign w:val="bottom"/>
          </w:tcPr>
          <w:p w14:paraId="051EC31C" w14:textId="77777777" w:rsidR="003233A7" w:rsidRPr="003233A7" w:rsidRDefault="003233A7" w:rsidP="003233A7">
            <w:pPr>
              <w:pStyle w:val="Tabletext"/>
            </w:pPr>
            <w:r w:rsidRPr="003233A7">
              <w:t>2</w:t>
            </w:r>
            <w:r w:rsidR="00D7157D">
              <w:t>.</w:t>
            </w:r>
            <w:r w:rsidRPr="003233A7">
              <w:t>4375</w:t>
            </w:r>
          </w:p>
        </w:tc>
        <w:tc>
          <w:tcPr>
            <w:tcW w:w="966" w:type="pct"/>
            <w:tcBorders>
              <w:top w:val="single" w:sz="4" w:space="0" w:color="auto"/>
              <w:bottom w:val="single" w:sz="4" w:space="0" w:color="auto"/>
            </w:tcBorders>
            <w:shd w:val="clear" w:color="auto" w:fill="auto"/>
            <w:vAlign w:val="bottom"/>
          </w:tcPr>
          <w:p w14:paraId="082FB0F6" w14:textId="77777777" w:rsidR="003233A7" w:rsidRPr="003233A7" w:rsidRDefault="003233A7" w:rsidP="003233A7">
            <w:pPr>
              <w:pStyle w:val="Tabletext"/>
            </w:pPr>
            <w:r w:rsidRPr="003233A7">
              <w:t>21</w:t>
            </w:r>
            <w:r w:rsidR="00D7157D">
              <w:t>.</w:t>
            </w:r>
            <w:r w:rsidRPr="003233A7">
              <w:t>0577</w:t>
            </w:r>
          </w:p>
        </w:tc>
        <w:tc>
          <w:tcPr>
            <w:tcW w:w="966" w:type="pct"/>
            <w:tcBorders>
              <w:top w:val="single" w:sz="4" w:space="0" w:color="auto"/>
              <w:bottom w:val="single" w:sz="4" w:space="0" w:color="auto"/>
              <w:right w:val="nil"/>
            </w:tcBorders>
            <w:shd w:val="clear" w:color="auto" w:fill="auto"/>
            <w:vAlign w:val="bottom"/>
          </w:tcPr>
          <w:p w14:paraId="28A49227" w14:textId="77777777" w:rsidR="003233A7" w:rsidRPr="003233A7" w:rsidRDefault="003233A7" w:rsidP="003233A7">
            <w:pPr>
              <w:pStyle w:val="Tabletext"/>
            </w:pPr>
            <w:r w:rsidRPr="003233A7">
              <w:t>0</w:t>
            </w:r>
            <w:r w:rsidR="00D7157D">
              <w:t>.</w:t>
            </w:r>
            <w:r w:rsidRPr="003233A7">
              <w:t>6786</w:t>
            </w:r>
          </w:p>
        </w:tc>
      </w:tr>
      <w:tr w:rsidR="003233A7" w:rsidRPr="003233A7" w14:paraId="0EE34425" w14:textId="77777777" w:rsidTr="00993D49">
        <w:trPr>
          <w:cantSplit/>
        </w:trPr>
        <w:tc>
          <w:tcPr>
            <w:tcW w:w="1136" w:type="pct"/>
            <w:tcBorders>
              <w:top w:val="single" w:sz="4" w:space="0" w:color="auto"/>
              <w:bottom w:val="single" w:sz="4" w:space="0" w:color="auto"/>
            </w:tcBorders>
          </w:tcPr>
          <w:p w14:paraId="0CCEBB37" w14:textId="77777777" w:rsidR="003233A7" w:rsidRPr="003233A7" w:rsidRDefault="003233A7" w:rsidP="003233A7">
            <w:pPr>
              <w:pStyle w:val="Tabletext"/>
            </w:pPr>
            <w:r w:rsidRPr="003233A7">
              <w:t>52</w:t>
            </w:r>
          </w:p>
        </w:tc>
        <w:tc>
          <w:tcPr>
            <w:tcW w:w="966" w:type="pct"/>
            <w:tcBorders>
              <w:top w:val="single" w:sz="4" w:space="0" w:color="auto"/>
              <w:bottom w:val="single" w:sz="4" w:space="0" w:color="auto"/>
            </w:tcBorders>
            <w:shd w:val="clear" w:color="auto" w:fill="auto"/>
            <w:vAlign w:val="bottom"/>
          </w:tcPr>
          <w:p w14:paraId="71F0DEA8" w14:textId="77777777" w:rsidR="003233A7" w:rsidRPr="003233A7" w:rsidRDefault="003233A7" w:rsidP="003233A7">
            <w:pPr>
              <w:pStyle w:val="Tabletext"/>
            </w:pPr>
            <w:r w:rsidRPr="003233A7">
              <w:t>19</w:t>
            </w:r>
            <w:r w:rsidR="00D7157D">
              <w:t>.</w:t>
            </w:r>
            <w:r w:rsidRPr="003233A7">
              <w:t>0290</w:t>
            </w:r>
          </w:p>
        </w:tc>
        <w:tc>
          <w:tcPr>
            <w:tcW w:w="966" w:type="pct"/>
            <w:tcBorders>
              <w:top w:val="single" w:sz="4" w:space="0" w:color="auto"/>
              <w:bottom w:val="single" w:sz="4" w:space="0" w:color="auto"/>
            </w:tcBorders>
            <w:shd w:val="clear" w:color="auto" w:fill="auto"/>
            <w:vAlign w:val="bottom"/>
          </w:tcPr>
          <w:p w14:paraId="409ABD48" w14:textId="77777777" w:rsidR="003233A7" w:rsidRPr="003233A7" w:rsidRDefault="003233A7" w:rsidP="003233A7">
            <w:pPr>
              <w:pStyle w:val="Tabletext"/>
            </w:pPr>
            <w:r w:rsidRPr="003233A7">
              <w:t>2</w:t>
            </w:r>
            <w:r w:rsidR="00D7157D">
              <w:t>.</w:t>
            </w:r>
            <w:r w:rsidRPr="003233A7">
              <w:t>0281</w:t>
            </w:r>
          </w:p>
        </w:tc>
        <w:tc>
          <w:tcPr>
            <w:tcW w:w="966" w:type="pct"/>
            <w:tcBorders>
              <w:top w:val="single" w:sz="4" w:space="0" w:color="auto"/>
              <w:bottom w:val="single" w:sz="4" w:space="0" w:color="auto"/>
            </w:tcBorders>
            <w:shd w:val="clear" w:color="auto" w:fill="auto"/>
            <w:vAlign w:val="bottom"/>
          </w:tcPr>
          <w:p w14:paraId="0B5C3C84" w14:textId="77777777" w:rsidR="003233A7" w:rsidRPr="003233A7" w:rsidRDefault="003233A7" w:rsidP="003233A7">
            <w:pPr>
              <w:pStyle w:val="Tabletext"/>
            </w:pPr>
            <w:r w:rsidRPr="003233A7">
              <w:t>20</w:t>
            </w:r>
            <w:r w:rsidR="00D7157D">
              <w:t>.</w:t>
            </w:r>
            <w:r w:rsidRPr="003233A7">
              <w:t>6674</w:t>
            </w:r>
          </w:p>
        </w:tc>
        <w:tc>
          <w:tcPr>
            <w:tcW w:w="966" w:type="pct"/>
            <w:tcBorders>
              <w:top w:val="single" w:sz="4" w:space="0" w:color="auto"/>
              <w:bottom w:val="single" w:sz="4" w:space="0" w:color="auto"/>
              <w:right w:val="nil"/>
            </w:tcBorders>
            <w:shd w:val="clear" w:color="auto" w:fill="auto"/>
            <w:vAlign w:val="bottom"/>
          </w:tcPr>
          <w:p w14:paraId="6C8A40C2" w14:textId="77777777" w:rsidR="003233A7" w:rsidRPr="003233A7" w:rsidRDefault="003233A7" w:rsidP="003233A7">
            <w:pPr>
              <w:pStyle w:val="Tabletext"/>
            </w:pPr>
            <w:r w:rsidRPr="003233A7">
              <w:t>0</w:t>
            </w:r>
            <w:r w:rsidR="00D7157D">
              <w:t>.</w:t>
            </w:r>
            <w:r w:rsidRPr="003233A7">
              <w:t>5635</w:t>
            </w:r>
          </w:p>
        </w:tc>
      </w:tr>
      <w:tr w:rsidR="003233A7" w:rsidRPr="003233A7" w14:paraId="724BDFEB" w14:textId="77777777" w:rsidTr="00993D49">
        <w:trPr>
          <w:cantSplit/>
        </w:trPr>
        <w:tc>
          <w:tcPr>
            <w:tcW w:w="1136" w:type="pct"/>
            <w:tcBorders>
              <w:top w:val="single" w:sz="4" w:space="0" w:color="auto"/>
              <w:bottom w:val="single" w:sz="4" w:space="0" w:color="auto"/>
            </w:tcBorders>
          </w:tcPr>
          <w:p w14:paraId="3FBA080C" w14:textId="77777777" w:rsidR="003233A7" w:rsidRPr="003233A7" w:rsidRDefault="003233A7" w:rsidP="003233A7">
            <w:pPr>
              <w:pStyle w:val="Tabletext"/>
            </w:pPr>
            <w:r w:rsidRPr="003233A7">
              <w:t>53</w:t>
            </w:r>
          </w:p>
        </w:tc>
        <w:tc>
          <w:tcPr>
            <w:tcW w:w="966" w:type="pct"/>
            <w:tcBorders>
              <w:top w:val="single" w:sz="4" w:space="0" w:color="auto"/>
              <w:bottom w:val="single" w:sz="4" w:space="0" w:color="auto"/>
            </w:tcBorders>
            <w:shd w:val="clear" w:color="auto" w:fill="auto"/>
            <w:vAlign w:val="bottom"/>
          </w:tcPr>
          <w:p w14:paraId="5ED38E92" w14:textId="77777777" w:rsidR="003233A7" w:rsidRPr="003233A7" w:rsidRDefault="003233A7" w:rsidP="003233A7">
            <w:pPr>
              <w:pStyle w:val="Tabletext"/>
            </w:pPr>
            <w:r w:rsidRPr="003233A7">
              <w:t>18</w:t>
            </w:r>
            <w:r w:rsidR="00D7157D">
              <w:t>.</w:t>
            </w:r>
            <w:r w:rsidRPr="003233A7">
              <w:t>6263</w:t>
            </w:r>
          </w:p>
        </w:tc>
        <w:tc>
          <w:tcPr>
            <w:tcW w:w="966" w:type="pct"/>
            <w:tcBorders>
              <w:top w:val="single" w:sz="4" w:space="0" w:color="auto"/>
              <w:bottom w:val="single" w:sz="4" w:space="0" w:color="auto"/>
            </w:tcBorders>
            <w:shd w:val="clear" w:color="auto" w:fill="auto"/>
            <w:vAlign w:val="bottom"/>
          </w:tcPr>
          <w:p w14:paraId="75116B8D" w14:textId="77777777" w:rsidR="003233A7" w:rsidRPr="003233A7" w:rsidRDefault="003233A7" w:rsidP="003233A7">
            <w:pPr>
              <w:pStyle w:val="Tabletext"/>
            </w:pPr>
            <w:r w:rsidRPr="003233A7">
              <w:t>1</w:t>
            </w:r>
            <w:r w:rsidR="00D7157D">
              <w:t>.</w:t>
            </w:r>
            <w:r w:rsidRPr="003233A7">
              <w:t>6090</w:t>
            </w:r>
          </w:p>
        </w:tc>
        <w:tc>
          <w:tcPr>
            <w:tcW w:w="966" w:type="pct"/>
            <w:tcBorders>
              <w:top w:val="single" w:sz="4" w:space="0" w:color="auto"/>
              <w:bottom w:val="single" w:sz="4" w:space="0" w:color="auto"/>
            </w:tcBorders>
            <w:shd w:val="clear" w:color="auto" w:fill="auto"/>
            <w:vAlign w:val="bottom"/>
          </w:tcPr>
          <w:p w14:paraId="3857EB5F" w14:textId="77777777" w:rsidR="003233A7" w:rsidRPr="003233A7" w:rsidRDefault="003233A7" w:rsidP="003233A7">
            <w:pPr>
              <w:pStyle w:val="Tabletext"/>
            </w:pPr>
            <w:r w:rsidRPr="003233A7">
              <w:t>20</w:t>
            </w:r>
            <w:r w:rsidR="00D7157D">
              <w:t>.</w:t>
            </w:r>
            <w:r w:rsidRPr="003233A7">
              <w:t>2708</w:t>
            </w:r>
          </w:p>
        </w:tc>
        <w:tc>
          <w:tcPr>
            <w:tcW w:w="966" w:type="pct"/>
            <w:tcBorders>
              <w:top w:val="single" w:sz="4" w:space="0" w:color="auto"/>
              <w:bottom w:val="single" w:sz="4" w:space="0" w:color="auto"/>
              <w:right w:val="nil"/>
            </w:tcBorders>
            <w:shd w:val="clear" w:color="auto" w:fill="auto"/>
            <w:vAlign w:val="bottom"/>
          </w:tcPr>
          <w:p w14:paraId="1FED6BC3" w14:textId="77777777" w:rsidR="003233A7" w:rsidRPr="003233A7" w:rsidRDefault="003233A7" w:rsidP="003233A7">
            <w:pPr>
              <w:pStyle w:val="Tabletext"/>
            </w:pPr>
            <w:r w:rsidRPr="003233A7">
              <w:t>0</w:t>
            </w:r>
            <w:r w:rsidR="00D7157D">
              <w:t>.</w:t>
            </w:r>
            <w:r w:rsidRPr="003233A7">
              <w:t>4461</w:t>
            </w:r>
          </w:p>
        </w:tc>
      </w:tr>
      <w:tr w:rsidR="003233A7" w:rsidRPr="003233A7" w14:paraId="556BF500" w14:textId="77777777" w:rsidTr="00993D49">
        <w:trPr>
          <w:cantSplit/>
        </w:trPr>
        <w:tc>
          <w:tcPr>
            <w:tcW w:w="1136" w:type="pct"/>
            <w:tcBorders>
              <w:top w:val="single" w:sz="4" w:space="0" w:color="auto"/>
              <w:bottom w:val="single" w:sz="4" w:space="0" w:color="auto"/>
            </w:tcBorders>
          </w:tcPr>
          <w:p w14:paraId="63DA3088" w14:textId="77777777" w:rsidR="003233A7" w:rsidRPr="003233A7" w:rsidRDefault="003233A7" w:rsidP="003233A7">
            <w:pPr>
              <w:pStyle w:val="Tabletext"/>
            </w:pPr>
            <w:r w:rsidRPr="003233A7">
              <w:t>54</w:t>
            </w:r>
          </w:p>
        </w:tc>
        <w:tc>
          <w:tcPr>
            <w:tcW w:w="966" w:type="pct"/>
            <w:tcBorders>
              <w:top w:val="single" w:sz="4" w:space="0" w:color="auto"/>
              <w:bottom w:val="single" w:sz="4" w:space="0" w:color="auto"/>
            </w:tcBorders>
            <w:shd w:val="clear" w:color="auto" w:fill="auto"/>
            <w:vAlign w:val="bottom"/>
          </w:tcPr>
          <w:p w14:paraId="4484BC7B" w14:textId="77777777" w:rsidR="003233A7" w:rsidRPr="003233A7" w:rsidRDefault="003233A7" w:rsidP="003233A7">
            <w:pPr>
              <w:pStyle w:val="Tabletext"/>
            </w:pPr>
            <w:r w:rsidRPr="003233A7">
              <w:t>18</w:t>
            </w:r>
            <w:r w:rsidR="00D7157D">
              <w:t>.</w:t>
            </w:r>
            <w:r w:rsidRPr="003233A7">
              <w:t>2196</w:t>
            </w:r>
          </w:p>
        </w:tc>
        <w:tc>
          <w:tcPr>
            <w:tcW w:w="966" w:type="pct"/>
            <w:tcBorders>
              <w:top w:val="single" w:sz="4" w:space="0" w:color="auto"/>
              <w:bottom w:val="single" w:sz="4" w:space="0" w:color="auto"/>
            </w:tcBorders>
            <w:shd w:val="clear" w:color="auto" w:fill="auto"/>
            <w:vAlign w:val="bottom"/>
          </w:tcPr>
          <w:p w14:paraId="333F83D1" w14:textId="77777777" w:rsidR="003233A7" w:rsidRPr="003233A7" w:rsidRDefault="003233A7" w:rsidP="003233A7">
            <w:pPr>
              <w:pStyle w:val="Tabletext"/>
            </w:pPr>
            <w:r w:rsidRPr="003233A7">
              <w:t>1</w:t>
            </w:r>
            <w:r w:rsidR="00D7157D">
              <w:t>.</w:t>
            </w:r>
            <w:r w:rsidRPr="003233A7">
              <w:t>1808</w:t>
            </w:r>
          </w:p>
        </w:tc>
        <w:tc>
          <w:tcPr>
            <w:tcW w:w="966" w:type="pct"/>
            <w:tcBorders>
              <w:top w:val="single" w:sz="4" w:space="0" w:color="auto"/>
              <w:bottom w:val="single" w:sz="4" w:space="0" w:color="auto"/>
            </w:tcBorders>
            <w:shd w:val="clear" w:color="auto" w:fill="auto"/>
            <w:vAlign w:val="bottom"/>
          </w:tcPr>
          <w:p w14:paraId="26B0A731" w14:textId="77777777" w:rsidR="003233A7" w:rsidRPr="003233A7" w:rsidRDefault="003233A7" w:rsidP="003233A7">
            <w:pPr>
              <w:pStyle w:val="Tabletext"/>
            </w:pPr>
            <w:r w:rsidRPr="003233A7">
              <w:t>19</w:t>
            </w:r>
            <w:r w:rsidR="00D7157D">
              <w:t>.</w:t>
            </w:r>
            <w:r w:rsidRPr="003233A7">
              <w:t>8684</w:t>
            </w:r>
          </w:p>
        </w:tc>
        <w:tc>
          <w:tcPr>
            <w:tcW w:w="966" w:type="pct"/>
            <w:tcBorders>
              <w:top w:val="single" w:sz="4" w:space="0" w:color="auto"/>
              <w:bottom w:val="single" w:sz="4" w:space="0" w:color="auto"/>
              <w:right w:val="nil"/>
            </w:tcBorders>
            <w:shd w:val="clear" w:color="auto" w:fill="auto"/>
            <w:vAlign w:val="bottom"/>
          </w:tcPr>
          <w:p w14:paraId="620ADA77" w14:textId="77777777" w:rsidR="003233A7" w:rsidRPr="003233A7" w:rsidRDefault="003233A7" w:rsidP="003233A7">
            <w:pPr>
              <w:pStyle w:val="Tabletext"/>
            </w:pPr>
            <w:r w:rsidRPr="003233A7">
              <w:t>0</w:t>
            </w:r>
            <w:r w:rsidR="00D7157D">
              <w:t>.</w:t>
            </w:r>
            <w:r w:rsidRPr="003233A7">
              <w:t>3267</w:t>
            </w:r>
          </w:p>
        </w:tc>
      </w:tr>
      <w:tr w:rsidR="003233A7" w:rsidRPr="003233A7" w14:paraId="54244C17" w14:textId="77777777" w:rsidTr="00993D49">
        <w:trPr>
          <w:cantSplit/>
        </w:trPr>
        <w:tc>
          <w:tcPr>
            <w:tcW w:w="1136" w:type="pct"/>
            <w:tcBorders>
              <w:top w:val="single" w:sz="4" w:space="0" w:color="auto"/>
              <w:bottom w:val="single" w:sz="4" w:space="0" w:color="auto"/>
            </w:tcBorders>
          </w:tcPr>
          <w:p w14:paraId="29A2DED0" w14:textId="77777777" w:rsidR="003233A7" w:rsidRPr="003233A7" w:rsidRDefault="003233A7" w:rsidP="003233A7">
            <w:pPr>
              <w:pStyle w:val="Tabletext"/>
            </w:pPr>
            <w:r w:rsidRPr="003233A7">
              <w:t>55</w:t>
            </w:r>
          </w:p>
        </w:tc>
        <w:tc>
          <w:tcPr>
            <w:tcW w:w="966" w:type="pct"/>
            <w:tcBorders>
              <w:top w:val="single" w:sz="4" w:space="0" w:color="auto"/>
              <w:bottom w:val="single" w:sz="4" w:space="0" w:color="auto"/>
            </w:tcBorders>
            <w:shd w:val="clear" w:color="auto" w:fill="auto"/>
            <w:vAlign w:val="bottom"/>
          </w:tcPr>
          <w:p w14:paraId="684A94EC" w14:textId="77777777" w:rsidR="003233A7" w:rsidRPr="003233A7" w:rsidRDefault="003233A7" w:rsidP="003233A7">
            <w:pPr>
              <w:pStyle w:val="Tabletext"/>
            </w:pPr>
            <w:r w:rsidRPr="003233A7">
              <w:t>17</w:t>
            </w:r>
            <w:r w:rsidR="00D7157D">
              <w:t>.</w:t>
            </w:r>
            <w:r w:rsidRPr="003233A7">
              <w:t>8096</w:t>
            </w:r>
          </w:p>
        </w:tc>
        <w:tc>
          <w:tcPr>
            <w:tcW w:w="966" w:type="pct"/>
            <w:tcBorders>
              <w:top w:val="single" w:sz="4" w:space="0" w:color="auto"/>
              <w:bottom w:val="single" w:sz="4" w:space="0" w:color="auto"/>
            </w:tcBorders>
            <w:shd w:val="clear" w:color="auto" w:fill="auto"/>
            <w:vAlign w:val="bottom"/>
          </w:tcPr>
          <w:p w14:paraId="104006E4" w14:textId="77777777" w:rsidR="003233A7" w:rsidRPr="003233A7" w:rsidRDefault="003233A7" w:rsidP="003233A7">
            <w:pPr>
              <w:pStyle w:val="Tabletext"/>
            </w:pPr>
            <w:r w:rsidRPr="003233A7">
              <w:t>0</w:t>
            </w:r>
            <w:r w:rsidR="00D7157D">
              <w:t>.</w:t>
            </w:r>
            <w:r w:rsidRPr="003233A7">
              <w:t>7441</w:t>
            </w:r>
          </w:p>
        </w:tc>
        <w:tc>
          <w:tcPr>
            <w:tcW w:w="966" w:type="pct"/>
            <w:tcBorders>
              <w:top w:val="single" w:sz="4" w:space="0" w:color="auto"/>
              <w:bottom w:val="single" w:sz="4" w:space="0" w:color="auto"/>
            </w:tcBorders>
            <w:shd w:val="clear" w:color="auto" w:fill="auto"/>
            <w:vAlign w:val="bottom"/>
          </w:tcPr>
          <w:p w14:paraId="0355148D" w14:textId="77777777" w:rsidR="003233A7" w:rsidRPr="003233A7" w:rsidRDefault="003233A7" w:rsidP="003233A7">
            <w:pPr>
              <w:pStyle w:val="Tabletext"/>
            </w:pPr>
            <w:r w:rsidRPr="003233A7">
              <w:t>19</w:t>
            </w:r>
            <w:r w:rsidR="00D7157D">
              <w:t>.</w:t>
            </w:r>
            <w:r w:rsidRPr="003233A7">
              <w:t>4596</w:t>
            </w:r>
          </w:p>
        </w:tc>
        <w:tc>
          <w:tcPr>
            <w:tcW w:w="966" w:type="pct"/>
            <w:tcBorders>
              <w:top w:val="single" w:sz="4" w:space="0" w:color="auto"/>
              <w:bottom w:val="single" w:sz="4" w:space="0" w:color="auto"/>
              <w:right w:val="nil"/>
            </w:tcBorders>
            <w:shd w:val="clear" w:color="auto" w:fill="auto"/>
            <w:vAlign w:val="bottom"/>
          </w:tcPr>
          <w:p w14:paraId="72020FC7" w14:textId="77777777" w:rsidR="003233A7" w:rsidRPr="003233A7" w:rsidRDefault="003233A7" w:rsidP="003233A7">
            <w:pPr>
              <w:pStyle w:val="Tabletext"/>
            </w:pPr>
            <w:r w:rsidRPr="003233A7">
              <w:t>0</w:t>
            </w:r>
            <w:r w:rsidR="00D7157D">
              <w:t>.</w:t>
            </w:r>
            <w:r w:rsidRPr="003233A7">
              <w:t>2055</w:t>
            </w:r>
          </w:p>
        </w:tc>
      </w:tr>
      <w:tr w:rsidR="003233A7" w:rsidRPr="003233A7" w14:paraId="3ADD955B" w14:textId="77777777" w:rsidTr="00993D49">
        <w:trPr>
          <w:cantSplit/>
        </w:trPr>
        <w:tc>
          <w:tcPr>
            <w:tcW w:w="1136" w:type="pct"/>
            <w:tcBorders>
              <w:top w:val="single" w:sz="4" w:space="0" w:color="auto"/>
              <w:bottom w:val="single" w:sz="4" w:space="0" w:color="auto"/>
            </w:tcBorders>
          </w:tcPr>
          <w:p w14:paraId="0F87F66F" w14:textId="77777777" w:rsidR="003233A7" w:rsidRPr="003233A7" w:rsidRDefault="003233A7" w:rsidP="003233A7">
            <w:pPr>
              <w:pStyle w:val="Tabletext"/>
            </w:pPr>
            <w:r w:rsidRPr="003233A7">
              <w:t>56</w:t>
            </w:r>
          </w:p>
        </w:tc>
        <w:tc>
          <w:tcPr>
            <w:tcW w:w="966" w:type="pct"/>
            <w:tcBorders>
              <w:top w:val="single" w:sz="4" w:space="0" w:color="auto"/>
              <w:bottom w:val="single" w:sz="4" w:space="0" w:color="auto"/>
            </w:tcBorders>
            <w:shd w:val="clear" w:color="auto" w:fill="auto"/>
            <w:vAlign w:val="bottom"/>
          </w:tcPr>
          <w:p w14:paraId="6E05BF43" w14:textId="77777777" w:rsidR="003233A7" w:rsidRPr="003233A7" w:rsidRDefault="003233A7" w:rsidP="003233A7">
            <w:pPr>
              <w:pStyle w:val="Tabletext"/>
            </w:pPr>
            <w:r w:rsidRPr="003233A7">
              <w:t>17</w:t>
            </w:r>
            <w:r w:rsidR="00D7157D">
              <w:t>.</w:t>
            </w:r>
            <w:r w:rsidRPr="003233A7">
              <w:t>3966</w:t>
            </w:r>
          </w:p>
        </w:tc>
        <w:tc>
          <w:tcPr>
            <w:tcW w:w="966" w:type="pct"/>
            <w:tcBorders>
              <w:top w:val="single" w:sz="4" w:space="0" w:color="auto"/>
              <w:bottom w:val="single" w:sz="4" w:space="0" w:color="auto"/>
            </w:tcBorders>
            <w:shd w:val="clear" w:color="auto" w:fill="auto"/>
            <w:vAlign w:val="bottom"/>
          </w:tcPr>
          <w:p w14:paraId="6D875D5B" w14:textId="77777777" w:rsidR="003233A7" w:rsidRPr="003233A7" w:rsidRDefault="003233A7" w:rsidP="003233A7">
            <w:pPr>
              <w:pStyle w:val="Tabletext"/>
            </w:pPr>
            <w:r w:rsidRPr="003233A7">
              <w:t>0</w:t>
            </w:r>
            <w:r w:rsidR="00D7157D">
              <w:t>.</w:t>
            </w:r>
            <w:r w:rsidRPr="003233A7">
              <w:t>7496</w:t>
            </w:r>
          </w:p>
        </w:tc>
        <w:tc>
          <w:tcPr>
            <w:tcW w:w="966" w:type="pct"/>
            <w:tcBorders>
              <w:top w:val="single" w:sz="4" w:space="0" w:color="auto"/>
              <w:bottom w:val="single" w:sz="4" w:space="0" w:color="auto"/>
            </w:tcBorders>
            <w:shd w:val="clear" w:color="auto" w:fill="auto"/>
            <w:vAlign w:val="bottom"/>
          </w:tcPr>
          <w:p w14:paraId="7D155B2D" w14:textId="77777777" w:rsidR="003233A7" w:rsidRPr="003233A7" w:rsidRDefault="003233A7" w:rsidP="003233A7">
            <w:pPr>
              <w:pStyle w:val="Tabletext"/>
            </w:pPr>
            <w:r w:rsidRPr="003233A7">
              <w:t>19</w:t>
            </w:r>
            <w:r w:rsidR="00D7157D">
              <w:t>.</w:t>
            </w:r>
            <w:r w:rsidRPr="003233A7">
              <w:t>0446</w:t>
            </w:r>
          </w:p>
        </w:tc>
        <w:tc>
          <w:tcPr>
            <w:tcW w:w="966" w:type="pct"/>
            <w:tcBorders>
              <w:top w:val="single" w:sz="4" w:space="0" w:color="auto"/>
              <w:bottom w:val="single" w:sz="4" w:space="0" w:color="auto"/>
              <w:right w:val="nil"/>
            </w:tcBorders>
            <w:shd w:val="clear" w:color="auto" w:fill="auto"/>
            <w:vAlign w:val="bottom"/>
          </w:tcPr>
          <w:p w14:paraId="3757B593" w14:textId="77777777" w:rsidR="003233A7" w:rsidRPr="003233A7" w:rsidRDefault="003233A7" w:rsidP="003233A7">
            <w:pPr>
              <w:pStyle w:val="Tabletext"/>
            </w:pPr>
            <w:r w:rsidRPr="003233A7">
              <w:t>0</w:t>
            </w:r>
            <w:r w:rsidR="00D7157D">
              <w:t>.</w:t>
            </w:r>
            <w:r w:rsidRPr="003233A7">
              <w:t>2066</w:t>
            </w:r>
          </w:p>
        </w:tc>
      </w:tr>
      <w:tr w:rsidR="003233A7" w:rsidRPr="003233A7" w14:paraId="7F8F25BB" w14:textId="77777777" w:rsidTr="00993D49">
        <w:trPr>
          <w:cantSplit/>
        </w:trPr>
        <w:tc>
          <w:tcPr>
            <w:tcW w:w="1136" w:type="pct"/>
            <w:tcBorders>
              <w:top w:val="single" w:sz="4" w:space="0" w:color="auto"/>
              <w:bottom w:val="single" w:sz="4" w:space="0" w:color="auto"/>
            </w:tcBorders>
          </w:tcPr>
          <w:p w14:paraId="61B78C70" w14:textId="77777777" w:rsidR="003233A7" w:rsidRPr="003233A7" w:rsidRDefault="003233A7" w:rsidP="003233A7">
            <w:pPr>
              <w:pStyle w:val="Tabletext"/>
            </w:pPr>
            <w:r w:rsidRPr="003233A7">
              <w:t>57</w:t>
            </w:r>
          </w:p>
        </w:tc>
        <w:tc>
          <w:tcPr>
            <w:tcW w:w="966" w:type="pct"/>
            <w:tcBorders>
              <w:top w:val="single" w:sz="4" w:space="0" w:color="auto"/>
              <w:bottom w:val="single" w:sz="4" w:space="0" w:color="auto"/>
            </w:tcBorders>
            <w:shd w:val="clear" w:color="auto" w:fill="auto"/>
            <w:vAlign w:val="bottom"/>
          </w:tcPr>
          <w:p w14:paraId="5993905C" w14:textId="77777777" w:rsidR="003233A7" w:rsidRPr="003233A7" w:rsidRDefault="003233A7" w:rsidP="003233A7">
            <w:pPr>
              <w:pStyle w:val="Tabletext"/>
            </w:pPr>
            <w:r w:rsidRPr="003233A7">
              <w:t>16</w:t>
            </w:r>
            <w:r w:rsidR="00D7157D">
              <w:t>.</w:t>
            </w:r>
            <w:r w:rsidRPr="003233A7">
              <w:t>9809</w:t>
            </w:r>
          </w:p>
        </w:tc>
        <w:tc>
          <w:tcPr>
            <w:tcW w:w="966" w:type="pct"/>
            <w:tcBorders>
              <w:top w:val="single" w:sz="4" w:space="0" w:color="auto"/>
              <w:bottom w:val="single" w:sz="4" w:space="0" w:color="auto"/>
            </w:tcBorders>
            <w:shd w:val="clear" w:color="auto" w:fill="auto"/>
            <w:vAlign w:val="bottom"/>
          </w:tcPr>
          <w:p w14:paraId="0D15F3F0" w14:textId="77777777" w:rsidR="003233A7" w:rsidRPr="003233A7" w:rsidRDefault="003233A7" w:rsidP="003233A7">
            <w:pPr>
              <w:pStyle w:val="Tabletext"/>
            </w:pPr>
            <w:r w:rsidRPr="003233A7">
              <w:t>0</w:t>
            </w:r>
            <w:r w:rsidR="00D7157D">
              <w:t>.</w:t>
            </w:r>
            <w:r w:rsidRPr="003233A7">
              <w:t>7546</w:t>
            </w:r>
          </w:p>
        </w:tc>
        <w:tc>
          <w:tcPr>
            <w:tcW w:w="966" w:type="pct"/>
            <w:tcBorders>
              <w:top w:val="single" w:sz="4" w:space="0" w:color="auto"/>
              <w:bottom w:val="single" w:sz="4" w:space="0" w:color="auto"/>
            </w:tcBorders>
            <w:shd w:val="clear" w:color="auto" w:fill="auto"/>
            <w:vAlign w:val="bottom"/>
          </w:tcPr>
          <w:p w14:paraId="1E3C01DA" w14:textId="77777777" w:rsidR="003233A7" w:rsidRPr="003233A7" w:rsidRDefault="003233A7" w:rsidP="003233A7">
            <w:pPr>
              <w:pStyle w:val="Tabletext"/>
            </w:pPr>
            <w:r w:rsidRPr="003233A7">
              <w:t>18</w:t>
            </w:r>
            <w:r w:rsidR="00D7157D">
              <w:t>.</w:t>
            </w:r>
            <w:r w:rsidRPr="003233A7">
              <w:t>6237</w:t>
            </w:r>
          </w:p>
        </w:tc>
        <w:tc>
          <w:tcPr>
            <w:tcW w:w="966" w:type="pct"/>
            <w:tcBorders>
              <w:top w:val="single" w:sz="4" w:space="0" w:color="auto"/>
              <w:bottom w:val="single" w:sz="4" w:space="0" w:color="auto"/>
              <w:right w:val="nil"/>
            </w:tcBorders>
            <w:shd w:val="clear" w:color="auto" w:fill="auto"/>
            <w:vAlign w:val="bottom"/>
          </w:tcPr>
          <w:p w14:paraId="7F1FBC7E" w14:textId="77777777" w:rsidR="003233A7" w:rsidRPr="003233A7" w:rsidRDefault="003233A7" w:rsidP="003233A7">
            <w:pPr>
              <w:pStyle w:val="Tabletext"/>
            </w:pPr>
            <w:r w:rsidRPr="003233A7">
              <w:t>0</w:t>
            </w:r>
            <w:r w:rsidR="00D7157D">
              <w:t>.</w:t>
            </w:r>
            <w:r w:rsidRPr="003233A7">
              <w:t>2076</w:t>
            </w:r>
          </w:p>
        </w:tc>
      </w:tr>
      <w:tr w:rsidR="003233A7" w:rsidRPr="003233A7" w14:paraId="7D282EF1" w14:textId="77777777" w:rsidTr="00993D49">
        <w:trPr>
          <w:cantSplit/>
        </w:trPr>
        <w:tc>
          <w:tcPr>
            <w:tcW w:w="1136" w:type="pct"/>
            <w:tcBorders>
              <w:top w:val="single" w:sz="4" w:space="0" w:color="auto"/>
              <w:bottom w:val="single" w:sz="4" w:space="0" w:color="auto"/>
            </w:tcBorders>
          </w:tcPr>
          <w:p w14:paraId="31A76FCB" w14:textId="77777777" w:rsidR="003233A7" w:rsidRPr="003233A7" w:rsidRDefault="003233A7" w:rsidP="003233A7">
            <w:pPr>
              <w:pStyle w:val="Tabletext"/>
            </w:pPr>
            <w:r w:rsidRPr="003233A7">
              <w:t>58</w:t>
            </w:r>
          </w:p>
        </w:tc>
        <w:tc>
          <w:tcPr>
            <w:tcW w:w="966" w:type="pct"/>
            <w:tcBorders>
              <w:top w:val="single" w:sz="4" w:space="0" w:color="auto"/>
              <w:bottom w:val="single" w:sz="4" w:space="0" w:color="auto"/>
            </w:tcBorders>
            <w:shd w:val="clear" w:color="auto" w:fill="auto"/>
            <w:vAlign w:val="bottom"/>
          </w:tcPr>
          <w:p w14:paraId="7F789822" w14:textId="77777777" w:rsidR="003233A7" w:rsidRPr="003233A7" w:rsidRDefault="003233A7" w:rsidP="003233A7">
            <w:pPr>
              <w:pStyle w:val="Tabletext"/>
            </w:pPr>
            <w:r w:rsidRPr="003233A7">
              <w:t>16</w:t>
            </w:r>
            <w:r w:rsidR="00D7157D">
              <w:t>.</w:t>
            </w:r>
            <w:r w:rsidRPr="003233A7">
              <w:t>5626</w:t>
            </w:r>
          </w:p>
        </w:tc>
        <w:tc>
          <w:tcPr>
            <w:tcW w:w="966" w:type="pct"/>
            <w:tcBorders>
              <w:top w:val="single" w:sz="4" w:space="0" w:color="auto"/>
              <w:bottom w:val="single" w:sz="4" w:space="0" w:color="auto"/>
            </w:tcBorders>
            <w:shd w:val="clear" w:color="auto" w:fill="auto"/>
            <w:vAlign w:val="bottom"/>
          </w:tcPr>
          <w:p w14:paraId="507144F0" w14:textId="77777777" w:rsidR="003233A7" w:rsidRPr="003233A7" w:rsidRDefault="003233A7" w:rsidP="003233A7">
            <w:pPr>
              <w:pStyle w:val="Tabletext"/>
            </w:pPr>
            <w:r w:rsidRPr="003233A7">
              <w:t>0</w:t>
            </w:r>
            <w:r w:rsidR="00D7157D">
              <w:t>.</w:t>
            </w:r>
            <w:r w:rsidRPr="003233A7">
              <w:t>7589</w:t>
            </w:r>
          </w:p>
        </w:tc>
        <w:tc>
          <w:tcPr>
            <w:tcW w:w="966" w:type="pct"/>
            <w:tcBorders>
              <w:top w:val="single" w:sz="4" w:space="0" w:color="auto"/>
              <w:bottom w:val="single" w:sz="4" w:space="0" w:color="auto"/>
            </w:tcBorders>
            <w:shd w:val="clear" w:color="auto" w:fill="auto"/>
            <w:vAlign w:val="bottom"/>
          </w:tcPr>
          <w:p w14:paraId="246E9D4E" w14:textId="77777777" w:rsidR="003233A7" w:rsidRPr="003233A7" w:rsidRDefault="003233A7" w:rsidP="003233A7">
            <w:pPr>
              <w:pStyle w:val="Tabletext"/>
            </w:pPr>
            <w:r w:rsidRPr="003233A7">
              <w:t>18</w:t>
            </w:r>
            <w:r w:rsidR="00D7157D">
              <w:t>.</w:t>
            </w:r>
            <w:r w:rsidRPr="003233A7">
              <w:t>1963</w:t>
            </w:r>
          </w:p>
        </w:tc>
        <w:tc>
          <w:tcPr>
            <w:tcW w:w="966" w:type="pct"/>
            <w:tcBorders>
              <w:top w:val="single" w:sz="4" w:space="0" w:color="auto"/>
              <w:bottom w:val="single" w:sz="4" w:space="0" w:color="auto"/>
              <w:right w:val="nil"/>
            </w:tcBorders>
            <w:shd w:val="clear" w:color="auto" w:fill="auto"/>
            <w:vAlign w:val="bottom"/>
          </w:tcPr>
          <w:p w14:paraId="42958550" w14:textId="77777777" w:rsidR="003233A7" w:rsidRPr="003233A7" w:rsidRDefault="003233A7" w:rsidP="003233A7">
            <w:pPr>
              <w:pStyle w:val="Tabletext"/>
            </w:pPr>
            <w:r w:rsidRPr="003233A7">
              <w:t>0</w:t>
            </w:r>
            <w:r w:rsidR="00D7157D">
              <w:t>.</w:t>
            </w:r>
            <w:r w:rsidRPr="003233A7">
              <w:t>2084</w:t>
            </w:r>
          </w:p>
        </w:tc>
      </w:tr>
      <w:tr w:rsidR="003233A7" w:rsidRPr="003233A7" w14:paraId="05CC2C54" w14:textId="77777777" w:rsidTr="00993D49">
        <w:trPr>
          <w:cantSplit/>
        </w:trPr>
        <w:tc>
          <w:tcPr>
            <w:tcW w:w="1136" w:type="pct"/>
            <w:tcBorders>
              <w:top w:val="single" w:sz="4" w:space="0" w:color="auto"/>
              <w:bottom w:val="single" w:sz="4" w:space="0" w:color="auto"/>
            </w:tcBorders>
          </w:tcPr>
          <w:p w14:paraId="099DCE70" w14:textId="77777777" w:rsidR="003233A7" w:rsidRPr="003233A7" w:rsidRDefault="003233A7" w:rsidP="003233A7">
            <w:pPr>
              <w:pStyle w:val="Tabletext"/>
            </w:pPr>
            <w:r w:rsidRPr="003233A7">
              <w:t>59</w:t>
            </w:r>
          </w:p>
        </w:tc>
        <w:tc>
          <w:tcPr>
            <w:tcW w:w="966" w:type="pct"/>
            <w:tcBorders>
              <w:top w:val="single" w:sz="4" w:space="0" w:color="auto"/>
              <w:bottom w:val="single" w:sz="4" w:space="0" w:color="auto"/>
            </w:tcBorders>
            <w:shd w:val="clear" w:color="auto" w:fill="auto"/>
            <w:vAlign w:val="bottom"/>
          </w:tcPr>
          <w:p w14:paraId="06054DF9" w14:textId="77777777" w:rsidR="003233A7" w:rsidRPr="003233A7" w:rsidRDefault="003233A7" w:rsidP="003233A7">
            <w:pPr>
              <w:pStyle w:val="Tabletext"/>
            </w:pPr>
            <w:r w:rsidRPr="003233A7">
              <w:t>16</w:t>
            </w:r>
            <w:r w:rsidR="00D7157D">
              <w:t>.</w:t>
            </w:r>
            <w:r w:rsidRPr="003233A7">
              <w:t>1419</w:t>
            </w:r>
          </w:p>
        </w:tc>
        <w:tc>
          <w:tcPr>
            <w:tcW w:w="966" w:type="pct"/>
            <w:tcBorders>
              <w:top w:val="single" w:sz="4" w:space="0" w:color="auto"/>
              <w:bottom w:val="single" w:sz="4" w:space="0" w:color="auto"/>
            </w:tcBorders>
            <w:shd w:val="clear" w:color="auto" w:fill="auto"/>
            <w:vAlign w:val="bottom"/>
          </w:tcPr>
          <w:p w14:paraId="148CEE2D" w14:textId="77777777" w:rsidR="003233A7" w:rsidRPr="003233A7" w:rsidRDefault="003233A7" w:rsidP="003233A7">
            <w:pPr>
              <w:pStyle w:val="Tabletext"/>
            </w:pPr>
            <w:r w:rsidRPr="003233A7">
              <w:t>0</w:t>
            </w:r>
            <w:r w:rsidR="00D7157D">
              <w:t>.</w:t>
            </w:r>
            <w:r w:rsidRPr="003233A7">
              <w:t>7625</w:t>
            </w:r>
          </w:p>
        </w:tc>
        <w:tc>
          <w:tcPr>
            <w:tcW w:w="966" w:type="pct"/>
            <w:tcBorders>
              <w:top w:val="single" w:sz="4" w:space="0" w:color="auto"/>
              <w:bottom w:val="single" w:sz="4" w:space="0" w:color="auto"/>
            </w:tcBorders>
            <w:shd w:val="clear" w:color="auto" w:fill="auto"/>
            <w:vAlign w:val="bottom"/>
          </w:tcPr>
          <w:p w14:paraId="7D99E7F8" w14:textId="77777777" w:rsidR="003233A7" w:rsidRPr="003233A7" w:rsidRDefault="003233A7" w:rsidP="003233A7">
            <w:pPr>
              <w:pStyle w:val="Tabletext"/>
            </w:pPr>
            <w:r w:rsidRPr="003233A7">
              <w:t>17</w:t>
            </w:r>
            <w:r w:rsidR="00D7157D">
              <w:t>.</w:t>
            </w:r>
            <w:r w:rsidRPr="003233A7">
              <w:t>7625</w:t>
            </w:r>
          </w:p>
        </w:tc>
        <w:tc>
          <w:tcPr>
            <w:tcW w:w="966" w:type="pct"/>
            <w:tcBorders>
              <w:top w:val="single" w:sz="4" w:space="0" w:color="auto"/>
              <w:bottom w:val="single" w:sz="4" w:space="0" w:color="auto"/>
              <w:right w:val="nil"/>
            </w:tcBorders>
            <w:shd w:val="clear" w:color="auto" w:fill="auto"/>
            <w:vAlign w:val="bottom"/>
          </w:tcPr>
          <w:p w14:paraId="14651B12" w14:textId="77777777" w:rsidR="003233A7" w:rsidRPr="003233A7" w:rsidRDefault="003233A7" w:rsidP="003233A7">
            <w:pPr>
              <w:pStyle w:val="Tabletext"/>
            </w:pPr>
            <w:r w:rsidRPr="003233A7">
              <w:t>0</w:t>
            </w:r>
            <w:r w:rsidR="00D7157D">
              <w:t>.</w:t>
            </w:r>
            <w:r w:rsidRPr="003233A7">
              <w:t>2091</w:t>
            </w:r>
          </w:p>
        </w:tc>
      </w:tr>
      <w:tr w:rsidR="003233A7" w:rsidRPr="003233A7" w14:paraId="1D8463B9" w14:textId="77777777" w:rsidTr="00993D49">
        <w:trPr>
          <w:cantSplit/>
        </w:trPr>
        <w:tc>
          <w:tcPr>
            <w:tcW w:w="1136" w:type="pct"/>
            <w:tcBorders>
              <w:top w:val="single" w:sz="4" w:space="0" w:color="auto"/>
              <w:bottom w:val="single" w:sz="4" w:space="0" w:color="auto"/>
            </w:tcBorders>
          </w:tcPr>
          <w:p w14:paraId="04CD3B21" w14:textId="77777777" w:rsidR="003233A7" w:rsidRPr="003233A7" w:rsidRDefault="003233A7" w:rsidP="003233A7">
            <w:pPr>
              <w:pStyle w:val="Tabletext"/>
            </w:pPr>
            <w:r w:rsidRPr="003233A7">
              <w:t>60</w:t>
            </w:r>
          </w:p>
        </w:tc>
        <w:tc>
          <w:tcPr>
            <w:tcW w:w="966" w:type="pct"/>
            <w:tcBorders>
              <w:top w:val="single" w:sz="4" w:space="0" w:color="auto"/>
              <w:bottom w:val="single" w:sz="4" w:space="0" w:color="auto"/>
            </w:tcBorders>
            <w:shd w:val="clear" w:color="auto" w:fill="auto"/>
            <w:vAlign w:val="bottom"/>
          </w:tcPr>
          <w:p w14:paraId="506225B2" w14:textId="77777777" w:rsidR="003233A7" w:rsidRPr="003233A7" w:rsidRDefault="003233A7" w:rsidP="003233A7">
            <w:pPr>
              <w:pStyle w:val="Tabletext"/>
            </w:pPr>
            <w:r w:rsidRPr="003233A7">
              <w:t>15</w:t>
            </w:r>
            <w:r w:rsidR="00D7157D">
              <w:t>.</w:t>
            </w:r>
            <w:r w:rsidRPr="003233A7">
              <w:t>7188</w:t>
            </w:r>
          </w:p>
        </w:tc>
        <w:tc>
          <w:tcPr>
            <w:tcW w:w="966" w:type="pct"/>
            <w:tcBorders>
              <w:top w:val="single" w:sz="4" w:space="0" w:color="auto"/>
              <w:bottom w:val="single" w:sz="4" w:space="0" w:color="auto"/>
            </w:tcBorders>
            <w:shd w:val="clear" w:color="auto" w:fill="auto"/>
            <w:vAlign w:val="bottom"/>
          </w:tcPr>
          <w:p w14:paraId="604D0D28" w14:textId="77777777" w:rsidR="003233A7" w:rsidRPr="003233A7" w:rsidRDefault="003233A7" w:rsidP="003233A7">
            <w:pPr>
              <w:pStyle w:val="Tabletext"/>
            </w:pPr>
            <w:r w:rsidRPr="003233A7">
              <w:t>0</w:t>
            </w:r>
            <w:r w:rsidR="00D7157D">
              <w:t>.</w:t>
            </w:r>
            <w:r w:rsidRPr="003233A7">
              <w:t>7655</w:t>
            </w:r>
          </w:p>
        </w:tc>
        <w:tc>
          <w:tcPr>
            <w:tcW w:w="966" w:type="pct"/>
            <w:tcBorders>
              <w:top w:val="single" w:sz="4" w:space="0" w:color="auto"/>
              <w:bottom w:val="single" w:sz="4" w:space="0" w:color="auto"/>
            </w:tcBorders>
            <w:shd w:val="clear" w:color="auto" w:fill="auto"/>
            <w:vAlign w:val="bottom"/>
          </w:tcPr>
          <w:p w14:paraId="06FE9C2A" w14:textId="77777777" w:rsidR="003233A7" w:rsidRPr="003233A7" w:rsidRDefault="003233A7" w:rsidP="003233A7">
            <w:pPr>
              <w:pStyle w:val="Tabletext"/>
            </w:pPr>
            <w:r w:rsidRPr="003233A7">
              <w:t>17</w:t>
            </w:r>
            <w:r w:rsidR="00D7157D">
              <w:t>.</w:t>
            </w:r>
            <w:r w:rsidRPr="003233A7">
              <w:t>3222</w:t>
            </w:r>
          </w:p>
        </w:tc>
        <w:tc>
          <w:tcPr>
            <w:tcW w:w="966" w:type="pct"/>
            <w:tcBorders>
              <w:top w:val="single" w:sz="4" w:space="0" w:color="auto"/>
              <w:bottom w:val="single" w:sz="4" w:space="0" w:color="auto"/>
              <w:right w:val="nil"/>
            </w:tcBorders>
            <w:shd w:val="clear" w:color="auto" w:fill="auto"/>
            <w:vAlign w:val="bottom"/>
          </w:tcPr>
          <w:p w14:paraId="70B9A88F" w14:textId="77777777" w:rsidR="003233A7" w:rsidRPr="003233A7" w:rsidRDefault="003233A7" w:rsidP="003233A7">
            <w:pPr>
              <w:pStyle w:val="Tabletext"/>
            </w:pPr>
            <w:r w:rsidRPr="003233A7">
              <w:t>0</w:t>
            </w:r>
            <w:r w:rsidR="00D7157D">
              <w:t>.</w:t>
            </w:r>
            <w:r w:rsidRPr="003233A7">
              <w:t>2097</w:t>
            </w:r>
          </w:p>
        </w:tc>
      </w:tr>
      <w:tr w:rsidR="003233A7" w:rsidRPr="003233A7" w14:paraId="267ADEF7" w14:textId="77777777" w:rsidTr="00993D49">
        <w:trPr>
          <w:cantSplit/>
        </w:trPr>
        <w:tc>
          <w:tcPr>
            <w:tcW w:w="1136" w:type="pct"/>
            <w:tcBorders>
              <w:top w:val="single" w:sz="4" w:space="0" w:color="auto"/>
              <w:bottom w:val="single" w:sz="4" w:space="0" w:color="auto"/>
            </w:tcBorders>
          </w:tcPr>
          <w:p w14:paraId="7AF267BA" w14:textId="77777777" w:rsidR="003233A7" w:rsidRPr="003233A7" w:rsidRDefault="003233A7" w:rsidP="003233A7">
            <w:pPr>
              <w:pStyle w:val="Tabletext"/>
            </w:pPr>
            <w:r w:rsidRPr="003233A7">
              <w:t>61</w:t>
            </w:r>
          </w:p>
        </w:tc>
        <w:tc>
          <w:tcPr>
            <w:tcW w:w="966" w:type="pct"/>
            <w:tcBorders>
              <w:top w:val="single" w:sz="4" w:space="0" w:color="auto"/>
              <w:bottom w:val="single" w:sz="4" w:space="0" w:color="auto"/>
            </w:tcBorders>
            <w:shd w:val="clear" w:color="auto" w:fill="auto"/>
            <w:vAlign w:val="bottom"/>
          </w:tcPr>
          <w:p w14:paraId="40823B43" w14:textId="77777777" w:rsidR="003233A7" w:rsidRPr="003233A7" w:rsidRDefault="003233A7" w:rsidP="003233A7">
            <w:pPr>
              <w:pStyle w:val="Tabletext"/>
            </w:pPr>
            <w:r w:rsidRPr="003233A7">
              <w:t>15</w:t>
            </w:r>
            <w:r w:rsidR="00D7157D">
              <w:t>.</w:t>
            </w:r>
            <w:r w:rsidRPr="003233A7">
              <w:t>2933</w:t>
            </w:r>
          </w:p>
        </w:tc>
        <w:tc>
          <w:tcPr>
            <w:tcW w:w="966" w:type="pct"/>
            <w:tcBorders>
              <w:top w:val="single" w:sz="4" w:space="0" w:color="auto"/>
              <w:bottom w:val="single" w:sz="4" w:space="0" w:color="auto"/>
            </w:tcBorders>
            <w:shd w:val="clear" w:color="auto" w:fill="auto"/>
            <w:vAlign w:val="bottom"/>
          </w:tcPr>
          <w:p w14:paraId="5F285A5F" w14:textId="77777777" w:rsidR="003233A7" w:rsidRPr="003233A7" w:rsidRDefault="003233A7" w:rsidP="003233A7">
            <w:pPr>
              <w:pStyle w:val="Tabletext"/>
            </w:pPr>
            <w:r w:rsidRPr="003233A7">
              <w:t>0</w:t>
            </w:r>
            <w:r w:rsidR="00D7157D">
              <w:t>.</w:t>
            </w:r>
            <w:r w:rsidRPr="003233A7">
              <w:t>7678</w:t>
            </w:r>
          </w:p>
        </w:tc>
        <w:tc>
          <w:tcPr>
            <w:tcW w:w="966" w:type="pct"/>
            <w:tcBorders>
              <w:top w:val="single" w:sz="4" w:space="0" w:color="auto"/>
              <w:bottom w:val="single" w:sz="4" w:space="0" w:color="auto"/>
            </w:tcBorders>
            <w:shd w:val="clear" w:color="auto" w:fill="auto"/>
            <w:vAlign w:val="bottom"/>
          </w:tcPr>
          <w:p w14:paraId="2A1FD0F8" w14:textId="77777777" w:rsidR="003233A7" w:rsidRPr="003233A7" w:rsidRDefault="003233A7" w:rsidP="003233A7">
            <w:pPr>
              <w:pStyle w:val="Tabletext"/>
            </w:pPr>
            <w:r w:rsidRPr="003233A7">
              <w:t>16</w:t>
            </w:r>
            <w:r w:rsidR="00D7157D">
              <w:t>.</w:t>
            </w:r>
            <w:r w:rsidRPr="003233A7">
              <w:t>8754</w:t>
            </w:r>
          </w:p>
        </w:tc>
        <w:tc>
          <w:tcPr>
            <w:tcW w:w="966" w:type="pct"/>
            <w:tcBorders>
              <w:top w:val="single" w:sz="4" w:space="0" w:color="auto"/>
              <w:bottom w:val="single" w:sz="4" w:space="0" w:color="auto"/>
              <w:right w:val="nil"/>
            </w:tcBorders>
            <w:shd w:val="clear" w:color="auto" w:fill="auto"/>
            <w:vAlign w:val="bottom"/>
          </w:tcPr>
          <w:p w14:paraId="21A0877F" w14:textId="77777777" w:rsidR="003233A7" w:rsidRPr="003233A7" w:rsidRDefault="003233A7" w:rsidP="003233A7">
            <w:pPr>
              <w:pStyle w:val="Tabletext"/>
            </w:pPr>
            <w:r w:rsidRPr="003233A7">
              <w:t>0</w:t>
            </w:r>
            <w:r w:rsidR="00D7157D">
              <w:t>.</w:t>
            </w:r>
            <w:r w:rsidRPr="003233A7">
              <w:t>2101</w:t>
            </w:r>
          </w:p>
        </w:tc>
      </w:tr>
      <w:tr w:rsidR="003233A7" w:rsidRPr="003233A7" w14:paraId="2A5F59AB" w14:textId="77777777" w:rsidTr="00993D49">
        <w:trPr>
          <w:cantSplit/>
        </w:trPr>
        <w:tc>
          <w:tcPr>
            <w:tcW w:w="1136" w:type="pct"/>
            <w:tcBorders>
              <w:top w:val="single" w:sz="4" w:space="0" w:color="auto"/>
              <w:bottom w:val="single" w:sz="4" w:space="0" w:color="auto"/>
            </w:tcBorders>
          </w:tcPr>
          <w:p w14:paraId="52C87CAD" w14:textId="77777777" w:rsidR="003233A7" w:rsidRPr="003233A7" w:rsidRDefault="003233A7" w:rsidP="003233A7">
            <w:pPr>
              <w:pStyle w:val="Tabletext"/>
            </w:pPr>
            <w:r w:rsidRPr="003233A7">
              <w:t>62</w:t>
            </w:r>
          </w:p>
        </w:tc>
        <w:tc>
          <w:tcPr>
            <w:tcW w:w="966" w:type="pct"/>
            <w:tcBorders>
              <w:top w:val="single" w:sz="4" w:space="0" w:color="auto"/>
              <w:bottom w:val="single" w:sz="4" w:space="0" w:color="auto"/>
            </w:tcBorders>
            <w:shd w:val="clear" w:color="auto" w:fill="auto"/>
            <w:vAlign w:val="bottom"/>
          </w:tcPr>
          <w:p w14:paraId="7063D59B" w14:textId="77777777" w:rsidR="003233A7" w:rsidRPr="003233A7" w:rsidRDefault="003233A7" w:rsidP="003233A7">
            <w:pPr>
              <w:pStyle w:val="Tabletext"/>
            </w:pPr>
            <w:r w:rsidRPr="003233A7">
              <w:t>14</w:t>
            </w:r>
            <w:r w:rsidR="00D7157D">
              <w:t>.</w:t>
            </w:r>
            <w:r w:rsidRPr="003233A7">
              <w:t>8652</w:t>
            </w:r>
          </w:p>
        </w:tc>
        <w:tc>
          <w:tcPr>
            <w:tcW w:w="966" w:type="pct"/>
            <w:tcBorders>
              <w:top w:val="single" w:sz="4" w:space="0" w:color="auto"/>
              <w:bottom w:val="single" w:sz="4" w:space="0" w:color="auto"/>
            </w:tcBorders>
            <w:shd w:val="clear" w:color="auto" w:fill="auto"/>
            <w:vAlign w:val="bottom"/>
          </w:tcPr>
          <w:p w14:paraId="41069691" w14:textId="77777777" w:rsidR="003233A7" w:rsidRPr="003233A7" w:rsidRDefault="003233A7" w:rsidP="003233A7">
            <w:pPr>
              <w:pStyle w:val="Tabletext"/>
            </w:pPr>
            <w:r w:rsidRPr="003233A7">
              <w:t>0</w:t>
            </w:r>
            <w:r w:rsidR="00D7157D">
              <w:t>.</w:t>
            </w:r>
            <w:r w:rsidRPr="003233A7">
              <w:t>7694</w:t>
            </w:r>
          </w:p>
        </w:tc>
        <w:tc>
          <w:tcPr>
            <w:tcW w:w="966" w:type="pct"/>
            <w:tcBorders>
              <w:top w:val="single" w:sz="4" w:space="0" w:color="auto"/>
              <w:bottom w:val="single" w:sz="4" w:space="0" w:color="auto"/>
            </w:tcBorders>
            <w:shd w:val="clear" w:color="auto" w:fill="auto"/>
            <w:vAlign w:val="bottom"/>
          </w:tcPr>
          <w:p w14:paraId="34CB0AE0" w14:textId="77777777" w:rsidR="003233A7" w:rsidRPr="003233A7" w:rsidRDefault="003233A7" w:rsidP="003233A7">
            <w:pPr>
              <w:pStyle w:val="Tabletext"/>
            </w:pPr>
            <w:r w:rsidRPr="003233A7">
              <w:t>16</w:t>
            </w:r>
            <w:r w:rsidR="00D7157D">
              <w:t>.</w:t>
            </w:r>
            <w:r w:rsidRPr="003233A7">
              <w:t>4220</w:t>
            </w:r>
          </w:p>
        </w:tc>
        <w:tc>
          <w:tcPr>
            <w:tcW w:w="966" w:type="pct"/>
            <w:tcBorders>
              <w:top w:val="single" w:sz="4" w:space="0" w:color="auto"/>
              <w:bottom w:val="single" w:sz="4" w:space="0" w:color="auto"/>
              <w:right w:val="nil"/>
            </w:tcBorders>
            <w:shd w:val="clear" w:color="auto" w:fill="auto"/>
            <w:vAlign w:val="bottom"/>
          </w:tcPr>
          <w:p w14:paraId="6C6CF0D0" w14:textId="77777777" w:rsidR="003233A7" w:rsidRPr="003233A7" w:rsidRDefault="003233A7" w:rsidP="003233A7">
            <w:pPr>
              <w:pStyle w:val="Tabletext"/>
            </w:pPr>
            <w:r w:rsidRPr="003233A7">
              <w:t>0</w:t>
            </w:r>
            <w:r w:rsidR="00D7157D">
              <w:t>.</w:t>
            </w:r>
            <w:r w:rsidRPr="003233A7">
              <w:t>2104</w:t>
            </w:r>
          </w:p>
        </w:tc>
      </w:tr>
      <w:tr w:rsidR="003233A7" w:rsidRPr="003233A7" w14:paraId="78A77CF7" w14:textId="77777777" w:rsidTr="00993D49">
        <w:trPr>
          <w:cantSplit/>
        </w:trPr>
        <w:tc>
          <w:tcPr>
            <w:tcW w:w="1136" w:type="pct"/>
            <w:tcBorders>
              <w:top w:val="single" w:sz="4" w:space="0" w:color="auto"/>
              <w:bottom w:val="single" w:sz="4" w:space="0" w:color="auto"/>
            </w:tcBorders>
          </w:tcPr>
          <w:p w14:paraId="26FFC393" w14:textId="77777777" w:rsidR="003233A7" w:rsidRPr="003233A7" w:rsidRDefault="003233A7" w:rsidP="003233A7">
            <w:pPr>
              <w:pStyle w:val="Tabletext"/>
            </w:pPr>
            <w:r w:rsidRPr="003233A7">
              <w:t>63</w:t>
            </w:r>
          </w:p>
        </w:tc>
        <w:tc>
          <w:tcPr>
            <w:tcW w:w="966" w:type="pct"/>
            <w:tcBorders>
              <w:top w:val="single" w:sz="4" w:space="0" w:color="auto"/>
              <w:bottom w:val="single" w:sz="4" w:space="0" w:color="auto"/>
            </w:tcBorders>
            <w:shd w:val="clear" w:color="auto" w:fill="auto"/>
            <w:vAlign w:val="bottom"/>
          </w:tcPr>
          <w:p w14:paraId="3CFE98B2" w14:textId="77777777" w:rsidR="003233A7" w:rsidRPr="003233A7" w:rsidRDefault="003233A7" w:rsidP="003233A7">
            <w:pPr>
              <w:pStyle w:val="Tabletext"/>
            </w:pPr>
            <w:r w:rsidRPr="003233A7">
              <w:t>14</w:t>
            </w:r>
            <w:r w:rsidR="00D7157D">
              <w:t>.</w:t>
            </w:r>
            <w:r w:rsidRPr="003233A7">
              <w:t>4342</w:t>
            </w:r>
          </w:p>
        </w:tc>
        <w:tc>
          <w:tcPr>
            <w:tcW w:w="966" w:type="pct"/>
            <w:tcBorders>
              <w:top w:val="single" w:sz="4" w:space="0" w:color="auto"/>
              <w:bottom w:val="single" w:sz="4" w:space="0" w:color="auto"/>
            </w:tcBorders>
            <w:shd w:val="clear" w:color="auto" w:fill="auto"/>
            <w:vAlign w:val="bottom"/>
          </w:tcPr>
          <w:p w14:paraId="0E34CAA5" w14:textId="77777777" w:rsidR="003233A7" w:rsidRPr="003233A7" w:rsidRDefault="003233A7" w:rsidP="003233A7">
            <w:pPr>
              <w:pStyle w:val="Tabletext"/>
            </w:pPr>
            <w:r w:rsidRPr="003233A7">
              <w:t>0</w:t>
            </w:r>
            <w:r w:rsidR="00D7157D">
              <w:t>.</w:t>
            </w:r>
            <w:r w:rsidRPr="003233A7">
              <w:t>7703</w:t>
            </w:r>
          </w:p>
        </w:tc>
        <w:tc>
          <w:tcPr>
            <w:tcW w:w="966" w:type="pct"/>
            <w:tcBorders>
              <w:top w:val="single" w:sz="4" w:space="0" w:color="auto"/>
              <w:bottom w:val="single" w:sz="4" w:space="0" w:color="auto"/>
            </w:tcBorders>
            <w:shd w:val="clear" w:color="auto" w:fill="auto"/>
            <w:vAlign w:val="bottom"/>
          </w:tcPr>
          <w:p w14:paraId="1A4ED796" w14:textId="77777777" w:rsidR="003233A7" w:rsidRPr="003233A7" w:rsidRDefault="003233A7" w:rsidP="003233A7">
            <w:pPr>
              <w:pStyle w:val="Tabletext"/>
            </w:pPr>
            <w:r w:rsidRPr="003233A7">
              <w:t>15</w:t>
            </w:r>
            <w:r w:rsidR="00D7157D">
              <w:t>.</w:t>
            </w:r>
            <w:r w:rsidRPr="003233A7">
              <w:t>9626</w:t>
            </w:r>
          </w:p>
        </w:tc>
        <w:tc>
          <w:tcPr>
            <w:tcW w:w="966" w:type="pct"/>
            <w:tcBorders>
              <w:top w:val="single" w:sz="4" w:space="0" w:color="auto"/>
              <w:bottom w:val="single" w:sz="4" w:space="0" w:color="auto"/>
              <w:right w:val="nil"/>
            </w:tcBorders>
            <w:shd w:val="clear" w:color="auto" w:fill="auto"/>
            <w:vAlign w:val="bottom"/>
          </w:tcPr>
          <w:p w14:paraId="5DB15F72" w14:textId="77777777" w:rsidR="003233A7" w:rsidRPr="003233A7" w:rsidRDefault="003233A7" w:rsidP="003233A7">
            <w:pPr>
              <w:pStyle w:val="Tabletext"/>
            </w:pPr>
            <w:r w:rsidRPr="003233A7">
              <w:t>0</w:t>
            </w:r>
            <w:r w:rsidR="00D7157D">
              <w:t>.</w:t>
            </w:r>
            <w:r w:rsidRPr="003233A7">
              <w:t>2105</w:t>
            </w:r>
          </w:p>
        </w:tc>
      </w:tr>
      <w:tr w:rsidR="003233A7" w:rsidRPr="003233A7" w14:paraId="6FFF2E0C" w14:textId="77777777" w:rsidTr="00993D49">
        <w:trPr>
          <w:cantSplit/>
        </w:trPr>
        <w:tc>
          <w:tcPr>
            <w:tcW w:w="1136" w:type="pct"/>
            <w:tcBorders>
              <w:top w:val="single" w:sz="4" w:space="0" w:color="auto"/>
              <w:bottom w:val="single" w:sz="4" w:space="0" w:color="auto"/>
            </w:tcBorders>
          </w:tcPr>
          <w:p w14:paraId="4C7206CB" w14:textId="77777777" w:rsidR="003233A7" w:rsidRPr="003233A7" w:rsidRDefault="003233A7" w:rsidP="003233A7">
            <w:pPr>
              <w:pStyle w:val="Tabletext"/>
            </w:pPr>
            <w:r w:rsidRPr="003233A7">
              <w:t>64</w:t>
            </w:r>
          </w:p>
        </w:tc>
        <w:tc>
          <w:tcPr>
            <w:tcW w:w="966" w:type="pct"/>
            <w:tcBorders>
              <w:top w:val="single" w:sz="4" w:space="0" w:color="auto"/>
              <w:bottom w:val="single" w:sz="4" w:space="0" w:color="auto"/>
            </w:tcBorders>
            <w:shd w:val="clear" w:color="auto" w:fill="auto"/>
            <w:vAlign w:val="bottom"/>
          </w:tcPr>
          <w:p w14:paraId="4D7B6559" w14:textId="77777777" w:rsidR="003233A7" w:rsidRPr="003233A7" w:rsidRDefault="003233A7" w:rsidP="003233A7">
            <w:pPr>
              <w:pStyle w:val="Tabletext"/>
            </w:pPr>
            <w:r w:rsidRPr="003233A7">
              <w:t>14</w:t>
            </w:r>
            <w:r w:rsidR="00D7157D">
              <w:t>.</w:t>
            </w:r>
            <w:r w:rsidRPr="003233A7">
              <w:t>0008</w:t>
            </w:r>
          </w:p>
        </w:tc>
        <w:tc>
          <w:tcPr>
            <w:tcW w:w="966" w:type="pct"/>
            <w:tcBorders>
              <w:top w:val="single" w:sz="4" w:space="0" w:color="auto"/>
              <w:bottom w:val="single" w:sz="4" w:space="0" w:color="auto"/>
            </w:tcBorders>
            <w:shd w:val="clear" w:color="auto" w:fill="auto"/>
            <w:vAlign w:val="bottom"/>
          </w:tcPr>
          <w:p w14:paraId="11EBEBBD" w14:textId="77777777" w:rsidR="003233A7" w:rsidRPr="003233A7" w:rsidRDefault="003233A7" w:rsidP="003233A7">
            <w:pPr>
              <w:pStyle w:val="Tabletext"/>
            </w:pPr>
            <w:r w:rsidRPr="003233A7">
              <w:t>0</w:t>
            </w:r>
            <w:r w:rsidR="00D7157D">
              <w:t>.</w:t>
            </w:r>
            <w:r w:rsidRPr="003233A7">
              <w:t>7705</w:t>
            </w:r>
          </w:p>
        </w:tc>
        <w:tc>
          <w:tcPr>
            <w:tcW w:w="966" w:type="pct"/>
            <w:tcBorders>
              <w:top w:val="single" w:sz="4" w:space="0" w:color="auto"/>
              <w:bottom w:val="single" w:sz="4" w:space="0" w:color="auto"/>
            </w:tcBorders>
            <w:shd w:val="clear" w:color="auto" w:fill="auto"/>
            <w:vAlign w:val="bottom"/>
          </w:tcPr>
          <w:p w14:paraId="22BF746C" w14:textId="77777777" w:rsidR="003233A7" w:rsidRPr="003233A7" w:rsidRDefault="003233A7" w:rsidP="003233A7">
            <w:pPr>
              <w:pStyle w:val="Tabletext"/>
            </w:pPr>
            <w:r w:rsidRPr="003233A7">
              <w:t>15</w:t>
            </w:r>
            <w:r w:rsidR="00D7157D">
              <w:t>.</w:t>
            </w:r>
            <w:r w:rsidRPr="003233A7">
              <w:t>4976</w:t>
            </w:r>
          </w:p>
        </w:tc>
        <w:tc>
          <w:tcPr>
            <w:tcW w:w="966" w:type="pct"/>
            <w:tcBorders>
              <w:top w:val="single" w:sz="4" w:space="0" w:color="auto"/>
              <w:bottom w:val="single" w:sz="4" w:space="0" w:color="auto"/>
              <w:right w:val="nil"/>
            </w:tcBorders>
            <w:shd w:val="clear" w:color="auto" w:fill="auto"/>
            <w:vAlign w:val="bottom"/>
          </w:tcPr>
          <w:p w14:paraId="25E22702" w14:textId="77777777" w:rsidR="003233A7" w:rsidRPr="003233A7" w:rsidRDefault="003233A7" w:rsidP="003233A7">
            <w:pPr>
              <w:pStyle w:val="Tabletext"/>
            </w:pPr>
            <w:r w:rsidRPr="003233A7">
              <w:t>0</w:t>
            </w:r>
            <w:r w:rsidR="00D7157D">
              <w:t>.</w:t>
            </w:r>
            <w:r w:rsidRPr="003233A7">
              <w:t>2104</w:t>
            </w:r>
          </w:p>
        </w:tc>
      </w:tr>
      <w:tr w:rsidR="003233A7" w:rsidRPr="003233A7" w14:paraId="15F10632" w14:textId="77777777" w:rsidTr="00993D49">
        <w:trPr>
          <w:cantSplit/>
        </w:trPr>
        <w:tc>
          <w:tcPr>
            <w:tcW w:w="1136" w:type="pct"/>
            <w:tcBorders>
              <w:top w:val="single" w:sz="4" w:space="0" w:color="auto"/>
              <w:bottom w:val="single" w:sz="4" w:space="0" w:color="auto"/>
            </w:tcBorders>
          </w:tcPr>
          <w:p w14:paraId="2B9676A6" w14:textId="77777777" w:rsidR="003233A7" w:rsidRPr="003233A7" w:rsidRDefault="003233A7" w:rsidP="003233A7">
            <w:pPr>
              <w:pStyle w:val="Tabletext"/>
            </w:pPr>
            <w:r w:rsidRPr="003233A7">
              <w:t>65</w:t>
            </w:r>
          </w:p>
        </w:tc>
        <w:tc>
          <w:tcPr>
            <w:tcW w:w="966" w:type="pct"/>
            <w:tcBorders>
              <w:top w:val="single" w:sz="4" w:space="0" w:color="auto"/>
              <w:bottom w:val="single" w:sz="4" w:space="0" w:color="auto"/>
            </w:tcBorders>
            <w:shd w:val="clear" w:color="auto" w:fill="auto"/>
            <w:vAlign w:val="bottom"/>
          </w:tcPr>
          <w:p w14:paraId="4652948C" w14:textId="77777777" w:rsidR="003233A7" w:rsidRPr="003233A7" w:rsidRDefault="003233A7" w:rsidP="003233A7">
            <w:pPr>
              <w:pStyle w:val="Tabletext"/>
            </w:pPr>
            <w:r w:rsidRPr="003233A7">
              <w:t>13</w:t>
            </w:r>
            <w:r w:rsidR="00D7157D">
              <w:t>.</w:t>
            </w:r>
            <w:r w:rsidRPr="003233A7">
              <w:t>5654</w:t>
            </w:r>
          </w:p>
        </w:tc>
        <w:tc>
          <w:tcPr>
            <w:tcW w:w="966" w:type="pct"/>
            <w:tcBorders>
              <w:top w:val="single" w:sz="4" w:space="0" w:color="auto"/>
              <w:bottom w:val="single" w:sz="4" w:space="0" w:color="auto"/>
            </w:tcBorders>
            <w:shd w:val="clear" w:color="auto" w:fill="auto"/>
            <w:vAlign w:val="bottom"/>
          </w:tcPr>
          <w:p w14:paraId="69199B52" w14:textId="77777777" w:rsidR="003233A7" w:rsidRPr="003233A7" w:rsidRDefault="003233A7" w:rsidP="003233A7">
            <w:pPr>
              <w:pStyle w:val="Tabletext"/>
            </w:pPr>
            <w:r w:rsidRPr="003233A7">
              <w:t>0</w:t>
            </w:r>
            <w:r w:rsidR="00D7157D">
              <w:t>.</w:t>
            </w:r>
            <w:r w:rsidRPr="003233A7">
              <w:t>7700</w:t>
            </w:r>
          </w:p>
        </w:tc>
        <w:tc>
          <w:tcPr>
            <w:tcW w:w="966" w:type="pct"/>
            <w:tcBorders>
              <w:top w:val="single" w:sz="4" w:space="0" w:color="auto"/>
              <w:bottom w:val="single" w:sz="4" w:space="0" w:color="auto"/>
            </w:tcBorders>
            <w:shd w:val="clear" w:color="auto" w:fill="auto"/>
            <w:vAlign w:val="bottom"/>
          </w:tcPr>
          <w:p w14:paraId="1668782D" w14:textId="77777777" w:rsidR="003233A7" w:rsidRPr="003233A7" w:rsidRDefault="003233A7" w:rsidP="003233A7">
            <w:pPr>
              <w:pStyle w:val="Tabletext"/>
            </w:pPr>
            <w:r w:rsidRPr="003233A7">
              <w:t>15</w:t>
            </w:r>
            <w:r w:rsidR="00D7157D">
              <w:t>.</w:t>
            </w:r>
            <w:r w:rsidRPr="003233A7">
              <w:t>0281</w:t>
            </w:r>
          </w:p>
        </w:tc>
        <w:tc>
          <w:tcPr>
            <w:tcW w:w="966" w:type="pct"/>
            <w:tcBorders>
              <w:top w:val="single" w:sz="4" w:space="0" w:color="auto"/>
              <w:bottom w:val="single" w:sz="4" w:space="0" w:color="auto"/>
              <w:right w:val="nil"/>
            </w:tcBorders>
            <w:shd w:val="clear" w:color="auto" w:fill="auto"/>
            <w:vAlign w:val="bottom"/>
          </w:tcPr>
          <w:p w14:paraId="40D71297" w14:textId="77777777" w:rsidR="003233A7" w:rsidRPr="003233A7" w:rsidRDefault="003233A7" w:rsidP="003233A7">
            <w:pPr>
              <w:pStyle w:val="Tabletext"/>
            </w:pPr>
            <w:r w:rsidRPr="003233A7">
              <w:t>0</w:t>
            </w:r>
            <w:r w:rsidR="00D7157D">
              <w:t>.</w:t>
            </w:r>
            <w:r w:rsidRPr="003233A7">
              <w:t>2101</w:t>
            </w:r>
          </w:p>
        </w:tc>
      </w:tr>
      <w:tr w:rsidR="003233A7" w:rsidRPr="003233A7" w14:paraId="0A4620B9" w14:textId="77777777" w:rsidTr="00993D49">
        <w:trPr>
          <w:cantSplit/>
        </w:trPr>
        <w:tc>
          <w:tcPr>
            <w:tcW w:w="1136" w:type="pct"/>
            <w:tcBorders>
              <w:top w:val="single" w:sz="4" w:space="0" w:color="auto"/>
              <w:bottom w:val="single" w:sz="4" w:space="0" w:color="auto"/>
            </w:tcBorders>
          </w:tcPr>
          <w:p w14:paraId="5A876FC0" w14:textId="77777777" w:rsidR="003233A7" w:rsidRPr="003233A7" w:rsidRDefault="003233A7" w:rsidP="003233A7">
            <w:pPr>
              <w:pStyle w:val="Tabletext"/>
            </w:pPr>
            <w:r w:rsidRPr="003233A7">
              <w:t>66</w:t>
            </w:r>
          </w:p>
        </w:tc>
        <w:tc>
          <w:tcPr>
            <w:tcW w:w="966" w:type="pct"/>
            <w:tcBorders>
              <w:top w:val="single" w:sz="4" w:space="0" w:color="auto"/>
              <w:bottom w:val="single" w:sz="4" w:space="0" w:color="auto"/>
            </w:tcBorders>
            <w:shd w:val="clear" w:color="auto" w:fill="auto"/>
            <w:vAlign w:val="bottom"/>
          </w:tcPr>
          <w:p w14:paraId="18D6EC73" w14:textId="77777777" w:rsidR="003233A7" w:rsidRPr="003233A7" w:rsidRDefault="003233A7" w:rsidP="003233A7">
            <w:pPr>
              <w:pStyle w:val="Tabletext"/>
            </w:pPr>
            <w:r w:rsidRPr="003233A7">
              <w:t>13</w:t>
            </w:r>
            <w:r w:rsidR="00D7157D">
              <w:t>.</w:t>
            </w:r>
            <w:r w:rsidRPr="003233A7">
              <w:t>1291</w:t>
            </w:r>
          </w:p>
        </w:tc>
        <w:tc>
          <w:tcPr>
            <w:tcW w:w="966" w:type="pct"/>
            <w:tcBorders>
              <w:top w:val="single" w:sz="4" w:space="0" w:color="auto"/>
              <w:bottom w:val="single" w:sz="4" w:space="0" w:color="auto"/>
            </w:tcBorders>
            <w:shd w:val="clear" w:color="auto" w:fill="auto"/>
            <w:vAlign w:val="bottom"/>
          </w:tcPr>
          <w:p w14:paraId="0839A723" w14:textId="77777777" w:rsidR="003233A7" w:rsidRPr="003233A7" w:rsidRDefault="003233A7" w:rsidP="003233A7">
            <w:pPr>
              <w:pStyle w:val="Tabletext"/>
            </w:pPr>
            <w:r w:rsidRPr="003233A7">
              <w:t>0</w:t>
            </w:r>
            <w:r w:rsidR="00D7157D">
              <w:t>.</w:t>
            </w:r>
            <w:r w:rsidRPr="003233A7">
              <w:t>7686</w:t>
            </w:r>
          </w:p>
        </w:tc>
        <w:tc>
          <w:tcPr>
            <w:tcW w:w="966" w:type="pct"/>
            <w:tcBorders>
              <w:top w:val="single" w:sz="4" w:space="0" w:color="auto"/>
              <w:bottom w:val="single" w:sz="4" w:space="0" w:color="auto"/>
            </w:tcBorders>
            <w:shd w:val="clear" w:color="auto" w:fill="auto"/>
            <w:vAlign w:val="bottom"/>
          </w:tcPr>
          <w:p w14:paraId="26CD9566" w14:textId="77777777" w:rsidR="003233A7" w:rsidRPr="003233A7" w:rsidRDefault="003233A7" w:rsidP="003233A7">
            <w:pPr>
              <w:pStyle w:val="Tabletext"/>
            </w:pPr>
            <w:r w:rsidRPr="003233A7">
              <w:t>14</w:t>
            </w:r>
            <w:r w:rsidR="00D7157D">
              <w:t>.</w:t>
            </w:r>
            <w:r w:rsidRPr="003233A7">
              <w:t>5548</w:t>
            </w:r>
          </w:p>
        </w:tc>
        <w:tc>
          <w:tcPr>
            <w:tcW w:w="966" w:type="pct"/>
            <w:tcBorders>
              <w:top w:val="single" w:sz="4" w:space="0" w:color="auto"/>
              <w:bottom w:val="single" w:sz="4" w:space="0" w:color="auto"/>
              <w:right w:val="nil"/>
            </w:tcBorders>
            <w:shd w:val="clear" w:color="auto" w:fill="auto"/>
            <w:vAlign w:val="bottom"/>
          </w:tcPr>
          <w:p w14:paraId="37E93FEC" w14:textId="77777777" w:rsidR="003233A7" w:rsidRPr="003233A7" w:rsidRDefault="003233A7" w:rsidP="003233A7">
            <w:pPr>
              <w:pStyle w:val="Tabletext"/>
            </w:pPr>
            <w:r w:rsidRPr="003233A7">
              <w:t>0</w:t>
            </w:r>
            <w:r w:rsidR="00D7157D">
              <w:t>.</w:t>
            </w:r>
            <w:r w:rsidRPr="003233A7">
              <w:t>2095</w:t>
            </w:r>
          </w:p>
        </w:tc>
      </w:tr>
      <w:tr w:rsidR="003233A7" w:rsidRPr="003233A7" w14:paraId="01479D45" w14:textId="77777777" w:rsidTr="00993D49">
        <w:trPr>
          <w:cantSplit/>
        </w:trPr>
        <w:tc>
          <w:tcPr>
            <w:tcW w:w="1136" w:type="pct"/>
            <w:tcBorders>
              <w:top w:val="single" w:sz="4" w:space="0" w:color="auto"/>
              <w:bottom w:val="single" w:sz="4" w:space="0" w:color="auto"/>
            </w:tcBorders>
          </w:tcPr>
          <w:p w14:paraId="3F620078" w14:textId="77777777" w:rsidR="003233A7" w:rsidRPr="003233A7" w:rsidRDefault="003233A7" w:rsidP="003233A7">
            <w:pPr>
              <w:pStyle w:val="Tabletext"/>
            </w:pPr>
            <w:r w:rsidRPr="003233A7">
              <w:t>67</w:t>
            </w:r>
          </w:p>
        </w:tc>
        <w:tc>
          <w:tcPr>
            <w:tcW w:w="966" w:type="pct"/>
            <w:tcBorders>
              <w:top w:val="single" w:sz="4" w:space="0" w:color="auto"/>
              <w:bottom w:val="single" w:sz="4" w:space="0" w:color="auto"/>
            </w:tcBorders>
            <w:shd w:val="clear" w:color="auto" w:fill="auto"/>
            <w:vAlign w:val="bottom"/>
          </w:tcPr>
          <w:p w14:paraId="2DB8DC54" w14:textId="77777777" w:rsidR="003233A7" w:rsidRPr="003233A7" w:rsidRDefault="003233A7" w:rsidP="003233A7">
            <w:pPr>
              <w:pStyle w:val="Tabletext"/>
            </w:pPr>
            <w:r w:rsidRPr="003233A7">
              <w:t>12</w:t>
            </w:r>
            <w:r w:rsidR="00D7157D">
              <w:t>.</w:t>
            </w:r>
            <w:r w:rsidRPr="003233A7">
              <w:t>6891</w:t>
            </w:r>
          </w:p>
        </w:tc>
        <w:tc>
          <w:tcPr>
            <w:tcW w:w="966" w:type="pct"/>
            <w:tcBorders>
              <w:top w:val="single" w:sz="4" w:space="0" w:color="auto"/>
              <w:bottom w:val="single" w:sz="4" w:space="0" w:color="auto"/>
            </w:tcBorders>
            <w:shd w:val="clear" w:color="auto" w:fill="auto"/>
            <w:vAlign w:val="bottom"/>
          </w:tcPr>
          <w:p w14:paraId="27E9491A" w14:textId="77777777" w:rsidR="003233A7" w:rsidRPr="003233A7" w:rsidRDefault="003233A7" w:rsidP="003233A7">
            <w:pPr>
              <w:pStyle w:val="Tabletext"/>
            </w:pPr>
            <w:r w:rsidRPr="003233A7">
              <w:t>0</w:t>
            </w:r>
            <w:r w:rsidR="00D7157D">
              <w:t>.</w:t>
            </w:r>
            <w:r w:rsidRPr="003233A7">
              <w:t>7666</w:t>
            </w:r>
          </w:p>
        </w:tc>
        <w:tc>
          <w:tcPr>
            <w:tcW w:w="966" w:type="pct"/>
            <w:tcBorders>
              <w:top w:val="single" w:sz="4" w:space="0" w:color="auto"/>
              <w:bottom w:val="single" w:sz="4" w:space="0" w:color="auto"/>
            </w:tcBorders>
            <w:shd w:val="clear" w:color="auto" w:fill="auto"/>
            <w:vAlign w:val="bottom"/>
          </w:tcPr>
          <w:p w14:paraId="3BA621F8" w14:textId="77777777" w:rsidR="003233A7" w:rsidRPr="003233A7" w:rsidRDefault="003233A7" w:rsidP="003233A7">
            <w:pPr>
              <w:pStyle w:val="Tabletext"/>
            </w:pPr>
            <w:r w:rsidRPr="003233A7">
              <w:t>14</w:t>
            </w:r>
            <w:r w:rsidR="00D7157D">
              <w:t>.</w:t>
            </w:r>
            <w:r w:rsidRPr="003233A7">
              <w:t>0773</w:t>
            </w:r>
          </w:p>
        </w:tc>
        <w:tc>
          <w:tcPr>
            <w:tcW w:w="966" w:type="pct"/>
            <w:tcBorders>
              <w:top w:val="single" w:sz="4" w:space="0" w:color="auto"/>
              <w:bottom w:val="single" w:sz="4" w:space="0" w:color="auto"/>
              <w:right w:val="nil"/>
            </w:tcBorders>
            <w:shd w:val="clear" w:color="auto" w:fill="auto"/>
            <w:vAlign w:val="bottom"/>
          </w:tcPr>
          <w:p w14:paraId="6F71F16C" w14:textId="77777777" w:rsidR="003233A7" w:rsidRPr="003233A7" w:rsidRDefault="003233A7" w:rsidP="003233A7">
            <w:pPr>
              <w:pStyle w:val="Tabletext"/>
            </w:pPr>
            <w:r w:rsidRPr="003233A7">
              <w:t>0</w:t>
            </w:r>
            <w:r w:rsidR="00D7157D">
              <w:t>.</w:t>
            </w:r>
            <w:r w:rsidRPr="003233A7">
              <w:t>2087</w:t>
            </w:r>
          </w:p>
        </w:tc>
      </w:tr>
      <w:tr w:rsidR="003233A7" w:rsidRPr="003233A7" w14:paraId="7332BDE7" w14:textId="77777777" w:rsidTr="00993D49">
        <w:trPr>
          <w:cantSplit/>
        </w:trPr>
        <w:tc>
          <w:tcPr>
            <w:tcW w:w="1136" w:type="pct"/>
            <w:tcBorders>
              <w:top w:val="single" w:sz="4" w:space="0" w:color="auto"/>
              <w:bottom w:val="single" w:sz="4" w:space="0" w:color="auto"/>
            </w:tcBorders>
          </w:tcPr>
          <w:p w14:paraId="33691C3C" w14:textId="77777777" w:rsidR="003233A7" w:rsidRPr="003233A7" w:rsidRDefault="003233A7" w:rsidP="003233A7">
            <w:pPr>
              <w:pStyle w:val="Tabletext"/>
            </w:pPr>
            <w:r w:rsidRPr="003233A7">
              <w:t>68</w:t>
            </w:r>
          </w:p>
        </w:tc>
        <w:tc>
          <w:tcPr>
            <w:tcW w:w="966" w:type="pct"/>
            <w:tcBorders>
              <w:top w:val="single" w:sz="4" w:space="0" w:color="auto"/>
              <w:bottom w:val="single" w:sz="4" w:space="0" w:color="auto"/>
            </w:tcBorders>
            <w:shd w:val="clear" w:color="auto" w:fill="auto"/>
            <w:vAlign w:val="bottom"/>
          </w:tcPr>
          <w:p w14:paraId="626CFE2A" w14:textId="77777777" w:rsidR="003233A7" w:rsidRPr="003233A7" w:rsidRDefault="003233A7" w:rsidP="003233A7">
            <w:pPr>
              <w:pStyle w:val="Tabletext"/>
            </w:pPr>
            <w:r w:rsidRPr="003233A7">
              <w:t>12</w:t>
            </w:r>
            <w:r w:rsidR="00D7157D">
              <w:t>.</w:t>
            </w:r>
            <w:r w:rsidRPr="003233A7">
              <w:t>2462</w:t>
            </w:r>
          </w:p>
        </w:tc>
        <w:tc>
          <w:tcPr>
            <w:tcW w:w="966" w:type="pct"/>
            <w:tcBorders>
              <w:top w:val="single" w:sz="4" w:space="0" w:color="auto"/>
              <w:bottom w:val="single" w:sz="4" w:space="0" w:color="auto"/>
            </w:tcBorders>
            <w:shd w:val="clear" w:color="auto" w:fill="auto"/>
            <w:vAlign w:val="bottom"/>
          </w:tcPr>
          <w:p w14:paraId="0A5F8AD5" w14:textId="77777777" w:rsidR="003233A7" w:rsidRPr="003233A7" w:rsidRDefault="003233A7" w:rsidP="003233A7">
            <w:pPr>
              <w:pStyle w:val="Tabletext"/>
            </w:pPr>
            <w:r w:rsidRPr="003233A7">
              <w:t>0</w:t>
            </w:r>
            <w:r w:rsidR="00D7157D">
              <w:t>.</w:t>
            </w:r>
            <w:r w:rsidRPr="003233A7">
              <w:t>7639</w:t>
            </w:r>
          </w:p>
        </w:tc>
        <w:tc>
          <w:tcPr>
            <w:tcW w:w="966" w:type="pct"/>
            <w:tcBorders>
              <w:top w:val="single" w:sz="4" w:space="0" w:color="auto"/>
              <w:bottom w:val="single" w:sz="4" w:space="0" w:color="auto"/>
            </w:tcBorders>
            <w:shd w:val="clear" w:color="auto" w:fill="auto"/>
            <w:vAlign w:val="bottom"/>
          </w:tcPr>
          <w:p w14:paraId="0E5DC906" w14:textId="77777777" w:rsidR="003233A7" w:rsidRPr="003233A7" w:rsidRDefault="003233A7" w:rsidP="003233A7">
            <w:pPr>
              <w:pStyle w:val="Tabletext"/>
            </w:pPr>
            <w:r w:rsidRPr="003233A7">
              <w:t>13</w:t>
            </w:r>
            <w:r w:rsidR="00D7157D">
              <w:t>.</w:t>
            </w:r>
            <w:r w:rsidRPr="003233A7">
              <w:t>5964</w:t>
            </w:r>
          </w:p>
        </w:tc>
        <w:tc>
          <w:tcPr>
            <w:tcW w:w="966" w:type="pct"/>
            <w:tcBorders>
              <w:top w:val="single" w:sz="4" w:space="0" w:color="auto"/>
              <w:bottom w:val="single" w:sz="4" w:space="0" w:color="auto"/>
              <w:right w:val="nil"/>
            </w:tcBorders>
            <w:shd w:val="clear" w:color="auto" w:fill="auto"/>
            <w:vAlign w:val="bottom"/>
          </w:tcPr>
          <w:p w14:paraId="3EF5B522" w14:textId="77777777" w:rsidR="003233A7" w:rsidRPr="003233A7" w:rsidRDefault="003233A7" w:rsidP="003233A7">
            <w:pPr>
              <w:pStyle w:val="Tabletext"/>
            </w:pPr>
            <w:r w:rsidRPr="003233A7">
              <w:t>0</w:t>
            </w:r>
            <w:r w:rsidR="00D7157D">
              <w:t>.</w:t>
            </w:r>
            <w:r w:rsidRPr="003233A7">
              <w:t>2077</w:t>
            </w:r>
          </w:p>
        </w:tc>
      </w:tr>
      <w:tr w:rsidR="003233A7" w:rsidRPr="003233A7" w14:paraId="7A9E3F94" w14:textId="77777777" w:rsidTr="00993D49">
        <w:trPr>
          <w:cantSplit/>
        </w:trPr>
        <w:tc>
          <w:tcPr>
            <w:tcW w:w="1136" w:type="pct"/>
            <w:tcBorders>
              <w:top w:val="single" w:sz="4" w:space="0" w:color="auto"/>
              <w:bottom w:val="single" w:sz="4" w:space="0" w:color="auto"/>
            </w:tcBorders>
          </w:tcPr>
          <w:p w14:paraId="7CAC3DFA" w14:textId="77777777" w:rsidR="003233A7" w:rsidRPr="003233A7" w:rsidRDefault="003233A7" w:rsidP="003233A7">
            <w:pPr>
              <w:pStyle w:val="Tabletext"/>
            </w:pPr>
            <w:r w:rsidRPr="003233A7">
              <w:t>69</w:t>
            </w:r>
          </w:p>
        </w:tc>
        <w:tc>
          <w:tcPr>
            <w:tcW w:w="966" w:type="pct"/>
            <w:tcBorders>
              <w:top w:val="single" w:sz="4" w:space="0" w:color="auto"/>
              <w:bottom w:val="single" w:sz="4" w:space="0" w:color="auto"/>
            </w:tcBorders>
            <w:shd w:val="clear" w:color="auto" w:fill="auto"/>
            <w:vAlign w:val="bottom"/>
          </w:tcPr>
          <w:p w14:paraId="76D291C9" w14:textId="77777777" w:rsidR="003233A7" w:rsidRPr="003233A7" w:rsidRDefault="003233A7" w:rsidP="003233A7">
            <w:pPr>
              <w:pStyle w:val="Tabletext"/>
            </w:pPr>
            <w:r w:rsidRPr="003233A7">
              <w:t>11</w:t>
            </w:r>
            <w:r w:rsidR="00D7157D">
              <w:t>.</w:t>
            </w:r>
            <w:r w:rsidRPr="003233A7">
              <w:t>8017</w:t>
            </w:r>
          </w:p>
        </w:tc>
        <w:tc>
          <w:tcPr>
            <w:tcW w:w="966" w:type="pct"/>
            <w:tcBorders>
              <w:top w:val="single" w:sz="4" w:space="0" w:color="auto"/>
              <w:bottom w:val="single" w:sz="4" w:space="0" w:color="auto"/>
            </w:tcBorders>
            <w:shd w:val="clear" w:color="auto" w:fill="auto"/>
            <w:vAlign w:val="bottom"/>
          </w:tcPr>
          <w:p w14:paraId="072FB081" w14:textId="77777777" w:rsidR="003233A7" w:rsidRPr="003233A7" w:rsidRDefault="003233A7" w:rsidP="003233A7">
            <w:pPr>
              <w:pStyle w:val="Tabletext"/>
            </w:pPr>
            <w:r w:rsidRPr="003233A7">
              <w:t>0</w:t>
            </w:r>
            <w:r w:rsidR="00D7157D">
              <w:t>.</w:t>
            </w:r>
            <w:r w:rsidRPr="003233A7">
              <w:t>7604</w:t>
            </w:r>
          </w:p>
        </w:tc>
        <w:tc>
          <w:tcPr>
            <w:tcW w:w="966" w:type="pct"/>
            <w:tcBorders>
              <w:top w:val="single" w:sz="4" w:space="0" w:color="auto"/>
              <w:bottom w:val="single" w:sz="4" w:space="0" w:color="auto"/>
            </w:tcBorders>
            <w:shd w:val="clear" w:color="auto" w:fill="auto"/>
            <w:vAlign w:val="bottom"/>
          </w:tcPr>
          <w:p w14:paraId="4B92E84E" w14:textId="77777777" w:rsidR="003233A7" w:rsidRPr="003233A7" w:rsidRDefault="003233A7" w:rsidP="003233A7">
            <w:pPr>
              <w:pStyle w:val="Tabletext"/>
            </w:pPr>
            <w:r w:rsidRPr="003233A7">
              <w:t>13</w:t>
            </w:r>
            <w:r w:rsidR="00D7157D">
              <w:t>.</w:t>
            </w:r>
            <w:r w:rsidRPr="003233A7">
              <w:t>1133</w:t>
            </w:r>
          </w:p>
        </w:tc>
        <w:tc>
          <w:tcPr>
            <w:tcW w:w="966" w:type="pct"/>
            <w:tcBorders>
              <w:top w:val="single" w:sz="4" w:space="0" w:color="auto"/>
              <w:bottom w:val="single" w:sz="4" w:space="0" w:color="auto"/>
              <w:right w:val="nil"/>
            </w:tcBorders>
            <w:shd w:val="clear" w:color="auto" w:fill="auto"/>
            <w:vAlign w:val="bottom"/>
          </w:tcPr>
          <w:p w14:paraId="5DE6CEF4" w14:textId="77777777" w:rsidR="003233A7" w:rsidRPr="003233A7" w:rsidRDefault="003233A7" w:rsidP="003233A7">
            <w:pPr>
              <w:pStyle w:val="Tabletext"/>
            </w:pPr>
            <w:r w:rsidRPr="003233A7">
              <w:t>0</w:t>
            </w:r>
            <w:r w:rsidR="00D7157D">
              <w:t>.</w:t>
            </w:r>
            <w:r w:rsidRPr="003233A7">
              <w:t>2063</w:t>
            </w:r>
          </w:p>
        </w:tc>
      </w:tr>
      <w:tr w:rsidR="003233A7" w:rsidRPr="003233A7" w14:paraId="05DAF125" w14:textId="77777777" w:rsidTr="00993D49">
        <w:trPr>
          <w:cantSplit/>
        </w:trPr>
        <w:tc>
          <w:tcPr>
            <w:tcW w:w="1136" w:type="pct"/>
            <w:tcBorders>
              <w:top w:val="single" w:sz="4" w:space="0" w:color="auto"/>
              <w:bottom w:val="single" w:sz="4" w:space="0" w:color="auto"/>
            </w:tcBorders>
          </w:tcPr>
          <w:p w14:paraId="23FA01E9" w14:textId="77777777" w:rsidR="003233A7" w:rsidRPr="003233A7" w:rsidRDefault="003233A7" w:rsidP="003233A7">
            <w:pPr>
              <w:pStyle w:val="Tabletext"/>
            </w:pPr>
            <w:r w:rsidRPr="003233A7">
              <w:t>70</w:t>
            </w:r>
          </w:p>
        </w:tc>
        <w:tc>
          <w:tcPr>
            <w:tcW w:w="966" w:type="pct"/>
            <w:tcBorders>
              <w:top w:val="single" w:sz="4" w:space="0" w:color="auto"/>
              <w:bottom w:val="single" w:sz="4" w:space="0" w:color="auto"/>
            </w:tcBorders>
            <w:shd w:val="clear" w:color="auto" w:fill="auto"/>
            <w:vAlign w:val="bottom"/>
          </w:tcPr>
          <w:p w14:paraId="492805E9" w14:textId="77777777" w:rsidR="003233A7" w:rsidRPr="003233A7" w:rsidRDefault="003233A7" w:rsidP="003233A7">
            <w:pPr>
              <w:pStyle w:val="Tabletext"/>
            </w:pPr>
            <w:r w:rsidRPr="003233A7">
              <w:t>11</w:t>
            </w:r>
            <w:r w:rsidR="00D7157D">
              <w:t>.</w:t>
            </w:r>
            <w:r w:rsidRPr="003233A7">
              <w:t>3564</w:t>
            </w:r>
          </w:p>
        </w:tc>
        <w:tc>
          <w:tcPr>
            <w:tcW w:w="966" w:type="pct"/>
            <w:tcBorders>
              <w:top w:val="single" w:sz="4" w:space="0" w:color="auto"/>
              <w:bottom w:val="single" w:sz="4" w:space="0" w:color="auto"/>
            </w:tcBorders>
            <w:shd w:val="clear" w:color="auto" w:fill="auto"/>
            <w:vAlign w:val="bottom"/>
          </w:tcPr>
          <w:p w14:paraId="1F779350" w14:textId="77777777" w:rsidR="003233A7" w:rsidRPr="003233A7" w:rsidRDefault="003233A7" w:rsidP="003233A7">
            <w:pPr>
              <w:pStyle w:val="Tabletext"/>
            </w:pPr>
            <w:r w:rsidRPr="003233A7">
              <w:t>0</w:t>
            </w:r>
            <w:r w:rsidR="00D7157D">
              <w:t>.</w:t>
            </w:r>
            <w:r w:rsidRPr="003233A7">
              <w:t>7560</w:t>
            </w:r>
          </w:p>
        </w:tc>
        <w:tc>
          <w:tcPr>
            <w:tcW w:w="966" w:type="pct"/>
            <w:tcBorders>
              <w:top w:val="single" w:sz="4" w:space="0" w:color="auto"/>
              <w:bottom w:val="single" w:sz="4" w:space="0" w:color="auto"/>
            </w:tcBorders>
            <w:shd w:val="clear" w:color="auto" w:fill="auto"/>
            <w:vAlign w:val="bottom"/>
          </w:tcPr>
          <w:p w14:paraId="495B2B78" w14:textId="77777777" w:rsidR="003233A7" w:rsidRPr="003233A7" w:rsidRDefault="003233A7" w:rsidP="003233A7">
            <w:pPr>
              <w:pStyle w:val="Tabletext"/>
            </w:pPr>
            <w:r w:rsidRPr="003233A7">
              <w:t>12</w:t>
            </w:r>
            <w:r w:rsidR="00D7157D">
              <w:t>.</w:t>
            </w:r>
            <w:r w:rsidRPr="003233A7">
              <w:t>6286</w:t>
            </w:r>
          </w:p>
        </w:tc>
        <w:tc>
          <w:tcPr>
            <w:tcW w:w="966" w:type="pct"/>
            <w:tcBorders>
              <w:top w:val="single" w:sz="4" w:space="0" w:color="auto"/>
              <w:bottom w:val="single" w:sz="4" w:space="0" w:color="auto"/>
              <w:right w:val="nil"/>
            </w:tcBorders>
            <w:shd w:val="clear" w:color="auto" w:fill="auto"/>
            <w:vAlign w:val="bottom"/>
          </w:tcPr>
          <w:p w14:paraId="499F7867" w14:textId="77777777" w:rsidR="003233A7" w:rsidRPr="003233A7" w:rsidRDefault="003233A7" w:rsidP="003233A7">
            <w:pPr>
              <w:pStyle w:val="Tabletext"/>
            </w:pPr>
            <w:r w:rsidRPr="003233A7">
              <w:t>0</w:t>
            </w:r>
            <w:r w:rsidR="00D7157D">
              <w:t>.</w:t>
            </w:r>
            <w:r w:rsidRPr="003233A7">
              <w:t>2047</w:t>
            </w:r>
          </w:p>
        </w:tc>
      </w:tr>
      <w:tr w:rsidR="003233A7" w:rsidRPr="003233A7" w14:paraId="21B4A862" w14:textId="77777777" w:rsidTr="00993D49">
        <w:trPr>
          <w:cantSplit/>
        </w:trPr>
        <w:tc>
          <w:tcPr>
            <w:tcW w:w="1136" w:type="pct"/>
            <w:tcBorders>
              <w:top w:val="single" w:sz="4" w:space="0" w:color="auto"/>
              <w:bottom w:val="single" w:sz="4" w:space="0" w:color="auto"/>
            </w:tcBorders>
          </w:tcPr>
          <w:p w14:paraId="3B61D73B" w14:textId="77777777" w:rsidR="003233A7" w:rsidRPr="003233A7" w:rsidRDefault="003233A7" w:rsidP="003233A7">
            <w:pPr>
              <w:pStyle w:val="Tabletext"/>
            </w:pPr>
            <w:r w:rsidRPr="003233A7">
              <w:t>71</w:t>
            </w:r>
          </w:p>
        </w:tc>
        <w:tc>
          <w:tcPr>
            <w:tcW w:w="966" w:type="pct"/>
            <w:tcBorders>
              <w:top w:val="single" w:sz="4" w:space="0" w:color="auto"/>
              <w:bottom w:val="single" w:sz="4" w:space="0" w:color="auto"/>
            </w:tcBorders>
            <w:shd w:val="clear" w:color="auto" w:fill="auto"/>
            <w:vAlign w:val="bottom"/>
          </w:tcPr>
          <w:p w14:paraId="338AD484" w14:textId="77777777" w:rsidR="003233A7" w:rsidRPr="003233A7" w:rsidRDefault="003233A7" w:rsidP="003233A7">
            <w:pPr>
              <w:pStyle w:val="Tabletext"/>
            </w:pPr>
            <w:r w:rsidRPr="003233A7">
              <w:t>10</w:t>
            </w:r>
            <w:r w:rsidR="00D7157D">
              <w:t>.</w:t>
            </w:r>
            <w:r w:rsidRPr="003233A7">
              <w:t>9115</w:t>
            </w:r>
          </w:p>
        </w:tc>
        <w:tc>
          <w:tcPr>
            <w:tcW w:w="966" w:type="pct"/>
            <w:tcBorders>
              <w:top w:val="single" w:sz="4" w:space="0" w:color="auto"/>
              <w:bottom w:val="single" w:sz="4" w:space="0" w:color="auto"/>
            </w:tcBorders>
            <w:shd w:val="clear" w:color="auto" w:fill="auto"/>
            <w:vAlign w:val="bottom"/>
          </w:tcPr>
          <w:p w14:paraId="70079CE0" w14:textId="77777777" w:rsidR="003233A7" w:rsidRPr="003233A7" w:rsidRDefault="003233A7" w:rsidP="003233A7">
            <w:pPr>
              <w:pStyle w:val="Tabletext"/>
            </w:pPr>
            <w:r w:rsidRPr="003233A7">
              <w:t>0</w:t>
            </w:r>
            <w:r w:rsidR="00D7157D">
              <w:t>.</w:t>
            </w:r>
            <w:r w:rsidRPr="003233A7">
              <w:t>7507</w:t>
            </w:r>
          </w:p>
        </w:tc>
        <w:tc>
          <w:tcPr>
            <w:tcW w:w="966" w:type="pct"/>
            <w:tcBorders>
              <w:top w:val="single" w:sz="4" w:space="0" w:color="auto"/>
              <w:bottom w:val="single" w:sz="4" w:space="0" w:color="auto"/>
            </w:tcBorders>
            <w:shd w:val="clear" w:color="auto" w:fill="auto"/>
            <w:vAlign w:val="bottom"/>
          </w:tcPr>
          <w:p w14:paraId="6F1A1DCE" w14:textId="77777777" w:rsidR="003233A7" w:rsidRPr="003233A7" w:rsidRDefault="003233A7" w:rsidP="003233A7">
            <w:pPr>
              <w:pStyle w:val="Tabletext"/>
            </w:pPr>
            <w:r w:rsidRPr="003233A7">
              <w:t>12</w:t>
            </w:r>
            <w:r w:rsidR="00D7157D">
              <w:t>.</w:t>
            </w:r>
            <w:r w:rsidRPr="003233A7">
              <w:t>1431</w:t>
            </w:r>
          </w:p>
        </w:tc>
        <w:tc>
          <w:tcPr>
            <w:tcW w:w="966" w:type="pct"/>
            <w:tcBorders>
              <w:top w:val="single" w:sz="4" w:space="0" w:color="auto"/>
              <w:bottom w:val="single" w:sz="4" w:space="0" w:color="auto"/>
              <w:right w:val="nil"/>
            </w:tcBorders>
            <w:shd w:val="clear" w:color="auto" w:fill="auto"/>
            <w:vAlign w:val="bottom"/>
          </w:tcPr>
          <w:p w14:paraId="57F65F58" w14:textId="77777777" w:rsidR="003233A7" w:rsidRPr="003233A7" w:rsidRDefault="003233A7" w:rsidP="003233A7">
            <w:pPr>
              <w:pStyle w:val="Tabletext"/>
            </w:pPr>
            <w:r w:rsidRPr="003233A7">
              <w:t>0</w:t>
            </w:r>
            <w:r w:rsidR="00D7157D">
              <w:t>.</w:t>
            </w:r>
            <w:r w:rsidRPr="003233A7">
              <w:t>2028</w:t>
            </w:r>
          </w:p>
        </w:tc>
      </w:tr>
      <w:tr w:rsidR="003233A7" w:rsidRPr="003233A7" w14:paraId="323C314D" w14:textId="77777777" w:rsidTr="00993D49">
        <w:trPr>
          <w:cantSplit/>
        </w:trPr>
        <w:tc>
          <w:tcPr>
            <w:tcW w:w="1136" w:type="pct"/>
            <w:tcBorders>
              <w:top w:val="single" w:sz="4" w:space="0" w:color="auto"/>
              <w:bottom w:val="single" w:sz="4" w:space="0" w:color="auto"/>
            </w:tcBorders>
          </w:tcPr>
          <w:p w14:paraId="2AAC8348" w14:textId="77777777" w:rsidR="003233A7" w:rsidRPr="003233A7" w:rsidRDefault="003233A7" w:rsidP="003233A7">
            <w:pPr>
              <w:pStyle w:val="Tabletext"/>
            </w:pPr>
            <w:r w:rsidRPr="003233A7">
              <w:t>72</w:t>
            </w:r>
          </w:p>
        </w:tc>
        <w:tc>
          <w:tcPr>
            <w:tcW w:w="966" w:type="pct"/>
            <w:tcBorders>
              <w:top w:val="single" w:sz="4" w:space="0" w:color="auto"/>
              <w:bottom w:val="single" w:sz="4" w:space="0" w:color="auto"/>
            </w:tcBorders>
            <w:shd w:val="clear" w:color="auto" w:fill="auto"/>
            <w:vAlign w:val="bottom"/>
          </w:tcPr>
          <w:p w14:paraId="3735262B" w14:textId="77777777" w:rsidR="003233A7" w:rsidRPr="003233A7" w:rsidRDefault="003233A7" w:rsidP="003233A7">
            <w:pPr>
              <w:pStyle w:val="Tabletext"/>
            </w:pPr>
            <w:r w:rsidRPr="003233A7">
              <w:t>10</w:t>
            </w:r>
            <w:r w:rsidR="00D7157D">
              <w:t>.</w:t>
            </w:r>
            <w:r w:rsidRPr="003233A7">
              <w:t>4676</w:t>
            </w:r>
          </w:p>
        </w:tc>
        <w:tc>
          <w:tcPr>
            <w:tcW w:w="966" w:type="pct"/>
            <w:tcBorders>
              <w:top w:val="single" w:sz="4" w:space="0" w:color="auto"/>
              <w:bottom w:val="single" w:sz="4" w:space="0" w:color="auto"/>
            </w:tcBorders>
            <w:shd w:val="clear" w:color="auto" w:fill="auto"/>
            <w:vAlign w:val="bottom"/>
          </w:tcPr>
          <w:p w14:paraId="0D05FE44" w14:textId="77777777" w:rsidR="003233A7" w:rsidRPr="003233A7" w:rsidRDefault="003233A7" w:rsidP="003233A7">
            <w:pPr>
              <w:pStyle w:val="Tabletext"/>
            </w:pPr>
            <w:r w:rsidRPr="003233A7">
              <w:t>0</w:t>
            </w:r>
            <w:r w:rsidR="00D7157D">
              <w:t>.</w:t>
            </w:r>
            <w:r w:rsidRPr="003233A7">
              <w:t>7444</w:t>
            </w:r>
          </w:p>
        </w:tc>
        <w:tc>
          <w:tcPr>
            <w:tcW w:w="966" w:type="pct"/>
            <w:tcBorders>
              <w:top w:val="single" w:sz="4" w:space="0" w:color="auto"/>
              <w:bottom w:val="single" w:sz="4" w:space="0" w:color="auto"/>
            </w:tcBorders>
            <w:shd w:val="clear" w:color="auto" w:fill="auto"/>
            <w:vAlign w:val="bottom"/>
          </w:tcPr>
          <w:p w14:paraId="39F8247C" w14:textId="77777777" w:rsidR="003233A7" w:rsidRPr="003233A7" w:rsidRDefault="003233A7" w:rsidP="003233A7">
            <w:pPr>
              <w:pStyle w:val="Tabletext"/>
            </w:pPr>
            <w:r w:rsidRPr="003233A7">
              <w:t>11</w:t>
            </w:r>
            <w:r w:rsidR="00D7157D">
              <w:t>.</w:t>
            </w:r>
            <w:r w:rsidRPr="003233A7">
              <w:t>6568</w:t>
            </w:r>
          </w:p>
        </w:tc>
        <w:tc>
          <w:tcPr>
            <w:tcW w:w="966" w:type="pct"/>
            <w:tcBorders>
              <w:top w:val="single" w:sz="4" w:space="0" w:color="auto"/>
              <w:bottom w:val="single" w:sz="4" w:space="0" w:color="auto"/>
              <w:right w:val="nil"/>
            </w:tcBorders>
            <w:shd w:val="clear" w:color="auto" w:fill="auto"/>
            <w:vAlign w:val="bottom"/>
          </w:tcPr>
          <w:p w14:paraId="7F9C8235" w14:textId="77777777" w:rsidR="003233A7" w:rsidRPr="003233A7" w:rsidRDefault="003233A7" w:rsidP="003233A7">
            <w:pPr>
              <w:pStyle w:val="Tabletext"/>
            </w:pPr>
            <w:r w:rsidRPr="003233A7">
              <w:t>0</w:t>
            </w:r>
            <w:r w:rsidR="00D7157D">
              <w:t>.</w:t>
            </w:r>
            <w:r w:rsidRPr="003233A7">
              <w:t>2006</w:t>
            </w:r>
          </w:p>
        </w:tc>
      </w:tr>
      <w:tr w:rsidR="003233A7" w:rsidRPr="003233A7" w14:paraId="12F69DEE" w14:textId="77777777" w:rsidTr="00993D49">
        <w:trPr>
          <w:cantSplit/>
        </w:trPr>
        <w:tc>
          <w:tcPr>
            <w:tcW w:w="1136" w:type="pct"/>
            <w:tcBorders>
              <w:top w:val="single" w:sz="4" w:space="0" w:color="auto"/>
              <w:bottom w:val="single" w:sz="4" w:space="0" w:color="auto"/>
            </w:tcBorders>
          </w:tcPr>
          <w:p w14:paraId="4A3C2F2A" w14:textId="77777777" w:rsidR="003233A7" w:rsidRPr="003233A7" w:rsidRDefault="003233A7" w:rsidP="003233A7">
            <w:pPr>
              <w:pStyle w:val="Tabletext"/>
            </w:pPr>
            <w:r w:rsidRPr="003233A7">
              <w:t>73</w:t>
            </w:r>
          </w:p>
        </w:tc>
        <w:tc>
          <w:tcPr>
            <w:tcW w:w="966" w:type="pct"/>
            <w:tcBorders>
              <w:top w:val="single" w:sz="4" w:space="0" w:color="auto"/>
              <w:bottom w:val="single" w:sz="4" w:space="0" w:color="auto"/>
            </w:tcBorders>
            <w:shd w:val="clear" w:color="auto" w:fill="auto"/>
            <w:vAlign w:val="bottom"/>
          </w:tcPr>
          <w:p w14:paraId="01EA3015" w14:textId="77777777" w:rsidR="003233A7" w:rsidRPr="003233A7" w:rsidRDefault="003233A7" w:rsidP="003233A7">
            <w:pPr>
              <w:pStyle w:val="Tabletext"/>
            </w:pPr>
            <w:r w:rsidRPr="003233A7">
              <w:t>10</w:t>
            </w:r>
            <w:r w:rsidR="00D7157D">
              <w:t>.</w:t>
            </w:r>
            <w:r w:rsidRPr="003233A7">
              <w:t>0256</w:t>
            </w:r>
          </w:p>
        </w:tc>
        <w:tc>
          <w:tcPr>
            <w:tcW w:w="966" w:type="pct"/>
            <w:tcBorders>
              <w:top w:val="single" w:sz="4" w:space="0" w:color="auto"/>
              <w:bottom w:val="single" w:sz="4" w:space="0" w:color="auto"/>
            </w:tcBorders>
            <w:shd w:val="clear" w:color="auto" w:fill="auto"/>
            <w:vAlign w:val="bottom"/>
          </w:tcPr>
          <w:p w14:paraId="10435698" w14:textId="77777777" w:rsidR="003233A7" w:rsidRPr="003233A7" w:rsidRDefault="003233A7" w:rsidP="003233A7">
            <w:pPr>
              <w:pStyle w:val="Tabletext"/>
            </w:pPr>
            <w:r w:rsidRPr="003233A7">
              <w:t>0</w:t>
            </w:r>
            <w:r w:rsidR="00D7157D">
              <w:t>.</w:t>
            </w:r>
            <w:r w:rsidRPr="003233A7">
              <w:t>7370</w:t>
            </w:r>
          </w:p>
        </w:tc>
        <w:tc>
          <w:tcPr>
            <w:tcW w:w="966" w:type="pct"/>
            <w:tcBorders>
              <w:top w:val="single" w:sz="4" w:space="0" w:color="auto"/>
              <w:bottom w:val="single" w:sz="4" w:space="0" w:color="auto"/>
            </w:tcBorders>
            <w:shd w:val="clear" w:color="auto" w:fill="auto"/>
            <w:vAlign w:val="bottom"/>
          </w:tcPr>
          <w:p w14:paraId="025DCB35" w14:textId="77777777" w:rsidR="003233A7" w:rsidRPr="003233A7" w:rsidRDefault="003233A7" w:rsidP="003233A7">
            <w:pPr>
              <w:pStyle w:val="Tabletext"/>
            </w:pPr>
            <w:r w:rsidRPr="003233A7">
              <w:t>11</w:t>
            </w:r>
            <w:r w:rsidR="00D7157D">
              <w:t>.</w:t>
            </w:r>
            <w:r w:rsidRPr="003233A7">
              <w:t>1713</w:t>
            </w:r>
          </w:p>
        </w:tc>
        <w:tc>
          <w:tcPr>
            <w:tcW w:w="966" w:type="pct"/>
            <w:tcBorders>
              <w:top w:val="single" w:sz="4" w:space="0" w:color="auto"/>
              <w:bottom w:val="single" w:sz="4" w:space="0" w:color="auto"/>
              <w:right w:val="nil"/>
            </w:tcBorders>
            <w:shd w:val="clear" w:color="auto" w:fill="auto"/>
            <w:vAlign w:val="bottom"/>
          </w:tcPr>
          <w:p w14:paraId="63496D65" w14:textId="77777777" w:rsidR="003233A7" w:rsidRPr="003233A7" w:rsidRDefault="003233A7" w:rsidP="003233A7">
            <w:pPr>
              <w:pStyle w:val="Tabletext"/>
            </w:pPr>
            <w:r w:rsidRPr="003233A7">
              <w:t>0</w:t>
            </w:r>
            <w:r w:rsidR="00D7157D">
              <w:t>.</w:t>
            </w:r>
            <w:r w:rsidRPr="003233A7">
              <w:t>1981</w:t>
            </w:r>
          </w:p>
        </w:tc>
      </w:tr>
      <w:tr w:rsidR="003233A7" w:rsidRPr="003233A7" w14:paraId="1AC4701B" w14:textId="77777777" w:rsidTr="00993D49">
        <w:trPr>
          <w:cantSplit/>
        </w:trPr>
        <w:tc>
          <w:tcPr>
            <w:tcW w:w="1136" w:type="pct"/>
            <w:tcBorders>
              <w:top w:val="single" w:sz="4" w:space="0" w:color="auto"/>
              <w:bottom w:val="single" w:sz="4" w:space="0" w:color="auto"/>
            </w:tcBorders>
          </w:tcPr>
          <w:p w14:paraId="1A155C99" w14:textId="77777777" w:rsidR="003233A7" w:rsidRPr="003233A7" w:rsidRDefault="003233A7" w:rsidP="003233A7">
            <w:pPr>
              <w:pStyle w:val="Tabletext"/>
            </w:pPr>
            <w:r w:rsidRPr="003233A7">
              <w:t>74</w:t>
            </w:r>
          </w:p>
        </w:tc>
        <w:tc>
          <w:tcPr>
            <w:tcW w:w="966" w:type="pct"/>
            <w:tcBorders>
              <w:top w:val="single" w:sz="4" w:space="0" w:color="auto"/>
              <w:bottom w:val="single" w:sz="4" w:space="0" w:color="auto"/>
            </w:tcBorders>
            <w:shd w:val="clear" w:color="auto" w:fill="auto"/>
            <w:vAlign w:val="bottom"/>
          </w:tcPr>
          <w:p w14:paraId="408E28B5" w14:textId="77777777" w:rsidR="003233A7" w:rsidRPr="003233A7" w:rsidRDefault="003233A7" w:rsidP="003233A7">
            <w:pPr>
              <w:pStyle w:val="Tabletext"/>
            </w:pPr>
            <w:r w:rsidRPr="003233A7">
              <w:t>9</w:t>
            </w:r>
            <w:r w:rsidR="00D7157D">
              <w:t>.</w:t>
            </w:r>
            <w:r w:rsidRPr="003233A7">
              <w:t>5859</w:t>
            </w:r>
          </w:p>
        </w:tc>
        <w:tc>
          <w:tcPr>
            <w:tcW w:w="966" w:type="pct"/>
            <w:tcBorders>
              <w:top w:val="single" w:sz="4" w:space="0" w:color="auto"/>
              <w:bottom w:val="single" w:sz="4" w:space="0" w:color="auto"/>
            </w:tcBorders>
            <w:shd w:val="clear" w:color="auto" w:fill="auto"/>
            <w:vAlign w:val="bottom"/>
          </w:tcPr>
          <w:p w14:paraId="28BC7A67" w14:textId="77777777" w:rsidR="003233A7" w:rsidRPr="003233A7" w:rsidRDefault="003233A7" w:rsidP="003233A7">
            <w:pPr>
              <w:pStyle w:val="Tabletext"/>
            </w:pPr>
            <w:r w:rsidRPr="003233A7">
              <w:t>0</w:t>
            </w:r>
            <w:r w:rsidR="00D7157D">
              <w:t>.</w:t>
            </w:r>
            <w:r w:rsidRPr="003233A7">
              <w:t>7285</w:t>
            </w:r>
          </w:p>
        </w:tc>
        <w:tc>
          <w:tcPr>
            <w:tcW w:w="966" w:type="pct"/>
            <w:tcBorders>
              <w:top w:val="single" w:sz="4" w:space="0" w:color="auto"/>
              <w:bottom w:val="single" w:sz="4" w:space="0" w:color="auto"/>
            </w:tcBorders>
            <w:shd w:val="clear" w:color="auto" w:fill="auto"/>
            <w:vAlign w:val="bottom"/>
          </w:tcPr>
          <w:p w14:paraId="61B0824E" w14:textId="77777777" w:rsidR="003233A7" w:rsidRPr="003233A7" w:rsidRDefault="003233A7" w:rsidP="003233A7">
            <w:pPr>
              <w:pStyle w:val="Tabletext"/>
            </w:pPr>
            <w:r w:rsidRPr="003233A7">
              <w:t>10</w:t>
            </w:r>
            <w:r w:rsidR="00D7157D">
              <w:t>.</w:t>
            </w:r>
            <w:r w:rsidRPr="003233A7">
              <w:t>6878</w:t>
            </w:r>
          </w:p>
        </w:tc>
        <w:tc>
          <w:tcPr>
            <w:tcW w:w="966" w:type="pct"/>
            <w:tcBorders>
              <w:top w:val="single" w:sz="4" w:space="0" w:color="auto"/>
              <w:bottom w:val="single" w:sz="4" w:space="0" w:color="auto"/>
              <w:right w:val="nil"/>
            </w:tcBorders>
            <w:shd w:val="clear" w:color="auto" w:fill="auto"/>
            <w:vAlign w:val="bottom"/>
          </w:tcPr>
          <w:p w14:paraId="4B83CFB7" w14:textId="77777777" w:rsidR="003233A7" w:rsidRPr="003233A7" w:rsidRDefault="003233A7" w:rsidP="003233A7">
            <w:pPr>
              <w:pStyle w:val="Tabletext"/>
            </w:pPr>
            <w:r w:rsidRPr="003233A7">
              <w:t>0</w:t>
            </w:r>
            <w:r w:rsidR="00D7157D">
              <w:t>.</w:t>
            </w:r>
            <w:r w:rsidRPr="003233A7">
              <w:t>1953</w:t>
            </w:r>
          </w:p>
        </w:tc>
      </w:tr>
      <w:tr w:rsidR="003233A7" w:rsidRPr="003233A7" w14:paraId="2ECFCEA9" w14:textId="77777777" w:rsidTr="00993D49">
        <w:trPr>
          <w:cantSplit/>
        </w:trPr>
        <w:tc>
          <w:tcPr>
            <w:tcW w:w="1136" w:type="pct"/>
            <w:tcBorders>
              <w:top w:val="single" w:sz="4" w:space="0" w:color="auto"/>
              <w:bottom w:val="single" w:sz="4" w:space="0" w:color="auto"/>
            </w:tcBorders>
          </w:tcPr>
          <w:p w14:paraId="7D0D805D" w14:textId="77777777" w:rsidR="003233A7" w:rsidRPr="003233A7" w:rsidRDefault="003233A7" w:rsidP="003233A7">
            <w:pPr>
              <w:pStyle w:val="Tabletext"/>
            </w:pPr>
            <w:r w:rsidRPr="003233A7">
              <w:t>75</w:t>
            </w:r>
          </w:p>
        </w:tc>
        <w:tc>
          <w:tcPr>
            <w:tcW w:w="966" w:type="pct"/>
            <w:tcBorders>
              <w:top w:val="single" w:sz="4" w:space="0" w:color="auto"/>
              <w:bottom w:val="single" w:sz="4" w:space="0" w:color="auto"/>
            </w:tcBorders>
            <w:shd w:val="clear" w:color="auto" w:fill="auto"/>
            <w:vAlign w:val="bottom"/>
          </w:tcPr>
          <w:p w14:paraId="0A0277B5" w14:textId="77777777" w:rsidR="003233A7" w:rsidRPr="003233A7" w:rsidRDefault="003233A7" w:rsidP="003233A7">
            <w:pPr>
              <w:pStyle w:val="Tabletext"/>
            </w:pPr>
            <w:r w:rsidRPr="003233A7">
              <w:t>9</w:t>
            </w:r>
            <w:r w:rsidR="00D7157D">
              <w:t>.</w:t>
            </w:r>
            <w:r w:rsidRPr="003233A7">
              <w:t>1489</w:t>
            </w:r>
          </w:p>
        </w:tc>
        <w:tc>
          <w:tcPr>
            <w:tcW w:w="966" w:type="pct"/>
            <w:tcBorders>
              <w:top w:val="single" w:sz="4" w:space="0" w:color="auto"/>
              <w:bottom w:val="single" w:sz="4" w:space="0" w:color="auto"/>
            </w:tcBorders>
            <w:shd w:val="clear" w:color="auto" w:fill="auto"/>
            <w:vAlign w:val="bottom"/>
          </w:tcPr>
          <w:p w14:paraId="1BB7216A" w14:textId="77777777" w:rsidR="003233A7" w:rsidRPr="003233A7" w:rsidRDefault="003233A7" w:rsidP="003233A7">
            <w:pPr>
              <w:pStyle w:val="Tabletext"/>
            </w:pPr>
            <w:r w:rsidRPr="003233A7">
              <w:t>0</w:t>
            </w:r>
            <w:r w:rsidR="00D7157D">
              <w:t>.</w:t>
            </w:r>
            <w:r w:rsidRPr="003233A7">
              <w:t>7190</w:t>
            </w:r>
          </w:p>
        </w:tc>
        <w:tc>
          <w:tcPr>
            <w:tcW w:w="966" w:type="pct"/>
            <w:tcBorders>
              <w:top w:val="single" w:sz="4" w:space="0" w:color="auto"/>
              <w:bottom w:val="single" w:sz="4" w:space="0" w:color="auto"/>
            </w:tcBorders>
            <w:shd w:val="clear" w:color="auto" w:fill="auto"/>
            <w:vAlign w:val="bottom"/>
          </w:tcPr>
          <w:p w14:paraId="5B899DFF" w14:textId="77777777" w:rsidR="003233A7" w:rsidRPr="003233A7" w:rsidRDefault="003233A7" w:rsidP="003233A7">
            <w:pPr>
              <w:pStyle w:val="Tabletext"/>
            </w:pPr>
            <w:r w:rsidRPr="003233A7">
              <w:t>10</w:t>
            </w:r>
            <w:r w:rsidR="00D7157D">
              <w:t>.</w:t>
            </w:r>
            <w:r w:rsidRPr="003233A7">
              <w:t>2053</w:t>
            </w:r>
          </w:p>
        </w:tc>
        <w:tc>
          <w:tcPr>
            <w:tcW w:w="966" w:type="pct"/>
            <w:tcBorders>
              <w:top w:val="single" w:sz="4" w:space="0" w:color="auto"/>
              <w:bottom w:val="single" w:sz="4" w:space="0" w:color="auto"/>
              <w:right w:val="nil"/>
            </w:tcBorders>
            <w:shd w:val="clear" w:color="auto" w:fill="auto"/>
            <w:vAlign w:val="bottom"/>
          </w:tcPr>
          <w:p w14:paraId="497F2C35" w14:textId="77777777" w:rsidR="003233A7" w:rsidRPr="003233A7" w:rsidRDefault="003233A7" w:rsidP="003233A7">
            <w:pPr>
              <w:pStyle w:val="Tabletext"/>
            </w:pPr>
            <w:r w:rsidRPr="003233A7">
              <w:t>0</w:t>
            </w:r>
            <w:r w:rsidR="00D7157D">
              <w:t>.</w:t>
            </w:r>
            <w:r w:rsidRPr="003233A7">
              <w:t>1922</w:t>
            </w:r>
          </w:p>
        </w:tc>
      </w:tr>
      <w:tr w:rsidR="003233A7" w:rsidRPr="003233A7" w14:paraId="36DAA5C8" w14:textId="77777777" w:rsidTr="00993D49">
        <w:trPr>
          <w:cantSplit/>
        </w:trPr>
        <w:tc>
          <w:tcPr>
            <w:tcW w:w="1136" w:type="pct"/>
            <w:tcBorders>
              <w:top w:val="single" w:sz="4" w:space="0" w:color="auto"/>
              <w:bottom w:val="single" w:sz="4" w:space="0" w:color="auto"/>
            </w:tcBorders>
          </w:tcPr>
          <w:p w14:paraId="75380853" w14:textId="77777777" w:rsidR="003233A7" w:rsidRPr="003233A7" w:rsidRDefault="003233A7" w:rsidP="003233A7">
            <w:pPr>
              <w:pStyle w:val="Tabletext"/>
            </w:pPr>
            <w:r w:rsidRPr="003233A7">
              <w:t>76</w:t>
            </w:r>
          </w:p>
        </w:tc>
        <w:tc>
          <w:tcPr>
            <w:tcW w:w="966" w:type="pct"/>
            <w:tcBorders>
              <w:top w:val="single" w:sz="4" w:space="0" w:color="auto"/>
              <w:bottom w:val="single" w:sz="4" w:space="0" w:color="auto"/>
            </w:tcBorders>
            <w:shd w:val="clear" w:color="auto" w:fill="auto"/>
            <w:vAlign w:val="bottom"/>
          </w:tcPr>
          <w:p w14:paraId="01A45DAE" w14:textId="77777777" w:rsidR="003233A7" w:rsidRPr="003233A7" w:rsidRDefault="003233A7" w:rsidP="003233A7">
            <w:pPr>
              <w:pStyle w:val="Tabletext"/>
            </w:pPr>
            <w:r w:rsidRPr="003233A7">
              <w:t>8</w:t>
            </w:r>
            <w:r w:rsidR="00D7157D">
              <w:t>.</w:t>
            </w:r>
            <w:r w:rsidRPr="003233A7">
              <w:t>7148</w:t>
            </w:r>
          </w:p>
        </w:tc>
        <w:tc>
          <w:tcPr>
            <w:tcW w:w="966" w:type="pct"/>
            <w:tcBorders>
              <w:top w:val="single" w:sz="4" w:space="0" w:color="auto"/>
              <w:bottom w:val="single" w:sz="4" w:space="0" w:color="auto"/>
            </w:tcBorders>
            <w:shd w:val="clear" w:color="auto" w:fill="auto"/>
            <w:vAlign w:val="bottom"/>
          </w:tcPr>
          <w:p w14:paraId="19AA83B3" w14:textId="77777777" w:rsidR="003233A7" w:rsidRPr="003233A7" w:rsidRDefault="003233A7" w:rsidP="003233A7">
            <w:pPr>
              <w:pStyle w:val="Tabletext"/>
            </w:pPr>
            <w:r w:rsidRPr="003233A7">
              <w:t>0</w:t>
            </w:r>
            <w:r w:rsidR="00D7157D">
              <w:t>.</w:t>
            </w:r>
            <w:r w:rsidRPr="003233A7">
              <w:t>7085</w:t>
            </w:r>
          </w:p>
        </w:tc>
        <w:tc>
          <w:tcPr>
            <w:tcW w:w="966" w:type="pct"/>
            <w:tcBorders>
              <w:top w:val="single" w:sz="4" w:space="0" w:color="auto"/>
              <w:bottom w:val="single" w:sz="4" w:space="0" w:color="auto"/>
            </w:tcBorders>
            <w:shd w:val="clear" w:color="auto" w:fill="auto"/>
            <w:vAlign w:val="bottom"/>
          </w:tcPr>
          <w:p w14:paraId="3D8B394E" w14:textId="77777777" w:rsidR="003233A7" w:rsidRPr="003233A7" w:rsidRDefault="003233A7" w:rsidP="003233A7">
            <w:pPr>
              <w:pStyle w:val="Tabletext"/>
            </w:pPr>
            <w:r w:rsidRPr="003233A7">
              <w:t>9</w:t>
            </w:r>
            <w:r w:rsidR="00D7157D">
              <w:t>.</w:t>
            </w:r>
            <w:r w:rsidRPr="003233A7">
              <w:t>7244</w:t>
            </w:r>
          </w:p>
        </w:tc>
        <w:tc>
          <w:tcPr>
            <w:tcW w:w="966" w:type="pct"/>
            <w:tcBorders>
              <w:top w:val="single" w:sz="4" w:space="0" w:color="auto"/>
              <w:bottom w:val="single" w:sz="4" w:space="0" w:color="auto"/>
              <w:right w:val="nil"/>
            </w:tcBorders>
            <w:shd w:val="clear" w:color="auto" w:fill="auto"/>
            <w:vAlign w:val="bottom"/>
          </w:tcPr>
          <w:p w14:paraId="21222B0F" w14:textId="77777777" w:rsidR="003233A7" w:rsidRPr="003233A7" w:rsidRDefault="003233A7" w:rsidP="003233A7">
            <w:pPr>
              <w:pStyle w:val="Tabletext"/>
            </w:pPr>
            <w:r w:rsidRPr="003233A7">
              <w:t>0</w:t>
            </w:r>
            <w:r w:rsidR="00D7157D">
              <w:t>.</w:t>
            </w:r>
            <w:r w:rsidRPr="003233A7">
              <w:t>1889</w:t>
            </w:r>
          </w:p>
        </w:tc>
      </w:tr>
      <w:tr w:rsidR="003233A7" w:rsidRPr="003233A7" w14:paraId="2739AB7D" w14:textId="77777777" w:rsidTr="00993D49">
        <w:trPr>
          <w:cantSplit/>
        </w:trPr>
        <w:tc>
          <w:tcPr>
            <w:tcW w:w="1136" w:type="pct"/>
            <w:tcBorders>
              <w:top w:val="single" w:sz="4" w:space="0" w:color="auto"/>
              <w:bottom w:val="single" w:sz="4" w:space="0" w:color="auto"/>
            </w:tcBorders>
          </w:tcPr>
          <w:p w14:paraId="7D16C07F" w14:textId="77777777" w:rsidR="003233A7" w:rsidRPr="003233A7" w:rsidRDefault="003233A7" w:rsidP="003233A7">
            <w:pPr>
              <w:pStyle w:val="Tabletext"/>
            </w:pPr>
            <w:r w:rsidRPr="003233A7">
              <w:t>77</w:t>
            </w:r>
          </w:p>
        </w:tc>
        <w:tc>
          <w:tcPr>
            <w:tcW w:w="966" w:type="pct"/>
            <w:tcBorders>
              <w:top w:val="single" w:sz="4" w:space="0" w:color="auto"/>
              <w:bottom w:val="single" w:sz="4" w:space="0" w:color="auto"/>
            </w:tcBorders>
            <w:shd w:val="clear" w:color="auto" w:fill="auto"/>
            <w:vAlign w:val="bottom"/>
          </w:tcPr>
          <w:p w14:paraId="6CE3B5FB" w14:textId="77777777" w:rsidR="003233A7" w:rsidRPr="003233A7" w:rsidRDefault="003233A7" w:rsidP="003233A7">
            <w:pPr>
              <w:pStyle w:val="Tabletext"/>
            </w:pPr>
            <w:r w:rsidRPr="003233A7">
              <w:t>8</w:t>
            </w:r>
            <w:r w:rsidR="00D7157D">
              <w:t>.</w:t>
            </w:r>
            <w:r w:rsidRPr="003233A7">
              <w:t>2842</w:t>
            </w:r>
          </w:p>
        </w:tc>
        <w:tc>
          <w:tcPr>
            <w:tcW w:w="966" w:type="pct"/>
            <w:tcBorders>
              <w:top w:val="single" w:sz="4" w:space="0" w:color="auto"/>
              <w:bottom w:val="single" w:sz="4" w:space="0" w:color="auto"/>
            </w:tcBorders>
            <w:shd w:val="clear" w:color="auto" w:fill="auto"/>
            <w:vAlign w:val="bottom"/>
          </w:tcPr>
          <w:p w14:paraId="76C9431C" w14:textId="77777777" w:rsidR="003233A7" w:rsidRPr="003233A7" w:rsidRDefault="003233A7" w:rsidP="003233A7">
            <w:pPr>
              <w:pStyle w:val="Tabletext"/>
            </w:pPr>
            <w:r w:rsidRPr="003233A7">
              <w:t>0</w:t>
            </w:r>
            <w:r w:rsidR="00D7157D">
              <w:t>.</w:t>
            </w:r>
            <w:r w:rsidRPr="003233A7">
              <w:t>6969</w:t>
            </w:r>
          </w:p>
        </w:tc>
        <w:tc>
          <w:tcPr>
            <w:tcW w:w="966" w:type="pct"/>
            <w:tcBorders>
              <w:top w:val="single" w:sz="4" w:space="0" w:color="auto"/>
              <w:bottom w:val="single" w:sz="4" w:space="0" w:color="auto"/>
            </w:tcBorders>
            <w:shd w:val="clear" w:color="auto" w:fill="auto"/>
            <w:vAlign w:val="bottom"/>
          </w:tcPr>
          <w:p w14:paraId="22207CCA" w14:textId="77777777" w:rsidR="003233A7" w:rsidRPr="003233A7" w:rsidRDefault="003233A7" w:rsidP="003233A7">
            <w:pPr>
              <w:pStyle w:val="Tabletext"/>
            </w:pPr>
            <w:r w:rsidRPr="003233A7">
              <w:t>9</w:t>
            </w:r>
            <w:r w:rsidR="00D7157D">
              <w:t>.</w:t>
            </w:r>
            <w:r w:rsidRPr="003233A7">
              <w:t>2464</w:t>
            </w:r>
          </w:p>
        </w:tc>
        <w:tc>
          <w:tcPr>
            <w:tcW w:w="966" w:type="pct"/>
            <w:tcBorders>
              <w:top w:val="single" w:sz="4" w:space="0" w:color="auto"/>
              <w:bottom w:val="single" w:sz="4" w:space="0" w:color="auto"/>
              <w:right w:val="nil"/>
            </w:tcBorders>
            <w:shd w:val="clear" w:color="auto" w:fill="auto"/>
            <w:vAlign w:val="bottom"/>
          </w:tcPr>
          <w:p w14:paraId="53600F59" w14:textId="77777777" w:rsidR="003233A7" w:rsidRPr="003233A7" w:rsidRDefault="003233A7" w:rsidP="003233A7">
            <w:pPr>
              <w:pStyle w:val="Tabletext"/>
            </w:pPr>
            <w:r w:rsidRPr="003233A7">
              <w:t>0</w:t>
            </w:r>
            <w:r w:rsidR="00D7157D">
              <w:t>.</w:t>
            </w:r>
            <w:r w:rsidRPr="003233A7">
              <w:t>1854</w:t>
            </w:r>
          </w:p>
        </w:tc>
      </w:tr>
      <w:tr w:rsidR="003233A7" w:rsidRPr="003233A7" w14:paraId="08E308B1" w14:textId="77777777" w:rsidTr="00993D49">
        <w:trPr>
          <w:cantSplit/>
        </w:trPr>
        <w:tc>
          <w:tcPr>
            <w:tcW w:w="1136" w:type="pct"/>
            <w:tcBorders>
              <w:top w:val="single" w:sz="4" w:space="0" w:color="auto"/>
              <w:bottom w:val="single" w:sz="4" w:space="0" w:color="auto"/>
            </w:tcBorders>
          </w:tcPr>
          <w:p w14:paraId="6A74B24C" w14:textId="77777777" w:rsidR="003233A7" w:rsidRPr="003233A7" w:rsidRDefault="003233A7" w:rsidP="003233A7">
            <w:pPr>
              <w:pStyle w:val="Tabletext"/>
            </w:pPr>
            <w:r w:rsidRPr="003233A7">
              <w:t>78</w:t>
            </w:r>
          </w:p>
        </w:tc>
        <w:tc>
          <w:tcPr>
            <w:tcW w:w="966" w:type="pct"/>
            <w:tcBorders>
              <w:top w:val="single" w:sz="4" w:space="0" w:color="auto"/>
              <w:bottom w:val="single" w:sz="4" w:space="0" w:color="auto"/>
            </w:tcBorders>
            <w:shd w:val="clear" w:color="auto" w:fill="auto"/>
            <w:vAlign w:val="bottom"/>
          </w:tcPr>
          <w:p w14:paraId="19E91049" w14:textId="77777777" w:rsidR="003233A7" w:rsidRPr="003233A7" w:rsidRDefault="003233A7" w:rsidP="003233A7">
            <w:pPr>
              <w:pStyle w:val="Tabletext"/>
            </w:pPr>
            <w:r w:rsidRPr="003233A7">
              <w:t>7</w:t>
            </w:r>
            <w:r w:rsidR="00D7157D">
              <w:t>.</w:t>
            </w:r>
            <w:r w:rsidRPr="003233A7">
              <w:t>8583</w:t>
            </w:r>
          </w:p>
        </w:tc>
        <w:tc>
          <w:tcPr>
            <w:tcW w:w="966" w:type="pct"/>
            <w:tcBorders>
              <w:top w:val="single" w:sz="4" w:space="0" w:color="auto"/>
              <w:bottom w:val="single" w:sz="4" w:space="0" w:color="auto"/>
            </w:tcBorders>
            <w:shd w:val="clear" w:color="auto" w:fill="auto"/>
            <w:vAlign w:val="bottom"/>
          </w:tcPr>
          <w:p w14:paraId="1D2291F8" w14:textId="77777777" w:rsidR="003233A7" w:rsidRPr="003233A7" w:rsidRDefault="003233A7" w:rsidP="003233A7">
            <w:pPr>
              <w:pStyle w:val="Tabletext"/>
            </w:pPr>
            <w:r w:rsidRPr="003233A7">
              <w:t>0</w:t>
            </w:r>
            <w:r w:rsidR="00D7157D">
              <w:t>.</w:t>
            </w:r>
            <w:r w:rsidRPr="003233A7">
              <w:t>6842</w:t>
            </w:r>
          </w:p>
        </w:tc>
        <w:tc>
          <w:tcPr>
            <w:tcW w:w="966" w:type="pct"/>
            <w:tcBorders>
              <w:top w:val="single" w:sz="4" w:space="0" w:color="auto"/>
              <w:bottom w:val="single" w:sz="4" w:space="0" w:color="auto"/>
            </w:tcBorders>
            <w:shd w:val="clear" w:color="auto" w:fill="auto"/>
            <w:vAlign w:val="bottom"/>
          </w:tcPr>
          <w:p w14:paraId="52469B94" w14:textId="77777777" w:rsidR="003233A7" w:rsidRPr="003233A7" w:rsidRDefault="003233A7" w:rsidP="003233A7">
            <w:pPr>
              <w:pStyle w:val="Tabletext"/>
            </w:pPr>
            <w:r w:rsidRPr="003233A7">
              <w:t>8</w:t>
            </w:r>
            <w:r w:rsidR="00D7157D">
              <w:t>.</w:t>
            </w:r>
            <w:r w:rsidRPr="003233A7">
              <w:t>7720</w:t>
            </w:r>
          </w:p>
        </w:tc>
        <w:tc>
          <w:tcPr>
            <w:tcW w:w="966" w:type="pct"/>
            <w:tcBorders>
              <w:top w:val="single" w:sz="4" w:space="0" w:color="auto"/>
              <w:bottom w:val="single" w:sz="4" w:space="0" w:color="auto"/>
              <w:right w:val="nil"/>
            </w:tcBorders>
            <w:shd w:val="clear" w:color="auto" w:fill="auto"/>
            <w:vAlign w:val="bottom"/>
          </w:tcPr>
          <w:p w14:paraId="79CB575A" w14:textId="77777777" w:rsidR="003233A7" w:rsidRPr="003233A7" w:rsidRDefault="003233A7" w:rsidP="003233A7">
            <w:pPr>
              <w:pStyle w:val="Tabletext"/>
            </w:pPr>
            <w:r w:rsidRPr="003233A7">
              <w:t>0</w:t>
            </w:r>
            <w:r w:rsidR="00D7157D">
              <w:t>.</w:t>
            </w:r>
            <w:r w:rsidRPr="003233A7">
              <w:t>1817</w:t>
            </w:r>
          </w:p>
        </w:tc>
      </w:tr>
      <w:tr w:rsidR="003233A7" w:rsidRPr="003233A7" w14:paraId="2674DE6E" w14:textId="77777777" w:rsidTr="00993D49">
        <w:trPr>
          <w:cantSplit/>
        </w:trPr>
        <w:tc>
          <w:tcPr>
            <w:tcW w:w="1136" w:type="pct"/>
            <w:tcBorders>
              <w:top w:val="single" w:sz="4" w:space="0" w:color="auto"/>
              <w:bottom w:val="single" w:sz="4" w:space="0" w:color="auto"/>
            </w:tcBorders>
          </w:tcPr>
          <w:p w14:paraId="08D11E7C" w14:textId="77777777" w:rsidR="003233A7" w:rsidRPr="003233A7" w:rsidRDefault="003233A7" w:rsidP="003233A7">
            <w:pPr>
              <w:pStyle w:val="Tabletext"/>
            </w:pPr>
            <w:r w:rsidRPr="003233A7">
              <w:t>79</w:t>
            </w:r>
          </w:p>
        </w:tc>
        <w:tc>
          <w:tcPr>
            <w:tcW w:w="966" w:type="pct"/>
            <w:tcBorders>
              <w:top w:val="single" w:sz="4" w:space="0" w:color="auto"/>
              <w:bottom w:val="single" w:sz="4" w:space="0" w:color="auto"/>
            </w:tcBorders>
            <w:shd w:val="clear" w:color="auto" w:fill="auto"/>
            <w:vAlign w:val="bottom"/>
          </w:tcPr>
          <w:p w14:paraId="598B26A7" w14:textId="77777777" w:rsidR="003233A7" w:rsidRPr="003233A7" w:rsidRDefault="003233A7" w:rsidP="003233A7">
            <w:pPr>
              <w:pStyle w:val="Tabletext"/>
            </w:pPr>
            <w:r w:rsidRPr="003233A7">
              <w:t>7</w:t>
            </w:r>
            <w:r w:rsidR="00D7157D">
              <w:t>.</w:t>
            </w:r>
            <w:r w:rsidRPr="003233A7">
              <w:t>4385</w:t>
            </w:r>
          </w:p>
        </w:tc>
        <w:tc>
          <w:tcPr>
            <w:tcW w:w="966" w:type="pct"/>
            <w:tcBorders>
              <w:top w:val="single" w:sz="4" w:space="0" w:color="auto"/>
              <w:bottom w:val="single" w:sz="4" w:space="0" w:color="auto"/>
            </w:tcBorders>
            <w:shd w:val="clear" w:color="auto" w:fill="auto"/>
            <w:vAlign w:val="bottom"/>
          </w:tcPr>
          <w:p w14:paraId="4A56C9EE" w14:textId="77777777" w:rsidR="003233A7" w:rsidRPr="003233A7" w:rsidRDefault="003233A7" w:rsidP="003233A7">
            <w:pPr>
              <w:pStyle w:val="Tabletext"/>
            </w:pPr>
            <w:r w:rsidRPr="003233A7">
              <w:t>0</w:t>
            </w:r>
            <w:r w:rsidR="00D7157D">
              <w:t>.</w:t>
            </w:r>
            <w:r w:rsidRPr="003233A7">
              <w:t>6705</w:t>
            </w:r>
          </w:p>
        </w:tc>
        <w:tc>
          <w:tcPr>
            <w:tcW w:w="966" w:type="pct"/>
            <w:tcBorders>
              <w:top w:val="single" w:sz="4" w:space="0" w:color="auto"/>
              <w:bottom w:val="single" w:sz="4" w:space="0" w:color="auto"/>
            </w:tcBorders>
            <w:shd w:val="clear" w:color="auto" w:fill="auto"/>
            <w:vAlign w:val="bottom"/>
          </w:tcPr>
          <w:p w14:paraId="7E8D9390" w14:textId="77777777" w:rsidR="003233A7" w:rsidRPr="003233A7" w:rsidRDefault="003233A7" w:rsidP="003233A7">
            <w:pPr>
              <w:pStyle w:val="Tabletext"/>
            </w:pPr>
            <w:r w:rsidRPr="003233A7">
              <w:t>8</w:t>
            </w:r>
            <w:r w:rsidR="00D7157D">
              <w:t>.</w:t>
            </w:r>
            <w:r w:rsidRPr="003233A7">
              <w:t>3039</w:t>
            </w:r>
          </w:p>
        </w:tc>
        <w:tc>
          <w:tcPr>
            <w:tcW w:w="966" w:type="pct"/>
            <w:tcBorders>
              <w:top w:val="single" w:sz="4" w:space="0" w:color="auto"/>
              <w:bottom w:val="single" w:sz="4" w:space="0" w:color="auto"/>
              <w:right w:val="nil"/>
            </w:tcBorders>
            <w:shd w:val="clear" w:color="auto" w:fill="auto"/>
            <w:vAlign w:val="bottom"/>
          </w:tcPr>
          <w:p w14:paraId="1862EEEE" w14:textId="77777777" w:rsidR="003233A7" w:rsidRPr="003233A7" w:rsidRDefault="003233A7" w:rsidP="003233A7">
            <w:pPr>
              <w:pStyle w:val="Tabletext"/>
            </w:pPr>
            <w:r w:rsidRPr="003233A7">
              <w:t>0</w:t>
            </w:r>
            <w:r w:rsidR="00D7157D">
              <w:t>.</w:t>
            </w:r>
            <w:r w:rsidRPr="003233A7">
              <w:t>1778</w:t>
            </w:r>
          </w:p>
        </w:tc>
      </w:tr>
      <w:tr w:rsidR="003233A7" w:rsidRPr="003233A7" w14:paraId="07C42083" w14:textId="77777777" w:rsidTr="00993D49">
        <w:trPr>
          <w:cantSplit/>
        </w:trPr>
        <w:tc>
          <w:tcPr>
            <w:tcW w:w="1136" w:type="pct"/>
            <w:tcBorders>
              <w:top w:val="single" w:sz="4" w:space="0" w:color="auto"/>
              <w:bottom w:val="single" w:sz="4" w:space="0" w:color="auto"/>
            </w:tcBorders>
          </w:tcPr>
          <w:p w14:paraId="6C85DDC0" w14:textId="77777777" w:rsidR="003233A7" w:rsidRPr="003233A7" w:rsidRDefault="003233A7" w:rsidP="003233A7">
            <w:pPr>
              <w:pStyle w:val="Tabletext"/>
            </w:pPr>
            <w:r w:rsidRPr="003233A7">
              <w:t>80</w:t>
            </w:r>
          </w:p>
        </w:tc>
        <w:tc>
          <w:tcPr>
            <w:tcW w:w="966" w:type="pct"/>
            <w:tcBorders>
              <w:top w:val="single" w:sz="4" w:space="0" w:color="auto"/>
              <w:bottom w:val="single" w:sz="4" w:space="0" w:color="auto"/>
            </w:tcBorders>
            <w:shd w:val="clear" w:color="auto" w:fill="auto"/>
            <w:vAlign w:val="bottom"/>
          </w:tcPr>
          <w:p w14:paraId="66990D01" w14:textId="77777777" w:rsidR="003233A7" w:rsidRPr="003233A7" w:rsidRDefault="003233A7" w:rsidP="003233A7">
            <w:pPr>
              <w:pStyle w:val="Tabletext"/>
            </w:pPr>
            <w:r w:rsidRPr="003233A7">
              <w:t>7</w:t>
            </w:r>
            <w:r w:rsidR="00D7157D">
              <w:t>.</w:t>
            </w:r>
            <w:r w:rsidRPr="003233A7">
              <w:t>0263</w:t>
            </w:r>
          </w:p>
        </w:tc>
        <w:tc>
          <w:tcPr>
            <w:tcW w:w="966" w:type="pct"/>
            <w:tcBorders>
              <w:top w:val="single" w:sz="4" w:space="0" w:color="auto"/>
              <w:bottom w:val="single" w:sz="4" w:space="0" w:color="auto"/>
            </w:tcBorders>
            <w:shd w:val="clear" w:color="auto" w:fill="auto"/>
            <w:vAlign w:val="bottom"/>
          </w:tcPr>
          <w:p w14:paraId="1894BBC1" w14:textId="77777777" w:rsidR="003233A7" w:rsidRPr="003233A7" w:rsidRDefault="003233A7" w:rsidP="003233A7">
            <w:pPr>
              <w:pStyle w:val="Tabletext"/>
            </w:pPr>
            <w:r w:rsidRPr="003233A7">
              <w:t>0</w:t>
            </w:r>
            <w:r w:rsidR="00D7157D">
              <w:t>.</w:t>
            </w:r>
            <w:r w:rsidRPr="003233A7">
              <w:t>6556</w:t>
            </w:r>
          </w:p>
        </w:tc>
        <w:tc>
          <w:tcPr>
            <w:tcW w:w="966" w:type="pct"/>
            <w:tcBorders>
              <w:top w:val="single" w:sz="4" w:space="0" w:color="auto"/>
              <w:bottom w:val="single" w:sz="4" w:space="0" w:color="auto"/>
            </w:tcBorders>
            <w:shd w:val="clear" w:color="auto" w:fill="auto"/>
            <w:vAlign w:val="bottom"/>
          </w:tcPr>
          <w:p w14:paraId="1CF38D2B" w14:textId="77777777" w:rsidR="003233A7" w:rsidRPr="003233A7" w:rsidRDefault="003233A7" w:rsidP="003233A7">
            <w:pPr>
              <w:pStyle w:val="Tabletext"/>
            </w:pPr>
            <w:r w:rsidRPr="003233A7">
              <w:t>7</w:t>
            </w:r>
            <w:r w:rsidR="00D7157D">
              <w:t>.</w:t>
            </w:r>
            <w:r w:rsidRPr="003233A7">
              <w:t>8424</w:t>
            </w:r>
          </w:p>
        </w:tc>
        <w:tc>
          <w:tcPr>
            <w:tcW w:w="966" w:type="pct"/>
            <w:tcBorders>
              <w:top w:val="single" w:sz="4" w:space="0" w:color="auto"/>
              <w:bottom w:val="single" w:sz="4" w:space="0" w:color="auto"/>
              <w:right w:val="nil"/>
            </w:tcBorders>
            <w:shd w:val="clear" w:color="auto" w:fill="auto"/>
            <w:vAlign w:val="bottom"/>
          </w:tcPr>
          <w:p w14:paraId="467B6AFC" w14:textId="77777777" w:rsidR="003233A7" w:rsidRPr="003233A7" w:rsidRDefault="003233A7" w:rsidP="003233A7">
            <w:pPr>
              <w:pStyle w:val="Tabletext"/>
            </w:pPr>
            <w:r w:rsidRPr="003233A7">
              <w:t>0</w:t>
            </w:r>
            <w:r w:rsidR="00D7157D">
              <w:t>.</w:t>
            </w:r>
            <w:r w:rsidRPr="003233A7">
              <w:t>1736</w:t>
            </w:r>
          </w:p>
        </w:tc>
      </w:tr>
      <w:tr w:rsidR="003233A7" w:rsidRPr="003233A7" w14:paraId="3020CB3B" w14:textId="77777777" w:rsidTr="00993D49">
        <w:trPr>
          <w:cantSplit/>
        </w:trPr>
        <w:tc>
          <w:tcPr>
            <w:tcW w:w="1136" w:type="pct"/>
            <w:tcBorders>
              <w:top w:val="single" w:sz="4" w:space="0" w:color="auto"/>
              <w:bottom w:val="single" w:sz="4" w:space="0" w:color="auto"/>
            </w:tcBorders>
          </w:tcPr>
          <w:p w14:paraId="0A2008B3" w14:textId="77777777" w:rsidR="003233A7" w:rsidRPr="003233A7" w:rsidRDefault="003233A7" w:rsidP="003233A7">
            <w:pPr>
              <w:pStyle w:val="Tabletext"/>
            </w:pPr>
            <w:r w:rsidRPr="003233A7">
              <w:t>81</w:t>
            </w:r>
          </w:p>
        </w:tc>
        <w:tc>
          <w:tcPr>
            <w:tcW w:w="966" w:type="pct"/>
            <w:tcBorders>
              <w:top w:val="single" w:sz="4" w:space="0" w:color="auto"/>
              <w:bottom w:val="single" w:sz="4" w:space="0" w:color="auto"/>
            </w:tcBorders>
            <w:shd w:val="clear" w:color="auto" w:fill="auto"/>
            <w:vAlign w:val="bottom"/>
          </w:tcPr>
          <w:p w14:paraId="09FA7CF8" w14:textId="77777777" w:rsidR="003233A7" w:rsidRPr="003233A7" w:rsidRDefault="003233A7" w:rsidP="003233A7">
            <w:pPr>
              <w:pStyle w:val="Tabletext"/>
            </w:pPr>
            <w:r w:rsidRPr="003233A7">
              <w:t>6</w:t>
            </w:r>
            <w:r w:rsidR="00D7157D">
              <w:t>.</w:t>
            </w:r>
            <w:r w:rsidRPr="003233A7">
              <w:t>6230</w:t>
            </w:r>
          </w:p>
        </w:tc>
        <w:tc>
          <w:tcPr>
            <w:tcW w:w="966" w:type="pct"/>
            <w:tcBorders>
              <w:top w:val="single" w:sz="4" w:space="0" w:color="auto"/>
              <w:bottom w:val="single" w:sz="4" w:space="0" w:color="auto"/>
            </w:tcBorders>
            <w:shd w:val="clear" w:color="auto" w:fill="auto"/>
            <w:vAlign w:val="bottom"/>
          </w:tcPr>
          <w:p w14:paraId="6998E393" w14:textId="77777777" w:rsidR="003233A7" w:rsidRPr="003233A7" w:rsidRDefault="003233A7" w:rsidP="003233A7">
            <w:pPr>
              <w:pStyle w:val="Tabletext"/>
            </w:pPr>
            <w:r w:rsidRPr="003233A7">
              <w:t>0</w:t>
            </w:r>
            <w:r w:rsidR="00D7157D">
              <w:t>.</w:t>
            </w:r>
            <w:r w:rsidRPr="003233A7">
              <w:t>6396</w:t>
            </w:r>
          </w:p>
        </w:tc>
        <w:tc>
          <w:tcPr>
            <w:tcW w:w="966" w:type="pct"/>
            <w:tcBorders>
              <w:top w:val="single" w:sz="4" w:space="0" w:color="auto"/>
              <w:bottom w:val="single" w:sz="4" w:space="0" w:color="auto"/>
            </w:tcBorders>
            <w:shd w:val="clear" w:color="auto" w:fill="auto"/>
            <w:vAlign w:val="bottom"/>
          </w:tcPr>
          <w:p w14:paraId="295F620F" w14:textId="77777777" w:rsidR="003233A7" w:rsidRPr="003233A7" w:rsidRDefault="003233A7" w:rsidP="003233A7">
            <w:pPr>
              <w:pStyle w:val="Tabletext"/>
            </w:pPr>
            <w:r w:rsidRPr="003233A7">
              <w:t>7</w:t>
            </w:r>
            <w:r w:rsidR="00D7157D">
              <w:t>.</w:t>
            </w:r>
            <w:r w:rsidRPr="003233A7">
              <w:t>3908</w:t>
            </w:r>
          </w:p>
        </w:tc>
        <w:tc>
          <w:tcPr>
            <w:tcW w:w="966" w:type="pct"/>
            <w:tcBorders>
              <w:top w:val="single" w:sz="4" w:space="0" w:color="auto"/>
              <w:bottom w:val="single" w:sz="4" w:space="0" w:color="auto"/>
              <w:right w:val="nil"/>
            </w:tcBorders>
            <w:shd w:val="clear" w:color="auto" w:fill="auto"/>
            <w:vAlign w:val="bottom"/>
          </w:tcPr>
          <w:p w14:paraId="4B41A341" w14:textId="77777777" w:rsidR="003233A7" w:rsidRPr="003233A7" w:rsidRDefault="003233A7" w:rsidP="003233A7">
            <w:pPr>
              <w:pStyle w:val="Tabletext"/>
            </w:pPr>
            <w:r w:rsidRPr="003233A7">
              <w:t>0</w:t>
            </w:r>
            <w:r w:rsidR="00D7157D">
              <w:t>.</w:t>
            </w:r>
            <w:r w:rsidRPr="003233A7">
              <w:t>1693</w:t>
            </w:r>
          </w:p>
        </w:tc>
      </w:tr>
      <w:tr w:rsidR="003233A7" w:rsidRPr="003233A7" w14:paraId="132B8B15" w14:textId="77777777" w:rsidTr="00993D49">
        <w:trPr>
          <w:cantSplit/>
        </w:trPr>
        <w:tc>
          <w:tcPr>
            <w:tcW w:w="1136" w:type="pct"/>
            <w:tcBorders>
              <w:top w:val="single" w:sz="4" w:space="0" w:color="auto"/>
              <w:bottom w:val="single" w:sz="4" w:space="0" w:color="auto"/>
            </w:tcBorders>
          </w:tcPr>
          <w:p w14:paraId="75216F5F" w14:textId="77777777" w:rsidR="003233A7" w:rsidRPr="003233A7" w:rsidRDefault="003233A7" w:rsidP="003233A7">
            <w:pPr>
              <w:pStyle w:val="Tabletext"/>
            </w:pPr>
            <w:r w:rsidRPr="003233A7">
              <w:t>82</w:t>
            </w:r>
          </w:p>
        </w:tc>
        <w:tc>
          <w:tcPr>
            <w:tcW w:w="966" w:type="pct"/>
            <w:tcBorders>
              <w:top w:val="single" w:sz="4" w:space="0" w:color="auto"/>
              <w:bottom w:val="single" w:sz="4" w:space="0" w:color="auto"/>
            </w:tcBorders>
            <w:shd w:val="clear" w:color="auto" w:fill="auto"/>
            <w:vAlign w:val="bottom"/>
          </w:tcPr>
          <w:p w14:paraId="1EBA80A8" w14:textId="77777777" w:rsidR="003233A7" w:rsidRPr="003233A7" w:rsidRDefault="003233A7" w:rsidP="003233A7">
            <w:pPr>
              <w:pStyle w:val="Tabletext"/>
            </w:pPr>
            <w:r w:rsidRPr="003233A7">
              <w:t>6</w:t>
            </w:r>
            <w:r w:rsidR="00D7157D">
              <w:t>.</w:t>
            </w:r>
            <w:r w:rsidRPr="003233A7">
              <w:t>2344</w:t>
            </w:r>
          </w:p>
        </w:tc>
        <w:tc>
          <w:tcPr>
            <w:tcW w:w="966" w:type="pct"/>
            <w:tcBorders>
              <w:top w:val="single" w:sz="4" w:space="0" w:color="auto"/>
              <w:bottom w:val="single" w:sz="4" w:space="0" w:color="auto"/>
            </w:tcBorders>
            <w:shd w:val="clear" w:color="auto" w:fill="auto"/>
            <w:vAlign w:val="bottom"/>
          </w:tcPr>
          <w:p w14:paraId="73E66B4B" w14:textId="77777777" w:rsidR="003233A7" w:rsidRPr="003233A7" w:rsidRDefault="003233A7" w:rsidP="003233A7">
            <w:pPr>
              <w:pStyle w:val="Tabletext"/>
            </w:pPr>
            <w:r w:rsidRPr="003233A7">
              <w:t>0</w:t>
            </w:r>
            <w:r w:rsidR="00D7157D">
              <w:t>.</w:t>
            </w:r>
            <w:r w:rsidRPr="003233A7">
              <w:t>6222</w:t>
            </w:r>
          </w:p>
        </w:tc>
        <w:tc>
          <w:tcPr>
            <w:tcW w:w="966" w:type="pct"/>
            <w:tcBorders>
              <w:top w:val="single" w:sz="4" w:space="0" w:color="auto"/>
              <w:bottom w:val="single" w:sz="4" w:space="0" w:color="auto"/>
            </w:tcBorders>
            <w:shd w:val="clear" w:color="auto" w:fill="auto"/>
            <w:vAlign w:val="bottom"/>
          </w:tcPr>
          <w:p w14:paraId="69AF1A46" w14:textId="77777777" w:rsidR="003233A7" w:rsidRPr="003233A7" w:rsidRDefault="003233A7" w:rsidP="003233A7">
            <w:pPr>
              <w:pStyle w:val="Tabletext"/>
            </w:pPr>
            <w:r w:rsidRPr="003233A7">
              <w:t>6</w:t>
            </w:r>
            <w:r w:rsidR="00D7157D">
              <w:t>.</w:t>
            </w:r>
            <w:r w:rsidRPr="003233A7">
              <w:t>9500</w:t>
            </w:r>
          </w:p>
        </w:tc>
        <w:tc>
          <w:tcPr>
            <w:tcW w:w="966" w:type="pct"/>
            <w:tcBorders>
              <w:top w:val="single" w:sz="4" w:space="0" w:color="auto"/>
              <w:bottom w:val="single" w:sz="4" w:space="0" w:color="auto"/>
              <w:right w:val="nil"/>
            </w:tcBorders>
            <w:shd w:val="clear" w:color="auto" w:fill="auto"/>
            <w:vAlign w:val="bottom"/>
          </w:tcPr>
          <w:p w14:paraId="7D8FDD59" w14:textId="77777777" w:rsidR="003233A7" w:rsidRPr="003233A7" w:rsidRDefault="003233A7" w:rsidP="003233A7">
            <w:pPr>
              <w:pStyle w:val="Tabletext"/>
            </w:pPr>
            <w:r w:rsidRPr="003233A7">
              <w:t>0</w:t>
            </w:r>
            <w:r w:rsidR="00D7157D">
              <w:t>.</w:t>
            </w:r>
            <w:r w:rsidRPr="003233A7">
              <w:t>1647</w:t>
            </w:r>
          </w:p>
        </w:tc>
      </w:tr>
      <w:tr w:rsidR="003233A7" w:rsidRPr="003233A7" w14:paraId="5A8D8845" w14:textId="77777777" w:rsidTr="00993D49">
        <w:trPr>
          <w:cantSplit/>
        </w:trPr>
        <w:tc>
          <w:tcPr>
            <w:tcW w:w="1136" w:type="pct"/>
            <w:tcBorders>
              <w:top w:val="single" w:sz="4" w:space="0" w:color="auto"/>
              <w:bottom w:val="single" w:sz="4" w:space="0" w:color="auto"/>
            </w:tcBorders>
          </w:tcPr>
          <w:p w14:paraId="08835FE7" w14:textId="77777777" w:rsidR="003233A7" w:rsidRPr="003233A7" w:rsidRDefault="003233A7" w:rsidP="003233A7">
            <w:pPr>
              <w:pStyle w:val="Tabletext"/>
            </w:pPr>
            <w:r w:rsidRPr="003233A7">
              <w:t>83</w:t>
            </w:r>
          </w:p>
        </w:tc>
        <w:tc>
          <w:tcPr>
            <w:tcW w:w="966" w:type="pct"/>
            <w:tcBorders>
              <w:top w:val="single" w:sz="4" w:space="0" w:color="auto"/>
              <w:bottom w:val="single" w:sz="4" w:space="0" w:color="auto"/>
            </w:tcBorders>
            <w:shd w:val="clear" w:color="auto" w:fill="auto"/>
            <w:vAlign w:val="bottom"/>
          </w:tcPr>
          <w:p w14:paraId="3302C808" w14:textId="77777777" w:rsidR="003233A7" w:rsidRPr="003233A7" w:rsidRDefault="003233A7" w:rsidP="003233A7">
            <w:pPr>
              <w:pStyle w:val="Tabletext"/>
            </w:pPr>
            <w:r w:rsidRPr="003233A7">
              <w:t>5</w:t>
            </w:r>
            <w:r w:rsidR="00D7157D">
              <w:t>.</w:t>
            </w:r>
            <w:r w:rsidRPr="003233A7">
              <w:t>8626</w:t>
            </w:r>
          </w:p>
        </w:tc>
        <w:tc>
          <w:tcPr>
            <w:tcW w:w="966" w:type="pct"/>
            <w:tcBorders>
              <w:top w:val="single" w:sz="4" w:space="0" w:color="auto"/>
              <w:bottom w:val="single" w:sz="4" w:space="0" w:color="auto"/>
            </w:tcBorders>
            <w:shd w:val="clear" w:color="auto" w:fill="auto"/>
            <w:vAlign w:val="bottom"/>
          </w:tcPr>
          <w:p w14:paraId="0CC0ADB5" w14:textId="77777777" w:rsidR="003233A7" w:rsidRPr="003233A7" w:rsidRDefault="003233A7" w:rsidP="003233A7">
            <w:pPr>
              <w:pStyle w:val="Tabletext"/>
            </w:pPr>
            <w:r w:rsidRPr="003233A7">
              <w:t>0</w:t>
            </w:r>
            <w:r w:rsidR="00D7157D">
              <w:t>.</w:t>
            </w:r>
            <w:r w:rsidRPr="003233A7">
              <w:t>6035</w:t>
            </w:r>
          </w:p>
        </w:tc>
        <w:tc>
          <w:tcPr>
            <w:tcW w:w="966" w:type="pct"/>
            <w:tcBorders>
              <w:top w:val="single" w:sz="4" w:space="0" w:color="auto"/>
              <w:bottom w:val="single" w:sz="4" w:space="0" w:color="auto"/>
            </w:tcBorders>
            <w:shd w:val="clear" w:color="auto" w:fill="auto"/>
            <w:vAlign w:val="bottom"/>
          </w:tcPr>
          <w:p w14:paraId="56D4A137" w14:textId="77777777" w:rsidR="003233A7" w:rsidRPr="003233A7" w:rsidRDefault="003233A7" w:rsidP="003233A7">
            <w:pPr>
              <w:pStyle w:val="Tabletext"/>
            </w:pPr>
            <w:r w:rsidRPr="003233A7">
              <w:t>6</w:t>
            </w:r>
            <w:r w:rsidR="00D7157D">
              <w:t>.</w:t>
            </w:r>
            <w:r w:rsidRPr="003233A7">
              <w:t>5220</w:t>
            </w:r>
          </w:p>
        </w:tc>
        <w:tc>
          <w:tcPr>
            <w:tcW w:w="966" w:type="pct"/>
            <w:tcBorders>
              <w:top w:val="single" w:sz="4" w:space="0" w:color="auto"/>
              <w:bottom w:val="single" w:sz="4" w:space="0" w:color="auto"/>
              <w:right w:val="nil"/>
            </w:tcBorders>
            <w:shd w:val="clear" w:color="auto" w:fill="auto"/>
            <w:vAlign w:val="bottom"/>
          </w:tcPr>
          <w:p w14:paraId="3639981E" w14:textId="77777777" w:rsidR="003233A7" w:rsidRPr="003233A7" w:rsidRDefault="003233A7" w:rsidP="003233A7">
            <w:pPr>
              <w:pStyle w:val="Tabletext"/>
            </w:pPr>
            <w:r w:rsidRPr="003233A7">
              <w:t>0</w:t>
            </w:r>
            <w:r w:rsidR="00D7157D">
              <w:t>.</w:t>
            </w:r>
            <w:r w:rsidRPr="003233A7">
              <w:t>1601</w:t>
            </w:r>
          </w:p>
        </w:tc>
      </w:tr>
      <w:tr w:rsidR="003233A7" w:rsidRPr="003233A7" w14:paraId="41B8E5AF" w14:textId="77777777" w:rsidTr="00993D49">
        <w:trPr>
          <w:cantSplit/>
        </w:trPr>
        <w:tc>
          <w:tcPr>
            <w:tcW w:w="1136" w:type="pct"/>
            <w:tcBorders>
              <w:top w:val="single" w:sz="4" w:space="0" w:color="auto"/>
              <w:bottom w:val="single" w:sz="4" w:space="0" w:color="auto"/>
            </w:tcBorders>
          </w:tcPr>
          <w:p w14:paraId="02B1A2F3" w14:textId="77777777" w:rsidR="003233A7" w:rsidRPr="003233A7" w:rsidRDefault="003233A7" w:rsidP="003233A7">
            <w:pPr>
              <w:pStyle w:val="Tabletext"/>
            </w:pPr>
            <w:r w:rsidRPr="003233A7">
              <w:t>84</w:t>
            </w:r>
          </w:p>
        </w:tc>
        <w:tc>
          <w:tcPr>
            <w:tcW w:w="966" w:type="pct"/>
            <w:tcBorders>
              <w:top w:val="single" w:sz="4" w:space="0" w:color="auto"/>
              <w:bottom w:val="single" w:sz="4" w:space="0" w:color="auto"/>
            </w:tcBorders>
            <w:shd w:val="clear" w:color="auto" w:fill="auto"/>
            <w:vAlign w:val="bottom"/>
          </w:tcPr>
          <w:p w14:paraId="73C4FC9F" w14:textId="77777777" w:rsidR="003233A7" w:rsidRPr="003233A7" w:rsidRDefault="003233A7" w:rsidP="003233A7">
            <w:pPr>
              <w:pStyle w:val="Tabletext"/>
            </w:pPr>
            <w:r w:rsidRPr="003233A7">
              <w:t>5</w:t>
            </w:r>
            <w:r w:rsidR="00D7157D">
              <w:t>.</w:t>
            </w:r>
            <w:r w:rsidRPr="003233A7">
              <w:t>5097</w:t>
            </w:r>
          </w:p>
        </w:tc>
        <w:tc>
          <w:tcPr>
            <w:tcW w:w="966" w:type="pct"/>
            <w:tcBorders>
              <w:top w:val="single" w:sz="4" w:space="0" w:color="auto"/>
              <w:bottom w:val="single" w:sz="4" w:space="0" w:color="auto"/>
            </w:tcBorders>
            <w:shd w:val="clear" w:color="auto" w:fill="auto"/>
            <w:vAlign w:val="bottom"/>
          </w:tcPr>
          <w:p w14:paraId="671C5061" w14:textId="77777777" w:rsidR="003233A7" w:rsidRPr="003233A7" w:rsidRDefault="003233A7" w:rsidP="003233A7">
            <w:pPr>
              <w:pStyle w:val="Tabletext"/>
            </w:pPr>
            <w:r w:rsidRPr="003233A7">
              <w:t>0</w:t>
            </w:r>
            <w:r w:rsidR="00D7157D">
              <w:t>.</w:t>
            </w:r>
            <w:r w:rsidRPr="003233A7">
              <w:t>5834</w:t>
            </w:r>
          </w:p>
        </w:tc>
        <w:tc>
          <w:tcPr>
            <w:tcW w:w="966" w:type="pct"/>
            <w:tcBorders>
              <w:top w:val="single" w:sz="4" w:space="0" w:color="auto"/>
              <w:bottom w:val="single" w:sz="4" w:space="0" w:color="auto"/>
            </w:tcBorders>
            <w:shd w:val="clear" w:color="auto" w:fill="auto"/>
            <w:vAlign w:val="bottom"/>
          </w:tcPr>
          <w:p w14:paraId="44448A4E" w14:textId="77777777" w:rsidR="003233A7" w:rsidRPr="003233A7" w:rsidRDefault="003233A7" w:rsidP="003233A7">
            <w:pPr>
              <w:pStyle w:val="Tabletext"/>
            </w:pPr>
            <w:r w:rsidRPr="003233A7">
              <w:t>6</w:t>
            </w:r>
            <w:r w:rsidR="00D7157D">
              <w:t>.</w:t>
            </w:r>
            <w:r w:rsidRPr="003233A7">
              <w:t>1083</w:t>
            </w:r>
          </w:p>
        </w:tc>
        <w:tc>
          <w:tcPr>
            <w:tcW w:w="966" w:type="pct"/>
            <w:tcBorders>
              <w:top w:val="single" w:sz="4" w:space="0" w:color="auto"/>
              <w:bottom w:val="single" w:sz="4" w:space="0" w:color="auto"/>
              <w:right w:val="nil"/>
            </w:tcBorders>
            <w:shd w:val="clear" w:color="auto" w:fill="auto"/>
            <w:vAlign w:val="bottom"/>
          </w:tcPr>
          <w:p w14:paraId="147AAFD9" w14:textId="77777777" w:rsidR="003233A7" w:rsidRPr="003233A7" w:rsidRDefault="003233A7" w:rsidP="003233A7">
            <w:pPr>
              <w:pStyle w:val="Tabletext"/>
            </w:pPr>
            <w:r w:rsidRPr="003233A7">
              <w:t>0</w:t>
            </w:r>
            <w:r w:rsidR="00D7157D">
              <w:t>.</w:t>
            </w:r>
            <w:r w:rsidRPr="003233A7">
              <w:t>1552</w:t>
            </w:r>
          </w:p>
        </w:tc>
      </w:tr>
      <w:tr w:rsidR="003233A7" w:rsidRPr="003233A7" w14:paraId="0FEE9989" w14:textId="77777777" w:rsidTr="00993D49">
        <w:trPr>
          <w:cantSplit/>
        </w:trPr>
        <w:tc>
          <w:tcPr>
            <w:tcW w:w="1136" w:type="pct"/>
            <w:tcBorders>
              <w:top w:val="single" w:sz="4" w:space="0" w:color="auto"/>
              <w:bottom w:val="single" w:sz="4" w:space="0" w:color="auto"/>
            </w:tcBorders>
          </w:tcPr>
          <w:p w14:paraId="6D5039D9" w14:textId="77777777" w:rsidR="003233A7" w:rsidRPr="003233A7" w:rsidRDefault="003233A7" w:rsidP="003233A7">
            <w:pPr>
              <w:pStyle w:val="Tabletext"/>
            </w:pPr>
            <w:r w:rsidRPr="003233A7">
              <w:t>85</w:t>
            </w:r>
          </w:p>
        </w:tc>
        <w:tc>
          <w:tcPr>
            <w:tcW w:w="966" w:type="pct"/>
            <w:tcBorders>
              <w:top w:val="single" w:sz="4" w:space="0" w:color="auto"/>
              <w:bottom w:val="single" w:sz="4" w:space="0" w:color="auto"/>
            </w:tcBorders>
            <w:shd w:val="clear" w:color="auto" w:fill="auto"/>
            <w:vAlign w:val="bottom"/>
          </w:tcPr>
          <w:p w14:paraId="39C81A6A" w14:textId="77777777" w:rsidR="003233A7" w:rsidRPr="003233A7" w:rsidRDefault="003233A7" w:rsidP="003233A7">
            <w:pPr>
              <w:pStyle w:val="Tabletext"/>
            </w:pPr>
            <w:r w:rsidRPr="003233A7">
              <w:t>5</w:t>
            </w:r>
            <w:r w:rsidR="00D7157D">
              <w:t>.</w:t>
            </w:r>
            <w:r w:rsidRPr="003233A7">
              <w:t>1776</w:t>
            </w:r>
          </w:p>
        </w:tc>
        <w:tc>
          <w:tcPr>
            <w:tcW w:w="966" w:type="pct"/>
            <w:tcBorders>
              <w:top w:val="single" w:sz="4" w:space="0" w:color="auto"/>
              <w:bottom w:val="single" w:sz="4" w:space="0" w:color="auto"/>
            </w:tcBorders>
            <w:shd w:val="clear" w:color="auto" w:fill="auto"/>
            <w:vAlign w:val="bottom"/>
          </w:tcPr>
          <w:p w14:paraId="4CAA3397" w14:textId="77777777" w:rsidR="003233A7" w:rsidRPr="003233A7" w:rsidRDefault="003233A7" w:rsidP="003233A7">
            <w:pPr>
              <w:pStyle w:val="Tabletext"/>
            </w:pPr>
            <w:r w:rsidRPr="003233A7">
              <w:t>0</w:t>
            </w:r>
            <w:r w:rsidR="00D7157D">
              <w:t>.</w:t>
            </w:r>
            <w:r w:rsidRPr="003233A7">
              <w:t>5622</w:t>
            </w:r>
          </w:p>
        </w:tc>
        <w:tc>
          <w:tcPr>
            <w:tcW w:w="966" w:type="pct"/>
            <w:tcBorders>
              <w:top w:val="single" w:sz="4" w:space="0" w:color="auto"/>
              <w:bottom w:val="single" w:sz="4" w:space="0" w:color="auto"/>
            </w:tcBorders>
            <w:shd w:val="clear" w:color="auto" w:fill="auto"/>
            <w:vAlign w:val="bottom"/>
          </w:tcPr>
          <w:p w14:paraId="388A14F4" w14:textId="77777777" w:rsidR="003233A7" w:rsidRPr="003233A7" w:rsidRDefault="003233A7" w:rsidP="003233A7">
            <w:pPr>
              <w:pStyle w:val="Tabletext"/>
            </w:pPr>
            <w:r w:rsidRPr="003233A7">
              <w:t>5</w:t>
            </w:r>
            <w:r w:rsidR="00D7157D">
              <w:t>.</w:t>
            </w:r>
            <w:r w:rsidRPr="003233A7">
              <w:t>7113</w:t>
            </w:r>
          </w:p>
        </w:tc>
        <w:tc>
          <w:tcPr>
            <w:tcW w:w="966" w:type="pct"/>
            <w:tcBorders>
              <w:top w:val="single" w:sz="4" w:space="0" w:color="auto"/>
              <w:bottom w:val="single" w:sz="4" w:space="0" w:color="auto"/>
              <w:right w:val="nil"/>
            </w:tcBorders>
            <w:shd w:val="clear" w:color="auto" w:fill="auto"/>
            <w:vAlign w:val="bottom"/>
          </w:tcPr>
          <w:p w14:paraId="24529A1A" w14:textId="77777777" w:rsidR="003233A7" w:rsidRPr="003233A7" w:rsidRDefault="003233A7" w:rsidP="003233A7">
            <w:pPr>
              <w:pStyle w:val="Tabletext"/>
            </w:pPr>
            <w:r w:rsidRPr="003233A7">
              <w:t>0</w:t>
            </w:r>
            <w:r w:rsidR="00D7157D">
              <w:t>.</w:t>
            </w:r>
            <w:r w:rsidRPr="003233A7">
              <w:t>1503</w:t>
            </w:r>
          </w:p>
        </w:tc>
      </w:tr>
      <w:tr w:rsidR="003233A7" w:rsidRPr="003233A7" w14:paraId="0868B76A" w14:textId="77777777" w:rsidTr="00993D49">
        <w:trPr>
          <w:cantSplit/>
        </w:trPr>
        <w:tc>
          <w:tcPr>
            <w:tcW w:w="1136" w:type="pct"/>
            <w:tcBorders>
              <w:top w:val="single" w:sz="4" w:space="0" w:color="auto"/>
              <w:bottom w:val="single" w:sz="4" w:space="0" w:color="auto"/>
            </w:tcBorders>
          </w:tcPr>
          <w:p w14:paraId="4F84D830" w14:textId="77777777" w:rsidR="003233A7" w:rsidRPr="003233A7" w:rsidRDefault="003233A7" w:rsidP="003233A7">
            <w:pPr>
              <w:pStyle w:val="Tabletext"/>
            </w:pPr>
            <w:r w:rsidRPr="003233A7">
              <w:t>86</w:t>
            </w:r>
          </w:p>
        </w:tc>
        <w:tc>
          <w:tcPr>
            <w:tcW w:w="966" w:type="pct"/>
            <w:tcBorders>
              <w:top w:val="single" w:sz="4" w:space="0" w:color="auto"/>
              <w:bottom w:val="single" w:sz="4" w:space="0" w:color="auto"/>
            </w:tcBorders>
            <w:shd w:val="clear" w:color="auto" w:fill="auto"/>
            <w:vAlign w:val="bottom"/>
          </w:tcPr>
          <w:p w14:paraId="366684DA" w14:textId="77777777" w:rsidR="003233A7" w:rsidRPr="003233A7" w:rsidRDefault="003233A7" w:rsidP="003233A7">
            <w:pPr>
              <w:pStyle w:val="Tabletext"/>
            </w:pPr>
            <w:r w:rsidRPr="003233A7">
              <w:t>4</w:t>
            </w:r>
            <w:r w:rsidR="00D7157D">
              <w:t>.</w:t>
            </w:r>
            <w:r w:rsidRPr="003233A7">
              <w:t>8683</w:t>
            </w:r>
          </w:p>
        </w:tc>
        <w:tc>
          <w:tcPr>
            <w:tcW w:w="966" w:type="pct"/>
            <w:tcBorders>
              <w:top w:val="single" w:sz="4" w:space="0" w:color="auto"/>
              <w:bottom w:val="single" w:sz="4" w:space="0" w:color="auto"/>
            </w:tcBorders>
            <w:shd w:val="clear" w:color="auto" w:fill="auto"/>
            <w:vAlign w:val="bottom"/>
          </w:tcPr>
          <w:p w14:paraId="160369C0" w14:textId="77777777" w:rsidR="003233A7" w:rsidRPr="003233A7" w:rsidRDefault="003233A7" w:rsidP="003233A7">
            <w:pPr>
              <w:pStyle w:val="Tabletext"/>
            </w:pPr>
            <w:r w:rsidRPr="003233A7">
              <w:t>0</w:t>
            </w:r>
            <w:r w:rsidR="00D7157D">
              <w:t>.</w:t>
            </w:r>
            <w:r w:rsidRPr="003233A7">
              <w:t>5397</w:t>
            </w:r>
          </w:p>
        </w:tc>
        <w:tc>
          <w:tcPr>
            <w:tcW w:w="966" w:type="pct"/>
            <w:tcBorders>
              <w:top w:val="single" w:sz="4" w:space="0" w:color="auto"/>
              <w:bottom w:val="single" w:sz="4" w:space="0" w:color="auto"/>
            </w:tcBorders>
            <w:shd w:val="clear" w:color="auto" w:fill="auto"/>
            <w:vAlign w:val="bottom"/>
          </w:tcPr>
          <w:p w14:paraId="1BFCBA54" w14:textId="77777777" w:rsidR="003233A7" w:rsidRPr="003233A7" w:rsidRDefault="003233A7" w:rsidP="003233A7">
            <w:pPr>
              <w:pStyle w:val="Tabletext"/>
            </w:pPr>
            <w:r w:rsidRPr="003233A7">
              <w:t>5</w:t>
            </w:r>
            <w:r w:rsidR="00D7157D">
              <w:t>.</w:t>
            </w:r>
            <w:r w:rsidRPr="003233A7">
              <w:t>3317</w:t>
            </w:r>
          </w:p>
        </w:tc>
        <w:tc>
          <w:tcPr>
            <w:tcW w:w="966" w:type="pct"/>
            <w:tcBorders>
              <w:top w:val="single" w:sz="4" w:space="0" w:color="auto"/>
              <w:bottom w:val="single" w:sz="4" w:space="0" w:color="auto"/>
              <w:right w:val="nil"/>
            </w:tcBorders>
            <w:shd w:val="clear" w:color="auto" w:fill="auto"/>
            <w:vAlign w:val="bottom"/>
          </w:tcPr>
          <w:p w14:paraId="4984D83F" w14:textId="77777777" w:rsidR="003233A7" w:rsidRPr="003233A7" w:rsidRDefault="003233A7" w:rsidP="003233A7">
            <w:pPr>
              <w:pStyle w:val="Tabletext"/>
            </w:pPr>
            <w:r w:rsidRPr="003233A7">
              <w:t>0</w:t>
            </w:r>
            <w:r w:rsidR="00D7157D">
              <w:t>.</w:t>
            </w:r>
            <w:r w:rsidRPr="003233A7">
              <w:t>1454</w:t>
            </w:r>
          </w:p>
        </w:tc>
      </w:tr>
      <w:tr w:rsidR="003233A7" w:rsidRPr="003233A7" w14:paraId="65A9D516" w14:textId="77777777" w:rsidTr="00993D49">
        <w:trPr>
          <w:cantSplit/>
        </w:trPr>
        <w:tc>
          <w:tcPr>
            <w:tcW w:w="1136" w:type="pct"/>
            <w:tcBorders>
              <w:top w:val="single" w:sz="4" w:space="0" w:color="auto"/>
              <w:bottom w:val="single" w:sz="4" w:space="0" w:color="auto"/>
            </w:tcBorders>
          </w:tcPr>
          <w:p w14:paraId="34511EC5" w14:textId="77777777" w:rsidR="003233A7" w:rsidRPr="003233A7" w:rsidRDefault="003233A7" w:rsidP="003233A7">
            <w:pPr>
              <w:pStyle w:val="Tabletext"/>
            </w:pPr>
            <w:r w:rsidRPr="003233A7">
              <w:t>87</w:t>
            </w:r>
          </w:p>
        </w:tc>
        <w:tc>
          <w:tcPr>
            <w:tcW w:w="966" w:type="pct"/>
            <w:tcBorders>
              <w:top w:val="single" w:sz="4" w:space="0" w:color="auto"/>
              <w:bottom w:val="single" w:sz="4" w:space="0" w:color="auto"/>
            </w:tcBorders>
            <w:shd w:val="clear" w:color="auto" w:fill="auto"/>
            <w:vAlign w:val="bottom"/>
          </w:tcPr>
          <w:p w14:paraId="27164D6D" w14:textId="77777777" w:rsidR="003233A7" w:rsidRPr="003233A7" w:rsidRDefault="003233A7" w:rsidP="003233A7">
            <w:pPr>
              <w:pStyle w:val="Tabletext"/>
            </w:pPr>
            <w:r w:rsidRPr="003233A7">
              <w:t>4</w:t>
            </w:r>
            <w:r w:rsidR="00D7157D">
              <w:t>.</w:t>
            </w:r>
            <w:r w:rsidRPr="003233A7">
              <w:t>5783</w:t>
            </w:r>
          </w:p>
        </w:tc>
        <w:tc>
          <w:tcPr>
            <w:tcW w:w="966" w:type="pct"/>
            <w:tcBorders>
              <w:top w:val="single" w:sz="4" w:space="0" w:color="auto"/>
              <w:bottom w:val="single" w:sz="4" w:space="0" w:color="auto"/>
            </w:tcBorders>
            <w:shd w:val="clear" w:color="auto" w:fill="auto"/>
            <w:vAlign w:val="bottom"/>
          </w:tcPr>
          <w:p w14:paraId="1DA50A9E" w14:textId="77777777" w:rsidR="003233A7" w:rsidRPr="003233A7" w:rsidRDefault="003233A7" w:rsidP="003233A7">
            <w:pPr>
              <w:pStyle w:val="Tabletext"/>
            </w:pPr>
            <w:r w:rsidRPr="003233A7">
              <w:t>0</w:t>
            </w:r>
            <w:r w:rsidR="00D7157D">
              <w:t>.</w:t>
            </w:r>
            <w:r w:rsidRPr="003233A7">
              <w:t>5165</w:t>
            </w:r>
          </w:p>
        </w:tc>
        <w:tc>
          <w:tcPr>
            <w:tcW w:w="966" w:type="pct"/>
            <w:tcBorders>
              <w:top w:val="single" w:sz="4" w:space="0" w:color="auto"/>
              <w:bottom w:val="single" w:sz="4" w:space="0" w:color="auto"/>
            </w:tcBorders>
            <w:shd w:val="clear" w:color="auto" w:fill="auto"/>
            <w:vAlign w:val="bottom"/>
          </w:tcPr>
          <w:p w14:paraId="5F9515D4" w14:textId="77777777" w:rsidR="003233A7" w:rsidRPr="003233A7" w:rsidRDefault="003233A7" w:rsidP="003233A7">
            <w:pPr>
              <w:pStyle w:val="Tabletext"/>
            </w:pPr>
            <w:r w:rsidRPr="003233A7">
              <w:t>4</w:t>
            </w:r>
            <w:r w:rsidR="00D7157D">
              <w:t>.</w:t>
            </w:r>
            <w:r w:rsidRPr="003233A7">
              <w:t>9736</w:t>
            </w:r>
          </w:p>
        </w:tc>
        <w:tc>
          <w:tcPr>
            <w:tcW w:w="966" w:type="pct"/>
            <w:tcBorders>
              <w:top w:val="single" w:sz="4" w:space="0" w:color="auto"/>
              <w:bottom w:val="single" w:sz="4" w:space="0" w:color="auto"/>
              <w:right w:val="nil"/>
            </w:tcBorders>
            <w:shd w:val="clear" w:color="auto" w:fill="auto"/>
            <w:vAlign w:val="bottom"/>
          </w:tcPr>
          <w:p w14:paraId="75735C53" w14:textId="77777777" w:rsidR="003233A7" w:rsidRPr="003233A7" w:rsidRDefault="003233A7" w:rsidP="003233A7">
            <w:pPr>
              <w:pStyle w:val="Tabletext"/>
            </w:pPr>
            <w:r w:rsidRPr="003233A7">
              <w:t>0</w:t>
            </w:r>
            <w:r w:rsidR="00D7157D">
              <w:t>.</w:t>
            </w:r>
            <w:r w:rsidRPr="003233A7">
              <w:t>1405</w:t>
            </w:r>
          </w:p>
        </w:tc>
      </w:tr>
      <w:tr w:rsidR="003233A7" w:rsidRPr="003233A7" w14:paraId="77F09DDA" w14:textId="77777777" w:rsidTr="00993D49">
        <w:trPr>
          <w:cantSplit/>
        </w:trPr>
        <w:tc>
          <w:tcPr>
            <w:tcW w:w="1136" w:type="pct"/>
            <w:tcBorders>
              <w:top w:val="single" w:sz="4" w:space="0" w:color="auto"/>
              <w:bottom w:val="single" w:sz="4" w:space="0" w:color="auto"/>
            </w:tcBorders>
          </w:tcPr>
          <w:p w14:paraId="3F608D6D" w14:textId="77777777" w:rsidR="003233A7" w:rsidRPr="003233A7" w:rsidRDefault="003233A7" w:rsidP="003233A7">
            <w:pPr>
              <w:pStyle w:val="Tabletext"/>
            </w:pPr>
            <w:r w:rsidRPr="003233A7">
              <w:t>88</w:t>
            </w:r>
          </w:p>
        </w:tc>
        <w:tc>
          <w:tcPr>
            <w:tcW w:w="966" w:type="pct"/>
            <w:tcBorders>
              <w:top w:val="single" w:sz="4" w:space="0" w:color="auto"/>
              <w:bottom w:val="single" w:sz="4" w:space="0" w:color="auto"/>
            </w:tcBorders>
            <w:shd w:val="clear" w:color="auto" w:fill="auto"/>
            <w:vAlign w:val="bottom"/>
          </w:tcPr>
          <w:p w14:paraId="761E5FAB" w14:textId="77777777" w:rsidR="003233A7" w:rsidRPr="003233A7" w:rsidRDefault="003233A7" w:rsidP="003233A7">
            <w:pPr>
              <w:pStyle w:val="Tabletext"/>
            </w:pPr>
            <w:r w:rsidRPr="003233A7">
              <w:t>4</w:t>
            </w:r>
            <w:r w:rsidR="00D7157D">
              <w:t>.</w:t>
            </w:r>
            <w:r w:rsidRPr="003233A7">
              <w:t>3083</w:t>
            </w:r>
          </w:p>
        </w:tc>
        <w:tc>
          <w:tcPr>
            <w:tcW w:w="966" w:type="pct"/>
            <w:tcBorders>
              <w:top w:val="single" w:sz="4" w:space="0" w:color="auto"/>
              <w:bottom w:val="single" w:sz="4" w:space="0" w:color="auto"/>
            </w:tcBorders>
            <w:shd w:val="clear" w:color="auto" w:fill="auto"/>
            <w:vAlign w:val="bottom"/>
          </w:tcPr>
          <w:p w14:paraId="0649117F" w14:textId="77777777" w:rsidR="003233A7" w:rsidRPr="003233A7" w:rsidRDefault="003233A7" w:rsidP="003233A7">
            <w:pPr>
              <w:pStyle w:val="Tabletext"/>
            </w:pPr>
            <w:r w:rsidRPr="003233A7">
              <w:t>0</w:t>
            </w:r>
            <w:r w:rsidR="00D7157D">
              <w:t>.</w:t>
            </w:r>
            <w:r w:rsidRPr="003233A7">
              <w:t>4927</w:t>
            </w:r>
          </w:p>
        </w:tc>
        <w:tc>
          <w:tcPr>
            <w:tcW w:w="966" w:type="pct"/>
            <w:tcBorders>
              <w:top w:val="single" w:sz="4" w:space="0" w:color="auto"/>
              <w:bottom w:val="single" w:sz="4" w:space="0" w:color="auto"/>
            </w:tcBorders>
            <w:shd w:val="clear" w:color="auto" w:fill="auto"/>
            <w:vAlign w:val="bottom"/>
          </w:tcPr>
          <w:p w14:paraId="3C30D7AE" w14:textId="77777777" w:rsidR="003233A7" w:rsidRPr="003233A7" w:rsidRDefault="003233A7" w:rsidP="003233A7">
            <w:pPr>
              <w:pStyle w:val="Tabletext"/>
            </w:pPr>
            <w:r w:rsidRPr="003233A7">
              <w:t>4</w:t>
            </w:r>
            <w:r w:rsidR="00D7157D">
              <w:t>.</w:t>
            </w:r>
            <w:r w:rsidRPr="003233A7">
              <w:t>6374</w:t>
            </w:r>
          </w:p>
        </w:tc>
        <w:tc>
          <w:tcPr>
            <w:tcW w:w="966" w:type="pct"/>
            <w:tcBorders>
              <w:top w:val="single" w:sz="4" w:space="0" w:color="auto"/>
              <w:bottom w:val="single" w:sz="4" w:space="0" w:color="auto"/>
              <w:right w:val="nil"/>
            </w:tcBorders>
            <w:shd w:val="clear" w:color="auto" w:fill="auto"/>
            <w:vAlign w:val="bottom"/>
          </w:tcPr>
          <w:p w14:paraId="38CEFDEF" w14:textId="77777777" w:rsidR="003233A7" w:rsidRPr="003233A7" w:rsidRDefault="003233A7" w:rsidP="003233A7">
            <w:pPr>
              <w:pStyle w:val="Tabletext"/>
            </w:pPr>
            <w:r w:rsidRPr="003233A7">
              <w:t>0</w:t>
            </w:r>
            <w:r w:rsidR="00D7157D">
              <w:t>.</w:t>
            </w:r>
            <w:r w:rsidRPr="003233A7">
              <w:t>1357</w:t>
            </w:r>
          </w:p>
        </w:tc>
      </w:tr>
      <w:tr w:rsidR="003233A7" w:rsidRPr="003233A7" w14:paraId="79E55797" w14:textId="77777777" w:rsidTr="00993D49">
        <w:trPr>
          <w:cantSplit/>
        </w:trPr>
        <w:tc>
          <w:tcPr>
            <w:tcW w:w="1136" w:type="pct"/>
            <w:tcBorders>
              <w:top w:val="single" w:sz="4" w:space="0" w:color="auto"/>
              <w:bottom w:val="single" w:sz="4" w:space="0" w:color="auto"/>
            </w:tcBorders>
          </w:tcPr>
          <w:p w14:paraId="64E4A0D7" w14:textId="77777777" w:rsidR="003233A7" w:rsidRPr="003233A7" w:rsidRDefault="003233A7" w:rsidP="003233A7">
            <w:pPr>
              <w:pStyle w:val="Tabletext"/>
            </w:pPr>
            <w:r w:rsidRPr="003233A7">
              <w:t>89</w:t>
            </w:r>
          </w:p>
        </w:tc>
        <w:tc>
          <w:tcPr>
            <w:tcW w:w="966" w:type="pct"/>
            <w:tcBorders>
              <w:top w:val="single" w:sz="4" w:space="0" w:color="auto"/>
              <w:bottom w:val="single" w:sz="4" w:space="0" w:color="auto"/>
            </w:tcBorders>
            <w:shd w:val="clear" w:color="auto" w:fill="auto"/>
            <w:vAlign w:val="bottom"/>
          </w:tcPr>
          <w:p w14:paraId="31FB40A2" w14:textId="77777777" w:rsidR="003233A7" w:rsidRPr="003233A7" w:rsidRDefault="003233A7" w:rsidP="003233A7">
            <w:pPr>
              <w:pStyle w:val="Tabletext"/>
            </w:pPr>
            <w:r w:rsidRPr="003233A7">
              <w:t>4</w:t>
            </w:r>
            <w:r w:rsidR="00D7157D">
              <w:t>.</w:t>
            </w:r>
            <w:r w:rsidRPr="003233A7">
              <w:t>0577</w:t>
            </w:r>
          </w:p>
        </w:tc>
        <w:tc>
          <w:tcPr>
            <w:tcW w:w="966" w:type="pct"/>
            <w:tcBorders>
              <w:top w:val="single" w:sz="4" w:space="0" w:color="auto"/>
              <w:bottom w:val="single" w:sz="4" w:space="0" w:color="auto"/>
            </w:tcBorders>
            <w:shd w:val="clear" w:color="auto" w:fill="auto"/>
            <w:vAlign w:val="bottom"/>
          </w:tcPr>
          <w:p w14:paraId="0EEB493E" w14:textId="77777777" w:rsidR="003233A7" w:rsidRPr="003233A7" w:rsidRDefault="003233A7" w:rsidP="003233A7">
            <w:pPr>
              <w:pStyle w:val="Tabletext"/>
            </w:pPr>
            <w:r w:rsidRPr="003233A7">
              <w:t>0</w:t>
            </w:r>
            <w:r w:rsidR="00D7157D">
              <w:t>.</w:t>
            </w:r>
            <w:r w:rsidRPr="003233A7">
              <w:t>4686</w:t>
            </w:r>
          </w:p>
        </w:tc>
        <w:tc>
          <w:tcPr>
            <w:tcW w:w="966" w:type="pct"/>
            <w:tcBorders>
              <w:top w:val="single" w:sz="4" w:space="0" w:color="auto"/>
              <w:bottom w:val="single" w:sz="4" w:space="0" w:color="auto"/>
            </w:tcBorders>
            <w:shd w:val="clear" w:color="auto" w:fill="auto"/>
            <w:vAlign w:val="bottom"/>
          </w:tcPr>
          <w:p w14:paraId="73658073" w14:textId="77777777" w:rsidR="003233A7" w:rsidRPr="003233A7" w:rsidRDefault="003233A7" w:rsidP="003233A7">
            <w:pPr>
              <w:pStyle w:val="Tabletext"/>
            </w:pPr>
            <w:r w:rsidRPr="003233A7">
              <w:t>4</w:t>
            </w:r>
            <w:r w:rsidR="00D7157D">
              <w:t>.</w:t>
            </w:r>
            <w:r w:rsidRPr="003233A7">
              <w:t>3252</w:t>
            </w:r>
          </w:p>
        </w:tc>
        <w:tc>
          <w:tcPr>
            <w:tcW w:w="966" w:type="pct"/>
            <w:tcBorders>
              <w:top w:val="single" w:sz="4" w:space="0" w:color="auto"/>
              <w:bottom w:val="single" w:sz="4" w:space="0" w:color="auto"/>
              <w:right w:val="nil"/>
            </w:tcBorders>
            <w:shd w:val="clear" w:color="auto" w:fill="auto"/>
            <w:vAlign w:val="bottom"/>
          </w:tcPr>
          <w:p w14:paraId="17FDAD12" w14:textId="77777777" w:rsidR="003233A7" w:rsidRPr="003233A7" w:rsidRDefault="003233A7" w:rsidP="003233A7">
            <w:pPr>
              <w:pStyle w:val="Tabletext"/>
            </w:pPr>
            <w:r w:rsidRPr="003233A7">
              <w:t>0</w:t>
            </w:r>
            <w:r w:rsidR="00D7157D">
              <w:t>.</w:t>
            </w:r>
            <w:r w:rsidRPr="003233A7">
              <w:t>1309</w:t>
            </w:r>
          </w:p>
        </w:tc>
      </w:tr>
      <w:tr w:rsidR="003233A7" w:rsidRPr="003233A7" w14:paraId="06A1A151" w14:textId="77777777" w:rsidTr="00993D49">
        <w:trPr>
          <w:cantSplit/>
        </w:trPr>
        <w:tc>
          <w:tcPr>
            <w:tcW w:w="1136" w:type="pct"/>
            <w:tcBorders>
              <w:top w:val="single" w:sz="4" w:space="0" w:color="auto"/>
              <w:bottom w:val="single" w:sz="4" w:space="0" w:color="auto"/>
            </w:tcBorders>
          </w:tcPr>
          <w:p w14:paraId="6E5E23B4" w14:textId="77777777" w:rsidR="003233A7" w:rsidRPr="003233A7" w:rsidRDefault="003233A7" w:rsidP="003233A7">
            <w:pPr>
              <w:pStyle w:val="Tabletext"/>
            </w:pPr>
            <w:r w:rsidRPr="003233A7">
              <w:t>90</w:t>
            </w:r>
          </w:p>
        </w:tc>
        <w:tc>
          <w:tcPr>
            <w:tcW w:w="966" w:type="pct"/>
            <w:tcBorders>
              <w:top w:val="single" w:sz="4" w:space="0" w:color="auto"/>
              <w:bottom w:val="single" w:sz="4" w:space="0" w:color="auto"/>
            </w:tcBorders>
            <w:shd w:val="clear" w:color="auto" w:fill="auto"/>
            <w:vAlign w:val="bottom"/>
          </w:tcPr>
          <w:p w14:paraId="2C8CA74E" w14:textId="77777777" w:rsidR="003233A7" w:rsidRPr="003233A7" w:rsidRDefault="003233A7" w:rsidP="003233A7">
            <w:pPr>
              <w:pStyle w:val="Tabletext"/>
            </w:pPr>
            <w:r w:rsidRPr="003233A7">
              <w:t>3</w:t>
            </w:r>
            <w:r w:rsidR="00D7157D">
              <w:t>.</w:t>
            </w:r>
            <w:r w:rsidRPr="003233A7">
              <w:t>8246</w:t>
            </w:r>
          </w:p>
        </w:tc>
        <w:tc>
          <w:tcPr>
            <w:tcW w:w="966" w:type="pct"/>
            <w:tcBorders>
              <w:top w:val="single" w:sz="4" w:space="0" w:color="auto"/>
              <w:bottom w:val="single" w:sz="4" w:space="0" w:color="auto"/>
            </w:tcBorders>
            <w:shd w:val="clear" w:color="auto" w:fill="auto"/>
            <w:vAlign w:val="bottom"/>
          </w:tcPr>
          <w:p w14:paraId="2AFB1901" w14:textId="77777777" w:rsidR="003233A7" w:rsidRPr="003233A7" w:rsidRDefault="003233A7" w:rsidP="003233A7">
            <w:pPr>
              <w:pStyle w:val="Tabletext"/>
            </w:pPr>
            <w:r w:rsidRPr="003233A7">
              <w:t>0</w:t>
            </w:r>
            <w:r w:rsidR="00D7157D">
              <w:t>.</w:t>
            </w:r>
            <w:r w:rsidRPr="003233A7">
              <w:t>4447</w:t>
            </w:r>
          </w:p>
        </w:tc>
        <w:tc>
          <w:tcPr>
            <w:tcW w:w="966" w:type="pct"/>
            <w:tcBorders>
              <w:top w:val="single" w:sz="4" w:space="0" w:color="auto"/>
              <w:bottom w:val="single" w:sz="4" w:space="0" w:color="auto"/>
            </w:tcBorders>
            <w:shd w:val="clear" w:color="auto" w:fill="auto"/>
            <w:vAlign w:val="bottom"/>
          </w:tcPr>
          <w:p w14:paraId="7DFB01A4" w14:textId="77777777" w:rsidR="003233A7" w:rsidRPr="003233A7" w:rsidRDefault="003233A7" w:rsidP="003233A7">
            <w:pPr>
              <w:pStyle w:val="Tabletext"/>
            </w:pPr>
            <w:r w:rsidRPr="003233A7">
              <w:t>4</w:t>
            </w:r>
            <w:r w:rsidR="00D7157D">
              <w:t>.</w:t>
            </w:r>
            <w:r w:rsidRPr="003233A7">
              <w:t>0396</w:t>
            </w:r>
          </w:p>
        </w:tc>
        <w:tc>
          <w:tcPr>
            <w:tcW w:w="966" w:type="pct"/>
            <w:tcBorders>
              <w:top w:val="single" w:sz="4" w:space="0" w:color="auto"/>
              <w:bottom w:val="single" w:sz="4" w:space="0" w:color="auto"/>
              <w:right w:val="nil"/>
            </w:tcBorders>
            <w:shd w:val="clear" w:color="auto" w:fill="auto"/>
            <w:vAlign w:val="bottom"/>
          </w:tcPr>
          <w:p w14:paraId="217AFF52" w14:textId="77777777" w:rsidR="003233A7" w:rsidRPr="003233A7" w:rsidRDefault="003233A7" w:rsidP="003233A7">
            <w:pPr>
              <w:pStyle w:val="Tabletext"/>
            </w:pPr>
            <w:r w:rsidRPr="003233A7">
              <w:t>0</w:t>
            </w:r>
            <w:r w:rsidR="00D7157D">
              <w:t>.</w:t>
            </w:r>
            <w:r w:rsidRPr="003233A7">
              <w:t>1262</w:t>
            </w:r>
          </w:p>
        </w:tc>
      </w:tr>
      <w:tr w:rsidR="003233A7" w:rsidRPr="003233A7" w14:paraId="10BA6D8F" w14:textId="77777777" w:rsidTr="00993D49">
        <w:trPr>
          <w:cantSplit/>
        </w:trPr>
        <w:tc>
          <w:tcPr>
            <w:tcW w:w="1136" w:type="pct"/>
            <w:tcBorders>
              <w:top w:val="single" w:sz="4" w:space="0" w:color="auto"/>
              <w:bottom w:val="single" w:sz="4" w:space="0" w:color="auto"/>
            </w:tcBorders>
          </w:tcPr>
          <w:p w14:paraId="01B66092" w14:textId="77777777" w:rsidR="003233A7" w:rsidRPr="003233A7" w:rsidRDefault="003233A7" w:rsidP="003233A7">
            <w:pPr>
              <w:pStyle w:val="Tabletext"/>
            </w:pPr>
            <w:r w:rsidRPr="003233A7">
              <w:t>91</w:t>
            </w:r>
          </w:p>
        </w:tc>
        <w:tc>
          <w:tcPr>
            <w:tcW w:w="966" w:type="pct"/>
            <w:tcBorders>
              <w:top w:val="single" w:sz="4" w:space="0" w:color="auto"/>
              <w:bottom w:val="single" w:sz="4" w:space="0" w:color="auto"/>
            </w:tcBorders>
            <w:shd w:val="clear" w:color="auto" w:fill="auto"/>
            <w:vAlign w:val="bottom"/>
          </w:tcPr>
          <w:p w14:paraId="4CA360BC" w14:textId="77777777" w:rsidR="003233A7" w:rsidRPr="003233A7" w:rsidRDefault="003233A7" w:rsidP="003233A7">
            <w:pPr>
              <w:pStyle w:val="Tabletext"/>
            </w:pPr>
            <w:r w:rsidRPr="003233A7">
              <w:t>3</w:t>
            </w:r>
            <w:r w:rsidR="00D7157D">
              <w:t>.</w:t>
            </w:r>
            <w:r w:rsidRPr="003233A7">
              <w:t>6047</w:t>
            </w:r>
          </w:p>
        </w:tc>
        <w:tc>
          <w:tcPr>
            <w:tcW w:w="966" w:type="pct"/>
            <w:tcBorders>
              <w:top w:val="single" w:sz="4" w:space="0" w:color="auto"/>
              <w:bottom w:val="single" w:sz="4" w:space="0" w:color="auto"/>
            </w:tcBorders>
            <w:shd w:val="clear" w:color="auto" w:fill="auto"/>
            <w:vAlign w:val="bottom"/>
          </w:tcPr>
          <w:p w14:paraId="32C2DFC5" w14:textId="77777777" w:rsidR="003233A7" w:rsidRPr="003233A7" w:rsidRDefault="003233A7" w:rsidP="003233A7">
            <w:pPr>
              <w:pStyle w:val="Tabletext"/>
            </w:pPr>
            <w:r w:rsidRPr="003233A7">
              <w:t>0</w:t>
            </w:r>
            <w:r w:rsidR="00D7157D">
              <w:t>.</w:t>
            </w:r>
            <w:r w:rsidRPr="003233A7">
              <w:t>4216</w:t>
            </w:r>
          </w:p>
        </w:tc>
        <w:tc>
          <w:tcPr>
            <w:tcW w:w="966" w:type="pct"/>
            <w:tcBorders>
              <w:top w:val="single" w:sz="4" w:space="0" w:color="auto"/>
              <w:bottom w:val="single" w:sz="4" w:space="0" w:color="auto"/>
            </w:tcBorders>
            <w:shd w:val="clear" w:color="auto" w:fill="auto"/>
            <w:vAlign w:val="bottom"/>
          </w:tcPr>
          <w:p w14:paraId="790F6061" w14:textId="77777777" w:rsidR="003233A7" w:rsidRPr="003233A7" w:rsidRDefault="003233A7" w:rsidP="003233A7">
            <w:pPr>
              <w:pStyle w:val="Tabletext"/>
            </w:pPr>
            <w:r w:rsidRPr="003233A7">
              <w:t>3</w:t>
            </w:r>
            <w:r w:rsidR="00D7157D">
              <w:t>.</w:t>
            </w:r>
            <w:r w:rsidRPr="003233A7">
              <w:t>7780</w:t>
            </w:r>
          </w:p>
        </w:tc>
        <w:tc>
          <w:tcPr>
            <w:tcW w:w="966" w:type="pct"/>
            <w:tcBorders>
              <w:top w:val="single" w:sz="4" w:space="0" w:color="auto"/>
              <w:bottom w:val="single" w:sz="4" w:space="0" w:color="auto"/>
              <w:right w:val="nil"/>
            </w:tcBorders>
            <w:shd w:val="clear" w:color="auto" w:fill="auto"/>
            <w:vAlign w:val="bottom"/>
          </w:tcPr>
          <w:p w14:paraId="5DF164F2" w14:textId="77777777" w:rsidR="003233A7" w:rsidRPr="003233A7" w:rsidRDefault="003233A7" w:rsidP="003233A7">
            <w:pPr>
              <w:pStyle w:val="Tabletext"/>
            </w:pPr>
            <w:r w:rsidRPr="003233A7">
              <w:t>0</w:t>
            </w:r>
            <w:r w:rsidR="00D7157D">
              <w:t>.</w:t>
            </w:r>
            <w:r w:rsidRPr="003233A7">
              <w:t>1215</w:t>
            </w:r>
          </w:p>
        </w:tc>
      </w:tr>
      <w:tr w:rsidR="003233A7" w:rsidRPr="003233A7" w14:paraId="432FEB72" w14:textId="77777777" w:rsidTr="00993D49">
        <w:trPr>
          <w:cantSplit/>
        </w:trPr>
        <w:tc>
          <w:tcPr>
            <w:tcW w:w="1136" w:type="pct"/>
            <w:tcBorders>
              <w:top w:val="single" w:sz="4" w:space="0" w:color="auto"/>
              <w:bottom w:val="single" w:sz="4" w:space="0" w:color="auto"/>
            </w:tcBorders>
          </w:tcPr>
          <w:p w14:paraId="5B09D207" w14:textId="77777777" w:rsidR="003233A7" w:rsidRPr="003233A7" w:rsidRDefault="003233A7" w:rsidP="003233A7">
            <w:pPr>
              <w:pStyle w:val="Tabletext"/>
            </w:pPr>
            <w:r w:rsidRPr="003233A7">
              <w:t>92</w:t>
            </w:r>
          </w:p>
        </w:tc>
        <w:tc>
          <w:tcPr>
            <w:tcW w:w="966" w:type="pct"/>
            <w:tcBorders>
              <w:top w:val="single" w:sz="4" w:space="0" w:color="auto"/>
              <w:bottom w:val="single" w:sz="4" w:space="0" w:color="auto"/>
            </w:tcBorders>
            <w:shd w:val="clear" w:color="auto" w:fill="auto"/>
            <w:vAlign w:val="bottom"/>
          </w:tcPr>
          <w:p w14:paraId="22CB3089" w14:textId="77777777" w:rsidR="003233A7" w:rsidRPr="003233A7" w:rsidRDefault="003233A7" w:rsidP="003233A7">
            <w:pPr>
              <w:pStyle w:val="Tabletext"/>
            </w:pPr>
            <w:r w:rsidRPr="003233A7">
              <w:t>3</w:t>
            </w:r>
            <w:r w:rsidR="00D7157D">
              <w:t>.</w:t>
            </w:r>
            <w:r w:rsidRPr="003233A7">
              <w:t>4008</w:t>
            </w:r>
          </w:p>
        </w:tc>
        <w:tc>
          <w:tcPr>
            <w:tcW w:w="966" w:type="pct"/>
            <w:tcBorders>
              <w:top w:val="single" w:sz="4" w:space="0" w:color="auto"/>
              <w:bottom w:val="single" w:sz="4" w:space="0" w:color="auto"/>
            </w:tcBorders>
            <w:shd w:val="clear" w:color="auto" w:fill="auto"/>
            <w:vAlign w:val="bottom"/>
          </w:tcPr>
          <w:p w14:paraId="6811B103" w14:textId="77777777" w:rsidR="003233A7" w:rsidRPr="003233A7" w:rsidRDefault="003233A7" w:rsidP="003233A7">
            <w:pPr>
              <w:pStyle w:val="Tabletext"/>
            </w:pPr>
            <w:r w:rsidRPr="003233A7">
              <w:t>0</w:t>
            </w:r>
            <w:r w:rsidR="00D7157D">
              <w:t>.</w:t>
            </w:r>
            <w:r w:rsidRPr="003233A7">
              <w:t>3991</w:t>
            </w:r>
          </w:p>
        </w:tc>
        <w:tc>
          <w:tcPr>
            <w:tcW w:w="966" w:type="pct"/>
            <w:tcBorders>
              <w:top w:val="single" w:sz="4" w:space="0" w:color="auto"/>
              <w:bottom w:val="single" w:sz="4" w:space="0" w:color="auto"/>
            </w:tcBorders>
            <w:shd w:val="clear" w:color="auto" w:fill="auto"/>
            <w:vAlign w:val="bottom"/>
          </w:tcPr>
          <w:p w14:paraId="09C0B79B" w14:textId="77777777" w:rsidR="003233A7" w:rsidRPr="003233A7" w:rsidRDefault="003233A7" w:rsidP="003233A7">
            <w:pPr>
              <w:pStyle w:val="Tabletext"/>
            </w:pPr>
            <w:r w:rsidRPr="003233A7">
              <w:t>3</w:t>
            </w:r>
            <w:r w:rsidR="00D7157D">
              <w:t>.</w:t>
            </w:r>
            <w:r w:rsidRPr="003233A7">
              <w:t>5473</w:t>
            </w:r>
          </w:p>
        </w:tc>
        <w:tc>
          <w:tcPr>
            <w:tcW w:w="966" w:type="pct"/>
            <w:tcBorders>
              <w:top w:val="single" w:sz="4" w:space="0" w:color="auto"/>
              <w:bottom w:val="single" w:sz="4" w:space="0" w:color="auto"/>
              <w:right w:val="nil"/>
            </w:tcBorders>
            <w:shd w:val="clear" w:color="auto" w:fill="auto"/>
            <w:vAlign w:val="bottom"/>
          </w:tcPr>
          <w:p w14:paraId="41505DEC" w14:textId="77777777" w:rsidR="003233A7" w:rsidRPr="003233A7" w:rsidRDefault="003233A7" w:rsidP="003233A7">
            <w:pPr>
              <w:pStyle w:val="Tabletext"/>
            </w:pPr>
            <w:r w:rsidRPr="003233A7">
              <w:t>0</w:t>
            </w:r>
            <w:r w:rsidR="00D7157D">
              <w:t>.</w:t>
            </w:r>
            <w:r w:rsidRPr="003233A7">
              <w:t>1167</w:t>
            </w:r>
          </w:p>
        </w:tc>
      </w:tr>
      <w:tr w:rsidR="003233A7" w:rsidRPr="003233A7" w14:paraId="177DDB0C" w14:textId="77777777" w:rsidTr="00993D49">
        <w:trPr>
          <w:cantSplit/>
        </w:trPr>
        <w:tc>
          <w:tcPr>
            <w:tcW w:w="1136" w:type="pct"/>
            <w:tcBorders>
              <w:top w:val="single" w:sz="4" w:space="0" w:color="auto"/>
              <w:bottom w:val="single" w:sz="4" w:space="0" w:color="auto"/>
            </w:tcBorders>
          </w:tcPr>
          <w:p w14:paraId="20683D8C" w14:textId="77777777" w:rsidR="003233A7" w:rsidRPr="003233A7" w:rsidRDefault="003233A7" w:rsidP="003233A7">
            <w:pPr>
              <w:pStyle w:val="Tabletext"/>
            </w:pPr>
            <w:r w:rsidRPr="003233A7">
              <w:t>93</w:t>
            </w:r>
          </w:p>
        </w:tc>
        <w:tc>
          <w:tcPr>
            <w:tcW w:w="966" w:type="pct"/>
            <w:tcBorders>
              <w:top w:val="single" w:sz="4" w:space="0" w:color="auto"/>
              <w:bottom w:val="single" w:sz="4" w:space="0" w:color="auto"/>
            </w:tcBorders>
            <w:shd w:val="clear" w:color="auto" w:fill="auto"/>
            <w:vAlign w:val="bottom"/>
          </w:tcPr>
          <w:p w14:paraId="5A0DE220" w14:textId="77777777" w:rsidR="003233A7" w:rsidRPr="003233A7" w:rsidRDefault="003233A7" w:rsidP="003233A7">
            <w:pPr>
              <w:pStyle w:val="Tabletext"/>
            </w:pPr>
            <w:r w:rsidRPr="003233A7">
              <w:t>3</w:t>
            </w:r>
            <w:r w:rsidR="00D7157D">
              <w:t>.</w:t>
            </w:r>
            <w:r w:rsidRPr="003233A7">
              <w:t>2108</w:t>
            </w:r>
          </w:p>
        </w:tc>
        <w:tc>
          <w:tcPr>
            <w:tcW w:w="966" w:type="pct"/>
            <w:tcBorders>
              <w:top w:val="single" w:sz="4" w:space="0" w:color="auto"/>
              <w:bottom w:val="single" w:sz="4" w:space="0" w:color="auto"/>
            </w:tcBorders>
            <w:shd w:val="clear" w:color="auto" w:fill="auto"/>
            <w:vAlign w:val="bottom"/>
          </w:tcPr>
          <w:p w14:paraId="61A8BD4A" w14:textId="77777777" w:rsidR="003233A7" w:rsidRPr="003233A7" w:rsidRDefault="003233A7" w:rsidP="003233A7">
            <w:pPr>
              <w:pStyle w:val="Tabletext"/>
            </w:pPr>
            <w:r w:rsidRPr="003233A7">
              <w:t>0</w:t>
            </w:r>
            <w:r w:rsidR="00D7157D">
              <w:t>.</w:t>
            </w:r>
            <w:r w:rsidRPr="003233A7">
              <w:t>3774</w:t>
            </w:r>
          </w:p>
        </w:tc>
        <w:tc>
          <w:tcPr>
            <w:tcW w:w="966" w:type="pct"/>
            <w:tcBorders>
              <w:top w:val="single" w:sz="4" w:space="0" w:color="auto"/>
              <w:bottom w:val="single" w:sz="4" w:space="0" w:color="auto"/>
            </w:tcBorders>
            <w:shd w:val="clear" w:color="auto" w:fill="auto"/>
            <w:vAlign w:val="bottom"/>
          </w:tcPr>
          <w:p w14:paraId="2172ADA8" w14:textId="77777777" w:rsidR="003233A7" w:rsidRPr="003233A7" w:rsidRDefault="003233A7" w:rsidP="003233A7">
            <w:pPr>
              <w:pStyle w:val="Tabletext"/>
            </w:pPr>
            <w:r w:rsidRPr="003233A7">
              <w:t>3</w:t>
            </w:r>
            <w:r w:rsidR="00D7157D">
              <w:t>.</w:t>
            </w:r>
            <w:r w:rsidRPr="003233A7">
              <w:t>3399</w:t>
            </w:r>
          </w:p>
        </w:tc>
        <w:tc>
          <w:tcPr>
            <w:tcW w:w="966" w:type="pct"/>
            <w:tcBorders>
              <w:top w:val="single" w:sz="4" w:space="0" w:color="auto"/>
              <w:bottom w:val="single" w:sz="4" w:space="0" w:color="auto"/>
              <w:right w:val="nil"/>
            </w:tcBorders>
            <w:shd w:val="clear" w:color="auto" w:fill="auto"/>
            <w:vAlign w:val="bottom"/>
          </w:tcPr>
          <w:p w14:paraId="477CBD7A" w14:textId="77777777" w:rsidR="003233A7" w:rsidRPr="003233A7" w:rsidRDefault="003233A7" w:rsidP="003233A7">
            <w:pPr>
              <w:pStyle w:val="Tabletext"/>
            </w:pPr>
            <w:r w:rsidRPr="003233A7">
              <w:t>0</w:t>
            </w:r>
            <w:r w:rsidR="00D7157D">
              <w:t>.</w:t>
            </w:r>
            <w:r w:rsidRPr="003233A7">
              <w:t>1119</w:t>
            </w:r>
          </w:p>
        </w:tc>
      </w:tr>
      <w:tr w:rsidR="003233A7" w:rsidRPr="003233A7" w14:paraId="51A94FFE" w14:textId="77777777" w:rsidTr="00993D49">
        <w:trPr>
          <w:cantSplit/>
        </w:trPr>
        <w:tc>
          <w:tcPr>
            <w:tcW w:w="1136" w:type="pct"/>
            <w:tcBorders>
              <w:top w:val="single" w:sz="4" w:space="0" w:color="auto"/>
              <w:bottom w:val="single" w:sz="4" w:space="0" w:color="auto"/>
            </w:tcBorders>
          </w:tcPr>
          <w:p w14:paraId="52491A26" w14:textId="77777777" w:rsidR="003233A7" w:rsidRPr="003233A7" w:rsidRDefault="003233A7" w:rsidP="003233A7">
            <w:pPr>
              <w:pStyle w:val="Tabletext"/>
            </w:pPr>
            <w:r w:rsidRPr="003233A7">
              <w:t>94</w:t>
            </w:r>
          </w:p>
        </w:tc>
        <w:tc>
          <w:tcPr>
            <w:tcW w:w="966" w:type="pct"/>
            <w:tcBorders>
              <w:top w:val="single" w:sz="4" w:space="0" w:color="auto"/>
              <w:bottom w:val="single" w:sz="4" w:space="0" w:color="auto"/>
            </w:tcBorders>
            <w:shd w:val="clear" w:color="auto" w:fill="auto"/>
            <w:vAlign w:val="bottom"/>
          </w:tcPr>
          <w:p w14:paraId="597D05E2" w14:textId="77777777" w:rsidR="003233A7" w:rsidRPr="003233A7" w:rsidRDefault="003233A7" w:rsidP="003233A7">
            <w:pPr>
              <w:pStyle w:val="Tabletext"/>
            </w:pPr>
            <w:r w:rsidRPr="003233A7">
              <w:t>3</w:t>
            </w:r>
            <w:r w:rsidR="00D7157D">
              <w:t>.</w:t>
            </w:r>
            <w:r w:rsidRPr="003233A7">
              <w:t>0322</w:t>
            </w:r>
          </w:p>
        </w:tc>
        <w:tc>
          <w:tcPr>
            <w:tcW w:w="966" w:type="pct"/>
            <w:tcBorders>
              <w:top w:val="single" w:sz="4" w:space="0" w:color="auto"/>
              <w:bottom w:val="single" w:sz="4" w:space="0" w:color="auto"/>
            </w:tcBorders>
            <w:shd w:val="clear" w:color="auto" w:fill="auto"/>
            <w:vAlign w:val="bottom"/>
          </w:tcPr>
          <w:p w14:paraId="2C57A664" w14:textId="77777777" w:rsidR="003233A7" w:rsidRPr="003233A7" w:rsidRDefault="003233A7" w:rsidP="003233A7">
            <w:pPr>
              <w:pStyle w:val="Tabletext"/>
            </w:pPr>
            <w:r w:rsidRPr="003233A7">
              <w:t>0</w:t>
            </w:r>
            <w:r w:rsidR="00D7157D">
              <w:t>.</w:t>
            </w:r>
            <w:r w:rsidRPr="003233A7">
              <w:t>3562</w:t>
            </w:r>
          </w:p>
        </w:tc>
        <w:tc>
          <w:tcPr>
            <w:tcW w:w="966" w:type="pct"/>
            <w:tcBorders>
              <w:top w:val="single" w:sz="4" w:space="0" w:color="auto"/>
              <w:bottom w:val="single" w:sz="4" w:space="0" w:color="auto"/>
            </w:tcBorders>
            <w:shd w:val="clear" w:color="auto" w:fill="auto"/>
            <w:vAlign w:val="bottom"/>
          </w:tcPr>
          <w:p w14:paraId="39970466" w14:textId="77777777" w:rsidR="003233A7" w:rsidRPr="003233A7" w:rsidRDefault="003233A7" w:rsidP="003233A7">
            <w:pPr>
              <w:pStyle w:val="Tabletext"/>
            </w:pPr>
            <w:r w:rsidRPr="003233A7">
              <w:t>3</w:t>
            </w:r>
            <w:r w:rsidR="00D7157D">
              <w:t>.</w:t>
            </w:r>
            <w:r w:rsidRPr="003233A7">
              <w:t>1533</w:t>
            </w:r>
          </w:p>
        </w:tc>
        <w:tc>
          <w:tcPr>
            <w:tcW w:w="966" w:type="pct"/>
            <w:tcBorders>
              <w:top w:val="single" w:sz="4" w:space="0" w:color="auto"/>
              <w:bottom w:val="single" w:sz="4" w:space="0" w:color="auto"/>
              <w:right w:val="nil"/>
            </w:tcBorders>
            <w:shd w:val="clear" w:color="auto" w:fill="auto"/>
            <w:vAlign w:val="bottom"/>
          </w:tcPr>
          <w:p w14:paraId="71908E20" w14:textId="77777777" w:rsidR="003233A7" w:rsidRPr="003233A7" w:rsidRDefault="003233A7" w:rsidP="003233A7">
            <w:pPr>
              <w:pStyle w:val="Tabletext"/>
            </w:pPr>
            <w:r w:rsidRPr="003233A7">
              <w:t>0</w:t>
            </w:r>
            <w:r w:rsidR="00D7157D">
              <w:t>.</w:t>
            </w:r>
            <w:r w:rsidRPr="003233A7">
              <w:t>1071</w:t>
            </w:r>
          </w:p>
        </w:tc>
      </w:tr>
      <w:tr w:rsidR="003233A7" w:rsidRPr="003233A7" w14:paraId="63197418" w14:textId="77777777" w:rsidTr="00993D49">
        <w:trPr>
          <w:cantSplit/>
        </w:trPr>
        <w:tc>
          <w:tcPr>
            <w:tcW w:w="1136" w:type="pct"/>
            <w:tcBorders>
              <w:top w:val="single" w:sz="4" w:space="0" w:color="auto"/>
              <w:bottom w:val="single" w:sz="4" w:space="0" w:color="auto"/>
            </w:tcBorders>
          </w:tcPr>
          <w:p w14:paraId="676EB28A" w14:textId="77777777" w:rsidR="003233A7" w:rsidRPr="003233A7" w:rsidRDefault="003233A7" w:rsidP="003233A7">
            <w:pPr>
              <w:pStyle w:val="Tabletext"/>
            </w:pPr>
            <w:r w:rsidRPr="003233A7">
              <w:t>95</w:t>
            </w:r>
          </w:p>
        </w:tc>
        <w:tc>
          <w:tcPr>
            <w:tcW w:w="966" w:type="pct"/>
            <w:tcBorders>
              <w:top w:val="single" w:sz="4" w:space="0" w:color="auto"/>
              <w:bottom w:val="single" w:sz="4" w:space="0" w:color="auto"/>
            </w:tcBorders>
            <w:shd w:val="clear" w:color="auto" w:fill="auto"/>
            <w:vAlign w:val="bottom"/>
          </w:tcPr>
          <w:p w14:paraId="1CC44E39" w14:textId="77777777" w:rsidR="003233A7" w:rsidRPr="003233A7" w:rsidRDefault="003233A7" w:rsidP="003233A7">
            <w:pPr>
              <w:pStyle w:val="Tabletext"/>
            </w:pPr>
            <w:r w:rsidRPr="003233A7">
              <w:t>2</w:t>
            </w:r>
            <w:r w:rsidR="00D7157D">
              <w:t>.</w:t>
            </w:r>
            <w:r w:rsidRPr="003233A7">
              <w:t>8625</w:t>
            </w:r>
          </w:p>
        </w:tc>
        <w:tc>
          <w:tcPr>
            <w:tcW w:w="966" w:type="pct"/>
            <w:tcBorders>
              <w:top w:val="single" w:sz="4" w:space="0" w:color="auto"/>
              <w:bottom w:val="single" w:sz="4" w:space="0" w:color="auto"/>
            </w:tcBorders>
            <w:shd w:val="clear" w:color="auto" w:fill="auto"/>
            <w:vAlign w:val="bottom"/>
          </w:tcPr>
          <w:p w14:paraId="31F99E60" w14:textId="77777777" w:rsidR="003233A7" w:rsidRPr="003233A7" w:rsidRDefault="003233A7" w:rsidP="003233A7">
            <w:pPr>
              <w:pStyle w:val="Tabletext"/>
            </w:pPr>
            <w:r w:rsidRPr="003233A7">
              <w:t>0</w:t>
            </w:r>
            <w:r w:rsidR="00D7157D">
              <w:t>.</w:t>
            </w:r>
            <w:r w:rsidRPr="003233A7">
              <w:t>3354</w:t>
            </w:r>
          </w:p>
        </w:tc>
        <w:tc>
          <w:tcPr>
            <w:tcW w:w="966" w:type="pct"/>
            <w:tcBorders>
              <w:top w:val="single" w:sz="4" w:space="0" w:color="auto"/>
              <w:bottom w:val="single" w:sz="4" w:space="0" w:color="auto"/>
            </w:tcBorders>
            <w:shd w:val="clear" w:color="auto" w:fill="auto"/>
            <w:vAlign w:val="bottom"/>
          </w:tcPr>
          <w:p w14:paraId="503D8F28" w14:textId="77777777" w:rsidR="003233A7" w:rsidRPr="003233A7" w:rsidRDefault="003233A7" w:rsidP="003233A7">
            <w:pPr>
              <w:pStyle w:val="Tabletext"/>
            </w:pPr>
            <w:r w:rsidRPr="003233A7">
              <w:t>2</w:t>
            </w:r>
            <w:r w:rsidR="00D7157D">
              <w:t>.</w:t>
            </w:r>
            <w:r w:rsidRPr="003233A7">
              <w:t>9764</w:t>
            </w:r>
          </w:p>
        </w:tc>
        <w:tc>
          <w:tcPr>
            <w:tcW w:w="966" w:type="pct"/>
            <w:tcBorders>
              <w:top w:val="single" w:sz="4" w:space="0" w:color="auto"/>
              <w:bottom w:val="single" w:sz="4" w:space="0" w:color="auto"/>
              <w:right w:val="nil"/>
            </w:tcBorders>
            <w:shd w:val="clear" w:color="auto" w:fill="auto"/>
            <w:vAlign w:val="bottom"/>
          </w:tcPr>
          <w:p w14:paraId="64A9D9E8" w14:textId="77777777" w:rsidR="003233A7" w:rsidRPr="003233A7" w:rsidRDefault="003233A7" w:rsidP="003233A7">
            <w:pPr>
              <w:pStyle w:val="Tabletext"/>
            </w:pPr>
            <w:r w:rsidRPr="003233A7">
              <w:t>0</w:t>
            </w:r>
            <w:r w:rsidR="00D7157D">
              <w:t>.</w:t>
            </w:r>
            <w:r w:rsidRPr="003233A7">
              <w:t>1023</w:t>
            </w:r>
          </w:p>
        </w:tc>
      </w:tr>
      <w:tr w:rsidR="003233A7" w:rsidRPr="003233A7" w14:paraId="4A01385B" w14:textId="77777777" w:rsidTr="00993D49">
        <w:trPr>
          <w:cantSplit/>
        </w:trPr>
        <w:tc>
          <w:tcPr>
            <w:tcW w:w="1136" w:type="pct"/>
            <w:tcBorders>
              <w:top w:val="single" w:sz="4" w:space="0" w:color="auto"/>
              <w:bottom w:val="single" w:sz="4" w:space="0" w:color="auto"/>
            </w:tcBorders>
          </w:tcPr>
          <w:p w14:paraId="62879C40" w14:textId="77777777" w:rsidR="003233A7" w:rsidRPr="003233A7" w:rsidRDefault="003233A7" w:rsidP="003233A7">
            <w:pPr>
              <w:pStyle w:val="Tabletext"/>
            </w:pPr>
            <w:r w:rsidRPr="003233A7">
              <w:t>96</w:t>
            </w:r>
          </w:p>
        </w:tc>
        <w:tc>
          <w:tcPr>
            <w:tcW w:w="966" w:type="pct"/>
            <w:tcBorders>
              <w:top w:val="single" w:sz="4" w:space="0" w:color="auto"/>
              <w:bottom w:val="single" w:sz="4" w:space="0" w:color="auto"/>
            </w:tcBorders>
            <w:shd w:val="clear" w:color="auto" w:fill="auto"/>
            <w:vAlign w:val="bottom"/>
          </w:tcPr>
          <w:p w14:paraId="078233CC" w14:textId="77777777" w:rsidR="003233A7" w:rsidRPr="003233A7" w:rsidRDefault="003233A7" w:rsidP="003233A7">
            <w:pPr>
              <w:pStyle w:val="Tabletext"/>
            </w:pPr>
            <w:r w:rsidRPr="003233A7">
              <w:t>2</w:t>
            </w:r>
            <w:r w:rsidR="00D7157D">
              <w:t>.</w:t>
            </w:r>
            <w:r w:rsidRPr="003233A7">
              <w:t>6985</w:t>
            </w:r>
          </w:p>
        </w:tc>
        <w:tc>
          <w:tcPr>
            <w:tcW w:w="966" w:type="pct"/>
            <w:tcBorders>
              <w:top w:val="single" w:sz="4" w:space="0" w:color="auto"/>
              <w:bottom w:val="single" w:sz="4" w:space="0" w:color="auto"/>
            </w:tcBorders>
            <w:shd w:val="clear" w:color="auto" w:fill="auto"/>
            <w:vAlign w:val="bottom"/>
          </w:tcPr>
          <w:p w14:paraId="2909C5D8" w14:textId="77777777" w:rsidR="003233A7" w:rsidRPr="003233A7" w:rsidRDefault="003233A7" w:rsidP="003233A7">
            <w:pPr>
              <w:pStyle w:val="Tabletext"/>
            </w:pPr>
            <w:r w:rsidRPr="003233A7">
              <w:t>0</w:t>
            </w:r>
            <w:r w:rsidR="00D7157D">
              <w:t>.</w:t>
            </w:r>
            <w:r w:rsidRPr="003233A7">
              <w:t>3149</w:t>
            </w:r>
          </w:p>
        </w:tc>
        <w:tc>
          <w:tcPr>
            <w:tcW w:w="966" w:type="pct"/>
            <w:tcBorders>
              <w:top w:val="single" w:sz="4" w:space="0" w:color="auto"/>
              <w:bottom w:val="single" w:sz="4" w:space="0" w:color="auto"/>
            </w:tcBorders>
            <w:shd w:val="clear" w:color="auto" w:fill="auto"/>
            <w:vAlign w:val="bottom"/>
          </w:tcPr>
          <w:p w14:paraId="76F7B3CD" w14:textId="77777777" w:rsidR="003233A7" w:rsidRPr="003233A7" w:rsidRDefault="003233A7" w:rsidP="003233A7">
            <w:pPr>
              <w:pStyle w:val="Tabletext"/>
            </w:pPr>
            <w:r w:rsidRPr="003233A7">
              <w:t>2</w:t>
            </w:r>
            <w:r w:rsidR="00D7157D">
              <w:t>.</w:t>
            </w:r>
            <w:r w:rsidRPr="003233A7">
              <w:t>8096</w:t>
            </w:r>
          </w:p>
        </w:tc>
        <w:tc>
          <w:tcPr>
            <w:tcW w:w="966" w:type="pct"/>
            <w:tcBorders>
              <w:top w:val="single" w:sz="4" w:space="0" w:color="auto"/>
              <w:bottom w:val="single" w:sz="4" w:space="0" w:color="auto"/>
              <w:right w:val="nil"/>
            </w:tcBorders>
            <w:shd w:val="clear" w:color="auto" w:fill="auto"/>
            <w:vAlign w:val="bottom"/>
          </w:tcPr>
          <w:p w14:paraId="17B9B27E" w14:textId="77777777" w:rsidR="003233A7" w:rsidRPr="003233A7" w:rsidRDefault="003233A7" w:rsidP="003233A7">
            <w:pPr>
              <w:pStyle w:val="Tabletext"/>
            </w:pPr>
            <w:r w:rsidRPr="003233A7">
              <w:t>0</w:t>
            </w:r>
            <w:r w:rsidR="00D7157D">
              <w:t>.</w:t>
            </w:r>
            <w:r w:rsidRPr="003233A7">
              <w:t>0976</w:t>
            </w:r>
          </w:p>
        </w:tc>
      </w:tr>
      <w:tr w:rsidR="003233A7" w:rsidRPr="003233A7" w14:paraId="0A21274A" w14:textId="77777777" w:rsidTr="00993D49">
        <w:trPr>
          <w:cantSplit/>
        </w:trPr>
        <w:tc>
          <w:tcPr>
            <w:tcW w:w="1136" w:type="pct"/>
            <w:tcBorders>
              <w:top w:val="single" w:sz="4" w:space="0" w:color="auto"/>
              <w:bottom w:val="single" w:sz="4" w:space="0" w:color="auto"/>
            </w:tcBorders>
          </w:tcPr>
          <w:p w14:paraId="2BDBD7D2" w14:textId="77777777" w:rsidR="003233A7" w:rsidRPr="003233A7" w:rsidRDefault="003233A7" w:rsidP="003233A7">
            <w:pPr>
              <w:pStyle w:val="Tabletext"/>
            </w:pPr>
            <w:r w:rsidRPr="003233A7">
              <w:t>97</w:t>
            </w:r>
          </w:p>
        </w:tc>
        <w:tc>
          <w:tcPr>
            <w:tcW w:w="966" w:type="pct"/>
            <w:tcBorders>
              <w:top w:val="single" w:sz="4" w:space="0" w:color="auto"/>
              <w:bottom w:val="single" w:sz="4" w:space="0" w:color="auto"/>
            </w:tcBorders>
            <w:shd w:val="clear" w:color="auto" w:fill="auto"/>
            <w:vAlign w:val="bottom"/>
          </w:tcPr>
          <w:p w14:paraId="2BF3682F" w14:textId="77777777" w:rsidR="003233A7" w:rsidRPr="003233A7" w:rsidRDefault="003233A7" w:rsidP="003233A7">
            <w:pPr>
              <w:pStyle w:val="Tabletext"/>
            </w:pPr>
            <w:r w:rsidRPr="003233A7">
              <w:t>2</w:t>
            </w:r>
            <w:r w:rsidR="00D7157D">
              <w:t>.</w:t>
            </w:r>
            <w:r w:rsidRPr="003233A7">
              <w:t>5462</w:t>
            </w:r>
          </w:p>
        </w:tc>
        <w:tc>
          <w:tcPr>
            <w:tcW w:w="966" w:type="pct"/>
            <w:tcBorders>
              <w:top w:val="single" w:sz="4" w:space="0" w:color="auto"/>
              <w:bottom w:val="single" w:sz="4" w:space="0" w:color="auto"/>
            </w:tcBorders>
            <w:shd w:val="clear" w:color="auto" w:fill="auto"/>
            <w:vAlign w:val="bottom"/>
          </w:tcPr>
          <w:p w14:paraId="33F0A532" w14:textId="77777777" w:rsidR="003233A7" w:rsidRPr="003233A7" w:rsidRDefault="003233A7" w:rsidP="003233A7">
            <w:pPr>
              <w:pStyle w:val="Tabletext"/>
            </w:pPr>
            <w:r w:rsidRPr="003233A7">
              <w:t>0</w:t>
            </w:r>
            <w:r w:rsidR="00D7157D">
              <w:t>.</w:t>
            </w:r>
            <w:r w:rsidRPr="003233A7">
              <w:t>2946</w:t>
            </w:r>
          </w:p>
        </w:tc>
        <w:tc>
          <w:tcPr>
            <w:tcW w:w="966" w:type="pct"/>
            <w:tcBorders>
              <w:top w:val="single" w:sz="4" w:space="0" w:color="auto"/>
              <w:bottom w:val="single" w:sz="4" w:space="0" w:color="auto"/>
            </w:tcBorders>
            <w:shd w:val="clear" w:color="auto" w:fill="auto"/>
            <w:vAlign w:val="bottom"/>
          </w:tcPr>
          <w:p w14:paraId="31FE4C00" w14:textId="77777777" w:rsidR="003233A7" w:rsidRPr="003233A7" w:rsidRDefault="003233A7" w:rsidP="003233A7">
            <w:pPr>
              <w:pStyle w:val="Tabletext"/>
            </w:pPr>
            <w:r w:rsidRPr="003233A7">
              <w:t>2</w:t>
            </w:r>
            <w:r w:rsidR="00D7157D">
              <w:t>.</w:t>
            </w:r>
            <w:r w:rsidRPr="003233A7">
              <w:t>6489</w:t>
            </w:r>
          </w:p>
        </w:tc>
        <w:tc>
          <w:tcPr>
            <w:tcW w:w="966" w:type="pct"/>
            <w:tcBorders>
              <w:top w:val="single" w:sz="4" w:space="0" w:color="auto"/>
              <w:bottom w:val="single" w:sz="4" w:space="0" w:color="auto"/>
              <w:right w:val="nil"/>
            </w:tcBorders>
            <w:shd w:val="clear" w:color="auto" w:fill="auto"/>
            <w:vAlign w:val="bottom"/>
          </w:tcPr>
          <w:p w14:paraId="03B677DE" w14:textId="77777777" w:rsidR="003233A7" w:rsidRPr="003233A7" w:rsidRDefault="003233A7" w:rsidP="003233A7">
            <w:pPr>
              <w:pStyle w:val="Tabletext"/>
            </w:pPr>
            <w:r w:rsidRPr="003233A7">
              <w:t>0</w:t>
            </w:r>
            <w:r w:rsidR="00D7157D">
              <w:t>.</w:t>
            </w:r>
            <w:r w:rsidRPr="003233A7">
              <w:t>0929</w:t>
            </w:r>
          </w:p>
        </w:tc>
      </w:tr>
      <w:tr w:rsidR="003233A7" w:rsidRPr="003233A7" w14:paraId="3EDEE644" w14:textId="77777777" w:rsidTr="00993D49">
        <w:trPr>
          <w:cantSplit/>
        </w:trPr>
        <w:tc>
          <w:tcPr>
            <w:tcW w:w="1136" w:type="pct"/>
            <w:tcBorders>
              <w:top w:val="single" w:sz="4" w:space="0" w:color="auto"/>
              <w:bottom w:val="single" w:sz="4" w:space="0" w:color="auto"/>
            </w:tcBorders>
          </w:tcPr>
          <w:p w14:paraId="34ECF8BB" w14:textId="77777777" w:rsidR="003233A7" w:rsidRPr="003233A7" w:rsidRDefault="003233A7" w:rsidP="003233A7">
            <w:pPr>
              <w:pStyle w:val="Tabletext"/>
            </w:pPr>
            <w:r w:rsidRPr="003233A7">
              <w:t>98</w:t>
            </w:r>
          </w:p>
        </w:tc>
        <w:tc>
          <w:tcPr>
            <w:tcW w:w="966" w:type="pct"/>
            <w:tcBorders>
              <w:top w:val="single" w:sz="4" w:space="0" w:color="auto"/>
              <w:bottom w:val="single" w:sz="4" w:space="0" w:color="auto"/>
            </w:tcBorders>
            <w:shd w:val="clear" w:color="auto" w:fill="auto"/>
            <w:vAlign w:val="bottom"/>
          </w:tcPr>
          <w:p w14:paraId="020EF647" w14:textId="77777777" w:rsidR="003233A7" w:rsidRPr="003233A7" w:rsidRDefault="003233A7" w:rsidP="003233A7">
            <w:pPr>
              <w:pStyle w:val="Tabletext"/>
            </w:pPr>
            <w:r w:rsidRPr="003233A7">
              <w:t>2</w:t>
            </w:r>
            <w:r w:rsidR="00D7157D">
              <w:t>.</w:t>
            </w:r>
            <w:r w:rsidRPr="003233A7">
              <w:t>4049</w:t>
            </w:r>
          </w:p>
        </w:tc>
        <w:tc>
          <w:tcPr>
            <w:tcW w:w="966" w:type="pct"/>
            <w:tcBorders>
              <w:top w:val="single" w:sz="4" w:space="0" w:color="auto"/>
              <w:bottom w:val="single" w:sz="4" w:space="0" w:color="auto"/>
            </w:tcBorders>
            <w:shd w:val="clear" w:color="auto" w:fill="auto"/>
            <w:vAlign w:val="bottom"/>
          </w:tcPr>
          <w:p w14:paraId="130ABB31" w14:textId="77777777" w:rsidR="003233A7" w:rsidRPr="003233A7" w:rsidRDefault="003233A7" w:rsidP="003233A7">
            <w:pPr>
              <w:pStyle w:val="Tabletext"/>
            </w:pPr>
            <w:r w:rsidRPr="003233A7">
              <w:t>0</w:t>
            </w:r>
            <w:r w:rsidR="00D7157D">
              <w:t>.</w:t>
            </w:r>
            <w:r w:rsidRPr="003233A7">
              <w:t>2744</w:t>
            </w:r>
          </w:p>
        </w:tc>
        <w:tc>
          <w:tcPr>
            <w:tcW w:w="966" w:type="pct"/>
            <w:tcBorders>
              <w:top w:val="single" w:sz="4" w:space="0" w:color="auto"/>
              <w:bottom w:val="single" w:sz="4" w:space="0" w:color="auto"/>
            </w:tcBorders>
            <w:shd w:val="clear" w:color="auto" w:fill="auto"/>
            <w:vAlign w:val="bottom"/>
          </w:tcPr>
          <w:p w14:paraId="1DBBFF87" w14:textId="77777777" w:rsidR="003233A7" w:rsidRPr="003233A7" w:rsidRDefault="003233A7" w:rsidP="003233A7">
            <w:pPr>
              <w:pStyle w:val="Tabletext"/>
            </w:pPr>
            <w:r w:rsidRPr="003233A7">
              <w:t>2</w:t>
            </w:r>
            <w:r w:rsidR="00D7157D">
              <w:t>.</w:t>
            </w:r>
            <w:r w:rsidRPr="003233A7">
              <w:t>5020</w:t>
            </w:r>
          </w:p>
        </w:tc>
        <w:tc>
          <w:tcPr>
            <w:tcW w:w="966" w:type="pct"/>
            <w:tcBorders>
              <w:top w:val="single" w:sz="4" w:space="0" w:color="auto"/>
              <w:bottom w:val="single" w:sz="4" w:space="0" w:color="auto"/>
              <w:right w:val="nil"/>
            </w:tcBorders>
            <w:shd w:val="clear" w:color="auto" w:fill="auto"/>
            <w:vAlign w:val="bottom"/>
          </w:tcPr>
          <w:p w14:paraId="5046956A" w14:textId="77777777" w:rsidR="003233A7" w:rsidRPr="003233A7" w:rsidRDefault="003233A7" w:rsidP="003233A7">
            <w:pPr>
              <w:pStyle w:val="Tabletext"/>
            </w:pPr>
            <w:r w:rsidRPr="003233A7">
              <w:t>0</w:t>
            </w:r>
            <w:r w:rsidR="00D7157D">
              <w:t>.</w:t>
            </w:r>
            <w:r w:rsidRPr="003233A7">
              <w:t>0881</w:t>
            </w:r>
          </w:p>
        </w:tc>
      </w:tr>
      <w:tr w:rsidR="003233A7" w:rsidRPr="009E2595" w14:paraId="05514852" w14:textId="77777777" w:rsidTr="00993D49">
        <w:trPr>
          <w:cantSplit/>
        </w:trPr>
        <w:tc>
          <w:tcPr>
            <w:tcW w:w="1136" w:type="pct"/>
            <w:tcBorders>
              <w:top w:val="single" w:sz="4" w:space="0" w:color="auto"/>
              <w:bottom w:val="single" w:sz="12" w:space="0" w:color="auto"/>
            </w:tcBorders>
          </w:tcPr>
          <w:p w14:paraId="0834819E" w14:textId="77777777" w:rsidR="003233A7" w:rsidRPr="003233A7" w:rsidRDefault="00ED15BD" w:rsidP="003233A7">
            <w:pPr>
              <w:pStyle w:val="Tabletext"/>
            </w:pPr>
            <w:r>
              <w:t>99 and over</w:t>
            </w:r>
          </w:p>
        </w:tc>
        <w:tc>
          <w:tcPr>
            <w:tcW w:w="966" w:type="pct"/>
            <w:tcBorders>
              <w:top w:val="single" w:sz="4" w:space="0" w:color="auto"/>
              <w:bottom w:val="single" w:sz="12" w:space="0" w:color="auto"/>
            </w:tcBorders>
            <w:shd w:val="clear" w:color="auto" w:fill="auto"/>
            <w:vAlign w:val="bottom"/>
          </w:tcPr>
          <w:p w14:paraId="615D45BD" w14:textId="77777777" w:rsidR="003233A7" w:rsidRPr="003233A7" w:rsidRDefault="003233A7" w:rsidP="003233A7">
            <w:pPr>
              <w:pStyle w:val="Tabletext"/>
            </w:pPr>
            <w:r w:rsidRPr="003233A7">
              <w:t>2</w:t>
            </w:r>
            <w:r w:rsidR="00D7157D">
              <w:t>.</w:t>
            </w:r>
            <w:r w:rsidRPr="003233A7">
              <w:t>2741</w:t>
            </w:r>
          </w:p>
        </w:tc>
        <w:tc>
          <w:tcPr>
            <w:tcW w:w="966" w:type="pct"/>
            <w:tcBorders>
              <w:top w:val="single" w:sz="4" w:space="0" w:color="auto"/>
              <w:bottom w:val="single" w:sz="12" w:space="0" w:color="auto"/>
            </w:tcBorders>
            <w:shd w:val="clear" w:color="auto" w:fill="auto"/>
            <w:vAlign w:val="bottom"/>
          </w:tcPr>
          <w:p w14:paraId="52495E78" w14:textId="77777777" w:rsidR="003233A7" w:rsidRPr="003233A7" w:rsidRDefault="003233A7" w:rsidP="003233A7">
            <w:pPr>
              <w:pStyle w:val="Tabletext"/>
            </w:pPr>
            <w:r w:rsidRPr="003233A7">
              <w:t>0</w:t>
            </w:r>
            <w:r w:rsidR="00D7157D">
              <w:t>.</w:t>
            </w:r>
            <w:r w:rsidRPr="003233A7">
              <w:t>2538</w:t>
            </w:r>
          </w:p>
        </w:tc>
        <w:tc>
          <w:tcPr>
            <w:tcW w:w="966" w:type="pct"/>
            <w:tcBorders>
              <w:top w:val="single" w:sz="4" w:space="0" w:color="auto"/>
              <w:bottom w:val="single" w:sz="12" w:space="0" w:color="auto"/>
            </w:tcBorders>
            <w:shd w:val="clear" w:color="auto" w:fill="auto"/>
            <w:vAlign w:val="bottom"/>
          </w:tcPr>
          <w:p w14:paraId="63B9F044" w14:textId="77777777" w:rsidR="003233A7" w:rsidRPr="003233A7" w:rsidRDefault="003233A7" w:rsidP="003233A7">
            <w:pPr>
              <w:pStyle w:val="Tabletext"/>
            </w:pPr>
            <w:r w:rsidRPr="003233A7">
              <w:t>2</w:t>
            </w:r>
            <w:r w:rsidR="00D7157D">
              <w:t>.</w:t>
            </w:r>
            <w:r w:rsidRPr="003233A7">
              <w:t>3670</w:t>
            </w:r>
          </w:p>
        </w:tc>
        <w:tc>
          <w:tcPr>
            <w:tcW w:w="966" w:type="pct"/>
            <w:tcBorders>
              <w:top w:val="single" w:sz="4" w:space="0" w:color="auto"/>
              <w:bottom w:val="single" w:sz="12" w:space="0" w:color="auto"/>
              <w:right w:val="nil"/>
            </w:tcBorders>
            <w:shd w:val="clear" w:color="auto" w:fill="auto"/>
            <w:vAlign w:val="bottom"/>
          </w:tcPr>
          <w:p w14:paraId="6F435643" w14:textId="77777777" w:rsidR="003233A7" w:rsidRPr="003233A7" w:rsidRDefault="003233A7" w:rsidP="003233A7">
            <w:pPr>
              <w:pStyle w:val="Tabletext"/>
            </w:pPr>
            <w:r w:rsidRPr="003233A7">
              <w:t>0</w:t>
            </w:r>
            <w:r w:rsidR="00D7157D">
              <w:t>.</w:t>
            </w:r>
            <w:r w:rsidRPr="003233A7">
              <w:t>0830</w:t>
            </w:r>
          </w:p>
        </w:tc>
      </w:tr>
    </w:tbl>
    <w:p w14:paraId="1A502E8F" w14:textId="77777777" w:rsidR="000527FC" w:rsidRPr="00A058B6" w:rsidRDefault="00C53678" w:rsidP="000527FC">
      <w:pPr>
        <w:pStyle w:val="ActHead5"/>
      </w:pPr>
      <w:bookmarkStart w:id="338" w:name="_Toc188350813"/>
      <w:r w:rsidRPr="00423C34">
        <w:rPr>
          <w:rStyle w:val="CharSectno"/>
        </w:rPr>
        <w:t>8</w:t>
      </w:r>
      <w:r w:rsidR="000527FC" w:rsidRPr="00A058B6">
        <w:t xml:space="preserve">  Valuation factors—pension indexed at 3%</w:t>
      </w:r>
      <w:bookmarkEnd w:id="338"/>
    </w:p>
    <w:p w14:paraId="1116E357" w14:textId="77777777" w:rsidR="000527FC" w:rsidRPr="00A058B6" w:rsidRDefault="000527FC" w:rsidP="000527FC">
      <w:pPr>
        <w:pStyle w:val="subsection"/>
      </w:pPr>
      <w:r w:rsidRPr="00A058B6">
        <w:tab/>
      </w:r>
      <w:r w:rsidRPr="00A058B6">
        <w:tab/>
        <w:t>The pension valuation factors and reversion valuation factors set out in this clause apply if the pension is indexed at 3%</w:t>
      </w:r>
      <w:r w:rsidR="00D7157D">
        <w:t>.</w:t>
      </w:r>
    </w:p>
    <w:p w14:paraId="361C4DB5" w14:textId="77777777" w:rsidR="000527FC" w:rsidRPr="00A058B6"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A058B6" w14:paraId="3EACCD6F" w14:textId="77777777" w:rsidTr="00FD658D">
        <w:trPr>
          <w:cantSplit/>
          <w:trHeight w:val="383"/>
          <w:tblHeader/>
        </w:trPr>
        <w:tc>
          <w:tcPr>
            <w:tcW w:w="1136" w:type="pct"/>
            <w:vMerge w:val="restart"/>
            <w:tcBorders>
              <w:top w:val="single" w:sz="12" w:space="0" w:color="auto"/>
              <w:bottom w:val="single" w:sz="12" w:space="0" w:color="auto"/>
            </w:tcBorders>
          </w:tcPr>
          <w:p w14:paraId="76DDEF11" w14:textId="77777777" w:rsidR="000527FC" w:rsidRPr="00A058B6" w:rsidRDefault="000527FC" w:rsidP="00FD658D">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3B2968F8" w14:textId="77777777" w:rsidR="000527FC" w:rsidRPr="00A058B6" w:rsidRDefault="000527FC" w:rsidP="00FD658D">
            <w:pPr>
              <w:pStyle w:val="TableHeading"/>
            </w:pPr>
            <w:r w:rsidRPr="00A058B6">
              <w:t>Valuation factors—pension indexed at 3%</w:t>
            </w:r>
          </w:p>
        </w:tc>
      </w:tr>
      <w:tr w:rsidR="000527FC" w:rsidRPr="00A058B6" w14:paraId="3364C933" w14:textId="77777777" w:rsidTr="00FD658D">
        <w:trPr>
          <w:cantSplit/>
          <w:trHeight w:val="383"/>
          <w:tblHeader/>
        </w:trPr>
        <w:tc>
          <w:tcPr>
            <w:tcW w:w="1136" w:type="pct"/>
            <w:vMerge/>
            <w:tcBorders>
              <w:bottom w:val="single" w:sz="12" w:space="0" w:color="auto"/>
            </w:tcBorders>
          </w:tcPr>
          <w:p w14:paraId="0651DEEA" w14:textId="77777777" w:rsidR="000527FC" w:rsidRPr="00A058B6" w:rsidRDefault="000527FC" w:rsidP="00FD658D">
            <w:pPr>
              <w:pStyle w:val="TableHeading"/>
            </w:pPr>
          </w:p>
        </w:tc>
        <w:tc>
          <w:tcPr>
            <w:tcW w:w="1932" w:type="pct"/>
            <w:gridSpan w:val="2"/>
            <w:tcBorders>
              <w:top w:val="single" w:sz="4" w:space="0" w:color="auto"/>
              <w:bottom w:val="single" w:sz="4" w:space="0" w:color="auto"/>
            </w:tcBorders>
          </w:tcPr>
          <w:p w14:paraId="0DE16458" w14:textId="77777777" w:rsidR="000527FC" w:rsidRPr="00A058B6" w:rsidRDefault="000527FC" w:rsidP="00FD658D">
            <w:pPr>
              <w:pStyle w:val="TableHeading"/>
            </w:pPr>
            <w:r w:rsidRPr="00A058B6">
              <w:t>Males</w:t>
            </w:r>
          </w:p>
        </w:tc>
        <w:tc>
          <w:tcPr>
            <w:tcW w:w="1932" w:type="pct"/>
            <w:gridSpan w:val="2"/>
            <w:tcBorders>
              <w:top w:val="single" w:sz="4" w:space="0" w:color="auto"/>
              <w:bottom w:val="single" w:sz="4" w:space="0" w:color="auto"/>
            </w:tcBorders>
          </w:tcPr>
          <w:p w14:paraId="1AD33353" w14:textId="77777777" w:rsidR="000527FC" w:rsidRPr="00A058B6" w:rsidRDefault="000527FC" w:rsidP="00FD658D">
            <w:pPr>
              <w:pStyle w:val="TableHeading"/>
            </w:pPr>
            <w:r w:rsidRPr="00A058B6">
              <w:t>Females</w:t>
            </w:r>
          </w:p>
        </w:tc>
      </w:tr>
      <w:tr w:rsidR="000527FC" w:rsidRPr="00A058B6" w14:paraId="1604A0DC" w14:textId="77777777" w:rsidTr="0009140D">
        <w:trPr>
          <w:cantSplit/>
          <w:trHeight w:val="382"/>
          <w:tblHeader/>
        </w:trPr>
        <w:tc>
          <w:tcPr>
            <w:tcW w:w="1136" w:type="pct"/>
            <w:vMerge/>
            <w:tcBorders>
              <w:bottom w:val="single" w:sz="12" w:space="0" w:color="auto"/>
            </w:tcBorders>
          </w:tcPr>
          <w:p w14:paraId="3C877F65" w14:textId="77777777" w:rsidR="000527FC" w:rsidRPr="00A058B6" w:rsidRDefault="000527FC" w:rsidP="00FD658D">
            <w:pPr>
              <w:pStyle w:val="TableHeading"/>
            </w:pPr>
          </w:p>
        </w:tc>
        <w:tc>
          <w:tcPr>
            <w:tcW w:w="966" w:type="pct"/>
            <w:tcBorders>
              <w:top w:val="single" w:sz="4" w:space="0" w:color="auto"/>
              <w:bottom w:val="single" w:sz="12" w:space="0" w:color="auto"/>
            </w:tcBorders>
          </w:tcPr>
          <w:p w14:paraId="352F25AD"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6CC52B79" w14:textId="77777777" w:rsidR="000527FC" w:rsidRPr="00A058B6" w:rsidRDefault="000527FC" w:rsidP="00FD658D">
            <w:pPr>
              <w:pStyle w:val="TableHeading"/>
            </w:pPr>
            <w:r w:rsidRPr="00A058B6">
              <w:t>Reversion</w:t>
            </w:r>
          </w:p>
        </w:tc>
        <w:tc>
          <w:tcPr>
            <w:tcW w:w="966" w:type="pct"/>
            <w:tcBorders>
              <w:top w:val="single" w:sz="4" w:space="0" w:color="auto"/>
              <w:bottom w:val="single" w:sz="12" w:space="0" w:color="auto"/>
            </w:tcBorders>
          </w:tcPr>
          <w:p w14:paraId="6321A1B0"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1C44C9F6" w14:textId="77777777" w:rsidR="000527FC" w:rsidRPr="00A058B6" w:rsidRDefault="000527FC" w:rsidP="00FD658D">
            <w:pPr>
              <w:pStyle w:val="TableHeading"/>
            </w:pPr>
            <w:r w:rsidRPr="00A058B6">
              <w:t>Reversion</w:t>
            </w:r>
          </w:p>
        </w:tc>
      </w:tr>
      <w:tr w:rsidR="0009140D" w:rsidRPr="0009140D" w14:paraId="3227810C" w14:textId="77777777" w:rsidTr="0009140D">
        <w:trPr>
          <w:cantSplit/>
        </w:trPr>
        <w:tc>
          <w:tcPr>
            <w:tcW w:w="1136" w:type="pct"/>
            <w:tcBorders>
              <w:top w:val="single" w:sz="12" w:space="0" w:color="auto"/>
              <w:bottom w:val="single" w:sz="4" w:space="0" w:color="auto"/>
            </w:tcBorders>
          </w:tcPr>
          <w:p w14:paraId="4A9BDE21" w14:textId="77777777" w:rsidR="0009140D" w:rsidRPr="00616B26" w:rsidRDefault="0009140D" w:rsidP="0009140D">
            <w:pPr>
              <w:pStyle w:val="Tabletext"/>
              <w:rPr>
                <w:snapToGrid w:val="0"/>
              </w:rPr>
            </w:pPr>
            <w:r w:rsidRPr="00616B26">
              <w:rPr>
                <w:snapToGrid w:val="0"/>
              </w:rPr>
              <w:t>18</w:t>
            </w:r>
          </w:p>
        </w:tc>
        <w:tc>
          <w:tcPr>
            <w:tcW w:w="966" w:type="pct"/>
            <w:tcBorders>
              <w:top w:val="single" w:sz="12" w:space="0" w:color="auto"/>
              <w:bottom w:val="single" w:sz="4" w:space="0" w:color="auto"/>
            </w:tcBorders>
            <w:shd w:val="clear" w:color="auto" w:fill="auto"/>
            <w:vAlign w:val="bottom"/>
          </w:tcPr>
          <w:p w14:paraId="58A57965" w14:textId="77777777" w:rsidR="0009140D" w:rsidRPr="0009140D" w:rsidRDefault="0009140D" w:rsidP="0009140D">
            <w:pPr>
              <w:pStyle w:val="Tabletext"/>
            </w:pPr>
            <w:r w:rsidRPr="0009140D">
              <w:t>27</w:t>
            </w:r>
            <w:r w:rsidR="00D7157D">
              <w:t>.</w:t>
            </w:r>
            <w:r w:rsidRPr="0009140D">
              <w:t>2561</w:t>
            </w:r>
          </w:p>
        </w:tc>
        <w:tc>
          <w:tcPr>
            <w:tcW w:w="966" w:type="pct"/>
            <w:tcBorders>
              <w:top w:val="single" w:sz="12" w:space="0" w:color="auto"/>
              <w:bottom w:val="single" w:sz="4" w:space="0" w:color="auto"/>
            </w:tcBorders>
            <w:shd w:val="clear" w:color="auto" w:fill="auto"/>
            <w:vAlign w:val="bottom"/>
          </w:tcPr>
          <w:p w14:paraId="5F2EF6A0" w14:textId="77777777" w:rsidR="0009140D" w:rsidRPr="0009140D" w:rsidRDefault="0009140D" w:rsidP="0009140D">
            <w:pPr>
              <w:pStyle w:val="Tabletext"/>
            </w:pPr>
            <w:r w:rsidRPr="0009140D">
              <w:t>2</w:t>
            </w:r>
            <w:r w:rsidR="00D7157D">
              <w:t>.</w:t>
            </w:r>
            <w:r w:rsidRPr="0009140D">
              <w:t>3648</w:t>
            </w:r>
          </w:p>
        </w:tc>
        <w:tc>
          <w:tcPr>
            <w:tcW w:w="966" w:type="pct"/>
            <w:tcBorders>
              <w:top w:val="single" w:sz="12" w:space="0" w:color="auto"/>
              <w:bottom w:val="single" w:sz="4" w:space="0" w:color="auto"/>
            </w:tcBorders>
            <w:shd w:val="clear" w:color="auto" w:fill="auto"/>
            <w:vAlign w:val="bottom"/>
          </w:tcPr>
          <w:p w14:paraId="27B83749" w14:textId="77777777" w:rsidR="0009140D" w:rsidRPr="0009140D" w:rsidRDefault="0009140D" w:rsidP="0009140D">
            <w:pPr>
              <w:pStyle w:val="Tabletext"/>
            </w:pPr>
            <w:r w:rsidRPr="0009140D">
              <w:t>28</w:t>
            </w:r>
            <w:r w:rsidR="00D7157D">
              <w:t>.</w:t>
            </w:r>
            <w:r w:rsidRPr="0009140D">
              <w:t>2938</w:t>
            </w:r>
          </w:p>
        </w:tc>
        <w:tc>
          <w:tcPr>
            <w:tcW w:w="966" w:type="pct"/>
            <w:tcBorders>
              <w:top w:val="single" w:sz="12" w:space="0" w:color="auto"/>
              <w:bottom w:val="single" w:sz="4" w:space="0" w:color="auto"/>
              <w:right w:val="nil"/>
            </w:tcBorders>
            <w:shd w:val="clear" w:color="auto" w:fill="auto"/>
            <w:vAlign w:val="bottom"/>
          </w:tcPr>
          <w:p w14:paraId="612DB938" w14:textId="77777777" w:rsidR="0009140D" w:rsidRPr="0009140D" w:rsidRDefault="0009140D" w:rsidP="0009140D">
            <w:pPr>
              <w:pStyle w:val="Tabletext"/>
            </w:pPr>
            <w:r w:rsidRPr="0009140D">
              <w:t>1</w:t>
            </w:r>
            <w:r w:rsidR="00D7157D">
              <w:t>.</w:t>
            </w:r>
            <w:r w:rsidRPr="0009140D">
              <w:t>1594</w:t>
            </w:r>
          </w:p>
        </w:tc>
      </w:tr>
      <w:tr w:rsidR="0009140D" w:rsidRPr="0009140D" w14:paraId="5CAD5469" w14:textId="77777777" w:rsidTr="0009140D">
        <w:trPr>
          <w:cantSplit/>
        </w:trPr>
        <w:tc>
          <w:tcPr>
            <w:tcW w:w="1136" w:type="pct"/>
            <w:tcBorders>
              <w:top w:val="single" w:sz="4" w:space="0" w:color="auto"/>
              <w:bottom w:val="single" w:sz="4" w:space="0" w:color="auto"/>
            </w:tcBorders>
          </w:tcPr>
          <w:p w14:paraId="308E6BD2" w14:textId="77777777" w:rsidR="0009140D" w:rsidRPr="0009140D" w:rsidRDefault="0009140D" w:rsidP="0009140D">
            <w:pPr>
              <w:pStyle w:val="Tabletext"/>
            </w:pPr>
            <w:r w:rsidRPr="0009140D">
              <w:t>19</w:t>
            </w:r>
          </w:p>
        </w:tc>
        <w:tc>
          <w:tcPr>
            <w:tcW w:w="966" w:type="pct"/>
            <w:tcBorders>
              <w:top w:val="single" w:sz="4" w:space="0" w:color="auto"/>
              <w:bottom w:val="single" w:sz="4" w:space="0" w:color="auto"/>
            </w:tcBorders>
            <w:shd w:val="clear" w:color="auto" w:fill="auto"/>
            <w:vAlign w:val="bottom"/>
          </w:tcPr>
          <w:p w14:paraId="62CB358C" w14:textId="77777777" w:rsidR="0009140D" w:rsidRPr="0009140D" w:rsidRDefault="0009140D" w:rsidP="0009140D">
            <w:pPr>
              <w:pStyle w:val="Tabletext"/>
            </w:pPr>
            <w:r w:rsidRPr="0009140D">
              <w:t>27</w:t>
            </w:r>
            <w:r w:rsidR="00D7157D">
              <w:t>.</w:t>
            </w:r>
            <w:r w:rsidRPr="0009140D">
              <w:t>0918</w:t>
            </w:r>
          </w:p>
        </w:tc>
        <w:tc>
          <w:tcPr>
            <w:tcW w:w="966" w:type="pct"/>
            <w:tcBorders>
              <w:top w:val="single" w:sz="4" w:space="0" w:color="auto"/>
              <w:bottom w:val="single" w:sz="4" w:space="0" w:color="auto"/>
            </w:tcBorders>
            <w:shd w:val="clear" w:color="auto" w:fill="auto"/>
            <w:vAlign w:val="bottom"/>
          </w:tcPr>
          <w:p w14:paraId="28D22908" w14:textId="77777777" w:rsidR="0009140D" w:rsidRPr="0009140D" w:rsidRDefault="0009140D" w:rsidP="0009140D">
            <w:pPr>
              <w:pStyle w:val="Tabletext"/>
            </w:pPr>
            <w:r w:rsidRPr="0009140D">
              <w:t>2</w:t>
            </w:r>
            <w:r w:rsidR="00D7157D">
              <w:t>.</w:t>
            </w:r>
            <w:r w:rsidRPr="0009140D">
              <w:t>3981</w:t>
            </w:r>
          </w:p>
        </w:tc>
        <w:tc>
          <w:tcPr>
            <w:tcW w:w="966" w:type="pct"/>
            <w:tcBorders>
              <w:top w:val="single" w:sz="4" w:space="0" w:color="auto"/>
              <w:bottom w:val="single" w:sz="4" w:space="0" w:color="auto"/>
            </w:tcBorders>
            <w:shd w:val="clear" w:color="auto" w:fill="auto"/>
            <w:vAlign w:val="bottom"/>
          </w:tcPr>
          <w:p w14:paraId="217CE456" w14:textId="77777777" w:rsidR="0009140D" w:rsidRPr="0009140D" w:rsidRDefault="0009140D" w:rsidP="0009140D">
            <w:pPr>
              <w:pStyle w:val="Tabletext"/>
            </w:pPr>
            <w:r w:rsidRPr="0009140D">
              <w:t>28</w:t>
            </w:r>
            <w:r w:rsidR="00D7157D">
              <w:t>.</w:t>
            </w:r>
            <w:r w:rsidRPr="0009140D">
              <w:t>1399</w:t>
            </w:r>
          </w:p>
        </w:tc>
        <w:tc>
          <w:tcPr>
            <w:tcW w:w="966" w:type="pct"/>
            <w:tcBorders>
              <w:top w:val="single" w:sz="4" w:space="0" w:color="auto"/>
              <w:bottom w:val="single" w:sz="4" w:space="0" w:color="auto"/>
              <w:right w:val="nil"/>
            </w:tcBorders>
            <w:shd w:val="clear" w:color="auto" w:fill="auto"/>
            <w:vAlign w:val="bottom"/>
          </w:tcPr>
          <w:p w14:paraId="4F507535" w14:textId="77777777" w:rsidR="0009140D" w:rsidRPr="0009140D" w:rsidRDefault="0009140D" w:rsidP="0009140D">
            <w:pPr>
              <w:pStyle w:val="Tabletext"/>
            </w:pPr>
            <w:r w:rsidRPr="0009140D">
              <w:t>1</w:t>
            </w:r>
            <w:r w:rsidR="00D7157D">
              <w:t>.</w:t>
            </w:r>
            <w:r w:rsidRPr="0009140D">
              <w:t>1741</w:t>
            </w:r>
          </w:p>
        </w:tc>
      </w:tr>
      <w:tr w:rsidR="0009140D" w:rsidRPr="0009140D" w14:paraId="2C415604" w14:textId="77777777" w:rsidTr="0009140D">
        <w:trPr>
          <w:cantSplit/>
        </w:trPr>
        <w:tc>
          <w:tcPr>
            <w:tcW w:w="1136" w:type="pct"/>
            <w:tcBorders>
              <w:top w:val="single" w:sz="4" w:space="0" w:color="auto"/>
              <w:bottom w:val="single" w:sz="4" w:space="0" w:color="auto"/>
            </w:tcBorders>
          </w:tcPr>
          <w:p w14:paraId="008C180A" w14:textId="77777777" w:rsidR="0009140D" w:rsidRPr="0009140D" w:rsidRDefault="0009140D" w:rsidP="0009140D">
            <w:pPr>
              <w:pStyle w:val="Tabletext"/>
            </w:pPr>
            <w:r w:rsidRPr="0009140D">
              <w:t>20</w:t>
            </w:r>
          </w:p>
        </w:tc>
        <w:tc>
          <w:tcPr>
            <w:tcW w:w="966" w:type="pct"/>
            <w:tcBorders>
              <w:top w:val="single" w:sz="4" w:space="0" w:color="auto"/>
              <w:bottom w:val="single" w:sz="4" w:space="0" w:color="auto"/>
            </w:tcBorders>
            <w:shd w:val="clear" w:color="auto" w:fill="auto"/>
            <w:vAlign w:val="bottom"/>
          </w:tcPr>
          <w:p w14:paraId="1982ED95" w14:textId="77777777" w:rsidR="0009140D" w:rsidRPr="0009140D" w:rsidRDefault="0009140D" w:rsidP="0009140D">
            <w:pPr>
              <w:pStyle w:val="Tabletext"/>
            </w:pPr>
            <w:r w:rsidRPr="0009140D">
              <w:t>26</w:t>
            </w:r>
            <w:r w:rsidR="00D7157D">
              <w:t>.</w:t>
            </w:r>
            <w:r w:rsidRPr="0009140D">
              <w:t>9224</w:t>
            </w:r>
          </w:p>
        </w:tc>
        <w:tc>
          <w:tcPr>
            <w:tcW w:w="966" w:type="pct"/>
            <w:tcBorders>
              <w:top w:val="single" w:sz="4" w:space="0" w:color="auto"/>
              <w:bottom w:val="single" w:sz="4" w:space="0" w:color="auto"/>
            </w:tcBorders>
            <w:shd w:val="clear" w:color="auto" w:fill="auto"/>
            <w:vAlign w:val="bottom"/>
          </w:tcPr>
          <w:p w14:paraId="4EE13E94" w14:textId="77777777" w:rsidR="0009140D" w:rsidRPr="0009140D" w:rsidRDefault="0009140D" w:rsidP="0009140D">
            <w:pPr>
              <w:pStyle w:val="Tabletext"/>
            </w:pPr>
            <w:r w:rsidRPr="0009140D">
              <w:t>2</w:t>
            </w:r>
            <w:r w:rsidR="00D7157D">
              <w:t>.</w:t>
            </w:r>
            <w:r w:rsidRPr="0009140D">
              <w:t>4325</w:t>
            </w:r>
          </w:p>
        </w:tc>
        <w:tc>
          <w:tcPr>
            <w:tcW w:w="966" w:type="pct"/>
            <w:tcBorders>
              <w:top w:val="single" w:sz="4" w:space="0" w:color="auto"/>
              <w:bottom w:val="single" w:sz="4" w:space="0" w:color="auto"/>
            </w:tcBorders>
            <w:shd w:val="clear" w:color="auto" w:fill="auto"/>
            <w:vAlign w:val="bottom"/>
          </w:tcPr>
          <w:p w14:paraId="322A83C1" w14:textId="77777777" w:rsidR="0009140D" w:rsidRPr="0009140D" w:rsidRDefault="0009140D" w:rsidP="0009140D">
            <w:pPr>
              <w:pStyle w:val="Tabletext"/>
            </w:pPr>
            <w:r w:rsidRPr="0009140D">
              <w:t>27</w:t>
            </w:r>
            <w:r w:rsidR="00D7157D">
              <w:t>.</w:t>
            </w:r>
            <w:r w:rsidRPr="0009140D">
              <w:t>9812</w:t>
            </w:r>
          </w:p>
        </w:tc>
        <w:tc>
          <w:tcPr>
            <w:tcW w:w="966" w:type="pct"/>
            <w:tcBorders>
              <w:top w:val="single" w:sz="4" w:space="0" w:color="auto"/>
              <w:bottom w:val="single" w:sz="4" w:space="0" w:color="auto"/>
              <w:right w:val="nil"/>
            </w:tcBorders>
            <w:shd w:val="clear" w:color="auto" w:fill="auto"/>
            <w:vAlign w:val="bottom"/>
          </w:tcPr>
          <w:p w14:paraId="240D45F4" w14:textId="77777777" w:rsidR="0009140D" w:rsidRPr="0009140D" w:rsidRDefault="0009140D" w:rsidP="0009140D">
            <w:pPr>
              <w:pStyle w:val="Tabletext"/>
            </w:pPr>
            <w:r w:rsidRPr="0009140D">
              <w:t>1</w:t>
            </w:r>
            <w:r w:rsidR="00D7157D">
              <w:t>.</w:t>
            </w:r>
            <w:r w:rsidRPr="0009140D">
              <w:t>1893</w:t>
            </w:r>
          </w:p>
        </w:tc>
      </w:tr>
      <w:tr w:rsidR="0009140D" w:rsidRPr="0009140D" w14:paraId="78EE99E5" w14:textId="77777777" w:rsidTr="0009140D">
        <w:trPr>
          <w:cantSplit/>
        </w:trPr>
        <w:tc>
          <w:tcPr>
            <w:tcW w:w="1136" w:type="pct"/>
            <w:tcBorders>
              <w:top w:val="single" w:sz="4" w:space="0" w:color="auto"/>
              <w:bottom w:val="single" w:sz="4" w:space="0" w:color="auto"/>
            </w:tcBorders>
          </w:tcPr>
          <w:p w14:paraId="618DB004" w14:textId="77777777" w:rsidR="0009140D" w:rsidRPr="0009140D" w:rsidRDefault="0009140D" w:rsidP="0009140D">
            <w:pPr>
              <w:pStyle w:val="Tabletext"/>
            </w:pPr>
            <w:r w:rsidRPr="0009140D">
              <w:t>21</w:t>
            </w:r>
          </w:p>
        </w:tc>
        <w:tc>
          <w:tcPr>
            <w:tcW w:w="966" w:type="pct"/>
            <w:tcBorders>
              <w:top w:val="single" w:sz="4" w:space="0" w:color="auto"/>
              <w:bottom w:val="single" w:sz="4" w:space="0" w:color="auto"/>
            </w:tcBorders>
            <w:shd w:val="clear" w:color="auto" w:fill="auto"/>
            <w:vAlign w:val="bottom"/>
          </w:tcPr>
          <w:p w14:paraId="13A67E1F" w14:textId="77777777" w:rsidR="0009140D" w:rsidRPr="0009140D" w:rsidRDefault="0009140D" w:rsidP="0009140D">
            <w:pPr>
              <w:pStyle w:val="Tabletext"/>
            </w:pPr>
            <w:r w:rsidRPr="0009140D">
              <w:t>26</w:t>
            </w:r>
            <w:r w:rsidR="00D7157D">
              <w:t>.</w:t>
            </w:r>
            <w:r w:rsidRPr="0009140D">
              <w:t>7477</w:t>
            </w:r>
          </w:p>
        </w:tc>
        <w:tc>
          <w:tcPr>
            <w:tcW w:w="966" w:type="pct"/>
            <w:tcBorders>
              <w:top w:val="single" w:sz="4" w:space="0" w:color="auto"/>
              <w:bottom w:val="single" w:sz="4" w:space="0" w:color="auto"/>
            </w:tcBorders>
            <w:shd w:val="clear" w:color="auto" w:fill="auto"/>
            <w:vAlign w:val="bottom"/>
          </w:tcPr>
          <w:p w14:paraId="7541179E" w14:textId="77777777" w:rsidR="0009140D" w:rsidRPr="0009140D" w:rsidRDefault="0009140D" w:rsidP="0009140D">
            <w:pPr>
              <w:pStyle w:val="Tabletext"/>
            </w:pPr>
            <w:r w:rsidRPr="0009140D">
              <w:t>2</w:t>
            </w:r>
            <w:r w:rsidR="00D7157D">
              <w:t>.</w:t>
            </w:r>
            <w:r w:rsidRPr="0009140D">
              <w:t>4679</w:t>
            </w:r>
          </w:p>
        </w:tc>
        <w:tc>
          <w:tcPr>
            <w:tcW w:w="966" w:type="pct"/>
            <w:tcBorders>
              <w:top w:val="single" w:sz="4" w:space="0" w:color="auto"/>
              <w:bottom w:val="single" w:sz="4" w:space="0" w:color="auto"/>
            </w:tcBorders>
            <w:shd w:val="clear" w:color="auto" w:fill="auto"/>
            <w:vAlign w:val="bottom"/>
          </w:tcPr>
          <w:p w14:paraId="5D33F69E" w14:textId="77777777" w:rsidR="0009140D" w:rsidRPr="0009140D" w:rsidRDefault="0009140D" w:rsidP="0009140D">
            <w:pPr>
              <w:pStyle w:val="Tabletext"/>
            </w:pPr>
            <w:r w:rsidRPr="0009140D">
              <w:t>27</w:t>
            </w:r>
            <w:r w:rsidR="00D7157D">
              <w:t>.</w:t>
            </w:r>
            <w:r w:rsidRPr="0009140D">
              <w:t>8177</w:t>
            </w:r>
          </w:p>
        </w:tc>
        <w:tc>
          <w:tcPr>
            <w:tcW w:w="966" w:type="pct"/>
            <w:tcBorders>
              <w:top w:val="single" w:sz="4" w:space="0" w:color="auto"/>
              <w:bottom w:val="single" w:sz="4" w:space="0" w:color="auto"/>
              <w:right w:val="nil"/>
            </w:tcBorders>
            <w:shd w:val="clear" w:color="auto" w:fill="auto"/>
            <w:vAlign w:val="bottom"/>
          </w:tcPr>
          <w:p w14:paraId="2D88ECBB" w14:textId="77777777" w:rsidR="0009140D" w:rsidRPr="0009140D" w:rsidRDefault="0009140D" w:rsidP="0009140D">
            <w:pPr>
              <w:pStyle w:val="Tabletext"/>
            </w:pPr>
            <w:r w:rsidRPr="0009140D">
              <w:t>1</w:t>
            </w:r>
            <w:r w:rsidR="00D7157D">
              <w:t>.</w:t>
            </w:r>
            <w:r w:rsidRPr="0009140D">
              <w:t>2050</w:t>
            </w:r>
          </w:p>
        </w:tc>
      </w:tr>
      <w:tr w:rsidR="0009140D" w:rsidRPr="0009140D" w14:paraId="1475824B" w14:textId="77777777" w:rsidTr="0009140D">
        <w:trPr>
          <w:cantSplit/>
        </w:trPr>
        <w:tc>
          <w:tcPr>
            <w:tcW w:w="1136" w:type="pct"/>
            <w:tcBorders>
              <w:top w:val="single" w:sz="4" w:space="0" w:color="auto"/>
              <w:bottom w:val="single" w:sz="4" w:space="0" w:color="auto"/>
            </w:tcBorders>
          </w:tcPr>
          <w:p w14:paraId="7492EFD5" w14:textId="77777777" w:rsidR="0009140D" w:rsidRPr="0009140D" w:rsidRDefault="0009140D" w:rsidP="0009140D">
            <w:pPr>
              <w:pStyle w:val="Tabletext"/>
            </w:pPr>
            <w:r w:rsidRPr="0009140D">
              <w:t>22</w:t>
            </w:r>
          </w:p>
        </w:tc>
        <w:tc>
          <w:tcPr>
            <w:tcW w:w="966" w:type="pct"/>
            <w:tcBorders>
              <w:top w:val="single" w:sz="4" w:space="0" w:color="auto"/>
              <w:bottom w:val="single" w:sz="4" w:space="0" w:color="auto"/>
            </w:tcBorders>
            <w:shd w:val="clear" w:color="auto" w:fill="auto"/>
            <w:vAlign w:val="bottom"/>
          </w:tcPr>
          <w:p w14:paraId="4407B225" w14:textId="77777777" w:rsidR="0009140D" w:rsidRPr="0009140D" w:rsidRDefault="0009140D" w:rsidP="0009140D">
            <w:pPr>
              <w:pStyle w:val="Tabletext"/>
            </w:pPr>
            <w:r w:rsidRPr="0009140D">
              <w:t>26</w:t>
            </w:r>
            <w:r w:rsidR="00D7157D">
              <w:t>.</w:t>
            </w:r>
            <w:r w:rsidRPr="0009140D">
              <w:t>5676</w:t>
            </w:r>
          </w:p>
        </w:tc>
        <w:tc>
          <w:tcPr>
            <w:tcW w:w="966" w:type="pct"/>
            <w:tcBorders>
              <w:top w:val="single" w:sz="4" w:space="0" w:color="auto"/>
              <w:bottom w:val="single" w:sz="4" w:space="0" w:color="auto"/>
            </w:tcBorders>
            <w:shd w:val="clear" w:color="auto" w:fill="auto"/>
            <w:vAlign w:val="bottom"/>
          </w:tcPr>
          <w:p w14:paraId="764A0157" w14:textId="77777777" w:rsidR="0009140D" w:rsidRPr="0009140D" w:rsidRDefault="0009140D" w:rsidP="0009140D">
            <w:pPr>
              <w:pStyle w:val="Tabletext"/>
            </w:pPr>
            <w:r w:rsidRPr="0009140D">
              <w:t>2</w:t>
            </w:r>
            <w:r w:rsidR="00D7157D">
              <w:t>.</w:t>
            </w:r>
            <w:r w:rsidRPr="0009140D">
              <w:t>5046</w:t>
            </w:r>
          </w:p>
        </w:tc>
        <w:tc>
          <w:tcPr>
            <w:tcW w:w="966" w:type="pct"/>
            <w:tcBorders>
              <w:top w:val="single" w:sz="4" w:space="0" w:color="auto"/>
              <w:bottom w:val="single" w:sz="4" w:space="0" w:color="auto"/>
            </w:tcBorders>
            <w:shd w:val="clear" w:color="auto" w:fill="auto"/>
            <w:vAlign w:val="bottom"/>
          </w:tcPr>
          <w:p w14:paraId="102266E3" w14:textId="77777777" w:rsidR="0009140D" w:rsidRPr="0009140D" w:rsidRDefault="0009140D" w:rsidP="0009140D">
            <w:pPr>
              <w:pStyle w:val="Tabletext"/>
            </w:pPr>
            <w:r w:rsidRPr="0009140D">
              <w:t>27</w:t>
            </w:r>
            <w:r w:rsidR="00D7157D">
              <w:t>.</w:t>
            </w:r>
            <w:r w:rsidRPr="0009140D">
              <w:t>6493</w:t>
            </w:r>
          </w:p>
        </w:tc>
        <w:tc>
          <w:tcPr>
            <w:tcW w:w="966" w:type="pct"/>
            <w:tcBorders>
              <w:top w:val="single" w:sz="4" w:space="0" w:color="auto"/>
              <w:bottom w:val="single" w:sz="4" w:space="0" w:color="auto"/>
              <w:right w:val="nil"/>
            </w:tcBorders>
            <w:shd w:val="clear" w:color="auto" w:fill="auto"/>
            <w:vAlign w:val="bottom"/>
          </w:tcPr>
          <w:p w14:paraId="12D1C4BF" w14:textId="77777777" w:rsidR="0009140D" w:rsidRPr="0009140D" w:rsidRDefault="0009140D" w:rsidP="0009140D">
            <w:pPr>
              <w:pStyle w:val="Tabletext"/>
            </w:pPr>
            <w:r w:rsidRPr="0009140D">
              <w:t>1</w:t>
            </w:r>
            <w:r w:rsidR="00D7157D">
              <w:t>.</w:t>
            </w:r>
            <w:r w:rsidRPr="0009140D">
              <w:t>2212</w:t>
            </w:r>
          </w:p>
        </w:tc>
      </w:tr>
      <w:tr w:rsidR="0009140D" w:rsidRPr="0009140D" w14:paraId="01BFFA69" w14:textId="77777777" w:rsidTr="0009140D">
        <w:trPr>
          <w:cantSplit/>
        </w:trPr>
        <w:tc>
          <w:tcPr>
            <w:tcW w:w="1136" w:type="pct"/>
            <w:tcBorders>
              <w:top w:val="single" w:sz="4" w:space="0" w:color="auto"/>
              <w:bottom w:val="single" w:sz="4" w:space="0" w:color="auto"/>
            </w:tcBorders>
          </w:tcPr>
          <w:p w14:paraId="7B1445D8" w14:textId="77777777" w:rsidR="0009140D" w:rsidRPr="0009140D" w:rsidRDefault="0009140D" w:rsidP="0009140D">
            <w:pPr>
              <w:pStyle w:val="Tabletext"/>
            </w:pPr>
            <w:r w:rsidRPr="0009140D">
              <w:t>23</w:t>
            </w:r>
          </w:p>
        </w:tc>
        <w:tc>
          <w:tcPr>
            <w:tcW w:w="966" w:type="pct"/>
            <w:tcBorders>
              <w:top w:val="single" w:sz="4" w:space="0" w:color="auto"/>
              <w:bottom w:val="single" w:sz="4" w:space="0" w:color="auto"/>
            </w:tcBorders>
            <w:shd w:val="clear" w:color="auto" w:fill="auto"/>
            <w:vAlign w:val="bottom"/>
          </w:tcPr>
          <w:p w14:paraId="53C85E10" w14:textId="77777777" w:rsidR="0009140D" w:rsidRPr="0009140D" w:rsidRDefault="0009140D" w:rsidP="0009140D">
            <w:pPr>
              <w:pStyle w:val="Tabletext"/>
            </w:pPr>
            <w:r w:rsidRPr="0009140D">
              <w:t>26</w:t>
            </w:r>
            <w:r w:rsidR="00D7157D">
              <w:t>.</w:t>
            </w:r>
            <w:r w:rsidRPr="0009140D">
              <w:t>3818</w:t>
            </w:r>
          </w:p>
        </w:tc>
        <w:tc>
          <w:tcPr>
            <w:tcW w:w="966" w:type="pct"/>
            <w:tcBorders>
              <w:top w:val="single" w:sz="4" w:space="0" w:color="auto"/>
              <w:bottom w:val="single" w:sz="4" w:space="0" w:color="auto"/>
            </w:tcBorders>
            <w:shd w:val="clear" w:color="auto" w:fill="auto"/>
            <w:vAlign w:val="bottom"/>
          </w:tcPr>
          <w:p w14:paraId="48CD698C" w14:textId="77777777" w:rsidR="0009140D" w:rsidRPr="0009140D" w:rsidRDefault="0009140D" w:rsidP="0009140D">
            <w:pPr>
              <w:pStyle w:val="Tabletext"/>
            </w:pPr>
            <w:r w:rsidRPr="0009140D">
              <w:t>2</w:t>
            </w:r>
            <w:r w:rsidR="00D7157D">
              <w:t>.</w:t>
            </w:r>
            <w:r w:rsidRPr="0009140D">
              <w:t>5426</w:t>
            </w:r>
          </w:p>
        </w:tc>
        <w:tc>
          <w:tcPr>
            <w:tcW w:w="966" w:type="pct"/>
            <w:tcBorders>
              <w:top w:val="single" w:sz="4" w:space="0" w:color="auto"/>
              <w:bottom w:val="single" w:sz="4" w:space="0" w:color="auto"/>
            </w:tcBorders>
            <w:shd w:val="clear" w:color="auto" w:fill="auto"/>
            <w:vAlign w:val="bottom"/>
          </w:tcPr>
          <w:p w14:paraId="0B57029E" w14:textId="77777777" w:rsidR="0009140D" w:rsidRPr="0009140D" w:rsidRDefault="0009140D" w:rsidP="0009140D">
            <w:pPr>
              <w:pStyle w:val="Tabletext"/>
            </w:pPr>
            <w:r w:rsidRPr="0009140D">
              <w:t>27</w:t>
            </w:r>
            <w:r w:rsidR="00D7157D">
              <w:t>.</w:t>
            </w:r>
            <w:r w:rsidRPr="0009140D">
              <w:t>4757</w:t>
            </w:r>
          </w:p>
        </w:tc>
        <w:tc>
          <w:tcPr>
            <w:tcW w:w="966" w:type="pct"/>
            <w:tcBorders>
              <w:top w:val="single" w:sz="4" w:space="0" w:color="auto"/>
              <w:bottom w:val="single" w:sz="4" w:space="0" w:color="auto"/>
              <w:right w:val="nil"/>
            </w:tcBorders>
            <w:shd w:val="clear" w:color="auto" w:fill="auto"/>
            <w:vAlign w:val="bottom"/>
          </w:tcPr>
          <w:p w14:paraId="240C2A50" w14:textId="77777777" w:rsidR="0009140D" w:rsidRPr="0009140D" w:rsidRDefault="0009140D" w:rsidP="0009140D">
            <w:pPr>
              <w:pStyle w:val="Tabletext"/>
            </w:pPr>
            <w:r w:rsidRPr="0009140D">
              <w:t>1</w:t>
            </w:r>
            <w:r w:rsidR="00D7157D">
              <w:t>.</w:t>
            </w:r>
            <w:r w:rsidRPr="0009140D">
              <w:t>2380</w:t>
            </w:r>
          </w:p>
        </w:tc>
      </w:tr>
      <w:tr w:rsidR="0009140D" w:rsidRPr="0009140D" w14:paraId="365AD631" w14:textId="77777777" w:rsidTr="0009140D">
        <w:trPr>
          <w:cantSplit/>
        </w:trPr>
        <w:tc>
          <w:tcPr>
            <w:tcW w:w="1136" w:type="pct"/>
            <w:tcBorders>
              <w:top w:val="single" w:sz="4" w:space="0" w:color="auto"/>
              <w:bottom w:val="single" w:sz="4" w:space="0" w:color="auto"/>
            </w:tcBorders>
          </w:tcPr>
          <w:p w14:paraId="3CF63C3A" w14:textId="77777777" w:rsidR="0009140D" w:rsidRPr="0009140D" w:rsidRDefault="0009140D" w:rsidP="0009140D">
            <w:pPr>
              <w:pStyle w:val="Tabletext"/>
            </w:pPr>
            <w:r w:rsidRPr="0009140D">
              <w:t>24</w:t>
            </w:r>
          </w:p>
        </w:tc>
        <w:tc>
          <w:tcPr>
            <w:tcW w:w="966" w:type="pct"/>
            <w:tcBorders>
              <w:top w:val="single" w:sz="4" w:space="0" w:color="auto"/>
              <w:bottom w:val="single" w:sz="4" w:space="0" w:color="auto"/>
            </w:tcBorders>
            <w:shd w:val="clear" w:color="auto" w:fill="auto"/>
            <w:vAlign w:val="bottom"/>
          </w:tcPr>
          <w:p w14:paraId="4D714BBF" w14:textId="77777777" w:rsidR="0009140D" w:rsidRPr="0009140D" w:rsidRDefault="0009140D" w:rsidP="0009140D">
            <w:pPr>
              <w:pStyle w:val="Tabletext"/>
            </w:pPr>
            <w:r w:rsidRPr="0009140D">
              <w:t>26</w:t>
            </w:r>
            <w:r w:rsidR="00D7157D">
              <w:t>.</w:t>
            </w:r>
            <w:r w:rsidRPr="0009140D">
              <w:t>1902</w:t>
            </w:r>
          </w:p>
        </w:tc>
        <w:tc>
          <w:tcPr>
            <w:tcW w:w="966" w:type="pct"/>
            <w:tcBorders>
              <w:top w:val="single" w:sz="4" w:space="0" w:color="auto"/>
              <w:bottom w:val="single" w:sz="4" w:space="0" w:color="auto"/>
            </w:tcBorders>
            <w:shd w:val="clear" w:color="auto" w:fill="auto"/>
            <w:vAlign w:val="bottom"/>
          </w:tcPr>
          <w:p w14:paraId="0E73C498" w14:textId="77777777" w:rsidR="0009140D" w:rsidRPr="0009140D" w:rsidRDefault="0009140D" w:rsidP="0009140D">
            <w:pPr>
              <w:pStyle w:val="Tabletext"/>
            </w:pPr>
            <w:r w:rsidRPr="0009140D">
              <w:t>2</w:t>
            </w:r>
            <w:r w:rsidR="00D7157D">
              <w:t>.</w:t>
            </w:r>
            <w:r w:rsidRPr="0009140D">
              <w:t>5818</w:t>
            </w:r>
          </w:p>
        </w:tc>
        <w:tc>
          <w:tcPr>
            <w:tcW w:w="966" w:type="pct"/>
            <w:tcBorders>
              <w:top w:val="single" w:sz="4" w:space="0" w:color="auto"/>
              <w:bottom w:val="single" w:sz="4" w:space="0" w:color="auto"/>
            </w:tcBorders>
            <w:shd w:val="clear" w:color="auto" w:fill="auto"/>
            <w:vAlign w:val="bottom"/>
          </w:tcPr>
          <w:p w14:paraId="0A49A568" w14:textId="77777777" w:rsidR="0009140D" w:rsidRPr="0009140D" w:rsidRDefault="0009140D" w:rsidP="0009140D">
            <w:pPr>
              <w:pStyle w:val="Tabletext"/>
            </w:pPr>
            <w:r w:rsidRPr="0009140D">
              <w:t>27</w:t>
            </w:r>
            <w:r w:rsidR="00D7157D">
              <w:t>.</w:t>
            </w:r>
            <w:r w:rsidRPr="0009140D">
              <w:t>2969</w:t>
            </w:r>
          </w:p>
        </w:tc>
        <w:tc>
          <w:tcPr>
            <w:tcW w:w="966" w:type="pct"/>
            <w:tcBorders>
              <w:top w:val="single" w:sz="4" w:space="0" w:color="auto"/>
              <w:bottom w:val="single" w:sz="4" w:space="0" w:color="auto"/>
              <w:right w:val="nil"/>
            </w:tcBorders>
            <w:shd w:val="clear" w:color="auto" w:fill="auto"/>
            <w:vAlign w:val="bottom"/>
          </w:tcPr>
          <w:p w14:paraId="465B445F" w14:textId="77777777" w:rsidR="0009140D" w:rsidRPr="0009140D" w:rsidRDefault="0009140D" w:rsidP="0009140D">
            <w:pPr>
              <w:pStyle w:val="Tabletext"/>
            </w:pPr>
            <w:r w:rsidRPr="0009140D">
              <w:t>1</w:t>
            </w:r>
            <w:r w:rsidR="00D7157D">
              <w:t>.</w:t>
            </w:r>
            <w:r w:rsidRPr="0009140D">
              <w:t>2554</w:t>
            </w:r>
          </w:p>
        </w:tc>
      </w:tr>
      <w:tr w:rsidR="0009140D" w:rsidRPr="0009140D" w14:paraId="0EAA8371" w14:textId="77777777" w:rsidTr="0009140D">
        <w:trPr>
          <w:cantSplit/>
        </w:trPr>
        <w:tc>
          <w:tcPr>
            <w:tcW w:w="1136" w:type="pct"/>
            <w:tcBorders>
              <w:top w:val="single" w:sz="4" w:space="0" w:color="auto"/>
              <w:bottom w:val="single" w:sz="4" w:space="0" w:color="auto"/>
            </w:tcBorders>
          </w:tcPr>
          <w:p w14:paraId="55D7DBEF" w14:textId="77777777" w:rsidR="0009140D" w:rsidRPr="0009140D" w:rsidRDefault="0009140D" w:rsidP="0009140D">
            <w:pPr>
              <w:pStyle w:val="Tabletext"/>
            </w:pPr>
            <w:r w:rsidRPr="0009140D">
              <w:t>25</w:t>
            </w:r>
          </w:p>
        </w:tc>
        <w:tc>
          <w:tcPr>
            <w:tcW w:w="966" w:type="pct"/>
            <w:tcBorders>
              <w:top w:val="single" w:sz="4" w:space="0" w:color="auto"/>
              <w:bottom w:val="single" w:sz="4" w:space="0" w:color="auto"/>
            </w:tcBorders>
            <w:shd w:val="clear" w:color="auto" w:fill="auto"/>
            <w:vAlign w:val="bottom"/>
          </w:tcPr>
          <w:p w14:paraId="551D3A43" w14:textId="77777777" w:rsidR="0009140D" w:rsidRPr="0009140D" w:rsidRDefault="0009140D" w:rsidP="0009140D">
            <w:pPr>
              <w:pStyle w:val="Tabletext"/>
            </w:pPr>
            <w:r w:rsidRPr="0009140D">
              <w:t>25</w:t>
            </w:r>
            <w:r w:rsidR="00D7157D">
              <w:t>.</w:t>
            </w:r>
            <w:r w:rsidRPr="0009140D">
              <w:t>9927</w:t>
            </w:r>
          </w:p>
        </w:tc>
        <w:tc>
          <w:tcPr>
            <w:tcW w:w="966" w:type="pct"/>
            <w:tcBorders>
              <w:top w:val="single" w:sz="4" w:space="0" w:color="auto"/>
              <w:bottom w:val="single" w:sz="4" w:space="0" w:color="auto"/>
            </w:tcBorders>
            <w:shd w:val="clear" w:color="auto" w:fill="auto"/>
            <w:vAlign w:val="bottom"/>
          </w:tcPr>
          <w:p w14:paraId="5D50FF65" w14:textId="77777777" w:rsidR="0009140D" w:rsidRPr="0009140D" w:rsidRDefault="0009140D" w:rsidP="0009140D">
            <w:pPr>
              <w:pStyle w:val="Tabletext"/>
            </w:pPr>
            <w:r w:rsidRPr="0009140D">
              <w:t>2</w:t>
            </w:r>
            <w:r w:rsidR="00D7157D">
              <w:t>.</w:t>
            </w:r>
            <w:r w:rsidRPr="0009140D">
              <w:t>6223</w:t>
            </w:r>
          </w:p>
        </w:tc>
        <w:tc>
          <w:tcPr>
            <w:tcW w:w="966" w:type="pct"/>
            <w:tcBorders>
              <w:top w:val="single" w:sz="4" w:space="0" w:color="auto"/>
              <w:bottom w:val="single" w:sz="4" w:space="0" w:color="auto"/>
            </w:tcBorders>
            <w:shd w:val="clear" w:color="auto" w:fill="auto"/>
            <w:vAlign w:val="bottom"/>
          </w:tcPr>
          <w:p w14:paraId="0762A47B" w14:textId="77777777" w:rsidR="0009140D" w:rsidRPr="0009140D" w:rsidRDefault="0009140D" w:rsidP="0009140D">
            <w:pPr>
              <w:pStyle w:val="Tabletext"/>
            </w:pPr>
            <w:r w:rsidRPr="0009140D">
              <w:t>27</w:t>
            </w:r>
            <w:r w:rsidR="00D7157D">
              <w:t>.</w:t>
            </w:r>
            <w:r w:rsidRPr="0009140D">
              <w:t>1125</w:t>
            </w:r>
          </w:p>
        </w:tc>
        <w:tc>
          <w:tcPr>
            <w:tcW w:w="966" w:type="pct"/>
            <w:tcBorders>
              <w:top w:val="single" w:sz="4" w:space="0" w:color="auto"/>
              <w:bottom w:val="single" w:sz="4" w:space="0" w:color="auto"/>
              <w:right w:val="nil"/>
            </w:tcBorders>
            <w:shd w:val="clear" w:color="auto" w:fill="auto"/>
            <w:vAlign w:val="bottom"/>
          </w:tcPr>
          <w:p w14:paraId="6E4CAD8A" w14:textId="77777777" w:rsidR="0009140D" w:rsidRPr="0009140D" w:rsidRDefault="0009140D" w:rsidP="0009140D">
            <w:pPr>
              <w:pStyle w:val="Tabletext"/>
            </w:pPr>
            <w:r w:rsidRPr="0009140D">
              <w:t>1</w:t>
            </w:r>
            <w:r w:rsidR="00D7157D">
              <w:t>.</w:t>
            </w:r>
            <w:r w:rsidRPr="0009140D">
              <w:t>2734</w:t>
            </w:r>
          </w:p>
        </w:tc>
      </w:tr>
      <w:tr w:rsidR="0009140D" w:rsidRPr="0009140D" w14:paraId="4A0696AB" w14:textId="77777777" w:rsidTr="0009140D">
        <w:trPr>
          <w:cantSplit/>
        </w:trPr>
        <w:tc>
          <w:tcPr>
            <w:tcW w:w="1136" w:type="pct"/>
            <w:tcBorders>
              <w:top w:val="single" w:sz="4" w:space="0" w:color="auto"/>
              <w:bottom w:val="single" w:sz="4" w:space="0" w:color="auto"/>
            </w:tcBorders>
          </w:tcPr>
          <w:p w14:paraId="3E8146B7" w14:textId="77777777" w:rsidR="0009140D" w:rsidRPr="0009140D" w:rsidRDefault="0009140D" w:rsidP="0009140D">
            <w:pPr>
              <w:pStyle w:val="Tabletext"/>
            </w:pPr>
            <w:r w:rsidRPr="0009140D">
              <w:t>26</w:t>
            </w:r>
          </w:p>
        </w:tc>
        <w:tc>
          <w:tcPr>
            <w:tcW w:w="966" w:type="pct"/>
            <w:tcBorders>
              <w:top w:val="single" w:sz="4" w:space="0" w:color="auto"/>
              <w:bottom w:val="single" w:sz="4" w:space="0" w:color="auto"/>
            </w:tcBorders>
            <w:shd w:val="clear" w:color="auto" w:fill="auto"/>
            <w:vAlign w:val="bottom"/>
          </w:tcPr>
          <w:p w14:paraId="0082AAF5" w14:textId="77777777" w:rsidR="0009140D" w:rsidRPr="0009140D" w:rsidRDefault="0009140D" w:rsidP="0009140D">
            <w:pPr>
              <w:pStyle w:val="Tabletext"/>
            </w:pPr>
            <w:r w:rsidRPr="0009140D">
              <w:t>25</w:t>
            </w:r>
            <w:r w:rsidR="00D7157D">
              <w:t>.</w:t>
            </w:r>
            <w:r w:rsidRPr="0009140D">
              <w:t>7889</w:t>
            </w:r>
          </w:p>
        </w:tc>
        <w:tc>
          <w:tcPr>
            <w:tcW w:w="966" w:type="pct"/>
            <w:tcBorders>
              <w:top w:val="single" w:sz="4" w:space="0" w:color="auto"/>
              <w:bottom w:val="single" w:sz="4" w:space="0" w:color="auto"/>
            </w:tcBorders>
            <w:shd w:val="clear" w:color="auto" w:fill="auto"/>
            <w:vAlign w:val="bottom"/>
          </w:tcPr>
          <w:p w14:paraId="2FE52FA1" w14:textId="77777777" w:rsidR="0009140D" w:rsidRPr="0009140D" w:rsidRDefault="0009140D" w:rsidP="0009140D">
            <w:pPr>
              <w:pStyle w:val="Tabletext"/>
            </w:pPr>
            <w:r w:rsidRPr="0009140D">
              <w:t>2</w:t>
            </w:r>
            <w:r w:rsidR="00D7157D">
              <w:t>.</w:t>
            </w:r>
            <w:r w:rsidRPr="0009140D">
              <w:t>6642</w:t>
            </w:r>
          </w:p>
        </w:tc>
        <w:tc>
          <w:tcPr>
            <w:tcW w:w="966" w:type="pct"/>
            <w:tcBorders>
              <w:top w:val="single" w:sz="4" w:space="0" w:color="auto"/>
              <w:bottom w:val="single" w:sz="4" w:space="0" w:color="auto"/>
            </w:tcBorders>
            <w:shd w:val="clear" w:color="auto" w:fill="auto"/>
            <w:vAlign w:val="bottom"/>
          </w:tcPr>
          <w:p w14:paraId="0660F6EE" w14:textId="77777777" w:rsidR="0009140D" w:rsidRPr="0009140D" w:rsidRDefault="0009140D" w:rsidP="0009140D">
            <w:pPr>
              <w:pStyle w:val="Tabletext"/>
            </w:pPr>
            <w:r w:rsidRPr="0009140D">
              <w:t>26</w:t>
            </w:r>
            <w:r w:rsidR="00D7157D">
              <w:t>.</w:t>
            </w:r>
            <w:r w:rsidRPr="0009140D">
              <w:t>9226</w:t>
            </w:r>
          </w:p>
        </w:tc>
        <w:tc>
          <w:tcPr>
            <w:tcW w:w="966" w:type="pct"/>
            <w:tcBorders>
              <w:top w:val="single" w:sz="4" w:space="0" w:color="auto"/>
              <w:bottom w:val="single" w:sz="4" w:space="0" w:color="auto"/>
              <w:right w:val="nil"/>
            </w:tcBorders>
            <w:shd w:val="clear" w:color="auto" w:fill="auto"/>
            <w:vAlign w:val="bottom"/>
          </w:tcPr>
          <w:p w14:paraId="50EDB35B" w14:textId="77777777" w:rsidR="0009140D" w:rsidRPr="0009140D" w:rsidRDefault="0009140D" w:rsidP="0009140D">
            <w:pPr>
              <w:pStyle w:val="Tabletext"/>
            </w:pPr>
            <w:r w:rsidRPr="0009140D">
              <w:t>1</w:t>
            </w:r>
            <w:r w:rsidR="00D7157D">
              <w:t>.</w:t>
            </w:r>
            <w:r w:rsidRPr="0009140D">
              <w:t>2920</w:t>
            </w:r>
          </w:p>
        </w:tc>
      </w:tr>
      <w:tr w:rsidR="0009140D" w:rsidRPr="0009140D" w14:paraId="4F05FF26" w14:textId="77777777" w:rsidTr="0009140D">
        <w:trPr>
          <w:cantSplit/>
        </w:trPr>
        <w:tc>
          <w:tcPr>
            <w:tcW w:w="1136" w:type="pct"/>
            <w:tcBorders>
              <w:top w:val="single" w:sz="4" w:space="0" w:color="auto"/>
              <w:bottom w:val="single" w:sz="4" w:space="0" w:color="auto"/>
            </w:tcBorders>
          </w:tcPr>
          <w:p w14:paraId="79CEEFCA" w14:textId="77777777" w:rsidR="0009140D" w:rsidRPr="0009140D" w:rsidRDefault="0009140D" w:rsidP="0009140D">
            <w:pPr>
              <w:pStyle w:val="Tabletext"/>
            </w:pPr>
            <w:r w:rsidRPr="0009140D">
              <w:t>27</w:t>
            </w:r>
          </w:p>
        </w:tc>
        <w:tc>
          <w:tcPr>
            <w:tcW w:w="966" w:type="pct"/>
            <w:tcBorders>
              <w:top w:val="single" w:sz="4" w:space="0" w:color="auto"/>
              <w:bottom w:val="single" w:sz="4" w:space="0" w:color="auto"/>
            </w:tcBorders>
            <w:shd w:val="clear" w:color="auto" w:fill="auto"/>
            <w:vAlign w:val="bottom"/>
          </w:tcPr>
          <w:p w14:paraId="12D21823" w14:textId="77777777" w:rsidR="0009140D" w:rsidRPr="0009140D" w:rsidRDefault="0009140D" w:rsidP="0009140D">
            <w:pPr>
              <w:pStyle w:val="Tabletext"/>
            </w:pPr>
            <w:r w:rsidRPr="0009140D">
              <w:t>25</w:t>
            </w:r>
            <w:r w:rsidR="00D7157D">
              <w:t>.</w:t>
            </w:r>
            <w:r w:rsidRPr="0009140D">
              <w:t>5789</w:t>
            </w:r>
          </w:p>
        </w:tc>
        <w:tc>
          <w:tcPr>
            <w:tcW w:w="966" w:type="pct"/>
            <w:tcBorders>
              <w:top w:val="single" w:sz="4" w:space="0" w:color="auto"/>
              <w:bottom w:val="single" w:sz="4" w:space="0" w:color="auto"/>
            </w:tcBorders>
            <w:shd w:val="clear" w:color="auto" w:fill="auto"/>
            <w:vAlign w:val="bottom"/>
          </w:tcPr>
          <w:p w14:paraId="20F4C504" w14:textId="77777777" w:rsidR="0009140D" w:rsidRPr="0009140D" w:rsidRDefault="0009140D" w:rsidP="0009140D">
            <w:pPr>
              <w:pStyle w:val="Tabletext"/>
            </w:pPr>
            <w:r w:rsidRPr="0009140D">
              <w:t>2</w:t>
            </w:r>
            <w:r w:rsidR="00D7157D">
              <w:t>.</w:t>
            </w:r>
            <w:r w:rsidRPr="0009140D">
              <w:t>7074</w:t>
            </w:r>
          </w:p>
        </w:tc>
        <w:tc>
          <w:tcPr>
            <w:tcW w:w="966" w:type="pct"/>
            <w:tcBorders>
              <w:top w:val="single" w:sz="4" w:space="0" w:color="auto"/>
              <w:bottom w:val="single" w:sz="4" w:space="0" w:color="auto"/>
            </w:tcBorders>
            <w:shd w:val="clear" w:color="auto" w:fill="auto"/>
            <w:vAlign w:val="bottom"/>
          </w:tcPr>
          <w:p w14:paraId="6936FD2C" w14:textId="77777777" w:rsidR="0009140D" w:rsidRPr="0009140D" w:rsidRDefault="0009140D" w:rsidP="0009140D">
            <w:pPr>
              <w:pStyle w:val="Tabletext"/>
            </w:pPr>
            <w:r w:rsidRPr="0009140D">
              <w:t>26</w:t>
            </w:r>
            <w:r w:rsidR="00D7157D">
              <w:t>.</w:t>
            </w:r>
            <w:r w:rsidRPr="0009140D">
              <w:t>7269</w:t>
            </w:r>
          </w:p>
        </w:tc>
        <w:tc>
          <w:tcPr>
            <w:tcW w:w="966" w:type="pct"/>
            <w:tcBorders>
              <w:top w:val="single" w:sz="4" w:space="0" w:color="auto"/>
              <w:bottom w:val="single" w:sz="4" w:space="0" w:color="auto"/>
              <w:right w:val="nil"/>
            </w:tcBorders>
            <w:shd w:val="clear" w:color="auto" w:fill="auto"/>
            <w:vAlign w:val="bottom"/>
          </w:tcPr>
          <w:p w14:paraId="7D9B6F33" w14:textId="77777777" w:rsidR="0009140D" w:rsidRPr="0009140D" w:rsidRDefault="0009140D" w:rsidP="0009140D">
            <w:pPr>
              <w:pStyle w:val="Tabletext"/>
            </w:pPr>
            <w:r w:rsidRPr="0009140D">
              <w:t>1</w:t>
            </w:r>
            <w:r w:rsidR="00D7157D">
              <w:t>.</w:t>
            </w:r>
            <w:r w:rsidRPr="0009140D">
              <w:t>3113</w:t>
            </w:r>
          </w:p>
        </w:tc>
      </w:tr>
      <w:tr w:rsidR="0009140D" w:rsidRPr="0009140D" w14:paraId="1EA9FEB0" w14:textId="77777777" w:rsidTr="0009140D">
        <w:trPr>
          <w:cantSplit/>
        </w:trPr>
        <w:tc>
          <w:tcPr>
            <w:tcW w:w="1136" w:type="pct"/>
            <w:tcBorders>
              <w:top w:val="single" w:sz="4" w:space="0" w:color="auto"/>
              <w:bottom w:val="single" w:sz="4" w:space="0" w:color="auto"/>
            </w:tcBorders>
          </w:tcPr>
          <w:p w14:paraId="341A25F4" w14:textId="77777777" w:rsidR="0009140D" w:rsidRPr="0009140D" w:rsidRDefault="0009140D" w:rsidP="0009140D">
            <w:pPr>
              <w:pStyle w:val="Tabletext"/>
            </w:pPr>
            <w:r w:rsidRPr="0009140D">
              <w:t>28</w:t>
            </w:r>
          </w:p>
        </w:tc>
        <w:tc>
          <w:tcPr>
            <w:tcW w:w="966" w:type="pct"/>
            <w:tcBorders>
              <w:top w:val="single" w:sz="4" w:space="0" w:color="auto"/>
              <w:bottom w:val="single" w:sz="4" w:space="0" w:color="auto"/>
            </w:tcBorders>
            <w:shd w:val="clear" w:color="auto" w:fill="auto"/>
            <w:vAlign w:val="bottom"/>
          </w:tcPr>
          <w:p w14:paraId="6A2ED09D" w14:textId="77777777" w:rsidR="0009140D" w:rsidRPr="0009140D" w:rsidRDefault="0009140D" w:rsidP="0009140D">
            <w:pPr>
              <w:pStyle w:val="Tabletext"/>
            </w:pPr>
            <w:r w:rsidRPr="0009140D">
              <w:t>25</w:t>
            </w:r>
            <w:r w:rsidR="00D7157D">
              <w:t>.</w:t>
            </w:r>
            <w:r w:rsidRPr="0009140D">
              <w:t>3622</w:t>
            </w:r>
          </w:p>
        </w:tc>
        <w:tc>
          <w:tcPr>
            <w:tcW w:w="966" w:type="pct"/>
            <w:tcBorders>
              <w:top w:val="single" w:sz="4" w:space="0" w:color="auto"/>
              <w:bottom w:val="single" w:sz="4" w:space="0" w:color="auto"/>
            </w:tcBorders>
            <w:shd w:val="clear" w:color="auto" w:fill="auto"/>
            <w:vAlign w:val="bottom"/>
          </w:tcPr>
          <w:p w14:paraId="2106021C" w14:textId="77777777" w:rsidR="0009140D" w:rsidRPr="0009140D" w:rsidRDefault="0009140D" w:rsidP="0009140D">
            <w:pPr>
              <w:pStyle w:val="Tabletext"/>
            </w:pPr>
            <w:r w:rsidRPr="0009140D">
              <w:t>2</w:t>
            </w:r>
            <w:r w:rsidR="00D7157D">
              <w:t>.</w:t>
            </w:r>
            <w:r w:rsidRPr="0009140D">
              <w:t>7521</w:t>
            </w:r>
          </w:p>
        </w:tc>
        <w:tc>
          <w:tcPr>
            <w:tcW w:w="966" w:type="pct"/>
            <w:tcBorders>
              <w:top w:val="single" w:sz="4" w:space="0" w:color="auto"/>
              <w:bottom w:val="single" w:sz="4" w:space="0" w:color="auto"/>
            </w:tcBorders>
            <w:shd w:val="clear" w:color="auto" w:fill="auto"/>
            <w:vAlign w:val="bottom"/>
          </w:tcPr>
          <w:p w14:paraId="7E8BB54C" w14:textId="77777777" w:rsidR="0009140D" w:rsidRPr="0009140D" w:rsidRDefault="0009140D" w:rsidP="0009140D">
            <w:pPr>
              <w:pStyle w:val="Tabletext"/>
            </w:pPr>
            <w:r w:rsidRPr="0009140D">
              <w:t>26</w:t>
            </w:r>
            <w:r w:rsidR="00D7157D">
              <w:t>.</w:t>
            </w:r>
            <w:r w:rsidRPr="0009140D">
              <w:t>5253</w:t>
            </w:r>
          </w:p>
        </w:tc>
        <w:tc>
          <w:tcPr>
            <w:tcW w:w="966" w:type="pct"/>
            <w:tcBorders>
              <w:top w:val="single" w:sz="4" w:space="0" w:color="auto"/>
              <w:bottom w:val="single" w:sz="4" w:space="0" w:color="auto"/>
              <w:right w:val="nil"/>
            </w:tcBorders>
            <w:shd w:val="clear" w:color="auto" w:fill="auto"/>
            <w:vAlign w:val="bottom"/>
          </w:tcPr>
          <w:p w14:paraId="50B72F9A" w14:textId="77777777" w:rsidR="0009140D" w:rsidRPr="0009140D" w:rsidRDefault="0009140D" w:rsidP="0009140D">
            <w:pPr>
              <w:pStyle w:val="Tabletext"/>
            </w:pPr>
            <w:r w:rsidRPr="0009140D">
              <w:t>1</w:t>
            </w:r>
            <w:r w:rsidR="00D7157D">
              <w:t>.</w:t>
            </w:r>
            <w:r w:rsidRPr="0009140D">
              <w:t>3312</w:t>
            </w:r>
          </w:p>
        </w:tc>
      </w:tr>
      <w:tr w:rsidR="0009140D" w:rsidRPr="0009140D" w14:paraId="6C84B7C0" w14:textId="77777777" w:rsidTr="0009140D">
        <w:trPr>
          <w:cantSplit/>
        </w:trPr>
        <w:tc>
          <w:tcPr>
            <w:tcW w:w="1136" w:type="pct"/>
            <w:tcBorders>
              <w:top w:val="single" w:sz="4" w:space="0" w:color="auto"/>
              <w:bottom w:val="single" w:sz="4" w:space="0" w:color="auto"/>
            </w:tcBorders>
          </w:tcPr>
          <w:p w14:paraId="7A9C744F" w14:textId="77777777" w:rsidR="0009140D" w:rsidRPr="0009140D" w:rsidRDefault="0009140D" w:rsidP="0009140D">
            <w:pPr>
              <w:pStyle w:val="Tabletext"/>
            </w:pPr>
            <w:r w:rsidRPr="0009140D">
              <w:t>29</w:t>
            </w:r>
          </w:p>
        </w:tc>
        <w:tc>
          <w:tcPr>
            <w:tcW w:w="966" w:type="pct"/>
            <w:tcBorders>
              <w:top w:val="single" w:sz="4" w:space="0" w:color="auto"/>
              <w:bottom w:val="single" w:sz="4" w:space="0" w:color="auto"/>
            </w:tcBorders>
            <w:shd w:val="clear" w:color="auto" w:fill="auto"/>
            <w:vAlign w:val="bottom"/>
          </w:tcPr>
          <w:p w14:paraId="5F26FAC0" w14:textId="77777777" w:rsidR="0009140D" w:rsidRPr="0009140D" w:rsidRDefault="0009140D" w:rsidP="0009140D">
            <w:pPr>
              <w:pStyle w:val="Tabletext"/>
            </w:pPr>
            <w:r w:rsidRPr="0009140D">
              <w:t>25</w:t>
            </w:r>
            <w:r w:rsidR="00D7157D">
              <w:t>.</w:t>
            </w:r>
            <w:r w:rsidRPr="0009140D">
              <w:t>1388</w:t>
            </w:r>
          </w:p>
        </w:tc>
        <w:tc>
          <w:tcPr>
            <w:tcW w:w="966" w:type="pct"/>
            <w:tcBorders>
              <w:top w:val="single" w:sz="4" w:space="0" w:color="auto"/>
              <w:bottom w:val="single" w:sz="4" w:space="0" w:color="auto"/>
            </w:tcBorders>
            <w:shd w:val="clear" w:color="auto" w:fill="auto"/>
            <w:vAlign w:val="bottom"/>
          </w:tcPr>
          <w:p w14:paraId="756E81EC" w14:textId="77777777" w:rsidR="0009140D" w:rsidRPr="0009140D" w:rsidRDefault="0009140D" w:rsidP="0009140D">
            <w:pPr>
              <w:pStyle w:val="Tabletext"/>
            </w:pPr>
            <w:r w:rsidRPr="0009140D">
              <w:t>2</w:t>
            </w:r>
            <w:r w:rsidR="00D7157D">
              <w:t>.</w:t>
            </w:r>
            <w:r w:rsidRPr="0009140D">
              <w:t>7984</w:t>
            </w:r>
          </w:p>
        </w:tc>
        <w:tc>
          <w:tcPr>
            <w:tcW w:w="966" w:type="pct"/>
            <w:tcBorders>
              <w:top w:val="single" w:sz="4" w:space="0" w:color="auto"/>
              <w:bottom w:val="single" w:sz="4" w:space="0" w:color="auto"/>
            </w:tcBorders>
            <w:shd w:val="clear" w:color="auto" w:fill="auto"/>
            <w:vAlign w:val="bottom"/>
          </w:tcPr>
          <w:p w14:paraId="2B7B2356" w14:textId="77777777" w:rsidR="0009140D" w:rsidRPr="0009140D" w:rsidRDefault="0009140D" w:rsidP="0009140D">
            <w:pPr>
              <w:pStyle w:val="Tabletext"/>
            </w:pPr>
            <w:r w:rsidRPr="0009140D">
              <w:t>26</w:t>
            </w:r>
            <w:r w:rsidR="00D7157D">
              <w:t>.</w:t>
            </w:r>
            <w:r w:rsidRPr="0009140D">
              <w:t>3175</w:t>
            </w:r>
          </w:p>
        </w:tc>
        <w:tc>
          <w:tcPr>
            <w:tcW w:w="966" w:type="pct"/>
            <w:tcBorders>
              <w:top w:val="single" w:sz="4" w:space="0" w:color="auto"/>
              <w:bottom w:val="single" w:sz="4" w:space="0" w:color="auto"/>
              <w:right w:val="nil"/>
            </w:tcBorders>
            <w:shd w:val="clear" w:color="auto" w:fill="auto"/>
            <w:vAlign w:val="bottom"/>
          </w:tcPr>
          <w:p w14:paraId="2E076399" w14:textId="77777777" w:rsidR="0009140D" w:rsidRPr="0009140D" w:rsidRDefault="0009140D" w:rsidP="0009140D">
            <w:pPr>
              <w:pStyle w:val="Tabletext"/>
            </w:pPr>
            <w:r w:rsidRPr="0009140D">
              <w:t>1</w:t>
            </w:r>
            <w:r w:rsidR="00D7157D">
              <w:t>.</w:t>
            </w:r>
            <w:r w:rsidRPr="0009140D">
              <w:t>3517</w:t>
            </w:r>
          </w:p>
        </w:tc>
      </w:tr>
      <w:tr w:rsidR="0009140D" w:rsidRPr="0009140D" w14:paraId="5A076A6A" w14:textId="77777777" w:rsidTr="0009140D">
        <w:trPr>
          <w:cantSplit/>
        </w:trPr>
        <w:tc>
          <w:tcPr>
            <w:tcW w:w="1136" w:type="pct"/>
            <w:tcBorders>
              <w:top w:val="single" w:sz="4" w:space="0" w:color="auto"/>
              <w:bottom w:val="single" w:sz="4" w:space="0" w:color="auto"/>
            </w:tcBorders>
          </w:tcPr>
          <w:p w14:paraId="3A8A326B" w14:textId="77777777" w:rsidR="0009140D" w:rsidRPr="0009140D" w:rsidRDefault="0009140D" w:rsidP="0009140D">
            <w:pPr>
              <w:pStyle w:val="Tabletext"/>
            </w:pPr>
            <w:r w:rsidRPr="0009140D">
              <w:t>30</w:t>
            </w:r>
          </w:p>
        </w:tc>
        <w:tc>
          <w:tcPr>
            <w:tcW w:w="966" w:type="pct"/>
            <w:tcBorders>
              <w:top w:val="single" w:sz="4" w:space="0" w:color="auto"/>
              <w:bottom w:val="single" w:sz="4" w:space="0" w:color="auto"/>
            </w:tcBorders>
            <w:shd w:val="clear" w:color="auto" w:fill="auto"/>
            <w:vAlign w:val="bottom"/>
          </w:tcPr>
          <w:p w14:paraId="62BCFB7A" w14:textId="77777777" w:rsidR="0009140D" w:rsidRPr="0009140D" w:rsidRDefault="0009140D" w:rsidP="0009140D">
            <w:pPr>
              <w:pStyle w:val="Tabletext"/>
            </w:pPr>
            <w:r w:rsidRPr="0009140D">
              <w:t>24</w:t>
            </w:r>
            <w:r w:rsidR="00D7157D">
              <w:t>.</w:t>
            </w:r>
            <w:r w:rsidRPr="0009140D">
              <w:t>9084</w:t>
            </w:r>
          </w:p>
        </w:tc>
        <w:tc>
          <w:tcPr>
            <w:tcW w:w="966" w:type="pct"/>
            <w:tcBorders>
              <w:top w:val="single" w:sz="4" w:space="0" w:color="auto"/>
              <w:bottom w:val="single" w:sz="4" w:space="0" w:color="auto"/>
            </w:tcBorders>
            <w:shd w:val="clear" w:color="auto" w:fill="auto"/>
            <w:vAlign w:val="bottom"/>
          </w:tcPr>
          <w:p w14:paraId="0708518A" w14:textId="77777777" w:rsidR="0009140D" w:rsidRPr="0009140D" w:rsidRDefault="0009140D" w:rsidP="0009140D">
            <w:pPr>
              <w:pStyle w:val="Tabletext"/>
            </w:pPr>
            <w:r w:rsidRPr="0009140D">
              <w:t>2</w:t>
            </w:r>
            <w:r w:rsidR="00D7157D">
              <w:t>.</w:t>
            </w:r>
            <w:r w:rsidRPr="0009140D">
              <w:t>8462</w:t>
            </w:r>
          </w:p>
        </w:tc>
        <w:tc>
          <w:tcPr>
            <w:tcW w:w="966" w:type="pct"/>
            <w:tcBorders>
              <w:top w:val="single" w:sz="4" w:space="0" w:color="auto"/>
              <w:bottom w:val="single" w:sz="4" w:space="0" w:color="auto"/>
            </w:tcBorders>
            <w:shd w:val="clear" w:color="auto" w:fill="auto"/>
            <w:vAlign w:val="bottom"/>
          </w:tcPr>
          <w:p w14:paraId="652CC2EB" w14:textId="77777777" w:rsidR="0009140D" w:rsidRPr="0009140D" w:rsidRDefault="0009140D" w:rsidP="0009140D">
            <w:pPr>
              <w:pStyle w:val="Tabletext"/>
            </w:pPr>
            <w:r w:rsidRPr="0009140D">
              <w:t>26</w:t>
            </w:r>
            <w:r w:rsidR="00D7157D">
              <w:t>.</w:t>
            </w:r>
            <w:r w:rsidRPr="0009140D">
              <w:t>1034</w:t>
            </w:r>
          </w:p>
        </w:tc>
        <w:tc>
          <w:tcPr>
            <w:tcW w:w="966" w:type="pct"/>
            <w:tcBorders>
              <w:top w:val="single" w:sz="4" w:space="0" w:color="auto"/>
              <w:bottom w:val="single" w:sz="4" w:space="0" w:color="auto"/>
              <w:right w:val="nil"/>
            </w:tcBorders>
            <w:shd w:val="clear" w:color="auto" w:fill="auto"/>
            <w:vAlign w:val="bottom"/>
          </w:tcPr>
          <w:p w14:paraId="013E9C86" w14:textId="77777777" w:rsidR="0009140D" w:rsidRPr="0009140D" w:rsidRDefault="0009140D" w:rsidP="0009140D">
            <w:pPr>
              <w:pStyle w:val="Tabletext"/>
            </w:pPr>
            <w:r w:rsidRPr="0009140D">
              <w:t>1</w:t>
            </w:r>
            <w:r w:rsidR="00D7157D">
              <w:t>.</w:t>
            </w:r>
            <w:r w:rsidRPr="0009140D">
              <w:t>3730</w:t>
            </w:r>
          </w:p>
        </w:tc>
      </w:tr>
      <w:tr w:rsidR="0009140D" w:rsidRPr="0009140D" w14:paraId="21936D6C" w14:textId="77777777" w:rsidTr="0009140D">
        <w:trPr>
          <w:cantSplit/>
        </w:trPr>
        <w:tc>
          <w:tcPr>
            <w:tcW w:w="1136" w:type="pct"/>
            <w:tcBorders>
              <w:top w:val="single" w:sz="4" w:space="0" w:color="auto"/>
              <w:bottom w:val="single" w:sz="4" w:space="0" w:color="auto"/>
            </w:tcBorders>
          </w:tcPr>
          <w:p w14:paraId="698A4504" w14:textId="77777777" w:rsidR="0009140D" w:rsidRPr="0009140D" w:rsidRDefault="0009140D" w:rsidP="0009140D">
            <w:pPr>
              <w:pStyle w:val="Tabletext"/>
            </w:pPr>
            <w:r w:rsidRPr="0009140D">
              <w:t>31</w:t>
            </w:r>
          </w:p>
        </w:tc>
        <w:tc>
          <w:tcPr>
            <w:tcW w:w="966" w:type="pct"/>
            <w:tcBorders>
              <w:top w:val="single" w:sz="4" w:space="0" w:color="auto"/>
              <w:bottom w:val="single" w:sz="4" w:space="0" w:color="auto"/>
            </w:tcBorders>
            <w:shd w:val="clear" w:color="auto" w:fill="auto"/>
            <w:vAlign w:val="bottom"/>
          </w:tcPr>
          <w:p w14:paraId="78868DF4" w14:textId="77777777" w:rsidR="0009140D" w:rsidRPr="0009140D" w:rsidRDefault="0009140D" w:rsidP="0009140D">
            <w:pPr>
              <w:pStyle w:val="Tabletext"/>
            </w:pPr>
            <w:r w:rsidRPr="0009140D">
              <w:t>24</w:t>
            </w:r>
            <w:r w:rsidR="00D7157D">
              <w:t>.</w:t>
            </w:r>
            <w:r w:rsidRPr="0009140D">
              <w:t>6726</w:t>
            </w:r>
          </w:p>
        </w:tc>
        <w:tc>
          <w:tcPr>
            <w:tcW w:w="966" w:type="pct"/>
            <w:tcBorders>
              <w:top w:val="single" w:sz="4" w:space="0" w:color="auto"/>
              <w:bottom w:val="single" w:sz="4" w:space="0" w:color="auto"/>
            </w:tcBorders>
            <w:shd w:val="clear" w:color="auto" w:fill="auto"/>
            <w:vAlign w:val="bottom"/>
          </w:tcPr>
          <w:p w14:paraId="5D00D23C" w14:textId="77777777" w:rsidR="0009140D" w:rsidRPr="0009140D" w:rsidRDefault="0009140D" w:rsidP="0009140D">
            <w:pPr>
              <w:pStyle w:val="Tabletext"/>
            </w:pPr>
            <w:r w:rsidRPr="0009140D">
              <w:t>2</w:t>
            </w:r>
            <w:r w:rsidR="00D7157D">
              <w:t>.</w:t>
            </w:r>
            <w:r w:rsidRPr="0009140D">
              <w:t>8945</w:t>
            </w:r>
          </w:p>
        </w:tc>
        <w:tc>
          <w:tcPr>
            <w:tcW w:w="966" w:type="pct"/>
            <w:tcBorders>
              <w:top w:val="single" w:sz="4" w:space="0" w:color="auto"/>
              <w:bottom w:val="single" w:sz="4" w:space="0" w:color="auto"/>
            </w:tcBorders>
            <w:shd w:val="clear" w:color="auto" w:fill="auto"/>
            <w:vAlign w:val="bottom"/>
          </w:tcPr>
          <w:p w14:paraId="038E26BC" w14:textId="77777777" w:rsidR="0009140D" w:rsidRPr="0009140D" w:rsidRDefault="0009140D" w:rsidP="0009140D">
            <w:pPr>
              <w:pStyle w:val="Tabletext"/>
            </w:pPr>
            <w:r w:rsidRPr="0009140D">
              <w:t>25</w:t>
            </w:r>
            <w:r w:rsidR="00D7157D">
              <w:t>.</w:t>
            </w:r>
            <w:r w:rsidRPr="0009140D">
              <w:t>8838</w:t>
            </w:r>
          </w:p>
        </w:tc>
        <w:tc>
          <w:tcPr>
            <w:tcW w:w="966" w:type="pct"/>
            <w:tcBorders>
              <w:top w:val="single" w:sz="4" w:space="0" w:color="auto"/>
              <w:bottom w:val="single" w:sz="4" w:space="0" w:color="auto"/>
              <w:right w:val="nil"/>
            </w:tcBorders>
            <w:shd w:val="clear" w:color="auto" w:fill="auto"/>
            <w:vAlign w:val="bottom"/>
          </w:tcPr>
          <w:p w14:paraId="7F70B317" w14:textId="77777777" w:rsidR="0009140D" w:rsidRPr="0009140D" w:rsidRDefault="0009140D" w:rsidP="0009140D">
            <w:pPr>
              <w:pStyle w:val="Tabletext"/>
            </w:pPr>
            <w:r w:rsidRPr="0009140D">
              <w:t>1</w:t>
            </w:r>
            <w:r w:rsidR="00D7157D">
              <w:t>.</w:t>
            </w:r>
            <w:r w:rsidRPr="0009140D">
              <w:t>3945</w:t>
            </w:r>
          </w:p>
        </w:tc>
      </w:tr>
      <w:tr w:rsidR="0009140D" w:rsidRPr="0009140D" w14:paraId="469380D6" w14:textId="77777777" w:rsidTr="0009140D">
        <w:trPr>
          <w:cantSplit/>
        </w:trPr>
        <w:tc>
          <w:tcPr>
            <w:tcW w:w="1136" w:type="pct"/>
            <w:tcBorders>
              <w:top w:val="single" w:sz="4" w:space="0" w:color="auto"/>
              <w:bottom w:val="single" w:sz="4" w:space="0" w:color="auto"/>
            </w:tcBorders>
          </w:tcPr>
          <w:p w14:paraId="2FD989A6" w14:textId="77777777" w:rsidR="0009140D" w:rsidRPr="0009140D" w:rsidRDefault="0009140D" w:rsidP="0009140D">
            <w:pPr>
              <w:pStyle w:val="Tabletext"/>
            </w:pPr>
            <w:r w:rsidRPr="0009140D">
              <w:t>32</w:t>
            </w:r>
          </w:p>
        </w:tc>
        <w:tc>
          <w:tcPr>
            <w:tcW w:w="966" w:type="pct"/>
            <w:tcBorders>
              <w:top w:val="single" w:sz="4" w:space="0" w:color="auto"/>
              <w:bottom w:val="single" w:sz="4" w:space="0" w:color="auto"/>
            </w:tcBorders>
            <w:shd w:val="clear" w:color="auto" w:fill="auto"/>
            <w:vAlign w:val="bottom"/>
          </w:tcPr>
          <w:p w14:paraId="47826EBC" w14:textId="77777777" w:rsidR="0009140D" w:rsidRPr="0009140D" w:rsidRDefault="0009140D" w:rsidP="0009140D">
            <w:pPr>
              <w:pStyle w:val="Tabletext"/>
            </w:pPr>
            <w:r w:rsidRPr="0009140D">
              <w:t>24</w:t>
            </w:r>
            <w:r w:rsidR="00D7157D">
              <w:t>.</w:t>
            </w:r>
            <w:r w:rsidRPr="0009140D">
              <w:t>4314</w:t>
            </w:r>
          </w:p>
        </w:tc>
        <w:tc>
          <w:tcPr>
            <w:tcW w:w="966" w:type="pct"/>
            <w:tcBorders>
              <w:top w:val="single" w:sz="4" w:space="0" w:color="auto"/>
              <w:bottom w:val="single" w:sz="4" w:space="0" w:color="auto"/>
            </w:tcBorders>
            <w:shd w:val="clear" w:color="auto" w:fill="auto"/>
            <w:vAlign w:val="bottom"/>
          </w:tcPr>
          <w:p w14:paraId="71DEFC6F" w14:textId="77777777" w:rsidR="0009140D" w:rsidRPr="0009140D" w:rsidRDefault="0009140D" w:rsidP="0009140D">
            <w:pPr>
              <w:pStyle w:val="Tabletext"/>
            </w:pPr>
            <w:r w:rsidRPr="0009140D">
              <w:t>2</w:t>
            </w:r>
            <w:r w:rsidR="00D7157D">
              <w:t>.</w:t>
            </w:r>
            <w:r w:rsidRPr="0009140D">
              <w:t>9433</w:t>
            </w:r>
          </w:p>
        </w:tc>
        <w:tc>
          <w:tcPr>
            <w:tcW w:w="966" w:type="pct"/>
            <w:tcBorders>
              <w:top w:val="single" w:sz="4" w:space="0" w:color="auto"/>
              <w:bottom w:val="single" w:sz="4" w:space="0" w:color="auto"/>
            </w:tcBorders>
            <w:shd w:val="clear" w:color="auto" w:fill="auto"/>
            <w:vAlign w:val="bottom"/>
          </w:tcPr>
          <w:p w14:paraId="12871BDF" w14:textId="77777777" w:rsidR="0009140D" w:rsidRPr="0009140D" w:rsidRDefault="0009140D" w:rsidP="0009140D">
            <w:pPr>
              <w:pStyle w:val="Tabletext"/>
            </w:pPr>
            <w:r w:rsidRPr="0009140D">
              <w:t>25</w:t>
            </w:r>
            <w:r w:rsidR="00D7157D">
              <w:t>.</w:t>
            </w:r>
            <w:r w:rsidRPr="0009140D">
              <w:t>6589</w:t>
            </w:r>
          </w:p>
        </w:tc>
        <w:tc>
          <w:tcPr>
            <w:tcW w:w="966" w:type="pct"/>
            <w:tcBorders>
              <w:top w:val="single" w:sz="4" w:space="0" w:color="auto"/>
              <w:bottom w:val="single" w:sz="4" w:space="0" w:color="auto"/>
              <w:right w:val="nil"/>
            </w:tcBorders>
            <w:shd w:val="clear" w:color="auto" w:fill="auto"/>
            <w:vAlign w:val="bottom"/>
          </w:tcPr>
          <w:p w14:paraId="64450311" w14:textId="77777777" w:rsidR="0009140D" w:rsidRPr="0009140D" w:rsidRDefault="0009140D" w:rsidP="0009140D">
            <w:pPr>
              <w:pStyle w:val="Tabletext"/>
            </w:pPr>
            <w:r w:rsidRPr="0009140D">
              <w:t>1</w:t>
            </w:r>
            <w:r w:rsidR="00D7157D">
              <w:t>.</w:t>
            </w:r>
            <w:r w:rsidRPr="0009140D">
              <w:t>4162</w:t>
            </w:r>
          </w:p>
        </w:tc>
      </w:tr>
      <w:tr w:rsidR="0009140D" w:rsidRPr="0009140D" w14:paraId="7C4A2F67" w14:textId="77777777" w:rsidTr="0009140D">
        <w:trPr>
          <w:cantSplit/>
        </w:trPr>
        <w:tc>
          <w:tcPr>
            <w:tcW w:w="1136" w:type="pct"/>
            <w:tcBorders>
              <w:top w:val="single" w:sz="4" w:space="0" w:color="auto"/>
              <w:bottom w:val="single" w:sz="4" w:space="0" w:color="auto"/>
            </w:tcBorders>
          </w:tcPr>
          <w:p w14:paraId="23C26D88" w14:textId="77777777" w:rsidR="0009140D" w:rsidRPr="0009140D" w:rsidRDefault="0009140D" w:rsidP="0009140D">
            <w:pPr>
              <w:pStyle w:val="Tabletext"/>
            </w:pPr>
            <w:r w:rsidRPr="0009140D">
              <w:t>33</w:t>
            </w:r>
          </w:p>
        </w:tc>
        <w:tc>
          <w:tcPr>
            <w:tcW w:w="966" w:type="pct"/>
            <w:tcBorders>
              <w:top w:val="single" w:sz="4" w:space="0" w:color="auto"/>
              <w:bottom w:val="single" w:sz="4" w:space="0" w:color="auto"/>
            </w:tcBorders>
            <w:shd w:val="clear" w:color="auto" w:fill="auto"/>
            <w:vAlign w:val="bottom"/>
          </w:tcPr>
          <w:p w14:paraId="74F0C16F" w14:textId="77777777" w:rsidR="0009140D" w:rsidRPr="0009140D" w:rsidRDefault="0009140D" w:rsidP="0009140D">
            <w:pPr>
              <w:pStyle w:val="Tabletext"/>
            </w:pPr>
            <w:r w:rsidRPr="0009140D">
              <w:t>24</w:t>
            </w:r>
            <w:r w:rsidR="00D7157D">
              <w:t>.</w:t>
            </w:r>
            <w:r w:rsidRPr="0009140D">
              <w:t>1846</w:t>
            </w:r>
          </w:p>
        </w:tc>
        <w:tc>
          <w:tcPr>
            <w:tcW w:w="966" w:type="pct"/>
            <w:tcBorders>
              <w:top w:val="single" w:sz="4" w:space="0" w:color="auto"/>
              <w:bottom w:val="single" w:sz="4" w:space="0" w:color="auto"/>
            </w:tcBorders>
            <w:shd w:val="clear" w:color="auto" w:fill="auto"/>
            <w:vAlign w:val="bottom"/>
          </w:tcPr>
          <w:p w14:paraId="5339C705" w14:textId="77777777" w:rsidR="0009140D" w:rsidRPr="0009140D" w:rsidRDefault="0009140D" w:rsidP="0009140D">
            <w:pPr>
              <w:pStyle w:val="Tabletext"/>
            </w:pPr>
            <w:r w:rsidRPr="0009140D">
              <w:t>2</w:t>
            </w:r>
            <w:r w:rsidR="00D7157D">
              <w:t>.</w:t>
            </w:r>
            <w:r w:rsidRPr="0009140D">
              <w:t>9926</w:t>
            </w:r>
          </w:p>
        </w:tc>
        <w:tc>
          <w:tcPr>
            <w:tcW w:w="966" w:type="pct"/>
            <w:tcBorders>
              <w:top w:val="single" w:sz="4" w:space="0" w:color="auto"/>
              <w:bottom w:val="single" w:sz="4" w:space="0" w:color="auto"/>
            </w:tcBorders>
            <w:shd w:val="clear" w:color="auto" w:fill="auto"/>
            <w:vAlign w:val="bottom"/>
          </w:tcPr>
          <w:p w14:paraId="6A94E2DB" w14:textId="77777777" w:rsidR="0009140D" w:rsidRPr="0009140D" w:rsidRDefault="0009140D" w:rsidP="0009140D">
            <w:pPr>
              <w:pStyle w:val="Tabletext"/>
            </w:pPr>
            <w:r w:rsidRPr="0009140D">
              <w:t>25</w:t>
            </w:r>
            <w:r w:rsidR="00D7157D">
              <w:t>.</w:t>
            </w:r>
            <w:r w:rsidRPr="0009140D">
              <w:t>4284</w:t>
            </w:r>
          </w:p>
        </w:tc>
        <w:tc>
          <w:tcPr>
            <w:tcW w:w="966" w:type="pct"/>
            <w:tcBorders>
              <w:top w:val="single" w:sz="4" w:space="0" w:color="auto"/>
              <w:bottom w:val="single" w:sz="4" w:space="0" w:color="auto"/>
              <w:right w:val="nil"/>
            </w:tcBorders>
            <w:shd w:val="clear" w:color="auto" w:fill="auto"/>
            <w:vAlign w:val="bottom"/>
          </w:tcPr>
          <w:p w14:paraId="6CCFD5CE" w14:textId="77777777" w:rsidR="0009140D" w:rsidRPr="0009140D" w:rsidRDefault="0009140D" w:rsidP="0009140D">
            <w:pPr>
              <w:pStyle w:val="Tabletext"/>
            </w:pPr>
            <w:r w:rsidRPr="0009140D">
              <w:t>1</w:t>
            </w:r>
            <w:r w:rsidR="00D7157D">
              <w:t>.</w:t>
            </w:r>
            <w:r w:rsidRPr="0009140D">
              <w:t>4379</w:t>
            </w:r>
          </w:p>
        </w:tc>
      </w:tr>
      <w:tr w:rsidR="0009140D" w:rsidRPr="0009140D" w14:paraId="7355E135" w14:textId="77777777" w:rsidTr="0009140D">
        <w:trPr>
          <w:cantSplit/>
        </w:trPr>
        <w:tc>
          <w:tcPr>
            <w:tcW w:w="1136" w:type="pct"/>
            <w:tcBorders>
              <w:top w:val="single" w:sz="4" w:space="0" w:color="auto"/>
              <w:bottom w:val="single" w:sz="4" w:space="0" w:color="auto"/>
            </w:tcBorders>
          </w:tcPr>
          <w:p w14:paraId="45096E17" w14:textId="77777777" w:rsidR="0009140D" w:rsidRPr="0009140D" w:rsidRDefault="0009140D" w:rsidP="0009140D">
            <w:pPr>
              <w:pStyle w:val="Tabletext"/>
            </w:pPr>
            <w:r w:rsidRPr="0009140D">
              <w:t>34</w:t>
            </w:r>
          </w:p>
        </w:tc>
        <w:tc>
          <w:tcPr>
            <w:tcW w:w="966" w:type="pct"/>
            <w:tcBorders>
              <w:top w:val="single" w:sz="4" w:space="0" w:color="auto"/>
              <w:bottom w:val="single" w:sz="4" w:space="0" w:color="auto"/>
            </w:tcBorders>
            <w:shd w:val="clear" w:color="auto" w:fill="auto"/>
            <w:vAlign w:val="bottom"/>
          </w:tcPr>
          <w:p w14:paraId="15D142F2" w14:textId="77777777" w:rsidR="0009140D" w:rsidRPr="0009140D" w:rsidRDefault="0009140D" w:rsidP="0009140D">
            <w:pPr>
              <w:pStyle w:val="Tabletext"/>
            </w:pPr>
            <w:r w:rsidRPr="0009140D">
              <w:t>23</w:t>
            </w:r>
            <w:r w:rsidR="00D7157D">
              <w:t>.</w:t>
            </w:r>
            <w:r w:rsidRPr="0009140D">
              <w:t>9320</w:t>
            </w:r>
          </w:p>
        </w:tc>
        <w:tc>
          <w:tcPr>
            <w:tcW w:w="966" w:type="pct"/>
            <w:tcBorders>
              <w:top w:val="single" w:sz="4" w:space="0" w:color="auto"/>
              <w:bottom w:val="single" w:sz="4" w:space="0" w:color="auto"/>
            </w:tcBorders>
            <w:shd w:val="clear" w:color="auto" w:fill="auto"/>
            <w:vAlign w:val="bottom"/>
          </w:tcPr>
          <w:p w14:paraId="1802088C" w14:textId="77777777" w:rsidR="0009140D" w:rsidRPr="0009140D" w:rsidRDefault="0009140D" w:rsidP="0009140D">
            <w:pPr>
              <w:pStyle w:val="Tabletext"/>
            </w:pPr>
            <w:r w:rsidRPr="0009140D">
              <w:t>3</w:t>
            </w:r>
            <w:r w:rsidR="00D7157D">
              <w:t>.</w:t>
            </w:r>
            <w:r w:rsidRPr="0009140D">
              <w:t>0424</w:t>
            </w:r>
          </w:p>
        </w:tc>
        <w:tc>
          <w:tcPr>
            <w:tcW w:w="966" w:type="pct"/>
            <w:tcBorders>
              <w:top w:val="single" w:sz="4" w:space="0" w:color="auto"/>
              <w:bottom w:val="single" w:sz="4" w:space="0" w:color="auto"/>
            </w:tcBorders>
            <w:shd w:val="clear" w:color="auto" w:fill="auto"/>
            <w:vAlign w:val="bottom"/>
          </w:tcPr>
          <w:p w14:paraId="210E930A" w14:textId="77777777" w:rsidR="0009140D" w:rsidRPr="0009140D" w:rsidRDefault="0009140D" w:rsidP="0009140D">
            <w:pPr>
              <w:pStyle w:val="Tabletext"/>
            </w:pPr>
            <w:r w:rsidRPr="0009140D">
              <w:t>25</w:t>
            </w:r>
            <w:r w:rsidR="00D7157D">
              <w:t>.</w:t>
            </w:r>
            <w:r w:rsidRPr="0009140D">
              <w:t>1921</w:t>
            </w:r>
          </w:p>
        </w:tc>
        <w:tc>
          <w:tcPr>
            <w:tcW w:w="966" w:type="pct"/>
            <w:tcBorders>
              <w:top w:val="single" w:sz="4" w:space="0" w:color="auto"/>
              <w:bottom w:val="single" w:sz="4" w:space="0" w:color="auto"/>
              <w:right w:val="nil"/>
            </w:tcBorders>
            <w:shd w:val="clear" w:color="auto" w:fill="auto"/>
            <w:vAlign w:val="bottom"/>
          </w:tcPr>
          <w:p w14:paraId="472BB89B" w14:textId="77777777" w:rsidR="0009140D" w:rsidRPr="0009140D" w:rsidRDefault="0009140D" w:rsidP="0009140D">
            <w:pPr>
              <w:pStyle w:val="Tabletext"/>
            </w:pPr>
            <w:r w:rsidRPr="0009140D">
              <w:t>1</w:t>
            </w:r>
            <w:r w:rsidR="00D7157D">
              <w:t>.</w:t>
            </w:r>
            <w:r w:rsidRPr="0009140D">
              <w:t>4599</w:t>
            </w:r>
          </w:p>
        </w:tc>
      </w:tr>
      <w:tr w:rsidR="0009140D" w:rsidRPr="0009140D" w14:paraId="04FE6169" w14:textId="77777777" w:rsidTr="0009140D">
        <w:trPr>
          <w:cantSplit/>
        </w:trPr>
        <w:tc>
          <w:tcPr>
            <w:tcW w:w="1136" w:type="pct"/>
            <w:tcBorders>
              <w:top w:val="single" w:sz="4" w:space="0" w:color="auto"/>
              <w:bottom w:val="single" w:sz="4" w:space="0" w:color="auto"/>
            </w:tcBorders>
          </w:tcPr>
          <w:p w14:paraId="40AD925C" w14:textId="77777777" w:rsidR="0009140D" w:rsidRPr="0009140D" w:rsidRDefault="0009140D" w:rsidP="0009140D">
            <w:pPr>
              <w:pStyle w:val="Tabletext"/>
            </w:pPr>
            <w:r w:rsidRPr="0009140D">
              <w:t>35</w:t>
            </w:r>
          </w:p>
        </w:tc>
        <w:tc>
          <w:tcPr>
            <w:tcW w:w="966" w:type="pct"/>
            <w:tcBorders>
              <w:top w:val="single" w:sz="4" w:space="0" w:color="auto"/>
              <w:bottom w:val="single" w:sz="4" w:space="0" w:color="auto"/>
            </w:tcBorders>
            <w:shd w:val="clear" w:color="auto" w:fill="auto"/>
            <w:vAlign w:val="bottom"/>
          </w:tcPr>
          <w:p w14:paraId="5DD4A0AC" w14:textId="77777777" w:rsidR="0009140D" w:rsidRPr="0009140D" w:rsidRDefault="0009140D" w:rsidP="0009140D">
            <w:pPr>
              <w:pStyle w:val="Tabletext"/>
            </w:pPr>
            <w:r w:rsidRPr="0009140D">
              <w:t>23</w:t>
            </w:r>
            <w:r w:rsidR="00D7157D">
              <w:t>.</w:t>
            </w:r>
            <w:r w:rsidRPr="0009140D">
              <w:t>6736</w:t>
            </w:r>
          </w:p>
        </w:tc>
        <w:tc>
          <w:tcPr>
            <w:tcW w:w="966" w:type="pct"/>
            <w:tcBorders>
              <w:top w:val="single" w:sz="4" w:space="0" w:color="auto"/>
              <w:bottom w:val="single" w:sz="4" w:space="0" w:color="auto"/>
            </w:tcBorders>
            <w:shd w:val="clear" w:color="auto" w:fill="auto"/>
            <w:vAlign w:val="bottom"/>
          </w:tcPr>
          <w:p w14:paraId="4124CABD" w14:textId="77777777" w:rsidR="0009140D" w:rsidRPr="0009140D" w:rsidRDefault="0009140D" w:rsidP="0009140D">
            <w:pPr>
              <w:pStyle w:val="Tabletext"/>
            </w:pPr>
            <w:r w:rsidRPr="0009140D">
              <w:t>3</w:t>
            </w:r>
            <w:r w:rsidR="00D7157D">
              <w:t>.</w:t>
            </w:r>
            <w:r w:rsidRPr="0009140D">
              <w:t>0927</w:t>
            </w:r>
          </w:p>
        </w:tc>
        <w:tc>
          <w:tcPr>
            <w:tcW w:w="966" w:type="pct"/>
            <w:tcBorders>
              <w:top w:val="single" w:sz="4" w:space="0" w:color="auto"/>
              <w:bottom w:val="single" w:sz="4" w:space="0" w:color="auto"/>
            </w:tcBorders>
            <w:shd w:val="clear" w:color="auto" w:fill="auto"/>
            <w:vAlign w:val="bottom"/>
          </w:tcPr>
          <w:p w14:paraId="3B828FD9" w14:textId="77777777" w:rsidR="0009140D" w:rsidRPr="0009140D" w:rsidRDefault="0009140D" w:rsidP="0009140D">
            <w:pPr>
              <w:pStyle w:val="Tabletext"/>
            </w:pPr>
            <w:r w:rsidRPr="0009140D">
              <w:t>24</w:t>
            </w:r>
            <w:r w:rsidR="00D7157D">
              <w:t>.</w:t>
            </w:r>
            <w:r w:rsidRPr="0009140D">
              <w:t>9501</w:t>
            </w:r>
          </w:p>
        </w:tc>
        <w:tc>
          <w:tcPr>
            <w:tcW w:w="966" w:type="pct"/>
            <w:tcBorders>
              <w:top w:val="single" w:sz="4" w:space="0" w:color="auto"/>
              <w:bottom w:val="single" w:sz="4" w:space="0" w:color="auto"/>
              <w:right w:val="nil"/>
            </w:tcBorders>
            <w:shd w:val="clear" w:color="auto" w:fill="auto"/>
            <w:vAlign w:val="bottom"/>
          </w:tcPr>
          <w:p w14:paraId="1AD553D9" w14:textId="77777777" w:rsidR="0009140D" w:rsidRPr="0009140D" w:rsidRDefault="0009140D" w:rsidP="0009140D">
            <w:pPr>
              <w:pStyle w:val="Tabletext"/>
            </w:pPr>
            <w:r w:rsidRPr="0009140D">
              <w:t>1</w:t>
            </w:r>
            <w:r w:rsidR="00D7157D">
              <w:t>.</w:t>
            </w:r>
            <w:r w:rsidRPr="0009140D">
              <w:t>4819</w:t>
            </w:r>
          </w:p>
        </w:tc>
      </w:tr>
      <w:tr w:rsidR="0009140D" w:rsidRPr="0009140D" w14:paraId="446A8B49" w14:textId="77777777" w:rsidTr="0009140D">
        <w:trPr>
          <w:cantSplit/>
        </w:trPr>
        <w:tc>
          <w:tcPr>
            <w:tcW w:w="1136" w:type="pct"/>
            <w:tcBorders>
              <w:top w:val="single" w:sz="4" w:space="0" w:color="auto"/>
              <w:bottom w:val="single" w:sz="4" w:space="0" w:color="auto"/>
            </w:tcBorders>
          </w:tcPr>
          <w:p w14:paraId="2DEBA7C0" w14:textId="77777777" w:rsidR="0009140D" w:rsidRPr="0009140D" w:rsidRDefault="0009140D" w:rsidP="0009140D">
            <w:pPr>
              <w:pStyle w:val="Tabletext"/>
            </w:pPr>
            <w:r w:rsidRPr="0009140D">
              <w:t>36</w:t>
            </w:r>
          </w:p>
        </w:tc>
        <w:tc>
          <w:tcPr>
            <w:tcW w:w="966" w:type="pct"/>
            <w:tcBorders>
              <w:top w:val="single" w:sz="4" w:space="0" w:color="auto"/>
              <w:bottom w:val="single" w:sz="4" w:space="0" w:color="auto"/>
            </w:tcBorders>
            <w:shd w:val="clear" w:color="auto" w:fill="auto"/>
            <w:vAlign w:val="bottom"/>
          </w:tcPr>
          <w:p w14:paraId="448F49D7" w14:textId="77777777" w:rsidR="0009140D" w:rsidRPr="0009140D" w:rsidRDefault="0009140D" w:rsidP="0009140D">
            <w:pPr>
              <w:pStyle w:val="Tabletext"/>
            </w:pPr>
            <w:r w:rsidRPr="0009140D">
              <w:t>23</w:t>
            </w:r>
            <w:r w:rsidR="00D7157D">
              <w:t>.</w:t>
            </w:r>
            <w:r w:rsidRPr="0009140D">
              <w:t>4092</w:t>
            </w:r>
          </w:p>
        </w:tc>
        <w:tc>
          <w:tcPr>
            <w:tcW w:w="966" w:type="pct"/>
            <w:tcBorders>
              <w:top w:val="single" w:sz="4" w:space="0" w:color="auto"/>
              <w:bottom w:val="single" w:sz="4" w:space="0" w:color="auto"/>
            </w:tcBorders>
            <w:shd w:val="clear" w:color="auto" w:fill="auto"/>
            <w:vAlign w:val="bottom"/>
          </w:tcPr>
          <w:p w14:paraId="481095D2" w14:textId="77777777" w:rsidR="0009140D" w:rsidRPr="0009140D" w:rsidRDefault="0009140D" w:rsidP="0009140D">
            <w:pPr>
              <w:pStyle w:val="Tabletext"/>
            </w:pPr>
            <w:r w:rsidRPr="0009140D">
              <w:t>3</w:t>
            </w:r>
            <w:r w:rsidR="00D7157D">
              <w:t>.</w:t>
            </w:r>
            <w:r w:rsidRPr="0009140D">
              <w:t>1435</w:t>
            </w:r>
          </w:p>
        </w:tc>
        <w:tc>
          <w:tcPr>
            <w:tcW w:w="966" w:type="pct"/>
            <w:tcBorders>
              <w:top w:val="single" w:sz="4" w:space="0" w:color="auto"/>
              <w:bottom w:val="single" w:sz="4" w:space="0" w:color="auto"/>
            </w:tcBorders>
            <w:shd w:val="clear" w:color="auto" w:fill="auto"/>
            <w:vAlign w:val="bottom"/>
          </w:tcPr>
          <w:p w14:paraId="3F507587" w14:textId="77777777" w:rsidR="0009140D" w:rsidRPr="0009140D" w:rsidRDefault="0009140D" w:rsidP="0009140D">
            <w:pPr>
              <w:pStyle w:val="Tabletext"/>
            </w:pPr>
            <w:r w:rsidRPr="0009140D">
              <w:t>24</w:t>
            </w:r>
            <w:r w:rsidR="00D7157D">
              <w:t>.</w:t>
            </w:r>
            <w:r w:rsidRPr="0009140D">
              <w:t>7019</w:t>
            </w:r>
          </w:p>
        </w:tc>
        <w:tc>
          <w:tcPr>
            <w:tcW w:w="966" w:type="pct"/>
            <w:tcBorders>
              <w:top w:val="single" w:sz="4" w:space="0" w:color="auto"/>
              <w:bottom w:val="single" w:sz="4" w:space="0" w:color="auto"/>
              <w:right w:val="nil"/>
            </w:tcBorders>
            <w:shd w:val="clear" w:color="auto" w:fill="auto"/>
            <w:vAlign w:val="bottom"/>
          </w:tcPr>
          <w:p w14:paraId="0CB98686" w14:textId="77777777" w:rsidR="0009140D" w:rsidRPr="0009140D" w:rsidRDefault="0009140D" w:rsidP="0009140D">
            <w:pPr>
              <w:pStyle w:val="Tabletext"/>
            </w:pPr>
            <w:r w:rsidRPr="0009140D">
              <w:t>1</w:t>
            </w:r>
            <w:r w:rsidR="00D7157D">
              <w:t>.</w:t>
            </w:r>
            <w:r w:rsidRPr="0009140D">
              <w:t>5041</w:t>
            </w:r>
          </w:p>
        </w:tc>
      </w:tr>
      <w:tr w:rsidR="0009140D" w:rsidRPr="0009140D" w14:paraId="31DCBDB6" w14:textId="77777777" w:rsidTr="0009140D">
        <w:trPr>
          <w:cantSplit/>
        </w:trPr>
        <w:tc>
          <w:tcPr>
            <w:tcW w:w="1136" w:type="pct"/>
            <w:tcBorders>
              <w:top w:val="single" w:sz="4" w:space="0" w:color="auto"/>
              <w:bottom w:val="single" w:sz="4" w:space="0" w:color="auto"/>
            </w:tcBorders>
          </w:tcPr>
          <w:p w14:paraId="466E49BC" w14:textId="77777777" w:rsidR="0009140D" w:rsidRPr="0009140D" w:rsidRDefault="0009140D" w:rsidP="0009140D">
            <w:pPr>
              <w:pStyle w:val="Tabletext"/>
            </w:pPr>
            <w:r w:rsidRPr="0009140D">
              <w:t>37</w:t>
            </w:r>
          </w:p>
        </w:tc>
        <w:tc>
          <w:tcPr>
            <w:tcW w:w="966" w:type="pct"/>
            <w:tcBorders>
              <w:top w:val="single" w:sz="4" w:space="0" w:color="auto"/>
              <w:bottom w:val="single" w:sz="4" w:space="0" w:color="auto"/>
            </w:tcBorders>
            <w:shd w:val="clear" w:color="auto" w:fill="auto"/>
            <w:vAlign w:val="bottom"/>
          </w:tcPr>
          <w:p w14:paraId="100F7F73" w14:textId="77777777" w:rsidR="0009140D" w:rsidRPr="0009140D" w:rsidRDefault="0009140D" w:rsidP="0009140D">
            <w:pPr>
              <w:pStyle w:val="Tabletext"/>
            </w:pPr>
            <w:r w:rsidRPr="0009140D">
              <w:t>23</w:t>
            </w:r>
            <w:r w:rsidR="00D7157D">
              <w:t>.</w:t>
            </w:r>
            <w:r w:rsidRPr="0009140D">
              <w:t>1388</w:t>
            </w:r>
          </w:p>
        </w:tc>
        <w:tc>
          <w:tcPr>
            <w:tcW w:w="966" w:type="pct"/>
            <w:tcBorders>
              <w:top w:val="single" w:sz="4" w:space="0" w:color="auto"/>
              <w:bottom w:val="single" w:sz="4" w:space="0" w:color="auto"/>
            </w:tcBorders>
            <w:shd w:val="clear" w:color="auto" w:fill="auto"/>
            <w:vAlign w:val="bottom"/>
          </w:tcPr>
          <w:p w14:paraId="3D992390" w14:textId="77777777" w:rsidR="0009140D" w:rsidRPr="0009140D" w:rsidRDefault="0009140D" w:rsidP="0009140D">
            <w:pPr>
              <w:pStyle w:val="Tabletext"/>
            </w:pPr>
            <w:r w:rsidRPr="0009140D">
              <w:t>3</w:t>
            </w:r>
            <w:r w:rsidR="00D7157D">
              <w:t>.</w:t>
            </w:r>
            <w:r w:rsidRPr="0009140D">
              <w:t>1947</w:t>
            </w:r>
          </w:p>
        </w:tc>
        <w:tc>
          <w:tcPr>
            <w:tcW w:w="966" w:type="pct"/>
            <w:tcBorders>
              <w:top w:val="single" w:sz="4" w:space="0" w:color="auto"/>
              <w:bottom w:val="single" w:sz="4" w:space="0" w:color="auto"/>
            </w:tcBorders>
            <w:shd w:val="clear" w:color="auto" w:fill="auto"/>
            <w:vAlign w:val="bottom"/>
          </w:tcPr>
          <w:p w14:paraId="36F61B69" w14:textId="77777777" w:rsidR="0009140D" w:rsidRPr="0009140D" w:rsidRDefault="0009140D" w:rsidP="0009140D">
            <w:pPr>
              <w:pStyle w:val="Tabletext"/>
            </w:pPr>
            <w:r w:rsidRPr="0009140D">
              <w:t>24</w:t>
            </w:r>
            <w:r w:rsidR="00D7157D">
              <w:t>.</w:t>
            </w:r>
            <w:r w:rsidRPr="0009140D">
              <w:t>4476</w:t>
            </w:r>
          </w:p>
        </w:tc>
        <w:tc>
          <w:tcPr>
            <w:tcW w:w="966" w:type="pct"/>
            <w:tcBorders>
              <w:top w:val="single" w:sz="4" w:space="0" w:color="auto"/>
              <w:bottom w:val="single" w:sz="4" w:space="0" w:color="auto"/>
              <w:right w:val="nil"/>
            </w:tcBorders>
            <w:shd w:val="clear" w:color="auto" w:fill="auto"/>
            <w:vAlign w:val="bottom"/>
          </w:tcPr>
          <w:p w14:paraId="1A866BA8" w14:textId="77777777" w:rsidR="0009140D" w:rsidRPr="0009140D" w:rsidRDefault="0009140D" w:rsidP="0009140D">
            <w:pPr>
              <w:pStyle w:val="Tabletext"/>
            </w:pPr>
            <w:r w:rsidRPr="0009140D">
              <w:t>1</w:t>
            </w:r>
            <w:r w:rsidR="00D7157D">
              <w:t>.</w:t>
            </w:r>
            <w:r w:rsidRPr="0009140D">
              <w:t>5265</w:t>
            </w:r>
          </w:p>
        </w:tc>
      </w:tr>
      <w:tr w:rsidR="0009140D" w:rsidRPr="0009140D" w14:paraId="75DFA86F" w14:textId="77777777" w:rsidTr="0009140D">
        <w:trPr>
          <w:cantSplit/>
        </w:trPr>
        <w:tc>
          <w:tcPr>
            <w:tcW w:w="1136" w:type="pct"/>
            <w:tcBorders>
              <w:top w:val="single" w:sz="4" w:space="0" w:color="auto"/>
              <w:bottom w:val="single" w:sz="4" w:space="0" w:color="auto"/>
            </w:tcBorders>
          </w:tcPr>
          <w:p w14:paraId="7C66B300" w14:textId="77777777" w:rsidR="0009140D" w:rsidRPr="0009140D" w:rsidRDefault="0009140D" w:rsidP="0009140D">
            <w:pPr>
              <w:pStyle w:val="Tabletext"/>
            </w:pPr>
            <w:r w:rsidRPr="0009140D">
              <w:t>38</w:t>
            </w:r>
          </w:p>
        </w:tc>
        <w:tc>
          <w:tcPr>
            <w:tcW w:w="966" w:type="pct"/>
            <w:tcBorders>
              <w:top w:val="single" w:sz="4" w:space="0" w:color="auto"/>
              <w:bottom w:val="single" w:sz="4" w:space="0" w:color="auto"/>
            </w:tcBorders>
            <w:shd w:val="clear" w:color="auto" w:fill="auto"/>
            <w:vAlign w:val="bottom"/>
          </w:tcPr>
          <w:p w14:paraId="0AEDF692" w14:textId="77777777" w:rsidR="0009140D" w:rsidRPr="0009140D" w:rsidRDefault="0009140D" w:rsidP="0009140D">
            <w:pPr>
              <w:pStyle w:val="Tabletext"/>
            </w:pPr>
            <w:r w:rsidRPr="0009140D">
              <w:t>22</w:t>
            </w:r>
            <w:r w:rsidR="00D7157D">
              <w:t>.</w:t>
            </w:r>
            <w:r w:rsidRPr="0009140D">
              <w:t>8621</w:t>
            </w:r>
          </w:p>
        </w:tc>
        <w:tc>
          <w:tcPr>
            <w:tcW w:w="966" w:type="pct"/>
            <w:tcBorders>
              <w:top w:val="single" w:sz="4" w:space="0" w:color="auto"/>
              <w:bottom w:val="single" w:sz="4" w:space="0" w:color="auto"/>
            </w:tcBorders>
            <w:shd w:val="clear" w:color="auto" w:fill="auto"/>
            <w:vAlign w:val="bottom"/>
          </w:tcPr>
          <w:p w14:paraId="66190459" w14:textId="77777777" w:rsidR="0009140D" w:rsidRPr="0009140D" w:rsidRDefault="0009140D" w:rsidP="0009140D">
            <w:pPr>
              <w:pStyle w:val="Tabletext"/>
            </w:pPr>
            <w:r w:rsidRPr="0009140D">
              <w:t>3</w:t>
            </w:r>
            <w:r w:rsidR="00D7157D">
              <w:t>.</w:t>
            </w:r>
            <w:r w:rsidRPr="0009140D">
              <w:t>2464</w:t>
            </w:r>
          </w:p>
        </w:tc>
        <w:tc>
          <w:tcPr>
            <w:tcW w:w="966" w:type="pct"/>
            <w:tcBorders>
              <w:top w:val="single" w:sz="4" w:space="0" w:color="auto"/>
              <w:bottom w:val="single" w:sz="4" w:space="0" w:color="auto"/>
            </w:tcBorders>
            <w:shd w:val="clear" w:color="auto" w:fill="auto"/>
            <w:vAlign w:val="bottom"/>
          </w:tcPr>
          <w:p w14:paraId="68C8A4D8" w14:textId="77777777" w:rsidR="0009140D" w:rsidRPr="0009140D" w:rsidRDefault="0009140D" w:rsidP="0009140D">
            <w:pPr>
              <w:pStyle w:val="Tabletext"/>
            </w:pPr>
            <w:r w:rsidRPr="0009140D">
              <w:t>24</w:t>
            </w:r>
            <w:r w:rsidR="00D7157D">
              <w:t>.</w:t>
            </w:r>
            <w:r w:rsidRPr="0009140D">
              <w:t>1872</w:t>
            </w:r>
          </w:p>
        </w:tc>
        <w:tc>
          <w:tcPr>
            <w:tcW w:w="966" w:type="pct"/>
            <w:tcBorders>
              <w:top w:val="single" w:sz="4" w:space="0" w:color="auto"/>
              <w:bottom w:val="single" w:sz="4" w:space="0" w:color="auto"/>
              <w:right w:val="nil"/>
            </w:tcBorders>
            <w:shd w:val="clear" w:color="auto" w:fill="auto"/>
            <w:vAlign w:val="bottom"/>
          </w:tcPr>
          <w:p w14:paraId="7468DC7D" w14:textId="77777777" w:rsidR="0009140D" w:rsidRPr="0009140D" w:rsidRDefault="0009140D" w:rsidP="0009140D">
            <w:pPr>
              <w:pStyle w:val="Tabletext"/>
            </w:pPr>
            <w:r w:rsidRPr="0009140D">
              <w:t>1</w:t>
            </w:r>
            <w:r w:rsidR="00D7157D">
              <w:t>.</w:t>
            </w:r>
            <w:r w:rsidRPr="0009140D">
              <w:t>5488</w:t>
            </w:r>
          </w:p>
        </w:tc>
      </w:tr>
      <w:tr w:rsidR="0009140D" w:rsidRPr="0009140D" w14:paraId="78BC9575" w14:textId="77777777" w:rsidTr="0009140D">
        <w:trPr>
          <w:cantSplit/>
        </w:trPr>
        <w:tc>
          <w:tcPr>
            <w:tcW w:w="1136" w:type="pct"/>
            <w:tcBorders>
              <w:top w:val="single" w:sz="4" w:space="0" w:color="auto"/>
              <w:bottom w:val="single" w:sz="4" w:space="0" w:color="auto"/>
            </w:tcBorders>
          </w:tcPr>
          <w:p w14:paraId="204DA270" w14:textId="77777777" w:rsidR="0009140D" w:rsidRPr="0009140D" w:rsidRDefault="0009140D" w:rsidP="0009140D">
            <w:pPr>
              <w:pStyle w:val="Tabletext"/>
            </w:pPr>
            <w:r w:rsidRPr="0009140D">
              <w:t>39</w:t>
            </w:r>
          </w:p>
        </w:tc>
        <w:tc>
          <w:tcPr>
            <w:tcW w:w="966" w:type="pct"/>
            <w:tcBorders>
              <w:top w:val="single" w:sz="4" w:space="0" w:color="auto"/>
              <w:bottom w:val="single" w:sz="4" w:space="0" w:color="auto"/>
            </w:tcBorders>
            <w:shd w:val="clear" w:color="auto" w:fill="auto"/>
            <w:vAlign w:val="bottom"/>
          </w:tcPr>
          <w:p w14:paraId="5D5D5CC1" w14:textId="77777777" w:rsidR="0009140D" w:rsidRPr="0009140D" w:rsidRDefault="0009140D" w:rsidP="0009140D">
            <w:pPr>
              <w:pStyle w:val="Tabletext"/>
            </w:pPr>
            <w:r w:rsidRPr="0009140D">
              <w:t>22</w:t>
            </w:r>
            <w:r w:rsidR="00D7157D">
              <w:t>.</w:t>
            </w:r>
            <w:r w:rsidRPr="0009140D">
              <w:t>5791</w:t>
            </w:r>
          </w:p>
        </w:tc>
        <w:tc>
          <w:tcPr>
            <w:tcW w:w="966" w:type="pct"/>
            <w:tcBorders>
              <w:top w:val="single" w:sz="4" w:space="0" w:color="auto"/>
              <w:bottom w:val="single" w:sz="4" w:space="0" w:color="auto"/>
            </w:tcBorders>
            <w:shd w:val="clear" w:color="auto" w:fill="auto"/>
            <w:vAlign w:val="bottom"/>
          </w:tcPr>
          <w:p w14:paraId="61BC4F8C" w14:textId="77777777" w:rsidR="0009140D" w:rsidRPr="0009140D" w:rsidRDefault="0009140D" w:rsidP="0009140D">
            <w:pPr>
              <w:pStyle w:val="Tabletext"/>
            </w:pPr>
            <w:r w:rsidRPr="0009140D">
              <w:t>3</w:t>
            </w:r>
            <w:r w:rsidR="00D7157D">
              <w:t>.</w:t>
            </w:r>
            <w:r w:rsidRPr="0009140D">
              <w:t>2984</w:t>
            </w:r>
          </w:p>
        </w:tc>
        <w:tc>
          <w:tcPr>
            <w:tcW w:w="966" w:type="pct"/>
            <w:tcBorders>
              <w:top w:val="single" w:sz="4" w:space="0" w:color="auto"/>
              <w:bottom w:val="single" w:sz="4" w:space="0" w:color="auto"/>
            </w:tcBorders>
            <w:shd w:val="clear" w:color="auto" w:fill="auto"/>
            <w:vAlign w:val="bottom"/>
          </w:tcPr>
          <w:p w14:paraId="10449C3B" w14:textId="77777777" w:rsidR="0009140D" w:rsidRPr="0009140D" w:rsidRDefault="0009140D" w:rsidP="0009140D">
            <w:pPr>
              <w:pStyle w:val="Tabletext"/>
            </w:pPr>
            <w:r w:rsidRPr="0009140D">
              <w:t>23</w:t>
            </w:r>
            <w:r w:rsidR="00D7157D">
              <w:t>.</w:t>
            </w:r>
            <w:r w:rsidRPr="0009140D">
              <w:t>9205</w:t>
            </w:r>
          </w:p>
        </w:tc>
        <w:tc>
          <w:tcPr>
            <w:tcW w:w="966" w:type="pct"/>
            <w:tcBorders>
              <w:top w:val="single" w:sz="4" w:space="0" w:color="auto"/>
              <w:bottom w:val="single" w:sz="4" w:space="0" w:color="auto"/>
              <w:right w:val="nil"/>
            </w:tcBorders>
            <w:shd w:val="clear" w:color="auto" w:fill="auto"/>
            <w:vAlign w:val="bottom"/>
          </w:tcPr>
          <w:p w14:paraId="332A4C44" w14:textId="77777777" w:rsidR="0009140D" w:rsidRPr="0009140D" w:rsidRDefault="0009140D" w:rsidP="0009140D">
            <w:pPr>
              <w:pStyle w:val="Tabletext"/>
            </w:pPr>
            <w:r w:rsidRPr="0009140D">
              <w:t>1</w:t>
            </w:r>
            <w:r w:rsidR="00D7157D">
              <w:t>.</w:t>
            </w:r>
            <w:r w:rsidRPr="0009140D">
              <w:t>5712</w:t>
            </w:r>
          </w:p>
        </w:tc>
      </w:tr>
      <w:tr w:rsidR="0009140D" w:rsidRPr="0009140D" w14:paraId="79DFD748" w14:textId="77777777" w:rsidTr="0009140D">
        <w:trPr>
          <w:cantSplit/>
        </w:trPr>
        <w:tc>
          <w:tcPr>
            <w:tcW w:w="1136" w:type="pct"/>
            <w:tcBorders>
              <w:top w:val="single" w:sz="4" w:space="0" w:color="auto"/>
              <w:bottom w:val="single" w:sz="4" w:space="0" w:color="auto"/>
            </w:tcBorders>
          </w:tcPr>
          <w:p w14:paraId="75BE91A7" w14:textId="77777777" w:rsidR="0009140D" w:rsidRPr="0009140D" w:rsidRDefault="0009140D" w:rsidP="0009140D">
            <w:pPr>
              <w:pStyle w:val="Tabletext"/>
            </w:pPr>
            <w:r w:rsidRPr="0009140D">
              <w:t>40</w:t>
            </w:r>
          </w:p>
        </w:tc>
        <w:tc>
          <w:tcPr>
            <w:tcW w:w="966" w:type="pct"/>
            <w:tcBorders>
              <w:top w:val="single" w:sz="4" w:space="0" w:color="auto"/>
              <w:bottom w:val="single" w:sz="4" w:space="0" w:color="auto"/>
            </w:tcBorders>
            <w:shd w:val="clear" w:color="auto" w:fill="auto"/>
            <w:vAlign w:val="bottom"/>
          </w:tcPr>
          <w:p w14:paraId="2AE6A017" w14:textId="77777777" w:rsidR="0009140D" w:rsidRPr="0009140D" w:rsidRDefault="0009140D" w:rsidP="0009140D">
            <w:pPr>
              <w:pStyle w:val="Tabletext"/>
            </w:pPr>
            <w:r w:rsidRPr="0009140D">
              <w:t>22</w:t>
            </w:r>
            <w:r w:rsidR="00D7157D">
              <w:t>.</w:t>
            </w:r>
            <w:r w:rsidRPr="0009140D">
              <w:t>2898</w:t>
            </w:r>
          </w:p>
        </w:tc>
        <w:tc>
          <w:tcPr>
            <w:tcW w:w="966" w:type="pct"/>
            <w:tcBorders>
              <w:top w:val="single" w:sz="4" w:space="0" w:color="auto"/>
              <w:bottom w:val="single" w:sz="4" w:space="0" w:color="auto"/>
            </w:tcBorders>
            <w:shd w:val="clear" w:color="auto" w:fill="auto"/>
            <w:vAlign w:val="bottom"/>
          </w:tcPr>
          <w:p w14:paraId="6C9865E6" w14:textId="77777777" w:rsidR="0009140D" w:rsidRPr="0009140D" w:rsidRDefault="0009140D" w:rsidP="0009140D">
            <w:pPr>
              <w:pStyle w:val="Tabletext"/>
            </w:pPr>
            <w:r w:rsidRPr="0009140D">
              <w:t>3</w:t>
            </w:r>
            <w:r w:rsidR="00D7157D">
              <w:t>.</w:t>
            </w:r>
            <w:r w:rsidRPr="0009140D">
              <w:t>3508</w:t>
            </w:r>
          </w:p>
        </w:tc>
        <w:tc>
          <w:tcPr>
            <w:tcW w:w="966" w:type="pct"/>
            <w:tcBorders>
              <w:top w:val="single" w:sz="4" w:space="0" w:color="auto"/>
              <w:bottom w:val="single" w:sz="4" w:space="0" w:color="auto"/>
            </w:tcBorders>
            <w:shd w:val="clear" w:color="auto" w:fill="auto"/>
            <w:vAlign w:val="bottom"/>
          </w:tcPr>
          <w:p w14:paraId="2D8A16B3" w14:textId="77777777" w:rsidR="0009140D" w:rsidRPr="0009140D" w:rsidRDefault="0009140D" w:rsidP="0009140D">
            <w:pPr>
              <w:pStyle w:val="Tabletext"/>
            </w:pPr>
            <w:r w:rsidRPr="0009140D">
              <w:t>23</w:t>
            </w:r>
            <w:r w:rsidR="00D7157D">
              <w:t>.</w:t>
            </w:r>
            <w:r w:rsidRPr="0009140D">
              <w:t>6473</w:t>
            </w:r>
          </w:p>
        </w:tc>
        <w:tc>
          <w:tcPr>
            <w:tcW w:w="966" w:type="pct"/>
            <w:tcBorders>
              <w:top w:val="single" w:sz="4" w:space="0" w:color="auto"/>
              <w:bottom w:val="single" w:sz="4" w:space="0" w:color="auto"/>
              <w:right w:val="nil"/>
            </w:tcBorders>
            <w:shd w:val="clear" w:color="auto" w:fill="auto"/>
            <w:vAlign w:val="bottom"/>
          </w:tcPr>
          <w:p w14:paraId="2595AB78" w14:textId="77777777" w:rsidR="0009140D" w:rsidRPr="0009140D" w:rsidRDefault="0009140D" w:rsidP="0009140D">
            <w:pPr>
              <w:pStyle w:val="Tabletext"/>
            </w:pPr>
            <w:r w:rsidRPr="0009140D">
              <w:t>1</w:t>
            </w:r>
            <w:r w:rsidR="00D7157D">
              <w:t>.</w:t>
            </w:r>
            <w:r w:rsidRPr="0009140D">
              <w:t>5938</w:t>
            </w:r>
          </w:p>
        </w:tc>
      </w:tr>
      <w:tr w:rsidR="0009140D" w:rsidRPr="0009140D" w14:paraId="7B0FF25E" w14:textId="77777777" w:rsidTr="0009140D">
        <w:trPr>
          <w:cantSplit/>
        </w:trPr>
        <w:tc>
          <w:tcPr>
            <w:tcW w:w="1136" w:type="pct"/>
            <w:tcBorders>
              <w:top w:val="single" w:sz="4" w:space="0" w:color="auto"/>
              <w:bottom w:val="single" w:sz="4" w:space="0" w:color="auto"/>
            </w:tcBorders>
          </w:tcPr>
          <w:p w14:paraId="1B52EA4E" w14:textId="77777777" w:rsidR="0009140D" w:rsidRPr="0009140D" w:rsidRDefault="0009140D" w:rsidP="0009140D">
            <w:pPr>
              <w:pStyle w:val="Tabletext"/>
            </w:pPr>
            <w:r w:rsidRPr="0009140D">
              <w:t>41</w:t>
            </w:r>
          </w:p>
        </w:tc>
        <w:tc>
          <w:tcPr>
            <w:tcW w:w="966" w:type="pct"/>
            <w:tcBorders>
              <w:top w:val="single" w:sz="4" w:space="0" w:color="auto"/>
              <w:bottom w:val="single" w:sz="4" w:space="0" w:color="auto"/>
            </w:tcBorders>
            <w:shd w:val="clear" w:color="auto" w:fill="auto"/>
            <w:vAlign w:val="bottom"/>
          </w:tcPr>
          <w:p w14:paraId="56F383A2" w14:textId="77777777" w:rsidR="0009140D" w:rsidRPr="0009140D" w:rsidRDefault="0009140D" w:rsidP="0009140D">
            <w:pPr>
              <w:pStyle w:val="Tabletext"/>
            </w:pPr>
            <w:r w:rsidRPr="0009140D">
              <w:t>21</w:t>
            </w:r>
            <w:r w:rsidR="00D7157D">
              <w:t>.</w:t>
            </w:r>
            <w:r w:rsidRPr="0009140D">
              <w:t>9941</w:t>
            </w:r>
          </w:p>
        </w:tc>
        <w:tc>
          <w:tcPr>
            <w:tcW w:w="966" w:type="pct"/>
            <w:tcBorders>
              <w:top w:val="single" w:sz="4" w:space="0" w:color="auto"/>
              <w:bottom w:val="single" w:sz="4" w:space="0" w:color="auto"/>
            </w:tcBorders>
            <w:shd w:val="clear" w:color="auto" w:fill="auto"/>
            <w:vAlign w:val="bottom"/>
          </w:tcPr>
          <w:p w14:paraId="570DBAC3" w14:textId="77777777" w:rsidR="0009140D" w:rsidRPr="0009140D" w:rsidRDefault="0009140D" w:rsidP="0009140D">
            <w:pPr>
              <w:pStyle w:val="Tabletext"/>
            </w:pPr>
            <w:r w:rsidRPr="0009140D">
              <w:t>3</w:t>
            </w:r>
            <w:r w:rsidR="00D7157D">
              <w:t>.</w:t>
            </w:r>
            <w:r w:rsidRPr="0009140D">
              <w:t>2900</w:t>
            </w:r>
          </w:p>
        </w:tc>
        <w:tc>
          <w:tcPr>
            <w:tcW w:w="966" w:type="pct"/>
            <w:tcBorders>
              <w:top w:val="single" w:sz="4" w:space="0" w:color="auto"/>
              <w:bottom w:val="single" w:sz="4" w:space="0" w:color="auto"/>
            </w:tcBorders>
            <w:shd w:val="clear" w:color="auto" w:fill="auto"/>
            <w:vAlign w:val="bottom"/>
          </w:tcPr>
          <w:p w14:paraId="44C2ADAC" w14:textId="77777777" w:rsidR="0009140D" w:rsidRPr="0009140D" w:rsidRDefault="0009140D" w:rsidP="0009140D">
            <w:pPr>
              <w:pStyle w:val="Tabletext"/>
            </w:pPr>
            <w:r w:rsidRPr="0009140D">
              <w:t>23</w:t>
            </w:r>
            <w:r w:rsidR="00D7157D">
              <w:t>.</w:t>
            </w:r>
            <w:r w:rsidRPr="0009140D">
              <w:t>3674</w:t>
            </w:r>
          </w:p>
        </w:tc>
        <w:tc>
          <w:tcPr>
            <w:tcW w:w="966" w:type="pct"/>
            <w:tcBorders>
              <w:top w:val="single" w:sz="4" w:space="0" w:color="auto"/>
              <w:bottom w:val="single" w:sz="4" w:space="0" w:color="auto"/>
              <w:right w:val="nil"/>
            </w:tcBorders>
            <w:shd w:val="clear" w:color="auto" w:fill="auto"/>
            <w:vAlign w:val="bottom"/>
          </w:tcPr>
          <w:p w14:paraId="7B8D695C" w14:textId="77777777" w:rsidR="0009140D" w:rsidRPr="0009140D" w:rsidRDefault="0009140D" w:rsidP="0009140D">
            <w:pPr>
              <w:pStyle w:val="Tabletext"/>
            </w:pPr>
            <w:r w:rsidRPr="0009140D">
              <w:t>1</w:t>
            </w:r>
            <w:r w:rsidR="00D7157D">
              <w:t>.</w:t>
            </w:r>
            <w:r w:rsidRPr="0009140D">
              <w:t>5193</w:t>
            </w:r>
          </w:p>
        </w:tc>
      </w:tr>
      <w:tr w:rsidR="0009140D" w:rsidRPr="0009140D" w14:paraId="747AD7BD" w14:textId="77777777" w:rsidTr="0009140D">
        <w:trPr>
          <w:cantSplit/>
        </w:trPr>
        <w:tc>
          <w:tcPr>
            <w:tcW w:w="1136" w:type="pct"/>
            <w:tcBorders>
              <w:top w:val="single" w:sz="4" w:space="0" w:color="auto"/>
              <w:bottom w:val="single" w:sz="4" w:space="0" w:color="auto"/>
            </w:tcBorders>
          </w:tcPr>
          <w:p w14:paraId="2DD1FB68" w14:textId="77777777" w:rsidR="0009140D" w:rsidRPr="0009140D" w:rsidRDefault="0009140D" w:rsidP="0009140D">
            <w:pPr>
              <w:pStyle w:val="Tabletext"/>
            </w:pPr>
            <w:r w:rsidRPr="0009140D">
              <w:t>42</w:t>
            </w:r>
          </w:p>
        </w:tc>
        <w:tc>
          <w:tcPr>
            <w:tcW w:w="966" w:type="pct"/>
            <w:tcBorders>
              <w:top w:val="single" w:sz="4" w:space="0" w:color="auto"/>
              <w:bottom w:val="single" w:sz="4" w:space="0" w:color="auto"/>
            </w:tcBorders>
            <w:shd w:val="clear" w:color="auto" w:fill="auto"/>
            <w:vAlign w:val="bottom"/>
          </w:tcPr>
          <w:p w14:paraId="6BA696FA" w14:textId="77777777" w:rsidR="0009140D" w:rsidRPr="0009140D" w:rsidRDefault="0009140D" w:rsidP="0009140D">
            <w:pPr>
              <w:pStyle w:val="Tabletext"/>
            </w:pPr>
            <w:r w:rsidRPr="0009140D">
              <w:t>21</w:t>
            </w:r>
            <w:r w:rsidR="00D7157D">
              <w:t>.</w:t>
            </w:r>
            <w:r w:rsidRPr="0009140D">
              <w:t>6920</w:t>
            </w:r>
          </w:p>
        </w:tc>
        <w:tc>
          <w:tcPr>
            <w:tcW w:w="966" w:type="pct"/>
            <w:tcBorders>
              <w:top w:val="single" w:sz="4" w:space="0" w:color="auto"/>
              <w:bottom w:val="single" w:sz="4" w:space="0" w:color="auto"/>
            </w:tcBorders>
            <w:shd w:val="clear" w:color="auto" w:fill="auto"/>
            <w:vAlign w:val="bottom"/>
          </w:tcPr>
          <w:p w14:paraId="70FAD89F" w14:textId="77777777" w:rsidR="0009140D" w:rsidRPr="0009140D" w:rsidRDefault="0009140D" w:rsidP="0009140D">
            <w:pPr>
              <w:pStyle w:val="Tabletext"/>
            </w:pPr>
            <w:r w:rsidRPr="0009140D">
              <w:t>3</w:t>
            </w:r>
            <w:r w:rsidR="00D7157D">
              <w:t>.</w:t>
            </w:r>
            <w:r w:rsidRPr="0009140D">
              <w:t>2258</w:t>
            </w:r>
          </w:p>
        </w:tc>
        <w:tc>
          <w:tcPr>
            <w:tcW w:w="966" w:type="pct"/>
            <w:tcBorders>
              <w:top w:val="single" w:sz="4" w:space="0" w:color="auto"/>
              <w:bottom w:val="single" w:sz="4" w:space="0" w:color="auto"/>
            </w:tcBorders>
            <w:shd w:val="clear" w:color="auto" w:fill="auto"/>
            <w:vAlign w:val="bottom"/>
          </w:tcPr>
          <w:p w14:paraId="625549DD" w14:textId="77777777" w:rsidR="0009140D" w:rsidRPr="0009140D" w:rsidRDefault="0009140D" w:rsidP="0009140D">
            <w:pPr>
              <w:pStyle w:val="Tabletext"/>
            </w:pPr>
            <w:r w:rsidRPr="0009140D">
              <w:t>23</w:t>
            </w:r>
            <w:r w:rsidR="00D7157D">
              <w:t>.</w:t>
            </w:r>
            <w:r w:rsidRPr="0009140D">
              <w:t>0810</w:t>
            </w:r>
          </w:p>
        </w:tc>
        <w:tc>
          <w:tcPr>
            <w:tcW w:w="966" w:type="pct"/>
            <w:tcBorders>
              <w:top w:val="single" w:sz="4" w:space="0" w:color="auto"/>
              <w:bottom w:val="single" w:sz="4" w:space="0" w:color="auto"/>
              <w:right w:val="nil"/>
            </w:tcBorders>
            <w:shd w:val="clear" w:color="auto" w:fill="auto"/>
            <w:vAlign w:val="bottom"/>
          </w:tcPr>
          <w:p w14:paraId="7CFF9818" w14:textId="77777777" w:rsidR="0009140D" w:rsidRPr="0009140D" w:rsidRDefault="0009140D" w:rsidP="0009140D">
            <w:pPr>
              <w:pStyle w:val="Tabletext"/>
            </w:pPr>
            <w:r w:rsidRPr="0009140D">
              <w:t>1</w:t>
            </w:r>
            <w:r w:rsidR="00D7157D">
              <w:t>.</w:t>
            </w:r>
            <w:r w:rsidRPr="0009140D">
              <w:t>4421</w:t>
            </w:r>
          </w:p>
        </w:tc>
      </w:tr>
      <w:tr w:rsidR="0009140D" w:rsidRPr="0009140D" w14:paraId="47FADA88" w14:textId="77777777" w:rsidTr="0009140D">
        <w:trPr>
          <w:cantSplit/>
        </w:trPr>
        <w:tc>
          <w:tcPr>
            <w:tcW w:w="1136" w:type="pct"/>
            <w:tcBorders>
              <w:top w:val="single" w:sz="4" w:space="0" w:color="auto"/>
              <w:bottom w:val="single" w:sz="4" w:space="0" w:color="auto"/>
            </w:tcBorders>
          </w:tcPr>
          <w:p w14:paraId="27B353CA" w14:textId="77777777" w:rsidR="0009140D" w:rsidRPr="0009140D" w:rsidRDefault="0009140D" w:rsidP="0009140D">
            <w:pPr>
              <w:pStyle w:val="Tabletext"/>
            </w:pPr>
            <w:r w:rsidRPr="0009140D">
              <w:t>43</w:t>
            </w:r>
          </w:p>
        </w:tc>
        <w:tc>
          <w:tcPr>
            <w:tcW w:w="966" w:type="pct"/>
            <w:tcBorders>
              <w:top w:val="single" w:sz="4" w:space="0" w:color="auto"/>
              <w:bottom w:val="single" w:sz="4" w:space="0" w:color="auto"/>
            </w:tcBorders>
            <w:shd w:val="clear" w:color="auto" w:fill="auto"/>
            <w:vAlign w:val="bottom"/>
          </w:tcPr>
          <w:p w14:paraId="25A2360A" w14:textId="77777777" w:rsidR="0009140D" w:rsidRPr="0009140D" w:rsidRDefault="0009140D" w:rsidP="0009140D">
            <w:pPr>
              <w:pStyle w:val="Tabletext"/>
            </w:pPr>
            <w:r w:rsidRPr="0009140D">
              <w:t>21</w:t>
            </w:r>
            <w:r w:rsidR="00D7157D">
              <w:t>.</w:t>
            </w:r>
            <w:r w:rsidRPr="0009140D">
              <w:t>3831</w:t>
            </w:r>
          </w:p>
        </w:tc>
        <w:tc>
          <w:tcPr>
            <w:tcW w:w="966" w:type="pct"/>
            <w:tcBorders>
              <w:top w:val="single" w:sz="4" w:space="0" w:color="auto"/>
              <w:bottom w:val="single" w:sz="4" w:space="0" w:color="auto"/>
            </w:tcBorders>
            <w:shd w:val="clear" w:color="auto" w:fill="auto"/>
            <w:vAlign w:val="bottom"/>
          </w:tcPr>
          <w:p w14:paraId="5AFFE650" w14:textId="77777777" w:rsidR="0009140D" w:rsidRPr="0009140D" w:rsidRDefault="0009140D" w:rsidP="0009140D">
            <w:pPr>
              <w:pStyle w:val="Tabletext"/>
            </w:pPr>
            <w:r w:rsidRPr="0009140D">
              <w:t>3</w:t>
            </w:r>
            <w:r w:rsidR="00D7157D">
              <w:t>.</w:t>
            </w:r>
            <w:r w:rsidRPr="0009140D">
              <w:t>1584</w:t>
            </w:r>
          </w:p>
        </w:tc>
        <w:tc>
          <w:tcPr>
            <w:tcW w:w="966" w:type="pct"/>
            <w:tcBorders>
              <w:top w:val="single" w:sz="4" w:space="0" w:color="auto"/>
              <w:bottom w:val="single" w:sz="4" w:space="0" w:color="auto"/>
            </w:tcBorders>
            <w:shd w:val="clear" w:color="auto" w:fill="auto"/>
            <w:vAlign w:val="bottom"/>
          </w:tcPr>
          <w:p w14:paraId="26336C3F" w14:textId="77777777" w:rsidR="0009140D" w:rsidRPr="0009140D" w:rsidRDefault="0009140D" w:rsidP="0009140D">
            <w:pPr>
              <w:pStyle w:val="Tabletext"/>
            </w:pPr>
            <w:r w:rsidRPr="0009140D">
              <w:t>22</w:t>
            </w:r>
            <w:r w:rsidR="00D7157D">
              <w:t>.</w:t>
            </w:r>
            <w:r w:rsidRPr="0009140D">
              <w:t>7877</w:t>
            </w:r>
          </w:p>
        </w:tc>
        <w:tc>
          <w:tcPr>
            <w:tcW w:w="966" w:type="pct"/>
            <w:tcBorders>
              <w:top w:val="single" w:sz="4" w:space="0" w:color="auto"/>
              <w:bottom w:val="single" w:sz="4" w:space="0" w:color="auto"/>
              <w:right w:val="nil"/>
            </w:tcBorders>
            <w:shd w:val="clear" w:color="auto" w:fill="auto"/>
            <w:vAlign w:val="bottom"/>
          </w:tcPr>
          <w:p w14:paraId="1DCC76EB" w14:textId="77777777" w:rsidR="0009140D" w:rsidRPr="0009140D" w:rsidRDefault="0009140D" w:rsidP="0009140D">
            <w:pPr>
              <w:pStyle w:val="Tabletext"/>
            </w:pPr>
            <w:r w:rsidRPr="0009140D">
              <w:t>1</w:t>
            </w:r>
            <w:r w:rsidR="00D7157D">
              <w:t>.</w:t>
            </w:r>
            <w:r w:rsidRPr="0009140D">
              <w:t>3621</w:t>
            </w:r>
          </w:p>
        </w:tc>
      </w:tr>
      <w:tr w:rsidR="0009140D" w:rsidRPr="0009140D" w14:paraId="35AB6A18" w14:textId="77777777" w:rsidTr="0009140D">
        <w:trPr>
          <w:cantSplit/>
        </w:trPr>
        <w:tc>
          <w:tcPr>
            <w:tcW w:w="1136" w:type="pct"/>
            <w:tcBorders>
              <w:top w:val="single" w:sz="4" w:space="0" w:color="auto"/>
              <w:bottom w:val="single" w:sz="4" w:space="0" w:color="auto"/>
            </w:tcBorders>
          </w:tcPr>
          <w:p w14:paraId="7D9E5FFB" w14:textId="77777777" w:rsidR="0009140D" w:rsidRPr="0009140D" w:rsidRDefault="0009140D" w:rsidP="0009140D">
            <w:pPr>
              <w:pStyle w:val="Tabletext"/>
            </w:pPr>
            <w:r w:rsidRPr="0009140D">
              <w:t>44</w:t>
            </w:r>
          </w:p>
        </w:tc>
        <w:tc>
          <w:tcPr>
            <w:tcW w:w="966" w:type="pct"/>
            <w:tcBorders>
              <w:top w:val="single" w:sz="4" w:space="0" w:color="auto"/>
              <w:bottom w:val="single" w:sz="4" w:space="0" w:color="auto"/>
            </w:tcBorders>
            <w:shd w:val="clear" w:color="auto" w:fill="auto"/>
            <w:vAlign w:val="bottom"/>
          </w:tcPr>
          <w:p w14:paraId="3FD51273" w14:textId="77777777" w:rsidR="0009140D" w:rsidRPr="0009140D" w:rsidRDefault="0009140D" w:rsidP="0009140D">
            <w:pPr>
              <w:pStyle w:val="Tabletext"/>
            </w:pPr>
            <w:r w:rsidRPr="0009140D">
              <w:t>21</w:t>
            </w:r>
            <w:r w:rsidR="00D7157D">
              <w:t>.</w:t>
            </w:r>
            <w:r w:rsidRPr="0009140D">
              <w:t>0679</w:t>
            </w:r>
          </w:p>
        </w:tc>
        <w:tc>
          <w:tcPr>
            <w:tcW w:w="966" w:type="pct"/>
            <w:tcBorders>
              <w:top w:val="single" w:sz="4" w:space="0" w:color="auto"/>
              <w:bottom w:val="single" w:sz="4" w:space="0" w:color="auto"/>
            </w:tcBorders>
            <w:shd w:val="clear" w:color="auto" w:fill="auto"/>
            <w:vAlign w:val="bottom"/>
          </w:tcPr>
          <w:p w14:paraId="6C319FC4" w14:textId="77777777" w:rsidR="0009140D" w:rsidRPr="0009140D" w:rsidRDefault="0009140D" w:rsidP="0009140D">
            <w:pPr>
              <w:pStyle w:val="Tabletext"/>
            </w:pPr>
            <w:r w:rsidRPr="0009140D">
              <w:t>3</w:t>
            </w:r>
            <w:r w:rsidR="00D7157D">
              <w:t>.</w:t>
            </w:r>
            <w:r w:rsidRPr="0009140D">
              <w:t>0873</w:t>
            </w:r>
          </w:p>
        </w:tc>
        <w:tc>
          <w:tcPr>
            <w:tcW w:w="966" w:type="pct"/>
            <w:tcBorders>
              <w:top w:val="single" w:sz="4" w:space="0" w:color="auto"/>
              <w:bottom w:val="single" w:sz="4" w:space="0" w:color="auto"/>
            </w:tcBorders>
            <w:shd w:val="clear" w:color="auto" w:fill="auto"/>
            <w:vAlign w:val="bottom"/>
          </w:tcPr>
          <w:p w14:paraId="46CB01D0" w14:textId="77777777" w:rsidR="0009140D" w:rsidRPr="0009140D" w:rsidRDefault="0009140D" w:rsidP="0009140D">
            <w:pPr>
              <w:pStyle w:val="Tabletext"/>
            </w:pPr>
            <w:r w:rsidRPr="0009140D">
              <w:t>22</w:t>
            </w:r>
            <w:r w:rsidR="00D7157D">
              <w:t>.</w:t>
            </w:r>
            <w:r w:rsidRPr="0009140D">
              <w:t>4876</w:t>
            </w:r>
          </w:p>
        </w:tc>
        <w:tc>
          <w:tcPr>
            <w:tcW w:w="966" w:type="pct"/>
            <w:tcBorders>
              <w:top w:val="single" w:sz="4" w:space="0" w:color="auto"/>
              <w:bottom w:val="single" w:sz="4" w:space="0" w:color="auto"/>
              <w:right w:val="nil"/>
            </w:tcBorders>
            <w:shd w:val="clear" w:color="auto" w:fill="auto"/>
            <w:vAlign w:val="bottom"/>
          </w:tcPr>
          <w:p w14:paraId="751159B5" w14:textId="77777777" w:rsidR="0009140D" w:rsidRPr="0009140D" w:rsidRDefault="0009140D" w:rsidP="0009140D">
            <w:pPr>
              <w:pStyle w:val="Tabletext"/>
            </w:pPr>
            <w:r w:rsidRPr="0009140D">
              <w:t>1</w:t>
            </w:r>
            <w:r w:rsidR="00D7157D">
              <w:t>.</w:t>
            </w:r>
            <w:r w:rsidRPr="0009140D">
              <w:t>2794</w:t>
            </w:r>
          </w:p>
        </w:tc>
      </w:tr>
      <w:tr w:rsidR="0009140D" w:rsidRPr="0009140D" w14:paraId="11ED3397" w14:textId="77777777" w:rsidTr="0009140D">
        <w:trPr>
          <w:cantSplit/>
        </w:trPr>
        <w:tc>
          <w:tcPr>
            <w:tcW w:w="1136" w:type="pct"/>
            <w:tcBorders>
              <w:top w:val="single" w:sz="4" w:space="0" w:color="auto"/>
              <w:bottom w:val="single" w:sz="4" w:space="0" w:color="auto"/>
            </w:tcBorders>
          </w:tcPr>
          <w:p w14:paraId="0C11DF95" w14:textId="77777777" w:rsidR="0009140D" w:rsidRPr="0009140D" w:rsidRDefault="0009140D" w:rsidP="0009140D">
            <w:pPr>
              <w:pStyle w:val="Tabletext"/>
            </w:pPr>
            <w:r w:rsidRPr="0009140D">
              <w:t>45</w:t>
            </w:r>
          </w:p>
        </w:tc>
        <w:tc>
          <w:tcPr>
            <w:tcW w:w="966" w:type="pct"/>
            <w:tcBorders>
              <w:top w:val="single" w:sz="4" w:space="0" w:color="auto"/>
              <w:bottom w:val="single" w:sz="4" w:space="0" w:color="auto"/>
            </w:tcBorders>
            <w:shd w:val="clear" w:color="auto" w:fill="auto"/>
            <w:vAlign w:val="bottom"/>
          </w:tcPr>
          <w:p w14:paraId="24BB07D6" w14:textId="77777777" w:rsidR="0009140D" w:rsidRPr="0009140D" w:rsidRDefault="0009140D" w:rsidP="0009140D">
            <w:pPr>
              <w:pStyle w:val="Tabletext"/>
            </w:pPr>
            <w:r w:rsidRPr="0009140D">
              <w:t>20</w:t>
            </w:r>
            <w:r w:rsidR="00D7157D">
              <w:t>.</w:t>
            </w:r>
            <w:r w:rsidRPr="0009140D">
              <w:t>7459</w:t>
            </w:r>
          </w:p>
        </w:tc>
        <w:tc>
          <w:tcPr>
            <w:tcW w:w="966" w:type="pct"/>
            <w:tcBorders>
              <w:top w:val="single" w:sz="4" w:space="0" w:color="auto"/>
              <w:bottom w:val="single" w:sz="4" w:space="0" w:color="auto"/>
            </w:tcBorders>
            <w:shd w:val="clear" w:color="auto" w:fill="auto"/>
            <w:vAlign w:val="bottom"/>
          </w:tcPr>
          <w:p w14:paraId="362852C4" w14:textId="77777777" w:rsidR="0009140D" w:rsidRPr="0009140D" w:rsidRDefault="0009140D" w:rsidP="0009140D">
            <w:pPr>
              <w:pStyle w:val="Tabletext"/>
            </w:pPr>
            <w:r w:rsidRPr="0009140D">
              <w:t>3</w:t>
            </w:r>
            <w:r w:rsidR="00D7157D">
              <w:t>.</w:t>
            </w:r>
            <w:r w:rsidRPr="0009140D">
              <w:t>0128</w:t>
            </w:r>
          </w:p>
        </w:tc>
        <w:tc>
          <w:tcPr>
            <w:tcW w:w="966" w:type="pct"/>
            <w:tcBorders>
              <w:top w:val="single" w:sz="4" w:space="0" w:color="auto"/>
              <w:bottom w:val="single" w:sz="4" w:space="0" w:color="auto"/>
            </w:tcBorders>
            <w:shd w:val="clear" w:color="auto" w:fill="auto"/>
            <w:vAlign w:val="bottom"/>
          </w:tcPr>
          <w:p w14:paraId="43FC019E" w14:textId="77777777" w:rsidR="0009140D" w:rsidRPr="0009140D" w:rsidRDefault="0009140D" w:rsidP="0009140D">
            <w:pPr>
              <w:pStyle w:val="Tabletext"/>
            </w:pPr>
            <w:r w:rsidRPr="0009140D">
              <w:t>22</w:t>
            </w:r>
            <w:r w:rsidR="00D7157D">
              <w:t>.</w:t>
            </w:r>
            <w:r w:rsidRPr="0009140D">
              <w:t>1806</w:t>
            </w:r>
          </w:p>
        </w:tc>
        <w:tc>
          <w:tcPr>
            <w:tcW w:w="966" w:type="pct"/>
            <w:tcBorders>
              <w:top w:val="single" w:sz="4" w:space="0" w:color="auto"/>
              <w:bottom w:val="single" w:sz="4" w:space="0" w:color="auto"/>
              <w:right w:val="nil"/>
            </w:tcBorders>
            <w:shd w:val="clear" w:color="auto" w:fill="auto"/>
            <w:vAlign w:val="bottom"/>
          </w:tcPr>
          <w:p w14:paraId="35D6F120" w14:textId="77777777" w:rsidR="0009140D" w:rsidRPr="0009140D" w:rsidRDefault="0009140D" w:rsidP="0009140D">
            <w:pPr>
              <w:pStyle w:val="Tabletext"/>
            </w:pPr>
            <w:r w:rsidRPr="0009140D">
              <w:t>1</w:t>
            </w:r>
            <w:r w:rsidR="00D7157D">
              <w:t>.</w:t>
            </w:r>
            <w:r w:rsidRPr="0009140D">
              <w:t>1939</w:t>
            </w:r>
          </w:p>
        </w:tc>
      </w:tr>
      <w:tr w:rsidR="0009140D" w:rsidRPr="0009140D" w14:paraId="554E5213" w14:textId="77777777" w:rsidTr="0009140D">
        <w:trPr>
          <w:cantSplit/>
        </w:trPr>
        <w:tc>
          <w:tcPr>
            <w:tcW w:w="1136" w:type="pct"/>
            <w:tcBorders>
              <w:top w:val="single" w:sz="4" w:space="0" w:color="auto"/>
              <w:bottom w:val="single" w:sz="4" w:space="0" w:color="auto"/>
            </w:tcBorders>
          </w:tcPr>
          <w:p w14:paraId="53E0EEF6" w14:textId="77777777" w:rsidR="0009140D" w:rsidRPr="0009140D" w:rsidRDefault="0009140D" w:rsidP="0009140D">
            <w:pPr>
              <w:pStyle w:val="Tabletext"/>
            </w:pPr>
            <w:r w:rsidRPr="0009140D">
              <w:t>46</w:t>
            </w:r>
          </w:p>
        </w:tc>
        <w:tc>
          <w:tcPr>
            <w:tcW w:w="966" w:type="pct"/>
            <w:tcBorders>
              <w:top w:val="single" w:sz="4" w:space="0" w:color="auto"/>
              <w:bottom w:val="single" w:sz="4" w:space="0" w:color="auto"/>
            </w:tcBorders>
            <w:shd w:val="clear" w:color="auto" w:fill="auto"/>
            <w:vAlign w:val="bottom"/>
          </w:tcPr>
          <w:p w14:paraId="773C3BAA" w14:textId="77777777" w:rsidR="0009140D" w:rsidRPr="0009140D" w:rsidRDefault="0009140D" w:rsidP="0009140D">
            <w:pPr>
              <w:pStyle w:val="Tabletext"/>
            </w:pPr>
            <w:r w:rsidRPr="0009140D">
              <w:t>20</w:t>
            </w:r>
            <w:r w:rsidR="00D7157D">
              <w:t>.</w:t>
            </w:r>
            <w:r w:rsidRPr="0009140D">
              <w:t>4173</w:t>
            </w:r>
          </w:p>
        </w:tc>
        <w:tc>
          <w:tcPr>
            <w:tcW w:w="966" w:type="pct"/>
            <w:tcBorders>
              <w:top w:val="single" w:sz="4" w:space="0" w:color="auto"/>
              <w:bottom w:val="single" w:sz="4" w:space="0" w:color="auto"/>
            </w:tcBorders>
            <w:shd w:val="clear" w:color="auto" w:fill="auto"/>
            <w:vAlign w:val="bottom"/>
          </w:tcPr>
          <w:p w14:paraId="5CC9E2F7" w14:textId="77777777" w:rsidR="0009140D" w:rsidRPr="0009140D" w:rsidRDefault="0009140D" w:rsidP="0009140D">
            <w:pPr>
              <w:pStyle w:val="Tabletext"/>
            </w:pPr>
            <w:r w:rsidRPr="0009140D">
              <w:t>2</w:t>
            </w:r>
            <w:r w:rsidR="00D7157D">
              <w:t>.</w:t>
            </w:r>
            <w:r w:rsidRPr="0009140D">
              <w:t>9346</w:t>
            </w:r>
          </w:p>
        </w:tc>
        <w:tc>
          <w:tcPr>
            <w:tcW w:w="966" w:type="pct"/>
            <w:tcBorders>
              <w:top w:val="single" w:sz="4" w:space="0" w:color="auto"/>
              <w:bottom w:val="single" w:sz="4" w:space="0" w:color="auto"/>
            </w:tcBorders>
            <w:shd w:val="clear" w:color="auto" w:fill="auto"/>
            <w:vAlign w:val="bottom"/>
          </w:tcPr>
          <w:p w14:paraId="48150176" w14:textId="77777777" w:rsidR="0009140D" w:rsidRPr="0009140D" w:rsidRDefault="0009140D" w:rsidP="0009140D">
            <w:pPr>
              <w:pStyle w:val="Tabletext"/>
            </w:pPr>
            <w:r w:rsidRPr="0009140D">
              <w:t>21</w:t>
            </w:r>
            <w:r w:rsidR="00D7157D">
              <w:t>.</w:t>
            </w:r>
            <w:r w:rsidRPr="0009140D">
              <w:t>8665</w:t>
            </w:r>
          </w:p>
        </w:tc>
        <w:tc>
          <w:tcPr>
            <w:tcW w:w="966" w:type="pct"/>
            <w:tcBorders>
              <w:top w:val="single" w:sz="4" w:space="0" w:color="auto"/>
              <w:bottom w:val="single" w:sz="4" w:space="0" w:color="auto"/>
              <w:right w:val="nil"/>
            </w:tcBorders>
            <w:shd w:val="clear" w:color="auto" w:fill="auto"/>
            <w:vAlign w:val="bottom"/>
          </w:tcPr>
          <w:p w14:paraId="68E5DCA3" w14:textId="77777777" w:rsidR="0009140D" w:rsidRPr="0009140D" w:rsidRDefault="0009140D" w:rsidP="0009140D">
            <w:pPr>
              <w:pStyle w:val="Tabletext"/>
            </w:pPr>
            <w:r w:rsidRPr="0009140D">
              <w:t>1</w:t>
            </w:r>
            <w:r w:rsidR="00D7157D">
              <w:t>.</w:t>
            </w:r>
            <w:r w:rsidRPr="0009140D">
              <w:t>1056</w:t>
            </w:r>
          </w:p>
        </w:tc>
      </w:tr>
      <w:tr w:rsidR="0009140D" w:rsidRPr="0009140D" w14:paraId="43C6248F" w14:textId="77777777" w:rsidTr="0009140D">
        <w:trPr>
          <w:cantSplit/>
        </w:trPr>
        <w:tc>
          <w:tcPr>
            <w:tcW w:w="1136" w:type="pct"/>
            <w:tcBorders>
              <w:top w:val="single" w:sz="4" w:space="0" w:color="auto"/>
              <w:bottom w:val="single" w:sz="4" w:space="0" w:color="auto"/>
            </w:tcBorders>
          </w:tcPr>
          <w:p w14:paraId="38AF7C38" w14:textId="77777777" w:rsidR="0009140D" w:rsidRPr="0009140D" w:rsidRDefault="0009140D" w:rsidP="0009140D">
            <w:pPr>
              <w:pStyle w:val="Tabletext"/>
            </w:pPr>
            <w:r w:rsidRPr="0009140D">
              <w:t>47</w:t>
            </w:r>
          </w:p>
        </w:tc>
        <w:tc>
          <w:tcPr>
            <w:tcW w:w="966" w:type="pct"/>
            <w:tcBorders>
              <w:top w:val="single" w:sz="4" w:space="0" w:color="auto"/>
              <w:bottom w:val="single" w:sz="4" w:space="0" w:color="auto"/>
            </w:tcBorders>
            <w:shd w:val="clear" w:color="auto" w:fill="auto"/>
            <w:vAlign w:val="bottom"/>
          </w:tcPr>
          <w:p w14:paraId="3F3D379A" w14:textId="77777777" w:rsidR="0009140D" w:rsidRPr="0009140D" w:rsidRDefault="0009140D" w:rsidP="0009140D">
            <w:pPr>
              <w:pStyle w:val="Tabletext"/>
            </w:pPr>
            <w:r w:rsidRPr="0009140D">
              <w:t>20</w:t>
            </w:r>
            <w:r w:rsidR="00D7157D">
              <w:t>.</w:t>
            </w:r>
            <w:r w:rsidRPr="0009140D">
              <w:t>0822</w:t>
            </w:r>
          </w:p>
        </w:tc>
        <w:tc>
          <w:tcPr>
            <w:tcW w:w="966" w:type="pct"/>
            <w:tcBorders>
              <w:top w:val="single" w:sz="4" w:space="0" w:color="auto"/>
              <w:bottom w:val="single" w:sz="4" w:space="0" w:color="auto"/>
            </w:tcBorders>
            <w:shd w:val="clear" w:color="auto" w:fill="auto"/>
            <w:vAlign w:val="bottom"/>
          </w:tcPr>
          <w:p w14:paraId="2A8ADED2" w14:textId="77777777" w:rsidR="0009140D" w:rsidRPr="0009140D" w:rsidRDefault="0009140D" w:rsidP="0009140D">
            <w:pPr>
              <w:pStyle w:val="Tabletext"/>
            </w:pPr>
            <w:r w:rsidRPr="0009140D">
              <w:t>2</w:t>
            </w:r>
            <w:r w:rsidR="00D7157D">
              <w:t>.</w:t>
            </w:r>
            <w:r w:rsidRPr="0009140D">
              <w:t>8527</w:t>
            </w:r>
          </w:p>
        </w:tc>
        <w:tc>
          <w:tcPr>
            <w:tcW w:w="966" w:type="pct"/>
            <w:tcBorders>
              <w:top w:val="single" w:sz="4" w:space="0" w:color="auto"/>
              <w:bottom w:val="single" w:sz="4" w:space="0" w:color="auto"/>
            </w:tcBorders>
            <w:shd w:val="clear" w:color="auto" w:fill="auto"/>
            <w:vAlign w:val="bottom"/>
          </w:tcPr>
          <w:p w14:paraId="2C92E9E5" w14:textId="77777777" w:rsidR="0009140D" w:rsidRPr="0009140D" w:rsidRDefault="0009140D" w:rsidP="0009140D">
            <w:pPr>
              <w:pStyle w:val="Tabletext"/>
            </w:pPr>
            <w:r w:rsidRPr="0009140D">
              <w:t>21</w:t>
            </w:r>
            <w:r w:rsidR="00D7157D">
              <w:t>.</w:t>
            </w:r>
            <w:r w:rsidRPr="0009140D">
              <w:t>5454</w:t>
            </w:r>
          </w:p>
        </w:tc>
        <w:tc>
          <w:tcPr>
            <w:tcW w:w="966" w:type="pct"/>
            <w:tcBorders>
              <w:top w:val="single" w:sz="4" w:space="0" w:color="auto"/>
              <w:bottom w:val="single" w:sz="4" w:space="0" w:color="auto"/>
              <w:right w:val="nil"/>
            </w:tcBorders>
            <w:shd w:val="clear" w:color="auto" w:fill="auto"/>
            <w:vAlign w:val="bottom"/>
          </w:tcPr>
          <w:p w14:paraId="1B23B43C" w14:textId="77777777" w:rsidR="0009140D" w:rsidRPr="0009140D" w:rsidRDefault="0009140D" w:rsidP="0009140D">
            <w:pPr>
              <w:pStyle w:val="Tabletext"/>
            </w:pPr>
            <w:r w:rsidRPr="0009140D">
              <w:t>1</w:t>
            </w:r>
            <w:r w:rsidR="00D7157D">
              <w:t>.</w:t>
            </w:r>
            <w:r w:rsidRPr="0009140D">
              <w:t>0145</w:t>
            </w:r>
          </w:p>
        </w:tc>
      </w:tr>
      <w:tr w:rsidR="0009140D" w:rsidRPr="0009140D" w14:paraId="255B1B98" w14:textId="77777777" w:rsidTr="0009140D">
        <w:trPr>
          <w:cantSplit/>
        </w:trPr>
        <w:tc>
          <w:tcPr>
            <w:tcW w:w="1136" w:type="pct"/>
            <w:tcBorders>
              <w:top w:val="single" w:sz="4" w:space="0" w:color="auto"/>
              <w:bottom w:val="single" w:sz="4" w:space="0" w:color="auto"/>
            </w:tcBorders>
          </w:tcPr>
          <w:p w14:paraId="237555B9" w14:textId="77777777" w:rsidR="0009140D" w:rsidRPr="0009140D" w:rsidRDefault="0009140D" w:rsidP="0009140D">
            <w:pPr>
              <w:pStyle w:val="Tabletext"/>
            </w:pPr>
            <w:r w:rsidRPr="0009140D">
              <w:t>48</w:t>
            </w:r>
          </w:p>
        </w:tc>
        <w:tc>
          <w:tcPr>
            <w:tcW w:w="966" w:type="pct"/>
            <w:tcBorders>
              <w:top w:val="single" w:sz="4" w:space="0" w:color="auto"/>
              <w:bottom w:val="single" w:sz="4" w:space="0" w:color="auto"/>
            </w:tcBorders>
            <w:shd w:val="clear" w:color="auto" w:fill="auto"/>
            <w:vAlign w:val="bottom"/>
          </w:tcPr>
          <w:p w14:paraId="67665087" w14:textId="77777777" w:rsidR="0009140D" w:rsidRPr="0009140D" w:rsidRDefault="0009140D" w:rsidP="0009140D">
            <w:pPr>
              <w:pStyle w:val="Tabletext"/>
            </w:pPr>
            <w:r w:rsidRPr="0009140D">
              <w:t>19</w:t>
            </w:r>
            <w:r w:rsidR="00D7157D">
              <w:t>.</w:t>
            </w:r>
            <w:r w:rsidRPr="0009140D">
              <w:t>7405</w:t>
            </w:r>
          </w:p>
        </w:tc>
        <w:tc>
          <w:tcPr>
            <w:tcW w:w="966" w:type="pct"/>
            <w:tcBorders>
              <w:top w:val="single" w:sz="4" w:space="0" w:color="auto"/>
              <w:bottom w:val="single" w:sz="4" w:space="0" w:color="auto"/>
            </w:tcBorders>
            <w:shd w:val="clear" w:color="auto" w:fill="auto"/>
            <w:vAlign w:val="bottom"/>
          </w:tcPr>
          <w:p w14:paraId="5B2C3F55" w14:textId="77777777" w:rsidR="0009140D" w:rsidRPr="0009140D" w:rsidRDefault="0009140D" w:rsidP="0009140D">
            <w:pPr>
              <w:pStyle w:val="Tabletext"/>
            </w:pPr>
            <w:r w:rsidRPr="0009140D">
              <w:t>2</w:t>
            </w:r>
            <w:r w:rsidR="00D7157D">
              <w:t>.</w:t>
            </w:r>
            <w:r w:rsidRPr="0009140D">
              <w:t>7670</w:t>
            </w:r>
          </w:p>
        </w:tc>
        <w:tc>
          <w:tcPr>
            <w:tcW w:w="966" w:type="pct"/>
            <w:tcBorders>
              <w:top w:val="single" w:sz="4" w:space="0" w:color="auto"/>
              <w:bottom w:val="single" w:sz="4" w:space="0" w:color="auto"/>
            </w:tcBorders>
            <w:shd w:val="clear" w:color="auto" w:fill="auto"/>
            <w:vAlign w:val="bottom"/>
          </w:tcPr>
          <w:p w14:paraId="4B86761F" w14:textId="77777777" w:rsidR="0009140D" w:rsidRPr="0009140D" w:rsidRDefault="0009140D" w:rsidP="0009140D">
            <w:pPr>
              <w:pStyle w:val="Tabletext"/>
            </w:pPr>
            <w:r w:rsidRPr="0009140D">
              <w:t>21</w:t>
            </w:r>
            <w:r w:rsidR="00D7157D">
              <w:t>.</w:t>
            </w:r>
            <w:r w:rsidRPr="0009140D">
              <w:t>2172</w:t>
            </w:r>
          </w:p>
        </w:tc>
        <w:tc>
          <w:tcPr>
            <w:tcW w:w="966" w:type="pct"/>
            <w:tcBorders>
              <w:top w:val="single" w:sz="4" w:space="0" w:color="auto"/>
              <w:bottom w:val="single" w:sz="4" w:space="0" w:color="auto"/>
              <w:right w:val="nil"/>
            </w:tcBorders>
            <w:shd w:val="clear" w:color="auto" w:fill="auto"/>
            <w:vAlign w:val="bottom"/>
          </w:tcPr>
          <w:p w14:paraId="006E5FBA" w14:textId="77777777" w:rsidR="0009140D" w:rsidRPr="0009140D" w:rsidRDefault="0009140D" w:rsidP="0009140D">
            <w:pPr>
              <w:pStyle w:val="Tabletext"/>
            </w:pPr>
            <w:r w:rsidRPr="0009140D">
              <w:t>0</w:t>
            </w:r>
            <w:r w:rsidR="00D7157D">
              <w:t>.</w:t>
            </w:r>
            <w:r w:rsidRPr="0009140D">
              <w:t>9206</w:t>
            </w:r>
          </w:p>
        </w:tc>
      </w:tr>
      <w:tr w:rsidR="0009140D" w:rsidRPr="0009140D" w14:paraId="1C74B2CE" w14:textId="77777777" w:rsidTr="0009140D">
        <w:trPr>
          <w:cantSplit/>
        </w:trPr>
        <w:tc>
          <w:tcPr>
            <w:tcW w:w="1136" w:type="pct"/>
            <w:tcBorders>
              <w:top w:val="single" w:sz="4" w:space="0" w:color="auto"/>
              <w:bottom w:val="single" w:sz="4" w:space="0" w:color="auto"/>
            </w:tcBorders>
          </w:tcPr>
          <w:p w14:paraId="333E5277" w14:textId="77777777" w:rsidR="0009140D" w:rsidRPr="0009140D" w:rsidRDefault="0009140D" w:rsidP="0009140D">
            <w:pPr>
              <w:pStyle w:val="Tabletext"/>
            </w:pPr>
            <w:r w:rsidRPr="0009140D">
              <w:t>49</w:t>
            </w:r>
          </w:p>
        </w:tc>
        <w:tc>
          <w:tcPr>
            <w:tcW w:w="966" w:type="pct"/>
            <w:tcBorders>
              <w:top w:val="single" w:sz="4" w:space="0" w:color="auto"/>
              <w:bottom w:val="single" w:sz="4" w:space="0" w:color="auto"/>
            </w:tcBorders>
            <w:shd w:val="clear" w:color="auto" w:fill="auto"/>
            <w:vAlign w:val="bottom"/>
          </w:tcPr>
          <w:p w14:paraId="78EE5FB4" w14:textId="77777777" w:rsidR="0009140D" w:rsidRPr="0009140D" w:rsidRDefault="0009140D" w:rsidP="0009140D">
            <w:pPr>
              <w:pStyle w:val="Tabletext"/>
            </w:pPr>
            <w:r w:rsidRPr="0009140D">
              <w:t>19</w:t>
            </w:r>
            <w:r w:rsidR="00D7157D">
              <w:t>.</w:t>
            </w:r>
            <w:r w:rsidRPr="0009140D">
              <w:t>3922</w:t>
            </w:r>
          </w:p>
        </w:tc>
        <w:tc>
          <w:tcPr>
            <w:tcW w:w="966" w:type="pct"/>
            <w:tcBorders>
              <w:top w:val="single" w:sz="4" w:space="0" w:color="auto"/>
              <w:bottom w:val="single" w:sz="4" w:space="0" w:color="auto"/>
            </w:tcBorders>
            <w:shd w:val="clear" w:color="auto" w:fill="auto"/>
            <w:vAlign w:val="bottom"/>
          </w:tcPr>
          <w:p w14:paraId="6BDA74FC" w14:textId="77777777" w:rsidR="0009140D" w:rsidRPr="0009140D" w:rsidRDefault="0009140D" w:rsidP="0009140D">
            <w:pPr>
              <w:pStyle w:val="Tabletext"/>
            </w:pPr>
            <w:r w:rsidRPr="0009140D">
              <w:t>2</w:t>
            </w:r>
            <w:r w:rsidR="00D7157D">
              <w:t>.</w:t>
            </w:r>
            <w:r w:rsidRPr="0009140D">
              <w:t>6775</w:t>
            </w:r>
          </w:p>
        </w:tc>
        <w:tc>
          <w:tcPr>
            <w:tcW w:w="966" w:type="pct"/>
            <w:tcBorders>
              <w:top w:val="single" w:sz="4" w:space="0" w:color="auto"/>
              <w:bottom w:val="single" w:sz="4" w:space="0" w:color="auto"/>
            </w:tcBorders>
            <w:shd w:val="clear" w:color="auto" w:fill="auto"/>
            <w:vAlign w:val="bottom"/>
          </w:tcPr>
          <w:p w14:paraId="36C6E20E" w14:textId="77777777" w:rsidR="0009140D" w:rsidRPr="0009140D" w:rsidRDefault="0009140D" w:rsidP="0009140D">
            <w:pPr>
              <w:pStyle w:val="Tabletext"/>
            </w:pPr>
            <w:r w:rsidRPr="0009140D">
              <w:t>20</w:t>
            </w:r>
            <w:r w:rsidR="00D7157D">
              <w:t>.</w:t>
            </w:r>
            <w:r w:rsidRPr="0009140D">
              <w:t>8817</w:t>
            </w:r>
          </w:p>
        </w:tc>
        <w:tc>
          <w:tcPr>
            <w:tcW w:w="966" w:type="pct"/>
            <w:tcBorders>
              <w:top w:val="single" w:sz="4" w:space="0" w:color="auto"/>
              <w:bottom w:val="single" w:sz="4" w:space="0" w:color="auto"/>
              <w:right w:val="nil"/>
            </w:tcBorders>
            <w:shd w:val="clear" w:color="auto" w:fill="auto"/>
            <w:vAlign w:val="bottom"/>
          </w:tcPr>
          <w:p w14:paraId="06DB0C54" w14:textId="77777777" w:rsidR="0009140D" w:rsidRPr="0009140D" w:rsidRDefault="0009140D" w:rsidP="0009140D">
            <w:pPr>
              <w:pStyle w:val="Tabletext"/>
            </w:pPr>
            <w:r w:rsidRPr="0009140D">
              <w:t>0</w:t>
            </w:r>
            <w:r w:rsidR="00D7157D">
              <w:t>.</w:t>
            </w:r>
            <w:r w:rsidRPr="0009140D">
              <w:t>8240</w:t>
            </w:r>
          </w:p>
        </w:tc>
      </w:tr>
      <w:tr w:rsidR="0009140D" w:rsidRPr="0009140D" w14:paraId="15EDB835" w14:textId="77777777" w:rsidTr="0009140D">
        <w:trPr>
          <w:cantSplit/>
        </w:trPr>
        <w:tc>
          <w:tcPr>
            <w:tcW w:w="1136" w:type="pct"/>
            <w:tcBorders>
              <w:top w:val="single" w:sz="4" w:space="0" w:color="auto"/>
              <w:bottom w:val="single" w:sz="4" w:space="0" w:color="auto"/>
            </w:tcBorders>
          </w:tcPr>
          <w:p w14:paraId="43FC5CD5" w14:textId="77777777" w:rsidR="0009140D" w:rsidRPr="0009140D" w:rsidRDefault="0009140D" w:rsidP="0009140D">
            <w:pPr>
              <w:pStyle w:val="Tabletext"/>
            </w:pPr>
            <w:r w:rsidRPr="0009140D">
              <w:t>50</w:t>
            </w:r>
          </w:p>
        </w:tc>
        <w:tc>
          <w:tcPr>
            <w:tcW w:w="966" w:type="pct"/>
            <w:tcBorders>
              <w:top w:val="single" w:sz="4" w:space="0" w:color="auto"/>
              <w:bottom w:val="single" w:sz="4" w:space="0" w:color="auto"/>
            </w:tcBorders>
            <w:shd w:val="clear" w:color="auto" w:fill="auto"/>
            <w:vAlign w:val="bottom"/>
          </w:tcPr>
          <w:p w14:paraId="4382229B" w14:textId="77777777" w:rsidR="0009140D" w:rsidRPr="0009140D" w:rsidRDefault="0009140D" w:rsidP="0009140D">
            <w:pPr>
              <w:pStyle w:val="Tabletext"/>
            </w:pPr>
            <w:r w:rsidRPr="0009140D">
              <w:t>19</w:t>
            </w:r>
            <w:r w:rsidR="00D7157D">
              <w:t>.</w:t>
            </w:r>
            <w:r w:rsidRPr="0009140D">
              <w:t>0376</w:t>
            </w:r>
          </w:p>
        </w:tc>
        <w:tc>
          <w:tcPr>
            <w:tcW w:w="966" w:type="pct"/>
            <w:tcBorders>
              <w:top w:val="single" w:sz="4" w:space="0" w:color="auto"/>
              <w:bottom w:val="single" w:sz="4" w:space="0" w:color="auto"/>
            </w:tcBorders>
            <w:shd w:val="clear" w:color="auto" w:fill="auto"/>
            <w:vAlign w:val="bottom"/>
          </w:tcPr>
          <w:p w14:paraId="72767C3B" w14:textId="77777777" w:rsidR="0009140D" w:rsidRPr="0009140D" w:rsidRDefault="0009140D" w:rsidP="0009140D">
            <w:pPr>
              <w:pStyle w:val="Tabletext"/>
            </w:pPr>
            <w:r w:rsidRPr="0009140D">
              <w:t>2</w:t>
            </w:r>
            <w:r w:rsidR="00D7157D">
              <w:t>.</w:t>
            </w:r>
            <w:r w:rsidRPr="0009140D">
              <w:t>5840</w:t>
            </w:r>
          </w:p>
        </w:tc>
        <w:tc>
          <w:tcPr>
            <w:tcW w:w="966" w:type="pct"/>
            <w:tcBorders>
              <w:top w:val="single" w:sz="4" w:space="0" w:color="auto"/>
              <w:bottom w:val="single" w:sz="4" w:space="0" w:color="auto"/>
            </w:tcBorders>
            <w:shd w:val="clear" w:color="auto" w:fill="auto"/>
            <w:vAlign w:val="bottom"/>
          </w:tcPr>
          <w:p w14:paraId="4688E12A" w14:textId="77777777" w:rsidR="0009140D" w:rsidRPr="0009140D" w:rsidRDefault="0009140D" w:rsidP="0009140D">
            <w:pPr>
              <w:pStyle w:val="Tabletext"/>
            </w:pPr>
            <w:r w:rsidRPr="0009140D">
              <w:t>20</w:t>
            </w:r>
            <w:r w:rsidR="00D7157D">
              <w:t>.</w:t>
            </w:r>
            <w:r w:rsidRPr="0009140D">
              <w:t>5390</w:t>
            </w:r>
          </w:p>
        </w:tc>
        <w:tc>
          <w:tcPr>
            <w:tcW w:w="966" w:type="pct"/>
            <w:tcBorders>
              <w:top w:val="single" w:sz="4" w:space="0" w:color="auto"/>
              <w:bottom w:val="single" w:sz="4" w:space="0" w:color="auto"/>
              <w:right w:val="nil"/>
            </w:tcBorders>
            <w:shd w:val="clear" w:color="auto" w:fill="auto"/>
            <w:vAlign w:val="bottom"/>
          </w:tcPr>
          <w:p w14:paraId="0C32DA4F" w14:textId="77777777" w:rsidR="0009140D" w:rsidRPr="0009140D" w:rsidRDefault="0009140D" w:rsidP="0009140D">
            <w:pPr>
              <w:pStyle w:val="Tabletext"/>
            </w:pPr>
            <w:r w:rsidRPr="0009140D">
              <w:t>0</w:t>
            </w:r>
            <w:r w:rsidR="00D7157D">
              <w:t>.</w:t>
            </w:r>
            <w:r w:rsidRPr="0009140D">
              <w:t>7247</w:t>
            </w:r>
          </w:p>
        </w:tc>
      </w:tr>
      <w:tr w:rsidR="0009140D" w:rsidRPr="0009140D" w14:paraId="1D043075" w14:textId="77777777" w:rsidTr="0009140D">
        <w:trPr>
          <w:cantSplit/>
        </w:trPr>
        <w:tc>
          <w:tcPr>
            <w:tcW w:w="1136" w:type="pct"/>
            <w:tcBorders>
              <w:top w:val="single" w:sz="4" w:space="0" w:color="auto"/>
              <w:bottom w:val="single" w:sz="4" w:space="0" w:color="auto"/>
            </w:tcBorders>
          </w:tcPr>
          <w:p w14:paraId="5BC082DF" w14:textId="77777777" w:rsidR="0009140D" w:rsidRPr="0009140D" w:rsidRDefault="0009140D" w:rsidP="0009140D">
            <w:pPr>
              <w:pStyle w:val="Tabletext"/>
            </w:pPr>
            <w:r w:rsidRPr="0009140D">
              <w:t>51</w:t>
            </w:r>
          </w:p>
        </w:tc>
        <w:tc>
          <w:tcPr>
            <w:tcW w:w="966" w:type="pct"/>
            <w:tcBorders>
              <w:top w:val="single" w:sz="4" w:space="0" w:color="auto"/>
              <w:bottom w:val="single" w:sz="4" w:space="0" w:color="auto"/>
            </w:tcBorders>
            <w:shd w:val="clear" w:color="auto" w:fill="auto"/>
            <w:vAlign w:val="bottom"/>
          </w:tcPr>
          <w:p w14:paraId="03699901" w14:textId="77777777" w:rsidR="0009140D" w:rsidRPr="0009140D" w:rsidRDefault="0009140D" w:rsidP="0009140D">
            <w:pPr>
              <w:pStyle w:val="Tabletext"/>
            </w:pPr>
            <w:r w:rsidRPr="0009140D">
              <w:t>18</w:t>
            </w:r>
            <w:r w:rsidR="00D7157D">
              <w:t>.</w:t>
            </w:r>
            <w:r w:rsidRPr="0009140D">
              <w:t>6764</w:t>
            </w:r>
          </w:p>
        </w:tc>
        <w:tc>
          <w:tcPr>
            <w:tcW w:w="966" w:type="pct"/>
            <w:tcBorders>
              <w:top w:val="single" w:sz="4" w:space="0" w:color="auto"/>
              <w:bottom w:val="single" w:sz="4" w:space="0" w:color="auto"/>
            </w:tcBorders>
            <w:shd w:val="clear" w:color="auto" w:fill="auto"/>
            <w:vAlign w:val="bottom"/>
          </w:tcPr>
          <w:p w14:paraId="051F75BD" w14:textId="77777777" w:rsidR="0009140D" w:rsidRPr="0009140D" w:rsidRDefault="0009140D" w:rsidP="0009140D">
            <w:pPr>
              <w:pStyle w:val="Tabletext"/>
            </w:pPr>
            <w:r w:rsidRPr="0009140D">
              <w:t>2</w:t>
            </w:r>
            <w:r w:rsidR="00D7157D">
              <w:t>.</w:t>
            </w:r>
            <w:r w:rsidRPr="0009140D">
              <w:t>2250</w:t>
            </w:r>
          </w:p>
        </w:tc>
        <w:tc>
          <w:tcPr>
            <w:tcW w:w="966" w:type="pct"/>
            <w:tcBorders>
              <w:top w:val="single" w:sz="4" w:space="0" w:color="auto"/>
              <w:bottom w:val="single" w:sz="4" w:space="0" w:color="auto"/>
            </w:tcBorders>
            <w:shd w:val="clear" w:color="auto" w:fill="auto"/>
            <w:vAlign w:val="bottom"/>
          </w:tcPr>
          <w:p w14:paraId="22F473E2" w14:textId="77777777" w:rsidR="0009140D" w:rsidRPr="0009140D" w:rsidRDefault="0009140D" w:rsidP="0009140D">
            <w:pPr>
              <w:pStyle w:val="Tabletext"/>
            </w:pPr>
            <w:r w:rsidRPr="0009140D">
              <w:t>20</w:t>
            </w:r>
            <w:r w:rsidR="00D7157D">
              <w:t>.</w:t>
            </w:r>
            <w:r w:rsidRPr="0009140D">
              <w:t>1892</w:t>
            </w:r>
          </w:p>
        </w:tc>
        <w:tc>
          <w:tcPr>
            <w:tcW w:w="966" w:type="pct"/>
            <w:tcBorders>
              <w:top w:val="single" w:sz="4" w:space="0" w:color="auto"/>
              <w:bottom w:val="single" w:sz="4" w:space="0" w:color="auto"/>
              <w:right w:val="nil"/>
            </w:tcBorders>
            <w:shd w:val="clear" w:color="auto" w:fill="auto"/>
            <w:vAlign w:val="bottom"/>
          </w:tcPr>
          <w:p w14:paraId="170E5CA0" w14:textId="77777777" w:rsidR="0009140D" w:rsidRPr="0009140D" w:rsidRDefault="0009140D" w:rsidP="0009140D">
            <w:pPr>
              <w:pStyle w:val="Tabletext"/>
            </w:pPr>
            <w:r w:rsidRPr="0009140D">
              <w:t>0</w:t>
            </w:r>
            <w:r w:rsidR="00D7157D">
              <w:t>.</w:t>
            </w:r>
            <w:r w:rsidRPr="0009140D">
              <w:t>6227</w:t>
            </w:r>
          </w:p>
        </w:tc>
      </w:tr>
      <w:tr w:rsidR="0009140D" w:rsidRPr="0009140D" w14:paraId="7EC19764" w14:textId="77777777" w:rsidTr="0009140D">
        <w:trPr>
          <w:cantSplit/>
        </w:trPr>
        <w:tc>
          <w:tcPr>
            <w:tcW w:w="1136" w:type="pct"/>
            <w:tcBorders>
              <w:top w:val="single" w:sz="4" w:space="0" w:color="auto"/>
              <w:bottom w:val="single" w:sz="4" w:space="0" w:color="auto"/>
            </w:tcBorders>
          </w:tcPr>
          <w:p w14:paraId="44C3B32C" w14:textId="77777777" w:rsidR="0009140D" w:rsidRPr="0009140D" w:rsidRDefault="0009140D" w:rsidP="0009140D">
            <w:pPr>
              <w:pStyle w:val="Tabletext"/>
            </w:pPr>
            <w:r w:rsidRPr="0009140D">
              <w:t>52</w:t>
            </w:r>
          </w:p>
        </w:tc>
        <w:tc>
          <w:tcPr>
            <w:tcW w:w="966" w:type="pct"/>
            <w:tcBorders>
              <w:top w:val="single" w:sz="4" w:space="0" w:color="auto"/>
              <w:bottom w:val="single" w:sz="4" w:space="0" w:color="auto"/>
            </w:tcBorders>
            <w:shd w:val="clear" w:color="auto" w:fill="auto"/>
            <w:vAlign w:val="bottom"/>
          </w:tcPr>
          <w:p w14:paraId="22BD8171" w14:textId="77777777" w:rsidR="0009140D" w:rsidRPr="0009140D" w:rsidRDefault="0009140D" w:rsidP="0009140D">
            <w:pPr>
              <w:pStyle w:val="Tabletext"/>
            </w:pPr>
            <w:r w:rsidRPr="0009140D">
              <w:t>18</w:t>
            </w:r>
            <w:r w:rsidR="00D7157D">
              <w:t>.</w:t>
            </w:r>
            <w:r w:rsidRPr="0009140D">
              <w:t>3091</w:t>
            </w:r>
          </w:p>
        </w:tc>
        <w:tc>
          <w:tcPr>
            <w:tcW w:w="966" w:type="pct"/>
            <w:tcBorders>
              <w:top w:val="single" w:sz="4" w:space="0" w:color="auto"/>
              <w:bottom w:val="single" w:sz="4" w:space="0" w:color="auto"/>
            </w:tcBorders>
            <w:shd w:val="clear" w:color="auto" w:fill="auto"/>
            <w:vAlign w:val="bottom"/>
          </w:tcPr>
          <w:p w14:paraId="5B1B9973" w14:textId="77777777" w:rsidR="0009140D" w:rsidRPr="0009140D" w:rsidRDefault="0009140D" w:rsidP="0009140D">
            <w:pPr>
              <w:pStyle w:val="Tabletext"/>
            </w:pPr>
            <w:r w:rsidRPr="0009140D">
              <w:t>1</w:t>
            </w:r>
            <w:r w:rsidR="00D7157D">
              <w:t>.</w:t>
            </w:r>
            <w:r w:rsidRPr="0009140D">
              <w:t>8553</w:t>
            </w:r>
          </w:p>
        </w:tc>
        <w:tc>
          <w:tcPr>
            <w:tcW w:w="966" w:type="pct"/>
            <w:tcBorders>
              <w:top w:val="single" w:sz="4" w:space="0" w:color="auto"/>
              <w:bottom w:val="single" w:sz="4" w:space="0" w:color="auto"/>
            </w:tcBorders>
            <w:shd w:val="clear" w:color="auto" w:fill="auto"/>
            <w:vAlign w:val="bottom"/>
          </w:tcPr>
          <w:p w14:paraId="4CDAC2F8" w14:textId="77777777" w:rsidR="0009140D" w:rsidRPr="0009140D" w:rsidRDefault="0009140D" w:rsidP="0009140D">
            <w:pPr>
              <w:pStyle w:val="Tabletext"/>
            </w:pPr>
            <w:r w:rsidRPr="0009140D">
              <w:t>19</w:t>
            </w:r>
            <w:r w:rsidR="00D7157D">
              <w:t>.</w:t>
            </w:r>
            <w:r w:rsidRPr="0009140D">
              <w:t>8322</w:t>
            </w:r>
          </w:p>
        </w:tc>
        <w:tc>
          <w:tcPr>
            <w:tcW w:w="966" w:type="pct"/>
            <w:tcBorders>
              <w:top w:val="single" w:sz="4" w:space="0" w:color="auto"/>
              <w:bottom w:val="single" w:sz="4" w:space="0" w:color="auto"/>
              <w:right w:val="nil"/>
            </w:tcBorders>
            <w:shd w:val="clear" w:color="auto" w:fill="auto"/>
            <w:vAlign w:val="bottom"/>
          </w:tcPr>
          <w:p w14:paraId="7F767709" w14:textId="77777777" w:rsidR="0009140D" w:rsidRPr="0009140D" w:rsidRDefault="0009140D" w:rsidP="0009140D">
            <w:pPr>
              <w:pStyle w:val="Tabletext"/>
            </w:pPr>
            <w:r w:rsidRPr="0009140D">
              <w:t>0</w:t>
            </w:r>
            <w:r w:rsidR="00D7157D">
              <w:t>.</w:t>
            </w:r>
            <w:r w:rsidRPr="0009140D">
              <w:t>5182</w:t>
            </w:r>
          </w:p>
        </w:tc>
      </w:tr>
      <w:tr w:rsidR="0009140D" w:rsidRPr="0009140D" w14:paraId="3BD35B24" w14:textId="77777777" w:rsidTr="0009140D">
        <w:trPr>
          <w:cantSplit/>
        </w:trPr>
        <w:tc>
          <w:tcPr>
            <w:tcW w:w="1136" w:type="pct"/>
            <w:tcBorders>
              <w:top w:val="single" w:sz="4" w:space="0" w:color="auto"/>
              <w:bottom w:val="single" w:sz="4" w:space="0" w:color="auto"/>
            </w:tcBorders>
          </w:tcPr>
          <w:p w14:paraId="63D9D2BC" w14:textId="77777777" w:rsidR="0009140D" w:rsidRPr="0009140D" w:rsidRDefault="0009140D" w:rsidP="0009140D">
            <w:pPr>
              <w:pStyle w:val="Tabletext"/>
            </w:pPr>
            <w:r w:rsidRPr="0009140D">
              <w:t>53</w:t>
            </w:r>
          </w:p>
        </w:tc>
        <w:tc>
          <w:tcPr>
            <w:tcW w:w="966" w:type="pct"/>
            <w:tcBorders>
              <w:top w:val="single" w:sz="4" w:space="0" w:color="auto"/>
              <w:bottom w:val="single" w:sz="4" w:space="0" w:color="auto"/>
            </w:tcBorders>
            <w:shd w:val="clear" w:color="auto" w:fill="auto"/>
            <w:vAlign w:val="bottom"/>
          </w:tcPr>
          <w:p w14:paraId="3676566E" w14:textId="77777777" w:rsidR="0009140D" w:rsidRPr="0009140D" w:rsidRDefault="0009140D" w:rsidP="0009140D">
            <w:pPr>
              <w:pStyle w:val="Tabletext"/>
            </w:pPr>
            <w:r w:rsidRPr="0009140D">
              <w:t>17</w:t>
            </w:r>
            <w:r w:rsidR="00D7157D">
              <w:t>.</w:t>
            </w:r>
            <w:r w:rsidRPr="0009140D">
              <w:t>9368</w:t>
            </w:r>
          </w:p>
        </w:tc>
        <w:tc>
          <w:tcPr>
            <w:tcW w:w="966" w:type="pct"/>
            <w:tcBorders>
              <w:top w:val="single" w:sz="4" w:space="0" w:color="auto"/>
              <w:bottom w:val="single" w:sz="4" w:space="0" w:color="auto"/>
            </w:tcBorders>
            <w:shd w:val="clear" w:color="auto" w:fill="auto"/>
            <w:vAlign w:val="bottom"/>
          </w:tcPr>
          <w:p w14:paraId="74DE9585" w14:textId="77777777" w:rsidR="0009140D" w:rsidRPr="0009140D" w:rsidRDefault="0009140D" w:rsidP="0009140D">
            <w:pPr>
              <w:pStyle w:val="Tabletext"/>
            </w:pPr>
            <w:r w:rsidRPr="0009140D">
              <w:t>1</w:t>
            </w:r>
            <w:r w:rsidR="00D7157D">
              <w:t>.</w:t>
            </w:r>
            <w:r w:rsidRPr="0009140D">
              <w:t>4751</w:t>
            </w:r>
          </w:p>
        </w:tc>
        <w:tc>
          <w:tcPr>
            <w:tcW w:w="966" w:type="pct"/>
            <w:tcBorders>
              <w:top w:val="single" w:sz="4" w:space="0" w:color="auto"/>
              <w:bottom w:val="single" w:sz="4" w:space="0" w:color="auto"/>
            </w:tcBorders>
            <w:shd w:val="clear" w:color="auto" w:fill="auto"/>
            <w:vAlign w:val="bottom"/>
          </w:tcPr>
          <w:p w14:paraId="1A1B0E2C" w14:textId="77777777" w:rsidR="0009140D" w:rsidRPr="0009140D" w:rsidRDefault="0009140D" w:rsidP="0009140D">
            <w:pPr>
              <w:pStyle w:val="Tabletext"/>
            </w:pPr>
            <w:r w:rsidRPr="0009140D">
              <w:t>19</w:t>
            </w:r>
            <w:r w:rsidR="00D7157D">
              <w:t>.</w:t>
            </w:r>
            <w:r w:rsidRPr="0009140D">
              <w:t>4687</w:t>
            </w:r>
          </w:p>
        </w:tc>
        <w:tc>
          <w:tcPr>
            <w:tcW w:w="966" w:type="pct"/>
            <w:tcBorders>
              <w:top w:val="single" w:sz="4" w:space="0" w:color="auto"/>
              <w:bottom w:val="single" w:sz="4" w:space="0" w:color="auto"/>
              <w:right w:val="nil"/>
            </w:tcBorders>
            <w:shd w:val="clear" w:color="auto" w:fill="auto"/>
            <w:vAlign w:val="bottom"/>
          </w:tcPr>
          <w:p w14:paraId="1AFB7565" w14:textId="77777777" w:rsidR="0009140D" w:rsidRPr="0009140D" w:rsidRDefault="0009140D" w:rsidP="0009140D">
            <w:pPr>
              <w:pStyle w:val="Tabletext"/>
            </w:pPr>
            <w:r w:rsidRPr="0009140D">
              <w:t>0</w:t>
            </w:r>
            <w:r w:rsidR="00D7157D">
              <w:t>.</w:t>
            </w:r>
            <w:r w:rsidRPr="0009140D">
              <w:t>4111</w:t>
            </w:r>
          </w:p>
        </w:tc>
      </w:tr>
      <w:tr w:rsidR="0009140D" w:rsidRPr="0009140D" w14:paraId="42EC43A2" w14:textId="77777777" w:rsidTr="0009140D">
        <w:trPr>
          <w:cantSplit/>
        </w:trPr>
        <w:tc>
          <w:tcPr>
            <w:tcW w:w="1136" w:type="pct"/>
            <w:tcBorders>
              <w:top w:val="single" w:sz="4" w:space="0" w:color="auto"/>
              <w:bottom w:val="single" w:sz="4" w:space="0" w:color="auto"/>
            </w:tcBorders>
          </w:tcPr>
          <w:p w14:paraId="365C3771" w14:textId="77777777" w:rsidR="0009140D" w:rsidRPr="0009140D" w:rsidRDefault="0009140D" w:rsidP="0009140D">
            <w:pPr>
              <w:pStyle w:val="Tabletext"/>
            </w:pPr>
            <w:r w:rsidRPr="0009140D">
              <w:t>54</w:t>
            </w:r>
          </w:p>
        </w:tc>
        <w:tc>
          <w:tcPr>
            <w:tcW w:w="966" w:type="pct"/>
            <w:tcBorders>
              <w:top w:val="single" w:sz="4" w:space="0" w:color="auto"/>
              <w:bottom w:val="single" w:sz="4" w:space="0" w:color="auto"/>
            </w:tcBorders>
            <w:shd w:val="clear" w:color="auto" w:fill="auto"/>
            <w:vAlign w:val="bottom"/>
          </w:tcPr>
          <w:p w14:paraId="0AC7A8D8" w14:textId="77777777" w:rsidR="0009140D" w:rsidRPr="0009140D" w:rsidRDefault="0009140D" w:rsidP="0009140D">
            <w:pPr>
              <w:pStyle w:val="Tabletext"/>
            </w:pPr>
            <w:r w:rsidRPr="0009140D">
              <w:t>17</w:t>
            </w:r>
            <w:r w:rsidR="00D7157D">
              <w:t>.</w:t>
            </w:r>
            <w:r w:rsidRPr="0009140D">
              <w:t>5600</w:t>
            </w:r>
          </w:p>
        </w:tc>
        <w:tc>
          <w:tcPr>
            <w:tcW w:w="966" w:type="pct"/>
            <w:tcBorders>
              <w:top w:val="single" w:sz="4" w:space="0" w:color="auto"/>
              <w:bottom w:val="single" w:sz="4" w:space="0" w:color="auto"/>
            </w:tcBorders>
            <w:shd w:val="clear" w:color="auto" w:fill="auto"/>
            <w:vAlign w:val="bottom"/>
          </w:tcPr>
          <w:p w14:paraId="28A52230" w14:textId="77777777" w:rsidR="0009140D" w:rsidRPr="0009140D" w:rsidRDefault="0009140D" w:rsidP="0009140D">
            <w:pPr>
              <w:pStyle w:val="Tabletext"/>
            </w:pPr>
            <w:r w:rsidRPr="0009140D">
              <w:t>1</w:t>
            </w:r>
            <w:r w:rsidR="00D7157D">
              <w:t>.</w:t>
            </w:r>
            <w:r w:rsidRPr="0009140D">
              <w:t>0848</w:t>
            </w:r>
          </w:p>
        </w:tc>
        <w:tc>
          <w:tcPr>
            <w:tcW w:w="966" w:type="pct"/>
            <w:tcBorders>
              <w:top w:val="single" w:sz="4" w:space="0" w:color="auto"/>
              <w:bottom w:val="single" w:sz="4" w:space="0" w:color="auto"/>
            </w:tcBorders>
            <w:shd w:val="clear" w:color="auto" w:fill="auto"/>
            <w:vAlign w:val="bottom"/>
          </w:tcPr>
          <w:p w14:paraId="621D5C5C" w14:textId="77777777" w:rsidR="0009140D" w:rsidRPr="0009140D" w:rsidRDefault="0009140D" w:rsidP="0009140D">
            <w:pPr>
              <w:pStyle w:val="Tabletext"/>
            </w:pPr>
            <w:r w:rsidRPr="0009140D">
              <w:t>19</w:t>
            </w:r>
            <w:r w:rsidR="00D7157D">
              <w:t>.</w:t>
            </w:r>
            <w:r w:rsidRPr="0009140D">
              <w:t>0990</w:t>
            </w:r>
          </w:p>
        </w:tc>
        <w:tc>
          <w:tcPr>
            <w:tcW w:w="966" w:type="pct"/>
            <w:tcBorders>
              <w:top w:val="single" w:sz="4" w:space="0" w:color="auto"/>
              <w:bottom w:val="single" w:sz="4" w:space="0" w:color="auto"/>
              <w:right w:val="nil"/>
            </w:tcBorders>
            <w:shd w:val="clear" w:color="auto" w:fill="auto"/>
            <w:vAlign w:val="bottom"/>
          </w:tcPr>
          <w:p w14:paraId="1B6D15DB" w14:textId="77777777" w:rsidR="0009140D" w:rsidRPr="0009140D" w:rsidRDefault="0009140D" w:rsidP="0009140D">
            <w:pPr>
              <w:pStyle w:val="Tabletext"/>
            </w:pPr>
            <w:r w:rsidRPr="0009140D">
              <w:t>0</w:t>
            </w:r>
            <w:r w:rsidR="00D7157D">
              <w:t>.</w:t>
            </w:r>
            <w:r w:rsidRPr="0009140D">
              <w:t>3017</w:t>
            </w:r>
          </w:p>
        </w:tc>
      </w:tr>
      <w:tr w:rsidR="0009140D" w:rsidRPr="0009140D" w14:paraId="59C4D5E5" w14:textId="77777777" w:rsidTr="0009140D">
        <w:trPr>
          <w:cantSplit/>
        </w:trPr>
        <w:tc>
          <w:tcPr>
            <w:tcW w:w="1136" w:type="pct"/>
            <w:tcBorders>
              <w:top w:val="single" w:sz="4" w:space="0" w:color="auto"/>
              <w:bottom w:val="single" w:sz="4" w:space="0" w:color="auto"/>
            </w:tcBorders>
          </w:tcPr>
          <w:p w14:paraId="7CEB65DB" w14:textId="77777777" w:rsidR="0009140D" w:rsidRPr="0009140D" w:rsidRDefault="0009140D" w:rsidP="0009140D">
            <w:pPr>
              <w:pStyle w:val="Tabletext"/>
            </w:pPr>
            <w:r w:rsidRPr="0009140D">
              <w:t>55</w:t>
            </w:r>
          </w:p>
        </w:tc>
        <w:tc>
          <w:tcPr>
            <w:tcW w:w="966" w:type="pct"/>
            <w:tcBorders>
              <w:top w:val="single" w:sz="4" w:space="0" w:color="auto"/>
              <w:bottom w:val="single" w:sz="4" w:space="0" w:color="auto"/>
            </w:tcBorders>
            <w:shd w:val="clear" w:color="auto" w:fill="auto"/>
            <w:vAlign w:val="bottom"/>
          </w:tcPr>
          <w:p w14:paraId="6DAF71C0" w14:textId="77777777" w:rsidR="0009140D" w:rsidRPr="0009140D" w:rsidRDefault="0009140D" w:rsidP="0009140D">
            <w:pPr>
              <w:pStyle w:val="Tabletext"/>
            </w:pPr>
            <w:r w:rsidRPr="0009140D">
              <w:t>17</w:t>
            </w:r>
            <w:r w:rsidR="00D7157D">
              <w:t>.</w:t>
            </w:r>
            <w:r w:rsidRPr="0009140D">
              <w:t>1794</w:t>
            </w:r>
          </w:p>
        </w:tc>
        <w:tc>
          <w:tcPr>
            <w:tcW w:w="966" w:type="pct"/>
            <w:tcBorders>
              <w:top w:val="single" w:sz="4" w:space="0" w:color="auto"/>
              <w:bottom w:val="single" w:sz="4" w:space="0" w:color="auto"/>
            </w:tcBorders>
            <w:shd w:val="clear" w:color="auto" w:fill="auto"/>
            <w:vAlign w:val="bottom"/>
          </w:tcPr>
          <w:p w14:paraId="7EABC1DD" w14:textId="77777777" w:rsidR="0009140D" w:rsidRPr="0009140D" w:rsidRDefault="0009140D" w:rsidP="0009140D">
            <w:pPr>
              <w:pStyle w:val="Tabletext"/>
            </w:pPr>
            <w:r w:rsidRPr="0009140D">
              <w:t>0</w:t>
            </w:r>
            <w:r w:rsidR="00D7157D">
              <w:t>.</w:t>
            </w:r>
            <w:r w:rsidRPr="0009140D">
              <w:t>6851</w:t>
            </w:r>
          </w:p>
        </w:tc>
        <w:tc>
          <w:tcPr>
            <w:tcW w:w="966" w:type="pct"/>
            <w:tcBorders>
              <w:top w:val="single" w:sz="4" w:space="0" w:color="auto"/>
              <w:bottom w:val="single" w:sz="4" w:space="0" w:color="auto"/>
            </w:tcBorders>
            <w:shd w:val="clear" w:color="auto" w:fill="auto"/>
            <w:vAlign w:val="bottom"/>
          </w:tcPr>
          <w:p w14:paraId="1E3949E0" w14:textId="77777777" w:rsidR="0009140D" w:rsidRPr="0009140D" w:rsidRDefault="0009140D" w:rsidP="0009140D">
            <w:pPr>
              <w:pStyle w:val="Tabletext"/>
            </w:pPr>
            <w:r w:rsidRPr="0009140D">
              <w:t>18</w:t>
            </w:r>
            <w:r w:rsidR="00D7157D">
              <w:t>.</w:t>
            </w:r>
            <w:r w:rsidRPr="0009140D">
              <w:t>7225</w:t>
            </w:r>
          </w:p>
        </w:tc>
        <w:tc>
          <w:tcPr>
            <w:tcW w:w="966" w:type="pct"/>
            <w:tcBorders>
              <w:top w:val="single" w:sz="4" w:space="0" w:color="auto"/>
              <w:bottom w:val="single" w:sz="4" w:space="0" w:color="auto"/>
              <w:right w:val="nil"/>
            </w:tcBorders>
            <w:shd w:val="clear" w:color="auto" w:fill="auto"/>
            <w:vAlign w:val="bottom"/>
          </w:tcPr>
          <w:p w14:paraId="16D3E354" w14:textId="77777777" w:rsidR="0009140D" w:rsidRPr="0009140D" w:rsidRDefault="0009140D" w:rsidP="0009140D">
            <w:pPr>
              <w:pStyle w:val="Tabletext"/>
            </w:pPr>
            <w:r w:rsidRPr="0009140D">
              <w:t>0</w:t>
            </w:r>
            <w:r w:rsidR="00D7157D">
              <w:t>.</w:t>
            </w:r>
            <w:r w:rsidRPr="0009140D">
              <w:t>1901</w:t>
            </w:r>
          </w:p>
        </w:tc>
      </w:tr>
      <w:tr w:rsidR="0009140D" w:rsidRPr="0009140D" w14:paraId="1C6BAC25" w14:textId="77777777" w:rsidTr="0009140D">
        <w:trPr>
          <w:cantSplit/>
        </w:trPr>
        <w:tc>
          <w:tcPr>
            <w:tcW w:w="1136" w:type="pct"/>
            <w:tcBorders>
              <w:top w:val="single" w:sz="4" w:space="0" w:color="auto"/>
              <w:bottom w:val="single" w:sz="4" w:space="0" w:color="auto"/>
            </w:tcBorders>
          </w:tcPr>
          <w:p w14:paraId="6F4E9DDC" w14:textId="77777777" w:rsidR="0009140D" w:rsidRPr="0009140D" w:rsidRDefault="0009140D" w:rsidP="0009140D">
            <w:pPr>
              <w:pStyle w:val="Tabletext"/>
            </w:pPr>
            <w:r w:rsidRPr="0009140D">
              <w:t>56</w:t>
            </w:r>
          </w:p>
        </w:tc>
        <w:tc>
          <w:tcPr>
            <w:tcW w:w="966" w:type="pct"/>
            <w:tcBorders>
              <w:top w:val="single" w:sz="4" w:space="0" w:color="auto"/>
              <w:bottom w:val="single" w:sz="4" w:space="0" w:color="auto"/>
            </w:tcBorders>
            <w:shd w:val="clear" w:color="auto" w:fill="auto"/>
            <w:vAlign w:val="bottom"/>
          </w:tcPr>
          <w:p w14:paraId="360B01CD" w14:textId="77777777" w:rsidR="0009140D" w:rsidRPr="0009140D" w:rsidRDefault="0009140D" w:rsidP="0009140D">
            <w:pPr>
              <w:pStyle w:val="Tabletext"/>
            </w:pPr>
            <w:r w:rsidRPr="0009140D">
              <w:t>16</w:t>
            </w:r>
            <w:r w:rsidR="00D7157D">
              <w:t>.</w:t>
            </w:r>
            <w:r w:rsidRPr="0009140D">
              <w:t>7953</w:t>
            </w:r>
          </w:p>
        </w:tc>
        <w:tc>
          <w:tcPr>
            <w:tcW w:w="966" w:type="pct"/>
            <w:tcBorders>
              <w:top w:val="single" w:sz="4" w:space="0" w:color="auto"/>
              <w:bottom w:val="single" w:sz="4" w:space="0" w:color="auto"/>
            </w:tcBorders>
            <w:shd w:val="clear" w:color="auto" w:fill="auto"/>
            <w:vAlign w:val="bottom"/>
          </w:tcPr>
          <w:p w14:paraId="5F50D922" w14:textId="77777777" w:rsidR="0009140D" w:rsidRPr="0009140D" w:rsidRDefault="0009140D" w:rsidP="0009140D">
            <w:pPr>
              <w:pStyle w:val="Tabletext"/>
            </w:pPr>
            <w:r w:rsidRPr="0009140D">
              <w:t>0</w:t>
            </w:r>
            <w:r w:rsidR="00D7157D">
              <w:t>.</w:t>
            </w:r>
            <w:r w:rsidRPr="0009140D">
              <w:t>6916</w:t>
            </w:r>
          </w:p>
        </w:tc>
        <w:tc>
          <w:tcPr>
            <w:tcW w:w="966" w:type="pct"/>
            <w:tcBorders>
              <w:top w:val="single" w:sz="4" w:space="0" w:color="auto"/>
              <w:bottom w:val="single" w:sz="4" w:space="0" w:color="auto"/>
            </w:tcBorders>
            <w:shd w:val="clear" w:color="auto" w:fill="auto"/>
            <w:vAlign w:val="bottom"/>
          </w:tcPr>
          <w:p w14:paraId="3BA6C804" w14:textId="77777777" w:rsidR="0009140D" w:rsidRPr="0009140D" w:rsidRDefault="0009140D" w:rsidP="0009140D">
            <w:pPr>
              <w:pStyle w:val="Tabletext"/>
            </w:pPr>
            <w:r w:rsidRPr="0009140D">
              <w:t>18</w:t>
            </w:r>
            <w:r w:rsidR="00D7157D">
              <w:t>.</w:t>
            </w:r>
            <w:r w:rsidRPr="0009140D">
              <w:t>3396</w:t>
            </w:r>
          </w:p>
        </w:tc>
        <w:tc>
          <w:tcPr>
            <w:tcW w:w="966" w:type="pct"/>
            <w:tcBorders>
              <w:top w:val="single" w:sz="4" w:space="0" w:color="auto"/>
              <w:bottom w:val="single" w:sz="4" w:space="0" w:color="auto"/>
              <w:right w:val="nil"/>
            </w:tcBorders>
            <w:shd w:val="clear" w:color="auto" w:fill="auto"/>
            <w:vAlign w:val="bottom"/>
          </w:tcPr>
          <w:p w14:paraId="0854130E" w14:textId="77777777" w:rsidR="0009140D" w:rsidRPr="0009140D" w:rsidRDefault="0009140D" w:rsidP="0009140D">
            <w:pPr>
              <w:pStyle w:val="Tabletext"/>
            </w:pPr>
            <w:r w:rsidRPr="0009140D">
              <w:t>0</w:t>
            </w:r>
            <w:r w:rsidR="00D7157D">
              <w:t>.</w:t>
            </w:r>
            <w:r w:rsidRPr="0009140D">
              <w:t>1916</w:t>
            </w:r>
          </w:p>
        </w:tc>
      </w:tr>
      <w:tr w:rsidR="0009140D" w:rsidRPr="0009140D" w14:paraId="65065905" w14:textId="77777777" w:rsidTr="0009140D">
        <w:trPr>
          <w:cantSplit/>
        </w:trPr>
        <w:tc>
          <w:tcPr>
            <w:tcW w:w="1136" w:type="pct"/>
            <w:tcBorders>
              <w:top w:val="single" w:sz="4" w:space="0" w:color="auto"/>
              <w:bottom w:val="single" w:sz="4" w:space="0" w:color="auto"/>
            </w:tcBorders>
          </w:tcPr>
          <w:p w14:paraId="69B7D9C9" w14:textId="77777777" w:rsidR="0009140D" w:rsidRPr="0009140D" w:rsidRDefault="0009140D" w:rsidP="0009140D">
            <w:pPr>
              <w:pStyle w:val="Tabletext"/>
            </w:pPr>
            <w:r w:rsidRPr="0009140D">
              <w:t>57</w:t>
            </w:r>
          </w:p>
        </w:tc>
        <w:tc>
          <w:tcPr>
            <w:tcW w:w="966" w:type="pct"/>
            <w:tcBorders>
              <w:top w:val="single" w:sz="4" w:space="0" w:color="auto"/>
              <w:bottom w:val="single" w:sz="4" w:space="0" w:color="auto"/>
            </w:tcBorders>
            <w:shd w:val="clear" w:color="auto" w:fill="auto"/>
            <w:vAlign w:val="bottom"/>
          </w:tcPr>
          <w:p w14:paraId="4D2AE5C3" w14:textId="77777777" w:rsidR="0009140D" w:rsidRPr="0009140D" w:rsidRDefault="0009140D" w:rsidP="0009140D">
            <w:pPr>
              <w:pStyle w:val="Tabletext"/>
            </w:pPr>
            <w:r w:rsidRPr="0009140D">
              <w:t>16</w:t>
            </w:r>
            <w:r w:rsidR="00D7157D">
              <w:t>.</w:t>
            </w:r>
            <w:r w:rsidRPr="0009140D">
              <w:t>4079</w:t>
            </w:r>
          </w:p>
        </w:tc>
        <w:tc>
          <w:tcPr>
            <w:tcW w:w="966" w:type="pct"/>
            <w:tcBorders>
              <w:top w:val="single" w:sz="4" w:space="0" w:color="auto"/>
              <w:bottom w:val="single" w:sz="4" w:space="0" w:color="auto"/>
            </w:tcBorders>
            <w:shd w:val="clear" w:color="auto" w:fill="auto"/>
            <w:vAlign w:val="bottom"/>
          </w:tcPr>
          <w:p w14:paraId="01BD3958" w14:textId="77777777" w:rsidR="0009140D" w:rsidRPr="0009140D" w:rsidRDefault="0009140D" w:rsidP="0009140D">
            <w:pPr>
              <w:pStyle w:val="Tabletext"/>
            </w:pPr>
            <w:r w:rsidRPr="0009140D">
              <w:t>0</w:t>
            </w:r>
            <w:r w:rsidR="00D7157D">
              <w:t>.</w:t>
            </w:r>
            <w:r w:rsidRPr="0009140D">
              <w:t>6977</w:t>
            </w:r>
          </w:p>
        </w:tc>
        <w:tc>
          <w:tcPr>
            <w:tcW w:w="966" w:type="pct"/>
            <w:tcBorders>
              <w:top w:val="single" w:sz="4" w:space="0" w:color="auto"/>
              <w:bottom w:val="single" w:sz="4" w:space="0" w:color="auto"/>
            </w:tcBorders>
            <w:shd w:val="clear" w:color="auto" w:fill="auto"/>
            <w:vAlign w:val="bottom"/>
          </w:tcPr>
          <w:p w14:paraId="534D8DBB" w14:textId="77777777" w:rsidR="0009140D" w:rsidRPr="0009140D" w:rsidRDefault="0009140D" w:rsidP="0009140D">
            <w:pPr>
              <w:pStyle w:val="Tabletext"/>
            </w:pPr>
            <w:r w:rsidRPr="0009140D">
              <w:t>17</w:t>
            </w:r>
            <w:r w:rsidR="00D7157D">
              <w:t>.</w:t>
            </w:r>
            <w:r w:rsidRPr="0009140D">
              <w:t>9503</w:t>
            </w:r>
          </w:p>
        </w:tc>
        <w:tc>
          <w:tcPr>
            <w:tcW w:w="966" w:type="pct"/>
            <w:tcBorders>
              <w:top w:val="single" w:sz="4" w:space="0" w:color="auto"/>
              <w:bottom w:val="single" w:sz="4" w:space="0" w:color="auto"/>
              <w:right w:val="nil"/>
            </w:tcBorders>
            <w:shd w:val="clear" w:color="auto" w:fill="auto"/>
            <w:vAlign w:val="bottom"/>
          </w:tcPr>
          <w:p w14:paraId="61431195" w14:textId="77777777" w:rsidR="0009140D" w:rsidRPr="0009140D" w:rsidRDefault="0009140D" w:rsidP="0009140D">
            <w:pPr>
              <w:pStyle w:val="Tabletext"/>
            </w:pPr>
            <w:r w:rsidRPr="0009140D">
              <w:t>0</w:t>
            </w:r>
            <w:r w:rsidR="00D7157D">
              <w:t>.</w:t>
            </w:r>
            <w:r w:rsidRPr="0009140D">
              <w:t>1929</w:t>
            </w:r>
          </w:p>
        </w:tc>
      </w:tr>
      <w:tr w:rsidR="0009140D" w:rsidRPr="0009140D" w14:paraId="1617E674" w14:textId="77777777" w:rsidTr="0009140D">
        <w:trPr>
          <w:cantSplit/>
        </w:trPr>
        <w:tc>
          <w:tcPr>
            <w:tcW w:w="1136" w:type="pct"/>
            <w:tcBorders>
              <w:top w:val="single" w:sz="4" w:space="0" w:color="auto"/>
              <w:bottom w:val="single" w:sz="4" w:space="0" w:color="auto"/>
            </w:tcBorders>
          </w:tcPr>
          <w:p w14:paraId="3F91F121" w14:textId="77777777" w:rsidR="0009140D" w:rsidRPr="0009140D" w:rsidRDefault="0009140D" w:rsidP="0009140D">
            <w:pPr>
              <w:pStyle w:val="Tabletext"/>
            </w:pPr>
            <w:r w:rsidRPr="0009140D">
              <w:t>58</w:t>
            </w:r>
          </w:p>
        </w:tc>
        <w:tc>
          <w:tcPr>
            <w:tcW w:w="966" w:type="pct"/>
            <w:tcBorders>
              <w:top w:val="single" w:sz="4" w:space="0" w:color="auto"/>
              <w:bottom w:val="single" w:sz="4" w:space="0" w:color="auto"/>
            </w:tcBorders>
            <w:shd w:val="clear" w:color="auto" w:fill="auto"/>
            <w:vAlign w:val="bottom"/>
          </w:tcPr>
          <w:p w14:paraId="5CDC506F" w14:textId="77777777" w:rsidR="0009140D" w:rsidRPr="0009140D" w:rsidRDefault="0009140D" w:rsidP="0009140D">
            <w:pPr>
              <w:pStyle w:val="Tabletext"/>
            </w:pPr>
            <w:r w:rsidRPr="0009140D">
              <w:t>16</w:t>
            </w:r>
            <w:r w:rsidR="00D7157D">
              <w:t>.</w:t>
            </w:r>
            <w:r w:rsidRPr="0009140D">
              <w:t>0175</w:t>
            </w:r>
          </w:p>
        </w:tc>
        <w:tc>
          <w:tcPr>
            <w:tcW w:w="966" w:type="pct"/>
            <w:tcBorders>
              <w:top w:val="single" w:sz="4" w:space="0" w:color="auto"/>
              <w:bottom w:val="single" w:sz="4" w:space="0" w:color="auto"/>
            </w:tcBorders>
            <w:shd w:val="clear" w:color="auto" w:fill="auto"/>
            <w:vAlign w:val="bottom"/>
          </w:tcPr>
          <w:p w14:paraId="0B069D2D" w14:textId="77777777" w:rsidR="0009140D" w:rsidRPr="0009140D" w:rsidRDefault="0009140D" w:rsidP="0009140D">
            <w:pPr>
              <w:pStyle w:val="Tabletext"/>
            </w:pPr>
            <w:r w:rsidRPr="0009140D">
              <w:t>0</w:t>
            </w:r>
            <w:r w:rsidR="00D7157D">
              <w:t>.</w:t>
            </w:r>
            <w:r w:rsidRPr="0009140D">
              <w:t>7031</w:t>
            </w:r>
          </w:p>
        </w:tc>
        <w:tc>
          <w:tcPr>
            <w:tcW w:w="966" w:type="pct"/>
            <w:tcBorders>
              <w:top w:val="single" w:sz="4" w:space="0" w:color="auto"/>
              <w:bottom w:val="single" w:sz="4" w:space="0" w:color="auto"/>
            </w:tcBorders>
            <w:shd w:val="clear" w:color="auto" w:fill="auto"/>
            <w:vAlign w:val="bottom"/>
          </w:tcPr>
          <w:p w14:paraId="17C87B93" w14:textId="77777777" w:rsidR="0009140D" w:rsidRPr="0009140D" w:rsidRDefault="0009140D" w:rsidP="0009140D">
            <w:pPr>
              <w:pStyle w:val="Tabletext"/>
            </w:pPr>
            <w:r w:rsidRPr="0009140D">
              <w:t>17</w:t>
            </w:r>
            <w:r w:rsidR="00D7157D">
              <w:t>.</w:t>
            </w:r>
            <w:r w:rsidRPr="0009140D">
              <w:t>5540</w:t>
            </w:r>
          </w:p>
        </w:tc>
        <w:tc>
          <w:tcPr>
            <w:tcW w:w="966" w:type="pct"/>
            <w:tcBorders>
              <w:top w:val="single" w:sz="4" w:space="0" w:color="auto"/>
              <w:bottom w:val="single" w:sz="4" w:space="0" w:color="auto"/>
              <w:right w:val="nil"/>
            </w:tcBorders>
            <w:shd w:val="clear" w:color="auto" w:fill="auto"/>
            <w:vAlign w:val="bottom"/>
          </w:tcPr>
          <w:p w14:paraId="01398109" w14:textId="77777777" w:rsidR="0009140D" w:rsidRPr="0009140D" w:rsidRDefault="0009140D" w:rsidP="0009140D">
            <w:pPr>
              <w:pStyle w:val="Tabletext"/>
            </w:pPr>
            <w:r w:rsidRPr="0009140D">
              <w:t>0</w:t>
            </w:r>
            <w:r w:rsidR="00D7157D">
              <w:t>.</w:t>
            </w:r>
            <w:r w:rsidRPr="0009140D">
              <w:t>1941</w:t>
            </w:r>
          </w:p>
        </w:tc>
      </w:tr>
      <w:tr w:rsidR="0009140D" w:rsidRPr="0009140D" w14:paraId="3BA169F4" w14:textId="77777777" w:rsidTr="0009140D">
        <w:trPr>
          <w:cantSplit/>
        </w:trPr>
        <w:tc>
          <w:tcPr>
            <w:tcW w:w="1136" w:type="pct"/>
            <w:tcBorders>
              <w:top w:val="single" w:sz="4" w:space="0" w:color="auto"/>
              <w:bottom w:val="single" w:sz="4" w:space="0" w:color="auto"/>
            </w:tcBorders>
          </w:tcPr>
          <w:p w14:paraId="2DF09BC0" w14:textId="77777777" w:rsidR="0009140D" w:rsidRPr="0009140D" w:rsidRDefault="0009140D" w:rsidP="0009140D">
            <w:pPr>
              <w:pStyle w:val="Tabletext"/>
            </w:pPr>
            <w:r w:rsidRPr="0009140D">
              <w:t>59</w:t>
            </w:r>
          </w:p>
        </w:tc>
        <w:tc>
          <w:tcPr>
            <w:tcW w:w="966" w:type="pct"/>
            <w:tcBorders>
              <w:top w:val="single" w:sz="4" w:space="0" w:color="auto"/>
              <w:bottom w:val="single" w:sz="4" w:space="0" w:color="auto"/>
            </w:tcBorders>
            <w:shd w:val="clear" w:color="auto" w:fill="auto"/>
            <w:vAlign w:val="bottom"/>
          </w:tcPr>
          <w:p w14:paraId="0293EF28" w14:textId="77777777" w:rsidR="0009140D" w:rsidRPr="0009140D" w:rsidRDefault="0009140D" w:rsidP="0009140D">
            <w:pPr>
              <w:pStyle w:val="Tabletext"/>
            </w:pPr>
            <w:r w:rsidRPr="0009140D">
              <w:t>15</w:t>
            </w:r>
            <w:r w:rsidR="00D7157D">
              <w:t>.</w:t>
            </w:r>
            <w:r w:rsidRPr="0009140D">
              <w:t>6239</w:t>
            </w:r>
          </w:p>
        </w:tc>
        <w:tc>
          <w:tcPr>
            <w:tcW w:w="966" w:type="pct"/>
            <w:tcBorders>
              <w:top w:val="single" w:sz="4" w:space="0" w:color="auto"/>
              <w:bottom w:val="single" w:sz="4" w:space="0" w:color="auto"/>
            </w:tcBorders>
            <w:shd w:val="clear" w:color="auto" w:fill="auto"/>
            <w:vAlign w:val="bottom"/>
          </w:tcPr>
          <w:p w14:paraId="004A7790" w14:textId="77777777" w:rsidR="0009140D" w:rsidRPr="0009140D" w:rsidRDefault="0009140D" w:rsidP="0009140D">
            <w:pPr>
              <w:pStyle w:val="Tabletext"/>
            </w:pPr>
            <w:r w:rsidRPr="0009140D">
              <w:t>0</w:t>
            </w:r>
            <w:r w:rsidR="00D7157D">
              <w:t>.</w:t>
            </w:r>
            <w:r w:rsidRPr="0009140D">
              <w:t>7079</w:t>
            </w:r>
          </w:p>
        </w:tc>
        <w:tc>
          <w:tcPr>
            <w:tcW w:w="966" w:type="pct"/>
            <w:tcBorders>
              <w:top w:val="single" w:sz="4" w:space="0" w:color="auto"/>
              <w:bottom w:val="single" w:sz="4" w:space="0" w:color="auto"/>
            </w:tcBorders>
            <w:shd w:val="clear" w:color="auto" w:fill="auto"/>
            <w:vAlign w:val="bottom"/>
          </w:tcPr>
          <w:p w14:paraId="43D9769D" w14:textId="77777777" w:rsidR="0009140D" w:rsidRPr="0009140D" w:rsidRDefault="0009140D" w:rsidP="0009140D">
            <w:pPr>
              <w:pStyle w:val="Tabletext"/>
            </w:pPr>
            <w:r w:rsidRPr="0009140D">
              <w:t>17</w:t>
            </w:r>
            <w:r w:rsidR="00D7157D">
              <w:t>.</w:t>
            </w:r>
            <w:r w:rsidRPr="0009140D">
              <w:t>1510</w:t>
            </w:r>
          </w:p>
        </w:tc>
        <w:tc>
          <w:tcPr>
            <w:tcW w:w="966" w:type="pct"/>
            <w:tcBorders>
              <w:top w:val="single" w:sz="4" w:space="0" w:color="auto"/>
              <w:bottom w:val="single" w:sz="4" w:space="0" w:color="auto"/>
              <w:right w:val="nil"/>
            </w:tcBorders>
            <w:shd w:val="clear" w:color="auto" w:fill="auto"/>
            <w:vAlign w:val="bottom"/>
          </w:tcPr>
          <w:p w14:paraId="08A84D12" w14:textId="77777777" w:rsidR="0009140D" w:rsidRPr="0009140D" w:rsidRDefault="0009140D" w:rsidP="0009140D">
            <w:pPr>
              <w:pStyle w:val="Tabletext"/>
            </w:pPr>
            <w:r w:rsidRPr="0009140D">
              <w:t>0</w:t>
            </w:r>
            <w:r w:rsidR="00D7157D">
              <w:t>.</w:t>
            </w:r>
            <w:r w:rsidRPr="0009140D">
              <w:t>1951</w:t>
            </w:r>
          </w:p>
        </w:tc>
      </w:tr>
      <w:tr w:rsidR="0009140D" w:rsidRPr="0009140D" w14:paraId="5AB5060E" w14:textId="77777777" w:rsidTr="0009140D">
        <w:trPr>
          <w:cantSplit/>
        </w:trPr>
        <w:tc>
          <w:tcPr>
            <w:tcW w:w="1136" w:type="pct"/>
            <w:tcBorders>
              <w:top w:val="single" w:sz="4" w:space="0" w:color="auto"/>
              <w:bottom w:val="single" w:sz="4" w:space="0" w:color="auto"/>
            </w:tcBorders>
          </w:tcPr>
          <w:p w14:paraId="3A6A9B3E" w14:textId="77777777" w:rsidR="0009140D" w:rsidRPr="0009140D" w:rsidRDefault="0009140D" w:rsidP="0009140D">
            <w:pPr>
              <w:pStyle w:val="Tabletext"/>
            </w:pPr>
            <w:r w:rsidRPr="0009140D">
              <w:t>60</w:t>
            </w:r>
          </w:p>
        </w:tc>
        <w:tc>
          <w:tcPr>
            <w:tcW w:w="966" w:type="pct"/>
            <w:tcBorders>
              <w:top w:val="single" w:sz="4" w:space="0" w:color="auto"/>
              <w:bottom w:val="single" w:sz="4" w:space="0" w:color="auto"/>
            </w:tcBorders>
            <w:shd w:val="clear" w:color="auto" w:fill="auto"/>
            <w:vAlign w:val="bottom"/>
          </w:tcPr>
          <w:p w14:paraId="26D27F0E" w14:textId="77777777" w:rsidR="0009140D" w:rsidRPr="0009140D" w:rsidRDefault="0009140D" w:rsidP="0009140D">
            <w:pPr>
              <w:pStyle w:val="Tabletext"/>
            </w:pPr>
            <w:r w:rsidRPr="0009140D">
              <w:t>15</w:t>
            </w:r>
            <w:r w:rsidR="00D7157D">
              <w:t>.</w:t>
            </w:r>
            <w:r w:rsidRPr="0009140D">
              <w:t>2274</w:t>
            </w:r>
          </w:p>
        </w:tc>
        <w:tc>
          <w:tcPr>
            <w:tcW w:w="966" w:type="pct"/>
            <w:tcBorders>
              <w:top w:val="single" w:sz="4" w:space="0" w:color="auto"/>
              <w:bottom w:val="single" w:sz="4" w:space="0" w:color="auto"/>
            </w:tcBorders>
            <w:shd w:val="clear" w:color="auto" w:fill="auto"/>
            <w:vAlign w:val="bottom"/>
          </w:tcPr>
          <w:p w14:paraId="7460F447" w14:textId="77777777" w:rsidR="0009140D" w:rsidRPr="0009140D" w:rsidRDefault="0009140D" w:rsidP="0009140D">
            <w:pPr>
              <w:pStyle w:val="Tabletext"/>
            </w:pPr>
            <w:r w:rsidRPr="0009140D">
              <w:t>0</w:t>
            </w:r>
            <w:r w:rsidR="00D7157D">
              <w:t>.</w:t>
            </w:r>
            <w:r w:rsidRPr="0009140D">
              <w:t>7121</w:t>
            </w:r>
          </w:p>
        </w:tc>
        <w:tc>
          <w:tcPr>
            <w:tcW w:w="966" w:type="pct"/>
            <w:tcBorders>
              <w:top w:val="single" w:sz="4" w:space="0" w:color="auto"/>
              <w:bottom w:val="single" w:sz="4" w:space="0" w:color="auto"/>
            </w:tcBorders>
            <w:shd w:val="clear" w:color="auto" w:fill="auto"/>
            <w:vAlign w:val="bottom"/>
          </w:tcPr>
          <w:p w14:paraId="468850D6" w14:textId="77777777" w:rsidR="0009140D" w:rsidRPr="0009140D" w:rsidRDefault="0009140D" w:rsidP="0009140D">
            <w:pPr>
              <w:pStyle w:val="Tabletext"/>
            </w:pPr>
            <w:r w:rsidRPr="0009140D">
              <w:t>16</w:t>
            </w:r>
            <w:r w:rsidR="00D7157D">
              <w:t>.</w:t>
            </w:r>
            <w:r w:rsidRPr="0009140D">
              <w:t>7410</w:t>
            </w:r>
          </w:p>
        </w:tc>
        <w:tc>
          <w:tcPr>
            <w:tcW w:w="966" w:type="pct"/>
            <w:tcBorders>
              <w:top w:val="single" w:sz="4" w:space="0" w:color="auto"/>
              <w:bottom w:val="single" w:sz="4" w:space="0" w:color="auto"/>
              <w:right w:val="nil"/>
            </w:tcBorders>
            <w:shd w:val="clear" w:color="auto" w:fill="auto"/>
            <w:vAlign w:val="bottom"/>
          </w:tcPr>
          <w:p w14:paraId="7692041F" w14:textId="77777777" w:rsidR="0009140D" w:rsidRPr="0009140D" w:rsidRDefault="0009140D" w:rsidP="0009140D">
            <w:pPr>
              <w:pStyle w:val="Tabletext"/>
            </w:pPr>
            <w:r w:rsidRPr="0009140D">
              <w:t>0</w:t>
            </w:r>
            <w:r w:rsidR="00D7157D">
              <w:t>.</w:t>
            </w:r>
            <w:r w:rsidRPr="0009140D">
              <w:t>1961</w:t>
            </w:r>
          </w:p>
        </w:tc>
      </w:tr>
      <w:tr w:rsidR="0009140D" w:rsidRPr="0009140D" w14:paraId="3BA06D45" w14:textId="77777777" w:rsidTr="0009140D">
        <w:trPr>
          <w:cantSplit/>
        </w:trPr>
        <w:tc>
          <w:tcPr>
            <w:tcW w:w="1136" w:type="pct"/>
            <w:tcBorders>
              <w:top w:val="single" w:sz="4" w:space="0" w:color="auto"/>
              <w:bottom w:val="single" w:sz="4" w:space="0" w:color="auto"/>
            </w:tcBorders>
          </w:tcPr>
          <w:p w14:paraId="6DB63D65" w14:textId="77777777" w:rsidR="0009140D" w:rsidRPr="0009140D" w:rsidRDefault="0009140D" w:rsidP="0009140D">
            <w:pPr>
              <w:pStyle w:val="Tabletext"/>
            </w:pPr>
            <w:r w:rsidRPr="0009140D">
              <w:t>61</w:t>
            </w:r>
          </w:p>
        </w:tc>
        <w:tc>
          <w:tcPr>
            <w:tcW w:w="966" w:type="pct"/>
            <w:tcBorders>
              <w:top w:val="single" w:sz="4" w:space="0" w:color="auto"/>
              <w:bottom w:val="single" w:sz="4" w:space="0" w:color="auto"/>
            </w:tcBorders>
            <w:shd w:val="clear" w:color="auto" w:fill="auto"/>
            <w:vAlign w:val="bottom"/>
          </w:tcPr>
          <w:p w14:paraId="035E44A1" w14:textId="77777777" w:rsidR="0009140D" w:rsidRPr="0009140D" w:rsidRDefault="0009140D" w:rsidP="0009140D">
            <w:pPr>
              <w:pStyle w:val="Tabletext"/>
            </w:pPr>
            <w:r w:rsidRPr="0009140D">
              <w:t>14</w:t>
            </w:r>
            <w:r w:rsidR="00D7157D">
              <w:t>.</w:t>
            </w:r>
            <w:r w:rsidRPr="0009140D">
              <w:t>8279</w:t>
            </w:r>
          </w:p>
        </w:tc>
        <w:tc>
          <w:tcPr>
            <w:tcW w:w="966" w:type="pct"/>
            <w:tcBorders>
              <w:top w:val="single" w:sz="4" w:space="0" w:color="auto"/>
              <w:bottom w:val="single" w:sz="4" w:space="0" w:color="auto"/>
            </w:tcBorders>
            <w:shd w:val="clear" w:color="auto" w:fill="auto"/>
            <w:vAlign w:val="bottom"/>
          </w:tcPr>
          <w:p w14:paraId="527B8E8F" w14:textId="77777777" w:rsidR="0009140D" w:rsidRPr="0009140D" w:rsidRDefault="0009140D" w:rsidP="0009140D">
            <w:pPr>
              <w:pStyle w:val="Tabletext"/>
            </w:pPr>
            <w:r w:rsidRPr="0009140D">
              <w:t>0</w:t>
            </w:r>
            <w:r w:rsidR="00D7157D">
              <w:t>.</w:t>
            </w:r>
            <w:r w:rsidRPr="0009140D">
              <w:t>7157</w:t>
            </w:r>
          </w:p>
        </w:tc>
        <w:tc>
          <w:tcPr>
            <w:tcW w:w="966" w:type="pct"/>
            <w:tcBorders>
              <w:top w:val="single" w:sz="4" w:space="0" w:color="auto"/>
              <w:bottom w:val="single" w:sz="4" w:space="0" w:color="auto"/>
            </w:tcBorders>
            <w:shd w:val="clear" w:color="auto" w:fill="auto"/>
            <w:vAlign w:val="bottom"/>
          </w:tcPr>
          <w:p w14:paraId="6918D505" w14:textId="77777777" w:rsidR="0009140D" w:rsidRPr="0009140D" w:rsidRDefault="0009140D" w:rsidP="0009140D">
            <w:pPr>
              <w:pStyle w:val="Tabletext"/>
            </w:pPr>
            <w:r w:rsidRPr="0009140D">
              <w:t>16</w:t>
            </w:r>
            <w:r w:rsidR="00D7157D">
              <w:t>.</w:t>
            </w:r>
            <w:r w:rsidRPr="0009140D">
              <w:t>3239</w:t>
            </w:r>
          </w:p>
        </w:tc>
        <w:tc>
          <w:tcPr>
            <w:tcW w:w="966" w:type="pct"/>
            <w:tcBorders>
              <w:top w:val="single" w:sz="4" w:space="0" w:color="auto"/>
              <w:bottom w:val="single" w:sz="4" w:space="0" w:color="auto"/>
              <w:right w:val="nil"/>
            </w:tcBorders>
            <w:shd w:val="clear" w:color="auto" w:fill="auto"/>
            <w:vAlign w:val="bottom"/>
          </w:tcPr>
          <w:p w14:paraId="78B10F2F" w14:textId="77777777" w:rsidR="0009140D" w:rsidRPr="0009140D" w:rsidRDefault="0009140D" w:rsidP="0009140D">
            <w:pPr>
              <w:pStyle w:val="Tabletext"/>
            </w:pPr>
            <w:r w:rsidRPr="0009140D">
              <w:t>0</w:t>
            </w:r>
            <w:r w:rsidR="00D7157D">
              <w:t>.</w:t>
            </w:r>
            <w:r w:rsidRPr="0009140D">
              <w:t>1969</w:t>
            </w:r>
          </w:p>
        </w:tc>
      </w:tr>
      <w:tr w:rsidR="0009140D" w:rsidRPr="0009140D" w14:paraId="5EDC1402" w14:textId="77777777" w:rsidTr="0009140D">
        <w:trPr>
          <w:cantSplit/>
        </w:trPr>
        <w:tc>
          <w:tcPr>
            <w:tcW w:w="1136" w:type="pct"/>
            <w:tcBorders>
              <w:top w:val="single" w:sz="4" w:space="0" w:color="auto"/>
              <w:bottom w:val="single" w:sz="4" w:space="0" w:color="auto"/>
            </w:tcBorders>
          </w:tcPr>
          <w:p w14:paraId="148CB8D3" w14:textId="77777777" w:rsidR="0009140D" w:rsidRPr="0009140D" w:rsidRDefault="0009140D" w:rsidP="0009140D">
            <w:pPr>
              <w:pStyle w:val="Tabletext"/>
            </w:pPr>
            <w:r w:rsidRPr="0009140D">
              <w:t>62</w:t>
            </w:r>
          </w:p>
        </w:tc>
        <w:tc>
          <w:tcPr>
            <w:tcW w:w="966" w:type="pct"/>
            <w:tcBorders>
              <w:top w:val="single" w:sz="4" w:space="0" w:color="auto"/>
              <w:bottom w:val="single" w:sz="4" w:space="0" w:color="auto"/>
            </w:tcBorders>
            <w:shd w:val="clear" w:color="auto" w:fill="auto"/>
            <w:vAlign w:val="bottom"/>
          </w:tcPr>
          <w:p w14:paraId="759B3870" w14:textId="77777777" w:rsidR="0009140D" w:rsidRPr="0009140D" w:rsidRDefault="0009140D" w:rsidP="0009140D">
            <w:pPr>
              <w:pStyle w:val="Tabletext"/>
            </w:pPr>
            <w:r w:rsidRPr="0009140D">
              <w:t>14</w:t>
            </w:r>
            <w:r w:rsidR="00D7157D">
              <w:t>.</w:t>
            </w:r>
            <w:r w:rsidRPr="0009140D">
              <w:t>4252</w:t>
            </w:r>
          </w:p>
        </w:tc>
        <w:tc>
          <w:tcPr>
            <w:tcW w:w="966" w:type="pct"/>
            <w:tcBorders>
              <w:top w:val="single" w:sz="4" w:space="0" w:color="auto"/>
              <w:bottom w:val="single" w:sz="4" w:space="0" w:color="auto"/>
            </w:tcBorders>
            <w:shd w:val="clear" w:color="auto" w:fill="auto"/>
            <w:vAlign w:val="bottom"/>
          </w:tcPr>
          <w:p w14:paraId="5ED10CF5" w14:textId="77777777" w:rsidR="0009140D" w:rsidRPr="0009140D" w:rsidRDefault="0009140D" w:rsidP="0009140D">
            <w:pPr>
              <w:pStyle w:val="Tabletext"/>
            </w:pPr>
            <w:r w:rsidRPr="0009140D">
              <w:t>0</w:t>
            </w:r>
            <w:r w:rsidR="00D7157D">
              <w:t>.</w:t>
            </w:r>
            <w:r w:rsidRPr="0009140D">
              <w:t>7186</w:t>
            </w:r>
          </w:p>
        </w:tc>
        <w:tc>
          <w:tcPr>
            <w:tcW w:w="966" w:type="pct"/>
            <w:tcBorders>
              <w:top w:val="single" w:sz="4" w:space="0" w:color="auto"/>
              <w:bottom w:val="single" w:sz="4" w:space="0" w:color="auto"/>
            </w:tcBorders>
            <w:shd w:val="clear" w:color="auto" w:fill="auto"/>
            <w:vAlign w:val="bottom"/>
          </w:tcPr>
          <w:p w14:paraId="14EAFEFB" w14:textId="77777777" w:rsidR="0009140D" w:rsidRPr="0009140D" w:rsidRDefault="0009140D" w:rsidP="0009140D">
            <w:pPr>
              <w:pStyle w:val="Tabletext"/>
            </w:pPr>
            <w:r w:rsidRPr="0009140D">
              <w:t>15</w:t>
            </w:r>
            <w:r w:rsidR="00D7157D">
              <w:t>.</w:t>
            </w:r>
            <w:r w:rsidRPr="0009140D">
              <w:t>8997</w:t>
            </w:r>
          </w:p>
        </w:tc>
        <w:tc>
          <w:tcPr>
            <w:tcW w:w="966" w:type="pct"/>
            <w:tcBorders>
              <w:top w:val="single" w:sz="4" w:space="0" w:color="auto"/>
              <w:bottom w:val="single" w:sz="4" w:space="0" w:color="auto"/>
              <w:right w:val="nil"/>
            </w:tcBorders>
            <w:shd w:val="clear" w:color="auto" w:fill="auto"/>
            <w:vAlign w:val="bottom"/>
          </w:tcPr>
          <w:p w14:paraId="16448CD9" w14:textId="77777777" w:rsidR="0009140D" w:rsidRPr="0009140D" w:rsidRDefault="0009140D" w:rsidP="0009140D">
            <w:pPr>
              <w:pStyle w:val="Tabletext"/>
            </w:pPr>
            <w:r w:rsidRPr="0009140D">
              <w:t>0</w:t>
            </w:r>
            <w:r w:rsidR="00D7157D">
              <w:t>.</w:t>
            </w:r>
            <w:r w:rsidRPr="0009140D">
              <w:t>1975</w:t>
            </w:r>
          </w:p>
        </w:tc>
      </w:tr>
      <w:tr w:rsidR="0009140D" w:rsidRPr="0009140D" w14:paraId="54893357" w14:textId="77777777" w:rsidTr="0009140D">
        <w:trPr>
          <w:cantSplit/>
        </w:trPr>
        <w:tc>
          <w:tcPr>
            <w:tcW w:w="1136" w:type="pct"/>
            <w:tcBorders>
              <w:top w:val="single" w:sz="4" w:space="0" w:color="auto"/>
              <w:bottom w:val="single" w:sz="4" w:space="0" w:color="auto"/>
            </w:tcBorders>
          </w:tcPr>
          <w:p w14:paraId="3BF86CE4" w14:textId="77777777" w:rsidR="0009140D" w:rsidRPr="0009140D" w:rsidRDefault="0009140D" w:rsidP="0009140D">
            <w:pPr>
              <w:pStyle w:val="Tabletext"/>
            </w:pPr>
            <w:r w:rsidRPr="0009140D">
              <w:t>63</w:t>
            </w:r>
          </w:p>
        </w:tc>
        <w:tc>
          <w:tcPr>
            <w:tcW w:w="966" w:type="pct"/>
            <w:tcBorders>
              <w:top w:val="single" w:sz="4" w:space="0" w:color="auto"/>
              <w:bottom w:val="single" w:sz="4" w:space="0" w:color="auto"/>
            </w:tcBorders>
            <w:shd w:val="clear" w:color="auto" w:fill="auto"/>
            <w:vAlign w:val="bottom"/>
          </w:tcPr>
          <w:p w14:paraId="44762A57" w14:textId="77777777" w:rsidR="0009140D" w:rsidRPr="0009140D" w:rsidRDefault="0009140D" w:rsidP="0009140D">
            <w:pPr>
              <w:pStyle w:val="Tabletext"/>
            </w:pPr>
            <w:r w:rsidRPr="0009140D">
              <w:t>14</w:t>
            </w:r>
            <w:r w:rsidR="00D7157D">
              <w:t>.</w:t>
            </w:r>
            <w:r w:rsidRPr="0009140D">
              <w:t>0190</w:t>
            </w:r>
          </w:p>
        </w:tc>
        <w:tc>
          <w:tcPr>
            <w:tcW w:w="966" w:type="pct"/>
            <w:tcBorders>
              <w:top w:val="single" w:sz="4" w:space="0" w:color="auto"/>
              <w:bottom w:val="single" w:sz="4" w:space="0" w:color="auto"/>
            </w:tcBorders>
            <w:shd w:val="clear" w:color="auto" w:fill="auto"/>
            <w:vAlign w:val="bottom"/>
          </w:tcPr>
          <w:p w14:paraId="04431856" w14:textId="77777777" w:rsidR="0009140D" w:rsidRPr="0009140D" w:rsidRDefault="0009140D" w:rsidP="0009140D">
            <w:pPr>
              <w:pStyle w:val="Tabletext"/>
            </w:pPr>
            <w:r w:rsidRPr="0009140D">
              <w:t>0</w:t>
            </w:r>
            <w:r w:rsidR="00D7157D">
              <w:t>.</w:t>
            </w:r>
            <w:r w:rsidRPr="0009140D">
              <w:t>7209</w:t>
            </w:r>
          </w:p>
        </w:tc>
        <w:tc>
          <w:tcPr>
            <w:tcW w:w="966" w:type="pct"/>
            <w:tcBorders>
              <w:top w:val="single" w:sz="4" w:space="0" w:color="auto"/>
              <w:bottom w:val="single" w:sz="4" w:space="0" w:color="auto"/>
            </w:tcBorders>
            <w:shd w:val="clear" w:color="auto" w:fill="auto"/>
            <w:vAlign w:val="bottom"/>
          </w:tcPr>
          <w:p w14:paraId="1D094EB8" w14:textId="77777777" w:rsidR="0009140D" w:rsidRPr="0009140D" w:rsidRDefault="0009140D" w:rsidP="0009140D">
            <w:pPr>
              <w:pStyle w:val="Tabletext"/>
            </w:pPr>
            <w:r w:rsidRPr="0009140D">
              <w:t>15</w:t>
            </w:r>
            <w:r w:rsidR="00D7157D">
              <w:t>.</w:t>
            </w:r>
            <w:r w:rsidRPr="0009140D">
              <w:t>4690</w:t>
            </w:r>
          </w:p>
        </w:tc>
        <w:tc>
          <w:tcPr>
            <w:tcW w:w="966" w:type="pct"/>
            <w:tcBorders>
              <w:top w:val="single" w:sz="4" w:space="0" w:color="auto"/>
              <w:bottom w:val="single" w:sz="4" w:space="0" w:color="auto"/>
              <w:right w:val="nil"/>
            </w:tcBorders>
            <w:shd w:val="clear" w:color="auto" w:fill="auto"/>
            <w:vAlign w:val="bottom"/>
          </w:tcPr>
          <w:p w14:paraId="091DBA85" w14:textId="77777777" w:rsidR="0009140D" w:rsidRPr="0009140D" w:rsidRDefault="0009140D" w:rsidP="0009140D">
            <w:pPr>
              <w:pStyle w:val="Tabletext"/>
            </w:pPr>
            <w:r w:rsidRPr="0009140D">
              <w:t>0</w:t>
            </w:r>
            <w:r w:rsidR="00D7157D">
              <w:t>.</w:t>
            </w:r>
            <w:r w:rsidRPr="0009140D">
              <w:t>1980</w:t>
            </w:r>
          </w:p>
        </w:tc>
      </w:tr>
      <w:tr w:rsidR="0009140D" w:rsidRPr="0009140D" w14:paraId="31488625" w14:textId="77777777" w:rsidTr="0009140D">
        <w:trPr>
          <w:cantSplit/>
        </w:trPr>
        <w:tc>
          <w:tcPr>
            <w:tcW w:w="1136" w:type="pct"/>
            <w:tcBorders>
              <w:top w:val="single" w:sz="4" w:space="0" w:color="auto"/>
              <w:bottom w:val="single" w:sz="4" w:space="0" w:color="auto"/>
            </w:tcBorders>
          </w:tcPr>
          <w:p w14:paraId="2E838532" w14:textId="77777777" w:rsidR="0009140D" w:rsidRPr="0009140D" w:rsidRDefault="0009140D" w:rsidP="0009140D">
            <w:pPr>
              <w:pStyle w:val="Tabletext"/>
            </w:pPr>
            <w:r w:rsidRPr="0009140D">
              <w:t>64</w:t>
            </w:r>
          </w:p>
        </w:tc>
        <w:tc>
          <w:tcPr>
            <w:tcW w:w="966" w:type="pct"/>
            <w:tcBorders>
              <w:top w:val="single" w:sz="4" w:space="0" w:color="auto"/>
              <w:bottom w:val="single" w:sz="4" w:space="0" w:color="auto"/>
            </w:tcBorders>
            <w:shd w:val="clear" w:color="auto" w:fill="auto"/>
            <w:vAlign w:val="bottom"/>
          </w:tcPr>
          <w:p w14:paraId="06999AEC" w14:textId="77777777" w:rsidR="0009140D" w:rsidRPr="0009140D" w:rsidRDefault="0009140D" w:rsidP="0009140D">
            <w:pPr>
              <w:pStyle w:val="Tabletext"/>
            </w:pPr>
            <w:r w:rsidRPr="0009140D">
              <w:t>13</w:t>
            </w:r>
            <w:r w:rsidR="00D7157D">
              <w:t>.</w:t>
            </w:r>
            <w:r w:rsidRPr="0009140D">
              <w:t>6097</w:t>
            </w:r>
          </w:p>
        </w:tc>
        <w:tc>
          <w:tcPr>
            <w:tcW w:w="966" w:type="pct"/>
            <w:tcBorders>
              <w:top w:val="single" w:sz="4" w:space="0" w:color="auto"/>
              <w:bottom w:val="single" w:sz="4" w:space="0" w:color="auto"/>
            </w:tcBorders>
            <w:shd w:val="clear" w:color="auto" w:fill="auto"/>
            <w:vAlign w:val="bottom"/>
          </w:tcPr>
          <w:p w14:paraId="4DD8F559" w14:textId="77777777" w:rsidR="0009140D" w:rsidRPr="0009140D" w:rsidRDefault="0009140D" w:rsidP="0009140D">
            <w:pPr>
              <w:pStyle w:val="Tabletext"/>
            </w:pPr>
            <w:r w:rsidRPr="0009140D">
              <w:t>0</w:t>
            </w:r>
            <w:r w:rsidR="00D7157D">
              <w:t>.</w:t>
            </w:r>
            <w:r w:rsidRPr="0009140D">
              <w:t>7226</w:t>
            </w:r>
          </w:p>
        </w:tc>
        <w:tc>
          <w:tcPr>
            <w:tcW w:w="966" w:type="pct"/>
            <w:tcBorders>
              <w:top w:val="single" w:sz="4" w:space="0" w:color="auto"/>
              <w:bottom w:val="single" w:sz="4" w:space="0" w:color="auto"/>
            </w:tcBorders>
            <w:shd w:val="clear" w:color="auto" w:fill="auto"/>
            <w:vAlign w:val="bottom"/>
          </w:tcPr>
          <w:p w14:paraId="17493838" w14:textId="77777777" w:rsidR="0009140D" w:rsidRPr="0009140D" w:rsidRDefault="0009140D" w:rsidP="0009140D">
            <w:pPr>
              <w:pStyle w:val="Tabletext"/>
            </w:pPr>
            <w:r w:rsidRPr="0009140D">
              <w:t>15</w:t>
            </w:r>
            <w:r w:rsidR="00D7157D">
              <w:t>.</w:t>
            </w:r>
            <w:r w:rsidRPr="0009140D">
              <w:t>0321</w:t>
            </w:r>
          </w:p>
        </w:tc>
        <w:tc>
          <w:tcPr>
            <w:tcW w:w="966" w:type="pct"/>
            <w:tcBorders>
              <w:top w:val="single" w:sz="4" w:space="0" w:color="auto"/>
              <w:bottom w:val="single" w:sz="4" w:space="0" w:color="auto"/>
              <w:right w:val="nil"/>
            </w:tcBorders>
            <w:shd w:val="clear" w:color="auto" w:fill="auto"/>
            <w:vAlign w:val="bottom"/>
          </w:tcPr>
          <w:p w14:paraId="6EFE6A7F" w14:textId="77777777" w:rsidR="0009140D" w:rsidRPr="0009140D" w:rsidRDefault="0009140D" w:rsidP="0009140D">
            <w:pPr>
              <w:pStyle w:val="Tabletext"/>
            </w:pPr>
            <w:r w:rsidRPr="0009140D">
              <w:t>0</w:t>
            </w:r>
            <w:r w:rsidR="00D7157D">
              <w:t>.</w:t>
            </w:r>
            <w:r w:rsidRPr="0009140D">
              <w:t>1983</w:t>
            </w:r>
          </w:p>
        </w:tc>
      </w:tr>
      <w:tr w:rsidR="0009140D" w:rsidRPr="0009140D" w14:paraId="7B5E74FF" w14:textId="77777777" w:rsidTr="0009140D">
        <w:trPr>
          <w:cantSplit/>
        </w:trPr>
        <w:tc>
          <w:tcPr>
            <w:tcW w:w="1136" w:type="pct"/>
            <w:tcBorders>
              <w:top w:val="single" w:sz="4" w:space="0" w:color="auto"/>
              <w:bottom w:val="single" w:sz="4" w:space="0" w:color="auto"/>
            </w:tcBorders>
          </w:tcPr>
          <w:p w14:paraId="464F0498" w14:textId="77777777" w:rsidR="0009140D" w:rsidRPr="0009140D" w:rsidRDefault="0009140D" w:rsidP="0009140D">
            <w:pPr>
              <w:pStyle w:val="Tabletext"/>
            </w:pPr>
            <w:r w:rsidRPr="0009140D">
              <w:t>65</w:t>
            </w:r>
          </w:p>
        </w:tc>
        <w:tc>
          <w:tcPr>
            <w:tcW w:w="966" w:type="pct"/>
            <w:tcBorders>
              <w:top w:val="single" w:sz="4" w:space="0" w:color="auto"/>
              <w:bottom w:val="single" w:sz="4" w:space="0" w:color="auto"/>
            </w:tcBorders>
            <w:shd w:val="clear" w:color="auto" w:fill="auto"/>
            <w:vAlign w:val="bottom"/>
          </w:tcPr>
          <w:p w14:paraId="60701C2D" w14:textId="77777777" w:rsidR="0009140D" w:rsidRPr="0009140D" w:rsidRDefault="0009140D" w:rsidP="0009140D">
            <w:pPr>
              <w:pStyle w:val="Tabletext"/>
            </w:pPr>
            <w:r w:rsidRPr="0009140D">
              <w:t>13</w:t>
            </w:r>
            <w:r w:rsidR="00D7157D">
              <w:t>.</w:t>
            </w:r>
            <w:r w:rsidRPr="0009140D">
              <w:t>1978</w:t>
            </w:r>
          </w:p>
        </w:tc>
        <w:tc>
          <w:tcPr>
            <w:tcW w:w="966" w:type="pct"/>
            <w:tcBorders>
              <w:top w:val="single" w:sz="4" w:space="0" w:color="auto"/>
              <w:bottom w:val="single" w:sz="4" w:space="0" w:color="auto"/>
            </w:tcBorders>
            <w:shd w:val="clear" w:color="auto" w:fill="auto"/>
            <w:vAlign w:val="bottom"/>
          </w:tcPr>
          <w:p w14:paraId="47F5C5D6" w14:textId="77777777" w:rsidR="0009140D" w:rsidRPr="0009140D" w:rsidRDefault="0009140D" w:rsidP="0009140D">
            <w:pPr>
              <w:pStyle w:val="Tabletext"/>
            </w:pPr>
            <w:r w:rsidRPr="0009140D">
              <w:t>0</w:t>
            </w:r>
            <w:r w:rsidR="00D7157D">
              <w:t>.</w:t>
            </w:r>
            <w:r w:rsidRPr="0009140D">
              <w:t>7235</w:t>
            </w:r>
          </w:p>
        </w:tc>
        <w:tc>
          <w:tcPr>
            <w:tcW w:w="966" w:type="pct"/>
            <w:tcBorders>
              <w:top w:val="single" w:sz="4" w:space="0" w:color="auto"/>
              <w:bottom w:val="single" w:sz="4" w:space="0" w:color="auto"/>
            </w:tcBorders>
            <w:shd w:val="clear" w:color="auto" w:fill="auto"/>
            <w:vAlign w:val="bottom"/>
          </w:tcPr>
          <w:p w14:paraId="3AB37444" w14:textId="77777777" w:rsidR="0009140D" w:rsidRPr="0009140D" w:rsidRDefault="0009140D" w:rsidP="0009140D">
            <w:pPr>
              <w:pStyle w:val="Tabletext"/>
            </w:pPr>
            <w:r w:rsidRPr="0009140D">
              <w:t>14</w:t>
            </w:r>
            <w:r w:rsidR="00D7157D">
              <w:t>.</w:t>
            </w:r>
            <w:r w:rsidRPr="0009140D">
              <w:t>5900</w:t>
            </w:r>
          </w:p>
        </w:tc>
        <w:tc>
          <w:tcPr>
            <w:tcW w:w="966" w:type="pct"/>
            <w:tcBorders>
              <w:top w:val="single" w:sz="4" w:space="0" w:color="auto"/>
              <w:bottom w:val="single" w:sz="4" w:space="0" w:color="auto"/>
              <w:right w:val="nil"/>
            </w:tcBorders>
            <w:shd w:val="clear" w:color="auto" w:fill="auto"/>
            <w:vAlign w:val="bottom"/>
          </w:tcPr>
          <w:p w14:paraId="11802029" w14:textId="77777777" w:rsidR="0009140D" w:rsidRPr="0009140D" w:rsidRDefault="0009140D" w:rsidP="0009140D">
            <w:pPr>
              <w:pStyle w:val="Tabletext"/>
            </w:pPr>
            <w:r w:rsidRPr="0009140D">
              <w:t>0</w:t>
            </w:r>
            <w:r w:rsidR="00D7157D">
              <w:t>.</w:t>
            </w:r>
            <w:r w:rsidRPr="0009140D">
              <w:t>1984</w:t>
            </w:r>
          </w:p>
        </w:tc>
      </w:tr>
      <w:tr w:rsidR="0009140D" w:rsidRPr="0009140D" w14:paraId="1E7C5A25" w14:textId="77777777" w:rsidTr="0009140D">
        <w:trPr>
          <w:cantSplit/>
        </w:trPr>
        <w:tc>
          <w:tcPr>
            <w:tcW w:w="1136" w:type="pct"/>
            <w:tcBorders>
              <w:top w:val="single" w:sz="4" w:space="0" w:color="auto"/>
              <w:bottom w:val="single" w:sz="4" w:space="0" w:color="auto"/>
            </w:tcBorders>
          </w:tcPr>
          <w:p w14:paraId="71BB4C00" w14:textId="77777777" w:rsidR="0009140D" w:rsidRPr="0009140D" w:rsidRDefault="0009140D" w:rsidP="0009140D">
            <w:pPr>
              <w:pStyle w:val="Tabletext"/>
            </w:pPr>
            <w:r w:rsidRPr="0009140D">
              <w:t>66</w:t>
            </w:r>
          </w:p>
        </w:tc>
        <w:tc>
          <w:tcPr>
            <w:tcW w:w="966" w:type="pct"/>
            <w:tcBorders>
              <w:top w:val="single" w:sz="4" w:space="0" w:color="auto"/>
              <w:bottom w:val="single" w:sz="4" w:space="0" w:color="auto"/>
            </w:tcBorders>
            <w:shd w:val="clear" w:color="auto" w:fill="auto"/>
            <w:vAlign w:val="bottom"/>
          </w:tcPr>
          <w:p w14:paraId="395F9576" w14:textId="77777777" w:rsidR="0009140D" w:rsidRPr="0009140D" w:rsidRDefault="0009140D" w:rsidP="0009140D">
            <w:pPr>
              <w:pStyle w:val="Tabletext"/>
            </w:pPr>
            <w:r w:rsidRPr="0009140D">
              <w:t>12</w:t>
            </w:r>
            <w:r w:rsidR="00D7157D">
              <w:t>.</w:t>
            </w:r>
            <w:r w:rsidRPr="0009140D">
              <w:t>7842</w:t>
            </w:r>
          </w:p>
        </w:tc>
        <w:tc>
          <w:tcPr>
            <w:tcW w:w="966" w:type="pct"/>
            <w:tcBorders>
              <w:top w:val="single" w:sz="4" w:space="0" w:color="auto"/>
              <w:bottom w:val="single" w:sz="4" w:space="0" w:color="auto"/>
            </w:tcBorders>
            <w:shd w:val="clear" w:color="auto" w:fill="auto"/>
            <w:vAlign w:val="bottom"/>
          </w:tcPr>
          <w:p w14:paraId="22F59447" w14:textId="77777777" w:rsidR="0009140D" w:rsidRPr="0009140D" w:rsidRDefault="0009140D" w:rsidP="0009140D">
            <w:pPr>
              <w:pStyle w:val="Tabletext"/>
            </w:pPr>
            <w:r w:rsidRPr="0009140D">
              <w:t>0</w:t>
            </w:r>
            <w:r w:rsidR="00D7157D">
              <w:t>.</w:t>
            </w:r>
            <w:r w:rsidRPr="0009140D">
              <w:t>7236</w:t>
            </w:r>
          </w:p>
        </w:tc>
        <w:tc>
          <w:tcPr>
            <w:tcW w:w="966" w:type="pct"/>
            <w:tcBorders>
              <w:top w:val="single" w:sz="4" w:space="0" w:color="auto"/>
              <w:bottom w:val="single" w:sz="4" w:space="0" w:color="auto"/>
            </w:tcBorders>
            <w:shd w:val="clear" w:color="auto" w:fill="auto"/>
            <w:vAlign w:val="bottom"/>
          </w:tcPr>
          <w:p w14:paraId="42463B6A" w14:textId="77777777" w:rsidR="0009140D" w:rsidRPr="0009140D" w:rsidRDefault="0009140D" w:rsidP="0009140D">
            <w:pPr>
              <w:pStyle w:val="Tabletext"/>
            </w:pPr>
            <w:r w:rsidRPr="0009140D">
              <w:t>14</w:t>
            </w:r>
            <w:r w:rsidR="00D7157D">
              <w:t>.</w:t>
            </w:r>
            <w:r w:rsidRPr="0009140D">
              <w:t>1434</w:t>
            </w:r>
          </w:p>
        </w:tc>
        <w:tc>
          <w:tcPr>
            <w:tcW w:w="966" w:type="pct"/>
            <w:tcBorders>
              <w:top w:val="single" w:sz="4" w:space="0" w:color="auto"/>
              <w:bottom w:val="single" w:sz="4" w:space="0" w:color="auto"/>
              <w:right w:val="nil"/>
            </w:tcBorders>
            <w:shd w:val="clear" w:color="auto" w:fill="auto"/>
            <w:vAlign w:val="bottom"/>
          </w:tcPr>
          <w:p w14:paraId="1B622043" w14:textId="77777777" w:rsidR="0009140D" w:rsidRPr="0009140D" w:rsidRDefault="0009140D" w:rsidP="0009140D">
            <w:pPr>
              <w:pStyle w:val="Tabletext"/>
            </w:pPr>
            <w:r w:rsidRPr="0009140D">
              <w:t>0</w:t>
            </w:r>
            <w:r w:rsidR="00D7157D">
              <w:t>.</w:t>
            </w:r>
            <w:r w:rsidRPr="0009140D">
              <w:t>1983</w:t>
            </w:r>
          </w:p>
        </w:tc>
      </w:tr>
      <w:tr w:rsidR="0009140D" w:rsidRPr="0009140D" w14:paraId="6CCE3A16" w14:textId="77777777" w:rsidTr="0009140D">
        <w:trPr>
          <w:cantSplit/>
        </w:trPr>
        <w:tc>
          <w:tcPr>
            <w:tcW w:w="1136" w:type="pct"/>
            <w:tcBorders>
              <w:top w:val="single" w:sz="4" w:space="0" w:color="auto"/>
              <w:bottom w:val="single" w:sz="4" w:space="0" w:color="auto"/>
            </w:tcBorders>
          </w:tcPr>
          <w:p w14:paraId="239B12F0" w14:textId="77777777" w:rsidR="0009140D" w:rsidRPr="0009140D" w:rsidRDefault="0009140D" w:rsidP="0009140D">
            <w:pPr>
              <w:pStyle w:val="Tabletext"/>
            </w:pPr>
            <w:r w:rsidRPr="0009140D">
              <w:t>67</w:t>
            </w:r>
          </w:p>
        </w:tc>
        <w:tc>
          <w:tcPr>
            <w:tcW w:w="966" w:type="pct"/>
            <w:tcBorders>
              <w:top w:val="single" w:sz="4" w:space="0" w:color="auto"/>
              <w:bottom w:val="single" w:sz="4" w:space="0" w:color="auto"/>
            </w:tcBorders>
            <w:shd w:val="clear" w:color="auto" w:fill="auto"/>
            <w:vAlign w:val="bottom"/>
          </w:tcPr>
          <w:p w14:paraId="0F323E55" w14:textId="77777777" w:rsidR="0009140D" w:rsidRPr="0009140D" w:rsidRDefault="0009140D" w:rsidP="0009140D">
            <w:pPr>
              <w:pStyle w:val="Tabletext"/>
            </w:pPr>
            <w:r w:rsidRPr="0009140D">
              <w:t>12</w:t>
            </w:r>
            <w:r w:rsidR="00D7157D">
              <w:t>.</w:t>
            </w:r>
            <w:r w:rsidRPr="0009140D">
              <w:t>3663</w:t>
            </w:r>
          </w:p>
        </w:tc>
        <w:tc>
          <w:tcPr>
            <w:tcW w:w="966" w:type="pct"/>
            <w:tcBorders>
              <w:top w:val="single" w:sz="4" w:space="0" w:color="auto"/>
              <w:bottom w:val="single" w:sz="4" w:space="0" w:color="auto"/>
            </w:tcBorders>
            <w:shd w:val="clear" w:color="auto" w:fill="auto"/>
            <w:vAlign w:val="bottom"/>
          </w:tcPr>
          <w:p w14:paraId="158DFEC0" w14:textId="77777777" w:rsidR="0009140D" w:rsidRPr="0009140D" w:rsidRDefault="0009140D" w:rsidP="0009140D">
            <w:pPr>
              <w:pStyle w:val="Tabletext"/>
            </w:pPr>
            <w:r w:rsidRPr="0009140D">
              <w:t>0</w:t>
            </w:r>
            <w:r w:rsidR="00D7157D">
              <w:t>.</w:t>
            </w:r>
            <w:r w:rsidRPr="0009140D">
              <w:t>7231</w:t>
            </w:r>
          </w:p>
        </w:tc>
        <w:tc>
          <w:tcPr>
            <w:tcW w:w="966" w:type="pct"/>
            <w:tcBorders>
              <w:top w:val="single" w:sz="4" w:space="0" w:color="auto"/>
              <w:bottom w:val="single" w:sz="4" w:space="0" w:color="auto"/>
            </w:tcBorders>
            <w:shd w:val="clear" w:color="auto" w:fill="auto"/>
            <w:vAlign w:val="bottom"/>
          </w:tcPr>
          <w:p w14:paraId="0372C440" w14:textId="77777777" w:rsidR="0009140D" w:rsidRPr="0009140D" w:rsidRDefault="0009140D" w:rsidP="0009140D">
            <w:pPr>
              <w:pStyle w:val="Tabletext"/>
            </w:pPr>
            <w:r w:rsidRPr="0009140D">
              <w:t>13</w:t>
            </w:r>
            <w:r w:rsidR="00D7157D">
              <w:t>.</w:t>
            </w:r>
            <w:r w:rsidRPr="0009140D">
              <w:t>6918</w:t>
            </w:r>
          </w:p>
        </w:tc>
        <w:tc>
          <w:tcPr>
            <w:tcW w:w="966" w:type="pct"/>
            <w:tcBorders>
              <w:top w:val="single" w:sz="4" w:space="0" w:color="auto"/>
              <w:bottom w:val="single" w:sz="4" w:space="0" w:color="auto"/>
              <w:right w:val="nil"/>
            </w:tcBorders>
            <w:shd w:val="clear" w:color="auto" w:fill="auto"/>
            <w:vAlign w:val="bottom"/>
          </w:tcPr>
          <w:p w14:paraId="64DF7D13" w14:textId="77777777" w:rsidR="0009140D" w:rsidRPr="0009140D" w:rsidRDefault="0009140D" w:rsidP="0009140D">
            <w:pPr>
              <w:pStyle w:val="Tabletext"/>
            </w:pPr>
            <w:r w:rsidRPr="0009140D">
              <w:t>0</w:t>
            </w:r>
            <w:r w:rsidR="00D7157D">
              <w:t>.</w:t>
            </w:r>
            <w:r w:rsidRPr="0009140D">
              <w:t>1979</w:t>
            </w:r>
          </w:p>
        </w:tc>
      </w:tr>
      <w:tr w:rsidR="0009140D" w:rsidRPr="0009140D" w14:paraId="52ABD3AB" w14:textId="77777777" w:rsidTr="0009140D">
        <w:trPr>
          <w:cantSplit/>
        </w:trPr>
        <w:tc>
          <w:tcPr>
            <w:tcW w:w="1136" w:type="pct"/>
            <w:tcBorders>
              <w:top w:val="single" w:sz="4" w:space="0" w:color="auto"/>
              <w:bottom w:val="single" w:sz="4" w:space="0" w:color="auto"/>
            </w:tcBorders>
          </w:tcPr>
          <w:p w14:paraId="3E974552" w14:textId="77777777" w:rsidR="0009140D" w:rsidRPr="0009140D" w:rsidRDefault="0009140D" w:rsidP="0009140D">
            <w:pPr>
              <w:pStyle w:val="Tabletext"/>
            </w:pPr>
            <w:r w:rsidRPr="0009140D">
              <w:t>68</w:t>
            </w:r>
          </w:p>
        </w:tc>
        <w:tc>
          <w:tcPr>
            <w:tcW w:w="966" w:type="pct"/>
            <w:tcBorders>
              <w:top w:val="single" w:sz="4" w:space="0" w:color="auto"/>
              <w:bottom w:val="single" w:sz="4" w:space="0" w:color="auto"/>
            </w:tcBorders>
            <w:shd w:val="clear" w:color="auto" w:fill="auto"/>
            <w:vAlign w:val="bottom"/>
          </w:tcPr>
          <w:p w14:paraId="4C4B20D9" w14:textId="77777777" w:rsidR="0009140D" w:rsidRPr="0009140D" w:rsidRDefault="0009140D" w:rsidP="0009140D">
            <w:pPr>
              <w:pStyle w:val="Tabletext"/>
            </w:pPr>
            <w:r w:rsidRPr="0009140D">
              <w:t>11</w:t>
            </w:r>
            <w:r w:rsidR="00D7157D">
              <w:t>.</w:t>
            </w:r>
            <w:r w:rsidRPr="0009140D">
              <w:t>9449</w:t>
            </w:r>
          </w:p>
        </w:tc>
        <w:tc>
          <w:tcPr>
            <w:tcW w:w="966" w:type="pct"/>
            <w:tcBorders>
              <w:top w:val="single" w:sz="4" w:space="0" w:color="auto"/>
              <w:bottom w:val="single" w:sz="4" w:space="0" w:color="auto"/>
            </w:tcBorders>
            <w:shd w:val="clear" w:color="auto" w:fill="auto"/>
            <w:vAlign w:val="bottom"/>
          </w:tcPr>
          <w:p w14:paraId="7937F84D" w14:textId="77777777" w:rsidR="0009140D" w:rsidRPr="0009140D" w:rsidRDefault="0009140D" w:rsidP="0009140D">
            <w:pPr>
              <w:pStyle w:val="Tabletext"/>
            </w:pPr>
            <w:r w:rsidRPr="0009140D">
              <w:t>0</w:t>
            </w:r>
            <w:r w:rsidR="00D7157D">
              <w:t>.</w:t>
            </w:r>
            <w:r w:rsidRPr="0009140D">
              <w:t>7219</w:t>
            </w:r>
          </w:p>
        </w:tc>
        <w:tc>
          <w:tcPr>
            <w:tcW w:w="966" w:type="pct"/>
            <w:tcBorders>
              <w:top w:val="single" w:sz="4" w:space="0" w:color="auto"/>
              <w:bottom w:val="single" w:sz="4" w:space="0" w:color="auto"/>
            </w:tcBorders>
            <w:shd w:val="clear" w:color="auto" w:fill="auto"/>
            <w:vAlign w:val="bottom"/>
          </w:tcPr>
          <w:p w14:paraId="733D8925" w14:textId="77777777" w:rsidR="0009140D" w:rsidRPr="0009140D" w:rsidRDefault="0009140D" w:rsidP="0009140D">
            <w:pPr>
              <w:pStyle w:val="Tabletext"/>
            </w:pPr>
            <w:r w:rsidRPr="0009140D">
              <w:t>13</w:t>
            </w:r>
            <w:r w:rsidR="00D7157D">
              <w:t>.</w:t>
            </w:r>
            <w:r w:rsidRPr="0009140D">
              <w:t>2361</w:t>
            </w:r>
          </w:p>
        </w:tc>
        <w:tc>
          <w:tcPr>
            <w:tcW w:w="966" w:type="pct"/>
            <w:tcBorders>
              <w:top w:val="single" w:sz="4" w:space="0" w:color="auto"/>
              <w:bottom w:val="single" w:sz="4" w:space="0" w:color="auto"/>
              <w:right w:val="nil"/>
            </w:tcBorders>
            <w:shd w:val="clear" w:color="auto" w:fill="auto"/>
            <w:vAlign w:val="bottom"/>
          </w:tcPr>
          <w:p w14:paraId="1AC3554B" w14:textId="77777777" w:rsidR="0009140D" w:rsidRPr="0009140D" w:rsidRDefault="0009140D" w:rsidP="0009140D">
            <w:pPr>
              <w:pStyle w:val="Tabletext"/>
            </w:pPr>
            <w:r w:rsidRPr="0009140D">
              <w:t>0</w:t>
            </w:r>
            <w:r w:rsidR="00D7157D">
              <w:t>.</w:t>
            </w:r>
            <w:r w:rsidRPr="0009140D">
              <w:t>1973</w:t>
            </w:r>
          </w:p>
        </w:tc>
      </w:tr>
      <w:tr w:rsidR="0009140D" w:rsidRPr="0009140D" w14:paraId="3A395754" w14:textId="77777777" w:rsidTr="0009140D">
        <w:trPr>
          <w:cantSplit/>
        </w:trPr>
        <w:tc>
          <w:tcPr>
            <w:tcW w:w="1136" w:type="pct"/>
            <w:tcBorders>
              <w:top w:val="single" w:sz="4" w:space="0" w:color="auto"/>
              <w:bottom w:val="single" w:sz="4" w:space="0" w:color="auto"/>
            </w:tcBorders>
          </w:tcPr>
          <w:p w14:paraId="24E43485" w14:textId="77777777" w:rsidR="0009140D" w:rsidRPr="0009140D" w:rsidRDefault="0009140D" w:rsidP="0009140D">
            <w:pPr>
              <w:pStyle w:val="Tabletext"/>
            </w:pPr>
            <w:r w:rsidRPr="0009140D">
              <w:t>69</w:t>
            </w:r>
          </w:p>
        </w:tc>
        <w:tc>
          <w:tcPr>
            <w:tcW w:w="966" w:type="pct"/>
            <w:tcBorders>
              <w:top w:val="single" w:sz="4" w:space="0" w:color="auto"/>
              <w:bottom w:val="single" w:sz="4" w:space="0" w:color="auto"/>
            </w:tcBorders>
            <w:shd w:val="clear" w:color="auto" w:fill="auto"/>
            <w:vAlign w:val="bottom"/>
          </w:tcPr>
          <w:p w14:paraId="61BF8D49" w14:textId="77777777" w:rsidR="0009140D" w:rsidRPr="0009140D" w:rsidRDefault="0009140D" w:rsidP="0009140D">
            <w:pPr>
              <w:pStyle w:val="Tabletext"/>
            </w:pPr>
            <w:r w:rsidRPr="0009140D">
              <w:t>11</w:t>
            </w:r>
            <w:r w:rsidR="00D7157D">
              <w:t>.</w:t>
            </w:r>
            <w:r w:rsidRPr="0009140D">
              <w:t>5211</w:t>
            </w:r>
          </w:p>
        </w:tc>
        <w:tc>
          <w:tcPr>
            <w:tcW w:w="966" w:type="pct"/>
            <w:tcBorders>
              <w:top w:val="single" w:sz="4" w:space="0" w:color="auto"/>
              <w:bottom w:val="single" w:sz="4" w:space="0" w:color="auto"/>
            </w:tcBorders>
            <w:shd w:val="clear" w:color="auto" w:fill="auto"/>
            <w:vAlign w:val="bottom"/>
          </w:tcPr>
          <w:p w14:paraId="0C9C017D" w14:textId="77777777" w:rsidR="0009140D" w:rsidRPr="0009140D" w:rsidRDefault="0009140D" w:rsidP="0009140D">
            <w:pPr>
              <w:pStyle w:val="Tabletext"/>
            </w:pPr>
            <w:r w:rsidRPr="0009140D">
              <w:t>0</w:t>
            </w:r>
            <w:r w:rsidR="00D7157D">
              <w:t>.</w:t>
            </w:r>
            <w:r w:rsidRPr="0009140D">
              <w:t>7200</w:t>
            </w:r>
          </w:p>
        </w:tc>
        <w:tc>
          <w:tcPr>
            <w:tcW w:w="966" w:type="pct"/>
            <w:tcBorders>
              <w:top w:val="single" w:sz="4" w:space="0" w:color="auto"/>
              <w:bottom w:val="single" w:sz="4" w:space="0" w:color="auto"/>
            </w:tcBorders>
            <w:shd w:val="clear" w:color="auto" w:fill="auto"/>
            <w:vAlign w:val="bottom"/>
          </w:tcPr>
          <w:p w14:paraId="57F1D553" w14:textId="77777777" w:rsidR="0009140D" w:rsidRPr="0009140D" w:rsidRDefault="0009140D" w:rsidP="0009140D">
            <w:pPr>
              <w:pStyle w:val="Tabletext"/>
            </w:pPr>
            <w:r w:rsidRPr="0009140D">
              <w:t>12</w:t>
            </w:r>
            <w:r w:rsidR="00D7157D">
              <w:t>.</w:t>
            </w:r>
            <w:r w:rsidRPr="0009140D">
              <w:t>7774</w:t>
            </w:r>
          </w:p>
        </w:tc>
        <w:tc>
          <w:tcPr>
            <w:tcW w:w="966" w:type="pct"/>
            <w:tcBorders>
              <w:top w:val="single" w:sz="4" w:space="0" w:color="auto"/>
              <w:bottom w:val="single" w:sz="4" w:space="0" w:color="auto"/>
              <w:right w:val="nil"/>
            </w:tcBorders>
            <w:shd w:val="clear" w:color="auto" w:fill="auto"/>
            <w:vAlign w:val="bottom"/>
          </w:tcPr>
          <w:p w14:paraId="7391C4D7" w14:textId="77777777" w:rsidR="0009140D" w:rsidRPr="0009140D" w:rsidRDefault="0009140D" w:rsidP="0009140D">
            <w:pPr>
              <w:pStyle w:val="Tabletext"/>
            </w:pPr>
            <w:r w:rsidRPr="0009140D">
              <w:t>0</w:t>
            </w:r>
            <w:r w:rsidR="00D7157D">
              <w:t>.</w:t>
            </w:r>
            <w:r w:rsidRPr="0009140D">
              <w:t>1964</w:t>
            </w:r>
          </w:p>
        </w:tc>
      </w:tr>
      <w:tr w:rsidR="0009140D" w:rsidRPr="0009140D" w14:paraId="662DE39E" w14:textId="77777777" w:rsidTr="0009140D">
        <w:trPr>
          <w:cantSplit/>
        </w:trPr>
        <w:tc>
          <w:tcPr>
            <w:tcW w:w="1136" w:type="pct"/>
            <w:tcBorders>
              <w:top w:val="single" w:sz="4" w:space="0" w:color="auto"/>
              <w:bottom w:val="single" w:sz="4" w:space="0" w:color="auto"/>
            </w:tcBorders>
          </w:tcPr>
          <w:p w14:paraId="44D808A8" w14:textId="77777777" w:rsidR="0009140D" w:rsidRPr="0009140D" w:rsidRDefault="0009140D" w:rsidP="0009140D">
            <w:pPr>
              <w:pStyle w:val="Tabletext"/>
            </w:pPr>
            <w:r w:rsidRPr="0009140D">
              <w:t>70</w:t>
            </w:r>
          </w:p>
        </w:tc>
        <w:tc>
          <w:tcPr>
            <w:tcW w:w="966" w:type="pct"/>
            <w:tcBorders>
              <w:top w:val="single" w:sz="4" w:space="0" w:color="auto"/>
              <w:bottom w:val="single" w:sz="4" w:space="0" w:color="auto"/>
            </w:tcBorders>
            <w:shd w:val="clear" w:color="auto" w:fill="auto"/>
            <w:vAlign w:val="bottom"/>
          </w:tcPr>
          <w:p w14:paraId="2ED0F863" w14:textId="77777777" w:rsidR="0009140D" w:rsidRPr="0009140D" w:rsidRDefault="0009140D" w:rsidP="0009140D">
            <w:pPr>
              <w:pStyle w:val="Tabletext"/>
            </w:pPr>
            <w:r w:rsidRPr="0009140D">
              <w:t>11</w:t>
            </w:r>
            <w:r w:rsidR="00D7157D">
              <w:t>.</w:t>
            </w:r>
            <w:r w:rsidRPr="0009140D">
              <w:t>0957</w:t>
            </w:r>
          </w:p>
        </w:tc>
        <w:tc>
          <w:tcPr>
            <w:tcW w:w="966" w:type="pct"/>
            <w:tcBorders>
              <w:top w:val="single" w:sz="4" w:space="0" w:color="auto"/>
              <w:bottom w:val="single" w:sz="4" w:space="0" w:color="auto"/>
            </w:tcBorders>
            <w:shd w:val="clear" w:color="auto" w:fill="auto"/>
            <w:vAlign w:val="bottom"/>
          </w:tcPr>
          <w:p w14:paraId="21D5C243" w14:textId="77777777" w:rsidR="0009140D" w:rsidRPr="0009140D" w:rsidRDefault="0009140D" w:rsidP="0009140D">
            <w:pPr>
              <w:pStyle w:val="Tabletext"/>
            </w:pPr>
            <w:r w:rsidRPr="0009140D">
              <w:t>0</w:t>
            </w:r>
            <w:r w:rsidR="00D7157D">
              <w:t>.</w:t>
            </w:r>
            <w:r w:rsidRPr="0009140D">
              <w:t>7172</w:t>
            </w:r>
          </w:p>
        </w:tc>
        <w:tc>
          <w:tcPr>
            <w:tcW w:w="966" w:type="pct"/>
            <w:tcBorders>
              <w:top w:val="single" w:sz="4" w:space="0" w:color="auto"/>
              <w:bottom w:val="single" w:sz="4" w:space="0" w:color="auto"/>
            </w:tcBorders>
            <w:shd w:val="clear" w:color="auto" w:fill="auto"/>
            <w:vAlign w:val="bottom"/>
          </w:tcPr>
          <w:p w14:paraId="208A4515" w14:textId="77777777" w:rsidR="0009140D" w:rsidRPr="0009140D" w:rsidRDefault="0009140D" w:rsidP="0009140D">
            <w:pPr>
              <w:pStyle w:val="Tabletext"/>
            </w:pPr>
            <w:r w:rsidRPr="0009140D">
              <w:t>12</w:t>
            </w:r>
            <w:r w:rsidR="00D7157D">
              <w:t>.</w:t>
            </w:r>
            <w:r w:rsidRPr="0009140D">
              <w:t>3162</w:t>
            </w:r>
          </w:p>
        </w:tc>
        <w:tc>
          <w:tcPr>
            <w:tcW w:w="966" w:type="pct"/>
            <w:tcBorders>
              <w:top w:val="single" w:sz="4" w:space="0" w:color="auto"/>
              <w:bottom w:val="single" w:sz="4" w:space="0" w:color="auto"/>
              <w:right w:val="nil"/>
            </w:tcBorders>
            <w:shd w:val="clear" w:color="auto" w:fill="auto"/>
            <w:vAlign w:val="bottom"/>
          </w:tcPr>
          <w:p w14:paraId="7388E7B4" w14:textId="77777777" w:rsidR="0009140D" w:rsidRPr="0009140D" w:rsidRDefault="0009140D" w:rsidP="0009140D">
            <w:pPr>
              <w:pStyle w:val="Tabletext"/>
            </w:pPr>
            <w:r w:rsidRPr="0009140D">
              <w:t>0</w:t>
            </w:r>
            <w:r w:rsidR="00D7157D">
              <w:t>.</w:t>
            </w:r>
            <w:r w:rsidRPr="0009140D">
              <w:t>1952</w:t>
            </w:r>
          </w:p>
        </w:tc>
      </w:tr>
      <w:tr w:rsidR="0009140D" w:rsidRPr="0009140D" w14:paraId="23C09EE5" w14:textId="77777777" w:rsidTr="0009140D">
        <w:trPr>
          <w:cantSplit/>
        </w:trPr>
        <w:tc>
          <w:tcPr>
            <w:tcW w:w="1136" w:type="pct"/>
            <w:tcBorders>
              <w:top w:val="single" w:sz="4" w:space="0" w:color="auto"/>
              <w:bottom w:val="single" w:sz="4" w:space="0" w:color="auto"/>
            </w:tcBorders>
          </w:tcPr>
          <w:p w14:paraId="09820EBA" w14:textId="77777777" w:rsidR="0009140D" w:rsidRPr="0009140D" w:rsidRDefault="0009140D" w:rsidP="0009140D">
            <w:pPr>
              <w:pStyle w:val="Tabletext"/>
            </w:pPr>
            <w:r w:rsidRPr="0009140D">
              <w:t>71</w:t>
            </w:r>
          </w:p>
        </w:tc>
        <w:tc>
          <w:tcPr>
            <w:tcW w:w="966" w:type="pct"/>
            <w:tcBorders>
              <w:top w:val="single" w:sz="4" w:space="0" w:color="auto"/>
              <w:bottom w:val="single" w:sz="4" w:space="0" w:color="auto"/>
            </w:tcBorders>
            <w:shd w:val="clear" w:color="auto" w:fill="auto"/>
            <w:vAlign w:val="bottom"/>
          </w:tcPr>
          <w:p w14:paraId="5D7B9F61" w14:textId="77777777" w:rsidR="0009140D" w:rsidRPr="0009140D" w:rsidRDefault="0009140D" w:rsidP="0009140D">
            <w:pPr>
              <w:pStyle w:val="Tabletext"/>
            </w:pPr>
            <w:r w:rsidRPr="0009140D">
              <w:t>10</w:t>
            </w:r>
            <w:r w:rsidR="00D7157D">
              <w:t>.</w:t>
            </w:r>
            <w:r w:rsidRPr="0009140D">
              <w:t>6699</w:t>
            </w:r>
          </w:p>
        </w:tc>
        <w:tc>
          <w:tcPr>
            <w:tcW w:w="966" w:type="pct"/>
            <w:tcBorders>
              <w:top w:val="single" w:sz="4" w:space="0" w:color="auto"/>
              <w:bottom w:val="single" w:sz="4" w:space="0" w:color="auto"/>
            </w:tcBorders>
            <w:shd w:val="clear" w:color="auto" w:fill="auto"/>
            <w:vAlign w:val="bottom"/>
          </w:tcPr>
          <w:p w14:paraId="6A9E33B6" w14:textId="77777777" w:rsidR="0009140D" w:rsidRPr="0009140D" w:rsidRDefault="0009140D" w:rsidP="0009140D">
            <w:pPr>
              <w:pStyle w:val="Tabletext"/>
            </w:pPr>
            <w:r w:rsidRPr="0009140D">
              <w:t>0</w:t>
            </w:r>
            <w:r w:rsidR="00D7157D">
              <w:t>.</w:t>
            </w:r>
            <w:r w:rsidRPr="0009140D">
              <w:t>7135</w:t>
            </w:r>
          </w:p>
        </w:tc>
        <w:tc>
          <w:tcPr>
            <w:tcW w:w="966" w:type="pct"/>
            <w:tcBorders>
              <w:top w:val="single" w:sz="4" w:space="0" w:color="auto"/>
              <w:bottom w:val="single" w:sz="4" w:space="0" w:color="auto"/>
            </w:tcBorders>
            <w:shd w:val="clear" w:color="auto" w:fill="auto"/>
            <w:vAlign w:val="bottom"/>
          </w:tcPr>
          <w:p w14:paraId="5232C766" w14:textId="77777777" w:rsidR="0009140D" w:rsidRPr="0009140D" w:rsidRDefault="0009140D" w:rsidP="0009140D">
            <w:pPr>
              <w:pStyle w:val="Tabletext"/>
            </w:pPr>
            <w:r w:rsidRPr="0009140D">
              <w:t>11</w:t>
            </w:r>
            <w:r w:rsidR="00D7157D">
              <w:t>.</w:t>
            </w:r>
            <w:r w:rsidRPr="0009140D">
              <w:t>8534</w:t>
            </w:r>
          </w:p>
        </w:tc>
        <w:tc>
          <w:tcPr>
            <w:tcW w:w="966" w:type="pct"/>
            <w:tcBorders>
              <w:top w:val="single" w:sz="4" w:space="0" w:color="auto"/>
              <w:bottom w:val="single" w:sz="4" w:space="0" w:color="auto"/>
              <w:right w:val="nil"/>
            </w:tcBorders>
            <w:shd w:val="clear" w:color="auto" w:fill="auto"/>
            <w:vAlign w:val="bottom"/>
          </w:tcPr>
          <w:p w14:paraId="01187EAF" w14:textId="77777777" w:rsidR="0009140D" w:rsidRPr="0009140D" w:rsidRDefault="0009140D" w:rsidP="0009140D">
            <w:pPr>
              <w:pStyle w:val="Tabletext"/>
            </w:pPr>
            <w:r w:rsidRPr="0009140D">
              <w:t>0</w:t>
            </w:r>
            <w:r w:rsidR="00D7157D">
              <w:t>.</w:t>
            </w:r>
            <w:r w:rsidRPr="0009140D">
              <w:t>1938</w:t>
            </w:r>
          </w:p>
        </w:tc>
      </w:tr>
      <w:tr w:rsidR="0009140D" w:rsidRPr="0009140D" w14:paraId="4181DE2C" w14:textId="77777777" w:rsidTr="0009140D">
        <w:trPr>
          <w:cantSplit/>
        </w:trPr>
        <w:tc>
          <w:tcPr>
            <w:tcW w:w="1136" w:type="pct"/>
            <w:tcBorders>
              <w:top w:val="single" w:sz="4" w:space="0" w:color="auto"/>
              <w:bottom w:val="single" w:sz="4" w:space="0" w:color="auto"/>
            </w:tcBorders>
          </w:tcPr>
          <w:p w14:paraId="2F9C8E30" w14:textId="77777777" w:rsidR="0009140D" w:rsidRPr="0009140D" w:rsidRDefault="0009140D" w:rsidP="0009140D">
            <w:pPr>
              <w:pStyle w:val="Tabletext"/>
            </w:pPr>
            <w:r w:rsidRPr="0009140D">
              <w:t>72</w:t>
            </w:r>
          </w:p>
        </w:tc>
        <w:tc>
          <w:tcPr>
            <w:tcW w:w="966" w:type="pct"/>
            <w:tcBorders>
              <w:top w:val="single" w:sz="4" w:space="0" w:color="auto"/>
              <w:bottom w:val="single" w:sz="4" w:space="0" w:color="auto"/>
            </w:tcBorders>
            <w:shd w:val="clear" w:color="auto" w:fill="auto"/>
            <w:vAlign w:val="bottom"/>
          </w:tcPr>
          <w:p w14:paraId="240781FF" w14:textId="77777777" w:rsidR="0009140D" w:rsidRPr="0009140D" w:rsidRDefault="0009140D" w:rsidP="0009140D">
            <w:pPr>
              <w:pStyle w:val="Tabletext"/>
            </w:pPr>
            <w:r w:rsidRPr="0009140D">
              <w:t>10</w:t>
            </w:r>
            <w:r w:rsidR="00D7157D">
              <w:t>.</w:t>
            </w:r>
            <w:r w:rsidRPr="0009140D">
              <w:t>2444</w:t>
            </w:r>
          </w:p>
        </w:tc>
        <w:tc>
          <w:tcPr>
            <w:tcW w:w="966" w:type="pct"/>
            <w:tcBorders>
              <w:top w:val="single" w:sz="4" w:space="0" w:color="auto"/>
              <w:bottom w:val="single" w:sz="4" w:space="0" w:color="auto"/>
            </w:tcBorders>
            <w:shd w:val="clear" w:color="auto" w:fill="auto"/>
            <w:vAlign w:val="bottom"/>
          </w:tcPr>
          <w:p w14:paraId="4F12D875" w14:textId="77777777" w:rsidR="0009140D" w:rsidRPr="0009140D" w:rsidRDefault="0009140D" w:rsidP="0009140D">
            <w:pPr>
              <w:pStyle w:val="Tabletext"/>
            </w:pPr>
            <w:r w:rsidRPr="0009140D">
              <w:t>0</w:t>
            </w:r>
            <w:r w:rsidR="00D7157D">
              <w:t>.</w:t>
            </w:r>
            <w:r w:rsidRPr="0009140D">
              <w:t>7088</w:t>
            </w:r>
          </w:p>
        </w:tc>
        <w:tc>
          <w:tcPr>
            <w:tcW w:w="966" w:type="pct"/>
            <w:tcBorders>
              <w:top w:val="single" w:sz="4" w:space="0" w:color="auto"/>
              <w:bottom w:val="single" w:sz="4" w:space="0" w:color="auto"/>
            </w:tcBorders>
            <w:shd w:val="clear" w:color="auto" w:fill="auto"/>
            <w:vAlign w:val="bottom"/>
          </w:tcPr>
          <w:p w14:paraId="2106E745" w14:textId="77777777" w:rsidR="0009140D" w:rsidRPr="0009140D" w:rsidRDefault="0009140D" w:rsidP="0009140D">
            <w:pPr>
              <w:pStyle w:val="Tabletext"/>
            </w:pPr>
            <w:r w:rsidRPr="0009140D">
              <w:t>11</w:t>
            </w:r>
            <w:r w:rsidR="00D7157D">
              <w:t>.</w:t>
            </w:r>
            <w:r w:rsidRPr="0009140D">
              <w:t>3888</w:t>
            </w:r>
          </w:p>
        </w:tc>
        <w:tc>
          <w:tcPr>
            <w:tcW w:w="966" w:type="pct"/>
            <w:tcBorders>
              <w:top w:val="single" w:sz="4" w:space="0" w:color="auto"/>
              <w:bottom w:val="single" w:sz="4" w:space="0" w:color="auto"/>
              <w:right w:val="nil"/>
            </w:tcBorders>
            <w:shd w:val="clear" w:color="auto" w:fill="auto"/>
            <w:vAlign w:val="bottom"/>
          </w:tcPr>
          <w:p w14:paraId="20E30D4C" w14:textId="77777777" w:rsidR="0009140D" w:rsidRPr="0009140D" w:rsidRDefault="0009140D" w:rsidP="0009140D">
            <w:pPr>
              <w:pStyle w:val="Tabletext"/>
            </w:pPr>
            <w:r w:rsidRPr="0009140D">
              <w:t>0</w:t>
            </w:r>
            <w:r w:rsidR="00D7157D">
              <w:t>.</w:t>
            </w:r>
            <w:r w:rsidRPr="0009140D">
              <w:t>1920</w:t>
            </w:r>
          </w:p>
        </w:tc>
      </w:tr>
      <w:tr w:rsidR="0009140D" w:rsidRPr="0009140D" w14:paraId="1140374E" w14:textId="77777777" w:rsidTr="0009140D">
        <w:trPr>
          <w:cantSplit/>
        </w:trPr>
        <w:tc>
          <w:tcPr>
            <w:tcW w:w="1136" w:type="pct"/>
            <w:tcBorders>
              <w:top w:val="single" w:sz="4" w:space="0" w:color="auto"/>
              <w:bottom w:val="single" w:sz="4" w:space="0" w:color="auto"/>
            </w:tcBorders>
          </w:tcPr>
          <w:p w14:paraId="2E35155A" w14:textId="77777777" w:rsidR="0009140D" w:rsidRPr="0009140D" w:rsidRDefault="0009140D" w:rsidP="0009140D">
            <w:pPr>
              <w:pStyle w:val="Tabletext"/>
            </w:pPr>
            <w:r w:rsidRPr="0009140D">
              <w:t>73</w:t>
            </w:r>
          </w:p>
        </w:tc>
        <w:tc>
          <w:tcPr>
            <w:tcW w:w="966" w:type="pct"/>
            <w:tcBorders>
              <w:top w:val="single" w:sz="4" w:space="0" w:color="auto"/>
              <w:bottom w:val="single" w:sz="4" w:space="0" w:color="auto"/>
            </w:tcBorders>
            <w:shd w:val="clear" w:color="auto" w:fill="auto"/>
            <w:vAlign w:val="bottom"/>
          </w:tcPr>
          <w:p w14:paraId="4580EF98" w14:textId="77777777" w:rsidR="0009140D" w:rsidRPr="0009140D" w:rsidRDefault="0009140D" w:rsidP="0009140D">
            <w:pPr>
              <w:pStyle w:val="Tabletext"/>
            </w:pPr>
            <w:r w:rsidRPr="0009140D">
              <w:t>9</w:t>
            </w:r>
            <w:r w:rsidR="00D7157D">
              <w:t>.</w:t>
            </w:r>
            <w:r w:rsidRPr="0009140D">
              <w:t>8199</w:t>
            </w:r>
          </w:p>
        </w:tc>
        <w:tc>
          <w:tcPr>
            <w:tcW w:w="966" w:type="pct"/>
            <w:tcBorders>
              <w:top w:val="single" w:sz="4" w:space="0" w:color="auto"/>
              <w:bottom w:val="single" w:sz="4" w:space="0" w:color="auto"/>
            </w:tcBorders>
            <w:shd w:val="clear" w:color="auto" w:fill="auto"/>
            <w:vAlign w:val="bottom"/>
          </w:tcPr>
          <w:p w14:paraId="7E746225" w14:textId="77777777" w:rsidR="0009140D" w:rsidRPr="0009140D" w:rsidRDefault="0009140D" w:rsidP="0009140D">
            <w:pPr>
              <w:pStyle w:val="Tabletext"/>
            </w:pPr>
            <w:r w:rsidRPr="0009140D">
              <w:t>0</w:t>
            </w:r>
            <w:r w:rsidR="00D7157D">
              <w:t>.</w:t>
            </w:r>
            <w:r w:rsidRPr="0009140D">
              <w:t>7031</w:t>
            </w:r>
          </w:p>
        </w:tc>
        <w:tc>
          <w:tcPr>
            <w:tcW w:w="966" w:type="pct"/>
            <w:tcBorders>
              <w:top w:val="single" w:sz="4" w:space="0" w:color="auto"/>
              <w:bottom w:val="single" w:sz="4" w:space="0" w:color="auto"/>
            </w:tcBorders>
            <w:shd w:val="clear" w:color="auto" w:fill="auto"/>
            <w:vAlign w:val="bottom"/>
          </w:tcPr>
          <w:p w14:paraId="51E63407" w14:textId="77777777" w:rsidR="0009140D" w:rsidRPr="0009140D" w:rsidRDefault="0009140D" w:rsidP="0009140D">
            <w:pPr>
              <w:pStyle w:val="Tabletext"/>
            </w:pPr>
            <w:r w:rsidRPr="0009140D">
              <w:t>10</w:t>
            </w:r>
            <w:r w:rsidR="00D7157D">
              <w:t>.</w:t>
            </w:r>
            <w:r w:rsidRPr="0009140D">
              <w:t>9242</w:t>
            </w:r>
          </w:p>
        </w:tc>
        <w:tc>
          <w:tcPr>
            <w:tcW w:w="966" w:type="pct"/>
            <w:tcBorders>
              <w:top w:val="single" w:sz="4" w:space="0" w:color="auto"/>
              <w:bottom w:val="single" w:sz="4" w:space="0" w:color="auto"/>
              <w:right w:val="nil"/>
            </w:tcBorders>
            <w:shd w:val="clear" w:color="auto" w:fill="auto"/>
            <w:vAlign w:val="bottom"/>
          </w:tcPr>
          <w:p w14:paraId="0766E3DD" w14:textId="77777777" w:rsidR="0009140D" w:rsidRPr="0009140D" w:rsidRDefault="0009140D" w:rsidP="0009140D">
            <w:pPr>
              <w:pStyle w:val="Tabletext"/>
            </w:pPr>
            <w:r w:rsidRPr="0009140D">
              <w:t>0</w:t>
            </w:r>
            <w:r w:rsidR="00D7157D">
              <w:t>.</w:t>
            </w:r>
            <w:r w:rsidRPr="0009140D">
              <w:t>1899</w:t>
            </w:r>
          </w:p>
        </w:tc>
      </w:tr>
      <w:tr w:rsidR="0009140D" w:rsidRPr="0009140D" w14:paraId="41A4BAC4" w14:textId="77777777" w:rsidTr="0009140D">
        <w:trPr>
          <w:cantSplit/>
        </w:trPr>
        <w:tc>
          <w:tcPr>
            <w:tcW w:w="1136" w:type="pct"/>
            <w:tcBorders>
              <w:top w:val="single" w:sz="4" w:space="0" w:color="auto"/>
              <w:bottom w:val="single" w:sz="4" w:space="0" w:color="auto"/>
            </w:tcBorders>
          </w:tcPr>
          <w:p w14:paraId="679670A4" w14:textId="77777777" w:rsidR="0009140D" w:rsidRPr="0009140D" w:rsidRDefault="0009140D" w:rsidP="0009140D">
            <w:pPr>
              <w:pStyle w:val="Tabletext"/>
            </w:pPr>
            <w:r w:rsidRPr="0009140D">
              <w:t>74</w:t>
            </w:r>
          </w:p>
        </w:tc>
        <w:tc>
          <w:tcPr>
            <w:tcW w:w="966" w:type="pct"/>
            <w:tcBorders>
              <w:top w:val="single" w:sz="4" w:space="0" w:color="auto"/>
              <w:bottom w:val="single" w:sz="4" w:space="0" w:color="auto"/>
            </w:tcBorders>
            <w:shd w:val="clear" w:color="auto" w:fill="auto"/>
            <w:vAlign w:val="bottom"/>
          </w:tcPr>
          <w:p w14:paraId="116C4475" w14:textId="77777777" w:rsidR="0009140D" w:rsidRPr="0009140D" w:rsidRDefault="0009140D" w:rsidP="0009140D">
            <w:pPr>
              <w:pStyle w:val="Tabletext"/>
            </w:pPr>
            <w:r w:rsidRPr="0009140D">
              <w:t>9</w:t>
            </w:r>
            <w:r w:rsidR="00D7157D">
              <w:t>.</w:t>
            </w:r>
            <w:r w:rsidRPr="0009140D">
              <w:t>3969</w:t>
            </w:r>
          </w:p>
        </w:tc>
        <w:tc>
          <w:tcPr>
            <w:tcW w:w="966" w:type="pct"/>
            <w:tcBorders>
              <w:top w:val="single" w:sz="4" w:space="0" w:color="auto"/>
              <w:bottom w:val="single" w:sz="4" w:space="0" w:color="auto"/>
            </w:tcBorders>
            <w:shd w:val="clear" w:color="auto" w:fill="auto"/>
            <w:vAlign w:val="bottom"/>
          </w:tcPr>
          <w:p w14:paraId="018B002B" w14:textId="77777777" w:rsidR="0009140D" w:rsidRPr="0009140D" w:rsidRDefault="0009140D" w:rsidP="0009140D">
            <w:pPr>
              <w:pStyle w:val="Tabletext"/>
            </w:pPr>
            <w:r w:rsidRPr="0009140D">
              <w:t>0</w:t>
            </w:r>
            <w:r w:rsidR="00D7157D">
              <w:t>.</w:t>
            </w:r>
            <w:r w:rsidRPr="0009140D">
              <w:t>6963</w:t>
            </w:r>
          </w:p>
        </w:tc>
        <w:tc>
          <w:tcPr>
            <w:tcW w:w="966" w:type="pct"/>
            <w:tcBorders>
              <w:top w:val="single" w:sz="4" w:space="0" w:color="auto"/>
              <w:bottom w:val="single" w:sz="4" w:space="0" w:color="auto"/>
            </w:tcBorders>
            <w:shd w:val="clear" w:color="auto" w:fill="auto"/>
            <w:vAlign w:val="bottom"/>
          </w:tcPr>
          <w:p w14:paraId="4C9225EC" w14:textId="77777777" w:rsidR="0009140D" w:rsidRPr="0009140D" w:rsidRDefault="0009140D" w:rsidP="0009140D">
            <w:pPr>
              <w:pStyle w:val="Tabletext"/>
            </w:pPr>
            <w:r w:rsidRPr="0009140D">
              <w:t>10</w:t>
            </w:r>
            <w:r w:rsidR="00D7157D">
              <w:t>.</w:t>
            </w:r>
            <w:r w:rsidRPr="0009140D">
              <w:t>4606</w:t>
            </w:r>
          </w:p>
        </w:tc>
        <w:tc>
          <w:tcPr>
            <w:tcW w:w="966" w:type="pct"/>
            <w:tcBorders>
              <w:top w:val="single" w:sz="4" w:space="0" w:color="auto"/>
              <w:bottom w:val="single" w:sz="4" w:space="0" w:color="auto"/>
              <w:right w:val="nil"/>
            </w:tcBorders>
            <w:shd w:val="clear" w:color="auto" w:fill="auto"/>
            <w:vAlign w:val="bottom"/>
          </w:tcPr>
          <w:p w14:paraId="1DC5A056" w14:textId="77777777" w:rsidR="0009140D" w:rsidRPr="0009140D" w:rsidRDefault="0009140D" w:rsidP="0009140D">
            <w:pPr>
              <w:pStyle w:val="Tabletext"/>
            </w:pPr>
            <w:r w:rsidRPr="0009140D">
              <w:t>0</w:t>
            </w:r>
            <w:r w:rsidR="00D7157D">
              <w:t>.</w:t>
            </w:r>
            <w:r w:rsidRPr="0009140D">
              <w:t>1876</w:t>
            </w:r>
          </w:p>
        </w:tc>
      </w:tr>
      <w:tr w:rsidR="0009140D" w:rsidRPr="0009140D" w14:paraId="6D56E88D" w14:textId="77777777" w:rsidTr="0009140D">
        <w:trPr>
          <w:cantSplit/>
        </w:trPr>
        <w:tc>
          <w:tcPr>
            <w:tcW w:w="1136" w:type="pct"/>
            <w:tcBorders>
              <w:top w:val="single" w:sz="4" w:space="0" w:color="auto"/>
              <w:bottom w:val="single" w:sz="4" w:space="0" w:color="auto"/>
            </w:tcBorders>
          </w:tcPr>
          <w:p w14:paraId="679DBB88" w14:textId="77777777" w:rsidR="0009140D" w:rsidRPr="0009140D" w:rsidRDefault="0009140D" w:rsidP="0009140D">
            <w:pPr>
              <w:pStyle w:val="Tabletext"/>
            </w:pPr>
            <w:r w:rsidRPr="0009140D">
              <w:t>75</w:t>
            </w:r>
          </w:p>
        </w:tc>
        <w:tc>
          <w:tcPr>
            <w:tcW w:w="966" w:type="pct"/>
            <w:tcBorders>
              <w:top w:val="single" w:sz="4" w:space="0" w:color="auto"/>
              <w:bottom w:val="single" w:sz="4" w:space="0" w:color="auto"/>
            </w:tcBorders>
            <w:shd w:val="clear" w:color="auto" w:fill="auto"/>
            <w:vAlign w:val="bottom"/>
          </w:tcPr>
          <w:p w14:paraId="29303171" w14:textId="77777777" w:rsidR="0009140D" w:rsidRPr="0009140D" w:rsidRDefault="0009140D" w:rsidP="0009140D">
            <w:pPr>
              <w:pStyle w:val="Tabletext"/>
            </w:pPr>
            <w:r w:rsidRPr="0009140D">
              <w:t>8</w:t>
            </w:r>
            <w:r w:rsidR="00D7157D">
              <w:t>.</w:t>
            </w:r>
            <w:r w:rsidRPr="0009140D">
              <w:t>9758</w:t>
            </w:r>
          </w:p>
        </w:tc>
        <w:tc>
          <w:tcPr>
            <w:tcW w:w="966" w:type="pct"/>
            <w:tcBorders>
              <w:top w:val="single" w:sz="4" w:space="0" w:color="auto"/>
              <w:bottom w:val="single" w:sz="4" w:space="0" w:color="auto"/>
            </w:tcBorders>
            <w:shd w:val="clear" w:color="auto" w:fill="auto"/>
            <w:vAlign w:val="bottom"/>
          </w:tcPr>
          <w:p w14:paraId="38E57825" w14:textId="77777777" w:rsidR="0009140D" w:rsidRPr="0009140D" w:rsidRDefault="0009140D" w:rsidP="0009140D">
            <w:pPr>
              <w:pStyle w:val="Tabletext"/>
            </w:pPr>
            <w:r w:rsidRPr="0009140D">
              <w:t>0</w:t>
            </w:r>
            <w:r w:rsidR="00D7157D">
              <w:t>.</w:t>
            </w:r>
            <w:r w:rsidRPr="0009140D">
              <w:t>6885</w:t>
            </w:r>
          </w:p>
        </w:tc>
        <w:tc>
          <w:tcPr>
            <w:tcW w:w="966" w:type="pct"/>
            <w:tcBorders>
              <w:top w:val="single" w:sz="4" w:space="0" w:color="auto"/>
              <w:bottom w:val="single" w:sz="4" w:space="0" w:color="auto"/>
            </w:tcBorders>
            <w:shd w:val="clear" w:color="auto" w:fill="auto"/>
            <w:vAlign w:val="bottom"/>
          </w:tcPr>
          <w:p w14:paraId="563EF0D7" w14:textId="77777777" w:rsidR="0009140D" w:rsidRPr="0009140D" w:rsidRDefault="0009140D" w:rsidP="0009140D">
            <w:pPr>
              <w:pStyle w:val="Tabletext"/>
            </w:pPr>
            <w:r w:rsidRPr="0009140D">
              <w:t>9</w:t>
            </w:r>
            <w:r w:rsidR="00D7157D">
              <w:t>.</w:t>
            </w:r>
            <w:r w:rsidRPr="0009140D">
              <w:t>9972</w:t>
            </w:r>
          </w:p>
        </w:tc>
        <w:tc>
          <w:tcPr>
            <w:tcW w:w="966" w:type="pct"/>
            <w:tcBorders>
              <w:top w:val="single" w:sz="4" w:space="0" w:color="auto"/>
              <w:bottom w:val="single" w:sz="4" w:space="0" w:color="auto"/>
              <w:right w:val="nil"/>
            </w:tcBorders>
            <w:shd w:val="clear" w:color="auto" w:fill="auto"/>
            <w:vAlign w:val="bottom"/>
          </w:tcPr>
          <w:p w14:paraId="47AA5A4C" w14:textId="77777777" w:rsidR="0009140D" w:rsidRPr="0009140D" w:rsidRDefault="0009140D" w:rsidP="0009140D">
            <w:pPr>
              <w:pStyle w:val="Tabletext"/>
            </w:pPr>
            <w:r w:rsidRPr="0009140D">
              <w:t>0</w:t>
            </w:r>
            <w:r w:rsidR="00D7157D">
              <w:t>.</w:t>
            </w:r>
            <w:r w:rsidRPr="0009140D">
              <w:t>1849</w:t>
            </w:r>
          </w:p>
        </w:tc>
      </w:tr>
      <w:tr w:rsidR="0009140D" w:rsidRPr="0009140D" w14:paraId="586C5AE0" w14:textId="77777777" w:rsidTr="0009140D">
        <w:trPr>
          <w:cantSplit/>
        </w:trPr>
        <w:tc>
          <w:tcPr>
            <w:tcW w:w="1136" w:type="pct"/>
            <w:tcBorders>
              <w:top w:val="single" w:sz="4" w:space="0" w:color="auto"/>
              <w:bottom w:val="single" w:sz="4" w:space="0" w:color="auto"/>
            </w:tcBorders>
          </w:tcPr>
          <w:p w14:paraId="3A246C59" w14:textId="77777777" w:rsidR="0009140D" w:rsidRPr="0009140D" w:rsidRDefault="0009140D" w:rsidP="0009140D">
            <w:pPr>
              <w:pStyle w:val="Tabletext"/>
            </w:pPr>
            <w:r w:rsidRPr="0009140D">
              <w:t>76</w:t>
            </w:r>
          </w:p>
        </w:tc>
        <w:tc>
          <w:tcPr>
            <w:tcW w:w="966" w:type="pct"/>
            <w:tcBorders>
              <w:top w:val="single" w:sz="4" w:space="0" w:color="auto"/>
              <w:bottom w:val="single" w:sz="4" w:space="0" w:color="auto"/>
            </w:tcBorders>
            <w:shd w:val="clear" w:color="auto" w:fill="auto"/>
            <w:vAlign w:val="bottom"/>
          </w:tcPr>
          <w:p w14:paraId="225D6761" w14:textId="77777777" w:rsidR="0009140D" w:rsidRPr="0009140D" w:rsidRDefault="0009140D" w:rsidP="0009140D">
            <w:pPr>
              <w:pStyle w:val="Tabletext"/>
            </w:pPr>
            <w:r w:rsidRPr="0009140D">
              <w:t>8</w:t>
            </w:r>
            <w:r w:rsidR="00D7157D">
              <w:t>.</w:t>
            </w:r>
            <w:r w:rsidRPr="0009140D">
              <w:t>5567</w:t>
            </w:r>
          </w:p>
        </w:tc>
        <w:tc>
          <w:tcPr>
            <w:tcW w:w="966" w:type="pct"/>
            <w:tcBorders>
              <w:top w:val="single" w:sz="4" w:space="0" w:color="auto"/>
              <w:bottom w:val="single" w:sz="4" w:space="0" w:color="auto"/>
            </w:tcBorders>
            <w:shd w:val="clear" w:color="auto" w:fill="auto"/>
            <w:vAlign w:val="bottom"/>
          </w:tcPr>
          <w:p w14:paraId="7453ADEE" w14:textId="77777777" w:rsidR="0009140D" w:rsidRPr="0009140D" w:rsidRDefault="0009140D" w:rsidP="0009140D">
            <w:pPr>
              <w:pStyle w:val="Tabletext"/>
            </w:pPr>
            <w:r w:rsidRPr="0009140D">
              <w:t>0</w:t>
            </w:r>
            <w:r w:rsidR="00D7157D">
              <w:t>.</w:t>
            </w:r>
            <w:r w:rsidRPr="0009140D">
              <w:t>6796</w:t>
            </w:r>
          </w:p>
        </w:tc>
        <w:tc>
          <w:tcPr>
            <w:tcW w:w="966" w:type="pct"/>
            <w:tcBorders>
              <w:top w:val="single" w:sz="4" w:space="0" w:color="auto"/>
              <w:bottom w:val="single" w:sz="4" w:space="0" w:color="auto"/>
            </w:tcBorders>
            <w:shd w:val="clear" w:color="auto" w:fill="auto"/>
            <w:vAlign w:val="bottom"/>
          </w:tcPr>
          <w:p w14:paraId="49447E6B" w14:textId="77777777" w:rsidR="0009140D" w:rsidRPr="0009140D" w:rsidRDefault="0009140D" w:rsidP="0009140D">
            <w:pPr>
              <w:pStyle w:val="Tabletext"/>
            </w:pPr>
            <w:r w:rsidRPr="0009140D">
              <w:t>9</w:t>
            </w:r>
            <w:r w:rsidR="00D7157D">
              <w:t>.</w:t>
            </w:r>
            <w:r w:rsidRPr="0009140D">
              <w:t>5343</w:t>
            </w:r>
          </w:p>
        </w:tc>
        <w:tc>
          <w:tcPr>
            <w:tcW w:w="966" w:type="pct"/>
            <w:tcBorders>
              <w:top w:val="single" w:sz="4" w:space="0" w:color="auto"/>
              <w:bottom w:val="single" w:sz="4" w:space="0" w:color="auto"/>
              <w:right w:val="nil"/>
            </w:tcBorders>
            <w:shd w:val="clear" w:color="auto" w:fill="auto"/>
            <w:vAlign w:val="bottom"/>
          </w:tcPr>
          <w:p w14:paraId="63B2AB8E" w14:textId="77777777" w:rsidR="0009140D" w:rsidRPr="0009140D" w:rsidRDefault="0009140D" w:rsidP="0009140D">
            <w:pPr>
              <w:pStyle w:val="Tabletext"/>
            </w:pPr>
            <w:r w:rsidRPr="0009140D">
              <w:t>0</w:t>
            </w:r>
            <w:r w:rsidR="00D7157D">
              <w:t>.</w:t>
            </w:r>
            <w:r w:rsidRPr="0009140D">
              <w:t>1821</w:t>
            </w:r>
          </w:p>
        </w:tc>
      </w:tr>
      <w:tr w:rsidR="0009140D" w:rsidRPr="0009140D" w14:paraId="3D42434E" w14:textId="77777777" w:rsidTr="0009140D">
        <w:trPr>
          <w:cantSplit/>
        </w:trPr>
        <w:tc>
          <w:tcPr>
            <w:tcW w:w="1136" w:type="pct"/>
            <w:tcBorders>
              <w:top w:val="single" w:sz="4" w:space="0" w:color="auto"/>
              <w:bottom w:val="single" w:sz="4" w:space="0" w:color="auto"/>
            </w:tcBorders>
          </w:tcPr>
          <w:p w14:paraId="4FE7199E" w14:textId="77777777" w:rsidR="0009140D" w:rsidRPr="0009140D" w:rsidRDefault="0009140D" w:rsidP="0009140D">
            <w:pPr>
              <w:pStyle w:val="Tabletext"/>
            </w:pPr>
            <w:r w:rsidRPr="0009140D">
              <w:t>77</w:t>
            </w:r>
          </w:p>
        </w:tc>
        <w:tc>
          <w:tcPr>
            <w:tcW w:w="966" w:type="pct"/>
            <w:tcBorders>
              <w:top w:val="single" w:sz="4" w:space="0" w:color="auto"/>
              <w:bottom w:val="single" w:sz="4" w:space="0" w:color="auto"/>
            </w:tcBorders>
            <w:shd w:val="clear" w:color="auto" w:fill="auto"/>
            <w:vAlign w:val="bottom"/>
          </w:tcPr>
          <w:p w14:paraId="6FCE9EDB" w14:textId="77777777" w:rsidR="0009140D" w:rsidRPr="0009140D" w:rsidRDefault="0009140D" w:rsidP="0009140D">
            <w:pPr>
              <w:pStyle w:val="Tabletext"/>
            </w:pPr>
            <w:r w:rsidRPr="0009140D">
              <w:t>8</w:t>
            </w:r>
            <w:r w:rsidR="00D7157D">
              <w:t>.</w:t>
            </w:r>
            <w:r w:rsidRPr="0009140D">
              <w:t>1403</w:t>
            </w:r>
          </w:p>
        </w:tc>
        <w:tc>
          <w:tcPr>
            <w:tcW w:w="966" w:type="pct"/>
            <w:tcBorders>
              <w:top w:val="single" w:sz="4" w:space="0" w:color="auto"/>
              <w:bottom w:val="single" w:sz="4" w:space="0" w:color="auto"/>
            </w:tcBorders>
            <w:shd w:val="clear" w:color="auto" w:fill="auto"/>
            <w:vAlign w:val="bottom"/>
          </w:tcPr>
          <w:p w14:paraId="64B13D4E" w14:textId="77777777" w:rsidR="0009140D" w:rsidRPr="0009140D" w:rsidRDefault="0009140D" w:rsidP="0009140D">
            <w:pPr>
              <w:pStyle w:val="Tabletext"/>
            </w:pPr>
            <w:r w:rsidRPr="0009140D">
              <w:t>0</w:t>
            </w:r>
            <w:r w:rsidR="00D7157D">
              <w:t>.</w:t>
            </w:r>
            <w:r w:rsidRPr="0009140D">
              <w:t>6697</w:t>
            </w:r>
          </w:p>
        </w:tc>
        <w:tc>
          <w:tcPr>
            <w:tcW w:w="966" w:type="pct"/>
            <w:tcBorders>
              <w:top w:val="single" w:sz="4" w:space="0" w:color="auto"/>
              <w:bottom w:val="single" w:sz="4" w:space="0" w:color="auto"/>
            </w:tcBorders>
            <w:shd w:val="clear" w:color="auto" w:fill="auto"/>
            <w:vAlign w:val="bottom"/>
          </w:tcPr>
          <w:p w14:paraId="7E89BC03" w14:textId="77777777" w:rsidR="0009140D" w:rsidRPr="0009140D" w:rsidRDefault="0009140D" w:rsidP="0009140D">
            <w:pPr>
              <w:pStyle w:val="Tabletext"/>
            </w:pPr>
            <w:r w:rsidRPr="0009140D">
              <w:t>9</w:t>
            </w:r>
            <w:r w:rsidR="00D7157D">
              <w:t>.</w:t>
            </w:r>
            <w:r w:rsidRPr="0009140D">
              <w:t>0734</w:t>
            </w:r>
          </w:p>
        </w:tc>
        <w:tc>
          <w:tcPr>
            <w:tcW w:w="966" w:type="pct"/>
            <w:tcBorders>
              <w:top w:val="single" w:sz="4" w:space="0" w:color="auto"/>
              <w:bottom w:val="single" w:sz="4" w:space="0" w:color="auto"/>
              <w:right w:val="nil"/>
            </w:tcBorders>
            <w:shd w:val="clear" w:color="auto" w:fill="auto"/>
            <w:vAlign w:val="bottom"/>
          </w:tcPr>
          <w:p w14:paraId="04FEC7C3" w14:textId="77777777" w:rsidR="0009140D" w:rsidRPr="0009140D" w:rsidRDefault="0009140D" w:rsidP="0009140D">
            <w:pPr>
              <w:pStyle w:val="Tabletext"/>
            </w:pPr>
            <w:r w:rsidRPr="0009140D">
              <w:t>0</w:t>
            </w:r>
            <w:r w:rsidR="00D7157D">
              <w:t>.</w:t>
            </w:r>
            <w:r w:rsidRPr="0009140D">
              <w:t>1790</w:t>
            </w:r>
          </w:p>
        </w:tc>
      </w:tr>
      <w:tr w:rsidR="0009140D" w:rsidRPr="0009140D" w14:paraId="2A4957DF" w14:textId="77777777" w:rsidTr="0009140D">
        <w:trPr>
          <w:cantSplit/>
        </w:trPr>
        <w:tc>
          <w:tcPr>
            <w:tcW w:w="1136" w:type="pct"/>
            <w:tcBorders>
              <w:top w:val="single" w:sz="4" w:space="0" w:color="auto"/>
              <w:bottom w:val="single" w:sz="4" w:space="0" w:color="auto"/>
            </w:tcBorders>
          </w:tcPr>
          <w:p w14:paraId="321CDB68" w14:textId="77777777" w:rsidR="0009140D" w:rsidRPr="0009140D" w:rsidRDefault="0009140D" w:rsidP="0009140D">
            <w:pPr>
              <w:pStyle w:val="Tabletext"/>
            </w:pPr>
            <w:r w:rsidRPr="0009140D">
              <w:t>78</w:t>
            </w:r>
          </w:p>
        </w:tc>
        <w:tc>
          <w:tcPr>
            <w:tcW w:w="966" w:type="pct"/>
            <w:tcBorders>
              <w:top w:val="single" w:sz="4" w:space="0" w:color="auto"/>
              <w:bottom w:val="single" w:sz="4" w:space="0" w:color="auto"/>
            </w:tcBorders>
            <w:shd w:val="clear" w:color="auto" w:fill="auto"/>
            <w:vAlign w:val="bottom"/>
          </w:tcPr>
          <w:p w14:paraId="1819F6FB" w14:textId="77777777" w:rsidR="0009140D" w:rsidRPr="0009140D" w:rsidRDefault="0009140D" w:rsidP="0009140D">
            <w:pPr>
              <w:pStyle w:val="Tabletext"/>
            </w:pPr>
            <w:r w:rsidRPr="0009140D">
              <w:t>7</w:t>
            </w:r>
            <w:r w:rsidR="00D7157D">
              <w:t>.</w:t>
            </w:r>
            <w:r w:rsidRPr="0009140D">
              <w:t>7278</w:t>
            </w:r>
          </w:p>
        </w:tc>
        <w:tc>
          <w:tcPr>
            <w:tcW w:w="966" w:type="pct"/>
            <w:tcBorders>
              <w:top w:val="single" w:sz="4" w:space="0" w:color="auto"/>
              <w:bottom w:val="single" w:sz="4" w:space="0" w:color="auto"/>
            </w:tcBorders>
            <w:shd w:val="clear" w:color="auto" w:fill="auto"/>
            <w:vAlign w:val="bottom"/>
          </w:tcPr>
          <w:p w14:paraId="3724B8A0" w14:textId="77777777" w:rsidR="0009140D" w:rsidRPr="0009140D" w:rsidRDefault="0009140D" w:rsidP="0009140D">
            <w:pPr>
              <w:pStyle w:val="Tabletext"/>
            </w:pPr>
            <w:r w:rsidRPr="0009140D">
              <w:t>0</w:t>
            </w:r>
            <w:r w:rsidR="00D7157D">
              <w:t>.</w:t>
            </w:r>
            <w:r w:rsidRPr="0009140D">
              <w:t>6586</w:t>
            </w:r>
          </w:p>
        </w:tc>
        <w:tc>
          <w:tcPr>
            <w:tcW w:w="966" w:type="pct"/>
            <w:tcBorders>
              <w:top w:val="single" w:sz="4" w:space="0" w:color="auto"/>
              <w:bottom w:val="single" w:sz="4" w:space="0" w:color="auto"/>
            </w:tcBorders>
            <w:shd w:val="clear" w:color="auto" w:fill="auto"/>
            <w:vAlign w:val="bottom"/>
          </w:tcPr>
          <w:p w14:paraId="16CBA9DE" w14:textId="77777777" w:rsidR="0009140D" w:rsidRPr="0009140D" w:rsidRDefault="0009140D" w:rsidP="0009140D">
            <w:pPr>
              <w:pStyle w:val="Tabletext"/>
            </w:pPr>
            <w:r w:rsidRPr="0009140D">
              <w:t>8</w:t>
            </w:r>
            <w:r w:rsidR="00D7157D">
              <w:t>.</w:t>
            </w:r>
            <w:r w:rsidRPr="0009140D">
              <w:t>6151</w:t>
            </w:r>
          </w:p>
        </w:tc>
        <w:tc>
          <w:tcPr>
            <w:tcW w:w="966" w:type="pct"/>
            <w:tcBorders>
              <w:top w:val="single" w:sz="4" w:space="0" w:color="auto"/>
              <w:bottom w:val="single" w:sz="4" w:space="0" w:color="auto"/>
              <w:right w:val="nil"/>
            </w:tcBorders>
            <w:shd w:val="clear" w:color="auto" w:fill="auto"/>
            <w:vAlign w:val="bottom"/>
          </w:tcPr>
          <w:p w14:paraId="1E407807" w14:textId="77777777" w:rsidR="0009140D" w:rsidRPr="0009140D" w:rsidRDefault="0009140D" w:rsidP="0009140D">
            <w:pPr>
              <w:pStyle w:val="Tabletext"/>
            </w:pPr>
            <w:r w:rsidRPr="0009140D">
              <w:t>0</w:t>
            </w:r>
            <w:r w:rsidR="00D7157D">
              <w:t>.</w:t>
            </w:r>
            <w:r w:rsidRPr="0009140D">
              <w:t>1757</w:t>
            </w:r>
          </w:p>
        </w:tc>
      </w:tr>
      <w:tr w:rsidR="0009140D" w:rsidRPr="0009140D" w14:paraId="24F0306D" w14:textId="77777777" w:rsidTr="0009140D">
        <w:trPr>
          <w:cantSplit/>
        </w:trPr>
        <w:tc>
          <w:tcPr>
            <w:tcW w:w="1136" w:type="pct"/>
            <w:tcBorders>
              <w:top w:val="single" w:sz="4" w:space="0" w:color="auto"/>
              <w:bottom w:val="single" w:sz="4" w:space="0" w:color="auto"/>
            </w:tcBorders>
          </w:tcPr>
          <w:p w14:paraId="5ABCC9BF" w14:textId="77777777" w:rsidR="0009140D" w:rsidRPr="0009140D" w:rsidRDefault="0009140D" w:rsidP="0009140D">
            <w:pPr>
              <w:pStyle w:val="Tabletext"/>
            </w:pPr>
            <w:r w:rsidRPr="0009140D">
              <w:t>79</w:t>
            </w:r>
          </w:p>
        </w:tc>
        <w:tc>
          <w:tcPr>
            <w:tcW w:w="966" w:type="pct"/>
            <w:tcBorders>
              <w:top w:val="single" w:sz="4" w:space="0" w:color="auto"/>
              <w:bottom w:val="single" w:sz="4" w:space="0" w:color="auto"/>
            </w:tcBorders>
            <w:shd w:val="clear" w:color="auto" w:fill="auto"/>
            <w:vAlign w:val="bottom"/>
          </w:tcPr>
          <w:p w14:paraId="17948605" w14:textId="77777777" w:rsidR="0009140D" w:rsidRPr="0009140D" w:rsidRDefault="0009140D" w:rsidP="0009140D">
            <w:pPr>
              <w:pStyle w:val="Tabletext"/>
            </w:pPr>
            <w:r w:rsidRPr="0009140D">
              <w:t>7</w:t>
            </w:r>
            <w:r w:rsidR="00D7157D">
              <w:t>.</w:t>
            </w:r>
            <w:r w:rsidRPr="0009140D">
              <w:t>3205</w:t>
            </w:r>
          </w:p>
        </w:tc>
        <w:tc>
          <w:tcPr>
            <w:tcW w:w="966" w:type="pct"/>
            <w:tcBorders>
              <w:top w:val="single" w:sz="4" w:space="0" w:color="auto"/>
              <w:bottom w:val="single" w:sz="4" w:space="0" w:color="auto"/>
            </w:tcBorders>
            <w:shd w:val="clear" w:color="auto" w:fill="auto"/>
            <w:vAlign w:val="bottom"/>
          </w:tcPr>
          <w:p w14:paraId="37E63B4B" w14:textId="77777777" w:rsidR="0009140D" w:rsidRPr="0009140D" w:rsidRDefault="0009140D" w:rsidP="0009140D">
            <w:pPr>
              <w:pStyle w:val="Tabletext"/>
            </w:pPr>
            <w:r w:rsidRPr="0009140D">
              <w:t>0</w:t>
            </w:r>
            <w:r w:rsidR="00D7157D">
              <w:t>.</w:t>
            </w:r>
            <w:r w:rsidRPr="0009140D">
              <w:t>6465</w:t>
            </w:r>
          </w:p>
        </w:tc>
        <w:tc>
          <w:tcPr>
            <w:tcW w:w="966" w:type="pct"/>
            <w:tcBorders>
              <w:top w:val="single" w:sz="4" w:space="0" w:color="auto"/>
              <w:bottom w:val="single" w:sz="4" w:space="0" w:color="auto"/>
            </w:tcBorders>
            <w:shd w:val="clear" w:color="auto" w:fill="auto"/>
            <w:vAlign w:val="bottom"/>
          </w:tcPr>
          <w:p w14:paraId="167D7F0B" w14:textId="77777777" w:rsidR="0009140D" w:rsidRPr="0009140D" w:rsidRDefault="0009140D" w:rsidP="0009140D">
            <w:pPr>
              <w:pStyle w:val="Tabletext"/>
            </w:pPr>
            <w:r w:rsidRPr="0009140D">
              <w:t>8</w:t>
            </w:r>
            <w:r w:rsidR="00D7157D">
              <w:t>.</w:t>
            </w:r>
            <w:r w:rsidRPr="0009140D">
              <w:t>1621</w:t>
            </w:r>
          </w:p>
        </w:tc>
        <w:tc>
          <w:tcPr>
            <w:tcW w:w="966" w:type="pct"/>
            <w:tcBorders>
              <w:top w:val="single" w:sz="4" w:space="0" w:color="auto"/>
              <w:bottom w:val="single" w:sz="4" w:space="0" w:color="auto"/>
              <w:right w:val="nil"/>
            </w:tcBorders>
            <w:shd w:val="clear" w:color="auto" w:fill="auto"/>
            <w:vAlign w:val="bottom"/>
          </w:tcPr>
          <w:p w14:paraId="677F97D2" w14:textId="77777777" w:rsidR="0009140D" w:rsidRPr="0009140D" w:rsidRDefault="0009140D" w:rsidP="0009140D">
            <w:pPr>
              <w:pStyle w:val="Tabletext"/>
            </w:pPr>
            <w:r w:rsidRPr="0009140D">
              <w:t>0</w:t>
            </w:r>
            <w:r w:rsidR="00D7157D">
              <w:t>.</w:t>
            </w:r>
            <w:r w:rsidRPr="0009140D">
              <w:t>1722</w:t>
            </w:r>
          </w:p>
        </w:tc>
      </w:tr>
      <w:tr w:rsidR="0009140D" w:rsidRPr="0009140D" w14:paraId="51A852BA" w14:textId="77777777" w:rsidTr="0009140D">
        <w:trPr>
          <w:cantSplit/>
        </w:trPr>
        <w:tc>
          <w:tcPr>
            <w:tcW w:w="1136" w:type="pct"/>
            <w:tcBorders>
              <w:top w:val="single" w:sz="4" w:space="0" w:color="auto"/>
              <w:bottom w:val="single" w:sz="4" w:space="0" w:color="auto"/>
            </w:tcBorders>
          </w:tcPr>
          <w:p w14:paraId="2D7E96F9" w14:textId="77777777" w:rsidR="0009140D" w:rsidRPr="0009140D" w:rsidRDefault="0009140D" w:rsidP="0009140D">
            <w:pPr>
              <w:pStyle w:val="Tabletext"/>
            </w:pPr>
            <w:r w:rsidRPr="0009140D">
              <w:t>80</w:t>
            </w:r>
          </w:p>
        </w:tc>
        <w:tc>
          <w:tcPr>
            <w:tcW w:w="966" w:type="pct"/>
            <w:tcBorders>
              <w:top w:val="single" w:sz="4" w:space="0" w:color="auto"/>
              <w:bottom w:val="single" w:sz="4" w:space="0" w:color="auto"/>
            </w:tcBorders>
            <w:shd w:val="clear" w:color="auto" w:fill="auto"/>
            <w:vAlign w:val="bottom"/>
          </w:tcPr>
          <w:p w14:paraId="6C728BF9" w14:textId="77777777" w:rsidR="0009140D" w:rsidRPr="0009140D" w:rsidRDefault="0009140D" w:rsidP="0009140D">
            <w:pPr>
              <w:pStyle w:val="Tabletext"/>
            </w:pPr>
            <w:r w:rsidRPr="0009140D">
              <w:t>6</w:t>
            </w:r>
            <w:r w:rsidR="00D7157D">
              <w:t>.</w:t>
            </w:r>
            <w:r w:rsidRPr="0009140D">
              <w:t>9199</w:t>
            </w:r>
          </w:p>
        </w:tc>
        <w:tc>
          <w:tcPr>
            <w:tcW w:w="966" w:type="pct"/>
            <w:tcBorders>
              <w:top w:val="single" w:sz="4" w:space="0" w:color="auto"/>
              <w:bottom w:val="single" w:sz="4" w:space="0" w:color="auto"/>
            </w:tcBorders>
            <w:shd w:val="clear" w:color="auto" w:fill="auto"/>
            <w:vAlign w:val="bottom"/>
          </w:tcPr>
          <w:p w14:paraId="0170AE2C" w14:textId="77777777" w:rsidR="0009140D" w:rsidRPr="0009140D" w:rsidRDefault="0009140D" w:rsidP="0009140D">
            <w:pPr>
              <w:pStyle w:val="Tabletext"/>
            </w:pPr>
            <w:r w:rsidRPr="0009140D">
              <w:t>0</w:t>
            </w:r>
            <w:r w:rsidR="00D7157D">
              <w:t>.</w:t>
            </w:r>
            <w:r w:rsidRPr="0009140D">
              <w:t>6332</w:t>
            </w:r>
          </w:p>
        </w:tc>
        <w:tc>
          <w:tcPr>
            <w:tcW w:w="966" w:type="pct"/>
            <w:tcBorders>
              <w:top w:val="single" w:sz="4" w:space="0" w:color="auto"/>
              <w:bottom w:val="single" w:sz="4" w:space="0" w:color="auto"/>
            </w:tcBorders>
            <w:shd w:val="clear" w:color="auto" w:fill="auto"/>
            <w:vAlign w:val="bottom"/>
          </w:tcPr>
          <w:p w14:paraId="5AD671E0" w14:textId="77777777" w:rsidR="0009140D" w:rsidRPr="0009140D" w:rsidRDefault="0009140D" w:rsidP="0009140D">
            <w:pPr>
              <w:pStyle w:val="Tabletext"/>
            </w:pPr>
            <w:r w:rsidRPr="0009140D">
              <w:t>7</w:t>
            </w:r>
            <w:r w:rsidR="00D7157D">
              <w:t>.</w:t>
            </w:r>
            <w:r w:rsidRPr="0009140D">
              <w:t>7148</w:t>
            </w:r>
          </w:p>
        </w:tc>
        <w:tc>
          <w:tcPr>
            <w:tcW w:w="966" w:type="pct"/>
            <w:tcBorders>
              <w:top w:val="single" w:sz="4" w:space="0" w:color="auto"/>
              <w:bottom w:val="single" w:sz="4" w:space="0" w:color="auto"/>
              <w:right w:val="nil"/>
            </w:tcBorders>
            <w:shd w:val="clear" w:color="auto" w:fill="auto"/>
            <w:vAlign w:val="bottom"/>
          </w:tcPr>
          <w:p w14:paraId="6FDB7870" w14:textId="77777777" w:rsidR="0009140D" w:rsidRPr="0009140D" w:rsidRDefault="0009140D" w:rsidP="0009140D">
            <w:pPr>
              <w:pStyle w:val="Tabletext"/>
            </w:pPr>
            <w:r w:rsidRPr="0009140D">
              <w:t>0</w:t>
            </w:r>
            <w:r w:rsidR="00D7157D">
              <w:t>.</w:t>
            </w:r>
            <w:r w:rsidRPr="0009140D">
              <w:t>1684</w:t>
            </w:r>
          </w:p>
        </w:tc>
      </w:tr>
      <w:tr w:rsidR="0009140D" w:rsidRPr="0009140D" w14:paraId="2CEC6722" w14:textId="77777777" w:rsidTr="0009140D">
        <w:trPr>
          <w:cantSplit/>
        </w:trPr>
        <w:tc>
          <w:tcPr>
            <w:tcW w:w="1136" w:type="pct"/>
            <w:tcBorders>
              <w:top w:val="single" w:sz="4" w:space="0" w:color="auto"/>
              <w:bottom w:val="single" w:sz="4" w:space="0" w:color="auto"/>
            </w:tcBorders>
          </w:tcPr>
          <w:p w14:paraId="417A9518" w14:textId="77777777" w:rsidR="0009140D" w:rsidRPr="0009140D" w:rsidRDefault="0009140D" w:rsidP="0009140D">
            <w:pPr>
              <w:pStyle w:val="Tabletext"/>
            </w:pPr>
            <w:r w:rsidRPr="0009140D">
              <w:t>81</w:t>
            </w:r>
          </w:p>
        </w:tc>
        <w:tc>
          <w:tcPr>
            <w:tcW w:w="966" w:type="pct"/>
            <w:tcBorders>
              <w:top w:val="single" w:sz="4" w:space="0" w:color="auto"/>
              <w:bottom w:val="single" w:sz="4" w:space="0" w:color="auto"/>
            </w:tcBorders>
            <w:shd w:val="clear" w:color="auto" w:fill="auto"/>
            <w:vAlign w:val="bottom"/>
          </w:tcPr>
          <w:p w14:paraId="16B6864C" w14:textId="77777777" w:rsidR="0009140D" w:rsidRPr="0009140D" w:rsidRDefault="0009140D" w:rsidP="0009140D">
            <w:pPr>
              <w:pStyle w:val="Tabletext"/>
            </w:pPr>
            <w:r w:rsidRPr="0009140D">
              <w:t>6</w:t>
            </w:r>
            <w:r w:rsidR="00D7157D">
              <w:t>.</w:t>
            </w:r>
            <w:r w:rsidRPr="0009140D">
              <w:t>5273</w:t>
            </w:r>
          </w:p>
        </w:tc>
        <w:tc>
          <w:tcPr>
            <w:tcW w:w="966" w:type="pct"/>
            <w:tcBorders>
              <w:top w:val="single" w:sz="4" w:space="0" w:color="auto"/>
              <w:bottom w:val="single" w:sz="4" w:space="0" w:color="auto"/>
            </w:tcBorders>
            <w:shd w:val="clear" w:color="auto" w:fill="auto"/>
            <w:vAlign w:val="bottom"/>
          </w:tcPr>
          <w:p w14:paraId="734ADD82" w14:textId="77777777" w:rsidR="0009140D" w:rsidRPr="0009140D" w:rsidRDefault="0009140D" w:rsidP="0009140D">
            <w:pPr>
              <w:pStyle w:val="Tabletext"/>
            </w:pPr>
            <w:r w:rsidRPr="0009140D">
              <w:t>0</w:t>
            </w:r>
            <w:r w:rsidR="00D7157D">
              <w:t>.</w:t>
            </w:r>
            <w:r w:rsidRPr="0009140D">
              <w:t>6187</w:t>
            </w:r>
          </w:p>
        </w:tc>
        <w:tc>
          <w:tcPr>
            <w:tcW w:w="966" w:type="pct"/>
            <w:tcBorders>
              <w:top w:val="single" w:sz="4" w:space="0" w:color="auto"/>
              <w:bottom w:val="single" w:sz="4" w:space="0" w:color="auto"/>
            </w:tcBorders>
            <w:shd w:val="clear" w:color="auto" w:fill="auto"/>
            <w:vAlign w:val="bottom"/>
          </w:tcPr>
          <w:p w14:paraId="1A20C482" w14:textId="77777777" w:rsidR="0009140D" w:rsidRPr="0009140D" w:rsidRDefault="0009140D" w:rsidP="0009140D">
            <w:pPr>
              <w:pStyle w:val="Tabletext"/>
            </w:pPr>
            <w:r w:rsidRPr="0009140D">
              <w:t>7</w:t>
            </w:r>
            <w:r w:rsidR="00D7157D">
              <w:t>.</w:t>
            </w:r>
            <w:r w:rsidRPr="0009140D">
              <w:t>2763</w:t>
            </w:r>
          </w:p>
        </w:tc>
        <w:tc>
          <w:tcPr>
            <w:tcW w:w="966" w:type="pct"/>
            <w:tcBorders>
              <w:top w:val="single" w:sz="4" w:space="0" w:color="auto"/>
              <w:bottom w:val="single" w:sz="4" w:space="0" w:color="auto"/>
              <w:right w:val="nil"/>
            </w:tcBorders>
            <w:shd w:val="clear" w:color="auto" w:fill="auto"/>
            <w:vAlign w:val="bottom"/>
          </w:tcPr>
          <w:p w14:paraId="761F6180" w14:textId="77777777" w:rsidR="0009140D" w:rsidRPr="0009140D" w:rsidRDefault="0009140D" w:rsidP="0009140D">
            <w:pPr>
              <w:pStyle w:val="Tabletext"/>
            </w:pPr>
            <w:r w:rsidRPr="0009140D">
              <w:t>0</w:t>
            </w:r>
            <w:r w:rsidR="00D7157D">
              <w:t>.</w:t>
            </w:r>
            <w:r w:rsidRPr="0009140D">
              <w:t>1644</w:t>
            </w:r>
          </w:p>
        </w:tc>
      </w:tr>
      <w:tr w:rsidR="0009140D" w:rsidRPr="0009140D" w14:paraId="47CA8937" w14:textId="77777777" w:rsidTr="0009140D">
        <w:trPr>
          <w:cantSplit/>
        </w:trPr>
        <w:tc>
          <w:tcPr>
            <w:tcW w:w="1136" w:type="pct"/>
            <w:tcBorders>
              <w:top w:val="single" w:sz="4" w:space="0" w:color="auto"/>
              <w:bottom w:val="single" w:sz="4" w:space="0" w:color="auto"/>
            </w:tcBorders>
          </w:tcPr>
          <w:p w14:paraId="043D521B" w14:textId="77777777" w:rsidR="0009140D" w:rsidRPr="0009140D" w:rsidRDefault="0009140D" w:rsidP="0009140D">
            <w:pPr>
              <w:pStyle w:val="Tabletext"/>
            </w:pPr>
            <w:r w:rsidRPr="0009140D">
              <w:t>82</w:t>
            </w:r>
          </w:p>
        </w:tc>
        <w:tc>
          <w:tcPr>
            <w:tcW w:w="966" w:type="pct"/>
            <w:tcBorders>
              <w:top w:val="single" w:sz="4" w:space="0" w:color="auto"/>
              <w:bottom w:val="single" w:sz="4" w:space="0" w:color="auto"/>
            </w:tcBorders>
            <w:shd w:val="clear" w:color="auto" w:fill="auto"/>
            <w:vAlign w:val="bottom"/>
          </w:tcPr>
          <w:p w14:paraId="3F83859D" w14:textId="77777777" w:rsidR="0009140D" w:rsidRPr="0009140D" w:rsidRDefault="0009140D" w:rsidP="0009140D">
            <w:pPr>
              <w:pStyle w:val="Tabletext"/>
            </w:pPr>
            <w:r w:rsidRPr="0009140D">
              <w:t>6</w:t>
            </w:r>
            <w:r w:rsidR="00D7157D">
              <w:t>.</w:t>
            </w:r>
            <w:r w:rsidRPr="0009140D">
              <w:t>1485</w:t>
            </w:r>
          </w:p>
        </w:tc>
        <w:tc>
          <w:tcPr>
            <w:tcW w:w="966" w:type="pct"/>
            <w:tcBorders>
              <w:top w:val="single" w:sz="4" w:space="0" w:color="auto"/>
              <w:bottom w:val="single" w:sz="4" w:space="0" w:color="auto"/>
            </w:tcBorders>
            <w:shd w:val="clear" w:color="auto" w:fill="auto"/>
            <w:vAlign w:val="bottom"/>
          </w:tcPr>
          <w:p w14:paraId="33A9AD88" w14:textId="77777777" w:rsidR="0009140D" w:rsidRPr="0009140D" w:rsidRDefault="0009140D" w:rsidP="0009140D">
            <w:pPr>
              <w:pStyle w:val="Tabletext"/>
            </w:pPr>
            <w:r w:rsidRPr="0009140D">
              <w:t>0</w:t>
            </w:r>
            <w:r w:rsidR="00D7157D">
              <w:t>.</w:t>
            </w:r>
            <w:r w:rsidRPr="0009140D">
              <w:t>6029</w:t>
            </w:r>
          </w:p>
        </w:tc>
        <w:tc>
          <w:tcPr>
            <w:tcW w:w="966" w:type="pct"/>
            <w:tcBorders>
              <w:top w:val="single" w:sz="4" w:space="0" w:color="auto"/>
              <w:bottom w:val="single" w:sz="4" w:space="0" w:color="auto"/>
            </w:tcBorders>
            <w:shd w:val="clear" w:color="auto" w:fill="auto"/>
            <w:vAlign w:val="bottom"/>
          </w:tcPr>
          <w:p w14:paraId="0F72F78D" w14:textId="77777777" w:rsidR="0009140D" w:rsidRPr="0009140D" w:rsidRDefault="0009140D" w:rsidP="0009140D">
            <w:pPr>
              <w:pStyle w:val="Tabletext"/>
            </w:pPr>
            <w:r w:rsidRPr="0009140D">
              <w:t>6</w:t>
            </w:r>
            <w:r w:rsidR="00D7157D">
              <w:t>.</w:t>
            </w:r>
            <w:r w:rsidRPr="0009140D">
              <w:t>8476</w:t>
            </w:r>
          </w:p>
        </w:tc>
        <w:tc>
          <w:tcPr>
            <w:tcW w:w="966" w:type="pct"/>
            <w:tcBorders>
              <w:top w:val="single" w:sz="4" w:space="0" w:color="auto"/>
              <w:bottom w:val="single" w:sz="4" w:space="0" w:color="auto"/>
              <w:right w:val="nil"/>
            </w:tcBorders>
            <w:shd w:val="clear" w:color="auto" w:fill="auto"/>
            <w:vAlign w:val="bottom"/>
          </w:tcPr>
          <w:p w14:paraId="488F9817" w14:textId="77777777" w:rsidR="0009140D" w:rsidRPr="0009140D" w:rsidRDefault="0009140D" w:rsidP="0009140D">
            <w:pPr>
              <w:pStyle w:val="Tabletext"/>
            </w:pPr>
            <w:r w:rsidRPr="0009140D">
              <w:t>0</w:t>
            </w:r>
            <w:r w:rsidR="00D7157D">
              <w:t>.</w:t>
            </w:r>
            <w:r w:rsidRPr="0009140D">
              <w:t>1603</w:t>
            </w:r>
          </w:p>
        </w:tc>
      </w:tr>
      <w:tr w:rsidR="0009140D" w:rsidRPr="0009140D" w14:paraId="766ADB79" w14:textId="77777777" w:rsidTr="0009140D">
        <w:trPr>
          <w:cantSplit/>
        </w:trPr>
        <w:tc>
          <w:tcPr>
            <w:tcW w:w="1136" w:type="pct"/>
            <w:tcBorders>
              <w:top w:val="single" w:sz="4" w:space="0" w:color="auto"/>
              <w:bottom w:val="single" w:sz="4" w:space="0" w:color="auto"/>
            </w:tcBorders>
          </w:tcPr>
          <w:p w14:paraId="3FFEDB2C" w14:textId="77777777" w:rsidR="0009140D" w:rsidRPr="0009140D" w:rsidRDefault="0009140D" w:rsidP="0009140D">
            <w:pPr>
              <w:pStyle w:val="Tabletext"/>
            </w:pPr>
            <w:r w:rsidRPr="0009140D">
              <w:t>83</w:t>
            </w:r>
          </w:p>
        </w:tc>
        <w:tc>
          <w:tcPr>
            <w:tcW w:w="966" w:type="pct"/>
            <w:tcBorders>
              <w:top w:val="single" w:sz="4" w:space="0" w:color="auto"/>
              <w:bottom w:val="single" w:sz="4" w:space="0" w:color="auto"/>
            </w:tcBorders>
            <w:shd w:val="clear" w:color="auto" w:fill="auto"/>
            <w:vAlign w:val="bottom"/>
          </w:tcPr>
          <w:p w14:paraId="2F2AF8CF" w14:textId="77777777" w:rsidR="0009140D" w:rsidRPr="0009140D" w:rsidRDefault="0009140D" w:rsidP="0009140D">
            <w:pPr>
              <w:pStyle w:val="Tabletext"/>
            </w:pPr>
            <w:r w:rsidRPr="0009140D">
              <w:t>5</w:t>
            </w:r>
            <w:r w:rsidR="00D7157D">
              <w:t>.</w:t>
            </w:r>
            <w:r w:rsidRPr="0009140D">
              <w:t>7857</w:t>
            </w:r>
          </w:p>
        </w:tc>
        <w:tc>
          <w:tcPr>
            <w:tcW w:w="966" w:type="pct"/>
            <w:tcBorders>
              <w:top w:val="single" w:sz="4" w:space="0" w:color="auto"/>
              <w:bottom w:val="single" w:sz="4" w:space="0" w:color="auto"/>
            </w:tcBorders>
            <w:shd w:val="clear" w:color="auto" w:fill="auto"/>
            <w:vAlign w:val="bottom"/>
          </w:tcPr>
          <w:p w14:paraId="1E97DE2A" w14:textId="77777777" w:rsidR="0009140D" w:rsidRPr="0009140D" w:rsidRDefault="0009140D" w:rsidP="0009140D">
            <w:pPr>
              <w:pStyle w:val="Tabletext"/>
            </w:pPr>
            <w:r w:rsidRPr="0009140D">
              <w:t>0</w:t>
            </w:r>
            <w:r w:rsidR="00D7157D">
              <w:t>.</w:t>
            </w:r>
            <w:r w:rsidRPr="0009140D">
              <w:t>5856</w:t>
            </w:r>
          </w:p>
        </w:tc>
        <w:tc>
          <w:tcPr>
            <w:tcW w:w="966" w:type="pct"/>
            <w:tcBorders>
              <w:top w:val="single" w:sz="4" w:space="0" w:color="auto"/>
              <w:bottom w:val="single" w:sz="4" w:space="0" w:color="auto"/>
            </w:tcBorders>
            <w:shd w:val="clear" w:color="auto" w:fill="auto"/>
            <w:vAlign w:val="bottom"/>
          </w:tcPr>
          <w:p w14:paraId="4332B73E" w14:textId="77777777" w:rsidR="0009140D" w:rsidRPr="0009140D" w:rsidRDefault="0009140D" w:rsidP="0009140D">
            <w:pPr>
              <w:pStyle w:val="Tabletext"/>
            </w:pPr>
            <w:r w:rsidRPr="0009140D">
              <w:t>6</w:t>
            </w:r>
            <w:r w:rsidR="00D7157D">
              <w:t>.</w:t>
            </w:r>
            <w:r w:rsidRPr="0009140D">
              <w:t>4307</w:t>
            </w:r>
          </w:p>
        </w:tc>
        <w:tc>
          <w:tcPr>
            <w:tcW w:w="966" w:type="pct"/>
            <w:tcBorders>
              <w:top w:val="single" w:sz="4" w:space="0" w:color="auto"/>
              <w:bottom w:val="single" w:sz="4" w:space="0" w:color="auto"/>
              <w:right w:val="nil"/>
            </w:tcBorders>
            <w:shd w:val="clear" w:color="auto" w:fill="auto"/>
            <w:vAlign w:val="bottom"/>
          </w:tcPr>
          <w:p w14:paraId="0BAC9207" w14:textId="77777777" w:rsidR="0009140D" w:rsidRPr="0009140D" w:rsidRDefault="0009140D" w:rsidP="0009140D">
            <w:pPr>
              <w:pStyle w:val="Tabletext"/>
            </w:pPr>
            <w:r w:rsidRPr="0009140D">
              <w:t>0</w:t>
            </w:r>
            <w:r w:rsidR="00D7157D">
              <w:t>.</w:t>
            </w:r>
            <w:r w:rsidRPr="0009140D">
              <w:t>1559</w:t>
            </w:r>
          </w:p>
        </w:tc>
      </w:tr>
      <w:tr w:rsidR="0009140D" w:rsidRPr="0009140D" w14:paraId="00CDDE60" w14:textId="77777777" w:rsidTr="0009140D">
        <w:trPr>
          <w:cantSplit/>
        </w:trPr>
        <w:tc>
          <w:tcPr>
            <w:tcW w:w="1136" w:type="pct"/>
            <w:tcBorders>
              <w:top w:val="single" w:sz="4" w:space="0" w:color="auto"/>
              <w:bottom w:val="single" w:sz="4" w:space="0" w:color="auto"/>
            </w:tcBorders>
          </w:tcPr>
          <w:p w14:paraId="7C72B55A" w14:textId="77777777" w:rsidR="0009140D" w:rsidRPr="0009140D" w:rsidRDefault="0009140D" w:rsidP="0009140D">
            <w:pPr>
              <w:pStyle w:val="Tabletext"/>
            </w:pPr>
            <w:r w:rsidRPr="0009140D">
              <w:t>84</w:t>
            </w:r>
          </w:p>
        </w:tc>
        <w:tc>
          <w:tcPr>
            <w:tcW w:w="966" w:type="pct"/>
            <w:tcBorders>
              <w:top w:val="single" w:sz="4" w:space="0" w:color="auto"/>
              <w:bottom w:val="single" w:sz="4" w:space="0" w:color="auto"/>
            </w:tcBorders>
            <w:shd w:val="clear" w:color="auto" w:fill="auto"/>
            <w:vAlign w:val="bottom"/>
          </w:tcPr>
          <w:p w14:paraId="57A43C66" w14:textId="77777777" w:rsidR="0009140D" w:rsidRPr="0009140D" w:rsidRDefault="0009140D" w:rsidP="0009140D">
            <w:pPr>
              <w:pStyle w:val="Tabletext"/>
            </w:pPr>
            <w:r w:rsidRPr="0009140D">
              <w:t>5</w:t>
            </w:r>
            <w:r w:rsidR="00D7157D">
              <w:t>.</w:t>
            </w:r>
            <w:r w:rsidRPr="0009140D">
              <w:t>4409</w:t>
            </w:r>
          </w:p>
        </w:tc>
        <w:tc>
          <w:tcPr>
            <w:tcW w:w="966" w:type="pct"/>
            <w:tcBorders>
              <w:top w:val="single" w:sz="4" w:space="0" w:color="auto"/>
              <w:bottom w:val="single" w:sz="4" w:space="0" w:color="auto"/>
            </w:tcBorders>
            <w:shd w:val="clear" w:color="auto" w:fill="auto"/>
            <w:vAlign w:val="bottom"/>
          </w:tcPr>
          <w:p w14:paraId="52ADF4E3" w14:textId="77777777" w:rsidR="0009140D" w:rsidRPr="0009140D" w:rsidRDefault="0009140D" w:rsidP="0009140D">
            <w:pPr>
              <w:pStyle w:val="Tabletext"/>
            </w:pPr>
            <w:r w:rsidRPr="0009140D">
              <w:t>0</w:t>
            </w:r>
            <w:r w:rsidR="00D7157D">
              <w:t>.</w:t>
            </w:r>
            <w:r w:rsidRPr="0009140D">
              <w:t>5671</w:t>
            </w:r>
          </w:p>
        </w:tc>
        <w:tc>
          <w:tcPr>
            <w:tcW w:w="966" w:type="pct"/>
            <w:tcBorders>
              <w:top w:val="single" w:sz="4" w:space="0" w:color="auto"/>
              <w:bottom w:val="single" w:sz="4" w:space="0" w:color="auto"/>
            </w:tcBorders>
            <w:shd w:val="clear" w:color="auto" w:fill="auto"/>
            <w:vAlign w:val="bottom"/>
          </w:tcPr>
          <w:p w14:paraId="76988E84" w14:textId="77777777" w:rsidR="0009140D" w:rsidRPr="0009140D" w:rsidRDefault="0009140D" w:rsidP="0009140D">
            <w:pPr>
              <w:pStyle w:val="Tabletext"/>
            </w:pPr>
            <w:r w:rsidRPr="0009140D">
              <w:t>6</w:t>
            </w:r>
            <w:r w:rsidR="00D7157D">
              <w:t>.</w:t>
            </w:r>
            <w:r w:rsidRPr="0009140D">
              <w:t>0272</w:t>
            </w:r>
          </w:p>
        </w:tc>
        <w:tc>
          <w:tcPr>
            <w:tcW w:w="966" w:type="pct"/>
            <w:tcBorders>
              <w:top w:val="single" w:sz="4" w:space="0" w:color="auto"/>
              <w:bottom w:val="single" w:sz="4" w:space="0" w:color="auto"/>
              <w:right w:val="nil"/>
            </w:tcBorders>
            <w:shd w:val="clear" w:color="auto" w:fill="auto"/>
            <w:vAlign w:val="bottom"/>
          </w:tcPr>
          <w:p w14:paraId="55A046ED" w14:textId="77777777" w:rsidR="0009140D" w:rsidRPr="0009140D" w:rsidRDefault="0009140D" w:rsidP="0009140D">
            <w:pPr>
              <w:pStyle w:val="Tabletext"/>
            </w:pPr>
            <w:r w:rsidRPr="0009140D">
              <w:t>0</w:t>
            </w:r>
            <w:r w:rsidR="00D7157D">
              <w:t>.</w:t>
            </w:r>
            <w:r w:rsidRPr="0009140D">
              <w:t>1515</w:t>
            </w:r>
          </w:p>
        </w:tc>
      </w:tr>
      <w:tr w:rsidR="0009140D" w:rsidRPr="0009140D" w14:paraId="6E74282E" w14:textId="77777777" w:rsidTr="0009140D">
        <w:trPr>
          <w:cantSplit/>
        </w:trPr>
        <w:tc>
          <w:tcPr>
            <w:tcW w:w="1136" w:type="pct"/>
            <w:tcBorders>
              <w:top w:val="single" w:sz="4" w:space="0" w:color="auto"/>
              <w:bottom w:val="single" w:sz="4" w:space="0" w:color="auto"/>
            </w:tcBorders>
          </w:tcPr>
          <w:p w14:paraId="74D8A80B" w14:textId="77777777" w:rsidR="0009140D" w:rsidRPr="0009140D" w:rsidRDefault="0009140D" w:rsidP="0009140D">
            <w:pPr>
              <w:pStyle w:val="Tabletext"/>
            </w:pPr>
            <w:r w:rsidRPr="0009140D">
              <w:t>85</w:t>
            </w:r>
          </w:p>
        </w:tc>
        <w:tc>
          <w:tcPr>
            <w:tcW w:w="966" w:type="pct"/>
            <w:tcBorders>
              <w:top w:val="single" w:sz="4" w:space="0" w:color="auto"/>
              <w:bottom w:val="single" w:sz="4" w:space="0" w:color="auto"/>
            </w:tcBorders>
            <w:shd w:val="clear" w:color="auto" w:fill="auto"/>
            <w:vAlign w:val="bottom"/>
          </w:tcPr>
          <w:p w14:paraId="36B39D6B" w14:textId="77777777" w:rsidR="0009140D" w:rsidRPr="0009140D" w:rsidRDefault="0009140D" w:rsidP="0009140D">
            <w:pPr>
              <w:pStyle w:val="Tabletext"/>
            </w:pPr>
            <w:r w:rsidRPr="0009140D">
              <w:t>5</w:t>
            </w:r>
            <w:r w:rsidR="00D7157D">
              <w:t>.</w:t>
            </w:r>
            <w:r w:rsidRPr="0009140D">
              <w:t>1160</w:t>
            </w:r>
          </w:p>
        </w:tc>
        <w:tc>
          <w:tcPr>
            <w:tcW w:w="966" w:type="pct"/>
            <w:tcBorders>
              <w:top w:val="single" w:sz="4" w:space="0" w:color="auto"/>
              <w:bottom w:val="single" w:sz="4" w:space="0" w:color="auto"/>
            </w:tcBorders>
            <w:shd w:val="clear" w:color="auto" w:fill="auto"/>
            <w:vAlign w:val="bottom"/>
          </w:tcPr>
          <w:p w14:paraId="23AAD4C9" w14:textId="77777777" w:rsidR="0009140D" w:rsidRPr="0009140D" w:rsidRDefault="0009140D" w:rsidP="0009140D">
            <w:pPr>
              <w:pStyle w:val="Tabletext"/>
            </w:pPr>
            <w:r w:rsidRPr="0009140D">
              <w:t>0</w:t>
            </w:r>
            <w:r w:rsidR="00D7157D">
              <w:t>.</w:t>
            </w:r>
            <w:r w:rsidRPr="0009140D">
              <w:t>5472</w:t>
            </w:r>
          </w:p>
        </w:tc>
        <w:tc>
          <w:tcPr>
            <w:tcW w:w="966" w:type="pct"/>
            <w:tcBorders>
              <w:top w:val="single" w:sz="4" w:space="0" w:color="auto"/>
              <w:bottom w:val="single" w:sz="4" w:space="0" w:color="auto"/>
            </w:tcBorders>
            <w:shd w:val="clear" w:color="auto" w:fill="auto"/>
            <w:vAlign w:val="bottom"/>
          </w:tcPr>
          <w:p w14:paraId="6BB1DE5C" w14:textId="77777777" w:rsidR="0009140D" w:rsidRPr="0009140D" w:rsidRDefault="0009140D" w:rsidP="0009140D">
            <w:pPr>
              <w:pStyle w:val="Tabletext"/>
            </w:pPr>
            <w:r w:rsidRPr="0009140D">
              <w:t>5</w:t>
            </w:r>
            <w:r w:rsidR="00D7157D">
              <w:t>.</w:t>
            </w:r>
            <w:r w:rsidRPr="0009140D">
              <w:t>6393</w:t>
            </w:r>
          </w:p>
        </w:tc>
        <w:tc>
          <w:tcPr>
            <w:tcW w:w="966" w:type="pct"/>
            <w:tcBorders>
              <w:top w:val="single" w:sz="4" w:space="0" w:color="auto"/>
              <w:bottom w:val="single" w:sz="4" w:space="0" w:color="auto"/>
              <w:right w:val="nil"/>
            </w:tcBorders>
            <w:shd w:val="clear" w:color="auto" w:fill="auto"/>
            <w:vAlign w:val="bottom"/>
          </w:tcPr>
          <w:p w14:paraId="21AC6A3B" w14:textId="77777777" w:rsidR="0009140D" w:rsidRPr="0009140D" w:rsidRDefault="0009140D" w:rsidP="0009140D">
            <w:pPr>
              <w:pStyle w:val="Tabletext"/>
            </w:pPr>
            <w:r w:rsidRPr="0009140D">
              <w:t>0</w:t>
            </w:r>
            <w:r w:rsidR="00D7157D">
              <w:t>.</w:t>
            </w:r>
            <w:r w:rsidRPr="0009140D">
              <w:t>1469</w:t>
            </w:r>
          </w:p>
        </w:tc>
      </w:tr>
      <w:tr w:rsidR="0009140D" w:rsidRPr="0009140D" w14:paraId="32C1D22A" w14:textId="77777777" w:rsidTr="0009140D">
        <w:trPr>
          <w:cantSplit/>
        </w:trPr>
        <w:tc>
          <w:tcPr>
            <w:tcW w:w="1136" w:type="pct"/>
            <w:tcBorders>
              <w:top w:val="single" w:sz="4" w:space="0" w:color="auto"/>
              <w:bottom w:val="single" w:sz="4" w:space="0" w:color="auto"/>
            </w:tcBorders>
          </w:tcPr>
          <w:p w14:paraId="7936693D" w14:textId="77777777" w:rsidR="0009140D" w:rsidRPr="0009140D" w:rsidRDefault="0009140D" w:rsidP="0009140D">
            <w:pPr>
              <w:pStyle w:val="Tabletext"/>
            </w:pPr>
            <w:r w:rsidRPr="0009140D">
              <w:t>86</w:t>
            </w:r>
          </w:p>
        </w:tc>
        <w:tc>
          <w:tcPr>
            <w:tcW w:w="966" w:type="pct"/>
            <w:tcBorders>
              <w:top w:val="single" w:sz="4" w:space="0" w:color="auto"/>
              <w:bottom w:val="single" w:sz="4" w:space="0" w:color="auto"/>
            </w:tcBorders>
            <w:shd w:val="clear" w:color="auto" w:fill="auto"/>
            <w:vAlign w:val="bottom"/>
          </w:tcPr>
          <w:p w14:paraId="3770452B" w14:textId="77777777" w:rsidR="0009140D" w:rsidRPr="0009140D" w:rsidRDefault="0009140D" w:rsidP="0009140D">
            <w:pPr>
              <w:pStyle w:val="Tabletext"/>
            </w:pPr>
            <w:r w:rsidRPr="0009140D">
              <w:t>4</w:t>
            </w:r>
            <w:r w:rsidR="00D7157D">
              <w:t>.</w:t>
            </w:r>
            <w:r w:rsidRPr="0009140D">
              <w:t>8131</w:t>
            </w:r>
          </w:p>
        </w:tc>
        <w:tc>
          <w:tcPr>
            <w:tcW w:w="966" w:type="pct"/>
            <w:tcBorders>
              <w:top w:val="single" w:sz="4" w:space="0" w:color="auto"/>
              <w:bottom w:val="single" w:sz="4" w:space="0" w:color="auto"/>
            </w:tcBorders>
            <w:shd w:val="clear" w:color="auto" w:fill="auto"/>
            <w:vAlign w:val="bottom"/>
          </w:tcPr>
          <w:p w14:paraId="691A4DC6" w14:textId="77777777" w:rsidR="0009140D" w:rsidRPr="0009140D" w:rsidRDefault="0009140D" w:rsidP="0009140D">
            <w:pPr>
              <w:pStyle w:val="Tabletext"/>
            </w:pPr>
            <w:r w:rsidRPr="0009140D">
              <w:t>0</w:t>
            </w:r>
            <w:r w:rsidR="00D7157D">
              <w:t>.</w:t>
            </w:r>
            <w:r w:rsidRPr="0009140D">
              <w:t>5260</w:t>
            </w:r>
          </w:p>
        </w:tc>
        <w:tc>
          <w:tcPr>
            <w:tcW w:w="966" w:type="pct"/>
            <w:tcBorders>
              <w:top w:val="single" w:sz="4" w:space="0" w:color="auto"/>
              <w:bottom w:val="single" w:sz="4" w:space="0" w:color="auto"/>
            </w:tcBorders>
            <w:shd w:val="clear" w:color="auto" w:fill="auto"/>
            <w:vAlign w:val="bottom"/>
          </w:tcPr>
          <w:p w14:paraId="312685E3" w14:textId="77777777" w:rsidR="0009140D" w:rsidRPr="0009140D" w:rsidRDefault="0009140D" w:rsidP="0009140D">
            <w:pPr>
              <w:pStyle w:val="Tabletext"/>
            </w:pPr>
            <w:r w:rsidRPr="0009140D">
              <w:t>5</w:t>
            </w:r>
            <w:r w:rsidR="00D7157D">
              <w:t>.</w:t>
            </w:r>
            <w:r w:rsidRPr="0009140D">
              <w:t>2681</w:t>
            </w:r>
          </w:p>
        </w:tc>
        <w:tc>
          <w:tcPr>
            <w:tcW w:w="966" w:type="pct"/>
            <w:tcBorders>
              <w:top w:val="single" w:sz="4" w:space="0" w:color="auto"/>
              <w:bottom w:val="single" w:sz="4" w:space="0" w:color="auto"/>
              <w:right w:val="nil"/>
            </w:tcBorders>
            <w:shd w:val="clear" w:color="auto" w:fill="auto"/>
            <w:vAlign w:val="bottom"/>
          </w:tcPr>
          <w:p w14:paraId="2DEB30F4" w14:textId="77777777" w:rsidR="0009140D" w:rsidRPr="0009140D" w:rsidRDefault="0009140D" w:rsidP="0009140D">
            <w:pPr>
              <w:pStyle w:val="Tabletext"/>
            </w:pPr>
            <w:r w:rsidRPr="0009140D">
              <w:t>0</w:t>
            </w:r>
            <w:r w:rsidR="00D7157D">
              <w:t>.</w:t>
            </w:r>
            <w:r w:rsidRPr="0009140D">
              <w:t>1422</w:t>
            </w:r>
          </w:p>
        </w:tc>
      </w:tr>
      <w:tr w:rsidR="0009140D" w:rsidRPr="0009140D" w14:paraId="4A2CFD1D" w14:textId="77777777" w:rsidTr="0009140D">
        <w:trPr>
          <w:cantSplit/>
        </w:trPr>
        <w:tc>
          <w:tcPr>
            <w:tcW w:w="1136" w:type="pct"/>
            <w:tcBorders>
              <w:top w:val="single" w:sz="4" w:space="0" w:color="auto"/>
              <w:bottom w:val="single" w:sz="4" w:space="0" w:color="auto"/>
            </w:tcBorders>
          </w:tcPr>
          <w:p w14:paraId="50A860B6" w14:textId="77777777" w:rsidR="0009140D" w:rsidRPr="0009140D" w:rsidRDefault="0009140D" w:rsidP="0009140D">
            <w:pPr>
              <w:pStyle w:val="Tabletext"/>
            </w:pPr>
            <w:r w:rsidRPr="0009140D">
              <w:t>87</w:t>
            </w:r>
          </w:p>
        </w:tc>
        <w:tc>
          <w:tcPr>
            <w:tcW w:w="966" w:type="pct"/>
            <w:tcBorders>
              <w:top w:val="single" w:sz="4" w:space="0" w:color="auto"/>
              <w:bottom w:val="single" w:sz="4" w:space="0" w:color="auto"/>
            </w:tcBorders>
            <w:shd w:val="clear" w:color="auto" w:fill="auto"/>
            <w:vAlign w:val="bottom"/>
          </w:tcPr>
          <w:p w14:paraId="6692FC95" w14:textId="77777777" w:rsidR="0009140D" w:rsidRPr="0009140D" w:rsidRDefault="0009140D" w:rsidP="0009140D">
            <w:pPr>
              <w:pStyle w:val="Tabletext"/>
            </w:pPr>
            <w:r w:rsidRPr="0009140D">
              <w:t>4</w:t>
            </w:r>
            <w:r w:rsidR="00D7157D">
              <w:t>.</w:t>
            </w:r>
            <w:r w:rsidRPr="0009140D">
              <w:t>5290</w:t>
            </w:r>
          </w:p>
        </w:tc>
        <w:tc>
          <w:tcPr>
            <w:tcW w:w="966" w:type="pct"/>
            <w:tcBorders>
              <w:top w:val="single" w:sz="4" w:space="0" w:color="auto"/>
              <w:bottom w:val="single" w:sz="4" w:space="0" w:color="auto"/>
            </w:tcBorders>
            <w:shd w:val="clear" w:color="auto" w:fill="auto"/>
            <w:vAlign w:val="bottom"/>
          </w:tcPr>
          <w:p w14:paraId="2FF0D17F" w14:textId="77777777" w:rsidR="0009140D" w:rsidRPr="0009140D" w:rsidRDefault="0009140D" w:rsidP="0009140D">
            <w:pPr>
              <w:pStyle w:val="Tabletext"/>
            </w:pPr>
            <w:r w:rsidRPr="0009140D">
              <w:t>0</w:t>
            </w:r>
            <w:r w:rsidR="00D7157D">
              <w:t>.</w:t>
            </w:r>
            <w:r w:rsidRPr="0009140D">
              <w:t>5041</w:t>
            </w:r>
          </w:p>
        </w:tc>
        <w:tc>
          <w:tcPr>
            <w:tcW w:w="966" w:type="pct"/>
            <w:tcBorders>
              <w:top w:val="single" w:sz="4" w:space="0" w:color="auto"/>
              <w:bottom w:val="single" w:sz="4" w:space="0" w:color="auto"/>
            </w:tcBorders>
            <w:shd w:val="clear" w:color="auto" w:fill="auto"/>
            <w:vAlign w:val="bottom"/>
          </w:tcPr>
          <w:p w14:paraId="44A1C828" w14:textId="77777777" w:rsidR="0009140D" w:rsidRPr="0009140D" w:rsidRDefault="0009140D" w:rsidP="0009140D">
            <w:pPr>
              <w:pStyle w:val="Tabletext"/>
            </w:pPr>
            <w:r w:rsidRPr="0009140D">
              <w:t>4</w:t>
            </w:r>
            <w:r w:rsidR="00D7157D">
              <w:t>.</w:t>
            </w:r>
            <w:r w:rsidRPr="0009140D">
              <w:t>9173</w:t>
            </w:r>
          </w:p>
        </w:tc>
        <w:tc>
          <w:tcPr>
            <w:tcW w:w="966" w:type="pct"/>
            <w:tcBorders>
              <w:top w:val="single" w:sz="4" w:space="0" w:color="auto"/>
              <w:bottom w:val="single" w:sz="4" w:space="0" w:color="auto"/>
              <w:right w:val="nil"/>
            </w:tcBorders>
            <w:shd w:val="clear" w:color="auto" w:fill="auto"/>
            <w:vAlign w:val="bottom"/>
          </w:tcPr>
          <w:p w14:paraId="0D888A44" w14:textId="77777777" w:rsidR="0009140D" w:rsidRPr="0009140D" w:rsidRDefault="0009140D" w:rsidP="0009140D">
            <w:pPr>
              <w:pStyle w:val="Tabletext"/>
            </w:pPr>
            <w:r w:rsidRPr="0009140D">
              <w:t>0</w:t>
            </w:r>
            <w:r w:rsidR="00D7157D">
              <w:t>.</w:t>
            </w:r>
            <w:r w:rsidRPr="0009140D">
              <w:t>1376</w:t>
            </w:r>
          </w:p>
        </w:tc>
      </w:tr>
      <w:tr w:rsidR="0009140D" w:rsidRPr="0009140D" w14:paraId="3055300D" w14:textId="77777777" w:rsidTr="0009140D">
        <w:trPr>
          <w:cantSplit/>
        </w:trPr>
        <w:tc>
          <w:tcPr>
            <w:tcW w:w="1136" w:type="pct"/>
            <w:tcBorders>
              <w:top w:val="single" w:sz="4" w:space="0" w:color="auto"/>
              <w:bottom w:val="single" w:sz="4" w:space="0" w:color="auto"/>
            </w:tcBorders>
          </w:tcPr>
          <w:p w14:paraId="3AF71408" w14:textId="77777777" w:rsidR="0009140D" w:rsidRPr="0009140D" w:rsidRDefault="0009140D" w:rsidP="0009140D">
            <w:pPr>
              <w:pStyle w:val="Tabletext"/>
            </w:pPr>
            <w:r w:rsidRPr="0009140D">
              <w:t>88</w:t>
            </w:r>
          </w:p>
        </w:tc>
        <w:tc>
          <w:tcPr>
            <w:tcW w:w="966" w:type="pct"/>
            <w:tcBorders>
              <w:top w:val="single" w:sz="4" w:space="0" w:color="auto"/>
              <w:bottom w:val="single" w:sz="4" w:space="0" w:color="auto"/>
            </w:tcBorders>
            <w:shd w:val="clear" w:color="auto" w:fill="auto"/>
            <w:vAlign w:val="bottom"/>
          </w:tcPr>
          <w:p w14:paraId="33C85039" w14:textId="77777777" w:rsidR="0009140D" w:rsidRPr="0009140D" w:rsidRDefault="0009140D" w:rsidP="0009140D">
            <w:pPr>
              <w:pStyle w:val="Tabletext"/>
            </w:pPr>
            <w:r w:rsidRPr="0009140D">
              <w:t>4</w:t>
            </w:r>
            <w:r w:rsidR="00D7157D">
              <w:t>.</w:t>
            </w:r>
            <w:r w:rsidRPr="0009140D">
              <w:t>2640</w:t>
            </w:r>
          </w:p>
        </w:tc>
        <w:tc>
          <w:tcPr>
            <w:tcW w:w="966" w:type="pct"/>
            <w:tcBorders>
              <w:top w:val="single" w:sz="4" w:space="0" w:color="auto"/>
              <w:bottom w:val="single" w:sz="4" w:space="0" w:color="auto"/>
            </w:tcBorders>
            <w:shd w:val="clear" w:color="auto" w:fill="auto"/>
            <w:vAlign w:val="bottom"/>
          </w:tcPr>
          <w:p w14:paraId="26BA61F7" w14:textId="77777777" w:rsidR="0009140D" w:rsidRPr="0009140D" w:rsidRDefault="0009140D" w:rsidP="0009140D">
            <w:pPr>
              <w:pStyle w:val="Tabletext"/>
            </w:pPr>
            <w:r w:rsidRPr="0009140D">
              <w:t>0</w:t>
            </w:r>
            <w:r w:rsidR="00D7157D">
              <w:t>.</w:t>
            </w:r>
            <w:r w:rsidRPr="0009140D">
              <w:t>4814</w:t>
            </w:r>
          </w:p>
        </w:tc>
        <w:tc>
          <w:tcPr>
            <w:tcW w:w="966" w:type="pct"/>
            <w:tcBorders>
              <w:top w:val="single" w:sz="4" w:space="0" w:color="auto"/>
              <w:bottom w:val="single" w:sz="4" w:space="0" w:color="auto"/>
            </w:tcBorders>
            <w:shd w:val="clear" w:color="auto" w:fill="auto"/>
            <w:vAlign w:val="bottom"/>
          </w:tcPr>
          <w:p w14:paraId="574D109A" w14:textId="77777777" w:rsidR="0009140D" w:rsidRPr="0009140D" w:rsidRDefault="0009140D" w:rsidP="0009140D">
            <w:pPr>
              <w:pStyle w:val="Tabletext"/>
            </w:pPr>
            <w:r w:rsidRPr="0009140D">
              <w:t>4</w:t>
            </w:r>
            <w:r w:rsidR="00D7157D">
              <w:t>.</w:t>
            </w:r>
            <w:r w:rsidRPr="0009140D">
              <w:t>5876</w:t>
            </w:r>
          </w:p>
        </w:tc>
        <w:tc>
          <w:tcPr>
            <w:tcW w:w="966" w:type="pct"/>
            <w:tcBorders>
              <w:top w:val="single" w:sz="4" w:space="0" w:color="auto"/>
              <w:bottom w:val="single" w:sz="4" w:space="0" w:color="auto"/>
              <w:right w:val="nil"/>
            </w:tcBorders>
            <w:shd w:val="clear" w:color="auto" w:fill="auto"/>
            <w:vAlign w:val="bottom"/>
          </w:tcPr>
          <w:p w14:paraId="4282D5E9" w14:textId="77777777" w:rsidR="0009140D" w:rsidRPr="0009140D" w:rsidRDefault="0009140D" w:rsidP="0009140D">
            <w:pPr>
              <w:pStyle w:val="Tabletext"/>
            </w:pPr>
            <w:r w:rsidRPr="0009140D">
              <w:t>0</w:t>
            </w:r>
            <w:r w:rsidR="00D7157D">
              <w:t>.</w:t>
            </w:r>
            <w:r w:rsidRPr="0009140D">
              <w:t>1330</w:t>
            </w:r>
          </w:p>
        </w:tc>
      </w:tr>
      <w:tr w:rsidR="0009140D" w:rsidRPr="0009140D" w14:paraId="26724723" w14:textId="77777777" w:rsidTr="0009140D">
        <w:trPr>
          <w:cantSplit/>
        </w:trPr>
        <w:tc>
          <w:tcPr>
            <w:tcW w:w="1136" w:type="pct"/>
            <w:tcBorders>
              <w:top w:val="single" w:sz="4" w:space="0" w:color="auto"/>
              <w:bottom w:val="single" w:sz="4" w:space="0" w:color="auto"/>
            </w:tcBorders>
          </w:tcPr>
          <w:p w14:paraId="4F21257C" w14:textId="77777777" w:rsidR="0009140D" w:rsidRPr="0009140D" w:rsidRDefault="0009140D" w:rsidP="0009140D">
            <w:pPr>
              <w:pStyle w:val="Tabletext"/>
            </w:pPr>
            <w:r w:rsidRPr="0009140D">
              <w:t>89</w:t>
            </w:r>
          </w:p>
        </w:tc>
        <w:tc>
          <w:tcPr>
            <w:tcW w:w="966" w:type="pct"/>
            <w:tcBorders>
              <w:top w:val="single" w:sz="4" w:space="0" w:color="auto"/>
              <w:bottom w:val="single" w:sz="4" w:space="0" w:color="auto"/>
            </w:tcBorders>
            <w:shd w:val="clear" w:color="auto" w:fill="auto"/>
            <w:vAlign w:val="bottom"/>
          </w:tcPr>
          <w:p w14:paraId="45A7D9D1" w14:textId="77777777" w:rsidR="0009140D" w:rsidRPr="0009140D" w:rsidRDefault="0009140D" w:rsidP="0009140D">
            <w:pPr>
              <w:pStyle w:val="Tabletext"/>
            </w:pPr>
            <w:r w:rsidRPr="0009140D">
              <w:t>4</w:t>
            </w:r>
            <w:r w:rsidR="00D7157D">
              <w:t>.</w:t>
            </w:r>
            <w:r w:rsidRPr="0009140D">
              <w:t>0180</w:t>
            </w:r>
          </w:p>
        </w:tc>
        <w:tc>
          <w:tcPr>
            <w:tcW w:w="966" w:type="pct"/>
            <w:tcBorders>
              <w:top w:val="single" w:sz="4" w:space="0" w:color="auto"/>
              <w:bottom w:val="single" w:sz="4" w:space="0" w:color="auto"/>
            </w:tcBorders>
            <w:shd w:val="clear" w:color="auto" w:fill="auto"/>
            <w:vAlign w:val="bottom"/>
          </w:tcPr>
          <w:p w14:paraId="535C039C" w14:textId="77777777" w:rsidR="0009140D" w:rsidRPr="0009140D" w:rsidRDefault="0009140D" w:rsidP="0009140D">
            <w:pPr>
              <w:pStyle w:val="Tabletext"/>
            </w:pPr>
            <w:r w:rsidRPr="0009140D">
              <w:t>0</w:t>
            </w:r>
            <w:r w:rsidR="00D7157D">
              <w:t>.</w:t>
            </w:r>
            <w:r w:rsidRPr="0009140D">
              <w:t>4584</w:t>
            </w:r>
          </w:p>
        </w:tc>
        <w:tc>
          <w:tcPr>
            <w:tcW w:w="966" w:type="pct"/>
            <w:tcBorders>
              <w:top w:val="single" w:sz="4" w:space="0" w:color="auto"/>
              <w:bottom w:val="single" w:sz="4" w:space="0" w:color="auto"/>
            </w:tcBorders>
            <w:shd w:val="clear" w:color="auto" w:fill="auto"/>
            <w:vAlign w:val="bottom"/>
          </w:tcPr>
          <w:p w14:paraId="0C036BF7" w14:textId="77777777" w:rsidR="0009140D" w:rsidRPr="0009140D" w:rsidRDefault="0009140D" w:rsidP="0009140D">
            <w:pPr>
              <w:pStyle w:val="Tabletext"/>
            </w:pPr>
            <w:r w:rsidRPr="0009140D">
              <w:t>4</w:t>
            </w:r>
            <w:r w:rsidR="00D7157D">
              <w:t>.</w:t>
            </w:r>
            <w:r w:rsidRPr="0009140D">
              <w:t>2812</w:t>
            </w:r>
          </w:p>
        </w:tc>
        <w:tc>
          <w:tcPr>
            <w:tcW w:w="966" w:type="pct"/>
            <w:tcBorders>
              <w:top w:val="single" w:sz="4" w:space="0" w:color="auto"/>
              <w:bottom w:val="single" w:sz="4" w:space="0" w:color="auto"/>
              <w:right w:val="nil"/>
            </w:tcBorders>
            <w:shd w:val="clear" w:color="auto" w:fill="auto"/>
            <w:vAlign w:val="bottom"/>
          </w:tcPr>
          <w:p w14:paraId="7A51929B" w14:textId="77777777" w:rsidR="0009140D" w:rsidRPr="0009140D" w:rsidRDefault="0009140D" w:rsidP="0009140D">
            <w:pPr>
              <w:pStyle w:val="Tabletext"/>
            </w:pPr>
            <w:r w:rsidRPr="0009140D">
              <w:t>0</w:t>
            </w:r>
            <w:r w:rsidR="00D7157D">
              <w:t>.</w:t>
            </w:r>
            <w:r w:rsidRPr="0009140D">
              <w:t>1285</w:t>
            </w:r>
          </w:p>
        </w:tc>
      </w:tr>
      <w:tr w:rsidR="0009140D" w:rsidRPr="0009140D" w14:paraId="2557F442" w14:textId="77777777" w:rsidTr="0009140D">
        <w:trPr>
          <w:cantSplit/>
        </w:trPr>
        <w:tc>
          <w:tcPr>
            <w:tcW w:w="1136" w:type="pct"/>
            <w:tcBorders>
              <w:top w:val="single" w:sz="4" w:space="0" w:color="auto"/>
              <w:bottom w:val="single" w:sz="4" w:space="0" w:color="auto"/>
            </w:tcBorders>
          </w:tcPr>
          <w:p w14:paraId="091FC2E4" w14:textId="77777777" w:rsidR="0009140D" w:rsidRPr="0009140D" w:rsidRDefault="0009140D" w:rsidP="0009140D">
            <w:pPr>
              <w:pStyle w:val="Tabletext"/>
            </w:pPr>
            <w:r w:rsidRPr="0009140D">
              <w:t>90</w:t>
            </w:r>
          </w:p>
        </w:tc>
        <w:tc>
          <w:tcPr>
            <w:tcW w:w="966" w:type="pct"/>
            <w:tcBorders>
              <w:top w:val="single" w:sz="4" w:space="0" w:color="auto"/>
              <w:bottom w:val="single" w:sz="4" w:space="0" w:color="auto"/>
            </w:tcBorders>
            <w:shd w:val="clear" w:color="auto" w:fill="auto"/>
            <w:vAlign w:val="bottom"/>
          </w:tcPr>
          <w:p w14:paraId="228448A5" w14:textId="77777777" w:rsidR="0009140D" w:rsidRPr="0009140D" w:rsidRDefault="0009140D" w:rsidP="0009140D">
            <w:pPr>
              <w:pStyle w:val="Tabletext"/>
            </w:pPr>
            <w:r w:rsidRPr="0009140D">
              <w:t>3</w:t>
            </w:r>
            <w:r w:rsidR="00D7157D">
              <w:t>.</w:t>
            </w:r>
            <w:r w:rsidRPr="0009140D">
              <w:t>7890</w:t>
            </w:r>
          </w:p>
        </w:tc>
        <w:tc>
          <w:tcPr>
            <w:tcW w:w="966" w:type="pct"/>
            <w:tcBorders>
              <w:top w:val="single" w:sz="4" w:space="0" w:color="auto"/>
              <w:bottom w:val="single" w:sz="4" w:space="0" w:color="auto"/>
            </w:tcBorders>
            <w:shd w:val="clear" w:color="auto" w:fill="auto"/>
            <w:vAlign w:val="bottom"/>
          </w:tcPr>
          <w:p w14:paraId="47E3B509" w14:textId="77777777" w:rsidR="0009140D" w:rsidRPr="0009140D" w:rsidRDefault="0009140D" w:rsidP="0009140D">
            <w:pPr>
              <w:pStyle w:val="Tabletext"/>
            </w:pPr>
            <w:r w:rsidRPr="0009140D">
              <w:t>0</w:t>
            </w:r>
            <w:r w:rsidR="00D7157D">
              <w:t>.</w:t>
            </w:r>
            <w:r w:rsidRPr="0009140D">
              <w:t>4356</w:t>
            </w:r>
          </w:p>
        </w:tc>
        <w:tc>
          <w:tcPr>
            <w:tcW w:w="966" w:type="pct"/>
            <w:tcBorders>
              <w:top w:val="single" w:sz="4" w:space="0" w:color="auto"/>
              <w:bottom w:val="single" w:sz="4" w:space="0" w:color="auto"/>
            </w:tcBorders>
            <w:shd w:val="clear" w:color="auto" w:fill="auto"/>
            <w:vAlign w:val="bottom"/>
          </w:tcPr>
          <w:p w14:paraId="05A504F9" w14:textId="77777777" w:rsidR="0009140D" w:rsidRPr="0009140D" w:rsidRDefault="0009140D" w:rsidP="0009140D">
            <w:pPr>
              <w:pStyle w:val="Tabletext"/>
            </w:pPr>
            <w:r w:rsidRPr="0009140D">
              <w:t>4</w:t>
            </w:r>
            <w:r w:rsidR="00D7157D">
              <w:t>.</w:t>
            </w:r>
            <w:r w:rsidRPr="0009140D">
              <w:t>0006</w:t>
            </w:r>
          </w:p>
        </w:tc>
        <w:tc>
          <w:tcPr>
            <w:tcW w:w="966" w:type="pct"/>
            <w:tcBorders>
              <w:top w:val="single" w:sz="4" w:space="0" w:color="auto"/>
              <w:bottom w:val="single" w:sz="4" w:space="0" w:color="auto"/>
              <w:right w:val="nil"/>
            </w:tcBorders>
            <w:shd w:val="clear" w:color="auto" w:fill="auto"/>
            <w:vAlign w:val="bottom"/>
          </w:tcPr>
          <w:p w14:paraId="26BC6ABF" w14:textId="77777777" w:rsidR="0009140D" w:rsidRPr="0009140D" w:rsidRDefault="0009140D" w:rsidP="0009140D">
            <w:pPr>
              <w:pStyle w:val="Tabletext"/>
            </w:pPr>
            <w:r w:rsidRPr="0009140D">
              <w:t>0</w:t>
            </w:r>
            <w:r w:rsidR="00D7157D">
              <w:t>.</w:t>
            </w:r>
            <w:r w:rsidRPr="0009140D">
              <w:t>1240</w:t>
            </w:r>
          </w:p>
        </w:tc>
      </w:tr>
      <w:tr w:rsidR="0009140D" w:rsidRPr="0009140D" w14:paraId="5421E28B" w14:textId="77777777" w:rsidTr="0009140D">
        <w:trPr>
          <w:cantSplit/>
        </w:trPr>
        <w:tc>
          <w:tcPr>
            <w:tcW w:w="1136" w:type="pct"/>
            <w:tcBorders>
              <w:top w:val="single" w:sz="4" w:space="0" w:color="auto"/>
              <w:bottom w:val="single" w:sz="4" w:space="0" w:color="auto"/>
            </w:tcBorders>
          </w:tcPr>
          <w:p w14:paraId="3A425DC5" w14:textId="77777777" w:rsidR="0009140D" w:rsidRPr="0009140D" w:rsidRDefault="0009140D" w:rsidP="0009140D">
            <w:pPr>
              <w:pStyle w:val="Tabletext"/>
            </w:pPr>
            <w:r w:rsidRPr="0009140D">
              <w:t>91</w:t>
            </w:r>
          </w:p>
        </w:tc>
        <w:tc>
          <w:tcPr>
            <w:tcW w:w="966" w:type="pct"/>
            <w:tcBorders>
              <w:top w:val="single" w:sz="4" w:space="0" w:color="auto"/>
              <w:bottom w:val="single" w:sz="4" w:space="0" w:color="auto"/>
            </w:tcBorders>
            <w:shd w:val="clear" w:color="auto" w:fill="auto"/>
            <w:vAlign w:val="bottom"/>
          </w:tcPr>
          <w:p w14:paraId="1F142795" w14:textId="77777777" w:rsidR="0009140D" w:rsidRPr="0009140D" w:rsidRDefault="0009140D" w:rsidP="0009140D">
            <w:pPr>
              <w:pStyle w:val="Tabletext"/>
            </w:pPr>
            <w:r w:rsidRPr="0009140D">
              <w:t>3</w:t>
            </w:r>
            <w:r w:rsidR="00D7157D">
              <w:t>.</w:t>
            </w:r>
            <w:r w:rsidRPr="0009140D">
              <w:t>5728</w:t>
            </w:r>
          </w:p>
        </w:tc>
        <w:tc>
          <w:tcPr>
            <w:tcW w:w="966" w:type="pct"/>
            <w:tcBorders>
              <w:top w:val="single" w:sz="4" w:space="0" w:color="auto"/>
              <w:bottom w:val="single" w:sz="4" w:space="0" w:color="auto"/>
            </w:tcBorders>
            <w:shd w:val="clear" w:color="auto" w:fill="auto"/>
            <w:vAlign w:val="bottom"/>
          </w:tcPr>
          <w:p w14:paraId="633F50E0" w14:textId="77777777" w:rsidR="0009140D" w:rsidRPr="0009140D" w:rsidRDefault="0009140D" w:rsidP="0009140D">
            <w:pPr>
              <w:pStyle w:val="Tabletext"/>
            </w:pPr>
            <w:r w:rsidRPr="0009140D">
              <w:t>0</w:t>
            </w:r>
            <w:r w:rsidR="00D7157D">
              <w:t>.</w:t>
            </w:r>
            <w:r w:rsidRPr="0009140D">
              <w:t>4133</w:t>
            </w:r>
          </w:p>
        </w:tc>
        <w:tc>
          <w:tcPr>
            <w:tcW w:w="966" w:type="pct"/>
            <w:tcBorders>
              <w:top w:val="single" w:sz="4" w:space="0" w:color="auto"/>
              <w:bottom w:val="single" w:sz="4" w:space="0" w:color="auto"/>
            </w:tcBorders>
            <w:shd w:val="clear" w:color="auto" w:fill="auto"/>
            <w:vAlign w:val="bottom"/>
          </w:tcPr>
          <w:p w14:paraId="0F0E81BC" w14:textId="77777777" w:rsidR="0009140D" w:rsidRPr="0009140D" w:rsidRDefault="0009140D" w:rsidP="0009140D">
            <w:pPr>
              <w:pStyle w:val="Tabletext"/>
            </w:pPr>
            <w:r w:rsidRPr="0009140D">
              <w:t>3</w:t>
            </w:r>
            <w:r w:rsidR="00D7157D">
              <w:t>.</w:t>
            </w:r>
            <w:r w:rsidRPr="0009140D">
              <w:t>7433</w:t>
            </w:r>
          </w:p>
        </w:tc>
        <w:tc>
          <w:tcPr>
            <w:tcW w:w="966" w:type="pct"/>
            <w:tcBorders>
              <w:top w:val="single" w:sz="4" w:space="0" w:color="auto"/>
              <w:bottom w:val="single" w:sz="4" w:space="0" w:color="auto"/>
              <w:right w:val="nil"/>
            </w:tcBorders>
            <w:shd w:val="clear" w:color="auto" w:fill="auto"/>
            <w:vAlign w:val="bottom"/>
          </w:tcPr>
          <w:p w14:paraId="3A93D367" w14:textId="77777777" w:rsidR="0009140D" w:rsidRPr="0009140D" w:rsidRDefault="0009140D" w:rsidP="0009140D">
            <w:pPr>
              <w:pStyle w:val="Tabletext"/>
            </w:pPr>
            <w:r w:rsidRPr="0009140D">
              <w:t>0</w:t>
            </w:r>
            <w:r w:rsidR="00D7157D">
              <w:t>.</w:t>
            </w:r>
            <w:r w:rsidRPr="0009140D">
              <w:t>1195</w:t>
            </w:r>
          </w:p>
        </w:tc>
      </w:tr>
      <w:tr w:rsidR="0009140D" w:rsidRPr="0009140D" w14:paraId="64CDC26C" w14:textId="77777777" w:rsidTr="0009140D">
        <w:trPr>
          <w:cantSplit/>
        </w:trPr>
        <w:tc>
          <w:tcPr>
            <w:tcW w:w="1136" w:type="pct"/>
            <w:tcBorders>
              <w:top w:val="single" w:sz="4" w:space="0" w:color="auto"/>
              <w:bottom w:val="single" w:sz="4" w:space="0" w:color="auto"/>
            </w:tcBorders>
          </w:tcPr>
          <w:p w14:paraId="32FCDD51" w14:textId="77777777" w:rsidR="0009140D" w:rsidRPr="0009140D" w:rsidRDefault="0009140D" w:rsidP="0009140D">
            <w:pPr>
              <w:pStyle w:val="Tabletext"/>
            </w:pPr>
            <w:r w:rsidRPr="0009140D">
              <w:t>92</w:t>
            </w:r>
          </w:p>
        </w:tc>
        <w:tc>
          <w:tcPr>
            <w:tcW w:w="966" w:type="pct"/>
            <w:tcBorders>
              <w:top w:val="single" w:sz="4" w:space="0" w:color="auto"/>
              <w:bottom w:val="single" w:sz="4" w:space="0" w:color="auto"/>
            </w:tcBorders>
            <w:shd w:val="clear" w:color="auto" w:fill="auto"/>
            <w:vAlign w:val="bottom"/>
          </w:tcPr>
          <w:p w14:paraId="29C338B4" w14:textId="77777777" w:rsidR="0009140D" w:rsidRPr="0009140D" w:rsidRDefault="0009140D" w:rsidP="0009140D">
            <w:pPr>
              <w:pStyle w:val="Tabletext"/>
            </w:pPr>
            <w:r w:rsidRPr="0009140D">
              <w:t>3</w:t>
            </w:r>
            <w:r w:rsidR="00D7157D">
              <w:t>.</w:t>
            </w:r>
            <w:r w:rsidRPr="0009140D">
              <w:t>3721</w:t>
            </w:r>
          </w:p>
        </w:tc>
        <w:tc>
          <w:tcPr>
            <w:tcW w:w="966" w:type="pct"/>
            <w:tcBorders>
              <w:top w:val="single" w:sz="4" w:space="0" w:color="auto"/>
              <w:bottom w:val="single" w:sz="4" w:space="0" w:color="auto"/>
            </w:tcBorders>
            <w:shd w:val="clear" w:color="auto" w:fill="auto"/>
            <w:vAlign w:val="bottom"/>
          </w:tcPr>
          <w:p w14:paraId="416327C8" w14:textId="77777777" w:rsidR="0009140D" w:rsidRPr="0009140D" w:rsidRDefault="0009140D" w:rsidP="0009140D">
            <w:pPr>
              <w:pStyle w:val="Tabletext"/>
            </w:pPr>
            <w:r w:rsidRPr="0009140D">
              <w:t>0</w:t>
            </w:r>
            <w:r w:rsidR="00D7157D">
              <w:t>.</w:t>
            </w:r>
            <w:r w:rsidRPr="0009140D">
              <w:t>3917</w:t>
            </w:r>
          </w:p>
        </w:tc>
        <w:tc>
          <w:tcPr>
            <w:tcW w:w="966" w:type="pct"/>
            <w:tcBorders>
              <w:top w:val="single" w:sz="4" w:space="0" w:color="auto"/>
              <w:bottom w:val="single" w:sz="4" w:space="0" w:color="auto"/>
            </w:tcBorders>
            <w:shd w:val="clear" w:color="auto" w:fill="auto"/>
            <w:vAlign w:val="bottom"/>
          </w:tcPr>
          <w:p w14:paraId="13FA0E0F" w14:textId="77777777" w:rsidR="0009140D" w:rsidRPr="0009140D" w:rsidRDefault="0009140D" w:rsidP="0009140D">
            <w:pPr>
              <w:pStyle w:val="Tabletext"/>
            </w:pPr>
            <w:r w:rsidRPr="0009140D">
              <w:t>3</w:t>
            </w:r>
            <w:r w:rsidR="00D7157D">
              <w:t>.</w:t>
            </w:r>
            <w:r w:rsidRPr="0009140D">
              <w:t>5163</w:t>
            </w:r>
          </w:p>
        </w:tc>
        <w:tc>
          <w:tcPr>
            <w:tcW w:w="966" w:type="pct"/>
            <w:tcBorders>
              <w:top w:val="single" w:sz="4" w:space="0" w:color="auto"/>
              <w:bottom w:val="single" w:sz="4" w:space="0" w:color="auto"/>
              <w:right w:val="nil"/>
            </w:tcBorders>
            <w:shd w:val="clear" w:color="auto" w:fill="auto"/>
            <w:vAlign w:val="bottom"/>
          </w:tcPr>
          <w:p w14:paraId="7AFA0639" w14:textId="77777777" w:rsidR="0009140D" w:rsidRPr="0009140D" w:rsidRDefault="0009140D" w:rsidP="0009140D">
            <w:pPr>
              <w:pStyle w:val="Tabletext"/>
            </w:pPr>
            <w:r w:rsidRPr="0009140D">
              <w:t>0</w:t>
            </w:r>
            <w:r w:rsidR="00D7157D">
              <w:t>.</w:t>
            </w:r>
            <w:r w:rsidRPr="0009140D">
              <w:t>1149</w:t>
            </w:r>
          </w:p>
        </w:tc>
      </w:tr>
      <w:tr w:rsidR="0009140D" w:rsidRPr="0009140D" w14:paraId="074C4082" w14:textId="77777777" w:rsidTr="0009140D">
        <w:trPr>
          <w:cantSplit/>
        </w:trPr>
        <w:tc>
          <w:tcPr>
            <w:tcW w:w="1136" w:type="pct"/>
            <w:tcBorders>
              <w:top w:val="single" w:sz="4" w:space="0" w:color="auto"/>
              <w:bottom w:val="single" w:sz="4" w:space="0" w:color="auto"/>
            </w:tcBorders>
          </w:tcPr>
          <w:p w14:paraId="44A8A40B" w14:textId="77777777" w:rsidR="0009140D" w:rsidRPr="0009140D" w:rsidRDefault="0009140D" w:rsidP="0009140D">
            <w:pPr>
              <w:pStyle w:val="Tabletext"/>
            </w:pPr>
            <w:r w:rsidRPr="0009140D">
              <w:t>93</w:t>
            </w:r>
          </w:p>
        </w:tc>
        <w:tc>
          <w:tcPr>
            <w:tcW w:w="966" w:type="pct"/>
            <w:tcBorders>
              <w:top w:val="single" w:sz="4" w:space="0" w:color="auto"/>
              <w:bottom w:val="single" w:sz="4" w:space="0" w:color="auto"/>
            </w:tcBorders>
            <w:shd w:val="clear" w:color="auto" w:fill="auto"/>
            <w:vAlign w:val="bottom"/>
          </w:tcPr>
          <w:p w14:paraId="14AA08AC" w14:textId="77777777" w:rsidR="0009140D" w:rsidRPr="0009140D" w:rsidRDefault="0009140D" w:rsidP="0009140D">
            <w:pPr>
              <w:pStyle w:val="Tabletext"/>
            </w:pPr>
            <w:r w:rsidRPr="0009140D">
              <w:t>3</w:t>
            </w:r>
            <w:r w:rsidR="00D7157D">
              <w:t>.</w:t>
            </w:r>
            <w:r w:rsidRPr="0009140D">
              <w:t>1850</w:t>
            </w:r>
          </w:p>
        </w:tc>
        <w:tc>
          <w:tcPr>
            <w:tcW w:w="966" w:type="pct"/>
            <w:tcBorders>
              <w:top w:val="single" w:sz="4" w:space="0" w:color="auto"/>
              <w:bottom w:val="single" w:sz="4" w:space="0" w:color="auto"/>
            </w:tcBorders>
            <w:shd w:val="clear" w:color="auto" w:fill="auto"/>
            <w:vAlign w:val="bottom"/>
          </w:tcPr>
          <w:p w14:paraId="5A1B7DAF" w14:textId="77777777" w:rsidR="0009140D" w:rsidRPr="0009140D" w:rsidRDefault="0009140D" w:rsidP="0009140D">
            <w:pPr>
              <w:pStyle w:val="Tabletext"/>
            </w:pPr>
            <w:r w:rsidRPr="0009140D">
              <w:t>0</w:t>
            </w:r>
            <w:r w:rsidR="00D7157D">
              <w:t>.</w:t>
            </w:r>
            <w:r w:rsidRPr="0009140D">
              <w:t>3707</w:t>
            </w:r>
          </w:p>
        </w:tc>
        <w:tc>
          <w:tcPr>
            <w:tcW w:w="966" w:type="pct"/>
            <w:tcBorders>
              <w:top w:val="single" w:sz="4" w:space="0" w:color="auto"/>
              <w:bottom w:val="single" w:sz="4" w:space="0" w:color="auto"/>
            </w:tcBorders>
            <w:shd w:val="clear" w:color="auto" w:fill="auto"/>
            <w:vAlign w:val="bottom"/>
          </w:tcPr>
          <w:p w14:paraId="6BB17C30" w14:textId="77777777" w:rsidR="0009140D" w:rsidRPr="0009140D" w:rsidRDefault="0009140D" w:rsidP="0009140D">
            <w:pPr>
              <w:pStyle w:val="Tabletext"/>
            </w:pPr>
            <w:r w:rsidRPr="0009140D">
              <w:t>3</w:t>
            </w:r>
            <w:r w:rsidR="00D7157D">
              <w:t>.</w:t>
            </w:r>
            <w:r w:rsidRPr="0009140D">
              <w:t>3122</w:t>
            </w:r>
          </w:p>
        </w:tc>
        <w:tc>
          <w:tcPr>
            <w:tcW w:w="966" w:type="pct"/>
            <w:tcBorders>
              <w:top w:val="single" w:sz="4" w:space="0" w:color="auto"/>
              <w:bottom w:val="single" w:sz="4" w:space="0" w:color="auto"/>
              <w:right w:val="nil"/>
            </w:tcBorders>
            <w:shd w:val="clear" w:color="auto" w:fill="auto"/>
            <w:vAlign w:val="bottom"/>
          </w:tcPr>
          <w:p w14:paraId="12F62092" w14:textId="77777777" w:rsidR="0009140D" w:rsidRPr="0009140D" w:rsidRDefault="0009140D" w:rsidP="0009140D">
            <w:pPr>
              <w:pStyle w:val="Tabletext"/>
            </w:pPr>
            <w:r w:rsidRPr="0009140D">
              <w:t>0</w:t>
            </w:r>
            <w:r w:rsidR="00D7157D">
              <w:t>.</w:t>
            </w:r>
            <w:r w:rsidRPr="0009140D">
              <w:t>1102</w:t>
            </w:r>
          </w:p>
        </w:tc>
      </w:tr>
      <w:tr w:rsidR="0009140D" w:rsidRPr="0009140D" w14:paraId="35ED9E2C" w14:textId="77777777" w:rsidTr="0009140D">
        <w:trPr>
          <w:cantSplit/>
        </w:trPr>
        <w:tc>
          <w:tcPr>
            <w:tcW w:w="1136" w:type="pct"/>
            <w:tcBorders>
              <w:top w:val="single" w:sz="4" w:space="0" w:color="auto"/>
              <w:bottom w:val="single" w:sz="4" w:space="0" w:color="auto"/>
            </w:tcBorders>
          </w:tcPr>
          <w:p w14:paraId="135368F0" w14:textId="77777777" w:rsidR="0009140D" w:rsidRPr="0009140D" w:rsidRDefault="0009140D" w:rsidP="0009140D">
            <w:pPr>
              <w:pStyle w:val="Tabletext"/>
            </w:pPr>
            <w:r w:rsidRPr="0009140D">
              <w:t>94</w:t>
            </w:r>
          </w:p>
        </w:tc>
        <w:tc>
          <w:tcPr>
            <w:tcW w:w="966" w:type="pct"/>
            <w:tcBorders>
              <w:top w:val="single" w:sz="4" w:space="0" w:color="auto"/>
              <w:bottom w:val="single" w:sz="4" w:space="0" w:color="auto"/>
            </w:tcBorders>
            <w:shd w:val="clear" w:color="auto" w:fill="auto"/>
            <w:vAlign w:val="bottom"/>
          </w:tcPr>
          <w:p w14:paraId="01ED6B06" w14:textId="77777777" w:rsidR="0009140D" w:rsidRPr="0009140D" w:rsidRDefault="0009140D" w:rsidP="0009140D">
            <w:pPr>
              <w:pStyle w:val="Tabletext"/>
            </w:pPr>
            <w:r w:rsidRPr="0009140D">
              <w:t>3</w:t>
            </w:r>
            <w:r w:rsidR="00D7157D">
              <w:t>.</w:t>
            </w:r>
            <w:r w:rsidRPr="0009140D">
              <w:t>0091</w:t>
            </w:r>
          </w:p>
        </w:tc>
        <w:tc>
          <w:tcPr>
            <w:tcW w:w="966" w:type="pct"/>
            <w:tcBorders>
              <w:top w:val="single" w:sz="4" w:space="0" w:color="auto"/>
              <w:bottom w:val="single" w:sz="4" w:space="0" w:color="auto"/>
            </w:tcBorders>
            <w:shd w:val="clear" w:color="auto" w:fill="auto"/>
            <w:vAlign w:val="bottom"/>
          </w:tcPr>
          <w:p w14:paraId="0C2F82A0" w14:textId="77777777" w:rsidR="0009140D" w:rsidRPr="0009140D" w:rsidRDefault="0009140D" w:rsidP="0009140D">
            <w:pPr>
              <w:pStyle w:val="Tabletext"/>
            </w:pPr>
            <w:r w:rsidRPr="0009140D">
              <w:t>0</w:t>
            </w:r>
            <w:r w:rsidR="00D7157D">
              <w:t>.</w:t>
            </w:r>
            <w:r w:rsidRPr="0009140D">
              <w:t>3503</w:t>
            </w:r>
          </w:p>
        </w:tc>
        <w:tc>
          <w:tcPr>
            <w:tcW w:w="966" w:type="pct"/>
            <w:tcBorders>
              <w:top w:val="single" w:sz="4" w:space="0" w:color="auto"/>
              <w:bottom w:val="single" w:sz="4" w:space="0" w:color="auto"/>
            </w:tcBorders>
            <w:shd w:val="clear" w:color="auto" w:fill="auto"/>
            <w:vAlign w:val="bottom"/>
          </w:tcPr>
          <w:p w14:paraId="15B2E582" w14:textId="77777777" w:rsidR="0009140D" w:rsidRPr="0009140D" w:rsidRDefault="0009140D" w:rsidP="0009140D">
            <w:pPr>
              <w:pStyle w:val="Tabletext"/>
            </w:pPr>
            <w:r w:rsidRPr="0009140D">
              <w:t>3</w:t>
            </w:r>
            <w:r w:rsidR="00D7157D">
              <w:t>.</w:t>
            </w:r>
            <w:r w:rsidRPr="0009140D">
              <w:t>1284</w:t>
            </w:r>
          </w:p>
        </w:tc>
        <w:tc>
          <w:tcPr>
            <w:tcW w:w="966" w:type="pct"/>
            <w:tcBorders>
              <w:top w:val="single" w:sz="4" w:space="0" w:color="auto"/>
              <w:bottom w:val="single" w:sz="4" w:space="0" w:color="auto"/>
              <w:right w:val="nil"/>
            </w:tcBorders>
            <w:shd w:val="clear" w:color="auto" w:fill="auto"/>
            <w:vAlign w:val="bottom"/>
          </w:tcPr>
          <w:p w14:paraId="0B1B6B3C" w14:textId="77777777" w:rsidR="0009140D" w:rsidRPr="0009140D" w:rsidRDefault="0009140D" w:rsidP="0009140D">
            <w:pPr>
              <w:pStyle w:val="Tabletext"/>
            </w:pPr>
            <w:r w:rsidRPr="0009140D">
              <w:t>0</w:t>
            </w:r>
            <w:r w:rsidR="00D7157D">
              <w:t>.</w:t>
            </w:r>
            <w:r w:rsidRPr="0009140D">
              <w:t>1056</w:t>
            </w:r>
          </w:p>
        </w:tc>
      </w:tr>
      <w:tr w:rsidR="0009140D" w:rsidRPr="0009140D" w14:paraId="52B4DA58" w14:textId="77777777" w:rsidTr="0009140D">
        <w:trPr>
          <w:cantSplit/>
        </w:trPr>
        <w:tc>
          <w:tcPr>
            <w:tcW w:w="1136" w:type="pct"/>
            <w:tcBorders>
              <w:top w:val="single" w:sz="4" w:space="0" w:color="auto"/>
              <w:bottom w:val="single" w:sz="4" w:space="0" w:color="auto"/>
            </w:tcBorders>
          </w:tcPr>
          <w:p w14:paraId="77D9D71C" w14:textId="77777777" w:rsidR="0009140D" w:rsidRPr="0009140D" w:rsidRDefault="0009140D" w:rsidP="0009140D">
            <w:pPr>
              <w:pStyle w:val="Tabletext"/>
            </w:pPr>
            <w:r w:rsidRPr="0009140D">
              <w:t>95</w:t>
            </w:r>
          </w:p>
        </w:tc>
        <w:tc>
          <w:tcPr>
            <w:tcW w:w="966" w:type="pct"/>
            <w:tcBorders>
              <w:top w:val="single" w:sz="4" w:space="0" w:color="auto"/>
              <w:bottom w:val="single" w:sz="4" w:space="0" w:color="auto"/>
            </w:tcBorders>
            <w:shd w:val="clear" w:color="auto" w:fill="auto"/>
            <w:vAlign w:val="bottom"/>
          </w:tcPr>
          <w:p w14:paraId="7B1E3C83" w14:textId="77777777" w:rsidR="0009140D" w:rsidRPr="0009140D" w:rsidRDefault="0009140D" w:rsidP="0009140D">
            <w:pPr>
              <w:pStyle w:val="Tabletext"/>
            </w:pPr>
            <w:r w:rsidRPr="0009140D">
              <w:t>2</w:t>
            </w:r>
            <w:r w:rsidR="00D7157D">
              <w:t>.</w:t>
            </w:r>
            <w:r w:rsidRPr="0009140D">
              <w:t>8417</w:t>
            </w:r>
          </w:p>
        </w:tc>
        <w:tc>
          <w:tcPr>
            <w:tcW w:w="966" w:type="pct"/>
            <w:tcBorders>
              <w:top w:val="single" w:sz="4" w:space="0" w:color="auto"/>
              <w:bottom w:val="single" w:sz="4" w:space="0" w:color="auto"/>
            </w:tcBorders>
            <w:shd w:val="clear" w:color="auto" w:fill="auto"/>
            <w:vAlign w:val="bottom"/>
          </w:tcPr>
          <w:p w14:paraId="52046ACB" w14:textId="77777777" w:rsidR="0009140D" w:rsidRPr="0009140D" w:rsidRDefault="0009140D" w:rsidP="0009140D">
            <w:pPr>
              <w:pStyle w:val="Tabletext"/>
            </w:pPr>
            <w:r w:rsidRPr="0009140D">
              <w:t>0</w:t>
            </w:r>
            <w:r w:rsidR="00D7157D">
              <w:t>.</w:t>
            </w:r>
            <w:r w:rsidRPr="0009140D">
              <w:t>3301</w:t>
            </w:r>
          </w:p>
        </w:tc>
        <w:tc>
          <w:tcPr>
            <w:tcW w:w="966" w:type="pct"/>
            <w:tcBorders>
              <w:top w:val="single" w:sz="4" w:space="0" w:color="auto"/>
              <w:bottom w:val="single" w:sz="4" w:space="0" w:color="auto"/>
            </w:tcBorders>
            <w:shd w:val="clear" w:color="auto" w:fill="auto"/>
            <w:vAlign w:val="bottom"/>
          </w:tcPr>
          <w:p w14:paraId="0E81DBAB" w14:textId="77777777" w:rsidR="0009140D" w:rsidRPr="0009140D" w:rsidRDefault="0009140D" w:rsidP="0009140D">
            <w:pPr>
              <w:pStyle w:val="Tabletext"/>
            </w:pPr>
            <w:r w:rsidRPr="0009140D">
              <w:t>2</w:t>
            </w:r>
            <w:r w:rsidR="00D7157D">
              <w:t>.</w:t>
            </w:r>
            <w:r w:rsidRPr="0009140D">
              <w:t>9540</w:t>
            </w:r>
          </w:p>
        </w:tc>
        <w:tc>
          <w:tcPr>
            <w:tcW w:w="966" w:type="pct"/>
            <w:tcBorders>
              <w:top w:val="single" w:sz="4" w:space="0" w:color="auto"/>
              <w:bottom w:val="single" w:sz="4" w:space="0" w:color="auto"/>
              <w:right w:val="nil"/>
            </w:tcBorders>
            <w:shd w:val="clear" w:color="auto" w:fill="auto"/>
            <w:vAlign w:val="bottom"/>
          </w:tcPr>
          <w:p w14:paraId="26D4F482" w14:textId="77777777" w:rsidR="0009140D" w:rsidRPr="0009140D" w:rsidRDefault="0009140D" w:rsidP="0009140D">
            <w:pPr>
              <w:pStyle w:val="Tabletext"/>
            </w:pPr>
            <w:r w:rsidRPr="0009140D">
              <w:t>0</w:t>
            </w:r>
            <w:r w:rsidR="00D7157D">
              <w:t>.</w:t>
            </w:r>
            <w:r w:rsidRPr="0009140D">
              <w:t>1010</w:t>
            </w:r>
          </w:p>
        </w:tc>
      </w:tr>
      <w:tr w:rsidR="0009140D" w:rsidRPr="0009140D" w14:paraId="0E0925AD" w14:textId="77777777" w:rsidTr="0009140D">
        <w:trPr>
          <w:cantSplit/>
        </w:trPr>
        <w:tc>
          <w:tcPr>
            <w:tcW w:w="1136" w:type="pct"/>
            <w:tcBorders>
              <w:top w:val="single" w:sz="4" w:space="0" w:color="auto"/>
              <w:bottom w:val="single" w:sz="4" w:space="0" w:color="auto"/>
            </w:tcBorders>
          </w:tcPr>
          <w:p w14:paraId="7F2947DE" w14:textId="77777777" w:rsidR="0009140D" w:rsidRPr="0009140D" w:rsidRDefault="0009140D" w:rsidP="0009140D">
            <w:pPr>
              <w:pStyle w:val="Tabletext"/>
            </w:pPr>
            <w:r w:rsidRPr="0009140D">
              <w:t>96</w:t>
            </w:r>
          </w:p>
        </w:tc>
        <w:tc>
          <w:tcPr>
            <w:tcW w:w="966" w:type="pct"/>
            <w:tcBorders>
              <w:top w:val="single" w:sz="4" w:space="0" w:color="auto"/>
              <w:bottom w:val="single" w:sz="4" w:space="0" w:color="auto"/>
            </w:tcBorders>
            <w:shd w:val="clear" w:color="auto" w:fill="auto"/>
            <w:vAlign w:val="bottom"/>
          </w:tcPr>
          <w:p w14:paraId="6DB7110C" w14:textId="77777777" w:rsidR="0009140D" w:rsidRPr="0009140D" w:rsidRDefault="0009140D" w:rsidP="0009140D">
            <w:pPr>
              <w:pStyle w:val="Tabletext"/>
            </w:pPr>
            <w:r w:rsidRPr="0009140D">
              <w:t>2</w:t>
            </w:r>
            <w:r w:rsidR="00D7157D">
              <w:t>.</w:t>
            </w:r>
            <w:r w:rsidRPr="0009140D">
              <w:t>6799</w:t>
            </w:r>
          </w:p>
        </w:tc>
        <w:tc>
          <w:tcPr>
            <w:tcW w:w="966" w:type="pct"/>
            <w:tcBorders>
              <w:top w:val="single" w:sz="4" w:space="0" w:color="auto"/>
              <w:bottom w:val="single" w:sz="4" w:space="0" w:color="auto"/>
            </w:tcBorders>
            <w:shd w:val="clear" w:color="auto" w:fill="auto"/>
            <w:vAlign w:val="bottom"/>
          </w:tcPr>
          <w:p w14:paraId="2315EDE0" w14:textId="77777777" w:rsidR="0009140D" w:rsidRPr="0009140D" w:rsidRDefault="0009140D" w:rsidP="0009140D">
            <w:pPr>
              <w:pStyle w:val="Tabletext"/>
            </w:pPr>
            <w:r w:rsidRPr="0009140D">
              <w:t>0</w:t>
            </w:r>
            <w:r w:rsidR="00D7157D">
              <w:t>.</w:t>
            </w:r>
            <w:r w:rsidRPr="0009140D">
              <w:t>3102</w:t>
            </w:r>
          </w:p>
        </w:tc>
        <w:tc>
          <w:tcPr>
            <w:tcW w:w="966" w:type="pct"/>
            <w:tcBorders>
              <w:top w:val="single" w:sz="4" w:space="0" w:color="auto"/>
              <w:bottom w:val="single" w:sz="4" w:space="0" w:color="auto"/>
            </w:tcBorders>
            <w:shd w:val="clear" w:color="auto" w:fill="auto"/>
            <w:vAlign w:val="bottom"/>
          </w:tcPr>
          <w:p w14:paraId="1B536F3D" w14:textId="77777777" w:rsidR="0009140D" w:rsidRPr="0009140D" w:rsidRDefault="0009140D" w:rsidP="0009140D">
            <w:pPr>
              <w:pStyle w:val="Tabletext"/>
            </w:pPr>
            <w:r w:rsidRPr="0009140D">
              <w:t>2</w:t>
            </w:r>
            <w:r w:rsidR="00D7157D">
              <w:t>.</w:t>
            </w:r>
            <w:r w:rsidRPr="0009140D">
              <w:t>7895</w:t>
            </w:r>
          </w:p>
        </w:tc>
        <w:tc>
          <w:tcPr>
            <w:tcW w:w="966" w:type="pct"/>
            <w:tcBorders>
              <w:top w:val="single" w:sz="4" w:space="0" w:color="auto"/>
              <w:bottom w:val="single" w:sz="4" w:space="0" w:color="auto"/>
              <w:right w:val="nil"/>
            </w:tcBorders>
            <w:shd w:val="clear" w:color="auto" w:fill="auto"/>
            <w:vAlign w:val="bottom"/>
          </w:tcPr>
          <w:p w14:paraId="6ADF27DC" w14:textId="77777777" w:rsidR="0009140D" w:rsidRPr="0009140D" w:rsidRDefault="0009140D" w:rsidP="0009140D">
            <w:pPr>
              <w:pStyle w:val="Tabletext"/>
            </w:pPr>
            <w:r w:rsidRPr="0009140D">
              <w:t>0</w:t>
            </w:r>
            <w:r w:rsidR="00D7157D">
              <w:t>.</w:t>
            </w:r>
            <w:r w:rsidRPr="0009140D">
              <w:t>0964</w:t>
            </w:r>
          </w:p>
        </w:tc>
      </w:tr>
      <w:tr w:rsidR="0009140D" w:rsidRPr="0009140D" w14:paraId="58093E87" w14:textId="77777777" w:rsidTr="0009140D">
        <w:trPr>
          <w:cantSplit/>
        </w:trPr>
        <w:tc>
          <w:tcPr>
            <w:tcW w:w="1136" w:type="pct"/>
            <w:tcBorders>
              <w:top w:val="single" w:sz="4" w:space="0" w:color="auto"/>
              <w:bottom w:val="single" w:sz="4" w:space="0" w:color="auto"/>
            </w:tcBorders>
          </w:tcPr>
          <w:p w14:paraId="0FF70FFA" w14:textId="77777777" w:rsidR="0009140D" w:rsidRPr="0009140D" w:rsidRDefault="0009140D" w:rsidP="0009140D">
            <w:pPr>
              <w:pStyle w:val="Tabletext"/>
            </w:pPr>
            <w:r w:rsidRPr="0009140D">
              <w:t>97</w:t>
            </w:r>
          </w:p>
        </w:tc>
        <w:tc>
          <w:tcPr>
            <w:tcW w:w="966" w:type="pct"/>
            <w:tcBorders>
              <w:top w:val="single" w:sz="4" w:space="0" w:color="auto"/>
              <w:bottom w:val="single" w:sz="4" w:space="0" w:color="auto"/>
            </w:tcBorders>
            <w:shd w:val="clear" w:color="auto" w:fill="auto"/>
            <w:vAlign w:val="bottom"/>
          </w:tcPr>
          <w:p w14:paraId="142CB128" w14:textId="77777777" w:rsidR="0009140D" w:rsidRPr="0009140D" w:rsidRDefault="0009140D" w:rsidP="0009140D">
            <w:pPr>
              <w:pStyle w:val="Tabletext"/>
            </w:pPr>
            <w:r w:rsidRPr="0009140D">
              <w:t>2</w:t>
            </w:r>
            <w:r w:rsidR="00D7157D">
              <w:t>.</w:t>
            </w:r>
            <w:r w:rsidRPr="0009140D">
              <w:t>5295</w:t>
            </w:r>
          </w:p>
        </w:tc>
        <w:tc>
          <w:tcPr>
            <w:tcW w:w="966" w:type="pct"/>
            <w:tcBorders>
              <w:top w:val="single" w:sz="4" w:space="0" w:color="auto"/>
              <w:bottom w:val="single" w:sz="4" w:space="0" w:color="auto"/>
            </w:tcBorders>
            <w:shd w:val="clear" w:color="auto" w:fill="auto"/>
            <w:vAlign w:val="bottom"/>
          </w:tcPr>
          <w:p w14:paraId="1194FC03" w14:textId="77777777" w:rsidR="0009140D" w:rsidRPr="0009140D" w:rsidRDefault="0009140D" w:rsidP="0009140D">
            <w:pPr>
              <w:pStyle w:val="Tabletext"/>
            </w:pPr>
            <w:r w:rsidRPr="0009140D">
              <w:t>0</w:t>
            </w:r>
            <w:r w:rsidR="00D7157D">
              <w:t>.</w:t>
            </w:r>
            <w:r w:rsidRPr="0009140D">
              <w:t>2905</w:t>
            </w:r>
          </w:p>
        </w:tc>
        <w:tc>
          <w:tcPr>
            <w:tcW w:w="966" w:type="pct"/>
            <w:tcBorders>
              <w:top w:val="single" w:sz="4" w:space="0" w:color="auto"/>
              <w:bottom w:val="single" w:sz="4" w:space="0" w:color="auto"/>
            </w:tcBorders>
            <w:shd w:val="clear" w:color="auto" w:fill="auto"/>
            <w:vAlign w:val="bottom"/>
          </w:tcPr>
          <w:p w14:paraId="1B94C693" w14:textId="77777777" w:rsidR="0009140D" w:rsidRPr="0009140D" w:rsidRDefault="0009140D" w:rsidP="0009140D">
            <w:pPr>
              <w:pStyle w:val="Tabletext"/>
            </w:pPr>
            <w:r w:rsidRPr="0009140D">
              <w:t>2</w:t>
            </w:r>
            <w:r w:rsidR="00D7157D">
              <w:t>.</w:t>
            </w:r>
            <w:r w:rsidRPr="0009140D">
              <w:t>6310</w:t>
            </w:r>
          </w:p>
        </w:tc>
        <w:tc>
          <w:tcPr>
            <w:tcW w:w="966" w:type="pct"/>
            <w:tcBorders>
              <w:top w:val="single" w:sz="4" w:space="0" w:color="auto"/>
              <w:bottom w:val="single" w:sz="4" w:space="0" w:color="auto"/>
              <w:right w:val="nil"/>
            </w:tcBorders>
            <w:shd w:val="clear" w:color="auto" w:fill="auto"/>
            <w:vAlign w:val="bottom"/>
          </w:tcPr>
          <w:p w14:paraId="3592B3D2" w14:textId="77777777" w:rsidR="0009140D" w:rsidRPr="0009140D" w:rsidRDefault="0009140D" w:rsidP="0009140D">
            <w:pPr>
              <w:pStyle w:val="Tabletext"/>
            </w:pPr>
            <w:r w:rsidRPr="0009140D">
              <w:t>0</w:t>
            </w:r>
            <w:r w:rsidR="00D7157D">
              <w:t>.</w:t>
            </w:r>
            <w:r w:rsidRPr="0009140D">
              <w:t>0918</w:t>
            </w:r>
          </w:p>
        </w:tc>
      </w:tr>
      <w:tr w:rsidR="0009140D" w:rsidRPr="0009140D" w14:paraId="501EB60A" w14:textId="77777777" w:rsidTr="0009140D">
        <w:trPr>
          <w:cantSplit/>
        </w:trPr>
        <w:tc>
          <w:tcPr>
            <w:tcW w:w="1136" w:type="pct"/>
            <w:tcBorders>
              <w:top w:val="single" w:sz="4" w:space="0" w:color="auto"/>
              <w:bottom w:val="single" w:sz="4" w:space="0" w:color="auto"/>
            </w:tcBorders>
          </w:tcPr>
          <w:p w14:paraId="75B0A691" w14:textId="77777777" w:rsidR="0009140D" w:rsidRPr="0009140D" w:rsidRDefault="0009140D" w:rsidP="0009140D">
            <w:pPr>
              <w:pStyle w:val="Tabletext"/>
            </w:pPr>
            <w:r w:rsidRPr="0009140D">
              <w:t>98</w:t>
            </w:r>
          </w:p>
        </w:tc>
        <w:tc>
          <w:tcPr>
            <w:tcW w:w="966" w:type="pct"/>
            <w:tcBorders>
              <w:top w:val="single" w:sz="4" w:space="0" w:color="auto"/>
              <w:bottom w:val="single" w:sz="4" w:space="0" w:color="auto"/>
            </w:tcBorders>
            <w:shd w:val="clear" w:color="auto" w:fill="auto"/>
            <w:vAlign w:val="bottom"/>
          </w:tcPr>
          <w:p w14:paraId="14F30D9A" w14:textId="77777777" w:rsidR="0009140D" w:rsidRPr="0009140D" w:rsidRDefault="0009140D" w:rsidP="0009140D">
            <w:pPr>
              <w:pStyle w:val="Tabletext"/>
            </w:pPr>
            <w:r w:rsidRPr="0009140D">
              <w:t>2</w:t>
            </w:r>
            <w:r w:rsidR="00D7157D">
              <w:t>.</w:t>
            </w:r>
            <w:r w:rsidRPr="0009140D">
              <w:t>3899</w:t>
            </w:r>
          </w:p>
        </w:tc>
        <w:tc>
          <w:tcPr>
            <w:tcW w:w="966" w:type="pct"/>
            <w:tcBorders>
              <w:top w:val="single" w:sz="4" w:space="0" w:color="auto"/>
              <w:bottom w:val="single" w:sz="4" w:space="0" w:color="auto"/>
            </w:tcBorders>
            <w:shd w:val="clear" w:color="auto" w:fill="auto"/>
            <w:vAlign w:val="bottom"/>
          </w:tcPr>
          <w:p w14:paraId="4B5D8969" w14:textId="77777777" w:rsidR="0009140D" w:rsidRPr="0009140D" w:rsidRDefault="0009140D" w:rsidP="0009140D">
            <w:pPr>
              <w:pStyle w:val="Tabletext"/>
            </w:pPr>
            <w:r w:rsidRPr="0009140D">
              <w:t>0</w:t>
            </w:r>
            <w:r w:rsidR="00D7157D">
              <w:t>.</w:t>
            </w:r>
            <w:r w:rsidRPr="0009140D">
              <w:t>2708</w:t>
            </w:r>
          </w:p>
        </w:tc>
        <w:tc>
          <w:tcPr>
            <w:tcW w:w="966" w:type="pct"/>
            <w:tcBorders>
              <w:top w:val="single" w:sz="4" w:space="0" w:color="auto"/>
              <w:bottom w:val="single" w:sz="4" w:space="0" w:color="auto"/>
            </w:tcBorders>
            <w:shd w:val="clear" w:color="auto" w:fill="auto"/>
            <w:vAlign w:val="bottom"/>
          </w:tcPr>
          <w:p w14:paraId="5E6D7163" w14:textId="77777777" w:rsidR="0009140D" w:rsidRPr="0009140D" w:rsidRDefault="0009140D" w:rsidP="0009140D">
            <w:pPr>
              <w:pStyle w:val="Tabletext"/>
            </w:pPr>
            <w:r w:rsidRPr="0009140D">
              <w:t>2</w:t>
            </w:r>
            <w:r w:rsidR="00D7157D">
              <w:t>.</w:t>
            </w:r>
            <w:r w:rsidRPr="0009140D">
              <w:t>4858</w:t>
            </w:r>
          </w:p>
        </w:tc>
        <w:tc>
          <w:tcPr>
            <w:tcW w:w="966" w:type="pct"/>
            <w:tcBorders>
              <w:top w:val="single" w:sz="4" w:space="0" w:color="auto"/>
              <w:bottom w:val="single" w:sz="4" w:space="0" w:color="auto"/>
              <w:right w:val="nil"/>
            </w:tcBorders>
            <w:shd w:val="clear" w:color="auto" w:fill="auto"/>
            <w:vAlign w:val="bottom"/>
          </w:tcPr>
          <w:p w14:paraId="27A3C08D" w14:textId="77777777" w:rsidR="0009140D" w:rsidRPr="0009140D" w:rsidRDefault="0009140D" w:rsidP="0009140D">
            <w:pPr>
              <w:pStyle w:val="Tabletext"/>
            </w:pPr>
            <w:r w:rsidRPr="0009140D">
              <w:t>0</w:t>
            </w:r>
            <w:r w:rsidR="00D7157D">
              <w:t>.</w:t>
            </w:r>
            <w:r w:rsidRPr="0009140D">
              <w:t>0871</w:t>
            </w:r>
          </w:p>
        </w:tc>
      </w:tr>
      <w:tr w:rsidR="0009140D" w:rsidRPr="009E2595" w14:paraId="1DFB4C39" w14:textId="77777777" w:rsidTr="0009140D">
        <w:trPr>
          <w:cantSplit/>
        </w:trPr>
        <w:tc>
          <w:tcPr>
            <w:tcW w:w="1136" w:type="pct"/>
            <w:tcBorders>
              <w:top w:val="single" w:sz="4" w:space="0" w:color="auto"/>
              <w:bottom w:val="single" w:sz="12" w:space="0" w:color="auto"/>
            </w:tcBorders>
          </w:tcPr>
          <w:p w14:paraId="453A8F26" w14:textId="77777777" w:rsidR="0009140D" w:rsidRPr="0009140D" w:rsidRDefault="00ED15BD" w:rsidP="0009140D">
            <w:pPr>
              <w:pStyle w:val="Tabletext"/>
            </w:pPr>
            <w:r>
              <w:t>99 and over</w:t>
            </w:r>
          </w:p>
        </w:tc>
        <w:tc>
          <w:tcPr>
            <w:tcW w:w="966" w:type="pct"/>
            <w:tcBorders>
              <w:top w:val="single" w:sz="4" w:space="0" w:color="auto"/>
              <w:bottom w:val="single" w:sz="12" w:space="0" w:color="auto"/>
            </w:tcBorders>
            <w:shd w:val="clear" w:color="auto" w:fill="auto"/>
            <w:vAlign w:val="bottom"/>
          </w:tcPr>
          <w:p w14:paraId="729285C2" w14:textId="77777777" w:rsidR="0009140D" w:rsidRPr="0009140D" w:rsidRDefault="0009140D" w:rsidP="0009140D">
            <w:pPr>
              <w:pStyle w:val="Tabletext"/>
            </w:pPr>
            <w:r w:rsidRPr="0009140D">
              <w:t>2</w:t>
            </w:r>
            <w:r w:rsidR="00D7157D">
              <w:t>.</w:t>
            </w:r>
            <w:r w:rsidRPr="0009140D">
              <w:t>2605</w:t>
            </w:r>
          </w:p>
        </w:tc>
        <w:tc>
          <w:tcPr>
            <w:tcW w:w="966" w:type="pct"/>
            <w:tcBorders>
              <w:top w:val="single" w:sz="4" w:space="0" w:color="auto"/>
              <w:bottom w:val="single" w:sz="12" w:space="0" w:color="auto"/>
            </w:tcBorders>
            <w:shd w:val="clear" w:color="auto" w:fill="auto"/>
            <w:vAlign w:val="bottom"/>
          </w:tcPr>
          <w:p w14:paraId="7A226553" w14:textId="77777777" w:rsidR="0009140D" w:rsidRPr="0009140D" w:rsidRDefault="0009140D" w:rsidP="0009140D">
            <w:pPr>
              <w:pStyle w:val="Tabletext"/>
            </w:pPr>
            <w:r w:rsidRPr="0009140D">
              <w:t>0</w:t>
            </w:r>
            <w:r w:rsidR="00D7157D">
              <w:t>.</w:t>
            </w:r>
            <w:r w:rsidRPr="0009140D">
              <w:t>2507</w:t>
            </w:r>
          </w:p>
        </w:tc>
        <w:tc>
          <w:tcPr>
            <w:tcW w:w="966" w:type="pct"/>
            <w:tcBorders>
              <w:top w:val="single" w:sz="4" w:space="0" w:color="auto"/>
              <w:bottom w:val="single" w:sz="12" w:space="0" w:color="auto"/>
            </w:tcBorders>
            <w:shd w:val="clear" w:color="auto" w:fill="auto"/>
            <w:vAlign w:val="bottom"/>
          </w:tcPr>
          <w:p w14:paraId="1496191E" w14:textId="77777777" w:rsidR="0009140D" w:rsidRPr="0009140D" w:rsidRDefault="0009140D" w:rsidP="0009140D">
            <w:pPr>
              <w:pStyle w:val="Tabletext"/>
            </w:pPr>
            <w:r w:rsidRPr="0009140D">
              <w:t>2</w:t>
            </w:r>
            <w:r w:rsidR="00D7157D">
              <w:t>.</w:t>
            </w:r>
            <w:r w:rsidRPr="0009140D">
              <w:t>3525</w:t>
            </w:r>
          </w:p>
        </w:tc>
        <w:tc>
          <w:tcPr>
            <w:tcW w:w="966" w:type="pct"/>
            <w:tcBorders>
              <w:top w:val="single" w:sz="4" w:space="0" w:color="auto"/>
              <w:bottom w:val="single" w:sz="12" w:space="0" w:color="auto"/>
              <w:right w:val="nil"/>
            </w:tcBorders>
            <w:shd w:val="clear" w:color="auto" w:fill="auto"/>
            <w:vAlign w:val="bottom"/>
          </w:tcPr>
          <w:p w14:paraId="5D4E4008" w14:textId="77777777" w:rsidR="0009140D" w:rsidRPr="0009140D" w:rsidRDefault="0009140D" w:rsidP="0009140D">
            <w:pPr>
              <w:pStyle w:val="Tabletext"/>
            </w:pPr>
            <w:r w:rsidRPr="0009140D">
              <w:t>0</w:t>
            </w:r>
            <w:r w:rsidR="00D7157D">
              <w:t>.</w:t>
            </w:r>
            <w:r w:rsidRPr="0009140D">
              <w:t>0821</w:t>
            </w:r>
          </w:p>
        </w:tc>
      </w:tr>
    </w:tbl>
    <w:p w14:paraId="4CA7EDF7" w14:textId="77777777" w:rsidR="00FC7207" w:rsidRPr="00A058B6" w:rsidRDefault="00FC7207" w:rsidP="00FC7207">
      <w:pPr>
        <w:pStyle w:val="ActHead5"/>
      </w:pPr>
      <w:bookmarkStart w:id="339" w:name="_Toc188350814"/>
      <w:r w:rsidRPr="00423C34">
        <w:rPr>
          <w:rStyle w:val="CharSectno"/>
        </w:rPr>
        <w:t>9</w:t>
      </w:r>
      <w:r w:rsidRPr="007559B0">
        <w:t xml:space="preserve">  Valuation factors—wage indexed pension</w:t>
      </w:r>
      <w:bookmarkEnd w:id="339"/>
    </w:p>
    <w:p w14:paraId="6160EC9A" w14:textId="77777777" w:rsidR="00FC7207" w:rsidRPr="00A058B6" w:rsidRDefault="00FC7207" w:rsidP="006556DE">
      <w:pPr>
        <w:pStyle w:val="subsection"/>
      </w:pPr>
      <w:r w:rsidRPr="00A058B6">
        <w:tab/>
      </w:r>
      <w:r w:rsidRPr="00A058B6">
        <w:tab/>
        <w:t>The pension valuation factors and reversion valuation factors set out in this clause apply if the pension is indexed in accordance with</w:t>
      </w:r>
      <w:r w:rsidR="006556DE">
        <w:t xml:space="preserve"> </w:t>
      </w:r>
      <w:r w:rsidRPr="009158D7">
        <w:t>a general wage index (for example, average weekly earnings, or average</w:t>
      </w:r>
      <w:r w:rsidRPr="00A058B6">
        <w:t xml:space="preserve"> weekly ordinary time earnings, published by the Australian Bureau of Statistics)</w:t>
      </w:r>
      <w:r w:rsidR="00D7157D">
        <w:t>.</w:t>
      </w:r>
    </w:p>
    <w:p w14:paraId="5E61C1E9" w14:textId="77777777" w:rsidR="00FC7207" w:rsidRPr="00A058B6" w:rsidRDefault="00FC7207" w:rsidP="00FC7207">
      <w:pPr>
        <w:pStyle w:val="Tabletext"/>
      </w:pPr>
    </w:p>
    <w:tbl>
      <w:tblPr>
        <w:tblW w:w="5000" w:type="pct"/>
        <w:tblLook w:val="0000" w:firstRow="0" w:lastRow="0" w:firstColumn="0" w:lastColumn="0" w:noHBand="0" w:noVBand="0"/>
      </w:tblPr>
      <w:tblGrid>
        <w:gridCol w:w="2270"/>
        <w:gridCol w:w="1511"/>
        <w:gridCol w:w="1511"/>
        <w:gridCol w:w="1511"/>
        <w:gridCol w:w="1510"/>
      </w:tblGrid>
      <w:tr w:rsidR="00FC7207" w:rsidRPr="00A058B6" w14:paraId="7D6275D0" w14:textId="77777777" w:rsidTr="00E05772">
        <w:trPr>
          <w:cantSplit/>
          <w:trHeight w:val="144"/>
          <w:tblHeader/>
        </w:trPr>
        <w:tc>
          <w:tcPr>
            <w:tcW w:w="1365" w:type="pct"/>
            <w:vMerge w:val="restart"/>
            <w:tcBorders>
              <w:top w:val="single" w:sz="12" w:space="0" w:color="auto"/>
              <w:bottom w:val="single" w:sz="12" w:space="0" w:color="auto"/>
            </w:tcBorders>
          </w:tcPr>
          <w:p w14:paraId="6758EC0C" w14:textId="77777777" w:rsidR="00FC7207" w:rsidRPr="00A058B6" w:rsidRDefault="00FC7207" w:rsidP="00E05772">
            <w:pPr>
              <w:pStyle w:val="TableHeading"/>
            </w:pPr>
            <w:r w:rsidRPr="00A058B6">
              <w:t>Age at relevant date (in completed years)</w:t>
            </w:r>
          </w:p>
        </w:tc>
        <w:tc>
          <w:tcPr>
            <w:tcW w:w="3635" w:type="pct"/>
            <w:gridSpan w:val="4"/>
            <w:tcBorders>
              <w:top w:val="single" w:sz="12" w:space="0" w:color="auto"/>
              <w:bottom w:val="single" w:sz="4" w:space="0" w:color="auto"/>
            </w:tcBorders>
          </w:tcPr>
          <w:p w14:paraId="5964717C" w14:textId="77777777" w:rsidR="00FC7207" w:rsidRPr="00A058B6" w:rsidRDefault="00FC7207" w:rsidP="00E05772">
            <w:pPr>
              <w:pStyle w:val="TableHeading"/>
            </w:pPr>
            <w:r w:rsidRPr="00A058B6">
              <w:t>Valuation factors—</w:t>
            </w:r>
            <w:r>
              <w:t>wage indexed pension</w:t>
            </w:r>
          </w:p>
        </w:tc>
      </w:tr>
      <w:tr w:rsidR="00FC7207" w:rsidRPr="00A058B6" w14:paraId="28D60D07" w14:textId="77777777" w:rsidTr="00E05772">
        <w:trPr>
          <w:cantSplit/>
          <w:trHeight w:val="121"/>
          <w:tblHeader/>
        </w:trPr>
        <w:tc>
          <w:tcPr>
            <w:tcW w:w="1365" w:type="pct"/>
            <w:vMerge/>
            <w:tcBorders>
              <w:bottom w:val="single" w:sz="12" w:space="0" w:color="auto"/>
            </w:tcBorders>
          </w:tcPr>
          <w:p w14:paraId="454EAF9D" w14:textId="77777777" w:rsidR="00FC7207" w:rsidRPr="00A058B6" w:rsidRDefault="00FC7207" w:rsidP="00E05772">
            <w:pPr>
              <w:pStyle w:val="TableHeading"/>
            </w:pPr>
          </w:p>
        </w:tc>
        <w:tc>
          <w:tcPr>
            <w:tcW w:w="1818" w:type="pct"/>
            <w:gridSpan w:val="2"/>
            <w:tcBorders>
              <w:top w:val="single" w:sz="4" w:space="0" w:color="auto"/>
              <w:bottom w:val="single" w:sz="4" w:space="0" w:color="auto"/>
            </w:tcBorders>
          </w:tcPr>
          <w:p w14:paraId="76B3E808" w14:textId="77777777" w:rsidR="00FC7207" w:rsidRPr="00A058B6" w:rsidRDefault="00FC7207" w:rsidP="00E05772">
            <w:pPr>
              <w:pStyle w:val="TableHeading"/>
            </w:pPr>
            <w:r w:rsidRPr="00A058B6">
              <w:t>Males</w:t>
            </w:r>
          </w:p>
        </w:tc>
        <w:tc>
          <w:tcPr>
            <w:tcW w:w="1817" w:type="pct"/>
            <w:gridSpan w:val="2"/>
            <w:tcBorders>
              <w:top w:val="single" w:sz="4" w:space="0" w:color="auto"/>
              <w:bottom w:val="single" w:sz="4" w:space="0" w:color="auto"/>
            </w:tcBorders>
          </w:tcPr>
          <w:p w14:paraId="6ED97E7A" w14:textId="77777777" w:rsidR="00FC7207" w:rsidRPr="00A058B6" w:rsidRDefault="00FC7207" w:rsidP="00E05772">
            <w:pPr>
              <w:pStyle w:val="TableHeading"/>
            </w:pPr>
            <w:r w:rsidRPr="00A058B6">
              <w:t>Females</w:t>
            </w:r>
          </w:p>
        </w:tc>
      </w:tr>
      <w:tr w:rsidR="00FC7207" w:rsidRPr="00A058B6" w14:paraId="12EC9327" w14:textId="77777777" w:rsidTr="00E05772">
        <w:trPr>
          <w:cantSplit/>
          <w:trHeight w:val="80"/>
          <w:tblHeader/>
        </w:trPr>
        <w:tc>
          <w:tcPr>
            <w:tcW w:w="1365" w:type="pct"/>
            <w:vMerge/>
            <w:tcBorders>
              <w:bottom w:val="single" w:sz="12" w:space="0" w:color="auto"/>
            </w:tcBorders>
          </w:tcPr>
          <w:p w14:paraId="36BE7F04" w14:textId="77777777" w:rsidR="00FC7207" w:rsidRPr="00A058B6" w:rsidRDefault="00FC7207" w:rsidP="00E05772">
            <w:pPr>
              <w:pStyle w:val="TableHeading"/>
            </w:pPr>
          </w:p>
        </w:tc>
        <w:tc>
          <w:tcPr>
            <w:tcW w:w="909" w:type="pct"/>
            <w:tcBorders>
              <w:top w:val="single" w:sz="4" w:space="0" w:color="auto"/>
              <w:bottom w:val="single" w:sz="12" w:space="0" w:color="auto"/>
            </w:tcBorders>
          </w:tcPr>
          <w:p w14:paraId="451B7C24" w14:textId="77777777" w:rsidR="00FC7207" w:rsidRPr="00A058B6" w:rsidRDefault="00FC7207" w:rsidP="00E05772">
            <w:pPr>
              <w:pStyle w:val="TableHeading"/>
            </w:pPr>
            <w:r w:rsidRPr="00A058B6">
              <w:t>Pension</w:t>
            </w:r>
          </w:p>
        </w:tc>
        <w:tc>
          <w:tcPr>
            <w:tcW w:w="909" w:type="pct"/>
            <w:tcBorders>
              <w:top w:val="single" w:sz="4" w:space="0" w:color="auto"/>
              <w:bottom w:val="single" w:sz="12" w:space="0" w:color="auto"/>
            </w:tcBorders>
          </w:tcPr>
          <w:p w14:paraId="4A765A0D" w14:textId="77777777" w:rsidR="00FC7207" w:rsidRPr="00A058B6" w:rsidRDefault="00FC7207" w:rsidP="00E05772">
            <w:pPr>
              <w:pStyle w:val="TableHeading"/>
            </w:pPr>
            <w:r w:rsidRPr="00A058B6">
              <w:t>Reversion</w:t>
            </w:r>
          </w:p>
        </w:tc>
        <w:tc>
          <w:tcPr>
            <w:tcW w:w="909" w:type="pct"/>
            <w:tcBorders>
              <w:top w:val="single" w:sz="4" w:space="0" w:color="auto"/>
              <w:bottom w:val="single" w:sz="12" w:space="0" w:color="auto"/>
            </w:tcBorders>
          </w:tcPr>
          <w:p w14:paraId="396990EB" w14:textId="77777777" w:rsidR="00FC7207" w:rsidRPr="00A058B6" w:rsidRDefault="00FC7207" w:rsidP="00E05772">
            <w:pPr>
              <w:pStyle w:val="TableHeading"/>
            </w:pPr>
            <w:r w:rsidRPr="00A058B6">
              <w:t>Pension</w:t>
            </w:r>
          </w:p>
        </w:tc>
        <w:tc>
          <w:tcPr>
            <w:tcW w:w="908" w:type="pct"/>
            <w:tcBorders>
              <w:top w:val="single" w:sz="4" w:space="0" w:color="auto"/>
              <w:bottom w:val="single" w:sz="12" w:space="0" w:color="auto"/>
            </w:tcBorders>
          </w:tcPr>
          <w:p w14:paraId="21E96C4D" w14:textId="77777777" w:rsidR="00FC7207" w:rsidRPr="00A058B6" w:rsidRDefault="00FC7207" w:rsidP="00E05772">
            <w:pPr>
              <w:pStyle w:val="TableHeading"/>
            </w:pPr>
            <w:r w:rsidRPr="00A058B6">
              <w:t>Reversion</w:t>
            </w:r>
          </w:p>
        </w:tc>
      </w:tr>
      <w:tr w:rsidR="00196507" w:rsidRPr="00F9176A" w14:paraId="4D24C974" w14:textId="77777777" w:rsidTr="00E05772">
        <w:trPr>
          <w:cantSplit/>
        </w:trPr>
        <w:tc>
          <w:tcPr>
            <w:tcW w:w="1365" w:type="pct"/>
            <w:tcBorders>
              <w:top w:val="single" w:sz="12" w:space="0" w:color="auto"/>
              <w:bottom w:val="single" w:sz="4" w:space="0" w:color="auto"/>
            </w:tcBorders>
          </w:tcPr>
          <w:p w14:paraId="18D5F618" w14:textId="77777777" w:rsidR="00196507" w:rsidRPr="00616B26" w:rsidRDefault="00196507" w:rsidP="00196507">
            <w:pPr>
              <w:pStyle w:val="Tabletext"/>
              <w:rPr>
                <w:snapToGrid w:val="0"/>
              </w:rPr>
            </w:pPr>
            <w:r w:rsidRPr="00616B26">
              <w:rPr>
                <w:snapToGrid w:val="0"/>
              </w:rPr>
              <w:t>18</w:t>
            </w:r>
          </w:p>
        </w:tc>
        <w:tc>
          <w:tcPr>
            <w:tcW w:w="909" w:type="pct"/>
            <w:tcBorders>
              <w:top w:val="single" w:sz="12" w:space="0" w:color="auto"/>
              <w:bottom w:val="single" w:sz="4" w:space="0" w:color="auto"/>
            </w:tcBorders>
            <w:shd w:val="clear" w:color="auto" w:fill="auto"/>
            <w:vAlign w:val="bottom"/>
          </w:tcPr>
          <w:p w14:paraId="634EAFAA" w14:textId="77777777" w:rsidR="00196507" w:rsidRPr="00196507" w:rsidRDefault="00196507" w:rsidP="00196507">
            <w:pPr>
              <w:pStyle w:val="Tabletext"/>
              <w:rPr>
                <w:color w:val="000000" w:themeColor="text1"/>
              </w:rPr>
            </w:pPr>
            <w:r w:rsidRPr="00196507">
              <w:rPr>
                <w:color w:val="000000" w:themeColor="text1"/>
              </w:rPr>
              <w:t>32</w:t>
            </w:r>
            <w:r w:rsidR="00D7157D">
              <w:rPr>
                <w:color w:val="000000" w:themeColor="text1"/>
              </w:rPr>
              <w:t>.</w:t>
            </w:r>
            <w:r w:rsidRPr="00196507">
              <w:rPr>
                <w:color w:val="000000" w:themeColor="text1"/>
              </w:rPr>
              <w:t>1337</w:t>
            </w:r>
          </w:p>
        </w:tc>
        <w:tc>
          <w:tcPr>
            <w:tcW w:w="909" w:type="pct"/>
            <w:tcBorders>
              <w:top w:val="single" w:sz="12" w:space="0" w:color="auto"/>
              <w:bottom w:val="single" w:sz="4" w:space="0" w:color="auto"/>
            </w:tcBorders>
            <w:shd w:val="clear" w:color="auto" w:fill="auto"/>
            <w:vAlign w:val="bottom"/>
          </w:tcPr>
          <w:p w14:paraId="5CB5E865"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5418</w:t>
            </w:r>
          </w:p>
        </w:tc>
        <w:tc>
          <w:tcPr>
            <w:tcW w:w="909" w:type="pct"/>
            <w:tcBorders>
              <w:top w:val="single" w:sz="12" w:space="0" w:color="auto"/>
              <w:bottom w:val="single" w:sz="4" w:space="0" w:color="auto"/>
            </w:tcBorders>
            <w:shd w:val="clear" w:color="auto" w:fill="auto"/>
            <w:vAlign w:val="bottom"/>
          </w:tcPr>
          <w:p w14:paraId="49A14A26" w14:textId="77777777" w:rsidR="00196507" w:rsidRPr="00196507" w:rsidRDefault="00196507" w:rsidP="00196507">
            <w:pPr>
              <w:pStyle w:val="Tabletext"/>
              <w:rPr>
                <w:color w:val="000000" w:themeColor="text1"/>
              </w:rPr>
            </w:pPr>
            <w:r w:rsidRPr="00196507">
              <w:rPr>
                <w:color w:val="000000" w:themeColor="text1"/>
              </w:rPr>
              <w:t>33</w:t>
            </w:r>
            <w:r w:rsidR="00D7157D">
              <w:rPr>
                <w:color w:val="000000" w:themeColor="text1"/>
              </w:rPr>
              <w:t>.</w:t>
            </w:r>
            <w:r w:rsidRPr="00196507">
              <w:rPr>
                <w:color w:val="000000" w:themeColor="text1"/>
              </w:rPr>
              <w:t>6039</w:t>
            </w:r>
          </w:p>
        </w:tc>
        <w:tc>
          <w:tcPr>
            <w:tcW w:w="908" w:type="pct"/>
            <w:tcBorders>
              <w:top w:val="single" w:sz="12" w:space="0" w:color="auto"/>
              <w:bottom w:val="single" w:sz="4" w:space="0" w:color="auto"/>
              <w:right w:val="nil"/>
            </w:tcBorders>
            <w:shd w:val="clear" w:color="auto" w:fill="auto"/>
            <w:vAlign w:val="bottom"/>
          </w:tcPr>
          <w:p w14:paraId="4BA67D61"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7104</w:t>
            </w:r>
          </w:p>
        </w:tc>
      </w:tr>
      <w:tr w:rsidR="00196507" w:rsidRPr="00F9176A" w14:paraId="3CC8F0DE" w14:textId="77777777" w:rsidTr="00E05772">
        <w:trPr>
          <w:cantSplit/>
        </w:trPr>
        <w:tc>
          <w:tcPr>
            <w:tcW w:w="1365" w:type="pct"/>
            <w:tcBorders>
              <w:top w:val="single" w:sz="4" w:space="0" w:color="auto"/>
              <w:bottom w:val="single" w:sz="4" w:space="0" w:color="auto"/>
            </w:tcBorders>
          </w:tcPr>
          <w:p w14:paraId="17515177" w14:textId="77777777" w:rsidR="00196507" w:rsidRPr="00F9176A" w:rsidRDefault="00196507" w:rsidP="00196507">
            <w:pPr>
              <w:pStyle w:val="Tabletext"/>
            </w:pPr>
            <w:r w:rsidRPr="00F9176A">
              <w:t>19</w:t>
            </w:r>
          </w:p>
        </w:tc>
        <w:tc>
          <w:tcPr>
            <w:tcW w:w="909" w:type="pct"/>
            <w:tcBorders>
              <w:top w:val="single" w:sz="4" w:space="0" w:color="auto"/>
              <w:bottom w:val="single" w:sz="4" w:space="0" w:color="auto"/>
            </w:tcBorders>
            <w:shd w:val="clear" w:color="auto" w:fill="auto"/>
            <w:vAlign w:val="bottom"/>
          </w:tcPr>
          <w:p w14:paraId="25AF1268"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8859</w:t>
            </w:r>
          </w:p>
        </w:tc>
        <w:tc>
          <w:tcPr>
            <w:tcW w:w="909" w:type="pct"/>
            <w:tcBorders>
              <w:top w:val="single" w:sz="4" w:space="0" w:color="auto"/>
              <w:bottom w:val="single" w:sz="4" w:space="0" w:color="auto"/>
            </w:tcBorders>
            <w:shd w:val="clear" w:color="auto" w:fill="auto"/>
            <w:vAlign w:val="bottom"/>
          </w:tcPr>
          <w:p w14:paraId="4861E0E5"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5757</w:t>
            </w:r>
          </w:p>
        </w:tc>
        <w:tc>
          <w:tcPr>
            <w:tcW w:w="909" w:type="pct"/>
            <w:tcBorders>
              <w:top w:val="single" w:sz="4" w:space="0" w:color="auto"/>
              <w:bottom w:val="single" w:sz="4" w:space="0" w:color="auto"/>
            </w:tcBorders>
            <w:shd w:val="clear" w:color="auto" w:fill="auto"/>
            <w:vAlign w:val="bottom"/>
          </w:tcPr>
          <w:p w14:paraId="6DFD851C" w14:textId="77777777" w:rsidR="00196507" w:rsidRPr="00196507" w:rsidRDefault="00196507" w:rsidP="00196507">
            <w:pPr>
              <w:pStyle w:val="Tabletext"/>
              <w:rPr>
                <w:color w:val="000000" w:themeColor="text1"/>
              </w:rPr>
            </w:pPr>
            <w:r w:rsidRPr="00196507">
              <w:rPr>
                <w:color w:val="000000" w:themeColor="text1"/>
              </w:rPr>
              <w:t>33</w:t>
            </w:r>
            <w:r w:rsidR="00D7157D">
              <w:rPr>
                <w:color w:val="000000" w:themeColor="text1"/>
              </w:rPr>
              <w:t>.</w:t>
            </w:r>
            <w:r w:rsidRPr="00196507">
              <w:rPr>
                <w:color w:val="000000" w:themeColor="text1"/>
              </w:rPr>
              <w:t>3649</w:t>
            </w:r>
          </w:p>
        </w:tc>
        <w:tc>
          <w:tcPr>
            <w:tcW w:w="908" w:type="pct"/>
            <w:tcBorders>
              <w:top w:val="single" w:sz="4" w:space="0" w:color="auto"/>
              <w:bottom w:val="single" w:sz="4" w:space="0" w:color="auto"/>
              <w:right w:val="nil"/>
            </w:tcBorders>
            <w:shd w:val="clear" w:color="auto" w:fill="auto"/>
            <w:vAlign w:val="bottom"/>
          </w:tcPr>
          <w:p w14:paraId="31E86DCC"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7245</w:t>
            </w:r>
          </w:p>
        </w:tc>
      </w:tr>
      <w:tr w:rsidR="00196507" w:rsidRPr="00F9176A" w14:paraId="4BFFCA95" w14:textId="77777777" w:rsidTr="00E05772">
        <w:trPr>
          <w:cantSplit/>
        </w:trPr>
        <w:tc>
          <w:tcPr>
            <w:tcW w:w="1365" w:type="pct"/>
            <w:tcBorders>
              <w:top w:val="single" w:sz="4" w:space="0" w:color="auto"/>
              <w:bottom w:val="single" w:sz="4" w:space="0" w:color="auto"/>
            </w:tcBorders>
          </w:tcPr>
          <w:p w14:paraId="03CD529D" w14:textId="77777777" w:rsidR="00196507" w:rsidRPr="00F9176A" w:rsidRDefault="00196507" w:rsidP="00196507">
            <w:pPr>
              <w:pStyle w:val="Tabletext"/>
            </w:pPr>
            <w:r w:rsidRPr="00F9176A">
              <w:t>20</w:t>
            </w:r>
          </w:p>
        </w:tc>
        <w:tc>
          <w:tcPr>
            <w:tcW w:w="909" w:type="pct"/>
            <w:tcBorders>
              <w:top w:val="single" w:sz="4" w:space="0" w:color="auto"/>
              <w:bottom w:val="single" w:sz="4" w:space="0" w:color="auto"/>
            </w:tcBorders>
            <w:shd w:val="clear" w:color="auto" w:fill="auto"/>
            <w:vAlign w:val="bottom"/>
          </w:tcPr>
          <w:p w14:paraId="76E6FBF7"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6322</w:t>
            </w:r>
          </w:p>
        </w:tc>
        <w:tc>
          <w:tcPr>
            <w:tcW w:w="909" w:type="pct"/>
            <w:tcBorders>
              <w:top w:val="single" w:sz="4" w:space="0" w:color="auto"/>
              <w:bottom w:val="single" w:sz="4" w:space="0" w:color="auto"/>
            </w:tcBorders>
            <w:shd w:val="clear" w:color="auto" w:fill="auto"/>
            <w:vAlign w:val="bottom"/>
          </w:tcPr>
          <w:p w14:paraId="165D3602"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6106</w:t>
            </w:r>
          </w:p>
        </w:tc>
        <w:tc>
          <w:tcPr>
            <w:tcW w:w="909" w:type="pct"/>
            <w:tcBorders>
              <w:top w:val="single" w:sz="4" w:space="0" w:color="auto"/>
              <w:bottom w:val="single" w:sz="4" w:space="0" w:color="auto"/>
            </w:tcBorders>
            <w:shd w:val="clear" w:color="auto" w:fill="auto"/>
            <w:vAlign w:val="bottom"/>
          </w:tcPr>
          <w:p w14:paraId="10EDA732" w14:textId="77777777" w:rsidR="00196507" w:rsidRPr="00196507" w:rsidRDefault="00196507" w:rsidP="00196507">
            <w:pPr>
              <w:pStyle w:val="Tabletext"/>
              <w:rPr>
                <w:color w:val="000000" w:themeColor="text1"/>
              </w:rPr>
            </w:pPr>
            <w:r w:rsidRPr="00196507">
              <w:rPr>
                <w:color w:val="000000" w:themeColor="text1"/>
              </w:rPr>
              <w:t>33</w:t>
            </w:r>
            <w:r w:rsidR="00D7157D">
              <w:rPr>
                <w:color w:val="000000" w:themeColor="text1"/>
              </w:rPr>
              <w:t>.</w:t>
            </w:r>
            <w:r w:rsidRPr="00196507">
              <w:rPr>
                <w:color w:val="000000" w:themeColor="text1"/>
              </w:rPr>
              <w:t>1204</w:t>
            </w:r>
          </w:p>
        </w:tc>
        <w:tc>
          <w:tcPr>
            <w:tcW w:w="908" w:type="pct"/>
            <w:tcBorders>
              <w:top w:val="single" w:sz="4" w:space="0" w:color="auto"/>
              <w:bottom w:val="single" w:sz="4" w:space="0" w:color="auto"/>
              <w:right w:val="nil"/>
            </w:tcBorders>
            <w:shd w:val="clear" w:color="auto" w:fill="auto"/>
            <w:vAlign w:val="bottom"/>
          </w:tcPr>
          <w:p w14:paraId="0833F30C"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7389</w:t>
            </w:r>
          </w:p>
        </w:tc>
      </w:tr>
      <w:tr w:rsidR="00196507" w:rsidRPr="00F9176A" w14:paraId="4896DADE" w14:textId="77777777" w:rsidTr="00E05772">
        <w:trPr>
          <w:cantSplit/>
        </w:trPr>
        <w:tc>
          <w:tcPr>
            <w:tcW w:w="1365" w:type="pct"/>
            <w:tcBorders>
              <w:top w:val="single" w:sz="4" w:space="0" w:color="auto"/>
              <w:bottom w:val="single" w:sz="4" w:space="0" w:color="auto"/>
            </w:tcBorders>
          </w:tcPr>
          <w:p w14:paraId="2F0B8AF3" w14:textId="77777777" w:rsidR="00196507" w:rsidRPr="00F9176A" w:rsidRDefault="00196507" w:rsidP="00196507">
            <w:pPr>
              <w:pStyle w:val="Tabletext"/>
            </w:pPr>
            <w:r w:rsidRPr="00F9176A">
              <w:t>21</w:t>
            </w:r>
          </w:p>
        </w:tc>
        <w:tc>
          <w:tcPr>
            <w:tcW w:w="909" w:type="pct"/>
            <w:tcBorders>
              <w:top w:val="single" w:sz="4" w:space="0" w:color="auto"/>
              <w:bottom w:val="single" w:sz="4" w:space="0" w:color="auto"/>
            </w:tcBorders>
            <w:shd w:val="clear" w:color="auto" w:fill="auto"/>
            <w:vAlign w:val="bottom"/>
          </w:tcPr>
          <w:p w14:paraId="68DE576E"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3725</w:t>
            </w:r>
          </w:p>
        </w:tc>
        <w:tc>
          <w:tcPr>
            <w:tcW w:w="909" w:type="pct"/>
            <w:tcBorders>
              <w:top w:val="single" w:sz="4" w:space="0" w:color="auto"/>
              <w:bottom w:val="single" w:sz="4" w:space="0" w:color="auto"/>
            </w:tcBorders>
            <w:shd w:val="clear" w:color="auto" w:fill="auto"/>
            <w:vAlign w:val="bottom"/>
          </w:tcPr>
          <w:p w14:paraId="34CCF7EB"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6464</w:t>
            </w:r>
          </w:p>
        </w:tc>
        <w:tc>
          <w:tcPr>
            <w:tcW w:w="909" w:type="pct"/>
            <w:tcBorders>
              <w:top w:val="single" w:sz="4" w:space="0" w:color="auto"/>
              <w:bottom w:val="single" w:sz="4" w:space="0" w:color="auto"/>
            </w:tcBorders>
            <w:shd w:val="clear" w:color="auto" w:fill="auto"/>
            <w:vAlign w:val="bottom"/>
          </w:tcPr>
          <w:p w14:paraId="364FCDDC" w14:textId="77777777" w:rsidR="00196507" w:rsidRPr="00196507" w:rsidRDefault="00196507" w:rsidP="00196507">
            <w:pPr>
              <w:pStyle w:val="Tabletext"/>
              <w:rPr>
                <w:color w:val="000000" w:themeColor="text1"/>
              </w:rPr>
            </w:pPr>
            <w:r w:rsidRPr="00196507">
              <w:rPr>
                <w:color w:val="000000" w:themeColor="text1"/>
              </w:rPr>
              <w:t>32</w:t>
            </w:r>
            <w:r w:rsidR="00D7157D">
              <w:rPr>
                <w:color w:val="000000" w:themeColor="text1"/>
              </w:rPr>
              <w:t>.</w:t>
            </w:r>
            <w:r w:rsidRPr="00196507">
              <w:rPr>
                <w:color w:val="000000" w:themeColor="text1"/>
              </w:rPr>
              <w:t>8703</w:t>
            </w:r>
          </w:p>
        </w:tc>
        <w:tc>
          <w:tcPr>
            <w:tcW w:w="908" w:type="pct"/>
            <w:tcBorders>
              <w:top w:val="single" w:sz="4" w:space="0" w:color="auto"/>
              <w:bottom w:val="single" w:sz="4" w:space="0" w:color="auto"/>
              <w:right w:val="nil"/>
            </w:tcBorders>
            <w:shd w:val="clear" w:color="auto" w:fill="auto"/>
            <w:vAlign w:val="bottom"/>
          </w:tcPr>
          <w:p w14:paraId="2E994272"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7539</w:t>
            </w:r>
          </w:p>
        </w:tc>
      </w:tr>
      <w:tr w:rsidR="00196507" w:rsidRPr="00F9176A" w14:paraId="0B4C61D0" w14:textId="77777777" w:rsidTr="00E05772">
        <w:trPr>
          <w:cantSplit/>
        </w:trPr>
        <w:tc>
          <w:tcPr>
            <w:tcW w:w="1365" w:type="pct"/>
            <w:tcBorders>
              <w:top w:val="single" w:sz="4" w:space="0" w:color="auto"/>
              <w:bottom w:val="single" w:sz="4" w:space="0" w:color="auto"/>
            </w:tcBorders>
          </w:tcPr>
          <w:p w14:paraId="5E574D1D" w14:textId="77777777" w:rsidR="00196507" w:rsidRPr="00F9176A" w:rsidRDefault="00196507" w:rsidP="00196507">
            <w:pPr>
              <w:pStyle w:val="Tabletext"/>
            </w:pPr>
            <w:r w:rsidRPr="00F9176A">
              <w:t>22</w:t>
            </w:r>
          </w:p>
        </w:tc>
        <w:tc>
          <w:tcPr>
            <w:tcW w:w="909" w:type="pct"/>
            <w:tcBorders>
              <w:top w:val="single" w:sz="4" w:space="0" w:color="auto"/>
              <w:bottom w:val="single" w:sz="4" w:space="0" w:color="auto"/>
            </w:tcBorders>
            <w:shd w:val="clear" w:color="auto" w:fill="auto"/>
            <w:vAlign w:val="bottom"/>
          </w:tcPr>
          <w:p w14:paraId="563642E7"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1066</w:t>
            </w:r>
          </w:p>
        </w:tc>
        <w:tc>
          <w:tcPr>
            <w:tcW w:w="909" w:type="pct"/>
            <w:tcBorders>
              <w:top w:val="single" w:sz="4" w:space="0" w:color="auto"/>
              <w:bottom w:val="single" w:sz="4" w:space="0" w:color="auto"/>
            </w:tcBorders>
            <w:shd w:val="clear" w:color="auto" w:fill="auto"/>
            <w:vAlign w:val="bottom"/>
          </w:tcPr>
          <w:p w14:paraId="7AB16AEF"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6833</w:t>
            </w:r>
          </w:p>
        </w:tc>
        <w:tc>
          <w:tcPr>
            <w:tcW w:w="909" w:type="pct"/>
            <w:tcBorders>
              <w:top w:val="single" w:sz="4" w:space="0" w:color="auto"/>
              <w:bottom w:val="single" w:sz="4" w:space="0" w:color="auto"/>
            </w:tcBorders>
            <w:shd w:val="clear" w:color="auto" w:fill="auto"/>
            <w:vAlign w:val="bottom"/>
          </w:tcPr>
          <w:p w14:paraId="03605CEC" w14:textId="77777777" w:rsidR="00196507" w:rsidRPr="00196507" w:rsidRDefault="00196507" w:rsidP="00196507">
            <w:pPr>
              <w:pStyle w:val="Tabletext"/>
              <w:rPr>
                <w:color w:val="000000" w:themeColor="text1"/>
              </w:rPr>
            </w:pPr>
            <w:r w:rsidRPr="00196507">
              <w:rPr>
                <w:color w:val="000000" w:themeColor="text1"/>
              </w:rPr>
              <w:t>32</w:t>
            </w:r>
            <w:r w:rsidR="00D7157D">
              <w:rPr>
                <w:color w:val="000000" w:themeColor="text1"/>
              </w:rPr>
              <w:t>.</w:t>
            </w:r>
            <w:r w:rsidRPr="00196507">
              <w:rPr>
                <w:color w:val="000000" w:themeColor="text1"/>
              </w:rPr>
              <w:t>6144</w:t>
            </w:r>
          </w:p>
        </w:tc>
        <w:tc>
          <w:tcPr>
            <w:tcW w:w="908" w:type="pct"/>
            <w:tcBorders>
              <w:top w:val="single" w:sz="4" w:space="0" w:color="auto"/>
              <w:bottom w:val="single" w:sz="4" w:space="0" w:color="auto"/>
              <w:right w:val="nil"/>
            </w:tcBorders>
            <w:shd w:val="clear" w:color="auto" w:fill="auto"/>
            <w:vAlign w:val="bottom"/>
          </w:tcPr>
          <w:p w14:paraId="22D97439"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7693</w:t>
            </w:r>
          </w:p>
        </w:tc>
      </w:tr>
      <w:tr w:rsidR="00196507" w:rsidRPr="00F9176A" w14:paraId="65120E10" w14:textId="77777777" w:rsidTr="00E05772">
        <w:trPr>
          <w:cantSplit/>
        </w:trPr>
        <w:tc>
          <w:tcPr>
            <w:tcW w:w="1365" w:type="pct"/>
            <w:tcBorders>
              <w:top w:val="single" w:sz="4" w:space="0" w:color="auto"/>
              <w:bottom w:val="single" w:sz="4" w:space="0" w:color="auto"/>
            </w:tcBorders>
          </w:tcPr>
          <w:p w14:paraId="0C511765" w14:textId="77777777" w:rsidR="00196507" w:rsidRPr="00F9176A" w:rsidRDefault="00196507" w:rsidP="00196507">
            <w:pPr>
              <w:pStyle w:val="Tabletext"/>
            </w:pPr>
            <w:r w:rsidRPr="00F9176A">
              <w:t>23</w:t>
            </w:r>
          </w:p>
        </w:tc>
        <w:tc>
          <w:tcPr>
            <w:tcW w:w="909" w:type="pct"/>
            <w:tcBorders>
              <w:top w:val="single" w:sz="4" w:space="0" w:color="auto"/>
              <w:bottom w:val="single" w:sz="4" w:space="0" w:color="auto"/>
            </w:tcBorders>
            <w:shd w:val="clear" w:color="auto" w:fill="auto"/>
            <w:vAlign w:val="bottom"/>
          </w:tcPr>
          <w:p w14:paraId="1DFB4553"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8343</w:t>
            </w:r>
          </w:p>
        </w:tc>
        <w:tc>
          <w:tcPr>
            <w:tcW w:w="909" w:type="pct"/>
            <w:tcBorders>
              <w:top w:val="single" w:sz="4" w:space="0" w:color="auto"/>
              <w:bottom w:val="single" w:sz="4" w:space="0" w:color="auto"/>
            </w:tcBorders>
            <w:shd w:val="clear" w:color="auto" w:fill="auto"/>
            <w:vAlign w:val="bottom"/>
          </w:tcPr>
          <w:p w14:paraId="4B9F4D81"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7213</w:t>
            </w:r>
          </w:p>
        </w:tc>
        <w:tc>
          <w:tcPr>
            <w:tcW w:w="909" w:type="pct"/>
            <w:tcBorders>
              <w:top w:val="single" w:sz="4" w:space="0" w:color="auto"/>
              <w:bottom w:val="single" w:sz="4" w:space="0" w:color="auto"/>
            </w:tcBorders>
            <w:shd w:val="clear" w:color="auto" w:fill="auto"/>
            <w:vAlign w:val="bottom"/>
          </w:tcPr>
          <w:p w14:paraId="396D2B3A" w14:textId="77777777" w:rsidR="00196507" w:rsidRPr="00196507" w:rsidRDefault="00196507" w:rsidP="00196507">
            <w:pPr>
              <w:pStyle w:val="Tabletext"/>
              <w:rPr>
                <w:color w:val="000000" w:themeColor="text1"/>
              </w:rPr>
            </w:pPr>
            <w:r w:rsidRPr="00196507">
              <w:rPr>
                <w:color w:val="000000" w:themeColor="text1"/>
              </w:rPr>
              <w:t>32</w:t>
            </w:r>
            <w:r w:rsidR="00D7157D">
              <w:rPr>
                <w:color w:val="000000" w:themeColor="text1"/>
              </w:rPr>
              <w:t>.</w:t>
            </w:r>
            <w:r w:rsidRPr="00196507">
              <w:rPr>
                <w:color w:val="000000" w:themeColor="text1"/>
              </w:rPr>
              <w:t>3527</w:t>
            </w:r>
          </w:p>
        </w:tc>
        <w:tc>
          <w:tcPr>
            <w:tcW w:w="908" w:type="pct"/>
            <w:tcBorders>
              <w:top w:val="single" w:sz="4" w:space="0" w:color="auto"/>
              <w:bottom w:val="single" w:sz="4" w:space="0" w:color="auto"/>
              <w:right w:val="nil"/>
            </w:tcBorders>
            <w:shd w:val="clear" w:color="auto" w:fill="auto"/>
            <w:vAlign w:val="bottom"/>
          </w:tcPr>
          <w:p w14:paraId="2C200FFC"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7851</w:t>
            </w:r>
          </w:p>
        </w:tc>
      </w:tr>
      <w:tr w:rsidR="00196507" w:rsidRPr="00F9176A" w14:paraId="1FE81666" w14:textId="77777777" w:rsidTr="00E05772">
        <w:trPr>
          <w:cantSplit/>
        </w:trPr>
        <w:tc>
          <w:tcPr>
            <w:tcW w:w="1365" w:type="pct"/>
            <w:tcBorders>
              <w:top w:val="single" w:sz="4" w:space="0" w:color="auto"/>
              <w:bottom w:val="single" w:sz="4" w:space="0" w:color="auto"/>
            </w:tcBorders>
          </w:tcPr>
          <w:p w14:paraId="00B25BA6" w14:textId="77777777" w:rsidR="00196507" w:rsidRPr="00F9176A" w:rsidRDefault="00196507" w:rsidP="00196507">
            <w:pPr>
              <w:pStyle w:val="Tabletext"/>
            </w:pPr>
            <w:r w:rsidRPr="00F9176A">
              <w:t>24</w:t>
            </w:r>
          </w:p>
        </w:tc>
        <w:tc>
          <w:tcPr>
            <w:tcW w:w="909" w:type="pct"/>
            <w:tcBorders>
              <w:top w:val="single" w:sz="4" w:space="0" w:color="auto"/>
              <w:bottom w:val="single" w:sz="4" w:space="0" w:color="auto"/>
            </w:tcBorders>
            <w:shd w:val="clear" w:color="auto" w:fill="auto"/>
            <w:vAlign w:val="bottom"/>
          </w:tcPr>
          <w:p w14:paraId="5572AEFE"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5556</w:t>
            </w:r>
          </w:p>
        </w:tc>
        <w:tc>
          <w:tcPr>
            <w:tcW w:w="909" w:type="pct"/>
            <w:tcBorders>
              <w:top w:val="single" w:sz="4" w:space="0" w:color="auto"/>
              <w:bottom w:val="single" w:sz="4" w:space="0" w:color="auto"/>
            </w:tcBorders>
            <w:shd w:val="clear" w:color="auto" w:fill="auto"/>
            <w:vAlign w:val="bottom"/>
          </w:tcPr>
          <w:p w14:paraId="2BB02F40"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7603</w:t>
            </w:r>
          </w:p>
        </w:tc>
        <w:tc>
          <w:tcPr>
            <w:tcW w:w="909" w:type="pct"/>
            <w:tcBorders>
              <w:top w:val="single" w:sz="4" w:space="0" w:color="auto"/>
              <w:bottom w:val="single" w:sz="4" w:space="0" w:color="auto"/>
            </w:tcBorders>
            <w:shd w:val="clear" w:color="auto" w:fill="auto"/>
            <w:vAlign w:val="bottom"/>
          </w:tcPr>
          <w:p w14:paraId="21117B8D" w14:textId="77777777" w:rsidR="00196507" w:rsidRPr="00196507" w:rsidRDefault="00196507" w:rsidP="00196507">
            <w:pPr>
              <w:pStyle w:val="Tabletext"/>
              <w:rPr>
                <w:color w:val="000000" w:themeColor="text1"/>
              </w:rPr>
            </w:pPr>
            <w:r w:rsidRPr="00196507">
              <w:rPr>
                <w:color w:val="000000" w:themeColor="text1"/>
              </w:rPr>
              <w:t>32</w:t>
            </w:r>
            <w:r w:rsidR="00D7157D">
              <w:rPr>
                <w:color w:val="000000" w:themeColor="text1"/>
              </w:rPr>
              <w:t>.</w:t>
            </w:r>
            <w:r w:rsidRPr="00196507">
              <w:rPr>
                <w:color w:val="000000" w:themeColor="text1"/>
              </w:rPr>
              <w:t>0850</w:t>
            </w:r>
          </w:p>
        </w:tc>
        <w:tc>
          <w:tcPr>
            <w:tcW w:w="908" w:type="pct"/>
            <w:tcBorders>
              <w:top w:val="single" w:sz="4" w:space="0" w:color="auto"/>
              <w:bottom w:val="single" w:sz="4" w:space="0" w:color="auto"/>
              <w:right w:val="nil"/>
            </w:tcBorders>
            <w:shd w:val="clear" w:color="auto" w:fill="auto"/>
            <w:vAlign w:val="bottom"/>
          </w:tcPr>
          <w:p w14:paraId="36BD86C5"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8015</w:t>
            </w:r>
          </w:p>
        </w:tc>
      </w:tr>
      <w:tr w:rsidR="00196507" w:rsidRPr="00F9176A" w14:paraId="5D22E9EF" w14:textId="77777777" w:rsidTr="00E05772">
        <w:trPr>
          <w:cantSplit/>
        </w:trPr>
        <w:tc>
          <w:tcPr>
            <w:tcW w:w="1365" w:type="pct"/>
            <w:tcBorders>
              <w:top w:val="single" w:sz="4" w:space="0" w:color="auto"/>
              <w:bottom w:val="single" w:sz="4" w:space="0" w:color="auto"/>
            </w:tcBorders>
          </w:tcPr>
          <w:p w14:paraId="25B010F0" w14:textId="77777777" w:rsidR="00196507" w:rsidRPr="00F9176A" w:rsidRDefault="00196507" w:rsidP="00196507">
            <w:pPr>
              <w:pStyle w:val="Tabletext"/>
            </w:pPr>
            <w:r w:rsidRPr="00F9176A">
              <w:t>25</w:t>
            </w:r>
          </w:p>
        </w:tc>
        <w:tc>
          <w:tcPr>
            <w:tcW w:w="909" w:type="pct"/>
            <w:tcBorders>
              <w:top w:val="single" w:sz="4" w:space="0" w:color="auto"/>
              <w:bottom w:val="single" w:sz="4" w:space="0" w:color="auto"/>
            </w:tcBorders>
            <w:shd w:val="clear" w:color="auto" w:fill="auto"/>
            <w:vAlign w:val="bottom"/>
          </w:tcPr>
          <w:p w14:paraId="6E867E68"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2703</w:t>
            </w:r>
          </w:p>
        </w:tc>
        <w:tc>
          <w:tcPr>
            <w:tcW w:w="909" w:type="pct"/>
            <w:tcBorders>
              <w:top w:val="single" w:sz="4" w:space="0" w:color="auto"/>
              <w:bottom w:val="single" w:sz="4" w:space="0" w:color="auto"/>
            </w:tcBorders>
            <w:shd w:val="clear" w:color="auto" w:fill="auto"/>
            <w:vAlign w:val="bottom"/>
          </w:tcPr>
          <w:p w14:paraId="38AC56F7"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8005</w:t>
            </w:r>
          </w:p>
        </w:tc>
        <w:tc>
          <w:tcPr>
            <w:tcW w:w="909" w:type="pct"/>
            <w:tcBorders>
              <w:top w:val="single" w:sz="4" w:space="0" w:color="auto"/>
              <w:bottom w:val="single" w:sz="4" w:space="0" w:color="auto"/>
            </w:tcBorders>
            <w:shd w:val="clear" w:color="auto" w:fill="auto"/>
            <w:vAlign w:val="bottom"/>
          </w:tcPr>
          <w:p w14:paraId="46910CE2"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8110</w:t>
            </w:r>
          </w:p>
        </w:tc>
        <w:tc>
          <w:tcPr>
            <w:tcW w:w="908" w:type="pct"/>
            <w:tcBorders>
              <w:top w:val="single" w:sz="4" w:space="0" w:color="auto"/>
              <w:bottom w:val="single" w:sz="4" w:space="0" w:color="auto"/>
              <w:right w:val="nil"/>
            </w:tcBorders>
            <w:shd w:val="clear" w:color="auto" w:fill="auto"/>
            <w:vAlign w:val="bottom"/>
          </w:tcPr>
          <w:p w14:paraId="45A81B0F"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8183</w:t>
            </w:r>
          </w:p>
        </w:tc>
      </w:tr>
      <w:tr w:rsidR="00196507" w:rsidRPr="00F9176A" w14:paraId="37BF2EA7" w14:textId="77777777" w:rsidTr="00E05772">
        <w:trPr>
          <w:cantSplit/>
        </w:trPr>
        <w:tc>
          <w:tcPr>
            <w:tcW w:w="1365" w:type="pct"/>
            <w:tcBorders>
              <w:top w:val="single" w:sz="4" w:space="0" w:color="auto"/>
              <w:bottom w:val="single" w:sz="4" w:space="0" w:color="auto"/>
            </w:tcBorders>
          </w:tcPr>
          <w:p w14:paraId="1F756DB6" w14:textId="77777777" w:rsidR="00196507" w:rsidRPr="00F9176A" w:rsidRDefault="00196507" w:rsidP="00196507">
            <w:pPr>
              <w:pStyle w:val="Tabletext"/>
            </w:pPr>
            <w:r w:rsidRPr="00F9176A">
              <w:t>26</w:t>
            </w:r>
          </w:p>
        </w:tc>
        <w:tc>
          <w:tcPr>
            <w:tcW w:w="909" w:type="pct"/>
            <w:tcBorders>
              <w:top w:val="single" w:sz="4" w:space="0" w:color="auto"/>
              <w:bottom w:val="single" w:sz="4" w:space="0" w:color="auto"/>
            </w:tcBorders>
            <w:shd w:val="clear" w:color="auto" w:fill="auto"/>
            <w:vAlign w:val="bottom"/>
          </w:tcPr>
          <w:p w14:paraId="76FEAA91"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9782</w:t>
            </w:r>
          </w:p>
        </w:tc>
        <w:tc>
          <w:tcPr>
            <w:tcW w:w="909" w:type="pct"/>
            <w:tcBorders>
              <w:top w:val="single" w:sz="4" w:space="0" w:color="auto"/>
              <w:bottom w:val="single" w:sz="4" w:space="0" w:color="auto"/>
            </w:tcBorders>
            <w:shd w:val="clear" w:color="auto" w:fill="auto"/>
            <w:vAlign w:val="bottom"/>
          </w:tcPr>
          <w:p w14:paraId="22E27982"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8417</w:t>
            </w:r>
          </w:p>
        </w:tc>
        <w:tc>
          <w:tcPr>
            <w:tcW w:w="909" w:type="pct"/>
            <w:tcBorders>
              <w:top w:val="single" w:sz="4" w:space="0" w:color="auto"/>
              <w:bottom w:val="single" w:sz="4" w:space="0" w:color="auto"/>
            </w:tcBorders>
            <w:shd w:val="clear" w:color="auto" w:fill="auto"/>
            <w:vAlign w:val="bottom"/>
          </w:tcPr>
          <w:p w14:paraId="655C3B61"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5309</w:t>
            </w:r>
          </w:p>
        </w:tc>
        <w:tc>
          <w:tcPr>
            <w:tcW w:w="908" w:type="pct"/>
            <w:tcBorders>
              <w:top w:val="single" w:sz="4" w:space="0" w:color="auto"/>
              <w:bottom w:val="single" w:sz="4" w:space="0" w:color="auto"/>
              <w:right w:val="nil"/>
            </w:tcBorders>
            <w:shd w:val="clear" w:color="auto" w:fill="auto"/>
            <w:vAlign w:val="bottom"/>
          </w:tcPr>
          <w:p w14:paraId="1E5ED933"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8357</w:t>
            </w:r>
          </w:p>
        </w:tc>
      </w:tr>
      <w:tr w:rsidR="00196507" w:rsidRPr="00F9176A" w14:paraId="335CC0BE" w14:textId="77777777" w:rsidTr="00E05772">
        <w:trPr>
          <w:cantSplit/>
        </w:trPr>
        <w:tc>
          <w:tcPr>
            <w:tcW w:w="1365" w:type="pct"/>
            <w:tcBorders>
              <w:top w:val="single" w:sz="4" w:space="0" w:color="auto"/>
              <w:bottom w:val="single" w:sz="4" w:space="0" w:color="auto"/>
            </w:tcBorders>
          </w:tcPr>
          <w:p w14:paraId="3C6D8E31" w14:textId="77777777" w:rsidR="00196507" w:rsidRPr="00F9176A" w:rsidRDefault="00196507" w:rsidP="00196507">
            <w:pPr>
              <w:pStyle w:val="Tabletext"/>
            </w:pPr>
            <w:r w:rsidRPr="00F9176A">
              <w:t>27</w:t>
            </w:r>
          </w:p>
        </w:tc>
        <w:tc>
          <w:tcPr>
            <w:tcW w:w="909" w:type="pct"/>
            <w:tcBorders>
              <w:top w:val="single" w:sz="4" w:space="0" w:color="auto"/>
              <w:bottom w:val="single" w:sz="4" w:space="0" w:color="auto"/>
            </w:tcBorders>
            <w:shd w:val="clear" w:color="auto" w:fill="auto"/>
            <w:vAlign w:val="bottom"/>
          </w:tcPr>
          <w:p w14:paraId="51F4B941"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6791</w:t>
            </w:r>
          </w:p>
        </w:tc>
        <w:tc>
          <w:tcPr>
            <w:tcW w:w="909" w:type="pct"/>
            <w:tcBorders>
              <w:top w:val="single" w:sz="4" w:space="0" w:color="auto"/>
              <w:bottom w:val="single" w:sz="4" w:space="0" w:color="auto"/>
            </w:tcBorders>
            <w:shd w:val="clear" w:color="auto" w:fill="auto"/>
            <w:vAlign w:val="bottom"/>
          </w:tcPr>
          <w:p w14:paraId="3473C915"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8842</w:t>
            </w:r>
          </w:p>
        </w:tc>
        <w:tc>
          <w:tcPr>
            <w:tcW w:w="909" w:type="pct"/>
            <w:tcBorders>
              <w:top w:val="single" w:sz="4" w:space="0" w:color="auto"/>
              <w:bottom w:val="single" w:sz="4" w:space="0" w:color="auto"/>
            </w:tcBorders>
            <w:shd w:val="clear" w:color="auto" w:fill="auto"/>
            <w:vAlign w:val="bottom"/>
          </w:tcPr>
          <w:p w14:paraId="58F5F5A2" w14:textId="77777777" w:rsidR="00196507" w:rsidRPr="00196507" w:rsidRDefault="00196507" w:rsidP="00196507">
            <w:pPr>
              <w:pStyle w:val="Tabletext"/>
              <w:rPr>
                <w:color w:val="000000" w:themeColor="text1"/>
              </w:rPr>
            </w:pPr>
            <w:r w:rsidRPr="00196507">
              <w:rPr>
                <w:color w:val="000000" w:themeColor="text1"/>
              </w:rPr>
              <w:t>31</w:t>
            </w:r>
            <w:r w:rsidR="00D7157D">
              <w:rPr>
                <w:color w:val="000000" w:themeColor="text1"/>
              </w:rPr>
              <w:t>.</w:t>
            </w:r>
            <w:r w:rsidRPr="00196507">
              <w:rPr>
                <w:color w:val="000000" w:themeColor="text1"/>
              </w:rPr>
              <w:t>2442</w:t>
            </w:r>
          </w:p>
        </w:tc>
        <w:tc>
          <w:tcPr>
            <w:tcW w:w="908" w:type="pct"/>
            <w:tcBorders>
              <w:top w:val="single" w:sz="4" w:space="0" w:color="auto"/>
              <w:bottom w:val="single" w:sz="4" w:space="0" w:color="auto"/>
              <w:right w:val="nil"/>
            </w:tcBorders>
            <w:shd w:val="clear" w:color="auto" w:fill="auto"/>
            <w:vAlign w:val="bottom"/>
          </w:tcPr>
          <w:p w14:paraId="6EDD1ADF"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8535</w:t>
            </w:r>
          </w:p>
        </w:tc>
      </w:tr>
      <w:tr w:rsidR="00196507" w:rsidRPr="00F9176A" w14:paraId="7ACD5AD4" w14:textId="77777777" w:rsidTr="00E05772">
        <w:trPr>
          <w:cantSplit/>
        </w:trPr>
        <w:tc>
          <w:tcPr>
            <w:tcW w:w="1365" w:type="pct"/>
            <w:tcBorders>
              <w:top w:val="single" w:sz="4" w:space="0" w:color="auto"/>
              <w:bottom w:val="single" w:sz="4" w:space="0" w:color="auto"/>
            </w:tcBorders>
          </w:tcPr>
          <w:p w14:paraId="085B09E0" w14:textId="77777777" w:rsidR="00196507" w:rsidRPr="00F9176A" w:rsidRDefault="00196507" w:rsidP="00196507">
            <w:pPr>
              <w:pStyle w:val="Tabletext"/>
            </w:pPr>
            <w:r w:rsidRPr="00F9176A">
              <w:t>28</w:t>
            </w:r>
          </w:p>
        </w:tc>
        <w:tc>
          <w:tcPr>
            <w:tcW w:w="909" w:type="pct"/>
            <w:tcBorders>
              <w:top w:val="single" w:sz="4" w:space="0" w:color="auto"/>
              <w:bottom w:val="single" w:sz="4" w:space="0" w:color="auto"/>
            </w:tcBorders>
            <w:shd w:val="clear" w:color="auto" w:fill="auto"/>
            <w:vAlign w:val="bottom"/>
          </w:tcPr>
          <w:p w14:paraId="2796897A"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3730</w:t>
            </w:r>
          </w:p>
        </w:tc>
        <w:tc>
          <w:tcPr>
            <w:tcW w:w="909" w:type="pct"/>
            <w:tcBorders>
              <w:top w:val="single" w:sz="4" w:space="0" w:color="auto"/>
              <w:bottom w:val="single" w:sz="4" w:space="0" w:color="auto"/>
            </w:tcBorders>
            <w:shd w:val="clear" w:color="auto" w:fill="auto"/>
            <w:vAlign w:val="bottom"/>
          </w:tcPr>
          <w:p w14:paraId="5524E283"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9278</w:t>
            </w:r>
          </w:p>
        </w:tc>
        <w:tc>
          <w:tcPr>
            <w:tcW w:w="909" w:type="pct"/>
            <w:tcBorders>
              <w:top w:val="single" w:sz="4" w:space="0" w:color="auto"/>
              <w:bottom w:val="single" w:sz="4" w:space="0" w:color="auto"/>
            </w:tcBorders>
            <w:shd w:val="clear" w:color="auto" w:fill="auto"/>
            <w:vAlign w:val="bottom"/>
          </w:tcPr>
          <w:p w14:paraId="0312A997"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9510</w:t>
            </w:r>
          </w:p>
        </w:tc>
        <w:tc>
          <w:tcPr>
            <w:tcW w:w="908" w:type="pct"/>
            <w:tcBorders>
              <w:top w:val="single" w:sz="4" w:space="0" w:color="auto"/>
              <w:bottom w:val="single" w:sz="4" w:space="0" w:color="auto"/>
              <w:right w:val="nil"/>
            </w:tcBorders>
            <w:shd w:val="clear" w:color="auto" w:fill="auto"/>
            <w:vAlign w:val="bottom"/>
          </w:tcPr>
          <w:p w14:paraId="7E00ABD7"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8719</w:t>
            </w:r>
          </w:p>
        </w:tc>
      </w:tr>
      <w:tr w:rsidR="00196507" w:rsidRPr="00F9176A" w14:paraId="0B545CC7" w14:textId="77777777" w:rsidTr="00E05772">
        <w:trPr>
          <w:cantSplit/>
        </w:trPr>
        <w:tc>
          <w:tcPr>
            <w:tcW w:w="1365" w:type="pct"/>
            <w:tcBorders>
              <w:top w:val="single" w:sz="4" w:space="0" w:color="auto"/>
              <w:bottom w:val="single" w:sz="4" w:space="0" w:color="auto"/>
            </w:tcBorders>
          </w:tcPr>
          <w:p w14:paraId="3322745F" w14:textId="77777777" w:rsidR="00196507" w:rsidRPr="00F9176A" w:rsidRDefault="00196507" w:rsidP="00196507">
            <w:pPr>
              <w:pStyle w:val="Tabletext"/>
            </w:pPr>
            <w:r w:rsidRPr="00F9176A">
              <w:t>29</w:t>
            </w:r>
          </w:p>
        </w:tc>
        <w:tc>
          <w:tcPr>
            <w:tcW w:w="909" w:type="pct"/>
            <w:tcBorders>
              <w:top w:val="single" w:sz="4" w:space="0" w:color="auto"/>
              <w:bottom w:val="single" w:sz="4" w:space="0" w:color="auto"/>
            </w:tcBorders>
            <w:shd w:val="clear" w:color="auto" w:fill="auto"/>
            <w:vAlign w:val="bottom"/>
          </w:tcPr>
          <w:p w14:paraId="4BD73601"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0595</w:t>
            </w:r>
          </w:p>
        </w:tc>
        <w:tc>
          <w:tcPr>
            <w:tcW w:w="909" w:type="pct"/>
            <w:tcBorders>
              <w:top w:val="single" w:sz="4" w:space="0" w:color="auto"/>
              <w:bottom w:val="single" w:sz="4" w:space="0" w:color="auto"/>
            </w:tcBorders>
            <w:shd w:val="clear" w:color="auto" w:fill="auto"/>
            <w:vAlign w:val="bottom"/>
          </w:tcPr>
          <w:p w14:paraId="1A3FA7DF"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9727</w:t>
            </w:r>
          </w:p>
        </w:tc>
        <w:tc>
          <w:tcPr>
            <w:tcW w:w="909" w:type="pct"/>
            <w:tcBorders>
              <w:top w:val="single" w:sz="4" w:space="0" w:color="auto"/>
              <w:bottom w:val="single" w:sz="4" w:space="0" w:color="auto"/>
            </w:tcBorders>
            <w:shd w:val="clear" w:color="auto" w:fill="auto"/>
            <w:vAlign w:val="bottom"/>
          </w:tcPr>
          <w:p w14:paraId="1717D1E2"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6510</w:t>
            </w:r>
          </w:p>
        </w:tc>
        <w:tc>
          <w:tcPr>
            <w:tcW w:w="908" w:type="pct"/>
            <w:tcBorders>
              <w:top w:val="single" w:sz="4" w:space="0" w:color="auto"/>
              <w:bottom w:val="single" w:sz="4" w:space="0" w:color="auto"/>
              <w:right w:val="nil"/>
            </w:tcBorders>
            <w:shd w:val="clear" w:color="auto" w:fill="auto"/>
            <w:vAlign w:val="bottom"/>
          </w:tcPr>
          <w:p w14:paraId="07DB839A"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8909</w:t>
            </w:r>
          </w:p>
        </w:tc>
      </w:tr>
      <w:tr w:rsidR="00196507" w:rsidRPr="00F9176A" w14:paraId="5E1B7D65" w14:textId="77777777" w:rsidTr="00E05772">
        <w:trPr>
          <w:cantSplit/>
        </w:trPr>
        <w:tc>
          <w:tcPr>
            <w:tcW w:w="1365" w:type="pct"/>
            <w:tcBorders>
              <w:top w:val="single" w:sz="4" w:space="0" w:color="auto"/>
              <w:bottom w:val="single" w:sz="4" w:space="0" w:color="auto"/>
            </w:tcBorders>
          </w:tcPr>
          <w:p w14:paraId="3E77E9C0" w14:textId="77777777" w:rsidR="00196507" w:rsidRPr="00F9176A" w:rsidRDefault="00196507" w:rsidP="00196507">
            <w:pPr>
              <w:pStyle w:val="Tabletext"/>
            </w:pPr>
            <w:r w:rsidRPr="00F9176A">
              <w:t>30</w:t>
            </w:r>
          </w:p>
        </w:tc>
        <w:tc>
          <w:tcPr>
            <w:tcW w:w="909" w:type="pct"/>
            <w:tcBorders>
              <w:top w:val="single" w:sz="4" w:space="0" w:color="auto"/>
              <w:bottom w:val="single" w:sz="4" w:space="0" w:color="auto"/>
            </w:tcBorders>
            <w:shd w:val="clear" w:color="auto" w:fill="auto"/>
            <w:vAlign w:val="bottom"/>
          </w:tcPr>
          <w:p w14:paraId="194F5214" w14:textId="77777777" w:rsidR="00196507" w:rsidRPr="00196507" w:rsidRDefault="00196507" w:rsidP="00196507">
            <w:pPr>
              <w:pStyle w:val="Tabletext"/>
              <w:rPr>
                <w:color w:val="000000" w:themeColor="text1"/>
              </w:rPr>
            </w:pPr>
            <w:r w:rsidRPr="00196507">
              <w:rPr>
                <w:color w:val="000000" w:themeColor="text1"/>
              </w:rPr>
              <w:t>28</w:t>
            </w:r>
            <w:r w:rsidR="00D7157D">
              <w:rPr>
                <w:color w:val="000000" w:themeColor="text1"/>
              </w:rPr>
              <w:t>.</w:t>
            </w:r>
            <w:r w:rsidRPr="00196507">
              <w:rPr>
                <w:color w:val="000000" w:themeColor="text1"/>
              </w:rPr>
              <w:t>7386</w:t>
            </w:r>
          </w:p>
        </w:tc>
        <w:tc>
          <w:tcPr>
            <w:tcW w:w="909" w:type="pct"/>
            <w:tcBorders>
              <w:top w:val="single" w:sz="4" w:space="0" w:color="auto"/>
              <w:bottom w:val="single" w:sz="4" w:space="0" w:color="auto"/>
            </w:tcBorders>
            <w:shd w:val="clear" w:color="auto" w:fill="auto"/>
            <w:vAlign w:val="bottom"/>
          </w:tcPr>
          <w:p w14:paraId="130C8F40"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0188</w:t>
            </w:r>
          </w:p>
        </w:tc>
        <w:tc>
          <w:tcPr>
            <w:tcW w:w="909" w:type="pct"/>
            <w:tcBorders>
              <w:top w:val="single" w:sz="4" w:space="0" w:color="auto"/>
              <w:bottom w:val="single" w:sz="4" w:space="0" w:color="auto"/>
            </w:tcBorders>
            <w:shd w:val="clear" w:color="auto" w:fill="auto"/>
            <w:vAlign w:val="bottom"/>
          </w:tcPr>
          <w:p w14:paraId="63E056C0"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3442</w:t>
            </w:r>
          </w:p>
        </w:tc>
        <w:tc>
          <w:tcPr>
            <w:tcW w:w="908" w:type="pct"/>
            <w:tcBorders>
              <w:top w:val="single" w:sz="4" w:space="0" w:color="auto"/>
              <w:bottom w:val="single" w:sz="4" w:space="0" w:color="auto"/>
              <w:right w:val="nil"/>
            </w:tcBorders>
            <w:shd w:val="clear" w:color="auto" w:fill="auto"/>
            <w:vAlign w:val="bottom"/>
          </w:tcPr>
          <w:p w14:paraId="306CEF0C"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9104</w:t>
            </w:r>
          </w:p>
        </w:tc>
      </w:tr>
      <w:tr w:rsidR="00196507" w:rsidRPr="00F9176A" w14:paraId="37045707" w14:textId="77777777" w:rsidTr="00E05772">
        <w:trPr>
          <w:cantSplit/>
        </w:trPr>
        <w:tc>
          <w:tcPr>
            <w:tcW w:w="1365" w:type="pct"/>
            <w:tcBorders>
              <w:top w:val="single" w:sz="4" w:space="0" w:color="auto"/>
              <w:bottom w:val="single" w:sz="4" w:space="0" w:color="auto"/>
            </w:tcBorders>
          </w:tcPr>
          <w:p w14:paraId="5FA663F5" w14:textId="77777777" w:rsidR="00196507" w:rsidRPr="00F9176A" w:rsidRDefault="00196507" w:rsidP="00196507">
            <w:pPr>
              <w:pStyle w:val="Tabletext"/>
            </w:pPr>
            <w:r w:rsidRPr="00F9176A">
              <w:t>31</w:t>
            </w:r>
          </w:p>
        </w:tc>
        <w:tc>
          <w:tcPr>
            <w:tcW w:w="909" w:type="pct"/>
            <w:tcBorders>
              <w:top w:val="single" w:sz="4" w:space="0" w:color="auto"/>
              <w:bottom w:val="single" w:sz="4" w:space="0" w:color="auto"/>
            </w:tcBorders>
            <w:shd w:val="clear" w:color="auto" w:fill="auto"/>
            <w:vAlign w:val="bottom"/>
          </w:tcPr>
          <w:p w14:paraId="0D5586CC" w14:textId="77777777" w:rsidR="00196507" w:rsidRPr="00196507" w:rsidRDefault="00196507" w:rsidP="00196507">
            <w:pPr>
              <w:pStyle w:val="Tabletext"/>
              <w:rPr>
                <w:color w:val="000000" w:themeColor="text1"/>
              </w:rPr>
            </w:pPr>
            <w:r w:rsidRPr="00196507">
              <w:rPr>
                <w:color w:val="000000" w:themeColor="text1"/>
              </w:rPr>
              <w:t>28</w:t>
            </w:r>
            <w:r w:rsidR="00D7157D">
              <w:rPr>
                <w:color w:val="000000" w:themeColor="text1"/>
              </w:rPr>
              <w:t>.</w:t>
            </w:r>
            <w:r w:rsidRPr="00196507">
              <w:rPr>
                <w:color w:val="000000" w:themeColor="text1"/>
              </w:rPr>
              <w:t>4121</w:t>
            </w:r>
          </w:p>
        </w:tc>
        <w:tc>
          <w:tcPr>
            <w:tcW w:w="909" w:type="pct"/>
            <w:tcBorders>
              <w:top w:val="single" w:sz="4" w:space="0" w:color="auto"/>
              <w:bottom w:val="single" w:sz="4" w:space="0" w:color="auto"/>
            </w:tcBorders>
            <w:shd w:val="clear" w:color="auto" w:fill="auto"/>
            <w:vAlign w:val="bottom"/>
          </w:tcPr>
          <w:p w14:paraId="2520FCF4"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0651</w:t>
            </w:r>
          </w:p>
        </w:tc>
        <w:tc>
          <w:tcPr>
            <w:tcW w:w="909" w:type="pct"/>
            <w:tcBorders>
              <w:top w:val="single" w:sz="4" w:space="0" w:color="auto"/>
              <w:bottom w:val="single" w:sz="4" w:space="0" w:color="auto"/>
            </w:tcBorders>
            <w:shd w:val="clear" w:color="auto" w:fill="auto"/>
            <w:vAlign w:val="bottom"/>
          </w:tcPr>
          <w:p w14:paraId="7D94E2FF" w14:textId="77777777" w:rsidR="00196507" w:rsidRPr="00196507" w:rsidRDefault="00196507" w:rsidP="00196507">
            <w:pPr>
              <w:pStyle w:val="Tabletext"/>
              <w:rPr>
                <w:color w:val="000000" w:themeColor="text1"/>
              </w:rPr>
            </w:pPr>
            <w:r w:rsidRPr="00196507">
              <w:rPr>
                <w:color w:val="000000" w:themeColor="text1"/>
              </w:rPr>
              <w:t>30</w:t>
            </w:r>
            <w:r w:rsidR="00D7157D">
              <w:rPr>
                <w:color w:val="000000" w:themeColor="text1"/>
              </w:rPr>
              <w:t>.</w:t>
            </w:r>
            <w:r w:rsidRPr="00196507">
              <w:rPr>
                <w:color w:val="000000" w:themeColor="text1"/>
              </w:rPr>
              <w:t>0315</w:t>
            </w:r>
          </w:p>
        </w:tc>
        <w:tc>
          <w:tcPr>
            <w:tcW w:w="908" w:type="pct"/>
            <w:tcBorders>
              <w:top w:val="single" w:sz="4" w:space="0" w:color="auto"/>
              <w:bottom w:val="single" w:sz="4" w:space="0" w:color="auto"/>
              <w:right w:val="nil"/>
            </w:tcBorders>
            <w:shd w:val="clear" w:color="auto" w:fill="auto"/>
            <w:vAlign w:val="bottom"/>
          </w:tcPr>
          <w:p w14:paraId="53D53FFB"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9300</w:t>
            </w:r>
          </w:p>
        </w:tc>
      </w:tr>
      <w:tr w:rsidR="00196507" w:rsidRPr="00F9176A" w14:paraId="6644ACA7" w14:textId="77777777" w:rsidTr="00E05772">
        <w:trPr>
          <w:cantSplit/>
        </w:trPr>
        <w:tc>
          <w:tcPr>
            <w:tcW w:w="1365" w:type="pct"/>
            <w:tcBorders>
              <w:top w:val="single" w:sz="4" w:space="0" w:color="auto"/>
              <w:bottom w:val="single" w:sz="4" w:space="0" w:color="auto"/>
            </w:tcBorders>
          </w:tcPr>
          <w:p w14:paraId="3C8B6F06" w14:textId="77777777" w:rsidR="00196507" w:rsidRPr="00F9176A" w:rsidRDefault="00196507" w:rsidP="00196507">
            <w:pPr>
              <w:pStyle w:val="Tabletext"/>
            </w:pPr>
            <w:r w:rsidRPr="00F9176A">
              <w:t>32</w:t>
            </w:r>
          </w:p>
        </w:tc>
        <w:tc>
          <w:tcPr>
            <w:tcW w:w="909" w:type="pct"/>
            <w:tcBorders>
              <w:top w:val="single" w:sz="4" w:space="0" w:color="auto"/>
              <w:bottom w:val="single" w:sz="4" w:space="0" w:color="auto"/>
            </w:tcBorders>
            <w:shd w:val="clear" w:color="auto" w:fill="auto"/>
            <w:vAlign w:val="bottom"/>
          </w:tcPr>
          <w:p w14:paraId="4C2F1DF5" w14:textId="77777777" w:rsidR="00196507" w:rsidRPr="00196507" w:rsidRDefault="00196507" w:rsidP="00196507">
            <w:pPr>
              <w:pStyle w:val="Tabletext"/>
              <w:rPr>
                <w:color w:val="000000" w:themeColor="text1"/>
              </w:rPr>
            </w:pPr>
            <w:r w:rsidRPr="00196507">
              <w:rPr>
                <w:color w:val="000000" w:themeColor="text1"/>
              </w:rPr>
              <w:t>28</w:t>
            </w:r>
            <w:r w:rsidR="00D7157D">
              <w:rPr>
                <w:color w:val="000000" w:themeColor="text1"/>
              </w:rPr>
              <w:t>.</w:t>
            </w:r>
            <w:r w:rsidRPr="00196507">
              <w:rPr>
                <w:color w:val="000000" w:themeColor="text1"/>
              </w:rPr>
              <w:t>0801</w:t>
            </w:r>
          </w:p>
        </w:tc>
        <w:tc>
          <w:tcPr>
            <w:tcW w:w="909" w:type="pct"/>
            <w:tcBorders>
              <w:top w:val="single" w:sz="4" w:space="0" w:color="auto"/>
              <w:bottom w:val="single" w:sz="4" w:space="0" w:color="auto"/>
            </w:tcBorders>
            <w:shd w:val="clear" w:color="auto" w:fill="auto"/>
            <w:vAlign w:val="bottom"/>
          </w:tcPr>
          <w:p w14:paraId="469D259B"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1113</w:t>
            </w:r>
          </w:p>
        </w:tc>
        <w:tc>
          <w:tcPr>
            <w:tcW w:w="909" w:type="pct"/>
            <w:tcBorders>
              <w:top w:val="single" w:sz="4" w:space="0" w:color="auto"/>
              <w:bottom w:val="single" w:sz="4" w:space="0" w:color="auto"/>
            </w:tcBorders>
            <w:shd w:val="clear" w:color="auto" w:fill="auto"/>
            <w:vAlign w:val="bottom"/>
          </w:tcPr>
          <w:p w14:paraId="15B890D7"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7131</w:t>
            </w:r>
          </w:p>
        </w:tc>
        <w:tc>
          <w:tcPr>
            <w:tcW w:w="908" w:type="pct"/>
            <w:tcBorders>
              <w:top w:val="single" w:sz="4" w:space="0" w:color="auto"/>
              <w:bottom w:val="single" w:sz="4" w:space="0" w:color="auto"/>
              <w:right w:val="nil"/>
            </w:tcBorders>
            <w:shd w:val="clear" w:color="auto" w:fill="auto"/>
            <w:vAlign w:val="bottom"/>
          </w:tcPr>
          <w:p w14:paraId="6499404D"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9494</w:t>
            </w:r>
          </w:p>
        </w:tc>
      </w:tr>
      <w:tr w:rsidR="00196507" w:rsidRPr="00F9176A" w14:paraId="75D353E0" w14:textId="77777777" w:rsidTr="00E05772">
        <w:trPr>
          <w:cantSplit/>
        </w:trPr>
        <w:tc>
          <w:tcPr>
            <w:tcW w:w="1365" w:type="pct"/>
            <w:tcBorders>
              <w:top w:val="single" w:sz="4" w:space="0" w:color="auto"/>
              <w:bottom w:val="single" w:sz="4" w:space="0" w:color="auto"/>
            </w:tcBorders>
          </w:tcPr>
          <w:p w14:paraId="73A064F9" w14:textId="77777777" w:rsidR="00196507" w:rsidRPr="00F9176A" w:rsidRDefault="00196507" w:rsidP="00196507">
            <w:pPr>
              <w:pStyle w:val="Tabletext"/>
            </w:pPr>
            <w:r w:rsidRPr="00F9176A">
              <w:t>33</w:t>
            </w:r>
          </w:p>
        </w:tc>
        <w:tc>
          <w:tcPr>
            <w:tcW w:w="909" w:type="pct"/>
            <w:tcBorders>
              <w:top w:val="single" w:sz="4" w:space="0" w:color="auto"/>
              <w:bottom w:val="single" w:sz="4" w:space="0" w:color="auto"/>
            </w:tcBorders>
            <w:shd w:val="clear" w:color="auto" w:fill="auto"/>
            <w:vAlign w:val="bottom"/>
          </w:tcPr>
          <w:p w14:paraId="6B4E8A48" w14:textId="77777777" w:rsidR="00196507" w:rsidRPr="00196507" w:rsidRDefault="00196507" w:rsidP="00196507">
            <w:pPr>
              <w:pStyle w:val="Tabletext"/>
              <w:rPr>
                <w:color w:val="000000" w:themeColor="text1"/>
              </w:rPr>
            </w:pPr>
            <w:r w:rsidRPr="00196507">
              <w:rPr>
                <w:color w:val="000000" w:themeColor="text1"/>
              </w:rPr>
              <w:t>27</w:t>
            </w:r>
            <w:r w:rsidR="00D7157D">
              <w:rPr>
                <w:color w:val="000000" w:themeColor="text1"/>
              </w:rPr>
              <w:t>.</w:t>
            </w:r>
            <w:r w:rsidRPr="00196507">
              <w:rPr>
                <w:color w:val="000000" w:themeColor="text1"/>
              </w:rPr>
              <w:t>7425</w:t>
            </w:r>
          </w:p>
        </w:tc>
        <w:tc>
          <w:tcPr>
            <w:tcW w:w="909" w:type="pct"/>
            <w:tcBorders>
              <w:top w:val="single" w:sz="4" w:space="0" w:color="auto"/>
              <w:bottom w:val="single" w:sz="4" w:space="0" w:color="auto"/>
            </w:tcBorders>
            <w:shd w:val="clear" w:color="auto" w:fill="auto"/>
            <w:vAlign w:val="bottom"/>
          </w:tcPr>
          <w:p w14:paraId="3F1BE6AA"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1576</w:t>
            </w:r>
          </w:p>
        </w:tc>
        <w:tc>
          <w:tcPr>
            <w:tcW w:w="909" w:type="pct"/>
            <w:tcBorders>
              <w:top w:val="single" w:sz="4" w:space="0" w:color="auto"/>
              <w:bottom w:val="single" w:sz="4" w:space="0" w:color="auto"/>
            </w:tcBorders>
            <w:shd w:val="clear" w:color="auto" w:fill="auto"/>
            <w:vAlign w:val="bottom"/>
          </w:tcPr>
          <w:p w14:paraId="2C6CE100"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3888</w:t>
            </w:r>
          </w:p>
        </w:tc>
        <w:tc>
          <w:tcPr>
            <w:tcW w:w="908" w:type="pct"/>
            <w:tcBorders>
              <w:top w:val="single" w:sz="4" w:space="0" w:color="auto"/>
              <w:bottom w:val="single" w:sz="4" w:space="0" w:color="auto"/>
              <w:right w:val="nil"/>
            </w:tcBorders>
            <w:shd w:val="clear" w:color="auto" w:fill="auto"/>
            <w:vAlign w:val="bottom"/>
          </w:tcPr>
          <w:p w14:paraId="68007D49"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9688</w:t>
            </w:r>
          </w:p>
        </w:tc>
      </w:tr>
      <w:tr w:rsidR="00196507" w:rsidRPr="00F9176A" w14:paraId="6F278F43" w14:textId="77777777" w:rsidTr="00E05772">
        <w:trPr>
          <w:cantSplit/>
        </w:trPr>
        <w:tc>
          <w:tcPr>
            <w:tcW w:w="1365" w:type="pct"/>
            <w:tcBorders>
              <w:top w:val="single" w:sz="4" w:space="0" w:color="auto"/>
              <w:bottom w:val="single" w:sz="4" w:space="0" w:color="auto"/>
            </w:tcBorders>
          </w:tcPr>
          <w:p w14:paraId="4745A9F7" w14:textId="77777777" w:rsidR="00196507" w:rsidRPr="00F9176A" w:rsidRDefault="00196507" w:rsidP="00196507">
            <w:pPr>
              <w:pStyle w:val="Tabletext"/>
            </w:pPr>
            <w:r w:rsidRPr="00F9176A">
              <w:t>34</w:t>
            </w:r>
          </w:p>
        </w:tc>
        <w:tc>
          <w:tcPr>
            <w:tcW w:w="909" w:type="pct"/>
            <w:tcBorders>
              <w:top w:val="single" w:sz="4" w:space="0" w:color="auto"/>
              <w:bottom w:val="single" w:sz="4" w:space="0" w:color="auto"/>
            </w:tcBorders>
            <w:shd w:val="clear" w:color="auto" w:fill="auto"/>
            <w:vAlign w:val="bottom"/>
          </w:tcPr>
          <w:p w14:paraId="569650A8" w14:textId="77777777" w:rsidR="00196507" w:rsidRPr="00196507" w:rsidRDefault="00196507" w:rsidP="00196507">
            <w:pPr>
              <w:pStyle w:val="Tabletext"/>
              <w:rPr>
                <w:color w:val="000000" w:themeColor="text1"/>
              </w:rPr>
            </w:pPr>
            <w:r w:rsidRPr="00196507">
              <w:rPr>
                <w:color w:val="000000" w:themeColor="text1"/>
              </w:rPr>
              <w:t>27</w:t>
            </w:r>
            <w:r w:rsidR="00D7157D">
              <w:rPr>
                <w:color w:val="000000" w:themeColor="text1"/>
              </w:rPr>
              <w:t>.</w:t>
            </w:r>
            <w:r w:rsidRPr="00196507">
              <w:rPr>
                <w:color w:val="000000" w:themeColor="text1"/>
              </w:rPr>
              <w:t>3989</w:t>
            </w:r>
          </w:p>
        </w:tc>
        <w:tc>
          <w:tcPr>
            <w:tcW w:w="909" w:type="pct"/>
            <w:tcBorders>
              <w:top w:val="single" w:sz="4" w:space="0" w:color="auto"/>
              <w:bottom w:val="single" w:sz="4" w:space="0" w:color="auto"/>
            </w:tcBorders>
            <w:shd w:val="clear" w:color="auto" w:fill="auto"/>
            <w:vAlign w:val="bottom"/>
          </w:tcPr>
          <w:p w14:paraId="5FA11465"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2039</w:t>
            </w:r>
          </w:p>
        </w:tc>
        <w:tc>
          <w:tcPr>
            <w:tcW w:w="909" w:type="pct"/>
            <w:tcBorders>
              <w:top w:val="single" w:sz="4" w:space="0" w:color="auto"/>
              <w:bottom w:val="single" w:sz="4" w:space="0" w:color="auto"/>
            </w:tcBorders>
            <w:shd w:val="clear" w:color="auto" w:fill="auto"/>
            <w:vAlign w:val="bottom"/>
          </w:tcPr>
          <w:p w14:paraId="41985EF4" w14:textId="77777777" w:rsidR="00196507" w:rsidRPr="00196507" w:rsidRDefault="00196507" w:rsidP="00196507">
            <w:pPr>
              <w:pStyle w:val="Tabletext"/>
              <w:rPr>
                <w:color w:val="000000" w:themeColor="text1"/>
              </w:rPr>
            </w:pPr>
            <w:r w:rsidRPr="00196507">
              <w:rPr>
                <w:color w:val="000000" w:themeColor="text1"/>
              </w:rPr>
              <w:t>29</w:t>
            </w:r>
            <w:r w:rsidR="00D7157D">
              <w:rPr>
                <w:color w:val="000000" w:themeColor="text1"/>
              </w:rPr>
              <w:t>.</w:t>
            </w:r>
            <w:r w:rsidRPr="00196507">
              <w:rPr>
                <w:color w:val="000000" w:themeColor="text1"/>
              </w:rPr>
              <w:t>0586</w:t>
            </w:r>
          </w:p>
        </w:tc>
        <w:tc>
          <w:tcPr>
            <w:tcW w:w="908" w:type="pct"/>
            <w:tcBorders>
              <w:top w:val="single" w:sz="4" w:space="0" w:color="auto"/>
              <w:bottom w:val="single" w:sz="4" w:space="0" w:color="auto"/>
              <w:right w:val="nil"/>
            </w:tcBorders>
            <w:shd w:val="clear" w:color="auto" w:fill="auto"/>
            <w:vAlign w:val="bottom"/>
          </w:tcPr>
          <w:p w14:paraId="0D7F7E93"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9881</w:t>
            </w:r>
          </w:p>
        </w:tc>
      </w:tr>
      <w:tr w:rsidR="00196507" w:rsidRPr="00F9176A" w14:paraId="3D1C3A9D" w14:textId="77777777" w:rsidTr="00E05772">
        <w:trPr>
          <w:cantSplit/>
        </w:trPr>
        <w:tc>
          <w:tcPr>
            <w:tcW w:w="1365" w:type="pct"/>
            <w:tcBorders>
              <w:top w:val="single" w:sz="4" w:space="0" w:color="auto"/>
              <w:bottom w:val="single" w:sz="4" w:space="0" w:color="auto"/>
            </w:tcBorders>
          </w:tcPr>
          <w:p w14:paraId="5BAFF094" w14:textId="77777777" w:rsidR="00196507" w:rsidRPr="00F9176A" w:rsidRDefault="00196507" w:rsidP="00196507">
            <w:pPr>
              <w:pStyle w:val="Tabletext"/>
            </w:pPr>
            <w:r w:rsidRPr="00F9176A">
              <w:t>35</w:t>
            </w:r>
          </w:p>
        </w:tc>
        <w:tc>
          <w:tcPr>
            <w:tcW w:w="909" w:type="pct"/>
            <w:tcBorders>
              <w:top w:val="single" w:sz="4" w:space="0" w:color="auto"/>
              <w:bottom w:val="single" w:sz="4" w:space="0" w:color="auto"/>
            </w:tcBorders>
            <w:shd w:val="clear" w:color="auto" w:fill="auto"/>
            <w:vAlign w:val="bottom"/>
          </w:tcPr>
          <w:p w14:paraId="07AD45B2" w14:textId="77777777" w:rsidR="00196507" w:rsidRPr="00196507" w:rsidRDefault="00196507" w:rsidP="00196507">
            <w:pPr>
              <w:pStyle w:val="Tabletext"/>
              <w:rPr>
                <w:color w:val="000000" w:themeColor="text1"/>
              </w:rPr>
            </w:pPr>
            <w:r w:rsidRPr="00196507">
              <w:rPr>
                <w:color w:val="000000" w:themeColor="text1"/>
              </w:rPr>
              <w:t>27</w:t>
            </w:r>
            <w:r w:rsidR="00D7157D">
              <w:rPr>
                <w:color w:val="000000" w:themeColor="text1"/>
              </w:rPr>
              <w:t>.</w:t>
            </w:r>
            <w:r w:rsidRPr="00196507">
              <w:rPr>
                <w:color w:val="000000" w:themeColor="text1"/>
              </w:rPr>
              <w:t>0496</w:t>
            </w:r>
          </w:p>
        </w:tc>
        <w:tc>
          <w:tcPr>
            <w:tcW w:w="909" w:type="pct"/>
            <w:tcBorders>
              <w:top w:val="single" w:sz="4" w:space="0" w:color="auto"/>
              <w:bottom w:val="single" w:sz="4" w:space="0" w:color="auto"/>
            </w:tcBorders>
            <w:shd w:val="clear" w:color="auto" w:fill="auto"/>
            <w:vAlign w:val="bottom"/>
          </w:tcPr>
          <w:p w14:paraId="1D576EAB"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2502</w:t>
            </w:r>
          </w:p>
        </w:tc>
        <w:tc>
          <w:tcPr>
            <w:tcW w:w="909" w:type="pct"/>
            <w:tcBorders>
              <w:top w:val="single" w:sz="4" w:space="0" w:color="auto"/>
              <w:bottom w:val="single" w:sz="4" w:space="0" w:color="auto"/>
            </w:tcBorders>
            <w:shd w:val="clear" w:color="auto" w:fill="auto"/>
            <w:vAlign w:val="bottom"/>
          </w:tcPr>
          <w:p w14:paraId="3E3D6805" w14:textId="77777777" w:rsidR="00196507" w:rsidRPr="00196507" w:rsidRDefault="00196507" w:rsidP="00196507">
            <w:pPr>
              <w:pStyle w:val="Tabletext"/>
              <w:rPr>
                <w:color w:val="000000" w:themeColor="text1"/>
              </w:rPr>
            </w:pPr>
            <w:r w:rsidRPr="00196507">
              <w:rPr>
                <w:color w:val="000000" w:themeColor="text1"/>
              </w:rPr>
              <w:t>28</w:t>
            </w:r>
            <w:r w:rsidR="00D7157D">
              <w:rPr>
                <w:color w:val="000000" w:themeColor="text1"/>
              </w:rPr>
              <w:t>.</w:t>
            </w:r>
            <w:r w:rsidRPr="00196507">
              <w:rPr>
                <w:color w:val="000000" w:themeColor="text1"/>
              </w:rPr>
              <w:t>7224</w:t>
            </w:r>
          </w:p>
        </w:tc>
        <w:tc>
          <w:tcPr>
            <w:tcW w:w="908" w:type="pct"/>
            <w:tcBorders>
              <w:top w:val="single" w:sz="4" w:space="0" w:color="auto"/>
              <w:bottom w:val="single" w:sz="4" w:space="0" w:color="auto"/>
              <w:right w:val="nil"/>
            </w:tcBorders>
            <w:shd w:val="clear" w:color="auto" w:fill="auto"/>
            <w:vAlign w:val="bottom"/>
          </w:tcPr>
          <w:p w14:paraId="54CC4FBF"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0072</w:t>
            </w:r>
          </w:p>
        </w:tc>
      </w:tr>
      <w:tr w:rsidR="00196507" w:rsidRPr="00F9176A" w14:paraId="7AC751A8" w14:textId="77777777" w:rsidTr="00E05772">
        <w:trPr>
          <w:cantSplit/>
        </w:trPr>
        <w:tc>
          <w:tcPr>
            <w:tcW w:w="1365" w:type="pct"/>
            <w:tcBorders>
              <w:top w:val="single" w:sz="4" w:space="0" w:color="auto"/>
              <w:bottom w:val="single" w:sz="4" w:space="0" w:color="auto"/>
            </w:tcBorders>
          </w:tcPr>
          <w:p w14:paraId="7F0165E8" w14:textId="77777777" w:rsidR="00196507" w:rsidRPr="00F9176A" w:rsidRDefault="00196507" w:rsidP="00196507">
            <w:pPr>
              <w:pStyle w:val="Tabletext"/>
            </w:pPr>
            <w:r w:rsidRPr="00F9176A">
              <w:t>36</w:t>
            </w:r>
          </w:p>
        </w:tc>
        <w:tc>
          <w:tcPr>
            <w:tcW w:w="909" w:type="pct"/>
            <w:tcBorders>
              <w:top w:val="single" w:sz="4" w:space="0" w:color="auto"/>
              <w:bottom w:val="single" w:sz="4" w:space="0" w:color="auto"/>
            </w:tcBorders>
            <w:shd w:val="clear" w:color="auto" w:fill="auto"/>
            <w:vAlign w:val="bottom"/>
          </w:tcPr>
          <w:p w14:paraId="73AF836B" w14:textId="77777777" w:rsidR="00196507" w:rsidRPr="00196507" w:rsidRDefault="00196507" w:rsidP="00196507">
            <w:pPr>
              <w:pStyle w:val="Tabletext"/>
              <w:rPr>
                <w:color w:val="000000" w:themeColor="text1"/>
              </w:rPr>
            </w:pPr>
            <w:r w:rsidRPr="00196507">
              <w:rPr>
                <w:color w:val="000000" w:themeColor="text1"/>
              </w:rPr>
              <w:t>26</w:t>
            </w:r>
            <w:r w:rsidR="00D7157D">
              <w:rPr>
                <w:color w:val="000000" w:themeColor="text1"/>
              </w:rPr>
              <w:t>.</w:t>
            </w:r>
            <w:r w:rsidRPr="00196507">
              <w:rPr>
                <w:color w:val="000000" w:themeColor="text1"/>
              </w:rPr>
              <w:t>6943</w:t>
            </w:r>
          </w:p>
        </w:tc>
        <w:tc>
          <w:tcPr>
            <w:tcW w:w="909" w:type="pct"/>
            <w:tcBorders>
              <w:top w:val="single" w:sz="4" w:space="0" w:color="auto"/>
              <w:bottom w:val="single" w:sz="4" w:space="0" w:color="auto"/>
            </w:tcBorders>
            <w:shd w:val="clear" w:color="auto" w:fill="auto"/>
            <w:vAlign w:val="bottom"/>
          </w:tcPr>
          <w:p w14:paraId="2F518FBE"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2964</w:t>
            </w:r>
          </w:p>
        </w:tc>
        <w:tc>
          <w:tcPr>
            <w:tcW w:w="909" w:type="pct"/>
            <w:tcBorders>
              <w:top w:val="single" w:sz="4" w:space="0" w:color="auto"/>
              <w:bottom w:val="single" w:sz="4" w:space="0" w:color="auto"/>
            </w:tcBorders>
            <w:shd w:val="clear" w:color="auto" w:fill="auto"/>
            <w:vAlign w:val="bottom"/>
          </w:tcPr>
          <w:p w14:paraId="670426D7" w14:textId="77777777" w:rsidR="00196507" w:rsidRPr="00196507" w:rsidRDefault="00196507" w:rsidP="00196507">
            <w:pPr>
              <w:pStyle w:val="Tabletext"/>
              <w:rPr>
                <w:color w:val="000000" w:themeColor="text1"/>
              </w:rPr>
            </w:pPr>
            <w:r w:rsidRPr="00196507">
              <w:rPr>
                <w:color w:val="000000" w:themeColor="text1"/>
              </w:rPr>
              <w:t>28</w:t>
            </w:r>
            <w:r w:rsidR="00D7157D">
              <w:rPr>
                <w:color w:val="000000" w:themeColor="text1"/>
              </w:rPr>
              <w:t>.</w:t>
            </w:r>
            <w:r w:rsidRPr="00196507">
              <w:rPr>
                <w:color w:val="000000" w:themeColor="text1"/>
              </w:rPr>
              <w:t>3799</w:t>
            </w:r>
          </w:p>
        </w:tc>
        <w:tc>
          <w:tcPr>
            <w:tcW w:w="908" w:type="pct"/>
            <w:tcBorders>
              <w:top w:val="single" w:sz="4" w:space="0" w:color="auto"/>
              <w:bottom w:val="single" w:sz="4" w:space="0" w:color="auto"/>
              <w:right w:val="nil"/>
            </w:tcBorders>
            <w:shd w:val="clear" w:color="auto" w:fill="auto"/>
            <w:vAlign w:val="bottom"/>
          </w:tcPr>
          <w:p w14:paraId="2552F680"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0263</w:t>
            </w:r>
          </w:p>
        </w:tc>
      </w:tr>
      <w:tr w:rsidR="00196507" w:rsidRPr="00F9176A" w14:paraId="06883ADA" w14:textId="77777777" w:rsidTr="00E05772">
        <w:trPr>
          <w:cantSplit/>
        </w:trPr>
        <w:tc>
          <w:tcPr>
            <w:tcW w:w="1365" w:type="pct"/>
            <w:tcBorders>
              <w:top w:val="single" w:sz="4" w:space="0" w:color="auto"/>
              <w:bottom w:val="single" w:sz="4" w:space="0" w:color="auto"/>
            </w:tcBorders>
          </w:tcPr>
          <w:p w14:paraId="4B948CF9" w14:textId="77777777" w:rsidR="00196507" w:rsidRPr="00F9176A" w:rsidRDefault="00196507" w:rsidP="00196507">
            <w:pPr>
              <w:pStyle w:val="Tabletext"/>
            </w:pPr>
            <w:r w:rsidRPr="00F9176A">
              <w:t>37</w:t>
            </w:r>
          </w:p>
        </w:tc>
        <w:tc>
          <w:tcPr>
            <w:tcW w:w="909" w:type="pct"/>
            <w:tcBorders>
              <w:top w:val="single" w:sz="4" w:space="0" w:color="auto"/>
              <w:bottom w:val="single" w:sz="4" w:space="0" w:color="auto"/>
            </w:tcBorders>
            <w:shd w:val="clear" w:color="auto" w:fill="auto"/>
            <w:vAlign w:val="bottom"/>
          </w:tcPr>
          <w:p w14:paraId="1CF0F883" w14:textId="77777777" w:rsidR="00196507" w:rsidRPr="00196507" w:rsidRDefault="00196507" w:rsidP="00196507">
            <w:pPr>
              <w:pStyle w:val="Tabletext"/>
              <w:rPr>
                <w:color w:val="000000" w:themeColor="text1"/>
              </w:rPr>
            </w:pPr>
            <w:r w:rsidRPr="00196507">
              <w:rPr>
                <w:color w:val="000000" w:themeColor="text1"/>
              </w:rPr>
              <w:t>26</w:t>
            </w:r>
            <w:r w:rsidR="00D7157D">
              <w:rPr>
                <w:color w:val="000000" w:themeColor="text1"/>
              </w:rPr>
              <w:t>.</w:t>
            </w:r>
            <w:r w:rsidRPr="00196507">
              <w:rPr>
                <w:color w:val="000000" w:themeColor="text1"/>
              </w:rPr>
              <w:t>3330</w:t>
            </w:r>
          </w:p>
        </w:tc>
        <w:tc>
          <w:tcPr>
            <w:tcW w:w="909" w:type="pct"/>
            <w:tcBorders>
              <w:top w:val="single" w:sz="4" w:space="0" w:color="auto"/>
              <w:bottom w:val="single" w:sz="4" w:space="0" w:color="auto"/>
            </w:tcBorders>
            <w:shd w:val="clear" w:color="auto" w:fill="auto"/>
            <w:vAlign w:val="bottom"/>
          </w:tcPr>
          <w:p w14:paraId="637A7B13"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3426</w:t>
            </w:r>
          </w:p>
        </w:tc>
        <w:tc>
          <w:tcPr>
            <w:tcW w:w="909" w:type="pct"/>
            <w:tcBorders>
              <w:top w:val="single" w:sz="4" w:space="0" w:color="auto"/>
              <w:bottom w:val="single" w:sz="4" w:space="0" w:color="auto"/>
            </w:tcBorders>
            <w:shd w:val="clear" w:color="auto" w:fill="auto"/>
            <w:vAlign w:val="bottom"/>
          </w:tcPr>
          <w:p w14:paraId="6CD07EA9" w14:textId="77777777" w:rsidR="00196507" w:rsidRPr="00196507" w:rsidRDefault="00196507" w:rsidP="00196507">
            <w:pPr>
              <w:pStyle w:val="Tabletext"/>
              <w:rPr>
                <w:color w:val="000000" w:themeColor="text1"/>
              </w:rPr>
            </w:pPr>
            <w:r w:rsidRPr="00196507">
              <w:rPr>
                <w:color w:val="000000" w:themeColor="text1"/>
              </w:rPr>
              <w:t>28</w:t>
            </w:r>
            <w:r w:rsidR="00D7157D">
              <w:rPr>
                <w:color w:val="000000" w:themeColor="text1"/>
              </w:rPr>
              <w:t>.</w:t>
            </w:r>
            <w:r w:rsidRPr="00196507">
              <w:rPr>
                <w:color w:val="000000" w:themeColor="text1"/>
              </w:rPr>
              <w:t>0312</w:t>
            </w:r>
          </w:p>
        </w:tc>
        <w:tc>
          <w:tcPr>
            <w:tcW w:w="908" w:type="pct"/>
            <w:tcBorders>
              <w:top w:val="single" w:sz="4" w:space="0" w:color="auto"/>
              <w:bottom w:val="single" w:sz="4" w:space="0" w:color="auto"/>
              <w:right w:val="nil"/>
            </w:tcBorders>
            <w:shd w:val="clear" w:color="auto" w:fill="auto"/>
            <w:vAlign w:val="bottom"/>
          </w:tcPr>
          <w:p w14:paraId="159815C7"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0452</w:t>
            </w:r>
          </w:p>
        </w:tc>
      </w:tr>
      <w:tr w:rsidR="00196507" w:rsidRPr="00F9176A" w14:paraId="68B3EABF" w14:textId="77777777" w:rsidTr="00E05772">
        <w:trPr>
          <w:cantSplit/>
        </w:trPr>
        <w:tc>
          <w:tcPr>
            <w:tcW w:w="1365" w:type="pct"/>
            <w:tcBorders>
              <w:top w:val="single" w:sz="4" w:space="0" w:color="auto"/>
              <w:bottom w:val="single" w:sz="4" w:space="0" w:color="auto"/>
            </w:tcBorders>
          </w:tcPr>
          <w:p w14:paraId="33468294" w14:textId="77777777" w:rsidR="00196507" w:rsidRPr="00F9176A" w:rsidRDefault="00196507" w:rsidP="00196507">
            <w:pPr>
              <w:pStyle w:val="Tabletext"/>
            </w:pPr>
            <w:r w:rsidRPr="00F9176A">
              <w:t>38</w:t>
            </w:r>
          </w:p>
        </w:tc>
        <w:tc>
          <w:tcPr>
            <w:tcW w:w="909" w:type="pct"/>
            <w:tcBorders>
              <w:top w:val="single" w:sz="4" w:space="0" w:color="auto"/>
              <w:bottom w:val="single" w:sz="4" w:space="0" w:color="auto"/>
            </w:tcBorders>
            <w:shd w:val="clear" w:color="auto" w:fill="auto"/>
            <w:vAlign w:val="bottom"/>
          </w:tcPr>
          <w:p w14:paraId="330C4940" w14:textId="77777777" w:rsidR="00196507" w:rsidRPr="00196507" w:rsidRDefault="00196507" w:rsidP="00196507">
            <w:pPr>
              <w:pStyle w:val="Tabletext"/>
              <w:rPr>
                <w:color w:val="000000" w:themeColor="text1"/>
              </w:rPr>
            </w:pPr>
            <w:r w:rsidRPr="00196507">
              <w:rPr>
                <w:color w:val="000000" w:themeColor="text1"/>
              </w:rPr>
              <w:t>25</w:t>
            </w:r>
            <w:r w:rsidR="00D7157D">
              <w:rPr>
                <w:color w:val="000000" w:themeColor="text1"/>
              </w:rPr>
              <w:t>.</w:t>
            </w:r>
            <w:r w:rsidRPr="00196507">
              <w:rPr>
                <w:color w:val="000000" w:themeColor="text1"/>
              </w:rPr>
              <w:t>9656</w:t>
            </w:r>
          </w:p>
        </w:tc>
        <w:tc>
          <w:tcPr>
            <w:tcW w:w="909" w:type="pct"/>
            <w:tcBorders>
              <w:top w:val="single" w:sz="4" w:space="0" w:color="auto"/>
              <w:bottom w:val="single" w:sz="4" w:space="0" w:color="auto"/>
            </w:tcBorders>
            <w:shd w:val="clear" w:color="auto" w:fill="auto"/>
            <w:vAlign w:val="bottom"/>
          </w:tcPr>
          <w:p w14:paraId="7962DBC9"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3886</w:t>
            </w:r>
          </w:p>
        </w:tc>
        <w:tc>
          <w:tcPr>
            <w:tcW w:w="909" w:type="pct"/>
            <w:tcBorders>
              <w:top w:val="single" w:sz="4" w:space="0" w:color="auto"/>
              <w:bottom w:val="single" w:sz="4" w:space="0" w:color="auto"/>
            </w:tcBorders>
            <w:shd w:val="clear" w:color="auto" w:fill="auto"/>
            <w:vAlign w:val="bottom"/>
          </w:tcPr>
          <w:p w14:paraId="6096AF6B" w14:textId="77777777" w:rsidR="00196507" w:rsidRPr="00196507" w:rsidRDefault="00196507" w:rsidP="00196507">
            <w:pPr>
              <w:pStyle w:val="Tabletext"/>
              <w:rPr>
                <w:color w:val="000000" w:themeColor="text1"/>
              </w:rPr>
            </w:pPr>
            <w:r w:rsidRPr="00196507">
              <w:rPr>
                <w:color w:val="000000" w:themeColor="text1"/>
              </w:rPr>
              <w:t>27</w:t>
            </w:r>
            <w:r w:rsidR="00D7157D">
              <w:rPr>
                <w:color w:val="000000" w:themeColor="text1"/>
              </w:rPr>
              <w:t>.</w:t>
            </w:r>
            <w:r w:rsidRPr="00196507">
              <w:rPr>
                <w:color w:val="000000" w:themeColor="text1"/>
              </w:rPr>
              <w:t>6762</w:t>
            </w:r>
          </w:p>
        </w:tc>
        <w:tc>
          <w:tcPr>
            <w:tcW w:w="908" w:type="pct"/>
            <w:tcBorders>
              <w:top w:val="single" w:sz="4" w:space="0" w:color="auto"/>
              <w:bottom w:val="single" w:sz="4" w:space="0" w:color="auto"/>
              <w:right w:val="nil"/>
            </w:tcBorders>
            <w:shd w:val="clear" w:color="auto" w:fill="auto"/>
            <w:vAlign w:val="bottom"/>
          </w:tcPr>
          <w:p w14:paraId="0FD49063"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0639</w:t>
            </w:r>
          </w:p>
        </w:tc>
      </w:tr>
      <w:tr w:rsidR="00196507" w:rsidRPr="00F9176A" w14:paraId="197D780A" w14:textId="77777777" w:rsidTr="00E05772">
        <w:trPr>
          <w:cantSplit/>
        </w:trPr>
        <w:tc>
          <w:tcPr>
            <w:tcW w:w="1365" w:type="pct"/>
            <w:tcBorders>
              <w:top w:val="single" w:sz="4" w:space="0" w:color="auto"/>
              <w:bottom w:val="single" w:sz="4" w:space="0" w:color="auto"/>
            </w:tcBorders>
          </w:tcPr>
          <w:p w14:paraId="594197D9" w14:textId="77777777" w:rsidR="00196507" w:rsidRPr="00F9176A" w:rsidRDefault="00196507" w:rsidP="00196507">
            <w:pPr>
              <w:pStyle w:val="Tabletext"/>
            </w:pPr>
            <w:r w:rsidRPr="00F9176A">
              <w:t>39</w:t>
            </w:r>
          </w:p>
        </w:tc>
        <w:tc>
          <w:tcPr>
            <w:tcW w:w="909" w:type="pct"/>
            <w:tcBorders>
              <w:top w:val="single" w:sz="4" w:space="0" w:color="auto"/>
              <w:bottom w:val="single" w:sz="4" w:space="0" w:color="auto"/>
            </w:tcBorders>
            <w:shd w:val="clear" w:color="auto" w:fill="auto"/>
            <w:vAlign w:val="bottom"/>
          </w:tcPr>
          <w:p w14:paraId="446B4057" w14:textId="77777777" w:rsidR="00196507" w:rsidRPr="00196507" w:rsidRDefault="00196507" w:rsidP="00196507">
            <w:pPr>
              <w:pStyle w:val="Tabletext"/>
              <w:rPr>
                <w:color w:val="000000" w:themeColor="text1"/>
              </w:rPr>
            </w:pPr>
            <w:r w:rsidRPr="00196507">
              <w:rPr>
                <w:color w:val="000000" w:themeColor="text1"/>
              </w:rPr>
              <w:t>25</w:t>
            </w:r>
            <w:r w:rsidR="00D7157D">
              <w:rPr>
                <w:color w:val="000000" w:themeColor="text1"/>
              </w:rPr>
              <w:t>.</w:t>
            </w:r>
            <w:r w:rsidRPr="00196507">
              <w:rPr>
                <w:color w:val="000000" w:themeColor="text1"/>
              </w:rPr>
              <w:t>5920</w:t>
            </w:r>
          </w:p>
        </w:tc>
        <w:tc>
          <w:tcPr>
            <w:tcW w:w="909" w:type="pct"/>
            <w:tcBorders>
              <w:top w:val="single" w:sz="4" w:space="0" w:color="auto"/>
              <w:bottom w:val="single" w:sz="4" w:space="0" w:color="auto"/>
            </w:tcBorders>
            <w:shd w:val="clear" w:color="auto" w:fill="auto"/>
            <w:vAlign w:val="bottom"/>
          </w:tcPr>
          <w:p w14:paraId="619021A5"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4345</w:t>
            </w:r>
          </w:p>
        </w:tc>
        <w:tc>
          <w:tcPr>
            <w:tcW w:w="909" w:type="pct"/>
            <w:tcBorders>
              <w:top w:val="single" w:sz="4" w:space="0" w:color="auto"/>
              <w:bottom w:val="single" w:sz="4" w:space="0" w:color="auto"/>
            </w:tcBorders>
            <w:shd w:val="clear" w:color="auto" w:fill="auto"/>
            <w:vAlign w:val="bottom"/>
          </w:tcPr>
          <w:p w14:paraId="7167A130" w14:textId="77777777" w:rsidR="00196507" w:rsidRPr="00196507" w:rsidRDefault="00196507" w:rsidP="00196507">
            <w:pPr>
              <w:pStyle w:val="Tabletext"/>
              <w:rPr>
                <w:color w:val="000000" w:themeColor="text1"/>
              </w:rPr>
            </w:pPr>
            <w:r w:rsidRPr="00196507">
              <w:rPr>
                <w:color w:val="000000" w:themeColor="text1"/>
              </w:rPr>
              <w:t>27</w:t>
            </w:r>
            <w:r w:rsidR="00D7157D">
              <w:rPr>
                <w:color w:val="000000" w:themeColor="text1"/>
              </w:rPr>
              <w:t>.</w:t>
            </w:r>
            <w:r w:rsidRPr="00196507">
              <w:rPr>
                <w:color w:val="000000" w:themeColor="text1"/>
              </w:rPr>
              <w:t>3149</w:t>
            </w:r>
          </w:p>
        </w:tc>
        <w:tc>
          <w:tcPr>
            <w:tcW w:w="908" w:type="pct"/>
            <w:tcBorders>
              <w:top w:val="single" w:sz="4" w:space="0" w:color="auto"/>
              <w:bottom w:val="single" w:sz="4" w:space="0" w:color="auto"/>
              <w:right w:val="nil"/>
            </w:tcBorders>
            <w:shd w:val="clear" w:color="auto" w:fill="auto"/>
            <w:vAlign w:val="bottom"/>
          </w:tcPr>
          <w:p w14:paraId="2F9F9E02"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0824</w:t>
            </w:r>
          </w:p>
        </w:tc>
      </w:tr>
      <w:tr w:rsidR="00196507" w:rsidRPr="00F9176A" w14:paraId="05B7384B" w14:textId="77777777" w:rsidTr="00E05772">
        <w:trPr>
          <w:cantSplit/>
        </w:trPr>
        <w:tc>
          <w:tcPr>
            <w:tcW w:w="1365" w:type="pct"/>
            <w:tcBorders>
              <w:top w:val="single" w:sz="4" w:space="0" w:color="auto"/>
              <w:bottom w:val="single" w:sz="4" w:space="0" w:color="auto"/>
            </w:tcBorders>
          </w:tcPr>
          <w:p w14:paraId="7D72CBC8" w14:textId="77777777" w:rsidR="00196507" w:rsidRPr="00F9176A" w:rsidRDefault="00196507" w:rsidP="00196507">
            <w:pPr>
              <w:pStyle w:val="Tabletext"/>
            </w:pPr>
            <w:r w:rsidRPr="00F9176A">
              <w:t>40</w:t>
            </w:r>
          </w:p>
        </w:tc>
        <w:tc>
          <w:tcPr>
            <w:tcW w:w="909" w:type="pct"/>
            <w:tcBorders>
              <w:top w:val="single" w:sz="4" w:space="0" w:color="auto"/>
              <w:bottom w:val="single" w:sz="4" w:space="0" w:color="auto"/>
            </w:tcBorders>
            <w:shd w:val="clear" w:color="auto" w:fill="auto"/>
            <w:vAlign w:val="bottom"/>
          </w:tcPr>
          <w:p w14:paraId="3800A1AE" w14:textId="77777777" w:rsidR="00196507" w:rsidRPr="00196507" w:rsidRDefault="00196507" w:rsidP="00196507">
            <w:pPr>
              <w:pStyle w:val="Tabletext"/>
              <w:rPr>
                <w:color w:val="000000" w:themeColor="text1"/>
              </w:rPr>
            </w:pPr>
            <w:r w:rsidRPr="00196507">
              <w:rPr>
                <w:color w:val="000000" w:themeColor="text1"/>
              </w:rPr>
              <w:t>25</w:t>
            </w:r>
            <w:r w:rsidR="00D7157D">
              <w:rPr>
                <w:color w:val="000000" w:themeColor="text1"/>
              </w:rPr>
              <w:t>.</w:t>
            </w:r>
            <w:r w:rsidRPr="00196507">
              <w:rPr>
                <w:color w:val="000000" w:themeColor="text1"/>
              </w:rPr>
              <w:t>2124</w:t>
            </w:r>
          </w:p>
        </w:tc>
        <w:tc>
          <w:tcPr>
            <w:tcW w:w="909" w:type="pct"/>
            <w:tcBorders>
              <w:top w:val="single" w:sz="4" w:space="0" w:color="auto"/>
              <w:bottom w:val="single" w:sz="4" w:space="0" w:color="auto"/>
            </w:tcBorders>
            <w:shd w:val="clear" w:color="auto" w:fill="auto"/>
            <w:vAlign w:val="bottom"/>
          </w:tcPr>
          <w:p w14:paraId="0B476AF4"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4802</w:t>
            </w:r>
          </w:p>
        </w:tc>
        <w:tc>
          <w:tcPr>
            <w:tcW w:w="909" w:type="pct"/>
            <w:tcBorders>
              <w:top w:val="single" w:sz="4" w:space="0" w:color="auto"/>
              <w:bottom w:val="single" w:sz="4" w:space="0" w:color="auto"/>
            </w:tcBorders>
            <w:shd w:val="clear" w:color="auto" w:fill="auto"/>
            <w:vAlign w:val="bottom"/>
          </w:tcPr>
          <w:p w14:paraId="4DDEC4D8" w14:textId="77777777" w:rsidR="00196507" w:rsidRPr="00196507" w:rsidRDefault="00196507" w:rsidP="00196507">
            <w:pPr>
              <w:pStyle w:val="Tabletext"/>
              <w:rPr>
                <w:color w:val="000000" w:themeColor="text1"/>
              </w:rPr>
            </w:pPr>
            <w:r w:rsidRPr="00196507">
              <w:rPr>
                <w:color w:val="000000" w:themeColor="text1"/>
              </w:rPr>
              <w:t>26</w:t>
            </w:r>
            <w:r w:rsidR="00D7157D">
              <w:rPr>
                <w:color w:val="000000" w:themeColor="text1"/>
              </w:rPr>
              <w:t>.</w:t>
            </w:r>
            <w:r w:rsidRPr="00196507">
              <w:rPr>
                <w:color w:val="000000" w:themeColor="text1"/>
              </w:rPr>
              <w:t>9470</w:t>
            </w:r>
          </w:p>
        </w:tc>
        <w:tc>
          <w:tcPr>
            <w:tcW w:w="908" w:type="pct"/>
            <w:tcBorders>
              <w:top w:val="single" w:sz="4" w:space="0" w:color="auto"/>
              <w:bottom w:val="single" w:sz="4" w:space="0" w:color="auto"/>
              <w:right w:val="nil"/>
            </w:tcBorders>
            <w:shd w:val="clear" w:color="auto" w:fill="auto"/>
            <w:vAlign w:val="bottom"/>
          </w:tcPr>
          <w:p w14:paraId="763260C4"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1008</w:t>
            </w:r>
          </w:p>
        </w:tc>
      </w:tr>
      <w:tr w:rsidR="00196507" w:rsidRPr="00F9176A" w14:paraId="42916ACE" w14:textId="77777777" w:rsidTr="00E05772">
        <w:trPr>
          <w:cantSplit/>
        </w:trPr>
        <w:tc>
          <w:tcPr>
            <w:tcW w:w="1365" w:type="pct"/>
            <w:tcBorders>
              <w:top w:val="single" w:sz="4" w:space="0" w:color="auto"/>
              <w:bottom w:val="single" w:sz="4" w:space="0" w:color="auto"/>
            </w:tcBorders>
          </w:tcPr>
          <w:p w14:paraId="60F736BD" w14:textId="77777777" w:rsidR="00196507" w:rsidRPr="00F9176A" w:rsidRDefault="00196507" w:rsidP="00196507">
            <w:pPr>
              <w:pStyle w:val="Tabletext"/>
            </w:pPr>
            <w:r w:rsidRPr="00F9176A">
              <w:t>41</w:t>
            </w:r>
          </w:p>
        </w:tc>
        <w:tc>
          <w:tcPr>
            <w:tcW w:w="909" w:type="pct"/>
            <w:tcBorders>
              <w:top w:val="single" w:sz="4" w:space="0" w:color="auto"/>
              <w:bottom w:val="single" w:sz="4" w:space="0" w:color="auto"/>
            </w:tcBorders>
            <w:shd w:val="clear" w:color="auto" w:fill="auto"/>
            <w:vAlign w:val="bottom"/>
          </w:tcPr>
          <w:p w14:paraId="06FBD1EC" w14:textId="77777777" w:rsidR="00196507" w:rsidRPr="00196507" w:rsidRDefault="00196507" w:rsidP="00196507">
            <w:pPr>
              <w:pStyle w:val="Tabletext"/>
              <w:rPr>
                <w:color w:val="000000" w:themeColor="text1"/>
              </w:rPr>
            </w:pPr>
            <w:r w:rsidRPr="00196507">
              <w:rPr>
                <w:color w:val="000000" w:themeColor="text1"/>
              </w:rPr>
              <w:t>24</w:t>
            </w:r>
            <w:r w:rsidR="00D7157D">
              <w:rPr>
                <w:color w:val="000000" w:themeColor="text1"/>
              </w:rPr>
              <w:t>.</w:t>
            </w:r>
            <w:r w:rsidRPr="00196507">
              <w:rPr>
                <w:color w:val="000000" w:themeColor="text1"/>
              </w:rPr>
              <w:t>8267</w:t>
            </w:r>
          </w:p>
        </w:tc>
        <w:tc>
          <w:tcPr>
            <w:tcW w:w="909" w:type="pct"/>
            <w:tcBorders>
              <w:top w:val="single" w:sz="4" w:space="0" w:color="auto"/>
              <w:bottom w:val="single" w:sz="4" w:space="0" w:color="auto"/>
            </w:tcBorders>
            <w:shd w:val="clear" w:color="auto" w:fill="auto"/>
            <w:vAlign w:val="bottom"/>
          </w:tcPr>
          <w:p w14:paraId="05B0F55F"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3747</w:t>
            </w:r>
          </w:p>
        </w:tc>
        <w:tc>
          <w:tcPr>
            <w:tcW w:w="909" w:type="pct"/>
            <w:tcBorders>
              <w:top w:val="single" w:sz="4" w:space="0" w:color="auto"/>
              <w:bottom w:val="single" w:sz="4" w:space="0" w:color="auto"/>
            </w:tcBorders>
            <w:shd w:val="clear" w:color="auto" w:fill="auto"/>
            <w:vAlign w:val="bottom"/>
          </w:tcPr>
          <w:p w14:paraId="70C1FE8C" w14:textId="77777777" w:rsidR="00196507" w:rsidRPr="00196507" w:rsidRDefault="00196507" w:rsidP="00196507">
            <w:pPr>
              <w:pStyle w:val="Tabletext"/>
              <w:rPr>
                <w:color w:val="000000" w:themeColor="text1"/>
              </w:rPr>
            </w:pPr>
            <w:r w:rsidRPr="00196507">
              <w:rPr>
                <w:color w:val="000000" w:themeColor="text1"/>
              </w:rPr>
              <w:t>26</w:t>
            </w:r>
            <w:r w:rsidR="00D7157D">
              <w:rPr>
                <w:color w:val="000000" w:themeColor="text1"/>
              </w:rPr>
              <w:t>.</w:t>
            </w:r>
            <w:r w:rsidRPr="00196507">
              <w:rPr>
                <w:color w:val="000000" w:themeColor="text1"/>
              </w:rPr>
              <w:t>5726</w:t>
            </w:r>
          </w:p>
        </w:tc>
        <w:tc>
          <w:tcPr>
            <w:tcW w:w="908" w:type="pct"/>
            <w:tcBorders>
              <w:top w:val="single" w:sz="4" w:space="0" w:color="auto"/>
              <w:bottom w:val="single" w:sz="4" w:space="0" w:color="auto"/>
              <w:right w:val="nil"/>
            </w:tcBorders>
            <w:shd w:val="clear" w:color="auto" w:fill="auto"/>
            <w:vAlign w:val="bottom"/>
          </w:tcPr>
          <w:p w14:paraId="5D4F342C"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9917</w:t>
            </w:r>
          </w:p>
        </w:tc>
      </w:tr>
      <w:tr w:rsidR="00196507" w:rsidRPr="00F9176A" w14:paraId="1B11051A" w14:textId="77777777" w:rsidTr="00E05772">
        <w:trPr>
          <w:cantSplit/>
        </w:trPr>
        <w:tc>
          <w:tcPr>
            <w:tcW w:w="1365" w:type="pct"/>
            <w:tcBorders>
              <w:top w:val="single" w:sz="4" w:space="0" w:color="auto"/>
              <w:bottom w:val="single" w:sz="4" w:space="0" w:color="auto"/>
            </w:tcBorders>
          </w:tcPr>
          <w:p w14:paraId="5FBB2D1D" w14:textId="77777777" w:rsidR="00196507" w:rsidRPr="00F9176A" w:rsidRDefault="00196507" w:rsidP="00196507">
            <w:pPr>
              <w:pStyle w:val="Tabletext"/>
            </w:pPr>
            <w:r w:rsidRPr="00F9176A">
              <w:t>42</w:t>
            </w:r>
          </w:p>
        </w:tc>
        <w:tc>
          <w:tcPr>
            <w:tcW w:w="909" w:type="pct"/>
            <w:tcBorders>
              <w:top w:val="single" w:sz="4" w:space="0" w:color="auto"/>
              <w:bottom w:val="single" w:sz="4" w:space="0" w:color="auto"/>
            </w:tcBorders>
            <w:shd w:val="clear" w:color="auto" w:fill="auto"/>
            <w:vAlign w:val="bottom"/>
          </w:tcPr>
          <w:p w14:paraId="2ABE87EE" w14:textId="77777777" w:rsidR="00196507" w:rsidRPr="00196507" w:rsidRDefault="00196507" w:rsidP="00196507">
            <w:pPr>
              <w:pStyle w:val="Tabletext"/>
              <w:rPr>
                <w:color w:val="000000" w:themeColor="text1"/>
              </w:rPr>
            </w:pPr>
            <w:r w:rsidRPr="00196507">
              <w:rPr>
                <w:color w:val="000000" w:themeColor="text1"/>
              </w:rPr>
              <w:t>24</w:t>
            </w:r>
            <w:r w:rsidR="00D7157D">
              <w:rPr>
                <w:color w:val="000000" w:themeColor="text1"/>
              </w:rPr>
              <w:t>.</w:t>
            </w:r>
            <w:r w:rsidRPr="00196507">
              <w:rPr>
                <w:color w:val="000000" w:themeColor="text1"/>
              </w:rPr>
              <w:t>4349</w:t>
            </w:r>
          </w:p>
        </w:tc>
        <w:tc>
          <w:tcPr>
            <w:tcW w:w="909" w:type="pct"/>
            <w:tcBorders>
              <w:top w:val="single" w:sz="4" w:space="0" w:color="auto"/>
              <w:bottom w:val="single" w:sz="4" w:space="0" w:color="auto"/>
            </w:tcBorders>
            <w:shd w:val="clear" w:color="auto" w:fill="auto"/>
            <w:vAlign w:val="bottom"/>
          </w:tcPr>
          <w:p w14:paraId="6A71797E"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2657</w:t>
            </w:r>
          </w:p>
        </w:tc>
        <w:tc>
          <w:tcPr>
            <w:tcW w:w="909" w:type="pct"/>
            <w:tcBorders>
              <w:top w:val="single" w:sz="4" w:space="0" w:color="auto"/>
              <w:bottom w:val="single" w:sz="4" w:space="0" w:color="auto"/>
            </w:tcBorders>
            <w:shd w:val="clear" w:color="auto" w:fill="auto"/>
            <w:vAlign w:val="bottom"/>
          </w:tcPr>
          <w:p w14:paraId="1E4ED448" w14:textId="77777777" w:rsidR="00196507" w:rsidRPr="00196507" w:rsidRDefault="00196507" w:rsidP="00196507">
            <w:pPr>
              <w:pStyle w:val="Tabletext"/>
              <w:rPr>
                <w:color w:val="000000" w:themeColor="text1"/>
              </w:rPr>
            </w:pPr>
            <w:r w:rsidRPr="00196507">
              <w:rPr>
                <w:color w:val="000000" w:themeColor="text1"/>
              </w:rPr>
              <w:t>26</w:t>
            </w:r>
            <w:r w:rsidR="00D7157D">
              <w:rPr>
                <w:color w:val="000000" w:themeColor="text1"/>
              </w:rPr>
              <w:t>.</w:t>
            </w:r>
            <w:r w:rsidRPr="00196507">
              <w:rPr>
                <w:color w:val="000000" w:themeColor="text1"/>
              </w:rPr>
              <w:t>1918</w:t>
            </w:r>
          </w:p>
        </w:tc>
        <w:tc>
          <w:tcPr>
            <w:tcW w:w="908" w:type="pct"/>
            <w:tcBorders>
              <w:top w:val="single" w:sz="4" w:space="0" w:color="auto"/>
              <w:bottom w:val="single" w:sz="4" w:space="0" w:color="auto"/>
              <w:right w:val="nil"/>
            </w:tcBorders>
            <w:shd w:val="clear" w:color="auto" w:fill="auto"/>
            <w:vAlign w:val="bottom"/>
          </w:tcPr>
          <w:p w14:paraId="51328B26"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8801</w:t>
            </w:r>
          </w:p>
        </w:tc>
      </w:tr>
      <w:tr w:rsidR="00196507" w:rsidRPr="00F9176A" w14:paraId="0A6F5107" w14:textId="77777777" w:rsidTr="00E05772">
        <w:trPr>
          <w:cantSplit/>
        </w:trPr>
        <w:tc>
          <w:tcPr>
            <w:tcW w:w="1365" w:type="pct"/>
            <w:tcBorders>
              <w:top w:val="single" w:sz="4" w:space="0" w:color="auto"/>
              <w:bottom w:val="single" w:sz="4" w:space="0" w:color="auto"/>
            </w:tcBorders>
          </w:tcPr>
          <w:p w14:paraId="76FD772E" w14:textId="77777777" w:rsidR="00196507" w:rsidRPr="00F9176A" w:rsidRDefault="00196507" w:rsidP="00196507">
            <w:pPr>
              <w:pStyle w:val="Tabletext"/>
            </w:pPr>
            <w:r w:rsidRPr="00F9176A">
              <w:t>43</w:t>
            </w:r>
          </w:p>
        </w:tc>
        <w:tc>
          <w:tcPr>
            <w:tcW w:w="909" w:type="pct"/>
            <w:tcBorders>
              <w:top w:val="single" w:sz="4" w:space="0" w:color="auto"/>
              <w:bottom w:val="single" w:sz="4" w:space="0" w:color="auto"/>
            </w:tcBorders>
            <w:shd w:val="clear" w:color="auto" w:fill="auto"/>
            <w:vAlign w:val="bottom"/>
          </w:tcPr>
          <w:p w14:paraId="74D21D83" w14:textId="77777777" w:rsidR="00196507" w:rsidRPr="00196507" w:rsidRDefault="00196507" w:rsidP="00196507">
            <w:pPr>
              <w:pStyle w:val="Tabletext"/>
              <w:rPr>
                <w:color w:val="000000" w:themeColor="text1"/>
              </w:rPr>
            </w:pPr>
            <w:r w:rsidRPr="00196507">
              <w:rPr>
                <w:color w:val="000000" w:themeColor="text1"/>
              </w:rPr>
              <w:t>24</w:t>
            </w:r>
            <w:r w:rsidR="00D7157D">
              <w:rPr>
                <w:color w:val="000000" w:themeColor="text1"/>
              </w:rPr>
              <w:t>.</w:t>
            </w:r>
            <w:r w:rsidRPr="00196507">
              <w:rPr>
                <w:color w:val="000000" w:themeColor="text1"/>
              </w:rPr>
              <w:t>0368</w:t>
            </w:r>
          </w:p>
        </w:tc>
        <w:tc>
          <w:tcPr>
            <w:tcW w:w="909" w:type="pct"/>
            <w:tcBorders>
              <w:top w:val="single" w:sz="4" w:space="0" w:color="auto"/>
              <w:bottom w:val="single" w:sz="4" w:space="0" w:color="auto"/>
            </w:tcBorders>
            <w:shd w:val="clear" w:color="auto" w:fill="auto"/>
            <w:vAlign w:val="bottom"/>
          </w:tcPr>
          <w:p w14:paraId="3BC329E5"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1535</w:t>
            </w:r>
          </w:p>
        </w:tc>
        <w:tc>
          <w:tcPr>
            <w:tcW w:w="909" w:type="pct"/>
            <w:tcBorders>
              <w:top w:val="single" w:sz="4" w:space="0" w:color="auto"/>
              <w:bottom w:val="single" w:sz="4" w:space="0" w:color="auto"/>
            </w:tcBorders>
            <w:shd w:val="clear" w:color="auto" w:fill="auto"/>
            <w:vAlign w:val="bottom"/>
          </w:tcPr>
          <w:p w14:paraId="492B010B" w14:textId="77777777" w:rsidR="00196507" w:rsidRPr="00196507" w:rsidRDefault="00196507" w:rsidP="00196507">
            <w:pPr>
              <w:pStyle w:val="Tabletext"/>
              <w:rPr>
                <w:color w:val="000000" w:themeColor="text1"/>
              </w:rPr>
            </w:pPr>
            <w:r w:rsidRPr="00196507">
              <w:rPr>
                <w:color w:val="000000" w:themeColor="text1"/>
              </w:rPr>
              <w:t>25</w:t>
            </w:r>
            <w:r w:rsidR="00D7157D">
              <w:rPr>
                <w:color w:val="000000" w:themeColor="text1"/>
              </w:rPr>
              <w:t>.</w:t>
            </w:r>
            <w:r w:rsidRPr="00196507">
              <w:rPr>
                <w:color w:val="000000" w:themeColor="text1"/>
              </w:rPr>
              <w:t>8043</w:t>
            </w:r>
          </w:p>
        </w:tc>
        <w:tc>
          <w:tcPr>
            <w:tcW w:w="908" w:type="pct"/>
            <w:tcBorders>
              <w:top w:val="single" w:sz="4" w:space="0" w:color="auto"/>
              <w:bottom w:val="single" w:sz="4" w:space="0" w:color="auto"/>
              <w:right w:val="nil"/>
            </w:tcBorders>
            <w:shd w:val="clear" w:color="auto" w:fill="auto"/>
            <w:vAlign w:val="bottom"/>
          </w:tcPr>
          <w:p w14:paraId="11D3EE72"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7662</w:t>
            </w:r>
          </w:p>
        </w:tc>
      </w:tr>
      <w:tr w:rsidR="00196507" w:rsidRPr="00F9176A" w14:paraId="4D276218" w14:textId="77777777" w:rsidTr="00E05772">
        <w:trPr>
          <w:cantSplit/>
        </w:trPr>
        <w:tc>
          <w:tcPr>
            <w:tcW w:w="1365" w:type="pct"/>
            <w:tcBorders>
              <w:top w:val="single" w:sz="4" w:space="0" w:color="auto"/>
              <w:bottom w:val="single" w:sz="4" w:space="0" w:color="auto"/>
            </w:tcBorders>
          </w:tcPr>
          <w:p w14:paraId="6B842333" w14:textId="77777777" w:rsidR="00196507" w:rsidRPr="00F9176A" w:rsidRDefault="00196507" w:rsidP="00196507">
            <w:pPr>
              <w:pStyle w:val="Tabletext"/>
            </w:pPr>
            <w:r w:rsidRPr="00F9176A">
              <w:t>44</w:t>
            </w:r>
          </w:p>
        </w:tc>
        <w:tc>
          <w:tcPr>
            <w:tcW w:w="909" w:type="pct"/>
            <w:tcBorders>
              <w:top w:val="single" w:sz="4" w:space="0" w:color="auto"/>
              <w:bottom w:val="single" w:sz="4" w:space="0" w:color="auto"/>
            </w:tcBorders>
            <w:shd w:val="clear" w:color="auto" w:fill="auto"/>
            <w:vAlign w:val="bottom"/>
          </w:tcPr>
          <w:p w14:paraId="47475B6E" w14:textId="77777777" w:rsidR="00196507" w:rsidRPr="00196507" w:rsidRDefault="00196507" w:rsidP="00196507">
            <w:pPr>
              <w:pStyle w:val="Tabletext"/>
              <w:rPr>
                <w:color w:val="000000" w:themeColor="text1"/>
              </w:rPr>
            </w:pPr>
            <w:r w:rsidRPr="00196507">
              <w:rPr>
                <w:color w:val="000000" w:themeColor="text1"/>
              </w:rPr>
              <w:t>23</w:t>
            </w:r>
            <w:r w:rsidR="00D7157D">
              <w:rPr>
                <w:color w:val="000000" w:themeColor="text1"/>
              </w:rPr>
              <w:t>.</w:t>
            </w:r>
            <w:r w:rsidRPr="00196507">
              <w:rPr>
                <w:color w:val="000000" w:themeColor="text1"/>
              </w:rPr>
              <w:t>6327</w:t>
            </w:r>
          </w:p>
        </w:tc>
        <w:tc>
          <w:tcPr>
            <w:tcW w:w="909" w:type="pct"/>
            <w:tcBorders>
              <w:top w:val="single" w:sz="4" w:space="0" w:color="auto"/>
              <w:bottom w:val="single" w:sz="4" w:space="0" w:color="auto"/>
            </w:tcBorders>
            <w:shd w:val="clear" w:color="auto" w:fill="auto"/>
            <w:vAlign w:val="bottom"/>
          </w:tcPr>
          <w:p w14:paraId="178B6733"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0376</w:t>
            </w:r>
          </w:p>
        </w:tc>
        <w:tc>
          <w:tcPr>
            <w:tcW w:w="909" w:type="pct"/>
            <w:tcBorders>
              <w:top w:val="single" w:sz="4" w:space="0" w:color="auto"/>
              <w:bottom w:val="single" w:sz="4" w:space="0" w:color="auto"/>
            </w:tcBorders>
            <w:shd w:val="clear" w:color="auto" w:fill="auto"/>
            <w:vAlign w:val="bottom"/>
          </w:tcPr>
          <w:p w14:paraId="5A02DA01" w14:textId="77777777" w:rsidR="00196507" w:rsidRPr="00196507" w:rsidRDefault="00196507" w:rsidP="00196507">
            <w:pPr>
              <w:pStyle w:val="Tabletext"/>
              <w:rPr>
                <w:color w:val="000000" w:themeColor="text1"/>
              </w:rPr>
            </w:pPr>
            <w:r w:rsidRPr="00196507">
              <w:rPr>
                <w:color w:val="000000" w:themeColor="text1"/>
              </w:rPr>
              <w:t>25</w:t>
            </w:r>
            <w:r w:rsidR="00D7157D">
              <w:rPr>
                <w:color w:val="000000" w:themeColor="text1"/>
              </w:rPr>
              <w:t>.</w:t>
            </w:r>
            <w:r w:rsidRPr="00196507">
              <w:rPr>
                <w:color w:val="000000" w:themeColor="text1"/>
              </w:rPr>
              <w:t>4102</w:t>
            </w:r>
          </w:p>
        </w:tc>
        <w:tc>
          <w:tcPr>
            <w:tcW w:w="908" w:type="pct"/>
            <w:tcBorders>
              <w:top w:val="single" w:sz="4" w:space="0" w:color="auto"/>
              <w:bottom w:val="single" w:sz="4" w:space="0" w:color="auto"/>
              <w:right w:val="nil"/>
            </w:tcBorders>
            <w:shd w:val="clear" w:color="auto" w:fill="auto"/>
            <w:vAlign w:val="bottom"/>
          </w:tcPr>
          <w:p w14:paraId="3A724755"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6499</w:t>
            </w:r>
          </w:p>
        </w:tc>
      </w:tr>
      <w:tr w:rsidR="00196507" w:rsidRPr="00F9176A" w14:paraId="06A97465" w14:textId="77777777" w:rsidTr="00E05772">
        <w:trPr>
          <w:cantSplit/>
        </w:trPr>
        <w:tc>
          <w:tcPr>
            <w:tcW w:w="1365" w:type="pct"/>
            <w:tcBorders>
              <w:top w:val="single" w:sz="4" w:space="0" w:color="auto"/>
              <w:bottom w:val="single" w:sz="4" w:space="0" w:color="auto"/>
            </w:tcBorders>
          </w:tcPr>
          <w:p w14:paraId="7AEB00DE" w14:textId="77777777" w:rsidR="00196507" w:rsidRPr="00F9176A" w:rsidRDefault="00196507" w:rsidP="00196507">
            <w:pPr>
              <w:pStyle w:val="Tabletext"/>
            </w:pPr>
            <w:r w:rsidRPr="00F9176A">
              <w:t>45</w:t>
            </w:r>
          </w:p>
        </w:tc>
        <w:tc>
          <w:tcPr>
            <w:tcW w:w="909" w:type="pct"/>
            <w:tcBorders>
              <w:top w:val="single" w:sz="4" w:space="0" w:color="auto"/>
              <w:bottom w:val="single" w:sz="4" w:space="0" w:color="auto"/>
            </w:tcBorders>
            <w:shd w:val="clear" w:color="auto" w:fill="auto"/>
            <w:vAlign w:val="bottom"/>
          </w:tcPr>
          <w:p w14:paraId="248D2FCC" w14:textId="77777777" w:rsidR="00196507" w:rsidRPr="00196507" w:rsidRDefault="00196507" w:rsidP="00196507">
            <w:pPr>
              <w:pStyle w:val="Tabletext"/>
              <w:rPr>
                <w:color w:val="000000" w:themeColor="text1"/>
              </w:rPr>
            </w:pPr>
            <w:r w:rsidRPr="00196507">
              <w:rPr>
                <w:color w:val="000000" w:themeColor="text1"/>
              </w:rPr>
              <w:t>23</w:t>
            </w:r>
            <w:r w:rsidR="00D7157D">
              <w:rPr>
                <w:color w:val="000000" w:themeColor="text1"/>
              </w:rPr>
              <w:t>.</w:t>
            </w:r>
            <w:r w:rsidRPr="00196507">
              <w:rPr>
                <w:color w:val="000000" w:themeColor="text1"/>
              </w:rPr>
              <w:t>2225</w:t>
            </w:r>
          </w:p>
        </w:tc>
        <w:tc>
          <w:tcPr>
            <w:tcW w:w="909" w:type="pct"/>
            <w:tcBorders>
              <w:top w:val="single" w:sz="4" w:space="0" w:color="auto"/>
              <w:bottom w:val="single" w:sz="4" w:space="0" w:color="auto"/>
            </w:tcBorders>
            <w:shd w:val="clear" w:color="auto" w:fill="auto"/>
            <w:vAlign w:val="bottom"/>
          </w:tcPr>
          <w:p w14:paraId="576F755B"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9184</w:t>
            </w:r>
          </w:p>
        </w:tc>
        <w:tc>
          <w:tcPr>
            <w:tcW w:w="909" w:type="pct"/>
            <w:tcBorders>
              <w:top w:val="single" w:sz="4" w:space="0" w:color="auto"/>
              <w:bottom w:val="single" w:sz="4" w:space="0" w:color="auto"/>
            </w:tcBorders>
            <w:shd w:val="clear" w:color="auto" w:fill="auto"/>
            <w:vAlign w:val="bottom"/>
          </w:tcPr>
          <w:p w14:paraId="69F61280" w14:textId="77777777" w:rsidR="00196507" w:rsidRPr="00196507" w:rsidRDefault="00196507" w:rsidP="00196507">
            <w:pPr>
              <w:pStyle w:val="Tabletext"/>
              <w:rPr>
                <w:color w:val="000000" w:themeColor="text1"/>
              </w:rPr>
            </w:pPr>
            <w:r w:rsidRPr="00196507">
              <w:rPr>
                <w:color w:val="000000" w:themeColor="text1"/>
              </w:rPr>
              <w:t>25</w:t>
            </w:r>
            <w:r w:rsidR="00D7157D">
              <w:rPr>
                <w:color w:val="000000" w:themeColor="text1"/>
              </w:rPr>
              <w:t>.</w:t>
            </w:r>
            <w:r w:rsidRPr="00196507">
              <w:rPr>
                <w:color w:val="000000" w:themeColor="text1"/>
              </w:rPr>
              <w:t>0094</w:t>
            </w:r>
          </w:p>
        </w:tc>
        <w:tc>
          <w:tcPr>
            <w:tcW w:w="908" w:type="pct"/>
            <w:tcBorders>
              <w:top w:val="single" w:sz="4" w:space="0" w:color="auto"/>
              <w:bottom w:val="single" w:sz="4" w:space="0" w:color="auto"/>
              <w:right w:val="nil"/>
            </w:tcBorders>
            <w:shd w:val="clear" w:color="auto" w:fill="auto"/>
            <w:vAlign w:val="bottom"/>
          </w:tcPr>
          <w:p w14:paraId="2030AEAA"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5312</w:t>
            </w:r>
          </w:p>
        </w:tc>
      </w:tr>
      <w:tr w:rsidR="00196507" w:rsidRPr="00F9176A" w14:paraId="5900C65D" w14:textId="77777777" w:rsidTr="00E05772">
        <w:trPr>
          <w:cantSplit/>
        </w:trPr>
        <w:tc>
          <w:tcPr>
            <w:tcW w:w="1365" w:type="pct"/>
            <w:tcBorders>
              <w:top w:val="single" w:sz="4" w:space="0" w:color="auto"/>
              <w:bottom w:val="single" w:sz="4" w:space="0" w:color="auto"/>
            </w:tcBorders>
          </w:tcPr>
          <w:p w14:paraId="2DE308DB" w14:textId="77777777" w:rsidR="00196507" w:rsidRPr="00F9176A" w:rsidRDefault="00196507" w:rsidP="00196507">
            <w:pPr>
              <w:pStyle w:val="Tabletext"/>
            </w:pPr>
            <w:r w:rsidRPr="00F9176A">
              <w:t>46</w:t>
            </w:r>
          </w:p>
        </w:tc>
        <w:tc>
          <w:tcPr>
            <w:tcW w:w="909" w:type="pct"/>
            <w:tcBorders>
              <w:top w:val="single" w:sz="4" w:space="0" w:color="auto"/>
              <w:bottom w:val="single" w:sz="4" w:space="0" w:color="auto"/>
            </w:tcBorders>
            <w:shd w:val="clear" w:color="auto" w:fill="auto"/>
            <w:vAlign w:val="bottom"/>
          </w:tcPr>
          <w:p w14:paraId="79D77BF1" w14:textId="77777777" w:rsidR="00196507" w:rsidRPr="00196507" w:rsidRDefault="00196507" w:rsidP="00196507">
            <w:pPr>
              <w:pStyle w:val="Tabletext"/>
              <w:rPr>
                <w:color w:val="000000" w:themeColor="text1"/>
              </w:rPr>
            </w:pPr>
            <w:r w:rsidRPr="00196507">
              <w:rPr>
                <w:color w:val="000000" w:themeColor="text1"/>
              </w:rPr>
              <w:t>22</w:t>
            </w:r>
            <w:r w:rsidR="00D7157D">
              <w:rPr>
                <w:color w:val="000000" w:themeColor="text1"/>
              </w:rPr>
              <w:t>.</w:t>
            </w:r>
            <w:r w:rsidRPr="00196507">
              <w:rPr>
                <w:color w:val="000000" w:themeColor="text1"/>
              </w:rPr>
              <w:t>8063</w:t>
            </w:r>
          </w:p>
        </w:tc>
        <w:tc>
          <w:tcPr>
            <w:tcW w:w="909" w:type="pct"/>
            <w:tcBorders>
              <w:top w:val="single" w:sz="4" w:space="0" w:color="auto"/>
              <w:bottom w:val="single" w:sz="4" w:space="0" w:color="auto"/>
            </w:tcBorders>
            <w:shd w:val="clear" w:color="auto" w:fill="auto"/>
            <w:vAlign w:val="bottom"/>
          </w:tcPr>
          <w:p w14:paraId="5ABACA34"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7956</w:t>
            </w:r>
          </w:p>
        </w:tc>
        <w:tc>
          <w:tcPr>
            <w:tcW w:w="909" w:type="pct"/>
            <w:tcBorders>
              <w:top w:val="single" w:sz="4" w:space="0" w:color="auto"/>
              <w:bottom w:val="single" w:sz="4" w:space="0" w:color="auto"/>
            </w:tcBorders>
            <w:shd w:val="clear" w:color="auto" w:fill="auto"/>
            <w:vAlign w:val="bottom"/>
          </w:tcPr>
          <w:p w14:paraId="4AEC1E42" w14:textId="77777777" w:rsidR="00196507" w:rsidRPr="00196507" w:rsidRDefault="00196507" w:rsidP="00196507">
            <w:pPr>
              <w:pStyle w:val="Tabletext"/>
              <w:rPr>
                <w:color w:val="000000" w:themeColor="text1"/>
              </w:rPr>
            </w:pPr>
            <w:r w:rsidRPr="00196507">
              <w:rPr>
                <w:color w:val="000000" w:themeColor="text1"/>
              </w:rPr>
              <w:t>24</w:t>
            </w:r>
            <w:r w:rsidR="00D7157D">
              <w:rPr>
                <w:color w:val="000000" w:themeColor="text1"/>
              </w:rPr>
              <w:t>.</w:t>
            </w:r>
            <w:r w:rsidRPr="00196507">
              <w:rPr>
                <w:color w:val="000000" w:themeColor="text1"/>
              </w:rPr>
              <w:t>6020</w:t>
            </w:r>
          </w:p>
        </w:tc>
        <w:tc>
          <w:tcPr>
            <w:tcW w:w="908" w:type="pct"/>
            <w:tcBorders>
              <w:top w:val="single" w:sz="4" w:space="0" w:color="auto"/>
              <w:bottom w:val="single" w:sz="4" w:space="0" w:color="auto"/>
              <w:right w:val="nil"/>
            </w:tcBorders>
            <w:shd w:val="clear" w:color="auto" w:fill="auto"/>
            <w:vAlign w:val="bottom"/>
          </w:tcPr>
          <w:p w14:paraId="5F519CFF"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4102</w:t>
            </w:r>
          </w:p>
        </w:tc>
      </w:tr>
      <w:tr w:rsidR="00196507" w:rsidRPr="00F9176A" w14:paraId="101DA48D" w14:textId="77777777" w:rsidTr="00E05772">
        <w:trPr>
          <w:cantSplit/>
        </w:trPr>
        <w:tc>
          <w:tcPr>
            <w:tcW w:w="1365" w:type="pct"/>
            <w:tcBorders>
              <w:top w:val="single" w:sz="4" w:space="0" w:color="auto"/>
              <w:bottom w:val="single" w:sz="4" w:space="0" w:color="auto"/>
            </w:tcBorders>
          </w:tcPr>
          <w:p w14:paraId="0DC6D4ED" w14:textId="77777777" w:rsidR="00196507" w:rsidRPr="00F9176A" w:rsidRDefault="00196507" w:rsidP="00196507">
            <w:pPr>
              <w:pStyle w:val="Tabletext"/>
            </w:pPr>
            <w:r w:rsidRPr="00F9176A">
              <w:t>47</w:t>
            </w:r>
          </w:p>
        </w:tc>
        <w:tc>
          <w:tcPr>
            <w:tcW w:w="909" w:type="pct"/>
            <w:tcBorders>
              <w:top w:val="single" w:sz="4" w:space="0" w:color="auto"/>
              <w:bottom w:val="single" w:sz="4" w:space="0" w:color="auto"/>
            </w:tcBorders>
            <w:shd w:val="clear" w:color="auto" w:fill="auto"/>
            <w:vAlign w:val="bottom"/>
          </w:tcPr>
          <w:p w14:paraId="1FE3343C" w14:textId="77777777" w:rsidR="00196507" w:rsidRPr="00196507" w:rsidRDefault="00196507" w:rsidP="00196507">
            <w:pPr>
              <w:pStyle w:val="Tabletext"/>
              <w:rPr>
                <w:color w:val="000000" w:themeColor="text1"/>
              </w:rPr>
            </w:pPr>
            <w:r w:rsidRPr="00196507">
              <w:rPr>
                <w:color w:val="000000" w:themeColor="text1"/>
              </w:rPr>
              <w:t>22</w:t>
            </w:r>
            <w:r w:rsidR="00D7157D">
              <w:rPr>
                <w:color w:val="000000" w:themeColor="text1"/>
              </w:rPr>
              <w:t>.</w:t>
            </w:r>
            <w:r w:rsidRPr="00196507">
              <w:rPr>
                <w:color w:val="000000" w:themeColor="text1"/>
              </w:rPr>
              <w:t>3842</w:t>
            </w:r>
          </w:p>
        </w:tc>
        <w:tc>
          <w:tcPr>
            <w:tcW w:w="909" w:type="pct"/>
            <w:tcBorders>
              <w:top w:val="single" w:sz="4" w:space="0" w:color="auto"/>
              <w:bottom w:val="single" w:sz="4" w:space="0" w:color="auto"/>
            </w:tcBorders>
            <w:shd w:val="clear" w:color="auto" w:fill="auto"/>
            <w:vAlign w:val="bottom"/>
          </w:tcPr>
          <w:p w14:paraId="6A5794BF"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6692</w:t>
            </w:r>
          </w:p>
        </w:tc>
        <w:tc>
          <w:tcPr>
            <w:tcW w:w="909" w:type="pct"/>
            <w:tcBorders>
              <w:top w:val="single" w:sz="4" w:space="0" w:color="auto"/>
              <w:bottom w:val="single" w:sz="4" w:space="0" w:color="auto"/>
            </w:tcBorders>
            <w:shd w:val="clear" w:color="auto" w:fill="auto"/>
            <w:vAlign w:val="bottom"/>
          </w:tcPr>
          <w:p w14:paraId="3CF25102" w14:textId="77777777" w:rsidR="00196507" w:rsidRPr="00196507" w:rsidRDefault="00196507" w:rsidP="00196507">
            <w:pPr>
              <w:pStyle w:val="Tabletext"/>
              <w:rPr>
                <w:color w:val="000000" w:themeColor="text1"/>
              </w:rPr>
            </w:pPr>
            <w:r w:rsidRPr="00196507">
              <w:rPr>
                <w:color w:val="000000" w:themeColor="text1"/>
              </w:rPr>
              <w:t>24</w:t>
            </w:r>
            <w:r w:rsidR="00D7157D">
              <w:rPr>
                <w:color w:val="000000" w:themeColor="text1"/>
              </w:rPr>
              <w:t>.</w:t>
            </w:r>
            <w:r w:rsidRPr="00196507">
              <w:rPr>
                <w:color w:val="000000" w:themeColor="text1"/>
              </w:rPr>
              <w:t>1880</w:t>
            </w:r>
          </w:p>
        </w:tc>
        <w:tc>
          <w:tcPr>
            <w:tcW w:w="908" w:type="pct"/>
            <w:tcBorders>
              <w:top w:val="single" w:sz="4" w:space="0" w:color="auto"/>
              <w:bottom w:val="single" w:sz="4" w:space="0" w:color="auto"/>
              <w:right w:val="nil"/>
            </w:tcBorders>
            <w:shd w:val="clear" w:color="auto" w:fill="auto"/>
            <w:vAlign w:val="bottom"/>
          </w:tcPr>
          <w:p w14:paraId="371A899A"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2869</w:t>
            </w:r>
          </w:p>
        </w:tc>
      </w:tr>
      <w:tr w:rsidR="00196507" w:rsidRPr="00F9176A" w14:paraId="15033088" w14:textId="77777777" w:rsidTr="00E05772">
        <w:trPr>
          <w:cantSplit/>
        </w:trPr>
        <w:tc>
          <w:tcPr>
            <w:tcW w:w="1365" w:type="pct"/>
            <w:tcBorders>
              <w:top w:val="single" w:sz="4" w:space="0" w:color="auto"/>
              <w:bottom w:val="single" w:sz="4" w:space="0" w:color="auto"/>
            </w:tcBorders>
          </w:tcPr>
          <w:p w14:paraId="5C3E7343" w14:textId="77777777" w:rsidR="00196507" w:rsidRPr="00F9176A" w:rsidRDefault="00196507" w:rsidP="00196507">
            <w:pPr>
              <w:pStyle w:val="Tabletext"/>
            </w:pPr>
            <w:r w:rsidRPr="00F9176A">
              <w:t>48</w:t>
            </w:r>
          </w:p>
        </w:tc>
        <w:tc>
          <w:tcPr>
            <w:tcW w:w="909" w:type="pct"/>
            <w:tcBorders>
              <w:top w:val="single" w:sz="4" w:space="0" w:color="auto"/>
              <w:bottom w:val="single" w:sz="4" w:space="0" w:color="auto"/>
            </w:tcBorders>
            <w:shd w:val="clear" w:color="auto" w:fill="auto"/>
            <w:vAlign w:val="bottom"/>
          </w:tcPr>
          <w:p w14:paraId="62D8BA76"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9564</w:t>
            </w:r>
          </w:p>
        </w:tc>
        <w:tc>
          <w:tcPr>
            <w:tcW w:w="909" w:type="pct"/>
            <w:tcBorders>
              <w:top w:val="single" w:sz="4" w:space="0" w:color="auto"/>
              <w:bottom w:val="single" w:sz="4" w:space="0" w:color="auto"/>
            </w:tcBorders>
            <w:shd w:val="clear" w:color="auto" w:fill="auto"/>
            <w:vAlign w:val="bottom"/>
          </w:tcPr>
          <w:p w14:paraId="2F763B00"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5393</w:t>
            </w:r>
          </w:p>
        </w:tc>
        <w:tc>
          <w:tcPr>
            <w:tcW w:w="909" w:type="pct"/>
            <w:tcBorders>
              <w:top w:val="single" w:sz="4" w:space="0" w:color="auto"/>
              <w:bottom w:val="single" w:sz="4" w:space="0" w:color="auto"/>
            </w:tcBorders>
            <w:shd w:val="clear" w:color="auto" w:fill="auto"/>
            <w:vAlign w:val="bottom"/>
          </w:tcPr>
          <w:p w14:paraId="65C24BAF" w14:textId="77777777" w:rsidR="00196507" w:rsidRPr="00196507" w:rsidRDefault="00196507" w:rsidP="00196507">
            <w:pPr>
              <w:pStyle w:val="Tabletext"/>
              <w:rPr>
                <w:color w:val="000000" w:themeColor="text1"/>
              </w:rPr>
            </w:pPr>
            <w:r w:rsidRPr="00196507">
              <w:rPr>
                <w:color w:val="000000" w:themeColor="text1"/>
              </w:rPr>
              <w:t>23</w:t>
            </w:r>
            <w:r w:rsidR="00D7157D">
              <w:rPr>
                <w:color w:val="000000" w:themeColor="text1"/>
              </w:rPr>
              <w:t>.</w:t>
            </w:r>
            <w:r w:rsidRPr="00196507">
              <w:rPr>
                <w:color w:val="000000" w:themeColor="text1"/>
              </w:rPr>
              <w:t>7674</w:t>
            </w:r>
          </w:p>
        </w:tc>
        <w:tc>
          <w:tcPr>
            <w:tcW w:w="908" w:type="pct"/>
            <w:tcBorders>
              <w:top w:val="single" w:sz="4" w:space="0" w:color="auto"/>
              <w:bottom w:val="single" w:sz="4" w:space="0" w:color="auto"/>
              <w:right w:val="nil"/>
            </w:tcBorders>
            <w:shd w:val="clear" w:color="auto" w:fill="auto"/>
            <w:vAlign w:val="bottom"/>
          </w:tcPr>
          <w:p w14:paraId="69DE6CDC"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1615</w:t>
            </w:r>
          </w:p>
        </w:tc>
      </w:tr>
      <w:tr w:rsidR="00196507" w:rsidRPr="00F9176A" w14:paraId="543917F5" w14:textId="77777777" w:rsidTr="00E05772">
        <w:trPr>
          <w:cantSplit/>
        </w:trPr>
        <w:tc>
          <w:tcPr>
            <w:tcW w:w="1365" w:type="pct"/>
            <w:tcBorders>
              <w:top w:val="single" w:sz="4" w:space="0" w:color="auto"/>
              <w:bottom w:val="single" w:sz="4" w:space="0" w:color="auto"/>
            </w:tcBorders>
          </w:tcPr>
          <w:p w14:paraId="36698781" w14:textId="77777777" w:rsidR="00196507" w:rsidRPr="00F9176A" w:rsidRDefault="00196507" w:rsidP="00196507">
            <w:pPr>
              <w:pStyle w:val="Tabletext"/>
            </w:pPr>
            <w:r w:rsidRPr="00F9176A">
              <w:t>49</w:t>
            </w:r>
          </w:p>
        </w:tc>
        <w:tc>
          <w:tcPr>
            <w:tcW w:w="909" w:type="pct"/>
            <w:tcBorders>
              <w:top w:val="single" w:sz="4" w:space="0" w:color="auto"/>
              <w:bottom w:val="single" w:sz="4" w:space="0" w:color="auto"/>
            </w:tcBorders>
            <w:shd w:val="clear" w:color="auto" w:fill="auto"/>
            <w:vAlign w:val="bottom"/>
          </w:tcPr>
          <w:p w14:paraId="09803F40"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5226</w:t>
            </w:r>
          </w:p>
        </w:tc>
        <w:tc>
          <w:tcPr>
            <w:tcW w:w="909" w:type="pct"/>
            <w:tcBorders>
              <w:top w:val="single" w:sz="4" w:space="0" w:color="auto"/>
              <w:bottom w:val="single" w:sz="4" w:space="0" w:color="auto"/>
            </w:tcBorders>
            <w:shd w:val="clear" w:color="auto" w:fill="auto"/>
            <w:vAlign w:val="bottom"/>
          </w:tcPr>
          <w:p w14:paraId="1807367F"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4059</w:t>
            </w:r>
          </w:p>
        </w:tc>
        <w:tc>
          <w:tcPr>
            <w:tcW w:w="909" w:type="pct"/>
            <w:tcBorders>
              <w:top w:val="single" w:sz="4" w:space="0" w:color="auto"/>
              <w:bottom w:val="single" w:sz="4" w:space="0" w:color="auto"/>
            </w:tcBorders>
            <w:shd w:val="clear" w:color="auto" w:fill="auto"/>
            <w:vAlign w:val="bottom"/>
          </w:tcPr>
          <w:p w14:paraId="67C25B1C" w14:textId="77777777" w:rsidR="00196507" w:rsidRPr="00196507" w:rsidRDefault="00196507" w:rsidP="00196507">
            <w:pPr>
              <w:pStyle w:val="Tabletext"/>
              <w:rPr>
                <w:color w:val="000000" w:themeColor="text1"/>
              </w:rPr>
            </w:pPr>
            <w:r w:rsidRPr="00196507">
              <w:rPr>
                <w:color w:val="000000" w:themeColor="text1"/>
              </w:rPr>
              <w:t>23</w:t>
            </w:r>
            <w:r w:rsidR="00D7157D">
              <w:rPr>
                <w:color w:val="000000" w:themeColor="text1"/>
              </w:rPr>
              <w:t>.</w:t>
            </w:r>
            <w:r w:rsidRPr="00196507">
              <w:rPr>
                <w:color w:val="000000" w:themeColor="text1"/>
              </w:rPr>
              <w:t>3400</w:t>
            </w:r>
          </w:p>
        </w:tc>
        <w:tc>
          <w:tcPr>
            <w:tcW w:w="908" w:type="pct"/>
            <w:tcBorders>
              <w:top w:val="single" w:sz="4" w:space="0" w:color="auto"/>
              <w:bottom w:val="single" w:sz="4" w:space="0" w:color="auto"/>
              <w:right w:val="nil"/>
            </w:tcBorders>
            <w:shd w:val="clear" w:color="auto" w:fill="auto"/>
            <w:vAlign w:val="bottom"/>
          </w:tcPr>
          <w:p w14:paraId="262E2B1F"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0339</w:t>
            </w:r>
          </w:p>
        </w:tc>
      </w:tr>
      <w:tr w:rsidR="00196507" w:rsidRPr="00F9176A" w14:paraId="3CB88C1F" w14:textId="77777777" w:rsidTr="00E05772">
        <w:trPr>
          <w:cantSplit/>
        </w:trPr>
        <w:tc>
          <w:tcPr>
            <w:tcW w:w="1365" w:type="pct"/>
            <w:tcBorders>
              <w:top w:val="single" w:sz="4" w:space="0" w:color="auto"/>
              <w:bottom w:val="single" w:sz="4" w:space="0" w:color="auto"/>
            </w:tcBorders>
          </w:tcPr>
          <w:p w14:paraId="2D58E7B9" w14:textId="77777777" w:rsidR="00196507" w:rsidRPr="00F9176A" w:rsidRDefault="00196507" w:rsidP="00196507">
            <w:pPr>
              <w:pStyle w:val="Tabletext"/>
            </w:pPr>
            <w:r w:rsidRPr="00F9176A">
              <w:t>50</w:t>
            </w:r>
          </w:p>
        </w:tc>
        <w:tc>
          <w:tcPr>
            <w:tcW w:w="909" w:type="pct"/>
            <w:tcBorders>
              <w:top w:val="single" w:sz="4" w:space="0" w:color="auto"/>
              <w:bottom w:val="single" w:sz="4" w:space="0" w:color="auto"/>
            </w:tcBorders>
            <w:shd w:val="clear" w:color="auto" w:fill="auto"/>
            <w:vAlign w:val="bottom"/>
          </w:tcPr>
          <w:p w14:paraId="46BE7641"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0836</w:t>
            </w:r>
          </w:p>
        </w:tc>
        <w:tc>
          <w:tcPr>
            <w:tcW w:w="909" w:type="pct"/>
            <w:tcBorders>
              <w:top w:val="single" w:sz="4" w:space="0" w:color="auto"/>
              <w:bottom w:val="single" w:sz="4" w:space="0" w:color="auto"/>
            </w:tcBorders>
            <w:shd w:val="clear" w:color="auto" w:fill="auto"/>
            <w:vAlign w:val="bottom"/>
          </w:tcPr>
          <w:p w14:paraId="13CB717C"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2689</w:t>
            </w:r>
          </w:p>
        </w:tc>
        <w:tc>
          <w:tcPr>
            <w:tcW w:w="909" w:type="pct"/>
            <w:tcBorders>
              <w:top w:val="single" w:sz="4" w:space="0" w:color="auto"/>
              <w:bottom w:val="single" w:sz="4" w:space="0" w:color="auto"/>
            </w:tcBorders>
            <w:shd w:val="clear" w:color="auto" w:fill="auto"/>
            <w:vAlign w:val="bottom"/>
          </w:tcPr>
          <w:p w14:paraId="7ECD5BAA" w14:textId="77777777" w:rsidR="00196507" w:rsidRPr="00196507" w:rsidRDefault="00196507" w:rsidP="00196507">
            <w:pPr>
              <w:pStyle w:val="Tabletext"/>
              <w:rPr>
                <w:color w:val="000000" w:themeColor="text1"/>
              </w:rPr>
            </w:pPr>
            <w:r w:rsidRPr="00196507">
              <w:rPr>
                <w:color w:val="000000" w:themeColor="text1"/>
              </w:rPr>
              <w:t>22</w:t>
            </w:r>
            <w:r w:rsidR="00D7157D">
              <w:rPr>
                <w:color w:val="000000" w:themeColor="text1"/>
              </w:rPr>
              <w:t>.</w:t>
            </w:r>
            <w:r w:rsidRPr="00196507">
              <w:rPr>
                <w:color w:val="000000" w:themeColor="text1"/>
              </w:rPr>
              <w:t>9061</w:t>
            </w:r>
          </w:p>
        </w:tc>
        <w:tc>
          <w:tcPr>
            <w:tcW w:w="908" w:type="pct"/>
            <w:tcBorders>
              <w:top w:val="single" w:sz="4" w:space="0" w:color="auto"/>
              <w:bottom w:val="single" w:sz="4" w:space="0" w:color="auto"/>
              <w:right w:val="nil"/>
            </w:tcBorders>
            <w:shd w:val="clear" w:color="auto" w:fill="auto"/>
            <w:vAlign w:val="bottom"/>
          </w:tcPr>
          <w:p w14:paraId="27427CC0"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9044</w:t>
            </w:r>
          </w:p>
        </w:tc>
      </w:tr>
      <w:tr w:rsidR="00196507" w:rsidRPr="00F9176A" w14:paraId="30AE391F" w14:textId="77777777" w:rsidTr="00E05772">
        <w:trPr>
          <w:cantSplit/>
        </w:trPr>
        <w:tc>
          <w:tcPr>
            <w:tcW w:w="1365" w:type="pct"/>
            <w:tcBorders>
              <w:top w:val="single" w:sz="4" w:space="0" w:color="auto"/>
              <w:bottom w:val="single" w:sz="4" w:space="0" w:color="auto"/>
            </w:tcBorders>
          </w:tcPr>
          <w:p w14:paraId="0EE447D9" w14:textId="77777777" w:rsidR="00196507" w:rsidRPr="00F9176A" w:rsidRDefault="00196507" w:rsidP="00196507">
            <w:pPr>
              <w:pStyle w:val="Tabletext"/>
            </w:pPr>
            <w:r w:rsidRPr="00F9176A">
              <w:t>51</w:t>
            </w:r>
          </w:p>
        </w:tc>
        <w:tc>
          <w:tcPr>
            <w:tcW w:w="909" w:type="pct"/>
            <w:tcBorders>
              <w:top w:val="single" w:sz="4" w:space="0" w:color="auto"/>
              <w:bottom w:val="single" w:sz="4" w:space="0" w:color="auto"/>
            </w:tcBorders>
            <w:shd w:val="clear" w:color="auto" w:fill="auto"/>
            <w:vAlign w:val="bottom"/>
          </w:tcPr>
          <w:p w14:paraId="66A5075A" w14:textId="77777777" w:rsidR="00196507" w:rsidRPr="00196507" w:rsidRDefault="00196507" w:rsidP="00196507">
            <w:pPr>
              <w:pStyle w:val="Tabletext"/>
              <w:rPr>
                <w:color w:val="000000" w:themeColor="text1"/>
              </w:rPr>
            </w:pPr>
            <w:r w:rsidRPr="00196507">
              <w:rPr>
                <w:color w:val="000000" w:themeColor="text1"/>
              </w:rPr>
              <w:t>20</w:t>
            </w:r>
            <w:r w:rsidR="00D7157D">
              <w:rPr>
                <w:color w:val="000000" w:themeColor="text1"/>
              </w:rPr>
              <w:t>.</w:t>
            </w:r>
            <w:r w:rsidRPr="00196507">
              <w:rPr>
                <w:color w:val="000000" w:themeColor="text1"/>
              </w:rPr>
              <w:t>6389</w:t>
            </w:r>
          </w:p>
        </w:tc>
        <w:tc>
          <w:tcPr>
            <w:tcW w:w="909" w:type="pct"/>
            <w:tcBorders>
              <w:top w:val="single" w:sz="4" w:space="0" w:color="auto"/>
              <w:bottom w:val="single" w:sz="4" w:space="0" w:color="auto"/>
            </w:tcBorders>
            <w:shd w:val="clear" w:color="auto" w:fill="auto"/>
            <w:vAlign w:val="bottom"/>
          </w:tcPr>
          <w:p w14:paraId="6417F863"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7992</w:t>
            </w:r>
          </w:p>
        </w:tc>
        <w:tc>
          <w:tcPr>
            <w:tcW w:w="909" w:type="pct"/>
            <w:tcBorders>
              <w:top w:val="single" w:sz="4" w:space="0" w:color="auto"/>
              <w:bottom w:val="single" w:sz="4" w:space="0" w:color="auto"/>
            </w:tcBorders>
            <w:shd w:val="clear" w:color="auto" w:fill="auto"/>
            <w:vAlign w:val="bottom"/>
          </w:tcPr>
          <w:p w14:paraId="06A0CF00" w14:textId="77777777" w:rsidR="00196507" w:rsidRPr="00196507" w:rsidRDefault="00196507" w:rsidP="00196507">
            <w:pPr>
              <w:pStyle w:val="Tabletext"/>
              <w:rPr>
                <w:color w:val="000000" w:themeColor="text1"/>
              </w:rPr>
            </w:pPr>
            <w:r w:rsidRPr="00196507">
              <w:rPr>
                <w:color w:val="000000" w:themeColor="text1"/>
              </w:rPr>
              <w:t>22</w:t>
            </w:r>
            <w:r w:rsidR="00D7157D">
              <w:rPr>
                <w:color w:val="000000" w:themeColor="text1"/>
              </w:rPr>
              <w:t>.</w:t>
            </w:r>
            <w:r w:rsidRPr="00196507">
              <w:rPr>
                <w:color w:val="000000" w:themeColor="text1"/>
              </w:rPr>
              <w:t>4658</w:t>
            </w:r>
          </w:p>
        </w:tc>
        <w:tc>
          <w:tcPr>
            <w:tcW w:w="908" w:type="pct"/>
            <w:tcBorders>
              <w:top w:val="single" w:sz="4" w:space="0" w:color="auto"/>
              <w:bottom w:val="single" w:sz="4" w:space="0" w:color="auto"/>
              <w:right w:val="nil"/>
            </w:tcBorders>
            <w:shd w:val="clear" w:color="auto" w:fill="auto"/>
            <w:vAlign w:val="bottom"/>
          </w:tcPr>
          <w:p w14:paraId="6231EF1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7729</w:t>
            </w:r>
          </w:p>
        </w:tc>
      </w:tr>
      <w:tr w:rsidR="00196507" w:rsidRPr="00F9176A" w14:paraId="4D326992" w14:textId="77777777" w:rsidTr="00E05772">
        <w:trPr>
          <w:cantSplit/>
        </w:trPr>
        <w:tc>
          <w:tcPr>
            <w:tcW w:w="1365" w:type="pct"/>
            <w:tcBorders>
              <w:top w:val="single" w:sz="4" w:space="0" w:color="auto"/>
              <w:bottom w:val="single" w:sz="4" w:space="0" w:color="auto"/>
            </w:tcBorders>
          </w:tcPr>
          <w:p w14:paraId="26D22617" w14:textId="77777777" w:rsidR="00196507" w:rsidRPr="00F9176A" w:rsidRDefault="00196507" w:rsidP="00196507">
            <w:pPr>
              <w:pStyle w:val="Tabletext"/>
            </w:pPr>
            <w:r w:rsidRPr="00F9176A">
              <w:t>52</w:t>
            </w:r>
          </w:p>
        </w:tc>
        <w:tc>
          <w:tcPr>
            <w:tcW w:w="909" w:type="pct"/>
            <w:tcBorders>
              <w:top w:val="single" w:sz="4" w:space="0" w:color="auto"/>
              <w:bottom w:val="single" w:sz="4" w:space="0" w:color="auto"/>
            </w:tcBorders>
            <w:shd w:val="clear" w:color="auto" w:fill="auto"/>
            <w:vAlign w:val="bottom"/>
          </w:tcPr>
          <w:p w14:paraId="670C134D" w14:textId="77777777" w:rsidR="00196507" w:rsidRPr="00196507" w:rsidRDefault="00196507" w:rsidP="00196507">
            <w:pPr>
              <w:pStyle w:val="Tabletext"/>
              <w:rPr>
                <w:color w:val="000000" w:themeColor="text1"/>
              </w:rPr>
            </w:pPr>
            <w:r w:rsidRPr="00196507">
              <w:rPr>
                <w:color w:val="000000" w:themeColor="text1"/>
              </w:rPr>
              <w:t>20</w:t>
            </w:r>
            <w:r w:rsidR="00D7157D">
              <w:rPr>
                <w:color w:val="000000" w:themeColor="text1"/>
              </w:rPr>
              <w:t>.</w:t>
            </w:r>
            <w:r w:rsidRPr="00196507">
              <w:rPr>
                <w:color w:val="000000" w:themeColor="text1"/>
              </w:rPr>
              <w:t>1892</w:t>
            </w:r>
          </w:p>
        </w:tc>
        <w:tc>
          <w:tcPr>
            <w:tcW w:w="909" w:type="pct"/>
            <w:tcBorders>
              <w:top w:val="single" w:sz="4" w:space="0" w:color="auto"/>
              <w:bottom w:val="single" w:sz="4" w:space="0" w:color="auto"/>
            </w:tcBorders>
            <w:shd w:val="clear" w:color="auto" w:fill="auto"/>
            <w:vAlign w:val="bottom"/>
          </w:tcPr>
          <w:p w14:paraId="554D4DBC"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3213</w:t>
            </w:r>
          </w:p>
        </w:tc>
        <w:tc>
          <w:tcPr>
            <w:tcW w:w="909" w:type="pct"/>
            <w:tcBorders>
              <w:top w:val="single" w:sz="4" w:space="0" w:color="auto"/>
              <w:bottom w:val="single" w:sz="4" w:space="0" w:color="auto"/>
            </w:tcBorders>
            <w:shd w:val="clear" w:color="auto" w:fill="auto"/>
            <w:vAlign w:val="bottom"/>
          </w:tcPr>
          <w:p w14:paraId="11ABFA32" w14:textId="77777777" w:rsidR="00196507" w:rsidRPr="00196507" w:rsidRDefault="00196507" w:rsidP="00196507">
            <w:pPr>
              <w:pStyle w:val="Tabletext"/>
              <w:rPr>
                <w:color w:val="000000" w:themeColor="text1"/>
              </w:rPr>
            </w:pPr>
            <w:r w:rsidRPr="00196507">
              <w:rPr>
                <w:color w:val="000000" w:themeColor="text1"/>
              </w:rPr>
              <w:t>22</w:t>
            </w:r>
            <w:r w:rsidR="00D7157D">
              <w:rPr>
                <w:color w:val="000000" w:themeColor="text1"/>
              </w:rPr>
              <w:t>.</w:t>
            </w:r>
            <w:r w:rsidRPr="00196507">
              <w:rPr>
                <w:color w:val="000000" w:themeColor="text1"/>
              </w:rPr>
              <w:t>0191</w:t>
            </w:r>
          </w:p>
        </w:tc>
        <w:tc>
          <w:tcPr>
            <w:tcW w:w="908" w:type="pct"/>
            <w:tcBorders>
              <w:top w:val="single" w:sz="4" w:space="0" w:color="auto"/>
              <w:bottom w:val="single" w:sz="4" w:space="0" w:color="auto"/>
              <w:right w:val="nil"/>
            </w:tcBorders>
            <w:shd w:val="clear" w:color="auto" w:fill="auto"/>
            <w:vAlign w:val="bottom"/>
          </w:tcPr>
          <w:p w14:paraId="0DA9FBE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6397</w:t>
            </w:r>
          </w:p>
        </w:tc>
      </w:tr>
      <w:tr w:rsidR="00196507" w:rsidRPr="00F9176A" w14:paraId="52B382C7" w14:textId="77777777" w:rsidTr="00E05772">
        <w:trPr>
          <w:cantSplit/>
        </w:trPr>
        <w:tc>
          <w:tcPr>
            <w:tcW w:w="1365" w:type="pct"/>
            <w:tcBorders>
              <w:top w:val="single" w:sz="4" w:space="0" w:color="auto"/>
              <w:bottom w:val="single" w:sz="4" w:space="0" w:color="auto"/>
            </w:tcBorders>
          </w:tcPr>
          <w:p w14:paraId="2208E1E7" w14:textId="77777777" w:rsidR="00196507" w:rsidRPr="00F9176A" w:rsidRDefault="00196507" w:rsidP="00196507">
            <w:pPr>
              <w:pStyle w:val="Tabletext"/>
            </w:pPr>
            <w:r w:rsidRPr="00F9176A">
              <w:t>53</w:t>
            </w:r>
          </w:p>
        </w:tc>
        <w:tc>
          <w:tcPr>
            <w:tcW w:w="909" w:type="pct"/>
            <w:tcBorders>
              <w:top w:val="single" w:sz="4" w:space="0" w:color="auto"/>
              <w:bottom w:val="single" w:sz="4" w:space="0" w:color="auto"/>
            </w:tcBorders>
            <w:shd w:val="clear" w:color="auto" w:fill="auto"/>
            <w:vAlign w:val="bottom"/>
          </w:tcPr>
          <w:p w14:paraId="49CF28EB" w14:textId="77777777" w:rsidR="00196507" w:rsidRPr="00196507" w:rsidRDefault="00196507" w:rsidP="00196507">
            <w:pPr>
              <w:pStyle w:val="Tabletext"/>
              <w:rPr>
                <w:color w:val="000000" w:themeColor="text1"/>
              </w:rPr>
            </w:pPr>
            <w:r w:rsidRPr="00196507">
              <w:rPr>
                <w:color w:val="000000" w:themeColor="text1"/>
              </w:rPr>
              <w:t>19</w:t>
            </w:r>
            <w:r w:rsidR="00D7157D">
              <w:rPr>
                <w:color w:val="000000" w:themeColor="text1"/>
              </w:rPr>
              <w:t>.</w:t>
            </w:r>
            <w:r w:rsidRPr="00196507">
              <w:rPr>
                <w:color w:val="000000" w:themeColor="text1"/>
              </w:rPr>
              <w:t>7357</w:t>
            </w:r>
          </w:p>
        </w:tc>
        <w:tc>
          <w:tcPr>
            <w:tcW w:w="909" w:type="pct"/>
            <w:tcBorders>
              <w:top w:val="single" w:sz="4" w:space="0" w:color="auto"/>
              <w:bottom w:val="single" w:sz="4" w:space="0" w:color="auto"/>
            </w:tcBorders>
            <w:shd w:val="clear" w:color="auto" w:fill="auto"/>
            <w:vAlign w:val="bottom"/>
          </w:tcPr>
          <w:p w14:paraId="2B619C95"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8355</w:t>
            </w:r>
          </w:p>
        </w:tc>
        <w:tc>
          <w:tcPr>
            <w:tcW w:w="909" w:type="pct"/>
            <w:tcBorders>
              <w:top w:val="single" w:sz="4" w:space="0" w:color="auto"/>
              <w:bottom w:val="single" w:sz="4" w:space="0" w:color="auto"/>
            </w:tcBorders>
            <w:shd w:val="clear" w:color="auto" w:fill="auto"/>
            <w:vAlign w:val="bottom"/>
          </w:tcPr>
          <w:p w14:paraId="5AC0D878"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5669</w:t>
            </w:r>
          </w:p>
        </w:tc>
        <w:tc>
          <w:tcPr>
            <w:tcW w:w="908" w:type="pct"/>
            <w:tcBorders>
              <w:top w:val="single" w:sz="4" w:space="0" w:color="auto"/>
              <w:bottom w:val="single" w:sz="4" w:space="0" w:color="auto"/>
              <w:right w:val="nil"/>
            </w:tcBorders>
            <w:shd w:val="clear" w:color="auto" w:fill="auto"/>
            <w:vAlign w:val="bottom"/>
          </w:tcPr>
          <w:p w14:paraId="333D535A"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5048</w:t>
            </w:r>
          </w:p>
        </w:tc>
      </w:tr>
      <w:tr w:rsidR="00196507" w:rsidRPr="00F9176A" w14:paraId="21360562" w14:textId="77777777" w:rsidTr="00E05772">
        <w:trPr>
          <w:cantSplit/>
        </w:trPr>
        <w:tc>
          <w:tcPr>
            <w:tcW w:w="1365" w:type="pct"/>
            <w:tcBorders>
              <w:top w:val="single" w:sz="4" w:space="0" w:color="auto"/>
              <w:bottom w:val="single" w:sz="4" w:space="0" w:color="auto"/>
            </w:tcBorders>
          </w:tcPr>
          <w:p w14:paraId="4BACF963" w14:textId="77777777" w:rsidR="00196507" w:rsidRPr="00F9176A" w:rsidRDefault="00196507" w:rsidP="00196507">
            <w:pPr>
              <w:pStyle w:val="Tabletext"/>
            </w:pPr>
            <w:r w:rsidRPr="00F9176A">
              <w:t>54</w:t>
            </w:r>
          </w:p>
        </w:tc>
        <w:tc>
          <w:tcPr>
            <w:tcW w:w="909" w:type="pct"/>
            <w:tcBorders>
              <w:top w:val="single" w:sz="4" w:space="0" w:color="auto"/>
              <w:bottom w:val="single" w:sz="4" w:space="0" w:color="auto"/>
            </w:tcBorders>
            <w:shd w:val="clear" w:color="auto" w:fill="auto"/>
            <w:vAlign w:val="bottom"/>
          </w:tcPr>
          <w:p w14:paraId="45E836C9" w14:textId="77777777" w:rsidR="00196507" w:rsidRPr="00196507" w:rsidRDefault="00196507" w:rsidP="00196507">
            <w:pPr>
              <w:pStyle w:val="Tabletext"/>
              <w:rPr>
                <w:color w:val="000000" w:themeColor="text1"/>
              </w:rPr>
            </w:pPr>
            <w:r w:rsidRPr="00196507">
              <w:rPr>
                <w:color w:val="000000" w:themeColor="text1"/>
              </w:rPr>
              <w:t>19</w:t>
            </w:r>
            <w:r w:rsidR="00D7157D">
              <w:rPr>
                <w:color w:val="000000" w:themeColor="text1"/>
              </w:rPr>
              <w:t>.</w:t>
            </w:r>
            <w:r w:rsidRPr="00196507">
              <w:rPr>
                <w:color w:val="000000" w:themeColor="text1"/>
              </w:rPr>
              <w:t>2791</w:t>
            </w:r>
          </w:p>
        </w:tc>
        <w:tc>
          <w:tcPr>
            <w:tcW w:w="909" w:type="pct"/>
            <w:tcBorders>
              <w:top w:val="single" w:sz="4" w:space="0" w:color="auto"/>
              <w:bottom w:val="single" w:sz="4" w:space="0" w:color="auto"/>
            </w:tcBorders>
            <w:shd w:val="clear" w:color="auto" w:fill="auto"/>
            <w:vAlign w:val="bottom"/>
          </w:tcPr>
          <w:p w14:paraId="788AA577"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3426</w:t>
            </w:r>
          </w:p>
        </w:tc>
        <w:tc>
          <w:tcPr>
            <w:tcW w:w="909" w:type="pct"/>
            <w:tcBorders>
              <w:top w:val="single" w:sz="4" w:space="0" w:color="auto"/>
              <w:bottom w:val="single" w:sz="4" w:space="0" w:color="auto"/>
            </w:tcBorders>
            <w:shd w:val="clear" w:color="auto" w:fill="auto"/>
            <w:vAlign w:val="bottom"/>
          </w:tcPr>
          <w:p w14:paraId="79FACE5F"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1094</w:t>
            </w:r>
          </w:p>
        </w:tc>
        <w:tc>
          <w:tcPr>
            <w:tcW w:w="908" w:type="pct"/>
            <w:tcBorders>
              <w:top w:val="single" w:sz="4" w:space="0" w:color="auto"/>
              <w:bottom w:val="single" w:sz="4" w:space="0" w:color="auto"/>
              <w:right w:val="nil"/>
            </w:tcBorders>
            <w:shd w:val="clear" w:color="auto" w:fill="auto"/>
            <w:vAlign w:val="bottom"/>
          </w:tcPr>
          <w:p w14:paraId="25CC145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3685</w:t>
            </w:r>
          </w:p>
        </w:tc>
      </w:tr>
      <w:tr w:rsidR="00196507" w:rsidRPr="00F9176A" w14:paraId="0661CBE2" w14:textId="77777777" w:rsidTr="00E05772">
        <w:trPr>
          <w:cantSplit/>
        </w:trPr>
        <w:tc>
          <w:tcPr>
            <w:tcW w:w="1365" w:type="pct"/>
            <w:tcBorders>
              <w:top w:val="single" w:sz="4" w:space="0" w:color="auto"/>
              <w:bottom w:val="single" w:sz="4" w:space="0" w:color="auto"/>
            </w:tcBorders>
          </w:tcPr>
          <w:p w14:paraId="30795306" w14:textId="77777777" w:rsidR="00196507" w:rsidRPr="00F9176A" w:rsidRDefault="00196507" w:rsidP="00196507">
            <w:pPr>
              <w:pStyle w:val="Tabletext"/>
            </w:pPr>
            <w:r w:rsidRPr="00F9176A">
              <w:t>55</w:t>
            </w:r>
          </w:p>
        </w:tc>
        <w:tc>
          <w:tcPr>
            <w:tcW w:w="909" w:type="pct"/>
            <w:tcBorders>
              <w:top w:val="single" w:sz="4" w:space="0" w:color="auto"/>
              <w:bottom w:val="single" w:sz="4" w:space="0" w:color="auto"/>
            </w:tcBorders>
            <w:shd w:val="clear" w:color="auto" w:fill="auto"/>
            <w:vAlign w:val="bottom"/>
          </w:tcPr>
          <w:p w14:paraId="3972DF87" w14:textId="77777777" w:rsidR="00196507" w:rsidRPr="00196507" w:rsidRDefault="00196507" w:rsidP="00196507">
            <w:pPr>
              <w:pStyle w:val="Tabletext"/>
              <w:rPr>
                <w:color w:val="000000" w:themeColor="text1"/>
              </w:rPr>
            </w:pPr>
            <w:r w:rsidRPr="00196507">
              <w:rPr>
                <w:color w:val="000000" w:themeColor="text1"/>
              </w:rPr>
              <w:t>18</w:t>
            </w:r>
            <w:r w:rsidR="00D7157D">
              <w:rPr>
                <w:color w:val="000000" w:themeColor="text1"/>
              </w:rPr>
              <w:t>.</w:t>
            </w:r>
            <w:r w:rsidRPr="00196507">
              <w:rPr>
                <w:color w:val="000000" w:themeColor="text1"/>
              </w:rPr>
              <w:t>8202</w:t>
            </w:r>
          </w:p>
        </w:tc>
        <w:tc>
          <w:tcPr>
            <w:tcW w:w="909" w:type="pct"/>
            <w:tcBorders>
              <w:top w:val="single" w:sz="4" w:space="0" w:color="auto"/>
              <w:bottom w:val="single" w:sz="4" w:space="0" w:color="auto"/>
            </w:tcBorders>
            <w:shd w:val="clear" w:color="auto" w:fill="auto"/>
            <w:vAlign w:val="bottom"/>
          </w:tcPr>
          <w:p w14:paraId="06F6096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8433</w:t>
            </w:r>
          </w:p>
        </w:tc>
        <w:tc>
          <w:tcPr>
            <w:tcW w:w="909" w:type="pct"/>
            <w:tcBorders>
              <w:top w:val="single" w:sz="4" w:space="0" w:color="auto"/>
              <w:bottom w:val="single" w:sz="4" w:space="0" w:color="auto"/>
            </w:tcBorders>
            <w:shd w:val="clear" w:color="auto" w:fill="auto"/>
            <w:vAlign w:val="bottom"/>
          </w:tcPr>
          <w:p w14:paraId="27D443BC" w14:textId="77777777" w:rsidR="00196507" w:rsidRPr="00196507" w:rsidRDefault="00196507" w:rsidP="00196507">
            <w:pPr>
              <w:pStyle w:val="Tabletext"/>
              <w:rPr>
                <w:color w:val="000000" w:themeColor="text1"/>
              </w:rPr>
            </w:pPr>
            <w:r w:rsidRPr="00196507">
              <w:rPr>
                <w:color w:val="000000" w:themeColor="text1"/>
              </w:rPr>
              <w:t>20</w:t>
            </w:r>
            <w:r w:rsidR="00D7157D">
              <w:rPr>
                <w:color w:val="000000" w:themeColor="text1"/>
              </w:rPr>
              <w:t>.</w:t>
            </w:r>
            <w:r w:rsidRPr="00196507">
              <w:rPr>
                <w:color w:val="000000" w:themeColor="text1"/>
              </w:rPr>
              <w:t>6463</w:t>
            </w:r>
          </w:p>
        </w:tc>
        <w:tc>
          <w:tcPr>
            <w:tcW w:w="908" w:type="pct"/>
            <w:tcBorders>
              <w:top w:val="single" w:sz="4" w:space="0" w:color="auto"/>
              <w:bottom w:val="single" w:sz="4" w:space="0" w:color="auto"/>
              <w:right w:val="nil"/>
            </w:tcBorders>
            <w:shd w:val="clear" w:color="auto" w:fill="auto"/>
            <w:vAlign w:val="bottom"/>
          </w:tcPr>
          <w:p w14:paraId="1537526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2310</w:t>
            </w:r>
          </w:p>
        </w:tc>
      </w:tr>
      <w:tr w:rsidR="00196507" w:rsidRPr="00F9176A" w14:paraId="6F436D7A" w14:textId="77777777" w:rsidTr="00E05772">
        <w:trPr>
          <w:cantSplit/>
        </w:trPr>
        <w:tc>
          <w:tcPr>
            <w:tcW w:w="1365" w:type="pct"/>
            <w:tcBorders>
              <w:top w:val="single" w:sz="4" w:space="0" w:color="auto"/>
              <w:bottom w:val="single" w:sz="4" w:space="0" w:color="auto"/>
            </w:tcBorders>
          </w:tcPr>
          <w:p w14:paraId="70D75DFD" w14:textId="77777777" w:rsidR="00196507" w:rsidRPr="00F9176A" w:rsidRDefault="00196507" w:rsidP="00196507">
            <w:pPr>
              <w:pStyle w:val="Tabletext"/>
            </w:pPr>
            <w:r w:rsidRPr="00F9176A">
              <w:t>56</w:t>
            </w:r>
          </w:p>
        </w:tc>
        <w:tc>
          <w:tcPr>
            <w:tcW w:w="909" w:type="pct"/>
            <w:tcBorders>
              <w:top w:val="single" w:sz="4" w:space="0" w:color="auto"/>
              <w:bottom w:val="single" w:sz="4" w:space="0" w:color="auto"/>
            </w:tcBorders>
            <w:shd w:val="clear" w:color="auto" w:fill="auto"/>
            <w:vAlign w:val="bottom"/>
          </w:tcPr>
          <w:p w14:paraId="113D984B" w14:textId="77777777" w:rsidR="00196507" w:rsidRPr="00196507" w:rsidRDefault="00196507" w:rsidP="00196507">
            <w:pPr>
              <w:pStyle w:val="Tabletext"/>
              <w:rPr>
                <w:color w:val="000000" w:themeColor="text1"/>
              </w:rPr>
            </w:pPr>
            <w:r w:rsidRPr="00196507">
              <w:rPr>
                <w:color w:val="000000" w:themeColor="text1"/>
              </w:rPr>
              <w:t>18</w:t>
            </w:r>
            <w:r w:rsidR="00D7157D">
              <w:rPr>
                <w:color w:val="000000" w:themeColor="text1"/>
              </w:rPr>
              <w:t>.</w:t>
            </w:r>
            <w:r w:rsidRPr="00196507">
              <w:rPr>
                <w:color w:val="000000" w:themeColor="text1"/>
              </w:rPr>
              <w:t>3592</w:t>
            </w:r>
          </w:p>
        </w:tc>
        <w:tc>
          <w:tcPr>
            <w:tcW w:w="909" w:type="pct"/>
            <w:tcBorders>
              <w:top w:val="single" w:sz="4" w:space="0" w:color="auto"/>
              <w:bottom w:val="single" w:sz="4" w:space="0" w:color="auto"/>
            </w:tcBorders>
            <w:shd w:val="clear" w:color="auto" w:fill="auto"/>
            <w:vAlign w:val="bottom"/>
          </w:tcPr>
          <w:p w14:paraId="03081F9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8468</w:t>
            </w:r>
          </w:p>
        </w:tc>
        <w:tc>
          <w:tcPr>
            <w:tcW w:w="909" w:type="pct"/>
            <w:tcBorders>
              <w:top w:val="single" w:sz="4" w:space="0" w:color="auto"/>
              <w:bottom w:val="single" w:sz="4" w:space="0" w:color="auto"/>
            </w:tcBorders>
            <w:shd w:val="clear" w:color="auto" w:fill="auto"/>
            <w:vAlign w:val="bottom"/>
          </w:tcPr>
          <w:p w14:paraId="69B062A8" w14:textId="77777777" w:rsidR="00196507" w:rsidRPr="00196507" w:rsidRDefault="00196507" w:rsidP="00196507">
            <w:pPr>
              <w:pStyle w:val="Tabletext"/>
              <w:rPr>
                <w:color w:val="000000" w:themeColor="text1"/>
              </w:rPr>
            </w:pPr>
            <w:r w:rsidRPr="00196507">
              <w:rPr>
                <w:color w:val="000000" w:themeColor="text1"/>
              </w:rPr>
              <w:t>20</w:t>
            </w:r>
            <w:r w:rsidR="00D7157D">
              <w:rPr>
                <w:color w:val="000000" w:themeColor="text1"/>
              </w:rPr>
              <w:t>.</w:t>
            </w:r>
            <w:r w:rsidRPr="00196507">
              <w:rPr>
                <w:color w:val="000000" w:themeColor="text1"/>
              </w:rPr>
              <w:t>1778</w:t>
            </w:r>
          </w:p>
        </w:tc>
        <w:tc>
          <w:tcPr>
            <w:tcW w:w="908" w:type="pct"/>
            <w:tcBorders>
              <w:top w:val="single" w:sz="4" w:space="0" w:color="auto"/>
              <w:bottom w:val="single" w:sz="4" w:space="0" w:color="auto"/>
              <w:right w:val="nil"/>
            </w:tcBorders>
            <w:shd w:val="clear" w:color="auto" w:fill="auto"/>
            <w:vAlign w:val="bottom"/>
          </w:tcPr>
          <w:p w14:paraId="2EC5A47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2315</w:t>
            </w:r>
          </w:p>
        </w:tc>
      </w:tr>
      <w:tr w:rsidR="00196507" w:rsidRPr="00F9176A" w14:paraId="0020EC4D" w14:textId="77777777" w:rsidTr="00E05772">
        <w:trPr>
          <w:cantSplit/>
        </w:trPr>
        <w:tc>
          <w:tcPr>
            <w:tcW w:w="1365" w:type="pct"/>
            <w:tcBorders>
              <w:top w:val="single" w:sz="4" w:space="0" w:color="auto"/>
              <w:bottom w:val="single" w:sz="4" w:space="0" w:color="auto"/>
            </w:tcBorders>
          </w:tcPr>
          <w:p w14:paraId="08CBD204" w14:textId="77777777" w:rsidR="00196507" w:rsidRPr="00F9176A" w:rsidRDefault="00196507" w:rsidP="00196507">
            <w:pPr>
              <w:pStyle w:val="Tabletext"/>
            </w:pPr>
            <w:r w:rsidRPr="00F9176A">
              <w:t>57</w:t>
            </w:r>
          </w:p>
        </w:tc>
        <w:tc>
          <w:tcPr>
            <w:tcW w:w="909" w:type="pct"/>
            <w:tcBorders>
              <w:top w:val="single" w:sz="4" w:space="0" w:color="auto"/>
              <w:bottom w:val="single" w:sz="4" w:space="0" w:color="auto"/>
            </w:tcBorders>
            <w:shd w:val="clear" w:color="auto" w:fill="auto"/>
            <w:vAlign w:val="bottom"/>
          </w:tcPr>
          <w:p w14:paraId="0E449E20" w14:textId="77777777" w:rsidR="00196507" w:rsidRPr="00196507" w:rsidRDefault="00196507" w:rsidP="00196507">
            <w:pPr>
              <w:pStyle w:val="Tabletext"/>
              <w:rPr>
                <w:color w:val="000000" w:themeColor="text1"/>
              </w:rPr>
            </w:pPr>
            <w:r w:rsidRPr="00196507">
              <w:rPr>
                <w:color w:val="000000" w:themeColor="text1"/>
              </w:rPr>
              <w:t>17</w:t>
            </w:r>
            <w:r w:rsidR="00D7157D">
              <w:rPr>
                <w:color w:val="000000" w:themeColor="text1"/>
              </w:rPr>
              <w:t>.</w:t>
            </w:r>
            <w:r w:rsidRPr="00196507">
              <w:rPr>
                <w:color w:val="000000" w:themeColor="text1"/>
              </w:rPr>
              <w:t>8966</w:t>
            </w:r>
          </w:p>
        </w:tc>
        <w:tc>
          <w:tcPr>
            <w:tcW w:w="909" w:type="pct"/>
            <w:tcBorders>
              <w:top w:val="single" w:sz="4" w:space="0" w:color="auto"/>
              <w:bottom w:val="single" w:sz="4" w:space="0" w:color="auto"/>
            </w:tcBorders>
            <w:shd w:val="clear" w:color="auto" w:fill="auto"/>
            <w:vAlign w:val="bottom"/>
          </w:tcPr>
          <w:p w14:paraId="7972EDB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8497</w:t>
            </w:r>
          </w:p>
        </w:tc>
        <w:tc>
          <w:tcPr>
            <w:tcW w:w="909" w:type="pct"/>
            <w:tcBorders>
              <w:top w:val="single" w:sz="4" w:space="0" w:color="auto"/>
              <w:bottom w:val="single" w:sz="4" w:space="0" w:color="auto"/>
            </w:tcBorders>
            <w:shd w:val="clear" w:color="auto" w:fill="auto"/>
            <w:vAlign w:val="bottom"/>
          </w:tcPr>
          <w:p w14:paraId="4916793F" w14:textId="77777777" w:rsidR="00196507" w:rsidRPr="00196507" w:rsidRDefault="00196507" w:rsidP="00196507">
            <w:pPr>
              <w:pStyle w:val="Tabletext"/>
              <w:rPr>
                <w:color w:val="000000" w:themeColor="text1"/>
              </w:rPr>
            </w:pPr>
            <w:r w:rsidRPr="00196507">
              <w:rPr>
                <w:color w:val="000000" w:themeColor="text1"/>
              </w:rPr>
              <w:t>19</w:t>
            </w:r>
            <w:r w:rsidR="00D7157D">
              <w:rPr>
                <w:color w:val="000000" w:themeColor="text1"/>
              </w:rPr>
              <w:t>.</w:t>
            </w:r>
            <w:r w:rsidRPr="00196507">
              <w:rPr>
                <w:color w:val="000000" w:themeColor="text1"/>
              </w:rPr>
              <w:t>7043</w:t>
            </w:r>
          </w:p>
        </w:tc>
        <w:tc>
          <w:tcPr>
            <w:tcW w:w="908" w:type="pct"/>
            <w:tcBorders>
              <w:top w:val="single" w:sz="4" w:space="0" w:color="auto"/>
              <w:bottom w:val="single" w:sz="4" w:space="0" w:color="auto"/>
              <w:right w:val="nil"/>
            </w:tcBorders>
            <w:shd w:val="clear" w:color="auto" w:fill="auto"/>
            <w:vAlign w:val="bottom"/>
          </w:tcPr>
          <w:p w14:paraId="7E3631C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2319</w:t>
            </w:r>
          </w:p>
        </w:tc>
      </w:tr>
      <w:tr w:rsidR="00196507" w:rsidRPr="00F9176A" w14:paraId="388002CD" w14:textId="77777777" w:rsidTr="00E05772">
        <w:trPr>
          <w:cantSplit/>
        </w:trPr>
        <w:tc>
          <w:tcPr>
            <w:tcW w:w="1365" w:type="pct"/>
            <w:tcBorders>
              <w:top w:val="single" w:sz="4" w:space="0" w:color="auto"/>
              <w:bottom w:val="single" w:sz="4" w:space="0" w:color="auto"/>
            </w:tcBorders>
          </w:tcPr>
          <w:p w14:paraId="0A15F841" w14:textId="77777777" w:rsidR="00196507" w:rsidRPr="00F9176A" w:rsidRDefault="00196507" w:rsidP="00196507">
            <w:pPr>
              <w:pStyle w:val="Tabletext"/>
            </w:pPr>
            <w:r w:rsidRPr="00F9176A">
              <w:t>58</w:t>
            </w:r>
          </w:p>
        </w:tc>
        <w:tc>
          <w:tcPr>
            <w:tcW w:w="909" w:type="pct"/>
            <w:tcBorders>
              <w:top w:val="single" w:sz="4" w:space="0" w:color="auto"/>
              <w:bottom w:val="single" w:sz="4" w:space="0" w:color="auto"/>
            </w:tcBorders>
            <w:shd w:val="clear" w:color="auto" w:fill="auto"/>
            <w:vAlign w:val="bottom"/>
          </w:tcPr>
          <w:p w14:paraId="07E18486" w14:textId="77777777" w:rsidR="00196507" w:rsidRPr="00196507" w:rsidRDefault="00196507" w:rsidP="00196507">
            <w:pPr>
              <w:pStyle w:val="Tabletext"/>
              <w:rPr>
                <w:color w:val="000000" w:themeColor="text1"/>
              </w:rPr>
            </w:pPr>
            <w:r w:rsidRPr="00196507">
              <w:rPr>
                <w:color w:val="000000" w:themeColor="text1"/>
              </w:rPr>
              <w:t>17</w:t>
            </w:r>
            <w:r w:rsidR="00D7157D">
              <w:rPr>
                <w:color w:val="000000" w:themeColor="text1"/>
              </w:rPr>
              <w:t>.</w:t>
            </w:r>
            <w:r w:rsidRPr="00196507">
              <w:rPr>
                <w:color w:val="000000" w:themeColor="text1"/>
              </w:rPr>
              <w:t>4325</w:t>
            </w:r>
          </w:p>
        </w:tc>
        <w:tc>
          <w:tcPr>
            <w:tcW w:w="909" w:type="pct"/>
            <w:tcBorders>
              <w:top w:val="single" w:sz="4" w:space="0" w:color="auto"/>
              <w:bottom w:val="single" w:sz="4" w:space="0" w:color="auto"/>
            </w:tcBorders>
            <w:shd w:val="clear" w:color="auto" w:fill="auto"/>
            <w:vAlign w:val="bottom"/>
          </w:tcPr>
          <w:p w14:paraId="71A5BF4A"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8519</w:t>
            </w:r>
          </w:p>
        </w:tc>
        <w:tc>
          <w:tcPr>
            <w:tcW w:w="909" w:type="pct"/>
            <w:tcBorders>
              <w:top w:val="single" w:sz="4" w:space="0" w:color="auto"/>
              <w:bottom w:val="single" w:sz="4" w:space="0" w:color="auto"/>
            </w:tcBorders>
            <w:shd w:val="clear" w:color="auto" w:fill="auto"/>
            <w:vAlign w:val="bottom"/>
          </w:tcPr>
          <w:p w14:paraId="7EA87AC9" w14:textId="77777777" w:rsidR="00196507" w:rsidRPr="00196507" w:rsidRDefault="00196507" w:rsidP="00196507">
            <w:pPr>
              <w:pStyle w:val="Tabletext"/>
              <w:rPr>
                <w:color w:val="000000" w:themeColor="text1"/>
              </w:rPr>
            </w:pPr>
            <w:r w:rsidRPr="00196507">
              <w:rPr>
                <w:color w:val="000000" w:themeColor="text1"/>
              </w:rPr>
              <w:t>19</w:t>
            </w:r>
            <w:r w:rsidR="00D7157D">
              <w:rPr>
                <w:color w:val="000000" w:themeColor="text1"/>
              </w:rPr>
              <w:t>.</w:t>
            </w:r>
            <w:r w:rsidRPr="00196507">
              <w:rPr>
                <w:color w:val="000000" w:themeColor="text1"/>
              </w:rPr>
              <w:t>2250</w:t>
            </w:r>
          </w:p>
        </w:tc>
        <w:tc>
          <w:tcPr>
            <w:tcW w:w="908" w:type="pct"/>
            <w:tcBorders>
              <w:top w:val="single" w:sz="4" w:space="0" w:color="auto"/>
              <w:bottom w:val="single" w:sz="4" w:space="0" w:color="auto"/>
              <w:right w:val="nil"/>
            </w:tcBorders>
            <w:shd w:val="clear" w:color="auto" w:fill="auto"/>
            <w:vAlign w:val="bottom"/>
          </w:tcPr>
          <w:p w14:paraId="207B628A"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2321</w:t>
            </w:r>
          </w:p>
        </w:tc>
      </w:tr>
      <w:tr w:rsidR="00196507" w:rsidRPr="00F9176A" w14:paraId="5C95694E" w14:textId="77777777" w:rsidTr="00E05772">
        <w:trPr>
          <w:cantSplit/>
        </w:trPr>
        <w:tc>
          <w:tcPr>
            <w:tcW w:w="1365" w:type="pct"/>
            <w:tcBorders>
              <w:top w:val="single" w:sz="4" w:space="0" w:color="auto"/>
              <w:bottom w:val="single" w:sz="4" w:space="0" w:color="auto"/>
            </w:tcBorders>
          </w:tcPr>
          <w:p w14:paraId="21F854EE" w14:textId="77777777" w:rsidR="00196507" w:rsidRPr="00F9176A" w:rsidRDefault="00196507" w:rsidP="00196507">
            <w:pPr>
              <w:pStyle w:val="Tabletext"/>
            </w:pPr>
            <w:r w:rsidRPr="00F9176A">
              <w:t>59</w:t>
            </w:r>
          </w:p>
        </w:tc>
        <w:tc>
          <w:tcPr>
            <w:tcW w:w="909" w:type="pct"/>
            <w:tcBorders>
              <w:top w:val="single" w:sz="4" w:space="0" w:color="auto"/>
              <w:bottom w:val="single" w:sz="4" w:space="0" w:color="auto"/>
            </w:tcBorders>
            <w:shd w:val="clear" w:color="auto" w:fill="auto"/>
            <w:vAlign w:val="bottom"/>
          </w:tcPr>
          <w:p w14:paraId="4EDEFBDC"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9670</w:t>
            </w:r>
          </w:p>
        </w:tc>
        <w:tc>
          <w:tcPr>
            <w:tcW w:w="909" w:type="pct"/>
            <w:tcBorders>
              <w:top w:val="single" w:sz="4" w:space="0" w:color="auto"/>
              <w:bottom w:val="single" w:sz="4" w:space="0" w:color="auto"/>
            </w:tcBorders>
            <w:shd w:val="clear" w:color="auto" w:fill="auto"/>
            <w:vAlign w:val="bottom"/>
          </w:tcPr>
          <w:p w14:paraId="5B71191C"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8533</w:t>
            </w:r>
          </w:p>
        </w:tc>
        <w:tc>
          <w:tcPr>
            <w:tcW w:w="909" w:type="pct"/>
            <w:tcBorders>
              <w:top w:val="single" w:sz="4" w:space="0" w:color="auto"/>
              <w:bottom w:val="single" w:sz="4" w:space="0" w:color="auto"/>
            </w:tcBorders>
            <w:shd w:val="clear" w:color="auto" w:fill="auto"/>
            <w:vAlign w:val="bottom"/>
          </w:tcPr>
          <w:p w14:paraId="1CDD407C" w14:textId="77777777" w:rsidR="00196507" w:rsidRPr="00196507" w:rsidRDefault="00196507" w:rsidP="00196507">
            <w:pPr>
              <w:pStyle w:val="Tabletext"/>
              <w:rPr>
                <w:color w:val="000000" w:themeColor="text1"/>
              </w:rPr>
            </w:pPr>
            <w:r w:rsidRPr="00196507">
              <w:rPr>
                <w:color w:val="000000" w:themeColor="text1"/>
              </w:rPr>
              <w:t>18</w:t>
            </w:r>
            <w:r w:rsidR="00D7157D">
              <w:rPr>
                <w:color w:val="000000" w:themeColor="text1"/>
              </w:rPr>
              <w:t>.</w:t>
            </w:r>
            <w:r w:rsidRPr="00196507">
              <w:rPr>
                <w:color w:val="000000" w:themeColor="text1"/>
              </w:rPr>
              <w:t>7403</w:t>
            </w:r>
          </w:p>
        </w:tc>
        <w:tc>
          <w:tcPr>
            <w:tcW w:w="908" w:type="pct"/>
            <w:tcBorders>
              <w:top w:val="single" w:sz="4" w:space="0" w:color="auto"/>
              <w:bottom w:val="single" w:sz="4" w:space="0" w:color="auto"/>
              <w:right w:val="nil"/>
            </w:tcBorders>
            <w:shd w:val="clear" w:color="auto" w:fill="auto"/>
            <w:vAlign w:val="bottom"/>
          </w:tcPr>
          <w:p w14:paraId="6EFF8B71"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2322</w:t>
            </w:r>
          </w:p>
        </w:tc>
      </w:tr>
      <w:tr w:rsidR="00196507" w:rsidRPr="00F9176A" w14:paraId="2F17BF33" w14:textId="77777777" w:rsidTr="00E05772">
        <w:trPr>
          <w:cantSplit/>
        </w:trPr>
        <w:tc>
          <w:tcPr>
            <w:tcW w:w="1365" w:type="pct"/>
            <w:tcBorders>
              <w:top w:val="single" w:sz="4" w:space="0" w:color="auto"/>
              <w:bottom w:val="single" w:sz="4" w:space="0" w:color="auto"/>
            </w:tcBorders>
          </w:tcPr>
          <w:p w14:paraId="6AF5CDE5" w14:textId="77777777" w:rsidR="00196507" w:rsidRPr="00F9176A" w:rsidRDefault="00196507" w:rsidP="00196507">
            <w:pPr>
              <w:pStyle w:val="Tabletext"/>
            </w:pPr>
            <w:r w:rsidRPr="00F9176A">
              <w:t>60</w:t>
            </w:r>
          </w:p>
        </w:tc>
        <w:tc>
          <w:tcPr>
            <w:tcW w:w="909" w:type="pct"/>
            <w:tcBorders>
              <w:top w:val="single" w:sz="4" w:space="0" w:color="auto"/>
              <w:bottom w:val="single" w:sz="4" w:space="0" w:color="auto"/>
            </w:tcBorders>
            <w:shd w:val="clear" w:color="auto" w:fill="auto"/>
            <w:vAlign w:val="bottom"/>
          </w:tcPr>
          <w:p w14:paraId="72E8ADFE"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5003</w:t>
            </w:r>
          </w:p>
        </w:tc>
        <w:tc>
          <w:tcPr>
            <w:tcW w:w="909" w:type="pct"/>
            <w:tcBorders>
              <w:top w:val="single" w:sz="4" w:space="0" w:color="auto"/>
              <w:bottom w:val="single" w:sz="4" w:space="0" w:color="auto"/>
            </w:tcBorders>
            <w:shd w:val="clear" w:color="auto" w:fill="auto"/>
            <w:vAlign w:val="bottom"/>
          </w:tcPr>
          <w:p w14:paraId="6367E760"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8540</w:t>
            </w:r>
          </w:p>
        </w:tc>
        <w:tc>
          <w:tcPr>
            <w:tcW w:w="909" w:type="pct"/>
            <w:tcBorders>
              <w:top w:val="single" w:sz="4" w:space="0" w:color="auto"/>
              <w:bottom w:val="single" w:sz="4" w:space="0" w:color="auto"/>
            </w:tcBorders>
            <w:shd w:val="clear" w:color="auto" w:fill="auto"/>
            <w:vAlign w:val="bottom"/>
          </w:tcPr>
          <w:p w14:paraId="242442B1" w14:textId="77777777" w:rsidR="00196507" w:rsidRPr="00196507" w:rsidRDefault="00196507" w:rsidP="00196507">
            <w:pPr>
              <w:pStyle w:val="Tabletext"/>
              <w:rPr>
                <w:color w:val="000000" w:themeColor="text1"/>
              </w:rPr>
            </w:pPr>
            <w:r w:rsidRPr="00196507">
              <w:rPr>
                <w:color w:val="000000" w:themeColor="text1"/>
              </w:rPr>
              <w:t>18</w:t>
            </w:r>
            <w:r w:rsidR="00D7157D">
              <w:rPr>
                <w:color w:val="000000" w:themeColor="text1"/>
              </w:rPr>
              <w:t>.</w:t>
            </w:r>
            <w:r w:rsidRPr="00196507">
              <w:rPr>
                <w:color w:val="000000" w:themeColor="text1"/>
              </w:rPr>
              <w:t>2500</w:t>
            </w:r>
          </w:p>
        </w:tc>
        <w:tc>
          <w:tcPr>
            <w:tcW w:w="908" w:type="pct"/>
            <w:tcBorders>
              <w:top w:val="single" w:sz="4" w:space="0" w:color="auto"/>
              <w:bottom w:val="single" w:sz="4" w:space="0" w:color="auto"/>
              <w:right w:val="nil"/>
            </w:tcBorders>
            <w:shd w:val="clear" w:color="auto" w:fill="auto"/>
            <w:vAlign w:val="bottom"/>
          </w:tcPr>
          <w:p w14:paraId="1E1F3A9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2321</w:t>
            </w:r>
          </w:p>
        </w:tc>
      </w:tr>
      <w:tr w:rsidR="00196507" w:rsidRPr="00F9176A" w14:paraId="41192184" w14:textId="77777777" w:rsidTr="00E05772">
        <w:trPr>
          <w:cantSplit/>
        </w:trPr>
        <w:tc>
          <w:tcPr>
            <w:tcW w:w="1365" w:type="pct"/>
            <w:tcBorders>
              <w:top w:val="single" w:sz="4" w:space="0" w:color="auto"/>
              <w:bottom w:val="single" w:sz="4" w:space="0" w:color="auto"/>
            </w:tcBorders>
          </w:tcPr>
          <w:p w14:paraId="3D0EC32C" w14:textId="77777777" w:rsidR="00196507" w:rsidRPr="00F9176A" w:rsidRDefault="00196507" w:rsidP="00196507">
            <w:pPr>
              <w:pStyle w:val="Tabletext"/>
            </w:pPr>
            <w:r w:rsidRPr="00F9176A">
              <w:t>61</w:t>
            </w:r>
          </w:p>
        </w:tc>
        <w:tc>
          <w:tcPr>
            <w:tcW w:w="909" w:type="pct"/>
            <w:tcBorders>
              <w:top w:val="single" w:sz="4" w:space="0" w:color="auto"/>
              <w:bottom w:val="single" w:sz="4" w:space="0" w:color="auto"/>
            </w:tcBorders>
            <w:shd w:val="clear" w:color="auto" w:fill="auto"/>
            <w:vAlign w:val="bottom"/>
          </w:tcPr>
          <w:p w14:paraId="7A6238EF"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0322</w:t>
            </w:r>
          </w:p>
        </w:tc>
        <w:tc>
          <w:tcPr>
            <w:tcW w:w="909" w:type="pct"/>
            <w:tcBorders>
              <w:top w:val="single" w:sz="4" w:space="0" w:color="auto"/>
              <w:bottom w:val="single" w:sz="4" w:space="0" w:color="auto"/>
            </w:tcBorders>
            <w:shd w:val="clear" w:color="auto" w:fill="auto"/>
            <w:vAlign w:val="bottom"/>
          </w:tcPr>
          <w:p w14:paraId="252F33B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8539</w:t>
            </w:r>
          </w:p>
        </w:tc>
        <w:tc>
          <w:tcPr>
            <w:tcW w:w="909" w:type="pct"/>
            <w:tcBorders>
              <w:top w:val="single" w:sz="4" w:space="0" w:color="auto"/>
              <w:bottom w:val="single" w:sz="4" w:space="0" w:color="auto"/>
            </w:tcBorders>
            <w:shd w:val="clear" w:color="auto" w:fill="auto"/>
            <w:vAlign w:val="bottom"/>
          </w:tcPr>
          <w:p w14:paraId="1EE0D0E0" w14:textId="77777777" w:rsidR="00196507" w:rsidRPr="00196507" w:rsidRDefault="00196507" w:rsidP="00196507">
            <w:pPr>
              <w:pStyle w:val="Tabletext"/>
              <w:rPr>
                <w:color w:val="000000" w:themeColor="text1"/>
              </w:rPr>
            </w:pPr>
            <w:r w:rsidRPr="00196507">
              <w:rPr>
                <w:color w:val="000000" w:themeColor="text1"/>
              </w:rPr>
              <w:t>17</w:t>
            </w:r>
            <w:r w:rsidR="00D7157D">
              <w:rPr>
                <w:color w:val="000000" w:themeColor="text1"/>
              </w:rPr>
              <w:t>.</w:t>
            </w:r>
            <w:r w:rsidRPr="00196507">
              <w:rPr>
                <w:color w:val="000000" w:themeColor="text1"/>
              </w:rPr>
              <w:t>7541</w:t>
            </w:r>
          </w:p>
        </w:tc>
        <w:tc>
          <w:tcPr>
            <w:tcW w:w="908" w:type="pct"/>
            <w:tcBorders>
              <w:top w:val="single" w:sz="4" w:space="0" w:color="auto"/>
              <w:bottom w:val="single" w:sz="4" w:space="0" w:color="auto"/>
              <w:right w:val="nil"/>
            </w:tcBorders>
            <w:shd w:val="clear" w:color="auto" w:fill="auto"/>
            <w:vAlign w:val="bottom"/>
          </w:tcPr>
          <w:p w14:paraId="31B9D47A"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2318</w:t>
            </w:r>
          </w:p>
        </w:tc>
      </w:tr>
      <w:tr w:rsidR="00196507" w:rsidRPr="00F9176A" w14:paraId="29DBD8F4" w14:textId="77777777" w:rsidTr="00E05772">
        <w:trPr>
          <w:cantSplit/>
        </w:trPr>
        <w:tc>
          <w:tcPr>
            <w:tcW w:w="1365" w:type="pct"/>
            <w:tcBorders>
              <w:top w:val="single" w:sz="4" w:space="0" w:color="auto"/>
              <w:bottom w:val="single" w:sz="4" w:space="0" w:color="auto"/>
            </w:tcBorders>
          </w:tcPr>
          <w:p w14:paraId="7C278C95" w14:textId="77777777" w:rsidR="00196507" w:rsidRPr="00F9176A" w:rsidRDefault="00196507" w:rsidP="00196507">
            <w:pPr>
              <w:pStyle w:val="Tabletext"/>
            </w:pPr>
            <w:r w:rsidRPr="00F9176A">
              <w:t>62</w:t>
            </w:r>
          </w:p>
        </w:tc>
        <w:tc>
          <w:tcPr>
            <w:tcW w:w="909" w:type="pct"/>
            <w:tcBorders>
              <w:top w:val="single" w:sz="4" w:space="0" w:color="auto"/>
              <w:bottom w:val="single" w:sz="4" w:space="0" w:color="auto"/>
            </w:tcBorders>
            <w:shd w:val="clear" w:color="auto" w:fill="auto"/>
            <w:vAlign w:val="bottom"/>
          </w:tcPr>
          <w:p w14:paraId="144922D9" w14:textId="77777777" w:rsidR="00196507" w:rsidRPr="00196507" w:rsidRDefault="00196507" w:rsidP="00196507">
            <w:pPr>
              <w:pStyle w:val="Tabletext"/>
              <w:rPr>
                <w:color w:val="000000" w:themeColor="text1"/>
              </w:rPr>
            </w:pPr>
            <w:r w:rsidRPr="00196507">
              <w:rPr>
                <w:color w:val="000000" w:themeColor="text1"/>
              </w:rPr>
              <w:t>15</w:t>
            </w:r>
            <w:r w:rsidR="00D7157D">
              <w:rPr>
                <w:color w:val="000000" w:themeColor="text1"/>
              </w:rPr>
              <w:t>.</w:t>
            </w:r>
            <w:r w:rsidRPr="00196507">
              <w:rPr>
                <w:color w:val="000000" w:themeColor="text1"/>
              </w:rPr>
              <w:t>5626</w:t>
            </w:r>
          </w:p>
        </w:tc>
        <w:tc>
          <w:tcPr>
            <w:tcW w:w="909" w:type="pct"/>
            <w:tcBorders>
              <w:top w:val="single" w:sz="4" w:space="0" w:color="auto"/>
              <w:bottom w:val="single" w:sz="4" w:space="0" w:color="auto"/>
            </w:tcBorders>
            <w:shd w:val="clear" w:color="auto" w:fill="auto"/>
            <w:vAlign w:val="bottom"/>
          </w:tcPr>
          <w:p w14:paraId="54CA95E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8530</w:t>
            </w:r>
          </w:p>
        </w:tc>
        <w:tc>
          <w:tcPr>
            <w:tcW w:w="909" w:type="pct"/>
            <w:tcBorders>
              <w:top w:val="single" w:sz="4" w:space="0" w:color="auto"/>
              <w:bottom w:val="single" w:sz="4" w:space="0" w:color="auto"/>
            </w:tcBorders>
            <w:shd w:val="clear" w:color="auto" w:fill="auto"/>
            <w:vAlign w:val="bottom"/>
          </w:tcPr>
          <w:p w14:paraId="7AE5AC29" w14:textId="77777777" w:rsidR="00196507" w:rsidRPr="00196507" w:rsidRDefault="00196507" w:rsidP="00196507">
            <w:pPr>
              <w:pStyle w:val="Tabletext"/>
              <w:rPr>
                <w:color w:val="000000" w:themeColor="text1"/>
              </w:rPr>
            </w:pPr>
            <w:r w:rsidRPr="00196507">
              <w:rPr>
                <w:color w:val="000000" w:themeColor="text1"/>
              </w:rPr>
              <w:t>17</w:t>
            </w:r>
            <w:r w:rsidR="00D7157D">
              <w:rPr>
                <w:color w:val="000000" w:themeColor="text1"/>
              </w:rPr>
              <w:t>.</w:t>
            </w:r>
            <w:r w:rsidRPr="00196507">
              <w:rPr>
                <w:color w:val="000000" w:themeColor="text1"/>
              </w:rPr>
              <w:t>2527</w:t>
            </w:r>
          </w:p>
        </w:tc>
        <w:tc>
          <w:tcPr>
            <w:tcW w:w="908" w:type="pct"/>
            <w:tcBorders>
              <w:top w:val="single" w:sz="4" w:space="0" w:color="auto"/>
              <w:bottom w:val="single" w:sz="4" w:space="0" w:color="auto"/>
              <w:right w:val="nil"/>
            </w:tcBorders>
            <w:shd w:val="clear" w:color="auto" w:fill="auto"/>
            <w:vAlign w:val="bottom"/>
          </w:tcPr>
          <w:p w14:paraId="580A9AA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2314</w:t>
            </w:r>
          </w:p>
        </w:tc>
      </w:tr>
      <w:tr w:rsidR="00196507" w:rsidRPr="00F9176A" w14:paraId="2F23146E" w14:textId="77777777" w:rsidTr="00E05772">
        <w:trPr>
          <w:cantSplit/>
        </w:trPr>
        <w:tc>
          <w:tcPr>
            <w:tcW w:w="1365" w:type="pct"/>
            <w:tcBorders>
              <w:top w:val="single" w:sz="4" w:space="0" w:color="auto"/>
              <w:bottom w:val="single" w:sz="4" w:space="0" w:color="auto"/>
            </w:tcBorders>
          </w:tcPr>
          <w:p w14:paraId="721ECBC6" w14:textId="77777777" w:rsidR="00196507" w:rsidRPr="00F9176A" w:rsidRDefault="00196507" w:rsidP="00196507">
            <w:pPr>
              <w:pStyle w:val="Tabletext"/>
            </w:pPr>
            <w:r w:rsidRPr="00F9176A">
              <w:t>63</w:t>
            </w:r>
          </w:p>
        </w:tc>
        <w:tc>
          <w:tcPr>
            <w:tcW w:w="909" w:type="pct"/>
            <w:tcBorders>
              <w:top w:val="single" w:sz="4" w:space="0" w:color="auto"/>
              <w:bottom w:val="single" w:sz="4" w:space="0" w:color="auto"/>
            </w:tcBorders>
            <w:shd w:val="clear" w:color="auto" w:fill="auto"/>
            <w:vAlign w:val="bottom"/>
          </w:tcPr>
          <w:p w14:paraId="227C618B" w14:textId="77777777" w:rsidR="00196507" w:rsidRPr="00196507" w:rsidRDefault="00196507" w:rsidP="00196507">
            <w:pPr>
              <w:pStyle w:val="Tabletext"/>
              <w:rPr>
                <w:color w:val="000000" w:themeColor="text1"/>
              </w:rPr>
            </w:pPr>
            <w:r w:rsidRPr="00196507">
              <w:rPr>
                <w:color w:val="000000" w:themeColor="text1"/>
              </w:rPr>
              <w:t>15</w:t>
            </w:r>
            <w:r w:rsidR="00D7157D">
              <w:rPr>
                <w:color w:val="000000" w:themeColor="text1"/>
              </w:rPr>
              <w:t>.</w:t>
            </w:r>
            <w:r w:rsidRPr="00196507">
              <w:rPr>
                <w:color w:val="000000" w:themeColor="text1"/>
              </w:rPr>
              <w:t>0913</w:t>
            </w:r>
          </w:p>
        </w:tc>
        <w:tc>
          <w:tcPr>
            <w:tcW w:w="909" w:type="pct"/>
            <w:tcBorders>
              <w:top w:val="single" w:sz="4" w:space="0" w:color="auto"/>
              <w:bottom w:val="single" w:sz="4" w:space="0" w:color="auto"/>
            </w:tcBorders>
            <w:shd w:val="clear" w:color="auto" w:fill="auto"/>
            <w:vAlign w:val="bottom"/>
          </w:tcPr>
          <w:p w14:paraId="18B6D9A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8515</w:t>
            </w:r>
          </w:p>
        </w:tc>
        <w:tc>
          <w:tcPr>
            <w:tcW w:w="909" w:type="pct"/>
            <w:tcBorders>
              <w:top w:val="single" w:sz="4" w:space="0" w:color="auto"/>
              <w:bottom w:val="single" w:sz="4" w:space="0" w:color="auto"/>
            </w:tcBorders>
            <w:shd w:val="clear" w:color="auto" w:fill="auto"/>
            <w:vAlign w:val="bottom"/>
          </w:tcPr>
          <w:p w14:paraId="39C8B270"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7463</w:t>
            </w:r>
          </w:p>
        </w:tc>
        <w:tc>
          <w:tcPr>
            <w:tcW w:w="908" w:type="pct"/>
            <w:tcBorders>
              <w:top w:val="single" w:sz="4" w:space="0" w:color="auto"/>
              <w:bottom w:val="single" w:sz="4" w:space="0" w:color="auto"/>
              <w:right w:val="nil"/>
            </w:tcBorders>
            <w:shd w:val="clear" w:color="auto" w:fill="auto"/>
            <w:vAlign w:val="bottom"/>
          </w:tcPr>
          <w:p w14:paraId="63723333"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2308</w:t>
            </w:r>
          </w:p>
        </w:tc>
      </w:tr>
      <w:tr w:rsidR="00196507" w:rsidRPr="00F9176A" w14:paraId="16546DE1" w14:textId="77777777" w:rsidTr="00E05772">
        <w:trPr>
          <w:cantSplit/>
        </w:trPr>
        <w:tc>
          <w:tcPr>
            <w:tcW w:w="1365" w:type="pct"/>
            <w:tcBorders>
              <w:top w:val="single" w:sz="4" w:space="0" w:color="auto"/>
              <w:bottom w:val="single" w:sz="4" w:space="0" w:color="auto"/>
            </w:tcBorders>
          </w:tcPr>
          <w:p w14:paraId="6FD37ED3" w14:textId="77777777" w:rsidR="00196507" w:rsidRPr="00F9176A" w:rsidRDefault="00196507" w:rsidP="00196507">
            <w:pPr>
              <w:pStyle w:val="Tabletext"/>
            </w:pPr>
            <w:r w:rsidRPr="00F9176A">
              <w:t>64</w:t>
            </w:r>
          </w:p>
        </w:tc>
        <w:tc>
          <w:tcPr>
            <w:tcW w:w="909" w:type="pct"/>
            <w:tcBorders>
              <w:top w:val="single" w:sz="4" w:space="0" w:color="auto"/>
              <w:bottom w:val="single" w:sz="4" w:space="0" w:color="auto"/>
            </w:tcBorders>
            <w:shd w:val="clear" w:color="auto" w:fill="auto"/>
            <w:vAlign w:val="bottom"/>
          </w:tcPr>
          <w:p w14:paraId="1FB54DB4" w14:textId="77777777" w:rsidR="00196507" w:rsidRPr="00196507" w:rsidRDefault="00196507" w:rsidP="00196507">
            <w:pPr>
              <w:pStyle w:val="Tabletext"/>
              <w:rPr>
                <w:color w:val="000000" w:themeColor="text1"/>
              </w:rPr>
            </w:pPr>
            <w:r w:rsidRPr="00196507">
              <w:rPr>
                <w:color w:val="000000" w:themeColor="text1"/>
              </w:rPr>
              <w:t>14</w:t>
            </w:r>
            <w:r w:rsidR="00D7157D">
              <w:rPr>
                <w:color w:val="000000" w:themeColor="text1"/>
              </w:rPr>
              <w:t>.</w:t>
            </w:r>
            <w:r w:rsidRPr="00196507">
              <w:rPr>
                <w:color w:val="000000" w:themeColor="text1"/>
              </w:rPr>
              <w:t>6187</w:t>
            </w:r>
          </w:p>
        </w:tc>
        <w:tc>
          <w:tcPr>
            <w:tcW w:w="909" w:type="pct"/>
            <w:tcBorders>
              <w:top w:val="single" w:sz="4" w:space="0" w:color="auto"/>
              <w:bottom w:val="single" w:sz="4" w:space="0" w:color="auto"/>
            </w:tcBorders>
            <w:shd w:val="clear" w:color="auto" w:fill="auto"/>
            <w:vAlign w:val="bottom"/>
          </w:tcPr>
          <w:p w14:paraId="0972BF5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8492</w:t>
            </w:r>
          </w:p>
        </w:tc>
        <w:tc>
          <w:tcPr>
            <w:tcW w:w="909" w:type="pct"/>
            <w:tcBorders>
              <w:top w:val="single" w:sz="4" w:space="0" w:color="auto"/>
              <w:bottom w:val="single" w:sz="4" w:space="0" w:color="auto"/>
            </w:tcBorders>
            <w:shd w:val="clear" w:color="auto" w:fill="auto"/>
            <w:vAlign w:val="bottom"/>
          </w:tcPr>
          <w:p w14:paraId="12235B5A"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2355</w:t>
            </w:r>
          </w:p>
        </w:tc>
        <w:tc>
          <w:tcPr>
            <w:tcW w:w="908" w:type="pct"/>
            <w:tcBorders>
              <w:top w:val="single" w:sz="4" w:space="0" w:color="auto"/>
              <w:bottom w:val="single" w:sz="4" w:space="0" w:color="auto"/>
              <w:right w:val="nil"/>
            </w:tcBorders>
            <w:shd w:val="clear" w:color="auto" w:fill="auto"/>
            <w:vAlign w:val="bottom"/>
          </w:tcPr>
          <w:p w14:paraId="71745100"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2300</w:t>
            </w:r>
          </w:p>
        </w:tc>
      </w:tr>
      <w:tr w:rsidR="00196507" w:rsidRPr="00F9176A" w14:paraId="728AB3B6" w14:textId="77777777" w:rsidTr="00E05772">
        <w:trPr>
          <w:cantSplit/>
        </w:trPr>
        <w:tc>
          <w:tcPr>
            <w:tcW w:w="1365" w:type="pct"/>
            <w:tcBorders>
              <w:top w:val="single" w:sz="4" w:space="0" w:color="auto"/>
              <w:bottom w:val="single" w:sz="4" w:space="0" w:color="auto"/>
            </w:tcBorders>
          </w:tcPr>
          <w:p w14:paraId="40081466" w14:textId="77777777" w:rsidR="00196507" w:rsidRPr="00F9176A" w:rsidRDefault="00196507" w:rsidP="00196507">
            <w:pPr>
              <w:pStyle w:val="Tabletext"/>
            </w:pPr>
            <w:r w:rsidRPr="00F9176A">
              <w:t>65</w:t>
            </w:r>
          </w:p>
        </w:tc>
        <w:tc>
          <w:tcPr>
            <w:tcW w:w="909" w:type="pct"/>
            <w:tcBorders>
              <w:top w:val="single" w:sz="4" w:space="0" w:color="auto"/>
              <w:bottom w:val="single" w:sz="4" w:space="0" w:color="auto"/>
            </w:tcBorders>
            <w:shd w:val="clear" w:color="auto" w:fill="auto"/>
            <w:vAlign w:val="bottom"/>
          </w:tcPr>
          <w:p w14:paraId="110367B9" w14:textId="77777777" w:rsidR="00196507" w:rsidRPr="00196507" w:rsidRDefault="00196507" w:rsidP="00196507">
            <w:pPr>
              <w:pStyle w:val="Tabletext"/>
              <w:rPr>
                <w:color w:val="000000" w:themeColor="text1"/>
              </w:rPr>
            </w:pPr>
            <w:r w:rsidRPr="00196507">
              <w:rPr>
                <w:color w:val="000000" w:themeColor="text1"/>
              </w:rPr>
              <w:t>14</w:t>
            </w:r>
            <w:r w:rsidR="00D7157D">
              <w:rPr>
                <w:color w:val="000000" w:themeColor="text1"/>
              </w:rPr>
              <w:t>.</w:t>
            </w:r>
            <w:r w:rsidRPr="00196507">
              <w:rPr>
                <w:color w:val="000000" w:themeColor="text1"/>
              </w:rPr>
              <w:t>1453</w:t>
            </w:r>
          </w:p>
        </w:tc>
        <w:tc>
          <w:tcPr>
            <w:tcW w:w="909" w:type="pct"/>
            <w:tcBorders>
              <w:top w:val="single" w:sz="4" w:space="0" w:color="auto"/>
              <w:bottom w:val="single" w:sz="4" w:space="0" w:color="auto"/>
            </w:tcBorders>
            <w:shd w:val="clear" w:color="auto" w:fill="auto"/>
            <w:vAlign w:val="bottom"/>
          </w:tcPr>
          <w:p w14:paraId="4AAECF71"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8461</w:t>
            </w:r>
          </w:p>
        </w:tc>
        <w:tc>
          <w:tcPr>
            <w:tcW w:w="909" w:type="pct"/>
            <w:tcBorders>
              <w:top w:val="single" w:sz="4" w:space="0" w:color="auto"/>
              <w:bottom w:val="single" w:sz="4" w:space="0" w:color="auto"/>
            </w:tcBorders>
            <w:shd w:val="clear" w:color="auto" w:fill="auto"/>
            <w:vAlign w:val="bottom"/>
          </w:tcPr>
          <w:p w14:paraId="2F58F479" w14:textId="77777777" w:rsidR="00196507" w:rsidRPr="00196507" w:rsidRDefault="00196507" w:rsidP="00196507">
            <w:pPr>
              <w:pStyle w:val="Tabletext"/>
              <w:rPr>
                <w:color w:val="000000" w:themeColor="text1"/>
              </w:rPr>
            </w:pPr>
            <w:r w:rsidRPr="00196507">
              <w:rPr>
                <w:color w:val="000000" w:themeColor="text1"/>
              </w:rPr>
              <w:t>15</w:t>
            </w:r>
            <w:r w:rsidR="00D7157D">
              <w:rPr>
                <w:color w:val="000000" w:themeColor="text1"/>
              </w:rPr>
              <w:t>.</w:t>
            </w:r>
            <w:r w:rsidRPr="00196507">
              <w:rPr>
                <w:color w:val="000000" w:themeColor="text1"/>
              </w:rPr>
              <w:t>7214</w:t>
            </w:r>
          </w:p>
        </w:tc>
        <w:tc>
          <w:tcPr>
            <w:tcW w:w="908" w:type="pct"/>
            <w:tcBorders>
              <w:top w:val="single" w:sz="4" w:space="0" w:color="auto"/>
              <w:bottom w:val="single" w:sz="4" w:space="0" w:color="auto"/>
              <w:right w:val="nil"/>
            </w:tcBorders>
            <w:shd w:val="clear" w:color="auto" w:fill="auto"/>
            <w:vAlign w:val="bottom"/>
          </w:tcPr>
          <w:p w14:paraId="02A7984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2290</w:t>
            </w:r>
          </w:p>
        </w:tc>
      </w:tr>
      <w:tr w:rsidR="00196507" w:rsidRPr="00F9176A" w14:paraId="7EC2F71C" w14:textId="77777777" w:rsidTr="00E05772">
        <w:trPr>
          <w:cantSplit/>
        </w:trPr>
        <w:tc>
          <w:tcPr>
            <w:tcW w:w="1365" w:type="pct"/>
            <w:tcBorders>
              <w:top w:val="single" w:sz="4" w:space="0" w:color="auto"/>
              <w:bottom w:val="single" w:sz="4" w:space="0" w:color="auto"/>
            </w:tcBorders>
          </w:tcPr>
          <w:p w14:paraId="4E1D42FB" w14:textId="77777777" w:rsidR="00196507" w:rsidRPr="00F9176A" w:rsidRDefault="00196507" w:rsidP="00196507">
            <w:pPr>
              <w:pStyle w:val="Tabletext"/>
            </w:pPr>
            <w:r w:rsidRPr="00F9176A">
              <w:t>66</w:t>
            </w:r>
          </w:p>
        </w:tc>
        <w:tc>
          <w:tcPr>
            <w:tcW w:w="909" w:type="pct"/>
            <w:tcBorders>
              <w:top w:val="single" w:sz="4" w:space="0" w:color="auto"/>
              <w:bottom w:val="single" w:sz="4" w:space="0" w:color="auto"/>
            </w:tcBorders>
            <w:shd w:val="clear" w:color="auto" w:fill="auto"/>
            <w:vAlign w:val="bottom"/>
          </w:tcPr>
          <w:p w14:paraId="539F7D4F" w14:textId="77777777" w:rsidR="00196507" w:rsidRPr="00196507" w:rsidRDefault="00196507" w:rsidP="00196507">
            <w:pPr>
              <w:pStyle w:val="Tabletext"/>
              <w:rPr>
                <w:color w:val="000000" w:themeColor="text1"/>
              </w:rPr>
            </w:pPr>
            <w:r w:rsidRPr="00196507">
              <w:rPr>
                <w:color w:val="000000" w:themeColor="text1"/>
              </w:rPr>
              <w:t>13</w:t>
            </w:r>
            <w:r w:rsidR="00D7157D">
              <w:rPr>
                <w:color w:val="000000" w:themeColor="text1"/>
              </w:rPr>
              <w:t>.</w:t>
            </w:r>
            <w:r w:rsidRPr="00196507">
              <w:rPr>
                <w:color w:val="000000" w:themeColor="text1"/>
              </w:rPr>
              <w:t>6722</w:t>
            </w:r>
          </w:p>
        </w:tc>
        <w:tc>
          <w:tcPr>
            <w:tcW w:w="909" w:type="pct"/>
            <w:tcBorders>
              <w:top w:val="single" w:sz="4" w:space="0" w:color="auto"/>
              <w:bottom w:val="single" w:sz="4" w:space="0" w:color="auto"/>
            </w:tcBorders>
            <w:shd w:val="clear" w:color="auto" w:fill="auto"/>
            <w:vAlign w:val="bottom"/>
          </w:tcPr>
          <w:p w14:paraId="28972FA5"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8420</w:t>
            </w:r>
          </w:p>
        </w:tc>
        <w:tc>
          <w:tcPr>
            <w:tcW w:w="909" w:type="pct"/>
            <w:tcBorders>
              <w:top w:val="single" w:sz="4" w:space="0" w:color="auto"/>
              <w:bottom w:val="single" w:sz="4" w:space="0" w:color="auto"/>
            </w:tcBorders>
            <w:shd w:val="clear" w:color="auto" w:fill="auto"/>
            <w:vAlign w:val="bottom"/>
          </w:tcPr>
          <w:p w14:paraId="4B0B8EA7" w14:textId="77777777" w:rsidR="00196507" w:rsidRPr="00196507" w:rsidRDefault="00196507" w:rsidP="00196507">
            <w:pPr>
              <w:pStyle w:val="Tabletext"/>
              <w:rPr>
                <w:color w:val="000000" w:themeColor="text1"/>
              </w:rPr>
            </w:pPr>
            <w:r w:rsidRPr="00196507">
              <w:rPr>
                <w:color w:val="000000" w:themeColor="text1"/>
              </w:rPr>
              <w:t>15</w:t>
            </w:r>
            <w:r w:rsidR="00D7157D">
              <w:rPr>
                <w:color w:val="000000" w:themeColor="text1"/>
              </w:rPr>
              <w:t>.</w:t>
            </w:r>
            <w:r w:rsidRPr="00196507">
              <w:rPr>
                <w:color w:val="000000" w:themeColor="text1"/>
              </w:rPr>
              <w:t>2048</w:t>
            </w:r>
          </w:p>
        </w:tc>
        <w:tc>
          <w:tcPr>
            <w:tcW w:w="908" w:type="pct"/>
            <w:tcBorders>
              <w:top w:val="single" w:sz="4" w:space="0" w:color="auto"/>
              <w:bottom w:val="single" w:sz="4" w:space="0" w:color="auto"/>
              <w:right w:val="nil"/>
            </w:tcBorders>
            <w:shd w:val="clear" w:color="auto" w:fill="auto"/>
            <w:vAlign w:val="bottom"/>
          </w:tcPr>
          <w:p w14:paraId="156C81F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2277</w:t>
            </w:r>
          </w:p>
        </w:tc>
      </w:tr>
      <w:tr w:rsidR="00196507" w:rsidRPr="00F9176A" w14:paraId="110AEBEB" w14:textId="77777777" w:rsidTr="00E05772">
        <w:trPr>
          <w:cantSplit/>
        </w:trPr>
        <w:tc>
          <w:tcPr>
            <w:tcW w:w="1365" w:type="pct"/>
            <w:tcBorders>
              <w:top w:val="single" w:sz="4" w:space="0" w:color="auto"/>
              <w:bottom w:val="single" w:sz="4" w:space="0" w:color="auto"/>
            </w:tcBorders>
          </w:tcPr>
          <w:p w14:paraId="188EDC38" w14:textId="77777777" w:rsidR="00196507" w:rsidRPr="00F9176A" w:rsidRDefault="00196507" w:rsidP="00196507">
            <w:pPr>
              <w:pStyle w:val="Tabletext"/>
            </w:pPr>
            <w:r w:rsidRPr="00F9176A">
              <w:t>67</w:t>
            </w:r>
          </w:p>
        </w:tc>
        <w:tc>
          <w:tcPr>
            <w:tcW w:w="909" w:type="pct"/>
            <w:tcBorders>
              <w:top w:val="single" w:sz="4" w:space="0" w:color="auto"/>
              <w:bottom w:val="single" w:sz="4" w:space="0" w:color="auto"/>
            </w:tcBorders>
            <w:shd w:val="clear" w:color="auto" w:fill="auto"/>
            <w:vAlign w:val="bottom"/>
          </w:tcPr>
          <w:p w14:paraId="3BA30B50" w14:textId="77777777" w:rsidR="00196507" w:rsidRPr="00196507" w:rsidRDefault="00196507" w:rsidP="00196507">
            <w:pPr>
              <w:pStyle w:val="Tabletext"/>
              <w:rPr>
                <w:color w:val="000000" w:themeColor="text1"/>
              </w:rPr>
            </w:pPr>
            <w:r w:rsidRPr="00196507">
              <w:rPr>
                <w:color w:val="000000" w:themeColor="text1"/>
              </w:rPr>
              <w:t>13</w:t>
            </w:r>
            <w:r w:rsidR="00D7157D">
              <w:rPr>
                <w:color w:val="000000" w:themeColor="text1"/>
              </w:rPr>
              <w:t>.</w:t>
            </w:r>
            <w:r w:rsidRPr="00196507">
              <w:rPr>
                <w:color w:val="000000" w:themeColor="text1"/>
              </w:rPr>
              <w:t>1965</w:t>
            </w:r>
          </w:p>
        </w:tc>
        <w:tc>
          <w:tcPr>
            <w:tcW w:w="909" w:type="pct"/>
            <w:tcBorders>
              <w:top w:val="single" w:sz="4" w:space="0" w:color="auto"/>
              <w:bottom w:val="single" w:sz="4" w:space="0" w:color="auto"/>
            </w:tcBorders>
            <w:shd w:val="clear" w:color="auto" w:fill="auto"/>
            <w:vAlign w:val="bottom"/>
          </w:tcPr>
          <w:p w14:paraId="78F5D40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8374</w:t>
            </w:r>
          </w:p>
        </w:tc>
        <w:tc>
          <w:tcPr>
            <w:tcW w:w="909" w:type="pct"/>
            <w:tcBorders>
              <w:top w:val="single" w:sz="4" w:space="0" w:color="auto"/>
              <w:bottom w:val="single" w:sz="4" w:space="0" w:color="auto"/>
            </w:tcBorders>
            <w:shd w:val="clear" w:color="auto" w:fill="auto"/>
            <w:vAlign w:val="bottom"/>
          </w:tcPr>
          <w:p w14:paraId="09D3F3D4" w14:textId="77777777" w:rsidR="00196507" w:rsidRPr="00196507" w:rsidRDefault="00196507" w:rsidP="00196507">
            <w:pPr>
              <w:pStyle w:val="Tabletext"/>
              <w:rPr>
                <w:color w:val="000000" w:themeColor="text1"/>
              </w:rPr>
            </w:pPr>
            <w:r w:rsidRPr="00196507">
              <w:rPr>
                <w:color w:val="000000" w:themeColor="text1"/>
              </w:rPr>
              <w:t>14</w:t>
            </w:r>
            <w:r w:rsidR="00D7157D">
              <w:rPr>
                <w:color w:val="000000" w:themeColor="text1"/>
              </w:rPr>
              <w:t>.</w:t>
            </w:r>
            <w:r w:rsidRPr="00196507">
              <w:rPr>
                <w:color w:val="000000" w:themeColor="text1"/>
              </w:rPr>
              <w:t>6852</w:t>
            </w:r>
          </w:p>
        </w:tc>
        <w:tc>
          <w:tcPr>
            <w:tcW w:w="908" w:type="pct"/>
            <w:tcBorders>
              <w:top w:val="single" w:sz="4" w:space="0" w:color="auto"/>
              <w:bottom w:val="single" w:sz="4" w:space="0" w:color="auto"/>
              <w:right w:val="nil"/>
            </w:tcBorders>
            <w:shd w:val="clear" w:color="auto" w:fill="auto"/>
            <w:vAlign w:val="bottom"/>
          </w:tcPr>
          <w:p w14:paraId="233DB30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2261</w:t>
            </w:r>
          </w:p>
        </w:tc>
      </w:tr>
      <w:tr w:rsidR="00196507" w:rsidRPr="00F9176A" w14:paraId="138D03A8" w14:textId="77777777" w:rsidTr="00E05772">
        <w:trPr>
          <w:cantSplit/>
        </w:trPr>
        <w:tc>
          <w:tcPr>
            <w:tcW w:w="1365" w:type="pct"/>
            <w:tcBorders>
              <w:top w:val="single" w:sz="4" w:space="0" w:color="auto"/>
              <w:bottom w:val="single" w:sz="4" w:space="0" w:color="auto"/>
            </w:tcBorders>
          </w:tcPr>
          <w:p w14:paraId="6B0942F3" w14:textId="77777777" w:rsidR="00196507" w:rsidRPr="00F9176A" w:rsidRDefault="00196507" w:rsidP="00196507">
            <w:pPr>
              <w:pStyle w:val="Tabletext"/>
            </w:pPr>
            <w:r w:rsidRPr="00F9176A">
              <w:t>68</w:t>
            </w:r>
          </w:p>
        </w:tc>
        <w:tc>
          <w:tcPr>
            <w:tcW w:w="909" w:type="pct"/>
            <w:tcBorders>
              <w:top w:val="single" w:sz="4" w:space="0" w:color="auto"/>
              <w:bottom w:val="single" w:sz="4" w:space="0" w:color="auto"/>
            </w:tcBorders>
            <w:shd w:val="clear" w:color="auto" w:fill="auto"/>
            <w:vAlign w:val="bottom"/>
          </w:tcPr>
          <w:p w14:paraId="5D5A6767" w14:textId="77777777" w:rsidR="00196507" w:rsidRPr="00196507" w:rsidRDefault="00196507" w:rsidP="00196507">
            <w:pPr>
              <w:pStyle w:val="Tabletext"/>
              <w:rPr>
                <w:color w:val="000000" w:themeColor="text1"/>
              </w:rPr>
            </w:pPr>
            <w:r w:rsidRPr="00196507">
              <w:rPr>
                <w:color w:val="000000" w:themeColor="text1"/>
              </w:rPr>
              <w:t>12</w:t>
            </w:r>
            <w:r w:rsidR="00D7157D">
              <w:rPr>
                <w:color w:val="000000" w:themeColor="text1"/>
              </w:rPr>
              <w:t>.</w:t>
            </w:r>
            <w:r w:rsidRPr="00196507">
              <w:rPr>
                <w:color w:val="000000" w:themeColor="text1"/>
              </w:rPr>
              <w:t>7193</w:t>
            </w:r>
          </w:p>
        </w:tc>
        <w:tc>
          <w:tcPr>
            <w:tcW w:w="909" w:type="pct"/>
            <w:tcBorders>
              <w:top w:val="single" w:sz="4" w:space="0" w:color="auto"/>
              <w:bottom w:val="single" w:sz="4" w:space="0" w:color="auto"/>
            </w:tcBorders>
            <w:shd w:val="clear" w:color="auto" w:fill="auto"/>
            <w:vAlign w:val="bottom"/>
          </w:tcPr>
          <w:p w14:paraId="703DAF75"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8320</w:t>
            </w:r>
          </w:p>
        </w:tc>
        <w:tc>
          <w:tcPr>
            <w:tcW w:w="909" w:type="pct"/>
            <w:tcBorders>
              <w:top w:val="single" w:sz="4" w:space="0" w:color="auto"/>
              <w:bottom w:val="single" w:sz="4" w:space="0" w:color="auto"/>
            </w:tcBorders>
            <w:shd w:val="clear" w:color="auto" w:fill="auto"/>
            <w:vAlign w:val="bottom"/>
          </w:tcPr>
          <w:p w14:paraId="098121EE" w14:textId="77777777" w:rsidR="00196507" w:rsidRPr="00196507" w:rsidRDefault="00196507" w:rsidP="00196507">
            <w:pPr>
              <w:pStyle w:val="Tabletext"/>
              <w:rPr>
                <w:color w:val="000000" w:themeColor="text1"/>
              </w:rPr>
            </w:pPr>
            <w:r w:rsidRPr="00196507">
              <w:rPr>
                <w:color w:val="000000" w:themeColor="text1"/>
              </w:rPr>
              <w:t>14</w:t>
            </w:r>
            <w:r w:rsidR="00D7157D">
              <w:rPr>
                <w:color w:val="000000" w:themeColor="text1"/>
              </w:rPr>
              <w:t>.</w:t>
            </w:r>
            <w:r w:rsidRPr="00196507">
              <w:rPr>
                <w:color w:val="000000" w:themeColor="text1"/>
              </w:rPr>
              <w:t>1637</w:t>
            </w:r>
          </w:p>
        </w:tc>
        <w:tc>
          <w:tcPr>
            <w:tcW w:w="908" w:type="pct"/>
            <w:tcBorders>
              <w:top w:val="single" w:sz="4" w:space="0" w:color="auto"/>
              <w:bottom w:val="single" w:sz="4" w:space="0" w:color="auto"/>
              <w:right w:val="nil"/>
            </w:tcBorders>
            <w:shd w:val="clear" w:color="auto" w:fill="auto"/>
            <w:vAlign w:val="bottom"/>
          </w:tcPr>
          <w:p w14:paraId="39FF55D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2244</w:t>
            </w:r>
          </w:p>
        </w:tc>
      </w:tr>
      <w:tr w:rsidR="00196507" w:rsidRPr="00F9176A" w14:paraId="60C8C452" w14:textId="77777777" w:rsidTr="00E05772">
        <w:trPr>
          <w:cantSplit/>
        </w:trPr>
        <w:tc>
          <w:tcPr>
            <w:tcW w:w="1365" w:type="pct"/>
            <w:tcBorders>
              <w:top w:val="single" w:sz="4" w:space="0" w:color="auto"/>
              <w:bottom w:val="single" w:sz="4" w:space="0" w:color="auto"/>
            </w:tcBorders>
          </w:tcPr>
          <w:p w14:paraId="23D202C0" w14:textId="77777777" w:rsidR="00196507" w:rsidRPr="00F9176A" w:rsidRDefault="00196507" w:rsidP="00196507">
            <w:pPr>
              <w:pStyle w:val="Tabletext"/>
            </w:pPr>
            <w:r w:rsidRPr="00F9176A">
              <w:t>69</w:t>
            </w:r>
          </w:p>
        </w:tc>
        <w:tc>
          <w:tcPr>
            <w:tcW w:w="909" w:type="pct"/>
            <w:tcBorders>
              <w:top w:val="single" w:sz="4" w:space="0" w:color="auto"/>
              <w:bottom w:val="single" w:sz="4" w:space="0" w:color="auto"/>
            </w:tcBorders>
            <w:shd w:val="clear" w:color="auto" w:fill="auto"/>
            <w:vAlign w:val="bottom"/>
          </w:tcPr>
          <w:p w14:paraId="4AC03480" w14:textId="77777777" w:rsidR="00196507" w:rsidRPr="00196507" w:rsidRDefault="00196507" w:rsidP="00196507">
            <w:pPr>
              <w:pStyle w:val="Tabletext"/>
              <w:rPr>
                <w:color w:val="000000" w:themeColor="text1"/>
              </w:rPr>
            </w:pPr>
            <w:r w:rsidRPr="00196507">
              <w:rPr>
                <w:color w:val="000000" w:themeColor="text1"/>
              </w:rPr>
              <w:t>12</w:t>
            </w:r>
            <w:r w:rsidR="00D7157D">
              <w:rPr>
                <w:color w:val="000000" w:themeColor="text1"/>
              </w:rPr>
              <w:t>.</w:t>
            </w:r>
            <w:r w:rsidRPr="00196507">
              <w:rPr>
                <w:color w:val="000000" w:themeColor="text1"/>
              </w:rPr>
              <w:t>2416</w:t>
            </w:r>
          </w:p>
        </w:tc>
        <w:tc>
          <w:tcPr>
            <w:tcW w:w="909" w:type="pct"/>
            <w:tcBorders>
              <w:top w:val="single" w:sz="4" w:space="0" w:color="auto"/>
              <w:bottom w:val="single" w:sz="4" w:space="0" w:color="auto"/>
            </w:tcBorders>
            <w:shd w:val="clear" w:color="auto" w:fill="auto"/>
            <w:vAlign w:val="bottom"/>
          </w:tcPr>
          <w:p w14:paraId="4AAAE78B"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8257</w:t>
            </w:r>
          </w:p>
        </w:tc>
        <w:tc>
          <w:tcPr>
            <w:tcW w:w="909" w:type="pct"/>
            <w:tcBorders>
              <w:top w:val="single" w:sz="4" w:space="0" w:color="auto"/>
              <w:bottom w:val="single" w:sz="4" w:space="0" w:color="auto"/>
            </w:tcBorders>
            <w:shd w:val="clear" w:color="auto" w:fill="auto"/>
            <w:vAlign w:val="bottom"/>
          </w:tcPr>
          <w:p w14:paraId="19819F8F" w14:textId="77777777" w:rsidR="00196507" w:rsidRPr="00196507" w:rsidRDefault="00196507" w:rsidP="00196507">
            <w:pPr>
              <w:pStyle w:val="Tabletext"/>
              <w:rPr>
                <w:color w:val="000000" w:themeColor="text1"/>
              </w:rPr>
            </w:pPr>
            <w:r w:rsidRPr="00196507">
              <w:rPr>
                <w:color w:val="000000" w:themeColor="text1"/>
              </w:rPr>
              <w:t>13</w:t>
            </w:r>
            <w:r w:rsidR="00D7157D">
              <w:rPr>
                <w:color w:val="000000" w:themeColor="text1"/>
              </w:rPr>
              <w:t>.</w:t>
            </w:r>
            <w:r w:rsidRPr="00196507">
              <w:rPr>
                <w:color w:val="000000" w:themeColor="text1"/>
              </w:rPr>
              <w:t>6413</w:t>
            </w:r>
          </w:p>
        </w:tc>
        <w:tc>
          <w:tcPr>
            <w:tcW w:w="908" w:type="pct"/>
            <w:tcBorders>
              <w:top w:val="single" w:sz="4" w:space="0" w:color="auto"/>
              <w:bottom w:val="single" w:sz="4" w:space="0" w:color="auto"/>
              <w:right w:val="nil"/>
            </w:tcBorders>
            <w:shd w:val="clear" w:color="auto" w:fill="auto"/>
            <w:vAlign w:val="bottom"/>
          </w:tcPr>
          <w:p w14:paraId="1CD2DF2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2223</w:t>
            </w:r>
          </w:p>
        </w:tc>
      </w:tr>
      <w:tr w:rsidR="00196507" w:rsidRPr="00F9176A" w14:paraId="70F144BA" w14:textId="77777777" w:rsidTr="00E05772">
        <w:trPr>
          <w:cantSplit/>
        </w:trPr>
        <w:tc>
          <w:tcPr>
            <w:tcW w:w="1365" w:type="pct"/>
            <w:tcBorders>
              <w:top w:val="single" w:sz="4" w:space="0" w:color="auto"/>
              <w:bottom w:val="single" w:sz="4" w:space="0" w:color="auto"/>
            </w:tcBorders>
          </w:tcPr>
          <w:p w14:paraId="11206B1D" w14:textId="77777777" w:rsidR="00196507" w:rsidRPr="00F9176A" w:rsidRDefault="00196507" w:rsidP="00196507">
            <w:pPr>
              <w:pStyle w:val="Tabletext"/>
            </w:pPr>
            <w:r w:rsidRPr="00F9176A">
              <w:t>70</w:t>
            </w:r>
          </w:p>
        </w:tc>
        <w:tc>
          <w:tcPr>
            <w:tcW w:w="909" w:type="pct"/>
            <w:tcBorders>
              <w:top w:val="single" w:sz="4" w:space="0" w:color="auto"/>
              <w:bottom w:val="single" w:sz="4" w:space="0" w:color="auto"/>
            </w:tcBorders>
            <w:shd w:val="clear" w:color="auto" w:fill="auto"/>
            <w:vAlign w:val="bottom"/>
          </w:tcPr>
          <w:p w14:paraId="23B9EB8A" w14:textId="77777777" w:rsidR="00196507" w:rsidRPr="00196507" w:rsidRDefault="00196507" w:rsidP="00196507">
            <w:pPr>
              <w:pStyle w:val="Tabletext"/>
              <w:rPr>
                <w:color w:val="000000" w:themeColor="text1"/>
              </w:rPr>
            </w:pPr>
            <w:r w:rsidRPr="00196507">
              <w:rPr>
                <w:color w:val="000000" w:themeColor="text1"/>
              </w:rPr>
              <w:t>11</w:t>
            </w:r>
            <w:r w:rsidR="00D7157D">
              <w:rPr>
                <w:color w:val="000000" w:themeColor="text1"/>
              </w:rPr>
              <w:t>.</w:t>
            </w:r>
            <w:r w:rsidRPr="00196507">
              <w:rPr>
                <w:color w:val="000000" w:themeColor="text1"/>
              </w:rPr>
              <w:t>7644</w:t>
            </w:r>
          </w:p>
        </w:tc>
        <w:tc>
          <w:tcPr>
            <w:tcW w:w="909" w:type="pct"/>
            <w:tcBorders>
              <w:top w:val="single" w:sz="4" w:space="0" w:color="auto"/>
              <w:bottom w:val="single" w:sz="4" w:space="0" w:color="auto"/>
            </w:tcBorders>
            <w:shd w:val="clear" w:color="auto" w:fill="auto"/>
            <w:vAlign w:val="bottom"/>
          </w:tcPr>
          <w:p w14:paraId="2E8DC2DC"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8186</w:t>
            </w:r>
          </w:p>
        </w:tc>
        <w:tc>
          <w:tcPr>
            <w:tcW w:w="909" w:type="pct"/>
            <w:tcBorders>
              <w:top w:val="single" w:sz="4" w:space="0" w:color="auto"/>
              <w:bottom w:val="single" w:sz="4" w:space="0" w:color="auto"/>
            </w:tcBorders>
            <w:shd w:val="clear" w:color="auto" w:fill="auto"/>
            <w:vAlign w:val="bottom"/>
          </w:tcPr>
          <w:p w14:paraId="0F792E78" w14:textId="77777777" w:rsidR="00196507" w:rsidRPr="00196507" w:rsidRDefault="00196507" w:rsidP="00196507">
            <w:pPr>
              <w:pStyle w:val="Tabletext"/>
              <w:rPr>
                <w:color w:val="000000" w:themeColor="text1"/>
              </w:rPr>
            </w:pPr>
            <w:r w:rsidRPr="00196507">
              <w:rPr>
                <w:color w:val="000000" w:themeColor="text1"/>
              </w:rPr>
              <w:t>13</w:t>
            </w:r>
            <w:r w:rsidR="00D7157D">
              <w:rPr>
                <w:color w:val="000000" w:themeColor="text1"/>
              </w:rPr>
              <w:t>.</w:t>
            </w:r>
            <w:r w:rsidRPr="00196507">
              <w:rPr>
                <w:color w:val="000000" w:themeColor="text1"/>
              </w:rPr>
              <w:t>1187</w:t>
            </w:r>
          </w:p>
        </w:tc>
        <w:tc>
          <w:tcPr>
            <w:tcW w:w="908" w:type="pct"/>
            <w:tcBorders>
              <w:top w:val="single" w:sz="4" w:space="0" w:color="auto"/>
              <w:bottom w:val="single" w:sz="4" w:space="0" w:color="auto"/>
              <w:right w:val="nil"/>
            </w:tcBorders>
            <w:shd w:val="clear" w:color="auto" w:fill="auto"/>
            <w:vAlign w:val="bottom"/>
          </w:tcPr>
          <w:p w14:paraId="36F85C14"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2199</w:t>
            </w:r>
          </w:p>
        </w:tc>
      </w:tr>
      <w:tr w:rsidR="00196507" w:rsidRPr="00F9176A" w14:paraId="49151EC2" w14:textId="77777777" w:rsidTr="00E05772">
        <w:trPr>
          <w:cantSplit/>
        </w:trPr>
        <w:tc>
          <w:tcPr>
            <w:tcW w:w="1365" w:type="pct"/>
            <w:tcBorders>
              <w:top w:val="single" w:sz="4" w:space="0" w:color="auto"/>
              <w:bottom w:val="single" w:sz="4" w:space="0" w:color="auto"/>
            </w:tcBorders>
          </w:tcPr>
          <w:p w14:paraId="72E68F20" w14:textId="77777777" w:rsidR="00196507" w:rsidRPr="00F9176A" w:rsidRDefault="00196507" w:rsidP="00196507">
            <w:pPr>
              <w:pStyle w:val="Tabletext"/>
            </w:pPr>
            <w:r w:rsidRPr="00F9176A">
              <w:t>71</w:t>
            </w:r>
          </w:p>
        </w:tc>
        <w:tc>
          <w:tcPr>
            <w:tcW w:w="909" w:type="pct"/>
            <w:tcBorders>
              <w:top w:val="single" w:sz="4" w:space="0" w:color="auto"/>
              <w:bottom w:val="single" w:sz="4" w:space="0" w:color="auto"/>
            </w:tcBorders>
            <w:shd w:val="clear" w:color="auto" w:fill="auto"/>
            <w:vAlign w:val="bottom"/>
          </w:tcPr>
          <w:p w14:paraId="120DACB3" w14:textId="77777777" w:rsidR="00196507" w:rsidRPr="00196507" w:rsidRDefault="00196507" w:rsidP="00196507">
            <w:pPr>
              <w:pStyle w:val="Tabletext"/>
              <w:rPr>
                <w:color w:val="000000" w:themeColor="text1"/>
              </w:rPr>
            </w:pPr>
            <w:r w:rsidRPr="00196507">
              <w:rPr>
                <w:color w:val="000000" w:themeColor="text1"/>
              </w:rPr>
              <w:t>11</w:t>
            </w:r>
            <w:r w:rsidR="00D7157D">
              <w:rPr>
                <w:color w:val="000000" w:themeColor="text1"/>
              </w:rPr>
              <w:t>.</w:t>
            </w:r>
            <w:r w:rsidRPr="00196507">
              <w:rPr>
                <w:color w:val="000000" w:themeColor="text1"/>
              </w:rPr>
              <w:t>2889</w:t>
            </w:r>
          </w:p>
        </w:tc>
        <w:tc>
          <w:tcPr>
            <w:tcW w:w="909" w:type="pct"/>
            <w:tcBorders>
              <w:top w:val="single" w:sz="4" w:space="0" w:color="auto"/>
              <w:bottom w:val="single" w:sz="4" w:space="0" w:color="auto"/>
            </w:tcBorders>
            <w:shd w:val="clear" w:color="auto" w:fill="auto"/>
            <w:vAlign w:val="bottom"/>
          </w:tcPr>
          <w:p w14:paraId="31A6FC0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8105</w:t>
            </w:r>
          </w:p>
        </w:tc>
        <w:tc>
          <w:tcPr>
            <w:tcW w:w="909" w:type="pct"/>
            <w:tcBorders>
              <w:top w:val="single" w:sz="4" w:space="0" w:color="auto"/>
              <w:bottom w:val="single" w:sz="4" w:space="0" w:color="auto"/>
            </w:tcBorders>
            <w:shd w:val="clear" w:color="auto" w:fill="auto"/>
            <w:vAlign w:val="bottom"/>
          </w:tcPr>
          <w:p w14:paraId="6E20ABA8" w14:textId="77777777" w:rsidR="00196507" w:rsidRPr="00196507" w:rsidRDefault="00196507" w:rsidP="00196507">
            <w:pPr>
              <w:pStyle w:val="Tabletext"/>
              <w:rPr>
                <w:color w:val="000000" w:themeColor="text1"/>
              </w:rPr>
            </w:pPr>
            <w:r w:rsidRPr="00196507">
              <w:rPr>
                <w:color w:val="000000" w:themeColor="text1"/>
              </w:rPr>
              <w:t>12</w:t>
            </w:r>
            <w:r w:rsidR="00D7157D">
              <w:rPr>
                <w:color w:val="000000" w:themeColor="text1"/>
              </w:rPr>
              <w:t>.</w:t>
            </w:r>
            <w:r w:rsidRPr="00196507">
              <w:rPr>
                <w:color w:val="000000" w:themeColor="text1"/>
              </w:rPr>
              <w:t>5970</w:t>
            </w:r>
          </w:p>
        </w:tc>
        <w:tc>
          <w:tcPr>
            <w:tcW w:w="908" w:type="pct"/>
            <w:tcBorders>
              <w:top w:val="single" w:sz="4" w:space="0" w:color="auto"/>
              <w:bottom w:val="single" w:sz="4" w:space="0" w:color="auto"/>
              <w:right w:val="nil"/>
            </w:tcBorders>
            <w:shd w:val="clear" w:color="auto" w:fill="auto"/>
            <w:vAlign w:val="bottom"/>
          </w:tcPr>
          <w:p w14:paraId="76662E8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2172</w:t>
            </w:r>
          </w:p>
        </w:tc>
      </w:tr>
      <w:tr w:rsidR="00196507" w:rsidRPr="00F9176A" w14:paraId="031677D8" w14:textId="77777777" w:rsidTr="00E05772">
        <w:trPr>
          <w:cantSplit/>
        </w:trPr>
        <w:tc>
          <w:tcPr>
            <w:tcW w:w="1365" w:type="pct"/>
            <w:tcBorders>
              <w:top w:val="single" w:sz="4" w:space="0" w:color="auto"/>
              <w:bottom w:val="single" w:sz="4" w:space="0" w:color="auto"/>
            </w:tcBorders>
          </w:tcPr>
          <w:p w14:paraId="4A49C73A" w14:textId="77777777" w:rsidR="00196507" w:rsidRPr="00F9176A" w:rsidRDefault="00196507" w:rsidP="00196507">
            <w:pPr>
              <w:pStyle w:val="Tabletext"/>
            </w:pPr>
            <w:r w:rsidRPr="00F9176A">
              <w:t>72</w:t>
            </w:r>
          </w:p>
        </w:tc>
        <w:tc>
          <w:tcPr>
            <w:tcW w:w="909" w:type="pct"/>
            <w:tcBorders>
              <w:top w:val="single" w:sz="4" w:space="0" w:color="auto"/>
              <w:bottom w:val="single" w:sz="4" w:space="0" w:color="auto"/>
            </w:tcBorders>
            <w:shd w:val="clear" w:color="auto" w:fill="auto"/>
            <w:vAlign w:val="bottom"/>
          </w:tcPr>
          <w:p w14:paraId="0B6CD23E" w14:textId="77777777" w:rsidR="00196507" w:rsidRPr="00196507" w:rsidRDefault="00196507" w:rsidP="00196507">
            <w:pPr>
              <w:pStyle w:val="Tabletext"/>
              <w:rPr>
                <w:color w:val="000000" w:themeColor="text1"/>
              </w:rPr>
            </w:pPr>
            <w:r w:rsidRPr="00196507">
              <w:rPr>
                <w:color w:val="000000" w:themeColor="text1"/>
              </w:rPr>
              <w:t>10</w:t>
            </w:r>
            <w:r w:rsidR="00D7157D">
              <w:rPr>
                <w:color w:val="000000" w:themeColor="text1"/>
              </w:rPr>
              <w:t>.</w:t>
            </w:r>
            <w:r w:rsidRPr="00196507">
              <w:rPr>
                <w:color w:val="000000" w:themeColor="text1"/>
              </w:rPr>
              <w:t>8158</w:t>
            </w:r>
          </w:p>
        </w:tc>
        <w:tc>
          <w:tcPr>
            <w:tcW w:w="909" w:type="pct"/>
            <w:tcBorders>
              <w:top w:val="single" w:sz="4" w:space="0" w:color="auto"/>
              <w:bottom w:val="single" w:sz="4" w:space="0" w:color="auto"/>
            </w:tcBorders>
            <w:shd w:val="clear" w:color="auto" w:fill="auto"/>
            <w:vAlign w:val="bottom"/>
          </w:tcPr>
          <w:p w14:paraId="68CA43A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8014</w:t>
            </w:r>
          </w:p>
        </w:tc>
        <w:tc>
          <w:tcPr>
            <w:tcW w:w="909" w:type="pct"/>
            <w:tcBorders>
              <w:top w:val="single" w:sz="4" w:space="0" w:color="auto"/>
              <w:bottom w:val="single" w:sz="4" w:space="0" w:color="auto"/>
            </w:tcBorders>
            <w:shd w:val="clear" w:color="auto" w:fill="auto"/>
            <w:vAlign w:val="bottom"/>
          </w:tcPr>
          <w:p w14:paraId="3292412D" w14:textId="77777777" w:rsidR="00196507" w:rsidRPr="00196507" w:rsidRDefault="00196507" w:rsidP="00196507">
            <w:pPr>
              <w:pStyle w:val="Tabletext"/>
              <w:rPr>
                <w:color w:val="000000" w:themeColor="text1"/>
              </w:rPr>
            </w:pPr>
            <w:r w:rsidRPr="00196507">
              <w:rPr>
                <w:color w:val="000000" w:themeColor="text1"/>
              </w:rPr>
              <w:t>12</w:t>
            </w:r>
            <w:r w:rsidR="00D7157D">
              <w:rPr>
                <w:color w:val="000000" w:themeColor="text1"/>
              </w:rPr>
              <w:t>.</w:t>
            </w:r>
            <w:r w:rsidRPr="00196507">
              <w:rPr>
                <w:color w:val="000000" w:themeColor="text1"/>
              </w:rPr>
              <w:t>0758</w:t>
            </w:r>
          </w:p>
        </w:tc>
        <w:tc>
          <w:tcPr>
            <w:tcW w:w="908" w:type="pct"/>
            <w:tcBorders>
              <w:top w:val="single" w:sz="4" w:space="0" w:color="auto"/>
              <w:bottom w:val="single" w:sz="4" w:space="0" w:color="auto"/>
              <w:right w:val="nil"/>
            </w:tcBorders>
            <w:shd w:val="clear" w:color="auto" w:fill="auto"/>
            <w:vAlign w:val="bottom"/>
          </w:tcPr>
          <w:p w14:paraId="2FDB173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2143</w:t>
            </w:r>
          </w:p>
        </w:tc>
      </w:tr>
      <w:tr w:rsidR="00196507" w:rsidRPr="00F9176A" w14:paraId="3CE82B22" w14:textId="77777777" w:rsidTr="00E05772">
        <w:trPr>
          <w:cantSplit/>
        </w:trPr>
        <w:tc>
          <w:tcPr>
            <w:tcW w:w="1365" w:type="pct"/>
            <w:tcBorders>
              <w:top w:val="single" w:sz="4" w:space="0" w:color="auto"/>
              <w:bottom w:val="single" w:sz="4" w:space="0" w:color="auto"/>
            </w:tcBorders>
          </w:tcPr>
          <w:p w14:paraId="10004B4D" w14:textId="77777777" w:rsidR="00196507" w:rsidRPr="00F9176A" w:rsidRDefault="00196507" w:rsidP="00196507">
            <w:pPr>
              <w:pStyle w:val="Tabletext"/>
            </w:pPr>
            <w:r w:rsidRPr="00F9176A">
              <w:t>73</w:t>
            </w:r>
          </w:p>
        </w:tc>
        <w:tc>
          <w:tcPr>
            <w:tcW w:w="909" w:type="pct"/>
            <w:tcBorders>
              <w:top w:val="single" w:sz="4" w:space="0" w:color="auto"/>
              <w:bottom w:val="single" w:sz="4" w:space="0" w:color="auto"/>
            </w:tcBorders>
            <w:shd w:val="clear" w:color="auto" w:fill="auto"/>
            <w:vAlign w:val="bottom"/>
          </w:tcPr>
          <w:p w14:paraId="7655746E" w14:textId="77777777" w:rsidR="00196507" w:rsidRPr="00196507" w:rsidRDefault="00196507" w:rsidP="00196507">
            <w:pPr>
              <w:pStyle w:val="Tabletext"/>
              <w:rPr>
                <w:color w:val="000000" w:themeColor="text1"/>
              </w:rPr>
            </w:pPr>
            <w:r w:rsidRPr="00196507">
              <w:rPr>
                <w:color w:val="000000" w:themeColor="text1"/>
              </w:rPr>
              <w:t>10</w:t>
            </w:r>
            <w:r w:rsidR="00D7157D">
              <w:rPr>
                <w:color w:val="000000" w:themeColor="text1"/>
              </w:rPr>
              <w:t>.</w:t>
            </w:r>
            <w:r w:rsidRPr="00196507">
              <w:rPr>
                <w:color w:val="000000" w:themeColor="text1"/>
              </w:rPr>
              <w:t>3459</w:t>
            </w:r>
          </w:p>
        </w:tc>
        <w:tc>
          <w:tcPr>
            <w:tcW w:w="909" w:type="pct"/>
            <w:tcBorders>
              <w:top w:val="single" w:sz="4" w:space="0" w:color="auto"/>
              <w:bottom w:val="single" w:sz="4" w:space="0" w:color="auto"/>
            </w:tcBorders>
            <w:shd w:val="clear" w:color="auto" w:fill="auto"/>
            <w:vAlign w:val="bottom"/>
          </w:tcPr>
          <w:p w14:paraId="47609E4A"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7913</w:t>
            </w:r>
          </w:p>
        </w:tc>
        <w:tc>
          <w:tcPr>
            <w:tcW w:w="909" w:type="pct"/>
            <w:tcBorders>
              <w:top w:val="single" w:sz="4" w:space="0" w:color="auto"/>
              <w:bottom w:val="single" w:sz="4" w:space="0" w:color="auto"/>
            </w:tcBorders>
            <w:shd w:val="clear" w:color="auto" w:fill="auto"/>
            <w:vAlign w:val="bottom"/>
          </w:tcPr>
          <w:p w14:paraId="60A56050" w14:textId="77777777" w:rsidR="00196507" w:rsidRPr="00196507" w:rsidRDefault="00196507" w:rsidP="00196507">
            <w:pPr>
              <w:pStyle w:val="Tabletext"/>
              <w:rPr>
                <w:color w:val="000000" w:themeColor="text1"/>
              </w:rPr>
            </w:pPr>
            <w:r w:rsidRPr="00196507">
              <w:rPr>
                <w:color w:val="000000" w:themeColor="text1"/>
              </w:rPr>
              <w:t>11</w:t>
            </w:r>
            <w:r w:rsidR="00D7157D">
              <w:rPr>
                <w:color w:val="000000" w:themeColor="text1"/>
              </w:rPr>
              <w:t>.</w:t>
            </w:r>
            <w:r w:rsidRPr="00196507">
              <w:rPr>
                <w:color w:val="000000" w:themeColor="text1"/>
              </w:rPr>
              <w:t>5571</w:t>
            </w:r>
          </w:p>
        </w:tc>
        <w:tc>
          <w:tcPr>
            <w:tcW w:w="908" w:type="pct"/>
            <w:tcBorders>
              <w:top w:val="single" w:sz="4" w:space="0" w:color="auto"/>
              <w:bottom w:val="single" w:sz="4" w:space="0" w:color="auto"/>
              <w:right w:val="nil"/>
            </w:tcBorders>
            <w:shd w:val="clear" w:color="auto" w:fill="auto"/>
            <w:vAlign w:val="bottom"/>
          </w:tcPr>
          <w:p w14:paraId="436CB853"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2111</w:t>
            </w:r>
          </w:p>
        </w:tc>
      </w:tr>
      <w:tr w:rsidR="00196507" w:rsidRPr="00F9176A" w14:paraId="72F64CE4" w14:textId="77777777" w:rsidTr="00E05772">
        <w:trPr>
          <w:cantSplit/>
        </w:trPr>
        <w:tc>
          <w:tcPr>
            <w:tcW w:w="1365" w:type="pct"/>
            <w:tcBorders>
              <w:top w:val="single" w:sz="4" w:space="0" w:color="auto"/>
              <w:bottom w:val="single" w:sz="4" w:space="0" w:color="auto"/>
            </w:tcBorders>
          </w:tcPr>
          <w:p w14:paraId="31CB8F2B" w14:textId="77777777" w:rsidR="00196507" w:rsidRPr="00F9176A" w:rsidRDefault="00196507" w:rsidP="00196507">
            <w:pPr>
              <w:pStyle w:val="Tabletext"/>
            </w:pPr>
            <w:r w:rsidRPr="00F9176A">
              <w:t>74</w:t>
            </w:r>
          </w:p>
        </w:tc>
        <w:tc>
          <w:tcPr>
            <w:tcW w:w="909" w:type="pct"/>
            <w:tcBorders>
              <w:top w:val="single" w:sz="4" w:space="0" w:color="auto"/>
              <w:bottom w:val="single" w:sz="4" w:space="0" w:color="auto"/>
            </w:tcBorders>
            <w:shd w:val="clear" w:color="auto" w:fill="auto"/>
            <w:vAlign w:val="bottom"/>
          </w:tcPr>
          <w:p w14:paraId="694039F6" w14:textId="77777777" w:rsidR="00196507" w:rsidRPr="00196507" w:rsidRDefault="00196507" w:rsidP="00196507">
            <w:pPr>
              <w:pStyle w:val="Tabletext"/>
              <w:rPr>
                <w:color w:val="000000" w:themeColor="text1"/>
              </w:rPr>
            </w:pPr>
            <w:r w:rsidRPr="00196507">
              <w:rPr>
                <w:color w:val="000000" w:themeColor="text1"/>
              </w:rPr>
              <w:t>9</w:t>
            </w:r>
            <w:r w:rsidR="00D7157D">
              <w:rPr>
                <w:color w:val="000000" w:themeColor="text1"/>
              </w:rPr>
              <w:t>.</w:t>
            </w:r>
            <w:r w:rsidRPr="00196507">
              <w:rPr>
                <w:color w:val="000000" w:themeColor="text1"/>
              </w:rPr>
              <w:t>8798</w:t>
            </w:r>
          </w:p>
        </w:tc>
        <w:tc>
          <w:tcPr>
            <w:tcW w:w="909" w:type="pct"/>
            <w:tcBorders>
              <w:top w:val="single" w:sz="4" w:space="0" w:color="auto"/>
              <w:bottom w:val="single" w:sz="4" w:space="0" w:color="auto"/>
            </w:tcBorders>
            <w:shd w:val="clear" w:color="auto" w:fill="auto"/>
            <w:vAlign w:val="bottom"/>
          </w:tcPr>
          <w:p w14:paraId="5FFC8E4C"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7801</w:t>
            </w:r>
          </w:p>
        </w:tc>
        <w:tc>
          <w:tcPr>
            <w:tcW w:w="909" w:type="pct"/>
            <w:tcBorders>
              <w:top w:val="single" w:sz="4" w:space="0" w:color="auto"/>
              <w:bottom w:val="single" w:sz="4" w:space="0" w:color="auto"/>
            </w:tcBorders>
            <w:shd w:val="clear" w:color="auto" w:fill="auto"/>
            <w:vAlign w:val="bottom"/>
          </w:tcPr>
          <w:p w14:paraId="76EBE414" w14:textId="77777777" w:rsidR="00196507" w:rsidRPr="00196507" w:rsidRDefault="00196507" w:rsidP="00196507">
            <w:pPr>
              <w:pStyle w:val="Tabletext"/>
              <w:rPr>
                <w:color w:val="000000" w:themeColor="text1"/>
              </w:rPr>
            </w:pPr>
            <w:r w:rsidRPr="00196507">
              <w:rPr>
                <w:color w:val="000000" w:themeColor="text1"/>
              </w:rPr>
              <w:t>11</w:t>
            </w:r>
            <w:r w:rsidR="00D7157D">
              <w:rPr>
                <w:color w:val="000000" w:themeColor="text1"/>
              </w:rPr>
              <w:t>.</w:t>
            </w:r>
            <w:r w:rsidRPr="00196507">
              <w:rPr>
                <w:color w:val="000000" w:themeColor="text1"/>
              </w:rPr>
              <w:t>0419</w:t>
            </w:r>
          </w:p>
        </w:tc>
        <w:tc>
          <w:tcPr>
            <w:tcW w:w="908" w:type="pct"/>
            <w:tcBorders>
              <w:top w:val="single" w:sz="4" w:space="0" w:color="auto"/>
              <w:bottom w:val="single" w:sz="4" w:space="0" w:color="auto"/>
              <w:right w:val="nil"/>
            </w:tcBorders>
            <w:shd w:val="clear" w:color="auto" w:fill="auto"/>
            <w:vAlign w:val="bottom"/>
          </w:tcPr>
          <w:p w14:paraId="5299D7B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2075</w:t>
            </w:r>
          </w:p>
        </w:tc>
      </w:tr>
      <w:tr w:rsidR="00196507" w:rsidRPr="00F9176A" w14:paraId="53DC0DE2" w14:textId="77777777" w:rsidTr="00E05772">
        <w:trPr>
          <w:cantSplit/>
        </w:trPr>
        <w:tc>
          <w:tcPr>
            <w:tcW w:w="1365" w:type="pct"/>
            <w:tcBorders>
              <w:top w:val="single" w:sz="4" w:space="0" w:color="auto"/>
              <w:bottom w:val="single" w:sz="4" w:space="0" w:color="auto"/>
            </w:tcBorders>
          </w:tcPr>
          <w:p w14:paraId="6DF0C1DC" w14:textId="77777777" w:rsidR="00196507" w:rsidRPr="00F9176A" w:rsidRDefault="00196507" w:rsidP="00196507">
            <w:pPr>
              <w:pStyle w:val="Tabletext"/>
            </w:pPr>
            <w:r w:rsidRPr="00F9176A">
              <w:t>75</w:t>
            </w:r>
          </w:p>
        </w:tc>
        <w:tc>
          <w:tcPr>
            <w:tcW w:w="909" w:type="pct"/>
            <w:tcBorders>
              <w:top w:val="single" w:sz="4" w:space="0" w:color="auto"/>
              <w:bottom w:val="single" w:sz="4" w:space="0" w:color="auto"/>
            </w:tcBorders>
            <w:shd w:val="clear" w:color="auto" w:fill="auto"/>
            <w:vAlign w:val="bottom"/>
          </w:tcPr>
          <w:p w14:paraId="4849F8A7" w14:textId="77777777" w:rsidR="00196507" w:rsidRPr="00196507" w:rsidRDefault="00196507" w:rsidP="00196507">
            <w:pPr>
              <w:pStyle w:val="Tabletext"/>
              <w:rPr>
                <w:color w:val="000000" w:themeColor="text1"/>
              </w:rPr>
            </w:pPr>
            <w:r w:rsidRPr="00196507">
              <w:rPr>
                <w:color w:val="000000" w:themeColor="text1"/>
              </w:rPr>
              <w:t>9</w:t>
            </w:r>
            <w:r w:rsidR="00D7157D">
              <w:rPr>
                <w:color w:val="000000" w:themeColor="text1"/>
              </w:rPr>
              <w:t>.</w:t>
            </w:r>
            <w:r w:rsidRPr="00196507">
              <w:rPr>
                <w:color w:val="000000" w:themeColor="text1"/>
              </w:rPr>
              <w:t>4177</w:t>
            </w:r>
          </w:p>
        </w:tc>
        <w:tc>
          <w:tcPr>
            <w:tcW w:w="909" w:type="pct"/>
            <w:tcBorders>
              <w:top w:val="single" w:sz="4" w:space="0" w:color="auto"/>
              <w:bottom w:val="single" w:sz="4" w:space="0" w:color="auto"/>
            </w:tcBorders>
            <w:shd w:val="clear" w:color="auto" w:fill="auto"/>
            <w:vAlign w:val="bottom"/>
          </w:tcPr>
          <w:p w14:paraId="58D4EF84"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7678</w:t>
            </w:r>
          </w:p>
        </w:tc>
        <w:tc>
          <w:tcPr>
            <w:tcW w:w="909" w:type="pct"/>
            <w:tcBorders>
              <w:top w:val="single" w:sz="4" w:space="0" w:color="auto"/>
              <w:bottom w:val="single" w:sz="4" w:space="0" w:color="auto"/>
            </w:tcBorders>
            <w:shd w:val="clear" w:color="auto" w:fill="auto"/>
            <w:vAlign w:val="bottom"/>
          </w:tcPr>
          <w:p w14:paraId="7BF5746A" w14:textId="77777777" w:rsidR="00196507" w:rsidRPr="00196507" w:rsidRDefault="00196507" w:rsidP="00196507">
            <w:pPr>
              <w:pStyle w:val="Tabletext"/>
              <w:rPr>
                <w:color w:val="000000" w:themeColor="text1"/>
              </w:rPr>
            </w:pPr>
            <w:r w:rsidRPr="00196507">
              <w:rPr>
                <w:color w:val="000000" w:themeColor="text1"/>
              </w:rPr>
              <w:t>10</w:t>
            </w:r>
            <w:r w:rsidR="00D7157D">
              <w:rPr>
                <w:color w:val="000000" w:themeColor="text1"/>
              </w:rPr>
              <w:t>.</w:t>
            </w:r>
            <w:r w:rsidRPr="00196507">
              <w:rPr>
                <w:color w:val="000000" w:themeColor="text1"/>
              </w:rPr>
              <w:t>5294</w:t>
            </w:r>
          </w:p>
        </w:tc>
        <w:tc>
          <w:tcPr>
            <w:tcW w:w="908" w:type="pct"/>
            <w:tcBorders>
              <w:top w:val="single" w:sz="4" w:space="0" w:color="auto"/>
              <w:bottom w:val="single" w:sz="4" w:space="0" w:color="auto"/>
              <w:right w:val="nil"/>
            </w:tcBorders>
            <w:shd w:val="clear" w:color="auto" w:fill="auto"/>
            <w:vAlign w:val="bottom"/>
          </w:tcPr>
          <w:p w14:paraId="12800211"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2037</w:t>
            </w:r>
          </w:p>
        </w:tc>
      </w:tr>
      <w:tr w:rsidR="00196507" w:rsidRPr="00F9176A" w14:paraId="2ECBC342" w14:textId="77777777" w:rsidTr="00E05772">
        <w:trPr>
          <w:cantSplit/>
        </w:trPr>
        <w:tc>
          <w:tcPr>
            <w:tcW w:w="1365" w:type="pct"/>
            <w:tcBorders>
              <w:top w:val="single" w:sz="4" w:space="0" w:color="auto"/>
              <w:bottom w:val="single" w:sz="4" w:space="0" w:color="auto"/>
            </w:tcBorders>
          </w:tcPr>
          <w:p w14:paraId="3C0D6A6C" w14:textId="77777777" w:rsidR="00196507" w:rsidRPr="00F9176A" w:rsidRDefault="00196507" w:rsidP="00196507">
            <w:pPr>
              <w:pStyle w:val="Tabletext"/>
            </w:pPr>
            <w:r w:rsidRPr="00F9176A">
              <w:t>76</w:t>
            </w:r>
          </w:p>
        </w:tc>
        <w:tc>
          <w:tcPr>
            <w:tcW w:w="909" w:type="pct"/>
            <w:tcBorders>
              <w:top w:val="single" w:sz="4" w:space="0" w:color="auto"/>
              <w:bottom w:val="single" w:sz="4" w:space="0" w:color="auto"/>
            </w:tcBorders>
            <w:shd w:val="clear" w:color="auto" w:fill="auto"/>
            <w:vAlign w:val="bottom"/>
          </w:tcPr>
          <w:p w14:paraId="69B88A79" w14:textId="77777777" w:rsidR="00196507" w:rsidRPr="00196507" w:rsidRDefault="00196507" w:rsidP="00196507">
            <w:pPr>
              <w:pStyle w:val="Tabletext"/>
              <w:rPr>
                <w:color w:val="000000" w:themeColor="text1"/>
              </w:rPr>
            </w:pPr>
            <w:r w:rsidRPr="00196507">
              <w:rPr>
                <w:color w:val="000000" w:themeColor="text1"/>
              </w:rPr>
              <w:t>8</w:t>
            </w:r>
            <w:r w:rsidR="00D7157D">
              <w:rPr>
                <w:color w:val="000000" w:themeColor="text1"/>
              </w:rPr>
              <w:t>.</w:t>
            </w:r>
            <w:r w:rsidRPr="00196507">
              <w:rPr>
                <w:color w:val="000000" w:themeColor="text1"/>
              </w:rPr>
              <w:t>9599</w:t>
            </w:r>
          </w:p>
        </w:tc>
        <w:tc>
          <w:tcPr>
            <w:tcW w:w="909" w:type="pct"/>
            <w:tcBorders>
              <w:top w:val="single" w:sz="4" w:space="0" w:color="auto"/>
              <w:bottom w:val="single" w:sz="4" w:space="0" w:color="auto"/>
            </w:tcBorders>
            <w:shd w:val="clear" w:color="auto" w:fill="auto"/>
            <w:vAlign w:val="bottom"/>
          </w:tcPr>
          <w:p w14:paraId="67A52A9B"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7545</w:t>
            </w:r>
          </w:p>
        </w:tc>
        <w:tc>
          <w:tcPr>
            <w:tcW w:w="909" w:type="pct"/>
            <w:tcBorders>
              <w:top w:val="single" w:sz="4" w:space="0" w:color="auto"/>
              <w:bottom w:val="single" w:sz="4" w:space="0" w:color="auto"/>
            </w:tcBorders>
            <w:shd w:val="clear" w:color="auto" w:fill="auto"/>
            <w:vAlign w:val="bottom"/>
          </w:tcPr>
          <w:p w14:paraId="466076AB" w14:textId="77777777" w:rsidR="00196507" w:rsidRPr="00196507" w:rsidRDefault="00196507" w:rsidP="00196507">
            <w:pPr>
              <w:pStyle w:val="Tabletext"/>
              <w:rPr>
                <w:color w:val="000000" w:themeColor="text1"/>
              </w:rPr>
            </w:pPr>
            <w:r w:rsidRPr="00196507">
              <w:rPr>
                <w:color w:val="000000" w:themeColor="text1"/>
              </w:rPr>
              <w:t>10</w:t>
            </w:r>
            <w:r w:rsidR="00D7157D">
              <w:rPr>
                <w:color w:val="000000" w:themeColor="text1"/>
              </w:rPr>
              <w:t>.</w:t>
            </w:r>
            <w:r w:rsidRPr="00196507">
              <w:rPr>
                <w:color w:val="000000" w:themeColor="text1"/>
              </w:rPr>
              <w:t>0199</w:t>
            </w:r>
          </w:p>
        </w:tc>
        <w:tc>
          <w:tcPr>
            <w:tcW w:w="908" w:type="pct"/>
            <w:tcBorders>
              <w:top w:val="single" w:sz="4" w:space="0" w:color="auto"/>
              <w:bottom w:val="single" w:sz="4" w:space="0" w:color="auto"/>
              <w:right w:val="nil"/>
            </w:tcBorders>
            <w:shd w:val="clear" w:color="auto" w:fill="auto"/>
            <w:vAlign w:val="bottom"/>
          </w:tcPr>
          <w:p w14:paraId="7DB5495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1997</w:t>
            </w:r>
          </w:p>
        </w:tc>
      </w:tr>
      <w:tr w:rsidR="00196507" w:rsidRPr="00F9176A" w14:paraId="0AB14362" w14:textId="77777777" w:rsidTr="00E05772">
        <w:trPr>
          <w:cantSplit/>
        </w:trPr>
        <w:tc>
          <w:tcPr>
            <w:tcW w:w="1365" w:type="pct"/>
            <w:tcBorders>
              <w:top w:val="single" w:sz="4" w:space="0" w:color="auto"/>
              <w:bottom w:val="single" w:sz="4" w:space="0" w:color="auto"/>
            </w:tcBorders>
          </w:tcPr>
          <w:p w14:paraId="5A0E926B" w14:textId="77777777" w:rsidR="00196507" w:rsidRPr="00F9176A" w:rsidRDefault="00196507" w:rsidP="00196507">
            <w:pPr>
              <w:pStyle w:val="Tabletext"/>
            </w:pPr>
            <w:r w:rsidRPr="00F9176A">
              <w:t>77</w:t>
            </w:r>
          </w:p>
        </w:tc>
        <w:tc>
          <w:tcPr>
            <w:tcW w:w="909" w:type="pct"/>
            <w:tcBorders>
              <w:top w:val="single" w:sz="4" w:space="0" w:color="auto"/>
              <w:bottom w:val="single" w:sz="4" w:space="0" w:color="auto"/>
            </w:tcBorders>
            <w:shd w:val="clear" w:color="auto" w:fill="auto"/>
            <w:vAlign w:val="bottom"/>
          </w:tcPr>
          <w:p w14:paraId="7C13EBBC" w14:textId="77777777" w:rsidR="00196507" w:rsidRPr="00196507" w:rsidRDefault="00196507" w:rsidP="00196507">
            <w:pPr>
              <w:pStyle w:val="Tabletext"/>
              <w:rPr>
                <w:color w:val="000000" w:themeColor="text1"/>
              </w:rPr>
            </w:pPr>
            <w:r w:rsidRPr="00196507">
              <w:rPr>
                <w:color w:val="000000" w:themeColor="text1"/>
              </w:rPr>
              <w:t>8</w:t>
            </w:r>
            <w:r w:rsidR="00D7157D">
              <w:rPr>
                <w:color w:val="000000" w:themeColor="text1"/>
              </w:rPr>
              <w:t>.</w:t>
            </w:r>
            <w:r w:rsidRPr="00196507">
              <w:rPr>
                <w:color w:val="000000" w:themeColor="text1"/>
              </w:rPr>
              <w:t>5070</w:t>
            </w:r>
          </w:p>
        </w:tc>
        <w:tc>
          <w:tcPr>
            <w:tcW w:w="909" w:type="pct"/>
            <w:tcBorders>
              <w:top w:val="single" w:sz="4" w:space="0" w:color="auto"/>
              <w:bottom w:val="single" w:sz="4" w:space="0" w:color="auto"/>
            </w:tcBorders>
            <w:shd w:val="clear" w:color="auto" w:fill="auto"/>
            <w:vAlign w:val="bottom"/>
          </w:tcPr>
          <w:p w14:paraId="2347757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7402</w:t>
            </w:r>
          </w:p>
        </w:tc>
        <w:tc>
          <w:tcPr>
            <w:tcW w:w="909" w:type="pct"/>
            <w:tcBorders>
              <w:top w:val="single" w:sz="4" w:space="0" w:color="auto"/>
              <w:bottom w:val="single" w:sz="4" w:space="0" w:color="auto"/>
            </w:tcBorders>
            <w:shd w:val="clear" w:color="auto" w:fill="auto"/>
            <w:vAlign w:val="bottom"/>
          </w:tcPr>
          <w:p w14:paraId="07726546" w14:textId="77777777" w:rsidR="00196507" w:rsidRPr="00196507" w:rsidRDefault="00196507" w:rsidP="00196507">
            <w:pPr>
              <w:pStyle w:val="Tabletext"/>
              <w:rPr>
                <w:color w:val="000000" w:themeColor="text1"/>
              </w:rPr>
            </w:pPr>
            <w:r w:rsidRPr="00196507">
              <w:rPr>
                <w:color w:val="000000" w:themeColor="text1"/>
              </w:rPr>
              <w:t>9</w:t>
            </w:r>
            <w:r w:rsidR="00D7157D">
              <w:rPr>
                <w:color w:val="000000" w:themeColor="text1"/>
              </w:rPr>
              <w:t>.</w:t>
            </w:r>
            <w:r w:rsidRPr="00196507">
              <w:rPr>
                <w:color w:val="000000" w:themeColor="text1"/>
              </w:rPr>
              <w:t>5149</w:t>
            </w:r>
          </w:p>
        </w:tc>
        <w:tc>
          <w:tcPr>
            <w:tcW w:w="908" w:type="pct"/>
            <w:tcBorders>
              <w:top w:val="single" w:sz="4" w:space="0" w:color="auto"/>
              <w:bottom w:val="single" w:sz="4" w:space="0" w:color="auto"/>
              <w:right w:val="nil"/>
            </w:tcBorders>
            <w:shd w:val="clear" w:color="auto" w:fill="auto"/>
            <w:vAlign w:val="bottom"/>
          </w:tcPr>
          <w:p w14:paraId="4AA3D864"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1955</w:t>
            </w:r>
          </w:p>
        </w:tc>
      </w:tr>
      <w:tr w:rsidR="00196507" w:rsidRPr="00F9176A" w14:paraId="6B518433" w14:textId="77777777" w:rsidTr="00E05772">
        <w:trPr>
          <w:cantSplit/>
        </w:trPr>
        <w:tc>
          <w:tcPr>
            <w:tcW w:w="1365" w:type="pct"/>
            <w:tcBorders>
              <w:top w:val="single" w:sz="4" w:space="0" w:color="auto"/>
              <w:bottom w:val="single" w:sz="4" w:space="0" w:color="auto"/>
            </w:tcBorders>
          </w:tcPr>
          <w:p w14:paraId="4D72ABEA" w14:textId="77777777" w:rsidR="00196507" w:rsidRPr="00F9176A" w:rsidRDefault="00196507" w:rsidP="00196507">
            <w:pPr>
              <w:pStyle w:val="Tabletext"/>
            </w:pPr>
            <w:r w:rsidRPr="00F9176A">
              <w:t>78</w:t>
            </w:r>
          </w:p>
        </w:tc>
        <w:tc>
          <w:tcPr>
            <w:tcW w:w="909" w:type="pct"/>
            <w:tcBorders>
              <w:top w:val="single" w:sz="4" w:space="0" w:color="auto"/>
              <w:bottom w:val="single" w:sz="4" w:space="0" w:color="auto"/>
            </w:tcBorders>
            <w:shd w:val="clear" w:color="auto" w:fill="auto"/>
            <w:vAlign w:val="bottom"/>
          </w:tcPr>
          <w:p w14:paraId="433A1B61" w14:textId="77777777" w:rsidR="00196507" w:rsidRPr="00196507" w:rsidRDefault="00196507" w:rsidP="00196507">
            <w:pPr>
              <w:pStyle w:val="Tabletext"/>
              <w:rPr>
                <w:color w:val="000000" w:themeColor="text1"/>
              </w:rPr>
            </w:pPr>
            <w:r w:rsidRPr="00196507">
              <w:rPr>
                <w:color w:val="000000" w:themeColor="text1"/>
              </w:rPr>
              <w:t>8</w:t>
            </w:r>
            <w:r w:rsidR="00D7157D">
              <w:rPr>
                <w:color w:val="000000" w:themeColor="text1"/>
              </w:rPr>
              <w:t>.</w:t>
            </w:r>
            <w:r w:rsidRPr="00196507">
              <w:rPr>
                <w:color w:val="000000" w:themeColor="text1"/>
              </w:rPr>
              <w:t>0602</w:t>
            </w:r>
          </w:p>
        </w:tc>
        <w:tc>
          <w:tcPr>
            <w:tcW w:w="909" w:type="pct"/>
            <w:tcBorders>
              <w:top w:val="single" w:sz="4" w:space="0" w:color="auto"/>
              <w:bottom w:val="single" w:sz="4" w:space="0" w:color="auto"/>
            </w:tcBorders>
            <w:shd w:val="clear" w:color="auto" w:fill="auto"/>
            <w:vAlign w:val="bottom"/>
          </w:tcPr>
          <w:p w14:paraId="27393D3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7248</w:t>
            </w:r>
          </w:p>
        </w:tc>
        <w:tc>
          <w:tcPr>
            <w:tcW w:w="909" w:type="pct"/>
            <w:tcBorders>
              <w:top w:val="single" w:sz="4" w:space="0" w:color="auto"/>
              <w:bottom w:val="single" w:sz="4" w:space="0" w:color="auto"/>
            </w:tcBorders>
            <w:shd w:val="clear" w:color="auto" w:fill="auto"/>
            <w:vAlign w:val="bottom"/>
          </w:tcPr>
          <w:p w14:paraId="59EF47AB" w14:textId="77777777" w:rsidR="00196507" w:rsidRPr="00196507" w:rsidRDefault="00196507" w:rsidP="00196507">
            <w:pPr>
              <w:pStyle w:val="Tabletext"/>
              <w:rPr>
                <w:color w:val="000000" w:themeColor="text1"/>
              </w:rPr>
            </w:pPr>
            <w:r w:rsidRPr="00196507">
              <w:rPr>
                <w:color w:val="000000" w:themeColor="text1"/>
              </w:rPr>
              <w:t>9</w:t>
            </w:r>
            <w:r w:rsidR="00D7157D">
              <w:rPr>
                <w:color w:val="000000" w:themeColor="text1"/>
              </w:rPr>
              <w:t>.</w:t>
            </w:r>
            <w:r w:rsidRPr="00196507">
              <w:rPr>
                <w:color w:val="000000" w:themeColor="text1"/>
              </w:rPr>
              <w:t>0151</w:t>
            </w:r>
          </w:p>
        </w:tc>
        <w:tc>
          <w:tcPr>
            <w:tcW w:w="908" w:type="pct"/>
            <w:tcBorders>
              <w:top w:val="single" w:sz="4" w:space="0" w:color="auto"/>
              <w:bottom w:val="single" w:sz="4" w:space="0" w:color="auto"/>
              <w:right w:val="nil"/>
            </w:tcBorders>
            <w:shd w:val="clear" w:color="auto" w:fill="auto"/>
            <w:vAlign w:val="bottom"/>
          </w:tcPr>
          <w:p w14:paraId="4B9D444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1911</w:t>
            </w:r>
          </w:p>
        </w:tc>
      </w:tr>
      <w:tr w:rsidR="00196507" w:rsidRPr="00F9176A" w14:paraId="301E7F0F" w14:textId="77777777" w:rsidTr="00E05772">
        <w:trPr>
          <w:cantSplit/>
        </w:trPr>
        <w:tc>
          <w:tcPr>
            <w:tcW w:w="1365" w:type="pct"/>
            <w:tcBorders>
              <w:top w:val="single" w:sz="4" w:space="0" w:color="auto"/>
              <w:bottom w:val="single" w:sz="4" w:space="0" w:color="auto"/>
            </w:tcBorders>
          </w:tcPr>
          <w:p w14:paraId="31499702" w14:textId="77777777" w:rsidR="00196507" w:rsidRPr="00F9176A" w:rsidRDefault="00196507" w:rsidP="00196507">
            <w:pPr>
              <w:pStyle w:val="Tabletext"/>
            </w:pPr>
            <w:r w:rsidRPr="00F9176A">
              <w:t>79</w:t>
            </w:r>
          </w:p>
        </w:tc>
        <w:tc>
          <w:tcPr>
            <w:tcW w:w="909" w:type="pct"/>
            <w:tcBorders>
              <w:top w:val="single" w:sz="4" w:space="0" w:color="auto"/>
              <w:bottom w:val="single" w:sz="4" w:space="0" w:color="auto"/>
            </w:tcBorders>
            <w:shd w:val="clear" w:color="auto" w:fill="auto"/>
            <w:vAlign w:val="bottom"/>
          </w:tcPr>
          <w:p w14:paraId="6F32F294" w14:textId="77777777" w:rsidR="00196507" w:rsidRPr="00196507" w:rsidRDefault="00196507" w:rsidP="00196507">
            <w:pPr>
              <w:pStyle w:val="Tabletext"/>
              <w:rPr>
                <w:color w:val="000000" w:themeColor="text1"/>
              </w:rPr>
            </w:pPr>
            <w:r w:rsidRPr="00196507">
              <w:rPr>
                <w:color w:val="000000" w:themeColor="text1"/>
              </w:rPr>
              <w:t>7</w:t>
            </w:r>
            <w:r w:rsidR="00D7157D">
              <w:rPr>
                <w:color w:val="000000" w:themeColor="text1"/>
              </w:rPr>
              <w:t>.</w:t>
            </w:r>
            <w:r w:rsidRPr="00196507">
              <w:rPr>
                <w:color w:val="000000" w:themeColor="text1"/>
              </w:rPr>
              <w:t>6209</w:t>
            </w:r>
          </w:p>
        </w:tc>
        <w:tc>
          <w:tcPr>
            <w:tcW w:w="909" w:type="pct"/>
            <w:tcBorders>
              <w:top w:val="single" w:sz="4" w:space="0" w:color="auto"/>
              <w:bottom w:val="single" w:sz="4" w:space="0" w:color="auto"/>
            </w:tcBorders>
            <w:shd w:val="clear" w:color="auto" w:fill="auto"/>
            <w:vAlign w:val="bottom"/>
          </w:tcPr>
          <w:p w14:paraId="1091033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7084</w:t>
            </w:r>
          </w:p>
        </w:tc>
        <w:tc>
          <w:tcPr>
            <w:tcW w:w="909" w:type="pct"/>
            <w:tcBorders>
              <w:top w:val="single" w:sz="4" w:space="0" w:color="auto"/>
              <w:bottom w:val="single" w:sz="4" w:space="0" w:color="auto"/>
            </w:tcBorders>
            <w:shd w:val="clear" w:color="auto" w:fill="auto"/>
            <w:vAlign w:val="bottom"/>
          </w:tcPr>
          <w:p w14:paraId="26351ABE" w14:textId="77777777" w:rsidR="00196507" w:rsidRPr="00196507" w:rsidRDefault="00196507" w:rsidP="00196507">
            <w:pPr>
              <w:pStyle w:val="Tabletext"/>
              <w:rPr>
                <w:color w:val="000000" w:themeColor="text1"/>
              </w:rPr>
            </w:pPr>
            <w:r w:rsidRPr="00196507">
              <w:rPr>
                <w:color w:val="000000" w:themeColor="text1"/>
              </w:rPr>
              <w:t>8</w:t>
            </w:r>
            <w:r w:rsidR="00D7157D">
              <w:rPr>
                <w:color w:val="000000" w:themeColor="text1"/>
              </w:rPr>
              <w:t>.</w:t>
            </w:r>
            <w:r w:rsidRPr="00196507">
              <w:rPr>
                <w:color w:val="000000" w:themeColor="text1"/>
              </w:rPr>
              <w:t>5232</w:t>
            </w:r>
          </w:p>
        </w:tc>
        <w:tc>
          <w:tcPr>
            <w:tcW w:w="908" w:type="pct"/>
            <w:tcBorders>
              <w:top w:val="single" w:sz="4" w:space="0" w:color="auto"/>
              <w:bottom w:val="single" w:sz="4" w:space="0" w:color="auto"/>
              <w:right w:val="nil"/>
            </w:tcBorders>
            <w:shd w:val="clear" w:color="auto" w:fill="auto"/>
            <w:vAlign w:val="bottom"/>
          </w:tcPr>
          <w:p w14:paraId="5E4FA29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1865</w:t>
            </w:r>
          </w:p>
        </w:tc>
      </w:tr>
      <w:tr w:rsidR="00196507" w:rsidRPr="00F9176A" w14:paraId="08BFD4AE" w14:textId="77777777" w:rsidTr="00E05772">
        <w:trPr>
          <w:cantSplit/>
        </w:trPr>
        <w:tc>
          <w:tcPr>
            <w:tcW w:w="1365" w:type="pct"/>
            <w:tcBorders>
              <w:top w:val="single" w:sz="4" w:space="0" w:color="auto"/>
              <w:bottom w:val="single" w:sz="4" w:space="0" w:color="auto"/>
            </w:tcBorders>
          </w:tcPr>
          <w:p w14:paraId="1CFD3F5D" w14:textId="77777777" w:rsidR="00196507" w:rsidRPr="00F9176A" w:rsidRDefault="00196507" w:rsidP="00196507">
            <w:pPr>
              <w:pStyle w:val="Tabletext"/>
            </w:pPr>
            <w:r w:rsidRPr="00F9176A">
              <w:t>80</w:t>
            </w:r>
          </w:p>
        </w:tc>
        <w:tc>
          <w:tcPr>
            <w:tcW w:w="909" w:type="pct"/>
            <w:tcBorders>
              <w:top w:val="single" w:sz="4" w:space="0" w:color="auto"/>
              <w:bottom w:val="single" w:sz="4" w:space="0" w:color="auto"/>
            </w:tcBorders>
            <w:shd w:val="clear" w:color="auto" w:fill="auto"/>
            <w:vAlign w:val="bottom"/>
          </w:tcPr>
          <w:p w14:paraId="3A748F41" w14:textId="77777777" w:rsidR="00196507" w:rsidRPr="00196507" w:rsidRDefault="00196507" w:rsidP="00196507">
            <w:pPr>
              <w:pStyle w:val="Tabletext"/>
              <w:rPr>
                <w:color w:val="000000" w:themeColor="text1"/>
              </w:rPr>
            </w:pPr>
            <w:r w:rsidRPr="00196507">
              <w:rPr>
                <w:color w:val="000000" w:themeColor="text1"/>
              </w:rPr>
              <w:t>7</w:t>
            </w:r>
            <w:r w:rsidR="00D7157D">
              <w:rPr>
                <w:color w:val="000000" w:themeColor="text1"/>
              </w:rPr>
              <w:t>.</w:t>
            </w:r>
            <w:r w:rsidRPr="00196507">
              <w:rPr>
                <w:color w:val="000000" w:themeColor="text1"/>
              </w:rPr>
              <w:t>1905</w:t>
            </w:r>
          </w:p>
        </w:tc>
        <w:tc>
          <w:tcPr>
            <w:tcW w:w="909" w:type="pct"/>
            <w:tcBorders>
              <w:top w:val="single" w:sz="4" w:space="0" w:color="auto"/>
              <w:bottom w:val="single" w:sz="4" w:space="0" w:color="auto"/>
            </w:tcBorders>
            <w:shd w:val="clear" w:color="auto" w:fill="auto"/>
            <w:vAlign w:val="bottom"/>
          </w:tcPr>
          <w:p w14:paraId="24A87A7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6909</w:t>
            </w:r>
          </w:p>
        </w:tc>
        <w:tc>
          <w:tcPr>
            <w:tcW w:w="909" w:type="pct"/>
            <w:tcBorders>
              <w:top w:val="single" w:sz="4" w:space="0" w:color="auto"/>
              <w:bottom w:val="single" w:sz="4" w:space="0" w:color="auto"/>
            </w:tcBorders>
            <w:shd w:val="clear" w:color="auto" w:fill="auto"/>
            <w:vAlign w:val="bottom"/>
          </w:tcPr>
          <w:p w14:paraId="6E70115B" w14:textId="77777777" w:rsidR="00196507" w:rsidRPr="00196507" w:rsidRDefault="00196507" w:rsidP="00196507">
            <w:pPr>
              <w:pStyle w:val="Tabletext"/>
              <w:rPr>
                <w:color w:val="000000" w:themeColor="text1"/>
              </w:rPr>
            </w:pPr>
            <w:r w:rsidRPr="00196507">
              <w:rPr>
                <w:color w:val="000000" w:themeColor="text1"/>
              </w:rPr>
              <w:t>8</w:t>
            </w:r>
            <w:r w:rsidR="00D7157D">
              <w:rPr>
                <w:color w:val="000000" w:themeColor="text1"/>
              </w:rPr>
              <w:t>.</w:t>
            </w:r>
            <w:r w:rsidRPr="00196507">
              <w:rPr>
                <w:color w:val="000000" w:themeColor="text1"/>
              </w:rPr>
              <w:t>0396</w:t>
            </w:r>
          </w:p>
        </w:tc>
        <w:tc>
          <w:tcPr>
            <w:tcW w:w="908" w:type="pct"/>
            <w:tcBorders>
              <w:top w:val="single" w:sz="4" w:space="0" w:color="auto"/>
              <w:bottom w:val="single" w:sz="4" w:space="0" w:color="auto"/>
              <w:right w:val="nil"/>
            </w:tcBorders>
            <w:shd w:val="clear" w:color="auto" w:fill="auto"/>
            <w:vAlign w:val="bottom"/>
          </w:tcPr>
          <w:p w14:paraId="5C56CB3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1818</w:t>
            </w:r>
          </w:p>
        </w:tc>
      </w:tr>
      <w:tr w:rsidR="00196507" w:rsidRPr="00F9176A" w14:paraId="6EB9AE0D" w14:textId="77777777" w:rsidTr="00E05772">
        <w:trPr>
          <w:cantSplit/>
        </w:trPr>
        <w:tc>
          <w:tcPr>
            <w:tcW w:w="1365" w:type="pct"/>
            <w:tcBorders>
              <w:top w:val="single" w:sz="4" w:space="0" w:color="auto"/>
              <w:bottom w:val="single" w:sz="4" w:space="0" w:color="auto"/>
            </w:tcBorders>
          </w:tcPr>
          <w:p w14:paraId="424ED1CE" w14:textId="77777777" w:rsidR="00196507" w:rsidRPr="00F9176A" w:rsidRDefault="00196507" w:rsidP="00196507">
            <w:pPr>
              <w:pStyle w:val="Tabletext"/>
            </w:pPr>
            <w:r w:rsidRPr="00F9176A">
              <w:t>81</w:t>
            </w:r>
          </w:p>
        </w:tc>
        <w:tc>
          <w:tcPr>
            <w:tcW w:w="909" w:type="pct"/>
            <w:tcBorders>
              <w:top w:val="single" w:sz="4" w:space="0" w:color="auto"/>
              <w:bottom w:val="single" w:sz="4" w:space="0" w:color="auto"/>
            </w:tcBorders>
            <w:shd w:val="clear" w:color="auto" w:fill="auto"/>
            <w:vAlign w:val="bottom"/>
          </w:tcPr>
          <w:p w14:paraId="64D3A752" w14:textId="77777777" w:rsidR="00196507" w:rsidRPr="00196507" w:rsidRDefault="00196507" w:rsidP="00196507">
            <w:pPr>
              <w:pStyle w:val="Tabletext"/>
              <w:rPr>
                <w:color w:val="000000" w:themeColor="text1"/>
              </w:rPr>
            </w:pPr>
            <w:r w:rsidRPr="00196507">
              <w:rPr>
                <w:color w:val="000000" w:themeColor="text1"/>
              </w:rPr>
              <w:t>6</w:t>
            </w:r>
            <w:r w:rsidR="00D7157D">
              <w:rPr>
                <w:color w:val="000000" w:themeColor="text1"/>
              </w:rPr>
              <w:t>.</w:t>
            </w:r>
            <w:r w:rsidRPr="00196507">
              <w:rPr>
                <w:color w:val="000000" w:themeColor="text1"/>
              </w:rPr>
              <w:t>7704</w:t>
            </w:r>
          </w:p>
        </w:tc>
        <w:tc>
          <w:tcPr>
            <w:tcW w:w="909" w:type="pct"/>
            <w:tcBorders>
              <w:top w:val="single" w:sz="4" w:space="0" w:color="auto"/>
              <w:bottom w:val="single" w:sz="4" w:space="0" w:color="auto"/>
            </w:tcBorders>
            <w:shd w:val="clear" w:color="auto" w:fill="auto"/>
            <w:vAlign w:val="bottom"/>
          </w:tcPr>
          <w:p w14:paraId="26C6ECA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6723</w:t>
            </w:r>
          </w:p>
        </w:tc>
        <w:tc>
          <w:tcPr>
            <w:tcW w:w="909" w:type="pct"/>
            <w:tcBorders>
              <w:top w:val="single" w:sz="4" w:space="0" w:color="auto"/>
              <w:bottom w:val="single" w:sz="4" w:space="0" w:color="auto"/>
            </w:tcBorders>
            <w:shd w:val="clear" w:color="auto" w:fill="auto"/>
            <w:vAlign w:val="bottom"/>
          </w:tcPr>
          <w:p w14:paraId="3872744D" w14:textId="77777777" w:rsidR="00196507" w:rsidRPr="00196507" w:rsidRDefault="00196507" w:rsidP="00196507">
            <w:pPr>
              <w:pStyle w:val="Tabletext"/>
              <w:rPr>
                <w:color w:val="000000" w:themeColor="text1"/>
              </w:rPr>
            </w:pPr>
            <w:r w:rsidRPr="00196507">
              <w:rPr>
                <w:color w:val="000000" w:themeColor="text1"/>
              </w:rPr>
              <w:t>7</w:t>
            </w:r>
            <w:r w:rsidR="00D7157D">
              <w:rPr>
                <w:color w:val="000000" w:themeColor="text1"/>
              </w:rPr>
              <w:t>.</w:t>
            </w:r>
            <w:r w:rsidRPr="00196507">
              <w:rPr>
                <w:color w:val="000000" w:themeColor="text1"/>
              </w:rPr>
              <w:t>5675</w:t>
            </w:r>
          </w:p>
        </w:tc>
        <w:tc>
          <w:tcPr>
            <w:tcW w:w="908" w:type="pct"/>
            <w:tcBorders>
              <w:top w:val="single" w:sz="4" w:space="0" w:color="auto"/>
              <w:bottom w:val="single" w:sz="4" w:space="0" w:color="auto"/>
              <w:right w:val="nil"/>
            </w:tcBorders>
            <w:shd w:val="clear" w:color="auto" w:fill="auto"/>
            <w:vAlign w:val="bottom"/>
          </w:tcPr>
          <w:p w14:paraId="19E48471"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1768</w:t>
            </w:r>
          </w:p>
        </w:tc>
      </w:tr>
      <w:tr w:rsidR="00196507" w:rsidRPr="00F9176A" w14:paraId="6266CF94" w14:textId="77777777" w:rsidTr="00E05772">
        <w:trPr>
          <w:cantSplit/>
        </w:trPr>
        <w:tc>
          <w:tcPr>
            <w:tcW w:w="1365" w:type="pct"/>
            <w:tcBorders>
              <w:top w:val="single" w:sz="4" w:space="0" w:color="auto"/>
              <w:bottom w:val="single" w:sz="4" w:space="0" w:color="auto"/>
            </w:tcBorders>
          </w:tcPr>
          <w:p w14:paraId="6457221B" w14:textId="77777777" w:rsidR="00196507" w:rsidRPr="00F9176A" w:rsidRDefault="00196507" w:rsidP="00196507">
            <w:pPr>
              <w:pStyle w:val="Tabletext"/>
            </w:pPr>
            <w:r w:rsidRPr="00F9176A">
              <w:t>82</w:t>
            </w:r>
          </w:p>
        </w:tc>
        <w:tc>
          <w:tcPr>
            <w:tcW w:w="909" w:type="pct"/>
            <w:tcBorders>
              <w:top w:val="single" w:sz="4" w:space="0" w:color="auto"/>
              <w:bottom w:val="single" w:sz="4" w:space="0" w:color="auto"/>
            </w:tcBorders>
            <w:shd w:val="clear" w:color="auto" w:fill="auto"/>
            <w:vAlign w:val="bottom"/>
          </w:tcPr>
          <w:p w14:paraId="7DC44989" w14:textId="77777777" w:rsidR="00196507" w:rsidRPr="00196507" w:rsidRDefault="00196507" w:rsidP="00196507">
            <w:pPr>
              <w:pStyle w:val="Tabletext"/>
              <w:rPr>
                <w:color w:val="000000" w:themeColor="text1"/>
              </w:rPr>
            </w:pPr>
            <w:r w:rsidRPr="00196507">
              <w:rPr>
                <w:color w:val="000000" w:themeColor="text1"/>
              </w:rPr>
              <w:t>6</w:t>
            </w:r>
            <w:r w:rsidR="00D7157D">
              <w:rPr>
                <w:color w:val="000000" w:themeColor="text1"/>
              </w:rPr>
              <w:t>.</w:t>
            </w:r>
            <w:r w:rsidRPr="00196507">
              <w:rPr>
                <w:color w:val="000000" w:themeColor="text1"/>
              </w:rPr>
              <w:t>3665</w:t>
            </w:r>
          </w:p>
        </w:tc>
        <w:tc>
          <w:tcPr>
            <w:tcW w:w="909" w:type="pct"/>
            <w:tcBorders>
              <w:top w:val="single" w:sz="4" w:space="0" w:color="auto"/>
              <w:bottom w:val="single" w:sz="4" w:space="0" w:color="auto"/>
            </w:tcBorders>
            <w:shd w:val="clear" w:color="auto" w:fill="auto"/>
            <w:vAlign w:val="bottom"/>
          </w:tcPr>
          <w:p w14:paraId="6E4603E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6525</w:t>
            </w:r>
          </w:p>
        </w:tc>
        <w:tc>
          <w:tcPr>
            <w:tcW w:w="909" w:type="pct"/>
            <w:tcBorders>
              <w:top w:val="single" w:sz="4" w:space="0" w:color="auto"/>
              <w:bottom w:val="single" w:sz="4" w:space="0" w:color="auto"/>
            </w:tcBorders>
            <w:shd w:val="clear" w:color="auto" w:fill="auto"/>
            <w:vAlign w:val="bottom"/>
          </w:tcPr>
          <w:p w14:paraId="0F10ADEE" w14:textId="77777777" w:rsidR="00196507" w:rsidRPr="00196507" w:rsidRDefault="00196507" w:rsidP="00196507">
            <w:pPr>
              <w:pStyle w:val="Tabletext"/>
              <w:rPr>
                <w:color w:val="000000" w:themeColor="text1"/>
              </w:rPr>
            </w:pPr>
            <w:r w:rsidRPr="00196507">
              <w:rPr>
                <w:color w:val="000000" w:themeColor="text1"/>
              </w:rPr>
              <w:t>7</w:t>
            </w:r>
            <w:r w:rsidR="00D7157D">
              <w:rPr>
                <w:color w:val="000000" w:themeColor="text1"/>
              </w:rPr>
              <w:t>.</w:t>
            </w:r>
            <w:r w:rsidRPr="00196507">
              <w:rPr>
                <w:color w:val="000000" w:themeColor="text1"/>
              </w:rPr>
              <w:t>1078</w:t>
            </w:r>
          </w:p>
        </w:tc>
        <w:tc>
          <w:tcPr>
            <w:tcW w:w="908" w:type="pct"/>
            <w:tcBorders>
              <w:top w:val="single" w:sz="4" w:space="0" w:color="auto"/>
              <w:bottom w:val="single" w:sz="4" w:space="0" w:color="auto"/>
              <w:right w:val="nil"/>
            </w:tcBorders>
            <w:shd w:val="clear" w:color="auto" w:fill="auto"/>
            <w:vAlign w:val="bottom"/>
          </w:tcPr>
          <w:p w14:paraId="0DED446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1717</w:t>
            </w:r>
          </w:p>
        </w:tc>
      </w:tr>
      <w:tr w:rsidR="00196507" w:rsidRPr="00F9176A" w14:paraId="616514FE" w14:textId="77777777" w:rsidTr="00E05772">
        <w:trPr>
          <w:cantSplit/>
        </w:trPr>
        <w:tc>
          <w:tcPr>
            <w:tcW w:w="1365" w:type="pct"/>
            <w:tcBorders>
              <w:top w:val="single" w:sz="4" w:space="0" w:color="auto"/>
              <w:bottom w:val="single" w:sz="4" w:space="0" w:color="auto"/>
            </w:tcBorders>
          </w:tcPr>
          <w:p w14:paraId="1D3653A2" w14:textId="77777777" w:rsidR="00196507" w:rsidRPr="00F9176A" w:rsidRDefault="00196507" w:rsidP="00196507">
            <w:pPr>
              <w:pStyle w:val="Tabletext"/>
            </w:pPr>
            <w:r w:rsidRPr="00F9176A">
              <w:t>83</w:t>
            </w:r>
          </w:p>
        </w:tc>
        <w:tc>
          <w:tcPr>
            <w:tcW w:w="909" w:type="pct"/>
            <w:tcBorders>
              <w:top w:val="single" w:sz="4" w:space="0" w:color="auto"/>
              <w:bottom w:val="single" w:sz="4" w:space="0" w:color="auto"/>
            </w:tcBorders>
            <w:shd w:val="clear" w:color="auto" w:fill="auto"/>
            <w:vAlign w:val="bottom"/>
          </w:tcPr>
          <w:p w14:paraId="483332C9"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9808</w:t>
            </w:r>
          </w:p>
        </w:tc>
        <w:tc>
          <w:tcPr>
            <w:tcW w:w="909" w:type="pct"/>
            <w:tcBorders>
              <w:top w:val="single" w:sz="4" w:space="0" w:color="auto"/>
              <w:bottom w:val="single" w:sz="4" w:space="0" w:color="auto"/>
            </w:tcBorders>
            <w:shd w:val="clear" w:color="auto" w:fill="auto"/>
            <w:vAlign w:val="bottom"/>
          </w:tcPr>
          <w:p w14:paraId="6F30270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6314</w:t>
            </w:r>
          </w:p>
        </w:tc>
        <w:tc>
          <w:tcPr>
            <w:tcW w:w="909" w:type="pct"/>
            <w:tcBorders>
              <w:top w:val="single" w:sz="4" w:space="0" w:color="auto"/>
              <w:bottom w:val="single" w:sz="4" w:space="0" w:color="auto"/>
            </w:tcBorders>
            <w:shd w:val="clear" w:color="auto" w:fill="auto"/>
            <w:vAlign w:val="bottom"/>
          </w:tcPr>
          <w:p w14:paraId="25571C5A" w14:textId="77777777" w:rsidR="00196507" w:rsidRPr="00196507" w:rsidRDefault="00196507" w:rsidP="00196507">
            <w:pPr>
              <w:pStyle w:val="Tabletext"/>
              <w:rPr>
                <w:color w:val="000000" w:themeColor="text1"/>
              </w:rPr>
            </w:pPr>
            <w:r w:rsidRPr="00196507">
              <w:rPr>
                <w:color w:val="000000" w:themeColor="text1"/>
              </w:rPr>
              <w:t>6</w:t>
            </w:r>
            <w:r w:rsidR="00D7157D">
              <w:rPr>
                <w:color w:val="000000" w:themeColor="text1"/>
              </w:rPr>
              <w:t>.</w:t>
            </w:r>
            <w:r w:rsidRPr="00196507">
              <w:rPr>
                <w:color w:val="000000" w:themeColor="text1"/>
              </w:rPr>
              <w:t>6624</w:t>
            </w:r>
          </w:p>
        </w:tc>
        <w:tc>
          <w:tcPr>
            <w:tcW w:w="908" w:type="pct"/>
            <w:tcBorders>
              <w:top w:val="single" w:sz="4" w:space="0" w:color="auto"/>
              <w:bottom w:val="single" w:sz="4" w:space="0" w:color="auto"/>
              <w:right w:val="nil"/>
            </w:tcBorders>
            <w:shd w:val="clear" w:color="auto" w:fill="auto"/>
            <w:vAlign w:val="bottom"/>
          </w:tcPr>
          <w:p w14:paraId="19E781A3"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1665</w:t>
            </w:r>
          </w:p>
        </w:tc>
      </w:tr>
      <w:tr w:rsidR="00196507" w:rsidRPr="00F9176A" w14:paraId="1BFA0EA5" w14:textId="77777777" w:rsidTr="00E05772">
        <w:trPr>
          <w:cantSplit/>
        </w:trPr>
        <w:tc>
          <w:tcPr>
            <w:tcW w:w="1365" w:type="pct"/>
            <w:tcBorders>
              <w:top w:val="single" w:sz="4" w:space="0" w:color="auto"/>
              <w:bottom w:val="single" w:sz="4" w:space="0" w:color="auto"/>
            </w:tcBorders>
          </w:tcPr>
          <w:p w14:paraId="7DE338C0" w14:textId="77777777" w:rsidR="00196507" w:rsidRPr="00F9176A" w:rsidRDefault="00196507" w:rsidP="00196507">
            <w:pPr>
              <w:pStyle w:val="Tabletext"/>
            </w:pPr>
            <w:r w:rsidRPr="00F9176A">
              <w:t>84</w:t>
            </w:r>
          </w:p>
        </w:tc>
        <w:tc>
          <w:tcPr>
            <w:tcW w:w="909" w:type="pct"/>
            <w:tcBorders>
              <w:top w:val="single" w:sz="4" w:space="0" w:color="auto"/>
              <w:bottom w:val="single" w:sz="4" w:space="0" w:color="auto"/>
            </w:tcBorders>
            <w:shd w:val="clear" w:color="auto" w:fill="auto"/>
            <w:vAlign w:val="bottom"/>
          </w:tcPr>
          <w:p w14:paraId="11050DD9"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6154</w:t>
            </w:r>
          </w:p>
        </w:tc>
        <w:tc>
          <w:tcPr>
            <w:tcW w:w="909" w:type="pct"/>
            <w:tcBorders>
              <w:top w:val="single" w:sz="4" w:space="0" w:color="auto"/>
              <w:bottom w:val="single" w:sz="4" w:space="0" w:color="auto"/>
            </w:tcBorders>
            <w:shd w:val="clear" w:color="auto" w:fill="auto"/>
            <w:vAlign w:val="bottom"/>
          </w:tcPr>
          <w:p w14:paraId="09F0E71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6090</w:t>
            </w:r>
          </w:p>
        </w:tc>
        <w:tc>
          <w:tcPr>
            <w:tcW w:w="909" w:type="pct"/>
            <w:tcBorders>
              <w:top w:val="single" w:sz="4" w:space="0" w:color="auto"/>
              <w:bottom w:val="single" w:sz="4" w:space="0" w:color="auto"/>
            </w:tcBorders>
            <w:shd w:val="clear" w:color="auto" w:fill="auto"/>
            <w:vAlign w:val="bottom"/>
          </w:tcPr>
          <w:p w14:paraId="79DF46F5" w14:textId="77777777" w:rsidR="00196507" w:rsidRPr="00196507" w:rsidRDefault="00196507" w:rsidP="00196507">
            <w:pPr>
              <w:pStyle w:val="Tabletext"/>
              <w:rPr>
                <w:color w:val="000000" w:themeColor="text1"/>
              </w:rPr>
            </w:pPr>
            <w:r w:rsidRPr="00196507">
              <w:rPr>
                <w:color w:val="000000" w:themeColor="text1"/>
              </w:rPr>
              <w:t>6</w:t>
            </w:r>
            <w:r w:rsidR="00D7157D">
              <w:rPr>
                <w:color w:val="000000" w:themeColor="text1"/>
              </w:rPr>
              <w:t>.</w:t>
            </w:r>
            <w:r w:rsidRPr="00196507">
              <w:rPr>
                <w:color w:val="000000" w:themeColor="text1"/>
              </w:rPr>
              <w:t>2330</w:t>
            </w:r>
          </w:p>
        </w:tc>
        <w:tc>
          <w:tcPr>
            <w:tcW w:w="908" w:type="pct"/>
            <w:tcBorders>
              <w:top w:val="single" w:sz="4" w:space="0" w:color="auto"/>
              <w:bottom w:val="single" w:sz="4" w:space="0" w:color="auto"/>
              <w:right w:val="nil"/>
            </w:tcBorders>
            <w:shd w:val="clear" w:color="auto" w:fill="auto"/>
            <w:vAlign w:val="bottom"/>
          </w:tcPr>
          <w:p w14:paraId="05B215C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1611</w:t>
            </w:r>
          </w:p>
        </w:tc>
      </w:tr>
      <w:tr w:rsidR="00196507" w:rsidRPr="00F9176A" w14:paraId="77002FBF" w14:textId="77777777" w:rsidTr="00E05772">
        <w:trPr>
          <w:cantSplit/>
        </w:trPr>
        <w:tc>
          <w:tcPr>
            <w:tcW w:w="1365" w:type="pct"/>
            <w:tcBorders>
              <w:top w:val="single" w:sz="4" w:space="0" w:color="auto"/>
              <w:bottom w:val="single" w:sz="4" w:space="0" w:color="auto"/>
            </w:tcBorders>
          </w:tcPr>
          <w:p w14:paraId="63108EE1" w14:textId="77777777" w:rsidR="00196507" w:rsidRPr="00F9176A" w:rsidRDefault="00196507" w:rsidP="00196507">
            <w:pPr>
              <w:pStyle w:val="Tabletext"/>
            </w:pPr>
            <w:r w:rsidRPr="00F9176A">
              <w:t>85</w:t>
            </w:r>
          </w:p>
        </w:tc>
        <w:tc>
          <w:tcPr>
            <w:tcW w:w="909" w:type="pct"/>
            <w:tcBorders>
              <w:top w:val="single" w:sz="4" w:space="0" w:color="auto"/>
              <w:bottom w:val="single" w:sz="4" w:space="0" w:color="auto"/>
            </w:tcBorders>
            <w:shd w:val="clear" w:color="auto" w:fill="auto"/>
            <w:vAlign w:val="bottom"/>
          </w:tcPr>
          <w:p w14:paraId="0D463DC2"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2721</w:t>
            </w:r>
          </w:p>
        </w:tc>
        <w:tc>
          <w:tcPr>
            <w:tcW w:w="909" w:type="pct"/>
            <w:tcBorders>
              <w:top w:val="single" w:sz="4" w:space="0" w:color="auto"/>
              <w:bottom w:val="single" w:sz="4" w:space="0" w:color="auto"/>
            </w:tcBorders>
            <w:shd w:val="clear" w:color="auto" w:fill="auto"/>
            <w:vAlign w:val="bottom"/>
          </w:tcPr>
          <w:p w14:paraId="5ABC042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5856</w:t>
            </w:r>
          </w:p>
        </w:tc>
        <w:tc>
          <w:tcPr>
            <w:tcW w:w="909" w:type="pct"/>
            <w:tcBorders>
              <w:top w:val="single" w:sz="4" w:space="0" w:color="auto"/>
              <w:bottom w:val="single" w:sz="4" w:space="0" w:color="auto"/>
            </w:tcBorders>
            <w:shd w:val="clear" w:color="auto" w:fill="auto"/>
            <w:vAlign w:val="bottom"/>
          </w:tcPr>
          <w:p w14:paraId="79F853B6"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8217</w:t>
            </w:r>
          </w:p>
        </w:tc>
        <w:tc>
          <w:tcPr>
            <w:tcW w:w="908" w:type="pct"/>
            <w:tcBorders>
              <w:top w:val="single" w:sz="4" w:space="0" w:color="auto"/>
              <w:bottom w:val="single" w:sz="4" w:space="0" w:color="auto"/>
              <w:right w:val="nil"/>
            </w:tcBorders>
            <w:shd w:val="clear" w:color="auto" w:fill="auto"/>
            <w:vAlign w:val="bottom"/>
          </w:tcPr>
          <w:p w14:paraId="46B05D8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1557</w:t>
            </w:r>
          </w:p>
        </w:tc>
      </w:tr>
      <w:tr w:rsidR="00196507" w:rsidRPr="00F9176A" w14:paraId="127B9B19" w14:textId="77777777" w:rsidTr="00E05772">
        <w:trPr>
          <w:cantSplit/>
        </w:trPr>
        <w:tc>
          <w:tcPr>
            <w:tcW w:w="1365" w:type="pct"/>
            <w:tcBorders>
              <w:top w:val="single" w:sz="4" w:space="0" w:color="auto"/>
              <w:bottom w:val="single" w:sz="4" w:space="0" w:color="auto"/>
            </w:tcBorders>
          </w:tcPr>
          <w:p w14:paraId="5D34A553" w14:textId="77777777" w:rsidR="00196507" w:rsidRPr="00F9176A" w:rsidRDefault="00196507" w:rsidP="00196507">
            <w:pPr>
              <w:pStyle w:val="Tabletext"/>
            </w:pPr>
            <w:r w:rsidRPr="00F9176A">
              <w:t>86</w:t>
            </w:r>
          </w:p>
        </w:tc>
        <w:tc>
          <w:tcPr>
            <w:tcW w:w="909" w:type="pct"/>
            <w:tcBorders>
              <w:top w:val="single" w:sz="4" w:space="0" w:color="auto"/>
              <w:bottom w:val="single" w:sz="4" w:space="0" w:color="auto"/>
            </w:tcBorders>
            <w:shd w:val="clear" w:color="auto" w:fill="auto"/>
            <w:vAlign w:val="bottom"/>
          </w:tcPr>
          <w:p w14:paraId="47B75391"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9527</w:t>
            </w:r>
          </w:p>
        </w:tc>
        <w:tc>
          <w:tcPr>
            <w:tcW w:w="909" w:type="pct"/>
            <w:tcBorders>
              <w:top w:val="single" w:sz="4" w:space="0" w:color="auto"/>
              <w:bottom w:val="single" w:sz="4" w:space="0" w:color="auto"/>
            </w:tcBorders>
            <w:shd w:val="clear" w:color="auto" w:fill="auto"/>
            <w:vAlign w:val="bottom"/>
          </w:tcPr>
          <w:p w14:paraId="5F0DC98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5610</w:t>
            </w:r>
          </w:p>
        </w:tc>
        <w:tc>
          <w:tcPr>
            <w:tcW w:w="909" w:type="pct"/>
            <w:tcBorders>
              <w:top w:val="single" w:sz="4" w:space="0" w:color="auto"/>
              <w:bottom w:val="single" w:sz="4" w:space="0" w:color="auto"/>
            </w:tcBorders>
            <w:shd w:val="clear" w:color="auto" w:fill="auto"/>
            <w:vAlign w:val="bottom"/>
          </w:tcPr>
          <w:p w14:paraId="2EF91071"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4293</w:t>
            </w:r>
          </w:p>
        </w:tc>
        <w:tc>
          <w:tcPr>
            <w:tcW w:w="908" w:type="pct"/>
            <w:tcBorders>
              <w:top w:val="single" w:sz="4" w:space="0" w:color="auto"/>
              <w:bottom w:val="single" w:sz="4" w:space="0" w:color="auto"/>
              <w:right w:val="nil"/>
            </w:tcBorders>
            <w:shd w:val="clear" w:color="auto" w:fill="auto"/>
            <w:vAlign w:val="bottom"/>
          </w:tcPr>
          <w:p w14:paraId="23F8951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1504</w:t>
            </w:r>
          </w:p>
        </w:tc>
      </w:tr>
      <w:tr w:rsidR="00196507" w:rsidRPr="00F9176A" w14:paraId="0663A109" w14:textId="77777777" w:rsidTr="00E05772">
        <w:trPr>
          <w:cantSplit/>
        </w:trPr>
        <w:tc>
          <w:tcPr>
            <w:tcW w:w="1365" w:type="pct"/>
            <w:tcBorders>
              <w:top w:val="single" w:sz="4" w:space="0" w:color="auto"/>
              <w:bottom w:val="single" w:sz="4" w:space="0" w:color="auto"/>
            </w:tcBorders>
          </w:tcPr>
          <w:p w14:paraId="2AF9D378" w14:textId="77777777" w:rsidR="00196507" w:rsidRPr="00F9176A" w:rsidRDefault="00196507" w:rsidP="00196507">
            <w:pPr>
              <w:pStyle w:val="Tabletext"/>
            </w:pPr>
            <w:r w:rsidRPr="00F9176A">
              <w:t>87</w:t>
            </w:r>
          </w:p>
        </w:tc>
        <w:tc>
          <w:tcPr>
            <w:tcW w:w="909" w:type="pct"/>
            <w:tcBorders>
              <w:top w:val="single" w:sz="4" w:space="0" w:color="auto"/>
              <w:bottom w:val="single" w:sz="4" w:space="0" w:color="auto"/>
            </w:tcBorders>
            <w:shd w:val="clear" w:color="auto" w:fill="auto"/>
            <w:vAlign w:val="bottom"/>
          </w:tcPr>
          <w:p w14:paraId="4D325DB6"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6539</w:t>
            </w:r>
          </w:p>
        </w:tc>
        <w:tc>
          <w:tcPr>
            <w:tcW w:w="909" w:type="pct"/>
            <w:tcBorders>
              <w:top w:val="single" w:sz="4" w:space="0" w:color="auto"/>
              <w:bottom w:val="single" w:sz="4" w:space="0" w:color="auto"/>
            </w:tcBorders>
            <w:shd w:val="clear" w:color="auto" w:fill="auto"/>
            <w:vAlign w:val="bottom"/>
          </w:tcPr>
          <w:p w14:paraId="2041F50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5358</w:t>
            </w:r>
          </w:p>
        </w:tc>
        <w:tc>
          <w:tcPr>
            <w:tcW w:w="909" w:type="pct"/>
            <w:tcBorders>
              <w:top w:val="single" w:sz="4" w:space="0" w:color="auto"/>
              <w:bottom w:val="single" w:sz="4" w:space="0" w:color="auto"/>
            </w:tcBorders>
            <w:shd w:val="clear" w:color="auto" w:fill="auto"/>
            <w:vAlign w:val="bottom"/>
          </w:tcPr>
          <w:p w14:paraId="1D619BDB"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0598</w:t>
            </w:r>
          </w:p>
        </w:tc>
        <w:tc>
          <w:tcPr>
            <w:tcW w:w="908" w:type="pct"/>
            <w:tcBorders>
              <w:top w:val="single" w:sz="4" w:space="0" w:color="auto"/>
              <w:bottom w:val="single" w:sz="4" w:space="0" w:color="auto"/>
              <w:right w:val="nil"/>
            </w:tcBorders>
            <w:shd w:val="clear" w:color="auto" w:fill="auto"/>
            <w:vAlign w:val="bottom"/>
          </w:tcPr>
          <w:p w14:paraId="44A4EEA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1450</w:t>
            </w:r>
          </w:p>
        </w:tc>
      </w:tr>
      <w:tr w:rsidR="00196507" w:rsidRPr="00F9176A" w14:paraId="652124D8" w14:textId="77777777" w:rsidTr="00E05772">
        <w:trPr>
          <w:cantSplit/>
        </w:trPr>
        <w:tc>
          <w:tcPr>
            <w:tcW w:w="1365" w:type="pct"/>
            <w:tcBorders>
              <w:top w:val="single" w:sz="4" w:space="0" w:color="auto"/>
              <w:bottom w:val="single" w:sz="4" w:space="0" w:color="auto"/>
            </w:tcBorders>
          </w:tcPr>
          <w:p w14:paraId="37258420" w14:textId="77777777" w:rsidR="00196507" w:rsidRPr="00F9176A" w:rsidRDefault="00196507" w:rsidP="00196507">
            <w:pPr>
              <w:pStyle w:val="Tabletext"/>
            </w:pPr>
            <w:r w:rsidRPr="00F9176A">
              <w:t>88</w:t>
            </w:r>
          </w:p>
        </w:tc>
        <w:tc>
          <w:tcPr>
            <w:tcW w:w="909" w:type="pct"/>
            <w:tcBorders>
              <w:top w:val="single" w:sz="4" w:space="0" w:color="auto"/>
              <w:bottom w:val="single" w:sz="4" w:space="0" w:color="auto"/>
            </w:tcBorders>
            <w:shd w:val="clear" w:color="auto" w:fill="auto"/>
            <w:vAlign w:val="bottom"/>
          </w:tcPr>
          <w:p w14:paraId="354A9FC2"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3759</w:t>
            </w:r>
          </w:p>
        </w:tc>
        <w:tc>
          <w:tcPr>
            <w:tcW w:w="909" w:type="pct"/>
            <w:tcBorders>
              <w:top w:val="single" w:sz="4" w:space="0" w:color="auto"/>
              <w:bottom w:val="single" w:sz="4" w:space="0" w:color="auto"/>
            </w:tcBorders>
            <w:shd w:val="clear" w:color="auto" w:fill="auto"/>
            <w:vAlign w:val="bottom"/>
          </w:tcPr>
          <w:p w14:paraId="0ADFB10B"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5102</w:t>
            </w:r>
          </w:p>
        </w:tc>
        <w:tc>
          <w:tcPr>
            <w:tcW w:w="909" w:type="pct"/>
            <w:tcBorders>
              <w:top w:val="single" w:sz="4" w:space="0" w:color="auto"/>
              <w:bottom w:val="single" w:sz="4" w:space="0" w:color="auto"/>
            </w:tcBorders>
            <w:shd w:val="clear" w:color="auto" w:fill="auto"/>
            <w:vAlign w:val="bottom"/>
          </w:tcPr>
          <w:p w14:paraId="4297A520"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7134</w:t>
            </w:r>
          </w:p>
        </w:tc>
        <w:tc>
          <w:tcPr>
            <w:tcW w:w="908" w:type="pct"/>
            <w:tcBorders>
              <w:top w:val="single" w:sz="4" w:space="0" w:color="auto"/>
              <w:bottom w:val="single" w:sz="4" w:space="0" w:color="auto"/>
              <w:right w:val="nil"/>
            </w:tcBorders>
            <w:shd w:val="clear" w:color="auto" w:fill="auto"/>
            <w:vAlign w:val="bottom"/>
          </w:tcPr>
          <w:p w14:paraId="4EA683F5"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1398</w:t>
            </w:r>
          </w:p>
        </w:tc>
      </w:tr>
      <w:tr w:rsidR="00196507" w:rsidRPr="00F9176A" w14:paraId="1469662A" w14:textId="77777777" w:rsidTr="00E05772">
        <w:trPr>
          <w:cantSplit/>
        </w:trPr>
        <w:tc>
          <w:tcPr>
            <w:tcW w:w="1365" w:type="pct"/>
            <w:tcBorders>
              <w:top w:val="single" w:sz="4" w:space="0" w:color="auto"/>
              <w:bottom w:val="single" w:sz="4" w:space="0" w:color="auto"/>
            </w:tcBorders>
          </w:tcPr>
          <w:p w14:paraId="438F6050" w14:textId="77777777" w:rsidR="00196507" w:rsidRPr="00F9176A" w:rsidRDefault="00196507" w:rsidP="00196507">
            <w:pPr>
              <w:pStyle w:val="Tabletext"/>
            </w:pPr>
            <w:r w:rsidRPr="00F9176A">
              <w:t>89</w:t>
            </w:r>
          </w:p>
        </w:tc>
        <w:tc>
          <w:tcPr>
            <w:tcW w:w="909" w:type="pct"/>
            <w:tcBorders>
              <w:top w:val="single" w:sz="4" w:space="0" w:color="auto"/>
              <w:bottom w:val="single" w:sz="4" w:space="0" w:color="auto"/>
            </w:tcBorders>
            <w:shd w:val="clear" w:color="auto" w:fill="auto"/>
            <w:vAlign w:val="bottom"/>
          </w:tcPr>
          <w:p w14:paraId="6E6EC1D7"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1183</w:t>
            </w:r>
          </w:p>
        </w:tc>
        <w:tc>
          <w:tcPr>
            <w:tcW w:w="909" w:type="pct"/>
            <w:tcBorders>
              <w:top w:val="single" w:sz="4" w:space="0" w:color="auto"/>
              <w:bottom w:val="single" w:sz="4" w:space="0" w:color="auto"/>
            </w:tcBorders>
            <w:shd w:val="clear" w:color="auto" w:fill="auto"/>
            <w:vAlign w:val="bottom"/>
          </w:tcPr>
          <w:p w14:paraId="2A0F3AB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4844</w:t>
            </w:r>
          </w:p>
        </w:tc>
        <w:tc>
          <w:tcPr>
            <w:tcW w:w="909" w:type="pct"/>
            <w:tcBorders>
              <w:top w:val="single" w:sz="4" w:space="0" w:color="auto"/>
              <w:bottom w:val="single" w:sz="4" w:space="0" w:color="auto"/>
            </w:tcBorders>
            <w:shd w:val="clear" w:color="auto" w:fill="auto"/>
            <w:vAlign w:val="bottom"/>
          </w:tcPr>
          <w:p w14:paraId="254C1749"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3924</w:t>
            </w:r>
          </w:p>
        </w:tc>
        <w:tc>
          <w:tcPr>
            <w:tcW w:w="908" w:type="pct"/>
            <w:tcBorders>
              <w:top w:val="single" w:sz="4" w:space="0" w:color="auto"/>
              <w:bottom w:val="single" w:sz="4" w:space="0" w:color="auto"/>
              <w:right w:val="nil"/>
            </w:tcBorders>
            <w:shd w:val="clear" w:color="auto" w:fill="auto"/>
            <w:vAlign w:val="bottom"/>
          </w:tcPr>
          <w:p w14:paraId="732603B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1346</w:t>
            </w:r>
          </w:p>
        </w:tc>
      </w:tr>
      <w:tr w:rsidR="00196507" w:rsidRPr="00F9176A" w14:paraId="1D809A63" w14:textId="77777777" w:rsidTr="00E05772">
        <w:trPr>
          <w:cantSplit/>
        </w:trPr>
        <w:tc>
          <w:tcPr>
            <w:tcW w:w="1365" w:type="pct"/>
            <w:tcBorders>
              <w:top w:val="single" w:sz="4" w:space="0" w:color="auto"/>
              <w:bottom w:val="single" w:sz="4" w:space="0" w:color="auto"/>
            </w:tcBorders>
          </w:tcPr>
          <w:p w14:paraId="2A811547" w14:textId="77777777" w:rsidR="00196507" w:rsidRPr="00F9176A" w:rsidRDefault="00196507" w:rsidP="00196507">
            <w:pPr>
              <w:pStyle w:val="Tabletext"/>
            </w:pPr>
            <w:r w:rsidRPr="00F9176A">
              <w:t>90</w:t>
            </w:r>
          </w:p>
        </w:tc>
        <w:tc>
          <w:tcPr>
            <w:tcW w:w="909" w:type="pct"/>
            <w:tcBorders>
              <w:top w:val="single" w:sz="4" w:space="0" w:color="auto"/>
              <w:bottom w:val="single" w:sz="4" w:space="0" w:color="auto"/>
            </w:tcBorders>
            <w:shd w:val="clear" w:color="auto" w:fill="auto"/>
            <w:vAlign w:val="bottom"/>
          </w:tcPr>
          <w:p w14:paraId="351A0B3A"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8789</w:t>
            </w:r>
          </w:p>
        </w:tc>
        <w:tc>
          <w:tcPr>
            <w:tcW w:w="909" w:type="pct"/>
            <w:tcBorders>
              <w:top w:val="single" w:sz="4" w:space="0" w:color="auto"/>
              <w:bottom w:val="single" w:sz="4" w:space="0" w:color="auto"/>
            </w:tcBorders>
            <w:shd w:val="clear" w:color="auto" w:fill="auto"/>
            <w:vAlign w:val="bottom"/>
          </w:tcPr>
          <w:p w14:paraId="432D8005"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4589</w:t>
            </w:r>
          </w:p>
        </w:tc>
        <w:tc>
          <w:tcPr>
            <w:tcW w:w="909" w:type="pct"/>
            <w:tcBorders>
              <w:top w:val="single" w:sz="4" w:space="0" w:color="auto"/>
              <w:bottom w:val="single" w:sz="4" w:space="0" w:color="auto"/>
            </w:tcBorders>
            <w:shd w:val="clear" w:color="auto" w:fill="auto"/>
            <w:vAlign w:val="bottom"/>
          </w:tcPr>
          <w:p w14:paraId="43951263"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0992</w:t>
            </w:r>
          </w:p>
        </w:tc>
        <w:tc>
          <w:tcPr>
            <w:tcW w:w="908" w:type="pct"/>
            <w:tcBorders>
              <w:top w:val="single" w:sz="4" w:space="0" w:color="auto"/>
              <w:bottom w:val="single" w:sz="4" w:space="0" w:color="auto"/>
              <w:right w:val="nil"/>
            </w:tcBorders>
            <w:shd w:val="clear" w:color="auto" w:fill="auto"/>
            <w:vAlign w:val="bottom"/>
          </w:tcPr>
          <w:p w14:paraId="48EF403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1296</w:t>
            </w:r>
          </w:p>
        </w:tc>
      </w:tr>
      <w:tr w:rsidR="00196507" w:rsidRPr="00F9176A" w14:paraId="44AA94C4" w14:textId="77777777" w:rsidTr="00E05772">
        <w:trPr>
          <w:cantSplit/>
        </w:trPr>
        <w:tc>
          <w:tcPr>
            <w:tcW w:w="1365" w:type="pct"/>
            <w:tcBorders>
              <w:top w:val="single" w:sz="4" w:space="0" w:color="auto"/>
              <w:bottom w:val="single" w:sz="4" w:space="0" w:color="auto"/>
            </w:tcBorders>
          </w:tcPr>
          <w:p w14:paraId="69AF9836" w14:textId="77777777" w:rsidR="00196507" w:rsidRPr="00F9176A" w:rsidRDefault="00196507" w:rsidP="00196507">
            <w:pPr>
              <w:pStyle w:val="Tabletext"/>
            </w:pPr>
            <w:r w:rsidRPr="00F9176A">
              <w:t>91</w:t>
            </w:r>
          </w:p>
        </w:tc>
        <w:tc>
          <w:tcPr>
            <w:tcW w:w="909" w:type="pct"/>
            <w:tcBorders>
              <w:top w:val="single" w:sz="4" w:space="0" w:color="auto"/>
              <w:bottom w:val="single" w:sz="4" w:space="0" w:color="auto"/>
            </w:tcBorders>
            <w:shd w:val="clear" w:color="auto" w:fill="auto"/>
            <w:vAlign w:val="bottom"/>
          </w:tcPr>
          <w:p w14:paraId="106F3E11"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6534</w:t>
            </w:r>
          </w:p>
        </w:tc>
        <w:tc>
          <w:tcPr>
            <w:tcW w:w="909" w:type="pct"/>
            <w:tcBorders>
              <w:top w:val="single" w:sz="4" w:space="0" w:color="auto"/>
              <w:bottom w:val="single" w:sz="4" w:space="0" w:color="auto"/>
            </w:tcBorders>
            <w:shd w:val="clear" w:color="auto" w:fill="auto"/>
            <w:vAlign w:val="bottom"/>
          </w:tcPr>
          <w:p w14:paraId="16ACBB9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4343</w:t>
            </w:r>
          </w:p>
        </w:tc>
        <w:tc>
          <w:tcPr>
            <w:tcW w:w="909" w:type="pct"/>
            <w:tcBorders>
              <w:top w:val="single" w:sz="4" w:space="0" w:color="auto"/>
              <w:bottom w:val="single" w:sz="4" w:space="0" w:color="auto"/>
            </w:tcBorders>
            <w:shd w:val="clear" w:color="auto" w:fill="auto"/>
            <w:vAlign w:val="bottom"/>
          </w:tcPr>
          <w:p w14:paraId="7BA63AAB"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8308</w:t>
            </w:r>
          </w:p>
        </w:tc>
        <w:tc>
          <w:tcPr>
            <w:tcW w:w="908" w:type="pct"/>
            <w:tcBorders>
              <w:top w:val="single" w:sz="4" w:space="0" w:color="auto"/>
              <w:bottom w:val="single" w:sz="4" w:space="0" w:color="auto"/>
              <w:right w:val="nil"/>
            </w:tcBorders>
            <w:shd w:val="clear" w:color="auto" w:fill="auto"/>
            <w:vAlign w:val="bottom"/>
          </w:tcPr>
          <w:p w14:paraId="33259AA6"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1246</w:t>
            </w:r>
          </w:p>
        </w:tc>
      </w:tr>
      <w:tr w:rsidR="00196507" w:rsidRPr="00F9176A" w14:paraId="764AB7AA" w14:textId="77777777" w:rsidTr="00E05772">
        <w:trPr>
          <w:cantSplit/>
        </w:trPr>
        <w:tc>
          <w:tcPr>
            <w:tcW w:w="1365" w:type="pct"/>
            <w:tcBorders>
              <w:top w:val="single" w:sz="4" w:space="0" w:color="auto"/>
              <w:bottom w:val="single" w:sz="4" w:space="0" w:color="auto"/>
            </w:tcBorders>
          </w:tcPr>
          <w:p w14:paraId="5F1A0176" w14:textId="77777777" w:rsidR="00196507" w:rsidRPr="00F9176A" w:rsidRDefault="00196507" w:rsidP="00196507">
            <w:pPr>
              <w:pStyle w:val="Tabletext"/>
            </w:pPr>
            <w:r w:rsidRPr="00F9176A">
              <w:t>92</w:t>
            </w:r>
          </w:p>
        </w:tc>
        <w:tc>
          <w:tcPr>
            <w:tcW w:w="909" w:type="pct"/>
            <w:tcBorders>
              <w:top w:val="single" w:sz="4" w:space="0" w:color="auto"/>
              <w:bottom w:val="single" w:sz="4" w:space="0" w:color="auto"/>
            </w:tcBorders>
            <w:shd w:val="clear" w:color="auto" w:fill="auto"/>
            <w:vAlign w:val="bottom"/>
          </w:tcPr>
          <w:p w14:paraId="03B6F90B"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4445</w:t>
            </w:r>
          </w:p>
        </w:tc>
        <w:tc>
          <w:tcPr>
            <w:tcW w:w="909" w:type="pct"/>
            <w:tcBorders>
              <w:top w:val="single" w:sz="4" w:space="0" w:color="auto"/>
              <w:bottom w:val="single" w:sz="4" w:space="0" w:color="auto"/>
            </w:tcBorders>
            <w:shd w:val="clear" w:color="auto" w:fill="auto"/>
            <w:vAlign w:val="bottom"/>
          </w:tcPr>
          <w:p w14:paraId="1D7CC110"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4105</w:t>
            </w:r>
          </w:p>
        </w:tc>
        <w:tc>
          <w:tcPr>
            <w:tcW w:w="909" w:type="pct"/>
            <w:tcBorders>
              <w:top w:val="single" w:sz="4" w:space="0" w:color="auto"/>
              <w:bottom w:val="single" w:sz="4" w:space="0" w:color="auto"/>
            </w:tcBorders>
            <w:shd w:val="clear" w:color="auto" w:fill="auto"/>
            <w:vAlign w:val="bottom"/>
          </w:tcPr>
          <w:p w14:paraId="560740C7"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5944</w:t>
            </w:r>
          </w:p>
        </w:tc>
        <w:tc>
          <w:tcPr>
            <w:tcW w:w="908" w:type="pct"/>
            <w:tcBorders>
              <w:top w:val="single" w:sz="4" w:space="0" w:color="auto"/>
              <w:bottom w:val="single" w:sz="4" w:space="0" w:color="auto"/>
              <w:right w:val="nil"/>
            </w:tcBorders>
            <w:shd w:val="clear" w:color="auto" w:fill="auto"/>
            <w:vAlign w:val="bottom"/>
          </w:tcPr>
          <w:p w14:paraId="6F4CF47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1196</w:t>
            </w:r>
          </w:p>
        </w:tc>
      </w:tr>
      <w:tr w:rsidR="00196507" w:rsidRPr="00F9176A" w14:paraId="15F11EF0" w14:textId="77777777" w:rsidTr="00E05772">
        <w:trPr>
          <w:cantSplit/>
        </w:trPr>
        <w:tc>
          <w:tcPr>
            <w:tcW w:w="1365" w:type="pct"/>
            <w:tcBorders>
              <w:top w:val="single" w:sz="4" w:space="0" w:color="auto"/>
              <w:bottom w:val="single" w:sz="4" w:space="0" w:color="auto"/>
            </w:tcBorders>
          </w:tcPr>
          <w:p w14:paraId="2B74F782" w14:textId="77777777" w:rsidR="00196507" w:rsidRPr="00F9176A" w:rsidRDefault="00196507" w:rsidP="00196507">
            <w:pPr>
              <w:pStyle w:val="Tabletext"/>
            </w:pPr>
            <w:r w:rsidRPr="00F9176A">
              <w:t>93</w:t>
            </w:r>
          </w:p>
        </w:tc>
        <w:tc>
          <w:tcPr>
            <w:tcW w:w="909" w:type="pct"/>
            <w:tcBorders>
              <w:top w:val="single" w:sz="4" w:space="0" w:color="auto"/>
              <w:bottom w:val="single" w:sz="4" w:space="0" w:color="auto"/>
            </w:tcBorders>
            <w:shd w:val="clear" w:color="auto" w:fill="auto"/>
            <w:vAlign w:val="bottom"/>
          </w:tcPr>
          <w:p w14:paraId="41480EB8"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2500</w:t>
            </w:r>
          </w:p>
        </w:tc>
        <w:tc>
          <w:tcPr>
            <w:tcW w:w="909" w:type="pct"/>
            <w:tcBorders>
              <w:top w:val="single" w:sz="4" w:space="0" w:color="auto"/>
              <w:bottom w:val="single" w:sz="4" w:space="0" w:color="auto"/>
            </w:tcBorders>
            <w:shd w:val="clear" w:color="auto" w:fill="auto"/>
            <w:vAlign w:val="bottom"/>
          </w:tcPr>
          <w:p w14:paraId="0469702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3876</w:t>
            </w:r>
          </w:p>
        </w:tc>
        <w:tc>
          <w:tcPr>
            <w:tcW w:w="909" w:type="pct"/>
            <w:tcBorders>
              <w:top w:val="single" w:sz="4" w:space="0" w:color="auto"/>
              <w:bottom w:val="single" w:sz="4" w:space="0" w:color="auto"/>
            </w:tcBorders>
            <w:shd w:val="clear" w:color="auto" w:fill="auto"/>
            <w:vAlign w:val="bottom"/>
          </w:tcPr>
          <w:p w14:paraId="5C014530"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3821</w:t>
            </w:r>
          </w:p>
        </w:tc>
        <w:tc>
          <w:tcPr>
            <w:tcW w:w="908" w:type="pct"/>
            <w:tcBorders>
              <w:top w:val="single" w:sz="4" w:space="0" w:color="auto"/>
              <w:bottom w:val="single" w:sz="4" w:space="0" w:color="auto"/>
              <w:right w:val="nil"/>
            </w:tcBorders>
            <w:shd w:val="clear" w:color="auto" w:fill="auto"/>
            <w:vAlign w:val="bottom"/>
          </w:tcPr>
          <w:p w14:paraId="37C83048"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1145</w:t>
            </w:r>
          </w:p>
        </w:tc>
      </w:tr>
      <w:tr w:rsidR="00196507" w:rsidRPr="00F9176A" w14:paraId="79F0A291" w14:textId="77777777" w:rsidTr="00E05772">
        <w:trPr>
          <w:cantSplit/>
        </w:trPr>
        <w:tc>
          <w:tcPr>
            <w:tcW w:w="1365" w:type="pct"/>
            <w:tcBorders>
              <w:top w:val="single" w:sz="4" w:space="0" w:color="auto"/>
              <w:bottom w:val="single" w:sz="4" w:space="0" w:color="auto"/>
            </w:tcBorders>
          </w:tcPr>
          <w:p w14:paraId="5E3C9C6D" w14:textId="77777777" w:rsidR="00196507" w:rsidRPr="00F9176A" w:rsidRDefault="00196507" w:rsidP="00196507">
            <w:pPr>
              <w:pStyle w:val="Tabletext"/>
            </w:pPr>
            <w:r w:rsidRPr="00F9176A">
              <w:t>94</w:t>
            </w:r>
          </w:p>
        </w:tc>
        <w:tc>
          <w:tcPr>
            <w:tcW w:w="909" w:type="pct"/>
            <w:tcBorders>
              <w:top w:val="single" w:sz="4" w:space="0" w:color="auto"/>
              <w:bottom w:val="single" w:sz="4" w:space="0" w:color="auto"/>
            </w:tcBorders>
            <w:shd w:val="clear" w:color="auto" w:fill="auto"/>
            <w:vAlign w:val="bottom"/>
          </w:tcPr>
          <w:p w14:paraId="5649E720"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0674</w:t>
            </w:r>
          </w:p>
        </w:tc>
        <w:tc>
          <w:tcPr>
            <w:tcW w:w="909" w:type="pct"/>
            <w:tcBorders>
              <w:top w:val="single" w:sz="4" w:space="0" w:color="auto"/>
              <w:bottom w:val="single" w:sz="4" w:space="0" w:color="auto"/>
            </w:tcBorders>
            <w:shd w:val="clear" w:color="auto" w:fill="auto"/>
            <w:vAlign w:val="bottom"/>
          </w:tcPr>
          <w:p w14:paraId="6C34952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3653</w:t>
            </w:r>
          </w:p>
        </w:tc>
        <w:tc>
          <w:tcPr>
            <w:tcW w:w="909" w:type="pct"/>
            <w:tcBorders>
              <w:top w:val="single" w:sz="4" w:space="0" w:color="auto"/>
              <w:bottom w:val="single" w:sz="4" w:space="0" w:color="auto"/>
            </w:tcBorders>
            <w:shd w:val="clear" w:color="auto" w:fill="auto"/>
            <w:vAlign w:val="bottom"/>
          </w:tcPr>
          <w:p w14:paraId="384C0EC1"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1912</w:t>
            </w:r>
          </w:p>
        </w:tc>
        <w:tc>
          <w:tcPr>
            <w:tcW w:w="908" w:type="pct"/>
            <w:tcBorders>
              <w:top w:val="single" w:sz="4" w:space="0" w:color="auto"/>
              <w:bottom w:val="single" w:sz="4" w:space="0" w:color="auto"/>
              <w:right w:val="nil"/>
            </w:tcBorders>
            <w:shd w:val="clear" w:color="auto" w:fill="auto"/>
            <w:vAlign w:val="bottom"/>
          </w:tcPr>
          <w:p w14:paraId="58DEE47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1094</w:t>
            </w:r>
          </w:p>
        </w:tc>
      </w:tr>
      <w:tr w:rsidR="00196507" w:rsidRPr="00F9176A" w14:paraId="6BB45D06" w14:textId="77777777" w:rsidTr="00E05772">
        <w:trPr>
          <w:cantSplit/>
        </w:trPr>
        <w:tc>
          <w:tcPr>
            <w:tcW w:w="1365" w:type="pct"/>
            <w:tcBorders>
              <w:top w:val="single" w:sz="4" w:space="0" w:color="auto"/>
              <w:bottom w:val="single" w:sz="4" w:space="0" w:color="auto"/>
            </w:tcBorders>
          </w:tcPr>
          <w:p w14:paraId="1F998AFD" w14:textId="77777777" w:rsidR="00196507" w:rsidRPr="00F9176A" w:rsidRDefault="00196507" w:rsidP="00196507">
            <w:pPr>
              <w:pStyle w:val="Tabletext"/>
            </w:pPr>
            <w:r w:rsidRPr="00F9176A">
              <w:t>95</w:t>
            </w:r>
          </w:p>
        </w:tc>
        <w:tc>
          <w:tcPr>
            <w:tcW w:w="909" w:type="pct"/>
            <w:tcBorders>
              <w:top w:val="single" w:sz="4" w:space="0" w:color="auto"/>
              <w:bottom w:val="single" w:sz="4" w:space="0" w:color="auto"/>
            </w:tcBorders>
            <w:shd w:val="clear" w:color="auto" w:fill="auto"/>
            <w:vAlign w:val="bottom"/>
          </w:tcPr>
          <w:p w14:paraId="6075DE8E"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8941</w:t>
            </w:r>
          </w:p>
        </w:tc>
        <w:tc>
          <w:tcPr>
            <w:tcW w:w="909" w:type="pct"/>
            <w:tcBorders>
              <w:top w:val="single" w:sz="4" w:space="0" w:color="auto"/>
              <w:bottom w:val="single" w:sz="4" w:space="0" w:color="auto"/>
            </w:tcBorders>
            <w:shd w:val="clear" w:color="auto" w:fill="auto"/>
            <w:vAlign w:val="bottom"/>
          </w:tcPr>
          <w:p w14:paraId="24E7D4D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3435</w:t>
            </w:r>
          </w:p>
        </w:tc>
        <w:tc>
          <w:tcPr>
            <w:tcW w:w="909" w:type="pct"/>
            <w:tcBorders>
              <w:top w:val="single" w:sz="4" w:space="0" w:color="auto"/>
              <w:bottom w:val="single" w:sz="4" w:space="0" w:color="auto"/>
            </w:tcBorders>
            <w:shd w:val="clear" w:color="auto" w:fill="auto"/>
            <w:vAlign w:val="bottom"/>
          </w:tcPr>
          <w:p w14:paraId="6CDCFB1E"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0103</w:t>
            </w:r>
          </w:p>
        </w:tc>
        <w:tc>
          <w:tcPr>
            <w:tcW w:w="908" w:type="pct"/>
            <w:tcBorders>
              <w:top w:val="single" w:sz="4" w:space="0" w:color="auto"/>
              <w:bottom w:val="single" w:sz="4" w:space="0" w:color="auto"/>
              <w:right w:val="nil"/>
            </w:tcBorders>
            <w:shd w:val="clear" w:color="auto" w:fill="auto"/>
            <w:vAlign w:val="bottom"/>
          </w:tcPr>
          <w:p w14:paraId="749AA4E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1044</w:t>
            </w:r>
          </w:p>
        </w:tc>
      </w:tr>
      <w:tr w:rsidR="00196507" w:rsidRPr="00F9176A" w14:paraId="3B11FE7E" w14:textId="77777777" w:rsidTr="00E05772">
        <w:trPr>
          <w:cantSplit/>
        </w:trPr>
        <w:tc>
          <w:tcPr>
            <w:tcW w:w="1365" w:type="pct"/>
            <w:tcBorders>
              <w:top w:val="single" w:sz="4" w:space="0" w:color="auto"/>
              <w:bottom w:val="single" w:sz="4" w:space="0" w:color="auto"/>
            </w:tcBorders>
          </w:tcPr>
          <w:p w14:paraId="016190D1" w14:textId="77777777" w:rsidR="00196507" w:rsidRPr="00F9176A" w:rsidRDefault="00196507" w:rsidP="00196507">
            <w:pPr>
              <w:pStyle w:val="Tabletext"/>
            </w:pPr>
            <w:r w:rsidRPr="00F9176A">
              <w:t>96</w:t>
            </w:r>
          </w:p>
        </w:tc>
        <w:tc>
          <w:tcPr>
            <w:tcW w:w="909" w:type="pct"/>
            <w:tcBorders>
              <w:top w:val="single" w:sz="4" w:space="0" w:color="auto"/>
              <w:bottom w:val="single" w:sz="4" w:space="0" w:color="auto"/>
            </w:tcBorders>
            <w:shd w:val="clear" w:color="auto" w:fill="auto"/>
            <w:vAlign w:val="bottom"/>
          </w:tcPr>
          <w:p w14:paraId="16FD491E"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7268</w:t>
            </w:r>
          </w:p>
        </w:tc>
        <w:tc>
          <w:tcPr>
            <w:tcW w:w="909" w:type="pct"/>
            <w:tcBorders>
              <w:top w:val="single" w:sz="4" w:space="0" w:color="auto"/>
              <w:bottom w:val="single" w:sz="4" w:space="0" w:color="auto"/>
            </w:tcBorders>
            <w:shd w:val="clear" w:color="auto" w:fill="auto"/>
            <w:vAlign w:val="bottom"/>
          </w:tcPr>
          <w:p w14:paraId="0DEAB74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3220</w:t>
            </w:r>
          </w:p>
        </w:tc>
        <w:tc>
          <w:tcPr>
            <w:tcW w:w="909" w:type="pct"/>
            <w:tcBorders>
              <w:top w:val="single" w:sz="4" w:space="0" w:color="auto"/>
              <w:bottom w:val="single" w:sz="4" w:space="0" w:color="auto"/>
            </w:tcBorders>
            <w:shd w:val="clear" w:color="auto" w:fill="auto"/>
            <w:vAlign w:val="bottom"/>
          </w:tcPr>
          <w:p w14:paraId="0086DB2F"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8400</w:t>
            </w:r>
          </w:p>
        </w:tc>
        <w:tc>
          <w:tcPr>
            <w:tcW w:w="908" w:type="pct"/>
            <w:tcBorders>
              <w:top w:val="single" w:sz="4" w:space="0" w:color="auto"/>
              <w:bottom w:val="single" w:sz="4" w:space="0" w:color="auto"/>
              <w:right w:val="nil"/>
            </w:tcBorders>
            <w:shd w:val="clear" w:color="auto" w:fill="auto"/>
            <w:vAlign w:val="bottom"/>
          </w:tcPr>
          <w:p w14:paraId="5093398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0995</w:t>
            </w:r>
          </w:p>
        </w:tc>
      </w:tr>
      <w:tr w:rsidR="00196507" w:rsidRPr="00F9176A" w14:paraId="00E3FA2F" w14:textId="77777777" w:rsidTr="00E05772">
        <w:trPr>
          <w:cantSplit/>
        </w:trPr>
        <w:tc>
          <w:tcPr>
            <w:tcW w:w="1365" w:type="pct"/>
            <w:tcBorders>
              <w:top w:val="single" w:sz="4" w:space="0" w:color="auto"/>
              <w:bottom w:val="single" w:sz="4" w:space="0" w:color="auto"/>
            </w:tcBorders>
          </w:tcPr>
          <w:p w14:paraId="3C5CEF55" w14:textId="77777777" w:rsidR="00196507" w:rsidRPr="00F9176A" w:rsidRDefault="00196507" w:rsidP="00196507">
            <w:pPr>
              <w:pStyle w:val="Tabletext"/>
            </w:pPr>
            <w:r w:rsidRPr="00F9176A">
              <w:t>97</w:t>
            </w:r>
          </w:p>
        </w:tc>
        <w:tc>
          <w:tcPr>
            <w:tcW w:w="909" w:type="pct"/>
            <w:tcBorders>
              <w:top w:val="single" w:sz="4" w:space="0" w:color="auto"/>
              <w:bottom w:val="single" w:sz="4" w:space="0" w:color="auto"/>
            </w:tcBorders>
            <w:shd w:val="clear" w:color="auto" w:fill="auto"/>
            <w:vAlign w:val="bottom"/>
          </w:tcPr>
          <w:p w14:paraId="54565543"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5716</w:t>
            </w:r>
          </w:p>
        </w:tc>
        <w:tc>
          <w:tcPr>
            <w:tcW w:w="909" w:type="pct"/>
            <w:tcBorders>
              <w:top w:val="single" w:sz="4" w:space="0" w:color="auto"/>
              <w:bottom w:val="single" w:sz="4" w:space="0" w:color="auto"/>
            </w:tcBorders>
            <w:shd w:val="clear" w:color="auto" w:fill="auto"/>
            <w:vAlign w:val="bottom"/>
          </w:tcPr>
          <w:p w14:paraId="0F11CCD3"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3009</w:t>
            </w:r>
          </w:p>
        </w:tc>
        <w:tc>
          <w:tcPr>
            <w:tcW w:w="909" w:type="pct"/>
            <w:tcBorders>
              <w:top w:val="single" w:sz="4" w:space="0" w:color="auto"/>
              <w:bottom w:val="single" w:sz="4" w:space="0" w:color="auto"/>
            </w:tcBorders>
            <w:shd w:val="clear" w:color="auto" w:fill="auto"/>
            <w:vAlign w:val="bottom"/>
          </w:tcPr>
          <w:p w14:paraId="38EB7A31"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6762</w:t>
            </w:r>
          </w:p>
        </w:tc>
        <w:tc>
          <w:tcPr>
            <w:tcW w:w="908" w:type="pct"/>
            <w:tcBorders>
              <w:top w:val="single" w:sz="4" w:space="0" w:color="auto"/>
              <w:bottom w:val="single" w:sz="4" w:space="0" w:color="auto"/>
              <w:right w:val="nil"/>
            </w:tcBorders>
            <w:shd w:val="clear" w:color="auto" w:fill="auto"/>
            <w:vAlign w:val="bottom"/>
          </w:tcPr>
          <w:p w14:paraId="3CBB84D7"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0946</w:t>
            </w:r>
          </w:p>
        </w:tc>
      </w:tr>
      <w:tr w:rsidR="00196507" w:rsidRPr="00F9176A" w14:paraId="728853CD" w14:textId="77777777" w:rsidTr="00E05772">
        <w:trPr>
          <w:cantSplit/>
        </w:trPr>
        <w:tc>
          <w:tcPr>
            <w:tcW w:w="1365" w:type="pct"/>
            <w:tcBorders>
              <w:top w:val="single" w:sz="4" w:space="0" w:color="auto"/>
              <w:bottom w:val="single" w:sz="4" w:space="0" w:color="auto"/>
            </w:tcBorders>
          </w:tcPr>
          <w:p w14:paraId="45019AE4" w14:textId="77777777" w:rsidR="00196507" w:rsidRPr="00F9176A" w:rsidRDefault="00196507" w:rsidP="00196507">
            <w:pPr>
              <w:pStyle w:val="Tabletext"/>
            </w:pPr>
            <w:r w:rsidRPr="00F9176A">
              <w:t>98</w:t>
            </w:r>
          </w:p>
        </w:tc>
        <w:tc>
          <w:tcPr>
            <w:tcW w:w="909" w:type="pct"/>
            <w:tcBorders>
              <w:top w:val="single" w:sz="4" w:space="0" w:color="auto"/>
              <w:bottom w:val="single" w:sz="4" w:space="0" w:color="auto"/>
            </w:tcBorders>
            <w:shd w:val="clear" w:color="auto" w:fill="auto"/>
            <w:vAlign w:val="bottom"/>
          </w:tcPr>
          <w:p w14:paraId="699FF10C"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4278</w:t>
            </w:r>
          </w:p>
        </w:tc>
        <w:tc>
          <w:tcPr>
            <w:tcW w:w="909" w:type="pct"/>
            <w:tcBorders>
              <w:top w:val="single" w:sz="4" w:space="0" w:color="auto"/>
              <w:bottom w:val="single" w:sz="4" w:space="0" w:color="auto"/>
            </w:tcBorders>
            <w:shd w:val="clear" w:color="auto" w:fill="auto"/>
            <w:vAlign w:val="bottom"/>
          </w:tcPr>
          <w:p w14:paraId="37EF44F5"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2798</w:t>
            </w:r>
          </w:p>
        </w:tc>
        <w:tc>
          <w:tcPr>
            <w:tcW w:w="909" w:type="pct"/>
            <w:tcBorders>
              <w:top w:val="single" w:sz="4" w:space="0" w:color="auto"/>
              <w:bottom w:val="single" w:sz="4" w:space="0" w:color="auto"/>
            </w:tcBorders>
            <w:shd w:val="clear" w:color="auto" w:fill="auto"/>
            <w:vAlign w:val="bottom"/>
          </w:tcPr>
          <w:p w14:paraId="71353E8C"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5264</w:t>
            </w:r>
          </w:p>
        </w:tc>
        <w:tc>
          <w:tcPr>
            <w:tcW w:w="908" w:type="pct"/>
            <w:tcBorders>
              <w:top w:val="single" w:sz="4" w:space="0" w:color="auto"/>
              <w:bottom w:val="single" w:sz="4" w:space="0" w:color="auto"/>
              <w:right w:val="nil"/>
            </w:tcBorders>
            <w:shd w:val="clear" w:color="auto" w:fill="auto"/>
            <w:vAlign w:val="bottom"/>
          </w:tcPr>
          <w:p w14:paraId="22AD6F02"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0896</w:t>
            </w:r>
          </w:p>
        </w:tc>
      </w:tr>
      <w:tr w:rsidR="00196507" w:rsidRPr="009E2595" w14:paraId="203BD28B" w14:textId="77777777" w:rsidTr="00E05772">
        <w:trPr>
          <w:cantSplit/>
        </w:trPr>
        <w:tc>
          <w:tcPr>
            <w:tcW w:w="1365" w:type="pct"/>
            <w:tcBorders>
              <w:top w:val="single" w:sz="4" w:space="0" w:color="auto"/>
              <w:bottom w:val="single" w:sz="12" w:space="0" w:color="auto"/>
            </w:tcBorders>
          </w:tcPr>
          <w:p w14:paraId="7303C286" w14:textId="77777777" w:rsidR="00196507" w:rsidRPr="00F9176A" w:rsidRDefault="00196507" w:rsidP="00196507">
            <w:pPr>
              <w:pStyle w:val="Tabletext"/>
            </w:pPr>
            <w:r>
              <w:t>99 and over</w:t>
            </w:r>
          </w:p>
        </w:tc>
        <w:tc>
          <w:tcPr>
            <w:tcW w:w="909" w:type="pct"/>
            <w:tcBorders>
              <w:top w:val="single" w:sz="4" w:space="0" w:color="auto"/>
              <w:bottom w:val="single" w:sz="12" w:space="0" w:color="auto"/>
            </w:tcBorders>
            <w:shd w:val="clear" w:color="auto" w:fill="auto"/>
            <w:vAlign w:val="bottom"/>
          </w:tcPr>
          <w:p w14:paraId="724A93F9"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2947</w:t>
            </w:r>
          </w:p>
        </w:tc>
        <w:tc>
          <w:tcPr>
            <w:tcW w:w="909" w:type="pct"/>
            <w:tcBorders>
              <w:top w:val="single" w:sz="4" w:space="0" w:color="auto"/>
              <w:bottom w:val="single" w:sz="12" w:space="0" w:color="auto"/>
            </w:tcBorders>
            <w:shd w:val="clear" w:color="auto" w:fill="auto"/>
            <w:vAlign w:val="bottom"/>
          </w:tcPr>
          <w:p w14:paraId="321BBD0E"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2586</w:t>
            </w:r>
          </w:p>
        </w:tc>
        <w:tc>
          <w:tcPr>
            <w:tcW w:w="909" w:type="pct"/>
            <w:tcBorders>
              <w:top w:val="single" w:sz="4" w:space="0" w:color="auto"/>
              <w:bottom w:val="single" w:sz="12" w:space="0" w:color="auto"/>
            </w:tcBorders>
            <w:shd w:val="clear" w:color="auto" w:fill="auto"/>
            <w:vAlign w:val="bottom"/>
          </w:tcPr>
          <w:p w14:paraId="6D3096D4"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3890</w:t>
            </w:r>
          </w:p>
        </w:tc>
        <w:tc>
          <w:tcPr>
            <w:tcW w:w="908" w:type="pct"/>
            <w:tcBorders>
              <w:top w:val="single" w:sz="4" w:space="0" w:color="auto"/>
              <w:bottom w:val="single" w:sz="12" w:space="0" w:color="auto"/>
              <w:right w:val="nil"/>
            </w:tcBorders>
            <w:shd w:val="clear" w:color="auto" w:fill="auto"/>
            <w:vAlign w:val="bottom"/>
          </w:tcPr>
          <w:p w14:paraId="7C172D8F"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0843</w:t>
            </w:r>
          </w:p>
        </w:tc>
      </w:tr>
    </w:tbl>
    <w:p w14:paraId="3208E142" w14:textId="77777777" w:rsidR="000527FC" w:rsidRPr="00A058B6" w:rsidRDefault="00C53678" w:rsidP="000527FC">
      <w:pPr>
        <w:pStyle w:val="ActHead5"/>
      </w:pPr>
      <w:bookmarkStart w:id="340" w:name="_Toc188350815"/>
      <w:r w:rsidRPr="00423C34">
        <w:rPr>
          <w:rStyle w:val="CharSectno"/>
        </w:rPr>
        <w:t>10</w:t>
      </w:r>
      <w:r w:rsidR="000527FC" w:rsidRPr="00A058B6">
        <w:t xml:space="preserve">  Valuation factors—pension</w:t>
      </w:r>
      <w:r w:rsidR="000527FC">
        <w:t xml:space="preserve"> indexed at 4%</w:t>
      </w:r>
      <w:bookmarkEnd w:id="340"/>
    </w:p>
    <w:p w14:paraId="19B674C0" w14:textId="77777777" w:rsidR="000527FC" w:rsidRDefault="000527FC" w:rsidP="000527FC">
      <w:pPr>
        <w:pStyle w:val="subsection"/>
      </w:pPr>
      <w:r w:rsidRPr="00A058B6">
        <w:tab/>
      </w:r>
      <w:r w:rsidRPr="00A058B6">
        <w:tab/>
        <w:t xml:space="preserve">The pension valuation factors and reversion valuation factors set out in this clause apply if the pension is indexed </w:t>
      </w:r>
      <w:r>
        <w:t>at 4%</w:t>
      </w:r>
      <w:r w:rsidR="00D7157D">
        <w:t>.</w:t>
      </w:r>
    </w:p>
    <w:p w14:paraId="07A9A014" w14:textId="77777777" w:rsidR="000527FC" w:rsidRPr="00A058B6"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A058B6" w14:paraId="4B748570" w14:textId="77777777" w:rsidTr="00FD658D">
        <w:trPr>
          <w:cantSplit/>
          <w:trHeight w:val="152"/>
          <w:tblHeader/>
        </w:trPr>
        <w:tc>
          <w:tcPr>
            <w:tcW w:w="1136" w:type="pct"/>
            <w:vMerge w:val="restart"/>
            <w:tcBorders>
              <w:top w:val="single" w:sz="12" w:space="0" w:color="auto"/>
              <w:bottom w:val="single" w:sz="12" w:space="0" w:color="auto"/>
            </w:tcBorders>
          </w:tcPr>
          <w:p w14:paraId="116EC6D5" w14:textId="77777777" w:rsidR="000527FC" w:rsidRPr="00A058B6" w:rsidRDefault="000527FC" w:rsidP="00FD658D">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61CE8942" w14:textId="77777777" w:rsidR="000527FC" w:rsidRPr="00A058B6" w:rsidRDefault="000527FC" w:rsidP="00FD658D">
            <w:pPr>
              <w:pStyle w:val="TableHeading"/>
            </w:pPr>
            <w:r w:rsidRPr="00A058B6">
              <w:t>Valuation factors—pension</w:t>
            </w:r>
            <w:r>
              <w:t xml:space="preserve"> indexed at 4%</w:t>
            </w:r>
          </w:p>
        </w:tc>
      </w:tr>
      <w:tr w:rsidR="000527FC" w:rsidRPr="00A058B6" w14:paraId="5DB2A43D" w14:textId="77777777" w:rsidTr="00FD658D">
        <w:trPr>
          <w:cantSplit/>
          <w:trHeight w:val="63"/>
          <w:tblHeader/>
        </w:trPr>
        <w:tc>
          <w:tcPr>
            <w:tcW w:w="1136" w:type="pct"/>
            <w:vMerge/>
            <w:tcBorders>
              <w:bottom w:val="single" w:sz="12" w:space="0" w:color="auto"/>
            </w:tcBorders>
          </w:tcPr>
          <w:p w14:paraId="502FF912" w14:textId="77777777" w:rsidR="000527FC" w:rsidRPr="00A058B6" w:rsidRDefault="000527FC" w:rsidP="00FD658D">
            <w:pPr>
              <w:pStyle w:val="TableHeading"/>
            </w:pPr>
          </w:p>
        </w:tc>
        <w:tc>
          <w:tcPr>
            <w:tcW w:w="1932" w:type="pct"/>
            <w:gridSpan w:val="2"/>
            <w:tcBorders>
              <w:top w:val="single" w:sz="4" w:space="0" w:color="auto"/>
              <w:bottom w:val="single" w:sz="4" w:space="0" w:color="auto"/>
            </w:tcBorders>
          </w:tcPr>
          <w:p w14:paraId="5B730A25" w14:textId="77777777" w:rsidR="000527FC" w:rsidRPr="00A058B6" w:rsidRDefault="000527FC" w:rsidP="00FD658D">
            <w:pPr>
              <w:pStyle w:val="TableHeading"/>
            </w:pPr>
            <w:r w:rsidRPr="00A058B6">
              <w:t>Males</w:t>
            </w:r>
          </w:p>
        </w:tc>
        <w:tc>
          <w:tcPr>
            <w:tcW w:w="1932" w:type="pct"/>
            <w:gridSpan w:val="2"/>
            <w:tcBorders>
              <w:top w:val="single" w:sz="4" w:space="0" w:color="auto"/>
              <w:bottom w:val="single" w:sz="4" w:space="0" w:color="auto"/>
            </w:tcBorders>
          </w:tcPr>
          <w:p w14:paraId="675908C7" w14:textId="77777777" w:rsidR="000527FC" w:rsidRPr="00A058B6" w:rsidRDefault="000527FC" w:rsidP="00FD658D">
            <w:pPr>
              <w:pStyle w:val="TableHeading"/>
            </w:pPr>
            <w:r w:rsidRPr="00A058B6">
              <w:t>Females</w:t>
            </w:r>
          </w:p>
        </w:tc>
      </w:tr>
      <w:tr w:rsidR="000527FC" w:rsidRPr="00A058B6" w14:paraId="56B680C6" w14:textId="77777777" w:rsidTr="00617F3E">
        <w:trPr>
          <w:cantSplit/>
          <w:trHeight w:val="63"/>
          <w:tblHeader/>
        </w:trPr>
        <w:tc>
          <w:tcPr>
            <w:tcW w:w="1136" w:type="pct"/>
            <w:vMerge/>
            <w:tcBorders>
              <w:bottom w:val="single" w:sz="12" w:space="0" w:color="auto"/>
            </w:tcBorders>
          </w:tcPr>
          <w:p w14:paraId="2953B238" w14:textId="77777777" w:rsidR="000527FC" w:rsidRPr="00A058B6" w:rsidRDefault="000527FC" w:rsidP="00FD658D">
            <w:pPr>
              <w:pStyle w:val="TableHeading"/>
            </w:pPr>
          </w:p>
        </w:tc>
        <w:tc>
          <w:tcPr>
            <w:tcW w:w="966" w:type="pct"/>
            <w:tcBorders>
              <w:top w:val="single" w:sz="4" w:space="0" w:color="auto"/>
              <w:bottom w:val="single" w:sz="12" w:space="0" w:color="auto"/>
            </w:tcBorders>
          </w:tcPr>
          <w:p w14:paraId="0AE8E411"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23820BDC" w14:textId="77777777" w:rsidR="000527FC" w:rsidRPr="00A058B6" w:rsidRDefault="000527FC" w:rsidP="00FD658D">
            <w:pPr>
              <w:pStyle w:val="TableHeading"/>
            </w:pPr>
            <w:r w:rsidRPr="00A058B6">
              <w:t>Reversion</w:t>
            </w:r>
          </w:p>
        </w:tc>
        <w:tc>
          <w:tcPr>
            <w:tcW w:w="966" w:type="pct"/>
            <w:tcBorders>
              <w:top w:val="single" w:sz="4" w:space="0" w:color="auto"/>
              <w:bottom w:val="single" w:sz="12" w:space="0" w:color="auto"/>
            </w:tcBorders>
          </w:tcPr>
          <w:p w14:paraId="4F0DCCCA"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5F76415D" w14:textId="77777777" w:rsidR="000527FC" w:rsidRPr="00A058B6" w:rsidRDefault="000527FC" w:rsidP="00FD658D">
            <w:pPr>
              <w:pStyle w:val="TableHeading"/>
            </w:pPr>
            <w:r w:rsidRPr="00A058B6">
              <w:t>Reversion</w:t>
            </w:r>
          </w:p>
        </w:tc>
      </w:tr>
      <w:tr w:rsidR="00617F3E" w:rsidRPr="00617F3E" w14:paraId="736F03D9" w14:textId="77777777" w:rsidTr="00617F3E">
        <w:trPr>
          <w:cantSplit/>
        </w:trPr>
        <w:tc>
          <w:tcPr>
            <w:tcW w:w="1136" w:type="pct"/>
            <w:tcBorders>
              <w:top w:val="single" w:sz="12" w:space="0" w:color="auto"/>
              <w:bottom w:val="single" w:sz="4" w:space="0" w:color="auto"/>
            </w:tcBorders>
          </w:tcPr>
          <w:p w14:paraId="32770CAA" w14:textId="77777777" w:rsidR="00617F3E" w:rsidRPr="00616B26" w:rsidRDefault="00617F3E" w:rsidP="00617F3E">
            <w:pPr>
              <w:pStyle w:val="Tabletext"/>
              <w:rPr>
                <w:snapToGrid w:val="0"/>
              </w:rPr>
            </w:pPr>
            <w:r w:rsidRPr="00616B26">
              <w:rPr>
                <w:snapToGrid w:val="0"/>
              </w:rPr>
              <w:t>18</w:t>
            </w:r>
          </w:p>
        </w:tc>
        <w:tc>
          <w:tcPr>
            <w:tcW w:w="966" w:type="pct"/>
            <w:tcBorders>
              <w:top w:val="single" w:sz="12" w:space="0" w:color="auto"/>
              <w:bottom w:val="single" w:sz="4" w:space="0" w:color="auto"/>
            </w:tcBorders>
            <w:shd w:val="clear" w:color="auto" w:fill="auto"/>
            <w:vAlign w:val="bottom"/>
          </w:tcPr>
          <w:p w14:paraId="1C2D9C58" w14:textId="77777777" w:rsidR="00617F3E" w:rsidRPr="00617F3E" w:rsidRDefault="00617F3E" w:rsidP="00617F3E">
            <w:pPr>
              <w:pStyle w:val="Tabletext"/>
            </w:pPr>
            <w:r w:rsidRPr="00617F3E">
              <w:t>34</w:t>
            </w:r>
            <w:r w:rsidR="00D7157D">
              <w:t>.</w:t>
            </w:r>
            <w:r w:rsidRPr="00617F3E">
              <w:t>0588</w:t>
            </w:r>
          </w:p>
        </w:tc>
        <w:tc>
          <w:tcPr>
            <w:tcW w:w="966" w:type="pct"/>
            <w:tcBorders>
              <w:top w:val="single" w:sz="12" w:space="0" w:color="auto"/>
              <w:bottom w:val="single" w:sz="4" w:space="0" w:color="auto"/>
            </w:tcBorders>
            <w:shd w:val="clear" w:color="auto" w:fill="auto"/>
            <w:vAlign w:val="bottom"/>
          </w:tcPr>
          <w:p w14:paraId="1CD3937E" w14:textId="77777777" w:rsidR="00617F3E" w:rsidRPr="00617F3E" w:rsidRDefault="00617F3E" w:rsidP="00617F3E">
            <w:pPr>
              <w:pStyle w:val="Tabletext"/>
            </w:pPr>
            <w:r w:rsidRPr="00617F3E">
              <w:t>4</w:t>
            </w:r>
            <w:r w:rsidR="00D7157D">
              <w:t>.</w:t>
            </w:r>
            <w:r w:rsidRPr="00617F3E">
              <w:t>0666</w:t>
            </w:r>
          </w:p>
        </w:tc>
        <w:tc>
          <w:tcPr>
            <w:tcW w:w="966" w:type="pct"/>
            <w:tcBorders>
              <w:top w:val="single" w:sz="12" w:space="0" w:color="auto"/>
              <w:bottom w:val="single" w:sz="4" w:space="0" w:color="auto"/>
            </w:tcBorders>
            <w:shd w:val="clear" w:color="auto" w:fill="auto"/>
            <w:vAlign w:val="bottom"/>
          </w:tcPr>
          <w:p w14:paraId="7BCE1319" w14:textId="77777777" w:rsidR="00617F3E" w:rsidRPr="00617F3E" w:rsidRDefault="00617F3E" w:rsidP="00617F3E">
            <w:pPr>
              <w:pStyle w:val="Tabletext"/>
            </w:pPr>
            <w:r w:rsidRPr="00617F3E">
              <w:t>35</w:t>
            </w:r>
            <w:r w:rsidR="00D7157D">
              <w:t>.</w:t>
            </w:r>
            <w:r w:rsidRPr="00617F3E">
              <w:t>7150</w:t>
            </w:r>
          </w:p>
        </w:tc>
        <w:tc>
          <w:tcPr>
            <w:tcW w:w="966" w:type="pct"/>
            <w:tcBorders>
              <w:top w:val="single" w:sz="12" w:space="0" w:color="auto"/>
              <w:bottom w:val="single" w:sz="4" w:space="0" w:color="auto"/>
              <w:right w:val="nil"/>
            </w:tcBorders>
            <w:shd w:val="clear" w:color="auto" w:fill="auto"/>
            <w:vAlign w:val="bottom"/>
          </w:tcPr>
          <w:p w14:paraId="2BBFAD7B" w14:textId="77777777" w:rsidR="00617F3E" w:rsidRPr="00617F3E" w:rsidRDefault="00617F3E" w:rsidP="00617F3E">
            <w:pPr>
              <w:pStyle w:val="Tabletext"/>
            </w:pPr>
            <w:r w:rsidRPr="00617F3E">
              <w:t>1</w:t>
            </w:r>
            <w:r w:rsidR="00D7157D">
              <w:t>.</w:t>
            </w:r>
            <w:r w:rsidRPr="00617F3E">
              <w:t>9533</w:t>
            </w:r>
          </w:p>
        </w:tc>
      </w:tr>
      <w:tr w:rsidR="00617F3E" w:rsidRPr="00617F3E" w14:paraId="18B09FE8" w14:textId="77777777" w:rsidTr="00617F3E">
        <w:trPr>
          <w:cantSplit/>
        </w:trPr>
        <w:tc>
          <w:tcPr>
            <w:tcW w:w="1136" w:type="pct"/>
            <w:tcBorders>
              <w:top w:val="single" w:sz="4" w:space="0" w:color="auto"/>
              <w:bottom w:val="single" w:sz="4" w:space="0" w:color="auto"/>
            </w:tcBorders>
          </w:tcPr>
          <w:p w14:paraId="04F39692" w14:textId="77777777" w:rsidR="00617F3E" w:rsidRPr="00617F3E" w:rsidRDefault="00617F3E" w:rsidP="00617F3E">
            <w:pPr>
              <w:pStyle w:val="Tabletext"/>
            </w:pPr>
            <w:r w:rsidRPr="00617F3E">
              <w:t>19</w:t>
            </w:r>
          </w:p>
        </w:tc>
        <w:tc>
          <w:tcPr>
            <w:tcW w:w="966" w:type="pct"/>
            <w:tcBorders>
              <w:top w:val="single" w:sz="4" w:space="0" w:color="auto"/>
              <w:bottom w:val="single" w:sz="4" w:space="0" w:color="auto"/>
            </w:tcBorders>
            <w:shd w:val="clear" w:color="auto" w:fill="auto"/>
            <w:vAlign w:val="bottom"/>
          </w:tcPr>
          <w:p w14:paraId="0FE40089" w14:textId="77777777" w:rsidR="00617F3E" w:rsidRPr="00617F3E" w:rsidRDefault="00617F3E" w:rsidP="00617F3E">
            <w:pPr>
              <w:pStyle w:val="Tabletext"/>
            </w:pPr>
            <w:r w:rsidRPr="00617F3E">
              <w:t>33</w:t>
            </w:r>
            <w:r w:rsidR="00D7157D">
              <w:t>.</w:t>
            </w:r>
            <w:r w:rsidRPr="00617F3E">
              <w:t>7742</w:t>
            </w:r>
          </w:p>
        </w:tc>
        <w:tc>
          <w:tcPr>
            <w:tcW w:w="966" w:type="pct"/>
            <w:tcBorders>
              <w:top w:val="single" w:sz="4" w:space="0" w:color="auto"/>
              <w:bottom w:val="single" w:sz="4" w:space="0" w:color="auto"/>
            </w:tcBorders>
            <w:shd w:val="clear" w:color="auto" w:fill="auto"/>
            <w:vAlign w:val="bottom"/>
          </w:tcPr>
          <w:p w14:paraId="38F542AA" w14:textId="77777777" w:rsidR="00617F3E" w:rsidRPr="00617F3E" w:rsidRDefault="00617F3E" w:rsidP="00617F3E">
            <w:pPr>
              <w:pStyle w:val="Tabletext"/>
            </w:pPr>
            <w:r w:rsidRPr="00617F3E">
              <w:t>4</w:t>
            </w:r>
            <w:r w:rsidR="00D7157D">
              <w:t>.</w:t>
            </w:r>
            <w:r w:rsidRPr="00617F3E">
              <w:t>0989</w:t>
            </w:r>
          </w:p>
        </w:tc>
        <w:tc>
          <w:tcPr>
            <w:tcW w:w="966" w:type="pct"/>
            <w:tcBorders>
              <w:top w:val="single" w:sz="4" w:space="0" w:color="auto"/>
              <w:bottom w:val="single" w:sz="4" w:space="0" w:color="auto"/>
            </w:tcBorders>
            <w:shd w:val="clear" w:color="auto" w:fill="auto"/>
            <w:vAlign w:val="bottom"/>
          </w:tcPr>
          <w:p w14:paraId="340B44C2" w14:textId="77777777" w:rsidR="00617F3E" w:rsidRPr="00617F3E" w:rsidRDefault="00617F3E" w:rsidP="00617F3E">
            <w:pPr>
              <w:pStyle w:val="Tabletext"/>
            </w:pPr>
            <w:r w:rsidRPr="00617F3E">
              <w:t>35</w:t>
            </w:r>
            <w:r w:rsidR="00D7157D">
              <w:t>.</w:t>
            </w:r>
            <w:r w:rsidRPr="00617F3E">
              <w:t>4380</w:t>
            </w:r>
          </w:p>
        </w:tc>
        <w:tc>
          <w:tcPr>
            <w:tcW w:w="966" w:type="pct"/>
            <w:tcBorders>
              <w:top w:val="single" w:sz="4" w:space="0" w:color="auto"/>
              <w:bottom w:val="single" w:sz="4" w:space="0" w:color="auto"/>
              <w:right w:val="nil"/>
            </w:tcBorders>
            <w:shd w:val="clear" w:color="auto" w:fill="auto"/>
            <w:vAlign w:val="bottom"/>
          </w:tcPr>
          <w:p w14:paraId="2F598784" w14:textId="77777777" w:rsidR="00617F3E" w:rsidRPr="00617F3E" w:rsidRDefault="00617F3E" w:rsidP="00617F3E">
            <w:pPr>
              <w:pStyle w:val="Tabletext"/>
            </w:pPr>
            <w:r w:rsidRPr="00617F3E">
              <w:t>1</w:t>
            </w:r>
            <w:r w:rsidR="00D7157D">
              <w:t>.</w:t>
            </w:r>
            <w:r w:rsidRPr="00617F3E">
              <w:t>9662</w:t>
            </w:r>
          </w:p>
        </w:tc>
      </w:tr>
      <w:tr w:rsidR="00617F3E" w:rsidRPr="00617F3E" w14:paraId="78FEBDA6" w14:textId="77777777" w:rsidTr="00617F3E">
        <w:trPr>
          <w:cantSplit/>
        </w:trPr>
        <w:tc>
          <w:tcPr>
            <w:tcW w:w="1136" w:type="pct"/>
            <w:tcBorders>
              <w:top w:val="single" w:sz="4" w:space="0" w:color="auto"/>
              <w:bottom w:val="single" w:sz="4" w:space="0" w:color="auto"/>
            </w:tcBorders>
          </w:tcPr>
          <w:p w14:paraId="4AF34FA9" w14:textId="77777777" w:rsidR="00617F3E" w:rsidRPr="00617F3E" w:rsidRDefault="00617F3E" w:rsidP="00617F3E">
            <w:pPr>
              <w:pStyle w:val="Tabletext"/>
            </w:pPr>
            <w:r w:rsidRPr="00617F3E">
              <w:t>20</w:t>
            </w:r>
          </w:p>
        </w:tc>
        <w:tc>
          <w:tcPr>
            <w:tcW w:w="966" w:type="pct"/>
            <w:tcBorders>
              <w:top w:val="single" w:sz="4" w:space="0" w:color="auto"/>
              <w:bottom w:val="single" w:sz="4" w:space="0" w:color="auto"/>
            </w:tcBorders>
            <w:shd w:val="clear" w:color="auto" w:fill="auto"/>
            <w:vAlign w:val="bottom"/>
          </w:tcPr>
          <w:p w14:paraId="7343F210" w14:textId="77777777" w:rsidR="00617F3E" w:rsidRPr="00617F3E" w:rsidRDefault="00617F3E" w:rsidP="00617F3E">
            <w:pPr>
              <w:pStyle w:val="Tabletext"/>
            </w:pPr>
            <w:r w:rsidRPr="00617F3E">
              <w:t>33</w:t>
            </w:r>
            <w:r w:rsidR="00D7157D">
              <w:t>.</w:t>
            </w:r>
            <w:r w:rsidRPr="00617F3E">
              <w:t>4835</w:t>
            </w:r>
          </w:p>
        </w:tc>
        <w:tc>
          <w:tcPr>
            <w:tcW w:w="966" w:type="pct"/>
            <w:tcBorders>
              <w:top w:val="single" w:sz="4" w:space="0" w:color="auto"/>
              <w:bottom w:val="single" w:sz="4" w:space="0" w:color="auto"/>
            </w:tcBorders>
            <w:shd w:val="clear" w:color="auto" w:fill="auto"/>
            <w:vAlign w:val="bottom"/>
          </w:tcPr>
          <w:p w14:paraId="10AA50B1" w14:textId="77777777" w:rsidR="00617F3E" w:rsidRPr="00617F3E" w:rsidRDefault="00617F3E" w:rsidP="00617F3E">
            <w:pPr>
              <w:pStyle w:val="Tabletext"/>
            </w:pPr>
            <w:r w:rsidRPr="00617F3E">
              <w:t>4</w:t>
            </w:r>
            <w:r w:rsidR="00D7157D">
              <w:t>.</w:t>
            </w:r>
            <w:r w:rsidRPr="00617F3E">
              <w:t>1321</w:t>
            </w:r>
          </w:p>
        </w:tc>
        <w:tc>
          <w:tcPr>
            <w:tcW w:w="966" w:type="pct"/>
            <w:tcBorders>
              <w:top w:val="single" w:sz="4" w:space="0" w:color="auto"/>
              <w:bottom w:val="single" w:sz="4" w:space="0" w:color="auto"/>
            </w:tcBorders>
            <w:shd w:val="clear" w:color="auto" w:fill="auto"/>
            <w:vAlign w:val="bottom"/>
          </w:tcPr>
          <w:p w14:paraId="70E659F5" w14:textId="77777777" w:rsidR="00617F3E" w:rsidRPr="00617F3E" w:rsidRDefault="00617F3E" w:rsidP="00617F3E">
            <w:pPr>
              <w:pStyle w:val="Tabletext"/>
            </w:pPr>
            <w:r w:rsidRPr="00617F3E">
              <w:t>35</w:t>
            </w:r>
            <w:r w:rsidR="00D7157D">
              <w:t>.</w:t>
            </w:r>
            <w:r w:rsidRPr="00617F3E">
              <w:t>1552</w:t>
            </w:r>
          </w:p>
        </w:tc>
        <w:tc>
          <w:tcPr>
            <w:tcW w:w="966" w:type="pct"/>
            <w:tcBorders>
              <w:top w:val="single" w:sz="4" w:space="0" w:color="auto"/>
              <w:bottom w:val="single" w:sz="4" w:space="0" w:color="auto"/>
              <w:right w:val="nil"/>
            </w:tcBorders>
            <w:shd w:val="clear" w:color="auto" w:fill="auto"/>
            <w:vAlign w:val="bottom"/>
          </w:tcPr>
          <w:p w14:paraId="50160D08" w14:textId="77777777" w:rsidR="00617F3E" w:rsidRPr="00617F3E" w:rsidRDefault="00617F3E" w:rsidP="00617F3E">
            <w:pPr>
              <w:pStyle w:val="Tabletext"/>
            </w:pPr>
            <w:r w:rsidRPr="00617F3E">
              <w:t>1</w:t>
            </w:r>
            <w:r w:rsidR="00D7157D">
              <w:t>.</w:t>
            </w:r>
            <w:r w:rsidRPr="00617F3E">
              <w:t>9795</w:t>
            </w:r>
          </w:p>
        </w:tc>
      </w:tr>
      <w:tr w:rsidR="00617F3E" w:rsidRPr="00617F3E" w14:paraId="0E1B25F5" w14:textId="77777777" w:rsidTr="00617F3E">
        <w:trPr>
          <w:cantSplit/>
        </w:trPr>
        <w:tc>
          <w:tcPr>
            <w:tcW w:w="1136" w:type="pct"/>
            <w:tcBorders>
              <w:top w:val="single" w:sz="4" w:space="0" w:color="auto"/>
              <w:bottom w:val="single" w:sz="4" w:space="0" w:color="auto"/>
            </w:tcBorders>
          </w:tcPr>
          <w:p w14:paraId="5FBE9006" w14:textId="77777777" w:rsidR="00617F3E" w:rsidRPr="00617F3E" w:rsidRDefault="00617F3E" w:rsidP="00617F3E">
            <w:pPr>
              <w:pStyle w:val="Tabletext"/>
            </w:pPr>
            <w:r w:rsidRPr="00617F3E">
              <w:t>21</w:t>
            </w:r>
          </w:p>
        </w:tc>
        <w:tc>
          <w:tcPr>
            <w:tcW w:w="966" w:type="pct"/>
            <w:tcBorders>
              <w:top w:val="single" w:sz="4" w:space="0" w:color="auto"/>
              <w:bottom w:val="single" w:sz="4" w:space="0" w:color="auto"/>
            </w:tcBorders>
            <w:shd w:val="clear" w:color="auto" w:fill="auto"/>
            <w:vAlign w:val="bottom"/>
          </w:tcPr>
          <w:p w14:paraId="2CA826CC" w14:textId="77777777" w:rsidR="00617F3E" w:rsidRPr="00617F3E" w:rsidRDefault="00617F3E" w:rsidP="00617F3E">
            <w:pPr>
              <w:pStyle w:val="Tabletext"/>
            </w:pPr>
            <w:r w:rsidRPr="00617F3E">
              <w:t>33</w:t>
            </w:r>
            <w:r w:rsidR="00D7157D">
              <w:t>.</w:t>
            </w:r>
            <w:r w:rsidRPr="00617F3E">
              <w:t>1866</w:t>
            </w:r>
          </w:p>
        </w:tc>
        <w:tc>
          <w:tcPr>
            <w:tcW w:w="966" w:type="pct"/>
            <w:tcBorders>
              <w:top w:val="single" w:sz="4" w:space="0" w:color="auto"/>
              <w:bottom w:val="single" w:sz="4" w:space="0" w:color="auto"/>
            </w:tcBorders>
            <w:shd w:val="clear" w:color="auto" w:fill="auto"/>
            <w:vAlign w:val="bottom"/>
          </w:tcPr>
          <w:p w14:paraId="49E53A2C" w14:textId="77777777" w:rsidR="00617F3E" w:rsidRPr="00617F3E" w:rsidRDefault="00617F3E" w:rsidP="00617F3E">
            <w:pPr>
              <w:pStyle w:val="Tabletext"/>
            </w:pPr>
            <w:r w:rsidRPr="00617F3E">
              <w:t>4</w:t>
            </w:r>
            <w:r w:rsidR="00D7157D">
              <w:t>.</w:t>
            </w:r>
            <w:r w:rsidRPr="00617F3E">
              <w:t>1662</w:t>
            </w:r>
          </w:p>
        </w:tc>
        <w:tc>
          <w:tcPr>
            <w:tcW w:w="966" w:type="pct"/>
            <w:tcBorders>
              <w:top w:val="single" w:sz="4" w:space="0" w:color="auto"/>
              <w:bottom w:val="single" w:sz="4" w:space="0" w:color="auto"/>
            </w:tcBorders>
            <w:shd w:val="clear" w:color="auto" w:fill="auto"/>
            <w:vAlign w:val="bottom"/>
          </w:tcPr>
          <w:p w14:paraId="79F5908F" w14:textId="77777777" w:rsidR="00617F3E" w:rsidRPr="00617F3E" w:rsidRDefault="00617F3E" w:rsidP="00617F3E">
            <w:pPr>
              <w:pStyle w:val="Tabletext"/>
            </w:pPr>
            <w:r w:rsidRPr="00617F3E">
              <w:t>34</w:t>
            </w:r>
            <w:r w:rsidR="00D7157D">
              <w:t>.</w:t>
            </w:r>
            <w:r w:rsidRPr="00617F3E">
              <w:t>8666</w:t>
            </w:r>
          </w:p>
        </w:tc>
        <w:tc>
          <w:tcPr>
            <w:tcW w:w="966" w:type="pct"/>
            <w:tcBorders>
              <w:top w:val="single" w:sz="4" w:space="0" w:color="auto"/>
              <w:bottom w:val="single" w:sz="4" w:space="0" w:color="auto"/>
              <w:right w:val="nil"/>
            </w:tcBorders>
            <w:shd w:val="clear" w:color="auto" w:fill="auto"/>
            <w:vAlign w:val="bottom"/>
          </w:tcPr>
          <w:p w14:paraId="5CB7B156" w14:textId="77777777" w:rsidR="00617F3E" w:rsidRPr="00617F3E" w:rsidRDefault="00617F3E" w:rsidP="00617F3E">
            <w:pPr>
              <w:pStyle w:val="Tabletext"/>
            </w:pPr>
            <w:r w:rsidRPr="00617F3E">
              <w:t>1</w:t>
            </w:r>
            <w:r w:rsidR="00D7157D">
              <w:t>.</w:t>
            </w:r>
            <w:r w:rsidRPr="00617F3E">
              <w:t>9933</w:t>
            </w:r>
          </w:p>
        </w:tc>
      </w:tr>
      <w:tr w:rsidR="00617F3E" w:rsidRPr="00617F3E" w14:paraId="57B84DE7" w14:textId="77777777" w:rsidTr="00617F3E">
        <w:trPr>
          <w:cantSplit/>
        </w:trPr>
        <w:tc>
          <w:tcPr>
            <w:tcW w:w="1136" w:type="pct"/>
            <w:tcBorders>
              <w:top w:val="single" w:sz="4" w:space="0" w:color="auto"/>
              <w:bottom w:val="single" w:sz="4" w:space="0" w:color="auto"/>
            </w:tcBorders>
          </w:tcPr>
          <w:p w14:paraId="428BE931" w14:textId="77777777" w:rsidR="00617F3E" w:rsidRPr="00617F3E" w:rsidRDefault="00617F3E" w:rsidP="00617F3E">
            <w:pPr>
              <w:pStyle w:val="Tabletext"/>
            </w:pPr>
            <w:r w:rsidRPr="00617F3E">
              <w:t>22</w:t>
            </w:r>
          </w:p>
        </w:tc>
        <w:tc>
          <w:tcPr>
            <w:tcW w:w="966" w:type="pct"/>
            <w:tcBorders>
              <w:top w:val="single" w:sz="4" w:space="0" w:color="auto"/>
              <w:bottom w:val="single" w:sz="4" w:space="0" w:color="auto"/>
            </w:tcBorders>
            <w:shd w:val="clear" w:color="auto" w:fill="auto"/>
            <w:vAlign w:val="bottom"/>
          </w:tcPr>
          <w:p w14:paraId="0C7DD7B1" w14:textId="77777777" w:rsidR="00617F3E" w:rsidRPr="00617F3E" w:rsidRDefault="00617F3E" w:rsidP="00617F3E">
            <w:pPr>
              <w:pStyle w:val="Tabletext"/>
            </w:pPr>
            <w:r w:rsidRPr="00617F3E">
              <w:t>32</w:t>
            </w:r>
            <w:r w:rsidR="00D7157D">
              <w:t>.</w:t>
            </w:r>
            <w:r w:rsidRPr="00617F3E">
              <w:t>8834</w:t>
            </w:r>
          </w:p>
        </w:tc>
        <w:tc>
          <w:tcPr>
            <w:tcW w:w="966" w:type="pct"/>
            <w:tcBorders>
              <w:top w:val="single" w:sz="4" w:space="0" w:color="auto"/>
              <w:bottom w:val="single" w:sz="4" w:space="0" w:color="auto"/>
            </w:tcBorders>
            <w:shd w:val="clear" w:color="auto" w:fill="auto"/>
            <w:vAlign w:val="bottom"/>
          </w:tcPr>
          <w:p w14:paraId="52C86170" w14:textId="77777777" w:rsidR="00617F3E" w:rsidRPr="00617F3E" w:rsidRDefault="00617F3E" w:rsidP="00617F3E">
            <w:pPr>
              <w:pStyle w:val="Tabletext"/>
            </w:pPr>
            <w:r w:rsidRPr="00617F3E">
              <w:t>4</w:t>
            </w:r>
            <w:r w:rsidR="00D7157D">
              <w:t>.</w:t>
            </w:r>
            <w:r w:rsidRPr="00617F3E">
              <w:t>2013</w:t>
            </w:r>
          </w:p>
        </w:tc>
        <w:tc>
          <w:tcPr>
            <w:tcW w:w="966" w:type="pct"/>
            <w:tcBorders>
              <w:top w:val="single" w:sz="4" w:space="0" w:color="auto"/>
              <w:bottom w:val="single" w:sz="4" w:space="0" w:color="auto"/>
            </w:tcBorders>
            <w:shd w:val="clear" w:color="auto" w:fill="auto"/>
            <w:vAlign w:val="bottom"/>
          </w:tcPr>
          <w:p w14:paraId="6C4EF21B" w14:textId="77777777" w:rsidR="00617F3E" w:rsidRPr="00617F3E" w:rsidRDefault="00617F3E" w:rsidP="00617F3E">
            <w:pPr>
              <w:pStyle w:val="Tabletext"/>
            </w:pPr>
            <w:r w:rsidRPr="00617F3E">
              <w:t>34</w:t>
            </w:r>
            <w:r w:rsidR="00D7157D">
              <w:t>.</w:t>
            </w:r>
            <w:r w:rsidRPr="00617F3E">
              <w:t>5722</w:t>
            </w:r>
          </w:p>
        </w:tc>
        <w:tc>
          <w:tcPr>
            <w:tcW w:w="966" w:type="pct"/>
            <w:tcBorders>
              <w:top w:val="single" w:sz="4" w:space="0" w:color="auto"/>
              <w:bottom w:val="single" w:sz="4" w:space="0" w:color="auto"/>
              <w:right w:val="nil"/>
            </w:tcBorders>
            <w:shd w:val="clear" w:color="auto" w:fill="auto"/>
            <w:vAlign w:val="bottom"/>
          </w:tcPr>
          <w:p w14:paraId="2BAAEFA5" w14:textId="77777777" w:rsidR="00617F3E" w:rsidRPr="00617F3E" w:rsidRDefault="00617F3E" w:rsidP="00617F3E">
            <w:pPr>
              <w:pStyle w:val="Tabletext"/>
            </w:pPr>
            <w:r w:rsidRPr="00617F3E">
              <w:t>2</w:t>
            </w:r>
            <w:r w:rsidR="00D7157D">
              <w:t>.</w:t>
            </w:r>
            <w:r w:rsidRPr="00617F3E">
              <w:t>0074</w:t>
            </w:r>
          </w:p>
        </w:tc>
      </w:tr>
      <w:tr w:rsidR="00617F3E" w:rsidRPr="00617F3E" w14:paraId="37593E5E" w14:textId="77777777" w:rsidTr="00617F3E">
        <w:trPr>
          <w:cantSplit/>
        </w:trPr>
        <w:tc>
          <w:tcPr>
            <w:tcW w:w="1136" w:type="pct"/>
            <w:tcBorders>
              <w:top w:val="single" w:sz="4" w:space="0" w:color="auto"/>
              <w:bottom w:val="single" w:sz="4" w:space="0" w:color="auto"/>
            </w:tcBorders>
          </w:tcPr>
          <w:p w14:paraId="54918343" w14:textId="77777777" w:rsidR="00617F3E" w:rsidRPr="00617F3E" w:rsidRDefault="00617F3E" w:rsidP="00617F3E">
            <w:pPr>
              <w:pStyle w:val="Tabletext"/>
            </w:pPr>
            <w:r w:rsidRPr="00617F3E">
              <w:t>23</w:t>
            </w:r>
          </w:p>
        </w:tc>
        <w:tc>
          <w:tcPr>
            <w:tcW w:w="966" w:type="pct"/>
            <w:tcBorders>
              <w:top w:val="single" w:sz="4" w:space="0" w:color="auto"/>
              <w:bottom w:val="single" w:sz="4" w:space="0" w:color="auto"/>
            </w:tcBorders>
            <w:shd w:val="clear" w:color="auto" w:fill="auto"/>
            <w:vAlign w:val="bottom"/>
          </w:tcPr>
          <w:p w14:paraId="6D659434" w14:textId="77777777" w:rsidR="00617F3E" w:rsidRPr="00617F3E" w:rsidRDefault="00617F3E" w:rsidP="00617F3E">
            <w:pPr>
              <w:pStyle w:val="Tabletext"/>
            </w:pPr>
            <w:r w:rsidRPr="00617F3E">
              <w:t>32</w:t>
            </w:r>
            <w:r w:rsidR="00D7157D">
              <w:t>.</w:t>
            </w:r>
            <w:r w:rsidRPr="00617F3E">
              <w:t>5737</w:t>
            </w:r>
          </w:p>
        </w:tc>
        <w:tc>
          <w:tcPr>
            <w:tcW w:w="966" w:type="pct"/>
            <w:tcBorders>
              <w:top w:val="single" w:sz="4" w:space="0" w:color="auto"/>
              <w:bottom w:val="single" w:sz="4" w:space="0" w:color="auto"/>
            </w:tcBorders>
            <w:shd w:val="clear" w:color="auto" w:fill="auto"/>
            <w:vAlign w:val="bottom"/>
          </w:tcPr>
          <w:p w14:paraId="6CF37A2F" w14:textId="77777777" w:rsidR="00617F3E" w:rsidRPr="00617F3E" w:rsidRDefault="00617F3E" w:rsidP="00617F3E">
            <w:pPr>
              <w:pStyle w:val="Tabletext"/>
            </w:pPr>
            <w:r w:rsidRPr="00617F3E">
              <w:t>4</w:t>
            </w:r>
            <w:r w:rsidR="00D7157D">
              <w:t>.</w:t>
            </w:r>
            <w:r w:rsidRPr="00617F3E">
              <w:t>2374</w:t>
            </w:r>
          </w:p>
        </w:tc>
        <w:tc>
          <w:tcPr>
            <w:tcW w:w="966" w:type="pct"/>
            <w:tcBorders>
              <w:top w:val="single" w:sz="4" w:space="0" w:color="auto"/>
              <w:bottom w:val="single" w:sz="4" w:space="0" w:color="auto"/>
            </w:tcBorders>
            <w:shd w:val="clear" w:color="auto" w:fill="auto"/>
            <w:vAlign w:val="bottom"/>
          </w:tcPr>
          <w:p w14:paraId="53A36179" w14:textId="77777777" w:rsidR="00617F3E" w:rsidRPr="00617F3E" w:rsidRDefault="00617F3E" w:rsidP="00617F3E">
            <w:pPr>
              <w:pStyle w:val="Tabletext"/>
            </w:pPr>
            <w:r w:rsidRPr="00617F3E">
              <w:t>34</w:t>
            </w:r>
            <w:r w:rsidR="00D7157D">
              <w:t>.</w:t>
            </w:r>
            <w:r w:rsidRPr="00617F3E">
              <w:t>2716</w:t>
            </w:r>
          </w:p>
        </w:tc>
        <w:tc>
          <w:tcPr>
            <w:tcW w:w="966" w:type="pct"/>
            <w:tcBorders>
              <w:top w:val="single" w:sz="4" w:space="0" w:color="auto"/>
              <w:bottom w:val="single" w:sz="4" w:space="0" w:color="auto"/>
              <w:right w:val="nil"/>
            </w:tcBorders>
            <w:shd w:val="clear" w:color="auto" w:fill="auto"/>
            <w:vAlign w:val="bottom"/>
          </w:tcPr>
          <w:p w14:paraId="3DDF374C" w14:textId="77777777" w:rsidR="00617F3E" w:rsidRPr="00617F3E" w:rsidRDefault="00617F3E" w:rsidP="00617F3E">
            <w:pPr>
              <w:pStyle w:val="Tabletext"/>
            </w:pPr>
            <w:r w:rsidRPr="00617F3E">
              <w:t>2</w:t>
            </w:r>
            <w:r w:rsidR="00D7157D">
              <w:t>.</w:t>
            </w:r>
            <w:r w:rsidRPr="00617F3E">
              <w:t>0220</w:t>
            </w:r>
          </w:p>
        </w:tc>
      </w:tr>
      <w:tr w:rsidR="00617F3E" w:rsidRPr="00617F3E" w14:paraId="048D47AF" w14:textId="77777777" w:rsidTr="00617F3E">
        <w:trPr>
          <w:cantSplit/>
        </w:trPr>
        <w:tc>
          <w:tcPr>
            <w:tcW w:w="1136" w:type="pct"/>
            <w:tcBorders>
              <w:top w:val="single" w:sz="4" w:space="0" w:color="auto"/>
              <w:bottom w:val="single" w:sz="4" w:space="0" w:color="auto"/>
            </w:tcBorders>
          </w:tcPr>
          <w:p w14:paraId="75BA7B3B" w14:textId="77777777" w:rsidR="00617F3E" w:rsidRPr="00617F3E" w:rsidRDefault="00617F3E" w:rsidP="00617F3E">
            <w:pPr>
              <w:pStyle w:val="Tabletext"/>
            </w:pPr>
            <w:r w:rsidRPr="00617F3E">
              <w:t>24</w:t>
            </w:r>
          </w:p>
        </w:tc>
        <w:tc>
          <w:tcPr>
            <w:tcW w:w="966" w:type="pct"/>
            <w:tcBorders>
              <w:top w:val="single" w:sz="4" w:space="0" w:color="auto"/>
              <w:bottom w:val="single" w:sz="4" w:space="0" w:color="auto"/>
            </w:tcBorders>
            <w:shd w:val="clear" w:color="auto" w:fill="auto"/>
            <w:vAlign w:val="bottom"/>
          </w:tcPr>
          <w:p w14:paraId="0E167388" w14:textId="77777777" w:rsidR="00617F3E" w:rsidRPr="00617F3E" w:rsidRDefault="00617F3E" w:rsidP="00617F3E">
            <w:pPr>
              <w:pStyle w:val="Tabletext"/>
            </w:pPr>
            <w:r w:rsidRPr="00617F3E">
              <w:t>32</w:t>
            </w:r>
            <w:r w:rsidR="00D7157D">
              <w:t>.</w:t>
            </w:r>
            <w:r w:rsidRPr="00617F3E">
              <w:t>2574</w:t>
            </w:r>
          </w:p>
        </w:tc>
        <w:tc>
          <w:tcPr>
            <w:tcW w:w="966" w:type="pct"/>
            <w:tcBorders>
              <w:top w:val="single" w:sz="4" w:space="0" w:color="auto"/>
              <w:bottom w:val="single" w:sz="4" w:space="0" w:color="auto"/>
            </w:tcBorders>
            <w:shd w:val="clear" w:color="auto" w:fill="auto"/>
            <w:vAlign w:val="bottom"/>
          </w:tcPr>
          <w:p w14:paraId="0E5AEDDE" w14:textId="77777777" w:rsidR="00617F3E" w:rsidRPr="00617F3E" w:rsidRDefault="00617F3E" w:rsidP="00617F3E">
            <w:pPr>
              <w:pStyle w:val="Tabletext"/>
            </w:pPr>
            <w:r w:rsidRPr="00617F3E">
              <w:t>4</w:t>
            </w:r>
            <w:r w:rsidR="00D7157D">
              <w:t>.</w:t>
            </w:r>
            <w:r w:rsidRPr="00617F3E">
              <w:t>2744</w:t>
            </w:r>
          </w:p>
        </w:tc>
        <w:tc>
          <w:tcPr>
            <w:tcW w:w="966" w:type="pct"/>
            <w:tcBorders>
              <w:top w:val="single" w:sz="4" w:space="0" w:color="auto"/>
              <w:bottom w:val="single" w:sz="4" w:space="0" w:color="auto"/>
            </w:tcBorders>
            <w:shd w:val="clear" w:color="auto" w:fill="auto"/>
            <w:vAlign w:val="bottom"/>
          </w:tcPr>
          <w:p w14:paraId="51641FBC" w14:textId="77777777" w:rsidR="00617F3E" w:rsidRPr="00617F3E" w:rsidRDefault="00617F3E" w:rsidP="00617F3E">
            <w:pPr>
              <w:pStyle w:val="Tabletext"/>
            </w:pPr>
            <w:r w:rsidRPr="00617F3E">
              <w:t>33</w:t>
            </w:r>
            <w:r w:rsidR="00D7157D">
              <w:t>.</w:t>
            </w:r>
            <w:r w:rsidRPr="00617F3E">
              <w:t>9649</w:t>
            </w:r>
          </w:p>
        </w:tc>
        <w:tc>
          <w:tcPr>
            <w:tcW w:w="966" w:type="pct"/>
            <w:tcBorders>
              <w:top w:val="single" w:sz="4" w:space="0" w:color="auto"/>
              <w:bottom w:val="single" w:sz="4" w:space="0" w:color="auto"/>
              <w:right w:val="nil"/>
            </w:tcBorders>
            <w:shd w:val="clear" w:color="auto" w:fill="auto"/>
            <w:vAlign w:val="bottom"/>
          </w:tcPr>
          <w:p w14:paraId="09225115" w14:textId="77777777" w:rsidR="00617F3E" w:rsidRPr="00617F3E" w:rsidRDefault="00617F3E" w:rsidP="00617F3E">
            <w:pPr>
              <w:pStyle w:val="Tabletext"/>
            </w:pPr>
            <w:r w:rsidRPr="00617F3E">
              <w:t>2</w:t>
            </w:r>
            <w:r w:rsidR="00D7157D">
              <w:t>.</w:t>
            </w:r>
            <w:r w:rsidRPr="00617F3E">
              <w:t>0370</w:t>
            </w:r>
          </w:p>
        </w:tc>
      </w:tr>
      <w:tr w:rsidR="00617F3E" w:rsidRPr="00617F3E" w14:paraId="6F4F9420" w14:textId="77777777" w:rsidTr="00617F3E">
        <w:trPr>
          <w:cantSplit/>
        </w:trPr>
        <w:tc>
          <w:tcPr>
            <w:tcW w:w="1136" w:type="pct"/>
            <w:tcBorders>
              <w:top w:val="single" w:sz="4" w:space="0" w:color="auto"/>
              <w:bottom w:val="single" w:sz="4" w:space="0" w:color="auto"/>
            </w:tcBorders>
          </w:tcPr>
          <w:p w14:paraId="3B03A8C4" w14:textId="77777777" w:rsidR="00617F3E" w:rsidRPr="00617F3E" w:rsidRDefault="00617F3E" w:rsidP="00617F3E">
            <w:pPr>
              <w:pStyle w:val="Tabletext"/>
            </w:pPr>
            <w:r w:rsidRPr="00617F3E">
              <w:t>25</w:t>
            </w:r>
          </w:p>
        </w:tc>
        <w:tc>
          <w:tcPr>
            <w:tcW w:w="966" w:type="pct"/>
            <w:tcBorders>
              <w:top w:val="single" w:sz="4" w:space="0" w:color="auto"/>
              <w:bottom w:val="single" w:sz="4" w:space="0" w:color="auto"/>
            </w:tcBorders>
            <w:shd w:val="clear" w:color="auto" w:fill="auto"/>
            <w:vAlign w:val="bottom"/>
          </w:tcPr>
          <w:p w14:paraId="166E36C8" w14:textId="77777777" w:rsidR="00617F3E" w:rsidRPr="00617F3E" w:rsidRDefault="00617F3E" w:rsidP="00617F3E">
            <w:pPr>
              <w:pStyle w:val="Tabletext"/>
            </w:pPr>
            <w:r w:rsidRPr="00617F3E">
              <w:t>31</w:t>
            </w:r>
            <w:r w:rsidR="00D7157D">
              <w:t>.</w:t>
            </w:r>
            <w:r w:rsidRPr="00617F3E">
              <w:t>9343</w:t>
            </w:r>
          </w:p>
        </w:tc>
        <w:tc>
          <w:tcPr>
            <w:tcW w:w="966" w:type="pct"/>
            <w:tcBorders>
              <w:top w:val="single" w:sz="4" w:space="0" w:color="auto"/>
              <w:bottom w:val="single" w:sz="4" w:space="0" w:color="auto"/>
            </w:tcBorders>
            <w:shd w:val="clear" w:color="auto" w:fill="auto"/>
            <w:vAlign w:val="bottom"/>
          </w:tcPr>
          <w:p w14:paraId="1D384663" w14:textId="77777777" w:rsidR="00617F3E" w:rsidRPr="00617F3E" w:rsidRDefault="00617F3E" w:rsidP="00617F3E">
            <w:pPr>
              <w:pStyle w:val="Tabletext"/>
            </w:pPr>
            <w:r w:rsidRPr="00617F3E">
              <w:t>4</w:t>
            </w:r>
            <w:r w:rsidR="00D7157D">
              <w:t>.</w:t>
            </w:r>
            <w:r w:rsidRPr="00617F3E">
              <w:t>3124</w:t>
            </w:r>
          </w:p>
        </w:tc>
        <w:tc>
          <w:tcPr>
            <w:tcW w:w="966" w:type="pct"/>
            <w:tcBorders>
              <w:top w:val="single" w:sz="4" w:space="0" w:color="auto"/>
              <w:bottom w:val="single" w:sz="4" w:space="0" w:color="auto"/>
            </w:tcBorders>
            <w:shd w:val="clear" w:color="auto" w:fill="auto"/>
            <w:vAlign w:val="bottom"/>
          </w:tcPr>
          <w:p w14:paraId="12F1127E" w14:textId="77777777" w:rsidR="00617F3E" w:rsidRPr="00617F3E" w:rsidRDefault="00617F3E" w:rsidP="00617F3E">
            <w:pPr>
              <w:pStyle w:val="Tabletext"/>
            </w:pPr>
            <w:r w:rsidRPr="00617F3E">
              <w:t>33</w:t>
            </w:r>
            <w:r w:rsidR="00D7157D">
              <w:t>.</w:t>
            </w:r>
            <w:r w:rsidRPr="00617F3E">
              <w:t>6519</w:t>
            </w:r>
          </w:p>
        </w:tc>
        <w:tc>
          <w:tcPr>
            <w:tcW w:w="966" w:type="pct"/>
            <w:tcBorders>
              <w:top w:val="single" w:sz="4" w:space="0" w:color="auto"/>
              <w:bottom w:val="single" w:sz="4" w:space="0" w:color="auto"/>
              <w:right w:val="nil"/>
            </w:tcBorders>
            <w:shd w:val="clear" w:color="auto" w:fill="auto"/>
            <w:vAlign w:val="bottom"/>
          </w:tcPr>
          <w:p w14:paraId="455F2D09" w14:textId="77777777" w:rsidR="00617F3E" w:rsidRPr="00617F3E" w:rsidRDefault="00617F3E" w:rsidP="00617F3E">
            <w:pPr>
              <w:pStyle w:val="Tabletext"/>
            </w:pPr>
            <w:r w:rsidRPr="00617F3E">
              <w:t>2</w:t>
            </w:r>
            <w:r w:rsidR="00D7157D">
              <w:t>.</w:t>
            </w:r>
            <w:r w:rsidRPr="00617F3E">
              <w:t>0525</w:t>
            </w:r>
          </w:p>
        </w:tc>
      </w:tr>
      <w:tr w:rsidR="00617F3E" w:rsidRPr="00617F3E" w14:paraId="3F479EE0" w14:textId="77777777" w:rsidTr="00617F3E">
        <w:trPr>
          <w:cantSplit/>
        </w:trPr>
        <w:tc>
          <w:tcPr>
            <w:tcW w:w="1136" w:type="pct"/>
            <w:tcBorders>
              <w:top w:val="single" w:sz="4" w:space="0" w:color="auto"/>
              <w:bottom w:val="single" w:sz="4" w:space="0" w:color="auto"/>
            </w:tcBorders>
          </w:tcPr>
          <w:p w14:paraId="5AF27201" w14:textId="77777777" w:rsidR="00617F3E" w:rsidRPr="00617F3E" w:rsidRDefault="00617F3E" w:rsidP="00617F3E">
            <w:pPr>
              <w:pStyle w:val="Tabletext"/>
            </w:pPr>
            <w:r w:rsidRPr="00617F3E">
              <w:t>26</w:t>
            </w:r>
          </w:p>
        </w:tc>
        <w:tc>
          <w:tcPr>
            <w:tcW w:w="966" w:type="pct"/>
            <w:tcBorders>
              <w:top w:val="single" w:sz="4" w:space="0" w:color="auto"/>
              <w:bottom w:val="single" w:sz="4" w:space="0" w:color="auto"/>
            </w:tcBorders>
            <w:shd w:val="clear" w:color="auto" w:fill="auto"/>
            <w:vAlign w:val="bottom"/>
          </w:tcPr>
          <w:p w14:paraId="220C7D3C" w14:textId="77777777" w:rsidR="00617F3E" w:rsidRPr="00617F3E" w:rsidRDefault="00617F3E" w:rsidP="00617F3E">
            <w:pPr>
              <w:pStyle w:val="Tabletext"/>
            </w:pPr>
            <w:r w:rsidRPr="00617F3E">
              <w:t>31</w:t>
            </w:r>
            <w:r w:rsidR="00D7157D">
              <w:t>.</w:t>
            </w:r>
            <w:r w:rsidRPr="00617F3E">
              <w:t>6044</w:t>
            </w:r>
          </w:p>
        </w:tc>
        <w:tc>
          <w:tcPr>
            <w:tcW w:w="966" w:type="pct"/>
            <w:tcBorders>
              <w:top w:val="single" w:sz="4" w:space="0" w:color="auto"/>
              <w:bottom w:val="single" w:sz="4" w:space="0" w:color="auto"/>
            </w:tcBorders>
            <w:shd w:val="clear" w:color="auto" w:fill="auto"/>
            <w:vAlign w:val="bottom"/>
          </w:tcPr>
          <w:p w14:paraId="542D3DB6" w14:textId="77777777" w:rsidR="00617F3E" w:rsidRPr="00617F3E" w:rsidRDefault="00617F3E" w:rsidP="00617F3E">
            <w:pPr>
              <w:pStyle w:val="Tabletext"/>
            </w:pPr>
            <w:r w:rsidRPr="00617F3E">
              <w:t>4</w:t>
            </w:r>
            <w:r w:rsidR="00D7157D">
              <w:t>.</w:t>
            </w:r>
            <w:r w:rsidRPr="00617F3E">
              <w:t>3515</w:t>
            </w:r>
          </w:p>
        </w:tc>
        <w:tc>
          <w:tcPr>
            <w:tcW w:w="966" w:type="pct"/>
            <w:tcBorders>
              <w:top w:val="single" w:sz="4" w:space="0" w:color="auto"/>
              <w:bottom w:val="single" w:sz="4" w:space="0" w:color="auto"/>
            </w:tcBorders>
            <w:shd w:val="clear" w:color="auto" w:fill="auto"/>
            <w:vAlign w:val="bottom"/>
          </w:tcPr>
          <w:p w14:paraId="66A563EE" w14:textId="77777777" w:rsidR="00617F3E" w:rsidRPr="00617F3E" w:rsidRDefault="00617F3E" w:rsidP="00617F3E">
            <w:pPr>
              <w:pStyle w:val="Tabletext"/>
            </w:pPr>
            <w:r w:rsidRPr="00617F3E">
              <w:t>33</w:t>
            </w:r>
            <w:r w:rsidR="00D7157D">
              <w:t>.</w:t>
            </w:r>
            <w:r w:rsidRPr="00617F3E">
              <w:t>3325</w:t>
            </w:r>
          </w:p>
        </w:tc>
        <w:tc>
          <w:tcPr>
            <w:tcW w:w="966" w:type="pct"/>
            <w:tcBorders>
              <w:top w:val="single" w:sz="4" w:space="0" w:color="auto"/>
              <w:bottom w:val="single" w:sz="4" w:space="0" w:color="auto"/>
              <w:right w:val="nil"/>
            </w:tcBorders>
            <w:shd w:val="clear" w:color="auto" w:fill="auto"/>
            <w:vAlign w:val="bottom"/>
          </w:tcPr>
          <w:p w14:paraId="71F7821E" w14:textId="77777777" w:rsidR="00617F3E" w:rsidRPr="00617F3E" w:rsidRDefault="00617F3E" w:rsidP="00617F3E">
            <w:pPr>
              <w:pStyle w:val="Tabletext"/>
            </w:pPr>
            <w:r w:rsidRPr="00617F3E">
              <w:t>2</w:t>
            </w:r>
            <w:r w:rsidR="00D7157D">
              <w:t>.</w:t>
            </w:r>
            <w:r w:rsidRPr="00617F3E">
              <w:t>0684</w:t>
            </w:r>
          </w:p>
        </w:tc>
      </w:tr>
      <w:tr w:rsidR="00617F3E" w:rsidRPr="00617F3E" w14:paraId="04C2C8A3" w14:textId="77777777" w:rsidTr="00617F3E">
        <w:trPr>
          <w:cantSplit/>
        </w:trPr>
        <w:tc>
          <w:tcPr>
            <w:tcW w:w="1136" w:type="pct"/>
            <w:tcBorders>
              <w:top w:val="single" w:sz="4" w:space="0" w:color="auto"/>
              <w:bottom w:val="single" w:sz="4" w:space="0" w:color="auto"/>
            </w:tcBorders>
          </w:tcPr>
          <w:p w14:paraId="39A6D975" w14:textId="77777777" w:rsidR="00617F3E" w:rsidRPr="00617F3E" w:rsidRDefault="00617F3E" w:rsidP="00617F3E">
            <w:pPr>
              <w:pStyle w:val="Tabletext"/>
            </w:pPr>
            <w:r w:rsidRPr="00617F3E">
              <w:t>27</w:t>
            </w:r>
          </w:p>
        </w:tc>
        <w:tc>
          <w:tcPr>
            <w:tcW w:w="966" w:type="pct"/>
            <w:tcBorders>
              <w:top w:val="single" w:sz="4" w:space="0" w:color="auto"/>
              <w:bottom w:val="single" w:sz="4" w:space="0" w:color="auto"/>
            </w:tcBorders>
            <w:shd w:val="clear" w:color="auto" w:fill="auto"/>
            <w:vAlign w:val="bottom"/>
          </w:tcPr>
          <w:p w14:paraId="50F12E6D" w14:textId="77777777" w:rsidR="00617F3E" w:rsidRPr="00617F3E" w:rsidRDefault="00617F3E" w:rsidP="00617F3E">
            <w:pPr>
              <w:pStyle w:val="Tabletext"/>
            </w:pPr>
            <w:r w:rsidRPr="00617F3E">
              <w:t>31</w:t>
            </w:r>
            <w:r w:rsidR="00D7157D">
              <w:t>.</w:t>
            </w:r>
            <w:r w:rsidRPr="00617F3E">
              <w:t>2675</w:t>
            </w:r>
          </w:p>
        </w:tc>
        <w:tc>
          <w:tcPr>
            <w:tcW w:w="966" w:type="pct"/>
            <w:tcBorders>
              <w:top w:val="single" w:sz="4" w:space="0" w:color="auto"/>
              <w:bottom w:val="single" w:sz="4" w:space="0" w:color="auto"/>
            </w:tcBorders>
            <w:shd w:val="clear" w:color="auto" w:fill="auto"/>
            <w:vAlign w:val="bottom"/>
          </w:tcPr>
          <w:p w14:paraId="4F8EEC08" w14:textId="77777777" w:rsidR="00617F3E" w:rsidRPr="00617F3E" w:rsidRDefault="00617F3E" w:rsidP="00617F3E">
            <w:pPr>
              <w:pStyle w:val="Tabletext"/>
            </w:pPr>
            <w:r w:rsidRPr="00617F3E">
              <w:t>4</w:t>
            </w:r>
            <w:r w:rsidR="00D7157D">
              <w:t>.</w:t>
            </w:r>
            <w:r w:rsidRPr="00617F3E">
              <w:t>3917</w:t>
            </w:r>
          </w:p>
        </w:tc>
        <w:tc>
          <w:tcPr>
            <w:tcW w:w="966" w:type="pct"/>
            <w:tcBorders>
              <w:top w:val="single" w:sz="4" w:space="0" w:color="auto"/>
              <w:bottom w:val="single" w:sz="4" w:space="0" w:color="auto"/>
            </w:tcBorders>
            <w:shd w:val="clear" w:color="auto" w:fill="auto"/>
            <w:vAlign w:val="bottom"/>
          </w:tcPr>
          <w:p w14:paraId="3901BFFB" w14:textId="77777777" w:rsidR="00617F3E" w:rsidRPr="00617F3E" w:rsidRDefault="00617F3E" w:rsidP="00617F3E">
            <w:pPr>
              <w:pStyle w:val="Tabletext"/>
            </w:pPr>
            <w:r w:rsidRPr="00617F3E">
              <w:t>33</w:t>
            </w:r>
            <w:r w:rsidR="00D7157D">
              <w:t>.</w:t>
            </w:r>
            <w:r w:rsidRPr="00617F3E">
              <w:t>0065</w:t>
            </w:r>
          </w:p>
        </w:tc>
        <w:tc>
          <w:tcPr>
            <w:tcW w:w="966" w:type="pct"/>
            <w:tcBorders>
              <w:top w:val="single" w:sz="4" w:space="0" w:color="auto"/>
              <w:bottom w:val="single" w:sz="4" w:space="0" w:color="auto"/>
              <w:right w:val="nil"/>
            </w:tcBorders>
            <w:shd w:val="clear" w:color="auto" w:fill="auto"/>
            <w:vAlign w:val="bottom"/>
          </w:tcPr>
          <w:p w14:paraId="132EC831" w14:textId="77777777" w:rsidR="00617F3E" w:rsidRPr="00617F3E" w:rsidRDefault="00617F3E" w:rsidP="00617F3E">
            <w:pPr>
              <w:pStyle w:val="Tabletext"/>
            </w:pPr>
            <w:r w:rsidRPr="00617F3E">
              <w:t>2</w:t>
            </w:r>
            <w:r w:rsidR="00D7157D">
              <w:t>.</w:t>
            </w:r>
            <w:r w:rsidRPr="00617F3E">
              <w:t>0848</w:t>
            </w:r>
          </w:p>
        </w:tc>
      </w:tr>
      <w:tr w:rsidR="00617F3E" w:rsidRPr="00617F3E" w14:paraId="127D2647" w14:textId="77777777" w:rsidTr="00617F3E">
        <w:trPr>
          <w:cantSplit/>
        </w:trPr>
        <w:tc>
          <w:tcPr>
            <w:tcW w:w="1136" w:type="pct"/>
            <w:tcBorders>
              <w:top w:val="single" w:sz="4" w:space="0" w:color="auto"/>
              <w:bottom w:val="single" w:sz="4" w:space="0" w:color="auto"/>
            </w:tcBorders>
          </w:tcPr>
          <w:p w14:paraId="3F97B79B" w14:textId="77777777" w:rsidR="00617F3E" w:rsidRPr="00617F3E" w:rsidRDefault="00617F3E" w:rsidP="00617F3E">
            <w:pPr>
              <w:pStyle w:val="Tabletext"/>
            </w:pPr>
            <w:r w:rsidRPr="00617F3E">
              <w:t>28</w:t>
            </w:r>
          </w:p>
        </w:tc>
        <w:tc>
          <w:tcPr>
            <w:tcW w:w="966" w:type="pct"/>
            <w:tcBorders>
              <w:top w:val="single" w:sz="4" w:space="0" w:color="auto"/>
              <w:bottom w:val="single" w:sz="4" w:space="0" w:color="auto"/>
            </w:tcBorders>
            <w:shd w:val="clear" w:color="auto" w:fill="auto"/>
            <w:vAlign w:val="bottom"/>
          </w:tcPr>
          <w:p w14:paraId="3A6B9D76" w14:textId="77777777" w:rsidR="00617F3E" w:rsidRPr="00617F3E" w:rsidRDefault="00617F3E" w:rsidP="00617F3E">
            <w:pPr>
              <w:pStyle w:val="Tabletext"/>
            </w:pPr>
            <w:r w:rsidRPr="00617F3E">
              <w:t>30</w:t>
            </w:r>
            <w:r w:rsidR="00D7157D">
              <w:t>.</w:t>
            </w:r>
            <w:r w:rsidRPr="00617F3E">
              <w:t>9233</w:t>
            </w:r>
          </w:p>
        </w:tc>
        <w:tc>
          <w:tcPr>
            <w:tcW w:w="966" w:type="pct"/>
            <w:tcBorders>
              <w:top w:val="single" w:sz="4" w:space="0" w:color="auto"/>
              <w:bottom w:val="single" w:sz="4" w:space="0" w:color="auto"/>
            </w:tcBorders>
            <w:shd w:val="clear" w:color="auto" w:fill="auto"/>
            <w:vAlign w:val="bottom"/>
          </w:tcPr>
          <w:p w14:paraId="4D847DC6" w14:textId="77777777" w:rsidR="00617F3E" w:rsidRPr="00617F3E" w:rsidRDefault="00617F3E" w:rsidP="00617F3E">
            <w:pPr>
              <w:pStyle w:val="Tabletext"/>
            </w:pPr>
            <w:r w:rsidRPr="00617F3E">
              <w:t>4</w:t>
            </w:r>
            <w:r w:rsidR="00D7157D">
              <w:t>.</w:t>
            </w:r>
            <w:r w:rsidRPr="00617F3E">
              <w:t>4329</w:t>
            </w:r>
          </w:p>
        </w:tc>
        <w:tc>
          <w:tcPr>
            <w:tcW w:w="966" w:type="pct"/>
            <w:tcBorders>
              <w:top w:val="single" w:sz="4" w:space="0" w:color="auto"/>
              <w:bottom w:val="single" w:sz="4" w:space="0" w:color="auto"/>
            </w:tcBorders>
            <w:shd w:val="clear" w:color="auto" w:fill="auto"/>
            <w:vAlign w:val="bottom"/>
          </w:tcPr>
          <w:p w14:paraId="6EDA00D3" w14:textId="77777777" w:rsidR="00617F3E" w:rsidRPr="00617F3E" w:rsidRDefault="00617F3E" w:rsidP="00617F3E">
            <w:pPr>
              <w:pStyle w:val="Tabletext"/>
            </w:pPr>
            <w:r w:rsidRPr="00617F3E">
              <w:t>32</w:t>
            </w:r>
            <w:r w:rsidR="00D7157D">
              <w:t>.</w:t>
            </w:r>
            <w:r w:rsidRPr="00617F3E">
              <w:t>6739</w:t>
            </w:r>
          </w:p>
        </w:tc>
        <w:tc>
          <w:tcPr>
            <w:tcW w:w="966" w:type="pct"/>
            <w:tcBorders>
              <w:top w:val="single" w:sz="4" w:space="0" w:color="auto"/>
              <w:bottom w:val="single" w:sz="4" w:space="0" w:color="auto"/>
              <w:right w:val="nil"/>
            </w:tcBorders>
            <w:shd w:val="clear" w:color="auto" w:fill="auto"/>
            <w:vAlign w:val="bottom"/>
          </w:tcPr>
          <w:p w14:paraId="3C5E8E12" w14:textId="77777777" w:rsidR="00617F3E" w:rsidRPr="00617F3E" w:rsidRDefault="00617F3E" w:rsidP="00617F3E">
            <w:pPr>
              <w:pStyle w:val="Tabletext"/>
            </w:pPr>
            <w:r w:rsidRPr="00617F3E">
              <w:t>2</w:t>
            </w:r>
            <w:r w:rsidR="00D7157D">
              <w:t>.</w:t>
            </w:r>
            <w:r w:rsidRPr="00617F3E">
              <w:t>1017</w:t>
            </w:r>
          </w:p>
        </w:tc>
      </w:tr>
      <w:tr w:rsidR="00617F3E" w:rsidRPr="00617F3E" w14:paraId="4E9652D4" w14:textId="77777777" w:rsidTr="00617F3E">
        <w:trPr>
          <w:cantSplit/>
        </w:trPr>
        <w:tc>
          <w:tcPr>
            <w:tcW w:w="1136" w:type="pct"/>
            <w:tcBorders>
              <w:top w:val="single" w:sz="4" w:space="0" w:color="auto"/>
              <w:bottom w:val="single" w:sz="4" w:space="0" w:color="auto"/>
            </w:tcBorders>
          </w:tcPr>
          <w:p w14:paraId="66322E2F" w14:textId="77777777" w:rsidR="00617F3E" w:rsidRPr="00617F3E" w:rsidRDefault="00617F3E" w:rsidP="00617F3E">
            <w:pPr>
              <w:pStyle w:val="Tabletext"/>
            </w:pPr>
            <w:r w:rsidRPr="00617F3E">
              <w:t>29</w:t>
            </w:r>
          </w:p>
        </w:tc>
        <w:tc>
          <w:tcPr>
            <w:tcW w:w="966" w:type="pct"/>
            <w:tcBorders>
              <w:top w:val="single" w:sz="4" w:space="0" w:color="auto"/>
              <w:bottom w:val="single" w:sz="4" w:space="0" w:color="auto"/>
            </w:tcBorders>
            <w:shd w:val="clear" w:color="auto" w:fill="auto"/>
            <w:vAlign w:val="bottom"/>
          </w:tcPr>
          <w:p w14:paraId="2E22AA5A" w14:textId="77777777" w:rsidR="00617F3E" w:rsidRPr="00617F3E" w:rsidRDefault="00617F3E" w:rsidP="00617F3E">
            <w:pPr>
              <w:pStyle w:val="Tabletext"/>
            </w:pPr>
            <w:r w:rsidRPr="00617F3E">
              <w:t>30</w:t>
            </w:r>
            <w:r w:rsidR="00D7157D">
              <w:t>.</w:t>
            </w:r>
            <w:r w:rsidRPr="00617F3E">
              <w:t>5718</w:t>
            </w:r>
          </w:p>
        </w:tc>
        <w:tc>
          <w:tcPr>
            <w:tcW w:w="966" w:type="pct"/>
            <w:tcBorders>
              <w:top w:val="single" w:sz="4" w:space="0" w:color="auto"/>
              <w:bottom w:val="single" w:sz="4" w:space="0" w:color="auto"/>
            </w:tcBorders>
            <w:shd w:val="clear" w:color="auto" w:fill="auto"/>
            <w:vAlign w:val="bottom"/>
          </w:tcPr>
          <w:p w14:paraId="02EDFA0B" w14:textId="77777777" w:rsidR="00617F3E" w:rsidRPr="00617F3E" w:rsidRDefault="00617F3E" w:rsidP="00617F3E">
            <w:pPr>
              <w:pStyle w:val="Tabletext"/>
            </w:pPr>
            <w:r w:rsidRPr="00617F3E">
              <w:t>4</w:t>
            </w:r>
            <w:r w:rsidR="00D7157D">
              <w:t>.</w:t>
            </w:r>
            <w:r w:rsidRPr="00617F3E">
              <w:t>4753</w:t>
            </w:r>
          </w:p>
        </w:tc>
        <w:tc>
          <w:tcPr>
            <w:tcW w:w="966" w:type="pct"/>
            <w:tcBorders>
              <w:top w:val="single" w:sz="4" w:space="0" w:color="auto"/>
              <w:bottom w:val="single" w:sz="4" w:space="0" w:color="auto"/>
            </w:tcBorders>
            <w:shd w:val="clear" w:color="auto" w:fill="auto"/>
            <w:vAlign w:val="bottom"/>
          </w:tcPr>
          <w:p w14:paraId="7E9E2613" w14:textId="77777777" w:rsidR="00617F3E" w:rsidRPr="00617F3E" w:rsidRDefault="00617F3E" w:rsidP="00617F3E">
            <w:pPr>
              <w:pStyle w:val="Tabletext"/>
            </w:pPr>
            <w:r w:rsidRPr="00617F3E">
              <w:t>32</w:t>
            </w:r>
            <w:r w:rsidR="00D7157D">
              <w:t>.</w:t>
            </w:r>
            <w:r w:rsidRPr="00617F3E">
              <w:t>3344</w:t>
            </w:r>
          </w:p>
        </w:tc>
        <w:tc>
          <w:tcPr>
            <w:tcW w:w="966" w:type="pct"/>
            <w:tcBorders>
              <w:top w:val="single" w:sz="4" w:space="0" w:color="auto"/>
              <w:bottom w:val="single" w:sz="4" w:space="0" w:color="auto"/>
              <w:right w:val="nil"/>
            </w:tcBorders>
            <w:shd w:val="clear" w:color="auto" w:fill="auto"/>
            <w:vAlign w:val="bottom"/>
          </w:tcPr>
          <w:p w14:paraId="14279BF2" w14:textId="77777777" w:rsidR="00617F3E" w:rsidRPr="00617F3E" w:rsidRDefault="00617F3E" w:rsidP="00617F3E">
            <w:pPr>
              <w:pStyle w:val="Tabletext"/>
            </w:pPr>
            <w:r w:rsidRPr="00617F3E">
              <w:t>2</w:t>
            </w:r>
            <w:r w:rsidR="00D7157D">
              <w:t>.</w:t>
            </w:r>
            <w:r w:rsidRPr="00617F3E">
              <w:t>1191</w:t>
            </w:r>
          </w:p>
        </w:tc>
      </w:tr>
      <w:tr w:rsidR="00617F3E" w:rsidRPr="00617F3E" w14:paraId="74AC7BBE" w14:textId="77777777" w:rsidTr="00617F3E">
        <w:trPr>
          <w:cantSplit/>
        </w:trPr>
        <w:tc>
          <w:tcPr>
            <w:tcW w:w="1136" w:type="pct"/>
            <w:tcBorders>
              <w:top w:val="single" w:sz="4" w:space="0" w:color="auto"/>
              <w:bottom w:val="single" w:sz="4" w:space="0" w:color="auto"/>
            </w:tcBorders>
          </w:tcPr>
          <w:p w14:paraId="77F46687" w14:textId="77777777" w:rsidR="00617F3E" w:rsidRPr="00617F3E" w:rsidRDefault="00617F3E" w:rsidP="00617F3E">
            <w:pPr>
              <w:pStyle w:val="Tabletext"/>
            </w:pPr>
            <w:r w:rsidRPr="00617F3E">
              <w:t>30</w:t>
            </w:r>
          </w:p>
        </w:tc>
        <w:tc>
          <w:tcPr>
            <w:tcW w:w="966" w:type="pct"/>
            <w:tcBorders>
              <w:top w:val="single" w:sz="4" w:space="0" w:color="auto"/>
              <w:bottom w:val="single" w:sz="4" w:space="0" w:color="auto"/>
            </w:tcBorders>
            <w:shd w:val="clear" w:color="auto" w:fill="auto"/>
            <w:vAlign w:val="bottom"/>
          </w:tcPr>
          <w:p w14:paraId="760E4F3D" w14:textId="77777777" w:rsidR="00617F3E" w:rsidRPr="00617F3E" w:rsidRDefault="00617F3E" w:rsidP="00617F3E">
            <w:pPr>
              <w:pStyle w:val="Tabletext"/>
            </w:pPr>
            <w:r w:rsidRPr="00617F3E">
              <w:t>30</w:t>
            </w:r>
            <w:r w:rsidR="00D7157D">
              <w:t>.</w:t>
            </w:r>
            <w:r w:rsidRPr="00617F3E">
              <w:t>2129</w:t>
            </w:r>
          </w:p>
        </w:tc>
        <w:tc>
          <w:tcPr>
            <w:tcW w:w="966" w:type="pct"/>
            <w:tcBorders>
              <w:top w:val="single" w:sz="4" w:space="0" w:color="auto"/>
              <w:bottom w:val="single" w:sz="4" w:space="0" w:color="auto"/>
            </w:tcBorders>
            <w:shd w:val="clear" w:color="auto" w:fill="auto"/>
            <w:vAlign w:val="bottom"/>
          </w:tcPr>
          <w:p w14:paraId="1E02BD4A" w14:textId="77777777" w:rsidR="00617F3E" w:rsidRPr="00617F3E" w:rsidRDefault="00617F3E" w:rsidP="00617F3E">
            <w:pPr>
              <w:pStyle w:val="Tabletext"/>
            </w:pPr>
            <w:r w:rsidRPr="00617F3E">
              <w:t>4</w:t>
            </w:r>
            <w:r w:rsidR="00D7157D">
              <w:t>.</w:t>
            </w:r>
            <w:r w:rsidRPr="00617F3E">
              <w:t>5188</w:t>
            </w:r>
          </w:p>
        </w:tc>
        <w:tc>
          <w:tcPr>
            <w:tcW w:w="966" w:type="pct"/>
            <w:tcBorders>
              <w:top w:val="single" w:sz="4" w:space="0" w:color="auto"/>
              <w:bottom w:val="single" w:sz="4" w:space="0" w:color="auto"/>
            </w:tcBorders>
            <w:shd w:val="clear" w:color="auto" w:fill="auto"/>
            <w:vAlign w:val="bottom"/>
          </w:tcPr>
          <w:p w14:paraId="6A248989" w14:textId="77777777" w:rsidR="00617F3E" w:rsidRPr="00617F3E" w:rsidRDefault="00617F3E" w:rsidP="00617F3E">
            <w:pPr>
              <w:pStyle w:val="Tabletext"/>
            </w:pPr>
            <w:r w:rsidRPr="00617F3E">
              <w:t>31</w:t>
            </w:r>
            <w:r w:rsidR="00D7157D">
              <w:t>.</w:t>
            </w:r>
            <w:r w:rsidRPr="00617F3E">
              <w:t>9879</w:t>
            </w:r>
          </w:p>
        </w:tc>
        <w:tc>
          <w:tcPr>
            <w:tcW w:w="966" w:type="pct"/>
            <w:tcBorders>
              <w:top w:val="single" w:sz="4" w:space="0" w:color="auto"/>
              <w:bottom w:val="single" w:sz="4" w:space="0" w:color="auto"/>
              <w:right w:val="nil"/>
            </w:tcBorders>
            <w:shd w:val="clear" w:color="auto" w:fill="auto"/>
            <w:vAlign w:val="bottom"/>
          </w:tcPr>
          <w:p w14:paraId="16BD3BD1" w14:textId="77777777" w:rsidR="00617F3E" w:rsidRPr="00617F3E" w:rsidRDefault="00617F3E" w:rsidP="00617F3E">
            <w:pPr>
              <w:pStyle w:val="Tabletext"/>
            </w:pPr>
            <w:r w:rsidRPr="00617F3E">
              <w:t>2</w:t>
            </w:r>
            <w:r w:rsidR="00D7157D">
              <w:t>.</w:t>
            </w:r>
            <w:r w:rsidRPr="00617F3E">
              <w:t>1371</w:t>
            </w:r>
          </w:p>
        </w:tc>
      </w:tr>
      <w:tr w:rsidR="00617F3E" w:rsidRPr="00617F3E" w14:paraId="5AB2A571" w14:textId="77777777" w:rsidTr="00617F3E">
        <w:trPr>
          <w:cantSplit/>
        </w:trPr>
        <w:tc>
          <w:tcPr>
            <w:tcW w:w="1136" w:type="pct"/>
            <w:tcBorders>
              <w:top w:val="single" w:sz="4" w:space="0" w:color="auto"/>
              <w:bottom w:val="single" w:sz="4" w:space="0" w:color="auto"/>
            </w:tcBorders>
          </w:tcPr>
          <w:p w14:paraId="1814186B" w14:textId="77777777" w:rsidR="00617F3E" w:rsidRPr="00617F3E" w:rsidRDefault="00617F3E" w:rsidP="00617F3E">
            <w:pPr>
              <w:pStyle w:val="Tabletext"/>
            </w:pPr>
            <w:r w:rsidRPr="00617F3E">
              <w:t>31</w:t>
            </w:r>
          </w:p>
        </w:tc>
        <w:tc>
          <w:tcPr>
            <w:tcW w:w="966" w:type="pct"/>
            <w:tcBorders>
              <w:top w:val="single" w:sz="4" w:space="0" w:color="auto"/>
              <w:bottom w:val="single" w:sz="4" w:space="0" w:color="auto"/>
            </w:tcBorders>
            <w:shd w:val="clear" w:color="auto" w:fill="auto"/>
            <w:vAlign w:val="bottom"/>
          </w:tcPr>
          <w:p w14:paraId="55F98607" w14:textId="77777777" w:rsidR="00617F3E" w:rsidRPr="00617F3E" w:rsidRDefault="00617F3E" w:rsidP="00617F3E">
            <w:pPr>
              <w:pStyle w:val="Tabletext"/>
            </w:pPr>
            <w:r w:rsidRPr="00617F3E">
              <w:t>29</w:t>
            </w:r>
            <w:r w:rsidR="00D7157D">
              <w:t>.</w:t>
            </w:r>
            <w:r w:rsidRPr="00617F3E">
              <w:t>8484</w:t>
            </w:r>
          </w:p>
        </w:tc>
        <w:tc>
          <w:tcPr>
            <w:tcW w:w="966" w:type="pct"/>
            <w:tcBorders>
              <w:top w:val="single" w:sz="4" w:space="0" w:color="auto"/>
              <w:bottom w:val="single" w:sz="4" w:space="0" w:color="auto"/>
            </w:tcBorders>
            <w:shd w:val="clear" w:color="auto" w:fill="auto"/>
            <w:vAlign w:val="bottom"/>
          </w:tcPr>
          <w:p w14:paraId="6097AD7B" w14:textId="77777777" w:rsidR="00617F3E" w:rsidRPr="00617F3E" w:rsidRDefault="00617F3E" w:rsidP="00617F3E">
            <w:pPr>
              <w:pStyle w:val="Tabletext"/>
            </w:pPr>
            <w:r w:rsidRPr="00617F3E">
              <w:t>4</w:t>
            </w:r>
            <w:r w:rsidR="00D7157D">
              <w:t>.</w:t>
            </w:r>
            <w:r w:rsidRPr="00617F3E">
              <w:t>5623</w:t>
            </w:r>
          </w:p>
        </w:tc>
        <w:tc>
          <w:tcPr>
            <w:tcW w:w="966" w:type="pct"/>
            <w:tcBorders>
              <w:top w:val="single" w:sz="4" w:space="0" w:color="auto"/>
              <w:bottom w:val="single" w:sz="4" w:space="0" w:color="auto"/>
            </w:tcBorders>
            <w:shd w:val="clear" w:color="auto" w:fill="auto"/>
            <w:vAlign w:val="bottom"/>
          </w:tcPr>
          <w:p w14:paraId="35E739F3" w14:textId="77777777" w:rsidR="00617F3E" w:rsidRPr="00617F3E" w:rsidRDefault="00617F3E" w:rsidP="00617F3E">
            <w:pPr>
              <w:pStyle w:val="Tabletext"/>
            </w:pPr>
            <w:r w:rsidRPr="00617F3E">
              <w:t>31</w:t>
            </w:r>
            <w:r w:rsidR="00D7157D">
              <w:t>.</w:t>
            </w:r>
            <w:r w:rsidRPr="00617F3E">
              <w:t>6356</w:t>
            </w:r>
          </w:p>
        </w:tc>
        <w:tc>
          <w:tcPr>
            <w:tcW w:w="966" w:type="pct"/>
            <w:tcBorders>
              <w:top w:val="single" w:sz="4" w:space="0" w:color="auto"/>
              <w:bottom w:val="single" w:sz="4" w:space="0" w:color="auto"/>
              <w:right w:val="nil"/>
            </w:tcBorders>
            <w:shd w:val="clear" w:color="auto" w:fill="auto"/>
            <w:vAlign w:val="bottom"/>
          </w:tcPr>
          <w:p w14:paraId="02A6F932" w14:textId="77777777" w:rsidR="00617F3E" w:rsidRPr="00617F3E" w:rsidRDefault="00617F3E" w:rsidP="00617F3E">
            <w:pPr>
              <w:pStyle w:val="Tabletext"/>
            </w:pPr>
            <w:r w:rsidRPr="00617F3E">
              <w:t>2</w:t>
            </w:r>
            <w:r w:rsidR="00D7157D">
              <w:t>.</w:t>
            </w:r>
            <w:r w:rsidRPr="00617F3E">
              <w:t>1549</w:t>
            </w:r>
          </w:p>
        </w:tc>
      </w:tr>
      <w:tr w:rsidR="00617F3E" w:rsidRPr="00617F3E" w14:paraId="3374D213" w14:textId="77777777" w:rsidTr="00617F3E">
        <w:trPr>
          <w:cantSplit/>
        </w:trPr>
        <w:tc>
          <w:tcPr>
            <w:tcW w:w="1136" w:type="pct"/>
            <w:tcBorders>
              <w:top w:val="single" w:sz="4" w:space="0" w:color="auto"/>
              <w:bottom w:val="single" w:sz="4" w:space="0" w:color="auto"/>
            </w:tcBorders>
          </w:tcPr>
          <w:p w14:paraId="1281B553" w14:textId="77777777" w:rsidR="00617F3E" w:rsidRPr="00617F3E" w:rsidRDefault="00617F3E" w:rsidP="00617F3E">
            <w:pPr>
              <w:pStyle w:val="Tabletext"/>
            </w:pPr>
            <w:r w:rsidRPr="00617F3E">
              <w:t>32</w:t>
            </w:r>
          </w:p>
        </w:tc>
        <w:tc>
          <w:tcPr>
            <w:tcW w:w="966" w:type="pct"/>
            <w:tcBorders>
              <w:top w:val="single" w:sz="4" w:space="0" w:color="auto"/>
              <w:bottom w:val="single" w:sz="4" w:space="0" w:color="auto"/>
            </w:tcBorders>
            <w:shd w:val="clear" w:color="auto" w:fill="auto"/>
            <w:vAlign w:val="bottom"/>
          </w:tcPr>
          <w:p w14:paraId="1515F065" w14:textId="77777777" w:rsidR="00617F3E" w:rsidRPr="00617F3E" w:rsidRDefault="00617F3E" w:rsidP="00617F3E">
            <w:pPr>
              <w:pStyle w:val="Tabletext"/>
            </w:pPr>
            <w:r w:rsidRPr="00617F3E">
              <w:t>29</w:t>
            </w:r>
            <w:r w:rsidR="00D7157D">
              <w:t>.</w:t>
            </w:r>
            <w:r w:rsidRPr="00617F3E">
              <w:t>4785</w:t>
            </w:r>
          </w:p>
        </w:tc>
        <w:tc>
          <w:tcPr>
            <w:tcW w:w="966" w:type="pct"/>
            <w:tcBorders>
              <w:top w:val="single" w:sz="4" w:space="0" w:color="auto"/>
              <w:bottom w:val="single" w:sz="4" w:space="0" w:color="auto"/>
            </w:tcBorders>
            <w:shd w:val="clear" w:color="auto" w:fill="auto"/>
            <w:vAlign w:val="bottom"/>
          </w:tcPr>
          <w:p w14:paraId="05B411DC" w14:textId="77777777" w:rsidR="00617F3E" w:rsidRPr="00617F3E" w:rsidRDefault="00617F3E" w:rsidP="00617F3E">
            <w:pPr>
              <w:pStyle w:val="Tabletext"/>
            </w:pPr>
            <w:r w:rsidRPr="00617F3E">
              <w:t>4</w:t>
            </w:r>
            <w:r w:rsidR="00D7157D">
              <w:t>.</w:t>
            </w:r>
            <w:r w:rsidRPr="00617F3E">
              <w:t>6055</w:t>
            </w:r>
          </w:p>
        </w:tc>
        <w:tc>
          <w:tcPr>
            <w:tcW w:w="966" w:type="pct"/>
            <w:tcBorders>
              <w:top w:val="single" w:sz="4" w:space="0" w:color="auto"/>
              <w:bottom w:val="single" w:sz="4" w:space="0" w:color="auto"/>
            </w:tcBorders>
            <w:shd w:val="clear" w:color="auto" w:fill="auto"/>
            <w:vAlign w:val="bottom"/>
          </w:tcPr>
          <w:p w14:paraId="681DDD1E" w14:textId="77777777" w:rsidR="00617F3E" w:rsidRPr="00617F3E" w:rsidRDefault="00617F3E" w:rsidP="00617F3E">
            <w:pPr>
              <w:pStyle w:val="Tabletext"/>
            </w:pPr>
            <w:r w:rsidRPr="00617F3E">
              <w:t>31</w:t>
            </w:r>
            <w:r w:rsidR="00D7157D">
              <w:t>.</w:t>
            </w:r>
            <w:r w:rsidRPr="00617F3E">
              <w:t>2777</w:t>
            </w:r>
          </w:p>
        </w:tc>
        <w:tc>
          <w:tcPr>
            <w:tcW w:w="966" w:type="pct"/>
            <w:tcBorders>
              <w:top w:val="single" w:sz="4" w:space="0" w:color="auto"/>
              <w:bottom w:val="single" w:sz="4" w:space="0" w:color="auto"/>
              <w:right w:val="nil"/>
            </w:tcBorders>
            <w:shd w:val="clear" w:color="auto" w:fill="auto"/>
            <w:vAlign w:val="bottom"/>
          </w:tcPr>
          <w:p w14:paraId="5CB8AA94" w14:textId="77777777" w:rsidR="00617F3E" w:rsidRPr="00617F3E" w:rsidRDefault="00617F3E" w:rsidP="00617F3E">
            <w:pPr>
              <w:pStyle w:val="Tabletext"/>
            </w:pPr>
            <w:r w:rsidRPr="00617F3E">
              <w:t>2</w:t>
            </w:r>
            <w:r w:rsidR="00D7157D">
              <w:t>.</w:t>
            </w:r>
            <w:r w:rsidRPr="00617F3E">
              <w:t>1726</w:t>
            </w:r>
          </w:p>
        </w:tc>
      </w:tr>
      <w:tr w:rsidR="00617F3E" w:rsidRPr="00617F3E" w14:paraId="2BB879D6" w14:textId="77777777" w:rsidTr="00617F3E">
        <w:trPr>
          <w:cantSplit/>
        </w:trPr>
        <w:tc>
          <w:tcPr>
            <w:tcW w:w="1136" w:type="pct"/>
            <w:tcBorders>
              <w:top w:val="single" w:sz="4" w:space="0" w:color="auto"/>
              <w:bottom w:val="single" w:sz="4" w:space="0" w:color="auto"/>
            </w:tcBorders>
          </w:tcPr>
          <w:p w14:paraId="23ABE25E" w14:textId="77777777" w:rsidR="00617F3E" w:rsidRPr="00617F3E" w:rsidRDefault="00617F3E" w:rsidP="00617F3E">
            <w:pPr>
              <w:pStyle w:val="Tabletext"/>
            </w:pPr>
            <w:r w:rsidRPr="00617F3E">
              <w:t>33</w:t>
            </w:r>
          </w:p>
        </w:tc>
        <w:tc>
          <w:tcPr>
            <w:tcW w:w="966" w:type="pct"/>
            <w:tcBorders>
              <w:top w:val="single" w:sz="4" w:space="0" w:color="auto"/>
              <w:bottom w:val="single" w:sz="4" w:space="0" w:color="auto"/>
            </w:tcBorders>
            <w:shd w:val="clear" w:color="auto" w:fill="auto"/>
            <w:vAlign w:val="bottom"/>
          </w:tcPr>
          <w:p w14:paraId="14180439" w14:textId="77777777" w:rsidR="00617F3E" w:rsidRPr="00617F3E" w:rsidRDefault="00617F3E" w:rsidP="00617F3E">
            <w:pPr>
              <w:pStyle w:val="Tabletext"/>
            </w:pPr>
            <w:r w:rsidRPr="00617F3E">
              <w:t>29</w:t>
            </w:r>
            <w:r w:rsidR="00D7157D">
              <w:t>.</w:t>
            </w:r>
            <w:r w:rsidRPr="00617F3E">
              <w:t>1031</w:t>
            </w:r>
          </w:p>
        </w:tc>
        <w:tc>
          <w:tcPr>
            <w:tcW w:w="966" w:type="pct"/>
            <w:tcBorders>
              <w:top w:val="single" w:sz="4" w:space="0" w:color="auto"/>
              <w:bottom w:val="single" w:sz="4" w:space="0" w:color="auto"/>
            </w:tcBorders>
            <w:shd w:val="clear" w:color="auto" w:fill="auto"/>
            <w:vAlign w:val="bottom"/>
          </w:tcPr>
          <w:p w14:paraId="7866AA89" w14:textId="77777777" w:rsidR="00617F3E" w:rsidRPr="00617F3E" w:rsidRDefault="00617F3E" w:rsidP="00617F3E">
            <w:pPr>
              <w:pStyle w:val="Tabletext"/>
            </w:pPr>
            <w:r w:rsidRPr="00617F3E">
              <w:t>4</w:t>
            </w:r>
            <w:r w:rsidR="00D7157D">
              <w:t>.</w:t>
            </w:r>
            <w:r w:rsidRPr="00617F3E">
              <w:t>6486</w:t>
            </w:r>
          </w:p>
        </w:tc>
        <w:tc>
          <w:tcPr>
            <w:tcW w:w="966" w:type="pct"/>
            <w:tcBorders>
              <w:top w:val="single" w:sz="4" w:space="0" w:color="auto"/>
              <w:bottom w:val="single" w:sz="4" w:space="0" w:color="auto"/>
            </w:tcBorders>
            <w:shd w:val="clear" w:color="auto" w:fill="auto"/>
            <w:vAlign w:val="bottom"/>
          </w:tcPr>
          <w:p w14:paraId="15A953F1" w14:textId="77777777" w:rsidR="00617F3E" w:rsidRPr="00617F3E" w:rsidRDefault="00617F3E" w:rsidP="00617F3E">
            <w:pPr>
              <w:pStyle w:val="Tabletext"/>
            </w:pPr>
            <w:r w:rsidRPr="00617F3E">
              <w:t>30</w:t>
            </w:r>
            <w:r w:rsidR="00D7157D">
              <w:t>.</w:t>
            </w:r>
            <w:r w:rsidRPr="00617F3E">
              <w:t>9139</w:t>
            </w:r>
          </w:p>
        </w:tc>
        <w:tc>
          <w:tcPr>
            <w:tcW w:w="966" w:type="pct"/>
            <w:tcBorders>
              <w:top w:val="single" w:sz="4" w:space="0" w:color="auto"/>
              <w:bottom w:val="single" w:sz="4" w:space="0" w:color="auto"/>
              <w:right w:val="nil"/>
            </w:tcBorders>
            <w:shd w:val="clear" w:color="auto" w:fill="auto"/>
            <w:vAlign w:val="bottom"/>
          </w:tcPr>
          <w:p w14:paraId="1C05F5EE" w14:textId="77777777" w:rsidR="00617F3E" w:rsidRPr="00617F3E" w:rsidRDefault="00617F3E" w:rsidP="00617F3E">
            <w:pPr>
              <w:pStyle w:val="Tabletext"/>
            </w:pPr>
            <w:r w:rsidRPr="00617F3E">
              <w:t>2</w:t>
            </w:r>
            <w:r w:rsidR="00D7157D">
              <w:t>.</w:t>
            </w:r>
            <w:r w:rsidRPr="00617F3E">
              <w:t>1901</w:t>
            </w:r>
          </w:p>
        </w:tc>
      </w:tr>
      <w:tr w:rsidR="00617F3E" w:rsidRPr="00617F3E" w14:paraId="59072F06" w14:textId="77777777" w:rsidTr="00617F3E">
        <w:trPr>
          <w:cantSplit/>
        </w:trPr>
        <w:tc>
          <w:tcPr>
            <w:tcW w:w="1136" w:type="pct"/>
            <w:tcBorders>
              <w:top w:val="single" w:sz="4" w:space="0" w:color="auto"/>
              <w:bottom w:val="single" w:sz="4" w:space="0" w:color="auto"/>
            </w:tcBorders>
          </w:tcPr>
          <w:p w14:paraId="5F26E06E" w14:textId="77777777" w:rsidR="00617F3E" w:rsidRPr="00617F3E" w:rsidRDefault="00617F3E" w:rsidP="00617F3E">
            <w:pPr>
              <w:pStyle w:val="Tabletext"/>
            </w:pPr>
            <w:r w:rsidRPr="00617F3E">
              <w:t>34</w:t>
            </w:r>
          </w:p>
        </w:tc>
        <w:tc>
          <w:tcPr>
            <w:tcW w:w="966" w:type="pct"/>
            <w:tcBorders>
              <w:top w:val="single" w:sz="4" w:space="0" w:color="auto"/>
              <w:bottom w:val="single" w:sz="4" w:space="0" w:color="auto"/>
            </w:tcBorders>
            <w:shd w:val="clear" w:color="auto" w:fill="auto"/>
            <w:vAlign w:val="bottom"/>
          </w:tcPr>
          <w:p w14:paraId="717CC60F" w14:textId="77777777" w:rsidR="00617F3E" w:rsidRPr="00617F3E" w:rsidRDefault="00617F3E" w:rsidP="00617F3E">
            <w:pPr>
              <w:pStyle w:val="Tabletext"/>
            </w:pPr>
            <w:r w:rsidRPr="00617F3E">
              <w:t>28</w:t>
            </w:r>
            <w:r w:rsidR="00D7157D">
              <w:t>.</w:t>
            </w:r>
            <w:r w:rsidRPr="00617F3E">
              <w:t>7219</w:t>
            </w:r>
          </w:p>
        </w:tc>
        <w:tc>
          <w:tcPr>
            <w:tcW w:w="966" w:type="pct"/>
            <w:tcBorders>
              <w:top w:val="single" w:sz="4" w:space="0" w:color="auto"/>
              <w:bottom w:val="single" w:sz="4" w:space="0" w:color="auto"/>
            </w:tcBorders>
            <w:shd w:val="clear" w:color="auto" w:fill="auto"/>
            <w:vAlign w:val="bottom"/>
          </w:tcPr>
          <w:p w14:paraId="5AC70F14" w14:textId="77777777" w:rsidR="00617F3E" w:rsidRPr="00617F3E" w:rsidRDefault="00617F3E" w:rsidP="00617F3E">
            <w:pPr>
              <w:pStyle w:val="Tabletext"/>
            </w:pPr>
            <w:r w:rsidRPr="00617F3E">
              <w:t>4</w:t>
            </w:r>
            <w:r w:rsidR="00D7157D">
              <w:t>.</w:t>
            </w:r>
            <w:r w:rsidRPr="00617F3E">
              <w:t>6916</w:t>
            </w:r>
          </w:p>
        </w:tc>
        <w:tc>
          <w:tcPr>
            <w:tcW w:w="966" w:type="pct"/>
            <w:tcBorders>
              <w:top w:val="single" w:sz="4" w:space="0" w:color="auto"/>
              <w:bottom w:val="single" w:sz="4" w:space="0" w:color="auto"/>
            </w:tcBorders>
            <w:shd w:val="clear" w:color="auto" w:fill="auto"/>
            <w:vAlign w:val="bottom"/>
          </w:tcPr>
          <w:p w14:paraId="219A662F" w14:textId="77777777" w:rsidR="00617F3E" w:rsidRPr="00617F3E" w:rsidRDefault="00617F3E" w:rsidP="00617F3E">
            <w:pPr>
              <w:pStyle w:val="Tabletext"/>
            </w:pPr>
            <w:r w:rsidRPr="00617F3E">
              <w:t>30</w:t>
            </w:r>
            <w:r w:rsidR="00D7157D">
              <w:t>.</w:t>
            </w:r>
            <w:r w:rsidRPr="00617F3E">
              <w:t>5442</w:t>
            </w:r>
          </w:p>
        </w:tc>
        <w:tc>
          <w:tcPr>
            <w:tcW w:w="966" w:type="pct"/>
            <w:tcBorders>
              <w:top w:val="single" w:sz="4" w:space="0" w:color="auto"/>
              <w:bottom w:val="single" w:sz="4" w:space="0" w:color="auto"/>
              <w:right w:val="nil"/>
            </w:tcBorders>
            <w:shd w:val="clear" w:color="auto" w:fill="auto"/>
            <w:vAlign w:val="bottom"/>
          </w:tcPr>
          <w:p w14:paraId="3B4ECC7A" w14:textId="77777777" w:rsidR="00617F3E" w:rsidRPr="00617F3E" w:rsidRDefault="00617F3E" w:rsidP="00617F3E">
            <w:pPr>
              <w:pStyle w:val="Tabletext"/>
            </w:pPr>
            <w:r w:rsidRPr="00617F3E">
              <w:t>2</w:t>
            </w:r>
            <w:r w:rsidR="00D7157D">
              <w:t>.</w:t>
            </w:r>
            <w:r w:rsidRPr="00617F3E">
              <w:t>2074</w:t>
            </w:r>
          </w:p>
        </w:tc>
      </w:tr>
      <w:tr w:rsidR="00617F3E" w:rsidRPr="00617F3E" w14:paraId="18F6CB0D" w14:textId="77777777" w:rsidTr="00617F3E">
        <w:trPr>
          <w:cantSplit/>
        </w:trPr>
        <w:tc>
          <w:tcPr>
            <w:tcW w:w="1136" w:type="pct"/>
            <w:tcBorders>
              <w:top w:val="single" w:sz="4" w:space="0" w:color="auto"/>
              <w:bottom w:val="single" w:sz="4" w:space="0" w:color="auto"/>
            </w:tcBorders>
          </w:tcPr>
          <w:p w14:paraId="03A3D6B2" w14:textId="77777777" w:rsidR="00617F3E" w:rsidRPr="00617F3E" w:rsidRDefault="00617F3E" w:rsidP="00617F3E">
            <w:pPr>
              <w:pStyle w:val="Tabletext"/>
            </w:pPr>
            <w:r w:rsidRPr="00617F3E">
              <w:t>35</w:t>
            </w:r>
          </w:p>
        </w:tc>
        <w:tc>
          <w:tcPr>
            <w:tcW w:w="966" w:type="pct"/>
            <w:tcBorders>
              <w:top w:val="single" w:sz="4" w:space="0" w:color="auto"/>
              <w:bottom w:val="single" w:sz="4" w:space="0" w:color="auto"/>
            </w:tcBorders>
            <w:shd w:val="clear" w:color="auto" w:fill="auto"/>
            <w:vAlign w:val="bottom"/>
          </w:tcPr>
          <w:p w14:paraId="3F701227" w14:textId="77777777" w:rsidR="00617F3E" w:rsidRPr="00617F3E" w:rsidRDefault="00617F3E" w:rsidP="00617F3E">
            <w:pPr>
              <w:pStyle w:val="Tabletext"/>
            </w:pPr>
            <w:r w:rsidRPr="00617F3E">
              <w:t>28</w:t>
            </w:r>
            <w:r w:rsidR="00D7157D">
              <w:t>.</w:t>
            </w:r>
            <w:r w:rsidRPr="00617F3E">
              <w:t>3351</w:t>
            </w:r>
          </w:p>
        </w:tc>
        <w:tc>
          <w:tcPr>
            <w:tcW w:w="966" w:type="pct"/>
            <w:tcBorders>
              <w:top w:val="single" w:sz="4" w:space="0" w:color="auto"/>
              <w:bottom w:val="single" w:sz="4" w:space="0" w:color="auto"/>
            </w:tcBorders>
            <w:shd w:val="clear" w:color="auto" w:fill="auto"/>
            <w:vAlign w:val="bottom"/>
          </w:tcPr>
          <w:p w14:paraId="49753171" w14:textId="77777777" w:rsidR="00617F3E" w:rsidRPr="00617F3E" w:rsidRDefault="00617F3E" w:rsidP="00617F3E">
            <w:pPr>
              <w:pStyle w:val="Tabletext"/>
            </w:pPr>
            <w:r w:rsidRPr="00617F3E">
              <w:t>4</w:t>
            </w:r>
            <w:r w:rsidR="00D7157D">
              <w:t>.</w:t>
            </w:r>
            <w:r w:rsidRPr="00617F3E">
              <w:t>7343</w:t>
            </w:r>
          </w:p>
        </w:tc>
        <w:tc>
          <w:tcPr>
            <w:tcW w:w="966" w:type="pct"/>
            <w:tcBorders>
              <w:top w:val="single" w:sz="4" w:space="0" w:color="auto"/>
              <w:bottom w:val="single" w:sz="4" w:space="0" w:color="auto"/>
            </w:tcBorders>
            <w:shd w:val="clear" w:color="auto" w:fill="auto"/>
            <w:vAlign w:val="bottom"/>
          </w:tcPr>
          <w:p w14:paraId="2FF69CA2" w14:textId="77777777" w:rsidR="00617F3E" w:rsidRPr="00617F3E" w:rsidRDefault="00617F3E" w:rsidP="00617F3E">
            <w:pPr>
              <w:pStyle w:val="Tabletext"/>
            </w:pPr>
            <w:r w:rsidRPr="00617F3E">
              <w:t>30</w:t>
            </w:r>
            <w:r w:rsidR="00D7157D">
              <w:t>.</w:t>
            </w:r>
            <w:r w:rsidRPr="00617F3E">
              <w:t>1687</w:t>
            </w:r>
          </w:p>
        </w:tc>
        <w:tc>
          <w:tcPr>
            <w:tcW w:w="966" w:type="pct"/>
            <w:tcBorders>
              <w:top w:val="single" w:sz="4" w:space="0" w:color="auto"/>
              <w:bottom w:val="single" w:sz="4" w:space="0" w:color="auto"/>
              <w:right w:val="nil"/>
            </w:tcBorders>
            <w:shd w:val="clear" w:color="auto" w:fill="auto"/>
            <w:vAlign w:val="bottom"/>
          </w:tcPr>
          <w:p w14:paraId="22E3D1DD" w14:textId="77777777" w:rsidR="00617F3E" w:rsidRPr="00617F3E" w:rsidRDefault="00617F3E" w:rsidP="00617F3E">
            <w:pPr>
              <w:pStyle w:val="Tabletext"/>
            </w:pPr>
            <w:r w:rsidRPr="00617F3E">
              <w:t>2</w:t>
            </w:r>
            <w:r w:rsidR="00D7157D">
              <w:t>.</w:t>
            </w:r>
            <w:r w:rsidRPr="00617F3E">
              <w:t>2245</w:t>
            </w:r>
          </w:p>
        </w:tc>
      </w:tr>
      <w:tr w:rsidR="00617F3E" w:rsidRPr="00617F3E" w14:paraId="6F84329E" w14:textId="77777777" w:rsidTr="00617F3E">
        <w:trPr>
          <w:cantSplit/>
        </w:trPr>
        <w:tc>
          <w:tcPr>
            <w:tcW w:w="1136" w:type="pct"/>
            <w:tcBorders>
              <w:top w:val="single" w:sz="4" w:space="0" w:color="auto"/>
              <w:bottom w:val="single" w:sz="4" w:space="0" w:color="auto"/>
            </w:tcBorders>
          </w:tcPr>
          <w:p w14:paraId="4ED87B4D" w14:textId="77777777" w:rsidR="00617F3E" w:rsidRPr="00617F3E" w:rsidRDefault="00617F3E" w:rsidP="00617F3E">
            <w:pPr>
              <w:pStyle w:val="Tabletext"/>
            </w:pPr>
            <w:r w:rsidRPr="00617F3E">
              <w:t>36</w:t>
            </w:r>
          </w:p>
        </w:tc>
        <w:tc>
          <w:tcPr>
            <w:tcW w:w="966" w:type="pct"/>
            <w:tcBorders>
              <w:top w:val="single" w:sz="4" w:space="0" w:color="auto"/>
              <w:bottom w:val="single" w:sz="4" w:space="0" w:color="auto"/>
            </w:tcBorders>
            <w:shd w:val="clear" w:color="auto" w:fill="auto"/>
            <w:vAlign w:val="bottom"/>
          </w:tcPr>
          <w:p w14:paraId="61FF210C" w14:textId="77777777" w:rsidR="00617F3E" w:rsidRPr="00617F3E" w:rsidRDefault="00617F3E" w:rsidP="00617F3E">
            <w:pPr>
              <w:pStyle w:val="Tabletext"/>
            </w:pPr>
            <w:r w:rsidRPr="00617F3E">
              <w:t>27</w:t>
            </w:r>
            <w:r w:rsidR="00D7157D">
              <w:t>.</w:t>
            </w:r>
            <w:r w:rsidRPr="00617F3E">
              <w:t>9424</w:t>
            </w:r>
          </w:p>
        </w:tc>
        <w:tc>
          <w:tcPr>
            <w:tcW w:w="966" w:type="pct"/>
            <w:tcBorders>
              <w:top w:val="single" w:sz="4" w:space="0" w:color="auto"/>
              <w:bottom w:val="single" w:sz="4" w:space="0" w:color="auto"/>
            </w:tcBorders>
            <w:shd w:val="clear" w:color="auto" w:fill="auto"/>
            <w:vAlign w:val="bottom"/>
          </w:tcPr>
          <w:p w14:paraId="13A3AEAA" w14:textId="77777777" w:rsidR="00617F3E" w:rsidRPr="00617F3E" w:rsidRDefault="00617F3E" w:rsidP="00617F3E">
            <w:pPr>
              <w:pStyle w:val="Tabletext"/>
            </w:pPr>
            <w:r w:rsidRPr="00617F3E">
              <w:t>4</w:t>
            </w:r>
            <w:r w:rsidR="00D7157D">
              <w:t>.</w:t>
            </w:r>
            <w:r w:rsidRPr="00617F3E">
              <w:t>7768</w:t>
            </w:r>
          </w:p>
        </w:tc>
        <w:tc>
          <w:tcPr>
            <w:tcW w:w="966" w:type="pct"/>
            <w:tcBorders>
              <w:top w:val="single" w:sz="4" w:space="0" w:color="auto"/>
              <w:bottom w:val="single" w:sz="4" w:space="0" w:color="auto"/>
            </w:tcBorders>
            <w:shd w:val="clear" w:color="auto" w:fill="auto"/>
            <w:vAlign w:val="bottom"/>
          </w:tcPr>
          <w:p w14:paraId="0970796A" w14:textId="77777777" w:rsidR="00617F3E" w:rsidRPr="00617F3E" w:rsidRDefault="00617F3E" w:rsidP="00617F3E">
            <w:pPr>
              <w:pStyle w:val="Tabletext"/>
            </w:pPr>
            <w:r w:rsidRPr="00617F3E">
              <w:t>29</w:t>
            </w:r>
            <w:r w:rsidR="00D7157D">
              <w:t>.</w:t>
            </w:r>
            <w:r w:rsidRPr="00617F3E">
              <w:t>7868</w:t>
            </w:r>
          </w:p>
        </w:tc>
        <w:tc>
          <w:tcPr>
            <w:tcW w:w="966" w:type="pct"/>
            <w:tcBorders>
              <w:top w:val="single" w:sz="4" w:space="0" w:color="auto"/>
              <w:bottom w:val="single" w:sz="4" w:space="0" w:color="auto"/>
              <w:right w:val="nil"/>
            </w:tcBorders>
            <w:shd w:val="clear" w:color="auto" w:fill="auto"/>
            <w:vAlign w:val="bottom"/>
          </w:tcPr>
          <w:p w14:paraId="3AEEA030" w14:textId="77777777" w:rsidR="00617F3E" w:rsidRPr="00617F3E" w:rsidRDefault="00617F3E" w:rsidP="00617F3E">
            <w:pPr>
              <w:pStyle w:val="Tabletext"/>
            </w:pPr>
            <w:r w:rsidRPr="00617F3E">
              <w:t>2</w:t>
            </w:r>
            <w:r w:rsidR="00D7157D">
              <w:t>.</w:t>
            </w:r>
            <w:r w:rsidRPr="00617F3E">
              <w:t>2415</w:t>
            </w:r>
          </w:p>
        </w:tc>
      </w:tr>
      <w:tr w:rsidR="00617F3E" w:rsidRPr="00617F3E" w14:paraId="20B98151" w14:textId="77777777" w:rsidTr="00617F3E">
        <w:trPr>
          <w:cantSplit/>
        </w:trPr>
        <w:tc>
          <w:tcPr>
            <w:tcW w:w="1136" w:type="pct"/>
            <w:tcBorders>
              <w:top w:val="single" w:sz="4" w:space="0" w:color="auto"/>
              <w:bottom w:val="single" w:sz="4" w:space="0" w:color="auto"/>
            </w:tcBorders>
          </w:tcPr>
          <w:p w14:paraId="3D96C7CB" w14:textId="77777777" w:rsidR="00617F3E" w:rsidRPr="00617F3E" w:rsidRDefault="00617F3E" w:rsidP="00617F3E">
            <w:pPr>
              <w:pStyle w:val="Tabletext"/>
            </w:pPr>
            <w:r w:rsidRPr="00617F3E">
              <w:t>37</w:t>
            </w:r>
          </w:p>
        </w:tc>
        <w:tc>
          <w:tcPr>
            <w:tcW w:w="966" w:type="pct"/>
            <w:tcBorders>
              <w:top w:val="single" w:sz="4" w:space="0" w:color="auto"/>
              <w:bottom w:val="single" w:sz="4" w:space="0" w:color="auto"/>
            </w:tcBorders>
            <w:shd w:val="clear" w:color="auto" w:fill="auto"/>
            <w:vAlign w:val="bottom"/>
          </w:tcPr>
          <w:p w14:paraId="5C7B7BE7" w14:textId="77777777" w:rsidR="00617F3E" w:rsidRPr="00617F3E" w:rsidRDefault="00617F3E" w:rsidP="00617F3E">
            <w:pPr>
              <w:pStyle w:val="Tabletext"/>
            </w:pPr>
            <w:r w:rsidRPr="00617F3E">
              <w:t>27</w:t>
            </w:r>
            <w:r w:rsidR="00D7157D">
              <w:t>.</w:t>
            </w:r>
            <w:r w:rsidRPr="00617F3E">
              <w:t>5440</w:t>
            </w:r>
          </w:p>
        </w:tc>
        <w:tc>
          <w:tcPr>
            <w:tcW w:w="966" w:type="pct"/>
            <w:tcBorders>
              <w:top w:val="single" w:sz="4" w:space="0" w:color="auto"/>
              <w:bottom w:val="single" w:sz="4" w:space="0" w:color="auto"/>
            </w:tcBorders>
            <w:shd w:val="clear" w:color="auto" w:fill="auto"/>
            <w:vAlign w:val="bottom"/>
          </w:tcPr>
          <w:p w14:paraId="084D3FDD" w14:textId="77777777" w:rsidR="00617F3E" w:rsidRPr="00617F3E" w:rsidRDefault="00617F3E" w:rsidP="00617F3E">
            <w:pPr>
              <w:pStyle w:val="Tabletext"/>
            </w:pPr>
            <w:r w:rsidRPr="00617F3E">
              <w:t>4</w:t>
            </w:r>
            <w:r w:rsidR="00D7157D">
              <w:t>.</w:t>
            </w:r>
            <w:r w:rsidRPr="00617F3E">
              <w:t>8190</w:t>
            </w:r>
          </w:p>
        </w:tc>
        <w:tc>
          <w:tcPr>
            <w:tcW w:w="966" w:type="pct"/>
            <w:tcBorders>
              <w:top w:val="single" w:sz="4" w:space="0" w:color="auto"/>
              <w:bottom w:val="single" w:sz="4" w:space="0" w:color="auto"/>
            </w:tcBorders>
            <w:shd w:val="clear" w:color="auto" w:fill="auto"/>
            <w:vAlign w:val="bottom"/>
          </w:tcPr>
          <w:p w14:paraId="1697A6D4" w14:textId="77777777" w:rsidR="00617F3E" w:rsidRPr="00617F3E" w:rsidRDefault="00617F3E" w:rsidP="00617F3E">
            <w:pPr>
              <w:pStyle w:val="Tabletext"/>
            </w:pPr>
            <w:r w:rsidRPr="00617F3E">
              <w:t>29</w:t>
            </w:r>
            <w:r w:rsidR="00D7157D">
              <w:t>.</w:t>
            </w:r>
            <w:r w:rsidRPr="00617F3E">
              <w:t>3989</w:t>
            </w:r>
          </w:p>
        </w:tc>
        <w:tc>
          <w:tcPr>
            <w:tcW w:w="966" w:type="pct"/>
            <w:tcBorders>
              <w:top w:val="single" w:sz="4" w:space="0" w:color="auto"/>
              <w:bottom w:val="single" w:sz="4" w:space="0" w:color="auto"/>
              <w:right w:val="nil"/>
            </w:tcBorders>
            <w:shd w:val="clear" w:color="auto" w:fill="auto"/>
            <w:vAlign w:val="bottom"/>
          </w:tcPr>
          <w:p w14:paraId="52E7C691" w14:textId="77777777" w:rsidR="00617F3E" w:rsidRPr="00617F3E" w:rsidRDefault="00617F3E" w:rsidP="00617F3E">
            <w:pPr>
              <w:pStyle w:val="Tabletext"/>
            </w:pPr>
            <w:r w:rsidRPr="00617F3E">
              <w:t>2</w:t>
            </w:r>
            <w:r w:rsidR="00D7157D">
              <w:t>.</w:t>
            </w:r>
            <w:r w:rsidRPr="00617F3E">
              <w:t>2582</w:t>
            </w:r>
          </w:p>
        </w:tc>
      </w:tr>
      <w:tr w:rsidR="00617F3E" w:rsidRPr="00617F3E" w14:paraId="6546E489" w14:textId="77777777" w:rsidTr="00617F3E">
        <w:trPr>
          <w:cantSplit/>
        </w:trPr>
        <w:tc>
          <w:tcPr>
            <w:tcW w:w="1136" w:type="pct"/>
            <w:tcBorders>
              <w:top w:val="single" w:sz="4" w:space="0" w:color="auto"/>
              <w:bottom w:val="single" w:sz="4" w:space="0" w:color="auto"/>
            </w:tcBorders>
          </w:tcPr>
          <w:p w14:paraId="07A2D5B3" w14:textId="77777777" w:rsidR="00617F3E" w:rsidRPr="00617F3E" w:rsidRDefault="00617F3E" w:rsidP="00617F3E">
            <w:pPr>
              <w:pStyle w:val="Tabletext"/>
            </w:pPr>
            <w:r w:rsidRPr="00617F3E">
              <w:t>38</w:t>
            </w:r>
          </w:p>
        </w:tc>
        <w:tc>
          <w:tcPr>
            <w:tcW w:w="966" w:type="pct"/>
            <w:tcBorders>
              <w:top w:val="single" w:sz="4" w:space="0" w:color="auto"/>
              <w:bottom w:val="single" w:sz="4" w:space="0" w:color="auto"/>
            </w:tcBorders>
            <w:shd w:val="clear" w:color="auto" w:fill="auto"/>
            <w:vAlign w:val="bottom"/>
          </w:tcPr>
          <w:p w14:paraId="0CECDC44" w14:textId="77777777" w:rsidR="00617F3E" w:rsidRPr="00617F3E" w:rsidRDefault="00617F3E" w:rsidP="00617F3E">
            <w:pPr>
              <w:pStyle w:val="Tabletext"/>
            </w:pPr>
            <w:r w:rsidRPr="00617F3E">
              <w:t>27</w:t>
            </w:r>
            <w:r w:rsidR="00D7157D">
              <w:t>.</w:t>
            </w:r>
            <w:r w:rsidRPr="00617F3E">
              <w:t>1396</w:t>
            </w:r>
          </w:p>
        </w:tc>
        <w:tc>
          <w:tcPr>
            <w:tcW w:w="966" w:type="pct"/>
            <w:tcBorders>
              <w:top w:val="single" w:sz="4" w:space="0" w:color="auto"/>
              <w:bottom w:val="single" w:sz="4" w:space="0" w:color="auto"/>
            </w:tcBorders>
            <w:shd w:val="clear" w:color="auto" w:fill="auto"/>
            <w:vAlign w:val="bottom"/>
          </w:tcPr>
          <w:p w14:paraId="75CAE4EE" w14:textId="77777777" w:rsidR="00617F3E" w:rsidRPr="00617F3E" w:rsidRDefault="00617F3E" w:rsidP="00617F3E">
            <w:pPr>
              <w:pStyle w:val="Tabletext"/>
            </w:pPr>
            <w:r w:rsidRPr="00617F3E">
              <w:t>4</w:t>
            </w:r>
            <w:r w:rsidR="00D7157D">
              <w:t>.</w:t>
            </w:r>
            <w:r w:rsidRPr="00617F3E">
              <w:t>8610</w:t>
            </w:r>
          </w:p>
        </w:tc>
        <w:tc>
          <w:tcPr>
            <w:tcW w:w="966" w:type="pct"/>
            <w:tcBorders>
              <w:top w:val="single" w:sz="4" w:space="0" w:color="auto"/>
              <w:bottom w:val="single" w:sz="4" w:space="0" w:color="auto"/>
            </w:tcBorders>
            <w:shd w:val="clear" w:color="auto" w:fill="auto"/>
            <w:vAlign w:val="bottom"/>
          </w:tcPr>
          <w:p w14:paraId="03BD8290" w14:textId="77777777" w:rsidR="00617F3E" w:rsidRPr="00617F3E" w:rsidRDefault="00617F3E" w:rsidP="00617F3E">
            <w:pPr>
              <w:pStyle w:val="Tabletext"/>
            </w:pPr>
            <w:r w:rsidRPr="00617F3E">
              <w:t>29</w:t>
            </w:r>
            <w:r w:rsidR="00D7157D">
              <w:t>.</w:t>
            </w:r>
            <w:r w:rsidRPr="00617F3E">
              <w:t>0048</w:t>
            </w:r>
          </w:p>
        </w:tc>
        <w:tc>
          <w:tcPr>
            <w:tcW w:w="966" w:type="pct"/>
            <w:tcBorders>
              <w:top w:val="single" w:sz="4" w:space="0" w:color="auto"/>
              <w:bottom w:val="single" w:sz="4" w:space="0" w:color="auto"/>
              <w:right w:val="nil"/>
            </w:tcBorders>
            <w:shd w:val="clear" w:color="auto" w:fill="auto"/>
            <w:vAlign w:val="bottom"/>
          </w:tcPr>
          <w:p w14:paraId="18468AC8" w14:textId="77777777" w:rsidR="00617F3E" w:rsidRPr="00617F3E" w:rsidRDefault="00617F3E" w:rsidP="00617F3E">
            <w:pPr>
              <w:pStyle w:val="Tabletext"/>
            </w:pPr>
            <w:r w:rsidRPr="00617F3E">
              <w:t>2</w:t>
            </w:r>
            <w:r w:rsidR="00D7157D">
              <w:t>.</w:t>
            </w:r>
            <w:r w:rsidRPr="00617F3E">
              <w:t>2746</w:t>
            </w:r>
          </w:p>
        </w:tc>
      </w:tr>
      <w:tr w:rsidR="00617F3E" w:rsidRPr="00617F3E" w14:paraId="0824F77E" w14:textId="77777777" w:rsidTr="00617F3E">
        <w:trPr>
          <w:cantSplit/>
        </w:trPr>
        <w:tc>
          <w:tcPr>
            <w:tcW w:w="1136" w:type="pct"/>
            <w:tcBorders>
              <w:top w:val="single" w:sz="4" w:space="0" w:color="auto"/>
              <w:bottom w:val="single" w:sz="4" w:space="0" w:color="auto"/>
            </w:tcBorders>
          </w:tcPr>
          <w:p w14:paraId="6BBA395A" w14:textId="77777777" w:rsidR="00617F3E" w:rsidRPr="00617F3E" w:rsidRDefault="00617F3E" w:rsidP="00617F3E">
            <w:pPr>
              <w:pStyle w:val="Tabletext"/>
            </w:pPr>
            <w:r w:rsidRPr="00617F3E">
              <w:t>39</w:t>
            </w:r>
          </w:p>
        </w:tc>
        <w:tc>
          <w:tcPr>
            <w:tcW w:w="966" w:type="pct"/>
            <w:tcBorders>
              <w:top w:val="single" w:sz="4" w:space="0" w:color="auto"/>
              <w:bottom w:val="single" w:sz="4" w:space="0" w:color="auto"/>
            </w:tcBorders>
            <w:shd w:val="clear" w:color="auto" w:fill="auto"/>
            <w:vAlign w:val="bottom"/>
          </w:tcPr>
          <w:p w14:paraId="62372CE0" w14:textId="77777777" w:rsidR="00617F3E" w:rsidRPr="00617F3E" w:rsidRDefault="00617F3E" w:rsidP="00617F3E">
            <w:pPr>
              <w:pStyle w:val="Tabletext"/>
            </w:pPr>
            <w:r w:rsidRPr="00617F3E">
              <w:t>26</w:t>
            </w:r>
            <w:r w:rsidR="00D7157D">
              <w:t>.</w:t>
            </w:r>
            <w:r w:rsidRPr="00617F3E">
              <w:t>7293</w:t>
            </w:r>
          </w:p>
        </w:tc>
        <w:tc>
          <w:tcPr>
            <w:tcW w:w="966" w:type="pct"/>
            <w:tcBorders>
              <w:top w:val="single" w:sz="4" w:space="0" w:color="auto"/>
              <w:bottom w:val="single" w:sz="4" w:space="0" w:color="auto"/>
            </w:tcBorders>
            <w:shd w:val="clear" w:color="auto" w:fill="auto"/>
            <w:vAlign w:val="bottom"/>
          </w:tcPr>
          <w:p w14:paraId="79C17EE3" w14:textId="77777777" w:rsidR="00617F3E" w:rsidRPr="00617F3E" w:rsidRDefault="00617F3E" w:rsidP="00617F3E">
            <w:pPr>
              <w:pStyle w:val="Tabletext"/>
            </w:pPr>
            <w:r w:rsidRPr="00617F3E">
              <w:t>4</w:t>
            </w:r>
            <w:r w:rsidR="00D7157D">
              <w:t>.</w:t>
            </w:r>
            <w:r w:rsidRPr="00617F3E">
              <w:t>9025</w:t>
            </w:r>
          </w:p>
        </w:tc>
        <w:tc>
          <w:tcPr>
            <w:tcW w:w="966" w:type="pct"/>
            <w:tcBorders>
              <w:top w:val="single" w:sz="4" w:space="0" w:color="auto"/>
              <w:bottom w:val="single" w:sz="4" w:space="0" w:color="auto"/>
            </w:tcBorders>
            <w:shd w:val="clear" w:color="auto" w:fill="auto"/>
            <w:vAlign w:val="bottom"/>
          </w:tcPr>
          <w:p w14:paraId="0F2DD1CA" w14:textId="77777777" w:rsidR="00617F3E" w:rsidRPr="00617F3E" w:rsidRDefault="00617F3E" w:rsidP="00617F3E">
            <w:pPr>
              <w:pStyle w:val="Tabletext"/>
            </w:pPr>
            <w:r w:rsidRPr="00617F3E">
              <w:t>28</w:t>
            </w:r>
            <w:r w:rsidR="00D7157D">
              <w:t>.</w:t>
            </w:r>
            <w:r w:rsidRPr="00617F3E">
              <w:t>6046</w:t>
            </w:r>
          </w:p>
        </w:tc>
        <w:tc>
          <w:tcPr>
            <w:tcW w:w="966" w:type="pct"/>
            <w:tcBorders>
              <w:top w:val="single" w:sz="4" w:space="0" w:color="auto"/>
              <w:bottom w:val="single" w:sz="4" w:space="0" w:color="auto"/>
              <w:right w:val="nil"/>
            </w:tcBorders>
            <w:shd w:val="clear" w:color="auto" w:fill="auto"/>
            <w:vAlign w:val="bottom"/>
          </w:tcPr>
          <w:p w14:paraId="6BD5E7A8" w14:textId="77777777" w:rsidR="00617F3E" w:rsidRPr="00617F3E" w:rsidRDefault="00617F3E" w:rsidP="00617F3E">
            <w:pPr>
              <w:pStyle w:val="Tabletext"/>
            </w:pPr>
            <w:r w:rsidRPr="00617F3E">
              <w:t>2</w:t>
            </w:r>
            <w:r w:rsidR="00D7157D">
              <w:t>.</w:t>
            </w:r>
            <w:r w:rsidRPr="00617F3E">
              <w:t>2907</w:t>
            </w:r>
          </w:p>
        </w:tc>
      </w:tr>
      <w:tr w:rsidR="00617F3E" w:rsidRPr="00617F3E" w14:paraId="78AFA86B" w14:textId="77777777" w:rsidTr="00617F3E">
        <w:trPr>
          <w:cantSplit/>
        </w:trPr>
        <w:tc>
          <w:tcPr>
            <w:tcW w:w="1136" w:type="pct"/>
            <w:tcBorders>
              <w:top w:val="single" w:sz="4" w:space="0" w:color="auto"/>
              <w:bottom w:val="single" w:sz="4" w:space="0" w:color="auto"/>
            </w:tcBorders>
          </w:tcPr>
          <w:p w14:paraId="0D376023" w14:textId="77777777" w:rsidR="00617F3E" w:rsidRPr="00617F3E" w:rsidRDefault="00617F3E" w:rsidP="00617F3E">
            <w:pPr>
              <w:pStyle w:val="Tabletext"/>
            </w:pPr>
            <w:r w:rsidRPr="00617F3E">
              <w:t>40</w:t>
            </w:r>
          </w:p>
        </w:tc>
        <w:tc>
          <w:tcPr>
            <w:tcW w:w="966" w:type="pct"/>
            <w:tcBorders>
              <w:top w:val="single" w:sz="4" w:space="0" w:color="auto"/>
              <w:bottom w:val="single" w:sz="4" w:space="0" w:color="auto"/>
            </w:tcBorders>
            <w:shd w:val="clear" w:color="auto" w:fill="auto"/>
            <w:vAlign w:val="bottom"/>
          </w:tcPr>
          <w:p w14:paraId="206FDD82" w14:textId="77777777" w:rsidR="00617F3E" w:rsidRPr="00617F3E" w:rsidRDefault="00617F3E" w:rsidP="00617F3E">
            <w:pPr>
              <w:pStyle w:val="Tabletext"/>
            </w:pPr>
            <w:r w:rsidRPr="00617F3E">
              <w:t>26</w:t>
            </w:r>
            <w:r w:rsidR="00D7157D">
              <w:t>.</w:t>
            </w:r>
            <w:r w:rsidRPr="00617F3E">
              <w:t>3131</w:t>
            </w:r>
          </w:p>
        </w:tc>
        <w:tc>
          <w:tcPr>
            <w:tcW w:w="966" w:type="pct"/>
            <w:tcBorders>
              <w:top w:val="single" w:sz="4" w:space="0" w:color="auto"/>
              <w:bottom w:val="single" w:sz="4" w:space="0" w:color="auto"/>
            </w:tcBorders>
            <w:shd w:val="clear" w:color="auto" w:fill="auto"/>
            <w:vAlign w:val="bottom"/>
          </w:tcPr>
          <w:p w14:paraId="7E917FF1" w14:textId="77777777" w:rsidR="00617F3E" w:rsidRPr="00617F3E" w:rsidRDefault="00617F3E" w:rsidP="00617F3E">
            <w:pPr>
              <w:pStyle w:val="Tabletext"/>
            </w:pPr>
            <w:r w:rsidRPr="00617F3E">
              <w:t>4</w:t>
            </w:r>
            <w:r w:rsidR="00D7157D">
              <w:t>.</w:t>
            </w:r>
            <w:r w:rsidRPr="00617F3E">
              <w:t>9436</w:t>
            </w:r>
          </w:p>
        </w:tc>
        <w:tc>
          <w:tcPr>
            <w:tcW w:w="966" w:type="pct"/>
            <w:tcBorders>
              <w:top w:val="single" w:sz="4" w:space="0" w:color="auto"/>
              <w:bottom w:val="single" w:sz="4" w:space="0" w:color="auto"/>
            </w:tcBorders>
            <w:shd w:val="clear" w:color="auto" w:fill="auto"/>
            <w:vAlign w:val="bottom"/>
          </w:tcPr>
          <w:p w14:paraId="2EE637D7" w14:textId="77777777" w:rsidR="00617F3E" w:rsidRPr="00617F3E" w:rsidRDefault="00617F3E" w:rsidP="00617F3E">
            <w:pPr>
              <w:pStyle w:val="Tabletext"/>
            </w:pPr>
            <w:r w:rsidRPr="00617F3E">
              <w:t>28</w:t>
            </w:r>
            <w:r w:rsidR="00D7157D">
              <w:t>.</w:t>
            </w:r>
            <w:r w:rsidRPr="00617F3E">
              <w:t>1980</w:t>
            </w:r>
          </w:p>
        </w:tc>
        <w:tc>
          <w:tcPr>
            <w:tcW w:w="966" w:type="pct"/>
            <w:tcBorders>
              <w:top w:val="single" w:sz="4" w:space="0" w:color="auto"/>
              <w:bottom w:val="single" w:sz="4" w:space="0" w:color="auto"/>
              <w:right w:val="nil"/>
            </w:tcBorders>
            <w:shd w:val="clear" w:color="auto" w:fill="auto"/>
            <w:vAlign w:val="bottom"/>
          </w:tcPr>
          <w:p w14:paraId="50F8ED2D" w14:textId="77777777" w:rsidR="00617F3E" w:rsidRPr="00617F3E" w:rsidRDefault="00617F3E" w:rsidP="00617F3E">
            <w:pPr>
              <w:pStyle w:val="Tabletext"/>
            </w:pPr>
            <w:r w:rsidRPr="00617F3E">
              <w:t>2</w:t>
            </w:r>
            <w:r w:rsidR="00D7157D">
              <w:t>.</w:t>
            </w:r>
            <w:r w:rsidRPr="00617F3E">
              <w:t>3066</w:t>
            </w:r>
          </w:p>
        </w:tc>
      </w:tr>
      <w:tr w:rsidR="00617F3E" w:rsidRPr="00617F3E" w14:paraId="49075B61" w14:textId="77777777" w:rsidTr="00617F3E">
        <w:trPr>
          <w:cantSplit/>
        </w:trPr>
        <w:tc>
          <w:tcPr>
            <w:tcW w:w="1136" w:type="pct"/>
            <w:tcBorders>
              <w:top w:val="single" w:sz="4" w:space="0" w:color="auto"/>
              <w:bottom w:val="single" w:sz="4" w:space="0" w:color="auto"/>
            </w:tcBorders>
          </w:tcPr>
          <w:p w14:paraId="05DCFF3F" w14:textId="77777777" w:rsidR="00617F3E" w:rsidRPr="00617F3E" w:rsidRDefault="00617F3E" w:rsidP="00617F3E">
            <w:pPr>
              <w:pStyle w:val="Tabletext"/>
            </w:pPr>
            <w:r w:rsidRPr="00617F3E">
              <w:t>41</w:t>
            </w:r>
          </w:p>
        </w:tc>
        <w:tc>
          <w:tcPr>
            <w:tcW w:w="966" w:type="pct"/>
            <w:tcBorders>
              <w:top w:val="single" w:sz="4" w:space="0" w:color="auto"/>
              <w:bottom w:val="single" w:sz="4" w:space="0" w:color="auto"/>
            </w:tcBorders>
            <w:shd w:val="clear" w:color="auto" w:fill="auto"/>
            <w:vAlign w:val="bottom"/>
          </w:tcPr>
          <w:p w14:paraId="0A38B66F" w14:textId="77777777" w:rsidR="00617F3E" w:rsidRPr="00617F3E" w:rsidRDefault="00617F3E" w:rsidP="00617F3E">
            <w:pPr>
              <w:pStyle w:val="Tabletext"/>
            </w:pPr>
            <w:r w:rsidRPr="00617F3E">
              <w:t>25</w:t>
            </w:r>
            <w:r w:rsidR="00D7157D">
              <w:t>.</w:t>
            </w:r>
            <w:r w:rsidRPr="00617F3E">
              <w:t>8912</w:t>
            </w:r>
          </w:p>
        </w:tc>
        <w:tc>
          <w:tcPr>
            <w:tcW w:w="966" w:type="pct"/>
            <w:tcBorders>
              <w:top w:val="single" w:sz="4" w:space="0" w:color="auto"/>
              <w:bottom w:val="single" w:sz="4" w:space="0" w:color="auto"/>
            </w:tcBorders>
            <w:shd w:val="clear" w:color="auto" w:fill="auto"/>
            <w:vAlign w:val="bottom"/>
          </w:tcPr>
          <w:p w14:paraId="3CBB69AF" w14:textId="77777777" w:rsidR="00617F3E" w:rsidRPr="00617F3E" w:rsidRDefault="00617F3E" w:rsidP="00617F3E">
            <w:pPr>
              <w:pStyle w:val="Tabletext"/>
            </w:pPr>
            <w:r w:rsidRPr="00617F3E">
              <w:t>4</w:t>
            </w:r>
            <w:r w:rsidR="00D7157D">
              <w:t>.</w:t>
            </w:r>
            <w:r w:rsidRPr="00617F3E">
              <w:t>8181</w:t>
            </w:r>
          </w:p>
        </w:tc>
        <w:tc>
          <w:tcPr>
            <w:tcW w:w="966" w:type="pct"/>
            <w:tcBorders>
              <w:top w:val="single" w:sz="4" w:space="0" w:color="auto"/>
              <w:bottom w:val="single" w:sz="4" w:space="0" w:color="auto"/>
            </w:tcBorders>
            <w:shd w:val="clear" w:color="auto" w:fill="auto"/>
            <w:vAlign w:val="bottom"/>
          </w:tcPr>
          <w:p w14:paraId="7CD2429A" w14:textId="77777777" w:rsidR="00617F3E" w:rsidRPr="00617F3E" w:rsidRDefault="00617F3E" w:rsidP="00617F3E">
            <w:pPr>
              <w:pStyle w:val="Tabletext"/>
            </w:pPr>
            <w:r w:rsidRPr="00617F3E">
              <w:t>27</w:t>
            </w:r>
            <w:r w:rsidR="00D7157D">
              <w:t>.</w:t>
            </w:r>
            <w:r w:rsidRPr="00617F3E">
              <w:t>7850</w:t>
            </w:r>
          </w:p>
        </w:tc>
        <w:tc>
          <w:tcPr>
            <w:tcW w:w="966" w:type="pct"/>
            <w:tcBorders>
              <w:top w:val="single" w:sz="4" w:space="0" w:color="auto"/>
              <w:bottom w:val="single" w:sz="4" w:space="0" w:color="auto"/>
              <w:right w:val="nil"/>
            </w:tcBorders>
            <w:shd w:val="clear" w:color="auto" w:fill="auto"/>
            <w:vAlign w:val="bottom"/>
          </w:tcPr>
          <w:p w14:paraId="2951FA98" w14:textId="77777777" w:rsidR="00617F3E" w:rsidRPr="00617F3E" w:rsidRDefault="00617F3E" w:rsidP="00617F3E">
            <w:pPr>
              <w:pStyle w:val="Tabletext"/>
            </w:pPr>
            <w:r w:rsidRPr="00617F3E">
              <w:t>2</w:t>
            </w:r>
            <w:r w:rsidR="00D7157D">
              <w:t>.</w:t>
            </w:r>
            <w:r w:rsidRPr="00617F3E">
              <w:t>1827</w:t>
            </w:r>
          </w:p>
        </w:tc>
      </w:tr>
      <w:tr w:rsidR="00617F3E" w:rsidRPr="00617F3E" w14:paraId="283743E7" w14:textId="77777777" w:rsidTr="00617F3E">
        <w:trPr>
          <w:cantSplit/>
        </w:trPr>
        <w:tc>
          <w:tcPr>
            <w:tcW w:w="1136" w:type="pct"/>
            <w:tcBorders>
              <w:top w:val="single" w:sz="4" w:space="0" w:color="auto"/>
              <w:bottom w:val="single" w:sz="4" w:space="0" w:color="auto"/>
            </w:tcBorders>
          </w:tcPr>
          <w:p w14:paraId="3A4980FD" w14:textId="77777777" w:rsidR="00617F3E" w:rsidRPr="00617F3E" w:rsidRDefault="00617F3E" w:rsidP="00617F3E">
            <w:pPr>
              <w:pStyle w:val="Tabletext"/>
            </w:pPr>
            <w:r w:rsidRPr="00617F3E">
              <w:t>42</w:t>
            </w:r>
          </w:p>
        </w:tc>
        <w:tc>
          <w:tcPr>
            <w:tcW w:w="966" w:type="pct"/>
            <w:tcBorders>
              <w:top w:val="single" w:sz="4" w:space="0" w:color="auto"/>
              <w:bottom w:val="single" w:sz="4" w:space="0" w:color="auto"/>
            </w:tcBorders>
            <w:shd w:val="clear" w:color="auto" w:fill="auto"/>
            <w:vAlign w:val="bottom"/>
          </w:tcPr>
          <w:p w14:paraId="30E64134" w14:textId="77777777" w:rsidR="00617F3E" w:rsidRPr="00617F3E" w:rsidRDefault="00617F3E" w:rsidP="00617F3E">
            <w:pPr>
              <w:pStyle w:val="Tabletext"/>
            </w:pPr>
            <w:r w:rsidRPr="00617F3E">
              <w:t>25</w:t>
            </w:r>
            <w:r w:rsidR="00D7157D">
              <w:t>.</w:t>
            </w:r>
            <w:r w:rsidRPr="00617F3E">
              <w:t>4634</w:t>
            </w:r>
          </w:p>
        </w:tc>
        <w:tc>
          <w:tcPr>
            <w:tcW w:w="966" w:type="pct"/>
            <w:tcBorders>
              <w:top w:val="single" w:sz="4" w:space="0" w:color="auto"/>
              <w:bottom w:val="single" w:sz="4" w:space="0" w:color="auto"/>
            </w:tcBorders>
            <w:shd w:val="clear" w:color="auto" w:fill="auto"/>
            <w:vAlign w:val="bottom"/>
          </w:tcPr>
          <w:p w14:paraId="0C6032D3" w14:textId="77777777" w:rsidR="00617F3E" w:rsidRPr="00617F3E" w:rsidRDefault="00617F3E" w:rsidP="00617F3E">
            <w:pPr>
              <w:pStyle w:val="Tabletext"/>
            </w:pPr>
            <w:r w:rsidRPr="00617F3E">
              <w:t>4</w:t>
            </w:r>
            <w:r w:rsidR="00D7157D">
              <w:t>.</w:t>
            </w:r>
            <w:r w:rsidRPr="00617F3E">
              <w:t>6892</w:t>
            </w:r>
          </w:p>
        </w:tc>
        <w:tc>
          <w:tcPr>
            <w:tcW w:w="966" w:type="pct"/>
            <w:tcBorders>
              <w:top w:val="single" w:sz="4" w:space="0" w:color="auto"/>
              <w:bottom w:val="single" w:sz="4" w:space="0" w:color="auto"/>
            </w:tcBorders>
            <w:shd w:val="clear" w:color="auto" w:fill="auto"/>
            <w:vAlign w:val="bottom"/>
          </w:tcPr>
          <w:p w14:paraId="618A6E57" w14:textId="77777777" w:rsidR="00617F3E" w:rsidRPr="00617F3E" w:rsidRDefault="00617F3E" w:rsidP="00617F3E">
            <w:pPr>
              <w:pStyle w:val="Tabletext"/>
            </w:pPr>
            <w:r w:rsidRPr="00617F3E">
              <w:t>27</w:t>
            </w:r>
            <w:r w:rsidR="00D7157D">
              <w:t>.</w:t>
            </w:r>
            <w:r w:rsidRPr="00617F3E">
              <w:t>3658</w:t>
            </w:r>
          </w:p>
        </w:tc>
        <w:tc>
          <w:tcPr>
            <w:tcW w:w="966" w:type="pct"/>
            <w:tcBorders>
              <w:top w:val="single" w:sz="4" w:space="0" w:color="auto"/>
              <w:bottom w:val="single" w:sz="4" w:space="0" w:color="auto"/>
              <w:right w:val="nil"/>
            </w:tcBorders>
            <w:shd w:val="clear" w:color="auto" w:fill="auto"/>
            <w:vAlign w:val="bottom"/>
          </w:tcPr>
          <w:p w14:paraId="16B7E775" w14:textId="77777777" w:rsidR="00617F3E" w:rsidRPr="00617F3E" w:rsidRDefault="00617F3E" w:rsidP="00617F3E">
            <w:pPr>
              <w:pStyle w:val="Tabletext"/>
            </w:pPr>
            <w:r w:rsidRPr="00617F3E">
              <w:t>2</w:t>
            </w:r>
            <w:r w:rsidR="00D7157D">
              <w:t>.</w:t>
            </w:r>
            <w:r w:rsidRPr="00617F3E">
              <w:t>0566</w:t>
            </w:r>
          </w:p>
        </w:tc>
      </w:tr>
      <w:tr w:rsidR="00617F3E" w:rsidRPr="00617F3E" w14:paraId="45DED295" w14:textId="77777777" w:rsidTr="00617F3E">
        <w:trPr>
          <w:cantSplit/>
        </w:trPr>
        <w:tc>
          <w:tcPr>
            <w:tcW w:w="1136" w:type="pct"/>
            <w:tcBorders>
              <w:top w:val="single" w:sz="4" w:space="0" w:color="auto"/>
              <w:bottom w:val="single" w:sz="4" w:space="0" w:color="auto"/>
            </w:tcBorders>
          </w:tcPr>
          <w:p w14:paraId="6B34CAEF" w14:textId="77777777" w:rsidR="00617F3E" w:rsidRPr="00617F3E" w:rsidRDefault="00617F3E" w:rsidP="00617F3E">
            <w:pPr>
              <w:pStyle w:val="Tabletext"/>
            </w:pPr>
            <w:r w:rsidRPr="00617F3E">
              <w:t>43</w:t>
            </w:r>
          </w:p>
        </w:tc>
        <w:tc>
          <w:tcPr>
            <w:tcW w:w="966" w:type="pct"/>
            <w:tcBorders>
              <w:top w:val="single" w:sz="4" w:space="0" w:color="auto"/>
              <w:bottom w:val="single" w:sz="4" w:space="0" w:color="auto"/>
            </w:tcBorders>
            <w:shd w:val="clear" w:color="auto" w:fill="auto"/>
            <w:vAlign w:val="bottom"/>
          </w:tcPr>
          <w:p w14:paraId="635A20BE" w14:textId="77777777" w:rsidR="00617F3E" w:rsidRPr="00617F3E" w:rsidRDefault="00617F3E" w:rsidP="00617F3E">
            <w:pPr>
              <w:pStyle w:val="Tabletext"/>
            </w:pPr>
            <w:r w:rsidRPr="00617F3E">
              <w:t>25</w:t>
            </w:r>
            <w:r w:rsidR="00D7157D">
              <w:t>.</w:t>
            </w:r>
            <w:r w:rsidRPr="00617F3E">
              <w:t>0296</w:t>
            </w:r>
          </w:p>
        </w:tc>
        <w:tc>
          <w:tcPr>
            <w:tcW w:w="966" w:type="pct"/>
            <w:tcBorders>
              <w:top w:val="single" w:sz="4" w:space="0" w:color="auto"/>
              <w:bottom w:val="single" w:sz="4" w:space="0" w:color="auto"/>
            </w:tcBorders>
            <w:shd w:val="clear" w:color="auto" w:fill="auto"/>
            <w:vAlign w:val="bottom"/>
          </w:tcPr>
          <w:p w14:paraId="13A704D9" w14:textId="77777777" w:rsidR="00617F3E" w:rsidRPr="00617F3E" w:rsidRDefault="00617F3E" w:rsidP="00617F3E">
            <w:pPr>
              <w:pStyle w:val="Tabletext"/>
            </w:pPr>
            <w:r w:rsidRPr="00617F3E">
              <w:t>4</w:t>
            </w:r>
            <w:r w:rsidR="00D7157D">
              <w:t>.</w:t>
            </w:r>
            <w:r w:rsidRPr="00617F3E">
              <w:t>5571</w:t>
            </w:r>
          </w:p>
        </w:tc>
        <w:tc>
          <w:tcPr>
            <w:tcW w:w="966" w:type="pct"/>
            <w:tcBorders>
              <w:top w:val="single" w:sz="4" w:space="0" w:color="auto"/>
              <w:bottom w:val="single" w:sz="4" w:space="0" w:color="auto"/>
            </w:tcBorders>
            <w:shd w:val="clear" w:color="auto" w:fill="auto"/>
            <w:vAlign w:val="bottom"/>
          </w:tcPr>
          <w:p w14:paraId="0971BAEC" w14:textId="77777777" w:rsidR="00617F3E" w:rsidRPr="00617F3E" w:rsidRDefault="00617F3E" w:rsidP="00617F3E">
            <w:pPr>
              <w:pStyle w:val="Tabletext"/>
            </w:pPr>
            <w:r w:rsidRPr="00617F3E">
              <w:t>26</w:t>
            </w:r>
            <w:r w:rsidR="00D7157D">
              <w:t>.</w:t>
            </w:r>
            <w:r w:rsidRPr="00617F3E">
              <w:t>9401</w:t>
            </w:r>
          </w:p>
        </w:tc>
        <w:tc>
          <w:tcPr>
            <w:tcW w:w="966" w:type="pct"/>
            <w:tcBorders>
              <w:top w:val="single" w:sz="4" w:space="0" w:color="auto"/>
              <w:bottom w:val="single" w:sz="4" w:space="0" w:color="auto"/>
              <w:right w:val="nil"/>
            </w:tcBorders>
            <w:shd w:val="clear" w:color="auto" w:fill="auto"/>
            <w:vAlign w:val="bottom"/>
          </w:tcPr>
          <w:p w14:paraId="6B1CAB26" w14:textId="77777777" w:rsidR="00617F3E" w:rsidRPr="00617F3E" w:rsidRDefault="00617F3E" w:rsidP="00617F3E">
            <w:pPr>
              <w:pStyle w:val="Tabletext"/>
            </w:pPr>
            <w:r w:rsidRPr="00617F3E">
              <w:t>1</w:t>
            </w:r>
            <w:r w:rsidR="00D7157D">
              <w:t>.</w:t>
            </w:r>
            <w:r w:rsidRPr="00617F3E">
              <w:t>9284</w:t>
            </w:r>
          </w:p>
        </w:tc>
      </w:tr>
      <w:tr w:rsidR="00617F3E" w:rsidRPr="00617F3E" w14:paraId="4F24D4AF" w14:textId="77777777" w:rsidTr="00617F3E">
        <w:trPr>
          <w:cantSplit/>
        </w:trPr>
        <w:tc>
          <w:tcPr>
            <w:tcW w:w="1136" w:type="pct"/>
            <w:tcBorders>
              <w:top w:val="single" w:sz="4" w:space="0" w:color="auto"/>
              <w:bottom w:val="single" w:sz="4" w:space="0" w:color="auto"/>
            </w:tcBorders>
          </w:tcPr>
          <w:p w14:paraId="104168B0" w14:textId="77777777" w:rsidR="00617F3E" w:rsidRPr="00617F3E" w:rsidRDefault="00617F3E" w:rsidP="00617F3E">
            <w:pPr>
              <w:pStyle w:val="Tabletext"/>
            </w:pPr>
            <w:r w:rsidRPr="00617F3E">
              <w:t>44</w:t>
            </w:r>
          </w:p>
        </w:tc>
        <w:tc>
          <w:tcPr>
            <w:tcW w:w="966" w:type="pct"/>
            <w:tcBorders>
              <w:top w:val="single" w:sz="4" w:space="0" w:color="auto"/>
              <w:bottom w:val="single" w:sz="4" w:space="0" w:color="auto"/>
            </w:tcBorders>
            <w:shd w:val="clear" w:color="auto" w:fill="auto"/>
            <w:vAlign w:val="bottom"/>
          </w:tcPr>
          <w:p w14:paraId="3859D126" w14:textId="77777777" w:rsidR="00617F3E" w:rsidRPr="00617F3E" w:rsidRDefault="00617F3E" w:rsidP="00617F3E">
            <w:pPr>
              <w:pStyle w:val="Tabletext"/>
            </w:pPr>
            <w:r w:rsidRPr="00617F3E">
              <w:t>24</w:t>
            </w:r>
            <w:r w:rsidR="00D7157D">
              <w:t>.</w:t>
            </w:r>
            <w:r w:rsidRPr="00617F3E">
              <w:t>5902</w:t>
            </w:r>
          </w:p>
        </w:tc>
        <w:tc>
          <w:tcPr>
            <w:tcW w:w="966" w:type="pct"/>
            <w:tcBorders>
              <w:top w:val="single" w:sz="4" w:space="0" w:color="auto"/>
              <w:bottom w:val="single" w:sz="4" w:space="0" w:color="auto"/>
            </w:tcBorders>
            <w:shd w:val="clear" w:color="auto" w:fill="auto"/>
            <w:vAlign w:val="bottom"/>
          </w:tcPr>
          <w:p w14:paraId="68B974E5" w14:textId="77777777" w:rsidR="00617F3E" w:rsidRPr="00617F3E" w:rsidRDefault="00617F3E" w:rsidP="00617F3E">
            <w:pPr>
              <w:pStyle w:val="Tabletext"/>
            </w:pPr>
            <w:r w:rsidRPr="00617F3E">
              <w:t>4</w:t>
            </w:r>
            <w:r w:rsidR="00D7157D">
              <w:t>.</w:t>
            </w:r>
            <w:r w:rsidRPr="00617F3E">
              <w:t>4216</w:t>
            </w:r>
          </w:p>
        </w:tc>
        <w:tc>
          <w:tcPr>
            <w:tcW w:w="966" w:type="pct"/>
            <w:tcBorders>
              <w:top w:val="single" w:sz="4" w:space="0" w:color="auto"/>
              <w:bottom w:val="single" w:sz="4" w:space="0" w:color="auto"/>
            </w:tcBorders>
            <w:shd w:val="clear" w:color="auto" w:fill="auto"/>
            <w:vAlign w:val="bottom"/>
          </w:tcPr>
          <w:p w14:paraId="2DC66A15" w14:textId="77777777" w:rsidR="00617F3E" w:rsidRPr="00617F3E" w:rsidRDefault="00617F3E" w:rsidP="00617F3E">
            <w:pPr>
              <w:pStyle w:val="Tabletext"/>
            </w:pPr>
            <w:r w:rsidRPr="00617F3E">
              <w:t>26</w:t>
            </w:r>
            <w:r w:rsidR="00D7157D">
              <w:t>.</w:t>
            </w:r>
            <w:r w:rsidRPr="00617F3E">
              <w:t>5081</w:t>
            </w:r>
          </w:p>
        </w:tc>
        <w:tc>
          <w:tcPr>
            <w:tcW w:w="966" w:type="pct"/>
            <w:tcBorders>
              <w:top w:val="single" w:sz="4" w:space="0" w:color="auto"/>
              <w:bottom w:val="single" w:sz="4" w:space="0" w:color="auto"/>
              <w:right w:val="nil"/>
            </w:tcBorders>
            <w:shd w:val="clear" w:color="auto" w:fill="auto"/>
            <w:vAlign w:val="bottom"/>
          </w:tcPr>
          <w:p w14:paraId="2FE068E5" w14:textId="77777777" w:rsidR="00617F3E" w:rsidRPr="00617F3E" w:rsidRDefault="00617F3E" w:rsidP="00617F3E">
            <w:pPr>
              <w:pStyle w:val="Tabletext"/>
            </w:pPr>
            <w:r w:rsidRPr="00617F3E">
              <w:t>1</w:t>
            </w:r>
            <w:r w:rsidR="00D7157D">
              <w:t>.</w:t>
            </w:r>
            <w:r w:rsidRPr="00617F3E">
              <w:t>7980</w:t>
            </w:r>
          </w:p>
        </w:tc>
      </w:tr>
      <w:tr w:rsidR="00617F3E" w:rsidRPr="00617F3E" w14:paraId="57394578" w14:textId="77777777" w:rsidTr="00617F3E">
        <w:trPr>
          <w:cantSplit/>
        </w:trPr>
        <w:tc>
          <w:tcPr>
            <w:tcW w:w="1136" w:type="pct"/>
            <w:tcBorders>
              <w:top w:val="single" w:sz="4" w:space="0" w:color="auto"/>
              <w:bottom w:val="single" w:sz="4" w:space="0" w:color="auto"/>
            </w:tcBorders>
          </w:tcPr>
          <w:p w14:paraId="53001FF4" w14:textId="77777777" w:rsidR="00617F3E" w:rsidRPr="00617F3E" w:rsidRDefault="00617F3E" w:rsidP="00617F3E">
            <w:pPr>
              <w:pStyle w:val="Tabletext"/>
            </w:pPr>
            <w:r w:rsidRPr="00617F3E">
              <w:t>45</w:t>
            </w:r>
          </w:p>
        </w:tc>
        <w:tc>
          <w:tcPr>
            <w:tcW w:w="966" w:type="pct"/>
            <w:tcBorders>
              <w:top w:val="single" w:sz="4" w:space="0" w:color="auto"/>
              <w:bottom w:val="single" w:sz="4" w:space="0" w:color="auto"/>
            </w:tcBorders>
            <w:shd w:val="clear" w:color="auto" w:fill="auto"/>
            <w:vAlign w:val="bottom"/>
          </w:tcPr>
          <w:p w14:paraId="46D6C070" w14:textId="77777777" w:rsidR="00617F3E" w:rsidRPr="00617F3E" w:rsidRDefault="00617F3E" w:rsidP="00617F3E">
            <w:pPr>
              <w:pStyle w:val="Tabletext"/>
            </w:pPr>
            <w:r w:rsidRPr="00617F3E">
              <w:t>24</w:t>
            </w:r>
            <w:r w:rsidR="00D7157D">
              <w:t>.</w:t>
            </w:r>
            <w:r w:rsidRPr="00617F3E">
              <w:t>1450</w:t>
            </w:r>
          </w:p>
        </w:tc>
        <w:tc>
          <w:tcPr>
            <w:tcW w:w="966" w:type="pct"/>
            <w:tcBorders>
              <w:top w:val="single" w:sz="4" w:space="0" w:color="auto"/>
              <w:bottom w:val="single" w:sz="4" w:space="0" w:color="auto"/>
            </w:tcBorders>
            <w:shd w:val="clear" w:color="auto" w:fill="auto"/>
            <w:vAlign w:val="bottom"/>
          </w:tcPr>
          <w:p w14:paraId="37A158A3" w14:textId="77777777" w:rsidR="00617F3E" w:rsidRPr="00617F3E" w:rsidRDefault="00617F3E" w:rsidP="00617F3E">
            <w:pPr>
              <w:pStyle w:val="Tabletext"/>
            </w:pPr>
            <w:r w:rsidRPr="00617F3E">
              <w:t>4</w:t>
            </w:r>
            <w:r w:rsidR="00D7157D">
              <w:t>.</w:t>
            </w:r>
            <w:r w:rsidRPr="00617F3E">
              <w:t>2829</w:t>
            </w:r>
          </w:p>
        </w:tc>
        <w:tc>
          <w:tcPr>
            <w:tcW w:w="966" w:type="pct"/>
            <w:tcBorders>
              <w:top w:val="single" w:sz="4" w:space="0" w:color="auto"/>
              <w:bottom w:val="single" w:sz="4" w:space="0" w:color="auto"/>
            </w:tcBorders>
            <w:shd w:val="clear" w:color="auto" w:fill="auto"/>
            <w:vAlign w:val="bottom"/>
          </w:tcPr>
          <w:p w14:paraId="43D237C9" w14:textId="77777777" w:rsidR="00617F3E" w:rsidRPr="00617F3E" w:rsidRDefault="00617F3E" w:rsidP="00617F3E">
            <w:pPr>
              <w:pStyle w:val="Tabletext"/>
            </w:pPr>
            <w:r w:rsidRPr="00617F3E">
              <w:t>26</w:t>
            </w:r>
            <w:r w:rsidR="00D7157D">
              <w:t>.</w:t>
            </w:r>
            <w:r w:rsidRPr="00617F3E">
              <w:t>0697</w:t>
            </w:r>
          </w:p>
        </w:tc>
        <w:tc>
          <w:tcPr>
            <w:tcW w:w="966" w:type="pct"/>
            <w:tcBorders>
              <w:top w:val="single" w:sz="4" w:space="0" w:color="auto"/>
              <w:bottom w:val="single" w:sz="4" w:space="0" w:color="auto"/>
              <w:right w:val="nil"/>
            </w:tcBorders>
            <w:shd w:val="clear" w:color="auto" w:fill="auto"/>
            <w:vAlign w:val="bottom"/>
          </w:tcPr>
          <w:p w14:paraId="72B2FA4D" w14:textId="77777777" w:rsidR="00617F3E" w:rsidRPr="00617F3E" w:rsidRDefault="00617F3E" w:rsidP="00617F3E">
            <w:pPr>
              <w:pStyle w:val="Tabletext"/>
            </w:pPr>
            <w:r w:rsidRPr="00617F3E">
              <w:t>1</w:t>
            </w:r>
            <w:r w:rsidR="00D7157D">
              <w:t>.</w:t>
            </w:r>
            <w:r w:rsidRPr="00617F3E">
              <w:t>6655</w:t>
            </w:r>
          </w:p>
        </w:tc>
      </w:tr>
      <w:tr w:rsidR="00617F3E" w:rsidRPr="00617F3E" w14:paraId="5D2329D7" w14:textId="77777777" w:rsidTr="00617F3E">
        <w:trPr>
          <w:cantSplit/>
        </w:trPr>
        <w:tc>
          <w:tcPr>
            <w:tcW w:w="1136" w:type="pct"/>
            <w:tcBorders>
              <w:top w:val="single" w:sz="4" w:space="0" w:color="auto"/>
              <w:bottom w:val="single" w:sz="4" w:space="0" w:color="auto"/>
            </w:tcBorders>
          </w:tcPr>
          <w:p w14:paraId="4B2B0334" w14:textId="77777777" w:rsidR="00617F3E" w:rsidRPr="00617F3E" w:rsidRDefault="00617F3E" w:rsidP="00617F3E">
            <w:pPr>
              <w:pStyle w:val="Tabletext"/>
            </w:pPr>
            <w:r w:rsidRPr="00617F3E">
              <w:t>46</w:t>
            </w:r>
          </w:p>
        </w:tc>
        <w:tc>
          <w:tcPr>
            <w:tcW w:w="966" w:type="pct"/>
            <w:tcBorders>
              <w:top w:val="single" w:sz="4" w:space="0" w:color="auto"/>
              <w:bottom w:val="single" w:sz="4" w:space="0" w:color="auto"/>
            </w:tcBorders>
            <w:shd w:val="clear" w:color="auto" w:fill="auto"/>
            <w:vAlign w:val="bottom"/>
          </w:tcPr>
          <w:p w14:paraId="4C26D056" w14:textId="77777777" w:rsidR="00617F3E" w:rsidRPr="00617F3E" w:rsidRDefault="00617F3E" w:rsidP="00617F3E">
            <w:pPr>
              <w:pStyle w:val="Tabletext"/>
            </w:pPr>
            <w:r w:rsidRPr="00617F3E">
              <w:t>23</w:t>
            </w:r>
            <w:r w:rsidR="00D7157D">
              <w:t>.</w:t>
            </w:r>
            <w:r w:rsidRPr="00617F3E">
              <w:t>6942</w:t>
            </w:r>
          </w:p>
        </w:tc>
        <w:tc>
          <w:tcPr>
            <w:tcW w:w="966" w:type="pct"/>
            <w:tcBorders>
              <w:top w:val="single" w:sz="4" w:space="0" w:color="auto"/>
              <w:bottom w:val="single" w:sz="4" w:space="0" w:color="auto"/>
            </w:tcBorders>
            <w:shd w:val="clear" w:color="auto" w:fill="auto"/>
            <w:vAlign w:val="bottom"/>
          </w:tcPr>
          <w:p w14:paraId="0813430B" w14:textId="77777777" w:rsidR="00617F3E" w:rsidRPr="00617F3E" w:rsidRDefault="00617F3E" w:rsidP="00617F3E">
            <w:pPr>
              <w:pStyle w:val="Tabletext"/>
            </w:pPr>
            <w:r w:rsidRPr="00617F3E">
              <w:t>4</w:t>
            </w:r>
            <w:r w:rsidR="00D7157D">
              <w:t>.</w:t>
            </w:r>
            <w:r w:rsidRPr="00617F3E">
              <w:t>1409</w:t>
            </w:r>
          </w:p>
        </w:tc>
        <w:tc>
          <w:tcPr>
            <w:tcW w:w="966" w:type="pct"/>
            <w:tcBorders>
              <w:top w:val="single" w:sz="4" w:space="0" w:color="auto"/>
              <w:bottom w:val="single" w:sz="4" w:space="0" w:color="auto"/>
            </w:tcBorders>
            <w:shd w:val="clear" w:color="auto" w:fill="auto"/>
            <w:vAlign w:val="bottom"/>
          </w:tcPr>
          <w:p w14:paraId="65FFC1A1" w14:textId="77777777" w:rsidR="00617F3E" w:rsidRPr="00617F3E" w:rsidRDefault="00617F3E" w:rsidP="00617F3E">
            <w:pPr>
              <w:pStyle w:val="Tabletext"/>
            </w:pPr>
            <w:r w:rsidRPr="00617F3E">
              <w:t>25</w:t>
            </w:r>
            <w:r w:rsidR="00D7157D">
              <w:t>.</w:t>
            </w:r>
            <w:r w:rsidRPr="00617F3E">
              <w:t>6250</w:t>
            </w:r>
          </w:p>
        </w:tc>
        <w:tc>
          <w:tcPr>
            <w:tcW w:w="966" w:type="pct"/>
            <w:tcBorders>
              <w:top w:val="single" w:sz="4" w:space="0" w:color="auto"/>
              <w:bottom w:val="single" w:sz="4" w:space="0" w:color="auto"/>
              <w:right w:val="nil"/>
            </w:tcBorders>
            <w:shd w:val="clear" w:color="auto" w:fill="auto"/>
            <w:vAlign w:val="bottom"/>
          </w:tcPr>
          <w:p w14:paraId="1FB42604" w14:textId="77777777" w:rsidR="00617F3E" w:rsidRPr="00617F3E" w:rsidRDefault="00617F3E" w:rsidP="00617F3E">
            <w:pPr>
              <w:pStyle w:val="Tabletext"/>
            </w:pPr>
            <w:r w:rsidRPr="00617F3E">
              <w:t>1</w:t>
            </w:r>
            <w:r w:rsidR="00D7157D">
              <w:t>.</w:t>
            </w:r>
            <w:r w:rsidRPr="00617F3E">
              <w:t>5311</w:t>
            </w:r>
          </w:p>
        </w:tc>
      </w:tr>
      <w:tr w:rsidR="00617F3E" w:rsidRPr="00617F3E" w14:paraId="1CEF27F8" w14:textId="77777777" w:rsidTr="00617F3E">
        <w:trPr>
          <w:cantSplit/>
        </w:trPr>
        <w:tc>
          <w:tcPr>
            <w:tcW w:w="1136" w:type="pct"/>
            <w:tcBorders>
              <w:top w:val="single" w:sz="4" w:space="0" w:color="auto"/>
              <w:bottom w:val="single" w:sz="4" w:space="0" w:color="auto"/>
            </w:tcBorders>
          </w:tcPr>
          <w:p w14:paraId="2908F466" w14:textId="77777777" w:rsidR="00617F3E" w:rsidRPr="00617F3E" w:rsidRDefault="00617F3E" w:rsidP="00617F3E">
            <w:pPr>
              <w:pStyle w:val="Tabletext"/>
            </w:pPr>
            <w:r w:rsidRPr="00617F3E">
              <w:t>47</w:t>
            </w:r>
          </w:p>
        </w:tc>
        <w:tc>
          <w:tcPr>
            <w:tcW w:w="966" w:type="pct"/>
            <w:tcBorders>
              <w:top w:val="single" w:sz="4" w:space="0" w:color="auto"/>
              <w:bottom w:val="single" w:sz="4" w:space="0" w:color="auto"/>
            </w:tcBorders>
            <w:shd w:val="clear" w:color="auto" w:fill="auto"/>
            <w:vAlign w:val="bottom"/>
          </w:tcPr>
          <w:p w14:paraId="5794B7FB" w14:textId="77777777" w:rsidR="00617F3E" w:rsidRPr="00617F3E" w:rsidRDefault="00617F3E" w:rsidP="00617F3E">
            <w:pPr>
              <w:pStyle w:val="Tabletext"/>
            </w:pPr>
            <w:r w:rsidRPr="00617F3E">
              <w:t>23</w:t>
            </w:r>
            <w:r w:rsidR="00D7157D">
              <w:t>.</w:t>
            </w:r>
            <w:r w:rsidRPr="00617F3E">
              <w:t>2379</w:t>
            </w:r>
          </w:p>
        </w:tc>
        <w:tc>
          <w:tcPr>
            <w:tcW w:w="966" w:type="pct"/>
            <w:tcBorders>
              <w:top w:val="single" w:sz="4" w:space="0" w:color="auto"/>
              <w:bottom w:val="single" w:sz="4" w:space="0" w:color="auto"/>
            </w:tcBorders>
            <w:shd w:val="clear" w:color="auto" w:fill="auto"/>
            <w:vAlign w:val="bottom"/>
          </w:tcPr>
          <w:p w14:paraId="7F630A98" w14:textId="77777777" w:rsidR="00617F3E" w:rsidRPr="00617F3E" w:rsidRDefault="00617F3E" w:rsidP="00617F3E">
            <w:pPr>
              <w:pStyle w:val="Tabletext"/>
            </w:pPr>
            <w:r w:rsidRPr="00617F3E">
              <w:t>3</w:t>
            </w:r>
            <w:r w:rsidR="00D7157D">
              <w:t>.</w:t>
            </w:r>
            <w:r w:rsidRPr="00617F3E">
              <w:t>9955</w:t>
            </w:r>
          </w:p>
        </w:tc>
        <w:tc>
          <w:tcPr>
            <w:tcW w:w="966" w:type="pct"/>
            <w:tcBorders>
              <w:top w:val="single" w:sz="4" w:space="0" w:color="auto"/>
              <w:bottom w:val="single" w:sz="4" w:space="0" w:color="auto"/>
            </w:tcBorders>
            <w:shd w:val="clear" w:color="auto" w:fill="auto"/>
            <w:vAlign w:val="bottom"/>
          </w:tcPr>
          <w:p w14:paraId="159A7770" w14:textId="77777777" w:rsidR="00617F3E" w:rsidRPr="00617F3E" w:rsidRDefault="00617F3E" w:rsidP="00617F3E">
            <w:pPr>
              <w:pStyle w:val="Tabletext"/>
            </w:pPr>
            <w:r w:rsidRPr="00617F3E">
              <w:t>25</w:t>
            </w:r>
            <w:r w:rsidR="00D7157D">
              <w:t>.</w:t>
            </w:r>
            <w:r w:rsidRPr="00617F3E">
              <w:t>1740</w:t>
            </w:r>
          </w:p>
        </w:tc>
        <w:tc>
          <w:tcPr>
            <w:tcW w:w="966" w:type="pct"/>
            <w:tcBorders>
              <w:top w:val="single" w:sz="4" w:space="0" w:color="auto"/>
              <w:bottom w:val="single" w:sz="4" w:space="0" w:color="auto"/>
              <w:right w:val="nil"/>
            </w:tcBorders>
            <w:shd w:val="clear" w:color="auto" w:fill="auto"/>
            <w:vAlign w:val="bottom"/>
          </w:tcPr>
          <w:p w14:paraId="61E4ADDF" w14:textId="77777777" w:rsidR="00617F3E" w:rsidRPr="00617F3E" w:rsidRDefault="00617F3E" w:rsidP="00617F3E">
            <w:pPr>
              <w:pStyle w:val="Tabletext"/>
            </w:pPr>
            <w:r w:rsidRPr="00617F3E">
              <w:t>1</w:t>
            </w:r>
            <w:r w:rsidR="00D7157D">
              <w:t>.</w:t>
            </w:r>
            <w:r w:rsidRPr="00617F3E">
              <w:t>3946</w:t>
            </w:r>
          </w:p>
        </w:tc>
      </w:tr>
      <w:tr w:rsidR="00617F3E" w:rsidRPr="00617F3E" w14:paraId="69A16762" w14:textId="77777777" w:rsidTr="00617F3E">
        <w:trPr>
          <w:cantSplit/>
        </w:trPr>
        <w:tc>
          <w:tcPr>
            <w:tcW w:w="1136" w:type="pct"/>
            <w:tcBorders>
              <w:top w:val="single" w:sz="4" w:space="0" w:color="auto"/>
              <w:bottom w:val="single" w:sz="4" w:space="0" w:color="auto"/>
            </w:tcBorders>
          </w:tcPr>
          <w:p w14:paraId="1DDD1469" w14:textId="77777777" w:rsidR="00617F3E" w:rsidRPr="00617F3E" w:rsidRDefault="00617F3E" w:rsidP="00617F3E">
            <w:pPr>
              <w:pStyle w:val="Tabletext"/>
            </w:pPr>
            <w:r w:rsidRPr="00617F3E">
              <w:t>48</w:t>
            </w:r>
          </w:p>
        </w:tc>
        <w:tc>
          <w:tcPr>
            <w:tcW w:w="966" w:type="pct"/>
            <w:tcBorders>
              <w:top w:val="single" w:sz="4" w:space="0" w:color="auto"/>
              <w:bottom w:val="single" w:sz="4" w:space="0" w:color="auto"/>
            </w:tcBorders>
            <w:shd w:val="clear" w:color="auto" w:fill="auto"/>
            <w:vAlign w:val="bottom"/>
          </w:tcPr>
          <w:p w14:paraId="4564C647" w14:textId="77777777" w:rsidR="00617F3E" w:rsidRPr="00617F3E" w:rsidRDefault="00617F3E" w:rsidP="00617F3E">
            <w:pPr>
              <w:pStyle w:val="Tabletext"/>
            </w:pPr>
            <w:r w:rsidRPr="00617F3E">
              <w:t>22</w:t>
            </w:r>
            <w:r w:rsidR="00D7157D">
              <w:t>.</w:t>
            </w:r>
            <w:r w:rsidRPr="00617F3E">
              <w:t>7763</w:t>
            </w:r>
          </w:p>
        </w:tc>
        <w:tc>
          <w:tcPr>
            <w:tcW w:w="966" w:type="pct"/>
            <w:tcBorders>
              <w:top w:val="single" w:sz="4" w:space="0" w:color="auto"/>
              <w:bottom w:val="single" w:sz="4" w:space="0" w:color="auto"/>
            </w:tcBorders>
            <w:shd w:val="clear" w:color="auto" w:fill="auto"/>
            <w:vAlign w:val="bottom"/>
          </w:tcPr>
          <w:p w14:paraId="46176C3B" w14:textId="77777777" w:rsidR="00617F3E" w:rsidRPr="00617F3E" w:rsidRDefault="00617F3E" w:rsidP="00617F3E">
            <w:pPr>
              <w:pStyle w:val="Tabletext"/>
            </w:pPr>
            <w:r w:rsidRPr="00617F3E">
              <w:t>3</w:t>
            </w:r>
            <w:r w:rsidR="00D7157D">
              <w:t>.</w:t>
            </w:r>
            <w:r w:rsidRPr="00617F3E">
              <w:t>8467</w:t>
            </w:r>
          </w:p>
        </w:tc>
        <w:tc>
          <w:tcPr>
            <w:tcW w:w="966" w:type="pct"/>
            <w:tcBorders>
              <w:top w:val="single" w:sz="4" w:space="0" w:color="auto"/>
              <w:bottom w:val="single" w:sz="4" w:space="0" w:color="auto"/>
            </w:tcBorders>
            <w:shd w:val="clear" w:color="auto" w:fill="auto"/>
            <w:vAlign w:val="bottom"/>
          </w:tcPr>
          <w:p w14:paraId="0B9FF67E" w14:textId="77777777" w:rsidR="00617F3E" w:rsidRPr="00617F3E" w:rsidRDefault="00617F3E" w:rsidP="00617F3E">
            <w:pPr>
              <w:pStyle w:val="Tabletext"/>
            </w:pPr>
            <w:r w:rsidRPr="00617F3E">
              <w:t>24</w:t>
            </w:r>
            <w:r w:rsidR="00D7157D">
              <w:t>.</w:t>
            </w:r>
            <w:r w:rsidRPr="00617F3E">
              <w:t>7167</w:t>
            </w:r>
          </w:p>
        </w:tc>
        <w:tc>
          <w:tcPr>
            <w:tcW w:w="966" w:type="pct"/>
            <w:tcBorders>
              <w:top w:val="single" w:sz="4" w:space="0" w:color="auto"/>
              <w:bottom w:val="single" w:sz="4" w:space="0" w:color="auto"/>
              <w:right w:val="nil"/>
            </w:tcBorders>
            <w:shd w:val="clear" w:color="auto" w:fill="auto"/>
            <w:vAlign w:val="bottom"/>
          </w:tcPr>
          <w:p w14:paraId="12BFF833" w14:textId="77777777" w:rsidR="00617F3E" w:rsidRPr="00617F3E" w:rsidRDefault="00617F3E" w:rsidP="00617F3E">
            <w:pPr>
              <w:pStyle w:val="Tabletext"/>
            </w:pPr>
            <w:r w:rsidRPr="00617F3E">
              <w:t>1</w:t>
            </w:r>
            <w:r w:rsidR="00D7157D">
              <w:t>.</w:t>
            </w:r>
            <w:r w:rsidRPr="00617F3E">
              <w:t>2563</w:t>
            </w:r>
          </w:p>
        </w:tc>
      </w:tr>
      <w:tr w:rsidR="00617F3E" w:rsidRPr="00617F3E" w14:paraId="621AE359" w14:textId="77777777" w:rsidTr="00617F3E">
        <w:trPr>
          <w:cantSplit/>
        </w:trPr>
        <w:tc>
          <w:tcPr>
            <w:tcW w:w="1136" w:type="pct"/>
            <w:tcBorders>
              <w:top w:val="single" w:sz="4" w:space="0" w:color="auto"/>
              <w:bottom w:val="single" w:sz="4" w:space="0" w:color="auto"/>
            </w:tcBorders>
          </w:tcPr>
          <w:p w14:paraId="700816E8" w14:textId="77777777" w:rsidR="00617F3E" w:rsidRPr="00617F3E" w:rsidRDefault="00617F3E" w:rsidP="00617F3E">
            <w:pPr>
              <w:pStyle w:val="Tabletext"/>
            </w:pPr>
            <w:r w:rsidRPr="00617F3E">
              <w:t>49</w:t>
            </w:r>
          </w:p>
        </w:tc>
        <w:tc>
          <w:tcPr>
            <w:tcW w:w="966" w:type="pct"/>
            <w:tcBorders>
              <w:top w:val="single" w:sz="4" w:space="0" w:color="auto"/>
              <w:bottom w:val="single" w:sz="4" w:space="0" w:color="auto"/>
            </w:tcBorders>
            <w:shd w:val="clear" w:color="auto" w:fill="auto"/>
            <w:vAlign w:val="bottom"/>
          </w:tcPr>
          <w:p w14:paraId="0163A93D" w14:textId="77777777" w:rsidR="00617F3E" w:rsidRPr="00617F3E" w:rsidRDefault="00617F3E" w:rsidP="00617F3E">
            <w:pPr>
              <w:pStyle w:val="Tabletext"/>
            </w:pPr>
            <w:r w:rsidRPr="00617F3E">
              <w:t>22</w:t>
            </w:r>
            <w:r w:rsidR="00D7157D">
              <w:t>.</w:t>
            </w:r>
            <w:r w:rsidRPr="00617F3E">
              <w:t>3092</w:t>
            </w:r>
          </w:p>
        </w:tc>
        <w:tc>
          <w:tcPr>
            <w:tcW w:w="966" w:type="pct"/>
            <w:tcBorders>
              <w:top w:val="single" w:sz="4" w:space="0" w:color="auto"/>
              <w:bottom w:val="single" w:sz="4" w:space="0" w:color="auto"/>
            </w:tcBorders>
            <w:shd w:val="clear" w:color="auto" w:fill="auto"/>
            <w:vAlign w:val="bottom"/>
          </w:tcPr>
          <w:p w14:paraId="67602C73" w14:textId="77777777" w:rsidR="00617F3E" w:rsidRPr="00617F3E" w:rsidRDefault="00617F3E" w:rsidP="00617F3E">
            <w:pPr>
              <w:pStyle w:val="Tabletext"/>
            </w:pPr>
            <w:r w:rsidRPr="00617F3E">
              <w:t>3</w:t>
            </w:r>
            <w:r w:rsidR="00D7157D">
              <w:t>.</w:t>
            </w:r>
            <w:r w:rsidRPr="00617F3E">
              <w:t>6947</w:t>
            </w:r>
          </w:p>
        </w:tc>
        <w:tc>
          <w:tcPr>
            <w:tcW w:w="966" w:type="pct"/>
            <w:tcBorders>
              <w:top w:val="single" w:sz="4" w:space="0" w:color="auto"/>
              <w:bottom w:val="single" w:sz="4" w:space="0" w:color="auto"/>
            </w:tcBorders>
            <w:shd w:val="clear" w:color="auto" w:fill="auto"/>
            <w:vAlign w:val="bottom"/>
          </w:tcPr>
          <w:p w14:paraId="6F9626D2" w14:textId="77777777" w:rsidR="00617F3E" w:rsidRPr="00617F3E" w:rsidRDefault="00617F3E" w:rsidP="00617F3E">
            <w:pPr>
              <w:pStyle w:val="Tabletext"/>
            </w:pPr>
            <w:r w:rsidRPr="00617F3E">
              <w:t>24</w:t>
            </w:r>
            <w:r w:rsidR="00D7157D">
              <w:t>.</w:t>
            </w:r>
            <w:r w:rsidRPr="00617F3E">
              <w:t>2530</w:t>
            </w:r>
          </w:p>
        </w:tc>
        <w:tc>
          <w:tcPr>
            <w:tcW w:w="966" w:type="pct"/>
            <w:tcBorders>
              <w:top w:val="single" w:sz="4" w:space="0" w:color="auto"/>
              <w:bottom w:val="single" w:sz="4" w:space="0" w:color="auto"/>
              <w:right w:val="nil"/>
            </w:tcBorders>
            <w:shd w:val="clear" w:color="auto" w:fill="auto"/>
            <w:vAlign w:val="bottom"/>
          </w:tcPr>
          <w:p w14:paraId="6E5C32EF" w14:textId="77777777" w:rsidR="00617F3E" w:rsidRPr="00617F3E" w:rsidRDefault="00617F3E" w:rsidP="00617F3E">
            <w:pPr>
              <w:pStyle w:val="Tabletext"/>
            </w:pPr>
            <w:r w:rsidRPr="00617F3E">
              <w:t>1</w:t>
            </w:r>
            <w:r w:rsidR="00D7157D">
              <w:t>.</w:t>
            </w:r>
            <w:r w:rsidRPr="00617F3E">
              <w:t>1163</w:t>
            </w:r>
          </w:p>
        </w:tc>
      </w:tr>
      <w:tr w:rsidR="00617F3E" w:rsidRPr="00617F3E" w14:paraId="05D74E1B" w14:textId="77777777" w:rsidTr="00617F3E">
        <w:trPr>
          <w:cantSplit/>
        </w:trPr>
        <w:tc>
          <w:tcPr>
            <w:tcW w:w="1136" w:type="pct"/>
            <w:tcBorders>
              <w:top w:val="single" w:sz="4" w:space="0" w:color="auto"/>
              <w:bottom w:val="single" w:sz="4" w:space="0" w:color="auto"/>
            </w:tcBorders>
          </w:tcPr>
          <w:p w14:paraId="3C90B628" w14:textId="77777777" w:rsidR="00617F3E" w:rsidRPr="00617F3E" w:rsidRDefault="00617F3E" w:rsidP="00617F3E">
            <w:pPr>
              <w:pStyle w:val="Tabletext"/>
            </w:pPr>
            <w:r w:rsidRPr="00617F3E">
              <w:t>50</w:t>
            </w:r>
          </w:p>
        </w:tc>
        <w:tc>
          <w:tcPr>
            <w:tcW w:w="966" w:type="pct"/>
            <w:tcBorders>
              <w:top w:val="single" w:sz="4" w:space="0" w:color="auto"/>
              <w:bottom w:val="single" w:sz="4" w:space="0" w:color="auto"/>
            </w:tcBorders>
            <w:shd w:val="clear" w:color="auto" w:fill="auto"/>
            <w:vAlign w:val="bottom"/>
          </w:tcPr>
          <w:p w14:paraId="16A8FACB" w14:textId="77777777" w:rsidR="00617F3E" w:rsidRPr="00617F3E" w:rsidRDefault="00617F3E" w:rsidP="00617F3E">
            <w:pPr>
              <w:pStyle w:val="Tabletext"/>
            </w:pPr>
            <w:r w:rsidRPr="00617F3E">
              <w:t>21</w:t>
            </w:r>
            <w:r w:rsidR="00D7157D">
              <w:t>.</w:t>
            </w:r>
            <w:r w:rsidRPr="00617F3E">
              <w:t>8373</w:t>
            </w:r>
          </w:p>
        </w:tc>
        <w:tc>
          <w:tcPr>
            <w:tcW w:w="966" w:type="pct"/>
            <w:tcBorders>
              <w:top w:val="single" w:sz="4" w:space="0" w:color="auto"/>
              <w:bottom w:val="single" w:sz="4" w:space="0" w:color="auto"/>
            </w:tcBorders>
            <w:shd w:val="clear" w:color="auto" w:fill="auto"/>
            <w:vAlign w:val="bottom"/>
          </w:tcPr>
          <w:p w14:paraId="6BAA048D" w14:textId="77777777" w:rsidR="00617F3E" w:rsidRPr="00617F3E" w:rsidRDefault="00617F3E" w:rsidP="00617F3E">
            <w:pPr>
              <w:pStyle w:val="Tabletext"/>
            </w:pPr>
            <w:r w:rsidRPr="00617F3E">
              <w:t>3</w:t>
            </w:r>
            <w:r w:rsidR="00D7157D">
              <w:t>.</w:t>
            </w:r>
            <w:r w:rsidRPr="00617F3E">
              <w:t>5394</w:t>
            </w:r>
          </w:p>
        </w:tc>
        <w:tc>
          <w:tcPr>
            <w:tcW w:w="966" w:type="pct"/>
            <w:tcBorders>
              <w:top w:val="single" w:sz="4" w:space="0" w:color="auto"/>
              <w:bottom w:val="single" w:sz="4" w:space="0" w:color="auto"/>
            </w:tcBorders>
            <w:shd w:val="clear" w:color="auto" w:fill="auto"/>
            <w:vAlign w:val="bottom"/>
          </w:tcPr>
          <w:p w14:paraId="747D8803" w14:textId="77777777" w:rsidR="00617F3E" w:rsidRPr="00617F3E" w:rsidRDefault="00617F3E" w:rsidP="00617F3E">
            <w:pPr>
              <w:pStyle w:val="Tabletext"/>
            </w:pPr>
            <w:r w:rsidRPr="00617F3E">
              <w:t>23</w:t>
            </w:r>
            <w:r w:rsidR="00D7157D">
              <w:t>.</w:t>
            </w:r>
            <w:r w:rsidRPr="00617F3E">
              <w:t>7832</w:t>
            </w:r>
          </w:p>
        </w:tc>
        <w:tc>
          <w:tcPr>
            <w:tcW w:w="966" w:type="pct"/>
            <w:tcBorders>
              <w:top w:val="single" w:sz="4" w:space="0" w:color="auto"/>
              <w:bottom w:val="single" w:sz="4" w:space="0" w:color="auto"/>
              <w:right w:val="nil"/>
            </w:tcBorders>
            <w:shd w:val="clear" w:color="auto" w:fill="auto"/>
            <w:vAlign w:val="bottom"/>
          </w:tcPr>
          <w:p w14:paraId="0ED7BF6C" w14:textId="77777777" w:rsidR="00617F3E" w:rsidRPr="00617F3E" w:rsidRDefault="00617F3E" w:rsidP="00617F3E">
            <w:pPr>
              <w:pStyle w:val="Tabletext"/>
            </w:pPr>
            <w:r w:rsidRPr="00617F3E">
              <w:t>0</w:t>
            </w:r>
            <w:r w:rsidR="00D7157D">
              <w:t>.</w:t>
            </w:r>
            <w:r w:rsidRPr="00617F3E">
              <w:t>9746</w:t>
            </w:r>
          </w:p>
        </w:tc>
      </w:tr>
      <w:tr w:rsidR="00617F3E" w:rsidRPr="00617F3E" w14:paraId="3F1EC852" w14:textId="77777777" w:rsidTr="00617F3E">
        <w:trPr>
          <w:cantSplit/>
        </w:trPr>
        <w:tc>
          <w:tcPr>
            <w:tcW w:w="1136" w:type="pct"/>
            <w:tcBorders>
              <w:top w:val="single" w:sz="4" w:space="0" w:color="auto"/>
              <w:bottom w:val="single" w:sz="4" w:space="0" w:color="auto"/>
            </w:tcBorders>
          </w:tcPr>
          <w:p w14:paraId="2FDC1A4E" w14:textId="77777777" w:rsidR="00617F3E" w:rsidRPr="00617F3E" w:rsidRDefault="00617F3E" w:rsidP="00617F3E">
            <w:pPr>
              <w:pStyle w:val="Tabletext"/>
            </w:pPr>
            <w:r w:rsidRPr="00617F3E">
              <w:t>51</w:t>
            </w:r>
          </w:p>
        </w:tc>
        <w:tc>
          <w:tcPr>
            <w:tcW w:w="966" w:type="pct"/>
            <w:tcBorders>
              <w:top w:val="single" w:sz="4" w:space="0" w:color="auto"/>
              <w:bottom w:val="single" w:sz="4" w:space="0" w:color="auto"/>
            </w:tcBorders>
            <w:shd w:val="clear" w:color="auto" w:fill="auto"/>
            <w:vAlign w:val="bottom"/>
          </w:tcPr>
          <w:p w14:paraId="29E9FA87" w14:textId="77777777" w:rsidR="00617F3E" w:rsidRPr="00617F3E" w:rsidRDefault="00617F3E" w:rsidP="00617F3E">
            <w:pPr>
              <w:pStyle w:val="Tabletext"/>
            </w:pPr>
            <w:r w:rsidRPr="00617F3E">
              <w:t>21</w:t>
            </w:r>
            <w:r w:rsidR="00D7157D">
              <w:t>.</w:t>
            </w:r>
            <w:r w:rsidRPr="00617F3E">
              <w:t>3603</w:t>
            </w:r>
          </w:p>
        </w:tc>
        <w:tc>
          <w:tcPr>
            <w:tcW w:w="966" w:type="pct"/>
            <w:tcBorders>
              <w:top w:val="single" w:sz="4" w:space="0" w:color="auto"/>
              <w:bottom w:val="single" w:sz="4" w:space="0" w:color="auto"/>
            </w:tcBorders>
            <w:shd w:val="clear" w:color="auto" w:fill="auto"/>
            <w:vAlign w:val="bottom"/>
          </w:tcPr>
          <w:p w14:paraId="103CDEDE" w14:textId="77777777" w:rsidR="00617F3E" w:rsidRPr="00617F3E" w:rsidRDefault="00617F3E" w:rsidP="00617F3E">
            <w:pPr>
              <w:pStyle w:val="Tabletext"/>
            </w:pPr>
            <w:r w:rsidRPr="00617F3E">
              <w:t>3</w:t>
            </w:r>
            <w:r w:rsidR="00D7157D">
              <w:t>.</w:t>
            </w:r>
            <w:r w:rsidRPr="00617F3E">
              <w:t>0251</w:t>
            </w:r>
          </w:p>
        </w:tc>
        <w:tc>
          <w:tcPr>
            <w:tcW w:w="966" w:type="pct"/>
            <w:tcBorders>
              <w:top w:val="single" w:sz="4" w:space="0" w:color="auto"/>
              <w:bottom w:val="single" w:sz="4" w:space="0" w:color="auto"/>
            </w:tcBorders>
            <w:shd w:val="clear" w:color="auto" w:fill="auto"/>
            <w:vAlign w:val="bottom"/>
          </w:tcPr>
          <w:p w14:paraId="0A3EAB9D" w14:textId="77777777" w:rsidR="00617F3E" w:rsidRPr="00617F3E" w:rsidRDefault="00617F3E" w:rsidP="00617F3E">
            <w:pPr>
              <w:pStyle w:val="Tabletext"/>
            </w:pPr>
            <w:r w:rsidRPr="00617F3E">
              <w:t>23</w:t>
            </w:r>
            <w:r w:rsidR="00D7157D">
              <w:t>.</w:t>
            </w:r>
            <w:r w:rsidRPr="00617F3E">
              <w:t>3075</w:t>
            </w:r>
          </w:p>
        </w:tc>
        <w:tc>
          <w:tcPr>
            <w:tcW w:w="966" w:type="pct"/>
            <w:tcBorders>
              <w:top w:val="single" w:sz="4" w:space="0" w:color="auto"/>
              <w:bottom w:val="single" w:sz="4" w:space="0" w:color="auto"/>
              <w:right w:val="nil"/>
            </w:tcBorders>
            <w:shd w:val="clear" w:color="auto" w:fill="auto"/>
            <w:vAlign w:val="bottom"/>
          </w:tcPr>
          <w:p w14:paraId="214A6C05" w14:textId="77777777" w:rsidR="00617F3E" w:rsidRPr="00617F3E" w:rsidRDefault="00617F3E" w:rsidP="00617F3E">
            <w:pPr>
              <w:pStyle w:val="Tabletext"/>
            </w:pPr>
            <w:r w:rsidRPr="00617F3E">
              <w:t>0</w:t>
            </w:r>
            <w:r w:rsidR="00D7157D">
              <w:t>.</w:t>
            </w:r>
            <w:r w:rsidRPr="00617F3E">
              <w:t>8314</w:t>
            </w:r>
          </w:p>
        </w:tc>
      </w:tr>
      <w:tr w:rsidR="00617F3E" w:rsidRPr="00617F3E" w14:paraId="2F48CA29" w14:textId="77777777" w:rsidTr="00617F3E">
        <w:trPr>
          <w:cantSplit/>
        </w:trPr>
        <w:tc>
          <w:tcPr>
            <w:tcW w:w="1136" w:type="pct"/>
            <w:tcBorders>
              <w:top w:val="single" w:sz="4" w:space="0" w:color="auto"/>
              <w:bottom w:val="single" w:sz="4" w:space="0" w:color="auto"/>
            </w:tcBorders>
          </w:tcPr>
          <w:p w14:paraId="1AF7B6BA" w14:textId="77777777" w:rsidR="00617F3E" w:rsidRPr="00617F3E" w:rsidRDefault="00617F3E" w:rsidP="00617F3E">
            <w:pPr>
              <w:pStyle w:val="Tabletext"/>
            </w:pPr>
            <w:r w:rsidRPr="00617F3E">
              <w:t>52</w:t>
            </w:r>
          </w:p>
        </w:tc>
        <w:tc>
          <w:tcPr>
            <w:tcW w:w="966" w:type="pct"/>
            <w:tcBorders>
              <w:top w:val="single" w:sz="4" w:space="0" w:color="auto"/>
              <w:bottom w:val="single" w:sz="4" w:space="0" w:color="auto"/>
            </w:tcBorders>
            <w:shd w:val="clear" w:color="auto" w:fill="auto"/>
            <w:vAlign w:val="bottom"/>
          </w:tcPr>
          <w:p w14:paraId="2C29B53E" w14:textId="77777777" w:rsidR="00617F3E" w:rsidRPr="00617F3E" w:rsidRDefault="00617F3E" w:rsidP="00617F3E">
            <w:pPr>
              <w:pStyle w:val="Tabletext"/>
            </w:pPr>
            <w:r w:rsidRPr="00617F3E">
              <w:t>20</w:t>
            </w:r>
            <w:r w:rsidR="00D7157D">
              <w:t>.</w:t>
            </w:r>
            <w:r w:rsidRPr="00617F3E">
              <w:t>8787</w:t>
            </w:r>
          </w:p>
        </w:tc>
        <w:tc>
          <w:tcPr>
            <w:tcW w:w="966" w:type="pct"/>
            <w:tcBorders>
              <w:top w:val="single" w:sz="4" w:space="0" w:color="auto"/>
              <w:bottom w:val="single" w:sz="4" w:space="0" w:color="auto"/>
            </w:tcBorders>
            <w:shd w:val="clear" w:color="auto" w:fill="auto"/>
            <w:vAlign w:val="bottom"/>
          </w:tcPr>
          <w:p w14:paraId="571AE3CA" w14:textId="77777777" w:rsidR="00617F3E" w:rsidRPr="00617F3E" w:rsidRDefault="00617F3E" w:rsidP="00617F3E">
            <w:pPr>
              <w:pStyle w:val="Tabletext"/>
            </w:pPr>
            <w:r w:rsidRPr="00617F3E">
              <w:t>2</w:t>
            </w:r>
            <w:r w:rsidR="00D7157D">
              <w:t>.</w:t>
            </w:r>
            <w:r w:rsidRPr="00617F3E">
              <w:t>5040</w:t>
            </w:r>
          </w:p>
        </w:tc>
        <w:tc>
          <w:tcPr>
            <w:tcW w:w="966" w:type="pct"/>
            <w:tcBorders>
              <w:top w:val="single" w:sz="4" w:space="0" w:color="auto"/>
              <w:bottom w:val="single" w:sz="4" w:space="0" w:color="auto"/>
            </w:tcBorders>
            <w:shd w:val="clear" w:color="auto" w:fill="auto"/>
            <w:vAlign w:val="bottom"/>
          </w:tcPr>
          <w:p w14:paraId="3DA1952C" w14:textId="77777777" w:rsidR="00617F3E" w:rsidRPr="00617F3E" w:rsidRDefault="00617F3E" w:rsidP="00617F3E">
            <w:pPr>
              <w:pStyle w:val="Tabletext"/>
            </w:pPr>
            <w:r w:rsidRPr="00617F3E">
              <w:t>22</w:t>
            </w:r>
            <w:r w:rsidR="00D7157D">
              <w:t>.</w:t>
            </w:r>
            <w:r w:rsidRPr="00617F3E">
              <w:t>8257</w:t>
            </w:r>
          </w:p>
        </w:tc>
        <w:tc>
          <w:tcPr>
            <w:tcW w:w="966" w:type="pct"/>
            <w:tcBorders>
              <w:top w:val="single" w:sz="4" w:space="0" w:color="auto"/>
              <w:bottom w:val="single" w:sz="4" w:space="0" w:color="auto"/>
              <w:right w:val="nil"/>
            </w:tcBorders>
            <w:shd w:val="clear" w:color="auto" w:fill="auto"/>
            <w:vAlign w:val="bottom"/>
          </w:tcPr>
          <w:p w14:paraId="7AE49C30" w14:textId="77777777" w:rsidR="00617F3E" w:rsidRPr="00617F3E" w:rsidRDefault="00617F3E" w:rsidP="00617F3E">
            <w:pPr>
              <w:pStyle w:val="Tabletext"/>
            </w:pPr>
            <w:r w:rsidRPr="00617F3E">
              <w:t>0</w:t>
            </w:r>
            <w:r w:rsidR="00D7157D">
              <w:t>.</w:t>
            </w:r>
            <w:r w:rsidRPr="00617F3E">
              <w:t>6869</w:t>
            </w:r>
          </w:p>
        </w:tc>
      </w:tr>
      <w:tr w:rsidR="00617F3E" w:rsidRPr="00617F3E" w14:paraId="1B8D0803" w14:textId="77777777" w:rsidTr="00617F3E">
        <w:trPr>
          <w:cantSplit/>
        </w:trPr>
        <w:tc>
          <w:tcPr>
            <w:tcW w:w="1136" w:type="pct"/>
            <w:tcBorders>
              <w:top w:val="single" w:sz="4" w:space="0" w:color="auto"/>
              <w:bottom w:val="single" w:sz="4" w:space="0" w:color="auto"/>
            </w:tcBorders>
          </w:tcPr>
          <w:p w14:paraId="16804FF4" w14:textId="77777777" w:rsidR="00617F3E" w:rsidRPr="00617F3E" w:rsidRDefault="00617F3E" w:rsidP="00617F3E">
            <w:pPr>
              <w:pStyle w:val="Tabletext"/>
            </w:pPr>
            <w:r w:rsidRPr="00617F3E">
              <w:t>53</w:t>
            </w:r>
          </w:p>
        </w:tc>
        <w:tc>
          <w:tcPr>
            <w:tcW w:w="966" w:type="pct"/>
            <w:tcBorders>
              <w:top w:val="single" w:sz="4" w:space="0" w:color="auto"/>
              <w:bottom w:val="single" w:sz="4" w:space="0" w:color="auto"/>
            </w:tcBorders>
            <w:shd w:val="clear" w:color="auto" w:fill="auto"/>
            <w:vAlign w:val="bottom"/>
          </w:tcPr>
          <w:p w14:paraId="5387FAF0" w14:textId="77777777" w:rsidR="00617F3E" w:rsidRPr="00617F3E" w:rsidRDefault="00617F3E" w:rsidP="00617F3E">
            <w:pPr>
              <w:pStyle w:val="Tabletext"/>
            </w:pPr>
            <w:r w:rsidRPr="00617F3E">
              <w:t>20</w:t>
            </w:r>
            <w:r w:rsidR="00D7157D">
              <w:t>.</w:t>
            </w:r>
            <w:r w:rsidRPr="00617F3E">
              <w:t>3939</w:t>
            </w:r>
          </w:p>
        </w:tc>
        <w:tc>
          <w:tcPr>
            <w:tcW w:w="966" w:type="pct"/>
            <w:tcBorders>
              <w:top w:val="single" w:sz="4" w:space="0" w:color="auto"/>
              <w:bottom w:val="single" w:sz="4" w:space="0" w:color="auto"/>
            </w:tcBorders>
            <w:shd w:val="clear" w:color="auto" w:fill="auto"/>
            <w:vAlign w:val="bottom"/>
          </w:tcPr>
          <w:p w14:paraId="22B2A4FA" w14:textId="77777777" w:rsidR="00617F3E" w:rsidRPr="00617F3E" w:rsidRDefault="00617F3E" w:rsidP="00617F3E">
            <w:pPr>
              <w:pStyle w:val="Tabletext"/>
            </w:pPr>
            <w:r w:rsidRPr="00617F3E">
              <w:t>1</w:t>
            </w:r>
            <w:r w:rsidR="00D7157D">
              <w:t>.</w:t>
            </w:r>
            <w:r w:rsidRPr="00617F3E">
              <w:t>9763</w:t>
            </w:r>
          </w:p>
        </w:tc>
        <w:tc>
          <w:tcPr>
            <w:tcW w:w="966" w:type="pct"/>
            <w:tcBorders>
              <w:top w:val="single" w:sz="4" w:space="0" w:color="auto"/>
              <w:bottom w:val="single" w:sz="4" w:space="0" w:color="auto"/>
            </w:tcBorders>
            <w:shd w:val="clear" w:color="auto" w:fill="auto"/>
            <w:vAlign w:val="bottom"/>
          </w:tcPr>
          <w:p w14:paraId="3A6FD1DA" w14:textId="77777777" w:rsidR="00617F3E" w:rsidRPr="00617F3E" w:rsidRDefault="00617F3E" w:rsidP="00617F3E">
            <w:pPr>
              <w:pStyle w:val="Tabletext"/>
            </w:pPr>
            <w:r w:rsidRPr="00617F3E">
              <w:t>22</w:t>
            </w:r>
            <w:r w:rsidR="00D7157D">
              <w:t>.</w:t>
            </w:r>
            <w:r w:rsidRPr="00617F3E">
              <w:t>3389</w:t>
            </w:r>
          </w:p>
        </w:tc>
        <w:tc>
          <w:tcPr>
            <w:tcW w:w="966" w:type="pct"/>
            <w:tcBorders>
              <w:top w:val="single" w:sz="4" w:space="0" w:color="auto"/>
              <w:bottom w:val="single" w:sz="4" w:space="0" w:color="auto"/>
              <w:right w:val="nil"/>
            </w:tcBorders>
            <w:shd w:val="clear" w:color="auto" w:fill="auto"/>
            <w:vAlign w:val="bottom"/>
          </w:tcPr>
          <w:p w14:paraId="6ED27986" w14:textId="77777777" w:rsidR="00617F3E" w:rsidRPr="00617F3E" w:rsidRDefault="00617F3E" w:rsidP="00617F3E">
            <w:pPr>
              <w:pStyle w:val="Tabletext"/>
            </w:pPr>
            <w:r w:rsidRPr="00617F3E">
              <w:t>0</w:t>
            </w:r>
            <w:r w:rsidR="00D7157D">
              <w:t>.</w:t>
            </w:r>
            <w:r w:rsidRPr="00617F3E">
              <w:t>5410</w:t>
            </w:r>
          </w:p>
        </w:tc>
      </w:tr>
      <w:tr w:rsidR="00617F3E" w:rsidRPr="00617F3E" w14:paraId="3AD06145" w14:textId="77777777" w:rsidTr="00617F3E">
        <w:trPr>
          <w:cantSplit/>
        </w:trPr>
        <w:tc>
          <w:tcPr>
            <w:tcW w:w="1136" w:type="pct"/>
            <w:tcBorders>
              <w:top w:val="single" w:sz="4" w:space="0" w:color="auto"/>
              <w:bottom w:val="single" w:sz="4" w:space="0" w:color="auto"/>
            </w:tcBorders>
          </w:tcPr>
          <w:p w14:paraId="0C791829" w14:textId="77777777" w:rsidR="00617F3E" w:rsidRPr="00617F3E" w:rsidRDefault="00617F3E" w:rsidP="00617F3E">
            <w:pPr>
              <w:pStyle w:val="Tabletext"/>
            </w:pPr>
            <w:r w:rsidRPr="00617F3E">
              <w:t>54</w:t>
            </w:r>
          </w:p>
        </w:tc>
        <w:tc>
          <w:tcPr>
            <w:tcW w:w="966" w:type="pct"/>
            <w:tcBorders>
              <w:top w:val="single" w:sz="4" w:space="0" w:color="auto"/>
              <w:bottom w:val="single" w:sz="4" w:space="0" w:color="auto"/>
            </w:tcBorders>
            <w:shd w:val="clear" w:color="auto" w:fill="auto"/>
            <w:vAlign w:val="bottom"/>
          </w:tcPr>
          <w:p w14:paraId="1CA091CC" w14:textId="77777777" w:rsidR="00617F3E" w:rsidRPr="00617F3E" w:rsidRDefault="00617F3E" w:rsidP="00617F3E">
            <w:pPr>
              <w:pStyle w:val="Tabletext"/>
            </w:pPr>
            <w:r w:rsidRPr="00617F3E">
              <w:t>19</w:t>
            </w:r>
            <w:r w:rsidR="00D7157D">
              <w:t>.</w:t>
            </w:r>
            <w:r w:rsidRPr="00617F3E">
              <w:t>9068</w:t>
            </w:r>
          </w:p>
        </w:tc>
        <w:tc>
          <w:tcPr>
            <w:tcW w:w="966" w:type="pct"/>
            <w:tcBorders>
              <w:top w:val="single" w:sz="4" w:space="0" w:color="auto"/>
              <w:bottom w:val="single" w:sz="4" w:space="0" w:color="auto"/>
            </w:tcBorders>
            <w:shd w:val="clear" w:color="auto" w:fill="auto"/>
            <w:vAlign w:val="bottom"/>
          </w:tcPr>
          <w:p w14:paraId="5705FBBA" w14:textId="77777777" w:rsidR="00617F3E" w:rsidRPr="00617F3E" w:rsidRDefault="00617F3E" w:rsidP="00617F3E">
            <w:pPr>
              <w:pStyle w:val="Tabletext"/>
            </w:pPr>
            <w:r w:rsidRPr="00617F3E">
              <w:t>1</w:t>
            </w:r>
            <w:r w:rsidR="00D7157D">
              <w:t>.</w:t>
            </w:r>
            <w:r w:rsidRPr="00617F3E">
              <w:t>4429</w:t>
            </w:r>
          </w:p>
        </w:tc>
        <w:tc>
          <w:tcPr>
            <w:tcW w:w="966" w:type="pct"/>
            <w:tcBorders>
              <w:top w:val="single" w:sz="4" w:space="0" w:color="auto"/>
              <w:bottom w:val="single" w:sz="4" w:space="0" w:color="auto"/>
            </w:tcBorders>
            <w:shd w:val="clear" w:color="auto" w:fill="auto"/>
            <w:vAlign w:val="bottom"/>
          </w:tcPr>
          <w:p w14:paraId="1B96E664" w14:textId="77777777" w:rsidR="00617F3E" w:rsidRPr="00617F3E" w:rsidRDefault="00617F3E" w:rsidP="00617F3E">
            <w:pPr>
              <w:pStyle w:val="Tabletext"/>
            </w:pPr>
            <w:r w:rsidRPr="00617F3E">
              <w:t>21</w:t>
            </w:r>
            <w:r w:rsidR="00D7157D">
              <w:t>.</w:t>
            </w:r>
            <w:r w:rsidRPr="00617F3E">
              <w:t>8475</w:t>
            </w:r>
          </w:p>
        </w:tc>
        <w:tc>
          <w:tcPr>
            <w:tcW w:w="966" w:type="pct"/>
            <w:tcBorders>
              <w:top w:val="single" w:sz="4" w:space="0" w:color="auto"/>
              <w:bottom w:val="single" w:sz="4" w:space="0" w:color="auto"/>
              <w:right w:val="nil"/>
            </w:tcBorders>
            <w:shd w:val="clear" w:color="auto" w:fill="auto"/>
            <w:vAlign w:val="bottom"/>
          </w:tcPr>
          <w:p w14:paraId="07113950" w14:textId="77777777" w:rsidR="00617F3E" w:rsidRPr="00617F3E" w:rsidRDefault="00617F3E" w:rsidP="00617F3E">
            <w:pPr>
              <w:pStyle w:val="Tabletext"/>
            </w:pPr>
            <w:r w:rsidRPr="00617F3E">
              <w:t>0</w:t>
            </w:r>
            <w:r w:rsidR="00D7157D">
              <w:t>.</w:t>
            </w:r>
            <w:r w:rsidRPr="00617F3E">
              <w:t>3942</w:t>
            </w:r>
          </w:p>
        </w:tc>
      </w:tr>
      <w:tr w:rsidR="00617F3E" w:rsidRPr="00617F3E" w14:paraId="0DC049EC" w14:textId="77777777" w:rsidTr="00617F3E">
        <w:trPr>
          <w:cantSplit/>
        </w:trPr>
        <w:tc>
          <w:tcPr>
            <w:tcW w:w="1136" w:type="pct"/>
            <w:tcBorders>
              <w:top w:val="single" w:sz="4" w:space="0" w:color="auto"/>
              <w:bottom w:val="single" w:sz="4" w:space="0" w:color="auto"/>
            </w:tcBorders>
          </w:tcPr>
          <w:p w14:paraId="6730582D" w14:textId="77777777" w:rsidR="00617F3E" w:rsidRPr="00617F3E" w:rsidRDefault="00617F3E" w:rsidP="00617F3E">
            <w:pPr>
              <w:pStyle w:val="Tabletext"/>
            </w:pPr>
            <w:r w:rsidRPr="00617F3E">
              <w:t>55</w:t>
            </w:r>
          </w:p>
        </w:tc>
        <w:tc>
          <w:tcPr>
            <w:tcW w:w="966" w:type="pct"/>
            <w:tcBorders>
              <w:top w:val="single" w:sz="4" w:space="0" w:color="auto"/>
              <w:bottom w:val="single" w:sz="4" w:space="0" w:color="auto"/>
            </w:tcBorders>
            <w:shd w:val="clear" w:color="auto" w:fill="auto"/>
            <w:vAlign w:val="bottom"/>
          </w:tcPr>
          <w:p w14:paraId="44B39475" w14:textId="77777777" w:rsidR="00617F3E" w:rsidRPr="00617F3E" w:rsidRDefault="00617F3E" w:rsidP="00617F3E">
            <w:pPr>
              <w:pStyle w:val="Tabletext"/>
            </w:pPr>
            <w:r w:rsidRPr="00617F3E">
              <w:t>19</w:t>
            </w:r>
            <w:r w:rsidR="00D7157D">
              <w:t>.</w:t>
            </w:r>
            <w:r w:rsidRPr="00617F3E">
              <w:t>4179</w:t>
            </w:r>
          </w:p>
        </w:tc>
        <w:tc>
          <w:tcPr>
            <w:tcW w:w="966" w:type="pct"/>
            <w:tcBorders>
              <w:top w:val="single" w:sz="4" w:space="0" w:color="auto"/>
              <w:bottom w:val="single" w:sz="4" w:space="0" w:color="auto"/>
            </w:tcBorders>
            <w:shd w:val="clear" w:color="auto" w:fill="auto"/>
            <w:vAlign w:val="bottom"/>
          </w:tcPr>
          <w:p w14:paraId="38532BBD" w14:textId="77777777" w:rsidR="00617F3E" w:rsidRPr="00617F3E" w:rsidRDefault="00617F3E" w:rsidP="00617F3E">
            <w:pPr>
              <w:pStyle w:val="Tabletext"/>
            </w:pPr>
            <w:r w:rsidRPr="00617F3E">
              <w:t>0</w:t>
            </w:r>
            <w:r w:rsidR="00D7157D">
              <w:t>.</w:t>
            </w:r>
            <w:r w:rsidRPr="00617F3E">
              <w:t>9046</w:t>
            </w:r>
          </w:p>
        </w:tc>
        <w:tc>
          <w:tcPr>
            <w:tcW w:w="966" w:type="pct"/>
            <w:tcBorders>
              <w:top w:val="single" w:sz="4" w:space="0" w:color="auto"/>
              <w:bottom w:val="single" w:sz="4" w:space="0" w:color="auto"/>
            </w:tcBorders>
            <w:shd w:val="clear" w:color="auto" w:fill="auto"/>
            <w:vAlign w:val="bottom"/>
          </w:tcPr>
          <w:p w14:paraId="69C1C654" w14:textId="77777777" w:rsidR="00617F3E" w:rsidRPr="00617F3E" w:rsidRDefault="00617F3E" w:rsidP="00617F3E">
            <w:pPr>
              <w:pStyle w:val="Tabletext"/>
            </w:pPr>
            <w:r w:rsidRPr="00617F3E">
              <w:t>21</w:t>
            </w:r>
            <w:r w:rsidR="00D7157D">
              <w:t>.</w:t>
            </w:r>
            <w:r w:rsidRPr="00617F3E">
              <w:t>3510</w:t>
            </w:r>
          </w:p>
        </w:tc>
        <w:tc>
          <w:tcPr>
            <w:tcW w:w="966" w:type="pct"/>
            <w:tcBorders>
              <w:top w:val="single" w:sz="4" w:space="0" w:color="auto"/>
              <w:bottom w:val="single" w:sz="4" w:space="0" w:color="auto"/>
              <w:right w:val="nil"/>
            </w:tcBorders>
            <w:shd w:val="clear" w:color="auto" w:fill="auto"/>
            <w:vAlign w:val="bottom"/>
          </w:tcPr>
          <w:p w14:paraId="49E26818" w14:textId="77777777" w:rsidR="00617F3E" w:rsidRPr="00617F3E" w:rsidRDefault="00617F3E" w:rsidP="00617F3E">
            <w:pPr>
              <w:pStyle w:val="Tabletext"/>
            </w:pPr>
            <w:r w:rsidRPr="00617F3E">
              <w:t>0</w:t>
            </w:r>
            <w:r w:rsidR="00D7157D">
              <w:t>.</w:t>
            </w:r>
            <w:r w:rsidRPr="00617F3E">
              <w:t>2467</w:t>
            </w:r>
          </w:p>
        </w:tc>
      </w:tr>
      <w:tr w:rsidR="00617F3E" w:rsidRPr="00617F3E" w14:paraId="2315CFE1" w14:textId="77777777" w:rsidTr="00617F3E">
        <w:trPr>
          <w:cantSplit/>
        </w:trPr>
        <w:tc>
          <w:tcPr>
            <w:tcW w:w="1136" w:type="pct"/>
            <w:tcBorders>
              <w:top w:val="single" w:sz="4" w:space="0" w:color="auto"/>
              <w:bottom w:val="single" w:sz="4" w:space="0" w:color="auto"/>
            </w:tcBorders>
          </w:tcPr>
          <w:p w14:paraId="24E0971C" w14:textId="77777777" w:rsidR="00617F3E" w:rsidRPr="00617F3E" w:rsidRDefault="00617F3E" w:rsidP="00617F3E">
            <w:pPr>
              <w:pStyle w:val="Tabletext"/>
            </w:pPr>
            <w:r w:rsidRPr="00617F3E">
              <w:t>56</w:t>
            </w:r>
          </w:p>
        </w:tc>
        <w:tc>
          <w:tcPr>
            <w:tcW w:w="966" w:type="pct"/>
            <w:tcBorders>
              <w:top w:val="single" w:sz="4" w:space="0" w:color="auto"/>
              <w:bottom w:val="single" w:sz="4" w:space="0" w:color="auto"/>
            </w:tcBorders>
            <w:shd w:val="clear" w:color="auto" w:fill="auto"/>
            <w:vAlign w:val="bottom"/>
          </w:tcPr>
          <w:p w14:paraId="5711E5BC" w14:textId="77777777" w:rsidR="00617F3E" w:rsidRPr="00617F3E" w:rsidRDefault="00617F3E" w:rsidP="00617F3E">
            <w:pPr>
              <w:pStyle w:val="Tabletext"/>
            </w:pPr>
            <w:r w:rsidRPr="00617F3E">
              <w:t>18</w:t>
            </w:r>
            <w:r w:rsidR="00D7157D">
              <w:t>.</w:t>
            </w:r>
            <w:r w:rsidRPr="00617F3E">
              <w:t>9278</w:t>
            </w:r>
          </w:p>
        </w:tc>
        <w:tc>
          <w:tcPr>
            <w:tcW w:w="966" w:type="pct"/>
            <w:tcBorders>
              <w:top w:val="single" w:sz="4" w:space="0" w:color="auto"/>
              <w:bottom w:val="single" w:sz="4" w:space="0" w:color="auto"/>
            </w:tcBorders>
            <w:shd w:val="clear" w:color="auto" w:fill="auto"/>
            <w:vAlign w:val="bottom"/>
          </w:tcPr>
          <w:p w14:paraId="64A751F5" w14:textId="77777777" w:rsidR="00617F3E" w:rsidRPr="00617F3E" w:rsidRDefault="00617F3E" w:rsidP="00617F3E">
            <w:pPr>
              <w:pStyle w:val="Tabletext"/>
            </w:pPr>
            <w:r w:rsidRPr="00617F3E">
              <w:t>0</w:t>
            </w:r>
            <w:r w:rsidR="00D7157D">
              <w:t>.</w:t>
            </w:r>
            <w:r w:rsidRPr="00617F3E">
              <w:t>9068</w:t>
            </w:r>
          </w:p>
        </w:tc>
        <w:tc>
          <w:tcPr>
            <w:tcW w:w="966" w:type="pct"/>
            <w:tcBorders>
              <w:top w:val="single" w:sz="4" w:space="0" w:color="auto"/>
              <w:bottom w:val="single" w:sz="4" w:space="0" w:color="auto"/>
            </w:tcBorders>
            <w:shd w:val="clear" w:color="auto" w:fill="auto"/>
            <w:vAlign w:val="bottom"/>
          </w:tcPr>
          <w:p w14:paraId="02001D18" w14:textId="77777777" w:rsidR="00617F3E" w:rsidRPr="00617F3E" w:rsidRDefault="00617F3E" w:rsidP="00617F3E">
            <w:pPr>
              <w:pStyle w:val="Tabletext"/>
            </w:pPr>
            <w:r w:rsidRPr="00617F3E">
              <w:t>20</w:t>
            </w:r>
            <w:r w:rsidR="00D7157D">
              <w:t>.</w:t>
            </w:r>
            <w:r w:rsidRPr="00617F3E">
              <w:t>8496</w:t>
            </w:r>
          </w:p>
        </w:tc>
        <w:tc>
          <w:tcPr>
            <w:tcW w:w="966" w:type="pct"/>
            <w:tcBorders>
              <w:top w:val="single" w:sz="4" w:space="0" w:color="auto"/>
              <w:bottom w:val="single" w:sz="4" w:space="0" w:color="auto"/>
              <w:right w:val="nil"/>
            </w:tcBorders>
            <w:shd w:val="clear" w:color="auto" w:fill="auto"/>
            <w:vAlign w:val="bottom"/>
          </w:tcPr>
          <w:p w14:paraId="5968C336" w14:textId="77777777" w:rsidR="00617F3E" w:rsidRPr="00617F3E" w:rsidRDefault="00617F3E" w:rsidP="00617F3E">
            <w:pPr>
              <w:pStyle w:val="Tabletext"/>
            </w:pPr>
            <w:r w:rsidRPr="00617F3E">
              <w:t>0</w:t>
            </w:r>
            <w:r w:rsidR="00D7157D">
              <w:t>.</w:t>
            </w:r>
            <w:r w:rsidRPr="00617F3E">
              <w:t>2468</w:t>
            </w:r>
          </w:p>
        </w:tc>
      </w:tr>
      <w:tr w:rsidR="00617F3E" w:rsidRPr="00617F3E" w14:paraId="74D10B05" w14:textId="77777777" w:rsidTr="00617F3E">
        <w:trPr>
          <w:cantSplit/>
        </w:trPr>
        <w:tc>
          <w:tcPr>
            <w:tcW w:w="1136" w:type="pct"/>
            <w:tcBorders>
              <w:top w:val="single" w:sz="4" w:space="0" w:color="auto"/>
              <w:bottom w:val="single" w:sz="4" w:space="0" w:color="auto"/>
            </w:tcBorders>
          </w:tcPr>
          <w:p w14:paraId="16D4AC61" w14:textId="77777777" w:rsidR="00617F3E" w:rsidRPr="00617F3E" w:rsidRDefault="00617F3E" w:rsidP="00617F3E">
            <w:pPr>
              <w:pStyle w:val="Tabletext"/>
            </w:pPr>
            <w:r w:rsidRPr="00617F3E">
              <w:t>57</w:t>
            </w:r>
          </w:p>
        </w:tc>
        <w:tc>
          <w:tcPr>
            <w:tcW w:w="966" w:type="pct"/>
            <w:tcBorders>
              <w:top w:val="single" w:sz="4" w:space="0" w:color="auto"/>
              <w:bottom w:val="single" w:sz="4" w:space="0" w:color="auto"/>
            </w:tcBorders>
            <w:shd w:val="clear" w:color="auto" w:fill="auto"/>
            <w:vAlign w:val="bottom"/>
          </w:tcPr>
          <w:p w14:paraId="77E5BD35" w14:textId="77777777" w:rsidR="00617F3E" w:rsidRPr="00617F3E" w:rsidRDefault="00617F3E" w:rsidP="00617F3E">
            <w:pPr>
              <w:pStyle w:val="Tabletext"/>
            </w:pPr>
            <w:r w:rsidRPr="00617F3E">
              <w:t>18</w:t>
            </w:r>
            <w:r w:rsidR="00D7157D">
              <w:t>.</w:t>
            </w:r>
            <w:r w:rsidRPr="00617F3E">
              <w:t>4366</w:t>
            </w:r>
          </w:p>
        </w:tc>
        <w:tc>
          <w:tcPr>
            <w:tcW w:w="966" w:type="pct"/>
            <w:tcBorders>
              <w:top w:val="single" w:sz="4" w:space="0" w:color="auto"/>
              <w:bottom w:val="single" w:sz="4" w:space="0" w:color="auto"/>
            </w:tcBorders>
            <w:shd w:val="clear" w:color="auto" w:fill="auto"/>
            <w:vAlign w:val="bottom"/>
          </w:tcPr>
          <w:p w14:paraId="43988E65" w14:textId="77777777" w:rsidR="00617F3E" w:rsidRPr="00617F3E" w:rsidRDefault="00617F3E" w:rsidP="00617F3E">
            <w:pPr>
              <w:pStyle w:val="Tabletext"/>
            </w:pPr>
            <w:r w:rsidRPr="00617F3E">
              <w:t>0</w:t>
            </w:r>
            <w:r w:rsidR="00D7157D">
              <w:t>.</w:t>
            </w:r>
            <w:r w:rsidRPr="00617F3E">
              <w:t>9082</w:t>
            </w:r>
          </w:p>
        </w:tc>
        <w:tc>
          <w:tcPr>
            <w:tcW w:w="966" w:type="pct"/>
            <w:tcBorders>
              <w:top w:val="single" w:sz="4" w:space="0" w:color="auto"/>
              <w:bottom w:val="single" w:sz="4" w:space="0" w:color="auto"/>
            </w:tcBorders>
            <w:shd w:val="clear" w:color="auto" w:fill="auto"/>
            <w:vAlign w:val="bottom"/>
          </w:tcPr>
          <w:p w14:paraId="4E9B8126" w14:textId="77777777" w:rsidR="00617F3E" w:rsidRPr="00617F3E" w:rsidRDefault="00617F3E" w:rsidP="00617F3E">
            <w:pPr>
              <w:pStyle w:val="Tabletext"/>
            </w:pPr>
            <w:r w:rsidRPr="00617F3E">
              <w:t>20</w:t>
            </w:r>
            <w:r w:rsidR="00D7157D">
              <w:t>.</w:t>
            </w:r>
            <w:r w:rsidRPr="00617F3E">
              <w:t>3438</w:t>
            </w:r>
          </w:p>
        </w:tc>
        <w:tc>
          <w:tcPr>
            <w:tcW w:w="966" w:type="pct"/>
            <w:tcBorders>
              <w:top w:val="single" w:sz="4" w:space="0" w:color="auto"/>
              <w:bottom w:val="single" w:sz="4" w:space="0" w:color="auto"/>
              <w:right w:val="nil"/>
            </w:tcBorders>
            <w:shd w:val="clear" w:color="auto" w:fill="auto"/>
            <w:vAlign w:val="bottom"/>
          </w:tcPr>
          <w:p w14:paraId="3EB65B15" w14:textId="77777777" w:rsidR="00617F3E" w:rsidRPr="00617F3E" w:rsidRDefault="00617F3E" w:rsidP="00617F3E">
            <w:pPr>
              <w:pStyle w:val="Tabletext"/>
            </w:pPr>
            <w:r w:rsidRPr="00617F3E">
              <w:t>0</w:t>
            </w:r>
            <w:r w:rsidR="00D7157D">
              <w:t>.</w:t>
            </w:r>
            <w:r w:rsidRPr="00617F3E">
              <w:t>2468</w:t>
            </w:r>
          </w:p>
        </w:tc>
      </w:tr>
      <w:tr w:rsidR="00617F3E" w:rsidRPr="00617F3E" w14:paraId="769C6ADB" w14:textId="77777777" w:rsidTr="00617F3E">
        <w:trPr>
          <w:cantSplit/>
        </w:trPr>
        <w:tc>
          <w:tcPr>
            <w:tcW w:w="1136" w:type="pct"/>
            <w:tcBorders>
              <w:top w:val="single" w:sz="4" w:space="0" w:color="auto"/>
              <w:bottom w:val="single" w:sz="4" w:space="0" w:color="auto"/>
            </w:tcBorders>
          </w:tcPr>
          <w:p w14:paraId="12A0A938" w14:textId="77777777" w:rsidR="00617F3E" w:rsidRPr="00617F3E" w:rsidRDefault="00617F3E" w:rsidP="00617F3E">
            <w:pPr>
              <w:pStyle w:val="Tabletext"/>
            </w:pPr>
            <w:r w:rsidRPr="00617F3E">
              <w:t>58</w:t>
            </w:r>
          </w:p>
        </w:tc>
        <w:tc>
          <w:tcPr>
            <w:tcW w:w="966" w:type="pct"/>
            <w:tcBorders>
              <w:top w:val="single" w:sz="4" w:space="0" w:color="auto"/>
              <w:bottom w:val="single" w:sz="4" w:space="0" w:color="auto"/>
            </w:tcBorders>
            <w:shd w:val="clear" w:color="auto" w:fill="auto"/>
            <w:vAlign w:val="bottom"/>
          </w:tcPr>
          <w:p w14:paraId="38887A1F" w14:textId="77777777" w:rsidR="00617F3E" w:rsidRPr="00617F3E" w:rsidRDefault="00617F3E" w:rsidP="00617F3E">
            <w:pPr>
              <w:pStyle w:val="Tabletext"/>
            </w:pPr>
            <w:r w:rsidRPr="00617F3E">
              <w:t>17</w:t>
            </w:r>
            <w:r w:rsidR="00D7157D">
              <w:t>.</w:t>
            </w:r>
            <w:r w:rsidRPr="00617F3E">
              <w:t>9447</w:t>
            </w:r>
          </w:p>
        </w:tc>
        <w:tc>
          <w:tcPr>
            <w:tcW w:w="966" w:type="pct"/>
            <w:tcBorders>
              <w:top w:val="single" w:sz="4" w:space="0" w:color="auto"/>
              <w:bottom w:val="single" w:sz="4" w:space="0" w:color="auto"/>
            </w:tcBorders>
            <w:shd w:val="clear" w:color="auto" w:fill="auto"/>
            <w:vAlign w:val="bottom"/>
          </w:tcPr>
          <w:p w14:paraId="66C1DA9D" w14:textId="77777777" w:rsidR="00617F3E" w:rsidRPr="00617F3E" w:rsidRDefault="00617F3E" w:rsidP="00617F3E">
            <w:pPr>
              <w:pStyle w:val="Tabletext"/>
            </w:pPr>
            <w:r w:rsidRPr="00617F3E">
              <w:t>0</w:t>
            </w:r>
            <w:r w:rsidR="00D7157D">
              <w:t>.</w:t>
            </w:r>
            <w:r w:rsidRPr="00617F3E">
              <w:t>9089</w:t>
            </w:r>
          </w:p>
        </w:tc>
        <w:tc>
          <w:tcPr>
            <w:tcW w:w="966" w:type="pct"/>
            <w:tcBorders>
              <w:top w:val="single" w:sz="4" w:space="0" w:color="auto"/>
              <w:bottom w:val="single" w:sz="4" w:space="0" w:color="auto"/>
            </w:tcBorders>
            <w:shd w:val="clear" w:color="auto" w:fill="auto"/>
            <w:vAlign w:val="bottom"/>
          </w:tcPr>
          <w:p w14:paraId="35ECB3B2" w14:textId="77777777" w:rsidR="00617F3E" w:rsidRPr="00617F3E" w:rsidRDefault="00617F3E" w:rsidP="00617F3E">
            <w:pPr>
              <w:pStyle w:val="Tabletext"/>
            </w:pPr>
            <w:r w:rsidRPr="00617F3E">
              <w:t>19</w:t>
            </w:r>
            <w:r w:rsidR="00D7157D">
              <w:t>.</w:t>
            </w:r>
            <w:r w:rsidRPr="00617F3E">
              <w:t>8329</w:t>
            </w:r>
          </w:p>
        </w:tc>
        <w:tc>
          <w:tcPr>
            <w:tcW w:w="966" w:type="pct"/>
            <w:tcBorders>
              <w:top w:val="single" w:sz="4" w:space="0" w:color="auto"/>
              <w:bottom w:val="single" w:sz="4" w:space="0" w:color="auto"/>
              <w:right w:val="nil"/>
            </w:tcBorders>
            <w:shd w:val="clear" w:color="auto" w:fill="auto"/>
            <w:vAlign w:val="bottom"/>
          </w:tcPr>
          <w:p w14:paraId="54B67467" w14:textId="77777777" w:rsidR="00617F3E" w:rsidRPr="00617F3E" w:rsidRDefault="00617F3E" w:rsidP="00617F3E">
            <w:pPr>
              <w:pStyle w:val="Tabletext"/>
            </w:pPr>
            <w:r w:rsidRPr="00617F3E">
              <w:t>0</w:t>
            </w:r>
            <w:r w:rsidR="00D7157D">
              <w:t>.</w:t>
            </w:r>
            <w:r w:rsidRPr="00617F3E">
              <w:t>2465</w:t>
            </w:r>
          </w:p>
        </w:tc>
      </w:tr>
      <w:tr w:rsidR="00617F3E" w:rsidRPr="00617F3E" w14:paraId="3C5FD145" w14:textId="77777777" w:rsidTr="00617F3E">
        <w:trPr>
          <w:cantSplit/>
        </w:trPr>
        <w:tc>
          <w:tcPr>
            <w:tcW w:w="1136" w:type="pct"/>
            <w:tcBorders>
              <w:top w:val="single" w:sz="4" w:space="0" w:color="auto"/>
              <w:bottom w:val="single" w:sz="4" w:space="0" w:color="auto"/>
            </w:tcBorders>
          </w:tcPr>
          <w:p w14:paraId="69BC52C9" w14:textId="77777777" w:rsidR="00617F3E" w:rsidRPr="00617F3E" w:rsidRDefault="00617F3E" w:rsidP="00617F3E">
            <w:pPr>
              <w:pStyle w:val="Tabletext"/>
            </w:pPr>
            <w:r w:rsidRPr="00617F3E">
              <w:t>59</w:t>
            </w:r>
          </w:p>
        </w:tc>
        <w:tc>
          <w:tcPr>
            <w:tcW w:w="966" w:type="pct"/>
            <w:tcBorders>
              <w:top w:val="single" w:sz="4" w:space="0" w:color="auto"/>
              <w:bottom w:val="single" w:sz="4" w:space="0" w:color="auto"/>
            </w:tcBorders>
            <w:shd w:val="clear" w:color="auto" w:fill="auto"/>
            <w:vAlign w:val="bottom"/>
          </w:tcPr>
          <w:p w14:paraId="78C0D357" w14:textId="77777777" w:rsidR="00617F3E" w:rsidRPr="00617F3E" w:rsidRDefault="00617F3E" w:rsidP="00617F3E">
            <w:pPr>
              <w:pStyle w:val="Tabletext"/>
            </w:pPr>
            <w:r w:rsidRPr="00617F3E">
              <w:t>17</w:t>
            </w:r>
            <w:r w:rsidR="00D7157D">
              <w:t>.</w:t>
            </w:r>
            <w:r w:rsidRPr="00617F3E">
              <w:t>4521</w:t>
            </w:r>
          </w:p>
        </w:tc>
        <w:tc>
          <w:tcPr>
            <w:tcW w:w="966" w:type="pct"/>
            <w:tcBorders>
              <w:top w:val="single" w:sz="4" w:space="0" w:color="auto"/>
              <w:bottom w:val="single" w:sz="4" w:space="0" w:color="auto"/>
            </w:tcBorders>
            <w:shd w:val="clear" w:color="auto" w:fill="auto"/>
            <w:vAlign w:val="bottom"/>
          </w:tcPr>
          <w:p w14:paraId="1878A725" w14:textId="77777777" w:rsidR="00617F3E" w:rsidRPr="00617F3E" w:rsidRDefault="00617F3E" w:rsidP="00617F3E">
            <w:pPr>
              <w:pStyle w:val="Tabletext"/>
            </w:pPr>
            <w:r w:rsidRPr="00617F3E">
              <w:t>0</w:t>
            </w:r>
            <w:r w:rsidR="00D7157D">
              <w:t>.</w:t>
            </w:r>
            <w:r w:rsidRPr="00617F3E">
              <w:t>9088</w:t>
            </w:r>
          </w:p>
        </w:tc>
        <w:tc>
          <w:tcPr>
            <w:tcW w:w="966" w:type="pct"/>
            <w:tcBorders>
              <w:top w:val="single" w:sz="4" w:space="0" w:color="auto"/>
              <w:bottom w:val="single" w:sz="4" w:space="0" w:color="auto"/>
            </w:tcBorders>
            <w:shd w:val="clear" w:color="auto" w:fill="auto"/>
            <w:vAlign w:val="bottom"/>
          </w:tcPr>
          <w:p w14:paraId="67B0F7B4" w14:textId="77777777" w:rsidR="00617F3E" w:rsidRPr="00617F3E" w:rsidRDefault="00617F3E" w:rsidP="00617F3E">
            <w:pPr>
              <w:pStyle w:val="Tabletext"/>
            </w:pPr>
            <w:r w:rsidRPr="00617F3E">
              <w:t>19</w:t>
            </w:r>
            <w:r w:rsidR="00D7157D">
              <w:t>.</w:t>
            </w:r>
            <w:r w:rsidRPr="00617F3E">
              <w:t>3171</w:t>
            </w:r>
          </w:p>
        </w:tc>
        <w:tc>
          <w:tcPr>
            <w:tcW w:w="966" w:type="pct"/>
            <w:tcBorders>
              <w:top w:val="single" w:sz="4" w:space="0" w:color="auto"/>
              <w:bottom w:val="single" w:sz="4" w:space="0" w:color="auto"/>
              <w:right w:val="nil"/>
            </w:tcBorders>
            <w:shd w:val="clear" w:color="auto" w:fill="auto"/>
            <w:vAlign w:val="bottom"/>
          </w:tcPr>
          <w:p w14:paraId="0B1B9640" w14:textId="77777777" w:rsidR="00617F3E" w:rsidRPr="00617F3E" w:rsidRDefault="00617F3E" w:rsidP="00617F3E">
            <w:pPr>
              <w:pStyle w:val="Tabletext"/>
            </w:pPr>
            <w:r w:rsidRPr="00617F3E">
              <w:t>0</w:t>
            </w:r>
            <w:r w:rsidR="00D7157D">
              <w:t>.</w:t>
            </w:r>
            <w:r w:rsidRPr="00617F3E">
              <w:t>2462</w:t>
            </w:r>
          </w:p>
        </w:tc>
      </w:tr>
      <w:tr w:rsidR="00617F3E" w:rsidRPr="00617F3E" w14:paraId="10B407AC" w14:textId="77777777" w:rsidTr="00617F3E">
        <w:trPr>
          <w:cantSplit/>
        </w:trPr>
        <w:tc>
          <w:tcPr>
            <w:tcW w:w="1136" w:type="pct"/>
            <w:tcBorders>
              <w:top w:val="single" w:sz="4" w:space="0" w:color="auto"/>
              <w:bottom w:val="single" w:sz="4" w:space="0" w:color="auto"/>
            </w:tcBorders>
          </w:tcPr>
          <w:p w14:paraId="42EC0A80" w14:textId="77777777" w:rsidR="00617F3E" w:rsidRPr="00617F3E" w:rsidRDefault="00617F3E" w:rsidP="00617F3E">
            <w:pPr>
              <w:pStyle w:val="Tabletext"/>
            </w:pPr>
            <w:r w:rsidRPr="00617F3E">
              <w:t>60</w:t>
            </w:r>
          </w:p>
        </w:tc>
        <w:tc>
          <w:tcPr>
            <w:tcW w:w="966" w:type="pct"/>
            <w:tcBorders>
              <w:top w:val="single" w:sz="4" w:space="0" w:color="auto"/>
              <w:bottom w:val="single" w:sz="4" w:space="0" w:color="auto"/>
            </w:tcBorders>
            <w:shd w:val="clear" w:color="auto" w:fill="auto"/>
            <w:vAlign w:val="bottom"/>
          </w:tcPr>
          <w:p w14:paraId="745BA072" w14:textId="77777777" w:rsidR="00617F3E" w:rsidRPr="00617F3E" w:rsidRDefault="00617F3E" w:rsidP="00617F3E">
            <w:pPr>
              <w:pStyle w:val="Tabletext"/>
            </w:pPr>
            <w:r w:rsidRPr="00617F3E">
              <w:t>16</w:t>
            </w:r>
            <w:r w:rsidR="00D7157D">
              <w:t>.</w:t>
            </w:r>
            <w:r w:rsidRPr="00617F3E">
              <w:t>9589</w:t>
            </w:r>
          </w:p>
        </w:tc>
        <w:tc>
          <w:tcPr>
            <w:tcW w:w="966" w:type="pct"/>
            <w:tcBorders>
              <w:top w:val="single" w:sz="4" w:space="0" w:color="auto"/>
              <w:bottom w:val="single" w:sz="4" w:space="0" w:color="auto"/>
            </w:tcBorders>
            <w:shd w:val="clear" w:color="auto" w:fill="auto"/>
            <w:vAlign w:val="bottom"/>
          </w:tcPr>
          <w:p w14:paraId="7A272E58" w14:textId="77777777" w:rsidR="00617F3E" w:rsidRPr="00617F3E" w:rsidRDefault="00617F3E" w:rsidP="00617F3E">
            <w:pPr>
              <w:pStyle w:val="Tabletext"/>
            </w:pPr>
            <w:r w:rsidRPr="00617F3E">
              <w:t>0</w:t>
            </w:r>
            <w:r w:rsidR="00D7157D">
              <w:t>.</w:t>
            </w:r>
            <w:r w:rsidRPr="00617F3E">
              <w:t>9079</w:t>
            </w:r>
          </w:p>
        </w:tc>
        <w:tc>
          <w:tcPr>
            <w:tcW w:w="966" w:type="pct"/>
            <w:tcBorders>
              <w:top w:val="single" w:sz="4" w:space="0" w:color="auto"/>
              <w:bottom w:val="single" w:sz="4" w:space="0" w:color="auto"/>
            </w:tcBorders>
            <w:shd w:val="clear" w:color="auto" w:fill="auto"/>
            <w:vAlign w:val="bottom"/>
          </w:tcPr>
          <w:p w14:paraId="4C29ECC4" w14:textId="77777777" w:rsidR="00617F3E" w:rsidRPr="00617F3E" w:rsidRDefault="00617F3E" w:rsidP="00617F3E">
            <w:pPr>
              <w:pStyle w:val="Tabletext"/>
            </w:pPr>
            <w:r w:rsidRPr="00617F3E">
              <w:t>18</w:t>
            </w:r>
            <w:r w:rsidR="00D7157D">
              <w:t>.</w:t>
            </w:r>
            <w:r w:rsidRPr="00617F3E">
              <w:t>7964</w:t>
            </w:r>
          </w:p>
        </w:tc>
        <w:tc>
          <w:tcPr>
            <w:tcW w:w="966" w:type="pct"/>
            <w:tcBorders>
              <w:top w:val="single" w:sz="4" w:space="0" w:color="auto"/>
              <w:bottom w:val="single" w:sz="4" w:space="0" w:color="auto"/>
              <w:right w:val="nil"/>
            </w:tcBorders>
            <w:shd w:val="clear" w:color="auto" w:fill="auto"/>
            <w:vAlign w:val="bottom"/>
          </w:tcPr>
          <w:p w14:paraId="7F6CEC59" w14:textId="77777777" w:rsidR="00617F3E" w:rsidRPr="00617F3E" w:rsidRDefault="00617F3E" w:rsidP="00617F3E">
            <w:pPr>
              <w:pStyle w:val="Tabletext"/>
            </w:pPr>
            <w:r w:rsidRPr="00617F3E">
              <w:t>0</w:t>
            </w:r>
            <w:r w:rsidR="00D7157D">
              <w:t>.</w:t>
            </w:r>
            <w:r w:rsidRPr="00617F3E">
              <w:t>2456</w:t>
            </w:r>
          </w:p>
        </w:tc>
      </w:tr>
      <w:tr w:rsidR="00617F3E" w:rsidRPr="00617F3E" w14:paraId="31F740EF" w14:textId="77777777" w:rsidTr="00617F3E">
        <w:trPr>
          <w:cantSplit/>
        </w:trPr>
        <w:tc>
          <w:tcPr>
            <w:tcW w:w="1136" w:type="pct"/>
            <w:tcBorders>
              <w:top w:val="single" w:sz="4" w:space="0" w:color="auto"/>
              <w:bottom w:val="single" w:sz="4" w:space="0" w:color="auto"/>
            </w:tcBorders>
          </w:tcPr>
          <w:p w14:paraId="65971657" w14:textId="77777777" w:rsidR="00617F3E" w:rsidRPr="00617F3E" w:rsidRDefault="00617F3E" w:rsidP="00617F3E">
            <w:pPr>
              <w:pStyle w:val="Tabletext"/>
            </w:pPr>
            <w:r w:rsidRPr="00617F3E">
              <w:t>61</w:t>
            </w:r>
          </w:p>
        </w:tc>
        <w:tc>
          <w:tcPr>
            <w:tcW w:w="966" w:type="pct"/>
            <w:tcBorders>
              <w:top w:val="single" w:sz="4" w:space="0" w:color="auto"/>
              <w:bottom w:val="single" w:sz="4" w:space="0" w:color="auto"/>
            </w:tcBorders>
            <w:shd w:val="clear" w:color="auto" w:fill="auto"/>
            <w:vAlign w:val="bottom"/>
          </w:tcPr>
          <w:p w14:paraId="70410508" w14:textId="77777777" w:rsidR="00617F3E" w:rsidRPr="00617F3E" w:rsidRDefault="00617F3E" w:rsidP="00617F3E">
            <w:pPr>
              <w:pStyle w:val="Tabletext"/>
            </w:pPr>
            <w:r w:rsidRPr="00617F3E">
              <w:t>16</w:t>
            </w:r>
            <w:r w:rsidR="00D7157D">
              <w:t>.</w:t>
            </w:r>
            <w:r w:rsidRPr="00617F3E">
              <w:t>4652</w:t>
            </w:r>
          </w:p>
        </w:tc>
        <w:tc>
          <w:tcPr>
            <w:tcW w:w="966" w:type="pct"/>
            <w:tcBorders>
              <w:top w:val="single" w:sz="4" w:space="0" w:color="auto"/>
              <w:bottom w:val="single" w:sz="4" w:space="0" w:color="auto"/>
            </w:tcBorders>
            <w:shd w:val="clear" w:color="auto" w:fill="auto"/>
            <w:vAlign w:val="bottom"/>
          </w:tcPr>
          <w:p w14:paraId="096B06A9" w14:textId="77777777" w:rsidR="00617F3E" w:rsidRPr="00617F3E" w:rsidRDefault="00617F3E" w:rsidP="00617F3E">
            <w:pPr>
              <w:pStyle w:val="Tabletext"/>
            </w:pPr>
            <w:r w:rsidRPr="00617F3E">
              <w:t>0</w:t>
            </w:r>
            <w:r w:rsidR="00D7157D">
              <w:t>.</w:t>
            </w:r>
            <w:r w:rsidRPr="00617F3E">
              <w:t>9063</w:t>
            </w:r>
          </w:p>
        </w:tc>
        <w:tc>
          <w:tcPr>
            <w:tcW w:w="966" w:type="pct"/>
            <w:tcBorders>
              <w:top w:val="single" w:sz="4" w:space="0" w:color="auto"/>
              <w:bottom w:val="single" w:sz="4" w:space="0" w:color="auto"/>
            </w:tcBorders>
            <w:shd w:val="clear" w:color="auto" w:fill="auto"/>
            <w:vAlign w:val="bottom"/>
          </w:tcPr>
          <w:p w14:paraId="69EB3385" w14:textId="77777777" w:rsidR="00617F3E" w:rsidRPr="00617F3E" w:rsidRDefault="00617F3E" w:rsidP="00617F3E">
            <w:pPr>
              <w:pStyle w:val="Tabletext"/>
            </w:pPr>
            <w:r w:rsidRPr="00617F3E">
              <w:t>18</w:t>
            </w:r>
            <w:r w:rsidR="00D7157D">
              <w:t>.</w:t>
            </w:r>
            <w:r w:rsidRPr="00617F3E">
              <w:t>2707</w:t>
            </w:r>
          </w:p>
        </w:tc>
        <w:tc>
          <w:tcPr>
            <w:tcW w:w="966" w:type="pct"/>
            <w:tcBorders>
              <w:top w:val="single" w:sz="4" w:space="0" w:color="auto"/>
              <w:bottom w:val="single" w:sz="4" w:space="0" w:color="auto"/>
              <w:right w:val="nil"/>
            </w:tcBorders>
            <w:shd w:val="clear" w:color="auto" w:fill="auto"/>
            <w:vAlign w:val="bottom"/>
          </w:tcPr>
          <w:p w14:paraId="7F246302" w14:textId="77777777" w:rsidR="00617F3E" w:rsidRPr="00617F3E" w:rsidRDefault="00617F3E" w:rsidP="00617F3E">
            <w:pPr>
              <w:pStyle w:val="Tabletext"/>
            </w:pPr>
            <w:r w:rsidRPr="00617F3E">
              <w:t>0</w:t>
            </w:r>
            <w:r w:rsidR="00D7157D">
              <w:t>.</w:t>
            </w:r>
            <w:r w:rsidRPr="00617F3E">
              <w:t>2449</w:t>
            </w:r>
          </w:p>
        </w:tc>
      </w:tr>
      <w:tr w:rsidR="00617F3E" w:rsidRPr="00617F3E" w14:paraId="7A90E79E" w14:textId="77777777" w:rsidTr="00617F3E">
        <w:trPr>
          <w:cantSplit/>
        </w:trPr>
        <w:tc>
          <w:tcPr>
            <w:tcW w:w="1136" w:type="pct"/>
            <w:tcBorders>
              <w:top w:val="single" w:sz="4" w:space="0" w:color="auto"/>
              <w:bottom w:val="single" w:sz="4" w:space="0" w:color="auto"/>
            </w:tcBorders>
          </w:tcPr>
          <w:p w14:paraId="7582D861" w14:textId="77777777" w:rsidR="00617F3E" w:rsidRPr="00617F3E" w:rsidRDefault="00617F3E" w:rsidP="00617F3E">
            <w:pPr>
              <w:pStyle w:val="Tabletext"/>
            </w:pPr>
            <w:r w:rsidRPr="00617F3E">
              <w:t>62</w:t>
            </w:r>
          </w:p>
        </w:tc>
        <w:tc>
          <w:tcPr>
            <w:tcW w:w="966" w:type="pct"/>
            <w:tcBorders>
              <w:top w:val="single" w:sz="4" w:space="0" w:color="auto"/>
              <w:bottom w:val="single" w:sz="4" w:space="0" w:color="auto"/>
            </w:tcBorders>
            <w:shd w:val="clear" w:color="auto" w:fill="auto"/>
            <w:vAlign w:val="bottom"/>
          </w:tcPr>
          <w:p w14:paraId="37B3ECFC" w14:textId="77777777" w:rsidR="00617F3E" w:rsidRPr="00617F3E" w:rsidRDefault="00617F3E" w:rsidP="00617F3E">
            <w:pPr>
              <w:pStyle w:val="Tabletext"/>
            </w:pPr>
            <w:r w:rsidRPr="00617F3E">
              <w:t>15</w:t>
            </w:r>
            <w:r w:rsidR="00D7157D">
              <w:t>.</w:t>
            </w:r>
            <w:r w:rsidRPr="00617F3E">
              <w:t>9707</w:t>
            </w:r>
          </w:p>
        </w:tc>
        <w:tc>
          <w:tcPr>
            <w:tcW w:w="966" w:type="pct"/>
            <w:tcBorders>
              <w:top w:val="single" w:sz="4" w:space="0" w:color="auto"/>
              <w:bottom w:val="single" w:sz="4" w:space="0" w:color="auto"/>
            </w:tcBorders>
            <w:shd w:val="clear" w:color="auto" w:fill="auto"/>
            <w:vAlign w:val="bottom"/>
          </w:tcPr>
          <w:p w14:paraId="0C97612F" w14:textId="77777777" w:rsidR="00617F3E" w:rsidRPr="00617F3E" w:rsidRDefault="00617F3E" w:rsidP="00617F3E">
            <w:pPr>
              <w:pStyle w:val="Tabletext"/>
            </w:pPr>
            <w:r w:rsidRPr="00617F3E">
              <w:t>0</w:t>
            </w:r>
            <w:r w:rsidR="00D7157D">
              <w:t>.</w:t>
            </w:r>
            <w:r w:rsidRPr="00617F3E">
              <w:t>9038</w:t>
            </w:r>
          </w:p>
        </w:tc>
        <w:tc>
          <w:tcPr>
            <w:tcW w:w="966" w:type="pct"/>
            <w:tcBorders>
              <w:top w:val="single" w:sz="4" w:space="0" w:color="auto"/>
              <w:bottom w:val="single" w:sz="4" w:space="0" w:color="auto"/>
            </w:tcBorders>
            <w:shd w:val="clear" w:color="auto" w:fill="auto"/>
            <w:vAlign w:val="bottom"/>
          </w:tcPr>
          <w:p w14:paraId="2677EF30" w14:textId="77777777" w:rsidR="00617F3E" w:rsidRPr="00617F3E" w:rsidRDefault="00617F3E" w:rsidP="00617F3E">
            <w:pPr>
              <w:pStyle w:val="Tabletext"/>
            </w:pPr>
            <w:r w:rsidRPr="00617F3E">
              <w:t>17</w:t>
            </w:r>
            <w:r w:rsidR="00D7157D">
              <w:t>.</w:t>
            </w:r>
            <w:r w:rsidRPr="00617F3E">
              <w:t>7403</w:t>
            </w:r>
          </w:p>
        </w:tc>
        <w:tc>
          <w:tcPr>
            <w:tcW w:w="966" w:type="pct"/>
            <w:tcBorders>
              <w:top w:val="single" w:sz="4" w:space="0" w:color="auto"/>
              <w:bottom w:val="single" w:sz="4" w:space="0" w:color="auto"/>
              <w:right w:val="nil"/>
            </w:tcBorders>
            <w:shd w:val="clear" w:color="auto" w:fill="auto"/>
            <w:vAlign w:val="bottom"/>
          </w:tcPr>
          <w:p w14:paraId="621FD73B" w14:textId="77777777" w:rsidR="00617F3E" w:rsidRPr="00617F3E" w:rsidRDefault="00617F3E" w:rsidP="00617F3E">
            <w:pPr>
              <w:pStyle w:val="Tabletext"/>
            </w:pPr>
            <w:r w:rsidRPr="00617F3E">
              <w:t>0</w:t>
            </w:r>
            <w:r w:rsidR="00D7157D">
              <w:t>.</w:t>
            </w:r>
            <w:r w:rsidRPr="00617F3E">
              <w:t>2441</w:t>
            </w:r>
          </w:p>
        </w:tc>
      </w:tr>
      <w:tr w:rsidR="00617F3E" w:rsidRPr="00617F3E" w14:paraId="12117E9D" w14:textId="77777777" w:rsidTr="00617F3E">
        <w:trPr>
          <w:cantSplit/>
        </w:trPr>
        <w:tc>
          <w:tcPr>
            <w:tcW w:w="1136" w:type="pct"/>
            <w:tcBorders>
              <w:top w:val="single" w:sz="4" w:space="0" w:color="auto"/>
              <w:bottom w:val="single" w:sz="4" w:space="0" w:color="auto"/>
            </w:tcBorders>
          </w:tcPr>
          <w:p w14:paraId="24129BE6" w14:textId="77777777" w:rsidR="00617F3E" w:rsidRPr="00617F3E" w:rsidRDefault="00617F3E" w:rsidP="00617F3E">
            <w:pPr>
              <w:pStyle w:val="Tabletext"/>
            </w:pPr>
            <w:r w:rsidRPr="00617F3E">
              <w:t>63</w:t>
            </w:r>
          </w:p>
        </w:tc>
        <w:tc>
          <w:tcPr>
            <w:tcW w:w="966" w:type="pct"/>
            <w:tcBorders>
              <w:top w:val="single" w:sz="4" w:space="0" w:color="auto"/>
              <w:bottom w:val="single" w:sz="4" w:space="0" w:color="auto"/>
            </w:tcBorders>
            <w:shd w:val="clear" w:color="auto" w:fill="auto"/>
            <w:vAlign w:val="bottom"/>
          </w:tcPr>
          <w:p w14:paraId="78F39800" w14:textId="77777777" w:rsidR="00617F3E" w:rsidRPr="00617F3E" w:rsidRDefault="00617F3E" w:rsidP="00617F3E">
            <w:pPr>
              <w:pStyle w:val="Tabletext"/>
            </w:pPr>
            <w:r w:rsidRPr="00617F3E">
              <w:t>15</w:t>
            </w:r>
            <w:r w:rsidR="00D7157D">
              <w:t>.</w:t>
            </w:r>
            <w:r w:rsidRPr="00617F3E">
              <w:t>4752</w:t>
            </w:r>
          </w:p>
        </w:tc>
        <w:tc>
          <w:tcPr>
            <w:tcW w:w="966" w:type="pct"/>
            <w:tcBorders>
              <w:top w:val="single" w:sz="4" w:space="0" w:color="auto"/>
              <w:bottom w:val="single" w:sz="4" w:space="0" w:color="auto"/>
            </w:tcBorders>
            <w:shd w:val="clear" w:color="auto" w:fill="auto"/>
            <w:vAlign w:val="bottom"/>
          </w:tcPr>
          <w:p w14:paraId="341B22D9" w14:textId="77777777" w:rsidR="00617F3E" w:rsidRPr="00617F3E" w:rsidRDefault="00617F3E" w:rsidP="00617F3E">
            <w:pPr>
              <w:pStyle w:val="Tabletext"/>
            </w:pPr>
            <w:r w:rsidRPr="00617F3E">
              <w:t>0</w:t>
            </w:r>
            <w:r w:rsidR="00D7157D">
              <w:t>.</w:t>
            </w:r>
            <w:r w:rsidRPr="00617F3E">
              <w:t>9007</w:t>
            </w:r>
          </w:p>
        </w:tc>
        <w:tc>
          <w:tcPr>
            <w:tcW w:w="966" w:type="pct"/>
            <w:tcBorders>
              <w:top w:val="single" w:sz="4" w:space="0" w:color="auto"/>
              <w:bottom w:val="single" w:sz="4" w:space="0" w:color="auto"/>
            </w:tcBorders>
            <w:shd w:val="clear" w:color="auto" w:fill="auto"/>
            <w:vAlign w:val="bottom"/>
          </w:tcPr>
          <w:p w14:paraId="1014B993" w14:textId="77777777" w:rsidR="00617F3E" w:rsidRPr="00617F3E" w:rsidRDefault="00617F3E" w:rsidP="00617F3E">
            <w:pPr>
              <w:pStyle w:val="Tabletext"/>
            </w:pPr>
            <w:r w:rsidRPr="00617F3E">
              <w:t>17</w:t>
            </w:r>
            <w:r w:rsidR="00D7157D">
              <w:t>.</w:t>
            </w:r>
            <w:r w:rsidRPr="00617F3E">
              <w:t>2056</w:t>
            </w:r>
          </w:p>
        </w:tc>
        <w:tc>
          <w:tcPr>
            <w:tcW w:w="966" w:type="pct"/>
            <w:tcBorders>
              <w:top w:val="single" w:sz="4" w:space="0" w:color="auto"/>
              <w:bottom w:val="single" w:sz="4" w:space="0" w:color="auto"/>
              <w:right w:val="nil"/>
            </w:tcBorders>
            <w:shd w:val="clear" w:color="auto" w:fill="auto"/>
            <w:vAlign w:val="bottom"/>
          </w:tcPr>
          <w:p w14:paraId="061FEE9C" w14:textId="77777777" w:rsidR="00617F3E" w:rsidRPr="00617F3E" w:rsidRDefault="00617F3E" w:rsidP="00617F3E">
            <w:pPr>
              <w:pStyle w:val="Tabletext"/>
            </w:pPr>
            <w:r w:rsidRPr="00617F3E">
              <w:t>0</w:t>
            </w:r>
            <w:r w:rsidR="00D7157D">
              <w:t>.</w:t>
            </w:r>
            <w:r w:rsidRPr="00617F3E">
              <w:t>2430</w:t>
            </w:r>
          </w:p>
        </w:tc>
      </w:tr>
      <w:tr w:rsidR="00617F3E" w:rsidRPr="00617F3E" w14:paraId="0F97A1F4" w14:textId="77777777" w:rsidTr="00617F3E">
        <w:trPr>
          <w:cantSplit/>
        </w:trPr>
        <w:tc>
          <w:tcPr>
            <w:tcW w:w="1136" w:type="pct"/>
            <w:tcBorders>
              <w:top w:val="single" w:sz="4" w:space="0" w:color="auto"/>
              <w:bottom w:val="single" w:sz="4" w:space="0" w:color="auto"/>
            </w:tcBorders>
          </w:tcPr>
          <w:p w14:paraId="4432F965" w14:textId="77777777" w:rsidR="00617F3E" w:rsidRPr="00617F3E" w:rsidRDefault="00617F3E" w:rsidP="00617F3E">
            <w:pPr>
              <w:pStyle w:val="Tabletext"/>
            </w:pPr>
            <w:r w:rsidRPr="00617F3E">
              <w:t>64</w:t>
            </w:r>
          </w:p>
        </w:tc>
        <w:tc>
          <w:tcPr>
            <w:tcW w:w="966" w:type="pct"/>
            <w:tcBorders>
              <w:top w:val="single" w:sz="4" w:space="0" w:color="auto"/>
              <w:bottom w:val="single" w:sz="4" w:space="0" w:color="auto"/>
            </w:tcBorders>
            <w:shd w:val="clear" w:color="auto" w:fill="auto"/>
            <w:vAlign w:val="bottom"/>
          </w:tcPr>
          <w:p w14:paraId="72965F8B" w14:textId="77777777" w:rsidR="00617F3E" w:rsidRPr="00617F3E" w:rsidRDefault="00617F3E" w:rsidP="00617F3E">
            <w:pPr>
              <w:pStyle w:val="Tabletext"/>
            </w:pPr>
            <w:r w:rsidRPr="00617F3E">
              <w:t>14</w:t>
            </w:r>
            <w:r w:rsidR="00D7157D">
              <w:t>.</w:t>
            </w:r>
            <w:r w:rsidRPr="00617F3E">
              <w:t>9791</w:t>
            </w:r>
          </w:p>
        </w:tc>
        <w:tc>
          <w:tcPr>
            <w:tcW w:w="966" w:type="pct"/>
            <w:tcBorders>
              <w:top w:val="single" w:sz="4" w:space="0" w:color="auto"/>
              <w:bottom w:val="single" w:sz="4" w:space="0" w:color="auto"/>
            </w:tcBorders>
            <w:shd w:val="clear" w:color="auto" w:fill="auto"/>
            <w:vAlign w:val="bottom"/>
          </w:tcPr>
          <w:p w14:paraId="0DDC5F1F" w14:textId="77777777" w:rsidR="00617F3E" w:rsidRPr="00617F3E" w:rsidRDefault="00617F3E" w:rsidP="00617F3E">
            <w:pPr>
              <w:pStyle w:val="Tabletext"/>
            </w:pPr>
            <w:r w:rsidRPr="00617F3E">
              <w:t>0</w:t>
            </w:r>
            <w:r w:rsidR="00D7157D">
              <w:t>.</w:t>
            </w:r>
            <w:r w:rsidRPr="00617F3E">
              <w:t>8967</w:t>
            </w:r>
          </w:p>
        </w:tc>
        <w:tc>
          <w:tcPr>
            <w:tcW w:w="966" w:type="pct"/>
            <w:tcBorders>
              <w:top w:val="single" w:sz="4" w:space="0" w:color="auto"/>
              <w:bottom w:val="single" w:sz="4" w:space="0" w:color="auto"/>
            </w:tcBorders>
            <w:shd w:val="clear" w:color="auto" w:fill="auto"/>
            <w:vAlign w:val="bottom"/>
          </w:tcPr>
          <w:p w14:paraId="5A39D30B" w14:textId="77777777" w:rsidR="00617F3E" w:rsidRPr="00617F3E" w:rsidRDefault="00617F3E" w:rsidP="00617F3E">
            <w:pPr>
              <w:pStyle w:val="Tabletext"/>
            </w:pPr>
            <w:r w:rsidRPr="00617F3E">
              <w:t>16</w:t>
            </w:r>
            <w:r w:rsidR="00D7157D">
              <w:t>.</w:t>
            </w:r>
            <w:r w:rsidRPr="00617F3E">
              <w:t>6672</w:t>
            </w:r>
          </w:p>
        </w:tc>
        <w:tc>
          <w:tcPr>
            <w:tcW w:w="966" w:type="pct"/>
            <w:tcBorders>
              <w:top w:val="single" w:sz="4" w:space="0" w:color="auto"/>
              <w:bottom w:val="single" w:sz="4" w:space="0" w:color="auto"/>
              <w:right w:val="nil"/>
            </w:tcBorders>
            <w:shd w:val="clear" w:color="auto" w:fill="auto"/>
            <w:vAlign w:val="bottom"/>
          </w:tcPr>
          <w:p w14:paraId="77624255" w14:textId="77777777" w:rsidR="00617F3E" w:rsidRPr="00617F3E" w:rsidRDefault="00617F3E" w:rsidP="00617F3E">
            <w:pPr>
              <w:pStyle w:val="Tabletext"/>
            </w:pPr>
            <w:r w:rsidRPr="00617F3E">
              <w:t>0</w:t>
            </w:r>
            <w:r w:rsidR="00D7157D">
              <w:t>.</w:t>
            </w:r>
            <w:r w:rsidRPr="00617F3E">
              <w:t>2418</w:t>
            </w:r>
          </w:p>
        </w:tc>
      </w:tr>
      <w:tr w:rsidR="00617F3E" w:rsidRPr="00617F3E" w14:paraId="03D890A7" w14:textId="77777777" w:rsidTr="00617F3E">
        <w:trPr>
          <w:cantSplit/>
        </w:trPr>
        <w:tc>
          <w:tcPr>
            <w:tcW w:w="1136" w:type="pct"/>
            <w:tcBorders>
              <w:top w:val="single" w:sz="4" w:space="0" w:color="auto"/>
              <w:bottom w:val="single" w:sz="4" w:space="0" w:color="auto"/>
            </w:tcBorders>
          </w:tcPr>
          <w:p w14:paraId="472CD6D8" w14:textId="77777777" w:rsidR="00617F3E" w:rsidRPr="00617F3E" w:rsidRDefault="00617F3E" w:rsidP="00617F3E">
            <w:pPr>
              <w:pStyle w:val="Tabletext"/>
            </w:pPr>
            <w:r w:rsidRPr="00617F3E">
              <w:t>65</w:t>
            </w:r>
          </w:p>
        </w:tc>
        <w:tc>
          <w:tcPr>
            <w:tcW w:w="966" w:type="pct"/>
            <w:tcBorders>
              <w:top w:val="single" w:sz="4" w:space="0" w:color="auto"/>
              <w:bottom w:val="single" w:sz="4" w:space="0" w:color="auto"/>
            </w:tcBorders>
            <w:shd w:val="clear" w:color="auto" w:fill="auto"/>
            <w:vAlign w:val="bottom"/>
          </w:tcPr>
          <w:p w14:paraId="1E3B0811" w14:textId="77777777" w:rsidR="00617F3E" w:rsidRPr="00617F3E" w:rsidRDefault="00617F3E" w:rsidP="00617F3E">
            <w:pPr>
              <w:pStyle w:val="Tabletext"/>
            </w:pPr>
            <w:r w:rsidRPr="00617F3E">
              <w:t>14</w:t>
            </w:r>
            <w:r w:rsidR="00D7157D">
              <w:t>.</w:t>
            </w:r>
            <w:r w:rsidRPr="00617F3E">
              <w:t>4830</w:t>
            </w:r>
          </w:p>
        </w:tc>
        <w:tc>
          <w:tcPr>
            <w:tcW w:w="966" w:type="pct"/>
            <w:tcBorders>
              <w:top w:val="single" w:sz="4" w:space="0" w:color="auto"/>
              <w:bottom w:val="single" w:sz="4" w:space="0" w:color="auto"/>
            </w:tcBorders>
            <w:shd w:val="clear" w:color="auto" w:fill="auto"/>
            <w:vAlign w:val="bottom"/>
          </w:tcPr>
          <w:p w14:paraId="59B147B8" w14:textId="77777777" w:rsidR="00617F3E" w:rsidRPr="00617F3E" w:rsidRDefault="00617F3E" w:rsidP="00617F3E">
            <w:pPr>
              <w:pStyle w:val="Tabletext"/>
            </w:pPr>
            <w:r w:rsidRPr="00617F3E">
              <w:t>0</w:t>
            </w:r>
            <w:r w:rsidR="00D7157D">
              <w:t>.</w:t>
            </w:r>
            <w:r w:rsidRPr="00617F3E">
              <w:t>8919</w:t>
            </w:r>
          </w:p>
        </w:tc>
        <w:tc>
          <w:tcPr>
            <w:tcW w:w="966" w:type="pct"/>
            <w:tcBorders>
              <w:top w:val="single" w:sz="4" w:space="0" w:color="auto"/>
              <w:bottom w:val="single" w:sz="4" w:space="0" w:color="auto"/>
            </w:tcBorders>
            <w:shd w:val="clear" w:color="auto" w:fill="auto"/>
            <w:vAlign w:val="bottom"/>
          </w:tcPr>
          <w:p w14:paraId="01194BFE" w14:textId="77777777" w:rsidR="00617F3E" w:rsidRPr="00617F3E" w:rsidRDefault="00617F3E" w:rsidP="00617F3E">
            <w:pPr>
              <w:pStyle w:val="Tabletext"/>
            </w:pPr>
            <w:r w:rsidRPr="00617F3E">
              <w:t>16</w:t>
            </w:r>
            <w:r w:rsidR="00D7157D">
              <w:t>.</w:t>
            </w:r>
            <w:r w:rsidRPr="00617F3E">
              <w:t>1264</w:t>
            </w:r>
          </w:p>
        </w:tc>
        <w:tc>
          <w:tcPr>
            <w:tcW w:w="966" w:type="pct"/>
            <w:tcBorders>
              <w:top w:val="single" w:sz="4" w:space="0" w:color="auto"/>
              <w:bottom w:val="single" w:sz="4" w:space="0" w:color="auto"/>
              <w:right w:val="nil"/>
            </w:tcBorders>
            <w:shd w:val="clear" w:color="auto" w:fill="auto"/>
            <w:vAlign w:val="bottom"/>
          </w:tcPr>
          <w:p w14:paraId="42850333" w14:textId="77777777" w:rsidR="00617F3E" w:rsidRPr="00617F3E" w:rsidRDefault="00617F3E" w:rsidP="00617F3E">
            <w:pPr>
              <w:pStyle w:val="Tabletext"/>
            </w:pPr>
            <w:r w:rsidRPr="00617F3E">
              <w:t>0</w:t>
            </w:r>
            <w:r w:rsidR="00D7157D">
              <w:t>.</w:t>
            </w:r>
            <w:r w:rsidRPr="00617F3E">
              <w:t>2403</w:t>
            </w:r>
          </w:p>
        </w:tc>
      </w:tr>
      <w:tr w:rsidR="00617F3E" w:rsidRPr="00617F3E" w14:paraId="022EB162" w14:textId="77777777" w:rsidTr="00617F3E">
        <w:trPr>
          <w:cantSplit/>
        </w:trPr>
        <w:tc>
          <w:tcPr>
            <w:tcW w:w="1136" w:type="pct"/>
            <w:tcBorders>
              <w:top w:val="single" w:sz="4" w:space="0" w:color="auto"/>
              <w:bottom w:val="single" w:sz="4" w:space="0" w:color="auto"/>
            </w:tcBorders>
          </w:tcPr>
          <w:p w14:paraId="2631FC6F" w14:textId="77777777" w:rsidR="00617F3E" w:rsidRPr="00617F3E" w:rsidRDefault="00617F3E" w:rsidP="00617F3E">
            <w:pPr>
              <w:pStyle w:val="Tabletext"/>
            </w:pPr>
            <w:r w:rsidRPr="00617F3E">
              <w:t>66</w:t>
            </w:r>
          </w:p>
        </w:tc>
        <w:tc>
          <w:tcPr>
            <w:tcW w:w="966" w:type="pct"/>
            <w:tcBorders>
              <w:top w:val="single" w:sz="4" w:space="0" w:color="auto"/>
              <w:bottom w:val="single" w:sz="4" w:space="0" w:color="auto"/>
            </w:tcBorders>
            <w:shd w:val="clear" w:color="auto" w:fill="auto"/>
            <w:vAlign w:val="bottom"/>
          </w:tcPr>
          <w:p w14:paraId="66ADF6C7" w14:textId="77777777" w:rsidR="00617F3E" w:rsidRPr="00617F3E" w:rsidRDefault="00617F3E" w:rsidP="00617F3E">
            <w:pPr>
              <w:pStyle w:val="Tabletext"/>
            </w:pPr>
            <w:r w:rsidRPr="00617F3E">
              <w:t>13</w:t>
            </w:r>
            <w:r w:rsidR="00D7157D">
              <w:t>.</w:t>
            </w:r>
            <w:r w:rsidRPr="00617F3E">
              <w:t>9881</w:t>
            </w:r>
          </w:p>
        </w:tc>
        <w:tc>
          <w:tcPr>
            <w:tcW w:w="966" w:type="pct"/>
            <w:tcBorders>
              <w:top w:val="single" w:sz="4" w:space="0" w:color="auto"/>
              <w:bottom w:val="single" w:sz="4" w:space="0" w:color="auto"/>
            </w:tcBorders>
            <w:shd w:val="clear" w:color="auto" w:fill="auto"/>
            <w:vAlign w:val="bottom"/>
          </w:tcPr>
          <w:p w14:paraId="3AE122EF" w14:textId="77777777" w:rsidR="00617F3E" w:rsidRPr="00617F3E" w:rsidRDefault="00617F3E" w:rsidP="00617F3E">
            <w:pPr>
              <w:pStyle w:val="Tabletext"/>
            </w:pPr>
            <w:r w:rsidRPr="00617F3E">
              <w:t>0</w:t>
            </w:r>
            <w:r w:rsidR="00D7157D">
              <w:t>.</w:t>
            </w:r>
            <w:r w:rsidRPr="00617F3E">
              <w:t>8862</w:t>
            </w:r>
          </w:p>
        </w:tc>
        <w:tc>
          <w:tcPr>
            <w:tcW w:w="966" w:type="pct"/>
            <w:tcBorders>
              <w:top w:val="single" w:sz="4" w:space="0" w:color="auto"/>
              <w:bottom w:val="single" w:sz="4" w:space="0" w:color="auto"/>
            </w:tcBorders>
            <w:shd w:val="clear" w:color="auto" w:fill="auto"/>
            <w:vAlign w:val="bottom"/>
          </w:tcPr>
          <w:p w14:paraId="6A060137" w14:textId="77777777" w:rsidR="00617F3E" w:rsidRPr="00617F3E" w:rsidRDefault="00617F3E" w:rsidP="00617F3E">
            <w:pPr>
              <w:pStyle w:val="Tabletext"/>
            </w:pPr>
            <w:r w:rsidRPr="00617F3E">
              <w:t>15</w:t>
            </w:r>
            <w:r w:rsidR="00D7157D">
              <w:t>.</w:t>
            </w:r>
            <w:r w:rsidRPr="00617F3E">
              <w:t>5838</w:t>
            </w:r>
          </w:p>
        </w:tc>
        <w:tc>
          <w:tcPr>
            <w:tcW w:w="966" w:type="pct"/>
            <w:tcBorders>
              <w:top w:val="single" w:sz="4" w:space="0" w:color="auto"/>
              <w:bottom w:val="single" w:sz="4" w:space="0" w:color="auto"/>
              <w:right w:val="nil"/>
            </w:tcBorders>
            <w:shd w:val="clear" w:color="auto" w:fill="auto"/>
            <w:vAlign w:val="bottom"/>
          </w:tcPr>
          <w:p w14:paraId="03698562" w14:textId="77777777" w:rsidR="00617F3E" w:rsidRPr="00617F3E" w:rsidRDefault="00617F3E" w:rsidP="00617F3E">
            <w:pPr>
              <w:pStyle w:val="Tabletext"/>
            </w:pPr>
            <w:r w:rsidRPr="00617F3E">
              <w:t>0</w:t>
            </w:r>
            <w:r w:rsidR="00D7157D">
              <w:t>.</w:t>
            </w:r>
            <w:r w:rsidRPr="00617F3E">
              <w:t>2385</w:t>
            </w:r>
          </w:p>
        </w:tc>
      </w:tr>
      <w:tr w:rsidR="00617F3E" w:rsidRPr="00617F3E" w14:paraId="78B006E2" w14:textId="77777777" w:rsidTr="00617F3E">
        <w:trPr>
          <w:cantSplit/>
        </w:trPr>
        <w:tc>
          <w:tcPr>
            <w:tcW w:w="1136" w:type="pct"/>
            <w:tcBorders>
              <w:top w:val="single" w:sz="4" w:space="0" w:color="auto"/>
              <w:bottom w:val="single" w:sz="4" w:space="0" w:color="auto"/>
            </w:tcBorders>
          </w:tcPr>
          <w:p w14:paraId="5457B998" w14:textId="77777777" w:rsidR="00617F3E" w:rsidRPr="00617F3E" w:rsidRDefault="00617F3E" w:rsidP="00617F3E">
            <w:pPr>
              <w:pStyle w:val="Tabletext"/>
            </w:pPr>
            <w:r w:rsidRPr="00617F3E">
              <w:t>67</w:t>
            </w:r>
          </w:p>
        </w:tc>
        <w:tc>
          <w:tcPr>
            <w:tcW w:w="966" w:type="pct"/>
            <w:tcBorders>
              <w:top w:val="single" w:sz="4" w:space="0" w:color="auto"/>
              <w:bottom w:val="single" w:sz="4" w:space="0" w:color="auto"/>
            </w:tcBorders>
            <w:shd w:val="clear" w:color="auto" w:fill="auto"/>
            <w:vAlign w:val="bottom"/>
          </w:tcPr>
          <w:p w14:paraId="4477D084" w14:textId="77777777" w:rsidR="00617F3E" w:rsidRPr="00617F3E" w:rsidRDefault="00617F3E" w:rsidP="00617F3E">
            <w:pPr>
              <w:pStyle w:val="Tabletext"/>
            </w:pPr>
            <w:r w:rsidRPr="00617F3E">
              <w:t>13</w:t>
            </w:r>
            <w:r w:rsidR="00D7157D">
              <w:t>.</w:t>
            </w:r>
            <w:r w:rsidRPr="00617F3E">
              <w:t>4912</w:t>
            </w:r>
          </w:p>
        </w:tc>
        <w:tc>
          <w:tcPr>
            <w:tcW w:w="966" w:type="pct"/>
            <w:tcBorders>
              <w:top w:val="single" w:sz="4" w:space="0" w:color="auto"/>
              <w:bottom w:val="single" w:sz="4" w:space="0" w:color="auto"/>
            </w:tcBorders>
            <w:shd w:val="clear" w:color="auto" w:fill="auto"/>
            <w:vAlign w:val="bottom"/>
          </w:tcPr>
          <w:p w14:paraId="43872FB2" w14:textId="77777777" w:rsidR="00617F3E" w:rsidRPr="00617F3E" w:rsidRDefault="00617F3E" w:rsidP="00617F3E">
            <w:pPr>
              <w:pStyle w:val="Tabletext"/>
            </w:pPr>
            <w:r w:rsidRPr="00617F3E">
              <w:t>0</w:t>
            </w:r>
            <w:r w:rsidR="00D7157D">
              <w:t>.</w:t>
            </w:r>
            <w:r w:rsidRPr="00617F3E">
              <w:t>8798</w:t>
            </w:r>
          </w:p>
        </w:tc>
        <w:tc>
          <w:tcPr>
            <w:tcW w:w="966" w:type="pct"/>
            <w:tcBorders>
              <w:top w:val="single" w:sz="4" w:space="0" w:color="auto"/>
              <w:bottom w:val="single" w:sz="4" w:space="0" w:color="auto"/>
            </w:tcBorders>
            <w:shd w:val="clear" w:color="auto" w:fill="auto"/>
            <w:vAlign w:val="bottom"/>
          </w:tcPr>
          <w:p w14:paraId="343D8E0A" w14:textId="77777777" w:rsidR="00617F3E" w:rsidRPr="00617F3E" w:rsidRDefault="00617F3E" w:rsidP="00617F3E">
            <w:pPr>
              <w:pStyle w:val="Tabletext"/>
            </w:pPr>
            <w:r w:rsidRPr="00617F3E">
              <w:t>15</w:t>
            </w:r>
            <w:r w:rsidR="00D7157D">
              <w:t>.</w:t>
            </w:r>
            <w:r w:rsidRPr="00617F3E">
              <w:t>0392</w:t>
            </w:r>
          </w:p>
        </w:tc>
        <w:tc>
          <w:tcPr>
            <w:tcW w:w="966" w:type="pct"/>
            <w:tcBorders>
              <w:top w:val="single" w:sz="4" w:space="0" w:color="auto"/>
              <w:bottom w:val="single" w:sz="4" w:space="0" w:color="auto"/>
              <w:right w:val="nil"/>
            </w:tcBorders>
            <w:shd w:val="clear" w:color="auto" w:fill="auto"/>
            <w:vAlign w:val="bottom"/>
          </w:tcPr>
          <w:p w14:paraId="387EEF53" w14:textId="77777777" w:rsidR="00617F3E" w:rsidRPr="00617F3E" w:rsidRDefault="00617F3E" w:rsidP="00617F3E">
            <w:pPr>
              <w:pStyle w:val="Tabletext"/>
            </w:pPr>
            <w:r w:rsidRPr="00617F3E">
              <w:t>0</w:t>
            </w:r>
            <w:r w:rsidR="00D7157D">
              <w:t>.</w:t>
            </w:r>
            <w:r w:rsidRPr="00617F3E">
              <w:t>2365</w:t>
            </w:r>
          </w:p>
        </w:tc>
      </w:tr>
      <w:tr w:rsidR="00617F3E" w:rsidRPr="00617F3E" w14:paraId="3641A6DB" w14:textId="77777777" w:rsidTr="00617F3E">
        <w:trPr>
          <w:cantSplit/>
        </w:trPr>
        <w:tc>
          <w:tcPr>
            <w:tcW w:w="1136" w:type="pct"/>
            <w:tcBorders>
              <w:top w:val="single" w:sz="4" w:space="0" w:color="auto"/>
              <w:bottom w:val="single" w:sz="4" w:space="0" w:color="auto"/>
            </w:tcBorders>
          </w:tcPr>
          <w:p w14:paraId="14051419" w14:textId="77777777" w:rsidR="00617F3E" w:rsidRPr="00617F3E" w:rsidRDefault="00617F3E" w:rsidP="00617F3E">
            <w:pPr>
              <w:pStyle w:val="Tabletext"/>
            </w:pPr>
            <w:r w:rsidRPr="00617F3E">
              <w:t>68</w:t>
            </w:r>
          </w:p>
        </w:tc>
        <w:tc>
          <w:tcPr>
            <w:tcW w:w="966" w:type="pct"/>
            <w:tcBorders>
              <w:top w:val="single" w:sz="4" w:space="0" w:color="auto"/>
              <w:bottom w:val="single" w:sz="4" w:space="0" w:color="auto"/>
            </w:tcBorders>
            <w:shd w:val="clear" w:color="auto" w:fill="auto"/>
            <w:vAlign w:val="bottom"/>
          </w:tcPr>
          <w:p w14:paraId="21E0D0A3" w14:textId="77777777" w:rsidR="00617F3E" w:rsidRPr="00617F3E" w:rsidRDefault="00617F3E" w:rsidP="00617F3E">
            <w:pPr>
              <w:pStyle w:val="Tabletext"/>
            </w:pPr>
            <w:r w:rsidRPr="00617F3E">
              <w:t>12</w:t>
            </w:r>
            <w:r w:rsidR="00D7157D">
              <w:t>.</w:t>
            </w:r>
            <w:r w:rsidRPr="00617F3E">
              <w:t>9935</w:t>
            </w:r>
          </w:p>
        </w:tc>
        <w:tc>
          <w:tcPr>
            <w:tcW w:w="966" w:type="pct"/>
            <w:tcBorders>
              <w:top w:val="single" w:sz="4" w:space="0" w:color="auto"/>
              <w:bottom w:val="single" w:sz="4" w:space="0" w:color="auto"/>
            </w:tcBorders>
            <w:shd w:val="clear" w:color="auto" w:fill="auto"/>
            <w:vAlign w:val="bottom"/>
          </w:tcPr>
          <w:p w14:paraId="48B0B09E" w14:textId="77777777" w:rsidR="00617F3E" w:rsidRPr="00617F3E" w:rsidRDefault="00617F3E" w:rsidP="00617F3E">
            <w:pPr>
              <w:pStyle w:val="Tabletext"/>
            </w:pPr>
            <w:r w:rsidRPr="00617F3E">
              <w:t>0</w:t>
            </w:r>
            <w:r w:rsidR="00D7157D">
              <w:t>.</w:t>
            </w:r>
            <w:r w:rsidRPr="00617F3E">
              <w:t>8727</w:t>
            </w:r>
          </w:p>
        </w:tc>
        <w:tc>
          <w:tcPr>
            <w:tcW w:w="966" w:type="pct"/>
            <w:tcBorders>
              <w:top w:val="single" w:sz="4" w:space="0" w:color="auto"/>
              <w:bottom w:val="single" w:sz="4" w:space="0" w:color="auto"/>
            </w:tcBorders>
            <w:shd w:val="clear" w:color="auto" w:fill="auto"/>
            <w:vAlign w:val="bottom"/>
          </w:tcPr>
          <w:p w14:paraId="3D74681A" w14:textId="77777777" w:rsidR="00617F3E" w:rsidRPr="00617F3E" w:rsidRDefault="00617F3E" w:rsidP="00617F3E">
            <w:pPr>
              <w:pStyle w:val="Tabletext"/>
            </w:pPr>
            <w:r w:rsidRPr="00617F3E">
              <w:t>14</w:t>
            </w:r>
            <w:r w:rsidR="00D7157D">
              <w:t>.</w:t>
            </w:r>
            <w:r w:rsidRPr="00617F3E">
              <w:t>4934</w:t>
            </w:r>
          </w:p>
        </w:tc>
        <w:tc>
          <w:tcPr>
            <w:tcW w:w="966" w:type="pct"/>
            <w:tcBorders>
              <w:top w:val="single" w:sz="4" w:space="0" w:color="auto"/>
              <w:bottom w:val="single" w:sz="4" w:space="0" w:color="auto"/>
              <w:right w:val="nil"/>
            </w:tcBorders>
            <w:shd w:val="clear" w:color="auto" w:fill="auto"/>
            <w:vAlign w:val="bottom"/>
          </w:tcPr>
          <w:p w14:paraId="35CA8AF5" w14:textId="77777777" w:rsidR="00617F3E" w:rsidRPr="00617F3E" w:rsidRDefault="00617F3E" w:rsidP="00617F3E">
            <w:pPr>
              <w:pStyle w:val="Tabletext"/>
            </w:pPr>
            <w:r w:rsidRPr="00617F3E">
              <w:t>0</w:t>
            </w:r>
            <w:r w:rsidR="00D7157D">
              <w:t>.</w:t>
            </w:r>
            <w:r w:rsidRPr="00617F3E">
              <w:t>2343</w:t>
            </w:r>
          </w:p>
        </w:tc>
      </w:tr>
      <w:tr w:rsidR="00617F3E" w:rsidRPr="00617F3E" w14:paraId="76CCE6A0" w14:textId="77777777" w:rsidTr="00617F3E">
        <w:trPr>
          <w:cantSplit/>
        </w:trPr>
        <w:tc>
          <w:tcPr>
            <w:tcW w:w="1136" w:type="pct"/>
            <w:tcBorders>
              <w:top w:val="single" w:sz="4" w:space="0" w:color="auto"/>
              <w:bottom w:val="single" w:sz="4" w:space="0" w:color="auto"/>
            </w:tcBorders>
          </w:tcPr>
          <w:p w14:paraId="0FAAEED6" w14:textId="77777777" w:rsidR="00617F3E" w:rsidRPr="00617F3E" w:rsidRDefault="00617F3E" w:rsidP="00617F3E">
            <w:pPr>
              <w:pStyle w:val="Tabletext"/>
            </w:pPr>
            <w:r w:rsidRPr="00617F3E">
              <w:t>69</w:t>
            </w:r>
          </w:p>
        </w:tc>
        <w:tc>
          <w:tcPr>
            <w:tcW w:w="966" w:type="pct"/>
            <w:tcBorders>
              <w:top w:val="single" w:sz="4" w:space="0" w:color="auto"/>
              <w:bottom w:val="single" w:sz="4" w:space="0" w:color="auto"/>
            </w:tcBorders>
            <w:shd w:val="clear" w:color="auto" w:fill="auto"/>
            <w:vAlign w:val="bottom"/>
          </w:tcPr>
          <w:p w14:paraId="2B9941F7" w14:textId="77777777" w:rsidR="00617F3E" w:rsidRPr="00617F3E" w:rsidRDefault="00617F3E" w:rsidP="00617F3E">
            <w:pPr>
              <w:pStyle w:val="Tabletext"/>
            </w:pPr>
            <w:r w:rsidRPr="00617F3E">
              <w:t>12</w:t>
            </w:r>
            <w:r w:rsidR="00D7157D">
              <w:t>.</w:t>
            </w:r>
            <w:r w:rsidRPr="00617F3E">
              <w:t>4962</w:t>
            </w:r>
          </w:p>
        </w:tc>
        <w:tc>
          <w:tcPr>
            <w:tcW w:w="966" w:type="pct"/>
            <w:tcBorders>
              <w:top w:val="single" w:sz="4" w:space="0" w:color="auto"/>
              <w:bottom w:val="single" w:sz="4" w:space="0" w:color="auto"/>
            </w:tcBorders>
            <w:shd w:val="clear" w:color="auto" w:fill="auto"/>
            <w:vAlign w:val="bottom"/>
          </w:tcPr>
          <w:p w14:paraId="31845961" w14:textId="77777777" w:rsidR="00617F3E" w:rsidRPr="00617F3E" w:rsidRDefault="00617F3E" w:rsidP="00617F3E">
            <w:pPr>
              <w:pStyle w:val="Tabletext"/>
            </w:pPr>
            <w:r w:rsidRPr="00617F3E">
              <w:t>0</w:t>
            </w:r>
            <w:r w:rsidR="00D7157D">
              <w:t>.</w:t>
            </w:r>
            <w:r w:rsidRPr="00617F3E">
              <w:t>8647</w:t>
            </w:r>
          </w:p>
        </w:tc>
        <w:tc>
          <w:tcPr>
            <w:tcW w:w="966" w:type="pct"/>
            <w:tcBorders>
              <w:top w:val="single" w:sz="4" w:space="0" w:color="auto"/>
              <w:bottom w:val="single" w:sz="4" w:space="0" w:color="auto"/>
            </w:tcBorders>
            <w:shd w:val="clear" w:color="auto" w:fill="auto"/>
            <w:vAlign w:val="bottom"/>
          </w:tcPr>
          <w:p w14:paraId="3D659E01" w14:textId="77777777" w:rsidR="00617F3E" w:rsidRPr="00617F3E" w:rsidRDefault="00617F3E" w:rsidP="00617F3E">
            <w:pPr>
              <w:pStyle w:val="Tabletext"/>
            </w:pPr>
            <w:r w:rsidRPr="00617F3E">
              <w:t>13</w:t>
            </w:r>
            <w:r w:rsidR="00D7157D">
              <w:t>.</w:t>
            </w:r>
            <w:r w:rsidRPr="00617F3E">
              <w:t>9478</w:t>
            </w:r>
          </w:p>
        </w:tc>
        <w:tc>
          <w:tcPr>
            <w:tcW w:w="966" w:type="pct"/>
            <w:tcBorders>
              <w:top w:val="single" w:sz="4" w:space="0" w:color="auto"/>
              <w:bottom w:val="single" w:sz="4" w:space="0" w:color="auto"/>
              <w:right w:val="nil"/>
            </w:tcBorders>
            <w:shd w:val="clear" w:color="auto" w:fill="auto"/>
            <w:vAlign w:val="bottom"/>
          </w:tcPr>
          <w:p w14:paraId="7E6B55F0" w14:textId="77777777" w:rsidR="00617F3E" w:rsidRPr="00617F3E" w:rsidRDefault="00617F3E" w:rsidP="00617F3E">
            <w:pPr>
              <w:pStyle w:val="Tabletext"/>
            </w:pPr>
            <w:r w:rsidRPr="00617F3E">
              <w:t>0</w:t>
            </w:r>
            <w:r w:rsidR="00D7157D">
              <w:t>.</w:t>
            </w:r>
            <w:r w:rsidRPr="00617F3E">
              <w:t>2317</w:t>
            </w:r>
          </w:p>
        </w:tc>
      </w:tr>
      <w:tr w:rsidR="00617F3E" w:rsidRPr="00617F3E" w14:paraId="7A0721A1" w14:textId="77777777" w:rsidTr="00617F3E">
        <w:trPr>
          <w:cantSplit/>
        </w:trPr>
        <w:tc>
          <w:tcPr>
            <w:tcW w:w="1136" w:type="pct"/>
            <w:tcBorders>
              <w:top w:val="single" w:sz="4" w:space="0" w:color="auto"/>
              <w:bottom w:val="single" w:sz="4" w:space="0" w:color="auto"/>
            </w:tcBorders>
          </w:tcPr>
          <w:p w14:paraId="2DB86D81" w14:textId="77777777" w:rsidR="00617F3E" w:rsidRPr="00617F3E" w:rsidRDefault="00617F3E" w:rsidP="00617F3E">
            <w:pPr>
              <w:pStyle w:val="Tabletext"/>
            </w:pPr>
            <w:r w:rsidRPr="00617F3E">
              <w:t>70</w:t>
            </w:r>
          </w:p>
        </w:tc>
        <w:tc>
          <w:tcPr>
            <w:tcW w:w="966" w:type="pct"/>
            <w:tcBorders>
              <w:top w:val="single" w:sz="4" w:space="0" w:color="auto"/>
              <w:bottom w:val="single" w:sz="4" w:space="0" w:color="auto"/>
            </w:tcBorders>
            <w:shd w:val="clear" w:color="auto" w:fill="auto"/>
            <w:vAlign w:val="bottom"/>
          </w:tcPr>
          <w:p w14:paraId="174DBE90" w14:textId="77777777" w:rsidR="00617F3E" w:rsidRPr="00617F3E" w:rsidRDefault="00617F3E" w:rsidP="00617F3E">
            <w:pPr>
              <w:pStyle w:val="Tabletext"/>
            </w:pPr>
            <w:r w:rsidRPr="00617F3E">
              <w:t>12</w:t>
            </w:r>
            <w:r w:rsidR="00D7157D">
              <w:t>.</w:t>
            </w:r>
            <w:r w:rsidRPr="00617F3E">
              <w:t>0002</w:t>
            </w:r>
          </w:p>
        </w:tc>
        <w:tc>
          <w:tcPr>
            <w:tcW w:w="966" w:type="pct"/>
            <w:tcBorders>
              <w:top w:val="single" w:sz="4" w:space="0" w:color="auto"/>
              <w:bottom w:val="single" w:sz="4" w:space="0" w:color="auto"/>
            </w:tcBorders>
            <w:shd w:val="clear" w:color="auto" w:fill="auto"/>
            <w:vAlign w:val="bottom"/>
          </w:tcPr>
          <w:p w14:paraId="1C9465D8" w14:textId="77777777" w:rsidR="00617F3E" w:rsidRPr="00617F3E" w:rsidRDefault="00617F3E" w:rsidP="00617F3E">
            <w:pPr>
              <w:pStyle w:val="Tabletext"/>
            </w:pPr>
            <w:r w:rsidRPr="00617F3E">
              <w:t>0</w:t>
            </w:r>
            <w:r w:rsidR="00D7157D">
              <w:t>.</w:t>
            </w:r>
            <w:r w:rsidRPr="00617F3E">
              <w:t>8559</w:t>
            </w:r>
          </w:p>
        </w:tc>
        <w:tc>
          <w:tcPr>
            <w:tcW w:w="966" w:type="pct"/>
            <w:tcBorders>
              <w:top w:val="single" w:sz="4" w:space="0" w:color="auto"/>
              <w:bottom w:val="single" w:sz="4" w:space="0" w:color="auto"/>
            </w:tcBorders>
            <w:shd w:val="clear" w:color="auto" w:fill="auto"/>
            <w:vAlign w:val="bottom"/>
          </w:tcPr>
          <w:p w14:paraId="0413C68C" w14:textId="77777777" w:rsidR="00617F3E" w:rsidRPr="00617F3E" w:rsidRDefault="00617F3E" w:rsidP="00617F3E">
            <w:pPr>
              <w:pStyle w:val="Tabletext"/>
            </w:pPr>
            <w:r w:rsidRPr="00617F3E">
              <w:t>13</w:t>
            </w:r>
            <w:r w:rsidR="00D7157D">
              <w:t>.</w:t>
            </w:r>
            <w:r w:rsidRPr="00617F3E">
              <w:t>4028</w:t>
            </w:r>
          </w:p>
        </w:tc>
        <w:tc>
          <w:tcPr>
            <w:tcW w:w="966" w:type="pct"/>
            <w:tcBorders>
              <w:top w:val="single" w:sz="4" w:space="0" w:color="auto"/>
              <w:bottom w:val="single" w:sz="4" w:space="0" w:color="auto"/>
              <w:right w:val="nil"/>
            </w:tcBorders>
            <w:shd w:val="clear" w:color="auto" w:fill="auto"/>
            <w:vAlign w:val="bottom"/>
          </w:tcPr>
          <w:p w14:paraId="05B48962" w14:textId="77777777" w:rsidR="00617F3E" w:rsidRPr="00617F3E" w:rsidRDefault="00617F3E" w:rsidP="00617F3E">
            <w:pPr>
              <w:pStyle w:val="Tabletext"/>
            </w:pPr>
            <w:r w:rsidRPr="00617F3E">
              <w:t>0</w:t>
            </w:r>
            <w:r w:rsidR="00D7157D">
              <w:t>.</w:t>
            </w:r>
            <w:r w:rsidRPr="00617F3E">
              <w:t>2289</w:t>
            </w:r>
          </w:p>
        </w:tc>
      </w:tr>
      <w:tr w:rsidR="00617F3E" w:rsidRPr="00617F3E" w14:paraId="53CDF51E" w14:textId="77777777" w:rsidTr="00617F3E">
        <w:trPr>
          <w:cantSplit/>
        </w:trPr>
        <w:tc>
          <w:tcPr>
            <w:tcW w:w="1136" w:type="pct"/>
            <w:tcBorders>
              <w:top w:val="single" w:sz="4" w:space="0" w:color="auto"/>
              <w:bottom w:val="single" w:sz="4" w:space="0" w:color="auto"/>
            </w:tcBorders>
          </w:tcPr>
          <w:p w14:paraId="7EA2240E" w14:textId="77777777" w:rsidR="00617F3E" w:rsidRPr="00617F3E" w:rsidRDefault="00617F3E" w:rsidP="00617F3E">
            <w:pPr>
              <w:pStyle w:val="Tabletext"/>
            </w:pPr>
            <w:r w:rsidRPr="00617F3E">
              <w:t>71</w:t>
            </w:r>
          </w:p>
        </w:tc>
        <w:tc>
          <w:tcPr>
            <w:tcW w:w="966" w:type="pct"/>
            <w:tcBorders>
              <w:top w:val="single" w:sz="4" w:space="0" w:color="auto"/>
              <w:bottom w:val="single" w:sz="4" w:space="0" w:color="auto"/>
            </w:tcBorders>
            <w:shd w:val="clear" w:color="auto" w:fill="auto"/>
            <w:vAlign w:val="bottom"/>
          </w:tcPr>
          <w:p w14:paraId="2D4E35FB" w14:textId="77777777" w:rsidR="00617F3E" w:rsidRPr="00617F3E" w:rsidRDefault="00617F3E" w:rsidP="00617F3E">
            <w:pPr>
              <w:pStyle w:val="Tabletext"/>
            </w:pPr>
            <w:r w:rsidRPr="00617F3E">
              <w:t>11</w:t>
            </w:r>
            <w:r w:rsidR="00D7157D">
              <w:t>.</w:t>
            </w:r>
            <w:r w:rsidRPr="00617F3E">
              <w:t>5067</w:t>
            </w:r>
          </w:p>
        </w:tc>
        <w:tc>
          <w:tcPr>
            <w:tcW w:w="966" w:type="pct"/>
            <w:tcBorders>
              <w:top w:val="single" w:sz="4" w:space="0" w:color="auto"/>
              <w:bottom w:val="single" w:sz="4" w:space="0" w:color="auto"/>
            </w:tcBorders>
            <w:shd w:val="clear" w:color="auto" w:fill="auto"/>
            <w:vAlign w:val="bottom"/>
          </w:tcPr>
          <w:p w14:paraId="2C79B2A1" w14:textId="77777777" w:rsidR="00617F3E" w:rsidRPr="00617F3E" w:rsidRDefault="00617F3E" w:rsidP="00617F3E">
            <w:pPr>
              <w:pStyle w:val="Tabletext"/>
            </w:pPr>
            <w:r w:rsidRPr="00617F3E">
              <w:t>0</w:t>
            </w:r>
            <w:r w:rsidR="00D7157D">
              <w:t>.</w:t>
            </w:r>
            <w:r w:rsidRPr="00617F3E">
              <w:t>8461</w:t>
            </w:r>
          </w:p>
        </w:tc>
        <w:tc>
          <w:tcPr>
            <w:tcW w:w="966" w:type="pct"/>
            <w:tcBorders>
              <w:top w:val="single" w:sz="4" w:space="0" w:color="auto"/>
              <w:bottom w:val="single" w:sz="4" w:space="0" w:color="auto"/>
            </w:tcBorders>
            <w:shd w:val="clear" w:color="auto" w:fill="auto"/>
            <w:vAlign w:val="bottom"/>
          </w:tcPr>
          <w:p w14:paraId="53C69929" w14:textId="77777777" w:rsidR="00617F3E" w:rsidRPr="00617F3E" w:rsidRDefault="00617F3E" w:rsidP="00617F3E">
            <w:pPr>
              <w:pStyle w:val="Tabletext"/>
            </w:pPr>
            <w:r w:rsidRPr="00617F3E">
              <w:t>12</w:t>
            </w:r>
            <w:r w:rsidR="00D7157D">
              <w:t>.</w:t>
            </w:r>
            <w:r w:rsidRPr="00617F3E">
              <w:t>8596</w:t>
            </w:r>
          </w:p>
        </w:tc>
        <w:tc>
          <w:tcPr>
            <w:tcW w:w="966" w:type="pct"/>
            <w:tcBorders>
              <w:top w:val="single" w:sz="4" w:space="0" w:color="auto"/>
              <w:bottom w:val="single" w:sz="4" w:space="0" w:color="auto"/>
              <w:right w:val="nil"/>
            </w:tcBorders>
            <w:shd w:val="clear" w:color="auto" w:fill="auto"/>
            <w:vAlign w:val="bottom"/>
          </w:tcPr>
          <w:p w14:paraId="04EEAF76" w14:textId="77777777" w:rsidR="00617F3E" w:rsidRPr="00617F3E" w:rsidRDefault="00617F3E" w:rsidP="00617F3E">
            <w:pPr>
              <w:pStyle w:val="Tabletext"/>
            </w:pPr>
            <w:r w:rsidRPr="00617F3E">
              <w:t>0</w:t>
            </w:r>
            <w:r w:rsidR="00D7157D">
              <w:t>.</w:t>
            </w:r>
            <w:r w:rsidRPr="00617F3E">
              <w:t>2258</w:t>
            </w:r>
          </w:p>
        </w:tc>
      </w:tr>
      <w:tr w:rsidR="00617F3E" w:rsidRPr="00617F3E" w14:paraId="57C13D73" w14:textId="77777777" w:rsidTr="00617F3E">
        <w:trPr>
          <w:cantSplit/>
        </w:trPr>
        <w:tc>
          <w:tcPr>
            <w:tcW w:w="1136" w:type="pct"/>
            <w:tcBorders>
              <w:top w:val="single" w:sz="4" w:space="0" w:color="auto"/>
              <w:bottom w:val="single" w:sz="4" w:space="0" w:color="auto"/>
            </w:tcBorders>
          </w:tcPr>
          <w:p w14:paraId="1F416308" w14:textId="77777777" w:rsidR="00617F3E" w:rsidRPr="00617F3E" w:rsidRDefault="00617F3E" w:rsidP="00617F3E">
            <w:pPr>
              <w:pStyle w:val="Tabletext"/>
            </w:pPr>
            <w:r w:rsidRPr="00617F3E">
              <w:t>72</w:t>
            </w:r>
          </w:p>
        </w:tc>
        <w:tc>
          <w:tcPr>
            <w:tcW w:w="966" w:type="pct"/>
            <w:tcBorders>
              <w:top w:val="single" w:sz="4" w:space="0" w:color="auto"/>
              <w:bottom w:val="single" w:sz="4" w:space="0" w:color="auto"/>
            </w:tcBorders>
            <w:shd w:val="clear" w:color="auto" w:fill="auto"/>
            <w:vAlign w:val="bottom"/>
          </w:tcPr>
          <w:p w14:paraId="2A80E94C" w14:textId="77777777" w:rsidR="00617F3E" w:rsidRPr="00617F3E" w:rsidRDefault="00617F3E" w:rsidP="00617F3E">
            <w:pPr>
              <w:pStyle w:val="Tabletext"/>
            </w:pPr>
            <w:r w:rsidRPr="00617F3E">
              <w:t>11</w:t>
            </w:r>
            <w:r w:rsidR="00D7157D">
              <w:t>.</w:t>
            </w:r>
            <w:r w:rsidRPr="00617F3E">
              <w:t>0165</w:t>
            </w:r>
          </w:p>
        </w:tc>
        <w:tc>
          <w:tcPr>
            <w:tcW w:w="966" w:type="pct"/>
            <w:tcBorders>
              <w:top w:val="single" w:sz="4" w:space="0" w:color="auto"/>
              <w:bottom w:val="single" w:sz="4" w:space="0" w:color="auto"/>
            </w:tcBorders>
            <w:shd w:val="clear" w:color="auto" w:fill="auto"/>
            <w:vAlign w:val="bottom"/>
          </w:tcPr>
          <w:p w14:paraId="2E82D5B6" w14:textId="77777777" w:rsidR="00617F3E" w:rsidRPr="00617F3E" w:rsidRDefault="00617F3E" w:rsidP="00617F3E">
            <w:pPr>
              <w:pStyle w:val="Tabletext"/>
            </w:pPr>
            <w:r w:rsidRPr="00617F3E">
              <w:t>0</w:t>
            </w:r>
            <w:r w:rsidR="00D7157D">
              <w:t>.</w:t>
            </w:r>
            <w:r w:rsidRPr="00617F3E">
              <w:t>8353</w:t>
            </w:r>
          </w:p>
        </w:tc>
        <w:tc>
          <w:tcPr>
            <w:tcW w:w="966" w:type="pct"/>
            <w:tcBorders>
              <w:top w:val="single" w:sz="4" w:space="0" w:color="auto"/>
              <w:bottom w:val="single" w:sz="4" w:space="0" w:color="auto"/>
            </w:tcBorders>
            <w:shd w:val="clear" w:color="auto" w:fill="auto"/>
            <w:vAlign w:val="bottom"/>
          </w:tcPr>
          <w:p w14:paraId="6C4D7D6F" w14:textId="77777777" w:rsidR="00617F3E" w:rsidRPr="00617F3E" w:rsidRDefault="00617F3E" w:rsidP="00617F3E">
            <w:pPr>
              <w:pStyle w:val="Tabletext"/>
            </w:pPr>
            <w:r w:rsidRPr="00617F3E">
              <w:t>12</w:t>
            </w:r>
            <w:r w:rsidR="00D7157D">
              <w:t>.</w:t>
            </w:r>
            <w:r w:rsidRPr="00617F3E">
              <w:t>3179</w:t>
            </w:r>
          </w:p>
        </w:tc>
        <w:tc>
          <w:tcPr>
            <w:tcW w:w="966" w:type="pct"/>
            <w:tcBorders>
              <w:top w:val="single" w:sz="4" w:space="0" w:color="auto"/>
              <w:bottom w:val="single" w:sz="4" w:space="0" w:color="auto"/>
              <w:right w:val="nil"/>
            </w:tcBorders>
            <w:shd w:val="clear" w:color="auto" w:fill="auto"/>
            <w:vAlign w:val="bottom"/>
          </w:tcPr>
          <w:p w14:paraId="73D1EEC0" w14:textId="77777777" w:rsidR="00617F3E" w:rsidRPr="00617F3E" w:rsidRDefault="00617F3E" w:rsidP="00617F3E">
            <w:pPr>
              <w:pStyle w:val="Tabletext"/>
            </w:pPr>
            <w:r w:rsidRPr="00617F3E">
              <w:t>0</w:t>
            </w:r>
            <w:r w:rsidR="00D7157D">
              <w:t>.</w:t>
            </w:r>
            <w:r w:rsidRPr="00617F3E">
              <w:t>2224</w:t>
            </w:r>
          </w:p>
        </w:tc>
      </w:tr>
      <w:tr w:rsidR="00617F3E" w:rsidRPr="00617F3E" w14:paraId="3DA3E15E" w14:textId="77777777" w:rsidTr="00617F3E">
        <w:trPr>
          <w:cantSplit/>
        </w:trPr>
        <w:tc>
          <w:tcPr>
            <w:tcW w:w="1136" w:type="pct"/>
            <w:tcBorders>
              <w:top w:val="single" w:sz="4" w:space="0" w:color="auto"/>
              <w:bottom w:val="single" w:sz="4" w:space="0" w:color="auto"/>
            </w:tcBorders>
          </w:tcPr>
          <w:p w14:paraId="2B5F4ECD" w14:textId="77777777" w:rsidR="00617F3E" w:rsidRPr="00617F3E" w:rsidRDefault="00617F3E" w:rsidP="00617F3E">
            <w:pPr>
              <w:pStyle w:val="Tabletext"/>
            </w:pPr>
            <w:r w:rsidRPr="00617F3E">
              <w:t>73</w:t>
            </w:r>
          </w:p>
        </w:tc>
        <w:tc>
          <w:tcPr>
            <w:tcW w:w="966" w:type="pct"/>
            <w:tcBorders>
              <w:top w:val="single" w:sz="4" w:space="0" w:color="auto"/>
              <w:bottom w:val="single" w:sz="4" w:space="0" w:color="auto"/>
            </w:tcBorders>
            <w:shd w:val="clear" w:color="auto" w:fill="auto"/>
            <w:vAlign w:val="bottom"/>
          </w:tcPr>
          <w:p w14:paraId="025EE924" w14:textId="77777777" w:rsidR="00617F3E" w:rsidRPr="00617F3E" w:rsidRDefault="00617F3E" w:rsidP="00617F3E">
            <w:pPr>
              <w:pStyle w:val="Tabletext"/>
            </w:pPr>
            <w:r w:rsidRPr="00617F3E">
              <w:t>10</w:t>
            </w:r>
            <w:r w:rsidR="00D7157D">
              <w:t>.</w:t>
            </w:r>
            <w:r w:rsidRPr="00617F3E">
              <w:t>5303</w:t>
            </w:r>
          </w:p>
        </w:tc>
        <w:tc>
          <w:tcPr>
            <w:tcW w:w="966" w:type="pct"/>
            <w:tcBorders>
              <w:top w:val="single" w:sz="4" w:space="0" w:color="auto"/>
              <w:bottom w:val="single" w:sz="4" w:space="0" w:color="auto"/>
            </w:tcBorders>
            <w:shd w:val="clear" w:color="auto" w:fill="auto"/>
            <w:vAlign w:val="bottom"/>
          </w:tcPr>
          <w:p w14:paraId="0E22B551" w14:textId="77777777" w:rsidR="00617F3E" w:rsidRPr="00617F3E" w:rsidRDefault="00617F3E" w:rsidP="00617F3E">
            <w:pPr>
              <w:pStyle w:val="Tabletext"/>
            </w:pPr>
            <w:r w:rsidRPr="00617F3E">
              <w:t>0</w:t>
            </w:r>
            <w:r w:rsidR="00D7157D">
              <w:t>.</w:t>
            </w:r>
            <w:r w:rsidRPr="00617F3E">
              <w:t>8234</w:t>
            </w:r>
          </w:p>
        </w:tc>
        <w:tc>
          <w:tcPr>
            <w:tcW w:w="966" w:type="pct"/>
            <w:tcBorders>
              <w:top w:val="single" w:sz="4" w:space="0" w:color="auto"/>
              <w:bottom w:val="single" w:sz="4" w:space="0" w:color="auto"/>
            </w:tcBorders>
            <w:shd w:val="clear" w:color="auto" w:fill="auto"/>
            <w:vAlign w:val="bottom"/>
          </w:tcPr>
          <w:p w14:paraId="6492907C" w14:textId="77777777" w:rsidR="00617F3E" w:rsidRPr="00617F3E" w:rsidRDefault="00617F3E" w:rsidP="00617F3E">
            <w:pPr>
              <w:pStyle w:val="Tabletext"/>
            </w:pPr>
            <w:r w:rsidRPr="00617F3E">
              <w:t>11</w:t>
            </w:r>
            <w:r w:rsidR="00D7157D">
              <w:t>.</w:t>
            </w:r>
            <w:r w:rsidRPr="00617F3E">
              <w:t>7796</w:t>
            </w:r>
          </w:p>
        </w:tc>
        <w:tc>
          <w:tcPr>
            <w:tcW w:w="966" w:type="pct"/>
            <w:tcBorders>
              <w:top w:val="single" w:sz="4" w:space="0" w:color="auto"/>
              <w:bottom w:val="single" w:sz="4" w:space="0" w:color="auto"/>
              <w:right w:val="nil"/>
            </w:tcBorders>
            <w:shd w:val="clear" w:color="auto" w:fill="auto"/>
            <w:vAlign w:val="bottom"/>
          </w:tcPr>
          <w:p w14:paraId="65BDCE65" w14:textId="77777777" w:rsidR="00617F3E" w:rsidRPr="00617F3E" w:rsidRDefault="00617F3E" w:rsidP="00617F3E">
            <w:pPr>
              <w:pStyle w:val="Tabletext"/>
            </w:pPr>
            <w:r w:rsidRPr="00617F3E">
              <w:t>0</w:t>
            </w:r>
            <w:r w:rsidR="00D7157D">
              <w:t>.</w:t>
            </w:r>
            <w:r w:rsidRPr="00617F3E">
              <w:t>2187</w:t>
            </w:r>
          </w:p>
        </w:tc>
      </w:tr>
      <w:tr w:rsidR="00617F3E" w:rsidRPr="00617F3E" w14:paraId="3E9895FB" w14:textId="77777777" w:rsidTr="00617F3E">
        <w:trPr>
          <w:cantSplit/>
        </w:trPr>
        <w:tc>
          <w:tcPr>
            <w:tcW w:w="1136" w:type="pct"/>
            <w:tcBorders>
              <w:top w:val="single" w:sz="4" w:space="0" w:color="auto"/>
              <w:bottom w:val="single" w:sz="4" w:space="0" w:color="auto"/>
            </w:tcBorders>
          </w:tcPr>
          <w:p w14:paraId="5309A379" w14:textId="77777777" w:rsidR="00617F3E" w:rsidRPr="00617F3E" w:rsidRDefault="00617F3E" w:rsidP="00617F3E">
            <w:pPr>
              <w:pStyle w:val="Tabletext"/>
            </w:pPr>
            <w:r w:rsidRPr="00617F3E">
              <w:t>74</w:t>
            </w:r>
          </w:p>
        </w:tc>
        <w:tc>
          <w:tcPr>
            <w:tcW w:w="966" w:type="pct"/>
            <w:tcBorders>
              <w:top w:val="single" w:sz="4" w:space="0" w:color="auto"/>
              <w:bottom w:val="single" w:sz="4" w:space="0" w:color="auto"/>
            </w:tcBorders>
            <w:shd w:val="clear" w:color="auto" w:fill="auto"/>
            <w:vAlign w:val="bottom"/>
          </w:tcPr>
          <w:p w14:paraId="33D12802" w14:textId="77777777" w:rsidR="00617F3E" w:rsidRPr="00617F3E" w:rsidRDefault="00617F3E" w:rsidP="00617F3E">
            <w:pPr>
              <w:pStyle w:val="Tabletext"/>
            </w:pPr>
            <w:r w:rsidRPr="00617F3E">
              <w:t>10</w:t>
            </w:r>
            <w:r w:rsidR="00D7157D">
              <w:t>.</w:t>
            </w:r>
            <w:r w:rsidRPr="00617F3E">
              <w:t>0487</w:t>
            </w:r>
          </w:p>
        </w:tc>
        <w:tc>
          <w:tcPr>
            <w:tcW w:w="966" w:type="pct"/>
            <w:tcBorders>
              <w:top w:val="single" w:sz="4" w:space="0" w:color="auto"/>
              <w:bottom w:val="single" w:sz="4" w:space="0" w:color="auto"/>
            </w:tcBorders>
            <w:shd w:val="clear" w:color="auto" w:fill="auto"/>
            <w:vAlign w:val="bottom"/>
          </w:tcPr>
          <w:p w14:paraId="79F8A067" w14:textId="77777777" w:rsidR="00617F3E" w:rsidRPr="00617F3E" w:rsidRDefault="00617F3E" w:rsidP="00617F3E">
            <w:pPr>
              <w:pStyle w:val="Tabletext"/>
            </w:pPr>
            <w:r w:rsidRPr="00617F3E">
              <w:t>0</w:t>
            </w:r>
            <w:r w:rsidR="00D7157D">
              <w:t>.</w:t>
            </w:r>
            <w:r w:rsidRPr="00617F3E">
              <w:t>8104</w:t>
            </w:r>
          </w:p>
        </w:tc>
        <w:tc>
          <w:tcPr>
            <w:tcW w:w="966" w:type="pct"/>
            <w:tcBorders>
              <w:top w:val="single" w:sz="4" w:space="0" w:color="auto"/>
              <w:bottom w:val="single" w:sz="4" w:space="0" w:color="auto"/>
            </w:tcBorders>
            <w:shd w:val="clear" w:color="auto" w:fill="auto"/>
            <w:vAlign w:val="bottom"/>
          </w:tcPr>
          <w:p w14:paraId="522E7ACA" w14:textId="77777777" w:rsidR="00617F3E" w:rsidRPr="00617F3E" w:rsidRDefault="00617F3E" w:rsidP="00617F3E">
            <w:pPr>
              <w:pStyle w:val="Tabletext"/>
            </w:pPr>
            <w:r w:rsidRPr="00617F3E">
              <w:t>11</w:t>
            </w:r>
            <w:r w:rsidR="00D7157D">
              <w:t>.</w:t>
            </w:r>
            <w:r w:rsidRPr="00617F3E">
              <w:t>2459</w:t>
            </w:r>
          </w:p>
        </w:tc>
        <w:tc>
          <w:tcPr>
            <w:tcW w:w="966" w:type="pct"/>
            <w:tcBorders>
              <w:top w:val="single" w:sz="4" w:space="0" w:color="auto"/>
              <w:bottom w:val="single" w:sz="4" w:space="0" w:color="auto"/>
              <w:right w:val="nil"/>
            </w:tcBorders>
            <w:shd w:val="clear" w:color="auto" w:fill="auto"/>
            <w:vAlign w:val="bottom"/>
          </w:tcPr>
          <w:p w14:paraId="5C297C76" w14:textId="77777777" w:rsidR="00617F3E" w:rsidRPr="00617F3E" w:rsidRDefault="00617F3E" w:rsidP="00617F3E">
            <w:pPr>
              <w:pStyle w:val="Tabletext"/>
            </w:pPr>
            <w:r w:rsidRPr="00617F3E">
              <w:t>0</w:t>
            </w:r>
            <w:r w:rsidR="00D7157D">
              <w:t>.</w:t>
            </w:r>
            <w:r w:rsidRPr="00617F3E">
              <w:t>2147</w:t>
            </w:r>
          </w:p>
        </w:tc>
      </w:tr>
      <w:tr w:rsidR="00617F3E" w:rsidRPr="00617F3E" w14:paraId="60D56AFE" w14:textId="77777777" w:rsidTr="00617F3E">
        <w:trPr>
          <w:cantSplit/>
        </w:trPr>
        <w:tc>
          <w:tcPr>
            <w:tcW w:w="1136" w:type="pct"/>
            <w:tcBorders>
              <w:top w:val="single" w:sz="4" w:space="0" w:color="auto"/>
              <w:bottom w:val="single" w:sz="4" w:space="0" w:color="auto"/>
            </w:tcBorders>
          </w:tcPr>
          <w:p w14:paraId="7EBE9339" w14:textId="77777777" w:rsidR="00617F3E" w:rsidRPr="00617F3E" w:rsidRDefault="00617F3E" w:rsidP="00617F3E">
            <w:pPr>
              <w:pStyle w:val="Tabletext"/>
            </w:pPr>
            <w:r w:rsidRPr="00617F3E">
              <w:t>75</w:t>
            </w:r>
          </w:p>
        </w:tc>
        <w:tc>
          <w:tcPr>
            <w:tcW w:w="966" w:type="pct"/>
            <w:tcBorders>
              <w:top w:val="single" w:sz="4" w:space="0" w:color="auto"/>
              <w:bottom w:val="single" w:sz="4" w:space="0" w:color="auto"/>
            </w:tcBorders>
            <w:shd w:val="clear" w:color="auto" w:fill="auto"/>
            <w:vAlign w:val="bottom"/>
          </w:tcPr>
          <w:p w14:paraId="7022F820" w14:textId="77777777" w:rsidR="00617F3E" w:rsidRPr="00617F3E" w:rsidRDefault="00617F3E" w:rsidP="00617F3E">
            <w:pPr>
              <w:pStyle w:val="Tabletext"/>
            </w:pPr>
            <w:r w:rsidRPr="00617F3E">
              <w:t>9</w:t>
            </w:r>
            <w:r w:rsidR="00D7157D">
              <w:t>.</w:t>
            </w:r>
            <w:r w:rsidRPr="00617F3E">
              <w:t>5720</w:t>
            </w:r>
          </w:p>
        </w:tc>
        <w:tc>
          <w:tcPr>
            <w:tcW w:w="966" w:type="pct"/>
            <w:tcBorders>
              <w:top w:val="single" w:sz="4" w:space="0" w:color="auto"/>
              <w:bottom w:val="single" w:sz="4" w:space="0" w:color="auto"/>
            </w:tcBorders>
            <w:shd w:val="clear" w:color="auto" w:fill="auto"/>
            <w:vAlign w:val="bottom"/>
          </w:tcPr>
          <w:p w14:paraId="0895DEBC" w14:textId="77777777" w:rsidR="00617F3E" w:rsidRPr="00617F3E" w:rsidRDefault="00617F3E" w:rsidP="00617F3E">
            <w:pPr>
              <w:pStyle w:val="Tabletext"/>
            </w:pPr>
            <w:r w:rsidRPr="00617F3E">
              <w:t>0</w:t>
            </w:r>
            <w:r w:rsidR="00D7157D">
              <w:t>.</w:t>
            </w:r>
            <w:r w:rsidRPr="00617F3E">
              <w:t>7965</w:t>
            </w:r>
          </w:p>
        </w:tc>
        <w:tc>
          <w:tcPr>
            <w:tcW w:w="966" w:type="pct"/>
            <w:tcBorders>
              <w:top w:val="single" w:sz="4" w:space="0" w:color="auto"/>
              <w:bottom w:val="single" w:sz="4" w:space="0" w:color="auto"/>
            </w:tcBorders>
            <w:shd w:val="clear" w:color="auto" w:fill="auto"/>
            <w:vAlign w:val="bottom"/>
          </w:tcPr>
          <w:p w14:paraId="788E968E" w14:textId="77777777" w:rsidR="00617F3E" w:rsidRPr="00617F3E" w:rsidRDefault="00617F3E" w:rsidP="00617F3E">
            <w:pPr>
              <w:pStyle w:val="Tabletext"/>
            </w:pPr>
            <w:r w:rsidRPr="00617F3E">
              <w:t>10</w:t>
            </w:r>
            <w:r w:rsidR="00D7157D">
              <w:t>.</w:t>
            </w:r>
            <w:r w:rsidRPr="00617F3E">
              <w:t>7157</w:t>
            </w:r>
          </w:p>
        </w:tc>
        <w:tc>
          <w:tcPr>
            <w:tcW w:w="966" w:type="pct"/>
            <w:tcBorders>
              <w:top w:val="single" w:sz="4" w:space="0" w:color="auto"/>
              <w:bottom w:val="single" w:sz="4" w:space="0" w:color="auto"/>
              <w:right w:val="nil"/>
            </w:tcBorders>
            <w:shd w:val="clear" w:color="auto" w:fill="auto"/>
            <w:vAlign w:val="bottom"/>
          </w:tcPr>
          <w:p w14:paraId="1132B1A3" w14:textId="77777777" w:rsidR="00617F3E" w:rsidRPr="00617F3E" w:rsidRDefault="00617F3E" w:rsidP="00617F3E">
            <w:pPr>
              <w:pStyle w:val="Tabletext"/>
            </w:pPr>
            <w:r w:rsidRPr="00617F3E">
              <w:t>0</w:t>
            </w:r>
            <w:r w:rsidR="00D7157D">
              <w:t>.</w:t>
            </w:r>
            <w:r w:rsidRPr="00617F3E">
              <w:t>2105</w:t>
            </w:r>
          </w:p>
        </w:tc>
      </w:tr>
      <w:tr w:rsidR="00617F3E" w:rsidRPr="00617F3E" w14:paraId="4720D92C" w14:textId="77777777" w:rsidTr="00617F3E">
        <w:trPr>
          <w:cantSplit/>
        </w:trPr>
        <w:tc>
          <w:tcPr>
            <w:tcW w:w="1136" w:type="pct"/>
            <w:tcBorders>
              <w:top w:val="single" w:sz="4" w:space="0" w:color="auto"/>
              <w:bottom w:val="single" w:sz="4" w:space="0" w:color="auto"/>
            </w:tcBorders>
          </w:tcPr>
          <w:p w14:paraId="767675A0" w14:textId="77777777" w:rsidR="00617F3E" w:rsidRPr="00617F3E" w:rsidRDefault="00617F3E" w:rsidP="00617F3E">
            <w:pPr>
              <w:pStyle w:val="Tabletext"/>
            </w:pPr>
            <w:r w:rsidRPr="00617F3E">
              <w:t>76</w:t>
            </w:r>
          </w:p>
        </w:tc>
        <w:tc>
          <w:tcPr>
            <w:tcW w:w="966" w:type="pct"/>
            <w:tcBorders>
              <w:top w:val="single" w:sz="4" w:space="0" w:color="auto"/>
              <w:bottom w:val="single" w:sz="4" w:space="0" w:color="auto"/>
            </w:tcBorders>
            <w:shd w:val="clear" w:color="auto" w:fill="auto"/>
            <w:vAlign w:val="bottom"/>
          </w:tcPr>
          <w:p w14:paraId="398B75C9" w14:textId="77777777" w:rsidR="00617F3E" w:rsidRPr="00617F3E" w:rsidRDefault="00617F3E" w:rsidP="00617F3E">
            <w:pPr>
              <w:pStyle w:val="Tabletext"/>
            </w:pPr>
            <w:r w:rsidRPr="00617F3E">
              <w:t>9</w:t>
            </w:r>
            <w:r w:rsidR="00D7157D">
              <w:t>.</w:t>
            </w:r>
            <w:r w:rsidRPr="00617F3E">
              <w:t>1004</w:t>
            </w:r>
          </w:p>
        </w:tc>
        <w:tc>
          <w:tcPr>
            <w:tcW w:w="966" w:type="pct"/>
            <w:tcBorders>
              <w:top w:val="single" w:sz="4" w:space="0" w:color="auto"/>
              <w:bottom w:val="single" w:sz="4" w:space="0" w:color="auto"/>
            </w:tcBorders>
            <w:shd w:val="clear" w:color="auto" w:fill="auto"/>
            <w:vAlign w:val="bottom"/>
          </w:tcPr>
          <w:p w14:paraId="363260D5" w14:textId="77777777" w:rsidR="00617F3E" w:rsidRPr="00617F3E" w:rsidRDefault="00617F3E" w:rsidP="00617F3E">
            <w:pPr>
              <w:pStyle w:val="Tabletext"/>
            </w:pPr>
            <w:r w:rsidRPr="00617F3E">
              <w:t>0</w:t>
            </w:r>
            <w:r w:rsidR="00D7157D">
              <w:t>.</w:t>
            </w:r>
            <w:r w:rsidRPr="00617F3E">
              <w:t>7815</w:t>
            </w:r>
          </w:p>
        </w:tc>
        <w:tc>
          <w:tcPr>
            <w:tcW w:w="966" w:type="pct"/>
            <w:tcBorders>
              <w:top w:val="single" w:sz="4" w:space="0" w:color="auto"/>
              <w:bottom w:val="single" w:sz="4" w:space="0" w:color="auto"/>
            </w:tcBorders>
            <w:shd w:val="clear" w:color="auto" w:fill="auto"/>
            <w:vAlign w:val="bottom"/>
          </w:tcPr>
          <w:p w14:paraId="45B9A9CA" w14:textId="77777777" w:rsidR="00617F3E" w:rsidRPr="00617F3E" w:rsidRDefault="00617F3E" w:rsidP="00617F3E">
            <w:pPr>
              <w:pStyle w:val="Tabletext"/>
            </w:pPr>
            <w:r w:rsidRPr="00617F3E">
              <w:t>10</w:t>
            </w:r>
            <w:r w:rsidR="00D7157D">
              <w:t>.</w:t>
            </w:r>
            <w:r w:rsidRPr="00617F3E">
              <w:t>1895</w:t>
            </w:r>
          </w:p>
        </w:tc>
        <w:tc>
          <w:tcPr>
            <w:tcW w:w="966" w:type="pct"/>
            <w:tcBorders>
              <w:top w:val="single" w:sz="4" w:space="0" w:color="auto"/>
              <w:bottom w:val="single" w:sz="4" w:space="0" w:color="auto"/>
              <w:right w:val="nil"/>
            </w:tcBorders>
            <w:shd w:val="clear" w:color="auto" w:fill="auto"/>
            <w:vAlign w:val="bottom"/>
          </w:tcPr>
          <w:p w14:paraId="7EB37F20" w14:textId="77777777" w:rsidR="00617F3E" w:rsidRPr="00617F3E" w:rsidRDefault="00617F3E" w:rsidP="00617F3E">
            <w:pPr>
              <w:pStyle w:val="Tabletext"/>
            </w:pPr>
            <w:r w:rsidRPr="00617F3E">
              <w:t>0</w:t>
            </w:r>
            <w:r w:rsidR="00D7157D">
              <w:t>.</w:t>
            </w:r>
            <w:r w:rsidRPr="00617F3E">
              <w:t>2060</w:t>
            </w:r>
          </w:p>
        </w:tc>
      </w:tr>
      <w:tr w:rsidR="00617F3E" w:rsidRPr="00617F3E" w14:paraId="029A3421" w14:textId="77777777" w:rsidTr="00617F3E">
        <w:trPr>
          <w:cantSplit/>
        </w:trPr>
        <w:tc>
          <w:tcPr>
            <w:tcW w:w="1136" w:type="pct"/>
            <w:tcBorders>
              <w:top w:val="single" w:sz="4" w:space="0" w:color="auto"/>
              <w:bottom w:val="single" w:sz="4" w:space="0" w:color="auto"/>
            </w:tcBorders>
          </w:tcPr>
          <w:p w14:paraId="52385236" w14:textId="77777777" w:rsidR="00617F3E" w:rsidRPr="00617F3E" w:rsidRDefault="00617F3E" w:rsidP="00617F3E">
            <w:pPr>
              <w:pStyle w:val="Tabletext"/>
            </w:pPr>
            <w:r w:rsidRPr="00617F3E">
              <w:t>77</w:t>
            </w:r>
          </w:p>
        </w:tc>
        <w:tc>
          <w:tcPr>
            <w:tcW w:w="966" w:type="pct"/>
            <w:tcBorders>
              <w:top w:val="single" w:sz="4" w:space="0" w:color="auto"/>
              <w:bottom w:val="single" w:sz="4" w:space="0" w:color="auto"/>
            </w:tcBorders>
            <w:shd w:val="clear" w:color="auto" w:fill="auto"/>
            <w:vAlign w:val="bottom"/>
          </w:tcPr>
          <w:p w14:paraId="55B6CAAA" w14:textId="77777777" w:rsidR="00617F3E" w:rsidRPr="00617F3E" w:rsidRDefault="00617F3E" w:rsidP="00617F3E">
            <w:pPr>
              <w:pStyle w:val="Tabletext"/>
            </w:pPr>
            <w:r w:rsidRPr="00617F3E">
              <w:t>8</w:t>
            </w:r>
            <w:r w:rsidR="00D7157D">
              <w:t>.</w:t>
            </w:r>
            <w:r w:rsidRPr="00617F3E">
              <w:t>6345</w:t>
            </w:r>
          </w:p>
        </w:tc>
        <w:tc>
          <w:tcPr>
            <w:tcW w:w="966" w:type="pct"/>
            <w:tcBorders>
              <w:top w:val="single" w:sz="4" w:space="0" w:color="auto"/>
              <w:bottom w:val="single" w:sz="4" w:space="0" w:color="auto"/>
            </w:tcBorders>
            <w:shd w:val="clear" w:color="auto" w:fill="auto"/>
            <w:vAlign w:val="bottom"/>
          </w:tcPr>
          <w:p w14:paraId="6089CEEC" w14:textId="77777777" w:rsidR="00617F3E" w:rsidRPr="00617F3E" w:rsidRDefault="00617F3E" w:rsidP="00617F3E">
            <w:pPr>
              <w:pStyle w:val="Tabletext"/>
            </w:pPr>
            <w:r w:rsidRPr="00617F3E">
              <w:t>0</w:t>
            </w:r>
            <w:r w:rsidR="00D7157D">
              <w:t>.</w:t>
            </w:r>
            <w:r w:rsidRPr="00617F3E">
              <w:t>7655</w:t>
            </w:r>
          </w:p>
        </w:tc>
        <w:tc>
          <w:tcPr>
            <w:tcW w:w="966" w:type="pct"/>
            <w:tcBorders>
              <w:top w:val="single" w:sz="4" w:space="0" w:color="auto"/>
              <w:bottom w:val="single" w:sz="4" w:space="0" w:color="auto"/>
            </w:tcBorders>
            <w:shd w:val="clear" w:color="auto" w:fill="auto"/>
            <w:vAlign w:val="bottom"/>
          </w:tcPr>
          <w:p w14:paraId="21D4148B" w14:textId="77777777" w:rsidR="00617F3E" w:rsidRPr="00617F3E" w:rsidRDefault="00617F3E" w:rsidP="00617F3E">
            <w:pPr>
              <w:pStyle w:val="Tabletext"/>
            </w:pPr>
            <w:r w:rsidRPr="00617F3E">
              <w:t>9</w:t>
            </w:r>
            <w:r w:rsidR="00D7157D">
              <w:t>.</w:t>
            </w:r>
            <w:r w:rsidRPr="00617F3E">
              <w:t>6688</w:t>
            </w:r>
          </w:p>
        </w:tc>
        <w:tc>
          <w:tcPr>
            <w:tcW w:w="966" w:type="pct"/>
            <w:tcBorders>
              <w:top w:val="single" w:sz="4" w:space="0" w:color="auto"/>
              <w:bottom w:val="single" w:sz="4" w:space="0" w:color="auto"/>
              <w:right w:val="nil"/>
            </w:tcBorders>
            <w:shd w:val="clear" w:color="auto" w:fill="auto"/>
            <w:vAlign w:val="bottom"/>
          </w:tcPr>
          <w:p w14:paraId="6024E60C" w14:textId="77777777" w:rsidR="00617F3E" w:rsidRPr="00617F3E" w:rsidRDefault="00617F3E" w:rsidP="00617F3E">
            <w:pPr>
              <w:pStyle w:val="Tabletext"/>
            </w:pPr>
            <w:r w:rsidRPr="00617F3E">
              <w:t>0</w:t>
            </w:r>
            <w:r w:rsidR="00D7157D">
              <w:t>.</w:t>
            </w:r>
            <w:r w:rsidRPr="00617F3E">
              <w:t>2014</w:t>
            </w:r>
          </w:p>
        </w:tc>
      </w:tr>
      <w:tr w:rsidR="00617F3E" w:rsidRPr="00617F3E" w14:paraId="76864F85" w14:textId="77777777" w:rsidTr="00617F3E">
        <w:trPr>
          <w:cantSplit/>
        </w:trPr>
        <w:tc>
          <w:tcPr>
            <w:tcW w:w="1136" w:type="pct"/>
            <w:tcBorders>
              <w:top w:val="single" w:sz="4" w:space="0" w:color="auto"/>
              <w:bottom w:val="single" w:sz="4" w:space="0" w:color="auto"/>
            </w:tcBorders>
          </w:tcPr>
          <w:p w14:paraId="70CE7A53" w14:textId="77777777" w:rsidR="00617F3E" w:rsidRPr="00617F3E" w:rsidRDefault="00617F3E" w:rsidP="00617F3E">
            <w:pPr>
              <w:pStyle w:val="Tabletext"/>
            </w:pPr>
            <w:r w:rsidRPr="00617F3E">
              <w:t>78</w:t>
            </w:r>
          </w:p>
        </w:tc>
        <w:tc>
          <w:tcPr>
            <w:tcW w:w="966" w:type="pct"/>
            <w:tcBorders>
              <w:top w:val="single" w:sz="4" w:space="0" w:color="auto"/>
              <w:bottom w:val="single" w:sz="4" w:space="0" w:color="auto"/>
            </w:tcBorders>
            <w:shd w:val="clear" w:color="auto" w:fill="auto"/>
            <w:vAlign w:val="bottom"/>
          </w:tcPr>
          <w:p w14:paraId="3C37C607" w14:textId="77777777" w:rsidR="00617F3E" w:rsidRPr="00617F3E" w:rsidRDefault="00617F3E" w:rsidP="00617F3E">
            <w:pPr>
              <w:pStyle w:val="Tabletext"/>
            </w:pPr>
            <w:r w:rsidRPr="00617F3E">
              <w:t>8</w:t>
            </w:r>
            <w:r w:rsidR="00D7157D">
              <w:t>.</w:t>
            </w:r>
            <w:r w:rsidRPr="00617F3E">
              <w:t>1756</w:t>
            </w:r>
          </w:p>
        </w:tc>
        <w:tc>
          <w:tcPr>
            <w:tcW w:w="966" w:type="pct"/>
            <w:tcBorders>
              <w:top w:val="single" w:sz="4" w:space="0" w:color="auto"/>
              <w:bottom w:val="single" w:sz="4" w:space="0" w:color="auto"/>
            </w:tcBorders>
            <w:shd w:val="clear" w:color="auto" w:fill="auto"/>
            <w:vAlign w:val="bottom"/>
          </w:tcPr>
          <w:p w14:paraId="42B4DF79" w14:textId="77777777" w:rsidR="00617F3E" w:rsidRPr="00617F3E" w:rsidRDefault="00617F3E" w:rsidP="00617F3E">
            <w:pPr>
              <w:pStyle w:val="Tabletext"/>
            </w:pPr>
            <w:r w:rsidRPr="00617F3E">
              <w:t>0</w:t>
            </w:r>
            <w:r w:rsidR="00D7157D">
              <w:t>.</w:t>
            </w:r>
            <w:r w:rsidRPr="00617F3E">
              <w:t>7485</w:t>
            </w:r>
          </w:p>
        </w:tc>
        <w:tc>
          <w:tcPr>
            <w:tcW w:w="966" w:type="pct"/>
            <w:tcBorders>
              <w:top w:val="single" w:sz="4" w:space="0" w:color="auto"/>
              <w:bottom w:val="single" w:sz="4" w:space="0" w:color="auto"/>
            </w:tcBorders>
            <w:shd w:val="clear" w:color="auto" w:fill="auto"/>
            <w:vAlign w:val="bottom"/>
          </w:tcPr>
          <w:p w14:paraId="2FEDF222" w14:textId="77777777" w:rsidR="00617F3E" w:rsidRPr="00617F3E" w:rsidRDefault="00617F3E" w:rsidP="00617F3E">
            <w:pPr>
              <w:pStyle w:val="Tabletext"/>
            </w:pPr>
            <w:r w:rsidRPr="00617F3E">
              <w:t>9</w:t>
            </w:r>
            <w:r w:rsidR="00D7157D">
              <w:t>.</w:t>
            </w:r>
            <w:r w:rsidRPr="00617F3E">
              <w:t>1543</w:t>
            </w:r>
          </w:p>
        </w:tc>
        <w:tc>
          <w:tcPr>
            <w:tcW w:w="966" w:type="pct"/>
            <w:tcBorders>
              <w:top w:val="single" w:sz="4" w:space="0" w:color="auto"/>
              <w:bottom w:val="single" w:sz="4" w:space="0" w:color="auto"/>
              <w:right w:val="nil"/>
            </w:tcBorders>
            <w:shd w:val="clear" w:color="auto" w:fill="auto"/>
            <w:vAlign w:val="bottom"/>
          </w:tcPr>
          <w:p w14:paraId="566EDFA3" w14:textId="77777777" w:rsidR="00617F3E" w:rsidRPr="00617F3E" w:rsidRDefault="00617F3E" w:rsidP="00617F3E">
            <w:pPr>
              <w:pStyle w:val="Tabletext"/>
            </w:pPr>
            <w:r w:rsidRPr="00617F3E">
              <w:t>0</w:t>
            </w:r>
            <w:r w:rsidR="00D7157D">
              <w:t>.</w:t>
            </w:r>
            <w:r w:rsidRPr="00617F3E">
              <w:t>1966</w:t>
            </w:r>
          </w:p>
        </w:tc>
      </w:tr>
      <w:tr w:rsidR="00617F3E" w:rsidRPr="00617F3E" w14:paraId="1F5FBE8E" w14:textId="77777777" w:rsidTr="00617F3E">
        <w:trPr>
          <w:cantSplit/>
        </w:trPr>
        <w:tc>
          <w:tcPr>
            <w:tcW w:w="1136" w:type="pct"/>
            <w:tcBorders>
              <w:top w:val="single" w:sz="4" w:space="0" w:color="auto"/>
              <w:bottom w:val="single" w:sz="4" w:space="0" w:color="auto"/>
            </w:tcBorders>
          </w:tcPr>
          <w:p w14:paraId="19A5A352" w14:textId="77777777" w:rsidR="00617F3E" w:rsidRPr="00617F3E" w:rsidRDefault="00617F3E" w:rsidP="00617F3E">
            <w:pPr>
              <w:pStyle w:val="Tabletext"/>
            </w:pPr>
            <w:r w:rsidRPr="00617F3E">
              <w:t>79</w:t>
            </w:r>
          </w:p>
        </w:tc>
        <w:tc>
          <w:tcPr>
            <w:tcW w:w="966" w:type="pct"/>
            <w:tcBorders>
              <w:top w:val="single" w:sz="4" w:space="0" w:color="auto"/>
              <w:bottom w:val="single" w:sz="4" w:space="0" w:color="auto"/>
            </w:tcBorders>
            <w:shd w:val="clear" w:color="auto" w:fill="auto"/>
            <w:vAlign w:val="bottom"/>
          </w:tcPr>
          <w:p w14:paraId="027739F7" w14:textId="77777777" w:rsidR="00617F3E" w:rsidRPr="00617F3E" w:rsidRDefault="00617F3E" w:rsidP="00617F3E">
            <w:pPr>
              <w:pStyle w:val="Tabletext"/>
            </w:pPr>
            <w:r w:rsidRPr="00617F3E">
              <w:t>7</w:t>
            </w:r>
            <w:r w:rsidR="00D7157D">
              <w:t>.</w:t>
            </w:r>
            <w:r w:rsidRPr="00617F3E">
              <w:t>7250</w:t>
            </w:r>
          </w:p>
        </w:tc>
        <w:tc>
          <w:tcPr>
            <w:tcW w:w="966" w:type="pct"/>
            <w:tcBorders>
              <w:top w:val="single" w:sz="4" w:space="0" w:color="auto"/>
              <w:bottom w:val="single" w:sz="4" w:space="0" w:color="auto"/>
            </w:tcBorders>
            <w:shd w:val="clear" w:color="auto" w:fill="auto"/>
            <w:vAlign w:val="bottom"/>
          </w:tcPr>
          <w:p w14:paraId="32F75C8C" w14:textId="77777777" w:rsidR="00617F3E" w:rsidRPr="00617F3E" w:rsidRDefault="00617F3E" w:rsidP="00617F3E">
            <w:pPr>
              <w:pStyle w:val="Tabletext"/>
            </w:pPr>
            <w:r w:rsidRPr="00617F3E">
              <w:t>0</w:t>
            </w:r>
            <w:r w:rsidR="00D7157D">
              <w:t>.</w:t>
            </w:r>
            <w:r w:rsidRPr="00617F3E">
              <w:t>7305</w:t>
            </w:r>
          </w:p>
        </w:tc>
        <w:tc>
          <w:tcPr>
            <w:tcW w:w="966" w:type="pct"/>
            <w:tcBorders>
              <w:top w:val="single" w:sz="4" w:space="0" w:color="auto"/>
              <w:bottom w:val="single" w:sz="4" w:space="0" w:color="auto"/>
            </w:tcBorders>
            <w:shd w:val="clear" w:color="auto" w:fill="auto"/>
            <w:vAlign w:val="bottom"/>
          </w:tcPr>
          <w:p w14:paraId="56A639F5" w14:textId="77777777" w:rsidR="00617F3E" w:rsidRPr="00617F3E" w:rsidRDefault="00617F3E" w:rsidP="00617F3E">
            <w:pPr>
              <w:pStyle w:val="Tabletext"/>
            </w:pPr>
            <w:r w:rsidRPr="00617F3E">
              <w:t>8</w:t>
            </w:r>
            <w:r w:rsidR="00D7157D">
              <w:t>.</w:t>
            </w:r>
            <w:r w:rsidRPr="00617F3E">
              <w:t>6486</w:t>
            </w:r>
          </w:p>
        </w:tc>
        <w:tc>
          <w:tcPr>
            <w:tcW w:w="966" w:type="pct"/>
            <w:tcBorders>
              <w:top w:val="single" w:sz="4" w:space="0" w:color="auto"/>
              <w:bottom w:val="single" w:sz="4" w:space="0" w:color="auto"/>
              <w:right w:val="nil"/>
            </w:tcBorders>
            <w:shd w:val="clear" w:color="auto" w:fill="auto"/>
            <w:vAlign w:val="bottom"/>
          </w:tcPr>
          <w:p w14:paraId="420A4757" w14:textId="77777777" w:rsidR="00617F3E" w:rsidRPr="00617F3E" w:rsidRDefault="00617F3E" w:rsidP="00617F3E">
            <w:pPr>
              <w:pStyle w:val="Tabletext"/>
            </w:pPr>
            <w:r w:rsidRPr="00617F3E">
              <w:t>0</w:t>
            </w:r>
            <w:r w:rsidR="00D7157D">
              <w:t>.</w:t>
            </w:r>
            <w:r w:rsidRPr="00617F3E">
              <w:t>1916</w:t>
            </w:r>
          </w:p>
        </w:tc>
      </w:tr>
      <w:tr w:rsidR="00617F3E" w:rsidRPr="00617F3E" w14:paraId="518F1296" w14:textId="77777777" w:rsidTr="00617F3E">
        <w:trPr>
          <w:cantSplit/>
        </w:trPr>
        <w:tc>
          <w:tcPr>
            <w:tcW w:w="1136" w:type="pct"/>
            <w:tcBorders>
              <w:top w:val="single" w:sz="4" w:space="0" w:color="auto"/>
              <w:bottom w:val="single" w:sz="4" w:space="0" w:color="auto"/>
            </w:tcBorders>
          </w:tcPr>
          <w:p w14:paraId="371E2148" w14:textId="77777777" w:rsidR="00617F3E" w:rsidRPr="00617F3E" w:rsidRDefault="00617F3E" w:rsidP="00617F3E">
            <w:pPr>
              <w:pStyle w:val="Tabletext"/>
            </w:pPr>
            <w:r w:rsidRPr="00617F3E">
              <w:t>80</w:t>
            </w:r>
          </w:p>
        </w:tc>
        <w:tc>
          <w:tcPr>
            <w:tcW w:w="966" w:type="pct"/>
            <w:tcBorders>
              <w:top w:val="single" w:sz="4" w:space="0" w:color="auto"/>
              <w:bottom w:val="single" w:sz="4" w:space="0" w:color="auto"/>
            </w:tcBorders>
            <w:shd w:val="clear" w:color="auto" w:fill="auto"/>
            <w:vAlign w:val="bottom"/>
          </w:tcPr>
          <w:p w14:paraId="19EF9CE0" w14:textId="77777777" w:rsidR="00617F3E" w:rsidRPr="00617F3E" w:rsidRDefault="00617F3E" w:rsidP="00617F3E">
            <w:pPr>
              <w:pStyle w:val="Tabletext"/>
            </w:pPr>
            <w:r w:rsidRPr="00617F3E">
              <w:t>7</w:t>
            </w:r>
            <w:r w:rsidR="00D7157D">
              <w:t>.</w:t>
            </w:r>
            <w:r w:rsidRPr="00617F3E">
              <w:t>2841</w:t>
            </w:r>
          </w:p>
        </w:tc>
        <w:tc>
          <w:tcPr>
            <w:tcW w:w="966" w:type="pct"/>
            <w:tcBorders>
              <w:top w:val="single" w:sz="4" w:space="0" w:color="auto"/>
              <w:bottom w:val="single" w:sz="4" w:space="0" w:color="auto"/>
            </w:tcBorders>
            <w:shd w:val="clear" w:color="auto" w:fill="auto"/>
            <w:vAlign w:val="bottom"/>
          </w:tcPr>
          <w:p w14:paraId="18620F6D" w14:textId="77777777" w:rsidR="00617F3E" w:rsidRPr="00617F3E" w:rsidRDefault="00617F3E" w:rsidP="00617F3E">
            <w:pPr>
              <w:pStyle w:val="Tabletext"/>
            </w:pPr>
            <w:r w:rsidRPr="00617F3E">
              <w:t>0</w:t>
            </w:r>
            <w:r w:rsidR="00D7157D">
              <w:t>.</w:t>
            </w:r>
            <w:r w:rsidRPr="00617F3E">
              <w:t>7114</w:t>
            </w:r>
          </w:p>
        </w:tc>
        <w:tc>
          <w:tcPr>
            <w:tcW w:w="966" w:type="pct"/>
            <w:tcBorders>
              <w:top w:val="single" w:sz="4" w:space="0" w:color="auto"/>
              <w:bottom w:val="single" w:sz="4" w:space="0" w:color="auto"/>
            </w:tcBorders>
            <w:shd w:val="clear" w:color="auto" w:fill="auto"/>
            <w:vAlign w:val="bottom"/>
          </w:tcPr>
          <w:p w14:paraId="04F6781B" w14:textId="77777777" w:rsidR="00617F3E" w:rsidRPr="00617F3E" w:rsidRDefault="00617F3E" w:rsidP="00617F3E">
            <w:pPr>
              <w:pStyle w:val="Tabletext"/>
            </w:pPr>
            <w:r w:rsidRPr="00617F3E">
              <w:t>8</w:t>
            </w:r>
            <w:r w:rsidR="00D7157D">
              <w:t>.</w:t>
            </w:r>
            <w:r w:rsidRPr="00617F3E">
              <w:t>1522</w:t>
            </w:r>
          </w:p>
        </w:tc>
        <w:tc>
          <w:tcPr>
            <w:tcW w:w="966" w:type="pct"/>
            <w:tcBorders>
              <w:top w:val="single" w:sz="4" w:space="0" w:color="auto"/>
              <w:bottom w:val="single" w:sz="4" w:space="0" w:color="auto"/>
              <w:right w:val="nil"/>
            </w:tcBorders>
            <w:shd w:val="clear" w:color="auto" w:fill="auto"/>
            <w:vAlign w:val="bottom"/>
          </w:tcPr>
          <w:p w14:paraId="7E6A5D6D" w14:textId="77777777" w:rsidR="00617F3E" w:rsidRPr="00617F3E" w:rsidRDefault="00617F3E" w:rsidP="00617F3E">
            <w:pPr>
              <w:pStyle w:val="Tabletext"/>
            </w:pPr>
            <w:r w:rsidRPr="00617F3E">
              <w:t>0</w:t>
            </w:r>
            <w:r w:rsidR="00D7157D">
              <w:t>.</w:t>
            </w:r>
            <w:r w:rsidRPr="00617F3E">
              <w:t>1865</w:t>
            </w:r>
          </w:p>
        </w:tc>
      </w:tr>
      <w:tr w:rsidR="00617F3E" w:rsidRPr="00617F3E" w14:paraId="70B6E17E" w14:textId="77777777" w:rsidTr="00617F3E">
        <w:trPr>
          <w:cantSplit/>
        </w:trPr>
        <w:tc>
          <w:tcPr>
            <w:tcW w:w="1136" w:type="pct"/>
            <w:tcBorders>
              <w:top w:val="single" w:sz="4" w:space="0" w:color="auto"/>
              <w:bottom w:val="single" w:sz="4" w:space="0" w:color="auto"/>
            </w:tcBorders>
          </w:tcPr>
          <w:p w14:paraId="78C8E539" w14:textId="77777777" w:rsidR="00617F3E" w:rsidRPr="00617F3E" w:rsidRDefault="00617F3E" w:rsidP="00617F3E">
            <w:pPr>
              <w:pStyle w:val="Tabletext"/>
            </w:pPr>
            <w:r w:rsidRPr="00617F3E">
              <w:t>81</w:t>
            </w:r>
          </w:p>
        </w:tc>
        <w:tc>
          <w:tcPr>
            <w:tcW w:w="966" w:type="pct"/>
            <w:tcBorders>
              <w:top w:val="single" w:sz="4" w:space="0" w:color="auto"/>
              <w:bottom w:val="single" w:sz="4" w:space="0" w:color="auto"/>
            </w:tcBorders>
            <w:shd w:val="clear" w:color="auto" w:fill="auto"/>
            <w:vAlign w:val="bottom"/>
          </w:tcPr>
          <w:p w14:paraId="4E0EA8A7" w14:textId="77777777" w:rsidR="00617F3E" w:rsidRPr="00617F3E" w:rsidRDefault="00617F3E" w:rsidP="00617F3E">
            <w:pPr>
              <w:pStyle w:val="Tabletext"/>
            </w:pPr>
            <w:r w:rsidRPr="00617F3E">
              <w:t>6</w:t>
            </w:r>
            <w:r w:rsidR="00D7157D">
              <w:t>.</w:t>
            </w:r>
            <w:r w:rsidRPr="00617F3E">
              <w:t>8543</w:t>
            </w:r>
          </w:p>
        </w:tc>
        <w:tc>
          <w:tcPr>
            <w:tcW w:w="966" w:type="pct"/>
            <w:tcBorders>
              <w:top w:val="single" w:sz="4" w:space="0" w:color="auto"/>
              <w:bottom w:val="single" w:sz="4" w:space="0" w:color="auto"/>
            </w:tcBorders>
            <w:shd w:val="clear" w:color="auto" w:fill="auto"/>
            <w:vAlign w:val="bottom"/>
          </w:tcPr>
          <w:p w14:paraId="2368ECB4" w14:textId="77777777" w:rsidR="00617F3E" w:rsidRPr="00617F3E" w:rsidRDefault="00617F3E" w:rsidP="00617F3E">
            <w:pPr>
              <w:pStyle w:val="Tabletext"/>
            </w:pPr>
            <w:r w:rsidRPr="00617F3E">
              <w:t>0</w:t>
            </w:r>
            <w:r w:rsidR="00D7157D">
              <w:t>.</w:t>
            </w:r>
            <w:r w:rsidRPr="00617F3E">
              <w:t>6914</w:t>
            </w:r>
          </w:p>
        </w:tc>
        <w:tc>
          <w:tcPr>
            <w:tcW w:w="966" w:type="pct"/>
            <w:tcBorders>
              <w:top w:val="single" w:sz="4" w:space="0" w:color="auto"/>
              <w:bottom w:val="single" w:sz="4" w:space="0" w:color="auto"/>
            </w:tcBorders>
            <w:shd w:val="clear" w:color="auto" w:fill="auto"/>
            <w:vAlign w:val="bottom"/>
          </w:tcPr>
          <w:p w14:paraId="0B4D8DA9" w14:textId="77777777" w:rsidR="00617F3E" w:rsidRPr="00617F3E" w:rsidRDefault="00617F3E" w:rsidP="00617F3E">
            <w:pPr>
              <w:pStyle w:val="Tabletext"/>
            </w:pPr>
            <w:r w:rsidRPr="00617F3E">
              <w:t>7</w:t>
            </w:r>
            <w:r w:rsidR="00D7157D">
              <w:t>.</w:t>
            </w:r>
            <w:r w:rsidRPr="00617F3E">
              <w:t>6682</w:t>
            </w:r>
          </w:p>
        </w:tc>
        <w:tc>
          <w:tcPr>
            <w:tcW w:w="966" w:type="pct"/>
            <w:tcBorders>
              <w:top w:val="single" w:sz="4" w:space="0" w:color="auto"/>
              <w:bottom w:val="single" w:sz="4" w:space="0" w:color="auto"/>
              <w:right w:val="nil"/>
            </w:tcBorders>
            <w:shd w:val="clear" w:color="auto" w:fill="auto"/>
            <w:vAlign w:val="bottom"/>
          </w:tcPr>
          <w:p w14:paraId="39403ED2" w14:textId="77777777" w:rsidR="00617F3E" w:rsidRPr="00617F3E" w:rsidRDefault="00617F3E" w:rsidP="00617F3E">
            <w:pPr>
              <w:pStyle w:val="Tabletext"/>
            </w:pPr>
            <w:r w:rsidRPr="00617F3E">
              <w:t>0</w:t>
            </w:r>
            <w:r w:rsidR="00D7157D">
              <w:t>.</w:t>
            </w:r>
            <w:r w:rsidRPr="00617F3E">
              <w:t>1812</w:t>
            </w:r>
          </w:p>
        </w:tc>
      </w:tr>
      <w:tr w:rsidR="00617F3E" w:rsidRPr="00617F3E" w14:paraId="72309E24" w14:textId="77777777" w:rsidTr="00617F3E">
        <w:trPr>
          <w:cantSplit/>
        </w:trPr>
        <w:tc>
          <w:tcPr>
            <w:tcW w:w="1136" w:type="pct"/>
            <w:tcBorders>
              <w:top w:val="single" w:sz="4" w:space="0" w:color="auto"/>
              <w:bottom w:val="single" w:sz="4" w:space="0" w:color="auto"/>
            </w:tcBorders>
          </w:tcPr>
          <w:p w14:paraId="32F58B7F" w14:textId="77777777" w:rsidR="00617F3E" w:rsidRPr="00617F3E" w:rsidRDefault="00617F3E" w:rsidP="00617F3E">
            <w:pPr>
              <w:pStyle w:val="Tabletext"/>
            </w:pPr>
            <w:r w:rsidRPr="00617F3E">
              <w:t>82</w:t>
            </w:r>
          </w:p>
        </w:tc>
        <w:tc>
          <w:tcPr>
            <w:tcW w:w="966" w:type="pct"/>
            <w:tcBorders>
              <w:top w:val="single" w:sz="4" w:space="0" w:color="auto"/>
              <w:bottom w:val="single" w:sz="4" w:space="0" w:color="auto"/>
            </w:tcBorders>
            <w:shd w:val="clear" w:color="auto" w:fill="auto"/>
            <w:vAlign w:val="bottom"/>
          </w:tcPr>
          <w:p w14:paraId="10F55032" w14:textId="77777777" w:rsidR="00617F3E" w:rsidRPr="00617F3E" w:rsidRDefault="00617F3E" w:rsidP="00617F3E">
            <w:pPr>
              <w:pStyle w:val="Tabletext"/>
            </w:pPr>
            <w:r w:rsidRPr="00617F3E">
              <w:t>6</w:t>
            </w:r>
            <w:r w:rsidR="00D7157D">
              <w:t>.</w:t>
            </w:r>
            <w:r w:rsidRPr="00617F3E">
              <w:t>4416</w:t>
            </w:r>
          </w:p>
        </w:tc>
        <w:tc>
          <w:tcPr>
            <w:tcW w:w="966" w:type="pct"/>
            <w:tcBorders>
              <w:top w:val="single" w:sz="4" w:space="0" w:color="auto"/>
              <w:bottom w:val="single" w:sz="4" w:space="0" w:color="auto"/>
            </w:tcBorders>
            <w:shd w:val="clear" w:color="auto" w:fill="auto"/>
            <w:vAlign w:val="bottom"/>
          </w:tcPr>
          <w:p w14:paraId="2E124576" w14:textId="77777777" w:rsidR="00617F3E" w:rsidRPr="00617F3E" w:rsidRDefault="00617F3E" w:rsidP="00617F3E">
            <w:pPr>
              <w:pStyle w:val="Tabletext"/>
            </w:pPr>
            <w:r w:rsidRPr="00617F3E">
              <w:t>0</w:t>
            </w:r>
            <w:r w:rsidR="00D7157D">
              <w:t>.</w:t>
            </w:r>
            <w:r w:rsidRPr="00617F3E">
              <w:t>6701</w:t>
            </w:r>
          </w:p>
        </w:tc>
        <w:tc>
          <w:tcPr>
            <w:tcW w:w="966" w:type="pct"/>
            <w:tcBorders>
              <w:top w:val="single" w:sz="4" w:space="0" w:color="auto"/>
              <w:bottom w:val="single" w:sz="4" w:space="0" w:color="auto"/>
            </w:tcBorders>
            <w:shd w:val="clear" w:color="auto" w:fill="auto"/>
            <w:vAlign w:val="bottom"/>
          </w:tcPr>
          <w:p w14:paraId="0DFF9BA8" w14:textId="77777777" w:rsidR="00617F3E" w:rsidRPr="00617F3E" w:rsidRDefault="00617F3E" w:rsidP="00617F3E">
            <w:pPr>
              <w:pStyle w:val="Tabletext"/>
            </w:pPr>
            <w:r w:rsidRPr="00617F3E">
              <w:t>7</w:t>
            </w:r>
            <w:r w:rsidR="00D7157D">
              <w:t>.</w:t>
            </w:r>
            <w:r w:rsidRPr="00617F3E">
              <w:t>1977</w:t>
            </w:r>
          </w:p>
        </w:tc>
        <w:tc>
          <w:tcPr>
            <w:tcW w:w="966" w:type="pct"/>
            <w:tcBorders>
              <w:top w:val="single" w:sz="4" w:space="0" w:color="auto"/>
              <w:bottom w:val="single" w:sz="4" w:space="0" w:color="auto"/>
              <w:right w:val="nil"/>
            </w:tcBorders>
            <w:shd w:val="clear" w:color="auto" w:fill="auto"/>
            <w:vAlign w:val="bottom"/>
          </w:tcPr>
          <w:p w14:paraId="22034311" w14:textId="77777777" w:rsidR="00617F3E" w:rsidRPr="00617F3E" w:rsidRDefault="00617F3E" w:rsidP="00617F3E">
            <w:pPr>
              <w:pStyle w:val="Tabletext"/>
            </w:pPr>
            <w:r w:rsidRPr="00617F3E">
              <w:t>0</w:t>
            </w:r>
            <w:r w:rsidR="00D7157D">
              <w:t>.</w:t>
            </w:r>
            <w:r w:rsidRPr="00617F3E">
              <w:t>1757</w:t>
            </w:r>
          </w:p>
        </w:tc>
      </w:tr>
      <w:tr w:rsidR="00617F3E" w:rsidRPr="00617F3E" w14:paraId="47192CBD" w14:textId="77777777" w:rsidTr="00617F3E">
        <w:trPr>
          <w:cantSplit/>
        </w:trPr>
        <w:tc>
          <w:tcPr>
            <w:tcW w:w="1136" w:type="pct"/>
            <w:tcBorders>
              <w:top w:val="single" w:sz="4" w:space="0" w:color="auto"/>
              <w:bottom w:val="single" w:sz="4" w:space="0" w:color="auto"/>
            </w:tcBorders>
          </w:tcPr>
          <w:p w14:paraId="4E2FC968" w14:textId="77777777" w:rsidR="00617F3E" w:rsidRPr="00617F3E" w:rsidRDefault="00617F3E" w:rsidP="00617F3E">
            <w:pPr>
              <w:pStyle w:val="Tabletext"/>
            </w:pPr>
            <w:r w:rsidRPr="00617F3E">
              <w:t>83</w:t>
            </w:r>
          </w:p>
        </w:tc>
        <w:tc>
          <w:tcPr>
            <w:tcW w:w="966" w:type="pct"/>
            <w:tcBorders>
              <w:top w:val="single" w:sz="4" w:space="0" w:color="auto"/>
              <w:bottom w:val="single" w:sz="4" w:space="0" w:color="auto"/>
            </w:tcBorders>
            <w:shd w:val="clear" w:color="auto" w:fill="auto"/>
            <w:vAlign w:val="bottom"/>
          </w:tcPr>
          <w:p w14:paraId="1A4E7E37" w14:textId="77777777" w:rsidR="00617F3E" w:rsidRPr="00617F3E" w:rsidRDefault="00617F3E" w:rsidP="00617F3E">
            <w:pPr>
              <w:pStyle w:val="Tabletext"/>
            </w:pPr>
            <w:r w:rsidRPr="00617F3E">
              <w:t>6</w:t>
            </w:r>
            <w:r w:rsidR="00D7157D">
              <w:t>.</w:t>
            </w:r>
            <w:r w:rsidRPr="00617F3E">
              <w:t>0480</w:t>
            </w:r>
          </w:p>
        </w:tc>
        <w:tc>
          <w:tcPr>
            <w:tcW w:w="966" w:type="pct"/>
            <w:tcBorders>
              <w:top w:val="single" w:sz="4" w:space="0" w:color="auto"/>
              <w:bottom w:val="single" w:sz="4" w:space="0" w:color="auto"/>
            </w:tcBorders>
            <w:shd w:val="clear" w:color="auto" w:fill="auto"/>
            <w:vAlign w:val="bottom"/>
          </w:tcPr>
          <w:p w14:paraId="504CB8E1" w14:textId="77777777" w:rsidR="00617F3E" w:rsidRPr="00617F3E" w:rsidRDefault="00617F3E" w:rsidP="00617F3E">
            <w:pPr>
              <w:pStyle w:val="Tabletext"/>
            </w:pPr>
            <w:r w:rsidRPr="00617F3E">
              <w:t>0</w:t>
            </w:r>
            <w:r w:rsidR="00D7157D">
              <w:t>.</w:t>
            </w:r>
            <w:r w:rsidRPr="00617F3E">
              <w:t>6475</w:t>
            </w:r>
          </w:p>
        </w:tc>
        <w:tc>
          <w:tcPr>
            <w:tcW w:w="966" w:type="pct"/>
            <w:tcBorders>
              <w:top w:val="single" w:sz="4" w:space="0" w:color="auto"/>
              <w:bottom w:val="single" w:sz="4" w:space="0" w:color="auto"/>
            </w:tcBorders>
            <w:shd w:val="clear" w:color="auto" w:fill="auto"/>
            <w:vAlign w:val="bottom"/>
          </w:tcPr>
          <w:p w14:paraId="2A5D72B8" w14:textId="77777777" w:rsidR="00617F3E" w:rsidRPr="00617F3E" w:rsidRDefault="00617F3E" w:rsidP="00617F3E">
            <w:pPr>
              <w:pStyle w:val="Tabletext"/>
            </w:pPr>
            <w:r w:rsidRPr="00617F3E">
              <w:t>6</w:t>
            </w:r>
            <w:r w:rsidR="00D7157D">
              <w:t>.</w:t>
            </w:r>
            <w:r w:rsidRPr="00617F3E">
              <w:t>7423</w:t>
            </w:r>
          </w:p>
        </w:tc>
        <w:tc>
          <w:tcPr>
            <w:tcW w:w="966" w:type="pct"/>
            <w:tcBorders>
              <w:top w:val="single" w:sz="4" w:space="0" w:color="auto"/>
              <w:bottom w:val="single" w:sz="4" w:space="0" w:color="auto"/>
              <w:right w:val="nil"/>
            </w:tcBorders>
            <w:shd w:val="clear" w:color="auto" w:fill="auto"/>
            <w:vAlign w:val="bottom"/>
          </w:tcPr>
          <w:p w14:paraId="5E06D4A8" w14:textId="77777777" w:rsidR="00617F3E" w:rsidRPr="00617F3E" w:rsidRDefault="00617F3E" w:rsidP="00617F3E">
            <w:pPr>
              <w:pStyle w:val="Tabletext"/>
            </w:pPr>
            <w:r w:rsidRPr="00617F3E">
              <w:t>0</w:t>
            </w:r>
            <w:r w:rsidR="00D7157D">
              <w:t>.</w:t>
            </w:r>
            <w:r w:rsidRPr="00617F3E">
              <w:t>1701</w:t>
            </w:r>
          </w:p>
        </w:tc>
      </w:tr>
      <w:tr w:rsidR="00617F3E" w:rsidRPr="00617F3E" w14:paraId="20988DD7" w14:textId="77777777" w:rsidTr="00617F3E">
        <w:trPr>
          <w:cantSplit/>
        </w:trPr>
        <w:tc>
          <w:tcPr>
            <w:tcW w:w="1136" w:type="pct"/>
            <w:tcBorders>
              <w:top w:val="single" w:sz="4" w:space="0" w:color="auto"/>
              <w:bottom w:val="single" w:sz="4" w:space="0" w:color="auto"/>
            </w:tcBorders>
          </w:tcPr>
          <w:p w14:paraId="2BD6243B" w14:textId="77777777" w:rsidR="00617F3E" w:rsidRPr="00617F3E" w:rsidRDefault="00617F3E" w:rsidP="00617F3E">
            <w:pPr>
              <w:pStyle w:val="Tabletext"/>
            </w:pPr>
            <w:r w:rsidRPr="00617F3E">
              <w:t>84</w:t>
            </w:r>
          </w:p>
        </w:tc>
        <w:tc>
          <w:tcPr>
            <w:tcW w:w="966" w:type="pct"/>
            <w:tcBorders>
              <w:top w:val="single" w:sz="4" w:space="0" w:color="auto"/>
              <w:bottom w:val="single" w:sz="4" w:space="0" w:color="auto"/>
            </w:tcBorders>
            <w:shd w:val="clear" w:color="auto" w:fill="auto"/>
            <w:vAlign w:val="bottom"/>
          </w:tcPr>
          <w:p w14:paraId="5138AF8B" w14:textId="77777777" w:rsidR="00617F3E" w:rsidRPr="00617F3E" w:rsidRDefault="00617F3E" w:rsidP="00617F3E">
            <w:pPr>
              <w:pStyle w:val="Tabletext"/>
            </w:pPr>
            <w:r w:rsidRPr="00617F3E">
              <w:t>5</w:t>
            </w:r>
            <w:r w:rsidR="00D7157D">
              <w:t>.</w:t>
            </w:r>
            <w:r w:rsidRPr="00617F3E">
              <w:t>6753</w:t>
            </w:r>
          </w:p>
        </w:tc>
        <w:tc>
          <w:tcPr>
            <w:tcW w:w="966" w:type="pct"/>
            <w:tcBorders>
              <w:top w:val="single" w:sz="4" w:space="0" w:color="auto"/>
              <w:bottom w:val="single" w:sz="4" w:space="0" w:color="auto"/>
            </w:tcBorders>
            <w:shd w:val="clear" w:color="auto" w:fill="auto"/>
            <w:vAlign w:val="bottom"/>
          </w:tcPr>
          <w:p w14:paraId="06B3459C" w14:textId="77777777" w:rsidR="00617F3E" w:rsidRPr="00617F3E" w:rsidRDefault="00617F3E" w:rsidP="00617F3E">
            <w:pPr>
              <w:pStyle w:val="Tabletext"/>
            </w:pPr>
            <w:r w:rsidRPr="00617F3E">
              <w:t>0</w:t>
            </w:r>
            <w:r w:rsidR="00D7157D">
              <w:t>.</w:t>
            </w:r>
            <w:r w:rsidRPr="00617F3E">
              <w:t>6238</w:t>
            </w:r>
          </w:p>
        </w:tc>
        <w:tc>
          <w:tcPr>
            <w:tcW w:w="966" w:type="pct"/>
            <w:tcBorders>
              <w:top w:val="single" w:sz="4" w:space="0" w:color="auto"/>
              <w:bottom w:val="single" w:sz="4" w:space="0" w:color="auto"/>
            </w:tcBorders>
            <w:shd w:val="clear" w:color="auto" w:fill="auto"/>
            <w:vAlign w:val="bottom"/>
          </w:tcPr>
          <w:p w14:paraId="26822A8B" w14:textId="77777777" w:rsidR="00617F3E" w:rsidRPr="00617F3E" w:rsidRDefault="00617F3E" w:rsidP="00617F3E">
            <w:pPr>
              <w:pStyle w:val="Tabletext"/>
            </w:pPr>
            <w:r w:rsidRPr="00617F3E">
              <w:t>6</w:t>
            </w:r>
            <w:r w:rsidR="00D7157D">
              <w:t>.</w:t>
            </w:r>
            <w:r w:rsidRPr="00617F3E">
              <w:t>3038</w:t>
            </w:r>
          </w:p>
        </w:tc>
        <w:tc>
          <w:tcPr>
            <w:tcW w:w="966" w:type="pct"/>
            <w:tcBorders>
              <w:top w:val="single" w:sz="4" w:space="0" w:color="auto"/>
              <w:bottom w:val="single" w:sz="4" w:space="0" w:color="auto"/>
              <w:right w:val="nil"/>
            </w:tcBorders>
            <w:shd w:val="clear" w:color="auto" w:fill="auto"/>
            <w:vAlign w:val="bottom"/>
          </w:tcPr>
          <w:p w14:paraId="6AA6EB2A" w14:textId="77777777" w:rsidR="00617F3E" w:rsidRPr="00617F3E" w:rsidRDefault="00617F3E" w:rsidP="00617F3E">
            <w:pPr>
              <w:pStyle w:val="Tabletext"/>
            </w:pPr>
            <w:r w:rsidRPr="00617F3E">
              <w:t>0</w:t>
            </w:r>
            <w:r w:rsidR="00D7157D">
              <w:t>.</w:t>
            </w:r>
            <w:r w:rsidRPr="00617F3E">
              <w:t>1645</w:t>
            </w:r>
          </w:p>
        </w:tc>
      </w:tr>
      <w:tr w:rsidR="00617F3E" w:rsidRPr="00617F3E" w14:paraId="5392D2C4" w14:textId="77777777" w:rsidTr="00617F3E">
        <w:trPr>
          <w:cantSplit/>
        </w:trPr>
        <w:tc>
          <w:tcPr>
            <w:tcW w:w="1136" w:type="pct"/>
            <w:tcBorders>
              <w:top w:val="single" w:sz="4" w:space="0" w:color="auto"/>
              <w:bottom w:val="single" w:sz="4" w:space="0" w:color="auto"/>
            </w:tcBorders>
          </w:tcPr>
          <w:p w14:paraId="178633F2" w14:textId="77777777" w:rsidR="00617F3E" w:rsidRPr="00617F3E" w:rsidRDefault="00617F3E" w:rsidP="00617F3E">
            <w:pPr>
              <w:pStyle w:val="Tabletext"/>
            </w:pPr>
            <w:r w:rsidRPr="00617F3E">
              <w:t>85</w:t>
            </w:r>
          </w:p>
        </w:tc>
        <w:tc>
          <w:tcPr>
            <w:tcW w:w="966" w:type="pct"/>
            <w:tcBorders>
              <w:top w:val="single" w:sz="4" w:space="0" w:color="auto"/>
              <w:bottom w:val="single" w:sz="4" w:space="0" w:color="auto"/>
            </w:tcBorders>
            <w:shd w:val="clear" w:color="auto" w:fill="auto"/>
            <w:vAlign w:val="bottom"/>
          </w:tcPr>
          <w:p w14:paraId="12837F4B" w14:textId="77777777" w:rsidR="00617F3E" w:rsidRPr="00617F3E" w:rsidRDefault="00617F3E" w:rsidP="00617F3E">
            <w:pPr>
              <w:pStyle w:val="Tabletext"/>
            </w:pPr>
            <w:r w:rsidRPr="00617F3E">
              <w:t>5</w:t>
            </w:r>
            <w:r w:rsidR="00D7157D">
              <w:t>.</w:t>
            </w:r>
            <w:r w:rsidRPr="00617F3E">
              <w:t>3256</w:t>
            </w:r>
          </w:p>
        </w:tc>
        <w:tc>
          <w:tcPr>
            <w:tcW w:w="966" w:type="pct"/>
            <w:tcBorders>
              <w:top w:val="single" w:sz="4" w:space="0" w:color="auto"/>
              <w:bottom w:val="single" w:sz="4" w:space="0" w:color="auto"/>
            </w:tcBorders>
            <w:shd w:val="clear" w:color="auto" w:fill="auto"/>
            <w:vAlign w:val="bottom"/>
          </w:tcPr>
          <w:p w14:paraId="59B71272" w14:textId="77777777" w:rsidR="00617F3E" w:rsidRPr="00617F3E" w:rsidRDefault="00617F3E" w:rsidP="00617F3E">
            <w:pPr>
              <w:pStyle w:val="Tabletext"/>
            </w:pPr>
            <w:r w:rsidRPr="00617F3E">
              <w:t>0</w:t>
            </w:r>
            <w:r w:rsidR="00D7157D">
              <w:t>.</w:t>
            </w:r>
            <w:r w:rsidRPr="00617F3E">
              <w:t>5991</w:t>
            </w:r>
          </w:p>
        </w:tc>
        <w:tc>
          <w:tcPr>
            <w:tcW w:w="966" w:type="pct"/>
            <w:tcBorders>
              <w:top w:val="single" w:sz="4" w:space="0" w:color="auto"/>
              <w:bottom w:val="single" w:sz="4" w:space="0" w:color="auto"/>
            </w:tcBorders>
            <w:shd w:val="clear" w:color="auto" w:fill="auto"/>
            <w:vAlign w:val="bottom"/>
          </w:tcPr>
          <w:p w14:paraId="5F4B9413" w14:textId="77777777" w:rsidR="00617F3E" w:rsidRPr="00617F3E" w:rsidRDefault="00617F3E" w:rsidP="00617F3E">
            <w:pPr>
              <w:pStyle w:val="Tabletext"/>
            </w:pPr>
            <w:r w:rsidRPr="00617F3E">
              <w:t>5</w:t>
            </w:r>
            <w:r w:rsidR="00D7157D">
              <w:t>.</w:t>
            </w:r>
            <w:r w:rsidRPr="00617F3E">
              <w:t>8843</w:t>
            </w:r>
          </w:p>
        </w:tc>
        <w:tc>
          <w:tcPr>
            <w:tcW w:w="966" w:type="pct"/>
            <w:tcBorders>
              <w:top w:val="single" w:sz="4" w:space="0" w:color="auto"/>
              <w:bottom w:val="single" w:sz="4" w:space="0" w:color="auto"/>
              <w:right w:val="nil"/>
            </w:tcBorders>
            <w:shd w:val="clear" w:color="auto" w:fill="auto"/>
            <w:vAlign w:val="bottom"/>
          </w:tcPr>
          <w:p w14:paraId="717C95FC" w14:textId="77777777" w:rsidR="00617F3E" w:rsidRPr="00617F3E" w:rsidRDefault="00617F3E" w:rsidP="00617F3E">
            <w:pPr>
              <w:pStyle w:val="Tabletext"/>
            </w:pPr>
            <w:r w:rsidRPr="00617F3E">
              <w:t>0</w:t>
            </w:r>
            <w:r w:rsidR="00D7157D">
              <w:t>.</w:t>
            </w:r>
            <w:r w:rsidRPr="00617F3E">
              <w:t>1588</w:t>
            </w:r>
          </w:p>
        </w:tc>
      </w:tr>
      <w:tr w:rsidR="00617F3E" w:rsidRPr="00617F3E" w14:paraId="59FFE6B9" w14:textId="77777777" w:rsidTr="00617F3E">
        <w:trPr>
          <w:cantSplit/>
        </w:trPr>
        <w:tc>
          <w:tcPr>
            <w:tcW w:w="1136" w:type="pct"/>
            <w:tcBorders>
              <w:top w:val="single" w:sz="4" w:space="0" w:color="auto"/>
              <w:bottom w:val="single" w:sz="4" w:space="0" w:color="auto"/>
            </w:tcBorders>
          </w:tcPr>
          <w:p w14:paraId="42AC8A89" w14:textId="77777777" w:rsidR="00617F3E" w:rsidRPr="00617F3E" w:rsidRDefault="00617F3E" w:rsidP="00617F3E">
            <w:pPr>
              <w:pStyle w:val="Tabletext"/>
            </w:pPr>
            <w:r w:rsidRPr="00617F3E">
              <w:t>86</w:t>
            </w:r>
          </w:p>
        </w:tc>
        <w:tc>
          <w:tcPr>
            <w:tcW w:w="966" w:type="pct"/>
            <w:tcBorders>
              <w:top w:val="single" w:sz="4" w:space="0" w:color="auto"/>
              <w:bottom w:val="single" w:sz="4" w:space="0" w:color="auto"/>
            </w:tcBorders>
            <w:shd w:val="clear" w:color="auto" w:fill="auto"/>
            <w:vAlign w:val="bottom"/>
          </w:tcPr>
          <w:p w14:paraId="704B81BC" w14:textId="77777777" w:rsidR="00617F3E" w:rsidRPr="00617F3E" w:rsidRDefault="00617F3E" w:rsidP="00617F3E">
            <w:pPr>
              <w:pStyle w:val="Tabletext"/>
            </w:pPr>
            <w:r w:rsidRPr="00617F3E">
              <w:t>5</w:t>
            </w:r>
            <w:r w:rsidR="00D7157D">
              <w:t>.</w:t>
            </w:r>
            <w:r w:rsidRPr="00617F3E">
              <w:t>0006</w:t>
            </w:r>
          </w:p>
        </w:tc>
        <w:tc>
          <w:tcPr>
            <w:tcW w:w="966" w:type="pct"/>
            <w:tcBorders>
              <w:top w:val="single" w:sz="4" w:space="0" w:color="auto"/>
              <w:bottom w:val="single" w:sz="4" w:space="0" w:color="auto"/>
            </w:tcBorders>
            <w:shd w:val="clear" w:color="auto" w:fill="auto"/>
            <w:vAlign w:val="bottom"/>
          </w:tcPr>
          <w:p w14:paraId="1BBCEC94" w14:textId="77777777" w:rsidR="00617F3E" w:rsidRPr="00617F3E" w:rsidRDefault="00617F3E" w:rsidP="00617F3E">
            <w:pPr>
              <w:pStyle w:val="Tabletext"/>
            </w:pPr>
            <w:r w:rsidRPr="00617F3E">
              <w:t>0</w:t>
            </w:r>
            <w:r w:rsidR="00D7157D">
              <w:t>.</w:t>
            </w:r>
            <w:r w:rsidRPr="00617F3E">
              <w:t>5733</w:t>
            </w:r>
          </w:p>
        </w:tc>
        <w:tc>
          <w:tcPr>
            <w:tcW w:w="966" w:type="pct"/>
            <w:tcBorders>
              <w:top w:val="single" w:sz="4" w:space="0" w:color="auto"/>
              <w:bottom w:val="single" w:sz="4" w:space="0" w:color="auto"/>
            </w:tcBorders>
            <w:shd w:val="clear" w:color="auto" w:fill="auto"/>
            <w:vAlign w:val="bottom"/>
          </w:tcPr>
          <w:p w14:paraId="39CCB72B" w14:textId="77777777" w:rsidR="00617F3E" w:rsidRPr="00617F3E" w:rsidRDefault="00617F3E" w:rsidP="00617F3E">
            <w:pPr>
              <w:pStyle w:val="Tabletext"/>
            </w:pPr>
            <w:r w:rsidRPr="00617F3E">
              <w:t>5</w:t>
            </w:r>
            <w:r w:rsidR="00D7157D">
              <w:t>.</w:t>
            </w:r>
            <w:r w:rsidRPr="00617F3E">
              <w:t>4847</w:t>
            </w:r>
          </w:p>
        </w:tc>
        <w:tc>
          <w:tcPr>
            <w:tcW w:w="966" w:type="pct"/>
            <w:tcBorders>
              <w:top w:val="single" w:sz="4" w:space="0" w:color="auto"/>
              <w:bottom w:val="single" w:sz="4" w:space="0" w:color="auto"/>
              <w:right w:val="nil"/>
            </w:tcBorders>
            <w:shd w:val="clear" w:color="auto" w:fill="auto"/>
            <w:vAlign w:val="bottom"/>
          </w:tcPr>
          <w:p w14:paraId="7D9BB872" w14:textId="77777777" w:rsidR="00617F3E" w:rsidRPr="00617F3E" w:rsidRDefault="00617F3E" w:rsidP="00617F3E">
            <w:pPr>
              <w:pStyle w:val="Tabletext"/>
            </w:pPr>
            <w:r w:rsidRPr="00617F3E">
              <w:t>0</w:t>
            </w:r>
            <w:r w:rsidR="00D7157D">
              <w:t>.</w:t>
            </w:r>
            <w:r w:rsidRPr="00617F3E">
              <w:t>1532</w:t>
            </w:r>
          </w:p>
        </w:tc>
      </w:tr>
      <w:tr w:rsidR="00617F3E" w:rsidRPr="00617F3E" w14:paraId="4EE8D15F" w14:textId="77777777" w:rsidTr="00617F3E">
        <w:trPr>
          <w:cantSplit/>
        </w:trPr>
        <w:tc>
          <w:tcPr>
            <w:tcW w:w="1136" w:type="pct"/>
            <w:tcBorders>
              <w:top w:val="single" w:sz="4" w:space="0" w:color="auto"/>
              <w:bottom w:val="single" w:sz="4" w:space="0" w:color="auto"/>
            </w:tcBorders>
          </w:tcPr>
          <w:p w14:paraId="4943240B" w14:textId="77777777" w:rsidR="00617F3E" w:rsidRPr="00617F3E" w:rsidRDefault="00617F3E" w:rsidP="00617F3E">
            <w:pPr>
              <w:pStyle w:val="Tabletext"/>
            </w:pPr>
            <w:r w:rsidRPr="00617F3E">
              <w:t>87</w:t>
            </w:r>
          </w:p>
        </w:tc>
        <w:tc>
          <w:tcPr>
            <w:tcW w:w="966" w:type="pct"/>
            <w:tcBorders>
              <w:top w:val="single" w:sz="4" w:space="0" w:color="auto"/>
              <w:bottom w:val="single" w:sz="4" w:space="0" w:color="auto"/>
            </w:tcBorders>
            <w:shd w:val="clear" w:color="auto" w:fill="auto"/>
            <w:vAlign w:val="bottom"/>
          </w:tcPr>
          <w:p w14:paraId="2FCA95DC" w14:textId="77777777" w:rsidR="00617F3E" w:rsidRPr="00617F3E" w:rsidRDefault="00617F3E" w:rsidP="00617F3E">
            <w:pPr>
              <w:pStyle w:val="Tabletext"/>
            </w:pPr>
            <w:r w:rsidRPr="00617F3E">
              <w:t>4</w:t>
            </w:r>
            <w:r w:rsidR="00D7157D">
              <w:t>.</w:t>
            </w:r>
            <w:r w:rsidRPr="00617F3E">
              <w:t>6966</w:t>
            </w:r>
          </w:p>
        </w:tc>
        <w:tc>
          <w:tcPr>
            <w:tcW w:w="966" w:type="pct"/>
            <w:tcBorders>
              <w:top w:val="single" w:sz="4" w:space="0" w:color="auto"/>
              <w:bottom w:val="single" w:sz="4" w:space="0" w:color="auto"/>
            </w:tcBorders>
            <w:shd w:val="clear" w:color="auto" w:fill="auto"/>
            <w:vAlign w:val="bottom"/>
          </w:tcPr>
          <w:p w14:paraId="09E3E6ED" w14:textId="77777777" w:rsidR="00617F3E" w:rsidRPr="00617F3E" w:rsidRDefault="00617F3E" w:rsidP="00617F3E">
            <w:pPr>
              <w:pStyle w:val="Tabletext"/>
            </w:pPr>
            <w:r w:rsidRPr="00617F3E">
              <w:t>0</w:t>
            </w:r>
            <w:r w:rsidR="00D7157D">
              <w:t>.</w:t>
            </w:r>
            <w:r w:rsidRPr="00617F3E">
              <w:t>5469</w:t>
            </w:r>
          </w:p>
        </w:tc>
        <w:tc>
          <w:tcPr>
            <w:tcW w:w="966" w:type="pct"/>
            <w:tcBorders>
              <w:top w:val="single" w:sz="4" w:space="0" w:color="auto"/>
              <w:bottom w:val="single" w:sz="4" w:space="0" w:color="auto"/>
            </w:tcBorders>
            <w:shd w:val="clear" w:color="auto" w:fill="auto"/>
            <w:vAlign w:val="bottom"/>
          </w:tcPr>
          <w:p w14:paraId="071EC8F3" w14:textId="77777777" w:rsidR="00617F3E" w:rsidRPr="00617F3E" w:rsidRDefault="00617F3E" w:rsidP="00617F3E">
            <w:pPr>
              <w:pStyle w:val="Tabletext"/>
            </w:pPr>
            <w:r w:rsidRPr="00617F3E">
              <w:t>5</w:t>
            </w:r>
            <w:r w:rsidR="00D7157D">
              <w:t>.</w:t>
            </w:r>
            <w:r w:rsidRPr="00617F3E">
              <w:t>1086</w:t>
            </w:r>
          </w:p>
        </w:tc>
        <w:tc>
          <w:tcPr>
            <w:tcW w:w="966" w:type="pct"/>
            <w:tcBorders>
              <w:top w:val="single" w:sz="4" w:space="0" w:color="auto"/>
              <w:bottom w:val="single" w:sz="4" w:space="0" w:color="auto"/>
              <w:right w:val="nil"/>
            </w:tcBorders>
            <w:shd w:val="clear" w:color="auto" w:fill="auto"/>
            <w:vAlign w:val="bottom"/>
          </w:tcPr>
          <w:p w14:paraId="430FC441" w14:textId="77777777" w:rsidR="00617F3E" w:rsidRPr="00617F3E" w:rsidRDefault="00617F3E" w:rsidP="00617F3E">
            <w:pPr>
              <w:pStyle w:val="Tabletext"/>
            </w:pPr>
            <w:r w:rsidRPr="00617F3E">
              <w:t>0</w:t>
            </w:r>
            <w:r w:rsidR="00D7157D">
              <w:t>.</w:t>
            </w:r>
            <w:r w:rsidRPr="00617F3E">
              <w:t>1476</w:t>
            </w:r>
          </w:p>
        </w:tc>
      </w:tr>
      <w:tr w:rsidR="00617F3E" w:rsidRPr="00617F3E" w14:paraId="248872C7" w14:textId="77777777" w:rsidTr="00617F3E">
        <w:trPr>
          <w:cantSplit/>
        </w:trPr>
        <w:tc>
          <w:tcPr>
            <w:tcW w:w="1136" w:type="pct"/>
            <w:tcBorders>
              <w:top w:val="single" w:sz="4" w:space="0" w:color="auto"/>
              <w:bottom w:val="single" w:sz="4" w:space="0" w:color="auto"/>
            </w:tcBorders>
          </w:tcPr>
          <w:p w14:paraId="54B50898" w14:textId="77777777" w:rsidR="00617F3E" w:rsidRPr="00617F3E" w:rsidRDefault="00617F3E" w:rsidP="00617F3E">
            <w:pPr>
              <w:pStyle w:val="Tabletext"/>
            </w:pPr>
            <w:r w:rsidRPr="00617F3E">
              <w:t>88</w:t>
            </w:r>
          </w:p>
        </w:tc>
        <w:tc>
          <w:tcPr>
            <w:tcW w:w="966" w:type="pct"/>
            <w:tcBorders>
              <w:top w:val="single" w:sz="4" w:space="0" w:color="auto"/>
              <w:bottom w:val="single" w:sz="4" w:space="0" w:color="auto"/>
            </w:tcBorders>
            <w:shd w:val="clear" w:color="auto" w:fill="auto"/>
            <w:vAlign w:val="bottom"/>
          </w:tcPr>
          <w:p w14:paraId="40179C51" w14:textId="77777777" w:rsidR="00617F3E" w:rsidRPr="00617F3E" w:rsidRDefault="00617F3E" w:rsidP="00617F3E">
            <w:pPr>
              <w:pStyle w:val="Tabletext"/>
            </w:pPr>
            <w:r w:rsidRPr="00617F3E">
              <w:t>4</w:t>
            </w:r>
            <w:r w:rsidR="00D7157D">
              <w:t>.</w:t>
            </w:r>
            <w:r w:rsidRPr="00617F3E">
              <w:t>4141</w:t>
            </w:r>
          </w:p>
        </w:tc>
        <w:tc>
          <w:tcPr>
            <w:tcW w:w="966" w:type="pct"/>
            <w:tcBorders>
              <w:top w:val="single" w:sz="4" w:space="0" w:color="auto"/>
              <w:bottom w:val="single" w:sz="4" w:space="0" w:color="auto"/>
            </w:tcBorders>
            <w:shd w:val="clear" w:color="auto" w:fill="auto"/>
            <w:vAlign w:val="bottom"/>
          </w:tcPr>
          <w:p w14:paraId="64D494E2" w14:textId="77777777" w:rsidR="00617F3E" w:rsidRPr="00617F3E" w:rsidRDefault="00617F3E" w:rsidP="00617F3E">
            <w:pPr>
              <w:pStyle w:val="Tabletext"/>
            </w:pPr>
            <w:r w:rsidRPr="00617F3E">
              <w:t>0</w:t>
            </w:r>
            <w:r w:rsidR="00D7157D">
              <w:t>.</w:t>
            </w:r>
            <w:r w:rsidRPr="00617F3E">
              <w:t>5202</w:t>
            </w:r>
          </w:p>
        </w:tc>
        <w:tc>
          <w:tcPr>
            <w:tcW w:w="966" w:type="pct"/>
            <w:tcBorders>
              <w:top w:val="single" w:sz="4" w:space="0" w:color="auto"/>
              <w:bottom w:val="single" w:sz="4" w:space="0" w:color="auto"/>
            </w:tcBorders>
            <w:shd w:val="clear" w:color="auto" w:fill="auto"/>
            <w:vAlign w:val="bottom"/>
          </w:tcPr>
          <w:p w14:paraId="4A608A8D" w14:textId="77777777" w:rsidR="00617F3E" w:rsidRPr="00617F3E" w:rsidRDefault="00617F3E" w:rsidP="00617F3E">
            <w:pPr>
              <w:pStyle w:val="Tabletext"/>
            </w:pPr>
            <w:r w:rsidRPr="00617F3E">
              <w:t>4</w:t>
            </w:r>
            <w:r w:rsidR="00D7157D">
              <w:t>.</w:t>
            </w:r>
            <w:r w:rsidRPr="00617F3E">
              <w:t>7565</w:t>
            </w:r>
          </w:p>
        </w:tc>
        <w:tc>
          <w:tcPr>
            <w:tcW w:w="966" w:type="pct"/>
            <w:tcBorders>
              <w:top w:val="single" w:sz="4" w:space="0" w:color="auto"/>
              <w:bottom w:val="single" w:sz="4" w:space="0" w:color="auto"/>
              <w:right w:val="nil"/>
            </w:tcBorders>
            <w:shd w:val="clear" w:color="auto" w:fill="auto"/>
            <w:vAlign w:val="bottom"/>
          </w:tcPr>
          <w:p w14:paraId="74B02500" w14:textId="77777777" w:rsidR="00617F3E" w:rsidRPr="00617F3E" w:rsidRDefault="00617F3E" w:rsidP="00617F3E">
            <w:pPr>
              <w:pStyle w:val="Tabletext"/>
            </w:pPr>
            <w:r w:rsidRPr="00617F3E">
              <w:t>0</w:t>
            </w:r>
            <w:r w:rsidR="00D7157D">
              <w:t>.</w:t>
            </w:r>
            <w:r w:rsidRPr="00617F3E">
              <w:t>1421</w:t>
            </w:r>
          </w:p>
        </w:tc>
      </w:tr>
      <w:tr w:rsidR="00617F3E" w:rsidRPr="00617F3E" w14:paraId="71D81991" w14:textId="77777777" w:rsidTr="00617F3E">
        <w:trPr>
          <w:cantSplit/>
        </w:trPr>
        <w:tc>
          <w:tcPr>
            <w:tcW w:w="1136" w:type="pct"/>
            <w:tcBorders>
              <w:top w:val="single" w:sz="4" w:space="0" w:color="auto"/>
              <w:bottom w:val="single" w:sz="4" w:space="0" w:color="auto"/>
            </w:tcBorders>
          </w:tcPr>
          <w:p w14:paraId="21A806D9" w14:textId="77777777" w:rsidR="00617F3E" w:rsidRPr="00617F3E" w:rsidRDefault="00617F3E" w:rsidP="00617F3E">
            <w:pPr>
              <w:pStyle w:val="Tabletext"/>
            </w:pPr>
            <w:r w:rsidRPr="00617F3E">
              <w:t>89</w:t>
            </w:r>
          </w:p>
        </w:tc>
        <w:tc>
          <w:tcPr>
            <w:tcW w:w="966" w:type="pct"/>
            <w:tcBorders>
              <w:top w:val="single" w:sz="4" w:space="0" w:color="auto"/>
              <w:bottom w:val="single" w:sz="4" w:space="0" w:color="auto"/>
            </w:tcBorders>
            <w:shd w:val="clear" w:color="auto" w:fill="auto"/>
            <w:vAlign w:val="bottom"/>
          </w:tcPr>
          <w:p w14:paraId="461B8268" w14:textId="77777777" w:rsidR="00617F3E" w:rsidRPr="00617F3E" w:rsidRDefault="00617F3E" w:rsidP="00617F3E">
            <w:pPr>
              <w:pStyle w:val="Tabletext"/>
            </w:pPr>
            <w:r w:rsidRPr="00617F3E">
              <w:t>4</w:t>
            </w:r>
            <w:r w:rsidR="00D7157D">
              <w:t>.</w:t>
            </w:r>
            <w:r w:rsidRPr="00617F3E">
              <w:t>1525</w:t>
            </w:r>
          </w:p>
        </w:tc>
        <w:tc>
          <w:tcPr>
            <w:tcW w:w="966" w:type="pct"/>
            <w:tcBorders>
              <w:top w:val="single" w:sz="4" w:space="0" w:color="auto"/>
              <w:bottom w:val="single" w:sz="4" w:space="0" w:color="auto"/>
            </w:tcBorders>
            <w:shd w:val="clear" w:color="auto" w:fill="auto"/>
            <w:vAlign w:val="bottom"/>
          </w:tcPr>
          <w:p w14:paraId="2866A5E0" w14:textId="77777777" w:rsidR="00617F3E" w:rsidRPr="00617F3E" w:rsidRDefault="00617F3E" w:rsidP="00617F3E">
            <w:pPr>
              <w:pStyle w:val="Tabletext"/>
            </w:pPr>
            <w:r w:rsidRPr="00617F3E">
              <w:t>0</w:t>
            </w:r>
            <w:r w:rsidR="00D7157D">
              <w:t>.</w:t>
            </w:r>
            <w:r w:rsidRPr="00617F3E">
              <w:t>4934</w:t>
            </w:r>
          </w:p>
        </w:tc>
        <w:tc>
          <w:tcPr>
            <w:tcW w:w="966" w:type="pct"/>
            <w:tcBorders>
              <w:top w:val="single" w:sz="4" w:space="0" w:color="auto"/>
              <w:bottom w:val="single" w:sz="4" w:space="0" w:color="auto"/>
            </w:tcBorders>
            <w:shd w:val="clear" w:color="auto" w:fill="auto"/>
            <w:vAlign w:val="bottom"/>
          </w:tcPr>
          <w:p w14:paraId="04F650E7" w14:textId="77777777" w:rsidR="00617F3E" w:rsidRPr="00617F3E" w:rsidRDefault="00617F3E" w:rsidP="00617F3E">
            <w:pPr>
              <w:pStyle w:val="Tabletext"/>
            </w:pPr>
            <w:r w:rsidRPr="00617F3E">
              <w:t>4</w:t>
            </w:r>
            <w:r w:rsidR="00D7157D">
              <w:t>.</w:t>
            </w:r>
            <w:r w:rsidRPr="00617F3E">
              <w:t>4304</w:t>
            </w:r>
          </w:p>
        </w:tc>
        <w:tc>
          <w:tcPr>
            <w:tcW w:w="966" w:type="pct"/>
            <w:tcBorders>
              <w:top w:val="single" w:sz="4" w:space="0" w:color="auto"/>
              <w:bottom w:val="single" w:sz="4" w:space="0" w:color="auto"/>
              <w:right w:val="nil"/>
            </w:tcBorders>
            <w:shd w:val="clear" w:color="auto" w:fill="auto"/>
            <w:vAlign w:val="bottom"/>
          </w:tcPr>
          <w:p w14:paraId="788A6F2D" w14:textId="77777777" w:rsidR="00617F3E" w:rsidRPr="00617F3E" w:rsidRDefault="00617F3E" w:rsidP="00617F3E">
            <w:pPr>
              <w:pStyle w:val="Tabletext"/>
            </w:pPr>
            <w:r w:rsidRPr="00617F3E">
              <w:t>0</w:t>
            </w:r>
            <w:r w:rsidR="00D7157D">
              <w:t>.</w:t>
            </w:r>
            <w:r w:rsidRPr="00617F3E">
              <w:t>1368</w:t>
            </w:r>
          </w:p>
        </w:tc>
      </w:tr>
      <w:tr w:rsidR="00617F3E" w:rsidRPr="00617F3E" w14:paraId="5B89FCB9" w14:textId="77777777" w:rsidTr="00617F3E">
        <w:trPr>
          <w:cantSplit/>
        </w:trPr>
        <w:tc>
          <w:tcPr>
            <w:tcW w:w="1136" w:type="pct"/>
            <w:tcBorders>
              <w:top w:val="single" w:sz="4" w:space="0" w:color="auto"/>
              <w:bottom w:val="single" w:sz="4" w:space="0" w:color="auto"/>
            </w:tcBorders>
          </w:tcPr>
          <w:p w14:paraId="0A59B236" w14:textId="77777777" w:rsidR="00617F3E" w:rsidRPr="00617F3E" w:rsidRDefault="00617F3E" w:rsidP="00617F3E">
            <w:pPr>
              <w:pStyle w:val="Tabletext"/>
            </w:pPr>
            <w:r w:rsidRPr="00617F3E">
              <w:t>90</w:t>
            </w:r>
          </w:p>
        </w:tc>
        <w:tc>
          <w:tcPr>
            <w:tcW w:w="966" w:type="pct"/>
            <w:tcBorders>
              <w:top w:val="single" w:sz="4" w:space="0" w:color="auto"/>
              <w:bottom w:val="single" w:sz="4" w:space="0" w:color="auto"/>
            </w:tcBorders>
            <w:shd w:val="clear" w:color="auto" w:fill="auto"/>
            <w:vAlign w:val="bottom"/>
          </w:tcPr>
          <w:p w14:paraId="2E166FB3" w14:textId="77777777" w:rsidR="00617F3E" w:rsidRPr="00617F3E" w:rsidRDefault="00617F3E" w:rsidP="00617F3E">
            <w:pPr>
              <w:pStyle w:val="Tabletext"/>
            </w:pPr>
            <w:r w:rsidRPr="00617F3E">
              <w:t>3</w:t>
            </w:r>
            <w:r w:rsidR="00D7157D">
              <w:t>.</w:t>
            </w:r>
            <w:r w:rsidRPr="00617F3E">
              <w:t>9095</w:t>
            </w:r>
          </w:p>
        </w:tc>
        <w:tc>
          <w:tcPr>
            <w:tcW w:w="966" w:type="pct"/>
            <w:tcBorders>
              <w:top w:val="single" w:sz="4" w:space="0" w:color="auto"/>
              <w:bottom w:val="single" w:sz="4" w:space="0" w:color="auto"/>
            </w:tcBorders>
            <w:shd w:val="clear" w:color="auto" w:fill="auto"/>
            <w:vAlign w:val="bottom"/>
          </w:tcPr>
          <w:p w14:paraId="2DC7F4B4" w14:textId="77777777" w:rsidR="00617F3E" w:rsidRPr="00617F3E" w:rsidRDefault="00617F3E" w:rsidP="00617F3E">
            <w:pPr>
              <w:pStyle w:val="Tabletext"/>
            </w:pPr>
            <w:r w:rsidRPr="00617F3E">
              <w:t>0</w:t>
            </w:r>
            <w:r w:rsidR="00D7157D">
              <w:t>.</w:t>
            </w:r>
            <w:r w:rsidRPr="00617F3E">
              <w:t>4670</w:t>
            </w:r>
          </w:p>
        </w:tc>
        <w:tc>
          <w:tcPr>
            <w:tcW w:w="966" w:type="pct"/>
            <w:tcBorders>
              <w:top w:val="single" w:sz="4" w:space="0" w:color="auto"/>
              <w:bottom w:val="single" w:sz="4" w:space="0" w:color="auto"/>
            </w:tcBorders>
            <w:shd w:val="clear" w:color="auto" w:fill="auto"/>
            <w:vAlign w:val="bottom"/>
          </w:tcPr>
          <w:p w14:paraId="6B036C96" w14:textId="77777777" w:rsidR="00617F3E" w:rsidRPr="00617F3E" w:rsidRDefault="00617F3E" w:rsidP="00617F3E">
            <w:pPr>
              <w:pStyle w:val="Tabletext"/>
            </w:pPr>
            <w:r w:rsidRPr="00617F3E">
              <w:t>4</w:t>
            </w:r>
            <w:r w:rsidR="00D7157D">
              <w:t>.</w:t>
            </w:r>
            <w:r w:rsidRPr="00617F3E">
              <w:t>1328</w:t>
            </w:r>
          </w:p>
        </w:tc>
        <w:tc>
          <w:tcPr>
            <w:tcW w:w="966" w:type="pct"/>
            <w:tcBorders>
              <w:top w:val="single" w:sz="4" w:space="0" w:color="auto"/>
              <w:bottom w:val="single" w:sz="4" w:space="0" w:color="auto"/>
              <w:right w:val="nil"/>
            </w:tcBorders>
            <w:shd w:val="clear" w:color="auto" w:fill="auto"/>
            <w:vAlign w:val="bottom"/>
          </w:tcPr>
          <w:p w14:paraId="7D69B677" w14:textId="77777777" w:rsidR="00617F3E" w:rsidRPr="00617F3E" w:rsidRDefault="00617F3E" w:rsidP="00617F3E">
            <w:pPr>
              <w:pStyle w:val="Tabletext"/>
            </w:pPr>
            <w:r w:rsidRPr="00617F3E">
              <w:t>0</w:t>
            </w:r>
            <w:r w:rsidR="00D7157D">
              <w:t>.</w:t>
            </w:r>
            <w:r w:rsidRPr="00617F3E">
              <w:t>1316</w:t>
            </w:r>
          </w:p>
        </w:tc>
      </w:tr>
      <w:tr w:rsidR="00617F3E" w:rsidRPr="00617F3E" w14:paraId="05345426" w14:textId="77777777" w:rsidTr="00617F3E">
        <w:trPr>
          <w:cantSplit/>
        </w:trPr>
        <w:tc>
          <w:tcPr>
            <w:tcW w:w="1136" w:type="pct"/>
            <w:tcBorders>
              <w:top w:val="single" w:sz="4" w:space="0" w:color="auto"/>
              <w:bottom w:val="single" w:sz="4" w:space="0" w:color="auto"/>
            </w:tcBorders>
          </w:tcPr>
          <w:p w14:paraId="57B12B09" w14:textId="77777777" w:rsidR="00617F3E" w:rsidRPr="00617F3E" w:rsidRDefault="00617F3E" w:rsidP="00617F3E">
            <w:pPr>
              <w:pStyle w:val="Tabletext"/>
            </w:pPr>
            <w:r w:rsidRPr="00617F3E">
              <w:t>91</w:t>
            </w:r>
          </w:p>
        </w:tc>
        <w:tc>
          <w:tcPr>
            <w:tcW w:w="966" w:type="pct"/>
            <w:tcBorders>
              <w:top w:val="single" w:sz="4" w:space="0" w:color="auto"/>
              <w:bottom w:val="single" w:sz="4" w:space="0" w:color="auto"/>
            </w:tcBorders>
            <w:shd w:val="clear" w:color="auto" w:fill="auto"/>
            <w:vAlign w:val="bottom"/>
          </w:tcPr>
          <w:p w14:paraId="42CCCC57" w14:textId="77777777" w:rsidR="00617F3E" w:rsidRPr="00617F3E" w:rsidRDefault="00617F3E" w:rsidP="00617F3E">
            <w:pPr>
              <w:pStyle w:val="Tabletext"/>
            </w:pPr>
            <w:r w:rsidRPr="00617F3E">
              <w:t>3</w:t>
            </w:r>
            <w:r w:rsidR="00D7157D">
              <w:t>.</w:t>
            </w:r>
            <w:r w:rsidRPr="00617F3E">
              <w:t>6808</w:t>
            </w:r>
          </w:p>
        </w:tc>
        <w:tc>
          <w:tcPr>
            <w:tcW w:w="966" w:type="pct"/>
            <w:tcBorders>
              <w:top w:val="single" w:sz="4" w:space="0" w:color="auto"/>
              <w:bottom w:val="single" w:sz="4" w:space="0" w:color="auto"/>
            </w:tcBorders>
            <w:shd w:val="clear" w:color="auto" w:fill="auto"/>
            <w:vAlign w:val="bottom"/>
          </w:tcPr>
          <w:p w14:paraId="45C7F7CD" w14:textId="77777777" w:rsidR="00617F3E" w:rsidRPr="00617F3E" w:rsidRDefault="00617F3E" w:rsidP="00617F3E">
            <w:pPr>
              <w:pStyle w:val="Tabletext"/>
            </w:pPr>
            <w:r w:rsidRPr="00617F3E">
              <w:t>0</w:t>
            </w:r>
            <w:r w:rsidR="00D7157D">
              <w:t>.</w:t>
            </w:r>
            <w:r w:rsidRPr="00617F3E">
              <w:t>4416</w:t>
            </w:r>
          </w:p>
        </w:tc>
        <w:tc>
          <w:tcPr>
            <w:tcW w:w="966" w:type="pct"/>
            <w:tcBorders>
              <w:top w:val="single" w:sz="4" w:space="0" w:color="auto"/>
              <w:bottom w:val="single" w:sz="4" w:space="0" w:color="auto"/>
            </w:tcBorders>
            <w:shd w:val="clear" w:color="auto" w:fill="auto"/>
            <w:vAlign w:val="bottom"/>
          </w:tcPr>
          <w:p w14:paraId="237A5747" w14:textId="77777777" w:rsidR="00617F3E" w:rsidRPr="00617F3E" w:rsidRDefault="00617F3E" w:rsidP="00617F3E">
            <w:pPr>
              <w:pStyle w:val="Tabletext"/>
            </w:pPr>
            <w:r w:rsidRPr="00617F3E">
              <w:t>3</w:t>
            </w:r>
            <w:r w:rsidR="00D7157D">
              <w:t>.</w:t>
            </w:r>
            <w:r w:rsidRPr="00617F3E">
              <w:t>8607</w:t>
            </w:r>
          </w:p>
        </w:tc>
        <w:tc>
          <w:tcPr>
            <w:tcW w:w="966" w:type="pct"/>
            <w:tcBorders>
              <w:top w:val="single" w:sz="4" w:space="0" w:color="auto"/>
              <w:bottom w:val="single" w:sz="4" w:space="0" w:color="auto"/>
              <w:right w:val="nil"/>
            </w:tcBorders>
            <w:shd w:val="clear" w:color="auto" w:fill="auto"/>
            <w:vAlign w:val="bottom"/>
          </w:tcPr>
          <w:p w14:paraId="27731689" w14:textId="77777777" w:rsidR="00617F3E" w:rsidRPr="00617F3E" w:rsidRDefault="00617F3E" w:rsidP="00617F3E">
            <w:pPr>
              <w:pStyle w:val="Tabletext"/>
            </w:pPr>
            <w:r w:rsidRPr="00617F3E">
              <w:t>0</w:t>
            </w:r>
            <w:r w:rsidR="00D7157D">
              <w:t>.</w:t>
            </w:r>
            <w:r w:rsidRPr="00617F3E">
              <w:t>1264</w:t>
            </w:r>
          </w:p>
        </w:tc>
      </w:tr>
      <w:tr w:rsidR="00617F3E" w:rsidRPr="00617F3E" w14:paraId="284A0697" w14:textId="77777777" w:rsidTr="00617F3E">
        <w:trPr>
          <w:cantSplit/>
        </w:trPr>
        <w:tc>
          <w:tcPr>
            <w:tcW w:w="1136" w:type="pct"/>
            <w:tcBorders>
              <w:top w:val="single" w:sz="4" w:space="0" w:color="auto"/>
              <w:bottom w:val="single" w:sz="4" w:space="0" w:color="auto"/>
            </w:tcBorders>
          </w:tcPr>
          <w:p w14:paraId="438CE921" w14:textId="77777777" w:rsidR="00617F3E" w:rsidRPr="00617F3E" w:rsidRDefault="00617F3E" w:rsidP="00617F3E">
            <w:pPr>
              <w:pStyle w:val="Tabletext"/>
            </w:pPr>
            <w:r w:rsidRPr="00617F3E">
              <w:t>92</w:t>
            </w:r>
          </w:p>
        </w:tc>
        <w:tc>
          <w:tcPr>
            <w:tcW w:w="966" w:type="pct"/>
            <w:tcBorders>
              <w:top w:val="single" w:sz="4" w:space="0" w:color="auto"/>
              <w:bottom w:val="single" w:sz="4" w:space="0" w:color="auto"/>
            </w:tcBorders>
            <w:shd w:val="clear" w:color="auto" w:fill="auto"/>
            <w:vAlign w:val="bottom"/>
          </w:tcPr>
          <w:p w14:paraId="0FD88117" w14:textId="77777777" w:rsidR="00617F3E" w:rsidRPr="00617F3E" w:rsidRDefault="00617F3E" w:rsidP="00617F3E">
            <w:pPr>
              <w:pStyle w:val="Tabletext"/>
            </w:pPr>
            <w:r w:rsidRPr="00617F3E">
              <w:t>3</w:t>
            </w:r>
            <w:r w:rsidR="00D7157D">
              <w:t>.</w:t>
            </w:r>
            <w:r w:rsidRPr="00617F3E">
              <w:t>4691</w:t>
            </w:r>
          </w:p>
        </w:tc>
        <w:tc>
          <w:tcPr>
            <w:tcW w:w="966" w:type="pct"/>
            <w:tcBorders>
              <w:top w:val="single" w:sz="4" w:space="0" w:color="auto"/>
              <w:bottom w:val="single" w:sz="4" w:space="0" w:color="auto"/>
            </w:tcBorders>
            <w:shd w:val="clear" w:color="auto" w:fill="auto"/>
            <w:vAlign w:val="bottom"/>
          </w:tcPr>
          <w:p w14:paraId="7FDD0A9F" w14:textId="77777777" w:rsidR="00617F3E" w:rsidRPr="00617F3E" w:rsidRDefault="00617F3E" w:rsidP="00617F3E">
            <w:pPr>
              <w:pStyle w:val="Tabletext"/>
            </w:pPr>
            <w:r w:rsidRPr="00617F3E">
              <w:t>0</w:t>
            </w:r>
            <w:r w:rsidR="00D7157D">
              <w:t>.</w:t>
            </w:r>
            <w:r w:rsidRPr="00617F3E">
              <w:t>4170</w:t>
            </w:r>
          </w:p>
        </w:tc>
        <w:tc>
          <w:tcPr>
            <w:tcW w:w="966" w:type="pct"/>
            <w:tcBorders>
              <w:top w:val="single" w:sz="4" w:space="0" w:color="auto"/>
              <w:bottom w:val="single" w:sz="4" w:space="0" w:color="auto"/>
            </w:tcBorders>
            <w:shd w:val="clear" w:color="auto" w:fill="auto"/>
            <w:vAlign w:val="bottom"/>
          </w:tcPr>
          <w:p w14:paraId="5DED6999" w14:textId="77777777" w:rsidR="00617F3E" w:rsidRPr="00617F3E" w:rsidRDefault="00617F3E" w:rsidP="00617F3E">
            <w:pPr>
              <w:pStyle w:val="Tabletext"/>
            </w:pPr>
            <w:r w:rsidRPr="00617F3E">
              <w:t>3</w:t>
            </w:r>
            <w:r w:rsidR="00D7157D">
              <w:t>.</w:t>
            </w:r>
            <w:r w:rsidRPr="00617F3E">
              <w:t>6210</w:t>
            </w:r>
          </w:p>
        </w:tc>
        <w:tc>
          <w:tcPr>
            <w:tcW w:w="966" w:type="pct"/>
            <w:tcBorders>
              <w:top w:val="single" w:sz="4" w:space="0" w:color="auto"/>
              <w:bottom w:val="single" w:sz="4" w:space="0" w:color="auto"/>
              <w:right w:val="nil"/>
            </w:tcBorders>
            <w:shd w:val="clear" w:color="auto" w:fill="auto"/>
            <w:vAlign w:val="bottom"/>
          </w:tcPr>
          <w:p w14:paraId="77F90BE3" w14:textId="77777777" w:rsidR="00617F3E" w:rsidRPr="00617F3E" w:rsidRDefault="00617F3E" w:rsidP="00617F3E">
            <w:pPr>
              <w:pStyle w:val="Tabletext"/>
            </w:pPr>
            <w:r w:rsidRPr="00617F3E">
              <w:t>0</w:t>
            </w:r>
            <w:r w:rsidR="00D7157D">
              <w:t>.</w:t>
            </w:r>
            <w:r w:rsidRPr="00617F3E">
              <w:t>1212</w:t>
            </w:r>
          </w:p>
        </w:tc>
      </w:tr>
      <w:tr w:rsidR="00617F3E" w:rsidRPr="00617F3E" w14:paraId="291B89AD" w14:textId="77777777" w:rsidTr="00617F3E">
        <w:trPr>
          <w:cantSplit/>
        </w:trPr>
        <w:tc>
          <w:tcPr>
            <w:tcW w:w="1136" w:type="pct"/>
            <w:tcBorders>
              <w:top w:val="single" w:sz="4" w:space="0" w:color="auto"/>
              <w:bottom w:val="single" w:sz="4" w:space="0" w:color="auto"/>
            </w:tcBorders>
          </w:tcPr>
          <w:p w14:paraId="3AEBA3E6" w14:textId="77777777" w:rsidR="00617F3E" w:rsidRPr="00617F3E" w:rsidRDefault="00617F3E" w:rsidP="00617F3E">
            <w:pPr>
              <w:pStyle w:val="Tabletext"/>
            </w:pPr>
            <w:r w:rsidRPr="00617F3E">
              <w:t>93</w:t>
            </w:r>
          </w:p>
        </w:tc>
        <w:tc>
          <w:tcPr>
            <w:tcW w:w="966" w:type="pct"/>
            <w:tcBorders>
              <w:top w:val="single" w:sz="4" w:space="0" w:color="auto"/>
              <w:bottom w:val="single" w:sz="4" w:space="0" w:color="auto"/>
            </w:tcBorders>
            <w:shd w:val="clear" w:color="auto" w:fill="auto"/>
            <w:vAlign w:val="bottom"/>
          </w:tcPr>
          <w:p w14:paraId="7CFB8E9C" w14:textId="77777777" w:rsidR="00617F3E" w:rsidRPr="00617F3E" w:rsidRDefault="00617F3E" w:rsidP="00617F3E">
            <w:pPr>
              <w:pStyle w:val="Tabletext"/>
            </w:pPr>
            <w:r w:rsidRPr="00617F3E">
              <w:t>3</w:t>
            </w:r>
            <w:r w:rsidR="00D7157D">
              <w:t>.</w:t>
            </w:r>
            <w:r w:rsidRPr="00617F3E">
              <w:t>2721</w:t>
            </w:r>
          </w:p>
        </w:tc>
        <w:tc>
          <w:tcPr>
            <w:tcW w:w="966" w:type="pct"/>
            <w:tcBorders>
              <w:top w:val="single" w:sz="4" w:space="0" w:color="auto"/>
              <w:bottom w:val="single" w:sz="4" w:space="0" w:color="auto"/>
            </w:tcBorders>
            <w:shd w:val="clear" w:color="auto" w:fill="auto"/>
            <w:vAlign w:val="bottom"/>
          </w:tcPr>
          <w:p w14:paraId="599AF1A1" w14:textId="77777777" w:rsidR="00617F3E" w:rsidRPr="00617F3E" w:rsidRDefault="00617F3E" w:rsidP="00617F3E">
            <w:pPr>
              <w:pStyle w:val="Tabletext"/>
            </w:pPr>
            <w:r w:rsidRPr="00617F3E">
              <w:t>0</w:t>
            </w:r>
            <w:r w:rsidR="00D7157D">
              <w:t>.</w:t>
            </w:r>
            <w:r w:rsidRPr="00617F3E">
              <w:t>3934</w:t>
            </w:r>
          </w:p>
        </w:tc>
        <w:tc>
          <w:tcPr>
            <w:tcW w:w="966" w:type="pct"/>
            <w:tcBorders>
              <w:top w:val="single" w:sz="4" w:space="0" w:color="auto"/>
              <w:bottom w:val="single" w:sz="4" w:space="0" w:color="auto"/>
            </w:tcBorders>
            <w:shd w:val="clear" w:color="auto" w:fill="auto"/>
            <w:vAlign w:val="bottom"/>
          </w:tcPr>
          <w:p w14:paraId="28348A2D" w14:textId="77777777" w:rsidR="00617F3E" w:rsidRPr="00617F3E" w:rsidRDefault="00617F3E" w:rsidP="00617F3E">
            <w:pPr>
              <w:pStyle w:val="Tabletext"/>
            </w:pPr>
            <w:r w:rsidRPr="00617F3E">
              <w:t>3</w:t>
            </w:r>
            <w:r w:rsidR="00D7157D">
              <w:t>.</w:t>
            </w:r>
            <w:r w:rsidRPr="00617F3E">
              <w:t>4059</w:t>
            </w:r>
          </w:p>
        </w:tc>
        <w:tc>
          <w:tcPr>
            <w:tcW w:w="966" w:type="pct"/>
            <w:tcBorders>
              <w:top w:val="single" w:sz="4" w:space="0" w:color="auto"/>
              <w:bottom w:val="single" w:sz="4" w:space="0" w:color="auto"/>
              <w:right w:val="nil"/>
            </w:tcBorders>
            <w:shd w:val="clear" w:color="auto" w:fill="auto"/>
            <w:vAlign w:val="bottom"/>
          </w:tcPr>
          <w:p w14:paraId="02A5AE47" w14:textId="77777777" w:rsidR="00617F3E" w:rsidRPr="00617F3E" w:rsidRDefault="00617F3E" w:rsidP="00617F3E">
            <w:pPr>
              <w:pStyle w:val="Tabletext"/>
            </w:pPr>
            <w:r w:rsidRPr="00617F3E">
              <w:t>0</w:t>
            </w:r>
            <w:r w:rsidR="00D7157D">
              <w:t>.</w:t>
            </w:r>
            <w:r w:rsidRPr="00617F3E">
              <w:t>1159</w:t>
            </w:r>
          </w:p>
        </w:tc>
      </w:tr>
      <w:tr w:rsidR="00617F3E" w:rsidRPr="00617F3E" w14:paraId="522322DA" w14:textId="77777777" w:rsidTr="00617F3E">
        <w:trPr>
          <w:cantSplit/>
        </w:trPr>
        <w:tc>
          <w:tcPr>
            <w:tcW w:w="1136" w:type="pct"/>
            <w:tcBorders>
              <w:top w:val="single" w:sz="4" w:space="0" w:color="auto"/>
              <w:bottom w:val="single" w:sz="4" w:space="0" w:color="auto"/>
            </w:tcBorders>
          </w:tcPr>
          <w:p w14:paraId="207D67F3" w14:textId="77777777" w:rsidR="00617F3E" w:rsidRPr="00617F3E" w:rsidRDefault="00617F3E" w:rsidP="00617F3E">
            <w:pPr>
              <w:pStyle w:val="Tabletext"/>
            </w:pPr>
            <w:r w:rsidRPr="00617F3E">
              <w:t>94</w:t>
            </w:r>
          </w:p>
        </w:tc>
        <w:tc>
          <w:tcPr>
            <w:tcW w:w="966" w:type="pct"/>
            <w:tcBorders>
              <w:top w:val="single" w:sz="4" w:space="0" w:color="auto"/>
              <w:bottom w:val="single" w:sz="4" w:space="0" w:color="auto"/>
            </w:tcBorders>
            <w:shd w:val="clear" w:color="auto" w:fill="auto"/>
            <w:vAlign w:val="bottom"/>
          </w:tcPr>
          <w:p w14:paraId="0609A54E" w14:textId="77777777" w:rsidR="00617F3E" w:rsidRPr="00617F3E" w:rsidRDefault="00617F3E" w:rsidP="00617F3E">
            <w:pPr>
              <w:pStyle w:val="Tabletext"/>
            </w:pPr>
            <w:r w:rsidRPr="00617F3E">
              <w:t>3</w:t>
            </w:r>
            <w:r w:rsidR="00D7157D">
              <w:t>.</w:t>
            </w:r>
            <w:r w:rsidRPr="00617F3E">
              <w:t>0873</w:t>
            </w:r>
          </w:p>
        </w:tc>
        <w:tc>
          <w:tcPr>
            <w:tcW w:w="966" w:type="pct"/>
            <w:tcBorders>
              <w:top w:val="single" w:sz="4" w:space="0" w:color="auto"/>
              <w:bottom w:val="single" w:sz="4" w:space="0" w:color="auto"/>
            </w:tcBorders>
            <w:shd w:val="clear" w:color="auto" w:fill="auto"/>
            <w:vAlign w:val="bottom"/>
          </w:tcPr>
          <w:p w14:paraId="3B175483" w14:textId="77777777" w:rsidR="00617F3E" w:rsidRPr="00617F3E" w:rsidRDefault="00617F3E" w:rsidP="00617F3E">
            <w:pPr>
              <w:pStyle w:val="Tabletext"/>
            </w:pPr>
            <w:r w:rsidRPr="00617F3E">
              <w:t>0</w:t>
            </w:r>
            <w:r w:rsidR="00D7157D">
              <w:t>.</w:t>
            </w:r>
            <w:r w:rsidRPr="00617F3E">
              <w:t>3705</w:t>
            </w:r>
          </w:p>
        </w:tc>
        <w:tc>
          <w:tcPr>
            <w:tcW w:w="966" w:type="pct"/>
            <w:tcBorders>
              <w:top w:val="single" w:sz="4" w:space="0" w:color="auto"/>
              <w:bottom w:val="single" w:sz="4" w:space="0" w:color="auto"/>
            </w:tcBorders>
            <w:shd w:val="clear" w:color="auto" w:fill="auto"/>
            <w:vAlign w:val="bottom"/>
          </w:tcPr>
          <w:p w14:paraId="091201C1" w14:textId="77777777" w:rsidR="00617F3E" w:rsidRPr="00617F3E" w:rsidRDefault="00617F3E" w:rsidP="00617F3E">
            <w:pPr>
              <w:pStyle w:val="Tabletext"/>
            </w:pPr>
            <w:r w:rsidRPr="00617F3E">
              <w:t>3</w:t>
            </w:r>
            <w:r w:rsidR="00D7157D">
              <w:t>.</w:t>
            </w:r>
            <w:r w:rsidRPr="00617F3E">
              <w:t>2125</w:t>
            </w:r>
          </w:p>
        </w:tc>
        <w:tc>
          <w:tcPr>
            <w:tcW w:w="966" w:type="pct"/>
            <w:tcBorders>
              <w:top w:val="single" w:sz="4" w:space="0" w:color="auto"/>
              <w:bottom w:val="single" w:sz="4" w:space="0" w:color="auto"/>
              <w:right w:val="nil"/>
            </w:tcBorders>
            <w:shd w:val="clear" w:color="auto" w:fill="auto"/>
            <w:vAlign w:val="bottom"/>
          </w:tcPr>
          <w:p w14:paraId="12DA0CA0" w14:textId="77777777" w:rsidR="00617F3E" w:rsidRPr="00617F3E" w:rsidRDefault="00617F3E" w:rsidP="00617F3E">
            <w:pPr>
              <w:pStyle w:val="Tabletext"/>
            </w:pPr>
            <w:r w:rsidRPr="00617F3E">
              <w:t>0</w:t>
            </w:r>
            <w:r w:rsidR="00D7157D">
              <w:t>.</w:t>
            </w:r>
            <w:r w:rsidRPr="00617F3E">
              <w:t>1107</w:t>
            </w:r>
          </w:p>
        </w:tc>
      </w:tr>
      <w:tr w:rsidR="00617F3E" w:rsidRPr="00617F3E" w14:paraId="645F0C69" w14:textId="77777777" w:rsidTr="00617F3E">
        <w:trPr>
          <w:cantSplit/>
        </w:trPr>
        <w:tc>
          <w:tcPr>
            <w:tcW w:w="1136" w:type="pct"/>
            <w:tcBorders>
              <w:top w:val="single" w:sz="4" w:space="0" w:color="auto"/>
              <w:bottom w:val="single" w:sz="4" w:space="0" w:color="auto"/>
            </w:tcBorders>
          </w:tcPr>
          <w:p w14:paraId="28FCDF09" w14:textId="77777777" w:rsidR="00617F3E" w:rsidRPr="00617F3E" w:rsidRDefault="00617F3E" w:rsidP="00617F3E">
            <w:pPr>
              <w:pStyle w:val="Tabletext"/>
            </w:pPr>
            <w:r w:rsidRPr="00617F3E">
              <w:t>95</w:t>
            </w:r>
          </w:p>
        </w:tc>
        <w:tc>
          <w:tcPr>
            <w:tcW w:w="966" w:type="pct"/>
            <w:tcBorders>
              <w:top w:val="single" w:sz="4" w:space="0" w:color="auto"/>
              <w:bottom w:val="single" w:sz="4" w:space="0" w:color="auto"/>
            </w:tcBorders>
            <w:shd w:val="clear" w:color="auto" w:fill="auto"/>
            <w:vAlign w:val="bottom"/>
          </w:tcPr>
          <w:p w14:paraId="08052DF2" w14:textId="77777777" w:rsidR="00617F3E" w:rsidRPr="00617F3E" w:rsidRDefault="00617F3E" w:rsidP="00617F3E">
            <w:pPr>
              <w:pStyle w:val="Tabletext"/>
            </w:pPr>
            <w:r w:rsidRPr="00617F3E">
              <w:t>2</w:t>
            </w:r>
            <w:r w:rsidR="00D7157D">
              <w:t>.</w:t>
            </w:r>
            <w:r w:rsidRPr="00617F3E">
              <w:t>9118</w:t>
            </w:r>
          </w:p>
        </w:tc>
        <w:tc>
          <w:tcPr>
            <w:tcW w:w="966" w:type="pct"/>
            <w:tcBorders>
              <w:top w:val="single" w:sz="4" w:space="0" w:color="auto"/>
              <w:bottom w:val="single" w:sz="4" w:space="0" w:color="auto"/>
            </w:tcBorders>
            <w:shd w:val="clear" w:color="auto" w:fill="auto"/>
            <w:vAlign w:val="bottom"/>
          </w:tcPr>
          <w:p w14:paraId="49C04FF1" w14:textId="77777777" w:rsidR="00617F3E" w:rsidRPr="00617F3E" w:rsidRDefault="00617F3E" w:rsidP="00617F3E">
            <w:pPr>
              <w:pStyle w:val="Tabletext"/>
            </w:pPr>
            <w:r w:rsidRPr="00617F3E">
              <w:t>0</w:t>
            </w:r>
            <w:r w:rsidR="00D7157D">
              <w:t>.</w:t>
            </w:r>
            <w:r w:rsidRPr="00617F3E">
              <w:t>3480</w:t>
            </w:r>
          </w:p>
        </w:tc>
        <w:tc>
          <w:tcPr>
            <w:tcW w:w="966" w:type="pct"/>
            <w:tcBorders>
              <w:top w:val="single" w:sz="4" w:space="0" w:color="auto"/>
              <w:bottom w:val="single" w:sz="4" w:space="0" w:color="auto"/>
            </w:tcBorders>
            <w:shd w:val="clear" w:color="auto" w:fill="auto"/>
            <w:vAlign w:val="bottom"/>
          </w:tcPr>
          <w:p w14:paraId="71C79EC6" w14:textId="77777777" w:rsidR="00617F3E" w:rsidRPr="00617F3E" w:rsidRDefault="00617F3E" w:rsidP="00617F3E">
            <w:pPr>
              <w:pStyle w:val="Tabletext"/>
            </w:pPr>
            <w:r w:rsidRPr="00617F3E">
              <w:t>3</w:t>
            </w:r>
            <w:r w:rsidR="00D7157D">
              <w:t>.</w:t>
            </w:r>
            <w:r w:rsidRPr="00617F3E">
              <w:t>0294</w:t>
            </w:r>
          </w:p>
        </w:tc>
        <w:tc>
          <w:tcPr>
            <w:tcW w:w="966" w:type="pct"/>
            <w:tcBorders>
              <w:top w:val="single" w:sz="4" w:space="0" w:color="auto"/>
              <w:bottom w:val="single" w:sz="4" w:space="0" w:color="auto"/>
              <w:right w:val="nil"/>
            </w:tcBorders>
            <w:shd w:val="clear" w:color="auto" w:fill="auto"/>
            <w:vAlign w:val="bottom"/>
          </w:tcPr>
          <w:p w14:paraId="1223040C" w14:textId="77777777" w:rsidR="00617F3E" w:rsidRPr="00617F3E" w:rsidRDefault="00617F3E" w:rsidP="00617F3E">
            <w:pPr>
              <w:pStyle w:val="Tabletext"/>
            </w:pPr>
            <w:r w:rsidRPr="00617F3E">
              <w:t>0</w:t>
            </w:r>
            <w:r w:rsidR="00D7157D">
              <w:t>.</w:t>
            </w:r>
            <w:r w:rsidRPr="00617F3E">
              <w:t>1056</w:t>
            </w:r>
          </w:p>
        </w:tc>
      </w:tr>
      <w:tr w:rsidR="00617F3E" w:rsidRPr="00617F3E" w14:paraId="07FAEACF" w14:textId="77777777" w:rsidTr="00617F3E">
        <w:trPr>
          <w:cantSplit/>
        </w:trPr>
        <w:tc>
          <w:tcPr>
            <w:tcW w:w="1136" w:type="pct"/>
            <w:tcBorders>
              <w:top w:val="single" w:sz="4" w:space="0" w:color="auto"/>
              <w:bottom w:val="single" w:sz="4" w:space="0" w:color="auto"/>
            </w:tcBorders>
          </w:tcPr>
          <w:p w14:paraId="2D6BFFFF" w14:textId="77777777" w:rsidR="00617F3E" w:rsidRPr="00617F3E" w:rsidRDefault="00617F3E" w:rsidP="00617F3E">
            <w:pPr>
              <w:pStyle w:val="Tabletext"/>
            </w:pPr>
            <w:r w:rsidRPr="00617F3E">
              <w:t>96</w:t>
            </w:r>
          </w:p>
        </w:tc>
        <w:tc>
          <w:tcPr>
            <w:tcW w:w="966" w:type="pct"/>
            <w:tcBorders>
              <w:top w:val="single" w:sz="4" w:space="0" w:color="auto"/>
              <w:bottom w:val="single" w:sz="4" w:space="0" w:color="auto"/>
            </w:tcBorders>
            <w:shd w:val="clear" w:color="auto" w:fill="auto"/>
            <w:vAlign w:val="bottom"/>
          </w:tcPr>
          <w:p w14:paraId="2348AA09" w14:textId="77777777" w:rsidR="00617F3E" w:rsidRPr="00617F3E" w:rsidRDefault="00617F3E" w:rsidP="00617F3E">
            <w:pPr>
              <w:pStyle w:val="Tabletext"/>
            </w:pPr>
            <w:r w:rsidRPr="00617F3E">
              <w:t>2</w:t>
            </w:r>
            <w:r w:rsidR="00D7157D">
              <w:t>.</w:t>
            </w:r>
            <w:r w:rsidRPr="00617F3E">
              <w:t>7427</w:t>
            </w:r>
          </w:p>
        </w:tc>
        <w:tc>
          <w:tcPr>
            <w:tcW w:w="966" w:type="pct"/>
            <w:tcBorders>
              <w:top w:val="single" w:sz="4" w:space="0" w:color="auto"/>
              <w:bottom w:val="single" w:sz="4" w:space="0" w:color="auto"/>
            </w:tcBorders>
            <w:shd w:val="clear" w:color="auto" w:fill="auto"/>
            <w:vAlign w:val="bottom"/>
          </w:tcPr>
          <w:p w14:paraId="35AFF14A" w14:textId="77777777" w:rsidR="00617F3E" w:rsidRPr="00617F3E" w:rsidRDefault="00617F3E" w:rsidP="00617F3E">
            <w:pPr>
              <w:pStyle w:val="Tabletext"/>
            </w:pPr>
            <w:r w:rsidRPr="00617F3E">
              <w:t>0</w:t>
            </w:r>
            <w:r w:rsidR="00D7157D">
              <w:t>.</w:t>
            </w:r>
            <w:r w:rsidRPr="00617F3E">
              <w:t>3261</w:t>
            </w:r>
          </w:p>
        </w:tc>
        <w:tc>
          <w:tcPr>
            <w:tcW w:w="966" w:type="pct"/>
            <w:tcBorders>
              <w:top w:val="single" w:sz="4" w:space="0" w:color="auto"/>
              <w:bottom w:val="single" w:sz="4" w:space="0" w:color="auto"/>
            </w:tcBorders>
            <w:shd w:val="clear" w:color="auto" w:fill="auto"/>
            <w:vAlign w:val="bottom"/>
          </w:tcPr>
          <w:p w14:paraId="39C86B71" w14:textId="77777777" w:rsidR="00617F3E" w:rsidRPr="00617F3E" w:rsidRDefault="00617F3E" w:rsidP="00617F3E">
            <w:pPr>
              <w:pStyle w:val="Tabletext"/>
            </w:pPr>
            <w:r w:rsidRPr="00617F3E">
              <w:t>2</w:t>
            </w:r>
            <w:r w:rsidR="00D7157D">
              <w:t>.</w:t>
            </w:r>
            <w:r w:rsidRPr="00617F3E">
              <w:t>8571</w:t>
            </w:r>
          </w:p>
        </w:tc>
        <w:tc>
          <w:tcPr>
            <w:tcW w:w="966" w:type="pct"/>
            <w:tcBorders>
              <w:top w:val="single" w:sz="4" w:space="0" w:color="auto"/>
              <w:bottom w:val="single" w:sz="4" w:space="0" w:color="auto"/>
              <w:right w:val="nil"/>
            </w:tcBorders>
            <w:shd w:val="clear" w:color="auto" w:fill="auto"/>
            <w:vAlign w:val="bottom"/>
          </w:tcPr>
          <w:p w14:paraId="58CE936F" w14:textId="77777777" w:rsidR="00617F3E" w:rsidRPr="00617F3E" w:rsidRDefault="00617F3E" w:rsidP="00617F3E">
            <w:pPr>
              <w:pStyle w:val="Tabletext"/>
            </w:pPr>
            <w:r w:rsidRPr="00617F3E">
              <w:t>0</w:t>
            </w:r>
            <w:r w:rsidR="00D7157D">
              <w:t>.</w:t>
            </w:r>
            <w:r w:rsidRPr="00617F3E">
              <w:t>1006</w:t>
            </w:r>
          </w:p>
        </w:tc>
      </w:tr>
      <w:tr w:rsidR="00617F3E" w:rsidRPr="00617F3E" w14:paraId="52FBE71A" w14:textId="77777777" w:rsidTr="00617F3E">
        <w:trPr>
          <w:cantSplit/>
        </w:trPr>
        <w:tc>
          <w:tcPr>
            <w:tcW w:w="1136" w:type="pct"/>
            <w:tcBorders>
              <w:top w:val="single" w:sz="4" w:space="0" w:color="auto"/>
              <w:bottom w:val="single" w:sz="4" w:space="0" w:color="auto"/>
            </w:tcBorders>
          </w:tcPr>
          <w:p w14:paraId="400EC6BD" w14:textId="77777777" w:rsidR="00617F3E" w:rsidRPr="00617F3E" w:rsidRDefault="00617F3E" w:rsidP="00617F3E">
            <w:pPr>
              <w:pStyle w:val="Tabletext"/>
            </w:pPr>
            <w:r w:rsidRPr="00617F3E">
              <w:t>97</w:t>
            </w:r>
          </w:p>
        </w:tc>
        <w:tc>
          <w:tcPr>
            <w:tcW w:w="966" w:type="pct"/>
            <w:tcBorders>
              <w:top w:val="single" w:sz="4" w:space="0" w:color="auto"/>
              <w:bottom w:val="single" w:sz="4" w:space="0" w:color="auto"/>
            </w:tcBorders>
            <w:shd w:val="clear" w:color="auto" w:fill="auto"/>
            <w:vAlign w:val="bottom"/>
          </w:tcPr>
          <w:p w14:paraId="11EB1BB3" w14:textId="77777777" w:rsidR="00617F3E" w:rsidRPr="00617F3E" w:rsidRDefault="00617F3E" w:rsidP="00617F3E">
            <w:pPr>
              <w:pStyle w:val="Tabletext"/>
            </w:pPr>
            <w:r w:rsidRPr="00617F3E">
              <w:t>2</w:t>
            </w:r>
            <w:r w:rsidR="00D7157D">
              <w:t>.</w:t>
            </w:r>
            <w:r w:rsidRPr="00617F3E">
              <w:t>5859</w:t>
            </w:r>
          </w:p>
        </w:tc>
        <w:tc>
          <w:tcPr>
            <w:tcW w:w="966" w:type="pct"/>
            <w:tcBorders>
              <w:top w:val="single" w:sz="4" w:space="0" w:color="auto"/>
              <w:bottom w:val="single" w:sz="4" w:space="0" w:color="auto"/>
            </w:tcBorders>
            <w:shd w:val="clear" w:color="auto" w:fill="auto"/>
            <w:vAlign w:val="bottom"/>
          </w:tcPr>
          <w:p w14:paraId="0392701B" w14:textId="77777777" w:rsidR="00617F3E" w:rsidRPr="00617F3E" w:rsidRDefault="00617F3E" w:rsidP="00617F3E">
            <w:pPr>
              <w:pStyle w:val="Tabletext"/>
            </w:pPr>
            <w:r w:rsidRPr="00617F3E">
              <w:t>0</w:t>
            </w:r>
            <w:r w:rsidR="00D7157D">
              <w:t>.</w:t>
            </w:r>
            <w:r w:rsidRPr="00617F3E">
              <w:t>3044</w:t>
            </w:r>
          </w:p>
        </w:tc>
        <w:tc>
          <w:tcPr>
            <w:tcW w:w="966" w:type="pct"/>
            <w:tcBorders>
              <w:top w:val="single" w:sz="4" w:space="0" w:color="auto"/>
              <w:bottom w:val="single" w:sz="4" w:space="0" w:color="auto"/>
            </w:tcBorders>
            <w:shd w:val="clear" w:color="auto" w:fill="auto"/>
            <w:vAlign w:val="bottom"/>
          </w:tcPr>
          <w:p w14:paraId="23E379A0" w14:textId="77777777" w:rsidR="00617F3E" w:rsidRPr="00617F3E" w:rsidRDefault="00617F3E" w:rsidP="00617F3E">
            <w:pPr>
              <w:pStyle w:val="Tabletext"/>
            </w:pPr>
            <w:r w:rsidRPr="00617F3E">
              <w:t>2</w:t>
            </w:r>
            <w:r w:rsidR="00D7157D">
              <w:t>.</w:t>
            </w:r>
            <w:r w:rsidRPr="00617F3E">
              <w:t>6915</w:t>
            </w:r>
          </w:p>
        </w:tc>
        <w:tc>
          <w:tcPr>
            <w:tcW w:w="966" w:type="pct"/>
            <w:tcBorders>
              <w:top w:val="single" w:sz="4" w:space="0" w:color="auto"/>
              <w:bottom w:val="single" w:sz="4" w:space="0" w:color="auto"/>
              <w:right w:val="nil"/>
            </w:tcBorders>
            <w:shd w:val="clear" w:color="auto" w:fill="auto"/>
            <w:vAlign w:val="bottom"/>
          </w:tcPr>
          <w:p w14:paraId="68BDC358" w14:textId="77777777" w:rsidR="00617F3E" w:rsidRPr="00617F3E" w:rsidRDefault="00617F3E" w:rsidP="00617F3E">
            <w:pPr>
              <w:pStyle w:val="Tabletext"/>
            </w:pPr>
            <w:r w:rsidRPr="00617F3E">
              <w:t>0</w:t>
            </w:r>
            <w:r w:rsidR="00D7157D">
              <w:t>.</w:t>
            </w:r>
            <w:r w:rsidRPr="00617F3E">
              <w:t>0956</w:t>
            </w:r>
          </w:p>
        </w:tc>
      </w:tr>
      <w:tr w:rsidR="00617F3E" w:rsidRPr="00617F3E" w14:paraId="0F6E3970" w14:textId="77777777" w:rsidTr="0060050A">
        <w:trPr>
          <w:cantSplit/>
        </w:trPr>
        <w:tc>
          <w:tcPr>
            <w:tcW w:w="1136" w:type="pct"/>
            <w:tcBorders>
              <w:top w:val="single" w:sz="4" w:space="0" w:color="auto"/>
              <w:bottom w:val="single" w:sz="4" w:space="0" w:color="auto"/>
            </w:tcBorders>
          </w:tcPr>
          <w:p w14:paraId="24DDAC02" w14:textId="77777777" w:rsidR="00617F3E" w:rsidRPr="00617F3E" w:rsidRDefault="00617F3E" w:rsidP="00617F3E">
            <w:pPr>
              <w:pStyle w:val="Tabletext"/>
            </w:pPr>
            <w:r w:rsidRPr="00617F3E">
              <w:t>98</w:t>
            </w:r>
          </w:p>
        </w:tc>
        <w:tc>
          <w:tcPr>
            <w:tcW w:w="966" w:type="pct"/>
            <w:tcBorders>
              <w:top w:val="single" w:sz="4" w:space="0" w:color="auto"/>
              <w:bottom w:val="single" w:sz="4" w:space="0" w:color="auto"/>
            </w:tcBorders>
            <w:shd w:val="clear" w:color="auto" w:fill="auto"/>
            <w:vAlign w:val="bottom"/>
          </w:tcPr>
          <w:p w14:paraId="671CA137" w14:textId="77777777" w:rsidR="00617F3E" w:rsidRPr="00617F3E" w:rsidRDefault="00617F3E" w:rsidP="00617F3E">
            <w:pPr>
              <w:pStyle w:val="Tabletext"/>
            </w:pPr>
            <w:r w:rsidRPr="00617F3E">
              <w:t>2</w:t>
            </w:r>
            <w:r w:rsidR="00D7157D">
              <w:t>.</w:t>
            </w:r>
            <w:r w:rsidRPr="00617F3E">
              <w:t>4406</w:t>
            </w:r>
          </w:p>
        </w:tc>
        <w:tc>
          <w:tcPr>
            <w:tcW w:w="966" w:type="pct"/>
            <w:tcBorders>
              <w:top w:val="single" w:sz="4" w:space="0" w:color="auto"/>
              <w:bottom w:val="single" w:sz="4" w:space="0" w:color="auto"/>
            </w:tcBorders>
            <w:shd w:val="clear" w:color="auto" w:fill="auto"/>
            <w:vAlign w:val="bottom"/>
          </w:tcPr>
          <w:p w14:paraId="5061A8AD" w14:textId="77777777" w:rsidR="00617F3E" w:rsidRPr="00617F3E" w:rsidRDefault="00617F3E" w:rsidP="00617F3E">
            <w:pPr>
              <w:pStyle w:val="Tabletext"/>
            </w:pPr>
            <w:r w:rsidRPr="00617F3E">
              <w:t>0</w:t>
            </w:r>
            <w:r w:rsidR="00D7157D">
              <w:t>.</w:t>
            </w:r>
            <w:r w:rsidRPr="00617F3E">
              <w:t>2829</w:t>
            </w:r>
          </w:p>
        </w:tc>
        <w:tc>
          <w:tcPr>
            <w:tcW w:w="966" w:type="pct"/>
            <w:tcBorders>
              <w:top w:val="single" w:sz="4" w:space="0" w:color="auto"/>
              <w:bottom w:val="single" w:sz="4" w:space="0" w:color="auto"/>
            </w:tcBorders>
            <w:shd w:val="clear" w:color="auto" w:fill="auto"/>
            <w:vAlign w:val="bottom"/>
          </w:tcPr>
          <w:p w14:paraId="4D90CBB0" w14:textId="77777777" w:rsidR="00617F3E" w:rsidRPr="00617F3E" w:rsidRDefault="00617F3E" w:rsidP="00617F3E">
            <w:pPr>
              <w:pStyle w:val="Tabletext"/>
            </w:pPr>
            <w:r w:rsidRPr="00617F3E">
              <w:t>2</w:t>
            </w:r>
            <w:r w:rsidR="00D7157D">
              <w:t>.</w:t>
            </w:r>
            <w:r w:rsidRPr="00617F3E">
              <w:t>5402</w:t>
            </w:r>
          </w:p>
        </w:tc>
        <w:tc>
          <w:tcPr>
            <w:tcW w:w="966" w:type="pct"/>
            <w:tcBorders>
              <w:top w:val="single" w:sz="4" w:space="0" w:color="auto"/>
              <w:bottom w:val="single" w:sz="4" w:space="0" w:color="auto"/>
              <w:right w:val="nil"/>
            </w:tcBorders>
            <w:shd w:val="clear" w:color="auto" w:fill="auto"/>
            <w:vAlign w:val="bottom"/>
          </w:tcPr>
          <w:p w14:paraId="46E30CC8" w14:textId="77777777" w:rsidR="00617F3E" w:rsidRPr="00617F3E" w:rsidRDefault="00617F3E" w:rsidP="00617F3E">
            <w:pPr>
              <w:pStyle w:val="Tabletext"/>
            </w:pPr>
            <w:r w:rsidRPr="00617F3E">
              <w:t>0</w:t>
            </w:r>
            <w:r w:rsidR="00D7157D">
              <w:t>.</w:t>
            </w:r>
            <w:r w:rsidRPr="00617F3E">
              <w:t>0904</w:t>
            </w:r>
          </w:p>
        </w:tc>
      </w:tr>
      <w:tr w:rsidR="00617F3E" w:rsidRPr="009E2595" w14:paraId="412D5933" w14:textId="77777777" w:rsidTr="0060050A">
        <w:trPr>
          <w:cantSplit/>
        </w:trPr>
        <w:tc>
          <w:tcPr>
            <w:tcW w:w="1136" w:type="pct"/>
            <w:tcBorders>
              <w:top w:val="single" w:sz="4" w:space="0" w:color="auto"/>
              <w:bottom w:val="single" w:sz="12" w:space="0" w:color="auto"/>
            </w:tcBorders>
          </w:tcPr>
          <w:p w14:paraId="129E3CEE" w14:textId="77777777" w:rsidR="00617F3E" w:rsidRPr="00617F3E" w:rsidRDefault="00ED15BD" w:rsidP="00617F3E">
            <w:pPr>
              <w:pStyle w:val="Tabletext"/>
            </w:pPr>
            <w:r>
              <w:t>99 and over</w:t>
            </w:r>
          </w:p>
        </w:tc>
        <w:tc>
          <w:tcPr>
            <w:tcW w:w="966" w:type="pct"/>
            <w:tcBorders>
              <w:top w:val="single" w:sz="4" w:space="0" w:color="auto"/>
              <w:bottom w:val="single" w:sz="12" w:space="0" w:color="auto"/>
            </w:tcBorders>
            <w:shd w:val="clear" w:color="auto" w:fill="auto"/>
            <w:vAlign w:val="bottom"/>
          </w:tcPr>
          <w:p w14:paraId="5B9435A0" w14:textId="77777777" w:rsidR="00617F3E" w:rsidRPr="00617F3E" w:rsidRDefault="00617F3E" w:rsidP="00617F3E">
            <w:pPr>
              <w:pStyle w:val="Tabletext"/>
            </w:pPr>
            <w:r w:rsidRPr="00617F3E">
              <w:t>2</w:t>
            </w:r>
            <w:r w:rsidR="00D7157D">
              <w:t>.</w:t>
            </w:r>
            <w:r w:rsidRPr="00617F3E">
              <w:t>3062</w:t>
            </w:r>
          </w:p>
        </w:tc>
        <w:tc>
          <w:tcPr>
            <w:tcW w:w="966" w:type="pct"/>
            <w:tcBorders>
              <w:top w:val="single" w:sz="4" w:space="0" w:color="auto"/>
              <w:bottom w:val="single" w:sz="12" w:space="0" w:color="auto"/>
            </w:tcBorders>
            <w:shd w:val="clear" w:color="auto" w:fill="auto"/>
            <w:vAlign w:val="bottom"/>
          </w:tcPr>
          <w:p w14:paraId="5FDA19AF" w14:textId="77777777" w:rsidR="00617F3E" w:rsidRPr="00617F3E" w:rsidRDefault="00617F3E" w:rsidP="00617F3E">
            <w:pPr>
              <w:pStyle w:val="Tabletext"/>
            </w:pPr>
            <w:r w:rsidRPr="00617F3E">
              <w:t>0</w:t>
            </w:r>
            <w:r w:rsidR="00D7157D">
              <w:t>.</w:t>
            </w:r>
            <w:r w:rsidRPr="00617F3E">
              <w:t>2612</w:t>
            </w:r>
          </w:p>
        </w:tc>
        <w:tc>
          <w:tcPr>
            <w:tcW w:w="966" w:type="pct"/>
            <w:tcBorders>
              <w:top w:val="single" w:sz="4" w:space="0" w:color="auto"/>
              <w:bottom w:val="single" w:sz="12" w:space="0" w:color="auto"/>
            </w:tcBorders>
            <w:shd w:val="clear" w:color="auto" w:fill="auto"/>
            <w:vAlign w:val="bottom"/>
          </w:tcPr>
          <w:p w14:paraId="4D183141" w14:textId="77777777" w:rsidR="00617F3E" w:rsidRPr="00617F3E" w:rsidRDefault="00617F3E" w:rsidP="00617F3E">
            <w:pPr>
              <w:pStyle w:val="Tabletext"/>
            </w:pPr>
            <w:r w:rsidRPr="00617F3E">
              <w:t>2</w:t>
            </w:r>
            <w:r w:rsidR="00D7157D">
              <w:t>.</w:t>
            </w:r>
            <w:r w:rsidRPr="00617F3E">
              <w:t>4013</w:t>
            </w:r>
          </w:p>
        </w:tc>
        <w:tc>
          <w:tcPr>
            <w:tcW w:w="966" w:type="pct"/>
            <w:tcBorders>
              <w:top w:val="single" w:sz="4" w:space="0" w:color="auto"/>
              <w:bottom w:val="single" w:sz="12" w:space="0" w:color="auto"/>
              <w:right w:val="nil"/>
            </w:tcBorders>
            <w:shd w:val="clear" w:color="auto" w:fill="auto"/>
            <w:vAlign w:val="bottom"/>
          </w:tcPr>
          <w:p w14:paraId="34266CEC" w14:textId="77777777" w:rsidR="00617F3E" w:rsidRPr="00617F3E" w:rsidRDefault="00617F3E" w:rsidP="00617F3E">
            <w:pPr>
              <w:pStyle w:val="Tabletext"/>
            </w:pPr>
            <w:r w:rsidRPr="00617F3E">
              <w:t>0</w:t>
            </w:r>
            <w:r w:rsidR="00D7157D">
              <w:t>.</w:t>
            </w:r>
            <w:r w:rsidRPr="00617F3E">
              <w:t>0850</w:t>
            </w:r>
          </w:p>
        </w:tc>
      </w:tr>
    </w:tbl>
    <w:p w14:paraId="03C3CD9A" w14:textId="77777777" w:rsidR="000527FC" w:rsidRPr="00A058B6" w:rsidRDefault="000527FC" w:rsidP="000527FC">
      <w:pPr>
        <w:pStyle w:val="ActHead5"/>
      </w:pPr>
      <w:bookmarkStart w:id="341" w:name="_Toc188350816"/>
      <w:r w:rsidRPr="00423C34">
        <w:rPr>
          <w:rStyle w:val="CharSectno"/>
        </w:rPr>
        <w:t>1</w:t>
      </w:r>
      <w:r w:rsidR="00C53678" w:rsidRPr="00423C34">
        <w:rPr>
          <w:rStyle w:val="CharSectno"/>
        </w:rPr>
        <w:t>1</w:t>
      </w:r>
      <w:r w:rsidRPr="00A058B6">
        <w:t xml:space="preserve">  Valuation factors—pension indexed at 5%</w:t>
      </w:r>
      <w:bookmarkEnd w:id="341"/>
    </w:p>
    <w:p w14:paraId="09B338C8" w14:textId="77777777" w:rsidR="000527FC" w:rsidRPr="00A058B6" w:rsidRDefault="000527FC" w:rsidP="000527FC">
      <w:pPr>
        <w:pStyle w:val="subsection"/>
      </w:pPr>
      <w:r w:rsidRPr="00A058B6">
        <w:tab/>
      </w:r>
      <w:r w:rsidRPr="00A058B6">
        <w:tab/>
        <w:t>The pension valuation factors and reversion valuation factors set out in this clause apply if the pension is indexed at 5%</w:t>
      </w:r>
      <w:r w:rsidR="00D7157D">
        <w:t>.</w:t>
      </w:r>
    </w:p>
    <w:p w14:paraId="3B960E19" w14:textId="77777777" w:rsidR="000527FC" w:rsidRPr="00A058B6" w:rsidRDefault="000527FC" w:rsidP="000527FC">
      <w:pPr>
        <w:pStyle w:val="Tabletext"/>
      </w:pPr>
    </w:p>
    <w:tbl>
      <w:tblPr>
        <w:tblW w:w="5000" w:type="pct"/>
        <w:tblLook w:val="0000" w:firstRow="0" w:lastRow="0" w:firstColumn="0" w:lastColumn="0" w:noHBand="0" w:noVBand="0"/>
      </w:tblPr>
      <w:tblGrid>
        <w:gridCol w:w="1889"/>
        <w:gridCol w:w="1606"/>
        <w:gridCol w:w="1606"/>
        <w:gridCol w:w="1606"/>
        <w:gridCol w:w="1606"/>
      </w:tblGrid>
      <w:tr w:rsidR="000527FC" w:rsidRPr="00A058B6" w14:paraId="6A018B3B" w14:textId="77777777" w:rsidTr="00FD658D">
        <w:trPr>
          <w:cantSplit/>
          <w:trHeight w:val="144"/>
          <w:tblHeader/>
        </w:trPr>
        <w:tc>
          <w:tcPr>
            <w:tcW w:w="1136" w:type="pct"/>
            <w:vMerge w:val="restart"/>
            <w:tcBorders>
              <w:top w:val="single" w:sz="12" w:space="0" w:color="auto"/>
              <w:bottom w:val="single" w:sz="12" w:space="0" w:color="auto"/>
            </w:tcBorders>
          </w:tcPr>
          <w:p w14:paraId="06A7ACD4" w14:textId="77777777" w:rsidR="000527FC" w:rsidRPr="00A058B6" w:rsidRDefault="000527FC" w:rsidP="00FD658D">
            <w:pPr>
              <w:pStyle w:val="TableHeading"/>
            </w:pPr>
            <w:r w:rsidRPr="00A058B6">
              <w:t>Age at relevant date (in completed years)</w:t>
            </w:r>
          </w:p>
        </w:tc>
        <w:tc>
          <w:tcPr>
            <w:tcW w:w="3864" w:type="pct"/>
            <w:gridSpan w:val="4"/>
            <w:tcBorders>
              <w:top w:val="single" w:sz="12" w:space="0" w:color="auto"/>
              <w:bottom w:val="single" w:sz="4" w:space="0" w:color="auto"/>
            </w:tcBorders>
          </w:tcPr>
          <w:p w14:paraId="699DE906" w14:textId="77777777" w:rsidR="000527FC" w:rsidRPr="00A058B6" w:rsidRDefault="000527FC" w:rsidP="00FD658D">
            <w:pPr>
              <w:pStyle w:val="TableHeading"/>
            </w:pPr>
            <w:r w:rsidRPr="00A058B6">
              <w:t>Valuation factors—pension indexed at 5%</w:t>
            </w:r>
          </w:p>
        </w:tc>
      </w:tr>
      <w:tr w:rsidR="000527FC" w:rsidRPr="00A058B6" w14:paraId="0AA9D8F9" w14:textId="77777777" w:rsidTr="00FD658D">
        <w:trPr>
          <w:cantSplit/>
          <w:trHeight w:val="63"/>
          <w:tblHeader/>
        </w:trPr>
        <w:tc>
          <w:tcPr>
            <w:tcW w:w="1136" w:type="pct"/>
            <w:vMerge/>
            <w:tcBorders>
              <w:bottom w:val="single" w:sz="12" w:space="0" w:color="auto"/>
            </w:tcBorders>
          </w:tcPr>
          <w:p w14:paraId="58474088" w14:textId="77777777" w:rsidR="000527FC" w:rsidRPr="00A058B6" w:rsidRDefault="000527FC" w:rsidP="00FD658D">
            <w:pPr>
              <w:pStyle w:val="TableHeading"/>
            </w:pPr>
          </w:p>
        </w:tc>
        <w:tc>
          <w:tcPr>
            <w:tcW w:w="1932" w:type="pct"/>
            <w:gridSpan w:val="2"/>
            <w:tcBorders>
              <w:top w:val="single" w:sz="4" w:space="0" w:color="auto"/>
              <w:bottom w:val="single" w:sz="4" w:space="0" w:color="auto"/>
            </w:tcBorders>
          </w:tcPr>
          <w:p w14:paraId="4083830A" w14:textId="77777777" w:rsidR="000527FC" w:rsidRPr="00A058B6" w:rsidRDefault="000527FC" w:rsidP="00FD658D">
            <w:pPr>
              <w:pStyle w:val="TableHeading"/>
            </w:pPr>
            <w:r w:rsidRPr="00A058B6">
              <w:t>Males</w:t>
            </w:r>
          </w:p>
        </w:tc>
        <w:tc>
          <w:tcPr>
            <w:tcW w:w="1932" w:type="pct"/>
            <w:gridSpan w:val="2"/>
            <w:tcBorders>
              <w:top w:val="single" w:sz="4" w:space="0" w:color="auto"/>
              <w:bottom w:val="single" w:sz="4" w:space="0" w:color="auto"/>
            </w:tcBorders>
          </w:tcPr>
          <w:p w14:paraId="1046E41D" w14:textId="77777777" w:rsidR="000527FC" w:rsidRPr="00A058B6" w:rsidRDefault="000527FC" w:rsidP="00FD658D">
            <w:pPr>
              <w:pStyle w:val="TableHeading"/>
            </w:pPr>
            <w:r w:rsidRPr="00A058B6">
              <w:t>Females</w:t>
            </w:r>
          </w:p>
        </w:tc>
      </w:tr>
      <w:tr w:rsidR="000527FC" w:rsidRPr="00A058B6" w14:paraId="505CCA05" w14:textId="77777777" w:rsidTr="002E608D">
        <w:trPr>
          <w:cantSplit/>
          <w:trHeight w:val="63"/>
          <w:tblHeader/>
        </w:trPr>
        <w:tc>
          <w:tcPr>
            <w:tcW w:w="1136" w:type="pct"/>
            <w:vMerge/>
            <w:tcBorders>
              <w:bottom w:val="single" w:sz="12" w:space="0" w:color="auto"/>
            </w:tcBorders>
          </w:tcPr>
          <w:p w14:paraId="30F570EB" w14:textId="77777777" w:rsidR="000527FC" w:rsidRPr="00A058B6" w:rsidRDefault="000527FC" w:rsidP="00FD658D">
            <w:pPr>
              <w:pStyle w:val="TableHeading"/>
            </w:pPr>
          </w:p>
        </w:tc>
        <w:tc>
          <w:tcPr>
            <w:tcW w:w="966" w:type="pct"/>
            <w:tcBorders>
              <w:top w:val="single" w:sz="4" w:space="0" w:color="auto"/>
              <w:bottom w:val="single" w:sz="12" w:space="0" w:color="auto"/>
            </w:tcBorders>
          </w:tcPr>
          <w:p w14:paraId="52F9C482"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52F48099" w14:textId="77777777" w:rsidR="000527FC" w:rsidRPr="00A058B6" w:rsidRDefault="000527FC" w:rsidP="00FD658D">
            <w:pPr>
              <w:pStyle w:val="TableHeading"/>
            </w:pPr>
            <w:r w:rsidRPr="00A058B6">
              <w:t>Reversion</w:t>
            </w:r>
          </w:p>
        </w:tc>
        <w:tc>
          <w:tcPr>
            <w:tcW w:w="966" w:type="pct"/>
            <w:tcBorders>
              <w:top w:val="single" w:sz="4" w:space="0" w:color="auto"/>
              <w:bottom w:val="single" w:sz="12" w:space="0" w:color="auto"/>
            </w:tcBorders>
          </w:tcPr>
          <w:p w14:paraId="08F65177" w14:textId="77777777" w:rsidR="000527FC" w:rsidRPr="00A058B6" w:rsidRDefault="000527FC" w:rsidP="00FD658D">
            <w:pPr>
              <w:pStyle w:val="TableHeading"/>
            </w:pPr>
            <w:r w:rsidRPr="00A058B6">
              <w:t>Pension</w:t>
            </w:r>
          </w:p>
        </w:tc>
        <w:tc>
          <w:tcPr>
            <w:tcW w:w="966" w:type="pct"/>
            <w:tcBorders>
              <w:top w:val="single" w:sz="4" w:space="0" w:color="auto"/>
              <w:bottom w:val="single" w:sz="12" w:space="0" w:color="auto"/>
            </w:tcBorders>
          </w:tcPr>
          <w:p w14:paraId="6C9FFA93" w14:textId="77777777" w:rsidR="000527FC" w:rsidRPr="00A058B6" w:rsidRDefault="000527FC" w:rsidP="00FD658D">
            <w:pPr>
              <w:pStyle w:val="TableHeading"/>
            </w:pPr>
            <w:r w:rsidRPr="00A058B6">
              <w:t>Reversion</w:t>
            </w:r>
          </w:p>
        </w:tc>
      </w:tr>
      <w:tr w:rsidR="002E608D" w:rsidRPr="002E608D" w14:paraId="4EC35B29" w14:textId="77777777" w:rsidTr="002E608D">
        <w:trPr>
          <w:cantSplit/>
        </w:trPr>
        <w:tc>
          <w:tcPr>
            <w:tcW w:w="1136" w:type="pct"/>
            <w:tcBorders>
              <w:top w:val="single" w:sz="12" w:space="0" w:color="auto"/>
              <w:bottom w:val="single" w:sz="4" w:space="0" w:color="auto"/>
            </w:tcBorders>
          </w:tcPr>
          <w:p w14:paraId="12BEFBF5" w14:textId="77777777" w:rsidR="002E608D" w:rsidRPr="00616B26" w:rsidRDefault="002E608D" w:rsidP="002E608D">
            <w:pPr>
              <w:pStyle w:val="Tabletext"/>
              <w:rPr>
                <w:snapToGrid w:val="0"/>
              </w:rPr>
            </w:pPr>
            <w:r w:rsidRPr="00616B26">
              <w:rPr>
                <w:snapToGrid w:val="0"/>
              </w:rPr>
              <w:t>18</w:t>
            </w:r>
          </w:p>
        </w:tc>
        <w:tc>
          <w:tcPr>
            <w:tcW w:w="966" w:type="pct"/>
            <w:tcBorders>
              <w:top w:val="single" w:sz="12" w:space="0" w:color="auto"/>
              <w:bottom w:val="single" w:sz="4" w:space="0" w:color="auto"/>
            </w:tcBorders>
            <w:shd w:val="clear" w:color="auto" w:fill="auto"/>
            <w:vAlign w:val="bottom"/>
          </w:tcPr>
          <w:p w14:paraId="43D4AD30" w14:textId="77777777" w:rsidR="002E608D" w:rsidRPr="002E608D" w:rsidRDefault="002E608D" w:rsidP="002E608D">
            <w:pPr>
              <w:pStyle w:val="Tabletext"/>
            </w:pPr>
            <w:r w:rsidRPr="002E608D">
              <w:t>43</w:t>
            </w:r>
            <w:r w:rsidR="00D7157D">
              <w:t>.</w:t>
            </w:r>
            <w:r w:rsidRPr="002E608D">
              <w:t>7457</w:t>
            </w:r>
          </w:p>
        </w:tc>
        <w:tc>
          <w:tcPr>
            <w:tcW w:w="966" w:type="pct"/>
            <w:tcBorders>
              <w:top w:val="single" w:sz="12" w:space="0" w:color="auto"/>
              <w:bottom w:val="single" w:sz="4" w:space="0" w:color="auto"/>
            </w:tcBorders>
            <w:shd w:val="clear" w:color="auto" w:fill="auto"/>
            <w:vAlign w:val="bottom"/>
          </w:tcPr>
          <w:p w14:paraId="5104D358" w14:textId="77777777" w:rsidR="002E608D" w:rsidRPr="002E608D" w:rsidRDefault="002E608D" w:rsidP="002E608D">
            <w:pPr>
              <w:pStyle w:val="Tabletext"/>
            </w:pPr>
            <w:r w:rsidRPr="002E608D">
              <w:t>7</w:t>
            </w:r>
            <w:r w:rsidR="00D7157D">
              <w:t>.</w:t>
            </w:r>
            <w:r w:rsidRPr="002E608D">
              <w:t>1765</w:t>
            </w:r>
          </w:p>
        </w:tc>
        <w:tc>
          <w:tcPr>
            <w:tcW w:w="966" w:type="pct"/>
            <w:tcBorders>
              <w:top w:val="single" w:sz="12" w:space="0" w:color="auto"/>
              <w:bottom w:val="single" w:sz="4" w:space="0" w:color="auto"/>
            </w:tcBorders>
            <w:shd w:val="clear" w:color="auto" w:fill="auto"/>
            <w:vAlign w:val="bottom"/>
          </w:tcPr>
          <w:p w14:paraId="412CA6B1" w14:textId="77777777" w:rsidR="002E608D" w:rsidRPr="002E608D" w:rsidRDefault="002E608D" w:rsidP="002E608D">
            <w:pPr>
              <w:pStyle w:val="Tabletext"/>
            </w:pPr>
            <w:r w:rsidRPr="002E608D">
              <w:t>46</w:t>
            </w:r>
            <w:r w:rsidR="00D7157D">
              <w:t>.</w:t>
            </w:r>
            <w:r w:rsidRPr="002E608D">
              <w:t>4509</w:t>
            </w:r>
          </w:p>
        </w:tc>
        <w:tc>
          <w:tcPr>
            <w:tcW w:w="966" w:type="pct"/>
            <w:tcBorders>
              <w:top w:val="single" w:sz="12" w:space="0" w:color="auto"/>
              <w:bottom w:val="single" w:sz="4" w:space="0" w:color="auto"/>
              <w:right w:val="nil"/>
            </w:tcBorders>
            <w:shd w:val="clear" w:color="auto" w:fill="auto"/>
            <w:vAlign w:val="bottom"/>
          </w:tcPr>
          <w:p w14:paraId="6903B854" w14:textId="77777777" w:rsidR="002E608D" w:rsidRPr="002E608D" w:rsidRDefault="002E608D" w:rsidP="002E608D">
            <w:pPr>
              <w:pStyle w:val="Tabletext"/>
            </w:pPr>
            <w:r w:rsidRPr="002E608D">
              <w:t>3</w:t>
            </w:r>
            <w:r w:rsidR="00D7157D">
              <w:t>.</w:t>
            </w:r>
            <w:r w:rsidRPr="002E608D">
              <w:t>3693</w:t>
            </w:r>
          </w:p>
        </w:tc>
      </w:tr>
      <w:tr w:rsidR="002E608D" w:rsidRPr="002E608D" w14:paraId="504E6FE6" w14:textId="77777777" w:rsidTr="002E608D">
        <w:trPr>
          <w:cantSplit/>
        </w:trPr>
        <w:tc>
          <w:tcPr>
            <w:tcW w:w="1136" w:type="pct"/>
            <w:tcBorders>
              <w:top w:val="single" w:sz="4" w:space="0" w:color="auto"/>
              <w:bottom w:val="single" w:sz="4" w:space="0" w:color="auto"/>
            </w:tcBorders>
          </w:tcPr>
          <w:p w14:paraId="378D1C45" w14:textId="77777777" w:rsidR="002E608D" w:rsidRPr="002E608D" w:rsidRDefault="002E608D" w:rsidP="002E608D">
            <w:pPr>
              <w:pStyle w:val="Tabletext"/>
            </w:pPr>
            <w:r w:rsidRPr="002E608D">
              <w:t>19</w:t>
            </w:r>
          </w:p>
        </w:tc>
        <w:tc>
          <w:tcPr>
            <w:tcW w:w="966" w:type="pct"/>
            <w:tcBorders>
              <w:top w:val="single" w:sz="4" w:space="0" w:color="auto"/>
              <w:bottom w:val="single" w:sz="4" w:space="0" w:color="auto"/>
            </w:tcBorders>
            <w:shd w:val="clear" w:color="auto" w:fill="auto"/>
            <w:vAlign w:val="bottom"/>
          </w:tcPr>
          <w:p w14:paraId="3B825DE1" w14:textId="77777777" w:rsidR="002E608D" w:rsidRPr="002E608D" w:rsidRDefault="002E608D" w:rsidP="002E608D">
            <w:pPr>
              <w:pStyle w:val="Tabletext"/>
            </w:pPr>
            <w:r w:rsidRPr="002E608D">
              <w:t>43</w:t>
            </w:r>
            <w:r w:rsidR="00D7157D">
              <w:t>.</w:t>
            </w:r>
            <w:r w:rsidRPr="002E608D">
              <w:t>2468</w:t>
            </w:r>
          </w:p>
        </w:tc>
        <w:tc>
          <w:tcPr>
            <w:tcW w:w="966" w:type="pct"/>
            <w:tcBorders>
              <w:top w:val="single" w:sz="4" w:space="0" w:color="auto"/>
              <w:bottom w:val="single" w:sz="4" w:space="0" w:color="auto"/>
            </w:tcBorders>
            <w:shd w:val="clear" w:color="auto" w:fill="auto"/>
            <w:vAlign w:val="bottom"/>
          </w:tcPr>
          <w:p w14:paraId="13586046" w14:textId="77777777" w:rsidR="002E608D" w:rsidRPr="002E608D" w:rsidRDefault="002E608D" w:rsidP="002E608D">
            <w:pPr>
              <w:pStyle w:val="Tabletext"/>
            </w:pPr>
            <w:r w:rsidRPr="002E608D">
              <w:t>7</w:t>
            </w:r>
            <w:r w:rsidR="00D7157D">
              <w:t>.</w:t>
            </w:r>
            <w:r w:rsidRPr="002E608D">
              <w:t>1831</w:t>
            </w:r>
          </w:p>
        </w:tc>
        <w:tc>
          <w:tcPr>
            <w:tcW w:w="966" w:type="pct"/>
            <w:tcBorders>
              <w:top w:val="single" w:sz="4" w:space="0" w:color="auto"/>
              <w:bottom w:val="single" w:sz="4" w:space="0" w:color="auto"/>
            </w:tcBorders>
            <w:shd w:val="clear" w:color="auto" w:fill="auto"/>
            <w:vAlign w:val="bottom"/>
          </w:tcPr>
          <w:p w14:paraId="4072279C" w14:textId="77777777" w:rsidR="002E608D" w:rsidRPr="002E608D" w:rsidRDefault="002E608D" w:rsidP="002E608D">
            <w:pPr>
              <w:pStyle w:val="Tabletext"/>
            </w:pPr>
            <w:r w:rsidRPr="002E608D">
              <w:t>45</w:t>
            </w:r>
            <w:r w:rsidR="00D7157D">
              <w:t>.</w:t>
            </w:r>
            <w:r w:rsidRPr="002E608D">
              <w:t>9476</w:t>
            </w:r>
          </w:p>
        </w:tc>
        <w:tc>
          <w:tcPr>
            <w:tcW w:w="966" w:type="pct"/>
            <w:tcBorders>
              <w:top w:val="single" w:sz="4" w:space="0" w:color="auto"/>
              <w:bottom w:val="single" w:sz="4" w:space="0" w:color="auto"/>
              <w:right w:val="nil"/>
            </w:tcBorders>
            <w:shd w:val="clear" w:color="auto" w:fill="auto"/>
            <w:vAlign w:val="bottom"/>
          </w:tcPr>
          <w:p w14:paraId="76665EC4" w14:textId="77777777" w:rsidR="002E608D" w:rsidRPr="002E608D" w:rsidRDefault="002E608D" w:rsidP="002E608D">
            <w:pPr>
              <w:pStyle w:val="Tabletext"/>
            </w:pPr>
            <w:r w:rsidRPr="002E608D">
              <w:t>3</w:t>
            </w:r>
            <w:r w:rsidR="00D7157D">
              <w:t>.</w:t>
            </w:r>
            <w:r w:rsidRPr="002E608D">
              <w:t>3682</w:t>
            </w:r>
          </w:p>
        </w:tc>
      </w:tr>
      <w:tr w:rsidR="002E608D" w:rsidRPr="002E608D" w14:paraId="093FC38F" w14:textId="77777777" w:rsidTr="002E608D">
        <w:trPr>
          <w:cantSplit/>
        </w:trPr>
        <w:tc>
          <w:tcPr>
            <w:tcW w:w="1136" w:type="pct"/>
            <w:tcBorders>
              <w:top w:val="single" w:sz="4" w:space="0" w:color="auto"/>
              <w:bottom w:val="single" w:sz="4" w:space="0" w:color="auto"/>
            </w:tcBorders>
          </w:tcPr>
          <w:p w14:paraId="6C27BD91" w14:textId="77777777" w:rsidR="002E608D" w:rsidRPr="002E608D" w:rsidRDefault="002E608D" w:rsidP="002E608D">
            <w:pPr>
              <w:pStyle w:val="Tabletext"/>
            </w:pPr>
            <w:r w:rsidRPr="002E608D">
              <w:t>20</w:t>
            </w:r>
          </w:p>
        </w:tc>
        <w:tc>
          <w:tcPr>
            <w:tcW w:w="966" w:type="pct"/>
            <w:tcBorders>
              <w:top w:val="single" w:sz="4" w:space="0" w:color="auto"/>
              <w:bottom w:val="single" w:sz="4" w:space="0" w:color="auto"/>
            </w:tcBorders>
            <w:shd w:val="clear" w:color="auto" w:fill="auto"/>
            <w:vAlign w:val="bottom"/>
          </w:tcPr>
          <w:p w14:paraId="4BA05CE9" w14:textId="77777777" w:rsidR="002E608D" w:rsidRPr="002E608D" w:rsidRDefault="002E608D" w:rsidP="002E608D">
            <w:pPr>
              <w:pStyle w:val="Tabletext"/>
            </w:pPr>
            <w:r w:rsidRPr="002E608D">
              <w:t>42</w:t>
            </w:r>
            <w:r w:rsidR="00D7157D">
              <w:t>.</w:t>
            </w:r>
            <w:r w:rsidRPr="002E608D">
              <w:t>7422</w:t>
            </w:r>
          </w:p>
        </w:tc>
        <w:tc>
          <w:tcPr>
            <w:tcW w:w="966" w:type="pct"/>
            <w:tcBorders>
              <w:top w:val="single" w:sz="4" w:space="0" w:color="auto"/>
              <w:bottom w:val="single" w:sz="4" w:space="0" w:color="auto"/>
            </w:tcBorders>
            <w:shd w:val="clear" w:color="auto" w:fill="auto"/>
            <w:vAlign w:val="bottom"/>
          </w:tcPr>
          <w:p w14:paraId="62192C96" w14:textId="77777777" w:rsidR="002E608D" w:rsidRPr="002E608D" w:rsidRDefault="002E608D" w:rsidP="002E608D">
            <w:pPr>
              <w:pStyle w:val="Tabletext"/>
            </w:pPr>
            <w:r w:rsidRPr="002E608D">
              <w:t>7</w:t>
            </w:r>
            <w:r w:rsidR="00D7157D">
              <w:t>.</w:t>
            </w:r>
            <w:r w:rsidRPr="002E608D">
              <w:t>1903</w:t>
            </w:r>
          </w:p>
        </w:tc>
        <w:tc>
          <w:tcPr>
            <w:tcW w:w="966" w:type="pct"/>
            <w:tcBorders>
              <w:top w:val="single" w:sz="4" w:space="0" w:color="auto"/>
              <w:bottom w:val="single" w:sz="4" w:space="0" w:color="auto"/>
            </w:tcBorders>
            <w:shd w:val="clear" w:color="auto" w:fill="auto"/>
            <w:vAlign w:val="bottom"/>
          </w:tcPr>
          <w:p w14:paraId="7AD05D71" w14:textId="77777777" w:rsidR="002E608D" w:rsidRPr="002E608D" w:rsidRDefault="002E608D" w:rsidP="002E608D">
            <w:pPr>
              <w:pStyle w:val="Tabletext"/>
            </w:pPr>
            <w:r w:rsidRPr="002E608D">
              <w:t>45</w:t>
            </w:r>
            <w:r w:rsidR="00D7157D">
              <w:t>.</w:t>
            </w:r>
            <w:r w:rsidRPr="002E608D">
              <w:t>4388</w:t>
            </w:r>
          </w:p>
        </w:tc>
        <w:tc>
          <w:tcPr>
            <w:tcW w:w="966" w:type="pct"/>
            <w:tcBorders>
              <w:top w:val="single" w:sz="4" w:space="0" w:color="auto"/>
              <w:bottom w:val="single" w:sz="4" w:space="0" w:color="auto"/>
              <w:right w:val="nil"/>
            </w:tcBorders>
            <w:shd w:val="clear" w:color="auto" w:fill="auto"/>
            <w:vAlign w:val="bottom"/>
          </w:tcPr>
          <w:p w14:paraId="269DA7EC" w14:textId="77777777" w:rsidR="002E608D" w:rsidRPr="002E608D" w:rsidRDefault="002E608D" w:rsidP="002E608D">
            <w:pPr>
              <w:pStyle w:val="Tabletext"/>
            </w:pPr>
            <w:r w:rsidRPr="002E608D">
              <w:t>3</w:t>
            </w:r>
            <w:r w:rsidR="00D7157D">
              <w:t>.</w:t>
            </w:r>
            <w:r w:rsidRPr="002E608D">
              <w:t>3674</w:t>
            </w:r>
          </w:p>
        </w:tc>
      </w:tr>
      <w:tr w:rsidR="002E608D" w:rsidRPr="002E608D" w14:paraId="4D4428DC" w14:textId="77777777" w:rsidTr="002E608D">
        <w:trPr>
          <w:cantSplit/>
        </w:trPr>
        <w:tc>
          <w:tcPr>
            <w:tcW w:w="1136" w:type="pct"/>
            <w:tcBorders>
              <w:top w:val="single" w:sz="4" w:space="0" w:color="auto"/>
              <w:bottom w:val="single" w:sz="4" w:space="0" w:color="auto"/>
            </w:tcBorders>
          </w:tcPr>
          <w:p w14:paraId="6E3DE89D" w14:textId="77777777" w:rsidR="002E608D" w:rsidRPr="002E608D" w:rsidRDefault="002E608D" w:rsidP="002E608D">
            <w:pPr>
              <w:pStyle w:val="Tabletext"/>
            </w:pPr>
            <w:r w:rsidRPr="002E608D">
              <w:t>21</w:t>
            </w:r>
          </w:p>
        </w:tc>
        <w:tc>
          <w:tcPr>
            <w:tcW w:w="966" w:type="pct"/>
            <w:tcBorders>
              <w:top w:val="single" w:sz="4" w:space="0" w:color="auto"/>
              <w:bottom w:val="single" w:sz="4" w:space="0" w:color="auto"/>
            </w:tcBorders>
            <w:shd w:val="clear" w:color="auto" w:fill="auto"/>
            <w:vAlign w:val="bottom"/>
          </w:tcPr>
          <w:p w14:paraId="5811BA8E" w14:textId="77777777" w:rsidR="002E608D" w:rsidRPr="002E608D" w:rsidRDefault="002E608D" w:rsidP="002E608D">
            <w:pPr>
              <w:pStyle w:val="Tabletext"/>
            </w:pPr>
            <w:r w:rsidRPr="002E608D">
              <w:t>42</w:t>
            </w:r>
            <w:r w:rsidR="00D7157D">
              <w:t>.</w:t>
            </w:r>
            <w:r w:rsidRPr="002E608D">
              <w:t>2317</w:t>
            </w:r>
          </w:p>
        </w:tc>
        <w:tc>
          <w:tcPr>
            <w:tcW w:w="966" w:type="pct"/>
            <w:tcBorders>
              <w:top w:val="single" w:sz="4" w:space="0" w:color="auto"/>
              <w:bottom w:val="single" w:sz="4" w:space="0" w:color="auto"/>
            </w:tcBorders>
            <w:shd w:val="clear" w:color="auto" w:fill="auto"/>
            <w:vAlign w:val="bottom"/>
          </w:tcPr>
          <w:p w14:paraId="3B2ECC9A" w14:textId="77777777" w:rsidR="002E608D" w:rsidRPr="002E608D" w:rsidRDefault="002E608D" w:rsidP="002E608D">
            <w:pPr>
              <w:pStyle w:val="Tabletext"/>
            </w:pPr>
            <w:r w:rsidRPr="002E608D">
              <w:t>7</w:t>
            </w:r>
            <w:r w:rsidR="00D7157D">
              <w:t>.</w:t>
            </w:r>
            <w:r w:rsidRPr="002E608D">
              <w:t>1981</w:t>
            </w:r>
          </w:p>
        </w:tc>
        <w:tc>
          <w:tcPr>
            <w:tcW w:w="966" w:type="pct"/>
            <w:tcBorders>
              <w:top w:val="single" w:sz="4" w:space="0" w:color="auto"/>
              <w:bottom w:val="single" w:sz="4" w:space="0" w:color="auto"/>
            </w:tcBorders>
            <w:shd w:val="clear" w:color="auto" w:fill="auto"/>
            <w:vAlign w:val="bottom"/>
          </w:tcPr>
          <w:p w14:paraId="0D6C02D2" w14:textId="77777777" w:rsidR="002E608D" w:rsidRPr="002E608D" w:rsidRDefault="002E608D" w:rsidP="002E608D">
            <w:pPr>
              <w:pStyle w:val="Tabletext"/>
            </w:pPr>
            <w:r w:rsidRPr="002E608D">
              <w:t>44</w:t>
            </w:r>
            <w:r w:rsidR="00D7157D">
              <w:t>.</w:t>
            </w:r>
            <w:r w:rsidRPr="002E608D">
              <w:t>9245</w:t>
            </w:r>
          </w:p>
        </w:tc>
        <w:tc>
          <w:tcPr>
            <w:tcW w:w="966" w:type="pct"/>
            <w:tcBorders>
              <w:top w:val="single" w:sz="4" w:space="0" w:color="auto"/>
              <w:bottom w:val="single" w:sz="4" w:space="0" w:color="auto"/>
              <w:right w:val="nil"/>
            </w:tcBorders>
            <w:shd w:val="clear" w:color="auto" w:fill="auto"/>
            <w:vAlign w:val="bottom"/>
          </w:tcPr>
          <w:p w14:paraId="03B4E1B9" w14:textId="77777777" w:rsidR="002E608D" w:rsidRPr="002E608D" w:rsidRDefault="002E608D" w:rsidP="002E608D">
            <w:pPr>
              <w:pStyle w:val="Tabletext"/>
            </w:pPr>
            <w:r w:rsidRPr="002E608D">
              <w:t>3</w:t>
            </w:r>
            <w:r w:rsidR="00D7157D">
              <w:t>.</w:t>
            </w:r>
            <w:r w:rsidRPr="002E608D">
              <w:t>3669</w:t>
            </w:r>
          </w:p>
        </w:tc>
      </w:tr>
      <w:tr w:rsidR="002E608D" w:rsidRPr="002E608D" w14:paraId="6B6008A2" w14:textId="77777777" w:rsidTr="002E608D">
        <w:trPr>
          <w:cantSplit/>
        </w:trPr>
        <w:tc>
          <w:tcPr>
            <w:tcW w:w="1136" w:type="pct"/>
            <w:tcBorders>
              <w:top w:val="single" w:sz="4" w:space="0" w:color="auto"/>
              <w:bottom w:val="single" w:sz="4" w:space="0" w:color="auto"/>
            </w:tcBorders>
          </w:tcPr>
          <w:p w14:paraId="4AE051AB" w14:textId="77777777" w:rsidR="002E608D" w:rsidRPr="002E608D" w:rsidRDefault="002E608D" w:rsidP="002E608D">
            <w:pPr>
              <w:pStyle w:val="Tabletext"/>
            </w:pPr>
            <w:r w:rsidRPr="002E608D">
              <w:t>22</w:t>
            </w:r>
          </w:p>
        </w:tc>
        <w:tc>
          <w:tcPr>
            <w:tcW w:w="966" w:type="pct"/>
            <w:tcBorders>
              <w:top w:val="single" w:sz="4" w:space="0" w:color="auto"/>
              <w:bottom w:val="single" w:sz="4" w:space="0" w:color="auto"/>
            </w:tcBorders>
            <w:shd w:val="clear" w:color="auto" w:fill="auto"/>
            <w:vAlign w:val="bottom"/>
          </w:tcPr>
          <w:p w14:paraId="1AA9ED7B" w14:textId="77777777" w:rsidR="002E608D" w:rsidRPr="002E608D" w:rsidRDefault="002E608D" w:rsidP="002E608D">
            <w:pPr>
              <w:pStyle w:val="Tabletext"/>
            </w:pPr>
            <w:r w:rsidRPr="002E608D">
              <w:t>41</w:t>
            </w:r>
            <w:r w:rsidR="00D7157D">
              <w:t>.</w:t>
            </w:r>
            <w:r w:rsidRPr="002E608D">
              <w:t>7153</w:t>
            </w:r>
          </w:p>
        </w:tc>
        <w:tc>
          <w:tcPr>
            <w:tcW w:w="966" w:type="pct"/>
            <w:tcBorders>
              <w:top w:val="single" w:sz="4" w:space="0" w:color="auto"/>
              <w:bottom w:val="single" w:sz="4" w:space="0" w:color="auto"/>
            </w:tcBorders>
            <w:shd w:val="clear" w:color="auto" w:fill="auto"/>
            <w:vAlign w:val="bottom"/>
          </w:tcPr>
          <w:p w14:paraId="040851CB" w14:textId="77777777" w:rsidR="002E608D" w:rsidRPr="002E608D" w:rsidRDefault="002E608D" w:rsidP="002E608D">
            <w:pPr>
              <w:pStyle w:val="Tabletext"/>
            </w:pPr>
            <w:r w:rsidRPr="002E608D">
              <w:t>7</w:t>
            </w:r>
            <w:r w:rsidR="00D7157D">
              <w:t>.</w:t>
            </w:r>
            <w:r w:rsidRPr="002E608D">
              <w:t>2065</w:t>
            </w:r>
          </w:p>
        </w:tc>
        <w:tc>
          <w:tcPr>
            <w:tcW w:w="966" w:type="pct"/>
            <w:tcBorders>
              <w:top w:val="single" w:sz="4" w:space="0" w:color="auto"/>
              <w:bottom w:val="single" w:sz="4" w:space="0" w:color="auto"/>
            </w:tcBorders>
            <w:shd w:val="clear" w:color="auto" w:fill="auto"/>
            <w:vAlign w:val="bottom"/>
          </w:tcPr>
          <w:p w14:paraId="4E367E82" w14:textId="77777777" w:rsidR="002E608D" w:rsidRPr="002E608D" w:rsidRDefault="002E608D" w:rsidP="002E608D">
            <w:pPr>
              <w:pStyle w:val="Tabletext"/>
            </w:pPr>
            <w:r w:rsidRPr="002E608D">
              <w:t>44</w:t>
            </w:r>
            <w:r w:rsidR="00D7157D">
              <w:t>.</w:t>
            </w:r>
            <w:r w:rsidRPr="002E608D">
              <w:t>4046</w:t>
            </w:r>
          </w:p>
        </w:tc>
        <w:tc>
          <w:tcPr>
            <w:tcW w:w="966" w:type="pct"/>
            <w:tcBorders>
              <w:top w:val="single" w:sz="4" w:space="0" w:color="auto"/>
              <w:bottom w:val="single" w:sz="4" w:space="0" w:color="auto"/>
              <w:right w:val="nil"/>
            </w:tcBorders>
            <w:shd w:val="clear" w:color="auto" w:fill="auto"/>
            <w:vAlign w:val="bottom"/>
          </w:tcPr>
          <w:p w14:paraId="1BA0300C" w14:textId="77777777" w:rsidR="002E608D" w:rsidRPr="002E608D" w:rsidRDefault="002E608D" w:rsidP="002E608D">
            <w:pPr>
              <w:pStyle w:val="Tabletext"/>
            </w:pPr>
            <w:r w:rsidRPr="002E608D">
              <w:t>3</w:t>
            </w:r>
            <w:r w:rsidR="00D7157D">
              <w:t>.</w:t>
            </w:r>
            <w:r w:rsidRPr="002E608D">
              <w:t>3667</w:t>
            </w:r>
          </w:p>
        </w:tc>
      </w:tr>
      <w:tr w:rsidR="002E608D" w:rsidRPr="002E608D" w14:paraId="67B29EA3" w14:textId="77777777" w:rsidTr="002E608D">
        <w:trPr>
          <w:cantSplit/>
        </w:trPr>
        <w:tc>
          <w:tcPr>
            <w:tcW w:w="1136" w:type="pct"/>
            <w:tcBorders>
              <w:top w:val="single" w:sz="4" w:space="0" w:color="auto"/>
              <w:bottom w:val="single" w:sz="4" w:space="0" w:color="auto"/>
            </w:tcBorders>
          </w:tcPr>
          <w:p w14:paraId="5E382B9B" w14:textId="77777777" w:rsidR="002E608D" w:rsidRPr="002E608D" w:rsidRDefault="002E608D" w:rsidP="002E608D">
            <w:pPr>
              <w:pStyle w:val="Tabletext"/>
            </w:pPr>
            <w:r w:rsidRPr="002E608D">
              <w:t>23</w:t>
            </w:r>
          </w:p>
        </w:tc>
        <w:tc>
          <w:tcPr>
            <w:tcW w:w="966" w:type="pct"/>
            <w:tcBorders>
              <w:top w:val="single" w:sz="4" w:space="0" w:color="auto"/>
              <w:bottom w:val="single" w:sz="4" w:space="0" w:color="auto"/>
            </w:tcBorders>
            <w:shd w:val="clear" w:color="auto" w:fill="auto"/>
            <w:vAlign w:val="bottom"/>
          </w:tcPr>
          <w:p w14:paraId="2BEDC3C9" w14:textId="77777777" w:rsidR="002E608D" w:rsidRPr="002E608D" w:rsidRDefault="002E608D" w:rsidP="002E608D">
            <w:pPr>
              <w:pStyle w:val="Tabletext"/>
            </w:pPr>
            <w:r w:rsidRPr="002E608D">
              <w:t>41</w:t>
            </w:r>
            <w:r w:rsidR="00D7157D">
              <w:t>.</w:t>
            </w:r>
            <w:r w:rsidRPr="002E608D">
              <w:t>1929</w:t>
            </w:r>
          </w:p>
        </w:tc>
        <w:tc>
          <w:tcPr>
            <w:tcW w:w="966" w:type="pct"/>
            <w:tcBorders>
              <w:top w:val="single" w:sz="4" w:space="0" w:color="auto"/>
              <w:bottom w:val="single" w:sz="4" w:space="0" w:color="auto"/>
            </w:tcBorders>
            <w:shd w:val="clear" w:color="auto" w:fill="auto"/>
            <w:vAlign w:val="bottom"/>
          </w:tcPr>
          <w:p w14:paraId="5B7CADC4" w14:textId="77777777" w:rsidR="002E608D" w:rsidRPr="002E608D" w:rsidRDefault="002E608D" w:rsidP="002E608D">
            <w:pPr>
              <w:pStyle w:val="Tabletext"/>
            </w:pPr>
            <w:r w:rsidRPr="002E608D">
              <w:t>7</w:t>
            </w:r>
            <w:r w:rsidR="00D7157D">
              <w:t>.</w:t>
            </w:r>
            <w:r w:rsidRPr="002E608D">
              <w:t>2155</w:t>
            </w:r>
          </w:p>
        </w:tc>
        <w:tc>
          <w:tcPr>
            <w:tcW w:w="966" w:type="pct"/>
            <w:tcBorders>
              <w:top w:val="single" w:sz="4" w:space="0" w:color="auto"/>
              <w:bottom w:val="single" w:sz="4" w:space="0" w:color="auto"/>
            </w:tcBorders>
            <w:shd w:val="clear" w:color="auto" w:fill="auto"/>
            <w:vAlign w:val="bottom"/>
          </w:tcPr>
          <w:p w14:paraId="59231770" w14:textId="77777777" w:rsidR="002E608D" w:rsidRPr="002E608D" w:rsidRDefault="002E608D" w:rsidP="002E608D">
            <w:pPr>
              <w:pStyle w:val="Tabletext"/>
            </w:pPr>
            <w:r w:rsidRPr="002E608D">
              <w:t>43</w:t>
            </w:r>
            <w:r w:rsidR="00D7157D">
              <w:t>.</w:t>
            </w:r>
            <w:r w:rsidRPr="002E608D">
              <w:t>8792</w:t>
            </w:r>
          </w:p>
        </w:tc>
        <w:tc>
          <w:tcPr>
            <w:tcW w:w="966" w:type="pct"/>
            <w:tcBorders>
              <w:top w:val="single" w:sz="4" w:space="0" w:color="auto"/>
              <w:bottom w:val="single" w:sz="4" w:space="0" w:color="auto"/>
              <w:right w:val="nil"/>
            </w:tcBorders>
            <w:shd w:val="clear" w:color="auto" w:fill="auto"/>
            <w:vAlign w:val="bottom"/>
          </w:tcPr>
          <w:p w14:paraId="3246F85C" w14:textId="77777777" w:rsidR="002E608D" w:rsidRPr="002E608D" w:rsidRDefault="002E608D" w:rsidP="002E608D">
            <w:pPr>
              <w:pStyle w:val="Tabletext"/>
            </w:pPr>
            <w:r w:rsidRPr="002E608D">
              <w:t>3</w:t>
            </w:r>
            <w:r w:rsidR="00D7157D">
              <w:t>.</w:t>
            </w:r>
            <w:r w:rsidRPr="002E608D">
              <w:t>3668</w:t>
            </w:r>
          </w:p>
        </w:tc>
      </w:tr>
      <w:tr w:rsidR="002E608D" w:rsidRPr="002E608D" w14:paraId="094606CA" w14:textId="77777777" w:rsidTr="002E608D">
        <w:trPr>
          <w:cantSplit/>
        </w:trPr>
        <w:tc>
          <w:tcPr>
            <w:tcW w:w="1136" w:type="pct"/>
            <w:tcBorders>
              <w:top w:val="single" w:sz="4" w:space="0" w:color="auto"/>
              <w:bottom w:val="single" w:sz="4" w:space="0" w:color="auto"/>
            </w:tcBorders>
          </w:tcPr>
          <w:p w14:paraId="4A7CBC6A" w14:textId="77777777" w:rsidR="002E608D" w:rsidRPr="002E608D" w:rsidRDefault="002E608D" w:rsidP="002E608D">
            <w:pPr>
              <w:pStyle w:val="Tabletext"/>
            </w:pPr>
            <w:r w:rsidRPr="002E608D">
              <w:t>24</w:t>
            </w:r>
          </w:p>
        </w:tc>
        <w:tc>
          <w:tcPr>
            <w:tcW w:w="966" w:type="pct"/>
            <w:tcBorders>
              <w:top w:val="single" w:sz="4" w:space="0" w:color="auto"/>
              <w:bottom w:val="single" w:sz="4" w:space="0" w:color="auto"/>
            </w:tcBorders>
            <w:shd w:val="clear" w:color="auto" w:fill="auto"/>
            <w:vAlign w:val="bottom"/>
          </w:tcPr>
          <w:p w14:paraId="2E55093F" w14:textId="77777777" w:rsidR="002E608D" w:rsidRPr="002E608D" w:rsidRDefault="002E608D" w:rsidP="002E608D">
            <w:pPr>
              <w:pStyle w:val="Tabletext"/>
            </w:pPr>
            <w:r w:rsidRPr="002E608D">
              <w:t>40</w:t>
            </w:r>
            <w:r w:rsidR="00D7157D">
              <w:t>.</w:t>
            </w:r>
            <w:r w:rsidRPr="002E608D">
              <w:t>6645</w:t>
            </w:r>
          </w:p>
        </w:tc>
        <w:tc>
          <w:tcPr>
            <w:tcW w:w="966" w:type="pct"/>
            <w:tcBorders>
              <w:top w:val="single" w:sz="4" w:space="0" w:color="auto"/>
              <w:bottom w:val="single" w:sz="4" w:space="0" w:color="auto"/>
            </w:tcBorders>
            <w:shd w:val="clear" w:color="auto" w:fill="auto"/>
            <w:vAlign w:val="bottom"/>
          </w:tcPr>
          <w:p w14:paraId="0F508E75" w14:textId="77777777" w:rsidR="002E608D" w:rsidRPr="002E608D" w:rsidRDefault="002E608D" w:rsidP="002E608D">
            <w:pPr>
              <w:pStyle w:val="Tabletext"/>
            </w:pPr>
            <w:r w:rsidRPr="002E608D">
              <w:t>7</w:t>
            </w:r>
            <w:r w:rsidR="00D7157D">
              <w:t>.</w:t>
            </w:r>
            <w:r w:rsidRPr="002E608D">
              <w:t>2252</w:t>
            </w:r>
          </w:p>
        </w:tc>
        <w:tc>
          <w:tcPr>
            <w:tcW w:w="966" w:type="pct"/>
            <w:tcBorders>
              <w:top w:val="single" w:sz="4" w:space="0" w:color="auto"/>
              <w:bottom w:val="single" w:sz="4" w:space="0" w:color="auto"/>
            </w:tcBorders>
            <w:shd w:val="clear" w:color="auto" w:fill="auto"/>
            <w:vAlign w:val="bottom"/>
          </w:tcPr>
          <w:p w14:paraId="2075C671" w14:textId="77777777" w:rsidR="002E608D" w:rsidRPr="002E608D" w:rsidRDefault="002E608D" w:rsidP="002E608D">
            <w:pPr>
              <w:pStyle w:val="Tabletext"/>
            </w:pPr>
            <w:r w:rsidRPr="002E608D">
              <w:t>43</w:t>
            </w:r>
            <w:r w:rsidR="00D7157D">
              <w:t>.</w:t>
            </w:r>
            <w:r w:rsidRPr="002E608D">
              <w:t>3480</w:t>
            </w:r>
          </w:p>
        </w:tc>
        <w:tc>
          <w:tcPr>
            <w:tcW w:w="966" w:type="pct"/>
            <w:tcBorders>
              <w:top w:val="single" w:sz="4" w:space="0" w:color="auto"/>
              <w:bottom w:val="single" w:sz="4" w:space="0" w:color="auto"/>
              <w:right w:val="nil"/>
            </w:tcBorders>
            <w:shd w:val="clear" w:color="auto" w:fill="auto"/>
            <w:vAlign w:val="bottom"/>
          </w:tcPr>
          <w:p w14:paraId="614AAFC5" w14:textId="77777777" w:rsidR="002E608D" w:rsidRPr="002E608D" w:rsidRDefault="002E608D" w:rsidP="002E608D">
            <w:pPr>
              <w:pStyle w:val="Tabletext"/>
            </w:pPr>
            <w:r w:rsidRPr="002E608D">
              <w:t>3</w:t>
            </w:r>
            <w:r w:rsidR="00D7157D">
              <w:t>.</w:t>
            </w:r>
            <w:r w:rsidRPr="002E608D">
              <w:t>3672</w:t>
            </w:r>
          </w:p>
        </w:tc>
      </w:tr>
      <w:tr w:rsidR="002E608D" w:rsidRPr="002E608D" w14:paraId="7EB05E69" w14:textId="77777777" w:rsidTr="002E608D">
        <w:trPr>
          <w:cantSplit/>
        </w:trPr>
        <w:tc>
          <w:tcPr>
            <w:tcW w:w="1136" w:type="pct"/>
            <w:tcBorders>
              <w:top w:val="single" w:sz="4" w:space="0" w:color="auto"/>
              <w:bottom w:val="single" w:sz="4" w:space="0" w:color="auto"/>
            </w:tcBorders>
          </w:tcPr>
          <w:p w14:paraId="5E7F2E46" w14:textId="77777777" w:rsidR="002E608D" w:rsidRPr="002E608D" w:rsidRDefault="002E608D" w:rsidP="002E608D">
            <w:pPr>
              <w:pStyle w:val="Tabletext"/>
            </w:pPr>
            <w:r w:rsidRPr="002E608D">
              <w:t>25</w:t>
            </w:r>
          </w:p>
        </w:tc>
        <w:tc>
          <w:tcPr>
            <w:tcW w:w="966" w:type="pct"/>
            <w:tcBorders>
              <w:top w:val="single" w:sz="4" w:space="0" w:color="auto"/>
              <w:bottom w:val="single" w:sz="4" w:space="0" w:color="auto"/>
            </w:tcBorders>
            <w:shd w:val="clear" w:color="auto" w:fill="auto"/>
            <w:vAlign w:val="bottom"/>
          </w:tcPr>
          <w:p w14:paraId="501F2ACA" w14:textId="77777777" w:rsidR="002E608D" w:rsidRPr="002E608D" w:rsidRDefault="002E608D" w:rsidP="002E608D">
            <w:pPr>
              <w:pStyle w:val="Tabletext"/>
            </w:pPr>
            <w:r w:rsidRPr="002E608D">
              <w:t>40</w:t>
            </w:r>
            <w:r w:rsidR="00D7157D">
              <w:t>.</w:t>
            </w:r>
            <w:r w:rsidRPr="002E608D">
              <w:t>1299</w:t>
            </w:r>
          </w:p>
        </w:tc>
        <w:tc>
          <w:tcPr>
            <w:tcW w:w="966" w:type="pct"/>
            <w:tcBorders>
              <w:top w:val="single" w:sz="4" w:space="0" w:color="auto"/>
              <w:bottom w:val="single" w:sz="4" w:space="0" w:color="auto"/>
            </w:tcBorders>
            <w:shd w:val="clear" w:color="auto" w:fill="auto"/>
            <w:vAlign w:val="bottom"/>
          </w:tcPr>
          <w:p w14:paraId="56B96EC8" w14:textId="77777777" w:rsidR="002E608D" w:rsidRPr="002E608D" w:rsidRDefault="002E608D" w:rsidP="002E608D">
            <w:pPr>
              <w:pStyle w:val="Tabletext"/>
            </w:pPr>
            <w:r w:rsidRPr="002E608D">
              <w:t>7</w:t>
            </w:r>
            <w:r w:rsidR="00D7157D">
              <w:t>.</w:t>
            </w:r>
            <w:r w:rsidRPr="002E608D">
              <w:t>2355</w:t>
            </w:r>
          </w:p>
        </w:tc>
        <w:tc>
          <w:tcPr>
            <w:tcW w:w="966" w:type="pct"/>
            <w:tcBorders>
              <w:top w:val="single" w:sz="4" w:space="0" w:color="auto"/>
              <w:bottom w:val="single" w:sz="4" w:space="0" w:color="auto"/>
            </w:tcBorders>
            <w:shd w:val="clear" w:color="auto" w:fill="auto"/>
            <w:vAlign w:val="bottom"/>
          </w:tcPr>
          <w:p w14:paraId="22DBE1F9" w14:textId="77777777" w:rsidR="002E608D" w:rsidRPr="002E608D" w:rsidRDefault="002E608D" w:rsidP="002E608D">
            <w:pPr>
              <w:pStyle w:val="Tabletext"/>
            </w:pPr>
            <w:r w:rsidRPr="002E608D">
              <w:t>42</w:t>
            </w:r>
            <w:r w:rsidR="00D7157D">
              <w:t>.</w:t>
            </w:r>
            <w:r w:rsidRPr="002E608D">
              <w:t>8112</w:t>
            </w:r>
          </w:p>
        </w:tc>
        <w:tc>
          <w:tcPr>
            <w:tcW w:w="966" w:type="pct"/>
            <w:tcBorders>
              <w:top w:val="single" w:sz="4" w:space="0" w:color="auto"/>
              <w:bottom w:val="single" w:sz="4" w:space="0" w:color="auto"/>
              <w:right w:val="nil"/>
            </w:tcBorders>
            <w:shd w:val="clear" w:color="auto" w:fill="auto"/>
            <w:vAlign w:val="bottom"/>
          </w:tcPr>
          <w:p w14:paraId="6878D5D6" w14:textId="77777777" w:rsidR="002E608D" w:rsidRPr="002E608D" w:rsidRDefault="002E608D" w:rsidP="002E608D">
            <w:pPr>
              <w:pStyle w:val="Tabletext"/>
            </w:pPr>
            <w:r w:rsidRPr="002E608D">
              <w:t>3</w:t>
            </w:r>
            <w:r w:rsidR="00D7157D">
              <w:t>.</w:t>
            </w:r>
            <w:r w:rsidRPr="002E608D">
              <w:t>3679</w:t>
            </w:r>
          </w:p>
        </w:tc>
      </w:tr>
      <w:tr w:rsidR="002E608D" w:rsidRPr="002E608D" w14:paraId="3BF7378F" w14:textId="77777777" w:rsidTr="002E608D">
        <w:trPr>
          <w:cantSplit/>
        </w:trPr>
        <w:tc>
          <w:tcPr>
            <w:tcW w:w="1136" w:type="pct"/>
            <w:tcBorders>
              <w:top w:val="single" w:sz="4" w:space="0" w:color="auto"/>
              <w:bottom w:val="single" w:sz="4" w:space="0" w:color="auto"/>
            </w:tcBorders>
          </w:tcPr>
          <w:p w14:paraId="4F22E305" w14:textId="77777777" w:rsidR="002E608D" w:rsidRPr="002E608D" w:rsidRDefault="002E608D" w:rsidP="002E608D">
            <w:pPr>
              <w:pStyle w:val="Tabletext"/>
            </w:pPr>
            <w:r w:rsidRPr="002E608D">
              <w:t>26</w:t>
            </w:r>
          </w:p>
        </w:tc>
        <w:tc>
          <w:tcPr>
            <w:tcW w:w="966" w:type="pct"/>
            <w:tcBorders>
              <w:top w:val="single" w:sz="4" w:space="0" w:color="auto"/>
              <w:bottom w:val="single" w:sz="4" w:space="0" w:color="auto"/>
            </w:tcBorders>
            <w:shd w:val="clear" w:color="auto" w:fill="auto"/>
            <w:vAlign w:val="bottom"/>
          </w:tcPr>
          <w:p w14:paraId="086C20D8" w14:textId="77777777" w:rsidR="002E608D" w:rsidRPr="002E608D" w:rsidRDefault="002E608D" w:rsidP="002E608D">
            <w:pPr>
              <w:pStyle w:val="Tabletext"/>
            </w:pPr>
            <w:r w:rsidRPr="002E608D">
              <w:t>39</w:t>
            </w:r>
            <w:r w:rsidR="00D7157D">
              <w:t>.</w:t>
            </w:r>
            <w:r w:rsidRPr="002E608D">
              <w:t>5892</w:t>
            </w:r>
          </w:p>
        </w:tc>
        <w:tc>
          <w:tcPr>
            <w:tcW w:w="966" w:type="pct"/>
            <w:tcBorders>
              <w:top w:val="single" w:sz="4" w:space="0" w:color="auto"/>
              <w:bottom w:val="single" w:sz="4" w:space="0" w:color="auto"/>
            </w:tcBorders>
            <w:shd w:val="clear" w:color="auto" w:fill="auto"/>
            <w:vAlign w:val="bottom"/>
          </w:tcPr>
          <w:p w14:paraId="3734B2C5" w14:textId="77777777" w:rsidR="002E608D" w:rsidRPr="002E608D" w:rsidRDefault="002E608D" w:rsidP="002E608D">
            <w:pPr>
              <w:pStyle w:val="Tabletext"/>
            </w:pPr>
            <w:r w:rsidRPr="002E608D">
              <w:t>7</w:t>
            </w:r>
            <w:r w:rsidR="00D7157D">
              <w:t>.</w:t>
            </w:r>
            <w:r w:rsidRPr="002E608D">
              <w:t>2465</w:t>
            </w:r>
          </w:p>
        </w:tc>
        <w:tc>
          <w:tcPr>
            <w:tcW w:w="966" w:type="pct"/>
            <w:tcBorders>
              <w:top w:val="single" w:sz="4" w:space="0" w:color="auto"/>
              <w:bottom w:val="single" w:sz="4" w:space="0" w:color="auto"/>
            </w:tcBorders>
            <w:shd w:val="clear" w:color="auto" w:fill="auto"/>
            <w:vAlign w:val="bottom"/>
          </w:tcPr>
          <w:p w14:paraId="7BBB0129" w14:textId="77777777" w:rsidR="002E608D" w:rsidRPr="002E608D" w:rsidRDefault="002E608D" w:rsidP="002E608D">
            <w:pPr>
              <w:pStyle w:val="Tabletext"/>
            </w:pPr>
            <w:r w:rsidRPr="002E608D">
              <w:t>42</w:t>
            </w:r>
            <w:r w:rsidR="00D7157D">
              <w:t>.</w:t>
            </w:r>
            <w:r w:rsidRPr="002E608D">
              <w:t>2685</w:t>
            </w:r>
          </w:p>
        </w:tc>
        <w:tc>
          <w:tcPr>
            <w:tcW w:w="966" w:type="pct"/>
            <w:tcBorders>
              <w:top w:val="single" w:sz="4" w:space="0" w:color="auto"/>
              <w:bottom w:val="single" w:sz="4" w:space="0" w:color="auto"/>
              <w:right w:val="nil"/>
            </w:tcBorders>
            <w:shd w:val="clear" w:color="auto" w:fill="auto"/>
            <w:vAlign w:val="bottom"/>
          </w:tcPr>
          <w:p w14:paraId="50287AAE" w14:textId="77777777" w:rsidR="002E608D" w:rsidRPr="002E608D" w:rsidRDefault="002E608D" w:rsidP="002E608D">
            <w:pPr>
              <w:pStyle w:val="Tabletext"/>
            </w:pPr>
            <w:r w:rsidRPr="002E608D">
              <w:t>3</w:t>
            </w:r>
            <w:r w:rsidR="00D7157D">
              <w:t>.</w:t>
            </w:r>
            <w:r w:rsidRPr="002E608D">
              <w:t>3690</w:t>
            </w:r>
          </w:p>
        </w:tc>
      </w:tr>
      <w:tr w:rsidR="002E608D" w:rsidRPr="002E608D" w14:paraId="73DB90F0" w14:textId="77777777" w:rsidTr="002E608D">
        <w:trPr>
          <w:cantSplit/>
        </w:trPr>
        <w:tc>
          <w:tcPr>
            <w:tcW w:w="1136" w:type="pct"/>
            <w:tcBorders>
              <w:top w:val="single" w:sz="4" w:space="0" w:color="auto"/>
              <w:bottom w:val="single" w:sz="4" w:space="0" w:color="auto"/>
            </w:tcBorders>
          </w:tcPr>
          <w:p w14:paraId="161B3454" w14:textId="77777777" w:rsidR="002E608D" w:rsidRPr="002E608D" w:rsidRDefault="002E608D" w:rsidP="002E608D">
            <w:pPr>
              <w:pStyle w:val="Tabletext"/>
            </w:pPr>
            <w:r w:rsidRPr="002E608D">
              <w:t>27</w:t>
            </w:r>
          </w:p>
        </w:tc>
        <w:tc>
          <w:tcPr>
            <w:tcW w:w="966" w:type="pct"/>
            <w:tcBorders>
              <w:top w:val="single" w:sz="4" w:space="0" w:color="auto"/>
              <w:bottom w:val="single" w:sz="4" w:space="0" w:color="auto"/>
            </w:tcBorders>
            <w:shd w:val="clear" w:color="auto" w:fill="auto"/>
            <w:vAlign w:val="bottom"/>
          </w:tcPr>
          <w:p w14:paraId="2CB34A04" w14:textId="77777777" w:rsidR="002E608D" w:rsidRPr="002E608D" w:rsidRDefault="002E608D" w:rsidP="002E608D">
            <w:pPr>
              <w:pStyle w:val="Tabletext"/>
            </w:pPr>
            <w:r w:rsidRPr="002E608D">
              <w:t>39</w:t>
            </w:r>
            <w:r w:rsidR="00D7157D">
              <w:t>.</w:t>
            </w:r>
            <w:r w:rsidRPr="002E608D">
              <w:t>0421</w:t>
            </w:r>
          </w:p>
        </w:tc>
        <w:tc>
          <w:tcPr>
            <w:tcW w:w="966" w:type="pct"/>
            <w:tcBorders>
              <w:top w:val="single" w:sz="4" w:space="0" w:color="auto"/>
              <w:bottom w:val="single" w:sz="4" w:space="0" w:color="auto"/>
            </w:tcBorders>
            <w:shd w:val="clear" w:color="auto" w:fill="auto"/>
            <w:vAlign w:val="bottom"/>
          </w:tcPr>
          <w:p w14:paraId="752B4A93" w14:textId="77777777" w:rsidR="002E608D" w:rsidRPr="002E608D" w:rsidRDefault="002E608D" w:rsidP="002E608D">
            <w:pPr>
              <w:pStyle w:val="Tabletext"/>
            </w:pPr>
            <w:r w:rsidRPr="002E608D">
              <w:t>7</w:t>
            </w:r>
            <w:r w:rsidR="00D7157D">
              <w:t>.</w:t>
            </w:r>
            <w:r w:rsidRPr="002E608D">
              <w:t>2581</w:t>
            </w:r>
          </w:p>
        </w:tc>
        <w:tc>
          <w:tcPr>
            <w:tcW w:w="966" w:type="pct"/>
            <w:tcBorders>
              <w:top w:val="single" w:sz="4" w:space="0" w:color="auto"/>
              <w:bottom w:val="single" w:sz="4" w:space="0" w:color="auto"/>
            </w:tcBorders>
            <w:shd w:val="clear" w:color="auto" w:fill="auto"/>
            <w:vAlign w:val="bottom"/>
          </w:tcPr>
          <w:p w14:paraId="18D8E26A" w14:textId="77777777" w:rsidR="002E608D" w:rsidRPr="002E608D" w:rsidRDefault="002E608D" w:rsidP="002E608D">
            <w:pPr>
              <w:pStyle w:val="Tabletext"/>
            </w:pPr>
            <w:r w:rsidRPr="002E608D">
              <w:t>41</w:t>
            </w:r>
            <w:r w:rsidR="00D7157D">
              <w:t>.</w:t>
            </w:r>
            <w:r w:rsidRPr="002E608D">
              <w:t>7199</w:t>
            </w:r>
          </w:p>
        </w:tc>
        <w:tc>
          <w:tcPr>
            <w:tcW w:w="966" w:type="pct"/>
            <w:tcBorders>
              <w:top w:val="single" w:sz="4" w:space="0" w:color="auto"/>
              <w:bottom w:val="single" w:sz="4" w:space="0" w:color="auto"/>
              <w:right w:val="nil"/>
            </w:tcBorders>
            <w:shd w:val="clear" w:color="auto" w:fill="auto"/>
            <w:vAlign w:val="bottom"/>
          </w:tcPr>
          <w:p w14:paraId="5372BD78" w14:textId="77777777" w:rsidR="002E608D" w:rsidRPr="002E608D" w:rsidRDefault="002E608D" w:rsidP="002E608D">
            <w:pPr>
              <w:pStyle w:val="Tabletext"/>
            </w:pPr>
            <w:r w:rsidRPr="002E608D">
              <w:t>3</w:t>
            </w:r>
            <w:r w:rsidR="00D7157D">
              <w:t>.</w:t>
            </w:r>
            <w:r w:rsidRPr="002E608D">
              <w:t>3704</w:t>
            </w:r>
          </w:p>
        </w:tc>
      </w:tr>
      <w:tr w:rsidR="002E608D" w:rsidRPr="002E608D" w14:paraId="3E4DCE9B" w14:textId="77777777" w:rsidTr="002E608D">
        <w:trPr>
          <w:cantSplit/>
        </w:trPr>
        <w:tc>
          <w:tcPr>
            <w:tcW w:w="1136" w:type="pct"/>
            <w:tcBorders>
              <w:top w:val="single" w:sz="4" w:space="0" w:color="auto"/>
              <w:bottom w:val="single" w:sz="4" w:space="0" w:color="auto"/>
            </w:tcBorders>
          </w:tcPr>
          <w:p w14:paraId="49543A0D" w14:textId="77777777" w:rsidR="002E608D" w:rsidRPr="002E608D" w:rsidRDefault="002E608D" w:rsidP="002E608D">
            <w:pPr>
              <w:pStyle w:val="Tabletext"/>
            </w:pPr>
            <w:r w:rsidRPr="002E608D">
              <w:t>28</w:t>
            </w:r>
          </w:p>
        </w:tc>
        <w:tc>
          <w:tcPr>
            <w:tcW w:w="966" w:type="pct"/>
            <w:tcBorders>
              <w:top w:val="single" w:sz="4" w:space="0" w:color="auto"/>
              <w:bottom w:val="single" w:sz="4" w:space="0" w:color="auto"/>
            </w:tcBorders>
            <w:shd w:val="clear" w:color="auto" w:fill="auto"/>
            <w:vAlign w:val="bottom"/>
          </w:tcPr>
          <w:p w14:paraId="3F43F018" w14:textId="77777777" w:rsidR="002E608D" w:rsidRPr="002E608D" w:rsidRDefault="002E608D" w:rsidP="002E608D">
            <w:pPr>
              <w:pStyle w:val="Tabletext"/>
            </w:pPr>
            <w:r w:rsidRPr="002E608D">
              <w:t>38</w:t>
            </w:r>
            <w:r w:rsidR="00D7157D">
              <w:t>.</w:t>
            </w:r>
            <w:r w:rsidRPr="002E608D">
              <w:t>4888</w:t>
            </w:r>
          </w:p>
        </w:tc>
        <w:tc>
          <w:tcPr>
            <w:tcW w:w="966" w:type="pct"/>
            <w:tcBorders>
              <w:top w:val="single" w:sz="4" w:space="0" w:color="auto"/>
              <w:bottom w:val="single" w:sz="4" w:space="0" w:color="auto"/>
            </w:tcBorders>
            <w:shd w:val="clear" w:color="auto" w:fill="auto"/>
            <w:vAlign w:val="bottom"/>
          </w:tcPr>
          <w:p w14:paraId="2C5EADB9" w14:textId="77777777" w:rsidR="002E608D" w:rsidRPr="002E608D" w:rsidRDefault="002E608D" w:rsidP="002E608D">
            <w:pPr>
              <w:pStyle w:val="Tabletext"/>
            </w:pPr>
            <w:r w:rsidRPr="002E608D">
              <w:t>7</w:t>
            </w:r>
            <w:r w:rsidR="00D7157D">
              <w:t>.</w:t>
            </w:r>
            <w:r w:rsidRPr="002E608D">
              <w:t>2705</w:t>
            </w:r>
          </w:p>
        </w:tc>
        <w:tc>
          <w:tcPr>
            <w:tcW w:w="966" w:type="pct"/>
            <w:tcBorders>
              <w:top w:val="single" w:sz="4" w:space="0" w:color="auto"/>
              <w:bottom w:val="single" w:sz="4" w:space="0" w:color="auto"/>
            </w:tcBorders>
            <w:shd w:val="clear" w:color="auto" w:fill="auto"/>
            <w:vAlign w:val="bottom"/>
          </w:tcPr>
          <w:p w14:paraId="473B665A" w14:textId="77777777" w:rsidR="002E608D" w:rsidRPr="002E608D" w:rsidRDefault="002E608D" w:rsidP="002E608D">
            <w:pPr>
              <w:pStyle w:val="Tabletext"/>
            </w:pPr>
            <w:r w:rsidRPr="002E608D">
              <w:t>41</w:t>
            </w:r>
            <w:r w:rsidR="00D7157D">
              <w:t>.</w:t>
            </w:r>
            <w:r w:rsidRPr="002E608D">
              <w:t>1654</w:t>
            </w:r>
          </w:p>
        </w:tc>
        <w:tc>
          <w:tcPr>
            <w:tcW w:w="966" w:type="pct"/>
            <w:tcBorders>
              <w:top w:val="single" w:sz="4" w:space="0" w:color="auto"/>
              <w:bottom w:val="single" w:sz="4" w:space="0" w:color="auto"/>
              <w:right w:val="nil"/>
            </w:tcBorders>
            <w:shd w:val="clear" w:color="auto" w:fill="auto"/>
            <w:vAlign w:val="bottom"/>
          </w:tcPr>
          <w:p w14:paraId="4CD263DC" w14:textId="77777777" w:rsidR="002E608D" w:rsidRPr="002E608D" w:rsidRDefault="002E608D" w:rsidP="002E608D">
            <w:pPr>
              <w:pStyle w:val="Tabletext"/>
            </w:pPr>
            <w:r w:rsidRPr="002E608D">
              <w:t>3</w:t>
            </w:r>
            <w:r w:rsidR="00D7157D">
              <w:t>.</w:t>
            </w:r>
            <w:r w:rsidRPr="002E608D">
              <w:t>3721</w:t>
            </w:r>
          </w:p>
        </w:tc>
      </w:tr>
      <w:tr w:rsidR="002E608D" w:rsidRPr="002E608D" w14:paraId="262E7F35" w14:textId="77777777" w:rsidTr="002E608D">
        <w:trPr>
          <w:cantSplit/>
        </w:trPr>
        <w:tc>
          <w:tcPr>
            <w:tcW w:w="1136" w:type="pct"/>
            <w:tcBorders>
              <w:top w:val="single" w:sz="4" w:space="0" w:color="auto"/>
              <w:bottom w:val="single" w:sz="4" w:space="0" w:color="auto"/>
            </w:tcBorders>
          </w:tcPr>
          <w:p w14:paraId="49FBE86D" w14:textId="77777777" w:rsidR="002E608D" w:rsidRPr="002E608D" w:rsidRDefault="002E608D" w:rsidP="002E608D">
            <w:pPr>
              <w:pStyle w:val="Tabletext"/>
            </w:pPr>
            <w:r w:rsidRPr="002E608D">
              <w:t>29</w:t>
            </w:r>
          </w:p>
        </w:tc>
        <w:tc>
          <w:tcPr>
            <w:tcW w:w="966" w:type="pct"/>
            <w:tcBorders>
              <w:top w:val="single" w:sz="4" w:space="0" w:color="auto"/>
              <w:bottom w:val="single" w:sz="4" w:space="0" w:color="auto"/>
            </w:tcBorders>
            <w:shd w:val="clear" w:color="auto" w:fill="auto"/>
            <w:vAlign w:val="bottom"/>
          </w:tcPr>
          <w:p w14:paraId="60106873" w14:textId="77777777" w:rsidR="002E608D" w:rsidRPr="002E608D" w:rsidRDefault="002E608D" w:rsidP="002E608D">
            <w:pPr>
              <w:pStyle w:val="Tabletext"/>
            </w:pPr>
            <w:r w:rsidRPr="002E608D">
              <w:t>37</w:t>
            </w:r>
            <w:r w:rsidR="00D7157D">
              <w:t>.</w:t>
            </w:r>
            <w:r w:rsidRPr="002E608D">
              <w:t>9290</w:t>
            </w:r>
          </w:p>
        </w:tc>
        <w:tc>
          <w:tcPr>
            <w:tcW w:w="966" w:type="pct"/>
            <w:tcBorders>
              <w:top w:val="single" w:sz="4" w:space="0" w:color="auto"/>
              <w:bottom w:val="single" w:sz="4" w:space="0" w:color="auto"/>
            </w:tcBorders>
            <w:shd w:val="clear" w:color="auto" w:fill="auto"/>
            <w:vAlign w:val="bottom"/>
          </w:tcPr>
          <w:p w14:paraId="7083EF39" w14:textId="77777777" w:rsidR="002E608D" w:rsidRPr="002E608D" w:rsidRDefault="002E608D" w:rsidP="002E608D">
            <w:pPr>
              <w:pStyle w:val="Tabletext"/>
            </w:pPr>
            <w:r w:rsidRPr="002E608D">
              <w:t>7</w:t>
            </w:r>
            <w:r w:rsidR="00D7157D">
              <w:t>.</w:t>
            </w:r>
            <w:r w:rsidRPr="002E608D">
              <w:t>2835</w:t>
            </w:r>
          </w:p>
        </w:tc>
        <w:tc>
          <w:tcPr>
            <w:tcW w:w="966" w:type="pct"/>
            <w:tcBorders>
              <w:top w:val="single" w:sz="4" w:space="0" w:color="auto"/>
              <w:bottom w:val="single" w:sz="4" w:space="0" w:color="auto"/>
            </w:tcBorders>
            <w:shd w:val="clear" w:color="auto" w:fill="auto"/>
            <w:vAlign w:val="bottom"/>
          </w:tcPr>
          <w:p w14:paraId="107D49AF" w14:textId="77777777" w:rsidR="002E608D" w:rsidRPr="002E608D" w:rsidRDefault="002E608D" w:rsidP="002E608D">
            <w:pPr>
              <w:pStyle w:val="Tabletext"/>
            </w:pPr>
            <w:r w:rsidRPr="002E608D">
              <w:t>40</w:t>
            </w:r>
            <w:r w:rsidR="00D7157D">
              <w:t>.</w:t>
            </w:r>
            <w:r w:rsidRPr="002E608D">
              <w:t>6050</w:t>
            </w:r>
          </w:p>
        </w:tc>
        <w:tc>
          <w:tcPr>
            <w:tcW w:w="966" w:type="pct"/>
            <w:tcBorders>
              <w:top w:val="single" w:sz="4" w:space="0" w:color="auto"/>
              <w:bottom w:val="single" w:sz="4" w:space="0" w:color="auto"/>
              <w:right w:val="nil"/>
            </w:tcBorders>
            <w:shd w:val="clear" w:color="auto" w:fill="auto"/>
            <w:vAlign w:val="bottom"/>
          </w:tcPr>
          <w:p w14:paraId="3180684F" w14:textId="77777777" w:rsidR="002E608D" w:rsidRPr="002E608D" w:rsidRDefault="002E608D" w:rsidP="002E608D">
            <w:pPr>
              <w:pStyle w:val="Tabletext"/>
            </w:pPr>
            <w:r w:rsidRPr="002E608D">
              <w:t>3</w:t>
            </w:r>
            <w:r w:rsidR="00D7157D">
              <w:t>.</w:t>
            </w:r>
            <w:r w:rsidRPr="002E608D">
              <w:t>3741</w:t>
            </w:r>
          </w:p>
        </w:tc>
      </w:tr>
      <w:tr w:rsidR="002E608D" w:rsidRPr="002E608D" w14:paraId="0A35BB79" w14:textId="77777777" w:rsidTr="002E608D">
        <w:trPr>
          <w:cantSplit/>
        </w:trPr>
        <w:tc>
          <w:tcPr>
            <w:tcW w:w="1136" w:type="pct"/>
            <w:tcBorders>
              <w:top w:val="single" w:sz="4" w:space="0" w:color="auto"/>
              <w:bottom w:val="single" w:sz="4" w:space="0" w:color="auto"/>
            </w:tcBorders>
          </w:tcPr>
          <w:p w14:paraId="60D2EC4B" w14:textId="77777777" w:rsidR="002E608D" w:rsidRPr="002E608D" w:rsidRDefault="002E608D" w:rsidP="002E608D">
            <w:pPr>
              <w:pStyle w:val="Tabletext"/>
            </w:pPr>
            <w:r w:rsidRPr="002E608D">
              <w:t>30</w:t>
            </w:r>
          </w:p>
        </w:tc>
        <w:tc>
          <w:tcPr>
            <w:tcW w:w="966" w:type="pct"/>
            <w:tcBorders>
              <w:top w:val="single" w:sz="4" w:space="0" w:color="auto"/>
              <w:bottom w:val="single" w:sz="4" w:space="0" w:color="auto"/>
            </w:tcBorders>
            <w:shd w:val="clear" w:color="auto" w:fill="auto"/>
            <w:vAlign w:val="bottom"/>
          </w:tcPr>
          <w:p w14:paraId="16BFE37F" w14:textId="77777777" w:rsidR="002E608D" w:rsidRPr="002E608D" w:rsidRDefault="002E608D" w:rsidP="002E608D">
            <w:pPr>
              <w:pStyle w:val="Tabletext"/>
            </w:pPr>
            <w:r w:rsidRPr="002E608D">
              <w:t>37</w:t>
            </w:r>
            <w:r w:rsidR="00D7157D">
              <w:t>.</w:t>
            </w:r>
            <w:r w:rsidRPr="002E608D">
              <w:t>3628</w:t>
            </w:r>
          </w:p>
        </w:tc>
        <w:tc>
          <w:tcPr>
            <w:tcW w:w="966" w:type="pct"/>
            <w:tcBorders>
              <w:top w:val="single" w:sz="4" w:space="0" w:color="auto"/>
              <w:bottom w:val="single" w:sz="4" w:space="0" w:color="auto"/>
            </w:tcBorders>
            <w:shd w:val="clear" w:color="auto" w:fill="auto"/>
            <w:vAlign w:val="bottom"/>
          </w:tcPr>
          <w:p w14:paraId="5A874857" w14:textId="77777777" w:rsidR="002E608D" w:rsidRPr="002E608D" w:rsidRDefault="002E608D" w:rsidP="002E608D">
            <w:pPr>
              <w:pStyle w:val="Tabletext"/>
            </w:pPr>
            <w:r w:rsidRPr="002E608D">
              <w:t>7</w:t>
            </w:r>
            <w:r w:rsidR="00D7157D">
              <w:t>.</w:t>
            </w:r>
            <w:r w:rsidRPr="002E608D">
              <w:t>2973</w:t>
            </w:r>
          </w:p>
        </w:tc>
        <w:tc>
          <w:tcPr>
            <w:tcW w:w="966" w:type="pct"/>
            <w:tcBorders>
              <w:top w:val="single" w:sz="4" w:space="0" w:color="auto"/>
              <w:bottom w:val="single" w:sz="4" w:space="0" w:color="auto"/>
            </w:tcBorders>
            <w:shd w:val="clear" w:color="auto" w:fill="auto"/>
            <w:vAlign w:val="bottom"/>
          </w:tcPr>
          <w:p w14:paraId="12EF1D35" w14:textId="77777777" w:rsidR="002E608D" w:rsidRPr="002E608D" w:rsidRDefault="002E608D" w:rsidP="002E608D">
            <w:pPr>
              <w:pStyle w:val="Tabletext"/>
            </w:pPr>
            <w:r w:rsidRPr="002E608D">
              <w:t>40</w:t>
            </w:r>
            <w:r w:rsidR="00D7157D">
              <w:t>.</w:t>
            </w:r>
            <w:r w:rsidRPr="002E608D">
              <w:t>0385</w:t>
            </w:r>
          </w:p>
        </w:tc>
        <w:tc>
          <w:tcPr>
            <w:tcW w:w="966" w:type="pct"/>
            <w:tcBorders>
              <w:top w:val="single" w:sz="4" w:space="0" w:color="auto"/>
              <w:bottom w:val="single" w:sz="4" w:space="0" w:color="auto"/>
              <w:right w:val="nil"/>
            </w:tcBorders>
            <w:shd w:val="clear" w:color="auto" w:fill="auto"/>
            <w:vAlign w:val="bottom"/>
          </w:tcPr>
          <w:p w14:paraId="7A40276F" w14:textId="77777777" w:rsidR="002E608D" w:rsidRPr="002E608D" w:rsidRDefault="002E608D" w:rsidP="002E608D">
            <w:pPr>
              <w:pStyle w:val="Tabletext"/>
            </w:pPr>
            <w:r w:rsidRPr="002E608D">
              <w:t>3</w:t>
            </w:r>
            <w:r w:rsidR="00D7157D">
              <w:t>.</w:t>
            </w:r>
            <w:r w:rsidRPr="002E608D">
              <w:t>3765</w:t>
            </w:r>
          </w:p>
        </w:tc>
      </w:tr>
      <w:tr w:rsidR="002E608D" w:rsidRPr="002E608D" w14:paraId="6F786B04" w14:textId="77777777" w:rsidTr="002E608D">
        <w:trPr>
          <w:cantSplit/>
        </w:trPr>
        <w:tc>
          <w:tcPr>
            <w:tcW w:w="1136" w:type="pct"/>
            <w:tcBorders>
              <w:top w:val="single" w:sz="4" w:space="0" w:color="auto"/>
              <w:bottom w:val="single" w:sz="4" w:space="0" w:color="auto"/>
            </w:tcBorders>
          </w:tcPr>
          <w:p w14:paraId="4A65C508" w14:textId="77777777" w:rsidR="002E608D" w:rsidRPr="002E608D" w:rsidRDefault="002E608D" w:rsidP="002E608D">
            <w:pPr>
              <w:pStyle w:val="Tabletext"/>
            </w:pPr>
            <w:r w:rsidRPr="002E608D">
              <w:t>31</w:t>
            </w:r>
          </w:p>
        </w:tc>
        <w:tc>
          <w:tcPr>
            <w:tcW w:w="966" w:type="pct"/>
            <w:tcBorders>
              <w:top w:val="single" w:sz="4" w:space="0" w:color="auto"/>
              <w:bottom w:val="single" w:sz="4" w:space="0" w:color="auto"/>
            </w:tcBorders>
            <w:shd w:val="clear" w:color="auto" w:fill="auto"/>
            <w:vAlign w:val="bottom"/>
          </w:tcPr>
          <w:p w14:paraId="3D44A6F6" w14:textId="77777777" w:rsidR="002E608D" w:rsidRPr="002E608D" w:rsidRDefault="002E608D" w:rsidP="002E608D">
            <w:pPr>
              <w:pStyle w:val="Tabletext"/>
            </w:pPr>
            <w:r w:rsidRPr="002E608D">
              <w:t>36</w:t>
            </w:r>
            <w:r w:rsidR="00D7157D">
              <w:t>.</w:t>
            </w:r>
            <w:r w:rsidRPr="002E608D">
              <w:t>7926</w:t>
            </w:r>
          </w:p>
        </w:tc>
        <w:tc>
          <w:tcPr>
            <w:tcW w:w="966" w:type="pct"/>
            <w:tcBorders>
              <w:top w:val="single" w:sz="4" w:space="0" w:color="auto"/>
              <w:bottom w:val="single" w:sz="4" w:space="0" w:color="auto"/>
            </w:tcBorders>
            <w:shd w:val="clear" w:color="auto" w:fill="auto"/>
            <w:vAlign w:val="bottom"/>
          </w:tcPr>
          <w:p w14:paraId="0DC60A28" w14:textId="77777777" w:rsidR="002E608D" w:rsidRPr="002E608D" w:rsidRDefault="002E608D" w:rsidP="002E608D">
            <w:pPr>
              <w:pStyle w:val="Tabletext"/>
            </w:pPr>
            <w:r w:rsidRPr="002E608D">
              <w:t>7</w:t>
            </w:r>
            <w:r w:rsidR="00D7157D">
              <w:t>.</w:t>
            </w:r>
            <w:r w:rsidRPr="002E608D">
              <w:t>3102</w:t>
            </w:r>
          </w:p>
        </w:tc>
        <w:tc>
          <w:tcPr>
            <w:tcW w:w="966" w:type="pct"/>
            <w:tcBorders>
              <w:top w:val="single" w:sz="4" w:space="0" w:color="auto"/>
              <w:bottom w:val="single" w:sz="4" w:space="0" w:color="auto"/>
            </w:tcBorders>
            <w:shd w:val="clear" w:color="auto" w:fill="auto"/>
            <w:vAlign w:val="bottom"/>
          </w:tcPr>
          <w:p w14:paraId="01804B65" w14:textId="77777777" w:rsidR="002E608D" w:rsidRPr="002E608D" w:rsidRDefault="002E608D" w:rsidP="002E608D">
            <w:pPr>
              <w:pStyle w:val="Tabletext"/>
            </w:pPr>
            <w:r w:rsidRPr="002E608D">
              <w:t>39</w:t>
            </w:r>
            <w:r w:rsidR="00D7157D">
              <w:t>.</w:t>
            </w:r>
            <w:r w:rsidRPr="002E608D">
              <w:t>4674</w:t>
            </w:r>
          </w:p>
        </w:tc>
        <w:tc>
          <w:tcPr>
            <w:tcW w:w="966" w:type="pct"/>
            <w:tcBorders>
              <w:top w:val="single" w:sz="4" w:space="0" w:color="auto"/>
              <w:bottom w:val="single" w:sz="4" w:space="0" w:color="auto"/>
              <w:right w:val="nil"/>
            </w:tcBorders>
            <w:shd w:val="clear" w:color="auto" w:fill="auto"/>
            <w:vAlign w:val="bottom"/>
          </w:tcPr>
          <w:p w14:paraId="31D91146" w14:textId="77777777" w:rsidR="002E608D" w:rsidRPr="002E608D" w:rsidRDefault="002E608D" w:rsidP="002E608D">
            <w:pPr>
              <w:pStyle w:val="Tabletext"/>
            </w:pPr>
            <w:r w:rsidRPr="002E608D">
              <w:t>3</w:t>
            </w:r>
            <w:r w:rsidR="00D7157D">
              <w:t>.</w:t>
            </w:r>
            <w:r w:rsidRPr="002E608D">
              <w:t>3786</w:t>
            </w:r>
          </w:p>
        </w:tc>
      </w:tr>
      <w:tr w:rsidR="002E608D" w:rsidRPr="002E608D" w14:paraId="1E26C054" w14:textId="77777777" w:rsidTr="002E608D">
        <w:trPr>
          <w:cantSplit/>
        </w:trPr>
        <w:tc>
          <w:tcPr>
            <w:tcW w:w="1136" w:type="pct"/>
            <w:tcBorders>
              <w:top w:val="single" w:sz="4" w:space="0" w:color="auto"/>
              <w:bottom w:val="single" w:sz="4" w:space="0" w:color="auto"/>
            </w:tcBorders>
          </w:tcPr>
          <w:p w14:paraId="79AE73D2" w14:textId="77777777" w:rsidR="002E608D" w:rsidRPr="002E608D" w:rsidRDefault="002E608D" w:rsidP="002E608D">
            <w:pPr>
              <w:pStyle w:val="Tabletext"/>
            </w:pPr>
            <w:r w:rsidRPr="002E608D">
              <w:t>32</w:t>
            </w:r>
          </w:p>
        </w:tc>
        <w:tc>
          <w:tcPr>
            <w:tcW w:w="966" w:type="pct"/>
            <w:tcBorders>
              <w:top w:val="single" w:sz="4" w:space="0" w:color="auto"/>
              <w:bottom w:val="single" w:sz="4" w:space="0" w:color="auto"/>
            </w:tcBorders>
            <w:shd w:val="clear" w:color="auto" w:fill="auto"/>
            <w:vAlign w:val="bottom"/>
          </w:tcPr>
          <w:p w14:paraId="349E2F28" w14:textId="77777777" w:rsidR="002E608D" w:rsidRPr="002E608D" w:rsidRDefault="002E608D" w:rsidP="002E608D">
            <w:pPr>
              <w:pStyle w:val="Tabletext"/>
            </w:pPr>
            <w:r w:rsidRPr="002E608D">
              <w:t>36</w:t>
            </w:r>
            <w:r w:rsidR="00D7157D">
              <w:t>.</w:t>
            </w:r>
            <w:r w:rsidRPr="002E608D">
              <w:t>2187</w:t>
            </w:r>
          </w:p>
        </w:tc>
        <w:tc>
          <w:tcPr>
            <w:tcW w:w="966" w:type="pct"/>
            <w:tcBorders>
              <w:top w:val="single" w:sz="4" w:space="0" w:color="auto"/>
              <w:bottom w:val="single" w:sz="4" w:space="0" w:color="auto"/>
            </w:tcBorders>
            <w:shd w:val="clear" w:color="auto" w:fill="auto"/>
            <w:vAlign w:val="bottom"/>
          </w:tcPr>
          <w:p w14:paraId="3383F2B7" w14:textId="77777777" w:rsidR="002E608D" w:rsidRPr="002E608D" w:rsidRDefault="002E608D" w:rsidP="002E608D">
            <w:pPr>
              <w:pStyle w:val="Tabletext"/>
            </w:pPr>
            <w:r w:rsidRPr="002E608D">
              <w:t>7</w:t>
            </w:r>
            <w:r w:rsidR="00D7157D">
              <w:t>.</w:t>
            </w:r>
            <w:r w:rsidRPr="002E608D">
              <w:t>3222</w:t>
            </w:r>
          </w:p>
        </w:tc>
        <w:tc>
          <w:tcPr>
            <w:tcW w:w="966" w:type="pct"/>
            <w:tcBorders>
              <w:top w:val="single" w:sz="4" w:space="0" w:color="auto"/>
              <w:bottom w:val="single" w:sz="4" w:space="0" w:color="auto"/>
            </w:tcBorders>
            <w:shd w:val="clear" w:color="auto" w:fill="auto"/>
            <w:vAlign w:val="bottom"/>
          </w:tcPr>
          <w:p w14:paraId="68032082" w14:textId="77777777" w:rsidR="002E608D" w:rsidRPr="002E608D" w:rsidRDefault="002E608D" w:rsidP="002E608D">
            <w:pPr>
              <w:pStyle w:val="Tabletext"/>
            </w:pPr>
            <w:r w:rsidRPr="002E608D">
              <w:t>38</w:t>
            </w:r>
            <w:r w:rsidR="00D7157D">
              <w:t>.</w:t>
            </w:r>
            <w:r w:rsidRPr="002E608D">
              <w:t>8921</w:t>
            </w:r>
          </w:p>
        </w:tc>
        <w:tc>
          <w:tcPr>
            <w:tcW w:w="966" w:type="pct"/>
            <w:tcBorders>
              <w:top w:val="single" w:sz="4" w:space="0" w:color="auto"/>
              <w:bottom w:val="single" w:sz="4" w:space="0" w:color="auto"/>
              <w:right w:val="nil"/>
            </w:tcBorders>
            <w:shd w:val="clear" w:color="auto" w:fill="auto"/>
            <w:vAlign w:val="bottom"/>
          </w:tcPr>
          <w:p w14:paraId="5B0306BF" w14:textId="77777777" w:rsidR="002E608D" w:rsidRPr="002E608D" w:rsidRDefault="002E608D" w:rsidP="002E608D">
            <w:pPr>
              <w:pStyle w:val="Tabletext"/>
            </w:pPr>
            <w:r w:rsidRPr="002E608D">
              <w:t>3</w:t>
            </w:r>
            <w:r w:rsidR="00D7157D">
              <w:t>.</w:t>
            </w:r>
            <w:r w:rsidRPr="002E608D">
              <w:t>3801</w:t>
            </w:r>
          </w:p>
        </w:tc>
      </w:tr>
      <w:tr w:rsidR="002E608D" w:rsidRPr="002E608D" w14:paraId="2EC7B078" w14:textId="77777777" w:rsidTr="002E608D">
        <w:trPr>
          <w:cantSplit/>
        </w:trPr>
        <w:tc>
          <w:tcPr>
            <w:tcW w:w="1136" w:type="pct"/>
            <w:tcBorders>
              <w:top w:val="single" w:sz="4" w:space="0" w:color="auto"/>
              <w:bottom w:val="single" w:sz="4" w:space="0" w:color="auto"/>
            </w:tcBorders>
          </w:tcPr>
          <w:p w14:paraId="4FAD226B" w14:textId="77777777" w:rsidR="002E608D" w:rsidRPr="002E608D" w:rsidRDefault="002E608D" w:rsidP="002E608D">
            <w:pPr>
              <w:pStyle w:val="Tabletext"/>
            </w:pPr>
            <w:r w:rsidRPr="002E608D">
              <w:t>33</w:t>
            </w:r>
          </w:p>
        </w:tc>
        <w:tc>
          <w:tcPr>
            <w:tcW w:w="966" w:type="pct"/>
            <w:tcBorders>
              <w:top w:val="single" w:sz="4" w:space="0" w:color="auto"/>
              <w:bottom w:val="single" w:sz="4" w:space="0" w:color="auto"/>
            </w:tcBorders>
            <w:shd w:val="clear" w:color="auto" w:fill="auto"/>
            <w:vAlign w:val="bottom"/>
          </w:tcPr>
          <w:p w14:paraId="400E3CC9" w14:textId="77777777" w:rsidR="002E608D" w:rsidRPr="002E608D" w:rsidRDefault="002E608D" w:rsidP="002E608D">
            <w:pPr>
              <w:pStyle w:val="Tabletext"/>
            </w:pPr>
            <w:r w:rsidRPr="002E608D">
              <w:t>35</w:t>
            </w:r>
            <w:r w:rsidR="00D7157D">
              <w:t>.</w:t>
            </w:r>
            <w:r w:rsidRPr="002E608D">
              <w:t>6409</w:t>
            </w:r>
          </w:p>
        </w:tc>
        <w:tc>
          <w:tcPr>
            <w:tcW w:w="966" w:type="pct"/>
            <w:tcBorders>
              <w:top w:val="single" w:sz="4" w:space="0" w:color="auto"/>
              <w:bottom w:val="single" w:sz="4" w:space="0" w:color="auto"/>
            </w:tcBorders>
            <w:shd w:val="clear" w:color="auto" w:fill="auto"/>
            <w:vAlign w:val="bottom"/>
          </w:tcPr>
          <w:p w14:paraId="7D3EC3A8" w14:textId="77777777" w:rsidR="002E608D" w:rsidRPr="002E608D" w:rsidRDefault="002E608D" w:rsidP="002E608D">
            <w:pPr>
              <w:pStyle w:val="Tabletext"/>
            </w:pPr>
            <w:r w:rsidRPr="002E608D">
              <w:t>7</w:t>
            </w:r>
            <w:r w:rsidR="00D7157D">
              <w:t>.</w:t>
            </w:r>
            <w:r w:rsidRPr="002E608D">
              <w:t>3333</w:t>
            </w:r>
          </w:p>
        </w:tc>
        <w:tc>
          <w:tcPr>
            <w:tcW w:w="966" w:type="pct"/>
            <w:tcBorders>
              <w:top w:val="single" w:sz="4" w:space="0" w:color="auto"/>
              <w:bottom w:val="single" w:sz="4" w:space="0" w:color="auto"/>
            </w:tcBorders>
            <w:shd w:val="clear" w:color="auto" w:fill="auto"/>
            <w:vAlign w:val="bottom"/>
          </w:tcPr>
          <w:p w14:paraId="6BE4FFA9" w14:textId="77777777" w:rsidR="002E608D" w:rsidRPr="002E608D" w:rsidRDefault="002E608D" w:rsidP="002E608D">
            <w:pPr>
              <w:pStyle w:val="Tabletext"/>
            </w:pPr>
            <w:r w:rsidRPr="002E608D">
              <w:t>38</w:t>
            </w:r>
            <w:r w:rsidR="00D7157D">
              <w:t>.</w:t>
            </w:r>
            <w:r w:rsidRPr="002E608D">
              <w:t>3125</w:t>
            </w:r>
          </w:p>
        </w:tc>
        <w:tc>
          <w:tcPr>
            <w:tcW w:w="966" w:type="pct"/>
            <w:tcBorders>
              <w:top w:val="single" w:sz="4" w:space="0" w:color="auto"/>
              <w:bottom w:val="single" w:sz="4" w:space="0" w:color="auto"/>
              <w:right w:val="nil"/>
            </w:tcBorders>
            <w:shd w:val="clear" w:color="auto" w:fill="auto"/>
            <w:vAlign w:val="bottom"/>
          </w:tcPr>
          <w:p w14:paraId="4B30EB82" w14:textId="77777777" w:rsidR="002E608D" w:rsidRPr="002E608D" w:rsidRDefault="002E608D" w:rsidP="002E608D">
            <w:pPr>
              <w:pStyle w:val="Tabletext"/>
            </w:pPr>
            <w:r w:rsidRPr="002E608D">
              <w:t>3</w:t>
            </w:r>
            <w:r w:rsidR="00D7157D">
              <w:t>.</w:t>
            </w:r>
            <w:r w:rsidRPr="002E608D">
              <w:t>3811</w:t>
            </w:r>
          </w:p>
        </w:tc>
      </w:tr>
      <w:tr w:rsidR="002E608D" w:rsidRPr="002E608D" w14:paraId="064A32B5" w14:textId="77777777" w:rsidTr="002E608D">
        <w:trPr>
          <w:cantSplit/>
        </w:trPr>
        <w:tc>
          <w:tcPr>
            <w:tcW w:w="1136" w:type="pct"/>
            <w:tcBorders>
              <w:top w:val="single" w:sz="4" w:space="0" w:color="auto"/>
              <w:bottom w:val="single" w:sz="4" w:space="0" w:color="auto"/>
            </w:tcBorders>
          </w:tcPr>
          <w:p w14:paraId="3DC9C80E" w14:textId="77777777" w:rsidR="002E608D" w:rsidRPr="002E608D" w:rsidRDefault="002E608D" w:rsidP="002E608D">
            <w:pPr>
              <w:pStyle w:val="Tabletext"/>
            </w:pPr>
            <w:r w:rsidRPr="002E608D">
              <w:t>34</w:t>
            </w:r>
          </w:p>
        </w:tc>
        <w:tc>
          <w:tcPr>
            <w:tcW w:w="966" w:type="pct"/>
            <w:tcBorders>
              <w:top w:val="single" w:sz="4" w:space="0" w:color="auto"/>
              <w:bottom w:val="single" w:sz="4" w:space="0" w:color="auto"/>
            </w:tcBorders>
            <w:shd w:val="clear" w:color="auto" w:fill="auto"/>
            <w:vAlign w:val="bottom"/>
          </w:tcPr>
          <w:p w14:paraId="010CA079" w14:textId="77777777" w:rsidR="002E608D" w:rsidRPr="002E608D" w:rsidRDefault="002E608D" w:rsidP="002E608D">
            <w:pPr>
              <w:pStyle w:val="Tabletext"/>
            </w:pPr>
            <w:r w:rsidRPr="002E608D">
              <w:t>35</w:t>
            </w:r>
            <w:r w:rsidR="00D7157D">
              <w:t>.</w:t>
            </w:r>
            <w:r w:rsidRPr="002E608D">
              <w:t>0592</w:t>
            </w:r>
          </w:p>
        </w:tc>
        <w:tc>
          <w:tcPr>
            <w:tcW w:w="966" w:type="pct"/>
            <w:tcBorders>
              <w:top w:val="single" w:sz="4" w:space="0" w:color="auto"/>
              <w:bottom w:val="single" w:sz="4" w:space="0" w:color="auto"/>
            </w:tcBorders>
            <w:shd w:val="clear" w:color="auto" w:fill="auto"/>
            <w:vAlign w:val="bottom"/>
          </w:tcPr>
          <w:p w14:paraId="5C74FE33" w14:textId="77777777" w:rsidR="002E608D" w:rsidRPr="002E608D" w:rsidRDefault="002E608D" w:rsidP="002E608D">
            <w:pPr>
              <w:pStyle w:val="Tabletext"/>
            </w:pPr>
            <w:r w:rsidRPr="002E608D">
              <w:t>7</w:t>
            </w:r>
            <w:r w:rsidR="00D7157D">
              <w:t>.</w:t>
            </w:r>
            <w:r w:rsidRPr="002E608D">
              <w:t>3436</w:t>
            </w:r>
          </w:p>
        </w:tc>
        <w:tc>
          <w:tcPr>
            <w:tcW w:w="966" w:type="pct"/>
            <w:tcBorders>
              <w:top w:val="single" w:sz="4" w:space="0" w:color="auto"/>
              <w:bottom w:val="single" w:sz="4" w:space="0" w:color="auto"/>
            </w:tcBorders>
            <w:shd w:val="clear" w:color="auto" w:fill="auto"/>
            <w:vAlign w:val="bottom"/>
          </w:tcPr>
          <w:p w14:paraId="0F48C5DF" w14:textId="77777777" w:rsidR="002E608D" w:rsidRPr="002E608D" w:rsidRDefault="002E608D" w:rsidP="002E608D">
            <w:pPr>
              <w:pStyle w:val="Tabletext"/>
            </w:pPr>
            <w:r w:rsidRPr="002E608D">
              <w:t>37</w:t>
            </w:r>
            <w:r w:rsidR="00D7157D">
              <w:t>.</w:t>
            </w:r>
            <w:r w:rsidRPr="002E608D">
              <w:t>7285</w:t>
            </w:r>
          </w:p>
        </w:tc>
        <w:tc>
          <w:tcPr>
            <w:tcW w:w="966" w:type="pct"/>
            <w:tcBorders>
              <w:top w:val="single" w:sz="4" w:space="0" w:color="auto"/>
              <w:bottom w:val="single" w:sz="4" w:space="0" w:color="auto"/>
              <w:right w:val="nil"/>
            </w:tcBorders>
            <w:shd w:val="clear" w:color="auto" w:fill="auto"/>
            <w:vAlign w:val="bottom"/>
          </w:tcPr>
          <w:p w14:paraId="75DBA4B2" w14:textId="77777777" w:rsidR="002E608D" w:rsidRPr="002E608D" w:rsidRDefault="002E608D" w:rsidP="002E608D">
            <w:pPr>
              <w:pStyle w:val="Tabletext"/>
            </w:pPr>
            <w:r w:rsidRPr="002E608D">
              <w:t>3</w:t>
            </w:r>
            <w:r w:rsidR="00D7157D">
              <w:t>.</w:t>
            </w:r>
            <w:r w:rsidRPr="002E608D">
              <w:t>3817</w:t>
            </w:r>
          </w:p>
        </w:tc>
      </w:tr>
      <w:tr w:rsidR="002E608D" w:rsidRPr="002E608D" w14:paraId="6B98668B" w14:textId="77777777" w:rsidTr="002E608D">
        <w:trPr>
          <w:cantSplit/>
        </w:trPr>
        <w:tc>
          <w:tcPr>
            <w:tcW w:w="1136" w:type="pct"/>
            <w:tcBorders>
              <w:top w:val="single" w:sz="4" w:space="0" w:color="auto"/>
              <w:bottom w:val="single" w:sz="4" w:space="0" w:color="auto"/>
            </w:tcBorders>
          </w:tcPr>
          <w:p w14:paraId="67880EE9" w14:textId="77777777" w:rsidR="002E608D" w:rsidRPr="002E608D" w:rsidRDefault="002E608D" w:rsidP="002E608D">
            <w:pPr>
              <w:pStyle w:val="Tabletext"/>
            </w:pPr>
            <w:r w:rsidRPr="002E608D">
              <w:t>35</w:t>
            </w:r>
          </w:p>
        </w:tc>
        <w:tc>
          <w:tcPr>
            <w:tcW w:w="966" w:type="pct"/>
            <w:tcBorders>
              <w:top w:val="single" w:sz="4" w:space="0" w:color="auto"/>
              <w:bottom w:val="single" w:sz="4" w:space="0" w:color="auto"/>
            </w:tcBorders>
            <w:shd w:val="clear" w:color="auto" w:fill="auto"/>
            <w:vAlign w:val="bottom"/>
          </w:tcPr>
          <w:p w14:paraId="69B0F395" w14:textId="77777777" w:rsidR="002E608D" w:rsidRPr="002E608D" w:rsidRDefault="002E608D" w:rsidP="002E608D">
            <w:pPr>
              <w:pStyle w:val="Tabletext"/>
            </w:pPr>
            <w:r w:rsidRPr="002E608D">
              <w:t>34</w:t>
            </w:r>
            <w:r w:rsidR="00D7157D">
              <w:t>.</w:t>
            </w:r>
            <w:r w:rsidRPr="002E608D">
              <w:t>4737</w:t>
            </w:r>
          </w:p>
        </w:tc>
        <w:tc>
          <w:tcPr>
            <w:tcW w:w="966" w:type="pct"/>
            <w:tcBorders>
              <w:top w:val="single" w:sz="4" w:space="0" w:color="auto"/>
              <w:bottom w:val="single" w:sz="4" w:space="0" w:color="auto"/>
            </w:tcBorders>
            <w:shd w:val="clear" w:color="auto" w:fill="auto"/>
            <w:vAlign w:val="bottom"/>
          </w:tcPr>
          <w:p w14:paraId="447D8D65" w14:textId="77777777" w:rsidR="002E608D" w:rsidRPr="002E608D" w:rsidRDefault="002E608D" w:rsidP="002E608D">
            <w:pPr>
              <w:pStyle w:val="Tabletext"/>
            </w:pPr>
            <w:r w:rsidRPr="002E608D">
              <w:t>7</w:t>
            </w:r>
            <w:r w:rsidR="00D7157D">
              <w:t>.</w:t>
            </w:r>
            <w:r w:rsidRPr="002E608D">
              <w:t>3528</w:t>
            </w:r>
          </w:p>
        </w:tc>
        <w:tc>
          <w:tcPr>
            <w:tcW w:w="966" w:type="pct"/>
            <w:tcBorders>
              <w:top w:val="single" w:sz="4" w:space="0" w:color="auto"/>
              <w:bottom w:val="single" w:sz="4" w:space="0" w:color="auto"/>
            </w:tcBorders>
            <w:shd w:val="clear" w:color="auto" w:fill="auto"/>
            <w:vAlign w:val="bottom"/>
          </w:tcPr>
          <w:p w14:paraId="1FA6359C" w14:textId="77777777" w:rsidR="002E608D" w:rsidRPr="002E608D" w:rsidRDefault="002E608D" w:rsidP="002E608D">
            <w:pPr>
              <w:pStyle w:val="Tabletext"/>
            </w:pPr>
            <w:r w:rsidRPr="002E608D">
              <w:t>37</w:t>
            </w:r>
            <w:r w:rsidR="00D7157D">
              <w:t>.</w:t>
            </w:r>
            <w:r w:rsidRPr="002E608D">
              <w:t>1403</w:t>
            </w:r>
          </w:p>
        </w:tc>
        <w:tc>
          <w:tcPr>
            <w:tcW w:w="966" w:type="pct"/>
            <w:tcBorders>
              <w:top w:val="single" w:sz="4" w:space="0" w:color="auto"/>
              <w:bottom w:val="single" w:sz="4" w:space="0" w:color="auto"/>
              <w:right w:val="nil"/>
            </w:tcBorders>
            <w:shd w:val="clear" w:color="auto" w:fill="auto"/>
            <w:vAlign w:val="bottom"/>
          </w:tcPr>
          <w:p w14:paraId="466353F3" w14:textId="77777777" w:rsidR="002E608D" w:rsidRPr="002E608D" w:rsidRDefault="002E608D" w:rsidP="002E608D">
            <w:pPr>
              <w:pStyle w:val="Tabletext"/>
            </w:pPr>
            <w:r w:rsidRPr="002E608D">
              <w:t>3</w:t>
            </w:r>
            <w:r w:rsidR="00D7157D">
              <w:t>.</w:t>
            </w:r>
            <w:r w:rsidRPr="002E608D">
              <w:t>3817</w:t>
            </w:r>
          </w:p>
        </w:tc>
      </w:tr>
      <w:tr w:rsidR="002E608D" w:rsidRPr="002E608D" w14:paraId="4605CBFE" w14:textId="77777777" w:rsidTr="002E608D">
        <w:trPr>
          <w:cantSplit/>
        </w:trPr>
        <w:tc>
          <w:tcPr>
            <w:tcW w:w="1136" w:type="pct"/>
            <w:tcBorders>
              <w:top w:val="single" w:sz="4" w:space="0" w:color="auto"/>
              <w:bottom w:val="single" w:sz="4" w:space="0" w:color="auto"/>
            </w:tcBorders>
          </w:tcPr>
          <w:p w14:paraId="50A2D775" w14:textId="77777777" w:rsidR="002E608D" w:rsidRPr="002E608D" w:rsidRDefault="002E608D" w:rsidP="002E608D">
            <w:pPr>
              <w:pStyle w:val="Tabletext"/>
            </w:pPr>
            <w:r w:rsidRPr="002E608D">
              <w:t>36</w:t>
            </w:r>
          </w:p>
        </w:tc>
        <w:tc>
          <w:tcPr>
            <w:tcW w:w="966" w:type="pct"/>
            <w:tcBorders>
              <w:top w:val="single" w:sz="4" w:space="0" w:color="auto"/>
              <w:bottom w:val="single" w:sz="4" w:space="0" w:color="auto"/>
            </w:tcBorders>
            <w:shd w:val="clear" w:color="auto" w:fill="auto"/>
            <w:vAlign w:val="bottom"/>
          </w:tcPr>
          <w:p w14:paraId="1230922D" w14:textId="77777777" w:rsidR="002E608D" w:rsidRPr="002E608D" w:rsidRDefault="002E608D" w:rsidP="002E608D">
            <w:pPr>
              <w:pStyle w:val="Tabletext"/>
            </w:pPr>
            <w:r w:rsidRPr="002E608D">
              <w:t>33</w:t>
            </w:r>
            <w:r w:rsidR="00D7157D">
              <w:t>.</w:t>
            </w:r>
            <w:r w:rsidRPr="002E608D">
              <w:t>8843</w:t>
            </w:r>
          </w:p>
        </w:tc>
        <w:tc>
          <w:tcPr>
            <w:tcW w:w="966" w:type="pct"/>
            <w:tcBorders>
              <w:top w:val="single" w:sz="4" w:space="0" w:color="auto"/>
              <w:bottom w:val="single" w:sz="4" w:space="0" w:color="auto"/>
            </w:tcBorders>
            <w:shd w:val="clear" w:color="auto" w:fill="auto"/>
            <w:vAlign w:val="bottom"/>
          </w:tcPr>
          <w:p w14:paraId="6C6486B0" w14:textId="77777777" w:rsidR="002E608D" w:rsidRPr="002E608D" w:rsidRDefault="002E608D" w:rsidP="002E608D">
            <w:pPr>
              <w:pStyle w:val="Tabletext"/>
            </w:pPr>
            <w:r w:rsidRPr="002E608D">
              <w:t>7</w:t>
            </w:r>
            <w:r w:rsidR="00D7157D">
              <w:t>.</w:t>
            </w:r>
            <w:r w:rsidRPr="002E608D">
              <w:t>3612</w:t>
            </w:r>
          </w:p>
        </w:tc>
        <w:tc>
          <w:tcPr>
            <w:tcW w:w="966" w:type="pct"/>
            <w:tcBorders>
              <w:top w:val="single" w:sz="4" w:space="0" w:color="auto"/>
              <w:bottom w:val="single" w:sz="4" w:space="0" w:color="auto"/>
            </w:tcBorders>
            <w:shd w:val="clear" w:color="auto" w:fill="auto"/>
            <w:vAlign w:val="bottom"/>
          </w:tcPr>
          <w:p w14:paraId="678FEC92" w14:textId="77777777" w:rsidR="002E608D" w:rsidRPr="002E608D" w:rsidRDefault="002E608D" w:rsidP="002E608D">
            <w:pPr>
              <w:pStyle w:val="Tabletext"/>
            </w:pPr>
            <w:r w:rsidRPr="002E608D">
              <w:t>36</w:t>
            </w:r>
            <w:r w:rsidR="00D7157D">
              <w:t>.</w:t>
            </w:r>
            <w:r w:rsidRPr="002E608D">
              <w:t>5475</w:t>
            </w:r>
          </w:p>
        </w:tc>
        <w:tc>
          <w:tcPr>
            <w:tcW w:w="966" w:type="pct"/>
            <w:tcBorders>
              <w:top w:val="single" w:sz="4" w:space="0" w:color="auto"/>
              <w:bottom w:val="single" w:sz="4" w:space="0" w:color="auto"/>
              <w:right w:val="nil"/>
            </w:tcBorders>
            <w:shd w:val="clear" w:color="auto" w:fill="auto"/>
            <w:vAlign w:val="bottom"/>
          </w:tcPr>
          <w:p w14:paraId="177386C4" w14:textId="77777777" w:rsidR="002E608D" w:rsidRPr="002E608D" w:rsidRDefault="002E608D" w:rsidP="002E608D">
            <w:pPr>
              <w:pStyle w:val="Tabletext"/>
            </w:pPr>
            <w:r w:rsidRPr="002E608D">
              <w:t>3</w:t>
            </w:r>
            <w:r w:rsidR="00D7157D">
              <w:t>.</w:t>
            </w:r>
            <w:r w:rsidRPr="002E608D">
              <w:t>3812</w:t>
            </w:r>
          </w:p>
        </w:tc>
      </w:tr>
      <w:tr w:rsidR="002E608D" w:rsidRPr="002E608D" w14:paraId="0A939090" w14:textId="77777777" w:rsidTr="002E608D">
        <w:trPr>
          <w:cantSplit/>
        </w:trPr>
        <w:tc>
          <w:tcPr>
            <w:tcW w:w="1136" w:type="pct"/>
            <w:tcBorders>
              <w:top w:val="single" w:sz="4" w:space="0" w:color="auto"/>
              <w:bottom w:val="single" w:sz="4" w:space="0" w:color="auto"/>
            </w:tcBorders>
          </w:tcPr>
          <w:p w14:paraId="676FB15A" w14:textId="77777777" w:rsidR="002E608D" w:rsidRPr="002E608D" w:rsidRDefault="002E608D" w:rsidP="002E608D">
            <w:pPr>
              <w:pStyle w:val="Tabletext"/>
            </w:pPr>
            <w:r w:rsidRPr="002E608D">
              <w:t>37</w:t>
            </w:r>
          </w:p>
        </w:tc>
        <w:tc>
          <w:tcPr>
            <w:tcW w:w="966" w:type="pct"/>
            <w:tcBorders>
              <w:top w:val="single" w:sz="4" w:space="0" w:color="auto"/>
              <w:bottom w:val="single" w:sz="4" w:space="0" w:color="auto"/>
            </w:tcBorders>
            <w:shd w:val="clear" w:color="auto" w:fill="auto"/>
            <w:vAlign w:val="bottom"/>
          </w:tcPr>
          <w:p w14:paraId="42F3C0FB" w14:textId="77777777" w:rsidR="002E608D" w:rsidRPr="002E608D" w:rsidRDefault="002E608D" w:rsidP="002E608D">
            <w:pPr>
              <w:pStyle w:val="Tabletext"/>
            </w:pPr>
            <w:r w:rsidRPr="002E608D">
              <w:t>33</w:t>
            </w:r>
            <w:r w:rsidR="00D7157D">
              <w:t>.</w:t>
            </w:r>
            <w:r w:rsidRPr="002E608D">
              <w:t>2912</w:t>
            </w:r>
          </w:p>
        </w:tc>
        <w:tc>
          <w:tcPr>
            <w:tcW w:w="966" w:type="pct"/>
            <w:tcBorders>
              <w:top w:val="single" w:sz="4" w:space="0" w:color="auto"/>
              <w:bottom w:val="single" w:sz="4" w:space="0" w:color="auto"/>
            </w:tcBorders>
            <w:shd w:val="clear" w:color="auto" w:fill="auto"/>
            <w:vAlign w:val="bottom"/>
          </w:tcPr>
          <w:p w14:paraId="1C3F3D9E" w14:textId="77777777" w:rsidR="002E608D" w:rsidRPr="002E608D" w:rsidRDefault="002E608D" w:rsidP="002E608D">
            <w:pPr>
              <w:pStyle w:val="Tabletext"/>
            </w:pPr>
            <w:r w:rsidRPr="002E608D">
              <w:t>7</w:t>
            </w:r>
            <w:r w:rsidR="00D7157D">
              <w:t>.</w:t>
            </w:r>
            <w:r w:rsidRPr="002E608D">
              <w:t>3684</w:t>
            </w:r>
          </w:p>
        </w:tc>
        <w:tc>
          <w:tcPr>
            <w:tcW w:w="966" w:type="pct"/>
            <w:tcBorders>
              <w:top w:val="single" w:sz="4" w:space="0" w:color="auto"/>
              <w:bottom w:val="single" w:sz="4" w:space="0" w:color="auto"/>
            </w:tcBorders>
            <w:shd w:val="clear" w:color="auto" w:fill="auto"/>
            <w:vAlign w:val="bottom"/>
          </w:tcPr>
          <w:p w14:paraId="412BA779" w14:textId="77777777" w:rsidR="002E608D" w:rsidRPr="002E608D" w:rsidRDefault="002E608D" w:rsidP="002E608D">
            <w:pPr>
              <w:pStyle w:val="Tabletext"/>
            </w:pPr>
            <w:r w:rsidRPr="002E608D">
              <w:t>35</w:t>
            </w:r>
            <w:r w:rsidR="00D7157D">
              <w:t>.</w:t>
            </w:r>
            <w:r w:rsidRPr="002E608D">
              <w:t>9502</w:t>
            </w:r>
          </w:p>
        </w:tc>
        <w:tc>
          <w:tcPr>
            <w:tcW w:w="966" w:type="pct"/>
            <w:tcBorders>
              <w:top w:val="single" w:sz="4" w:space="0" w:color="auto"/>
              <w:bottom w:val="single" w:sz="4" w:space="0" w:color="auto"/>
              <w:right w:val="nil"/>
            </w:tcBorders>
            <w:shd w:val="clear" w:color="auto" w:fill="auto"/>
            <w:vAlign w:val="bottom"/>
          </w:tcPr>
          <w:p w14:paraId="42C494F7" w14:textId="77777777" w:rsidR="002E608D" w:rsidRPr="002E608D" w:rsidRDefault="002E608D" w:rsidP="002E608D">
            <w:pPr>
              <w:pStyle w:val="Tabletext"/>
            </w:pPr>
            <w:r w:rsidRPr="002E608D">
              <w:t>3</w:t>
            </w:r>
            <w:r w:rsidR="00D7157D">
              <w:t>.</w:t>
            </w:r>
            <w:r w:rsidRPr="002E608D">
              <w:t>3803</w:t>
            </w:r>
          </w:p>
        </w:tc>
      </w:tr>
      <w:tr w:rsidR="002E608D" w:rsidRPr="002E608D" w14:paraId="4CF80C84" w14:textId="77777777" w:rsidTr="002E608D">
        <w:trPr>
          <w:cantSplit/>
        </w:trPr>
        <w:tc>
          <w:tcPr>
            <w:tcW w:w="1136" w:type="pct"/>
            <w:tcBorders>
              <w:top w:val="single" w:sz="4" w:space="0" w:color="auto"/>
              <w:bottom w:val="single" w:sz="4" w:space="0" w:color="auto"/>
            </w:tcBorders>
          </w:tcPr>
          <w:p w14:paraId="5A1DAD11" w14:textId="77777777" w:rsidR="002E608D" w:rsidRPr="002E608D" w:rsidRDefault="002E608D" w:rsidP="002E608D">
            <w:pPr>
              <w:pStyle w:val="Tabletext"/>
            </w:pPr>
            <w:r w:rsidRPr="002E608D">
              <w:t>38</w:t>
            </w:r>
          </w:p>
        </w:tc>
        <w:tc>
          <w:tcPr>
            <w:tcW w:w="966" w:type="pct"/>
            <w:tcBorders>
              <w:top w:val="single" w:sz="4" w:space="0" w:color="auto"/>
              <w:bottom w:val="single" w:sz="4" w:space="0" w:color="auto"/>
            </w:tcBorders>
            <w:shd w:val="clear" w:color="auto" w:fill="auto"/>
            <w:vAlign w:val="bottom"/>
          </w:tcPr>
          <w:p w14:paraId="3F854D54" w14:textId="77777777" w:rsidR="002E608D" w:rsidRPr="002E608D" w:rsidRDefault="002E608D" w:rsidP="002E608D">
            <w:pPr>
              <w:pStyle w:val="Tabletext"/>
            </w:pPr>
            <w:r w:rsidRPr="002E608D">
              <w:t>32</w:t>
            </w:r>
            <w:r w:rsidR="00D7157D">
              <w:t>.</w:t>
            </w:r>
            <w:r w:rsidRPr="002E608D">
              <w:t>6941</w:t>
            </w:r>
          </w:p>
        </w:tc>
        <w:tc>
          <w:tcPr>
            <w:tcW w:w="966" w:type="pct"/>
            <w:tcBorders>
              <w:top w:val="single" w:sz="4" w:space="0" w:color="auto"/>
              <w:bottom w:val="single" w:sz="4" w:space="0" w:color="auto"/>
            </w:tcBorders>
            <w:shd w:val="clear" w:color="auto" w:fill="auto"/>
            <w:vAlign w:val="bottom"/>
          </w:tcPr>
          <w:p w14:paraId="77F4556C" w14:textId="77777777" w:rsidR="002E608D" w:rsidRPr="002E608D" w:rsidRDefault="002E608D" w:rsidP="002E608D">
            <w:pPr>
              <w:pStyle w:val="Tabletext"/>
            </w:pPr>
            <w:r w:rsidRPr="002E608D">
              <w:t>7</w:t>
            </w:r>
            <w:r w:rsidR="00D7157D">
              <w:t>.</w:t>
            </w:r>
            <w:r w:rsidRPr="002E608D">
              <w:t>3747</w:t>
            </w:r>
          </w:p>
        </w:tc>
        <w:tc>
          <w:tcPr>
            <w:tcW w:w="966" w:type="pct"/>
            <w:tcBorders>
              <w:top w:val="single" w:sz="4" w:space="0" w:color="auto"/>
              <w:bottom w:val="single" w:sz="4" w:space="0" w:color="auto"/>
            </w:tcBorders>
            <w:shd w:val="clear" w:color="auto" w:fill="auto"/>
            <w:vAlign w:val="bottom"/>
          </w:tcPr>
          <w:p w14:paraId="737DFC21" w14:textId="77777777" w:rsidR="002E608D" w:rsidRPr="002E608D" w:rsidRDefault="002E608D" w:rsidP="002E608D">
            <w:pPr>
              <w:pStyle w:val="Tabletext"/>
            </w:pPr>
            <w:r w:rsidRPr="002E608D">
              <w:t>35</w:t>
            </w:r>
            <w:r w:rsidR="00D7157D">
              <w:t>.</w:t>
            </w:r>
            <w:r w:rsidRPr="002E608D">
              <w:t>3488</w:t>
            </w:r>
          </w:p>
        </w:tc>
        <w:tc>
          <w:tcPr>
            <w:tcW w:w="966" w:type="pct"/>
            <w:tcBorders>
              <w:top w:val="single" w:sz="4" w:space="0" w:color="auto"/>
              <w:bottom w:val="single" w:sz="4" w:space="0" w:color="auto"/>
              <w:right w:val="nil"/>
            </w:tcBorders>
            <w:shd w:val="clear" w:color="auto" w:fill="auto"/>
            <w:vAlign w:val="bottom"/>
          </w:tcPr>
          <w:p w14:paraId="433E6D68" w14:textId="77777777" w:rsidR="002E608D" w:rsidRPr="002E608D" w:rsidRDefault="002E608D" w:rsidP="002E608D">
            <w:pPr>
              <w:pStyle w:val="Tabletext"/>
            </w:pPr>
            <w:r w:rsidRPr="002E608D">
              <w:t>3</w:t>
            </w:r>
            <w:r w:rsidR="00D7157D">
              <w:t>.</w:t>
            </w:r>
            <w:r w:rsidRPr="002E608D">
              <w:t>3787</w:t>
            </w:r>
          </w:p>
        </w:tc>
      </w:tr>
      <w:tr w:rsidR="002E608D" w:rsidRPr="002E608D" w14:paraId="65DF17CD" w14:textId="77777777" w:rsidTr="002E608D">
        <w:trPr>
          <w:cantSplit/>
        </w:trPr>
        <w:tc>
          <w:tcPr>
            <w:tcW w:w="1136" w:type="pct"/>
            <w:tcBorders>
              <w:top w:val="single" w:sz="4" w:space="0" w:color="auto"/>
              <w:bottom w:val="single" w:sz="4" w:space="0" w:color="auto"/>
            </w:tcBorders>
          </w:tcPr>
          <w:p w14:paraId="630506B5" w14:textId="77777777" w:rsidR="002E608D" w:rsidRPr="002E608D" w:rsidRDefault="002E608D" w:rsidP="002E608D">
            <w:pPr>
              <w:pStyle w:val="Tabletext"/>
            </w:pPr>
            <w:r w:rsidRPr="002E608D">
              <w:t>39</w:t>
            </w:r>
          </w:p>
        </w:tc>
        <w:tc>
          <w:tcPr>
            <w:tcW w:w="966" w:type="pct"/>
            <w:tcBorders>
              <w:top w:val="single" w:sz="4" w:space="0" w:color="auto"/>
              <w:bottom w:val="single" w:sz="4" w:space="0" w:color="auto"/>
            </w:tcBorders>
            <w:shd w:val="clear" w:color="auto" w:fill="auto"/>
            <w:vAlign w:val="bottom"/>
          </w:tcPr>
          <w:p w14:paraId="52DF3707" w14:textId="77777777" w:rsidR="002E608D" w:rsidRPr="002E608D" w:rsidRDefault="002E608D" w:rsidP="002E608D">
            <w:pPr>
              <w:pStyle w:val="Tabletext"/>
            </w:pPr>
            <w:r w:rsidRPr="002E608D">
              <w:t>32</w:t>
            </w:r>
            <w:r w:rsidR="00D7157D">
              <w:t>.</w:t>
            </w:r>
            <w:r w:rsidRPr="002E608D">
              <w:t>0933</w:t>
            </w:r>
          </w:p>
        </w:tc>
        <w:tc>
          <w:tcPr>
            <w:tcW w:w="966" w:type="pct"/>
            <w:tcBorders>
              <w:top w:val="single" w:sz="4" w:space="0" w:color="auto"/>
              <w:bottom w:val="single" w:sz="4" w:space="0" w:color="auto"/>
            </w:tcBorders>
            <w:shd w:val="clear" w:color="auto" w:fill="auto"/>
            <w:vAlign w:val="bottom"/>
          </w:tcPr>
          <w:p w14:paraId="584EE940" w14:textId="77777777" w:rsidR="002E608D" w:rsidRPr="002E608D" w:rsidRDefault="002E608D" w:rsidP="002E608D">
            <w:pPr>
              <w:pStyle w:val="Tabletext"/>
            </w:pPr>
            <w:r w:rsidRPr="002E608D">
              <w:t>7</w:t>
            </w:r>
            <w:r w:rsidR="00D7157D">
              <w:t>.</w:t>
            </w:r>
            <w:r w:rsidRPr="002E608D">
              <w:t>3798</w:t>
            </w:r>
          </w:p>
        </w:tc>
        <w:tc>
          <w:tcPr>
            <w:tcW w:w="966" w:type="pct"/>
            <w:tcBorders>
              <w:top w:val="single" w:sz="4" w:space="0" w:color="auto"/>
              <w:bottom w:val="single" w:sz="4" w:space="0" w:color="auto"/>
            </w:tcBorders>
            <w:shd w:val="clear" w:color="auto" w:fill="auto"/>
            <w:vAlign w:val="bottom"/>
          </w:tcPr>
          <w:p w14:paraId="665710B1" w14:textId="77777777" w:rsidR="002E608D" w:rsidRPr="002E608D" w:rsidRDefault="002E608D" w:rsidP="002E608D">
            <w:pPr>
              <w:pStyle w:val="Tabletext"/>
            </w:pPr>
            <w:r w:rsidRPr="002E608D">
              <w:t>34</w:t>
            </w:r>
            <w:r w:rsidR="00D7157D">
              <w:t>.</w:t>
            </w:r>
            <w:r w:rsidRPr="002E608D">
              <w:t>7431</w:t>
            </w:r>
          </w:p>
        </w:tc>
        <w:tc>
          <w:tcPr>
            <w:tcW w:w="966" w:type="pct"/>
            <w:tcBorders>
              <w:top w:val="single" w:sz="4" w:space="0" w:color="auto"/>
              <w:bottom w:val="single" w:sz="4" w:space="0" w:color="auto"/>
              <w:right w:val="nil"/>
            </w:tcBorders>
            <w:shd w:val="clear" w:color="auto" w:fill="auto"/>
            <w:vAlign w:val="bottom"/>
          </w:tcPr>
          <w:p w14:paraId="35284B57" w14:textId="77777777" w:rsidR="002E608D" w:rsidRPr="002E608D" w:rsidRDefault="002E608D" w:rsidP="002E608D">
            <w:pPr>
              <w:pStyle w:val="Tabletext"/>
            </w:pPr>
            <w:r w:rsidRPr="002E608D">
              <w:t>3</w:t>
            </w:r>
            <w:r w:rsidR="00D7157D">
              <w:t>.</w:t>
            </w:r>
            <w:r w:rsidRPr="002E608D">
              <w:t>3764</w:t>
            </w:r>
          </w:p>
        </w:tc>
      </w:tr>
      <w:tr w:rsidR="002E608D" w:rsidRPr="002E608D" w14:paraId="62516F72" w14:textId="77777777" w:rsidTr="002E608D">
        <w:trPr>
          <w:cantSplit/>
        </w:trPr>
        <w:tc>
          <w:tcPr>
            <w:tcW w:w="1136" w:type="pct"/>
            <w:tcBorders>
              <w:top w:val="single" w:sz="4" w:space="0" w:color="auto"/>
              <w:bottom w:val="single" w:sz="4" w:space="0" w:color="auto"/>
            </w:tcBorders>
          </w:tcPr>
          <w:p w14:paraId="3AA11373" w14:textId="77777777" w:rsidR="002E608D" w:rsidRPr="002E608D" w:rsidRDefault="002E608D" w:rsidP="002E608D">
            <w:pPr>
              <w:pStyle w:val="Tabletext"/>
            </w:pPr>
            <w:r w:rsidRPr="002E608D">
              <w:t>40</w:t>
            </w:r>
          </w:p>
        </w:tc>
        <w:tc>
          <w:tcPr>
            <w:tcW w:w="966" w:type="pct"/>
            <w:tcBorders>
              <w:top w:val="single" w:sz="4" w:space="0" w:color="auto"/>
              <w:bottom w:val="single" w:sz="4" w:space="0" w:color="auto"/>
            </w:tcBorders>
            <w:shd w:val="clear" w:color="auto" w:fill="auto"/>
            <w:vAlign w:val="bottom"/>
          </w:tcPr>
          <w:p w14:paraId="507405E8" w14:textId="77777777" w:rsidR="002E608D" w:rsidRPr="002E608D" w:rsidRDefault="002E608D" w:rsidP="002E608D">
            <w:pPr>
              <w:pStyle w:val="Tabletext"/>
            </w:pPr>
            <w:r w:rsidRPr="002E608D">
              <w:t>31</w:t>
            </w:r>
            <w:r w:rsidR="00D7157D">
              <w:t>.</w:t>
            </w:r>
            <w:r w:rsidRPr="002E608D">
              <w:t>4889</w:t>
            </w:r>
          </w:p>
        </w:tc>
        <w:tc>
          <w:tcPr>
            <w:tcW w:w="966" w:type="pct"/>
            <w:tcBorders>
              <w:top w:val="single" w:sz="4" w:space="0" w:color="auto"/>
              <w:bottom w:val="single" w:sz="4" w:space="0" w:color="auto"/>
            </w:tcBorders>
            <w:shd w:val="clear" w:color="auto" w:fill="auto"/>
            <w:vAlign w:val="bottom"/>
          </w:tcPr>
          <w:p w14:paraId="0E137B0A" w14:textId="77777777" w:rsidR="002E608D" w:rsidRPr="002E608D" w:rsidRDefault="002E608D" w:rsidP="002E608D">
            <w:pPr>
              <w:pStyle w:val="Tabletext"/>
            </w:pPr>
            <w:r w:rsidRPr="002E608D">
              <w:t>7</w:t>
            </w:r>
            <w:r w:rsidR="00D7157D">
              <w:t>.</w:t>
            </w:r>
            <w:r w:rsidRPr="002E608D">
              <w:t>3838</w:t>
            </w:r>
          </w:p>
        </w:tc>
        <w:tc>
          <w:tcPr>
            <w:tcW w:w="966" w:type="pct"/>
            <w:tcBorders>
              <w:top w:val="single" w:sz="4" w:space="0" w:color="auto"/>
              <w:bottom w:val="single" w:sz="4" w:space="0" w:color="auto"/>
            </w:tcBorders>
            <w:shd w:val="clear" w:color="auto" w:fill="auto"/>
            <w:vAlign w:val="bottom"/>
          </w:tcPr>
          <w:p w14:paraId="1C63D560" w14:textId="77777777" w:rsidR="002E608D" w:rsidRPr="002E608D" w:rsidRDefault="002E608D" w:rsidP="002E608D">
            <w:pPr>
              <w:pStyle w:val="Tabletext"/>
            </w:pPr>
            <w:r w:rsidRPr="002E608D">
              <w:t>34</w:t>
            </w:r>
            <w:r w:rsidR="00D7157D">
              <w:t>.</w:t>
            </w:r>
            <w:r w:rsidRPr="002E608D">
              <w:t>1330</w:t>
            </w:r>
          </w:p>
        </w:tc>
        <w:tc>
          <w:tcPr>
            <w:tcW w:w="966" w:type="pct"/>
            <w:tcBorders>
              <w:top w:val="single" w:sz="4" w:space="0" w:color="auto"/>
              <w:bottom w:val="single" w:sz="4" w:space="0" w:color="auto"/>
              <w:right w:val="nil"/>
            </w:tcBorders>
            <w:shd w:val="clear" w:color="auto" w:fill="auto"/>
            <w:vAlign w:val="bottom"/>
          </w:tcPr>
          <w:p w14:paraId="3CFD73D4" w14:textId="77777777" w:rsidR="002E608D" w:rsidRPr="002E608D" w:rsidRDefault="002E608D" w:rsidP="002E608D">
            <w:pPr>
              <w:pStyle w:val="Tabletext"/>
            </w:pPr>
            <w:r w:rsidRPr="002E608D">
              <w:t>3</w:t>
            </w:r>
            <w:r w:rsidR="00D7157D">
              <w:t>.</w:t>
            </w:r>
            <w:r w:rsidRPr="002E608D">
              <w:t>3736</w:t>
            </w:r>
          </w:p>
        </w:tc>
      </w:tr>
      <w:tr w:rsidR="002E608D" w:rsidRPr="002E608D" w14:paraId="61AEFE67" w14:textId="77777777" w:rsidTr="002E608D">
        <w:trPr>
          <w:cantSplit/>
        </w:trPr>
        <w:tc>
          <w:tcPr>
            <w:tcW w:w="1136" w:type="pct"/>
            <w:tcBorders>
              <w:top w:val="single" w:sz="4" w:space="0" w:color="auto"/>
              <w:bottom w:val="single" w:sz="4" w:space="0" w:color="auto"/>
            </w:tcBorders>
          </w:tcPr>
          <w:p w14:paraId="692D43AD" w14:textId="77777777" w:rsidR="002E608D" w:rsidRPr="002E608D" w:rsidRDefault="002E608D" w:rsidP="002E608D">
            <w:pPr>
              <w:pStyle w:val="Tabletext"/>
            </w:pPr>
            <w:r w:rsidRPr="002E608D">
              <w:t>41</w:t>
            </w:r>
          </w:p>
        </w:tc>
        <w:tc>
          <w:tcPr>
            <w:tcW w:w="966" w:type="pct"/>
            <w:tcBorders>
              <w:top w:val="single" w:sz="4" w:space="0" w:color="auto"/>
              <w:bottom w:val="single" w:sz="4" w:space="0" w:color="auto"/>
            </w:tcBorders>
            <w:shd w:val="clear" w:color="auto" w:fill="auto"/>
            <w:vAlign w:val="bottom"/>
          </w:tcPr>
          <w:p w14:paraId="088A26D5" w14:textId="77777777" w:rsidR="002E608D" w:rsidRPr="002E608D" w:rsidRDefault="002E608D" w:rsidP="002E608D">
            <w:pPr>
              <w:pStyle w:val="Tabletext"/>
            </w:pPr>
            <w:r w:rsidRPr="002E608D">
              <w:t>30</w:t>
            </w:r>
            <w:r w:rsidR="00D7157D">
              <w:t>.</w:t>
            </w:r>
            <w:r w:rsidRPr="002E608D">
              <w:t>8811</w:t>
            </w:r>
          </w:p>
        </w:tc>
        <w:tc>
          <w:tcPr>
            <w:tcW w:w="966" w:type="pct"/>
            <w:tcBorders>
              <w:top w:val="single" w:sz="4" w:space="0" w:color="auto"/>
              <w:bottom w:val="single" w:sz="4" w:space="0" w:color="auto"/>
            </w:tcBorders>
            <w:shd w:val="clear" w:color="auto" w:fill="auto"/>
            <w:vAlign w:val="bottom"/>
          </w:tcPr>
          <w:p w14:paraId="37006AD5" w14:textId="77777777" w:rsidR="002E608D" w:rsidRPr="002E608D" w:rsidRDefault="002E608D" w:rsidP="002E608D">
            <w:pPr>
              <w:pStyle w:val="Tabletext"/>
            </w:pPr>
            <w:r w:rsidRPr="002E608D">
              <w:t>7</w:t>
            </w:r>
            <w:r w:rsidR="00D7157D">
              <w:t>.</w:t>
            </w:r>
            <w:r w:rsidRPr="002E608D">
              <w:t>1401</w:t>
            </w:r>
          </w:p>
        </w:tc>
        <w:tc>
          <w:tcPr>
            <w:tcW w:w="966" w:type="pct"/>
            <w:tcBorders>
              <w:top w:val="single" w:sz="4" w:space="0" w:color="auto"/>
              <w:bottom w:val="single" w:sz="4" w:space="0" w:color="auto"/>
            </w:tcBorders>
            <w:shd w:val="clear" w:color="auto" w:fill="auto"/>
            <w:vAlign w:val="bottom"/>
          </w:tcPr>
          <w:p w14:paraId="260F42B9" w14:textId="77777777" w:rsidR="002E608D" w:rsidRPr="002E608D" w:rsidRDefault="002E608D" w:rsidP="002E608D">
            <w:pPr>
              <w:pStyle w:val="Tabletext"/>
            </w:pPr>
            <w:r w:rsidRPr="002E608D">
              <w:t>33</w:t>
            </w:r>
            <w:r w:rsidR="00D7157D">
              <w:t>.</w:t>
            </w:r>
            <w:r w:rsidRPr="002E608D">
              <w:t>5187</w:t>
            </w:r>
          </w:p>
        </w:tc>
        <w:tc>
          <w:tcPr>
            <w:tcW w:w="966" w:type="pct"/>
            <w:tcBorders>
              <w:top w:val="single" w:sz="4" w:space="0" w:color="auto"/>
              <w:bottom w:val="single" w:sz="4" w:space="0" w:color="auto"/>
              <w:right w:val="nil"/>
            </w:tcBorders>
            <w:shd w:val="clear" w:color="auto" w:fill="auto"/>
            <w:vAlign w:val="bottom"/>
          </w:tcPr>
          <w:p w14:paraId="327F88C7" w14:textId="77777777" w:rsidR="002E608D" w:rsidRPr="002E608D" w:rsidRDefault="002E608D" w:rsidP="002E608D">
            <w:pPr>
              <w:pStyle w:val="Tabletext"/>
            </w:pPr>
            <w:r w:rsidRPr="002E608D">
              <w:t>3</w:t>
            </w:r>
            <w:r w:rsidR="00D7157D">
              <w:t>.</w:t>
            </w:r>
            <w:r w:rsidRPr="002E608D">
              <w:t>1679</w:t>
            </w:r>
          </w:p>
        </w:tc>
      </w:tr>
      <w:tr w:rsidR="002E608D" w:rsidRPr="002E608D" w14:paraId="1672D2A6" w14:textId="77777777" w:rsidTr="002E608D">
        <w:trPr>
          <w:cantSplit/>
        </w:trPr>
        <w:tc>
          <w:tcPr>
            <w:tcW w:w="1136" w:type="pct"/>
            <w:tcBorders>
              <w:top w:val="single" w:sz="4" w:space="0" w:color="auto"/>
              <w:bottom w:val="single" w:sz="4" w:space="0" w:color="auto"/>
            </w:tcBorders>
          </w:tcPr>
          <w:p w14:paraId="11629388" w14:textId="77777777" w:rsidR="002E608D" w:rsidRPr="002E608D" w:rsidRDefault="002E608D" w:rsidP="002E608D">
            <w:pPr>
              <w:pStyle w:val="Tabletext"/>
            </w:pPr>
            <w:r w:rsidRPr="002E608D">
              <w:t>42</w:t>
            </w:r>
          </w:p>
        </w:tc>
        <w:tc>
          <w:tcPr>
            <w:tcW w:w="966" w:type="pct"/>
            <w:tcBorders>
              <w:top w:val="single" w:sz="4" w:space="0" w:color="auto"/>
              <w:bottom w:val="single" w:sz="4" w:space="0" w:color="auto"/>
            </w:tcBorders>
            <w:shd w:val="clear" w:color="auto" w:fill="auto"/>
            <w:vAlign w:val="bottom"/>
          </w:tcPr>
          <w:p w14:paraId="0DC28148" w14:textId="77777777" w:rsidR="002E608D" w:rsidRPr="002E608D" w:rsidRDefault="002E608D" w:rsidP="002E608D">
            <w:pPr>
              <w:pStyle w:val="Tabletext"/>
            </w:pPr>
            <w:r w:rsidRPr="002E608D">
              <w:t>30</w:t>
            </w:r>
            <w:r w:rsidR="00D7157D">
              <w:t>.</w:t>
            </w:r>
            <w:r w:rsidRPr="002E608D">
              <w:t>2699</w:t>
            </w:r>
          </w:p>
        </w:tc>
        <w:tc>
          <w:tcPr>
            <w:tcW w:w="966" w:type="pct"/>
            <w:tcBorders>
              <w:top w:val="single" w:sz="4" w:space="0" w:color="auto"/>
              <w:bottom w:val="single" w:sz="4" w:space="0" w:color="auto"/>
            </w:tcBorders>
            <w:shd w:val="clear" w:color="auto" w:fill="auto"/>
            <w:vAlign w:val="bottom"/>
          </w:tcPr>
          <w:p w14:paraId="79E65575" w14:textId="77777777" w:rsidR="002E608D" w:rsidRPr="002E608D" w:rsidRDefault="002E608D" w:rsidP="002E608D">
            <w:pPr>
              <w:pStyle w:val="Tabletext"/>
            </w:pPr>
            <w:r w:rsidRPr="002E608D">
              <w:t>6</w:t>
            </w:r>
            <w:r w:rsidR="00D7157D">
              <w:t>.</w:t>
            </w:r>
            <w:r w:rsidRPr="002E608D">
              <w:t>8951</w:t>
            </w:r>
          </w:p>
        </w:tc>
        <w:tc>
          <w:tcPr>
            <w:tcW w:w="966" w:type="pct"/>
            <w:tcBorders>
              <w:top w:val="single" w:sz="4" w:space="0" w:color="auto"/>
              <w:bottom w:val="single" w:sz="4" w:space="0" w:color="auto"/>
            </w:tcBorders>
            <w:shd w:val="clear" w:color="auto" w:fill="auto"/>
            <w:vAlign w:val="bottom"/>
          </w:tcPr>
          <w:p w14:paraId="14697373" w14:textId="77777777" w:rsidR="002E608D" w:rsidRPr="002E608D" w:rsidRDefault="002E608D" w:rsidP="002E608D">
            <w:pPr>
              <w:pStyle w:val="Tabletext"/>
            </w:pPr>
            <w:r w:rsidRPr="002E608D">
              <w:t>32</w:t>
            </w:r>
            <w:r w:rsidR="00D7157D">
              <w:t>.</w:t>
            </w:r>
            <w:r w:rsidRPr="002E608D">
              <w:t>9003</w:t>
            </w:r>
          </w:p>
        </w:tc>
        <w:tc>
          <w:tcPr>
            <w:tcW w:w="966" w:type="pct"/>
            <w:tcBorders>
              <w:top w:val="single" w:sz="4" w:space="0" w:color="auto"/>
              <w:bottom w:val="single" w:sz="4" w:space="0" w:color="auto"/>
              <w:right w:val="nil"/>
            </w:tcBorders>
            <w:shd w:val="clear" w:color="auto" w:fill="auto"/>
            <w:vAlign w:val="bottom"/>
          </w:tcPr>
          <w:p w14:paraId="2C7EC5B1" w14:textId="77777777" w:rsidR="002E608D" w:rsidRPr="002E608D" w:rsidRDefault="002E608D" w:rsidP="002E608D">
            <w:pPr>
              <w:pStyle w:val="Tabletext"/>
            </w:pPr>
            <w:r w:rsidRPr="002E608D">
              <w:t>2</w:t>
            </w:r>
            <w:r w:rsidR="00D7157D">
              <w:t>.</w:t>
            </w:r>
            <w:r w:rsidRPr="002E608D">
              <w:t>9620</w:t>
            </w:r>
          </w:p>
        </w:tc>
      </w:tr>
      <w:tr w:rsidR="002E608D" w:rsidRPr="002E608D" w14:paraId="0AB055E7" w14:textId="77777777" w:rsidTr="002E608D">
        <w:trPr>
          <w:cantSplit/>
        </w:trPr>
        <w:tc>
          <w:tcPr>
            <w:tcW w:w="1136" w:type="pct"/>
            <w:tcBorders>
              <w:top w:val="single" w:sz="4" w:space="0" w:color="auto"/>
              <w:bottom w:val="single" w:sz="4" w:space="0" w:color="auto"/>
            </w:tcBorders>
          </w:tcPr>
          <w:p w14:paraId="4E07D863" w14:textId="77777777" w:rsidR="002E608D" w:rsidRPr="002E608D" w:rsidRDefault="002E608D" w:rsidP="002E608D">
            <w:pPr>
              <w:pStyle w:val="Tabletext"/>
            </w:pPr>
            <w:r w:rsidRPr="002E608D">
              <w:t>43</w:t>
            </w:r>
          </w:p>
        </w:tc>
        <w:tc>
          <w:tcPr>
            <w:tcW w:w="966" w:type="pct"/>
            <w:tcBorders>
              <w:top w:val="single" w:sz="4" w:space="0" w:color="auto"/>
              <w:bottom w:val="single" w:sz="4" w:space="0" w:color="auto"/>
            </w:tcBorders>
            <w:shd w:val="clear" w:color="auto" w:fill="auto"/>
            <w:vAlign w:val="bottom"/>
          </w:tcPr>
          <w:p w14:paraId="1E051CA4" w14:textId="77777777" w:rsidR="002E608D" w:rsidRPr="002E608D" w:rsidRDefault="002E608D" w:rsidP="002E608D">
            <w:pPr>
              <w:pStyle w:val="Tabletext"/>
            </w:pPr>
            <w:r w:rsidRPr="002E608D">
              <w:t>29</w:t>
            </w:r>
            <w:r w:rsidR="00D7157D">
              <w:t>.</w:t>
            </w:r>
            <w:r w:rsidRPr="002E608D">
              <w:t>6550</w:t>
            </w:r>
          </w:p>
        </w:tc>
        <w:tc>
          <w:tcPr>
            <w:tcW w:w="966" w:type="pct"/>
            <w:tcBorders>
              <w:top w:val="single" w:sz="4" w:space="0" w:color="auto"/>
              <w:bottom w:val="single" w:sz="4" w:space="0" w:color="auto"/>
            </w:tcBorders>
            <w:shd w:val="clear" w:color="auto" w:fill="auto"/>
            <w:vAlign w:val="bottom"/>
          </w:tcPr>
          <w:p w14:paraId="45288EC7" w14:textId="77777777" w:rsidR="002E608D" w:rsidRPr="002E608D" w:rsidRDefault="002E608D" w:rsidP="002E608D">
            <w:pPr>
              <w:pStyle w:val="Tabletext"/>
            </w:pPr>
            <w:r w:rsidRPr="002E608D">
              <w:t>6</w:t>
            </w:r>
            <w:r w:rsidR="00D7157D">
              <w:t>.</w:t>
            </w:r>
            <w:r w:rsidRPr="002E608D">
              <w:t>6488</w:t>
            </w:r>
          </w:p>
        </w:tc>
        <w:tc>
          <w:tcPr>
            <w:tcW w:w="966" w:type="pct"/>
            <w:tcBorders>
              <w:top w:val="single" w:sz="4" w:space="0" w:color="auto"/>
              <w:bottom w:val="single" w:sz="4" w:space="0" w:color="auto"/>
            </w:tcBorders>
            <w:shd w:val="clear" w:color="auto" w:fill="auto"/>
            <w:vAlign w:val="bottom"/>
          </w:tcPr>
          <w:p w14:paraId="3FFA41E8" w14:textId="77777777" w:rsidR="002E608D" w:rsidRPr="002E608D" w:rsidRDefault="002E608D" w:rsidP="002E608D">
            <w:pPr>
              <w:pStyle w:val="Tabletext"/>
            </w:pPr>
            <w:r w:rsidRPr="002E608D">
              <w:t>32</w:t>
            </w:r>
            <w:r w:rsidR="00D7157D">
              <w:t>.</w:t>
            </w:r>
            <w:r w:rsidRPr="002E608D">
              <w:t>2778</w:t>
            </w:r>
          </w:p>
        </w:tc>
        <w:tc>
          <w:tcPr>
            <w:tcW w:w="966" w:type="pct"/>
            <w:tcBorders>
              <w:top w:val="single" w:sz="4" w:space="0" w:color="auto"/>
              <w:bottom w:val="single" w:sz="4" w:space="0" w:color="auto"/>
              <w:right w:val="nil"/>
            </w:tcBorders>
            <w:shd w:val="clear" w:color="auto" w:fill="auto"/>
            <w:vAlign w:val="bottom"/>
          </w:tcPr>
          <w:p w14:paraId="7EBF4468" w14:textId="77777777" w:rsidR="002E608D" w:rsidRPr="002E608D" w:rsidRDefault="002E608D" w:rsidP="002E608D">
            <w:pPr>
              <w:pStyle w:val="Tabletext"/>
            </w:pPr>
            <w:r w:rsidRPr="002E608D">
              <w:t>2</w:t>
            </w:r>
            <w:r w:rsidR="00D7157D">
              <w:t>.</w:t>
            </w:r>
            <w:r w:rsidRPr="002E608D">
              <w:t>7560</w:t>
            </w:r>
          </w:p>
        </w:tc>
      </w:tr>
      <w:tr w:rsidR="002E608D" w:rsidRPr="002E608D" w14:paraId="240C29FD" w14:textId="77777777" w:rsidTr="002E608D">
        <w:trPr>
          <w:cantSplit/>
        </w:trPr>
        <w:tc>
          <w:tcPr>
            <w:tcW w:w="1136" w:type="pct"/>
            <w:tcBorders>
              <w:top w:val="single" w:sz="4" w:space="0" w:color="auto"/>
              <w:bottom w:val="single" w:sz="4" w:space="0" w:color="auto"/>
            </w:tcBorders>
          </w:tcPr>
          <w:p w14:paraId="29DC25CF" w14:textId="77777777" w:rsidR="002E608D" w:rsidRPr="002E608D" w:rsidRDefault="002E608D" w:rsidP="002E608D">
            <w:pPr>
              <w:pStyle w:val="Tabletext"/>
            </w:pPr>
            <w:r w:rsidRPr="002E608D">
              <w:t>44</w:t>
            </w:r>
          </w:p>
        </w:tc>
        <w:tc>
          <w:tcPr>
            <w:tcW w:w="966" w:type="pct"/>
            <w:tcBorders>
              <w:top w:val="single" w:sz="4" w:space="0" w:color="auto"/>
              <w:bottom w:val="single" w:sz="4" w:space="0" w:color="auto"/>
            </w:tcBorders>
            <w:shd w:val="clear" w:color="auto" w:fill="auto"/>
            <w:vAlign w:val="bottom"/>
          </w:tcPr>
          <w:p w14:paraId="7DA33416" w14:textId="77777777" w:rsidR="002E608D" w:rsidRPr="002E608D" w:rsidRDefault="002E608D" w:rsidP="002E608D">
            <w:pPr>
              <w:pStyle w:val="Tabletext"/>
            </w:pPr>
            <w:r w:rsidRPr="002E608D">
              <w:t>29</w:t>
            </w:r>
            <w:r w:rsidR="00D7157D">
              <w:t>.</w:t>
            </w:r>
            <w:r w:rsidRPr="002E608D">
              <w:t>0373</w:t>
            </w:r>
          </w:p>
        </w:tc>
        <w:tc>
          <w:tcPr>
            <w:tcW w:w="966" w:type="pct"/>
            <w:tcBorders>
              <w:top w:val="single" w:sz="4" w:space="0" w:color="auto"/>
              <w:bottom w:val="single" w:sz="4" w:space="0" w:color="auto"/>
            </w:tcBorders>
            <w:shd w:val="clear" w:color="auto" w:fill="auto"/>
            <w:vAlign w:val="bottom"/>
          </w:tcPr>
          <w:p w14:paraId="7912318A" w14:textId="77777777" w:rsidR="002E608D" w:rsidRPr="002E608D" w:rsidRDefault="002E608D" w:rsidP="002E608D">
            <w:pPr>
              <w:pStyle w:val="Tabletext"/>
            </w:pPr>
            <w:r w:rsidRPr="002E608D">
              <w:t>6</w:t>
            </w:r>
            <w:r w:rsidR="00D7157D">
              <w:t>.</w:t>
            </w:r>
            <w:r w:rsidRPr="002E608D">
              <w:t>4010</w:t>
            </w:r>
          </w:p>
        </w:tc>
        <w:tc>
          <w:tcPr>
            <w:tcW w:w="966" w:type="pct"/>
            <w:tcBorders>
              <w:top w:val="single" w:sz="4" w:space="0" w:color="auto"/>
              <w:bottom w:val="single" w:sz="4" w:space="0" w:color="auto"/>
            </w:tcBorders>
            <w:shd w:val="clear" w:color="auto" w:fill="auto"/>
            <w:vAlign w:val="bottom"/>
          </w:tcPr>
          <w:p w14:paraId="4A037D95" w14:textId="77777777" w:rsidR="002E608D" w:rsidRPr="002E608D" w:rsidRDefault="002E608D" w:rsidP="002E608D">
            <w:pPr>
              <w:pStyle w:val="Tabletext"/>
            </w:pPr>
            <w:r w:rsidRPr="002E608D">
              <w:t>31</w:t>
            </w:r>
            <w:r w:rsidR="00D7157D">
              <w:t>.</w:t>
            </w:r>
            <w:r w:rsidRPr="002E608D">
              <w:t>6512</w:t>
            </w:r>
          </w:p>
        </w:tc>
        <w:tc>
          <w:tcPr>
            <w:tcW w:w="966" w:type="pct"/>
            <w:tcBorders>
              <w:top w:val="single" w:sz="4" w:space="0" w:color="auto"/>
              <w:bottom w:val="single" w:sz="4" w:space="0" w:color="auto"/>
              <w:right w:val="nil"/>
            </w:tcBorders>
            <w:shd w:val="clear" w:color="auto" w:fill="auto"/>
            <w:vAlign w:val="bottom"/>
          </w:tcPr>
          <w:p w14:paraId="02F5A01D" w14:textId="77777777" w:rsidR="002E608D" w:rsidRPr="002E608D" w:rsidRDefault="002E608D" w:rsidP="002E608D">
            <w:pPr>
              <w:pStyle w:val="Tabletext"/>
            </w:pPr>
            <w:r w:rsidRPr="002E608D">
              <w:t>2</w:t>
            </w:r>
            <w:r w:rsidR="00D7157D">
              <w:t>.</w:t>
            </w:r>
            <w:r w:rsidRPr="002E608D">
              <w:t>5500</w:t>
            </w:r>
          </w:p>
        </w:tc>
      </w:tr>
      <w:tr w:rsidR="002E608D" w:rsidRPr="002E608D" w14:paraId="0C77C316" w14:textId="77777777" w:rsidTr="002E608D">
        <w:trPr>
          <w:cantSplit/>
        </w:trPr>
        <w:tc>
          <w:tcPr>
            <w:tcW w:w="1136" w:type="pct"/>
            <w:tcBorders>
              <w:top w:val="single" w:sz="4" w:space="0" w:color="auto"/>
              <w:bottom w:val="single" w:sz="4" w:space="0" w:color="auto"/>
            </w:tcBorders>
          </w:tcPr>
          <w:p w14:paraId="01B3A443" w14:textId="77777777" w:rsidR="002E608D" w:rsidRPr="002E608D" w:rsidRDefault="002E608D" w:rsidP="002E608D">
            <w:pPr>
              <w:pStyle w:val="Tabletext"/>
            </w:pPr>
            <w:r w:rsidRPr="002E608D">
              <w:t>45</w:t>
            </w:r>
          </w:p>
        </w:tc>
        <w:tc>
          <w:tcPr>
            <w:tcW w:w="966" w:type="pct"/>
            <w:tcBorders>
              <w:top w:val="single" w:sz="4" w:space="0" w:color="auto"/>
              <w:bottom w:val="single" w:sz="4" w:space="0" w:color="auto"/>
            </w:tcBorders>
            <w:shd w:val="clear" w:color="auto" w:fill="auto"/>
            <w:vAlign w:val="bottom"/>
          </w:tcPr>
          <w:p w14:paraId="63B13E2F" w14:textId="77777777" w:rsidR="002E608D" w:rsidRPr="002E608D" w:rsidRDefault="002E608D" w:rsidP="002E608D">
            <w:pPr>
              <w:pStyle w:val="Tabletext"/>
            </w:pPr>
            <w:r w:rsidRPr="002E608D">
              <w:t>28</w:t>
            </w:r>
            <w:r w:rsidR="00D7157D">
              <w:t>.</w:t>
            </w:r>
            <w:r w:rsidRPr="002E608D">
              <w:t>4164</w:t>
            </w:r>
          </w:p>
        </w:tc>
        <w:tc>
          <w:tcPr>
            <w:tcW w:w="966" w:type="pct"/>
            <w:tcBorders>
              <w:top w:val="single" w:sz="4" w:space="0" w:color="auto"/>
              <w:bottom w:val="single" w:sz="4" w:space="0" w:color="auto"/>
            </w:tcBorders>
            <w:shd w:val="clear" w:color="auto" w:fill="auto"/>
            <w:vAlign w:val="bottom"/>
          </w:tcPr>
          <w:p w14:paraId="21AB727C" w14:textId="77777777" w:rsidR="002E608D" w:rsidRPr="002E608D" w:rsidRDefault="002E608D" w:rsidP="002E608D">
            <w:pPr>
              <w:pStyle w:val="Tabletext"/>
            </w:pPr>
            <w:r w:rsidRPr="002E608D">
              <w:t>6</w:t>
            </w:r>
            <w:r w:rsidR="00D7157D">
              <w:t>.</w:t>
            </w:r>
            <w:r w:rsidRPr="002E608D">
              <w:t>1520</w:t>
            </w:r>
          </w:p>
        </w:tc>
        <w:tc>
          <w:tcPr>
            <w:tcW w:w="966" w:type="pct"/>
            <w:tcBorders>
              <w:top w:val="single" w:sz="4" w:space="0" w:color="auto"/>
              <w:bottom w:val="single" w:sz="4" w:space="0" w:color="auto"/>
            </w:tcBorders>
            <w:shd w:val="clear" w:color="auto" w:fill="auto"/>
            <w:vAlign w:val="bottom"/>
          </w:tcPr>
          <w:p w14:paraId="4953CE9F" w14:textId="77777777" w:rsidR="002E608D" w:rsidRPr="002E608D" w:rsidRDefault="002E608D" w:rsidP="002E608D">
            <w:pPr>
              <w:pStyle w:val="Tabletext"/>
            </w:pPr>
            <w:r w:rsidRPr="002E608D">
              <w:t>31</w:t>
            </w:r>
            <w:r w:rsidR="00D7157D">
              <w:t>.</w:t>
            </w:r>
            <w:r w:rsidRPr="002E608D">
              <w:t>0207</w:t>
            </w:r>
          </w:p>
        </w:tc>
        <w:tc>
          <w:tcPr>
            <w:tcW w:w="966" w:type="pct"/>
            <w:tcBorders>
              <w:top w:val="single" w:sz="4" w:space="0" w:color="auto"/>
              <w:bottom w:val="single" w:sz="4" w:space="0" w:color="auto"/>
              <w:right w:val="nil"/>
            </w:tcBorders>
            <w:shd w:val="clear" w:color="auto" w:fill="auto"/>
            <w:vAlign w:val="bottom"/>
          </w:tcPr>
          <w:p w14:paraId="2F2A7FDB" w14:textId="77777777" w:rsidR="002E608D" w:rsidRPr="002E608D" w:rsidRDefault="002E608D" w:rsidP="002E608D">
            <w:pPr>
              <w:pStyle w:val="Tabletext"/>
            </w:pPr>
            <w:r w:rsidRPr="002E608D">
              <w:t>2</w:t>
            </w:r>
            <w:r w:rsidR="00D7157D">
              <w:t>.</w:t>
            </w:r>
            <w:r w:rsidRPr="002E608D">
              <w:t>3441</w:t>
            </w:r>
          </w:p>
        </w:tc>
      </w:tr>
      <w:tr w:rsidR="002E608D" w:rsidRPr="002E608D" w14:paraId="24F9B8E3" w14:textId="77777777" w:rsidTr="002E608D">
        <w:trPr>
          <w:cantSplit/>
        </w:trPr>
        <w:tc>
          <w:tcPr>
            <w:tcW w:w="1136" w:type="pct"/>
            <w:tcBorders>
              <w:top w:val="single" w:sz="4" w:space="0" w:color="auto"/>
              <w:bottom w:val="single" w:sz="4" w:space="0" w:color="auto"/>
            </w:tcBorders>
          </w:tcPr>
          <w:p w14:paraId="6983E441" w14:textId="77777777" w:rsidR="002E608D" w:rsidRPr="002E608D" w:rsidRDefault="002E608D" w:rsidP="002E608D">
            <w:pPr>
              <w:pStyle w:val="Tabletext"/>
            </w:pPr>
            <w:r w:rsidRPr="002E608D">
              <w:t>46</w:t>
            </w:r>
          </w:p>
        </w:tc>
        <w:tc>
          <w:tcPr>
            <w:tcW w:w="966" w:type="pct"/>
            <w:tcBorders>
              <w:top w:val="single" w:sz="4" w:space="0" w:color="auto"/>
              <w:bottom w:val="single" w:sz="4" w:space="0" w:color="auto"/>
            </w:tcBorders>
            <w:shd w:val="clear" w:color="auto" w:fill="auto"/>
            <w:vAlign w:val="bottom"/>
          </w:tcPr>
          <w:p w14:paraId="03D87379" w14:textId="77777777" w:rsidR="002E608D" w:rsidRPr="002E608D" w:rsidRDefault="002E608D" w:rsidP="002E608D">
            <w:pPr>
              <w:pStyle w:val="Tabletext"/>
            </w:pPr>
            <w:r w:rsidRPr="002E608D">
              <w:t>27</w:t>
            </w:r>
            <w:r w:rsidR="00D7157D">
              <w:t>.</w:t>
            </w:r>
            <w:r w:rsidRPr="002E608D">
              <w:t>7927</w:t>
            </w:r>
          </w:p>
        </w:tc>
        <w:tc>
          <w:tcPr>
            <w:tcW w:w="966" w:type="pct"/>
            <w:tcBorders>
              <w:top w:val="single" w:sz="4" w:space="0" w:color="auto"/>
              <w:bottom w:val="single" w:sz="4" w:space="0" w:color="auto"/>
            </w:tcBorders>
            <w:shd w:val="clear" w:color="auto" w:fill="auto"/>
            <w:vAlign w:val="bottom"/>
          </w:tcPr>
          <w:p w14:paraId="21D2A4FA" w14:textId="77777777" w:rsidR="002E608D" w:rsidRPr="002E608D" w:rsidRDefault="002E608D" w:rsidP="002E608D">
            <w:pPr>
              <w:pStyle w:val="Tabletext"/>
            </w:pPr>
            <w:r w:rsidRPr="002E608D">
              <w:t>5</w:t>
            </w:r>
            <w:r w:rsidR="00D7157D">
              <w:t>.</w:t>
            </w:r>
            <w:r w:rsidRPr="002E608D">
              <w:t>9018</w:t>
            </w:r>
          </w:p>
        </w:tc>
        <w:tc>
          <w:tcPr>
            <w:tcW w:w="966" w:type="pct"/>
            <w:tcBorders>
              <w:top w:val="single" w:sz="4" w:space="0" w:color="auto"/>
              <w:bottom w:val="single" w:sz="4" w:space="0" w:color="auto"/>
            </w:tcBorders>
            <w:shd w:val="clear" w:color="auto" w:fill="auto"/>
            <w:vAlign w:val="bottom"/>
          </w:tcPr>
          <w:p w14:paraId="290FD141" w14:textId="77777777" w:rsidR="002E608D" w:rsidRPr="002E608D" w:rsidRDefault="002E608D" w:rsidP="002E608D">
            <w:pPr>
              <w:pStyle w:val="Tabletext"/>
            </w:pPr>
            <w:r w:rsidRPr="002E608D">
              <w:t>30</w:t>
            </w:r>
            <w:r w:rsidR="00D7157D">
              <w:t>.</w:t>
            </w:r>
            <w:r w:rsidRPr="002E608D">
              <w:t>3865</w:t>
            </w:r>
          </w:p>
        </w:tc>
        <w:tc>
          <w:tcPr>
            <w:tcW w:w="966" w:type="pct"/>
            <w:tcBorders>
              <w:top w:val="single" w:sz="4" w:space="0" w:color="auto"/>
              <w:bottom w:val="single" w:sz="4" w:space="0" w:color="auto"/>
              <w:right w:val="nil"/>
            </w:tcBorders>
            <w:shd w:val="clear" w:color="auto" w:fill="auto"/>
            <w:vAlign w:val="bottom"/>
          </w:tcPr>
          <w:p w14:paraId="5EDB7A8F" w14:textId="77777777" w:rsidR="002E608D" w:rsidRPr="002E608D" w:rsidRDefault="002E608D" w:rsidP="002E608D">
            <w:pPr>
              <w:pStyle w:val="Tabletext"/>
            </w:pPr>
            <w:r w:rsidRPr="002E608D">
              <w:t>2</w:t>
            </w:r>
            <w:r w:rsidR="00D7157D">
              <w:t>.</w:t>
            </w:r>
            <w:r w:rsidRPr="002E608D">
              <w:t>1384</w:t>
            </w:r>
          </w:p>
        </w:tc>
      </w:tr>
      <w:tr w:rsidR="002E608D" w:rsidRPr="002E608D" w14:paraId="79BCAD12" w14:textId="77777777" w:rsidTr="002E608D">
        <w:trPr>
          <w:cantSplit/>
        </w:trPr>
        <w:tc>
          <w:tcPr>
            <w:tcW w:w="1136" w:type="pct"/>
            <w:tcBorders>
              <w:top w:val="single" w:sz="4" w:space="0" w:color="auto"/>
              <w:bottom w:val="single" w:sz="4" w:space="0" w:color="auto"/>
            </w:tcBorders>
          </w:tcPr>
          <w:p w14:paraId="1B369663" w14:textId="77777777" w:rsidR="002E608D" w:rsidRPr="002E608D" w:rsidRDefault="002E608D" w:rsidP="002E608D">
            <w:pPr>
              <w:pStyle w:val="Tabletext"/>
            </w:pPr>
            <w:r w:rsidRPr="002E608D">
              <w:t>47</w:t>
            </w:r>
          </w:p>
        </w:tc>
        <w:tc>
          <w:tcPr>
            <w:tcW w:w="966" w:type="pct"/>
            <w:tcBorders>
              <w:top w:val="single" w:sz="4" w:space="0" w:color="auto"/>
              <w:bottom w:val="single" w:sz="4" w:space="0" w:color="auto"/>
            </w:tcBorders>
            <w:shd w:val="clear" w:color="auto" w:fill="auto"/>
            <w:vAlign w:val="bottom"/>
          </w:tcPr>
          <w:p w14:paraId="1834171A" w14:textId="77777777" w:rsidR="002E608D" w:rsidRPr="002E608D" w:rsidRDefault="002E608D" w:rsidP="002E608D">
            <w:pPr>
              <w:pStyle w:val="Tabletext"/>
            </w:pPr>
            <w:r w:rsidRPr="002E608D">
              <w:t>27</w:t>
            </w:r>
            <w:r w:rsidR="00D7157D">
              <w:t>.</w:t>
            </w:r>
            <w:r w:rsidRPr="002E608D">
              <w:t>1664</w:t>
            </w:r>
          </w:p>
        </w:tc>
        <w:tc>
          <w:tcPr>
            <w:tcW w:w="966" w:type="pct"/>
            <w:tcBorders>
              <w:top w:val="single" w:sz="4" w:space="0" w:color="auto"/>
              <w:bottom w:val="single" w:sz="4" w:space="0" w:color="auto"/>
            </w:tcBorders>
            <w:shd w:val="clear" w:color="auto" w:fill="auto"/>
            <w:vAlign w:val="bottom"/>
          </w:tcPr>
          <w:p w14:paraId="216710B2" w14:textId="77777777" w:rsidR="002E608D" w:rsidRPr="002E608D" w:rsidRDefault="002E608D" w:rsidP="002E608D">
            <w:pPr>
              <w:pStyle w:val="Tabletext"/>
            </w:pPr>
            <w:r w:rsidRPr="002E608D">
              <w:t>5</w:t>
            </w:r>
            <w:r w:rsidR="00D7157D">
              <w:t>.</w:t>
            </w:r>
            <w:r w:rsidRPr="002E608D">
              <w:t>6505</w:t>
            </w:r>
          </w:p>
        </w:tc>
        <w:tc>
          <w:tcPr>
            <w:tcW w:w="966" w:type="pct"/>
            <w:tcBorders>
              <w:top w:val="single" w:sz="4" w:space="0" w:color="auto"/>
              <w:bottom w:val="single" w:sz="4" w:space="0" w:color="auto"/>
            </w:tcBorders>
            <w:shd w:val="clear" w:color="auto" w:fill="auto"/>
            <w:vAlign w:val="bottom"/>
          </w:tcPr>
          <w:p w14:paraId="09F844C0" w14:textId="77777777" w:rsidR="002E608D" w:rsidRPr="002E608D" w:rsidRDefault="002E608D" w:rsidP="002E608D">
            <w:pPr>
              <w:pStyle w:val="Tabletext"/>
            </w:pPr>
            <w:r w:rsidRPr="002E608D">
              <w:t>29</w:t>
            </w:r>
            <w:r w:rsidR="00D7157D">
              <w:t>.</w:t>
            </w:r>
            <w:r w:rsidRPr="002E608D">
              <w:t>7486</w:t>
            </w:r>
          </w:p>
        </w:tc>
        <w:tc>
          <w:tcPr>
            <w:tcW w:w="966" w:type="pct"/>
            <w:tcBorders>
              <w:top w:val="single" w:sz="4" w:space="0" w:color="auto"/>
              <w:bottom w:val="single" w:sz="4" w:space="0" w:color="auto"/>
              <w:right w:val="nil"/>
            </w:tcBorders>
            <w:shd w:val="clear" w:color="auto" w:fill="auto"/>
            <w:vAlign w:val="bottom"/>
          </w:tcPr>
          <w:p w14:paraId="14722330" w14:textId="77777777" w:rsidR="002E608D" w:rsidRPr="002E608D" w:rsidRDefault="002E608D" w:rsidP="002E608D">
            <w:pPr>
              <w:pStyle w:val="Tabletext"/>
            </w:pPr>
            <w:r w:rsidRPr="002E608D">
              <w:t>1</w:t>
            </w:r>
            <w:r w:rsidR="00D7157D">
              <w:t>.</w:t>
            </w:r>
            <w:r w:rsidRPr="002E608D">
              <w:t>9330</w:t>
            </w:r>
          </w:p>
        </w:tc>
      </w:tr>
      <w:tr w:rsidR="002E608D" w:rsidRPr="002E608D" w14:paraId="66B1FCB5" w14:textId="77777777" w:rsidTr="002E608D">
        <w:trPr>
          <w:cantSplit/>
        </w:trPr>
        <w:tc>
          <w:tcPr>
            <w:tcW w:w="1136" w:type="pct"/>
            <w:tcBorders>
              <w:top w:val="single" w:sz="4" w:space="0" w:color="auto"/>
              <w:bottom w:val="single" w:sz="4" w:space="0" w:color="auto"/>
            </w:tcBorders>
          </w:tcPr>
          <w:p w14:paraId="56487410" w14:textId="77777777" w:rsidR="002E608D" w:rsidRPr="002E608D" w:rsidRDefault="002E608D" w:rsidP="002E608D">
            <w:pPr>
              <w:pStyle w:val="Tabletext"/>
            </w:pPr>
            <w:r w:rsidRPr="002E608D">
              <w:t>48</w:t>
            </w:r>
          </w:p>
        </w:tc>
        <w:tc>
          <w:tcPr>
            <w:tcW w:w="966" w:type="pct"/>
            <w:tcBorders>
              <w:top w:val="single" w:sz="4" w:space="0" w:color="auto"/>
              <w:bottom w:val="single" w:sz="4" w:space="0" w:color="auto"/>
            </w:tcBorders>
            <w:shd w:val="clear" w:color="auto" w:fill="auto"/>
            <w:vAlign w:val="bottom"/>
          </w:tcPr>
          <w:p w14:paraId="349972A3" w14:textId="77777777" w:rsidR="002E608D" w:rsidRPr="002E608D" w:rsidRDefault="002E608D" w:rsidP="002E608D">
            <w:pPr>
              <w:pStyle w:val="Tabletext"/>
            </w:pPr>
            <w:r w:rsidRPr="002E608D">
              <w:t>26</w:t>
            </w:r>
            <w:r w:rsidR="00D7157D">
              <w:t>.</w:t>
            </w:r>
            <w:r w:rsidRPr="002E608D">
              <w:t>5377</w:t>
            </w:r>
          </w:p>
        </w:tc>
        <w:tc>
          <w:tcPr>
            <w:tcW w:w="966" w:type="pct"/>
            <w:tcBorders>
              <w:top w:val="single" w:sz="4" w:space="0" w:color="auto"/>
              <w:bottom w:val="single" w:sz="4" w:space="0" w:color="auto"/>
            </w:tcBorders>
            <w:shd w:val="clear" w:color="auto" w:fill="auto"/>
            <w:vAlign w:val="bottom"/>
          </w:tcPr>
          <w:p w14:paraId="7DCFB579" w14:textId="77777777" w:rsidR="002E608D" w:rsidRPr="002E608D" w:rsidRDefault="002E608D" w:rsidP="002E608D">
            <w:pPr>
              <w:pStyle w:val="Tabletext"/>
            </w:pPr>
            <w:r w:rsidRPr="002E608D">
              <w:t>5</w:t>
            </w:r>
            <w:r w:rsidR="00D7157D">
              <w:t>.</w:t>
            </w:r>
            <w:r w:rsidRPr="002E608D">
              <w:t>3981</w:t>
            </w:r>
          </w:p>
        </w:tc>
        <w:tc>
          <w:tcPr>
            <w:tcW w:w="966" w:type="pct"/>
            <w:tcBorders>
              <w:top w:val="single" w:sz="4" w:space="0" w:color="auto"/>
              <w:bottom w:val="single" w:sz="4" w:space="0" w:color="auto"/>
            </w:tcBorders>
            <w:shd w:val="clear" w:color="auto" w:fill="auto"/>
            <w:vAlign w:val="bottom"/>
          </w:tcPr>
          <w:p w14:paraId="2471D021" w14:textId="77777777" w:rsidR="002E608D" w:rsidRPr="002E608D" w:rsidRDefault="002E608D" w:rsidP="002E608D">
            <w:pPr>
              <w:pStyle w:val="Tabletext"/>
            </w:pPr>
            <w:r w:rsidRPr="002E608D">
              <w:t>29</w:t>
            </w:r>
            <w:r w:rsidR="00D7157D">
              <w:t>.</w:t>
            </w:r>
            <w:r w:rsidRPr="002E608D">
              <w:t>1071</w:t>
            </w:r>
          </w:p>
        </w:tc>
        <w:tc>
          <w:tcPr>
            <w:tcW w:w="966" w:type="pct"/>
            <w:tcBorders>
              <w:top w:val="single" w:sz="4" w:space="0" w:color="auto"/>
              <w:bottom w:val="single" w:sz="4" w:space="0" w:color="auto"/>
              <w:right w:val="nil"/>
            </w:tcBorders>
            <w:shd w:val="clear" w:color="auto" w:fill="auto"/>
            <w:vAlign w:val="bottom"/>
          </w:tcPr>
          <w:p w14:paraId="3D4A4E7E" w14:textId="77777777" w:rsidR="002E608D" w:rsidRPr="002E608D" w:rsidRDefault="002E608D" w:rsidP="002E608D">
            <w:pPr>
              <w:pStyle w:val="Tabletext"/>
            </w:pPr>
            <w:r w:rsidRPr="002E608D">
              <w:t>1</w:t>
            </w:r>
            <w:r w:rsidR="00D7157D">
              <w:t>.</w:t>
            </w:r>
            <w:r w:rsidRPr="002E608D">
              <w:t>7281</w:t>
            </w:r>
          </w:p>
        </w:tc>
      </w:tr>
      <w:tr w:rsidR="002E608D" w:rsidRPr="002E608D" w14:paraId="6EC04F5F" w14:textId="77777777" w:rsidTr="002E608D">
        <w:trPr>
          <w:cantSplit/>
        </w:trPr>
        <w:tc>
          <w:tcPr>
            <w:tcW w:w="1136" w:type="pct"/>
            <w:tcBorders>
              <w:top w:val="single" w:sz="4" w:space="0" w:color="auto"/>
              <w:bottom w:val="single" w:sz="4" w:space="0" w:color="auto"/>
            </w:tcBorders>
          </w:tcPr>
          <w:p w14:paraId="553889CA" w14:textId="77777777" w:rsidR="002E608D" w:rsidRPr="002E608D" w:rsidRDefault="002E608D" w:rsidP="002E608D">
            <w:pPr>
              <w:pStyle w:val="Tabletext"/>
            </w:pPr>
            <w:r w:rsidRPr="002E608D">
              <w:t>49</w:t>
            </w:r>
          </w:p>
        </w:tc>
        <w:tc>
          <w:tcPr>
            <w:tcW w:w="966" w:type="pct"/>
            <w:tcBorders>
              <w:top w:val="single" w:sz="4" w:space="0" w:color="auto"/>
              <w:bottom w:val="single" w:sz="4" w:space="0" w:color="auto"/>
            </w:tcBorders>
            <w:shd w:val="clear" w:color="auto" w:fill="auto"/>
            <w:vAlign w:val="bottom"/>
          </w:tcPr>
          <w:p w14:paraId="750AE2A5" w14:textId="77777777" w:rsidR="002E608D" w:rsidRPr="002E608D" w:rsidRDefault="002E608D" w:rsidP="002E608D">
            <w:pPr>
              <w:pStyle w:val="Tabletext"/>
            </w:pPr>
            <w:r w:rsidRPr="002E608D">
              <w:t>25</w:t>
            </w:r>
            <w:r w:rsidR="00D7157D">
              <w:t>.</w:t>
            </w:r>
            <w:r w:rsidRPr="002E608D">
              <w:t>9067</w:t>
            </w:r>
          </w:p>
        </w:tc>
        <w:tc>
          <w:tcPr>
            <w:tcW w:w="966" w:type="pct"/>
            <w:tcBorders>
              <w:top w:val="single" w:sz="4" w:space="0" w:color="auto"/>
              <w:bottom w:val="single" w:sz="4" w:space="0" w:color="auto"/>
            </w:tcBorders>
            <w:shd w:val="clear" w:color="auto" w:fill="auto"/>
            <w:vAlign w:val="bottom"/>
          </w:tcPr>
          <w:p w14:paraId="3DA5D318" w14:textId="77777777" w:rsidR="002E608D" w:rsidRPr="002E608D" w:rsidRDefault="002E608D" w:rsidP="002E608D">
            <w:pPr>
              <w:pStyle w:val="Tabletext"/>
            </w:pPr>
            <w:r w:rsidRPr="002E608D">
              <w:t>5</w:t>
            </w:r>
            <w:r w:rsidR="00D7157D">
              <w:t>.</w:t>
            </w:r>
            <w:r w:rsidRPr="002E608D">
              <w:t>1448</w:t>
            </w:r>
          </w:p>
        </w:tc>
        <w:tc>
          <w:tcPr>
            <w:tcW w:w="966" w:type="pct"/>
            <w:tcBorders>
              <w:top w:val="single" w:sz="4" w:space="0" w:color="auto"/>
              <w:bottom w:val="single" w:sz="4" w:space="0" w:color="auto"/>
            </w:tcBorders>
            <w:shd w:val="clear" w:color="auto" w:fill="auto"/>
            <w:vAlign w:val="bottom"/>
          </w:tcPr>
          <w:p w14:paraId="1DA02300" w14:textId="77777777" w:rsidR="002E608D" w:rsidRPr="002E608D" w:rsidRDefault="002E608D" w:rsidP="002E608D">
            <w:pPr>
              <w:pStyle w:val="Tabletext"/>
            </w:pPr>
            <w:r w:rsidRPr="002E608D">
              <w:t>28</w:t>
            </w:r>
            <w:r w:rsidR="00D7157D">
              <w:t>.</w:t>
            </w:r>
            <w:r w:rsidRPr="002E608D">
              <w:t>4622</w:t>
            </w:r>
          </w:p>
        </w:tc>
        <w:tc>
          <w:tcPr>
            <w:tcW w:w="966" w:type="pct"/>
            <w:tcBorders>
              <w:top w:val="single" w:sz="4" w:space="0" w:color="auto"/>
              <w:bottom w:val="single" w:sz="4" w:space="0" w:color="auto"/>
              <w:right w:val="nil"/>
            </w:tcBorders>
            <w:shd w:val="clear" w:color="auto" w:fill="auto"/>
            <w:vAlign w:val="bottom"/>
          </w:tcPr>
          <w:p w14:paraId="236B8454" w14:textId="77777777" w:rsidR="002E608D" w:rsidRPr="002E608D" w:rsidRDefault="002E608D" w:rsidP="002E608D">
            <w:pPr>
              <w:pStyle w:val="Tabletext"/>
            </w:pPr>
            <w:r w:rsidRPr="002E608D">
              <w:t>1</w:t>
            </w:r>
            <w:r w:rsidR="00D7157D">
              <w:t>.</w:t>
            </w:r>
            <w:r w:rsidRPr="002E608D">
              <w:t>5238</w:t>
            </w:r>
          </w:p>
        </w:tc>
      </w:tr>
      <w:tr w:rsidR="002E608D" w:rsidRPr="002E608D" w14:paraId="63FD489F" w14:textId="77777777" w:rsidTr="002E608D">
        <w:trPr>
          <w:cantSplit/>
        </w:trPr>
        <w:tc>
          <w:tcPr>
            <w:tcW w:w="1136" w:type="pct"/>
            <w:tcBorders>
              <w:top w:val="single" w:sz="4" w:space="0" w:color="auto"/>
              <w:bottom w:val="single" w:sz="4" w:space="0" w:color="auto"/>
            </w:tcBorders>
          </w:tcPr>
          <w:p w14:paraId="62B1ECF1" w14:textId="77777777" w:rsidR="002E608D" w:rsidRPr="002E608D" w:rsidRDefault="002E608D" w:rsidP="002E608D">
            <w:pPr>
              <w:pStyle w:val="Tabletext"/>
            </w:pPr>
            <w:r w:rsidRPr="002E608D">
              <w:t>50</w:t>
            </w:r>
          </w:p>
        </w:tc>
        <w:tc>
          <w:tcPr>
            <w:tcW w:w="966" w:type="pct"/>
            <w:tcBorders>
              <w:top w:val="single" w:sz="4" w:space="0" w:color="auto"/>
              <w:bottom w:val="single" w:sz="4" w:space="0" w:color="auto"/>
            </w:tcBorders>
            <w:shd w:val="clear" w:color="auto" w:fill="auto"/>
            <w:vAlign w:val="bottom"/>
          </w:tcPr>
          <w:p w14:paraId="5EDBB616" w14:textId="77777777" w:rsidR="002E608D" w:rsidRPr="002E608D" w:rsidRDefault="002E608D" w:rsidP="002E608D">
            <w:pPr>
              <w:pStyle w:val="Tabletext"/>
            </w:pPr>
            <w:r w:rsidRPr="002E608D">
              <w:t>25</w:t>
            </w:r>
            <w:r w:rsidR="00D7157D">
              <w:t>.</w:t>
            </w:r>
            <w:r w:rsidRPr="002E608D">
              <w:t>2740</w:t>
            </w:r>
          </w:p>
        </w:tc>
        <w:tc>
          <w:tcPr>
            <w:tcW w:w="966" w:type="pct"/>
            <w:tcBorders>
              <w:top w:val="single" w:sz="4" w:space="0" w:color="auto"/>
              <w:bottom w:val="single" w:sz="4" w:space="0" w:color="auto"/>
            </w:tcBorders>
            <w:shd w:val="clear" w:color="auto" w:fill="auto"/>
            <w:vAlign w:val="bottom"/>
          </w:tcPr>
          <w:p w14:paraId="2DE55058" w14:textId="77777777" w:rsidR="002E608D" w:rsidRPr="002E608D" w:rsidRDefault="002E608D" w:rsidP="002E608D">
            <w:pPr>
              <w:pStyle w:val="Tabletext"/>
            </w:pPr>
            <w:r w:rsidRPr="002E608D">
              <w:t>4</w:t>
            </w:r>
            <w:r w:rsidR="00D7157D">
              <w:t>.</w:t>
            </w:r>
            <w:r w:rsidRPr="002E608D">
              <w:t>8906</w:t>
            </w:r>
          </w:p>
        </w:tc>
        <w:tc>
          <w:tcPr>
            <w:tcW w:w="966" w:type="pct"/>
            <w:tcBorders>
              <w:top w:val="single" w:sz="4" w:space="0" w:color="auto"/>
              <w:bottom w:val="single" w:sz="4" w:space="0" w:color="auto"/>
            </w:tcBorders>
            <w:shd w:val="clear" w:color="auto" w:fill="auto"/>
            <w:vAlign w:val="bottom"/>
          </w:tcPr>
          <w:p w14:paraId="51481E74" w14:textId="77777777" w:rsidR="002E608D" w:rsidRPr="002E608D" w:rsidRDefault="002E608D" w:rsidP="002E608D">
            <w:pPr>
              <w:pStyle w:val="Tabletext"/>
            </w:pPr>
            <w:r w:rsidRPr="002E608D">
              <w:t>27</w:t>
            </w:r>
            <w:r w:rsidR="00D7157D">
              <w:t>.</w:t>
            </w:r>
            <w:r w:rsidRPr="002E608D">
              <w:t>8140</w:t>
            </w:r>
          </w:p>
        </w:tc>
        <w:tc>
          <w:tcPr>
            <w:tcW w:w="966" w:type="pct"/>
            <w:tcBorders>
              <w:top w:val="single" w:sz="4" w:space="0" w:color="auto"/>
              <w:bottom w:val="single" w:sz="4" w:space="0" w:color="auto"/>
              <w:right w:val="nil"/>
            </w:tcBorders>
            <w:shd w:val="clear" w:color="auto" w:fill="auto"/>
            <w:vAlign w:val="bottom"/>
          </w:tcPr>
          <w:p w14:paraId="56C523DA" w14:textId="77777777" w:rsidR="002E608D" w:rsidRPr="002E608D" w:rsidRDefault="002E608D" w:rsidP="002E608D">
            <w:pPr>
              <w:pStyle w:val="Tabletext"/>
            </w:pPr>
            <w:r w:rsidRPr="002E608D">
              <w:t>1</w:t>
            </w:r>
            <w:r w:rsidR="00D7157D">
              <w:t>.</w:t>
            </w:r>
            <w:r w:rsidRPr="002E608D">
              <w:t>3203</w:t>
            </w:r>
          </w:p>
        </w:tc>
      </w:tr>
      <w:tr w:rsidR="002E608D" w:rsidRPr="002E608D" w14:paraId="52A04F13" w14:textId="77777777" w:rsidTr="002E608D">
        <w:trPr>
          <w:cantSplit/>
        </w:trPr>
        <w:tc>
          <w:tcPr>
            <w:tcW w:w="1136" w:type="pct"/>
            <w:tcBorders>
              <w:top w:val="single" w:sz="4" w:space="0" w:color="auto"/>
              <w:bottom w:val="single" w:sz="4" w:space="0" w:color="auto"/>
            </w:tcBorders>
          </w:tcPr>
          <w:p w14:paraId="06D7E138" w14:textId="77777777" w:rsidR="002E608D" w:rsidRPr="002E608D" w:rsidRDefault="002E608D" w:rsidP="002E608D">
            <w:pPr>
              <w:pStyle w:val="Tabletext"/>
            </w:pPr>
            <w:r w:rsidRPr="002E608D">
              <w:t>51</w:t>
            </w:r>
          </w:p>
        </w:tc>
        <w:tc>
          <w:tcPr>
            <w:tcW w:w="966" w:type="pct"/>
            <w:tcBorders>
              <w:top w:val="single" w:sz="4" w:space="0" w:color="auto"/>
              <w:bottom w:val="single" w:sz="4" w:space="0" w:color="auto"/>
            </w:tcBorders>
            <w:shd w:val="clear" w:color="auto" w:fill="auto"/>
            <w:vAlign w:val="bottom"/>
          </w:tcPr>
          <w:p w14:paraId="22E7D293" w14:textId="77777777" w:rsidR="002E608D" w:rsidRPr="002E608D" w:rsidRDefault="002E608D" w:rsidP="002E608D">
            <w:pPr>
              <w:pStyle w:val="Tabletext"/>
            </w:pPr>
            <w:r w:rsidRPr="002E608D">
              <w:t>24</w:t>
            </w:r>
            <w:r w:rsidR="00D7157D">
              <w:t>.</w:t>
            </w:r>
            <w:r w:rsidRPr="002E608D">
              <w:t>6394</w:t>
            </w:r>
          </w:p>
        </w:tc>
        <w:tc>
          <w:tcPr>
            <w:tcW w:w="966" w:type="pct"/>
            <w:tcBorders>
              <w:top w:val="single" w:sz="4" w:space="0" w:color="auto"/>
              <w:bottom w:val="single" w:sz="4" w:space="0" w:color="auto"/>
            </w:tcBorders>
            <w:shd w:val="clear" w:color="auto" w:fill="auto"/>
            <w:vAlign w:val="bottom"/>
          </w:tcPr>
          <w:p w14:paraId="328611D8" w14:textId="77777777" w:rsidR="002E608D" w:rsidRPr="002E608D" w:rsidRDefault="002E608D" w:rsidP="002E608D">
            <w:pPr>
              <w:pStyle w:val="Tabletext"/>
            </w:pPr>
            <w:r w:rsidRPr="002E608D">
              <w:t>4</w:t>
            </w:r>
            <w:r w:rsidR="00D7157D">
              <w:t>.</w:t>
            </w:r>
            <w:r w:rsidRPr="002E608D">
              <w:t>1479</w:t>
            </w:r>
          </w:p>
        </w:tc>
        <w:tc>
          <w:tcPr>
            <w:tcW w:w="966" w:type="pct"/>
            <w:tcBorders>
              <w:top w:val="single" w:sz="4" w:space="0" w:color="auto"/>
              <w:bottom w:val="single" w:sz="4" w:space="0" w:color="auto"/>
            </w:tcBorders>
            <w:shd w:val="clear" w:color="auto" w:fill="auto"/>
            <w:vAlign w:val="bottom"/>
          </w:tcPr>
          <w:p w14:paraId="5C674709" w14:textId="77777777" w:rsidR="002E608D" w:rsidRPr="002E608D" w:rsidRDefault="002E608D" w:rsidP="002E608D">
            <w:pPr>
              <w:pStyle w:val="Tabletext"/>
            </w:pPr>
            <w:r w:rsidRPr="002E608D">
              <w:t>27</w:t>
            </w:r>
            <w:r w:rsidR="00D7157D">
              <w:t>.</w:t>
            </w:r>
            <w:r w:rsidRPr="002E608D">
              <w:t>1630</w:t>
            </w:r>
          </w:p>
        </w:tc>
        <w:tc>
          <w:tcPr>
            <w:tcW w:w="966" w:type="pct"/>
            <w:tcBorders>
              <w:top w:val="single" w:sz="4" w:space="0" w:color="auto"/>
              <w:bottom w:val="single" w:sz="4" w:space="0" w:color="auto"/>
              <w:right w:val="nil"/>
            </w:tcBorders>
            <w:shd w:val="clear" w:color="auto" w:fill="auto"/>
            <w:vAlign w:val="bottom"/>
          </w:tcPr>
          <w:p w14:paraId="011D0D9F" w14:textId="77777777" w:rsidR="002E608D" w:rsidRPr="002E608D" w:rsidRDefault="002E608D" w:rsidP="002E608D">
            <w:pPr>
              <w:pStyle w:val="Tabletext"/>
            </w:pPr>
            <w:r w:rsidRPr="002E608D">
              <w:t>1</w:t>
            </w:r>
            <w:r w:rsidR="00D7157D">
              <w:t>.</w:t>
            </w:r>
            <w:r w:rsidRPr="002E608D">
              <w:t>1179</w:t>
            </w:r>
          </w:p>
        </w:tc>
      </w:tr>
      <w:tr w:rsidR="002E608D" w:rsidRPr="002E608D" w14:paraId="03CFB537" w14:textId="77777777" w:rsidTr="002E608D">
        <w:trPr>
          <w:cantSplit/>
        </w:trPr>
        <w:tc>
          <w:tcPr>
            <w:tcW w:w="1136" w:type="pct"/>
            <w:tcBorders>
              <w:top w:val="single" w:sz="4" w:space="0" w:color="auto"/>
              <w:bottom w:val="single" w:sz="4" w:space="0" w:color="auto"/>
            </w:tcBorders>
          </w:tcPr>
          <w:p w14:paraId="6B065C39" w14:textId="77777777" w:rsidR="002E608D" w:rsidRPr="002E608D" w:rsidRDefault="002E608D" w:rsidP="002E608D">
            <w:pPr>
              <w:pStyle w:val="Tabletext"/>
            </w:pPr>
            <w:r w:rsidRPr="002E608D">
              <w:t>52</w:t>
            </w:r>
          </w:p>
        </w:tc>
        <w:tc>
          <w:tcPr>
            <w:tcW w:w="966" w:type="pct"/>
            <w:tcBorders>
              <w:top w:val="single" w:sz="4" w:space="0" w:color="auto"/>
              <w:bottom w:val="single" w:sz="4" w:space="0" w:color="auto"/>
            </w:tcBorders>
            <w:shd w:val="clear" w:color="auto" w:fill="auto"/>
            <w:vAlign w:val="bottom"/>
          </w:tcPr>
          <w:p w14:paraId="6E0CF795" w14:textId="77777777" w:rsidR="002E608D" w:rsidRPr="002E608D" w:rsidRDefault="002E608D" w:rsidP="002E608D">
            <w:pPr>
              <w:pStyle w:val="Tabletext"/>
            </w:pPr>
            <w:r w:rsidRPr="002E608D">
              <w:t>24</w:t>
            </w:r>
            <w:r w:rsidR="00D7157D">
              <w:t>.</w:t>
            </w:r>
            <w:r w:rsidRPr="002E608D">
              <w:t>0036</w:t>
            </w:r>
          </w:p>
        </w:tc>
        <w:tc>
          <w:tcPr>
            <w:tcW w:w="966" w:type="pct"/>
            <w:tcBorders>
              <w:top w:val="single" w:sz="4" w:space="0" w:color="auto"/>
              <w:bottom w:val="single" w:sz="4" w:space="0" w:color="auto"/>
            </w:tcBorders>
            <w:shd w:val="clear" w:color="auto" w:fill="auto"/>
            <w:vAlign w:val="bottom"/>
          </w:tcPr>
          <w:p w14:paraId="0282F928" w14:textId="77777777" w:rsidR="002E608D" w:rsidRPr="002E608D" w:rsidRDefault="002E608D" w:rsidP="002E608D">
            <w:pPr>
              <w:pStyle w:val="Tabletext"/>
            </w:pPr>
            <w:r w:rsidRPr="002E608D">
              <w:t>3</w:t>
            </w:r>
            <w:r w:rsidR="00D7157D">
              <w:t>.</w:t>
            </w:r>
            <w:r w:rsidRPr="002E608D">
              <w:t>4070</w:t>
            </w:r>
          </w:p>
        </w:tc>
        <w:tc>
          <w:tcPr>
            <w:tcW w:w="966" w:type="pct"/>
            <w:tcBorders>
              <w:top w:val="single" w:sz="4" w:space="0" w:color="auto"/>
              <w:bottom w:val="single" w:sz="4" w:space="0" w:color="auto"/>
            </w:tcBorders>
            <w:shd w:val="clear" w:color="auto" w:fill="auto"/>
            <w:vAlign w:val="bottom"/>
          </w:tcPr>
          <w:p w14:paraId="759D27E7" w14:textId="77777777" w:rsidR="002E608D" w:rsidRPr="002E608D" w:rsidRDefault="002E608D" w:rsidP="002E608D">
            <w:pPr>
              <w:pStyle w:val="Tabletext"/>
            </w:pPr>
            <w:r w:rsidRPr="002E608D">
              <w:t>26</w:t>
            </w:r>
            <w:r w:rsidR="00D7157D">
              <w:t>.</w:t>
            </w:r>
            <w:r w:rsidRPr="002E608D">
              <w:t>5091</w:t>
            </w:r>
          </w:p>
        </w:tc>
        <w:tc>
          <w:tcPr>
            <w:tcW w:w="966" w:type="pct"/>
            <w:tcBorders>
              <w:top w:val="single" w:sz="4" w:space="0" w:color="auto"/>
              <w:bottom w:val="single" w:sz="4" w:space="0" w:color="auto"/>
              <w:right w:val="nil"/>
            </w:tcBorders>
            <w:shd w:val="clear" w:color="auto" w:fill="auto"/>
            <w:vAlign w:val="bottom"/>
          </w:tcPr>
          <w:p w14:paraId="2910C7DA" w14:textId="77777777" w:rsidR="002E608D" w:rsidRPr="002E608D" w:rsidRDefault="002E608D" w:rsidP="002E608D">
            <w:pPr>
              <w:pStyle w:val="Tabletext"/>
            </w:pPr>
            <w:r w:rsidRPr="002E608D">
              <w:t>0</w:t>
            </w:r>
            <w:r w:rsidR="00D7157D">
              <w:t>.</w:t>
            </w:r>
            <w:r w:rsidRPr="002E608D">
              <w:t>9166</w:t>
            </w:r>
          </w:p>
        </w:tc>
      </w:tr>
      <w:tr w:rsidR="002E608D" w:rsidRPr="002E608D" w14:paraId="625AC5C2" w14:textId="77777777" w:rsidTr="002E608D">
        <w:trPr>
          <w:cantSplit/>
        </w:trPr>
        <w:tc>
          <w:tcPr>
            <w:tcW w:w="1136" w:type="pct"/>
            <w:tcBorders>
              <w:top w:val="single" w:sz="4" w:space="0" w:color="auto"/>
              <w:bottom w:val="single" w:sz="4" w:space="0" w:color="auto"/>
            </w:tcBorders>
          </w:tcPr>
          <w:p w14:paraId="5267A93D" w14:textId="77777777" w:rsidR="002E608D" w:rsidRPr="002E608D" w:rsidRDefault="002E608D" w:rsidP="002E608D">
            <w:pPr>
              <w:pStyle w:val="Tabletext"/>
            </w:pPr>
            <w:r w:rsidRPr="002E608D">
              <w:t>53</w:t>
            </w:r>
          </w:p>
        </w:tc>
        <w:tc>
          <w:tcPr>
            <w:tcW w:w="966" w:type="pct"/>
            <w:tcBorders>
              <w:top w:val="single" w:sz="4" w:space="0" w:color="auto"/>
              <w:bottom w:val="single" w:sz="4" w:space="0" w:color="auto"/>
            </w:tcBorders>
            <w:shd w:val="clear" w:color="auto" w:fill="auto"/>
            <w:vAlign w:val="bottom"/>
          </w:tcPr>
          <w:p w14:paraId="6DD47415" w14:textId="77777777" w:rsidR="002E608D" w:rsidRPr="002E608D" w:rsidRDefault="002E608D" w:rsidP="002E608D">
            <w:pPr>
              <w:pStyle w:val="Tabletext"/>
            </w:pPr>
            <w:r w:rsidRPr="002E608D">
              <w:t>23</w:t>
            </w:r>
            <w:r w:rsidR="00D7157D">
              <w:t>.</w:t>
            </w:r>
            <w:r w:rsidRPr="002E608D">
              <w:t>3684</w:t>
            </w:r>
          </w:p>
        </w:tc>
        <w:tc>
          <w:tcPr>
            <w:tcW w:w="966" w:type="pct"/>
            <w:tcBorders>
              <w:top w:val="single" w:sz="4" w:space="0" w:color="auto"/>
              <w:bottom w:val="single" w:sz="4" w:space="0" w:color="auto"/>
            </w:tcBorders>
            <w:shd w:val="clear" w:color="auto" w:fill="auto"/>
            <w:vAlign w:val="bottom"/>
          </w:tcPr>
          <w:p w14:paraId="0A762B30" w14:textId="77777777" w:rsidR="002E608D" w:rsidRPr="002E608D" w:rsidRDefault="002E608D" w:rsidP="002E608D">
            <w:pPr>
              <w:pStyle w:val="Tabletext"/>
            </w:pPr>
            <w:r w:rsidRPr="002E608D">
              <w:t>2</w:t>
            </w:r>
            <w:r w:rsidR="00D7157D">
              <w:t>.</w:t>
            </w:r>
            <w:r w:rsidRPr="002E608D">
              <w:t>6686</w:t>
            </w:r>
          </w:p>
        </w:tc>
        <w:tc>
          <w:tcPr>
            <w:tcW w:w="966" w:type="pct"/>
            <w:tcBorders>
              <w:top w:val="single" w:sz="4" w:space="0" w:color="auto"/>
              <w:bottom w:val="single" w:sz="4" w:space="0" w:color="auto"/>
            </w:tcBorders>
            <w:shd w:val="clear" w:color="auto" w:fill="auto"/>
            <w:vAlign w:val="bottom"/>
          </w:tcPr>
          <w:p w14:paraId="72639718" w14:textId="77777777" w:rsidR="002E608D" w:rsidRPr="002E608D" w:rsidRDefault="002E608D" w:rsidP="002E608D">
            <w:pPr>
              <w:pStyle w:val="Tabletext"/>
            </w:pPr>
            <w:r w:rsidRPr="002E608D">
              <w:t>25</w:t>
            </w:r>
            <w:r w:rsidR="00D7157D">
              <w:t>.</w:t>
            </w:r>
            <w:r w:rsidRPr="002E608D">
              <w:t>8536</w:t>
            </w:r>
          </w:p>
        </w:tc>
        <w:tc>
          <w:tcPr>
            <w:tcW w:w="966" w:type="pct"/>
            <w:tcBorders>
              <w:top w:val="single" w:sz="4" w:space="0" w:color="auto"/>
              <w:bottom w:val="single" w:sz="4" w:space="0" w:color="auto"/>
              <w:right w:val="nil"/>
            </w:tcBorders>
            <w:shd w:val="clear" w:color="auto" w:fill="auto"/>
            <w:vAlign w:val="bottom"/>
          </w:tcPr>
          <w:p w14:paraId="71A85892" w14:textId="77777777" w:rsidR="002E608D" w:rsidRPr="002E608D" w:rsidRDefault="002E608D" w:rsidP="002E608D">
            <w:pPr>
              <w:pStyle w:val="Tabletext"/>
            </w:pPr>
            <w:r w:rsidRPr="002E608D">
              <w:t>0</w:t>
            </w:r>
            <w:r w:rsidR="00D7157D">
              <w:t>.</w:t>
            </w:r>
            <w:r w:rsidRPr="002E608D">
              <w:t>7166</w:t>
            </w:r>
          </w:p>
        </w:tc>
      </w:tr>
      <w:tr w:rsidR="002E608D" w:rsidRPr="002E608D" w14:paraId="120423F1" w14:textId="77777777" w:rsidTr="002E608D">
        <w:trPr>
          <w:cantSplit/>
        </w:trPr>
        <w:tc>
          <w:tcPr>
            <w:tcW w:w="1136" w:type="pct"/>
            <w:tcBorders>
              <w:top w:val="single" w:sz="4" w:space="0" w:color="auto"/>
              <w:bottom w:val="single" w:sz="4" w:space="0" w:color="auto"/>
            </w:tcBorders>
          </w:tcPr>
          <w:p w14:paraId="4F6192E5" w14:textId="77777777" w:rsidR="002E608D" w:rsidRPr="002E608D" w:rsidRDefault="002E608D" w:rsidP="002E608D">
            <w:pPr>
              <w:pStyle w:val="Tabletext"/>
            </w:pPr>
            <w:r w:rsidRPr="002E608D">
              <w:t>54</w:t>
            </w:r>
          </w:p>
        </w:tc>
        <w:tc>
          <w:tcPr>
            <w:tcW w:w="966" w:type="pct"/>
            <w:tcBorders>
              <w:top w:val="single" w:sz="4" w:space="0" w:color="auto"/>
              <w:bottom w:val="single" w:sz="4" w:space="0" w:color="auto"/>
            </w:tcBorders>
            <w:shd w:val="clear" w:color="auto" w:fill="auto"/>
            <w:vAlign w:val="bottom"/>
          </w:tcPr>
          <w:p w14:paraId="6D4D38D9" w14:textId="77777777" w:rsidR="002E608D" w:rsidRPr="002E608D" w:rsidRDefault="002E608D" w:rsidP="002E608D">
            <w:pPr>
              <w:pStyle w:val="Tabletext"/>
            </w:pPr>
            <w:r w:rsidRPr="002E608D">
              <w:t>22</w:t>
            </w:r>
            <w:r w:rsidR="00D7157D">
              <w:t>.</w:t>
            </w:r>
            <w:r w:rsidRPr="002E608D">
              <w:t>7344</w:t>
            </w:r>
          </w:p>
        </w:tc>
        <w:tc>
          <w:tcPr>
            <w:tcW w:w="966" w:type="pct"/>
            <w:tcBorders>
              <w:top w:val="single" w:sz="4" w:space="0" w:color="auto"/>
              <w:bottom w:val="single" w:sz="4" w:space="0" w:color="auto"/>
            </w:tcBorders>
            <w:shd w:val="clear" w:color="auto" w:fill="auto"/>
            <w:vAlign w:val="bottom"/>
          </w:tcPr>
          <w:p w14:paraId="468ADEFB" w14:textId="77777777" w:rsidR="002E608D" w:rsidRPr="002E608D" w:rsidRDefault="002E608D" w:rsidP="002E608D">
            <w:pPr>
              <w:pStyle w:val="Tabletext"/>
            </w:pPr>
            <w:r w:rsidRPr="002E608D">
              <w:t>1</w:t>
            </w:r>
            <w:r w:rsidR="00D7157D">
              <w:t>.</w:t>
            </w:r>
            <w:r w:rsidRPr="002E608D">
              <w:t>9336</w:t>
            </w:r>
          </w:p>
        </w:tc>
        <w:tc>
          <w:tcPr>
            <w:tcW w:w="966" w:type="pct"/>
            <w:tcBorders>
              <w:top w:val="single" w:sz="4" w:space="0" w:color="auto"/>
              <w:bottom w:val="single" w:sz="4" w:space="0" w:color="auto"/>
            </w:tcBorders>
            <w:shd w:val="clear" w:color="auto" w:fill="auto"/>
            <w:vAlign w:val="bottom"/>
          </w:tcPr>
          <w:p w14:paraId="589930A7" w14:textId="77777777" w:rsidR="002E608D" w:rsidRPr="002E608D" w:rsidRDefault="002E608D" w:rsidP="002E608D">
            <w:pPr>
              <w:pStyle w:val="Tabletext"/>
            </w:pPr>
            <w:r w:rsidRPr="002E608D">
              <w:t>25</w:t>
            </w:r>
            <w:r w:rsidR="00D7157D">
              <w:t>.</w:t>
            </w:r>
            <w:r w:rsidRPr="002E608D">
              <w:t>1968</w:t>
            </w:r>
          </w:p>
        </w:tc>
        <w:tc>
          <w:tcPr>
            <w:tcW w:w="966" w:type="pct"/>
            <w:tcBorders>
              <w:top w:val="single" w:sz="4" w:space="0" w:color="auto"/>
              <w:bottom w:val="single" w:sz="4" w:space="0" w:color="auto"/>
              <w:right w:val="nil"/>
            </w:tcBorders>
            <w:shd w:val="clear" w:color="auto" w:fill="auto"/>
            <w:vAlign w:val="bottom"/>
          </w:tcPr>
          <w:p w14:paraId="07EC5EF9" w14:textId="77777777" w:rsidR="002E608D" w:rsidRPr="002E608D" w:rsidRDefault="002E608D" w:rsidP="002E608D">
            <w:pPr>
              <w:pStyle w:val="Tabletext"/>
            </w:pPr>
            <w:r w:rsidRPr="002E608D">
              <w:t>0</w:t>
            </w:r>
            <w:r w:rsidR="00D7157D">
              <w:t>.</w:t>
            </w:r>
            <w:r w:rsidRPr="002E608D">
              <w:t>5183</w:t>
            </w:r>
          </w:p>
        </w:tc>
      </w:tr>
      <w:tr w:rsidR="002E608D" w:rsidRPr="002E608D" w14:paraId="16FC443B" w14:textId="77777777" w:rsidTr="002E608D">
        <w:trPr>
          <w:cantSplit/>
        </w:trPr>
        <w:tc>
          <w:tcPr>
            <w:tcW w:w="1136" w:type="pct"/>
            <w:tcBorders>
              <w:top w:val="single" w:sz="4" w:space="0" w:color="auto"/>
              <w:bottom w:val="single" w:sz="4" w:space="0" w:color="auto"/>
            </w:tcBorders>
          </w:tcPr>
          <w:p w14:paraId="43E391D8" w14:textId="77777777" w:rsidR="002E608D" w:rsidRPr="002E608D" w:rsidRDefault="002E608D" w:rsidP="002E608D">
            <w:pPr>
              <w:pStyle w:val="Tabletext"/>
            </w:pPr>
            <w:r w:rsidRPr="002E608D">
              <w:t>55</w:t>
            </w:r>
          </w:p>
        </w:tc>
        <w:tc>
          <w:tcPr>
            <w:tcW w:w="966" w:type="pct"/>
            <w:tcBorders>
              <w:top w:val="single" w:sz="4" w:space="0" w:color="auto"/>
              <w:bottom w:val="single" w:sz="4" w:space="0" w:color="auto"/>
            </w:tcBorders>
            <w:shd w:val="clear" w:color="auto" w:fill="auto"/>
            <w:vAlign w:val="bottom"/>
          </w:tcPr>
          <w:p w14:paraId="0C5ED547" w14:textId="77777777" w:rsidR="002E608D" w:rsidRPr="002E608D" w:rsidRDefault="002E608D" w:rsidP="002E608D">
            <w:pPr>
              <w:pStyle w:val="Tabletext"/>
            </w:pPr>
            <w:r w:rsidRPr="002E608D">
              <w:t>22</w:t>
            </w:r>
            <w:r w:rsidR="00D7157D">
              <w:t>.</w:t>
            </w:r>
            <w:r w:rsidRPr="002E608D">
              <w:t>1027</w:t>
            </w:r>
          </w:p>
        </w:tc>
        <w:tc>
          <w:tcPr>
            <w:tcW w:w="966" w:type="pct"/>
            <w:tcBorders>
              <w:top w:val="single" w:sz="4" w:space="0" w:color="auto"/>
              <w:bottom w:val="single" w:sz="4" w:space="0" w:color="auto"/>
            </w:tcBorders>
            <w:shd w:val="clear" w:color="auto" w:fill="auto"/>
            <w:vAlign w:val="bottom"/>
          </w:tcPr>
          <w:p w14:paraId="2D28B50C" w14:textId="77777777" w:rsidR="002E608D" w:rsidRPr="002E608D" w:rsidRDefault="002E608D" w:rsidP="002E608D">
            <w:pPr>
              <w:pStyle w:val="Tabletext"/>
            </w:pPr>
            <w:r w:rsidRPr="002E608D">
              <w:t>1</w:t>
            </w:r>
            <w:r w:rsidR="00D7157D">
              <w:t>.</w:t>
            </w:r>
            <w:r w:rsidRPr="002E608D">
              <w:t>2033</w:t>
            </w:r>
          </w:p>
        </w:tc>
        <w:tc>
          <w:tcPr>
            <w:tcW w:w="966" w:type="pct"/>
            <w:tcBorders>
              <w:top w:val="single" w:sz="4" w:space="0" w:color="auto"/>
              <w:bottom w:val="single" w:sz="4" w:space="0" w:color="auto"/>
            </w:tcBorders>
            <w:shd w:val="clear" w:color="auto" w:fill="auto"/>
            <w:vAlign w:val="bottom"/>
          </w:tcPr>
          <w:p w14:paraId="0DB6664D" w14:textId="77777777" w:rsidR="002E608D" w:rsidRPr="002E608D" w:rsidRDefault="002E608D" w:rsidP="002E608D">
            <w:pPr>
              <w:pStyle w:val="Tabletext"/>
            </w:pPr>
            <w:r w:rsidRPr="002E608D">
              <w:t>24</w:t>
            </w:r>
            <w:r w:rsidR="00D7157D">
              <w:t>.</w:t>
            </w:r>
            <w:r w:rsidRPr="002E608D">
              <w:t>5385</w:t>
            </w:r>
          </w:p>
        </w:tc>
        <w:tc>
          <w:tcPr>
            <w:tcW w:w="966" w:type="pct"/>
            <w:tcBorders>
              <w:top w:val="single" w:sz="4" w:space="0" w:color="auto"/>
              <w:bottom w:val="single" w:sz="4" w:space="0" w:color="auto"/>
              <w:right w:val="nil"/>
            </w:tcBorders>
            <w:shd w:val="clear" w:color="auto" w:fill="auto"/>
            <w:vAlign w:val="bottom"/>
          </w:tcPr>
          <w:p w14:paraId="297F62C1" w14:textId="77777777" w:rsidR="002E608D" w:rsidRPr="002E608D" w:rsidRDefault="002E608D" w:rsidP="002E608D">
            <w:pPr>
              <w:pStyle w:val="Tabletext"/>
            </w:pPr>
            <w:r w:rsidRPr="002E608D">
              <w:t>0</w:t>
            </w:r>
            <w:r w:rsidR="00D7157D">
              <w:t>.</w:t>
            </w:r>
            <w:r w:rsidRPr="002E608D">
              <w:t>3219</w:t>
            </w:r>
          </w:p>
        </w:tc>
      </w:tr>
      <w:tr w:rsidR="002E608D" w:rsidRPr="002E608D" w14:paraId="5E34EDEC" w14:textId="77777777" w:rsidTr="002E608D">
        <w:trPr>
          <w:cantSplit/>
        </w:trPr>
        <w:tc>
          <w:tcPr>
            <w:tcW w:w="1136" w:type="pct"/>
            <w:tcBorders>
              <w:top w:val="single" w:sz="4" w:space="0" w:color="auto"/>
              <w:bottom w:val="single" w:sz="4" w:space="0" w:color="auto"/>
            </w:tcBorders>
          </w:tcPr>
          <w:p w14:paraId="66D25529" w14:textId="77777777" w:rsidR="002E608D" w:rsidRPr="002E608D" w:rsidRDefault="002E608D" w:rsidP="002E608D">
            <w:pPr>
              <w:pStyle w:val="Tabletext"/>
            </w:pPr>
            <w:r w:rsidRPr="002E608D">
              <w:t>56</w:t>
            </w:r>
          </w:p>
        </w:tc>
        <w:tc>
          <w:tcPr>
            <w:tcW w:w="966" w:type="pct"/>
            <w:tcBorders>
              <w:top w:val="single" w:sz="4" w:space="0" w:color="auto"/>
              <w:bottom w:val="single" w:sz="4" w:space="0" w:color="auto"/>
            </w:tcBorders>
            <w:shd w:val="clear" w:color="auto" w:fill="auto"/>
            <w:vAlign w:val="bottom"/>
          </w:tcPr>
          <w:p w14:paraId="2E19FBE8" w14:textId="77777777" w:rsidR="002E608D" w:rsidRPr="002E608D" w:rsidRDefault="002E608D" w:rsidP="002E608D">
            <w:pPr>
              <w:pStyle w:val="Tabletext"/>
            </w:pPr>
            <w:r w:rsidRPr="002E608D">
              <w:t>21</w:t>
            </w:r>
            <w:r w:rsidR="00D7157D">
              <w:t>.</w:t>
            </w:r>
            <w:r w:rsidRPr="002E608D">
              <w:t>4735</w:t>
            </w:r>
          </w:p>
        </w:tc>
        <w:tc>
          <w:tcPr>
            <w:tcW w:w="966" w:type="pct"/>
            <w:tcBorders>
              <w:top w:val="single" w:sz="4" w:space="0" w:color="auto"/>
              <w:bottom w:val="single" w:sz="4" w:space="0" w:color="auto"/>
            </w:tcBorders>
            <w:shd w:val="clear" w:color="auto" w:fill="auto"/>
            <w:vAlign w:val="bottom"/>
          </w:tcPr>
          <w:p w14:paraId="35E1D058" w14:textId="77777777" w:rsidR="002E608D" w:rsidRPr="002E608D" w:rsidRDefault="002E608D" w:rsidP="002E608D">
            <w:pPr>
              <w:pStyle w:val="Tabletext"/>
            </w:pPr>
            <w:r w:rsidRPr="002E608D">
              <w:t>1</w:t>
            </w:r>
            <w:r w:rsidR="00D7157D">
              <w:t>.</w:t>
            </w:r>
            <w:r w:rsidRPr="002E608D">
              <w:t>1972</w:t>
            </w:r>
          </w:p>
        </w:tc>
        <w:tc>
          <w:tcPr>
            <w:tcW w:w="966" w:type="pct"/>
            <w:tcBorders>
              <w:top w:val="single" w:sz="4" w:space="0" w:color="auto"/>
              <w:bottom w:val="single" w:sz="4" w:space="0" w:color="auto"/>
            </w:tcBorders>
            <w:shd w:val="clear" w:color="auto" w:fill="auto"/>
            <w:vAlign w:val="bottom"/>
          </w:tcPr>
          <w:p w14:paraId="33028A60" w14:textId="77777777" w:rsidR="002E608D" w:rsidRPr="002E608D" w:rsidRDefault="002E608D" w:rsidP="002E608D">
            <w:pPr>
              <w:pStyle w:val="Tabletext"/>
            </w:pPr>
            <w:r w:rsidRPr="002E608D">
              <w:t>23</w:t>
            </w:r>
            <w:r w:rsidR="00D7157D">
              <w:t>.</w:t>
            </w:r>
            <w:r w:rsidRPr="002E608D">
              <w:t>8789</w:t>
            </w:r>
          </w:p>
        </w:tc>
        <w:tc>
          <w:tcPr>
            <w:tcW w:w="966" w:type="pct"/>
            <w:tcBorders>
              <w:top w:val="single" w:sz="4" w:space="0" w:color="auto"/>
              <w:bottom w:val="single" w:sz="4" w:space="0" w:color="auto"/>
              <w:right w:val="nil"/>
            </w:tcBorders>
            <w:shd w:val="clear" w:color="auto" w:fill="auto"/>
            <w:vAlign w:val="bottom"/>
          </w:tcPr>
          <w:p w14:paraId="03834684" w14:textId="77777777" w:rsidR="002E608D" w:rsidRPr="002E608D" w:rsidRDefault="002E608D" w:rsidP="002E608D">
            <w:pPr>
              <w:pStyle w:val="Tabletext"/>
            </w:pPr>
            <w:r w:rsidRPr="002E608D">
              <w:t>0</w:t>
            </w:r>
            <w:r w:rsidR="00D7157D">
              <w:t>.</w:t>
            </w:r>
            <w:r w:rsidRPr="002E608D">
              <w:t>3197</w:t>
            </w:r>
          </w:p>
        </w:tc>
      </w:tr>
      <w:tr w:rsidR="002E608D" w:rsidRPr="002E608D" w14:paraId="23AA3D42" w14:textId="77777777" w:rsidTr="002E608D">
        <w:trPr>
          <w:cantSplit/>
        </w:trPr>
        <w:tc>
          <w:tcPr>
            <w:tcW w:w="1136" w:type="pct"/>
            <w:tcBorders>
              <w:top w:val="single" w:sz="4" w:space="0" w:color="auto"/>
              <w:bottom w:val="single" w:sz="4" w:space="0" w:color="auto"/>
            </w:tcBorders>
          </w:tcPr>
          <w:p w14:paraId="2F986AE0" w14:textId="77777777" w:rsidR="002E608D" w:rsidRPr="002E608D" w:rsidRDefault="002E608D" w:rsidP="002E608D">
            <w:pPr>
              <w:pStyle w:val="Tabletext"/>
            </w:pPr>
            <w:r w:rsidRPr="002E608D">
              <w:t>57</w:t>
            </w:r>
          </w:p>
        </w:tc>
        <w:tc>
          <w:tcPr>
            <w:tcW w:w="966" w:type="pct"/>
            <w:tcBorders>
              <w:top w:val="single" w:sz="4" w:space="0" w:color="auto"/>
              <w:bottom w:val="single" w:sz="4" w:space="0" w:color="auto"/>
            </w:tcBorders>
            <w:shd w:val="clear" w:color="auto" w:fill="auto"/>
            <w:vAlign w:val="bottom"/>
          </w:tcPr>
          <w:p w14:paraId="0548DBAF" w14:textId="77777777" w:rsidR="002E608D" w:rsidRPr="002E608D" w:rsidRDefault="002E608D" w:rsidP="002E608D">
            <w:pPr>
              <w:pStyle w:val="Tabletext"/>
            </w:pPr>
            <w:r w:rsidRPr="002E608D">
              <w:t>20</w:t>
            </w:r>
            <w:r w:rsidR="00D7157D">
              <w:t>.</w:t>
            </w:r>
            <w:r w:rsidRPr="002E608D">
              <w:t>8472</w:t>
            </w:r>
          </w:p>
        </w:tc>
        <w:tc>
          <w:tcPr>
            <w:tcW w:w="966" w:type="pct"/>
            <w:tcBorders>
              <w:top w:val="single" w:sz="4" w:space="0" w:color="auto"/>
              <w:bottom w:val="single" w:sz="4" w:space="0" w:color="auto"/>
            </w:tcBorders>
            <w:shd w:val="clear" w:color="auto" w:fill="auto"/>
            <w:vAlign w:val="bottom"/>
          </w:tcPr>
          <w:p w14:paraId="572086EA" w14:textId="77777777" w:rsidR="002E608D" w:rsidRPr="002E608D" w:rsidRDefault="002E608D" w:rsidP="002E608D">
            <w:pPr>
              <w:pStyle w:val="Tabletext"/>
            </w:pPr>
            <w:r w:rsidRPr="002E608D">
              <w:t>1</w:t>
            </w:r>
            <w:r w:rsidR="00D7157D">
              <w:t>.</w:t>
            </w:r>
            <w:r w:rsidRPr="002E608D">
              <w:t>1903</w:t>
            </w:r>
          </w:p>
        </w:tc>
        <w:tc>
          <w:tcPr>
            <w:tcW w:w="966" w:type="pct"/>
            <w:tcBorders>
              <w:top w:val="single" w:sz="4" w:space="0" w:color="auto"/>
              <w:bottom w:val="single" w:sz="4" w:space="0" w:color="auto"/>
            </w:tcBorders>
            <w:shd w:val="clear" w:color="auto" w:fill="auto"/>
            <w:vAlign w:val="bottom"/>
          </w:tcPr>
          <w:p w14:paraId="15E49DA5" w14:textId="77777777" w:rsidR="002E608D" w:rsidRPr="002E608D" w:rsidRDefault="002E608D" w:rsidP="002E608D">
            <w:pPr>
              <w:pStyle w:val="Tabletext"/>
            </w:pPr>
            <w:r w:rsidRPr="002E608D">
              <w:t>23</w:t>
            </w:r>
            <w:r w:rsidR="00D7157D">
              <w:t>.</w:t>
            </w:r>
            <w:r w:rsidRPr="002E608D">
              <w:t>2185</w:t>
            </w:r>
          </w:p>
        </w:tc>
        <w:tc>
          <w:tcPr>
            <w:tcW w:w="966" w:type="pct"/>
            <w:tcBorders>
              <w:top w:val="single" w:sz="4" w:space="0" w:color="auto"/>
              <w:bottom w:val="single" w:sz="4" w:space="0" w:color="auto"/>
              <w:right w:val="nil"/>
            </w:tcBorders>
            <w:shd w:val="clear" w:color="auto" w:fill="auto"/>
            <w:vAlign w:val="bottom"/>
          </w:tcPr>
          <w:p w14:paraId="7E808639" w14:textId="77777777" w:rsidR="002E608D" w:rsidRPr="002E608D" w:rsidRDefault="002E608D" w:rsidP="002E608D">
            <w:pPr>
              <w:pStyle w:val="Tabletext"/>
            </w:pPr>
            <w:r w:rsidRPr="002E608D">
              <w:t>0</w:t>
            </w:r>
            <w:r w:rsidR="00D7157D">
              <w:t>.</w:t>
            </w:r>
            <w:r w:rsidRPr="002E608D">
              <w:t>3174</w:t>
            </w:r>
          </w:p>
        </w:tc>
      </w:tr>
      <w:tr w:rsidR="002E608D" w:rsidRPr="002E608D" w14:paraId="5F8FC101" w14:textId="77777777" w:rsidTr="002E608D">
        <w:trPr>
          <w:cantSplit/>
        </w:trPr>
        <w:tc>
          <w:tcPr>
            <w:tcW w:w="1136" w:type="pct"/>
            <w:tcBorders>
              <w:top w:val="single" w:sz="4" w:space="0" w:color="auto"/>
              <w:bottom w:val="single" w:sz="4" w:space="0" w:color="auto"/>
            </w:tcBorders>
          </w:tcPr>
          <w:p w14:paraId="54FCCCE4" w14:textId="77777777" w:rsidR="002E608D" w:rsidRPr="002E608D" w:rsidRDefault="002E608D" w:rsidP="002E608D">
            <w:pPr>
              <w:pStyle w:val="Tabletext"/>
            </w:pPr>
            <w:r w:rsidRPr="002E608D">
              <w:t>58</w:t>
            </w:r>
          </w:p>
        </w:tc>
        <w:tc>
          <w:tcPr>
            <w:tcW w:w="966" w:type="pct"/>
            <w:tcBorders>
              <w:top w:val="single" w:sz="4" w:space="0" w:color="auto"/>
              <w:bottom w:val="single" w:sz="4" w:space="0" w:color="auto"/>
            </w:tcBorders>
            <w:shd w:val="clear" w:color="auto" w:fill="auto"/>
            <w:vAlign w:val="bottom"/>
          </w:tcPr>
          <w:p w14:paraId="014D1E59" w14:textId="77777777" w:rsidR="002E608D" w:rsidRPr="002E608D" w:rsidRDefault="002E608D" w:rsidP="002E608D">
            <w:pPr>
              <w:pStyle w:val="Tabletext"/>
            </w:pPr>
            <w:r w:rsidRPr="002E608D">
              <w:t>20</w:t>
            </w:r>
            <w:r w:rsidR="00D7157D">
              <w:t>.</w:t>
            </w:r>
            <w:r w:rsidRPr="002E608D">
              <w:t>2243</w:t>
            </w:r>
          </w:p>
        </w:tc>
        <w:tc>
          <w:tcPr>
            <w:tcW w:w="966" w:type="pct"/>
            <w:tcBorders>
              <w:top w:val="single" w:sz="4" w:space="0" w:color="auto"/>
              <w:bottom w:val="single" w:sz="4" w:space="0" w:color="auto"/>
            </w:tcBorders>
            <w:shd w:val="clear" w:color="auto" w:fill="auto"/>
            <w:vAlign w:val="bottom"/>
          </w:tcPr>
          <w:p w14:paraId="0691F5CE" w14:textId="77777777" w:rsidR="002E608D" w:rsidRPr="002E608D" w:rsidRDefault="002E608D" w:rsidP="002E608D">
            <w:pPr>
              <w:pStyle w:val="Tabletext"/>
            </w:pPr>
            <w:r w:rsidRPr="002E608D">
              <w:t>1</w:t>
            </w:r>
            <w:r w:rsidR="00D7157D">
              <w:t>.</w:t>
            </w:r>
            <w:r w:rsidRPr="002E608D">
              <w:t>1825</w:t>
            </w:r>
          </w:p>
        </w:tc>
        <w:tc>
          <w:tcPr>
            <w:tcW w:w="966" w:type="pct"/>
            <w:tcBorders>
              <w:top w:val="single" w:sz="4" w:space="0" w:color="auto"/>
              <w:bottom w:val="single" w:sz="4" w:space="0" w:color="auto"/>
            </w:tcBorders>
            <w:shd w:val="clear" w:color="auto" w:fill="auto"/>
            <w:vAlign w:val="bottom"/>
          </w:tcPr>
          <w:p w14:paraId="288F9F87" w14:textId="77777777" w:rsidR="002E608D" w:rsidRPr="002E608D" w:rsidRDefault="002E608D" w:rsidP="002E608D">
            <w:pPr>
              <w:pStyle w:val="Tabletext"/>
            </w:pPr>
            <w:r w:rsidRPr="002E608D">
              <w:t>22</w:t>
            </w:r>
            <w:r w:rsidR="00D7157D">
              <w:t>.</w:t>
            </w:r>
            <w:r w:rsidRPr="002E608D">
              <w:t>5567</w:t>
            </w:r>
          </w:p>
        </w:tc>
        <w:tc>
          <w:tcPr>
            <w:tcW w:w="966" w:type="pct"/>
            <w:tcBorders>
              <w:top w:val="single" w:sz="4" w:space="0" w:color="auto"/>
              <w:bottom w:val="single" w:sz="4" w:space="0" w:color="auto"/>
              <w:right w:val="nil"/>
            </w:tcBorders>
            <w:shd w:val="clear" w:color="auto" w:fill="auto"/>
            <w:vAlign w:val="bottom"/>
          </w:tcPr>
          <w:p w14:paraId="28E7CC27" w14:textId="77777777" w:rsidR="002E608D" w:rsidRPr="002E608D" w:rsidRDefault="002E608D" w:rsidP="002E608D">
            <w:pPr>
              <w:pStyle w:val="Tabletext"/>
            </w:pPr>
            <w:r w:rsidRPr="002E608D">
              <w:t>0</w:t>
            </w:r>
            <w:r w:rsidR="00D7157D">
              <w:t>.</w:t>
            </w:r>
            <w:r w:rsidRPr="002E608D">
              <w:t>3148</w:t>
            </w:r>
          </w:p>
        </w:tc>
      </w:tr>
      <w:tr w:rsidR="002E608D" w:rsidRPr="002E608D" w14:paraId="100FB712" w14:textId="77777777" w:rsidTr="002E608D">
        <w:trPr>
          <w:cantSplit/>
        </w:trPr>
        <w:tc>
          <w:tcPr>
            <w:tcW w:w="1136" w:type="pct"/>
            <w:tcBorders>
              <w:top w:val="single" w:sz="4" w:space="0" w:color="auto"/>
              <w:bottom w:val="single" w:sz="4" w:space="0" w:color="auto"/>
            </w:tcBorders>
          </w:tcPr>
          <w:p w14:paraId="28EC3AD7" w14:textId="77777777" w:rsidR="002E608D" w:rsidRPr="002E608D" w:rsidRDefault="002E608D" w:rsidP="002E608D">
            <w:pPr>
              <w:pStyle w:val="Tabletext"/>
            </w:pPr>
            <w:r w:rsidRPr="002E608D">
              <w:t>59</w:t>
            </w:r>
          </w:p>
        </w:tc>
        <w:tc>
          <w:tcPr>
            <w:tcW w:w="966" w:type="pct"/>
            <w:tcBorders>
              <w:top w:val="single" w:sz="4" w:space="0" w:color="auto"/>
              <w:bottom w:val="single" w:sz="4" w:space="0" w:color="auto"/>
            </w:tcBorders>
            <w:shd w:val="clear" w:color="auto" w:fill="auto"/>
            <w:vAlign w:val="bottom"/>
          </w:tcPr>
          <w:p w14:paraId="099A0275" w14:textId="77777777" w:rsidR="002E608D" w:rsidRPr="002E608D" w:rsidRDefault="002E608D" w:rsidP="002E608D">
            <w:pPr>
              <w:pStyle w:val="Tabletext"/>
            </w:pPr>
            <w:r w:rsidRPr="002E608D">
              <w:t>19</w:t>
            </w:r>
            <w:r w:rsidR="00D7157D">
              <w:t>.</w:t>
            </w:r>
            <w:r w:rsidRPr="002E608D">
              <w:t>6046</w:t>
            </w:r>
          </w:p>
        </w:tc>
        <w:tc>
          <w:tcPr>
            <w:tcW w:w="966" w:type="pct"/>
            <w:tcBorders>
              <w:top w:val="single" w:sz="4" w:space="0" w:color="auto"/>
              <w:bottom w:val="single" w:sz="4" w:space="0" w:color="auto"/>
            </w:tcBorders>
            <w:shd w:val="clear" w:color="auto" w:fill="auto"/>
            <w:vAlign w:val="bottom"/>
          </w:tcPr>
          <w:p w14:paraId="745CE664" w14:textId="77777777" w:rsidR="002E608D" w:rsidRPr="002E608D" w:rsidRDefault="002E608D" w:rsidP="002E608D">
            <w:pPr>
              <w:pStyle w:val="Tabletext"/>
            </w:pPr>
            <w:r w:rsidRPr="002E608D">
              <w:t>1</w:t>
            </w:r>
            <w:r w:rsidR="00D7157D">
              <w:t>.</w:t>
            </w:r>
            <w:r w:rsidRPr="002E608D">
              <w:t>1739</w:t>
            </w:r>
          </w:p>
        </w:tc>
        <w:tc>
          <w:tcPr>
            <w:tcW w:w="966" w:type="pct"/>
            <w:tcBorders>
              <w:top w:val="single" w:sz="4" w:space="0" w:color="auto"/>
              <w:bottom w:val="single" w:sz="4" w:space="0" w:color="auto"/>
            </w:tcBorders>
            <w:shd w:val="clear" w:color="auto" w:fill="auto"/>
            <w:vAlign w:val="bottom"/>
          </w:tcPr>
          <w:p w14:paraId="2AFF8AC2" w14:textId="77777777" w:rsidR="002E608D" w:rsidRPr="002E608D" w:rsidRDefault="002E608D" w:rsidP="002E608D">
            <w:pPr>
              <w:pStyle w:val="Tabletext"/>
            </w:pPr>
            <w:r w:rsidRPr="002E608D">
              <w:t>21</w:t>
            </w:r>
            <w:r w:rsidR="00D7157D">
              <w:t>.</w:t>
            </w:r>
            <w:r w:rsidRPr="002E608D">
              <w:t>8937</w:t>
            </w:r>
          </w:p>
        </w:tc>
        <w:tc>
          <w:tcPr>
            <w:tcW w:w="966" w:type="pct"/>
            <w:tcBorders>
              <w:top w:val="single" w:sz="4" w:space="0" w:color="auto"/>
              <w:bottom w:val="single" w:sz="4" w:space="0" w:color="auto"/>
              <w:right w:val="nil"/>
            </w:tcBorders>
            <w:shd w:val="clear" w:color="auto" w:fill="auto"/>
            <w:vAlign w:val="bottom"/>
          </w:tcPr>
          <w:p w14:paraId="287AF4D7" w14:textId="77777777" w:rsidR="002E608D" w:rsidRPr="002E608D" w:rsidRDefault="002E608D" w:rsidP="002E608D">
            <w:pPr>
              <w:pStyle w:val="Tabletext"/>
            </w:pPr>
            <w:r w:rsidRPr="002E608D">
              <w:t>0</w:t>
            </w:r>
            <w:r w:rsidR="00D7157D">
              <w:t>.</w:t>
            </w:r>
            <w:r w:rsidRPr="002E608D">
              <w:t>3121</w:t>
            </w:r>
          </w:p>
        </w:tc>
      </w:tr>
      <w:tr w:rsidR="002E608D" w:rsidRPr="002E608D" w14:paraId="046AF8F6" w14:textId="77777777" w:rsidTr="002E608D">
        <w:trPr>
          <w:cantSplit/>
        </w:trPr>
        <w:tc>
          <w:tcPr>
            <w:tcW w:w="1136" w:type="pct"/>
            <w:tcBorders>
              <w:top w:val="single" w:sz="4" w:space="0" w:color="auto"/>
              <w:bottom w:val="single" w:sz="4" w:space="0" w:color="auto"/>
            </w:tcBorders>
          </w:tcPr>
          <w:p w14:paraId="45EEF4A5" w14:textId="77777777" w:rsidR="002E608D" w:rsidRPr="002E608D" w:rsidRDefault="002E608D" w:rsidP="002E608D">
            <w:pPr>
              <w:pStyle w:val="Tabletext"/>
            </w:pPr>
            <w:r w:rsidRPr="002E608D">
              <w:t>60</w:t>
            </w:r>
          </w:p>
        </w:tc>
        <w:tc>
          <w:tcPr>
            <w:tcW w:w="966" w:type="pct"/>
            <w:tcBorders>
              <w:top w:val="single" w:sz="4" w:space="0" w:color="auto"/>
              <w:bottom w:val="single" w:sz="4" w:space="0" w:color="auto"/>
            </w:tcBorders>
            <w:shd w:val="clear" w:color="auto" w:fill="auto"/>
            <w:vAlign w:val="bottom"/>
          </w:tcPr>
          <w:p w14:paraId="7B2C463D" w14:textId="77777777" w:rsidR="002E608D" w:rsidRPr="002E608D" w:rsidRDefault="002E608D" w:rsidP="002E608D">
            <w:pPr>
              <w:pStyle w:val="Tabletext"/>
            </w:pPr>
            <w:r w:rsidRPr="002E608D">
              <w:t>18</w:t>
            </w:r>
            <w:r w:rsidR="00D7157D">
              <w:t>.</w:t>
            </w:r>
            <w:r w:rsidRPr="002E608D">
              <w:t>9883</w:t>
            </w:r>
          </w:p>
        </w:tc>
        <w:tc>
          <w:tcPr>
            <w:tcW w:w="966" w:type="pct"/>
            <w:tcBorders>
              <w:top w:val="single" w:sz="4" w:space="0" w:color="auto"/>
              <w:bottom w:val="single" w:sz="4" w:space="0" w:color="auto"/>
            </w:tcBorders>
            <w:shd w:val="clear" w:color="auto" w:fill="auto"/>
            <w:vAlign w:val="bottom"/>
          </w:tcPr>
          <w:p w14:paraId="6C8F8C5E" w14:textId="77777777" w:rsidR="002E608D" w:rsidRPr="002E608D" w:rsidRDefault="002E608D" w:rsidP="002E608D">
            <w:pPr>
              <w:pStyle w:val="Tabletext"/>
            </w:pPr>
            <w:r w:rsidRPr="002E608D">
              <w:t>1</w:t>
            </w:r>
            <w:r w:rsidR="00D7157D">
              <w:t>.</w:t>
            </w:r>
            <w:r w:rsidRPr="002E608D">
              <w:t>1644</w:t>
            </w:r>
          </w:p>
        </w:tc>
        <w:tc>
          <w:tcPr>
            <w:tcW w:w="966" w:type="pct"/>
            <w:tcBorders>
              <w:top w:val="single" w:sz="4" w:space="0" w:color="auto"/>
              <w:bottom w:val="single" w:sz="4" w:space="0" w:color="auto"/>
            </w:tcBorders>
            <w:shd w:val="clear" w:color="auto" w:fill="auto"/>
            <w:vAlign w:val="bottom"/>
          </w:tcPr>
          <w:p w14:paraId="5A08D5E0" w14:textId="77777777" w:rsidR="002E608D" w:rsidRPr="002E608D" w:rsidRDefault="002E608D" w:rsidP="002E608D">
            <w:pPr>
              <w:pStyle w:val="Tabletext"/>
            </w:pPr>
            <w:r w:rsidRPr="002E608D">
              <w:t>21</w:t>
            </w:r>
            <w:r w:rsidR="00D7157D">
              <w:t>.</w:t>
            </w:r>
            <w:r w:rsidRPr="002E608D">
              <w:t>2297</w:t>
            </w:r>
          </w:p>
        </w:tc>
        <w:tc>
          <w:tcPr>
            <w:tcW w:w="966" w:type="pct"/>
            <w:tcBorders>
              <w:top w:val="single" w:sz="4" w:space="0" w:color="auto"/>
              <w:bottom w:val="single" w:sz="4" w:space="0" w:color="auto"/>
              <w:right w:val="nil"/>
            </w:tcBorders>
            <w:shd w:val="clear" w:color="auto" w:fill="auto"/>
            <w:vAlign w:val="bottom"/>
          </w:tcPr>
          <w:p w14:paraId="2001E997" w14:textId="77777777" w:rsidR="002E608D" w:rsidRPr="002E608D" w:rsidRDefault="002E608D" w:rsidP="002E608D">
            <w:pPr>
              <w:pStyle w:val="Tabletext"/>
            </w:pPr>
            <w:r w:rsidRPr="002E608D">
              <w:t>0</w:t>
            </w:r>
            <w:r w:rsidR="00D7157D">
              <w:t>.</w:t>
            </w:r>
            <w:r w:rsidRPr="002E608D">
              <w:t>3092</w:t>
            </w:r>
          </w:p>
        </w:tc>
      </w:tr>
      <w:tr w:rsidR="002E608D" w:rsidRPr="002E608D" w14:paraId="62A17097" w14:textId="77777777" w:rsidTr="002E608D">
        <w:trPr>
          <w:cantSplit/>
        </w:trPr>
        <w:tc>
          <w:tcPr>
            <w:tcW w:w="1136" w:type="pct"/>
            <w:tcBorders>
              <w:top w:val="single" w:sz="4" w:space="0" w:color="auto"/>
              <w:bottom w:val="single" w:sz="4" w:space="0" w:color="auto"/>
            </w:tcBorders>
          </w:tcPr>
          <w:p w14:paraId="16DDA433" w14:textId="77777777" w:rsidR="002E608D" w:rsidRPr="002E608D" w:rsidRDefault="002E608D" w:rsidP="002E608D">
            <w:pPr>
              <w:pStyle w:val="Tabletext"/>
            </w:pPr>
            <w:r w:rsidRPr="002E608D">
              <w:t>61</w:t>
            </w:r>
          </w:p>
        </w:tc>
        <w:tc>
          <w:tcPr>
            <w:tcW w:w="966" w:type="pct"/>
            <w:tcBorders>
              <w:top w:val="single" w:sz="4" w:space="0" w:color="auto"/>
              <w:bottom w:val="single" w:sz="4" w:space="0" w:color="auto"/>
            </w:tcBorders>
            <w:shd w:val="clear" w:color="auto" w:fill="auto"/>
            <w:vAlign w:val="bottom"/>
          </w:tcPr>
          <w:p w14:paraId="4FF10028" w14:textId="77777777" w:rsidR="002E608D" w:rsidRPr="002E608D" w:rsidRDefault="002E608D" w:rsidP="002E608D">
            <w:pPr>
              <w:pStyle w:val="Tabletext"/>
            </w:pPr>
            <w:r w:rsidRPr="002E608D">
              <w:t>18</w:t>
            </w:r>
            <w:r w:rsidR="00D7157D">
              <w:t>.</w:t>
            </w:r>
            <w:r w:rsidRPr="002E608D">
              <w:t>3755</w:t>
            </w:r>
          </w:p>
        </w:tc>
        <w:tc>
          <w:tcPr>
            <w:tcW w:w="966" w:type="pct"/>
            <w:tcBorders>
              <w:top w:val="single" w:sz="4" w:space="0" w:color="auto"/>
              <w:bottom w:val="single" w:sz="4" w:space="0" w:color="auto"/>
            </w:tcBorders>
            <w:shd w:val="clear" w:color="auto" w:fill="auto"/>
            <w:vAlign w:val="bottom"/>
          </w:tcPr>
          <w:p w14:paraId="6B9FF13E" w14:textId="77777777" w:rsidR="002E608D" w:rsidRPr="002E608D" w:rsidRDefault="002E608D" w:rsidP="002E608D">
            <w:pPr>
              <w:pStyle w:val="Tabletext"/>
            </w:pPr>
            <w:r w:rsidRPr="002E608D">
              <w:t>1</w:t>
            </w:r>
            <w:r w:rsidR="00D7157D">
              <w:t>.</w:t>
            </w:r>
            <w:r w:rsidRPr="002E608D">
              <w:t>1541</w:t>
            </w:r>
          </w:p>
        </w:tc>
        <w:tc>
          <w:tcPr>
            <w:tcW w:w="966" w:type="pct"/>
            <w:tcBorders>
              <w:top w:val="single" w:sz="4" w:space="0" w:color="auto"/>
              <w:bottom w:val="single" w:sz="4" w:space="0" w:color="auto"/>
            </w:tcBorders>
            <w:shd w:val="clear" w:color="auto" w:fill="auto"/>
            <w:vAlign w:val="bottom"/>
          </w:tcPr>
          <w:p w14:paraId="71F6DB3F" w14:textId="77777777" w:rsidR="002E608D" w:rsidRPr="002E608D" w:rsidRDefault="002E608D" w:rsidP="002E608D">
            <w:pPr>
              <w:pStyle w:val="Tabletext"/>
            </w:pPr>
            <w:r w:rsidRPr="002E608D">
              <w:t>20</w:t>
            </w:r>
            <w:r w:rsidR="00D7157D">
              <w:t>.</w:t>
            </w:r>
            <w:r w:rsidRPr="002E608D">
              <w:t>5645</w:t>
            </w:r>
          </w:p>
        </w:tc>
        <w:tc>
          <w:tcPr>
            <w:tcW w:w="966" w:type="pct"/>
            <w:tcBorders>
              <w:top w:val="single" w:sz="4" w:space="0" w:color="auto"/>
              <w:bottom w:val="single" w:sz="4" w:space="0" w:color="auto"/>
              <w:right w:val="nil"/>
            </w:tcBorders>
            <w:shd w:val="clear" w:color="auto" w:fill="auto"/>
            <w:vAlign w:val="bottom"/>
          </w:tcPr>
          <w:p w14:paraId="2645E651" w14:textId="77777777" w:rsidR="002E608D" w:rsidRPr="002E608D" w:rsidRDefault="002E608D" w:rsidP="002E608D">
            <w:pPr>
              <w:pStyle w:val="Tabletext"/>
            </w:pPr>
            <w:r w:rsidRPr="002E608D">
              <w:t>0</w:t>
            </w:r>
            <w:r w:rsidR="00D7157D">
              <w:t>.</w:t>
            </w:r>
            <w:r w:rsidRPr="002E608D">
              <w:t>3061</w:t>
            </w:r>
          </w:p>
        </w:tc>
      </w:tr>
      <w:tr w:rsidR="002E608D" w:rsidRPr="002E608D" w14:paraId="7039AAE6" w14:textId="77777777" w:rsidTr="002E608D">
        <w:trPr>
          <w:cantSplit/>
        </w:trPr>
        <w:tc>
          <w:tcPr>
            <w:tcW w:w="1136" w:type="pct"/>
            <w:tcBorders>
              <w:top w:val="single" w:sz="4" w:space="0" w:color="auto"/>
              <w:bottom w:val="single" w:sz="4" w:space="0" w:color="auto"/>
            </w:tcBorders>
          </w:tcPr>
          <w:p w14:paraId="66692F6A" w14:textId="77777777" w:rsidR="002E608D" w:rsidRPr="002E608D" w:rsidRDefault="002E608D" w:rsidP="002E608D">
            <w:pPr>
              <w:pStyle w:val="Tabletext"/>
            </w:pPr>
            <w:r w:rsidRPr="002E608D">
              <w:t>62</w:t>
            </w:r>
          </w:p>
        </w:tc>
        <w:tc>
          <w:tcPr>
            <w:tcW w:w="966" w:type="pct"/>
            <w:tcBorders>
              <w:top w:val="single" w:sz="4" w:space="0" w:color="auto"/>
              <w:bottom w:val="single" w:sz="4" w:space="0" w:color="auto"/>
            </w:tcBorders>
            <w:shd w:val="clear" w:color="auto" w:fill="auto"/>
            <w:vAlign w:val="bottom"/>
          </w:tcPr>
          <w:p w14:paraId="6C4CD830" w14:textId="77777777" w:rsidR="002E608D" w:rsidRPr="002E608D" w:rsidRDefault="002E608D" w:rsidP="002E608D">
            <w:pPr>
              <w:pStyle w:val="Tabletext"/>
            </w:pPr>
            <w:r w:rsidRPr="002E608D">
              <w:t>17</w:t>
            </w:r>
            <w:r w:rsidR="00D7157D">
              <w:t>.</w:t>
            </w:r>
            <w:r w:rsidRPr="002E608D">
              <w:t>7657</w:t>
            </w:r>
          </w:p>
        </w:tc>
        <w:tc>
          <w:tcPr>
            <w:tcW w:w="966" w:type="pct"/>
            <w:tcBorders>
              <w:top w:val="single" w:sz="4" w:space="0" w:color="auto"/>
              <w:bottom w:val="single" w:sz="4" w:space="0" w:color="auto"/>
            </w:tcBorders>
            <w:shd w:val="clear" w:color="auto" w:fill="auto"/>
            <w:vAlign w:val="bottom"/>
          </w:tcPr>
          <w:p w14:paraId="5B0E8BBE" w14:textId="77777777" w:rsidR="002E608D" w:rsidRPr="002E608D" w:rsidRDefault="002E608D" w:rsidP="002E608D">
            <w:pPr>
              <w:pStyle w:val="Tabletext"/>
            </w:pPr>
            <w:r w:rsidRPr="002E608D">
              <w:t>1</w:t>
            </w:r>
            <w:r w:rsidR="00D7157D">
              <w:t>.</w:t>
            </w:r>
            <w:r w:rsidRPr="002E608D">
              <w:t>1429</w:t>
            </w:r>
          </w:p>
        </w:tc>
        <w:tc>
          <w:tcPr>
            <w:tcW w:w="966" w:type="pct"/>
            <w:tcBorders>
              <w:top w:val="single" w:sz="4" w:space="0" w:color="auto"/>
              <w:bottom w:val="single" w:sz="4" w:space="0" w:color="auto"/>
            </w:tcBorders>
            <w:shd w:val="clear" w:color="auto" w:fill="auto"/>
            <w:vAlign w:val="bottom"/>
          </w:tcPr>
          <w:p w14:paraId="5813DDDA" w14:textId="77777777" w:rsidR="002E608D" w:rsidRPr="002E608D" w:rsidRDefault="002E608D" w:rsidP="002E608D">
            <w:pPr>
              <w:pStyle w:val="Tabletext"/>
            </w:pPr>
            <w:r w:rsidRPr="002E608D">
              <w:t>19</w:t>
            </w:r>
            <w:r w:rsidR="00D7157D">
              <w:t>.</w:t>
            </w:r>
            <w:r w:rsidRPr="002E608D">
              <w:t>8984</w:t>
            </w:r>
          </w:p>
        </w:tc>
        <w:tc>
          <w:tcPr>
            <w:tcW w:w="966" w:type="pct"/>
            <w:tcBorders>
              <w:top w:val="single" w:sz="4" w:space="0" w:color="auto"/>
              <w:bottom w:val="single" w:sz="4" w:space="0" w:color="auto"/>
              <w:right w:val="nil"/>
            </w:tcBorders>
            <w:shd w:val="clear" w:color="auto" w:fill="auto"/>
            <w:vAlign w:val="bottom"/>
          </w:tcPr>
          <w:p w14:paraId="0D32C845" w14:textId="77777777" w:rsidR="002E608D" w:rsidRPr="002E608D" w:rsidRDefault="002E608D" w:rsidP="002E608D">
            <w:pPr>
              <w:pStyle w:val="Tabletext"/>
            </w:pPr>
            <w:r w:rsidRPr="002E608D">
              <w:t>0</w:t>
            </w:r>
            <w:r w:rsidR="00D7157D">
              <w:t>.</w:t>
            </w:r>
            <w:r w:rsidRPr="002E608D">
              <w:t>3029</w:t>
            </w:r>
          </w:p>
        </w:tc>
      </w:tr>
      <w:tr w:rsidR="002E608D" w:rsidRPr="002E608D" w14:paraId="01CAE817" w14:textId="77777777" w:rsidTr="002E608D">
        <w:trPr>
          <w:cantSplit/>
        </w:trPr>
        <w:tc>
          <w:tcPr>
            <w:tcW w:w="1136" w:type="pct"/>
            <w:tcBorders>
              <w:top w:val="single" w:sz="4" w:space="0" w:color="auto"/>
              <w:bottom w:val="single" w:sz="4" w:space="0" w:color="auto"/>
            </w:tcBorders>
          </w:tcPr>
          <w:p w14:paraId="6F5E1D5B" w14:textId="77777777" w:rsidR="002E608D" w:rsidRPr="002E608D" w:rsidRDefault="002E608D" w:rsidP="002E608D">
            <w:pPr>
              <w:pStyle w:val="Tabletext"/>
            </w:pPr>
            <w:r w:rsidRPr="002E608D">
              <w:t>63</w:t>
            </w:r>
          </w:p>
        </w:tc>
        <w:tc>
          <w:tcPr>
            <w:tcW w:w="966" w:type="pct"/>
            <w:tcBorders>
              <w:top w:val="single" w:sz="4" w:space="0" w:color="auto"/>
              <w:bottom w:val="single" w:sz="4" w:space="0" w:color="auto"/>
            </w:tcBorders>
            <w:shd w:val="clear" w:color="auto" w:fill="auto"/>
            <w:vAlign w:val="bottom"/>
          </w:tcPr>
          <w:p w14:paraId="08992A2B" w14:textId="77777777" w:rsidR="002E608D" w:rsidRPr="002E608D" w:rsidRDefault="002E608D" w:rsidP="002E608D">
            <w:pPr>
              <w:pStyle w:val="Tabletext"/>
            </w:pPr>
            <w:r w:rsidRPr="002E608D">
              <w:t>17</w:t>
            </w:r>
            <w:r w:rsidR="00D7157D">
              <w:t>.</w:t>
            </w:r>
            <w:r w:rsidRPr="002E608D">
              <w:t>1589</w:t>
            </w:r>
          </w:p>
        </w:tc>
        <w:tc>
          <w:tcPr>
            <w:tcW w:w="966" w:type="pct"/>
            <w:tcBorders>
              <w:top w:val="single" w:sz="4" w:space="0" w:color="auto"/>
              <w:bottom w:val="single" w:sz="4" w:space="0" w:color="auto"/>
            </w:tcBorders>
            <w:shd w:val="clear" w:color="auto" w:fill="auto"/>
            <w:vAlign w:val="bottom"/>
          </w:tcPr>
          <w:p w14:paraId="76F35BB4" w14:textId="77777777" w:rsidR="002E608D" w:rsidRPr="002E608D" w:rsidRDefault="002E608D" w:rsidP="002E608D">
            <w:pPr>
              <w:pStyle w:val="Tabletext"/>
            </w:pPr>
            <w:r w:rsidRPr="002E608D">
              <w:t>1</w:t>
            </w:r>
            <w:r w:rsidR="00D7157D">
              <w:t>.</w:t>
            </w:r>
            <w:r w:rsidRPr="002E608D">
              <w:t>1310</w:t>
            </w:r>
          </w:p>
        </w:tc>
        <w:tc>
          <w:tcPr>
            <w:tcW w:w="966" w:type="pct"/>
            <w:tcBorders>
              <w:top w:val="single" w:sz="4" w:space="0" w:color="auto"/>
              <w:bottom w:val="single" w:sz="4" w:space="0" w:color="auto"/>
            </w:tcBorders>
            <w:shd w:val="clear" w:color="auto" w:fill="auto"/>
            <w:vAlign w:val="bottom"/>
          </w:tcPr>
          <w:p w14:paraId="71120F69" w14:textId="77777777" w:rsidR="002E608D" w:rsidRPr="002E608D" w:rsidRDefault="002E608D" w:rsidP="002E608D">
            <w:pPr>
              <w:pStyle w:val="Tabletext"/>
            </w:pPr>
            <w:r w:rsidRPr="002E608D">
              <w:t>19</w:t>
            </w:r>
            <w:r w:rsidR="00D7157D">
              <w:t>.</w:t>
            </w:r>
            <w:r w:rsidRPr="002E608D">
              <w:t>2322</w:t>
            </w:r>
          </w:p>
        </w:tc>
        <w:tc>
          <w:tcPr>
            <w:tcW w:w="966" w:type="pct"/>
            <w:tcBorders>
              <w:top w:val="single" w:sz="4" w:space="0" w:color="auto"/>
              <w:bottom w:val="single" w:sz="4" w:space="0" w:color="auto"/>
              <w:right w:val="nil"/>
            </w:tcBorders>
            <w:shd w:val="clear" w:color="auto" w:fill="auto"/>
            <w:vAlign w:val="bottom"/>
          </w:tcPr>
          <w:p w14:paraId="5CE61545" w14:textId="77777777" w:rsidR="002E608D" w:rsidRPr="002E608D" w:rsidRDefault="002E608D" w:rsidP="002E608D">
            <w:pPr>
              <w:pStyle w:val="Tabletext"/>
            </w:pPr>
            <w:r w:rsidRPr="002E608D">
              <w:t>0</w:t>
            </w:r>
            <w:r w:rsidR="00D7157D">
              <w:t>.</w:t>
            </w:r>
            <w:r w:rsidRPr="002E608D">
              <w:t>2995</w:t>
            </w:r>
          </w:p>
        </w:tc>
      </w:tr>
      <w:tr w:rsidR="002E608D" w:rsidRPr="002E608D" w14:paraId="553863DF" w14:textId="77777777" w:rsidTr="002E608D">
        <w:trPr>
          <w:cantSplit/>
        </w:trPr>
        <w:tc>
          <w:tcPr>
            <w:tcW w:w="1136" w:type="pct"/>
            <w:tcBorders>
              <w:top w:val="single" w:sz="4" w:space="0" w:color="auto"/>
              <w:bottom w:val="single" w:sz="4" w:space="0" w:color="auto"/>
            </w:tcBorders>
          </w:tcPr>
          <w:p w14:paraId="60365CAC" w14:textId="77777777" w:rsidR="002E608D" w:rsidRPr="002E608D" w:rsidRDefault="002E608D" w:rsidP="002E608D">
            <w:pPr>
              <w:pStyle w:val="Tabletext"/>
            </w:pPr>
            <w:r w:rsidRPr="002E608D">
              <w:t>64</w:t>
            </w:r>
          </w:p>
        </w:tc>
        <w:tc>
          <w:tcPr>
            <w:tcW w:w="966" w:type="pct"/>
            <w:tcBorders>
              <w:top w:val="single" w:sz="4" w:space="0" w:color="auto"/>
              <w:bottom w:val="single" w:sz="4" w:space="0" w:color="auto"/>
            </w:tcBorders>
            <w:shd w:val="clear" w:color="auto" w:fill="auto"/>
            <w:vAlign w:val="bottom"/>
          </w:tcPr>
          <w:p w14:paraId="208E13AC" w14:textId="77777777" w:rsidR="002E608D" w:rsidRPr="002E608D" w:rsidRDefault="002E608D" w:rsidP="002E608D">
            <w:pPr>
              <w:pStyle w:val="Tabletext"/>
            </w:pPr>
            <w:r w:rsidRPr="002E608D">
              <w:t>16</w:t>
            </w:r>
            <w:r w:rsidR="00D7157D">
              <w:t>.</w:t>
            </w:r>
            <w:r w:rsidRPr="002E608D">
              <w:t>5554</w:t>
            </w:r>
          </w:p>
        </w:tc>
        <w:tc>
          <w:tcPr>
            <w:tcW w:w="966" w:type="pct"/>
            <w:tcBorders>
              <w:top w:val="single" w:sz="4" w:space="0" w:color="auto"/>
              <w:bottom w:val="single" w:sz="4" w:space="0" w:color="auto"/>
            </w:tcBorders>
            <w:shd w:val="clear" w:color="auto" w:fill="auto"/>
            <w:vAlign w:val="bottom"/>
          </w:tcPr>
          <w:p w14:paraId="05956828" w14:textId="77777777" w:rsidR="002E608D" w:rsidRPr="002E608D" w:rsidRDefault="002E608D" w:rsidP="002E608D">
            <w:pPr>
              <w:pStyle w:val="Tabletext"/>
            </w:pPr>
            <w:r w:rsidRPr="002E608D">
              <w:t>1</w:t>
            </w:r>
            <w:r w:rsidR="00D7157D">
              <w:t>.</w:t>
            </w:r>
            <w:r w:rsidRPr="002E608D">
              <w:t>1182</w:t>
            </w:r>
          </w:p>
        </w:tc>
        <w:tc>
          <w:tcPr>
            <w:tcW w:w="966" w:type="pct"/>
            <w:tcBorders>
              <w:top w:val="single" w:sz="4" w:space="0" w:color="auto"/>
              <w:bottom w:val="single" w:sz="4" w:space="0" w:color="auto"/>
            </w:tcBorders>
            <w:shd w:val="clear" w:color="auto" w:fill="auto"/>
            <w:vAlign w:val="bottom"/>
          </w:tcPr>
          <w:p w14:paraId="4FC982A0" w14:textId="77777777" w:rsidR="002E608D" w:rsidRPr="002E608D" w:rsidRDefault="002E608D" w:rsidP="002E608D">
            <w:pPr>
              <w:pStyle w:val="Tabletext"/>
            </w:pPr>
            <w:r w:rsidRPr="002E608D">
              <w:t>18</w:t>
            </w:r>
            <w:r w:rsidR="00D7157D">
              <w:t>.</w:t>
            </w:r>
            <w:r w:rsidRPr="002E608D">
              <w:t>5664</w:t>
            </w:r>
          </w:p>
        </w:tc>
        <w:tc>
          <w:tcPr>
            <w:tcW w:w="966" w:type="pct"/>
            <w:tcBorders>
              <w:top w:val="single" w:sz="4" w:space="0" w:color="auto"/>
              <w:bottom w:val="single" w:sz="4" w:space="0" w:color="auto"/>
              <w:right w:val="nil"/>
            </w:tcBorders>
            <w:shd w:val="clear" w:color="auto" w:fill="auto"/>
            <w:vAlign w:val="bottom"/>
          </w:tcPr>
          <w:p w14:paraId="00A50188" w14:textId="77777777" w:rsidR="002E608D" w:rsidRPr="002E608D" w:rsidRDefault="002E608D" w:rsidP="002E608D">
            <w:pPr>
              <w:pStyle w:val="Tabletext"/>
            </w:pPr>
            <w:r w:rsidRPr="002E608D">
              <w:t>0</w:t>
            </w:r>
            <w:r w:rsidR="00D7157D">
              <w:t>.</w:t>
            </w:r>
            <w:r w:rsidRPr="002E608D">
              <w:t>2959</w:t>
            </w:r>
          </w:p>
        </w:tc>
      </w:tr>
      <w:tr w:rsidR="002E608D" w:rsidRPr="002E608D" w14:paraId="2E8C7218" w14:textId="77777777" w:rsidTr="002E608D">
        <w:trPr>
          <w:cantSplit/>
        </w:trPr>
        <w:tc>
          <w:tcPr>
            <w:tcW w:w="1136" w:type="pct"/>
            <w:tcBorders>
              <w:top w:val="single" w:sz="4" w:space="0" w:color="auto"/>
              <w:bottom w:val="single" w:sz="4" w:space="0" w:color="auto"/>
            </w:tcBorders>
          </w:tcPr>
          <w:p w14:paraId="6F5C34F5" w14:textId="77777777" w:rsidR="002E608D" w:rsidRPr="002E608D" w:rsidRDefault="002E608D" w:rsidP="002E608D">
            <w:pPr>
              <w:pStyle w:val="Tabletext"/>
            </w:pPr>
            <w:r w:rsidRPr="002E608D">
              <w:t>65</w:t>
            </w:r>
          </w:p>
        </w:tc>
        <w:tc>
          <w:tcPr>
            <w:tcW w:w="966" w:type="pct"/>
            <w:tcBorders>
              <w:top w:val="single" w:sz="4" w:space="0" w:color="auto"/>
              <w:bottom w:val="single" w:sz="4" w:space="0" w:color="auto"/>
            </w:tcBorders>
            <w:shd w:val="clear" w:color="auto" w:fill="auto"/>
            <w:vAlign w:val="bottom"/>
          </w:tcPr>
          <w:p w14:paraId="3F68833B" w14:textId="77777777" w:rsidR="002E608D" w:rsidRPr="002E608D" w:rsidRDefault="002E608D" w:rsidP="002E608D">
            <w:pPr>
              <w:pStyle w:val="Tabletext"/>
            </w:pPr>
            <w:r w:rsidRPr="002E608D">
              <w:t>15</w:t>
            </w:r>
            <w:r w:rsidR="00D7157D">
              <w:t>.</w:t>
            </w:r>
            <w:r w:rsidRPr="002E608D">
              <w:t>9558</w:t>
            </w:r>
          </w:p>
        </w:tc>
        <w:tc>
          <w:tcPr>
            <w:tcW w:w="966" w:type="pct"/>
            <w:tcBorders>
              <w:top w:val="single" w:sz="4" w:space="0" w:color="auto"/>
              <w:bottom w:val="single" w:sz="4" w:space="0" w:color="auto"/>
            </w:tcBorders>
            <w:shd w:val="clear" w:color="auto" w:fill="auto"/>
            <w:vAlign w:val="bottom"/>
          </w:tcPr>
          <w:p w14:paraId="277F3B63" w14:textId="77777777" w:rsidR="002E608D" w:rsidRPr="002E608D" w:rsidRDefault="002E608D" w:rsidP="002E608D">
            <w:pPr>
              <w:pStyle w:val="Tabletext"/>
            </w:pPr>
            <w:r w:rsidRPr="002E608D">
              <w:t>1</w:t>
            </w:r>
            <w:r w:rsidR="00D7157D">
              <w:t>.</w:t>
            </w:r>
            <w:r w:rsidRPr="002E608D">
              <w:t>1046</w:t>
            </w:r>
          </w:p>
        </w:tc>
        <w:tc>
          <w:tcPr>
            <w:tcW w:w="966" w:type="pct"/>
            <w:tcBorders>
              <w:top w:val="single" w:sz="4" w:space="0" w:color="auto"/>
              <w:bottom w:val="single" w:sz="4" w:space="0" w:color="auto"/>
            </w:tcBorders>
            <w:shd w:val="clear" w:color="auto" w:fill="auto"/>
            <w:vAlign w:val="bottom"/>
          </w:tcPr>
          <w:p w14:paraId="57160D58" w14:textId="77777777" w:rsidR="002E608D" w:rsidRPr="002E608D" w:rsidRDefault="002E608D" w:rsidP="002E608D">
            <w:pPr>
              <w:pStyle w:val="Tabletext"/>
            </w:pPr>
            <w:r w:rsidRPr="002E608D">
              <w:t>17</w:t>
            </w:r>
            <w:r w:rsidR="00D7157D">
              <w:t>.</w:t>
            </w:r>
            <w:r w:rsidRPr="002E608D">
              <w:t>9025</w:t>
            </w:r>
          </w:p>
        </w:tc>
        <w:tc>
          <w:tcPr>
            <w:tcW w:w="966" w:type="pct"/>
            <w:tcBorders>
              <w:top w:val="single" w:sz="4" w:space="0" w:color="auto"/>
              <w:bottom w:val="single" w:sz="4" w:space="0" w:color="auto"/>
              <w:right w:val="nil"/>
            </w:tcBorders>
            <w:shd w:val="clear" w:color="auto" w:fill="auto"/>
            <w:vAlign w:val="bottom"/>
          </w:tcPr>
          <w:p w14:paraId="040AD4A5" w14:textId="77777777" w:rsidR="002E608D" w:rsidRPr="002E608D" w:rsidRDefault="002E608D" w:rsidP="002E608D">
            <w:pPr>
              <w:pStyle w:val="Tabletext"/>
            </w:pPr>
            <w:r w:rsidRPr="002E608D">
              <w:t>0</w:t>
            </w:r>
            <w:r w:rsidR="00D7157D">
              <w:t>.</w:t>
            </w:r>
            <w:r w:rsidRPr="002E608D">
              <w:t>2920</w:t>
            </w:r>
          </w:p>
        </w:tc>
      </w:tr>
      <w:tr w:rsidR="002E608D" w:rsidRPr="002E608D" w14:paraId="5802CD15" w14:textId="77777777" w:rsidTr="002E608D">
        <w:trPr>
          <w:cantSplit/>
        </w:trPr>
        <w:tc>
          <w:tcPr>
            <w:tcW w:w="1136" w:type="pct"/>
            <w:tcBorders>
              <w:top w:val="single" w:sz="4" w:space="0" w:color="auto"/>
              <w:bottom w:val="single" w:sz="4" w:space="0" w:color="auto"/>
            </w:tcBorders>
          </w:tcPr>
          <w:p w14:paraId="5D01C661" w14:textId="77777777" w:rsidR="002E608D" w:rsidRPr="002E608D" w:rsidRDefault="002E608D" w:rsidP="002E608D">
            <w:pPr>
              <w:pStyle w:val="Tabletext"/>
            </w:pPr>
            <w:r w:rsidRPr="002E608D">
              <w:t>66</w:t>
            </w:r>
          </w:p>
        </w:tc>
        <w:tc>
          <w:tcPr>
            <w:tcW w:w="966" w:type="pct"/>
            <w:tcBorders>
              <w:top w:val="single" w:sz="4" w:space="0" w:color="auto"/>
              <w:bottom w:val="single" w:sz="4" w:space="0" w:color="auto"/>
            </w:tcBorders>
            <w:shd w:val="clear" w:color="auto" w:fill="auto"/>
            <w:vAlign w:val="bottom"/>
          </w:tcPr>
          <w:p w14:paraId="282451E7" w14:textId="77777777" w:rsidR="002E608D" w:rsidRPr="002E608D" w:rsidRDefault="002E608D" w:rsidP="002E608D">
            <w:pPr>
              <w:pStyle w:val="Tabletext"/>
            </w:pPr>
            <w:r w:rsidRPr="002E608D">
              <w:t>15</w:t>
            </w:r>
            <w:r w:rsidR="00D7157D">
              <w:t>.</w:t>
            </w:r>
            <w:r w:rsidRPr="002E608D">
              <w:t>3615</w:t>
            </w:r>
          </w:p>
        </w:tc>
        <w:tc>
          <w:tcPr>
            <w:tcW w:w="966" w:type="pct"/>
            <w:tcBorders>
              <w:top w:val="single" w:sz="4" w:space="0" w:color="auto"/>
              <w:bottom w:val="single" w:sz="4" w:space="0" w:color="auto"/>
            </w:tcBorders>
            <w:shd w:val="clear" w:color="auto" w:fill="auto"/>
            <w:vAlign w:val="bottom"/>
          </w:tcPr>
          <w:p w14:paraId="1466DC85" w14:textId="77777777" w:rsidR="002E608D" w:rsidRPr="002E608D" w:rsidRDefault="002E608D" w:rsidP="002E608D">
            <w:pPr>
              <w:pStyle w:val="Tabletext"/>
            </w:pPr>
            <w:r w:rsidRPr="002E608D">
              <w:t>1</w:t>
            </w:r>
            <w:r w:rsidR="00D7157D">
              <w:t>.</w:t>
            </w:r>
            <w:r w:rsidRPr="002E608D">
              <w:t>0901</w:t>
            </w:r>
          </w:p>
        </w:tc>
        <w:tc>
          <w:tcPr>
            <w:tcW w:w="966" w:type="pct"/>
            <w:tcBorders>
              <w:top w:val="single" w:sz="4" w:space="0" w:color="auto"/>
              <w:bottom w:val="single" w:sz="4" w:space="0" w:color="auto"/>
            </w:tcBorders>
            <w:shd w:val="clear" w:color="auto" w:fill="auto"/>
            <w:vAlign w:val="bottom"/>
          </w:tcPr>
          <w:p w14:paraId="49268660" w14:textId="77777777" w:rsidR="002E608D" w:rsidRPr="002E608D" w:rsidRDefault="002E608D" w:rsidP="002E608D">
            <w:pPr>
              <w:pStyle w:val="Tabletext"/>
            </w:pPr>
            <w:r w:rsidRPr="002E608D">
              <w:t>17</w:t>
            </w:r>
            <w:r w:rsidR="00D7157D">
              <w:t>.</w:t>
            </w:r>
            <w:r w:rsidRPr="002E608D">
              <w:t>2413</w:t>
            </w:r>
          </w:p>
        </w:tc>
        <w:tc>
          <w:tcPr>
            <w:tcW w:w="966" w:type="pct"/>
            <w:tcBorders>
              <w:top w:val="single" w:sz="4" w:space="0" w:color="auto"/>
              <w:bottom w:val="single" w:sz="4" w:space="0" w:color="auto"/>
              <w:right w:val="nil"/>
            </w:tcBorders>
            <w:shd w:val="clear" w:color="auto" w:fill="auto"/>
            <w:vAlign w:val="bottom"/>
          </w:tcPr>
          <w:p w14:paraId="65FDE338" w14:textId="77777777" w:rsidR="002E608D" w:rsidRPr="002E608D" w:rsidRDefault="002E608D" w:rsidP="002E608D">
            <w:pPr>
              <w:pStyle w:val="Tabletext"/>
            </w:pPr>
            <w:r w:rsidRPr="002E608D">
              <w:t>0</w:t>
            </w:r>
            <w:r w:rsidR="00D7157D">
              <w:t>.</w:t>
            </w:r>
            <w:r w:rsidRPr="002E608D">
              <w:t>2879</w:t>
            </w:r>
          </w:p>
        </w:tc>
      </w:tr>
      <w:tr w:rsidR="002E608D" w:rsidRPr="002E608D" w14:paraId="59D9C526" w14:textId="77777777" w:rsidTr="002E608D">
        <w:trPr>
          <w:cantSplit/>
        </w:trPr>
        <w:tc>
          <w:tcPr>
            <w:tcW w:w="1136" w:type="pct"/>
            <w:tcBorders>
              <w:top w:val="single" w:sz="4" w:space="0" w:color="auto"/>
              <w:bottom w:val="single" w:sz="4" w:space="0" w:color="auto"/>
            </w:tcBorders>
          </w:tcPr>
          <w:p w14:paraId="7E82947D" w14:textId="77777777" w:rsidR="002E608D" w:rsidRPr="002E608D" w:rsidRDefault="002E608D" w:rsidP="002E608D">
            <w:pPr>
              <w:pStyle w:val="Tabletext"/>
            </w:pPr>
            <w:r w:rsidRPr="002E608D">
              <w:t>67</w:t>
            </w:r>
          </w:p>
        </w:tc>
        <w:tc>
          <w:tcPr>
            <w:tcW w:w="966" w:type="pct"/>
            <w:tcBorders>
              <w:top w:val="single" w:sz="4" w:space="0" w:color="auto"/>
              <w:bottom w:val="single" w:sz="4" w:space="0" w:color="auto"/>
            </w:tcBorders>
            <w:shd w:val="clear" w:color="auto" w:fill="auto"/>
            <w:vAlign w:val="bottom"/>
          </w:tcPr>
          <w:p w14:paraId="728774E5" w14:textId="77777777" w:rsidR="002E608D" w:rsidRPr="002E608D" w:rsidRDefault="002E608D" w:rsidP="002E608D">
            <w:pPr>
              <w:pStyle w:val="Tabletext"/>
            </w:pPr>
            <w:r w:rsidRPr="002E608D">
              <w:t>14</w:t>
            </w:r>
            <w:r w:rsidR="00D7157D">
              <w:t>.</w:t>
            </w:r>
            <w:r w:rsidRPr="002E608D">
              <w:t>7689</w:t>
            </w:r>
          </w:p>
        </w:tc>
        <w:tc>
          <w:tcPr>
            <w:tcW w:w="966" w:type="pct"/>
            <w:tcBorders>
              <w:top w:val="single" w:sz="4" w:space="0" w:color="auto"/>
              <w:bottom w:val="single" w:sz="4" w:space="0" w:color="auto"/>
            </w:tcBorders>
            <w:shd w:val="clear" w:color="auto" w:fill="auto"/>
            <w:vAlign w:val="bottom"/>
          </w:tcPr>
          <w:p w14:paraId="519C6E33" w14:textId="77777777" w:rsidR="002E608D" w:rsidRPr="002E608D" w:rsidRDefault="002E608D" w:rsidP="002E608D">
            <w:pPr>
              <w:pStyle w:val="Tabletext"/>
            </w:pPr>
            <w:r w:rsidRPr="002E608D">
              <w:t>1</w:t>
            </w:r>
            <w:r w:rsidR="00D7157D">
              <w:t>.</w:t>
            </w:r>
            <w:r w:rsidRPr="002E608D">
              <w:t>0749</w:t>
            </w:r>
          </w:p>
        </w:tc>
        <w:tc>
          <w:tcPr>
            <w:tcW w:w="966" w:type="pct"/>
            <w:tcBorders>
              <w:top w:val="single" w:sz="4" w:space="0" w:color="auto"/>
              <w:bottom w:val="single" w:sz="4" w:space="0" w:color="auto"/>
            </w:tcBorders>
            <w:shd w:val="clear" w:color="auto" w:fill="auto"/>
            <w:vAlign w:val="bottom"/>
          </w:tcPr>
          <w:p w14:paraId="793C81DA" w14:textId="77777777" w:rsidR="002E608D" w:rsidRPr="002E608D" w:rsidRDefault="002E608D" w:rsidP="002E608D">
            <w:pPr>
              <w:pStyle w:val="Tabletext"/>
            </w:pPr>
            <w:r w:rsidRPr="002E608D">
              <w:t>16</w:t>
            </w:r>
            <w:r w:rsidR="00D7157D">
              <w:t>.</w:t>
            </w:r>
            <w:r w:rsidRPr="002E608D">
              <w:t>5823</w:t>
            </w:r>
          </w:p>
        </w:tc>
        <w:tc>
          <w:tcPr>
            <w:tcW w:w="966" w:type="pct"/>
            <w:tcBorders>
              <w:top w:val="single" w:sz="4" w:space="0" w:color="auto"/>
              <w:bottom w:val="single" w:sz="4" w:space="0" w:color="auto"/>
              <w:right w:val="nil"/>
            </w:tcBorders>
            <w:shd w:val="clear" w:color="auto" w:fill="auto"/>
            <w:vAlign w:val="bottom"/>
          </w:tcPr>
          <w:p w14:paraId="214E748B" w14:textId="77777777" w:rsidR="002E608D" w:rsidRPr="002E608D" w:rsidRDefault="002E608D" w:rsidP="002E608D">
            <w:pPr>
              <w:pStyle w:val="Tabletext"/>
            </w:pPr>
            <w:r w:rsidRPr="002E608D">
              <w:t>0</w:t>
            </w:r>
            <w:r w:rsidR="00D7157D">
              <w:t>.</w:t>
            </w:r>
            <w:r w:rsidRPr="002E608D">
              <w:t>2836</w:t>
            </w:r>
          </w:p>
        </w:tc>
      </w:tr>
      <w:tr w:rsidR="002E608D" w:rsidRPr="002E608D" w14:paraId="1D685776" w14:textId="77777777" w:rsidTr="002E608D">
        <w:trPr>
          <w:cantSplit/>
        </w:trPr>
        <w:tc>
          <w:tcPr>
            <w:tcW w:w="1136" w:type="pct"/>
            <w:tcBorders>
              <w:top w:val="single" w:sz="4" w:space="0" w:color="auto"/>
              <w:bottom w:val="single" w:sz="4" w:space="0" w:color="auto"/>
            </w:tcBorders>
          </w:tcPr>
          <w:p w14:paraId="126D15AE" w14:textId="77777777" w:rsidR="002E608D" w:rsidRPr="002E608D" w:rsidRDefault="002E608D" w:rsidP="002E608D">
            <w:pPr>
              <w:pStyle w:val="Tabletext"/>
            </w:pPr>
            <w:r w:rsidRPr="002E608D">
              <w:t>68</w:t>
            </w:r>
          </w:p>
        </w:tc>
        <w:tc>
          <w:tcPr>
            <w:tcW w:w="966" w:type="pct"/>
            <w:tcBorders>
              <w:top w:val="single" w:sz="4" w:space="0" w:color="auto"/>
              <w:bottom w:val="single" w:sz="4" w:space="0" w:color="auto"/>
            </w:tcBorders>
            <w:shd w:val="clear" w:color="auto" w:fill="auto"/>
            <w:vAlign w:val="bottom"/>
          </w:tcPr>
          <w:p w14:paraId="7DE563A3" w14:textId="77777777" w:rsidR="002E608D" w:rsidRPr="002E608D" w:rsidRDefault="002E608D" w:rsidP="002E608D">
            <w:pPr>
              <w:pStyle w:val="Tabletext"/>
            </w:pPr>
            <w:r w:rsidRPr="002E608D">
              <w:t>14</w:t>
            </w:r>
            <w:r w:rsidR="00D7157D">
              <w:t>.</w:t>
            </w:r>
            <w:r w:rsidRPr="002E608D">
              <w:t>1794</w:t>
            </w:r>
          </w:p>
        </w:tc>
        <w:tc>
          <w:tcPr>
            <w:tcW w:w="966" w:type="pct"/>
            <w:tcBorders>
              <w:top w:val="single" w:sz="4" w:space="0" w:color="auto"/>
              <w:bottom w:val="single" w:sz="4" w:space="0" w:color="auto"/>
            </w:tcBorders>
            <w:shd w:val="clear" w:color="auto" w:fill="auto"/>
            <w:vAlign w:val="bottom"/>
          </w:tcPr>
          <w:p w14:paraId="642C6397" w14:textId="77777777" w:rsidR="002E608D" w:rsidRPr="002E608D" w:rsidRDefault="002E608D" w:rsidP="002E608D">
            <w:pPr>
              <w:pStyle w:val="Tabletext"/>
            </w:pPr>
            <w:r w:rsidRPr="002E608D">
              <w:t>1</w:t>
            </w:r>
            <w:r w:rsidR="00D7157D">
              <w:t>.</w:t>
            </w:r>
            <w:r w:rsidRPr="002E608D">
              <w:t>0591</w:t>
            </w:r>
          </w:p>
        </w:tc>
        <w:tc>
          <w:tcPr>
            <w:tcW w:w="966" w:type="pct"/>
            <w:tcBorders>
              <w:top w:val="single" w:sz="4" w:space="0" w:color="auto"/>
              <w:bottom w:val="single" w:sz="4" w:space="0" w:color="auto"/>
            </w:tcBorders>
            <w:shd w:val="clear" w:color="auto" w:fill="auto"/>
            <w:vAlign w:val="bottom"/>
          </w:tcPr>
          <w:p w14:paraId="15F58FF8" w14:textId="77777777" w:rsidR="002E608D" w:rsidRPr="002E608D" w:rsidRDefault="002E608D" w:rsidP="002E608D">
            <w:pPr>
              <w:pStyle w:val="Tabletext"/>
            </w:pPr>
            <w:r w:rsidRPr="002E608D">
              <w:t>15</w:t>
            </w:r>
            <w:r w:rsidR="00D7157D">
              <w:t>.</w:t>
            </w:r>
            <w:r w:rsidRPr="002E608D">
              <w:t>9268</w:t>
            </w:r>
          </w:p>
        </w:tc>
        <w:tc>
          <w:tcPr>
            <w:tcW w:w="966" w:type="pct"/>
            <w:tcBorders>
              <w:top w:val="single" w:sz="4" w:space="0" w:color="auto"/>
              <w:bottom w:val="single" w:sz="4" w:space="0" w:color="auto"/>
              <w:right w:val="nil"/>
            </w:tcBorders>
            <w:shd w:val="clear" w:color="auto" w:fill="auto"/>
            <w:vAlign w:val="bottom"/>
          </w:tcPr>
          <w:p w14:paraId="08A0D718" w14:textId="77777777" w:rsidR="002E608D" w:rsidRPr="002E608D" w:rsidRDefault="002E608D" w:rsidP="002E608D">
            <w:pPr>
              <w:pStyle w:val="Tabletext"/>
            </w:pPr>
            <w:r w:rsidRPr="002E608D">
              <w:t>0</w:t>
            </w:r>
            <w:r w:rsidR="00D7157D">
              <w:t>.</w:t>
            </w:r>
            <w:r w:rsidRPr="002E608D">
              <w:t>2790</w:t>
            </w:r>
          </w:p>
        </w:tc>
      </w:tr>
      <w:tr w:rsidR="002E608D" w:rsidRPr="002E608D" w14:paraId="5CD21BB1" w14:textId="77777777" w:rsidTr="002E608D">
        <w:trPr>
          <w:cantSplit/>
        </w:trPr>
        <w:tc>
          <w:tcPr>
            <w:tcW w:w="1136" w:type="pct"/>
            <w:tcBorders>
              <w:top w:val="single" w:sz="4" w:space="0" w:color="auto"/>
              <w:bottom w:val="single" w:sz="4" w:space="0" w:color="auto"/>
            </w:tcBorders>
          </w:tcPr>
          <w:p w14:paraId="46F015FF" w14:textId="77777777" w:rsidR="002E608D" w:rsidRPr="002E608D" w:rsidRDefault="002E608D" w:rsidP="002E608D">
            <w:pPr>
              <w:pStyle w:val="Tabletext"/>
            </w:pPr>
            <w:r w:rsidRPr="002E608D">
              <w:t>69</w:t>
            </w:r>
          </w:p>
        </w:tc>
        <w:tc>
          <w:tcPr>
            <w:tcW w:w="966" w:type="pct"/>
            <w:tcBorders>
              <w:top w:val="single" w:sz="4" w:space="0" w:color="auto"/>
              <w:bottom w:val="single" w:sz="4" w:space="0" w:color="auto"/>
            </w:tcBorders>
            <w:shd w:val="clear" w:color="auto" w:fill="auto"/>
            <w:vAlign w:val="bottom"/>
          </w:tcPr>
          <w:p w14:paraId="0388A019" w14:textId="77777777" w:rsidR="002E608D" w:rsidRPr="002E608D" w:rsidRDefault="002E608D" w:rsidP="002E608D">
            <w:pPr>
              <w:pStyle w:val="Tabletext"/>
            </w:pPr>
            <w:r w:rsidRPr="002E608D">
              <w:t>13</w:t>
            </w:r>
            <w:r w:rsidR="00D7157D">
              <w:t>.</w:t>
            </w:r>
            <w:r w:rsidRPr="002E608D">
              <w:t>5942</w:t>
            </w:r>
          </w:p>
        </w:tc>
        <w:tc>
          <w:tcPr>
            <w:tcW w:w="966" w:type="pct"/>
            <w:tcBorders>
              <w:top w:val="single" w:sz="4" w:space="0" w:color="auto"/>
              <w:bottom w:val="single" w:sz="4" w:space="0" w:color="auto"/>
            </w:tcBorders>
            <w:shd w:val="clear" w:color="auto" w:fill="auto"/>
            <w:vAlign w:val="bottom"/>
          </w:tcPr>
          <w:p w14:paraId="2B7284FF" w14:textId="77777777" w:rsidR="002E608D" w:rsidRPr="002E608D" w:rsidRDefault="002E608D" w:rsidP="002E608D">
            <w:pPr>
              <w:pStyle w:val="Tabletext"/>
            </w:pPr>
            <w:r w:rsidRPr="002E608D">
              <w:t>1</w:t>
            </w:r>
            <w:r w:rsidR="00D7157D">
              <w:t>.</w:t>
            </w:r>
            <w:r w:rsidRPr="002E608D">
              <w:t>0424</w:t>
            </w:r>
          </w:p>
        </w:tc>
        <w:tc>
          <w:tcPr>
            <w:tcW w:w="966" w:type="pct"/>
            <w:tcBorders>
              <w:top w:val="single" w:sz="4" w:space="0" w:color="auto"/>
              <w:bottom w:val="single" w:sz="4" w:space="0" w:color="auto"/>
            </w:tcBorders>
            <w:shd w:val="clear" w:color="auto" w:fill="auto"/>
            <w:vAlign w:val="bottom"/>
          </w:tcPr>
          <w:p w14:paraId="63650107" w14:textId="77777777" w:rsidR="002E608D" w:rsidRPr="002E608D" w:rsidRDefault="002E608D" w:rsidP="002E608D">
            <w:pPr>
              <w:pStyle w:val="Tabletext"/>
            </w:pPr>
            <w:r w:rsidRPr="002E608D">
              <w:t>15</w:t>
            </w:r>
            <w:r w:rsidR="00D7157D">
              <w:t>.</w:t>
            </w:r>
            <w:r w:rsidRPr="002E608D">
              <w:t>2759</w:t>
            </w:r>
          </w:p>
        </w:tc>
        <w:tc>
          <w:tcPr>
            <w:tcW w:w="966" w:type="pct"/>
            <w:tcBorders>
              <w:top w:val="single" w:sz="4" w:space="0" w:color="auto"/>
              <w:bottom w:val="single" w:sz="4" w:space="0" w:color="auto"/>
              <w:right w:val="nil"/>
            </w:tcBorders>
            <w:shd w:val="clear" w:color="auto" w:fill="auto"/>
            <w:vAlign w:val="bottom"/>
          </w:tcPr>
          <w:p w14:paraId="34E553F1" w14:textId="77777777" w:rsidR="002E608D" w:rsidRPr="002E608D" w:rsidRDefault="002E608D" w:rsidP="002E608D">
            <w:pPr>
              <w:pStyle w:val="Tabletext"/>
            </w:pPr>
            <w:r w:rsidRPr="002E608D">
              <w:t>0</w:t>
            </w:r>
            <w:r w:rsidR="00D7157D">
              <w:t>.</w:t>
            </w:r>
            <w:r w:rsidRPr="002E608D">
              <w:t>2742</w:t>
            </w:r>
          </w:p>
        </w:tc>
      </w:tr>
      <w:tr w:rsidR="002E608D" w:rsidRPr="002E608D" w14:paraId="20123A74" w14:textId="77777777" w:rsidTr="002E608D">
        <w:trPr>
          <w:cantSplit/>
        </w:trPr>
        <w:tc>
          <w:tcPr>
            <w:tcW w:w="1136" w:type="pct"/>
            <w:tcBorders>
              <w:top w:val="single" w:sz="4" w:space="0" w:color="auto"/>
              <w:bottom w:val="single" w:sz="4" w:space="0" w:color="auto"/>
            </w:tcBorders>
          </w:tcPr>
          <w:p w14:paraId="037D38A9" w14:textId="77777777" w:rsidR="002E608D" w:rsidRPr="002E608D" w:rsidRDefault="002E608D" w:rsidP="002E608D">
            <w:pPr>
              <w:pStyle w:val="Tabletext"/>
            </w:pPr>
            <w:r w:rsidRPr="002E608D">
              <w:t>70</w:t>
            </w:r>
          </w:p>
        </w:tc>
        <w:tc>
          <w:tcPr>
            <w:tcW w:w="966" w:type="pct"/>
            <w:tcBorders>
              <w:top w:val="single" w:sz="4" w:space="0" w:color="auto"/>
              <w:bottom w:val="single" w:sz="4" w:space="0" w:color="auto"/>
            </w:tcBorders>
            <w:shd w:val="clear" w:color="auto" w:fill="auto"/>
            <w:vAlign w:val="bottom"/>
          </w:tcPr>
          <w:p w14:paraId="75F35953" w14:textId="77777777" w:rsidR="002E608D" w:rsidRPr="002E608D" w:rsidRDefault="002E608D" w:rsidP="002E608D">
            <w:pPr>
              <w:pStyle w:val="Tabletext"/>
            </w:pPr>
            <w:r w:rsidRPr="002E608D">
              <w:t>13</w:t>
            </w:r>
            <w:r w:rsidR="00D7157D">
              <w:t>.</w:t>
            </w:r>
            <w:r w:rsidRPr="002E608D">
              <w:t>0143</w:t>
            </w:r>
          </w:p>
        </w:tc>
        <w:tc>
          <w:tcPr>
            <w:tcW w:w="966" w:type="pct"/>
            <w:tcBorders>
              <w:top w:val="single" w:sz="4" w:space="0" w:color="auto"/>
              <w:bottom w:val="single" w:sz="4" w:space="0" w:color="auto"/>
            </w:tcBorders>
            <w:shd w:val="clear" w:color="auto" w:fill="auto"/>
            <w:vAlign w:val="bottom"/>
          </w:tcPr>
          <w:p w14:paraId="13B6AC42" w14:textId="77777777" w:rsidR="002E608D" w:rsidRPr="002E608D" w:rsidRDefault="002E608D" w:rsidP="002E608D">
            <w:pPr>
              <w:pStyle w:val="Tabletext"/>
            </w:pPr>
            <w:r w:rsidRPr="002E608D">
              <w:t>1</w:t>
            </w:r>
            <w:r w:rsidR="00D7157D">
              <w:t>.</w:t>
            </w:r>
            <w:r w:rsidRPr="002E608D">
              <w:t>0250</w:t>
            </w:r>
          </w:p>
        </w:tc>
        <w:tc>
          <w:tcPr>
            <w:tcW w:w="966" w:type="pct"/>
            <w:tcBorders>
              <w:top w:val="single" w:sz="4" w:space="0" w:color="auto"/>
              <w:bottom w:val="single" w:sz="4" w:space="0" w:color="auto"/>
            </w:tcBorders>
            <w:shd w:val="clear" w:color="auto" w:fill="auto"/>
            <w:vAlign w:val="bottom"/>
          </w:tcPr>
          <w:p w14:paraId="61FB110E" w14:textId="77777777" w:rsidR="002E608D" w:rsidRPr="002E608D" w:rsidRDefault="002E608D" w:rsidP="002E608D">
            <w:pPr>
              <w:pStyle w:val="Tabletext"/>
            </w:pPr>
            <w:r w:rsidRPr="002E608D">
              <w:t>14</w:t>
            </w:r>
            <w:r w:rsidR="00D7157D">
              <w:t>.</w:t>
            </w:r>
            <w:r w:rsidRPr="002E608D">
              <w:t>6303</w:t>
            </w:r>
          </w:p>
        </w:tc>
        <w:tc>
          <w:tcPr>
            <w:tcW w:w="966" w:type="pct"/>
            <w:tcBorders>
              <w:top w:val="single" w:sz="4" w:space="0" w:color="auto"/>
              <w:bottom w:val="single" w:sz="4" w:space="0" w:color="auto"/>
              <w:right w:val="nil"/>
            </w:tcBorders>
            <w:shd w:val="clear" w:color="auto" w:fill="auto"/>
            <w:vAlign w:val="bottom"/>
          </w:tcPr>
          <w:p w14:paraId="77CA1EF3" w14:textId="77777777" w:rsidR="002E608D" w:rsidRPr="002E608D" w:rsidRDefault="002E608D" w:rsidP="002E608D">
            <w:pPr>
              <w:pStyle w:val="Tabletext"/>
            </w:pPr>
            <w:r w:rsidRPr="002E608D">
              <w:t>0</w:t>
            </w:r>
            <w:r w:rsidR="00D7157D">
              <w:t>.</w:t>
            </w:r>
            <w:r w:rsidRPr="002E608D">
              <w:t>2691</w:t>
            </w:r>
          </w:p>
        </w:tc>
      </w:tr>
      <w:tr w:rsidR="002E608D" w:rsidRPr="002E608D" w14:paraId="717969C0" w14:textId="77777777" w:rsidTr="002E608D">
        <w:trPr>
          <w:cantSplit/>
        </w:trPr>
        <w:tc>
          <w:tcPr>
            <w:tcW w:w="1136" w:type="pct"/>
            <w:tcBorders>
              <w:top w:val="single" w:sz="4" w:space="0" w:color="auto"/>
              <w:bottom w:val="single" w:sz="4" w:space="0" w:color="auto"/>
            </w:tcBorders>
          </w:tcPr>
          <w:p w14:paraId="76593673" w14:textId="77777777" w:rsidR="002E608D" w:rsidRPr="002E608D" w:rsidRDefault="002E608D" w:rsidP="002E608D">
            <w:pPr>
              <w:pStyle w:val="Tabletext"/>
            </w:pPr>
            <w:r w:rsidRPr="002E608D">
              <w:t>71</w:t>
            </w:r>
          </w:p>
        </w:tc>
        <w:tc>
          <w:tcPr>
            <w:tcW w:w="966" w:type="pct"/>
            <w:tcBorders>
              <w:top w:val="single" w:sz="4" w:space="0" w:color="auto"/>
              <w:bottom w:val="single" w:sz="4" w:space="0" w:color="auto"/>
            </w:tcBorders>
            <w:shd w:val="clear" w:color="auto" w:fill="auto"/>
            <w:vAlign w:val="bottom"/>
          </w:tcPr>
          <w:p w14:paraId="578AD076" w14:textId="77777777" w:rsidR="002E608D" w:rsidRPr="002E608D" w:rsidRDefault="002E608D" w:rsidP="002E608D">
            <w:pPr>
              <w:pStyle w:val="Tabletext"/>
            </w:pPr>
            <w:r w:rsidRPr="002E608D">
              <w:t>12</w:t>
            </w:r>
            <w:r w:rsidR="00D7157D">
              <w:t>.</w:t>
            </w:r>
            <w:r w:rsidRPr="002E608D">
              <w:t>4409</w:t>
            </w:r>
          </w:p>
        </w:tc>
        <w:tc>
          <w:tcPr>
            <w:tcW w:w="966" w:type="pct"/>
            <w:tcBorders>
              <w:top w:val="single" w:sz="4" w:space="0" w:color="auto"/>
              <w:bottom w:val="single" w:sz="4" w:space="0" w:color="auto"/>
            </w:tcBorders>
            <w:shd w:val="clear" w:color="auto" w:fill="auto"/>
            <w:vAlign w:val="bottom"/>
          </w:tcPr>
          <w:p w14:paraId="036C3449" w14:textId="77777777" w:rsidR="002E608D" w:rsidRPr="002E608D" w:rsidRDefault="002E608D" w:rsidP="002E608D">
            <w:pPr>
              <w:pStyle w:val="Tabletext"/>
            </w:pPr>
            <w:r w:rsidRPr="002E608D">
              <w:t>1</w:t>
            </w:r>
            <w:r w:rsidR="00D7157D">
              <w:t>.</w:t>
            </w:r>
            <w:r w:rsidRPr="002E608D">
              <w:t>0066</w:t>
            </w:r>
          </w:p>
        </w:tc>
        <w:tc>
          <w:tcPr>
            <w:tcW w:w="966" w:type="pct"/>
            <w:tcBorders>
              <w:top w:val="single" w:sz="4" w:space="0" w:color="auto"/>
              <w:bottom w:val="single" w:sz="4" w:space="0" w:color="auto"/>
            </w:tcBorders>
            <w:shd w:val="clear" w:color="auto" w:fill="auto"/>
            <w:vAlign w:val="bottom"/>
          </w:tcPr>
          <w:p w14:paraId="691E79D5" w14:textId="77777777" w:rsidR="002E608D" w:rsidRPr="002E608D" w:rsidRDefault="002E608D" w:rsidP="002E608D">
            <w:pPr>
              <w:pStyle w:val="Tabletext"/>
            </w:pPr>
            <w:r w:rsidRPr="002E608D">
              <w:t>13</w:t>
            </w:r>
            <w:r w:rsidR="00D7157D">
              <w:t>.</w:t>
            </w:r>
            <w:r w:rsidRPr="002E608D">
              <w:t>9911</w:t>
            </w:r>
          </w:p>
        </w:tc>
        <w:tc>
          <w:tcPr>
            <w:tcW w:w="966" w:type="pct"/>
            <w:tcBorders>
              <w:top w:val="single" w:sz="4" w:space="0" w:color="auto"/>
              <w:bottom w:val="single" w:sz="4" w:space="0" w:color="auto"/>
              <w:right w:val="nil"/>
            </w:tcBorders>
            <w:shd w:val="clear" w:color="auto" w:fill="auto"/>
            <w:vAlign w:val="bottom"/>
          </w:tcPr>
          <w:p w14:paraId="5134CBC0" w14:textId="77777777" w:rsidR="002E608D" w:rsidRPr="002E608D" w:rsidRDefault="002E608D" w:rsidP="002E608D">
            <w:pPr>
              <w:pStyle w:val="Tabletext"/>
            </w:pPr>
            <w:r w:rsidRPr="002E608D">
              <w:t>0</w:t>
            </w:r>
            <w:r w:rsidR="00D7157D">
              <w:t>.</w:t>
            </w:r>
            <w:r w:rsidRPr="002E608D">
              <w:t>2637</w:t>
            </w:r>
          </w:p>
        </w:tc>
      </w:tr>
      <w:tr w:rsidR="002E608D" w:rsidRPr="002E608D" w14:paraId="7FAFA35F" w14:textId="77777777" w:rsidTr="002E608D">
        <w:trPr>
          <w:cantSplit/>
        </w:trPr>
        <w:tc>
          <w:tcPr>
            <w:tcW w:w="1136" w:type="pct"/>
            <w:tcBorders>
              <w:top w:val="single" w:sz="4" w:space="0" w:color="auto"/>
              <w:bottom w:val="single" w:sz="4" w:space="0" w:color="auto"/>
            </w:tcBorders>
          </w:tcPr>
          <w:p w14:paraId="59DAE542" w14:textId="77777777" w:rsidR="002E608D" w:rsidRPr="002E608D" w:rsidRDefault="002E608D" w:rsidP="002E608D">
            <w:pPr>
              <w:pStyle w:val="Tabletext"/>
            </w:pPr>
            <w:r w:rsidRPr="002E608D">
              <w:t>72</w:t>
            </w:r>
          </w:p>
        </w:tc>
        <w:tc>
          <w:tcPr>
            <w:tcW w:w="966" w:type="pct"/>
            <w:tcBorders>
              <w:top w:val="single" w:sz="4" w:space="0" w:color="auto"/>
              <w:bottom w:val="single" w:sz="4" w:space="0" w:color="auto"/>
            </w:tcBorders>
            <w:shd w:val="clear" w:color="auto" w:fill="auto"/>
            <w:vAlign w:val="bottom"/>
          </w:tcPr>
          <w:p w14:paraId="3D99EE37" w14:textId="77777777" w:rsidR="002E608D" w:rsidRPr="002E608D" w:rsidRDefault="002E608D" w:rsidP="002E608D">
            <w:pPr>
              <w:pStyle w:val="Tabletext"/>
            </w:pPr>
            <w:r w:rsidRPr="002E608D">
              <w:t>11</w:t>
            </w:r>
            <w:r w:rsidR="00D7157D">
              <w:t>.</w:t>
            </w:r>
            <w:r w:rsidRPr="002E608D">
              <w:t>8748</w:t>
            </w:r>
          </w:p>
        </w:tc>
        <w:tc>
          <w:tcPr>
            <w:tcW w:w="966" w:type="pct"/>
            <w:tcBorders>
              <w:top w:val="single" w:sz="4" w:space="0" w:color="auto"/>
              <w:bottom w:val="single" w:sz="4" w:space="0" w:color="auto"/>
            </w:tcBorders>
            <w:shd w:val="clear" w:color="auto" w:fill="auto"/>
            <w:vAlign w:val="bottom"/>
          </w:tcPr>
          <w:p w14:paraId="55549AA2" w14:textId="77777777" w:rsidR="002E608D" w:rsidRPr="002E608D" w:rsidRDefault="002E608D" w:rsidP="002E608D">
            <w:pPr>
              <w:pStyle w:val="Tabletext"/>
            </w:pPr>
            <w:r w:rsidRPr="002E608D">
              <w:t>0</w:t>
            </w:r>
            <w:r w:rsidR="00D7157D">
              <w:t>.</w:t>
            </w:r>
            <w:r w:rsidRPr="002E608D">
              <w:t>9873</w:t>
            </w:r>
          </w:p>
        </w:tc>
        <w:tc>
          <w:tcPr>
            <w:tcW w:w="966" w:type="pct"/>
            <w:tcBorders>
              <w:top w:val="single" w:sz="4" w:space="0" w:color="auto"/>
              <w:bottom w:val="single" w:sz="4" w:space="0" w:color="auto"/>
            </w:tcBorders>
            <w:shd w:val="clear" w:color="auto" w:fill="auto"/>
            <w:vAlign w:val="bottom"/>
          </w:tcPr>
          <w:p w14:paraId="29BD0CD9" w14:textId="77777777" w:rsidR="002E608D" w:rsidRPr="002E608D" w:rsidRDefault="002E608D" w:rsidP="002E608D">
            <w:pPr>
              <w:pStyle w:val="Tabletext"/>
            </w:pPr>
            <w:r w:rsidRPr="002E608D">
              <w:t>13</w:t>
            </w:r>
            <w:r w:rsidR="00D7157D">
              <w:t>.</w:t>
            </w:r>
            <w:r w:rsidRPr="002E608D">
              <w:t>3581</w:t>
            </w:r>
          </w:p>
        </w:tc>
        <w:tc>
          <w:tcPr>
            <w:tcW w:w="966" w:type="pct"/>
            <w:tcBorders>
              <w:top w:val="single" w:sz="4" w:space="0" w:color="auto"/>
              <w:bottom w:val="single" w:sz="4" w:space="0" w:color="auto"/>
              <w:right w:val="nil"/>
            </w:tcBorders>
            <w:shd w:val="clear" w:color="auto" w:fill="auto"/>
            <w:vAlign w:val="bottom"/>
          </w:tcPr>
          <w:p w14:paraId="54A2AC0F" w14:textId="77777777" w:rsidR="002E608D" w:rsidRPr="002E608D" w:rsidRDefault="002E608D" w:rsidP="002E608D">
            <w:pPr>
              <w:pStyle w:val="Tabletext"/>
            </w:pPr>
            <w:r w:rsidRPr="002E608D">
              <w:t>0</w:t>
            </w:r>
            <w:r w:rsidR="00D7157D">
              <w:t>.</w:t>
            </w:r>
            <w:r w:rsidRPr="002E608D">
              <w:t>2582</w:t>
            </w:r>
          </w:p>
        </w:tc>
      </w:tr>
      <w:tr w:rsidR="002E608D" w:rsidRPr="002E608D" w14:paraId="45386832" w14:textId="77777777" w:rsidTr="002E608D">
        <w:trPr>
          <w:cantSplit/>
        </w:trPr>
        <w:tc>
          <w:tcPr>
            <w:tcW w:w="1136" w:type="pct"/>
            <w:tcBorders>
              <w:top w:val="single" w:sz="4" w:space="0" w:color="auto"/>
              <w:bottom w:val="single" w:sz="4" w:space="0" w:color="auto"/>
            </w:tcBorders>
          </w:tcPr>
          <w:p w14:paraId="101B713F" w14:textId="77777777" w:rsidR="002E608D" w:rsidRPr="002E608D" w:rsidRDefault="002E608D" w:rsidP="002E608D">
            <w:pPr>
              <w:pStyle w:val="Tabletext"/>
            </w:pPr>
            <w:r w:rsidRPr="002E608D">
              <w:t>73</w:t>
            </w:r>
          </w:p>
        </w:tc>
        <w:tc>
          <w:tcPr>
            <w:tcW w:w="966" w:type="pct"/>
            <w:tcBorders>
              <w:top w:val="single" w:sz="4" w:space="0" w:color="auto"/>
              <w:bottom w:val="single" w:sz="4" w:space="0" w:color="auto"/>
            </w:tcBorders>
            <w:shd w:val="clear" w:color="auto" w:fill="auto"/>
            <w:vAlign w:val="bottom"/>
          </w:tcPr>
          <w:p w14:paraId="07D42993" w14:textId="77777777" w:rsidR="002E608D" w:rsidRPr="002E608D" w:rsidRDefault="002E608D" w:rsidP="002E608D">
            <w:pPr>
              <w:pStyle w:val="Tabletext"/>
            </w:pPr>
            <w:r w:rsidRPr="002E608D">
              <w:t>11</w:t>
            </w:r>
            <w:r w:rsidR="00D7157D">
              <w:t>.</w:t>
            </w:r>
            <w:r w:rsidRPr="002E608D">
              <w:t>3169</w:t>
            </w:r>
          </w:p>
        </w:tc>
        <w:tc>
          <w:tcPr>
            <w:tcW w:w="966" w:type="pct"/>
            <w:tcBorders>
              <w:top w:val="single" w:sz="4" w:space="0" w:color="auto"/>
              <w:bottom w:val="single" w:sz="4" w:space="0" w:color="auto"/>
            </w:tcBorders>
            <w:shd w:val="clear" w:color="auto" w:fill="auto"/>
            <w:vAlign w:val="bottom"/>
          </w:tcPr>
          <w:p w14:paraId="714B9BE7" w14:textId="77777777" w:rsidR="002E608D" w:rsidRPr="002E608D" w:rsidRDefault="002E608D" w:rsidP="002E608D">
            <w:pPr>
              <w:pStyle w:val="Tabletext"/>
            </w:pPr>
            <w:r w:rsidRPr="002E608D">
              <w:t>0</w:t>
            </w:r>
            <w:r w:rsidR="00D7157D">
              <w:t>.</w:t>
            </w:r>
            <w:r w:rsidRPr="002E608D">
              <w:t>9670</w:t>
            </w:r>
          </w:p>
        </w:tc>
        <w:tc>
          <w:tcPr>
            <w:tcW w:w="966" w:type="pct"/>
            <w:tcBorders>
              <w:top w:val="single" w:sz="4" w:space="0" w:color="auto"/>
              <w:bottom w:val="single" w:sz="4" w:space="0" w:color="auto"/>
            </w:tcBorders>
            <w:shd w:val="clear" w:color="auto" w:fill="auto"/>
            <w:vAlign w:val="bottom"/>
          </w:tcPr>
          <w:p w14:paraId="7CA8F343" w14:textId="77777777" w:rsidR="002E608D" w:rsidRPr="002E608D" w:rsidRDefault="002E608D" w:rsidP="002E608D">
            <w:pPr>
              <w:pStyle w:val="Tabletext"/>
            </w:pPr>
            <w:r w:rsidRPr="002E608D">
              <w:t>12</w:t>
            </w:r>
            <w:r w:rsidR="00D7157D">
              <w:t>.</w:t>
            </w:r>
            <w:r w:rsidRPr="002E608D">
              <w:t>7331</w:t>
            </w:r>
          </w:p>
        </w:tc>
        <w:tc>
          <w:tcPr>
            <w:tcW w:w="966" w:type="pct"/>
            <w:tcBorders>
              <w:top w:val="single" w:sz="4" w:space="0" w:color="auto"/>
              <w:bottom w:val="single" w:sz="4" w:space="0" w:color="auto"/>
              <w:right w:val="nil"/>
            </w:tcBorders>
            <w:shd w:val="clear" w:color="auto" w:fill="auto"/>
            <w:vAlign w:val="bottom"/>
          </w:tcPr>
          <w:p w14:paraId="78894567" w14:textId="77777777" w:rsidR="002E608D" w:rsidRPr="002E608D" w:rsidRDefault="002E608D" w:rsidP="002E608D">
            <w:pPr>
              <w:pStyle w:val="Tabletext"/>
            </w:pPr>
            <w:r w:rsidRPr="002E608D">
              <w:t>0</w:t>
            </w:r>
            <w:r w:rsidR="00D7157D">
              <w:t>.</w:t>
            </w:r>
            <w:r w:rsidRPr="002E608D">
              <w:t>2523</w:t>
            </w:r>
          </w:p>
        </w:tc>
      </w:tr>
      <w:tr w:rsidR="002E608D" w:rsidRPr="002E608D" w14:paraId="696D5853" w14:textId="77777777" w:rsidTr="002E608D">
        <w:trPr>
          <w:cantSplit/>
        </w:trPr>
        <w:tc>
          <w:tcPr>
            <w:tcW w:w="1136" w:type="pct"/>
            <w:tcBorders>
              <w:top w:val="single" w:sz="4" w:space="0" w:color="auto"/>
              <w:bottom w:val="single" w:sz="4" w:space="0" w:color="auto"/>
            </w:tcBorders>
          </w:tcPr>
          <w:p w14:paraId="20020FAC" w14:textId="77777777" w:rsidR="002E608D" w:rsidRPr="002E608D" w:rsidRDefault="002E608D" w:rsidP="002E608D">
            <w:pPr>
              <w:pStyle w:val="Tabletext"/>
            </w:pPr>
            <w:r w:rsidRPr="002E608D">
              <w:t>74</w:t>
            </w:r>
          </w:p>
        </w:tc>
        <w:tc>
          <w:tcPr>
            <w:tcW w:w="966" w:type="pct"/>
            <w:tcBorders>
              <w:top w:val="single" w:sz="4" w:space="0" w:color="auto"/>
              <w:bottom w:val="single" w:sz="4" w:space="0" w:color="auto"/>
            </w:tcBorders>
            <w:shd w:val="clear" w:color="auto" w:fill="auto"/>
            <w:vAlign w:val="bottom"/>
          </w:tcPr>
          <w:p w14:paraId="0A1FF43B" w14:textId="77777777" w:rsidR="002E608D" w:rsidRPr="002E608D" w:rsidRDefault="002E608D" w:rsidP="002E608D">
            <w:pPr>
              <w:pStyle w:val="Tabletext"/>
            </w:pPr>
            <w:r w:rsidRPr="002E608D">
              <w:t>10</w:t>
            </w:r>
            <w:r w:rsidR="00D7157D">
              <w:t>.</w:t>
            </w:r>
            <w:r w:rsidRPr="002E608D">
              <w:t>7675</w:t>
            </w:r>
          </w:p>
        </w:tc>
        <w:tc>
          <w:tcPr>
            <w:tcW w:w="966" w:type="pct"/>
            <w:tcBorders>
              <w:top w:val="single" w:sz="4" w:space="0" w:color="auto"/>
              <w:bottom w:val="single" w:sz="4" w:space="0" w:color="auto"/>
            </w:tcBorders>
            <w:shd w:val="clear" w:color="auto" w:fill="auto"/>
            <w:vAlign w:val="bottom"/>
          </w:tcPr>
          <w:p w14:paraId="06E93E80" w14:textId="77777777" w:rsidR="002E608D" w:rsidRPr="002E608D" w:rsidRDefault="002E608D" w:rsidP="002E608D">
            <w:pPr>
              <w:pStyle w:val="Tabletext"/>
            </w:pPr>
            <w:r w:rsidRPr="002E608D">
              <w:t>0</w:t>
            </w:r>
            <w:r w:rsidR="00D7157D">
              <w:t>.</w:t>
            </w:r>
            <w:r w:rsidRPr="002E608D">
              <w:t>9458</w:t>
            </w:r>
          </w:p>
        </w:tc>
        <w:tc>
          <w:tcPr>
            <w:tcW w:w="966" w:type="pct"/>
            <w:tcBorders>
              <w:top w:val="single" w:sz="4" w:space="0" w:color="auto"/>
              <w:bottom w:val="single" w:sz="4" w:space="0" w:color="auto"/>
            </w:tcBorders>
            <w:shd w:val="clear" w:color="auto" w:fill="auto"/>
            <w:vAlign w:val="bottom"/>
          </w:tcPr>
          <w:p w14:paraId="3D0F576B" w14:textId="77777777" w:rsidR="002E608D" w:rsidRPr="002E608D" w:rsidRDefault="002E608D" w:rsidP="002E608D">
            <w:pPr>
              <w:pStyle w:val="Tabletext"/>
            </w:pPr>
            <w:r w:rsidRPr="002E608D">
              <w:t>12</w:t>
            </w:r>
            <w:r w:rsidR="00D7157D">
              <w:t>.</w:t>
            </w:r>
            <w:r w:rsidRPr="002E608D">
              <w:t>1173</w:t>
            </w:r>
          </w:p>
        </w:tc>
        <w:tc>
          <w:tcPr>
            <w:tcW w:w="966" w:type="pct"/>
            <w:tcBorders>
              <w:top w:val="single" w:sz="4" w:space="0" w:color="auto"/>
              <w:bottom w:val="single" w:sz="4" w:space="0" w:color="auto"/>
              <w:right w:val="nil"/>
            </w:tcBorders>
            <w:shd w:val="clear" w:color="auto" w:fill="auto"/>
            <w:vAlign w:val="bottom"/>
          </w:tcPr>
          <w:p w14:paraId="10997014" w14:textId="77777777" w:rsidR="002E608D" w:rsidRPr="002E608D" w:rsidRDefault="002E608D" w:rsidP="002E608D">
            <w:pPr>
              <w:pStyle w:val="Tabletext"/>
            </w:pPr>
            <w:r w:rsidRPr="002E608D">
              <w:t>0</w:t>
            </w:r>
            <w:r w:rsidR="00D7157D">
              <w:t>.</w:t>
            </w:r>
            <w:r w:rsidRPr="002E608D">
              <w:t>2462</w:t>
            </w:r>
          </w:p>
        </w:tc>
      </w:tr>
      <w:tr w:rsidR="002E608D" w:rsidRPr="002E608D" w14:paraId="382DB755" w14:textId="77777777" w:rsidTr="002E608D">
        <w:trPr>
          <w:cantSplit/>
        </w:trPr>
        <w:tc>
          <w:tcPr>
            <w:tcW w:w="1136" w:type="pct"/>
            <w:tcBorders>
              <w:top w:val="single" w:sz="4" w:space="0" w:color="auto"/>
              <w:bottom w:val="single" w:sz="4" w:space="0" w:color="auto"/>
            </w:tcBorders>
          </w:tcPr>
          <w:p w14:paraId="22E256AC" w14:textId="77777777" w:rsidR="002E608D" w:rsidRPr="002E608D" w:rsidRDefault="002E608D" w:rsidP="002E608D">
            <w:pPr>
              <w:pStyle w:val="Tabletext"/>
            </w:pPr>
            <w:r w:rsidRPr="002E608D">
              <w:t>75</w:t>
            </w:r>
          </w:p>
        </w:tc>
        <w:tc>
          <w:tcPr>
            <w:tcW w:w="966" w:type="pct"/>
            <w:tcBorders>
              <w:top w:val="single" w:sz="4" w:space="0" w:color="auto"/>
              <w:bottom w:val="single" w:sz="4" w:space="0" w:color="auto"/>
            </w:tcBorders>
            <w:shd w:val="clear" w:color="auto" w:fill="auto"/>
            <w:vAlign w:val="bottom"/>
          </w:tcPr>
          <w:p w14:paraId="6023DB40" w14:textId="77777777" w:rsidR="002E608D" w:rsidRPr="002E608D" w:rsidRDefault="002E608D" w:rsidP="002E608D">
            <w:pPr>
              <w:pStyle w:val="Tabletext"/>
            </w:pPr>
            <w:r w:rsidRPr="002E608D">
              <w:t>10</w:t>
            </w:r>
            <w:r w:rsidR="00D7157D">
              <w:t>.</w:t>
            </w:r>
            <w:r w:rsidRPr="002E608D">
              <w:t>2269</w:t>
            </w:r>
          </w:p>
        </w:tc>
        <w:tc>
          <w:tcPr>
            <w:tcW w:w="966" w:type="pct"/>
            <w:tcBorders>
              <w:top w:val="single" w:sz="4" w:space="0" w:color="auto"/>
              <w:bottom w:val="single" w:sz="4" w:space="0" w:color="auto"/>
            </w:tcBorders>
            <w:shd w:val="clear" w:color="auto" w:fill="auto"/>
            <w:vAlign w:val="bottom"/>
          </w:tcPr>
          <w:p w14:paraId="5A9F0D20" w14:textId="77777777" w:rsidR="002E608D" w:rsidRPr="002E608D" w:rsidRDefault="002E608D" w:rsidP="002E608D">
            <w:pPr>
              <w:pStyle w:val="Tabletext"/>
            </w:pPr>
            <w:r w:rsidRPr="002E608D">
              <w:t>0</w:t>
            </w:r>
            <w:r w:rsidR="00D7157D">
              <w:t>.</w:t>
            </w:r>
            <w:r w:rsidRPr="002E608D">
              <w:t>9237</w:t>
            </w:r>
          </w:p>
        </w:tc>
        <w:tc>
          <w:tcPr>
            <w:tcW w:w="966" w:type="pct"/>
            <w:tcBorders>
              <w:top w:val="single" w:sz="4" w:space="0" w:color="auto"/>
              <w:bottom w:val="single" w:sz="4" w:space="0" w:color="auto"/>
            </w:tcBorders>
            <w:shd w:val="clear" w:color="auto" w:fill="auto"/>
            <w:vAlign w:val="bottom"/>
          </w:tcPr>
          <w:p w14:paraId="22C76D87" w14:textId="77777777" w:rsidR="002E608D" w:rsidRPr="002E608D" w:rsidRDefault="002E608D" w:rsidP="002E608D">
            <w:pPr>
              <w:pStyle w:val="Tabletext"/>
            </w:pPr>
            <w:r w:rsidRPr="002E608D">
              <w:t>11</w:t>
            </w:r>
            <w:r w:rsidR="00D7157D">
              <w:t>.</w:t>
            </w:r>
            <w:r w:rsidRPr="002E608D">
              <w:t>5096</w:t>
            </w:r>
          </w:p>
        </w:tc>
        <w:tc>
          <w:tcPr>
            <w:tcW w:w="966" w:type="pct"/>
            <w:tcBorders>
              <w:top w:val="single" w:sz="4" w:space="0" w:color="auto"/>
              <w:bottom w:val="single" w:sz="4" w:space="0" w:color="auto"/>
              <w:right w:val="nil"/>
            </w:tcBorders>
            <w:shd w:val="clear" w:color="auto" w:fill="auto"/>
            <w:vAlign w:val="bottom"/>
          </w:tcPr>
          <w:p w14:paraId="57C192E8" w14:textId="77777777" w:rsidR="002E608D" w:rsidRPr="002E608D" w:rsidRDefault="002E608D" w:rsidP="002E608D">
            <w:pPr>
              <w:pStyle w:val="Tabletext"/>
            </w:pPr>
            <w:r w:rsidRPr="002E608D">
              <w:t>0</w:t>
            </w:r>
            <w:r w:rsidR="00D7157D">
              <w:t>.</w:t>
            </w:r>
            <w:r w:rsidRPr="002E608D">
              <w:t>2400</w:t>
            </w:r>
          </w:p>
        </w:tc>
      </w:tr>
      <w:tr w:rsidR="002E608D" w:rsidRPr="002E608D" w14:paraId="667102A0" w14:textId="77777777" w:rsidTr="002E608D">
        <w:trPr>
          <w:cantSplit/>
        </w:trPr>
        <w:tc>
          <w:tcPr>
            <w:tcW w:w="1136" w:type="pct"/>
            <w:tcBorders>
              <w:top w:val="single" w:sz="4" w:space="0" w:color="auto"/>
              <w:bottom w:val="single" w:sz="4" w:space="0" w:color="auto"/>
            </w:tcBorders>
          </w:tcPr>
          <w:p w14:paraId="4CDF04AE" w14:textId="77777777" w:rsidR="002E608D" w:rsidRPr="002E608D" w:rsidRDefault="002E608D" w:rsidP="002E608D">
            <w:pPr>
              <w:pStyle w:val="Tabletext"/>
            </w:pPr>
            <w:r w:rsidRPr="002E608D">
              <w:t>76</w:t>
            </w:r>
          </w:p>
        </w:tc>
        <w:tc>
          <w:tcPr>
            <w:tcW w:w="966" w:type="pct"/>
            <w:tcBorders>
              <w:top w:val="single" w:sz="4" w:space="0" w:color="auto"/>
              <w:bottom w:val="single" w:sz="4" w:space="0" w:color="auto"/>
            </w:tcBorders>
            <w:shd w:val="clear" w:color="auto" w:fill="auto"/>
            <w:vAlign w:val="bottom"/>
          </w:tcPr>
          <w:p w14:paraId="22C36805" w14:textId="77777777" w:rsidR="002E608D" w:rsidRPr="002E608D" w:rsidRDefault="002E608D" w:rsidP="002E608D">
            <w:pPr>
              <w:pStyle w:val="Tabletext"/>
            </w:pPr>
            <w:r w:rsidRPr="002E608D">
              <w:t>9</w:t>
            </w:r>
            <w:r w:rsidR="00D7157D">
              <w:t>.</w:t>
            </w:r>
            <w:r w:rsidRPr="002E608D">
              <w:t>6952</w:t>
            </w:r>
          </w:p>
        </w:tc>
        <w:tc>
          <w:tcPr>
            <w:tcW w:w="966" w:type="pct"/>
            <w:tcBorders>
              <w:top w:val="single" w:sz="4" w:space="0" w:color="auto"/>
              <w:bottom w:val="single" w:sz="4" w:space="0" w:color="auto"/>
            </w:tcBorders>
            <w:shd w:val="clear" w:color="auto" w:fill="auto"/>
            <w:vAlign w:val="bottom"/>
          </w:tcPr>
          <w:p w14:paraId="3D7A555E" w14:textId="77777777" w:rsidR="002E608D" w:rsidRPr="002E608D" w:rsidRDefault="002E608D" w:rsidP="002E608D">
            <w:pPr>
              <w:pStyle w:val="Tabletext"/>
            </w:pPr>
            <w:r w:rsidRPr="002E608D">
              <w:t>0</w:t>
            </w:r>
            <w:r w:rsidR="00D7157D">
              <w:t>.</w:t>
            </w:r>
            <w:r w:rsidRPr="002E608D">
              <w:t>9008</w:t>
            </w:r>
          </w:p>
        </w:tc>
        <w:tc>
          <w:tcPr>
            <w:tcW w:w="966" w:type="pct"/>
            <w:tcBorders>
              <w:top w:val="single" w:sz="4" w:space="0" w:color="auto"/>
              <w:bottom w:val="single" w:sz="4" w:space="0" w:color="auto"/>
            </w:tcBorders>
            <w:shd w:val="clear" w:color="auto" w:fill="auto"/>
            <w:vAlign w:val="bottom"/>
          </w:tcPr>
          <w:p w14:paraId="1929D0EA" w14:textId="77777777" w:rsidR="002E608D" w:rsidRPr="002E608D" w:rsidRDefault="002E608D" w:rsidP="002E608D">
            <w:pPr>
              <w:pStyle w:val="Tabletext"/>
            </w:pPr>
            <w:r w:rsidRPr="002E608D">
              <w:t>10</w:t>
            </w:r>
            <w:r w:rsidR="00D7157D">
              <w:t>.</w:t>
            </w:r>
            <w:r w:rsidRPr="002E608D">
              <w:t>9105</w:t>
            </w:r>
          </w:p>
        </w:tc>
        <w:tc>
          <w:tcPr>
            <w:tcW w:w="966" w:type="pct"/>
            <w:tcBorders>
              <w:top w:val="single" w:sz="4" w:space="0" w:color="auto"/>
              <w:bottom w:val="single" w:sz="4" w:space="0" w:color="auto"/>
              <w:right w:val="nil"/>
            </w:tcBorders>
            <w:shd w:val="clear" w:color="auto" w:fill="auto"/>
            <w:vAlign w:val="bottom"/>
          </w:tcPr>
          <w:p w14:paraId="74406BB5" w14:textId="77777777" w:rsidR="002E608D" w:rsidRPr="002E608D" w:rsidRDefault="002E608D" w:rsidP="002E608D">
            <w:pPr>
              <w:pStyle w:val="Tabletext"/>
            </w:pPr>
            <w:r w:rsidRPr="002E608D">
              <w:t>0</w:t>
            </w:r>
            <w:r w:rsidR="00D7157D">
              <w:t>.</w:t>
            </w:r>
            <w:r w:rsidRPr="002E608D">
              <w:t>2336</w:t>
            </w:r>
          </w:p>
        </w:tc>
      </w:tr>
      <w:tr w:rsidR="002E608D" w:rsidRPr="002E608D" w14:paraId="3C44C5BE" w14:textId="77777777" w:rsidTr="002E608D">
        <w:trPr>
          <w:cantSplit/>
        </w:trPr>
        <w:tc>
          <w:tcPr>
            <w:tcW w:w="1136" w:type="pct"/>
            <w:tcBorders>
              <w:top w:val="single" w:sz="4" w:space="0" w:color="auto"/>
              <w:bottom w:val="single" w:sz="4" w:space="0" w:color="auto"/>
            </w:tcBorders>
          </w:tcPr>
          <w:p w14:paraId="187EA857" w14:textId="77777777" w:rsidR="002E608D" w:rsidRPr="002E608D" w:rsidRDefault="002E608D" w:rsidP="002E608D">
            <w:pPr>
              <w:pStyle w:val="Tabletext"/>
            </w:pPr>
            <w:r w:rsidRPr="002E608D">
              <w:t>77</w:t>
            </w:r>
          </w:p>
        </w:tc>
        <w:tc>
          <w:tcPr>
            <w:tcW w:w="966" w:type="pct"/>
            <w:tcBorders>
              <w:top w:val="single" w:sz="4" w:space="0" w:color="auto"/>
              <w:bottom w:val="single" w:sz="4" w:space="0" w:color="auto"/>
            </w:tcBorders>
            <w:shd w:val="clear" w:color="auto" w:fill="auto"/>
            <w:vAlign w:val="bottom"/>
          </w:tcPr>
          <w:p w14:paraId="4E0CE0E1" w14:textId="77777777" w:rsidR="002E608D" w:rsidRPr="002E608D" w:rsidRDefault="002E608D" w:rsidP="002E608D">
            <w:pPr>
              <w:pStyle w:val="Tabletext"/>
            </w:pPr>
            <w:r w:rsidRPr="002E608D">
              <w:t>9</w:t>
            </w:r>
            <w:r w:rsidR="00D7157D">
              <w:t>.</w:t>
            </w:r>
            <w:r w:rsidRPr="002E608D">
              <w:t>1731</w:t>
            </w:r>
          </w:p>
        </w:tc>
        <w:tc>
          <w:tcPr>
            <w:tcW w:w="966" w:type="pct"/>
            <w:tcBorders>
              <w:top w:val="single" w:sz="4" w:space="0" w:color="auto"/>
              <w:bottom w:val="single" w:sz="4" w:space="0" w:color="auto"/>
            </w:tcBorders>
            <w:shd w:val="clear" w:color="auto" w:fill="auto"/>
            <w:vAlign w:val="bottom"/>
          </w:tcPr>
          <w:p w14:paraId="5F1BF852" w14:textId="77777777" w:rsidR="002E608D" w:rsidRPr="002E608D" w:rsidRDefault="002E608D" w:rsidP="002E608D">
            <w:pPr>
              <w:pStyle w:val="Tabletext"/>
            </w:pPr>
            <w:r w:rsidRPr="002E608D">
              <w:t>0</w:t>
            </w:r>
            <w:r w:rsidR="00D7157D">
              <w:t>.</w:t>
            </w:r>
            <w:r w:rsidRPr="002E608D">
              <w:t>8770</w:t>
            </w:r>
          </w:p>
        </w:tc>
        <w:tc>
          <w:tcPr>
            <w:tcW w:w="966" w:type="pct"/>
            <w:tcBorders>
              <w:top w:val="single" w:sz="4" w:space="0" w:color="auto"/>
              <w:bottom w:val="single" w:sz="4" w:space="0" w:color="auto"/>
            </w:tcBorders>
            <w:shd w:val="clear" w:color="auto" w:fill="auto"/>
            <w:vAlign w:val="bottom"/>
          </w:tcPr>
          <w:p w14:paraId="4F1240CC" w14:textId="77777777" w:rsidR="002E608D" w:rsidRPr="002E608D" w:rsidRDefault="002E608D" w:rsidP="002E608D">
            <w:pPr>
              <w:pStyle w:val="Tabletext"/>
            </w:pPr>
            <w:r w:rsidRPr="002E608D">
              <w:t>10</w:t>
            </w:r>
            <w:r w:rsidR="00D7157D">
              <w:t>.</w:t>
            </w:r>
            <w:r w:rsidRPr="002E608D">
              <w:t>3213</w:t>
            </w:r>
          </w:p>
        </w:tc>
        <w:tc>
          <w:tcPr>
            <w:tcW w:w="966" w:type="pct"/>
            <w:tcBorders>
              <w:top w:val="single" w:sz="4" w:space="0" w:color="auto"/>
              <w:bottom w:val="single" w:sz="4" w:space="0" w:color="auto"/>
              <w:right w:val="nil"/>
            </w:tcBorders>
            <w:shd w:val="clear" w:color="auto" w:fill="auto"/>
            <w:vAlign w:val="bottom"/>
          </w:tcPr>
          <w:p w14:paraId="0A4CB83E" w14:textId="77777777" w:rsidR="002E608D" w:rsidRPr="002E608D" w:rsidRDefault="002E608D" w:rsidP="002E608D">
            <w:pPr>
              <w:pStyle w:val="Tabletext"/>
            </w:pPr>
            <w:r w:rsidRPr="002E608D">
              <w:t>0</w:t>
            </w:r>
            <w:r w:rsidR="00D7157D">
              <w:t>.</w:t>
            </w:r>
            <w:r w:rsidRPr="002E608D">
              <w:t>2270</w:t>
            </w:r>
          </w:p>
        </w:tc>
      </w:tr>
      <w:tr w:rsidR="002E608D" w:rsidRPr="002E608D" w14:paraId="55D50CBA" w14:textId="77777777" w:rsidTr="002E608D">
        <w:trPr>
          <w:cantSplit/>
        </w:trPr>
        <w:tc>
          <w:tcPr>
            <w:tcW w:w="1136" w:type="pct"/>
            <w:tcBorders>
              <w:top w:val="single" w:sz="4" w:space="0" w:color="auto"/>
              <w:bottom w:val="single" w:sz="4" w:space="0" w:color="auto"/>
            </w:tcBorders>
          </w:tcPr>
          <w:p w14:paraId="3562CBBD" w14:textId="77777777" w:rsidR="002E608D" w:rsidRPr="002E608D" w:rsidRDefault="002E608D" w:rsidP="002E608D">
            <w:pPr>
              <w:pStyle w:val="Tabletext"/>
            </w:pPr>
            <w:r w:rsidRPr="002E608D">
              <w:t>78</w:t>
            </w:r>
          </w:p>
        </w:tc>
        <w:tc>
          <w:tcPr>
            <w:tcW w:w="966" w:type="pct"/>
            <w:tcBorders>
              <w:top w:val="single" w:sz="4" w:space="0" w:color="auto"/>
              <w:bottom w:val="single" w:sz="4" w:space="0" w:color="auto"/>
            </w:tcBorders>
            <w:shd w:val="clear" w:color="auto" w:fill="auto"/>
            <w:vAlign w:val="bottom"/>
          </w:tcPr>
          <w:p w14:paraId="2A2ED09A" w14:textId="77777777" w:rsidR="002E608D" w:rsidRPr="002E608D" w:rsidRDefault="002E608D" w:rsidP="002E608D">
            <w:pPr>
              <w:pStyle w:val="Tabletext"/>
            </w:pPr>
            <w:r w:rsidRPr="002E608D">
              <w:t>8</w:t>
            </w:r>
            <w:r w:rsidR="00D7157D">
              <w:t>.</w:t>
            </w:r>
            <w:r w:rsidRPr="002E608D">
              <w:t>6617</w:t>
            </w:r>
          </w:p>
        </w:tc>
        <w:tc>
          <w:tcPr>
            <w:tcW w:w="966" w:type="pct"/>
            <w:tcBorders>
              <w:top w:val="single" w:sz="4" w:space="0" w:color="auto"/>
              <w:bottom w:val="single" w:sz="4" w:space="0" w:color="auto"/>
            </w:tcBorders>
            <w:shd w:val="clear" w:color="auto" w:fill="auto"/>
            <w:vAlign w:val="bottom"/>
          </w:tcPr>
          <w:p w14:paraId="61056D99" w14:textId="77777777" w:rsidR="002E608D" w:rsidRPr="002E608D" w:rsidRDefault="002E608D" w:rsidP="002E608D">
            <w:pPr>
              <w:pStyle w:val="Tabletext"/>
            </w:pPr>
            <w:r w:rsidRPr="002E608D">
              <w:t>0</w:t>
            </w:r>
            <w:r w:rsidR="00D7157D">
              <w:t>.</w:t>
            </w:r>
            <w:r w:rsidRPr="002E608D">
              <w:t>8524</w:t>
            </w:r>
          </w:p>
        </w:tc>
        <w:tc>
          <w:tcPr>
            <w:tcW w:w="966" w:type="pct"/>
            <w:tcBorders>
              <w:top w:val="single" w:sz="4" w:space="0" w:color="auto"/>
              <w:bottom w:val="single" w:sz="4" w:space="0" w:color="auto"/>
            </w:tcBorders>
            <w:shd w:val="clear" w:color="auto" w:fill="auto"/>
            <w:vAlign w:val="bottom"/>
          </w:tcPr>
          <w:p w14:paraId="284A75A1" w14:textId="77777777" w:rsidR="002E608D" w:rsidRPr="002E608D" w:rsidRDefault="002E608D" w:rsidP="002E608D">
            <w:pPr>
              <w:pStyle w:val="Tabletext"/>
            </w:pPr>
            <w:r w:rsidRPr="002E608D">
              <w:t>9</w:t>
            </w:r>
            <w:r w:rsidR="00D7157D">
              <w:t>.</w:t>
            </w:r>
            <w:r w:rsidRPr="002E608D">
              <w:t>7427</w:t>
            </w:r>
          </w:p>
        </w:tc>
        <w:tc>
          <w:tcPr>
            <w:tcW w:w="966" w:type="pct"/>
            <w:tcBorders>
              <w:top w:val="single" w:sz="4" w:space="0" w:color="auto"/>
              <w:bottom w:val="single" w:sz="4" w:space="0" w:color="auto"/>
              <w:right w:val="nil"/>
            </w:tcBorders>
            <w:shd w:val="clear" w:color="auto" w:fill="auto"/>
            <w:vAlign w:val="bottom"/>
          </w:tcPr>
          <w:p w14:paraId="4B8F5C4E" w14:textId="77777777" w:rsidR="002E608D" w:rsidRPr="002E608D" w:rsidRDefault="002E608D" w:rsidP="002E608D">
            <w:pPr>
              <w:pStyle w:val="Tabletext"/>
            </w:pPr>
            <w:r w:rsidRPr="002E608D">
              <w:t>0</w:t>
            </w:r>
            <w:r w:rsidR="00D7157D">
              <w:t>.</w:t>
            </w:r>
            <w:r w:rsidRPr="002E608D">
              <w:t>2204</w:t>
            </w:r>
          </w:p>
        </w:tc>
      </w:tr>
      <w:tr w:rsidR="002E608D" w:rsidRPr="002E608D" w14:paraId="0E6A9123" w14:textId="77777777" w:rsidTr="002E608D">
        <w:trPr>
          <w:cantSplit/>
        </w:trPr>
        <w:tc>
          <w:tcPr>
            <w:tcW w:w="1136" w:type="pct"/>
            <w:tcBorders>
              <w:top w:val="single" w:sz="4" w:space="0" w:color="auto"/>
              <w:bottom w:val="single" w:sz="4" w:space="0" w:color="auto"/>
            </w:tcBorders>
          </w:tcPr>
          <w:p w14:paraId="69562717" w14:textId="77777777" w:rsidR="002E608D" w:rsidRPr="002E608D" w:rsidRDefault="002E608D" w:rsidP="002E608D">
            <w:pPr>
              <w:pStyle w:val="Tabletext"/>
            </w:pPr>
            <w:r w:rsidRPr="002E608D">
              <w:t>79</w:t>
            </w:r>
          </w:p>
        </w:tc>
        <w:tc>
          <w:tcPr>
            <w:tcW w:w="966" w:type="pct"/>
            <w:tcBorders>
              <w:top w:val="single" w:sz="4" w:space="0" w:color="auto"/>
              <w:bottom w:val="single" w:sz="4" w:space="0" w:color="auto"/>
            </w:tcBorders>
            <w:shd w:val="clear" w:color="auto" w:fill="auto"/>
            <w:vAlign w:val="bottom"/>
          </w:tcPr>
          <w:p w14:paraId="2926904C" w14:textId="77777777" w:rsidR="002E608D" w:rsidRPr="002E608D" w:rsidRDefault="002E608D" w:rsidP="002E608D">
            <w:pPr>
              <w:pStyle w:val="Tabletext"/>
            </w:pPr>
            <w:r w:rsidRPr="002E608D">
              <w:t>8</w:t>
            </w:r>
            <w:r w:rsidR="00D7157D">
              <w:t>.</w:t>
            </w:r>
            <w:r w:rsidRPr="002E608D">
              <w:t>1624</w:t>
            </w:r>
          </w:p>
        </w:tc>
        <w:tc>
          <w:tcPr>
            <w:tcW w:w="966" w:type="pct"/>
            <w:tcBorders>
              <w:top w:val="single" w:sz="4" w:space="0" w:color="auto"/>
              <w:bottom w:val="single" w:sz="4" w:space="0" w:color="auto"/>
            </w:tcBorders>
            <w:shd w:val="clear" w:color="auto" w:fill="auto"/>
            <w:vAlign w:val="bottom"/>
          </w:tcPr>
          <w:p w14:paraId="477A7F83" w14:textId="77777777" w:rsidR="002E608D" w:rsidRPr="002E608D" w:rsidRDefault="002E608D" w:rsidP="002E608D">
            <w:pPr>
              <w:pStyle w:val="Tabletext"/>
            </w:pPr>
            <w:r w:rsidRPr="002E608D">
              <w:t>0</w:t>
            </w:r>
            <w:r w:rsidR="00D7157D">
              <w:t>.</w:t>
            </w:r>
            <w:r w:rsidRPr="002E608D">
              <w:t>8270</w:t>
            </w:r>
          </w:p>
        </w:tc>
        <w:tc>
          <w:tcPr>
            <w:tcW w:w="966" w:type="pct"/>
            <w:tcBorders>
              <w:top w:val="single" w:sz="4" w:space="0" w:color="auto"/>
              <w:bottom w:val="single" w:sz="4" w:space="0" w:color="auto"/>
            </w:tcBorders>
            <w:shd w:val="clear" w:color="auto" w:fill="auto"/>
            <w:vAlign w:val="bottom"/>
          </w:tcPr>
          <w:p w14:paraId="417A9E81" w14:textId="77777777" w:rsidR="002E608D" w:rsidRPr="002E608D" w:rsidRDefault="002E608D" w:rsidP="002E608D">
            <w:pPr>
              <w:pStyle w:val="Tabletext"/>
            </w:pPr>
            <w:r w:rsidRPr="002E608D">
              <w:t>9</w:t>
            </w:r>
            <w:r w:rsidR="00D7157D">
              <w:t>.</w:t>
            </w:r>
            <w:r w:rsidRPr="002E608D">
              <w:t>1774</w:t>
            </w:r>
          </w:p>
        </w:tc>
        <w:tc>
          <w:tcPr>
            <w:tcW w:w="966" w:type="pct"/>
            <w:tcBorders>
              <w:top w:val="single" w:sz="4" w:space="0" w:color="auto"/>
              <w:bottom w:val="single" w:sz="4" w:space="0" w:color="auto"/>
              <w:right w:val="nil"/>
            </w:tcBorders>
            <w:shd w:val="clear" w:color="auto" w:fill="auto"/>
            <w:vAlign w:val="bottom"/>
          </w:tcPr>
          <w:p w14:paraId="181F9382" w14:textId="77777777" w:rsidR="002E608D" w:rsidRPr="002E608D" w:rsidRDefault="002E608D" w:rsidP="002E608D">
            <w:pPr>
              <w:pStyle w:val="Tabletext"/>
            </w:pPr>
            <w:r w:rsidRPr="002E608D">
              <w:t>0</w:t>
            </w:r>
            <w:r w:rsidR="00D7157D">
              <w:t>.</w:t>
            </w:r>
            <w:r w:rsidRPr="002E608D">
              <w:t>2136</w:t>
            </w:r>
          </w:p>
        </w:tc>
      </w:tr>
      <w:tr w:rsidR="002E608D" w:rsidRPr="002E608D" w14:paraId="1075DD25" w14:textId="77777777" w:rsidTr="002E608D">
        <w:trPr>
          <w:cantSplit/>
        </w:trPr>
        <w:tc>
          <w:tcPr>
            <w:tcW w:w="1136" w:type="pct"/>
            <w:tcBorders>
              <w:top w:val="single" w:sz="4" w:space="0" w:color="auto"/>
              <w:bottom w:val="single" w:sz="4" w:space="0" w:color="auto"/>
            </w:tcBorders>
          </w:tcPr>
          <w:p w14:paraId="294E93F4" w14:textId="77777777" w:rsidR="002E608D" w:rsidRPr="002E608D" w:rsidRDefault="002E608D" w:rsidP="002E608D">
            <w:pPr>
              <w:pStyle w:val="Tabletext"/>
            </w:pPr>
            <w:r w:rsidRPr="002E608D">
              <w:t>80</w:t>
            </w:r>
          </w:p>
        </w:tc>
        <w:tc>
          <w:tcPr>
            <w:tcW w:w="966" w:type="pct"/>
            <w:tcBorders>
              <w:top w:val="single" w:sz="4" w:space="0" w:color="auto"/>
              <w:bottom w:val="single" w:sz="4" w:space="0" w:color="auto"/>
            </w:tcBorders>
            <w:shd w:val="clear" w:color="auto" w:fill="auto"/>
            <w:vAlign w:val="bottom"/>
          </w:tcPr>
          <w:p w14:paraId="468EBFDF" w14:textId="77777777" w:rsidR="002E608D" w:rsidRPr="002E608D" w:rsidRDefault="002E608D" w:rsidP="002E608D">
            <w:pPr>
              <w:pStyle w:val="Tabletext"/>
            </w:pPr>
            <w:r w:rsidRPr="002E608D">
              <w:t>7</w:t>
            </w:r>
            <w:r w:rsidR="00D7157D">
              <w:t>.</w:t>
            </w:r>
            <w:r w:rsidRPr="002E608D">
              <w:t>6766</w:t>
            </w:r>
          </w:p>
        </w:tc>
        <w:tc>
          <w:tcPr>
            <w:tcW w:w="966" w:type="pct"/>
            <w:tcBorders>
              <w:top w:val="single" w:sz="4" w:space="0" w:color="auto"/>
              <w:bottom w:val="single" w:sz="4" w:space="0" w:color="auto"/>
            </w:tcBorders>
            <w:shd w:val="clear" w:color="auto" w:fill="auto"/>
            <w:vAlign w:val="bottom"/>
          </w:tcPr>
          <w:p w14:paraId="6D63ABBF" w14:textId="77777777" w:rsidR="002E608D" w:rsidRPr="002E608D" w:rsidRDefault="002E608D" w:rsidP="002E608D">
            <w:pPr>
              <w:pStyle w:val="Tabletext"/>
            </w:pPr>
            <w:r w:rsidRPr="002E608D">
              <w:t>0</w:t>
            </w:r>
            <w:r w:rsidR="00D7157D">
              <w:t>.</w:t>
            </w:r>
            <w:r w:rsidRPr="002E608D">
              <w:t>8008</w:t>
            </w:r>
          </w:p>
        </w:tc>
        <w:tc>
          <w:tcPr>
            <w:tcW w:w="966" w:type="pct"/>
            <w:tcBorders>
              <w:top w:val="single" w:sz="4" w:space="0" w:color="auto"/>
              <w:bottom w:val="single" w:sz="4" w:space="0" w:color="auto"/>
            </w:tcBorders>
            <w:shd w:val="clear" w:color="auto" w:fill="auto"/>
            <w:vAlign w:val="bottom"/>
          </w:tcPr>
          <w:p w14:paraId="23C0A125" w14:textId="77777777" w:rsidR="002E608D" w:rsidRPr="002E608D" w:rsidRDefault="002E608D" w:rsidP="002E608D">
            <w:pPr>
              <w:pStyle w:val="Tabletext"/>
            </w:pPr>
            <w:r w:rsidRPr="002E608D">
              <w:t>8</w:t>
            </w:r>
            <w:r w:rsidR="00D7157D">
              <w:t>.</w:t>
            </w:r>
            <w:r w:rsidRPr="002E608D">
              <w:t>6257</w:t>
            </w:r>
          </w:p>
        </w:tc>
        <w:tc>
          <w:tcPr>
            <w:tcW w:w="966" w:type="pct"/>
            <w:tcBorders>
              <w:top w:val="single" w:sz="4" w:space="0" w:color="auto"/>
              <w:bottom w:val="single" w:sz="4" w:space="0" w:color="auto"/>
              <w:right w:val="nil"/>
            </w:tcBorders>
            <w:shd w:val="clear" w:color="auto" w:fill="auto"/>
            <w:vAlign w:val="bottom"/>
          </w:tcPr>
          <w:p w14:paraId="2FF2CB81" w14:textId="77777777" w:rsidR="002E608D" w:rsidRPr="002E608D" w:rsidRDefault="002E608D" w:rsidP="002E608D">
            <w:pPr>
              <w:pStyle w:val="Tabletext"/>
            </w:pPr>
            <w:r w:rsidRPr="002E608D">
              <w:t>0</w:t>
            </w:r>
            <w:r w:rsidR="00D7157D">
              <w:t>.</w:t>
            </w:r>
            <w:r w:rsidRPr="002E608D">
              <w:t>2068</w:t>
            </w:r>
          </w:p>
        </w:tc>
      </w:tr>
      <w:tr w:rsidR="002E608D" w:rsidRPr="002E608D" w14:paraId="345A0695" w14:textId="77777777" w:rsidTr="002E608D">
        <w:trPr>
          <w:cantSplit/>
        </w:trPr>
        <w:tc>
          <w:tcPr>
            <w:tcW w:w="1136" w:type="pct"/>
            <w:tcBorders>
              <w:top w:val="single" w:sz="4" w:space="0" w:color="auto"/>
              <w:bottom w:val="single" w:sz="4" w:space="0" w:color="auto"/>
            </w:tcBorders>
          </w:tcPr>
          <w:p w14:paraId="14B1A0A5" w14:textId="77777777" w:rsidR="002E608D" w:rsidRPr="002E608D" w:rsidRDefault="002E608D" w:rsidP="002E608D">
            <w:pPr>
              <w:pStyle w:val="Tabletext"/>
            </w:pPr>
            <w:r w:rsidRPr="002E608D">
              <w:t>81</w:t>
            </w:r>
          </w:p>
        </w:tc>
        <w:tc>
          <w:tcPr>
            <w:tcW w:w="966" w:type="pct"/>
            <w:tcBorders>
              <w:top w:val="single" w:sz="4" w:space="0" w:color="auto"/>
              <w:bottom w:val="single" w:sz="4" w:space="0" w:color="auto"/>
            </w:tcBorders>
            <w:shd w:val="clear" w:color="auto" w:fill="auto"/>
            <w:vAlign w:val="bottom"/>
          </w:tcPr>
          <w:p w14:paraId="7D6CA95D" w14:textId="77777777" w:rsidR="002E608D" w:rsidRPr="002E608D" w:rsidRDefault="002E608D" w:rsidP="002E608D">
            <w:pPr>
              <w:pStyle w:val="Tabletext"/>
            </w:pPr>
            <w:r w:rsidRPr="002E608D">
              <w:t>7</w:t>
            </w:r>
            <w:r w:rsidR="00D7157D">
              <w:t>.</w:t>
            </w:r>
            <w:r w:rsidRPr="002E608D">
              <w:t>2055</w:t>
            </w:r>
          </w:p>
        </w:tc>
        <w:tc>
          <w:tcPr>
            <w:tcW w:w="966" w:type="pct"/>
            <w:tcBorders>
              <w:top w:val="single" w:sz="4" w:space="0" w:color="auto"/>
              <w:bottom w:val="single" w:sz="4" w:space="0" w:color="auto"/>
            </w:tcBorders>
            <w:shd w:val="clear" w:color="auto" w:fill="auto"/>
            <w:vAlign w:val="bottom"/>
          </w:tcPr>
          <w:p w14:paraId="4CAA434E" w14:textId="77777777" w:rsidR="002E608D" w:rsidRPr="002E608D" w:rsidRDefault="002E608D" w:rsidP="002E608D">
            <w:pPr>
              <w:pStyle w:val="Tabletext"/>
            </w:pPr>
            <w:r w:rsidRPr="002E608D">
              <w:t>0</w:t>
            </w:r>
            <w:r w:rsidR="00D7157D">
              <w:t>.</w:t>
            </w:r>
            <w:r w:rsidRPr="002E608D">
              <w:t>7738</w:t>
            </w:r>
          </w:p>
        </w:tc>
        <w:tc>
          <w:tcPr>
            <w:tcW w:w="966" w:type="pct"/>
            <w:tcBorders>
              <w:top w:val="single" w:sz="4" w:space="0" w:color="auto"/>
              <w:bottom w:val="single" w:sz="4" w:space="0" w:color="auto"/>
            </w:tcBorders>
            <w:shd w:val="clear" w:color="auto" w:fill="auto"/>
            <w:vAlign w:val="bottom"/>
          </w:tcPr>
          <w:p w14:paraId="3AE4DE2E" w14:textId="77777777" w:rsidR="002E608D" w:rsidRPr="002E608D" w:rsidRDefault="002E608D" w:rsidP="002E608D">
            <w:pPr>
              <w:pStyle w:val="Tabletext"/>
            </w:pPr>
            <w:r w:rsidRPr="002E608D">
              <w:t>8</w:t>
            </w:r>
            <w:r w:rsidR="00D7157D">
              <w:t>.</w:t>
            </w:r>
            <w:r w:rsidRPr="002E608D">
              <w:t>0909</w:t>
            </w:r>
          </w:p>
        </w:tc>
        <w:tc>
          <w:tcPr>
            <w:tcW w:w="966" w:type="pct"/>
            <w:tcBorders>
              <w:top w:val="single" w:sz="4" w:space="0" w:color="auto"/>
              <w:bottom w:val="single" w:sz="4" w:space="0" w:color="auto"/>
              <w:right w:val="nil"/>
            </w:tcBorders>
            <w:shd w:val="clear" w:color="auto" w:fill="auto"/>
            <w:vAlign w:val="bottom"/>
          </w:tcPr>
          <w:p w14:paraId="792C5230" w14:textId="77777777" w:rsidR="002E608D" w:rsidRPr="002E608D" w:rsidRDefault="002E608D" w:rsidP="002E608D">
            <w:pPr>
              <w:pStyle w:val="Tabletext"/>
            </w:pPr>
            <w:r w:rsidRPr="002E608D">
              <w:t>0</w:t>
            </w:r>
            <w:r w:rsidR="00D7157D">
              <w:t>.</w:t>
            </w:r>
            <w:r w:rsidRPr="002E608D">
              <w:t>1999</w:t>
            </w:r>
          </w:p>
        </w:tc>
      </w:tr>
      <w:tr w:rsidR="002E608D" w:rsidRPr="002E608D" w14:paraId="4B81B4B8" w14:textId="77777777" w:rsidTr="002E608D">
        <w:trPr>
          <w:cantSplit/>
        </w:trPr>
        <w:tc>
          <w:tcPr>
            <w:tcW w:w="1136" w:type="pct"/>
            <w:tcBorders>
              <w:top w:val="single" w:sz="4" w:space="0" w:color="auto"/>
              <w:bottom w:val="single" w:sz="4" w:space="0" w:color="auto"/>
            </w:tcBorders>
          </w:tcPr>
          <w:p w14:paraId="7CBB4171" w14:textId="77777777" w:rsidR="002E608D" w:rsidRPr="002E608D" w:rsidRDefault="002E608D" w:rsidP="002E608D">
            <w:pPr>
              <w:pStyle w:val="Tabletext"/>
            </w:pPr>
            <w:r w:rsidRPr="002E608D">
              <w:t>82</w:t>
            </w:r>
          </w:p>
        </w:tc>
        <w:tc>
          <w:tcPr>
            <w:tcW w:w="966" w:type="pct"/>
            <w:tcBorders>
              <w:top w:val="single" w:sz="4" w:space="0" w:color="auto"/>
              <w:bottom w:val="single" w:sz="4" w:space="0" w:color="auto"/>
            </w:tcBorders>
            <w:shd w:val="clear" w:color="auto" w:fill="auto"/>
            <w:vAlign w:val="bottom"/>
          </w:tcPr>
          <w:p w14:paraId="36CA788C" w14:textId="77777777" w:rsidR="002E608D" w:rsidRPr="002E608D" w:rsidRDefault="002E608D" w:rsidP="002E608D">
            <w:pPr>
              <w:pStyle w:val="Tabletext"/>
            </w:pPr>
            <w:r w:rsidRPr="002E608D">
              <w:t>6</w:t>
            </w:r>
            <w:r w:rsidR="00D7157D">
              <w:t>.</w:t>
            </w:r>
            <w:r w:rsidRPr="002E608D">
              <w:t>7553</w:t>
            </w:r>
          </w:p>
        </w:tc>
        <w:tc>
          <w:tcPr>
            <w:tcW w:w="966" w:type="pct"/>
            <w:tcBorders>
              <w:top w:val="single" w:sz="4" w:space="0" w:color="auto"/>
              <w:bottom w:val="single" w:sz="4" w:space="0" w:color="auto"/>
            </w:tcBorders>
            <w:shd w:val="clear" w:color="auto" w:fill="auto"/>
            <w:vAlign w:val="bottom"/>
          </w:tcPr>
          <w:p w14:paraId="107F6D4D" w14:textId="77777777" w:rsidR="002E608D" w:rsidRPr="002E608D" w:rsidRDefault="002E608D" w:rsidP="002E608D">
            <w:pPr>
              <w:pStyle w:val="Tabletext"/>
            </w:pPr>
            <w:r w:rsidRPr="002E608D">
              <w:t>0</w:t>
            </w:r>
            <w:r w:rsidR="00D7157D">
              <w:t>.</w:t>
            </w:r>
            <w:r w:rsidRPr="002E608D">
              <w:t>7459</w:t>
            </w:r>
          </w:p>
        </w:tc>
        <w:tc>
          <w:tcPr>
            <w:tcW w:w="966" w:type="pct"/>
            <w:tcBorders>
              <w:top w:val="single" w:sz="4" w:space="0" w:color="auto"/>
              <w:bottom w:val="single" w:sz="4" w:space="0" w:color="auto"/>
            </w:tcBorders>
            <w:shd w:val="clear" w:color="auto" w:fill="auto"/>
            <w:vAlign w:val="bottom"/>
          </w:tcPr>
          <w:p w14:paraId="0390DFAB" w14:textId="77777777" w:rsidR="002E608D" w:rsidRPr="002E608D" w:rsidRDefault="002E608D" w:rsidP="002E608D">
            <w:pPr>
              <w:pStyle w:val="Tabletext"/>
            </w:pPr>
            <w:r w:rsidRPr="002E608D">
              <w:t>7</w:t>
            </w:r>
            <w:r w:rsidR="00D7157D">
              <w:t>.</w:t>
            </w:r>
            <w:r w:rsidRPr="002E608D">
              <w:t>5738</w:t>
            </w:r>
          </w:p>
        </w:tc>
        <w:tc>
          <w:tcPr>
            <w:tcW w:w="966" w:type="pct"/>
            <w:tcBorders>
              <w:top w:val="single" w:sz="4" w:space="0" w:color="auto"/>
              <w:bottom w:val="single" w:sz="4" w:space="0" w:color="auto"/>
              <w:right w:val="nil"/>
            </w:tcBorders>
            <w:shd w:val="clear" w:color="auto" w:fill="auto"/>
            <w:vAlign w:val="bottom"/>
          </w:tcPr>
          <w:p w14:paraId="67E15B8A" w14:textId="77777777" w:rsidR="002E608D" w:rsidRPr="002E608D" w:rsidRDefault="002E608D" w:rsidP="002E608D">
            <w:pPr>
              <w:pStyle w:val="Tabletext"/>
            </w:pPr>
            <w:r w:rsidRPr="002E608D">
              <w:t>0</w:t>
            </w:r>
            <w:r w:rsidR="00D7157D">
              <w:t>.</w:t>
            </w:r>
            <w:r w:rsidRPr="002E608D">
              <w:t>1929</w:t>
            </w:r>
          </w:p>
        </w:tc>
      </w:tr>
      <w:tr w:rsidR="002E608D" w:rsidRPr="002E608D" w14:paraId="10B013E2" w14:textId="77777777" w:rsidTr="002E608D">
        <w:trPr>
          <w:cantSplit/>
        </w:trPr>
        <w:tc>
          <w:tcPr>
            <w:tcW w:w="1136" w:type="pct"/>
            <w:tcBorders>
              <w:top w:val="single" w:sz="4" w:space="0" w:color="auto"/>
              <w:bottom w:val="single" w:sz="4" w:space="0" w:color="auto"/>
            </w:tcBorders>
          </w:tcPr>
          <w:p w14:paraId="49FECCC9" w14:textId="77777777" w:rsidR="002E608D" w:rsidRPr="002E608D" w:rsidRDefault="002E608D" w:rsidP="002E608D">
            <w:pPr>
              <w:pStyle w:val="Tabletext"/>
            </w:pPr>
            <w:r w:rsidRPr="002E608D">
              <w:t>83</w:t>
            </w:r>
          </w:p>
        </w:tc>
        <w:tc>
          <w:tcPr>
            <w:tcW w:w="966" w:type="pct"/>
            <w:tcBorders>
              <w:top w:val="single" w:sz="4" w:space="0" w:color="auto"/>
              <w:bottom w:val="single" w:sz="4" w:space="0" w:color="auto"/>
            </w:tcBorders>
            <w:shd w:val="clear" w:color="auto" w:fill="auto"/>
            <w:vAlign w:val="bottom"/>
          </w:tcPr>
          <w:p w14:paraId="4F0321F8" w14:textId="77777777" w:rsidR="002E608D" w:rsidRPr="002E608D" w:rsidRDefault="002E608D" w:rsidP="002E608D">
            <w:pPr>
              <w:pStyle w:val="Tabletext"/>
            </w:pPr>
            <w:r w:rsidRPr="002E608D">
              <w:t>6</w:t>
            </w:r>
            <w:r w:rsidR="00D7157D">
              <w:t>.</w:t>
            </w:r>
            <w:r w:rsidRPr="002E608D">
              <w:t>3277</w:t>
            </w:r>
          </w:p>
        </w:tc>
        <w:tc>
          <w:tcPr>
            <w:tcW w:w="966" w:type="pct"/>
            <w:tcBorders>
              <w:top w:val="single" w:sz="4" w:space="0" w:color="auto"/>
              <w:bottom w:val="single" w:sz="4" w:space="0" w:color="auto"/>
            </w:tcBorders>
            <w:shd w:val="clear" w:color="auto" w:fill="auto"/>
            <w:vAlign w:val="bottom"/>
          </w:tcPr>
          <w:p w14:paraId="463B16F6" w14:textId="77777777" w:rsidR="002E608D" w:rsidRPr="002E608D" w:rsidRDefault="002E608D" w:rsidP="002E608D">
            <w:pPr>
              <w:pStyle w:val="Tabletext"/>
            </w:pPr>
            <w:r w:rsidRPr="002E608D">
              <w:t>0</w:t>
            </w:r>
            <w:r w:rsidR="00D7157D">
              <w:t>.</w:t>
            </w:r>
            <w:r w:rsidRPr="002E608D">
              <w:t>7169</w:t>
            </w:r>
          </w:p>
        </w:tc>
        <w:tc>
          <w:tcPr>
            <w:tcW w:w="966" w:type="pct"/>
            <w:tcBorders>
              <w:top w:val="single" w:sz="4" w:space="0" w:color="auto"/>
              <w:bottom w:val="single" w:sz="4" w:space="0" w:color="auto"/>
            </w:tcBorders>
            <w:shd w:val="clear" w:color="auto" w:fill="auto"/>
            <w:vAlign w:val="bottom"/>
          </w:tcPr>
          <w:p w14:paraId="63ECBC79" w14:textId="77777777" w:rsidR="002E608D" w:rsidRPr="002E608D" w:rsidRDefault="002E608D" w:rsidP="002E608D">
            <w:pPr>
              <w:pStyle w:val="Tabletext"/>
            </w:pPr>
            <w:r w:rsidRPr="002E608D">
              <w:t>7</w:t>
            </w:r>
            <w:r w:rsidR="00D7157D">
              <w:t>.</w:t>
            </w:r>
            <w:r w:rsidRPr="002E608D">
              <w:t>0759</w:t>
            </w:r>
          </w:p>
        </w:tc>
        <w:tc>
          <w:tcPr>
            <w:tcW w:w="966" w:type="pct"/>
            <w:tcBorders>
              <w:top w:val="single" w:sz="4" w:space="0" w:color="auto"/>
              <w:bottom w:val="single" w:sz="4" w:space="0" w:color="auto"/>
              <w:right w:val="nil"/>
            </w:tcBorders>
            <w:shd w:val="clear" w:color="auto" w:fill="auto"/>
            <w:vAlign w:val="bottom"/>
          </w:tcPr>
          <w:p w14:paraId="0C075762" w14:textId="77777777" w:rsidR="002E608D" w:rsidRPr="002E608D" w:rsidRDefault="002E608D" w:rsidP="002E608D">
            <w:pPr>
              <w:pStyle w:val="Tabletext"/>
            </w:pPr>
            <w:r w:rsidRPr="002E608D">
              <w:t>0</w:t>
            </w:r>
            <w:r w:rsidR="00D7157D">
              <w:t>.</w:t>
            </w:r>
            <w:r w:rsidRPr="002E608D">
              <w:t>1859</w:t>
            </w:r>
          </w:p>
        </w:tc>
      </w:tr>
      <w:tr w:rsidR="002E608D" w:rsidRPr="002E608D" w14:paraId="246D8526" w14:textId="77777777" w:rsidTr="002E608D">
        <w:trPr>
          <w:cantSplit/>
        </w:trPr>
        <w:tc>
          <w:tcPr>
            <w:tcW w:w="1136" w:type="pct"/>
            <w:tcBorders>
              <w:top w:val="single" w:sz="4" w:space="0" w:color="auto"/>
              <w:bottom w:val="single" w:sz="4" w:space="0" w:color="auto"/>
            </w:tcBorders>
          </w:tcPr>
          <w:p w14:paraId="4DF7914E" w14:textId="77777777" w:rsidR="002E608D" w:rsidRPr="002E608D" w:rsidRDefault="002E608D" w:rsidP="002E608D">
            <w:pPr>
              <w:pStyle w:val="Tabletext"/>
            </w:pPr>
            <w:r w:rsidRPr="002E608D">
              <w:t>84</w:t>
            </w:r>
          </w:p>
        </w:tc>
        <w:tc>
          <w:tcPr>
            <w:tcW w:w="966" w:type="pct"/>
            <w:tcBorders>
              <w:top w:val="single" w:sz="4" w:space="0" w:color="auto"/>
              <w:bottom w:val="single" w:sz="4" w:space="0" w:color="auto"/>
            </w:tcBorders>
            <w:shd w:val="clear" w:color="auto" w:fill="auto"/>
            <w:vAlign w:val="bottom"/>
          </w:tcPr>
          <w:p w14:paraId="2D8E2CC3" w14:textId="77777777" w:rsidR="002E608D" w:rsidRPr="002E608D" w:rsidRDefault="002E608D" w:rsidP="002E608D">
            <w:pPr>
              <w:pStyle w:val="Tabletext"/>
            </w:pPr>
            <w:r w:rsidRPr="002E608D">
              <w:t>5</w:t>
            </w:r>
            <w:r w:rsidR="00D7157D">
              <w:t>.</w:t>
            </w:r>
            <w:r w:rsidRPr="002E608D">
              <w:t>9247</w:t>
            </w:r>
          </w:p>
        </w:tc>
        <w:tc>
          <w:tcPr>
            <w:tcW w:w="966" w:type="pct"/>
            <w:tcBorders>
              <w:top w:val="single" w:sz="4" w:space="0" w:color="auto"/>
              <w:bottom w:val="single" w:sz="4" w:space="0" w:color="auto"/>
            </w:tcBorders>
            <w:shd w:val="clear" w:color="auto" w:fill="auto"/>
            <w:vAlign w:val="bottom"/>
          </w:tcPr>
          <w:p w14:paraId="4257FCFF" w14:textId="77777777" w:rsidR="002E608D" w:rsidRPr="002E608D" w:rsidRDefault="002E608D" w:rsidP="002E608D">
            <w:pPr>
              <w:pStyle w:val="Tabletext"/>
            </w:pPr>
            <w:r w:rsidRPr="002E608D">
              <w:t>0</w:t>
            </w:r>
            <w:r w:rsidR="00D7157D">
              <w:t>.</w:t>
            </w:r>
            <w:r w:rsidRPr="002E608D">
              <w:t>6872</w:t>
            </w:r>
          </w:p>
        </w:tc>
        <w:tc>
          <w:tcPr>
            <w:tcW w:w="966" w:type="pct"/>
            <w:tcBorders>
              <w:top w:val="single" w:sz="4" w:space="0" w:color="auto"/>
              <w:bottom w:val="single" w:sz="4" w:space="0" w:color="auto"/>
            </w:tcBorders>
            <w:shd w:val="clear" w:color="auto" w:fill="auto"/>
            <w:vAlign w:val="bottom"/>
          </w:tcPr>
          <w:p w14:paraId="44919967" w14:textId="77777777" w:rsidR="002E608D" w:rsidRPr="002E608D" w:rsidRDefault="002E608D" w:rsidP="002E608D">
            <w:pPr>
              <w:pStyle w:val="Tabletext"/>
            </w:pPr>
            <w:r w:rsidRPr="002E608D">
              <w:t>6</w:t>
            </w:r>
            <w:r w:rsidR="00D7157D">
              <w:t>.</w:t>
            </w:r>
            <w:r w:rsidRPr="002E608D">
              <w:t>5990</w:t>
            </w:r>
          </w:p>
        </w:tc>
        <w:tc>
          <w:tcPr>
            <w:tcW w:w="966" w:type="pct"/>
            <w:tcBorders>
              <w:top w:val="single" w:sz="4" w:space="0" w:color="auto"/>
              <w:bottom w:val="single" w:sz="4" w:space="0" w:color="auto"/>
              <w:right w:val="nil"/>
            </w:tcBorders>
            <w:shd w:val="clear" w:color="auto" w:fill="auto"/>
            <w:vAlign w:val="bottom"/>
          </w:tcPr>
          <w:p w14:paraId="20B6EB4C" w14:textId="77777777" w:rsidR="002E608D" w:rsidRPr="002E608D" w:rsidRDefault="002E608D" w:rsidP="002E608D">
            <w:pPr>
              <w:pStyle w:val="Tabletext"/>
            </w:pPr>
            <w:r w:rsidRPr="002E608D">
              <w:t>0</w:t>
            </w:r>
            <w:r w:rsidR="00D7157D">
              <w:t>.</w:t>
            </w:r>
            <w:r w:rsidRPr="002E608D">
              <w:t>1789</w:t>
            </w:r>
          </w:p>
        </w:tc>
      </w:tr>
      <w:tr w:rsidR="002E608D" w:rsidRPr="002E608D" w14:paraId="2F2E4F84" w14:textId="77777777" w:rsidTr="002E608D">
        <w:trPr>
          <w:cantSplit/>
        </w:trPr>
        <w:tc>
          <w:tcPr>
            <w:tcW w:w="1136" w:type="pct"/>
            <w:tcBorders>
              <w:top w:val="single" w:sz="4" w:space="0" w:color="auto"/>
              <w:bottom w:val="single" w:sz="4" w:space="0" w:color="auto"/>
            </w:tcBorders>
          </w:tcPr>
          <w:p w14:paraId="1899C1AC" w14:textId="77777777" w:rsidR="002E608D" w:rsidRPr="002E608D" w:rsidRDefault="002E608D" w:rsidP="002E608D">
            <w:pPr>
              <w:pStyle w:val="Tabletext"/>
            </w:pPr>
            <w:r w:rsidRPr="002E608D">
              <w:t>85</w:t>
            </w:r>
          </w:p>
        </w:tc>
        <w:tc>
          <w:tcPr>
            <w:tcW w:w="966" w:type="pct"/>
            <w:tcBorders>
              <w:top w:val="single" w:sz="4" w:space="0" w:color="auto"/>
              <w:bottom w:val="single" w:sz="4" w:space="0" w:color="auto"/>
            </w:tcBorders>
            <w:shd w:val="clear" w:color="auto" w:fill="auto"/>
            <w:vAlign w:val="bottom"/>
          </w:tcPr>
          <w:p w14:paraId="5DA7A62B" w14:textId="77777777" w:rsidR="002E608D" w:rsidRPr="002E608D" w:rsidRDefault="002E608D" w:rsidP="002E608D">
            <w:pPr>
              <w:pStyle w:val="Tabletext"/>
            </w:pPr>
            <w:r w:rsidRPr="002E608D">
              <w:t>5</w:t>
            </w:r>
            <w:r w:rsidR="00D7157D">
              <w:t>.</w:t>
            </w:r>
            <w:r w:rsidRPr="002E608D">
              <w:t>5478</w:t>
            </w:r>
          </w:p>
        </w:tc>
        <w:tc>
          <w:tcPr>
            <w:tcW w:w="966" w:type="pct"/>
            <w:tcBorders>
              <w:top w:val="single" w:sz="4" w:space="0" w:color="auto"/>
              <w:bottom w:val="single" w:sz="4" w:space="0" w:color="auto"/>
            </w:tcBorders>
            <w:shd w:val="clear" w:color="auto" w:fill="auto"/>
            <w:vAlign w:val="bottom"/>
          </w:tcPr>
          <w:p w14:paraId="039EB2CA" w14:textId="77777777" w:rsidR="002E608D" w:rsidRPr="002E608D" w:rsidRDefault="002E608D" w:rsidP="002E608D">
            <w:pPr>
              <w:pStyle w:val="Tabletext"/>
            </w:pPr>
            <w:r w:rsidRPr="002E608D">
              <w:t>0</w:t>
            </w:r>
            <w:r w:rsidR="00D7157D">
              <w:t>.</w:t>
            </w:r>
            <w:r w:rsidRPr="002E608D">
              <w:t>6567</w:t>
            </w:r>
          </w:p>
        </w:tc>
        <w:tc>
          <w:tcPr>
            <w:tcW w:w="966" w:type="pct"/>
            <w:tcBorders>
              <w:top w:val="single" w:sz="4" w:space="0" w:color="auto"/>
              <w:bottom w:val="single" w:sz="4" w:space="0" w:color="auto"/>
            </w:tcBorders>
            <w:shd w:val="clear" w:color="auto" w:fill="auto"/>
            <w:vAlign w:val="bottom"/>
          </w:tcPr>
          <w:p w14:paraId="7A3DA9D3" w14:textId="77777777" w:rsidR="002E608D" w:rsidRPr="002E608D" w:rsidRDefault="002E608D" w:rsidP="002E608D">
            <w:pPr>
              <w:pStyle w:val="Tabletext"/>
            </w:pPr>
            <w:r w:rsidRPr="002E608D">
              <w:t>6</w:t>
            </w:r>
            <w:r w:rsidR="00D7157D">
              <w:t>.</w:t>
            </w:r>
            <w:r w:rsidRPr="002E608D">
              <w:t>1449</w:t>
            </w:r>
          </w:p>
        </w:tc>
        <w:tc>
          <w:tcPr>
            <w:tcW w:w="966" w:type="pct"/>
            <w:tcBorders>
              <w:top w:val="single" w:sz="4" w:space="0" w:color="auto"/>
              <w:bottom w:val="single" w:sz="4" w:space="0" w:color="auto"/>
              <w:right w:val="nil"/>
            </w:tcBorders>
            <w:shd w:val="clear" w:color="auto" w:fill="auto"/>
            <w:vAlign w:val="bottom"/>
          </w:tcPr>
          <w:p w14:paraId="2AA8F791" w14:textId="77777777" w:rsidR="002E608D" w:rsidRPr="002E608D" w:rsidRDefault="002E608D" w:rsidP="002E608D">
            <w:pPr>
              <w:pStyle w:val="Tabletext"/>
            </w:pPr>
            <w:r w:rsidRPr="002E608D">
              <w:t>0</w:t>
            </w:r>
            <w:r w:rsidR="00D7157D">
              <w:t>.</w:t>
            </w:r>
            <w:r w:rsidRPr="002E608D">
              <w:t>1719</w:t>
            </w:r>
          </w:p>
        </w:tc>
      </w:tr>
      <w:tr w:rsidR="002E608D" w:rsidRPr="002E608D" w14:paraId="67880C22" w14:textId="77777777" w:rsidTr="002E608D">
        <w:trPr>
          <w:cantSplit/>
        </w:trPr>
        <w:tc>
          <w:tcPr>
            <w:tcW w:w="1136" w:type="pct"/>
            <w:tcBorders>
              <w:top w:val="single" w:sz="4" w:space="0" w:color="auto"/>
              <w:bottom w:val="single" w:sz="4" w:space="0" w:color="auto"/>
            </w:tcBorders>
          </w:tcPr>
          <w:p w14:paraId="1EAD4CA1" w14:textId="77777777" w:rsidR="002E608D" w:rsidRPr="002E608D" w:rsidRDefault="002E608D" w:rsidP="002E608D">
            <w:pPr>
              <w:pStyle w:val="Tabletext"/>
            </w:pPr>
            <w:r w:rsidRPr="002E608D">
              <w:t>86</w:t>
            </w:r>
          </w:p>
        </w:tc>
        <w:tc>
          <w:tcPr>
            <w:tcW w:w="966" w:type="pct"/>
            <w:tcBorders>
              <w:top w:val="single" w:sz="4" w:space="0" w:color="auto"/>
              <w:bottom w:val="single" w:sz="4" w:space="0" w:color="auto"/>
            </w:tcBorders>
            <w:shd w:val="clear" w:color="auto" w:fill="auto"/>
            <w:vAlign w:val="bottom"/>
          </w:tcPr>
          <w:p w14:paraId="79616F83" w14:textId="77777777" w:rsidR="002E608D" w:rsidRPr="002E608D" w:rsidRDefault="002E608D" w:rsidP="002E608D">
            <w:pPr>
              <w:pStyle w:val="Tabletext"/>
            </w:pPr>
            <w:r w:rsidRPr="002E608D">
              <w:t>5</w:t>
            </w:r>
            <w:r w:rsidR="00D7157D">
              <w:t>.</w:t>
            </w:r>
            <w:r w:rsidRPr="002E608D">
              <w:t>1987</w:t>
            </w:r>
          </w:p>
        </w:tc>
        <w:tc>
          <w:tcPr>
            <w:tcW w:w="966" w:type="pct"/>
            <w:tcBorders>
              <w:top w:val="single" w:sz="4" w:space="0" w:color="auto"/>
              <w:bottom w:val="single" w:sz="4" w:space="0" w:color="auto"/>
            </w:tcBorders>
            <w:shd w:val="clear" w:color="auto" w:fill="auto"/>
            <w:vAlign w:val="bottom"/>
          </w:tcPr>
          <w:p w14:paraId="29FFE92E" w14:textId="77777777" w:rsidR="002E608D" w:rsidRPr="002E608D" w:rsidRDefault="002E608D" w:rsidP="002E608D">
            <w:pPr>
              <w:pStyle w:val="Tabletext"/>
            </w:pPr>
            <w:r w:rsidRPr="002E608D">
              <w:t>0</w:t>
            </w:r>
            <w:r w:rsidR="00D7157D">
              <w:t>.</w:t>
            </w:r>
            <w:r w:rsidRPr="002E608D">
              <w:t>6255</w:t>
            </w:r>
          </w:p>
        </w:tc>
        <w:tc>
          <w:tcPr>
            <w:tcW w:w="966" w:type="pct"/>
            <w:tcBorders>
              <w:top w:val="single" w:sz="4" w:space="0" w:color="auto"/>
              <w:bottom w:val="single" w:sz="4" w:space="0" w:color="auto"/>
            </w:tcBorders>
            <w:shd w:val="clear" w:color="auto" w:fill="auto"/>
            <w:vAlign w:val="bottom"/>
          </w:tcPr>
          <w:p w14:paraId="59A15576" w14:textId="77777777" w:rsidR="002E608D" w:rsidRPr="002E608D" w:rsidRDefault="002E608D" w:rsidP="002E608D">
            <w:pPr>
              <w:pStyle w:val="Tabletext"/>
            </w:pPr>
            <w:r w:rsidRPr="002E608D">
              <w:t>5</w:t>
            </w:r>
            <w:r w:rsidR="00D7157D">
              <w:t>.</w:t>
            </w:r>
            <w:r w:rsidRPr="002E608D">
              <w:t>7142</w:t>
            </w:r>
          </w:p>
        </w:tc>
        <w:tc>
          <w:tcPr>
            <w:tcW w:w="966" w:type="pct"/>
            <w:tcBorders>
              <w:top w:val="single" w:sz="4" w:space="0" w:color="auto"/>
              <w:bottom w:val="single" w:sz="4" w:space="0" w:color="auto"/>
              <w:right w:val="nil"/>
            </w:tcBorders>
            <w:shd w:val="clear" w:color="auto" w:fill="auto"/>
            <w:vAlign w:val="bottom"/>
          </w:tcPr>
          <w:p w14:paraId="1D588236" w14:textId="77777777" w:rsidR="002E608D" w:rsidRPr="002E608D" w:rsidRDefault="002E608D" w:rsidP="002E608D">
            <w:pPr>
              <w:pStyle w:val="Tabletext"/>
            </w:pPr>
            <w:r w:rsidRPr="002E608D">
              <w:t>0</w:t>
            </w:r>
            <w:r w:rsidR="00D7157D">
              <w:t>.</w:t>
            </w:r>
            <w:r w:rsidRPr="002E608D">
              <w:t>1651</w:t>
            </w:r>
          </w:p>
        </w:tc>
      </w:tr>
      <w:tr w:rsidR="002E608D" w:rsidRPr="002E608D" w14:paraId="4355961C" w14:textId="77777777" w:rsidTr="002E608D">
        <w:trPr>
          <w:cantSplit/>
        </w:trPr>
        <w:tc>
          <w:tcPr>
            <w:tcW w:w="1136" w:type="pct"/>
            <w:tcBorders>
              <w:top w:val="single" w:sz="4" w:space="0" w:color="auto"/>
              <w:bottom w:val="single" w:sz="4" w:space="0" w:color="auto"/>
            </w:tcBorders>
          </w:tcPr>
          <w:p w14:paraId="69466F3B" w14:textId="77777777" w:rsidR="002E608D" w:rsidRPr="002E608D" w:rsidRDefault="002E608D" w:rsidP="002E608D">
            <w:pPr>
              <w:pStyle w:val="Tabletext"/>
            </w:pPr>
            <w:r w:rsidRPr="002E608D">
              <w:t>87</w:t>
            </w:r>
          </w:p>
        </w:tc>
        <w:tc>
          <w:tcPr>
            <w:tcW w:w="966" w:type="pct"/>
            <w:tcBorders>
              <w:top w:val="single" w:sz="4" w:space="0" w:color="auto"/>
              <w:bottom w:val="single" w:sz="4" w:space="0" w:color="auto"/>
            </w:tcBorders>
            <w:shd w:val="clear" w:color="auto" w:fill="auto"/>
            <w:vAlign w:val="bottom"/>
          </w:tcPr>
          <w:p w14:paraId="4E262670" w14:textId="77777777" w:rsidR="002E608D" w:rsidRPr="002E608D" w:rsidRDefault="002E608D" w:rsidP="002E608D">
            <w:pPr>
              <w:pStyle w:val="Tabletext"/>
            </w:pPr>
            <w:r w:rsidRPr="002E608D">
              <w:t>4</w:t>
            </w:r>
            <w:r w:rsidR="00D7157D">
              <w:t>.</w:t>
            </w:r>
            <w:r w:rsidRPr="002E608D">
              <w:t>8734</w:t>
            </w:r>
          </w:p>
        </w:tc>
        <w:tc>
          <w:tcPr>
            <w:tcW w:w="966" w:type="pct"/>
            <w:tcBorders>
              <w:top w:val="single" w:sz="4" w:space="0" w:color="auto"/>
              <w:bottom w:val="single" w:sz="4" w:space="0" w:color="auto"/>
            </w:tcBorders>
            <w:shd w:val="clear" w:color="auto" w:fill="auto"/>
            <w:vAlign w:val="bottom"/>
          </w:tcPr>
          <w:p w14:paraId="289D8821" w14:textId="77777777" w:rsidR="002E608D" w:rsidRPr="002E608D" w:rsidRDefault="002E608D" w:rsidP="002E608D">
            <w:pPr>
              <w:pStyle w:val="Tabletext"/>
            </w:pPr>
            <w:r w:rsidRPr="002E608D">
              <w:t>0</w:t>
            </w:r>
            <w:r w:rsidR="00D7157D">
              <w:t>.</w:t>
            </w:r>
            <w:r w:rsidRPr="002E608D">
              <w:t>5941</w:t>
            </w:r>
          </w:p>
        </w:tc>
        <w:tc>
          <w:tcPr>
            <w:tcW w:w="966" w:type="pct"/>
            <w:tcBorders>
              <w:top w:val="single" w:sz="4" w:space="0" w:color="auto"/>
              <w:bottom w:val="single" w:sz="4" w:space="0" w:color="auto"/>
            </w:tcBorders>
            <w:shd w:val="clear" w:color="auto" w:fill="auto"/>
            <w:vAlign w:val="bottom"/>
          </w:tcPr>
          <w:p w14:paraId="3E7C33FA" w14:textId="77777777" w:rsidR="002E608D" w:rsidRPr="002E608D" w:rsidRDefault="002E608D" w:rsidP="002E608D">
            <w:pPr>
              <w:pStyle w:val="Tabletext"/>
            </w:pPr>
            <w:r w:rsidRPr="002E608D">
              <w:t>5</w:t>
            </w:r>
            <w:r w:rsidR="00D7157D">
              <w:t>.</w:t>
            </w:r>
            <w:r w:rsidRPr="002E608D">
              <w:t>3107</w:t>
            </w:r>
          </w:p>
        </w:tc>
        <w:tc>
          <w:tcPr>
            <w:tcW w:w="966" w:type="pct"/>
            <w:tcBorders>
              <w:top w:val="single" w:sz="4" w:space="0" w:color="auto"/>
              <w:bottom w:val="single" w:sz="4" w:space="0" w:color="auto"/>
              <w:right w:val="nil"/>
            </w:tcBorders>
            <w:shd w:val="clear" w:color="auto" w:fill="auto"/>
            <w:vAlign w:val="bottom"/>
          </w:tcPr>
          <w:p w14:paraId="3DE2DD6E" w14:textId="77777777" w:rsidR="002E608D" w:rsidRPr="002E608D" w:rsidRDefault="002E608D" w:rsidP="002E608D">
            <w:pPr>
              <w:pStyle w:val="Tabletext"/>
            </w:pPr>
            <w:r w:rsidRPr="002E608D">
              <w:t>0</w:t>
            </w:r>
            <w:r w:rsidR="00D7157D">
              <w:t>.</w:t>
            </w:r>
            <w:r w:rsidRPr="002E608D">
              <w:t>1584</w:t>
            </w:r>
          </w:p>
        </w:tc>
      </w:tr>
      <w:tr w:rsidR="002E608D" w:rsidRPr="002E608D" w14:paraId="67500859" w14:textId="77777777" w:rsidTr="002E608D">
        <w:trPr>
          <w:cantSplit/>
        </w:trPr>
        <w:tc>
          <w:tcPr>
            <w:tcW w:w="1136" w:type="pct"/>
            <w:tcBorders>
              <w:top w:val="single" w:sz="4" w:space="0" w:color="auto"/>
              <w:bottom w:val="single" w:sz="4" w:space="0" w:color="auto"/>
            </w:tcBorders>
          </w:tcPr>
          <w:p w14:paraId="456C7F25" w14:textId="77777777" w:rsidR="002E608D" w:rsidRPr="002E608D" w:rsidRDefault="002E608D" w:rsidP="002E608D">
            <w:pPr>
              <w:pStyle w:val="Tabletext"/>
            </w:pPr>
            <w:r w:rsidRPr="002E608D">
              <w:t>88</w:t>
            </w:r>
          </w:p>
        </w:tc>
        <w:tc>
          <w:tcPr>
            <w:tcW w:w="966" w:type="pct"/>
            <w:tcBorders>
              <w:top w:val="single" w:sz="4" w:space="0" w:color="auto"/>
              <w:bottom w:val="single" w:sz="4" w:space="0" w:color="auto"/>
            </w:tcBorders>
            <w:shd w:val="clear" w:color="auto" w:fill="auto"/>
            <w:vAlign w:val="bottom"/>
          </w:tcPr>
          <w:p w14:paraId="6E569983" w14:textId="77777777" w:rsidR="002E608D" w:rsidRPr="002E608D" w:rsidRDefault="002E608D" w:rsidP="002E608D">
            <w:pPr>
              <w:pStyle w:val="Tabletext"/>
            </w:pPr>
            <w:r w:rsidRPr="002E608D">
              <w:t>4</w:t>
            </w:r>
            <w:r w:rsidR="00D7157D">
              <w:t>.</w:t>
            </w:r>
            <w:r w:rsidRPr="002E608D">
              <w:t>5719</w:t>
            </w:r>
          </w:p>
        </w:tc>
        <w:tc>
          <w:tcPr>
            <w:tcW w:w="966" w:type="pct"/>
            <w:tcBorders>
              <w:top w:val="single" w:sz="4" w:space="0" w:color="auto"/>
              <w:bottom w:val="single" w:sz="4" w:space="0" w:color="auto"/>
            </w:tcBorders>
            <w:shd w:val="clear" w:color="auto" w:fill="auto"/>
            <w:vAlign w:val="bottom"/>
          </w:tcPr>
          <w:p w14:paraId="0B4C2616" w14:textId="77777777" w:rsidR="002E608D" w:rsidRPr="002E608D" w:rsidRDefault="002E608D" w:rsidP="002E608D">
            <w:pPr>
              <w:pStyle w:val="Tabletext"/>
            </w:pPr>
            <w:r w:rsidRPr="002E608D">
              <w:t>0</w:t>
            </w:r>
            <w:r w:rsidR="00D7157D">
              <w:t>.</w:t>
            </w:r>
            <w:r w:rsidRPr="002E608D">
              <w:t>5626</w:t>
            </w:r>
          </w:p>
        </w:tc>
        <w:tc>
          <w:tcPr>
            <w:tcW w:w="966" w:type="pct"/>
            <w:tcBorders>
              <w:top w:val="single" w:sz="4" w:space="0" w:color="auto"/>
              <w:bottom w:val="single" w:sz="4" w:space="0" w:color="auto"/>
            </w:tcBorders>
            <w:shd w:val="clear" w:color="auto" w:fill="auto"/>
            <w:vAlign w:val="bottom"/>
          </w:tcPr>
          <w:p w14:paraId="035DD843" w14:textId="77777777" w:rsidR="002E608D" w:rsidRPr="002E608D" w:rsidRDefault="002E608D" w:rsidP="002E608D">
            <w:pPr>
              <w:pStyle w:val="Tabletext"/>
            </w:pPr>
            <w:r w:rsidRPr="002E608D">
              <w:t>4</w:t>
            </w:r>
            <w:r w:rsidR="00D7157D">
              <w:t>.</w:t>
            </w:r>
            <w:r w:rsidRPr="002E608D">
              <w:t>9344</w:t>
            </w:r>
          </w:p>
        </w:tc>
        <w:tc>
          <w:tcPr>
            <w:tcW w:w="966" w:type="pct"/>
            <w:tcBorders>
              <w:top w:val="single" w:sz="4" w:space="0" w:color="auto"/>
              <w:bottom w:val="single" w:sz="4" w:space="0" w:color="auto"/>
              <w:right w:val="nil"/>
            </w:tcBorders>
            <w:shd w:val="clear" w:color="auto" w:fill="auto"/>
            <w:vAlign w:val="bottom"/>
          </w:tcPr>
          <w:p w14:paraId="423E33A5" w14:textId="77777777" w:rsidR="002E608D" w:rsidRPr="002E608D" w:rsidRDefault="002E608D" w:rsidP="002E608D">
            <w:pPr>
              <w:pStyle w:val="Tabletext"/>
            </w:pPr>
            <w:r w:rsidRPr="002E608D">
              <w:t>0</w:t>
            </w:r>
            <w:r w:rsidR="00D7157D">
              <w:t>.</w:t>
            </w:r>
            <w:r w:rsidRPr="002E608D">
              <w:t>1519</w:t>
            </w:r>
          </w:p>
        </w:tc>
      </w:tr>
      <w:tr w:rsidR="002E608D" w:rsidRPr="002E608D" w14:paraId="5FD1F813" w14:textId="77777777" w:rsidTr="002E608D">
        <w:trPr>
          <w:cantSplit/>
        </w:trPr>
        <w:tc>
          <w:tcPr>
            <w:tcW w:w="1136" w:type="pct"/>
            <w:tcBorders>
              <w:top w:val="single" w:sz="4" w:space="0" w:color="auto"/>
              <w:bottom w:val="single" w:sz="4" w:space="0" w:color="auto"/>
            </w:tcBorders>
          </w:tcPr>
          <w:p w14:paraId="045D1C25" w14:textId="77777777" w:rsidR="002E608D" w:rsidRPr="002E608D" w:rsidRDefault="002E608D" w:rsidP="002E608D">
            <w:pPr>
              <w:pStyle w:val="Tabletext"/>
            </w:pPr>
            <w:r w:rsidRPr="002E608D">
              <w:t>89</w:t>
            </w:r>
          </w:p>
        </w:tc>
        <w:tc>
          <w:tcPr>
            <w:tcW w:w="966" w:type="pct"/>
            <w:tcBorders>
              <w:top w:val="single" w:sz="4" w:space="0" w:color="auto"/>
              <w:bottom w:val="single" w:sz="4" w:space="0" w:color="auto"/>
            </w:tcBorders>
            <w:shd w:val="clear" w:color="auto" w:fill="auto"/>
            <w:vAlign w:val="bottom"/>
          </w:tcPr>
          <w:p w14:paraId="030D7ACE" w14:textId="77777777" w:rsidR="002E608D" w:rsidRPr="002E608D" w:rsidRDefault="002E608D" w:rsidP="002E608D">
            <w:pPr>
              <w:pStyle w:val="Tabletext"/>
            </w:pPr>
            <w:r w:rsidRPr="002E608D">
              <w:t>4</w:t>
            </w:r>
            <w:r w:rsidR="00D7157D">
              <w:t>.</w:t>
            </w:r>
            <w:r w:rsidRPr="002E608D">
              <w:t>2935</w:t>
            </w:r>
          </w:p>
        </w:tc>
        <w:tc>
          <w:tcPr>
            <w:tcW w:w="966" w:type="pct"/>
            <w:tcBorders>
              <w:top w:val="single" w:sz="4" w:space="0" w:color="auto"/>
              <w:bottom w:val="single" w:sz="4" w:space="0" w:color="auto"/>
            </w:tcBorders>
            <w:shd w:val="clear" w:color="auto" w:fill="auto"/>
            <w:vAlign w:val="bottom"/>
          </w:tcPr>
          <w:p w14:paraId="372CEFA0" w14:textId="77777777" w:rsidR="002E608D" w:rsidRPr="002E608D" w:rsidRDefault="002E608D" w:rsidP="002E608D">
            <w:pPr>
              <w:pStyle w:val="Tabletext"/>
            </w:pPr>
            <w:r w:rsidRPr="002E608D">
              <w:t>0</w:t>
            </w:r>
            <w:r w:rsidR="00D7157D">
              <w:t>.</w:t>
            </w:r>
            <w:r w:rsidRPr="002E608D">
              <w:t>5315</w:t>
            </w:r>
          </w:p>
        </w:tc>
        <w:tc>
          <w:tcPr>
            <w:tcW w:w="966" w:type="pct"/>
            <w:tcBorders>
              <w:top w:val="single" w:sz="4" w:space="0" w:color="auto"/>
              <w:bottom w:val="single" w:sz="4" w:space="0" w:color="auto"/>
            </w:tcBorders>
            <w:shd w:val="clear" w:color="auto" w:fill="auto"/>
            <w:vAlign w:val="bottom"/>
          </w:tcPr>
          <w:p w14:paraId="51F1AF35" w14:textId="77777777" w:rsidR="002E608D" w:rsidRPr="002E608D" w:rsidRDefault="002E608D" w:rsidP="002E608D">
            <w:pPr>
              <w:pStyle w:val="Tabletext"/>
            </w:pPr>
            <w:r w:rsidRPr="002E608D">
              <w:t>4</w:t>
            </w:r>
            <w:r w:rsidR="00D7157D">
              <w:t>.</w:t>
            </w:r>
            <w:r w:rsidRPr="002E608D">
              <w:t>5872</w:t>
            </w:r>
          </w:p>
        </w:tc>
        <w:tc>
          <w:tcPr>
            <w:tcW w:w="966" w:type="pct"/>
            <w:tcBorders>
              <w:top w:val="single" w:sz="4" w:space="0" w:color="auto"/>
              <w:bottom w:val="single" w:sz="4" w:space="0" w:color="auto"/>
              <w:right w:val="nil"/>
            </w:tcBorders>
            <w:shd w:val="clear" w:color="auto" w:fill="auto"/>
            <w:vAlign w:val="bottom"/>
          </w:tcPr>
          <w:p w14:paraId="3FDB6C2E" w14:textId="77777777" w:rsidR="002E608D" w:rsidRPr="002E608D" w:rsidRDefault="002E608D" w:rsidP="002E608D">
            <w:pPr>
              <w:pStyle w:val="Tabletext"/>
            </w:pPr>
            <w:r w:rsidRPr="002E608D">
              <w:t>0</w:t>
            </w:r>
            <w:r w:rsidR="00D7157D">
              <w:t>.</w:t>
            </w:r>
            <w:r w:rsidRPr="002E608D">
              <w:t>1457</w:t>
            </w:r>
          </w:p>
        </w:tc>
      </w:tr>
      <w:tr w:rsidR="002E608D" w:rsidRPr="002E608D" w14:paraId="4C810AA9" w14:textId="77777777" w:rsidTr="002E608D">
        <w:trPr>
          <w:cantSplit/>
        </w:trPr>
        <w:tc>
          <w:tcPr>
            <w:tcW w:w="1136" w:type="pct"/>
            <w:tcBorders>
              <w:top w:val="single" w:sz="4" w:space="0" w:color="auto"/>
              <w:bottom w:val="single" w:sz="4" w:space="0" w:color="auto"/>
            </w:tcBorders>
          </w:tcPr>
          <w:p w14:paraId="1526E92A" w14:textId="77777777" w:rsidR="002E608D" w:rsidRPr="002E608D" w:rsidRDefault="002E608D" w:rsidP="002E608D">
            <w:pPr>
              <w:pStyle w:val="Tabletext"/>
            </w:pPr>
            <w:r w:rsidRPr="002E608D">
              <w:t>90</w:t>
            </w:r>
          </w:p>
        </w:tc>
        <w:tc>
          <w:tcPr>
            <w:tcW w:w="966" w:type="pct"/>
            <w:tcBorders>
              <w:top w:val="single" w:sz="4" w:space="0" w:color="auto"/>
              <w:bottom w:val="single" w:sz="4" w:space="0" w:color="auto"/>
            </w:tcBorders>
            <w:shd w:val="clear" w:color="auto" w:fill="auto"/>
            <w:vAlign w:val="bottom"/>
          </w:tcPr>
          <w:p w14:paraId="10CBB831" w14:textId="77777777" w:rsidR="002E608D" w:rsidRPr="002E608D" w:rsidRDefault="002E608D" w:rsidP="002E608D">
            <w:pPr>
              <w:pStyle w:val="Tabletext"/>
            </w:pPr>
            <w:r w:rsidRPr="002E608D">
              <w:t>4</w:t>
            </w:r>
            <w:r w:rsidR="00D7157D">
              <w:t>.</w:t>
            </w:r>
            <w:r w:rsidRPr="002E608D">
              <w:t>0356</w:t>
            </w:r>
          </w:p>
        </w:tc>
        <w:tc>
          <w:tcPr>
            <w:tcW w:w="966" w:type="pct"/>
            <w:tcBorders>
              <w:top w:val="single" w:sz="4" w:space="0" w:color="auto"/>
              <w:bottom w:val="single" w:sz="4" w:space="0" w:color="auto"/>
            </w:tcBorders>
            <w:shd w:val="clear" w:color="auto" w:fill="auto"/>
            <w:vAlign w:val="bottom"/>
          </w:tcPr>
          <w:p w14:paraId="7265F1A9" w14:textId="77777777" w:rsidR="002E608D" w:rsidRPr="002E608D" w:rsidRDefault="002E608D" w:rsidP="002E608D">
            <w:pPr>
              <w:pStyle w:val="Tabletext"/>
            </w:pPr>
            <w:r w:rsidRPr="002E608D">
              <w:t>0</w:t>
            </w:r>
            <w:r w:rsidR="00D7157D">
              <w:t>.</w:t>
            </w:r>
            <w:r w:rsidRPr="002E608D">
              <w:t>5012</w:t>
            </w:r>
          </w:p>
        </w:tc>
        <w:tc>
          <w:tcPr>
            <w:tcW w:w="966" w:type="pct"/>
            <w:tcBorders>
              <w:top w:val="single" w:sz="4" w:space="0" w:color="auto"/>
              <w:bottom w:val="single" w:sz="4" w:space="0" w:color="auto"/>
            </w:tcBorders>
            <w:shd w:val="clear" w:color="auto" w:fill="auto"/>
            <w:vAlign w:val="bottom"/>
          </w:tcPr>
          <w:p w14:paraId="4BF4D3A2" w14:textId="77777777" w:rsidR="002E608D" w:rsidRPr="002E608D" w:rsidRDefault="002E608D" w:rsidP="002E608D">
            <w:pPr>
              <w:pStyle w:val="Tabletext"/>
            </w:pPr>
            <w:r w:rsidRPr="002E608D">
              <w:t>4</w:t>
            </w:r>
            <w:r w:rsidR="00D7157D">
              <w:t>.</w:t>
            </w:r>
            <w:r w:rsidRPr="002E608D">
              <w:t>2712</w:t>
            </w:r>
          </w:p>
        </w:tc>
        <w:tc>
          <w:tcPr>
            <w:tcW w:w="966" w:type="pct"/>
            <w:tcBorders>
              <w:top w:val="single" w:sz="4" w:space="0" w:color="auto"/>
              <w:bottom w:val="single" w:sz="4" w:space="0" w:color="auto"/>
              <w:right w:val="nil"/>
            </w:tcBorders>
            <w:shd w:val="clear" w:color="auto" w:fill="auto"/>
            <w:vAlign w:val="bottom"/>
          </w:tcPr>
          <w:p w14:paraId="0A67D5C8" w14:textId="77777777" w:rsidR="002E608D" w:rsidRPr="002E608D" w:rsidRDefault="002E608D" w:rsidP="002E608D">
            <w:pPr>
              <w:pStyle w:val="Tabletext"/>
            </w:pPr>
            <w:r w:rsidRPr="002E608D">
              <w:t>0</w:t>
            </w:r>
            <w:r w:rsidR="00D7157D">
              <w:t>.</w:t>
            </w:r>
            <w:r w:rsidRPr="002E608D">
              <w:t>1397</w:t>
            </w:r>
          </w:p>
        </w:tc>
      </w:tr>
      <w:tr w:rsidR="002E608D" w:rsidRPr="002E608D" w14:paraId="7A5C955B" w14:textId="77777777" w:rsidTr="002E608D">
        <w:trPr>
          <w:cantSplit/>
        </w:trPr>
        <w:tc>
          <w:tcPr>
            <w:tcW w:w="1136" w:type="pct"/>
            <w:tcBorders>
              <w:top w:val="single" w:sz="4" w:space="0" w:color="auto"/>
              <w:bottom w:val="single" w:sz="4" w:space="0" w:color="auto"/>
            </w:tcBorders>
          </w:tcPr>
          <w:p w14:paraId="0D82C74B" w14:textId="77777777" w:rsidR="002E608D" w:rsidRPr="002E608D" w:rsidRDefault="002E608D" w:rsidP="002E608D">
            <w:pPr>
              <w:pStyle w:val="Tabletext"/>
            </w:pPr>
            <w:r w:rsidRPr="002E608D">
              <w:t>91</w:t>
            </w:r>
          </w:p>
        </w:tc>
        <w:tc>
          <w:tcPr>
            <w:tcW w:w="966" w:type="pct"/>
            <w:tcBorders>
              <w:top w:val="single" w:sz="4" w:space="0" w:color="auto"/>
              <w:bottom w:val="single" w:sz="4" w:space="0" w:color="auto"/>
            </w:tcBorders>
            <w:shd w:val="clear" w:color="auto" w:fill="auto"/>
            <w:vAlign w:val="bottom"/>
          </w:tcPr>
          <w:p w14:paraId="6D24502D" w14:textId="77777777" w:rsidR="002E608D" w:rsidRPr="002E608D" w:rsidRDefault="002E608D" w:rsidP="002E608D">
            <w:pPr>
              <w:pStyle w:val="Tabletext"/>
            </w:pPr>
            <w:r w:rsidRPr="002E608D">
              <w:t>3</w:t>
            </w:r>
            <w:r w:rsidR="00D7157D">
              <w:t>.</w:t>
            </w:r>
            <w:r w:rsidRPr="002E608D">
              <w:t>7936</w:t>
            </w:r>
          </w:p>
        </w:tc>
        <w:tc>
          <w:tcPr>
            <w:tcW w:w="966" w:type="pct"/>
            <w:tcBorders>
              <w:top w:val="single" w:sz="4" w:space="0" w:color="auto"/>
              <w:bottom w:val="single" w:sz="4" w:space="0" w:color="auto"/>
            </w:tcBorders>
            <w:shd w:val="clear" w:color="auto" w:fill="auto"/>
            <w:vAlign w:val="bottom"/>
          </w:tcPr>
          <w:p w14:paraId="2524B693" w14:textId="77777777" w:rsidR="002E608D" w:rsidRPr="002E608D" w:rsidRDefault="002E608D" w:rsidP="002E608D">
            <w:pPr>
              <w:pStyle w:val="Tabletext"/>
            </w:pPr>
            <w:r w:rsidRPr="002E608D">
              <w:t>0</w:t>
            </w:r>
            <w:r w:rsidR="00D7157D">
              <w:t>.</w:t>
            </w:r>
            <w:r w:rsidRPr="002E608D">
              <w:t>4721</w:t>
            </w:r>
          </w:p>
        </w:tc>
        <w:tc>
          <w:tcPr>
            <w:tcW w:w="966" w:type="pct"/>
            <w:tcBorders>
              <w:top w:val="single" w:sz="4" w:space="0" w:color="auto"/>
              <w:bottom w:val="single" w:sz="4" w:space="0" w:color="auto"/>
            </w:tcBorders>
            <w:shd w:val="clear" w:color="auto" w:fill="auto"/>
            <w:vAlign w:val="bottom"/>
          </w:tcPr>
          <w:p w14:paraId="0C7CF25B" w14:textId="77777777" w:rsidR="002E608D" w:rsidRPr="002E608D" w:rsidRDefault="002E608D" w:rsidP="002E608D">
            <w:pPr>
              <w:pStyle w:val="Tabletext"/>
            </w:pPr>
            <w:r w:rsidRPr="002E608D">
              <w:t>3</w:t>
            </w:r>
            <w:r w:rsidR="00D7157D">
              <w:t>.</w:t>
            </w:r>
            <w:r w:rsidRPr="002E608D">
              <w:t>9833</w:t>
            </w:r>
          </w:p>
        </w:tc>
        <w:tc>
          <w:tcPr>
            <w:tcW w:w="966" w:type="pct"/>
            <w:tcBorders>
              <w:top w:val="single" w:sz="4" w:space="0" w:color="auto"/>
              <w:bottom w:val="single" w:sz="4" w:space="0" w:color="auto"/>
              <w:right w:val="nil"/>
            </w:tcBorders>
            <w:shd w:val="clear" w:color="auto" w:fill="auto"/>
            <w:vAlign w:val="bottom"/>
          </w:tcPr>
          <w:p w14:paraId="306A5571" w14:textId="77777777" w:rsidR="002E608D" w:rsidRPr="002E608D" w:rsidRDefault="002E608D" w:rsidP="002E608D">
            <w:pPr>
              <w:pStyle w:val="Tabletext"/>
            </w:pPr>
            <w:r w:rsidRPr="002E608D">
              <w:t>0</w:t>
            </w:r>
            <w:r w:rsidR="00D7157D">
              <w:t>.</w:t>
            </w:r>
            <w:r w:rsidRPr="002E608D">
              <w:t>1337</w:t>
            </w:r>
          </w:p>
        </w:tc>
      </w:tr>
      <w:tr w:rsidR="002E608D" w:rsidRPr="002E608D" w14:paraId="7CB408F8" w14:textId="77777777" w:rsidTr="002E608D">
        <w:trPr>
          <w:cantSplit/>
        </w:trPr>
        <w:tc>
          <w:tcPr>
            <w:tcW w:w="1136" w:type="pct"/>
            <w:tcBorders>
              <w:top w:val="single" w:sz="4" w:space="0" w:color="auto"/>
              <w:bottom w:val="single" w:sz="4" w:space="0" w:color="auto"/>
            </w:tcBorders>
          </w:tcPr>
          <w:p w14:paraId="4CDAC4EF" w14:textId="77777777" w:rsidR="002E608D" w:rsidRPr="002E608D" w:rsidRDefault="002E608D" w:rsidP="002E608D">
            <w:pPr>
              <w:pStyle w:val="Tabletext"/>
            </w:pPr>
            <w:r w:rsidRPr="002E608D">
              <w:t>92</w:t>
            </w:r>
          </w:p>
        </w:tc>
        <w:tc>
          <w:tcPr>
            <w:tcW w:w="966" w:type="pct"/>
            <w:tcBorders>
              <w:top w:val="single" w:sz="4" w:space="0" w:color="auto"/>
              <w:bottom w:val="single" w:sz="4" w:space="0" w:color="auto"/>
            </w:tcBorders>
            <w:shd w:val="clear" w:color="auto" w:fill="auto"/>
            <w:vAlign w:val="bottom"/>
          </w:tcPr>
          <w:p w14:paraId="7FC1EED8" w14:textId="77777777" w:rsidR="002E608D" w:rsidRPr="002E608D" w:rsidRDefault="002E608D" w:rsidP="002E608D">
            <w:pPr>
              <w:pStyle w:val="Tabletext"/>
            </w:pPr>
            <w:r w:rsidRPr="002E608D">
              <w:t>3</w:t>
            </w:r>
            <w:r w:rsidR="00D7157D">
              <w:t>.</w:t>
            </w:r>
            <w:r w:rsidRPr="002E608D">
              <w:t>5701</w:t>
            </w:r>
          </w:p>
        </w:tc>
        <w:tc>
          <w:tcPr>
            <w:tcW w:w="966" w:type="pct"/>
            <w:tcBorders>
              <w:top w:val="single" w:sz="4" w:space="0" w:color="auto"/>
              <w:bottom w:val="single" w:sz="4" w:space="0" w:color="auto"/>
            </w:tcBorders>
            <w:shd w:val="clear" w:color="auto" w:fill="auto"/>
            <w:vAlign w:val="bottom"/>
          </w:tcPr>
          <w:p w14:paraId="4DF4D57F" w14:textId="77777777" w:rsidR="002E608D" w:rsidRPr="002E608D" w:rsidRDefault="002E608D" w:rsidP="002E608D">
            <w:pPr>
              <w:pStyle w:val="Tabletext"/>
            </w:pPr>
            <w:r w:rsidRPr="002E608D">
              <w:t>0</w:t>
            </w:r>
            <w:r w:rsidR="00D7157D">
              <w:t>.</w:t>
            </w:r>
            <w:r w:rsidRPr="002E608D">
              <w:t>4443</w:t>
            </w:r>
          </w:p>
        </w:tc>
        <w:tc>
          <w:tcPr>
            <w:tcW w:w="966" w:type="pct"/>
            <w:tcBorders>
              <w:top w:val="single" w:sz="4" w:space="0" w:color="auto"/>
              <w:bottom w:val="single" w:sz="4" w:space="0" w:color="auto"/>
            </w:tcBorders>
            <w:shd w:val="clear" w:color="auto" w:fill="auto"/>
            <w:vAlign w:val="bottom"/>
          </w:tcPr>
          <w:p w14:paraId="44AF3AE2" w14:textId="77777777" w:rsidR="002E608D" w:rsidRPr="002E608D" w:rsidRDefault="002E608D" w:rsidP="002E608D">
            <w:pPr>
              <w:pStyle w:val="Tabletext"/>
            </w:pPr>
            <w:r w:rsidRPr="002E608D">
              <w:t>3</w:t>
            </w:r>
            <w:r w:rsidR="00D7157D">
              <w:t>.</w:t>
            </w:r>
            <w:r w:rsidRPr="002E608D">
              <w:t>7301</w:t>
            </w:r>
          </w:p>
        </w:tc>
        <w:tc>
          <w:tcPr>
            <w:tcW w:w="966" w:type="pct"/>
            <w:tcBorders>
              <w:top w:val="single" w:sz="4" w:space="0" w:color="auto"/>
              <w:bottom w:val="single" w:sz="4" w:space="0" w:color="auto"/>
              <w:right w:val="nil"/>
            </w:tcBorders>
            <w:shd w:val="clear" w:color="auto" w:fill="auto"/>
            <w:vAlign w:val="bottom"/>
          </w:tcPr>
          <w:p w14:paraId="1172D076" w14:textId="77777777" w:rsidR="002E608D" w:rsidRPr="002E608D" w:rsidRDefault="002E608D" w:rsidP="002E608D">
            <w:pPr>
              <w:pStyle w:val="Tabletext"/>
            </w:pPr>
            <w:r w:rsidRPr="002E608D">
              <w:t>0</w:t>
            </w:r>
            <w:r w:rsidR="00D7157D">
              <w:t>.</w:t>
            </w:r>
            <w:r w:rsidRPr="002E608D">
              <w:t>1278</w:t>
            </w:r>
          </w:p>
        </w:tc>
      </w:tr>
      <w:tr w:rsidR="002E608D" w:rsidRPr="002E608D" w14:paraId="487FE17C" w14:textId="77777777" w:rsidTr="002E608D">
        <w:trPr>
          <w:cantSplit/>
        </w:trPr>
        <w:tc>
          <w:tcPr>
            <w:tcW w:w="1136" w:type="pct"/>
            <w:tcBorders>
              <w:top w:val="single" w:sz="4" w:space="0" w:color="auto"/>
              <w:bottom w:val="single" w:sz="4" w:space="0" w:color="auto"/>
            </w:tcBorders>
          </w:tcPr>
          <w:p w14:paraId="21C90496" w14:textId="77777777" w:rsidR="002E608D" w:rsidRPr="002E608D" w:rsidRDefault="002E608D" w:rsidP="002E608D">
            <w:pPr>
              <w:pStyle w:val="Tabletext"/>
            </w:pPr>
            <w:r w:rsidRPr="002E608D">
              <w:t>93</w:t>
            </w:r>
          </w:p>
        </w:tc>
        <w:tc>
          <w:tcPr>
            <w:tcW w:w="966" w:type="pct"/>
            <w:tcBorders>
              <w:top w:val="single" w:sz="4" w:space="0" w:color="auto"/>
              <w:bottom w:val="single" w:sz="4" w:space="0" w:color="auto"/>
            </w:tcBorders>
            <w:shd w:val="clear" w:color="auto" w:fill="auto"/>
            <w:vAlign w:val="bottom"/>
          </w:tcPr>
          <w:p w14:paraId="37C1B6F3" w14:textId="77777777" w:rsidR="002E608D" w:rsidRPr="002E608D" w:rsidRDefault="002E608D" w:rsidP="002E608D">
            <w:pPr>
              <w:pStyle w:val="Tabletext"/>
            </w:pPr>
            <w:r w:rsidRPr="002E608D">
              <w:t>3</w:t>
            </w:r>
            <w:r w:rsidR="00D7157D">
              <w:t>.</w:t>
            </w:r>
            <w:r w:rsidRPr="002E608D">
              <w:t>3625</w:t>
            </w:r>
          </w:p>
        </w:tc>
        <w:tc>
          <w:tcPr>
            <w:tcW w:w="966" w:type="pct"/>
            <w:tcBorders>
              <w:top w:val="single" w:sz="4" w:space="0" w:color="auto"/>
              <w:bottom w:val="single" w:sz="4" w:space="0" w:color="auto"/>
            </w:tcBorders>
            <w:shd w:val="clear" w:color="auto" w:fill="auto"/>
            <w:vAlign w:val="bottom"/>
          </w:tcPr>
          <w:p w14:paraId="1D94548F" w14:textId="77777777" w:rsidR="002E608D" w:rsidRPr="002E608D" w:rsidRDefault="002E608D" w:rsidP="002E608D">
            <w:pPr>
              <w:pStyle w:val="Tabletext"/>
            </w:pPr>
            <w:r w:rsidRPr="002E608D">
              <w:t>0</w:t>
            </w:r>
            <w:r w:rsidR="00D7157D">
              <w:t>.</w:t>
            </w:r>
            <w:r w:rsidRPr="002E608D">
              <w:t>4177</w:t>
            </w:r>
          </w:p>
        </w:tc>
        <w:tc>
          <w:tcPr>
            <w:tcW w:w="966" w:type="pct"/>
            <w:tcBorders>
              <w:top w:val="single" w:sz="4" w:space="0" w:color="auto"/>
              <w:bottom w:val="single" w:sz="4" w:space="0" w:color="auto"/>
            </w:tcBorders>
            <w:shd w:val="clear" w:color="auto" w:fill="auto"/>
            <w:vAlign w:val="bottom"/>
          </w:tcPr>
          <w:p w14:paraId="5E7CA1FA" w14:textId="77777777" w:rsidR="002E608D" w:rsidRPr="002E608D" w:rsidRDefault="002E608D" w:rsidP="002E608D">
            <w:pPr>
              <w:pStyle w:val="Tabletext"/>
            </w:pPr>
            <w:r w:rsidRPr="002E608D">
              <w:t>3</w:t>
            </w:r>
            <w:r w:rsidR="00D7157D">
              <w:t>.</w:t>
            </w:r>
            <w:r w:rsidRPr="002E608D">
              <w:t>5033</w:t>
            </w:r>
          </w:p>
        </w:tc>
        <w:tc>
          <w:tcPr>
            <w:tcW w:w="966" w:type="pct"/>
            <w:tcBorders>
              <w:top w:val="single" w:sz="4" w:space="0" w:color="auto"/>
              <w:bottom w:val="single" w:sz="4" w:space="0" w:color="auto"/>
              <w:right w:val="nil"/>
            </w:tcBorders>
            <w:shd w:val="clear" w:color="auto" w:fill="auto"/>
            <w:vAlign w:val="bottom"/>
          </w:tcPr>
          <w:p w14:paraId="6E5EDE37" w14:textId="77777777" w:rsidR="002E608D" w:rsidRPr="002E608D" w:rsidRDefault="002E608D" w:rsidP="002E608D">
            <w:pPr>
              <w:pStyle w:val="Tabletext"/>
            </w:pPr>
            <w:r w:rsidRPr="002E608D">
              <w:t>0</w:t>
            </w:r>
            <w:r w:rsidR="00D7157D">
              <w:t>.</w:t>
            </w:r>
            <w:r w:rsidRPr="002E608D">
              <w:t>1220</w:t>
            </w:r>
          </w:p>
        </w:tc>
      </w:tr>
      <w:tr w:rsidR="002E608D" w:rsidRPr="002E608D" w14:paraId="2A355E97" w14:textId="77777777" w:rsidTr="002E608D">
        <w:trPr>
          <w:cantSplit/>
        </w:trPr>
        <w:tc>
          <w:tcPr>
            <w:tcW w:w="1136" w:type="pct"/>
            <w:tcBorders>
              <w:top w:val="single" w:sz="4" w:space="0" w:color="auto"/>
              <w:bottom w:val="single" w:sz="4" w:space="0" w:color="auto"/>
            </w:tcBorders>
          </w:tcPr>
          <w:p w14:paraId="6CFA3579" w14:textId="77777777" w:rsidR="002E608D" w:rsidRPr="002E608D" w:rsidRDefault="002E608D" w:rsidP="002E608D">
            <w:pPr>
              <w:pStyle w:val="Tabletext"/>
            </w:pPr>
            <w:r w:rsidRPr="002E608D">
              <w:t>94</w:t>
            </w:r>
          </w:p>
        </w:tc>
        <w:tc>
          <w:tcPr>
            <w:tcW w:w="966" w:type="pct"/>
            <w:tcBorders>
              <w:top w:val="single" w:sz="4" w:space="0" w:color="auto"/>
              <w:bottom w:val="single" w:sz="4" w:space="0" w:color="auto"/>
            </w:tcBorders>
            <w:shd w:val="clear" w:color="auto" w:fill="auto"/>
            <w:vAlign w:val="bottom"/>
          </w:tcPr>
          <w:p w14:paraId="55E26495" w14:textId="77777777" w:rsidR="002E608D" w:rsidRPr="002E608D" w:rsidRDefault="002E608D" w:rsidP="002E608D">
            <w:pPr>
              <w:pStyle w:val="Tabletext"/>
            </w:pPr>
            <w:r w:rsidRPr="002E608D">
              <w:t>3</w:t>
            </w:r>
            <w:r w:rsidR="00D7157D">
              <w:t>.</w:t>
            </w:r>
            <w:r w:rsidRPr="002E608D">
              <w:t>1683</w:t>
            </w:r>
          </w:p>
        </w:tc>
        <w:tc>
          <w:tcPr>
            <w:tcW w:w="966" w:type="pct"/>
            <w:tcBorders>
              <w:top w:val="single" w:sz="4" w:space="0" w:color="auto"/>
              <w:bottom w:val="single" w:sz="4" w:space="0" w:color="auto"/>
            </w:tcBorders>
            <w:shd w:val="clear" w:color="auto" w:fill="auto"/>
            <w:vAlign w:val="bottom"/>
          </w:tcPr>
          <w:p w14:paraId="69398B42" w14:textId="77777777" w:rsidR="002E608D" w:rsidRPr="002E608D" w:rsidRDefault="002E608D" w:rsidP="002E608D">
            <w:pPr>
              <w:pStyle w:val="Tabletext"/>
            </w:pPr>
            <w:r w:rsidRPr="002E608D">
              <w:t>0</w:t>
            </w:r>
            <w:r w:rsidR="00D7157D">
              <w:t>.</w:t>
            </w:r>
            <w:r w:rsidRPr="002E608D">
              <w:t>3920</w:t>
            </w:r>
          </w:p>
        </w:tc>
        <w:tc>
          <w:tcPr>
            <w:tcW w:w="966" w:type="pct"/>
            <w:tcBorders>
              <w:top w:val="single" w:sz="4" w:space="0" w:color="auto"/>
              <w:bottom w:val="single" w:sz="4" w:space="0" w:color="auto"/>
            </w:tcBorders>
            <w:shd w:val="clear" w:color="auto" w:fill="auto"/>
            <w:vAlign w:val="bottom"/>
          </w:tcPr>
          <w:p w14:paraId="5FA048BA" w14:textId="77777777" w:rsidR="002E608D" w:rsidRPr="002E608D" w:rsidRDefault="002E608D" w:rsidP="002E608D">
            <w:pPr>
              <w:pStyle w:val="Tabletext"/>
            </w:pPr>
            <w:r w:rsidRPr="002E608D">
              <w:t>3</w:t>
            </w:r>
            <w:r w:rsidR="00D7157D">
              <w:t>.</w:t>
            </w:r>
            <w:r w:rsidRPr="002E608D">
              <w:t>2997</w:t>
            </w:r>
          </w:p>
        </w:tc>
        <w:tc>
          <w:tcPr>
            <w:tcW w:w="966" w:type="pct"/>
            <w:tcBorders>
              <w:top w:val="single" w:sz="4" w:space="0" w:color="auto"/>
              <w:bottom w:val="single" w:sz="4" w:space="0" w:color="auto"/>
              <w:right w:val="nil"/>
            </w:tcBorders>
            <w:shd w:val="clear" w:color="auto" w:fill="auto"/>
            <w:vAlign w:val="bottom"/>
          </w:tcPr>
          <w:p w14:paraId="2312FB09" w14:textId="77777777" w:rsidR="002E608D" w:rsidRPr="002E608D" w:rsidRDefault="002E608D" w:rsidP="002E608D">
            <w:pPr>
              <w:pStyle w:val="Tabletext"/>
            </w:pPr>
            <w:r w:rsidRPr="002E608D">
              <w:t>0</w:t>
            </w:r>
            <w:r w:rsidR="00D7157D">
              <w:t>.</w:t>
            </w:r>
            <w:r w:rsidRPr="002E608D">
              <w:t>1162</w:t>
            </w:r>
          </w:p>
        </w:tc>
      </w:tr>
      <w:tr w:rsidR="002E608D" w:rsidRPr="002E608D" w14:paraId="5A7D15B8" w14:textId="77777777" w:rsidTr="002E608D">
        <w:trPr>
          <w:cantSplit/>
        </w:trPr>
        <w:tc>
          <w:tcPr>
            <w:tcW w:w="1136" w:type="pct"/>
            <w:tcBorders>
              <w:top w:val="single" w:sz="4" w:space="0" w:color="auto"/>
              <w:bottom w:val="single" w:sz="4" w:space="0" w:color="auto"/>
            </w:tcBorders>
          </w:tcPr>
          <w:p w14:paraId="5C7A83EC" w14:textId="77777777" w:rsidR="002E608D" w:rsidRPr="002E608D" w:rsidRDefault="002E608D" w:rsidP="002E608D">
            <w:pPr>
              <w:pStyle w:val="Tabletext"/>
            </w:pPr>
            <w:r w:rsidRPr="002E608D">
              <w:t>95</w:t>
            </w:r>
          </w:p>
        </w:tc>
        <w:tc>
          <w:tcPr>
            <w:tcW w:w="966" w:type="pct"/>
            <w:tcBorders>
              <w:top w:val="single" w:sz="4" w:space="0" w:color="auto"/>
              <w:bottom w:val="single" w:sz="4" w:space="0" w:color="auto"/>
            </w:tcBorders>
            <w:shd w:val="clear" w:color="auto" w:fill="auto"/>
            <w:vAlign w:val="bottom"/>
          </w:tcPr>
          <w:p w14:paraId="6323CFFF" w14:textId="77777777" w:rsidR="002E608D" w:rsidRPr="002E608D" w:rsidRDefault="002E608D" w:rsidP="002E608D">
            <w:pPr>
              <w:pStyle w:val="Tabletext"/>
            </w:pPr>
            <w:r w:rsidRPr="002E608D">
              <w:t>2</w:t>
            </w:r>
            <w:r w:rsidR="00D7157D">
              <w:t>.</w:t>
            </w:r>
            <w:r w:rsidRPr="002E608D">
              <w:t>9844</w:t>
            </w:r>
          </w:p>
        </w:tc>
        <w:tc>
          <w:tcPr>
            <w:tcW w:w="966" w:type="pct"/>
            <w:tcBorders>
              <w:top w:val="single" w:sz="4" w:space="0" w:color="auto"/>
              <w:bottom w:val="single" w:sz="4" w:space="0" w:color="auto"/>
            </w:tcBorders>
            <w:shd w:val="clear" w:color="auto" w:fill="auto"/>
            <w:vAlign w:val="bottom"/>
          </w:tcPr>
          <w:p w14:paraId="6FEF4C9D" w14:textId="77777777" w:rsidR="002E608D" w:rsidRPr="002E608D" w:rsidRDefault="002E608D" w:rsidP="002E608D">
            <w:pPr>
              <w:pStyle w:val="Tabletext"/>
            </w:pPr>
            <w:r w:rsidRPr="002E608D">
              <w:t>0</w:t>
            </w:r>
            <w:r w:rsidR="00D7157D">
              <w:t>.</w:t>
            </w:r>
            <w:r w:rsidRPr="002E608D">
              <w:t>3671</w:t>
            </w:r>
          </w:p>
        </w:tc>
        <w:tc>
          <w:tcPr>
            <w:tcW w:w="966" w:type="pct"/>
            <w:tcBorders>
              <w:top w:val="single" w:sz="4" w:space="0" w:color="auto"/>
              <w:bottom w:val="single" w:sz="4" w:space="0" w:color="auto"/>
            </w:tcBorders>
            <w:shd w:val="clear" w:color="auto" w:fill="auto"/>
            <w:vAlign w:val="bottom"/>
          </w:tcPr>
          <w:p w14:paraId="4A5B2137" w14:textId="77777777" w:rsidR="002E608D" w:rsidRPr="002E608D" w:rsidRDefault="002E608D" w:rsidP="002E608D">
            <w:pPr>
              <w:pStyle w:val="Tabletext"/>
            </w:pPr>
            <w:r w:rsidRPr="002E608D">
              <w:t>3</w:t>
            </w:r>
            <w:r w:rsidR="00D7157D">
              <w:t>.</w:t>
            </w:r>
            <w:r w:rsidRPr="002E608D">
              <w:t>1075</w:t>
            </w:r>
          </w:p>
        </w:tc>
        <w:tc>
          <w:tcPr>
            <w:tcW w:w="966" w:type="pct"/>
            <w:tcBorders>
              <w:top w:val="single" w:sz="4" w:space="0" w:color="auto"/>
              <w:bottom w:val="single" w:sz="4" w:space="0" w:color="auto"/>
              <w:right w:val="nil"/>
            </w:tcBorders>
            <w:shd w:val="clear" w:color="auto" w:fill="auto"/>
            <w:vAlign w:val="bottom"/>
          </w:tcPr>
          <w:p w14:paraId="25161053" w14:textId="77777777" w:rsidR="002E608D" w:rsidRPr="002E608D" w:rsidRDefault="002E608D" w:rsidP="002E608D">
            <w:pPr>
              <w:pStyle w:val="Tabletext"/>
            </w:pPr>
            <w:r w:rsidRPr="002E608D">
              <w:t>0</w:t>
            </w:r>
            <w:r w:rsidR="00D7157D">
              <w:t>.</w:t>
            </w:r>
            <w:r w:rsidRPr="002E608D">
              <w:t>1105</w:t>
            </w:r>
          </w:p>
        </w:tc>
      </w:tr>
      <w:tr w:rsidR="002E608D" w:rsidRPr="002E608D" w14:paraId="2885E910" w14:textId="77777777" w:rsidTr="002E608D">
        <w:trPr>
          <w:cantSplit/>
        </w:trPr>
        <w:tc>
          <w:tcPr>
            <w:tcW w:w="1136" w:type="pct"/>
            <w:tcBorders>
              <w:top w:val="single" w:sz="4" w:space="0" w:color="auto"/>
              <w:bottom w:val="single" w:sz="4" w:space="0" w:color="auto"/>
            </w:tcBorders>
          </w:tcPr>
          <w:p w14:paraId="0BB71E52" w14:textId="77777777" w:rsidR="002E608D" w:rsidRPr="002E608D" w:rsidRDefault="002E608D" w:rsidP="002E608D">
            <w:pPr>
              <w:pStyle w:val="Tabletext"/>
            </w:pPr>
            <w:r w:rsidRPr="002E608D">
              <w:t>96</w:t>
            </w:r>
          </w:p>
        </w:tc>
        <w:tc>
          <w:tcPr>
            <w:tcW w:w="966" w:type="pct"/>
            <w:tcBorders>
              <w:top w:val="single" w:sz="4" w:space="0" w:color="auto"/>
              <w:bottom w:val="single" w:sz="4" w:space="0" w:color="auto"/>
            </w:tcBorders>
            <w:shd w:val="clear" w:color="auto" w:fill="auto"/>
            <w:vAlign w:val="bottom"/>
          </w:tcPr>
          <w:p w14:paraId="0B12E78A" w14:textId="77777777" w:rsidR="002E608D" w:rsidRPr="002E608D" w:rsidRDefault="002E608D" w:rsidP="002E608D">
            <w:pPr>
              <w:pStyle w:val="Tabletext"/>
            </w:pPr>
            <w:r w:rsidRPr="002E608D">
              <w:t>2</w:t>
            </w:r>
            <w:r w:rsidR="00D7157D">
              <w:t>.</w:t>
            </w:r>
            <w:r w:rsidRPr="002E608D">
              <w:t>8076</w:t>
            </w:r>
          </w:p>
        </w:tc>
        <w:tc>
          <w:tcPr>
            <w:tcW w:w="966" w:type="pct"/>
            <w:tcBorders>
              <w:top w:val="single" w:sz="4" w:space="0" w:color="auto"/>
              <w:bottom w:val="single" w:sz="4" w:space="0" w:color="auto"/>
            </w:tcBorders>
            <w:shd w:val="clear" w:color="auto" w:fill="auto"/>
            <w:vAlign w:val="bottom"/>
          </w:tcPr>
          <w:p w14:paraId="6F495200" w14:textId="77777777" w:rsidR="002E608D" w:rsidRPr="002E608D" w:rsidRDefault="002E608D" w:rsidP="002E608D">
            <w:pPr>
              <w:pStyle w:val="Tabletext"/>
            </w:pPr>
            <w:r w:rsidRPr="002E608D">
              <w:t>0</w:t>
            </w:r>
            <w:r w:rsidR="00D7157D">
              <w:t>.</w:t>
            </w:r>
            <w:r w:rsidRPr="002E608D">
              <w:t>3428</w:t>
            </w:r>
          </w:p>
        </w:tc>
        <w:tc>
          <w:tcPr>
            <w:tcW w:w="966" w:type="pct"/>
            <w:tcBorders>
              <w:top w:val="single" w:sz="4" w:space="0" w:color="auto"/>
              <w:bottom w:val="single" w:sz="4" w:space="0" w:color="auto"/>
            </w:tcBorders>
            <w:shd w:val="clear" w:color="auto" w:fill="auto"/>
            <w:vAlign w:val="bottom"/>
          </w:tcPr>
          <w:p w14:paraId="6ADBC508" w14:textId="77777777" w:rsidR="002E608D" w:rsidRPr="002E608D" w:rsidRDefault="002E608D" w:rsidP="002E608D">
            <w:pPr>
              <w:pStyle w:val="Tabletext"/>
            </w:pPr>
            <w:r w:rsidRPr="002E608D">
              <w:t>2</w:t>
            </w:r>
            <w:r w:rsidR="00D7157D">
              <w:t>.</w:t>
            </w:r>
            <w:r w:rsidRPr="002E608D">
              <w:t>9270</w:t>
            </w:r>
          </w:p>
        </w:tc>
        <w:tc>
          <w:tcPr>
            <w:tcW w:w="966" w:type="pct"/>
            <w:tcBorders>
              <w:top w:val="single" w:sz="4" w:space="0" w:color="auto"/>
              <w:bottom w:val="single" w:sz="4" w:space="0" w:color="auto"/>
              <w:right w:val="nil"/>
            </w:tcBorders>
            <w:shd w:val="clear" w:color="auto" w:fill="auto"/>
            <w:vAlign w:val="bottom"/>
          </w:tcPr>
          <w:p w14:paraId="0C22A7A4" w14:textId="77777777" w:rsidR="002E608D" w:rsidRPr="002E608D" w:rsidRDefault="002E608D" w:rsidP="002E608D">
            <w:pPr>
              <w:pStyle w:val="Tabletext"/>
            </w:pPr>
            <w:r w:rsidRPr="002E608D">
              <w:t>0</w:t>
            </w:r>
            <w:r w:rsidR="00D7157D">
              <w:t>.</w:t>
            </w:r>
            <w:r w:rsidRPr="002E608D">
              <w:t>1050</w:t>
            </w:r>
          </w:p>
        </w:tc>
      </w:tr>
      <w:tr w:rsidR="002E608D" w:rsidRPr="002E608D" w14:paraId="2D1EF914" w14:textId="77777777" w:rsidTr="002E608D">
        <w:trPr>
          <w:cantSplit/>
        </w:trPr>
        <w:tc>
          <w:tcPr>
            <w:tcW w:w="1136" w:type="pct"/>
            <w:tcBorders>
              <w:top w:val="single" w:sz="4" w:space="0" w:color="auto"/>
              <w:bottom w:val="single" w:sz="4" w:space="0" w:color="auto"/>
            </w:tcBorders>
          </w:tcPr>
          <w:p w14:paraId="344AE447" w14:textId="77777777" w:rsidR="002E608D" w:rsidRPr="002E608D" w:rsidRDefault="002E608D" w:rsidP="002E608D">
            <w:pPr>
              <w:pStyle w:val="Tabletext"/>
            </w:pPr>
            <w:r w:rsidRPr="002E608D">
              <w:t>97</w:t>
            </w:r>
          </w:p>
        </w:tc>
        <w:tc>
          <w:tcPr>
            <w:tcW w:w="966" w:type="pct"/>
            <w:tcBorders>
              <w:top w:val="single" w:sz="4" w:space="0" w:color="auto"/>
              <w:bottom w:val="single" w:sz="4" w:space="0" w:color="auto"/>
            </w:tcBorders>
            <w:shd w:val="clear" w:color="auto" w:fill="auto"/>
            <w:vAlign w:val="bottom"/>
          </w:tcPr>
          <w:p w14:paraId="38244CFD" w14:textId="77777777" w:rsidR="002E608D" w:rsidRPr="002E608D" w:rsidRDefault="002E608D" w:rsidP="002E608D">
            <w:pPr>
              <w:pStyle w:val="Tabletext"/>
            </w:pPr>
            <w:r w:rsidRPr="002E608D">
              <w:t>2</w:t>
            </w:r>
            <w:r w:rsidR="00D7157D">
              <w:t>.</w:t>
            </w:r>
            <w:r w:rsidRPr="002E608D">
              <w:t>6440</w:t>
            </w:r>
          </w:p>
        </w:tc>
        <w:tc>
          <w:tcPr>
            <w:tcW w:w="966" w:type="pct"/>
            <w:tcBorders>
              <w:top w:val="single" w:sz="4" w:space="0" w:color="auto"/>
              <w:bottom w:val="single" w:sz="4" w:space="0" w:color="auto"/>
            </w:tcBorders>
            <w:shd w:val="clear" w:color="auto" w:fill="auto"/>
            <w:vAlign w:val="bottom"/>
          </w:tcPr>
          <w:p w14:paraId="63AA4D8A" w14:textId="77777777" w:rsidR="002E608D" w:rsidRPr="002E608D" w:rsidRDefault="002E608D" w:rsidP="002E608D">
            <w:pPr>
              <w:pStyle w:val="Tabletext"/>
            </w:pPr>
            <w:r w:rsidRPr="002E608D">
              <w:t>0</w:t>
            </w:r>
            <w:r w:rsidR="00D7157D">
              <w:t>.</w:t>
            </w:r>
            <w:r w:rsidRPr="002E608D">
              <w:t>3191</w:t>
            </w:r>
          </w:p>
        </w:tc>
        <w:tc>
          <w:tcPr>
            <w:tcW w:w="966" w:type="pct"/>
            <w:tcBorders>
              <w:top w:val="single" w:sz="4" w:space="0" w:color="auto"/>
              <w:bottom w:val="single" w:sz="4" w:space="0" w:color="auto"/>
            </w:tcBorders>
            <w:shd w:val="clear" w:color="auto" w:fill="auto"/>
            <w:vAlign w:val="bottom"/>
          </w:tcPr>
          <w:p w14:paraId="176D99DA" w14:textId="77777777" w:rsidR="002E608D" w:rsidRPr="002E608D" w:rsidRDefault="002E608D" w:rsidP="002E608D">
            <w:pPr>
              <w:pStyle w:val="Tabletext"/>
            </w:pPr>
            <w:r w:rsidRPr="002E608D">
              <w:t>2</w:t>
            </w:r>
            <w:r w:rsidR="00D7157D">
              <w:t>.</w:t>
            </w:r>
            <w:r w:rsidRPr="002E608D">
              <w:t>7540</w:t>
            </w:r>
          </w:p>
        </w:tc>
        <w:tc>
          <w:tcPr>
            <w:tcW w:w="966" w:type="pct"/>
            <w:tcBorders>
              <w:top w:val="single" w:sz="4" w:space="0" w:color="auto"/>
              <w:bottom w:val="single" w:sz="4" w:space="0" w:color="auto"/>
              <w:right w:val="nil"/>
            </w:tcBorders>
            <w:shd w:val="clear" w:color="auto" w:fill="auto"/>
            <w:vAlign w:val="bottom"/>
          </w:tcPr>
          <w:p w14:paraId="62B3F731" w14:textId="77777777" w:rsidR="002E608D" w:rsidRPr="002E608D" w:rsidRDefault="002E608D" w:rsidP="002E608D">
            <w:pPr>
              <w:pStyle w:val="Tabletext"/>
            </w:pPr>
            <w:r w:rsidRPr="002E608D">
              <w:t>0</w:t>
            </w:r>
            <w:r w:rsidR="00D7157D">
              <w:t>.</w:t>
            </w:r>
            <w:r w:rsidRPr="002E608D">
              <w:t>0995</w:t>
            </w:r>
          </w:p>
        </w:tc>
      </w:tr>
      <w:tr w:rsidR="002E608D" w:rsidRPr="002E608D" w14:paraId="24C5FDE7" w14:textId="77777777" w:rsidTr="002E608D">
        <w:trPr>
          <w:cantSplit/>
        </w:trPr>
        <w:tc>
          <w:tcPr>
            <w:tcW w:w="1136" w:type="pct"/>
            <w:tcBorders>
              <w:top w:val="single" w:sz="4" w:space="0" w:color="auto"/>
              <w:bottom w:val="single" w:sz="4" w:space="0" w:color="auto"/>
            </w:tcBorders>
          </w:tcPr>
          <w:p w14:paraId="18464BC9" w14:textId="77777777" w:rsidR="002E608D" w:rsidRPr="002E608D" w:rsidRDefault="002E608D" w:rsidP="002E608D">
            <w:pPr>
              <w:pStyle w:val="Tabletext"/>
            </w:pPr>
            <w:r w:rsidRPr="002E608D">
              <w:t>98</w:t>
            </w:r>
          </w:p>
        </w:tc>
        <w:tc>
          <w:tcPr>
            <w:tcW w:w="966" w:type="pct"/>
            <w:tcBorders>
              <w:top w:val="single" w:sz="4" w:space="0" w:color="auto"/>
              <w:bottom w:val="single" w:sz="4" w:space="0" w:color="auto"/>
            </w:tcBorders>
            <w:shd w:val="clear" w:color="auto" w:fill="auto"/>
            <w:vAlign w:val="bottom"/>
          </w:tcPr>
          <w:p w14:paraId="5BD6177D" w14:textId="77777777" w:rsidR="002E608D" w:rsidRPr="002E608D" w:rsidRDefault="002E608D" w:rsidP="002E608D">
            <w:pPr>
              <w:pStyle w:val="Tabletext"/>
            </w:pPr>
            <w:r w:rsidRPr="002E608D">
              <w:t>2</w:t>
            </w:r>
            <w:r w:rsidR="00D7157D">
              <w:t>.</w:t>
            </w:r>
            <w:r w:rsidRPr="002E608D">
              <w:t>4927</w:t>
            </w:r>
          </w:p>
        </w:tc>
        <w:tc>
          <w:tcPr>
            <w:tcW w:w="966" w:type="pct"/>
            <w:tcBorders>
              <w:top w:val="single" w:sz="4" w:space="0" w:color="auto"/>
              <w:bottom w:val="single" w:sz="4" w:space="0" w:color="auto"/>
            </w:tcBorders>
            <w:shd w:val="clear" w:color="auto" w:fill="auto"/>
            <w:vAlign w:val="bottom"/>
          </w:tcPr>
          <w:p w14:paraId="3F4FFC76" w14:textId="77777777" w:rsidR="002E608D" w:rsidRPr="002E608D" w:rsidRDefault="002E608D" w:rsidP="002E608D">
            <w:pPr>
              <w:pStyle w:val="Tabletext"/>
            </w:pPr>
            <w:r w:rsidRPr="002E608D">
              <w:t>0</w:t>
            </w:r>
            <w:r w:rsidR="00D7157D">
              <w:t>.</w:t>
            </w:r>
            <w:r w:rsidRPr="002E608D">
              <w:t>2957</w:t>
            </w:r>
          </w:p>
        </w:tc>
        <w:tc>
          <w:tcPr>
            <w:tcW w:w="966" w:type="pct"/>
            <w:tcBorders>
              <w:top w:val="single" w:sz="4" w:space="0" w:color="auto"/>
              <w:bottom w:val="single" w:sz="4" w:space="0" w:color="auto"/>
            </w:tcBorders>
            <w:shd w:val="clear" w:color="auto" w:fill="auto"/>
            <w:vAlign w:val="bottom"/>
          </w:tcPr>
          <w:p w14:paraId="7A9523D7" w14:textId="77777777" w:rsidR="002E608D" w:rsidRPr="002E608D" w:rsidRDefault="002E608D" w:rsidP="002E608D">
            <w:pPr>
              <w:pStyle w:val="Tabletext"/>
            </w:pPr>
            <w:r w:rsidRPr="002E608D">
              <w:t>2</w:t>
            </w:r>
            <w:r w:rsidR="00D7157D">
              <w:t>.</w:t>
            </w:r>
            <w:r w:rsidRPr="002E608D">
              <w:t>5961</w:t>
            </w:r>
          </w:p>
        </w:tc>
        <w:tc>
          <w:tcPr>
            <w:tcW w:w="966" w:type="pct"/>
            <w:tcBorders>
              <w:top w:val="single" w:sz="4" w:space="0" w:color="auto"/>
              <w:bottom w:val="single" w:sz="4" w:space="0" w:color="auto"/>
              <w:right w:val="nil"/>
            </w:tcBorders>
            <w:shd w:val="clear" w:color="auto" w:fill="auto"/>
            <w:vAlign w:val="bottom"/>
          </w:tcPr>
          <w:p w14:paraId="468CDB4D" w14:textId="77777777" w:rsidR="002E608D" w:rsidRPr="002E608D" w:rsidRDefault="002E608D" w:rsidP="002E608D">
            <w:pPr>
              <w:pStyle w:val="Tabletext"/>
            </w:pPr>
            <w:r w:rsidRPr="002E608D">
              <w:t>0</w:t>
            </w:r>
            <w:r w:rsidR="00D7157D">
              <w:t>.</w:t>
            </w:r>
            <w:r w:rsidRPr="002E608D">
              <w:t>0939</w:t>
            </w:r>
          </w:p>
        </w:tc>
      </w:tr>
      <w:tr w:rsidR="002E608D" w:rsidRPr="009E2595" w14:paraId="2682B54A" w14:textId="77777777" w:rsidTr="002E608D">
        <w:trPr>
          <w:cantSplit/>
        </w:trPr>
        <w:tc>
          <w:tcPr>
            <w:tcW w:w="1136" w:type="pct"/>
            <w:tcBorders>
              <w:top w:val="single" w:sz="4" w:space="0" w:color="auto"/>
              <w:bottom w:val="single" w:sz="12" w:space="0" w:color="auto"/>
            </w:tcBorders>
          </w:tcPr>
          <w:p w14:paraId="5AAA5418" w14:textId="77777777" w:rsidR="002E608D" w:rsidRPr="002E608D" w:rsidRDefault="00ED15BD" w:rsidP="002E608D">
            <w:pPr>
              <w:pStyle w:val="Tabletext"/>
            </w:pPr>
            <w:r>
              <w:t>99 and over</w:t>
            </w:r>
          </w:p>
        </w:tc>
        <w:tc>
          <w:tcPr>
            <w:tcW w:w="966" w:type="pct"/>
            <w:tcBorders>
              <w:top w:val="single" w:sz="4" w:space="0" w:color="auto"/>
              <w:bottom w:val="single" w:sz="12" w:space="0" w:color="auto"/>
            </w:tcBorders>
            <w:shd w:val="clear" w:color="auto" w:fill="auto"/>
            <w:vAlign w:val="bottom"/>
          </w:tcPr>
          <w:p w14:paraId="5368FA01" w14:textId="77777777" w:rsidR="002E608D" w:rsidRPr="002E608D" w:rsidRDefault="002E608D" w:rsidP="002E608D">
            <w:pPr>
              <w:pStyle w:val="Tabletext"/>
            </w:pPr>
            <w:r w:rsidRPr="002E608D">
              <w:t>2</w:t>
            </w:r>
            <w:r w:rsidR="00D7157D">
              <w:t>.</w:t>
            </w:r>
            <w:r w:rsidRPr="002E608D">
              <w:t>3531</w:t>
            </w:r>
          </w:p>
        </w:tc>
        <w:tc>
          <w:tcPr>
            <w:tcW w:w="966" w:type="pct"/>
            <w:tcBorders>
              <w:top w:val="single" w:sz="4" w:space="0" w:color="auto"/>
              <w:bottom w:val="single" w:sz="12" w:space="0" w:color="auto"/>
            </w:tcBorders>
            <w:shd w:val="clear" w:color="auto" w:fill="auto"/>
            <w:vAlign w:val="bottom"/>
          </w:tcPr>
          <w:p w14:paraId="7D4BD7AB" w14:textId="77777777" w:rsidR="002E608D" w:rsidRPr="002E608D" w:rsidRDefault="002E608D" w:rsidP="002E608D">
            <w:pPr>
              <w:pStyle w:val="Tabletext"/>
            </w:pPr>
            <w:r w:rsidRPr="002E608D">
              <w:t>0</w:t>
            </w:r>
            <w:r w:rsidR="00D7157D">
              <w:t>.</w:t>
            </w:r>
            <w:r w:rsidRPr="002E608D">
              <w:t>2722</w:t>
            </w:r>
          </w:p>
        </w:tc>
        <w:tc>
          <w:tcPr>
            <w:tcW w:w="966" w:type="pct"/>
            <w:tcBorders>
              <w:top w:val="single" w:sz="4" w:space="0" w:color="auto"/>
              <w:bottom w:val="single" w:sz="12" w:space="0" w:color="auto"/>
            </w:tcBorders>
            <w:shd w:val="clear" w:color="auto" w:fill="auto"/>
            <w:vAlign w:val="bottom"/>
          </w:tcPr>
          <w:p w14:paraId="619DBD1F" w14:textId="77777777" w:rsidR="002E608D" w:rsidRPr="002E608D" w:rsidRDefault="002E608D" w:rsidP="002E608D">
            <w:pPr>
              <w:pStyle w:val="Tabletext"/>
            </w:pPr>
            <w:r w:rsidRPr="002E608D">
              <w:t>2</w:t>
            </w:r>
            <w:r w:rsidR="00D7157D">
              <w:t>.</w:t>
            </w:r>
            <w:r w:rsidRPr="002E608D">
              <w:t>4514</w:t>
            </w:r>
          </w:p>
        </w:tc>
        <w:tc>
          <w:tcPr>
            <w:tcW w:w="966" w:type="pct"/>
            <w:tcBorders>
              <w:top w:val="single" w:sz="4" w:space="0" w:color="auto"/>
              <w:bottom w:val="single" w:sz="12" w:space="0" w:color="auto"/>
              <w:right w:val="nil"/>
            </w:tcBorders>
            <w:shd w:val="clear" w:color="auto" w:fill="auto"/>
            <w:vAlign w:val="bottom"/>
          </w:tcPr>
          <w:p w14:paraId="7B6D2DCB" w14:textId="77777777" w:rsidR="002E608D" w:rsidRPr="002E608D" w:rsidRDefault="002E608D" w:rsidP="002E608D">
            <w:pPr>
              <w:pStyle w:val="Tabletext"/>
            </w:pPr>
            <w:r w:rsidRPr="002E608D">
              <w:t>0</w:t>
            </w:r>
            <w:r w:rsidR="00D7157D">
              <w:t>.</w:t>
            </w:r>
            <w:r w:rsidRPr="002E608D">
              <w:t>0881</w:t>
            </w:r>
          </w:p>
        </w:tc>
      </w:tr>
    </w:tbl>
    <w:p w14:paraId="7F71AB20" w14:textId="1689D5E7" w:rsidR="00647C6B" w:rsidRPr="00A058B6" w:rsidRDefault="00453C86" w:rsidP="00647C6B">
      <w:pPr>
        <w:pStyle w:val="ActHead1"/>
        <w:pageBreakBefore/>
      </w:pPr>
      <w:bookmarkStart w:id="342" w:name="_Toc188350817"/>
      <w:r w:rsidRPr="00423C34">
        <w:rPr>
          <w:rStyle w:val="CharChapNo"/>
        </w:rPr>
        <w:t>Schedule 8</w:t>
      </w:r>
      <w:r w:rsidR="00647C6B" w:rsidRPr="00A058B6">
        <w:t>—</w:t>
      </w:r>
      <w:r w:rsidR="00647C6B" w:rsidRPr="00423C34">
        <w:rPr>
          <w:rStyle w:val="CharChapText"/>
        </w:rPr>
        <w:t>Method for determining gross value of superannuation interest payable as fixed</w:t>
      </w:r>
      <w:r w:rsidR="001952B3" w:rsidRPr="00423C34">
        <w:rPr>
          <w:rStyle w:val="CharChapText"/>
        </w:rPr>
        <w:noBreakHyphen/>
      </w:r>
      <w:r w:rsidR="00647C6B" w:rsidRPr="00423C34">
        <w:rPr>
          <w:rStyle w:val="CharChapText"/>
        </w:rPr>
        <w:t>term pension</w:t>
      </w:r>
      <w:bookmarkEnd w:id="342"/>
    </w:p>
    <w:p w14:paraId="46BEE342" w14:textId="32C81309" w:rsidR="00647C6B" w:rsidRPr="00A058B6" w:rsidRDefault="00647C6B" w:rsidP="00647C6B">
      <w:pPr>
        <w:pStyle w:val="notemargin"/>
      </w:pPr>
      <w:r w:rsidRPr="00A058B6">
        <w:t>(</w:t>
      </w:r>
      <w:r w:rsidR="00CB78B9">
        <w:t>section 6</w:t>
      </w:r>
      <w:r w:rsidR="00485CC2">
        <w:t>6</w:t>
      </w:r>
      <w:r w:rsidR="0052656F">
        <w:t xml:space="preserve"> or 68</w:t>
      </w:r>
      <w:r w:rsidRPr="00A058B6">
        <w:t>)</w:t>
      </w:r>
    </w:p>
    <w:p w14:paraId="242145E7" w14:textId="77777777" w:rsidR="00647C6B" w:rsidRPr="00423C34" w:rsidRDefault="00647C6B" w:rsidP="00647C6B">
      <w:pPr>
        <w:pStyle w:val="Header"/>
      </w:pPr>
      <w:r w:rsidRPr="00423C34">
        <w:rPr>
          <w:rStyle w:val="CharPartNo"/>
        </w:rPr>
        <w:t xml:space="preserve"> </w:t>
      </w:r>
      <w:r w:rsidRPr="00423C34">
        <w:rPr>
          <w:rStyle w:val="CharPartText"/>
        </w:rPr>
        <w:t xml:space="preserve"> </w:t>
      </w:r>
    </w:p>
    <w:p w14:paraId="2B836A1D" w14:textId="77777777" w:rsidR="00A1590A" w:rsidRPr="00423C34" w:rsidRDefault="00A1590A" w:rsidP="00A1590A">
      <w:pPr>
        <w:pStyle w:val="Header"/>
      </w:pPr>
      <w:r w:rsidRPr="00423C34">
        <w:rPr>
          <w:rStyle w:val="CharDivNo"/>
        </w:rPr>
        <w:t xml:space="preserve"> </w:t>
      </w:r>
      <w:r w:rsidRPr="00423C34">
        <w:rPr>
          <w:rStyle w:val="CharDivText"/>
        </w:rPr>
        <w:t xml:space="preserve"> </w:t>
      </w:r>
    </w:p>
    <w:p w14:paraId="6B8AA10A" w14:textId="77777777" w:rsidR="00647C6B" w:rsidRPr="00A058B6" w:rsidRDefault="00647C6B" w:rsidP="00647C6B">
      <w:pPr>
        <w:pStyle w:val="ActHead5"/>
      </w:pPr>
      <w:bookmarkStart w:id="343" w:name="_Toc188350818"/>
      <w:r w:rsidRPr="00423C34">
        <w:rPr>
          <w:rStyle w:val="CharSectno"/>
        </w:rPr>
        <w:t>1</w:t>
      </w:r>
      <w:r w:rsidRPr="00A058B6">
        <w:t xml:space="preserve">  Application of </w:t>
      </w:r>
      <w:r w:rsidR="00272C0F">
        <w:t xml:space="preserve">this </w:t>
      </w:r>
      <w:r w:rsidR="00B05FD6">
        <w:t>Schedule</w:t>
      </w:r>
      <w:bookmarkEnd w:id="343"/>
    </w:p>
    <w:p w14:paraId="4050F9EA" w14:textId="77777777" w:rsidR="00647C6B" w:rsidRPr="00A058B6" w:rsidRDefault="00647C6B" w:rsidP="00647C6B">
      <w:pPr>
        <w:pStyle w:val="subsection"/>
      </w:pPr>
      <w:r w:rsidRPr="00A058B6">
        <w:tab/>
      </w:r>
      <w:r w:rsidRPr="00A058B6">
        <w:tab/>
        <w:t>This Schedule sets out the method for determining the gross value, at the relevant date, of a superannuation interest that is in the payment phase at the relevant date, if the benefits in respect of the interest are payable as a pension for a fixed term</w:t>
      </w:r>
      <w:r w:rsidR="00D7157D">
        <w:t>.</w:t>
      </w:r>
    </w:p>
    <w:p w14:paraId="7D905474" w14:textId="77777777" w:rsidR="00647C6B" w:rsidRPr="00A058B6" w:rsidRDefault="00647C6B" w:rsidP="00647C6B">
      <w:pPr>
        <w:pStyle w:val="ActHead5"/>
      </w:pPr>
      <w:bookmarkStart w:id="344" w:name="_Toc188350819"/>
      <w:r w:rsidRPr="00423C34">
        <w:rPr>
          <w:rStyle w:val="CharSectno"/>
        </w:rPr>
        <w:t>2</w:t>
      </w:r>
      <w:r w:rsidRPr="00A058B6">
        <w:t xml:space="preserve">  Method</w:t>
      </w:r>
      <w:bookmarkEnd w:id="344"/>
    </w:p>
    <w:p w14:paraId="2504ED2A" w14:textId="77777777" w:rsidR="00647C6B" w:rsidRDefault="00647C6B" w:rsidP="00647C6B">
      <w:pPr>
        <w:pStyle w:val="subsection"/>
      </w:pPr>
      <w:r w:rsidRPr="00A058B6">
        <w:tab/>
        <w:t>(1)</w:t>
      </w:r>
      <w:r w:rsidRPr="00A058B6">
        <w:tab/>
        <w:t>The method is:</w:t>
      </w:r>
    </w:p>
    <w:p w14:paraId="490B2406" w14:textId="2FCCDB15" w:rsidR="007A7A8B" w:rsidRPr="007A7A8B" w:rsidRDefault="0048465A" w:rsidP="007A7A8B">
      <w:pPr>
        <w:pStyle w:val="subsection2"/>
      </w:pPr>
      <w:r w:rsidRPr="0099295D">
        <w:rPr>
          <w:position w:val="-10"/>
        </w:rPr>
        <w:object w:dxaOrig="859" w:dyaOrig="420" w14:anchorId="2AD5126E">
          <v:shape id="_x0000_i1096" type="#_x0000_t75" alt="Start formula B times P subscript y subscript plus subscript m end formula" style="width:42.5pt;height:19.5pt" o:ole="">
            <v:imagedata r:id="rId175" o:title=""/>
          </v:shape>
          <o:OLEObject Type="Embed" ProgID="Equation.DSMT4" ShapeID="_x0000_i1096" DrawAspect="Content" ObjectID="_1801634325" r:id="rId176"/>
        </w:object>
      </w:r>
    </w:p>
    <w:p w14:paraId="4B71C3C2" w14:textId="77777777" w:rsidR="00647C6B" w:rsidRPr="00A058B6" w:rsidRDefault="00647C6B" w:rsidP="00647C6B">
      <w:pPr>
        <w:pStyle w:val="subsection2"/>
      </w:pPr>
      <w:r w:rsidRPr="00A058B6">
        <w:t>where:</w:t>
      </w:r>
    </w:p>
    <w:p w14:paraId="666FD18D" w14:textId="77777777" w:rsidR="00647C6B" w:rsidRPr="00A058B6" w:rsidRDefault="00647C6B" w:rsidP="00647C6B">
      <w:pPr>
        <w:pStyle w:val="Definition"/>
      </w:pPr>
      <w:r w:rsidRPr="00A058B6">
        <w:rPr>
          <w:b/>
          <w:i/>
        </w:rPr>
        <w:t>B</w:t>
      </w:r>
      <w:r w:rsidRPr="00A058B6">
        <w:t xml:space="preserve"> </w:t>
      </w:r>
      <w:r w:rsidR="00E94EA5">
        <w:t>means</w:t>
      </w:r>
      <w:r w:rsidR="00E94EA5" w:rsidRPr="00A058B6">
        <w:t xml:space="preserve"> </w:t>
      </w:r>
      <w:r w:rsidRPr="00A058B6">
        <w:t>the value of the annual pension benefit payable in respect of the superannuation interest at the relevant date</w:t>
      </w:r>
      <w:r w:rsidR="00D7157D">
        <w:t>.</w:t>
      </w:r>
    </w:p>
    <w:p w14:paraId="6AC6F386" w14:textId="77777777" w:rsidR="00647C6B" w:rsidRPr="00A058B6" w:rsidRDefault="00647C6B" w:rsidP="00647C6B">
      <w:pPr>
        <w:pStyle w:val="Definition"/>
      </w:pPr>
      <w:r w:rsidRPr="00A058B6">
        <w:rPr>
          <w:b/>
          <w:i/>
        </w:rPr>
        <w:t>P</w:t>
      </w:r>
      <w:r w:rsidRPr="00A058B6">
        <w:rPr>
          <w:b/>
          <w:i/>
          <w:vertAlign w:val="subscript"/>
        </w:rPr>
        <w:t>y+m</w:t>
      </w:r>
      <w:r w:rsidRPr="00A058B6">
        <w:t xml:space="preserve"> </w:t>
      </w:r>
      <w:r w:rsidR="00E94EA5">
        <w:t>means</w:t>
      </w:r>
      <w:r w:rsidR="00E94EA5" w:rsidRPr="00A058B6">
        <w:t xml:space="preserve"> </w:t>
      </w:r>
      <w:r w:rsidRPr="00A058B6">
        <w:t xml:space="preserve">the pension valuation factor calculated in accordance with </w:t>
      </w:r>
      <w:r w:rsidR="00B05FD6">
        <w:t>subclause (</w:t>
      </w:r>
      <w:r w:rsidRPr="00A058B6">
        <w:t>2)</w:t>
      </w:r>
      <w:r w:rsidR="00D7157D">
        <w:t>.</w:t>
      </w:r>
    </w:p>
    <w:p w14:paraId="6D794BB2" w14:textId="77777777" w:rsidR="00647C6B" w:rsidRDefault="00647C6B" w:rsidP="00647C6B">
      <w:pPr>
        <w:pStyle w:val="subsection"/>
      </w:pPr>
      <w:r w:rsidRPr="00A058B6">
        <w:tab/>
        <w:t>(2)</w:t>
      </w:r>
      <w:r w:rsidRPr="00A058B6">
        <w:tab/>
        <w:t xml:space="preserve">For the purposes of </w:t>
      </w:r>
      <w:r w:rsidR="00B05FD6">
        <w:t>subclause (</w:t>
      </w:r>
      <w:r w:rsidRPr="00A058B6">
        <w:t>1), the pension valuation factor (</w:t>
      </w:r>
      <w:r w:rsidRPr="00A058B6">
        <w:rPr>
          <w:b/>
          <w:i/>
        </w:rPr>
        <w:t>P</w:t>
      </w:r>
      <w:r w:rsidRPr="00A058B6">
        <w:rPr>
          <w:b/>
          <w:i/>
          <w:vertAlign w:val="subscript"/>
        </w:rPr>
        <w:t>y+m</w:t>
      </w:r>
      <w:r w:rsidRPr="00A058B6">
        <w:t>) at the relevant date is:</w:t>
      </w:r>
    </w:p>
    <w:p w14:paraId="6159DAC8" w14:textId="2F892B35" w:rsidR="0099295D" w:rsidRPr="0099295D" w:rsidRDefault="008C11C8" w:rsidP="0099295D">
      <w:pPr>
        <w:pStyle w:val="subsection2"/>
      </w:pPr>
      <w:r w:rsidRPr="00467D4A">
        <w:rPr>
          <w:position w:val="-32"/>
        </w:rPr>
        <w:object w:dxaOrig="2920" w:dyaOrig="1060" w14:anchorId="4B30D562">
          <v:shape id="_x0000_i1097" type="#_x0000_t75" alt="Start formula start fraction open bracket P subscript y times open bracket 12 minus m close bracket close bracket plus open bracket P subscript y subscript plus subscript 1 times m close bracket over 12 end fraction end formula" style="width:146pt;height:53.5pt" o:ole="">
            <v:imagedata r:id="rId177" o:title=""/>
          </v:shape>
          <o:OLEObject Type="Embed" ProgID="Equation.DSMT4" ShapeID="_x0000_i1097" DrawAspect="Content" ObjectID="_1801634326" r:id="rId178"/>
        </w:object>
      </w:r>
    </w:p>
    <w:p w14:paraId="4F2B12E2" w14:textId="77777777" w:rsidR="00647C6B" w:rsidRPr="00A058B6" w:rsidRDefault="00647C6B" w:rsidP="00A1590A">
      <w:pPr>
        <w:pStyle w:val="subsection2"/>
      </w:pPr>
      <w:r w:rsidRPr="00A058B6">
        <w:t>where:</w:t>
      </w:r>
    </w:p>
    <w:p w14:paraId="428034FA" w14:textId="77777777" w:rsidR="00647C6B" w:rsidRPr="00A058B6" w:rsidRDefault="00647C6B" w:rsidP="00647C6B">
      <w:pPr>
        <w:pStyle w:val="Definition"/>
      </w:pPr>
      <w:r w:rsidRPr="00A058B6">
        <w:rPr>
          <w:b/>
          <w:i/>
        </w:rPr>
        <w:t>P</w:t>
      </w:r>
      <w:r w:rsidRPr="00A058B6">
        <w:rPr>
          <w:b/>
          <w:i/>
          <w:vertAlign w:val="subscript"/>
        </w:rPr>
        <w:t>y</w:t>
      </w:r>
      <w:r w:rsidRPr="00A058B6">
        <w:t xml:space="preserve"> </w:t>
      </w:r>
      <w:r w:rsidR="00E94EA5">
        <w:t>means</w:t>
      </w:r>
      <w:r w:rsidR="00E94EA5" w:rsidRPr="00A058B6">
        <w:t xml:space="preserve"> </w:t>
      </w:r>
      <w:r w:rsidRPr="00A058B6">
        <w:t xml:space="preserve">the pension valuation factor mentioned in </w:t>
      </w:r>
      <w:r w:rsidR="005A1165">
        <w:t>clause 3</w:t>
      </w:r>
      <w:r w:rsidRPr="00A058B6">
        <w:t xml:space="preserve"> of this Schedule that applies to the pension and the remaining term of the pension in complete years at the relevant date</w:t>
      </w:r>
      <w:r w:rsidR="00D7157D">
        <w:t>.</w:t>
      </w:r>
    </w:p>
    <w:p w14:paraId="4B7D4298" w14:textId="77777777" w:rsidR="00827AB7" w:rsidRPr="00A058B6" w:rsidRDefault="00827AB7" w:rsidP="00827AB7">
      <w:pPr>
        <w:pStyle w:val="Definition"/>
      </w:pPr>
      <w:r w:rsidRPr="00A058B6">
        <w:rPr>
          <w:b/>
          <w:i/>
        </w:rPr>
        <w:t>m</w:t>
      </w:r>
      <w:r w:rsidRPr="00A058B6">
        <w:t xml:space="preserve"> </w:t>
      </w:r>
      <w:r w:rsidR="00E94EA5">
        <w:t>means</w:t>
      </w:r>
      <w:r w:rsidR="00E94EA5" w:rsidRPr="00A058B6">
        <w:t xml:space="preserve"> </w:t>
      </w:r>
      <w:r w:rsidRPr="00A058B6">
        <w:t>the number of complete months of the remaining term of the pension that are not included in the remaining complete years at the relevant date</w:t>
      </w:r>
      <w:r w:rsidR="00D7157D">
        <w:t>.</w:t>
      </w:r>
    </w:p>
    <w:p w14:paraId="1F70B104" w14:textId="77777777" w:rsidR="00647C6B" w:rsidRPr="00A058B6" w:rsidRDefault="00647C6B" w:rsidP="00647C6B">
      <w:pPr>
        <w:pStyle w:val="Definition"/>
        <w:rPr>
          <w:snapToGrid w:val="0"/>
        </w:rPr>
      </w:pPr>
      <w:r w:rsidRPr="00A058B6">
        <w:rPr>
          <w:b/>
          <w:i/>
        </w:rPr>
        <w:t>P</w:t>
      </w:r>
      <w:r w:rsidR="00827AB7">
        <w:rPr>
          <w:b/>
          <w:i/>
          <w:vertAlign w:val="subscript"/>
        </w:rPr>
        <w:t>y</w:t>
      </w:r>
      <w:r w:rsidRPr="00A058B6">
        <w:rPr>
          <w:b/>
          <w:i/>
          <w:vertAlign w:val="subscript"/>
        </w:rPr>
        <w:t>+1</w:t>
      </w:r>
      <w:r w:rsidRPr="00A058B6">
        <w:t xml:space="preserve"> </w:t>
      </w:r>
      <w:r w:rsidR="00E94EA5">
        <w:t>means</w:t>
      </w:r>
      <w:r w:rsidR="00E94EA5" w:rsidRPr="00A058B6">
        <w:t xml:space="preserve"> </w:t>
      </w:r>
      <w:r w:rsidRPr="00A058B6">
        <w:rPr>
          <w:snapToGrid w:val="0"/>
        </w:rPr>
        <w:t xml:space="preserve">the pension valuation factor mentioned in </w:t>
      </w:r>
      <w:r w:rsidR="005A1165">
        <w:rPr>
          <w:snapToGrid w:val="0"/>
        </w:rPr>
        <w:t>clause 3</w:t>
      </w:r>
      <w:r w:rsidRPr="00A058B6">
        <w:rPr>
          <w:snapToGrid w:val="0"/>
        </w:rPr>
        <w:t xml:space="preserve"> of this Schedule that would apply to the pension if the remaining term of the pension at the relevant date were one year more than the actual remaining term of the pension at that date</w:t>
      </w:r>
      <w:r w:rsidR="00D7157D">
        <w:rPr>
          <w:snapToGrid w:val="0"/>
        </w:rPr>
        <w:t>.</w:t>
      </w:r>
    </w:p>
    <w:p w14:paraId="41439A3B" w14:textId="77777777" w:rsidR="00647C6B" w:rsidRPr="00A058B6" w:rsidRDefault="00647C6B" w:rsidP="00647C6B">
      <w:pPr>
        <w:pStyle w:val="ActHead5"/>
      </w:pPr>
      <w:bookmarkStart w:id="345" w:name="_Toc188350820"/>
      <w:r w:rsidRPr="00423C34">
        <w:rPr>
          <w:rStyle w:val="CharSectno"/>
        </w:rPr>
        <w:t>3</w:t>
      </w:r>
      <w:r w:rsidRPr="00A058B6">
        <w:t xml:space="preserve">  Pension valuation factors</w:t>
      </w:r>
      <w:bookmarkEnd w:id="345"/>
    </w:p>
    <w:p w14:paraId="5980909D" w14:textId="77777777" w:rsidR="0089095D" w:rsidRDefault="00647C6B" w:rsidP="0089095D">
      <w:pPr>
        <w:pStyle w:val="subsection"/>
      </w:pPr>
      <w:r w:rsidRPr="00A058B6">
        <w:tab/>
        <w:t>(1)</w:t>
      </w:r>
      <w:r w:rsidRPr="00A058B6">
        <w:tab/>
        <w:t xml:space="preserve">The table </w:t>
      </w:r>
      <w:r w:rsidR="00B63B90">
        <w:t>at the end of</w:t>
      </w:r>
      <w:r w:rsidRPr="00A058B6">
        <w:t xml:space="preserve"> this clause sets out the pension valuation factors</w:t>
      </w:r>
      <w:r w:rsidR="00D7157D">
        <w:t>.</w:t>
      </w:r>
      <w:r w:rsidR="0089095D">
        <w:t xml:space="preserve"> The columns of the table deal with the following:</w:t>
      </w:r>
    </w:p>
    <w:p w14:paraId="3438C64E" w14:textId="77777777" w:rsidR="0089095D" w:rsidRDefault="0089095D" w:rsidP="0089095D">
      <w:pPr>
        <w:pStyle w:val="paragraph"/>
      </w:pPr>
      <w:r>
        <w:tab/>
        <w:t>(a)</w:t>
      </w:r>
      <w:r>
        <w:tab/>
        <w:t>column 1 sets out the remaining term of the pension (in complete years);</w:t>
      </w:r>
    </w:p>
    <w:p w14:paraId="011C6E10" w14:textId="77777777" w:rsidR="0089095D" w:rsidRDefault="0089095D" w:rsidP="0089095D">
      <w:pPr>
        <w:pStyle w:val="paragraph"/>
      </w:pPr>
      <w:r>
        <w:tab/>
        <w:t>(b)</w:t>
      </w:r>
      <w:r>
        <w:tab/>
        <w:t>column 2 applies if the pension is not indexed;</w:t>
      </w:r>
    </w:p>
    <w:p w14:paraId="3AB7197B" w14:textId="77777777" w:rsidR="00A03A11" w:rsidRDefault="00A03A11" w:rsidP="00A03A11">
      <w:pPr>
        <w:pStyle w:val="paragraph"/>
      </w:pPr>
      <w:r>
        <w:tab/>
        <w:t>(</w:t>
      </w:r>
      <w:r w:rsidR="0073034C">
        <w:t>c</w:t>
      </w:r>
      <w:r>
        <w:t>)</w:t>
      </w:r>
      <w:r>
        <w:tab/>
        <w:t xml:space="preserve">column </w:t>
      </w:r>
      <w:r w:rsidR="001708D3">
        <w:t>3</w:t>
      </w:r>
      <w:r>
        <w:t xml:space="preserve"> applies if the pension is CPI indexed;</w:t>
      </w:r>
    </w:p>
    <w:p w14:paraId="1D5949F8" w14:textId="77777777" w:rsidR="0089095D" w:rsidRDefault="0089095D" w:rsidP="0089095D">
      <w:pPr>
        <w:pStyle w:val="paragraph"/>
      </w:pPr>
      <w:r>
        <w:tab/>
        <w:t>(</w:t>
      </w:r>
      <w:r w:rsidR="0073034C">
        <w:t>d</w:t>
      </w:r>
      <w:r>
        <w:t>)</w:t>
      </w:r>
      <w:r>
        <w:tab/>
        <w:t xml:space="preserve">column </w:t>
      </w:r>
      <w:r w:rsidR="001708D3">
        <w:t>4</w:t>
      </w:r>
      <w:r>
        <w:t xml:space="preserve"> applies if the pension is </w:t>
      </w:r>
      <w:r w:rsidRPr="00D35CE4">
        <w:rPr>
          <w:szCs w:val="22"/>
        </w:rPr>
        <w:t>CPI indexed with a 5% cap</w:t>
      </w:r>
      <w:r>
        <w:t>;</w:t>
      </w:r>
    </w:p>
    <w:p w14:paraId="05777C93" w14:textId="77777777" w:rsidR="00767432" w:rsidRDefault="00767432" w:rsidP="00767432">
      <w:pPr>
        <w:pStyle w:val="paragraph"/>
      </w:pPr>
      <w:r>
        <w:tab/>
        <w:t>(</w:t>
      </w:r>
      <w:r w:rsidR="0073034C">
        <w:t>e</w:t>
      </w:r>
      <w:r>
        <w:t>)</w:t>
      </w:r>
      <w:r>
        <w:tab/>
        <w:t xml:space="preserve">column </w:t>
      </w:r>
      <w:r w:rsidR="001708D3">
        <w:t>5</w:t>
      </w:r>
      <w:r>
        <w:t xml:space="preserve"> applies if the pension is CPI indexed plus 1%;</w:t>
      </w:r>
    </w:p>
    <w:p w14:paraId="53F2BFD5" w14:textId="77777777" w:rsidR="0089095D" w:rsidRDefault="0089095D" w:rsidP="0089095D">
      <w:pPr>
        <w:pStyle w:val="paragraph"/>
      </w:pPr>
      <w:r>
        <w:tab/>
        <w:t>(</w:t>
      </w:r>
      <w:r w:rsidR="0073034C">
        <w:t>f</w:t>
      </w:r>
      <w:r>
        <w:t>)</w:t>
      </w:r>
      <w:r>
        <w:tab/>
        <w:t xml:space="preserve">column </w:t>
      </w:r>
      <w:r w:rsidR="001708D3">
        <w:t>6</w:t>
      </w:r>
      <w:r>
        <w:t xml:space="preserve"> applies if the pension is CPI indexed plus 1% with a 5% cap;</w:t>
      </w:r>
    </w:p>
    <w:p w14:paraId="22B64392" w14:textId="77777777" w:rsidR="0089095D" w:rsidRDefault="0089095D" w:rsidP="0089095D">
      <w:pPr>
        <w:pStyle w:val="paragraph"/>
      </w:pPr>
      <w:r>
        <w:tab/>
        <w:t>(g)</w:t>
      </w:r>
      <w:r>
        <w:tab/>
        <w:t>column 7 applies if the pension is indexed at 3%;</w:t>
      </w:r>
    </w:p>
    <w:p w14:paraId="454AEED0" w14:textId="77777777" w:rsidR="0089095D" w:rsidRDefault="0089095D" w:rsidP="0089095D">
      <w:pPr>
        <w:pStyle w:val="paragraph"/>
      </w:pPr>
      <w:r>
        <w:tab/>
        <w:t>(h)</w:t>
      </w:r>
      <w:r>
        <w:tab/>
        <w:t>column 8 applies if the pension is a wage indexed pension;</w:t>
      </w:r>
    </w:p>
    <w:p w14:paraId="66B872EF" w14:textId="77777777" w:rsidR="0089095D" w:rsidRDefault="0089095D" w:rsidP="0089095D">
      <w:pPr>
        <w:pStyle w:val="paragraph"/>
      </w:pPr>
      <w:r>
        <w:tab/>
        <w:t>(i)</w:t>
      </w:r>
      <w:r>
        <w:tab/>
        <w:t>column 9 applies if the pension is indexed at 4%;</w:t>
      </w:r>
    </w:p>
    <w:p w14:paraId="4D1E1EB4" w14:textId="77777777" w:rsidR="0089095D" w:rsidRDefault="0089095D" w:rsidP="0089095D">
      <w:pPr>
        <w:pStyle w:val="paragraph"/>
      </w:pPr>
      <w:r>
        <w:tab/>
        <w:t>(j)</w:t>
      </w:r>
      <w:r>
        <w:tab/>
        <w:t>column 10 applies if the pension is indexed at 5%</w:t>
      </w:r>
      <w:r w:rsidR="00D7157D">
        <w:t>.</w:t>
      </w:r>
    </w:p>
    <w:p w14:paraId="178CBE1A" w14:textId="77777777" w:rsidR="00D57B96" w:rsidRDefault="00647C6B" w:rsidP="00647C6B">
      <w:pPr>
        <w:pStyle w:val="subsection"/>
      </w:pPr>
      <w:r w:rsidRPr="00A058B6">
        <w:tab/>
        <w:t>(2)</w:t>
      </w:r>
      <w:r w:rsidRPr="00A058B6">
        <w:tab/>
      </w:r>
      <w:r w:rsidR="003523C1">
        <w:t xml:space="preserve">In this </w:t>
      </w:r>
      <w:r w:rsidR="00D57B96">
        <w:t>clause:</w:t>
      </w:r>
    </w:p>
    <w:p w14:paraId="0D65B5B4" w14:textId="77777777" w:rsidR="00D57B96" w:rsidRDefault="00D57B96" w:rsidP="00D57B96">
      <w:pPr>
        <w:pStyle w:val="Definition"/>
      </w:pPr>
      <w:r w:rsidRPr="00D57B96">
        <w:rPr>
          <w:b/>
          <w:i/>
        </w:rPr>
        <w:t>CPI</w:t>
      </w:r>
      <w:r>
        <w:t xml:space="preserve"> means the consumer price index</w:t>
      </w:r>
      <w:r w:rsidR="00D7157D">
        <w:t>.</w:t>
      </w:r>
    </w:p>
    <w:p w14:paraId="11F86E18" w14:textId="77777777" w:rsidR="00D57B96" w:rsidRDefault="00D57B96" w:rsidP="00D57B96">
      <w:pPr>
        <w:pStyle w:val="Definition"/>
      </w:pPr>
      <w:r w:rsidRPr="00025369">
        <w:rPr>
          <w:b/>
          <w:i/>
        </w:rPr>
        <w:t>wage indexed pension</w:t>
      </w:r>
      <w:r>
        <w:t xml:space="preserve"> means a pension indexed </w:t>
      </w:r>
      <w:r w:rsidR="00025369">
        <w:t xml:space="preserve">in accordance with </w:t>
      </w:r>
      <w:r w:rsidR="00025369" w:rsidRPr="009158D7">
        <w:t>a general wage index (for example, average weekly earnings, or average</w:t>
      </w:r>
      <w:r w:rsidR="00025369" w:rsidRPr="00A058B6">
        <w:t xml:space="preserve"> weekly ordinary time earnings, published by the Australian Bureau of Statistics)</w:t>
      </w:r>
      <w:r w:rsidR="00D7157D">
        <w:t>.</w:t>
      </w:r>
    </w:p>
    <w:p w14:paraId="02A44EF0" w14:textId="77777777" w:rsidR="00D93A6D" w:rsidRPr="00D93A6D" w:rsidRDefault="00D93A6D" w:rsidP="00D93A6D">
      <w:pPr>
        <w:pStyle w:val="Tabletext"/>
      </w:pPr>
    </w:p>
    <w:tbl>
      <w:tblPr>
        <w:tblW w:w="5031" w:type="pct"/>
        <w:tblLayout w:type="fixed"/>
        <w:tblLook w:val="0000" w:firstRow="0" w:lastRow="0" w:firstColumn="0" w:lastColumn="0" w:noHBand="0" w:noVBand="0"/>
      </w:tblPr>
      <w:tblGrid>
        <w:gridCol w:w="707"/>
        <w:gridCol w:w="846"/>
        <w:gridCol w:w="851"/>
        <w:gridCol w:w="852"/>
        <w:gridCol w:w="850"/>
        <w:gridCol w:w="852"/>
        <w:gridCol w:w="850"/>
        <w:gridCol w:w="852"/>
        <w:gridCol w:w="852"/>
        <w:gridCol w:w="853"/>
      </w:tblGrid>
      <w:tr w:rsidR="00D93A6D" w:rsidRPr="00163126" w14:paraId="4EFCF00D" w14:textId="77777777" w:rsidTr="005D44B1">
        <w:trPr>
          <w:cantSplit/>
          <w:trHeight w:val="188"/>
          <w:tblHeader/>
        </w:trPr>
        <w:tc>
          <w:tcPr>
            <w:tcW w:w="423" w:type="pct"/>
            <w:vMerge w:val="restart"/>
            <w:tcBorders>
              <w:top w:val="single" w:sz="12" w:space="0" w:color="auto"/>
              <w:left w:val="nil"/>
              <w:bottom w:val="single" w:sz="12" w:space="0" w:color="auto"/>
              <w:right w:val="nil"/>
            </w:tcBorders>
          </w:tcPr>
          <w:p w14:paraId="7474F3D9" w14:textId="77777777" w:rsidR="00D93A6D" w:rsidRPr="0026599A" w:rsidRDefault="00D93A6D" w:rsidP="00984E17">
            <w:pPr>
              <w:pStyle w:val="TableHeading"/>
            </w:pPr>
            <w:r w:rsidRPr="0026599A">
              <w:t>R</w:t>
            </w:r>
            <w:r>
              <w:t>T</w:t>
            </w:r>
            <w:r w:rsidRPr="0026599A">
              <w:t>P</w:t>
            </w:r>
          </w:p>
        </w:tc>
        <w:tc>
          <w:tcPr>
            <w:tcW w:w="4577" w:type="pct"/>
            <w:gridSpan w:val="9"/>
            <w:tcBorders>
              <w:top w:val="single" w:sz="12" w:space="0" w:color="auto"/>
              <w:left w:val="nil"/>
              <w:bottom w:val="single" w:sz="4" w:space="0" w:color="auto"/>
              <w:right w:val="nil"/>
            </w:tcBorders>
          </w:tcPr>
          <w:p w14:paraId="45BBC18C" w14:textId="77777777" w:rsidR="00D93A6D" w:rsidRPr="00163126" w:rsidRDefault="00D93A6D" w:rsidP="00984E17">
            <w:pPr>
              <w:pStyle w:val="TableHeading"/>
            </w:pPr>
            <w:r>
              <w:t>Pension</w:t>
            </w:r>
            <w:r w:rsidRPr="00163126">
              <w:t xml:space="preserve"> valuation factors</w:t>
            </w:r>
          </w:p>
        </w:tc>
      </w:tr>
      <w:tr w:rsidR="00D93A6D" w:rsidRPr="0026599A" w14:paraId="1B4EAEE0" w14:textId="77777777" w:rsidTr="00665239">
        <w:trPr>
          <w:trHeight w:val="187"/>
          <w:tblHeader/>
        </w:trPr>
        <w:tc>
          <w:tcPr>
            <w:tcW w:w="423" w:type="pct"/>
            <w:vMerge/>
            <w:tcBorders>
              <w:top w:val="nil"/>
              <w:left w:val="nil"/>
              <w:bottom w:val="single" w:sz="12" w:space="0" w:color="auto"/>
              <w:right w:val="nil"/>
            </w:tcBorders>
          </w:tcPr>
          <w:p w14:paraId="5891F48B" w14:textId="77777777" w:rsidR="00D93A6D" w:rsidRPr="00A058B6" w:rsidRDefault="00D93A6D" w:rsidP="00984E17">
            <w:pPr>
              <w:pStyle w:val="TableHeading"/>
              <w:rPr>
                <w:sz w:val="17"/>
                <w:szCs w:val="17"/>
              </w:rPr>
            </w:pPr>
          </w:p>
        </w:tc>
        <w:tc>
          <w:tcPr>
            <w:tcW w:w="506" w:type="pct"/>
            <w:tcBorders>
              <w:top w:val="single" w:sz="4" w:space="0" w:color="auto"/>
              <w:left w:val="nil"/>
              <w:bottom w:val="single" w:sz="12" w:space="0" w:color="auto"/>
              <w:right w:val="nil"/>
            </w:tcBorders>
          </w:tcPr>
          <w:p w14:paraId="725F5FD2" w14:textId="77777777" w:rsidR="00D93A6D" w:rsidRPr="0026599A" w:rsidRDefault="00D93A6D" w:rsidP="00984E17">
            <w:pPr>
              <w:pStyle w:val="TableHeading"/>
            </w:pPr>
            <w:r w:rsidRPr="0026599A">
              <w:t>2</w:t>
            </w:r>
          </w:p>
          <w:p w14:paraId="4FEBE7A2" w14:textId="77777777" w:rsidR="00D93A6D" w:rsidRPr="0026599A" w:rsidRDefault="00D93A6D" w:rsidP="00984E17">
            <w:pPr>
              <w:pStyle w:val="TableHeading"/>
            </w:pPr>
          </w:p>
        </w:tc>
        <w:tc>
          <w:tcPr>
            <w:tcW w:w="509" w:type="pct"/>
            <w:tcBorders>
              <w:top w:val="single" w:sz="4" w:space="0" w:color="auto"/>
              <w:left w:val="nil"/>
              <w:bottom w:val="single" w:sz="12" w:space="0" w:color="auto"/>
              <w:right w:val="nil"/>
            </w:tcBorders>
          </w:tcPr>
          <w:p w14:paraId="282224DE" w14:textId="77777777" w:rsidR="00D93A6D" w:rsidRPr="0026599A" w:rsidRDefault="00D93A6D" w:rsidP="00984E17">
            <w:pPr>
              <w:pStyle w:val="TableHeading"/>
            </w:pPr>
            <w:r w:rsidRPr="0026599A">
              <w:t>3</w:t>
            </w:r>
          </w:p>
          <w:p w14:paraId="40ED2B85" w14:textId="77777777" w:rsidR="00D93A6D" w:rsidRPr="0026599A" w:rsidRDefault="00D93A6D" w:rsidP="00984E17">
            <w:pPr>
              <w:pStyle w:val="TableHeading"/>
            </w:pPr>
          </w:p>
        </w:tc>
        <w:tc>
          <w:tcPr>
            <w:tcW w:w="509" w:type="pct"/>
            <w:tcBorders>
              <w:top w:val="single" w:sz="4" w:space="0" w:color="auto"/>
              <w:left w:val="nil"/>
              <w:bottom w:val="single" w:sz="12" w:space="0" w:color="auto"/>
              <w:right w:val="nil"/>
            </w:tcBorders>
          </w:tcPr>
          <w:p w14:paraId="65AB631B" w14:textId="77777777" w:rsidR="00D93A6D" w:rsidRPr="0026599A" w:rsidRDefault="00D93A6D" w:rsidP="00984E17">
            <w:pPr>
              <w:pStyle w:val="TableHeading"/>
            </w:pPr>
            <w:r w:rsidRPr="0026599A">
              <w:t>4</w:t>
            </w:r>
          </w:p>
          <w:p w14:paraId="7B06022F" w14:textId="77777777" w:rsidR="00D93A6D" w:rsidRPr="0026599A" w:rsidRDefault="00D93A6D" w:rsidP="00984E17">
            <w:pPr>
              <w:pStyle w:val="TableHeading"/>
            </w:pPr>
          </w:p>
        </w:tc>
        <w:tc>
          <w:tcPr>
            <w:tcW w:w="508" w:type="pct"/>
            <w:tcBorders>
              <w:top w:val="single" w:sz="4" w:space="0" w:color="auto"/>
              <w:left w:val="nil"/>
              <w:bottom w:val="single" w:sz="12" w:space="0" w:color="auto"/>
              <w:right w:val="nil"/>
            </w:tcBorders>
          </w:tcPr>
          <w:p w14:paraId="308EBD2F" w14:textId="77777777" w:rsidR="00D93A6D" w:rsidRPr="0026599A" w:rsidRDefault="00D93A6D" w:rsidP="00984E17">
            <w:pPr>
              <w:pStyle w:val="TableHeading"/>
            </w:pPr>
            <w:r w:rsidRPr="0026599A">
              <w:t>5</w:t>
            </w:r>
          </w:p>
          <w:p w14:paraId="6EFC9481" w14:textId="77777777" w:rsidR="00D93A6D" w:rsidRPr="0026599A" w:rsidRDefault="00D93A6D" w:rsidP="00984E17">
            <w:pPr>
              <w:pStyle w:val="TableHeading"/>
            </w:pPr>
          </w:p>
        </w:tc>
        <w:tc>
          <w:tcPr>
            <w:tcW w:w="509" w:type="pct"/>
            <w:tcBorders>
              <w:top w:val="single" w:sz="4" w:space="0" w:color="auto"/>
              <w:left w:val="nil"/>
              <w:bottom w:val="single" w:sz="12" w:space="0" w:color="auto"/>
              <w:right w:val="nil"/>
            </w:tcBorders>
          </w:tcPr>
          <w:p w14:paraId="6ADA104C" w14:textId="77777777" w:rsidR="00D93A6D" w:rsidRPr="0026599A" w:rsidRDefault="00D93A6D" w:rsidP="00984E17">
            <w:pPr>
              <w:pStyle w:val="TableHeading"/>
            </w:pPr>
            <w:r w:rsidRPr="0026599A">
              <w:t>6</w:t>
            </w:r>
          </w:p>
          <w:p w14:paraId="4AB02221" w14:textId="77777777" w:rsidR="00D93A6D" w:rsidRPr="0026599A" w:rsidRDefault="00D93A6D" w:rsidP="00984E17">
            <w:pPr>
              <w:pStyle w:val="TableHeading"/>
            </w:pPr>
          </w:p>
        </w:tc>
        <w:tc>
          <w:tcPr>
            <w:tcW w:w="508" w:type="pct"/>
            <w:tcBorders>
              <w:top w:val="single" w:sz="4" w:space="0" w:color="auto"/>
              <w:left w:val="nil"/>
              <w:bottom w:val="single" w:sz="12" w:space="0" w:color="auto"/>
              <w:right w:val="nil"/>
            </w:tcBorders>
          </w:tcPr>
          <w:p w14:paraId="621A22D4" w14:textId="77777777" w:rsidR="00D93A6D" w:rsidRPr="0026599A" w:rsidRDefault="00D93A6D" w:rsidP="00984E17">
            <w:pPr>
              <w:pStyle w:val="TableHeading"/>
            </w:pPr>
            <w:r w:rsidRPr="0026599A">
              <w:t>7</w:t>
            </w:r>
          </w:p>
          <w:p w14:paraId="1FB70CDD" w14:textId="77777777" w:rsidR="00D93A6D" w:rsidRPr="0026599A" w:rsidRDefault="00D93A6D" w:rsidP="00984E17">
            <w:pPr>
              <w:pStyle w:val="TableHeading"/>
            </w:pPr>
          </w:p>
        </w:tc>
        <w:tc>
          <w:tcPr>
            <w:tcW w:w="509" w:type="pct"/>
            <w:tcBorders>
              <w:top w:val="single" w:sz="4" w:space="0" w:color="auto"/>
              <w:left w:val="nil"/>
              <w:bottom w:val="single" w:sz="12" w:space="0" w:color="auto"/>
              <w:right w:val="nil"/>
            </w:tcBorders>
          </w:tcPr>
          <w:p w14:paraId="4C7538B3" w14:textId="77777777" w:rsidR="00D93A6D" w:rsidRPr="0026599A" w:rsidRDefault="00D93A6D" w:rsidP="00984E17">
            <w:pPr>
              <w:pStyle w:val="TableHeading"/>
            </w:pPr>
            <w:r>
              <w:t>8</w:t>
            </w:r>
          </w:p>
        </w:tc>
        <w:tc>
          <w:tcPr>
            <w:tcW w:w="509" w:type="pct"/>
            <w:tcBorders>
              <w:top w:val="single" w:sz="4" w:space="0" w:color="auto"/>
              <w:left w:val="nil"/>
              <w:bottom w:val="single" w:sz="12" w:space="0" w:color="auto"/>
              <w:right w:val="nil"/>
            </w:tcBorders>
          </w:tcPr>
          <w:p w14:paraId="480D10A1" w14:textId="77777777" w:rsidR="00D93A6D" w:rsidRPr="0026599A" w:rsidRDefault="00D93A6D" w:rsidP="00984E17">
            <w:pPr>
              <w:pStyle w:val="TableHeading"/>
            </w:pPr>
            <w:r>
              <w:t>9</w:t>
            </w:r>
          </w:p>
          <w:p w14:paraId="3843D604" w14:textId="77777777" w:rsidR="00D93A6D" w:rsidRPr="0026599A" w:rsidRDefault="00D93A6D" w:rsidP="00984E17">
            <w:pPr>
              <w:pStyle w:val="TableHeading"/>
            </w:pPr>
          </w:p>
        </w:tc>
        <w:tc>
          <w:tcPr>
            <w:tcW w:w="510" w:type="pct"/>
            <w:tcBorders>
              <w:top w:val="single" w:sz="4" w:space="0" w:color="auto"/>
              <w:left w:val="nil"/>
              <w:bottom w:val="single" w:sz="12" w:space="0" w:color="auto"/>
              <w:right w:val="nil"/>
            </w:tcBorders>
          </w:tcPr>
          <w:p w14:paraId="1D763604" w14:textId="77777777" w:rsidR="00D93A6D" w:rsidRPr="0026599A" w:rsidRDefault="00D93A6D" w:rsidP="00984E17">
            <w:pPr>
              <w:pStyle w:val="TableHeading"/>
            </w:pPr>
            <w:r>
              <w:t>10</w:t>
            </w:r>
          </w:p>
          <w:p w14:paraId="5B02F3C5" w14:textId="77777777" w:rsidR="00D93A6D" w:rsidRPr="0026599A" w:rsidRDefault="00D93A6D" w:rsidP="00984E17">
            <w:pPr>
              <w:pStyle w:val="TableHeading"/>
            </w:pPr>
          </w:p>
        </w:tc>
      </w:tr>
      <w:tr w:rsidR="00196507" w:rsidRPr="00DF2EC8" w14:paraId="7FE93D3B" w14:textId="77777777" w:rsidTr="00871911">
        <w:tc>
          <w:tcPr>
            <w:tcW w:w="423" w:type="pct"/>
            <w:tcBorders>
              <w:top w:val="single" w:sz="12" w:space="0" w:color="auto"/>
              <w:left w:val="nil"/>
              <w:bottom w:val="single" w:sz="4" w:space="0" w:color="auto"/>
              <w:right w:val="nil"/>
            </w:tcBorders>
          </w:tcPr>
          <w:p w14:paraId="349786D7" w14:textId="77777777" w:rsidR="00196507" w:rsidRPr="00A058B6" w:rsidRDefault="00196507" w:rsidP="00196507">
            <w:pPr>
              <w:pStyle w:val="Tabletext"/>
            </w:pPr>
            <w:r w:rsidRPr="00A058B6">
              <w:t>0</w:t>
            </w:r>
          </w:p>
        </w:tc>
        <w:tc>
          <w:tcPr>
            <w:tcW w:w="506" w:type="pct"/>
            <w:tcBorders>
              <w:top w:val="single" w:sz="12" w:space="0" w:color="auto"/>
              <w:left w:val="nil"/>
              <w:bottom w:val="single" w:sz="4" w:space="0" w:color="auto"/>
              <w:right w:val="nil"/>
            </w:tcBorders>
            <w:shd w:val="clear" w:color="auto" w:fill="auto"/>
          </w:tcPr>
          <w:p w14:paraId="341CBA2D" w14:textId="77777777" w:rsidR="00196507" w:rsidRPr="00A058B6" w:rsidRDefault="00196507" w:rsidP="00196507">
            <w:pPr>
              <w:pStyle w:val="Tabletext"/>
            </w:pPr>
            <w:r w:rsidRPr="00A058B6">
              <w:t>0</w:t>
            </w:r>
            <w:r w:rsidR="00D7157D">
              <w:t>.</w:t>
            </w:r>
            <w:r w:rsidRPr="00A058B6">
              <w:t>000</w:t>
            </w:r>
          </w:p>
        </w:tc>
        <w:tc>
          <w:tcPr>
            <w:tcW w:w="509" w:type="pct"/>
            <w:tcBorders>
              <w:top w:val="single" w:sz="12" w:space="0" w:color="auto"/>
              <w:left w:val="nil"/>
              <w:bottom w:val="single" w:sz="4" w:space="0" w:color="auto"/>
              <w:right w:val="nil"/>
            </w:tcBorders>
            <w:shd w:val="clear" w:color="auto" w:fill="auto"/>
          </w:tcPr>
          <w:p w14:paraId="4D1F228B" w14:textId="77777777" w:rsidR="00196507" w:rsidRPr="00A058B6" w:rsidRDefault="00196507" w:rsidP="00196507">
            <w:pPr>
              <w:pStyle w:val="Tabletext"/>
            </w:pPr>
            <w:r w:rsidRPr="00A058B6">
              <w:t>0</w:t>
            </w:r>
            <w:r w:rsidR="00D7157D">
              <w:t>.</w:t>
            </w:r>
            <w:r w:rsidRPr="00A058B6">
              <w:t>000</w:t>
            </w:r>
          </w:p>
        </w:tc>
        <w:tc>
          <w:tcPr>
            <w:tcW w:w="509" w:type="pct"/>
            <w:tcBorders>
              <w:top w:val="single" w:sz="12" w:space="0" w:color="auto"/>
              <w:left w:val="nil"/>
              <w:bottom w:val="single" w:sz="4" w:space="0" w:color="auto"/>
              <w:right w:val="nil"/>
            </w:tcBorders>
            <w:shd w:val="clear" w:color="auto" w:fill="auto"/>
          </w:tcPr>
          <w:p w14:paraId="3E7D124D" w14:textId="77777777" w:rsidR="00196507" w:rsidRPr="00A058B6" w:rsidRDefault="00196507" w:rsidP="00196507">
            <w:pPr>
              <w:pStyle w:val="Tabletext"/>
            </w:pPr>
            <w:r w:rsidRPr="00A058B6">
              <w:t>0</w:t>
            </w:r>
            <w:r w:rsidR="00D7157D">
              <w:t>.</w:t>
            </w:r>
            <w:r w:rsidRPr="00A058B6">
              <w:t>000</w:t>
            </w:r>
          </w:p>
        </w:tc>
        <w:tc>
          <w:tcPr>
            <w:tcW w:w="508" w:type="pct"/>
            <w:tcBorders>
              <w:top w:val="single" w:sz="12" w:space="0" w:color="auto"/>
              <w:left w:val="nil"/>
              <w:bottom w:val="single" w:sz="4" w:space="0" w:color="auto"/>
              <w:right w:val="nil"/>
            </w:tcBorders>
            <w:shd w:val="clear" w:color="auto" w:fill="auto"/>
          </w:tcPr>
          <w:p w14:paraId="5F33EBB6" w14:textId="77777777" w:rsidR="00196507" w:rsidRPr="00A058B6" w:rsidRDefault="00196507" w:rsidP="00196507">
            <w:pPr>
              <w:pStyle w:val="Tabletext"/>
            </w:pPr>
            <w:r w:rsidRPr="00A058B6">
              <w:t>0</w:t>
            </w:r>
            <w:r w:rsidR="00D7157D">
              <w:t>.</w:t>
            </w:r>
            <w:r w:rsidRPr="00A058B6">
              <w:t>000</w:t>
            </w:r>
          </w:p>
        </w:tc>
        <w:tc>
          <w:tcPr>
            <w:tcW w:w="509" w:type="pct"/>
            <w:tcBorders>
              <w:top w:val="single" w:sz="12" w:space="0" w:color="auto"/>
              <w:left w:val="nil"/>
              <w:bottom w:val="single" w:sz="4" w:space="0" w:color="auto"/>
              <w:right w:val="nil"/>
            </w:tcBorders>
            <w:shd w:val="clear" w:color="auto" w:fill="auto"/>
          </w:tcPr>
          <w:p w14:paraId="65E699DA" w14:textId="77777777" w:rsidR="00196507" w:rsidRPr="00A058B6" w:rsidRDefault="00196507" w:rsidP="00196507">
            <w:pPr>
              <w:pStyle w:val="Tabletext"/>
            </w:pPr>
            <w:r w:rsidRPr="00A058B6">
              <w:t>0</w:t>
            </w:r>
            <w:r w:rsidR="00D7157D">
              <w:t>.</w:t>
            </w:r>
            <w:r w:rsidRPr="00A058B6">
              <w:t>000</w:t>
            </w:r>
          </w:p>
        </w:tc>
        <w:tc>
          <w:tcPr>
            <w:tcW w:w="508" w:type="pct"/>
            <w:tcBorders>
              <w:top w:val="single" w:sz="12" w:space="0" w:color="auto"/>
              <w:left w:val="nil"/>
              <w:bottom w:val="single" w:sz="4" w:space="0" w:color="auto"/>
              <w:right w:val="nil"/>
            </w:tcBorders>
            <w:shd w:val="clear" w:color="auto" w:fill="auto"/>
          </w:tcPr>
          <w:p w14:paraId="5AA9403F" w14:textId="77777777" w:rsidR="00196507" w:rsidRPr="00A058B6" w:rsidRDefault="00196507" w:rsidP="00196507">
            <w:pPr>
              <w:pStyle w:val="Tabletext"/>
            </w:pPr>
            <w:r w:rsidRPr="00A058B6">
              <w:t>0</w:t>
            </w:r>
            <w:r w:rsidR="00D7157D">
              <w:t>.</w:t>
            </w:r>
            <w:r w:rsidRPr="00A058B6">
              <w:t>000</w:t>
            </w:r>
          </w:p>
        </w:tc>
        <w:tc>
          <w:tcPr>
            <w:tcW w:w="509" w:type="pct"/>
            <w:tcBorders>
              <w:top w:val="single" w:sz="12" w:space="0" w:color="auto"/>
              <w:left w:val="nil"/>
              <w:bottom w:val="single" w:sz="4" w:space="0" w:color="auto"/>
              <w:right w:val="nil"/>
            </w:tcBorders>
            <w:vAlign w:val="bottom"/>
          </w:tcPr>
          <w:p w14:paraId="2A129AFD"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000</w:t>
            </w:r>
          </w:p>
        </w:tc>
        <w:tc>
          <w:tcPr>
            <w:tcW w:w="509" w:type="pct"/>
            <w:tcBorders>
              <w:top w:val="single" w:sz="12" w:space="0" w:color="auto"/>
              <w:left w:val="nil"/>
              <w:bottom w:val="single" w:sz="4" w:space="0" w:color="auto"/>
              <w:right w:val="nil"/>
            </w:tcBorders>
            <w:shd w:val="clear" w:color="auto" w:fill="auto"/>
          </w:tcPr>
          <w:p w14:paraId="26D0972E" w14:textId="77777777" w:rsidR="00196507" w:rsidRPr="00A058B6" w:rsidRDefault="00196507" w:rsidP="00196507">
            <w:pPr>
              <w:pStyle w:val="Tabletext"/>
            </w:pPr>
            <w:r w:rsidRPr="00A058B6">
              <w:t>0</w:t>
            </w:r>
            <w:r w:rsidR="00D7157D">
              <w:t>.</w:t>
            </w:r>
            <w:r w:rsidRPr="00A058B6">
              <w:t>000</w:t>
            </w:r>
          </w:p>
        </w:tc>
        <w:tc>
          <w:tcPr>
            <w:tcW w:w="510" w:type="pct"/>
            <w:tcBorders>
              <w:top w:val="single" w:sz="12" w:space="0" w:color="auto"/>
              <w:left w:val="nil"/>
              <w:bottom w:val="single" w:sz="4" w:space="0" w:color="auto"/>
              <w:right w:val="nil"/>
            </w:tcBorders>
            <w:shd w:val="clear" w:color="auto" w:fill="auto"/>
          </w:tcPr>
          <w:p w14:paraId="2B448D30" w14:textId="77777777" w:rsidR="00196507" w:rsidRPr="00A058B6" w:rsidRDefault="00196507" w:rsidP="00196507">
            <w:pPr>
              <w:pStyle w:val="Tabletext"/>
            </w:pPr>
            <w:r w:rsidRPr="00A058B6">
              <w:t>0</w:t>
            </w:r>
            <w:r w:rsidR="00D7157D">
              <w:t>.</w:t>
            </w:r>
            <w:r w:rsidRPr="00A058B6">
              <w:t>000</w:t>
            </w:r>
          </w:p>
        </w:tc>
      </w:tr>
      <w:tr w:rsidR="00196507" w:rsidRPr="00DF2EC8" w14:paraId="5D15EAF1" w14:textId="77777777" w:rsidTr="00871911">
        <w:tc>
          <w:tcPr>
            <w:tcW w:w="423" w:type="pct"/>
            <w:tcBorders>
              <w:top w:val="single" w:sz="4" w:space="0" w:color="auto"/>
              <w:left w:val="nil"/>
              <w:bottom w:val="single" w:sz="4" w:space="0" w:color="auto"/>
              <w:right w:val="nil"/>
            </w:tcBorders>
          </w:tcPr>
          <w:p w14:paraId="31DEF59F" w14:textId="77777777" w:rsidR="00196507" w:rsidRPr="00A058B6" w:rsidRDefault="00196507" w:rsidP="00196507">
            <w:pPr>
              <w:pStyle w:val="Tabletext"/>
            </w:pPr>
            <w:r>
              <w:t>1</w:t>
            </w:r>
          </w:p>
        </w:tc>
        <w:tc>
          <w:tcPr>
            <w:tcW w:w="506" w:type="pct"/>
            <w:tcBorders>
              <w:top w:val="single" w:sz="4" w:space="0" w:color="auto"/>
              <w:left w:val="nil"/>
              <w:bottom w:val="single" w:sz="4" w:space="0" w:color="auto"/>
              <w:right w:val="nil"/>
            </w:tcBorders>
            <w:shd w:val="clear" w:color="auto" w:fill="auto"/>
            <w:vAlign w:val="bottom"/>
          </w:tcPr>
          <w:p w14:paraId="5181B1E6" w14:textId="77777777" w:rsidR="00196507" w:rsidRPr="000F120F" w:rsidRDefault="00196507" w:rsidP="00196507">
            <w:pPr>
              <w:pStyle w:val="Tabletext"/>
            </w:pPr>
            <w:r w:rsidRPr="00295986">
              <w:t>0</w:t>
            </w:r>
            <w:r w:rsidR="00D7157D">
              <w:t>.</w:t>
            </w:r>
            <w:r w:rsidRPr="00295986">
              <w:t>971</w:t>
            </w:r>
          </w:p>
        </w:tc>
        <w:tc>
          <w:tcPr>
            <w:tcW w:w="509" w:type="pct"/>
            <w:tcBorders>
              <w:top w:val="single" w:sz="4" w:space="0" w:color="auto"/>
              <w:left w:val="nil"/>
              <w:bottom w:val="single" w:sz="4" w:space="0" w:color="auto"/>
              <w:right w:val="nil"/>
            </w:tcBorders>
            <w:shd w:val="clear" w:color="auto" w:fill="auto"/>
            <w:vAlign w:val="bottom"/>
          </w:tcPr>
          <w:p w14:paraId="779295EC" w14:textId="77777777" w:rsidR="00196507" w:rsidRPr="000F120F" w:rsidRDefault="00196507" w:rsidP="00196507">
            <w:pPr>
              <w:pStyle w:val="Tabletext"/>
            </w:pPr>
            <w:r w:rsidRPr="00295986">
              <w:t>0</w:t>
            </w:r>
            <w:r w:rsidR="00D7157D">
              <w:t>.</w:t>
            </w:r>
            <w:r w:rsidRPr="00295986">
              <w:t>983</w:t>
            </w:r>
          </w:p>
        </w:tc>
        <w:tc>
          <w:tcPr>
            <w:tcW w:w="509" w:type="pct"/>
            <w:tcBorders>
              <w:top w:val="single" w:sz="4" w:space="0" w:color="auto"/>
              <w:left w:val="nil"/>
              <w:bottom w:val="single" w:sz="4" w:space="0" w:color="auto"/>
              <w:right w:val="nil"/>
            </w:tcBorders>
            <w:shd w:val="clear" w:color="auto" w:fill="auto"/>
            <w:vAlign w:val="bottom"/>
          </w:tcPr>
          <w:p w14:paraId="4D8E88FA" w14:textId="77777777" w:rsidR="00196507" w:rsidRPr="000F120F" w:rsidRDefault="00196507" w:rsidP="00196507">
            <w:pPr>
              <w:pStyle w:val="Tabletext"/>
            </w:pPr>
            <w:r w:rsidRPr="00295986">
              <w:t>0</w:t>
            </w:r>
            <w:r w:rsidR="00D7157D">
              <w:t>.</w:t>
            </w:r>
            <w:r w:rsidRPr="00295986">
              <w:t>983</w:t>
            </w:r>
          </w:p>
        </w:tc>
        <w:tc>
          <w:tcPr>
            <w:tcW w:w="508" w:type="pct"/>
            <w:tcBorders>
              <w:top w:val="single" w:sz="4" w:space="0" w:color="auto"/>
              <w:left w:val="nil"/>
              <w:bottom w:val="single" w:sz="4" w:space="0" w:color="auto"/>
              <w:right w:val="nil"/>
            </w:tcBorders>
            <w:shd w:val="clear" w:color="auto" w:fill="auto"/>
            <w:vAlign w:val="bottom"/>
          </w:tcPr>
          <w:p w14:paraId="7029BD9A" w14:textId="77777777" w:rsidR="00196507" w:rsidRPr="000F120F" w:rsidRDefault="00196507" w:rsidP="00196507">
            <w:pPr>
              <w:pStyle w:val="Tabletext"/>
            </w:pPr>
            <w:r w:rsidRPr="00295986">
              <w:t>0</w:t>
            </w:r>
            <w:r w:rsidR="00D7157D">
              <w:t>.</w:t>
            </w:r>
            <w:r w:rsidRPr="00295986">
              <w:t>988</w:t>
            </w:r>
          </w:p>
        </w:tc>
        <w:tc>
          <w:tcPr>
            <w:tcW w:w="509" w:type="pct"/>
            <w:tcBorders>
              <w:top w:val="single" w:sz="4" w:space="0" w:color="auto"/>
              <w:left w:val="nil"/>
              <w:bottom w:val="single" w:sz="4" w:space="0" w:color="auto"/>
              <w:right w:val="nil"/>
            </w:tcBorders>
            <w:shd w:val="clear" w:color="auto" w:fill="auto"/>
            <w:vAlign w:val="bottom"/>
          </w:tcPr>
          <w:p w14:paraId="0C5BB489" w14:textId="77777777" w:rsidR="00196507" w:rsidRPr="000F120F" w:rsidRDefault="00196507" w:rsidP="00196507">
            <w:pPr>
              <w:pStyle w:val="Tabletext"/>
            </w:pPr>
            <w:r w:rsidRPr="00295986">
              <w:t>0</w:t>
            </w:r>
            <w:r w:rsidR="00D7157D">
              <w:t>.</w:t>
            </w:r>
            <w:r w:rsidRPr="00295986">
              <w:t>987</w:t>
            </w:r>
          </w:p>
        </w:tc>
        <w:tc>
          <w:tcPr>
            <w:tcW w:w="508" w:type="pct"/>
            <w:tcBorders>
              <w:top w:val="single" w:sz="4" w:space="0" w:color="auto"/>
              <w:left w:val="nil"/>
              <w:bottom w:val="single" w:sz="4" w:space="0" w:color="auto"/>
              <w:right w:val="nil"/>
            </w:tcBorders>
            <w:shd w:val="clear" w:color="auto" w:fill="auto"/>
            <w:vAlign w:val="bottom"/>
          </w:tcPr>
          <w:p w14:paraId="35299B5A" w14:textId="77777777" w:rsidR="00196507" w:rsidRPr="000F120F" w:rsidRDefault="00196507" w:rsidP="00196507">
            <w:pPr>
              <w:pStyle w:val="Tabletext"/>
            </w:pPr>
            <w:r w:rsidRPr="00295986">
              <w:t>0</w:t>
            </w:r>
            <w:r w:rsidR="00D7157D">
              <w:t>.</w:t>
            </w:r>
            <w:r w:rsidRPr="00295986">
              <w:t>986</w:t>
            </w:r>
          </w:p>
        </w:tc>
        <w:tc>
          <w:tcPr>
            <w:tcW w:w="509" w:type="pct"/>
            <w:tcBorders>
              <w:top w:val="single" w:sz="4" w:space="0" w:color="auto"/>
              <w:left w:val="nil"/>
              <w:bottom w:val="single" w:sz="4" w:space="0" w:color="auto"/>
              <w:right w:val="nil"/>
            </w:tcBorders>
            <w:vAlign w:val="bottom"/>
          </w:tcPr>
          <w:p w14:paraId="18398C49" w14:textId="77777777" w:rsidR="00196507" w:rsidRPr="00196507" w:rsidRDefault="00196507" w:rsidP="00196507">
            <w:pPr>
              <w:pStyle w:val="Tabletext"/>
              <w:rPr>
                <w:color w:val="000000" w:themeColor="text1"/>
              </w:rPr>
            </w:pPr>
            <w:r w:rsidRPr="00196507">
              <w:rPr>
                <w:color w:val="000000" w:themeColor="text1"/>
              </w:rPr>
              <w:t>0</w:t>
            </w:r>
            <w:r w:rsidR="00D7157D">
              <w:rPr>
                <w:color w:val="000000" w:themeColor="text1"/>
              </w:rPr>
              <w:t>.</w:t>
            </w:r>
            <w:r w:rsidRPr="00196507">
              <w:rPr>
                <w:color w:val="000000" w:themeColor="text1"/>
              </w:rPr>
              <w:t>989</w:t>
            </w:r>
          </w:p>
        </w:tc>
        <w:tc>
          <w:tcPr>
            <w:tcW w:w="509" w:type="pct"/>
            <w:tcBorders>
              <w:top w:val="single" w:sz="4" w:space="0" w:color="auto"/>
              <w:left w:val="nil"/>
              <w:bottom w:val="single" w:sz="4" w:space="0" w:color="auto"/>
              <w:right w:val="nil"/>
            </w:tcBorders>
            <w:shd w:val="clear" w:color="auto" w:fill="auto"/>
            <w:vAlign w:val="bottom"/>
          </w:tcPr>
          <w:p w14:paraId="72C79605" w14:textId="77777777" w:rsidR="00196507" w:rsidRPr="000F120F" w:rsidRDefault="00196507" w:rsidP="00196507">
            <w:pPr>
              <w:pStyle w:val="Tabletext"/>
            </w:pPr>
            <w:r w:rsidRPr="00295986">
              <w:t>0</w:t>
            </w:r>
            <w:r w:rsidR="00D7157D">
              <w:t>.</w:t>
            </w:r>
            <w:r w:rsidRPr="00295986">
              <w:t>991</w:t>
            </w:r>
          </w:p>
        </w:tc>
        <w:tc>
          <w:tcPr>
            <w:tcW w:w="510" w:type="pct"/>
            <w:tcBorders>
              <w:top w:val="single" w:sz="4" w:space="0" w:color="auto"/>
              <w:left w:val="nil"/>
              <w:bottom w:val="single" w:sz="4" w:space="0" w:color="auto"/>
              <w:right w:val="nil"/>
            </w:tcBorders>
            <w:shd w:val="clear" w:color="auto" w:fill="auto"/>
            <w:vAlign w:val="bottom"/>
          </w:tcPr>
          <w:p w14:paraId="6DD34549" w14:textId="77777777" w:rsidR="00196507" w:rsidRPr="000F120F" w:rsidRDefault="00196507" w:rsidP="00196507">
            <w:pPr>
              <w:pStyle w:val="Tabletext"/>
            </w:pPr>
            <w:r w:rsidRPr="00295986">
              <w:t>0</w:t>
            </w:r>
            <w:r w:rsidR="00D7157D">
              <w:t>.</w:t>
            </w:r>
            <w:r w:rsidRPr="00295986">
              <w:t>995</w:t>
            </w:r>
          </w:p>
        </w:tc>
      </w:tr>
      <w:tr w:rsidR="00196507" w:rsidRPr="00DF2EC8" w14:paraId="7E6706A4" w14:textId="77777777" w:rsidTr="00871911">
        <w:tc>
          <w:tcPr>
            <w:tcW w:w="423" w:type="pct"/>
            <w:tcBorders>
              <w:top w:val="single" w:sz="4" w:space="0" w:color="auto"/>
              <w:left w:val="nil"/>
              <w:bottom w:val="single" w:sz="4" w:space="0" w:color="auto"/>
              <w:right w:val="nil"/>
            </w:tcBorders>
          </w:tcPr>
          <w:p w14:paraId="2CE30F45" w14:textId="77777777" w:rsidR="00196507" w:rsidRPr="00A058B6" w:rsidRDefault="00196507" w:rsidP="00196507">
            <w:pPr>
              <w:pStyle w:val="Tabletext"/>
            </w:pPr>
            <w:r>
              <w:t>2</w:t>
            </w:r>
          </w:p>
        </w:tc>
        <w:tc>
          <w:tcPr>
            <w:tcW w:w="506" w:type="pct"/>
            <w:tcBorders>
              <w:top w:val="single" w:sz="4" w:space="0" w:color="auto"/>
              <w:left w:val="nil"/>
              <w:bottom w:val="single" w:sz="4" w:space="0" w:color="auto"/>
              <w:right w:val="nil"/>
            </w:tcBorders>
            <w:shd w:val="clear" w:color="auto" w:fill="auto"/>
            <w:vAlign w:val="bottom"/>
          </w:tcPr>
          <w:p w14:paraId="1DCD9D3D" w14:textId="77777777" w:rsidR="00196507" w:rsidRPr="000F120F" w:rsidRDefault="00196507" w:rsidP="00196507">
            <w:pPr>
              <w:pStyle w:val="Tabletext"/>
            </w:pPr>
            <w:r w:rsidRPr="00295986">
              <w:t>1</w:t>
            </w:r>
            <w:r w:rsidR="00D7157D">
              <w:t>.</w:t>
            </w:r>
            <w:r w:rsidRPr="00295986">
              <w:t>888</w:t>
            </w:r>
          </w:p>
        </w:tc>
        <w:tc>
          <w:tcPr>
            <w:tcW w:w="509" w:type="pct"/>
            <w:tcBorders>
              <w:top w:val="single" w:sz="4" w:space="0" w:color="auto"/>
              <w:left w:val="nil"/>
              <w:bottom w:val="single" w:sz="4" w:space="0" w:color="auto"/>
              <w:right w:val="nil"/>
            </w:tcBorders>
            <w:shd w:val="clear" w:color="auto" w:fill="auto"/>
            <w:vAlign w:val="bottom"/>
          </w:tcPr>
          <w:p w14:paraId="7415F876" w14:textId="77777777" w:rsidR="00196507" w:rsidRPr="000F120F" w:rsidRDefault="00196507" w:rsidP="00196507">
            <w:pPr>
              <w:pStyle w:val="Tabletext"/>
            </w:pPr>
            <w:r w:rsidRPr="00295986">
              <w:t>1</w:t>
            </w:r>
            <w:r w:rsidR="00D7157D">
              <w:t>.</w:t>
            </w:r>
            <w:r w:rsidRPr="00295986">
              <w:t>934</w:t>
            </w:r>
          </w:p>
        </w:tc>
        <w:tc>
          <w:tcPr>
            <w:tcW w:w="509" w:type="pct"/>
            <w:tcBorders>
              <w:top w:val="single" w:sz="4" w:space="0" w:color="auto"/>
              <w:left w:val="nil"/>
              <w:bottom w:val="single" w:sz="4" w:space="0" w:color="auto"/>
              <w:right w:val="nil"/>
            </w:tcBorders>
            <w:shd w:val="clear" w:color="auto" w:fill="auto"/>
            <w:vAlign w:val="bottom"/>
          </w:tcPr>
          <w:p w14:paraId="09E9B5C4" w14:textId="77777777" w:rsidR="00196507" w:rsidRPr="000F120F" w:rsidRDefault="00196507" w:rsidP="00196507">
            <w:pPr>
              <w:pStyle w:val="Tabletext"/>
            </w:pPr>
            <w:r w:rsidRPr="00295986">
              <w:t>1</w:t>
            </w:r>
            <w:r w:rsidR="00D7157D">
              <w:t>.</w:t>
            </w:r>
            <w:r w:rsidRPr="00295986">
              <w:t>932</w:t>
            </w:r>
          </w:p>
        </w:tc>
        <w:tc>
          <w:tcPr>
            <w:tcW w:w="508" w:type="pct"/>
            <w:tcBorders>
              <w:top w:val="single" w:sz="4" w:space="0" w:color="auto"/>
              <w:left w:val="nil"/>
              <w:bottom w:val="single" w:sz="4" w:space="0" w:color="auto"/>
              <w:right w:val="nil"/>
            </w:tcBorders>
            <w:shd w:val="clear" w:color="auto" w:fill="auto"/>
            <w:vAlign w:val="bottom"/>
          </w:tcPr>
          <w:p w14:paraId="65EECD15" w14:textId="77777777" w:rsidR="00196507" w:rsidRPr="000F120F" w:rsidRDefault="00196507" w:rsidP="00196507">
            <w:pPr>
              <w:pStyle w:val="Tabletext"/>
            </w:pPr>
            <w:r w:rsidRPr="00295986">
              <w:t>1</w:t>
            </w:r>
            <w:r w:rsidR="00D7157D">
              <w:t>.</w:t>
            </w:r>
            <w:r w:rsidRPr="00295986">
              <w:t>953</w:t>
            </w:r>
          </w:p>
        </w:tc>
        <w:tc>
          <w:tcPr>
            <w:tcW w:w="509" w:type="pct"/>
            <w:tcBorders>
              <w:top w:val="single" w:sz="4" w:space="0" w:color="auto"/>
              <w:left w:val="nil"/>
              <w:bottom w:val="single" w:sz="4" w:space="0" w:color="auto"/>
              <w:right w:val="nil"/>
            </w:tcBorders>
            <w:shd w:val="clear" w:color="auto" w:fill="auto"/>
            <w:vAlign w:val="bottom"/>
          </w:tcPr>
          <w:p w14:paraId="153E9744" w14:textId="77777777" w:rsidR="00196507" w:rsidRPr="000F120F" w:rsidRDefault="00196507" w:rsidP="00196507">
            <w:pPr>
              <w:pStyle w:val="Tabletext"/>
            </w:pPr>
            <w:r w:rsidRPr="00295986">
              <w:t>1</w:t>
            </w:r>
            <w:r w:rsidR="00D7157D">
              <w:t>.</w:t>
            </w:r>
            <w:r w:rsidRPr="00295986">
              <w:t>949</w:t>
            </w:r>
          </w:p>
        </w:tc>
        <w:tc>
          <w:tcPr>
            <w:tcW w:w="508" w:type="pct"/>
            <w:tcBorders>
              <w:top w:val="single" w:sz="4" w:space="0" w:color="auto"/>
              <w:left w:val="nil"/>
              <w:bottom w:val="single" w:sz="4" w:space="0" w:color="auto"/>
              <w:right w:val="nil"/>
            </w:tcBorders>
            <w:shd w:val="clear" w:color="auto" w:fill="auto"/>
            <w:vAlign w:val="bottom"/>
          </w:tcPr>
          <w:p w14:paraId="1D3DD01D" w14:textId="77777777" w:rsidR="00196507" w:rsidRPr="000F120F" w:rsidRDefault="00196507" w:rsidP="00196507">
            <w:pPr>
              <w:pStyle w:val="Tabletext"/>
            </w:pPr>
            <w:r w:rsidRPr="00295986">
              <w:t>1</w:t>
            </w:r>
            <w:r w:rsidR="00D7157D">
              <w:t>.</w:t>
            </w:r>
            <w:r w:rsidRPr="00295986">
              <w:t>944</w:t>
            </w:r>
          </w:p>
        </w:tc>
        <w:tc>
          <w:tcPr>
            <w:tcW w:w="509" w:type="pct"/>
            <w:tcBorders>
              <w:top w:val="single" w:sz="4" w:space="0" w:color="auto"/>
              <w:left w:val="nil"/>
              <w:bottom w:val="single" w:sz="4" w:space="0" w:color="auto"/>
              <w:right w:val="nil"/>
            </w:tcBorders>
            <w:vAlign w:val="bottom"/>
          </w:tcPr>
          <w:p w14:paraId="6765BC27" w14:textId="77777777" w:rsidR="00196507" w:rsidRPr="00196507" w:rsidRDefault="00196507" w:rsidP="00196507">
            <w:pPr>
              <w:pStyle w:val="Tabletext"/>
              <w:rPr>
                <w:color w:val="000000" w:themeColor="text1"/>
              </w:rPr>
            </w:pPr>
            <w:r w:rsidRPr="00196507">
              <w:rPr>
                <w:color w:val="000000" w:themeColor="text1"/>
              </w:rPr>
              <w:t>1</w:t>
            </w:r>
            <w:r w:rsidR="00D7157D">
              <w:rPr>
                <w:color w:val="000000" w:themeColor="text1"/>
              </w:rPr>
              <w:t>.</w:t>
            </w:r>
            <w:r w:rsidRPr="00196507">
              <w:rPr>
                <w:color w:val="000000" w:themeColor="text1"/>
              </w:rPr>
              <w:t>958</w:t>
            </w:r>
          </w:p>
        </w:tc>
        <w:tc>
          <w:tcPr>
            <w:tcW w:w="509" w:type="pct"/>
            <w:tcBorders>
              <w:top w:val="single" w:sz="4" w:space="0" w:color="auto"/>
              <w:left w:val="nil"/>
              <w:bottom w:val="single" w:sz="4" w:space="0" w:color="auto"/>
              <w:right w:val="nil"/>
            </w:tcBorders>
            <w:shd w:val="clear" w:color="auto" w:fill="auto"/>
            <w:vAlign w:val="bottom"/>
          </w:tcPr>
          <w:p w14:paraId="44F01948" w14:textId="77777777" w:rsidR="00196507" w:rsidRPr="000F120F" w:rsidRDefault="00196507" w:rsidP="00196507">
            <w:pPr>
              <w:pStyle w:val="Tabletext"/>
            </w:pPr>
            <w:r w:rsidRPr="00295986">
              <w:t>1</w:t>
            </w:r>
            <w:r w:rsidR="00D7157D">
              <w:t>.</w:t>
            </w:r>
            <w:r w:rsidRPr="00295986">
              <w:t>962</w:t>
            </w:r>
          </w:p>
        </w:tc>
        <w:tc>
          <w:tcPr>
            <w:tcW w:w="510" w:type="pct"/>
            <w:tcBorders>
              <w:top w:val="single" w:sz="4" w:space="0" w:color="auto"/>
              <w:left w:val="nil"/>
              <w:bottom w:val="single" w:sz="4" w:space="0" w:color="auto"/>
              <w:right w:val="nil"/>
            </w:tcBorders>
            <w:shd w:val="clear" w:color="auto" w:fill="auto"/>
            <w:vAlign w:val="bottom"/>
          </w:tcPr>
          <w:p w14:paraId="4A06B553" w14:textId="77777777" w:rsidR="00196507" w:rsidRPr="000F120F" w:rsidRDefault="00196507" w:rsidP="00196507">
            <w:pPr>
              <w:pStyle w:val="Tabletext"/>
            </w:pPr>
            <w:r w:rsidRPr="00295986">
              <w:t>1</w:t>
            </w:r>
            <w:r w:rsidR="00D7157D">
              <w:t>.</w:t>
            </w:r>
            <w:r w:rsidRPr="00295986">
              <w:t>981</w:t>
            </w:r>
          </w:p>
        </w:tc>
      </w:tr>
      <w:tr w:rsidR="00196507" w:rsidRPr="00DF2EC8" w14:paraId="4E87D7CE" w14:textId="77777777" w:rsidTr="00871911">
        <w:tc>
          <w:tcPr>
            <w:tcW w:w="423" w:type="pct"/>
            <w:tcBorders>
              <w:top w:val="single" w:sz="4" w:space="0" w:color="auto"/>
              <w:left w:val="nil"/>
              <w:bottom w:val="single" w:sz="4" w:space="0" w:color="auto"/>
              <w:right w:val="nil"/>
            </w:tcBorders>
          </w:tcPr>
          <w:p w14:paraId="5176CB72" w14:textId="77777777" w:rsidR="00196507" w:rsidRPr="00A058B6" w:rsidRDefault="00196507" w:rsidP="00196507">
            <w:pPr>
              <w:pStyle w:val="Tabletext"/>
            </w:pPr>
            <w:r>
              <w:t>3</w:t>
            </w:r>
          </w:p>
        </w:tc>
        <w:tc>
          <w:tcPr>
            <w:tcW w:w="506" w:type="pct"/>
            <w:tcBorders>
              <w:top w:val="single" w:sz="4" w:space="0" w:color="auto"/>
              <w:left w:val="nil"/>
              <w:bottom w:val="single" w:sz="4" w:space="0" w:color="auto"/>
              <w:right w:val="nil"/>
            </w:tcBorders>
            <w:shd w:val="clear" w:color="auto" w:fill="auto"/>
            <w:vAlign w:val="bottom"/>
          </w:tcPr>
          <w:p w14:paraId="5567B6A5" w14:textId="77777777" w:rsidR="00196507" w:rsidRPr="000F120F" w:rsidRDefault="00196507" w:rsidP="00196507">
            <w:pPr>
              <w:pStyle w:val="Tabletext"/>
            </w:pPr>
            <w:r w:rsidRPr="00295986">
              <w:t>2</w:t>
            </w:r>
            <w:r w:rsidR="00D7157D">
              <w:t>.</w:t>
            </w:r>
            <w:r w:rsidRPr="00295986">
              <w:t>752</w:t>
            </w:r>
          </w:p>
        </w:tc>
        <w:tc>
          <w:tcPr>
            <w:tcW w:w="509" w:type="pct"/>
            <w:tcBorders>
              <w:top w:val="single" w:sz="4" w:space="0" w:color="auto"/>
              <w:left w:val="nil"/>
              <w:bottom w:val="single" w:sz="4" w:space="0" w:color="auto"/>
              <w:right w:val="nil"/>
            </w:tcBorders>
            <w:shd w:val="clear" w:color="auto" w:fill="auto"/>
            <w:vAlign w:val="bottom"/>
          </w:tcPr>
          <w:p w14:paraId="06D6B6CE" w14:textId="77777777" w:rsidR="00196507" w:rsidRPr="000F120F" w:rsidRDefault="00196507" w:rsidP="00196507">
            <w:pPr>
              <w:pStyle w:val="Tabletext"/>
            </w:pPr>
            <w:r w:rsidRPr="00295986">
              <w:t>2</w:t>
            </w:r>
            <w:r w:rsidR="00D7157D">
              <w:t>.</w:t>
            </w:r>
            <w:r w:rsidRPr="00295986">
              <w:t>854</w:t>
            </w:r>
          </w:p>
        </w:tc>
        <w:tc>
          <w:tcPr>
            <w:tcW w:w="509" w:type="pct"/>
            <w:tcBorders>
              <w:top w:val="single" w:sz="4" w:space="0" w:color="auto"/>
              <w:left w:val="nil"/>
              <w:bottom w:val="single" w:sz="4" w:space="0" w:color="auto"/>
              <w:right w:val="nil"/>
            </w:tcBorders>
            <w:shd w:val="clear" w:color="auto" w:fill="auto"/>
            <w:vAlign w:val="bottom"/>
          </w:tcPr>
          <w:p w14:paraId="762FAEA9" w14:textId="77777777" w:rsidR="00196507" w:rsidRPr="000F120F" w:rsidRDefault="00196507" w:rsidP="00196507">
            <w:pPr>
              <w:pStyle w:val="Tabletext"/>
            </w:pPr>
            <w:r w:rsidRPr="00295986">
              <w:t>2</w:t>
            </w:r>
            <w:r w:rsidR="00D7157D">
              <w:t>.</w:t>
            </w:r>
            <w:r w:rsidRPr="00295986">
              <w:t>850</w:t>
            </w:r>
          </w:p>
        </w:tc>
        <w:tc>
          <w:tcPr>
            <w:tcW w:w="508" w:type="pct"/>
            <w:tcBorders>
              <w:top w:val="single" w:sz="4" w:space="0" w:color="auto"/>
              <w:left w:val="nil"/>
              <w:bottom w:val="single" w:sz="4" w:space="0" w:color="auto"/>
              <w:right w:val="nil"/>
            </w:tcBorders>
            <w:shd w:val="clear" w:color="auto" w:fill="auto"/>
            <w:vAlign w:val="bottom"/>
          </w:tcPr>
          <w:p w14:paraId="1E4C8195" w14:textId="77777777" w:rsidR="00196507" w:rsidRPr="000F120F" w:rsidRDefault="00196507" w:rsidP="00196507">
            <w:pPr>
              <w:pStyle w:val="Tabletext"/>
            </w:pPr>
            <w:r w:rsidRPr="00295986">
              <w:t>2</w:t>
            </w:r>
            <w:r w:rsidR="00D7157D">
              <w:t>.</w:t>
            </w:r>
            <w:r w:rsidRPr="00295986">
              <w:t>895</w:t>
            </w:r>
          </w:p>
        </w:tc>
        <w:tc>
          <w:tcPr>
            <w:tcW w:w="509" w:type="pct"/>
            <w:tcBorders>
              <w:top w:val="single" w:sz="4" w:space="0" w:color="auto"/>
              <w:left w:val="nil"/>
              <w:bottom w:val="single" w:sz="4" w:space="0" w:color="auto"/>
              <w:right w:val="nil"/>
            </w:tcBorders>
            <w:shd w:val="clear" w:color="auto" w:fill="auto"/>
            <w:vAlign w:val="bottom"/>
          </w:tcPr>
          <w:p w14:paraId="7813F217" w14:textId="77777777" w:rsidR="00196507" w:rsidRPr="000F120F" w:rsidRDefault="00196507" w:rsidP="00196507">
            <w:pPr>
              <w:pStyle w:val="Tabletext"/>
            </w:pPr>
            <w:r w:rsidRPr="00295986">
              <w:t>2</w:t>
            </w:r>
            <w:r w:rsidR="00D7157D">
              <w:t>.</w:t>
            </w:r>
            <w:r w:rsidRPr="00295986">
              <w:t>887</w:t>
            </w:r>
          </w:p>
        </w:tc>
        <w:tc>
          <w:tcPr>
            <w:tcW w:w="508" w:type="pct"/>
            <w:tcBorders>
              <w:top w:val="single" w:sz="4" w:space="0" w:color="auto"/>
              <w:left w:val="nil"/>
              <w:bottom w:val="single" w:sz="4" w:space="0" w:color="auto"/>
              <w:right w:val="nil"/>
            </w:tcBorders>
            <w:shd w:val="clear" w:color="auto" w:fill="auto"/>
            <w:vAlign w:val="bottom"/>
          </w:tcPr>
          <w:p w14:paraId="303B48B4" w14:textId="77777777" w:rsidR="00196507" w:rsidRPr="000F120F" w:rsidRDefault="00196507" w:rsidP="00196507">
            <w:pPr>
              <w:pStyle w:val="Tabletext"/>
            </w:pPr>
            <w:r w:rsidRPr="00295986">
              <w:t>2</w:t>
            </w:r>
            <w:r w:rsidR="00D7157D">
              <w:t>.</w:t>
            </w:r>
            <w:r w:rsidRPr="00295986">
              <w:t>874</w:t>
            </w:r>
          </w:p>
        </w:tc>
        <w:tc>
          <w:tcPr>
            <w:tcW w:w="509" w:type="pct"/>
            <w:tcBorders>
              <w:top w:val="single" w:sz="4" w:space="0" w:color="auto"/>
              <w:left w:val="nil"/>
              <w:bottom w:val="single" w:sz="4" w:space="0" w:color="auto"/>
              <w:right w:val="nil"/>
            </w:tcBorders>
            <w:vAlign w:val="bottom"/>
          </w:tcPr>
          <w:p w14:paraId="6D60EE0A" w14:textId="77777777" w:rsidR="00196507" w:rsidRPr="00196507" w:rsidRDefault="00196507" w:rsidP="00196507">
            <w:pPr>
              <w:pStyle w:val="Tabletext"/>
              <w:rPr>
                <w:color w:val="000000" w:themeColor="text1"/>
              </w:rPr>
            </w:pPr>
            <w:r w:rsidRPr="00196507">
              <w:rPr>
                <w:color w:val="000000" w:themeColor="text1"/>
              </w:rPr>
              <w:t>2</w:t>
            </w:r>
            <w:r w:rsidR="00D7157D">
              <w:rPr>
                <w:color w:val="000000" w:themeColor="text1"/>
              </w:rPr>
              <w:t>.</w:t>
            </w:r>
            <w:r w:rsidRPr="00196507">
              <w:rPr>
                <w:color w:val="000000" w:themeColor="text1"/>
              </w:rPr>
              <w:t>905</w:t>
            </w:r>
          </w:p>
        </w:tc>
        <w:tc>
          <w:tcPr>
            <w:tcW w:w="509" w:type="pct"/>
            <w:tcBorders>
              <w:top w:val="single" w:sz="4" w:space="0" w:color="auto"/>
              <w:left w:val="nil"/>
              <w:bottom w:val="single" w:sz="4" w:space="0" w:color="auto"/>
              <w:right w:val="nil"/>
            </w:tcBorders>
            <w:shd w:val="clear" w:color="auto" w:fill="auto"/>
            <w:vAlign w:val="bottom"/>
          </w:tcPr>
          <w:p w14:paraId="3A98EEDE" w14:textId="77777777" w:rsidR="00196507" w:rsidRPr="000F120F" w:rsidRDefault="00196507" w:rsidP="00196507">
            <w:pPr>
              <w:pStyle w:val="Tabletext"/>
            </w:pPr>
            <w:r w:rsidRPr="00295986">
              <w:t>2</w:t>
            </w:r>
            <w:r w:rsidR="00D7157D">
              <w:t>.</w:t>
            </w:r>
            <w:r w:rsidRPr="00295986">
              <w:t>916</w:t>
            </w:r>
          </w:p>
        </w:tc>
        <w:tc>
          <w:tcPr>
            <w:tcW w:w="510" w:type="pct"/>
            <w:tcBorders>
              <w:top w:val="single" w:sz="4" w:space="0" w:color="auto"/>
              <w:left w:val="nil"/>
              <w:bottom w:val="single" w:sz="4" w:space="0" w:color="auto"/>
              <w:right w:val="nil"/>
            </w:tcBorders>
            <w:shd w:val="clear" w:color="auto" w:fill="auto"/>
            <w:vAlign w:val="bottom"/>
          </w:tcPr>
          <w:p w14:paraId="18109098" w14:textId="77777777" w:rsidR="00196507" w:rsidRPr="000F120F" w:rsidRDefault="00196507" w:rsidP="00196507">
            <w:pPr>
              <w:pStyle w:val="Tabletext"/>
            </w:pPr>
            <w:r w:rsidRPr="00295986">
              <w:t>2</w:t>
            </w:r>
            <w:r w:rsidR="00D7157D">
              <w:t>.</w:t>
            </w:r>
            <w:r w:rsidRPr="00295986">
              <w:t>958</w:t>
            </w:r>
          </w:p>
        </w:tc>
      </w:tr>
      <w:tr w:rsidR="00196507" w:rsidRPr="00DF2EC8" w14:paraId="4B01DBCD" w14:textId="77777777" w:rsidTr="00871911">
        <w:tc>
          <w:tcPr>
            <w:tcW w:w="423" w:type="pct"/>
            <w:tcBorders>
              <w:top w:val="single" w:sz="4" w:space="0" w:color="auto"/>
              <w:left w:val="nil"/>
              <w:bottom w:val="single" w:sz="4" w:space="0" w:color="auto"/>
              <w:right w:val="nil"/>
            </w:tcBorders>
          </w:tcPr>
          <w:p w14:paraId="4C6EE9B4" w14:textId="77777777" w:rsidR="00196507" w:rsidRPr="00A058B6" w:rsidRDefault="00196507" w:rsidP="00196507">
            <w:pPr>
              <w:pStyle w:val="Tabletext"/>
            </w:pPr>
            <w:r>
              <w:t>4</w:t>
            </w:r>
          </w:p>
        </w:tc>
        <w:tc>
          <w:tcPr>
            <w:tcW w:w="506" w:type="pct"/>
            <w:tcBorders>
              <w:top w:val="single" w:sz="4" w:space="0" w:color="auto"/>
              <w:left w:val="nil"/>
              <w:bottom w:val="single" w:sz="4" w:space="0" w:color="auto"/>
              <w:right w:val="nil"/>
            </w:tcBorders>
            <w:shd w:val="clear" w:color="auto" w:fill="auto"/>
            <w:vAlign w:val="bottom"/>
          </w:tcPr>
          <w:p w14:paraId="56087F7F" w14:textId="77777777" w:rsidR="00196507" w:rsidRPr="000F120F" w:rsidRDefault="00196507" w:rsidP="00196507">
            <w:pPr>
              <w:pStyle w:val="Tabletext"/>
            </w:pPr>
            <w:r w:rsidRPr="00295986">
              <w:t>3</w:t>
            </w:r>
            <w:r w:rsidR="00D7157D">
              <w:t>.</w:t>
            </w:r>
            <w:r w:rsidRPr="00295986">
              <w:t>568</w:t>
            </w:r>
          </w:p>
        </w:tc>
        <w:tc>
          <w:tcPr>
            <w:tcW w:w="509" w:type="pct"/>
            <w:tcBorders>
              <w:top w:val="single" w:sz="4" w:space="0" w:color="auto"/>
              <w:left w:val="nil"/>
              <w:bottom w:val="single" w:sz="4" w:space="0" w:color="auto"/>
              <w:right w:val="nil"/>
            </w:tcBorders>
            <w:shd w:val="clear" w:color="auto" w:fill="auto"/>
            <w:vAlign w:val="bottom"/>
          </w:tcPr>
          <w:p w14:paraId="1F101490" w14:textId="77777777" w:rsidR="00196507" w:rsidRPr="000F120F" w:rsidRDefault="00196507" w:rsidP="00196507">
            <w:pPr>
              <w:pStyle w:val="Tabletext"/>
            </w:pPr>
            <w:r w:rsidRPr="00295986">
              <w:t>3</w:t>
            </w:r>
            <w:r w:rsidR="00D7157D">
              <w:t>.</w:t>
            </w:r>
            <w:r w:rsidRPr="00295986">
              <w:t>743</w:t>
            </w:r>
          </w:p>
        </w:tc>
        <w:tc>
          <w:tcPr>
            <w:tcW w:w="509" w:type="pct"/>
            <w:tcBorders>
              <w:top w:val="single" w:sz="4" w:space="0" w:color="auto"/>
              <w:left w:val="nil"/>
              <w:bottom w:val="single" w:sz="4" w:space="0" w:color="auto"/>
              <w:right w:val="nil"/>
            </w:tcBorders>
            <w:shd w:val="clear" w:color="auto" w:fill="auto"/>
            <w:vAlign w:val="bottom"/>
          </w:tcPr>
          <w:p w14:paraId="46F1A198" w14:textId="77777777" w:rsidR="00196507" w:rsidRPr="000F120F" w:rsidRDefault="00196507" w:rsidP="00196507">
            <w:pPr>
              <w:pStyle w:val="Tabletext"/>
            </w:pPr>
            <w:r w:rsidRPr="00295986">
              <w:t>3</w:t>
            </w:r>
            <w:r w:rsidR="00D7157D">
              <w:t>.</w:t>
            </w:r>
            <w:r w:rsidRPr="00295986">
              <w:t>736</w:t>
            </w:r>
          </w:p>
        </w:tc>
        <w:tc>
          <w:tcPr>
            <w:tcW w:w="508" w:type="pct"/>
            <w:tcBorders>
              <w:top w:val="single" w:sz="4" w:space="0" w:color="auto"/>
              <w:left w:val="nil"/>
              <w:bottom w:val="single" w:sz="4" w:space="0" w:color="auto"/>
              <w:right w:val="nil"/>
            </w:tcBorders>
            <w:shd w:val="clear" w:color="auto" w:fill="auto"/>
            <w:vAlign w:val="bottom"/>
          </w:tcPr>
          <w:p w14:paraId="3ED1106C" w14:textId="77777777" w:rsidR="00196507" w:rsidRPr="000F120F" w:rsidRDefault="00196507" w:rsidP="00196507">
            <w:pPr>
              <w:pStyle w:val="Tabletext"/>
            </w:pPr>
            <w:r w:rsidRPr="00295986">
              <w:t>3</w:t>
            </w:r>
            <w:r w:rsidR="00D7157D">
              <w:t>.</w:t>
            </w:r>
            <w:r w:rsidRPr="00295986">
              <w:t>815</w:t>
            </w:r>
          </w:p>
        </w:tc>
        <w:tc>
          <w:tcPr>
            <w:tcW w:w="509" w:type="pct"/>
            <w:tcBorders>
              <w:top w:val="single" w:sz="4" w:space="0" w:color="auto"/>
              <w:left w:val="nil"/>
              <w:bottom w:val="single" w:sz="4" w:space="0" w:color="auto"/>
              <w:right w:val="nil"/>
            </w:tcBorders>
            <w:shd w:val="clear" w:color="auto" w:fill="auto"/>
            <w:vAlign w:val="bottom"/>
          </w:tcPr>
          <w:p w14:paraId="756FCEA8" w14:textId="77777777" w:rsidR="00196507" w:rsidRPr="000F120F" w:rsidRDefault="00196507" w:rsidP="00196507">
            <w:pPr>
              <w:pStyle w:val="Tabletext"/>
            </w:pPr>
            <w:r w:rsidRPr="00295986">
              <w:t>3</w:t>
            </w:r>
            <w:r w:rsidR="00D7157D">
              <w:t>.</w:t>
            </w:r>
            <w:r w:rsidRPr="00295986">
              <w:t>800</w:t>
            </w:r>
          </w:p>
        </w:tc>
        <w:tc>
          <w:tcPr>
            <w:tcW w:w="508" w:type="pct"/>
            <w:tcBorders>
              <w:top w:val="single" w:sz="4" w:space="0" w:color="auto"/>
              <w:left w:val="nil"/>
              <w:bottom w:val="single" w:sz="4" w:space="0" w:color="auto"/>
              <w:right w:val="nil"/>
            </w:tcBorders>
            <w:shd w:val="clear" w:color="auto" w:fill="auto"/>
            <w:vAlign w:val="bottom"/>
          </w:tcPr>
          <w:p w14:paraId="5D57F18D" w14:textId="77777777" w:rsidR="00196507" w:rsidRPr="000F120F" w:rsidRDefault="00196507" w:rsidP="00196507">
            <w:pPr>
              <w:pStyle w:val="Tabletext"/>
            </w:pPr>
            <w:r w:rsidRPr="00295986">
              <w:t>3</w:t>
            </w:r>
            <w:r w:rsidR="00D7157D">
              <w:t>.</w:t>
            </w:r>
            <w:r w:rsidRPr="00295986">
              <w:t>779</w:t>
            </w:r>
          </w:p>
        </w:tc>
        <w:tc>
          <w:tcPr>
            <w:tcW w:w="509" w:type="pct"/>
            <w:tcBorders>
              <w:top w:val="single" w:sz="4" w:space="0" w:color="auto"/>
              <w:left w:val="nil"/>
              <w:bottom w:val="single" w:sz="4" w:space="0" w:color="auto"/>
              <w:right w:val="nil"/>
            </w:tcBorders>
            <w:vAlign w:val="bottom"/>
          </w:tcPr>
          <w:p w14:paraId="11DA8511" w14:textId="77777777" w:rsidR="00196507" w:rsidRPr="00196507" w:rsidRDefault="00196507" w:rsidP="00196507">
            <w:pPr>
              <w:pStyle w:val="Tabletext"/>
              <w:rPr>
                <w:color w:val="000000" w:themeColor="text1"/>
              </w:rPr>
            </w:pPr>
            <w:r w:rsidRPr="00196507">
              <w:rPr>
                <w:color w:val="000000" w:themeColor="text1"/>
              </w:rPr>
              <w:t>3</w:t>
            </w:r>
            <w:r w:rsidR="00D7157D">
              <w:rPr>
                <w:color w:val="000000" w:themeColor="text1"/>
              </w:rPr>
              <w:t>.</w:t>
            </w:r>
            <w:r w:rsidRPr="00196507">
              <w:rPr>
                <w:color w:val="000000" w:themeColor="text1"/>
              </w:rPr>
              <w:t>833</w:t>
            </w:r>
          </w:p>
        </w:tc>
        <w:tc>
          <w:tcPr>
            <w:tcW w:w="509" w:type="pct"/>
            <w:tcBorders>
              <w:top w:val="single" w:sz="4" w:space="0" w:color="auto"/>
              <w:left w:val="nil"/>
              <w:bottom w:val="single" w:sz="4" w:space="0" w:color="auto"/>
              <w:right w:val="nil"/>
            </w:tcBorders>
            <w:shd w:val="clear" w:color="auto" w:fill="auto"/>
            <w:vAlign w:val="bottom"/>
          </w:tcPr>
          <w:p w14:paraId="072FA4A9" w14:textId="77777777" w:rsidR="00196507" w:rsidRPr="000F120F" w:rsidRDefault="00196507" w:rsidP="00196507">
            <w:pPr>
              <w:pStyle w:val="Tabletext"/>
            </w:pPr>
            <w:r w:rsidRPr="00295986">
              <w:t>3</w:t>
            </w:r>
            <w:r w:rsidR="00D7157D">
              <w:t>.</w:t>
            </w:r>
            <w:r w:rsidRPr="00295986">
              <w:t>851</w:t>
            </w:r>
          </w:p>
        </w:tc>
        <w:tc>
          <w:tcPr>
            <w:tcW w:w="510" w:type="pct"/>
            <w:tcBorders>
              <w:top w:val="single" w:sz="4" w:space="0" w:color="auto"/>
              <w:left w:val="nil"/>
              <w:bottom w:val="single" w:sz="4" w:space="0" w:color="auto"/>
              <w:right w:val="nil"/>
            </w:tcBorders>
            <w:shd w:val="clear" w:color="auto" w:fill="auto"/>
            <w:vAlign w:val="bottom"/>
          </w:tcPr>
          <w:p w14:paraId="49CCA5CF" w14:textId="77777777" w:rsidR="00196507" w:rsidRPr="000F120F" w:rsidRDefault="00196507" w:rsidP="00196507">
            <w:pPr>
              <w:pStyle w:val="Tabletext"/>
            </w:pPr>
            <w:r w:rsidRPr="00295986">
              <w:t>3</w:t>
            </w:r>
            <w:r w:rsidR="00D7157D">
              <w:t>.</w:t>
            </w:r>
            <w:r w:rsidRPr="00295986">
              <w:t>925</w:t>
            </w:r>
          </w:p>
        </w:tc>
      </w:tr>
      <w:tr w:rsidR="00196507" w:rsidRPr="00DF2EC8" w14:paraId="685B19B0" w14:textId="77777777" w:rsidTr="00871911">
        <w:tc>
          <w:tcPr>
            <w:tcW w:w="423" w:type="pct"/>
            <w:tcBorders>
              <w:top w:val="single" w:sz="4" w:space="0" w:color="auto"/>
              <w:left w:val="nil"/>
              <w:bottom w:val="single" w:sz="4" w:space="0" w:color="auto"/>
              <w:right w:val="nil"/>
            </w:tcBorders>
          </w:tcPr>
          <w:p w14:paraId="215A2D01" w14:textId="77777777" w:rsidR="00196507" w:rsidRPr="00A058B6" w:rsidRDefault="00196507" w:rsidP="00196507">
            <w:pPr>
              <w:pStyle w:val="Tabletext"/>
            </w:pPr>
            <w:r>
              <w:t>5</w:t>
            </w:r>
          </w:p>
        </w:tc>
        <w:tc>
          <w:tcPr>
            <w:tcW w:w="506" w:type="pct"/>
            <w:tcBorders>
              <w:top w:val="single" w:sz="4" w:space="0" w:color="auto"/>
              <w:left w:val="nil"/>
              <w:bottom w:val="single" w:sz="4" w:space="0" w:color="auto"/>
              <w:right w:val="nil"/>
            </w:tcBorders>
            <w:shd w:val="clear" w:color="auto" w:fill="auto"/>
            <w:vAlign w:val="bottom"/>
          </w:tcPr>
          <w:p w14:paraId="1B7D3790" w14:textId="77777777" w:rsidR="00196507" w:rsidRPr="000F120F" w:rsidRDefault="00196507" w:rsidP="00196507">
            <w:pPr>
              <w:pStyle w:val="Tabletext"/>
            </w:pPr>
            <w:r w:rsidRPr="00295986">
              <w:t>4</w:t>
            </w:r>
            <w:r w:rsidR="00D7157D">
              <w:t>.</w:t>
            </w:r>
            <w:r w:rsidRPr="00295986">
              <w:t>337</w:t>
            </w:r>
          </w:p>
        </w:tc>
        <w:tc>
          <w:tcPr>
            <w:tcW w:w="509" w:type="pct"/>
            <w:tcBorders>
              <w:top w:val="single" w:sz="4" w:space="0" w:color="auto"/>
              <w:left w:val="nil"/>
              <w:bottom w:val="single" w:sz="4" w:space="0" w:color="auto"/>
              <w:right w:val="nil"/>
            </w:tcBorders>
            <w:shd w:val="clear" w:color="auto" w:fill="auto"/>
            <w:vAlign w:val="bottom"/>
          </w:tcPr>
          <w:p w14:paraId="2DC94BA2" w14:textId="77777777" w:rsidR="00196507" w:rsidRPr="000F120F" w:rsidRDefault="00196507" w:rsidP="00196507">
            <w:pPr>
              <w:pStyle w:val="Tabletext"/>
            </w:pPr>
            <w:r w:rsidRPr="00295986">
              <w:t>4</w:t>
            </w:r>
            <w:r w:rsidR="00D7157D">
              <w:t>.</w:t>
            </w:r>
            <w:r w:rsidRPr="00295986">
              <w:t>603</w:t>
            </w:r>
          </w:p>
        </w:tc>
        <w:tc>
          <w:tcPr>
            <w:tcW w:w="509" w:type="pct"/>
            <w:tcBorders>
              <w:top w:val="single" w:sz="4" w:space="0" w:color="auto"/>
              <w:left w:val="nil"/>
              <w:bottom w:val="single" w:sz="4" w:space="0" w:color="auto"/>
              <w:right w:val="nil"/>
            </w:tcBorders>
            <w:shd w:val="clear" w:color="auto" w:fill="auto"/>
            <w:vAlign w:val="bottom"/>
          </w:tcPr>
          <w:p w14:paraId="1E6741CC" w14:textId="77777777" w:rsidR="00196507" w:rsidRPr="000F120F" w:rsidRDefault="00196507" w:rsidP="00196507">
            <w:pPr>
              <w:pStyle w:val="Tabletext"/>
            </w:pPr>
            <w:r w:rsidRPr="00295986">
              <w:t>4</w:t>
            </w:r>
            <w:r w:rsidR="00D7157D">
              <w:t>.</w:t>
            </w:r>
            <w:r w:rsidRPr="00295986">
              <w:t>592</w:t>
            </w:r>
          </w:p>
        </w:tc>
        <w:tc>
          <w:tcPr>
            <w:tcW w:w="508" w:type="pct"/>
            <w:tcBorders>
              <w:top w:val="single" w:sz="4" w:space="0" w:color="auto"/>
              <w:left w:val="nil"/>
              <w:bottom w:val="single" w:sz="4" w:space="0" w:color="auto"/>
              <w:right w:val="nil"/>
            </w:tcBorders>
            <w:shd w:val="clear" w:color="auto" w:fill="auto"/>
            <w:vAlign w:val="bottom"/>
          </w:tcPr>
          <w:p w14:paraId="7A53EE92" w14:textId="77777777" w:rsidR="00196507" w:rsidRPr="000F120F" w:rsidRDefault="00196507" w:rsidP="00196507">
            <w:pPr>
              <w:pStyle w:val="Tabletext"/>
            </w:pPr>
            <w:r w:rsidRPr="00295986">
              <w:t>4</w:t>
            </w:r>
            <w:r w:rsidR="00D7157D">
              <w:t>.</w:t>
            </w:r>
            <w:r w:rsidRPr="00295986">
              <w:t>713</w:t>
            </w:r>
          </w:p>
        </w:tc>
        <w:tc>
          <w:tcPr>
            <w:tcW w:w="509" w:type="pct"/>
            <w:tcBorders>
              <w:top w:val="single" w:sz="4" w:space="0" w:color="auto"/>
              <w:left w:val="nil"/>
              <w:bottom w:val="single" w:sz="4" w:space="0" w:color="auto"/>
              <w:right w:val="nil"/>
            </w:tcBorders>
            <w:shd w:val="clear" w:color="auto" w:fill="auto"/>
            <w:vAlign w:val="bottom"/>
          </w:tcPr>
          <w:p w14:paraId="00F4517A" w14:textId="77777777" w:rsidR="00196507" w:rsidRPr="000F120F" w:rsidRDefault="00196507" w:rsidP="00196507">
            <w:pPr>
              <w:pStyle w:val="Tabletext"/>
            </w:pPr>
            <w:r w:rsidRPr="00295986">
              <w:t>4</w:t>
            </w:r>
            <w:r w:rsidR="00D7157D">
              <w:t>.</w:t>
            </w:r>
            <w:r w:rsidRPr="00295986">
              <w:t>691</w:t>
            </w:r>
          </w:p>
        </w:tc>
        <w:tc>
          <w:tcPr>
            <w:tcW w:w="508" w:type="pct"/>
            <w:tcBorders>
              <w:top w:val="single" w:sz="4" w:space="0" w:color="auto"/>
              <w:left w:val="nil"/>
              <w:bottom w:val="single" w:sz="4" w:space="0" w:color="auto"/>
              <w:right w:val="nil"/>
            </w:tcBorders>
            <w:shd w:val="clear" w:color="auto" w:fill="auto"/>
            <w:vAlign w:val="bottom"/>
          </w:tcPr>
          <w:p w14:paraId="37E6614E" w14:textId="77777777" w:rsidR="00196507" w:rsidRPr="000F120F" w:rsidRDefault="00196507" w:rsidP="00196507">
            <w:pPr>
              <w:pStyle w:val="Tabletext"/>
            </w:pPr>
            <w:r w:rsidRPr="00295986">
              <w:t>4</w:t>
            </w:r>
            <w:r w:rsidR="00D7157D">
              <w:t>.</w:t>
            </w:r>
            <w:r w:rsidRPr="00295986">
              <w:t>658</w:t>
            </w:r>
          </w:p>
        </w:tc>
        <w:tc>
          <w:tcPr>
            <w:tcW w:w="509" w:type="pct"/>
            <w:tcBorders>
              <w:top w:val="single" w:sz="4" w:space="0" w:color="auto"/>
              <w:left w:val="nil"/>
              <w:bottom w:val="single" w:sz="4" w:space="0" w:color="auto"/>
              <w:right w:val="nil"/>
            </w:tcBorders>
            <w:vAlign w:val="bottom"/>
          </w:tcPr>
          <w:p w14:paraId="1C2FB8B8" w14:textId="77777777" w:rsidR="00196507" w:rsidRPr="00196507" w:rsidRDefault="00196507" w:rsidP="00196507">
            <w:pPr>
              <w:pStyle w:val="Tabletext"/>
              <w:rPr>
                <w:color w:val="000000" w:themeColor="text1"/>
              </w:rPr>
            </w:pPr>
            <w:r w:rsidRPr="00196507">
              <w:rPr>
                <w:color w:val="000000" w:themeColor="text1"/>
              </w:rPr>
              <w:t>4</w:t>
            </w:r>
            <w:r w:rsidR="00D7157D">
              <w:rPr>
                <w:color w:val="000000" w:themeColor="text1"/>
              </w:rPr>
              <w:t>.</w:t>
            </w:r>
            <w:r w:rsidRPr="00196507">
              <w:rPr>
                <w:color w:val="000000" w:themeColor="text1"/>
              </w:rPr>
              <w:t>741</w:t>
            </w:r>
          </w:p>
        </w:tc>
        <w:tc>
          <w:tcPr>
            <w:tcW w:w="509" w:type="pct"/>
            <w:tcBorders>
              <w:top w:val="single" w:sz="4" w:space="0" w:color="auto"/>
              <w:left w:val="nil"/>
              <w:bottom w:val="single" w:sz="4" w:space="0" w:color="auto"/>
              <w:right w:val="nil"/>
            </w:tcBorders>
            <w:shd w:val="clear" w:color="auto" w:fill="auto"/>
            <w:vAlign w:val="bottom"/>
          </w:tcPr>
          <w:p w14:paraId="6DCE1F71" w14:textId="77777777" w:rsidR="00196507" w:rsidRPr="000F120F" w:rsidRDefault="00196507" w:rsidP="00196507">
            <w:pPr>
              <w:pStyle w:val="Tabletext"/>
            </w:pPr>
            <w:r w:rsidRPr="00295986">
              <w:t>4</w:t>
            </w:r>
            <w:r w:rsidR="00D7157D">
              <w:t>.</w:t>
            </w:r>
            <w:r w:rsidRPr="00295986">
              <w:t>769</w:t>
            </w:r>
          </w:p>
        </w:tc>
        <w:tc>
          <w:tcPr>
            <w:tcW w:w="510" w:type="pct"/>
            <w:tcBorders>
              <w:top w:val="single" w:sz="4" w:space="0" w:color="auto"/>
              <w:left w:val="nil"/>
              <w:bottom w:val="single" w:sz="4" w:space="0" w:color="auto"/>
              <w:right w:val="nil"/>
            </w:tcBorders>
            <w:shd w:val="clear" w:color="auto" w:fill="auto"/>
            <w:vAlign w:val="bottom"/>
          </w:tcPr>
          <w:p w14:paraId="17991F86" w14:textId="77777777" w:rsidR="00196507" w:rsidRPr="000F120F" w:rsidRDefault="00196507" w:rsidP="00196507">
            <w:pPr>
              <w:pStyle w:val="Tabletext"/>
            </w:pPr>
            <w:r w:rsidRPr="00295986">
              <w:t>4</w:t>
            </w:r>
            <w:r w:rsidR="00D7157D">
              <w:t>.</w:t>
            </w:r>
            <w:r w:rsidRPr="00295986">
              <w:t>884</w:t>
            </w:r>
          </w:p>
        </w:tc>
      </w:tr>
      <w:tr w:rsidR="00196507" w:rsidRPr="00DF2EC8" w14:paraId="3E1DDF0D" w14:textId="77777777" w:rsidTr="00871911">
        <w:tc>
          <w:tcPr>
            <w:tcW w:w="423" w:type="pct"/>
            <w:tcBorders>
              <w:top w:val="single" w:sz="4" w:space="0" w:color="auto"/>
              <w:left w:val="nil"/>
              <w:bottom w:val="single" w:sz="4" w:space="0" w:color="auto"/>
              <w:right w:val="nil"/>
            </w:tcBorders>
          </w:tcPr>
          <w:p w14:paraId="09F5761E" w14:textId="77777777" w:rsidR="00196507" w:rsidRPr="00A058B6" w:rsidRDefault="00196507" w:rsidP="00196507">
            <w:pPr>
              <w:pStyle w:val="Tabletext"/>
            </w:pPr>
            <w:r>
              <w:t>6</w:t>
            </w:r>
          </w:p>
        </w:tc>
        <w:tc>
          <w:tcPr>
            <w:tcW w:w="506" w:type="pct"/>
            <w:tcBorders>
              <w:top w:val="single" w:sz="4" w:space="0" w:color="auto"/>
              <w:left w:val="nil"/>
              <w:bottom w:val="single" w:sz="4" w:space="0" w:color="auto"/>
              <w:right w:val="nil"/>
            </w:tcBorders>
            <w:shd w:val="clear" w:color="auto" w:fill="auto"/>
            <w:vAlign w:val="bottom"/>
          </w:tcPr>
          <w:p w14:paraId="28C11612" w14:textId="77777777" w:rsidR="00196507" w:rsidRPr="000F120F" w:rsidRDefault="00196507" w:rsidP="00196507">
            <w:pPr>
              <w:pStyle w:val="Tabletext"/>
            </w:pPr>
            <w:r w:rsidRPr="00295986">
              <w:t>5</w:t>
            </w:r>
            <w:r w:rsidR="00D7157D">
              <w:t>.</w:t>
            </w:r>
            <w:r w:rsidRPr="00295986">
              <w:t>063</w:t>
            </w:r>
          </w:p>
        </w:tc>
        <w:tc>
          <w:tcPr>
            <w:tcW w:w="509" w:type="pct"/>
            <w:tcBorders>
              <w:top w:val="single" w:sz="4" w:space="0" w:color="auto"/>
              <w:left w:val="nil"/>
              <w:bottom w:val="single" w:sz="4" w:space="0" w:color="auto"/>
              <w:right w:val="nil"/>
            </w:tcBorders>
            <w:shd w:val="clear" w:color="auto" w:fill="auto"/>
            <w:vAlign w:val="bottom"/>
          </w:tcPr>
          <w:p w14:paraId="12787AB9" w14:textId="77777777" w:rsidR="00196507" w:rsidRPr="000F120F" w:rsidRDefault="00196507" w:rsidP="00196507">
            <w:pPr>
              <w:pStyle w:val="Tabletext"/>
            </w:pPr>
            <w:r w:rsidRPr="00295986">
              <w:t>5</w:t>
            </w:r>
            <w:r w:rsidR="00D7157D">
              <w:t>.</w:t>
            </w:r>
            <w:r w:rsidRPr="00295986">
              <w:t>434</w:t>
            </w:r>
          </w:p>
        </w:tc>
        <w:tc>
          <w:tcPr>
            <w:tcW w:w="509" w:type="pct"/>
            <w:tcBorders>
              <w:top w:val="single" w:sz="4" w:space="0" w:color="auto"/>
              <w:left w:val="nil"/>
              <w:bottom w:val="single" w:sz="4" w:space="0" w:color="auto"/>
              <w:right w:val="nil"/>
            </w:tcBorders>
            <w:shd w:val="clear" w:color="auto" w:fill="auto"/>
            <w:vAlign w:val="bottom"/>
          </w:tcPr>
          <w:p w14:paraId="3308B7F1" w14:textId="77777777" w:rsidR="00196507" w:rsidRPr="000F120F" w:rsidRDefault="00196507" w:rsidP="00196507">
            <w:pPr>
              <w:pStyle w:val="Tabletext"/>
            </w:pPr>
            <w:r w:rsidRPr="00295986">
              <w:t>5</w:t>
            </w:r>
            <w:r w:rsidR="00D7157D">
              <w:t>.</w:t>
            </w:r>
            <w:r w:rsidRPr="00295986">
              <w:t>419</w:t>
            </w:r>
          </w:p>
        </w:tc>
        <w:tc>
          <w:tcPr>
            <w:tcW w:w="508" w:type="pct"/>
            <w:tcBorders>
              <w:top w:val="single" w:sz="4" w:space="0" w:color="auto"/>
              <w:left w:val="nil"/>
              <w:bottom w:val="single" w:sz="4" w:space="0" w:color="auto"/>
              <w:right w:val="nil"/>
            </w:tcBorders>
            <w:shd w:val="clear" w:color="auto" w:fill="auto"/>
            <w:vAlign w:val="bottom"/>
          </w:tcPr>
          <w:p w14:paraId="70855CE2" w14:textId="77777777" w:rsidR="00196507" w:rsidRPr="000F120F" w:rsidRDefault="00196507" w:rsidP="00196507">
            <w:pPr>
              <w:pStyle w:val="Tabletext"/>
            </w:pPr>
            <w:r w:rsidRPr="00295986">
              <w:t>5</w:t>
            </w:r>
            <w:r w:rsidR="00D7157D">
              <w:t>.</w:t>
            </w:r>
            <w:r w:rsidRPr="00295986">
              <w:t>590</w:t>
            </w:r>
          </w:p>
        </w:tc>
        <w:tc>
          <w:tcPr>
            <w:tcW w:w="509" w:type="pct"/>
            <w:tcBorders>
              <w:top w:val="single" w:sz="4" w:space="0" w:color="auto"/>
              <w:left w:val="nil"/>
              <w:bottom w:val="single" w:sz="4" w:space="0" w:color="auto"/>
              <w:right w:val="nil"/>
            </w:tcBorders>
            <w:shd w:val="clear" w:color="auto" w:fill="auto"/>
            <w:vAlign w:val="bottom"/>
          </w:tcPr>
          <w:p w14:paraId="47493D1E" w14:textId="77777777" w:rsidR="00196507" w:rsidRPr="000F120F" w:rsidRDefault="00196507" w:rsidP="00196507">
            <w:pPr>
              <w:pStyle w:val="Tabletext"/>
            </w:pPr>
            <w:r w:rsidRPr="00295986">
              <w:t>5</w:t>
            </w:r>
            <w:r w:rsidR="00D7157D">
              <w:t>.</w:t>
            </w:r>
            <w:r w:rsidRPr="00295986">
              <w:t>558</w:t>
            </w:r>
          </w:p>
        </w:tc>
        <w:tc>
          <w:tcPr>
            <w:tcW w:w="508" w:type="pct"/>
            <w:tcBorders>
              <w:top w:val="single" w:sz="4" w:space="0" w:color="auto"/>
              <w:left w:val="nil"/>
              <w:bottom w:val="single" w:sz="4" w:space="0" w:color="auto"/>
              <w:right w:val="nil"/>
            </w:tcBorders>
            <w:shd w:val="clear" w:color="auto" w:fill="auto"/>
            <w:vAlign w:val="bottom"/>
          </w:tcPr>
          <w:p w14:paraId="5FBA7AD8" w14:textId="77777777" w:rsidR="00196507" w:rsidRPr="000F120F" w:rsidRDefault="00196507" w:rsidP="00196507">
            <w:pPr>
              <w:pStyle w:val="Tabletext"/>
            </w:pPr>
            <w:r w:rsidRPr="00295986">
              <w:t>5</w:t>
            </w:r>
            <w:r w:rsidR="00D7157D">
              <w:t>.</w:t>
            </w:r>
            <w:r w:rsidRPr="00295986">
              <w:t>511</w:t>
            </w:r>
          </w:p>
        </w:tc>
        <w:tc>
          <w:tcPr>
            <w:tcW w:w="509" w:type="pct"/>
            <w:tcBorders>
              <w:top w:val="single" w:sz="4" w:space="0" w:color="auto"/>
              <w:left w:val="nil"/>
              <w:bottom w:val="single" w:sz="4" w:space="0" w:color="auto"/>
              <w:right w:val="nil"/>
            </w:tcBorders>
            <w:vAlign w:val="bottom"/>
          </w:tcPr>
          <w:p w14:paraId="10078D3C" w14:textId="77777777" w:rsidR="00196507" w:rsidRPr="00196507" w:rsidRDefault="00196507" w:rsidP="00196507">
            <w:pPr>
              <w:pStyle w:val="Tabletext"/>
              <w:rPr>
                <w:color w:val="000000" w:themeColor="text1"/>
              </w:rPr>
            </w:pPr>
            <w:r w:rsidRPr="00196507">
              <w:rPr>
                <w:color w:val="000000" w:themeColor="text1"/>
              </w:rPr>
              <w:t>5</w:t>
            </w:r>
            <w:r w:rsidR="00D7157D">
              <w:rPr>
                <w:color w:val="000000" w:themeColor="text1"/>
              </w:rPr>
              <w:t>.</w:t>
            </w:r>
            <w:r w:rsidRPr="00196507">
              <w:rPr>
                <w:color w:val="000000" w:themeColor="text1"/>
              </w:rPr>
              <w:t>630</w:t>
            </w:r>
          </w:p>
        </w:tc>
        <w:tc>
          <w:tcPr>
            <w:tcW w:w="509" w:type="pct"/>
            <w:tcBorders>
              <w:top w:val="single" w:sz="4" w:space="0" w:color="auto"/>
              <w:left w:val="nil"/>
              <w:bottom w:val="single" w:sz="4" w:space="0" w:color="auto"/>
              <w:right w:val="nil"/>
            </w:tcBorders>
            <w:shd w:val="clear" w:color="auto" w:fill="auto"/>
            <w:vAlign w:val="bottom"/>
          </w:tcPr>
          <w:p w14:paraId="0CC1E555" w14:textId="77777777" w:rsidR="00196507" w:rsidRPr="000F120F" w:rsidRDefault="00196507" w:rsidP="00196507">
            <w:pPr>
              <w:pStyle w:val="Tabletext"/>
            </w:pPr>
            <w:r w:rsidRPr="00295986">
              <w:t>5</w:t>
            </w:r>
            <w:r w:rsidR="00D7157D">
              <w:t>.</w:t>
            </w:r>
            <w:r w:rsidRPr="00295986">
              <w:t>670</w:t>
            </w:r>
          </w:p>
        </w:tc>
        <w:tc>
          <w:tcPr>
            <w:tcW w:w="510" w:type="pct"/>
            <w:tcBorders>
              <w:top w:val="single" w:sz="4" w:space="0" w:color="auto"/>
              <w:left w:val="nil"/>
              <w:bottom w:val="single" w:sz="4" w:space="0" w:color="auto"/>
              <w:right w:val="nil"/>
            </w:tcBorders>
            <w:shd w:val="clear" w:color="auto" w:fill="auto"/>
            <w:vAlign w:val="bottom"/>
          </w:tcPr>
          <w:p w14:paraId="058799A4" w14:textId="77777777" w:rsidR="00196507" w:rsidRPr="000F120F" w:rsidRDefault="00196507" w:rsidP="00196507">
            <w:pPr>
              <w:pStyle w:val="Tabletext"/>
            </w:pPr>
            <w:r w:rsidRPr="00295986">
              <w:t>5</w:t>
            </w:r>
            <w:r w:rsidR="00D7157D">
              <w:t>.</w:t>
            </w:r>
            <w:r w:rsidRPr="00295986">
              <w:t>833</w:t>
            </w:r>
          </w:p>
        </w:tc>
      </w:tr>
      <w:tr w:rsidR="00196507" w:rsidRPr="00DF2EC8" w14:paraId="66CF405E" w14:textId="77777777" w:rsidTr="00871911">
        <w:tc>
          <w:tcPr>
            <w:tcW w:w="423" w:type="pct"/>
            <w:tcBorders>
              <w:top w:val="single" w:sz="4" w:space="0" w:color="auto"/>
              <w:left w:val="nil"/>
              <w:bottom w:val="single" w:sz="4" w:space="0" w:color="auto"/>
              <w:right w:val="nil"/>
            </w:tcBorders>
          </w:tcPr>
          <w:p w14:paraId="1B02D196" w14:textId="77777777" w:rsidR="00196507" w:rsidRPr="00A058B6" w:rsidRDefault="00196507" w:rsidP="00196507">
            <w:pPr>
              <w:pStyle w:val="Tabletext"/>
            </w:pPr>
            <w:r>
              <w:t>7</w:t>
            </w:r>
          </w:p>
        </w:tc>
        <w:tc>
          <w:tcPr>
            <w:tcW w:w="506" w:type="pct"/>
            <w:tcBorders>
              <w:top w:val="single" w:sz="4" w:space="0" w:color="auto"/>
              <w:left w:val="nil"/>
              <w:bottom w:val="single" w:sz="4" w:space="0" w:color="auto"/>
              <w:right w:val="nil"/>
            </w:tcBorders>
            <w:shd w:val="clear" w:color="auto" w:fill="auto"/>
            <w:vAlign w:val="bottom"/>
          </w:tcPr>
          <w:p w14:paraId="562F357E" w14:textId="77777777" w:rsidR="00196507" w:rsidRPr="000F120F" w:rsidRDefault="00196507" w:rsidP="00196507">
            <w:pPr>
              <w:pStyle w:val="Tabletext"/>
            </w:pPr>
            <w:r w:rsidRPr="00295986">
              <w:t>5</w:t>
            </w:r>
            <w:r w:rsidR="00D7157D">
              <w:t>.</w:t>
            </w:r>
            <w:r w:rsidRPr="00295986">
              <w:t>748</w:t>
            </w:r>
          </w:p>
        </w:tc>
        <w:tc>
          <w:tcPr>
            <w:tcW w:w="509" w:type="pct"/>
            <w:tcBorders>
              <w:top w:val="single" w:sz="4" w:space="0" w:color="auto"/>
              <w:left w:val="nil"/>
              <w:bottom w:val="single" w:sz="4" w:space="0" w:color="auto"/>
              <w:right w:val="nil"/>
            </w:tcBorders>
            <w:shd w:val="clear" w:color="auto" w:fill="auto"/>
            <w:vAlign w:val="bottom"/>
          </w:tcPr>
          <w:p w14:paraId="6C23FFFB" w14:textId="77777777" w:rsidR="00196507" w:rsidRPr="000F120F" w:rsidRDefault="00196507" w:rsidP="00196507">
            <w:pPr>
              <w:pStyle w:val="Tabletext"/>
            </w:pPr>
            <w:r w:rsidRPr="00295986">
              <w:t>6</w:t>
            </w:r>
            <w:r w:rsidR="00D7157D">
              <w:t>.</w:t>
            </w:r>
            <w:r w:rsidRPr="00295986">
              <w:t>238</w:t>
            </w:r>
          </w:p>
        </w:tc>
        <w:tc>
          <w:tcPr>
            <w:tcW w:w="509" w:type="pct"/>
            <w:tcBorders>
              <w:top w:val="single" w:sz="4" w:space="0" w:color="auto"/>
              <w:left w:val="nil"/>
              <w:bottom w:val="single" w:sz="4" w:space="0" w:color="auto"/>
              <w:right w:val="nil"/>
            </w:tcBorders>
            <w:shd w:val="clear" w:color="auto" w:fill="auto"/>
            <w:vAlign w:val="bottom"/>
          </w:tcPr>
          <w:p w14:paraId="3C203EE3" w14:textId="77777777" w:rsidR="00196507" w:rsidRPr="000F120F" w:rsidRDefault="00196507" w:rsidP="00196507">
            <w:pPr>
              <w:pStyle w:val="Tabletext"/>
            </w:pPr>
            <w:r w:rsidRPr="00295986">
              <w:t>6</w:t>
            </w:r>
            <w:r w:rsidR="00D7157D">
              <w:t>.</w:t>
            </w:r>
            <w:r w:rsidRPr="00295986">
              <w:t>217</w:t>
            </w:r>
          </w:p>
        </w:tc>
        <w:tc>
          <w:tcPr>
            <w:tcW w:w="508" w:type="pct"/>
            <w:tcBorders>
              <w:top w:val="single" w:sz="4" w:space="0" w:color="auto"/>
              <w:left w:val="nil"/>
              <w:bottom w:val="single" w:sz="4" w:space="0" w:color="auto"/>
              <w:right w:val="nil"/>
            </w:tcBorders>
            <w:shd w:val="clear" w:color="auto" w:fill="auto"/>
            <w:vAlign w:val="bottom"/>
          </w:tcPr>
          <w:p w14:paraId="3C196A4C" w14:textId="77777777" w:rsidR="00196507" w:rsidRPr="000F120F" w:rsidRDefault="00196507" w:rsidP="00196507">
            <w:pPr>
              <w:pStyle w:val="Tabletext"/>
            </w:pPr>
            <w:r w:rsidRPr="00295986">
              <w:t>6</w:t>
            </w:r>
            <w:r w:rsidR="00D7157D">
              <w:t>.</w:t>
            </w:r>
            <w:r w:rsidRPr="00295986">
              <w:t>446</w:t>
            </w:r>
          </w:p>
        </w:tc>
        <w:tc>
          <w:tcPr>
            <w:tcW w:w="509" w:type="pct"/>
            <w:tcBorders>
              <w:top w:val="single" w:sz="4" w:space="0" w:color="auto"/>
              <w:left w:val="nil"/>
              <w:bottom w:val="single" w:sz="4" w:space="0" w:color="auto"/>
              <w:right w:val="nil"/>
            </w:tcBorders>
            <w:shd w:val="clear" w:color="auto" w:fill="auto"/>
            <w:vAlign w:val="bottom"/>
          </w:tcPr>
          <w:p w14:paraId="360FCBAA" w14:textId="77777777" w:rsidR="00196507" w:rsidRPr="000F120F" w:rsidRDefault="00196507" w:rsidP="00196507">
            <w:pPr>
              <w:pStyle w:val="Tabletext"/>
            </w:pPr>
            <w:r w:rsidRPr="00295986">
              <w:t>6</w:t>
            </w:r>
            <w:r w:rsidR="00D7157D">
              <w:t>.</w:t>
            </w:r>
            <w:r w:rsidRPr="00295986">
              <w:t>404</w:t>
            </w:r>
          </w:p>
        </w:tc>
        <w:tc>
          <w:tcPr>
            <w:tcW w:w="508" w:type="pct"/>
            <w:tcBorders>
              <w:top w:val="single" w:sz="4" w:space="0" w:color="auto"/>
              <w:left w:val="nil"/>
              <w:bottom w:val="single" w:sz="4" w:space="0" w:color="auto"/>
              <w:right w:val="nil"/>
            </w:tcBorders>
            <w:shd w:val="clear" w:color="auto" w:fill="auto"/>
            <w:vAlign w:val="bottom"/>
          </w:tcPr>
          <w:p w14:paraId="1704FB5F" w14:textId="77777777" w:rsidR="00196507" w:rsidRPr="000F120F" w:rsidRDefault="00196507" w:rsidP="00196507">
            <w:pPr>
              <w:pStyle w:val="Tabletext"/>
            </w:pPr>
            <w:r w:rsidRPr="00295986">
              <w:t>6</w:t>
            </w:r>
            <w:r w:rsidR="00D7157D">
              <w:t>.</w:t>
            </w:r>
            <w:r w:rsidRPr="00295986">
              <w:t>341</w:t>
            </w:r>
          </w:p>
        </w:tc>
        <w:tc>
          <w:tcPr>
            <w:tcW w:w="509" w:type="pct"/>
            <w:tcBorders>
              <w:top w:val="single" w:sz="4" w:space="0" w:color="auto"/>
              <w:left w:val="nil"/>
              <w:bottom w:val="single" w:sz="4" w:space="0" w:color="auto"/>
              <w:right w:val="nil"/>
            </w:tcBorders>
            <w:vAlign w:val="bottom"/>
          </w:tcPr>
          <w:p w14:paraId="352C3159" w14:textId="77777777" w:rsidR="00196507" w:rsidRPr="00196507" w:rsidRDefault="00196507" w:rsidP="00196507">
            <w:pPr>
              <w:pStyle w:val="Tabletext"/>
              <w:rPr>
                <w:color w:val="000000" w:themeColor="text1"/>
              </w:rPr>
            </w:pPr>
            <w:r w:rsidRPr="00196507">
              <w:rPr>
                <w:color w:val="000000" w:themeColor="text1"/>
              </w:rPr>
              <w:t>6</w:t>
            </w:r>
            <w:r w:rsidR="00D7157D">
              <w:rPr>
                <w:color w:val="000000" w:themeColor="text1"/>
              </w:rPr>
              <w:t>.</w:t>
            </w:r>
            <w:r w:rsidRPr="00196507">
              <w:rPr>
                <w:color w:val="000000" w:themeColor="text1"/>
              </w:rPr>
              <w:t>500</w:t>
            </w:r>
          </w:p>
        </w:tc>
        <w:tc>
          <w:tcPr>
            <w:tcW w:w="509" w:type="pct"/>
            <w:tcBorders>
              <w:top w:val="single" w:sz="4" w:space="0" w:color="auto"/>
              <w:left w:val="nil"/>
              <w:bottom w:val="single" w:sz="4" w:space="0" w:color="auto"/>
              <w:right w:val="nil"/>
            </w:tcBorders>
            <w:shd w:val="clear" w:color="auto" w:fill="auto"/>
            <w:vAlign w:val="bottom"/>
          </w:tcPr>
          <w:p w14:paraId="7B6DE1E5" w14:textId="77777777" w:rsidR="00196507" w:rsidRPr="000F120F" w:rsidRDefault="00196507" w:rsidP="00196507">
            <w:pPr>
              <w:pStyle w:val="Tabletext"/>
            </w:pPr>
            <w:r w:rsidRPr="00295986">
              <w:t>6</w:t>
            </w:r>
            <w:r w:rsidR="00D7157D">
              <w:t>.</w:t>
            </w:r>
            <w:r w:rsidRPr="00295986">
              <w:t>553</w:t>
            </w:r>
          </w:p>
        </w:tc>
        <w:tc>
          <w:tcPr>
            <w:tcW w:w="510" w:type="pct"/>
            <w:tcBorders>
              <w:top w:val="single" w:sz="4" w:space="0" w:color="auto"/>
              <w:left w:val="nil"/>
              <w:bottom w:val="single" w:sz="4" w:space="0" w:color="auto"/>
              <w:right w:val="nil"/>
            </w:tcBorders>
            <w:shd w:val="clear" w:color="auto" w:fill="auto"/>
            <w:vAlign w:val="bottom"/>
          </w:tcPr>
          <w:p w14:paraId="418001BB" w14:textId="77777777" w:rsidR="00196507" w:rsidRPr="000F120F" w:rsidRDefault="00196507" w:rsidP="00196507">
            <w:pPr>
              <w:pStyle w:val="Tabletext"/>
            </w:pPr>
            <w:r w:rsidRPr="00295986">
              <w:t>6</w:t>
            </w:r>
            <w:r w:rsidR="00D7157D">
              <w:t>.</w:t>
            </w:r>
            <w:r w:rsidRPr="00295986">
              <w:t>773</w:t>
            </w:r>
          </w:p>
        </w:tc>
      </w:tr>
      <w:tr w:rsidR="00196507" w:rsidRPr="00DF2EC8" w14:paraId="585C2D45" w14:textId="77777777" w:rsidTr="00871911">
        <w:tc>
          <w:tcPr>
            <w:tcW w:w="423" w:type="pct"/>
            <w:tcBorders>
              <w:top w:val="single" w:sz="4" w:space="0" w:color="auto"/>
              <w:left w:val="nil"/>
              <w:bottom w:val="single" w:sz="4" w:space="0" w:color="auto"/>
              <w:right w:val="nil"/>
            </w:tcBorders>
          </w:tcPr>
          <w:p w14:paraId="37E54365" w14:textId="77777777" w:rsidR="00196507" w:rsidRPr="00A058B6" w:rsidRDefault="00196507" w:rsidP="00196507">
            <w:pPr>
              <w:pStyle w:val="Tabletext"/>
            </w:pPr>
            <w:r>
              <w:t>8</w:t>
            </w:r>
          </w:p>
        </w:tc>
        <w:tc>
          <w:tcPr>
            <w:tcW w:w="506" w:type="pct"/>
            <w:tcBorders>
              <w:top w:val="single" w:sz="4" w:space="0" w:color="auto"/>
              <w:left w:val="nil"/>
              <w:bottom w:val="single" w:sz="4" w:space="0" w:color="auto"/>
              <w:right w:val="nil"/>
            </w:tcBorders>
            <w:shd w:val="clear" w:color="auto" w:fill="auto"/>
            <w:vAlign w:val="bottom"/>
          </w:tcPr>
          <w:p w14:paraId="71574D15" w14:textId="77777777" w:rsidR="00196507" w:rsidRPr="000F120F" w:rsidRDefault="00196507" w:rsidP="00196507">
            <w:pPr>
              <w:pStyle w:val="Tabletext"/>
            </w:pPr>
            <w:r w:rsidRPr="00295986">
              <w:t>6</w:t>
            </w:r>
            <w:r w:rsidR="00D7157D">
              <w:t>.</w:t>
            </w:r>
            <w:r w:rsidRPr="00295986">
              <w:t>394</w:t>
            </w:r>
          </w:p>
        </w:tc>
        <w:tc>
          <w:tcPr>
            <w:tcW w:w="509" w:type="pct"/>
            <w:tcBorders>
              <w:top w:val="single" w:sz="4" w:space="0" w:color="auto"/>
              <w:left w:val="nil"/>
              <w:bottom w:val="single" w:sz="4" w:space="0" w:color="auto"/>
              <w:right w:val="nil"/>
            </w:tcBorders>
            <w:shd w:val="clear" w:color="auto" w:fill="auto"/>
            <w:vAlign w:val="bottom"/>
          </w:tcPr>
          <w:p w14:paraId="3D352533" w14:textId="77777777" w:rsidR="00196507" w:rsidRPr="000F120F" w:rsidRDefault="00196507" w:rsidP="00196507">
            <w:pPr>
              <w:pStyle w:val="Tabletext"/>
            </w:pPr>
            <w:r w:rsidRPr="00295986">
              <w:t>7</w:t>
            </w:r>
            <w:r w:rsidR="00D7157D">
              <w:t>.</w:t>
            </w:r>
            <w:r w:rsidRPr="00295986">
              <w:t>015</w:t>
            </w:r>
          </w:p>
        </w:tc>
        <w:tc>
          <w:tcPr>
            <w:tcW w:w="509" w:type="pct"/>
            <w:tcBorders>
              <w:top w:val="single" w:sz="4" w:space="0" w:color="auto"/>
              <w:left w:val="nil"/>
              <w:bottom w:val="single" w:sz="4" w:space="0" w:color="auto"/>
              <w:right w:val="nil"/>
            </w:tcBorders>
            <w:shd w:val="clear" w:color="auto" w:fill="auto"/>
            <w:vAlign w:val="bottom"/>
          </w:tcPr>
          <w:p w14:paraId="3AE0F80F" w14:textId="77777777" w:rsidR="00196507" w:rsidRPr="000F120F" w:rsidRDefault="00196507" w:rsidP="00196507">
            <w:pPr>
              <w:pStyle w:val="Tabletext"/>
            </w:pPr>
            <w:r w:rsidRPr="00295986">
              <w:t>6</w:t>
            </w:r>
            <w:r w:rsidR="00D7157D">
              <w:t>.</w:t>
            </w:r>
            <w:r w:rsidRPr="00295986">
              <w:t>989</w:t>
            </w:r>
          </w:p>
        </w:tc>
        <w:tc>
          <w:tcPr>
            <w:tcW w:w="508" w:type="pct"/>
            <w:tcBorders>
              <w:top w:val="single" w:sz="4" w:space="0" w:color="auto"/>
              <w:left w:val="nil"/>
              <w:bottom w:val="single" w:sz="4" w:space="0" w:color="auto"/>
              <w:right w:val="nil"/>
            </w:tcBorders>
            <w:shd w:val="clear" w:color="auto" w:fill="auto"/>
            <w:vAlign w:val="bottom"/>
          </w:tcPr>
          <w:p w14:paraId="63992BD1" w14:textId="77777777" w:rsidR="00196507" w:rsidRPr="000F120F" w:rsidRDefault="00196507" w:rsidP="00196507">
            <w:pPr>
              <w:pStyle w:val="Tabletext"/>
            </w:pPr>
            <w:r w:rsidRPr="00295986">
              <w:t>7</w:t>
            </w:r>
            <w:r w:rsidR="00D7157D">
              <w:t>.</w:t>
            </w:r>
            <w:r w:rsidRPr="00295986">
              <w:t>282</w:t>
            </w:r>
          </w:p>
        </w:tc>
        <w:tc>
          <w:tcPr>
            <w:tcW w:w="509" w:type="pct"/>
            <w:tcBorders>
              <w:top w:val="single" w:sz="4" w:space="0" w:color="auto"/>
              <w:left w:val="nil"/>
              <w:bottom w:val="single" w:sz="4" w:space="0" w:color="auto"/>
              <w:right w:val="nil"/>
            </w:tcBorders>
            <w:shd w:val="clear" w:color="auto" w:fill="auto"/>
            <w:vAlign w:val="bottom"/>
          </w:tcPr>
          <w:p w14:paraId="0632DF00" w14:textId="77777777" w:rsidR="00196507" w:rsidRPr="000F120F" w:rsidRDefault="00196507" w:rsidP="00196507">
            <w:pPr>
              <w:pStyle w:val="Tabletext"/>
            </w:pPr>
            <w:r w:rsidRPr="00295986">
              <w:t>7</w:t>
            </w:r>
            <w:r w:rsidR="00D7157D">
              <w:t>.</w:t>
            </w:r>
            <w:r w:rsidRPr="00295986">
              <w:t>228</w:t>
            </w:r>
          </w:p>
        </w:tc>
        <w:tc>
          <w:tcPr>
            <w:tcW w:w="508" w:type="pct"/>
            <w:tcBorders>
              <w:top w:val="single" w:sz="4" w:space="0" w:color="auto"/>
              <w:left w:val="nil"/>
              <w:bottom w:val="single" w:sz="4" w:space="0" w:color="auto"/>
              <w:right w:val="nil"/>
            </w:tcBorders>
            <w:shd w:val="clear" w:color="auto" w:fill="auto"/>
            <w:vAlign w:val="bottom"/>
          </w:tcPr>
          <w:p w14:paraId="68A1AFF4" w14:textId="77777777" w:rsidR="00196507" w:rsidRPr="000F120F" w:rsidRDefault="00196507" w:rsidP="00196507">
            <w:pPr>
              <w:pStyle w:val="Tabletext"/>
            </w:pPr>
            <w:r w:rsidRPr="00295986">
              <w:t>7</w:t>
            </w:r>
            <w:r w:rsidR="00D7157D">
              <w:t>.</w:t>
            </w:r>
            <w:r w:rsidRPr="00295986">
              <w:t>148</w:t>
            </w:r>
          </w:p>
        </w:tc>
        <w:tc>
          <w:tcPr>
            <w:tcW w:w="509" w:type="pct"/>
            <w:tcBorders>
              <w:top w:val="single" w:sz="4" w:space="0" w:color="auto"/>
              <w:left w:val="nil"/>
              <w:bottom w:val="single" w:sz="4" w:space="0" w:color="auto"/>
              <w:right w:val="nil"/>
            </w:tcBorders>
            <w:vAlign w:val="bottom"/>
          </w:tcPr>
          <w:p w14:paraId="1DE8233F" w14:textId="77777777" w:rsidR="00196507" w:rsidRPr="00196507" w:rsidRDefault="00196507" w:rsidP="00196507">
            <w:pPr>
              <w:pStyle w:val="Tabletext"/>
              <w:rPr>
                <w:color w:val="000000" w:themeColor="text1"/>
              </w:rPr>
            </w:pPr>
            <w:r w:rsidRPr="00196507">
              <w:rPr>
                <w:color w:val="000000" w:themeColor="text1"/>
              </w:rPr>
              <w:t>7</w:t>
            </w:r>
            <w:r w:rsidR="00D7157D">
              <w:rPr>
                <w:color w:val="000000" w:themeColor="text1"/>
              </w:rPr>
              <w:t>.</w:t>
            </w:r>
            <w:r w:rsidRPr="00196507">
              <w:rPr>
                <w:color w:val="000000" w:themeColor="text1"/>
              </w:rPr>
              <w:t>351</w:t>
            </w:r>
          </w:p>
        </w:tc>
        <w:tc>
          <w:tcPr>
            <w:tcW w:w="509" w:type="pct"/>
            <w:tcBorders>
              <w:top w:val="single" w:sz="4" w:space="0" w:color="auto"/>
              <w:left w:val="nil"/>
              <w:bottom w:val="single" w:sz="4" w:space="0" w:color="auto"/>
              <w:right w:val="nil"/>
            </w:tcBorders>
            <w:shd w:val="clear" w:color="auto" w:fill="auto"/>
            <w:vAlign w:val="bottom"/>
          </w:tcPr>
          <w:p w14:paraId="6D9CE82C" w14:textId="77777777" w:rsidR="00196507" w:rsidRPr="000F120F" w:rsidRDefault="00196507" w:rsidP="00196507">
            <w:pPr>
              <w:pStyle w:val="Tabletext"/>
            </w:pPr>
            <w:r w:rsidRPr="00295986">
              <w:t>7</w:t>
            </w:r>
            <w:r w:rsidR="00D7157D">
              <w:t>.</w:t>
            </w:r>
            <w:r w:rsidRPr="00295986">
              <w:t>420</w:t>
            </w:r>
          </w:p>
        </w:tc>
        <w:tc>
          <w:tcPr>
            <w:tcW w:w="510" w:type="pct"/>
            <w:tcBorders>
              <w:top w:val="single" w:sz="4" w:space="0" w:color="auto"/>
              <w:left w:val="nil"/>
              <w:bottom w:val="single" w:sz="4" w:space="0" w:color="auto"/>
              <w:right w:val="nil"/>
            </w:tcBorders>
            <w:shd w:val="clear" w:color="auto" w:fill="auto"/>
            <w:vAlign w:val="bottom"/>
          </w:tcPr>
          <w:p w14:paraId="3783DA58" w14:textId="77777777" w:rsidR="00196507" w:rsidRPr="000F120F" w:rsidRDefault="00196507" w:rsidP="00196507">
            <w:pPr>
              <w:pStyle w:val="Tabletext"/>
            </w:pPr>
            <w:r w:rsidRPr="00295986">
              <w:t>7</w:t>
            </w:r>
            <w:r w:rsidR="00D7157D">
              <w:t>.</w:t>
            </w:r>
            <w:r w:rsidRPr="00295986">
              <w:t>705</w:t>
            </w:r>
          </w:p>
        </w:tc>
      </w:tr>
      <w:tr w:rsidR="00196507" w:rsidRPr="00DF2EC8" w14:paraId="10216634" w14:textId="77777777" w:rsidTr="00871911">
        <w:tc>
          <w:tcPr>
            <w:tcW w:w="423" w:type="pct"/>
            <w:tcBorders>
              <w:top w:val="single" w:sz="4" w:space="0" w:color="auto"/>
              <w:left w:val="nil"/>
              <w:bottom w:val="single" w:sz="4" w:space="0" w:color="auto"/>
              <w:right w:val="nil"/>
            </w:tcBorders>
          </w:tcPr>
          <w:p w14:paraId="63419EF5" w14:textId="77777777" w:rsidR="00196507" w:rsidRPr="00A058B6" w:rsidRDefault="00196507" w:rsidP="00196507">
            <w:pPr>
              <w:pStyle w:val="Tabletext"/>
            </w:pPr>
            <w:r>
              <w:t>9</w:t>
            </w:r>
          </w:p>
        </w:tc>
        <w:tc>
          <w:tcPr>
            <w:tcW w:w="506" w:type="pct"/>
            <w:tcBorders>
              <w:top w:val="single" w:sz="4" w:space="0" w:color="auto"/>
              <w:left w:val="nil"/>
              <w:bottom w:val="single" w:sz="4" w:space="0" w:color="auto"/>
              <w:right w:val="nil"/>
            </w:tcBorders>
            <w:shd w:val="clear" w:color="auto" w:fill="auto"/>
            <w:vAlign w:val="bottom"/>
          </w:tcPr>
          <w:p w14:paraId="677C169C" w14:textId="77777777" w:rsidR="00196507" w:rsidRPr="000F120F" w:rsidRDefault="00196507" w:rsidP="00196507">
            <w:pPr>
              <w:pStyle w:val="Tabletext"/>
            </w:pPr>
            <w:r w:rsidRPr="00295986">
              <w:t>7</w:t>
            </w:r>
            <w:r w:rsidR="00D7157D">
              <w:t>.</w:t>
            </w:r>
            <w:r w:rsidRPr="00295986">
              <w:t>004</w:t>
            </w:r>
          </w:p>
        </w:tc>
        <w:tc>
          <w:tcPr>
            <w:tcW w:w="509" w:type="pct"/>
            <w:tcBorders>
              <w:top w:val="single" w:sz="4" w:space="0" w:color="auto"/>
              <w:left w:val="nil"/>
              <w:bottom w:val="single" w:sz="4" w:space="0" w:color="auto"/>
              <w:right w:val="nil"/>
            </w:tcBorders>
            <w:shd w:val="clear" w:color="auto" w:fill="auto"/>
            <w:vAlign w:val="bottom"/>
          </w:tcPr>
          <w:p w14:paraId="1E7C574F" w14:textId="77777777" w:rsidR="00196507" w:rsidRPr="000F120F" w:rsidRDefault="00196507" w:rsidP="00196507">
            <w:pPr>
              <w:pStyle w:val="Tabletext"/>
            </w:pPr>
            <w:r w:rsidRPr="00295986">
              <w:t>7</w:t>
            </w:r>
            <w:r w:rsidR="00D7157D">
              <w:t>.</w:t>
            </w:r>
            <w:r w:rsidRPr="00295986">
              <w:t>767</w:t>
            </w:r>
          </w:p>
        </w:tc>
        <w:tc>
          <w:tcPr>
            <w:tcW w:w="509" w:type="pct"/>
            <w:tcBorders>
              <w:top w:val="single" w:sz="4" w:space="0" w:color="auto"/>
              <w:left w:val="nil"/>
              <w:bottom w:val="single" w:sz="4" w:space="0" w:color="auto"/>
              <w:right w:val="nil"/>
            </w:tcBorders>
            <w:shd w:val="clear" w:color="auto" w:fill="auto"/>
            <w:vAlign w:val="bottom"/>
          </w:tcPr>
          <w:p w14:paraId="232E361C" w14:textId="77777777" w:rsidR="00196507" w:rsidRPr="000F120F" w:rsidRDefault="00196507" w:rsidP="00196507">
            <w:pPr>
              <w:pStyle w:val="Tabletext"/>
            </w:pPr>
            <w:r w:rsidRPr="00295986">
              <w:t>7</w:t>
            </w:r>
            <w:r w:rsidR="00D7157D">
              <w:t>.</w:t>
            </w:r>
            <w:r w:rsidRPr="00295986">
              <w:t>735</w:t>
            </w:r>
          </w:p>
        </w:tc>
        <w:tc>
          <w:tcPr>
            <w:tcW w:w="508" w:type="pct"/>
            <w:tcBorders>
              <w:top w:val="single" w:sz="4" w:space="0" w:color="auto"/>
              <w:left w:val="nil"/>
              <w:bottom w:val="single" w:sz="4" w:space="0" w:color="auto"/>
              <w:right w:val="nil"/>
            </w:tcBorders>
            <w:shd w:val="clear" w:color="auto" w:fill="auto"/>
            <w:vAlign w:val="bottom"/>
          </w:tcPr>
          <w:p w14:paraId="3EDEA3CB" w14:textId="77777777" w:rsidR="00196507" w:rsidRPr="000F120F" w:rsidRDefault="00196507" w:rsidP="00196507">
            <w:pPr>
              <w:pStyle w:val="Tabletext"/>
            </w:pPr>
            <w:r w:rsidRPr="00295986">
              <w:t>8</w:t>
            </w:r>
            <w:r w:rsidR="00D7157D">
              <w:t>.</w:t>
            </w:r>
            <w:r w:rsidRPr="00295986">
              <w:t>099</w:t>
            </w:r>
          </w:p>
        </w:tc>
        <w:tc>
          <w:tcPr>
            <w:tcW w:w="509" w:type="pct"/>
            <w:tcBorders>
              <w:top w:val="single" w:sz="4" w:space="0" w:color="auto"/>
              <w:left w:val="nil"/>
              <w:bottom w:val="single" w:sz="4" w:space="0" w:color="auto"/>
              <w:right w:val="nil"/>
            </w:tcBorders>
            <w:shd w:val="clear" w:color="auto" w:fill="auto"/>
            <w:vAlign w:val="bottom"/>
          </w:tcPr>
          <w:p w14:paraId="7E3E717E" w14:textId="77777777" w:rsidR="00196507" w:rsidRPr="000F120F" w:rsidRDefault="00196507" w:rsidP="00196507">
            <w:pPr>
              <w:pStyle w:val="Tabletext"/>
            </w:pPr>
            <w:r w:rsidRPr="00295986">
              <w:t>8</w:t>
            </w:r>
            <w:r w:rsidR="00D7157D">
              <w:t>.</w:t>
            </w:r>
            <w:r w:rsidRPr="00295986">
              <w:t>031</w:t>
            </w:r>
          </w:p>
        </w:tc>
        <w:tc>
          <w:tcPr>
            <w:tcW w:w="508" w:type="pct"/>
            <w:tcBorders>
              <w:top w:val="single" w:sz="4" w:space="0" w:color="auto"/>
              <w:left w:val="nil"/>
              <w:bottom w:val="single" w:sz="4" w:space="0" w:color="auto"/>
              <w:right w:val="nil"/>
            </w:tcBorders>
            <w:shd w:val="clear" w:color="auto" w:fill="auto"/>
            <w:vAlign w:val="bottom"/>
          </w:tcPr>
          <w:p w14:paraId="3C94EB4E" w14:textId="77777777" w:rsidR="00196507" w:rsidRPr="000F120F" w:rsidRDefault="00196507" w:rsidP="00196507">
            <w:pPr>
              <w:pStyle w:val="Tabletext"/>
            </w:pPr>
            <w:r w:rsidRPr="00295986">
              <w:t>7</w:t>
            </w:r>
            <w:r w:rsidR="00D7157D">
              <w:t>.</w:t>
            </w:r>
            <w:r w:rsidRPr="00295986">
              <w:t>931</w:t>
            </w:r>
          </w:p>
        </w:tc>
        <w:tc>
          <w:tcPr>
            <w:tcW w:w="509" w:type="pct"/>
            <w:tcBorders>
              <w:top w:val="single" w:sz="4" w:space="0" w:color="auto"/>
              <w:left w:val="nil"/>
              <w:bottom w:val="single" w:sz="4" w:space="0" w:color="auto"/>
              <w:right w:val="nil"/>
            </w:tcBorders>
            <w:vAlign w:val="bottom"/>
          </w:tcPr>
          <w:p w14:paraId="3813E4FB" w14:textId="77777777" w:rsidR="00196507" w:rsidRPr="00196507" w:rsidRDefault="00196507" w:rsidP="00196507">
            <w:pPr>
              <w:pStyle w:val="Tabletext"/>
              <w:rPr>
                <w:color w:val="000000" w:themeColor="text1"/>
              </w:rPr>
            </w:pPr>
            <w:r w:rsidRPr="00196507">
              <w:rPr>
                <w:color w:val="000000" w:themeColor="text1"/>
              </w:rPr>
              <w:t>8</w:t>
            </w:r>
            <w:r w:rsidR="00D7157D">
              <w:rPr>
                <w:color w:val="000000" w:themeColor="text1"/>
              </w:rPr>
              <w:t>.</w:t>
            </w:r>
            <w:r w:rsidRPr="00196507">
              <w:rPr>
                <w:color w:val="000000" w:themeColor="text1"/>
              </w:rPr>
              <w:t>184</w:t>
            </w:r>
          </w:p>
        </w:tc>
        <w:tc>
          <w:tcPr>
            <w:tcW w:w="509" w:type="pct"/>
            <w:tcBorders>
              <w:top w:val="single" w:sz="4" w:space="0" w:color="auto"/>
              <w:left w:val="nil"/>
              <w:bottom w:val="single" w:sz="4" w:space="0" w:color="auto"/>
              <w:right w:val="nil"/>
            </w:tcBorders>
            <w:shd w:val="clear" w:color="auto" w:fill="auto"/>
            <w:vAlign w:val="bottom"/>
          </w:tcPr>
          <w:p w14:paraId="6E443C42" w14:textId="77777777" w:rsidR="00196507" w:rsidRPr="000F120F" w:rsidRDefault="00196507" w:rsidP="00196507">
            <w:pPr>
              <w:pStyle w:val="Tabletext"/>
            </w:pPr>
            <w:r w:rsidRPr="00295986">
              <w:t>8</w:t>
            </w:r>
            <w:r w:rsidR="00D7157D">
              <w:t>.</w:t>
            </w:r>
            <w:r w:rsidRPr="00295986">
              <w:t>271</w:t>
            </w:r>
          </w:p>
        </w:tc>
        <w:tc>
          <w:tcPr>
            <w:tcW w:w="510" w:type="pct"/>
            <w:tcBorders>
              <w:top w:val="single" w:sz="4" w:space="0" w:color="auto"/>
              <w:left w:val="nil"/>
              <w:bottom w:val="single" w:sz="4" w:space="0" w:color="auto"/>
              <w:right w:val="nil"/>
            </w:tcBorders>
            <w:shd w:val="clear" w:color="auto" w:fill="auto"/>
            <w:vAlign w:val="bottom"/>
          </w:tcPr>
          <w:p w14:paraId="4AC8B054" w14:textId="77777777" w:rsidR="00196507" w:rsidRPr="000F120F" w:rsidRDefault="00196507" w:rsidP="00196507">
            <w:pPr>
              <w:pStyle w:val="Tabletext"/>
            </w:pPr>
            <w:r w:rsidRPr="00295986">
              <w:t>8</w:t>
            </w:r>
            <w:r w:rsidR="00D7157D">
              <w:t>.</w:t>
            </w:r>
            <w:r w:rsidRPr="00295986">
              <w:t>627</w:t>
            </w:r>
          </w:p>
        </w:tc>
      </w:tr>
      <w:tr w:rsidR="00196507" w:rsidRPr="00DF2EC8" w14:paraId="25FA4108" w14:textId="77777777" w:rsidTr="00871911">
        <w:tc>
          <w:tcPr>
            <w:tcW w:w="423" w:type="pct"/>
            <w:tcBorders>
              <w:top w:val="single" w:sz="4" w:space="0" w:color="auto"/>
              <w:left w:val="nil"/>
              <w:bottom w:val="single" w:sz="4" w:space="0" w:color="auto"/>
              <w:right w:val="nil"/>
            </w:tcBorders>
          </w:tcPr>
          <w:p w14:paraId="6C5A8AA4" w14:textId="77777777" w:rsidR="00196507" w:rsidRPr="00A058B6" w:rsidRDefault="00196507" w:rsidP="00196507">
            <w:pPr>
              <w:pStyle w:val="Tabletext"/>
            </w:pPr>
            <w:r>
              <w:t>10</w:t>
            </w:r>
          </w:p>
        </w:tc>
        <w:tc>
          <w:tcPr>
            <w:tcW w:w="506" w:type="pct"/>
            <w:tcBorders>
              <w:top w:val="single" w:sz="4" w:space="0" w:color="auto"/>
              <w:left w:val="nil"/>
              <w:bottom w:val="single" w:sz="4" w:space="0" w:color="auto"/>
              <w:right w:val="nil"/>
            </w:tcBorders>
            <w:shd w:val="clear" w:color="auto" w:fill="auto"/>
            <w:vAlign w:val="bottom"/>
          </w:tcPr>
          <w:p w14:paraId="6885A6CB" w14:textId="77777777" w:rsidR="00196507" w:rsidRPr="000F120F" w:rsidRDefault="00196507" w:rsidP="00196507">
            <w:pPr>
              <w:pStyle w:val="Tabletext"/>
            </w:pPr>
            <w:r w:rsidRPr="00295986">
              <w:t>7</w:t>
            </w:r>
            <w:r w:rsidR="00D7157D">
              <w:t>.</w:t>
            </w:r>
            <w:r w:rsidRPr="00295986">
              <w:t>578</w:t>
            </w:r>
          </w:p>
        </w:tc>
        <w:tc>
          <w:tcPr>
            <w:tcW w:w="509" w:type="pct"/>
            <w:tcBorders>
              <w:top w:val="single" w:sz="4" w:space="0" w:color="auto"/>
              <w:left w:val="nil"/>
              <w:bottom w:val="single" w:sz="4" w:space="0" w:color="auto"/>
              <w:right w:val="nil"/>
            </w:tcBorders>
            <w:shd w:val="clear" w:color="auto" w:fill="auto"/>
            <w:vAlign w:val="bottom"/>
          </w:tcPr>
          <w:p w14:paraId="6A5CA544" w14:textId="77777777" w:rsidR="00196507" w:rsidRPr="000F120F" w:rsidRDefault="00196507" w:rsidP="00196507">
            <w:pPr>
              <w:pStyle w:val="Tabletext"/>
            </w:pPr>
            <w:r w:rsidRPr="00295986">
              <w:t>8</w:t>
            </w:r>
            <w:r w:rsidR="00D7157D">
              <w:t>.</w:t>
            </w:r>
            <w:r w:rsidRPr="00295986">
              <w:t>494</w:t>
            </w:r>
          </w:p>
        </w:tc>
        <w:tc>
          <w:tcPr>
            <w:tcW w:w="509" w:type="pct"/>
            <w:tcBorders>
              <w:top w:val="single" w:sz="4" w:space="0" w:color="auto"/>
              <w:left w:val="nil"/>
              <w:bottom w:val="single" w:sz="4" w:space="0" w:color="auto"/>
              <w:right w:val="nil"/>
            </w:tcBorders>
            <w:shd w:val="clear" w:color="auto" w:fill="auto"/>
            <w:vAlign w:val="bottom"/>
          </w:tcPr>
          <w:p w14:paraId="7F3D14A4" w14:textId="77777777" w:rsidR="00196507" w:rsidRPr="000F120F" w:rsidRDefault="00196507" w:rsidP="00196507">
            <w:pPr>
              <w:pStyle w:val="Tabletext"/>
            </w:pPr>
            <w:r w:rsidRPr="00295986">
              <w:t>8</w:t>
            </w:r>
            <w:r w:rsidR="00D7157D">
              <w:t>.</w:t>
            </w:r>
            <w:r w:rsidRPr="00295986">
              <w:t>455</w:t>
            </w:r>
          </w:p>
        </w:tc>
        <w:tc>
          <w:tcPr>
            <w:tcW w:w="508" w:type="pct"/>
            <w:tcBorders>
              <w:top w:val="single" w:sz="4" w:space="0" w:color="auto"/>
              <w:left w:val="nil"/>
              <w:bottom w:val="single" w:sz="4" w:space="0" w:color="auto"/>
              <w:right w:val="nil"/>
            </w:tcBorders>
            <w:shd w:val="clear" w:color="auto" w:fill="auto"/>
            <w:vAlign w:val="bottom"/>
          </w:tcPr>
          <w:p w14:paraId="654DC9D8" w14:textId="77777777" w:rsidR="00196507" w:rsidRPr="000F120F" w:rsidRDefault="00196507" w:rsidP="00196507">
            <w:pPr>
              <w:pStyle w:val="Tabletext"/>
            </w:pPr>
            <w:r w:rsidRPr="00295986">
              <w:t>8</w:t>
            </w:r>
            <w:r w:rsidR="00D7157D">
              <w:t>.</w:t>
            </w:r>
            <w:r w:rsidRPr="00295986">
              <w:t>896</w:t>
            </w:r>
          </w:p>
        </w:tc>
        <w:tc>
          <w:tcPr>
            <w:tcW w:w="509" w:type="pct"/>
            <w:tcBorders>
              <w:top w:val="single" w:sz="4" w:space="0" w:color="auto"/>
              <w:left w:val="nil"/>
              <w:bottom w:val="single" w:sz="4" w:space="0" w:color="auto"/>
              <w:right w:val="nil"/>
            </w:tcBorders>
            <w:shd w:val="clear" w:color="auto" w:fill="auto"/>
            <w:vAlign w:val="bottom"/>
          </w:tcPr>
          <w:p w14:paraId="74453D74" w14:textId="77777777" w:rsidR="00196507" w:rsidRPr="000F120F" w:rsidRDefault="00196507" w:rsidP="00196507">
            <w:pPr>
              <w:pStyle w:val="Tabletext"/>
            </w:pPr>
            <w:r w:rsidRPr="00295986">
              <w:t>8</w:t>
            </w:r>
            <w:r w:rsidR="00D7157D">
              <w:t>.</w:t>
            </w:r>
            <w:r w:rsidRPr="00295986">
              <w:t>814</w:t>
            </w:r>
          </w:p>
        </w:tc>
        <w:tc>
          <w:tcPr>
            <w:tcW w:w="508" w:type="pct"/>
            <w:tcBorders>
              <w:top w:val="single" w:sz="4" w:space="0" w:color="auto"/>
              <w:left w:val="nil"/>
              <w:bottom w:val="single" w:sz="4" w:space="0" w:color="auto"/>
              <w:right w:val="nil"/>
            </w:tcBorders>
            <w:shd w:val="clear" w:color="auto" w:fill="auto"/>
            <w:vAlign w:val="bottom"/>
          </w:tcPr>
          <w:p w14:paraId="1F53911D" w14:textId="77777777" w:rsidR="00196507" w:rsidRPr="000F120F" w:rsidRDefault="00196507" w:rsidP="00196507">
            <w:pPr>
              <w:pStyle w:val="Tabletext"/>
            </w:pPr>
            <w:r w:rsidRPr="00295986">
              <w:t>8</w:t>
            </w:r>
            <w:r w:rsidR="00D7157D">
              <w:t>.</w:t>
            </w:r>
            <w:r w:rsidRPr="00295986">
              <w:t>692</w:t>
            </w:r>
          </w:p>
        </w:tc>
        <w:tc>
          <w:tcPr>
            <w:tcW w:w="509" w:type="pct"/>
            <w:tcBorders>
              <w:top w:val="single" w:sz="4" w:space="0" w:color="auto"/>
              <w:left w:val="nil"/>
              <w:bottom w:val="single" w:sz="4" w:space="0" w:color="auto"/>
              <w:right w:val="nil"/>
            </w:tcBorders>
            <w:vAlign w:val="bottom"/>
          </w:tcPr>
          <w:p w14:paraId="63F2D6AE" w14:textId="77777777" w:rsidR="00196507" w:rsidRPr="00196507" w:rsidRDefault="00196507" w:rsidP="00196507">
            <w:pPr>
              <w:pStyle w:val="Tabletext"/>
              <w:rPr>
                <w:color w:val="000000" w:themeColor="text1"/>
              </w:rPr>
            </w:pPr>
            <w:r w:rsidRPr="00196507">
              <w:rPr>
                <w:color w:val="000000" w:themeColor="text1"/>
              </w:rPr>
              <w:t>9</w:t>
            </w:r>
            <w:r w:rsidR="00D7157D">
              <w:rPr>
                <w:color w:val="000000" w:themeColor="text1"/>
              </w:rPr>
              <w:t>.</w:t>
            </w:r>
            <w:r w:rsidRPr="00196507">
              <w:rPr>
                <w:color w:val="000000" w:themeColor="text1"/>
              </w:rPr>
              <w:t>000</w:t>
            </w:r>
          </w:p>
        </w:tc>
        <w:tc>
          <w:tcPr>
            <w:tcW w:w="509" w:type="pct"/>
            <w:tcBorders>
              <w:top w:val="single" w:sz="4" w:space="0" w:color="auto"/>
              <w:left w:val="nil"/>
              <w:bottom w:val="single" w:sz="4" w:space="0" w:color="auto"/>
              <w:right w:val="nil"/>
            </w:tcBorders>
            <w:shd w:val="clear" w:color="auto" w:fill="auto"/>
            <w:vAlign w:val="bottom"/>
          </w:tcPr>
          <w:p w14:paraId="7622C68C" w14:textId="77777777" w:rsidR="00196507" w:rsidRPr="000F120F" w:rsidRDefault="00196507" w:rsidP="00196507">
            <w:pPr>
              <w:pStyle w:val="Tabletext"/>
            </w:pPr>
            <w:r w:rsidRPr="00295986">
              <w:t>9</w:t>
            </w:r>
            <w:r w:rsidR="00D7157D">
              <w:t>.</w:t>
            </w:r>
            <w:r w:rsidRPr="00295986">
              <w:t>105</w:t>
            </w:r>
          </w:p>
        </w:tc>
        <w:tc>
          <w:tcPr>
            <w:tcW w:w="510" w:type="pct"/>
            <w:tcBorders>
              <w:top w:val="single" w:sz="4" w:space="0" w:color="auto"/>
              <w:left w:val="nil"/>
              <w:bottom w:val="single" w:sz="4" w:space="0" w:color="auto"/>
              <w:right w:val="nil"/>
            </w:tcBorders>
            <w:shd w:val="clear" w:color="auto" w:fill="auto"/>
            <w:vAlign w:val="bottom"/>
          </w:tcPr>
          <w:p w14:paraId="2F27D3EF" w14:textId="77777777" w:rsidR="00196507" w:rsidRPr="000F120F" w:rsidRDefault="00196507" w:rsidP="00196507">
            <w:pPr>
              <w:pStyle w:val="Tabletext"/>
            </w:pPr>
            <w:r w:rsidRPr="00295986">
              <w:t>9</w:t>
            </w:r>
            <w:r w:rsidR="00D7157D">
              <w:t>.</w:t>
            </w:r>
            <w:r w:rsidRPr="00295986">
              <w:t>541</w:t>
            </w:r>
          </w:p>
        </w:tc>
      </w:tr>
      <w:tr w:rsidR="00196507" w:rsidRPr="00DF2EC8" w14:paraId="6E463AE4" w14:textId="77777777" w:rsidTr="00871911">
        <w:tc>
          <w:tcPr>
            <w:tcW w:w="423" w:type="pct"/>
            <w:tcBorders>
              <w:top w:val="single" w:sz="4" w:space="0" w:color="auto"/>
              <w:left w:val="nil"/>
              <w:bottom w:val="single" w:sz="4" w:space="0" w:color="auto"/>
              <w:right w:val="nil"/>
            </w:tcBorders>
          </w:tcPr>
          <w:p w14:paraId="0C9D9525" w14:textId="77777777" w:rsidR="00196507" w:rsidRDefault="00196507" w:rsidP="00196507">
            <w:pPr>
              <w:pStyle w:val="Tabletext"/>
            </w:pPr>
            <w:r>
              <w:t>11</w:t>
            </w:r>
          </w:p>
        </w:tc>
        <w:tc>
          <w:tcPr>
            <w:tcW w:w="506" w:type="pct"/>
            <w:tcBorders>
              <w:top w:val="single" w:sz="4" w:space="0" w:color="auto"/>
              <w:left w:val="nil"/>
              <w:bottom w:val="single" w:sz="4" w:space="0" w:color="auto"/>
              <w:right w:val="nil"/>
            </w:tcBorders>
            <w:shd w:val="clear" w:color="auto" w:fill="auto"/>
            <w:vAlign w:val="bottom"/>
          </w:tcPr>
          <w:p w14:paraId="146F59A0" w14:textId="77777777" w:rsidR="00196507" w:rsidRPr="000F120F" w:rsidRDefault="00196507" w:rsidP="00196507">
            <w:pPr>
              <w:pStyle w:val="Tabletext"/>
            </w:pPr>
            <w:r w:rsidRPr="00295986">
              <w:t>8</w:t>
            </w:r>
            <w:r w:rsidR="00D7157D">
              <w:t>.</w:t>
            </w:r>
            <w:r w:rsidRPr="00295986">
              <w:t>121</w:t>
            </w:r>
          </w:p>
        </w:tc>
        <w:tc>
          <w:tcPr>
            <w:tcW w:w="509" w:type="pct"/>
            <w:tcBorders>
              <w:top w:val="single" w:sz="4" w:space="0" w:color="auto"/>
              <w:left w:val="nil"/>
              <w:bottom w:val="single" w:sz="4" w:space="0" w:color="auto"/>
              <w:right w:val="nil"/>
            </w:tcBorders>
            <w:shd w:val="clear" w:color="auto" w:fill="auto"/>
            <w:vAlign w:val="bottom"/>
          </w:tcPr>
          <w:p w14:paraId="0ECE16E9" w14:textId="77777777" w:rsidR="00196507" w:rsidRPr="000F120F" w:rsidRDefault="00196507" w:rsidP="00196507">
            <w:pPr>
              <w:pStyle w:val="Tabletext"/>
            </w:pPr>
            <w:r w:rsidRPr="00295986">
              <w:t>9</w:t>
            </w:r>
            <w:r w:rsidR="00D7157D">
              <w:t>.</w:t>
            </w:r>
            <w:r w:rsidRPr="00295986">
              <w:t>197</w:t>
            </w:r>
          </w:p>
        </w:tc>
        <w:tc>
          <w:tcPr>
            <w:tcW w:w="509" w:type="pct"/>
            <w:tcBorders>
              <w:top w:val="single" w:sz="4" w:space="0" w:color="auto"/>
              <w:left w:val="nil"/>
              <w:bottom w:val="single" w:sz="4" w:space="0" w:color="auto"/>
              <w:right w:val="nil"/>
            </w:tcBorders>
            <w:shd w:val="clear" w:color="auto" w:fill="auto"/>
            <w:vAlign w:val="bottom"/>
          </w:tcPr>
          <w:p w14:paraId="13519C93" w14:textId="77777777" w:rsidR="00196507" w:rsidRPr="000F120F" w:rsidRDefault="00196507" w:rsidP="00196507">
            <w:pPr>
              <w:pStyle w:val="Tabletext"/>
            </w:pPr>
            <w:r w:rsidRPr="00295986">
              <w:t>9</w:t>
            </w:r>
            <w:r w:rsidR="00D7157D">
              <w:t>.</w:t>
            </w:r>
            <w:r w:rsidRPr="00295986">
              <w:t>151</w:t>
            </w:r>
          </w:p>
        </w:tc>
        <w:tc>
          <w:tcPr>
            <w:tcW w:w="508" w:type="pct"/>
            <w:tcBorders>
              <w:top w:val="single" w:sz="4" w:space="0" w:color="auto"/>
              <w:left w:val="nil"/>
              <w:bottom w:val="single" w:sz="4" w:space="0" w:color="auto"/>
              <w:right w:val="nil"/>
            </w:tcBorders>
            <w:shd w:val="clear" w:color="auto" w:fill="auto"/>
            <w:vAlign w:val="bottom"/>
          </w:tcPr>
          <w:p w14:paraId="3CF06228" w14:textId="77777777" w:rsidR="00196507" w:rsidRPr="000F120F" w:rsidRDefault="00196507" w:rsidP="00196507">
            <w:pPr>
              <w:pStyle w:val="Tabletext"/>
            </w:pPr>
            <w:r w:rsidRPr="00295986">
              <w:t>9</w:t>
            </w:r>
            <w:r w:rsidR="00D7157D">
              <w:t>.</w:t>
            </w:r>
            <w:r w:rsidRPr="00295986">
              <w:t>674</w:t>
            </w:r>
          </w:p>
        </w:tc>
        <w:tc>
          <w:tcPr>
            <w:tcW w:w="509" w:type="pct"/>
            <w:tcBorders>
              <w:top w:val="single" w:sz="4" w:space="0" w:color="auto"/>
              <w:left w:val="nil"/>
              <w:bottom w:val="single" w:sz="4" w:space="0" w:color="auto"/>
              <w:right w:val="nil"/>
            </w:tcBorders>
            <w:shd w:val="clear" w:color="auto" w:fill="auto"/>
            <w:vAlign w:val="bottom"/>
          </w:tcPr>
          <w:p w14:paraId="6CF27F8E" w14:textId="77777777" w:rsidR="00196507" w:rsidRPr="000F120F" w:rsidRDefault="00196507" w:rsidP="00196507">
            <w:pPr>
              <w:pStyle w:val="Tabletext"/>
            </w:pPr>
            <w:r w:rsidRPr="00295986">
              <w:t>9</w:t>
            </w:r>
            <w:r w:rsidR="00D7157D">
              <w:t>.</w:t>
            </w:r>
            <w:r w:rsidRPr="00295986">
              <w:t>577</w:t>
            </w:r>
          </w:p>
        </w:tc>
        <w:tc>
          <w:tcPr>
            <w:tcW w:w="508" w:type="pct"/>
            <w:tcBorders>
              <w:top w:val="single" w:sz="4" w:space="0" w:color="auto"/>
              <w:left w:val="nil"/>
              <w:bottom w:val="single" w:sz="4" w:space="0" w:color="auto"/>
              <w:right w:val="nil"/>
            </w:tcBorders>
            <w:shd w:val="clear" w:color="auto" w:fill="auto"/>
            <w:vAlign w:val="bottom"/>
          </w:tcPr>
          <w:p w14:paraId="2E14616C" w14:textId="77777777" w:rsidR="00196507" w:rsidRPr="000F120F" w:rsidRDefault="00196507" w:rsidP="00196507">
            <w:pPr>
              <w:pStyle w:val="Tabletext"/>
            </w:pPr>
            <w:r w:rsidRPr="00295986">
              <w:t>9</w:t>
            </w:r>
            <w:r w:rsidR="00D7157D">
              <w:t>.</w:t>
            </w:r>
            <w:r w:rsidRPr="00295986">
              <w:t>432</w:t>
            </w:r>
          </w:p>
        </w:tc>
        <w:tc>
          <w:tcPr>
            <w:tcW w:w="509" w:type="pct"/>
            <w:tcBorders>
              <w:top w:val="single" w:sz="4" w:space="0" w:color="auto"/>
              <w:left w:val="nil"/>
              <w:bottom w:val="single" w:sz="4" w:space="0" w:color="auto"/>
              <w:right w:val="nil"/>
            </w:tcBorders>
            <w:vAlign w:val="bottom"/>
          </w:tcPr>
          <w:p w14:paraId="5EEA495E" w14:textId="77777777" w:rsidR="00196507" w:rsidRPr="00196507" w:rsidRDefault="00196507" w:rsidP="00196507">
            <w:pPr>
              <w:pStyle w:val="Tabletext"/>
              <w:rPr>
                <w:color w:val="000000" w:themeColor="text1"/>
              </w:rPr>
            </w:pPr>
            <w:r w:rsidRPr="00196507">
              <w:rPr>
                <w:color w:val="000000" w:themeColor="text1"/>
              </w:rPr>
              <w:t>9</w:t>
            </w:r>
            <w:r w:rsidR="00D7157D">
              <w:rPr>
                <w:color w:val="000000" w:themeColor="text1"/>
              </w:rPr>
              <w:t>.</w:t>
            </w:r>
            <w:r w:rsidRPr="00196507">
              <w:rPr>
                <w:color w:val="000000" w:themeColor="text1"/>
              </w:rPr>
              <w:t>798</w:t>
            </w:r>
          </w:p>
        </w:tc>
        <w:tc>
          <w:tcPr>
            <w:tcW w:w="509" w:type="pct"/>
            <w:tcBorders>
              <w:top w:val="single" w:sz="4" w:space="0" w:color="auto"/>
              <w:left w:val="nil"/>
              <w:bottom w:val="single" w:sz="4" w:space="0" w:color="auto"/>
              <w:right w:val="nil"/>
            </w:tcBorders>
            <w:shd w:val="clear" w:color="auto" w:fill="auto"/>
            <w:vAlign w:val="bottom"/>
          </w:tcPr>
          <w:p w14:paraId="5D0D92E2" w14:textId="77777777" w:rsidR="00196507" w:rsidRPr="000F120F" w:rsidRDefault="00196507" w:rsidP="00196507">
            <w:pPr>
              <w:pStyle w:val="Tabletext"/>
            </w:pPr>
            <w:r w:rsidRPr="00295986">
              <w:t>9</w:t>
            </w:r>
            <w:r w:rsidR="00D7157D">
              <w:t>.</w:t>
            </w:r>
            <w:r w:rsidRPr="00295986">
              <w:t>924</w:t>
            </w:r>
          </w:p>
        </w:tc>
        <w:tc>
          <w:tcPr>
            <w:tcW w:w="510" w:type="pct"/>
            <w:tcBorders>
              <w:top w:val="single" w:sz="4" w:space="0" w:color="auto"/>
              <w:left w:val="nil"/>
              <w:bottom w:val="single" w:sz="4" w:space="0" w:color="auto"/>
              <w:right w:val="nil"/>
            </w:tcBorders>
            <w:shd w:val="clear" w:color="auto" w:fill="auto"/>
            <w:vAlign w:val="bottom"/>
          </w:tcPr>
          <w:p w14:paraId="6CC8CBFB" w14:textId="77777777" w:rsidR="00196507" w:rsidRPr="000F120F" w:rsidRDefault="00196507" w:rsidP="00196507">
            <w:pPr>
              <w:pStyle w:val="Tabletext"/>
            </w:pPr>
            <w:r w:rsidRPr="00295986">
              <w:t>10</w:t>
            </w:r>
            <w:r w:rsidR="00D7157D">
              <w:t>.</w:t>
            </w:r>
            <w:r w:rsidRPr="00295986">
              <w:t>446</w:t>
            </w:r>
          </w:p>
        </w:tc>
      </w:tr>
      <w:tr w:rsidR="00196507" w:rsidRPr="00DF2EC8" w14:paraId="69A12678" w14:textId="77777777" w:rsidTr="00871911">
        <w:tc>
          <w:tcPr>
            <w:tcW w:w="423" w:type="pct"/>
            <w:tcBorders>
              <w:top w:val="single" w:sz="4" w:space="0" w:color="auto"/>
              <w:left w:val="nil"/>
              <w:bottom w:val="single" w:sz="4" w:space="0" w:color="auto"/>
              <w:right w:val="nil"/>
            </w:tcBorders>
          </w:tcPr>
          <w:p w14:paraId="174E2D73" w14:textId="77777777" w:rsidR="00196507" w:rsidRDefault="00196507" w:rsidP="00196507">
            <w:pPr>
              <w:pStyle w:val="Tabletext"/>
            </w:pPr>
            <w:r>
              <w:t>12</w:t>
            </w:r>
          </w:p>
        </w:tc>
        <w:tc>
          <w:tcPr>
            <w:tcW w:w="506" w:type="pct"/>
            <w:tcBorders>
              <w:top w:val="single" w:sz="4" w:space="0" w:color="auto"/>
              <w:left w:val="nil"/>
              <w:bottom w:val="single" w:sz="4" w:space="0" w:color="auto"/>
              <w:right w:val="nil"/>
            </w:tcBorders>
            <w:shd w:val="clear" w:color="auto" w:fill="auto"/>
            <w:vAlign w:val="bottom"/>
          </w:tcPr>
          <w:p w14:paraId="2D32488E" w14:textId="77777777" w:rsidR="00196507" w:rsidRPr="000F120F" w:rsidRDefault="00196507" w:rsidP="00196507">
            <w:pPr>
              <w:pStyle w:val="Tabletext"/>
            </w:pPr>
            <w:r w:rsidRPr="00295986">
              <w:t>8</w:t>
            </w:r>
            <w:r w:rsidR="00D7157D">
              <w:t>.</w:t>
            </w:r>
            <w:r w:rsidRPr="00295986">
              <w:t>633</w:t>
            </w:r>
          </w:p>
        </w:tc>
        <w:tc>
          <w:tcPr>
            <w:tcW w:w="509" w:type="pct"/>
            <w:tcBorders>
              <w:top w:val="single" w:sz="4" w:space="0" w:color="auto"/>
              <w:left w:val="nil"/>
              <w:bottom w:val="single" w:sz="4" w:space="0" w:color="auto"/>
              <w:right w:val="nil"/>
            </w:tcBorders>
            <w:shd w:val="clear" w:color="auto" w:fill="auto"/>
            <w:vAlign w:val="bottom"/>
          </w:tcPr>
          <w:p w14:paraId="7D1636C4" w14:textId="77777777" w:rsidR="00196507" w:rsidRPr="000F120F" w:rsidRDefault="00196507" w:rsidP="00196507">
            <w:pPr>
              <w:pStyle w:val="Tabletext"/>
            </w:pPr>
            <w:r w:rsidRPr="00295986">
              <w:t>9</w:t>
            </w:r>
            <w:r w:rsidR="00D7157D">
              <w:t>.</w:t>
            </w:r>
            <w:r w:rsidRPr="00295986">
              <w:t>877</w:t>
            </w:r>
          </w:p>
        </w:tc>
        <w:tc>
          <w:tcPr>
            <w:tcW w:w="509" w:type="pct"/>
            <w:tcBorders>
              <w:top w:val="single" w:sz="4" w:space="0" w:color="auto"/>
              <w:left w:val="nil"/>
              <w:bottom w:val="single" w:sz="4" w:space="0" w:color="auto"/>
              <w:right w:val="nil"/>
            </w:tcBorders>
            <w:shd w:val="clear" w:color="auto" w:fill="auto"/>
            <w:vAlign w:val="bottom"/>
          </w:tcPr>
          <w:p w14:paraId="583FEC78" w14:textId="77777777" w:rsidR="00196507" w:rsidRPr="000F120F" w:rsidRDefault="00196507" w:rsidP="00196507">
            <w:pPr>
              <w:pStyle w:val="Tabletext"/>
            </w:pPr>
            <w:r w:rsidRPr="00295986">
              <w:t>9</w:t>
            </w:r>
            <w:r w:rsidR="00D7157D">
              <w:t>.</w:t>
            </w:r>
            <w:r w:rsidRPr="00295986">
              <w:t>823</w:t>
            </w:r>
          </w:p>
        </w:tc>
        <w:tc>
          <w:tcPr>
            <w:tcW w:w="508" w:type="pct"/>
            <w:tcBorders>
              <w:top w:val="single" w:sz="4" w:space="0" w:color="auto"/>
              <w:left w:val="nil"/>
              <w:bottom w:val="single" w:sz="4" w:space="0" w:color="auto"/>
              <w:right w:val="nil"/>
            </w:tcBorders>
            <w:shd w:val="clear" w:color="auto" w:fill="auto"/>
            <w:vAlign w:val="bottom"/>
          </w:tcPr>
          <w:p w14:paraId="275FADC2" w14:textId="77777777" w:rsidR="00196507" w:rsidRPr="000F120F" w:rsidRDefault="00196507" w:rsidP="00196507">
            <w:pPr>
              <w:pStyle w:val="Tabletext"/>
            </w:pPr>
            <w:r w:rsidRPr="00295986">
              <w:t>10</w:t>
            </w:r>
            <w:r w:rsidR="00D7157D">
              <w:t>.</w:t>
            </w:r>
            <w:r w:rsidRPr="00295986">
              <w:t>434</w:t>
            </w:r>
          </w:p>
        </w:tc>
        <w:tc>
          <w:tcPr>
            <w:tcW w:w="509" w:type="pct"/>
            <w:tcBorders>
              <w:top w:val="single" w:sz="4" w:space="0" w:color="auto"/>
              <w:left w:val="nil"/>
              <w:bottom w:val="single" w:sz="4" w:space="0" w:color="auto"/>
              <w:right w:val="nil"/>
            </w:tcBorders>
            <w:shd w:val="clear" w:color="auto" w:fill="auto"/>
            <w:vAlign w:val="bottom"/>
          </w:tcPr>
          <w:p w14:paraId="1C99B01D" w14:textId="77777777" w:rsidR="00196507" w:rsidRPr="000F120F" w:rsidRDefault="00196507" w:rsidP="00196507">
            <w:pPr>
              <w:pStyle w:val="Tabletext"/>
            </w:pPr>
            <w:r w:rsidRPr="00295986">
              <w:t>10</w:t>
            </w:r>
            <w:r w:rsidR="00D7157D">
              <w:t>.</w:t>
            </w:r>
            <w:r w:rsidRPr="00295986">
              <w:t>320</w:t>
            </w:r>
          </w:p>
        </w:tc>
        <w:tc>
          <w:tcPr>
            <w:tcW w:w="508" w:type="pct"/>
            <w:tcBorders>
              <w:top w:val="single" w:sz="4" w:space="0" w:color="auto"/>
              <w:left w:val="nil"/>
              <w:bottom w:val="single" w:sz="4" w:space="0" w:color="auto"/>
              <w:right w:val="nil"/>
            </w:tcBorders>
            <w:shd w:val="clear" w:color="auto" w:fill="auto"/>
            <w:vAlign w:val="bottom"/>
          </w:tcPr>
          <w:p w14:paraId="4F060AB2" w14:textId="77777777" w:rsidR="00196507" w:rsidRPr="000F120F" w:rsidRDefault="00196507" w:rsidP="00196507">
            <w:pPr>
              <w:pStyle w:val="Tabletext"/>
            </w:pPr>
            <w:r w:rsidRPr="00295986">
              <w:t>10</w:t>
            </w:r>
            <w:r w:rsidR="00D7157D">
              <w:t>.</w:t>
            </w:r>
            <w:r w:rsidRPr="00295986">
              <w:t>151</w:t>
            </w:r>
          </w:p>
        </w:tc>
        <w:tc>
          <w:tcPr>
            <w:tcW w:w="509" w:type="pct"/>
            <w:tcBorders>
              <w:top w:val="single" w:sz="4" w:space="0" w:color="auto"/>
              <w:left w:val="nil"/>
              <w:bottom w:val="single" w:sz="4" w:space="0" w:color="auto"/>
              <w:right w:val="nil"/>
            </w:tcBorders>
            <w:vAlign w:val="bottom"/>
          </w:tcPr>
          <w:p w14:paraId="35D5376A" w14:textId="77777777" w:rsidR="00196507" w:rsidRPr="00196507" w:rsidRDefault="00196507" w:rsidP="00196507">
            <w:pPr>
              <w:pStyle w:val="Tabletext"/>
              <w:rPr>
                <w:color w:val="000000" w:themeColor="text1"/>
              </w:rPr>
            </w:pPr>
            <w:r w:rsidRPr="00196507">
              <w:rPr>
                <w:color w:val="000000" w:themeColor="text1"/>
              </w:rPr>
              <w:t>10</w:t>
            </w:r>
            <w:r w:rsidR="00D7157D">
              <w:rPr>
                <w:color w:val="000000" w:themeColor="text1"/>
              </w:rPr>
              <w:t>.</w:t>
            </w:r>
            <w:r w:rsidRPr="00196507">
              <w:rPr>
                <w:color w:val="000000" w:themeColor="text1"/>
              </w:rPr>
              <w:t>580</w:t>
            </w:r>
          </w:p>
        </w:tc>
        <w:tc>
          <w:tcPr>
            <w:tcW w:w="509" w:type="pct"/>
            <w:tcBorders>
              <w:top w:val="single" w:sz="4" w:space="0" w:color="auto"/>
              <w:left w:val="nil"/>
              <w:bottom w:val="single" w:sz="4" w:space="0" w:color="auto"/>
              <w:right w:val="nil"/>
            </w:tcBorders>
            <w:shd w:val="clear" w:color="auto" w:fill="auto"/>
            <w:vAlign w:val="bottom"/>
          </w:tcPr>
          <w:p w14:paraId="4FBBB4CC" w14:textId="77777777" w:rsidR="00196507" w:rsidRPr="000F120F" w:rsidRDefault="00196507" w:rsidP="00196507">
            <w:pPr>
              <w:pStyle w:val="Tabletext"/>
            </w:pPr>
            <w:r w:rsidRPr="00295986">
              <w:t>10</w:t>
            </w:r>
            <w:r w:rsidR="00D7157D">
              <w:t>.</w:t>
            </w:r>
            <w:r w:rsidRPr="00295986">
              <w:t>727</w:t>
            </w:r>
          </w:p>
        </w:tc>
        <w:tc>
          <w:tcPr>
            <w:tcW w:w="510" w:type="pct"/>
            <w:tcBorders>
              <w:top w:val="single" w:sz="4" w:space="0" w:color="auto"/>
              <w:left w:val="nil"/>
              <w:bottom w:val="single" w:sz="4" w:space="0" w:color="auto"/>
              <w:right w:val="nil"/>
            </w:tcBorders>
            <w:shd w:val="clear" w:color="auto" w:fill="auto"/>
            <w:vAlign w:val="bottom"/>
          </w:tcPr>
          <w:p w14:paraId="6F13E766" w14:textId="77777777" w:rsidR="00196507" w:rsidRPr="000F120F" w:rsidRDefault="00196507" w:rsidP="00196507">
            <w:pPr>
              <w:pStyle w:val="Tabletext"/>
            </w:pPr>
            <w:r w:rsidRPr="00295986">
              <w:t>11</w:t>
            </w:r>
            <w:r w:rsidR="00D7157D">
              <w:t>.</w:t>
            </w:r>
            <w:r w:rsidRPr="00295986">
              <w:t>343</w:t>
            </w:r>
          </w:p>
        </w:tc>
      </w:tr>
      <w:tr w:rsidR="00196507" w:rsidRPr="00DF2EC8" w14:paraId="313B0DAB" w14:textId="77777777" w:rsidTr="00871911">
        <w:tc>
          <w:tcPr>
            <w:tcW w:w="423" w:type="pct"/>
            <w:tcBorders>
              <w:top w:val="single" w:sz="4" w:space="0" w:color="auto"/>
              <w:left w:val="nil"/>
              <w:bottom w:val="single" w:sz="4" w:space="0" w:color="auto"/>
              <w:right w:val="nil"/>
            </w:tcBorders>
          </w:tcPr>
          <w:p w14:paraId="664DB184" w14:textId="77777777" w:rsidR="00196507" w:rsidRDefault="00196507" w:rsidP="00196507">
            <w:pPr>
              <w:pStyle w:val="Tabletext"/>
            </w:pPr>
            <w:r>
              <w:t>13</w:t>
            </w:r>
          </w:p>
        </w:tc>
        <w:tc>
          <w:tcPr>
            <w:tcW w:w="506" w:type="pct"/>
            <w:tcBorders>
              <w:top w:val="single" w:sz="4" w:space="0" w:color="auto"/>
              <w:left w:val="nil"/>
              <w:bottom w:val="single" w:sz="4" w:space="0" w:color="auto"/>
              <w:right w:val="nil"/>
            </w:tcBorders>
            <w:shd w:val="clear" w:color="auto" w:fill="auto"/>
            <w:vAlign w:val="bottom"/>
          </w:tcPr>
          <w:p w14:paraId="4DA012AF" w14:textId="77777777" w:rsidR="00196507" w:rsidRPr="000F120F" w:rsidRDefault="00196507" w:rsidP="00196507">
            <w:pPr>
              <w:pStyle w:val="Tabletext"/>
            </w:pPr>
            <w:r w:rsidRPr="00295986">
              <w:t>9</w:t>
            </w:r>
            <w:r w:rsidR="00D7157D">
              <w:t>.</w:t>
            </w:r>
            <w:r w:rsidRPr="00295986">
              <w:t>115</w:t>
            </w:r>
          </w:p>
        </w:tc>
        <w:tc>
          <w:tcPr>
            <w:tcW w:w="509" w:type="pct"/>
            <w:tcBorders>
              <w:top w:val="single" w:sz="4" w:space="0" w:color="auto"/>
              <w:left w:val="nil"/>
              <w:bottom w:val="single" w:sz="4" w:space="0" w:color="auto"/>
              <w:right w:val="nil"/>
            </w:tcBorders>
            <w:shd w:val="clear" w:color="auto" w:fill="auto"/>
            <w:vAlign w:val="bottom"/>
          </w:tcPr>
          <w:p w14:paraId="10F99579" w14:textId="77777777" w:rsidR="00196507" w:rsidRPr="000F120F" w:rsidRDefault="00196507" w:rsidP="00196507">
            <w:pPr>
              <w:pStyle w:val="Tabletext"/>
            </w:pPr>
            <w:r w:rsidRPr="00295986">
              <w:t>10</w:t>
            </w:r>
            <w:r w:rsidR="00D7157D">
              <w:t>.</w:t>
            </w:r>
            <w:r w:rsidRPr="00295986">
              <w:t>534</w:t>
            </w:r>
          </w:p>
        </w:tc>
        <w:tc>
          <w:tcPr>
            <w:tcW w:w="509" w:type="pct"/>
            <w:tcBorders>
              <w:top w:val="single" w:sz="4" w:space="0" w:color="auto"/>
              <w:left w:val="nil"/>
              <w:bottom w:val="single" w:sz="4" w:space="0" w:color="auto"/>
              <w:right w:val="nil"/>
            </w:tcBorders>
            <w:shd w:val="clear" w:color="auto" w:fill="auto"/>
            <w:vAlign w:val="bottom"/>
          </w:tcPr>
          <w:p w14:paraId="51E80AE3" w14:textId="77777777" w:rsidR="00196507" w:rsidRPr="000F120F" w:rsidRDefault="00196507" w:rsidP="00196507">
            <w:pPr>
              <w:pStyle w:val="Tabletext"/>
            </w:pPr>
            <w:r w:rsidRPr="00295986">
              <w:t>10</w:t>
            </w:r>
            <w:r w:rsidR="00D7157D">
              <w:t>.</w:t>
            </w:r>
            <w:r w:rsidRPr="00295986">
              <w:t>472</w:t>
            </w:r>
          </w:p>
        </w:tc>
        <w:tc>
          <w:tcPr>
            <w:tcW w:w="508" w:type="pct"/>
            <w:tcBorders>
              <w:top w:val="single" w:sz="4" w:space="0" w:color="auto"/>
              <w:left w:val="nil"/>
              <w:bottom w:val="single" w:sz="4" w:space="0" w:color="auto"/>
              <w:right w:val="nil"/>
            </w:tcBorders>
            <w:shd w:val="clear" w:color="auto" w:fill="auto"/>
            <w:vAlign w:val="bottom"/>
          </w:tcPr>
          <w:p w14:paraId="4DF68EB1" w14:textId="77777777" w:rsidR="00196507" w:rsidRPr="000F120F" w:rsidRDefault="00196507" w:rsidP="00196507">
            <w:pPr>
              <w:pStyle w:val="Tabletext"/>
            </w:pPr>
            <w:r w:rsidRPr="00295986">
              <w:t>11</w:t>
            </w:r>
            <w:r w:rsidR="00D7157D">
              <w:t>.</w:t>
            </w:r>
            <w:r w:rsidRPr="00295986">
              <w:t>176</w:t>
            </w:r>
          </w:p>
        </w:tc>
        <w:tc>
          <w:tcPr>
            <w:tcW w:w="509" w:type="pct"/>
            <w:tcBorders>
              <w:top w:val="single" w:sz="4" w:space="0" w:color="auto"/>
              <w:left w:val="nil"/>
              <w:bottom w:val="single" w:sz="4" w:space="0" w:color="auto"/>
              <w:right w:val="nil"/>
            </w:tcBorders>
            <w:shd w:val="clear" w:color="auto" w:fill="auto"/>
            <w:vAlign w:val="bottom"/>
          </w:tcPr>
          <w:p w14:paraId="06CCE92E" w14:textId="77777777" w:rsidR="00196507" w:rsidRPr="000F120F" w:rsidRDefault="00196507" w:rsidP="00196507">
            <w:pPr>
              <w:pStyle w:val="Tabletext"/>
            </w:pPr>
            <w:r w:rsidRPr="00295986">
              <w:t>11</w:t>
            </w:r>
            <w:r w:rsidR="00D7157D">
              <w:t>.</w:t>
            </w:r>
            <w:r w:rsidRPr="00295986">
              <w:t>044</w:t>
            </w:r>
          </w:p>
        </w:tc>
        <w:tc>
          <w:tcPr>
            <w:tcW w:w="508" w:type="pct"/>
            <w:tcBorders>
              <w:top w:val="single" w:sz="4" w:space="0" w:color="auto"/>
              <w:left w:val="nil"/>
              <w:bottom w:val="single" w:sz="4" w:space="0" w:color="auto"/>
              <w:right w:val="nil"/>
            </w:tcBorders>
            <w:shd w:val="clear" w:color="auto" w:fill="auto"/>
            <w:vAlign w:val="bottom"/>
          </w:tcPr>
          <w:p w14:paraId="7E1A4B1F" w14:textId="77777777" w:rsidR="00196507" w:rsidRPr="000F120F" w:rsidRDefault="00196507" w:rsidP="00196507">
            <w:pPr>
              <w:pStyle w:val="Tabletext"/>
            </w:pPr>
            <w:r w:rsidRPr="00295986">
              <w:t>10</w:t>
            </w:r>
            <w:r w:rsidR="00D7157D">
              <w:t>.</w:t>
            </w:r>
            <w:r w:rsidRPr="00295986">
              <w:t>849</w:t>
            </w:r>
          </w:p>
        </w:tc>
        <w:tc>
          <w:tcPr>
            <w:tcW w:w="509" w:type="pct"/>
            <w:tcBorders>
              <w:top w:val="single" w:sz="4" w:space="0" w:color="auto"/>
              <w:left w:val="nil"/>
              <w:bottom w:val="single" w:sz="4" w:space="0" w:color="auto"/>
              <w:right w:val="nil"/>
            </w:tcBorders>
            <w:vAlign w:val="bottom"/>
          </w:tcPr>
          <w:p w14:paraId="51C0D40E" w14:textId="77777777" w:rsidR="00196507" w:rsidRPr="00196507" w:rsidRDefault="00196507" w:rsidP="00196507">
            <w:pPr>
              <w:pStyle w:val="Tabletext"/>
              <w:rPr>
                <w:color w:val="000000" w:themeColor="text1"/>
              </w:rPr>
            </w:pPr>
            <w:r w:rsidRPr="00196507">
              <w:rPr>
                <w:color w:val="000000" w:themeColor="text1"/>
              </w:rPr>
              <w:t>11</w:t>
            </w:r>
            <w:r w:rsidR="00D7157D">
              <w:rPr>
                <w:color w:val="000000" w:themeColor="text1"/>
              </w:rPr>
              <w:t>.</w:t>
            </w:r>
            <w:r w:rsidRPr="00196507">
              <w:rPr>
                <w:color w:val="000000" w:themeColor="text1"/>
              </w:rPr>
              <w:t>344</w:t>
            </w:r>
          </w:p>
        </w:tc>
        <w:tc>
          <w:tcPr>
            <w:tcW w:w="509" w:type="pct"/>
            <w:tcBorders>
              <w:top w:val="single" w:sz="4" w:space="0" w:color="auto"/>
              <w:left w:val="nil"/>
              <w:bottom w:val="single" w:sz="4" w:space="0" w:color="auto"/>
              <w:right w:val="nil"/>
            </w:tcBorders>
            <w:shd w:val="clear" w:color="auto" w:fill="auto"/>
            <w:vAlign w:val="bottom"/>
          </w:tcPr>
          <w:p w14:paraId="6D93F739" w14:textId="77777777" w:rsidR="00196507" w:rsidRPr="000F120F" w:rsidRDefault="00196507" w:rsidP="00196507">
            <w:pPr>
              <w:pStyle w:val="Tabletext"/>
            </w:pPr>
            <w:r w:rsidRPr="00295986">
              <w:t>11</w:t>
            </w:r>
            <w:r w:rsidR="00D7157D">
              <w:t>.</w:t>
            </w:r>
            <w:r w:rsidRPr="00295986">
              <w:t>515</w:t>
            </w:r>
          </w:p>
        </w:tc>
        <w:tc>
          <w:tcPr>
            <w:tcW w:w="510" w:type="pct"/>
            <w:tcBorders>
              <w:top w:val="single" w:sz="4" w:space="0" w:color="auto"/>
              <w:left w:val="nil"/>
              <w:bottom w:val="single" w:sz="4" w:space="0" w:color="auto"/>
              <w:right w:val="nil"/>
            </w:tcBorders>
            <w:shd w:val="clear" w:color="auto" w:fill="auto"/>
            <w:vAlign w:val="bottom"/>
          </w:tcPr>
          <w:p w14:paraId="60803340" w14:textId="77777777" w:rsidR="00196507" w:rsidRPr="000F120F" w:rsidRDefault="00196507" w:rsidP="00196507">
            <w:pPr>
              <w:pStyle w:val="Tabletext"/>
            </w:pPr>
            <w:r w:rsidRPr="00295986">
              <w:t>12</w:t>
            </w:r>
            <w:r w:rsidR="00D7157D">
              <w:t>.</w:t>
            </w:r>
            <w:r w:rsidRPr="00295986">
              <w:t>232</w:t>
            </w:r>
          </w:p>
        </w:tc>
      </w:tr>
      <w:tr w:rsidR="00196507" w:rsidRPr="00DF2EC8" w14:paraId="712A6F1F" w14:textId="77777777" w:rsidTr="00871911">
        <w:tc>
          <w:tcPr>
            <w:tcW w:w="423" w:type="pct"/>
            <w:tcBorders>
              <w:top w:val="single" w:sz="4" w:space="0" w:color="auto"/>
              <w:left w:val="nil"/>
              <w:bottom w:val="single" w:sz="4" w:space="0" w:color="auto"/>
              <w:right w:val="nil"/>
            </w:tcBorders>
          </w:tcPr>
          <w:p w14:paraId="418836C8" w14:textId="77777777" w:rsidR="00196507" w:rsidRDefault="00196507" w:rsidP="00196507">
            <w:pPr>
              <w:pStyle w:val="Tabletext"/>
            </w:pPr>
            <w:r>
              <w:t>14</w:t>
            </w:r>
          </w:p>
        </w:tc>
        <w:tc>
          <w:tcPr>
            <w:tcW w:w="506" w:type="pct"/>
            <w:tcBorders>
              <w:top w:val="single" w:sz="4" w:space="0" w:color="auto"/>
              <w:left w:val="nil"/>
              <w:bottom w:val="single" w:sz="4" w:space="0" w:color="auto"/>
              <w:right w:val="nil"/>
            </w:tcBorders>
            <w:shd w:val="clear" w:color="auto" w:fill="auto"/>
            <w:vAlign w:val="bottom"/>
          </w:tcPr>
          <w:p w14:paraId="21AA7272" w14:textId="77777777" w:rsidR="00196507" w:rsidRPr="000F120F" w:rsidRDefault="00196507" w:rsidP="00196507">
            <w:pPr>
              <w:pStyle w:val="Tabletext"/>
            </w:pPr>
            <w:r w:rsidRPr="00295986">
              <w:t>9</w:t>
            </w:r>
            <w:r w:rsidR="00D7157D">
              <w:t>.</w:t>
            </w:r>
            <w:r w:rsidRPr="00295986">
              <w:t>571</w:t>
            </w:r>
          </w:p>
        </w:tc>
        <w:tc>
          <w:tcPr>
            <w:tcW w:w="509" w:type="pct"/>
            <w:tcBorders>
              <w:top w:val="single" w:sz="4" w:space="0" w:color="auto"/>
              <w:left w:val="nil"/>
              <w:bottom w:val="single" w:sz="4" w:space="0" w:color="auto"/>
              <w:right w:val="nil"/>
            </w:tcBorders>
            <w:shd w:val="clear" w:color="auto" w:fill="auto"/>
            <w:vAlign w:val="bottom"/>
          </w:tcPr>
          <w:p w14:paraId="22F54673" w14:textId="77777777" w:rsidR="00196507" w:rsidRPr="000F120F" w:rsidRDefault="00196507" w:rsidP="00196507">
            <w:pPr>
              <w:pStyle w:val="Tabletext"/>
            </w:pPr>
            <w:r w:rsidRPr="00295986">
              <w:t>11</w:t>
            </w:r>
            <w:r w:rsidR="00D7157D">
              <w:t>.</w:t>
            </w:r>
            <w:r w:rsidRPr="00295986">
              <w:t>169</w:t>
            </w:r>
          </w:p>
        </w:tc>
        <w:tc>
          <w:tcPr>
            <w:tcW w:w="509" w:type="pct"/>
            <w:tcBorders>
              <w:top w:val="single" w:sz="4" w:space="0" w:color="auto"/>
              <w:left w:val="nil"/>
              <w:bottom w:val="single" w:sz="4" w:space="0" w:color="auto"/>
              <w:right w:val="nil"/>
            </w:tcBorders>
            <w:shd w:val="clear" w:color="auto" w:fill="auto"/>
            <w:vAlign w:val="bottom"/>
          </w:tcPr>
          <w:p w14:paraId="369C64BF" w14:textId="77777777" w:rsidR="00196507" w:rsidRPr="000F120F" w:rsidRDefault="00196507" w:rsidP="00196507">
            <w:pPr>
              <w:pStyle w:val="Tabletext"/>
            </w:pPr>
            <w:r w:rsidRPr="00295986">
              <w:t>11</w:t>
            </w:r>
            <w:r w:rsidR="00D7157D">
              <w:t>.</w:t>
            </w:r>
            <w:r w:rsidRPr="00295986">
              <w:t>099</w:t>
            </w:r>
          </w:p>
        </w:tc>
        <w:tc>
          <w:tcPr>
            <w:tcW w:w="508" w:type="pct"/>
            <w:tcBorders>
              <w:top w:val="single" w:sz="4" w:space="0" w:color="auto"/>
              <w:left w:val="nil"/>
              <w:bottom w:val="single" w:sz="4" w:space="0" w:color="auto"/>
              <w:right w:val="nil"/>
            </w:tcBorders>
            <w:shd w:val="clear" w:color="auto" w:fill="auto"/>
            <w:vAlign w:val="bottom"/>
          </w:tcPr>
          <w:p w14:paraId="28D1CB5B" w14:textId="77777777" w:rsidR="00196507" w:rsidRPr="000F120F" w:rsidRDefault="00196507" w:rsidP="00196507">
            <w:pPr>
              <w:pStyle w:val="Tabletext"/>
            </w:pPr>
            <w:r w:rsidRPr="00295986">
              <w:t>11</w:t>
            </w:r>
            <w:r w:rsidR="00D7157D">
              <w:t>.</w:t>
            </w:r>
            <w:r w:rsidRPr="00295986">
              <w:t>901</w:t>
            </w:r>
          </w:p>
        </w:tc>
        <w:tc>
          <w:tcPr>
            <w:tcW w:w="509" w:type="pct"/>
            <w:tcBorders>
              <w:top w:val="single" w:sz="4" w:space="0" w:color="auto"/>
              <w:left w:val="nil"/>
              <w:bottom w:val="single" w:sz="4" w:space="0" w:color="auto"/>
              <w:right w:val="nil"/>
            </w:tcBorders>
            <w:shd w:val="clear" w:color="auto" w:fill="auto"/>
            <w:vAlign w:val="bottom"/>
          </w:tcPr>
          <w:p w14:paraId="13731EFA" w14:textId="77777777" w:rsidR="00196507" w:rsidRPr="000F120F" w:rsidRDefault="00196507" w:rsidP="00196507">
            <w:pPr>
              <w:pStyle w:val="Tabletext"/>
            </w:pPr>
            <w:r w:rsidRPr="00295986">
              <w:t>11</w:t>
            </w:r>
            <w:r w:rsidR="00D7157D">
              <w:t>.</w:t>
            </w:r>
            <w:r w:rsidRPr="00295986">
              <w:t>750</w:t>
            </w:r>
          </w:p>
        </w:tc>
        <w:tc>
          <w:tcPr>
            <w:tcW w:w="508" w:type="pct"/>
            <w:tcBorders>
              <w:top w:val="single" w:sz="4" w:space="0" w:color="auto"/>
              <w:left w:val="nil"/>
              <w:bottom w:val="single" w:sz="4" w:space="0" w:color="auto"/>
              <w:right w:val="nil"/>
            </w:tcBorders>
            <w:shd w:val="clear" w:color="auto" w:fill="auto"/>
            <w:vAlign w:val="bottom"/>
          </w:tcPr>
          <w:p w14:paraId="42782A26" w14:textId="77777777" w:rsidR="00196507" w:rsidRPr="000F120F" w:rsidRDefault="00196507" w:rsidP="00196507">
            <w:pPr>
              <w:pStyle w:val="Tabletext"/>
            </w:pPr>
            <w:r w:rsidRPr="00295986">
              <w:t>11</w:t>
            </w:r>
            <w:r w:rsidR="00D7157D">
              <w:t>.</w:t>
            </w:r>
            <w:r w:rsidRPr="00295986">
              <w:t>528</w:t>
            </w:r>
          </w:p>
        </w:tc>
        <w:tc>
          <w:tcPr>
            <w:tcW w:w="509" w:type="pct"/>
            <w:tcBorders>
              <w:top w:val="single" w:sz="4" w:space="0" w:color="auto"/>
              <w:left w:val="nil"/>
              <w:bottom w:val="single" w:sz="4" w:space="0" w:color="auto"/>
              <w:right w:val="nil"/>
            </w:tcBorders>
            <w:vAlign w:val="bottom"/>
          </w:tcPr>
          <w:p w14:paraId="16F5B8AB" w14:textId="77777777" w:rsidR="00196507" w:rsidRPr="00196507" w:rsidRDefault="00196507" w:rsidP="00196507">
            <w:pPr>
              <w:pStyle w:val="Tabletext"/>
              <w:rPr>
                <w:color w:val="000000" w:themeColor="text1"/>
              </w:rPr>
            </w:pPr>
            <w:r w:rsidRPr="00196507">
              <w:rPr>
                <w:color w:val="000000" w:themeColor="text1"/>
              </w:rPr>
              <w:t>12</w:t>
            </w:r>
            <w:r w:rsidR="00D7157D">
              <w:rPr>
                <w:color w:val="000000" w:themeColor="text1"/>
              </w:rPr>
              <w:t>.</w:t>
            </w:r>
            <w:r w:rsidRPr="00196507">
              <w:rPr>
                <w:color w:val="000000" w:themeColor="text1"/>
              </w:rPr>
              <w:t>093</w:t>
            </w:r>
          </w:p>
        </w:tc>
        <w:tc>
          <w:tcPr>
            <w:tcW w:w="509" w:type="pct"/>
            <w:tcBorders>
              <w:top w:val="single" w:sz="4" w:space="0" w:color="auto"/>
              <w:left w:val="nil"/>
              <w:bottom w:val="single" w:sz="4" w:space="0" w:color="auto"/>
              <w:right w:val="nil"/>
            </w:tcBorders>
            <w:shd w:val="clear" w:color="auto" w:fill="auto"/>
            <w:vAlign w:val="bottom"/>
          </w:tcPr>
          <w:p w14:paraId="6BBA28D2" w14:textId="77777777" w:rsidR="00196507" w:rsidRPr="000F120F" w:rsidRDefault="00196507" w:rsidP="00196507">
            <w:pPr>
              <w:pStyle w:val="Tabletext"/>
            </w:pPr>
            <w:r w:rsidRPr="00295986">
              <w:t>12</w:t>
            </w:r>
            <w:r w:rsidR="00D7157D">
              <w:t>.</w:t>
            </w:r>
            <w:r w:rsidRPr="00295986">
              <w:t>289</w:t>
            </w:r>
          </w:p>
        </w:tc>
        <w:tc>
          <w:tcPr>
            <w:tcW w:w="510" w:type="pct"/>
            <w:tcBorders>
              <w:top w:val="single" w:sz="4" w:space="0" w:color="auto"/>
              <w:left w:val="nil"/>
              <w:bottom w:val="single" w:sz="4" w:space="0" w:color="auto"/>
              <w:right w:val="nil"/>
            </w:tcBorders>
            <w:shd w:val="clear" w:color="auto" w:fill="auto"/>
            <w:vAlign w:val="bottom"/>
          </w:tcPr>
          <w:p w14:paraId="5FBD030A" w14:textId="77777777" w:rsidR="00196507" w:rsidRPr="000F120F" w:rsidRDefault="00196507" w:rsidP="00196507">
            <w:pPr>
              <w:pStyle w:val="Tabletext"/>
            </w:pPr>
            <w:r w:rsidRPr="00295986">
              <w:t>13</w:t>
            </w:r>
            <w:r w:rsidR="00D7157D">
              <w:t>.</w:t>
            </w:r>
            <w:r w:rsidRPr="00295986">
              <w:t>111</w:t>
            </w:r>
          </w:p>
        </w:tc>
      </w:tr>
      <w:tr w:rsidR="00196507" w:rsidRPr="00DF2EC8" w14:paraId="3C7C4821" w14:textId="77777777" w:rsidTr="00871911">
        <w:tc>
          <w:tcPr>
            <w:tcW w:w="423" w:type="pct"/>
            <w:tcBorders>
              <w:top w:val="single" w:sz="4" w:space="0" w:color="auto"/>
              <w:left w:val="nil"/>
              <w:bottom w:val="single" w:sz="4" w:space="0" w:color="auto"/>
              <w:right w:val="nil"/>
            </w:tcBorders>
          </w:tcPr>
          <w:p w14:paraId="03F5E5F6" w14:textId="77777777" w:rsidR="00196507" w:rsidRDefault="00196507" w:rsidP="00196507">
            <w:pPr>
              <w:pStyle w:val="Tabletext"/>
            </w:pPr>
            <w:r>
              <w:t>15</w:t>
            </w:r>
          </w:p>
        </w:tc>
        <w:tc>
          <w:tcPr>
            <w:tcW w:w="506" w:type="pct"/>
            <w:tcBorders>
              <w:top w:val="single" w:sz="4" w:space="0" w:color="auto"/>
              <w:left w:val="nil"/>
              <w:bottom w:val="single" w:sz="4" w:space="0" w:color="auto"/>
              <w:right w:val="nil"/>
            </w:tcBorders>
            <w:shd w:val="clear" w:color="auto" w:fill="auto"/>
            <w:vAlign w:val="bottom"/>
          </w:tcPr>
          <w:p w14:paraId="0B83BED9" w14:textId="77777777" w:rsidR="00196507" w:rsidRPr="000F120F" w:rsidRDefault="00196507" w:rsidP="00196507">
            <w:pPr>
              <w:pStyle w:val="Tabletext"/>
            </w:pPr>
            <w:r w:rsidRPr="00295986">
              <w:t>10</w:t>
            </w:r>
            <w:r w:rsidR="00D7157D">
              <w:t>.</w:t>
            </w:r>
            <w:r w:rsidRPr="00295986">
              <w:t>000</w:t>
            </w:r>
          </w:p>
        </w:tc>
        <w:tc>
          <w:tcPr>
            <w:tcW w:w="509" w:type="pct"/>
            <w:tcBorders>
              <w:top w:val="single" w:sz="4" w:space="0" w:color="auto"/>
              <w:left w:val="nil"/>
              <w:bottom w:val="single" w:sz="4" w:space="0" w:color="auto"/>
              <w:right w:val="nil"/>
            </w:tcBorders>
            <w:shd w:val="clear" w:color="auto" w:fill="auto"/>
            <w:vAlign w:val="bottom"/>
          </w:tcPr>
          <w:p w14:paraId="583D5250" w14:textId="77777777" w:rsidR="00196507" w:rsidRPr="000F120F" w:rsidRDefault="00196507" w:rsidP="00196507">
            <w:pPr>
              <w:pStyle w:val="Tabletext"/>
            </w:pPr>
            <w:r w:rsidRPr="00295986">
              <w:t>11</w:t>
            </w:r>
            <w:r w:rsidR="00D7157D">
              <w:t>.</w:t>
            </w:r>
            <w:r w:rsidRPr="00295986">
              <w:t>784</w:t>
            </w:r>
          </w:p>
        </w:tc>
        <w:tc>
          <w:tcPr>
            <w:tcW w:w="509" w:type="pct"/>
            <w:tcBorders>
              <w:top w:val="single" w:sz="4" w:space="0" w:color="auto"/>
              <w:left w:val="nil"/>
              <w:bottom w:val="single" w:sz="4" w:space="0" w:color="auto"/>
              <w:right w:val="nil"/>
            </w:tcBorders>
            <w:shd w:val="clear" w:color="auto" w:fill="auto"/>
            <w:vAlign w:val="bottom"/>
          </w:tcPr>
          <w:p w14:paraId="438BABD7" w14:textId="77777777" w:rsidR="00196507" w:rsidRPr="000F120F" w:rsidRDefault="00196507" w:rsidP="00196507">
            <w:pPr>
              <w:pStyle w:val="Tabletext"/>
            </w:pPr>
            <w:r w:rsidRPr="00295986">
              <w:t>11</w:t>
            </w:r>
            <w:r w:rsidR="00D7157D">
              <w:t>.</w:t>
            </w:r>
            <w:r w:rsidRPr="00295986">
              <w:t>705</w:t>
            </w:r>
          </w:p>
        </w:tc>
        <w:tc>
          <w:tcPr>
            <w:tcW w:w="508" w:type="pct"/>
            <w:tcBorders>
              <w:top w:val="single" w:sz="4" w:space="0" w:color="auto"/>
              <w:left w:val="nil"/>
              <w:bottom w:val="single" w:sz="4" w:space="0" w:color="auto"/>
              <w:right w:val="nil"/>
            </w:tcBorders>
            <w:shd w:val="clear" w:color="auto" w:fill="auto"/>
            <w:vAlign w:val="bottom"/>
          </w:tcPr>
          <w:p w14:paraId="604C3CB5" w14:textId="77777777" w:rsidR="00196507" w:rsidRPr="000F120F" w:rsidRDefault="00196507" w:rsidP="00196507">
            <w:pPr>
              <w:pStyle w:val="Tabletext"/>
            </w:pPr>
            <w:r w:rsidRPr="00295986">
              <w:t>12</w:t>
            </w:r>
            <w:r w:rsidR="00D7157D">
              <w:t>.</w:t>
            </w:r>
            <w:r w:rsidRPr="00295986">
              <w:t>608</w:t>
            </w:r>
          </w:p>
        </w:tc>
        <w:tc>
          <w:tcPr>
            <w:tcW w:w="509" w:type="pct"/>
            <w:tcBorders>
              <w:top w:val="single" w:sz="4" w:space="0" w:color="auto"/>
              <w:left w:val="nil"/>
              <w:bottom w:val="single" w:sz="4" w:space="0" w:color="auto"/>
              <w:right w:val="nil"/>
            </w:tcBorders>
            <w:shd w:val="clear" w:color="auto" w:fill="auto"/>
            <w:vAlign w:val="bottom"/>
          </w:tcPr>
          <w:p w14:paraId="67C1D148" w14:textId="77777777" w:rsidR="00196507" w:rsidRPr="000F120F" w:rsidRDefault="00196507" w:rsidP="00196507">
            <w:pPr>
              <w:pStyle w:val="Tabletext"/>
            </w:pPr>
            <w:r w:rsidRPr="00295986">
              <w:t>12</w:t>
            </w:r>
            <w:r w:rsidR="00D7157D">
              <w:t>.</w:t>
            </w:r>
            <w:r w:rsidRPr="00295986">
              <w:t>438</w:t>
            </w:r>
          </w:p>
        </w:tc>
        <w:tc>
          <w:tcPr>
            <w:tcW w:w="508" w:type="pct"/>
            <w:tcBorders>
              <w:top w:val="single" w:sz="4" w:space="0" w:color="auto"/>
              <w:left w:val="nil"/>
              <w:bottom w:val="single" w:sz="4" w:space="0" w:color="auto"/>
              <w:right w:val="nil"/>
            </w:tcBorders>
            <w:shd w:val="clear" w:color="auto" w:fill="auto"/>
            <w:vAlign w:val="bottom"/>
          </w:tcPr>
          <w:p w14:paraId="118695B8" w14:textId="77777777" w:rsidR="00196507" w:rsidRPr="000F120F" w:rsidRDefault="00196507" w:rsidP="00196507">
            <w:pPr>
              <w:pStyle w:val="Tabletext"/>
            </w:pPr>
            <w:r w:rsidRPr="00295986">
              <w:t>12</w:t>
            </w:r>
            <w:r w:rsidR="00D7157D">
              <w:t>.</w:t>
            </w:r>
            <w:r w:rsidRPr="00295986">
              <w:t>187</w:t>
            </w:r>
          </w:p>
        </w:tc>
        <w:tc>
          <w:tcPr>
            <w:tcW w:w="509" w:type="pct"/>
            <w:tcBorders>
              <w:top w:val="single" w:sz="4" w:space="0" w:color="auto"/>
              <w:left w:val="nil"/>
              <w:bottom w:val="single" w:sz="4" w:space="0" w:color="auto"/>
              <w:right w:val="nil"/>
            </w:tcBorders>
            <w:vAlign w:val="bottom"/>
          </w:tcPr>
          <w:p w14:paraId="732A7029" w14:textId="77777777" w:rsidR="00196507" w:rsidRPr="00196507" w:rsidRDefault="00196507" w:rsidP="00196507">
            <w:pPr>
              <w:pStyle w:val="Tabletext"/>
              <w:rPr>
                <w:color w:val="000000" w:themeColor="text1"/>
              </w:rPr>
            </w:pPr>
            <w:r w:rsidRPr="00196507">
              <w:rPr>
                <w:color w:val="000000" w:themeColor="text1"/>
              </w:rPr>
              <w:t>12</w:t>
            </w:r>
            <w:r w:rsidR="00D7157D">
              <w:rPr>
                <w:color w:val="000000" w:themeColor="text1"/>
              </w:rPr>
              <w:t>.</w:t>
            </w:r>
            <w:r w:rsidRPr="00196507">
              <w:rPr>
                <w:color w:val="000000" w:themeColor="text1"/>
              </w:rPr>
              <w:t>826</w:t>
            </w:r>
          </w:p>
        </w:tc>
        <w:tc>
          <w:tcPr>
            <w:tcW w:w="509" w:type="pct"/>
            <w:tcBorders>
              <w:top w:val="single" w:sz="4" w:space="0" w:color="auto"/>
              <w:left w:val="nil"/>
              <w:bottom w:val="single" w:sz="4" w:space="0" w:color="auto"/>
              <w:right w:val="nil"/>
            </w:tcBorders>
            <w:shd w:val="clear" w:color="auto" w:fill="auto"/>
            <w:vAlign w:val="bottom"/>
          </w:tcPr>
          <w:p w14:paraId="3E1DB733" w14:textId="77777777" w:rsidR="00196507" w:rsidRPr="000F120F" w:rsidRDefault="00196507" w:rsidP="00196507">
            <w:pPr>
              <w:pStyle w:val="Tabletext"/>
            </w:pPr>
            <w:r w:rsidRPr="00295986">
              <w:t>13</w:t>
            </w:r>
            <w:r w:rsidR="00D7157D">
              <w:t>.</w:t>
            </w:r>
            <w:r w:rsidRPr="00295986">
              <w:t>047</w:t>
            </w:r>
          </w:p>
        </w:tc>
        <w:tc>
          <w:tcPr>
            <w:tcW w:w="510" w:type="pct"/>
            <w:tcBorders>
              <w:top w:val="single" w:sz="4" w:space="0" w:color="auto"/>
              <w:left w:val="nil"/>
              <w:bottom w:val="single" w:sz="4" w:space="0" w:color="auto"/>
              <w:right w:val="nil"/>
            </w:tcBorders>
            <w:shd w:val="clear" w:color="auto" w:fill="auto"/>
            <w:vAlign w:val="bottom"/>
          </w:tcPr>
          <w:p w14:paraId="150A055C" w14:textId="77777777" w:rsidR="00196507" w:rsidRPr="000F120F" w:rsidRDefault="00196507" w:rsidP="00196507">
            <w:pPr>
              <w:pStyle w:val="Tabletext"/>
            </w:pPr>
            <w:r w:rsidRPr="00295986">
              <w:t>13</w:t>
            </w:r>
            <w:r w:rsidR="00D7157D">
              <w:t>.</w:t>
            </w:r>
            <w:r w:rsidRPr="00295986">
              <w:t>983</w:t>
            </w:r>
          </w:p>
        </w:tc>
      </w:tr>
      <w:tr w:rsidR="00196507" w:rsidRPr="00DF2EC8" w14:paraId="11A5F209" w14:textId="77777777" w:rsidTr="00871911">
        <w:tc>
          <w:tcPr>
            <w:tcW w:w="423" w:type="pct"/>
            <w:tcBorders>
              <w:top w:val="single" w:sz="4" w:space="0" w:color="auto"/>
              <w:left w:val="nil"/>
              <w:bottom w:val="single" w:sz="4" w:space="0" w:color="auto"/>
              <w:right w:val="nil"/>
            </w:tcBorders>
          </w:tcPr>
          <w:p w14:paraId="06E7EC30" w14:textId="77777777" w:rsidR="00196507" w:rsidRDefault="00196507" w:rsidP="00196507">
            <w:pPr>
              <w:pStyle w:val="Tabletext"/>
            </w:pPr>
            <w:r>
              <w:t>16</w:t>
            </w:r>
          </w:p>
        </w:tc>
        <w:tc>
          <w:tcPr>
            <w:tcW w:w="506" w:type="pct"/>
            <w:tcBorders>
              <w:top w:val="single" w:sz="4" w:space="0" w:color="auto"/>
              <w:left w:val="nil"/>
              <w:bottom w:val="single" w:sz="4" w:space="0" w:color="auto"/>
              <w:right w:val="nil"/>
            </w:tcBorders>
            <w:shd w:val="clear" w:color="auto" w:fill="auto"/>
            <w:vAlign w:val="bottom"/>
          </w:tcPr>
          <w:p w14:paraId="0A5CAAE2" w14:textId="77777777" w:rsidR="00196507" w:rsidRPr="000F120F" w:rsidRDefault="00196507" w:rsidP="00196507">
            <w:pPr>
              <w:pStyle w:val="Tabletext"/>
            </w:pPr>
            <w:r w:rsidRPr="00295986">
              <w:t>10</w:t>
            </w:r>
            <w:r w:rsidR="00D7157D">
              <w:t>.</w:t>
            </w:r>
            <w:r w:rsidRPr="00295986">
              <w:t>406</w:t>
            </w:r>
          </w:p>
        </w:tc>
        <w:tc>
          <w:tcPr>
            <w:tcW w:w="509" w:type="pct"/>
            <w:tcBorders>
              <w:top w:val="single" w:sz="4" w:space="0" w:color="auto"/>
              <w:left w:val="nil"/>
              <w:bottom w:val="single" w:sz="4" w:space="0" w:color="auto"/>
              <w:right w:val="nil"/>
            </w:tcBorders>
            <w:shd w:val="clear" w:color="auto" w:fill="auto"/>
            <w:vAlign w:val="bottom"/>
          </w:tcPr>
          <w:p w14:paraId="2014517B" w14:textId="77777777" w:rsidR="00196507" w:rsidRPr="000F120F" w:rsidRDefault="00196507" w:rsidP="00196507">
            <w:pPr>
              <w:pStyle w:val="Tabletext"/>
            </w:pPr>
            <w:r w:rsidRPr="00295986">
              <w:t>12</w:t>
            </w:r>
            <w:r w:rsidR="00D7157D">
              <w:t>.</w:t>
            </w:r>
            <w:r w:rsidRPr="00295986">
              <w:t>378</w:t>
            </w:r>
          </w:p>
        </w:tc>
        <w:tc>
          <w:tcPr>
            <w:tcW w:w="509" w:type="pct"/>
            <w:tcBorders>
              <w:top w:val="single" w:sz="4" w:space="0" w:color="auto"/>
              <w:left w:val="nil"/>
              <w:bottom w:val="single" w:sz="4" w:space="0" w:color="auto"/>
              <w:right w:val="nil"/>
            </w:tcBorders>
            <w:shd w:val="clear" w:color="auto" w:fill="auto"/>
            <w:vAlign w:val="bottom"/>
          </w:tcPr>
          <w:p w14:paraId="4686AA0F" w14:textId="77777777" w:rsidR="00196507" w:rsidRPr="000F120F" w:rsidRDefault="00196507" w:rsidP="00196507">
            <w:pPr>
              <w:pStyle w:val="Tabletext"/>
            </w:pPr>
            <w:r w:rsidRPr="00295986">
              <w:t>12</w:t>
            </w:r>
            <w:r w:rsidR="00D7157D">
              <w:t>.</w:t>
            </w:r>
            <w:r w:rsidRPr="00295986">
              <w:t>290</w:t>
            </w:r>
          </w:p>
        </w:tc>
        <w:tc>
          <w:tcPr>
            <w:tcW w:w="508" w:type="pct"/>
            <w:tcBorders>
              <w:top w:val="single" w:sz="4" w:space="0" w:color="auto"/>
              <w:left w:val="nil"/>
              <w:bottom w:val="single" w:sz="4" w:space="0" w:color="auto"/>
              <w:right w:val="nil"/>
            </w:tcBorders>
            <w:shd w:val="clear" w:color="auto" w:fill="auto"/>
            <w:vAlign w:val="bottom"/>
          </w:tcPr>
          <w:p w14:paraId="3736DB24" w14:textId="77777777" w:rsidR="00196507" w:rsidRPr="000F120F" w:rsidRDefault="00196507" w:rsidP="00196507">
            <w:pPr>
              <w:pStyle w:val="Tabletext"/>
            </w:pPr>
            <w:r w:rsidRPr="00295986">
              <w:t>13</w:t>
            </w:r>
            <w:r w:rsidR="00D7157D">
              <w:t>.</w:t>
            </w:r>
            <w:r w:rsidRPr="00295986">
              <w:t>299</w:t>
            </w:r>
          </w:p>
        </w:tc>
        <w:tc>
          <w:tcPr>
            <w:tcW w:w="509" w:type="pct"/>
            <w:tcBorders>
              <w:top w:val="single" w:sz="4" w:space="0" w:color="auto"/>
              <w:left w:val="nil"/>
              <w:bottom w:val="single" w:sz="4" w:space="0" w:color="auto"/>
              <w:right w:val="nil"/>
            </w:tcBorders>
            <w:shd w:val="clear" w:color="auto" w:fill="auto"/>
            <w:vAlign w:val="bottom"/>
          </w:tcPr>
          <w:p w14:paraId="4E81B7D0" w14:textId="77777777" w:rsidR="00196507" w:rsidRPr="000F120F" w:rsidRDefault="00196507" w:rsidP="00196507">
            <w:pPr>
              <w:pStyle w:val="Tabletext"/>
            </w:pPr>
            <w:r w:rsidRPr="00295986">
              <w:t>13</w:t>
            </w:r>
            <w:r w:rsidR="00D7157D">
              <w:t>.</w:t>
            </w:r>
            <w:r w:rsidRPr="00295986">
              <w:t>108</w:t>
            </w:r>
          </w:p>
        </w:tc>
        <w:tc>
          <w:tcPr>
            <w:tcW w:w="508" w:type="pct"/>
            <w:tcBorders>
              <w:top w:val="single" w:sz="4" w:space="0" w:color="auto"/>
              <w:left w:val="nil"/>
              <w:bottom w:val="single" w:sz="4" w:space="0" w:color="auto"/>
              <w:right w:val="nil"/>
            </w:tcBorders>
            <w:shd w:val="clear" w:color="auto" w:fill="auto"/>
            <w:vAlign w:val="bottom"/>
          </w:tcPr>
          <w:p w14:paraId="61758831" w14:textId="77777777" w:rsidR="00196507" w:rsidRPr="000F120F" w:rsidRDefault="00196507" w:rsidP="00196507">
            <w:pPr>
              <w:pStyle w:val="Tabletext"/>
            </w:pPr>
            <w:r w:rsidRPr="00295986">
              <w:t>12</w:t>
            </w:r>
            <w:r w:rsidR="00D7157D">
              <w:t>.</w:t>
            </w:r>
            <w:r w:rsidRPr="00295986">
              <w:t>828</w:t>
            </w:r>
          </w:p>
        </w:tc>
        <w:tc>
          <w:tcPr>
            <w:tcW w:w="509" w:type="pct"/>
            <w:tcBorders>
              <w:top w:val="single" w:sz="4" w:space="0" w:color="auto"/>
              <w:left w:val="nil"/>
              <w:bottom w:val="single" w:sz="4" w:space="0" w:color="auto"/>
              <w:right w:val="nil"/>
            </w:tcBorders>
            <w:vAlign w:val="bottom"/>
          </w:tcPr>
          <w:p w14:paraId="74F6B3A3" w14:textId="77777777" w:rsidR="00196507" w:rsidRPr="00196507" w:rsidRDefault="00196507" w:rsidP="00196507">
            <w:pPr>
              <w:pStyle w:val="Tabletext"/>
              <w:rPr>
                <w:color w:val="000000" w:themeColor="text1"/>
              </w:rPr>
            </w:pPr>
            <w:r w:rsidRPr="00196507">
              <w:rPr>
                <w:color w:val="000000" w:themeColor="text1"/>
              </w:rPr>
              <w:t>13</w:t>
            </w:r>
            <w:r w:rsidR="00D7157D">
              <w:rPr>
                <w:color w:val="000000" w:themeColor="text1"/>
              </w:rPr>
              <w:t>.</w:t>
            </w:r>
            <w:r w:rsidRPr="00196507">
              <w:rPr>
                <w:color w:val="000000" w:themeColor="text1"/>
              </w:rPr>
              <w:t>543</w:t>
            </w:r>
          </w:p>
        </w:tc>
        <w:tc>
          <w:tcPr>
            <w:tcW w:w="509" w:type="pct"/>
            <w:tcBorders>
              <w:top w:val="single" w:sz="4" w:space="0" w:color="auto"/>
              <w:left w:val="nil"/>
              <w:bottom w:val="single" w:sz="4" w:space="0" w:color="auto"/>
              <w:right w:val="nil"/>
            </w:tcBorders>
            <w:shd w:val="clear" w:color="auto" w:fill="auto"/>
            <w:vAlign w:val="bottom"/>
          </w:tcPr>
          <w:p w14:paraId="37566D60" w14:textId="77777777" w:rsidR="00196507" w:rsidRPr="000F120F" w:rsidRDefault="00196507" w:rsidP="00196507">
            <w:pPr>
              <w:pStyle w:val="Tabletext"/>
            </w:pPr>
            <w:r w:rsidRPr="00295986">
              <w:t>13</w:t>
            </w:r>
            <w:r w:rsidR="00D7157D">
              <w:t>.</w:t>
            </w:r>
            <w:r w:rsidRPr="00295986">
              <w:t>792</w:t>
            </w:r>
          </w:p>
        </w:tc>
        <w:tc>
          <w:tcPr>
            <w:tcW w:w="510" w:type="pct"/>
            <w:tcBorders>
              <w:top w:val="single" w:sz="4" w:space="0" w:color="auto"/>
              <w:left w:val="nil"/>
              <w:bottom w:val="single" w:sz="4" w:space="0" w:color="auto"/>
              <w:right w:val="nil"/>
            </w:tcBorders>
            <w:shd w:val="clear" w:color="auto" w:fill="auto"/>
            <w:vAlign w:val="bottom"/>
          </w:tcPr>
          <w:p w14:paraId="09AECAC7" w14:textId="77777777" w:rsidR="00196507" w:rsidRPr="000F120F" w:rsidRDefault="00196507" w:rsidP="00196507">
            <w:pPr>
              <w:pStyle w:val="Tabletext"/>
            </w:pPr>
            <w:r w:rsidRPr="00295986">
              <w:t>14</w:t>
            </w:r>
            <w:r w:rsidR="00D7157D">
              <w:t>.</w:t>
            </w:r>
            <w:r w:rsidRPr="00295986">
              <w:t>846</w:t>
            </w:r>
          </w:p>
        </w:tc>
      </w:tr>
      <w:tr w:rsidR="00196507" w:rsidRPr="00DF2EC8" w14:paraId="20C92A38" w14:textId="77777777" w:rsidTr="00871911">
        <w:tc>
          <w:tcPr>
            <w:tcW w:w="423" w:type="pct"/>
            <w:tcBorders>
              <w:top w:val="single" w:sz="4" w:space="0" w:color="auto"/>
              <w:left w:val="nil"/>
              <w:bottom w:val="single" w:sz="4" w:space="0" w:color="auto"/>
              <w:right w:val="nil"/>
            </w:tcBorders>
          </w:tcPr>
          <w:p w14:paraId="26431086" w14:textId="77777777" w:rsidR="00196507" w:rsidRDefault="00196507" w:rsidP="00196507">
            <w:pPr>
              <w:pStyle w:val="Tabletext"/>
            </w:pPr>
            <w:r>
              <w:t>17</w:t>
            </w:r>
          </w:p>
        </w:tc>
        <w:tc>
          <w:tcPr>
            <w:tcW w:w="506" w:type="pct"/>
            <w:tcBorders>
              <w:top w:val="single" w:sz="4" w:space="0" w:color="auto"/>
              <w:left w:val="nil"/>
              <w:bottom w:val="single" w:sz="4" w:space="0" w:color="auto"/>
              <w:right w:val="nil"/>
            </w:tcBorders>
            <w:shd w:val="clear" w:color="auto" w:fill="auto"/>
            <w:vAlign w:val="bottom"/>
          </w:tcPr>
          <w:p w14:paraId="75DDA291" w14:textId="77777777" w:rsidR="00196507" w:rsidRPr="000F120F" w:rsidRDefault="00196507" w:rsidP="00196507">
            <w:pPr>
              <w:pStyle w:val="Tabletext"/>
            </w:pPr>
            <w:r w:rsidRPr="00295986">
              <w:t>10</w:t>
            </w:r>
            <w:r w:rsidR="00D7157D">
              <w:t>.</w:t>
            </w:r>
            <w:r w:rsidRPr="00295986">
              <w:t>788</w:t>
            </w:r>
          </w:p>
        </w:tc>
        <w:tc>
          <w:tcPr>
            <w:tcW w:w="509" w:type="pct"/>
            <w:tcBorders>
              <w:top w:val="single" w:sz="4" w:space="0" w:color="auto"/>
              <w:left w:val="nil"/>
              <w:bottom w:val="single" w:sz="4" w:space="0" w:color="auto"/>
              <w:right w:val="nil"/>
            </w:tcBorders>
            <w:shd w:val="clear" w:color="auto" w:fill="auto"/>
            <w:vAlign w:val="bottom"/>
          </w:tcPr>
          <w:p w14:paraId="52B2963A" w14:textId="77777777" w:rsidR="00196507" w:rsidRPr="000F120F" w:rsidRDefault="00196507" w:rsidP="00196507">
            <w:pPr>
              <w:pStyle w:val="Tabletext"/>
            </w:pPr>
            <w:r w:rsidRPr="00295986">
              <w:t>12</w:t>
            </w:r>
            <w:r w:rsidR="00D7157D">
              <w:t>.</w:t>
            </w:r>
            <w:r w:rsidRPr="00295986">
              <w:t>953</w:t>
            </w:r>
          </w:p>
        </w:tc>
        <w:tc>
          <w:tcPr>
            <w:tcW w:w="509" w:type="pct"/>
            <w:tcBorders>
              <w:top w:val="single" w:sz="4" w:space="0" w:color="auto"/>
              <w:left w:val="nil"/>
              <w:bottom w:val="single" w:sz="4" w:space="0" w:color="auto"/>
              <w:right w:val="nil"/>
            </w:tcBorders>
            <w:shd w:val="clear" w:color="auto" w:fill="auto"/>
            <w:vAlign w:val="bottom"/>
          </w:tcPr>
          <w:p w14:paraId="283A0B29" w14:textId="77777777" w:rsidR="00196507" w:rsidRPr="000F120F" w:rsidRDefault="00196507" w:rsidP="00196507">
            <w:pPr>
              <w:pStyle w:val="Tabletext"/>
            </w:pPr>
            <w:r w:rsidRPr="00295986">
              <w:t>12</w:t>
            </w:r>
            <w:r w:rsidR="00D7157D">
              <w:t>.</w:t>
            </w:r>
            <w:r w:rsidRPr="00295986">
              <w:t>856</w:t>
            </w:r>
          </w:p>
        </w:tc>
        <w:tc>
          <w:tcPr>
            <w:tcW w:w="508" w:type="pct"/>
            <w:tcBorders>
              <w:top w:val="single" w:sz="4" w:space="0" w:color="auto"/>
              <w:left w:val="nil"/>
              <w:bottom w:val="single" w:sz="4" w:space="0" w:color="auto"/>
              <w:right w:val="nil"/>
            </w:tcBorders>
            <w:shd w:val="clear" w:color="auto" w:fill="auto"/>
            <w:vAlign w:val="bottom"/>
          </w:tcPr>
          <w:p w14:paraId="55CAE070" w14:textId="77777777" w:rsidR="00196507" w:rsidRPr="000F120F" w:rsidRDefault="00196507" w:rsidP="00196507">
            <w:pPr>
              <w:pStyle w:val="Tabletext"/>
            </w:pPr>
            <w:r w:rsidRPr="00295986">
              <w:t>13</w:t>
            </w:r>
            <w:r w:rsidR="00D7157D">
              <w:t>.</w:t>
            </w:r>
            <w:r w:rsidRPr="00295986">
              <w:t>974</w:t>
            </w:r>
          </w:p>
        </w:tc>
        <w:tc>
          <w:tcPr>
            <w:tcW w:w="509" w:type="pct"/>
            <w:tcBorders>
              <w:top w:val="single" w:sz="4" w:space="0" w:color="auto"/>
              <w:left w:val="nil"/>
              <w:bottom w:val="single" w:sz="4" w:space="0" w:color="auto"/>
              <w:right w:val="nil"/>
            </w:tcBorders>
            <w:shd w:val="clear" w:color="auto" w:fill="auto"/>
            <w:vAlign w:val="bottom"/>
          </w:tcPr>
          <w:p w14:paraId="6310F989" w14:textId="77777777" w:rsidR="00196507" w:rsidRPr="000F120F" w:rsidRDefault="00196507" w:rsidP="00196507">
            <w:pPr>
              <w:pStyle w:val="Tabletext"/>
            </w:pPr>
            <w:r w:rsidRPr="00295986">
              <w:t>13</w:t>
            </w:r>
            <w:r w:rsidR="00D7157D">
              <w:t>.</w:t>
            </w:r>
            <w:r w:rsidRPr="00295986">
              <w:t>762</w:t>
            </w:r>
          </w:p>
        </w:tc>
        <w:tc>
          <w:tcPr>
            <w:tcW w:w="508" w:type="pct"/>
            <w:tcBorders>
              <w:top w:val="single" w:sz="4" w:space="0" w:color="auto"/>
              <w:left w:val="nil"/>
              <w:bottom w:val="single" w:sz="4" w:space="0" w:color="auto"/>
              <w:right w:val="nil"/>
            </w:tcBorders>
            <w:shd w:val="clear" w:color="auto" w:fill="auto"/>
            <w:vAlign w:val="bottom"/>
          </w:tcPr>
          <w:p w14:paraId="1D41D63D" w14:textId="77777777" w:rsidR="00196507" w:rsidRPr="000F120F" w:rsidRDefault="00196507" w:rsidP="00196507">
            <w:pPr>
              <w:pStyle w:val="Tabletext"/>
            </w:pPr>
            <w:r w:rsidRPr="00295986">
              <w:t>13</w:t>
            </w:r>
            <w:r w:rsidR="00D7157D">
              <w:t>.</w:t>
            </w:r>
            <w:r w:rsidRPr="00295986">
              <w:t>451</w:t>
            </w:r>
          </w:p>
        </w:tc>
        <w:tc>
          <w:tcPr>
            <w:tcW w:w="509" w:type="pct"/>
            <w:tcBorders>
              <w:top w:val="single" w:sz="4" w:space="0" w:color="auto"/>
              <w:left w:val="nil"/>
              <w:bottom w:val="single" w:sz="4" w:space="0" w:color="auto"/>
              <w:right w:val="nil"/>
            </w:tcBorders>
            <w:vAlign w:val="bottom"/>
          </w:tcPr>
          <w:p w14:paraId="01C490FF" w14:textId="77777777" w:rsidR="00196507" w:rsidRPr="00196507" w:rsidRDefault="00196507" w:rsidP="00196507">
            <w:pPr>
              <w:pStyle w:val="Tabletext"/>
              <w:rPr>
                <w:color w:val="000000" w:themeColor="text1"/>
              </w:rPr>
            </w:pPr>
            <w:r w:rsidRPr="00196507">
              <w:rPr>
                <w:color w:val="000000" w:themeColor="text1"/>
              </w:rPr>
              <w:t>14</w:t>
            </w:r>
            <w:r w:rsidR="00D7157D">
              <w:rPr>
                <w:color w:val="000000" w:themeColor="text1"/>
              </w:rPr>
              <w:t>.</w:t>
            </w:r>
            <w:r w:rsidRPr="00196507">
              <w:rPr>
                <w:color w:val="000000" w:themeColor="text1"/>
              </w:rPr>
              <w:t>245</w:t>
            </w:r>
          </w:p>
        </w:tc>
        <w:tc>
          <w:tcPr>
            <w:tcW w:w="509" w:type="pct"/>
            <w:tcBorders>
              <w:top w:val="single" w:sz="4" w:space="0" w:color="auto"/>
              <w:left w:val="nil"/>
              <w:bottom w:val="single" w:sz="4" w:space="0" w:color="auto"/>
              <w:right w:val="nil"/>
            </w:tcBorders>
            <w:shd w:val="clear" w:color="auto" w:fill="auto"/>
            <w:vAlign w:val="bottom"/>
          </w:tcPr>
          <w:p w14:paraId="6CFB27E7" w14:textId="77777777" w:rsidR="00196507" w:rsidRPr="000F120F" w:rsidRDefault="00196507" w:rsidP="00196507">
            <w:pPr>
              <w:pStyle w:val="Tabletext"/>
            </w:pPr>
            <w:r w:rsidRPr="00295986">
              <w:t>14</w:t>
            </w:r>
            <w:r w:rsidR="00D7157D">
              <w:t>.</w:t>
            </w:r>
            <w:r w:rsidRPr="00295986">
              <w:t>522</w:t>
            </w:r>
          </w:p>
        </w:tc>
        <w:tc>
          <w:tcPr>
            <w:tcW w:w="510" w:type="pct"/>
            <w:tcBorders>
              <w:top w:val="single" w:sz="4" w:space="0" w:color="auto"/>
              <w:left w:val="nil"/>
              <w:bottom w:val="single" w:sz="4" w:space="0" w:color="auto"/>
              <w:right w:val="nil"/>
            </w:tcBorders>
            <w:shd w:val="clear" w:color="auto" w:fill="auto"/>
            <w:vAlign w:val="bottom"/>
          </w:tcPr>
          <w:p w14:paraId="7A36BBA2" w14:textId="77777777" w:rsidR="00196507" w:rsidRPr="000F120F" w:rsidRDefault="00196507" w:rsidP="00196507">
            <w:pPr>
              <w:pStyle w:val="Tabletext"/>
            </w:pPr>
            <w:r w:rsidRPr="00295986">
              <w:t>15</w:t>
            </w:r>
            <w:r w:rsidR="00D7157D">
              <w:t>.</w:t>
            </w:r>
            <w:r w:rsidRPr="00295986">
              <w:t>702</w:t>
            </w:r>
          </w:p>
        </w:tc>
      </w:tr>
      <w:tr w:rsidR="00196507" w:rsidRPr="00DF2EC8" w14:paraId="18617641" w14:textId="77777777" w:rsidTr="00871911">
        <w:tc>
          <w:tcPr>
            <w:tcW w:w="423" w:type="pct"/>
            <w:tcBorders>
              <w:top w:val="single" w:sz="4" w:space="0" w:color="auto"/>
              <w:left w:val="nil"/>
              <w:bottom w:val="single" w:sz="4" w:space="0" w:color="auto"/>
              <w:right w:val="nil"/>
            </w:tcBorders>
          </w:tcPr>
          <w:p w14:paraId="60655D44" w14:textId="77777777" w:rsidR="00196507" w:rsidRDefault="00196507" w:rsidP="00196507">
            <w:pPr>
              <w:pStyle w:val="Tabletext"/>
            </w:pPr>
            <w:r>
              <w:t>18</w:t>
            </w:r>
          </w:p>
        </w:tc>
        <w:tc>
          <w:tcPr>
            <w:tcW w:w="506" w:type="pct"/>
            <w:tcBorders>
              <w:top w:val="single" w:sz="4" w:space="0" w:color="auto"/>
              <w:left w:val="nil"/>
              <w:bottom w:val="single" w:sz="4" w:space="0" w:color="auto"/>
              <w:right w:val="nil"/>
            </w:tcBorders>
            <w:shd w:val="clear" w:color="auto" w:fill="auto"/>
            <w:vAlign w:val="bottom"/>
          </w:tcPr>
          <w:p w14:paraId="2BB7D903" w14:textId="77777777" w:rsidR="00196507" w:rsidRPr="000F120F" w:rsidRDefault="00196507" w:rsidP="00196507">
            <w:pPr>
              <w:pStyle w:val="Tabletext"/>
            </w:pPr>
            <w:r w:rsidRPr="00295986">
              <w:t>11</w:t>
            </w:r>
            <w:r w:rsidR="00D7157D">
              <w:t>.</w:t>
            </w:r>
            <w:r w:rsidRPr="00295986">
              <w:t>149</w:t>
            </w:r>
          </w:p>
        </w:tc>
        <w:tc>
          <w:tcPr>
            <w:tcW w:w="509" w:type="pct"/>
            <w:tcBorders>
              <w:top w:val="single" w:sz="4" w:space="0" w:color="auto"/>
              <w:left w:val="nil"/>
              <w:bottom w:val="single" w:sz="4" w:space="0" w:color="auto"/>
              <w:right w:val="nil"/>
            </w:tcBorders>
            <w:shd w:val="clear" w:color="auto" w:fill="auto"/>
            <w:vAlign w:val="bottom"/>
          </w:tcPr>
          <w:p w14:paraId="470D23BA" w14:textId="77777777" w:rsidR="00196507" w:rsidRPr="000F120F" w:rsidRDefault="00196507" w:rsidP="00196507">
            <w:pPr>
              <w:pStyle w:val="Tabletext"/>
            </w:pPr>
            <w:r w:rsidRPr="00295986">
              <w:t>13</w:t>
            </w:r>
            <w:r w:rsidR="00D7157D">
              <w:t>.</w:t>
            </w:r>
            <w:r w:rsidRPr="00295986">
              <w:t>508</w:t>
            </w:r>
          </w:p>
        </w:tc>
        <w:tc>
          <w:tcPr>
            <w:tcW w:w="509" w:type="pct"/>
            <w:tcBorders>
              <w:top w:val="single" w:sz="4" w:space="0" w:color="auto"/>
              <w:left w:val="nil"/>
              <w:bottom w:val="single" w:sz="4" w:space="0" w:color="auto"/>
              <w:right w:val="nil"/>
            </w:tcBorders>
            <w:shd w:val="clear" w:color="auto" w:fill="auto"/>
            <w:vAlign w:val="bottom"/>
          </w:tcPr>
          <w:p w14:paraId="5E207607" w14:textId="77777777" w:rsidR="00196507" w:rsidRPr="000F120F" w:rsidRDefault="00196507" w:rsidP="00196507">
            <w:pPr>
              <w:pStyle w:val="Tabletext"/>
            </w:pPr>
            <w:r w:rsidRPr="00295986">
              <w:t>13</w:t>
            </w:r>
            <w:r w:rsidR="00D7157D">
              <w:t>.</w:t>
            </w:r>
            <w:r w:rsidRPr="00295986">
              <w:t>402</w:t>
            </w:r>
          </w:p>
        </w:tc>
        <w:tc>
          <w:tcPr>
            <w:tcW w:w="508" w:type="pct"/>
            <w:tcBorders>
              <w:top w:val="single" w:sz="4" w:space="0" w:color="auto"/>
              <w:left w:val="nil"/>
              <w:bottom w:val="single" w:sz="4" w:space="0" w:color="auto"/>
              <w:right w:val="nil"/>
            </w:tcBorders>
            <w:shd w:val="clear" w:color="auto" w:fill="auto"/>
            <w:vAlign w:val="bottom"/>
          </w:tcPr>
          <w:p w14:paraId="1E5CD41F" w14:textId="77777777" w:rsidR="00196507" w:rsidRPr="000F120F" w:rsidRDefault="00196507" w:rsidP="00196507">
            <w:pPr>
              <w:pStyle w:val="Tabletext"/>
            </w:pPr>
            <w:r w:rsidRPr="00295986">
              <w:t>14</w:t>
            </w:r>
            <w:r w:rsidR="00D7157D">
              <w:t>.</w:t>
            </w:r>
            <w:r w:rsidRPr="00295986">
              <w:t>632</w:t>
            </w:r>
          </w:p>
        </w:tc>
        <w:tc>
          <w:tcPr>
            <w:tcW w:w="509" w:type="pct"/>
            <w:tcBorders>
              <w:top w:val="single" w:sz="4" w:space="0" w:color="auto"/>
              <w:left w:val="nil"/>
              <w:bottom w:val="single" w:sz="4" w:space="0" w:color="auto"/>
              <w:right w:val="nil"/>
            </w:tcBorders>
            <w:shd w:val="clear" w:color="auto" w:fill="auto"/>
            <w:vAlign w:val="bottom"/>
          </w:tcPr>
          <w:p w14:paraId="6A425A1D" w14:textId="77777777" w:rsidR="00196507" w:rsidRPr="000F120F" w:rsidRDefault="00196507" w:rsidP="00196507">
            <w:pPr>
              <w:pStyle w:val="Tabletext"/>
            </w:pPr>
            <w:r w:rsidRPr="00295986">
              <w:t>14</w:t>
            </w:r>
            <w:r w:rsidR="00D7157D">
              <w:t>.</w:t>
            </w:r>
            <w:r w:rsidRPr="00295986">
              <w:t>398</w:t>
            </w:r>
          </w:p>
        </w:tc>
        <w:tc>
          <w:tcPr>
            <w:tcW w:w="508" w:type="pct"/>
            <w:tcBorders>
              <w:top w:val="single" w:sz="4" w:space="0" w:color="auto"/>
              <w:left w:val="nil"/>
              <w:bottom w:val="single" w:sz="4" w:space="0" w:color="auto"/>
              <w:right w:val="nil"/>
            </w:tcBorders>
            <w:shd w:val="clear" w:color="auto" w:fill="auto"/>
            <w:vAlign w:val="bottom"/>
          </w:tcPr>
          <w:p w14:paraId="0E87F4DD" w14:textId="77777777" w:rsidR="00196507" w:rsidRPr="000F120F" w:rsidRDefault="00196507" w:rsidP="00196507">
            <w:pPr>
              <w:pStyle w:val="Tabletext"/>
            </w:pPr>
            <w:r w:rsidRPr="00295986">
              <w:t>14</w:t>
            </w:r>
            <w:r w:rsidR="00D7157D">
              <w:t>.</w:t>
            </w:r>
            <w:r w:rsidRPr="00295986">
              <w:t>056</w:t>
            </w:r>
          </w:p>
        </w:tc>
        <w:tc>
          <w:tcPr>
            <w:tcW w:w="509" w:type="pct"/>
            <w:tcBorders>
              <w:top w:val="single" w:sz="4" w:space="0" w:color="auto"/>
              <w:left w:val="nil"/>
              <w:bottom w:val="single" w:sz="4" w:space="0" w:color="auto"/>
              <w:right w:val="nil"/>
            </w:tcBorders>
            <w:vAlign w:val="bottom"/>
          </w:tcPr>
          <w:p w14:paraId="10C96C19" w14:textId="77777777" w:rsidR="00196507" w:rsidRPr="00196507" w:rsidRDefault="00196507" w:rsidP="00196507">
            <w:pPr>
              <w:pStyle w:val="Tabletext"/>
              <w:rPr>
                <w:color w:val="000000" w:themeColor="text1"/>
              </w:rPr>
            </w:pPr>
            <w:r w:rsidRPr="00196507">
              <w:rPr>
                <w:color w:val="000000" w:themeColor="text1"/>
              </w:rPr>
              <w:t>14</w:t>
            </w:r>
            <w:r w:rsidR="00D7157D">
              <w:rPr>
                <w:color w:val="000000" w:themeColor="text1"/>
              </w:rPr>
              <w:t>.</w:t>
            </w:r>
            <w:r w:rsidRPr="00196507">
              <w:rPr>
                <w:color w:val="000000" w:themeColor="text1"/>
              </w:rPr>
              <w:t>931</w:t>
            </w:r>
          </w:p>
        </w:tc>
        <w:tc>
          <w:tcPr>
            <w:tcW w:w="509" w:type="pct"/>
            <w:tcBorders>
              <w:top w:val="single" w:sz="4" w:space="0" w:color="auto"/>
              <w:left w:val="nil"/>
              <w:bottom w:val="single" w:sz="4" w:space="0" w:color="auto"/>
              <w:right w:val="nil"/>
            </w:tcBorders>
            <w:shd w:val="clear" w:color="auto" w:fill="auto"/>
            <w:vAlign w:val="bottom"/>
          </w:tcPr>
          <w:p w14:paraId="1A44BC33" w14:textId="77777777" w:rsidR="00196507" w:rsidRPr="000F120F" w:rsidRDefault="00196507" w:rsidP="00196507">
            <w:pPr>
              <w:pStyle w:val="Tabletext"/>
            </w:pPr>
            <w:r w:rsidRPr="00295986">
              <w:t>15</w:t>
            </w:r>
            <w:r w:rsidR="00D7157D">
              <w:t>.</w:t>
            </w:r>
            <w:r w:rsidRPr="00295986">
              <w:t>239</w:t>
            </w:r>
          </w:p>
        </w:tc>
        <w:tc>
          <w:tcPr>
            <w:tcW w:w="510" w:type="pct"/>
            <w:tcBorders>
              <w:top w:val="single" w:sz="4" w:space="0" w:color="auto"/>
              <w:left w:val="nil"/>
              <w:bottom w:val="single" w:sz="4" w:space="0" w:color="auto"/>
              <w:right w:val="nil"/>
            </w:tcBorders>
            <w:shd w:val="clear" w:color="auto" w:fill="auto"/>
            <w:vAlign w:val="bottom"/>
          </w:tcPr>
          <w:p w14:paraId="59F49E15" w14:textId="77777777" w:rsidR="00196507" w:rsidRPr="000F120F" w:rsidRDefault="00196507" w:rsidP="00196507">
            <w:pPr>
              <w:pStyle w:val="Tabletext"/>
            </w:pPr>
            <w:r w:rsidRPr="00295986">
              <w:t>16</w:t>
            </w:r>
            <w:r w:rsidR="00D7157D">
              <w:t>.</w:t>
            </w:r>
            <w:r w:rsidRPr="00295986">
              <w:t>549</w:t>
            </w:r>
          </w:p>
        </w:tc>
      </w:tr>
      <w:tr w:rsidR="00196507" w:rsidRPr="00DF2EC8" w14:paraId="2C7A9F7C" w14:textId="77777777" w:rsidTr="00871911">
        <w:tc>
          <w:tcPr>
            <w:tcW w:w="423" w:type="pct"/>
            <w:tcBorders>
              <w:top w:val="single" w:sz="4" w:space="0" w:color="auto"/>
              <w:left w:val="nil"/>
              <w:bottom w:val="single" w:sz="4" w:space="0" w:color="auto"/>
              <w:right w:val="nil"/>
            </w:tcBorders>
          </w:tcPr>
          <w:p w14:paraId="6E02614B" w14:textId="77777777" w:rsidR="00196507" w:rsidRDefault="00196507" w:rsidP="00196507">
            <w:pPr>
              <w:pStyle w:val="Tabletext"/>
            </w:pPr>
            <w:r>
              <w:t>19</w:t>
            </w:r>
          </w:p>
        </w:tc>
        <w:tc>
          <w:tcPr>
            <w:tcW w:w="506" w:type="pct"/>
            <w:tcBorders>
              <w:top w:val="single" w:sz="4" w:space="0" w:color="auto"/>
              <w:left w:val="nil"/>
              <w:bottom w:val="single" w:sz="4" w:space="0" w:color="auto"/>
              <w:right w:val="nil"/>
            </w:tcBorders>
            <w:shd w:val="clear" w:color="auto" w:fill="auto"/>
            <w:vAlign w:val="bottom"/>
          </w:tcPr>
          <w:p w14:paraId="6C5B7799" w14:textId="77777777" w:rsidR="00196507" w:rsidRPr="000F120F" w:rsidRDefault="00196507" w:rsidP="00196507">
            <w:pPr>
              <w:pStyle w:val="Tabletext"/>
            </w:pPr>
            <w:r w:rsidRPr="00295986">
              <w:t>11</w:t>
            </w:r>
            <w:r w:rsidR="00D7157D">
              <w:t>.</w:t>
            </w:r>
            <w:r w:rsidRPr="00295986">
              <w:t>489</w:t>
            </w:r>
          </w:p>
        </w:tc>
        <w:tc>
          <w:tcPr>
            <w:tcW w:w="509" w:type="pct"/>
            <w:tcBorders>
              <w:top w:val="single" w:sz="4" w:space="0" w:color="auto"/>
              <w:left w:val="nil"/>
              <w:bottom w:val="single" w:sz="4" w:space="0" w:color="auto"/>
              <w:right w:val="nil"/>
            </w:tcBorders>
            <w:shd w:val="clear" w:color="auto" w:fill="auto"/>
            <w:vAlign w:val="bottom"/>
          </w:tcPr>
          <w:p w14:paraId="0C082471" w14:textId="77777777" w:rsidR="00196507" w:rsidRPr="000F120F" w:rsidRDefault="00196507" w:rsidP="00196507">
            <w:pPr>
              <w:pStyle w:val="Tabletext"/>
            </w:pPr>
            <w:r w:rsidRPr="00295986">
              <w:t>14</w:t>
            </w:r>
            <w:r w:rsidR="00D7157D">
              <w:t>.</w:t>
            </w:r>
            <w:r w:rsidRPr="00295986">
              <w:t>046</w:t>
            </w:r>
          </w:p>
        </w:tc>
        <w:tc>
          <w:tcPr>
            <w:tcW w:w="509" w:type="pct"/>
            <w:tcBorders>
              <w:top w:val="single" w:sz="4" w:space="0" w:color="auto"/>
              <w:left w:val="nil"/>
              <w:bottom w:val="single" w:sz="4" w:space="0" w:color="auto"/>
              <w:right w:val="nil"/>
            </w:tcBorders>
            <w:shd w:val="clear" w:color="auto" w:fill="auto"/>
            <w:vAlign w:val="bottom"/>
          </w:tcPr>
          <w:p w14:paraId="2F6AC045" w14:textId="77777777" w:rsidR="00196507" w:rsidRPr="000F120F" w:rsidRDefault="00196507" w:rsidP="00196507">
            <w:pPr>
              <w:pStyle w:val="Tabletext"/>
            </w:pPr>
            <w:r w:rsidRPr="00295986">
              <w:t>13</w:t>
            </w:r>
            <w:r w:rsidR="00D7157D">
              <w:t>.</w:t>
            </w:r>
            <w:r w:rsidRPr="00295986">
              <w:t>930</w:t>
            </w:r>
          </w:p>
        </w:tc>
        <w:tc>
          <w:tcPr>
            <w:tcW w:w="508" w:type="pct"/>
            <w:tcBorders>
              <w:top w:val="single" w:sz="4" w:space="0" w:color="auto"/>
              <w:left w:val="nil"/>
              <w:bottom w:val="single" w:sz="4" w:space="0" w:color="auto"/>
              <w:right w:val="nil"/>
            </w:tcBorders>
            <w:shd w:val="clear" w:color="auto" w:fill="auto"/>
            <w:vAlign w:val="bottom"/>
          </w:tcPr>
          <w:p w14:paraId="2D5ED9E7" w14:textId="77777777" w:rsidR="00196507" w:rsidRPr="000F120F" w:rsidRDefault="00196507" w:rsidP="00196507">
            <w:pPr>
              <w:pStyle w:val="Tabletext"/>
            </w:pPr>
            <w:r w:rsidRPr="00295986">
              <w:t>15</w:t>
            </w:r>
            <w:r w:rsidR="00D7157D">
              <w:t>.</w:t>
            </w:r>
            <w:r w:rsidRPr="00295986">
              <w:t>275</w:t>
            </w:r>
          </w:p>
        </w:tc>
        <w:tc>
          <w:tcPr>
            <w:tcW w:w="509" w:type="pct"/>
            <w:tcBorders>
              <w:top w:val="single" w:sz="4" w:space="0" w:color="auto"/>
              <w:left w:val="nil"/>
              <w:bottom w:val="single" w:sz="4" w:space="0" w:color="auto"/>
              <w:right w:val="nil"/>
            </w:tcBorders>
            <w:shd w:val="clear" w:color="auto" w:fill="auto"/>
            <w:vAlign w:val="bottom"/>
          </w:tcPr>
          <w:p w14:paraId="2ADA4DA8" w14:textId="77777777" w:rsidR="00196507" w:rsidRPr="000F120F" w:rsidRDefault="00196507" w:rsidP="00196507">
            <w:pPr>
              <w:pStyle w:val="Tabletext"/>
            </w:pPr>
            <w:r w:rsidRPr="00295986">
              <w:t>15</w:t>
            </w:r>
            <w:r w:rsidR="00D7157D">
              <w:t>.</w:t>
            </w:r>
            <w:r w:rsidRPr="00295986">
              <w:t>019</w:t>
            </w:r>
          </w:p>
        </w:tc>
        <w:tc>
          <w:tcPr>
            <w:tcW w:w="508" w:type="pct"/>
            <w:tcBorders>
              <w:top w:val="single" w:sz="4" w:space="0" w:color="auto"/>
              <w:left w:val="nil"/>
              <w:bottom w:val="single" w:sz="4" w:space="0" w:color="auto"/>
              <w:right w:val="nil"/>
            </w:tcBorders>
            <w:shd w:val="clear" w:color="auto" w:fill="auto"/>
            <w:vAlign w:val="bottom"/>
          </w:tcPr>
          <w:p w14:paraId="13E1FE99" w14:textId="77777777" w:rsidR="00196507" w:rsidRPr="000F120F" w:rsidRDefault="00196507" w:rsidP="00196507">
            <w:pPr>
              <w:pStyle w:val="Tabletext"/>
            </w:pPr>
            <w:r w:rsidRPr="00295986">
              <w:t>14</w:t>
            </w:r>
            <w:r w:rsidR="00D7157D">
              <w:t>.</w:t>
            </w:r>
            <w:r w:rsidRPr="00295986">
              <w:t>644</w:t>
            </w:r>
          </w:p>
        </w:tc>
        <w:tc>
          <w:tcPr>
            <w:tcW w:w="509" w:type="pct"/>
            <w:tcBorders>
              <w:top w:val="single" w:sz="4" w:space="0" w:color="auto"/>
              <w:left w:val="nil"/>
              <w:bottom w:val="single" w:sz="4" w:space="0" w:color="auto"/>
              <w:right w:val="nil"/>
            </w:tcBorders>
            <w:vAlign w:val="bottom"/>
          </w:tcPr>
          <w:p w14:paraId="5FF101E1" w14:textId="77777777" w:rsidR="00196507" w:rsidRPr="00196507" w:rsidRDefault="00196507" w:rsidP="00196507">
            <w:pPr>
              <w:pStyle w:val="Tabletext"/>
              <w:rPr>
                <w:color w:val="000000" w:themeColor="text1"/>
              </w:rPr>
            </w:pPr>
            <w:r w:rsidRPr="00196507">
              <w:rPr>
                <w:color w:val="000000" w:themeColor="text1"/>
              </w:rPr>
              <w:t>15</w:t>
            </w:r>
            <w:r w:rsidR="00D7157D">
              <w:rPr>
                <w:color w:val="000000" w:themeColor="text1"/>
              </w:rPr>
              <w:t>.</w:t>
            </w:r>
            <w:r w:rsidRPr="00196507">
              <w:rPr>
                <w:color w:val="000000" w:themeColor="text1"/>
              </w:rPr>
              <w:t>604</w:t>
            </w:r>
          </w:p>
        </w:tc>
        <w:tc>
          <w:tcPr>
            <w:tcW w:w="509" w:type="pct"/>
            <w:tcBorders>
              <w:top w:val="single" w:sz="4" w:space="0" w:color="auto"/>
              <w:left w:val="nil"/>
              <w:bottom w:val="single" w:sz="4" w:space="0" w:color="auto"/>
              <w:right w:val="nil"/>
            </w:tcBorders>
            <w:shd w:val="clear" w:color="auto" w:fill="auto"/>
            <w:vAlign w:val="bottom"/>
          </w:tcPr>
          <w:p w14:paraId="3BE20DD3" w14:textId="77777777" w:rsidR="00196507" w:rsidRPr="000F120F" w:rsidRDefault="00196507" w:rsidP="00196507">
            <w:pPr>
              <w:pStyle w:val="Tabletext"/>
            </w:pPr>
            <w:r w:rsidRPr="00295986">
              <w:t>15</w:t>
            </w:r>
            <w:r w:rsidR="00D7157D">
              <w:t>.</w:t>
            </w:r>
            <w:r w:rsidRPr="00295986">
              <w:t>942</w:t>
            </w:r>
          </w:p>
        </w:tc>
        <w:tc>
          <w:tcPr>
            <w:tcW w:w="510" w:type="pct"/>
            <w:tcBorders>
              <w:top w:val="single" w:sz="4" w:space="0" w:color="auto"/>
              <w:left w:val="nil"/>
              <w:bottom w:val="single" w:sz="4" w:space="0" w:color="auto"/>
              <w:right w:val="nil"/>
            </w:tcBorders>
            <w:shd w:val="clear" w:color="auto" w:fill="auto"/>
            <w:vAlign w:val="bottom"/>
          </w:tcPr>
          <w:p w14:paraId="6A391F82" w14:textId="77777777" w:rsidR="00196507" w:rsidRPr="000F120F" w:rsidRDefault="00196507" w:rsidP="00196507">
            <w:pPr>
              <w:pStyle w:val="Tabletext"/>
            </w:pPr>
            <w:r w:rsidRPr="00295986">
              <w:t>17</w:t>
            </w:r>
            <w:r w:rsidR="00D7157D">
              <w:t>.</w:t>
            </w:r>
            <w:r w:rsidRPr="00295986">
              <w:t>388</w:t>
            </w:r>
          </w:p>
        </w:tc>
      </w:tr>
      <w:tr w:rsidR="00196507" w:rsidRPr="00DF2EC8" w14:paraId="10E27634" w14:textId="77777777" w:rsidTr="00871911">
        <w:tc>
          <w:tcPr>
            <w:tcW w:w="423" w:type="pct"/>
            <w:tcBorders>
              <w:top w:val="single" w:sz="4" w:space="0" w:color="auto"/>
              <w:left w:val="nil"/>
              <w:bottom w:val="single" w:sz="4" w:space="0" w:color="auto"/>
              <w:right w:val="nil"/>
            </w:tcBorders>
          </w:tcPr>
          <w:p w14:paraId="7745290B" w14:textId="77777777" w:rsidR="00196507" w:rsidRDefault="00196507" w:rsidP="00196507">
            <w:pPr>
              <w:pStyle w:val="Tabletext"/>
            </w:pPr>
            <w:r>
              <w:t>20</w:t>
            </w:r>
          </w:p>
        </w:tc>
        <w:tc>
          <w:tcPr>
            <w:tcW w:w="506" w:type="pct"/>
            <w:tcBorders>
              <w:top w:val="single" w:sz="4" w:space="0" w:color="auto"/>
              <w:left w:val="nil"/>
              <w:bottom w:val="single" w:sz="4" w:space="0" w:color="auto"/>
              <w:right w:val="nil"/>
            </w:tcBorders>
            <w:shd w:val="clear" w:color="auto" w:fill="auto"/>
            <w:vAlign w:val="bottom"/>
          </w:tcPr>
          <w:p w14:paraId="33447266" w14:textId="77777777" w:rsidR="00196507" w:rsidRPr="000F120F" w:rsidRDefault="00196507" w:rsidP="00196507">
            <w:pPr>
              <w:pStyle w:val="Tabletext"/>
            </w:pPr>
            <w:r w:rsidRPr="00295986">
              <w:t>11</w:t>
            </w:r>
            <w:r w:rsidR="00D7157D">
              <w:t>.</w:t>
            </w:r>
            <w:r w:rsidRPr="00295986">
              <w:t>810</w:t>
            </w:r>
          </w:p>
        </w:tc>
        <w:tc>
          <w:tcPr>
            <w:tcW w:w="509" w:type="pct"/>
            <w:tcBorders>
              <w:top w:val="single" w:sz="4" w:space="0" w:color="auto"/>
              <w:left w:val="nil"/>
              <w:bottom w:val="single" w:sz="4" w:space="0" w:color="auto"/>
              <w:right w:val="nil"/>
            </w:tcBorders>
            <w:shd w:val="clear" w:color="auto" w:fill="auto"/>
            <w:vAlign w:val="bottom"/>
          </w:tcPr>
          <w:p w14:paraId="63E58001" w14:textId="77777777" w:rsidR="00196507" w:rsidRPr="000F120F" w:rsidRDefault="00196507" w:rsidP="00196507">
            <w:pPr>
              <w:pStyle w:val="Tabletext"/>
            </w:pPr>
            <w:r w:rsidRPr="00295986">
              <w:t>14</w:t>
            </w:r>
            <w:r w:rsidR="00D7157D">
              <w:t>.</w:t>
            </w:r>
            <w:r w:rsidRPr="00295986">
              <w:t>565</w:t>
            </w:r>
          </w:p>
        </w:tc>
        <w:tc>
          <w:tcPr>
            <w:tcW w:w="509" w:type="pct"/>
            <w:tcBorders>
              <w:top w:val="single" w:sz="4" w:space="0" w:color="auto"/>
              <w:left w:val="nil"/>
              <w:bottom w:val="single" w:sz="4" w:space="0" w:color="auto"/>
              <w:right w:val="nil"/>
            </w:tcBorders>
            <w:shd w:val="clear" w:color="auto" w:fill="auto"/>
            <w:vAlign w:val="bottom"/>
          </w:tcPr>
          <w:p w14:paraId="766C951B" w14:textId="77777777" w:rsidR="00196507" w:rsidRPr="000F120F" w:rsidRDefault="00196507" w:rsidP="00196507">
            <w:pPr>
              <w:pStyle w:val="Tabletext"/>
            </w:pPr>
            <w:r w:rsidRPr="00295986">
              <w:t>14</w:t>
            </w:r>
            <w:r w:rsidR="00D7157D">
              <w:t>.</w:t>
            </w:r>
            <w:r w:rsidRPr="00295986">
              <w:t>440</w:t>
            </w:r>
          </w:p>
        </w:tc>
        <w:tc>
          <w:tcPr>
            <w:tcW w:w="508" w:type="pct"/>
            <w:tcBorders>
              <w:top w:val="single" w:sz="4" w:space="0" w:color="auto"/>
              <w:left w:val="nil"/>
              <w:bottom w:val="single" w:sz="4" w:space="0" w:color="auto"/>
              <w:right w:val="nil"/>
            </w:tcBorders>
            <w:shd w:val="clear" w:color="auto" w:fill="auto"/>
            <w:vAlign w:val="bottom"/>
          </w:tcPr>
          <w:p w14:paraId="3EA1187B" w14:textId="77777777" w:rsidR="00196507" w:rsidRPr="000F120F" w:rsidRDefault="00196507" w:rsidP="00196507">
            <w:pPr>
              <w:pStyle w:val="Tabletext"/>
            </w:pPr>
            <w:r w:rsidRPr="00295986">
              <w:t>15</w:t>
            </w:r>
            <w:r w:rsidR="00D7157D">
              <w:t>.</w:t>
            </w:r>
            <w:r w:rsidRPr="00295986">
              <w:t>903</w:t>
            </w:r>
          </w:p>
        </w:tc>
        <w:tc>
          <w:tcPr>
            <w:tcW w:w="509" w:type="pct"/>
            <w:tcBorders>
              <w:top w:val="single" w:sz="4" w:space="0" w:color="auto"/>
              <w:left w:val="nil"/>
              <w:bottom w:val="single" w:sz="4" w:space="0" w:color="auto"/>
              <w:right w:val="nil"/>
            </w:tcBorders>
            <w:shd w:val="clear" w:color="auto" w:fill="auto"/>
            <w:vAlign w:val="bottom"/>
          </w:tcPr>
          <w:p w14:paraId="45350146" w14:textId="77777777" w:rsidR="00196507" w:rsidRPr="000F120F" w:rsidRDefault="00196507" w:rsidP="00196507">
            <w:pPr>
              <w:pStyle w:val="Tabletext"/>
            </w:pPr>
            <w:r w:rsidRPr="00295986">
              <w:t>15</w:t>
            </w:r>
            <w:r w:rsidR="00D7157D">
              <w:t>.</w:t>
            </w:r>
            <w:r w:rsidRPr="00295986">
              <w:t>623</w:t>
            </w:r>
          </w:p>
        </w:tc>
        <w:tc>
          <w:tcPr>
            <w:tcW w:w="508" w:type="pct"/>
            <w:tcBorders>
              <w:top w:val="single" w:sz="4" w:space="0" w:color="auto"/>
              <w:left w:val="nil"/>
              <w:bottom w:val="single" w:sz="4" w:space="0" w:color="auto"/>
              <w:right w:val="nil"/>
            </w:tcBorders>
            <w:shd w:val="clear" w:color="auto" w:fill="auto"/>
            <w:vAlign w:val="bottom"/>
          </w:tcPr>
          <w:p w14:paraId="1D7EA510" w14:textId="77777777" w:rsidR="00196507" w:rsidRPr="000F120F" w:rsidRDefault="00196507" w:rsidP="00196507">
            <w:pPr>
              <w:pStyle w:val="Tabletext"/>
            </w:pPr>
            <w:r w:rsidRPr="00295986">
              <w:t>15</w:t>
            </w:r>
            <w:r w:rsidR="00D7157D">
              <w:t>.</w:t>
            </w:r>
            <w:r w:rsidRPr="00295986">
              <w:t>215</w:t>
            </w:r>
          </w:p>
        </w:tc>
        <w:tc>
          <w:tcPr>
            <w:tcW w:w="509" w:type="pct"/>
            <w:tcBorders>
              <w:top w:val="single" w:sz="4" w:space="0" w:color="auto"/>
              <w:left w:val="nil"/>
              <w:bottom w:val="single" w:sz="4" w:space="0" w:color="auto"/>
              <w:right w:val="nil"/>
            </w:tcBorders>
            <w:vAlign w:val="bottom"/>
          </w:tcPr>
          <w:p w14:paraId="1E8F06FE"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262</w:t>
            </w:r>
          </w:p>
        </w:tc>
        <w:tc>
          <w:tcPr>
            <w:tcW w:w="509" w:type="pct"/>
            <w:tcBorders>
              <w:top w:val="single" w:sz="4" w:space="0" w:color="auto"/>
              <w:left w:val="nil"/>
              <w:bottom w:val="single" w:sz="4" w:space="0" w:color="auto"/>
              <w:right w:val="nil"/>
            </w:tcBorders>
            <w:shd w:val="clear" w:color="auto" w:fill="auto"/>
            <w:vAlign w:val="bottom"/>
          </w:tcPr>
          <w:p w14:paraId="700C103E" w14:textId="77777777" w:rsidR="00196507" w:rsidRPr="000F120F" w:rsidRDefault="00196507" w:rsidP="00196507">
            <w:pPr>
              <w:pStyle w:val="Tabletext"/>
            </w:pPr>
            <w:r w:rsidRPr="00295986">
              <w:t>16</w:t>
            </w:r>
            <w:r w:rsidR="00D7157D">
              <w:t>.</w:t>
            </w:r>
            <w:r w:rsidRPr="00295986">
              <w:t>631</w:t>
            </w:r>
          </w:p>
        </w:tc>
        <w:tc>
          <w:tcPr>
            <w:tcW w:w="510" w:type="pct"/>
            <w:tcBorders>
              <w:top w:val="single" w:sz="4" w:space="0" w:color="auto"/>
              <w:left w:val="nil"/>
              <w:bottom w:val="single" w:sz="4" w:space="0" w:color="auto"/>
              <w:right w:val="nil"/>
            </w:tcBorders>
            <w:shd w:val="clear" w:color="auto" w:fill="auto"/>
            <w:vAlign w:val="bottom"/>
          </w:tcPr>
          <w:p w14:paraId="19D80FCA" w14:textId="77777777" w:rsidR="00196507" w:rsidRPr="000F120F" w:rsidRDefault="00196507" w:rsidP="00196507">
            <w:pPr>
              <w:pStyle w:val="Tabletext"/>
            </w:pPr>
            <w:r w:rsidRPr="00295986">
              <w:t>18</w:t>
            </w:r>
            <w:r w:rsidR="00D7157D">
              <w:t>.</w:t>
            </w:r>
            <w:r w:rsidRPr="00295986">
              <w:t>219</w:t>
            </w:r>
          </w:p>
        </w:tc>
      </w:tr>
      <w:tr w:rsidR="00196507" w:rsidRPr="00DF2EC8" w14:paraId="6AA08525" w14:textId="77777777" w:rsidTr="00871911">
        <w:tc>
          <w:tcPr>
            <w:tcW w:w="423" w:type="pct"/>
            <w:tcBorders>
              <w:top w:val="single" w:sz="4" w:space="0" w:color="auto"/>
              <w:left w:val="nil"/>
              <w:bottom w:val="single" w:sz="4" w:space="0" w:color="auto"/>
              <w:right w:val="nil"/>
            </w:tcBorders>
          </w:tcPr>
          <w:p w14:paraId="5ADD56BF" w14:textId="77777777" w:rsidR="00196507" w:rsidRDefault="00196507" w:rsidP="00196507">
            <w:pPr>
              <w:pStyle w:val="Tabletext"/>
            </w:pPr>
            <w:r>
              <w:t>21</w:t>
            </w:r>
          </w:p>
        </w:tc>
        <w:tc>
          <w:tcPr>
            <w:tcW w:w="506" w:type="pct"/>
            <w:tcBorders>
              <w:top w:val="single" w:sz="4" w:space="0" w:color="auto"/>
              <w:left w:val="nil"/>
              <w:bottom w:val="single" w:sz="4" w:space="0" w:color="auto"/>
              <w:right w:val="nil"/>
            </w:tcBorders>
            <w:shd w:val="clear" w:color="auto" w:fill="auto"/>
            <w:vAlign w:val="bottom"/>
          </w:tcPr>
          <w:p w14:paraId="7855BD84" w14:textId="77777777" w:rsidR="00196507" w:rsidRPr="000F120F" w:rsidRDefault="00196507" w:rsidP="00196507">
            <w:pPr>
              <w:pStyle w:val="Tabletext"/>
            </w:pPr>
            <w:r w:rsidRPr="00295986">
              <w:t>12</w:t>
            </w:r>
            <w:r w:rsidR="00D7157D">
              <w:t>.</w:t>
            </w:r>
            <w:r w:rsidRPr="00295986">
              <w:t>113</w:t>
            </w:r>
          </w:p>
        </w:tc>
        <w:tc>
          <w:tcPr>
            <w:tcW w:w="509" w:type="pct"/>
            <w:tcBorders>
              <w:top w:val="single" w:sz="4" w:space="0" w:color="auto"/>
              <w:left w:val="nil"/>
              <w:bottom w:val="single" w:sz="4" w:space="0" w:color="auto"/>
              <w:right w:val="nil"/>
            </w:tcBorders>
            <w:shd w:val="clear" w:color="auto" w:fill="auto"/>
            <w:vAlign w:val="bottom"/>
          </w:tcPr>
          <w:p w14:paraId="0C5472E2" w14:textId="77777777" w:rsidR="00196507" w:rsidRPr="000F120F" w:rsidRDefault="00196507" w:rsidP="00196507">
            <w:pPr>
              <w:pStyle w:val="Tabletext"/>
            </w:pPr>
            <w:r w:rsidRPr="00295986">
              <w:t>15</w:t>
            </w:r>
            <w:r w:rsidR="00D7157D">
              <w:t>.</w:t>
            </w:r>
            <w:r w:rsidRPr="00295986">
              <w:t>068</w:t>
            </w:r>
          </w:p>
        </w:tc>
        <w:tc>
          <w:tcPr>
            <w:tcW w:w="509" w:type="pct"/>
            <w:tcBorders>
              <w:top w:val="single" w:sz="4" w:space="0" w:color="auto"/>
              <w:left w:val="nil"/>
              <w:bottom w:val="single" w:sz="4" w:space="0" w:color="auto"/>
              <w:right w:val="nil"/>
            </w:tcBorders>
            <w:shd w:val="clear" w:color="auto" w:fill="auto"/>
            <w:vAlign w:val="bottom"/>
          </w:tcPr>
          <w:p w14:paraId="1EC7FA61" w14:textId="77777777" w:rsidR="00196507" w:rsidRPr="000F120F" w:rsidRDefault="00196507" w:rsidP="00196507">
            <w:pPr>
              <w:pStyle w:val="Tabletext"/>
            </w:pPr>
            <w:r w:rsidRPr="00295986">
              <w:t>14</w:t>
            </w:r>
            <w:r w:rsidR="00D7157D">
              <w:t>.</w:t>
            </w:r>
            <w:r w:rsidRPr="00295986">
              <w:t>932</w:t>
            </w:r>
          </w:p>
        </w:tc>
        <w:tc>
          <w:tcPr>
            <w:tcW w:w="508" w:type="pct"/>
            <w:tcBorders>
              <w:top w:val="single" w:sz="4" w:space="0" w:color="auto"/>
              <w:left w:val="nil"/>
              <w:bottom w:val="single" w:sz="4" w:space="0" w:color="auto"/>
              <w:right w:val="nil"/>
            </w:tcBorders>
            <w:shd w:val="clear" w:color="auto" w:fill="auto"/>
            <w:vAlign w:val="bottom"/>
          </w:tcPr>
          <w:p w14:paraId="78DD3081" w14:textId="77777777" w:rsidR="00196507" w:rsidRPr="000F120F" w:rsidRDefault="00196507" w:rsidP="00196507">
            <w:pPr>
              <w:pStyle w:val="Tabletext"/>
            </w:pPr>
            <w:r w:rsidRPr="00295986">
              <w:t>16</w:t>
            </w:r>
            <w:r w:rsidR="00D7157D">
              <w:t>.</w:t>
            </w:r>
            <w:r w:rsidRPr="00295986">
              <w:t>516</w:t>
            </w:r>
          </w:p>
        </w:tc>
        <w:tc>
          <w:tcPr>
            <w:tcW w:w="509" w:type="pct"/>
            <w:tcBorders>
              <w:top w:val="single" w:sz="4" w:space="0" w:color="auto"/>
              <w:left w:val="nil"/>
              <w:bottom w:val="single" w:sz="4" w:space="0" w:color="auto"/>
              <w:right w:val="nil"/>
            </w:tcBorders>
            <w:shd w:val="clear" w:color="auto" w:fill="auto"/>
            <w:vAlign w:val="bottom"/>
          </w:tcPr>
          <w:p w14:paraId="589AB9D3" w14:textId="77777777" w:rsidR="00196507" w:rsidRPr="000F120F" w:rsidRDefault="00196507" w:rsidP="00196507">
            <w:pPr>
              <w:pStyle w:val="Tabletext"/>
            </w:pPr>
            <w:r w:rsidRPr="00295986">
              <w:t>16</w:t>
            </w:r>
            <w:r w:rsidR="00D7157D">
              <w:t>.</w:t>
            </w:r>
            <w:r w:rsidRPr="00295986">
              <w:t>212</w:t>
            </w:r>
          </w:p>
        </w:tc>
        <w:tc>
          <w:tcPr>
            <w:tcW w:w="508" w:type="pct"/>
            <w:tcBorders>
              <w:top w:val="single" w:sz="4" w:space="0" w:color="auto"/>
              <w:left w:val="nil"/>
              <w:bottom w:val="single" w:sz="4" w:space="0" w:color="auto"/>
              <w:right w:val="nil"/>
            </w:tcBorders>
            <w:shd w:val="clear" w:color="auto" w:fill="auto"/>
            <w:vAlign w:val="bottom"/>
          </w:tcPr>
          <w:p w14:paraId="42D7C252" w14:textId="77777777" w:rsidR="00196507" w:rsidRPr="000F120F" w:rsidRDefault="00196507" w:rsidP="00196507">
            <w:pPr>
              <w:pStyle w:val="Tabletext"/>
            </w:pPr>
            <w:r w:rsidRPr="00295986">
              <w:t>15</w:t>
            </w:r>
            <w:r w:rsidR="00D7157D">
              <w:t>.</w:t>
            </w:r>
            <w:r w:rsidRPr="00295986">
              <w:t>770</w:t>
            </w:r>
          </w:p>
        </w:tc>
        <w:tc>
          <w:tcPr>
            <w:tcW w:w="509" w:type="pct"/>
            <w:tcBorders>
              <w:top w:val="single" w:sz="4" w:space="0" w:color="auto"/>
              <w:left w:val="nil"/>
              <w:bottom w:val="single" w:sz="4" w:space="0" w:color="auto"/>
              <w:right w:val="nil"/>
            </w:tcBorders>
            <w:vAlign w:val="bottom"/>
          </w:tcPr>
          <w:p w14:paraId="6A46A87E" w14:textId="77777777" w:rsidR="00196507" w:rsidRPr="00196507" w:rsidRDefault="00196507" w:rsidP="00196507">
            <w:pPr>
              <w:pStyle w:val="Tabletext"/>
              <w:rPr>
                <w:color w:val="000000" w:themeColor="text1"/>
              </w:rPr>
            </w:pPr>
            <w:r w:rsidRPr="00196507">
              <w:rPr>
                <w:color w:val="000000" w:themeColor="text1"/>
              </w:rPr>
              <w:t>16</w:t>
            </w:r>
            <w:r w:rsidR="00D7157D">
              <w:rPr>
                <w:color w:val="000000" w:themeColor="text1"/>
              </w:rPr>
              <w:t>.</w:t>
            </w:r>
            <w:r w:rsidRPr="00196507">
              <w:rPr>
                <w:color w:val="000000" w:themeColor="text1"/>
              </w:rPr>
              <w:t>906</w:t>
            </w:r>
          </w:p>
        </w:tc>
        <w:tc>
          <w:tcPr>
            <w:tcW w:w="509" w:type="pct"/>
            <w:tcBorders>
              <w:top w:val="single" w:sz="4" w:space="0" w:color="auto"/>
              <w:left w:val="nil"/>
              <w:bottom w:val="single" w:sz="4" w:space="0" w:color="auto"/>
              <w:right w:val="nil"/>
            </w:tcBorders>
            <w:shd w:val="clear" w:color="auto" w:fill="auto"/>
            <w:vAlign w:val="bottom"/>
          </w:tcPr>
          <w:p w14:paraId="33BAC869" w14:textId="77777777" w:rsidR="00196507" w:rsidRPr="000F120F" w:rsidRDefault="00196507" w:rsidP="00196507">
            <w:pPr>
              <w:pStyle w:val="Tabletext"/>
            </w:pPr>
            <w:r w:rsidRPr="00295986">
              <w:t>17</w:t>
            </w:r>
            <w:r w:rsidR="00D7157D">
              <w:t>.</w:t>
            </w:r>
            <w:r w:rsidRPr="00295986">
              <w:t>308</w:t>
            </w:r>
          </w:p>
        </w:tc>
        <w:tc>
          <w:tcPr>
            <w:tcW w:w="510" w:type="pct"/>
            <w:tcBorders>
              <w:top w:val="single" w:sz="4" w:space="0" w:color="auto"/>
              <w:left w:val="nil"/>
              <w:bottom w:val="single" w:sz="4" w:space="0" w:color="auto"/>
              <w:right w:val="nil"/>
            </w:tcBorders>
            <w:shd w:val="clear" w:color="auto" w:fill="auto"/>
            <w:vAlign w:val="bottom"/>
          </w:tcPr>
          <w:p w14:paraId="1FA7276F" w14:textId="77777777" w:rsidR="00196507" w:rsidRPr="000F120F" w:rsidRDefault="00196507" w:rsidP="00196507">
            <w:pPr>
              <w:pStyle w:val="Tabletext"/>
            </w:pPr>
            <w:r w:rsidRPr="00295986">
              <w:t>19</w:t>
            </w:r>
            <w:r w:rsidR="00D7157D">
              <w:t>.</w:t>
            </w:r>
            <w:r w:rsidRPr="00295986">
              <w:t>043</w:t>
            </w:r>
          </w:p>
        </w:tc>
      </w:tr>
      <w:tr w:rsidR="00196507" w:rsidRPr="00DF2EC8" w14:paraId="178D9BC1" w14:textId="77777777" w:rsidTr="00871911">
        <w:tc>
          <w:tcPr>
            <w:tcW w:w="423" w:type="pct"/>
            <w:tcBorders>
              <w:top w:val="single" w:sz="4" w:space="0" w:color="auto"/>
              <w:left w:val="nil"/>
              <w:bottom w:val="single" w:sz="4" w:space="0" w:color="auto"/>
              <w:right w:val="nil"/>
            </w:tcBorders>
          </w:tcPr>
          <w:p w14:paraId="2B20C2A5" w14:textId="77777777" w:rsidR="00196507" w:rsidRDefault="00196507" w:rsidP="00196507">
            <w:pPr>
              <w:pStyle w:val="Tabletext"/>
            </w:pPr>
            <w:r>
              <w:t>22</w:t>
            </w:r>
          </w:p>
        </w:tc>
        <w:tc>
          <w:tcPr>
            <w:tcW w:w="506" w:type="pct"/>
            <w:tcBorders>
              <w:top w:val="single" w:sz="4" w:space="0" w:color="auto"/>
              <w:left w:val="nil"/>
              <w:bottom w:val="single" w:sz="4" w:space="0" w:color="auto"/>
              <w:right w:val="nil"/>
            </w:tcBorders>
            <w:shd w:val="clear" w:color="auto" w:fill="auto"/>
            <w:vAlign w:val="bottom"/>
          </w:tcPr>
          <w:p w14:paraId="22D8047E" w14:textId="77777777" w:rsidR="00196507" w:rsidRPr="000F120F" w:rsidRDefault="00196507" w:rsidP="00196507">
            <w:pPr>
              <w:pStyle w:val="Tabletext"/>
            </w:pPr>
            <w:r w:rsidRPr="00295986">
              <w:t>12</w:t>
            </w:r>
            <w:r w:rsidR="00D7157D">
              <w:t>.</w:t>
            </w:r>
            <w:r w:rsidRPr="00295986">
              <w:t>399</w:t>
            </w:r>
          </w:p>
        </w:tc>
        <w:tc>
          <w:tcPr>
            <w:tcW w:w="509" w:type="pct"/>
            <w:tcBorders>
              <w:top w:val="single" w:sz="4" w:space="0" w:color="auto"/>
              <w:left w:val="nil"/>
              <w:bottom w:val="single" w:sz="4" w:space="0" w:color="auto"/>
              <w:right w:val="nil"/>
            </w:tcBorders>
            <w:shd w:val="clear" w:color="auto" w:fill="auto"/>
            <w:vAlign w:val="bottom"/>
          </w:tcPr>
          <w:p w14:paraId="5431135D" w14:textId="77777777" w:rsidR="00196507" w:rsidRPr="000F120F" w:rsidRDefault="00196507" w:rsidP="00196507">
            <w:pPr>
              <w:pStyle w:val="Tabletext"/>
            </w:pPr>
            <w:r w:rsidRPr="00295986">
              <w:t>15</w:t>
            </w:r>
            <w:r w:rsidR="00D7157D">
              <w:t>.</w:t>
            </w:r>
            <w:r w:rsidRPr="00295986">
              <w:t>554</w:t>
            </w:r>
          </w:p>
        </w:tc>
        <w:tc>
          <w:tcPr>
            <w:tcW w:w="509" w:type="pct"/>
            <w:tcBorders>
              <w:top w:val="single" w:sz="4" w:space="0" w:color="auto"/>
              <w:left w:val="nil"/>
              <w:bottom w:val="single" w:sz="4" w:space="0" w:color="auto"/>
              <w:right w:val="nil"/>
            </w:tcBorders>
            <w:shd w:val="clear" w:color="auto" w:fill="auto"/>
            <w:vAlign w:val="bottom"/>
          </w:tcPr>
          <w:p w14:paraId="79C0BC76" w14:textId="77777777" w:rsidR="00196507" w:rsidRPr="000F120F" w:rsidRDefault="00196507" w:rsidP="00196507">
            <w:pPr>
              <w:pStyle w:val="Tabletext"/>
            </w:pPr>
            <w:r w:rsidRPr="00295986">
              <w:t>15</w:t>
            </w:r>
            <w:r w:rsidR="00D7157D">
              <w:t>.</w:t>
            </w:r>
            <w:r w:rsidRPr="00295986">
              <w:t>408</w:t>
            </w:r>
          </w:p>
        </w:tc>
        <w:tc>
          <w:tcPr>
            <w:tcW w:w="508" w:type="pct"/>
            <w:tcBorders>
              <w:top w:val="single" w:sz="4" w:space="0" w:color="auto"/>
              <w:left w:val="nil"/>
              <w:bottom w:val="single" w:sz="4" w:space="0" w:color="auto"/>
              <w:right w:val="nil"/>
            </w:tcBorders>
            <w:shd w:val="clear" w:color="auto" w:fill="auto"/>
            <w:vAlign w:val="bottom"/>
          </w:tcPr>
          <w:p w14:paraId="720AE75C" w14:textId="77777777" w:rsidR="00196507" w:rsidRPr="000F120F" w:rsidRDefault="00196507" w:rsidP="00196507">
            <w:pPr>
              <w:pStyle w:val="Tabletext"/>
            </w:pPr>
            <w:r w:rsidRPr="00295986">
              <w:t>17</w:t>
            </w:r>
            <w:r w:rsidR="00D7157D">
              <w:t>.</w:t>
            </w:r>
            <w:r w:rsidRPr="00295986">
              <w:t>115</w:t>
            </w:r>
          </w:p>
        </w:tc>
        <w:tc>
          <w:tcPr>
            <w:tcW w:w="509" w:type="pct"/>
            <w:tcBorders>
              <w:top w:val="single" w:sz="4" w:space="0" w:color="auto"/>
              <w:left w:val="nil"/>
              <w:bottom w:val="single" w:sz="4" w:space="0" w:color="auto"/>
              <w:right w:val="nil"/>
            </w:tcBorders>
            <w:shd w:val="clear" w:color="auto" w:fill="auto"/>
            <w:vAlign w:val="bottom"/>
          </w:tcPr>
          <w:p w14:paraId="275AB53A" w14:textId="77777777" w:rsidR="00196507" w:rsidRPr="000F120F" w:rsidRDefault="00196507" w:rsidP="00196507">
            <w:pPr>
              <w:pStyle w:val="Tabletext"/>
            </w:pPr>
            <w:r w:rsidRPr="00295986">
              <w:t>16</w:t>
            </w:r>
            <w:r w:rsidR="00D7157D">
              <w:t>.</w:t>
            </w:r>
            <w:r w:rsidRPr="00295986">
              <w:t>787</w:t>
            </w:r>
          </w:p>
        </w:tc>
        <w:tc>
          <w:tcPr>
            <w:tcW w:w="508" w:type="pct"/>
            <w:tcBorders>
              <w:top w:val="single" w:sz="4" w:space="0" w:color="auto"/>
              <w:left w:val="nil"/>
              <w:bottom w:val="single" w:sz="4" w:space="0" w:color="auto"/>
              <w:right w:val="nil"/>
            </w:tcBorders>
            <w:shd w:val="clear" w:color="auto" w:fill="auto"/>
            <w:vAlign w:val="bottom"/>
          </w:tcPr>
          <w:p w14:paraId="5DE72ED6" w14:textId="77777777" w:rsidR="00196507" w:rsidRPr="000F120F" w:rsidRDefault="00196507" w:rsidP="00196507">
            <w:pPr>
              <w:pStyle w:val="Tabletext"/>
            </w:pPr>
            <w:r w:rsidRPr="00295986">
              <w:t>16</w:t>
            </w:r>
            <w:r w:rsidR="00D7157D">
              <w:t>.</w:t>
            </w:r>
            <w:r w:rsidRPr="00295986">
              <w:t>310</w:t>
            </w:r>
          </w:p>
        </w:tc>
        <w:tc>
          <w:tcPr>
            <w:tcW w:w="509" w:type="pct"/>
            <w:tcBorders>
              <w:top w:val="single" w:sz="4" w:space="0" w:color="auto"/>
              <w:left w:val="nil"/>
              <w:bottom w:val="single" w:sz="4" w:space="0" w:color="auto"/>
              <w:right w:val="nil"/>
            </w:tcBorders>
            <w:vAlign w:val="bottom"/>
          </w:tcPr>
          <w:p w14:paraId="08FCAD80" w14:textId="77777777" w:rsidR="00196507" w:rsidRPr="00196507" w:rsidRDefault="00196507" w:rsidP="00196507">
            <w:pPr>
              <w:pStyle w:val="Tabletext"/>
              <w:rPr>
                <w:color w:val="000000" w:themeColor="text1"/>
              </w:rPr>
            </w:pPr>
            <w:r w:rsidRPr="00196507">
              <w:rPr>
                <w:color w:val="000000" w:themeColor="text1"/>
              </w:rPr>
              <w:t>17</w:t>
            </w:r>
            <w:r w:rsidR="00D7157D">
              <w:rPr>
                <w:color w:val="000000" w:themeColor="text1"/>
              </w:rPr>
              <w:t>.</w:t>
            </w:r>
            <w:r w:rsidRPr="00196507">
              <w:rPr>
                <w:color w:val="000000" w:themeColor="text1"/>
              </w:rPr>
              <w:t>537</w:t>
            </w:r>
          </w:p>
        </w:tc>
        <w:tc>
          <w:tcPr>
            <w:tcW w:w="509" w:type="pct"/>
            <w:tcBorders>
              <w:top w:val="single" w:sz="4" w:space="0" w:color="auto"/>
              <w:left w:val="nil"/>
              <w:bottom w:val="single" w:sz="4" w:space="0" w:color="auto"/>
              <w:right w:val="nil"/>
            </w:tcBorders>
            <w:shd w:val="clear" w:color="auto" w:fill="auto"/>
            <w:vAlign w:val="bottom"/>
          </w:tcPr>
          <w:p w14:paraId="6098AE3C" w14:textId="77777777" w:rsidR="00196507" w:rsidRPr="000F120F" w:rsidRDefault="00196507" w:rsidP="00196507">
            <w:pPr>
              <w:pStyle w:val="Tabletext"/>
            </w:pPr>
            <w:r w:rsidRPr="00295986">
              <w:t>17</w:t>
            </w:r>
            <w:r w:rsidR="00D7157D">
              <w:t>.</w:t>
            </w:r>
            <w:r w:rsidRPr="00295986">
              <w:t>972</w:t>
            </w:r>
          </w:p>
        </w:tc>
        <w:tc>
          <w:tcPr>
            <w:tcW w:w="510" w:type="pct"/>
            <w:tcBorders>
              <w:top w:val="single" w:sz="4" w:space="0" w:color="auto"/>
              <w:left w:val="nil"/>
              <w:bottom w:val="single" w:sz="4" w:space="0" w:color="auto"/>
              <w:right w:val="nil"/>
            </w:tcBorders>
            <w:shd w:val="clear" w:color="auto" w:fill="auto"/>
            <w:vAlign w:val="bottom"/>
          </w:tcPr>
          <w:p w14:paraId="5C61307A" w14:textId="77777777" w:rsidR="00196507" w:rsidRPr="000F120F" w:rsidRDefault="00196507" w:rsidP="00196507">
            <w:pPr>
              <w:pStyle w:val="Tabletext"/>
            </w:pPr>
            <w:r w:rsidRPr="00295986">
              <w:t>19</w:t>
            </w:r>
            <w:r w:rsidR="00D7157D">
              <w:t>.</w:t>
            </w:r>
            <w:r w:rsidRPr="00295986">
              <w:t>858</w:t>
            </w:r>
          </w:p>
        </w:tc>
      </w:tr>
      <w:tr w:rsidR="00196507" w:rsidRPr="00DF2EC8" w14:paraId="7006D70A" w14:textId="77777777" w:rsidTr="00871911">
        <w:tc>
          <w:tcPr>
            <w:tcW w:w="423" w:type="pct"/>
            <w:tcBorders>
              <w:top w:val="single" w:sz="4" w:space="0" w:color="auto"/>
              <w:left w:val="nil"/>
              <w:bottom w:val="single" w:sz="4" w:space="0" w:color="auto"/>
              <w:right w:val="nil"/>
            </w:tcBorders>
          </w:tcPr>
          <w:p w14:paraId="2E9CF004" w14:textId="77777777" w:rsidR="00196507" w:rsidRDefault="00196507" w:rsidP="00196507">
            <w:pPr>
              <w:pStyle w:val="Tabletext"/>
            </w:pPr>
            <w:r>
              <w:t>23</w:t>
            </w:r>
          </w:p>
        </w:tc>
        <w:tc>
          <w:tcPr>
            <w:tcW w:w="506" w:type="pct"/>
            <w:tcBorders>
              <w:top w:val="single" w:sz="4" w:space="0" w:color="auto"/>
              <w:left w:val="nil"/>
              <w:bottom w:val="single" w:sz="4" w:space="0" w:color="auto"/>
              <w:right w:val="nil"/>
            </w:tcBorders>
            <w:shd w:val="clear" w:color="auto" w:fill="auto"/>
            <w:vAlign w:val="bottom"/>
          </w:tcPr>
          <w:p w14:paraId="55B08612" w14:textId="77777777" w:rsidR="00196507" w:rsidRPr="000F120F" w:rsidRDefault="00196507" w:rsidP="00196507">
            <w:pPr>
              <w:pStyle w:val="Tabletext"/>
            </w:pPr>
            <w:r w:rsidRPr="00295986">
              <w:t>12</w:t>
            </w:r>
            <w:r w:rsidR="00D7157D">
              <w:t>.</w:t>
            </w:r>
            <w:r w:rsidRPr="00295986">
              <w:t>668</w:t>
            </w:r>
          </w:p>
        </w:tc>
        <w:tc>
          <w:tcPr>
            <w:tcW w:w="509" w:type="pct"/>
            <w:tcBorders>
              <w:top w:val="single" w:sz="4" w:space="0" w:color="auto"/>
              <w:left w:val="nil"/>
              <w:bottom w:val="single" w:sz="4" w:space="0" w:color="auto"/>
              <w:right w:val="nil"/>
            </w:tcBorders>
            <w:shd w:val="clear" w:color="auto" w:fill="auto"/>
            <w:vAlign w:val="bottom"/>
          </w:tcPr>
          <w:p w14:paraId="7014385A" w14:textId="77777777" w:rsidR="00196507" w:rsidRPr="000F120F" w:rsidRDefault="00196507" w:rsidP="00196507">
            <w:pPr>
              <w:pStyle w:val="Tabletext"/>
            </w:pPr>
            <w:r w:rsidRPr="00295986">
              <w:t>16</w:t>
            </w:r>
            <w:r w:rsidR="00D7157D">
              <w:t>.</w:t>
            </w:r>
            <w:r w:rsidRPr="00295986">
              <w:t>023</w:t>
            </w:r>
          </w:p>
        </w:tc>
        <w:tc>
          <w:tcPr>
            <w:tcW w:w="509" w:type="pct"/>
            <w:tcBorders>
              <w:top w:val="single" w:sz="4" w:space="0" w:color="auto"/>
              <w:left w:val="nil"/>
              <w:bottom w:val="single" w:sz="4" w:space="0" w:color="auto"/>
              <w:right w:val="nil"/>
            </w:tcBorders>
            <w:shd w:val="clear" w:color="auto" w:fill="auto"/>
            <w:vAlign w:val="bottom"/>
          </w:tcPr>
          <w:p w14:paraId="52C2D067" w14:textId="77777777" w:rsidR="00196507" w:rsidRPr="000F120F" w:rsidRDefault="00196507" w:rsidP="00196507">
            <w:pPr>
              <w:pStyle w:val="Tabletext"/>
            </w:pPr>
            <w:r w:rsidRPr="00295986">
              <w:t>15</w:t>
            </w:r>
            <w:r w:rsidR="00D7157D">
              <w:t>.</w:t>
            </w:r>
            <w:r w:rsidRPr="00295986">
              <w:t>868</w:t>
            </w:r>
          </w:p>
        </w:tc>
        <w:tc>
          <w:tcPr>
            <w:tcW w:w="508" w:type="pct"/>
            <w:tcBorders>
              <w:top w:val="single" w:sz="4" w:space="0" w:color="auto"/>
              <w:left w:val="nil"/>
              <w:bottom w:val="single" w:sz="4" w:space="0" w:color="auto"/>
              <w:right w:val="nil"/>
            </w:tcBorders>
            <w:shd w:val="clear" w:color="auto" w:fill="auto"/>
            <w:vAlign w:val="bottom"/>
          </w:tcPr>
          <w:p w14:paraId="16C1D510" w14:textId="77777777" w:rsidR="00196507" w:rsidRPr="000F120F" w:rsidRDefault="00196507" w:rsidP="00196507">
            <w:pPr>
              <w:pStyle w:val="Tabletext"/>
            </w:pPr>
            <w:r w:rsidRPr="00295986">
              <w:t>17</w:t>
            </w:r>
            <w:r w:rsidR="00D7157D">
              <w:t>.</w:t>
            </w:r>
            <w:r w:rsidRPr="00295986">
              <w:t>699</w:t>
            </w:r>
          </w:p>
        </w:tc>
        <w:tc>
          <w:tcPr>
            <w:tcW w:w="509" w:type="pct"/>
            <w:tcBorders>
              <w:top w:val="single" w:sz="4" w:space="0" w:color="auto"/>
              <w:left w:val="nil"/>
              <w:bottom w:val="single" w:sz="4" w:space="0" w:color="auto"/>
              <w:right w:val="nil"/>
            </w:tcBorders>
            <w:shd w:val="clear" w:color="auto" w:fill="auto"/>
            <w:vAlign w:val="bottom"/>
          </w:tcPr>
          <w:p w14:paraId="251791E5" w14:textId="77777777" w:rsidR="00196507" w:rsidRPr="000F120F" w:rsidRDefault="00196507" w:rsidP="00196507">
            <w:pPr>
              <w:pStyle w:val="Tabletext"/>
            </w:pPr>
            <w:r w:rsidRPr="00295986">
              <w:t>17</w:t>
            </w:r>
            <w:r w:rsidR="00D7157D">
              <w:t>.</w:t>
            </w:r>
            <w:r w:rsidRPr="00295986">
              <w:t>346</w:t>
            </w:r>
          </w:p>
        </w:tc>
        <w:tc>
          <w:tcPr>
            <w:tcW w:w="508" w:type="pct"/>
            <w:tcBorders>
              <w:top w:val="single" w:sz="4" w:space="0" w:color="auto"/>
              <w:left w:val="nil"/>
              <w:bottom w:val="single" w:sz="4" w:space="0" w:color="auto"/>
              <w:right w:val="nil"/>
            </w:tcBorders>
            <w:shd w:val="clear" w:color="auto" w:fill="auto"/>
            <w:vAlign w:val="bottom"/>
          </w:tcPr>
          <w:p w14:paraId="1444B1D2" w14:textId="77777777" w:rsidR="00196507" w:rsidRPr="000F120F" w:rsidRDefault="00196507" w:rsidP="00196507">
            <w:pPr>
              <w:pStyle w:val="Tabletext"/>
            </w:pPr>
            <w:r w:rsidRPr="00295986">
              <w:t>16</w:t>
            </w:r>
            <w:r w:rsidR="00D7157D">
              <w:t>.</w:t>
            </w:r>
            <w:r w:rsidRPr="00295986">
              <w:t>834</w:t>
            </w:r>
          </w:p>
        </w:tc>
        <w:tc>
          <w:tcPr>
            <w:tcW w:w="509" w:type="pct"/>
            <w:tcBorders>
              <w:top w:val="single" w:sz="4" w:space="0" w:color="auto"/>
              <w:left w:val="nil"/>
              <w:bottom w:val="single" w:sz="4" w:space="0" w:color="auto"/>
              <w:right w:val="nil"/>
            </w:tcBorders>
            <w:vAlign w:val="bottom"/>
          </w:tcPr>
          <w:p w14:paraId="2A667E89" w14:textId="77777777" w:rsidR="00196507" w:rsidRPr="00196507" w:rsidRDefault="00196507" w:rsidP="00196507">
            <w:pPr>
              <w:pStyle w:val="Tabletext"/>
              <w:rPr>
                <w:color w:val="000000" w:themeColor="text1"/>
              </w:rPr>
            </w:pPr>
            <w:r w:rsidRPr="00196507">
              <w:rPr>
                <w:color w:val="000000" w:themeColor="text1"/>
              </w:rPr>
              <w:t>18</w:t>
            </w:r>
            <w:r w:rsidR="00D7157D">
              <w:rPr>
                <w:color w:val="000000" w:themeColor="text1"/>
              </w:rPr>
              <w:t>.</w:t>
            </w:r>
            <w:r w:rsidRPr="00196507">
              <w:rPr>
                <w:color w:val="000000" w:themeColor="text1"/>
              </w:rPr>
              <w:t>154</w:t>
            </w:r>
          </w:p>
        </w:tc>
        <w:tc>
          <w:tcPr>
            <w:tcW w:w="509" w:type="pct"/>
            <w:tcBorders>
              <w:top w:val="single" w:sz="4" w:space="0" w:color="auto"/>
              <w:left w:val="nil"/>
              <w:bottom w:val="single" w:sz="4" w:space="0" w:color="auto"/>
              <w:right w:val="nil"/>
            </w:tcBorders>
            <w:shd w:val="clear" w:color="auto" w:fill="auto"/>
            <w:vAlign w:val="bottom"/>
          </w:tcPr>
          <w:p w14:paraId="39111EEB" w14:textId="77777777" w:rsidR="00196507" w:rsidRPr="000F120F" w:rsidRDefault="00196507" w:rsidP="00196507">
            <w:pPr>
              <w:pStyle w:val="Tabletext"/>
            </w:pPr>
            <w:r w:rsidRPr="00295986">
              <w:t>18</w:t>
            </w:r>
            <w:r w:rsidR="00D7157D">
              <w:t>.</w:t>
            </w:r>
            <w:r w:rsidRPr="00295986">
              <w:t>623</w:t>
            </w:r>
          </w:p>
        </w:tc>
        <w:tc>
          <w:tcPr>
            <w:tcW w:w="510" w:type="pct"/>
            <w:tcBorders>
              <w:top w:val="single" w:sz="4" w:space="0" w:color="auto"/>
              <w:left w:val="nil"/>
              <w:bottom w:val="single" w:sz="4" w:space="0" w:color="auto"/>
              <w:right w:val="nil"/>
            </w:tcBorders>
            <w:shd w:val="clear" w:color="auto" w:fill="auto"/>
            <w:vAlign w:val="bottom"/>
          </w:tcPr>
          <w:p w14:paraId="60DBEC58" w14:textId="77777777" w:rsidR="00196507" w:rsidRPr="000F120F" w:rsidRDefault="00196507" w:rsidP="00196507">
            <w:pPr>
              <w:pStyle w:val="Tabletext"/>
            </w:pPr>
            <w:r w:rsidRPr="00295986">
              <w:t>20</w:t>
            </w:r>
            <w:r w:rsidR="00D7157D">
              <w:t>.</w:t>
            </w:r>
            <w:r w:rsidRPr="00295986">
              <w:t>666</w:t>
            </w:r>
          </w:p>
        </w:tc>
      </w:tr>
      <w:tr w:rsidR="00196507" w:rsidRPr="00DF2EC8" w14:paraId="4DE4C016" w14:textId="77777777" w:rsidTr="00871911">
        <w:tc>
          <w:tcPr>
            <w:tcW w:w="423" w:type="pct"/>
            <w:tcBorders>
              <w:top w:val="single" w:sz="4" w:space="0" w:color="auto"/>
              <w:left w:val="nil"/>
              <w:bottom w:val="single" w:sz="4" w:space="0" w:color="auto"/>
              <w:right w:val="nil"/>
            </w:tcBorders>
          </w:tcPr>
          <w:p w14:paraId="51748A20" w14:textId="77777777" w:rsidR="00196507" w:rsidRDefault="00196507" w:rsidP="00196507">
            <w:pPr>
              <w:pStyle w:val="Tabletext"/>
            </w:pPr>
            <w:r>
              <w:t>24</w:t>
            </w:r>
          </w:p>
        </w:tc>
        <w:tc>
          <w:tcPr>
            <w:tcW w:w="506" w:type="pct"/>
            <w:tcBorders>
              <w:top w:val="single" w:sz="4" w:space="0" w:color="auto"/>
              <w:left w:val="nil"/>
              <w:bottom w:val="single" w:sz="4" w:space="0" w:color="auto"/>
              <w:right w:val="nil"/>
            </w:tcBorders>
            <w:shd w:val="clear" w:color="auto" w:fill="auto"/>
            <w:vAlign w:val="bottom"/>
          </w:tcPr>
          <w:p w14:paraId="7EE3D240" w14:textId="77777777" w:rsidR="00196507" w:rsidRPr="000F120F" w:rsidRDefault="00196507" w:rsidP="00196507">
            <w:pPr>
              <w:pStyle w:val="Tabletext"/>
            </w:pPr>
            <w:r w:rsidRPr="00295986">
              <w:t>12</w:t>
            </w:r>
            <w:r w:rsidR="00D7157D">
              <w:t>.</w:t>
            </w:r>
            <w:r w:rsidRPr="00295986">
              <w:t>923</w:t>
            </w:r>
          </w:p>
        </w:tc>
        <w:tc>
          <w:tcPr>
            <w:tcW w:w="509" w:type="pct"/>
            <w:tcBorders>
              <w:top w:val="single" w:sz="4" w:space="0" w:color="auto"/>
              <w:left w:val="nil"/>
              <w:bottom w:val="single" w:sz="4" w:space="0" w:color="auto"/>
              <w:right w:val="nil"/>
            </w:tcBorders>
            <w:shd w:val="clear" w:color="auto" w:fill="auto"/>
            <w:vAlign w:val="bottom"/>
          </w:tcPr>
          <w:p w14:paraId="0505DF49" w14:textId="77777777" w:rsidR="00196507" w:rsidRPr="000F120F" w:rsidRDefault="00196507" w:rsidP="00196507">
            <w:pPr>
              <w:pStyle w:val="Tabletext"/>
            </w:pPr>
            <w:r w:rsidRPr="00295986">
              <w:t>16</w:t>
            </w:r>
            <w:r w:rsidR="00D7157D">
              <w:t>.</w:t>
            </w:r>
            <w:r w:rsidRPr="00295986">
              <w:t>478</w:t>
            </w:r>
          </w:p>
        </w:tc>
        <w:tc>
          <w:tcPr>
            <w:tcW w:w="509" w:type="pct"/>
            <w:tcBorders>
              <w:top w:val="single" w:sz="4" w:space="0" w:color="auto"/>
              <w:left w:val="nil"/>
              <w:bottom w:val="single" w:sz="4" w:space="0" w:color="auto"/>
              <w:right w:val="nil"/>
            </w:tcBorders>
            <w:shd w:val="clear" w:color="auto" w:fill="auto"/>
            <w:vAlign w:val="bottom"/>
          </w:tcPr>
          <w:p w14:paraId="4D5394B6" w14:textId="77777777" w:rsidR="00196507" w:rsidRPr="000F120F" w:rsidRDefault="00196507" w:rsidP="00196507">
            <w:pPr>
              <w:pStyle w:val="Tabletext"/>
            </w:pPr>
            <w:r w:rsidRPr="00295986">
              <w:t>16</w:t>
            </w:r>
            <w:r w:rsidR="00D7157D">
              <w:t>.</w:t>
            </w:r>
            <w:r w:rsidRPr="00295986">
              <w:t>311</w:t>
            </w:r>
          </w:p>
        </w:tc>
        <w:tc>
          <w:tcPr>
            <w:tcW w:w="508" w:type="pct"/>
            <w:tcBorders>
              <w:top w:val="single" w:sz="4" w:space="0" w:color="auto"/>
              <w:left w:val="nil"/>
              <w:bottom w:val="single" w:sz="4" w:space="0" w:color="auto"/>
              <w:right w:val="nil"/>
            </w:tcBorders>
            <w:shd w:val="clear" w:color="auto" w:fill="auto"/>
            <w:vAlign w:val="bottom"/>
          </w:tcPr>
          <w:p w14:paraId="1A7CF5DE" w14:textId="77777777" w:rsidR="00196507" w:rsidRPr="000F120F" w:rsidRDefault="00196507" w:rsidP="00196507">
            <w:pPr>
              <w:pStyle w:val="Tabletext"/>
            </w:pPr>
            <w:r w:rsidRPr="00295986">
              <w:t>18</w:t>
            </w:r>
            <w:r w:rsidR="00D7157D">
              <w:t>.</w:t>
            </w:r>
            <w:r w:rsidRPr="00295986">
              <w:t>270</w:t>
            </w:r>
          </w:p>
        </w:tc>
        <w:tc>
          <w:tcPr>
            <w:tcW w:w="509" w:type="pct"/>
            <w:tcBorders>
              <w:top w:val="single" w:sz="4" w:space="0" w:color="auto"/>
              <w:left w:val="nil"/>
              <w:bottom w:val="single" w:sz="4" w:space="0" w:color="auto"/>
              <w:right w:val="nil"/>
            </w:tcBorders>
            <w:shd w:val="clear" w:color="auto" w:fill="auto"/>
            <w:vAlign w:val="bottom"/>
          </w:tcPr>
          <w:p w14:paraId="46F100C4" w14:textId="77777777" w:rsidR="00196507" w:rsidRPr="000F120F" w:rsidRDefault="00196507" w:rsidP="00196507">
            <w:pPr>
              <w:pStyle w:val="Tabletext"/>
            </w:pPr>
            <w:r w:rsidRPr="00295986">
              <w:t>17</w:t>
            </w:r>
            <w:r w:rsidR="00D7157D">
              <w:t>.</w:t>
            </w:r>
            <w:r w:rsidRPr="00295986">
              <w:t>892</w:t>
            </w:r>
          </w:p>
        </w:tc>
        <w:tc>
          <w:tcPr>
            <w:tcW w:w="508" w:type="pct"/>
            <w:tcBorders>
              <w:top w:val="single" w:sz="4" w:space="0" w:color="auto"/>
              <w:left w:val="nil"/>
              <w:bottom w:val="single" w:sz="4" w:space="0" w:color="auto"/>
              <w:right w:val="nil"/>
            </w:tcBorders>
            <w:shd w:val="clear" w:color="auto" w:fill="auto"/>
            <w:vAlign w:val="bottom"/>
          </w:tcPr>
          <w:p w14:paraId="26B7451C" w14:textId="77777777" w:rsidR="00196507" w:rsidRPr="000F120F" w:rsidRDefault="00196507" w:rsidP="00196507">
            <w:pPr>
              <w:pStyle w:val="Tabletext"/>
            </w:pPr>
            <w:r w:rsidRPr="00295986">
              <w:t>17</w:t>
            </w:r>
            <w:r w:rsidR="00D7157D">
              <w:t>.</w:t>
            </w:r>
            <w:r w:rsidRPr="00295986">
              <w:t>343</w:t>
            </w:r>
          </w:p>
        </w:tc>
        <w:tc>
          <w:tcPr>
            <w:tcW w:w="509" w:type="pct"/>
            <w:tcBorders>
              <w:top w:val="single" w:sz="4" w:space="0" w:color="auto"/>
              <w:left w:val="nil"/>
              <w:bottom w:val="single" w:sz="4" w:space="0" w:color="auto"/>
              <w:right w:val="nil"/>
            </w:tcBorders>
            <w:vAlign w:val="bottom"/>
          </w:tcPr>
          <w:p w14:paraId="5FE2F7D8" w14:textId="77777777" w:rsidR="00196507" w:rsidRPr="00196507" w:rsidRDefault="00196507" w:rsidP="00196507">
            <w:pPr>
              <w:pStyle w:val="Tabletext"/>
              <w:rPr>
                <w:color w:val="000000" w:themeColor="text1"/>
              </w:rPr>
            </w:pPr>
            <w:r w:rsidRPr="00196507">
              <w:rPr>
                <w:color w:val="000000" w:themeColor="text1"/>
              </w:rPr>
              <w:t>18</w:t>
            </w:r>
            <w:r w:rsidR="00D7157D">
              <w:rPr>
                <w:color w:val="000000" w:themeColor="text1"/>
              </w:rPr>
              <w:t>.</w:t>
            </w:r>
            <w:r w:rsidRPr="00196507">
              <w:rPr>
                <w:color w:val="000000" w:themeColor="text1"/>
              </w:rPr>
              <w:t>758</w:t>
            </w:r>
          </w:p>
        </w:tc>
        <w:tc>
          <w:tcPr>
            <w:tcW w:w="509" w:type="pct"/>
            <w:tcBorders>
              <w:top w:val="single" w:sz="4" w:space="0" w:color="auto"/>
              <w:left w:val="nil"/>
              <w:bottom w:val="single" w:sz="4" w:space="0" w:color="auto"/>
              <w:right w:val="nil"/>
            </w:tcBorders>
            <w:shd w:val="clear" w:color="auto" w:fill="auto"/>
            <w:vAlign w:val="bottom"/>
          </w:tcPr>
          <w:p w14:paraId="214B0DE9" w14:textId="77777777" w:rsidR="00196507" w:rsidRPr="000F120F" w:rsidRDefault="00196507" w:rsidP="00196507">
            <w:pPr>
              <w:pStyle w:val="Tabletext"/>
            </w:pPr>
            <w:r w:rsidRPr="00295986">
              <w:t>19</w:t>
            </w:r>
            <w:r w:rsidR="00D7157D">
              <w:t>.</w:t>
            </w:r>
            <w:r w:rsidRPr="00295986">
              <w:t>263</w:t>
            </w:r>
          </w:p>
        </w:tc>
        <w:tc>
          <w:tcPr>
            <w:tcW w:w="510" w:type="pct"/>
            <w:tcBorders>
              <w:top w:val="single" w:sz="4" w:space="0" w:color="auto"/>
              <w:left w:val="nil"/>
              <w:bottom w:val="single" w:sz="4" w:space="0" w:color="auto"/>
              <w:right w:val="nil"/>
            </w:tcBorders>
            <w:shd w:val="clear" w:color="auto" w:fill="auto"/>
            <w:vAlign w:val="bottom"/>
          </w:tcPr>
          <w:p w14:paraId="57616176" w14:textId="77777777" w:rsidR="00196507" w:rsidRPr="000F120F" w:rsidRDefault="00196507" w:rsidP="00196507">
            <w:pPr>
              <w:pStyle w:val="Tabletext"/>
            </w:pPr>
            <w:r w:rsidRPr="00295986">
              <w:t>21</w:t>
            </w:r>
            <w:r w:rsidR="00D7157D">
              <w:t>.</w:t>
            </w:r>
            <w:r w:rsidRPr="00295986">
              <w:t>467</w:t>
            </w:r>
          </w:p>
        </w:tc>
      </w:tr>
      <w:tr w:rsidR="00196507" w:rsidRPr="00DF2EC8" w14:paraId="50CFD296" w14:textId="77777777" w:rsidTr="00871911">
        <w:tc>
          <w:tcPr>
            <w:tcW w:w="423" w:type="pct"/>
            <w:tcBorders>
              <w:top w:val="single" w:sz="4" w:space="0" w:color="auto"/>
              <w:left w:val="nil"/>
              <w:bottom w:val="single" w:sz="4" w:space="0" w:color="auto"/>
              <w:right w:val="nil"/>
            </w:tcBorders>
          </w:tcPr>
          <w:p w14:paraId="5BA9EC20" w14:textId="77777777" w:rsidR="00196507" w:rsidRDefault="00196507" w:rsidP="00196507">
            <w:pPr>
              <w:pStyle w:val="Tabletext"/>
            </w:pPr>
            <w:r>
              <w:t>25</w:t>
            </w:r>
          </w:p>
        </w:tc>
        <w:tc>
          <w:tcPr>
            <w:tcW w:w="506" w:type="pct"/>
            <w:tcBorders>
              <w:top w:val="single" w:sz="4" w:space="0" w:color="auto"/>
              <w:left w:val="nil"/>
              <w:bottom w:val="single" w:sz="4" w:space="0" w:color="auto"/>
              <w:right w:val="nil"/>
            </w:tcBorders>
            <w:shd w:val="clear" w:color="auto" w:fill="auto"/>
            <w:vAlign w:val="bottom"/>
          </w:tcPr>
          <w:p w14:paraId="20D46331" w14:textId="77777777" w:rsidR="00196507" w:rsidRPr="000F120F" w:rsidRDefault="00196507" w:rsidP="00196507">
            <w:pPr>
              <w:pStyle w:val="Tabletext"/>
            </w:pPr>
            <w:r w:rsidRPr="00295986">
              <w:t>13</w:t>
            </w:r>
            <w:r w:rsidR="00D7157D">
              <w:t>.</w:t>
            </w:r>
            <w:r w:rsidRPr="00295986">
              <w:t>163</w:t>
            </w:r>
          </w:p>
        </w:tc>
        <w:tc>
          <w:tcPr>
            <w:tcW w:w="509" w:type="pct"/>
            <w:tcBorders>
              <w:top w:val="single" w:sz="4" w:space="0" w:color="auto"/>
              <w:left w:val="nil"/>
              <w:bottom w:val="single" w:sz="4" w:space="0" w:color="auto"/>
              <w:right w:val="nil"/>
            </w:tcBorders>
            <w:shd w:val="clear" w:color="auto" w:fill="auto"/>
            <w:vAlign w:val="bottom"/>
          </w:tcPr>
          <w:p w14:paraId="0EEE00EE" w14:textId="77777777" w:rsidR="00196507" w:rsidRPr="000F120F" w:rsidRDefault="00196507" w:rsidP="00196507">
            <w:pPr>
              <w:pStyle w:val="Tabletext"/>
            </w:pPr>
            <w:r w:rsidRPr="00295986">
              <w:t>16</w:t>
            </w:r>
            <w:r w:rsidR="00D7157D">
              <w:t>.</w:t>
            </w:r>
            <w:r w:rsidRPr="00295986">
              <w:t>917</w:t>
            </w:r>
          </w:p>
        </w:tc>
        <w:tc>
          <w:tcPr>
            <w:tcW w:w="509" w:type="pct"/>
            <w:tcBorders>
              <w:top w:val="single" w:sz="4" w:space="0" w:color="auto"/>
              <w:left w:val="nil"/>
              <w:bottom w:val="single" w:sz="4" w:space="0" w:color="auto"/>
              <w:right w:val="nil"/>
            </w:tcBorders>
            <w:shd w:val="clear" w:color="auto" w:fill="auto"/>
            <w:vAlign w:val="bottom"/>
          </w:tcPr>
          <w:p w14:paraId="5BA671CB" w14:textId="77777777" w:rsidR="00196507" w:rsidRPr="000F120F" w:rsidRDefault="00196507" w:rsidP="00196507">
            <w:pPr>
              <w:pStyle w:val="Tabletext"/>
            </w:pPr>
            <w:r w:rsidRPr="00295986">
              <w:t>16</w:t>
            </w:r>
            <w:r w:rsidR="00D7157D">
              <w:t>.</w:t>
            </w:r>
            <w:r w:rsidRPr="00295986">
              <w:t>740</w:t>
            </w:r>
          </w:p>
        </w:tc>
        <w:tc>
          <w:tcPr>
            <w:tcW w:w="508" w:type="pct"/>
            <w:tcBorders>
              <w:top w:val="single" w:sz="4" w:space="0" w:color="auto"/>
              <w:left w:val="nil"/>
              <w:bottom w:val="single" w:sz="4" w:space="0" w:color="auto"/>
              <w:right w:val="nil"/>
            </w:tcBorders>
            <w:shd w:val="clear" w:color="auto" w:fill="auto"/>
            <w:vAlign w:val="bottom"/>
          </w:tcPr>
          <w:p w14:paraId="1B684F97" w14:textId="77777777" w:rsidR="00196507" w:rsidRPr="000F120F" w:rsidRDefault="00196507" w:rsidP="00196507">
            <w:pPr>
              <w:pStyle w:val="Tabletext"/>
            </w:pPr>
            <w:r w:rsidRPr="00295986">
              <w:t>18</w:t>
            </w:r>
            <w:r w:rsidR="00D7157D">
              <w:t>.</w:t>
            </w:r>
            <w:r w:rsidRPr="00295986">
              <w:t>827</w:t>
            </w:r>
          </w:p>
        </w:tc>
        <w:tc>
          <w:tcPr>
            <w:tcW w:w="509" w:type="pct"/>
            <w:tcBorders>
              <w:top w:val="single" w:sz="4" w:space="0" w:color="auto"/>
              <w:left w:val="nil"/>
              <w:bottom w:val="single" w:sz="4" w:space="0" w:color="auto"/>
              <w:right w:val="nil"/>
            </w:tcBorders>
            <w:shd w:val="clear" w:color="auto" w:fill="auto"/>
            <w:vAlign w:val="bottom"/>
          </w:tcPr>
          <w:p w14:paraId="0BC21B57" w14:textId="77777777" w:rsidR="00196507" w:rsidRPr="000F120F" w:rsidRDefault="00196507" w:rsidP="00196507">
            <w:pPr>
              <w:pStyle w:val="Tabletext"/>
            </w:pPr>
            <w:r w:rsidRPr="00295986">
              <w:t>18</w:t>
            </w:r>
            <w:r w:rsidR="00D7157D">
              <w:t>.</w:t>
            </w:r>
            <w:r w:rsidRPr="00295986">
              <w:t>423</w:t>
            </w:r>
          </w:p>
        </w:tc>
        <w:tc>
          <w:tcPr>
            <w:tcW w:w="508" w:type="pct"/>
            <w:tcBorders>
              <w:top w:val="single" w:sz="4" w:space="0" w:color="auto"/>
              <w:left w:val="nil"/>
              <w:bottom w:val="single" w:sz="4" w:space="0" w:color="auto"/>
              <w:right w:val="nil"/>
            </w:tcBorders>
            <w:shd w:val="clear" w:color="auto" w:fill="auto"/>
            <w:vAlign w:val="bottom"/>
          </w:tcPr>
          <w:p w14:paraId="309F9706" w14:textId="77777777" w:rsidR="00196507" w:rsidRPr="000F120F" w:rsidRDefault="00196507" w:rsidP="00196507">
            <w:pPr>
              <w:pStyle w:val="Tabletext"/>
            </w:pPr>
            <w:r w:rsidRPr="00295986">
              <w:t>17</w:t>
            </w:r>
            <w:r w:rsidR="00D7157D">
              <w:t>.</w:t>
            </w:r>
            <w:r w:rsidRPr="00295986">
              <w:t>838</w:t>
            </w:r>
          </w:p>
        </w:tc>
        <w:tc>
          <w:tcPr>
            <w:tcW w:w="509" w:type="pct"/>
            <w:tcBorders>
              <w:top w:val="single" w:sz="4" w:space="0" w:color="auto"/>
              <w:left w:val="nil"/>
              <w:bottom w:val="single" w:sz="4" w:space="0" w:color="auto"/>
              <w:right w:val="nil"/>
            </w:tcBorders>
            <w:vAlign w:val="bottom"/>
          </w:tcPr>
          <w:p w14:paraId="7571806B" w14:textId="77777777" w:rsidR="00196507" w:rsidRPr="00196507" w:rsidRDefault="00196507" w:rsidP="00196507">
            <w:pPr>
              <w:pStyle w:val="Tabletext"/>
              <w:rPr>
                <w:color w:val="000000" w:themeColor="text1"/>
              </w:rPr>
            </w:pPr>
            <w:r w:rsidRPr="00196507">
              <w:rPr>
                <w:color w:val="000000" w:themeColor="text1"/>
              </w:rPr>
              <w:t>19</w:t>
            </w:r>
            <w:r w:rsidR="00D7157D">
              <w:rPr>
                <w:color w:val="000000" w:themeColor="text1"/>
              </w:rPr>
              <w:t>.</w:t>
            </w:r>
            <w:r w:rsidRPr="00196507">
              <w:rPr>
                <w:color w:val="000000" w:themeColor="text1"/>
              </w:rPr>
              <w:t>349</w:t>
            </w:r>
          </w:p>
        </w:tc>
        <w:tc>
          <w:tcPr>
            <w:tcW w:w="509" w:type="pct"/>
            <w:tcBorders>
              <w:top w:val="single" w:sz="4" w:space="0" w:color="auto"/>
              <w:left w:val="nil"/>
              <w:bottom w:val="single" w:sz="4" w:space="0" w:color="auto"/>
              <w:right w:val="nil"/>
            </w:tcBorders>
            <w:shd w:val="clear" w:color="auto" w:fill="auto"/>
            <w:vAlign w:val="bottom"/>
          </w:tcPr>
          <w:p w14:paraId="1E586E67" w14:textId="77777777" w:rsidR="00196507" w:rsidRPr="000F120F" w:rsidRDefault="00196507" w:rsidP="00196507">
            <w:pPr>
              <w:pStyle w:val="Tabletext"/>
            </w:pPr>
            <w:r w:rsidRPr="00295986">
              <w:t>19</w:t>
            </w:r>
            <w:r w:rsidR="00D7157D">
              <w:t>.</w:t>
            </w:r>
            <w:r w:rsidRPr="00295986">
              <w:t>890</w:t>
            </w:r>
          </w:p>
        </w:tc>
        <w:tc>
          <w:tcPr>
            <w:tcW w:w="510" w:type="pct"/>
            <w:tcBorders>
              <w:top w:val="single" w:sz="4" w:space="0" w:color="auto"/>
              <w:left w:val="nil"/>
              <w:bottom w:val="single" w:sz="4" w:space="0" w:color="auto"/>
              <w:right w:val="nil"/>
            </w:tcBorders>
            <w:shd w:val="clear" w:color="auto" w:fill="auto"/>
            <w:vAlign w:val="bottom"/>
          </w:tcPr>
          <w:p w14:paraId="41901DB0" w14:textId="77777777" w:rsidR="00196507" w:rsidRPr="000F120F" w:rsidRDefault="00196507" w:rsidP="00196507">
            <w:pPr>
              <w:pStyle w:val="Tabletext"/>
            </w:pPr>
            <w:r w:rsidRPr="00295986">
              <w:t>22</w:t>
            </w:r>
            <w:r w:rsidR="00D7157D">
              <w:t>.</w:t>
            </w:r>
            <w:r w:rsidRPr="00295986">
              <w:t>260</w:t>
            </w:r>
          </w:p>
        </w:tc>
      </w:tr>
      <w:tr w:rsidR="00196507" w:rsidRPr="00DF2EC8" w14:paraId="5FC9F4ED" w14:textId="77777777" w:rsidTr="00871911">
        <w:tc>
          <w:tcPr>
            <w:tcW w:w="423" w:type="pct"/>
            <w:tcBorders>
              <w:top w:val="single" w:sz="4" w:space="0" w:color="auto"/>
              <w:left w:val="nil"/>
              <w:bottom w:val="single" w:sz="4" w:space="0" w:color="auto"/>
              <w:right w:val="nil"/>
            </w:tcBorders>
          </w:tcPr>
          <w:p w14:paraId="4FCEA2AD" w14:textId="77777777" w:rsidR="00196507" w:rsidRDefault="00196507" w:rsidP="00196507">
            <w:pPr>
              <w:pStyle w:val="Tabletext"/>
            </w:pPr>
            <w:r>
              <w:t>26</w:t>
            </w:r>
          </w:p>
        </w:tc>
        <w:tc>
          <w:tcPr>
            <w:tcW w:w="506" w:type="pct"/>
            <w:tcBorders>
              <w:top w:val="single" w:sz="4" w:space="0" w:color="auto"/>
              <w:left w:val="nil"/>
              <w:bottom w:val="single" w:sz="4" w:space="0" w:color="auto"/>
              <w:right w:val="nil"/>
            </w:tcBorders>
            <w:shd w:val="clear" w:color="auto" w:fill="auto"/>
            <w:vAlign w:val="bottom"/>
          </w:tcPr>
          <w:p w14:paraId="4543AD0D" w14:textId="77777777" w:rsidR="00196507" w:rsidRPr="000F120F" w:rsidRDefault="00196507" w:rsidP="00196507">
            <w:pPr>
              <w:pStyle w:val="Tabletext"/>
            </w:pPr>
            <w:r w:rsidRPr="00295986">
              <w:t>13</w:t>
            </w:r>
            <w:r w:rsidR="00D7157D">
              <w:t>.</w:t>
            </w:r>
            <w:r w:rsidRPr="00295986">
              <w:t>389</w:t>
            </w:r>
          </w:p>
        </w:tc>
        <w:tc>
          <w:tcPr>
            <w:tcW w:w="509" w:type="pct"/>
            <w:tcBorders>
              <w:top w:val="single" w:sz="4" w:space="0" w:color="auto"/>
              <w:left w:val="nil"/>
              <w:bottom w:val="single" w:sz="4" w:space="0" w:color="auto"/>
              <w:right w:val="nil"/>
            </w:tcBorders>
            <w:shd w:val="clear" w:color="auto" w:fill="auto"/>
            <w:vAlign w:val="bottom"/>
          </w:tcPr>
          <w:p w14:paraId="50529C45" w14:textId="77777777" w:rsidR="00196507" w:rsidRPr="000F120F" w:rsidRDefault="00196507" w:rsidP="00196507">
            <w:pPr>
              <w:pStyle w:val="Tabletext"/>
            </w:pPr>
            <w:r w:rsidRPr="00295986">
              <w:t>17</w:t>
            </w:r>
            <w:r w:rsidR="00D7157D">
              <w:t>.</w:t>
            </w:r>
            <w:r w:rsidRPr="00295986">
              <w:t>342</w:t>
            </w:r>
          </w:p>
        </w:tc>
        <w:tc>
          <w:tcPr>
            <w:tcW w:w="509" w:type="pct"/>
            <w:tcBorders>
              <w:top w:val="single" w:sz="4" w:space="0" w:color="auto"/>
              <w:left w:val="nil"/>
              <w:bottom w:val="single" w:sz="4" w:space="0" w:color="auto"/>
              <w:right w:val="nil"/>
            </w:tcBorders>
            <w:shd w:val="clear" w:color="auto" w:fill="auto"/>
            <w:vAlign w:val="bottom"/>
          </w:tcPr>
          <w:p w14:paraId="0C41E706" w14:textId="77777777" w:rsidR="00196507" w:rsidRPr="000F120F" w:rsidRDefault="00196507" w:rsidP="00196507">
            <w:pPr>
              <w:pStyle w:val="Tabletext"/>
            </w:pPr>
            <w:r w:rsidRPr="00295986">
              <w:t>17</w:t>
            </w:r>
            <w:r w:rsidR="00D7157D">
              <w:t>.</w:t>
            </w:r>
            <w:r w:rsidRPr="00295986">
              <w:t>155</w:t>
            </w:r>
          </w:p>
        </w:tc>
        <w:tc>
          <w:tcPr>
            <w:tcW w:w="508" w:type="pct"/>
            <w:tcBorders>
              <w:top w:val="single" w:sz="4" w:space="0" w:color="auto"/>
              <w:left w:val="nil"/>
              <w:bottom w:val="single" w:sz="4" w:space="0" w:color="auto"/>
              <w:right w:val="nil"/>
            </w:tcBorders>
            <w:shd w:val="clear" w:color="auto" w:fill="auto"/>
            <w:vAlign w:val="bottom"/>
          </w:tcPr>
          <w:p w14:paraId="5748907E" w14:textId="77777777" w:rsidR="00196507" w:rsidRPr="000F120F" w:rsidRDefault="00196507" w:rsidP="00196507">
            <w:pPr>
              <w:pStyle w:val="Tabletext"/>
            </w:pPr>
            <w:r w:rsidRPr="00295986">
              <w:t>19</w:t>
            </w:r>
            <w:r w:rsidR="00D7157D">
              <w:t>.</w:t>
            </w:r>
            <w:r w:rsidRPr="00295986">
              <w:t>371</w:t>
            </w:r>
          </w:p>
        </w:tc>
        <w:tc>
          <w:tcPr>
            <w:tcW w:w="509" w:type="pct"/>
            <w:tcBorders>
              <w:top w:val="single" w:sz="4" w:space="0" w:color="auto"/>
              <w:left w:val="nil"/>
              <w:bottom w:val="single" w:sz="4" w:space="0" w:color="auto"/>
              <w:right w:val="nil"/>
            </w:tcBorders>
            <w:shd w:val="clear" w:color="auto" w:fill="auto"/>
            <w:vAlign w:val="bottom"/>
          </w:tcPr>
          <w:p w14:paraId="15DC1E46" w14:textId="77777777" w:rsidR="00196507" w:rsidRPr="000F120F" w:rsidRDefault="00196507" w:rsidP="00196507">
            <w:pPr>
              <w:pStyle w:val="Tabletext"/>
            </w:pPr>
            <w:r w:rsidRPr="00295986">
              <w:t>18</w:t>
            </w:r>
            <w:r w:rsidR="00D7157D">
              <w:t>.</w:t>
            </w:r>
            <w:r w:rsidRPr="00295986">
              <w:t>941</w:t>
            </w:r>
          </w:p>
        </w:tc>
        <w:tc>
          <w:tcPr>
            <w:tcW w:w="508" w:type="pct"/>
            <w:tcBorders>
              <w:top w:val="single" w:sz="4" w:space="0" w:color="auto"/>
              <w:left w:val="nil"/>
              <w:bottom w:val="single" w:sz="4" w:space="0" w:color="auto"/>
              <w:right w:val="nil"/>
            </w:tcBorders>
            <w:shd w:val="clear" w:color="auto" w:fill="auto"/>
            <w:vAlign w:val="bottom"/>
          </w:tcPr>
          <w:p w14:paraId="38821781" w14:textId="77777777" w:rsidR="00196507" w:rsidRPr="000F120F" w:rsidRDefault="00196507" w:rsidP="00196507">
            <w:pPr>
              <w:pStyle w:val="Tabletext"/>
            </w:pPr>
            <w:r w:rsidRPr="00295986">
              <w:t>18</w:t>
            </w:r>
            <w:r w:rsidR="00D7157D">
              <w:t>.</w:t>
            </w:r>
            <w:r w:rsidRPr="00295986">
              <w:t>319</w:t>
            </w:r>
          </w:p>
        </w:tc>
        <w:tc>
          <w:tcPr>
            <w:tcW w:w="509" w:type="pct"/>
            <w:tcBorders>
              <w:top w:val="single" w:sz="4" w:space="0" w:color="auto"/>
              <w:left w:val="nil"/>
              <w:bottom w:val="single" w:sz="4" w:space="0" w:color="auto"/>
              <w:right w:val="nil"/>
            </w:tcBorders>
            <w:vAlign w:val="bottom"/>
          </w:tcPr>
          <w:p w14:paraId="71CC92EA" w14:textId="77777777" w:rsidR="00196507" w:rsidRPr="00196507" w:rsidRDefault="00196507" w:rsidP="00196507">
            <w:pPr>
              <w:pStyle w:val="Tabletext"/>
              <w:rPr>
                <w:color w:val="000000" w:themeColor="text1"/>
              </w:rPr>
            </w:pPr>
            <w:r w:rsidRPr="00196507">
              <w:rPr>
                <w:color w:val="000000" w:themeColor="text1"/>
              </w:rPr>
              <w:t>19</w:t>
            </w:r>
            <w:r w:rsidR="00D7157D">
              <w:rPr>
                <w:color w:val="000000" w:themeColor="text1"/>
              </w:rPr>
              <w:t>.</w:t>
            </w:r>
            <w:r w:rsidRPr="00196507">
              <w:rPr>
                <w:color w:val="000000" w:themeColor="text1"/>
              </w:rPr>
              <w:t>928</w:t>
            </w:r>
          </w:p>
        </w:tc>
        <w:tc>
          <w:tcPr>
            <w:tcW w:w="509" w:type="pct"/>
            <w:tcBorders>
              <w:top w:val="single" w:sz="4" w:space="0" w:color="auto"/>
              <w:left w:val="nil"/>
              <w:bottom w:val="single" w:sz="4" w:space="0" w:color="auto"/>
              <w:right w:val="nil"/>
            </w:tcBorders>
            <w:shd w:val="clear" w:color="auto" w:fill="auto"/>
            <w:vAlign w:val="bottom"/>
          </w:tcPr>
          <w:p w14:paraId="502D2028" w14:textId="77777777" w:rsidR="00196507" w:rsidRPr="000F120F" w:rsidRDefault="00196507" w:rsidP="00196507">
            <w:pPr>
              <w:pStyle w:val="Tabletext"/>
            </w:pPr>
            <w:r w:rsidRPr="00295986">
              <w:t>20</w:t>
            </w:r>
            <w:r w:rsidR="00D7157D">
              <w:t>.</w:t>
            </w:r>
            <w:r w:rsidRPr="00295986">
              <w:t>505</w:t>
            </w:r>
          </w:p>
        </w:tc>
        <w:tc>
          <w:tcPr>
            <w:tcW w:w="510" w:type="pct"/>
            <w:tcBorders>
              <w:top w:val="single" w:sz="4" w:space="0" w:color="auto"/>
              <w:left w:val="nil"/>
              <w:bottom w:val="single" w:sz="4" w:space="0" w:color="auto"/>
              <w:right w:val="nil"/>
            </w:tcBorders>
            <w:shd w:val="clear" w:color="auto" w:fill="auto"/>
            <w:vAlign w:val="bottom"/>
          </w:tcPr>
          <w:p w14:paraId="6E376FD3" w14:textId="77777777" w:rsidR="00196507" w:rsidRPr="000F120F" w:rsidRDefault="00196507" w:rsidP="00196507">
            <w:pPr>
              <w:pStyle w:val="Tabletext"/>
            </w:pPr>
            <w:r w:rsidRPr="00295986">
              <w:t>23</w:t>
            </w:r>
            <w:r w:rsidR="00D7157D">
              <w:t>.</w:t>
            </w:r>
            <w:r w:rsidRPr="00295986">
              <w:t>045</w:t>
            </w:r>
          </w:p>
        </w:tc>
      </w:tr>
      <w:tr w:rsidR="00196507" w:rsidRPr="00DF2EC8" w14:paraId="11D09DF5" w14:textId="77777777" w:rsidTr="00871911">
        <w:tc>
          <w:tcPr>
            <w:tcW w:w="423" w:type="pct"/>
            <w:tcBorders>
              <w:top w:val="single" w:sz="4" w:space="0" w:color="auto"/>
              <w:left w:val="nil"/>
              <w:bottom w:val="single" w:sz="4" w:space="0" w:color="auto"/>
              <w:right w:val="nil"/>
            </w:tcBorders>
          </w:tcPr>
          <w:p w14:paraId="61C60AED" w14:textId="77777777" w:rsidR="00196507" w:rsidRDefault="00196507" w:rsidP="00196507">
            <w:pPr>
              <w:pStyle w:val="Tabletext"/>
            </w:pPr>
            <w:r>
              <w:t>27</w:t>
            </w:r>
          </w:p>
        </w:tc>
        <w:tc>
          <w:tcPr>
            <w:tcW w:w="506" w:type="pct"/>
            <w:tcBorders>
              <w:top w:val="single" w:sz="4" w:space="0" w:color="auto"/>
              <w:left w:val="nil"/>
              <w:bottom w:val="single" w:sz="4" w:space="0" w:color="auto"/>
              <w:right w:val="nil"/>
            </w:tcBorders>
            <w:shd w:val="clear" w:color="auto" w:fill="auto"/>
            <w:vAlign w:val="bottom"/>
          </w:tcPr>
          <w:p w14:paraId="059E1658" w14:textId="77777777" w:rsidR="00196507" w:rsidRPr="000F120F" w:rsidRDefault="00196507" w:rsidP="00196507">
            <w:pPr>
              <w:pStyle w:val="Tabletext"/>
            </w:pPr>
            <w:r w:rsidRPr="00295986">
              <w:t>13</w:t>
            </w:r>
            <w:r w:rsidR="00D7157D">
              <w:t>.</w:t>
            </w:r>
            <w:r w:rsidRPr="00295986">
              <w:t>603</w:t>
            </w:r>
          </w:p>
        </w:tc>
        <w:tc>
          <w:tcPr>
            <w:tcW w:w="509" w:type="pct"/>
            <w:tcBorders>
              <w:top w:val="single" w:sz="4" w:space="0" w:color="auto"/>
              <w:left w:val="nil"/>
              <w:bottom w:val="single" w:sz="4" w:space="0" w:color="auto"/>
              <w:right w:val="nil"/>
            </w:tcBorders>
            <w:shd w:val="clear" w:color="auto" w:fill="auto"/>
            <w:vAlign w:val="bottom"/>
          </w:tcPr>
          <w:p w14:paraId="1CCBE532" w14:textId="77777777" w:rsidR="00196507" w:rsidRPr="000F120F" w:rsidRDefault="00196507" w:rsidP="00196507">
            <w:pPr>
              <w:pStyle w:val="Tabletext"/>
            </w:pPr>
            <w:r w:rsidRPr="00295986">
              <w:t>17</w:t>
            </w:r>
            <w:r w:rsidR="00D7157D">
              <w:t>.</w:t>
            </w:r>
            <w:r w:rsidRPr="00295986">
              <w:t>752</w:t>
            </w:r>
          </w:p>
        </w:tc>
        <w:tc>
          <w:tcPr>
            <w:tcW w:w="509" w:type="pct"/>
            <w:tcBorders>
              <w:top w:val="single" w:sz="4" w:space="0" w:color="auto"/>
              <w:left w:val="nil"/>
              <w:bottom w:val="single" w:sz="4" w:space="0" w:color="auto"/>
              <w:right w:val="nil"/>
            </w:tcBorders>
            <w:shd w:val="clear" w:color="auto" w:fill="auto"/>
            <w:vAlign w:val="bottom"/>
          </w:tcPr>
          <w:p w14:paraId="55245D9E" w14:textId="77777777" w:rsidR="00196507" w:rsidRPr="000F120F" w:rsidRDefault="00196507" w:rsidP="00196507">
            <w:pPr>
              <w:pStyle w:val="Tabletext"/>
            </w:pPr>
            <w:r w:rsidRPr="00295986">
              <w:t>17</w:t>
            </w:r>
            <w:r w:rsidR="00D7157D">
              <w:t>.</w:t>
            </w:r>
            <w:r w:rsidRPr="00295986">
              <w:t>555</w:t>
            </w:r>
          </w:p>
        </w:tc>
        <w:tc>
          <w:tcPr>
            <w:tcW w:w="508" w:type="pct"/>
            <w:tcBorders>
              <w:top w:val="single" w:sz="4" w:space="0" w:color="auto"/>
              <w:left w:val="nil"/>
              <w:bottom w:val="single" w:sz="4" w:space="0" w:color="auto"/>
              <w:right w:val="nil"/>
            </w:tcBorders>
            <w:shd w:val="clear" w:color="auto" w:fill="auto"/>
            <w:vAlign w:val="bottom"/>
          </w:tcPr>
          <w:p w14:paraId="6F2867EA" w14:textId="77777777" w:rsidR="00196507" w:rsidRPr="000F120F" w:rsidRDefault="00196507" w:rsidP="00196507">
            <w:pPr>
              <w:pStyle w:val="Tabletext"/>
            </w:pPr>
            <w:r w:rsidRPr="00295986">
              <w:t>19</w:t>
            </w:r>
            <w:r w:rsidR="00D7157D">
              <w:t>.</w:t>
            </w:r>
            <w:r w:rsidRPr="00295986">
              <w:t>903</w:t>
            </w:r>
          </w:p>
        </w:tc>
        <w:tc>
          <w:tcPr>
            <w:tcW w:w="509" w:type="pct"/>
            <w:tcBorders>
              <w:top w:val="single" w:sz="4" w:space="0" w:color="auto"/>
              <w:left w:val="nil"/>
              <w:bottom w:val="single" w:sz="4" w:space="0" w:color="auto"/>
              <w:right w:val="nil"/>
            </w:tcBorders>
            <w:shd w:val="clear" w:color="auto" w:fill="auto"/>
            <w:vAlign w:val="bottom"/>
          </w:tcPr>
          <w:p w14:paraId="7C275CF6" w14:textId="77777777" w:rsidR="00196507" w:rsidRPr="000F120F" w:rsidRDefault="00196507" w:rsidP="00196507">
            <w:pPr>
              <w:pStyle w:val="Tabletext"/>
            </w:pPr>
            <w:r w:rsidRPr="00295986">
              <w:t>19</w:t>
            </w:r>
            <w:r w:rsidR="00D7157D">
              <w:t>.</w:t>
            </w:r>
            <w:r w:rsidRPr="00295986">
              <w:t>446</w:t>
            </w:r>
          </w:p>
        </w:tc>
        <w:tc>
          <w:tcPr>
            <w:tcW w:w="508" w:type="pct"/>
            <w:tcBorders>
              <w:top w:val="single" w:sz="4" w:space="0" w:color="auto"/>
              <w:left w:val="nil"/>
              <w:bottom w:val="single" w:sz="4" w:space="0" w:color="auto"/>
              <w:right w:val="nil"/>
            </w:tcBorders>
            <w:shd w:val="clear" w:color="auto" w:fill="auto"/>
            <w:vAlign w:val="bottom"/>
          </w:tcPr>
          <w:p w14:paraId="0D264B5F" w14:textId="77777777" w:rsidR="00196507" w:rsidRPr="000F120F" w:rsidRDefault="00196507" w:rsidP="00196507">
            <w:pPr>
              <w:pStyle w:val="Tabletext"/>
            </w:pPr>
            <w:r w:rsidRPr="00295986">
              <w:t>18</w:t>
            </w:r>
            <w:r w:rsidR="00D7157D">
              <w:t>.</w:t>
            </w:r>
            <w:r w:rsidRPr="00295986">
              <w:t>786</w:t>
            </w:r>
          </w:p>
        </w:tc>
        <w:tc>
          <w:tcPr>
            <w:tcW w:w="509" w:type="pct"/>
            <w:tcBorders>
              <w:top w:val="single" w:sz="4" w:space="0" w:color="auto"/>
              <w:left w:val="nil"/>
              <w:bottom w:val="single" w:sz="4" w:space="0" w:color="auto"/>
              <w:right w:val="nil"/>
            </w:tcBorders>
            <w:vAlign w:val="bottom"/>
          </w:tcPr>
          <w:p w14:paraId="112634AF" w14:textId="77777777" w:rsidR="00196507" w:rsidRPr="00196507" w:rsidRDefault="00196507" w:rsidP="00196507">
            <w:pPr>
              <w:pStyle w:val="Tabletext"/>
              <w:rPr>
                <w:color w:val="000000" w:themeColor="text1"/>
              </w:rPr>
            </w:pPr>
            <w:r w:rsidRPr="00196507">
              <w:rPr>
                <w:color w:val="000000" w:themeColor="text1"/>
              </w:rPr>
              <w:t>20</w:t>
            </w:r>
            <w:r w:rsidR="00D7157D">
              <w:rPr>
                <w:color w:val="000000" w:themeColor="text1"/>
              </w:rPr>
              <w:t>.</w:t>
            </w:r>
            <w:r w:rsidRPr="00196507">
              <w:rPr>
                <w:color w:val="000000" w:themeColor="text1"/>
              </w:rPr>
              <w:t>494</w:t>
            </w:r>
          </w:p>
        </w:tc>
        <w:tc>
          <w:tcPr>
            <w:tcW w:w="509" w:type="pct"/>
            <w:tcBorders>
              <w:top w:val="single" w:sz="4" w:space="0" w:color="auto"/>
              <w:left w:val="nil"/>
              <w:bottom w:val="single" w:sz="4" w:space="0" w:color="auto"/>
              <w:right w:val="nil"/>
            </w:tcBorders>
            <w:shd w:val="clear" w:color="auto" w:fill="auto"/>
            <w:vAlign w:val="bottom"/>
          </w:tcPr>
          <w:p w14:paraId="01BFE7C2" w14:textId="77777777" w:rsidR="00196507" w:rsidRPr="000F120F" w:rsidRDefault="00196507" w:rsidP="00196507">
            <w:pPr>
              <w:pStyle w:val="Tabletext"/>
            </w:pPr>
            <w:r w:rsidRPr="00295986">
              <w:t>21</w:t>
            </w:r>
            <w:r w:rsidR="00D7157D">
              <w:t>.</w:t>
            </w:r>
            <w:r w:rsidRPr="00295986">
              <w:t>109</w:t>
            </w:r>
          </w:p>
        </w:tc>
        <w:tc>
          <w:tcPr>
            <w:tcW w:w="510" w:type="pct"/>
            <w:tcBorders>
              <w:top w:val="single" w:sz="4" w:space="0" w:color="auto"/>
              <w:left w:val="nil"/>
              <w:bottom w:val="single" w:sz="4" w:space="0" w:color="auto"/>
              <w:right w:val="nil"/>
            </w:tcBorders>
            <w:shd w:val="clear" w:color="auto" w:fill="auto"/>
            <w:vAlign w:val="bottom"/>
          </w:tcPr>
          <w:p w14:paraId="3A2AAA36" w14:textId="77777777" w:rsidR="00196507" w:rsidRPr="000F120F" w:rsidRDefault="00196507" w:rsidP="00196507">
            <w:pPr>
              <w:pStyle w:val="Tabletext"/>
            </w:pPr>
            <w:r w:rsidRPr="00295986">
              <w:t>23</w:t>
            </w:r>
            <w:r w:rsidR="00D7157D">
              <w:t>.</w:t>
            </w:r>
            <w:r w:rsidRPr="00295986">
              <w:t>823</w:t>
            </w:r>
          </w:p>
        </w:tc>
      </w:tr>
      <w:tr w:rsidR="00196507" w:rsidRPr="00DF2EC8" w14:paraId="504CB4D5" w14:textId="77777777" w:rsidTr="00871911">
        <w:tc>
          <w:tcPr>
            <w:tcW w:w="423" w:type="pct"/>
            <w:tcBorders>
              <w:top w:val="single" w:sz="4" w:space="0" w:color="auto"/>
              <w:left w:val="nil"/>
              <w:bottom w:val="single" w:sz="4" w:space="0" w:color="auto"/>
              <w:right w:val="nil"/>
            </w:tcBorders>
          </w:tcPr>
          <w:p w14:paraId="0B487D4C" w14:textId="77777777" w:rsidR="00196507" w:rsidRDefault="00196507" w:rsidP="00196507">
            <w:pPr>
              <w:pStyle w:val="Tabletext"/>
            </w:pPr>
            <w:r>
              <w:t>28</w:t>
            </w:r>
          </w:p>
        </w:tc>
        <w:tc>
          <w:tcPr>
            <w:tcW w:w="506" w:type="pct"/>
            <w:tcBorders>
              <w:top w:val="single" w:sz="4" w:space="0" w:color="auto"/>
              <w:left w:val="nil"/>
              <w:bottom w:val="single" w:sz="4" w:space="0" w:color="auto"/>
              <w:right w:val="nil"/>
            </w:tcBorders>
            <w:shd w:val="clear" w:color="auto" w:fill="auto"/>
            <w:vAlign w:val="bottom"/>
          </w:tcPr>
          <w:p w14:paraId="76FB9669" w14:textId="77777777" w:rsidR="00196507" w:rsidRPr="000F120F" w:rsidRDefault="00196507" w:rsidP="00196507">
            <w:pPr>
              <w:pStyle w:val="Tabletext"/>
            </w:pPr>
            <w:r w:rsidRPr="00295986">
              <w:t>13</w:t>
            </w:r>
            <w:r w:rsidR="00D7157D">
              <w:t>.</w:t>
            </w:r>
            <w:r w:rsidRPr="00295986">
              <w:t>804</w:t>
            </w:r>
          </w:p>
        </w:tc>
        <w:tc>
          <w:tcPr>
            <w:tcW w:w="509" w:type="pct"/>
            <w:tcBorders>
              <w:top w:val="single" w:sz="4" w:space="0" w:color="auto"/>
              <w:left w:val="nil"/>
              <w:bottom w:val="single" w:sz="4" w:space="0" w:color="auto"/>
              <w:right w:val="nil"/>
            </w:tcBorders>
            <w:shd w:val="clear" w:color="auto" w:fill="auto"/>
            <w:vAlign w:val="bottom"/>
          </w:tcPr>
          <w:p w14:paraId="2CC63720" w14:textId="77777777" w:rsidR="00196507" w:rsidRPr="000F120F" w:rsidRDefault="00196507" w:rsidP="00196507">
            <w:pPr>
              <w:pStyle w:val="Tabletext"/>
            </w:pPr>
            <w:r w:rsidRPr="00295986">
              <w:t>18</w:t>
            </w:r>
            <w:r w:rsidR="00D7157D">
              <w:t>.</w:t>
            </w:r>
            <w:r w:rsidRPr="00295986">
              <w:t>150</w:t>
            </w:r>
          </w:p>
        </w:tc>
        <w:tc>
          <w:tcPr>
            <w:tcW w:w="509" w:type="pct"/>
            <w:tcBorders>
              <w:top w:val="single" w:sz="4" w:space="0" w:color="auto"/>
              <w:left w:val="nil"/>
              <w:bottom w:val="single" w:sz="4" w:space="0" w:color="auto"/>
              <w:right w:val="nil"/>
            </w:tcBorders>
            <w:shd w:val="clear" w:color="auto" w:fill="auto"/>
            <w:vAlign w:val="bottom"/>
          </w:tcPr>
          <w:p w14:paraId="4B3D9F91" w14:textId="77777777" w:rsidR="00196507" w:rsidRPr="000F120F" w:rsidRDefault="00196507" w:rsidP="00196507">
            <w:pPr>
              <w:pStyle w:val="Tabletext"/>
            </w:pPr>
            <w:r w:rsidRPr="00295986">
              <w:t>17</w:t>
            </w:r>
            <w:r w:rsidR="00D7157D">
              <w:t>.</w:t>
            </w:r>
            <w:r w:rsidRPr="00295986">
              <w:t>942</w:t>
            </w:r>
          </w:p>
        </w:tc>
        <w:tc>
          <w:tcPr>
            <w:tcW w:w="508" w:type="pct"/>
            <w:tcBorders>
              <w:top w:val="single" w:sz="4" w:space="0" w:color="auto"/>
              <w:left w:val="nil"/>
              <w:bottom w:val="single" w:sz="4" w:space="0" w:color="auto"/>
              <w:right w:val="nil"/>
            </w:tcBorders>
            <w:shd w:val="clear" w:color="auto" w:fill="auto"/>
            <w:vAlign w:val="bottom"/>
          </w:tcPr>
          <w:p w14:paraId="161F4875" w14:textId="77777777" w:rsidR="00196507" w:rsidRPr="000F120F" w:rsidRDefault="00196507" w:rsidP="00196507">
            <w:pPr>
              <w:pStyle w:val="Tabletext"/>
            </w:pPr>
            <w:r w:rsidRPr="00295986">
              <w:t>20</w:t>
            </w:r>
            <w:r w:rsidR="00D7157D">
              <w:t>.</w:t>
            </w:r>
            <w:r w:rsidRPr="00295986">
              <w:t>421</w:t>
            </w:r>
          </w:p>
        </w:tc>
        <w:tc>
          <w:tcPr>
            <w:tcW w:w="509" w:type="pct"/>
            <w:tcBorders>
              <w:top w:val="single" w:sz="4" w:space="0" w:color="auto"/>
              <w:left w:val="nil"/>
              <w:bottom w:val="single" w:sz="4" w:space="0" w:color="auto"/>
              <w:right w:val="nil"/>
            </w:tcBorders>
            <w:shd w:val="clear" w:color="auto" w:fill="auto"/>
            <w:vAlign w:val="bottom"/>
          </w:tcPr>
          <w:p w14:paraId="492B6E9F" w14:textId="77777777" w:rsidR="00196507" w:rsidRPr="000F120F" w:rsidRDefault="00196507" w:rsidP="00196507">
            <w:pPr>
              <w:pStyle w:val="Tabletext"/>
            </w:pPr>
            <w:r w:rsidRPr="00295986">
              <w:t>19</w:t>
            </w:r>
            <w:r w:rsidR="00D7157D">
              <w:t>.</w:t>
            </w:r>
            <w:r w:rsidRPr="00295986">
              <w:t>938</w:t>
            </w:r>
          </w:p>
        </w:tc>
        <w:tc>
          <w:tcPr>
            <w:tcW w:w="508" w:type="pct"/>
            <w:tcBorders>
              <w:top w:val="single" w:sz="4" w:space="0" w:color="auto"/>
              <w:left w:val="nil"/>
              <w:bottom w:val="single" w:sz="4" w:space="0" w:color="auto"/>
              <w:right w:val="nil"/>
            </w:tcBorders>
            <w:shd w:val="clear" w:color="auto" w:fill="auto"/>
            <w:vAlign w:val="bottom"/>
          </w:tcPr>
          <w:p w14:paraId="223F937E" w14:textId="77777777" w:rsidR="00196507" w:rsidRPr="000F120F" w:rsidRDefault="00196507" w:rsidP="00196507">
            <w:pPr>
              <w:pStyle w:val="Tabletext"/>
            </w:pPr>
            <w:r w:rsidRPr="00295986">
              <w:t>19</w:t>
            </w:r>
            <w:r w:rsidR="00D7157D">
              <w:t>.</w:t>
            </w:r>
            <w:r w:rsidRPr="00295986">
              <w:t>240</w:t>
            </w:r>
          </w:p>
        </w:tc>
        <w:tc>
          <w:tcPr>
            <w:tcW w:w="509" w:type="pct"/>
            <w:tcBorders>
              <w:top w:val="single" w:sz="4" w:space="0" w:color="auto"/>
              <w:left w:val="nil"/>
              <w:bottom w:val="single" w:sz="4" w:space="0" w:color="auto"/>
              <w:right w:val="nil"/>
            </w:tcBorders>
            <w:vAlign w:val="bottom"/>
          </w:tcPr>
          <w:p w14:paraId="7C0A186B"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048</w:t>
            </w:r>
          </w:p>
        </w:tc>
        <w:tc>
          <w:tcPr>
            <w:tcW w:w="509" w:type="pct"/>
            <w:tcBorders>
              <w:top w:val="single" w:sz="4" w:space="0" w:color="auto"/>
              <w:left w:val="nil"/>
              <w:bottom w:val="single" w:sz="4" w:space="0" w:color="auto"/>
              <w:right w:val="nil"/>
            </w:tcBorders>
            <w:shd w:val="clear" w:color="auto" w:fill="auto"/>
            <w:vAlign w:val="bottom"/>
          </w:tcPr>
          <w:p w14:paraId="2A57C44C" w14:textId="77777777" w:rsidR="00196507" w:rsidRPr="000F120F" w:rsidRDefault="00196507" w:rsidP="00196507">
            <w:pPr>
              <w:pStyle w:val="Tabletext"/>
            </w:pPr>
            <w:r w:rsidRPr="00295986">
              <w:t>21</w:t>
            </w:r>
            <w:r w:rsidR="00D7157D">
              <w:t>.</w:t>
            </w:r>
            <w:r w:rsidRPr="00295986">
              <w:t>701</w:t>
            </w:r>
          </w:p>
        </w:tc>
        <w:tc>
          <w:tcPr>
            <w:tcW w:w="510" w:type="pct"/>
            <w:tcBorders>
              <w:top w:val="single" w:sz="4" w:space="0" w:color="auto"/>
              <w:left w:val="nil"/>
              <w:bottom w:val="single" w:sz="4" w:space="0" w:color="auto"/>
              <w:right w:val="nil"/>
            </w:tcBorders>
            <w:shd w:val="clear" w:color="auto" w:fill="auto"/>
            <w:vAlign w:val="bottom"/>
          </w:tcPr>
          <w:p w14:paraId="0412622B" w14:textId="77777777" w:rsidR="00196507" w:rsidRPr="000F120F" w:rsidRDefault="00196507" w:rsidP="00196507">
            <w:pPr>
              <w:pStyle w:val="Tabletext"/>
            </w:pPr>
            <w:r w:rsidRPr="00295986">
              <w:t>24</w:t>
            </w:r>
            <w:r w:rsidR="00D7157D">
              <w:t>.</w:t>
            </w:r>
            <w:r w:rsidRPr="00295986">
              <w:t>593</w:t>
            </w:r>
          </w:p>
        </w:tc>
      </w:tr>
      <w:tr w:rsidR="00196507" w:rsidRPr="00DF2EC8" w14:paraId="2558349C" w14:textId="77777777" w:rsidTr="00871911">
        <w:tc>
          <w:tcPr>
            <w:tcW w:w="423" w:type="pct"/>
            <w:tcBorders>
              <w:top w:val="single" w:sz="4" w:space="0" w:color="auto"/>
              <w:left w:val="nil"/>
              <w:bottom w:val="single" w:sz="4" w:space="0" w:color="auto"/>
              <w:right w:val="nil"/>
            </w:tcBorders>
          </w:tcPr>
          <w:p w14:paraId="29C22579" w14:textId="77777777" w:rsidR="00196507" w:rsidRDefault="00196507" w:rsidP="00196507">
            <w:pPr>
              <w:pStyle w:val="Tabletext"/>
            </w:pPr>
            <w:r>
              <w:t>29</w:t>
            </w:r>
          </w:p>
        </w:tc>
        <w:tc>
          <w:tcPr>
            <w:tcW w:w="506" w:type="pct"/>
            <w:tcBorders>
              <w:top w:val="single" w:sz="4" w:space="0" w:color="auto"/>
              <w:left w:val="nil"/>
              <w:bottom w:val="single" w:sz="4" w:space="0" w:color="auto"/>
              <w:right w:val="nil"/>
            </w:tcBorders>
            <w:shd w:val="clear" w:color="auto" w:fill="auto"/>
            <w:vAlign w:val="bottom"/>
          </w:tcPr>
          <w:p w14:paraId="1824617C" w14:textId="77777777" w:rsidR="00196507" w:rsidRPr="000F120F" w:rsidRDefault="00196507" w:rsidP="00196507">
            <w:pPr>
              <w:pStyle w:val="Tabletext"/>
            </w:pPr>
            <w:r w:rsidRPr="00295986">
              <w:t>13</w:t>
            </w:r>
            <w:r w:rsidR="00D7157D">
              <w:t>.</w:t>
            </w:r>
            <w:r w:rsidRPr="00295986">
              <w:t>994</w:t>
            </w:r>
          </w:p>
        </w:tc>
        <w:tc>
          <w:tcPr>
            <w:tcW w:w="509" w:type="pct"/>
            <w:tcBorders>
              <w:top w:val="single" w:sz="4" w:space="0" w:color="auto"/>
              <w:left w:val="nil"/>
              <w:bottom w:val="single" w:sz="4" w:space="0" w:color="auto"/>
              <w:right w:val="nil"/>
            </w:tcBorders>
            <w:shd w:val="clear" w:color="auto" w:fill="auto"/>
            <w:vAlign w:val="bottom"/>
          </w:tcPr>
          <w:p w14:paraId="46BC934F" w14:textId="77777777" w:rsidR="00196507" w:rsidRPr="000F120F" w:rsidRDefault="00196507" w:rsidP="00196507">
            <w:pPr>
              <w:pStyle w:val="Tabletext"/>
            </w:pPr>
            <w:r w:rsidRPr="00295986">
              <w:t>18</w:t>
            </w:r>
            <w:r w:rsidR="00D7157D">
              <w:t>.</w:t>
            </w:r>
            <w:r w:rsidRPr="00295986">
              <w:t>534</w:t>
            </w:r>
          </w:p>
        </w:tc>
        <w:tc>
          <w:tcPr>
            <w:tcW w:w="509" w:type="pct"/>
            <w:tcBorders>
              <w:top w:val="single" w:sz="4" w:space="0" w:color="auto"/>
              <w:left w:val="nil"/>
              <w:bottom w:val="single" w:sz="4" w:space="0" w:color="auto"/>
              <w:right w:val="nil"/>
            </w:tcBorders>
            <w:shd w:val="clear" w:color="auto" w:fill="auto"/>
            <w:vAlign w:val="bottom"/>
          </w:tcPr>
          <w:p w14:paraId="4B6C1F8E" w14:textId="77777777" w:rsidR="00196507" w:rsidRPr="000F120F" w:rsidRDefault="00196507" w:rsidP="00196507">
            <w:pPr>
              <w:pStyle w:val="Tabletext"/>
            </w:pPr>
            <w:r w:rsidRPr="00295986">
              <w:t>18</w:t>
            </w:r>
            <w:r w:rsidR="00D7157D">
              <w:t>.</w:t>
            </w:r>
            <w:r w:rsidRPr="00295986">
              <w:t>315</w:t>
            </w:r>
          </w:p>
        </w:tc>
        <w:tc>
          <w:tcPr>
            <w:tcW w:w="508" w:type="pct"/>
            <w:tcBorders>
              <w:top w:val="single" w:sz="4" w:space="0" w:color="auto"/>
              <w:left w:val="nil"/>
              <w:bottom w:val="single" w:sz="4" w:space="0" w:color="auto"/>
              <w:right w:val="nil"/>
            </w:tcBorders>
            <w:shd w:val="clear" w:color="auto" w:fill="auto"/>
            <w:vAlign w:val="bottom"/>
          </w:tcPr>
          <w:p w14:paraId="0E036CF8" w14:textId="77777777" w:rsidR="00196507" w:rsidRPr="000F120F" w:rsidRDefault="00196507" w:rsidP="00196507">
            <w:pPr>
              <w:pStyle w:val="Tabletext"/>
            </w:pPr>
            <w:r w:rsidRPr="00295986">
              <w:t>20</w:t>
            </w:r>
            <w:r w:rsidR="00D7157D">
              <w:t>.</w:t>
            </w:r>
            <w:r w:rsidRPr="00295986">
              <w:t>928</w:t>
            </w:r>
          </w:p>
        </w:tc>
        <w:tc>
          <w:tcPr>
            <w:tcW w:w="509" w:type="pct"/>
            <w:tcBorders>
              <w:top w:val="single" w:sz="4" w:space="0" w:color="auto"/>
              <w:left w:val="nil"/>
              <w:bottom w:val="single" w:sz="4" w:space="0" w:color="auto"/>
              <w:right w:val="nil"/>
            </w:tcBorders>
            <w:shd w:val="clear" w:color="auto" w:fill="auto"/>
            <w:vAlign w:val="bottom"/>
          </w:tcPr>
          <w:p w14:paraId="34782C87" w14:textId="77777777" w:rsidR="00196507" w:rsidRPr="000F120F" w:rsidRDefault="00196507" w:rsidP="00196507">
            <w:pPr>
              <w:pStyle w:val="Tabletext"/>
            </w:pPr>
            <w:r w:rsidRPr="00295986">
              <w:t>20</w:t>
            </w:r>
            <w:r w:rsidR="00D7157D">
              <w:t>.</w:t>
            </w:r>
            <w:r w:rsidRPr="00295986">
              <w:t>417</w:t>
            </w:r>
          </w:p>
        </w:tc>
        <w:tc>
          <w:tcPr>
            <w:tcW w:w="508" w:type="pct"/>
            <w:tcBorders>
              <w:top w:val="single" w:sz="4" w:space="0" w:color="auto"/>
              <w:left w:val="nil"/>
              <w:bottom w:val="single" w:sz="4" w:space="0" w:color="auto"/>
              <w:right w:val="nil"/>
            </w:tcBorders>
            <w:shd w:val="clear" w:color="auto" w:fill="auto"/>
            <w:vAlign w:val="bottom"/>
          </w:tcPr>
          <w:p w14:paraId="015106FF" w14:textId="77777777" w:rsidR="00196507" w:rsidRPr="000F120F" w:rsidRDefault="00196507" w:rsidP="00196507">
            <w:pPr>
              <w:pStyle w:val="Tabletext"/>
            </w:pPr>
            <w:r w:rsidRPr="00295986">
              <w:t>19</w:t>
            </w:r>
            <w:r w:rsidR="00D7157D">
              <w:t>.</w:t>
            </w:r>
            <w:r w:rsidRPr="00295986">
              <w:t>682</w:t>
            </w:r>
          </w:p>
        </w:tc>
        <w:tc>
          <w:tcPr>
            <w:tcW w:w="509" w:type="pct"/>
            <w:tcBorders>
              <w:top w:val="single" w:sz="4" w:space="0" w:color="auto"/>
              <w:left w:val="nil"/>
              <w:bottom w:val="single" w:sz="4" w:space="0" w:color="auto"/>
              <w:right w:val="nil"/>
            </w:tcBorders>
            <w:vAlign w:val="bottom"/>
          </w:tcPr>
          <w:p w14:paraId="1C8610D9" w14:textId="77777777" w:rsidR="00196507" w:rsidRPr="00196507" w:rsidRDefault="00196507" w:rsidP="00196507">
            <w:pPr>
              <w:pStyle w:val="Tabletext"/>
              <w:rPr>
                <w:color w:val="000000" w:themeColor="text1"/>
              </w:rPr>
            </w:pPr>
            <w:r w:rsidRPr="00196507">
              <w:rPr>
                <w:color w:val="000000" w:themeColor="text1"/>
              </w:rPr>
              <w:t>21</w:t>
            </w:r>
            <w:r w:rsidR="00D7157D">
              <w:rPr>
                <w:color w:val="000000" w:themeColor="text1"/>
              </w:rPr>
              <w:t>.</w:t>
            </w:r>
            <w:r w:rsidRPr="00196507">
              <w:rPr>
                <w:color w:val="000000" w:themeColor="text1"/>
              </w:rPr>
              <w:t>591</w:t>
            </w:r>
          </w:p>
        </w:tc>
        <w:tc>
          <w:tcPr>
            <w:tcW w:w="509" w:type="pct"/>
            <w:tcBorders>
              <w:top w:val="single" w:sz="4" w:space="0" w:color="auto"/>
              <w:left w:val="nil"/>
              <w:bottom w:val="single" w:sz="4" w:space="0" w:color="auto"/>
              <w:right w:val="nil"/>
            </w:tcBorders>
            <w:shd w:val="clear" w:color="auto" w:fill="auto"/>
            <w:vAlign w:val="bottom"/>
          </w:tcPr>
          <w:p w14:paraId="5E410EC0" w14:textId="77777777" w:rsidR="00196507" w:rsidRPr="000F120F" w:rsidRDefault="00196507" w:rsidP="00196507">
            <w:pPr>
              <w:pStyle w:val="Tabletext"/>
            </w:pPr>
            <w:r w:rsidRPr="00295986">
              <w:t>22</w:t>
            </w:r>
            <w:r w:rsidR="00D7157D">
              <w:t>.</w:t>
            </w:r>
            <w:r w:rsidRPr="00295986">
              <w:t>282</w:t>
            </w:r>
          </w:p>
        </w:tc>
        <w:tc>
          <w:tcPr>
            <w:tcW w:w="510" w:type="pct"/>
            <w:tcBorders>
              <w:top w:val="single" w:sz="4" w:space="0" w:color="auto"/>
              <w:left w:val="nil"/>
              <w:bottom w:val="single" w:sz="4" w:space="0" w:color="auto"/>
              <w:right w:val="nil"/>
            </w:tcBorders>
            <w:shd w:val="clear" w:color="auto" w:fill="auto"/>
            <w:vAlign w:val="bottom"/>
          </w:tcPr>
          <w:p w14:paraId="00DFD0C1" w14:textId="77777777" w:rsidR="00196507" w:rsidRPr="000F120F" w:rsidRDefault="00196507" w:rsidP="00196507">
            <w:pPr>
              <w:pStyle w:val="Tabletext"/>
            </w:pPr>
            <w:r w:rsidRPr="00295986">
              <w:t>25</w:t>
            </w:r>
            <w:r w:rsidR="00D7157D">
              <w:t>.</w:t>
            </w:r>
            <w:r w:rsidRPr="00295986">
              <w:t>357</w:t>
            </w:r>
          </w:p>
        </w:tc>
      </w:tr>
      <w:tr w:rsidR="00196507" w:rsidRPr="00DF2EC8" w14:paraId="3778C9EA" w14:textId="77777777" w:rsidTr="00871911">
        <w:tc>
          <w:tcPr>
            <w:tcW w:w="423" w:type="pct"/>
            <w:tcBorders>
              <w:top w:val="single" w:sz="4" w:space="0" w:color="auto"/>
              <w:left w:val="nil"/>
              <w:bottom w:val="single" w:sz="12" w:space="0" w:color="auto"/>
              <w:right w:val="nil"/>
            </w:tcBorders>
          </w:tcPr>
          <w:p w14:paraId="43E71CDD" w14:textId="77777777" w:rsidR="00196507" w:rsidRDefault="00196507" w:rsidP="00196507">
            <w:pPr>
              <w:pStyle w:val="Tabletext"/>
            </w:pPr>
            <w:r>
              <w:t>30</w:t>
            </w:r>
          </w:p>
        </w:tc>
        <w:tc>
          <w:tcPr>
            <w:tcW w:w="506" w:type="pct"/>
            <w:tcBorders>
              <w:top w:val="single" w:sz="4" w:space="0" w:color="auto"/>
              <w:left w:val="nil"/>
              <w:bottom w:val="single" w:sz="12" w:space="0" w:color="auto"/>
              <w:right w:val="nil"/>
            </w:tcBorders>
            <w:shd w:val="clear" w:color="auto" w:fill="auto"/>
            <w:vAlign w:val="bottom"/>
          </w:tcPr>
          <w:p w14:paraId="144B279D" w14:textId="77777777" w:rsidR="00196507" w:rsidRPr="000F120F" w:rsidRDefault="00196507" w:rsidP="00196507">
            <w:pPr>
              <w:pStyle w:val="Tabletext"/>
            </w:pPr>
            <w:r w:rsidRPr="00295986">
              <w:t>14</w:t>
            </w:r>
            <w:r w:rsidR="00D7157D">
              <w:t>.</w:t>
            </w:r>
            <w:r w:rsidRPr="00295986">
              <w:t>173</w:t>
            </w:r>
          </w:p>
        </w:tc>
        <w:tc>
          <w:tcPr>
            <w:tcW w:w="509" w:type="pct"/>
            <w:tcBorders>
              <w:top w:val="single" w:sz="4" w:space="0" w:color="auto"/>
              <w:left w:val="nil"/>
              <w:bottom w:val="single" w:sz="12" w:space="0" w:color="auto"/>
              <w:right w:val="nil"/>
            </w:tcBorders>
            <w:shd w:val="clear" w:color="auto" w:fill="auto"/>
            <w:vAlign w:val="bottom"/>
          </w:tcPr>
          <w:p w14:paraId="223B5B3F" w14:textId="77777777" w:rsidR="00196507" w:rsidRPr="000F120F" w:rsidRDefault="00196507" w:rsidP="00196507">
            <w:pPr>
              <w:pStyle w:val="Tabletext"/>
            </w:pPr>
            <w:r w:rsidRPr="00295986">
              <w:t>18</w:t>
            </w:r>
            <w:r w:rsidR="00D7157D">
              <w:t>.</w:t>
            </w:r>
            <w:r w:rsidRPr="00295986">
              <w:t>905</w:t>
            </w:r>
          </w:p>
        </w:tc>
        <w:tc>
          <w:tcPr>
            <w:tcW w:w="509" w:type="pct"/>
            <w:tcBorders>
              <w:top w:val="single" w:sz="4" w:space="0" w:color="auto"/>
              <w:left w:val="nil"/>
              <w:bottom w:val="single" w:sz="12" w:space="0" w:color="auto"/>
              <w:right w:val="nil"/>
            </w:tcBorders>
            <w:shd w:val="clear" w:color="auto" w:fill="auto"/>
            <w:vAlign w:val="bottom"/>
          </w:tcPr>
          <w:p w14:paraId="5A2855FA" w14:textId="77777777" w:rsidR="00196507" w:rsidRPr="000F120F" w:rsidRDefault="00196507" w:rsidP="00196507">
            <w:pPr>
              <w:pStyle w:val="Tabletext"/>
            </w:pPr>
            <w:r w:rsidRPr="00295986">
              <w:t>18</w:t>
            </w:r>
            <w:r w:rsidR="00D7157D">
              <w:t>.</w:t>
            </w:r>
            <w:r w:rsidRPr="00295986">
              <w:t>676</w:t>
            </w:r>
          </w:p>
        </w:tc>
        <w:tc>
          <w:tcPr>
            <w:tcW w:w="508" w:type="pct"/>
            <w:tcBorders>
              <w:top w:val="single" w:sz="4" w:space="0" w:color="auto"/>
              <w:left w:val="nil"/>
              <w:bottom w:val="single" w:sz="12" w:space="0" w:color="auto"/>
              <w:right w:val="nil"/>
            </w:tcBorders>
            <w:shd w:val="clear" w:color="auto" w:fill="auto"/>
            <w:vAlign w:val="bottom"/>
          </w:tcPr>
          <w:p w14:paraId="58774CB5" w14:textId="77777777" w:rsidR="00196507" w:rsidRPr="000F120F" w:rsidRDefault="00196507" w:rsidP="00196507">
            <w:pPr>
              <w:pStyle w:val="Tabletext"/>
            </w:pPr>
            <w:r w:rsidRPr="00295986">
              <w:t>21</w:t>
            </w:r>
            <w:r w:rsidR="00D7157D">
              <w:t>.</w:t>
            </w:r>
            <w:r w:rsidRPr="00295986">
              <w:t>422</w:t>
            </w:r>
          </w:p>
        </w:tc>
        <w:tc>
          <w:tcPr>
            <w:tcW w:w="509" w:type="pct"/>
            <w:tcBorders>
              <w:top w:val="single" w:sz="4" w:space="0" w:color="auto"/>
              <w:left w:val="nil"/>
              <w:bottom w:val="single" w:sz="12" w:space="0" w:color="auto"/>
              <w:right w:val="nil"/>
            </w:tcBorders>
            <w:shd w:val="clear" w:color="auto" w:fill="auto"/>
            <w:vAlign w:val="bottom"/>
          </w:tcPr>
          <w:p w14:paraId="73C6A360" w14:textId="77777777" w:rsidR="00196507" w:rsidRPr="000F120F" w:rsidRDefault="00196507" w:rsidP="00196507">
            <w:pPr>
              <w:pStyle w:val="Tabletext"/>
            </w:pPr>
            <w:r w:rsidRPr="00295986">
              <w:t>20</w:t>
            </w:r>
            <w:r w:rsidR="00D7157D">
              <w:t>.</w:t>
            </w:r>
            <w:r w:rsidRPr="00295986">
              <w:t>884</w:t>
            </w:r>
          </w:p>
        </w:tc>
        <w:tc>
          <w:tcPr>
            <w:tcW w:w="508" w:type="pct"/>
            <w:tcBorders>
              <w:top w:val="single" w:sz="4" w:space="0" w:color="auto"/>
              <w:left w:val="nil"/>
              <w:bottom w:val="single" w:sz="12" w:space="0" w:color="auto"/>
              <w:right w:val="nil"/>
            </w:tcBorders>
            <w:shd w:val="clear" w:color="auto" w:fill="auto"/>
            <w:vAlign w:val="bottom"/>
          </w:tcPr>
          <w:p w14:paraId="2676A219" w14:textId="77777777" w:rsidR="00196507" w:rsidRPr="000F120F" w:rsidRDefault="00196507" w:rsidP="00196507">
            <w:pPr>
              <w:pStyle w:val="Tabletext"/>
            </w:pPr>
            <w:r w:rsidRPr="00295986">
              <w:t>20</w:t>
            </w:r>
            <w:r w:rsidR="00D7157D">
              <w:t>.</w:t>
            </w:r>
            <w:r w:rsidRPr="00295986">
              <w:t>110</w:t>
            </w:r>
          </w:p>
        </w:tc>
        <w:tc>
          <w:tcPr>
            <w:tcW w:w="509" w:type="pct"/>
            <w:tcBorders>
              <w:top w:val="single" w:sz="4" w:space="0" w:color="auto"/>
              <w:left w:val="nil"/>
              <w:bottom w:val="single" w:sz="12" w:space="0" w:color="auto"/>
              <w:right w:val="nil"/>
            </w:tcBorders>
            <w:vAlign w:val="bottom"/>
          </w:tcPr>
          <w:p w14:paraId="30355540" w14:textId="77777777" w:rsidR="00196507" w:rsidRPr="00196507" w:rsidRDefault="00196507" w:rsidP="00196507">
            <w:pPr>
              <w:pStyle w:val="Tabletext"/>
              <w:rPr>
                <w:color w:val="000000" w:themeColor="text1"/>
              </w:rPr>
            </w:pPr>
            <w:r w:rsidRPr="00196507">
              <w:rPr>
                <w:color w:val="000000" w:themeColor="text1"/>
              </w:rPr>
              <w:t>22</w:t>
            </w:r>
            <w:r w:rsidR="00D7157D">
              <w:rPr>
                <w:color w:val="000000" w:themeColor="text1"/>
              </w:rPr>
              <w:t>.</w:t>
            </w:r>
            <w:r w:rsidRPr="00196507">
              <w:rPr>
                <w:color w:val="000000" w:themeColor="text1"/>
              </w:rPr>
              <w:t>122</w:t>
            </w:r>
          </w:p>
        </w:tc>
        <w:tc>
          <w:tcPr>
            <w:tcW w:w="509" w:type="pct"/>
            <w:tcBorders>
              <w:top w:val="single" w:sz="4" w:space="0" w:color="auto"/>
              <w:left w:val="nil"/>
              <w:bottom w:val="single" w:sz="12" w:space="0" w:color="auto"/>
              <w:right w:val="nil"/>
            </w:tcBorders>
            <w:shd w:val="clear" w:color="auto" w:fill="auto"/>
            <w:vAlign w:val="bottom"/>
          </w:tcPr>
          <w:p w14:paraId="09144C9F" w14:textId="77777777" w:rsidR="00196507" w:rsidRPr="000F120F" w:rsidRDefault="00196507" w:rsidP="00196507">
            <w:pPr>
              <w:pStyle w:val="Tabletext"/>
            </w:pPr>
            <w:r w:rsidRPr="00295986">
              <w:t>22</w:t>
            </w:r>
            <w:r w:rsidR="00D7157D">
              <w:t>.</w:t>
            </w:r>
            <w:r w:rsidRPr="00295986">
              <w:t>852</w:t>
            </w:r>
          </w:p>
        </w:tc>
        <w:tc>
          <w:tcPr>
            <w:tcW w:w="510" w:type="pct"/>
            <w:tcBorders>
              <w:top w:val="single" w:sz="4" w:space="0" w:color="auto"/>
              <w:left w:val="nil"/>
              <w:bottom w:val="single" w:sz="12" w:space="0" w:color="auto"/>
              <w:right w:val="nil"/>
            </w:tcBorders>
            <w:shd w:val="clear" w:color="auto" w:fill="auto"/>
            <w:vAlign w:val="bottom"/>
          </w:tcPr>
          <w:p w14:paraId="6ACC3777" w14:textId="77777777" w:rsidR="00196507" w:rsidRPr="000F120F" w:rsidRDefault="00196507" w:rsidP="00196507">
            <w:pPr>
              <w:pStyle w:val="Tabletext"/>
            </w:pPr>
            <w:r w:rsidRPr="00295986">
              <w:t>26</w:t>
            </w:r>
            <w:r w:rsidR="00D7157D">
              <w:t>.</w:t>
            </w:r>
            <w:r w:rsidRPr="00295986">
              <w:t>113</w:t>
            </w:r>
          </w:p>
        </w:tc>
      </w:tr>
    </w:tbl>
    <w:p w14:paraId="2FE6EF40" w14:textId="77777777" w:rsidR="00647C6B" w:rsidRDefault="00647C6B" w:rsidP="00647C6B">
      <w:pPr>
        <w:pStyle w:val="Tabletext"/>
      </w:pPr>
    </w:p>
    <w:p w14:paraId="7A53293D" w14:textId="5B9A0B96" w:rsidR="001B3141" w:rsidRPr="001B6A6D" w:rsidRDefault="00453C86" w:rsidP="001B3141">
      <w:pPr>
        <w:pStyle w:val="ActHead1"/>
        <w:pageBreakBefore/>
      </w:pPr>
      <w:bookmarkStart w:id="346" w:name="_Toc188350821"/>
      <w:r w:rsidRPr="00423C34">
        <w:rPr>
          <w:rStyle w:val="CharChapNo"/>
        </w:rPr>
        <w:t>Schedule 9</w:t>
      </w:r>
      <w:r w:rsidR="001B3141" w:rsidRPr="001B6A6D">
        <w:t>—</w:t>
      </w:r>
      <w:r w:rsidR="001B3141" w:rsidRPr="00423C34">
        <w:rPr>
          <w:rStyle w:val="CharChapText"/>
        </w:rPr>
        <w:t>Method for determining value of superannuation interest in fixed term annuity</w:t>
      </w:r>
      <w:bookmarkEnd w:id="346"/>
    </w:p>
    <w:p w14:paraId="6362029E" w14:textId="0D046775" w:rsidR="001B3141" w:rsidRPr="00C4365E" w:rsidRDefault="001B3141" w:rsidP="001B3141">
      <w:pPr>
        <w:pStyle w:val="notemargin"/>
      </w:pPr>
      <w:r w:rsidRPr="00C4365E">
        <w:t>(</w:t>
      </w:r>
      <w:r w:rsidR="00CB78B9">
        <w:t>section 3</w:t>
      </w:r>
      <w:r w:rsidR="00BF7D42">
        <w:t>5</w:t>
      </w:r>
      <w:r w:rsidRPr="00C4365E">
        <w:t>)</w:t>
      </w:r>
    </w:p>
    <w:p w14:paraId="420B522C" w14:textId="77777777" w:rsidR="001B3141" w:rsidRPr="00423C34" w:rsidRDefault="001B3141" w:rsidP="001B3141">
      <w:pPr>
        <w:pStyle w:val="Header"/>
      </w:pPr>
      <w:r w:rsidRPr="00423C34">
        <w:rPr>
          <w:rStyle w:val="CharPartNo"/>
        </w:rPr>
        <w:t xml:space="preserve"> </w:t>
      </w:r>
      <w:r w:rsidRPr="00423C34">
        <w:rPr>
          <w:rStyle w:val="CharPartText"/>
        </w:rPr>
        <w:t xml:space="preserve"> </w:t>
      </w:r>
    </w:p>
    <w:p w14:paraId="475C359B" w14:textId="660E7264" w:rsidR="001B3141" w:rsidRPr="001B6A6D" w:rsidRDefault="001B3141" w:rsidP="001B3141">
      <w:pPr>
        <w:pStyle w:val="ActHead5"/>
      </w:pPr>
      <w:bookmarkStart w:id="347" w:name="_Toc188350822"/>
      <w:r w:rsidRPr="00423C34">
        <w:rPr>
          <w:rStyle w:val="CharSectno"/>
        </w:rPr>
        <w:t>1</w:t>
      </w:r>
      <w:r w:rsidRPr="001B6A6D">
        <w:t xml:space="preserve">  Application of </w:t>
      </w:r>
      <w:r w:rsidR="00366F59">
        <w:t>this Schedule</w:t>
      </w:r>
      <w:bookmarkEnd w:id="347"/>
    </w:p>
    <w:p w14:paraId="37814A0F" w14:textId="03868EAD" w:rsidR="001B3141" w:rsidRPr="00C4365E" w:rsidRDefault="001B3141" w:rsidP="001B3141">
      <w:pPr>
        <w:pStyle w:val="subsection"/>
      </w:pPr>
      <w:r w:rsidRPr="00C4365E">
        <w:tab/>
      </w:r>
      <w:r w:rsidRPr="00C4365E">
        <w:tab/>
        <w:t xml:space="preserve">This Schedule sets out the method for determining the value, at the termination time, of a superannuation interest </w:t>
      </w:r>
      <w:r>
        <w:t xml:space="preserve">that </w:t>
      </w:r>
      <w:r w:rsidRPr="00E57555">
        <w:t xml:space="preserve">is in a superannuation annuity that is </w:t>
      </w:r>
      <w:r w:rsidRPr="00C4365E">
        <w:t>a fixed term annuity if the interest was in the payment phase at the termination time.</w:t>
      </w:r>
    </w:p>
    <w:p w14:paraId="7602F79D" w14:textId="77777777" w:rsidR="001B3141" w:rsidRPr="001B6A6D" w:rsidRDefault="001B3141" w:rsidP="001B3141">
      <w:pPr>
        <w:pStyle w:val="ActHead5"/>
      </w:pPr>
      <w:bookmarkStart w:id="348" w:name="_Toc188350823"/>
      <w:r w:rsidRPr="00423C34">
        <w:rPr>
          <w:rStyle w:val="CharSectno"/>
        </w:rPr>
        <w:t>2</w:t>
      </w:r>
      <w:r w:rsidRPr="001B6A6D">
        <w:t xml:space="preserve">  Method</w:t>
      </w:r>
      <w:bookmarkEnd w:id="348"/>
    </w:p>
    <w:p w14:paraId="6AE23DE4" w14:textId="77777777" w:rsidR="001B3141" w:rsidRPr="00C4365E" w:rsidRDefault="001B3141" w:rsidP="001B3141">
      <w:pPr>
        <w:pStyle w:val="subsection"/>
      </w:pPr>
      <w:r w:rsidRPr="00C4365E">
        <w:tab/>
        <w:t>(1)</w:t>
      </w:r>
      <w:r w:rsidRPr="00C4365E">
        <w:tab/>
        <w:t>The method is:</w:t>
      </w:r>
    </w:p>
    <w:p w14:paraId="5F986C1B" w14:textId="7A00118C" w:rsidR="001B3141" w:rsidRPr="001B3141" w:rsidRDefault="00413521" w:rsidP="001B3141">
      <w:pPr>
        <w:pStyle w:val="subsection2"/>
      </w:pPr>
      <w:r w:rsidRPr="001B3141">
        <w:rPr>
          <w:position w:val="-10"/>
        </w:rPr>
        <w:object w:dxaOrig="859" w:dyaOrig="420" w14:anchorId="39D9BF96">
          <v:shape id="_x0000_i1098" type="#_x0000_t75" alt="Start formula B times V subscript y subscript plus subscript m end formula" style="width:42.5pt;height:20.5pt" o:ole="">
            <v:imagedata r:id="rId179" o:title=""/>
          </v:shape>
          <o:OLEObject Type="Embed" ProgID="Equation.DSMT4" ShapeID="_x0000_i1098" DrawAspect="Content" ObjectID="_1801634327" r:id="rId180"/>
        </w:object>
      </w:r>
    </w:p>
    <w:p w14:paraId="6CF37A0E" w14:textId="5C1C2DC8" w:rsidR="001B3141" w:rsidRPr="00C4365E" w:rsidRDefault="001B3141" w:rsidP="001B3141">
      <w:pPr>
        <w:pStyle w:val="subsection2"/>
      </w:pPr>
      <w:r w:rsidRPr="00C4365E">
        <w:t>where:</w:t>
      </w:r>
    </w:p>
    <w:p w14:paraId="539E4CCB" w14:textId="77777777" w:rsidR="001B3141" w:rsidRPr="00C4365E" w:rsidRDefault="001B3141" w:rsidP="001B3141">
      <w:pPr>
        <w:pStyle w:val="Definition"/>
      </w:pPr>
      <w:r w:rsidRPr="00C4365E">
        <w:rPr>
          <w:b/>
          <w:bCs/>
          <w:i/>
          <w:iCs/>
        </w:rPr>
        <w:t>B</w:t>
      </w:r>
      <w:r w:rsidRPr="00C4365E">
        <w:t xml:space="preserve"> is the value of the annual benefit payable in respect of the superannuation interest at the termination time.</w:t>
      </w:r>
    </w:p>
    <w:p w14:paraId="7AF4DC30" w14:textId="77777777" w:rsidR="001B3141" w:rsidRPr="00C4365E" w:rsidRDefault="001B3141" w:rsidP="001B3141">
      <w:pPr>
        <w:pStyle w:val="Definition"/>
      </w:pPr>
      <w:r w:rsidRPr="00C4365E">
        <w:rPr>
          <w:b/>
          <w:bCs/>
          <w:i/>
          <w:iCs/>
        </w:rPr>
        <w:t>V</w:t>
      </w:r>
      <w:r w:rsidRPr="00C4365E">
        <w:rPr>
          <w:b/>
          <w:bCs/>
          <w:i/>
          <w:iCs/>
          <w:vertAlign w:val="subscript"/>
        </w:rPr>
        <w:t>y+m</w:t>
      </w:r>
      <w:r w:rsidRPr="00C4365E">
        <w:t xml:space="preserve"> is the valuation factor calculated in accordance with subclause (2).</w:t>
      </w:r>
    </w:p>
    <w:p w14:paraId="1EB0127A" w14:textId="77777777" w:rsidR="001B3141" w:rsidRPr="00C4365E" w:rsidRDefault="001B3141" w:rsidP="001B3141">
      <w:pPr>
        <w:pStyle w:val="subsection"/>
      </w:pPr>
      <w:r w:rsidRPr="00C4365E">
        <w:tab/>
        <w:t>(2)</w:t>
      </w:r>
      <w:r w:rsidRPr="00C4365E">
        <w:tab/>
        <w:t>For subclause (1), the valuation factor (</w:t>
      </w:r>
      <w:r w:rsidRPr="00C4365E">
        <w:rPr>
          <w:b/>
          <w:bCs/>
          <w:i/>
          <w:iCs/>
        </w:rPr>
        <w:t>V</w:t>
      </w:r>
      <w:r w:rsidRPr="00C4365E">
        <w:rPr>
          <w:b/>
          <w:bCs/>
          <w:i/>
          <w:iCs/>
          <w:vertAlign w:val="subscript"/>
        </w:rPr>
        <w:t>y+m</w:t>
      </w:r>
      <w:r w:rsidRPr="00C4365E">
        <w:t>) at the termination time is:</w:t>
      </w:r>
    </w:p>
    <w:p w14:paraId="5EF6011A" w14:textId="242775BD" w:rsidR="00981814" w:rsidRPr="00981814" w:rsidRDefault="00D17A7A" w:rsidP="00981814">
      <w:pPr>
        <w:pStyle w:val="subsection2"/>
      </w:pPr>
      <w:r w:rsidRPr="00981814">
        <w:rPr>
          <w:position w:val="-32"/>
        </w:rPr>
        <w:object w:dxaOrig="2920" w:dyaOrig="1060" w14:anchorId="75D4A010">
          <v:shape id="_x0000_i1099" type="#_x0000_t75" alt="Start formula start fraction open bracket V subscript y times open bracket 12 minus m close bracket close bracket plus open bracket V subscript y subscript plus subscript 1 times m close bracket over 12 end fraction end formula" style="width:146pt;height:53.5pt" o:ole="">
            <v:imagedata r:id="rId181" o:title=""/>
          </v:shape>
          <o:OLEObject Type="Embed" ProgID="Equation.DSMT4" ShapeID="_x0000_i1099" DrawAspect="Content" ObjectID="_1801634328" r:id="rId182"/>
        </w:object>
      </w:r>
    </w:p>
    <w:p w14:paraId="166404AD" w14:textId="62DBDE26" w:rsidR="001B3141" w:rsidRPr="00C4365E" w:rsidRDefault="001B3141" w:rsidP="001B3141">
      <w:pPr>
        <w:pStyle w:val="subsection2"/>
      </w:pPr>
      <w:r w:rsidRPr="00C4365E">
        <w:t>where:</w:t>
      </w:r>
    </w:p>
    <w:p w14:paraId="16141560" w14:textId="69C688A3" w:rsidR="001B3141" w:rsidRPr="00C4365E" w:rsidRDefault="001B3141" w:rsidP="001B3141">
      <w:pPr>
        <w:pStyle w:val="Definition"/>
      </w:pPr>
      <w:r w:rsidRPr="00C4365E">
        <w:rPr>
          <w:b/>
          <w:bCs/>
          <w:i/>
          <w:iCs/>
        </w:rPr>
        <w:t>V</w:t>
      </w:r>
      <w:r w:rsidRPr="00C4365E">
        <w:rPr>
          <w:b/>
          <w:bCs/>
          <w:i/>
          <w:iCs/>
          <w:vertAlign w:val="subscript"/>
        </w:rPr>
        <w:t>y</w:t>
      </w:r>
      <w:r w:rsidRPr="00C4365E">
        <w:t xml:space="preserve"> is the pension valuation factor under </w:t>
      </w:r>
      <w:r w:rsidR="00453C86">
        <w:t>Schedule 8</w:t>
      </w:r>
      <w:r w:rsidRPr="00C4365E">
        <w:t xml:space="preserve"> that applies to the particular fixed term annuity payable to the member spouse and the remaining term of the annuity in complete years at the termination time.</w:t>
      </w:r>
    </w:p>
    <w:p w14:paraId="1B84C404" w14:textId="77777777" w:rsidR="001B3141" w:rsidRPr="00C4365E" w:rsidRDefault="001B3141" w:rsidP="001B3141">
      <w:pPr>
        <w:pStyle w:val="Definition"/>
      </w:pPr>
      <w:r w:rsidRPr="00C4365E">
        <w:rPr>
          <w:b/>
          <w:bCs/>
          <w:i/>
          <w:iCs/>
        </w:rPr>
        <w:t>m</w:t>
      </w:r>
      <w:r w:rsidRPr="00C4365E">
        <w:t xml:space="preserve"> is the number of complete months of the remaining term of the fixed term annuity that are not included in the remaining complete years at the termination time.</w:t>
      </w:r>
    </w:p>
    <w:p w14:paraId="4F609383" w14:textId="1D181C73" w:rsidR="001B3141" w:rsidRPr="00C4365E" w:rsidRDefault="001B3141" w:rsidP="001B3141">
      <w:pPr>
        <w:pStyle w:val="Definition"/>
        <w:rPr>
          <w:snapToGrid w:val="0"/>
        </w:rPr>
      </w:pPr>
      <w:r w:rsidRPr="00C4365E">
        <w:rPr>
          <w:b/>
          <w:bCs/>
          <w:i/>
          <w:iCs/>
        </w:rPr>
        <w:t>V</w:t>
      </w:r>
      <w:r w:rsidRPr="00C4365E">
        <w:rPr>
          <w:b/>
          <w:bCs/>
          <w:i/>
          <w:iCs/>
          <w:vertAlign w:val="subscript"/>
        </w:rPr>
        <w:t>y+1</w:t>
      </w:r>
      <w:r w:rsidRPr="00C4365E">
        <w:t xml:space="preserve"> </w:t>
      </w:r>
      <w:r w:rsidRPr="00C4365E">
        <w:rPr>
          <w:snapToGrid w:val="0"/>
        </w:rPr>
        <w:t xml:space="preserve">is the pension valuation factor under </w:t>
      </w:r>
      <w:r w:rsidR="00453C86">
        <w:rPr>
          <w:snapToGrid w:val="0"/>
        </w:rPr>
        <w:t>Schedule 8</w:t>
      </w:r>
      <w:r w:rsidRPr="00C4365E">
        <w:rPr>
          <w:snapToGrid w:val="0"/>
        </w:rPr>
        <w:t xml:space="preserve"> that would apply to the particular fixed term annuity payable to the member spouse if the remaining term of the annuity at the termination time were one year more than the actual remaining term of the annuity at that time.</w:t>
      </w:r>
    </w:p>
    <w:p w14:paraId="4707DC0F" w14:textId="734BD8C5" w:rsidR="001B3141" w:rsidRPr="00C4365E" w:rsidRDefault="001B3141" w:rsidP="001B3141">
      <w:pPr>
        <w:pStyle w:val="subsection"/>
        <w:rPr>
          <w:snapToGrid w:val="0"/>
        </w:rPr>
      </w:pPr>
      <w:r w:rsidRPr="00C4365E">
        <w:rPr>
          <w:snapToGrid w:val="0"/>
        </w:rPr>
        <w:tab/>
        <w:t>(3)</w:t>
      </w:r>
      <w:r w:rsidRPr="00C4365E">
        <w:rPr>
          <w:snapToGrid w:val="0"/>
        </w:rPr>
        <w:tab/>
        <w:t xml:space="preserve">For the purpose of applying the factors </w:t>
      </w:r>
      <w:r w:rsidRPr="00C4365E">
        <w:rPr>
          <w:b/>
          <w:bCs/>
          <w:i/>
          <w:iCs/>
        </w:rPr>
        <w:t>V</w:t>
      </w:r>
      <w:r w:rsidRPr="00C4365E">
        <w:rPr>
          <w:b/>
          <w:bCs/>
          <w:i/>
          <w:iCs/>
          <w:vertAlign w:val="subscript"/>
        </w:rPr>
        <w:t xml:space="preserve">y </w:t>
      </w:r>
      <w:r w:rsidRPr="00C4365E">
        <w:t xml:space="preserve">and </w:t>
      </w:r>
      <w:r w:rsidRPr="00C4365E">
        <w:rPr>
          <w:b/>
          <w:bCs/>
          <w:i/>
          <w:iCs/>
        </w:rPr>
        <w:t>V</w:t>
      </w:r>
      <w:r w:rsidRPr="00C4365E">
        <w:rPr>
          <w:b/>
          <w:bCs/>
          <w:i/>
          <w:iCs/>
          <w:vertAlign w:val="subscript"/>
        </w:rPr>
        <w:t xml:space="preserve">y+1 </w:t>
      </w:r>
      <w:r w:rsidRPr="00C4365E">
        <w:rPr>
          <w:snapToGrid w:val="0"/>
        </w:rPr>
        <w:t xml:space="preserve">in the formula in subclause (2), a reference in </w:t>
      </w:r>
      <w:r w:rsidR="00453C86">
        <w:rPr>
          <w:snapToGrid w:val="0"/>
        </w:rPr>
        <w:t>Schedule 8</w:t>
      </w:r>
      <w:r w:rsidRPr="00C4365E">
        <w:rPr>
          <w:snapToGrid w:val="0"/>
        </w:rPr>
        <w:t xml:space="preserve"> to </w:t>
      </w:r>
      <w:r w:rsidR="00460059">
        <w:rPr>
          <w:snapToGrid w:val="0"/>
        </w:rPr>
        <w:t>“</w:t>
      </w:r>
      <w:r w:rsidRPr="00C4365E">
        <w:rPr>
          <w:snapToGrid w:val="0"/>
        </w:rPr>
        <w:t>pension</w:t>
      </w:r>
      <w:r w:rsidR="00460059">
        <w:rPr>
          <w:snapToGrid w:val="0"/>
        </w:rPr>
        <w:t>”</w:t>
      </w:r>
      <w:r w:rsidRPr="00C4365E">
        <w:rPr>
          <w:snapToGrid w:val="0"/>
        </w:rPr>
        <w:t xml:space="preserve"> is taken to be read as a reference to </w:t>
      </w:r>
      <w:r w:rsidR="00460059">
        <w:rPr>
          <w:snapToGrid w:val="0"/>
        </w:rPr>
        <w:t>“</w:t>
      </w:r>
      <w:r w:rsidRPr="00C4365E">
        <w:rPr>
          <w:snapToGrid w:val="0"/>
        </w:rPr>
        <w:t>annuity</w:t>
      </w:r>
      <w:r w:rsidR="00460059">
        <w:rPr>
          <w:snapToGrid w:val="0"/>
        </w:rPr>
        <w:t>”</w:t>
      </w:r>
      <w:r w:rsidRPr="00C4365E">
        <w:rPr>
          <w:snapToGrid w:val="0"/>
        </w:rPr>
        <w:t>.</w:t>
      </w:r>
    </w:p>
    <w:p w14:paraId="49752A8A" w14:textId="6AC097DF" w:rsidR="00647C6B" w:rsidRPr="00A058B6" w:rsidRDefault="00453C86" w:rsidP="00647C6B">
      <w:pPr>
        <w:pStyle w:val="ActHead1"/>
        <w:pageBreakBefore/>
      </w:pPr>
      <w:bookmarkStart w:id="349" w:name="_Toc188350824"/>
      <w:r w:rsidRPr="00423C34">
        <w:rPr>
          <w:rStyle w:val="CharChapNo"/>
        </w:rPr>
        <w:t>Schedule 1</w:t>
      </w:r>
      <w:r w:rsidR="00366F59" w:rsidRPr="00423C34">
        <w:rPr>
          <w:rStyle w:val="CharChapNo"/>
        </w:rPr>
        <w:t>0</w:t>
      </w:r>
      <w:r w:rsidR="00647C6B" w:rsidRPr="00A058B6">
        <w:t>—</w:t>
      </w:r>
      <w:r w:rsidR="00647C6B" w:rsidRPr="00423C34">
        <w:rPr>
          <w:rStyle w:val="CharChapText"/>
        </w:rPr>
        <w:t>Method for determining gross value of superannuation interest payable as pension and future lump sum</w:t>
      </w:r>
      <w:bookmarkEnd w:id="349"/>
    </w:p>
    <w:p w14:paraId="2EEDC421" w14:textId="4C681BAA" w:rsidR="00647C6B" w:rsidRPr="00A058B6" w:rsidRDefault="00647C6B" w:rsidP="00647C6B">
      <w:pPr>
        <w:pStyle w:val="notemargin"/>
      </w:pPr>
      <w:r w:rsidRPr="00A058B6">
        <w:t>(</w:t>
      </w:r>
      <w:r w:rsidR="00CB78B9">
        <w:t>section 6</w:t>
      </w:r>
      <w:r w:rsidR="00485CC2">
        <w:t>7</w:t>
      </w:r>
      <w:r w:rsidRPr="00A058B6">
        <w:t>)</w:t>
      </w:r>
    </w:p>
    <w:p w14:paraId="7289F137" w14:textId="77777777" w:rsidR="00647C6B" w:rsidRPr="00423C34" w:rsidRDefault="00647C6B" w:rsidP="00647C6B">
      <w:pPr>
        <w:pStyle w:val="Header"/>
      </w:pPr>
      <w:r w:rsidRPr="00423C34">
        <w:rPr>
          <w:rStyle w:val="CharPartNo"/>
        </w:rPr>
        <w:t xml:space="preserve"> </w:t>
      </w:r>
      <w:r w:rsidRPr="00423C34">
        <w:rPr>
          <w:rStyle w:val="CharPartText"/>
        </w:rPr>
        <w:t xml:space="preserve"> </w:t>
      </w:r>
    </w:p>
    <w:p w14:paraId="30F7B2E8" w14:textId="77777777" w:rsidR="00A1590A" w:rsidRPr="00423C34" w:rsidRDefault="00A1590A" w:rsidP="00A1590A">
      <w:pPr>
        <w:pStyle w:val="Header"/>
      </w:pPr>
      <w:r w:rsidRPr="00423C34">
        <w:rPr>
          <w:rStyle w:val="CharDivNo"/>
        </w:rPr>
        <w:t xml:space="preserve"> </w:t>
      </w:r>
      <w:r w:rsidRPr="00423C34">
        <w:rPr>
          <w:rStyle w:val="CharDivText"/>
        </w:rPr>
        <w:t xml:space="preserve"> </w:t>
      </w:r>
    </w:p>
    <w:p w14:paraId="299745B9" w14:textId="77777777" w:rsidR="00647C6B" w:rsidRPr="00A058B6" w:rsidRDefault="00647C6B" w:rsidP="00647C6B">
      <w:pPr>
        <w:pStyle w:val="ActHead5"/>
      </w:pPr>
      <w:bookmarkStart w:id="350" w:name="_Toc188350825"/>
      <w:r w:rsidRPr="00423C34">
        <w:rPr>
          <w:rStyle w:val="CharSectno"/>
        </w:rPr>
        <w:t>1</w:t>
      </w:r>
      <w:r w:rsidRPr="00A058B6">
        <w:t xml:space="preserve">  Application of </w:t>
      </w:r>
      <w:r w:rsidR="00272C0F">
        <w:t xml:space="preserve">this </w:t>
      </w:r>
      <w:r w:rsidRPr="00A058B6">
        <w:t>Schedule</w:t>
      </w:r>
      <w:bookmarkEnd w:id="350"/>
    </w:p>
    <w:p w14:paraId="2B5AA313" w14:textId="77777777" w:rsidR="00647C6B" w:rsidRPr="00A058B6" w:rsidRDefault="00647C6B" w:rsidP="00647C6B">
      <w:pPr>
        <w:pStyle w:val="subsection"/>
      </w:pPr>
      <w:r w:rsidRPr="00A058B6">
        <w:tab/>
      </w:r>
      <w:r w:rsidRPr="00A058B6">
        <w:tab/>
        <w:t>This Schedule sets out the method for determining the gross value, at the relevant date, of a superannuation interest that is in the payment phase at the relevant date, if:</w:t>
      </w:r>
    </w:p>
    <w:p w14:paraId="4F2ED3B6" w14:textId="77777777" w:rsidR="00647C6B" w:rsidRPr="00A058B6" w:rsidRDefault="00647C6B" w:rsidP="00647C6B">
      <w:pPr>
        <w:pStyle w:val="paragraph"/>
      </w:pPr>
      <w:r w:rsidRPr="00A058B6">
        <w:tab/>
        <w:t>(a)</w:t>
      </w:r>
      <w:r w:rsidRPr="00A058B6">
        <w:tab/>
        <w:t>part of the benefits in respect of the interest is being paid as a pension at the relevant date; and</w:t>
      </w:r>
    </w:p>
    <w:p w14:paraId="527CD5B7" w14:textId="77777777" w:rsidR="00647C6B" w:rsidRPr="00A058B6" w:rsidRDefault="00647C6B" w:rsidP="00647C6B">
      <w:pPr>
        <w:pStyle w:val="paragraph"/>
      </w:pPr>
      <w:r w:rsidRPr="00A058B6">
        <w:tab/>
        <w:t>(b)</w:t>
      </w:r>
      <w:r w:rsidRPr="00A058B6">
        <w:tab/>
        <w:t>the remaining part of the benefits is payable, at any time after the relevant date, as a lump sum that is not a commutation of the pension</w:t>
      </w:r>
      <w:r w:rsidR="00D7157D">
        <w:t>.</w:t>
      </w:r>
    </w:p>
    <w:p w14:paraId="1A1FBD34" w14:textId="77777777" w:rsidR="00647C6B" w:rsidRPr="00A058B6" w:rsidRDefault="00647C6B" w:rsidP="00647C6B">
      <w:pPr>
        <w:pStyle w:val="ActHead5"/>
      </w:pPr>
      <w:bookmarkStart w:id="351" w:name="_Toc188350826"/>
      <w:r w:rsidRPr="00423C34">
        <w:rPr>
          <w:rStyle w:val="CharSectno"/>
        </w:rPr>
        <w:t>2</w:t>
      </w:r>
      <w:r w:rsidRPr="00A058B6">
        <w:t xml:space="preserve">  Definitions</w:t>
      </w:r>
      <w:bookmarkEnd w:id="351"/>
    </w:p>
    <w:p w14:paraId="4EAA20B2" w14:textId="77777777" w:rsidR="00647C6B" w:rsidRPr="00A058B6" w:rsidRDefault="00647C6B" w:rsidP="00647C6B">
      <w:pPr>
        <w:pStyle w:val="subsection"/>
      </w:pPr>
      <w:r w:rsidRPr="00A058B6">
        <w:tab/>
      </w:r>
      <w:r w:rsidRPr="00A058B6">
        <w:tab/>
        <w:t>In this Schedule:</w:t>
      </w:r>
    </w:p>
    <w:p w14:paraId="6FB53E54" w14:textId="77777777" w:rsidR="00647C6B" w:rsidRPr="00A058B6" w:rsidRDefault="00647C6B" w:rsidP="00647C6B">
      <w:pPr>
        <w:pStyle w:val="Definition"/>
      </w:pPr>
      <w:r w:rsidRPr="00A058B6">
        <w:rPr>
          <w:b/>
          <w:i/>
        </w:rPr>
        <w:t>minimum deferral period</w:t>
      </w:r>
      <w:r w:rsidRPr="00A058B6">
        <w:t>, in relation to a lump sum that is to be paid to a member spouse at any time after the relevant date, means the minimum period until the lump sum may be paid to the member spouse</w:t>
      </w:r>
      <w:r w:rsidR="00D7157D">
        <w:t>.</w:t>
      </w:r>
    </w:p>
    <w:p w14:paraId="17250B6A" w14:textId="77777777" w:rsidR="00647C6B" w:rsidRPr="00A058B6" w:rsidRDefault="00647C6B" w:rsidP="00647C6B">
      <w:pPr>
        <w:pStyle w:val="Definition"/>
      </w:pPr>
      <w:r w:rsidRPr="00A058B6">
        <w:rPr>
          <w:b/>
          <w:i/>
        </w:rPr>
        <w:t>nominal value</w:t>
      </w:r>
      <w:r w:rsidRPr="00A058B6">
        <w:t>, of a lump sum at a particular date, means:</w:t>
      </w:r>
    </w:p>
    <w:p w14:paraId="03338E65" w14:textId="50E48D2B" w:rsidR="00647C6B" w:rsidRPr="00A058B6" w:rsidRDefault="00647C6B" w:rsidP="00647C6B">
      <w:pPr>
        <w:pStyle w:val="paragraph"/>
      </w:pPr>
      <w:r w:rsidRPr="00A058B6">
        <w:tab/>
        <w:t>(a)</w:t>
      </w:r>
      <w:r w:rsidRPr="00A058B6">
        <w:tab/>
        <w:t xml:space="preserve">subject to </w:t>
      </w:r>
      <w:r w:rsidR="00453C86">
        <w:t>paragraph (</w:t>
      </w:r>
      <w:r w:rsidRPr="00A058B6">
        <w:t>b), the value of the lump sum at that date; or</w:t>
      </w:r>
    </w:p>
    <w:p w14:paraId="6BEA6499" w14:textId="77777777" w:rsidR="00647C6B" w:rsidRPr="00A058B6" w:rsidRDefault="00647C6B" w:rsidP="00647C6B">
      <w:pPr>
        <w:pStyle w:val="paragraph"/>
      </w:pPr>
      <w:r w:rsidRPr="00A058B6">
        <w:tab/>
        <w:t>(b)</w:t>
      </w:r>
      <w:r w:rsidRPr="00A058B6">
        <w:tab/>
        <w:t>if the value of the lump sum is expressed as an amount of dollars to be paid at a time after that date, that amount</w:t>
      </w:r>
      <w:r w:rsidR="00D7157D">
        <w:t>.</w:t>
      </w:r>
    </w:p>
    <w:p w14:paraId="1A222C5C" w14:textId="77777777" w:rsidR="00647C6B" w:rsidRPr="00A058B6" w:rsidRDefault="00647C6B" w:rsidP="00647C6B">
      <w:pPr>
        <w:pStyle w:val="ActHead5"/>
      </w:pPr>
      <w:bookmarkStart w:id="352" w:name="_Toc188350827"/>
      <w:r w:rsidRPr="00423C34">
        <w:rPr>
          <w:rStyle w:val="CharSectno"/>
        </w:rPr>
        <w:t>3</w:t>
      </w:r>
      <w:r w:rsidRPr="00A058B6">
        <w:t xml:space="preserve">  Method</w:t>
      </w:r>
      <w:bookmarkEnd w:id="352"/>
    </w:p>
    <w:p w14:paraId="2C0C89AF" w14:textId="77777777" w:rsidR="00647C6B" w:rsidRDefault="00647C6B" w:rsidP="00647C6B">
      <w:pPr>
        <w:pStyle w:val="subsection"/>
      </w:pPr>
      <w:r w:rsidRPr="00A058B6">
        <w:tab/>
        <w:t>(1)</w:t>
      </w:r>
      <w:r w:rsidRPr="00A058B6">
        <w:tab/>
        <w:t>The method is:</w:t>
      </w:r>
    </w:p>
    <w:p w14:paraId="780AC441" w14:textId="5F2309AD" w:rsidR="00E842D1" w:rsidRPr="00A058B6" w:rsidRDefault="0096321E" w:rsidP="00E842D1">
      <w:pPr>
        <w:pStyle w:val="subsection2"/>
      </w:pPr>
      <w:r w:rsidRPr="00E842D1">
        <w:rPr>
          <w:position w:val="-10"/>
        </w:rPr>
        <w:object w:dxaOrig="1300" w:dyaOrig="420" w14:anchorId="2B76FF1F">
          <v:shape id="_x0000_i1100" type="#_x0000_t75" alt="Start formula GVP plus GVLS end formula" style="width:65.5pt;height:19.5pt" o:ole="">
            <v:imagedata r:id="rId183" o:title=""/>
          </v:shape>
          <o:OLEObject Type="Embed" ProgID="Equation.DSMT4" ShapeID="_x0000_i1100" DrawAspect="Content" ObjectID="_1801634329" r:id="rId184"/>
        </w:object>
      </w:r>
    </w:p>
    <w:p w14:paraId="5017EEF8" w14:textId="77777777" w:rsidR="00647C6B" w:rsidRPr="00A058B6" w:rsidRDefault="00647C6B" w:rsidP="00647C6B">
      <w:pPr>
        <w:pStyle w:val="subsection2"/>
      </w:pPr>
      <w:r w:rsidRPr="00A058B6">
        <w:t>where:</w:t>
      </w:r>
    </w:p>
    <w:p w14:paraId="41377596" w14:textId="26088506" w:rsidR="00827AB7" w:rsidRPr="00A058B6" w:rsidRDefault="00827AB7" w:rsidP="00827AB7">
      <w:pPr>
        <w:pStyle w:val="Definition"/>
      </w:pPr>
      <w:r w:rsidRPr="00A058B6">
        <w:rPr>
          <w:b/>
          <w:bCs/>
          <w:i/>
          <w:iCs/>
        </w:rPr>
        <w:t>GVP</w:t>
      </w:r>
      <w:r w:rsidRPr="00A058B6">
        <w:t xml:space="preserve"> </w:t>
      </w:r>
      <w:r w:rsidR="00E94EA5">
        <w:t>means</w:t>
      </w:r>
      <w:r w:rsidR="00E94EA5" w:rsidRPr="00A058B6">
        <w:t xml:space="preserve"> </w:t>
      </w:r>
      <w:r w:rsidRPr="00A058B6">
        <w:t xml:space="preserve">the gross value of the pension, determined in accordance with </w:t>
      </w:r>
      <w:r w:rsidR="00CB78B9">
        <w:t>section 6</w:t>
      </w:r>
      <w:r w:rsidR="00485CC2">
        <w:t>6</w:t>
      </w:r>
      <w:r w:rsidR="00D7157D">
        <w:t>.</w:t>
      </w:r>
    </w:p>
    <w:p w14:paraId="07A6DF00" w14:textId="77777777" w:rsidR="00DB246B" w:rsidRPr="00A058B6" w:rsidRDefault="00DB246B" w:rsidP="00DB246B">
      <w:pPr>
        <w:pStyle w:val="Definition"/>
      </w:pPr>
      <w:r w:rsidRPr="00A058B6">
        <w:rPr>
          <w:b/>
          <w:i/>
        </w:rPr>
        <w:t>GVLS</w:t>
      </w:r>
      <w:r w:rsidRPr="00A058B6">
        <w:t xml:space="preserve"> </w:t>
      </w:r>
      <w:r w:rsidR="00E94EA5">
        <w:t>means</w:t>
      </w:r>
      <w:r w:rsidR="00E94EA5" w:rsidRPr="00A058B6">
        <w:t xml:space="preserve"> </w:t>
      </w:r>
      <w:r w:rsidRPr="00A058B6">
        <w:t xml:space="preserve">the gross value of the lump sum, determined using the method of valuation set out in </w:t>
      </w:r>
      <w:r w:rsidR="00B05FD6">
        <w:t>subclause (</w:t>
      </w:r>
      <w:r w:rsidRPr="00A058B6">
        <w:t>2)</w:t>
      </w:r>
      <w:r w:rsidR="00D7157D">
        <w:t>.</w:t>
      </w:r>
    </w:p>
    <w:p w14:paraId="27C5BEDF" w14:textId="77777777" w:rsidR="00647C6B" w:rsidRPr="00A058B6" w:rsidRDefault="00647C6B" w:rsidP="00647C6B">
      <w:pPr>
        <w:pStyle w:val="subsection"/>
      </w:pPr>
      <w:r w:rsidRPr="00A058B6">
        <w:tab/>
        <w:t>(2)</w:t>
      </w:r>
      <w:r w:rsidRPr="00A058B6">
        <w:tab/>
        <w:t xml:space="preserve">For the purposes of </w:t>
      </w:r>
      <w:r w:rsidR="00B05FD6">
        <w:t>subclause (</w:t>
      </w:r>
      <w:r w:rsidRPr="00A058B6">
        <w:t>1), the method of determining the gross value of the lump sum (</w:t>
      </w:r>
      <w:r w:rsidRPr="00A058B6">
        <w:rPr>
          <w:b/>
          <w:i/>
        </w:rPr>
        <w:t>GVLS</w:t>
      </w:r>
      <w:r w:rsidRPr="00A058B6">
        <w:t>) is:</w:t>
      </w:r>
    </w:p>
    <w:p w14:paraId="68382981" w14:textId="3FD535C4" w:rsidR="00DB246B" w:rsidRPr="00A058B6" w:rsidRDefault="00791BDC" w:rsidP="00DB246B">
      <w:pPr>
        <w:pStyle w:val="subsection2"/>
      </w:pPr>
      <w:r w:rsidRPr="00DB246B">
        <w:rPr>
          <w:position w:val="-12"/>
        </w:rPr>
        <w:object w:dxaOrig="1020" w:dyaOrig="440" w14:anchorId="0F261F08">
          <v:shape id="_x0000_i1101" type="#_x0000_t75" alt="Start formula LS times D subscript y subscript plus subscript m end formula" style="width:52.5pt;height:23pt" o:ole="">
            <v:imagedata r:id="rId185" o:title=""/>
          </v:shape>
          <o:OLEObject Type="Embed" ProgID="Equation.DSMT4" ShapeID="_x0000_i1101" DrawAspect="Content" ObjectID="_1801634330" r:id="rId186"/>
        </w:object>
      </w:r>
    </w:p>
    <w:p w14:paraId="4D9D386B" w14:textId="77777777" w:rsidR="00647C6B" w:rsidRPr="00A058B6" w:rsidRDefault="00647C6B" w:rsidP="00647C6B">
      <w:pPr>
        <w:pStyle w:val="subsection2"/>
      </w:pPr>
      <w:r w:rsidRPr="00A058B6">
        <w:t>where:</w:t>
      </w:r>
    </w:p>
    <w:p w14:paraId="238A32B2" w14:textId="77777777" w:rsidR="00827AB7" w:rsidRPr="00A058B6" w:rsidRDefault="00827AB7" w:rsidP="00827AB7">
      <w:pPr>
        <w:pStyle w:val="Definition"/>
      </w:pPr>
      <w:r w:rsidRPr="00A058B6">
        <w:rPr>
          <w:b/>
          <w:i/>
        </w:rPr>
        <w:t>LS</w:t>
      </w:r>
      <w:r w:rsidRPr="00A058B6">
        <w:t xml:space="preserve"> </w:t>
      </w:r>
      <w:r w:rsidR="00E94EA5">
        <w:t>means</w:t>
      </w:r>
      <w:r w:rsidR="00E94EA5" w:rsidRPr="00A058B6">
        <w:t xml:space="preserve"> </w:t>
      </w:r>
      <w:r w:rsidRPr="00A058B6">
        <w:t>the nominal value of the lump sum at the relevant date</w:t>
      </w:r>
      <w:r w:rsidR="00D7157D">
        <w:t>.</w:t>
      </w:r>
    </w:p>
    <w:p w14:paraId="07C797A1" w14:textId="77777777" w:rsidR="00AE09BF" w:rsidRPr="00A058B6" w:rsidRDefault="00AE09BF" w:rsidP="00AE09BF">
      <w:pPr>
        <w:pStyle w:val="Definition"/>
      </w:pPr>
      <w:r w:rsidRPr="00A058B6">
        <w:rPr>
          <w:b/>
          <w:i/>
        </w:rPr>
        <w:t>D</w:t>
      </w:r>
      <w:r w:rsidRPr="00A058B6">
        <w:rPr>
          <w:b/>
          <w:i/>
          <w:vertAlign w:val="subscript"/>
        </w:rPr>
        <w:t>y+m</w:t>
      </w:r>
      <w:r w:rsidRPr="00A058B6">
        <w:t xml:space="preserve"> </w:t>
      </w:r>
      <w:r w:rsidR="00E94EA5">
        <w:t>means</w:t>
      </w:r>
      <w:r w:rsidR="00E94EA5" w:rsidRPr="00A058B6">
        <w:t xml:space="preserve"> </w:t>
      </w:r>
      <w:r w:rsidRPr="00A058B6">
        <w:t xml:space="preserve">the discount valuation factor calculated in accordance with </w:t>
      </w:r>
      <w:r w:rsidR="00B05FD6">
        <w:t>subclause (</w:t>
      </w:r>
      <w:r w:rsidRPr="00A058B6">
        <w:t>3)</w:t>
      </w:r>
      <w:r w:rsidR="00D7157D">
        <w:t>.</w:t>
      </w:r>
    </w:p>
    <w:p w14:paraId="0F10C17A" w14:textId="77777777" w:rsidR="00647C6B" w:rsidRDefault="00647C6B" w:rsidP="00647C6B">
      <w:pPr>
        <w:pStyle w:val="subsection"/>
      </w:pPr>
      <w:r w:rsidRPr="00A058B6">
        <w:tab/>
        <w:t>(3)</w:t>
      </w:r>
      <w:r w:rsidRPr="00A058B6">
        <w:tab/>
        <w:t xml:space="preserve">For the purposes of </w:t>
      </w:r>
      <w:r w:rsidR="00B05FD6">
        <w:t>subclause (</w:t>
      </w:r>
      <w:r w:rsidRPr="00A058B6">
        <w:t>2), the discount valuation factor (</w:t>
      </w:r>
      <w:r w:rsidRPr="00A058B6">
        <w:rPr>
          <w:b/>
          <w:i/>
        </w:rPr>
        <w:t>D</w:t>
      </w:r>
      <w:r w:rsidRPr="00A058B6">
        <w:rPr>
          <w:b/>
          <w:i/>
          <w:vertAlign w:val="subscript"/>
        </w:rPr>
        <w:t>y+m</w:t>
      </w:r>
      <w:r w:rsidRPr="00A058B6">
        <w:t>) at the relevant date is:</w:t>
      </w:r>
    </w:p>
    <w:p w14:paraId="10DB0B76" w14:textId="464F494D" w:rsidR="00AE09BF" w:rsidRPr="00A058B6" w:rsidRDefault="00004B7C" w:rsidP="00AE09BF">
      <w:pPr>
        <w:pStyle w:val="subsection2"/>
      </w:pPr>
      <w:r w:rsidRPr="00F23451">
        <w:rPr>
          <w:position w:val="-32"/>
        </w:rPr>
        <w:object w:dxaOrig="3000" w:dyaOrig="1060" w14:anchorId="4481366B">
          <v:shape id="_x0000_i1102" type="#_x0000_t75" alt="Start formula start fraction open bracket D subscript y times open bracket 12 minus m close bracket close bracket plus open bracket D subscript y subscript plus subscript 1 times m close bracket over 12 end fraction end formula" style="width:150.5pt;height:53.5pt" o:ole="">
            <v:imagedata r:id="rId187" o:title=""/>
          </v:shape>
          <o:OLEObject Type="Embed" ProgID="Equation.DSMT4" ShapeID="_x0000_i1102" DrawAspect="Content" ObjectID="_1801634331" r:id="rId188"/>
        </w:object>
      </w:r>
    </w:p>
    <w:p w14:paraId="3E5372CD" w14:textId="77777777" w:rsidR="00647C6B" w:rsidRPr="00A058B6" w:rsidRDefault="00647C6B" w:rsidP="00647C6B">
      <w:pPr>
        <w:pStyle w:val="subsection2"/>
      </w:pPr>
      <w:r w:rsidRPr="00A058B6">
        <w:t>where:</w:t>
      </w:r>
    </w:p>
    <w:p w14:paraId="22680083" w14:textId="77777777" w:rsidR="00647C6B" w:rsidRPr="00A058B6" w:rsidRDefault="00647C6B" w:rsidP="00647C6B">
      <w:pPr>
        <w:pStyle w:val="Definition"/>
      </w:pPr>
      <w:r w:rsidRPr="00A058B6">
        <w:rPr>
          <w:b/>
          <w:i/>
        </w:rPr>
        <w:t>D</w:t>
      </w:r>
      <w:r w:rsidRPr="00A058B6">
        <w:rPr>
          <w:b/>
          <w:i/>
          <w:vertAlign w:val="subscript"/>
        </w:rPr>
        <w:t>y</w:t>
      </w:r>
      <w:r w:rsidRPr="00A058B6">
        <w:t xml:space="preserve"> </w:t>
      </w:r>
      <w:r w:rsidR="00E94EA5">
        <w:t>means</w:t>
      </w:r>
      <w:r w:rsidR="00E94EA5" w:rsidRPr="00A058B6">
        <w:t xml:space="preserve"> </w:t>
      </w:r>
      <w:r w:rsidRPr="00A058B6">
        <w:t>the discount valuation factor mentioned in clause 4 of this Schedule that applies to the lump sum and the minimum deferral period in complete years at the relevant date</w:t>
      </w:r>
      <w:r w:rsidR="00D7157D">
        <w:t>.</w:t>
      </w:r>
    </w:p>
    <w:p w14:paraId="0AE8537F" w14:textId="77777777" w:rsidR="00827AB7" w:rsidRPr="00A058B6" w:rsidRDefault="00827AB7" w:rsidP="00827AB7">
      <w:pPr>
        <w:pStyle w:val="Definition"/>
      </w:pPr>
      <w:r w:rsidRPr="00A058B6">
        <w:rPr>
          <w:b/>
          <w:i/>
        </w:rPr>
        <w:t>m</w:t>
      </w:r>
      <w:r w:rsidRPr="00A058B6">
        <w:t xml:space="preserve"> </w:t>
      </w:r>
      <w:r w:rsidR="00E94EA5">
        <w:t>means</w:t>
      </w:r>
      <w:r w:rsidR="00E94EA5" w:rsidRPr="00A058B6">
        <w:t xml:space="preserve"> </w:t>
      </w:r>
      <w:r w:rsidRPr="00A058B6">
        <w:t>the number of complete months of the minimum deferral period applicable to the lump sum that are not included in the remaining complete years of that period at the relevant date</w:t>
      </w:r>
      <w:r w:rsidR="00D7157D">
        <w:t>.</w:t>
      </w:r>
    </w:p>
    <w:p w14:paraId="0DD7E191" w14:textId="77777777" w:rsidR="009D11BD" w:rsidRPr="00A058B6" w:rsidRDefault="009D11BD" w:rsidP="009D11BD">
      <w:pPr>
        <w:pStyle w:val="Definition"/>
      </w:pPr>
      <w:r w:rsidRPr="00A058B6">
        <w:rPr>
          <w:b/>
          <w:i/>
        </w:rPr>
        <w:t>D</w:t>
      </w:r>
      <w:r w:rsidRPr="00A058B6">
        <w:rPr>
          <w:b/>
          <w:i/>
          <w:vertAlign w:val="subscript"/>
        </w:rPr>
        <w:t>y+1</w:t>
      </w:r>
      <w:r w:rsidRPr="00A058B6">
        <w:t xml:space="preserve"> </w:t>
      </w:r>
      <w:r w:rsidR="00E94EA5">
        <w:t>means</w:t>
      </w:r>
      <w:r w:rsidR="00E94EA5" w:rsidRPr="00A058B6">
        <w:t xml:space="preserve"> </w:t>
      </w:r>
      <w:r w:rsidRPr="00A058B6">
        <w:t xml:space="preserve">the discount valuation factor mentioned in clause 4 of this Schedule that applies to the lump sum and the minimum deferral period applicable to the lump sum at the completion of the next year after the year mentioned in the definition of the factor </w:t>
      </w:r>
      <w:r w:rsidRPr="00A058B6">
        <w:rPr>
          <w:b/>
          <w:i/>
        </w:rPr>
        <w:t>D</w:t>
      </w:r>
      <w:r w:rsidRPr="00A058B6">
        <w:rPr>
          <w:b/>
          <w:i/>
          <w:vertAlign w:val="subscript"/>
        </w:rPr>
        <w:t>y</w:t>
      </w:r>
      <w:r w:rsidR="00D7157D">
        <w:t>.</w:t>
      </w:r>
    </w:p>
    <w:p w14:paraId="2DF53485" w14:textId="77777777" w:rsidR="00647C6B" w:rsidRPr="00A058B6" w:rsidRDefault="00647C6B" w:rsidP="00647C6B">
      <w:pPr>
        <w:pStyle w:val="ActHead5"/>
      </w:pPr>
      <w:bookmarkStart w:id="353" w:name="_Toc188350828"/>
      <w:r w:rsidRPr="00423C34">
        <w:rPr>
          <w:rStyle w:val="CharSectno"/>
        </w:rPr>
        <w:t>4</w:t>
      </w:r>
      <w:r w:rsidRPr="00A058B6">
        <w:t xml:space="preserve">  Discount valuation factors</w:t>
      </w:r>
      <w:bookmarkEnd w:id="353"/>
    </w:p>
    <w:p w14:paraId="32EC98AD" w14:textId="77777777" w:rsidR="00647C6B" w:rsidRPr="00A058B6" w:rsidRDefault="00647C6B" w:rsidP="00647C6B">
      <w:pPr>
        <w:pStyle w:val="subsection"/>
      </w:pPr>
      <w:r w:rsidRPr="00A058B6">
        <w:tab/>
        <w:t>(1)</w:t>
      </w:r>
      <w:r w:rsidRPr="00A058B6">
        <w:tab/>
        <w:t>This clause sets out the discount valuation factors</w:t>
      </w:r>
      <w:r w:rsidR="00D7157D">
        <w:t>.</w:t>
      </w:r>
    </w:p>
    <w:p w14:paraId="39A9EDD4" w14:textId="77777777" w:rsidR="00647C6B" w:rsidRPr="00A058B6" w:rsidRDefault="00647C6B" w:rsidP="00647C6B">
      <w:pPr>
        <w:pStyle w:val="subsection"/>
      </w:pPr>
      <w:r w:rsidRPr="00A058B6">
        <w:tab/>
        <w:t>(</w:t>
      </w:r>
      <w:r w:rsidR="00272C0F">
        <w:t>2</w:t>
      </w:r>
      <w:r w:rsidRPr="00A058B6">
        <w:t>)</w:t>
      </w:r>
      <w:r w:rsidRPr="00A058B6">
        <w:tab/>
        <w:t>If the lump sum is indexed in accordance with a fund crediting rate, the factor is 1</w:t>
      </w:r>
      <w:r w:rsidR="00D7157D">
        <w:t>.</w:t>
      </w:r>
    </w:p>
    <w:p w14:paraId="4715B4B5" w14:textId="3FF3FE5E" w:rsidR="00647C6B" w:rsidRPr="00A058B6" w:rsidRDefault="00647C6B" w:rsidP="00647C6B">
      <w:pPr>
        <w:pStyle w:val="subsection"/>
      </w:pPr>
      <w:r w:rsidRPr="00A058B6">
        <w:tab/>
        <w:t>(</w:t>
      </w:r>
      <w:r w:rsidR="00272C0F">
        <w:t>3</w:t>
      </w:r>
      <w:r w:rsidRPr="00A058B6">
        <w:t>)</w:t>
      </w:r>
      <w:r w:rsidRPr="00A058B6">
        <w:tab/>
        <w:t xml:space="preserve">For this Schedule, a lump sum is taken to be not indexed if the nominal value of the lump sum is an amount within the meaning of </w:t>
      </w:r>
      <w:r w:rsidR="00453C86">
        <w:t>paragraph (</w:t>
      </w:r>
      <w:r w:rsidRPr="00A058B6">
        <w:t xml:space="preserve">b) of the definition of </w:t>
      </w:r>
      <w:r w:rsidRPr="00A058B6">
        <w:rPr>
          <w:b/>
          <w:i/>
        </w:rPr>
        <w:t xml:space="preserve">nominal value </w:t>
      </w:r>
      <w:r w:rsidRPr="00A058B6">
        <w:t>in clause 2</w:t>
      </w:r>
      <w:r w:rsidR="00D7157D">
        <w:t>.</w:t>
      </w:r>
    </w:p>
    <w:p w14:paraId="26C263AA" w14:textId="77777777" w:rsidR="00272C0F" w:rsidRDefault="00272C0F" w:rsidP="00272C0F">
      <w:pPr>
        <w:pStyle w:val="subsection"/>
      </w:pPr>
      <w:r w:rsidRPr="00A058B6">
        <w:tab/>
        <w:t>(</w:t>
      </w:r>
      <w:r>
        <w:t>4</w:t>
      </w:r>
      <w:r w:rsidRPr="00A058B6">
        <w:t>)</w:t>
      </w:r>
      <w:r w:rsidRPr="00A058B6">
        <w:tab/>
      </w:r>
      <w:r>
        <w:t>In this clause:</w:t>
      </w:r>
    </w:p>
    <w:p w14:paraId="0A76376B" w14:textId="77777777" w:rsidR="00272C0F" w:rsidRDefault="00272C0F" w:rsidP="00272C0F">
      <w:pPr>
        <w:pStyle w:val="Definition"/>
      </w:pPr>
      <w:r w:rsidRPr="00D57B96">
        <w:rPr>
          <w:b/>
          <w:i/>
        </w:rPr>
        <w:t>CPI</w:t>
      </w:r>
      <w:r>
        <w:t xml:space="preserve"> means the consumer price index</w:t>
      </w:r>
      <w:r w:rsidR="00D7157D">
        <w:t>.</w:t>
      </w:r>
    </w:p>
    <w:p w14:paraId="7438C25C" w14:textId="77777777" w:rsidR="00272C0F" w:rsidRPr="00D57B96" w:rsidRDefault="00272C0F" w:rsidP="00272C0F">
      <w:pPr>
        <w:pStyle w:val="Definition"/>
      </w:pPr>
      <w:r w:rsidRPr="00025369">
        <w:rPr>
          <w:b/>
          <w:i/>
        </w:rPr>
        <w:t>wage indexed pension</w:t>
      </w:r>
      <w:r>
        <w:t xml:space="preserve"> means a pension indexed in accordance with </w:t>
      </w:r>
      <w:r w:rsidRPr="009158D7">
        <w:t>a general wage index (for example, average weekly earnings, or average</w:t>
      </w:r>
      <w:r w:rsidRPr="00A058B6">
        <w:t xml:space="preserve"> weekly ordinary time earnings, published by the Australian Bureau of Statistics)</w:t>
      </w:r>
      <w:r w:rsidR="00D7157D">
        <w:t>.</w:t>
      </w:r>
    </w:p>
    <w:p w14:paraId="40852FFE" w14:textId="77777777" w:rsidR="00647C6B" w:rsidRPr="00A058B6" w:rsidRDefault="00647C6B" w:rsidP="00647C6B">
      <w:pPr>
        <w:pStyle w:val="Tabletext"/>
      </w:pPr>
    </w:p>
    <w:tbl>
      <w:tblPr>
        <w:tblW w:w="5000" w:type="pct"/>
        <w:tblLook w:val="0000" w:firstRow="0" w:lastRow="0" w:firstColumn="0" w:lastColumn="0" w:noHBand="0" w:noVBand="0"/>
      </w:tblPr>
      <w:tblGrid>
        <w:gridCol w:w="2643"/>
        <w:gridCol w:w="1796"/>
        <w:gridCol w:w="1796"/>
        <w:gridCol w:w="2078"/>
      </w:tblGrid>
      <w:tr w:rsidR="00647C6B" w:rsidRPr="00A058B6" w14:paraId="00A8E27F" w14:textId="77777777" w:rsidTr="00FA26AF">
        <w:trPr>
          <w:cantSplit/>
          <w:tblHeader/>
        </w:trPr>
        <w:tc>
          <w:tcPr>
            <w:tcW w:w="1590" w:type="pct"/>
            <w:vMerge w:val="restart"/>
            <w:tcBorders>
              <w:top w:val="single" w:sz="12" w:space="0" w:color="auto"/>
            </w:tcBorders>
          </w:tcPr>
          <w:p w14:paraId="508F04C1" w14:textId="77777777" w:rsidR="00647C6B" w:rsidRPr="00A058B6" w:rsidRDefault="00647C6B" w:rsidP="009C0D79">
            <w:pPr>
              <w:pStyle w:val="TableHeading"/>
            </w:pPr>
            <w:r w:rsidRPr="00A058B6">
              <w:t>Minimum deferral period for lump sum (in complete years)</w:t>
            </w:r>
          </w:p>
        </w:tc>
        <w:tc>
          <w:tcPr>
            <w:tcW w:w="3410" w:type="pct"/>
            <w:gridSpan w:val="3"/>
            <w:tcBorders>
              <w:top w:val="single" w:sz="12" w:space="0" w:color="auto"/>
              <w:bottom w:val="single" w:sz="4" w:space="0" w:color="auto"/>
            </w:tcBorders>
          </w:tcPr>
          <w:p w14:paraId="19B64605" w14:textId="77777777" w:rsidR="00647C6B" w:rsidRPr="00A058B6" w:rsidRDefault="00647C6B" w:rsidP="009C0D79">
            <w:pPr>
              <w:pStyle w:val="TableHeading"/>
            </w:pPr>
            <w:r w:rsidRPr="00A058B6">
              <w:t>Discount valuation factors</w:t>
            </w:r>
          </w:p>
        </w:tc>
      </w:tr>
      <w:tr w:rsidR="00647C6B" w:rsidRPr="00A058B6" w14:paraId="199DF316" w14:textId="77777777" w:rsidTr="00DE0699">
        <w:trPr>
          <w:cantSplit/>
          <w:tblHeader/>
        </w:trPr>
        <w:tc>
          <w:tcPr>
            <w:tcW w:w="1590" w:type="pct"/>
            <w:vMerge/>
            <w:tcBorders>
              <w:bottom w:val="single" w:sz="12" w:space="0" w:color="auto"/>
            </w:tcBorders>
          </w:tcPr>
          <w:p w14:paraId="6A05C9D9" w14:textId="77777777" w:rsidR="00647C6B" w:rsidRPr="00A058B6" w:rsidRDefault="00647C6B" w:rsidP="009C0D79">
            <w:pPr>
              <w:pStyle w:val="TableHeading"/>
            </w:pPr>
          </w:p>
        </w:tc>
        <w:tc>
          <w:tcPr>
            <w:tcW w:w="1080" w:type="pct"/>
            <w:tcBorders>
              <w:top w:val="single" w:sz="4" w:space="0" w:color="auto"/>
              <w:bottom w:val="single" w:sz="12" w:space="0" w:color="auto"/>
            </w:tcBorders>
          </w:tcPr>
          <w:p w14:paraId="7B1D6E02" w14:textId="77777777" w:rsidR="00647C6B" w:rsidRPr="00A058B6" w:rsidRDefault="00647C6B" w:rsidP="009C0D79">
            <w:pPr>
              <w:pStyle w:val="TableHeading"/>
            </w:pPr>
            <w:r w:rsidRPr="00A058B6">
              <w:t>Lump sum not indexed</w:t>
            </w:r>
          </w:p>
        </w:tc>
        <w:tc>
          <w:tcPr>
            <w:tcW w:w="1080" w:type="pct"/>
            <w:tcBorders>
              <w:top w:val="single" w:sz="4" w:space="0" w:color="auto"/>
              <w:bottom w:val="single" w:sz="12" w:space="0" w:color="auto"/>
            </w:tcBorders>
          </w:tcPr>
          <w:p w14:paraId="331248C6" w14:textId="77777777" w:rsidR="00647C6B" w:rsidRPr="00A058B6" w:rsidRDefault="00647C6B" w:rsidP="009C0D79">
            <w:pPr>
              <w:pStyle w:val="TableHeading"/>
            </w:pPr>
            <w:r w:rsidRPr="00A058B6">
              <w:t>CPI indexed lump sum</w:t>
            </w:r>
          </w:p>
        </w:tc>
        <w:tc>
          <w:tcPr>
            <w:tcW w:w="1250" w:type="pct"/>
            <w:tcBorders>
              <w:top w:val="single" w:sz="4" w:space="0" w:color="auto"/>
              <w:bottom w:val="single" w:sz="12" w:space="0" w:color="auto"/>
            </w:tcBorders>
          </w:tcPr>
          <w:p w14:paraId="5F7EAC1E" w14:textId="77777777" w:rsidR="00647C6B" w:rsidRPr="00A058B6" w:rsidRDefault="00647C6B" w:rsidP="009C0D79">
            <w:pPr>
              <w:pStyle w:val="TableHeading"/>
            </w:pPr>
            <w:r w:rsidRPr="00A058B6">
              <w:t>Wage indexed lump sum</w:t>
            </w:r>
          </w:p>
        </w:tc>
      </w:tr>
      <w:tr w:rsidR="00196507" w:rsidRPr="009E2595" w14:paraId="1BF28D17" w14:textId="77777777" w:rsidTr="00273290">
        <w:trPr>
          <w:cantSplit/>
        </w:trPr>
        <w:tc>
          <w:tcPr>
            <w:tcW w:w="1590" w:type="pct"/>
            <w:tcBorders>
              <w:top w:val="single" w:sz="12" w:space="0" w:color="auto"/>
              <w:bottom w:val="single" w:sz="4" w:space="0" w:color="auto"/>
            </w:tcBorders>
          </w:tcPr>
          <w:p w14:paraId="5B8353F4" w14:textId="77777777" w:rsidR="00196507" w:rsidRPr="00616B26" w:rsidRDefault="00196507" w:rsidP="00196507">
            <w:pPr>
              <w:pStyle w:val="Tabletext"/>
              <w:rPr>
                <w:snapToGrid w:val="0"/>
              </w:rPr>
            </w:pPr>
            <w:r w:rsidRPr="00616B26">
              <w:rPr>
                <w:snapToGrid w:val="0"/>
              </w:rPr>
              <w:t>0</w:t>
            </w:r>
          </w:p>
        </w:tc>
        <w:tc>
          <w:tcPr>
            <w:tcW w:w="1080" w:type="pct"/>
            <w:tcBorders>
              <w:top w:val="single" w:sz="12" w:space="0" w:color="auto"/>
              <w:bottom w:val="single" w:sz="4" w:space="0" w:color="auto"/>
            </w:tcBorders>
            <w:vAlign w:val="bottom"/>
          </w:tcPr>
          <w:p w14:paraId="5838A3FC" w14:textId="77777777" w:rsidR="00196507" w:rsidRPr="000F120F" w:rsidRDefault="00196507" w:rsidP="00196507">
            <w:pPr>
              <w:pStyle w:val="Tabletext"/>
              <w:rPr>
                <w:snapToGrid w:val="0"/>
              </w:rPr>
            </w:pPr>
            <w:r w:rsidRPr="00295986">
              <w:t>1</w:t>
            </w:r>
            <w:r w:rsidR="00D7157D">
              <w:t>.</w:t>
            </w:r>
            <w:r w:rsidRPr="00295986">
              <w:t>000</w:t>
            </w:r>
          </w:p>
        </w:tc>
        <w:tc>
          <w:tcPr>
            <w:tcW w:w="1080" w:type="pct"/>
            <w:tcBorders>
              <w:top w:val="single" w:sz="12" w:space="0" w:color="auto"/>
              <w:bottom w:val="single" w:sz="4" w:space="0" w:color="auto"/>
            </w:tcBorders>
            <w:vAlign w:val="bottom"/>
          </w:tcPr>
          <w:p w14:paraId="0FF7ED6A" w14:textId="77777777" w:rsidR="00196507" w:rsidRPr="000F120F" w:rsidRDefault="00196507" w:rsidP="00196507">
            <w:pPr>
              <w:pStyle w:val="Tabletext"/>
              <w:rPr>
                <w:snapToGrid w:val="0"/>
              </w:rPr>
            </w:pPr>
            <w:r w:rsidRPr="00295986">
              <w:t>1</w:t>
            </w:r>
            <w:r w:rsidR="00D7157D">
              <w:t>.</w:t>
            </w:r>
            <w:r w:rsidRPr="00295986">
              <w:t>000</w:t>
            </w:r>
          </w:p>
        </w:tc>
        <w:tc>
          <w:tcPr>
            <w:tcW w:w="1250" w:type="pct"/>
            <w:tcBorders>
              <w:top w:val="single" w:sz="12" w:space="0" w:color="auto"/>
              <w:bottom w:val="single" w:sz="4" w:space="0" w:color="auto"/>
            </w:tcBorders>
            <w:vAlign w:val="bottom"/>
          </w:tcPr>
          <w:p w14:paraId="355BC071" w14:textId="77777777" w:rsidR="00196507" w:rsidRPr="00196507" w:rsidRDefault="00196507" w:rsidP="00196507">
            <w:pPr>
              <w:pStyle w:val="Tabletext"/>
              <w:rPr>
                <w:snapToGrid w:val="0"/>
                <w:color w:val="000000" w:themeColor="text1"/>
              </w:rPr>
            </w:pPr>
            <w:r w:rsidRPr="00196507">
              <w:rPr>
                <w:color w:val="000000" w:themeColor="text1"/>
              </w:rPr>
              <w:t>1</w:t>
            </w:r>
            <w:r w:rsidR="00D7157D">
              <w:rPr>
                <w:color w:val="000000" w:themeColor="text1"/>
              </w:rPr>
              <w:t>.</w:t>
            </w:r>
            <w:r w:rsidRPr="00196507">
              <w:rPr>
                <w:color w:val="000000" w:themeColor="text1"/>
              </w:rPr>
              <w:t>000</w:t>
            </w:r>
          </w:p>
        </w:tc>
      </w:tr>
      <w:tr w:rsidR="00196507" w:rsidRPr="009E2595" w14:paraId="1EC2C2D9" w14:textId="77777777" w:rsidTr="00273290">
        <w:trPr>
          <w:cantSplit/>
        </w:trPr>
        <w:tc>
          <w:tcPr>
            <w:tcW w:w="1590" w:type="pct"/>
            <w:tcBorders>
              <w:top w:val="single" w:sz="4" w:space="0" w:color="auto"/>
              <w:bottom w:val="single" w:sz="4" w:space="0" w:color="auto"/>
            </w:tcBorders>
          </w:tcPr>
          <w:p w14:paraId="431B5D42" w14:textId="77777777" w:rsidR="00196507" w:rsidRPr="00616B26" w:rsidRDefault="00196507" w:rsidP="00196507">
            <w:pPr>
              <w:pStyle w:val="Tabletext"/>
              <w:rPr>
                <w:snapToGrid w:val="0"/>
              </w:rPr>
            </w:pPr>
            <w:r w:rsidRPr="00616B26">
              <w:rPr>
                <w:snapToGrid w:val="0"/>
              </w:rPr>
              <w:t>1</w:t>
            </w:r>
          </w:p>
        </w:tc>
        <w:tc>
          <w:tcPr>
            <w:tcW w:w="1080" w:type="pct"/>
            <w:tcBorders>
              <w:top w:val="single" w:sz="4" w:space="0" w:color="auto"/>
              <w:bottom w:val="single" w:sz="4" w:space="0" w:color="auto"/>
            </w:tcBorders>
            <w:vAlign w:val="bottom"/>
          </w:tcPr>
          <w:p w14:paraId="0BD585C5" w14:textId="77777777" w:rsidR="00196507" w:rsidRPr="000F120F" w:rsidRDefault="00196507" w:rsidP="00196507">
            <w:pPr>
              <w:pStyle w:val="Tabletext"/>
              <w:rPr>
                <w:snapToGrid w:val="0"/>
              </w:rPr>
            </w:pPr>
            <w:r w:rsidRPr="00295986">
              <w:t>0</w:t>
            </w:r>
            <w:r w:rsidR="00D7157D">
              <w:t>.</w:t>
            </w:r>
            <w:r w:rsidRPr="00295986">
              <w:t>943</w:t>
            </w:r>
          </w:p>
        </w:tc>
        <w:tc>
          <w:tcPr>
            <w:tcW w:w="1080" w:type="pct"/>
            <w:tcBorders>
              <w:top w:val="single" w:sz="4" w:space="0" w:color="auto"/>
              <w:bottom w:val="single" w:sz="4" w:space="0" w:color="auto"/>
            </w:tcBorders>
            <w:vAlign w:val="bottom"/>
          </w:tcPr>
          <w:p w14:paraId="19799369" w14:textId="77777777" w:rsidR="00196507" w:rsidRPr="000F120F" w:rsidRDefault="00196507" w:rsidP="00196507">
            <w:pPr>
              <w:pStyle w:val="Tabletext"/>
              <w:rPr>
                <w:snapToGrid w:val="0"/>
              </w:rPr>
            </w:pPr>
            <w:r w:rsidRPr="00295986">
              <w:t>0</w:t>
            </w:r>
            <w:r w:rsidR="00D7157D">
              <w:t>.</w:t>
            </w:r>
            <w:r w:rsidRPr="00295986">
              <w:t>967</w:t>
            </w:r>
          </w:p>
        </w:tc>
        <w:tc>
          <w:tcPr>
            <w:tcW w:w="1250" w:type="pct"/>
            <w:tcBorders>
              <w:top w:val="single" w:sz="4" w:space="0" w:color="auto"/>
              <w:bottom w:val="single" w:sz="4" w:space="0" w:color="auto"/>
            </w:tcBorders>
            <w:vAlign w:val="bottom"/>
          </w:tcPr>
          <w:p w14:paraId="6818E98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979</w:t>
            </w:r>
          </w:p>
        </w:tc>
      </w:tr>
      <w:tr w:rsidR="00196507" w:rsidRPr="009E2595" w14:paraId="61A954B2" w14:textId="77777777" w:rsidTr="00273290">
        <w:trPr>
          <w:cantSplit/>
        </w:trPr>
        <w:tc>
          <w:tcPr>
            <w:tcW w:w="1590" w:type="pct"/>
            <w:tcBorders>
              <w:top w:val="single" w:sz="4" w:space="0" w:color="auto"/>
              <w:bottom w:val="single" w:sz="4" w:space="0" w:color="auto"/>
            </w:tcBorders>
          </w:tcPr>
          <w:p w14:paraId="30B9AF29" w14:textId="77777777" w:rsidR="00196507" w:rsidRPr="00616B26" w:rsidRDefault="00196507" w:rsidP="00196507">
            <w:pPr>
              <w:pStyle w:val="Tabletext"/>
              <w:rPr>
                <w:snapToGrid w:val="0"/>
              </w:rPr>
            </w:pPr>
            <w:r w:rsidRPr="00616B26">
              <w:rPr>
                <w:snapToGrid w:val="0"/>
              </w:rPr>
              <w:t>2</w:t>
            </w:r>
          </w:p>
        </w:tc>
        <w:tc>
          <w:tcPr>
            <w:tcW w:w="1080" w:type="pct"/>
            <w:tcBorders>
              <w:top w:val="single" w:sz="4" w:space="0" w:color="auto"/>
              <w:bottom w:val="single" w:sz="4" w:space="0" w:color="auto"/>
            </w:tcBorders>
            <w:vAlign w:val="bottom"/>
          </w:tcPr>
          <w:p w14:paraId="5E8197CD" w14:textId="77777777" w:rsidR="00196507" w:rsidRPr="000F120F" w:rsidRDefault="00196507" w:rsidP="00196507">
            <w:pPr>
              <w:pStyle w:val="Tabletext"/>
              <w:rPr>
                <w:snapToGrid w:val="0"/>
              </w:rPr>
            </w:pPr>
            <w:r w:rsidRPr="00295986">
              <w:t>0</w:t>
            </w:r>
            <w:r w:rsidR="00D7157D">
              <w:t>.</w:t>
            </w:r>
            <w:r w:rsidRPr="00295986">
              <w:t>890</w:t>
            </w:r>
          </w:p>
        </w:tc>
        <w:tc>
          <w:tcPr>
            <w:tcW w:w="1080" w:type="pct"/>
            <w:tcBorders>
              <w:top w:val="single" w:sz="4" w:space="0" w:color="auto"/>
              <w:bottom w:val="single" w:sz="4" w:space="0" w:color="auto"/>
            </w:tcBorders>
            <w:vAlign w:val="bottom"/>
          </w:tcPr>
          <w:p w14:paraId="2CA9807F" w14:textId="77777777" w:rsidR="00196507" w:rsidRPr="000F120F" w:rsidRDefault="00196507" w:rsidP="00196507">
            <w:pPr>
              <w:pStyle w:val="Tabletext"/>
              <w:rPr>
                <w:snapToGrid w:val="0"/>
              </w:rPr>
            </w:pPr>
            <w:r w:rsidRPr="00295986">
              <w:t>0</w:t>
            </w:r>
            <w:r w:rsidR="00D7157D">
              <w:t>.</w:t>
            </w:r>
            <w:r w:rsidRPr="00295986">
              <w:t>935</w:t>
            </w:r>
          </w:p>
        </w:tc>
        <w:tc>
          <w:tcPr>
            <w:tcW w:w="1250" w:type="pct"/>
            <w:tcBorders>
              <w:top w:val="single" w:sz="4" w:space="0" w:color="auto"/>
              <w:bottom w:val="single" w:sz="4" w:space="0" w:color="auto"/>
            </w:tcBorders>
            <w:vAlign w:val="bottom"/>
          </w:tcPr>
          <w:p w14:paraId="7DB346A0"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958</w:t>
            </w:r>
          </w:p>
        </w:tc>
      </w:tr>
      <w:tr w:rsidR="00196507" w:rsidRPr="009E2595" w14:paraId="5ADF98A7" w14:textId="77777777" w:rsidTr="00273290">
        <w:trPr>
          <w:cantSplit/>
        </w:trPr>
        <w:tc>
          <w:tcPr>
            <w:tcW w:w="1590" w:type="pct"/>
            <w:tcBorders>
              <w:top w:val="single" w:sz="4" w:space="0" w:color="auto"/>
              <w:bottom w:val="single" w:sz="4" w:space="0" w:color="auto"/>
            </w:tcBorders>
          </w:tcPr>
          <w:p w14:paraId="38231226" w14:textId="77777777" w:rsidR="00196507" w:rsidRPr="00616B26" w:rsidRDefault="00196507" w:rsidP="00196507">
            <w:pPr>
              <w:pStyle w:val="Tabletext"/>
              <w:rPr>
                <w:snapToGrid w:val="0"/>
              </w:rPr>
            </w:pPr>
            <w:r w:rsidRPr="00616B26">
              <w:rPr>
                <w:snapToGrid w:val="0"/>
              </w:rPr>
              <w:t>3</w:t>
            </w:r>
          </w:p>
        </w:tc>
        <w:tc>
          <w:tcPr>
            <w:tcW w:w="1080" w:type="pct"/>
            <w:tcBorders>
              <w:top w:val="single" w:sz="4" w:space="0" w:color="auto"/>
              <w:bottom w:val="single" w:sz="4" w:space="0" w:color="auto"/>
            </w:tcBorders>
            <w:vAlign w:val="bottom"/>
          </w:tcPr>
          <w:p w14:paraId="347BFB58" w14:textId="77777777" w:rsidR="00196507" w:rsidRPr="000F120F" w:rsidRDefault="00196507" w:rsidP="00196507">
            <w:pPr>
              <w:pStyle w:val="Tabletext"/>
              <w:rPr>
                <w:snapToGrid w:val="0"/>
              </w:rPr>
            </w:pPr>
            <w:r w:rsidRPr="00295986">
              <w:t>0</w:t>
            </w:r>
            <w:r w:rsidR="00D7157D">
              <w:t>.</w:t>
            </w:r>
            <w:r w:rsidRPr="00295986">
              <w:t>840</w:t>
            </w:r>
          </w:p>
        </w:tc>
        <w:tc>
          <w:tcPr>
            <w:tcW w:w="1080" w:type="pct"/>
            <w:tcBorders>
              <w:top w:val="single" w:sz="4" w:space="0" w:color="auto"/>
              <w:bottom w:val="single" w:sz="4" w:space="0" w:color="auto"/>
            </w:tcBorders>
            <w:vAlign w:val="bottom"/>
          </w:tcPr>
          <w:p w14:paraId="13663A02" w14:textId="77777777" w:rsidR="00196507" w:rsidRPr="000F120F" w:rsidRDefault="00196507" w:rsidP="00196507">
            <w:pPr>
              <w:pStyle w:val="Tabletext"/>
              <w:rPr>
                <w:snapToGrid w:val="0"/>
              </w:rPr>
            </w:pPr>
            <w:r w:rsidRPr="00295986">
              <w:t>0</w:t>
            </w:r>
            <w:r w:rsidR="00D7157D">
              <w:t>.</w:t>
            </w:r>
            <w:r w:rsidRPr="00295986">
              <w:t>904</w:t>
            </w:r>
          </w:p>
        </w:tc>
        <w:tc>
          <w:tcPr>
            <w:tcW w:w="1250" w:type="pct"/>
            <w:tcBorders>
              <w:top w:val="single" w:sz="4" w:space="0" w:color="auto"/>
              <w:bottom w:val="single" w:sz="4" w:space="0" w:color="auto"/>
            </w:tcBorders>
            <w:vAlign w:val="bottom"/>
          </w:tcPr>
          <w:p w14:paraId="53CC2CCD"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938</w:t>
            </w:r>
          </w:p>
        </w:tc>
      </w:tr>
      <w:tr w:rsidR="00196507" w:rsidRPr="009E2595" w14:paraId="3C5B45E6" w14:textId="77777777" w:rsidTr="00273290">
        <w:trPr>
          <w:cantSplit/>
        </w:trPr>
        <w:tc>
          <w:tcPr>
            <w:tcW w:w="1590" w:type="pct"/>
            <w:tcBorders>
              <w:top w:val="single" w:sz="4" w:space="0" w:color="auto"/>
              <w:bottom w:val="single" w:sz="4" w:space="0" w:color="auto"/>
            </w:tcBorders>
          </w:tcPr>
          <w:p w14:paraId="4EF012E3" w14:textId="77777777" w:rsidR="00196507" w:rsidRPr="00616B26" w:rsidRDefault="00196507" w:rsidP="00196507">
            <w:pPr>
              <w:pStyle w:val="Tabletext"/>
              <w:rPr>
                <w:snapToGrid w:val="0"/>
              </w:rPr>
            </w:pPr>
            <w:r w:rsidRPr="00616B26">
              <w:rPr>
                <w:snapToGrid w:val="0"/>
              </w:rPr>
              <w:t>4</w:t>
            </w:r>
          </w:p>
        </w:tc>
        <w:tc>
          <w:tcPr>
            <w:tcW w:w="1080" w:type="pct"/>
            <w:tcBorders>
              <w:top w:val="single" w:sz="4" w:space="0" w:color="auto"/>
              <w:bottom w:val="single" w:sz="4" w:space="0" w:color="auto"/>
            </w:tcBorders>
            <w:vAlign w:val="bottom"/>
          </w:tcPr>
          <w:p w14:paraId="6B116E98" w14:textId="77777777" w:rsidR="00196507" w:rsidRPr="000F120F" w:rsidRDefault="00196507" w:rsidP="00196507">
            <w:pPr>
              <w:pStyle w:val="Tabletext"/>
              <w:rPr>
                <w:snapToGrid w:val="0"/>
              </w:rPr>
            </w:pPr>
            <w:r w:rsidRPr="00295986">
              <w:t>0</w:t>
            </w:r>
            <w:r w:rsidR="00D7157D">
              <w:t>.</w:t>
            </w:r>
            <w:r w:rsidRPr="00295986">
              <w:t>793</w:t>
            </w:r>
          </w:p>
        </w:tc>
        <w:tc>
          <w:tcPr>
            <w:tcW w:w="1080" w:type="pct"/>
            <w:tcBorders>
              <w:top w:val="single" w:sz="4" w:space="0" w:color="auto"/>
              <w:bottom w:val="single" w:sz="4" w:space="0" w:color="auto"/>
            </w:tcBorders>
            <w:vAlign w:val="bottom"/>
          </w:tcPr>
          <w:p w14:paraId="16CCBF26" w14:textId="77777777" w:rsidR="00196507" w:rsidRPr="000F120F" w:rsidRDefault="00196507" w:rsidP="00196507">
            <w:pPr>
              <w:pStyle w:val="Tabletext"/>
              <w:rPr>
                <w:snapToGrid w:val="0"/>
              </w:rPr>
            </w:pPr>
            <w:r w:rsidRPr="00295986">
              <w:t>0</w:t>
            </w:r>
            <w:r w:rsidR="00D7157D">
              <w:t>.</w:t>
            </w:r>
            <w:r w:rsidRPr="00295986">
              <w:t>875</w:t>
            </w:r>
          </w:p>
        </w:tc>
        <w:tc>
          <w:tcPr>
            <w:tcW w:w="1250" w:type="pct"/>
            <w:tcBorders>
              <w:top w:val="single" w:sz="4" w:space="0" w:color="auto"/>
              <w:bottom w:val="single" w:sz="4" w:space="0" w:color="auto"/>
            </w:tcBorders>
            <w:vAlign w:val="bottom"/>
          </w:tcPr>
          <w:p w14:paraId="47CDC71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918</w:t>
            </w:r>
          </w:p>
        </w:tc>
      </w:tr>
      <w:tr w:rsidR="00196507" w:rsidRPr="009E2595" w14:paraId="1DC214CF" w14:textId="77777777" w:rsidTr="00273290">
        <w:trPr>
          <w:cantSplit/>
        </w:trPr>
        <w:tc>
          <w:tcPr>
            <w:tcW w:w="1590" w:type="pct"/>
            <w:tcBorders>
              <w:top w:val="single" w:sz="4" w:space="0" w:color="auto"/>
              <w:bottom w:val="single" w:sz="4" w:space="0" w:color="auto"/>
            </w:tcBorders>
          </w:tcPr>
          <w:p w14:paraId="14955728" w14:textId="77777777" w:rsidR="00196507" w:rsidRPr="00616B26" w:rsidRDefault="00196507" w:rsidP="00196507">
            <w:pPr>
              <w:pStyle w:val="Tabletext"/>
              <w:rPr>
                <w:snapToGrid w:val="0"/>
              </w:rPr>
            </w:pPr>
            <w:r w:rsidRPr="00616B26">
              <w:rPr>
                <w:snapToGrid w:val="0"/>
              </w:rPr>
              <w:t>5</w:t>
            </w:r>
          </w:p>
        </w:tc>
        <w:tc>
          <w:tcPr>
            <w:tcW w:w="1080" w:type="pct"/>
            <w:tcBorders>
              <w:top w:val="single" w:sz="4" w:space="0" w:color="auto"/>
              <w:bottom w:val="single" w:sz="4" w:space="0" w:color="auto"/>
            </w:tcBorders>
            <w:vAlign w:val="bottom"/>
          </w:tcPr>
          <w:p w14:paraId="403D61C3" w14:textId="77777777" w:rsidR="00196507" w:rsidRPr="000F120F" w:rsidRDefault="00196507" w:rsidP="00196507">
            <w:pPr>
              <w:pStyle w:val="Tabletext"/>
              <w:rPr>
                <w:snapToGrid w:val="0"/>
              </w:rPr>
            </w:pPr>
            <w:r w:rsidRPr="00295986">
              <w:t>0</w:t>
            </w:r>
            <w:r w:rsidR="00D7157D">
              <w:t>.</w:t>
            </w:r>
            <w:r w:rsidRPr="00295986">
              <w:t>748</w:t>
            </w:r>
          </w:p>
        </w:tc>
        <w:tc>
          <w:tcPr>
            <w:tcW w:w="1080" w:type="pct"/>
            <w:tcBorders>
              <w:top w:val="single" w:sz="4" w:space="0" w:color="auto"/>
              <w:bottom w:val="single" w:sz="4" w:space="0" w:color="auto"/>
            </w:tcBorders>
            <w:vAlign w:val="bottom"/>
          </w:tcPr>
          <w:p w14:paraId="0DDC5394" w14:textId="77777777" w:rsidR="00196507" w:rsidRPr="000F120F" w:rsidRDefault="00196507" w:rsidP="00196507">
            <w:pPr>
              <w:pStyle w:val="Tabletext"/>
              <w:rPr>
                <w:snapToGrid w:val="0"/>
              </w:rPr>
            </w:pPr>
            <w:r w:rsidRPr="00295986">
              <w:t>0</w:t>
            </w:r>
            <w:r w:rsidR="00D7157D">
              <w:t>.</w:t>
            </w:r>
            <w:r w:rsidRPr="00295986">
              <w:t>846</w:t>
            </w:r>
          </w:p>
        </w:tc>
        <w:tc>
          <w:tcPr>
            <w:tcW w:w="1250" w:type="pct"/>
            <w:tcBorders>
              <w:top w:val="single" w:sz="4" w:space="0" w:color="auto"/>
              <w:bottom w:val="single" w:sz="4" w:space="0" w:color="auto"/>
            </w:tcBorders>
            <w:vAlign w:val="bottom"/>
          </w:tcPr>
          <w:p w14:paraId="587F112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899</w:t>
            </w:r>
          </w:p>
        </w:tc>
      </w:tr>
      <w:tr w:rsidR="00196507" w:rsidRPr="009E2595" w14:paraId="6DC888AE" w14:textId="77777777" w:rsidTr="00273290">
        <w:trPr>
          <w:cantSplit/>
        </w:trPr>
        <w:tc>
          <w:tcPr>
            <w:tcW w:w="1590" w:type="pct"/>
            <w:tcBorders>
              <w:top w:val="single" w:sz="4" w:space="0" w:color="auto"/>
              <w:bottom w:val="single" w:sz="4" w:space="0" w:color="auto"/>
            </w:tcBorders>
          </w:tcPr>
          <w:p w14:paraId="39A5048B" w14:textId="77777777" w:rsidR="00196507" w:rsidRPr="00616B26" w:rsidRDefault="00196507" w:rsidP="00196507">
            <w:pPr>
              <w:pStyle w:val="Tabletext"/>
              <w:rPr>
                <w:snapToGrid w:val="0"/>
              </w:rPr>
            </w:pPr>
            <w:r w:rsidRPr="00616B26">
              <w:rPr>
                <w:snapToGrid w:val="0"/>
              </w:rPr>
              <w:t>6</w:t>
            </w:r>
          </w:p>
        </w:tc>
        <w:tc>
          <w:tcPr>
            <w:tcW w:w="1080" w:type="pct"/>
            <w:tcBorders>
              <w:top w:val="single" w:sz="4" w:space="0" w:color="auto"/>
              <w:bottom w:val="single" w:sz="4" w:space="0" w:color="auto"/>
            </w:tcBorders>
            <w:vAlign w:val="bottom"/>
          </w:tcPr>
          <w:p w14:paraId="0AAC1CF2" w14:textId="77777777" w:rsidR="00196507" w:rsidRPr="000F120F" w:rsidRDefault="00196507" w:rsidP="00196507">
            <w:pPr>
              <w:pStyle w:val="Tabletext"/>
              <w:rPr>
                <w:snapToGrid w:val="0"/>
              </w:rPr>
            </w:pPr>
            <w:r w:rsidRPr="00295986">
              <w:t>0</w:t>
            </w:r>
            <w:r w:rsidR="00D7157D">
              <w:t>.</w:t>
            </w:r>
            <w:r w:rsidRPr="00295986">
              <w:t>706</w:t>
            </w:r>
          </w:p>
        </w:tc>
        <w:tc>
          <w:tcPr>
            <w:tcW w:w="1080" w:type="pct"/>
            <w:tcBorders>
              <w:top w:val="single" w:sz="4" w:space="0" w:color="auto"/>
              <w:bottom w:val="single" w:sz="4" w:space="0" w:color="auto"/>
            </w:tcBorders>
            <w:vAlign w:val="bottom"/>
          </w:tcPr>
          <w:p w14:paraId="07DF183B" w14:textId="77777777" w:rsidR="00196507" w:rsidRPr="000F120F" w:rsidRDefault="00196507" w:rsidP="00196507">
            <w:pPr>
              <w:pStyle w:val="Tabletext"/>
              <w:rPr>
                <w:snapToGrid w:val="0"/>
              </w:rPr>
            </w:pPr>
            <w:r w:rsidRPr="00295986">
              <w:t>0</w:t>
            </w:r>
            <w:r w:rsidR="00D7157D">
              <w:t>.</w:t>
            </w:r>
            <w:r w:rsidRPr="00295986">
              <w:t>818</w:t>
            </w:r>
          </w:p>
        </w:tc>
        <w:tc>
          <w:tcPr>
            <w:tcW w:w="1250" w:type="pct"/>
            <w:tcBorders>
              <w:top w:val="single" w:sz="4" w:space="0" w:color="auto"/>
              <w:bottom w:val="single" w:sz="4" w:space="0" w:color="auto"/>
            </w:tcBorders>
            <w:vAlign w:val="bottom"/>
          </w:tcPr>
          <w:p w14:paraId="14B13846"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880</w:t>
            </w:r>
          </w:p>
        </w:tc>
      </w:tr>
      <w:tr w:rsidR="00196507" w:rsidRPr="009E2595" w14:paraId="645C5B02" w14:textId="77777777" w:rsidTr="00273290">
        <w:trPr>
          <w:cantSplit/>
        </w:trPr>
        <w:tc>
          <w:tcPr>
            <w:tcW w:w="1590" w:type="pct"/>
            <w:tcBorders>
              <w:top w:val="single" w:sz="4" w:space="0" w:color="auto"/>
              <w:bottom w:val="single" w:sz="4" w:space="0" w:color="auto"/>
            </w:tcBorders>
          </w:tcPr>
          <w:p w14:paraId="41305E57" w14:textId="77777777" w:rsidR="00196507" w:rsidRPr="00616B26" w:rsidRDefault="00196507" w:rsidP="00196507">
            <w:pPr>
              <w:pStyle w:val="Tabletext"/>
              <w:rPr>
                <w:snapToGrid w:val="0"/>
              </w:rPr>
            </w:pPr>
            <w:r w:rsidRPr="00616B26">
              <w:rPr>
                <w:snapToGrid w:val="0"/>
              </w:rPr>
              <w:t>7</w:t>
            </w:r>
          </w:p>
        </w:tc>
        <w:tc>
          <w:tcPr>
            <w:tcW w:w="1080" w:type="pct"/>
            <w:tcBorders>
              <w:top w:val="single" w:sz="4" w:space="0" w:color="auto"/>
              <w:bottom w:val="single" w:sz="4" w:space="0" w:color="auto"/>
            </w:tcBorders>
            <w:vAlign w:val="bottom"/>
          </w:tcPr>
          <w:p w14:paraId="77A0156E" w14:textId="77777777" w:rsidR="00196507" w:rsidRPr="000F120F" w:rsidRDefault="00196507" w:rsidP="00196507">
            <w:pPr>
              <w:pStyle w:val="Tabletext"/>
              <w:rPr>
                <w:snapToGrid w:val="0"/>
              </w:rPr>
            </w:pPr>
            <w:r w:rsidRPr="00295986">
              <w:t>0</w:t>
            </w:r>
            <w:r w:rsidR="00D7157D">
              <w:t>.</w:t>
            </w:r>
            <w:r w:rsidRPr="00295986">
              <w:t>667</w:t>
            </w:r>
          </w:p>
        </w:tc>
        <w:tc>
          <w:tcPr>
            <w:tcW w:w="1080" w:type="pct"/>
            <w:tcBorders>
              <w:top w:val="single" w:sz="4" w:space="0" w:color="auto"/>
              <w:bottom w:val="single" w:sz="4" w:space="0" w:color="auto"/>
            </w:tcBorders>
            <w:vAlign w:val="bottom"/>
          </w:tcPr>
          <w:p w14:paraId="53631765" w14:textId="77777777" w:rsidR="00196507" w:rsidRPr="000F120F" w:rsidRDefault="00196507" w:rsidP="00196507">
            <w:pPr>
              <w:pStyle w:val="Tabletext"/>
              <w:rPr>
                <w:snapToGrid w:val="0"/>
              </w:rPr>
            </w:pPr>
            <w:r w:rsidRPr="00295986">
              <w:t>0</w:t>
            </w:r>
            <w:r w:rsidR="00D7157D">
              <w:t>.</w:t>
            </w:r>
            <w:r w:rsidRPr="00295986">
              <w:t>792</w:t>
            </w:r>
          </w:p>
        </w:tc>
        <w:tc>
          <w:tcPr>
            <w:tcW w:w="1250" w:type="pct"/>
            <w:tcBorders>
              <w:top w:val="single" w:sz="4" w:space="0" w:color="auto"/>
              <w:bottom w:val="single" w:sz="4" w:space="0" w:color="auto"/>
            </w:tcBorders>
            <w:vAlign w:val="bottom"/>
          </w:tcPr>
          <w:p w14:paraId="1B85500A"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861</w:t>
            </w:r>
          </w:p>
        </w:tc>
      </w:tr>
      <w:tr w:rsidR="00196507" w:rsidRPr="009E2595" w14:paraId="78840514" w14:textId="77777777" w:rsidTr="00273290">
        <w:trPr>
          <w:cantSplit/>
        </w:trPr>
        <w:tc>
          <w:tcPr>
            <w:tcW w:w="1590" w:type="pct"/>
            <w:tcBorders>
              <w:top w:val="single" w:sz="4" w:space="0" w:color="auto"/>
              <w:bottom w:val="single" w:sz="4" w:space="0" w:color="auto"/>
            </w:tcBorders>
          </w:tcPr>
          <w:p w14:paraId="461C5197" w14:textId="77777777" w:rsidR="00196507" w:rsidRPr="00616B26" w:rsidRDefault="00196507" w:rsidP="00196507">
            <w:pPr>
              <w:pStyle w:val="Tabletext"/>
              <w:rPr>
                <w:snapToGrid w:val="0"/>
              </w:rPr>
            </w:pPr>
            <w:r w:rsidRPr="00616B26">
              <w:rPr>
                <w:snapToGrid w:val="0"/>
              </w:rPr>
              <w:t>8</w:t>
            </w:r>
          </w:p>
        </w:tc>
        <w:tc>
          <w:tcPr>
            <w:tcW w:w="1080" w:type="pct"/>
            <w:tcBorders>
              <w:top w:val="single" w:sz="4" w:space="0" w:color="auto"/>
              <w:bottom w:val="single" w:sz="4" w:space="0" w:color="auto"/>
            </w:tcBorders>
            <w:vAlign w:val="bottom"/>
          </w:tcPr>
          <w:p w14:paraId="4772DCFB" w14:textId="77777777" w:rsidR="00196507" w:rsidRPr="000F120F" w:rsidRDefault="00196507" w:rsidP="00196507">
            <w:pPr>
              <w:pStyle w:val="Tabletext"/>
              <w:rPr>
                <w:snapToGrid w:val="0"/>
              </w:rPr>
            </w:pPr>
            <w:r w:rsidRPr="00295986">
              <w:t>0</w:t>
            </w:r>
            <w:r w:rsidR="00D7157D">
              <w:t>.</w:t>
            </w:r>
            <w:r w:rsidRPr="00295986">
              <w:t>630</w:t>
            </w:r>
          </w:p>
        </w:tc>
        <w:tc>
          <w:tcPr>
            <w:tcW w:w="1080" w:type="pct"/>
            <w:tcBorders>
              <w:top w:val="single" w:sz="4" w:space="0" w:color="auto"/>
              <w:bottom w:val="single" w:sz="4" w:space="0" w:color="auto"/>
            </w:tcBorders>
            <w:vAlign w:val="bottom"/>
          </w:tcPr>
          <w:p w14:paraId="1C945BD5" w14:textId="77777777" w:rsidR="00196507" w:rsidRPr="000F120F" w:rsidRDefault="00196507" w:rsidP="00196507">
            <w:pPr>
              <w:pStyle w:val="Tabletext"/>
              <w:rPr>
                <w:snapToGrid w:val="0"/>
              </w:rPr>
            </w:pPr>
            <w:r w:rsidRPr="00295986">
              <w:t>0</w:t>
            </w:r>
            <w:r w:rsidR="00D7157D">
              <w:t>.</w:t>
            </w:r>
            <w:r w:rsidRPr="00295986">
              <w:t>766</w:t>
            </w:r>
          </w:p>
        </w:tc>
        <w:tc>
          <w:tcPr>
            <w:tcW w:w="1250" w:type="pct"/>
            <w:tcBorders>
              <w:top w:val="single" w:sz="4" w:space="0" w:color="auto"/>
              <w:bottom w:val="single" w:sz="4" w:space="0" w:color="auto"/>
            </w:tcBorders>
            <w:vAlign w:val="bottom"/>
          </w:tcPr>
          <w:p w14:paraId="0293BB45"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843</w:t>
            </w:r>
          </w:p>
        </w:tc>
      </w:tr>
      <w:tr w:rsidR="00196507" w:rsidRPr="009E2595" w14:paraId="35E136C6" w14:textId="77777777" w:rsidTr="00273290">
        <w:trPr>
          <w:cantSplit/>
        </w:trPr>
        <w:tc>
          <w:tcPr>
            <w:tcW w:w="1590" w:type="pct"/>
            <w:tcBorders>
              <w:top w:val="single" w:sz="4" w:space="0" w:color="auto"/>
              <w:bottom w:val="single" w:sz="4" w:space="0" w:color="auto"/>
            </w:tcBorders>
          </w:tcPr>
          <w:p w14:paraId="7BC3C740" w14:textId="77777777" w:rsidR="00196507" w:rsidRPr="00616B26" w:rsidRDefault="00196507" w:rsidP="00196507">
            <w:pPr>
              <w:pStyle w:val="Tabletext"/>
              <w:rPr>
                <w:snapToGrid w:val="0"/>
              </w:rPr>
            </w:pPr>
            <w:r w:rsidRPr="00616B26">
              <w:rPr>
                <w:snapToGrid w:val="0"/>
              </w:rPr>
              <w:t>9</w:t>
            </w:r>
          </w:p>
        </w:tc>
        <w:tc>
          <w:tcPr>
            <w:tcW w:w="1080" w:type="pct"/>
            <w:tcBorders>
              <w:top w:val="single" w:sz="4" w:space="0" w:color="auto"/>
              <w:bottom w:val="single" w:sz="4" w:space="0" w:color="auto"/>
            </w:tcBorders>
            <w:vAlign w:val="bottom"/>
          </w:tcPr>
          <w:p w14:paraId="20BFE441" w14:textId="77777777" w:rsidR="00196507" w:rsidRPr="000F120F" w:rsidRDefault="00196507" w:rsidP="00196507">
            <w:pPr>
              <w:pStyle w:val="Tabletext"/>
              <w:rPr>
                <w:snapToGrid w:val="0"/>
              </w:rPr>
            </w:pPr>
            <w:r w:rsidRPr="00295986">
              <w:t>0</w:t>
            </w:r>
            <w:r w:rsidR="00D7157D">
              <w:t>.</w:t>
            </w:r>
            <w:r w:rsidRPr="00295986">
              <w:t>595</w:t>
            </w:r>
          </w:p>
        </w:tc>
        <w:tc>
          <w:tcPr>
            <w:tcW w:w="1080" w:type="pct"/>
            <w:tcBorders>
              <w:top w:val="single" w:sz="4" w:space="0" w:color="auto"/>
              <w:bottom w:val="single" w:sz="4" w:space="0" w:color="auto"/>
            </w:tcBorders>
            <w:vAlign w:val="bottom"/>
          </w:tcPr>
          <w:p w14:paraId="7CA44AC8" w14:textId="77777777" w:rsidR="00196507" w:rsidRPr="000F120F" w:rsidRDefault="00196507" w:rsidP="00196507">
            <w:pPr>
              <w:pStyle w:val="Tabletext"/>
              <w:rPr>
                <w:snapToGrid w:val="0"/>
              </w:rPr>
            </w:pPr>
            <w:r w:rsidRPr="00295986">
              <w:t>0</w:t>
            </w:r>
            <w:r w:rsidR="00D7157D">
              <w:t>.</w:t>
            </w:r>
            <w:r w:rsidRPr="00295986">
              <w:t>741</w:t>
            </w:r>
          </w:p>
        </w:tc>
        <w:tc>
          <w:tcPr>
            <w:tcW w:w="1250" w:type="pct"/>
            <w:tcBorders>
              <w:top w:val="single" w:sz="4" w:space="0" w:color="auto"/>
              <w:bottom w:val="single" w:sz="4" w:space="0" w:color="auto"/>
            </w:tcBorders>
            <w:vAlign w:val="bottom"/>
          </w:tcPr>
          <w:p w14:paraId="45D5CB3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826</w:t>
            </w:r>
          </w:p>
        </w:tc>
      </w:tr>
      <w:tr w:rsidR="00196507" w:rsidRPr="009E2595" w14:paraId="58AFCD43" w14:textId="77777777" w:rsidTr="00273290">
        <w:trPr>
          <w:cantSplit/>
        </w:trPr>
        <w:tc>
          <w:tcPr>
            <w:tcW w:w="1590" w:type="pct"/>
            <w:tcBorders>
              <w:top w:val="single" w:sz="4" w:space="0" w:color="auto"/>
              <w:bottom w:val="single" w:sz="4" w:space="0" w:color="auto"/>
            </w:tcBorders>
          </w:tcPr>
          <w:p w14:paraId="1BFF1C34" w14:textId="77777777" w:rsidR="00196507" w:rsidRPr="00616B26" w:rsidRDefault="00196507" w:rsidP="00196507">
            <w:pPr>
              <w:pStyle w:val="Tabletext"/>
              <w:rPr>
                <w:snapToGrid w:val="0"/>
              </w:rPr>
            </w:pPr>
            <w:r w:rsidRPr="00616B26">
              <w:rPr>
                <w:snapToGrid w:val="0"/>
              </w:rPr>
              <w:t>10</w:t>
            </w:r>
          </w:p>
        </w:tc>
        <w:tc>
          <w:tcPr>
            <w:tcW w:w="1080" w:type="pct"/>
            <w:tcBorders>
              <w:top w:val="single" w:sz="4" w:space="0" w:color="auto"/>
              <w:bottom w:val="single" w:sz="4" w:space="0" w:color="auto"/>
            </w:tcBorders>
            <w:vAlign w:val="bottom"/>
          </w:tcPr>
          <w:p w14:paraId="24E9BB4D" w14:textId="77777777" w:rsidR="00196507" w:rsidRPr="000F120F" w:rsidRDefault="00196507" w:rsidP="00196507">
            <w:pPr>
              <w:pStyle w:val="Tabletext"/>
              <w:rPr>
                <w:snapToGrid w:val="0"/>
              </w:rPr>
            </w:pPr>
            <w:r w:rsidRPr="00295986">
              <w:t>0</w:t>
            </w:r>
            <w:r w:rsidR="00D7157D">
              <w:t>.</w:t>
            </w:r>
            <w:r w:rsidRPr="00295986">
              <w:t>562</w:t>
            </w:r>
          </w:p>
        </w:tc>
        <w:tc>
          <w:tcPr>
            <w:tcW w:w="1080" w:type="pct"/>
            <w:tcBorders>
              <w:top w:val="single" w:sz="4" w:space="0" w:color="auto"/>
              <w:bottom w:val="single" w:sz="4" w:space="0" w:color="auto"/>
            </w:tcBorders>
            <w:vAlign w:val="bottom"/>
          </w:tcPr>
          <w:p w14:paraId="35C34C98" w14:textId="77777777" w:rsidR="00196507" w:rsidRPr="000F120F" w:rsidRDefault="00196507" w:rsidP="00196507">
            <w:pPr>
              <w:pStyle w:val="Tabletext"/>
              <w:rPr>
                <w:snapToGrid w:val="0"/>
              </w:rPr>
            </w:pPr>
            <w:r w:rsidRPr="00295986">
              <w:t>0</w:t>
            </w:r>
            <w:r w:rsidR="00D7157D">
              <w:t>.</w:t>
            </w:r>
            <w:r w:rsidRPr="00295986">
              <w:t>717</w:t>
            </w:r>
          </w:p>
        </w:tc>
        <w:tc>
          <w:tcPr>
            <w:tcW w:w="1250" w:type="pct"/>
            <w:tcBorders>
              <w:top w:val="single" w:sz="4" w:space="0" w:color="auto"/>
              <w:bottom w:val="single" w:sz="4" w:space="0" w:color="auto"/>
            </w:tcBorders>
            <w:vAlign w:val="bottom"/>
          </w:tcPr>
          <w:p w14:paraId="205E31F8"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809</w:t>
            </w:r>
          </w:p>
        </w:tc>
      </w:tr>
      <w:tr w:rsidR="00196507" w:rsidRPr="009E2595" w14:paraId="6B6F17D9" w14:textId="77777777" w:rsidTr="00273290">
        <w:trPr>
          <w:cantSplit/>
        </w:trPr>
        <w:tc>
          <w:tcPr>
            <w:tcW w:w="1590" w:type="pct"/>
            <w:tcBorders>
              <w:top w:val="single" w:sz="4" w:space="0" w:color="auto"/>
              <w:bottom w:val="single" w:sz="4" w:space="0" w:color="auto"/>
            </w:tcBorders>
          </w:tcPr>
          <w:p w14:paraId="6B6258D5" w14:textId="77777777" w:rsidR="00196507" w:rsidRPr="00616B26" w:rsidRDefault="00196507" w:rsidP="00196507">
            <w:pPr>
              <w:pStyle w:val="Tabletext"/>
              <w:rPr>
                <w:snapToGrid w:val="0"/>
              </w:rPr>
            </w:pPr>
            <w:r w:rsidRPr="00616B26">
              <w:rPr>
                <w:snapToGrid w:val="0"/>
              </w:rPr>
              <w:t>11</w:t>
            </w:r>
          </w:p>
        </w:tc>
        <w:tc>
          <w:tcPr>
            <w:tcW w:w="1080" w:type="pct"/>
            <w:tcBorders>
              <w:top w:val="single" w:sz="4" w:space="0" w:color="auto"/>
              <w:bottom w:val="single" w:sz="4" w:space="0" w:color="auto"/>
            </w:tcBorders>
            <w:vAlign w:val="bottom"/>
          </w:tcPr>
          <w:p w14:paraId="36F6C6E2" w14:textId="77777777" w:rsidR="00196507" w:rsidRPr="000F120F" w:rsidRDefault="00196507" w:rsidP="00196507">
            <w:pPr>
              <w:pStyle w:val="Tabletext"/>
              <w:rPr>
                <w:snapToGrid w:val="0"/>
              </w:rPr>
            </w:pPr>
            <w:r w:rsidRPr="00295986">
              <w:t>0</w:t>
            </w:r>
            <w:r w:rsidR="00D7157D">
              <w:t>.</w:t>
            </w:r>
            <w:r w:rsidRPr="00295986">
              <w:t>531</w:t>
            </w:r>
          </w:p>
        </w:tc>
        <w:tc>
          <w:tcPr>
            <w:tcW w:w="1080" w:type="pct"/>
            <w:tcBorders>
              <w:top w:val="single" w:sz="4" w:space="0" w:color="auto"/>
              <w:bottom w:val="single" w:sz="4" w:space="0" w:color="auto"/>
            </w:tcBorders>
            <w:vAlign w:val="bottom"/>
          </w:tcPr>
          <w:p w14:paraId="3438AE55" w14:textId="77777777" w:rsidR="00196507" w:rsidRPr="000F120F" w:rsidRDefault="00196507" w:rsidP="00196507">
            <w:pPr>
              <w:pStyle w:val="Tabletext"/>
              <w:rPr>
                <w:snapToGrid w:val="0"/>
              </w:rPr>
            </w:pPr>
            <w:r w:rsidRPr="00295986">
              <w:t>0</w:t>
            </w:r>
            <w:r w:rsidR="00D7157D">
              <w:t>.</w:t>
            </w:r>
            <w:r w:rsidRPr="00295986">
              <w:t>694</w:t>
            </w:r>
          </w:p>
        </w:tc>
        <w:tc>
          <w:tcPr>
            <w:tcW w:w="1250" w:type="pct"/>
            <w:tcBorders>
              <w:top w:val="single" w:sz="4" w:space="0" w:color="auto"/>
              <w:bottom w:val="single" w:sz="4" w:space="0" w:color="auto"/>
            </w:tcBorders>
            <w:vAlign w:val="bottom"/>
          </w:tcPr>
          <w:p w14:paraId="7D84D1B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792</w:t>
            </w:r>
          </w:p>
        </w:tc>
      </w:tr>
      <w:tr w:rsidR="00196507" w:rsidRPr="009E2595" w14:paraId="1013F823" w14:textId="77777777" w:rsidTr="00273290">
        <w:trPr>
          <w:cantSplit/>
        </w:trPr>
        <w:tc>
          <w:tcPr>
            <w:tcW w:w="1590" w:type="pct"/>
            <w:tcBorders>
              <w:top w:val="single" w:sz="4" w:space="0" w:color="auto"/>
              <w:bottom w:val="single" w:sz="4" w:space="0" w:color="auto"/>
            </w:tcBorders>
          </w:tcPr>
          <w:p w14:paraId="1FF2D818" w14:textId="77777777" w:rsidR="00196507" w:rsidRPr="00616B26" w:rsidRDefault="00196507" w:rsidP="00196507">
            <w:pPr>
              <w:pStyle w:val="Tabletext"/>
              <w:rPr>
                <w:snapToGrid w:val="0"/>
              </w:rPr>
            </w:pPr>
            <w:r w:rsidRPr="00616B26">
              <w:rPr>
                <w:snapToGrid w:val="0"/>
              </w:rPr>
              <w:t>12</w:t>
            </w:r>
          </w:p>
        </w:tc>
        <w:tc>
          <w:tcPr>
            <w:tcW w:w="1080" w:type="pct"/>
            <w:tcBorders>
              <w:top w:val="single" w:sz="4" w:space="0" w:color="auto"/>
              <w:bottom w:val="single" w:sz="4" w:space="0" w:color="auto"/>
            </w:tcBorders>
            <w:vAlign w:val="bottom"/>
          </w:tcPr>
          <w:p w14:paraId="4258D8BA" w14:textId="77777777" w:rsidR="00196507" w:rsidRPr="000F120F" w:rsidRDefault="00196507" w:rsidP="00196507">
            <w:pPr>
              <w:pStyle w:val="Tabletext"/>
              <w:rPr>
                <w:snapToGrid w:val="0"/>
              </w:rPr>
            </w:pPr>
            <w:r w:rsidRPr="00295986">
              <w:t>0</w:t>
            </w:r>
            <w:r w:rsidR="00D7157D">
              <w:t>.</w:t>
            </w:r>
            <w:r w:rsidRPr="00295986">
              <w:t>502</w:t>
            </w:r>
          </w:p>
        </w:tc>
        <w:tc>
          <w:tcPr>
            <w:tcW w:w="1080" w:type="pct"/>
            <w:tcBorders>
              <w:top w:val="single" w:sz="4" w:space="0" w:color="auto"/>
              <w:bottom w:val="single" w:sz="4" w:space="0" w:color="auto"/>
            </w:tcBorders>
            <w:vAlign w:val="bottom"/>
          </w:tcPr>
          <w:p w14:paraId="657F2066" w14:textId="77777777" w:rsidR="00196507" w:rsidRPr="000F120F" w:rsidRDefault="00196507" w:rsidP="00196507">
            <w:pPr>
              <w:pStyle w:val="Tabletext"/>
              <w:rPr>
                <w:snapToGrid w:val="0"/>
              </w:rPr>
            </w:pPr>
            <w:r w:rsidRPr="00295986">
              <w:t>0</w:t>
            </w:r>
            <w:r w:rsidR="00D7157D">
              <w:t>.</w:t>
            </w:r>
            <w:r w:rsidRPr="00295986">
              <w:t>672</w:t>
            </w:r>
          </w:p>
        </w:tc>
        <w:tc>
          <w:tcPr>
            <w:tcW w:w="1250" w:type="pct"/>
            <w:tcBorders>
              <w:top w:val="single" w:sz="4" w:space="0" w:color="auto"/>
              <w:bottom w:val="single" w:sz="4" w:space="0" w:color="auto"/>
            </w:tcBorders>
            <w:vAlign w:val="bottom"/>
          </w:tcPr>
          <w:p w14:paraId="590AD82C"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775</w:t>
            </w:r>
          </w:p>
        </w:tc>
      </w:tr>
      <w:tr w:rsidR="00196507" w:rsidRPr="009E2595" w14:paraId="6438637A" w14:textId="77777777" w:rsidTr="00273290">
        <w:trPr>
          <w:cantSplit/>
        </w:trPr>
        <w:tc>
          <w:tcPr>
            <w:tcW w:w="1590" w:type="pct"/>
            <w:tcBorders>
              <w:top w:val="single" w:sz="4" w:space="0" w:color="auto"/>
              <w:bottom w:val="single" w:sz="4" w:space="0" w:color="auto"/>
            </w:tcBorders>
          </w:tcPr>
          <w:p w14:paraId="69231C9F" w14:textId="77777777" w:rsidR="00196507" w:rsidRPr="00616B26" w:rsidRDefault="00196507" w:rsidP="00196507">
            <w:pPr>
              <w:pStyle w:val="Tabletext"/>
              <w:rPr>
                <w:snapToGrid w:val="0"/>
              </w:rPr>
            </w:pPr>
            <w:r w:rsidRPr="00616B26">
              <w:rPr>
                <w:snapToGrid w:val="0"/>
              </w:rPr>
              <w:t>13</w:t>
            </w:r>
          </w:p>
        </w:tc>
        <w:tc>
          <w:tcPr>
            <w:tcW w:w="1080" w:type="pct"/>
            <w:tcBorders>
              <w:top w:val="single" w:sz="4" w:space="0" w:color="auto"/>
              <w:bottom w:val="single" w:sz="4" w:space="0" w:color="auto"/>
            </w:tcBorders>
            <w:vAlign w:val="bottom"/>
          </w:tcPr>
          <w:p w14:paraId="030DEBAA" w14:textId="77777777" w:rsidR="00196507" w:rsidRPr="000F120F" w:rsidRDefault="00196507" w:rsidP="00196507">
            <w:pPr>
              <w:pStyle w:val="Tabletext"/>
              <w:rPr>
                <w:snapToGrid w:val="0"/>
              </w:rPr>
            </w:pPr>
            <w:r w:rsidRPr="00295986">
              <w:t>0</w:t>
            </w:r>
            <w:r w:rsidR="00D7157D">
              <w:t>.</w:t>
            </w:r>
            <w:r w:rsidRPr="00295986">
              <w:t>474</w:t>
            </w:r>
          </w:p>
        </w:tc>
        <w:tc>
          <w:tcPr>
            <w:tcW w:w="1080" w:type="pct"/>
            <w:tcBorders>
              <w:top w:val="single" w:sz="4" w:space="0" w:color="auto"/>
              <w:bottom w:val="single" w:sz="4" w:space="0" w:color="auto"/>
            </w:tcBorders>
            <w:vAlign w:val="bottom"/>
          </w:tcPr>
          <w:p w14:paraId="48167B73" w14:textId="77777777" w:rsidR="00196507" w:rsidRPr="000F120F" w:rsidRDefault="00196507" w:rsidP="00196507">
            <w:pPr>
              <w:pStyle w:val="Tabletext"/>
              <w:rPr>
                <w:snapToGrid w:val="0"/>
              </w:rPr>
            </w:pPr>
            <w:r w:rsidRPr="00295986">
              <w:t>0</w:t>
            </w:r>
            <w:r w:rsidR="00D7157D">
              <w:t>.</w:t>
            </w:r>
            <w:r w:rsidRPr="00295986">
              <w:t>650</w:t>
            </w:r>
          </w:p>
        </w:tc>
        <w:tc>
          <w:tcPr>
            <w:tcW w:w="1250" w:type="pct"/>
            <w:tcBorders>
              <w:top w:val="single" w:sz="4" w:space="0" w:color="auto"/>
              <w:bottom w:val="single" w:sz="4" w:space="0" w:color="auto"/>
            </w:tcBorders>
            <w:vAlign w:val="bottom"/>
          </w:tcPr>
          <w:p w14:paraId="218AC871"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760</w:t>
            </w:r>
          </w:p>
        </w:tc>
      </w:tr>
      <w:tr w:rsidR="00196507" w:rsidRPr="009E2595" w14:paraId="17FB1FD5" w14:textId="77777777" w:rsidTr="00273290">
        <w:trPr>
          <w:cantSplit/>
        </w:trPr>
        <w:tc>
          <w:tcPr>
            <w:tcW w:w="1590" w:type="pct"/>
            <w:tcBorders>
              <w:top w:val="single" w:sz="4" w:space="0" w:color="auto"/>
              <w:bottom w:val="single" w:sz="4" w:space="0" w:color="auto"/>
            </w:tcBorders>
          </w:tcPr>
          <w:p w14:paraId="624D23A6" w14:textId="77777777" w:rsidR="00196507" w:rsidRPr="00616B26" w:rsidRDefault="00196507" w:rsidP="00196507">
            <w:pPr>
              <w:pStyle w:val="Tabletext"/>
              <w:rPr>
                <w:snapToGrid w:val="0"/>
              </w:rPr>
            </w:pPr>
            <w:r w:rsidRPr="00616B26">
              <w:rPr>
                <w:snapToGrid w:val="0"/>
              </w:rPr>
              <w:t>14</w:t>
            </w:r>
          </w:p>
        </w:tc>
        <w:tc>
          <w:tcPr>
            <w:tcW w:w="1080" w:type="pct"/>
            <w:tcBorders>
              <w:top w:val="single" w:sz="4" w:space="0" w:color="auto"/>
              <w:bottom w:val="single" w:sz="4" w:space="0" w:color="auto"/>
            </w:tcBorders>
            <w:vAlign w:val="bottom"/>
          </w:tcPr>
          <w:p w14:paraId="445D7976" w14:textId="77777777" w:rsidR="00196507" w:rsidRPr="000F120F" w:rsidRDefault="00196507" w:rsidP="00196507">
            <w:pPr>
              <w:pStyle w:val="Tabletext"/>
              <w:rPr>
                <w:snapToGrid w:val="0"/>
              </w:rPr>
            </w:pPr>
            <w:r w:rsidRPr="00295986">
              <w:t>0</w:t>
            </w:r>
            <w:r w:rsidR="00D7157D">
              <w:t>.</w:t>
            </w:r>
            <w:r w:rsidRPr="00295986">
              <w:t>449</w:t>
            </w:r>
          </w:p>
        </w:tc>
        <w:tc>
          <w:tcPr>
            <w:tcW w:w="1080" w:type="pct"/>
            <w:tcBorders>
              <w:top w:val="single" w:sz="4" w:space="0" w:color="auto"/>
              <w:bottom w:val="single" w:sz="4" w:space="0" w:color="auto"/>
            </w:tcBorders>
            <w:vAlign w:val="bottom"/>
          </w:tcPr>
          <w:p w14:paraId="51097BC2" w14:textId="77777777" w:rsidR="00196507" w:rsidRPr="000F120F" w:rsidRDefault="00196507" w:rsidP="00196507">
            <w:pPr>
              <w:pStyle w:val="Tabletext"/>
              <w:rPr>
                <w:snapToGrid w:val="0"/>
              </w:rPr>
            </w:pPr>
            <w:r w:rsidRPr="00295986">
              <w:t>0</w:t>
            </w:r>
            <w:r w:rsidR="00D7157D">
              <w:t>.</w:t>
            </w:r>
            <w:r w:rsidRPr="00295986">
              <w:t>630</w:t>
            </w:r>
          </w:p>
        </w:tc>
        <w:tc>
          <w:tcPr>
            <w:tcW w:w="1250" w:type="pct"/>
            <w:tcBorders>
              <w:top w:val="single" w:sz="4" w:space="0" w:color="auto"/>
              <w:bottom w:val="single" w:sz="4" w:space="0" w:color="auto"/>
            </w:tcBorders>
            <w:vAlign w:val="bottom"/>
          </w:tcPr>
          <w:p w14:paraId="73DD9DC9"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744</w:t>
            </w:r>
          </w:p>
        </w:tc>
      </w:tr>
      <w:tr w:rsidR="00196507" w:rsidRPr="009E2595" w14:paraId="2C0E7F7E" w14:textId="77777777" w:rsidTr="00273290">
        <w:trPr>
          <w:cantSplit/>
        </w:trPr>
        <w:tc>
          <w:tcPr>
            <w:tcW w:w="1590" w:type="pct"/>
            <w:tcBorders>
              <w:top w:val="single" w:sz="4" w:space="0" w:color="auto"/>
              <w:bottom w:val="single" w:sz="4" w:space="0" w:color="auto"/>
            </w:tcBorders>
          </w:tcPr>
          <w:p w14:paraId="1800F2F1" w14:textId="77777777" w:rsidR="00196507" w:rsidRPr="00616B26" w:rsidRDefault="00196507" w:rsidP="00196507">
            <w:pPr>
              <w:pStyle w:val="Tabletext"/>
              <w:rPr>
                <w:snapToGrid w:val="0"/>
              </w:rPr>
            </w:pPr>
            <w:r w:rsidRPr="00616B26">
              <w:rPr>
                <w:snapToGrid w:val="0"/>
              </w:rPr>
              <w:t>15</w:t>
            </w:r>
          </w:p>
        </w:tc>
        <w:tc>
          <w:tcPr>
            <w:tcW w:w="1080" w:type="pct"/>
            <w:tcBorders>
              <w:top w:val="single" w:sz="4" w:space="0" w:color="auto"/>
              <w:bottom w:val="single" w:sz="4" w:space="0" w:color="auto"/>
            </w:tcBorders>
            <w:vAlign w:val="bottom"/>
          </w:tcPr>
          <w:p w14:paraId="7774C2BE" w14:textId="77777777" w:rsidR="00196507" w:rsidRPr="000F120F" w:rsidRDefault="00196507" w:rsidP="00196507">
            <w:pPr>
              <w:pStyle w:val="Tabletext"/>
              <w:rPr>
                <w:snapToGrid w:val="0"/>
              </w:rPr>
            </w:pPr>
            <w:r w:rsidRPr="00295986">
              <w:t>0</w:t>
            </w:r>
            <w:r w:rsidR="00D7157D">
              <w:t>.</w:t>
            </w:r>
            <w:r w:rsidRPr="00295986">
              <w:t>424</w:t>
            </w:r>
          </w:p>
        </w:tc>
        <w:tc>
          <w:tcPr>
            <w:tcW w:w="1080" w:type="pct"/>
            <w:tcBorders>
              <w:top w:val="single" w:sz="4" w:space="0" w:color="auto"/>
              <w:bottom w:val="single" w:sz="4" w:space="0" w:color="auto"/>
            </w:tcBorders>
            <w:vAlign w:val="bottom"/>
          </w:tcPr>
          <w:p w14:paraId="555FDFE5" w14:textId="77777777" w:rsidR="00196507" w:rsidRPr="000F120F" w:rsidRDefault="00196507" w:rsidP="00196507">
            <w:pPr>
              <w:pStyle w:val="Tabletext"/>
              <w:rPr>
                <w:snapToGrid w:val="0"/>
              </w:rPr>
            </w:pPr>
            <w:r w:rsidRPr="00295986">
              <w:t>0</w:t>
            </w:r>
            <w:r w:rsidR="00D7157D">
              <w:t>.</w:t>
            </w:r>
            <w:r w:rsidRPr="00295986">
              <w:t>610</w:t>
            </w:r>
          </w:p>
        </w:tc>
        <w:tc>
          <w:tcPr>
            <w:tcW w:w="1250" w:type="pct"/>
            <w:tcBorders>
              <w:top w:val="single" w:sz="4" w:space="0" w:color="auto"/>
              <w:bottom w:val="single" w:sz="4" w:space="0" w:color="auto"/>
            </w:tcBorders>
            <w:vAlign w:val="bottom"/>
          </w:tcPr>
          <w:p w14:paraId="5A1D2B2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729</w:t>
            </w:r>
          </w:p>
        </w:tc>
      </w:tr>
      <w:tr w:rsidR="00196507" w:rsidRPr="009E2595" w14:paraId="33268129" w14:textId="77777777" w:rsidTr="00273290">
        <w:trPr>
          <w:cantSplit/>
        </w:trPr>
        <w:tc>
          <w:tcPr>
            <w:tcW w:w="1590" w:type="pct"/>
            <w:tcBorders>
              <w:top w:val="single" w:sz="4" w:space="0" w:color="auto"/>
              <w:bottom w:val="single" w:sz="4" w:space="0" w:color="auto"/>
            </w:tcBorders>
          </w:tcPr>
          <w:p w14:paraId="433DE14F" w14:textId="77777777" w:rsidR="00196507" w:rsidRPr="00616B26" w:rsidRDefault="00196507" w:rsidP="00196507">
            <w:pPr>
              <w:pStyle w:val="Tabletext"/>
              <w:rPr>
                <w:snapToGrid w:val="0"/>
              </w:rPr>
            </w:pPr>
            <w:r w:rsidRPr="00616B26">
              <w:rPr>
                <w:snapToGrid w:val="0"/>
              </w:rPr>
              <w:t>16</w:t>
            </w:r>
          </w:p>
        </w:tc>
        <w:tc>
          <w:tcPr>
            <w:tcW w:w="1080" w:type="pct"/>
            <w:tcBorders>
              <w:top w:val="single" w:sz="4" w:space="0" w:color="auto"/>
              <w:bottom w:val="single" w:sz="4" w:space="0" w:color="auto"/>
            </w:tcBorders>
            <w:vAlign w:val="bottom"/>
          </w:tcPr>
          <w:p w14:paraId="37F97A0D" w14:textId="77777777" w:rsidR="00196507" w:rsidRPr="000F120F" w:rsidRDefault="00196507" w:rsidP="00196507">
            <w:pPr>
              <w:pStyle w:val="Tabletext"/>
              <w:rPr>
                <w:snapToGrid w:val="0"/>
              </w:rPr>
            </w:pPr>
            <w:r w:rsidRPr="00295986">
              <w:t>0</w:t>
            </w:r>
            <w:r w:rsidR="00D7157D">
              <w:t>.</w:t>
            </w:r>
            <w:r w:rsidRPr="00295986">
              <w:t>402</w:t>
            </w:r>
          </w:p>
        </w:tc>
        <w:tc>
          <w:tcPr>
            <w:tcW w:w="1080" w:type="pct"/>
            <w:tcBorders>
              <w:top w:val="single" w:sz="4" w:space="0" w:color="auto"/>
              <w:bottom w:val="single" w:sz="4" w:space="0" w:color="auto"/>
            </w:tcBorders>
            <w:vAlign w:val="bottom"/>
          </w:tcPr>
          <w:p w14:paraId="78CC2334" w14:textId="77777777" w:rsidR="00196507" w:rsidRPr="000F120F" w:rsidRDefault="00196507" w:rsidP="00196507">
            <w:pPr>
              <w:pStyle w:val="Tabletext"/>
              <w:rPr>
                <w:snapToGrid w:val="0"/>
              </w:rPr>
            </w:pPr>
            <w:r w:rsidRPr="00295986">
              <w:t>0</w:t>
            </w:r>
            <w:r w:rsidR="00D7157D">
              <w:t>.</w:t>
            </w:r>
            <w:r w:rsidRPr="00295986">
              <w:t>591</w:t>
            </w:r>
          </w:p>
        </w:tc>
        <w:tc>
          <w:tcPr>
            <w:tcW w:w="1250" w:type="pct"/>
            <w:tcBorders>
              <w:top w:val="single" w:sz="4" w:space="0" w:color="auto"/>
              <w:bottom w:val="single" w:sz="4" w:space="0" w:color="auto"/>
            </w:tcBorders>
            <w:vAlign w:val="bottom"/>
          </w:tcPr>
          <w:p w14:paraId="4A6F83F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714</w:t>
            </w:r>
          </w:p>
        </w:tc>
      </w:tr>
      <w:tr w:rsidR="00196507" w:rsidRPr="009E2595" w14:paraId="45E90087" w14:textId="77777777" w:rsidTr="00273290">
        <w:trPr>
          <w:cantSplit/>
        </w:trPr>
        <w:tc>
          <w:tcPr>
            <w:tcW w:w="1590" w:type="pct"/>
            <w:tcBorders>
              <w:top w:val="single" w:sz="4" w:space="0" w:color="auto"/>
              <w:bottom w:val="single" w:sz="4" w:space="0" w:color="auto"/>
            </w:tcBorders>
          </w:tcPr>
          <w:p w14:paraId="6735C0FB" w14:textId="77777777" w:rsidR="00196507" w:rsidRPr="00616B26" w:rsidRDefault="00196507" w:rsidP="00196507">
            <w:pPr>
              <w:pStyle w:val="Tabletext"/>
              <w:rPr>
                <w:snapToGrid w:val="0"/>
              </w:rPr>
            </w:pPr>
            <w:r w:rsidRPr="00616B26">
              <w:rPr>
                <w:snapToGrid w:val="0"/>
              </w:rPr>
              <w:t>17</w:t>
            </w:r>
          </w:p>
        </w:tc>
        <w:tc>
          <w:tcPr>
            <w:tcW w:w="1080" w:type="pct"/>
            <w:tcBorders>
              <w:top w:val="single" w:sz="4" w:space="0" w:color="auto"/>
              <w:bottom w:val="single" w:sz="4" w:space="0" w:color="auto"/>
            </w:tcBorders>
            <w:vAlign w:val="bottom"/>
          </w:tcPr>
          <w:p w14:paraId="14395B24" w14:textId="77777777" w:rsidR="00196507" w:rsidRPr="000F120F" w:rsidRDefault="00196507" w:rsidP="00196507">
            <w:pPr>
              <w:pStyle w:val="Tabletext"/>
              <w:rPr>
                <w:snapToGrid w:val="0"/>
              </w:rPr>
            </w:pPr>
            <w:r w:rsidRPr="00295986">
              <w:t>0</w:t>
            </w:r>
            <w:r w:rsidR="00D7157D">
              <w:t>.</w:t>
            </w:r>
            <w:r w:rsidRPr="00295986">
              <w:t>381</w:t>
            </w:r>
          </w:p>
        </w:tc>
        <w:tc>
          <w:tcPr>
            <w:tcW w:w="1080" w:type="pct"/>
            <w:tcBorders>
              <w:top w:val="single" w:sz="4" w:space="0" w:color="auto"/>
              <w:bottom w:val="single" w:sz="4" w:space="0" w:color="auto"/>
            </w:tcBorders>
            <w:vAlign w:val="bottom"/>
          </w:tcPr>
          <w:p w14:paraId="776A3483" w14:textId="77777777" w:rsidR="00196507" w:rsidRPr="000F120F" w:rsidRDefault="00196507" w:rsidP="00196507">
            <w:pPr>
              <w:pStyle w:val="Tabletext"/>
              <w:rPr>
                <w:snapToGrid w:val="0"/>
              </w:rPr>
            </w:pPr>
            <w:r w:rsidRPr="00295986">
              <w:t>0</w:t>
            </w:r>
            <w:r w:rsidR="00D7157D">
              <w:t>.</w:t>
            </w:r>
            <w:r w:rsidRPr="00295986">
              <w:t>572</w:t>
            </w:r>
          </w:p>
        </w:tc>
        <w:tc>
          <w:tcPr>
            <w:tcW w:w="1250" w:type="pct"/>
            <w:tcBorders>
              <w:top w:val="single" w:sz="4" w:space="0" w:color="auto"/>
              <w:bottom w:val="single" w:sz="4" w:space="0" w:color="auto"/>
            </w:tcBorders>
            <w:vAlign w:val="bottom"/>
          </w:tcPr>
          <w:p w14:paraId="406D8DE2"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700</w:t>
            </w:r>
          </w:p>
        </w:tc>
      </w:tr>
      <w:tr w:rsidR="00196507" w:rsidRPr="009E2595" w14:paraId="6ED85CA8" w14:textId="77777777" w:rsidTr="00273290">
        <w:trPr>
          <w:cantSplit/>
        </w:trPr>
        <w:tc>
          <w:tcPr>
            <w:tcW w:w="1590" w:type="pct"/>
            <w:tcBorders>
              <w:top w:val="single" w:sz="4" w:space="0" w:color="auto"/>
              <w:bottom w:val="single" w:sz="4" w:space="0" w:color="auto"/>
            </w:tcBorders>
          </w:tcPr>
          <w:p w14:paraId="16C60453" w14:textId="77777777" w:rsidR="00196507" w:rsidRPr="00616B26" w:rsidRDefault="00196507" w:rsidP="00196507">
            <w:pPr>
              <w:pStyle w:val="Tabletext"/>
              <w:rPr>
                <w:snapToGrid w:val="0"/>
              </w:rPr>
            </w:pPr>
            <w:r w:rsidRPr="00616B26">
              <w:rPr>
                <w:snapToGrid w:val="0"/>
              </w:rPr>
              <w:t>18</w:t>
            </w:r>
          </w:p>
        </w:tc>
        <w:tc>
          <w:tcPr>
            <w:tcW w:w="1080" w:type="pct"/>
            <w:tcBorders>
              <w:top w:val="single" w:sz="4" w:space="0" w:color="auto"/>
              <w:bottom w:val="single" w:sz="4" w:space="0" w:color="auto"/>
            </w:tcBorders>
            <w:vAlign w:val="bottom"/>
          </w:tcPr>
          <w:p w14:paraId="45A0B05B" w14:textId="77777777" w:rsidR="00196507" w:rsidRPr="000F120F" w:rsidRDefault="00196507" w:rsidP="00196507">
            <w:pPr>
              <w:pStyle w:val="Tabletext"/>
              <w:rPr>
                <w:snapToGrid w:val="0"/>
              </w:rPr>
            </w:pPr>
            <w:r w:rsidRPr="00295986">
              <w:t>0</w:t>
            </w:r>
            <w:r w:rsidR="00D7157D">
              <w:t>.</w:t>
            </w:r>
            <w:r w:rsidRPr="00295986">
              <w:t>361</w:t>
            </w:r>
          </w:p>
        </w:tc>
        <w:tc>
          <w:tcPr>
            <w:tcW w:w="1080" w:type="pct"/>
            <w:tcBorders>
              <w:top w:val="single" w:sz="4" w:space="0" w:color="auto"/>
              <w:bottom w:val="single" w:sz="4" w:space="0" w:color="auto"/>
            </w:tcBorders>
            <w:vAlign w:val="bottom"/>
          </w:tcPr>
          <w:p w14:paraId="409A627C" w14:textId="77777777" w:rsidR="00196507" w:rsidRPr="000F120F" w:rsidRDefault="00196507" w:rsidP="00196507">
            <w:pPr>
              <w:pStyle w:val="Tabletext"/>
              <w:rPr>
                <w:snapToGrid w:val="0"/>
              </w:rPr>
            </w:pPr>
            <w:r w:rsidRPr="00295986">
              <w:t>0</w:t>
            </w:r>
            <w:r w:rsidR="00D7157D">
              <w:t>.</w:t>
            </w:r>
            <w:r w:rsidRPr="00295986">
              <w:t>555</w:t>
            </w:r>
          </w:p>
        </w:tc>
        <w:tc>
          <w:tcPr>
            <w:tcW w:w="1250" w:type="pct"/>
            <w:tcBorders>
              <w:top w:val="single" w:sz="4" w:space="0" w:color="auto"/>
              <w:bottom w:val="single" w:sz="4" w:space="0" w:color="auto"/>
            </w:tcBorders>
            <w:vAlign w:val="bottom"/>
          </w:tcPr>
          <w:p w14:paraId="7DC0F733"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686</w:t>
            </w:r>
          </w:p>
        </w:tc>
      </w:tr>
      <w:tr w:rsidR="00196507" w:rsidRPr="009E2595" w14:paraId="54879ACB" w14:textId="77777777" w:rsidTr="00273290">
        <w:trPr>
          <w:cantSplit/>
        </w:trPr>
        <w:tc>
          <w:tcPr>
            <w:tcW w:w="1590" w:type="pct"/>
            <w:tcBorders>
              <w:top w:val="single" w:sz="4" w:space="0" w:color="auto"/>
              <w:bottom w:val="single" w:sz="4" w:space="0" w:color="auto"/>
            </w:tcBorders>
          </w:tcPr>
          <w:p w14:paraId="7D67800E" w14:textId="77777777" w:rsidR="00196507" w:rsidRPr="00616B26" w:rsidRDefault="00196507" w:rsidP="00196507">
            <w:pPr>
              <w:pStyle w:val="Tabletext"/>
              <w:rPr>
                <w:snapToGrid w:val="0"/>
              </w:rPr>
            </w:pPr>
            <w:r w:rsidRPr="00616B26">
              <w:rPr>
                <w:snapToGrid w:val="0"/>
              </w:rPr>
              <w:t>19</w:t>
            </w:r>
          </w:p>
        </w:tc>
        <w:tc>
          <w:tcPr>
            <w:tcW w:w="1080" w:type="pct"/>
            <w:tcBorders>
              <w:top w:val="single" w:sz="4" w:space="0" w:color="auto"/>
              <w:bottom w:val="single" w:sz="4" w:space="0" w:color="auto"/>
            </w:tcBorders>
            <w:vAlign w:val="bottom"/>
          </w:tcPr>
          <w:p w14:paraId="06A89000" w14:textId="77777777" w:rsidR="00196507" w:rsidRPr="000F120F" w:rsidRDefault="00196507" w:rsidP="00196507">
            <w:pPr>
              <w:pStyle w:val="Tabletext"/>
              <w:rPr>
                <w:snapToGrid w:val="0"/>
              </w:rPr>
            </w:pPr>
            <w:r w:rsidRPr="00295986">
              <w:t>0</w:t>
            </w:r>
            <w:r w:rsidR="00D7157D">
              <w:t>.</w:t>
            </w:r>
            <w:r w:rsidRPr="00295986">
              <w:t>342</w:t>
            </w:r>
          </w:p>
        </w:tc>
        <w:tc>
          <w:tcPr>
            <w:tcW w:w="1080" w:type="pct"/>
            <w:tcBorders>
              <w:top w:val="single" w:sz="4" w:space="0" w:color="auto"/>
              <w:bottom w:val="single" w:sz="4" w:space="0" w:color="auto"/>
            </w:tcBorders>
            <w:vAlign w:val="bottom"/>
          </w:tcPr>
          <w:p w14:paraId="0BA90DAB" w14:textId="77777777" w:rsidR="00196507" w:rsidRPr="000F120F" w:rsidRDefault="00196507" w:rsidP="00196507">
            <w:pPr>
              <w:pStyle w:val="Tabletext"/>
              <w:rPr>
                <w:snapToGrid w:val="0"/>
              </w:rPr>
            </w:pPr>
            <w:r w:rsidRPr="00295986">
              <w:t>0</w:t>
            </w:r>
            <w:r w:rsidR="00D7157D">
              <w:t>.</w:t>
            </w:r>
            <w:r w:rsidRPr="00295986">
              <w:t>538</w:t>
            </w:r>
          </w:p>
        </w:tc>
        <w:tc>
          <w:tcPr>
            <w:tcW w:w="1250" w:type="pct"/>
            <w:tcBorders>
              <w:top w:val="single" w:sz="4" w:space="0" w:color="auto"/>
              <w:bottom w:val="single" w:sz="4" w:space="0" w:color="auto"/>
            </w:tcBorders>
            <w:vAlign w:val="bottom"/>
          </w:tcPr>
          <w:p w14:paraId="6F7E1F67"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673</w:t>
            </w:r>
          </w:p>
        </w:tc>
      </w:tr>
      <w:tr w:rsidR="00196507" w:rsidRPr="009E2595" w14:paraId="24D4D154" w14:textId="77777777" w:rsidTr="00273290">
        <w:trPr>
          <w:cantSplit/>
        </w:trPr>
        <w:tc>
          <w:tcPr>
            <w:tcW w:w="1590" w:type="pct"/>
            <w:tcBorders>
              <w:top w:val="single" w:sz="4" w:space="0" w:color="auto"/>
              <w:bottom w:val="single" w:sz="12" w:space="0" w:color="auto"/>
            </w:tcBorders>
          </w:tcPr>
          <w:p w14:paraId="714A38A2" w14:textId="77777777" w:rsidR="00196507" w:rsidRPr="00616B26" w:rsidRDefault="00196507" w:rsidP="00196507">
            <w:pPr>
              <w:pStyle w:val="Tabletext"/>
              <w:rPr>
                <w:snapToGrid w:val="0"/>
              </w:rPr>
            </w:pPr>
            <w:r w:rsidRPr="00616B26">
              <w:rPr>
                <w:snapToGrid w:val="0"/>
              </w:rPr>
              <w:t>20</w:t>
            </w:r>
          </w:p>
        </w:tc>
        <w:tc>
          <w:tcPr>
            <w:tcW w:w="1080" w:type="pct"/>
            <w:tcBorders>
              <w:top w:val="single" w:sz="4" w:space="0" w:color="auto"/>
              <w:bottom w:val="single" w:sz="12" w:space="0" w:color="auto"/>
            </w:tcBorders>
            <w:vAlign w:val="bottom"/>
          </w:tcPr>
          <w:p w14:paraId="476B855A" w14:textId="77777777" w:rsidR="00196507" w:rsidRPr="000F120F" w:rsidRDefault="00196507" w:rsidP="00196507">
            <w:pPr>
              <w:pStyle w:val="Tabletext"/>
              <w:rPr>
                <w:snapToGrid w:val="0"/>
              </w:rPr>
            </w:pPr>
            <w:r w:rsidRPr="00295986">
              <w:t>0</w:t>
            </w:r>
            <w:r w:rsidR="00D7157D">
              <w:t>.</w:t>
            </w:r>
            <w:r w:rsidRPr="00295986">
              <w:t>325</w:t>
            </w:r>
          </w:p>
        </w:tc>
        <w:tc>
          <w:tcPr>
            <w:tcW w:w="1080" w:type="pct"/>
            <w:tcBorders>
              <w:top w:val="single" w:sz="4" w:space="0" w:color="auto"/>
              <w:bottom w:val="single" w:sz="12" w:space="0" w:color="auto"/>
            </w:tcBorders>
            <w:vAlign w:val="bottom"/>
          </w:tcPr>
          <w:p w14:paraId="02E7BA1F" w14:textId="77777777" w:rsidR="00196507" w:rsidRPr="000F120F" w:rsidRDefault="00196507" w:rsidP="00196507">
            <w:pPr>
              <w:pStyle w:val="Tabletext"/>
              <w:rPr>
                <w:snapToGrid w:val="0"/>
              </w:rPr>
            </w:pPr>
            <w:r w:rsidRPr="00295986">
              <w:t>0</w:t>
            </w:r>
            <w:r w:rsidR="00D7157D">
              <w:t>.</w:t>
            </w:r>
            <w:r w:rsidRPr="00295986">
              <w:t>522</w:t>
            </w:r>
          </w:p>
        </w:tc>
        <w:tc>
          <w:tcPr>
            <w:tcW w:w="1250" w:type="pct"/>
            <w:tcBorders>
              <w:top w:val="single" w:sz="4" w:space="0" w:color="auto"/>
              <w:bottom w:val="single" w:sz="12" w:space="0" w:color="auto"/>
            </w:tcBorders>
            <w:vAlign w:val="bottom"/>
          </w:tcPr>
          <w:p w14:paraId="0EDBE45F" w14:textId="77777777" w:rsidR="00196507" w:rsidRPr="00196507" w:rsidRDefault="00196507" w:rsidP="00196507">
            <w:pPr>
              <w:pStyle w:val="Tabletext"/>
              <w:rPr>
                <w:snapToGrid w:val="0"/>
                <w:color w:val="000000" w:themeColor="text1"/>
              </w:rPr>
            </w:pPr>
            <w:r w:rsidRPr="00196507">
              <w:rPr>
                <w:color w:val="000000" w:themeColor="text1"/>
              </w:rPr>
              <w:t>0</w:t>
            </w:r>
            <w:r w:rsidR="00D7157D">
              <w:rPr>
                <w:color w:val="000000" w:themeColor="text1"/>
              </w:rPr>
              <w:t>.</w:t>
            </w:r>
            <w:r w:rsidRPr="00196507">
              <w:rPr>
                <w:color w:val="000000" w:themeColor="text1"/>
              </w:rPr>
              <w:t>660</w:t>
            </w:r>
          </w:p>
        </w:tc>
      </w:tr>
    </w:tbl>
    <w:p w14:paraId="136F5291" w14:textId="77777777" w:rsidR="0056167C" w:rsidRDefault="0056167C" w:rsidP="000B7267">
      <w:pPr>
        <w:pStyle w:val="Tabletext"/>
      </w:pPr>
    </w:p>
    <w:p w14:paraId="4725037E" w14:textId="781BAFF9" w:rsidR="00C531E0" w:rsidRPr="00A058B6" w:rsidRDefault="00453C86" w:rsidP="00C531E0">
      <w:pPr>
        <w:pStyle w:val="ActHead1"/>
        <w:pageBreakBefore/>
      </w:pPr>
      <w:bookmarkStart w:id="354" w:name="_Toc188350829"/>
      <w:r w:rsidRPr="00423C34">
        <w:rPr>
          <w:rStyle w:val="CharChapNo"/>
        </w:rPr>
        <w:t>Schedule 1</w:t>
      </w:r>
      <w:r w:rsidR="00366F59" w:rsidRPr="00423C34">
        <w:rPr>
          <w:rStyle w:val="CharChapNo"/>
        </w:rPr>
        <w:t>1</w:t>
      </w:r>
      <w:r w:rsidR="00C531E0" w:rsidRPr="00A058B6">
        <w:t>—</w:t>
      </w:r>
      <w:r w:rsidR="00C531E0" w:rsidRPr="00423C34">
        <w:rPr>
          <w:rStyle w:val="CharChapText"/>
        </w:rPr>
        <w:t>Method for determining transition factor for calculating the amount to be paid to the non</w:t>
      </w:r>
      <w:r w:rsidR="001952B3" w:rsidRPr="00423C34">
        <w:rPr>
          <w:rStyle w:val="CharChapText"/>
        </w:rPr>
        <w:noBreakHyphen/>
      </w:r>
      <w:r w:rsidR="00C531E0" w:rsidRPr="00423C34">
        <w:rPr>
          <w:rStyle w:val="CharChapText"/>
        </w:rPr>
        <w:t>member spouse</w:t>
      </w:r>
      <w:bookmarkEnd w:id="354"/>
    </w:p>
    <w:p w14:paraId="7203C978" w14:textId="04E0F7C0" w:rsidR="00C531E0" w:rsidRPr="00A058B6" w:rsidRDefault="00C531E0" w:rsidP="00C531E0">
      <w:pPr>
        <w:pStyle w:val="notemargin"/>
      </w:pPr>
      <w:r w:rsidRPr="00A058B6">
        <w:t>(section </w:t>
      </w:r>
      <w:r w:rsidR="00485CC2">
        <w:t>81</w:t>
      </w:r>
      <w:r>
        <w:t xml:space="preserve">, </w:t>
      </w:r>
      <w:r w:rsidR="00485CC2">
        <w:t>82</w:t>
      </w:r>
      <w:r w:rsidR="0051349C">
        <w:t xml:space="preserve">, </w:t>
      </w:r>
      <w:r w:rsidR="00485CC2">
        <w:t>83</w:t>
      </w:r>
      <w:r w:rsidR="0051349C">
        <w:t xml:space="preserve">, </w:t>
      </w:r>
      <w:r w:rsidR="00485CC2">
        <w:t>84</w:t>
      </w:r>
      <w:r w:rsidR="0051349C">
        <w:t xml:space="preserve"> or </w:t>
      </w:r>
      <w:r w:rsidR="00485CC2">
        <w:t>85</w:t>
      </w:r>
      <w:r w:rsidRPr="00A058B6">
        <w:t>)</w:t>
      </w:r>
    </w:p>
    <w:p w14:paraId="1654F27D" w14:textId="77777777" w:rsidR="00C531E0" w:rsidRPr="00423C34" w:rsidRDefault="00C531E0" w:rsidP="00C531E0">
      <w:pPr>
        <w:pStyle w:val="Header"/>
      </w:pPr>
      <w:r w:rsidRPr="00423C34">
        <w:rPr>
          <w:rStyle w:val="CharPartNo"/>
        </w:rPr>
        <w:t xml:space="preserve"> </w:t>
      </w:r>
      <w:r w:rsidRPr="00423C34">
        <w:rPr>
          <w:rStyle w:val="CharPartText"/>
        </w:rPr>
        <w:t xml:space="preserve"> </w:t>
      </w:r>
    </w:p>
    <w:p w14:paraId="53E75C7B" w14:textId="77777777" w:rsidR="00C531E0" w:rsidRPr="00423C34" w:rsidRDefault="00C531E0" w:rsidP="00C531E0">
      <w:pPr>
        <w:pStyle w:val="Header"/>
      </w:pPr>
      <w:r w:rsidRPr="00423C34">
        <w:rPr>
          <w:rStyle w:val="CharDivNo"/>
        </w:rPr>
        <w:t xml:space="preserve"> </w:t>
      </w:r>
      <w:r w:rsidRPr="00423C34">
        <w:rPr>
          <w:rStyle w:val="CharDivText"/>
        </w:rPr>
        <w:t xml:space="preserve"> </w:t>
      </w:r>
    </w:p>
    <w:p w14:paraId="6DD3C7ED" w14:textId="77777777" w:rsidR="00C531E0" w:rsidRDefault="00C531E0" w:rsidP="00C531E0">
      <w:pPr>
        <w:pStyle w:val="ActHead5"/>
      </w:pPr>
      <w:bookmarkStart w:id="355" w:name="_Toc188350830"/>
      <w:r w:rsidRPr="00423C34">
        <w:rPr>
          <w:rStyle w:val="CharSectno"/>
        </w:rPr>
        <w:t>1</w:t>
      </w:r>
      <w:r w:rsidRPr="00A058B6">
        <w:t xml:space="preserve">  Application of </w:t>
      </w:r>
      <w:r>
        <w:t xml:space="preserve">this </w:t>
      </w:r>
      <w:r w:rsidRPr="00A058B6">
        <w:t>Schedule</w:t>
      </w:r>
      <w:bookmarkEnd w:id="355"/>
    </w:p>
    <w:p w14:paraId="6568795E" w14:textId="01012CFC" w:rsidR="00C531E0" w:rsidRDefault="00C531E0" w:rsidP="00C531E0">
      <w:pPr>
        <w:pStyle w:val="subsection"/>
      </w:pPr>
      <w:r w:rsidRPr="00A058B6">
        <w:tab/>
      </w:r>
      <w:r w:rsidRPr="00A058B6">
        <w:tab/>
        <w:t xml:space="preserve">This Schedule sets out the method for determining the </w:t>
      </w:r>
      <w:r w:rsidR="0051349C">
        <w:t xml:space="preserve">transition factor </w:t>
      </w:r>
      <w:r w:rsidR="0051349C" w:rsidRPr="00744C3A">
        <w:t xml:space="preserve">used </w:t>
      </w:r>
      <w:r w:rsidR="0051349C">
        <w:t xml:space="preserve">under </w:t>
      </w:r>
      <w:r w:rsidR="00453C86">
        <w:t>Division 2</w:t>
      </w:r>
      <w:r w:rsidR="0051349C">
        <w:t xml:space="preserve"> of </w:t>
      </w:r>
      <w:r w:rsidR="00453C86">
        <w:t>Part 7</w:t>
      </w:r>
      <w:r w:rsidR="0051349C">
        <w:t xml:space="preserve"> </w:t>
      </w:r>
      <w:r w:rsidR="00F51337">
        <w:t xml:space="preserve">of this instrument </w:t>
      </w:r>
      <w:r w:rsidR="0051349C" w:rsidRPr="00744C3A">
        <w:t>to determine the amount a non</w:t>
      </w:r>
      <w:r w:rsidR="001952B3">
        <w:noBreakHyphen/>
      </w:r>
      <w:r w:rsidR="0051349C" w:rsidRPr="00744C3A">
        <w:t>member spouse is entitled to be paid in relation to a superannuation interest</w:t>
      </w:r>
      <w:r w:rsidR="0051349C">
        <w:t xml:space="preserve"> that:</w:t>
      </w:r>
    </w:p>
    <w:p w14:paraId="0A8FF680" w14:textId="40E4D90C" w:rsidR="0051349C" w:rsidRPr="0051349C" w:rsidRDefault="0051349C" w:rsidP="0051349C">
      <w:pPr>
        <w:pStyle w:val="paragraph"/>
      </w:pPr>
      <w:r>
        <w:tab/>
        <w:t>(a)</w:t>
      </w:r>
      <w:r>
        <w:tab/>
      </w:r>
      <w:r w:rsidRPr="0051349C">
        <w:t>is covered by a superannuation agreement, flag lifting agreement or splitting order; and</w:t>
      </w:r>
    </w:p>
    <w:p w14:paraId="4FF0443F" w14:textId="0E66D32D" w:rsidR="0051349C" w:rsidRDefault="0051349C" w:rsidP="0051349C">
      <w:pPr>
        <w:pStyle w:val="paragraph"/>
      </w:pPr>
      <w:r w:rsidRPr="0051349C">
        <w:tab/>
        <w:t>(b)</w:t>
      </w:r>
      <w:r w:rsidRPr="0051349C">
        <w:tab/>
        <w:t>is in the growth phase either at the date the agreement is served on the trustee un</w:t>
      </w:r>
      <w:r w:rsidRPr="00A058B6">
        <w:t xml:space="preserve">der </w:t>
      </w:r>
      <w:r>
        <w:t>section 9</w:t>
      </w:r>
      <w:r w:rsidRPr="00A058B6">
        <w:t>0XI or 90YM of the Act, or at the date of the splitting order (as applicable)</w:t>
      </w:r>
      <w:r>
        <w:t>.</w:t>
      </w:r>
    </w:p>
    <w:p w14:paraId="4C1DB047" w14:textId="6A58B963" w:rsidR="00012DF7" w:rsidRDefault="00012DF7" w:rsidP="00012DF7">
      <w:pPr>
        <w:pStyle w:val="notetext"/>
      </w:pPr>
      <w:r>
        <w:t>Note:</w:t>
      </w:r>
      <w:r>
        <w:tab/>
        <w:t>This Schedule only applies for determining the transition factor if:</w:t>
      </w:r>
    </w:p>
    <w:p w14:paraId="642698B3" w14:textId="5A11EE23" w:rsidR="00012DF7" w:rsidRPr="00012DF7" w:rsidRDefault="00012DF7" w:rsidP="00012DF7">
      <w:pPr>
        <w:pStyle w:val="notepara"/>
      </w:pPr>
      <w:r>
        <w:t>(a)</w:t>
      </w:r>
      <w:r>
        <w:tab/>
        <w:t xml:space="preserve">the Minister has not, </w:t>
      </w:r>
      <w:r w:rsidRPr="0008080D">
        <w:t>under</w:t>
      </w:r>
      <w:r>
        <w:t xml:space="preserve"> </w:t>
      </w:r>
      <w:r w:rsidR="00CB78B9">
        <w:t>section 6</w:t>
      </w:r>
      <w:r w:rsidR="00485CC2">
        <w:t>2</w:t>
      </w:r>
      <w:r>
        <w:t xml:space="preserve"> or </w:t>
      </w:r>
      <w:r w:rsidR="00485CC2">
        <w:t>70</w:t>
      </w:r>
      <w:r>
        <w:t>, approved a method or factors for</w:t>
      </w:r>
      <w:r w:rsidRPr="00012DF7">
        <w:t xml:space="preserve"> determin</w:t>
      </w:r>
      <w:r>
        <w:t>ing</w:t>
      </w:r>
      <w:r w:rsidRPr="00012DF7">
        <w:t xml:space="preserve"> the gross value of the superannuation interest; </w:t>
      </w:r>
      <w:r>
        <w:t>and</w:t>
      </w:r>
    </w:p>
    <w:p w14:paraId="7E29DB71" w14:textId="5011979A" w:rsidR="00012DF7" w:rsidRPr="00B636FD" w:rsidRDefault="00012DF7" w:rsidP="00012DF7">
      <w:pPr>
        <w:pStyle w:val="notepara"/>
      </w:pPr>
      <w:r w:rsidRPr="00012DF7">
        <w:t>(b)</w:t>
      </w:r>
      <w:r w:rsidRPr="00012DF7">
        <w:tab/>
        <w:t>one or more benefits in respect of the superannuation interest are payable</w:t>
      </w:r>
      <w:r>
        <w:t xml:space="preserve"> </w:t>
      </w:r>
      <w:r w:rsidRPr="00012DF7">
        <w:t>as a pension for the life of the member spouse</w:t>
      </w:r>
      <w:r>
        <w:t>,</w:t>
      </w:r>
      <w:r w:rsidRPr="00012DF7">
        <w:t xml:space="preserve"> but</w:t>
      </w:r>
      <w:r>
        <w:t xml:space="preserve"> </w:t>
      </w:r>
      <w:r w:rsidRPr="00012DF7">
        <w:t>not due to</w:t>
      </w:r>
      <w:r>
        <w:t xml:space="preserve"> the member spouse’s invalidity;</w:t>
      </w:r>
    </w:p>
    <w:p w14:paraId="7418B25E" w14:textId="19BDC728" w:rsidR="00012DF7" w:rsidRPr="00012DF7" w:rsidRDefault="00F51337" w:rsidP="00F51337">
      <w:pPr>
        <w:pStyle w:val="notetext"/>
      </w:pPr>
      <w:r>
        <w:tab/>
      </w:r>
      <w:r w:rsidR="00012DF7">
        <w:t xml:space="preserve">(see, for example, the </w:t>
      </w:r>
      <w:r w:rsidR="00012DF7" w:rsidRPr="00012DF7">
        <w:t>definition</w:t>
      </w:r>
      <w:r w:rsidR="00012DF7">
        <w:t xml:space="preserve"> of </w:t>
      </w:r>
      <w:r w:rsidR="00012DF7" w:rsidRPr="00012DF7">
        <w:rPr>
          <w:b/>
          <w:bCs/>
          <w:i/>
          <w:iCs/>
        </w:rPr>
        <w:t>transition factor</w:t>
      </w:r>
      <w:r w:rsidR="00012DF7">
        <w:t xml:space="preserve"> in </w:t>
      </w:r>
      <w:r w:rsidR="00CB78B9">
        <w:t>subsection 8</w:t>
      </w:r>
      <w:r w:rsidR="00485CC2">
        <w:t>1</w:t>
      </w:r>
      <w:r w:rsidR="00012DF7">
        <w:t>(3)).</w:t>
      </w:r>
    </w:p>
    <w:p w14:paraId="59F9F63D" w14:textId="7A137510" w:rsidR="00C531E0" w:rsidRDefault="00C531E0" w:rsidP="00C531E0">
      <w:pPr>
        <w:pStyle w:val="ActHead5"/>
      </w:pPr>
      <w:bookmarkStart w:id="356" w:name="_Toc188350831"/>
      <w:r w:rsidRPr="00423C34">
        <w:rPr>
          <w:rStyle w:val="CharSectno"/>
        </w:rPr>
        <w:t>2</w:t>
      </w:r>
      <w:r>
        <w:t xml:space="preserve">  Transition factor</w:t>
      </w:r>
      <w:bookmarkEnd w:id="356"/>
    </w:p>
    <w:p w14:paraId="6B6703BA" w14:textId="3973D1B5" w:rsidR="00C531E0" w:rsidRDefault="00C531E0" w:rsidP="00C531E0">
      <w:pPr>
        <w:pStyle w:val="subsection"/>
      </w:pPr>
      <w:r>
        <w:tab/>
      </w:r>
      <w:r w:rsidR="00AD2A79">
        <w:t>(1)</w:t>
      </w:r>
      <w:r>
        <w:tab/>
        <w:t>The transition factor is equal to:</w:t>
      </w:r>
    </w:p>
    <w:p w14:paraId="53FDD0B4" w14:textId="2F8A1D02" w:rsidR="00C531E0" w:rsidRPr="008A68C2" w:rsidRDefault="00831ECB" w:rsidP="008A68C2">
      <w:pPr>
        <w:pStyle w:val="subsection2"/>
      </w:pPr>
      <w:r w:rsidRPr="008A68C2">
        <w:rPr>
          <w:position w:val="-36"/>
        </w:rPr>
        <w:object w:dxaOrig="4640" w:dyaOrig="999" w14:anchorId="67A4A5A6">
          <v:shape id="_x0000_i1103" type="#_x0000_t75" alt="Start formula start fraction Relative value factor for the interest at the date the first splittable payment became payable over Relative value factor for the interest at the operative time end fraction end formula" style="width:232.5pt;height:50pt" o:ole="">
            <v:imagedata r:id="rId189" o:title=""/>
          </v:shape>
          <o:OLEObject Type="Embed" ProgID="Equation.DSMT4" ShapeID="_x0000_i1103" DrawAspect="Content" ObjectID="_1801634332" r:id="rId190"/>
        </w:object>
      </w:r>
    </w:p>
    <w:p w14:paraId="06BACBB1" w14:textId="692DDB89" w:rsidR="00C531E0" w:rsidRDefault="008A68C2" w:rsidP="008A68C2">
      <w:pPr>
        <w:pStyle w:val="subsection2"/>
      </w:pPr>
      <w:r>
        <w:t>where:</w:t>
      </w:r>
    </w:p>
    <w:p w14:paraId="3BE98CD1" w14:textId="072EDC0D" w:rsidR="002B1F4D" w:rsidRDefault="00756B78" w:rsidP="00756B78">
      <w:pPr>
        <w:pStyle w:val="Definition"/>
      </w:pPr>
      <w:r>
        <w:rPr>
          <w:b/>
          <w:i/>
          <w:iCs/>
        </w:rPr>
        <w:t>r</w:t>
      </w:r>
      <w:r w:rsidRPr="00FD1D5C">
        <w:rPr>
          <w:b/>
          <w:i/>
          <w:iCs/>
        </w:rPr>
        <w:t xml:space="preserve">elative </w:t>
      </w:r>
      <w:r w:rsidRPr="008A68C2">
        <w:rPr>
          <w:b/>
          <w:bCs/>
          <w:i/>
          <w:iCs/>
        </w:rPr>
        <w:t xml:space="preserve">value factor for the interest at </w:t>
      </w:r>
      <w:r>
        <w:rPr>
          <w:b/>
          <w:bCs/>
          <w:i/>
          <w:iCs/>
        </w:rPr>
        <w:t xml:space="preserve">the </w:t>
      </w:r>
      <w:r w:rsidRPr="008A68C2">
        <w:rPr>
          <w:b/>
          <w:bCs/>
          <w:i/>
          <w:iCs/>
        </w:rPr>
        <w:t xml:space="preserve">date </w:t>
      </w:r>
      <w:r>
        <w:rPr>
          <w:b/>
          <w:bCs/>
          <w:i/>
          <w:iCs/>
        </w:rPr>
        <w:t xml:space="preserve">the </w:t>
      </w:r>
      <w:r w:rsidRPr="008A68C2">
        <w:rPr>
          <w:b/>
          <w:bCs/>
          <w:i/>
          <w:iCs/>
        </w:rPr>
        <w:t>first splittable payment became payable</w:t>
      </w:r>
      <w:r w:rsidRPr="008A68C2">
        <w:t xml:space="preserve"> </w:t>
      </w:r>
      <w:r>
        <w:t xml:space="preserve">means the factor mentioned in the </w:t>
      </w:r>
      <w:r w:rsidR="0098573B">
        <w:t>applicable</w:t>
      </w:r>
      <w:r>
        <w:t xml:space="preserve"> clause of this Schedule that applies </w:t>
      </w:r>
      <w:r w:rsidR="00012DF7">
        <w:t>for</w:t>
      </w:r>
      <w:r>
        <w:t xml:space="preserve"> the interest</w:t>
      </w:r>
      <w:r w:rsidR="002B1F4D">
        <w:t xml:space="preserve"> </w:t>
      </w:r>
      <w:r w:rsidR="002B1F4D" w:rsidRPr="0051349C">
        <w:t>and the member spouse</w:t>
      </w:r>
      <w:r>
        <w:t xml:space="preserve"> </w:t>
      </w:r>
      <w:r w:rsidR="002B1F4D">
        <w:t>at that date.</w:t>
      </w:r>
    </w:p>
    <w:p w14:paraId="2FF4D1E7" w14:textId="7CCE205F" w:rsidR="00756B78" w:rsidRDefault="00756B78" w:rsidP="00756B78">
      <w:pPr>
        <w:pStyle w:val="Definition"/>
        <w:rPr>
          <w:iCs/>
        </w:rPr>
      </w:pPr>
      <w:r w:rsidRPr="008A68C2">
        <w:rPr>
          <w:b/>
          <w:bCs/>
          <w:i/>
          <w:iCs/>
        </w:rPr>
        <w:t>relative value</w:t>
      </w:r>
      <w:r w:rsidRPr="00FD1D5C">
        <w:rPr>
          <w:b/>
          <w:i/>
          <w:iCs/>
        </w:rPr>
        <w:t xml:space="preserve"> factor for the interest at </w:t>
      </w:r>
      <w:r w:rsidR="002B1F4D">
        <w:rPr>
          <w:b/>
          <w:i/>
          <w:iCs/>
        </w:rPr>
        <w:t xml:space="preserve">the </w:t>
      </w:r>
      <w:r w:rsidRPr="00FD1D5C">
        <w:rPr>
          <w:b/>
          <w:i/>
          <w:iCs/>
        </w:rPr>
        <w:t>operative time</w:t>
      </w:r>
      <w:r w:rsidRPr="00FD1D5C">
        <w:rPr>
          <w:i/>
          <w:iCs/>
        </w:rPr>
        <w:t xml:space="preserve"> </w:t>
      </w:r>
      <w:r w:rsidR="002B1F4D">
        <w:t xml:space="preserve">means the factor mentioned in the </w:t>
      </w:r>
      <w:r w:rsidR="0098573B">
        <w:t>applicable</w:t>
      </w:r>
      <w:r w:rsidR="002B1F4D">
        <w:t xml:space="preserve"> clause of this Schedule that applies </w:t>
      </w:r>
      <w:r w:rsidR="00012DF7">
        <w:t>for</w:t>
      </w:r>
      <w:r w:rsidR="002B1F4D">
        <w:t xml:space="preserve"> the interest </w:t>
      </w:r>
      <w:r w:rsidR="002B1F4D" w:rsidRPr="0051349C">
        <w:t>and the member spouse</w:t>
      </w:r>
      <w:r w:rsidR="002B1F4D">
        <w:t xml:space="preserve"> at that time</w:t>
      </w:r>
      <w:r>
        <w:rPr>
          <w:iCs/>
        </w:rPr>
        <w:t>.</w:t>
      </w:r>
    </w:p>
    <w:p w14:paraId="70F86820" w14:textId="7380F053" w:rsidR="00AD2A79" w:rsidRPr="00AD2A79" w:rsidRDefault="00AD2A79" w:rsidP="00AD2A79">
      <w:pPr>
        <w:pStyle w:val="subsection"/>
      </w:pPr>
      <w:r>
        <w:tab/>
        <w:t>(2)</w:t>
      </w:r>
      <w:r>
        <w:tab/>
        <w:t xml:space="preserve">However, </w:t>
      </w:r>
      <w:r w:rsidR="00012DF7">
        <w:t xml:space="preserve">the transition factor is 1 </w:t>
      </w:r>
      <w:r>
        <w:t xml:space="preserve">if </w:t>
      </w:r>
      <w:r w:rsidR="00012DF7">
        <w:t xml:space="preserve">none of </w:t>
      </w:r>
      <w:r w:rsidR="00453C86">
        <w:t>clauses 3</w:t>
      </w:r>
      <w:r w:rsidR="00012DF7">
        <w:t xml:space="preserve"> to 5</w:t>
      </w:r>
      <w:r>
        <w:t xml:space="preserve"> applies for the interest.</w:t>
      </w:r>
    </w:p>
    <w:p w14:paraId="5B5BFFA3" w14:textId="7C56043E" w:rsidR="002B1F4D" w:rsidRPr="002B1F4D" w:rsidRDefault="002B1F4D" w:rsidP="002B1F4D">
      <w:pPr>
        <w:pStyle w:val="ActHead5"/>
        <w:rPr>
          <w:rFonts w:eastAsiaTheme="minorEastAsia"/>
        </w:rPr>
      </w:pPr>
      <w:bookmarkStart w:id="357" w:name="_Toc188350832"/>
      <w:r w:rsidRPr="00423C34">
        <w:rPr>
          <w:rStyle w:val="CharSectno"/>
          <w:rFonts w:eastAsiaTheme="minorEastAsia"/>
        </w:rPr>
        <w:t>3</w:t>
      </w:r>
      <w:r>
        <w:rPr>
          <w:rFonts w:eastAsiaTheme="minorEastAsia"/>
        </w:rPr>
        <w:t xml:space="preserve">  </w:t>
      </w:r>
      <w:r w:rsidR="002E68EB">
        <w:rPr>
          <w:rFonts w:eastAsiaTheme="minorEastAsia"/>
        </w:rPr>
        <w:t>Relative value</w:t>
      </w:r>
      <w:r>
        <w:rPr>
          <w:rFonts w:eastAsiaTheme="minorEastAsia"/>
        </w:rPr>
        <w:t xml:space="preserve"> factors—</w:t>
      </w:r>
      <w:r w:rsidR="002E68EB">
        <w:rPr>
          <w:rFonts w:eastAsiaTheme="minorEastAsia"/>
        </w:rPr>
        <w:t xml:space="preserve">benefits in respect of the </w:t>
      </w:r>
      <w:r>
        <w:rPr>
          <w:rFonts w:eastAsiaTheme="minorEastAsia"/>
        </w:rPr>
        <w:t xml:space="preserve">superannuation </w:t>
      </w:r>
      <w:r w:rsidRPr="004B789E">
        <w:rPr>
          <w:rFonts w:eastAsiaTheme="minorEastAsia"/>
        </w:rPr>
        <w:t xml:space="preserve">interest </w:t>
      </w:r>
      <w:r w:rsidR="002E68EB">
        <w:rPr>
          <w:rFonts w:eastAsiaTheme="minorEastAsia"/>
        </w:rPr>
        <w:t>are payable as a pension that</w:t>
      </w:r>
      <w:r w:rsidR="002E68EB" w:rsidRPr="004B789E">
        <w:rPr>
          <w:rFonts w:eastAsiaTheme="minorEastAsia"/>
        </w:rPr>
        <w:t xml:space="preserve"> </w:t>
      </w:r>
      <w:r w:rsidRPr="004B789E">
        <w:rPr>
          <w:rFonts w:eastAsiaTheme="minorEastAsia"/>
        </w:rPr>
        <w:t>has no guarantee period</w:t>
      </w:r>
      <w:bookmarkEnd w:id="357"/>
    </w:p>
    <w:p w14:paraId="5B6228B6" w14:textId="78AB4A85" w:rsidR="008A68C2" w:rsidRDefault="002B1F4D" w:rsidP="008A68C2">
      <w:pPr>
        <w:pStyle w:val="subsection"/>
        <w:rPr>
          <w:rFonts w:eastAsiaTheme="minorEastAsia"/>
        </w:rPr>
      </w:pPr>
      <w:r>
        <w:rPr>
          <w:rFonts w:eastAsiaTheme="minorEastAsia"/>
        </w:rPr>
        <w:tab/>
      </w:r>
      <w:r>
        <w:rPr>
          <w:rFonts w:eastAsiaTheme="minorEastAsia"/>
        </w:rPr>
        <w:tab/>
      </w:r>
      <w:r w:rsidR="008A68C2" w:rsidRPr="004B789E">
        <w:rPr>
          <w:rFonts w:eastAsiaTheme="minorEastAsia"/>
        </w:rPr>
        <w:t xml:space="preserve">The relative value factors set out in this </w:t>
      </w:r>
      <w:r>
        <w:rPr>
          <w:rFonts w:eastAsiaTheme="minorEastAsia"/>
        </w:rPr>
        <w:t>clause</w:t>
      </w:r>
      <w:r w:rsidR="008A68C2" w:rsidRPr="004B789E">
        <w:rPr>
          <w:rFonts w:eastAsiaTheme="minorEastAsia"/>
        </w:rPr>
        <w:t xml:space="preserve"> apply</w:t>
      </w:r>
      <w:r w:rsidR="008A68C2">
        <w:rPr>
          <w:rFonts w:eastAsiaTheme="minorEastAsia"/>
        </w:rPr>
        <w:t xml:space="preserve"> for the </w:t>
      </w:r>
      <w:r>
        <w:rPr>
          <w:rFonts w:eastAsiaTheme="minorEastAsia"/>
        </w:rPr>
        <w:t xml:space="preserve">superannuation </w:t>
      </w:r>
      <w:r w:rsidR="008A68C2">
        <w:rPr>
          <w:rFonts w:eastAsiaTheme="minorEastAsia"/>
        </w:rPr>
        <w:t>interest</w:t>
      </w:r>
      <w:r w:rsidR="008A68C2" w:rsidRPr="004B789E">
        <w:rPr>
          <w:rFonts w:eastAsiaTheme="minorEastAsia"/>
        </w:rPr>
        <w:t xml:space="preserve"> </w:t>
      </w:r>
      <w:r w:rsidR="00741A82" w:rsidRPr="004B789E">
        <w:rPr>
          <w:rFonts w:eastAsiaTheme="minorEastAsia"/>
        </w:rPr>
        <w:t xml:space="preserve">if </w:t>
      </w:r>
      <w:r w:rsidR="00741A82">
        <w:rPr>
          <w:rFonts w:eastAsiaTheme="minorEastAsia"/>
        </w:rPr>
        <w:t>benefit</w:t>
      </w:r>
      <w:r w:rsidR="002E68EB">
        <w:rPr>
          <w:rFonts w:eastAsiaTheme="minorEastAsia"/>
        </w:rPr>
        <w:t>s</w:t>
      </w:r>
      <w:r w:rsidR="00741A82">
        <w:rPr>
          <w:rFonts w:eastAsiaTheme="minorEastAsia"/>
        </w:rPr>
        <w:t xml:space="preserve"> in respect of the </w:t>
      </w:r>
      <w:r w:rsidR="00741A82" w:rsidRPr="004B789E">
        <w:rPr>
          <w:rFonts w:eastAsiaTheme="minorEastAsia"/>
        </w:rPr>
        <w:t xml:space="preserve">interest </w:t>
      </w:r>
      <w:r w:rsidR="002E68EB">
        <w:rPr>
          <w:rFonts w:eastAsiaTheme="minorEastAsia"/>
        </w:rPr>
        <w:t>are payable as</w:t>
      </w:r>
      <w:r w:rsidR="00741A82">
        <w:rPr>
          <w:rFonts w:eastAsiaTheme="minorEastAsia"/>
        </w:rPr>
        <w:t xml:space="preserve"> a pension that</w:t>
      </w:r>
      <w:r w:rsidR="008A68C2" w:rsidRPr="004B789E">
        <w:rPr>
          <w:rFonts w:eastAsiaTheme="minorEastAsia"/>
        </w:rPr>
        <w:t xml:space="preserve"> has no guarantee period.</w:t>
      </w:r>
    </w:p>
    <w:p w14:paraId="1C1F1009" w14:textId="6EB6F5EB" w:rsidR="008A68C2" w:rsidRDefault="008A68C2" w:rsidP="008A68C2">
      <w:pPr>
        <w:pStyle w:val="Tabletext"/>
        <w:rPr>
          <w:rFonts w:eastAsiaTheme="minorEastAsia"/>
        </w:rPr>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20"/>
        <w:gridCol w:w="1520"/>
        <w:gridCol w:w="1520"/>
        <w:gridCol w:w="1520"/>
        <w:gridCol w:w="1520"/>
      </w:tblGrid>
      <w:tr w:rsidR="008A68C2" w14:paraId="5BC146AE" w14:textId="77777777" w:rsidTr="008A68C2">
        <w:trPr>
          <w:tblHeader/>
        </w:trPr>
        <w:tc>
          <w:tcPr>
            <w:tcW w:w="8314" w:type="dxa"/>
            <w:gridSpan w:val="6"/>
            <w:tcBorders>
              <w:top w:val="single" w:sz="12" w:space="0" w:color="auto"/>
              <w:bottom w:val="single" w:sz="6" w:space="0" w:color="auto"/>
            </w:tcBorders>
            <w:shd w:val="clear" w:color="auto" w:fill="auto"/>
          </w:tcPr>
          <w:p w14:paraId="0C3B5890" w14:textId="6830D96A" w:rsidR="008A68C2" w:rsidRDefault="002B1F4D" w:rsidP="008A68C2">
            <w:pPr>
              <w:pStyle w:val="TableHeading"/>
              <w:rPr>
                <w:rFonts w:eastAsiaTheme="minorEastAsia"/>
              </w:rPr>
            </w:pPr>
            <w:r>
              <w:rPr>
                <w:rFonts w:eastAsiaTheme="minorEastAsia"/>
              </w:rPr>
              <w:t>Relative value factors</w:t>
            </w:r>
          </w:p>
        </w:tc>
      </w:tr>
      <w:tr w:rsidR="008A68C2" w14:paraId="3C21A3A5" w14:textId="77777777" w:rsidTr="008A68C2">
        <w:trPr>
          <w:tblHeader/>
        </w:trPr>
        <w:tc>
          <w:tcPr>
            <w:tcW w:w="714" w:type="dxa"/>
            <w:tcBorders>
              <w:top w:val="single" w:sz="6" w:space="0" w:color="auto"/>
              <w:bottom w:val="single" w:sz="12" w:space="0" w:color="auto"/>
            </w:tcBorders>
            <w:shd w:val="clear" w:color="auto" w:fill="auto"/>
          </w:tcPr>
          <w:p w14:paraId="20C16E29" w14:textId="29C9DAE7" w:rsidR="008A68C2" w:rsidRDefault="008A68C2" w:rsidP="008A68C2">
            <w:pPr>
              <w:pStyle w:val="TableHeading"/>
              <w:rPr>
                <w:rFonts w:eastAsiaTheme="minorEastAsia"/>
              </w:rPr>
            </w:pPr>
            <w:r>
              <w:rPr>
                <w:rFonts w:eastAsiaTheme="minorEastAsia"/>
              </w:rPr>
              <w:t>Item</w:t>
            </w:r>
          </w:p>
        </w:tc>
        <w:tc>
          <w:tcPr>
            <w:tcW w:w="1520" w:type="dxa"/>
            <w:tcBorders>
              <w:top w:val="single" w:sz="6" w:space="0" w:color="auto"/>
              <w:bottom w:val="single" w:sz="12" w:space="0" w:color="auto"/>
            </w:tcBorders>
            <w:shd w:val="clear" w:color="auto" w:fill="auto"/>
          </w:tcPr>
          <w:p w14:paraId="37ABD26B" w14:textId="3D2A9D43" w:rsidR="008A68C2" w:rsidRDefault="00B07655" w:rsidP="00B07655">
            <w:pPr>
              <w:pStyle w:val="TableHeading"/>
              <w:rPr>
                <w:rFonts w:eastAsiaTheme="minorEastAsia"/>
              </w:rPr>
            </w:pPr>
            <w:r w:rsidRPr="00B07655">
              <w:t>Indexation</w:t>
            </w:r>
            <w:r w:rsidRPr="0075436B">
              <w:t xml:space="preserve"> rate of pension</w:t>
            </w:r>
          </w:p>
        </w:tc>
        <w:tc>
          <w:tcPr>
            <w:tcW w:w="1520" w:type="dxa"/>
            <w:tcBorders>
              <w:top w:val="single" w:sz="6" w:space="0" w:color="auto"/>
              <w:bottom w:val="single" w:sz="12" w:space="0" w:color="auto"/>
            </w:tcBorders>
            <w:shd w:val="clear" w:color="auto" w:fill="auto"/>
          </w:tcPr>
          <w:p w14:paraId="71C4B467" w14:textId="1B950955" w:rsidR="005F2C53" w:rsidRPr="00B07655" w:rsidRDefault="005F2C53" w:rsidP="005F2C53">
            <w:pPr>
              <w:pStyle w:val="TableHeading"/>
            </w:pPr>
            <w:r>
              <w:t>M</w:t>
            </w:r>
            <w:r w:rsidRPr="00B07655">
              <w:t>ale</w:t>
            </w:r>
          </w:p>
          <w:p w14:paraId="55B41D33" w14:textId="083023E4" w:rsidR="008A68C2" w:rsidRPr="00B07655" w:rsidRDefault="0098573B" w:rsidP="00B07655">
            <w:pPr>
              <w:pStyle w:val="TableHeading"/>
              <w:rPr>
                <w:rFonts w:eastAsiaTheme="minorEastAsia"/>
                <w:bCs/>
              </w:rPr>
            </w:pPr>
            <w:r>
              <w:t>Applicable</w:t>
            </w:r>
            <w:r w:rsidR="00B07655" w:rsidRPr="00B07655">
              <w:t xml:space="preserve"> date</w:t>
            </w:r>
            <w:r w:rsidR="00EE3294">
              <w:t xml:space="preserve"> or time is</w:t>
            </w:r>
            <w:r w:rsidR="00B07655" w:rsidRPr="00B07655">
              <w:t xml:space="preserve"> before </w:t>
            </w:r>
            <w:r w:rsidR="00453C86">
              <w:t>1 April</w:t>
            </w:r>
            <w:r w:rsidR="00B07655" w:rsidRPr="00B07655">
              <w:t xml:space="preserve"> </w:t>
            </w:r>
            <w:r w:rsidR="00B07655">
              <w:rPr>
                <w:bCs/>
              </w:rPr>
              <w:t>2025</w:t>
            </w:r>
          </w:p>
        </w:tc>
        <w:tc>
          <w:tcPr>
            <w:tcW w:w="1520" w:type="dxa"/>
            <w:tcBorders>
              <w:top w:val="single" w:sz="6" w:space="0" w:color="auto"/>
              <w:bottom w:val="single" w:sz="12" w:space="0" w:color="auto"/>
            </w:tcBorders>
            <w:shd w:val="clear" w:color="auto" w:fill="auto"/>
          </w:tcPr>
          <w:p w14:paraId="25E0CD54" w14:textId="62CD1C54" w:rsidR="005F2C53" w:rsidRPr="00B07655" w:rsidRDefault="005F2C53" w:rsidP="005F2C53">
            <w:pPr>
              <w:pStyle w:val="TableHeading"/>
            </w:pPr>
            <w:r>
              <w:t>M</w:t>
            </w:r>
            <w:r w:rsidRPr="00B07655">
              <w:t>ale</w:t>
            </w:r>
          </w:p>
          <w:p w14:paraId="79D10E8E" w14:textId="06CF2AD4" w:rsidR="008A68C2" w:rsidRDefault="0098573B" w:rsidP="00B07655">
            <w:pPr>
              <w:pStyle w:val="TableHeading"/>
              <w:rPr>
                <w:rFonts w:eastAsiaTheme="minorEastAsia"/>
              </w:rPr>
            </w:pPr>
            <w:r>
              <w:t>Applicable</w:t>
            </w:r>
            <w:r w:rsidR="00B07655" w:rsidRPr="00B07655">
              <w:t xml:space="preserve"> date</w:t>
            </w:r>
            <w:r w:rsidR="00EE3294">
              <w:t xml:space="preserve"> or time is</w:t>
            </w:r>
            <w:r w:rsidR="00B07655" w:rsidRPr="00B07655">
              <w:t xml:space="preserve"> on or after </w:t>
            </w:r>
            <w:r w:rsidR="00453C86">
              <w:rPr>
                <w:bCs/>
              </w:rPr>
              <w:t>1 April</w:t>
            </w:r>
            <w:r w:rsidR="00B07655">
              <w:rPr>
                <w:bCs/>
              </w:rPr>
              <w:t xml:space="preserve"> 2025</w:t>
            </w:r>
          </w:p>
        </w:tc>
        <w:tc>
          <w:tcPr>
            <w:tcW w:w="1520" w:type="dxa"/>
            <w:tcBorders>
              <w:top w:val="single" w:sz="6" w:space="0" w:color="auto"/>
              <w:bottom w:val="single" w:sz="12" w:space="0" w:color="auto"/>
            </w:tcBorders>
            <w:shd w:val="clear" w:color="auto" w:fill="auto"/>
          </w:tcPr>
          <w:p w14:paraId="50AE7603" w14:textId="77777777" w:rsidR="00B07655" w:rsidRPr="00B07655" w:rsidRDefault="00B07655" w:rsidP="00B07655">
            <w:pPr>
              <w:pStyle w:val="TableHeading"/>
            </w:pPr>
            <w:r w:rsidRPr="00B07655">
              <w:t>Female</w:t>
            </w:r>
          </w:p>
          <w:p w14:paraId="64286667" w14:textId="342EAC0B" w:rsidR="008A68C2" w:rsidRDefault="0098573B" w:rsidP="00B07655">
            <w:pPr>
              <w:pStyle w:val="TableHeading"/>
              <w:rPr>
                <w:rFonts w:eastAsiaTheme="minorEastAsia"/>
              </w:rPr>
            </w:pPr>
            <w:r>
              <w:t>Applicable</w:t>
            </w:r>
            <w:r w:rsidR="00B07655">
              <w:t xml:space="preserve"> date</w:t>
            </w:r>
            <w:r w:rsidR="00EE3294">
              <w:t xml:space="preserve"> or time is</w:t>
            </w:r>
            <w:r w:rsidR="00B07655">
              <w:t xml:space="preserve"> before </w:t>
            </w:r>
            <w:r w:rsidR="00453C86">
              <w:t>1 April</w:t>
            </w:r>
            <w:r w:rsidR="00B07655">
              <w:t xml:space="preserve"> 2025</w:t>
            </w:r>
          </w:p>
        </w:tc>
        <w:tc>
          <w:tcPr>
            <w:tcW w:w="1520" w:type="dxa"/>
            <w:tcBorders>
              <w:top w:val="single" w:sz="6" w:space="0" w:color="auto"/>
              <w:bottom w:val="single" w:sz="12" w:space="0" w:color="auto"/>
            </w:tcBorders>
            <w:shd w:val="clear" w:color="auto" w:fill="auto"/>
          </w:tcPr>
          <w:p w14:paraId="4F440796" w14:textId="77777777" w:rsidR="00B07655" w:rsidRPr="00B07655" w:rsidRDefault="00B07655" w:rsidP="00B07655">
            <w:pPr>
              <w:pStyle w:val="TableHeading"/>
            </w:pPr>
            <w:r w:rsidRPr="00B07655">
              <w:t>Female</w:t>
            </w:r>
          </w:p>
          <w:p w14:paraId="7CED7154" w14:textId="54DB55B8" w:rsidR="008A68C2" w:rsidRDefault="0098573B" w:rsidP="00B07655">
            <w:pPr>
              <w:pStyle w:val="TableHeading"/>
              <w:rPr>
                <w:rFonts w:eastAsiaTheme="minorEastAsia"/>
              </w:rPr>
            </w:pPr>
            <w:r>
              <w:t>Applicable</w:t>
            </w:r>
            <w:r w:rsidR="00B07655" w:rsidRPr="00B07655">
              <w:t xml:space="preserve"> date</w:t>
            </w:r>
            <w:r w:rsidR="00EE3294">
              <w:t xml:space="preserve"> or time is</w:t>
            </w:r>
            <w:r w:rsidR="00B07655" w:rsidRPr="00B07655">
              <w:t xml:space="preserve"> on or after </w:t>
            </w:r>
            <w:r w:rsidR="00453C86">
              <w:rPr>
                <w:bCs/>
              </w:rPr>
              <w:t>1 April</w:t>
            </w:r>
            <w:r w:rsidR="00B07655">
              <w:rPr>
                <w:bCs/>
              </w:rPr>
              <w:t xml:space="preserve"> 2025</w:t>
            </w:r>
          </w:p>
        </w:tc>
      </w:tr>
      <w:tr w:rsidR="005F2C53" w:rsidRPr="00B07655" w14:paraId="3693E5A0" w14:textId="77777777" w:rsidTr="008A68C2">
        <w:tc>
          <w:tcPr>
            <w:tcW w:w="714" w:type="dxa"/>
            <w:tcBorders>
              <w:top w:val="single" w:sz="12" w:space="0" w:color="auto"/>
            </w:tcBorders>
            <w:shd w:val="clear" w:color="auto" w:fill="auto"/>
          </w:tcPr>
          <w:p w14:paraId="718FBBCB" w14:textId="4BBDD66F" w:rsidR="005F2C53" w:rsidRDefault="005F2C53" w:rsidP="005F2C53">
            <w:pPr>
              <w:pStyle w:val="Tabletext"/>
              <w:rPr>
                <w:rFonts w:eastAsiaTheme="minorEastAsia"/>
              </w:rPr>
            </w:pPr>
            <w:r>
              <w:rPr>
                <w:rFonts w:eastAsiaTheme="minorEastAsia"/>
              </w:rPr>
              <w:t>1</w:t>
            </w:r>
          </w:p>
        </w:tc>
        <w:tc>
          <w:tcPr>
            <w:tcW w:w="1520" w:type="dxa"/>
            <w:tcBorders>
              <w:top w:val="single" w:sz="12" w:space="0" w:color="auto"/>
            </w:tcBorders>
            <w:shd w:val="clear" w:color="auto" w:fill="auto"/>
          </w:tcPr>
          <w:p w14:paraId="32244632" w14:textId="420AFF16" w:rsidR="005F2C53" w:rsidRPr="00B07655" w:rsidRDefault="005F2C53" w:rsidP="005F2C53">
            <w:pPr>
              <w:pStyle w:val="Tabletext"/>
              <w:rPr>
                <w:rFonts w:eastAsiaTheme="minorEastAsia"/>
              </w:rPr>
            </w:pPr>
            <w:r w:rsidRPr="00B07655">
              <w:t>Pension not indexed</w:t>
            </w:r>
          </w:p>
        </w:tc>
        <w:tc>
          <w:tcPr>
            <w:tcW w:w="1520" w:type="dxa"/>
            <w:tcBorders>
              <w:top w:val="single" w:sz="12" w:space="0" w:color="auto"/>
            </w:tcBorders>
            <w:shd w:val="clear" w:color="auto" w:fill="auto"/>
          </w:tcPr>
          <w:p w14:paraId="34A5B1EC" w14:textId="4033060A" w:rsidR="005F2C53" w:rsidRPr="00B07655" w:rsidRDefault="005F2C53" w:rsidP="005F2C53">
            <w:pPr>
              <w:pStyle w:val="Tabletext"/>
              <w:rPr>
                <w:rFonts w:eastAsiaTheme="minorEastAsia"/>
              </w:rPr>
            </w:pPr>
            <w:r w:rsidRPr="00B07655">
              <w:rPr>
                <w:rFonts w:eastAsiaTheme="minorEastAsia"/>
              </w:rPr>
              <w:t>1</w:t>
            </w:r>
          </w:p>
        </w:tc>
        <w:tc>
          <w:tcPr>
            <w:tcW w:w="1520" w:type="dxa"/>
            <w:tcBorders>
              <w:top w:val="single" w:sz="12" w:space="0" w:color="auto"/>
            </w:tcBorders>
            <w:shd w:val="clear" w:color="auto" w:fill="auto"/>
          </w:tcPr>
          <w:p w14:paraId="53A788B2" w14:textId="7EBE5CA9" w:rsidR="005F2C53" w:rsidRPr="00B07655" w:rsidRDefault="005F2C53" w:rsidP="005F2C53">
            <w:pPr>
              <w:pStyle w:val="Tabletext"/>
              <w:rPr>
                <w:rFonts w:eastAsiaTheme="minorEastAsia"/>
              </w:rPr>
            </w:pPr>
            <w:r w:rsidRPr="0075436B">
              <w:t>1.22</w:t>
            </w:r>
          </w:p>
        </w:tc>
        <w:tc>
          <w:tcPr>
            <w:tcW w:w="1520" w:type="dxa"/>
            <w:tcBorders>
              <w:top w:val="single" w:sz="12" w:space="0" w:color="auto"/>
            </w:tcBorders>
            <w:shd w:val="clear" w:color="auto" w:fill="auto"/>
          </w:tcPr>
          <w:p w14:paraId="5D33E5F6" w14:textId="3F93BE7F" w:rsidR="005F2C53" w:rsidRPr="00B07655" w:rsidRDefault="005F2C53" w:rsidP="005F2C53">
            <w:pPr>
              <w:pStyle w:val="Tabletext"/>
              <w:rPr>
                <w:rFonts w:eastAsiaTheme="minorEastAsia"/>
              </w:rPr>
            </w:pPr>
            <w:r>
              <w:rPr>
                <w:rFonts w:eastAsiaTheme="minorEastAsia"/>
              </w:rPr>
              <w:t>1</w:t>
            </w:r>
          </w:p>
        </w:tc>
        <w:tc>
          <w:tcPr>
            <w:tcW w:w="1520" w:type="dxa"/>
            <w:tcBorders>
              <w:top w:val="single" w:sz="12" w:space="0" w:color="auto"/>
            </w:tcBorders>
            <w:shd w:val="clear" w:color="auto" w:fill="auto"/>
          </w:tcPr>
          <w:p w14:paraId="2B09EB48" w14:textId="18439932" w:rsidR="005F2C53" w:rsidRPr="00B07655" w:rsidRDefault="005F2C53" w:rsidP="005F2C53">
            <w:pPr>
              <w:pStyle w:val="Tabletext"/>
              <w:rPr>
                <w:rFonts w:eastAsiaTheme="minorEastAsia"/>
              </w:rPr>
            </w:pPr>
            <w:r w:rsidRPr="0075436B">
              <w:t>1.15</w:t>
            </w:r>
          </w:p>
        </w:tc>
      </w:tr>
      <w:tr w:rsidR="005F2C53" w:rsidRPr="00B07655" w14:paraId="67805378" w14:textId="77777777" w:rsidTr="008A68C2">
        <w:tc>
          <w:tcPr>
            <w:tcW w:w="714" w:type="dxa"/>
            <w:shd w:val="clear" w:color="auto" w:fill="auto"/>
          </w:tcPr>
          <w:p w14:paraId="62DCF501" w14:textId="4CD82B1A" w:rsidR="005F2C53" w:rsidRPr="00B07655" w:rsidRDefault="005F2C53" w:rsidP="005F2C53">
            <w:pPr>
              <w:pStyle w:val="Tabletext"/>
              <w:rPr>
                <w:rFonts w:eastAsiaTheme="minorEastAsia"/>
              </w:rPr>
            </w:pPr>
            <w:r w:rsidRPr="00B07655">
              <w:rPr>
                <w:rFonts w:eastAsiaTheme="minorEastAsia"/>
              </w:rPr>
              <w:t>2</w:t>
            </w:r>
          </w:p>
        </w:tc>
        <w:tc>
          <w:tcPr>
            <w:tcW w:w="1520" w:type="dxa"/>
            <w:shd w:val="clear" w:color="auto" w:fill="auto"/>
          </w:tcPr>
          <w:p w14:paraId="51B004F3" w14:textId="60B38FAE" w:rsidR="005F2C53" w:rsidRPr="00B07655" w:rsidRDefault="005F2C53" w:rsidP="005F2C53">
            <w:pPr>
              <w:pStyle w:val="Tabletext"/>
              <w:rPr>
                <w:rFonts w:eastAsiaTheme="minorEastAsia"/>
              </w:rPr>
            </w:pPr>
            <w:r w:rsidRPr="00B07655">
              <w:t>CPI indexed pension</w:t>
            </w:r>
          </w:p>
        </w:tc>
        <w:tc>
          <w:tcPr>
            <w:tcW w:w="1520" w:type="dxa"/>
            <w:shd w:val="clear" w:color="auto" w:fill="auto"/>
          </w:tcPr>
          <w:p w14:paraId="68BAB318" w14:textId="007B8F0B" w:rsidR="005F2C53" w:rsidRPr="00B07655" w:rsidRDefault="005F2C53" w:rsidP="005F2C53">
            <w:pPr>
              <w:pStyle w:val="Tabletext"/>
              <w:rPr>
                <w:rFonts w:eastAsiaTheme="minorEastAsia"/>
              </w:rPr>
            </w:pPr>
            <w:r w:rsidRPr="00B07655">
              <w:rPr>
                <w:rFonts w:eastAsiaTheme="minorEastAsia"/>
              </w:rPr>
              <w:t>1</w:t>
            </w:r>
          </w:p>
        </w:tc>
        <w:tc>
          <w:tcPr>
            <w:tcW w:w="1520" w:type="dxa"/>
            <w:shd w:val="clear" w:color="auto" w:fill="auto"/>
          </w:tcPr>
          <w:p w14:paraId="5D75913C" w14:textId="67F5B7BA" w:rsidR="005F2C53" w:rsidRPr="00B07655" w:rsidRDefault="005F2C53" w:rsidP="005F2C53">
            <w:pPr>
              <w:pStyle w:val="Tabletext"/>
              <w:rPr>
                <w:rFonts w:eastAsiaTheme="minorEastAsia"/>
              </w:rPr>
            </w:pPr>
            <w:r w:rsidRPr="0075436B">
              <w:t>1.27</w:t>
            </w:r>
          </w:p>
        </w:tc>
        <w:tc>
          <w:tcPr>
            <w:tcW w:w="1520" w:type="dxa"/>
            <w:shd w:val="clear" w:color="auto" w:fill="auto"/>
          </w:tcPr>
          <w:p w14:paraId="02518BC2" w14:textId="21FFE5F4" w:rsidR="005F2C53" w:rsidRPr="00B07655" w:rsidRDefault="005F2C53" w:rsidP="005F2C53">
            <w:pPr>
              <w:pStyle w:val="Tabletext"/>
              <w:rPr>
                <w:rFonts w:eastAsiaTheme="minorEastAsia"/>
              </w:rPr>
            </w:pPr>
            <w:r>
              <w:rPr>
                <w:rFonts w:eastAsiaTheme="minorEastAsia"/>
              </w:rPr>
              <w:t>1</w:t>
            </w:r>
          </w:p>
        </w:tc>
        <w:tc>
          <w:tcPr>
            <w:tcW w:w="1520" w:type="dxa"/>
            <w:shd w:val="clear" w:color="auto" w:fill="auto"/>
          </w:tcPr>
          <w:p w14:paraId="0D6B469B" w14:textId="7458CCDB" w:rsidR="005F2C53" w:rsidRPr="00B07655" w:rsidRDefault="005F2C53" w:rsidP="005F2C53">
            <w:pPr>
              <w:pStyle w:val="Tabletext"/>
              <w:rPr>
                <w:rFonts w:eastAsiaTheme="minorEastAsia"/>
              </w:rPr>
            </w:pPr>
            <w:r w:rsidRPr="0075436B">
              <w:t>1.19</w:t>
            </w:r>
          </w:p>
        </w:tc>
      </w:tr>
      <w:tr w:rsidR="005F2C53" w:rsidRPr="00B07655" w14:paraId="176130ED" w14:textId="77777777" w:rsidTr="008A68C2">
        <w:tc>
          <w:tcPr>
            <w:tcW w:w="714" w:type="dxa"/>
            <w:shd w:val="clear" w:color="auto" w:fill="auto"/>
          </w:tcPr>
          <w:p w14:paraId="410F050D" w14:textId="1BFA68ED" w:rsidR="005F2C53" w:rsidRPr="00B07655" w:rsidRDefault="005F2C53" w:rsidP="005F2C53">
            <w:pPr>
              <w:pStyle w:val="Tabletext"/>
              <w:rPr>
                <w:rFonts w:eastAsiaTheme="minorEastAsia"/>
              </w:rPr>
            </w:pPr>
            <w:r w:rsidRPr="00B07655">
              <w:rPr>
                <w:rFonts w:eastAsiaTheme="minorEastAsia"/>
              </w:rPr>
              <w:t>3</w:t>
            </w:r>
          </w:p>
        </w:tc>
        <w:tc>
          <w:tcPr>
            <w:tcW w:w="1520" w:type="dxa"/>
            <w:shd w:val="clear" w:color="auto" w:fill="auto"/>
          </w:tcPr>
          <w:p w14:paraId="7841911F" w14:textId="5E6B87DB" w:rsidR="005F2C53" w:rsidRPr="00B07655" w:rsidRDefault="005F2C53" w:rsidP="005F2C53">
            <w:pPr>
              <w:pStyle w:val="Tabletext"/>
              <w:rPr>
                <w:rFonts w:eastAsiaTheme="minorEastAsia"/>
              </w:rPr>
            </w:pPr>
            <w:r w:rsidRPr="00B07655">
              <w:t>CPI indexed pension with 5% cap</w:t>
            </w:r>
          </w:p>
        </w:tc>
        <w:tc>
          <w:tcPr>
            <w:tcW w:w="1520" w:type="dxa"/>
            <w:shd w:val="clear" w:color="auto" w:fill="auto"/>
          </w:tcPr>
          <w:p w14:paraId="06694475" w14:textId="1F2B5192" w:rsidR="005F2C53" w:rsidRPr="00B07655" w:rsidRDefault="005F2C53" w:rsidP="005F2C53">
            <w:pPr>
              <w:pStyle w:val="Tabletext"/>
              <w:rPr>
                <w:rFonts w:eastAsiaTheme="minorEastAsia"/>
              </w:rPr>
            </w:pPr>
            <w:r w:rsidRPr="00B07655">
              <w:rPr>
                <w:rFonts w:eastAsiaTheme="minorEastAsia"/>
              </w:rPr>
              <w:t>1</w:t>
            </w:r>
          </w:p>
        </w:tc>
        <w:tc>
          <w:tcPr>
            <w:tcW w:w="1520" w:type="dxa"/>
            <w:shd w:val="clear" w:color="auto" w:fill="auto"/>
          </w:tcPr>
          <w:p w14:paraId="0F73E917" w14:textId="58964FFB" w:rsidR="005F2C53" w:rsidRPr="00B07655" w:rsidRDefault="005F2C53" w:rsidP="005F2C53">
            <w:pPr>
              <w:pStyle w:val="Tabletext"/>
              <w:rPr>
                <w:rFonts w:eastAsiaTheme="minorEastAsia"/>
              </w:rPr>
            </w:pPr>
            <w:r w:rsidRPr="0075436B">
              <w:t>1.27</w:t>
            </w:r>
          </w:p>
        </w:tc>
        <w:tc>
          <w:tcPr>
            <w:tcW w:w="1520" w:type="dxa"/>
            <w:shd w:val="clear" w:color="auto" w:fill="auto"/>
          </w:tcPr>
          <w:p w14:paraId="6CC1CDC0" w14:textId="712596FB" w:rsidR="005F2C53" w:rsidRPr="00B07655" w:rsidRDefault="005F2C53" w:rsidP="005F2C53">
            <w:pPr>
              <w:pStyle w:val="Tabletext"/>
              <w:rPr>
                <w:rFonts w:eastAsiaTheme="minorEastAsia"/>
              </w:rPr>
            </w:pPr>
            <w:r>
              <w:rPr>
                <w:rFonts w:eastAsiaTheme="minorEastAsia"/>
              </w:rPr>
              <w:t>1</w:t>
            </w:r>
          </w:p>
        </w:tc>
        <w:tc>
          <w:tcPr>
            <w:tcW w:w="1520" w:type="dxa"/>
            <w:shd w:val="clear" w:color="auto" w:fill="auto"/>
          </w:tcPr>
          <w:p w14:paraId="61FF3A01" w14:textId="0DB7E885" w:rsidR="005F2C53" w:rsidRPr="00B07655" w:rsidRDefault="005F2C53" w:rsidP="005F2C53">
            <w:pPr>
              <w:pStyle w:val="Tabletext"/>
              <w:rPr>
                <w:rFonts w:eastAsiaTheme="minorEastAsia"/>
              </w:rPr>
            </w:pPr>
            <w:r w:rsidRPr="0075436B">
              <w:t>1.19</w:t>
            </w:r>
          </w:p>
        </w:tc>
      </w:tr>
      <w:tr w:rsidR="005F2C53" w:rsidRPr="00B07655" w14:paraId="5E9FAA24" w14:textId="77777777" w:rsidTr="008A68C2">
        <w:tc>
          <w:tcPr>
            <w:tcW w:w="714" w:type="dxa"/>
            <w:shd w:val="clear" w:color="auto" w:fill="auto"/>
          </w:tcPr>
          <w:p w14:paraId="069EB18B" w14:textId="709815D3" w:rsidR="005F2C53" w:rsidRPr="00B07655" w:rsidRDefault="005F2C53" w:rsidP="005F2C53">
            <w:pPr>
              <w:pStyle w:val="Tabletext"/>
              <w:rPr>
                <w:rFonts w:eastAsiaTheme="minorEastAsia"/>
              </w:rPr>
            </w:pPr>
            <w:r w:rsidRPr="00B07655">
              <w:rPr>
                <w:rFonts w:eastAsiaTheme="minorEastAsia"/>
              </w:rPr>
              <w:t>4</w:t>
            </w:r>
          </w:p>
        </w:tc>
        <w:tc>
          <w:tcPr>
            <w:tcW w:w="1520" w:type="dxa"/>
            <w:shd w:val="clear" w:color="auto" w:fill="auto"/>
          </w:tcPr>
          <w:p w14:paraId="110DD2E1" w14:textId="161686B8" w:rsidR="005F2C53" w:rsidRPr="00B07655" w:rsidRDefault="005F2C53" w:rsidP="005F2C53">
            <w:pPr>
              <w:pStyle w:val="Tabletext"/>
              <w:rPr>
                <w:rFonts w:eastAsiaTheme="minorEastAsia"/>
              </w:rPr>
            </w:pPr>
            <w:r w:rsidRPr="00B07655">
              <w:t xml:space="preserve">CPI indexed pension </w:t>
            </w:r>
            <w:r w:rsidR="00FA6312">
              <w:t>plus</w:t>
            </w:r>
            <w:r w:rsidRPr="00B07655">
              <w:t xml:space="preserve"> 1%</w:t>
            </w:r>
          </w:p>
        </w:tc>
        <w:tc>
          <w:tcPr>
            <w:tcW w:w="1520" w:type="dxa"/>
            <w:shd w:val="clear" w:color="auto" w:fill="auto"/>
          </w:tcPr>
          <w:p w14:paraId="5A5FA9C0" w14:textId="5BE506D6" w:rsidR="005F2C53" w:rsidRPr="00B07655" w:rsidRDefault="005F2C53" w:rsidP="005F2C53">
            <w:pPr>
              <w:pStyle w:val="Tabletext"/>
              <w:rPr>
                <w:rFonts w:eastAsiaTheme="minorEastAsia"/>
              </w:rPr>
            </w:pPr>
            <w:r w:rsidRPr="00B07655">
              <w:rPr>
                <w:rFonts w:eastAsiaTheme="minorEastAsia"/>
              </w:rPr>
              <w:t>1</w:t>
            </w:r>
          </w:p>
        </w:tc>
        <w:tc>
          <w:tcPr>
            <w:tcW w:w="1520" w:type="dxa"/>
            <w:shd w:val="clear" w:color="auto" w:fill="auto"/>
          </w:tcPr>
          <w:p w14:paraId="23000471" w14:textId="1987423A" w:rsidR="005F2C53" w:rsidRPr="00B07655" w:rsidRDefault="005F2C53" w:rsidP="005F2C53">
            <w:pPr>
              <w:pStyle w:val="Tabletext"/>
              <w:rPr>
                <w:rFonts w:eastAsiaTheme="minorEastAsia"/>
              </w:rPr>
            </w:pPr>
            <w:r w:rsidRPr="0075436B">
              <w:t>1.29</w:t>
            </w:r>
          </w:p>
        </w:tc>
        <w:tc>
          <w:tcPr>
            <w:tcW w:w="1520" w:type="dxa"/>
            <w:shd w:val="clear" w:color="auto" w:fill="auto"/>
          </w:tcPr>
          <w:p w14:paraId="52B726C9" w14:textId="4A1E171D" w:rsidR="005F2C53" w:rsidRPr="00B07655" w:rsidRDefault="005F2C53" w:rsidP="005F2C53">
            <w:pPr>
              <w:pStyle w:val="Tabletext"/>
              <w:rPr>
                <w:rFonts w:eastAsiaTheme="minorEastAsia"/>
              </w:rPr>
            </w:pPr>
            <w:r>
              <w:rPr>
                <w:rFonts w:eastAsiaTheme="minorEastAsia"/>
              </w:rPr>
              <w:t>1</w:t>
            </w:r>
          </w:p>
        </w:tc>
        <w:tc>
          <w:tcPr>
            <w:tcW w:w="1520" w:type="dxa"/>
            <w:shd w:val="clear" w:color="auto" w:fill="auto"/>
          </w:tcPr>
          <w:p w14:paraId="5757CEA6" w14:textId="635FECA3" w:rsidR="005F2C53" w:rsidRPr="00B07655" w:rsidRDefault="005F2C53" w:rsidP="005F2C53">
            <w:pPr>
              <w:pStyle w:val="Tabletext"/>
              <w:rPr>
                <w:rFonts w:eastAsiaTheme="minorEastAsia"/>
              </w:rPr>
            </w:pPr>
            <w:r w:rsidRPr="0075436B">
              <w:t>1.21</w:t>
            </w:r>
          </w:p>
        </w:tc>
      </w:tr>
      <w:tr w:rsidR="005F2C53" w:rsidRPr="00B07655" w14:paraId="1841CFC3" w14:textId="77777777" w:rsidTr="008A68C2">
        <w:tc>
          <w:tcPr>
            <w:tcW w:w="714" w:type="dxa"/>
            <w:shd w:val="clear" w:color="auto" w:fill="auto"/>
          </w:tcPr>
          <w:p w14:paraId="2E4F203D" w14:textId="158A35AB" w:rsidR="005F2C53" w:rsidRPr="00B07655" w:rsidRDefault="005F2C53" w:rsidP="005F2C53">
            <w:pPr>
              <w:pStyle w:val="Tabletext"/>
              <w:rPr>
                <w:rFonts w:eastAsiaTheme="minorEastAsia"/>
              </w:rPr>
            </w:pPr>
            <w:r w:rsidRPr="00B07655">
              <w:rPr>
                <w:rFonts w:eastAsiaTheme="minorEastAsia"/>
              </w:rPr>
              <w:t>5</w:t>
            </w:r>
          </w:p>
        </w:tc>
        <w:tc>
          <w:tcPr>
            <w:tcW w:w="1520" w:type="dxa"/>
            <w:shd w:val="clear" w:color="auto" w:fill="auto"/>
          </w:tcPr>
          <w:p w14:paraId="2C9492FC" w14:textId="03DDB3F1" w:rsidR="005F2C53" w:rsidRPr="00B07655" w:rsidRDefault="005F2C53" w:rsidP="005F2C53">
            <w:pPr>
              <w:pStyle w:val="Tabletext"/>
              <w:rPr>
                <w:rFonts w:eastAsiaTheme="minorEastAsia"/>
              </w:rPr>
            </w:pPr>
            <w:r w:rsidRPr="00B07655">
              <w:t>CPI indexed pension plus 1% with 5% cap</w:t>
            </w:r>
          </w:p>
        </w:tc>
        <w:tc>
          <w:tcPr>
            <w:tcW w:w="1520" w:type="dxa"/>
            <w:shd w:val="clear" w:color="auto" w:fill="auto"/>
          </w:tcPr>
          <w:p w14:paraId="5AD7AAAE" w14:textId="7C4418F1" w:rsidR="005F2C53" w:rsidRPr="00B07655" w:rsidRDefault="005F2C53" w:rsidP="005F2C53">
            <w:pPr>
              <w:pStyle w:val="Tabletext"/>
              <w:rPr>
                <w:rFonts w:eastAsiaTheme="minorEastAsia"/>
              </w:rPr>
            </w:pPr>
            <w:r w:rsidRPr="00B07655">
              <w:rPr>
                <w:rFonts w:eastAsiaTheme="minorEastAsia"/>
              </w:rPr>
              <w:t>1</w:t>
            </w:r>
          </w:p>
        </w:tc>
        <w:tc>
          <w:tcPr>
            <w:tcW w:w="1520" w:type="dxa"/>
            <w:shd w:val="clear" w:color="auto" w:fill="auto"/>
          </w:tcPr>
          <w:p w14:paraId="1EBBCCF3" w14:textId="75047014" w:rsidR="005F2C53" w:rsidRPr="00B07655" w:rsidRDefault="005F2C53" w:rsidP="005F2C53">
            <w:pPr>
              <w:pStyle w:val="Tabletext"/>
              <w:rPr>
                <w:rFonts w:eastAsiaTheme="minorEastAsia"/>
              </w:rPr>
            </w:pPr>
            <w:r w:rsidRPr="0075436B">
              <w:t>1.29</w:t>
            </w:r>
          </w:p>
        </w:tc>
        <w:tc>
          <w:tcPr>
            <w:tcW w:w="1520" w:type="dxa"/>
            <w:shd w:val="clear" w:color="auto" w:fill="auto"/>
          </w:tcPr>
          <w:p w14:paraId="25B243CC" w14:textId="7F699E28" w:rsidR="005F2C53" w:rsidRPr="00B07655" w:rsidRDefault="005F2C53" w:rsidP="005F2C53">
            <w:pPr>
              <w:pStyle w:val="Tabletext"/>
              <w:rPr>
                <w:rFonts w:eastAsiaTheme="minorEastAsia"/>
              </w:rPr>
            </w:pPr>
            <w:r>
              <w:rPr>
                <w:rFonts w:eastAsiaTheme="minorEastAsia"/>
              </w:rPr>
              <w:t>1</w:t>
            </w:r>
          </w:p>
        </w:tc>
        <w:tc>
          <w:tcPr>
            <w:tcW w:w="1520" w:type="dxa"/>
            <w:shd w:val="clear" w:color="auto" w:fill="auto"/>
          </w:tcPr>
          <w:p w14:paraId="42DFA175" w14:textId="72061D80" w:rsidR="005F2C53" w:rsidRPr="00B07655" w:rsidRDefault="005F2C53" w:rsidP="005F2C53">
            <w:pPr>
              <w:pStyle w:val="Tabletext"/>
              <w:rPr>
                <w:rFonts w:eastAsiaTheme="minorEastAsia"/>
              </w:rPr>
            </w:pPr>
            <w:r w:rsidRPr="0075436B">
              <w:t>1.21</w:t>
            </w:r>
          </w:p>
        </w:tc>
      </w:tr>
      <w:tr w:rsidR="005F2C53" w:rsidRPr="00B07655" w14:paraId="7287279E" w14:textId="77777777" w:rsidTr="008A68C2">
        <w:tc>
          <w:tcPr>
            <w:tcW w:w="714" w:type="dxa"/>
            <w:shd w:val="clear" w:color="auto" w:fill="auto"/>
          </w:tcPr>
          <w:p w14:paraId="2FCC1F8B" w14:textId="723997E4" w:rsidR="005F2C53" w:rsidRPr="00B07655" w:rsidRDefault="005F2C53" w:rsidP="005F2C53">
            <w:pPr>
              <w:pStyle w:val="Tabletext"/>
              <w:rPr>
                <w:rFonts w:eastAsiaTheme="minorEastAsia"/>
              </w:rPr>
            </w:pPr>
            <w:r w:rsidRPr="00B07655">
              <w:rPr>
                <w:rFonts w:eastAsiaTheme="minorEastAsia"/>
              </w:rPr>
              <w:t>6</w:t>
            </w:r>
          </w:p>
        </w:tc>
        <w:tc>
          <w:tcPr>
            <w:tcW w:w="1520" w:type="dxa"/>
            <w:shd w:val="clear" w:color="auto" w:fill="auto"/>
          </w:tcPr>
          <w:p w14:paraId="44E2D7B6" w14:textId="3A92D335" w:rsidR="005F2C53" w:rsidRPr="00B07655" w:rsidRDefault="005F2C53" w:rsidP="005F2C53">
            <w:pPr>
              <w:pStyle w:val="Tabletext"/>
              <w:rPr>
                <w:rFonts w:eastAsiaTheme="minorEastAsia"/>
              </w:rPr>
            </w:pPr>
            <w:r w:rsidRPr="00B07655">
              <w:t>Pension indexed at 3%</w:t>
            </w:r>
          </w:p>
        </w:tc>
        <w:tc>
          <w:tcPr>
            <w:tcW w:w="1520" w:type="dxa"/>
            <w:shd w:val="clear" w:color="auto" w:fill="auto"/>
          </w:tcPr>
          <w:p w14:paraId="4D7A2E25" w14:textId="5B7DCBF0" w:rsidR="005F2C53" w:rsidRPr="00B07655" w:rsidRDefault="005F2C53" w:rsidP="005F2C53">
            <w:pPr>
              <w:pStyle w:val="Tabletext"/>
              <w:rPr>
                <w:rFonts w:eastAsiaTheme="minorEastAsia"/>
              </w:rPr>
            </w:pPr>
            <w:r w:rsidRPr="00B07655">
              <w:rPr>
                <w:rFonts w:eastAsiaTheme="minorEastAsia"/>
              </w:rPr>
              <w:t>1</w:t>
            </w:r>
          </w:p>
        </w:tc>
        <w:tc>
          <w:tcPr>
            <w:tcW w:w="1520" w:type="dxa"/>
            <w:shd w:val="clear" w:color="auto" w:fill="auto"/>
          </w:tcPr>
          <w:p w14:paraId="634910CA" w14:textId="464C9445" w:rsidR="005F2C53" w:rsidRPr="00B07655" w:rsidRDefault="005F2C53" w:rsidP="005F2C53">
            <w:pPr>
              <w:pStyle w:val="Tabletext"/>
              <w:rPr>
                <w:rFonts w:eastAsiaTheme="minorEastAsia"/>
              </w:rPr>
            </w:pPr>
            <w:r w:rsidRPr="0075436B">
              <w:t>1.28</w:t>
            </w:r>
          </w:p>
        </w:tc>
        <w:tc>
          <w:tcPr>
            <w:tcW w:w="1520" w:type="dxa"/>
            <w:shd w:val="clear" w:color="auto" w:fill="auto"/>
          </w:tcPr>
          <w:p w14:paraId="0515FCF0" w14:textId="11E55095" w:rsidR="005F2C53" w:rsidRPr="00B07655" w:rsidRDefault="005F2C53" w:rsidP="005F2C53">
            <w:pPr>
              <w:pStyle w:val="Tabletext"/>
              <w:rPr>
                <w:rFonts w:eastAsiaTheme="minorEastAsia"/>
              </w:rPr>
            </w:pPr>
            <w:r>
              <w:rPr>
                <w:rFonts w:eastAsiaTheme="minorEastAsia"/>
              </w:rPr>
              <w:t>1</w:t>
            </w:r>
          </w:p>
        </w:tc>
        <w:tc>
          <w:tcPr>
            <w:tcW w:w="1520" w:type="dxa"/>
            <w:shd w:val="clear" w:color="auto" w:fill="auto"/>
          </w:tcPr>
          <w:p w14:paraId="379537B7" w14:textId="6FA6B41A" w:rsidR="005F2C53" w:rsidRPr="00B07655" w:rsidRDefault="005F2C53" w:rsidP="005F2C53">
            <w:pPr>
              <w:pStyle w:val="Tabletext"/>
              <w:rPr>
                <w:rFonts w:eastAsiaTheme="minorEastAsia"/>
              </w:rPr>
            </w:pPr>
            <w:r w:rsidRPr="0075436B">
              <w:t>1.20</w:t>
            </w:r>
          </w:p>
        </w:tc>
      </w:tr>
      <w:tr w:rsidR="005F2C53" w:rsidRPr="00B07655" w14:paraId="7F4FA5AC" w14:textId="77777777" w:rsidTr="008A68C2">
        <w:tc>
          <w:tcPr>
            <w:tcW w:w="714" w:type="dxa"/>
            <w:shd w:val="clear" w:color="auto" w:fill="auto"/>
          </w:tcPr>
          <w:p w14:paraId="4607C4D2" w14:textId="2684FD91" w:rsidR="005F2C53" w:rsidRPr="00B07655" w:rsidRDefault="005F2C53" w:rsidP="005F2C53">
            <w:pPr>
              <w:pStyle w:val="Tabletext"/>
              <w:rPr>
                <w:rFonts w:eastAsiaTheme="minorEastAsia"/>
              </w:rPr>
            </w:pPr>
            <w:r w:rsidRPr="00B07655">
              <w:rPr>
                <w:rFonts w:eastAsiaTheme="minorEastAsia"/>
              </w:rPr>
              <w:t>7</w:t>
            </w:r>
          </w:p>
        </w:tc>
        <w:tc>
          <w:tcPr>
            <w:tcW w:w="1520" w:type="dxa"/>
            <w:shd w:val="clear" w:color="auto" w:fill="auto"/>
          </w:tcPr>
          <w:p w14:paraId="33167FD6" w14:textId="7E008AA5" w:rsidR="005F2C53" w:rsidRPr="00B07655" w:rsidRDefault="005F2C53" w:rsidP="005F2C53">
            <w:pPr>
              <w:pStyle w:val="Tabletext"/>
              <w:rPr>
                <w:rFonts w:eastAsiaTheme="minorEastAsia"/>
              </w:rPr>
            </w:pPr>
            <w:r w:rsidRPr="00B07655">
              <w:t>Wage indexed pension</w:t>
            </w:r>
          </w:p>
        </w:tc>
        <w:tc>
          <w:tcPr>
            <w:tcW w:w="1520" w:type="dxa"/>
            <w:shd w:val="clear" w:color="auto" w:fill="auto"/>
          </w:tcPr>
          <w:p w14:paraId="0132FC87" w14:textId="04058FBB" w:rsidR="005F2C53" w:rsidRPr="00B07655" w:rsidRDefault="005F2C53" w:rsidP="005F2C53">
            <w:pPr>
              <w:pStyle w:val="Tabletext"/>
              <w:rPr>
                <w:rFonts w:eastAsiaTheme="minorEastAsia"/>
              </w:rPr>
            </w:pPr>
            <w:r w:rsidRPr="00B07655">
              <w:rPr>
                <w:rFonts w:eastAsiaTheme="minorEastAsia"/>
              </w:rPr>
              <w:t>1</w:t>
            </w:r>
          </w:p>
        </w:tc>
        <w:tc>
          <w:tcPr>
            <w:tcW w:w="1520" w:type="dxa"/>
            <w:shd w:val="clear" w:color="auto" w:fill="auto"/>
          </w:tcPr>
          <w:p w14:paraId="1C0E7AF9" w14:textId="02E0EF37" w:rsidR="005F2C53" w:rsidRPr="00B07655" w:rsidRDefault="005F2C53" w:rsidP="005F2C53">
            <w:pPr>
              <w:pStyle w:val="Tabletext"/>
              <w:rPr>
                <w:rFonts w:eastAsiaTheme="minorEastAsia"/>
              </w:rPr>
            </w:pPr>
            <w:r w:rsidRPr="0075436B">
              <w:t>1.27</w:t>
            </w:r>
          </w:p>
        </w:tc>
        <w:tc>
          <w:tcPr>
            <w:tcW w:w="1520" w:type="dxa"/>
            <w:shd w:val="clear" w:color="auto" w:fill="auto"/>
          </w:tcPr>
          <w:p w14:paraId="72905136" w14:textId="255114E9" w:rsidR="005F2C53" w:rsidRPr="00B07655" w:rsidRDefault="005F2C53" w:rsidP="005F2C53">
            <w:pPr>
              <w:pStyle w:val="Tabletext"/>
              <w:rPr>
                <w:rFonts w:eastAsiaTheme="minorEastAsia"/>
              </w:rPr>
            </w:pPr>
            <w:r>
              <w:rPr>
                <w:rFonts w:eastAsiaTheme="minorEastAsia"/>
              </w:rPr>
              <w:t>1</w:t>
            </w:r>
          </w:p>
        </w:tc>
        <w:tc>
          <w:tcPr>
            <w:tcW w:w="1520" w:type="dxa"/>
            <w:shd w:val="clear" w:color="auto" w:fill="auto"/>
          </w:tcPr>
          <w:p w14:paraId="25887726" w14:textId="69584C58" w:rsidR="005F2C53" w:rsidRPr="00B07655" w:rsidRDefault="005F2C53" w:rsidP="005F2C53">
            <w:pPr>
              <w:pStyle w:val="Tabletext"/>
              <w:rPr>
                <w:rFonts w:eastAsiaTheme="minorEastAsia"/>
              </w:rPr>
            </w:pPr>
            <w:r w:rsidRPr="0075436B">
              <w:t>1.18</w:t>
            </w:r>
          </w:p>
        </w:tc>
      </w:tr>
      <w:tr w:rsidR="005F2C53" w:rsidRPr="00B07655" w14:paraId="256A1D7B" w14:textId="77777777" w:rsidTr="008A68C2">
        <w:tc>
          <w:tcPr>
            <w:tcW w:w="714" w:type="dxa"/>
            <w:tcBorders>
              <w:bottom w:val="single" w:sz="2" w:space="0" w:color="auto"/>
            </w:tcBorders>
            <w:shd w:val="clear" w:color="auto" w:fill="auto"/>
          </w:tcPr>
          <w:p w14:paraId="2D93B285" w14:textId="57006157" w:rsidR="005F2C53" w:rsidRPr="00B07655" w:rsidRDefault="005F2C53" w:rsidP="005F2C53">
            <w:pPr>
              <w:pStyle w:val="Tabletext"/>
              <w:rPr>
                <w:rFonts w:eastAsiaTheme="minorEastAsia"/>
              </w:rPr>
            </w:pPr>
            <w:r w:rsidRPr="00B07655">
              <w:rPr>
                <w:rFonts w:eastAsiaTheme="minorEastAsia"/>
              </w:rPr>
              <w:t>8</w:t>
            </w:r>
          </w:p>
        </w:tc>
        <w:tc>
          <w:tcPr>
            <w:tcW w:w="1520" w:type="dxa"/>
            <w:tcBorders>
              <w:bottom w:val="single" w:sz="2" w:space="0" w:color="auto"/>
            </w:tcBorders>
            <w:shd w:val="clear" w:color="auto" w:fill="auto"/>
          </w:tcPr>
          <w:p w14:paraId="163455B0" w14:textId="7EC49EA0" w:rsidR="005F2C53" w:rsidRPr="00B07655" w:rsidRDefault="005F2C53" w:rsidP="005F2C53">
            <w:pPr>
              <w:pStyle w:val="Tabletext"/>
              <w:rPr>
                <w:rFonts w:eastAsiaTheme="minorEastAsia"/>
              </w:rPr>
            </w:pPr>
            <w:r w:rsidRPr="00B07655">
              <w:t>Pension indexed at 4%</w:t>
            </w:r>
          </w:p>
        </w:tc>
        <w:tc>
          <w:tcPr>
            <w:tcW w:w="1520" w:type="dxa"/>
            <w:tcBorders>
              <w:bottom w:val="single" w:sz="2" w:space="0" w:color="auto"/>
            </w:tcBorders>
            <w:shd w:val="clear" w:color="auto" w:fill="auto"/>
          </w:tcPr>
          <w:p w14:paraId="70C7EB58" w14:textId="6467AEBB" w:rsidR="005F2C53" w:rsidRPr="00B07655" w:rsidRDefault="005F2C53" w:rsidP="005F2C53">
            <w:pPr>
              <w:pStyle w:val="Tabletext"/>
              <w:rPr>
                <w:rFonts w:eastAsiaTheme="minorEastAsia"/>
              </w:rPr>
            </w:pPr>
            <w:r w:rsidRPr="00B07655">
              <w:rPr>
                <w:rFonts w:eastAsiaTheme="minorEastAsia"/>
              </w:rPr>
              <w:t>1</w:t>
            </w:r>
          </w:p>
        </w:tc>
        <w:tc>
          <w:tcPr>
            <w:tcW w:w="1520" w:type="dxa"/>
            <w:tcBorders>
              <w:bottom w:val="single" w:sz="2" w:space="0" w:color="auto"/>
            </w:tcBorders>
            <w:shd w:val="clear" w:color="auto" w:fill="auto"/>
          </w:tcPr>
          <w:p w14:paraId="409C87D4" w14:textId="0A45C3C9" w:rsidR="005F2C53" w:rsidRPr="00B07655" w:rsidRDefault="005F2C53" w:rsidP="005F2C53">
            <w:pPr>
              <w:pStyle w:val="Tabletext"/>
              <w:rPr>
                <w:rFonts w:eastAsiaTheme="minorEastAsia"/>
              </w:rPr>
            </w:pPr>
            <w:r w:rsidRPr="0075436B">
              <w:t>1</w:t>
            </w:r>
          </w:p>
        </w:tc>
        <w:tc>
          <w:tcPr>
            <w:tcW w:w="1520" w:type="dxa"/>
            <w:tcBorders>
              <w:bottom w:val="single" w:sz="2" w:space="0" w:color="auto"/>
            </w:tcBorders>
            <w:shd w:val="clear" w:color="auto" w:fill="auto"/>
          </w:tcPr>
          <w:p w14:paraId="5013A968" w14:textId="329BEBA3" w:rsidR="005F2C53" w:rsidRPr="00B07655" w:rsidRDefault="005F2C53" w:rsidP="005F2C53">
            <w:pPr>
              <w:pStyle w:val="Tabletext"/>
              <w:rPr>
                <w:rFonts w:eastAsiaTheme="minorEastAsia"/>
              </w:rPr>
            </w:pPr>
            <w:r>
              <w:rPr>
                <w:rFonts w:eastAsiaTheme="minorEastAsia"/>
              </w:rPr>
              <w:t>1</w:t>
            </w:r>
          </w:p>
        </w:tc>
        <w:tc>
          <w:tcPr>
            <w:tcW w:w="1520" w:type="dxa"/>
            <w:tcBorders>
              <w:bottom w:val="single" w:sz="2" w:space="0" w:color="auto"/>
            </w:tcBorders>
            <w:shd w:val="clear" w:color="auto" w:fill="auto"/>
          </w:tcPr>
          <w:p w14:paraId="1D56C902" w14:textId="7B75B264" w:rsidR="005F2C53" w:rsidRPr="00B07655" w:rsidRDefault="005F2C53" w:rsidP="005F2C53">
            <w:pPr>
              <w:pStyle w:val="Tabletext"/>
              <w:rPr>
                <w:rFonts w:eastAsiaTheme="minorEastAsia"/>
              </w:rPr>
            </w:pPr>
            <w:r w:rsidRPr="0075436B">
              <w:t>1</w:t>
            </w:r>
          </w:p>
        </w:tc>
      </w:tr>
      <w:tr w:rsidR="005F2C53" w14:paraId="1B01A955" w14:textId="77777777" w:rsidTr="008A68C2">
        <w:tc>
          <w:tcPr>
            <w:tcW w:w="714" w:type="dxa"/>
            <w:tcBorders>
              <w:top w:val="single" w:sz="2" w:space="0" w:color="auto"/>
              <w:bottom w:val="single" w:sz="12" w:space="0" w:color="auto"/>
            </w:tcBorders>
            <w:shd w:val="clear" w:color="auto" w:fill="auto"/>
          </w:tcPr>
          <w:p w14:paraId="72F9C3A8" w14:textId="44A33340" w:rsidR="005F2C53" w:rsidRPr="00B07655" w:rsidRDefault="005F2C53" w:rsidP="005F2C53">
            <w:pPr>
              <w:pStyle w:val="Tabletext"/>
              <w:rPr>
                <w:rFonts w:eastAsiaTheme="minorEastAsia"/>
              </w:rPr>
            </w:pPr>
            <w:r w:rsidRPr="00B07655">
              <w:rPr>
                <w:rFonts w:eastAsiaTheme="minorEastAsia"/>
              </w:rPr>
              <w:t>9</w:t>
            </w:r>
          </w:p>
        </w:tc>
        <w:tc>
          <w:tcPr>
            <w:tcW w:w="1520" w:type="dxa"/>
            <w:tcBorders>
              <w:top w:val="single" w:sz="2" w:space="0" w:color="auto"/>
              <w:bottom w:val="single" w:sz="12" w:space="0" w:color="auto"/>
            </w:tcBorders>
            <w:shd w:val="clear" w:color="auto" w:fill="auto"/>
          </w:tcPr>
          <w:p w14:paraId="72D40B46" w14:textId="6D612B8E" w:rsidR="005F2C53" w:rsidRPr="00B07655" w:rsidRDefault="005F2C53" w:rsidP="005F2C53">
            <w:pPr>
              <w:pStyle w:val="Tabletext"/>
              <w:rPr>
                <w:rFonts w:eastAsiaTheme="minorEastAsia"/>
              </w:rPr>
            </w:pPr>
            <w:r w:rsidRPr="00B07655">
              <w:t>Pension indexed at 5%</w:t>
            </w:r>
          </w:p>
        </w:tc>
        <w:tc>
          <w:tcPr>
            <w:tcW w:w="1520" w:type="dxa"/>
            <w:tcBorders>
              <w:top w:val="single" w:sz="2" w:space="0" w:color="auto"/>
              <w:bottom w:val="single" w:sz="12" w:space="0" w:color="auto"/>
            </w:tcBorders>
            <w:shd w:val="clear" w:color="auto" w:fill="auto"/>
          </w:tcPr>
          <w:p w14:paraId="4BC17763" w14:textId="78A725CE" w:rsidR="005F2C53" w:rsidRDefault="005F2C53" w:rsidP="005F2C53">
            <w:pPr>
              <w:pStyle w:val="Tabletext"/>
              <w:rPr>
                <w:rFonts w:eastAsiaTheme="minorEastAsia"/>
              </w:rPr>
            </w:pPr>
            <w:r>
              <w:rPr>
                <w:rFonts w:eastAsiaTheme="minorEastAsia"/>
              </w:rPr>
              <w:t>1</w:t>
            </w:r>
          </w:p>
        </w:tc>
        <w:tc>
          <w:tcPr>
            <w:tcW w:w="1520" w:type="dxa"/>
            <w:tcBorders>
              <w:top w:val="single" w:sz="2" w:space="0" w:color="auto"/>
              <w:bottom w:val="single" w:sz="12" w:space="0" w:color="auto"/>
            </w:tcBorders>
            <w:shd w:val="clear" w:color="auto" w:fill="auto"/>
          </w:tcPr>
          <w:p w14:paraId="580DEDA6" w14:textId="3174AF58" w:rsidR="005F2C53" w:rsidRDefault="005F2C53" w:rsidP="005F2C53">
            <w:pPr>
              <w:pStyle w:val="Tabletext"/>
              <w:rPr>
                <w:rFonts w:eastAsiaTheme="minorEastAsia"/>
              </w:rPr>
            </w:pPr>
            <w:r w:rsidRPr="0075436B">
              <w:t>1.33</w:t>
            </w:r>
          </w:p>
        </w:tc>
        <w:tc>
          <w:tcPr>
            <w:tcW w:w="1520" w:type="dxa"/>
            <w:tcBorders>
              <w:top w:val="single" w:sz="2" w:space="0" w:color="auto"/>
              <w:bottom w:val="single" w:sz="12" w:space="0" w:color="auto"/>
            </w:tcBorders>
            <w:shd w:val="clear" w:color="auto" w:fill="auto"/>
          </w:tcPr>
          <w:p w14:paraId="2962ED98" w14:textId="22ABA083" w:rsidR="005F2C53" w:rsidRDefault="005F2C53" w:rsidP="005F2C53">
            <w:pPr>
              <w:pStyle w:val="Tabletext"/>
              <w:rPr>
                <w:rFonts w:eastAsiaTheme="minorEastAsia"/>
              </w:rPr>
            </w:pPr>
            <w:r>
              <w:rPr>
                <w:rFonts w:eastAsiaTheme="minorEastAsia"/>
              </w:rPr>
              <w:t>1</w:t>
            </w:r>
          </w:p>
        </w:tc>
        <w:tc>
          <w:tcPr>
            <w:tcW w:w="1520" w:type="dxa"/>
            <w:tcBorders>
              <w:top w:val="single" w:sz="2" w:space="0" w:color="auto"/>
              <w:bottom w:val="single" w:sz="12" w:space="0" w:color="auto"/>
            </w:tcBorders>
            <w:shd w:val="clear" w:color="auto" w:fill="auto"/>
          </w:tcPr>
          <w:p w14:paraId="5341B676" w14:textId="6D49B224" w:rsidR="005F2C53" w:rsidRDefault="005F2C53" w:rsidP="005F2C53">
            <w:pPr>
              <w:pStyle w:val="Tabletext"/>
              <w:rPr>
                <w:rFonts w:eastAsiaTheme="minorEastAsia"/>
              </w:rPr>
            </w:pPr>
            <w:r w:rsidRPr="0075436B">
              <w:t>1.24</w:t>
            </w:r>
          </w:p>
        </w:tc>
      </w:tr>
    </w:tbl>
    <w:p w14:paraId="3CC501DC" w14:textId="75D63A74" w:rsidR="00EE3294" w:rsidRPr="002B1F4D" w:rsidRDefault="00EE3294" w:rsidP="00EE3294">
      <w:pPr>
        <w:pStyle w:val="ActHead5"/>
        <w:rPr>
          <w:rFonts w:eastAsiaTheme="minorEastAsia"/>
        </w:rPr>
      </w:pPr>
      <w:bookmarkStart w:id="358" w:name="_Toc188350833"/>
      <w:r w:rsidRPr="00423C34">
        <w:rPr>
          <w:rStyle w:val="CharSectno"/>
          <w:rFonts w:eastAsiaTheme="minorEastAsia"/>
        </w:rPr>
        <w:t>4</w:t>
      </w:r>
      <w:r>
        <w:rPr>
          <w:rFonts w:eastAsiaTheme="minorEastAsia"/>
        </w:rPr>
        <w:t xml:space="preserve">  </w:t>
      </w:r>
      <w:r w:rsidR="002E68EB">
        <w:rPr>
          <w:rFonts w:eastAsiaTheme="minorEastAsia"/>
        </w:rPr>
        <w:t>Relative value</w:t>
      </w:r>
      <w:r>
        <w:rPr>
          <w:rFonts w:eastAsiaTheme="minorEastAsia"/>
        </w:rPr>
        <w:t xml:space="preserve"> factors—</w:t>
      </w:r>
      <w:r w:rsidR="002E68EB">
        <w:rPr>
          <w:rFonts w:eastAsiaTheme="minorEastAsia"/>
        </w:rPr>
        <w:t xml:space="preserve">benefits in respect of the superannuation </w:t>
      </w:r>
      <w:r w:rsidR="002E68EB" w:rsidRPr="004B789E">
        <w:rPr>
          <w:rFonts w:eastAsiaTheme="minorEastAsia"/>
        </w:rPr>
        <w:t xml:space="preserve">interest </w:t>
      </w:r>
      <w:r w:rsidR="002E68EB">
        <w:rPr>
          <w:rFonts w:eastAsiaTheme="minorEastAsia"/>
        </w:rPr>
        <w:t xml:space="preserve">are payable as a pension </w:t>
      </w:r>
      <w:r>
        <w:rPr>
          <w:rFonts w:eastAsiaTheme="minorEastAsia"/>
        </w:rPr>
        <w:t>having a 5</w:t>
      </w:r>
      <w:r w:rsidR="001952B3">
        <w:rPr>
          <w:rFonts w:eastAsiaTheme="minorEastAsia"/>
        </w:rPr>
        <w:noBreakHyphen/>
      </w:r>
      <w:r>
        <w:rPr>
          <w:rFonts w:eastAsiaTheme="minorEastAsia"/>
        </w:rPr>
        <w:t>year</w:t>
      </w:r>
      <w:r w:rsidRPr="004B789E">
        <w:rPr>
          <w:rFonts w:eastAsiaTheme="minorEastAsia"/>
        </w:rPr>
        <w:t xml:space="preserve"> guarantee period</w:t>
      </w:r>
      <w:bookmarkEnd w:id="358"/>
    </w:p>
    <w:p w14:paraId="6CE534AE" w14:textId="41DE4C78" w:rsidR="00EE3294" w:rsidRDefault="00EE3294" w:rsidP="00EE3294">
      <w:pPr>
        <w:pStyle w:val="subsection"/>
        <w:rPr>
          <w:rFonts w:eastAsiaTheme="minorEastAsia"/>
        </w:rPr>
      </w:pPr>
      <w:r>
        <w:rPr>
          <w:rFonts w:eastAsiaTheme="minorEastAsia"/>
        </w:rPr>
        <w:tab/>
      </w:r>
      <w:r>
        <w:rPr>
          <w:rFonts w:eastAsiaTheme="minorEastAsia"/>
        </w:rPr>
        <w:tab/>
      </w:r>
      <w:r w:rsidRPr="004B789E">
        <w:rPr>
          <w:rFonts w:eastAsiaTheme="minorEastAsia"/>
        </w:rPr>
        <w:t xml:space="preserve">The relative value factors set out in this </w:t>
      </w:r>
      <w:r>
        <w:rPr>
          <w:rFonts w:eastAsiaTheme="minorEastAsia"/>
        </w:rPr>
        <w:t>clause</w:t>
      </w:r>
      <w:r w:rsidRPr="004B789E">
        <w:rPr>
          <w:rFonts w:eastAsiaTheme="minorEastAsia"/>
        </w:rPr>
        <w:t xml:space="preserve"> apply</w:t>
      </w:r>
      <w:r>
        <w:rPr>
          <w:rFonts w:eastAsiaTheme="minorEastAsia"/>
        </w:rPr>
        <w:t xml:space="preserve"> for the superannuation interest</w:t>
      </w:r>
      <w:r w:rsidRPr="004B789E">
        <w:rPr>
          <w:rFonts w:eastAsiaTheme="minorEastAsia"/>
        </w:rPr>
        <w:t xml:space="preserve"> if </w:t>
      </w:r>
      <w:r w:rsidR="002E68EB">
        <w:rPr>
          <w:rFonts w:eastAsiaTheme="minorEastAsia"/>
        </w:rPr>
        <w:t xml:space="preserve">benefits in respect of the </w:t>
      </w:r>
      <w:r w:rsidR="002E68EB" w:rsidRPr="004B789E">
        <w:rPr>
          <w:rFonts w:eastAsiaTheme="minorEastAsia"/>
        </w:rPr>
        <w:t xml:space="preserve">interest </w:t>
      </w:r>
      <w:r w:rsidR="002E68EB">
        <w:rPr>
          <w:rFonts w:eastAsiaTheme="minorEastAsia"/>
        </w:rPr>
        <w:t xml:space="preserve">are payable as a pension </w:t>
      </w:r>
      <w:r>
        <w:rPr>
          <w:rFonts w:eastAsiaTheme="minorEastAsia"/>
        </w:rPr>
        <w:t>having a 5</w:t>
      </w:r>
      <w:r w:rsidR="001952B3">
        <w:rPr>
          <w:rFonts w:eastAsiaTheme="minorEastAsia"/>
        </w:rPr>
        <w:noBreakHyphen/>
      </w:r>
      <w:r>
        <w:rPr>
          <w:rFonts w:eastAsiaTheme="minorEastAsia"/>
        </w:rPr>
        <w:t>year</w:t>
      </w:r>
      <w:r w:rsidRPr="004B789E">
        <w:rPr>
          <w:rFonts w:eastAsiaTheme="minorEastAsia"/>
        </w:rPr>
        <w:t xml:space="preserve"> guarantee period.</w:t>
      </w:r>
    </w:p>
    <w:p w14:paraId="404C4A3C" w14:textId="77777777" w:rsidR="00EE3294" w:rsidRPr="00EE3294" w:rsidRDefault="00EE3294" w:rsidP="00EE3294">
      <w:pPr>
        <w:pStyle w:val="Tabletext"/>
        <w:rPr>
          <w:rFonts w:eastAsiaTheme="minorEastAsia"/>
        </w:rPr>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20"/>
        <w:gridCol w:w="1520"/>
        <w:gridCol w:w="1520"/>
        <w:gridCol w:w="1520"/>
        <w:gridCol w:w="1520"/>
      </w:tblGrid>
      <w:tr w:rsidR="00EE3294" w14:paraId="0E919EBC" w14:textId="77777777" w:rsidTr="0002398B">
        <w:trPr>
          <w:tblHeader/>
        </w:trPr>
        <w:tc>
          <w:tcPr>
            <w:tcW w:w="8314" w:type="dxa"/>
            <w:gridSpan w:val="6"/>
            <w:tcBorders>
              <w:top w:val="single" w:sz="12" w:space="0" w:color="auto"/>
              <w:bottom w:val="single" w:sz="6" w:space="0" w:color="auto"/>
            </w:tcBorders>
            <w:shd w:val="clear" w:color="auto" w:fill="auto"/>
          </w:tcPr>
          <w:p w14:paraId="06DE05D0" w14:textId="6F9840E3" w:rsidR="00EE3294" w:rsidRDefault="00EE3294" w:rsidP="0002398B">
            <w:pPr>
              <w:pStyle w:val="TableHeading"/>
              <w:rPr>
                <w:rFonts w:eastAsiaTheme="minorEastAsia"/>
              </w:rPr>
            </w:pPr>
            <w:r>
              <w:rPr>
                <w:rFonts w:eastAsiaTheme="minorEastAsia"/>
              </w:rPr>
              <w:t>Relative value factors</w:t>
            </w:r>
          </w:p>
        </w:tc>
      </w:tr>
      <w:tr w:rsidR="00EE3294" w14:paraId="66A22260" w14:textId="77777777" w:rsidTr="0002398B">
        <w:trPr>
          <w:tblHeader/>
        </w:trPr>
        <w:tc>
          <w:tcPr>
            <w:tcW w:w="714" w:type="dxa"/>
            <w:tcBorders>
              <w:top w:val="single" w:sz="6" w:space="0" w:color="auto"/>
              <w:bottom w:val="single" w:sz="12" w:space="0" w:color="auto"/>
            </w:tcBorders>
            <w:shd w:val="clear" w:color="auto" w:fill="auto"/>
          </w:tcPr>
          <w:p w14:paraId="03833F2F" w14:textId="77777777" w:rsidR="00EE3294" w:rsidRDefault="00EE3294" w:rsidP="0002398B">
            <w:pPr>
              <w:pStyle w:val="TableHeading"/>
              <w:rPr>
                <w:rFonts w:eastAsiaTheme="minorEastAsia"/>
              </w:rPr>
            </w:pPr>
            <w:r>
              <w:rPr>
                <w:rFonts w:eastAsiaTheme="minorEastAsia"/>
              </w:rPr>
              <w:t>Item</w:t>
            </w:r>
          </w:p>
        </w:tc>
        <w:tc>
          <w:tcPr>
            <w:tcW w:w="1520" w:type="dxa"/>
            <w:tcBorders>
              <w:top w:val="single" w:sz="6" w:space="0" w:color="auto"/>
              <w:bottom w:val="single" w:sz="12" w:space="0" w:color="auto"/>
            </w:tcBorders>
            <w:shd w:val="clear" w:color="auto" w:fill="auto"/>
          </w:tcPr>
          <w:p w14:paraId="5D1B99FB" w14:textId="77777777" w:rsidR="00EE3294" w:rsidRDefault="00EE3294" w:rsidP="0002398B">
            <w:pPr>
              <w:pStyle w:val="TableHeading"/>
              <w:rPr>
                <w:rFonts w:eastAsiaTheme="minorEastAsia"/>
              </w:rPr>
            </w:pPr>
            <w:r w:rsidRPr="00B07655">
              <w:t>Indexation</w:t>
            </w:r>
            <w:r w:rsidRPr="0075436B">
              <w:t xml:space="preserve"> rate of pension</w:t>
            </w:r>
          </w:p>
        </w:tc>
        <w:tc>
          <w:tcPr>
            <w:tcW w:w="1520" w:type="dxa"/>
            <w:tcBorders>
              <w:top w:val="single" w:sz="6" w:space="0" w:color="auto"/>
              <w:bottom w:val="single" w:sz="12" w:space="0" w:color="auto"/>
            </w:tcBorders>
            <w:shd w:val="clear" w:color="auto" w:fill="auto"/>
          </w:tcPr>
          <w:p w14:paraId="06EF1CF6" w14:textId="77777777" w:rsidR="00EE3294" w:rsidRPr="00B07655" w:rsidRDefault="00EE3294" w:rsidP="0002398B">
            <w:pPr>
              <w:pStyle w:val="TableHeading"/>
            </w:pPr>
            <w:r>
              <w:t>M</w:t>
            </w:r>
            <w:r w:rsidRPr="00B07655">
              <w:t>ale</w:t>
            </w:r>
          </w:p>
          <w:p w14:paraId="1E36B6A0" w14:textId="73A6AF4B" w:rsidR="00EE3294" w:rsidRPr="00B07655" w:rsidRDefault="0098573B" w:rsidP="0002398B">
            <w:pPr>
              <w:pStyle w:val="TableHeading"/>
              <w:rPr>
                <w:rFonts w:eastAsiaTheme="minorEastAsia"/>
                <w:bCs/>
              </w:rPr>
            </w:pPr>
            <w:r>
              <w:t>Applicable</w:t>
            </w:r>
            <w:r w:rsidR="00EE3294" w:rsidRPr="00B07655">
              <w:t xml:space="preserve"> date</w:t>
            </w:r>
            <w:r w:rsidR="00EE3294">
              <w:t xml:space="preserve"> or time is</w:t>
            </w:r>
            <w:r w:rsidR="00EE3294" w:rsidRPr="00B07655">
              <w:t xml:space="preserve"> before </w:t>
            </w:r>
            <w:r w:rsidR="00453C86">
              <w:t>1 April</w:t>
            </w:r>
            <w:r w:rsidR="00EE3294" w:rsidRPr="00B07655">
              <w:t xml:space="preserve"> </w:t>
            </w:r>
            <w:r w:rsidR="00EE3294">
              <w:rPr>
                <w:bCs/>
              </w:rPr>
              <w:t>2025</w:t>
            </w:r>
          </w:p>
        </w:tc>
        <w:tc>
          <w:tcPr>
            <w:tcW w:w="1520" w:type="dxa"/>
            <w:tcBorders>
              <w:top w:val="single" w:sz="6" w:space="0" w:color="auto"/>
              <w:bottom w:val="single" w:sz="12" w:space="0" w:color="auto"/>
            </w:tcBorders>
            <w:shd w:val="clear" w:color="auto" w:fill="auto"/>
          </w:tcPr>
          <w:p w14:paraId="3408E6E0" w14:textId="77777777" w:rsidR="00EE3294" w:rsidRPr="00B07655" w:rsidRDefault="00EE3294" w:rsidP="0002398B">
            <w:pPr>
              <w:pStyle w:val="TableHeading"/>
            </w:pPr>
            <w:r>
              <w:t>M</w:t>
            </w:r>
            <w:r w:rsidRPr="00B07655">
              <w:t>ale</w:t>
            </w:r>
          </w:p>
          <w:p w14:paraId="548DF58B" w14:textId="77AB38F0" w:rsidR="00EE3294" w:rsidRDefault="0098573B" w:rsidP="0002398B">
            <w:pPr>
              <w:pStyle w:val="TableHeading"/>
              <w:rPr>
                <w:rFonts w:eastAsiaTheme="minorEastAsia"/>
              </w:rPr>
            </w:pPr>
            <w:r>
              <w:t>Applicable</w:t>
            </w:r>
            <w:r w:rsidR="00EE3294" w:rsidRPr="00B07655">
              <w:t xml:space="preserve"> date</w:t>
            </w:r>
            <w:r w:rsidR="00EE3294">
              <w:t xml:space="preserve"> or time is</w:t>
            </w:r>
            <w:r w:rsidR="00EE3294" w:rsidRPr="00B07655">
              <w:t xml:space="preserve"> on or after </w:t>
            </w:r>
            <w:r w:rsidR="00453C86">
              <w:rPr>
                <w:bCs/>
              </w:rPr>
              <w:t>1 April</w:t>
            </w:r>
            <w:r w:rsidR="00EE3294">
              <w:rPr>
                <w:bCs/>
              </w:rPr>
              <w:t xml:space="preserve"> 2025</w:t>
            </w:r>
          </w:p>
        </w:tc>
        <w:tc>
          <w:tcPr>
            <w:tcW w:w="1520" w:type="dxa"/>
            <w:tcBorders>
              <w:top w:val="single" w:sz="6" w:space="0" w:color="auto"/>
              <w:bottom w:val="single" w:sz="12" w:space="0" w:color="auto"/>
            </w:tcBorders>
            <w:shd w:val="clear" w:color="auto" w:fill="auto"/>
          </w:tcPr>
          <w:p w14:paraId="6511AAFD" w14:textId="77777777" w:rsidR="00EE3294" w:rsidRPr="00B07655" w:rsidRDefault="00EE3294" w:rsidP="0002398B">
            <w:pPr>
              <w:pStyle w:val="TableHeading"/>
            </w:pPr>
            <w:r w:rsidRPr="00B07655">
              <w:t>Female</w:t>
            </w:r>
          </w:p>
          <w:p w14:paraId="71D98F6A" w14:textId="660324E6" w:rsidR="00EE3294" w:rsidRDefault="0098573B" w:rsidP="0002398B">
            <w:pPr>
              <w:pStyle w:val="TableHeading"/>
              <w:rPr>
                <w:rFonts w:eastAsiaTheme="minorEastAsia"/>
              </w:rPr>
            </w:pPr>
            <w:r>
              <w:t>Applicable</w:t>
            </w:r>
            <w:r w:rsidR="00EE3294">
              <w:t xml:space="preserve"> date or time is before </w:t>
            </w:r>
            <w:r w:rsidR="00453C86">
              <w:t>1 April</w:t>
            </w:r>
            <w:r w:rsidR="00EE3294">
              <w:t xml:space="preserve"> 2025</w:t>
            </w:r>
          </w:p>
        </w:tc>
        <w:tc>
          <w:tcPr>
            <w:tcW w:w="1520" w:type="dxa"/>
            <w:tcBorders>
              <w:top w:val="single" w:sz="6" w:space="0" w:color="auto"/>
              <w:bottom w:val="single" w:sz="12" w:space="0" w:color="auto"/>
            </w:tcBorders>
            <w:shd w:val="clear" w:color="auto" w:fill="auto"/>
          </w:tcPr>
          <w:p w14:paraId="425FB7BD" w14:textId="77777777" w:rsidR="00EE3294" w:rsidRPr="00B07655" w:rsidRDefault="00EE3294" w:rsidP="0002398B">
            <w:pPr>
              <w:pStyle w:val="TableHeading"/>
            </w:pPr>
            <w:r w:rsidRPr="00B07655">
              <w:t>Female</w:t>
            </w:r>
          </w:p>
          <w:p w14:paraId="6D18AC98" w14:textId="4A0F8653" w:rsidR="00EE3294" w:rsidRDefault="0098573B" w:rsidP="0002398B">
            <w:pPr>
              <w:pStyle w:val="TableHeading"/>
              <w:rPr>
                <w:rFonts w:eastAsiaTheme="minorEastAsia"/>
              </w:rPr>
            </w:pPr>
            <w:r>
              <w:t>Applicable</w:t>
            </w:r>
            <w:r w:rsidR="00EE3294" w:rsidRPr="00B07655">
              <w:t xml:space="preserve"> date</w:t>
            </w:r>
            <w:r w:rsidR="00EE3294">
              <w:t xml:space="preserve"> or time is</w:t>
            </w:r>
            <w:r w:rsidR="00EE3294" w:rsidRPr="00B07655">
              <w:t xml:space="preserve"> on or after </w:t>
            </w:r>
            <w:r w:rsidR="00453C86">
              <w:rPr>
                <w:bCs/>
              </w:rPr>
              <w:t>1 April</w:t>
            </w:r>
            <w:r w:rsidR="00EE3294">
              <w:rPr>
                <w:bCs/>
              </w:rPr>
              <w:t xml:space="preserve"> 2025</w:t>
            </w:r>
          </w:p>
        </w:tc>
      </w:tr>
      <w:tr w:rsidR="00EE3294" w:rsidRPr="00B07655" w14:paraId="6C052927" w14:textId="77777777" w:rsidTr="0002398B">
        <w:tc>
          <w:tcPr>
            <w:tcW w:w="714" w:type="dxa"/>
            <w:tcBorders>
              <w:top w:val="single" w:sz="12" w:space="0" w:color="auto"/>
            </w:tcBorders>
            <w:shd w:val="clear" w:color="auto" w:fill="auto"/>
          </w:tcPr>
          <w:p w14:paraId="750DB116" w14:textId="77777777" w:rsidR="00EE3294" w:rsidRDefault="00EE3294" w:rsidP="00EE3294">
            <w:pPr>
              <w:pStyle w:val="Tabletext"/>
              <w:rPr>
                <w:rFonts w:eastAsiaTheme="minorEastAsia"/>
              </w:rPr>
            </w:pPr>
            <w:r>
              <w:rPr>
                <w:rFonts w:eastAsiaTheme="minorEastAsia"/>
              </w:rPr>
              <w:t>1</w:t>
            </w:r>
          </w:p>
        </w:tc>
        <w:tc>
          <w:tcPr>
            <w:tcW w:w="1520" w:type="dxa"/>
            <w:tcBorders>
              <w:top w:val="single" w:sz="12" w:space="0" w:color="auto"/>
            </w:tcBorders>
            <w:shd w:val="clear" w:color="auto" w:fill="auto"/>
          </w:tcPr>
          <w:p w14:paraId="294F8EA2" w14:textId="77777777" w:rsidR="00EE3294" w:rsidRPr="00B07655" w:rsidRDefault="00EE3294" w:rsidP="00EE3294">
            <w:pPr>
              <w:pStyle w:val="Tabletext"/>
              <w:rPr>
                <w:rFonts w:eastAsiaTheme="minorEastAsia"/>
              </w:rPr>
            </w:pPr>
            <w:r w:rsidRPr="00B07655">
              <w:t>Pension not indexed</w:t>
            </w:r>
          </w:p>
        </w:tc>
        <w:tc>
          <w:tcPr>
            <w:tcW w:w="1520" w:type="dxa"/>
            <w:tcBorders>
              <w:top w:val="single" w:sz="12" w:space="0" w:color="auto"/>
            </w:tcBorders>
            <w:shd w:val="clear" w:color="auto" w:fill="auto"/>
          </w:tcPr>
          <w:p w14:paraId="6C1F9738"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tcBorders>
              <w:top w:val="single" w:sz="12" w:space="0" w:color="auto"/>
            </w:tcBorders>
            <w:shd w:val="clear" w:color="auto" w:fill="auto"/>
          </w:tcPr>
          <w:p w14:paraId="12F92C4B" w14:textId="2A90C98D" w:rsidR="00EE3294" w:rsidRPr="00B07655" w:rsidRDefault="00EE3294" w:rsidP="00EE3294">
            <w:pPr>
              <w:pStyle w:val="Tabletext"/>
              <w:rPr>
                <w:rFonts w:eastAsiaTheme="minorEastAsia"/>
              </w:rPr>
            </w:pPr>
            <w:r w:rsidRPr="0075436B">
              <w:t>1.20</w:t>
            </w:r>
          </w:p>
        </w:tc>
        <w:tc>
          <w:tcPr>
            <w:tcW w:w="1520" w:type="dxa"/>
            <w:tcBorders>
              <w:top w:val="single" w:sz="12" w:space="0" w:color="auto"/>
            </w:tcBorders>
            <w:shd w:val="clear" w:color="auto" w:fill="auto"/>
          </w:tcPr>
          <w:p w14:paraId="7C24F0EA" w14:textId="77777777" w:rsidR="00EE3294" w:rsidRPr="00B07655" w:rsidRDefault="00EE3294" w:rsidP="00EE3294">
            <w:pPr>
              <w:pStyle w:val="Tabletext"/>
              <w:rPr>
                <w:rFonts w:eastAsiaTheme="minorEastAsia"/>
              </w:rPr>
            </w:pPr>
            <w:r>
              <w:rPr>
                <w:rFonts w:eastAsiaTheme="minorEastAsia"/>
              </w:rPr>
              <w:t>1</w:t>
            </w:r>
          </w:p>
        </w:tc>
        <w:tc>
          <w:tcPr>
            <w:tcW w:w="1520" w:type="dxa"/>
            <w:tcBorders>
              <w:top w:val="single" w:sz="12" w:space="0" w:color="auto"/>
            </w:tcBorders>
            <w:shd w:val="clear" w:color="auto" w:fill="auto"/>
          </w:tcPr>
          <w:p w14:paraId="303B3FA3" w14:textId="1B53D4C5" w:rsidR="00EE3294" w:rsidRPr="00B07655" w:rsidRDefault="00EE3294" w:rsidP="00EE3294">
            <w:pPr>
              <w:pStyle w:val="Tabletext"/>
              <w:rPr>
                <w:rFonts w:eastAsiaTheme="minorEastAsia"/>
              </w:rPr>
            </w:pPr>
            <w:r w:rsidRPr="0075436B">
              <w:t>1.14</w:t>
            </w:r>
          </w:p>
        </w:tc>
      </w:tr>
      <w:tr w:rsidR="00EE3294" w:rsidRPr="00B07655" w14:paraId="25FFFDC6" w14:textId="77777777" w:rsidTr="0002398B">
        <w:tc>
          <w:tcPr>
            <w:tcW w:w="714" w:type="dxa"/>
            <w:shd w:val="clear" w:color="auto" w:fill="auto"/>
          </w:tcPr>
          <w:p w14:paraId="1D08AE50" w14:textId="77777777" w:rsidR="00EE3294" w:rsidRPr="00B07655" w:rsidRDefault="00EE3294" w:rsidP="00EE3294">
            <w:pPr>
              <w:pStyle w:val="Tabletext"/>
              <w:rPr>
                <w:rFonts w:eastAsiaTheme="minorEastAsia"/>
              </w:rPr>
            </w:pPr>
            <w:r w:rsidRPr="00B07655">
              <w:rPr>
                <w:rFonts w:eastAsiaTheme="minorEastAsia"/>
              </w:rPr>
              <w:t>2</w:t>
            </w:r>
          </w:p>
        </w:tc>
        <w:tc>
          <w:tcPr>
            <w:tcW w:w="1520" w:type="dxa"/>
            <w:shd w:val="clear" w:color="auto" w:fill="auto"/>
          </w:tcPr>
          <w:p w14:paraId="7113F153" w14:textId="77777777" w:rsidR="00EE3294" w:rsidRPr="00B07655" w:rsidRDefault="00EE3294" w:rsidP="00EE3294">
            <w:pPr>
              <w:pStyle w:val="Tabletext"/>
              <w:rPr>
                <w:rFonts w:eastAsiaTheme="minorEastAsia"/>
              </w:rPr>
            </w:pPr>
            <w:r w:rsidRPr="00B07655">
              <w:t>CPI indexed pension</w:t>
            </w:r>
          </w:p>
        </w:tc>
        <w:tc>
          <w:tcPr>
            <w:tcW w:w="1520" w:type="dxa"/>
            <w:shd w:val="clear" w:color="auto" w:fill="auto"/>
          </w:tcPr>
          <w:p w14:paraId="251DFB2F"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shd w:val="clear" w:color="auto" w:fill="auto"/>
          </w:tcPr>
          <w:p w14:paraId="0A3A01A2" w14:textId="49183358" w:rsidR="00EE3294" w:rsidRPr="00B07655" w:rsidRDefault="00EE3294" w:rsidP="00EE3294">
            <w:pPr>
              <w:pStyle w:val="Tabletext"/>
              <w:rPr>
                <w:rFonts w:eastAsiaTheme="minorEastAsia"/>
              </w:rPr>
            </w:pPr>
            <w:r w:rsidRPr="0075436B">
              <w:t>1.25</w:t>
            </w:r>
          </w:p>
        </w:tc>
        <w:tc>
          <w:tcPr>
            <w:tcW w:w="1520" w:type="dxa"/>
            <w:shd w:val="clear" w:color="auto" w:fill="auto"/>
          </w:tcPr>
          <w:p w14:paraId="6E5D693C" w14:textId="77777777" w:rsidR="00EE3294" w:rsidRPr="00B07655" w:rsidRDefault="00EE3294" w:rsidP="00EE3294">
            <w:pPr>
              <w:pStyle w:val="Tabletext"/>
              <w:rPr>
                <w:rFonts w:eastAsiaTheme="minorEastAsia"/>
              </w:rPr>
            </w:pPr>
            <w:r>
              <w:rPr>
                <w:rFonts w:eastAsiaTheme="minorEastAsia"/>
              </w:rPr>
              <w:t>1</w:t>
            </w:r>
          </w:p>
        </w:tc>
        <w:tc>
          <w:tcPr>
            <w:tcW w:w="1520" w:type="dxa"/>
            <w:shd w:val="clear" w:color="auto" w:fill="auto"/>
          </w:tcPr>
          <w:p w14:paraId="109B0448" w14:textId="44DFA1C2" w:rsidR="00EE3294" w:rsidRPr="00B07655" w:rsidRDefault="00EE3294" w:rsidP="00EE3294">
            <w:pPr>
              <w:pStyle w:val="Tabletext"/>
              <w:rPr>
                <w:rFonts w:eastAsiaTheme="minorEastAsia"/>
              </w:rPr>
            </w:pPr>
            <w:r w:rsidRPr="0075436B">
              <w:t>1.19</w:t>
            </w:r>
          </w:p>
        </w:tc>
      </w:tr>
      <w:tr w:rsidR="00EE3294" w:rsidRPr="00B07655" w14:paraId="366B6B3D" w14:textId="77777777" w:rsidTr="0002398B">
        <w:tc>
          <w:tcPr>
            <w:tcW w:w="714" w:type="dxa"/>
            <w:shd w:val="clear" w:color="auto" w:fill="auto"/>
          </w:tcPr>
          <w:p w14:paraId="68B75092" w14:textId="77777777" w:rsidR="00EE3294" w:rsidRPr="00B07655" w:rsidRDefault="00EE3294" w:rsidP="00EE3294">
            <w:pPr>
              <w:pStyle w:val="Tabletext"/>
              <w:rPr>
                <w:rFonts w:eastAsiaTheme="minorEastAsia"/>
              </w:rPr>
            </w:pPr>
            <w:r w:rsidRPr="00B07655">
              <w:rPr>
                <w:rFonts w:eastAsiaTheme="minorEastAsia"/>
              </w:rPr>
              <w:t>3</w:t>
            </w:r>
          </w:p>
        </w:tc>
        <w:tc>
          <w:tcPr>
            <w:tcW w:w="1520" w:type="dxa"/>
            <w:shd w:val="clear" w:color="auto" w:fill="auto"/>
          </w:tcPr>
          <w:p w14:paraId="5B9AE15B" w14:textId="77777777" w:rsidR="00EE3294" w:rsidRPr="00B07655" w:rsidRDefault="00EE3294" w:rsidP="00EE3294">
            <w:pPr>
              <w:pStyle w:val="Tabletext"/>
              <w:rPr>
                <w:rFonts w:eastAsiaTheme="minorEastAsia"/>
              </w:rPr>
            </w:pPr>
            <w:r w:rsidRPr="00B07655">
              <w:t>CPI indexed pension with 5% cap</w:t>
            </w:r>
          </w:p>
        </w:tc>
        <w:tc>
          <w:tcPr>
            <w:tcW w:w="1520" w:type="dxa"/>
            <w:shd w:val="clear" w:color="auto" w:fill="auto"/>
          </w:tcPr>
          <w:p w14:paraId="5FC4449C"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shd w:val="clear" w:color="auto" w:fill="auto"/>
          </w:tcPr>
          <w:p w14:paraId="07890BBD" w14:textId="22C8C267" w:rsidR="00EE3294" w:rsidRPr="00B07655" w:rsidRDefault="00EE3294" w:rsidP="00EE3294">
            <w:pPr>
              <w:pStyle w:val="Tabletext"/>
              <w:rPr>
                <w:rFonts w:eastAsiaTheme="minorEastAsia"/>
              </w:rPr>
            </w:pPr>
            <w:r w:rsidRPr="0075436B">
              <w:t>1.25</w:t>
            </w:r>
          </w:p>
        </w:tc>
        <w:tc>
          <w:tcPr>
            <w:tcW w:w="1520" w:type="dxa"/>
            <w:shd w:val="clear" w:color="auto" w:fill="auto"/>
          </w:tcPr>
          <w:p w14:paraId="2F93F6D3" w14:textId="77777777" w:rsidR="00EE3294" w:rsidRPr="00B07655" w:rsidRDefault="00EE3294" w:rsidP="00EE3294">
            <w:pPr>
              <w:pStyle w:val="Tabletext"/>
              <w:rPr>
                <w:rFonts w:eastAsiaTheme="minorEastAsia"/>
              </w:rPr>
            </w:pPr>
            <w:r>
              <w:rPr>
                <w:rFonts w:eastAsiaTheme="minorEastAsia"/>
              </w:rPr>
              <w:t>1</w:t>
            </w:r>
          </w:p>
        </w:tc>
        <w:tc>
          <w:tcPr>
            <w:tcW w:w="1520" w:type="dxa"/>
            <w:shd w:val="clear" w:color="auto" w:fill="auto"/>
          </w:tcPr>
          <w:p w14:paraId="5A70DA16" w14:textId="009FC527" w:rsidR="00EE3294" w:rsidRPr="00B07655" w:rsidRDefault="00EE3294" w:rsidP="00EE3294">
            <w:pPr>
              <w:pStyle w:val="Tabletext"/>
              <w:rPr>
                <w:rFonts w:eastAsiaTheme="minorEastAsia"/>
              </w:rPr>
            </w:pPr>
            <w:r w:rsidRPr="0075436B">
              <w:t>1.18</w:t>
            </w:r>
          </w:p>
        </w:tc>
      </w:tr>
      <w:tr w:rsidR="00EE3294" w:rsidRPr="00B07655" w14:paraId="45C1E3BE" w14:textId="77777777" w:rsidTr="0002398B">
        <w:tc>
          <w:tcPr>
            <w:tcW w:w="714" w:type="dxa"/>
            <w:shd w:val="clear" w:color="auto" w:fill="auto"/>
          </w:tcPr>
          <w:p w14:paraId="51FDD68E" w14:textId="77777777" w:rsidR="00EE3294" w:rsidRPr="00B07655" w:rsidRDefault="00EE3294" w:rsidP="00EE3294">
            <w:pPr>
              <w:pStyle w:val="Tabletext"/>
              <w:rPr>
                <w:rFonts w:eastAsiaTheme="minorEastAsia"/>
              </w:rPr>
            </w:pPr>
            <w:r w:rsidRPr="00B07655">
              <w:rPr>
                <w:rFonts w:eastAsiaTheme="minorEastAsia"/>
              </w:rPr>
              <w:t>4</w:t>
            </w:r>
          </w:p>
        </w:tc>
        <w:tc>
          <w:tcPr>
            <w:tcW w:w="1520" w:type="dxa"/>
            <w:shd w:val="clear" w:color="auto" w:fill="auto"/>
          </w:tcPr>
          <w:p w14:paraId="121CE5CC" w14:textId="56B0AFE6" w:rsidR="00EE3294" w:rsidRPr="00B07655" w:rsidRDefault="00EE3294" w:rsidP="00EE3294">
            <w:pPr>
              <w:pStyle w:val="Tabletext"/>
              <w:rPr>
                <w:rFonts w:eastAsiaTheme="minorEastAsia"/>
              </w:rPr>
            </w:pPr>
            <w:r w:rsidRPr="00B07655">
              <w:t xml:space="preserve">CPI indexed pension </w:t>
            </w:r>
            <w:r w:rsidR="00FA6312">
              <w:t>plus</w:t>
            </w:r>
            <w:r w:rsidRPr="00B07655">
              <w:t xml:space="preserve"> 1%</w:t>
            </w:r>
          </w:p>
        </w:tc>
        <w:tc>
          <w:tcPr>
            <w:tcW w:w="1520" w:type="dxa"/>
            <w:shd w:val="clear" w:color="auto" w:fill="auto"/>
          </w:tcPr>
          <w:p w14:paraId="79A87F46"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shd w:val="clear" w:color="auto" w:fill="auto"/>
          </w:tcPr>
          <w:p w14:paraId="50279B29" w14:textId="6A4D20D2" w:rsidR="00EE3294" w:rsidRPr="00B07655" w:rsidRDefault="00EE3294" w:rsidP="00EE3294">
            <w:pPr>
              <w:pStyle w:val="Tabletext"/>
              <w:rPr>
                <w:rFonts w:eastAsiaTheme="minorEastAsia"/>
              </w:rPr>
            </w:pPr>
            <w:r w:rsidRPr="0075436B">
              <w:t>1.28</w:t>
            </w:r>
          </w:p>
        </w:tc>
        <w:tc>
          <w:tcPr>
            <w:tcW w:w="1520" w:type="dxa"/>
            <w:shd w:val="clear" w:color="auto" w:fill="auto"/>
          </w:tcPr>
          <w:p w14:paraId="1A78621E" w14:textId="77777777" w:rsidR="00EE3294" w:rsidRPr="00B07655" w:rsidRDefault="00EE3294" w:rsidP="00EE3294">
            <w:pPr>
              <w:pStyle w:val="Tabletext"/>
              <w:rPr>
                <w:rFonts w:eastAsiaTheme="minorEastAsia"/>
              </w:rPr>
            </w:pPr>
            <w:r>
              <w:rPr>
                <w:rFonts w:eastAsiaTheme="minorEastAsia"/>
              </w:rPr>
              <w:t>1</w:t>
            </w:r>
          </w:p>
        </w:tc>
        <w:tc>
          <w:tcPr>
            <w:tcW w:w="1520" w:type="dxa"/>
            <w:shd w:val="clear" w:color="auto" w:fill="auto"/>
          </w:tcPr>
          <w:p w14:paraId="1758D3CB" w14:textId="1C055309" w:rsidR="00EE3294" w:rsidRPr="00B07655" w:rsidRDefault="00EE3294" w:rsidP="00EE3294">
            <w:pPr>
              <w:pStyle w:val="Tabletext"/>
              <w:rPr>
                <w:rFonts w:eastAsiaTheme="minorEastAsia"/>
              </w:rPr>
            </w:pPr>
            <w:r w:rsidRPr="0075436B">
              <w:t>1.21</w:t>
            </w:r>
          </w:p>
        </w:tc>
      </w:tr>
      <w:tr w:rsidR="00EE3294" w:rsidRPr="00B07655" w14:paraId="22A12AC9" w14:textId="77777777" w:rsidTr="0002398B">
        <w:tc>
          <w:tcPr>
            <w:tcW w:w="714" w:type="dxa"/>
            <w:shd w:val="clear" w:color="auto" w:fill="auto"/>
          </w:tcPr>
          <w:p w14:paraId="3A4AD76D" w14:textId="77777777" w:rsidR="00EE3294" w:rsidRPr="00B07655" w:rsidRDefault="00EE3294" w:rsidP="00EE3294">
            <w:pPr>
              <w:pStyle w:val="Tabletext"/>
              <w:rPr>
                <w:rFonts w:eastAsiaTheme="minorEastAsia"/>
              </w:rPr>
            </w:pPr>
            <w:r w:rsidRPr="00B07655">
              <w:rPr>
                <w:rFonts w:eastAsiaTheme="minorEastAsia"/>
              </w:rPr>
              <w:t>5</w:t>
            </w:r>
          </w:p>
        </w:tc>
        <w:tc>
          <w:tcPr>
            <w:tcW w:w="1520" w:type="dxa"/>
            <w:shd w:val="clear" w:color="auto" w:fill="auto"/>
          </w:tcPr>
          <w:p w14:paraId="64373D8C" w14:textId="77777777" w:rsidR="00EE3294" w:rsidRPr="00B07655" w:rsidRDefault="00EE3294" w:rsidP="00EE3294">
            <w:pPr>
              <w:pStyle w:val="Tabletext"/>
              <w:rPr>
                <w:rFonts w:eastAsiaTheme="minorEastAsia"/>
              </w:rPr>
            </w:pPr>
            <w:r w:rsidRPr="00B07655">
              <w:t>CPI indexed pension plus 1% with 5% cap</w:t>
            </w:r>
          </w:p>
        </w:tc>
        <w:tc>
          <w:tcPr>
            <w:tcW w:w="1520" w:type="dxa"/>
            <w:shd w:val="clear" w:color="auto" w:fill="auto"/>
          </w:tcPr>
          <w:p w14:paraId="3641129B"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shd w:val="clear" w:color="auto" w:fill="auto"/>
          </w:tcPr>
          <w:p w14:paraId="7973899D" w14:textId="59CFBC42" w:rsidR="00EE3294" w:rsidRPr="00B07655" w:rsidRDefault="00EE3294" w:rsidP="00EE3294">
            <w:pPr>
              <w:pStyle w:val="Tabletext"/>
              <w:rPr>
                <w:rFonts w:eastAsiaTheme="minorEastAsia"/>
              </w:rPr>
            </w:pPr>
            <w:r w:rsidRPr="0075436B">
              <w:t>1.27</w:t>
            </w:r>
          </w:p>
        </w:tc>
        <w:tc>
          <w:tcPr>
            <w:tcW w:w="1520" w:type="dxa"/>
            <w:shd w:val="clear" w:color="auto" w:fill="auto"/>
          </w:tcPr>
          <w:p w14:paraId="60734CE9" w14:textId="77777777" w:rsidR="00EE3294" w:rsidRPr="00B07655" w:rsidRDefault="00EE3294" w:rsidP="00EE3294">
            <w:pPr>
              <w:pStyle w:val="Tabletext"/>
              <w:rPr>
                <w:rFonts w:eastAsiaTheme="minorEastAsia"/>
              </w:rPr>
            </w:pPr>
            <w:r>
              <w:rPr>
                <w:rFonts w:eastAsiaTheme="minorEastAsia"/>
              </w:rPr>
              <w:t>1</w:t>
            </w:r>
          </w:p>
        </w:tc>
        <w:tc>
          <w:tcPr>
            <w:tcW w:w="1520" w:type="dxa"/>
            <w:shd w:val="clear" w:color="auto" w:fill="auto"/>
          </w:tcPr>
          <w:p w14:paraId="425A70AB" w14:textId="60DB83FC" w:rsidR="00EE3294" w:rsidRPr="00B07655" w:rsidRDefault="00EE3294" w:rsidP="00EE3294">
            <w:pPr>
              <w:pStyle w:val="Tabletext"/>
              <w:rPr>
                <w:rFonts w:eastAsiaTheme="minorEastAsia"/>
              </w:rPr>
            </w:pPr>
            <w:r w:rsidRPr="0075436B">
              <w:t>1.20</w:t>
            </w:r>
          </w:p>
        </w:tc>
      </w:tr>
      <w:tr w:rsidR="00EE3294" w:rsidRPr="00B07655" w14:paraId="07C7F6BE" w14:textId="77777777" w:rsidTr="0002398B">
        <w:tc>
          <w:tcPr>
            <w:tcW w:w="714" w:type="dxa"/>
            <w:shd w:val="clear" w:color="auto" w:fill="auto"/>
          </w:tcPr>
          <w:p w14:paraId="1BF3329E" w14:textId="77777777" w:rsidR="00EE3294" w:rsidRPr="00B07655" w:rsidRDefault="00EE3294" w:rsidP="00EE3294">
            <w:pPr>
              <w:pStyle w:val="Tabletext"/>
              <w:rPr>
                <w:rFonts w:eastAsiaTheme="minorEastAsia"/>
              </w:rPr>
            </w:pPr>
            <w:r w:rsidRPr="00B07655">
              <w:rPr>
                <w:rFonts w:eastAsiaTheme="minorEastAsia"/>
              </w:rPr>
              <w:t>6</w:t>
            </w:r>
          </w:p>
        </w:tc>
        <w:tc>
          <w:tcPr>
            <w:tcW w:w="1520" w:type="dxa"/>
            <w:shd w:val="clear" w:color="auto" w:fill="auto"/>
          </w:tcPr>
          <w:p w14:paraId="5BE9A9D1" w14:textId="77777777" w:rsidR="00EE3294" w:rsidRPr="00B07655" w:rsidRDefault="00EE3294" w:rsidP="00EE3294">
            <w:pPr>
              <w:pStyle w:val="Tabletext"/>
              <w:rPr>
                <w:rFonts w:eastAsiaTheme="minorEastAsia"/>
              </w:rPr>
            </w:pPr>
            <w:r w:rsidRPr="00B07655">
              <w:t>Pension indexed at 3%</w:t>
            </w:r>
          </w:p>
        </w:tc>
        <w:tc>
          <w:tcPr>
            <w:tcW w:w="1520" w:type="dxa"/>
            <w:shd w:val="clear" w:color="auto" w:fill="auto"/>
          </w:tcPr>
          <w:p w14:paraId="2E24AFA3"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shd w:val="clear" w:color="auto" w:fill="auto"/>
          </w:tcPr>
          <w:p w14:paraId="5072CB98" w14:textId="781E6BB3" w:rsidR="00EE3294" w:rsidRPr="00B07655" w:rsidRDefault="00EE3294" w:rsidP="00EE3294">
            <w:pPr>
              <w:pStyle w:val="Tabletext"/>
              <w:rPr>
                <w:rFonts w:eastAsiaTheme="minorEastAsia"/>
              </w:rPr>
            </w:pPr>
            <w:r w:rsidRPr="0075436B">
              <w:t>1.26</w:t>
            </w:r>
          </w:p>
        </w:tc>
        <w:tc>
          <w:tcPr>
            <w:tcW w:w="1520" w:type="dxa"/>
            <w:shd w:val="clear" w:color="auto" w:fill="auto"/>
          </w:tcPr>
          <w:p w14:paraId="5EF955B7" w14:textId="77777777" w:rsidR="00EE3294" w:rsidRPr="00B07655" w:rsidRDefault="00EE3294" w:rsidP="00EE3294">
            <w:pPr>
              <w:pStyle w:val="Tabletext"/>
              <w:rPr>
                <w:rFonts w:eastAsiaTheme="minorEastAsia"/>
              </w:rPr>
            </w:pPr>
            <w:r>
              <w:rPr>
                <w:rFonts w:eastAsiaTheme="minorEastAsia"/>
              </w:rPr>
              <w:t>1</w:t>
            </w:r>
          </w:p>
        </w:tc>
        <w:tc>
          <w:tcPr>
            <w:tcW w:w="1520" w:type="dxa"/>
            <w:shd w:val="clear" w:color="auto" w:fill="auto"/>
          </w:tcPr>
          <w:p w14:paraId="1E5A42F8" w14:textId="597754C1" w:rsidR="00EE3294" w:rsidRPr="00B07655" w:rsidRDefault="00EE3294" w:rsidP="00EE3294">
            <w:pPr>
              <w:pStyle w:val="Tabletext"/>
              <w:rPr>
                <w:rFonts w:eastAsiaTheme="minorEastAsia"/>
              </w:rPr>
            </w:pPr>
            <w:r w:rsidRPr="0075436B">
              <w:t>1.20</w:t>
            </w:r>
          </w:p>
        </w:tc>
      </w:tr>
      <w:tr w:rsidR="00EE3294" w:rsidRPr="00B07655" w14:paraId="3B9A5449" w14:textId="77777777" w:rsidTr="0002398B">
        <w:tc>
          <w:tcPr>
            <w:tcW w:w="714" w:type="dxa"/>
            <w:shd w:val="clear" w:color="auto" w:fill="auto"/>
          </w:tcPr>
          <w:p w14:paraId="1D5197EA" w14:textId="77777777" w:rsidR="00EE3294" w:rsidRPr="00B07655" w:rsidRDefault="00EE3294" w:rsidP="00EE3294">
            <w:pPr>
              <w:pStyle w:val="Tabletext"/>
              <w:rPr>
                <w:rFonts w:eastAsiaTheme="minorEastAsia"/>
              </w:rPr>
            </w:pPr>
            <w:r w:rsidRPr="00B07655">
              <w:rPr>
                <w:rFonts w:eastAsiaTheme="minorEastAsia"/>
              </w:rPr>
              <w:t>7</w:t>
            </w:r>
          </w:p>
        </w:tc>
        <w:tc>
          <w:tcPr>
            <w:tcW w:w="1520" w:type="dxa"/>
            <w:shd w:val="clear" w:color="auto" w:fill="auto"/>
          </w:tcPr>
          <w:p w14:paraId="5E3DAB05" w14:textId="77777777" w:rsidR="00EE3294" w:rsidRPr="00B07655" w:rsidRDefault="00EE3294" w:rsidP="00EE3294">
            <w:pPr>
              <w:pStyle w:val="Tabletext"/>
              <w:rPr>
                <w:rFonts w:eastAsiaTheme="minorEastAsia"/>
              </w:rPr>
            </w:pPr>
            <w:r w:rsidRPr="00B07655">
              <w:t>Wage indexed pension</w:t>
            </w:r>
          </w:p>
        </w:tc>
        <w:tc>
          <w:tcPr>
            <w:tcW w:w="1520" w:type="dxa"/>
            <w:shd w:val="clear" w:color="auto" w:fill="auto"/>
          </w:tcPr>
          <w:p w14:paraId="7ED6D5CD"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shd w:val="clear" w:color="auto" w:fill="auto"/>
          </w:tcPr>
          <w:p w14:paraId="12D50466" w14:textId="79422FE3" w:rsidR="00EE3294" w:rsidRPr="00B07655" w:rsidRDefault="00EE3294" w:rsidP="00EE3294">
            <w:pPr>
              <w:pStyle w:val="Tabletext"/>
              <w:rPr>
                <w:rFonts w:eastAsiaTheme="minorEastAsia"/>
              </w:rPr>
            </w:pPr>
            <w:r w:rsidRPr="0075436B">
              <w:t>1.25</w:t>
            </w:r>
          </w:p>
        </w:tc>
        <w:tc>
          <w:tcPr>
            <w:tcW w:w="1520" w:type="dxa"/>
            <w:shd w:val="clear" w:color="auto" w:fill="auto"/>
          </w:tcPr>
          <w:p w14:paraId="11167853" w14:textId="77777777" w:rsidR="00EE3294" w:rsidRPr="00B07655" w:rsidRDefault="00EE3294" w:rsidP="00EE3294">
            <w:pPr>
              <w:pStyle w:val="Tabletext"/>
              <w:rPr>
                <w:rFonts w:eastAsiaTheme="minorEastAsia"/>
              </w:rPr>
            </w:pPr>
            <w:r>
              <w:rPr>
                <w:rFonts w:eastAsiaTheme="minorEastAsia"/>
              </w:rPr>
              <w:t>1</w:t>
            </w:r>
          </w:p>
        </w:tc>
        <w:tc>
          <w:tcPr>
            <w:tcW w:w="1520" w:type="dxa"/>
            <w:shd w:val="clear" w:color="auto" w:fill="auto"/>
          </w:tcPr>
          <w:p w14:paraId="2612D5A1" w14:textId="32399154" w:rsidR="00EE3294" w:rsidRPr="00B07655" w:rsidRDefault="00EE3294" w:rsidP="00EE3294">
            <w:pPr>
              <w:pStyle w:val="Tabletext"/>
              <w:rPr>
                <w:rFonts w:eastAsiaTheme="minorEastAsia"/>
              </w:rPr>
            </w:pPr>
            <w:r w:rsidRPr="0075436B">
              <w:t>1.18</w:t>
            </w:r>
          </w:p>
        </w:tc>
      </w:tr>
      <w:tr w:rsidR="00EE3294" w:rsidRPr="00B07655" w14:paraId="6E071886" w14:textId="77777777" w:rsidTr="0002398B">
        <w:tc>
          <w:tcPr>
            <w:tcW w:w="714" w:type="dxa"/>
            <w:tcBorders>
              <w:bottom w:val="single" w:sz="2" w:space="0" w:color="auto"/>
            </w:tcBorders>
            <w:shd w:val="clear" w:color="auto" w:fill="auto"/>
          </w:tcPr>
          <w:p w14:paraId="2AA04359" w14:textId="77777777" w:rsidR="00EE3294" w:rsidRPr="00B07655" w:rsidRDefault="00EE3294" w:rsidP="00EE3294">
            <w:pPr>
              <w:pStyle w:val="Tabletext"/>
              <w:rPr>
                <w:rFonts w:eastAsiaTheme="minorEastAsia"/>
              </w:rPr>
            </w:pPr>
            <w:r w:rsidRPr="00B07655">
              <w:rPr>
                <w:rFonts w:eastAsiaTheme="minorEastAsia"/>
              </w:rPr>
              <w:t>8</w:t>
            </w:r>
          </w:p>
        </w:tc>
        <w:tc>
          <w:tcPr>
            <w:tcW w:w="1520" w:type="dxa"/>
            <w:tcBorders>
              <w:bottom w:val="single" w:sz="2" w:space="0" w:color="auto"/>
            </w:tcBorders>
            <w:shd w:val="clear" w:color="auto" w:fill="auto"/>
          </w:tcPr>
          <w:p w14:paraId="6144641A" w14:textId="77777777" w:rsidR="00EE3294" w:rsidRPr="00B07655" w:rsidRDefault="00EE3294" w:rsidP="00EE3294">
            <w:pPr>
              <w:pStyle w:val="Tabletext"/>
              <w:rPr>
                <w:rFonts w:eastAsiaTheme="minorEastAsia"/>
              </w:rPr>
            </w:pPr>
            <w:r w:rsidRPr="00B07655">
              <w:t>Pension indexed at 4%</w:t>
            </w:r>
          </w:p>
        </w:tc>
        <w:tc>
          <w:tcPr>
            <w:tcW w:w="1520" w:type="dxa"/>
            <w:tcBorders>
              <w:bottom w:val="single" w:sz="2" w:space="0" w:color="auto"/>
            </w:tcBorders>
            <w:shd w:val="clear" w:color="auto" w:fill="auto"/>
          </w:tcPr>
          <w:p w14:paraId="17C1312F" w14:textId="77777777" w:rsidR="00EE3294" w:rsidRPr="00B07655" w:rsidRDefault="00EE3294" w:rsidP="00EE3294">
            <w:pPr>
              <w:pStyle w:val="Tabletext"/>
              <w:rPr>
                <w:rFonts w:eastAsiaTheme="minorEastAsia"/>
              </w:rPr>
            </w:pPr>
            <w:r w:rsidRPr="00B07655">
              <w:rPr>
                <w:rFonts w:eastAsiaTheme="minorEastAsia"/>
              </w:rPr>
              <w:t>1</w:t>
            </w:r>
          </w:p>
        </w:tc>
        <w:tc>
          <w:tcPr>
            <w:tcW w:w="1520" w:type="dxa"/>
            <w:tcBorders>
              <w:bottom w:val="single" w:sz="2" w:space="0" w:color="auto"/>
            </w:tcBorders>
            <w:shd w:val="clear" w:color="auto" w:fill="auto"/>
          </w:tcPr>
          <w:p w14:paraId="69889597" w14:textId="1896ABA2" w:rsidR="00EE3294" w:rsidRPr="00B07655" w:rsidRDefault="00EE3294" w:rsidP="00EE3294">
            <w:pPr>
              <w:pStyle w:val="Tabletext"/>
              <w:rPr>
                <w:rFonts w:eastAsiaTheme="minorEastAsia"/>
              </w:rPr>
            </w:pPr>
            <w:r w:rsidRPr="0075436B">
              <w:t>1</w:t>
            </w:r>
          </w:p>
        </w:tc>
        <w:tc>
          <w:tcPr>
            <w:tcW w:w="1520" w:type="dxa"/>
            <w:tcBorders>
              <w:bottom w:val="single" w:sz="2" w:space="0" w:color="auto"/>
            </w:tcBorders>
            <w:shd w:val="clear" w:color="auto" w:fill="auto"/>
          </w:tcPr>
          <w:p w14:paraId="37DFA091" w14:textId="77777777" w:rsidR="00EE3294" w:rsidRPr="00B07655" w:rsidRDefault="00EE3294" w:rsidP="00EE3294">
            <w:pPr>
              <w:pStyle w:val="Tabletext"/>
              <w:rPr>
                <w:rFonts w:eastAsiaTheme="minorEastAsia"/>
              </w:rPr>
            </w:pPr>
            <w:r>
              <w:rPr>
                <w:rFonts w:eastAsiaTheme="minorEastAsia"/>
              </w:rPr>
              <w:t>1</w:t>
            </w:r>
          </w:p>
        </w:tc>
        <w:tc>
          <w:tcPr>
            <w:tcW w:w="1520" w:type="dxa"/>
            <w:tcBorders>
              <w:bottom w:val="single" w:sz="2" w:space="0" w:color="auto"/>
            </w:tcBorders>
            <w:shd w:val="clear" w:color="auto" w:fill="auto"/>
          </w:tcPr>
          <w:p w14:paraId="191FA4EF" w14:textId="56A58FD6" w:rsidR="00EE3294" w:rsidRPr="00B07655" w:rsidRDefault="00EE3294" w:rsidP="00EE3294">
            <w:pPr>
              <w:pStyle w:val="Tabletext"/>
              <w:rPr>
                <w:rFonts w:eastAsiaTheme="minorEastAsia"/>
              </w:rPr>
            </w:pPr>
            <w:r w:rsidRPr="0075436B">
              <w:t>1</w:t>
            </w:r>
          </w:p>
        </w:tc>
      </w:tr>
      <w:tr w:rsidR="00EE3294" w14:paraId="361A3866" w14:textId="77777777" w:rsidTr="0002398B">
        <w:tc>
          <w:tcPr>
            <w:tcW w:w="714" w:type="dxa"/>
            <w:tcBorders>
              <w:top w:val="single" w:sz="2" w:space="0" w:color="auto"/>
              <w:bottom w:val="single" w:sz="12" w:space="0" w:color="auto"/>
            </w:tcBorders>
            <w:shd w:val="clear" w:color="auto" w:fill="auto"/>
          </w:tcPr>
          <w:p w14:paraId="2144B342" w14:textId="77777777" w:rsidR="00EE3294" w:rsidRPr="00B07655" w:rsidRDefault="00EE3294" w:rsidP="00EE3294">
            <w:pPr>
              <w:pStyle w:val="Tabletext"/>
              <w:rPr>
                <w:rFonts w:eastAsiaTheme="minorEastAsia"/>
              </w:rPr>
            </w:pPr>
            <w:r w:rsidRPr="00B07655">
              <w:rPr>
                <w:rFonts w:eastAsiaTheme="minorEastAsia"/>
              </w:rPr>
              <w:t>9</w:t>
            </w:r>
          </w:p>
        </w:tc>
        <w:tc>
          <w:tcPr>
            <w:tcW w:w="1520" w:type="dxa"/>
            <w:tcBorders>
              <w:top w:val="single" w:sz="2" w:space="0" w:color="auto"/>
              <w:bottom w:val="single" w:sz="12" w:space="0" w:color="auto"/>
            </w:tcBorders>
            <w:shd w:val="clear" w:color="auto" w:fill="auto"/>
          </w:tcPr>
          <w:p w14:paraId="639DB813" w14:textId="77777777" w:rsidR="00EE3294" w:rsidRPr="00B07655" w:rsidRDefault="00EE3294" w:rsidP="00EE3294">
            <w:pPr>
              <w:pStyle w:val="Tabletext"/>
              <w:rPr>
                <w:rFonts w:eastAsiaTheme="minorEastAsia"/>
              </w:rPr>
            </w:pPr>
            <w:r w:rsidRPr="00B07655">
              <w:t>Pension indexed at 5%</w:t>
            </w:r>
          </w:p>
        </w:tc>
        <w:tc>
          <w:tcPr>
            <w:tcW w:w="1520" w:type="dxa"/>
            <w:tcBorders>
              <w:top w:val="single" w:sz="2" w:space="0" w:color="auto"/>
              <w:bottom w:val="single" w:sz="12" w:space="0" w:color="auto"/>
            </w:tcBorders>
            <w:shd w:val="clear" w:color="auto" w:fill="auto"/>
          </w:tcPr>
          <w:p w14:paraId="34ABAD96" w14:textId="77777777" w:rsidR="00EE3294" w:rsidRDefault="00EE3294" w:rsidP="00EE3294">
            <w:pPr>
              <w:pStyle w:val="Tabletext"/>
              <w:rPr>
                <w:rFonts w:eastAsiaTheme="minorEastAsia"/>
              </w:rPr>
            </w:pPr>
            <w:r>
              <w:rPr>
                <w:rFonts w:eastAsiaTheme="minorEastAsia"/>
              </w:rPr>
              <w:t>1</w:t>
            </w:r>
          </w:p>
        </w:tc>
        <w:tc>
          <w:tcPr>
            <w:tcW w:w="1520" w:type="dxa"/>
            <w:tcBorders>
              <w:top w:val="single" w:sz="2" w:space="0" w:color="auto"/>
              <w:bottom w:val="single" w:sz="12" w:space="0" w:color="auto"/>
            </w:tcBorders>
            <w:shd w:val="clear" w:color="auto" w:fill="auto"/>
          </w:tcPr>
          <w:p w14:paraId="392F108F" w14:textId="1451FBA3" w:rsidR="00EE3294" w:rsidRDefault="00EE3294" w:rsidP="00EE3294">
            <w:pPr>
              <w:pStyle w:val="Tabletext"/>
              <w:rPr>
                <w:rFonts w:eastAsiaTheme="minorEastAsia"/>
              </w:rPr>
            </w:pPr>
            <w:r w:rsidRPr="0075436B">
              <w:t>1.32</w:t>
            </w:r>
          </w:p>
        </w:tc>
        <w:tc>
          <w:tcPr>
            <w:tcW w:w="1520" w:type="dxa"/>
            <w:tcBorders>
              <w:top w:val="single" w:sz="2" w:space="0" w:color="auto"/>
              <w:bottom w:val="single" w:sz="12" w:space="0" w:color="auto"/>
            </w:tcBorders>
            <w:shd w:val="clear" w:color="auto" w:fill="auto"/>
          </w:tcPr>
          <w:p w14:paraId="5D9B1936" w14:textId="77777777" w:rsidR="00EE3294" w:rsidRDefault="00EE3294" w:rsidP="00EE3294">
            <w:pPr>
              <w:pStyle w:val="Tabletext"/>
              <w:rPr>
                <w:rFonts w:eastAsiaTheme="minorEastAsia"/>
              </w:rPr>
            </w:pPr>
            <w:r>
              <w:rPr>
                <w:rFonts w:eastAsiaTheme="minorEastAsia"/>
              </w:rPr>
              <w:t>1</w:t>
            </w:r>
          </w:p>
        </w:tc>
        <w:tc>
          <w:tcPr>
            <w:tcW w:w="1520" w:type="dxa"/>
            <w:tcBorders>
              <w:top w:val="single" w:sz="2" w:space="0" w:color="auto"/>
              <w:bottom w:val="single" w:sz="12" w:space="0" w:color="auto"/>
            </w:tcBorders>
            <w:shd w:val="clear" w:color="auto" w:fill="auto"/>
          </w:tcPr>
          <w:p w14:paraId="22230F99" w14:textId="190F09FE" w:rsidR="00EE3294" w:rsidRDefault="00EE3294" w:rsidP="00EE3294">
            <w:pPr>
              <w:pStyle w:val="Tabletext"/>
              <w:rPr>
                <w:rFonts w:eastAsiaTheme="minorEastAsia"/>
              </w:rPr>
            </w:pPr>
            <w:r w:rsidRPr="0075436B">
              <w:t>1.24</w:t>
            </w:r>
          </w:p>
        </w:tc>
      </w:tr>
    </w:tbl>
    <w:p w14:paraId="3BC660AD" w14:textId="10F6939F" w:rsidR="000B7EC7" w:rsidRPr="002B1F4D" w:rsidRDefault="000B7EC7" w:rsidP="000B7EC7">
      <w:pPr>
        <w:pStyle w:val="ActHead5"/>
        <w:rPr>
          <w:rFonts w:eastAsiaTheme="minorEastAsia"/>
        </w:rPr>
      </w:pPr>
      <w:bookmarkStart w:id="359" w:name="_Toc188350834"/>
      <w:r w:rsidRPr="00423C34">
        <w:rPr>
          <w:rStyle w:val="CharSectno"/>
          <w:rFonts w:eastAsiaTheme="minorEastAsia"/>
        </w:rPr>
        <w:t>5</w:t>
      </w:r>
      <w:r>
        <w:rPr>
          <w:rFonts w:eastAsiaTheme="minorEastAsia"/>
        </w:rPr>
        <w:t xml:space="preserve">  </w:t>
      </w:r>
      <w:r w:rsidR="002E68EB">
        <w:rPr>
          <w:rFonts w:eastAsiaTheme="minorEastAsia"/>
        </w:rPr>
        <w:t>Relative value</w:t>
      </w:r>
      <w:r>
        <w:rPr>
          <w:rFonts w:eastAsiaTheme="minorEastAsia"/>
        </w:rPr>
        <w:t xml:space="preserve"> factors—</w:t>
      </w:r>
      <w:r w:rsidR="002E68EB">
        <w:rPr>
          <w:rFonts w:eastAsiaTheme="minorEastAsia"/>
        </w:rPr>
        <w:t xml:space="preserve">benefits in respect of the superannuation </w:t>
      </w:r>
      <w:r w:rsidR="002E68EB" w:rsidRPr="004B789E">
        <w:rPr>
          <w:rFonts w:eastAsiaTheme="minorEastAsia"/>
        </w:rPr>
        <w:t xml:space="preserve">interest </w:t>
      </w:r>
      <w:r w:rsidR="002E68EB">
        <w:rPr>
          <w:rFonts w:eastAsiaTheme="minorEastAsia"/>
        </w:rPr>
        <w:t xml:space="preserve">are payable as a pension </w:t>
      </w:r>
      <w:r>
        <w:rPr>
          <w:rFonts w:eastAsiaTheme="minorEastAsia"/>
        </w:rPr>
        <w:t>having a 10</w:t>
      </w:r>
      <w:r w:rsidR="001952B3">
        <w:rPr>
          <w:rFonts w:eastAsiaTheme="minorEastAsia"/>
        </w:rPr>
        <w:noBreakHyphen/>
      </w:r>
      <w:r>
        <w:rPr>
          <w:rFonts w:eastAsiaTheme="minorEastAsia"/>
        </w:rPr>
        <w:t>year</w:t>
      </w:r>
      <w:r w:rsidRPr="004B789E">
        <w:rPr>
          <w:rFonts w:eastAsiaTheme="minorEastAsia"/>
        </w:rPr>
        <w:t xml:space="preserve"> guarantee period</w:t>
      </w:r>
      <w:bookmarkEnd w:id="359"/>
    </w:p>
    <w:p w14:paraId="447790E2" w14:textId="5ED1D09F" w:rsidR="000B7EC7" w:rsidRDefault="000B7EC7" w:rsidP="000B7EC7">
      <w:pPr>
        <w:pStyle w:val="subsection"/>
        <w:rPr>
          <w:rFonts w:eastAsiaTheme="minorEastAsia"/>
        </w:rPr>
      </w:pPr>
      <w:r>
        <w:rPr>
          <w:rFonts w:eastAsiaTheme="minorEastAsia"/>
        </w:rPr>
        <w:tab/>
      </w:r>
      <w:r>
        <w:rPr>
          <w:rFonts w:eastAsiaTheme="minorEastAsia"/>
        </w:rPr>
        <w:tab/>
      </w:r>
      <w:r w:rsidRPr="004B789E">
        <w:rPr>
          <w:rFonts w:eastAsiaTheme="minorEastAsia"/>
        </w:rPr>
        <w:t xml:space="preserve">The relative value factors set out in this </w:t>
      </w:r>
      <w:r>
        <w:rPr>
          <w:rFonts w:eastAsiaTheme="minorEastAsia"/>
        </w:rPr>
        <w:t>clause</w:t>
      </w:r>
      <w:r w:rsidRPr="004B789E">
        <w:rPr>
          <w:rFonts w:eastAsiaTheme="minorEastAsia"/>
        </w:rPr>
        <w:t xml:space="preserve"> apply</w:t>
      </w:r>
      <w:r>
        <w:rPr>
          <w:rFonts w:eastAsiaTheme="minorEastAsia"/>
        </w:rPr>
        <w:t xml:space="preserve"> for the superannuation interest</w:t>
      </w:r>
      <w:r w:rsidRPr="004B789E">
        <w:rPr>
          <w:rFonts w:eastAsiaTheme="minorEastAsia"/>
        </w:rPr>
        <w:t xml:space="preserve"> if </w:t>
      </w:r>
      <w:r w:rsidR="002E68EB">
        <w:rPr>
          <w:rFonts w:eastAsiaTheme="minorEastAsia"/>
        </w:rPr>
        <w:t xml:space="preserve">benefits in respect of the </w:t>
      </w:r>
      <w:r w:rsidR="002E68EB" w:rsidRPr="004B789E">
        <w:rPr>
          <w:rFonts w:eastAsiaTheme="minorEastAsia"/>
        </w:rPr>
        <w:t xml:space="preserve">interest </w:t>
      </w:r>
      <w:r w:rsidR="002E68EB">
        <w:rPr>
          <w:rFonts w:eastAsiaTheme="minorEastAsia"/>
        </w:rPr>
        <w:t xml:space="preserve">are payable as a pension </w:t>
      </w:r>
      <w:r>
        <w:rPr>
          <w:rFonts w:eastAsiaTheme="minorEastAsia"/>
        </w:rPr>
        <w:t>having a 10</w:t>
      </w:r>
      <w:r w:rsidR="001952B3">
        <w:rPr>
          <w:rFonts w:eastAsiaTheme="minorEastAsia"/>
        </w:rPr>
        <w:noBreakHyphen/>
      </w:r>
      <w:r>
        <w:rPr>
          <w:rFonts w:eastAsiaTheme="minorEastAsia"/>
        </w:rPr>
        <w:t>year</w:t>
      </w:r>
      <w:r w:rsidRPr="004B789E">
        <w:rPr>
          <w:rFonts w:eastAsiaTheme="minorEastAsia"/>
        </w:rPr>
        <w:t xml:space="preserve"> guarantee period.</w:t>
      </w:r>
    </w:p>
    <w:p w14:paraId="39FE053E" w14:textId="77777777" w:rsidR="000B7EC7" w:rsidRPr="00EE3294" w:rsidRDefault="000B7EC7" w:rsidP="000B7EC7">
      <w:pPr>
        <w:pStyle w:val="Tabletext"/>
        <w:rPr>
          <w:rFonts w:eastAsiaTheme="minorEastAsia"/>
        </w:rPr>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20"/>
        <w:gridCol w:w="1520"/>
        <w:gridCol w:w="1520"/>
        <w:gridCol w:w="1520"/>
        <w:gridCol w:w="1520"/>
      </w:tblGrid>
      <w:tr w:rsidR="000B7EC7" w14:paraId="0A0DD209" w14:textId="77777777" w:rsidTr="0002398B">
        <w:trPr>
          <w:tblHeader/>
        </w:trPr>
        <w:tc>
          <w:tcPr>
            <w:tcW w:w="8314" w:type="dxa"/>
            <w:gridSpan w:val="6"/>
            <w:tcBorders>
              <w:top w:val="single" w:sz="12" w:space="0" w:color="auto"/>
              <w:bottom w:val="single" w:sz="6" w:space="0" w:color="auto"/>
            </w:tcBorders>
            <w:shd w:val="clear" w:color="auto" w:fill="auto"/>
          </w:tcPr>
          <w:p w14:paraId="611BFEE0" w14:textId="1160B705" w:rsidR="000B7EC7" w:rsidRDefault="000B7EC7" w:rsidP="0002398B">
            <w:pPr>
              <w:pStyle w:val="TableHeading"/>
              <w:rPr>
                <w:rFonts w:eastAsiaTheme="minorEastAsia"/>
              </w:rPr>
            </w:pPr>
            <w:r>
              <w:rPr>
                <w:rFonts w:eastAsiaTheme="minorEastAsia"/>
              </w:rPr>
              <w:t>Relative value factors</w:t>
            </w:r>
          </w:p>
        </w:tc>
      </w:tr>
      <w:tr w:rsidR="000B7EC7" w14:paraId="21DDB644" w14:textId="77777777" w:rsidTr="0002398B">
        <w:trPr>
          <w:tblHeader/>
        </w:trPr>
        <w:tc>
          <w:tcPr>
            <w:tcW w:w="714" w:type="dxa"/>
            <w:tcBorders>
              <w:top w:val="single" w:sz="6" w:space="0" w:color="auto"/>
              <w:bottom w:val="single" w:sz="12" w:space="0" w:color="auto"/>
            </w:tcBorders>
            <w:shd w:val="clear" w:color="auto" w:fill="auto"/>
          </w:tcPr>
          <w:p w14:paraId="4F3F6402" w14:textId="77777777" w:rsidR="000B7EC7" w:rsidRDefault="000B7EC7" w:rsidP="0002398B">
            <w:pPr>
              <w:pStyle w:val="TableHeading"/>
              <w:rPr>
                <w:rFonts w:eastAsiaTheme="minorEastAsia"/>
              </w:rPr>
            </w:pPr>
            <w:r>
              <w:rPr>
                <w:rFonts w:eastAsiaTheme="minorEastAsia"/>
              </w:rPr>
              <w:t>Item</w:t>
            </w:r>
          </w:p>
        </w:tc>
        <w:tc>
          <w:tcPr>
            <w:tcW w:w="1520" w:type="dxa"/>
            <w:tcBorders>
              <w:top w:val="single" w:sz="6" w:space="0" w:color="auto"/>
              <w:bottom w:val="single" w:sz="12" w:space="0" w:color="auto"/>
            </w:tcBorders>
            <w:shd w:val="clear" w:color="auto" w:fill="auto"/>
          </w:tcPr>
          <w:p w14:paraId="4DEC782B" w14:textId="77777777" w:rsidR="000B7EC7" w:rsidRDefault="000B7EC7" w:rsidP="0002398B">
            <w:pPr>
              <w:pStyle w:val="TableHeading"/>
              <w:rPr>
                <w:rFonts w:eastAsiaTheme="minorEastAsia"/>
              </w:rPr>
            </w:pPr>
            <w:r w:rsidRPr="00B07655">
              <w:t>Indexation</w:t>
            </w:r>
            <w:r w:rsidRPr="0075436B">
              <w:t xml:space="preserve"> rate of pension</w:t>
            </w:r>
          </w:p>
        </w:tc>
        <w:tc>
          <w:tcPr>
            <w:tcW w:w="1520" w:type="dxa"/>
            <w:tcBorders>
              <w:top w:val="single" w:sz="6" w:space="0" w:color="auto"/>
              <w:bottom w:val="single" w:sz="12" w:space="0" w:color="auto"/>
            </w:tcBorders>
            <w:shd w:val="clear" w:color="auto" w:fill="auto"/>
          </w:tcPr>
          <w:p w14:paraId="03CAE27D" w14:textId="77777777" w:rsidR="000B7EC7" w:rsidRPr="00B07655" w:rsidRDefault="000B7EC7" w:rsidP="0002398B">
            <w:pPr>
              <w:pStyle w:val="TableHeading"/>
            </w:pPr>
            <w:r>
              <w:t>M</w:t>
            </w:r>
            <w:r w:rsidRPr="00B07655">
              <w:t>ale</w:t>
            </w:r>
          </w:p>
          <w:p w14:paraId="195F9939" w14:textId="4B874F3D" w:rsidR="000B7EC7" w:rsidRPr="00B07655" w:rsidRDefault="0098573B" w:rsidP="0002398B">
            <w:pPr>
              <w:pStyle w:val="TableHeading"/>
              <w:rPr>
                <w:rFonts w:eastAsiaTheme="minorEastAsia"/>
                <w:bCs/>
              </w:rPr>
            </w:pPr>
            <w:r>
              <w:t>Applicable</w:t>
            </w:r>
            <w:r w:rsidR="000B7EC7" w:rsidRPr="00B07655">
              <w:t xml:space="preserve"> date</w:t>
            </w:r>
            <w:r w:rsidR="000B7EC7">
              <w:t xml:space="preserve"> or time is</w:t>
            </w:r>
            <w:r w:rsidR="000B7EC7" w:rsidRPr="00B07655">
              <w:t xml:space="preserve"> before </w:t>
            </w:r>
            <w:r w:rsidR="00453C86">
              <w:t>1 April</w:t>
            </w:r>
            <w:r w:rsidR="000B7EC7" w:rsidRPr="00B07655">
              <w:t xml:space="preserve"> </w:t>
            </w:r>
            <w:r w:rsidR="000B7EC7">
              <w:rPr>
                <w:bCs/>
              </w:rPr>
              <w:t>2025</w:t>
            </w:r>
          </w:p>
        </w:tc>
        <w:tc>
          <w:tcPr>
            <w:tcW w:w="1520" w:type="dxa"/>
            <w:tcBorders>
              <w:top w:val="single" w:sz="6" w:space="0" w:color="auto"/>
              <w:bottom w:val="single" w:sz="12" w:space="0" w:color="auto"/>
            </w:tcBorders>
            <w:shd w:val="clear" w:color="auto" w:fill="auto"/>
          </w:tcPr>
          <w:p w14:paraId="0385E1F3" w14:textId="77777777" w:rsidR="000B7EC7" w:rsidRPr="00B07655" w:rsidRDefault="000B7EC7" w:rsidP="0002398B">
            <w:pPr>
              <w:pStyle w:val="TableHeading"/>
            </w:pPr>
            <w:r>
              <w:t>M</w:t>
            </w:r>
            <w:r w:rsidRPr="00B07655">
              <w:t>ale</w:t>
            </w:r>
          </w:p>
          <w:p w14:paraId="4239CA45" w14:textId="5703B90E" w:rsidR="000B7EC7" w:rsidRDefault="0098573B" w:rsidP="0002398B">
            <w:pPr>
              <w:pStyle w:val="TableHeading"/>
              <w:rPr>
                <w:rFonts w:eastAsiaTheme="minorEastAsia"/>
              </w:rPr>
            </w:pPr>
            <w:r>
              <w:t>Applicable</w:t>
            </w:r>
            <w:r w:rsidR="000B7EC7" w:rsidRPr="00B07655">
              <w:t xml:space="preserve"> date</w:t>
            </w:r>
            <w:r w:rsidR="000B7EC7">
              <w:t xml:space="preserve"> or time is</w:t>
            </w:r>
            <w:r w:rsidR="000B7EC7" w:rsidRPr="00B07655">
              <w:t xml:space="preserve"> on or after </w:t>
            </w:r>
            <w:r w:rsidR="00453C86">
              <w:rPr>
                <w:bCs/>
              </w:rPr>
              <w:t>1 April</w:t>
            </w:r>
            <w:r w:rsidR="000B7EC7">
              <w:rPr>
                <w:bCs/>
              </w:rPr>
              <w:t xml:space="preserve"> 2025</w:t>
            </w:r>
          </w:p>
        </w:tc>
        <w:tc>
          <w:tcPr>
            <w:tcW w:w="1520" w:type="dxa"/>
            <w:tcBorders>
              <w:top w:val="single" w:sz="6" w:space="0" w:color="auto"/>
              <w:bottom w:val="single" w:sz="12" w:space="0" w:color="auto"/>
            </w:tcBorders>
            <w:shd w:val="clear" w:color="auto" w:fill="auto"/>
          </w:tcPr>
          <w:p w14:paraId="3E118C3D" w14:textId="77777777" w:rsidR="000B7EC7" w:rsidRPr="00B07655" w:rsidRDefault="000B7EC7" w:rsidP="0002398B">
            <w:pPr>
              <w:pStyle w:val="TableHeading"/>
            </w:pPr>
            <w:r w:rsidRPr="00B07655">
              <w:t>Female</w:t>
            </w:r>
          </w:p>
          <w:p w14:paraId="423DCB77" w14:textId="3F7BC73C" w:rsidR="000B7EC7" w:rsidRDefault="0098573B" w:rsidP="0002398B">
            <w:pPr>
              <w:pStyle w:val="TableHeading"/>
              <w:rPr>
                <w:rFonts w:eastAsiaTheme="minorEastAsia"/>
              </w:rPr>
            </w:pPr>
            <w:r>
              <w:t>Applicable</w:t>
            </w:r>
            <w:r w:rsidR="000B7EC7">
              <w:t xml:space="preserve"> date or time is before </w:t>
            </w:r>
            <w:r w:rsidR="00453C86">
              <w:t>1 April</w:t>
            </w:r>
            <w:r w:rsidR="000B7EC7">
              <w:t xml:space="preserve"> 2025</w:t>
            </w:r>
          </w:p>
        </w:tc>
        <w:tc>
          <w:tcPr>
            <w:tcW w:w="1520" w:type="dxa"/>
            <w:tcBorders>
              <w:top w:val="single" w:sz="6" w:space="0" w:color="auto"/>
              <w:bottom w:val="single" w:sz="12" w:space="0" w:color="auto"/>
            </w:tcBorders>
            <w:shd w:val="clear" w:color="auto" w:fill="auto"/>
          </w:tcPr>
          <w:p w14:paraId="57B35CC3" w14:textId="77777777" w:rsidR="000B7EC7" w:rsidRPr="00B07655" w:rsidRDefault="000B7EC7" w:rsidP="0002398B">
            <w:pPr>
              <w:pStyle w:val="TableHeading"/>
            </w:pPr>
            <w:r w:rsidRPr="00B07655">
              <w:t>Female</w:t>
            </w:r>
          </w:p>
          <w:p w14:paraId="16FA7817" w14:textId="65298117" w:rsidR="000B7EC7" w:rsidRDefault="0098573B" w:rsidP="0002398B">
            <w:pPr>
              <w:pStyle w:val="TableHeading"/>
              <w:rPr>
                <w:rFonts w:eastAsiaTheme="minorEastAsia"/>
              </w:rPr>
            </w:pPr>
            <w:r>
              <w:t>Applicable</w:t>
            </w:r>
            <w:r w:rsidR="000B7EC7" w:rsidRPr="00B07655">
              <w:t xml:space="preserve"> date</w:t>
            </w:r>
            <w:r w:rsidR="000B7EC7">
              <w:t xml:space="preserve"> or time is</w:t>
            </w:r>
            <w:r w:rsidR="000B7EC7" w:rsidRPr="00B07655">
              <w:t xml:space="preserve"> on or after </w:t>
            </w:r>
            <w:r w:rsidR="00453C86">
              <w:rPr>
                <w:bCs/>
              </w:rPr>
              <w:t>1 April</w:t>
            </w:r>
            <w:r w:rsidR="000B7EC7">
              <w:rPr>
                <w:bCs/>
              </w:rPr>
              <w:t xml:space="preserve"> 2025</w:t>
            </w:r>
          </w:p>
        </w:tc>
      </w:tr>
      <w:tr w:rsidR="000B7EC7" w:rsidRPr="00B07655" w14:paraId="7C585196" w14:textId="77777777" w:rsidTr="0002398B">
        <w:tc>
          <w:tcPr>
            <w:tcW w:w="714" w:type="dxa"/>
            <w:tcBorders>
              <w:top w:val="single" w:sz="12" w:space="0" w:color="auto"/>
            </w:tcBorders>
            <w:shd w:val="clear" w:color="auto" w:fill="auto"/>
          </w:tcPr>
          <w:p w14:paraId="51A6131D" w14:textId="77777777" w:rsidR="000B7EC7" w:rsidRDefault="000B7EC7" w:rsidP="000B7EC7">
            <w:pPr>
              <w:pStyle w:val="Tabletext"/>
              <w:rPr>
                <w:rFonts w:eastAsiaTheme="minorEastAsia"/>
              </w:rPr>
            </w:pPr>
            <w:r>
              <w:rPr>
                <w:rFonts w:eastAsiaTheme="minorEastAsia"/>
              </w:rPr>
              <w:t>1</w:t>
            </w:r>
          </w:p>
        </w:tc>
        <w:tc>
          <w:tcPr>
            <w:tcW w:w="1520" w:type="dxa"/>
            <w:tcBorders>
              <w:top w:val="single" w:sz="12" w:space="0" w:color="auto"/>
            </w:tcBorders>
            <w:shd w:val="clear" w:color="auto" w:fill="auto"/>
          </w:tcPr>
          <w:p w14:paraId="6B381327" w14:textId="77777777" w:rsidR="000B7EC7" w:rsidRPr="00B07655" w:rsidRDefault="000B7EC7" w:rsidP="000B7EC7">
            <w:pPr>
              <w:pStyle w:val="Tabletext"/>
              <w:rPr>
                <w:rFonts w:eastAsiaTheme="minorEastAsia"/>
              </w:rPr>
            </w:pPr>
            <w:r w:rsidRPr="00B07655">
              <w:t>Pension not indexed</w:t>
            </w:r>
          </w:p>
        </w:tc>
        <w:tc>
          <w:tcPr>
            <w:tcW w:w="1520" w:type="dxa"/>
            <w:tcBorders>
              <w:top w:val="single" w:sz="12" w:space="0" w:color="auto"/>
            </w:tcBorders>
            <w:shd w:val="clear" w:color="auto" w:fill="auto"/>
          </w:tcPr>
          <w:p w14:paraId="6143B447"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tcBorders>
              <w:top w:val="single" w:sz="12" w:space="0" w:color="auto"/>
            </w:tcBorders>
            <w:shd w:val="clear" w:color="auto" w:fill="auto"/>
          </w:tcPr>
          <w:p w14:paraId="7D680465" w14:textId="29878AAE" w:rsidR="000B7EC7" w:rsidRPr="00B07655" w:rsidRDefault="000B7EC7" w:rsidP="000B7EC7">
            <w:pPr>
              <w:pStyle w:val="Tabletext"/>
              <w:rPr>
                <w:rFonts w:eastAsiaTheme="minorEastAsia"/>
              </w:rPr>
            </w:pPr>
            <w:r w:rsidRPr="0075436B">
              <w:t>1.17</w:t>
            </w:r>
          </w:p>
        </w:tc>
        <w:tc>
          <w:tcPr>
            <w:tcW w:w="1520" w:type="dxa"/>
            <w:tcBorders>
              <w:top w:val="single" w:sz="12" w:space="0" w:color="auto"/>
            </w:tcBorders>
            <w:shd w:val="clear" w:color="auto" w:fill="auto"/>
          </w:tcPr>
          <w:p w14:paraId="1A7D9985" w14:textId="77777777" w:rsidR="000B7EC7" w:rsidRPr="00B07655" w:rsidRDefault="000B7EC7" w:rsidP="000B7EC7">
            <w:pPr>
              <w:pStyle w:val="Tabletext"/>
              <w:rPr>
                <w:rFonts w:eastAsiaTheme="minorEastAsia"/>
              </w:rPr>
            </w:pPr>
            <w:r>
              <w:rPr>
                <w:rFonts w:eastAsiaTheme="minorEastAsia"/>
              </w:rPr>
              <w:t>1</w:t>
            </w:r>
          </w:p>
        </w:tc>
        <w:tc>
          <w:tcPr>
            <w:tcW w:w="1520" w:type="dxa"/>
            <w:tcBorders>
              <w:top w:val="single" w:sz="12" w:space="0" w:color="auto"/>
            </w:tcBorders>
            <w:shd w:val="clear" w:color="auto" w:fill="auto"/>
          </w:tcPr>
          <w:p w14:paraId="5F773C7C" w14:textId="66CC7D88" w:rsidR="000B7EC7" w:rsidRPr="00B07655" w:rsidRDefault="000B7EC7" w:rsidP="000B7EC7">
            <w:pPr>
              <w:pStyle w:val="Tabletext"/>
              <w:rPr>
                <w:rFonts w:eastAsiaTheme="minorEastAsia"/>
              </w:rPr>
            </w:pPr>
            <w:r w:rsidRPr="0075436B">
              <w:t>1.13</w:t>
            </w:r>
          </w:p>
        </w:tc>
      </w:tr>
      <w:tr w:rsidR="000B7EC7" w:rsidRPr="00B07655" w14:paraId="33CD0923" w14:textId="77777777" w:rsidTr="0002398B">
        <w:tc>
          <w:tcPr>
            <w:tcW w:w="714" w:type="dxa"/>
            <w:shd w:val="clear" w:color="auto" w:fill="auto"/>
          </w:tcPr>
          <w:p w14:paraId="633EE0F3" w14:textId="77777777" w:rsidR="000B7EC7" w:rsidRPr="00B07655" w:rsidRDefault="000B7EC7" w:rsidP="000B7EC7">
            <w:pPr>
              <w:pStyle w:val="Tabletext"/>
              <w:rPr>
                <w:rFonts w:eastAsiaTheme="minorEastAsia"/>
              </w:rPr>
            </w:pPr>
            <w:r w:rsidRPr="00B07655">
              <w:rPr>
                <w:rFonts w:eastAsiaTheme="minorEastAsia"/>
              </w:rPr>
              <w:t>2</w:t>
            </w:r>
          </w:p>
        </w:tc>
        <w:tc>
          <w:tcPr>
            <w:tcW w:w="1520" w:type="dxa"/>
            <w:shd w:val="clear" w:color="auto" w:fill="auto"/>
          </w:tcPr>
          <w:p w14:paraId="7E48B50C" w14:textId="77777777" w:rsidR="000B7EC7" w:rsidRPr="00B07655" w:rsidRDefault="000B7EC7" w:rsidP="000B7EC7">
            <w:pPr>
              <w:pStyle w:val="Tabletext"/>
              <w:rPr>
                <w:rFonts w:eastAsiaTheme="minorEastAsia"/>
              </w:rPr>
            </w:pPr>
            <w:r w:rsidRPr="00B07655">
              <w:t>CPI indexed pension</w:t>
            </w:r>
          </w:p>
        </w:tc>
        <w:tc>
          <w:tcPr>
            <w:tcW w:w="1520" w:type="dxa"/>
            <w:shd w:val="clear" w:color="auto" w:fill="auto"/>
          </w:tcPr>
          <w:p w14:paraId="46568758"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shd w:val="clear" w:color="auto" w:fill="auto"/>
          </w:tcPr>
          <w:p w14:paraId="009309B9" w14:textId="5F38B3B7" w:rsidR="000B7EC7" w:rsidRPr="00B07655" w:rsidRDefault="000B7EC7" w:rsidP="000B7EC7">
            <w:pPr>
              <w:pStyle w:val="Tabletext"/>
              <w:rPr>
                <w:rFonts w:eastAsiaTheme="minorEastAsia"/>
              </w:rPr>
            </w:pPr>
            <w:r w:rsidRPr="0075436B">
              <w:t>1.23</w:t>
            </w:r>
          </w:p>
        </w:tc>
        <w:tc>
          <w:tcPr>
            <w:tcW w:w="1520" w:type="dxa"/>
            <w:shd w:val="clear" w:color="auto" w:fill="auto"/>
          </w:tcPr>
          <w:p w14:paraId="23E8AE03" w14:textId="77777777" w:rsidR="000B7EC7" w:rsidRPr="00B07655" w:rsidRDefault="000B7EC7" w:rsidP="000B7EC7">
            <w:pPr>
              <w:pStyle w:val="Tabletext"/>
              <w:rPr>
                <w:rFonts w:eastAsiaTheme="minorEastAsia"/>
              </w:rPr>
            </w:pPr>
            <w:r>
              <w:rPr>
                <w:rFonts w:eastAsiaTheme="minorEastAsia"/>
              </w:rPr>
              <w:t>1</w:t>
            </w:r>
          </w:p>
        </w:tc>
        <w:tc>
          <w:tcPr>
            <w:tcW w:w="1520" w:type="dxa"/>
            <w:shd w:val="clear" w:color="auto" w:fill="auto"/>
          </w:tcPr>
          <w:p w14:paraId="30687E96" w14:textId="586E234A" w:rsidR="000B7EC7" w:rsidRPr="00B07655" w:rsidRDefault="000B7EC7" w:rsidP="000B7EC7">
            <w:pPr>
              <w:pStyle w:val="Tabletext"/>
              <w:rPr>
                <w:rFonts w:eastAsiaTheme="minorEastAsia"/>
              </w:rPr>
            </w:pPr>
            <w:r w:rsidRPr="0075436B">
              <w:t>1.18</w:t>
            </w:r>
          </w:p>
        </w:tc>
      </w:tr>
      <w:tr w:rsidR="000B7EC7" w:rsidRPr="00B07655" w14:paraId="1E8B5F96" w14:textId="77777777" w:rsidTr="0002398B">
        <w:tc>
          <w:tcPr>
            <w:tcW w:w="714" w:type="dxa"/>
            <w:shd w:val="clear" w:color="auto" w:fill="auto"/>
          </w:tcPr>
          <w:p w14:paraId="5BE44E3B" w14:textId="77777777" w:rsidR="000B7EC7" w:rsidRPr="00B07655" w:rsidRDefault="000B7EC7" w:rsidP="000B7EC7">
            <w:pPr>
              <w:pStyle w:val="Tabletext"/>
              <w:rPr>
                <w:rFonts w:eastAsiaTheme="minorEastAsia"/>
              </w:rPr>
            </w:pPr>
            <w:r w:rsidRPr="00B07655">
              <w:rPr>
                <w:rFonts w:eastAsiaTheme="minorEastAsia"/>
              </w:rPr>
              <w:t>3</w:t>
            </w:r>
          </w:p>
        </w:tc>
        <w:tc>
          <w:tcPr>
            <w:tcW w:w="1520" w:type="dxa"/>
            <w:shd w:val="clear" w:color="auto" w:fill="auto"/>
          </w:tcPr>
          <w:p w14:paraId="609A0CB4" w14:textId="77777777" w:rsidR="000B7EC7" w:rsidRPr="00B07655" w:rsidRDefault="000B7EC7" w:rsidP="000B7EC7">
            <w:pPr>
              <w:pStyle w:val="Tabletext"/>
              <w:rPr>
                <w:rFonts w:eastAsiaTheme="minorEastAsia"/>
              </w:rPr>
            </w:pPr>
            <w:r w:rsidRPr="00B07655">
              <w:t>CPI indexed pension with 5% cap</w:t>
            </w:r>
          </w:p>
        </w:tc>
        <w:tc>
          <w:tcPr>
            <w:tcW w:w="1520" w:type="dxa"/>
            <w:shd w:val="clear" w:color="auto" w:fill="auto"/>
          </w:tcPr>
          <w:p w14:paraId="10E640B1"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shd w:val="clear" w:color="auto" w:fill="auto"/>
          </w:tcPr>
          <w:p w14:paraId="6C4C7DF8" w14:textId="22BE1273" w:rsidR="000B7EC7" w:rsidRPr="00B07655" w:rsidRDefault="000B7EC7" w:rsidP="000B7EC7">
            <w:pPr>
              <w:pStyle w:val="Tabletext"/>
              <w:rPr>
                <w:rFonts w:eastAsiaTheme="minorEastAsia"/>
              </w:rPr>
            </w:pPr>
            <w:r w:rsidRPr="0075436B">
              <w:t>1.22</w:t>
            </w:r>
          </w:p>
        </w:tc>
        <w:tc>
          <w:tcPr>
            <w:tcW w:w="1520" w:type="dxa"/>
            <w:shd w:val="clear" w:color="auto" w:fill="auto"/>
          </w:tcPr>
          <w:p w14:paraId="4D8991B9" w14:textId="77777777" w:rsidR="000B7EC7" w:rsidRPr="00B07655" w:rsidRDefault="000B7EC7" w:rsidP="000B7EC7">
            <w:pPr>
              <w:pStyle w:val="Tabletext"/>
              <w:rPr>
                <w:rFonts w:eastAsiaTheme="minorEastAsia"/>
              </w:rPr>
            </w:pPr>
            <w:r>
              <w:rPr>
                <w:rFonts w:eastAsiaTheme="minorEastAsia"/>
              </w:rPr>
              <w:t>1</w:t>
            </w:r>
          </w:p>
        </w:tc>
        <w:tc>
          <w:tcPr>
            <w:tcW w:w="1520" w:type="dxa"/>
            <w:shd w:val="clear" w:color="auto" w:fill="auto"/>
          </w:tcPr>
          <w:p w14:paraId="31A83F26" w14:textId="5BB1570B" w:rsidR="000B7EC7" w:rsidRPr="00B07655" w:rsidRDefault="000B7EC7" w:rsidP="000B7EC7">
            <w:pPr>
              <w:pStyle w:val="Tabletext"/>
              <w:rPr>
                <w:rFonts w:eastAsiaTheme="minorEastAsia"/>
              </w:rPr>
            </w:pPr>
            <w:r w:rsidRPr="0075436B">
              <w:t>1.17</w:t>
            </w:r>
          </w:p>
        </w:tc>
      </w:tr>
      <w:tr w:rsidR="000B7EC7" w:rsidRPr="00B07655" w14:paraId="3602B69A" w14:textId="77777777" w:rsidTr="0002398B">
        <w:tc>
          <w:tcPr>
            <w:tcW w:w="714" w:type="dxa"/>
            <w:shd w:val="clear" w:color="auto" w:fill="auto"/>
          </w:tcPr>
          <w:p w14:paraId="63DEBB9B" w14:textId="77777777" w:rsidR="000B7EC7" w:rsidRPr="00B07655" w:rsidRDefault="000B7EC7" w:rsidP="000B7EC7">
            <w:pPr>
              <w:pStyle w:val="Tabletext"/>
              <w:rPr>
                <w:rFonts w:eastAsiaTheme="minorEastAsia"/>
              </w:rPr>
            </w:pPr>
            <w:r w:rsidRPr="00B07655">
              <w:rPr>
                <w:rFonts w:eastAsiaTheme="minorEastAsia"/>
              </w:rPr>
              <w:t>4</w:t>
            </w:r>
          </w:p>
        </w:tc>
        <w:tc>
          <w:tcPr>
            <w:tcW w:w="1520" w:type="dxa"/>
            <w:shd w:val="clear" w:color="auto" w:fill="auto"/>
          </w:tcPr>
          <w:p w14:paraId="72D01966" w14:textId="1308E220" w:rsidR="000B7EC7" w:rsidRPr="00B07655" w:rsidRDefault="000B7EC7" w:rsidP="000B7EC7">
            <w:pPr>
              <w:pStyle w:val="Tabletext"/>
              <w:rPr>
                <w:rFonts w:eastAsiaTheme="minorEastAsia"/>
              </w:rPr>
            </w:pPr>
            <w:r w:rsidRPr="00B07655">
              <w:t xml:space="preserve">CPI indexed pension </w:t>
            </w:r>
            <w:r w:rsidR="00FA6312">
              <w:t>plus</w:t>
            </w:r>
            <w:r w:rsidRPr="00B07655">
              <w:t xml:space="preserve"> 1%</w:t>
            </w:r>
          </w:p>
        </w:tc>
        <w:tc>
          <w:tcPr>
            <w:tcW w:w="1520" w:type="dxa"/>
            <w:shd w:val="clear" w:color="auto" w:fill="auto"/>
          </w:tcPr>
          <w:p w14:paraId="346B5411"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shd w:val="clear" w:color="auto" w:fill="auto"/>
          </w:tcPr>
          <w:p w14:paraId="1484ED51" w14:textId="73323387" w:rsidR="000B7EC7" w:rsidRPr="00B07655" w:rsidRDefault="000B7EC7" w:rsidP="000B7EC7">
            <w:pPr>
              <w:pStyle w:val="Tabletext"/>
              <w:rPr>
                <w:rFonts w:eastAsiaTheme="minorEastAsia"/>
              </w:rPr>
            </w:pPr>
            <w:r w:rsidRPr="0075436B">
              <w:t>1.25</w:t>
            </w:r>
          </w:p>
        </w:tc>
        <w:tc>
          <w:tcPr>
            <w:tcW w:w="1520" w:type="dxa"/>
            <w:shd w:val="clear" w:color="auto" w:fill="auto"/>
          </w:tcPr>
          <w:p w14:paraId="4A90E76F" w14:textId="77777777" w:rsidR="000B7EC7" w:rsidRPr="00B07655" w:rsidRDefault="000B7EC7" w:rsidP="000B7EC7">
            <w:pPr>
              <w:pStyle w:val="Tabletext"/>
              <w:rPr>
                <w:rFonts w:eastAsiaTheme="minorEastAsia"/>
              </w:rPr>
            </w:pPr>
            <w:r>
              <w:rPr>
                <w:rFonts w:eastAsiaTheme="minorEastAsia"/>
              </w:rPr>
              <w:t>1</w:t>
            </w:r>
          </w:p>
        </w:tc>
        <w:tc>
          <w:tcPr>
            <w:tcW w:w="1520" w:type="dxa"/>
            <w:shd w:val="clear" w:color="auto" w:fill="auto"/>
          </w:tcPr>
          <w:p w14:paraId="340B7134" w14:textId="6A813863" w:rsidR="000B7EC7" w:rsidRPr="00B07655" w:rsidRDefault="000B7EC7" w:rsidP="000B7EC7">
            <w:pPr>
              <w:pStyle w:val="Tabletext"/>
              <w:rPr>
                <w:rFonts w:eastAsiaTheme="minorEastAsia"/>
              </w:rPr>
            </w:pPr>
            <w:r w:rsidRPr="0075436B">
              <w:t>1.20</w:t>
            </w:r>
          </w:p>
        </w:tc>
      </w:tr>
      <w:tr w:rsidR="000B7EC7" w:rsidRPr="00B07655" w14:paraId="7FC8AEF3" w14:textId="77777777" w:rsidTr="0002398B">
        <w:tc>
          <w:tcPr>
            <w:tcW w:w="714" w:type="dxa"/>
            <w:shd w:val="clear" w:color="auto" w:fill="auto"/>
          </w:tcPr>
          <w:p w14:paraId="2123FC34" w14:textId="77777777" w:rsidR="000B7EC7" w:rsidRPr="00B07655" w:rsidRDefault="000B7EC7" w:rsidP="000B7EC7">
            <w:pPr>
              <w:pStyle w:val="Tabletext"/>
              <w:rPr>
                <w:rFonts w:eastAsiaTheme="minorEastAsia"/>
              </w:rPr>
            </w:pPr>
            <w:r w:rsidRPr="00B07655">
              <w:rPr>
                <w:rFonts w:eastAsiaTheme="minorEastAsia"/>
              </w:rPr>
              <w:t>5</w:t>
            </w:r>
          </w:p>
        </w:tc>
        <w:tc>
          <w:tcPr>
            <w:tcW w:w="1520" w:type="dxa"/>
            <w:shd w:val="clear" w:color="auto" w:fill="auto"/>
          </w:tcPr>
          <w:p w14:paraId="7C8F0A96" w14:textId="77777777" w:rsidR="000B7EC7" w:rsidRPr="00B07655" w:rsidRDefault="000B7EC7" w:rsidP="000B7EC7">
            <w:pPr>
              <w:pStyle w:val="Tabletext"/>
              <w:rPr>
                <w:rFonts w:eastAsiaTheme="minorEastAsia"/>
              </w:rPr>
            </w:pPr>
            <w:r w:rsidRPr="00B07655">
              <w:t>CPI indexed pension plus 1% with 5% cap</w:t>
            </w:r>
          </w:p>
        </w:tc>
        <w:tc>
          <w:tcPr>
            <w:tcW w:w="1520" w:type="dxa"/>
            <w:shd w:val="clear" w:color="auto" w:fill="auto"/>
          </w:tcPr>
          <w:p w14:paraId="1696296F"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shd w:val="clear" w:color="auto" w:fill="auto"/>
          </w:tcPr>
          <w:p w14:paraId="19C0546E" w14:textId="71105E41" w:rsidR="000B7EC7" w:rsidRPr="00B07655" w:rsidRDefault="000B7EC7" w:rsidP="000B7EC7">
            <w:pPr>
              <w:pStyle w:val="Tabletext"/>
              <w:rPr>
                <w:rFonts w:eastAsiaTheme="minorEastAsia"/>
              </w:rPr>
            </w:pPr>
            <w:r w:rsidRPr="0075436B">
              <w:t>1.25</w:t>
            </w:r>
          </w:p>
        </w:tc>
        <w:tc>
          <w:tcPr>
            <w:tcW w:w="1520" w:type="dxa"/>
            <w:shd w:val="clear" w:color="auto" w:fill="auto"/>
          </w:tcPr>
          <w:p w14:paraId="0273AFEB" w14:textId="77777777" w:rsidR="000B7EC7" w:rsidRPr="00B07655" w:rsidRDefault="000B7EC7" w:rsidP="000B7EC7">
            <w:pPr>
              <w:pStyle w:val="Tabletext"/>
              <w:rPr>
                <w:rFonts w:eastAsiaTheme="minorEastAsia"/>
              </w:rPr>
            </w:pPr>
            <w:r>
              <w:rPr>
                <w:rFonts w:eastAsiaTheme="minorEastAsia"/>
              </w:rPr>
              <w:t>1</w:t>
            </w:r>
          </w:p>
        </w:tc>
        <w:tc>
          <w:tcPr>
            <w:tcW w:w="1520" w:type="dxa"/>
            <w:shd w:val="clear" w:color="auto" w:fill="auto"/>
          </w:tcPr>
          <w:p w14:paraId="2B308770" w14:textId="60A4BD1D" w:rsidR="000B7EC7" w:rsidRPr="00B07655" w:rsidRDefault="000B7EC7" w:rsidP="000B7EC7">
            <w:pPr>
              <w:pStyle w:val="Tabletext"/>
              <w:rPr>
                <w:rFonts w:eastAsiaTheme="minorEastAsia"/>
              </w:rPr>
            </w:pPr>
            <w:r w:rsidRPr="0075436B">
              <w:t>1.19</w:t>
            </w:r>
          </w:p>
        </w:tc>
      </w:tr>
      <w:tr w:rsidR="000B7EC7" w:rsidRPr="00B07655" w14:paraId="3FC5C154" w14:textId="77777777" w:rsidTr="0002398B">
        <w:tc>
          <w:tcPr>
            <w:tcW w:w="714" w:type="dxa"/>
            <w:shd w:val="clear" w:color="auto" w:fill="auto"/>
          </w:tcPr>
          <w:p w14:paraId="50EC9A43" w14:textId="77777777" w:rsidR="000B7EC7" w:rsidRPr="00B07655" w:rsidRDefault="000B7EC7" w:rsidP="000B7EC7">
            <w:pPr>
              <w:pStyle w:val="Tabletext"/>
              <w:rPr>
                <w:rFonts w:eastAsiaTheme="minorEastAsia"/>
              </w:rPr>
            </w:pPr>
            <w:r w:rsidRPr="00B07655">
              <w:rPr>
                <w:rFonts w:eastAsiaTheme="minorEastAsia"/>
              </w:rPr>
              <w:t>6</w:t>
            </w:r>
          </w:p>
        </w:tc>
        <w:tc>
          <w:tcPr>
            <w:tcW w:w="1520" w:type="dxa"/>
            <w:shd w:val="clear" w:color="auto" w:fill="auto"/>
          </w:tcPr>
          <w:p w14:paraId="1FE6CB17" w14:textId="77777777" w:rsidR="000B7EC7" w:rsidRPr="00B07655" w:rsidRDefault="000B7EC7" w:rsidP="000B7EC7">
            <w:pPr>
              <w:pStyle w:val="Tabletext"/>
              <w:rPr>
                <w:rFonts w:eastAsiaTheme="minorEastAsia"/>
              </w:rPr>
            </w:pPr>
            <w:r w:rsidRPr="00B07655">
              <w:t>Pension indexed at 3%</w:t>
            </w:r>
          </w:p>
        </w:tc>
        <w:tc>
          <w:tcPr>
            <w:tcW w:w="1520" w:type="dxa"/>
            <w:shd w:val="clear" w:color="auto" w:fill="auto"/>
          </w:tcPr>
          <w:p w14:paraId="740A0785"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shd w:val="clear" w:color="auto" w:fill="auto"/>
          </w:tcPr>
          <w:p w14:paraId="3FCF752C" w14:textId="504F3427" w:rsidR="000B7EC7" w:rsidRPr="00B07655" w:rsidRDefault="000B7EC7" w:rsidP="000B7EC7">
            <w:pPr>
              <w:pStyle w:val="Tabletext"/>
              <w:rPr>
                <w:rFonts w:eastAsiaTheme="minorEastAsia"/>
              </w:rPr>
            </w:pPr>
            <w:r w:rsidRPr="0075436B">
              <w:t>1.24</w:t>
            </w:r>
          </w:p>
        </w:tc>
        <w:tc>
          <w:tcPr>
            <w:tcW w:w="1520" w:type="dxa"/>
            <w:shd w:val="clear" w:color="auto" w:fill="auto"/>
          </w:tcPr>
          <w:p w14:paraId="14CEFC91" w14:textId="77777777" w:rsidR="000B7EC7" w:rsidRPr="00B07655" w:rsidRDefault="000B7EC7" w:rsidP="000B7EC7">
            <w:pPr>
              <w:pStyle w:val="Tabletext"/>
              <w:rPr>
                <w:rFonts w:eastAsiaTheme="minorEastAsia"/>
              </w:rPr>
            </w:pPr>
            <w:r>
              <w:rPr>
                <w:rFonts w:eastAsiaTheme="minorEastAsia"/>
              </w:rPr>
              <w:t>1</w:t>
            </w:r>
          </w:p>
        </w:tc>
        <w:tc>
          <w:tcPr>
            <w:tcW w:w="1520" w:type="dxa"/>
            <w:shd w:val="clear" w:color="auto" w:fill="auto"/>
          </w:tcPr>
          <w:p w14:paraId="63BC0983" w14:textId="05F1D226" w:rsidR="000B7EC7" w:rsidRPr="00B07655" w:rsidRDefault="000B7EC7" w:rsidP="000B7EC7">
            <w:pPr>
              <w:pStyle w:val="Tabletext"/>
              <w:rPr>
                <w:rFonts w:eastAsiaTheme="minorEastAsia"/>
              </w:rPr>
            </w:pPr>
            <w:r w:rsidRPr="0075436B">
              <w:t>1.19</w:t>
            </w:r>
          </w:p>
        </w:tc>
      </w:tr>
      <w:tr w:rsidR="000B7EC7" w:rsidRPr="00B07655" w14:paraId="638D6D65" w14:textId="77777777" w:rsidTr="0002398B">
        <w:tc>
          <w:tcPr>
            <w:tcW w:w="714" w:type="dxa"/>
            <w:shd w:val="clear" w:color="auto" w:fill="auto"/>
          </w:tcPr>
          <w:p w14:paraId="20968C15" w14:textId="77777777" w:rsidR="000B7EC7" w:rsidRPr="00B07655" w:rsidRDefault="000B7EC7" w:rsidP="000B7EC7">
            <w:pPr>
              <w:pStyle w:val="Tabletext"/>
              <w:rPr>
                <w:rFonts w:eastAsiaTheme="minorEastAsia"/>
              </w:rPr>
            </w:pPr>
            <w:r w:rsidRPr="00B07655">
              <w:rPr>
                <w:rFonts w:eastAsiaTheme="minorEastAsia"/>
              </w:rPr>
              <w:t>7</w:t>
            </w:r>
          </w:p>
        </w:tc>
        <w:tc>
          <w:tcPr>
            <w:tcW w:w="1520" w:type="dxa"/>
            <w:shd w:val="clear" w:color="auto" w:fill="auto"/>
          </w:tcPr>
          <w:p w14:paraId="4A88CFEE" w14:textId="77777777" w:rsidR="000B7EC7" w:rsidRPr="00B07655" w:rsidRDefault="000B7EC7" w:rsidP="000B7EC7">
            <w:pPr>
              <w:pStyle w:val="Tabletext"/>
              <w:rPr>
                <w:rFonts w:eastAsiaTheme="minorEastAsia"/>
              </w:rPr>
            </w:pPr>
            <w:r w:rsidRPr="00B07655">
              <w:t>Wage indexed pension</w:t>
            </w:r>
          </w:p>
        </w:tc>
        <w:tc>
          <w:tcPr>
            <w:tcW w:w="1520" w:type="dxa"/>
            <w:shd w:val="clear" w:color="auto" w:fill="auto"/>
          </w:tcPr>
          <w:p w14:paraId="7D9DB02E"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shd w:val="clear" w:color="auto" w:fill="auto"/>
          </w:tcPr>
          <w:p w14:paraId="257CC2EF" w14:textId="0A1CC4CF" w:rsidR="000B7EC7" w:rsidRPr="00B07655" w:rsidRDefault="000B7EC7" w:rsidP="000B7EC7">
            <w:pPr>
              <w:pStyle w:val="Tabletext"/>
              <w:rPr>
                <w:rFonts w:eastAsiaTheme="minorEastAsia"/>
              </w:rPr>
            </w:pPr>
            <w:r w:rsidRPr="0075436B">
              <w:t>1.23</w:t>
            </w:r>
          </w:p>
        </w:tc>
        <w:tc>
          <w:tcPr>
            <w:tcW w:w="1520" w:type="dxa"/>
            <w:shd w:val="clear" w:color="auto" w:fill="auto"/>
          </w:tcPr>
          <w:p w14:paraId="3E4F05CB" w14:textId="77777777" w:rsidR="000B7EC7" w:rsidRPr="00B07655" w:rsidRDefault="000B7EC7" w:rsidP="000B7EC7">
            <w:pPr>
              <w:pStyle w:val="Tabletext"/>
              <w:rPr>
                <w:rFonts w:eastAsiaTheme="minorEastAsia"/>
              </w:rPr>
            </w:pPr>
            <w:r>
              <w:rPr>
                <w:rFonts w:eastAsiaTheme="minorEastAsia"/>
              </w:rPr>
              <w:t>1</w:t>
            </w:r>
          </w:p>
        </w:tc>
        <w:tc>
          <w:tcPr>
            <w:tcW w:w="1520" w:type="dxa"/>
            <w:shd w:val="clear" w:color="auto" w:fill="auto"/>
          </w:tcPr>
          <w:p w14:paraId="789E14B5" w14:textId="0C6731EF" w:rsidR="000B7EC7" w:rsidRPr="00B07655" w:rsidRDefault="000B7EC7" w:rsidP="000B7EC7">
            <w:pPr>
              <w:pStyle w:val="Tabletext"/>
              <w:rPr>
                <w:rFonts w:eastAsiaTheme="minorEastAsia"/>
              </w:rPr>
            </w:pPr>
            <w:r w:rsidRPr="0075436B">
              <w:t>1.17</w:t>
            </w:r>
          </w:p>
        </w:tc>
      </w:tr>
      <w:tr w:rsidR="000B7EC7" w:rsidRPr="00B07655" w14:paraId="4AADE378" w14:textId="77777777" w:rsidTr="0002398B">
        <w:tc>
          <w:tcPr>
            <w:tcW w:w="714" w:type="dxa"/>
            <w:tcBorders>
              <w:bottom w:val="single" w:sz="2" w:space="0" w:color="auto"/>
            </w:tcBorders>
            <w:shd w:val="clear" w:color="auto" w:fill="auto"/>
          </w:tcPr>
          <w:p w14:paraId="43AAAF75" w14:textId="77777777" w:rsidR="000B7EC7" w:rsidRPr="00B07655" w:rsidRDefault="000B7EC7" w:rsidP="000B7EC7">
            <w:pPr>
              <w:pStyle w:val="Tabletext"/>
              <w:rPr>
                <w:rFonts w:eastAsiaTheme="minorEastAsia"/>
              </w:rPr>
            </w:pPr>
            <w:r w:rsidRPr="00B07655">
              <w:rPr>
                <w:rFonts w:eastAsiaTheme="minorEastAsia"/>
              </w:rPr>
              <w:t>8</w:t>
            </w:r>
          </w:p>
        </w:tc>
        <w:tc>
          <w:tcPr>
            <w:tcW w:w="1520" w:type="dxa"/>
            <w:tcBorders>
              <w:bottom w:val="single" w:sz="2" w:space="0" w:color="auto"/>
            </w:tcBorders>
            <w:shd w:val="clear" w:color="auto" w:fill="auto"/>
          </w:tcPr>
          <w:p w14:paraId="0619E756" w14:textId="77777777" w:rsidR="000B7EC7" w:rsidRPr="00B07655" w:rsidRDefault="000B7EC7" w:rsidP="000B7EC7">
            <w:pPr>
              <w:pStyle w:val="Tabletext"/>
              <w:rPr>
                <w:rFonts w:eastAsiaTheme="minorEastAsia"/>
              </w:rPr>
            </w:pPr>
            <w:r w:rsidRPr="00B07655">
              <w:t>Pension indexed at 4%</w:t>
            </w:r>
          </w:p>
        </w:tc>
        <w:tc>
          <w:tcPr>
            <w:tcW w:w="1520" w:type="dxa"/>
            <w:tcBorders>
              <w:bottom w:val="single" w:sz="2" w:space="0" w:color="auto"/>
            </w:tcBorders>
            <w:shd w:val="clear" w:color="auto" w:fill="auto"/>
          </w:tcPr>
          <w:p w14:paraId="2ACC7AD3" w14:textId="77777777" w:rsidR="000B7EC7" w:rsidRPr="00B07655" w:rsidRDefault="000B7EC7" w:rsidP="000B7EC7">
            <w:pPr>
              <w:pStyle w:val="Tabletext"/>
              <w:rPr>
                <w:rFonts w:eastAsiaTheme="minorEastAsia"/>
              </w:rPr>
            </w:pPr>
            <w:r w:rsidRPr="00B07655">
              <w:rPr>
                <w:rFonts w:eastAsiaTheme="minorEastAsia"/>
              </w:rPr>
              <w:t>1</w:t>
            </w:r>
          </w:p>
        </w:tc>
        <w:tc>
          <w:tcPr>
            <w:tcW w:w="1520" w:type="dxa"/>
            <w:tcBorders>
              <w:bottom w:val="single" w:sz="2" w:space="0" w:color="auto"/>
            </w:tcBorders>
            <w:shd w:val="clear" w:color="auto" w:fill="auto"/>
          </w:tcPr>
          <w:p w14:paraId="0190CD6B" w14:textId="60775C75" w:rsidR="000B7EC7" w:rsidRPr="00B07655" w:rsidRDefault="000B7EC7" w:rsidP="000B7EC7">
            <w:pPr>
              <w:pStyle w:val="Tabletext"/>
              <w:rPr>
                <w:rFonts w:eastAsiaTheme="minorEastAsia"/>
              </w:rPr>
            </w:pPr>
            <w:r w:rsidRPr="0075436B">
              <w:t>1</w:t>
            </w:r>
          </w:p>
        </w:tc>
        <w:tc>
          <w:tcPr>
            <w:tcW w:w="1520" w:type="dxa"/>
            <w:tcBorders>
              <w:bottom w:val="single" w:sz="2" w:space="0" w:color="auto"/>
            </w:tcBorders>
            <w:shd w:val="clear" w:color="auto" w:fill="auto"/>
          </w:tcPr>
          <w:p w14:paraId="2B253067" w14:textId="77777777" w:rsidR="000B7EC7" w:rsidRPr="00B07655" w:rsidRDefault="000B7EC7" w:rsidP="000B7EC7">
            <w:pPr>
              <w:pStyle w:val="Tabletext"/>
              <w:rPr>
                <w:rFonts w:eastAsiaTheme="minorEastAsia"/>
              </w:rPr>
            </w:pPr>
            <w:r>
              <w:rPr>
                <w:rFonts w:eastAsiaTheme="minorEastAsia"/>
              </w:rPr>
              <w:t>1</w:t>
            </w:r>
          </w:p>
        </w:tc>
        <w:tc>
          <w:tcPr>
            <w:tcW w:w="1520" w:type="dxa"/>
            <w:tcBorders>
              <w:bottom w:val="single" w:sz="2" w:space="0" w:color="auto"/>
            </w:tcBorders>
            <w:shd w:val="clear" w:color="auto" w:fill="auto"/>
          </w:tcPr>
          <w:p w14:paraId="4CBEB18A" w14:textId="2DC46324" w:rsidR="000B7EC7" w:rsidRPr="00B07655" w:rsidRDefault="000B7EC7" w:rsidP="000B7EC7">
            <w:pPr>
              <w:pStyle w:val="Tabletext"/>
              <w:rPr>
                <w:rFonts w:eastAsiaTheme="minorEastAsia"/>
              </w:rPr>
            </w:pPr>
            <w:r w:rsidRPr="0075436B">
              <w:t>1</w:t>
            </w:r>
          </w:p>
        </w:tc>
      </w:tr>
      <w:tr w:rsidR="000B7EC7" w14:paraId="364F1188" w14:textId="77777777" w:rsidTr="0002398B">
        <w:tc>
          <w:tcPr>
            <w:tcW w:w="714" w:type="dxa"/>
            <w:tcBorders>
              <w:top w:val="single" w:sz="2" w:space="0" w:color="auto"/>
              <w:bottom w:val="single" w:sz="12" w:space="0" w:color="auto"/>
            </w:tcBorders>
            <w:shd w:val="clear" w:color="auto" w:fill="auto"/>
          </w:tcPr>
          <w:p w14:paraId="0BFC5D25" w14:textId="77777777" w:rsidR="000B7EC7" w:rsidRPr="00B07655" w:rsidRDefault="000B7EC7" w:rsidP="000B7EC7">
            <w:pPr>
              <w:pStyle w:val="Tabletext"/>
              <w:rPr>
                <w:rFonts w:eastAsiaTheme="minorEastAsia"/>
              </w:rPr>
            </w:pPr>
            <w:r w:rsidRPr="00B07655">
              <w:rPr>
                <w:rFonts w:eastAsiaTheme="minorEastAsia"/>
              </w:rPr>
              <w:t>9</w:t>
            </w:r>
          </w:p>
        </w:tc>
        <w:tc>
          <w:tcPr>
            <w:tcW w:w="1520" w:type="dxa"/>
            <w:tcBorders>
              <w:top w:val="single" w:sz="2" w:space="0" w:color="auto"/>
              <w:bottom w:val="single" w:sz="12" w:space="0" w:color="auto"/>
            </w:tcBorders>
            <w:shd w:val="clear" w:color="auto" w:fill="auto"/>
          </w:tcPr>
          <w:p w14:paraId="6B8E1327" w14:textId="77777777" w:rsidR="000B7EC7" w:rsidRPr="00B07655" w:rsidRDefault="000B7EC7" w:rsidP="000B7EC7">
            <w:pPr>
              <w:pStyle w:val="Tabletext"/>
              <w:rPr>
                <w:rFonts w:eastAsiaTheme="minorEastAsia"/>
              </w:rPr>
            </w:pPr>
            <w:r w:rsidRPr="00B07655">
              <w:t>Pension indexed at 5%</w:t>
            </w:r>
          </w:p>
        </w:tc>
        <w:tc>
          <w:tcPr>
            <w:tcW w:w="1520" w:type="dxa"/>
            <w:tcBorders>
              <w:top w:val="single" w:sz="2" w:space="0" w:color="auto"/>
              <w:bottom w:val="single" w:sz="12" w:space="0" w:color="auto"/>
            </w:tcBorders>
            <w:shd w:val="clear" w:color="auto" w:fill="auto"/>
          </w:tcPr>
          <w:p w14:paraId="4481C0A5" w14:textId="77777777" w:rsidR="000B7EC7" w:rsidRDefault="000B7EC7" w:rsidP="000B7EC7">
            <w:pPr>
              <w:pStyle w:val="Tabletext"/>
              <w:rPr>
                <w:rFonts w:eastAsiaTheme="minorEastAsia"/>
              </w:rPr>
            </w:pPr>
            <w:r>
              <w:rPr>
                <w:rFonts w:eastAsiaTheme="minorEastAsia"/>
              </w:rPr>
              <w:t>1</w:t>
            </w:r>
          </w:p>
        </w:tc>
        <w:tc>
          <w:tcPr>
            <w:tcW w:w="1520" w:type="dxa"/>
            <w:tcBorders>
              <w:top w:val="single" w:sz="2" w:space="0" w:color="auto"/>
              <w:bottom w:val="single" w:sz="12" w:space="0" w:color="auto"/>
            </w:tcBorders>
            <w:shd w:val="clear" w:color="auto" w:fill="auto"/>
          </w:tcPr>
          <w:p w14:paraId="40C84EFC" w14:textId="7BC54FEF" w:rsidR="000B7EC7" w:rsidRDefault="000B7EC7" w:rsidP="000B7EC7">
            <w:pPr>
              <w:pStyle w:val="Tabletext"/>
              <w:rPr>
                <w:rFonts w:eastAsiaTheme="minorEastAsia"/>
              </w:rPr>
            </w:pPr>
            <w:r w:rsidRPr="0075436B">
              <w:t>1.30</w:t>
            </w:r>
          </w:p>
        </w:tc>
        <w:tc>
          <w:tcPr>
            <w:tcW w:w="1520" w:type="dxa"/>
            <w:tcBorders>
              <w:top w:val="single" w:sz="2" w:space="0" w:color="auto"/>
              <w:bottom w:val="single" w:sz="12" w:space="0" w:color="auto"/>
            </w:tcBorders>
            <w:shd w:val="clear" w:color="auto" w:fill="auto"/>
          </w:tcPr>
          <w:p w14:paraId="5F8AF99A" w14:textId="77777777" w:rsidR="000B7EC7" w:rsidRDefault="000B7EC7" w:rsidP="000B7EC7">
            <w:pPr>
              <w:pStyle w:val="Tabletext"/>
              <w:rPr>
                <w:rFonts w:eastAsiaTheme="minorEastAsia"/>
              </w:rPr>
            </w:pPr>
            <w:r>
              <w:rPr>
                <w:rFonts w:eastAsiaTheme="minorEastAsia"/>
              </w:rPr>
              <w:t>1</w:t>
            </w:r>
          </w:p>
        </w:tc>
        <w:tc>
          <w:tcPr>
            <w:tcW w:w="1520" w:type="dxa"/>
            <w:tcBorders>
              <w:top w:val="single" w:sz="2" w:space="0" w:color="auto"/>
              <w:bottom w:val="single" w:sz="12" w:space="0" w:color="auto"/>
            </w:tcBorders>
            <w:shd w:val="clear" w:color="auto" w:fill="auto"/>
          </w:tcPr>
          <w:p w14:paraId="719683E6" w14:textId="6E5BD4E7" w:rsidR="000B7EC7" w:rsidRDefault="000B7EC7" w:rsidP="000B7EC7">
            <w:pPr>
              <w:pStyle w:val="Tabletext"/>
              <w:rPr>
                <w:rFonts w:eastAsiaTheme="minorEastAsia"/>
              </w:rPr>
            </w:pPr>
            <w:r w:rsidRPr="0075436B">
              <w:t>1.23</w:t>
            </w:r>
          </w:p>
        </w:tc>
      </w:tr>
    </w:tbl>
    <w:p w14:paraId="30BF505B" w14:textId="77777777" w:rsidR="000B7267" w:rsidRPr="00A058B6" w:rsidRDefault="000B7267" w:rsidP="0093537F">
      <w:pPr>
        <w:sectPr w:rsidR="000B7267" w:rsidRPr="00A058B6" w:rsidSect="00942B24">
          <w:headerReference w:type="even" r:id="rId191"/>
          <w:headerReference w:type="default" r:id="rId192"/>
          <w:footerReference w:type="even" r:id="rId193"/>
          <w:footerReference w:type="default" r:id="rId194"/>
          <w:headerReference w:type="first" r:id="rId195"/>
          <w:footerReference w:type="first" r:id="rId196"/>
          <w:pgSz w:w="11907" w:h="16839" w:code="9"/>
          <w:pgMar w:top="1440" w:right="1797" w:bottom="1440" w:left="1797" w:header="720" w:footer="709" w:gutter="0"/>
          <w:cols w:space="708"/>
          <w:docGrid w:linePitch="360"/>
        </w:sectPr>
      </w:pPr>
    </w:p>
    <w:p w14:paraId="367A7812" w14:textId="7BC8BD1B" w:rsidR="00647C6B" w:rsidRPr="00A058B6" w:rsidRDefault="00453C86" w:rsidP="00647C6B">
      <w:pPr>
        <w:pStyle w:val="ActHead1"/>
        <w:pageBreakBefore/>
      </w:pPr>
      <w:bookmarkStart w:id="360" w:name="_Toc188350835"/>
      <w:r w:rsidRPr="00423C34">
        <w:rPr>
          <w:rStyle w:val="CharChapNo"/>
        </w:rPr>
        <w:t>Schedule 1</w:t>
      </w:r>
      <w:r w:rsidR="00366F59" w:rsidRPr="00423C34">
        <w:rPr>
          <w:rStyle w:val="CharChapNo"/>
        </w:rPr>
        <w:t>2</w:t>
      </w:r>
      <w:r w:rsidR="00647C6B" w:rsidRPr="00A058B6">
        <w:t>—</w:t>
      </w:r>
      <w:r w:rsidR="00647C6B" w:rsidRPr="00423C34">
        <w:rPr>
          <w:rStyle w:val="CharChapText"/>
        </w:rPr>
        <w:t xml:space="preserve">Modifications of </w:t>
      </w:r>
      <w:r w:rsidRPr="00423C34">
        <w:rPr>
          <w:rStyle w:val="CharChapText"/>
        </w:rPr>
        <w:t>Division 2</w:t>
      </w:r>
      <w:r w:rsidR="00647C6B" w:rsidRPr="00423C34">
        <w:rPr>
          <w:rStyle w:val="CharChapText"/>
        </w:rPr>
        <w:t xml:space="preserve"> of </w:t>
      </w:r>
      <w:r w:rsidRPr="00423C34">
        <w:rPr>
          <w:rStyle w:val="CharChapText"/>
        </w:rPr>
        <w:t>Part 7</w:t>
      </w:r>
      <w:bookmarkEnd w:id="360"/>
    </w:p>
    <w:p w14:paraId="135D092F" w14:textId="364AAF1B" w:rsidR="00647C6B" w:rsidRPr="00A058B6" w:rsidRDefault="00647C6B" w:rsidP="00647C6B">
      <w:pPr>
        <w:pStyle w:val="notemargin"/>
      </w:pPr>
      <w:r w:rsidRPr="00A058B6">
        <w:rPr>
          <w:color w:val="000000"/>
        </w:rPr>
        <w:t>(</w:t>
      </w:r>
      <w:r w:rsidR="00CB78B9">
        <w:rPr>
          <w:color w:val="000000"/>
        </w:rPr>
        <w:t>section 7</w:t>
      </w:r>
      <w:r w:rsidR="00485CC2">
        <w:rPr>
          <w:color w:val="000000"/>
        </w:rPr>
        <w:t>8</w:t>
      </w:r>
      <w:r w:rsidRPr="00A058B6">
        <w:rPr>
          <w:color w:val="000000"/>
        </w:rPr>
        <w:t>)</w:t>
      </w:r>
    </w:p>
    <w:p w14:paraId="7335FDDA" w14:textId="77777777" w:rsidR="00647C6B" w:rsidRPr="00423C34" w:rsidRDefault="00647C6B" w:rsidP="00647C6B">
      <w:pPr>
        <w:pStyle w:val="Header"/>
      </w:pPr>
      <w:bookmarkStart w:id="361" w:name="f_Check_Lines_below"/>
      <w:bookmarkEnd w:id="361"/>
      <w:r w:rsidRPr="00423C34">
        <w:rPr>
          <w:rStyle w:val="CharPartNo"/>
        </w:rPr>
        <w:t xml:space="preserve"> </w:t>
      </w:r>
      <w:r w:rsidRPr="00423C34">
        <w:rPr>
          <w:rStyle w:val="CharPartText"/>
        </w:rPr>
        <w:t xml:space="preserve"> </w:t>
      </w:r>
    </w:p>
    <w:p w14:paraId="795893B8" w14:textId="77777777" w:rsidR="00A1590A" w:rsidRPr="00423C34" w:rsidRDefault="00A1590A" w:rsidP="00A1590A">
      <w:pPr>
        <w:pStyle w:val="Header"/>
      </w:pPr>
      <w:r w:rsidRPr="00423C34">
        <w:rPr>
          <w:rStyle w:val="CharDivNo"/>
        </w:rPr>
        <w:t xml:space="preserve"> </w:t>
      </w:r>
      <w:r w:rsidRPr="00423C34">
        <w:rPr>
          <w:rStyle w:val="CharDivText"/>
        </w:rPr>
        <w:t xml:space="preserve"> </w:t>
      </w:r>
    </w:p>
    <w:p w14:paraId="5628000A" w14:textId="7FA5706E" w:rsidR="00647C6B" w:rsidRPr="00A058B6" w:rsidRDefault="00647C6B" w:rsidP="00647C6B">
      <w:pPr>
        <w:pStyle w:val="ItemHead"/>
        <w:rPr>
          <w:rFonts w:cs="Arial"/>
        </w:rPr>
      </w:pPr>
      <w:r w:rsidRPr="00A058B6">
        <w:rPr>
          <w:rFonts w:cs="Arial"/>
        </w:rPr>
        <w:t>1  Paragraph </w:t>
      </w:r>
      <w:r w:rsidR="00485CC2">
        <w:rPr>
          <w:rFonts w:cs="Arial"/>
        </w:rPr>
        <w:t>80</w:t>
      </w:r>
      <w:r w:rsidRPr="00A058B6">
        <w:rPr>
          <w:rFonts w:cs="Arial"/>
        </w:rPr>
        <w:t>(1)(c)</w:t>
      </w:r>
    </w:p>
    <w:p w14:paraId="579665C2" w14:textId="77777777" w:rsidR="00647C6B" w:rsidRPr="00A058B6" w:rsidRDefault="00647C6B" w:rsidP="00647C6B">
      <w:pPr>
        <w:pStyle w:val="Item"/>
      </w:pPr>
      <w:r w:rsidRPr="00D11C0F">
        <w:t>Omit</w:t>
      </w:r>
      <w:r w:rsidRPr="00A058B6">
        <w:t xml:space="preserve"> the paragraph, substitute:</w:t>
      </w:r>
    </w:p>
    <w:p w14:paraId="3FCAB36B" w14:textId="7598CA46" w:rsidR="00647C6B" w:rsidRPr="00A058B6" w:rsidRDefault="00647C6B" w:rsidP="00647C6B">
      <w:pPr>
        <w:pStyle w:val="paragraph"/>
      </w:pPr>
      <w:r w:rsidRPr="00A058B6">
        <w:tab/>
        <w:t>(c)</w:t>
      </w:r>
      <w:r w:rsidRPr="00A058B6">
        <w:tab/>
        <w:t>the lump sum is greater than or equal to the sum of each adjusted base amount applicable to the non</w:t>
      </w:r>
      <w:r w:rsidR="001952B3">
        <w:noBreakHyphen/>
      </w:r>
      <w:r w:rsidRPr="00A058B6">
        <w:t>member spouse and to each other person under a payment split with an earlier operative time</w:t>
      </w:r>
      <w:r w:rsidR="00D7157D">
        <w:t>.</w:t>
      </w:r>
    </w:p>
    <w:p w14:paraId="5E51F7F2" w14:textId="08D73695" w:rsidR="00647C6B" w:rsidRPr="00A058B6" w:rsidRDefault="00647C6B" w:rsidP="00647C6B">
      <w:pPr>
        <w:pStyle w:val="ItemHead"/>
        <w:rPr>
          <w:rFonts w:cs="Arial"/>
        </w:rPr>
      </w:pPr>
      <w:r w:rsidRPr="00A058B6">
        <w:rPr>
          <w:rFonts w:cs="Arial"/>
        </w:rPr>
        <w:t>2  Paragraph </w:t>
      </w:r>
      <w:r w:rsidR="00485CC2">
        <w:rPr>
          <w:rFonts w:cs="Arial"/>
        </w:rPr>
        <w:t>81</w:t>
      </w:r>
      <w:r w:rsidRPr="00A058B6">
        <w:rPr>
          <w:rFonts w:cs="Arial"/>
        </w:rPr>
        <w:t>(1)(c)</w:t>
      </w:r>
    </w:p>
    <w:p w14:paraId="09A1E439" w14:textId="77777777" w:rsidR="00647C6B" w:rsidRPr="00A058B6" w:rsidRDefault="00D11C0F" w:rsidP="00647C6B">
      <w:pPr>
        <w:pStyle w:val="Item"/>
      </w:pPr>
      <w:r w:rsidRPr="00D11C0F">
        <w:t>Omit</w:t>
      </w:r>
      <w:r w:rsidRPr="00A058B6">
        <w:t xml:space="preserve"> </w:t>
      </w:r>
      <w:r w:rsidR="00647C6B" w:rsidRPr="00A058B6">
        <w:t>the paragraph, substitute:</w:t>
      </w:r>
    </w:p>
    <w:p w14:paraId="22BD0200" w14:textId="4631C8BC" w:rsidR="00647C6B" w:rsidRPr="00A058B6" w:rsidRDefault="00647C6B" w:rsidP="00647C6B">
      <w:pPr>
        <w:pStyle w:val="paragraph"/>
      </w:pPr>
      <w:r w:rsidRPr="00A058B6">
        <w:tab/>
        <w:t>(c)</w:t>
      </w:r>
      <w:r w:rsidRPr="00A058B6">
        <w:tab/>
        <w:t>the lump sum is less than the sum of each adjusted base amount applicable to the non</w:t>
      </w:r>
      <w:r w:rsidR="001952B3">
        <w:noBreakHyphen/>
      </w:r>
      <w:r w:rsidRPr="00A058B6">
        <w:t>member spouse and to each other person under a payment split with an earlier operative time</w:t>
      </w:r>
      <w:r w:rsidR="00D7157D">
        <w:t>.</w:t>
      </w:r>
    </w:p>
    <w:p w14:paraId="480282AE" w14:textId="4355A71A" w:rsidR="00647C6B" w:rsidRPr="00A058B6" w:rsidRDefault="00647C6B" w:rsidP="00647C6B">
      <w:pPr>
        <w:pStyle w:val="ItemHead"/>
        <w:rPr>
          <w:rFonts w:cs="Arial"/>
        </w:rPr>
      </w:pPr>
      <w:r w:rsidRPr="00A058B6">
        <w:rPr>
          <w:rFonts w:cs="Arial"/>
        </w:rPr>
        <w:t>3  Paragraph </w:t>
      </w:r>
      <w:r w:rsidR="00485CC2">
        <w:rPr>
          <w:rFonts w:cs="Arial"/>
        </w:rPr>
        <w:t>81</w:t>
      </w:r>
      <w:r w:rsidRPr="00A058B6">
        <w:rPr>
          <w:rFonts w:cs="Arial"/>
        </w:rPr>
        <w:t>(2)(a)</w:t>
      </w:r>
    </w:p>
    <w:p w14:paraId="235C2E65" w14:textId="77777777" w:rsidR="00647C6B" w:rsidRPr="00A058B6" w:rsidRDefault="00D11C0F" w:rsidP="00647C6B">
      <w:pPr>
        <w:pStyle w:val="Item"/>
      </w:pPr>
      <w:r w:rsidRPr="00D11C0F">
        <w:t>Omit</w:t>
      </w:r>
      <w:r w:rsidRPr="00A058B6">
        <w:t xml:space="preserve"> </w:t>
      </w:r>
      <w:r w:rsidR="00647C6B" w:rsidRPr="00A058B6">
        <w:t>the paragraph, substitute:</w:t>
      </w:r>
    </w:p>
    <w:p w14:paraId="226CA2B9" w14:textId="77777777" w:rsidR="00647C6B" w:rsidRPr="00A058B6" w:rsidRDefault="00647C6B" w:rsidP="00647C6B">
      <w:pPr>
        <w:pStyle w:val="paragraph"/>
      </w:pPr>
      <w:r w:rsidRPr="00A058B6">
        <w:tab/>
        <w:t>(a)</w:t>
      </w:r>
      <w:r w:rsidRPr="00A058B6">
        <w:tab/>
        <w:t>the amount remaining from the lump sum after each other person has received, under this section, the amount that other person is entitled to under a payment split with an earlier operative time; and</w:t>
      </w:r>
    </w:p>
    <w:p w14:paraId="3CAB585E" w14:textId="47F87A65" w:rsidR="00647C6B" w:rsidRPr="00DC7B59" w:rsidRDefault="00647C6B" w:rsidP="00647C6B">
      <w:pPr>
        <w:pStyle w:val="ItemHead"/>
        <w:rPr>
          <w:rFonts w:cs="Arial"/>
        </w:rPr>
      </w:pPr>
      <w:r w:rsidRPr="00A058B6">
        <w:rPr>
          <w:rFonts w:cs="Arial"/>
        </w:rPr>
        <w:t>4  Subsection </w:t>
      </w:r>
      <w:r w:rsidR="00485CC2">
        <w:rPr>
          <w:rFonts w:cs="Arial"/>
        </w:rPr>
        <w:t>82</w:t>
      </w:r>
      <w:r w:rsidRPr="00A058B6">
        <w:rPr>
          <w:rFonts w:cs="Arial"/>
        </w:rPr>
        <w:t>(6)</w:t>
      </w:r>
      <w:r w:rsidR="00DC7B59">
        <w:rPr>
          <w:rFonts w:cs="Arial"/>
        </w:rPr>
        <w:t xml:space="preserve"> (</w:t>
      </w:r>
      <w:r w:rsidRPr="00A058B6">
        <w:rPr>
          <w:rFonts w:cs="Arial"/>
        </w:rPr>
        <w:t xml:space="preserve">definition of </w:t>
      </w:r>
      <w:r w:rsidRPr="00A058B6">
        <w:rPr>
          <w:rFonts w:cs="Arial"/>
          <w:i/>
        </w:rPr>
        <w:t>remaining value of the superannuation interest</w:t>
      </w:r>
      <w:r w:rsidR="00DC7B59">
        <w:rPr>
          <w:rFonts w:cs="Arial"/>
        </w:rPr>
        <w:t>)</w:t>
      </w:r>
    </w:p>
    <w:p w14:paraId="1469DABA" w14:textId="77777777" w:rsidR="00647C6B" w:rsidRPr="00A058B6" w:rsidRDefault="00D11C0F" w:rsidP="00647C6B">
      <w:pPr>
        <w:pStyle w:val="Item"/>
      </w:pPr>
      <w:r w:rsidRPr="00D11C0F">
        <w:t>Omit</w:t>
      </w:r>
      <w:r w:rsidRPr="00A058B6">
        <w:t xml:space="preserve"> </w:t>
      </w:r>
      <w:r w:rsidR="00647C6B" w:rsidRPr="00A058B6">
        <w:t>the definition, substitute:</w:t>
      </w:r>
    </w:p>
    <w:p w14:paraId="3BF8DD79" w14:textId="26C36488" w:rsidR="00647C6B" w:rsidRPr="00A058B6" w:rsidRDefault="00647C6B" w:rsidP="00647C6B">
      <w:pPr>
        <w:pStyle w:val="Definition"/>
      </w:pPr>
      <w:r w:rsidRPr="00A058B6">
        <w:rPr>
          <w:rFonts w:cs="Arial"/>
          <w:b/>
          <w:i/>
        </w:rPr>
        <w:t>remaining value of the superannuation interest</w:t>
      </w:r>
      <w:r w:rsidRPr="00A058B6">
        <w:rPr>
          <w:rFonts w:cs="Arial"/>
        </w:rPr>
        <w:t xml:space="preserve"> </w:t>
      </w:r>
      <w:r w:rsidR="00E23193">
        <w:t>means</w:t>
      </w:r>
      <w:r w:rsidRPr="00A058B6">
        <w:t xml:space="preserve"> the remaining value of the superannuation interest after the payment of the lump sums, under paragraph </w:t>
      </w:r>
      <w:r w:rsidR="00485CC2">
        <w:t>81</w:t>
      </w:r>
      <w:r w:rsidRPr="00A058B6">
        <w:t xml:space="preserve">(2)(a) and </w:t>
      </w:r>
      <w:r w:rsidR="00453C86">
        <w:t>paragraph (</w:t>
      </w:r>
      <w:r w:rsidRPr="00A058B6">
        <w:t>4)(c) of this section, to each other person under a payment split with an earlier operative time, and to the non</w:t>
      </w:r>
      <w:r w:rsidR="001952B3">
        <w:noBreakHyphen/>
      </w:r>
      <w:r w:rsidRPr="00A058B6">
        <w:t xml:space="preserve">member spouse, calculated in accordance with </w:t>
      </w:r>
      <w:r w:rsidR="00A52DA5">
        <w:t>subsection (</w:t>
      </w:r>
      <w:r w:rsidRPr="00A058B6">
        <w:t>7)</w:t>
      </w:r>
      <w:r w:rsidR="00DC7B59">
        <w:t xml:space="preserve"> of this section</w:t>
      </w:r>
      <w:r w:rsidR="00D7157D">
        <w:t>.</w:t>
      </w:r>
    </w:p>
    <w:p w14:paraId="555544DF" w14:textId="14F1D3B0" w:rsidR="00647C6B" w:rsidRPr="00A058B6" w:rsidRDefault="00647C6B" w:rsidP="00647C6B">
      <w:pPr>
        <w:pStyle w:val="ItemHead"/>
        <w:rPr>
          <w:rFonts w:cs="Arial"/>
        </w:rPr>
      </w:pPr>
      <w:r w:rsidRPr="00A058B6">
        <w:rPr>
          <w:rFonts w:cs="Arial"/>
        </w:rPr>
        <w:t>5  Subsection </w:t>
      </w:r>
      <w:r w:rsidR="00485CC2">
        <w:rPr>
          <w:rFonts w:cs="Arial"/>
        </w:rPr>
        <w:t>82</w:t>
      </w:r>
      <w:r w:rsidRPr="00A058B6">
        <w:rPr>
          <w:rFonts w:cs="Arial"/>
        </w:rPr>
        <w:t>(7)</w:t>
      </w:r>
    </w:p>
    <w:p w14:paraId="433FF7A7" w14:textId="4348D08D" w:rsidR="00647C6B" w:rsidRPr="00A058B6" w:rsidRDefault="00D11C0F" w:rsidP="00647C6B">
      <w:pPr>
        <w:pStyle w:val="Item"/>
      </w:pPr>
      <w:r w:rsidRPr="00D11C0F">
        <w:t>Omit</w:t>
      </w:r>
      <w:r w:rsidRPr="00A058B6">
        <w:t xml:space="preserve"> </w:t>
      </w:r>
      <w:r w:rsidR="00647C6B" w:rsidRPr="00A058B6">
        <w:t xml:space="preserve">the </w:t>
      </w:r>
      <w:r w:rsidR="00A52DA5">
        <w:t>subsection (</w:t>
      </w:r>
      <w:r w:rsidR="00F51337">
        <w:t>including the note)</w:t>
      </w:r>
      <w:r w:rsidR="00647C6B" w:rsidRPr="00A058B6">
        <w:t>, substitute:</w:t>
      </w:r>
    </w:p>
    <w:p w14:paraId="080C96F1" w14:textId="46032664" w:rsidR="00647C6B" w:rsidRPr="00A058B6" w:rsidRDefault="00647C6B" w:rsidP="00647C6B">
      <w:pPr>
        <w:pStyle w:val="subsection"/>
      </w:pPr>
      <w:r w:rsidRPr="00A058B6">
        <w:tab/>
        <w:t>(7)</w:t>
      </w:r>
      <w:r w:rsidRPr="00A058B6">
        <w:tab/>
        <w:t xml:space="preserve">For the purposes of </w:t>
      </w:r>
      <w:r w:rsidR="00A52DA5">
        <w:t>subsection (</w:t>
      </w:r>
      <w:r w:rsidRPr="00A058B6">
        <w:t xml:space="preserve">6), the remaining value of the superannuation interest after the payment of the lump sums to all of the following persons (the </w:t>
      </w:r>
      <w:r w:rsidRPr="00A058B6">
        <w:rPr>
          <w:b/>
          <w:i/>
        </w:rPr>
        <w:t>eligible recipients</w:t>
      </w:r>
      <w:r w:rsidRPr="00A058B6">
        <w:t>):</w:t>
      </w:r>
    </w:p>
    <w:p w14:paraId="660743C9" w14:textId="77777777" w:rsidR="00647C6B" w:rsidRPr="00A058B6" w:rsidRDefault="00647C6B" w:rsidP="00647C6B">
      <w:pPr>
        <w:pStyle w:val="paragraph"/>
      </w:pPr>
      <w:r w:rsidRPr="00A058B6">
        <w:tab/>
        <w:t>(a)</w:t>
      </w:r>
      <w:r w:rsidRPr="00A058B6">
        <w:tab/>
        <w:t>each other person under a payment split with an earlier operative time;</w:t>
      </w:r>
    </w:p>
    <w:p w14:paraId="3FC0649D" w14:textId="2F8A482F" w:rsidR="00647C6B" w:rsidRPr="00A058B6" w:rsidRDefault="00647C6B" w:rsidP="00647C6B">
      <w:pPr>
        <w:pStyle w:val="paragraph"/>
      </w:pPr>
      <w:r w:rsidRPr="00A058B6">
        <w:tab/>
        <w:t>(b)</w:t>
      </w:r>
      <w:r w:rsidRPr="00A058B6">
        <w:tab/>
        <w:t>the non</w:t>
      </w:r>
      <w:r w:rsidR="001952B3">
        <w:noBreakHyphen/>
      </w:r>
      <w:r w:rsidRPr="00A058B6">
        <w:t>member spouse;</w:t>
      </w:r>
    </w:p>
    <w:p w14:paraId="52E0B8C5" w14:textId="1C52B2A0" w:rsidR="00647C6B" w:rsidRDefault="00647C6B" w:rsidP="00647C6B">
      <w:pPr>
        <w:pStyle w:val="subsection2"/>
      </w:pPr>
      <w:r w:rsidRPr="00A058B6">
        <w:t>under paragraph </w:t>
      </w:r>
      <w:r w:rsidR="00485CC2">
        <w:t>81</w:t>
      </w:r>
      <w:r w:rsidRPr="00A058B6">
        <w:t xml:space="preserve">(2)(a) and </w:t>
      </w:r>
      <w:r w:rsidR="00453C86">
        <w:t>paragraph (</w:t>
      </w:r>
      <w:r w:rsidRPr="00A058B6">
        <w:t xml:space="preserve">4)(c) of this section is the amount equal to the sum of the following </w:t>
      </w:r>
      <w:r w:rsidR="00E7358F" w:rsidRPr="00A058B6">
        <w:t>calculated</w:t>
      </w:r>
      <w:r w:rsidRPr="00A058B6">
        <w:t xml:space="preserve"> for each of the eligible recipients:</w:t>
      </w:r>
    </w:p>
    <w:p w14:paraId="5DAEEDA0" w14:textId="0EF5826E" w:rsidR="00FA7E7B" w:rsidRPr="00A058B6" w:rsidRDefault="00140DA4" w:rsidP="00FA7E7B">
      <w:pPr>
        <w:pStyle w:val="subsection2"/>
      </w:pPr>
      <w:r w:rsidRPr="00BB252D">
        <w:rPr>
          <w:position w:val="-68"/>
        </w:rPr>
        <w:object w:dxaOrig="5899" w:dyaOrig="1460" w14:anchorId="7811CB3D">
          <v:shape id="_x0000_i1104" type="#_x0000_t75" alt="Start formula Deemed value of the interest were it in payment phase at adjusted date minus Initial lump sum minus open bracket start fraction Other lump sum times Pension valuation factor for the interest over Commutation factor for the interest times Transition factor end fraction close bracket end formula" style="width:294.5pt;height:73pt;mso-position-vertical:absolute" o:ole="">
            <v:imagedata r:id="rId197" o:title=""/>
          </v:shape>
          <o:OLEObject Type="Embed" ProgID="Equation.DSMT4" ShapeID="_x0000_i1104" DrawAspect="Content" ObjectID="_1801634333" r:id="rId198"/>
        </w:object>
      </w:r>
    </w:p>
    <w:p w14:paraId="07397311" w14:textId="77777777" w:rsidR="00647C6B" w:rsidRPr="00A058B6" w:rsidRDefault="00647C6B" w:rsidP="00647C6B">
      <w:pPr>
        <w:pStyle w:val="subsection2"/>
      </w:pPr>
      <w:r w:rsidRPr="00A058B6">
        <w:t>where:</w:t>
      </w:r>
    </w:p>
    <w:p w14:paraId="42000E85" w14:textId="26FA902A" w:rsidR="00647C6B" w:rsidRPr="00A058B6" w:rsidRDefault="00647C6B" w:rsidP="00647C6B">
      <w:pPr>
        <w:pStyle w:val="Definition"/>
      </w:pPr>
      <w:r w:rsidRPr="00A058B6">
        <w:rPr>
          <w:b/>
          <w:bCs/>
          <w:i/>
          <w:iCs/>
        </w:rPr>
        <w:t>deemed value of the interest were it in payment phase at adjusted date</w:t>
      </w:r>
      <w:r w:rsidRPr="00A058B6">
        <w:t xml:space="preserve"> </w:t>
      </w:r>
      <w:r w:rsidR="00301A86">
        <w:t>means</w:t>
      </w:r>
      <w:r w:rsidR="00301A86" w:rsidRPr="00A058B6">
        <w:t xml:space="preserve"> </w:t>
      </w:r>
      <w:r w:rsidR="006237D7" w:rsidRPr="00A058B6">
        <w:t xml:space="preserve">the amount </w:t>
      </w:r>
      <w:r w:rsidR="006237D7">
        <w:t xml:space="preserve">that would be </w:t>
      </w:r>
      <w:r w:rsidR="006237D7" w:rsidRPr="00A058B6">
        <w:t xml:space="preserve">calculated under </w:t>
      </w:r>
      <w:r w:rsidR="00CB78B9">
        <w:t>section 6</w:t>
      </w:r>
      <w:r w:rsidR="00485CC2">
        <w:t>4</w:t>
      </w:r>
      <w:r w:rsidR="006237D7" w:rsidRPr="00A058B6">
        <w:t xml:space="preserve"> for the</w:t>
      </w:r>
      <w:r w:rsidR="006237D7">
        <w:t xml:space="preserve"> superannuation</w:t>
      </w:r>
      <w:r w:rsidR="006237D7" w:rsidRPr="00A058B6">
        <w:t xml:space="preserve"> interest if references in </w:t>
      </w:r>
      <w:r w:rsidR="00453C86">
        <w:t>Division 2</w:t>
      </w:r>
      <w:r w:rsidR="006237D7" w:rsidRPr="00A058B6">
        <w:t xml:space="preserve"> of Part </w:t>
      </w:r>
      <w:r w:rsidR="00E60B30">
        <w:t>6</w:t>
      </w:r>
      <w:r w:rsidR="006237D7" w:rsidRPr="00A058B6">
        <w:t xml:space="preserve"> to the relevant date were references to </w:t>
      </w:r>
      <w:r w:rsidRPr="00A058B6">
        <w:t>the date the first splittable payment became payable in respect of the superannuation interest to the eligible recipient</w:t>
      </w:r>
      <w:r w:rsidR="00D7157D">
        <w:t>.</w:t>
      </w:r>
    </w:p>
    <w:p w14:paraId="1739D8C3" w14:textId="00E4277A" w:rsidR="00647C6B" w:rsidRPr="00A058B6" w:rsidRDefault="00647C6B" w:rsidP="00647C6B">
      <w:pPr>
        <w:pStyle w:val="Definition"/>
      </w:pPr>
      <w:r w:rsidRPr="00A058B6">
        <w:rPr>
          <w:b/>
          <w:i/>
        </w:rPr>
        <w:t>initial lump sum</w:t>
      </w:r>
      <w:r w:rsidRPr="00A058B6">
        <w:t xml:space="preserve"> </w:t>
      </w:r>
      <w:r w:rsidR="00301A86">
        <w:t>means</w:t>
      </w:r>
      <w:r w:rsidR="00301A86" w:rsidRPr="00A058B6">
        <w:t xml:space="preserve"> </w:t>
      </w:r>
      <w:r w:rsidRPr="00A058B6">
        <w:t>the amount of the lump sum paid to the eligible recipient under paragraph </w:t>
      </w:r>
      <w:r w:rsidR="00485CC2">
        <w:t>81</w:t>
      </w:r>
      <w:r w:rsidRPr="00A058B6">
        <w:t>(2)(a)</w:t>
      </w:r>
      <w:r w:rsidR="00D7157D">
        <w:t>.</w:t>
      </w:r>
    </w:p>
    <w:p w14:paraId="213D7F84" w14:textId="2BA8A4BE" w:rsidR="00647C6B" w:rsidRPr="00A058B6" w:rsidRDefault="00647C6B" w:rsidP="00647C6B">
      <w:pPr>
        <w:pStyle w:val="Definition"/>
      </w:pPr>
      <w:r w:rsidRPr="00A058B6">
        <w:rPr>
          <w:b/>
          <w:i/>
        </w:rPr>
        <w:t>other lump sum</w:t>
      </w:r>
      <w:r w:rsidRPr="00A058B6">
        <w:t xml:space="preserve"> </w:t>
      </w:r>
      <w:r w:rsidR="00301A86">
        <w:t>means</w:t>
      </w:r>
      <w:r w:rsidR="00301A86" w:rsidRPr="00A058B6">
        <w:t xml:space="preserve"> </w:t>
      </w:r>
      <w:r w:rsidRPr="00A058B6">
        <w:t xml:space="preserve">the amount of the lump sum paid to the eligible recipient under </w:t>
      </w:r>
      <w:r w:rsidR="00453C86">
        <w:t>paragraph (</w:t>
      </w:r>
      <w:r w:rsidRPr="00A058B6">
        <w:t>4)(b)</w:t>
      </w:r>
      <w:r w:rsidR="00D7157D">
        <w:t>.</w:t>
      </w:r>
    </w:p>
    <w:p w14:paraId="478DEB88" w14:textId="77777777" w:rsidR="00FA7E7B" w:rsidRDefault="00FA7E7B" w:rsidP="00FA7E7B">
      <w:pPr>
        <w:pStyle w:val="Definition"/>
        <w:rPr>
          <w:bCs/>
          <w:iCs/>
        </w:rPr>
      </w:pPr>
      <w:r>
        <w:rPr>
          <w:b/>
          <w:i/>
        </w:rPr>
        <w:t>transition factor</w:t>
      </w:r>
      <w:r>
        <w:rPr>
          <w:bCs/>
          <w:iCs/>
        </w:rPr>
        <w:t xml:space="preserve"> means:</w:t>
      </w:r>
    </w:p>
    <w:p w14:paraId="7C36AB42" w14:textId="4E12A2D3" w:rsidR="00F53471" w:rsidRDefault="00F53471" w:rsidP="00F53471">
      <w:pPr>
        <w:pStyle w:val="paragraph"/>
      </w:pPr>
      <w:r>
        <w:tab/>
        <w:t>(a)</w:t>
      </w:r>
      <w:r>
        <w:tab/>
        <w:t xml:space="preserve">if </w:t>
      </w:r>
      <w:r w:rsidRPr="0008080D">
        <w:t>under</w:t>
      </w:r>
      <w:r>
        <w:t xml:space="preserve"> </w:t>
      </w:r>
      <w:r w:rsidR="00CB78B9">
        <w:t>section 6</w:t>
      </w:r>
      <w:r>
        <w:t xml:space="preserve">2 or 70 the Minister has approved one or more methods or factors to be used </w:t>
      </w:r>
      <w:r w:rsidRPr="00CD2453">
        <w:t>to determine the gross value of the superannuation</w:t>
      </w:r>
      <w:r>
        <w:t xml:space="preserve"> interest—the factor approved under, or determined using a method approved under, </w:t>
      </w:r>
      <w:r w:rsidR="00CB78B9">
        <w:t>section 7</w:t>
      </w:r>
      <w:r>
        <w:t>9 for the superannuation interest and this subsection; or</w:t>
      </w:r>
    </w:p>
    <w:p w14:paraId="2C89EF12" w14:textId="77777777" w:rsidR="00FA7E7B" w:rsidRDefault="00FA7E7B" w:rsidP="00FA7E7B">
      <w:pPr>
        <w:pStyle w:val="paragraph"/>
      </w:pPr>
      <w:r>
        <w:tab/>
        <w:t>(b)</w:t>
      </w:r>
      <w:r>
        <w:tab/>
        <w:t>if paragraph (a) does not apply and one or more benefits in respect of the superannuation interest are payable:</w:t>
      </w:r>
    </w:p>
    <w:p w14:paraId="42A55FC1" w14:textId="77777777" w:rsidR="00FA7E7B" w:rsidRDefault="00FA7E7B" w:rsidP="00FA7E7B">
      <w:pPr>
        <w:pStyle w:val="paragraphsub"/>
      </w:pPr>
      <w:r>
        <w:tab/>
        <w:t>(i)</w:t>
      </w:r>
      <w:r>
        <w:tab/>
        <w:t>as a pension for the life of the member spouse; but</w:t>
      </w:r>
    </w:p>
    <w:p w14:paraId="5D573D43" w14:textId="77777777" w:rsidR="00FA7E7B" w:rsidRPr="00B636FD" w:rsidRDefault="00FA7E7B" w:rsidP="00FA7E7B">
      <w:pPr>
        <w:pStyle w:val="paragraphsub"/>
      </w:pPr>
      <w:r>
        <w:tab/>
        <w:t>(ii)</w:t>
      </w:r>
      <w:r>
        <w:tab/>
        <w:t>not due to the member spouse’s invalidity;</w:t>
      </w:r>
    </w:p>
    <w:p w14:paraId="76D61E7C" w14:textId="77777777" w:rsidR="00FA7E7B" w:rsidRDefault="00FA7E7B" w:rsidP="00FA7E7B">
      <w:pPr>
        <w:pStyle w:val="paragraph"/>
      </w:pPr>
      <w:r>
        <w:tab/>
      </w:r>
      <w:r>
        <w:tab/>
        <w:t>the factor determined using the method set out in Schedule 11 for the superannuation interest; or</w:t>
      </w:r>
    </w:p>
    <w:p w14:paraId="0F5C7183" w14:textId="77777777" w:rsidR="00FA7E7B" w:rsidRDefault="00FA7E7B" w:rsidP="00FA7E7B">
      <w:pPr>
        <w:pStyle w:val="paragraph"/>
      </w:pPr>
      <w:r>
        <w:tab/>
        <w:t>(c)</w:t>
      </w:r>
      <w:r>
        <w:tab/>
        <w:t>if neither paragraph (a) nor (b) applies—1.</w:t>
      </w:r>
    </w:p>
    <w:p w14:paraId="4F51BA27" w14:textId="0870BB18" w:rsidR="00647C6B" w:rsidRPr="00A058B6" w:rsidRDefault="00647C6B" w:rsidP="00647C6B">
      <w:pPr>
        <w:pStyle w:val="notetext"/>
      </w:pPr>
      <w:r w:rsidRPr="00A058B6">
        <w:t>Note:</w:t>
      </w:r>
      <w:r w:rsidRPr="00A058B6">
        <w:tab/>
        <w:t xml:space="preserve">For the meanings of </w:t>
      </w:r>
      <w:r w:rsidRPr="00A058B6">
        <w:rPr>
          <w:b/>
          <w:i/>
        </w:rPr>
        <w:t>commutation factor</w:t>
      </w:r>
      <w:r w:rsidRPr="00A058B6">
        <w:t xml:space="preserve"> and </w:t>
      </w:r>
      <w:r w:rsidRPr="00A058B6">
        <w:rPr>
          <w:b/>
          <w:i/>
        </w:rPr>
        <w:t>pension valuation factor</w:t>
      </w:r>
      <w:r w:rsidRPr="00A058B6">
        <w:t xml:space="preserve">, see </w:t>
      </w:r>
      <w:r w:rsidR="00CB78B9">
        <w:t>section 7</w:t>
      </w:r>
      <w:r w:rsidR="00485CC2">
        <w:t>2</w:t>
      </w:r>
      <w:r w:rsidR="00D7157D">
        <w:t>.</w:t>
      </w:r>
    </w:p>
    <w:p w14:paraId="0D5F43C9" w14:textId="77777777" w:rsidR="0056167C" w:rsidRPr="00A058B6" w:rsidRDefault="0056167C" w:rsidP="0093537F">
      <w:pPr>
        <w:sectPr w:rsidR="0056167C" w:rsidRPr="00A058B6" w:rsidSect="00942B24">
          <w:headerReference w:type="even" r:id="rId199"/>
          <w:headerReference w:type="default" r:id="rId200"/>
          <w:footerReference w:type="even" r:id="rId201"/>
          <w:footerReference w:type="default" r:id="rId202"/>
          <w:headerReference w:type="first" r:id="rId203"/>
          <w:footerReference w:type="first" r:id="rId204"/>
          <w:pgSz w:w="11907" w:h="16839" w:code="9"/>
          <w:pgMar w:top="2233" w:right="1797" w:bottom="1440" w:left="1797" w:header="720" w:footer="709" w:gutter="0"/>
          <w:cols w:space="708"/>
          <w:docGrid w:linePitch="360"/>
        </w:sectPr>
      </w:pPr>
    </w:p>
    <w:p w14:paraId="1AB832CA" w14:textId="77777777" w:rsidR="00157B8B" w:rsidRPr="00A058B6" w:rsidRDefault="00157B8B" w:rsidP="00647C6B"/>
    <w:sectPr w:rsidR="00157B8B" w:rsidRPr="00A058B6" w:rsidSect="00942B24">
      <w:headerReference w:type="even" r:id="rId205"/>
      <w:headerReference w:type="default" r:id="rId206"/>
      <w:footerReference w:type="even" r:id="rId207"/>
      <w:footerReference w:type="default" r:id="rId208"/>
      <w:headerReference w:type="first" r:id="rId209"/>
      <w:footerReference w:type="first" r:id="rId210"/>
      <w:type w:val="continuous"/>
      <w:pgSz w:w="11907" w:h="16839" w:code="9"/>
      <w:pgMar w:top="2233" w:right="1797" w:bottom="1440" w:left="179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8A5B" w14:textId="77777777" w:rsidR="004544DD" w:rsidRDefault="004544DD" w:rsidP="00715914">
      <w:pPr>
        <w:spacing w:line="240" w:lineRule="auto"/>
      </w:pPr>
      <w:r>
        <w:separator/>
      </w:r>
    </w:p>
  </w:endnote>
  <w:endnote w:type="continuationSeparator" w:id="0">
    <w:p w14:paraId="7BE12FAF" w14:textId="77777777" w:rsidR="004544DD" w:rsidRDefault="004544D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BoldItalic r:id="rId1" w:subsetted="1" w:fontKey="{1B20CD56-9973-4FD1-9395-A9BA4BF029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A636" w14:textId="7B512FE6" w:rsidR="00423C34" w:rsidRPr="00942B24" w:rsidRDefault="00942B24" w:rsidP="00942B24">
    <w:pPr>
      <w:pStyle w:val="Footer"/>
      <w:rPr>
        <w:i/>
        <w:sz w:val="18"/>
      </w:rPr>
    </w:pPr>
    <w:r w:rsidRPr="00942B24">
      <w:rPr>
        <w:i/>
        <w:sz w:val="18"/>
      </w:rPr>
      <w:t>OPC65733 -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9143" w14:textId="77777777" w:rsidR="001220B9" w:rsidRPr="00E33C1C" w:rsidRDefault="001220B9" w:rsidP="00F803F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220B9" w14:paraId="2EEC1EC6" w14:textId="77777777" w:rsidTr="00423C34">
      <w:tc>
        <w:tcPr>
          <w:tcW w:w="709" w:type="dxa"/>
          <w:tcBorders>
            <w:top w:val="nil"/>
            <w:left w:val="nil"/>
            <w:bottom w:val="nil"/>
            <w:right w:val="nil"/>
          </w:tcBorders>
        </w:tcPr>
        <w:p w14:paraId="250EB3A6" w14:textId="77777777" w:rsidR="001220B9" w:rsidRDefault="001220B9" w:rsidP="00F803F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00EA7E5" w14:textId="75B54332" w:rsidR="001220B9" w:rsidRDefault="001220B9" w:rsidP="00F803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1384" w:type="dxa"/>
          <w:tcBorders>
            <w:top w:val="nil"/>
            <w:left w:val="nil"/>
            <w:bottom w:val="nil"/>
            <w:right w:val="nil"/>
          </w:tcBorders>
        </w:tcPr>
        <w:p w14:paraId="0D4BC5B3" w14:textId="77777777" w:rsidR="001220B9" w:rsidRDefault="001220B9" w:rsidP="00F803F3">
          <w:pPr>
            <w:spacing w:line="0" w:lineRule="atLeast"/>
            <w:jc w:val="right"/>
            <w:rPr>
              <w:sz w:val="18"/>
            </w:rPr>
          </w:pPr>
        </w:p>
      </w:tc>
    </w:tr>
  </w:tbl>
  <w:p w14:paraId="5E63DCC9" w14:textId="4D373C32" w:rsidR="001220B9" w:rsidRPr="00942B24" w:rsidRDefault="00942B24" w:rsidP="00942B24">
    <w:pPr>
      <w:rPr>
        <w:rFonts w:cs="Times New Roman"/>
        <w:i/>
        <w:sz w:val="18"/>
      </w:rPr>
    </w:pPr>
    <w:r w:rsidRPr="00942B24">
      <w:rPr>
        <w:rFonts w:cs="Times New Roman"/>
        <w:i/>
        <w:sz w:val="18"/>
      </w:rPr>
      <w:t>OPC65733 -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CD5B" w14:textId="77777777" w:rsidR="001220B9" w:rsidRPr="00E33C1C" w:rsidRDefault="001220B9" w:rsidP="00F803F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220B9" w14:paraId="37EDE0C8" w14:textId="77777777" w:rsidTr="00423C34">
      <w:tc>
        <w:tcPr>
          <w:tcW w:w="1357" w:type="dxa"/>
          <w:tcBorders>
            <w:top w:val="nil"/>
            <w:left w:val="nil"/>
            <w:bottom w:val="nil"/>
            <w:right w:val="nil"/>
          </w:tcBorders>
        </w:tcPr>
        <w:p w14:paraId="38DBF2D4" w14:textId="77777777" w:rsidR="001220B9" w:rsidRDefault="001220B9" w:rsidP="00F803F3">
          <w:pPr>
            <w:spacing w:line="0" w:lineRule="atLeast"/>
            <w:rPr>
              <w:sz w:val="18"/>
            </w:rPr>
          </w:pPr>
        </w:p>
      </w:tc>
      <w:tc>
        <w:tcPr>
          <w:tcW w:w="6256" w:type="dxa"/>
          <w:tcBorders>
            <w:top w:val="nil"/>
            <w:left w:val="nil"/>
            <w:bottom w:val="nil"/>
            <w:right w:val="nil"/>
          </w:tcBorders>
        </w:tcPr>
        <w:p w14:paraId="68FF6F87" w14:textId="36EC8A30" w:rsidR="001220B9" w:rsidRDefault="001220B9" w:rsidP="00F803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700" w:type="dxa"/>
          <w:tcBorders>
            <w:top w:val="nil"/>
            <w:left w:val="nil"/>
            <w:bottom w:val="nil"/>
            <w:right w:val="nil"/>
          </w:tcBorders>
        </w:tcPr>
        <w:p w14:paraId="2A6676F2" w14:textId="77777777" w:rsidR="001220B9" w:rsidRDefault="001220B9" w:rsidP="00F803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442560" w14:textId="6B27C863" w:rsidR="001220B9" w:rsidRPr="00942B24" w:rsidRDefault="00942B24" w:rsidP="00942B24">
    <w:pPr>
      <w:rPr>
        <w:rFonts w:cs="Times New Roman"/>
        <w:i/>
        <w:sz w:val="18"/>
      </w:rPr>
    </w:pPr>
    <w:r w:rsidRPr="00942B24">
      <w:rPr>
        <w:rFonts w:cs="Times New Roman"/>
        <w:i/>
        <w:sz w:val="18"/>
      </w:rPr>
      <w:t>OPC65733 -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36EC" w14:textId="77777777" w:rsidR="001220B9" w:rsidRPr="00E33C1C" w:rsidRDefault="001220B9" w:rsidP="00F803F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220B9" w14:paraId="58A99D5B" w14:textId="77777777" w:rsidTr="00423C34">
      <w:tc>
        <w:tcPr>
          <w:tcW w:w="1357" w:type="dxa"/>
          <w:tcBorders>
            <w:top w:val="nil"/>
            <w:left w:val="nil"/>
            <w:bottom w:val="nil"/>
            <w:right w:val="nil"/>
          </w:tcBorders>
        </w:tcPr>
        <w:p w14:paraId="0996C997" w14:textId="77777777" w:rsidR="001220B9" w:rsidRDefault="001220B9" w:rsidP="00F803F3">
          <w:pPr>
            <w:spacing w:line="0" w:lineRule="atLeast"/>
            <w:rPr>
              <w:sz w:val="18"/>
            </w:rPr>
          </w:pPr>
        </w:p>
      </w:tc>
      <w:tc>
        <w:tcPr>
          <w:tcW w:w="6256" w:type="dxa"/>
          <w:tcBorders>
            <w:top w:val="nil"/>
            <w:left w:val="nil"/>
            <w:bottom w:val="nil"/>
            <w:right w:val="nil"/>
          </w:tcBorders>
        </w:tcPr>
        <w:p w14:paraId="78C05A44" w14:textId="24031E4D" w:rsidR="001220B9" w:rsidRDefault="001220B9" w:rsidP="00F803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700" w:type="dxa"/>
          <w:tcBorders>
            <w:top w:val="nil"/>
            <w:left w:val="nil"/>
            <w:bottom w:val="nil"/>
            <w:right w:val="nil"/>
          </w:tcBorders>
        </w:tcPr>
        <w:p w14:paraId="0653D1F0" w14:textId="77777777" w:rsidR="001220B9" w:rsidRDefault="001220B9" w:rsidP="00F803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BFD169" w14:textId="703F734D" w:rsidR="001220B9" w:rsidRPr="00942B24" w:rsidRDefault="00942B24" w:rsidP="00942B24">
    <w:pPr>
      <w:rPr>
        <w:rFonts w:cs="Times New Roman"/>
        <w:i/>
        <w:sz w:val="18"/>
      </w:rPr>
    </w:pPr>
    <w:r w:rsidRPr="00942B24">
      <w:rPr>
        <w:rFonts w:cs="Times New Roman"/>
        <w:i/>
        <w:sz w:val="18"/>
      </w:rPr>
      <w:t>OPC65733 -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F349" w14:textId="77777777" w:rsidR="001220B9" w:rsidRPr="00E33C1C" w:rsidRDefault="001220B9" w:rsidP="0093537F">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220B9" w14:paraId="4E22082A" w14:textId="77777777" w:rsidTr="00423C34">
      <w:tc>
        <w:tcPr>
          <w:tcW w:w="709" w:type="dxa"/>
          <w:tcBorders>
            <w:top w:val="nil"/>
            <w:left w:val="nil"/>
            <w:bottom w:val="nil"/>
            <w:right w:val="nil"/>
          </w:tcBorders>
        </w:tcPr>
        <w:p w14:paraId="27D7F004" w14:textId="77777777" w:rsidR="001220B9" w:rsidRDefault="001220B9" w:rsidP="009353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21FA1A5" w14:textId="3CB95541" w:rsidR="001220B9" w:rsidRDefault="001220B9" w:rsidP="0093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1384" w:type="dxa"/>
          <w:tcBorders>
            <w:top w:val="nil"/>
            <w:left w:val="nil"/>
            <w:bottom w:val="nil"/>
            <w:right w:val="nil"/>
          </w:tcBorders>
        </w:tcPr>
        <w:p w14:paraId="328908C4" w14:textId="77777777" w:rsidR="001220B9" w:rsidRDefault="001220B9" w:rsidP="0093537F">
          <w:pPr>
            <w:spacing w:line="0" w:lineRule="atLeast"/>
            <w:jc w:val="right"/>
            <w:rPr>
              <w:sz w:val="18"/>
            </w:rPr>
          </w:pPr>
        </w:p>
      </w:tc>
    </w:tr>
  </w:tbl>
  <w:p w14:paraId="7FC1757E" w14:textId="6692AA98" w:rsidR="001220B9" w:rsidRPr="00942B24" w:rsidRDefault="00942B24" w:rsidP="00942B24">
    <w:pPr>
      <w:rPr>
        <w:rFonts w:cs="Times New Roman"/>
        <w:i/>
        <w:sz w:val="18"/>
      </w:rPr>
    </w:pPr>
    <w:r w:rsidRPr="00942B24">
      <w:rPr>
        <w:rFonts w:cs="Times New Roman"/>
        <w:i/>
        <w:sz w:val="18"/>
      </w:rPr>
      <w:t>OPC65733 -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DB54" w14:textId="77777777" w:rsidR="001220B9" w:rsidRPr="00E33C1C" w:rsidRDefault="001220B9" w:rsidP="0093537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220B9" w14:paraId="44B3A894" w14:textId="77777777" w:rsidTr="00423C34">
      <w:tc>
        <w:tcPr>
          <w:tcW w:w="1357" w:type="dxa"/>
          <w:tcBorders>
            <w:top w:val="nil"/>
            <w:left w:val="nil"/>
            <w:bottom w:val="nil"/>
            <w:right w:val="nil"/>
          </w:tcBorders>
        </w:tcPr>
        <w:p w14:paraId="57D1DEE9" w14:textId="77777777" w:rsidR="001220B9" w:rsidRDefault="001220B9" w:rsidP="0093537F">
          <w:pPr>
            <w:spacing w:line="0" w:lineRule="atLeast"/>
            <w:rPr>
              <w:sz w:val="18"/>
            </w:rPr>
          </w:pPr>
        </w:p>
      </w:tc>
      <w:tc>
        <w:tcPr>
          <w:tcW w:w="6256" w:type="dxa"/>
          <w:tcBorders>
            <w:top w:val="nil"/>
            <w:left w:val="nil"/>
            <w:bottom w:val="nil"/>
            <w:right w:val="nil"/>
          </w:tcBorders>
        </w:tcPr>
        <w:p w14:paraId="29616FBB" w14:textId="393B493A" w:rsidR="001220B9" w:rsidRDefault="001220B9" w:rsidP="0093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700" w:type="dxa"/>
          <w:tcBorders>
            <w:top w:val="nil"/>
            <w:left w:val="nil"/>
            <w:bottom w:val="nil"/>
            <w:right w:val="nil"/>
          </w:tcBorders>
        </w:tcPr>
        <w:p w14:paraId="1A081FAB" w14:textId="77777777" w:rsidR="001220B9" w:rsidRDefault="001220B9" w:rsidP="009353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EFCE540" w14:textId="5B0D214E" w:rsidR="001220B9" w:rsidRPr="00942B24" w:rsidRDefault="00942B24" w:rsidP="00942B24">
    <w:pPr>
      <w:rPr>
        <w:rFonts w:cs="Times New Roman"/>
        <w:i/>
        <w:sz w:val="18"/>
      </w:rPr>
    </w:pPr>
    <w:r w:rsidRPr="00942B24">
      <w:rPr>
        <w:rFonts w:cs="Times New Roman"/>
        <w:i/>
        <w:sz w:val="18"/>
      </w:rPr>
      <w:t>OPC65733 -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DC94" w14:textId="77777777" w:rsidR="001220B9" w:rsidRPr="00E33C1C" w:rsidRDefault="001220B9" w:rsidP="0093537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220B9" w14:paraId="4AEE75FA" w14:textId="77777777" w:rsidTr="00423C34">
      <w:tc>
        <w:tcPr>
          <w:tcW w:w="1357" w:type="dxa"/>
          <w:tcBorders>
            <w:top w:val="nil"/>
            <w:left w:val="nil"/>
            <w:bottom w:val="nil"/>
            <w:right w:val="nil"/>
          </w:tcBorders>
        </w:tcPr>
        <w:p w14:paraId="6358E1FF" w14:textId="77777777" w:rsidR="001220B9" w:rsidRDefault="001220B9" w:rsidP="0093537F">
          <w:pPr>
            <w:spacing w:line="0" w:lineRule="atLeast"/>
            <w:rPr>
              <w:sz w:val="18"/>
            </w:rPr>
          </w:pPr>
        </w:p>
      </w:tc>
      <w:tc>
        <w:tcPr>
          <w:tcW w:w="6256" w:type="dxa"/>
          <w:tcBorders>
            <w:top w:val="nil"/>
            <w:left w:val="nil"/>
            <w:bottom w:val="nil"/>
            <w:right w:val="nil"/>
          </w:tcBorders>
        </w:tcPr>
        <w:p w14:paraId="63E2D15F" w14:textId="4F0479EC" w:rsidR="001220B9" w:rsidRDefault="001220B9" w:rsidP="0093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700" w:type="dxa"/>
          <w:tcBorders>
            <w:top w:val="nil"/>
            <w:left w:val="nil"/>
            <w:bottom w:val="nil"/>
            <w:right w:val="nil"/>
          </w:tcBorders>
        </w:tcPr>
        <w:p w14:paraId="0F870C45" w14:textId="77777777" w:rsidR="001220B9" w:rsidRDefault="001220B9" w:rsidP="009353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CEB5E16" w14:textId="21C390B1" w:rsidR="001220B9" w:rsidRPr="00942B24" w:rsidRDefault="00942B24" w:rsidP="00942B24">
    <w:pPr>
      <w:rPr>
        <w:rFonts w:cs="Times New Roman"/>
        <w:i/>
        <w:sz w:val="18"/>
      </w:rPr>
    </w:pPr>
    <w:r w:rsidRPr="00942B24">
      <w:rPr>
        <w:rFonts w:cs="Times New Roman"/>
        <w:i/>
        <w:sz w:val="18"/>
      </w:rPr>
      <w:t>OPC65733 - 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D9F1" w14:textId="77777777" w:rsidR="001220B9" w:rsidRPr="00E33C1C" w:rsidRDefault="001220B9" w:rsidP="0093537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220B9" w14:paraId="49D6B71F" w14:textId="77777777" w:rsidTr="00423C34">
      <w:tc>
        <w:tcPr>
          <w:tcW w:w="709" w:type="dxa"/>
          <w:tcBorders>
            <w:top w:val="nil"/>
            <w:left w:val="nil"/>
            <w:bottom w:val="nil"/>
            <w:right w:val="nil"/>
          </w:tcBorders>
        </w:tcPr>
        <w:p w14:paraId="72A7F4EC" w14:textId="77777777" w:rsidR="001220B9" w:rsidRDefault="001220B9" w:rsidP="009353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06C0409" w14:textId="79035366" w:rsidR="001220B9" w:rsidRDefault="001220B9" w:rsidP="0093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1384" w:type="dxa"/>
          <w:tcBorders>
            <w:top w:val="nil"/>
            <w:left w:val="nil"/>
            <w:bottom w:val="nil"/>
            <w:right w:val="nil"/>
          </w:tcBorders>
        </w:tcPr>
        <w:p w14:paraId="3AE3A250" w14:textId="77777777" w:rsidR="001220B9" w:rsidRDefault="001220B9" w:rsidP="0093537F">
          <w:pPr>
            <w:spacing w:line="0" w:lineRule="atLeast"/>
            <w:jc w:val="right"/>
            <w:rPr>
              <w:sz w:val="18"/>
            </w:rPr>
          </w:pPr>
        </w:p>
      </w:tc>
    </w:tr>
  </w:tbl>
  <w:p w14:paraId="35B628F1" w14:textId="5A439D4C" w:rsidR="001220B9" w:rsidRPr="00942B24" w:rsidRDefault="00942B24" w:rsidP="00942B24">
    <w:pPr>
      <w:rPr>
        <w:rFonts w:cs="Times New Roman"/>
        <w:i/>
        <w:sz w:val="18"/>
      </w:rPr>
    </w:pPr>
    <w:r w:rsidRPr="00942B24">
      <w:rPr>
        <w:rFonts w:cs="Times New Roman"/>
        <w:i/>
        <w:sz w:val="18"/>
      </w:rPr>
      <w:t>OPC65733 - 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1018" w14:textId="77777777" w:rsidR="001220B9" w:rsidRPr="00E33C1C" w:rsidRDefault="001220B9" w:rsidP="0093537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220B9" w14:paraId="0B6C2915" w14:textId="77777777" w:rsidTr="00423C34">
      <w:tc>
        <w:tcPr>
          <w:tcW w:w="1357" w:type="dxa"/>
          <w:tcBorders>
            <w:top w:val="nil"/>
            <w:left w:val="nil"/>
            <w:bottom w:val="nil"/>
            <w:right w:val="nil"/>
          </w:tcBorders>
        </w:tcPr>
        <w:p w14:paraId="35434BA0" w14:textId="77777777" w:rsidR="001220B9" w:rsidRDefault="001220B9" w:rsidP="0093537F">
          <w:pPr>
            <w:spacing w:line="0" w:lineRule="atLeast"/>
            <w:rPr>
              <w:sz w:val="18"/>
            </w:rPr>
          </w:pPr>
        </w:p>
      </w:tc>
      <w:tc>
        <w:tcPr>
          <w:tcW w:w="6256" w:type="dxa"/>
          <w:tcBorders>
            <w:top w:val="nil"/>
            <w:left w:val="nil"/>
            <w:bottom w:val="nil"/>
            <w:right w:val="nil"/>
          </w:tcBorders>
        </w:tcPr>
        <w:p w14:paraId="71B909F8" w14:textId="085650EC" w:rsidR="001220B9" w:rsidRDefault="001220B9" w:rsidP="0093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700" w:type="dxa"/>
          <w:tcBorders>
            <w:top w:val="nil"/>
            <w:left w:val="nil"/>
            <w:bottom w:val="nil"/>
            <w:right w:val="nil"/>
          </w:tcBorders>
        </w:tcPr>
        <w:p w14:paraId="62C06EEB" w14:textId="77777777" w:rsidR="001220B9" w:rsidRDefault="001220B9" w:rsidP="009353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12B2B4E" w14:textId="23A77052" w:rsidR="001220B9" w:rsidRPr="00942B24" w:rsidRDefault="00942B24" w:rsidP="00942B24">
    <w:pPr>
      <w:rPr>
        <w:rFonts w:cs="Times New Roman"/>
        <w:i/>
        <w:sz w:val="18"/>
      </w:rPr>
    </w:pPr>
    <w:r w:rsidRPr="00942B24">
      <w:rPr>
        <w:rFonts w:cs="Times New Roman"/>
        <w:i/>
        <w:sz w:val="18"/>
      </w:rPr>
      <w:t>OPC65733 - 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C013" w14:textId="77777777" w:rsidR="001220B9" w:rsidRPr="00E33C1C" w:rsidRDefault="001220B9" w:rsidP="0093537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1220B9" w14:paraId="68EE13A2" w14:textId="77777777" w:rsidTr="00423C34">
      <w:tc>
        <w:tcPr>
          <w:tcW w:w="1357" w:type="dxa"/>
          <w:tcBorders>
            <w:top w:val="nil"/>
            <w:left w:val="nil"/>
            <w:bottom w:val="nil"/>
            <w:right w:val="nil"/>
          </w:tcBorders>
        </w:tcPr>
        <w:p w14:paraId="52DC9A01" w14:textId="77777777" w:rsidR="001220B9" w:rsidRDefault="001220B9" w:rsidP="0093537F">
          <w:pPr>
            <w:spacing w:line="0" w:lineRule="atLeast"/>
            <w:rPr>
              <w:sz w:val="18"/>
            </w:rPr>
          </w:pPr>
        </w:p>
      </w:tc>
      <w:tc>
        <w:tcPr>
          <w:tcW w:w="6256" w:type="dxa"/>
          <w:tcBorders>
            <w:top w:val="nil"/>
            <w:left w:val="nil"/>
            <w:bottom w:val="nil"/>
            <w:right w:val="nil"/>
          </w:tcBorders>
        </w:tcPr>
        <w:p w14:paraId="740CF0ED" w14:textId="132DC30F" w:rsidR="001220B9" w:rsidRDefault="001220B9" w:rsidP="009353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700" w:type="dxa"/>
          <w:tcBorders>
            <w:top w:val="nil"/>
            <w:left w:val="nil"/>
            <w:bottom w:val="nil"/>
            <w:right w:val="nil"/>
          </w:tcBorders>
        </w:tcPr>
        <w:p w14:paraId="2F83A8C3" w14:textId="77777777" w:rsidR="001220B9" w:rsidRDefault="001220B9" w:rsidP="009353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103DF0" w14:textId="698CD13A" w:rsidR="001220B9" w:rsidRPr="00942B24" w:rsidRDefault="00942B24" w:rsidP="00942B24">
    <w:pPr>
      <w:rPr>
        <w:rFonts w:cs="Times New Roman"/>
        <w:i/>
        <w:sz w:val="18"/>
      </w:rPr>
    </w:pPr>
    <w:r w:rsidRPr="00942B24">
      <w:rPr>
        <w:rFonts w:cs="Times New Roman"/>
        <w:i/>
        <w:sz w:val="18"/>
      </w:rPr>
      <w:t>OPC65733 - A</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99CC" w14:textId="77777777" w:rsidR="001220B9" w:rsidRPr="007B3B51" w:rsidRDefault="001220B9" w:rsidP="009C0D79">
    <w:pPr>
      <w:pBdr>
        <w:top w:val="single" w:sz="6" w:space="1" w:color="auto"/>
      </w:pBdr>
      <w:spacing w:before="120"/>
      <w:rPr>
        <w:sz w:val="16"/>
        <w:szCs w:val="16"/>
      </w:rPr>
    </w:pPr>
  </w:p>
  <w:tbl>
    <w:tblPr>
      <w:tblW w:w="5000" w:type="pct"/>
      <w:tblLook w:val="04A0" w:firstRow="1" w:lastRow="0" w:firstColumn="1" w:lastColumn="0" w:noHBand="0" w:noVBand="1"/>
    </w:tblPr>
    <w:tblGrid>
      <w:gridCol w:w="1420"/>
      <w:gridCol w:w="1072"/>
      <w:gridCol w:w="3324"/>
      <w:gridCol w:w="1736"/>
      <w:gridCol w:w="761"/>
    </w:tblGrid>
    <w:tr w:rsidR="001220B9" w:rsidRPr="009E2595" w14:paraId="6869C710" w14:textId="77777777" w:rsidTr="00FA26AF">
      <w:tc>
        <w:tcPr>
          <w:tcW w:w="854" w:type="pct"/>
          <w:shd w:val="clear" w:color="auto" w:fill="auto"/>
        </w:tcPr>
        <w:p w14:paraId="2C2B1389" w14:textId="77777777" w:rsidR="001220B9" w:rsidRPr="009E2595" w:rsidRDefault="001220B9" w:rsidP="009C0D79">
          <w:pPr>
            <w:rPr>
              <w:sz w:val="16"/>
              <w:szCs w:val="16"/>
            </w:rPr>
          </w:pPr>
          <w:r w:rsidRPr="009E2595">
            <w:rPr>
              <w:i/>
              <w:sz w:val="16"/>
              <w:szCs w:val="16"/>
            </w:rPr>
            <w:fldChar w:fldCharType="begin"/>
          </w:r>
          <w:r w:rsidRPr="009E2595">
            <w:rPr>
              <w:i/>
              <w:sz w:val="16"/>
              <w:szCs w:val="16"/>
            </w:rPr>
            <w:instrText xml:space="preserve"> PAGE </w:instrText>
          </w:r>
          <w:r w:rsidRPr="009E2595">
            <w:rPr>
              <w:i/>
              <w:sz w:val="16"/>
              <w:szCs w:val="16"/>
            </w:rPr>
            <w:fldChar w:fldCharType="separate"/>
          </w:r>
          <w:r w:rsidRPr="009E2595">
            <w:rPr>
              <w:i/>
              <w:noProof/>
              <w:sz w:val="16"/>
              <w:szCs w:val="16"/>
            </w:rPr>
            <w:t>160</w:t>
          </w:r>
          <w:r w:rsidRPr="009E2595">
            <w:rPr>
              <w:i/>
              <w:sz w:val="16"/>
              <w:szCs w:val="16"/>
            </w:rPr>
            <w:fldChar w:fldCharType="end"/>
          </w:r>
        </w:p>
      </w:tc>
      <w:tc>
        <w:tcPr>
          <w:tcW w:w="3688" w:type="pct"/>
          <w:gridSpan w:val="3"/>
          <w:shd w:val="clear" w:color="auto" w:fill="auto"/>
        </w:tcPr>
        <w:p w14:paraId="0B9932E2" w14:textId="482F87A5" w:rsidR="001220B9" w:rsidRPr="009E2595" w:rsidRDefault="001220B9" w:rsidP="009C0D79">
          <w:pPr>
            <w:jc w:val="center"/>
            <w:rPr>
              <w:i/>
              <w:sz w:val="16"/>
              <w:szCs w:val="16"/>
            </w:rPr>
          </w:pPr>
          <w:r w:rsidRPr="009E2595">
            <w:rPr>
              <w:i/>
              <w:sz w:val="16"/>
              <w:szCs w:val="16"/>
            </w:rPr>
            <w:fldChar w:fldCharType="begin"/>
          </w:r>
          <w:r w:rsidRPr="009E2595">
            <w:rPr>
              <w:i/>
              <w:sz w:val="16"/>
              <w:szCs w:val="16"/>
            </w:rPr>
            <w:instrText xml:space="preserve"> STYLEREF "ShortT" </w:instrText>
          </w:r>
          <w:r w:rsidRPr="009E2595">
            <w:rPr>
              <w:i/>
              <w:sz w:val="16"/>
              <w:szCs w:val="16"/>
            </w:rPr>
            <w:fldChar w:fldCharType="separate"/>
          </w:r>
          <w:r w:rsidR="000E6B78">
            <w:rPr>
              <w:i/>
              <w:noProof/>
              <w:sz w:val="16"/>
              <w:szCs w:val="16"/>
            </w:rPr>
            <w:t>Family Law (Superannuation) Regulations 2025</w:t>
          </w:r>
          <w:r w:rsidRPr="009E2595">
            <w:rPr>
              <w:i/>
              <w:sz w:val="16"/>
              <w:szCs w:val="16"/>
            </w:rPr>
            <w:fldChar w:fldCharType="end"/>
          </w:r>
        </w:p>
      </w:tc>
      <w:tc>
        <w:tcPr>
          <w:tcW w:w="458" w:type="pct"/>
          <w:shd w:val="clear" w:color="auto" w:fill="auto"/>
        </w:tcPr>
        <w:p w14:paraId="0F41BFDA" w14:textId="77777777" w:rsidR="001220B9" w:rsidRPr="009E2595" w:rsidRDefault="001220B9" w:rsidP="009C0D79">
          <w:pPr>
            <w:jc w:val="right"/>
            <w:rPr>
              <w:sz w:val="16"/>
              <w:szCs w:val="16"/>
            </w:rPr>
          </w:pPr>
        </w:p>
      </w:tc>
    </w:tr>
    <w:tr w:rsidR="001220B9" w:rsidRPr="009E2595" w14:paraId="745432AF" w14:textId="77777777" w:rsidTr="00FA26AF">
      <w:tc>
        <w:tcPr>
          <w:tcW w:w="1499" w:type="pct"/>
          <w:gridSpan w:val="2"/>
          <w:shd w:val="clear" w:color="auto" w:fill="auto"/>
        </w:tcPr>
        <w:p w14:paraId="3D06ABD8" w14:textId="03A62A68" w:rsidR="001220B9" w:rsidRPr="009E2595" w:rsidRDefault="001220B9" w:rsidP="009C0D79">
          <w:pPr>
            <w:spacing w:before="120"/>
            <w:rPr>
              <w:sz w:val="16"/>
              <w:szCs w:val="16"/>
            </w:rPr>
          </w:pPr>
          <w:r w:rsidRPr="009E2595">
            <w:rPr>
              <w:sz w:val="16"/>
              <w:szCs w:val="16"/>
            </w:rPr>
            <w:t xml:space="preserve">Compilation No. </w:t>
          </w:r>
          <w:r w:rsidRPr="009E2595">
            <w:rPr>
              <w:sz w:val="16"/>
              <w:szCs w:val="16"/>
            </w:rPr>
            <w:fldChar w:fldCharType="begin"/>
          </w:r>
          <w:r w:rsidRPr="009E2595">
            <w:rPr>
              <w:sz w:val="16"/>
              <w:szCs w:val="16"/>
            </w:rPr>
            <w:instrText xml:space="preserve"> DOCPROPERTY CompilationNumber * CHARFORMAT</w:instrText>
          </w:r>
          <w:r w:rsidRPr="009E2595">
            <w:rPr>
              <w:sz w:val="16"/>
              <w:szCs w:val="16"/>
            </w:rPr>
            <w:fldChar w:fldCharType="separate"/>
          </w:r>
          <w:r w:rsidR="000E6B78">
            <w:rPr>
              <w:b/>
              <w:bCs/>
              <w:sz w:val="16"/>
              <w:szCs w:val="16"/>
              <w:lang w:val="en-US"/>
            </w:rPr>
            <w:t>Error! Unknown document property name.</w:t>
          </w:r>
          <w:r w:rsidRPr="009E2595">
            <w:rPr>
              <w:sz w:val="16"/>
              <w:szCs w:val="16"/>
            </w:rPr>
            <w:fldChar w:fldCharType="end"/>
          </w:r>
        </w:p>
      </w:tc>
      <w:tc>
        <w:tcPr>
          <w:tcW w:w="1999" w:type="pct"/>
          <w:shd w:val="clear" w:color="auto" w:fill="auto"/>
        </w:tcPr>
        <w:p w14:paraId="43FB610C" w14:textId="7897BD24" w:rsidR="001220B9" w:rsidRPr="009E2595" w:rsidRDefault="001220B9" w:rsidP="009C0D79">
          <w:pPr>
            <w:spacing w:before="120"/>
            <w:jc w:val="center"/>
            <w:rPr>
              <w:sz w:val="16"/>
              <w:szCs w:val="16"/>
            </w:rPr>
          </w:pPr>
          <w:r w:rsidRPr="009E2595">
            <w:rPr>
              <w:sz w:val="16"/>
              <w:szCs w:val="16"/>
            </w:rPr>
            <w:t xml:space="preserve">Compilation date: </w:t>
          </w:r>
          <w:r w:rsidRPr="009E2595">
            <w:rPr>
              <w:sz w:val="16"/>
              <w:szCs w:val="16"/>
            </w:rPr>
            <w:fldChar w:fldCharType="begin"/>
          </w:r>
          <w:r w:rsidRPr="009E2595">
            <w:rPr>
              <w:sz w:val="16"/>
              <w:szCs w:val="16"/>
            </w:rPr>
            <w:instrText xml:space="preserve"> DOCPROPERTY  StartDate \@ "dd/MM/yyyy"  </w:instrText>
          </w:r>
          <w:r w:rsidRPr="009E2595">
            <w:rPr>
              <w:sz w:val="16"/>
              <w:szCs w:val="16"/>
            </w:rPr>
            <w:fldChar w:fldCharType="separate"/>
          </w:r>
          <w:r w:rsidR="000E6B78">
            <w:rPr>
              <w:b/>
              <w:bCs/>
              <w:sz w:val="16"/>
              <w:szCs w:val="16"/>
              <w:lang w:val="en-US"/>
            </w:rPr>
            <w:t>Error! Unknown document property name.</w:t>
          </w:r>
          <w:r w:rsidRPr="009E2595">
            <w:rPr>
              <w:sz w:val="16"/>
              <w:szCs w:val="16"/>
            </w:rPr>
            <w:fldChar w:fldCharType="end"/>
          </w:r>
        </w:p>
      </w:tc>
      <w:tc>
        <w:tcPr>
          <w:tcW w:w="1502" w:type="pct"/>
          <w:gridSpan w:val="2"/>
          <w:shd w:val="clear" w:color="auto" w:fill="auto"/>
        </w:tcPr>
        <w:p w14:paraId="1DC6F290" w14:textId="567A28B9" w:rsidR="001220B9" w:rsidRPr="009E2595" w:rsidRDefault="001220B9" w:rsidP="009C0D79">
          <w:pPr>
            <w:spacing w:before="120"/>
            <w:jc w:val="right"/>
            <w:rPr>
              <w:sz w:val="16"/>
              <w:szCs w:val="16"/>
            </w:rPr>
          </w:pPr>
          <w:r w:rsidRPr="009E2595">
            <w:rPr>
              <w:sz w:val="16"/>
              <w:szCs w:val="16"/>
            </w:rPr>
            <w:t xml:space="preserve">Registered: </w:t>
          </w:r>
          <w:r w:rsidRPr="009E2595">
            <w:rPr>
              <w:sz w:val="16"/>
              <w:szCs w:val="16"/>
            </w:rPr>
            <w:fldChar w:fldCharType="begin"/>
          </w:r>
          <w:r w:rsidRPr="009E2595">
            <w:rPr>
              <w:sz w:val="16"/>
              <w:szCs w:val="16"/>
            </w:rPr>
            <w:instrText xml:space="preserve"> IF </w:instrText>
          </w:r>
          <w:r w:rsidRPr="009E2595">
            <w:rPr>
              <w:sz w:val="16"/>
              <w:szCs w:val="16"/>
            </w:rPr>
            <w:fldChar w:fldCharType="begin"/>
          </w:r>
          <w:r w:rsidRPr="009E2595">
            <w:rPr>
              <w:sz w:val="16"/>
              <w:szCs w:val="16"/>
            </w:rPr>
            <w:instrText xml:space="preserve"> DOCPROPERTY RegisteredDate </w:instrText>
          </w:r>
          <w:r w:rsidRPr="009E2595">
            <w:rPr>
              <w:sz w:val="16"/>
              <w:szCs w:val="16"/>
            </w:rPr>
            <w:fldChar w:fldCharType="separate"/>
          </w:r>
          <w:r w:rsidR="000E6B78">
            <w:rPr>
              <w:b/>
              <w:bCs/>
              <w:sz w:val="16"/>
              <w:szCs w:val="16"/>
              <w:lang w:val="en-US"/>
            </w:rPr>
            <w:instrText>Error! Unknown document property name.</w:instrText>
          </w:r>
          <w:r w:rsidRPr="009E2595">
            <w:rPr>
              <w:sz w:val="16"/>
              <w:szCs w:val="16"/>
            </w:rPr>
            <w:fldChar w:fldCharType="end"/>
          </w:r>
          <w:r w:rsidRPr="009E2595">
            <w:rPr>
              <w:sz w:val="16"/>
              <w:szCs w:val="16"/>
            </w:rPr>
            <w:instrText xml:space="preserve"> = #1/1/1901# "Unknown" </w:instrText>
          </w:r>
          <w:r w:rsidRPr="009E2595">
            <w:rPr>
              <w:sz w:val="16"/>
              <w:szCs w:val="16"/>
            </w:rPr>
            <w:fldChar w:fldCharType="begin"/>
          </w:r>
          <w:r w:rsidRPr="009E2595">
            <w:rPr>
              <w:sz w:val="16"/>
              <w:szCs w:val="16"/>
            </w:rPr>
            <w:instrText xml:space="preserve"> DOCPROPERTY RegisteredDate \@ "dd/MM/yyyy" </w:instrText>
          </w:r>
          <w:r w:rsidRPr="009E2595">
            <w:rPr>
              <w:sz w:val="16"/>
              <w:szCs w:val="16"/>
            </w:rPr>
            <w:fldChar w:fldCharType="separate"/>
          </w:r>
          <w:r w:rsidR="000E6B78">
            <w:rPr>
              <w:b/>
              <w:bCs/>
              <w:sz w:val="16"/>
              <w:szCs w:val="16"/>
              <w:lang w:val="en-US"/>
            </w:rPr>
            <w:instrText>Error! Unknown document property name.</w:instrText>
          </w:r>
          <w:r w:rsidRPr="009E2595">
            <w:rPr>
              <w:sz w:val="16"/>
              <w:szCs w:val="16"/>
            </w:rPr>
            <w:fldChar w:fldCharType="end"/>
          </w:r>
          <w:r w:rsidRPr="009E2595">
            <w:rPr>
              <w:sz w:val="16"/>
              <w:szCs w:val="16"/>
            </w:rPr>
            <w:instrText xml:space="preserve"> </w:instrText>
          </w:r>
          <w:r w:rsidRPr="009E2595">
            <w:rPr>
              <w:sz w:val="16"/>
              <w:szCs w:val="16"/>
            </w:rPr>
            <w:fldChar w:fldCharType="separate"/>
          </w:r>
          <w:r w:rsidR="000E6B78">
            <w:rPr>
              <w:b/>
              <w:bCs/>
              <w:noProof/>
              <w:sz w:val="16"/>
              <w:szCs w:val="16"/>
              <w:lang w:val="en-US"/>
            </w:rPr>
            <w:t>Error! Unknown document property name.</w:t>
          </w:r>
          <w:r w:rsidRPr="009E2595">
            <w:rPr>
              <w:sz w:val="16"/>
              <w:szCs w:val="16"/>
            </w:rPr>
            <w:fldChar w:fldCharType="end"/>
          </w:r>
        </w:p>
      </w:tc>
    </w:tr>
  </w:tbl>
  <w:p w14:paraId="5D296280" w14:textId="2BCBC020" w:rsidR="001220B9" w:rsidRPr="00942B24" w:rsidRDefault="00942B24" w:rsidP="00942B24">
    <w:pPr>
      <w:pStyle w:val="Footer"/>
      <w:rPr>
        <w:i/>
        <w:sz w:val="18"/>
      </w:rPr>
    </w:pPr>
    <w:r w:rsidRPr="00942B24">
      <w:rPr>
        <w:i/>
        <w:sz w:val="18"/>
      </w:rPr>
      <w:t>OPC65733 -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8491" w14:textId="4FB03D6D" w:rsidR="00423C34" w:rsidRPr="00942B24" w:rsidRDefault="00942B24" w:rsidP="00942B24">
    <w:pPr>
      <w:pStyle w:val="Footer"/>
      <w:rPr>
        <w:i/>
        <w:sz w:val="18"/>
      </w:rPr>
    </w:pPr>
    <w:r w:rsidRPr="00942B24">
      <w:rPr>
        <w:i/>
        <w:sz w:val="18"/>
      </w:rPr>
      <w:t>OPC65733 - 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86B9" w14:textId="77777777" w:rsidR="001220B9" w:rsidRPr="007B3B51" w:rsidRDefault="001220B9" w:rsidP="009C0D79">
    <w:pPr>
      <w:pBdr>
        <w:top w:val="single" w:sz="6" w:space="1" w:color="auto"/>
      </w:pBdr>
      <w:spacing w:before="120"/>
      <w:rPr>
        <w:sz w:val="16"/>
        <w:szCs w:val="16"/>
      </w:rPr>
    </w:pPr>
  </w:p>
  <w:tbl>
    <w:tblPr>
      <w:tblW w:w="5000" w:type="pct"/>
      <w:tblLook w:val="04A0" w:firstRow="1" w:lastRow="0" w:firstColumn="1" w:lastColumn="0" w:noHBand="0" w:noVBand="1"/>
    </w:tblPr>
    <w:tblGrid>
      <w:gridCol w:w="1420"/>
      <w:gridCol w:w="1072"/>
      <w:gridCol w:w="3324"/>
      <w:gridCol w:w="1736"/>
      <w:gridCol w:w="761"/>
    </w:tblGrid>
    <w:tr w:rsidR="001220B9" w:rsidRPr="009E2595" w14:paraId="34BE39F1" w14:textId="77777777" w:rsidTr="00FA26AF">
      <w:tc>
        <w:tcPr>
          <w:tcW w:w="854" w:type="pct"/>
          <w:shd w:val="clear" w:color="auto" w:fill="auto"/>
        </w:tcPr>
        <w:p w14:paraId="337026D2" w14:textId="77777777" w:rsidR="001220B9" w:rsidRPr="009E2595" w:rsidRDefault="001220B9" w:rsidP="009C0D79">
          <w:pPr>
            <w:rPr>
              <w:i/>
              <w:sz w:val="16"/>
              <w:szCs w:val="16"/>
            </w:rPr>
          </w:pPr>
        </w:p>
      </w:tc>
      <w:tc>
        <w:tcPr>
          <w:tcW w:w="3688" w:type="pct"/>
          <w:gridSpan w:val="3"/>
          <w:shd w:val="clear" w:color="auto" w:fill="auto"/>
        </w:tcPr>
        <w:p w14:paraId="708E284B" w14:textId="6EF22BCB" w:rsidR="001220B9" w:rsidRPr="009E2595" w:rsidRDefault="001220B9" w:rsidP="009C0D79">
          <w:pPr>
            <w:jc w:val="center"/>
            <w:rPr>
              <w:i/>
              <w:sz w:val="16"/>
              <w:szCs w:val="16"/>
            </w:rPr>
          </w:pPr>
          <w:r w:rsidRPr="009E2595">
            <w:rPr>
              <w:i/>
              <w:sz w:val="16"/>
              <w:szCs w:val="16"/>
            </w:rPr>
            <w:fldChar w:fldCharType="begin"/>
          </w:r>
          <w:r w:rsidRPr="009E2595">
            <w:rPr>
              <w:i/>
              <w:sz w:val="16"/>
              <w:szCs w:val="16"/>
            </w:rPr>
            <w:instrText xml:space="preserve"> STYLEREF "ShortT" </w:instrText>
          </w:r>
          <w:r w:rsidRPr="009E2595">
            <w:rPr>
              <w:i/>
              <w:sz w:val="16"/>
              <w:szCs w:val="16"/>
            </w:rPr>
            <w:fldChar w:fldCharType="separate"/>
          </w:r>
          <w:r w:rsidR="000E6B78">
            <w:rPr>
              <w:i/>
              <w:noProof/>
              <w:sz w:val="16"/>
              <w:szCs w:val="16"/>
            </w:rPr>
            <w:t>Family Law (Superannuation) Regulations 2025</w:t>
          </w:r>
          <w:r w:rsidRPr="009E2595">
            <w:rPr>
              <w:i/>
              <w:sz w:val="16"/>
              <w:szCs w:val="16"/>
            </w:rPr>
            <w:fldChar w:fldCharType="end"/>
          </w:r>
        </w:p>
      </w:tc>
      <w:tc>
        <w:tcPr>
          <w:tcW w:w="458" w:type="pct"/>
          <w:shd w:val="clear" w:color="auto" w:fill="auto"/>
        </w:tcPr>
        <w:p w14:paraId="18ACB591" w14:textId="77777777" w:rsidR="001220B9" w:rsidRPr="009E2595" w:rsidRDefault="001220B9" w:rsidP="009C0D79">
          <w:pPr>
            <w:jc w:val="right"/>
            <w:rPr>
              <w:sz w:val="16"/>
              <w:szCs w:val="16"/>
            </w:rPr>
          </w:pPr>
          <w:r w:rsidRPr="009E2595">
            <w:rPr>
              <w:i/>
              <w:sz w:val="16"/>
              <w:szCs w:val="16"/>
            </w:rPr>
            <w:fldChar w:fldCharType="begin"/>
          </w:r>
          <w:r w:rsidRPr="009E2595">
            <w:rPr>
              <w:i/>
              <w:sz w:val="16"/>
              <w:szCs w:val="16"/>
            </w:rPr>
            <w:instrText xml:space="preserve"> PAGE </w:instrText>
          </w:r>
          <w:r w:rsidRPr="009E2595">
            <w:rPr>
              <w:i/>
              <w:sz w:val="16"/>
              <w:szCs w:val="16"/>
            </w:rPr>
            <w:fldChar w:fldCharType="separate"/>
          </w:r>
          <w:r w:rsidRPr="009E2595">
            <w:rPr>
              <w:i/>
              <w:noProof/>
              <w:sz w:val="16"/>
              <w:szCs w:val="16"/>
            </w:rPr>
            <w:t>159</w:t>
          </w:r>
          <w:r w:rsidRPr="009E2595">
            <w:rPr>
              <w:i/>
              <w:sz w:val="16"/>
              <w:szCs w:val="16"/>
            </w:rPr>
            <w:fldChar w:fldCharType="end"/>
          </w:r>
        </w:p>
      </w:tc>
    </w:tr>
    <w:tr w:rsidR="001220B9" w:rsidRPr="009E2595" w14:paraId="0F6AAF2E" w14:textId="77777777" w:rsidTr="00FA26AF">
      <w:tc>
        <w:tcPr>
          <w:tcW w:w="1499" w:type="pct"/>
          <w:gridSpan w:val="2"/>
          <w:shd w:val="clear" w:color="auto" w:fill="auto"/>
        </w:tcPr>
        <w:p w14:paraId="00C1AA39" w14:textId="43132D11" w:rsidR="001220B9" w:rsidRPr="009E2595" w:rsidRDefault="001220B9" w:rsidP="009C0D79">
          <w:pPr>
            <w:spacing w:before="120"/>
            <w:rPr>
              <w:sz w:val="16"/>
              <w:szCs w:val="16"/>
            </w:rPr>
          </w:pPr>
          <w:r w:rsidRPr="009E2595">
            <w:rPr>
              <w:sz w:val="16"/>
              <w:szCs w:val="16"/>
            </w:rPr>
            <w:t xml:space="preserve">Compilation No. </w:t>
          </w:r>
          <w:r w:rsidRPr="009E2595">
            <w:rPr>
              <w:sz w:val="16"/>
              <w:szCs w:val="16"/>
            </w:rPr>
            <w:fldChar w:fldCharType="begin"/>
          </w:r>
          <w:r w:rsidRPr="009E2595">
            <w:rPr>
              <w:sz w:val="16"/>
              <w:szCs w:val="16"/>
            </w:rPr>
            <w:instrText xml:space="preserve"> DOCPROPERTY  CompilationNumber  * CHARFORMAT </w:instrText>
          </w:r>
          <w:r w:rsidRPr="009E2595">
            <w:rPr>
              <w:sz w:val="16"/>
              <w:szCs w:val="16"/>
            </w:rPr>
            <w:fldChar w:fldCharType="separate"/>
          </w:r>
          <w:r w:rsidR="000E6B78">
            <w:rPr>
              <w:b/>
              <w:bCs/>
              <w:sz w:val="16"/>
              <w:szCs w:val="16"/>
              <w:lang w:val="en-US"/>
            </w:rPr>
            <w:t>Error! Unknown document property name.</w:t>
          </w:r>
          <w:r w:rsidRPr="009E2595">
            <w:rPr>
              <w:sz w:val="16"/>
              <w:szCs w:val="16"/>
            </w:rPr>
            <w:fldChar w:fldCharType="end"/>
          </w:r>
        </w:p>
      </w:tc>
      <w:tc>
        <w:tcPr>
          <w:tcW w:w="1999" w:type="pct"/>
          <w:shd w:val="clear" w:color="auto" w:fill="auto"/>
        </w:tcPr>
        <w:p w14:paraId="20ABEDC1" w14:textId="5036615D" w:rsidR="001220B9" w:rsidRPr="009E2595" w:rsidRDefault="001220B9" w:rsidP="009C0D79">
          <w:pPr>
            <w:spacing w:before="120"/>
            <w:jc w:val="center"/>
            <w:rPr>
              <w:sz w:val="16"/>
              <w:szCs w:val="16"/>
            </w:rPr>
          </w:pPr>
          <w:r w:rsidRPr="009E2595">
            <w:rPr>
              <w:sz w:val="16"/>
              <w:szCs w:val="16"/>
            </w:rPr>
            <w:t xml:space="preserve">Compilation date: </w:t>
          </w:r>
          <w:r w:rsidRPr="009E2595">
            <w:rPr>
              <w:sz w:val="16"/>
              <w:szCs w:val="16"/>
            </w:rPr>
            <w:fldChar w:fldCharType="begin"/>
          </w:r>
          <w:r w:rsidRPr="009E2595">
            <w:rPr>
              <w:sz w:val="16"/>
              <w:szCs w:val="16"/>
            </w:rPr>
            <w:instrText xml:space="preserve"> DOCPROPERTY  StartDate \@ "dd/MM/yyyy"  </w:instrText>
          </w:r>
          <w:r w:rsidRPr="009E2595">
            <w:rPr>
              <w:sz w:val="16"/>
              <w:szCs w:val="16"/>
            </w:rPr>
            <w:fldChar w:fldCharType="separate"/>
          </w:r>
          <w:r w:rsidR="000E6B78">
            <w:rPr>
              <w:b/>
              <w:bCs/>
              <w:sz w:val="16"/>
              <w:szCs w:val="16"/>
              <w:lang w:val="en-US"/>
            </w:rPr>
            <w:t>Error! Unknown document property name.</w:t>
          </w:r>
          <w:r w:rsidRPr="009E2595">
            <w:rPr>
              <w:sz w:val="16"/>
              <w:szCs w:val="16"/>
            </w:rPr>
            <w:fldChar w:fldCharType="end"/>
          </w:r>
        </w:p>
      </w:tc>
      <w:tc>
        <w:tcPr>
          <w:tcW w:w="1502" w:type="pct"/>
          <w:gridSpan w:val="2"/>
          <w:shd w:val="clear" w:color="auto" w:fill="auto"/>
        </w:tcPr>
        <w:p w14:paraId="7ECCBC8F" w14:textId="2E806E3B" w:rsidR="001220B9" w:rsidRPr="009E2595" w:rsidRDefault="001220B9" w:rsidP="009C0D79">
          <w:pPr>
            <w:spacing w:before="120"/>
            <w:jc w:val="right"/>
            <w:rPr>
              <w:sz w:val="16"/>
              <w:szCs w:val="16"/>
            </w:rPr>
          </w:pPr>
          <w:r w:rsidRPr="009E2595">
            <w:rPr>
              <w:sz w:val="16"/>
              <w:szCs w:val="16"/>
            </w:rPr>
            <w:t xml:space="preserve">Registered: </w:t>
          </w:r>
          <w:r w:rsidRPr="009E2595">
            <w:rPr>
              <w:sz w:val="16"/>
              <w:szCs w:val="16"/>
            </w:rPr>
            <w:fldChar w:fldCharType="begin"/>
          </w:r>
          <w:r w:rsidRPr="009E2595">
            <w:rPr>
              <w:sz w:val="16"/>
              <w:szCs w:val="16"/>
            </w:rPr>
            <w:instrText xml:space="preserve"> IF </w:instrText>
          </w:r>
          <w:r w:rsidRPr="009E2595">
            <w:rPr>
              <w:sz w:val="16"/>
              <w:szCs w:val="16"/>
            </w:rPr>
            <w:fldChar w:fldCharType="begin"/>
          </w:r>
          <w:r w:rsidRPr="009E2595">
            <w:rPr>
              <w:sz w:val="16"/>
              <w:szCs w:val="16"/>
            </w:rPr>
            <w:instrText xml:space="preserve"> DOCPROPERTY RegisteredDate </w:instrText>
          </w:r>
          <w:r w:rsidRPr="009E2595">
            <w:rPr>
              <w:sz w:val="16"/>
              <w:szCs w:val="16"/>
            </w:rPr>
            <w:fldChar w:fldCharType="separate"/>
          </w:r>
          <w:r w:rsidR="000E6B78">
            <w:rPr>
              <w:b/>
              <w:bCs/>
              <w:sz w:val="16"/>
              <w:szCs w:val="16"/>
              <w:lang w:val="en-US"/>
            </w:rPr>
            <w:instrText>Error! Unknown document property name.</w:instrText>
          </w:r>
          <w:r w:rsidRPr="009E2595">
            <w:rPr>
              <w:sz w:val="16"/>
              <w:szCs w:val="16"/>
            </w:rPr>
            <w:fldChar w:fldCharType="end"/>
          </w:r>
          <w:r w:rsidRPr="009E2595">
            <w:rPr>
              <w:sz w:val="16"/>
              <w:szCs w:val="16"/>
            </w:rPr>
            <w:instrText xml:space="preserve"> = #1/1/1901# "Unknown" </w:instrText>
          </w:r>
          <w:r w:rsidRPr="009E2595">
            <w:rPr>
              <w:sz w:val="16"/>
              <w:szCs w:val="16"/>
            </w:rPr>
            <w:fldChar w:fldCharType="begin"/>
          </w:r>
          <w:r w:rsidRPr="009E2595">
            <w:rPr>
              <w:sz w:val="16"/>
              <w:szCs w:val="16"/>
            </w:rPr>
            <w:instrText xml:space="preserve"> DOCPROPERTY RegisteredDate \@ "dd/MM/yyyy" </w:instrText>
          </w:r>
          <w:r w:rsidRPr="009E2595">
            <w:rPr>
              <w:sz w:val="16"/>
              <w:szCs w:val="16"/>
            </w:rPr>
            <w:fldChar w:fldCharType="separate"/>
          </w:r>
          <w:r w:rsidR="000E6B78">
            <w:rPr>
              <w:b/>
              <w:bCs/>
              <w:sz w:val="16"/>
              <w:szCs w:val="16"/>
              <w:lang w:val="en-US"/>
            </w:rPr>
            <w:instrText>Error! Unknown document property name.</w:instrText>
          </w:r>
          <w:r w:rsidRPr="009E2595">
            <w:rPr>
              <w:sz w:val="16"/>
              <w:szCs w:val="16"/>
            </w:rPr>
            <w:fldChar w:fldCharType="end"/>
          </w:r>
          <w:r w:rsidRPr="009E2595">
            <w:rPr>
              <w:sz w:val="16"/>
              <w:szCs w:val="16"/>
            </w:rPr>
            <w:instrText xml:space="preserve"> </w:instrText>
          </w:r>
          <w:r w:rsidRPr="009E2595">
            <w:rPr>
              <w:sz w:val="16"/>
              <w:szCs w:val="16"/>
            </w:rPr>
            <w:fldChar w:fldCharType="separate"/>
          </w:r>
          <w:r w:rsidR="000E6B78">
            <w:rPr>
              <w:b/>
              <w:bCs/>
              <w:noProof/>
              <w:sz w:val="16"/>
              <w:szCs w:val="16"/>
              <w:lang w:val="en-US"/>
            </w:rPr>
            <w:t>Error! Unknown document property name.</w:t>
          </w:r>
          <w:r w:rsidRPr="009E2595">
            <w:rPr>
              <w:sz w:val="16"/>
              <w:szCs w:val="16"/>
            </w:rPr>
            <w:fldChar w:fldCharType="end"/>
          </w:r>
        </w:p>
      </w:tc>
    </w:tr>
  </w:tbl>
  <w:p w14:paraId="0ACF1EE7" w14:textId="6EF656C8" w:rsidR="001220B9" w:rsidRPr="00942B24" w:rsidRDefault="00942B24" w:rsidP="00942B24">
    <w:pPr>
      <w:pStyle w:val="Footer"/>
      <w:rPr>
        <w:i/>
        <w:sz w:val="18"/>
      </w:rPr>
    </w:pPr>
    <w:r w:rsidRPr="00942B24">
      <w:rPr>
        <w:i/>
        <w:sz w:val="18"/>
      </w:rPr>
      <w:t>OPC65733 - 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E860" w14:textId="77777777" w:rsidR="001220B9" w:rsidRDefault="001220B9">
    <w:pPr>
      <w:pBdr>
        <w:top w:val="single" w:sz="6" w:space="1" w:color="auto"/>
      </w:pBdr>
      <w:rPr>
        <w:sz w:val="18"/>
      </w:rPr>
    </w:pPr>
  </w:p>
  <w:p w14:paraId="2BFB53CA" w14:textId="7DF7F054" w:rsidR="001220B9" w:rsidRPr="00942B24" w:rsidRDefault="00942B24" w:rsidP="00942B24">
    <w:pPr>
      <w:rPr>
        <w:rFonts w:cs="Times New Roman"/>
        <w:i/>
        <w:sz w:val="18"/>
      </w:rPr>
    </w:pPr>
    <w:r w:rsidRPr="00942B24">
      <w:rPr>
        <w:rFonts w:cs="Times New Roman"/>
        <w:i/>
        <w:sz w:val="18"/>
      </w:rPr>
      <w:t>OPC65733 -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1EC" w14:textId="373159DC" w:rsidR="001220B9" w:rsidRPr="00942B24" w:rsidRDefault="00942B24" w:rsidP="00942B24">
    <w:pPr>
      <w:pStyle w:val="Footer"/>
      <w:tabs>
        <w:tab w:val="clear" w:pos="4153"/>
        <w:tab w:val="clear" w:pos="8306"/>
        <w:tab w:val="center" w:pos="4150"/>
        <w:tab w:val="right" w:pos="8307"/>
      </w:tabs>
      <w:spacing w:before="120"/>
      <w:rPr>
        <w:i/>
        <w:sz w:val="18"/>
      </w:rPr>
    </w:pPr>
    <w:r w:rsidRPr="00942B24">
      <w:rPr>
        <w:i/>
        <w:sz w:val="18"/>
      </w:rPr>
      <w:t>OPC65733 -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2234" w14:textId="77777777" w:rsidR="001220B9" w:rsidRPr="00E33C1C" w:rsidRDefault="001220B9" w:rsidP="009C0D7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1220B9" w14:paraId="4360D765" w14:textId="77777777" w:rsidTr="00FA26AF">
      <w:tc>
        <w:tcPr>
          <w:tcW w:w="418" w:type="pct"/>
          <w:tcBorders>
            <w:top w:val="nil"/>
            <w:left w:val="nil"/>
            <w:bottom w:val="nil"/>
            <w:right w:val="nil"/>
          </w:tcBorders>
        </w:tcPr>
        <w:p w14:paraId="483718BB" w14:textId="77777777" w:rsidR="001220B9" w:rsidRDefault="001220B9" w:rsidP="009C0D7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04BC90E2" w14:textId="68F8835E" w:rsidR="001220B9" w:rsidRDefault="001220B9" w:rsidP="009C0D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817" w:type="pct"/>
          <w:tcBorders>
            <w:top w:val="nil"/>
            <w:left w:val="nil"/>
            <w:bottom w:val="nil"/>
            <w:right w:val="nil"/>
          </w:tcBorders>
        </w:tcPr>
        <w:p w14:paraId="510EE480" w14:textId="77777777" w:rsidR="001220B9" w:rsidRDefault="001220B9" w:rsidP="009C0D79">
          <w:pPr>
            <w:spacing w:line="0" w:lineRule="atLeast"/>
            <w:jc w:val="right"/>
            <w:rPr>
              <w:sz w:val="18"/>
            </w:rPr>
          </w:pPr>
        </w:p>
      </w:tc>
    </w:tr>
  </w:tbl>
  <w:p w14:paraId="293DD3FE" w14:textId="4E228E38" w:rsidR="001220B9" w:rsidRPr="00942B24" w:rsidRDefault="00942B24" w:rsidP="00942B24">
    <w:pPr>
      <w:rPr>
        <w:rFonts w:cs="Times New Roman"/>
        <w:i/>
        <w:sz w:val="18"/>
      </w:rPr>
    </w:pPr>
    <w:r w:rsidRPr="00942B24">
      <w:rPr>
        <w:rFonts w:cs="Times New Roman"/>
        <w:i/>
        <w:sz w:val="18"/>
      </w:rPr>
      <w:t>OPC65733 -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FF9C" w14:textId="77777777" w:rsidR="001220B9" w:rsidRPr="00E33C1C" w:rsidRDefault="001220B9" w:rsidP="009C0D7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1220B9" w14:paraId="6BA49BEE" w14:textId="77777777" w:rsidTr="00423C34">
      <w:tc>
        <w:tcPr>
          <w:tcW w:w="816" w:type="pct"/>
          <w:tcBorders>
            <w:top w:val="nil"/>
            <w:left w:val="nil"/>
            <w:bottom w:val="nil"/>
            <w:right w:val="nil"/>
          </w:tcBorders>
        </w:tcPr>
        <w:p w14:paraId="087502C1" w14:textId="77777777" w:rsidR="001220B9" w:rsidRDefault="001220B9" w:rsidP="009C0D79">
          <w:pPr>
            <w:spacing w:line="0" w:lineRule="atLeast"/>
            <w:rPr>
              <w:sz w:val="18"/>
            </w:rPr>
          </w:pPr>
        </w:p>
      </w:tc>
      <w:tc>
        <w:tcPr>
          <w:tcW w:w="3765" w:type="pct"/>
          <w:tcBorders>
            <w:top w:val="nil"/>
            <w:left w:val="nil"/>
            <w:bottom w:val="nil"/>
            <w:right w:val="nil"/>
          </w:tcBorders>
        </w:tcPr>
        <w:p w14:paraId="0BF75BFD" w14:textId="1653B22D" w:rsidR="001220B9" w:rsidRDefault="001220B9" w:rsidP="009C0D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419" w:type="pct"/>
          <w:tcBorders>
            <w:top w:val="nil"/>
            <w:left w:val="nil"/>
            <w:bottom w:val="nil"/>
            <w:right w:val="nil"/>
          </w:tcBorders>
        </w:tcPr>
        <w:p w14:paraId="2B90C364" w14:textId="77777777" w:rsidR="001220B9" w:rsidRDefault="001220B9" w:rsidP="009C0D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F8F26CD" w14:textId="74A788BB" w:rsidR="001220B9" w:rsidRPr="00942B24" w:rsidRDefault="00942B24" w:rsidP="00942B24">
    <w:pPr>
      <w:rPr>
        <w:rFonts w:cs="Times New Roman"/>
        <w:i/>
        <w:sz w:val="18"/>
      </w:rPr>
    </w:pPr>
    <w:r w:rsidRPr="00942B24">
      <w:rPr>
        <w:rFonts w:cs="Times New Roman"/>
        <w:i/>
        <w:sz w:val="18"/>
      </w:rPr>
      <w:t>OPC65733 -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4AA0" w14:textId="5A3569A4" w:rsidR="001220B9" w:rsidRPr="00942B24" w:rsidRDefault="00942B24" w:rsidP="00942B24">
    <w:pPr>
      <w:pStyle w:val="Footer"/>
      <w:rPr>
        <w:i/>
        <w:sz w:val="18"/>
      </w:rPr>
    </w:pPr>
    <w:r w:rsidRPr="00942B24">
      <w:rPr>
        <w:i/>
        <w:sz w:val="18"/>
      </w:rPr>
      <w:t>OPC65733 -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7F6D" w14:textId="77777777" w:rsidR="001220B9" w:rsidRPr="00E33C1C" w:rsidRDefault="001220B9" w:rsidP="009C0D7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1220B9" w14:paraId="0D9125D6" w14:textId="77777777" w:rsidTr="00FA26AF">
      <w:tc>
        <w:tcPr>
          <w:tcW w:w="418" w:type="pct"/>
          <w:tcBorders>
            <w:top w:val="nil"/>
            <w:left w:val="nil"/>
            <w:bottom w:val="nil"/>
            <w:right w:val="nil"/>
          </w:tcBorders>
        </w:tcPr>
        <w:p w14:paraId="02FA434E" w14:textId="77777777" w:rsidR="001220B9" w:rsidRDefault="001220B9" w:rsidP="009C0D7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55F4BE7B" w14:textId="221A544E" w:rsidR="001220B9" w:rsidRDefault="001220B9" w:rsidP="009C0D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817" w:type="pct"/>
          <w:tcBorders>
            <w:top w:val="nil"/>
            <w:left w:val="nil"/>
            <w:bottom w:val="nil"/>
            <w:right w:val="nil"/>
          </w:tcBorders>
        </w:tcPr>
        <w:p w14:paraId="293C68E7" w14:textId="77777777" w:rsidR="001220B9" w:rsidRDefault="001220B9" w:rsidP="009C0D79">
          <w:pPr>
            <w:spacing w:line="0" w:lineRule="atLeast"/>
            <w:jc w:val="right"/>
            <w:rPr>
              <w:sz w:val="18"/>
            </w:rPr>
          </w:pPr>
        </w:p>
      </w:tc>
    </w:tr>
  </w:tbl>
  <w:p w14:paraId="4394A43B" w14:textId="58BD2455" w:rsidR="001220B9" w:rsidRPr="00942B24" w:rsidRDefault="00942B24" w:rsidP="00942B24">
    <w:pPr>
      <w:rPr>
        <w:rFonts w:cs="Times New Roman"/>
        <w:i/>
        <w:sz w:val="18"/>
      </w:rPr>
    </w:pPr>
    <w:r w:rsidRPr="00942B24">
      <w:rPr>
        <w:rFonts w:cs="Times New Roman"/>
        <w:i/>
        <w:sz w:val="18"/>
      </w:rPr>
      <w:t>OPC65733 -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05FA" w14:textId="77777777" w:rsidR="001220B9" w:rsidRPr="00E33C1C" w:rsidRDefault="001220B9" w:rsidP="009C0D7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1220B9" w14:paraId="55A949E9" w14:textId="77777777" w:rsidTr="00FA26AF">
      <w:tc>
        <w:tcPr>
          <w:tcW w:w="817" w:type="pct"/>
          <w:tcBorders>
            <w:top w:val="nil"/>
            <w:left w:val="nil"/>
            <w:bottom w:val="nil"/>
            <w:right w:val="nil"/>
          </w:tcBorders>
        </w:tcPr>
        <w:p w14:paraId="608E2CBF" w14:textId="77777777" w:rsidR="001220B9" w:rsidRDefault="001220B9" w:rsidP="009C0D79">
          <w:pPr>
            <w:spacing w:line="0" w:lineRule="atLeast"/>
            <w:rPr>
              <w:sz w:val="18"/>
            </w:rPr>
          </w:pPr>
        </w:p>
      </w:tc>
      <w:tc>
        <w:tcPr>
          <w:tcW w:w="3765" w:type="pct"/>
          <w:tcBorders>
            <w:top w:val="nil"/>
            <w:left w:val="nil"/>
            <w:bottom w:val="nil"/>
            <w:right w:val="nil"/>
          </w:tcBorders>
        </w:tcPr>
        <w:p w14:paraId="49578EED" w14:textId="776C4592" w:rsidR="001220B9" w:rsidRDefault="001220B9" w:rsidP="009C0D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418" w:type="pct"/>
          <w:tcBorders>
            <w:top w:val="nil"/>
            <w:left w:val="nil"/>
            <w:bottom w:val="nil"/>
            <w:right w:val="nil"/>
          </w:tcBorders>
        </w:tcPr>
        <w:p w14:paraId="3F12F762" w14:textId="77777777" w:rsidR="001220B9" w:rsidRDefault="001220B9" w:rsidP="009C0D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5D9B89B" w14:textId="1EB6EBCA" w:rsidR="001220B9" w:rsidRPr="00942B24" w:rsidRDefault="00942B24" w:rsidP="00942B24">
    <w:pPr>
      <w:rPr>
        <w:rFonts w:cs="Times New Roman"/>
        <w:i/>
        <w:sz w:val="18"/>
      </w:rPr>
    </w:pPr>
    <w:r w:rsidRPr="00942B24">
      <w:rPr>
        <w:rFonts w:cs="Times New Roman"/>
        <w:i/>
        <w:sz w:val="18"/>
      </w:rPr>
      <w:t>OPC65733 -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D8EE" w14:textId="77777777" w:rsidR="001220B9" w:rsidRPr="00E33C1C" w:rsidRDefault="001220B9" w:rsidP="009C0D7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68"/>
      <w:gridCol w:w="6240"/>
      <w:gridCol w:w="705"/>
    </w:tblGrid>
    <w:tr w:rsidR="001220B9" w14:paraId="3CE5BDC0" w14:textId="77777777" w:rsidTr="00FA26AF">
      <w:tc>
        <w:tcPr>
          <w:tcW w:w="823" w:type="pct"/>
          <w:tcBorders>
            <w:top w:val="nil"/>
            <w:left w:val="nil"/>
            <w:bottom w:val="nil"/>
            <w:right w:val="nil"/>
          </w:tcBorders>
        </w:tcPr>
        <w:p w14:paraId="7A4B189F" w14:textId="77777777" w:rsidR="001220B9" w:rsidRDefault="001220B9" w:rsidP="009C0D79">
          <w:pPr>
            <w:spacing w:line="0" w:lineRule="atLeast"/>
            <w:rPr>
              <w:sz w:val="18"/>
            </w:rPr>
          </w:pPr>
        </w:p>
      </w:tc>
      <w:tc>
        <w:tcPr>
          <w:tcW w:w="3753" w:type="pct"/>
          <w:tcBorders>
            <w:top w:val="nil"/>
            <w:left w:val="nil"/>
            <w:bottom w:val="nil"/>
            <w:right w:val="nil"/>
          </w:tcBorders>
        </w:tcPr>
        <w:p w14:paraId="2DFC76C3" w14:textId="53403914" w:rsidR="001220B9" w:rsidRDefault="001220B9" w:rsidP="009C0D7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6B78">
            <w:rPr>
              <w:i/>
              <w:sz w:val="18"/>
            </w:rPr>
            <w:t>Family Law (Superannuation) Regulations 2025</w:t>
          </w:r>
          <w:r w:rsidRPr="007A1328">
            <w:rPr>
              <w:i/>
              <w:sz w:val="18"/>
            </w:rPr>
            <w:fldChar w:fldCharType="end"/>
          </w:r>
        </w:p>
      </w:tc>
      <w:tc>
        <w:tcPr>
          <w:tcW w:w="424" w:type="pct"/>
          <w:tcBorders>
            <w:top w:val="nil"/>
            <w:left w:val="nil"/>
            <w:bottom w:val="nil"/>
            <w:right w:val="nil"/>
          </w:tcBorders>
        </w:tcPr>
        <w:p w14:paraId="4964D900" w14:textId="77777777" w:rsidR="001220B9" w:rsidRDefault="001220B9" w:rsidP="009C0D7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6C8F627" w14:textId="6A805802" w:rsidR="001220B9" w:rsidRPr="00942B24" w:rsidRDefault="00942B24" w:rsidP="00942B24">
    <w:pPr>
      <w:rPr>
        <w:rFonts w:cs="Times New Roman"/>
        <w:i/>
        <w:sz w:val="18"/>
      </w:rPr>
    </w:pPr>
    <w:r w:rsidRPr="00942B24">
      <w:rPr>
        <w:rFonts w:cs="Times New Roman"/>
        <w:i/>
        <w:sz w:val="18"/>
      </w:rPr>
      <w:t>OPC65733 -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C25B1" w14:textId="77777777" w:rsidR="004544DD" w:rsidRDefault="004544DD" w:rsidP="00715914">
      <w:pPr>
        <w:spacing w:line="240" w:lineRule="auto"/>
      </w:pPr>
      <w:r>
        <w:separator/>
      </w:r>
    </w:p>
  </w:footnote>
  <w:footnote w:type="continuationSeparator" w:id="0">
    <w:p w14:paraId="096F26CD" w14:textId="77777777" w:rsidR="004544DD" w:rsidRDefault="004544D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A86C" w14:textId="390BC8F2" w:rsidR="001220B9" w:rsidRPr="005F1388" w:rsidRDefault="001220B9" w:rsidP="009C0D79">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B86F" w14:textId="72C92ADD" w:rsidR="001220B9" w:rsidRDefault="001220B9" w:rsidP="00F803F3">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E6B7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E6B78">
      <w:rPr>
        <w:noProof/>
        <w:sz w:val="20"/>
      </w:rPr>
      <w:t>Forms</w:t>
    </w:r>
    <w:r>
      <w:rPr>
        <w:sz w:val="20"/>
      </w:rPr>
      <w:fldChar w:fldCharType="end"/>
    </w:r>
  </w:p>
  <w:p w14:paraId="132429FB" w14:textId="7B10F883" w:rsidR="001220B9" w:rsidRDefault="001220B9" w:rsidP="00F803F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E6B78">
      <w:rPr>
        <w:b/>
        <w:noProof/>
        <w:sz w:val="20"/>
      </w:rPr>
      <w:t>Form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E6B78">
      <w:rPr>
        <w:noProof/>
        <w:sz w:val="20"/>
      </w:rPr>
      <w:t>Waiver notice in respect of payment split</w:t>
    </w:r>
    <w:r>
      <w:rPr>
        <w:sz w:val="20"/>
      </w:rPr>
      <w:fldChar w:fldCharType="end"/>
    </w:r>
  </w:p>
  <w:p w14:paraId="6D6B49BD" w14:textId="7C304CF3" w:rsidR="001220B9" w:rsidRPr="007A1328" w:rsidRDefault="001220B9" w:rsidP="00F803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F8C368" w14:textId="77777777" w:rsidR="001220B9" w:rsidRPr="007A1328" w:rsidRDefault="001220B9" w:rsidP="00F803F3">
    <w:pPr>
      <w:rPr>
        <w:b/>
        <w:sz w:val="24"/>
      </w:rPr>
    </w:pPr>
  </w:p>
  <w:p w14:paraId="2D6D4E6A" w14:textId="77777777" w:rsidR="001220B9" w:rsidRPr="007A1328" w:rsidRDefault="001220B9" w:rsidP="00F803F3">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6758" w14:textId="5B5C493B" w:rsidR="001220B9" w:rsidRPr="007A1328" w:rsidRDefault="001220B9" w:rsidP="00F803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E6B78">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E6B78">
      <w:rPr>
        <w:b/>
        <w:noProof/>
        <w:sz w:val="20"/>
      </w:rPr>
      <w:t>Schedule 1</w:t>
    </w:r>
    <w:r>
      <w:rPr>
        <w:b/>
        <w:sz w:val="20"/>
      </w:rPr>
      <w:fldChar w:fldCharType="end"/>
    </w:r>
  </w:p>
  <w:p w14:paraId="188969CC" w14:textId="6740AA24" w:rsidR="001220B9" w:rsidRPr="007A1328" w:rsidRDefault="001220B9" w:rsidP="00F803F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E6B78">
      <w:rPr>
        <w:noProof/>
        <w:sz w:val="20"/>
      </w:rPr>
      <w:t>Declaration to accompany application to trustee for information about a superannuation interest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E6B78">
      <w:rPr>
        <w:b/>
        <w:noProof/>
        <w:sz w:val="20"/>
      </w:rPr>
      <w:t>Form 6</w:t>
    </w:r>
    <w:r>
      <w:rPr>
        <w:b/>
        <w:sz w:val="20"/>
      </w:rPr>
      <w:fldChar w:fldCharType="end"/>
    </w:r>
  </w:p>
  <w:p w14:paraId="6AAC6DE1" w14:textId="3DEBDF49" w:rsidR="001220B9" w:rsidRPr="007A1328" w:rsidRDefault="001220B9" w:rsidP="00F803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004879" w14:textId="77777777" w:rsidR="001220B9" w:rsidRPr="007A1328" w:rsidRDefault="001220B9" w:rsidP="00F803F3">
    <w:pPr>
      <w:jc w:val="right"/>
      <w:rPr>
        <w:b/>
        <w:sz w:val="24"/>
      </w:rPr>
    </w:pPr>
  </w:p>
  <w:p w14:paraId="49E92DD6" w14:textId="77777777" w:rsidR="001220B9" w:rsidRPr="007A1328" w:rsidRDefault="001220B9" w:rsidP="00F803F3">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AC5D" w14:textId="590E45A4" w:rsidR="001220B9" w:rsidRPr="007A1328" w:rsidRDefault="001220B9" w:rsidP="00F803F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7C2B" w14:textId="219037EB" w:rsidR="001220B9" w:rsidRDefault="001220B9" w:rsidP="0093537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E6B78">
      <w:rPr>
        <w:b/>
        <w:noProof/>
        <w:sz w:val="20"/>
      </w:rPr>
      <w:t>Schedule 11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E6B78">
      <w:rPr>
        <w:noProof/>
        <w:sz w:val="20"/>
      </w:rPr>
      <w:t>Method for determining transition factor for calculating the amount to be paid to the non-member spouse</w:t>
    </w:r>
    <w:r>
      <w:rPr>
        <w:sz w:val="20"/>
      </w:rPr>
      <w:fldChar w:fldCharType="end"/>
    </w:r>
  </w:p>
  <w:p w14:paraId="706453DC" w14:textId="7BA7824E" w:rsidR="001220B9" w:rsidRDefault="001220B9" w:rsidP="0093537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3F221BF" w14:textId="4CAA208E" w:rsidR="001220B9" w:rsidRPr="007A1328" w:rsidRDefault="001220B9" w:rsidP="0093537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B057BED" w14:textId="77777777" w:rsidR="001220B9" w:rsidRPr="007A1328" w:rsidRDefault="001220B9" w:rsidP="00E7412A">
    <w:pPr>
      <w:rPr>
        <w:b/>
        <w:sz w:val="24"/>
      </w:rPr>
    </w:pPr>
  </w:p>
  <w:p w14:paraId="6C6FD6E9" w14:textId="33E115A8" w:rsidR="001220B9" w:rsidRPr="007A1328" w:rsidRDefault="001220B9" w:rsidP="00EB112C">
    <w:pPr>
      <w:pBdr>
        <w:bottom w:val="single" w:sz="6" w:space="1" w:color="auto"/>
      </w:pBdr>
      <w:spacing w:after="120"/>
      <w:rPr>
        <w:sz w:val="24"/>
      </w:rPr>
    </w:pPr>
    <w:r>
      <w:rPr>
        <w:sz w:val="24"/>
      </w:rPr>
      <w:fldChar w:fldCharType="begin"/>
    </w:r>
    <w:r>
      <w:rPr>
        <w:sz w:val="24"/>
      </w:rPr>
      <w:instrText xml:space="preserve"> DOCPROPERTY  HeaderSch </w:instrText>
    </w:r>
    <w:r>
      <w:rPr>
        <w:sz w:val="24"/>
      </w:rPr>
      <w:fldChar w:fldCharType="separate"/>
    </w:r>
    <w:r w:rsidR="000E6B78">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E6B78">
      <w:rPr>
        <w:noProof/>
        <w:sz w:val="24"/>
      </w:rPr>
      <w:t>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AA37" w14:textId="3672283A" w:rsidR="001220B9" w:rsidRPr="007A1328" w:rsidRDefault="001220B9" w:rsidP="0093537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E6B78">
      <w:rPr>
        <w:noProof/>
        <w:sz w:val="20"/>
      </w:rPr>
      <w:t>Method for determining transition factor for calculating the amount to be paid to the non-member spouse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E6B78">
      <w:rPr>
        <w:b/>
        <w:noProof/>
        <w:sz w:val="20"/>
      </w:rPr>
      <w:t>Schedule 11</w:t>
    </w:r>
    <w:r>
      <w:rPr>
        <w:b/>
        <w:sz w:val="20"/>
      </w:rPr>
      <w:fldChar w:fldCharType="end"/>
    </w:r>
  </w:p>
  <w:p w14:paraId="1E5DF9F7" w14:textId="5C6BC15E" w:rsidR="001220B9" w:rsidRPr="007A1328" w:rsidRDefault="001220B9" w:rsidP="0093537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64B477C" w14:textId="25745E1C" w:rsidR="001220B9" w:rsidRPr="007A1328" w:rsidRDefault="001220B9" w:rsidP="0093537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020FD9" w14:textId="77777777" w:rsidR="001220B9" w:rsidRPr="007A1328" w:rsidRDefault="001220B9" w:rsidP="00E7412A">
    <w:pPr>
      <w:jc w:val="right"/>
      <w:rPr>
        <w:b/>
        <w:sz w:val="24"/>
      </w:rPr>
    </w:pPr>
  </w:p>
  <w:p w14:paraId="2726F3B1" w14:textId="6AB95B0C" w:rsidR="001220B9" w:rsidRPr="007A1328" w:rsidRDefault="001220B9" w:rsidP="00EB112C">
    <w:pPr>
      <w:pBdr>
        <w:bottom w:val="single" w:sz="6" w:space="1" w:color="auto"/>
      </w:pBdr>
      <w:spacing w:after="120"/>
      <w:jc w:val="right"/>
      <w:rPr>
        <w:sz w:val="24"/>
      </w:rPr>
    </w:pPr>
    <w:r>
      <w:rPr>
        <w:sz w:val="24"/>
      </w:rPr>
      <w:fldChar w:fldCharType="begin"/>
    </w:r>
    <w:r>
      <w:rPr>
        <w:sz w:val="24"/>
      </w:rPr>
      <w:instrText xml:space="preserve"> DOCPROPERTY  HeaderSch </w:instrText>
    </w:r>
    <w:r>
      <w:rPr>
        <w:sz w:val="24"/>
      </w:rPr>
      <w:fldChar w:fldCharType="separate"/>
    </w:r>
    <w:r w:rsidR="000E6B78">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E6B78">
      <w:rPr>
        <w:noProof/>
        <w:sz w:val="24"/>
      </w:rPr>
      <w:t>5</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7631" w14:textId="005E9178" w:rsidR="001220B9" w:rsidRPr="007A1328" w:rsidRDefault="001220B9" w:rsidP="0093537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CE6B" w14:textId="0D3548A2" w:rsidR="001220B9" w:rsidRDefault="001220B9" w:rsidP="0093537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E6B78">
      <w:rPr>
        <w:b/>
        <w:noProof/>
        <w:sz w:val="20"/>
      </w:rPr>
      <w:t>Schedule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E6B78">
      <w:rPr>
        <w:noProof/>
        <w:sz w:val="20"/>
      </w:rPr>
      <w:t>Modifications of Division 2 of Part 7</w:t>
    </w:r>
    <w:r>
      <w:rPr>
        <w:sz w:val="20"/>
      </w:rPr>
      <w:fldChar w:fldCharType="end"/>
    </w:r>
  </w:p>
  <w:p w14:paraId="45559BA3" w14:textId="160CC40E" w:rsidR="001220B9" w:rsidRDefault="001220B9" w:rsidP="0093537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040A1F9" w14:textId="3303494E" w:rsidR="001220B9" w:rsidRPr="007A1328" w:rsidRDefault="001220B9" w:rsidP="0093537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A927432" w14:textId="77777777" w:rsidR="001220B9" w:rsidRPr="007A1328" w:rsidRDefault="001220B9" w:rsidP="0093537F">
    <w:pPr>
      <w:rPr>
        <w:b/>
        <w:sz w:val="24"/>
      </w:rPr>
    </w:pPr>
  </w:p>
  <w:p w14:paraId="6F80787B" w14:textId="77777777" w:rsidR="001220B9" w:rsidRPr="007A1328" w:rsidRDefault="001220B9" w:rsidP="0093537F">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1D0C" w14:textId="1D9F3CBB" w:rsidR="001220B9" w:rsidRPr="007A1328" w:rsidRDefault="001220B9" w:rsidP="0093537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E6B78">
      <w:rPr>
        <w:noProof/>
        <w:sz w:val="20"/>
      </w:rPr>
      <w:t>Modifications of Division 2 of Part 7</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E6B78">
      <w:rPr>
        <w:b/>
        <w:noProof/>
        <w:sz w:val="20"/>
      </w:rPr>
      <w:t>Schedule 12</w:t>
    </w:r>
    <w:r>
      <w:rPr>
        <w:b/>
        <w:sz w:val="20"/>
      </w:rPr>
      <w:fldChar w:fldCharType="end"/>
    </w:r>
  </w:p>
  <w:p w14:paraId="3F3300F8" w14:textId="3666DAC3" w:rsidR="001220B9" w:rsidRPr="007A1328" w:rsidRDefault="001220B9" w:rsidP="0093537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2B8F8FF" w14:textId="1F09D809" w:rsidR="001220B9" w:rsidRPr="007A1328" w:rsidRDefault="001220B9" w:rsidP="0093537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D350C61" w14:textId="77777777" w:rsidR="001220B9" w:rsidRPr="007A1328" w:rsidRDefault="001220B9" w:rsidP="0093537F">
    <w:pPr>
      <w:jc w:val="right"/>
      <w:rPr>
        <w:b/>
        <w:sz w:val="24"/>
      </w:rPr>
    </w:pPr>
  </w:p>
  <w:p w14:paraId="6728B27D" w14:textId="77777777" w:rsidR="001220B9" w:rsidRPr="007A1328" w:rsidRDefault="001220B9" w:rsidP="0093537F">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6BB5" w14:textId="4278D755" w:rsidR="001220B9" w:rsidRPr="007A1328" w:rsidRDefault="001220B9" w:rsidP="0093537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DEE3" w14:textId="54EA34EF" w:rsidR="001220B9" w:rsidRDefault="001220B9">
    <w:pPr>
      <w:rPr>
        <w:sz w:val="20"/>
      </w:rPr>
    </w:pPr>
    <w:r>
      <w:rPr>
        <w:b/>
        <w:sz w:val="20"/>
      </w:rPr>
      <w:fldChar w:fldCharType="begin"/>
    </w:r>
    <w:r>
      <w:rPr>
        <w:b/>
        <w:sz w:val="20"/>
      </w:rPr>
      <w:instrText xml:space="preserve"> STYLEREF CharChapNo </w:instrText>
    </w:r>
    <w:r>
      <w:rPr>
        <w:b/>
        <w:sz w:val="20"/>
      </w:rPr>
      <w:fldChar w:fldCharType="separate"/>
    </w:r>
    <w:r w:rsidR="000E6B78">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E6B78">
      <w:rPr>
        <w:noProof/>
        <w:sz w:val="20"/>
      </w:rPr>
      <w:t>Modifications of Division 2 of Part 7</w:t>
    </w:r>
    <w:r>
      <w:rPr>
        <w:sz w:val="20"/>
      </w:rPr>
      <w:fldChar w:fldCharType="end"/>
    </w:r>
  </w:p>
  <w:p w14:paraId="338874B8" w14:textId="561F1838" w:rsidR="001220B9" w:rsidRDefault="001220B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4F290E9" w14:textId="77777777" w:rsidR="001220B9" w:rsidRDefault="001220B9" w:rsidP="009C0D79">
    <w:pPr>
      <w:pBdr>
        <w:bottom w:val="single" w:sz="6" w:space="1" w:color="auto"/>
      </w:pBd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EC71" w14:textId="18C1E209" w:rsidR="001220B9" w:rsidRPr="005F1388" w:rsidRDefault="001220B9" w:rsidP="009C0D79">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96F4" w14:textId="6E4153E6" w:rsidR="001220B9" w:rsidRPr="008A2C51" w:rsidRDefault="001220B9">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E6B78">
      <w:rPr>
        <w:noProof/>
        <w:sz w:val="20"/>
      </w:rPr>
      <w:t>Modifications of Division 2 of Part 7</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E6B78">
      <w:rPr>
        <w:b/>
        <w:noProof/>
        <w:sz w:val="20"/>
      </w:rPr>
      <w:t>Schedule 12</w:t>
    </w:r>
    <w:r w:rsidRPr="008A2C51">
      <w:rPr>
        <w:b/>
        <w:sz w:val="20"/>
      </w:rPr>
      <w:fldChar w:fldCharType="end"/>
    </w:r>
  </w:p>
  <w:p w14:paraId="3E14B7A0" w14:textId="2621BD5D" w:rsidR="001220B9" w:rsidRPr="008A2C51" w:rsidRDefault="001220B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3BD55CAD" w14:textId="77777777" w:rsidR="001220B9" w:rsidRPr="008A2C51" w:rsidRDefault="001220B9" w:rsidP="009C0D79">
    <w:pPr>
      <w:pBdr>
        <w:bottom w:val="single" w:sz="6" w:space="1" w:color="auto"/>
      </w:pBdr>
      <w:spacing w:after="24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0F7E" w14:textId="1F7D23C1" w:rsidR="001220B9" w:rsidRDefault="001220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785D" w14:textId="6109338E" w:rsidR="001220B9" w:rsidRPr="005F1388" w:rsidRDefault="001220B9" w:rsidP="009C0D7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833F" w14:textId="70AD27A5" w:rsidR="001220B9" w:rsidRPr="000B5E62" w:rsidRDefault="001220B9" w:rsidP="009C0D7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799F" w14:textId="23AC760B" w:rsidR="001220B9" w:rsidRPr="000B5E62" w:rsidRDefault="001220B9" w:rsidP="009C0D7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BD56" w14:textId="2A393B85" w:rsidR="001220B9" w:rsidRPr="000B5E62" w:rsidRDefault="001220B9" w:rsidP="009C0D79">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B554" w14:textId="06161A59" w:rsidR="001220B9" w:rsidRDefault="001220B9" w:rsidP="009C0D7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F42B10" w14:textId="33CDFFE1" w:rsidR="001220B9" w:rsidRDefault="001220B9" w:rsidP="009C0D7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F222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F222C">
      <w:rPr>
        <w:noProof/>
        <w:sz w:val="20"/>
      </w:rPr>
      <w:t>Preliminary</w:t>
    </w:r>
    <w:r>
      <w:rPr>
        <w:sz w:val="20"/>
      </w:rPr>
      <w:fldChar w:fldCharType="end"/>
    </w:r>
  </w:p>
  <w:p w14:paraId="1724CC99" w14:textId="1AA4AC51" w:rsidR="001220B9" w:rsidRPr="007A1328" w:rsidRDefault="001220B9" w:rsidP="009C0D7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C9BD81" w14:textId="77777777" w:rsidR="001220B9" w:rsidRPr="007A1328" w:rsidRDefault="001220B9" w:rsidP="009C0D79">
    <w:pPr>
      <w:rPr>
        <w:b/>
        <w:sz w:val="24"/>
      </w:rPr>
    </w:pPr>
  </w:p>
  <w:p w14:paraId="4B77F958" w14:textId="779BDE6E" w:rsidR="001220B9" w:rsidRPr="007A1328" w:rsidRDefault="001220B9" w:rsidP="009C0D7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E6B7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F222C">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861B" w14:textId="3756216A" w:rsidR="001220B9" w:rsidRPr="007A1328" w:rsidRDefault="001220B9" w:rsidP="009C0D7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23DBD28" w14:textId="7127D776" w:rsidR="001220B9" w:rsidRPr="007A1328" w:rsidRDefault="001220B9" w:rsidP="009C0D79">
    <w:pPr>
      <w:jc w:val="right"/>
      <w:rPr>
        <w:sz w:val="20"/>
      </w:rPr>
    </w:pPr>
    <w:r w:rsidRPr="007A1328">
      <w:rPr>
        <w:sz w:val="20"/>
      </w:rPr>
      <w:fldChar w:fldCharType="begin"/>
    </w:r>
    <w:r w:rsidRPr="007A1328">
      <w:rPr>
        <w:sz w:val="20"/>
      </w:rPr>
      <w:instrText xml:space="preserve"> STYLEREF CharPartText </w:instrText>
    </w:r>
    <w:r w:rsidR="00AC4090">
      <w:rPr>
        <w:sz w:val="20"/>
      </w:rPr>
      <w:fldChar w:fldCharType="separate"/>
    </w:r>
    <w:r w:rsidR="00FF222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C4090">
      <w:rPr>
        <w:b/>
        <w:sz w:val="20"/>
      </w:rPr>
      <w:fldChar w:fldCharType="separate"/>
    </w:r>
    <w:r w:rsidR="00FF222C">
      <w:rPr>
        <w:b/>
        <w:noProof/>
        <w:sz w:val="20"/>
      </w:rPr>
      <w:t>Part 1</w:t>
    </w:r>
    <w:r>
      <w:rPr>
        <w:b/>
        <w:sz w:val="20"/>
      </w:rPr>
      <w:fldChar w:fldCharType="end"/>
    </w:r>
  </w:p>
  <w:p w14:paraId="458E9168" w14:textId="697834B5" w:rsidR="001220B9" w:rsidRPr="007A1328" w:rsidRDefault="001220B9" w:rsidP="009C0D7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96D0F96" w14:textId="77777777" w:rsidR="001220B9" w:rsidRPr="007A1328" w:rsidRDefault="001220B9" w:rsidP="009C0D79">
    <w:pPr>
      <w:jc w:val="right"/>
      <w:rPr>
        <w:b/>
        <w:sz w:val="24"/>
      </w:rPr>
    </w:pPr>
  </w:p>
  <w:p w14:paraId="37FBA7F0" w14:textId="42FEEF66" w:rsidR="001220B9" w:rsidRPr="007A1328" w:rsidRDefault="001220B9" w:rsidP="009C0D7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E6B7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F222C">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61CA" w14:textId="6859CC0F" w:rsidR="001220B9" w:rsidRPr="007A1328" w:rsidRDefault="001220B9" w:rsidP="009C0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BD0FEB"/>
    <w:multiLevelType w:val="hybridMultilevel"/>
    <w:tmpl w:val="452CFAB8"/>
    <w:lvl w:ilvl="0" w:tplc="8A64993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ED2C2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5C218E"/>
    <w:multiLevelType w:val="hybridMultilevel"/>
    <w:tmpl w:val="B240EDE6"/>
    <w:lvl w:ilvl="0" w:tplc="8CBC6C5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223B59"/>
    <w:multiLevelType w:val="hybridMultilevel"/>
    <w:tmpl w:val="28B8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43A1FC5"/>
    <w:multiLevelType w:val="hybridMultilevel"/>
    <w:tmpl w:val="11043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07715"/>
    <w:multiLevelType w:val="hybridMultilevel"/>
    <w:tmpl w:val="18001C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C90980"/>
    <w:multiLevelType w:val="hybridMultilevel"/>
    <w:tmpl w:val="46A8187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3"/>
  </w:num>
  <w:num w:numId="14">
    <w:abstractNumId w:val="17"/>
  </w:num>
  <w:num w:numId="15">
    <w:abstractNumId w:val="15"/>
  </w:num>
  <w:num w:numId="16">
    <w:abstractNumId w:val="11"/>
  </w:num>
  <w:num w:numId="17">
    <w:abstractNumId w:val="23"/>
  </w:num>
  <w:num w:numId="18">
    <w:abstractNumId w:val="22"/>
  </w:num>
  <w:num w:numId="19">
    <w:abstractNumId w:val="21"/>
  </w:num>
  <w:num w:numId="20">
    <w:abstractNumId w:val="20"/>
  </w:num>
  <w:num w:numId="21">
    <w:abstractNumId w:val="27"/>
  </w:num>
  <w:num w:numId="22">
    <w:abstractNumId w:val="28"/>
  </w:num>
  <w:num w:numId="23">
    <w:abstractNumId w:val="16"/>
  </w:num>
  <w:num w:numId="24">
    <w:abstractNumId w:val="10"/>
  </w:num>
  <w:num w:numId="25">
    <w:abstractNumId w:val="25"/>
  </w:num>
  <w:num w:numId="26">
    <w:abstractNumId w:val="18"/>
  </w:num>
  <w:num w:numId="27">
    <w:abstractNumId w:val="29"/>
  </w:num>
  <w:num w:numId="28">
    <w:abstractNumId w:val="24"/>
  </w:num>
  <w:num w:numId="29">
    <w:abstractNumId w:val="26"/>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6B"/>
    <w:rsid w:val="0000262F"/>
    <w:rsid w:val="00002893"/>
    <w:rsid w:val="000040A8"/>
    <w:rsid w:val="00004470"/>
    <w:rsid w:val="00004995"/>
    <w:rsid w:val="00004B7C"/>
    <w:rsid w:val="00005441"/>
    <w:rsid w:val="00005701"/>
    <w:rsid w:val="00005D01"/>
    <w:rsid w:val="00006719"/>
    <w:rsid w:val="00007600"/>
    <w:rsid w:val="0001009F"/>
    <w:rsid w:val="000108E3"/>
    <w:rsid w:val="00010926"/>
    <w:rsid w:val="000113FD"/>
    <w:rsid w:val="00012DEF"/>
    <w:rsid w:val="00012DF7"/>
    <w:rsid w:val="00013073"/>
    <w:rsid w:val="000136AF"/>
    <w:rsid w:val="00013BC0"/>
    <w:rsid w:val="000142D1"/>
    <w:rsid w:val="0001540F"/>
    <w:rsid w:val="00015CD9"/>
    <w:rsid w:val="00015E85"/>
    <w:rsid w:val="000162C7"/>
    <w:rsid w:val="0001701F"/>
    <w:rsid w:val="0001718E"/>
    <w:rsid w:val="0001731E"/>
    <w:rsid w:val="0001794D"/>
    <w:rsid w:val="00017AB4"/>
    <w:rsid w:val="0002037F"/>
    <w:rsid w:val="000216A1"/>
    <w:rsid w:val="00025369"/>
    <w:rsid w:val="000262F7"/>
    <w:rsid w:val="00026AF7"/>
    <w:rsid w:val="00027342"/>
    <w:rsid w:val="000318C4"/>
    <w:rsid w:val="00032904"/>
    <w:rsid w:val="00033004"/>
    <w:rsid w:val="000334CF"/>
    <w:rsid w:val="0003444B"/>
    <w:rsid w:val="00034F05"/>
    <w:rsid w:val="000356D6"/>
    <w:rsid w:val="000358E9"/>
    <w:rsid w:val="00036354"/>
    <w:rsid w:val="00036AEA"/>
    <w:rsid w:val="000376F0"/>
    <w:rsid w:val="00041BB6"/>
    <w:rsid w:val="000437C1"/>
    <w:rsid w:val="00044030"/>
    <w:rsid w:val="00044181"/>
    <w:rsid w:val="00046454"/>
    <w:rsid w:val="00047739"/>
    <w:rsid w:val="000509E7"/>
    <w:rsid w:val="00050B3C"/>
    <w:rsid w:val="0005117F"/>
    <w:rsid w:val="000527FC"/>
    <w:rsid w:val="0005365D"/>
    <w:rsid w:val="00054CC4"/>
    <w:rsid w:val="00055CFA"/>
    <w:rsid w:val="000564E0"/>
    <w:rsid w:val="00056B91"/>
    <w:rsid w:val="00056DEF"/>
    <w:rsid w:val="00057086"/>
    <w:rsid w:val="00057160"/>
    <w:rsid w:val="00060CC6"/>
    <w:rsid w:val="000614BF"/>
    <w:rsid w:val="00061821"/>
    <w:rsid w:val="00061AE4"/>
    <w:rsid w:val="000624AA"/>
    <w:rsid w:val="0006268C"/>
    <w:rsid w:val="00063033"/>
    <w:rsid w:val="00064663"/>
    <w:rsid w:val="00065B32"/>
    <w:rsid w:val="000660BF"/>
    <w:rsid w:val="000666FF"/>
    <w:rsid w:val="00066A37"/>
    <w:rsid w:val="00067292"/>
    <w:rsid w:val="00067E22"/>
    <w:rsid w:val="00070508"/>
    <w:rsid w:val="00070E6A"/>
    <w:rsid w:val="000718EB"/>
    <w:rsid w:val="00071A9F"/>
    <w:rsid w:val="0007416A"/>
    <w:rsid w:val="00074713"/>
    <w:rsid w:val="00075919"/>
    <w:rsid w:val="0007657A"/>
    <w:rsid w:val="000765E9"/>
    <w:rsid w:val="000778E6"/>
    <w:rsid w:val="00080092"/>
    <w:rsid w:val="0008080D"/>
    <w:rsid w:val="00080DC7"/>
    <w:rsid w:val="00084195"/>
    <w:rsid w:val="000854FF"/>
    <w:rsid w:val="00090DC6"/>
    <w:rsid w:val="00091009"/>
    <w:rsid w:val="0009140D"/>
    <w:rsid w:val="00092E65"/>
    <w:rsid w:val="00093F68"/>
    <w:rsid w:val="0009593A"/>
    <w:rsid w:val="000A0EB6"/>
    <w:rsid w:val="000A1EB6"/>
    <w:rsid w:val="000A2E89"/>
    <w:rsid w:val="000A3118"/>
    <w:rsid w:val="000A4480"/>
    <w:rsid w:val="000A4BD5"/>
    <w:rsid w:val="000A5B99"/>
    <w:rsid w:val="000A64BE"/>
    <w:rsid w:val="000A6968"/>
    <w:rsid w:val="000A7855"/>
    <w:rsid w:val="000B02DA"/>
    <w:rsid w:val="000B33A2"/>
    <w:rsid w:val="000B3629"/>
    <w:rsid w:val="000B4255"/>
    <w:rsid w:val="000B4605"/>
    <w:rsid w:val="000B55E3"/>
    <w:rsid w:val="000B58FA"/>
    <w:rsid w:val="000B7267"/>
    <w:rsid w:val="000B7E30"/>
    <w:rsid w:val="000B7EC7"/>
    <w:rsid w:val="000C02CB"/>
    <w:rsid w:val="000C02E4"/>
    <w:rsid w:val="000C04F4"/>
    <w:rsid w:val="000C0C3E"/>
    <w:rsid w:val="000C41D8"/>
    <w:rsid w:val="000C42D4"/>
    <w:rsid w:val="000C4B05"/>
    <w:rsid w:val="000C6133"/>
    <w:rsid w:val="000C66AF"/>
    <w:rsid w:val="000C7981"/>
    <w:rsid w:val="000C7E52"/>
    <w:rsid w:val="000D0382"/>
    <w:rsid w:val="000D05EF"/>
    <w:rsid w:val="000D09F0"/>
    <w:rsid w:val="000D10CB"/>
    <w:rsid w:val="000D2520"/>
    <w:rsid w:val="000D2C77"/>
    <w:rsid w:val="000D2CBD"/>
    <w:rsid w:val="000D495E"/>
    <w:rsid w:val="000D51C8"/>
    <w:rsid w:val="000D527E"/>
    <w:rsid w:val="000D5656"/>
    <w:rsid w:val="000D6EA0"/>
    <w:rsid w:val="000E0002"/>
    <w:rsid w:val="000E212C"/>
    <w:rsid w:val="000E2261"/>
    <w:rsid w:val="000E3220"/>
    <w:rsid w:val="000E4837"/>
    <w:rsid w:val="000E5239"/>
    <w:rsid w:val="000E612A"/>
    <w:rsid w:val="000E6B78"/>
    <w:rsid w:val="000E7397"/>
    <w:rsid w:val="000E7979"/>
    <w:rsid w:val="000F21C1"/>
    <w:rsid w:val="000F2987"/>
    <w:rsid w:val="000F2A09"/>
    <w:rsid w:val="000F2C90"/>
    <w:rsid w:val="000F3381"/>
    <w:rsid w:val="000F34A5"/>
    <w:rsid w:val="000F3804"/>
    <w:rsid w:val="000F3E57"/>
    <w:rsid w:val="000F498C"/>
    <w:rsid w:val="000F4E86"/>
    <w:rsid w:val="000F6BC3"/>
    <w:rsid w:val="000F7C89"/>
    <w:rsid w:val="00100032"/>
    <w:rsid w:val="001004CA"/>
    <w:rsid w:val="00100BC5"/>
    <w:rsid w:val="00101177"/>
    <w:rsid w:val="00101653"/>
    <w:rsid w:val="0010246C"/>
    <w:rsid w:val="0010262E"/>
    <w:rsid w:val="00103746"/>
    <w:rsid w:val="00104E45"/>
    <w:rsid w:val="00106121"/>
    <w:rsid w:val="00106243"/>
    <w:rsid w:val="0010627B"/>
    <w:rsid w:val="001064DD"/>
    <w:rsid w:val="0010709F"/>
    <w:rsid w:val="0010745C"/>
    <w:rsid w:val="001105A3"/>
    <w:rsid w:val="00110694"/>
    <w:rsid w:val="00110F32"/>
    <w:rsid w:val="001113FA"/>
    <w:rsid w:val="0011397F"/>
    <w:rsid w:val="00113B50"/>
    <w:rsid w:val="001145F0"/>
    <w:rsid w:val="00114E6D"/>
    <w:rsid w:val="00116219"/>
    <w:rsid w:val="00116BFD"/>
    <w:rsid w:val="0011702B"/>
    <w:rsid w:val="001220B9"/>
    <w:rsid w:val="00122992"/>
    <w:rsid w:val="001235C4"/>
    <w:rsid w:val="00124F77"/>
    <w:rsid w:val="00125436"/>
    <w:rsid w:val="0012563B"/>
    <w:rsid w:val="00125F40"/>
    <w:rsid w:val="00125F92"/>
    <w:rsid w:val="0012682C"/>
    <w:rsid w:val="001268C6"/>
    <w:rsid w:val="001274A4"/>
    <w:rsid w:val="001311F8"/>
    <w:rsid w:val="001322C5"/>
    <w:rsid w:val="00132CEB"/>
    <w:rsid w:val="00133538"/>
    <w:rsid w:val="00133C8B"/>
    <w:rsid w:val="00134C11"/>
    <w:rsid w:val="001373F0"/>
    <w:rsid w:val="00137B28"/>
    <w:rsid w:val="0014039A"/>
    <w:rsid w:val="00140DA4"/>
    <w:rsid w:val="0014222D"/>
    <w:rsid w:val="00142B62"/>
    <w:rsid w:val="00142FC6"/>
    <w:rsid w:val="00143C85"/>
    <w:rsid w:val="00144764"/>
    <w:rsid w:val="00144FD5"/>
    <w:rsid w:val="00145283"/>
    <w:rsid w:val="0014539C"/>
    <w:rsid w:val="001454F2"/>
    <w:rsid w:val="00145958"/>
    <w:rsid w:val="001462B9"/>
    <w:rsid w:val="0014689D"/>
    <w:rsid w:val="00147DB3"/>
    <w:rsid w:val="00147FFC"/>
    <w:rsid w:val="00150AF1"/>
    <w:rsid w:val="00151465"/>
    <w:rsid w:val="00151724"/>
    <w:rsid w:val="0015190F"/>
    <w:rsid w:val="00153893"/>
    <w:rsid w:val="00153F87"/>
    <w:rsid w:val="0015408F"/>
    <w:rsid w:val="00156EDA"/>
    <w:rsid w:val="00157B8B"/>
    <w:rsid w:val="0016102F"/>
    <w:rsid w:val="0016270C"/>
    <w:rsid w:val="00163126"/>
    <w:rsid w:val="001644C5"/>
    <w:rsid w:val="0016520A"/>
    <w:rsid w:val="00165CCC"/>
    <w:rsid w:val="00166432"/>
    <w:rsid w:val="001666C2"/>
    <w:rsid w:val="001667CA"/>
    <w:rsid w:val="001667CC"/>
    <w:rsid w:val="00166C2F"/>
    <w:rsid w:val="00166CFB"/>
    <w:rsid w:val="00167C00"/>
    <w:rsid w:val="0017048D"/>
    <w:rsid w:val="001708D3"/>
    <w:rsid w:val="001721AC"/>
    <w:rsid w:val="001756B2"/>
    <w:rsid w:val="00175F03"/>
    <w:rsid w:val="00175FEC"/>
    <w:rsid w:val="0017660B"/>
    <w:rsid w:val="001769A7"/>
    <w:rsid w:val="0017754E"/>
    <w:rsid w:val="00177F66"/>
    <w:rsid w:val="00180139"/>
    <w:rsid w:val="0018094D"/>
    <w:rsid w:val="001809D7"/>
    <w:rsid w:val="00180DA2"/>
    <w:rsid w:val="00181D61"/>
    <w:rsid w:val="00182358"/>
    <w:rsid w:val="00182C05"/>
    <w:rsid w:val="0019039A"/>
    <w:rsid w:val="001934F2"/>
    <w:rsid w:val="001939E1"/>
    <w:rsid w:val="00194C3E"/>
    <w:rsid w:val="001952B3"/>
    <w:rsid w:val="00195382"/>
    <w:rsid w:val="00196093"/>
    <w:rsid w:val="0019647C"/>
    <w:rsid w:val="00196507"/>
    <w:rsid w:val="001966AC"/>
    <w:rsid w:val="00196C06"/>
    <w:rsid w:val="001A0501"/>
    <w:rsid w:val="001A0708"/>
    <w:rsid w:val="001A0F7E"/>
    <w:rsid w:val="001A1830"/>
    <w:rsid w:val="001A2944"/>
    <w:rsid w:val="001A4BDB"/>
    <w:rsid w:val="001A4F6B"/>
    <w:rsid w:val="001A68BF"/>
    <w:rsid w:val="001A7A3A"/>
    <w:rsid w:val="001A7ACF"/>
    <w:rsid w:val="001B12D5"/>
    <w:rsid w:val="001B23E1"/>
    <w:rsid w:val="001B3141"/>
    <w:rsid w:val="001B3FE4"/>
    <w:rsid w:val="001B4F44"/>
    <w:rsid w:val="001B7123"/>
    <w:rsid w:val="001B7298"/>
    <w:rsid w:val="001C0CBE"/>
    <w:rsid w:val="001C14D7"/>
    <w:rsid w:val="001C19D2"/>
    <w:rsid w:val="001C3DF3"/>
    <w:rsid w:val="001C420C"/>
    <w:rsid w:val="001C61C5"/>
    <w:rsid w:val="001C6430"/>
    <w:rsid w:val="001C676C"/>
    <w:rsid w:val="001C69C4"/>
    <w:rsid w:val="001C6DB2"/>
    <w:rsid w:val="001C6F9A"/>
    <w:rsid w:val="001D1C95"/>
    <w:rsid w:val="001D37EF"/>
    <w:rsid w:val="001D3ACD"/>
    <w:rsid w:val="001D420F"/>
    <w:rsid w:val="001D59F7"/>
    <w:rsid w:val="001D65DD"/>
    <w:rsid w:val="001E04F3"/>
    <w:rsid w:val="001E1336"/>
    <w:rsid w:val="001E22A1"/>
    <w:rsid w:val="001E277C"/>
    <w:rsid w:val="001E3590"/>
    <w:rsid w:val="001E3EBB"/>
    <w:rsid w:val="001E4311"/>
    <w:rsid w:val="001E4E19"/>
    <w:rsid w:val="001E5B5B"/>
    <w:rsid w:val="001E5E1D"/>
    <w:rsid w:val="001E7407"/>
    <w:rsid w:val="001E7F86"/>
    <w:rsid w:val="001F012E"/>
    <w:rsid w:val="001F039D"/>
    <w:rsid w:val="001F0A7D"/>
    <w:rsid w:val="001F1F75"/>
    <w:rsid w:val="001F303A"/>
    <w:rsid w:val="001F386F"/>
    <w:rsid w:val="001F5D5E"/>
    <w:rsid w:val="001F6219"/>
    <w:rsid w:val="001F6558"/>
    <w:rsid w:val="001F6CD4"/>
    <w:rsid w:val="001F7B2F"/>
    <w:rsid w:val="00201DCF"/>
    <w:rsid w:val="00206C4D"/>
    <w:rsid w:val="00207CE0"/>
    <w:rsid w:val="00210306"/>
    <w:rsid w:val="0021053C"/>
    <w:rsid w:val="00211484"/>
    <w:rsid w:val="00211D61"/>
    <w:rsid w:val="00211E2C"/>
    <w:rsid w:val="00213514"/>
    <w:rsid w:val="00214253"/>
    <w:rsid w:val="002150FD"/>
    <w:rsid w:val="002153AA"/>
    <w:rsid w:val="00215AF1"/>
    <w:rsid w:val="00216C98"/>
    <w:rsid w:val="00217FC1"/>
    <w:rsid w:val="00220BD9"/>
    <w:rsid w:val="00221805"/>
    <w:rsid w:val="002226AE"/>
    <w:rsid w:val="00222CE4"/>
    <w:rsid w:val="002247D5"/>
    <w:rsid w:val="0022507A"/>
    <w:rsid w:val="00225874"/>
    <w:rsid w:val="00225944"/>
    <w:rsid w:val="00226562"/>
    <w:rsid w:val="002275DF"/>
    <w:rsid w:val="00231537"/>
    <w:rsid w:val="00231F26"/>
    <w:rsid w:val="002321E8"/>
    <w:rsid w:val="00232507"/>
    <w:rsid w:val="0023257F"/>
    <w:rsid w:val="00232F7F"/>
    <w:rsid w:val="00233AF3"/>
    <w:rsid w:val="00236EEC"/>
    <w:rsid w:val="00237477"/>
    <w:rsid w:val="0024010F"/>
    <w:rsid w:val="00240749"/>
    <w:rsid w:val="00241AAA"/>
    <w:rsid w:val="00241AD1"/>
    <w:rsid w:val="00243018"/>
    <w:rsid w:val="002438F9"/>
    <w:rsid w:val="00243EFE"/>
    <w:rsid w:val="00244249"/>
    <w:rsid w:val="00244B25"/>
    <w:rsid w:val="00247418"/>
    <w:rsid w:val="002474F5"/>
    <w:rsid w:val="00250147"/>
    <w:rsid w:val="0025028F"/>
    <w:rsid w:val="00250988"/>
    <w:rsid w:val="00250BB8"/>
    <w:rsid w:val="00251244"/>
    <w:rsid w:val="00251AC0"/>
    <w:rsid w:val="002564A4"/>
    <w:rsid w:val="00256C4A"/>
    <w:rsid w:val="002614EB"/>
    <w:rsid w:val="002635B1"/>
    <w:rsid w:val="00264860"/>
    <w:rsid w:val="0026599A"/>
    <w:rsid w:val="0026736C"/>
    <w:rsid w:val="002700E6"/>
    <w:rsid w:val="00270F77"/>
    <w:rsid w:val="00272C0F"/>
    <w:rsid w:val="00272D92"/>
    <w:rsid w:val="00272DBF"/>
    <w:rsid w:val="00273290"/>
    <w:rsid w:val="0027335E"/>
    <w:rsid w:val="00274F11"/>
    <w:rsid w:val="00275095"/>
    <w:rsid w:val="00275D40"/>
    <w:rsid w:val="00276738"/>
    <w:rsid w:val="00281308"/>
    <w:rsid w:val="00281521"/>
    <w:rsid w:val="002817B5"/>
    <w:rsid w:val="00283D4E"/>
    <w:rsid w:val="00284719"/>
    <w:rsid w:val="002862D5"/>
    <w:rsid w:val="0028754C"/>
    <w:rsid w:val="002876E6"/>
    <w:rsid w:val="00287E7E"/>
    <w:rsid w:val="00290393"/>
    <w:rsid w:val="00290EB8"/>
    <w:rsid w:val="00291305"/>
    <w:rsid w:val="00291785"/>
    <w:rsid w:val="002937A7"/>
    <w:rsid w:val="00293B92"/>
    <w:rsid w:val="00293BD8"/>
    <w:rsid w:val="00294F52"/>
    <w:rsid w:val="00296C39"/>
    <w:rsid w:val="00297224"/>
    <w:rsid w:val="00297ECB"/>
    <w:rsid w:val="002A2A50"/>
    <w:rsid w:val="002A43AE"/>
    <w:rsid w:val="002A57F3"/>
    <w:rsid w:val="002A5AED"/>
    <w:rsid w:val="002A7BCF"/>
    <w:rsid w:val="002B0071"/>
    <w:rsid w:val="002B0A86"/>
    <w:rsid w:val="002B1F4D"/>
    <w:rsid w:val="002B31EB"/>
    <w:rsid w:val="002B51CA"/>
    <w:rsid w:val="002B605A"/>
    <w:rsid w:val="002C0287"/>
    <w:rsid w:val="002C29C8"/>
    <w:rsid w:val="002C4A40"/>
    <w:rsid w:val="002C4B3E"/>
    <w:rsid w:val="002C55A5"/>
    <w:rsid w:val="002C7678"/>
    <w:rsid w:val="002D043A"/>
    <w:rsid w:val="002D1ACD"/>
    <w:rsid w:val="002D1B6E"/>
    <w:rsid w:val="002D1F24"/>
    <w:rsid w:val="002D36C4"/>
    <w:rsid w:val="002D6224"/>
    <w:rsid w:val="002D6927"/>
    <w:rsid w:val="002D6D88"/>
    <w:rsid w:val="002E0867"/>
    <w:rsid w:val="002E1566"/>
    <w:rsid w:val="002E16EE"/>
    <w:rsid w:val="002E257E"/>
    <w:rsid w:val="002E2642"/>
    <w:rsid w:val="002E2B5F"/>
    <w:rsid w:val="002E3A49"/>
    <w:rsid w:val="002E3F4B"/>
    <w:rsid w:val="002E55F8"/>
    <w:rsid w:val="002E5664"/>
    <w:rsid w:val="002E608D"/>
    <w:rsid w:val="002E68EB"/>
    <w:rsid w:val="002E7114"/>
    <w:rsid w:val="002F0CC3"/>
    <w:rsid w:val="002F0F98"/>
    <w:rsid w:val="002F1CA1"/>
    <w:rsid w:val="002F251B"/>
    <w:rsid w:val="002F298A"/>
    <w:rsid w:val="002F484B"/>
    <w:rsid w:val="002F5047"/>
    <w:rsid w:val="002F64C9"/>
    <w:rsid w:val="002F7D0B"/>
    <w:rsid w:val="00300004"/>
    <w:rsid w:val="00300E0A"/>
    <w:rsid w:val="00301A86"/>
    <w:rsid w:val="00302534"/>
    <w:rsid w:val="00303D63"/>
    <w:rsid w:val="00303D7D"/>
    <w:rsid w:val="0030489B"/>
    <w:rsid w:val="00304F8B"/>
    <w:rsid w:val="003052F7"/>
    <w:rsid w:val="003056C2"/>
    <w:rsid w:val="0030619A"/>
    <w:rsid w:val="003078EC"/>
    <w:rsid w:val="00311DB5"/>
    <w:rsid w:val="00312209"/>
    <w:rsid w:val="00312651"/>
    <w:rsid w:val="003127BF"/>
    <w:rsid w:val="00313823"/>
    <w:rsid w:val="0031517B"/>
    <w:rsid w:val="0031545C"/>
    <w:rsid w:val="00315A37"/>
    <w:rsid w:val="00320675"/>
    <w:rsid w:val="00321554"/>
    <w:rsid w:val="00322B6A"/>
    <w:rsid w:val="003233A7"/>
    <w:rsid w:val="00323758"/>
    <w:rsid w:val="00324A92"/>
    <w:rsid w:val="003266F9"/>
    <w:rsid w:val="00326BAB"/>
    <w:rsid w:val="00327266"/>
    <w:rsid w:val="0032731E"/>
    <w:rsid w:val="00327642"/>
    <w:rsid w:val="0033123A"/>
    <w:rsid w:val="00331ED3"/>
    <w:rsid w:val="0033222F"/>
    <w:rsid w:val="00333E87"/>
    <w:rsid w:val="00334FBA"/>
    <w:rsid w:val="003354D2"/>
    <w:rsid w:val="00335BC6"/>
    <w:rsid w:val="0033637E"/>
    <w:rsid w:val="0033799E"/>
    <w:rsid w:val="00340648"/>
    <w:rsid w:val="00340C2C"/>
    <w:rsid w:val="00340D8C"/>
    <w:rsid w:val="00341356"/>
    <w:rsid w:val="003415BA"/>
    <w:rsid w:val="003415D3"/>
    <w:rsid w:val="00341F3B"/>
    <w:rsid w:val="00342697"/>
    <w:rsid w:val="003432FE"/>
    <w:rsid w:val="00344701"/>
    <w:rsid w:val="003448EA"/>
    <w:rsid w:val="00344DC9"/>
    <w:rsid w:val="00350199"/>
    <w:rsid w:val="00350470"/>
    <w:rsid w:val="00351481"/>
    <w:rsid w:val="003523C1"/>
    <w:rsid w:val="00352B0F"/>
    <w:rsid w:val="0035473C"/>
    <w:rsid w:val="00354C1C"/>
    <w:rsid w:val="0035555E"/>
    <w:rsid w:val="00356690"/>
    <w:rsid w:val="00356CDB"/>
    <w:rsid w:val="00357C05"/>
    <w:rsid w:val="00360459"/>
    <w:rsid w:val="00360E40"/>
    <w:rsid w:val="003619A9"/>
    <w:rsid w:val="00361A6C"/>
    <w:rsid w:val="00363058"/>
    <w:rsid w:val="00363EBC"/>
    <w:rsid w:val="0036461C"/>
    <w:rsid w:val="00364665"/>
    <w:rsid w:val="003658FE"/>
    <w:rsid w:val="00365E8F"/>
    <w:rsid w:val="003661E3"/>
    <w:rsid w:val="00366BEF"/>
    <w:rsid w:val="00366F59"/>
    <w:rsid w:val="0037051F"/>
    <w:rsid w:val="003716A3"/>
    <w:rsid w:val="003734D5"/>
    <w:rsid w:val="00373A4B"/>
    <w:rsid w:val="00374702"/>
    <w:rsid w:val="00375165"/>
    <w:rsid w:val="0037734E"/>
    <w:rsid w:val="003773CA"/>
    <w:rsid w:val="003809E5"/>
    <w:rsid w:val="00380E4F"/>
    <w:rsid w:val="003818EF"/>
    <w:rsid w:val="00381EB6"/>
    <w:rsid w:val="003822F9"/>
    <w:rsid w:val="00382CE4"/>
    <w:rsid w:val="003833E2"/>
    <w:rsid w:val="00383628"/>
    <w:rsid w:val="0038396A"/>
    <w:rsid w:val="00383DA9"/>
    <w:rsid w:val="00385701"/>
    <w:rsid w:val="00385976"/>
    <w:rsid w:val="00385E2F"/>
    <w:rsid w:val="00390EB5"/>
    <w:rsid w:val="0039230B"/>
    <w:rsid w:val="00393FD5"/>
    <w:rsid w:val="00394535"/>
    <w:rsid w:val="00394981"/>
    <w:rsid w:val="00395030"/>
    <w:rsid w:val="003950CB"/>
    <w:rsid w:val="003951F4"/>
    <w:rsid w:val="00396E14"/>
    <w:rsid w:val="00397681"/>
    <w:rsid w:val="00397752"/>
    <w:rsid w:val="003A0816"/>
    <w:rsid w:val="003A0FCD"/>
    <w:rsid w:val="003A1845"/>
    <w:rsid w:val="003A2254"/>
    <w:rsid w:val="003A2E89"/>
    <w:rsid w:val="003A327A"/>
    <w:rsid w:val="003A3CEC"/>
    <w:rsid w:val="003A3F0E"/>
    <w:rsid w:val="003A4A3B"/>
    <w:rsid w:val="003A4C17"/>
    <w:rsid w:val="003A5891"/>
    <w:rsid w:val="003A5D30"/>
    <w:rsid w:val="003A710F"/>
    <w:rsid w:val="003A7C7B"/>
    <w:rsid w:val="003B0D38"/>
    <w:rsid w:val="003B101F"/>
    <w:rsid w:val="003B1DBF"/>
    <w:rsid w:val="003B33C0"/>
    <w:rsid w:val="003B33EE"/>
    <w:rsid w:val="003B4755"/>
    <w:rsid w:val="003B54D3"/>
    <w:rsid w:val="003B6616"/>
    <w:rsid w:val="003B6656"/>
    <w:rsid w:val="003B69BC"/>
    <w:rsid w:val="003B6BF7"/>
    <w:rsid w:val="003B7178"/>
    <w:rsid w:val="003B7293"/>
    <w:rsid w:val="003B77A7"/>
    <w:rsid w:val="003C0F74"/>
    <w:rsid w:val="003C14A4"/>
    <w:rsid w:val="003C1D9D"/>
    <w:rsid w:val="003C31FC"/>
    <w:rsid w:val="003C3479"/>
    <w:rsid w:val="003C470C"/>
    <w:rsid w:val="003C4744"/>
    <w:rsid w:val="003C61DB"/>
    <w:rsid w:val="003C6231"/>
    <w:rsid w:val="003C6E72"/>
    <w:rsid w:val="003C7646"/>
    <w:rsid w:val="003C76F0"/>
    <w:rsid w:val="003D0161"/>
    <w:rsid w:val="003D0BFE"/>
    <w:rsid w:val="003D13DC"/>
    <w:rsid w:val="003D157E"/>
    <w:rsid w:val="003D2EDE"/>
    <w:rsid w:val="003D403A"/>
    <w:rsid w:val="003D426C"/>
    <w:rsid w:val="003D56EB"/>
    <w:rsid w:val="003D5700"/>
    <w:rsid w:val="003D5818"/>
    <w:rsid w:val="003D694A"/>
    <w:rsid w:val="003D73F5"/>
    <w:rsid w:val="003D74A0"/>
    <w:rsid w:val="003E04B6"/>
    <w:rsid w:val="003E341B"/>
    <w:rsid w:val="003E4041"/>
    <w:rsid w:val="003E424F"/>
    <w:rsid w:val="003E4640"/>
    <w:rsid w:val="003E5A87"/>
    <w:rsid w:val="003E6C8B"/>
    <w:rsid w:val="003E6DB9"/>
    <w:rsid w:val="003E78D0"/>
    <w:rsid w:val="003F15A0"/>
    <w:rsid w:val="003F264B"/>
    <w:rsid w:val="003F30E7"/>
    <w:rsid w:val="003F32DB"/>
    <w:rsid w:val="003F4D92"/>
    <w:rsid w:val="003F5C75"/>
    <w:rsid w:val="0040053F"/>
    <w:rsid w:val="00400D96"/>
    <w:rsid w:val="004017AA"/>
    <w:rsid w:val="00403959"/>
    <w:rsid w:val="0040457B"/>
    <w:rsid w:val="00404A5F"/>
    <w:rsid w:val="00406F65"/>
    <w:rsid w:val="0040743F"/>
    <w:rsid w:val="00411149"/>
    <w:rsid w:val="004116CD"/>
    <w:rsid w:val="00411B9E"/>
    <w:rsid w:val="00412B28"/>
    <w:rsid w:val="00413521"/>
    <w:rsid w:val="004135E1"/>
    <w:rsid w:val="004144EC"/>
    <w:rsid w:val="004158DB"/>
    <w:rsid w:val="00415F73"/>
    <w:rsid w:val="004169C3"/>
    <w:rsid w:val="00417E01"/>
    <w:rsid w:val="00417EB9"/>
    <w:rsid w:val="00417EE2"/>
    <w:rsid w:val="00423C34"/>
    <w:rsid w:val="00424CA9"/>
    <w:rsid w:val="004261A1"/>
    <w:rsid w:val="00430487"/>
    <w:rsid w:val="0043186F"/>
    <w:rsid w:val="00431967"/>
    <w:rsid w:val="00431B17"/>
    <w:rsid w:val="00431E9B"/>
    <w:rsid w:val="00433B68"/>
    <w:rsid w:val="00433F48"/>
    <w:rsid w:val="0043469D"/>
    <w:rsid w:val="00435019"/>
    <w:rsid w:val="004379E3"/>
    <w:rsid w:val="00437E5C"/>
    <w:rsid w:val="0044015E"/>
    <w:rsid w:val="00440565"/>
    <w:rsid w:val="0044256F"/>
    <w:rsid w:val="0044291A"/>
    <w:rsid w:val="004432A6"/>
    <w:rsid w:val="00444ABD"/>
    <w:rsid w:val="00444E15"/>
    <w:rsid w:val="004450CE"/>
    <w:rsid w:val="00445157"/>
    <w:rsid w:val="00445D4B"/>
    <w:rsid w:val="00446111"/>
    <w:rsid w:val="004475E6"/>
    <w:rsid w:val="00447D15"/>
    <w:rsid w:val="0045354A"/>
    <w:rsid w:val="00453C86"/>
    <w:rsid w:val="004544DD"/>
    <w:rsid w:val="004559F4"/>
    <w:rsid w:val="004566F2"/>
    <w:rsid w:val="004570DA"/>
    <w:rsid w:val="004575A0"/>
    <w:rsid w:val="00457EF0"/>
    <w:rsid w:val="00460059"/>
    <w:rsid w:val="00460B12"/>
    <w:rsid w:val="00460BFF"/>
    <w:rsid w:val="00460F14"/>
    <w:rsid w:val="00461262"/>
    <w:rsid w:val="00461647"/>
    <w:rsid w:val="00461C81"/>
    <w:rsid w:val="00462F97"/>
    <w:rsid w:val="0046460D"/>
    <w:rsid w:val="0046491D"/>
    <w:rsid w:val="00465606"/>
    <w:rsid w:val="004674FC"/>
    <w:rsid w:val="00467661"/>
    <w:rsid w:val="00467D4A"/>
    <w:rsid w:val="004705B7"/>
    <w:rsid w:val="00470987"/>
    <w:rsid w:val="004709EE"/>
    <w:rsid w:val="00470D10"/>
    <w:rsid w:val="004714A8"/>
    <w:rsid w:val="00472507"/>
    <w:rsid w:val="00472DBE"/>
    <w:rsid w:val="00474A19"/>
    <w:rsid w:val="00476230"/>
    <w:rsid w:val="00480422"/>
    <w:rsid w:val="0048080A"/>
    <w:rsid w:val="004809CA"/>
    <w:rsid w:val="00480D2A"/>
    <w:rsid w:val="004822B0"/>
    <w:rsid w:val="00484244"/>
    <w:rsid w:val="0048465A"/>
    <w:rsid w:val="00485AF2"/>
    <w:rsid w:val="00485CC2"/>
    <w:rsid w:val="00486077"/>
    <w:rsid w:val="00486A11"/>
    <w:rsid w:val="00486C7B"/>
    <w:rsid w:val="0049006C"/>
    <w:rsid w:val="00490092"/>
    <w:rsid w:val="004913EE"/>
    <w:rsid w:val="004931C4"/>
    <w:rsid w:val="00493504"/>
    <w:rsid w:val="004935DE"/>
    <w:rsid w:val="004939D2"/>
    <w:rsid w:val="00494B14"/>
    <w:rsid w:val="00496898"/>
    <w:rsid w:val="00496F97"/>
    <w:rsid w:val="00497055"/>
    <w:rsid w:val="004974D6"/>
    <w:rsid w:val="004A19B9"/>
    <w:rsid w:val="004A3605"/>
    <w:rsid w:val="004A691C"/>
    <w:rsid w:val="004A7746"/>
    <w:rsid w:val="004A778E"/>
    <w:rsid w:val="004B02BC"/>
    <w:rsid w:val="004B08DF"/>
    <w:rsid w:val="004B2917"/>
    <w:rsid w:val="004B609A"/>
    <w:rsid w:val="004B70E1"/>
    <w:rsid w:val="004B7885"/>
    <w:rsid w:val="004B79DB"/>
    <w:rsid w:val="004C0D54"/>
    <w:rsid w:val="004C3959"/>
    <w:rsid w:val="004C4983"/>
    <w:rsid w:val="004C5521"/>
    <w:rsid w:val="004C6AE8"/>
    <w:rsid w:val="004D098A"/>
    <w:rsid w:val="004D1E65"/>
    <w:rsid w:val="004D3593"/>
    <w:rsid w:val="004D3A40"/>
    <w:rsid w:val="004D6938"/>
    <w:rsid w:val="004D7E2A"/>
    <w:rsid w:val="004E063A"/>
    <w:rsid w:val="004E3358"/>
    <w:rsid w:val="004E3752"/>
    <w:rsid w:val="004E38AA"/>
    <w:rsid w:val="004E3A69"/>
    <w:rsid w:val="004E591A"/>
    <w:rsid w:val="004E70CB"/>
    <w:rsid w:val="004E7175"/>
    <w:rsid w:val="004E7BEC"/>
    <w:rsid w:val="004F183B"/>
    <w:rsid w:val="004F184A"/>
    <w:rsid w:val="004F53FA"/>
    <w:rsid w:val="004F7DD8"/>
    <w:rsid w:val="00500249"/>
    <w:rsid w:val="00500786"/>
    <w:rsid w:val="005011E1"/>
    <w:rsid w:val="0050166E"/>
    <w:rsid w:val="00501BF5"/>
    <w:rsid w:val="00505D3D"/>
    <w:rsid w:val="005063D7"/>
    <w:rsid w:val="0050680C"/>
    <w:rsid w:val="00506AF6"/>
    <w:rsid w:val="005075F3"/>
    <w:rsid w:val="005123BD"/>
    <w:rsid w:val="0051349C"/>
    <w:rsid w:val="00513A0D"/>
    <w:rsid w:val="00515666"/>
    <w:rsid w:val="005159F2"/>
    <w:rsid w:val="00516B8D"/>
    <w:rsid w:val="005175FC"/>
    <w:rsid w:val="005202B6"/>
    <w:rsid w:val="00520481"/>
    <w:rsid w:val="0052207F"/>
    <w:rsid w:val="005236D7"/>
    <w:rsid w:val="00523F6C"/>
    <w:rsid w:val="0052656F"/>
    <w:rsid w:val="00526BC0"/>
    <w:rsid w:val="005278EF"/>
    <w:rsid w:val="00527939"/>
    <w:rsid w:val="0053098E"/>
    <w:rsid w:val="00531E05"/>
    <w:rsid w:val="00532844"/>
    <w:rsid w:val="005330FD"/>
    <w:rsid w:val="00534258"/>
    <w:rsid w:val="005349CC"/>
    <w:rsid w:val="0053523F"/>
    <w:rsid w:val="005354DD"/>
    <w:rsid w:val="00537FBC"/>
    <w:rsid w:val="0054005B"/>
    <w:rsid w:val="00540714"/>
    <w:rsid w:val="00543C23"/>
    <w:rsid w:val="00544EB7"/>
    <w:rsid w:val="005453C1"/>
    <w:rsid w:val="00545F4E"/>
    <w:rsid w:val="00545FCA"/>
    <w:rsid w:val="005473EC"/>
    <w:rsid w:val="005475DA"/>
    <w:rsid w:val="00547AD3"/>
    <w:rsid w:val="00550112"/>
    <w:rsid w:val="005504E4"/>
    <w:rsid w:val="00551CFD"/>
    <w:rsid w:val="00552074"/>
    <w:rsid w:val="00552128"/>
    <w:rsid w:val="00552461"/>
    <w:rsid w:val="0055358B"/>
    <w:rsid w:val="00553CB1"/>
    <w:rsid w:val="00553D8C"/>
    <w:rsid w:val="00554954"/>
    <w:rsid w:val="0055551C"/>
    <w:rsid w:val="0055576B"/>
    <w:rsid w:val="00555EE4"/>
    <w:rsid w:val="005574D1"/>
    <w:rsid w:val="00557DD1"/>
    <w:rsid w:val="00560289"/>
    <w:rsid w:val="0056167C"/>
    <w:rsid w:val="005635E5"/>
    <w:rsid w:val="005636E0"/>
    <w:rsid w:val="005672D1"/>
    <w:rsid w:val="00567579"/>
    <w:rsid w:val="0057058D"/>
    <w:rsid w:val="00570DC0"/>
    <w:rsid w:val="005717E7"/>
    <w:rsid w:val="00571B2A"/>
    <w:rsid w:val="00572AD0"/>
    <w:rsid w:val="005740C3"/>
    <w:rsid w:val="00574818"/>
    <w:rsid w:val="0057586F"/>
    <w:rsid w:val="005765C4"/>
    <w:rsid w:val="00576A98"/>
    <w:rsid w:val="00576D89"/>
    <w:rsid w:val="005773D2"/>
    <w:rsid w:val="00577D15"/>
    <w:rsid w:val="00577F35"/>
    <w:rsid w:val="0058069F"/>
    <w:rsid w:val="00581517"/>
    <w:rsid w:val="005819B8"/>
    <w:rsid w:val="00584811"/>
    <w:rsid w:val="00584A92"/>
    <w:rsid w:val="00585784"/>
    <w:rsid w:val="00592B0B"/>
    <w:rsid w:val="0059305D"/>
    <w:rsid w:val="00593AA6"/>
    <w:rsid w:val="00594161"/>
    <w:rsid w:val="00594749"/>
    <w:rsid w:val="005948E4"/>
    <w:rsid w:val="00597201"/>
    <w:rsid w:val="005A0C5E"/>
    <w:rsid w:val="005A0F0A"/>
    <w:rsid w:val="005A1165"/>
    <w:rsid w:val="005A1BE9"/>
    <w:rsid w:val="005A1DFB"/>
    <w:rsid w:val="005A46BD"/>
    <w:rsid w:val="005A51F9"/>
    <w:rsid w:val="005A6794"/>
    <w:rsid w:val="005A745A"/>
    <w:rsid w:val="005B067E"/>
    <w:rsid w:val="005B0CB4"/>
    <w:rsid w:val="005B0D21"/>
    <w:rsid w:val="005B3648"/>
    <w:rsid w:val="005B4067"/>
    <w:rsid w:val="005B5AD7"/>
    <w:rsid w:val="005B61BB"/>
    <w:rsid w:val="005C0756"/>
    <w:rsid w:val="005C0F45"/>
    <w:rsid w:val="005C166A"/>
    <w:rsid w:val="005C196B"/>
    <w:rsid w:val="005C3F41"/>
    <w:rsid w:val="005C4739"/>
    <w:rsid w:val="005C54F3"/>
    <w:rsid w:val="005C5848"/>
    <w:rsid w:val="005C60D7"/>
    <w:rsid w:val="005C6C81"/>
    <w:rsid w:val="005C6E33"/>
    <w:rsid w:val="005C7F66"/>
    <w:rsid w:val="005D04EE"/>
    <w:rsid w:val="005D1300"/>
    <w:rsid w:val="005D136F"/>
    <w:rsid w:val="005D173E"/>
    <w:rsid w:val="005D199E"/>
    <w:rsid w:val="005D220B"/>
    <w:rsid w:val="005D27B0"/>
    <w:rsid w:val="005D292F"/>
    <w:rsid w:val="005D2D09"/>
    <w:rsid w:val="005D2F9E"/>
    <w:rsid w:val="005D4352"/>
    <w:rsid w:val="005D44B1"/>
    <w:rsid w:val="005D48FD"/>
    <w:rsid w:val="005D60F4"/>
    <w:rsid w:val="005E25E1"/>
    <w:rsid w:val="005E2EE7"/>
    <w:rsid w:val="005E31EE"/>
    <w:rsid w:val="005E4819"/>
    <w:rsid w:val="005E4A64"/>
    <w:rsid w:val="005E63F4"/>
    <w:rsid w:val="005F1D1D"/>
    <w:rsid w:val="005F2C53"/>
    <w:rsid w:val="005F37E5"/>
    <w:rsid w:val="005F388F"/>
    <w:rsid w:val="005F4D3B"/>
    <w:rsid w:val="005F61D4"/>
    <w:rsid w:val="00600214"/>
    <w:rsid w:val="00600219"/>
    <w:rsid w:val="0060050A"/>
    <w:rsid w:val="0060062E"/>
    <w:rsid w:val="00601671"/>
    <w:rsid w:val="00601B2A"/>
    <w:rsid w:val="006037F5"/>
    <w:rsid w:val="00603DC4"/>
    <w:rsid w:val="00604D27"/>
    <w:rsid w:val="00605B9E"/>
    <w:rsid w:val="006075A5"/>
    <w:rsid w:val="0060762D"/>
    <w:rsid w:val="00607BE1"/>
    <w:rsid w:val="0061041E"/>
    <w:rsid w:val="00610DDD"/>
    <w:rsid w:val="00611EA7"/>
    <w:rsid w:val="0061244B"/>
    <w:rsid w:val="00612783"/>
    <w:rsid w:val="00612BEE"/>
    <w:rsid w:val="00612C6F"/>
    <w:rsid w:val="006164F7"/>
    <w:rsid w:val="006165F2"/>
    <w:rsid w:val="00616967"/>
    <w:rsid w:val="00617E02"/>
    <w:rsid w:val="00617F3E"/>
    <w:rsid w:val="00620076"/>
    <w:rsid w:val="006208A1"/>
    <w:rsid w:val="00620FC8"/>
    <w:rsid w:val="00621026"/>
    <w:rsid w:val="006211C7"/>
    <w:rsid w:val="006219DB"/>
    <w:rsid w:val="006237D7"/>
    <w:rsid w:val="00623B51"/>
    <w:rsid w:val="00623B8D"/>
    <w:rsid w:val="00624F18"/>
    <w:rsid w:val="00626143"/>
    <w:rsid w:val="00626CA3"/>
    <w:rsid w:val="0063034D"/>
    <w:rsid w:val="00630FE5"/>
    <w:rsid w:val="006328A4"/>
    <w:rsid w:val="00634AF4"/>
    <w:rsid w:val="00636276"/>
    <w:rsid w:val="00636B04"/>
    <w:rsid w:val="00637886"/>
    <w:rsid w:val="0064076C"/>
    <w:rsid w:val="00640C08"/>
    <w:rsid w:val="006423A2"/>
    <w:rsid w:val="0064272B"/>
    <w:rsid w:val="00644E06"/>
    <w:rsid w:val="006450EA"/>
    <w:rsid w:val="0064545D"/>
    <w:rsid w:val="0064629F"/>
    <w:rsid w:val="00646C90"/>
    <w:rsid w:val="006475DD"/>
    <w:rsid w:val="00647C6B"/>
    <w:rsid w:val="00650B0C"/>
    <w:rsid w:val="00650BF9"/>
    <w:rsid w:val="00651316"/>
    <w:rsid w:val="00651424"/>
    <w:rsid w:val="00652157"/>
    <w:rsid w:val="00652A0A"/>
    <w:rsid w:val="00652ED7"/>
    <w:rsid w:val="00653EC1"/>
    <w:rsid w:val="006556DE"/>
    <w:rsid w:val="0065586B"/>
    <w:rsid w:val="00655B10"/>
    <w:rsid w:val="00655D62"/>
    <w:rsid w:val="00655DFD"/>
    <w:rsid w:val="006568FD"/>
    <w:rsid w:val="00656A02"/>
    <w:rsid w:val="00660BE1"/>
    <w:rsid w:val="00661078"/>
    <w:rsid w:val="00663CFF"/>
    <w:rsid w:val="00665239"/>
    <w:rsid w:val="006652B8"/>
    <w:rsid w:val="00666387"/>
    <w:rsid w:val="00666562"/>
    <w:rsid w:val="00666B1C"/>
    <w:rsid w:val="00666EA1"/>
    <w:rsid w:val="0066719A"/>
    <w:rsid w:val="006707A0"/>
    <w:rsid w:val="00670EA1"/>
    <w:rsid w:val="006731CC"/>
    <w:rsid w:val="0067350C"/>
    <w:rsid w:val="00673BDA"/>
    <w:rsid w:val="00675233"/>
    <w:rsid w:val="006756A3"/>
    <w:rsid w:val="00676CFB"/>
    <w:rsid w:val="00676F76"/>
    <w:rsid w:val="00677449"/>
    <w:rsid w:val="006777D0"/>
    <w:rsid w:val="00677CC2"/>
    <w:rsid w:val="006815E4"/>
    <w:rsid w:val="00681AC2"/>
    <w:rsid w:val="00682160"/>
    <w:rsid w:val="00682954"/>
    <w:rsid w:val="006830C9"/>
    <w:rsid w:val="00684BA9"/>
    <w:rsid w:val="006859F7"/>
    <w:rsid w:val="00687C94"/>
    <w:rsid w:val="006902CC"/>
    <w:rsid w:val="006905DE"/>
    <w:rsid w:val="00690CCB"/>
    <w:rsid w:val="00690F8E"/>
    <w:rsid w:val="00691EDE"/>
    <w:rsid w:val="0069207B"/>
    <w:rsid w:val="0069333F"/>
    <w:rsid w:val="0069391C"/>
    <w:rsid w:val="006944A8"/>
    <w:rsid w:val="0069533B"/>
    <w:rsid w:val="006954BC"/>
    <w:rsid w:val="00695A91"/>
    <w:rsid w:val="00695C21"/>
    <w:rsid w:val="00695C5C"/>
    <w:rsid w:val="00695F75"/>
    <w:rsid w:val="006A0259"/>
    <w:rsid w:val="006A05C8"/>
    <w:rsid w:val="006A19A0"/>
    <w:rsid w:val="006A1A39"/>
    <w:rsid w:val="006A1AC7"/>
    <w:rsid w:val="006A2074"/>
    <w:rsid w:val="006A215B"/>
    <w:rsid w:val="006A2D63"/>
    <w:rsid w:val="006A3191"/>
    <w:rsid w:val="006A3F6C"/>
    <w:rsid w:val="006A5A4D"/>
    <w:rsid w:val="006A5EF7"/>
    <w:rsid w:val="006A6C8E"/>
    <w:rsid w:val="006A7317"/>
    <w:rsid w:val="006A736F"/>
    <w:rsid w:val="006B21BD"/>
    <w:rsid w:val="006B51C9"/>
    <w:rsid w:val="006B5444"/>
    <w:rsid w:val="006B5789"/>
    <w:rsid w:val="006B6B76"/>
    <w:rsid w:val="006C0016"/>
    <w:rsid w:val="006C1B61"/>
    <w:rsid w:val="006C2AC3"/>
    <w:rsid w:val="006C2E67"/>
    <w:rsid w:val="006C30C5"/>
    <w:rsid w:val="006C3CDD"/>
    <w:rsid w:val="006C3F56"/>
    <w:rsid w:val="006C4398"/>
    <w:rsid w:val="006C43B5"/>
    <w:rsid w:val="006C5ED4"/>
    <w:rsid w:val="006C63B3"/>
    <w:rsid w:val="006C6A86"/>
    <w:rsid w:val="006C75C6"/>
    <w:rsid w:val="006C7F8C"/>
    <w:rsid w:val="006D43F4"/>
    <w:rsid w:val="006D48AD"/>
    <w:rsid w:val="006D63D3"/>
    <w:rsid w:val="006E1B35"/>
    <w:rsid w:val="006E1DFB"/>
    <w:rsid w:val="006E3A5E"/>
    <w:rsid w:val="006E3BAA"/>
    <w:rsid w:val="006E46BE"/>
    <w:rsid w:val="006E4DF5"/>
    <w:rsid w:val="006E599C"/>
    <w:rsid w:val="006E5B4B"/>
    <w:rsid w:val="006E6246"/>
    <w:rsid w:val="006E6F25"/>
    <w:rsid w:val="006F0C2F"/>
    <w:rsid w:val="006F111C"/>
    <w:rsid w:val="006F1B37"/>
    <w:rsid w:val="006F2A4B"/>
    <w:rsid w:val="006F2F38"/>
    <w:rsid w:val="006F318F"/>
    <w:rsid w:val="006F3A20"/>
    <w:rsid w:val="006F4226"/>
    <w:rsid w:val="006F60A0"/>
    <w:rsid w:val="006F7CCD"/>
    <w:rsid w:val="0070017E"/>
    <w:rsid w:val="007005F4"/>
    <w:rsid w:val="00700632"/>
    <w:rsid w:val="00700B2C"/>
    <w:rsid w:val="00701777"/>
    <w:rsid w:val="007019BE"/>
    <w:rsid w:val="007026F3"/>
    <w:rsid w:val="00704BC9"/>
    <w:rsid w:val="007050A2"/>
    <w:rsid w:val="0070545C"/>
    <w:rsid w:val="00706068"/>
    <w:rsid w:val="00707174"/>
    <w:rsid w:val="0070730A"/>
    <w:rsid w:val="007116AF"/>
    <w:rsid w:val="00713084"/>
    <w:rsid w:val="00714D89"/>
    <w:rsid w:val="00714F20"/>
    <w:rsid w:val="00714FCB"/>
    <w:rsid w:val="00715398"/>
    <w:rsid w:val="0071590F"/>
    <w:rsid w:val="00715914"/>
    <w:rsid w:val="00716D05"/>
    <w:rsid w:val="00721BA4"/>
    <w:rsid w:val="00722274"/>
    <w:rsid w:val="00722A4D"/>
    <w:rsid w:val="00722B31"/>
    <w:rsid w:val="0072333B"/>
    <w:rsid w:val="007239C8"/>
    <w:rsid w:val="0072526D"/>
    <w:rsid w:val="0072556C"/>
    <w:rsid w:val="0072565D"/>
    <w:rsid w:val="007278AC"/>
    <w:rsid w:val="00730246"/>
    <w:rsid w:val="0073034C"/>
    <w:rsid w:val="00730E28"/>
    <w:rsid w:val="00731181"/>
    <w:rsid w:val="00731E00"/>
    <w:rsid w:val="00734F1F"/>
    <w:rsid w:val="007358F6"/>
    <w:rsid w:val="00736C12"/>
    <w:rsid w:val="00736F82"/>
    <w:rsid w:val="00737562"/>
    <w:rsid w:val="0073792A"/>
    <w:rsid w:val="00737C96"/>
    <w:rsid w:val="00737DE1"/>
    <w:rsid w:val="00741A82"/>
    <w:rsid w:val="00741A84"/>
    <w:rsid w:val="007438CD"/>
    <w:rsid w:val="007440B7"/>
    <w:rsid w:val="0074464E"/>
    <w:rsid w:val="00744C3A"/>
    <w:rsid w:val="007450F8"/>
    <w:rsid w:val="00746077"/>
    <w:rsid w:val="007500C8"/>
    <w:rsid w:val="00750324"/>
    <w:rsid w:val="007525FC"/>
    <w:rsid w:val="00753C00"/>
    <w:rsid w:val="007547B1"/>
    <w:rsid w:val="007559B0"/>
    <w:rsid w:val="00756272"/>
    <w:rsid w:val="007567B8"/>
    <w:rsid w:val="00756B78"/>
    <w:rsid w:val="00757FDF"/>
    <w:rsid w:val="0076173E"/>
    <w:rsid w:val="007629E3"/>
    <w:rsid w:val="00763A8F"/>
    <w:rsid w:val="00766401"/>
    <w:rsid w:val="0076681A"/>
    <w:rsid w:val="007668DE"/>
    <w:rsid w:val="00766BD6"/>
    <w:rsid w:val="00766D49"/>
    <w:rsid w:val="00766D91"/>
    <w:rsid w:val="00767432"/>
    <w:rsid w:val="007715C9"/>
    <w:rsid w:val="00771613"/>
    <w:rsid w:val="0077199F"/>
    <w:rsid w:val="00771B64"/>
    <w:rsid w:val="00773048"/>
    <w:rsid w:val="00774DE4"/>
    <w:rsid w:val="00774EDD"/>
    <w:rsid w:val="00774F38"/>
    <w:rsid w:val="007757EC"/>
    <w:rsid w:val="00776010"/>
    <w:rsid w:val="00777AC2"/>
    <w:rsid w:val="00777C14"/>
    <w:rsid w:val="00777C9B"/>
    <w:rsid w:val="00777DC1"/>
    <w:rsid w:val="00780418"/>
    <w:rsid w:val="007817E0"/>
    <w:rsid w:val="00781EDE"/>
    <w:rsid w:val="00782124"/>
    <w:rsid w:val="00782205"/>
    <w:rsid w:val="007822E8"/>
    <w:rsid w:val="00783106"/>
    <w:rsid w:val="00783E89"/>
    <w:rsid w:val="00784413"/>
    <w:rsid w:val="00785BB7"/>
    <w:rsid w:val="00786041"/>
    <w:rsid w:val="00786640"/>
    <w:rsid w:val="00787DDD"/>
    <w:rsid w:val="00790B86"/>
    <w:rsid w:val="00791BDC"/>
    <w:rsid w:val="007936F5"/>
    <w:rsid w:val="00793915"/>
    <w:rsid w:val="0079679F"/>
    <w:rsid w:val="007A02D4"/>
    <w:rsid w:val="007A0979"/>
    <w:rsid w:val="007A2FC7"/>
    <w:rsid w:val="007A762E"/>
    <w:rsid w:val="007A7A8B"/>
    <w:rsid w:val="007B148A"/>
    <w:rsid w:val="007B2870"/>
    <w:rsid w:val="007B6066"/>
    <w:rsid w:val="007B6220"/>
    <w:rsid w:val="007B64CF"/>
    <w:rsid w:val="007C2253"/>
    <w:rsid w:val="007C2672"/>
    <w:rsid w:val="007C4318"/>
    <w:rsid w:val="007C5386"/>
    <w:rsid w:val="007C6344"/>
    <w:rsid w:val="007C6F48"/>
    <w:rsid w:val="007C6FBD"/>
    <w:rsid w:val="007C7889"/>
    <w:rsid w:val="007C7932"/>
    <w:rsid w:val="007D20C0"/>
    <w:rsid w:val="007D2E82"/>
    <w:rsid w:val="007D3946"/>
    <w:rsid w:val="007D4CBA"/>
    <w:rsid w:val="007D5A63"/>
    <w:rsid w:val="007D7B81"/>
    <w:rsid w:val="007E1306"/>
    <w:rsid w:val="007E1307"/>
    <w:rsid w:val="007E1380"/>
    <w:rsid w:val="007E13DD"/>
    <w:rsid w:val="007E163D"/>
    <w:rsid w:val="007E184E"/>
    <w:rsid w:val="007E1CEC"/>
    <w:rsid w:val="007E1FB6"/>
    <w:rsid w:val="007E2512"/>
    <w:rsid w:val="007E33C8"/>
    <w:rsid w:val="007E42C3"/>
    <w:rsid w:val="007E4362"/>
    <w:rsid w:val="007E462B"/>
    <w:rsid w:val="007E4FEA"/>
    <w:rsid w:val="007E667A"/>
    <w:rsid w:val="007E7589"/>
    <w:rsid w:val="007E7901"/>
    <w:rsid w:val="007E7B02"/>
    <w:rsid w:val="007F08B4"/>
    <w:rsid w:val="007F0E1B"/>
    <w:rsid w:val="007F11E6"/>
    <w:rsid w:val="007F2513"/>
    <w:rsid w:val="007F28C9"/>
    <w:rsid w:val="007F2E5D"/>
    <w:rsid w:val="007F344F"/>
    <w:rsid w:val="007F3944"/>
    <w:rsid w:val="007F4460"/>
    <w:rsid w:val="007F5770"/>
    <w:rsid w:val="007F59A4"/>
    <w:rsid w:val="007F648A"/>
    <w:rsid w:val="007F70CD"/>
    <w:rsid w:val="007F7486"/>
    <w:rsid w:val="00800E6E"/>
    <w:rsid w:val="0080247A"/>
    <w:rsid w:val="00802E48"/>
    <w:rsid w:val="00803587"/>
    <w:rsid w:val="008058DA"/>
    <w:rsid w:val="00805FB6"/>
    <w:rsid w:val="00806539"/>
    <w:rsid w:val="0080740E"/>
    <w:rsid w:val="00807626"/>
    <w:rsid w:val="00807EA0"/>
    <w:rsid w:val="008104E3"/>
    <w:rsid w:val="00810F17"/>
    <w:rsid w:val="008117E9"/>
    <w:rsid w:val="00812189"/>
    <w:rsid w:val="008122A1"/>
    <w:rsid w:val="008130AF"/>
    <w:rsid w:val="00813EA5"/>
    <w:rsid w:val="00815D66"/>
    <w:rsid w:val="00816CF9"/>
    <w:rsid w:val="0081770E"/>
    <w:rsid w:val="008222E7"/>
    <w:rsid w:val="00823AF7"/>
    <w:rsid w:val="00823CE0"/>
    <w:rsid w:val="00824498"/>
    <w:rsid w:val="00824CB4"/>
    <w:rsid w:val="00824FD2"/>
    <w:rsid w:val="0082574B"/>
    <w:rsid w:val="00826381"/>
    <w:rsid w:val="00827AB7"/>
    <w:rsid w:val="00827F14"/>
    <w:rsid w:val="00830333"/>
    <w:rsid w:val="00831E26"/>
    <w:rsid w:val="00831ECB"/>
    <w:rsid w:val="008342F0"/>
    <w:rsid w:val="008343A4"/>
    <w:rsid w:val="00834B14"/>
    <w:rsid w:val="00835C78"/>
    <w:rsid w:val="008370A9"/>
    <w:rsid w:val="00837116"/>
    <w:rsid w:val="00837E3F"/>
    <w:rsid w:val="00840128"/>
    <w:rsid w:val="00843323"/>
    <w:rsid w:val="00843545"/>
    <w:rsid w:val="00843671"/>
    <w:rsid w:val="00845EF6"/>
    <w:rsid w:val="00846B3A"/>
    <w:rsid w:val="00846BB8"/>
    <w:rsid w:val="00852174"/>
    <w:rsid w:val="00855614"/>
    <w:rsid w:val="00856A31"/>
    <w:rsid w:val="00860E23"/>
    <w:rsid w:val="008612CD"/>
    <w:rsid w:val="00862259"/>
    <w:rsid w:val="00863D0B"/>
    <w:rsid w:val="00863F45"/>
    <w:rsid w:val="00864B24"/>
    <w:rsid w:val="00864DA1"/>
    <w:rsid w:val="0086548E"/>
    <w:rsid w:val="008659B6"/>
    <w:rsid w:val="00865C5C"/>
    <w:rsid w:val="00866430"/>
    <w:rsid w:val="00866431"/>
    <w:rsid w:val="00866A41"/>
    <w:rsid w:val="00867416"/>
    <w:rsid w:val="00867B37"/>
    <w:rsid w:val="008702B6"/>
    <w:rsid w:val="008710B8"/>
    <w:rsid w:val="00871911"/>
    <w:rsid w:val="00871BE0"/>
    <w:rsid w:val="00871FA8"/>
    <w:rsid w:val="00872FE4"/>
    <w:rsid w:val="00873BDD"/>
    <w:rsid w:val="008740B7"/>
    <w:rsid w:val="00875326"/>
    <w:rsid w:val="008754D0"/>
    <w:rsid w:val="00876CCE"/>
    <w:rsid w:val="00881039"/>
    <w:rsid w:val="00881B9C"/>
    <w:rsid w:val="00882101"/>
    <w:rsid w:val="0088400C"/>
    <w:rsid w:val="008840A1"/>
    <w:rsid w:val="00884603"/>
    <w:rsid w:val="008855C9"/>
    <w:rsid w:val="008856C3"/>
    <w:rsid w:val="00886456"/>
    <w:rsid w:val="0089095D"/>
    <w:rsid w:val="0089217F"/>
    <w:rsid w:val="00892335"/>
    <w:rsid w:val="00893743"/>
    <w:rsid w:val="00893D94"/>
    <w:rsid w:val="00894C60"/>
    <w:rsid w:val="00894FBE"/>
    <w:rsid w:val="00895A3A"/>
    <w:rsid w:val="008966A2"/>
    <w:rsid w:val="008A1212"/>
    <w:rsid w:val="008A18D5"/>
    <w:rsid w:val="008A3EC6"/>
    <w:rsid w:val="008A46E1"/>
    <w:rsid w:val="008A4F43"/>
    <w:rsid w:val="008A5086"/>
    <w:rsid w:val="008A58FD"/>
    <w:rsid w:val="008A68C2"/>
    <w:rsid w:val="008B1CD5"/>
    <w:rsid w:val="008B2706"/>
    <w:rsid w:val="008B27CC"/>
    <w:rsid w:val="008B295A"/>
    <w:rsid w:val="008B2ADB"/>
    <w:rsid w:val="008B4B43"/>
    <w:rsid w:val="008B4F92"/>
    <w:rsid w:val="008B5178"/>
    <w:rsid w:val="008B5CA9"/>
    <w:rsid w:val="008B5EBB"/>
    <w:rsid w:val="008B638E"/>
    <w:rsid w:val="008B6A0D"/>
    <w:rsid w:val="008B77FA"/>
    <w:rsid w:val="008C11C8"/>
    <w:rsid w:val="008C17B5"/>
    <w:rsid w:val="008C1DE5"/>
    <w:rsid w:val="008C1E71"/>
    <w:rsid w:val="008C3D02"/>
    <w:rsid w:val="008C4462"/>
    <w:rsid w:val="008C44F3"/>
    <w:rsid w:val="008C6B1B"/>
    <w:rsid w:val="008C6F2B"/>
    <w:rsid w:val="008D0EE0"/>
    <w:rsid w:val="008D238C"/>
    <w:rsid w:val="008D2440"/>
    <w:rsid w:val="008D28C0"/>
    <w:rsid w:val="008D305E"/>
    <w:rsid w:val="008D4B24"/>
    <w:rsid w:val="008D4BA2"/>
    <w:rsid w:val="008D7584"/>
    <w:rsid w:val="008D79D2"/>
    <w:rsid w:val="008D79E4"/>
    <w:rsid w:val="008D7A87"/>
    <w:rsid w:val="008D7D73"/>
    <w:rsid w:val="008D7DCF"/>
    <w:rsid w:val="008E0BE2"/>
    <w:rsid w:val="008E1FC7"/>
    <w:rsid w:val="008E33C5"/>
    <w:rsid w:val="008E3611"/>
    <w:rsid w:val="008E5F88"/>
    <w:rsid w:val="008E6067"/>
    <w:rsid w:val="008E790A"/>
    <w:rsid w:val="008E79F9"/>
    <w:rsid w:val="008F0AD4"/>
    <w:rsid w:val="008F1351"/>
    <w:rsid w:val="008F1D7C"/>
    <w:rsid w:val="008F2DB7"/>
    <w:rsid w:val="008F319D"/>
    <w:rsid w:val="008F3C91"/>
    <w:rsid w:val="008F50F4"/>
    <w:rsid w:val="008F54E7"/>
    <w:rsid w:val="008F60EC"/>
    <w:rsid w:val="008F6D93"/>
    <w:rsid w:val="00900F76"/>
    <w:rsid w:val="0090102F"/>
    <w:rsid w:val="009011CF"/>
    <w:rsid w:val="00902749"/>
    <w:rsid w:val="00903266"/>
    <w:rsid w:val="00903422"/>
    <w:rsid w:val="009037C4"/>
    <w:rsid w:val="00903AFC"/>
    <w:rsid w:val="00904905"/>
    <w:rsid w:val="0090658A"/>
    <w:rsid w:val="00906E5E"/>
    <w:rsid w:val="009072C4"/>
    <w:rsid w:val="00907392"/>
    <w:rsid w:val="0090741B"/>
    <w:rsid w:val="00907879"/>
    <w:rsid w:val="00907F02"/>
    <w:rsid w:val="0091086C"/>
    <w:rsid w:val="0091271B"/>
    <w:rsid w:val="00912A31"/>
    <w:rsid w:val="00912B16"/>
    <w:rsid w:val="00914F2A"/>
    <w:rsid w:val="009158D7"/>
    <w:rsid w:val="00915DF9"/>
    <w:rsid w:val="009167A5"/>
    <w:rsid w:val="00916882"/>
    <w:rsid w:val="00917483"/>
    <w:rsid w:val="00920241"/>
    <w:rsid w:val="009214F4"/>
    <w:rsid w:val="0092191F"/>
    <w:rsid w:val="0092194E"/>
    <w:rsid w:val="00921ECD"/>
    <w:rsid w:val="00921F0E"/>
    <w:rsid w:val="00922C9A"/>
    <w:rsid w:val="00923880"/>
    <w:rsid w:val="009248DA"/>
    <w:rsid w:val="00924F6A"/>
    <w:rsid w:val="00925156"/>
    <w:rsid w:val="009254C3"/>
    <w:rsid w:val="0092553F"/>
    <w:rsid w:val="009261A6"/>
    <w:rsid w:val="00926BF3"/>
    <w:rsid w:val="009276A8"/>
    <w:rsid w:val="00927DA9"/>
    <w:rsid w:val="00927E40"/>
    <w:rsid w:val="00932377"/>
    <w:rsid w:val="00934528"/>
    <w:rsid w:val="00934E66"/>
    <w:rsid w:val="0093537F"/>
    <w:rsid w:val="009357DC"/>
    <w:rsid w:val="00937603"/>
    <w:rsid w:val="00940569"/>
    <w:rsid w:val="009413D2"/>
    <w:rsid w:val="0094195E"/>
    <w:rsid w:val="00941C38"/>
    <w:rsid w:val="00942113"/>
    <w:rsid w:val="00942B24"/>
    <w:rsid w:val="0094346E"/>
    <w:rsid w:val="009447FC"/>
    <w:rsid w:val="009448AA"/>
    <w:rsid w:val="00945414"/>
    <w:rsid w:val="009459A1"/>
    <w:rsid w:val="00947D5A"/>
    <w:rsid w:val="00947E35"/>
    <w:rsid w:val="009500D6"/>
    <w:rsid w:val="00950FB8"/>
    <w:rsid w:val="009510BF"/>
    <w:rsid w:val="009532A5"/>
    <w:rsid w:val="00953B0C"/>
    <w:rsid w:val="009541B8"/>
    <w:rsid w:val="00954560"/>
    <w:rsid w:val="009559CA"/>
    <w:rsid w:val="00957DE5"/>
    <w:rsid w:val="00960D7D"/>
    <w:rsid w:val="0096200A"/>
    <w:rsid w:val="0096257B"/>
    <w:rsid w:val="00963115"/>
    <w:rsid w:val="0096321E"/>
    <w:rsid w:val="00963764"/>
    <w:rsid w:val="00965B46"/>
    <w:rsid w:val="00965F67"/>
    <w:rsid w:val="00966592"/>
    <w:rsid w:val="00967655"/>
    <w:rsid w:val="00971652"/>
    <w:rsid w:val="009718B2"/>
    <w:rsid w:val="00971923"/>
    <w:rsid w:val="00971A0E"/>
    <w:rsid w:val="00972932"/>
    <w:rsid w:val="00972AD8"/>
    <w:rsid w:val="00972B50"/>
    <w:rsid w:val="00972C73"/>
    <w:rsid w:val="0097336D"/>
    <w:rsid w:val="009734B1"/>
    <w:rsid w:val="009735C0"/>
    <w:rsid w:val="00974CBF"/>
    <w:rsid w:val="00975454"/>
    <w:rsid w:val="0097597D"/>
    <w:rsid w:val="00976500"/>
    <w:rsid w:val="00976F41"/>
    <w:rsid w:val="00981814"/>
    <w:rsid w:val="00982242"/>
    <w:rsid w:val="00982B20"/>
    <w:rsid w:val="0098338C"/>
    <w:rsid w:val="00983C67"/>
    <w:rsid w:val="00984E17"/>
    <w:rsid w:val="0098573B"/>
    <w:rsid w:val="009864E5"/>
    <w:rsid w:val="009868E9"/>
    <w:rsid w:val="009912B8"/>
    <w:rsid w:val="0099295D"/>
    <w:rsid w:val="009932D1"/>
    <w:rsid w:val="00993D49"/>
    <w:rsid w:val="00994850"/>
    <w:rsid w:val="009948F1"/>
    <w:rsid w:val="00995185"/>
    <w:rsid w:val="00996FBB"/>
    <w:rsid w:val="009978B2"/>
    <w:rsid w:val="009A031F"/>
    <w:rsid w:val="009A15B3"/>
    <w:rsid w:val="009A1F25"/>
    <w:rsid w:val="009A218D"/>
    <w:rsid w:val="009A32AD"/>
    <w:rsid w:val="009A3F3A"/>
    <w:rsid w:val="009A4237"/>
    <w:rsid w:val="009A5B90"/>
    <w:rsid w:val="009A5BE8"/>
    <w:rsid w:val="009A714C"/>
    <w:rsid w:val="009B14FD"/>
    <w:rsid w:val="009B19DB"/>
    <w:rsid w:val="009B2237"/>
    <w:rsid w:val="009B2A7A"/>
    <w:rsid w:val="009B2BBF"/>
    <w:rsid w:val="009B5AB3"/>
    <w:rsid w:val="009B5D57"/>
    <w:rsid w:val="009B5F5E"/>
    <w:rsid w:val="009B6E57"/>
    <w:rsid w:val="009B720E"/>
    <w:rsid w:val="009B73DA"/>
    <w:rsid w:val="009B74C0"/>
    <w:rsid w:val="009B7797"/>
    <w:rsid w:val="009B7E0C"/>
    <w:rsid w:val="009B7E54"/>
    <w:rsid w:val="009B7FA5"/>
    <w:rsid w:val="009C02F5"/>
    <w:rsid w:val="009C0CFE"/>
    <w:rsid w:val="009C0D79"/>
    <w:rsid w:val="009C22FE"/>
    <w:rsid w:val="009C3064"/>
    <w:rsid w:val="009C6B34"/>
    <w:rsid w:val="009C7844"/>
    <w:rsid w:val="009D11BD"/>
    <w:rsid w:val="009D1468"/>
    <w:rsid w:val="009D1BF4"/>
    <w:rsid w:val="009D2120"/>
    <w:rsid w:val="009D218B"/>
    <w:rsid w:val="009D2C8E"/>
    <w:rsid w:val="009D3A6C"/>
    <w:rsid w:val="009D4271"/>
    <w:rsid w:val="009D6E2A"/>
    <w:rsid w:val="009D789B"/>
    <w:rsid w:val="009E0C58"/>
    <w:rsid w:val="009E1302"/>
    <w:rsid w:val="009E1604"/>
    <w:rsid w:val="009E20BA"/>
    <w:rsid w:val="009E2FD8"/>
    <w:rsid w:val="009E38E0"/>
    <w:rsid w:val="009E49BA"/>
    <w:rsid w:val="009E5A38"/>
    <w:rsid w:val="009E5CFC"/>
    <w:rsid w:val="009E6032"/>
    <w:rsid w:val="009F1A39"/>
    <w:rsid w:val="009F3F72"/>
    <w:rsid w:val="009F57CA"/>
    <w:rsid w:val="009F5A3D"/>
    <w:rsid w:val="009F60D0"/>
    <w:rsid w:val="009F64E9"/>
    <w:rsid w:val="00A0366F"/>
    <w:rsid w:val="00A03A11"/>
    <w:rsid w:val="00A03CC4"/>
    <w:rsid w:val="00A053DD"/>
    <w:rsid w:val="00A058B6"/>
    <w:rsid w:val="00A05DBC"/>
    <w:rsid w:val="00A079CB"/>
    <w:rsid w:val="00A07DD1"/>
    <w:rsid w:val="00A11447"/>
    <w:rsid w:val="00A116D9"/>
    <w:rsid w:val="00A117C6"/>
    <w:rsid w:val="00A11FEF"/>
    <w:rsid w:val="00A12128"/>
    <w:rsid w:val="00A124A7"/>
    <w:rsid w:val="00A12E52"/>
    <w:rsid w:val="00A1323E"/>
    <w:rsid w:val="00A13FCD"/>
    <w:rsid w:val="00A14739"/>
    <w:rsid w:val="00A14F5E"/>
    <w:rsid w:val="00A1590A"/>
    <w:rsid w:val="00A15DB3"/>
    <w:rsid w:val="00A16DC5"/>
    <w:rsid w:val="00A21909"/>
    <w:rsid w:val="00A21A2E"/>
    <w:rsid w:val="00A22894"/>
    <w:rsid w:val="00A22C98"/>
    <w:rsid w:val="00A231E2"/>
    <w:rsid w:val="00A23DB5"/>
    <w:rsid w:val="00A24C1C"/>
    <w:rsid w:val="00A2520A"/>
    <w:rsid w:val="00A27298"/>
    <w:rsid w:val="00A27460"/>
    <w:rsid w:val="00A30311"/>
    <w:rsid w:val="00A30A2E"/>
    <w:rsid w:val="00A30E02"/>
    <w:rsid w:val="00A31910"/>
    <w:rsid w:val="00A3357B"/>
    <w:rsid w:val="00A3357E"/>
    <w:rsid w:val="00A35D57"/>
    <w:rsid w:val="00A35E72"/>
    <w:rsid w:val="00A37762"/>
    <w:rsid w:val="00A419D9"/>
    <w:rsid w:val="00A42830"/>
    <w:rsid w:val="00A43870"/>
    <w:rsid w:val="00A448D2"/>
    <w:rsid w:val="00A45015"/>
    <w:rsid w:val="00A519BE"/>
    <w:rsid w:val="00A52C6F"/>
    <w:rsid w:val="00A52DA5"/>
    <w:rsid w:val="00A53E3F"/>
    <w:rsid w:val="00A541F8"/>
    <w:rsid w:val="00A54A62"/>
    <w:rsid w:val="00A55F7D"/>
    <w:rsid w:val="00A55FD4"/>
    <w:rsid w:val="00A56CE8"/>
    <w:rsid w:val="00A57410"/>
    <w:rsid w:val="00A60668"/>
    <w:rsid w:val="00A60F23"/>
    <w:rsid w:val="00A60FEC"/>
    <w:rsid w:val="00A61F06"/>
    <w:rsid w:val="00A64702"/>
    <w:rsid w:val="00A64856"/>
    <w:rsid w:val="00A64912"/>
    <w:rsid w:val="00A64F0E"/>
    <w:rsid w:val="00A66083"/>
    <w:rsid w:val="00A66FC8"/>
    <w:rsid w:val="00A70A74"/>
    <w:rsid w:val="00A71446"/>
    <w:rsid w:val="00A71679"/>
    <w:rsid w:val="00A72477"/>
    <w:rsid w:val="00A730DD"/>
    <w:rsid w:val="00A7327A"/>
    <w:rsid w:val="00A73C30"/>
    <w:rsid w:val="00A74829"/>
    <w:rsid w:val="00A7635B"/>
    <w:rsid w:val="00A77867"/>
    <w:rsid w:val="00A77ECB"/>
    <w:rsid w:val="00A80613"/>
    <w:rsid w:val="00A81FDF"/>
    <w:rsid w:val="00A821D4"/>
    <w:rsid w:val="00A838A7"/>
    <w:rsid w:val="00A83B35"/>
    <w:rsid w:val="00A8457E"/>
    <w:rsid w:val="00A86D56"/>
    <w:rsid w:val="00A871E0"/>
    <w:rsid w:val="00A87EE5"/>
    <w:rsid w:val="00A913FD"/>
    <w:rsid w:val="00A925F1"/>
    <w:rsid w:val="00A93E55"/>
    <w:rsid w:val="00A93E82"/>
    <w:rsid w:val="00A9505E"/>
    <w:rsid w:val="00A95E38"/>
    <w:rsid w:val="00A9628D"/>
    <w:rsid w:val="00A9646D"/>
    <w:rsid w:val="00A975A9"/>
    <w:rsid w:val="00AA0046"/>
    <w:rsid w:val="00AA0180"/>
    <w:rsid w:val="00AA0B64"/>
    <w:rsid w:val="00AA15F4"/>
    <w:rsid w:val="00AA23B7"/>
    <w:rsid w:val="00AA2844"/>
    <w:rsid w:val="00AB0143"/>
    <w:rsid w:val="00AB242F"/>
    <w:rsid w:val="00AB2673"/>
    <w:rsid w:val="00AB3786"/>
    <w:rsid w:val="00AB37C0"/>
    <w:rsid w:val="00AB47AB"/>
    <w:rsid w:val="00AB569A"/>
    <w:rsid w:val="00AB5D2F"/>
    <w:rsid w:val="00AB66DA"/>
    <w:rsid w:val="00AB6BFE"/>
    <w:rsid w:val="00AB6D0A"/>
    <w:rsid w:val="00AB74FA"/>
    <w:rsid w:val="00AB7A39"/>
    <w:rsid w:val="00AC2A64"/>
    <w:rsid w:val="00AC3633"/>
    <w:rsid w:val="00AC4090"/>
    <w:rsid w:val="00AC4B5F"/>
    <w:rsid w:val="00AC4CA6"/>
    <w:rsid w:val="00AC4D78"/>
    <w:rsid w:val="00AC595A"/>
    <w:rsid w:val="00AC5E18"/>
    <w:rsid w:val="00AC7B97"/>
    <w:rsid w:val="00AD061A"/>
    <w:rsid w:val="00AD0E54"/>
    <w:rsid w:val="00AD2431"/>
    <w:rsid w:val="00AD2956"/>
    <w:rsid w:val="00AD2A61"/>
    <w:rsid w:val="00AD2A79"/>
    <w:rsid w:val="00AD2F5C"/>
    <w:rsid w:val="00AD39A3"/>
    <w:rsid w:val="00AD4D18"/>
    <w:rsid w:val="00AD522F"/>
    <w:rsid w:val="00AD5641"/>
    <w:rsid w:val="00AD7889"/>
    <w:rsid w:val="00AE063B"/>
    <w:rsid w:val="00AE098F"/>
    <w:rsid w:val="00AE09BF"/>
    <w:rsid w:val="00AE0B21"/>
    <w:rsid w:val="00AE3652"/>
    <w:rsid w:val="00AE3663"/>
    <w:rsid w:val="00AE3C1B"/>
    <w:rsid w:val="00AE3EA7"/>
    <w:rsid w:val="00AE472D"/>
    <w:rsid w:val="00AE4DFC"/>
    <w:rsid w:val="00AE5C5C"/>
    <w:rsid w:val="00AE5D4E"/>
    <w:rsid w:val="00AE62F5"/>
    <w:rsid w:val="00AE6D0D"/>
    <w:rsid w:val="00AE7F79"/>
    <w:rsid w:val="00AF021B"/>
    <w:rsid w:val="00AF04E7"/>
    <w:rsid w:val="00AF06CF"/>
    <w:rsid w:val="00AF13B5"/>
    <w:rsid w:val="00AF1E2C"/>
    <w:rsid w:val="00AF1E4E"/>
    <w:rsid w:val="00AF376A"/>
    <w:rsid w:val="00AF39A3"/>
    <w:rsid w:val="00AF480B"/>
    <w:rsid w:val="00AF5C11"/>
    <w:rsid w:val="00AF7266"/>
    <w:rsid w:val="00B00225"/>
    <w:rsid w:val="00B010A4"/>
    <w:rsid w:val="00B010A5"/>
    <w:rsid w:val="00B013B2"/>
    <w:rsid w:val="00B01806"/>
    <w:rsid w:val="00B03C57"/>
    <w:rsid w:val="00B03F33"/>
    <w:rsid w:val="00B04716"/>
    <w:rsid w:val="00B056A1"/>
    <w:rsid w:val="00B05CDE"/>
    <w:rsid w:val="00B05CF4"/>
    <w:rsid w:val="00B05F4D"/>
    <w:rsid w:val="00B05FD6"/>
    <w:rsid w:val="00B07200"/>
    <w:rsid w:val="00B07346"/>
    <w:rsid w:val="00B074ED"/>
    <w:rsid w:val="00B075C7"/>
    <w:rsid w:val="00B07655"/>
    <w:rsid w:val="00B07CDB"/>
    <w:rsid w:val="00B11C98"/>
    <w:rsid w:val="00B12D2E"/>
    <w:rsid w:val="00B12FB5"/>
    <w:rsid w:val="00B13F04"/>
    <w:rsid w:val="00B157C9"/>
    <w:rsid w:val="00B159D1"/>
    <w:rsid w:val="00B16A31"/>
    <w:rsid w:val="00B17BB3"/>
    <w:rsid w:val="00B17DFD"/>
    <w:rsid w:val="00B20B85"/>
    <w:rsid w:val="00B20C95"/>
    <w:rsid w:val="00B2311C"/>
    <w:rsid w:val="00B237C7"/>
    <w:rsid w:val="00B2437C"/>
    <w:rsid w:val="00B26762"/>
    <w:rsid w:val="00B278F4"/>
    <w:rsid w:val="00B27FC0"/>
    <w:rsid w:val="00B30632"/>
    <w:rsid w:val="00B308FE"/>
    <w:rsid w:val="00B30CE8"/>
    <w:rsid w:val="00B3196E"/>
    <w:rsid w:val="00B319BB"/>
    <w:rsid w:val="00B31D92"/>
    <w:rsid w:val="00B32921"/>
    <w:rsid w:val="00B32FA4"/>
    <w:rsid w:val="00B33709"/>
    <w:rsid w:val="00B33790"/>
    <w:rsid w:val="00B33B3C"/>
    <w:rsid w:val="00B3440B"/>
    <w:rsid w:val="00B351A4"/>
    <w:rsid w:val="00B359C6"/>
    <w:rsid w:val="00B372CC"/>
    <w:rsid w:val="00B43CA3"/>
    <w:rsid w:val="00B43E00"/>
    <w:rsid w:val="00B447F2"/>
    <w:rsid w:val="00B457EA"/>
    <w:rsid w:val="00B45BF5"/>
    <w:rsid w:val="00B50269"/>
    <w:rsid w:val="00B50A4F"/>
    <w:rsid w:val="00B50ADC"/>
    <w:rsid w:val="00B53519"/>
    <w:rsid w:val="00B53ED4"/>
    <w:rsid w:val="00B54A4F"/>
    <w:rsid w:val="00B566B1"/>
    <w:rsid w:val="00B60B55"/>
    <w:rsid w:val="00B61A41"/>
    <w:rsid w:val="00B62ACB"/>
    <w:rsid w:val="00B636FD"/>
    <w:rsid w:val="00B63834"/>
    <w:rsid w:val="00B63B90"/>
    <w:rsid w:val="00B64D57"/>
    <w:rsid w:val="00B65444"/>
    <w:rsid w:val="00B65F8A"/>
    <w:rsid w:val="00B66A02"/>
    <w:rsid w:val="00B70FBB"/>
    <w:rsid w:val="00B72734"/>
    <w:rsid w:val="00B72798"/>
    <w:rsid w:val="00B72C45"/>
    <w:rsid w:val="00B72DB6"/>
    <w:rsid w:val="00B73CB3"/>
    <w:rsid w:val="00B73F61"/>
    <w:rsid w:val="00B7403E"/>
    <w:rsid w:val="00B7524F"/>
    <w:rsid w:val="00B80199"/>
    <w:rsid w:val="00B811FF"/>
    <w:rsid w:val="00B81FFE"/>
    <w:rsid w:val="00B83204"/>
    <w:rsid w:val="00B84661"/>
    <w:rsid w:val="00B85AFB"/>
    <w:rsid w:val="00B86D7A"/>
    <w:rsid w:val="00B94484"/>
    <w:rsid w:val="00B95903"/>
    <w:rsid w:val="00B9590B"/>
    <w:rsid w:val="00B960D4"/>
    <w:rsid w:val="00B973C9"/>
    <w:rsid w:val="00BA0BF5"/>
    <w:rsid w:val="00BA0C87"/>
    <w:rsid w:val="00BA220B"/>
    <w:rsid w:val="00BA3A57"/>
    <w:rsid w:val="00BA4EBC"/>
    <w:rsid w:val="00BA6908"/>
    <w:rsid w:val="00BA691F"/>
    <w:rsid w:val="00BA78F6"/>
    <w:rsid w:val="00BB1265"/>
    <w:rsid w:val="00BB252D"/>
    <w:rsid w:val="00BB37D5"/>
    <w:rsid w:val="00BB4E1A"/>
    <w:rsid w:val="00BB6A9A"/>
    <w:rsid w:val="00BB6C80"/>
    <w:rsid w:val="00BB6F27"/>
    <w:rsid w:val="00BB7443"/>
    <w:rsid w:val="00BC015E"/>
    <w:rsid w:val="00BC0D9B"/>
    <w:rsid w:val="00BC17F6"/>
    <w:rsid w:val="00BC1D2E"/>
    <w:rsid w:val="00BC1EB4"/>
    <w:rsid w:val="00BC3F1C"/>
    <w:rsid w:val="00BC42F9"/>
    <w:rsid w:val="00BC4ADE"/>
    <w:rsid w:val="00BC58DE"/>
    <w:rsid w:val="00BC606C"/>
    <w:rsid w:val="00BC76AC"/>
    <w:rsid w:val="00BD016B"/>
    <w:rsid w:val="00BD046A"/>
    <w:rsid w:val="00BD0ECB"/>
    <w:rsid w:val="00BD1AF5"/>
    <w:rsid w:val="00BD3C21"/>
    <w:rsid w:val="00BD493D"/>
    <w:rsid w:val="00BD5CBC"/>
    <w:rsid w:val="00BD6A9F"/>
    <w:rsid w:val="00BD7350"/>
    <w:rsid w:val="00BE0DF6"/>
    <w:rsid w:val="00BE2155"/>
    <w:rsid w:val="00BE2213"/>
    <w:rsid w:val="00BE3D44"/>
    <w:rsid w:val="00BE592A"/>
    <w:rsid w:val="00BE6827"/>
    <w:rsid w:val="00BE719A"/>
    <w:rsid w:val="00BE720A"/>
    <w:rsid w:val="00BE7A79"/>
    <w:rsid w:val="00BE7BA5"/>
    <w:rsid w:val="00BF0D73"/>
    <w:rsid w:val="00BF15B4"/>
    <w:rsid w:val="00BF1B2E"/>
    <w:rsid w:val="00BF1F07"/>
    <w:rsid w:val="00BF2465"/>
    <w:rsid w:val="00BF2DA6"/>
    <w:rsid w:val="00BF4F23"/>
    <w:rsid w:val="00BF50DC"/>
    <w:rsid w:val="00BF5C9E"/>
    <w:rsid w:val="00BF6136"/>
    <w:rsid w:val="00BF628A"/>
    <w:rsid w:val="00BF7D42"/>
    <w:rsid w:val="00BF7F70"/>
    <w:rsid w:val="00C01716"/>
    <w:rsid w:val="00C01DCC"/>
    <w:rsid w:val="00C035B8"/>
    <w:rsid w:val="00C03724"/>
    <w:rsid w:val="00C0382C"/>
    <w:rsid w:val="00C04347"/>
    <w:rsid w:val="00C04D99"/>
    <w:rsid w:val="00C05109"/>
    <w:rsid w:val="00C05C7A"/>
    <w:rsid w:val="00C10905"/>
    <w:rsid w:val="00C10B17"/>
    <w:rsid w:val="00C10C08"/>
    <w:rsid w:val="00C13CDA"/>
    <w:rsid w:val="00C17197"/>
    <w:rsid w:val="00C17D47"/>
    <w:rsid w:val="00C17E02"/>
    <w:rsid w:val="00C21618"/>
    <w:rsid w:val="00C217FF"/>
    <w:rsid w:val="00C22380"/>
    <w:rsid w:val="00C22D2D"/>
    <w:rsid w:val="00C232E2"/>
    <w:rsid w:val="00C23AFC"/>
    <w:rsid w:val="00C23CEA"/>
    <w:rsid w:val="00C25935"/>
    <w:rsid w:val="00C25E7F"/>
    <w:rsid w:val="00C26D33"/>
    <w:rsid w:val="00C2746F"/>
    <w:rsid w:val="00C324A0"/>
    <w:rsid w:val="00C3300F"/>
    <w:rsid w:val="00C331CE"/>
    <w:rsid w:val="00C33663"/>
    <w:rsid w:val="00C33982"/>
    <w:rsid w:val="00C34803"/>
    <w:rsid w:val="00C34B2F"/>
    <w:rsid w:val="00C353E2"/>
    <w:rsid w:val="00C36D98"/>
    <w:rsid w:val="00C413BB"/>
    <w:rsid w:val="00C42BF8"/>
    <w:rsid w:val="00C467D2"/>
    <w:rsid w:val="00C50043"/>
    <w:rsid w:val="00C525FF"/>
    <w:rsid w:val="00C531E0"/>
    <w:rsid w:val="00C53678"/>
    <w:rsid w:val="00C536DA"/>
    <w:rsid w:val="00C553FB"/>
    <w:rsid w:val="00C55AE2"/>
    <w:rsid w:val="00C561F9"/>
    <w:rsid w:val="00C60F28"/>
    <w:rsid w:val="00C6137A"/>
    <w:rsid w:val="00C61494"/>
    <w:rsid w:val="00C61BD2"/>
    <w:rsid w:val="00C62677"/>
    <w:rsid w:val="00C6275B"/>
    <w:rsid w:val="00C64B68"/>
    <w:rsid w:val="00C653FD"/>
    <w:rsid w:val="00C701B4"/>
    <w:rsid w:val="00C70B1D"/>
    <w:rsid w:val="00C70ED7"/>
    <w:rsid w:val="00C72101"/>
    <w:rsid w:val="00C72596"/>
    <w:rsid w:val="00C7268E"/>
    <w:rsid w:val="00C72E30"/>
    <w:rsid w:val="00C72F56"/>
    <w:rsid w:val="00C73122"/>
    <w:rsid w:val="00C73697"/>
    <w:rsid w:val="00C7529E"/>
    <w:rsid w:val="00C7573B"/>
    <w:rsid w:val="00C77148"/>
    <w:rsid w:val="00C80032"/>
    <w:rsid w:val="00C803DD"/>
    <w:rsid w:val="00C811AC"/>
    <w:rsid w:val="00C812C2"/>
    <w:rsid w:val="00C86D94"/>
    <w:rsid w:val="00C901DA"/>
    <w:rsid w:val="00C9138F"/>
    <w:rsid w:val="00C930EE"/>
    <w:rsid w:val="00C9354A"/>
    <w:rsid w:val="00C93C03"/>
    <w:rsid w:val="00C93F42"/>
    <w:rsid w:val="00C95283"/>
    <w:rsid w:val="00C952AC"/>
    <w:rsid w:val="00C95CE4"/>
    <w:rsid w:val="00C96642"/>
    <w:rsid w:val="00C96CF8"/>
    <w:rsid w:val="00C97095"/>
    <w:rsid w:val="00C97FC3"/>
    <w:rsid w:val="00CA151A"/>
    <w:rsid w:val="00CA1721"/>
    <w:rsid w:val="00CA1D76"/>
    <w:rsid w:val="00CA38D8"/>
    <w:rsid w:val="00CA79C9"/>
    <w:rsid w:val="00CB00EB"/>
    <w:rsid w:val="00CB024F"/>
    <w:rsid w:val="00CB0E48"/>
    <w:rsid w:val="00CB2C8E"/>
    <w:rsid w:val="00CB376C"/>
    <w:rsid w:val="00CB602E"/>
    <w:rsid w:val="00CB78B9"/>
    <w:rsid w:val="00CB7F14"/>
    <w:rsid w:val="00CC0337"/>
    <w:rsid w:val="00CC03C1"/>
    <w:rsid w:val="00CC093B"/>
    <w:rsid w:val="00CC1399"/>
    <w:rsid w:val="00CC1C20"/>
    <w:rsid w:val="00CC1CCE"/>
    <w:rsid w:val="00CC2824"/>
    <w:rsid w:val="00CC2876"/>
    <w:rsid w:val="00CC3B05"/>
    <w:rsid w:val="00CC6E03"/>
    <w:rsid w:val="00CC7D86"/>
    <w:rsid w:val="00CC7EFC"/>
    <w:rsid w:val="00CD0252"/>
    <w:rsid w:val="00CD08BC"/>
    <w:rsid w:val="00CD1AFE"/>
    <w:rsid w:val="00CD2453"/>
    <w:rsid w:val="00CD2D41"/>
    <w:rsid w:val="00CD2EF1"/>
    <w:rsid w:val="00CD4482"/>
    <w:rsid w:val="00CD531E"/>
    <w:rsid w:val="00CD5F92"/>
    <w:rsid w:val="00CE051D"/>
    <w:rsid w:val="00CE1335"/>
    <w:rsid w:val="00CE1689"/>
    <w:rsid w:val="00CE3173"/>
    <w:rsid w:val="00CE321A"/>
    <w:rsid w:val="00CE3ECD"/>
    <w:rsid w:val="00CE40EC"/>
    <w:rsid w:val="00CE493D"/>
    <w:rsid w:val="00CE62B7"/>
    <w:rsid w:val="00CE6CA4"/>
    <w:rsid w:val="00CE70D3"/>
    <w:rsid w:val="00CE7E20"/>
    <w:rsid w:val="00CF07FA"/>
    <w:rsid w:val="00CF0BB2"/>
    <w:rsid w:val="00CF3CA6"/>
    <w:rsid w:val="00CF3EE8"/>
    <w:rsid w:val="00CF6009"/>
    <w:rsid w:val="00CF725B"/>
    <w:rsid w:val="00D00CC6"/>
    <w:rsid w:val="00D00D68"/>
    <w:rsid w:val="00D0106F"/>
    <w:rsid w:val="00D012C2"/>
    <w:rsid w:val="00D013D6"/>
    <w:rsid w:val="00D02ADD"/>
    <w:rsid w:val="00D041BA"/>
    <w:rsid w:val="00D04746"/>
    <w:rsid w:val="00D050E6"/>
    <w:rsid w:val="00D0566C"/>
    <w:rsid w:val="00D05E34"/>
    <w:rsid w:val="00D06D20"/>
    <w:rsid w:val="00D07951"/>
    <w:rsid w:val="00D11C0F"/>
    <w:rsid w:val="00D11F79"/>
    <w:rsid w:val="00D11F90"/>
    <w:rsid w:val="00D12B02"/>
    <w:rsid w:val="00D12B8A"/>
    <w:rsid w:val="00D12E49"/>
    <w:rsid w:val="00D13441"/>
    <w:rsid w:val="00D13B19"/>
    <w:rsid w:val="00D13DD4"/>
    <w:rsid w:val="00D14046"/>
    <w:rsid w:val="00D149CB"/>
    <w:rsid w:val="00D150E7"/>
    <w:rsid w:val="00D15BED"/>
    <w:rsid w:val="00D16034"/>
    <w:rsid w:val="00D16791"/>
    <w:rsid w:val="00D16B3C"/>
    <w:rsid w:val="00D17A7A"/>
    <w:rsid w:val="00D2146B"/>
    <w:rsid w:val="00D23444"/>
    <w:rsid w:val="00D241EB"/>
    <w:rsid w:val="00D249EC"/>
    <w:rsid w:val="00D255B2"/>
    <w:rsid w:val="00D2597A"/>
    <w:rsid w:val="00D25A57"/>
    <w:rsid w:val="00D25C69"/>
    <w:rsid w:val="00D25ECD"/>
    <w:rsid w:val="00D2689D"/>
    <w:rsid w:val="00D27A3E"/>
    <w:rsid w:val="00D27BA2"/>
    <w:rsid w:val="00D31407"/>
    <w:rsid w:val="00D31812"/>
    <w:rsid w:val="00D32356"/>
    <w:rsid w:val="00D32928"/>
    <w:rsid w:val="00D32F65"/>
    <w:rsid w:val="00D333F2"/>
    <w:rsid w:val="00D3430B"/>
    <w:rsid w:val="00D34796"/>
    <w:rsid w:val="00D34847"/>
    <w:rsid w:val="00D34D99"/>
    <w:rsid w:val="00D35743"/>
    <w:rsid w:val="00D359B8"/>
    <w:rsid w:val="00D35CE4"/>
    <w:rsid w:val="00D36F36"/>
    <w:rsid w:val="00D4025D"/>
    <w:rsid w:val="00D421C7"/>
    <w:rsid w:val="00D428AB"/>
    <w:rsid w:val="00D43DED"/>
    <w:rsid w:val="00D44C63"/>
    <w:rsid w:val="00D469DB"/>
    <w:rsid w:val="00D47344"/>
    <w:rsid w:val="00D5051B"/>
    <w:rsid w:val="00D50BE9"/>
    <w:rsid w:val="00D51042"/>
    <w:rsid w:val="00D52DC2"/>
    <w:rsid w:val="00D53BCC"/>
    <w:rsid w:val="00D54844"/>
    <w:rsid w:val="00D55791"/>
    <w:rsid w:val="00D55F8E"/>
    <w:rsid w:val="00D5655F"/>
    <w:rsid w:val="00D56CC2"/>
    <w:rsid w:val="00D57B96"/>
    <w:rsid w:val="00D60F4D"/>
    <w:rsid w:val="00D61AF0"/>
    <w:rsid w:val="00D625C7"/>
    <w:rsid w:val="00D62E43"/>
    <w:rsid w:val="00D635A5"/>
    <w:rsid w:val="00D63B87"/>
    <w:rsid w:val="00D6522E"/>
    <w:rsid w:val="00D65FCB"/>
    <w:rsid w:val="00D66ABE"/>
    <w:rsid w:val="00D67E8A"/>
    <w:rsid w:val="00D7058B"/>
    <w:rsid w:val="00D70D66"/>
    <w:rsid w:val="00D70DFB"/>
    <w:rsid w:val="00D70F56"/>
    <w:rsid w:val="00D7107D"/>
    <w:rsid w:val="00D7157D"/>
    <w:rsid w:val="00D724B4"/>
    <w:rsid w:val="00D72A59"/>
    <w:rsid w:val="00D73414"/>
    <w:rsid w:val="00D741D6"/>
    <w:rsid w:val="00D766DF"/>
    <w:rsid w:val="00D77539"/>
    <w:rsid w:val="00D80AA2"/>
    <w:rsid w:val="00D821D7"/>
    <w:rsid w:val="00D83C27"/>
    <w:rsid w:val="00D83CB9"/>
    <w:rsid w:val="00D83E5F"/>
    <w:rsid w:val="00D84587"/>
    <w:rsid w:val="00D85BCE"/>
    <w:rsid w:val="00D85DB5"/>
    <w:rsid w:val="00D87344"/>
    <w:rsid w:val="00D876A3"/>
    <w:rsid w:val="00D90632"/>
    <w:rsid w:val="00D91E56"/>
    <w:rsid w:val="00D928D5"/>
    <w:rsid w:val="00D92AA3"/>
    <w:rsid w:val="00D930D9"/>
    <w:rsid w:val="00D9328C"/>
    <w:rsid w:val="00D934D5"/>
    <w:rsid w:val="00D93A6D"/>
    <w:rsid w:val="00D960B9"/>
    <w:rsid w:val="00D96967"/>
    <w:rsid w:val="00D96DCF"/>
    <w:rsid w:val="00D97C7D"/>
    <w:rsid w:val="00DA0111"/>
    <w:rsid w:val="00DA186E"/>
    <w:rsid w:val="00DA26B0"/>
    <w:rsid w:val="00DA33A2"/>
    <w:rsid w:val="00DA4116"/>
    <w:rsid w:val="00DA50F8"/>
    <w:rsid w:val="00DA6614"/>
    <w:rsid w:val="00DB036F"/>
    <w:rsid w:val="00DB0CEE"/>
    <w:rsid w:val="00DB138B"/>
    <w:rsid w:val="00DB2010"/>
    <w:rsid w:val="00DB246B"/>
    <w:rsid w:val="00DB251C"/>
    <w:rsid w:val="00DB2716"/>
    <w:rsid w:val="00DB3A51"/>
    <w:rsid w:val="00DB3EEC"/>
    <w:rsid w:val="00DB4630"/>
    <w:rsid w:val="00DB4A74"/>
    <w:rsid w:val="00DB52A7"/>
    <w:rsid w:val="00DB584C"/>
    <w:rsid w:val="00DB7407"/>
    <w:rsid w:val="00DB76FC"/>
    <w:rsid w:val="00DC07DD"/>
    <w:rsid w:val="00DC1A88"/>
    <w:rsid w:val="00DC38FD"/>
    <w:rsid w:val="00DC46D2"/>
    <w:rsid w:val="00DC4C1B"/>
    <w:rsid w:val="00DC4F88"/>
    <w:rsid w:val="00DC5678"/>
    <w:rsid w:val="00DC5E1C"/>
    <w:rsid w:val="00DC5FCF"/>
    <w:rsid w:val="00DC62AD"/>
    <w:rsid w:val="00DC7B59"/>
    <w:rsid w:val="00DD041A"/>
    <w:rsid w:val="00DD150B"/>
    <w:rsid w:val="00DD25DA"/>
    <w:rsid w:val="00DD481B"/>
    <w:rsid w:val="00DD4A42"/>
    <w:rsid w:val="00DD5124"/>
    <w:rsid w:val="00DD7954"/>
    <w:rsid w:val="00DE0699"/>
    <w:rsid w:val="00DE17C1"/>
    <w:rsid w:val="00DE3160"/>
    <w:rsid w:val="00DE3559"/>
    <w:rsid w:val="00DE364B"/>
    <w:rsid w:val="00DE3764"/>
    <w:rsid w:val="00DE775A"/>
    <w:rsid w:val="00DE7F17"/>
    <w:rsid w:val="00DF1166"/>
    <w:rsid w:val="00DF2EC8"/>
    <w:rsid w:val="00DF58C5"/>
    <w:rsid w:val="00DF6BB0"/>
    <w:rsid w:val="00DF7AC8"/>
    <w:rsid w:val="00DF7BB4"/>
    <w:rsid w:val="00DF7C8B"/>
    <w:rsid w:val="00DF7DF8"/>
    <w:rsid w:val="00E00491"/>
    <w:rsid w:val="00E01083"/>
    <w:rsid w:val="00E01ED7"/>
    <w:rsid w:val="00E023B4"/>
    <w:rsid w:val="00E054A3"/>
    <w:rsid w:val="00E05704"/>
    <w:rsid w:val="00E05772"/>
    <w:rsid w:val="00E063A5"/>
    <w:rsid w:val="00E11E05"/>
    <w:rsid w:val="00E11E44"/>
    <w:rsid w:val="00E122D1"/>
    <w:rsid w:val="00E14BB2"/>
    <w:rsid w:val="00E14FC7"/>
    <w:rsid w:val="00E1582E"/>
    <w:rsid w:val="00E1649D"/>
    <w:rsid w:val="00E21A98"/>
    <w:rsid w:val="00E2241E"/>
    <w:rsid w:val="00E22462"/>
    <w:rsid w:val="00E23193"/>
    <w:rsid w:val="00E235F8"/>
    <w:rsid w:val="00E23B18"/>
    <w:rsid w:val="00E24F24"/>
    <w:rsid w:val="00E2728D"/>
    <w:rsid w:val="00E300D2"/>
    <w:rsid w:val="00E300EE"/>
    <w:rsid w:val="00E307B0"/>
    <w:rsid w:val="00E31361"/>
    <w:rsid w:val="00E31BEA"/>
    <w:rsid w:val="00E3270E"/>
    <w:rsid w:val="00E3299D"/>
    <w:rsid w:val="00E32F32"/>
    <w:rsid w:val="00E32FB2"/>
    <w:rsid w:val="00E338EF"/>
    <w:rsid w:val="00E33F6D"/>
    <w:rsid w:val="00E351B0"/>
    <w:rsid w:val="00E35673"/>
    <w:rsid w:val="00E359C0"/>
    <w:rsid w:val="00E36572"/>
    <w:rsid w:val="00E40154"/>
    <w:rsid w:val="00E40BD5"/>
    <w:rsid w:val="00E41198"/>
    <w:rsid w:val="00E41D57"/>
    <w:rsid w:val="00E423FB"/>
    <w:rsid w:val="00E42CC3"/>
    <w:rsid w:val="00E4527C"/>
    <w:rsid w:val="00E4560D"/>
    <w:rsid w:val="00E46ADC"/>
    <w:rsid w:val="00E5000B"/>
    <w:rsid w:val="00E5068A"/>
    <w:rsid w:val="00E5077D"/>
    <w:rsid w:val="00E50BAF"/>
    <w:rsid w:val="00E50C41"/>
    <w:rsid w:val="00E511D4"/>
    <w:rsid w:val="00E519CD"/>
    <w:rsid w:val="00E51EF2"/>
    <w:rsid w:val="00E52D50"/>
    <w:rsid w:val="00E53592"/>
    <w:rsid w:val="00E53AC4"/>
    <w:rsid w:val="00E544BB"/>
    <w:rsid w:val="00E54C87"/>
    <w:rsid w:val="00E56CD8"/>
    <w:rsid w:val="00E574CA"/>
    <w:rsid w:val="00E57555"/>
    <w:rsid w:val="00E60B30"/>
    <w:rsid w:val="00E6102C"/>
    <w:rsid w:val="00E61466"/>
    <w:rsid w:val="00E61469"/>
    <w:rsid w:val="00E62545"/>
    <w:rsid w:val="00E630A9"/>
    <w:rsid w:val="00E63270"/>
    <w:rsid w:val="00E63A3A"/>
    <w:rsid w:val="00E63A3C"/>
    <w:rsid w:val="00E63B30"/>
    <w:rsid w:val="00E641D4"/>
    <w:rsid w:val="00E6616C"/>
    <w:rsid w:val="00E662CB"/>
    <w:rsid w:val="00E67FB9"/>
    <w:rsid w:val="00E704D5"/>
    <w:rsid w:val="00E716FE"/>
    <w:rsid w:val="00E7242A"/>
    <w:rsid w:val="00E7358F"/>
    <w:rsid w:val="00E73882"/>
    <w:rsid w:val="00E7412A"/>
    <w:rsid w:val="00E74C06"/>
    <w:rsid w:val="00E74C57"/>
    <w:rsid w:val="00E74DC7"/>
    <w:rsid w:val="00E76806"/>
    <w:rsid w:val="00E76DFF"/>
    <w:rsid w:val="00E77541"/>
    <w:rsid w:val="00E7775F"/>
    <w:rsid w:val="00E77859"/>
    <w:rsid w:val="00E778D9"/>
    <w:rsid w:val="00E80114"/>
    <w:rsid w:val="00E801A8"/>
    <w:rsid w:val="00E8075A"/>
    <w:rsid w:val="00E80B7E"/>
    <w:rsid w:val="00E81959"/>
    <w:rsid w:val="00E82619"/>
    <w:rsid w:val="00E8277D"/>
    <w:rsid w:val="00E842D1"/>
    <w:rsid w:val="00E84409"/>
    <w:rsid w:val="00E85E55"/>
    <w:rsid w:val="00E86271"/>
    <w:rsid w:val="00E86FC9"/>
    <w:rsid w:val="00E90B1E"/>
    <w:rsid w:val="00E9124B"/>
    <w:rsid w:val="00E923AC"/>
    <w:rsid w:val="00E924F1"/>
    <w:rsid w:val="00E94323"/>
    <w:rsid w:val="00E94D5E"/>
    <w:rsid w:val="00E94EA5"/>
    <w:rsid w:val="00E94F3C"/>
    <w:rsid w:val="00E95672"/>
    <w:rsid w:val="00E958FF"/>
    <w:rsid w:val="00E97AF6"/>
    <w:rsid w:val="00E97D1B"/>
    <w:rsid w:val="00EA1B6E"/>
    <w:rsid w:val="00EA1C1F"/>
    <w:rsid w:val="00EA20AE"/>
    <w:rsid w:val="00EA439A"/>
    <w:rsid w:val="00EA4A91"/>
    <w:rsid w:val="00EA4CE4"/>
    <w:rsid w:val="00EA7100"/>
    <w:rsid w:val="00EA7670"/>
    <w:rsid w:val="00EA78F5"/>
    <w:rsid w:val="00EA7F52"/>
    <w:rsid w:val="00EA7F9F"/>
    <w:rsid w:val="00EB057B"/>
    <w:rsid w:val="00EB0A87"/>
    <w:rsid w:val="00EB10AA"/>
    <w:rsid w:val="00EB112C"/>
    <w:rsid w:val="00EB1274"/>
    <w:rsid w:val="00EB2FB0"/>
    <w:rsid w:val="00EB3DA0"/>
    <w:rsid w:val="00EB4622"/>
    <w:rsid w:val="00EB5611"/>
    <w:rsid w:val="00EB63BF"/>
    <w:rsid w:val="00EB688C"/>
    <w:rsid w:val="00EB6AD0"/>
    <w:rsid w:val="00EB709F"/>
    <w:rsid w:val="00EB783E"/>
    <w:rsid w:val="00EB7BD1"/>
    <w:rsid w:val="00EC092B"/>
    <w:rsid w:val="00EC1100"/>
    <w:rsid w:val="00EC18F1"/>
    <w:rsid w:val="00EC1ABE"/>
    <w:rsid w:val="00EC220D"/>
    <w:rsid w:val="00EC2A11"/>
    <w:rsid w:val="00EC3E3E"/>
    <w:rsid w:val="00EC5FB8"/>
    <w:rsid w:val="00EC6F8E"/>
    <w:rsid w:val="00EC7093"/>
    <w:rsid w:val="00ED10EF"/>
    <w:rsid w:val="00ED1368"/>
    <w:rsid w:val="00ED15BD"/>
    <w:rsid w:val="00ED1629"/>
    <w:rsid w:val="00ED1B7B"/>
    <w:rsid w:val="00ED2BB6"/>
    <w:rsid w:val="00ED34E1"/>
    <w:rsid w:val="00ED3B8D"/>
    <w:rsid w:val="00ED3B8E"/>
    <w:rsid w:val="00ED4490"/>
    <w:rsid w:val="00ED63E5"/>
    <w:rsid w:val="00ED6489"/>
    <w:rsid w:val="00ED659C"/>
    <w:rsid w:val="00ED73E4"/>
    <w:rsid w:val="00EE1FFF"/>
    <w:rsid w:val="00EE30CD"/>
    <w:rsid w:val="00EE3294"/>
    <w:rsid w:val="00EE4131"/>
    <w:rsid w:val="00EE5266"/>
    <w:rsid w:val="00EE5B5F"/>
    <w:rsid w:val="00EE7D6D"/>
    <w:rsid w:val="00EF11A9"/>
    <w:rsid w:val="00EF2E3A"/>
    <w:rsid w:val="00EF3E65"/>
    <w:rsid w:val="00EF40EE"/>
    <w:rsid w:val="00EF4373"/>
    <w:rsid w:val="00EF52FF"/>
    <w:rsid w:val="00EF531D"/>
    <w:rsid w:val="00EF593E"/>
    <w:rsid w:val="00EF5FF0"/>
    <w:rsid w:val="00F006E0"/>
    <w:rsid w:val="00F00DAB"/>
    <w:rsid w:val="00F01A90"/>
    <w:rsid w:val="00F0233C"/>
    <w:rsid w:val="00F02D22"/>
    <w:rsid w:val="00F0425E"/>
    <w:rsid w:val="00F04333"/>
    <w:rsid w:val="00F04B49"/>
    <w:rsid w:val="00F05C88"/>
    <w:rsid w:val="00F05F4A"/>
    <w:rsid w:val="00F06FD1"/>
    <w:rsid w:val="00F072A7"/>
    <w:rsid w:val="00F073AE"/>
    <w:rsid w:val="00F078DC"/>
    <w:rsid w:val="00F103BF"/>
    <w:rsid w:val="00F1109A"/>
    <w:rsid w:val="00F11C2D"/>
    <w:rsid w:val="00F12667"/>
    <w:rsid w:val="00F12DC7"/>
    <w:rsid w:val="00F160E0"/>
    <w:rsid w:val="00F169D7"/>
    <w:rsid w:val="00F1714B"/>
    <w:rsid w:val="00F21CFB"/>
    <w:rsid w:val="00F22905"/>
    <w:rsid w:val="00F23242"/>
    <w:rsid w:val="00F23451"/>
    <w:rsid w:val="00F24EC0"/>
    <w:rsid w:val="00F307E4"/>
    <w:rsid w:val="00F31ED5"/>
    <w:rsid w:val="00F32BA8"/>
    <w:rsid w:val="00F3309D"/>
    <w:rsid w:val="00F333D7"/>
    <w:rsid w:val="00F33A3B"/>
    <w:rsid w:val="00F34048"/>
    <w:rsid w:val="00F3433B"/>
    <w:rsid w:val="00F349F1"/>
    <w:rsid w:val="00F34B85"/>
    <w:rsid w:val="00F35B7A"/>
    <w:rsid w:val="00F36942"/>
    <w:rsid w:val="00F37A7E"/>
    <w:rsid w:val="00F37D9C"/>
    <w:rsid w:val="00F37EC5"/>
    <w:rsid w:val="00F37F27"/>
    <w:rsid w:val="00F4350D"/>
    <w:rsid w:val="00F43811"/>
    <w:rsid w:val="00F43963"/>
    <w:rsid w:val="00F4489B"/>
    <w:rsid w:val="00F448D0"/>
    <w:rsid w:val="00F448F4"/>
    <w:rsid w:val="00F44E99"/>
    <w:rsid w:val="00F44F01"/>
    <w:rsid w:val="00F456B6"/>
    <w:rsid w:val="00F45CFE"/>
    <w:rsid w:val="00F47A4A"/>
    <w:rsid w:val="00F50161"/>
    <w:rsid w:val="00F502C3"/>
    <w:rsid w:val="00F50DE5"/>
    <w:rsid w:val="00F51337"/>
    <w:rsid w:val="00F53035"/>
    <w:rsid w:val="00F53471"/>
    <w:rsid w:val="00F5422A"/>
    <w:rsid w:val="00F54ACC"/>
    <w:rsid w:val="00F55D51"/>
    <w:rsid w:val="00F55E7A"/>
    <w:rsid w:val="00F561DD"/>
    <w:rsid w:val="00F567F7"/>
    <w:rsid w:val="00F56F12"/>
    <w:rsid w:val="00F6004E"/>
    <w:rsid w:val="00F60952"/>
    <w:rsid w:val="00F61CED"/>
    <w:rsid w:val="00F62036"/>
    <w:rsid w:val="00F6236F"/>
    <w:rsid w:val="00F65383"/>
    <w:rsid w:val="00F65B52"/>
    <w:rsid w:val="00F65C75"/>
    <w:rsid w:val="00F66A96"/>
    <w:rsid w:val="00F67389"/>
    <w:rsid w:val="00F67BCA"/>
    <w:rsid w:val="00F715F7"/>
    <w:rsid w:val="00F7274E"/>
    <w:rsid w:val="00F73BD6"/>
    <w:rsid w:val="00F74BE8"/>
    <w:rsid w:val="00F75334"/>
    <w:rsid w:val="00F76830"/>
    <w:rsid w:val="00F76D13"/>
    <w:rsid w:val="00F803F3"/>
    <w:rsid w:val="00F819F3"/>
    <w:rsid w:val="00F82E73"/>
    <w:rsid w:val="00F83989"/>
    <w:rsid w:val="00F845EF"/>
    <w:rsid w:val="00F84E08"/>
    <w:rsid w:val="00F85099"/>
    <w:rsid w:val="00F87343"/>
    <w:rsid w:val="00F87D7B"/>
    <w:rsid w:val="00F9124D"/>
    <w:rsid w:val="00F91340"/>
    <w:rsid w:val="00F9176A"/>
    <w:rsid w:val="00F9379C"/>
    <w:rsid w:val="00F93DBB"/>
    <w:rsid w:val="00F94DE3"/>
    <w:rsid w:val="00F9632C"/>
    <w:rsid w:val="00F96D59"/>
    <w:rsid w:val="00FA0B8A"/>
    <w:rsid w:val="00FA0C08"/>
    <w:rsid w:val="00FA1E52"/>
    <w:rsid w:val="00FA26AF"/>
    <w:rsid w:val="00FA2F10"/>
    <w:rsid w:val="00FA3B01"/>
    <w:rsid w:val="00FA6312"/>
    <w:rsid w:val="00FA6324"/>
    <w:rsid w:val="00FA6E47"/>
    <w:rsid w:val="00FA6FDE"/>
    <w:rsid w:val="00FA7704"/>
    <w:rsid w:val="00FA7DB2"/>
    <w:rsid w:val="00FA7E7B"/>
    <w:rsid w:val="00FB0FA8"/>
    <w:rsid w:val="00FB1246"/>
    <w:rsid w:val="00FB1409"/>
    <w:rsid w:val="00FB312C"/>
    <w:rsid w:val="00FB3AF8"/>
    <w:rsid w:val="00FB3CF3"/>
    <w:rsid w:val="00FB43FA"/>
    <w:rsid w:val="00FB50AC"/>
    <w:rsid w:val="00FB5649"/>
    <w:rsid w:val="00FB7115"/>
    <w:rsid w:val="00FB74A3"/>
    <w:rsid w:val="00FC01AD"/>
    <w:rsid w:val="00FC13D5"/>
    <w:rsid w:val="00FC144D"/>
    <w:rsid w:val="00FC1933"/>
    <w:rsid w:val="00FC1AAC"/>
    <w:rsid w:val="00FC1C3A"/>
    <w:rsid w:val="00FC244E"/>
    <w:rsid w:val="00FC29A5"/>
    <w:rsid w:val="00FC49A9"/>
    <w:rsid w:val="00FC55D4"/>
    <w:rsid w:val="00FC678A"/>
    <w:rsid w:val="00FC7207"/>
    <w:rsid w:val="00FC7EF1"/>
    <w:rsid w:val="00FD11BF"/>
    <w:rsid w:val="00FD1DE7"/>
    <w:rsid w:val="00FD2347"/>
    <w:rsid w:val="00FD29A0"/>
    <w:rsid w:val="00FD34A4"/>
    <w:rsid w:val="00FD3C5E"/>
    <w:rsid w:val="00FD3C64"/>
    <w:rsid w:val="00FD4614"/>
    <w:rsid w:val="00FD4AE2"/>
    <w:rsid w:val="00FD658D"/>
    <w:rsid w:val="00FD6FDC"/>
    <w:rsid w:val="00FE11F6"/>
    <w:rsid w:val="00FE12F2"/>
    <w:rsid w:val="00FE15C4"/>
    <w:rsid w:val="00FE2C1E"/>
    <w:rsid w:val="00FE3992"/>
    <w:rsid w:val="00FE4688"/>
    <w:rsid w:val="00FE4AAA"/>
    <w:rsid w:val="00FE4AB9"/>
    <w:rsid w:val="00FE4FE3"/>
    <w:rsid w:val="00FE5227"/>
    <w:rsid w:val="00FE5BA4"/>
    <w:rsid w:val="00FE62BE"/>
    <w:rsid w:val="00FF1E2B"/>
    <w:rsid w:val="00FF222C"/>
    <w:rsid w:val="00FF296F"/>
    <w:rsid w:val="00FF3501"/>
    <w:rsid w:val="00FF4945"/>
    <w:rsid w:val="00FF4C64"/>
    <w:rsid w:val="00FF6440"/>
    <w:rsid w:val="00FF6DF3"/>
    <w:rsid w:val="00FF7176"/>
    <w:rsid w:val="00FF7B5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952B3"/>
    <w:pPr>
      <w:spacing w:line="260" w:lineRule="atLeast"/>
    </w:pPr>
    <w:rPr>
      <w:sz w:val="22"/>
    </w:rPr>
  </w:style>
  <w:style w:type="paragraph" w:styleId="Heading1">
    <w:name w:val="heading 1"/>
    <w:basedOn w:val="Normal"/>
    <w:next w:val="Normal"/>
    <w:link w:val="Heading1Char"/>
    <w:uiPriority w:val="9"/>
    <w:qFormat/>
    <w:rsid w:val="001952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52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52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52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52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52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52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52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52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52B3"/>
  </w:style>
  <w:style w:type="paragraph" w:customStyle="1" w:styleId="OPCParaBase">
    <w:name w:val="OPCParaBase"/>
    <w:link w:val="OPCParaBaseChar"/>
    <w:qFormat/>
    <w:rsid w:val="001952B3"/>
    <w:pPr>
      <w:spacing w:line="260" w:lineRule="atLeast"/>
    </w:pPr>
    <w:rPr>
      <w:rFonts w:eastAsia="Times New Roman" w:cs="Times New Roman"/>
      <w:sz w:val="22"/>
      <w:lang w:eastAsia="en-AU"/>
    </w:rPr>
  </w:style>
  <w:style w:type="paragraph" w:customStyle="1" w:styleId="ShortT">
    <w:name w:val="ShortT"/>
    <w:basedOn w:val="OPCParaBase"/>
    <w:next w:val="Normal"/>
    <w:qFormat/>
    <w:rsid w:val="001952B3"/>
    <w:pPr>
      <w:spacing w:line="240" w:lineRule="auto"/>
    </w:pPr>
    <w:rPr>
      <w:b/>
      <w:sz w:val="40"/>
    </w:rPr>
  </w:style>
  <w:style w:type="paragraph" w:customStyle="1" w:styleId="ActHead1">
    <w:name w:val="ActHead 1"/>
    <w:aliases w:val="c"/>
    <w:basedOn w:val="OPCParaBase"/>
    <w:next w:val="Normal"/>
    <w:qFormat/>
    <w:rsid w:val="001952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52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52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52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52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52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52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52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52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52B3"/>
  </w:style>
  <w:style w:type="paragraph" w:customStyle="1" w:styleId="Blocks">
    <w:name w:val="Blocks"/>
    <w:aliases w:val="bb"/>
    <w:basedOn w:val="OPCParaBase"/>
    <w:qFormat/>
    <w:rsid w:val="001952B3"/>
    <w:pPr>
      <w:spacing w:line="240" w:lineRule="auto"/>
    </w:pPr>
    <w:rPr>
      <w:sz w:val="24"/>
    </w:rPr>
  </w:style>
  <w:style w:type="paragraph" w:customStyle="1" w:styleId="BoxText">
    <w:name w:val="BoxText"/>
    <w:aliases w:val="bt"/>
    <w:basedOn w:val="OPCParaBase"/>
    <w:qFormat/>
    <w:rsid w:val="001952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52B3"/>
    <w:rPr>
      <w:b/>
    </w:rPr>
  </w:style>
  <w:style w:type="paragraph" w:customStyle="1" w:styleId="BoxHeadItalic">
    <w:name w:val="BoxHeadItalic"/>
    <w:aliases w:val="bhi"/>
    <w:basedOn w:val="BoxText"/>
    <w:next w:val="BoxStep"/>
    <w:qFormat/>
    <w:rsid w:val="001952B3"/>
    <w:rPr>
      <w:i/>
    </w:rPr>
  </w:style>
  <w:style w:type="paragraph" w:customStyle="1" w:styleId="BoxList">
    <w:name w:val="BoxList"/>
    <w:aliases w:val="bl"/>
    <w:basedOn w:val="BoxText"/>
    <w:qFormat/>
    <w:rsid w:val="001952B3"/>
    <w:pPr>
      <w:ind w:left="1559" w:hanging="425"/>
    </w:pPr>
  </w:style>
  <w:style w:type="paragraph" w:customStyle="1" w:styleId="BoxNote">
    <w:name w:val="BoxNote"/>
    <w:aliases w:val="bn"/>
    <w:basedOn w:val="BoxText"/>
    <w:qFormat/>
    <w:rsid w:val="001952B3"/>
    <w:pPr>
      <w:tabs>
        <w:tab w:val="left" w:pos="1985"/>
      </w:tabs>
      <w:spacing w:before="122" w:line="198" w:lineRule="exact"/>
      <w:ind w:left="2948" w:hanging="1814"/>
    </w:pPr>
    <w:rPr>
      <w:sz w:val="18"/>
    </w:rPr>
  </w:style>
  <w:style w:type="paragraph" w:customStyle="1" w:styleId="BoxPara">
    <w:name w:val="BoxPara"/>
    <w:aliases w:val="bp"/>
    <w:basedOn w:val="BoxText"/>
    <w:qFormat/>
    <w:rsid w:val="001952B3"/>
    <w:pPr>
      <w:tabs>
        <w:tab w:val="right" w:pos="2268"/>
      </w:tabs>
      <w:ind w:left="2552" w:hanging="1418"/>
    </w:pPr>
  </w:style>
  <w:style w:type="paragraph" w:customStyle="1" w:styleId="BoxStep">
    <w:name w:val="BoxStep"/>
    <w:aliases w:val="bs"/>
    <w:basedOn w:val="BoxText"/>
    <w:qFormat/>
    <w:rsid w:val="001952B3"/>
    <w:pPr>
      <w:ind w:left="1985" w:hanging="851"/>
    </w:pPr>
  </w:style>
  <w:style w:type="character" w:customStyle="1" w:styleId="CharAmPartNo">
    <w:name w:val="CharAmPartNo"/>
    <w:basedOn w:val="OPCCharBase"/>
    <w:qFormat/>
    <w:rsid w:val="001952B3"/>
  </w:style>
  <w:style w:type="character" w:customStyle="1" w:styleId="CharAmPartText">
    <w:name w:val="CharAmPartText"/>
    <w:basedOn w:val="OPCCharBase"/>
    <w:qFormat/>
    <w:rsid w:val="001952B3"/>
  </w:style>
  <w:style w:type="character" w:customStyle="1" w:styleId="CharAmSchNo">
    <w:name w:val="CharAmSchNo"/>
    <w:basedOn w:val="OPCCharBase"/>
    <w:qFormat/>
    <w:rsid w:val="001952B3"/>
  </w:style>
  <w:style w:type="character" w:customStyle="1" w:styleId="CharAmSchText">
    <w:name w:val="CharAmSchText"/>
    <w:basedOn w:val="OPCCharBase"/>
    <w:qFormat/>
    <w:rsid w:val="001952B3"/>
  </w:style>
  <w:style w:type="character" w:customStyle="1" w:styleId="CharBoldItalic">
    <w:name w:val="CharBoldItalic"/>
    <w:basedOn w:val="OPCCharBase"/>
    <w:uiPriority w:val="1"/>
    <w:qFormat/>
    <w:rsid w:val="001952B3"/>
    <w:rPr>
      <w:b/>
      <w:i/>
    </w:rPr>
  </w:style>
  <w:style w:type="character" w:customStyle="1" w:styleId="CharChapNo">
    <w:name w:val="CharChapNo"/>
    <w:basedOn w:val="OPCCharBase"/>
    <w:uiPriority w:val="1"/>
    <w:qFormat/>
    <w:rsid w:val="001952B3"/>
  </w:style>
  <w:style w:type="character" w:customStyle="1" w:styleId="CharChapText">
    <w:name w:val="CharChapText"/>
    <w:basedOn w:val="OPCCharBase"/>
    <w:uiPriority w:val="1"/>
    <w:qFormat/>
    <w:rsid w:val="001952B3"/>
  </w:style>
  <w:style w:type="character" w:customStyle="1" w:styleId="CharDivNo">
    <w:name w:val="CharDivNo"/>
    <w:basedOn w:val="OPCCharBase"/>
    <w:uiPriority w:val="1"/>
    <w:qFormat/>
    <w:rsid w:val="001952B3"/>
  </w:style>
  <w:style w:type="character" w:customStyle="1" w:styleId="CharDivText">
    <w:name w:val="CharDivText"/>
    <w:basedOn w:val="OPCCharBase"/>
    <w:uiPriority w:val="1"/>
    <w:qFormat/>
    <w:rsid w:val="001952B3"/>
  </w:style>
  <w:style w:type="character" w:customStyle="1" w:styleId="CharItalic">
    <w:name w:val="CharItalic"/>
    <w:basedOn w:val="OPCCharBase"/>
    <w:uiPriority w:val="1"/>
    <w:qFormat/>
    <w:rsid w:val="001952B3"/>
    <w:rPr>
      <w:i/>
    </w:rPr>
  </w:style>
  <w:style w:type="character" w:customStyle="1" w:styleId="CharPartNo">
    <w:name w:val="CharPartNo"/>
    <w:basedOn w:val="OPCCharBase"/>
    <w:uiPriority w:val="1"/>
    <w:qFormat/>
    <w:rsid w:val="001952B3"/>
  </w:style>
  <w:style w:type="character" w:customStyle="1" w:styleId="CharPartText">
    <w:name w:val="CharPartText"/>
    <w:basedOn w:val="OPCCharBase"/>
    <w:uiPriority w:val="1"/>
    <w:qFormat/>
    <w:rsid w:val="001952B3"/>
  </w:style>
  <w:style w:type="character" w:customStyle="1" w:styleId="CharSectno">
    <w:name w:val="CharSectno"/>
    <w:basedOn w:val="OPCCharBase"/>
    <w:qFormat/>
    <w:rsid w:val="001952B3"/>
  </w:style>
  <w:style w:type="character" w:customStyle="1" w:styleId="CharSubdNo">
    <w:name w:val="CharSubdNo"/>
    <w:basedOn w:val="OPCCharBase"/>
    <w:uiPriority w:val="1"/>
    <w:qFormat/>
    <w:rsid w:val="001952B3"/>
  </w:style>
  <w:style w:type="character" w:customStyle="1" w:styleId="CharSubdText">
    <w:name w:val="CharSubdText"/>
    <w:basedOn w:val="OPCCharBase"/>
    <w:uiPriority w:val="1"/>
    <w:qFormat/>
    <w:rsid w:val="001952B3"/>
  </w:style>
  <w:style w:type="paragraph" w:customStyle="1" w:styleId="CTA--">
    <w:name w:val="CTA --"/>
    <w:basedOn w:val="OPCParaBase"/>
    <w:next w:val="Normal"/>
    <w:rsid w:val="001952B3"/>
    <w:pPr>
      <w:spacing w:before="60" w:line="240" w:lineRule="atLeast"/>
      <w:ind w:left="142" w:hanging="142"/>
    </w:pPr>
    <w:rPr>
      <w:sz w:val="20"/>
    </w:rPr>
  </w:style>
  <w:style w:type="paragraph" w:customStyle="1" w:styleId="CTA-">
    <w:name w:val="CTA -"/>
    <w:basedOn w:val="OPCParaBase"/>
    <w:rsid w:val="001952B3"/>
    <w:pPr>
      <w:spacing w:before="60" w:line="240" w:lineRule="atLeast"/>
      <w:ind w:left="85" w:hanging="85"/>
    </w:pPr>
    <w:rPr>
      <w:sz w:val="20"/>
    </w:rPr>
  </w:style>
  <w:style w:type="paragraph" w:customStyle="1" w:styleId="CTA---">
    <w:name w:val="CTA ---"/>
    <w:basedOn w:val="OPCParaBase"/>
    <w:next w:val="Normal"/>
    <w:rsid w:val="001952B3"/>
    <w:pPr>
      <w:spacing w:before="60" w:line="240" w:lineRule="atLeast"/>
      <w:ind w:left="198" w:hanging="198"/>
    </w:pPr>
    <w:rPr>
      <w:sz w:val="20"/>
    </w:rPr>
  </w:style>
  <w:style w:type="paragraph" w:customStyle="1" w:styleId="CTA----">
    <w:name w:val="CTA ----"/>
    <w:basedOn w:val="OPCParaBase"/>
    <w:next w:val="Normal"/>
    <w:rsid w:val="001952B3"/>
    <w:pPr>
      <w:spacing w:before="60" w:line="240" w:lineRule="atLeast"/>
      <w:ind w:left="255" w:hanging="255"/>
    </w:pPr>
    <w:rPr>
      <w:sz w:val="20"/>
    </w:rPr>
  </w:style>
  <w:style w:type="paragraph" w:customStyle="1" w:styleId="CTA1a">
    <w:name w:val="CTA 1(a)"/>
    <w:basedOn w:val="OPCParaBase"/>
    <w:rsid w:val="001952B3"/>
    <w:pPr>
      <w:tabs>
        <w:tab w:val="right" w:pos="414"/>
      </w:tabs>
      <w:spacing w:before="40" w:line="240" w:lineRule="atLeast"/>
      <w:ind w:left="675" w:hanging="675"/>
    </w:pPr>
    <w:rPr>
      <w:sz w:val="20"/>
    </w:rPr>
  </w:style>
  <w:style w:type="paragraph" w:customStyle="1" w:styleId="CTA1ai">
    <w:name w:val="CTA 1(a)(i)"/>
    <w:basedOn w:val="OPCParaBase"/>
    <w:rsid w:val="001952B3"/>
    <w:pPr>
      <w:tabs>
        <w:tab w:val="right" w:pos="1004"/>
      </w:tabs>
      <w:spacing w:before="40" w:line="240" w:lineRule="atLeast"/>
      <w:ind w:left="1253" w:hanging="1253"/>
    </w:pPr>
    <w:rPr>
      <w:sz w:val="20"/>
    </w:rPr>
  </w:style>
  <w:style w:type="paragraph" w:customStyle="1" w:styleId="CTA2a">
    <w:name w:val="CTA 2(a)"/>
    <w:basedOn w:val="OPCParaBase"/>
    <w:rsid w:val="001952B3"/>
    <w:pPr>
      <w:tabs>
        <w:tab w:val="right" w:pos="482"/>
      </w:tabs>
      <w:spacing w:before="40" w:line="240" w:lineRule="atLeast"/>
      <w:ind w:left="748" w:hanging="748"/>
    </w:pPr>
    <w:rPr>
      <w:sz w:val="20"/>
    </w:rPr>
  </w:style>
  <w:style w:type="paragraph" w:customStyle="1" w:styleId="CTA2ai">
    <w:name w:val="CTA 2(a)(i)"/>
    <w:basedOn w:val="OPCParaBase"/>
    <w:rsid w:val="001952B3"/>
    <w:pPr>
      <w:tabs>
        <w:tab w:val="right" w:pos="1089"/>
      </w:tabs>
      <w:spacing w:before="40" w:line="240" w:lineRule="atLeast"/>
      <w:ind w:left="1327" w:hanging="1327"/>
    </w:pPr>
    <w:rPr>
      <w:sz w:val="20"/>
    </w:rPr>
  </w:style>
  <w:style w:type="paragraph" w:customStyle="1" w:styleId="CTA3a">
    <w:name w:val="CTA 3(a)"/>
    <w:basedOn w:val="OPCParaBase"/>
    <w:rsid w:val="001952B3"/>
    <w:pPr>
      <w:tabs>
        <w:tab w:val="right" w:pos="556"/>
      </w:tabs>
      <w:spacing w:before="40" w:line="240" w:lineRule="atLeast"/>
      <w:ind w:left="805" w:hanging="805"/>
    </w:pPr>
    <w:rPr>
      <w:sz w:val="20"/>
    </w:rPr>
  </w:style>
  <w:style w:type="paragraph" w:customStyle="1" w:styleId="CTA3ai">
    <w:name w:val="CTA 3(a)(i)"/>
    <w:basedOn w:val="OPCParaBase"/>
    <w:rsid w:val="001952B3"/>
    <w:pPr>
      <w:tabs>
        <w:tab w:val="right" w:pos="1140"/>
      </w:tabs>
      <w:spacing w:before="40" w:line="240" w:lineRule="atLeast"/>
      <w:ind w:left="1361" w:hanging="1361"/>
    </w:pPr>
    <w:rPr>
      <w:sz w:val="20"/>
    </w:rPr>
  </w:style>
  <w:style w:type="paragraph" w:customStyle="1" w:styleId="CTA4a">
    <w:name w:val="CTA 4(a)"/>
    <w:basedOn w:val="OPCParaBase"/>
    <w:rsid w:val="001952B3"/>
    <w:pPr>
      <w:tabs>
        <w:tab w:val="right" w:pos="624"/>
      </w:tabs>
      <w:spacing w:before="40" w:line="240" w:lineRule="atLeast"/>
      <w:ind w:left="873" w:hanging="873"/>
    </w:pPr>
    <w:rPr>
      <w:sz w:val="20"/>
    </w:rPr>
  </w:style>
  <w:style w:type="paragraph" w:customStyle="1" w:styleId="CTA4ai">
    <w:name w:val="CTA 4(a)(i)"/>
    <w:basedOn w:val="OPCParaBase"/>
    <w:rsid w:val="001952B3"/>
    <w:pPr>
      <w:tabs>
        <w:tab w:val="right" w:pos="1213"/>
      </w:tabs>
      <w:spacing w:before="40" w:line="240" w:lineRule="atLeast"/>
      <w:ind w:left="1452" w:hanging="1452"/>
    </w:pPr>
    <w:rPr>
      <w:sz w:val="20"/>
    </w:rPr>
  </w:style>
  <w:style w:type="paragraph" w:customStyle="1" w:styleId="CTACAPS">
    <w:name w:val="CTA CAPS"/>
    <w:basedOn w:val="OPCParaBase"/>
    <w:rsid w:val="001952B3"/>
    <w:pPr>
      <w:spacing w:before="60" w:line="240" w:lineRule="atLeast"/>
    </w:pPr>
    <w:rPr>
      <w:sz w:val="20"/>
    </w:rPr>
  </w:style>
  <w:style w:type="paragraph" w:customStyle="1" w:styleId="CTAright">
    <w:name w:val="CTA right"/>
    <w:basedOn w:val="OPCParaBase"/>
    <w:rsid w:val="001952B3"/>
    <w:pPr>
      <w:spacing w:before="60" w:line="240" w:lineRule="auto"/>
      <w:jc w:val="right"/>
    </w:pPr>
    <w:rPr>
      <w:sz w:val="20"/>
    </w:rPr>
  </w:style>
  <w:style w:type="paragraph" w:customStyle="1" w:styleId="subsection">
    <w:name w:val="subsection"/>
    <w:aliases w:val="ss"/>
    <w:basedOn w:val="OPCParaBase"/>
    <w:link w:val="subsectionChar"/>
    <w:rsid w:val="001952B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952B3"/>
    <w:pPr>
      <w:spacing w:before="180" w:line="240" w:lineRule="auto"/>
      <w:ind w:left="1134"/>
    </w:pPr>
  </w:style>
  <w:style w:type="paragraph" w:customStyle="1" w:styleId="EndNotespara">
    <w:name w:val="EndNotes(para)"/>
    <w:aliases w:val="eta"/>
    <w:basedOn w:val="OPCParaBase"/>
    <w:next w:val="EndNotessubpara"/>
    <w:rsid w:val="001952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52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52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52B3"/>
    <w:pPr>
      <w:tabs>
        <w:tab w:val="right" w:pos="1412"/>
      </w:tabs>
      <w:spacing w:before="60" w:line="240" w:lineRule="auto"/>
      <w:ind w:left="1525" w:hanging="1525"/>
    </w:pPr>
    <w:rPr>
      <w:sz w:val="20"/>
    </w:rPr>
  </w:style>
  <w:style w:type="paragraph" w:customStyle="1" w:styleId="Formula">
    <w:name w:val="Formula"/>
    <w:basedOn w:val="OPCParaBase"/>
    <w:rsid w:val="001952B3"/>
    <w:pPr>
      <w:spacing w:line="240" w:lineRule="auto"/>
      <w:ind w:left="1134"/>
    </w:pPr>
    <w:rPr>
      <w:sz w:val="20"/>
    </w:rPr>
  </w:style>
  <w:style w:type="paragraph" w:styleId="Header">
    <w:name w:val="header"/>
    <w:basedOn w:val="OPCParaBase"/>
    <w:link w:val="HeaderChar"/>
    <w:unhideWhenUsed/>
    <w:rsid w:val="001952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52B3"/>
    <w:rPr>
      <w:rFonts w:eastAsia="Times New Roman" w:cs="Times New Roman"/>
      <w:sz w:val="16"/>
      <w:lang w:eastAsia="en-AU"/>
    </w:rPr>
  </w:style>
  <w:style w:type="paragraph" w:customStyle="1" w:styleId="House">
    <w:name w:val="House"/>
    <w:basedOn w:val="OPCParaBase"/>
    <w:rsid w:val="001952B3"/>
    <w:pPr>
      <w:spacing w:line="240" w:lineRule="auto"/>
    </w:pPr>
    <w:rPr>
      <w:sz w:val="28"/>
    </w:rPr>
  </w:style>
  <w:style w:type="paragraph" w:customStyle="1" w:styleId="Item">
    <w:name w:val="Item"/>
    <w:aliases w:val="i"/>
    <w:basedOn w:val="OPCParaBase"/>
    <w:next w:val="ItemHead"/>
    <w:rsid w:val="001952B3"/>
    <w:pPr>
      <w:keepLines/>
      <w:spacing w:before="80" w:line="240" w:lineRule="auto"/>
      <w:ind w:left="709"/>
    </w:pPr>
  </w:style>
  <w:style w:type="paragraph" w:customStyle="1" w:styleId="ItemHead">
    <w:name w:val="ItemHead"/>
    <w:aliases w:val="ih"/>
    <w:basedOn w:val="OPCParaBase"/>
    <w:next w:val="Item"/>
    <w:rsid w:val="001952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52B3"/>
    <w:pPr>
      <w:spacing w:line="240" w:lineRule="auto"/>
    </w:pPr>
    <w:rPr>
      <w:b/>
      <w:sz w:val="32"/>
    </w:rPr>
  </w:style>
  <w:style w:type="paragraph" w:customStyle="1" w:styleId="notedraft">
    <w:name w:val="note(draft)"/>
    <w:aliases w:val="nd"/>
    <w:basedOn w:val="OPCParaBase"/>
    <w:rsid w:val="001952B3"/>
    <w:pPr>
      <w:spacing w:before="240" w:line="240" w:lineRule="auto"/>
      <w:ind w:left="284" w:hanging="284"/>
    </w:pPr>
    <w:rPr>
      <w:i/>
      <w:sz w:val="24"/>
    </w:rPr>
  </w:style>
  <w:style w:type="paragraph" w:customStyle="1" w:styleId="notemargin">
    <w:name w:val="note(margin)"/>
    <w:aliases w:val="nm"/>
    <w:basedOn w:val="OPCParaBase"/>
    <w:rsid w:val="001952B3"/>
    <w:pPr>
      <w:tabs>
        <w:tab w:val="left" w:pos="709"/>
      </w:tabs>
      <w:spacing w:before="122" w:line="198" w:lineRule="exact"/>
      <w:ind w:left="709" w:hanging="709"/>
    </w:pPr>
    <w:rPr>
      <w:sz w:val="18"/>
    </w:rPr>
  </w:style>
  <w:style w:type="paragraph" w:customStyle="1" w:styleId="noteToPara">
    <w:name w:val="noteToPara"/>
    <w:aliases w:val="ntp"/>
    <w:basedOn w:val="OPCParaBase"/>
    <w:rsid w:val="001952B3"/>
    <w:pPr>
      <w:spacing w:before="122" w:line="198" w:lineRule="exact"/>
      <w:ind w:left="2353" w:hanging="709"/>
    </w:pPr>
    <w:rPr>
      <w:sz w:val="18"/>
    </w:rPr>
  </w:style>
  <w:style w:type="paragraph" w:customStyle="1" w:styleId="noteParlAmend">
    <w:name w:val="note(ParlAmend)"/>
    <w:aliases w:val="npp"/>
    <w:basedOn w:val="OPCParaBase"/>
    <w:next w:val="ParlAmend"/>
    <w:rsid w:val="001952B3"/>
    <w:pPr>
      <w:spacing w:line="240" w:lineRule="auto"/>
      <w:jc w:val="right"/>
    </w:pPr>
    <w:rPr>
      <w:rFonts w:ascii="Arial" w:hAnsi="Arial"/>
      <w:b/>
      <w:i/>
    </w:rPr>
  </w:style>
  <w:style w:type="paragraph" w:customStyle="1" w:styleId="Page1">
    <w:name w:val="Page1"/>
    <w:basedOn w:val="OPCParaBase"/>
    <w:rsid w:val="001952B3"/>
    <w:pPr>
      <w:spacing w:before="5600" w:line="240" w:lineRule="auto"/>
    </w:pPr>
    <w:rPr>
      <w:b/>
      <w:sz w:val="32"/>
    </w:rPr>
  </w:style>
  <w:style w:type="paragraph" w:customStyle="1" w:styleId="PageBreak">
    <w:name w:val="PageBreak"/>
    <w:aliases w:val="pb"/>
    <w:basedOn w:val="OPCParaBase"/>
    <w:rsid w:val="001952B3"/>
    <w:pPr>
      <w:spacing w:line="240" w:lineRule="auto"/>
    </w:pPr>
    <w:rPr>
      <w:sz w:val="20"/>
    </w:rPr>
  </w:style>
  <w:style w:type="paragraph" w:customStyle="1" w:styleId="paragraphsub">
    <w:name w:val="paragraph(sub)"/>
    <w:aliases w:val="aa"/>
    <w:basedOn w:val="OPCParaBase"/>
    <w:rsid w:val="001952B3"/>
    <w:pPr>
      <w:tabs>
        <w:tab w:val="right" w:pos="1985"/>
      </w:tabs>
      <w:spacing w:before="40" w:line="240" w:lineRule="auto"/>
      <w:ind w:left="2098" w:hanging="2098"/>
    </w:pPr>
  </w:style>
  <w:style w:type="paragraph" w:customStyle="1" w:styleId="paragraphsub-sub">
    <w:name w:val="paragraph(sub-sub)"/>
    <w:aliases w:val="aaa"/>
    <w:basedOn w:val="OPCParaBase"/>
    <w:rsid w:val="001952B3"/>
    <w:pPr>
      <w:tabs>
        <w:tab w:val="right" w:pos="2722"/>
      </w:tabs>
      <w:spacing w:before="40" w:line="240" w:lineRule="auto"/>
      <w:ind w:left="2835" w:hanging="2835"/>
    </w:pPr>
  </w:style>
  <w:style w:type="paragraph" w:customStyle="1" w:styleId="paragraph">
    <w:name w:val="paragraph"/>
    <w:aliases w:val="a"/>
    <w:basedOn w:val="OPCParaBase"/>
    <w:link w:val="paragraphChar"/>
    <w:rsid w:val="001952B3"/>
    <w:pPr>
      <w:tabs>
        <w:tab w:val="right" w:pos="1531"/>
      </w:tabs>
      <w:spacing w:before="40" w:line="240" w:lineRule="auto"/>
      <w:ind w:left="1644" w:hanging="1644"/>
    </w:pPr>
  </w:style>
  <w:style w:type="paragraph" w:customStyle="1" w:styleId="ParlAmend">
    <w:name w:val="ParlAmend"/>
    <w:aliases w:val="pp"/>
    <w:basedOn w:val="OPCParaBase"/>
    <w:rsid w:val="001952B3"/>
    <w:pPr>
      <w:spacing w:before="240" w:line="240" w:lineRule="atLeast"/>
      <w:ind w:hanging="567"/>
    </w:pPr>
    <w:rPr>
      <w:sz w:val="24"/>
    </w:rPr>
  </w:style>
  <w:style w:type="paragraph" w:customStyle="1" w:styleId="Penalty">
    <w:name w:val="Penalty"/>
    <w:basedOn w:val="OPCParaBase"/>
    <w:rsid w:val="001952B3"/>
    <w:pPr>
      <w:tabs>
        <w:tab w:val="left" w:pos="2977"/>
      </w:tabs>
      <w:spacing w:before="180" w:line="240" w:lineRule="auto"/>
      <w:ind w:left="1985" w:hanging="851"/>
    </w:pPr>
  </w:style>
  <w:style w:type="paragraph" w:customStyle="1" w:styleId="Portfolio">
    <w:name w:val="Portfolio"/>
    <w:basedOn w:val="OPCParaBase"/>
    <w:rsid w:val="001952B3"/>
    <w:pPr>
      <w:spacing w:line="240" w:lineRule="auto"/>
    </w:pPr>
    <w:rPr>
      <w:i/>
      <w:sz w:val="20"/>
    </w:rPr>
  </w:style>
  <w:style w:type="paragraph" w:customStyle="1" w:styleId="Preamble">
    <w:name w:val="Preamble"/>
    <w:basedOn w:val="OPCParaBase"/>
    <w:next w:val="Normal"/>
    <w:rsid w:val="001952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52B3"/>
    <w:pPr>
      <w:spacing w:line="240" w:lineRule="auto"/>
    </w:pPr>
    <w:rPr>
      <w:i/>
      <w:sz w:val="20"/>
    </w:rPr>
  </w:style>
  <w:style w:type="paragraph" w:customStyle="1" w:styleId="Session">
    <w:name w:val="Session"/>
    <w:basedOn w:val="OPCParaBase"/>
    <w:rsid w:val="001952B3"/>
    <w:pPr>
      <w:spacing w:line="240" w:lineRule="auto"/>
    </w:pPr>
    <w:rPr>
      <w:sz w:val="28"/>
    </w:rPr>
  </w:style>
  <w:style w:type="paragraph" w:customStyle="1" w:styleId="Sponsor">
    <w:name w:val="Sponsor"/>
    <w:basedOn w:val="OPCParaBase"/>
    <w:rsid w:val="001952B3"/>
    <w:pPr>
      <w:spacing w:line="240" w:lineRule="auto"/>
    </w:pPr>
    <w:rPr>
      <w:i/>
    </w:rPr>
  </w:style>
  <w:style w:type="paragraph" w:customStyle="1" w:styleId="Subitem">
    <w:name w:val="Subitem"/>
    <w:aliases w:val="iss"/>
    <w:basedOn w:val="OPCParaBase"/>
    <w:rsid w:val="001952B3"/>
    <w:pPr>
      <w:spacing w:before="180" w:line="240" w:lineRule="auto"/>
      <w:ind w:left="709" w:hanging="709"/>
    </w:pPr>
  </w:style>
  <w:style w:type="paragraph" w:customStyle="1" w:styleId="SubitemHead">
    <w:name w:val="SubitemHead"/>
    <w:aliases w:val="issh"/>
    <w:basedOn w:val="OPCParaBase"/>
    <w:rsid w:val="001952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52B3"/>
    <w:pPr>
      <w:spacing w:before="40" w:line="240" w:lineRule="auto"/>
      <w:ind w:left="1134"/>
    </w:pPr>
  </w:style>
  <w:style w:type="paragraph" w:customStyle="1" w:styleId="SubsectionHead">
    <w:name w:val="SubsectionHead"/>
    <w:aliases w:val="ssh"/>
    <w:basedOn w:val="OPCParaBase"/>
    <w:next w:val="subsection"/>
    <w:rsid w:val="001952B3"/>
    <w:pPr>
      <w:keepNext/>
      <w:keepLines/>
      <w:spacing w:before="240" w:line="240" w:lineRule="auto"/>
      <w:ind w:left="1134"/>
    </w:pPr>
    <w:rPr>
      <w:i/>
    </w:rPr>
  </w:style>
  <w:style w:type="paragraph" w:customStyle="1" w:styleId="Tablea">
    <w:name w:val="Table(a)"/>
    <w:aliases w:val="ta"/>
    <w:basedOn w:val="OPCParaBase"/>
    <w:rsid w:val="001952B3"/>
    <w:pPr>
      <w:spacing w:before="60" w:line="240" w:lineRule="auto"/>
      <w:ind w:left="284" w:hanging="284"/>
    </w:pPr>
    <w:rPr>
      <w:sz w:val="20"/>
    </w:rPr>
  </w:style>
  <w:style w:type="paragraph" w:customStyle="1" w:styleId="TableAA">
    <w:name w:val="Table(AA)"/>
    <w:aliases w:val="taaa"/>
    <w:basedOn w:val="OPCParaBase"/>
    <w:rsid w:val="001952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52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52B3"/>
    <w:pPr>
      <w:spacing w:before="60" w:line="240" w:lineRule="atLeast"/>
    </w:pPr>
    <w:rPr>
      <w:sz w:val="20"/>
    </w:rPr>
  </w:style>
  <w:style w:type="paragraph" w:customStyle="1" w:styleId="TLPBoxTextnote">
    <w:name w:val="TLPBoxText(note"/>
    <w:aliases w:val="right)"/>
    <w:basedOn w:val="OPCParaBase"/>
    <w:rsid w:val="001952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52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52B3"/>
    <w:pPr>
      <w:spacing w:before="122" w:line="198" w:lineRule="exact"/>
      <w:ind w:left="1985" w:hanging="851"/>
      <w:jc w:val="right"/>
    </w:pPr>
    <w:rPr>
      <w:sz w:val="18"/>
    </w:rPr>
  </w:style>
  <w:style w:type="paragraph" w:customStyle="1" w:styleId="TLPTableBullet">
    <w:name w:val="TLPTableBullet"/>
    <w:aliases w:val="ttb"/>
    <w:basedOn w:val="OPCParaBase"/>
    <w:rsid w:val="001952B3"/>
    <w:pPr>
      <w:spacing w:line="240" w:lineRule="exact"/>
      <w:ind w:left="284" w:hanging="284"/>
    </w:pPr>
    <w:rPr>
      <w:sz w:val="20"/>
    </w:rPr>
  </w:style>
  <w:style w:type="paragraph" w:styleId="TOC1">
    <w:name w:val="toc 1"/>
    <w:basedOn w:val="Normal"/>
    <w:next w:val="Normal"/>
    <w:uiPriority w:val="39"/>
    <w:unhideWhenUsed/>
    <w:rsid w:val="001952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52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52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52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52B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52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52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52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52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52B3"/>
    <w:pPr>
      <w:keepLines/>
      <w:spacing w:before="240" w:after="120" w:line="240" w:lineRule="auto"/>
      <w:ind w:left="794"/>
    </w:pPr>
    <w:rPr>
      <w:b/>
      <w:kern w:val="28"/>
      <w:sz w:val="20"/>
    </w:rPr>
  </w:style>
  <w:style w:type="paragraph" w:customStyle="1" w:styleId="TofSectsHeading">
    <w:name w:val="TofSects(Heading)"/>
    <w:basedOn w:val="OPCParaBase"/>
    <w:rsid w:val="001952B3"/>
    <w:pPr>
      <w:spacing w:before="240" w:after="120" w:line="240" w:lineRule="auto"/>
    </w:pPr>
    <w:rPr>
      <w:b/>
      <w:sz w:val="24"/>
    </w:rPr>
  </w:style>
  <w:style w:type="paragraph" w:customStyle="1" w:styleId="TofSectsSection">
    <w:name w:val="TofSects(Section)"/>
    <w:basedOn w:val="OPCParaBase"/>
    <w:rsid w:val="001952B3"/>
    <w:pPr>
      <w:keepLines/>
      <w:spacing w:before="40" w:line="240" w:lineRule="auto"/>
      <w:ind w:left="1588" w:hanging="794"/>
    </w:pPr>
    <w:rPr>
      <w:kern w:val="28"/>
      <w:sz w:val="18"/>
    </w:rPr>
  </w:style>
  <w:style w:type="paragraph" w:customStyle="1" w:styleId="TofSectsSubdiv">
    <w:name w:val="TofSects(Subdiv)"/>
    <w:basedOn w:val="OPCParaBase"/>
    <w:rsid w:val="001952B3"/>
    <w:pPr>
      <w:keepLines/>
      <w:spacing w:before="80" w:line="240" w:lineRule="auto"/>
      <w:ind w:left="1588" w:hanging="794"/>
    </w:pPr>
    <w:rPr>
      <w:kern w:val="28"/>
    </w:rPr>
  </w:style>
  <w:style w:type="paragraph" w:customStyle="1" w:styleId="WRStyle">
    <w:name w:val="WR Style"/>
    <w:aliases w:val="WR"/>
    <w:basedOn w:val="OPCParaBase"/>
    <w:rsid w:val="001952B3"/>
    <w:pPr>
      <w:spacing w:before="240" w:line="240" w:lineRule="auto"/>
      <w:ind w:left="284" w:hanging="284"/>
    </w:pPr>
    <w:rPr>
      <w:b/>
      <w:i/>
      <w:kern w:val="28"/>
      <w:sz w:val="24"/>
    </w:rPr>
  </w:style>
  <w:style w:type="paragraph" w:customStyle="1" w:styleId="notepara">
    <w:name w:val="note(para)"/>
    <w:aliases w:val="na"/>
    <w:basedOn w:val="OPCParaBase"/>
    <w:rsid w:val="001952B3"/>
    <w:pPr>
      <w:spacing w:before="40" w:line="198" w:lineRule="exact"/>
      <w:ind w:left="2354" w:hanging="369"/>
    </w:pPr>
    <w:rPr>
      <w:sz w:val="18"/>
    </w:rPr>
  </w:style>
  <w:style w:type="paragraph" w:styleId="Footer">
    <w:name w:val="footer"/>
    <w:link w:val="FooterChar"/>
    <w:rsid w:val="001952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52B3"/>
    <w:rPr>
      <w:rFonts w:eastAsia="Times New Roman" w:cs="Times New Roman"/>
      <w:sz w:val="22"/>
      <w:szCs w:val="24"/>
      <w:lang w:eastAsia="en-AU"/>
    </w:rPr>
  </w:style>
  <w:style w:type="character" w:styleId="LineNumber">
    <w:name w:val="line number"/>
    <w:basedOn w:val="OPCCharBase"/>
    <w:uiPriority w:val="99"/>
    <w:unhideWhenUsed/>
    <w:rsid w:val="001952B3"/>
    <w:rPr>
      <w:sz w:val="16"/>
    </w:rPr>
  </w:style>
  <w:style w:type="table" w:customStyle="1" w:styleId="CFlag">
    <w:name w:val="CFlag"/>
    <w:basedOn w:val="TableNormal"/>
    <w:uiPriority w:val="99"/>
    <w:rsid w:val="001952B3"/>
    <w:rPr>
      <w:rFonts w:eastAsia="Times New Roman" w:cs="Times New Roman"/>
      <w:lang w:eastAsia="en-AU"/>
    </w:rPr>
    <w:tblPr/>
  </w:style>
  <w:style w:type="paragraph" w:styleId="BalloonText">
    <w:name w:val="Balloon Text"/>
    <w:basedOn w:val="Normal"/>
    <w:link w:val="BalloonTextChar"/>
    <w:uiPriority w:val="99"/>
    <w:unhideWhenUsed/>
    <w:rsid w:val="001952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52B3"/>
    <w:rPr>
      <w:rFonts w:ascii="Tahoma" w:hAnsi="Tahoma" w:cs="Tahoma"/>
      <w:sz w:val="16"/>
      <w:szCs w:val="16"/>
    </w:rPr>
  </w:style>
  <w:style w:type="table" w:styleId="TableGrid">
    <w:name w:val="Table Grid"/>
    <w:basedOn w:val="TableNormal"/>
    <w:uiPriority w:val="59"/>
    <w:rsid w:val="0019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52B3"/>
    <w:rPr>
      <w:b/>
      <w:sz w:val="28"/>
      <w:szCs w:val="32"/>
    </w:rPr>
  </w:style>
  <w:style w:type="paragraph" w:customStyle="1" w:styleId="LegislationMadeUnder">
    <w:name w:val="LegislationMadeUnder"/>
    <w:basedOn w:val="OPCParaBase"/>
    <w:next w:val="Normal"/>
    <w:rsid w:val="001952B3"/>
    <w:rPr>
      <w:i/>
      <w:sz w:val="32"/>
      <w:szCs w:val="32"/>
    </w:rPr>
  </w:style>
  <w:style w:type="paragraph" w:customStyle="1" w:styleId="SignCoverPageEnd">
    <w:name w:val="SignCoverPageEnd"/>
    <w:basedOn w:val="OPCParaBase"/>
    <w:next w:val="Normal"/>
    <w:rsid w:val="001952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52B3"/>
    <w:pPr>
      <w:pBdr>
        <w:top w:val="single" w:sz="4" w:space="1" w:color="auto"/>
      </w:pBdr>
      <w:spacing w:before="360"/>
      <w:ind w:right="397"/>
      <w:jc w:val="both"/>
    </w:pPr>
  </w:style>
  <w:style w:type="paragraph" w:customStyle="1" w:styleId="NotesHeading1">
    <w:name w:val="NotesHeading 1"/>
    <w:basedOn w:val="OPCParaBase"/>
    <w:next w:val="Normal"/>
    <w:rsid w:val="001952B3"/>
    <w:rPr>
      <w:b/>
      <w:sz w:val="28"/>
      <w:szCs w:val="28"/>
    </w:rPr>
  </w:style>
  <w:style w:type="paragraph" w:customStyle="1" w:styleId="NotesHeading2">
    <w:name w:val="NotesHeading 2"/>
    <w:basedOn w:val="OPCParaBase"/>
    <w:next w:val="Normal"/>
    <w:rsid w:val="001952B3"/>
    <w:rPr>
      <w:b/>
      <w:sz w:val="28"/>
      <w:szCs w:val="28"/>
    </w:rPr>
  </w:style>
  <w:style w:type="paragraph" w:customStyle="1" w:styleId="CompiledActNo">
    <w:name w:val="CompiledActNo"/>
    <w:basedOn w:val="OPCParaBase"/>
    <w:next w:val="Normal"/>
    <w:rsid w:val="001952B3"/>
    <w:rPr>
      <w:b/>
      <w:sz w:val="24"/>
      <w:szCs w:val="24"/>
    </w:rPr>
  </w:style>
  <w:style w:type="paragraph" w:customStyle="1" w:styleId="ENotesText">
    <w:name w:val="ENotesText"/>
    <w:aliases w:val="Ent"/>
    <w:basedOn w:val="OPCParaBase"/>
    <w:next w:val="Normal"/>
    <w:rsid w:val="001952B3"/>
    <w:pPr>
      <w:spacing w:before="120"/>
    </w:pPr>
  </w:style>
  <w:style w:type="paragraph" w:customStyle="1" w:styleId="CompiledMadeUnder">
    <w:name w:val="CompiledMadeUnder"/>
    <w:basedOn w:val="OPCParaBase"/>
    <w:next w:val="Normal"/>
    <w:rsid w:val="001952B3"/>
    <w:rPr>
      <w:i/>
      <w:sz w:val="24"/>
      <w:szCs w:val="24"/>
    </w:rPr>
  </w:style>
  <w:style w:type="paragraph" w:customStyle="1" w:styleId="Paragraphsub-sub-sub">
    <w:name w:val="Paragraph(sub-sub-sub)"/>
    <w:aliases w:val="aaaa"/>
    <w:basedOn w:val="OPCParaBase"/>
    <w:rsid w:val="001952B3"/>
    <w:pPr>
      <w:tabs>
        <w:tab w:val="right" w:pos="3402"/>
      </w:tabs>
      <w:spacing w:before="40" w:line="240" w:lineRule="auto"/>
      <w:ind w:left="3402" w:hanging="3402"/>
    </w:pPr>
  </w:style>
  <w:style w:type="paragraph" w:customStyle="1" w:styleId="TableTextEndNotes">
    <w:name w:val="TableTextEndNotes"/>
    <w:aliases w:val="Tten"/>
    <w:basedOn w:val="Normal"/>
    <w:rsid w:val="001952B3"/>
    <w:pPr>
      <w:spacing w:before="60" w:line="240" w:lineRule="auto"/>
    </w:pPr>
    <w:rPr>
      <w:rFonts w:cs="Arial"/>
      <w:sz w:val="20"/>
      <w:szCs w:val="22"/>
    </w:rPr>
  </w:style>
  <w:style w:type="paragraph" w:customStyle="1" w:styleId="NoteToSubpara">
    <w:name w:val="NoteToSubpara"/>
    <w:aliases w:val="nts"/>
    <w:basedOn w:val="OPCParaBase"/>
    <w:rsid w:val="001952B3"/>
    <w:pPr>
      <w:spacing w:before="40" w:line="198" w:lineRule="exact"/>
      <w:ind w:left="2835" w:hanging="709"/>
    </w:pPr>
    <w:rPr>
      <w:sz w:val="18"/>
    </w:rPr>
  </w:style>
  <w:style w:type="paragraph" w:customStyle="1" w:styleId="ENoteTableHeading">
    <w:name w:val="ENoteTableHeading"/>
    <w:aliases w:val="enth"/>
    <w:basedOn w:val="OPCParaBase"/>
    <w:rsid w:val="001952B3"/>
    <w:pPr>
      <w:keepNext/>
      <w:spacing w:before="60" w:line="240" w:lineRule="atLeast"/>
    </w:pPr>
    <w:rPr>
      <w:rFonts w:ascii="Arial" w:hAnsi="Arial"/>
      <w:b/>
      <w:sz w:val="16"/>
    </w:rPr>
  </w:style>
  <w:style w:type="paragraph" w:customStyle="1" w:styleId="ENoteTTi">
    <w:name w:val="ENoteTTi"/>
    <w:aliases w:val="entti"/>
    <w:basedOn w:val="OPCParaBase"/>
    <w:rsid w:val="001952B3"/>
    <w:pPr>
      <w:keepNext/>
      <w:spacing w:before="60" w:line="240" w:lineRule="atLeast"/>
      <w:ind w:left="170"/>
    </w:pPr>
    <w:rPr>
      <w:sz w:val="16"/>
    </w:rPr>
  </w:style>
  <w:style w:type="paragraph" w:customStyle="1" w:styleId="ENotesHeading1">
    <w:name w:val="ENotesHeading 1"/>
    <w:aliases w:val="Enh1"/>
    <w:basedOn w:val="OPCParaBase"/>
    <w:next w:val="Normal"/>
    <w:rsid w:val="001952B3"/>
    <w:pPr>
      <w:spacing w:before="120"/>
      <w:outlineLvl w:val="1"/>
    </w:pPr>
    <w:rPr>
      <w:b/>
      <w:sz w:val="28"/>
      <w:szCs w:val="28"/>
    </w:rPr>
  </w:style>
  <w:style w:type="paragraph" w:customStyle="1" w:styleId="ENotesHeading2">
    <w:name w:val="ENotesHeading 2"/>
    <w:aliases w:val="Enh2"/>
    <w:basedOn w:val="OPCParaBase"/>
    <w:next w:val="Normal"/>
    <w:rsid w:val="001952B3"/>
    <w:pPr>
      <w:spacing w:before="120" w:after="120"/>
      <w:outlineLvl w:val="2"/>
    </w:pPr>
    <w:rPr>
      <w:b/>
      <w:sz w:val="24"/>
      <w:szCs w:val="28"/>
    </w:rPr>
  </w:style>
  <w:style w:type="paragraph" w:customStyle="1" w:styleId="ENoteTTIndentHeading">
    <w:name w:val="ENoteTTIndentHeading"/>
    <w:aliases w:val="enTTHi"/>
    <w:basedOn w:val="OPCParaBase"/>
    <w:rsid w:val="001952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52B3"/>
    <w:pPr>
      <w:spacing w:before="60" w:line="240" w:lineRule="atLeast"/>
    </w:pPr>
    <w:rPr>
      <w:sz w:val="16"/>
    </w:rPr>
  </w:style>
  <w:style w:type="paragraph" w:customStyle="1" w:styleId="MadeunderText">
    <w:name w:val="MadeunderText"/>
    <w:basedOn w:val="OPCParaBase"/>
    <w:next w:val="Normal"/>
    <w:rsid w:val="001952B3"/>
    <w:pPr>
      <w:spacing w:before="240"/>
    </w:pPr>
    <w:rPr>
      <w:sz w:val="24"/>
      <w:szCs w:val="24"/>
    </w:rPr>
  </w:style>
  <w:style w:type="paragraph" w:customStyle="1" w:styleId="ENotesHeading3">
    <w:name w:val="ENotesHeading 3"/>
    <w:aliases w:val="Enh3"/>
    <w:basedOn w:val="OPCParaBase"/>
    <w:next w:val="Normal"/>
    <w:rsid w:val="001952B3"/>
    <w:pPr>
      <w:keepNext/>
      <w:spacing w:before="120" w:line="240" w:lineRule="auto"/>
      <w:outlineLvl w:val="4"/>
    </w:pPr>
    <w:rPr>
      <w:b/>
      <w:szCs w:val="24"/>
    </w:rPr>
  </w:style>
  <w:style w:type="character" w:customStyle="1" w:styleId="CharSubPartTextCASA">
    <w:name w:val="CharSubPartText(CASA)"/>
    <w:basedOn w:val="OPCCharBase"/>
    <w:uiPriority w:val="1"/>
    <w:rsid w:val="001952B3"/>
  </w:style>
  <w:style w:type="character" w:customStyle="1" w:styleId="CharSubPartNoCASA">
    <w:name w:val="CharSubPartNo(CASA)"/>
    <w:basedOn w:val="OPCCharBase"/>
    <w:uiPriority w:val="1"/>
    <w:rsid w:val="001952B3"/>
  </w:style>
  <w:style w:type="paragraph" w:customStyle="1" w:styleId="ENoteTTIndentHeadingSub">
    <w:name w:val="ENoteTTIndentHeadingSub"/>
    <w:aliases w:val="enTTHis"/>
    <w:basedOn w:val="OPCParaBase"/>
    <w:rsid w:val="001952B3"/>
    <w:pPr>
      <w:keepNext/>
      <w:spacing w:before="60" w:line="240" w:lineRule="atLeast"/>
      <w:ind w:left="340"/>
    </w:pPr>
    <w:rPr>
      <w:b/>
      <w:sz w:val="16"/>
    </w:rPr>
  </w:style>
  <w:style w:type="paragraph" w:customStyle="1" w:styleId="ENoteTTiSub">
    <w:name w:val="ENoteTTiSub"/>
    <w:aliases w:val="enttis"/>
    <w:basedOn w:val="OPCParaBase"/>
    <w:rsid w:val="001952B3"/>
    <w:pPr>
      <w:keepNext/>
      <w:spacing w:before="60" w:line="240" w:lineRule="atLeast"/>
      <w:ind w:left="340"/>
    </w:pPr>
    <w:rPr>
      <w:sz w:val="16"/>
    </w:rPr>
  </w:style>
  <w:style w:type="paragraph" w:customStyle="1" w:styleId="SubDivisionMigration">
    <w:name w:val="SubDivisionMigration"/>
    <w:aliases w:val="sdm"/>
    <w:basedOn w:val="OPCParaBase"/>
    <w:rsid w:val="001952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52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52B3"/>
    <w:pPr>
      <w:spacing w:before="122" w:line="240" w:lineRule="auto"/>
      <w:ind w:left="1985" w:hanging="851"/>
    </w:pPr>
    <w:rPr>
      <w:sz w:val="18"/>
    </w:rPr>
  </w:style>
  <w:style w:type="paragraph" w:customStyle="1" w:styleId="FreeForm">
    <w:name w:val="FreeForm"/>
    <w:rsid w:val="001952B3"/>
    <w:rPr>
      <w:rFonts w:ascii="Arial" w:hAnsi="Arial"/>
      <w:sz w:val="22"/>
    </w:rPr>
  </w:style>
  <w:style w:type="paragraph" w:customStyle="1" w:styleId="SOText">
    <w:name w:val="SO Text"/>
    <w:aliases w:val="sot"/>
    <w:link w:val="SOTextChar"/>
    <w:rsid w:val="001952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52B3"/>
    <w:rPr>
      <w:sz w:val="22"/>
    </w:rPr>
  </w:style>
  <w:style w:type="paragraph" w:customStyle="1" w:styleId="SOTextNote">
    <w:name w:val="SO TextNote"/>
    <w:aliases w:val="sont"/>
    <w:basedOn w:val="SOText"/>
    <w:qFormat/>
    <w:rsid w:val="001952B3"/>
    <w:pPr>
      <w:spacing w:before="122" w:line="198" w:lineRule="exact"/>
      <w:ind w:left="1843" w:hanging="709"/>
    </w:pPr>
    <w:rPr>
      <w:sz w:val="18"/>
    </w:rPr>
  </w:style>
  <w:style w:type="paragraph" w:customStyle="1" w:styleId="SOPara">
    <w:name w:val="SO Para"/>
    <w:aliases w:val="soa"/>
    <w:basedOn w:val="SOText"/>
    <w:link w:val="SOParaChar"/>
    <w:qFormat/>
    <w:rsid w:val="001952B3"/>
    <w:pPr>
      <w:tabs>
        <w:tab w:val="right" w:pos="1786"/>
      </w:tabs>
      <w:spacing w:before="40"/>
      <w:ind w:left="2070" w:hanging="936"/>
    </w:pPr>
  </w:style>
  <w:style w:type="character" w:customStyle="1" w:styleId="SOParaChar">
    <w:name w:val="SO Para Char"/>
    <w:aliases w:val="soa Char"/>
    <w:basedOn w:val="DefaultParagraphFont"/>
    <w:link w:val="SOPara"/>
    <w:rsid w:val="001952B3"/>
    <w:rPr>
      <w:sz w:val="22"/>
    </w:rPr>
  </w:style>
  <w:style w:type="paragraph" w:customStyle="1" w:styleId="FileName">
    <w:name w:val="FileName"/>
    <w:basedOn w:val="Normal"/>
    <w:rsid w:val="001952B3"/>
  </w:style>
  <w:style w:type="paragraph" w:customStyle="1" w:styleId="TableHeading">
    <w:name w:val="TableHeading"/>
    <w:aliases w:val="th"/>
    <w:basedOn w:val="OPCParaBase"/>
    <w:next w:val="Tabletext"/>
    <w:rsid w:val="001952B3"/>
    <w:pPr>
      <w:keepNext/>
      <w:spacing w:before="60" w:line="240" w:lineRule="atLeast"/>
    </w:pPr>
    <w:rPr>
      <w:b/>
      <w:sz w:val="20"/>
    </w:rPr>
  </w:style>
  <w:style w:type="paragraph" w:customStyle="1" w:styleId="SOHeadBold">
    <w:name w:val="SO HeadBold"/>
    <w:aliases w:val="sohb"/>
    <w:basedOn w:val="SOText"/>
    <w:next w:val="SOText"/>
    <w:link w:val="SOHeadBoldChar"/>
    <w:qFormat/>
    <w:rsid w:val="001952B3"/>
    <w:rPr>
      <w:b/>
    </w:rPr>
  </w:style>
  <w:style w:type="character" w:customStyle="1" w:styleId="SOHeadBoldChar">
    <w:name w:val="SO HeadBold Char"/>
    <w:aliases w:val="sohb Char"/>
    <w:basedOn w:val="DefaultParagraphFont"/>
    <w:link w:val="SOHeadBold"/>
    <w:rsid w:val="001952B3"/>
    <w:rPr>
      <w:b/>
      <w:sz w:val="22"/>
    </w:rPr>
  </w:style>
  <w:style w:type="paragraph" w:customStyle="1" w:styleId="SOHeadItalic">
    <w:name w:val="SO HeadItalic"/>
    <w:aliases w:val="sohi"/>
    <w:basedOn w:val="SOText"/>
    <w:next w:val="SOText"/>
    <w:link w:val="SOHeadItalicChar"/>
    <w:qFormat/>
    <w:rsid w:val="001952B3"/>
    <w:rPr>
      <w:i/>
    </w:rPr>
  </w:style>
  <w:style w:type="character" w:customStyle="1" w:styleId="SOHeadItalicChar">
    <w:name w:val="SO HeadItalic Char"/>
    <w:aliases w:val="sohi Char"/>
    <w:basedOn w:val="DefaultParagraphFont"/>
    <w:link w:val="SOHeadItalic"/>
    <w:rsid w:val="001952B3"/>
    <w:rPr>
      <w:i/>
      <w:sz w:val="22"/>
    </w:rPr>
  </w:style>
  <w:style w:type="paragraph" w:customStyle="1" w:styleId="SOBullet">
    <w:name w:val="SO Bullet"/>
    <w:aliases w:val="sotb"/>
    <w:basedOn w:val="SOText"/>
    <w:link w:val="SOBulletChar"/>
    <w:qFormat/>
    <w:rsid w:val="001952B3"/>
    <w:pPr>
      <w:ind w:left="1559" w:hanging="425"/>
    </w:pPr>
  </w:style>
  <w:style w:type="character" w:customStyle="1" w:styleId="SOBulletChar">
    <w:name w:val="SO Bullet Char"/>
    <w:aliases w:val="sotb Char"/>
    <w:basedOn w:val="DefaultParagraphFont"/>
    <w:link w:val="SOBullet"/>
    <w:rsid w:val="001952B3"/>
    <w:rPr>
      <w:sz w:val="22"/>
    </w:rPr>
  </w:style>
  <w:style w:type="paragraph" w:customStyle="1" w:styleId="SOBulletNote">
    <w:name w:val="SO BulletNote"/>
    <w:aliases w:val="sonb"/>
    <w:basedOn w:val="SOTextNote"/>
    <w:link w:val="SOBulletNoteChar"/>
    <w:qFormat/>
    <w:rsid w:val="001952B3"/>
    <w:pPr>
      <w:tabs>
        <w:tab w:val="left" w:pos="1560"/>
      </w:tabs>
      <w:ind w:left="2268" w:hanging="1134"/>
    </w:pPr>
  </w:style>
  <w:style w:type="character" w:customStyle="1" w:styleId="SOBulletNoteChar">
    <w:name w:val="SO BulletNote Char"/>
    <w:aliases w:val="sonb Char"/>
    <w:basedOn w:val="DefaultParagraphFont"/>
    <w:link w:val="SOBulletNote"/>
    <w:rsid w:val="001952B3"/>
    <w:rPr>
      <w:sz w:val="18"/>
    </w:rPr>
  </w:style>
  <w:style w:type="paragraph" w:customStyle="1" w:styleId="SOText2">
    <w:name w:val="SO Text2"/>
    <w:aliases w:val="sot2"/>
    <w:basedOn w:val="Normal"/>
    <w:next w:val="SOText"/>
    <w:link w:val="SOText2Char"/>
    <w:rsid w:val="001952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52B3"/>
    <w:rPr>
      <w:sz w:val="22"/>
    </w:rPr>
  </w:style>
  <w:style w:type="paragraph" w:customStyle="1" w:styleId="SubPartCASA">
    <w:name w:val="SubPart(CASA)"/>
    <w:aliases w:val="csp"/>
    <w:basedOn w:val="OPCParaBase"/>
    <w:next w:val="ActHead3"/>
    <w:rsid w:val="001952B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52B3"/>
    <w:rPr>
      <w:rFonts w:eastAsia="Times New Roman" w:cs="Times New Roman"/>
      <w:sz w:val="22"/>
      <w:lang w:eastAsia="en-AU"/>
    </w:rPr>
  </w:style>
  <w:style w:type="character" w:customStyle="1" w:styleId="notetextChar">
    <w:name w:val="note(text) Char"/>
    <w:aliases w:val="n Char"/>
    <w:basedOn w:val="DefaultParagraphFont"/>
    <w:link w:val="notetext"/>
    <w:rsid w:val="001952B3"/>
    <w:rPr>
      <w:rFonts w:eastAsia="Times New Roman" w:cs="Times New Roman"/>
      <w:sz w:val="18"/>
      <w:lang w:eastAsia="en-AU"/>
    </w:rPr>
  </w:style>
  <w:style w:type="character" w:customStyle="1" w:styleId="Heading1Char">
    <w:name w:val="Heading 1 Char"/>
    <w:basedOn w:val="DefaultParagraphFont"/>
    <w:link w:val="Heading1"/>
    <w:uiPriority w:val="9"/>
    <w:rsid w:val="001952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52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52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52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52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52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52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52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52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952B3"/>
    <w:rPr>
      <w:rFonts w:ascii="Arial" w:hAnsi="Arial" w:cs="Arial" w:hint="default"/>
      <w:b/>
      <w:bCs/>
      <w:sz w:val="28"/>
      <w:szCs w:val="28"/>
    </w:rPr>
  </w:style>
  <w:style w:type="paragraph" w:styleId="Index1">
    <w:name w:val="index 1"/>
    <w:basedOn w:val="Normal"/>
    <w:next w:val="Normal"/>
    <w:autoRedefine/>
    <w:rsid w:val="001952B3"/>
    <w:pPr>
      <w:ind w:left="240" w:hanging="240"/>
    </w:pPr>
  </w:style>
  <w:style w:type="paragraph" w:styleId="Index2">
    <w:name w:val="index 2"/>
    <w:basedOn w:val="Normal"/>
    <w:next w:val="Normal"/>
    <w:autoRedefine/>
    <w:rsid w:val="001952B3"/>
    <w:pPr>
      <w:ind w:left="480" w:hanging="240"/>
    </w:pPr>
  </w:style>
  <w:style w:type="paragraph" w:styleId="Index3">
    <w:name w:val="index 3"/>
    <w:basedOn w:val="Normal"/>
    <w:next w:val="Normal"/>
    <w:autoRedefine/>
    <w:rsid w:val="001952B3"/>
    <w:pPr>
      <w:ind w:left="720" w:hanging="240"/>
    </w:pPr>
  </w:style>
  <w:style w:type="paragraph" w:styleId="Index4">
    <w:name w:val="index 4"/>
    <w:basedOn w:val="Normal"/>
    <w:next w:val="Normal"/>
    <w:autoRedefine/>
    <w:rsid w:val="001952B3"/>
    <w:pPr>
      <w:ind w:left="960" w:hanging="240"/>
    </w:pPr>
  </w:style>
  <w:style w:type="paragraph" w:styleId="Index5">
    <w:name w:val="index 5"/>
    <w:basedOn w:val="Normal"/>
    <w:next w:val="Normal"/>
    <w:autoRedefine/>
    <w:rsid w:val="001952B3"/>
    <w:pPr>
      <w:ind w:left="1200" w:hanging="240"/>
    </w:pPr>
  </w:style>
  <w:style w:type="paragraph" w:styleId="Index6">
    <w:name w:val="index 6"/>
    <w:basedOn w:val="Normal"/>
    <w:next w:val="Normal"/>
    <w:autoRedefine/>
    <w:rsid w:val="001952B3"/>
    <w:pPr>
      <w:ind w:left="1440" w:hanging="240"/>
    </w:pPr>
  </w:style>
  <w:style w:type="paragraph" w:styleId="Index7">
    <w:name w:val="index 7"/>
    <w:basedOn w:val="Normal"/>
    <w:next w:val="Normal"/>
    <w:autoRedefine/>
    <w:rsid w:val="001952B3"/>
    <w:pPr>
      <w:ind w:left="1680" w:hanging="240"/>
    </w:pPr>
  </w:style>
  <w:style w:type="paragraph" w:styleId="Index8">
    <w:name w:val="index 8"/>
    <w:basedOn w:val="Normal"/>
    <w:next w:val="Normal"/>
    <w:autoRedefine/>
    <w:rsid w:val="001952B3"/>
    <w:pPr>
      <w:ind w:left="1920" w:hanging="240"/>
    </w:pPr>
  </w:style>
  <w:style w:type="paragraph" w:styleId="Index9">
    <w:name w:val="index 9"/>
    <w:basedOn w:val="Normal"/>
    <w:next w:val="Normal"/>
    <w:autoRedefine/>
    <w:rsid w:val="001952B3"/>
    <w:pPr>
      <w:ind w:left="2160" w:hanging="240"/>
    </w:pPr>
  </w:style>
  <w:style w:type="paragraph" w:styleId="NormalIndent">
    <w:name w:val="Normal Indent"/>
    <w:basedOn w:val="Normal"/>
    <w:rsid w:val="001952B3"/>
    <w:pPr>
      <w:ind w:left="720"/>
    </w:pPr>
  </w:style>
  <w:style w:type="paragraph" w:styleId="FootnoteText">
    <w:name w:val="footnote text"/>
    <w:basedOn w:val="Normal"/>
    <w:link w:val="FootnoteTextChar"/>
    <w:rsid w:val="001952B3"/>
    <w:rPr>
      <w:sz w:val="20"/>
    </w:rPr>
  </w:style>
  <w:style w:type="character" w:customStyle="1" w:styleId="FootnoteTextChar">
    <w:name w:val="Footnote Text Char"/>
    <w:basedOn w:val="DefaultParagraphFont"/>
    <w:link w:val="FootnoteText"/>
    <w:rsid w:val="001952B3"/>
  </w:style>
  <w:style w:type="paragraph" w:styleId="CommentText">
    <w:name w:val="annotation text"/>
    <w:basedOn w:val="Normal"/>
    <w:link w:val="CommentTextChar"/>
    <w:rsid w:val="001952B3"/>
    <w:rPr>
      <w:sz w:val="20"/>
    </w:rPr>
  </w:style>
  <w:style w:type="character" w:customStyle="1" w:styleId="CommentTextChar">
    <w:name w:val="Comment Text Char"/>
    <w:basedOn w:val="DefaultParagraphFont"/>
    <w:link w:val="CommentText"/>
    <w:rsid w:val="001952B3"/>
  </w:style>
  <w:style w:type="paragraph" w:styleId="IndexHeading">
    <w:name w:val="index heading"/>
    <w:basedOn w:val="Normal"/>
    <w:next w:val="Index1"/>
    <w:rsid w:val="001952B3"/>
    <w:rPr>
      <w:rFonts w:ascii="Arial" w:hAnsi="Arial" w:cs="Arial"/>
      <w:b/>
      <w:bCs/>
    </w:rPr>
  </w:style>
  <w:style w:type="paragraph" w:styleId="Caption">
    <w:name w:val="caption"/>
    <w:basedOn w:val="Normal"/>
    <w:next w:val="Normal"/>
    <w:qFormat/>
    <w:rsid w:val="001952B3"/>
    <w:pPr>
      <w:spacing w:before="120" w:after="120"/>
    </w:pPr>
    <w:rPr>
      <w:b/>
      <w:bCs/>
      <w:sz w:val="20"/>
    </w:rPr>
  </w:style>
  <w:style w:type="paragraph" w:styleId="TableofFigures">
    <w:name w:val="table of figures"/>
    <w:basedOn w:val="Normal"/>
    <w:next w:val="Normal"/>
    <w:rsid w:val="001952B3"/>
    <w:pPr>
      <w:ind w:left="480" w:hanging="480"/>
    </w:pPr>
  </w:style>
  <w:style w:type="paragraph" w:styleId="EnvelopeAddress">
    <w:name w:val="envelope address"/>
    <w:basedOn w:val="Normal"/>
    <w:rsid w:val="001952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52B3"/>
    <w:rPr>
      <w:rFonts w:ascii="Arial" w:hAnsi="Arial" w:cs="Arial"/>
      <w:sz w:val="20"/>
    </w:rPr>
  </w:style>
  <w:style w:type="character" w:styleId="FootnoteReference">
    <w:name w:val="footnote reference"/>
    <w:basedOn w:val="DefaultParagraphFont"/>
    <w:rsid w:val="001952B3"/>
    <w:rPr>
      <w:rFonts w:ascii="Times New Roman" w:hAnsi="Times New Roman"/>
      <w:sz w:val="20"/>
      <w:vertAlign w:val="superscript"/>
    </w:rPr>
  </w:style>
  <w:style w:type="character" w:styleId="CommentReference">
    <w:name w:val="annotation reference"/>
    <w:basedOn w:val="DefaultParagraphFont"/>
    <w:rsid w:val="001952B3"/>
    <w:rPr>
      <w:sz w:val="16"/>
      <w:szCs w:val="16"/>
    </w:rPr>
  </w:style>
  <w:style w:type="character" w:styleId="PageNumber">
    <w:name w:val="page number"/>
    <w:basedOn w:val="DefaultParagraphFont"/>
    <w:rsid w:val="001952B3"/>
  </w:style>
  <w:style w:type="character" w:styleId="EndnoteReference">
    <w:name w:val="endnote reference"/>
    <w:basedOn w:val="DefaultParagraphFont"/>
    <w:rsid w:val="001952B3"/>
    <w:rPr>
      <w:vertAlign w:val="superscript"/>
    </w:rPr>
  </w:style>
  <w:style w:type="paragraph" w:styleId="EndnoteText">
    <w:name w:val="endnote text"/>
    <w:basedOn w:val="Normal"/>
    <w:link w:val="EndnoteTextChar"/>
    <w:rsid w:val="001952B3"/>
    <w:rPr>
      <w:sz w:val="20"/>
    </w:rPr>
  </w:style>
  <w:style w:type="character" w:customStyle="1" w:styleId="EndnoteTextChar">
    <w:name w:val="Endnote Text Char"/>
    <w:basedOn w:val="DefaultParagraphFont"/>
    <w:link w:val="EndnoteText"/>
    <w:rsid w:val="001952B3"/>
  </w:style>
  <w:style w:type="paragraph" w:styleId="TableofAuthorities">
    <w:name w:val="table of authorities"/>
    <w:basedOn w:val="Normal"/>
    <w:next w:val="Normal"/>
    <w:rsid w:val="001952B3"/>
    <w:pPr>
      <w:ind w:left="240" w:hanging="240"/>
    </w:pPr>
  </w:style>
  <w:style w:type="paragraph" w:styleId="MacroText">
    <w:name w:val="macro"/>
    <w:link w:val="MacroTextChar"/>
    <w:rsid w:val="001952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52B3"/>
    <w:rPr>
      <w:rFonts w:ascii="Courier New" w:eastAsia="Times New Roman" w:hAnsi="Courier New" w:cs="Courier New"/>
      <w:lang w:eastAsia="en-AU"/>
    </w:rPr>
  </w:style>
  <w:style w:type="paragraph" w:styleId="TOAHeading">
    <w:name w:val="toa heading"/>
    <w:basedOn w:val="Normal"/>
    <w:next w:val="Normal"/>
    <w:rsid w:val="001952B3"/>
    <w:pPr>
      <w:spacing w:before="120"/>
    </w:pPr>
    <w:rPr>
      <w:rFonts w:ascii="Arial" w:hAnsi="Arial" w:cs="Arial"/>
      <w:b/>
      <w:bCs/>
    </w:rPr>
  </w:style>
  <w:style w:type="paragraph" w:styleId="List">
    <w:name w:val="List"/>
    <w:basedOn w:val="Normal"/>
    <w:rsid w:val="001952B3"/>
    <w:pPr>
      <w:ind w:left="283" w:hanging="283"/>
    </w:pPr>
  </w:style>
  <w:style w:type="paragraph" w:styleId="ListBullet">
    <w:name w:val="List Bullet"/>
    <w:basedOn w:val="Normal"/>
    <w:autoRedefine/>
    <w:rsid w:val="001952B3"/>
    <w:pPr>
      <w:tabs>
        <w:tab w:val="num" w:pos="360"/>
      </w:tabs>
      <w:ind w:left="360" w:hanging="360"/>
    </w:pPr>
  </w:style>
  <w:style w:type="paragraph" w:styleId="ListNumber">
    <w:name w:val="List Number"/>
    <w:basedOn w:val="Normal"/>
    <w:rsid w:val="001952B3"/>
    <w:pPr>
      <w:tabs>
        <w:tab w:val="num" w:pos="360"/>
      </w:tabs>
      <w:ind w:left="360" w:hanging="360"/>
    </w:pPr>
  </w:style>
  <w:style w:type="paragraph" w:styleId="List2">
    <w:name w:val="List 2"/>
    <w:basedOn w:val="Normal"/>
    <w:rsid w:val="001952B3"/>
    <w:pPr>
      <w:ind w:left="566" w:hanging="283"/>
    </w:pPr>
  </w:style>
  <w:style w:type="paragraph" w:styleId="List3">
    <w:name w:val="List 3"/>
    <w:basedOn w:val="Normal"/>
    <w:rsid w:val="001952B3"/>
    <w:pPr>
      <w:ind w:left="849" w:hanging="283"/>
    </w:pPr>
  </w:style>
  <w:style w:type="paragraph" w:styleId="List4">
    <w:name w:val="List 4"/>
    <w:basedOn w:val="Normal"/>
    <w:rsid w:val="001952B3"/>
    <w:pPr>
      <w:ind w:left="1132" w:hanging="283"/>
    </w:pPr>
  </w:style>
  <w:style w:type="paragraph" w:styleId="List5">
    <w:name w:val="List 5"/>
    <w:basedOn w:val="Normal"/>
    <w:rsid w:val="001952B3"/>
    <w:pPr>
      <w:ind w:left="1415" w:hanging="283"/>
    </w:pPr>
  </w:style>
  <w:style w:type="paragraph" w:styleId="ListBullet2">
    <w:name w:val="List Bullet 2"/>
    <w:basedOn w:val="Normal"/>
    <w:autoRedefine/>
    <w:rsid w:val="001952B3"/>
    <w:pPr>
      <w:tabs>
        <w:tab w:val="num" w:pos="360"/>
      </w:tabs>
    </w:pPr>
  </w:style>
  <w:style w:type="paragraph" w:styleId="ListBullet3">
    <w:name w:val="List Bullet 3"/>
    <w:basedOn w:val="Normal"/>
    <w:autoRedefine/>
    <w:rsid w:val="001952B3"/>
    <w:pPr>
      <w:tabs>
        <w:tab w:val="num" w:pos="926"/>
      </w:tabs>
      <w:ind w:left="926" w:hanging="360"/>
    </w:pPr>
  </w:style>
  <w:style w:type="paragraph" w:styleId="ListBullet4">
    <w:name w:val="List Bullet 4"/>
    <w:basedOn w:val="Normal"/>
    <w:autoRedefine/>
    <w:rsid w:val="001952B3"/>
    <w:pPr>
      <w:tabs>
        <w:tab w:val="num" w:pos="1209"/>
      </w:tabs>
      <w:ind w:left="1209" w:hanging="360"/>
    </w:pPr>
  </w:style>
  <w:style w:type="paragraph" w:styleId="ListBullet5">
    <w:name w:val="List Bullet 5"/>
    <w:basedOn w:val="Normal"/>
    <w:autoRedefine/>
    <w:rsid w:val="001952B3"/>
    <w:pPr>
      <w:tabs>
        <w:tab w:val="num" w:pos="1492"/>
      </w:tabs>
      <w:ind w:left="1492" w:hanging="360"/>
    </w:pPr>
  </w:style>
  <w:style w:type="paragraph" w:styleId="ListNumber2">
    <w:name w:val="List Number 2"/>
    <w:basedOn w:val="Normal"/>
    <w:rsid w:val="001952B3"/>
    <w:pPr>
      <w:tabs>
        <w:tab w:val="num" w:pos="643"/>
      </w:tabs>
      <w:ind w:left="643" w:hanging="360"/>
    </w:pPr>
  </w:style>
  <w:style w:type="paragraph" w:styleId="ListNumber3">
    <w:name w:val="List Number 3"/>
    <w:basedOn w:val="Normal"/>
    <w:rsid w:val="001952B3"/>
    <w:pPr>
      <w:tabs>
        <w:tab w:val="num" w:pos="926"/>
      </w:tabs>
      <w:ind w:left="926" w:hanging="360"/>
    </w:pPr>
  </w:style>
  <w:style w:type="paragraph" w:styleId="ListNumber4">
    <w:name w:val="List Number 4"/>
    <w:basedOn w:val="Normal"/>
    <w:rsid w:val="001952B3"/>
    <w:pPr>
      <w:tabs>
        <w:tab w:val="num" w:pos="1209"/>
      </w:tabs>
      <w:ind w:left="1209" w:hanging="360"/>
    </w:pPr>
  </w:style>
  <w:style w:type="paragraph" w:styleId="ListNumber5">
    <w:name w:val="List Number 5"/>
    <w:basedOn w:val="Normal"/>
    <w:rsid w:val="001952B3"/>
    <w:pPr>
      <w:tabs>
        <w:tab w:val="num" w:pos="1492"/>
      </w:tabs>
      <w:ind w:left="1492" w:hanging="360"/>
    </w:pPr>
  </w:style>
  <w:style w:type="paragraph" w:styleId="Title">
    <w:name w:val="Title"/>
    <w:basedOn w:val="Normal"/>
    <w:link w:val="TitleChar"/>
    <w:qFormat/>
    <w:rsid w:val="001952B3"/>
    <w:pPr>
      <w:spacing w:before="240" w:after="60"/>
    </w:pPr>
    <w:rPr>
      <w:rFonts w:ascii="Arial" w:hAnsi="Arial" w:cs="Arial"/>
      <w:b/>
      <w:bCs/>
      <w:sz w:val="40"/>
      <w:szCs w:val="40"/>
    </w:rPr>
  </w:style>
  <w:style w:type="character" w:customStyle="1" w:styleId="TitleChar">
    <w:name w:val="Title Char"/>
    <w:basedOn w:val="DefaultParagraphFont"/>
    <w:link w:val="Title"/>
    <w:rsid w:val="001952B3"/>
    <w:rPr>
      <w:rFonts w:ascii="Arial" w:hAnsi="Arial" w:cs="Arial"/>
      <w:b/>
      <w:bCs/>
      <w:sz w:val="40"/>
      <w:szCs w:val="40"/>
    </w:rPr>
  </w:style>
  <w:style w:type="paragraph" w:styleId="Closing">
    <w:name w:val="Closing"/>
    <w:basedOn w:val="Normal"/>
    <w:link w:val="ClosingChar"/>
    <w:rsid w:val="001952B3"/>
    <w:pPr>
      <w:ind w:left="4252"/>
    </w:pPr>
  </w:style>
  <w:style w:type="character" w:customStyle="1" w:styleId="ClosingChar">
    <w:name w:val="Closing Char"/>
    <w:basedOn w:val="DefaultParagraphFont"/>
    <w:link w:val="Closing"/>
    <w:rsid w:val="001952B3"/>
    <w:rPr>
      <w:sz w:val="22"/>
    </w:rPr>
  </w:style>
  <w:style w:type="paragraph" w:styleId="Signature">
    <w:name w:val="Signature"/>
    <w:basedOn w:val="Normal"/>
    <w:link w:val="SignatureChar"/>
    <w:rsid w:val="001952B3"/>
    <w:pPr>
      <w:ind w:left="4252"/>
    </w:pPr>
  </w:style>
  <w:style w:type="character" w:customStyle="1" w:styleId="SignatureChar">
    <w:name w:val="Signature Char"/>
    <w:basedOn w:val="DefaultParagraphFont"/>
    <w:link w:val="Signature"/>
    <w:rsid w:val="001952B3"/>
    <w:rPr>
      <w:sz w:val="22"/>
    </w:rPr>
  </w:style>
  <w:style w:type="paragraph" w:styleId="BodyText">
    <w:name w:val="Body Text"/>
    <w:basedOn w:val="Normal"/>
    <w:link w:val="BodyTextChar"/>
    <w:rsid w:val="001952B3"/>
    <w:pPr>
      <w:spacing w:after="120"/>
    </w:pPr>
  </w:style>
  <w:style w:type="character" w:customStyle="1" w:styleId="BodyTextChar">
    <w:name w:val="Body Text Char"/>
    <w:basedOn w:val="DefaultParagraphFont"/>
    <w:link w:val="BodyText"/>
    <w:rsid w:val="001952B3"/>
    <w:rPr>
      <w:sz w:val="22"/>
    </w:rPr>
  </w:style>
  <w:style w:type="paragraph" w:styleId="BodyTextIndent">
    <w:name w:val="Body Text Indent"/>
    <w:basedOn w:val="Normal"/>
    <w:link w:val="BodyTextIndentChar"/>
    <w:rsid w:val="001952B3"/>
    <w:pPr>
      <w:spacing w:after="120"/>
      <w:ind w:left="283"/>
    </w:pPr>
  </w:style>
  <w:style w:type="character" w:customStyle="1" w:styleId="BodyTextIndentChar">
    <w:name w:val="Body Text Indent Char"/>
    <w:basedOn w:val="DefaultParagraphFont"/>
    <w:link w:val="BodyTextIndent"/>
    <w:rsid w:val="001952B3"/>
    <w:rPr>
      <w:sz w:val="22"/>
    </w:rPr>
  </w:style>
  <w:style w:type="paragraph" w:styleId="ListContinue">
    <w:name w:val="List Continue"/>
    <w:basedOn w:val="Normal"/>
    <w:rsid w:val="001952B3"/>
    <w:pPr>
      <w:spacing w:after="120"/>
      <w:ind w:left="283"/>
    </w:pPr>
  </w:style>
  <w:style w:type="paragraph" w:styleId="ListContinue2">
    <w:name w:val="List Continue 2"/>
    <w:basedOn w:val="Normal"/>
    <w:rsid w:val="001952B3"/>
    <w:pPr>
      <w:spacing w:after="120"/>
      <w:ind w:left="566"/>
    </w:pPr>
  </w:style>
  <w:style w:type="paragraph" w:styleId="ListContinue3">
    <w:name w:val="List Continue 3"/>
    <w:basedOn w:val="Normal"/>
    <w:rsid w:val="001952B3"/>
    <w:pPr>
      <w:spacing w:after="120"/>
      <w:ind w:left="849"/>
    </w:pPr>
  </w:style>
  <w:style w:type="paragraph" w:styleId="ListContinue4">
    <w:name w:val="List Continue 4"/>
    <w:basedOn w:val="Normal"/>
    <w:rsid w:val="001952B3"/>
    <w:pPr>
      <w:spacing w:after="120"/>
      <w:ind w:left="1132"/>
    </w:pPr>
  </w:style>
  <w:style w:type="paragraph" w:styleId="ListContinue5">
    <w:name w:val="List Continue 5"/>
    <w:basedOn w:val="Normal"/>
    <w:rsid w:val="001952B3"/>
    <w:pPr>
      <w:spacing w:after="120"/>
      <w:ind w:left="1415"/>
    </w:pPr>
  </w:style>
  <w:style w:type="paragraph" w:styleId="MessageHeader">
    <w:name w:val="Message Header"/>
    <w:basedOn w:val="Normal"/>
    <w:link w:val="MessageHeaderChar"/>
    <w:rsid w:val="001952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52B3"/>
    <w:rPr>
      <w:rFonts w:ascii="Arial" w:hAnsi="Arial" w:cs="Arial"/>
      <w:sz w:val="22"/>
      <w:shd w:val="pct20" w:color="auto" w:fill="auto"/>
    </w:rPr>
  </w:style>
  <w:style w:type="paragraph" w:styleId="Subtitle">
    <w:name w:val="Subtitle"/>
    <w:basedOn w:val="Normal"/>
    <w:link w:val="SubtitleChar"/>
    <w:qFormat/>
    <w:rsid w:val="001952B3"/>
    <w:pPr>
      <w:spacing w:after="60"/>
      <w:jc w:val="center"/>
      <w:outlineLvl w:val="1"/>
    </w:pPr>
    <w:rPr>
      <w:rFonts w:ascii="Arial" w:hAnsi="Arial" w:cs="Arial"/>
    </w:rPr>
  </w:style>
  <w:style w:type="character" w:customStyle="1" w:styleId="SubtitleChar">
    <w:name w:val="Subtitle Char"/>
    <w:basedOn w:val="DefaultParagraphFont"/>
    <w:link w:val="Subtitle"/>
    <w:rsid w:val="001952B3"/>
    <w:rPr>
      <w:rFonts w:ascii="Arial" w:hAnsi="Arial" w:cs="Arial"/>
      <w:sz w:val="22"/>
    </w:rPr>
  </w:style>
  <w:style w:type="paragraph" w:styleId="Salutation">
    <w:name w:val="Salutation"/>
    <w:basedOn w:val="Normal"/>
    <w:next w:val="Normal"/>
    <w:link w:val="SalutationChar"/>
    <w:rsid w:val="001952B3"/>
  </w:style>
  <w:style w:type="character" w:customStyle="1" w:styleId="SalutationChar">
    <w:name w:val="Salutation Char"/>
    <w:basedOn w:val="DefaultParagraphFont"/>
    <w:link w:val="Salutation"/>
    <w:rsid w:val="001952B3"/>
    <w:rPr>
      <w:sz w:val="22"/>
    </w:rPr>
  </w:style>
  <w:style w:type="paragraph" w:styleId="Date">
    <w:name w:val="Date"/>
    <w:basedOn w:val="Normal"/>
    <w:next w:val="Normal"/>
    <w:link w:val="DateChar"/>
    <w:rsid w:val="001952B3"/>
  </w:style>
  <w:style w:type="character" w:customStyle="1" w:styleId="DateChar">
    <w:name w:val="Date Char"/>
    <w:basedOn w:val="DefaultParagraphFont"/>
    <w:link w:val="Date"/>
    <w:rsid w:val="001952B3"/>
    <w:rPr>
      <w:sz w:val="22"/>
    </w:rPr>
  </w:style>
  <w:style w:type="paragraph" w:styleId="BodyTextFirstIndent">
    <w:name w:val="Body Text First Indent"/>
    <w:basedOn w:val="BodyText"/>
    <w:link w:val="BodyTextFirstIndentChar"/>
    <w:rsid w:val="001952B3"/>
    <w:pPr>
      <w:ind w:firstLine="210"/>
    </w:pPr>
  </w:style>
  <w:style w:type="character" w:customStyle="1" w:styleId="BodyTextFirstIndentChar">
    <w:name w:val="Body Text First Indent Char"/>
    <w:basedOn w:val="BodyTextChar"/>
    <w:link w:val="BodyTextFirstIndent"/>
    <w:rsid w:val="001952B3"/>
    <w:rPr>
      <w:sz w:val="22"/>
    </w:rPr>
  </w:style>
  <w:style w:type="paragraph" w:styleId="BodyTextFirstIndent2">
    <w:name w:val="Body Text First Indent 2"/>
    <w:basedOn w:val="BodyTextIndent"/>
    <w:link w:val="BodyTextFirstIndent2Char"/>
    <w:rsid w:val="001952B3"/>
    <w:pPr>
      <w:ind w:firstLine="210"/>
    </w:pPr>
  </w:style>
  <w:style w:type="character" w:customStyle="1" w:styleId="BodyTextFirstIndent2Char">
    <w:name w:val="Body Text First Indent 2 Char"/>
    <w:basedOn w:val="BodyTextIndentChar"/>
    <w:link w:val="BodyTextFirstIndent2"/>
    <w:rsid w:val="001952B3"/>
    <w:rPr>
      <w:sz w:val="22"/>
    </w:rPr>
  </w:style>
  <w:style w:type="paragraph" w:styleId="BodyText2">
    <w:name w:val="Body Text 2"/>
    <w:basedOn w:val="Normal"/>
    <w:link w:val="BodyText2Char"/>
    <w:rsid w:val="001952B3"/>
    <w:pPr>
      <w:spacing w:after="120" w:line="480" w:lineRule="auto"/>
    </w:pPr>
  </w:style>
  <w:style w:type="character" w:customStyle="1" w:styleId="BodyText2Char">
    <w:name w:val="Body Text 2 Char"/>
    <w:basedOn w:val="DefaultParagraphFont"/>
    <w:link w:val="BodyText2"/>
    <w:rsid w:val="001952B3"/>
    <w:rPr>
      <w:sz w:val="22"/>
    </w:rPr>
  </w:style>
  <w:style w:type="paragraph" w:styleId="BodyText3">
    <w:name w:val="Body Text 3"/>
    <w:basedOn w:val="Normal"/>
    <w:link w:val="BodyText3Char"/>
    <w:rsid w:val="001952B3"/>
    <w:pPr>
      <w:spacing w:after="120"/>
    </w:pPr>
    <w:rPr>
      <w:sz w:val="16"/>
      <w:szCs w:val="16"/>
    </w:rPr>
  </w:style>
  <w:style w:type="character" w:customStyle="1" w:styleId="BodyText3Char">
    <w:name w:val="Body Text 3 Char"/>
    <w:basedOn w:val="DefaultParagraphFont"/>
    <w:link w:val="BodyText3"/>
    <w:rsid w:val="001952B3"/>
    <w:rPr>
      <w:sz w:val="16"/>
      <w:szCs w:val="16"/>
    </w:rPr>
  </w:style>
  <w:style w:type="paragraph" w:styleId="BodyTextIndent2">
    <w:name w:val="Body Text Indent 2"/>
    <w:basedOn w:val="Normal"/>
    <w:link w:val="BodyTextIndent2Char"/>
    <w:rsid w:val="001952B3"/>
    <w:pPr>
      <w:spacing w:after="120" w:line="480" w:lineRule="auto"/>
      <w:ind w:left="283"/>
    </w:pPr>
  </w:style>
  <w:style w:type="character" w:customStyle="1" w:styleId="BodyTextIndent2Char">
    <w:name w:val="Body Text Indent 2 Char"/>
    <w:basedOn w:val="DefaultParagraphFont"/>
    <w:link w:val="BodyTextIndent2"/>
    <w:rsid w:val="001952B3"/>
    <w:rPr>
      <w:sz w:val="22"/>
    </w:rPr>
  </w:style>
  <w:style w:type="paragraph" w:styleId="BodyTextIndent3">
    <w:name w:val="Body Text Indent 3"/>
    <w:basedOn w:val="Normal"/>
    <w:link w:val="BodyTextIndent3Char"/>
    <w:rsid w:val="001952B3"/>
    <w:pPr>
      <w:spacing w:after="120"/>
      <w:ind w:left="283"/>
    </w:pPr>
    <w:rPr>
      <w:sz w:val="16"/>
      <w:szCs w:val="16"/>
    </w:rPr>
  </w:style>
  <w:style w:type="character" w:customStyle="1" w:styleId="BodyTextIndent3Char">
    <w:name w:val="Body Text Indent 3 Char"/>
    <w:basedOn w:val="DefaultParagraphFont"/>
    <w:link w:val="BodyTextIndent3"/>
    <w:rsid w:val="001952B3"/>
    <w:rPr>
      <w:sz w:val="16"/>
      <w:szCs w:val="16"/>
    </w:rPr>
  </w:style>
  <w:style w:type="paragraph" w:styleId="BlockText">
    <w:name w:val="Block Text"/>
    <w:basedOn w:val="Normal"/>
    <w:rsid w:val="001952B3"/>
    <w:pPr>
      <w:spacing w:after="120"/>
      <w:ind w:left="1440" w:right="1440"/>
    </w:pPr>
  </w:style>
  <w:style w:type="character" w:styleId="Hyperlink">
    <w:name w:val="Hyperlink"/>
    <w:basedOn w:val="DefaultParagraphFont"/>
    <w:rsid w:val="001952B3"/>
    <w:rPr>
      <w:color w:val="0000FF"/>
      <w:u w:val="single"/>
    </w:rPr>
  </w:style>
  <w:style w:type="character" w:styleId="FollowedHyperlink">
    <w:name w:val="FollowedHyperlink"/>
    <w:basedOn w:val="DefaultParagraphFont"/>
    <w:rsid w:val="001952B3"/>
    <w:rPr>
      <w:color w:val="800080"/>
      <w:u w:val="single"/>
    </w:rPr>
  </w:style>
  <w:style w:type="character" w:styleId="Strong">
    <w:name w:val="Strong"/>
    <w:basedOn w:val="DefaultParagraphFont"/>
    <w:qFormat/>
    <w:rsid w:val="001952B3"/>
    <w:rPr>
      <w:b/>
      <w:bCs/>
    </w:rPr>
  </w:style>
  <w:style w:type="character" w:styleId="Emphasis">
    <w:name w:val="Emphasis"/>
    <w:basedOn w:val="DefaultParagraphFont"/>
    <w:qFormat/>
    <w:rsid w:val="001952B3"/>
    <w:rPr>
      <w:i/>
      <w:iCs/>
    </w:rPr>
  </w:style>
  <w:style w:type="paragraph" w:styleId="DocumentMap">
    <w:name w:val="Document Map"/>
    <w:basedOn w:val="Normal"/>
    <w:link w:val="DocumentMapChar"/>
    <w:rsid w:val="001952B3"/>
    <w:pPr>
      <w:shd w:val="clear" w:color="auto" w:fill="000080"/>
    </w:pPr>
    <w:rPr>
      <w:rFonts w:ascii="Tahoma" w:hAnsi="Tahoma" w:cs="Tahoma"/>
    </w:rPr>
  </w:style>
  <w:style w:type="character" w:customStyle="1" w:styleId="DocumentMapChar">
    <w:name w:val="Document Map Char"/>
    <w:basedOn w:val="DefaultParagraphFont"/>
    <w:link w:val="DocumentMap"/>
    <w:rsid w:val="001952B3"/>
    <w:rPr>
      <w:rFonts w:ascii="Tahoma" w:hAnsi="Tahoma" w:cs="Tahoma"/>
      <w:sz w:val="22"/>
      <w:shd w:val="clear" w:color="auto" w:fill="000080"/>
    </w:rPr>
  </w:style>
  <w:style w:type="paragraph" w:styleId="PlainText">
    <w:name w:val="Plain Text"/>
    <w:basedOn w:val="Normal"/>
    <w:link w:val="PlainTextChar"/>
    <w:rsid w:val="001952B3"/>
    <w:rPr>
      <w:rFonts w:ascii="Courier New" w:hAnsi="Courier New" w:cs="Courier New"/>
      <w:sz w:val="20"/>
    </w:rPr>
  </w:style>
  <w:style w:type="character" w:customStyle="1" w:styleId="PlainTextChar">
    <w:name w:val="Plain Text Char"/>
    <w:basedOn w:val="DefaultParagraphFont"/>
    <w:link w:val="PlainText"/>
    <w:rsid w:val="001952B3"/>
    <w:rPr>
      <w:rFonts w:ascii="Courier New" w:hAnsi="Courier New" w:cs="Courier New"/>
    </w:rPr>
  </w:style>
  <w:style w:type="paragraph" w:styleId="E-mailSignature">
    <w:name w:val="E-mail Signature"/>
    <w:basedOn w:val="Normal"/>
    <w:link w:val="E-mailSignatureChar"/>
    <w:rsid w:val="001952B3"/>
  </w:style>
  <w:style w:type="character" w:customStyle="1" w:styleId="E-mailSignatureChar">
    <w:name w:val="E-mail Signature Char"/>
    <w:basedOn w:val="DefaultParagraphFont"/>
    <w:link w:val="E-mailSignature"/>
    <w:rsid w:val="001952B3"/>
    <w:rPr>
      <w:sz w:val="22"/>
    </w:rPr>
  </w:style>
  <w:style w:type="paragraph" w:styleId="NormalWeb">
    <w:name w:val="Normal (Web)"/>
    <w:basedOn w:val="Normal"/>
    <w:rsid w:val="001952B3"/>
  </w:style>
  <w:style w:type="character" w:styleId="HTMLAcronym">
    <w:name w:val="HTML Acronym"/>
    <w:basedOn w:val="DefaultParagraphFont"/>
    <w:rsid w:val="001952B3"/>
  </w:style>
  <w:style w:type="paragraph" w:styleId="HTMLAddress">
    <w:name w:val="HTML Address"/>
    <w:basedOn w:val="Normal"/>
    <w:link w:val="HTMLAddressChar"/>
    <w:rsid w:val="001952B3"/>
    <w:rPr>
      <w:i/>
      <w:iCs/>
    </w:rPr>
  </w:style>
  <w:style w:type="character" w:customStyle="1" w:styleId="HTMLAddressChar">
    <w:name w:val="HTML Address Char"/>
    <w:basedOn w:val="DefaultParagraphFont"/>
    <w:link w:val="HTMLAddress"/>
    <w:rsid w:val="001952B3"/>
    <w:rPr>
      <w:i/>
      <w:iCs/>
      <w:sz w:val="22"/>
    </w:rPr>
  </w:style>
  <w:style w:type="character" w:styleId="HTMLCite">
    <w:name w:val="HTML Cite"/>
    <w:basedOn w:val="DefaultParagraphFont"/>
    <w:rsid w:val="001952B3"/>
    <w:rPr>
      <w:i/>
      <w:iCs/>
    </w:rPr>
  </w:style>
  <w:style w:type="character" w:styleId="HTMLCode">
    <w:name w:val="HTML Code"/>
    <w:basedOn w:val="DefaultParagraphFont"/>
    <w:rsid w:val="001952B3"/>
    <w:rPr>
      <w:rFonts w:ascii="Courier New" w:hAnsi="Courier New" w:cs="Courier New"/>
      <w:sz w:val="20"/>
      <w:szCs w:val="20"/>
    </w:rPr>
  </w:style>
  <w:style w:type="character" w:styleId="HTMLDefinition">
    <w:name w:val="HTML Definition"/>
    <w:basedOn w:val="DefaultParagraphFont"/>
    <w:rsid w:val="001952B3"/>
    <w:rPr>
      <w:i/>
      <w:iCs/>
    </w:rPr>
  </w:style>
  <w:style w:type="character" w:styleId="HTMLKeyboard">
    <w:name w:val="HTML Keyboard"/>
    <w:basedOn w:val="DefaultParagraphFont"/>
    <w:rsid w:val="001952B3"/>
    <w:rPr>
      <w:rFonts w:ascii="Courier New" w:hAnsi="Courier New" w:cs="Courier New"/>
      <w:sz w:val="20"/>
      <w:szCs w:val="20"/>
    </w:rPr>
  </w:style>
  <w:style w:type="paragraph" w:styleId="HTMLPreformatted">
    <w:name w:val="HTML Preformatted"/>
    <w:basedOn w:val="Normal"/>
    <w:link w:val="HTMLPreformattedChar"/>
    <w:rsid w:val="001952B3"/>
    <w:rPr>
      <w:rFonts w:ascii="Courier New" w:hAnsi="Courier New" w:cs="Courier New"/>
      <w:sz w:val="20"/>
    </w:rPr>
  </w:style>
  <w:style w:type="character" w:customStyle="1" w:styleId="HTMLPreformattedChar">
    <w:name w:val="HTML Preformatted Char"/>
    <w:basedOn w:val="DefaultParagraphFont"/>
    <w:link w:val="HTMLPreformatted"/>
    <w:rsid w:val="001952B3"/>
    <w:rPr>
      <w:rFonts w:ascii="Courier New" w:hAnsi="Courier New" w:cs="Courier New"/>
    </w:rPr>
  </w:style>
  <w:style w:type="character" w:styleId="HTMLSample">
    <w:name w:val="HTML Sample"/>
    <w:basedOn w:val="DefaultParagraphFont"/>
    <w:rsid w:val="001952B3"/>
    <w:rPr>
      <w:rFonts w:ascii="Courier New" w:hAnsi="Courier New" w:cs="Courier New"/>
    </w:rPr>
  </w:style>
  <w:style w:type="character" w:styleId="HTMLTypewriter">
    <w:name w:val="HTML Typewriter"/>
    <w:basedOn w:val="DefaultParagraphFont"/>
    <w:rsid w:val="001952B3"/>
    <w:rPr>
      <w:rFonts w:ascii="Courier New" w:hAnsi="Courier New" w:cs="Courier New"/>
      <w:sz w:val="20"/>
      <w:szCs w:val="20"/>
    </w:rPr>
  </w:style>
  <w:style w:type="character" w:styleId="HTMLVariable">
    <w:name w:val="HTML Variable"/>
    <w:basedOn w:val="DefaultParagraphFont"/>
    <w:rsid w:val="001952B3"/>
    <w:rPr>
      <w:i/>
      <w:iCs/>
    </w:rPr>
  </w:style>
  <w:style w:type="paragraph" w:styleId="CommentSubject">
    <w:name w:val="annotation subject"/>
    <w:basedOn w:val="CommentText"/>
    <w:next w:val="CommentText"/>
    <w:link w:val="CommentSubjectChar"/>
    <w:rsid w:val="001952B3"/>
    <w:rPr>
      <w:b/>
      <w:bCs/>
    </w:rPr>
  </w:style>
  <w:style w:type="character" w:customStyle="1" w:styleId="CommentSubjectChar">
    <w:name w:val="Comment Subject Char"/>
    <w:basedOn w:val="CommentTextChar"/>
    <w:link w:val="CommentSubject"/>
    <w:rsid w:val="001952B3"/>
    <w:rPr>
      <w:b/>
      <w:bCs/>
    </w:rPr>
  </w:style>
  <w:style w:type="numbering" w:styleId="1ai">
    <w:name w:val="Outline List 1"/>
    <w:basedOn w:val="NoList"/>
    <w:rsid w:val="001952B3"/>
    <w:pPr>
      <w:numPr>
        <w:numId w:val="14"/>
      </w:numPr>
    </w:pPr>
  </w:style>
  <w:style w:type="numbering" w:styleId="111111">
    <w:name w:val="Outline List 2"/>
    <w:basedOn w:val="NoList"/>
    <w:rsid w:val="001952B3"/>
    <w:pPr>
      <w:numPr>
        <w:numId w:val="15"/>
      </w:numPr>
    </w:pPr>
  </w:style>
  <w:style w:type="numbering" w:styleId="ArticleSection">
    <w:name w:val="Outline List 3"/>
    <w:basedOn w:val="NoList"/>
    <w:rsid w:val="001952B3"/>
    <w:pPr>
      <w:numPr>
        <w:numId w:val="17"/>
      </w:numPr>
    </w:pPr>
  </w:style>
  <w:style w:type="table" w:styleId="TableSimple1">
    <w:name w:val="Table Simple 1"/>
    <w:basedOn w:val="TableNormal"/>
    <w:rsid w:val="001952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52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52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52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52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52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52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52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52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52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52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52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52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52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52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52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52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52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52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52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52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52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52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52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52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52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52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52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52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52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52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52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52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52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52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52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52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52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52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52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52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52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52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52B3"/>
    <w:rPr>
      <w:rFonts w:eastAsia="Times New Roman" w:cs="Times New Roman"/>
      <w:b/>
      <w:kern w:val="28"/>
      <w:sz w:val="24"/>
      <w:lang w:eastAsia="en-AU"/>
    </w:rPr>
  </w:style>
  <w:style w:type="paragraph" w:customStyle="1" w:styleId="ETAsubitem">
    <w:name w:val="ETA(subitem)"/>
    <w:basedOn w:val="OPCParaBase"/>
    <w:rsid w:val="001952B3"/>
    <w:pPr>
      <w:tabs>
        <w:tab w:val="right" w:pos="340"/>
      </w:tabs>
      <w:spacing w:before="60" w:line="240" w:lineRule="auto"/>
      <w:ind w:left="454" w:hanging="454"/>
    </w:pPr>
    <w:rPr>
      <w:sz w:val="20"/>
    </w:rPr>
  </w:style>
  <w:style w:type="paragraph" w:customStyle="1" w:styleId="ETApara">
    <w:name w:val="ETA(para)"/>
    <w:basedOn w:val="OPCParaBase"/>
    <w:rsid w:val="001952B3"/>
    <w:pPr>
      <w:tabs>
        <w:tab w:val="right" w:pos="754"/>
      </w:tabs>
      <w:spacing w:before="60" w:line="240" w:lineRule="auto"/>
      <w:ind w:left="828" w:hanging="828"/>
    </w:pPr>
    <w:rPr>
      <w:sz w:val="20"/>
    </w:rPr>
  </w:style>
  <w:style w:type="paragraph" w:customStyle="1" w:styleId="ETAsubpara">
    <w:name w:val="ETA(subpara)"/>
    <w:basedOn w:val="OPCParaBase"/>
    <w:rsid w:val="001952B3"/>
    <w:pPr>
      <w:tabs>
        <w:tab w:val="right" w:pos="1083"/>
      </w:tabs>
      <w:spacing w:before="60" w:line="240" w:lineRule="auto"/>
      <w:ind w:left="1191" w:hanging="1191"/>
    </w:pPr>
    <w:rPr>
      <w:sz w:val="20"/>
    </w:rPr>
  </w:style>
  <w:style w:type="paragraph" w:customStyle="1" w:styleId="ETAsub-subpara">
    <w:name w:val="ETA(sub-subpara)"/>
    <w:basedOn w:val="OPCParaBase"/>
    <w:rsid w:val="001952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952B3"/>
  </w:style>
  <w:style w:type="paragraph" w:styleId="Revision">
    <w:name w:val="Revision"/>
    <w:hidden/>
    <w:uiPriority w:val="99"/>
    <w:semiHidden/>
    <w:rsid w:val="00647C6B"/>
    <w:rPr>
      <w:rFonts w:eastAsia="Calibri" w:cs="Times New Roman"/>
      <w:sz w:val="22"/>
    </w:rPr>
  </w:style>
  <w:style w:type="paragraph" w:styleId="NoteHeading">
    <w:name w:val="Note Heading"/>
    <w:basedOn w:val="Normal"/>
    <w:next w:val="Normal"/>
    <w:link w:val="NoteHeadingChar"/>
    <w:uiPriority w:val="99"/>
    <w:semiHidden/>
    <w:unhideWhenUsed/>
    <w:rsid w:val="001952B3"/>
    <w:pPr>
      <w:spacing w:line="240" w:lineRule="auto"/>
    </w:pPr>
  </w:style>
  <w:style w:type="character" w:customStyle="1" w:styleId="NoteHeadingChar">
    <w:name w:val="Note Heading Char"/>
    <w:basedOn w:val="DefaultParagraphFont"/>
    <w:link w:val="NoteHeading"/>
    <w:uiPriority w:val="99"/>
    <w:semiHidden/>
    <w:rsid w:val="001952B3"/>
    <w:rPr>
      <w:sz w:val="22"/>
    </w:rPr>
  </w:style>
  <w:style w:type="character" w:customStyle="1" w:styleId="OPCParaBaseChar">
    <w:name w:val="OPCParaBase Char"/>
    <w:basedOn w:val="DefaultParagraphFont"/>
    <w:link w:val="OPCParaBase"/>
    <w:rsid w:val="00647C6B"/>
    <w:rPr>
      <w:rFonts w:eastAsia="Times New Roman" w:cs="Times New Roman"/>
      <w:sz w:val="22"/>
      <w:lang w:eastAsia="en-AU"/>
    </w:rPr>
  </w:style>
  <w:style w:type="character" w:customStyle="1" w:styleId="paragraphChar">
    <w:name w:val="paragraph Char"/>
    <w:aliases w:val="a Char"/>
    <w:basedOn w:val="OPCParaBaseChar"/>
    <w:link w:val="paragraph"/>
    <w:rsid w:val="00647C6B"/>
    <w:rPr>
      <w:rFonts w:eastAsia="Times New Roman" w:cs="Times New Roman"/>
      <w:sz w:val="22"/>
      <w:lang w:eastAsia="en-AU"/>
    </w:rPr>
  </w:style>
  <w:style w:type="paragraph" w:styleId="Bibliography">
    <w:name w:val="Bibliography"/>
    <w:basedOn w:val="Normal"/>
    <w:next w:val="Normal"/>
    <w:uiPriority w:val="37"/>
    <w:semiHidden/>
    <w:unhideWhenUsed/>
    <w:rsid w:val="001952B3"/>
  </w:style>
  <w:style w:type="character" w:styleId="BookTitle">
    <w:name w:val="Book Title"/>
    <w:basedOn w:val="DefaultParagraphFont"/>
    <w:uiPriority w:val="33"/>
    <w:qFormat/>
    <w:rsid w:val="001952B3"/>
    <w:rPr>
      <w:b/>
      <w:bCs/>
      <w:i/>
      <w:iCs/>
      <w:spacing w:val="5"/>
    </w:rPr>
  </w:style>
  <w:style w:type="table" w:styleId="ColorfulGrid">
    <w:name w:val="Colorful Grid"/>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952B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52B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52B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52B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52B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52B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52B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52B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52B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52B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52B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52B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52B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52B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52B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952B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52B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52B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52B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52B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52B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52B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952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52B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52B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52B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52B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52B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52B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52B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52B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52B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52B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52B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52B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52B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52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52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52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52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52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52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52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52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52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52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52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52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52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52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5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52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52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52B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52B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52B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52B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52B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52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52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52B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52B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52B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52B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52B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952B3"/>
    <w:rPr>
      <w:color w:val="2B579A"/>
      <w:shd w:val="clear" w:color="auto" w:fill="E1DFDD"/>
    </w:rPr>
  </w:style>
  <w:style w:type="character" w:styleId="IntenseEmphasis">
    <w:name w:val="Intense Emphasis"/>
    <w:basedOn w:val="DefaultParagraphFont"/>
    <w:uiPriority w:val="21"/>
    <w:qFormat/>
    <w:rsid w:val="001952B3"/>
    <w:rPr>
      <w:i/>
      <w:iCs/>
      <w:color w:val="4F81BD" w:themeColor="accent1"/>
    </w:rPr>
  </w:style>
  <w:style w:type="paragraph" w:styleId="IntenseQuote">
    <w:name w:val="Intense Quote"/>
    <w:basedOn w:val="Normal"/>
    <w:next w:val="Normal"/>
    <w:link w:val="IntenseQuoteChar"/>
    <w:uiPriority w:val="30"/>
    <w:qFormat/>
    <w:rsid w:val="001952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52B3"/>
    <w:rPr>
      <w:i/>
      <w:iCs/>
      <w:color w:val="4F81BD" w:themeColor="accent1"/>
      <w:sz w:val="22"/>
    </w:rPr>
  </w:style>
  <w:style w:type="character" w:styleId="IntenseReference">
    <w:name w:val="Intense Reference"/>
    <w:basedOn w:val="DefaultParagraphFont"/>
    <w:uiPriority w:val="32"/>
    <w:qFormat/>
    <w:rsid w:val="001952B3"/>
    <w:rPr>
      <w:b/>
      <w:bCs/>
      <w:smallCaps/>
      <w:color w:val="4F81BD" w:themeColor="accent1"/>
      <w:spacing w:val="5"/>
    </w:rPr>
  </w:style>
  <w:style w:type="table" w:styleId="LightGrid">
    <w:name w:val="Light Grid"/>
    <w:basedOn w:val="TableNormal"/>
    <w:uiPriority w:val="62"/>
    <w:semiHidden/>
    <w:unhideWhenUsed/>
    <w:rsid w:val="001952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52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52B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52B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52B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52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52B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52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52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52B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52B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52B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52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52B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52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52B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52B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52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52B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52B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52B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952B3"/>
    <w:pPr>
      <w:ind w:left="720"/>
      <w:contextualSpacing/>
    </w:pPr>
  </w:style>
  <w:style w:type="table" w:styleId="ListTable1Light">
    <w:name w:val="List Table 1 Light"/>
    <w:basedOn w:val="TableNormal"/>
    <w:uiPriority w:val="46"/>
    <w:rsid w:val="001952B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52B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52B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52B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52B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52B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52B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52B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52B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52B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52B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52B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52B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52B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52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52B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52B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52B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52B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52B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52B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52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52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52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52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52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52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52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52B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52B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52B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52B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52B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52B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52B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52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52B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52B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52B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52B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52B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52B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52B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52B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52B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52B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52B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52B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52B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952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52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52B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52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52B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52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52B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52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52B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52B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52B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52B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52B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52B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52B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52B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52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52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52B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52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52B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52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52B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5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952B3"/>
    <w:rPr>
      <w:color w:val="2B579A"/>
      <w:shd w:val="clear" w:color="auto" w:fill="E1DFDD"/>
    </w:rPr>
  </w:style>
  <w:style w:type="paragraph" w:styleId="NoSpacing">
    <w:name w:val="No Spacing"/>
    <w:uiPriority w:val="1"/>
    <w:qFormat/>
    <w:rsid w:val="001952B3"/>
    <w:rPr>
      <w:sz w:val="22"/>
    </w:rPr>
  </w:style>
  <w:style w:type="character" w:styleId="PlaceholderText">
    <w:name w:val="Placeholder Text"/>
    <w:basedOn w:val="DefaultParagraphFont"/>
    <w:uiPriority w:val="99"/>
    <w:semiHidden/>
    <w:rsid w:val="001952B3"/>
    <w:rPr>
      <w:color w:val="808080"/>
    </w:rPr>
  </w:style>
  <w:style w:type="table" w:styleId="PlainTable1">
    <w:name w:val="Plain Table 1"/>
    <w:basedOn w:val="TableNormal"/>
    <w:uiPriority w:val="41"/>
    <w:rsid w:val="001952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52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52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52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52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952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2B3"/>
    <w:rPr>
      <w:i/>
      <w:iCs/>
      <w:color w:val="404040" w:themeColor="text1" w:themeTint="BF"/>
      <w:sz w:val="22"/>
    </w:rPr>
  </w:style>
  <w:style w:type="character" w:styleId="SmartHyperlink">
    <w:name w:val="Smart Hyperlink"/>
    <w:basedOn w:val="DefaultParagraphFont"/>
    <w:uiPriority w:val="99"/>
    <w:semiHidden/>
    <w:unhideWhenUsed/>
    <w:rsid w:val="001952B3"/>
    <w:rPr>
      <w:u w:val="dotted"/>
    </w:rPr>
  </w:style>
  <w:style w:type="character" w:styleId="SubtleEmphasis">
    <w:name w:val="Subtle Emphasis"/>
    <w:basedOn w:val="DefaultParagraphFont"/>
    <w:uiPriority w:val="19"/>
    <w:qFormat/>
    <w:rsid w:val="001952B3"/>
    <w:rPr>
      <w:i/>
      <w:iCs/>
      <w:color w:val="404040" w:themeColor="text1" w:themeTint="BF"/>
    </w:rPr>
  </w:style>
  <w:style w:type="character" w:styleId="SubtleReference">
    <w:name w:val="Subtle Reference"/>
    <w:basedOn w:val="DefaultParagraphFont"/>
    <w:uiPriority w:val="31"/>
    <w:qFormat/>
    <w:rsid w:val="001952B3"/>
    <w:rPr>
      <w:smallCaps/>
      <w:color w:val="5A5A5A" w:themeColor="text1" w:themeTint="A5"/>
    </w:rPr>
  </w:style>
  <w:style w:type="table" w:styleId="TableGridLight">
    <w:name w:val="Grid Table Light"/>
    <w:basedOn w:val="TableNormal"/>
    <w:uiPriority w:val="40"/>
    <w:rsid w:val="001952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952B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952B3"/>
    <w:rPr>
      <w:color w:val="605E5C"/>
      <w:shd w:val="clear" w:color="auto" w:fill="E1DFDD"/>
    </w:rPr>
  </w:style>
  <w:style w:type="character" w:customStyle="1" w:styleId="DefinitionChar">
    <w:name w:val="Definition Char"/>
    <w:aliases w:val="dd Char"/>
    <w:basedOn w:val="DefaultParagraphFont"/>
    <w:link w:val="Definition"/>
    <w:locked/>
    <w:rsid w:val="003E464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4609">
      <w:bodyDiv w:val="1"/>
      <w:marLeft w:val="0"/>
      <w:marRight w:val="0"/>
      <w:marTop w:val="0"/>
      <w:marBottom w:val="0"/>
      <w:divBdr>
        <w:top w:val="none" w:sz="0" w:space="0" w:color="auto"/>
        <w:left w:val="none" w:sz="0" w:space="0" w:color="auto"/>
        <w:bottom w:val="none" w:sz="0" w:space="0" w:color="auto"/>
        <w:right w:val="none" w:sz="0" w:space="0" w:color="auto"/>
      </w:divBdr>
    </w:div>
    <w:div w:id="13731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footer" Target="footer5.xml"/><Relationship Id="rId42" Type="http://schemas.openxmlformats.org/officeDocument/2006/relationships/image" Target="media/image11.wmf"/><Relationship Id="rId63" Type="http://schemas.openxmlformats.org/officeDocument/2006/relationships/oleObject" Target="embeddings/oleObject20.bin"/><Relationship Id="rId84" Type="http://schemas.openxmlformats.org/officeDocument/2006/relationships/image" Target="media/image32.wmf"/><Relationship Id="rId138" Type="http://schemas.openxmlformats.org/officeDocument/2006/relationships/image" Target="media/image53.wmf"/><Relationship Id="rId159" Type="http://schemas.openxmlformats.org/officeDocument/2006/relationships/oleObject" Target="embeddings/oleObject62.bin"/><Relationship Id="rId170" Type="http://schemas.openxmlformats.org/officeDocument/2006/relationships/image" Target="media/image69.wmf"/><Relationship Id="rId191" Type="http://schemas.openxmlformats.org/officeDocument/2006/relationships/header" Target="header13.xml"/><Relationship Id="rId205" Type="http://schemas.openxmlformats.org/officeDocument/2006/relationships/header" Target="header19.xml"/><Relationship Id="rId107" Type="http://schemas.openxmlformats.org/officeDocument/2006/relationships/oleObject" Target="embeddings/oleObject36.bin"/><Relationship Id="rId11" Type="http://schemas.openxmlformats.org/officeDocument/2006/relationships/image" Target="media/image1.jpg"/><Relationship Id="rId32" Type="http://schemas.openxmlformats.org/officeDocument/2006/relationships/image" Target="media/image6.wmf"/><Relationship Id="rId53" Type="http://schemas.openxmlformats.org/officeDocument/2006/relationships/oleObject" Target="embeddings/oleObject15.bin"/><Relationship Id="rId74" Type="http://schemas.openxmlformats.org/officeDocument/2006/relationships/image" Target="media/image27.wmf"/><Relationship Id="rId128" Type="http://schemas.openxmlformats.org/officeDocument/2006/relationships/image" Target="media/image48.wmf"/><Relationship Id="rId149" Type="http://schemas.openxmlformats.org/officeDocument/2006/relationships/oleObject" Target="embeddings/oleObject57.bin"/><Relationship Id="rId5" Type="http://schemas.openxmlformats.org/officeDocument/2006/relationships/numbering" Target="numbering.xml"/><Relationship Id="rId95" Type="http://schemas.openxmlformats.org/officeDocument/2006/relationships/footer" Target="footer11.xml"/><Relationship Id="rId160" Type="http://schemas.openxmlformats.org/officeDocument/2006/relationships/image" Target="media/image64.wmf"/><Relationship Id="rId181" Type="http://schemas.openxmlformats.org/officeDocument/2006/relationships/image" Target="media/image73.wmf"/><Relationship Id="rId22" Type="http://schemas.openxmlformats.org/officeDocument/2006/relationships/header" Target="header6.xml"/><Relationship Id="rId43" Type="http://schemas.openxmlformats.org/officeDocument/2006/relationships/oleObject" Target="embeddings/oleObject10.bin"/><Relationship Id="rId64" Type="http://schemas.openxmlformats.org/officeDocument/2006/relationships/image" Target="media/image22.wmf"/><Relationship Id="rId118" Type="http://schemas.openxmlformats.org/officeDocument/2006/relationships/image" Target="media/image43.wmf"/><Relationship Id="rId139" Type="http://schemas.openxmlformats.org/officeDocument/2006/relationships/oleObject" Target="embeddings/oleObject52.bin"/><Relationship Id="rId85" Type="http://schemas.openxmlformats.org/officeDocument/2006/relationships/oleObject" Target="embeddings/oleObject31.bin"/><Relationship Id="rId150" Type="http://schemas.openxmlformats.org/officeDocument/2006/relationships/image" Target="media/image59.wmf"/><Relationship Id="rId171" Type="http://schemas.openxmlformats.org/officeDocument/2006/relationships/oleObject" Target="embeddings/oleObject68.bin"/><Relationship Id="rId192" Type="http://schemas.openxmlformats.org/officeDocument/2006/relationships/header" Target="header14.xml"/><Relationship Id="rId206" Type="http://schemas.openxmlformats.org/officeDocument/2006/relationships/header" Target="header20.xml"/><Relationship Id="rId12" Type="http://schemas.openxmlformats.org/officeDocument/2006/relationships/header" Target="header1.xml"/><Relationship Id="rId33" Type="http://schemas.openxmlformats.org/officeDocument/2006/relationships/oleObject" Target="embeddings/oleObject5.bin"/><Relationship Id="rId108" Type="http://schemas.openxmlformats.org/officeDocument/2006/relationships/image" Target="media/image38.wmf"/><Relationship Id="rId129" Type="http://schemas.openxmlformats.org/officeDocument/2006/relationships/oleObject" Target="embeddings/oleObject47.bin"/><Relationship Id="rId54" Type="http://schemas.openxmlformats.org/officeDocument/2006/relationships/image" Target="media/image17.wmf"/><Relationship Id="rId75" Type="http://schemas.openxmlformats.org/officeDocument/2006/relationships/oleObject" Target="embeddings/oleObject26.bin"/><Relationship Id="rId96" Type="http://schemas.openxmlformats.org/officeDocument/2006/relationships/header" Target="header12.xml"/><Relationship Id="rId140" Type="http://schemas.openxmlformats.org/officeDocument/2006/relationships/image" Target="media/image54.wmf"/><Relationship Id="rId161" Type="http://schemas.openxmlformats.org/officeDocument/2006/relationships/oleObject" Target="embeddings/oleObject63.bin"/><Relationship Id="rId182" Type="http://schemas.openxmlformats.org/officeDocument/2006/relationships/oleObject" Target="embeddings/oleObject75.bin"/><Relationship Id="rId6" Type="http://schemas.openxmlformats.org/officeDocument/2006/relationships/styles" Target="styles.xml"/><Relationship Id="rId23" Type="http://schemas.openxmlformats.org/officeDocument/2006/relationships/footer" Target="footer6.xml"/><Relationship Id="rId119" Type="http://schemas.openxmlformats.org/officeDocument/2006/relationships/oleObject" Target="embeddings/oleObject42.bin"/><Relationship Id="rId44" Type="http://schemas.openxmlformats.org/officeDocument/2006/relationships/image" Target="media/image12.wmf"/><Relationship Id="rId65" Type="http://schemas.openxmlformats.org/officeDocument/2006/relationships/oleObject" Target="embeddings/oleObject21.bin"/><Relationship Id="rId86" Type="http://schemas.openxmlformats.org/officeDocument/2006/relationships/header" Target="header7.xml"/><Relationship Id="rId130" Type="http://schemas.openxmlformats.org/officeDocument/2006/relationships/image" Target="media/image49.wmf"/><Relationship Id="rId151" Type="http://schemas.openxmlformats.org/officeDocument/2006/relationships/oleObject" Target="embeddings/oleObject58.bin"/><Relationship Id="rId172" Type="http://schemas.openxmlformats.org/officeDocument/2006/relationships/oleObject" Target="embeddings/oleObject69.bin"/><Relationship Id="rId193" Type="http://schemas.openxmlformats.org/officeDocument/2006/relationships/footer" Target="footer13.xml"/><Relationship Id="rId207" Type="http://schemas.openxmlformats.org/officeDocument/2006/relationships/footer" Target="footer19.xml"/><Relationship Id="rId13" Type="http://schemas.openxmlformats.org/officeDocument/2006/relationships/header" Target="header2.xml"/><Relationship Id="rId109" Type="http://schemas.openxmlformats.org/officeDocument/2006/relationships/oleObject" Target="embeddings/oleObject37.bin"/><Relationship Id="rId34" Type="http://schemas.openxmlformats.org/officeDocument/2006/relationships/image" Target="media/image7.wmf"/><Relationship Id="rId55" Type="http://schemas.openxmlformats.org/officeDocument/2006/relationships/oleObject" Target="embeddings/oleObject16.bin"/><Relationship Id="rId76" Type="http://schemas.openxmlformats.org/officeDocument/2006/relationships/image" Target="media/image28.wmf"/><Relationship Id="rId97" Type="http://schemas.openxmlformats.org/officeDocument/2006/relationships/footer" Target="footer12.xml"/><Relationship Id="rId120" Type="http://schemas.openxmlformats.org/officeDocument/2006/relationships/image" Target="media/image44.wmf"/><Relationship Id="rId141" Type="http://schemas.openxmlformats.org/officeDocument/2006/relationships/oleObject" Target="embeddings/oleObject53.bin"/><Relationship Id="rId7" Type="http://schemas.openxmlformats.org/officeDocument/2006/relationships/settings" Target="settings.xml"/><Relationship Id="rId162" Type="http://schemas.openxmlformats.org/officeDocument/2006/relationships/image" Target="media/image65.wmf"/><Relationship Id="rId183" Type="http://schemas.openxmlformats.org/officeDocument/2006/relationships/image" Target="media/image74.wmf"/><Relationship Id="rId24" Type="http://schemas.openxmlformats.org/officeDocument/2006/relationships/image" Target="media/image2.wmf"/><Relationship Id="rId45" Type="http://schemas.openxmlformats.org/officeDocument/2006/relationships/oleObject" Target="embeddings/oleObject11.bin"/><Relationship Id="rId66" Type="http://schemas.openxmlformats.org/officeDocument/2006/relationships/image" Target="media/image23.wmf"/><Relationship Id="rId87" Type="http://schemas.openxmlformats.org/officeDocument/2006/relationships/header" Target="header8.xml"/><Relationship Id="rId110" Type="http://schemas.openxmlformats.org/officeDocument/2006/relationships/image" Target="media/image39.wmf"/><Relationship Id="rId131" Type="http://schemas.openxmlformats.org/officeDocument/2006/relationships/oleObject" Target="embeddings/oleObject48.bin"/><Relationship Id="rId61" Type="http://schemas.openxmlformats.org/officeDocument/2006/relationships/oleObject" Target="embeddings/oleObject19.bin"/><Relationship Id="rId82" Type="http://schemas.openxmlformats.org/officeDocument/2006/relationships/image" Target="media/image31.wmf"/><Relationship Id="rId152" Type="http://schemas.openxmlformats.org/officeDocument/2006/relationships/image" Target="media/image60.wmf"/><Relationship Id="rId173" Type="http://schemas.openxmlformats.org/officeDocument/2006/relationships/oleObject" Target="embeddings/oleObject70.bin"/><Relationship Id="rId194" Type="http://schemas.openxmlformats.org/officeDocument/2006/relationships/footer" Target="footer14.xml"/><Relationship Id="rId199" Type="http://schemas.openxmlformats.org/officeDocument/2006/relationships/header" Target="header16.xml"/><Relationship Id="rId203" Type="http://schemas.openxmlformats.org/officeDocument/2006/relationships/header" Target="header18.xml"/><Relationship Id="rId208" Type="http://schemas.openxmlformats.org/officeDocument/2006/relationships/footer" Target="footer20.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image" Target="media/image5.wmf"/><Relationship Id="rId35" Type="http://schemas.openxmlformats.org/officeDocument/2006/relationships/oleObject" Target="embeddings/oleObject6.bin"/><Relationship Id="rId56" Type="http://schemas.openxmlformats.org/officeDocument/2006/relationships/image" Target="media/image18.wmf"/><Relationship Id="rId77" Type="http://schemas.openxmlformats.org/officeDocument/2006/relationships/oleObject" Target="embeddings/oleObject27.bin"/><Relationship Id="rId100" Type="http://schemas.openxmlformats.org/officeDocument/2006/relationships/image" Target="media/image34.wmf"/><Relationship Id="rId105" Type="http://schemas.openxmlformats.org/officeDocument/2006/relationships/oleObject" Target="embeddings/oleObject35.bin"/><Relationship Id="rId126" Type="http://schemas.openxmlformats.org/officeDocument/2006/relationships/image" Target="media/image47.wmf"/><Relationship Id="rId147" Type="http://schemas.openxmlformats.org/officeDocument/2006/relationships/oleObject" Target="embeddings/oleObject56.bin"/><Relationship Id="rId168" Type="http://schemas.openxmlformats.org/officeDocument/2006/relationships/image" Target="media/image68.wmf"/><Relationship Id="rId8" Type="http://schemas.openxmlformats.org/officeDocument/2006/relationships/webSettings" Target="webSettings.xml"/><Relationship Id="rId51" Type="http://schemas.openxmlformats.org/officeDocument/2006/relationships/oleObject" Target="embeddings/oleObject14.bin"/><Relationship Id="rId72" Type="http://schemas.openxmlformats.org/officeDocument/2006/relationships/image" Target="media/image26.wmf"/><Relationship Id="rId93" Type="http://schemas.openxmlformats.org/officeDocument/2006/relationships/header" Target="header11.xml"/><Relationship Id="rId98" Type="http://schemas.openxmlformats.org/officeDocument/2006/relationships/image" Target="media/image33.wmf"/><Relationship Id="rId121" Type="http://schemas.openxmlformats.org/officeDocument/2006/relationships/oleObject" Target="embeddings/oleObject43.bin"/><Relationship Id="rId142" Type="http://schemas.openxmlformats.org/officeDocument/2006/relationships/image" Target="media/image55.wmf"/><Relationship Id="rId163" Type="http://schemas.openxmlformats.org/officeDocument/2006/relationships/oleObject" Target="embeddings/oleObject64.bin"/><Relationship Id="rId184" Type="http://schemas.openxmlformats.org/officeDocument/2006/relationships/oleObject" Target="embeddings/oleObject76.bin"/><Relationship Id="rId189" Type="http://schemas.openxmlformats.org/officeDocument/2006/relationships/image" Target="media/image77.wmf"/><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image" Target="media/image13.wmf"/><Relationship Id="rId67" Type="http://schemas.openxmlformats.org/officeDocument/2006/relationships/oleObject" Target="embeddings/oleObject22.bin"/><Relationship Id="rId116" Type="http://schemas.openxmlformats.org/officeDocument/2006/relationships/image" Target="media/image42.wmf"/><Relationship Id="rId137" Type="http://schemas.openxmlformats.org/officeDocument/2006/relationships/oleObject" Target="embeddings/oleObject51.bin"/><Relationship Id="rId158" Type="http://schemas.openxmlformats.org/officeDocument/2006/relationships/image" Target="media/image63.wmf"/><Relationship Id="rId20" Type="http://schemas.openxmlformats.org/officeDocument/2006/relationships/footer" Target="footer4.xml"/><Relationship Id="rId41" Type="http://schemas.openxmlformats.org/officeDocument/2006/relationships/oleObject" Target="embeddings/oleObject9.bin"/><Relationship Id="rId62" Type="http://schemas.openxmlformats.org/officeDocument/2006/relationships/image" Target="media/image21.wmf"/><Relationship Id="rId83" Type="http://schemas.openxmlformats.org/officeDocument/2006/relationships/oleObject" Target="embeddings/oleObject30.bin"/><Relationship Id="rId88" Type="http://schemas.openxmlformats.org/officeDocument/2006/relationships/footer" Target="footer7.xml"/><Relationship Id="rId111" Type="http://schemas.openxmlformats.org/officeDocument/2006/relationships/oleObject" Target="embeddings/oleObject38.bin"/><Relationship Id="rId132" Type="http://schemas.openxmlformats.org/officeDocument/2006/relationships/image" Target="media/image50.wmf"/><Relationship Id="rId153" Type="http://schemas.openxmlformats.org/officeDocument/2006/relationships/oleObject" Target="embeddings/oleObject59.bin"/><Relationship Id="rId174" Type="http://schemas.openxmlformats.org/officeDocument/2006/relationships/oleObject" Target="embeddings/oleObject71.bin"/><Relationship Id="rId179" Type="http://schemas.openxmlformats.org/officeDocument/2006/relationships/image" Target="media/image72.wmf"/><Relationship Id="rId195" Type="http://schemas.openxmlformats.org/officeDocument/2006/relationships/header" Target="header15.xml"/><Relationship Id="rId209" Type="http://schemas.openxmlformats.org/officeDocument/2006/relationships/header" Target="header21.xml"/><Relationship Id="rId190" Type="http://schemas.openxmlformats.org/officeDocument/2006/relationships/oleObject" Target="embeddings/oleObject79.bin"/><Relationship Id="rId204" Type="http://schemas.openxmlformats.org/officeDocument/2006/relationships/footer" Target="footer18.xml"/><Relationship Id="rId15" Type="http://schemas.openxmlformats.org/officeDocument/2006/relationships/footer" Target="footer2.xml"/><Relationship Id="rId36" Type="http://schemas.openxmlformats.org/officeDocument/2006/relationships/image" Target="media/image8.wmf"/><Relationship Id="rId57" Type="http://schemas.openxmlformats.org/officeDocument/2006/relationships/oleObject" Target="embeddings/oleObject17.bin"/><Relationship Id="rId106" Type="http://schemas.openxmlformats.org/officeDocument/2006/relationships/image" Target="media/image37.wmf"/><Relationship Id="rId127" Type="http://schemas.openxmlformats.org/officeDocument/2006/relationships/oleObject" Target="embeddings/oleObject46.bin"/><Relationship Id="rId10" Type="http://schemas.openxmlformats.org/officeDocument/2006/relationships/endnotes" Target="endnotes.xml"/><Relationship Id="rId31" Type="http://schemas.openxmlformats.org/officeDocument/2006/relationships/oleObject" Target="embeddings/oleObject4.bin"/><Relationship Id="rId52" Type="http://schemas.openxmlformats.org/officeDocument/2006/relationships/image" Target="media/image16.wmf"/><Relationship Id="rId73" Type="http://schemas.openxmlformats.org/officeDocument/2006/relationships/oleObject" Target="embeddings/oleObject25.bin"/><Relationship Id="rId78" Type="http://schemas.openxmlformats.org/officeDocument/2006/relationships/image" Target="media/image29.wmf"/><Relationship Id="rId94" Type="http://schemas.openxmlformats.org/officeDocument/2006/relationships/footer" Target="footer10.xml"/><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image" Target="media/image45.wmf"/><Relationship Id="rId143" Type="http://schemas.openxmlformats.org/officeDocument/2006/relationships/oleObject" Target="embeddings/oleObject54.bin"/><Relationship Id="rId148" Type="http://schemas.openxmlformats.org/officeDocument/2006/relationships/image" Target="media/image58.wmf"/><Relationship Id="rId164" Type="http://schemas.openxmlformats.org/officeDocument/2006/relationships/image" Target="media/image66.wmf"/><Relationship Id="rId169" Type="http://schemas.openxmlformats.org/officeDocument/2006/relationships/oleObject" Target="embeddings/oleObject67.bin"/><Relationship Id="rId185" Type="http://schemas.openxmlformats.org/officeDocument/2006/relationships/image" Target="media/image75.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74.bin"/><Relationship Id="rId210" Type="http://schemas.openxmlformats.org/officeDocument/2006/relationships/footer" Target="footer21.xml"/><Relationship Id="rId26" Type="http://schemas.openxmlformats.org/officeDocument/2006/relationships/image" Target="media/image3.wmf"/><Relationship Id="rId47" Type="http://schemas.openxmlformats.org/officeDocument/2006/relationships/oleObject" Target="embeddings/oleObject12.bin"/><Relationship Id="rId68" Type="http://schemas.openxmlformats.org/officeDocument/2006/relationships/image" Target="media/image24.wmf"/><Relationship Id="rId89" Type="http://schemas.openxmlformats.org/officeDocument/2006/relationships/footer" Target="footer8.xml"/><Relationship Id="rId112" Type="http://schemas.openxmlformats.org/officeDocument/2006/relationships/image" Target="media/image40.wmf"/><Relationship Id="rId133" Type="http://schemas.openxmlformats.org/officeDocument/2006/relationships/oleObject" Target="embeddings/oleObject49.bin"/><Relationship Id="rId154" Type="http://schemas.openxmlformats.org/officeDocument/2006/relationships/image" Target="media/image61.wmf"/><Relationship Id="rId175" Type="http://schemas.openxmlformats.org/officeDocument/2006/relationships/image" Target="media/image70.wmf"/><Relationship Id="rId196" Type="http://schemas.openxmlformats.org/officeDocument/2006/relationships/footer" Target="footer15.xml"/><Relationship Id="rId200" Type="http://schemas.openxmlformats.org/officeDocument/2006/relationships/header" Target="header17.xml"/><Relationship Id="rId16" Type="http://schemas.openxmlformats.org/officeDocument/2006/relationships/header" Target="header3.xml"/><Relationship Id="rId37" Type="http://schemas.openxmlformats.org/officeDocument/2006/relationships/oleObject" Target="embeddings/oleObject7.bin"/><Relationship Id="rId58" Type="http://schemas.openxmlformats.org/officeDocument/2006/relationships/image" Target="media/image19.wmf"/><Relationship Id="rId79" Type="http://schemas.openxmlformats.org/officeDocument/2006/relationships/oleObject" Target="embeddings/oleObject28.bin"/><Relationship Id="rId102" Type="http://schemas.openxmlformats.org/officeDocument/2006/relationships/image" Target="media/image35.wmf"/><Relationship Id="rId123" Type="http://schemas.openxmlformats.org/officeDocument/2006/relationships/oleObject" Target="embeddings/oleObject44.bin"/><Relationship Id="rId144" Type="http://schemas.openxmlformats.org/officeDocument/2006/relationships/image" Target="media/image56.wmf"/><Relationship Id="rId90" Type="http://schemas.openxmlformats.org/officeDocument/2006/relationships/header" Target="header9.xml"/><Relationship Id="rId165" Type="http://schemas.openxmlformats.org/officeDocument/2006/relationships/oleObject" Target="embeddings/oleObject65.bin"/><Relationship Id="rId186" Type="http://schemas.openxmlformats.org/officeDocument/2006/relationships/oleObject" Target="embeddings/oleObject77.bin"/><Relationship Id="rId211" Type="http://schemas.openxmlformats.org/officeDocument/2006/relationships/fontTable" Target="fontTable.xml"/><Relationship Id="rId27" Type="http://schemas.openxmlformats.org/officeDocument/2006/relationships/oleObject" Target="embeddings/oleObject2.bin"/><Relationship Id="rId48" Type="http://schemas.openxmlformats.org/officeDocument/2006/relationships/image" Target="media/image14.wmf"/><Relationship Id="rId69" Type="http://schemas.openxmlformats.org/officeDocument/2006/relationships/oleObject" Target="embeddings/oleObject23.bin"/><Relationship Id="rId113" Type="http://schemas.openxmlformats.org/officeDocument/2006/relationships/oleObject" Target="embeddings/oleObject39.bin"/><Relationship Id="rId134" Type="http://schemas.openxmlformats.org/officeDocument/2006/relationships/image" Target="media/image51.wmf"/><Relationship Id="rId80" Type="http://schemas.openxmlformats.org/officeDocument/2006/relationships/image" Target="media/image30.wmf"/><Relationship Id="rId155" Type="http://schemas.openxmlformats.org/officeDocument/2006/relationships/oleObject" Target="embeddings/oleObject60.bin"/><Relationship Id="rId176" Type="http://schemas.openxmlformats.org/officeDocument/2006/relationships/oleObject" Target="embeddings/oleObject72.bin"/><Relationship Id="rId197" Type="http://schemas.openxmlformats.org/officeDocument/2006/relationships/image" Target="media/image78.wmf"/><Relationship Id="rId201" Type="http://schemas.openxmlformats.org/officeDocument/2006/relationships/footer" Target="footer16.xml"/><Relationship Id="rId17" Type="http://schemas.openxmlformats.org/officeDocument/2006/relationships/footer" Target="footer3.xml"/><Relationship Id="rId38" Type="http://schemas.openxmlformats.org/officeDocument/2006/relationships/image" Target="media/image9.wmf"/><Relationship Id="rId59" Type="http://schemas.openxmlformats.org/officeDocument/2006/relationships/oleObject" Target="embeddings/oleObject18.bin"/><Relationship Id="rId103" Type="http://schemas.openxmlformats.org/officeDocument/2006/relationships/oleObject" Target="embeddings/oleObject34.bin"/><Relationship Id="rId124" Type="http://schemas.openxmlformats.org/officeDocument/2006/relationships/image" Target="media/image46.wmf"/><Relationship Id="rId70" Type="http://schemas.openxmlformats.org/officeDocument/2006/relationships/image" Target="media/image25.wmf"/><Relationship Id="rId91" Type="http://schemas.openxmlformats.org/officeDocument/2006/relationships/footer" Target="footer9.xml"/><Relationship Id="rId145" Type="http://schemas.openxmlformats.org/officeDocument/2006/relationships/oleObject" Target="embeddings/oleObject55.bin"/><Relationship Id="rId166" Type="http://schemas.openxmlformats.org/officeDocument/2006/relationships/image" Target="media/image67.wmf"/><Relationship Id="rId187" Type="http://schemas.openxmlformats.org/officeDocument/2006/relationships/image" Target="media/image76.wmf"/><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image" Target="media/image4.wmf"/><Relationship Id="rId49" Type="http://schemas.openxmlformats.org/officeDocument/2006/relationships/oleObject" Target="embeddings/oleObject13.bin"/><Relationship Id="rId114" Type="http://schemas.openxmlformats.org/officeDocument/2006/relationships/image" Target="media/image41.wmf"/><Relationship Id="rId60" Type="http://schemas.openxmlformats.org/officeDocument/2006/relationships/image" Target="media/image20.wmf"/><Relationship Id="rId81" Type="http://schemas.openxmlformats.org/officeDocument/2006/relationships/oleObject" Target="embeddings/oleObject29.bin"/><Relationship Id="rId135" Type="http://schemas.openxmlformats.org/officeDocument/2006/relationships/oleObject" Target="embeddings/oleObject50.bin"/><Relationship Id="rId156" Type="http://schemas.openxmlformats.org/officeDocument/2006/relationships/image" Target="media/image62.wmf"/><Relationship Id="rId177" Type="http://schemas.openxmlformats.org/officeDocument/2006/relationships/image" Target="media/image71.wmf"/><Relationship Id="rId198" Type="http://schemas.openxmlformats.org/officeDocument/2006/relationships/oleObject" Target="embeddings/oleObject80.bin"/><Relationship Id="rId202" Type="http://schemas.openxmlformats.org/officeDocument/2006/relationships/footer" Target="footer17.xml"/><Relationship Id="rId18" Type="http://schemas.openxmlformats.org/officeDocument/2006/relationships/header" Target="header4.xml"/><Relationship Id="rId39" Type="http://schemas.openxmlformats.org/officeDocument/2006/relationships/oleObject" Target="embeddings/oleObject8.bin"/><Relationship Id="rId50" Type="http://schemas.openxmlformats.org/officeDocument/2006/relationships/image" Target="media/image15.wmf"/><Relationship Id="rId104" Type="http://schemas.openxmlformats.org/officeDocument/2006/relationships/image" Target="media/image36.wmf"/><Relationship Id="rId125" Type="http://schemas.openxmlformats.org/officeDocument/2006/relationships/oleObject" Target="embeddings/oleObject45.bin"/><Relationship Id="rId146" Type="http://schemas.openxmlformats.org/officeDocument/2006/relationships/image" Target="media/image57.wmf"/><Relationship Id="rId167" Type="http://schemas.openxmlformats.org/officeDocument/2006/relationships/oleObject" Target="embeddings/oleObject66.bin"/><Relationship Id="rId188" Type="http://schemas.openxmlformats.org/officeDocument/2006/relationships/oleObject" Target="embeddings/oleObject78.bin"/><Relationship Id="rId71" Type="http://schemas.openxmlformats.org/officeDocument/2006/relationships/oleObject" Target="embeddings/oleObject24.bin"/><Relationship Id="rId92" Type="http://schemas.openxmlformats.org/officeDocument/2006/relationships/header" Target="header10.xml"/><Relationship Id="rId2" Type="http://schemas.openxmlformats.org/officeDocument/2006/relationships/customXml" Target="../customXml/item2.xml"/><Relationship Id="rId29" Type="http://schemas.openxmlformats.org/officeDocument/2006/relationships/oleObject" Target="embeddings/oleObject3.bin"/><Relationship Id="rId40" Type="http://schemas.openxmlformats.org/officeDocument/2006/relationships/image" Target="media/image10.wmf"/><Relationship Id="rId115" Type="http://schemas.openxmlformats.org/officeDocument/2006/relationships/oleObject" Target="embeddings/oleObject40.bin"/><Relationship Id="rId136" Type="http://schemas.openxmlformats.org/officeDocument/2006/relationships/image" Target="media/image52.wmf"/><Relationship Id="rId157" Type="http://schemas.openxmlformats.org/officeDocument/2006/relationships/oleObject" Target="embeddings/oleObject61.bin"/><Relationship Id="rId178" Type="http://schemas.openxmlformats.org/officeDocument/2006/relationships/oleObject" Target="embeddings/oleObject73.bin"/></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5D22696EF2BC43806CED764D8F0D58" ma:contentTypeVersion="" ma:contentTypeDescription="PDMS Document Site Content Type" ma:contentTypeScope="" ma:versionID="9968afc16d948daffe23396455eabedf">
  <xsd:schema xmlns:xsd="http://www.w3.org/2001/XMLSchema" xmlns:xs="http://www.w3.org/2001/XMLSchema" xmlns:p="http://schemas.microsoft.com/office/2006/metadata/properties" xmlns:ns2="CBFE0383-FD50-4AEE-A423-626E8CE32791" targetNamespace="http://schemas.microsoft.com/office/2006/metadata/properties" ma:root="true" ma:fieldsID="908c3468cbe05dab6f5fbe75cd6f930b" ns2:_="">
    <xsd:import namespace="CBFE0383-FD50-4AEE-A423-626E8CE3279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E0383-FD50-4AEE-A423-626E8CE3279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BFE0383-FD50-4AEE-A423-626E8CE3279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9A4C-8DDB-4EEB-A1F4-500B71CD5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E0383-FD50-4AEE-A423-626E8CE32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07B64-54A7-49DD-9275-071DC315D789}">
  <ds:schemaRefs>
    <ds:schemaRef ds:uri="http://schemas.microsoft.com/sharepoint/v3/contenttype/forms"/>
  </ds:schemaRefs>
</ds:datastoreItem>
</file>

<file path=customXml/itemProps3.xml><?xml version="1.0" encoding="utf-8"?>
<ds:datastoreItem xmlns:ds="http://schemas.openxmlformats.org/officeDocument/2006/customXml" ds:itemID="{CBF3074A-E416-4244-B849-00024276F151}">
  <ds:schemaRefs>
    <ds:schemaRef ds:uri="http://schemas.microsoft.com/office/2006/metadata/properties"/>
    <ds:schemaRef ds:uri="http://schemas.microsoft.com/office/infopath/2007/PartnerControls"/>
    <ds:schemaRef ds:uri="CBFE0383-FD50-4AEE-A423-626E8CE32791"/>
  </ds:schemaRefs>
</ds:datastoreItem>
</file>

<file path=customXml/itemProps4.xml><?xml version="1.0" encoding="utf-8"?>
<ds:datastoreItem xmlns:ds="http://schemas.openxmlformats.org/officeDocument/2006/customXml" ds:itemID="{62364C2A-B7E2-417D-9BC1-B9F9AB8E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73</Pages>
  <Words>77492</Words>
  <Characters>441708</Characters>
  <Application>Microsoft Office Word</Application>
  <DocSecurity>0</DocSecurity>
  <PresentationFormat/>
  <Lines>3680</Lines>
  <Paragraphs>1036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2023-12-14T00:19:00Z</cp:lastPrinted>
  <dcterms:created xsi:type="dcterms:W3CDTF">2025-02-20T22:03:00Z</dcterms:created>
  <dcterms:modified xsi:type="dcterms:W3CDTF">2025-02-20T22:04:00Z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(Superannuation) Regulations 2025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OPC65733</vt:lpwstr>
  </property>
  <property fmtid="{D5CDD505-2E9C-101B-9397-08002B2CF9AE}" pid="12" name="DLM">
    <vt:lpwstr> </vt:lpwstr>
  </property>
  <property fmtid="{D5CDD505-2E9C-101B-9397-08002B2CF9AE}" pid="13" name="Classification">
    <vt:lpwstr> </vt:lpwstr>
  </property>
  <property fmtid="{D5CDD505-2E9C-101B-9397-08002B2CF9AE}" pid="14" name="MTWinEqns">
    <vt:bool>true</vt:bool>
  </property>
  <property fmtid="{D5CDD505-2E9C-101B-9397-08002B2CF9AE}" pid="15" name="HeaderSch">
    <vt:lpwstr>Clause</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0x010100266966F133664895A6EE3632470D45F500285D22696EF2BC43806CED764D8F0D58</vt:lpwstr>
  </property>
</Properties>
</file>